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641DE6">
      <w:pPr>
        <w:widowControl w:val="0"/>
        <w:spacing w:before="163" w:beforeLines="50" w:after="163" w:afterLines="50"/>
        <w:jc w:val="center"/>
        <w:rPr>
          <w:rFonts w:hint="eastAsia" w:ascii="Times New Roman" w:hAnsi="Times New Roman" w:cs="Times New Roman"/>
          <w:b/>
          <w:color w:val="auto"/>
          <w:kern w:val="2"/>
          <w:sz w:val="44"/>
          <w:szCs w:val="44"/>
          <w:highlight w:val="none"/>
          <w:lang w:eastAsia="zh-CN"/>
        </w:rPr>
      </w:pPr>
      <w:bookmarkStart w:id="0" w:name="_Toc439236473"/>
      <w:bookmarkStart w:id="1" w:name="_Toc472585611"/>
      <w:bookmarkStart w:id="2" w:name="_Toc477190959"/>
    </w:p>
    <w:p w14:paraId="4B9685AC">
      <w:pPr>
        <w:widowControl w:val="0"/>
        <w:spacing w:before="163" w:beforeLines="50" w:after="163" w:afterLines="50"/>
        <w:jc w:val="center"/>
        <w:rPr>
          <w:rFonts w:hint="eastAsia" w:ascii="Times New Roman" w:hAnsi="Times New Roman" w:cs="Times New Roman"/>
          <w:b/>
          <w:color w:val="auto"/>
          <w:kern w:val="2"/>
          <w:sz w:val="44"/>
          <w:szCs w:val="44"/>
          <w:highlight w:val="none"/>
          <w:lang w:eastAsia="zh-CN"/>
        </w:rPr>
      </w:pPr>
    </w:p>
    <w:p w14:paraId="5D23B602">
      <w:pPr>
        <w:widowControl w:val="0"/>
        <w:spacing w:before="163" w:beforeLines="50" w:after="163" w:afterLines="50"/>
        <w:jc w:val="center"/>
        <w:rPr>
          <w:rFonts w:hint="eastAsia" w:ascii="Times New Roman" w:hAnsi="Times New Roman" w:cs="Times New Roman"/>
          <w:b/>
          <w:color w:val="auto"/>
          <w:kern w:val="2"/>
          <w:sz w:val="44"/>
          <w:szCs w:val="44"/>
          <w:highlight w:val="none"/>
          <w:lang w:eastAsia="zh-CN"/>
        </w:rPr>
      </w:pPr>
    </w:p>
    <w:p w14:paraId="29B80BC4">
      <w:pPr>
        <w:widowControl w:val="0"/>
        <w:spacing w:before="163" w:beforeLines="50" w:after="163" w:afterLines="50"/>
        <w:jc w:val="center"/>
        <w:rPr>
          <w:rFonts w:ascii="Times New Roman" w:hAnsi="Times New Roman" w:cs="Times New Roman"/>
          <w:b/>
          <w:color w:val="auto"/>
          <w:kern w:val="2"/>
          <w:sz w:val="44"/>
          <w:szCs w:val="44"/>
          <w:highlight w:val="none"/>
        </w:rPr>
      </w:pPr>
      <w:r>
        <w:rPr>
          <w:rFonts w:hint="eastAsia" w:ascii="Times New Roman" w:hAnsi="Times New Roman" w:cs="Times New Roman"/>
          <w:b/>
          <w:color w:val="auto"/>
          <w:kern w:val="2"/>
          <w:sz w:val="44"/>
          <w:szCs w:val="44"/>
          <w:highlight w:val="none"/>
          <w:lang w:eastAsia="zh-CN"/>
        </w:rPr>
        <w:t>徐深27-H1井</w:t>
      </w:r>
      <w:r>
        <w:rPr>
          <w:rFonts w:hint="eastAsia" w:ascii="Times New Roman" w:hAnsi="Times New Roman" w:cs="Times New Roman"/>
          <w:b/>
          <w:color w:val="auto"/>
          <w:kern w:val="2"/>
          <w:sz w:val="44"/>
          <w:szCs w:val="44"/>
          <w:highlight w:val="none"/>
          <w:lang w:val="en-US" w:eastAsia="zh-CN"/>
        </w:rPr>
        <w:t>地面</w:t>
      </w:r>
      <w:r>
        <w:rPr>
          <w:rFonts w:hint="eastAsia" w:ascii="Times New Roman" w:hAnsi="Times New Roman" w:cs="Times New Roman"/>
          <w:b/>
          <w:color w:val="auto"/>
          <w:kern w:val="2"/>
          <w:sz w:val="44"/>
          <w:szCs w:val="44"/>
          <w:highlight w:val="none"/>
          <w:lang w:eastAsia="zh-CN"/>
        </w:rPr>
        <w:t>工程项目</w:t>
      </w:r>
    </w:p>
    <w:p w14:paraId="01EA6FE1">
      <w:pPr>
        <w:widowControl w:val="0"/>
        <w:jc w:val="center"/>
        <w:rPr>
          <w:rFonts w:ascii="Times New Roman" w:hAnsi="Times New Roman" w:cs="Times New Roman"/>
          <w:b/>
          <w:color w:val="auto"/>
          <w:kern w:val="2"/>
          <w:sz w:val="72"/>
          <w:szCs w:val="72"/>
          <w:highlight w:val="none"/>
        </w:rPr>
      </w:pPr>
      <w:r>
        <w:rPr>
          <w:rFonts w:ascii="Times New Roman" w:hAnsi="Times New Roman" w:cs="Times New Roman"/>
          <w:b/>
          <w:color w:val="auto"/>
          <w:kern w:val="2"/>
          <w:sz w:val="72"/>
          <w:szCs w:val="72"/>
          <w:highlight w:val="none"/>
        </w:rPr>
        <w:t>环境影响报告书</w:t>
      </w:r>
    </w:p>
    <w:p w14:paraId="2129F4AB">
      <w:pPr>
        <w:widowControl w:val="0"/>
        <w:jc w:val="center"/>
        <w:rPr>
          <w:rFonts w:ascii="Times New Roman" w:hAnsi="Times New Roman" w:cs="Times New Roman"/>
          <w:b/>
          <w:color w:val="auto"/>
          <w:kern w:val="2"/>
          <w:sz w:val="32"/>
          <w:highlight w:val="none"/>
        </w:rPr>
      </w:pPr>
      <w:r>
        <w:rPr>
          <w:rFonts w:hint="eastAsia" w:ascii="Times New Roman" w:hAnsi="Times New Roman" w:cs="Times New Roman"/>
          <w:b/>
          <w:color w:val="auto"/>
          <w:kern w:val="2"/>
          <w:sz w:val="32"/>
          <w:highlight w:val="none"/>
        </w:rPr>
        <w:t>（</w:t>
      </w:r>
      <w:r>
        <w:rPr>
          <w:rFonts w:hint="eastAsia" w:ascii="Times New Roman" w:hAnsi="Times New Roman" w:cs="Times New Roman"/>
          <w:b/>
          <w:color w:val="auto"/>
          <w:kern w:val="2"/>
          <w:sz w:val="32"/>
          <w:highlight w:val="none"/>
          <w:lang w:val="en-US" w:eastAsia="zh-CN"/>
        </w:rPr>
        <w:t>报审</w:t>
      </w:r>
      <w:r>
        <w:rPr>
          <w:rFonts w:hint="eastAsia" w:ascii="Times New Roman" w:hAnsi="Times New Roman" w:cs="Times New Roman"/>
          <w:b/>
          <w:color w:val="auto"/>
          <w:kern w:val="2"/>
          <w:sz w:val="32"/>
          <w:highlight w:val="none"/>
        </w:rPr>
        <w:t>版）</w:t>
      </w:r>
    </w:p>
    <w:p w14:paraId="1A6CC753">
      <w:pPr>
        <w:widowControl w:val="0"/>
        <w:ind w:firstLine="560"/>
        <w:rPr>
          <w:rFonts w:ascii="Times New Roman" w:hAnsi="Times New Roman" w:cs="Times New Roman"/>
          <w:snapToGrid w:val="0"/>
          <w:color w:val="auto"/>
          <w:sz w:val="28"/>
          <w:highlight w:val="none"/>
        </w:rPr>
      </w:pPr>
      <w:r>
        <w:rPr>
          <w:rFonts w:ascii="Times New Roman" w:hAnsi="Times New Roman" w:cs="Times New Roman"/>
          <w:snapToGrid w:val="0"/>
          <w:color w:val="auto"/>
          <w:sz w:val="28"/>
          <w:highlight w:val="none"/>
        </w:rPr>
        <w:t xml:space="preserve">  </w:t>
      </w:r>
    </w:p>
    <w:p w14:paraId="742D08EE">
      <w:pPr>
        <w:widowControl w:val="0"/>
        <w:ind w:firstLine="560"/>
        <w:rPr>
          <w:rFonts w:ascii="Times New Roman" w:hAnsi="Times New Roman" w:cs="Times New Roman"/>
          <w:snapToGrid w:val="0"/>
          <w:color w:val="auto"/>
          <w:sz w:val="28"/>
          <w:highlight w:val="none"/>
        </w:rPr>
      </w:pPr>
    </w:p>
    <w:p w14:paraId="4215F2A5">
      <w:pPr>
        <w:widowControl w:val="0"/>
        <w:ind w:firstLine="560"/>
        <w:rPr>
          <w:rFonts w:ascii="Times New Roman" w:hAnsi="Times New Roman" w:cs="Times New Roman"/>
          <w:snapToGrid w:val="0"/>
          <w:color w:val="auto"/>
          <w:sz w:val="28"/>
          <w:highlight w:val="none"/>
        </w:rPr>
      </w:pPr>
    </w:p>
    <w:p w14:paraId="7E74468E">
      <w:pPr>
        <w:pStyle w:val="103"/>
        <w:rPr>
          <w:rFonts w:ascii="Times New Roman" w:hAnsi="Times New Roman" w:cs="Times New Roman"/>
          <w:color w:val="auto"/>
          <w:highlight w:val="none"/>
        </w:rPr>
      </w:pPr>
    </w:p>
    <w:p w14:paraId="281857EA">
      <w:pPr>
        <w:pStyle w:val="103"/>
        <w:rPr>
          <w:rFonts w:ascii="Times New Roman" w:hAnsi="Times New Roman" w:cs="Times New Roman"/>
          <w:color w:val="auto"/>
          <w:highlight w:val="none"/>
        </w:rPr>
      </w:pPr>
    </w:p>
    <w:p w14:paraId="7A1DB88C">
      <w:pPr>
        <w:pStyle w:val="103"/>
        <w:rPr>
          <w:rFonts w:ascii="Times New Roman" w:hAnsi="Times New Roman" w:cs="Times New Roman"/>
          <w:color w:val="auto"/>
          <w:highlight w:val="none"/>
        </w:rPr>
      </w:pPr>
    </w:p>
    <w:p w14:paraId="3C45DDD9">
      <w:pPr>
        <w:pStyle w:val="103"/>
        <w:rPr>
          <w:rFonts w:ascii="Times New Roman" w:hAnsi="Times New Roman" w:cs="Times New Roman"/>
          <w:color w:val="auto"/>
          <w:highlight w:val="none"/>
        </w:rPr>
      </w:pPr>
    </w:p>
    <w:p w14:paraId="1499D779">
      <w:pPr>
        <w:pStyle w:val="103"/>
        <w:rPr>
          <w:rFonts w:ascii="Times New Roman" w:hAnsi="Times New Roman" w:cs="Times New Roman"/>
          <w:color w:val="auto"/>
          <w:highlight w:val="none"/>
        </w:rPr>
      </w:pPr>
    </w:p>
    <w:p w14:paraId="1D761D4C">
      <w:pPr>
        <w:pStyle w:val="103"/>
        <w:tabs>
          <w:tab w:val="left" w:pos="5449"/>
        </w:tabs>
        <w:rPr>
          <w:rFonts w:ascii="Times New Roman" w:hAnsi="Times New Roman" w:cs="Times New Roman"/>
          <w:color w:val="auto"/>
          <w:highlight w:val="none"/>
        </w:rPr>
      </w:pPr>
      <w:r>
        <w:rPr>
          <w:rFonts w:ascii="Times New Roman" w:hAnsi="Times New Roman" w:cs="Times New Roman"/>
          <w:color w:val="auto"/>
          <w:highlight w:val="none"/>
        </w:rPr>
        <w:tab/>
      </w:r>
    </w:p>
    <w:p w14:paraId="5B7ACFF9">
      <w:pPr>
        <w:pStyle w:val="103"/>
        <w:rPr>
          <w:rFonts w:ascii="Times New Roman" w:hAnsi="Times New Roman" w:cs="Times New Roman"/>
          <w:color w:val="auto"/>
          <w:highlight w:val="none"/>
        </w:rPr>
      </w:pPr>
    </w:p>
    <w:p w14:paraId="550EA8C5">
      <w:pPr>
        <w:pStyle w:val="103"/>
        <w:rPr>
          <w:rFonts w:ascii="Times New Roman" w:hAnsi="Times New Roman" w:cs="Times New Roman"/>
          <w:color w:val="auto"/>
          <w:highlight w:val="none"/>
        </w:rPr>
      </w:pPr>
    </w:p>
    <w:p w14:paraId="60976458">
      <w:pPr>
        <w:widowControl w:val="0"/>
        <w:jc w:val="center"/>
        <w:rPr>
          <w:rFonts w:hint="default" w:ascii="Times New Roman" w:hAnsi="Times New Roman" w:eastAsia="宋体" w:cs="Times New Roman"/>
          <w:b/>
          <w:color w:val="auto"/>
          <w:kern w:val="2"/>
          <w:sz w:val="30"/>
          <w:szCs w:val="30"/>
          <w:highlight w:val="none"/>
          <w:lang w:val="en-US" w:eastAsia="zh-CN"/>
        </w:rPr>
      </w:pPr>
      <w:r>
        <w:rPr>
          <w:rFonts w:hint="eastAsia" w:ascii="Times New Roman" w:hAnsi="Times New Roman" w:cs="Times New Roman"/>
          <w:b/>
          <w:color w:val="auto"/>
          <w:kern w:val="2"/>
          <w:sz w:val="30"/>
          <w:szCs w:val="30"/>
          <w:highlight w:val="none"/>
          <w:lang w:val="en-US" w:eastAsia="zh-CN"/>
        </w:rPr>
        <w:t xml:space="preserve">  </w:t>
      </w:r>
      <w:r>
        <w:rPr>
          <w:rFonts w:ascii="Times New Roman" w:hAnsi="Times New Roman" w:cs="Times New Roman"/>
          <w:b/>
          <w:color w:val="auto"/>
          <w:kern w:val="2"/>
          <w:sz w:val="30"/>
          <w:szCs w:val="30"/>
          <w:highlight w:val="none"/>
        </w:rPr>
        <w:t>建设单位：</w:t>
      </w:r>
      <w:r>
        <w:rPr>
          <w:rFonts w:hint="eastAsia" w:ascii="Times New Roman" w:hAnsi="Times New Roman" w:cs="Times New Roman"/>
          <w:b/>
          <w:color w:val="auto"/>
          <w:kern w:val="2"/>
          <w:sz w:val="30"/>
          <w:szCs w:val="30"/>
          <w:highlight w:val="none"/>
        </w:rPr>
        <w:t xml:space="preserve"> 大庆油田有限责任公司</w:t>
      </w:r>
      <w:r>
        <w:rPr>
          <w:rFonts w:hint="eastAsia" w:ascii="Times New Roman" w:hAnsi="Times New Roman" w:cs="Times New Roman"/>
          <w:b/>
          <w:color w:val="auto"/>
          <w:kern w:val="2"/>
          <w:sz w:val="30"/>
          <w:szCs w:val="30"/>
          <w:highlight w:val="none"/>
          <w:lang w:val="en-US" w:eastAsia="zh-CN"/>
        </w:rPr>
        <w:t>采气分公司</w:t>
      </w:r>
    </w:p>
    <w:p w14:paraId="31EFB7FF">
      <w:pPr>
        <w:widowControl w:val="0"/>
        <w:ind w:firstLine="1656" w:firstLineChars="550"/>
        <w:rPr>
          <w:rFonts w:ascii="Times New Roman" w:hAnsi="Times New Roman" w:cs="Times New Roman"/>
          <w:b/>
          <w:color w:val="auto"/>
          <w:kern w:val="2"/>
          <w:sz w:val="30"/>
          <w:szCs w:val="30"/>
          <w:highlight w:val="none"/>
        </w:rPr>
      </w:pPr>
      <w:r>
        <w:rPr>
          <w:rFonts w:ascii="Times New Roman" w:hAnsi="Times New Roman" w:cs="Times New Roman"/>
          <w:b/>
          <w:color w:val="auto"/>
          <w:kern w:val="2"/>
          <w:sz w:val="30"/>
          <w:szCs w:val="30"/>
          <w:highlight w:val="none"/>
        </w:rPr>
        <w:t xml:space="preserve">编制单位： </w:t>
      </w:r>
      <w:r>
        <w:rPr>
          <w:rFonts w:hint="eastAsia" w:ascii="Times New Roman" w:hAnsi="Times New Roman" w:cs="Times New Roman"/>
          <w:b/>
          <w:color w:val="auto"/>
          <w:kern w:val="2"/>
          <w:sz w:val="30"/>
          <w:szCs w:val="30"/>
          <w:highlight w:val="none"/>
          <w:lang w:val="en-US" w:eastAsia="zh-CN"/>
        </w:rPr>
        <w:t>湖南葆华环保科技</w:t>
      </w:r>
      <w:r>
        <w:rPr>
          <w:rFonts w:ascii="Times New Roman" w:hAnsi="Times New Roman" w:cs="Times New Roman"/>
          <w:b/>
          <w:color w:val="auto"/>
          <w:kern w:val="2"/>
          <w:sz w:val="30"/>
          <w:szCs w:val="30"/>
          <w:highlight w:val="none"/>
        </w:rPr>
        <w:t>有限公司</w:t>
      </w:r>
    </w:p>
    <w:p w14:paraId="31C50EA4">
      <w:pPr>
        <w:widowControl w:val="0"/>
        <w:ind w:firstLine="1656" w:firstLineChars="550"/>
        <w:rPr>
          <w:rFonts w:ascii="Times New Roman" w:hAnsi="Times New Roman" w:cs="Times New Roman"/>
          <w:b/>
          <w:color w:val="auto"/>
          <w:kern w:val="2"/>
          <w:sz w:val="30"/>
          <w:szCs w:val="30"/>
          <w:highlight w:val="none"/>
        </w:rPr>
      </w:pPr>
      <w:r>
        <w:rPr>
          <w:rFonts w:ascii="Times New Roman" w:hAnsi="Times New Roman" w:cs="Times New Roman"/>
          <w:b/>
          <w:color w:val="auto"/>
          <w:kern w:val="2"/>
          <w:sz w:val="30"/>
          <w:szCs w:val="30"/>
          <w:highlight w:val="none"/>
        </w:rPr>
        <w:t>编制日期：</w:t>
      </w:r>
      <w:r>
        <w:rPr>
          <w:rFonts w:hint="eastAsia" w:ascii="Times New Roman" w:hAnsi="Times New Roman" w:cs="Times New Roman"/>
          <w:b/>
          <w:color w:val="auto"/>
          <w:kern w:val="2"/>
          <w:sz w:val="30"/>
          <w:szCs w:val="30"/>
          <w:highlight w:val="none"/>
        </w:rPr>
        <w:t xml:space="preserve"> </w:t>
      </w:r>
      <w:r>
        <w:rPr>
          <w:rFonts w:ascii="Times New Roman" w:hAnsi="Times New Roman" w:cs="Times New Roman"/>
          <w:b/>
          <w:color w:val="auto"/>
          <w:kern w:val="2"/>
          <w:sz w:val="30"/>
          <w:szCs w:val="30"/>
          <w:highlight w:val="none"/>
        </w:rPr>
        <w:t>20</w:t>
      </w:r>
      <w:r>
        <w:rPr>
          <w:rFonts w:hint="eastAsia" w:ascii="Times New Roman" w:hAnsi="Times New Roman" w:cs="Times New Roman"/>
          <w:b/>
          <w:color w:val="auto"/>
          <w:kern w:val="2"/>
          <w:sz w:val="30"/>
          <w:szCs w:val="30"/>
          <w:highlight w:val="none"/>
          <w:lang w:val="en-US" w:eastAsia="zh-CN"/>
        </w:rPr>
        <w:t>26</w:t>
      </w:r>
      <w:r>
        <w:rPr>
          <w:rFonts w:ascii="Times New Roman" w:hAnsi="Times New Roman" w:cs="Times New Roman"/>
          <w:b/>
          <w:color w:val="auto"/>
          <w:kern w:val="2"/>
          <w:sz w:val="30"/>
          <w:szCs w:val="30"/>
          <w:highlight w:val="none"/>
        </w:rPr>
        <w:t>年</w:t>
      </w:r>
      <w:r>
        <w:rPr>
          <w:rFonts w:hint="eastAsia" w:ascii="Times New Roman" w:hAnsi="Times New Roman" w:cs="Times New Roman"/>
          <w:b/>
          <w:color w:val="auto"/>
          <w:kern w:val="2"/>
          <w:sz w:val="30"/>
          <w:szCs w:val="30"/>
          <w:highlight w:val="none"/>
          <w:lang w:val="en-US" w:eastAsia="zh-CN"/>
        </w:rPr>
        <w:t>6</w:t>
      </w:r>
      <w:r>
        <w:rPr>
          <w:rFonts w:ascii="Times New Roman" w:hAnsi="Times New Roman" w:cs="Times New Roman"/>
          <w:b/>
          <w:color w:val="auto"/>
          <w:kern w:val="2"/>
          <w:sz w:val="30"/>
          <w:szCs w:val="30"/>
          <w:highlight w:val="none"/>
        </w:rPr>
        <w:t>月</w:t>
      </w:r>
    </w:p>
    <w:p w14:paraId="1BB417E3">
      <w:pPr>
        <w:pStyle w:val="2"/>
        <w:jc w:val="center"/>
        <w:rPr>
          <w:rFonts w:hint="eastAsia" w:ascii="Times New Roman" w:hAnsi="Times New Roman" w:eastAsiaTheme="minorEastAsia"/>
          <w:color w:val="000000" w:themeColor="text1"/>
          <w:w w:val="99"/>
          <w:sz w:val="30"/>
          <w:szCs w:val="30"/>
          <w:highlight w:val="none"/>
          <w:lang w:eastAsia="zh-CN"/>
          <w14:textFill>
            <w14:solidFill>
              <w14:schemeClr w14:val="tx1"/>
            </w14:solidFill>
          </w14:textFill>
        </w:rPr>
      </w:pPr>
    </w:p>
    <w:p w14:paraId="4BB2E314">
      <w:pPr>
        <w:pStyle w:val="73"/>
        <w:keepNext w:val="0"/>
        <w:keepLines w:val="0"/>
        <w:widowControl/>
        <w:suppressLineNumbers w:val="0"/>
      </w:pPr>
    </w:p>
    <w:p w14:paraId="7CE03EE1">
      <w:pPr>
        <w:rPr>
          <w:rFonts w:hint="eastAsia" w:eastAsia="宋体"/>
          <w:color w:val="auto"/>
          <w:highlight w:val="none"/>
          <w:lang w:eastAsia="zh-CN"/>
        </w:rPr>
      </w:pPr>
    </w:p>
    <w:p w14:paraId="59751F27">
      <w:pPr>
        <w:rPr>
          <w:color w:val="auto"/>
          <w:highlight w:val="none"/>
        </w:rPr>
      </w:pPr>
    </w:p>
    <w:p w14:paraId="01079D04">
      <w:pPr>
        <w:pStyle w:val="153"/>
        <w:widowControl w:val="0"/>
        <w:spacing w:line="240" w:lineRule="auto"/>
        <w:ind w:firstLine="0" w:firstLineChars="0"/>
        <w:jc w:val="center"/>
        <w:rPr>
          <w:rFonts w:hint="eastAsia" w:ascii="Times New Roman" w:hAnsi="Times New Roman" w:eastAsia="宋体"/>
          <w:b/>
          <w:snapToGrid w:val="0"/>
          <w:color w:val="auto"/>
          <w:w w:val="99"/>
          <w:sz w:val="32"/>
          <w:szCs w:val="32"/>
          <w:highlight w:val="none"/>
          <w:lang w:eastAsia="zh-CN"/>
        </w:rPr>
      </w:pPr>
    </w:p>
    <w:p w14:paraId="7A15BB0A">
      <w:pPr>
        <w:rPr>
          <w:rFonts w:hint="eastAsia" w:ascii="Times New Roman" w:hAnsi="Times New Roman" w:eastAsia="宋体"/>
          <w:b/>
          <w:snapToGrid w:val="0"/>
          <w:color w:val="auto"/>
          <w:w w:val="99"/>
          <w:sz w:val="32"/>
          <w:szCs w:val="32"/>
          <w:highlight w:val="none"/>
          <w:lang w:eastAsia="zh-CN"/>
        </w:rPr>
      </w:pPr>
    </w:p>
    <w:p w14:paraId="4B3F4E42">
      <w:pPr>
        <w:pStyle w:val="101"/>
        <w:rPr>
          <w:rFonts w:hint="eastAsia" w:ascii="Times New Roman" w:hAnsi="Times New Roman" w:eastAsia="宋体"/>
          <w:b/>
          <w:snapToGrid w:val="0"/>
          <w:color w:val="auto"/>
          <w:w w:val="99"/>
          <w:sz w:val="32"/>
          <w:szCs w:val="32"/>
          <w:highlight w:val="none"/>
          <w:lang w:eastAsia="zh-CN"/>
        </w:rPr>
      </w:pPr>
    </w:p>
    <w:p w14:paraId="6DC5BF22">
      <w:pPr>
        <w:rPr>
          <w:rFonts w:hint="eastAsia"/>
          <w:lang w:eastAsia="zh-CN"/>
        </w:rPr>
      </w:pPr>
    </w:p>
    <w:p w14:paraId="25C1436B">
      <w:pPr>
        <w:pStyle w:val="153"/>
        <w:widowControl w:val="0"/>
        <w:spacing w:line="240" w:lineRule="auto"/>
        <w:ind w:firstLine="0" w:firstLineChars="0"/>
        <w:jc w:val="center"/>
        <w:rPr>
          <w:rFonts w:ascii="Times New Roman" w:hAnsi="Times New Roman"/>
          <w:b/>
          <w:snapToGrid w:val="0"/>
          <w:color w:val="auto"/>
          <w:w w:val="99"/>
          <w:sz w:val="32"/>
          <w:szCs w:val="32"/>
          <w:highlight w:val="none"/>
        </w:rPr>
      </w:pPr>
    </w:p>
    <w:p w14:paraId="6D506600">
      <w:pPr>
        <w:pStyle w:val="153"/>
        <w:widowControl w:val="0"/>
        <w:spacing w:line="240" w:lineRule="auto"/>
        <w:ind w:firstLine="0" w:firstLineChars="0"/>
        <w:jc w:val="center"/>
        <w:rPr>
          <w:rFonts w:ascii="Times New Roman" w:hAnsi="Times New Roman"/>
          <w:b/>
          <w:snapToGrid w:val="0"/>
          <w:color w:val="auto"/>
          <w:w w:val="99"/>
          <w:sz w:val="32"/>
          <w:szCs w:val="32"/>
          <w:highlight w:val="none"/>
        </w:rPr>
      </w:pPr>
    </w:p>
    <w:p w14:paraId="46CE884D">
      <w:pPr>
        <w:pStyle w:val="153"/>
        <w:widowControl w:val="0"/>
        <w:spacing w:line="240" w:lineRule="auto"/>
        <w:ind w:firstLine="0" w:firstLineChars="0"/>
        <w:jc w:val="center"/>
        <w:rPr>
          <w:rFonts w:ascii="Times New Roman" w:hAnsi="Times New Roman"/>
          <w:b/>
          <w:snapToGrid w:val="0"/>
          <w:color w:val="auto"/>
          <w:w w:val="99"/>
          <w:sz w:val="32"/>
          <w:szCs w:val="32"/>
          <w:highlight w:val="none"/>
        </w:rPr>
      </w:pPr>
    </w:p>
    <w:p w14:paraId="7DE305A1">
      <w:pPr>
        <w:pStyle w:val="153"/>
        <w:widowControl w:val="0"/>
        <w:spacing w:line="240" w:lineRule="auto"/>
        <w:ind w:firstLine="0" w:firstLineChars="0"/>
        <w:jc w:val="center"/>
        <w:rPr>
          <w:rFonts w:ascii="Times New Roman" w:hAnsi="Times New Roman"/>
          <w:b/>
          <w:snapToGrid w:val="0"/>
          <w:color w:val="auto"/>
          <w:w w:val="99"/>
          <w:sz w:val="32"/>
          <w:szCs w:val="32"/>
          <w:highlight w:val="none"/>
        </w:rPr>
      </w:pPr>
      <w:r>
        <w:rPr>
          <w:rFonts w:ascii="Times New Roman" w:hAnsi="Times New Roman"/>
          <w:b/>
          <w:snapToGrid w:val="0"/>
          <w:color w:val="auto"/>
          <w:w w:val="99"/>
          <w:sz w:val="32"/>
          <w:szCs w:val="32"/>
          <w:highlight w:val="none"/>
        </w:rPr>
        <w:t>目  录</w:t>
      </w:r>
    </w:p>
    <w:p w14:paraId="569AED38">
      <w:pPr>
        <w:rPr>
          <w:color w:val="auto"/>
          <w:highlight w:val="none"/>
        </w:rPr>
      </w:pPr>
    </w:p>
    <w:p w14:paraId="20A57D62">
      <w:pPr>
        <w:pStyle w:val="54"/>
        <w:tabs>
          <w:tab w:val="right" w:leader="dot" w:pos="9070"/>
        </w:tabs>
      </w:pPr>
      <w:r>
        <w:rPr>
          <w:rFonts w:ascii="Times New Roman" w:hAnsi="Times New Roman" w:eastAsiaTheme="minorEastAsia"/>
          <w:b w:val="0"/>
          <w:smallCaps/>
          <w:color w:val="auto"/>
          <w:w w:val="99"/>
          <w:kern w:val="2"/>
          <w:sz w:val="24"/>
          <w:szCs w:val="24"/>
          <w:highlight w:val="none"/>
        </w:rPr>
        <w:fldChar w:fldCharType="begin"/>
      </w:r>
      <w:r>
        <w:rPr>
          <w:rFonts w:ascii="Times New Roman" w:hAnsi="Times New Roman" w:eastAsiaTheme="minorEastAsia"/>
          <w:b w:val="0"/>
          <w:smallCaps/>
          <w:color w:val="auto"/>
          <w:w w:val="99"/>
          <w:kern w:val="2"/>
          <w:sz w:val="24"/>
          <w:szCs w:val="24"/>
          <w:highlight w:val="none"/>
        </w:rPr>
        <w:instrText xml:space="preserve"> TOC \o "1-2" \h \z \u </w:instrText>
      </w:r>
      <w:r>
        <w:rPr>
          <w:rFonts w:ascii="Times New Roman" w:hAnsi="Times New Roman" w:eastAsiaTheme="minorEastAsia"/>
          <w:b w:val="0"/>
          <w:smallCaps/>
          <w:color w:val="auto"/>
          <w:w w:val="99"/>
          <w:kern w:val="2"/>
          <w:sz w:val="24"/>
          <w:szCs w:val="24"/>
          <w:highlight w:val="none"/>
        </w:rPr>
        <w:fldChar w:fldCharType="separate"/>
      </w: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_Toc24334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szCs w:val="30"/>
          <w:highlight w:val="none"/>
        </w:rPr>
        <w:t>1概述</w:t>
      </w:r>
      <w:r>
        <w:tab/>
      </w:r>
      <w:r>
        <w:fldChar w:fldCharType="begin"/>
      </w:r>
      <w:r>
        <w:instrText xml:space="preserve"> PAGEREF _Toc24334 \h </w:instrText>
      </w:r>
      <w:r>
        <w:fldChar w:fldCharType="separate"/>
      </w:r>
      <w:r>
        <w:t>1</w:t>
      </w:r>
      <w:r>
        <w:fldChar w:fldCharType="end"/>
      </w:r>
      <w:r>
        <w:rPr>
          <w:rFonts w:ascii="Times New Roman" w:hAnsi="Times New Roman" w:eastAsiaTheme="minorEastAsia"/>
          <w:smallCaps/>
          <w:color w:val="auto"/>
          <w:w w:val="99"/>
          <w:kern w:val="2"/>
          <w:szCs w:val="24"/>
          <w:highlight w:val="none"/>
        </w:rPr>
        <w:fldChar w:fldCharType="end"/>
      </w:r>
    </w:p>
    <w:p w14:paraId="1762F327">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_Toc10819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1.1项目由来</w:t>
      </w:r>
      <w:r>
        <w:tab/>
      </w:r>
      <w:r>
        <w:fldChar w:fldCharType="begin"/>
      </w:r>
      <w:r>
        <w:instrText xml:space="preserve"> PAGEREF _Toc10819 \h </w:instrText>
      </w:r>
      <w:r>
        <w:fldChar w:fldCharType="separate"/>
      </w:r>
      <w:r>
        <w:t>1</w:t>
      </w:r>
      <w:r>
        <w:fldChar w:fldCharType="end"/>
      </w:r>
      <w:r>
        <w:rPr>
          <w:rFonts w:ascii="Times New Roman" w:hAnsi="Times New Roman" w:eastAsiaTheme="minorEastAsia"/>
          <w:smallCaps/>
          <w:color w:val="auto"/>
          <w:w w:val="99"/>
          <w:kern w:val="2"/>
          <w:szCs w:val="24"/>
          <w:highlight w:val="none"/>
        </w:rPr>
        <w:fldChar w:fldCharType="end"/>
      </w:r>
    </w:p>
    <w:p w14:paraId="36865AF6">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_Toc26471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1.2项目特点</w:t>
      </w:r>
      <w:r>
        <w:tab/>
      </w:r>
      <w:r>
        <w:fldChar w:fldCharType="begin"/>
      </w:r>
      <w:r>
        <w:instrText xml:space="preserve"> PAGEREF _Toc26471 \h </w:instrText>
      </w:r>
      <w:r>
        <w:fldChar w:fldCharType="separate"/>
      </w:r>
      <w:r>
        <w:t>2</w:t>
      </w:r>
      <w:r>
        <w:fldChar w:fldCharType="end"/>
      </w:r>
      <w:r>
        <w:rPr>
          <w:rFonts w:ascii="Times New Roman" w:hAnsi="Times New Roman" w:eastAsiaTheme="minorEastAsia"/>
          <w:smallCaps/>
          <w:color w:val="auto"/>
          <w:w w:val="99"/>
          <w:kern w:val="2"/>
          <w:szCs w:val="24"/>
          <w:highlight w:val="none"/>
        </w:rPr>
        <w:fldChar w:fldCharType="end"/>
      </w:r>
    </w:p>
    <w:p w14:paraId="7954D0F0">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_Toc2083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1.3环境影响评价工作过程</w:t>
      </w:r>
      <w:r>
        <w:tab/>
      </w:r>
      <w:r>
        <w:fldChar w:fldCharType="begin"/>
      </w:r>
      <w:r>
        <w:instrText xml:space="preserve"> PAGEREF _Toc2083 \h </w:instrText>
      </w:r>
      <w:r>
        <w:fldChar w:fldCharType="separate"/>
      </w:r>
      <w:r>
        <w:t>5</w:t>
      </w:r>
      <w:r>
        <w:fldChar w:fldCharType="end"/>
      </w:r>
      <w:r>
        <w:rPr>
          <w:rFonts w:ascii="Times New Roman" w:hAnsi="Times New Roman" w:eastAsiaTheme="minorEastAsia"/>
          <w:smallCaps/>
          <w:color w:val="auto"/>
          <w:w w:val="99"/>
          <w:kern w:val="2"/>
          <w:szCs w:val="24"/>
          <w:highlight w:val="none"/>
        </w:rPr>
        <w:fldChar w:fldCharType="end"/>
      </w:r>
    </w:p>
    <w:p w14:paraId="5383A77C">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_Toc16420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1.4分析判定相关情况</w:t>
      </w:r>
      <w:r>
        <w:tab/>
      </w:r>
      <w:r>
        <w:fldChar w:fldCharType="begin"/>
      </w:r>
      <w:r>
        <w:instrText xml:space="preserve"> PAGEREF _Toc16420 \h </w:instrText>
      </w:r>
      <w:r>
        <w:fldChar w:fldCharType="separate"/>
      </w:r>
      <w:r>
        <w:t>7</w:t>
      </w:r>
      <w:r>
        <w:fldChar w:fldCharType="end"/>
      </w:r>
      <w:r>
        <w:rPr>
          <w:rFonts w:ascii="Times New Roman" w:hAnsi="Times New Roman" w:eastAsiaTheme="minorEastAsia"/>
          <w:smallCaps/>
          <w:color w:val="auto"/>
          <w:w w:val="99"/>
          <w:kern w:val="2"/>
          <w:szCs w:val="24"/>
          <w:highlight w:val="none"/>
        </w:rPr>
        <w:fldChar w:fldCharType="end"/>
      </w:r>
    </w:p>
    <w:p w14:paraId="2D45CA68">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_Toc8562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1.5关注的主要环境问题及环境影响</w:t>
      </w:r>
      <w:r>
        <w:tab/>
      </w:r>
      <w:r>
        <w:fldChar w:fldCharType="begin"/>
      </w:r>
      <w:r>
        <w:instrText xml:space="preserve"> PAGEREF _Toc8562 \h </w:instrText>
      </w:r>
      <w:r>
        <w:fldChar w:fldCharType="separate"/>
      </w:r>
      <w:r>
        <w:t>40</w:t>
      </w:r>
      <w:r>
        <w:fldChar w:fldCharType="end"/>
      </w:r>
      <w:r>
        <w:rPr>
          <w:rFonts w:ascii="Times New Roman" w:hAnsi="Times New Roman" w:eastAsiaTheme="minorEastAsia"/>
          <w:smallCaps/>
          <w:color w:val="auto"/>
          <w:w w:val="99"/>
          <w:kern w:val="2"/>
          <w:szCs w:val="24"/>
          <w:highlight w:val="none"/>
        </w:rPr>
        <w:fldChar w:fldCharType="end"/>
      </w:r>
    </w:p>
    <w:p w14:paraId="435C01D4">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_Toc6598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1.6环境影响评价主要结论</w:t>
      </w:r>
      <w:r>
        <w:tab/>
      </w:r>
      <w:r>
        <w:fldChar w:fldCharType="begin"/>
      </w:r>
      <w:r>
        <w:instrText xml:space="preserve"> PAGEREF _Toc6598 \h </w:instrText>
      </w:r>
      <w:r>
        <w:fldChar w:fldCharType="separate"/>
      </w:r>
      <w:r>
        <w:t>42</w:t>
      </w:r>
      <w:r>
        <w:fldChar w:fldCharType="end"/>
      </w:r>
      <w:r>
        <w:rPr>
          <w:rFonts w:ascii="Times New Roman" w:hAnsi="Times New Roman" w:eastAsiaTheme="minorEastAsia"/>
          <w:smallCaps/>
          <w:color w:val="auto"/>
          <w:w w:val="99"/>
          <w:kern w:val="2"/>
          <w:szCs w:val="24"/>
          <w:highlight w:val="none"/>
        </w:rPr>
        <w:fldChar w:fldCharType="end"/>
      </w:r>
    </w:p>
    <w:p w14:paraId="7564366E">
      <w:pPr>
        <w:pStyle w:val="54"/>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_Toc29565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szCs w:val="30"/>
          <w:highlight w:val="none"/>
        </w:rPr>
        <w:t>2总则</w:t>
      </w:r>
      <w:r>
        <w:tab/>
      </w:r>
      <w:r>
        <w:fldChar w:fldCharType="begin"/>
      </w:r>
      <w:r>
        <w:instrText xml:space="preserve"> PAGEREF _Toc29565 \h </w:instrText>
      </w:r>
      <w:r>
        <w:fldChar w:fldCharType="separate"/>
      </w:r>
      <w:r>
        <w:t>44</w:t>
      </w:r>
      <w:r>
        <w:fldChar w:fldCharType="end"/>
      </w:r>
      <w:r>
        <w:rPr>
          <w:rFonts w:ascii="Times New Roman" w:hAnsi="Times New Roman" w:eastAsiaTheme="minorEastAsia"/>
          <w:smallCaps/>
          <w:color w:val="auto"/>
          <w:w w:val="99"/>
          <w:kern w:val="2"/>
          <w:szCs w:val="24"/>
          <w:highlight w:val="none"/>
        </w:rPr>
        <w:fldChar w:fldCharType="end"/>
      </w:r>
    </w:p>
    <w:p w14:paraId="162606FC">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_Toc6128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2.1评价目的</w:t>
      </w:r>
      <w:r>
        <w:tab/>
      </w:r>
      <w:r>
        <w:fldChar w:fldCharType="begin"/>
      </w:r>
      <w:r>
        <w:instrText xml:space="preserve"> PAGEREF _Toc6128 \h </w:instrText>
      </w:r>
      <w:r>
        <w:fldChar w:fldCharType="separate"/>
      </w:r>
      <w:r>
        <w:t>44</w:t>
      </w:r>
      <w:r>
        <w:fldChar w:fldCharType="end"/>
      </w:r>
      <w:r>
        <w:rPr>
          <w:rFonts w:ascii="Times New Roman" w:hAnsi="Times New Roman" w:eastAsiaTheme="minorEastAsia"/>
          <w:smallCaps/>
          <w:color w:val="auto"/>
          <w:w w:val="99"/>
          <w:kern w:val="2"/>
          <w:szCs w:val="24"/>
          <w:highlight w:val="none"/>
        </w:rPr>
        <w:fldChar w:fldCharType="end"/>
      </w:r>
    </w:p>
    <w:p w14:paraId="596D090F">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_Toc26816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2.2评价原则</w:t>
      </w:r>
      <w:r>
        <w:tab/>
      </w:r>
      <w:r>
        <w:fldChar w:fldCharType="begin"/>
      </w:r>
      <w:r>
        <w:instrText xml:space="preserve"> PAGEREF _Toc26816 \h </w:instrText>
      </w:r>
      <w:r>
        <w:fldChar w:fldCharType="separate"/>
      </w:r>
      <w:r>
        <w:t>44</w:t>
      </w:r>
      <w:r>
        <w:fldChar w:fldCharType="end"/>
      </w:r>
      <w:r>
        <w:rPr>
          <w:rFonts w:ascii="Times New Roman" w:hAnsi="Times New Roman" w:eastAsiaTheme="minorEastAsia"/>
          <w:smallCaps/>
          <w:color w:val="auto"/>
          <w:w w:val="99"/>
          <w:kern w:val="2"/>
          <w:szCs w:val="24"/>
          <w:highlight w:val="none"/>
        </w:rPr>
        <w:fldChar w:fldCharType="end"/>
      </w:r>
    </w:p>
    <w:p w14:paraId="6DD16586">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_Toc774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2.3编制依据</w:t>
      </w:r>
      <w:r>
        <w:tab/>
      </w:r>
      <w:r>
        <w:fldChar w:fldCharType="begin"/>
      </w:r>
      <w:r>
        <w:instrText xml:space="preserve"> PAGEREF _Toc774 \h </w:instrText>
      </w:r>
      <w:r>
        <w:fldChar w:fldCharType="separate"/>
      </w:r>
      <w:r>
        <w:t>44</w:t>
      </w:r>
      <w:r>
        <w:fldChar w:fldCharType="end"/>
      </w:r>
      <w:r>
        <w:rPr>
          <w:rFonts w:ascii="Times New Roman" w:hAnsi="Times New Roman" w:eastAsiaTheme="minorEastAsia"/>
          <w:smallCaps/>
          <w:color w:val="auto"/>
          <w:w w:val="99"/>
          <w:kern w:val="2"/>
          <w:szCs w:val="24"/>
          <w:highlight w:val="none"/>
        </w:rPr>
        <w:fldChar w:fldCharType="end"/>
      </w:r>
    </w:p>
    <w:p w14:paraId="25F8085E">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_Toc30845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2.5环境影响识别与评价因子筛选</w:t>
      </w:r>
      <w:r>
        <w:tab/>
      </w:r>
      <w:r>
        <w:fldChar w:fldCharType="begin"/>
      </w:r>
      <w:r>
        <w:instrText xml:space="preserve"> PAGEREF _Toc30845 \h </w:instrText>
      </w:r>
      <w:r>
        <w:fldChar w:fldCharType="separate"/>
      </w:r>
      <w:r>
        <w:t>48</w:t>
      </w:r>
      <w:r>
        <w:fldChar w:fldCharType="end"/>
      </w:r>
      <w:r>
        <w:rPr>
          <w:rFonts w:ascii="Times New Roman" w:hAnsi="Times New Roman" w:eastAsiaTheme="minorEastAsia"/>
          <w:smallCaps/>
          <w:color w:val="auto"/>
          <w:w w:val="99"/>
          <w:kern w:val="2"/>
          <w:szCs w:val="24"/>
          <w:highlight w:val="none"/>
        </w:rPr>
        <w:fldChar w:fldCharType="end"/>
      </w:r>
    </w:p>
    <w:p w14:paraId="0E5C5189">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_Toc19439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2.6评价标准</w:t>
      </w:r>
      <w:r>
        <w:tab/>
      </w:r>
      <w:r>
        <w:fldChar w:fldCharType="begin"/>
      </w:r>
      <w:r>
        <w:instrText xml:space="preserve"> PAGEREF _Toc19439 \h </w:instrText>
      </w:r>
      <w:r>
        <w:fldChar w:fldCharType="separate"/>
      </w:r>
      <w:r>
        <w:t>52</w:t>
      </w:r>
      <w:r>
        <w:fldChar w:fldCharType="end"/>
      </w:r>
      <w:r>
        <w:rPr>
          <w:rFonts w:ascii="Times New Roman" w:hAnsi="Times New Roman" w:eastAsiaTheme="minorEastAsia"/>
          <w:smallCaps/>
          <w:color w:val="auto"/>
          <w:w w:val="99"/>
          <w:kern w:val="2"/>
          <w:szCs w:val="24"/>
          <w:highlight w:val="none"/>
        </w:rPr>
        <w:fldChar w:fldCharType="end"/>
      </w:r>
    </w:p>
    <w:p w14:paraId="7427D31B">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_Toc29703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2.7评价等级及评价范围</w:t>
      </w:r>
      <w:r>
        <w:tab/>
      </w:r>
      <w:r>
        <w:fldChar w:fldCharType="begin"/>
      </w:r>
      <w:r>
        <w:instrText xml:space="preserve"> PAGEREF _Toc29703 \h </w:instrText>
      </w:r>
      <w:r>
        <w:fldChar w:fldCharType="separate"/>
      </w:r>
      <w:r>
        <w:t>58</w:t>
      </w:r>
      <w:r>
        <w:fldChar w:fldCharType="end"/>
      </w:r>
      <w:r>
        <w:rPr>
          <w:rFonts w:ascii="Times New Roman" w:hAnsi="Times New Roman" w:eastAsiaTheme="minorEastAsia"/>
          <w:smallCaps/>
          <w:color w:val="auto"/>
          <w:w w:val="99"/>
          <w:kern w:val="2"/>
          <w:szCs w:val="24"/>
          <w:highlight w:val="none"/>
        </w:rPr>
        <w:fldChar w:fldCharType="end"/>
      </w:r>
    </w:p>
    <w:p w14:paraId="4E1425F2">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_Toc6827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2.8环境保护目标</w:t>
      </w:r>
      <w:r>
        <w:tab/>
      </w:r>
      <w:r>
        <w:fldChar w:fldCharType="begin"/>
      </w:r>
      <w:r>
        <w:instrText xml:space="preserve"> PAGEREF _Toc6827 \h </w:instrText>
      </w:r>
      <w:r>
        <w:fldChar w:fldCharType="separate"/>
      </w:r>
      <w:r>
        <w:t>71</w:t>
      </w:r>
      <w:r>
        <w:fldChar w:fldCharType="end"/>
      </w:r>
      <w:r>
        <w:rPr>
          <w:rFonts w:ascii="Times New Roman" w:hAnsi="Times New Roman" w:eastAsiaTheme="minorEastAsia"/>
          <w:smallCaps/>
          <w:color w:val="auto"/>
          <w:w w:val="99"/>
          <w:kern w:val="2"/>
          <w:szCs w:val="24"/>
          <w:highlight w:val="none"/>
        </w:rPr>
        <w:fldChar w:fldCharType="end"/>
      </w:r>
    </w:p>
    <w:p w14:paraId="70A2DDF7">
      <w:pPr>
        <w:pStyle w:val="54"/>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_Toc30569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szCs w:val="30"/>
          <w:highlight w:val="none"/>
        </w:rPr>
        <w:t>3建设项目工程分析</w:t>
      </w:r>
      <w:r>
        <w:tab/>
      </w:r>
      <w:r>
        <w:fldChar w:fldCharType="begin"/>
      </w:r>
      <w:r>
        <w:instrText xml:space="preserve"> PAGEREF _Toc30569 \h </w:instrText>
      </w:r>
      <w:r>
        <w:fldChar w:fldCharType="separate"/>
      </w:r>
      <w:r>
        <w:t>74</w:t>
      </w:r>
      <w:r>
        <w:fldChar w:fldCharType="end"/>
      </w:r>
      <w:r>
        <w:rPr>
          <w:rFonts w:ascii="Times New Roman" w:hAnsi="Times New Roman" w:eastAsiaTheme="minorEastAsia"/>
          <w:smallCaps/>
          <w:color w:val="auto"/>
          <w:w w:val="99"/>
          <w:kern w:val="2"/>
          <w:szCs w:val="24"/>
          <w:highlight w:val="none"/>
        </w:rPr>
        <w:fldChar w:fldCharType="end"/>
      </w:r>
    </w:p>
    <w:p w14:paraId="7DDE8C7C">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_Toc9951 </w:instrText>
      </w:r>
      <w:r>
        <w:rPr>
          <w:rFonts w:ascii="Times New Roman" w:hAnsi="Times New Roman" w:eastAsiaTheme="minorEastAsia"/>
          <w:smallCaps/>
          <w:w w:val="99"/>
          <w:kern w:val="2"/>
          <w:szCs w:val="24"/>
          <w:highlight w:val="none"/>
        </w:rPr>
        <w:fldChar w:fldCharType="separate"/>
      </w:r>
      <w:r>
        <w:rPr>
          <w:rFonts w:ascii="Times New Roman" w:hAnsi="Times New Roman" w:cs="Times New Roman"/>
          <w:bCs/>
          <w:snapToGrid w:val="0"/>
          <w:w w:val="99"/>
          <w:szCs w:val="32"/>
          <w:highlight w:val="none"/>
        </w:rPr>
        <w:t>3.1现有工程分析</w:t>
      </w:r>
      <w:r>
        <w:tab/>
      </w:r>
      <w:r>
        <w:fldChar w:fldCharType="begin"/>
      </w:r>
      <w:r>
        <w:instrText xml:space="preserve"> PAGEREF _Toc9951 \h </w:instrText>
      </w:r>
      <w:r>
        <w:fldChar w:fldCharType="separate"/>
      </w:r>
      <w:r>
        <w:t>74</w:t>
      </w:r>
      <w:r>
        <w:fldChar w:fldCharType="end"/>
      </w:r>
      <w:r>
        <w:rPr>
          <w:rFonts w:ascii="Times New Roman" w:hAnsi="Times New Roman" w:eastAsiaTheme="minorEastAsia"/>
          <w:smallCaps/>
          <w:color w:val="auto"/>
          <w:w w:val="99"/>
          <w:kern w:val="2"/>
          <w:szCs w:val="24"/>
          <w:highlight w:val="none"/>
        </w:rPr>
        <w:fldChar w:fldCharType="end"/>
      </w:r>
    </w:p>
    <w:p w14:paraId="6AB4DC16">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_Toc24664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3.2项目概况</w:t>
      </w:r>
      <w:r>
        <w:tab/>
      </w:r>
      <w:r>
        <w:fldChar w:fldCharType="begin"/>
      </w:r>
      <w:r>
        <w:instrText xml:space="preserve"> PAGEREF _Toc24664 \h </w:instrText>
      </w:r>
      <w:r>
        <w:fldChar w:fldCharType="separate"/>
      </w:r>
      <w:r>
        <w:t>82</w:t>
      </w:r>
      <w:r>
        <w:fldChar w:fldCharType="end"/>
      </w:r>
      <w:r>
        <w:rPr>
          <w:rFonts w:ascii="Times New Roman" w:hAnsi="Times New Roman" w:eastAsiaTheme="minorEastAsia"/>
          <w:smallCaps/>
          <w:color w:val="auto"/>
          <w:w w:val="99"/>
          <w:kern w:val="2"/>
          <w:szCs w:val="24"/>
          <w:highlight w:val="none"/>
        </w:rPr>
        <w:fldChar w:fldCharType="end"/>
      </w:r>
    </w:p>
    <w:p w14:paraId="08C6492A">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_Toc20875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3.</w:t>
      </w:r>
      <w:r>
        <w:rPr>
          <w:rFonts w:hint="eastAsia" w:ascii="Times New Roman" w:hAnsi="Times New Roman" w:eastAsia="宋体"/>
          <w:snapToGrid w:val="0"/>
          <w:w w:val="99"/>
          <w:highlight w:val="none"/>
          <w:lang w:val="en-US" w:eastAsia="zh-CN"/>
        </w:rPr>
        <w:t>3</w:t>
      </w:r>
      <w:r>
        <w:rPr>
          <w:rFonts w:ascii="Times New Roman" w:hAnsi="Times New Roman" w:eastAsia="宋体"/>
          <w:snapToGrid w:val="0"/>
          <w:w w:val="99"/>
          <w:highlight w:val="none"/>
        </w:rPr>
        <w:t>工程组成</w:t>
      </w:r>
      <w:r>
        <w:tab/>
      </w:r>
      <w:r>
        <w:fldChar w:fldCharType="begin"/>
      </w:r>
      <w:r>
        <w:instrText xml:space="preserve"> PAGEREF _Toc20875 \h </w:instrText>
      </w:r>
      <w:r>
        <w:fldChar w:fldCharType="separate"/>
      </w:r>
      <w:r>
        <w:t>82</w:t>
      </w:r>
      <w:r>
        <w:fldChar w:fldCharType="end"/>
      </w:r>
      <w:r>
        <w:rPr>
          <w:rFonts w:ascii="Times New Roman" w:hAnsi="Times New Roman" w:eastAsiaTheme="minorEastAsia"/>
          <w:smallCaps/>
          <w:color w:val="auto"/>
          <w:w w:val="99"/>
          <w:kern w:val="2"/>
          <w:szCs w:val="24"/>
          <w:highlight w:val="none"/>
        </w:rPr>
        <w:fldChar w:fldCharType="end"/>
      </w:r>
    </w:p>
    <w:p w14:paraId="46B5E5B7">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_Toc1417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3.</w:t>
      </w:r>
      <w:r>
        <w:rPr>
          <w:rFonts w:hint="eastAsia" w:ascii="Times New Roman" w:hAnsi="Times New Roman" w:eastAsia="宋体"/>
          <w:snapToGrid w:val="0"/>
          <w:w w:val="99"/>
          <w:highlight w:val="none"/>
          <w:lang w:val="en-US" w:eastAsia="zh-CN"/>
        </w:rPr>
        <w:t>4</w:t>
      </w:r>
      <w:r>
        <w:rPr>
          <w:rFonts w:ascii="Times New Roman" w:hAnsi="Times New Roman" w:eastAsia="宋体"/>
          <w:snapToGrid w:val="0"/>
          <w:w w:val="99"/>
          <w:highlight w:val="none"/>
        </w:rPr>
        <w:t>开发方案</w:t>
      </w:r>
      <w:r>
        <w:tab/>
      </w:r>
      <w:r>
        <w:fldChar w:fldCharType="begin"/>
      </w:r>
      <w:r>
        <w:instrText xml:space="preserve"> PAGEREF _Toc1417 \h </w:instrText>
      </w:r>
      <w:r>
        <w:fldChar w:fldCharType="separate"/>
      </w:r>
      <w:r>
        <w:t>87</w:t>
      </w:r>
      <w:r>
        <w:fldChar w:fldCharType="end"/>
      </w:r>
      <w:r>
        <w:rPr>
          <w:rFonts w:ascii="Times New Roman" w:hAnsi="Times New Roman" w:eastAsiaTheme="minorEastAsia"/>
          <w:smallCaps/>
          <w:color w:val="auto"/>
          <w:w w:val="99"/>
          <w:kern w:val="2"/>
          <w:szCs w:val="24"/>
          <w:highlight w:val="none"/>
        </w:rPr>
        <w:fldChar w:fldCharType="end"/>
      </w:r>
    </w:p>
    <w:p w14:paraId="1D3B7234">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_Toc29048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3.6主要建设内容</w:t>
      </w:r>
      <w:r>
        <w:tab/>
      </w:r>
      <w:r>
        <w:fldChar w:fldCharType="begin"/>
      </w:r>
      <w:r>
        <w:instrText xml:space="preserve"> PAGEREF _Toc29048 \h </w:instrText>
      </w:r>
      <w:r>
        <w:fldChar w:fldCharType="separate"/>
      </w:r>
      <w:r>
        <w:t>88</w:t>
      </w:r>
      <w:r>
        <w:fldChar w:fldCharType="end"/>
      </w:r>
      <w:r>
        <w:rPr>
          <w:rFonts w:ascii="Times New Roman" w:hAnsi="Times New Roman" w:eastAsiaTheme="minorEastAsia"/>
          <w:smallCaps/>
          <w:color w:val="auto"/>
          <w:w w:val="99"/>
          <w:kern w:val="2"/>
          <w:szCs w:val="24"/>
          <w:highlight w:val="none"/>
        </w:rPr>
        <w:fldChar w:fldCharType="end"/>
      </w:r>
    </w:p>
    <w:p w14:paraId="379A1434">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_Toc31204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3.7</w:t>
      </w:r>
      <w:r>
        <w:rPr>
          <w:rFonts w:hint="eastAsia" w:ascii="Times New Roman" w:hAnsi="Times New Roman" w:eastAsia="宋体"/>
          <w:snapToGrid w:val="0"/>
          <w:w w:val="99"/>
          <w:highlight w:val="none"/>
          <w:lang w:val="en-US" w:eastAsia="zh-CN"/>
        </w:rPr>
        <w:t>工程占地及土石方平衡</w:t>
      </w:r>
      <w:r>
        <w:tab/>
      </w:r>
      <w:r>
        <w:fldChar w:fldCharType="begin"/>
      </w:r>
      <w:r>
        <w:instrText xml:space="preserve"> PAGEREF _Toc31204 \h </w:instrText>
      </w:r>
      <w:r>
        <w:fldChar w:fldCharType="separate"/>
      </w:r>
      <w:r>
        <w:t>97</w:t>
      </w:r>
      <w:r>
        <w:fldChar w:fldCharType="end"/>
      </w:r>
      <w:r>
        <w:rPr>
          <w:rFonts w:ascii="Times New Roman" w:hAnsi="Times New Roman" w:eastAsiaTheme="minorEastAsia"/>
          <w:smallCaps/>
          <w:color w:val="auto"/>
          <w:w w:val="99"/>
          <w:kern w:val="2"/>
          <w:szCs w:val="24"/>
          <w:highlight w:val="none"/>
        </w:rPr>
        <w:fldChar w:fldCharType="end"/>
      </w:r>
    </w:p>
    <w:p w14:paraId="54978589">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_Toc4136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3.8施工方式</w:t>
      </w:r>
      <w:r>
        <w:tab/>
      </w:r>
      <w:r>
        <w:fldChar w:fldCharType="begin"/>
      </w:r>
      <w:r>
        <w:instrText xml:space="preserve"> PAGEREF _Toc4136 \h </w:instrText>
      </w:r>
      <w:r>
        <w:fldChar w:fldCharType="separate"/>
      </w:r>
      <w:r>
        <w:t>99</w:t>
      </w:r>
      <w:r>
        <w:fldChar w:fldCharType="end"/>
      </w:r>
      <w:r>
        <w:rPr>
          <w:rFonts w:ascii="Times New Roman" w:hAnsi="Times New Roman" w:eastAsiaTheme="minorEastAsia"/>
          <w:smallCaps/>
          <w:color w:val="auto"/>
          <w:w w:val="99"/>
          <w:kern w:val="2"/>
          <w:szCs w:val="24"/>
          <w:highlight w:val="none"/>
        </w:rPr>
        <w:fldChar w:fldCharType="end"/>
      </w:r>
    </w:p>
    <w:p w14:paraId="7BE0C4D0">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_Toc16942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3.</w:t>
      </w:r>
      <w:r>
        <w:rPr>
          <w:rFonts w:hint="eastAsia" w:ascii="Times New Roman" w:hAnsi="Times New Roman" w:eastAsia="宋体"/>
          <w:snapToGrid w:val="0"/>
          <w:w w:val="99"/>
          <w:highlight w:val="none"/>
          <w:lang w:val="en-US" w:eastAsia="zh-CN"/>
        </w:rPr>
        <w:t>9</w:t>
      </w:r>
      <w:r>
        <w:rPr>
          <w:rFonts w:ascii="Times New Roman" w:hAnsi="Times New Roman" w:eastAsia="宋体"/>
          <w:snapToGrid w:val="0"/>
          <w:w w:val="99"/>
          <w:highlight w:val="none"/>
        </w:rPr>
        <w:t>物料消耗</w:t>
      </w:r>
      <w:r>
        <w:tab/>
      </w:r>
      <w:r>
        <w:fldChar w:fldCharType="begin"/>
      </w:r>
      <w:r>
        <w:instrText xml:space="preserve"> PAGEREF _Toc16942 \h </w:instrText>
      </w:r>
      <w:r>
        <w:fldChar w:fldCharType="separate"/>
      </w:r>
      <w:r>
        <w:t>101</w:t>
      </w:r>
      <w:r>
        <w:fldChar w:fldCharType="end"/>
      </w:r>
      <w:r>
        <w:rPr>
          <w:rFonts w:ascii="Times New Roman" w:hAnsi="Times New Roman" w:eastAsiaTheme="minorEastAsia"/>
          <w:smallCaps/>
          <w:color w:val="auto"/>
          <w:w w:val="99"/>
          <w:kern w:val="2"/>
          <w:szCs w:val="24"/>
          <w:highlight w:val="none"/>
        </w:rPr>
        <w:fldChar w:fldCharType="end"/>
      </w:r>
    </w:p>
    <w:p w14:paraId="2407E0F8">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_Toc855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3.1</w:t>
      </w:r>
      <w:r>
        <w:rPr>
          <w:rFonts w:hint="eastAsia" w:ascii="Times New Roman" w:hAnsi="Times New Roman" w:eastAsia="宋体"/>
          <w:snapToGrid w:val="0"/>
          <w:w w:val="99"/>
          <w:highlight w:val="none"/>
          <w:lang w:val="en-US" w:eastAsia="zh-CN"/>
        </w:rPr>
        <w:t>0</w:t>
      </w:r>
      <w:r>
        <w:rPr>
          <w:rFonts w:ascii="Times New Roman" w:hAnsi="Times New Roman" w:eastAsia="宋体"/>
          <w:snapToGrid w:val="0"/>
          <w:w w:val="99"/>
          <w:highlight w:val="none"/>
        </w:rPr>
        <w:t>依托工程分析</w:t>
      </w:r>
      <w:r>
        <w:tab/>
      </w:r>
      <w:r>
        <w:fldChar w:fldCharType="begin"/>
      </w:r>
      <w:r>
        <w:instrText xml:space="preserve"> PAGEREF _Toc855 \h </w:instrText>
      </w:r>
      <w:r>
        <w:fldChar w:fldCharType="separate"/>
      </w:r>
      <w:r>
        <w:t>102</w:t>
      </w:r>
      <w:r>
        <w:fldChar w:fldCharType="end"/>
      </w:r>
      <w:r>
        <w:rPr>
          <w:rFonts w:ascii="Times New Roman" w:hAnsi="Times New Roman" w:eastAsiaTheme="minorEastAsia"/>
          <w:smallCaps/>
          <w:color w:val="auto"/>
          <w:w w:val="99"/>
          <w:kern w:val="2"/>
          <w:szCs w:val="24"/>
          <w:highlight w:val="none"/>
        </w:rPr>
        <w:fldChar w:fldCharType="end"/>
      </w:r>
    </w:p>
    <w:p w14:paraId="494C66D3">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_Toc22813 </w:instrText>
      </w:r>
      <w:r>
        <w:rPr>
          <w:rFonts w:ascii="Times New Roman" w:hAnsi="Times New Roman" w:eastAsiaTheme="minorEastAsia"/>
          <w:smallCaps/>
          <w:w w:val="99"/>
          <w:kern w:val="2"/>
          <w:szCs w:val="24"/>
          <w:highlight w:val="none"/>
        </w:rPr>
        <w:fldChar w:fldCharType="separate"/>
      </w:r>
      <w:r>
        <w:rPr>
          <w:rFonts w:hint="eastAsia" w:ascii="Times New Roman" w:hAnsi="Times New Roman" w:eastAsia="宋体"/>
          <w:snapToGrid w:val="0"/>
          <w:w w:val="99"/>
          <w:highlight w:val="none"/>
          <w:lang w:eastAsia="zh-CN"/>
        </w:rPr>
        <w:t>3.11</w:t>
      </w:r>
      <w:r>
        <w:rPr>
          <w:rFonts w:ascii="Times New Roman" w:hAnsi="Times New Roman" w:eastAsia="宋体"/>
          <w:snapToGrid w:val="0"/>
          <w:w w:val="99"/>
          <w:highlight w:val="none"/>
        </w:rPr>
        <w:t>建设项目工程分析</w:t>
      </w:r>
      <w:r>
        <w:tab/>
      </w:r>
      <w:r>
        <w:fldChar w:fldCharType="begin"/>
      </w:r>
      <w:r>
        <w:instrText xml:space="preserve"> PAGEREF _Toc22813 \h </w:instrText>
      </w:r>
      <w:r>
        <w:fldChar w:fldCharType="separate"/>
      </w:r>
      <w:r>
        <w:t>105</w:t>
      </w:r>
      <w:r>
        <w:fldChar w:fldCharType="end"/>
      </w:r>
      <w:r>
        <w:rPr>
          <w:rFonts w:ascii="Times New Roman" w:hAnsi="Times New Roman" w:eastAsiaTheme="minorEastAsia"/>
          <w:smallCaps/>
          <w:color w:val="auto"/>
          <w:w w:val="99"/>
          <w:kern w:val="2"/>
          <w:szCs w:val="24"/>
          <w:highlight w:val="none"/>
        </w:rPr>
        <w:fldChar w:fldCharType="end"/>
      </w:r>
    </w:p>
    <w:p w14:paraId="4F815CA0">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_Toc28477 </w:instrText>
      </w:r>
      <w:r>
        <w:rPr>
          <w:rFonts w:ascii="Times New Roman" w:hAnsi="Times New Roman" w:eastAsiaTheme="minorEastAsia"/>
          <w:smallCaps/>
          <w:w w:val="99"/>
          <w:kern w:val="2"/>
          <w:szCs w:val="24"/>
          <w:highlight w:val="none"/>
        </w:rPr>
        <w:fldChar w:fldCharType="separate"/>
      </w:r>
      <w:r>
        <w:rPr>
          <w:rFonts w:hint="eastAsia" w:ascii="Times New Roman" w:hAnsi="Times New Roman" w:eastAsia="宋体"/>
          <w:snapToGrid w:val="0"/>
          <w:w w:val="99"/>
          <w:highlight w:val="none"/>
          <w:lang w:eastAsia="zh-CN"/>
        </w:rPr>
        <w:t>3.12</w:t>
      </w:r>
      <w:r>
        <w:rPr>
          <w:rFonts w:ascii="Times New Roman" w:hAnsi="Times New Roman" w:eastAsia="宋体"/>
          <w:snapToGrid w:val="0"/>
          <w:w w:val="99"/>
          <w:highlight w:val="none"/>
        </w:rPr>
        <w:t>清洁生产分析</w:t>
      </w:r>
      <w:r>
        <w:tab/>
      </w:r>
      <w:r>
        <w:fldChar w:fldCharType="begin"/>
      </w:r>
      <w:r>
        <w:instrText xml:space="preserve"> PAGEREF _Toc28477 \h </w:instrText>
      </w:r>
      <w:r>
        <w:fldChar w:fldCharType="separate"/>
      </w:r>
      <w:r>
        <w:t>127</w:t>
      </w:r>
      <w:r>
        <w:fldChar w:fldCharType="end"/>
      </w:r>
      <w:r>
        <w:rPr>
          <w:rFonts w:ascii="Times New Roman" w:hAnsi="Times New Roman" w:eastAsiaTheme="minorEastAsia"/>
          <w:smallCaps/>
          <w:color w:val="auto"/>
          <w:w w:val="99"/>
          <w:kern w:val="2"/>
          <w:szCs w:val="24"/>
          <w:highlight w:val="none"/>
        </w:rPr>
        <w:fldChar w:fldCharType="end"/>
      </w:r>
    </w:p>
    <w:p w14:paraId="2D3FAB8A">
      <w:pPr>
        <w:pStyle w:val="54"/>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_Toc31988 </w:instrText>
      </w:r>
      <w:r>
        <w:rPr>
          <w:rFonts w:ascii="Times New Roman" w:hAnsi="Times New Roman" w:eastAsiaTheme="minorEastAsia"/>
          <w:smallCaps/>
          <w:w w:val="99"/>
          <w:kern w:val="2"/>
          <w:szCs w:val="24"/>
          <w:highlight w:val="none"/>
        </w:rPr>
        <w:fldChar w:fldCharType="separate"/>
      </w:r>
      <w:r>
        <w:rPr>
          <w:rFonts w:ascii="Times New Roman" w:hAnsi="Times New Roman" w:cs="Times New Roman"/>
          <w:bCs/>
          <w:w w:val="99"/>
          <w:szCs w:val="30"/>
          <w:highlight w:val="none"/>
        </w:rPr>
        <w:t>4环境现状调查与评价</w:t>
      </w:r>
      <w:r>
        <w:tab/>
      </w:r>
      <w:r>
        <w:fldChar w:fldCharType="begin"/>
      </w:r>
      <w:r>
        <w:instrText xml:space="preserve"> PAGEREF _Toc31988 \h </w:instrText>
      </w:r>
      <w:r>
        <w:fldChar w:fldCharType="separate"/>
      </w:r>
      <w:r>
        <w:t>129</w:t>
      </w:r>
      <w:r>
        <w:fldChar w:fldCharType="end"/>
      </w:r>
      <w:r>
        <w:rPr>
          <w:rFonts w:ascii="Times New Roman" w:hAnsi="Times New Roman" w:eastAsiaTheme="minorEastAsia"/>
          <w:smallCaps/>
          <w:color w:val="auto"/>
          <w:w w:val="99"/>
          <w:kern w:val="2"/>
          <w:szCs w:val="24"/>
          <w:highlight w:val="none"/>
        </w:rPr>
        <w:fldChar w:fldCharType="end"/>
      </w:r>
    </w:p>
    <w:p w14:paraId="34A55D3A">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_Toc24635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4.1自然环境状况</w:t>
      </w:r>
      <w:r>
        <w:tab/>
      </w:r>
      <w:r>
        <w:fldChar w:fldCharType="begin"/>
      </w:r>
      <w:r>
        <w:instrText xml:space="preserve"> PAGEREF _Toc24635 \h </w:instrText>
      </w:r>
      <w:r>
        <w:fldChar w:fldCharType="separate"/>
      </w:r>
      <w:r>
        <w:t>129</w:t>
      </w:r>
      <w:r>
        <w:fldChar w:fldCharType="end"/>
      </w:r>
      <w:r>
        <w:rPr>
          <w:rFonts w:ascii="Times New Roman" w:hAnsi="Times New Roman" w:eastAsiaTheme="minorEastAsia"/>
          <w:smallCaps/>
          <w:color w:val="auto"/>
          <w:w w:val="99"/>
          <w:kern w:val="2"/>
          <w:szCs w:val="24"/>
          <w:highlight w:val="none"/>
        </w:rPr>
        <w:fldChar w:fldCharType="end"/>
      </w:r>
    </w:p>
    <w:p w14:paraId="639B0A7D">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_Toc23320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4.2环境保护目标调查</w:t>
      </w:r>
      <w:r>
        <w:tab/>
      </w:r>
      <w:r>
        <w:fldChar w:fldCharType="begin"/>
      </w:r>
      <w:r>
        <w:instrText xml:space="preserve"> PAGEREF _Toc23320 \h </w:instrText>
      </w:r>
      <w:r>
        <w:fldChar w:fldCharType="separate"/>
      </w:r>
      <w:r>
        <w:t>135</w:t>
      </w:r>
      <w:r>
        <w:fldChar w:fldCharType="end"/>
      </w:r>
      <w:r>
        <w:rPr>
          <w:rFonts w:ascii="Times New Roman" w:hAnsi="Times New Roman" w:eastAsiaTheme="minorEastAsia"/>
          <w:smallCaps/>
          <w:color w:val="auto"/>
          <w:w w:val="99"/>
          <w:kern w:val="2"/>
          <w:szCs w:val="24"/>
          <w:highlight w:val="none"/>
        </w:rPr>
        <w:fldChar w:fldCharType="end"/>
      </w:r>
    </w:p>
    <w:p w14:paraId="3BEE787B">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_Toc24215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4.3环境质量现状调查与评价</w:t>
      </w:r>
      <w:r>
        <w:tab/>
      </w:r>
      <w:r>
        <w:fldChar w:fldCharType="begin"/>
      </w:r>
      <w:r>
        <w:instrText xml:space="preserve"> PAGEREF _Toc24215 \h </w:instrText>
      </w:r>
      <w:r>
        <w:fldChar w:fldCharType="separate"/>
      </w:r>
      <w:r>
        <w:t>136</w:t>
      </w:r>
      <w:r>
        <w:fldChar w:fldCharType="end"/>
      </w:r>
      <w:r>
        <w:rPr>
          <w:rFonts w:ascii="Times New Roman" w:hAnsi="Times New Roman" w:eastAsiaTheme="minorEastAsia"/>
          <w:smallCaps/>
          <w:color w:val="auto"/>
          <w:w w:val="99"/>
          <w:kern w:val="2"/>
          <w:szCs w:val="24"/>
          <w:highlight w:val="none"/>
        </w:rPr>
        <w:fldChar w:fldCharType="end"/>
      </w:r>
    </w:p>
    <w:p w14:paraId="18446D51">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_Toc13683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bCs w:val="0"/>
          <w:w w:val="99"/>
          <w:highlight w:val="none"/>
        </w:rPr>
        <w:t>4.</w:t>
      </w:r>
      <w:r>
        <w:rPr>
          <w:rFonts w:hint="eastAsia" w:ascii="Times New Roman" w:hAnsi="Times New Roman" w:eastAsia="宋体"/>
          <w:bCs w:val="0"/>
          <w:w w:val="99"/>
          <w:highlight w:val="none"/>
          <w:lang w:val="en-US" w:eastAsia="zh-CN"/>
        </w:rPr>
        <w:t>4</w:t>
      </w:r>
      <w:r>
        <w:rPr>
          <w:rFonts w:ascii="Times New Roman" w:hAnsi="Times New Roman" w:eastAsia="宋体"/>
          <w:bCs w:val="0"/>
          <w:w w:val="99"/>
          <w:highlight w:val="none"/>
        </w:rPr>
        <w:t>区域污染源调查</w:t>
      </w:r>
      <w:r>
        <w:tab/>
      </w:r>
      <w:r>
        <w:fldChar w:fldCharType="begin"/>
      </w:r>
      <w:r>
        <w:instrText xml:space="preserve"> PAGEREF _Toc13683 \h </w:instrText>
      </w:r>
      <w:r>
        <w:fldChar w:fldCharType="separate"/>
      </w:r>
      <w:r>
        <w:t>169</w:t>
      </w:r>
      <w:r>
        <w:fldChar w:fldCharType="end"/>
      </w:r>
      <w:r>
        <w:rPr>
          <w:rFonts w:ascii="Times New Roman" w:hAnsi="Times New Roman" w:eastAsiaTheme="minorEastAsia"/>
          <w:smallCaps/>
          <w:color w:val="auto"/>
          <w:w w:val="99"/>
          <w:kern w:val="2"/>
          <w:szCs w:val="24"/>
          <w:highlight w:val="none"/>
        </w:rPr>
        <w:fldChar w:fldCharType="end"/>
      </w:r>
    </w:p>
    <w:p w14:paraId="7D8EB101">
      <w:pPr>
        <w:pStyle w:val="54"/>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_Toc31030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szCs w:val="30"/>
          <w:highlight w:val="none"/>
        </w:rPr>
        <w:t>5环境影响预测与评价</w:t>
      </w:r>
      <w:r>
        <w:tab/>
      </w:r>
      <w:r>
        <w:fldChar w:fldCharType="begin"/>
      </w:r>
      <w:r>
        <w:instrText xml:space="preserve"> PAGEREF _Toc31030 \h </w:instrText>
      </w:r>
      <w:r>
        <w:fldChar w:fldCharType="separate"/>
      </w:r>
      <w:r>
        <w:t>171</w:t>
      </w:r>
      <w:r>
        <w:fldChar w:fldCharType="end"/>
      </w:r>
      <w:r>
        <w:rPr>
          <w:rFonts w:ascii="Times New Roman" w:hAnsi="Times New Roman" w:eastAsiaTheme="minorEastAsia"/>
          <w:smallCaps/>
          <w:color w:val="auto"/>
          <w:w w:val="99"/>
          <w:kern w:val="2"/>
          <w:szCs w:val="24"/>
          <w:highlight w:val="none"/>
        </w:rPr>
        <w:fldChar w:fldCharType="end"/>
      </w:r>
    </w:p>
    <w:p w14:paraId="283D99EA">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_Toc11814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5.1大气环境影响预测与评价</w:t>
      </w:r>
      <w:r>
        <w:tab/>
      </w:r>
      <w:r>
        <w:fldChar w:fldCharType="begin"/>
      </w:r>
      <w:r>
        <w:instrText xml:space="preserve"> PAGEREF _Toc11814 \h </w:instrText>
      </w:r>
      <w:r>
        <w:fldChar w:fldCharType="separate"/>
      </w:r>
      <w:r>
        <w:t>171</w:t>
      </w:r>
      <w:r>
        <w:fldChar w:fldCharType="end"/>
      </w:r>
      <w:r>
        <w:rPr>
          <w:rFonts w:ascii="Times New Roman" w:hAnsi="Times New Roman" w:eastAsiaTheme="minorEastAsia"/>
          <w:smallCaps/>
          <w:color w:val="auto"/>
          <w:w w:val="99"/>
          <w:kern w:val="2"/>
          <w:szCs w:val="24"/>
          <w:highlight w:val="none"/>
        </w:rPr>
        <w:fldChar w:fldCharType="end"/>
      </w:r>
    </w:p>
    <w:p w14:paraId="3B485109">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_Toc6940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5.2地表水环境影响评价</w:t>
      </w:r>
      <w:r>
        <w:tab/>
      </w:r>
      <w:r>
        <w:fldChar w:fldCharType="begin"/>
      </w:r>
      <w:r>
        <w:instrText xml:space="preserve"> PAGEREF _Toc6940 \h </w:instrText>
      </w:r>
      <w:r>
        <w:fldChar w:fldCharType="separate"/>
      </w:r>
      <w:r>
        <w:t>185</w:t>
      </w:r>
      <w:r>
        <w:fldChar w:fldCharType="end"/>
      </w:r>
      <w:r>
        <w:rPr>
          <w:rFonts w:ascii="Times New Roman" w:hAnsi="Times New Roman" w:eastAsiaTheme="minorEastAsia"/>
          <w:smallCaps/>
          <w:color w:val="auto"/>
          <w:w w:val="99"/>
          <w:kern w:val="2"/>
          <w:szCs w:val="24"/>
          <w:highlight w:val="none"/>
        </w:rPr>
        <w:fldChar w:fldCharType="end"/>
      </w:r>
    </w:p>
    <w:p w14:paraId="18FD90BE">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_Toc19351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5.3地下水环境影响预测与评价</w:t>
      </w:r>
      <w:r>
        <w:tab/>
      </w:r>
      <w:r>
        <w:fldChar w:fldCharType="begin"/>
      </w:r>
      <w:r>
        <w:instrText xml:space="preserve"> PAGEREF _Toc19351 \h </w:instrText>
      </w:r>
      <w:r>
        <w:fldChar w:fldCharType="separate"/>
      </w:r>
      <w:r>
        <w:t>188</w:t>
      </w:r>
      <w:r>
        <w:fldChar w:fldCharType="end"/>
      </w:r>
      <w:r>
        <w:rPr>
          <w:rFonts w:ascii="Times New Roman" w:hAnsi="Times New Roman" w:eastAsiaTheme="minorEastAsia"/>
          <w:smallCaps/>
          <w:color w:val="auto"/>
          <w:w w:val="99"/>
          <w:kern w:val="2"/>
          <w:szCs w:val="24"/>
          <w:highlight w:val="none"/>
        </w:rPr>
        <w:fldChar w:fldCharType="end"/>
      </w:r>
    </w:p>
    <w:p w14:paraId="0B2DE943">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_Toc17411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5.4声环境影响预测与评价</w:t>
      </w:r>
      <w:r>
        <w:tab/>
      </w:r>
      <w:r>
        <w:fldChar w:fldCharType="begin"/>
      </w:r>
      <w:r>
        <w:instrText xml:space="preserve"> PAGEREF _Toc17411 \h </w:instrText>
      </w:r>
      <w:r>
        <w:fldChar w:fldCharType="separate"/>
      </w:r>
      <w:r>
        <w:t>193</w:t>
      </w:r>
      <w:r>
        <w:fldChar w:fldCharType="end"/>
      </w:r>
      <w:r>
        <w:rPr>
          <w:rFonts w:ascii="Times New Roman" w:hAnsi="Times New Roman" w:eastAsiaTheme="minorEastAsia"/>
          <w:smallCaps/>
          <w:color w:val="auto"/>
          <w:w w:val="99"/>
          <w:kern w:val="2"/>
          <w:szCs w:val="24"/>
          <w:highlight w:val="none"/>
        </w:rPr>
        <w:fldChar w:fldCharType="end"/>
      </w:r>
    </w:p>
    <w:p w14:paraId="52707D91">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_Toc11604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5.5固体废物环境影响分析</w:t>
      </w:r>
      <w:r>
        <w:tab/>
      </w:r>
      <w:r>
        <w:fldChar w:fldCharType="begin"/>
      </w:r>
      <w:r>
        <w:instrText xml:space="preserve"> PAGEREF _Toc11604 \h </w:instrText>
      </w:r>
      <w:r>
        <w:fldChar w:fldCharType="separate"/>
      </w:r>
      <w:r>
        <w:t>196</w:t>
      </w:r>
      <w:r>
        <w:fldChar w:fldCharType="end"/>
      </w:r>
      <w:r>
        <w:rPr>
          <w:rFonts w:ascii="Times New Roman" w:hAnsi="Times New Roman" w:eastAsiaTheme="minorEastAsia"/>
          <w:smallCaps/>
          <w:color w:val="auto"/>
          <w:w w:val="99"/>
          <w:kern w:val="2"/>
          <w:szCs w:val="24"/>
          <w:highlight w:val="none"/>
        </w:rPr>
        <w:fldChar w:fldCharType="end"/>
      </w:r>
    </w:p>
    <w:p w14:paraId="71DC0522">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_Toc26898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5.6生态环境影响评价</w:t>
      </w:r>
      <w:r>
        <w:tab/>
      </w:r>
      <w:r>
        <w:fldChar w:fldCharType="begin"/>
      </w:r>
      <w:r>
        <w:instrText xml:space="preserve"> PAGEREF _Toc26898 \h </w:instrText>
      </w:r>
      <w:r>
        <w:fldChar w:fldCharType="separate"/>
      </w:r>
      <w:r>
        <w:t>199</w:t>
      </w:r>
      <w:r>
        <w:fldChar w:fldCharType="end"/>
      </w:r>
      <w:r>
        <w:rPr>
          <w:rFonts w:ascii="Times New Roman" w:hAnsi="Times New Roman" w:eastAsiaTheme="minorEastAsia"/>
          <w:smallCaps/>
          <w:color w:val="auto"/>
          <w:w w:val="99"/>
          <w:kern w:val="2"/>
          <w:szCs w:val="24"/>
          <w:highlight w:val="none"/>
        </w:rPr>
        <w:fldChar w:fldCharType="end"/>
      </w:r>
    </w:p>
    <w:p w14:paraId="2DDD1342">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_Toc16503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5.7土壤环境影响预测与评价</w:t>
      </w:r>
      <w:r>
        <w:tab/>
      </w:r>
      <w:r>
        <w:fldChar w:fldCharType="begin"/>
      </w:r>
      <w:r>
        <w:instrText xml:space="preserve"> PAGEREF _Toc16503 \h </w:instrText>
      </w:r>
      <w:r>
        <w:fldChar w:fldCharType="separate"/>
      </w:r>
      <w:r>
        <w:t>207</w:t>
      </w:r>
      <w:r>
        <w:fldChar w:fldCharType="end"/>
      </w:r>
      <w:r>
        <w:rPr>
          <w:rFonts w:ascii="Times New Roman" w:hAnsi="Times New Roman" w:eastAsiaTheme="minorEastAsia"/>
          <w:smallCaps/>
          <w:color w:val="auto"/>
          <w:w w:val="99"/>
          <w:kern w:val="2"/>
          <w:szCs w:val="24"/>
          <w:highlight w:val="none"/>
        </w:rPr>
        <w:fldChar w:fldCharType="end"/>
      </w:r>
    </w:p>
    <w:p w14:paraId="7E8EC8C0">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_Toc1374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5.8环境风险分析</w:t>
      </w:r>
      <w:r>
        <w:tab/>
      </w:r>
      <w:r>
        <w:fldChar w:fldCharType="begin"/>
      </w:r>
      <w:r>
        <w:instrText xml:space="preserve"> PAGEREF _Toc1374 \h </w:instrText>
      </w:r>
      <w:r>
        <w:fldChar w:fldCharType="separate"/>
      </w:r>
      <w:r>
        <w:t>210</w:t>
      </w:r>
      <w:r>
        <w:fldChar w:fldCharType="end"/>
      </w:r>
      <w:r>
        <w:rPr>
          <w:rFonts w:ascii="Times New Roman" w:hAnsi="Times New Roman" w:eastAsiaTheme="minorEastAsia"/>
          <w:smallCaps/>
          <w:color w:val="auto"/>
          <w:w w:val="99"/>
          <w:kern w:val="2"/>
          <w:szCs w:val="24"/>
          <w:highlight w:val="none"/>
        </w:rPr>
        <w:fldChar w:fldCharType="end"/>
      </w:r>
    </w:p>
    <w:p w14:paraId="16E36A94">
      <w:pPr>
        <w:pStyle w:val="54"/>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_Toc21653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szCs w:val="30"/>
          <w:highlight w:val="none"/>
        </w:rPr>
        <w:t>6环境保护措施及其可行性论证</w:t>
      </w:r>
      <w:r>
        <w:tab/>
      </w:r>
      <w:r>
        <w:fldChar w:fldCharType="begin"/>
      </w:r>
      <w:r>
        <w:instrText xml:space="preserve"> PAGEREF _Toc21653 \h </w:instrText>
      </w:r>
      <w:r>
        <w:fldChar w:fldCharType="separate"/>
      </w:r>
      <w:r>
        <w:t>219</w:t>
      </w:r>
      <w:r>
        <w:fldChar w:fldCharType="end"/>
      </w:r>
      <w:r>
        <w:rPr>
          <w:rFonts w:ascii="Times New Roman" w:hAnsi="Times New Roman" w:eastAsiaTheme="minorEastAsia"/>
          <w:smallCaps/>
          <w:color w:val="auto"/>
          <w:w w:val="99"/>
          <w:kern w:val="2"/>
          <w:szCs w:val="24"/>
          <w:highlight w:val="none"/>
        </w:rPr>
        <w:fldChar w:fldCharType="end"/>
      </w:r>
    </w:p>
    <w:p w14:paraId="7C78F5E5">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_Toc20374 </w:instrText>
      </w:r>
      <w:r>
        <w:rPr>
          <w:rFonts w:ascii="Times New Roman" w:hAnsi="Times New Roman" w:eastAsiaTheme="minorEastAsia"/>
          <w:smallCaps/>
          <w:w w:val="99"/>
          <w:kern w:val="2"/>
          <w:szCs w:val="24"/>
          <w:highlight w:val="none"/>
        </w:rPr>
        <w:fldChar w:fldCharType="separate"/>
      </w:r>
      <w:r>
        <w:rPr>
          <w:rFonts w:ascii="Times New Roman" w:hAnsi="Times New Roman" w:eastAsia="宋体"/>
          <w:snapToGrid w:val="0"/>
          <w:w w:val="99"/>
          <w:highlight w:val="none"/>
        </w:rPr>
        <w:t>6.1污染防治措施</w:t>
      </w:r>
      <w:r>
        <w:tab/>
      </w:r>
      <w:r>
        <w:fldChar w:fldCharType="begin"/>
      </w:r>
      <w:r>
        <w:instrText xml:space="preserve"> PAGEREF _Toc20374 \h </w:instrText>
      </w:r>
      <w:r>
        <w:fldChar w:fldCharType="separate"/>
      </w:r>
      <w:r>
        <w:t>219</w:t>
      </w:r>
      <w:r>
        <w:fldChar w:fldCharType="end"/>
      </w:r>
      <w:r>
        <w:rPr>
          <w:rFonts w:ascii="Times New Roman" w:hAnsi="Times New Roman" w:eastAsiaTheme="minorEastAsia"/>
          <w:smallCaps/>
          <w:color w:val="auto"/>
          <w:w w:val="99"/>
          <w:kern w:val="2"/>
          <w:szCs w:val="24"/>
          <w:highlight w:val="none"/>
        </w:rPr>
        <w:fldChar w:fldCharType="end"/>
      </w:r>
    </w:p>
    <w:p w14:paraId="49A84978">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_Toc7505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6.2“三同时”项目一览表</w:t>
      </w:r>
      <w:r>
        <w:tab/>
      </w:r>
      <w:r>
        <w:fldChar w:fldCharType="begin"/>
      </w:r>
      <w:r>
        <w:instrText xml:space="preserve"> PAGEREF _Toc7505 \h </w:instrText>
      </w:r>
      <w:r>
        <w:fldChar w:fldCharType="separate"/>
      </w:r>
      <w:r>
        <w:t>248</w:t>
      </w:r>
      <w:r>
        <w:fldChar w:fldCharType="end"/>
      </w:r>
      <w:r>
        <w:rPr>
          <w:rFonts w:ascii="Times New Roman" w:hAnsi="Times New Roman" w:eastAsiaTheme="minorEastAsia"/>
          <w:smallCaps/>
          <w:color w:val="auto"/>
          <w:w w:val="99"/>
          <w:kern w:val="2"/>
          <w:szCs w:val="24"/>
          <w:highlight w:val="none"/>
        </w:rPr>
        <w:fldChar w:fldCharType="end"/>
      </w:r>
    </w:p>
    <w:p w14:paraId="6BE6D7C1">
      <w:pPr>
        <w:pStyle w:val="54"/>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_Toc19931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szCs w:val="30"/>
          <w:highlight w:val="none"/>
        </w:rPr>
        <w:t>7环境影响经济损益分析</w:t>
      </w:r>
      <w:r>
        <w:tab/>
      </w:r>
      <w:r>
        <w:fldChar w:fldCharType="begin"/>
      </w:r>
      <w:r>
        <w:instrText xml:space="preserve"> PAGEREF _Toc19931 \h </w:instrText>
      </w:r>
      <w:r>
        <w:fldChar w:fldCharType="separate"/>
      </w:r>
      <w:r>
        <w:t>253</w:t>
      </w:r>
      <w:r>
        <w:fldChar w:fldCharType="end"/>
      </w:r>
      <w:r>
        <w:rPr>
          <w:rFonts w:ascii="Times New Roman" w:hAnsi="Times New Roman" w:eastAsiaTheme="minorEastAsia"/>
          <w:smallCaps/>
          <w:color w:val="auto"/>
          <w:w w:val="99"/>
          <w:kern w:val="2"/>
          <w:szCs w:val="24"/>
          <w:highlight w:val="none"/>
        </w:rPr>
        <w:fldChar w:fldCharType="end"/>
      </w:r>
    </w:p>
    <w:p w14:paraId="3B3AB9F7">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_Toc11584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7.1环境损失费估算</w:t>
      </w:r>
      <w:r>
        <w:tab/>
      </w:r>
      <w:r>
        <w:fldChar w:fldCharType="begin"/>
      </w:r>
      <w:r>
        <w:instrText xml:space="preserve"> PAGEREF _Toc11584 \h </w:instrText>
      </w:r>
      <w:r>
        <w:fldChar w:fldCharType="separate"/>
      </w:r>
      <w:r>
        <w:t>253</w:t>
      </w:r>
      <w:r>
        <w:fldChar w:fldCharType="end"/>
      </w:r>
      <w:r>
        <w:rPr>
          <w:rFonts w:ascii="Times New Roman" w:hAnsi="Times New Roman" w:eastAsiaTheme="minorEastAsia"/>
          <w:smallCaps/>
          <w:color w:val="auto"/>
          <w:w w:val="99"/>
          <w:kern w:val="2"/>
          <w:szCs w:val="24"/>
          <w:highlight w:val="none"/>
        </w:rPr>
        <w:fldChar w:fldCharType="end"/>
      </w:r>
    </w:p>
    <w:p w14:paraId="4B40180E">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_Toc16760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7.2环保投资估算及环境效益分析</w:t>
      </w:r>
      <w:r>
        <w:tab/>
      </w:r>
      <w:r>
        <w:fldChar w:fldCharType="begin"/>
      </w:r>
      <w:r>
        <w:instrText xml:space="preserve"> PAGEREF _Toc16760 \h </w:instrText>
      </w:r>
      <w:r>
        <w:fldChar w:fldCharType="separate"/>
      </w:r>
      <w:r>
        <w:t>253</w:t>
      </w:r>
      <w:r>
        <w:fldChar w:fldCharType="end"/>
      </w:r>
      <w:r>
        <w:rPr>
          <w:rFonts w:ascii="Times New Roman" w:hAnsi="Times New Roman" w:eastAsiaTheme="minorEastAsia"/>
          <w:smallCaps/>
          <w:color w:val="auto"/>
          <w:w w:val="99"/>
          <w:kern w:val="2"/>
          <w:szCs w:val="24"/>
          <w:highlight w:val="none"/>
        </w:rPr>
        <w:fldChar w:fldCharType="end"/>
      </w:r>
    </w:p>
    <w:p w14:paraId="0DB01972">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_Toc7495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7.3环境经济损益分析结论</w:t>
      </w:r>
      <w:r>
        <w:tab/>
      </w:r>
      <w:r>
        <w:fldChar w:fldCharType="begin"/>
      </w:r>
      <w:r>
        <w:instrText xml:space="preserve"> PAGEREF _Toc7495 \h </w:instrText>
      </w:r>
      <w:r>
        <w:fldChar w:fldCharType="separate"/>
      </w:r>
      <w:r>
        <w:t>255</w:t>
      </w:r>
      <w:r>
        <w:fldChar w:fldCharType="end"/>
      </w:r>
      <w:r>
        <w:rPr>
          <w:rFonts w:ascii="Times New Roman" w:hAnsi="Times New Roman" w:eastAsiaTheme="minorEastAsia"/>
          <w:smallCaps/>
          <w:color w:val="auto"/>
          <w:w w:val="99"/>
          <w:kern w:val="2"/>
          <w:szCs w:val="24"/>
          <w:highlight w:val="none"/>
        </w:rPr>
        <w:fldChar w:fldCharType="end"/>
      </w:r>
    </w:p>
    <w:p w14:paraId="11A83472">
      <w:pPr>
        <w:pStyle w:val="54"/>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_Toc29029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szCs w:val="30"/>
          <w:highlight w:val="none"/>
        </w:rPr>
        <w:t>8环境管理与监测计划</w:t>
      </w:r>
      <w:r>
        <w:tab/>
      </w:r>
      <w:r>
        <w:fldChar w:fldCharType="begin"/>
      </w:r>
      <w:r>
        <w:instrText xml:space="preserve"> PAGEREF _Toc29029 \h </w:instrText>
      </w:r>
      <w:r>
        <w:fldChar w:fldCharType="separate"/>
      </w:r>
      <w:r>
        <w:t>256</w:t>
      </w:r>
      <w:r>
        <w:fldChar w:fldCharType="end"/>
      </w:r>
      <w:r>
        <w:rPr>
          <w:rFonts w:ascii="Times New Roman" w:hAnsi="Times New Roman" w:eastAsiaTheme="minorEastAsia"/>
          <w:smallCaps/>
          <w:color w:val="auto"/>
          <w:w w:val="99"/>
          <w:kern w:val="2"/>
          <w:szCs w:val="24"/>
          <w:highlight w:val="none"/>
        </w:rPr>
        <w:fldChar w:fldCharType="end"/>
      </w:r>
    </w:p>
    <w:p w14:paraId="17D861D6">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_Toc27549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8.1 HSE管理体系的建立和运行</w:t>
      </w:r>
      <w:r>
        <w:tab/>
      </w:r>
      <w:r>
        <w:fldChar w:fldCharType="begin"/>
      </w:r>
      <w:r>
        <w:instrText xml:space="preserve"> PAGEREF _Toc27549 \h </w:instrText>
      </w:r>
      <w:r>
        <w:fldChar w:fldCharType="separate"/>
      </w:r>
      <w:r>
        <w:t>256</w:t>
      </w:r>
      <w:r>
        <w:fldChar w:fldCharType="end"/>
      </w:r>
      <w:r>
        <w:rPr>
          <w:rFonts w:ascii="Times New Roman" w:hAnsi="Times New Roman" w:eastAsiaTheme="minorEastAsia"/>
          <w:smallCaps/>
          <w:color w:val="auto"/>
          <w:w w:val="99"/>
          <w:kern w:val="2"/>
          <w:szCs w:val="24"/>
          <w:highlight w:val="none"/>
        </w:rPr>
        <w:fldChar w:fldCharType="end"/>
      </w:r>
    </w:p>
    <w:p w14:paraId="779F37E7">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_Toc20907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8.2环境监控</w:t>
      </w:r>
      <w:r>
        <w:tab/>
      </w:r>
      <w:r>
        <w:fldChar w:fldCharType="begin"/>
      </w:r>
      <w:r>
        <w:instrText xml:space="preserve"> PAGEREF _Toc20907 \h </w:instrText>
      </w:r>
      <w:r>
        <w:fldChar w:fldCharType="separate"/>
      </w:r>
      <w:r>
        <w:t>257</w:t>
      </w:r>
      <w:r>
        <w:fldChar w:fldCharType="end"/>
      </w:r>
      <w:r>
        <w:rPr>
          <w:rFonts w:ascii="Times New Roman" w:hAnsi="Times New Roman" w:eastAsiaTheme="minorEastAsia"/>
          <w:smallCaps/>
          <w:color w:val="auto"/>
          <w:w w:val="99"/>
          <w:kern w:val="2"/>
          <w:szCs w:val="24"/>
          <w:highlight w:val="none"/>
        </w:rPr>
        <w:fldChar w:fldCharType="end"/>
      </w:r>
    </w:p>
    <w:p w14:paraId="12700CAE">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_Toc14351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8.3占地审批流程</w:t>
      </w:r>
      <w:r>
        <w:tab/>
      </w:r>
      <w:r>
        <w:fldChar w:fldCharType="begin"/>
      </w:r>
      <w:r>
        <w:instrText xml:space="preserve"> PAGEREF _Toc14351 \h </w:instrText>
      </w:r>
      <w:r>
        <w:fldChar w:fldCharType="separate"/>
      </w:r>
      <w:r>
        <w:t>264</w:t>
      </w:r>
      <w:r>
        <w:fldChar w:fldCharType="end"/>
      </w:r>
      <w:r>
        <w:rPr>
          <w:rFonts w:ascii="Times New Roman" w:hAnsi="Times New Roman" w:eastAsiaTheme="minorEastAsia"/>
          <w:smallCaps/>
          <w:color w:val="auto"/>
          <w:w w:val="99"/>
          <w:kern w:val="2"/>
          <w:szCs w:val="24"/>
          <w:highlight w:val="none"/>
        </w:rPr>
        <w:fldChar w:fldCharType="end"/>
      </w:r>
    </w:p>
    <w:p w14:paraId="64C96084">
      <w:pPr>
        <w:pStyle w:val="54"/>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_Toc14120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szCs w:val="30"/>
          <w:highlight w:val="none"/>
        </w:rPr>
        <w:t>9环境影响评价结论</w:t>
      </w:r>
      <w:r>
        <w:tab/>
      </w:r>
      <w:r>
        <w:fldChar w:fldCharType="begin"/>
      </w:r>
      <w:r>
        <w:instrText xml:space="preserve"> PAGEREF _Toc14120 \h </w:instrText>
      </w:r>
      <w:r>
        <w:fldChar w:fldCharType="separate"/>
      </w:r>
      <w:r>
        <w:t>266</w:t>
      </w:r>
      <w:r>
        <w:fldChar w:fldCharType="end"/>
      </w:r>
      <w:r>
        <w:rPr>
          <w:rFonts w:ascii="Times New Roman" w:hAnsi="Times New Roman" w:eastAsiaTheme="minorEastAsia"/>
          <w:smallCaps/>
          <w:color w:val="auto"/>
          <w:w w:val="99"/>
          <w:kern w:val="2"/>
          <w:szCs w:val="24"/>
          <w:highlight w:val="none"/>
        </w:rPr>
        <w:fldChar w:fldCharType="end"/>
      </w:r>
    </w:p>
    <w:p w14:paraId="750A36B0">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_Toc28479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9.1建设项目概况</w:t>
      </w:r>
      <w:r>
        <w:tab/>
      </w:r>
      <w:r>
        <w:fldChar w:fldCharType="begin"/>
      </w:r>
      <w:r>
        <w:instrText xml:space="preserve"> PAGEREF _Toc28479 \h </w:instrText>
      </w:r>
      <w:r>
        <w:fldChar w:fldCharType="separate"/>
      </w:r>
      <w:r>
        <w:t>266</w:t>
      </w:r>
      <w:r>
        <w:fldChar w:fldCharType="end"/>
      </w:r>
      <w:r>
        <w:rPr>
          <w:rFonts w:ascii="Times New Roman" w:hAnsi="Times New Roman" w:eastAsiaTheme="minorEastAsia"/>
          <w:smallCaps/>
          <w:color w:val="auto"/>
          <w:w w:val="99"/>
          <w:kern w:val="2"/>
          <w:szCs w:val="24"/>
          <w:highlight w:val="none"/>
        </w:rPr>
        <w:fldChar w:fldCharType="end"/>
      </w:r>
    </w:p>
    <w:p w14:paraId="01867027">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_Toc585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9.2环境质量现状评价结论</w:t>
      </w:r>
      <w:r>
        <w:tab/>
      </w:r>
      <w:r>
        <w:fldChar w:fldCharType="begin"/>
      </w:r>
      <w:r>
        <w:instrText xml:space="preserve"> PAGEREF _Toc585 \h </w:instrText>
      </w:r>
      <w:r>
        <w:fldChar w:fldCharType="separate"/>
      </w:r>
      <w:r>
        <w:t>266</w:t>
      </w:r>
      <w:r>
        <w:fldChar w:fldCharType="end"/>
      </w:r>
      <w:r>
        <w:rPr>
          <w:rFonts w:ascii="Times New Roman" w:hAnsi="Times New Roman" w:eastAsiaTheme="minorEastAsia"/>
          <w:smallCaps/>
          <w:color w:val="auto"/>
          <w:w w:val="99"/>
          <w:kern w:val="2"/>
          <w:szCs w:val="24"/>
          <w:highlight w:val="none"/>
        </w:rPr>
        <w:fldChar w:fldCharType="end"/>
      </w:r>
    </w:p>
    <w:p w14:paraId="06791EB9">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_Toc17645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9.3环境影响分析和污染防治措施可行性结论</w:t>
      </w:r>
      <w:r>
        <w:tab/>
      </w:r>
      <w:r>
        <w:fldChar w:fldCharType="begin"/>
      </w:r>
      <w:r>
        <w:instrText xml:space="preserve"> PAGEREF _Toc17645 \h </w:instrText>
      </w:r>
      <w:r>
        <w:fldChar w:fldCharType="separate"/>
      </w:r>
      <w:r>
        <w:t>267</w:t>
      </w:r>
      <w:r>
        <w:fldChar w:fldCharType="end"/>
      </w:r>
      <w:r>
        <w:rPr>
          <w:rFonts w:ascii="Times New Roman" w:hAnsi="Times New Roman" w:eastAsiaTheme="minorEastAsia"/>
          <w:smallCaps/>
          <w:color w:val="auto"/>
          <w:w w:val="99"/>
          <w:kern w:val="2"/>
          <w:szCs w:val="24"/>
          <w:highlight w:val="none"/>
        </w:rPr>
        <w:fldChar w:fldCharType="end"/>
      </w:r>
    </w:p>
    <w:p w14:paraId="7A3CE705">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_Toc16558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9.4公众意见采纳情况</w:t>
      </w:r>
      <w:r>
        <w:tab/>
      </w:r>
      <w:r>
        <w:fldChar w:fldCharType="begin"/>
      </w:r>
      <w:r>
        <w:instrText xml:space="preserve"> PAGEREF _Toc16558 \h </w:instrText>
      </w:r>
      <w:r>
        <w:fldChar w:fldCharType="separate"/>
      </w:r>
      <w:r>
        <w:t>269</w:t>
      </w:r>
      <w:r>
        <w:fldChar w:fldCharType="end"/>
      </w:r>
      <w:r>
        <w:rPr>
          <w:rFonts w:ascii="Times New Roman" w:hAnsi="Times New Roman" w:eastAsiaTheme="minorEastAsia"/>
          <w:smallCaps/>
          <w:color w:val="auto"/>
          <w:w w:val="99"/>
          <w:kern w:val="2"/>
          <w:szCs w:val="24"/>
          <w:highlight w:val="none"/>
        </w:rPr>
        <w:fldChar w:fldCharType="end"/>
      </w:r>
    </w:p>
    <w:p w14:paraId="51420302">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_Toc7572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9.5环境经济损益分析结论</w:t>
      </w:r>
      <w:r>
        <w:tab/>
      </w:r>
      <w:r>
        <w:fldChar w:fldCharType="begin"/>
      </w:r>
      <w:r>
        <w:instrText xml:space="preserve"> PAGEREF _Toc7572 \h </w:instrText>
      </w:r>
      <w:r>
        <w:fldChar w:fldCharType="separate"/>
      </w:r>
      <w:r>
        <w:t>270</w:t>
      </w:r>
      <w:r>
        <w:fldChar w:fldCharType="end"/>
      </w:r>
      <w:r>
        <w:rPr>
          <w:rFonts w:ascii="Times New Roman" w:hAnsi="Times New Roman" w:eastAsiaTheme="minorEastAsia"/>
          <w:smallCaps/>
          <w:color w:val="auto"/>
          <w:w w:val="99"/>
          <w:kern w:val="2"/>
          <w:szCs w:val="24"/>
          <w:highlight w:val="none"/>
        </w:rPr>
        <w:fldChar w:fldCharType="end"/>
      </w:r>
    </w:p>
    <w:p w14:paraId="31B1EEA8">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_Toc1238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9.6环境管理与监测计划结论</w:t>
      </w:r>
      <w:r>
        <w:tab/>
      </w:r>
      <w:r>
        <w:fldChar w:fldCharType="begin"/>
      </w:r>
      <w:r>
        <w:instrText xml:space="preserve"> PAGEREF _Toc1238 \h </w:instrText>
      </w:r>
      <w:r>
        <w:fldChar w:fldCharType="separate"/>
      </w:r>
      <w:r>
        <w:t>270</w:t>
      </w:r>
      <w:r>
        <w:fldChar w:fldCharType="end"/>
      </w:r>
      <w:r>
        <w:rPr>
          <w:rFonts w:ascii="Times New Roman" w:hAnsi="Times New Roman" w:eastAsiaTheme="minorEastAsia"/>
          <w:smallCaps/>
          <w:color w:val="auto"/>
          <w:w w:val="99"/>
          <w:kern w:val="2"/>
          <w:szCs w:val="24"/>
          <w:highlight w:val="none"/>
        </w:rPr>
        <w:fldChar w:fldCharType="end"/>
      </w:r>
    </w:p>
    <w:p w14:paraId="1030B788">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_Toc18910 </w:instrText>
      </w:r>
      <w:r>
        <w:rPr>
          <w:rFonts w:ascii="Times New Roman" w:hAnsi="Times New Roman" w:eastAsiaTheme="minorEastAsia"/>
          <w:smallCaps/>
          <w:w w:val="99"/>
          <w:kern w:val="2"/>
          <w:szCs w:val="24"/>
          <w:highlight w:val="none"/>
        </w:rPr>
        <w:fldChar w:fldCharType="separate"/>
      </w:r>
      <w:r>
        <w:rPr>
          <w:rFonts w:ascii="Times New Roman" w:hAnsi="Times New Roman" w:eastAsiaTheme="minorEastAsia"/>
          <w:snapToGrid w:val="0"/>
          <w:w w:val="99"/>
          <w:highlight w:val="none"/>
        </w:rPr>
        <w:t>9.7综合评价结论</w:t>
      </w:r>
      <w:r>
        <w:tab/>
      </w:r>
      <w:r>
        <w:fldChar w:fldCharType="begin"/>
      </w:r>
      <w:r>
        <w:instrText xml:space="preserve"> PAGEREF _Toc18910 \h </w:instrText>
      </w:r>
      <w:r>
        <w:fldChar w:fldCharType="separate"/>
      </w:r>
      <w:r>
        <w:t>270</w:t>
      </w:r>
      <w:r>
        <w:fldChar w:fldCharType="end"/>
      </w:r>
      <w:r>
        <w:rPr>
          <w:rFonts w:ascii="Times New Roman" w:hAnsi="Times New Roman" w:eastAsiaTheme="minorEastAsia"/>
          <w:smallCaps/>
          <w:color w:val="auto"/>
          <w:w w:val="99"/>
          <w:kern w:val="2"/>
          <w:szCs w:val="24"/>
          <w:highlight w:val="none"/>
        </w:rPr>
        <w:fldChar w:fldCharType="end"/>
      </w:r>
    </w:p>
    <w:p w14:paraId="48167518">
      <w:pPr>
        <w:pStyle w:val="54"/>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_Toc27719 </w:instrText>
      </w:r>
      <w:r>
        <w:rPr>
          <w:rFonts w:ascii="Times New Roman" w:hAnsi="Times New Roman" w:eastAsiaTheme="minorEastAsia"/>
          <w:smallCaps/>
          <w:w w:val="99"/>
          <w:kern w:val="2"/>
          <w:szCs w:val="24"/>
          <w:highlight w:val="none"/>
        </w:rPr>
        <w:fldChar w:fldCharType="separate"/>
      </w:r>
      <w:r>
        <w:rPr>
          <w:rFonts w:hint="eastAsia" w:ascii="Times New Roman" w:hAnsi="Times New Roman" w:eastAsia="宋体" w:cs="Times New Roman"/>
          <w:w w:val="99"/>
          <w:kern w:val="0"/>
          <w:szCs w:val="24"/>
          <w:highlight w:val="none"/>
          <w:lang w:val="en-US" w:eastAsia="zh-CN" w:bidi="zh-CN"/>
        </w:rPr>
        <w:t>附表</w:t>
      </w:r>
      <w:r>
        <w:tab/>
      </w:r>
      <w:r>
        <w:fldChar w:fldCharType="begin"/>
      </w:r>
      <w:r>
        <w:instrText xml:space="preserve"> PAGEREF _Toc27719 \h </w:instrText>
      </w:r>
      <w:r>
        <w:fldChar w:fldCharType="separate"/>
      </w:r>
      <w:r>
        <w:t>271</w:t>
      </w:r>
      <w:r>
        <w:fldChar w:fldCharType="end"/>
      </w:r>
      <w:r>
        <w:rPr>
          <w:rFonts w:ascii="Times New Roman" w:hAnsi="Times New Roman" w:eastAsiaTheme="minorEastAsia"/>
          <w:smallCaps/>
          <w:color w:val="auto"/>
          <w:w w:val="99"/>
          <w:kern w:val="2"/>
          <w:szCs w:val="24"/>
          <w:highlight w:val="none"/>
        </w:rPr>
        <w:fldChar w:fldCharType="end"/>
      </w:r>
    </w:p>
    <w:p w14:paraId="557E958A">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_Toc19130 </w:instrText>
      </w:r>
      <w:r>
        <w:rPr>
          <w:rFonts w:ascii="Times New Roman" w:hAnsi="Times New Roman" w:eastAsiaTheme="minorEastAsia"/>
          <w:smallCaps/>
          <w:w w:val="99"/>
          <w:kern w:val="2"/>
          <w:szCs w:val="24"/>
          <w:highlight w:val="none"/>
        </w:rPr>
        <w:fldChar w:fldCharType="separate"/>
      </w:r>
      <w:r>
        <w:rPr>
          <w:rFonts w:hint="eastAsia" w:ascii="Times New Roman" w:hAnsi="Times New Roman" w:eastAsia="宋体" w:cs="Times New Roman"/>
          <w:w w:val="99"/>
          <w:kern w:val="0"/>
          <w:szCs w:val="24"/>
          <w:highlight w:val="none"/>
          <w:lang w:val="en-US" w:eastAsia="zh-CN" w:bidi="zh-CN"/>
        </w:rPr>
        <w:t>附表1：建设项目大气环境影响评价自查表</w:t>
      </w:r>
      <w:r>
        <w:tab/>
      </w:r>
      <w:r>
        <w:fldChar w:fldCharType="begin"/>
      </w:r>
      <w:r>
        <w:instrText xml:space="preserve"> PAGEREF _Toc19130 \h </w:instrText>
      </w:r>
      <w:r>
        <w:fldChar w:fldCharType="separate"/>
      </w:r>
      <w:r>
        <w:t>271</w:t>
      </w:r>
      <w:r>
        <w:fldChar w:fldCharType="end"/>
      </w:r>
      <w:r>
        <w:rPr>
          <w:rFonts w:ascii="Times New Roman" w:hAnsi="Times New Roman" w:eastAsiaTheme="minorEastAsia"/>
          <w:smallCaps/>
          <w:color w:val="auto"/>
          <w:w w:val="99"/>
          <w:kern w:val="2"/>
          <w:szCs w:val="24"/>
          <w:highlight w:val="none"/>
        </w:rPr>
        <w:fldChar w:fldCharType="end"/>
      </w:r>
    </w:p>
    <w:p w14:paraId="0448B8E2">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_Toc20425 </w:instrText>
      </w:r>
      <w:r>
        <w:rPr>
          <w:rFonts w:ascii="Times New Roman" w:hAnsi="Times New Roman" w:eastAsiaTheme="minorEastAsia"/>
          <w:smallCaps/>
          <w:w w:val="99"/>
          <w:kern w:val="2"/>
          <w:szCs w:val="24"/>
          <w:highlight w:val="none"/>
        </w:rPr>
        <w:fldChar w:fldCharType="separate"/>
      </w:r>
      <w:r>
        <w:rPr>
          <w:rFonts w:hint="eastAsia" w:ascii="Times New Roman" w:hAnsi="Times New Roman" w:eastAsia="宋体" w:cs="Times New Roman"/>
          <w:w w:val="99"/>
          <w:kern w:val="0"/>
          <w:szCs w:val="24"/>
          <w:highlight w:val="none"/>
          <w:lang w:val="en-US" w:eastAsia="zh-CN" w:bidi="zh-CN"/>
        </w:rPr>
        <w:t>附表2：建设项目环境风险评价自查表</w:t>
      </w:r>
      <w:r>
        <w:tab/>
      </w:r>
      <w:r>
        <w:fldChar w:fldCharType="begin"/>
      </w:r>
      <w:r>
        <w:instrText xml:space="preserve"> PAGEREF _Toc20425 \h </w:instrText>
      </w:r>
      <w:r>
        <w:fldChar w:fldCharType="separate"/>
      </w:r>
      <w:r>
        <w:t>272</w:t>
      </w:r>
      <w:r>
        <w:fldChar w:fldCharType="end"/>
      </w:r>
      <w:r>
        <w:rPr>
          <w:rFonts w:ascii="Times New Roman" w:hAnsi="Times New Roman" w:eastAsiaTheme="minorEastAsia"/>
          <w:smallCaps/>
          <w:color w:val="auto"/>
          <w:w w:val="99"/>
          <w:kern w:val="2"/>
          <w:szCs w:val="24"/>
          <w:highlight w:val="none"/>
        </w:rPr>
        <w:fldChar w:fldCharType="end"/>
      </w:r>
    </w:p>
    <w:p w14:paraId="141F7C93">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_Toc19222 </w:instrText>
      </w:r>
      <w:r>
        <w:rPr>
          <w:rFonts w:ascii="Times New Roman" w:hAnsi="Times New Roman" w:eastAsiaTheme="minorEastAsia"/>
          <w:smallCaps/>
          <w:w w:val="99"/>
          <w:kern w:val="2"/>
          <w:szCs w:val="24"/>
          <w:highlight w:val="none"/>
        </w:rPr>
        <w:fldChar w:fldCharType="separate"/>
      </w:r>
      <w:r>
        <w:rPr>
          <w:rFonts w:hint="eastAsia" w:ascii="Times New Roman" w:hAnsi="Times New Roman" w:eastAsia="宋体" w:cs="Times New Roman"/>
          <w:w w:val="99"/>
          <w:kern w:val="0"/>
          <w:szCs w:val="24"/>
          <w:highlight w:val="none"/>
          <w:lang w:val="en-US" w:eastAsia="zh-CN" w:bidi="zh-CN"/>
        </w:rPr>
        <w:t>附表3：建设项目土壤环境影响评价自查表</w:t>
      </w:r>
      <w:r>
        <w:tab/>
      </w:r>
      <w:r>
        <w:fldChar w:fldCharType="begin"/>
      </w:r>
      <w:r>
        <w:instrText xml:space="preserve"> PAGEREF _Toc19222 \h </w:instrText>
      </w:r>
      <w:r>
        <w:fldChar w:fldCharType="separate"/>
      </w:r>
      <w:r>
        <w:t>273</w:t>
      </w:r>
      <w:r>
        <w:fldChar w:fldCharType="end"/>
      </w:r>
      <w:r>
        <w:rPr>
          <w:rFonts w:ascii="Times New Roman" w:hAnsi="Times New Roman" w:eastAsiaTheme="minorEastAsia"/>
          <w:smallCaps/>
          <w:color w:val="auto"/>
          <w:w w:val="99"/>
          <w:kern w:val="2"/>
          <w:szCs w:val="24"/>
          <w:highlight w:val="none"/>
        </w:rPr>
        <w:fldChar w:fldCharType="end"/>
      </w:r>
    </w:p>
    <w:p w14:paraId="6BC6B954">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_Toc13999 </w:instrText>
      </w:r>
      <w:r>
        <w:rPr>
          <w:rFonts w:ascii="Times New Roman" w:hAnsi="Times New Roman" w:eastAsiaTheme="minorEastAsia"/>
          <w:smallCaps/>
          <w:w w:val="99"/>
          <w:kern w:val="2"/>
          <w:szCs w:val="24"/>
          <w:highlight w:val="none"/>
        </w:rPr>
        <w:fldChar w:fldCharType="separate"/>
      </w:r>
      <w:r>
        <w:rPr>
          <w:rFonts w:hint="eastAsia" w:ascii="Times New Roman" w:hAnsi="Times New Roman" w:eastAsia="宋体" w:cs="Times New Roman"/>
          <w:w w:val="99"/>
          <w:kern w:val="0"/>
          <w:szCs w:val="24"/>
          <w:highlight w:val="none"/>
          <w:lang w:val="en-US" w:eastAsia="zh-CN" w:bidi="zh-CN"/>
        </w:rPr>
        <w:t>附表4：地表水自查表</w:t>
      </w:r>
      <w:r>
        <w:tab/>
      </w:r>
      <w:r>
        <w:fldChar w:fldCharType="begin"/>
      </w:r>
      <w:r>
        <w:instrText xml:space="preserve"> PAGEREF _Toc13999 \h </w:instrText>
      </w:r>
      <w:r>
        <w:fldChar w:fldCharType="separate"/>
      </w:r>
      <w:r>
        <w:t>274</w:t>
      </w:r>
      <w:r>
        <w:fldChar w:fldCharType="end"/>
      </w:r>
      <w:r>
        <w:rPr>
          <w:rFonts w:ascii="Times New Roman" w:hAnsi="Times New Roman" w:eastAsiaTheme="minorEastAsia"/>
          <w:smallCaps/>
          <w:color w:val="auto"/>
          <w:w w:val="99"/>
          <w:kern w:val="2"/>
          <w:szCs w:val="24"/>
          <w:highlight w:val="none"/>
        </w:rPr>
        <w:fldChar w:fldCharType="end"/>
      </w:r>
    </w:p>
    <w:p w14:paraId="482174D7">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_Toc9364 </w:instrText>
      </w:r>
      <w:r>
        <w:rPr>
          <w:rFonts w:ascii="Times New Roman" w:hAnsi="Times New Roman" w:eastAsiaTheme="minorEastAsia"/>
          <w:smallCaps/>
          <w:w w:val="99"/>
          <w:kern w:val="2"/>
          <w:szCs w:val="24"/>
          <w:highlight w:val="none"/>
        </w:rPr>
        <w:fldChar w:fldCharType="separate"/>
      </w:r>
      <w:r>
        <w:rPr>
          <w:rFonts w:hint="eastAsia" w:ascii="Times New Roman" w:hAnsi="Times New Roman" w:eastAsia="宋体" w:cs="Times New Roman"/>
          <w:w w:val="99"/>
          <w:kern w:val="0"/>
          <w:szCs w:val="24"/>
          <w:highlight w:val="none"/>
          <w:lang w:val="en-US" w:eastAsia="zh-CN" w:bidi="zh-CN"/>
        </w:rPr>
        <w:t>附表5：生态影响评价自查表</w:t>
      </w:r>
      <w:r>
        <w:tab/>
      </w:r>
      <w:r>
        <w:fldChar w:fldCharType="begin"/>
      </w:r>
      <w:r>
        <w:instrText xml:space="preserve"> PAGEREF _Toc9364 \h </w:instrText>
      </w:r>
      <w:r>
        <w:fldChar w:fldCharType="separate"/>
      </w:r>
      <w:r>
        <w:t>276</w:t>
      </w:r>
      <w:r>
        <w:fldChar w:fldCharType="end"/>
      </w:r>
      <w:r>
        <w:rPr>
          <w:rFonts w:ascii="Times New Roman" w:hAnsi="Times New Roman" w:eastAsiaTheme="minorEastAsia"/>
          <w:smallCaps/>
          <w:color w:val="auto"/>
          <w:w w:val="99"/>
          <w:kern w:val="2"/>
          <w:szCs w:val="24"/>
          <w:highlight w:val="none"/>
        </w:rPr>
        <w:fldChar w:fldCharType="end"/>
      </w:r>
    </w:p>
    <w:p w14:paraId="4DDADCB5">
      <w:pPr>
        <w:pStyle w:val="66"/>
        <w:tabs>
          <w:tab w:val="right" w:leader="dot" w:pos="9070"/>
        </w:tabs>
      </w:pPr>
      <w:r>
        <w:rPr>
          <w:rFonts w:ascii="Times New Roman" w:hAnsi="Times New Roman" w:eastAsiaTheme="minorEastAsia"/>
          <w:smallCaps/>
          <w:color w:val="auto"/>
          <w:w w:val="99"/>
          <w:kern w:val="2"/>
          <w:szCs w:val="24"/>
          <w:highlight w:val="none"/>
        </w:rPr>
        <w:fldChar w:fldCharType="begin"/>
      </w:r>
      <w:r>
        <w:rPr>
          <w:rFonts w:ascii="Times New Roman" w:hAnsi="Times New Roman" w:eastAsiaTheme="minorEastAsia"/>
          <w:smallCaps/>
          <w:w w:val="99"/>
          <w:kern w:val="2"/>
          <w:szCs w:val="24"/>
          <w:highlight w:val="none"/>
        </w:rPr>
        <w:instrText xml:space="preserve"> HYPERLINK \l _Toc11592 </w:instrText>
      </w:r>
      <w:r>
        <w:rPr>
          <w:rFonts w:ascii="Times New Roman" w:hAnsi="Times New Roman" w:eastAsiaTheme="minorEastAsia"/>
          <w:smallCaps/>
          <w:w w:val="99"/>
          <w:kern w:val="2"/>
          <w:szCs w:val="24"/>
          <w:highlight w:val="none"/>
        </w:rPr>
        <w:fldChar w:fldCharType="separate"/>
      </w:r>
      <w:r>
        <w:rPr>
          <w:rFonts w:hint="eastAsia" w:ascii="Times New Roman" w:hAnsi="Times New Roman" w:eastAsia="宋体" w:cs="Times New Roman"/>
          <w:w w:val="99"/>
          <w:kern w:val="0"/>
          <w:szCs w:val="24"/>
          <w:highlight w:val="none"/>
          <w:lang w:val="en-US" w:eastAsia="zh-CN" w:bidi="zh-CN"/>
        </w:rPr>
        <w:t>附表6：声环境影响评价自查表</w:t>
      </w:r>
      <w:r>
        <w:tab/>
      </w:r>
      <w:r>
        <w:fldChar w:fldCharType="begin"/>
      </w:r>
      <w:r>
        <w:instrText xml:space="preserve"> PAGEREF _Toc11592 \h </w:instrText>
      </w:r>
      <w:r>
        <w:fldChar w:fldCharType="separate"/>
      </w:r>
      <w:r>
        <w:t>277</w:t>
      </w:r>
      <w:r>
        <w:fldChar w:fldCharType="end"/>
      </w:r>
      <w:r>
        <w:rPr>
          <w:rFonts w:ascii="Times New Roman" w:hAnsi="Times New Roman" w:eastAsiaTheme="minorEastAsia"/>
          <w:smallCaps/>
          <w:color w:val="auto"/>
          <w:w w:val="99"/>
          <w:kern w:val="2"/>
          <w:szCs w:val="24"/>
          <w:highlight w:val="none"/>
        </w:rPr>
        <w:fldChar w:fldCharType="end"/>
      </w:r>
    </w:p>
    <w:p w14:paraId="1A554F3E">
      <w:pPr>
        <w:pStyle w:val="54"/>
        <w:keepNext w:val="0"/>
        <w:keepLines w:val="0"/>
        <w:pageBreakBefore w:val="0"/>
        <w:widowControl/>
        <w:tabs>
          <w:tab w:val="left" w:pos="629"/>
        </w:tabs>
        <w:kinsoku/>
        <w:wordWrap/>
        <w:overflowPunct/>
        <w:topLinePunct w:val="0"/>
        <w:autoSpaceDE/>
        <w:autoSpaceDN/>
        <w:bidi w:val="0"/>
        <w:adjustRightInd/>
        <w:snapToGrid/>
        <w:spacing w:before="0" w:after="0" w:line="440" w:lineRule="exact"/>
        <w:textAlignment w:val="auto"/>
        <w:outlineLvl w:val="9"/>
        <w:rPr>
          <w:rFonts w:hint="eastAsia" w:ascii="Times New Roman" w:hAnsi="Times New Roman" w:eastAsia="宋体" w:cs="Times New Roman"/>
          <w:b/>
          <w:caps/>
          <w:color w:val="auto"/>
          <w:w w:val="99"/>
          <w:kern w:val="0"/>
          <w:sz w:val="20"/>
          <w:szCs w:val="24"/>
          <w:highlight w:val="none"/>
          <w:lang w:val="en-US" w:eastAsia="zh-CN" w:bidi="zh-CN"/>
        </w:rPr>
      </w:pPr>
      <w:r>
        <w:rPr>
          <w:rFonts w:ascii="Times New Roman" w:hAnsi="Times New Roman" w:eastAsiaTheme="minorEastAsia"/>
          <w:smallCaps/>
          <w:color w:val="auto"/>
          <w:w w:val="99"/>
          <w:kern w:val="2"/>
          <w:szCs w:val="24"/>
          <w:highlight w:val="none"/>
        </w:rPr>
        <w:fldChar w:fldCharType="end"/>
      </w:r>
      <w:r>
        <w:rPr>
          <w:rFonts w:hint="eastAsia" w:ascii="Times New Roman" w:hAnsi="Times New Roman" w:eastAsia="宋体" w:cs="Times New Roman"/>
          <w:b/>
          <w:caps/>
          <w:color w:val="auto"/>
          <w:w w:val="99"/>
          <w:kern w:val="0"/>
          <w:sz w:val="20"/>
          <w:szCs w:val="24"/>
          <w:highlight w:val="none"/>
          <w:lang w:val="en-US" w:eastAsia="zh-CN" w:bidi="zh-CN"/>
        </w:rPr>
        <w:t>附图</w:t>
      </w:r>
    </w:p>
    <w:p w14:paraId="0ED27869">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附图1：地理位置</w:t>
      </w:r>
      <w:r>
        <w:rPr>
          <w:rFonts w:hint="eastAsia" w:ascii="Times New Roman" w:hAnsi="Times New Roman" w:cs="Times New Roman"/>
          <w:smallCaps/>
          <w:color w:val="auto"/>
          <w:w w:val="99"/>
          <w:kern w:val="0"/>
          <w:sz w:val="20"/>
          <w:szCs w:val="24"/>
          <w:highlight w:val="none"/>
          <w:lang w:val="en-US" w:eastAsia="zh-CN" w:bidi="zh-CN"/>
        </w:rPr>
        <w:t>图</w:t>
      </w:r>
    </w:p>
    <w:p w14:paraId="53302CBF">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附图2：平面布置图</w:t>
      </w:r>
    </w:p>
    <w:p w14:paraId="13220867">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附图3：</w:t>
      </w:r>
      <w:r>
        <w:rPr>
          <w:rFonts w:hint="eastAsia" w:ascii="Times New Roman" w:hAnsi="Times New Roman" w:eastAsia="宋体" w:cs="Times New Roman"/>
          <w:smallCaps/>
          <w:color w:val="auto"/>
          <w:w w:val="99"/>
          <w:kern w:val="0"/>
          <w:sz w:val="20"/>
          <w:szCs w:val="24"/>
          <w:highlight w:val="none"/>
          <w:lang w:val="en" w:eastAsia="zh-CN" w:bidi="zh-CN"/>
        </w:rPr>
        <w:t>项目</w:t>
      </w:r>
      <w:r>
        <w:rPr>
          <w:rFonts w:hint="eastAsia" w:ascii="Times New Roman" w:hAnsi="Times New Roman" w:eastAsia="宋体" w:cs="Times New Roman"/>
          <w:smallCaps/>
          <w:color w:val="auto"/>
          <w:w w:val="99"/>
          <w:kern w:val="0"/>
          <w:sz w:val="20"/>
          <w:szCs w:val="24"/>
          <w:highlight w:val="none"/>
          <w:lang w:val="en-US" w:eastAsia="zh-CN" w:bidi="zh-CN"/>
        </w:rPr>
        <w:t>与</w:t>
      </w:r>
      <w:r>
        <w:rPr>
          <w:rFonts w:hint="eastAsia" w:ascii="Times New Roman" w:hAnsi="Times New Roman" w:cs="Times New Roman"/>
          <w:smallCaps/>
          <w:color w:val="auto"/>
          <w:w w:val="99"/>
          <w:kern w:val="0"/>
          <w:sz w:val="20"/>
          <w:szCs w:val="24"/>
          <w:highlight w:val="none"/>
          <w:lang w:val="en-US" w:eastAsia="zh-CN" w:bidi="zh-CN"/>
        </w:rPr>
        <w:t>绥化市</w:t>
      </w:r>
      <w:r>
        <w:rPr>
          <w:rFonts w:hint="eastAsia" w:ascii="Times New Roman" w:hAnsi="Times New Roman" w:eastAsia="宋体" w:cs="Times New Roman"/>
          <w:smallCaps/>
          <w:color w:val="auto"/>
          <w:w w:val="99"/>
          <w:kern w:val="0"/>
          <w:sz w:val="20"/>
          <w:szCs w:val="24"/>
          <w:highlight w:val="none"/>
          <w:lang w:val="en" w:eastAsia="zh-CN" w:bidi="zh-CN"/>
        </w:rPr>
        <w:t>水土保持</w:t>
      </w:r>
      <w:r>
        <w:rPr>
          <w:rFonts w:hint="eastAsia" w:ascii="Times New Roman" w:hAnsi="Times New Roman" w:cs="Times New Roman"/>
          <w:smallCaps/>
          <w:color w:val="auto"/>
          <w:w w:val="99"/>
          <w:kern w:val="0"/>
          <w:sz w:val="20"/>
          <w:szCs w:val="24"/>
          <w:highlight w:val="none"/>
          <w:lang w:val="en-US" w:eastAsia="zh-CN" w:bidi="zh-CN"/>
        </w:rPr>
        <w:t>规划</w:t>
      </w:r>
      <w:r>
        <w:rPr>
          <w:rFonts w:hint="eastAsia" w:ascii="Times New Roman" w:hAnsi="Times New Roman" w:eastAsia="宋体" w:cs="Times New Roman"/>
          <w:smallCaps/>
          <w:color w:val="auto"/>
          <w:w w:val="99"/>
          <w:kern w:val="0"/>
          <w:sz w:val="20"/>
          <w:szCs w:val="24"/>
          <w:highlight w:val="none"/>
          <w:lang w:val="en" w:eastAsia="zh-CN" w:bidi="zh-CN"/>
        </w:rPr>
        <w:t>位置关系</w:t>
      </w:r>
    </w:p>
    <w:p w14:paraId="5C377FBE">
      <w:pPr>
        <w:keepNext w:val="0"/>
        <w:keepLines w:val="0"/>
        <w:pageBreakBefore w:val="0"/>
        <w:widowControl/>
        <w:kinsoku/>
        <w:wordWrap/>
        <w:overflowPunct/>
        <w:topLinePunct w:val="0"/>
        <w:autoSpaceDE/>
        <w:autoSpaceDN/>
        <w:bidi w:val="0"/>
        <w:adjustRightInd/>
        <w:snapToGrid/>
        <w:jc w:val="left"/>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附图4：本项目与黑龙江省环境管控单元位置关系</w:t>
      </w:r>
    </w:p>
    <w:p w14:paraId="7EDEAB01">
      <w:pPr>
        <w:keepNext w:val="0"/>
        <w:keepLines w:val="0"/>
        <w:pageBreakBefore w:val="0"/>
        <w:widowControl/>
        <w:kinsoku/>
        <w:wordWrap/>
        <w:overflowPunct/>
        <w:topLinePunct w:val="0"/>
        <w:autoSpaceDE/>
        <w:autoSpaceDN/>
        <w:bidi w:val="0"/>
        <w:adjustRightInd/>
        <w:snapToGrid/>
        <w:jc w:val="left"/>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附图5：本项目与生态保护红线的位置关系</w:t>
      </w:r>
    </w:p>
    <w:p w14:paraId="5B1D7620">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附图6-1：大气、环境风险评价范围、保护目标及现状监测点位分布图</w:t>
      </w:r>
    </w:p>
    <w:p w14:paraId="35D0FA63">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附图6-2：地下水、地表水评价范围及现状监测点位分布图</w:t>
      </w:r>
    </w:p>
    <w:p w14:paraId="337E18B5">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附图6-3：声环境</w:t>
      </w:r>
      <w:r>
        <w:rPr>
          <w:rFonts w:hint="eastAsia" w:ascii="Times New Roman" w:hAnsi="Times New Roman" w:cs="Times New Roman"/>
          <w:smallCaps/>
          <w:color w:val="auto"/>
          <w:w w:val="99"/>
          <w:kern w:val="0"/>
          <w:sz w:val="20"/>
          <w:szCs w:val="24"/>
          <w:highlight w:val="none"/>
          <w:lang w:val="en-US" w:eastAsia="zh-CN" w:bidi="zh-CN"/>
        </w:rPr>
        <w:t>、土壤环境</w:t>
      </w:r>
      <w:r>
        <w:rPr>
          <w:rFonts w:hint="eastAsia" w:ascii="Times New Roman" w:hAnsi="Times New Roman" w:eastAsia="宋体" w:cs="Times New Roman"/>
          <w:smallCaps/>
          <w:color w:val="auto"/>
          <w:w w:val="99"/>
          <w:kern w:val="0"/>
          <w:sz w:val="20"/>
          <w:szCs w:val="24"/>
          <w:highlight w:val="none"/>
          <w:lang w:val="en-US" w:eastAsia="zh-CN" w:bidi="zh-CN"/>
        </w:rPr>
        <w:t>评价范围及现状监测点位分布图</w:t>
      </w:r>
    </w:p>
    <w:p w14:paraId="12812186">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附图6-</w:t>
      </w:r>
      <w:r>
        <w:rPr>
          <w:rFonts w:hint="eastAsia" w:ascii="Times New Roman" w:hAnsi="Times New Roman" w:cs="Times New Roman"/>
          <w:smallCaps/>
          <w:color w:val="auto"/>
          <w:w w:val="99"/>
          <w:kern w:val="0"/>
          <w:sz w:val="20"/>
          <w:szCs w:val="24"/>
          <w:highlight w:val="none"/>
          <w:lang w:val="en-US" w:eastAsia="zh-CN" w:bidi="zh-CN"/>
        </w:rPr>
        <w:t>4</w:t>
      </w:r>
      <w:r>
        <w:rPr>
          <w:rFonts w:hint="eastAsia" w:ascii="Times New Roman" w:hAnsi="Times New Roman" w:eastAsia="宋体" w:cs="Times New Roman"/>
          <w:smallCaps/>
          <w:color w:val="auto"/>
          <w:w w:val="99"/>
          <w:kern w:val="0"/>
          <w:sz w:val="20"/>
          <w:szCs w:val="24"/>
          <w:highlight w:val="none"/>
          <w:lang w:val="en-US" w:eastAsia="zh-CN" w:bidi="zh-CN"/>
        </w:rPr>
        <w:t>：生态评价范围图</w:t>
      </w:r>
    </w:p>
    <w:p w14:paraId="2F6409D5">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w:t>
      </w:r>
      <w:r>
        <w:rPr>
          <w:rFonts w:hint="eastAsia" w:ascii="Times New Roman" w:hAnsi="Times New Roman" w:cs="Times New Roman"/>
          <w:smallCaps/>
          <w:color w:val="auto"/>
          <w:w w:val="99"/>
          <w:kern w:val="0"/>
          <w:sz w:val="20"/>
          <w:szCs w:val="24"/>
          <w:highlight w:val="none"/>
          <w:lang w:val="en-US" w:eastAsia="zh-CN" w:bidi="zh-CN"/>
        </w:rPr>
        <w:t>7-1</w:t>
      </w:r>
      <w:r>
        <w:rPr>
          <w:rFonts w:hint="eastAsia" w:ascii="Times New Roman" w:hAnsi="Times New Roman" w:eastAsia="宋体" w:cs="Times New Roman"/>
          <w:smallCaps/>
          <w:color w:val="auto"/>
          <w:w w:val="99"/>
          <w:kern w:val="0"/>
          <w:sz w:val="20"/>
          <w:szCs w:val="24"/>
          <w:highlight w:val="none"/>
          <w:lang w:val="en-US" w:eastAsia="zh-CN" w:bidi="zh-CN"/>
        </w:rPr>
        <w:t>：运营期气井井场平面布置图</w:t>
      </w:r>
    </w:p>
    <w:p w14:paraId="3AEFEC84">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w:t>
      </w:r>
      <w:r>
        <w:rPr>
          <w:rFonts w:hint="eastAsia" w:ascii="Times New Roman" w:hAnsi="Times New Roman" w:cs="Times New Roman"/>
          <w:smallCaps/>
          <w:color w:val="auto"/>
          <w:w w:val="99"/>
          <w:kern w:val="0"/>
          <w:sz w:val="20"/>
          <w:szCs w:val="24"/>
          <w:highlight w:val="none"/>
          <w:lang w:val="en-US" w:eastAsia="zh-CN" w:bidi="zh-CN"/>
        </w:rPr>
        <w:t>7-2</w:t>
      </w:r>
      <w:r>
        <w:rPr>
          <w:rFonts w:hint="eastAsia" w:ascii="Times New Roman" w:hAnsi="Times New Roman" w:eastAsia="宋体" w:cs="Times New Roman"/>
          <w:smallCaps/>
          <w:color w:val="auto"/>
          <w:w w:val="99"/>
          <w:kern w:val="0"/>
          <w:sz w:val="20"/>
          <w:szCs w:val="24"/>
          <w:highlight w:val="none"/>
          <w:lang w:val="en-US" w:eastAsia="zh-CN" w:bidi="zh-CN"/>
        </w:rPr>
        <w:t>：徐深</w:t>
      </w:r>
      <w:r>
        <w:rPr>
          <w:rFonts w:hint="eastAsia" w:ascii="Times New Roman" w:hAnsi="Times New Roman" w:cs="Times New Roman"/>
          <w:smallCaps/>
          <w:color w:val="auto"/>
          <w:w w:val="99"/>
          <w:kern w:val="0"/>
          <w:sz w:val="20"/>
          <w:szCs w:val="24"/>
          <w:highlight w:val="none"/>
          <w:lang w:val="en-US" w:eastAsia="zh-CN" w:bidi="zh-CN"/>
        </w:rPr>
        <w:t>27</w:t>
      </w:r>
      <w:r>
        <w:rPr>
          <w:rFonts w:hint="eastAsia" w:ascii="Times New Roman" w:hAnsi="Times New Roman" w:eastAsia="宋体" w:cs="Times New Roman"/>
          <w:smallCaps/>
          <w:color w:val="auto"/>
          <w:w w:val="99"/>
          <w:kern w:val="0"/>
          <w:sz w:val="20"/>
          <w:szCs w:val="24"/>
          <w:highlight w:val="none"/>
          <w:lang w:val="en-US" w:eastAsia="zh-CN" w:bidi="zh-CN"/>
        </w:rPr>
        <w:t>集气站</w:t>
      </w:r>
      <w:r>
        <w:rPr>
          <w:rFonts w:hint="eastAsia" w:ascii="Times New Roman" w:hAnsi="Times New Roman" w:cs="Times New Roman"/>
          <w:smallCaps/>
          <w:color w:val="auto"/>
          <w:w w:val="99"/>
          <w:kern w:val="0"/>
          <w:sz w:val="20"/>
          <w:szCs w:val="24"/>
          <w:highlight w:val="none"/>
          <w:lang w:val="en-US" w:eastAsia="zh-CN" w:bidi="zh-CN"/>
        </w:rPr>
        <w:t>改</w:t>
      </w:r>
      <w:r>
        <w:rPr>
          <w:rFonts w:hint="eastAsia" w:ascii="Times New Roman" w:hAnsi="Times New Roman" w:eastAsia="宋体" w:cs="Times New Roman"/>
          <w:smallCaps/>
          <w:color w:val="auto"/>
          <w:w w:val="99"/>
          <w:kern w:val="0"/>
          <w:sz w:val="20"/>
          <w:szCs w:val="24"/>
          <w:highlight w:val="none"/>
          <w:lang w:val="en-US" w:eastAsia="zh-CN" w:bidi="zh-CN"/>
        </w:rPr>
        <w:t>建后平面布置图</w:t>
      </w:r>
    </w:p>
    <w:p w14:paraId="3E2F7673">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w:t>
      </w:r>
      <w:r>
        <w:rPr>
          <w:rFonts w:hint="eastAsia" w:ascii="Times New Roman" w:hAnsi="Times New Roman" w:cs="Times New Roman"/>
          <w:smallCaps/>
          <w:color w:val="auto"/>
          <w:w w:val="99"/>
          <w:kern w:val="0"/>
          <w:sz w:val="20"/>
          <w:szCs w:val="24"/>
          <w:highlight w:val="none"/>
          <w:lang w:val="en-US" w:eastAsia="zh-CN" w:bidi="zh-CN"/>
        </w:rPr>
        <w:t>8</w:t>
      </w:r>
      <w:r>
        <w:rPr>
          <w:rFonts w:hint="eastAsia" w:ascii="Times New Roman" w:hAnsi="Times New Roman" w:eastAsia="宋体" w:cs="Times New Roman"/>
          <w:smallCaps/>
          <w:color w:val="auto"/>
          <w:w w:val="99"/>
          <w:kern w:val="0"/>
          <w:sz w:val="20"/>
          <w:szCs w:val="24"/>
          <w:highlight w:val="none"/>
          <w:lang w:val="en-US" w:eastAsia="zh-CN" w:bidi="zh-CN"/>
        </w:rPr>
        <w:t>：本项目区域土壤类型分布图</w:t>
      </w:r>
    </w:p>
    <w:p w14:paraId="37217F66">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w:t>
      </w:r>
      <w:r>
        <w:rPr>
          <w:rFonts w:hint="eastAsia" w:ascii="Times New Roman" w:hAnsi="Times New Roman" w:cs="Times New Roman"/>
          <w:smallCaps/>
          <w:color w:val="auto"/>
          <w:w w:val="99"/>
          <w:kern w:val="0"/>
          <w:sz w:val="20"/>
          <w:szCs w:val="24"/>
          <w:highlight w:val="none"/>
          <w:lang w:val="en-US" w:eastAsia="zh-CN" w:bidi="zh-CN"/>
        </w:rPr>
        <w:t>9</w:t>
      </w:r>
      <w:r>
        <w:rPr>
          <w:rFonts w:hint="eastAsia" w:ascii="Times New Roman" w:hAnsi="Times New Roman" w:eastAsia="宋体" w:cs="Times New Roman"/>
          <w:smallCaps/>
          <w:color w:val="auto"/>
          <w:w w:val="99"/>
          <w:kern w:val="0"/>
          <w:sz w:val="20"/>
          <w:szCs w:val="24"/>
          <w:highlight w:val="none"/>
          <w:lang w:val="en-US" w:eastAsia="zh-CN" w:bidi="zh-CN"/>
        </w:rPr>
        <w:t>：土地利用现状图</w:t>
      </w:r>
    </w:p>
    <w:p w14:paraId="5379F0A4">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0</w:t>
      </w:r>
      <w:r>
        <w:rPr>
          <w:rFonts w:hint="eastAsia" w:ascii="Times New Roman" w:hAnsi="Times New Roman" w:eastAsia="宋体" w:cs="Times New Roman"/>
          <w:smallCaps/>
          <w:color w:val="auto"/>
          <w:w w:val="99"/>
          <w:kern w:val="0"/>
          <w:sz w:val="20"/>
          <w:szCs w:val="24"/>
          <w:highlight w:val="none"/>
          <w:lang w:val="en-US" w:eastAsia="zh-CN" w:bidi="zh-CN"/>
        </w:rPr>
        <w:t>：地下水及土壤跟踪监测点位图</w:t>
      </w:r>
    </w:p>
    <w:p w14:paraId="790C02BE">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1-1</w:t>
      </w:r>
      <w:r>
        <w:rPr>
          <w:rFonts w:hint="eastAsia" w:ascii="Times New Roman" w:hAnsi="Times New Roman" w:eastAsia="宋体" w:cs="Times New Roman"/>
          <w:smallCaps/>
          <w:color w:val="auto"/>
          <w:w w:val="99"/>
          <w:kern w:val="0"/>
          <w:sz w:val="20"/>
          <w:szCs w:val="24"/>
          <w:highlight w:val="none"/>
          <w:lang w:val="en-US" w:eastAsia="zh-CN" w:bidi="zh-CN"/>
        </w:rPr>
        <w:t>：运营期井场分区防渗图</w:t>
      </w:r>
    </w:p>
    <w:p w14:paraId="593895DC">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1-2</w:t>
      </w:r>
      <w:r>
        <w:rPr>
          <w:rFonts w:hint="eastAsia" w:ascii="Times New Roman" w:hAnsi="Times New Roman" w:eastAsia="宋体" w:cs="Times New Roman"/>
          <w:smallCaps/>
          <w:color w:val="auto"/>
          <w:w w:val="99"/>
          <w:kern w:val="0"/>
          <w:sz w:val="20"/>
          <w:szCs w:val="24"/>
          <w:highlight w:val="none"/>
          <w:lang w:val="en-US" w:eastAsia="zh-CN" w:bidi="zh-CN"/>
        </w:rPr>
        <w:t>：徐深</w:t>
      </w:r>
      <w:r>
        <w:rPr>
          <w:rFonts w:hint="eastAsia" w:ascii="Times New Roman" w:hAnsi="Times New Roman" w:cs="Times New Roman"/>
          <w:smallCaps/>
          <w:color w:val="auto"/>
          <w:w w:val="99"/>
          <w:kern w:val="0"/>
          <w:sz w:val="20"/>
          <w:szCs w:val="24"/>
          <w:highlight w:val="none"/>
          <w:lang w:val="en-US" w:eastAsia="zh-CN" w:bidi="zh-CN"/>
        </w:rPr>
        <w:t>27</w:t>
      </w:r>
      <w:r>
        <w:rPr>
          <w:rFonts w:hint="eastAsia" w:ascii="Times New Roman" w:hAnsi="Times New Roman" w:eastAsia="宋体" w:cs="Times New Roman"/>
          <w:smallCaps/>
          <w:color w:val="auto"/>
          <w:w w:val="99"/>
          <w:kern w:val="0"/>
          <w:sz w:val="20"/>
          <w:szCs w:val="24"/>
          <w:highlight w:val="none"/>
          <w:lang w:val="en-US" w:eastAsia="zh-CN" w:bidi="zh-CN"/>
        </w:rPr>
        <w:t>集气站本次新建内容分区防渗图</w:t>
      </w:r>
    </w:p>
    <w:p w14:paraId="34182A60">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2</w:t>
      </w:r>
      <w:r>
        <w:rPr>
          <w:rFonts w:hint="eastAsia" w:ascii="Times New Roman" w:hAnsi="Times New Roman" w:eastAsia="宋体" w:cs="Times New Roman"/>
          <w:smallCaps/>
          <w:color w:val="auto"/>
          <w:w w:val="99"/>
          <w:kern w:val="0"/>
          <w:sz w:val="20"/>
          <w:szCs w:val="24"/>
          <w:highlight w:val="none"/>
          <w:lang w:val="en-US" w:eastAsia="zh-CN" w:bidi="zh-CN"/>
        </w:rPr>
        <w:t>-1：典型生态保护措施平面布置</w:t>
      </w:r>
      <w:r>
        <w:rPr>
          <w:rFonts w:hint="eastAsia" w:ascii="Times New Roman" w:hAnsi="Times New Roman" w:cs="Times New Roman"/>
          <w:smallCaps/>
          <w:color w:val="auto"/>
          <w:w w:val="99"/>
          <w:kern w:val="0"/>
          <w:sz w:val="20"/>
          <w:szCs w:val="24"/>
          <w:highlight w:val="none"/>
          <w:lang w:val="en-US" w:eastAsia="zh-CN" w:bidi="zh-CN"/>
        </w:rPr>
        <w:t>图</w:t>
      </w:r>
    </w:p>
    <w:p w14:paraId="150CD6BA">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2</w:t>
      </w:r>
      <w:r>
        <w:rPr>
          <w:rFonts w:hint="eastAsia" w:ascii="Times New Roman" w:hAnsi="Times New Roman" w:eastAsia="宋体" w:cs="Times New Roman"/>
          <w:smallCaps/>
          <w:color w:val="auto"/>
          <w:w w:val="99"/>
          <w:kern w:val="0"/>
          <w:sz w:val="20"/>
          <w:szCs w:val="24"/>
          <w:highlight w:val="none"/>
          <w:lang w:val="en-US" w:eastAsia="zh-CN" w:bidi="zh-CN"/>
        </w:rPr>
        <w:t>-2：典型井场生态保护措施平面布置示意图</w:t>
      </w:r>
    </w:p>
    <w:p w14:paraId="20B796EA">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3</w:t>
      </w:r>
      <w:r>
        <w:rPr>
          <w:rFonts w:hint="eastAsia" w:ascii="Times New Roman" w:hAnsi="Times New Roman" w:eastAsia="宋体" w:cs="Times New Roman"/>
          <w:smallCaps/>
          <w:color w:val="auto"/>
          <w:w w:val="99"/>
          <w:kern w:val="0"/>
          <w:sz w:val="20"/>
          <w:szCs w:val="24"/>
          <w:highlight w:val="none"/>
          <w:lang w:val="en-US" w:eastAsia="zh-CN" w:bidi="zh-CN"/>
        </w:rPr>
        <w:t>：典型生态保护措施示意图</w:t>
      </w:r>
    </w:p>
    <w:p w14:paraId="28EA08D4">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4</w:t>
      </w:r>
      <w:r>
        <w:rPr>
          <w:rFonts w:hint="eastAsia" w:ascii="Times New Roman" w:hAnsi="Times New Roman" w:eastAsia="宋体" w:cs="Times New Roman"/>
          <w:smallCaps/>
          <w:color w:val="auto"/>
          <w:w w:val="99"/>
          <w:kern w:val="0"/>
          <w:sz w:val="20"/>
          <w:szCs w:val="24"/>
          <w:highlight w:val="none"/>
          <w:lang w:val="en-US" w:eastAsia="zh-CN" w:bidi="zh-CN"/>
        </w:rPr>
        <w:t>：与永久基本农田位置关系图</w:t>
      </w:r>
    </w:p>
    <w:p w14:paraId="36AC2B39">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5</w:t>
      </w:r>
      <w:r>
        <w:rPr>
          <w:rFonts w:hint="eastAsia" w:ascii="Times New Roman" w:hAnsi="Times New Roman" w:eastAsia="宋体" w:cs="Times New Roman"/>
          <w:smallCaps/>
          <w:color w:val="auto"/>
          <w:w w:val="99"/>
          <w:kern w:val="0"/>
          <w:sz w:val="20"/>
          <w:szCs w:val="24"/>
          <w:highlight w:val="none"/>
          <w:lang w:val="en-US" w:eastAsia="zh-CN" w:bidi="zh-CN"/>
        </w:rPr>
        <w:t>：总体施工布置图</w:t>
      </w:r>
    </w:p>
    <w:p w14:paraId="766396AF">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6</w:t>
      </w:r>
      <w:r>
        <w:rPr>
          <w:rFonts w:hint="eastAsia" w:ascii="Times New Roman" w:hAnsi="Times New Roman" w:eastAsia="宋体" w:cs="Times New Roman"/>
          <w:smallCaps/>
          <w:color w:val="auto"/>
          <w:w w:val="99"/>
          <w:kern w:val="0"/>
          <w:sz w:val="20"/>
          <w:szCs w:val="24"/>
          <w:highlight w:val="none"/>
          <w:lang w:val="en-US" w:eastAsia="zh-CN" w:bidi="zh-CN"/>
        </w:rPr>
        <w:t>-1：区域综合水文地质图</w:t>
      </w:r>
    </w:p>
    <w:p w14:paraId="13A2376F">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6</w:t>
      </w:r>
      <w:r>
        <w:rPr>
          <w:rFonts w:hint="eastAsia" w:ascii="Times New Roman" w:hAnsi="Times New Roman" w:eastAsia="宋体" w:cs="Times New Roman"/>
          <w:smallCaps/>
          <w:color w:val="auto"/>
          <w:w w:val="99"/>
          <w:kern w:val="0"/>
          <w:sz w:val="20"/>
          <w:szCs w:val="24"/>
          <w:highlight w:val="none"/>
          <w:lang w:val="en-US" w:eastAsia="zh-CN" w:bidi="zh-CN"/>
        </w:rPr>
        <w:t>-2：区域水文地质剖面图</w:t>
      </w:r>
    </w:p>
    <w:p w14:paraId="0B9B6E1A">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6</w:t>
      </w:r>
      <w:r>
        <w:rPr>
          <w:rFonts w:hint="eastAsia" w:ascii="Times New Roman" w:hAnsi="Times New Roman" w:eastAsia="宋体" w:cs="Times New Roman"/>
          <w:smallCaps/>
          <w:color w:val="auto"/>
          <w:w w:val="99"/>
          <w:kern w:val="0"/>
          <w:sz w:val="20"/>
          <w:szCs w:val="24"/>
          <w:highlight w:val="none"/>
          <w:lang w:val="en-US" w:eastAsia="zh-CN" w:bidi="zh-CN"/>
        </w:rPr>
        <w:t>-</w:t>
      </w:r>
      <w:r>
        <w:rPr>
          <w:rFonts w:hint="eastAsia" w:ascii="Times New Roman" w:hAnsi="Times New Roman" w:cs="Times New Roman"/>
          <w:smallCaps/>
          <w:color w:val="auto"/>
          <w:w w:val="99"/>
          <w:kern w:val="0"/>
          <w:sz w:val="20"/>
          <w:szCs w:val="24"/>
          <w:highlight w:val="none"/>
          <w:lang w:val="en-US" w:eastAsia="zh-CN" w:bidi="zh-CN"/>
        </w:rPr>
        <w:t>3</w:t>
      </w:r>
      <w:r>
        <w:rPr>
          <w:rFonts w:hint="eastAsia" w:ascii="Times New Roman" w:hAnsi="Times New Roman" w:eastAsia="宋体" w:cs="Times New Roman"/>
          <w:smallCaps/>
          <w:color w:val="auto"/>
          <w:w w:val="99"/>
          <w:kern w:val="0"/>
          <w:sz w:val="20"/>
          <w:szCs w:val="24"/>
          <w:highlight w:val="none"/>
          <w:lang w:val="en-US" w:eastAsia="zh-CN" w:bidi="zh-CN"/>
        </w:rPr>
        <w:t>：区域水文地质柱状图</w:t>
      </w:r>
    </w:p>
    <w:p w14:paraId="23CFE638">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7-1</w:t>
      </w:r>
      <w:r>
        <w:rPr>
          <w:rFonts w:hint="eastAsia" w:ascii="Times New Roman" w:hAnsi="Times New Roman" w:eastAsia="宋体" w:cs="Times New Roman"/>
          <w:smallCaps/>
          <w:color w:val="auto"/>
          <w:w w:val="99"/>
          <w:kern w:val="0"/>
          <w:sz w:val="20"/>
          <w:szCs w:val="24"/>
          <w:highlight w:val="none"/>
          <w:lang w:val="en-US" w:eastAsia="zh-CN" w:bidi="zh-CN"/>
        </w:rPr>
        <w:t>：区域承压水等水位线图</w:t>
      </w:r>
    </w:p>
    <w:p w14:paraId="1B495529">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附图1</w:t>
      </w:r>
      <w:r>
        <w:rPr>
          <w:rFonts w:hint="eastAsia" w:ascii="Times New Roman" w:hAnsi="Times New Roman" w:cs="Times New Roman"/>
          <w:smallCaps/>
          <w:color w:val="auto"/>
          <w:w w:val="99"/>
          <w:kern w:val="0"/>
          <w:sz w:val="20"/>
          <w:szCs w:val="24"/>
          <w:highlight w:val="none"/>
          <w:lang w:val="en-US" w:eastAsia="zh-CN" w:bidi="zh-CN"/>
        </w:rPr>
        <w:t>7-2</w:t>
      </w:r>
      <w:r>
        <w:rPr>
          <w:rFonts w:hint="eastAsia" w:ascii="Times New Roman" w:hAnsi="Times New Roman" w:eastAsia="宋体" w:cs="Times New Roman"/>
          <w:smallCaps/>
          <w:color w:val="auto"/>
          <w:w w:val="99"/>
          <w:kern w:val="0"/>
          <w:sz w:val="20"/>
          <w:szCs w:val="24"/>
          <w:highlight w:val="none"/>
          <w:lang w:val="en-US" w:eastAsia="zh-CN" w:bidi="zh-CN"/>
        </w:rPr>
        <w:t>：区域潜水等水位线图</w:t>
      </w:r>
    </w:p>
    <w:p w14:paraId="3541D715">
      <w:pPr>
        <w:jc w:val="left"/>
        <w:outlineLvl w:val="0"/>
        <w:rPr>
          <w:rFonts w:hint="default" w:ascii="Times New Roman" w:hAnsi="Times New Roman" w:cs="Times New Roman" w:eastAsiaTheme="minorEastAsia"/>
          <w:b/>
          <w:color w:val="auto"/>
          <w:w w:val="99"/>
          <w:highlight w:val="none"/>
          <w:lang w:val="en-US" w:eastAsia="zh-CN"/>
        </w:rPr>
      </w:pPr>
    </w:p>
    <w:p w14:paraId="783C577B">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p>
    <w:p w14:paraId="03A3348E">
      <w:pPr>
        <w:keepNext w:val="0"/>
        <w:keepLines w:val="0"/>
        <w:pageBreakBefore w:val="0"/>
        <w:widowControl/>
        <w:kinsoku/>
        <w:wordWrap/>
        <w:overflowPunct/>
        <w:topLinePunct w:val="0"/>
        <w:autoSpaceDE/>
        <w:autoSpaceDN/>
        <w:bidi w:val="0"/>
        <w:adjustRightInd/>
        <w:snapToGrid/>
        <w:textAlignment w:val="auto"/>
        <w:outlineLvl w:val="9"/>
        <w:rPr>
          <w:rFonts w:hint="eastAsia"/>
          <w:color w:val="auto"/>
          <w:highlight w:val="none"/>
          <w:lang w:val="en-US" w:eastAsia="zh-CN"/>
        </w:rPr>
      </w:pPr>
      <w:r>
        <w:rPr>
          <w:rFonts w:hint="eastAsia" w:ascii="Times New Roman" w:hAnsi="Times New Roman" w:eastAsia="宋体" w:cs="Times New Roman"/>
          <w:b/>
          <w:caps/>
          <w:color w:val="auto"/>
          <w:w w:val="99"/>
          <w:kern w:val="0"/>
          <w:sz w:val="20"/>
          <w:szCs w:val="24"/>
          <w:highlight w:val="none"/>
          <w:lang w:val="en-US" w:eastAsia="zh-CN" w:bidi="zh-CN"/>
        </w:rPr>
        <w:t>附件</w:t>
      </w:r>
    </w:p>
    <w:p w14:paraId="0469124E">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default" w:ascii="Times New Roman" w:hAnsi="Times New Roman" w:eastAsia="宋体" w:cs="Times New Roman"/>
          <w:smallCaps/>
          <w:color w:val="auto"/>
          <w:w w:val="99"/>
          <w:kern w:val="0"/>
          <w:sz w:val="20"/>
          <w:szCs w:val="24"/>
          <w:highlight w:val="none"/>
          <w:lang w:val="en-US" w:eastAsia="zh-CN" w:bidi="zh-CN"/>
        </w:rPr>
        <w:t>附件1：</w:t>
      </w:r>
      <w:r>
        <w:rPr>
          <w:rFonts w:hint="eastAsia" w:ascii="Times New Roman" w:hAnsi="Times New Roman" w:eastAsia="宋体" w:cs="Times New Roman"/>
          <w:smallCaps/>
          <w:color w:val="auto"/>
          <w:w w:val="99"/>
          <w:kern w:val="0"/>
          <w:sz w:val="20"/>
          <w:szCs w:val="24"/>
          <w:highlight w:val="none"/>
          <w:lang w:val="en-US" w:eastAsia="zh-CN" w:bidi="zh-CN"/>
        </w:rPr>
        <w:t>企业</w:t>
      </w:r>
      <w:r>
        <w:rPr>
          <w:rFonts w:hint="eastAsia" w:ascii="Times New Roman" w:hAnsi="Times New Roman" w:cs="Times New Roman"/>
          <w:smallCaps/>
          <w:color w:val="auto"/>
          <w:w w:val="99"/>
          <w:kern w:val="0"/>
          <w:sz w:val="20"/>
          <w:szCs w:val="24"/>
          <w:highlight w:val="none"/>
          <w:lang w:val="en-US" w:eastAsia="zh-CN" w:bidi="zh-CN"/>
        </w:rPr>
        <w:t>投资项目</w:t>
      </w:r>
      <w:r>
        <w:rPr>
          <w:rFonts w:hint="eastAsia" w:ascii="Times New Roman" w:hAnsi="Times New Roman" w:eastAsia="宋体" w:cs="Times New Roman"/>
          <w:smallCaps/>
          <w:color w:val="auto"/>
          <w:w w:val="99"/>
          <w:kern w:val="0"/>
          <w:sz w:val="20"/>
          <w:szCs w:val="24"/>
          <w:highlight w:val="none"/>
          <w:lang w:val="en-US" w:eastAsia="zh-CN" w:bidi="zh-CN"/>
        </w:rPr>
        <w:t>备案承诺书</w:t>
      </w:r>
    </w:p>
    <w:p w14:paraId="2CC5217D">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default" w:ascii="Times New Roman" w:hAnsi="Times New Roman" w:eastAsia="宋体" w:cs="Times New Roman"/>
          <w:smallCaps/>
          <w:color w:val="auto"/>
          <w:w w:val="99"/>
          <w:kern w:val="0"/>
          <w:sz w:val="20"/>
          <w:szCs w:val="24"/>
          <w:highlight w:val="none"/>
          <w:lang w:val="en-US" w:eastAsia="zh-CN" w:bidi="zh-CN"/>
        </w:rPr>
        <w:t>附件</w:t>
      </w:r>
      <w:r>
        <w:rPr>
          <w:rFonts w:hint="eastAsia" w:ascii="Times New Roman" w:hAnsi="Times New Roman" w:eastAsia="宋体" w:cs="Times New Roman"/>
          <w:smallCaps/>
          <w:color w:val="auto"/>
          <w:w w:val="99"/>
          <w:kern w:val="0"/>
          <w:sz w:val="20"/>
          <w:szCs w:val="24"/>
          <w:highlight w:val="none"/>
          <w:lang w:val="en-US" w:eastAsia="zh-CN" w:bidi="zh-CN"/>
        </w:rPr>
        <w:t>2</w:t>
      </w:r>
      <w:r>
        <w:rPr>
          <w:rFonts w:hint="default" w:ascii="Times New Roman" w:hAnsi="Times New Roman" w:eastAsia="宋体" w:cs="Times New Roman"/>
          <w:smallCaps/>
          <w:color w:val="auto"/>
          <w:w w:val="99"/>
          <w:kern w:val="0"/>
          <w:sz w:val="20"/>
          <w:szCs w:val="24"/>
          <w:highlight w:val="none"/>
          <w:lang w:val="en-US" w:eastAsia="zh-CN" w:bidi="zh-CN"/>
        </w:rPr>
        <w:t>：</w:t>
      </w:r>
      <w:r>
        <w:rPr>
          <w:rFonts w:hint="eastAsia" w:ascii="Times New Roman" w:hAnsi="Times New Roman" w:cs="Times New Roman"/>
          <w:smallCaps/>
          <w:color w:val="auto"/>
          <w:w w:val="99"/>
          <w:kern w:val="0"/>
          <w:sz w:val="20"/>
          <w:szCs w:val="24"/>
          <w:highlight w:val="none"/>
          <w:lang w:val="en-US" w:eastAsia="zh-CN" w:bidi="zh-CN"/>
        </w:rPr>
        <w:t>区块环评批复及验收意见</w:t>
      </w:r>
    </w:p>
    <w:p w14:paraId="5BADC6D2">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附件3：依托场站环评批复及验收意见</w:t>
      </w:r>
    </w:p>
    <w:p w14:paraId="6AB808CE">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附件</w:t>
      </w:r>
      <w:r>
        <w:rPr>
          <w:rFonts w:hint="eastAsia" w:ascii="Times New Roman" w:hAnsi="Times New Roman" w:cs="Times New Roman"/>
          <w:smallCaps/>
          <w:color w:val="auto"/>
          <w:w w:val="99"/>
          <w:kern w:val="0"/>
          <w:sz w:val="20"/>
          <w:szCs w:val="24"/>
          <w:highlight w:val="none"/>
          <w:lang w:val="en-US" w:eastAsia="zh-CN" w:bidi="zh-CN"/>
        </w:rPr>
        <w:t>4</w:t>
      </w:r>
      <w:r>
        <w:rPr>
          <w:rFonts w:hint="eastAsia" w:ascii="Times New Roman" w:hAnsi="Times New Roman" w:eastAsia="宋体" w:cs="Times New Roman"/>
          <w:smallCaps/>
          <w:color w:val="auto"/>
          <w:w w:val="99"/>
          <w:kern w:val="0"/>
          <w:sz w:val="20"/>
          <w:szCs w:val="24"/>
          <w:highlight w:val="none"/>
          <w:lang w:val="en-US" w:eastAsia="zh-CN" w:bidi="zh-CN"/>
        </w:rPr>
        <w:t>：排污许可登记回执</w:t>
      </w:r>
    </w:p>
    <w:p w14:paraId="4F80E158">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附件</w:t>
      </w:r>
      <w:r>
        <w:rPr>
          <w:rFonts w:hint="eastAsia" w:ascii="Times New Roman" w:hAnsi="Times New Roman" w:cs="Times New Roman"/>
          <w:smallCaps/>
          <w:color w:val="auto"/>
          <w:w w:val="99"/>
          <w:kern w:val="0"/>
          <w:sz w:val="20"/>
          <w:szCs w:val="24"/>
          <w:highlight w:val="none"/>
          <w:lang w:val="en-US" w:eastAsia="zh-CN" w:bidi="zh-CN"/>
        </w:rPr>
        <w:t>5</w:t>
      </w:r>
      <w:r>
        <w:rPr>
          <w:rFonts w:hint="eastAsia" w:ascii="Times New Roman" w:hAnsi="Times New Roman" w:eastAsia="宋体" w:cs="Times New Roman"/>
          <w:smallCaps/>
          <w:color w:val="auto"/>
          <w:w w:val="99"/>
          <w:kern w:val="0"/>
          <w:sz w:val="20"/>
          <w:szCs w:val="24"/>
          <w:highlight w:val="none"/>
          <w:lang w:val="en-US" w:eastAsia="zh-CN" w:bidi="zh-CN"/>
        </w:rPr>
        <w:t>：</w:t>
      </w:r>
      <w:r>
        <w:rPr>
          <w:rFonts w:hint="eastAsia" w:ascii="Times New Roman" w:hAnsi="Times New Roman" w:cs="Times New Roman"/>
          <w:smallCaps/>
          <w:color w:val="auto"/>
          <w:w w:val="99"/>
          <w:kern w:val="0"/>
          <w:sz w:val="20"/>
          <w:szCs w:val="24"/>
          <w:highlight w:val="none"/>
          <w:lang w:val="en-US" w:eastAsia="zh-CN" w:bidi="zh-CN"/>
        </w:rPr>
        <w:t>突发环境事件</w:t>
      </w:r>
      <w:r>
        <w:rPr>
          <w:rFonts w:hint="eastAsia" w:ascii="Times New Roman" w:hAnsi="Times New Roman" w:eastAsia="宋体" w:cs="Times New Roman"/>
          <w:smallCaps/>
          <w:color w:val="auto"/>
          <w:w w:val="99"/>
          <w:kern w:val="0"/>
          <w:sz w:val="20"/>
          <w:szCs w:val="24"/>
          <w:highlight w:val="none"/>
          <w:lang w:val="en-US" w:eastAsia="zh-CN" w:bidi="zh-CN"/>
        </w:rPr>
        <w:t>应急预案备案</w:t>
      </w:r>
    </w:p>
    <w:p w14:paraId="1D379B09">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附件</w:t>
      </w:r>
      <w:r>
        <w:rPr>
          <w:rFonts w:hint="eastAsia" w:ascii="Times New Roman" w:hAnsi="Times New Roman" w:cs="Times New Roman"/>
          <w:smallCaps/>
          <w:color w:val="auto"/>
          <w:w w:val="99"/>
          <w:kern w:val="0"/>
          <w:sz w:val="20"/>
          <w:szCs w:val="24"/>
          <w:highlight w:val="none"/>
          <w:lang w:val="en-US" w:eastAsia="zh-CN" w:bidi="zh-CN"/>
        </w:rPr>
        <w:t>6</w:t>
      </w:r>
      <w:r>
        <w:rPr>
          <w:rFonts w:hint="eastAsia" w:ascii="Times New Roman" w:hAnsi="Times New Roman" w:eastAsia="宋体" w:cs="Times New Roman"/>
          <w:smallCaps/>
          <w:color w:val="auto"/>
          <w:w w:val="99"/>
          <w:kern w:val="0"/>
          <w:sz w:val="20"/>
          <w:szCs w:val="24"/>
          <w:highlight w:val="none"/>
          <w:lang w:val="en-US" w:eastAsia="zh-CN" w:bidi="zh-CN"/>
        </w:rPr>
        <w:t>：</w:t>
      </w:r>
      <w:r>
        <w:rPr>
          <w:rFonts w:hint="eastAsia" w:ascii="Times New Roman" w:hAnsi="Times New Roman" w:cs="Times New Roman"/>
          <w:smallCaps/>
          <w:color w:val="auto"/>
          <w:w w:val="99"/>
          <w:kern w:val="0"/>
          <w:sz w:val="20"/>
          <w:szCs w:val="24"/>
          <w:highlight w:val="none"/>
          <w:lang w:val="en-US" w:eastAsia="zh-CN" w:bidi="zh-CN"/>
        </w:rPr>
        <w:t>现有工程</w:t>
      </w:r>
      <w:r>
        <w:rPr>
          <w:rFonts w:hint="eastAsia" w:ascii="Times New Roman" w:hAnsi="Times New Roman" w:eastAsia="宋体" w:cs="Times New Roman"/>
          <w:smallCaps/>
          <w:color w:val="auto"/>
          <w:w w:val="99"/>
          <w:kern w:val="0"/>
          <w:sz w:val="20"/>
          <w:szCs w:val="24"/>
          <w:highlight w:val="none"/>
          <w:lang w:val="en-US" w:eastAsia="zh-CN" w:bidi="zh-CN"/>
        </w:rPr>
        <w:t>监测报告</w:t>
      </w:r>
    </w:p>
    <w:p w14:paraId="6932F958">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附件</w:t>
      </w:r>
      <w:r>
        <w:rPr>
          <w:rFonts w:hint="eastAsia" w:ascii="Times New Roman" w:hAnsi="Times New Roman" w:cs="Times New Roman"/>
          <w:smallCaps/>
          <w:color w:val="auto"/>
          <w:w w:val="99"/>
          <w:kern w:val="0"/>
          <w:sz w:val="20"/>
          <w:szCs w:val="24"/>
          <w:highlight w:val="none"/>
          <w:lang w:val="en-US" w:eastAsia="zh-CN" w:bidi="zh-CN"/>
        </w:rPr>
        <w:t>7</w:t>
      </w:r>
      <w:r>
        <w:rPr>
          <w:rFonts w:hint="eastAsia" w:ascii="Times New Roman" w:hAnsi="Times New Roman" w:eastAsia="宋体" w:cs="Times New Roman"/>
          <w:smallCaps/>
          <w:color w:val="auto"/>
          <w:w w:val="99"/>
          <w:kern w:val="0"/>
          <w:sz w:val="20"/>
          <w:szCs w:val="24"/>
          <w:highlight w:val="none"/>
          <w:lang w:val="en-US" w:eastAsia="zh-CN" w:bidi="zh-CN"/>
        </w:rPr>
        <w:t>：</w:t>
      </w:r>
      <w:r>
        <w:rPr>
          <w:rFonts w:hint="eastAsia" w:ascii="Times New Roman" w:hAnsi="Times New Roman" w:cs="Times New Roman"/>
          <w:smallCaps/>
          <w:color w:val="auto"/>
          <w:w w:val="99"/>
          <w:kern w:val="0"/>
          <w:sz w:val="20"/>
          <w:szCs w:val="24"/>
          <w:highlight w:val="none"/>
          <w:lang w:val="en-US" w:eastAsia="zh-CN" w:bidi="zh-CN"/>
        </w:rPr>
        <w:t>本项目</w:t>
      </w:r>
      <w:r>
        <w:rPr>
          <w:rFonts w:hint="eastAsia" w:ascii="Times New Roman" w:hAnsi="Times New Roman" w:eastAsia="宋体" w:cs="Times New Roman"/>
          <w:smallCaps/>
          <w:color w:val="auto"/>
          <w:w w:val="99"/>
          <w:kern w:val="0"/>
          <w:sz w:val="20"/>
          <w:szCs w:val="24"/>
          <w:highlight w:val="none"/>
          <w:lang w:val="en-US" w:eastAsia="zh-CN" w:bidi="zh-CN"/>
        </w:rPr>
        <w:t>监测报告</w:t>
      </w:r>
    </w:p>
    <w:p w14:paraId="79B968C1">
      <w:pPr>
        <w:pStyle w:val="101"/>
        <w:ind w:left="0" w:leftChars="0" w:firstLine="0" w:firstLineChars="0"/>
        <w:jc w:val="both"/>
        <w:rPr>
          <w:rFonts w:hint="default"/>
          <w:lang w:val="en-US" w:eastAsia="zh-CN"/>
        </w:rPr>
      </w:pPr>
      <w:r>
        <w:rPr>
          <w:rFonts w:hint="eastAsia" w:ascii="Times New Roman" w:hAnsi="Times New Roman" w:eastAsia="宋体" w:cs="Times New Roman"/>
          <w:smallCaps/>
          <w:color w:val="auto"/>
          <w:w w:val="99"/>
          <w:kern w:val="0"/>
          <w:sz w:val="20"/>
          <w:szCs w:val="24"/>
          <w:highlight w:val="none"/>
          <w:lang w:val="en-US" w:eastAsia="zh-CN" w:bidi="zh-CN"/>
        </w:rPr>
        <w:t>附件</w:t>
      </w:r>
      <w:r>
        <w:rPr>
          <w:rFonts w:hint="eastAsia" w:ascii="Times New Roman" w:hAnsi="Times New Roman" w:cs="Times New Roman"/>
          <w:smallCaps/>
          <w:color w:val="auto"/>
          <w:w w:val="99"/>
          <w:kern w:val="0"/>
          <w:sz w:val="20"/>
          <w:szCs w:val="24"/>
          <w:highlight w:val="none"/>
          <w:lang w:val="en-US" w:eastAsia="zh-CN" w:bidi="zh-CN"/>
        </w:rPr>
        <w:t>8</w:t>
      </w:r>
      <w:r>
        <w:rPr>
          <w:rFonts w:hint="eastAsia" w:ascii="Times New Roman" w:hAnsi="Times New Roman" w:eastAsia="宋体" w:cs="Times New Roman"/>
          <w:smallCaps/>
          <w:color w:val="auto"/>
          <w:w w:val="99"/>
          <w:kern w:val="0"/>
          <w:sz w:val="20"/>
          <w:szCs w:val="24"/>
          <w:highlight w:val="none"/>
          <w:lang w:val="en-US" w:eastAsia="zh-CN" w:bidi="zh-CN"/>
        </w:rPr>
        <w:t>：大庆市水利规划设计研究院提供区域水文地质资料</w:t>
      </w:r>
    </w:p>
    <w:p w14:paraId="77DEE20F">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pPr>
      <w:r>
        <w:rPr>
          <w:rFonts w:hint="eastAsia" w:ascii="Times New Roman" w:hAnsi="Times New Roman" w:eastAsia="宋体" w:cs="Times New Roman"/>
          <w:smallCaps/>
          <w:color w:val="auto"/>
          <w:w w:val="99"/>
          <w:kern w:val="0"/>
          <w:sz w:val="20"/>
          <w:szCs w:val="24"/>
          <w:highlight w:val="none"/>
          <w:lang w:val="en-US" w:eastAsia="zh-CN" w:bidi="zh-CN"/>
        </w:rPr>
        <w:t>附件</w:t>
      </w:r>
      <w:r>
        <w:rPr>
          <w:rFonts w:hint="eastAsia" w:ascii="Times New Roman" w:hAnsi="Times New Roman" w:cs="Times New Roman"/>
          <w:smallCaps/>
          <w:color w:val="auto"/>
          <w:w w:val="99"/>
          <w:kern w:val="0"/>
          <w:sz w:val="20"/>
          <w:szCs w:val="24"/>
          <w:highlight w:val="none"/>
          <w:lang w:val="en-US" w:eastAsia="zh-CN" w:bidi="zh-CN"/>
        </w:rPr>
        <w:t>9</w:t>
      </w:r>
      <w:r>
        <w:rPr>
          <w:rFonts w:hint="eastAsia" w:ascii="Times New Roman" w:hAnsi="Times New Roman" w:eastAsia="宋体" w:cs="Times New Roman"/>
          <w:smallCaps/>
          <w:color w:val="auto"/>
          <w:w w:val="99"/>
          <w:kern w:val="0"/>
          <w:sz w:val="20"/>
          <w:szCs w:val="24"/>
          <w:highlight w:val="none"/>
          <w:lang w:val="en-US" w:eastAsia="zh-CN" w:bidi="zh-CN"/>
        </w:rPr>
        <w:t>：生态环境分区管控分析报告</w:t>
      </w:r>
    </w:p>
    <w:p w14:paraId="1F765904">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sectPr>
          <w:headerReference r:id="rId3" w:type="default"/>
          <w:footerReference r:id="rId4" w:type="default"/>
          <w:type w:val="nextColumn"/>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linePitch="312" w:charSpace="0"/>
        </w:sectPr>
      </w:pPr>
    </w:p>
    <w:p w14:paraId="123C7CE8">
      <w:pPr>
        <w:keepNext w:val="0"/>
        <w:keepLines w:val="0"/>
        <w:pageBreakBefore w:val="0"/>
        <w:widowControl/>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smallCaps/>
          <w:color w:val="auto"/>
          <w:w w:val="99"/>
          <w:kern w:val="0"/>
          <w:sz w:val="20"/>
          <w:szCs w:val="24"/>
          <w:highlight w:val="none"/>
          <w:lang w:val="en-US" w:eastAsia="zh-CN" w:bidi="zh-CN"/>
        </w:rPr>
        <w:sectPr>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linePitch="312" w:charSpace="0"/>
        </w:sectPr>
      </w:pPr>
    </w:p>
    <w:p w14:paraId="55CDC9CD">
      <w:pPr>
        <w:pStyle w:val="4"/>
        <w:widowControl w:val="0"/>
        <w:spacing w:before="180" w:after="180" w:line="440" w:lineRule="exact"/>
        <w:rPr>
          <w:rFonts w:ascii="Times New Roman" w:hAnsi="Times New Roman" w:eastAsia="宋体"/>
          <w:b/>
          <w:snapToGrid w:val="0"/>
          <w:color w:val="auto"/>
          <w:w w:val="99"/>
          <w:sz w:val="30"/>
          <w:szCs w:val="30"/>
          <w:highlight w:val="none"/>
        </w:rPr>
      </w:pPr>
      <w:bookmarkStart w:id="3" w:name="_Toc24334"/>
      <w:r>
        <w:rPr>
          <w:rFonts w:ascii="Times New Roman" w:hAnsi="Times New Roman" w:eastAsia="宋体"/>
          <w:b/>
          <w:snapToGrid w:val="0"/>
          <w:color w:val="auto"/>
          <w:w w:val="99"/>
          <w:sz w:val="30"/>
          <w:szCs w:val="30"/>
          <w:highlight w:val="none"/>
        </w:rPr>
        <w:t>1概述</w:t>
      </w:r>
      <w:bookmarkEnd w:id="0"/>
      <w:bookmarkEnd w:id="1"/>
      <w:bookmarkEnd w:id="2"/>
      <w:bookmarkEnd w:id="3"/>
    </w:p>
    <w:p w14:paraId="6774772F">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4" w:name="_Toc3176"/>
      <w:bookmarkStart w:id="5" w:name="_Toc10819"/>
      <w:bookmarkStart w:id="6" w:name="_Toc502736431"/>
      <w:r>
        <w:rPr>
          <w:rFonts w:ascii="Times New Roman" w:hAnsi="Times New Roman" w:eastAsia="宋体"/>
          <w:b/>
          <w:snapToGrid w:val="0"/>
          <w:color w:val="auto"/>
          <w:w w:val="99"/>
          <w:highlight w:val="none"/>
        </w:rPr>
        <w:t>1.1项目由来</w:t>
      </w:r>
      <w:bookmarkEnd w:id="4"/>
      <w:bookmarkEnd w:id="5"/>
    </w:p>
    <w:p w14:paraId="0FBF198B">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2021年3月2日黑龙江省人民政府发布的《黑龙江省国民经济和社会发展第十四个五年规划和二〇三五年远景目标纲要》中提出，要积极推动</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百年油田</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建设，支持大庆油田常规油气资源稳油增气。《大庆油田振兴发展纲要</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2020）版》提出“十四五”期间要重点做好加强长垣地区提高采收率工作，针对油气开发，纲要中强调，本土天然气开发筑牢松辽稳产、川渝上产、塔东评价、储气调峰</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四大支撑</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，力争到2025年，天然气产量达到70亿立方米以上。</w:t>
      </w:r>
    </w:p>
    <w:p w14:paraId="1803EDC6">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根据大庆油田天然气开发规划，为进一步加</w:t>
      </w:r>
      <w:r>
        <w:rPr>
          <w:rFonts w:hint="eastAsia" w:ascii="Times New Roman" w:hAnsi="Times New Roman" w:cs="Times New Roman"/>
          <w:color w:val="auto"/>
          <w:spacing w:val="0"/>
          <w:w w:val="99"/>
          <w:position w:val="0"/>
          <w:sz w:val="24"/>
          <w:szCs w:val="24"/>
          <w:highlight w:val="none"/>
          <w:lang w:val="en-US" w:eastAsia="zh-CN" w:bidi="ar-SA"/>
        </w:rPr>
        <w:t>大</w:t>
      </w:r>
      <w:r>
        <w:rPr>
          <w:rFonts w:hint="eastAsia" w:ascii="Times New Roman" w:hAnsi="Times New Roman" w:eastAsia="宋体" w:cs="Times New Roman"/>
          <w:color w:val="auto"/>
          <w:spacing w:val="0"/>
          <w:w w:val="99"/>
          <w:position w:val="0"/>
          <w:sz w:val="24"/>
          <w:szCs w:val="24"/>
          <w:highlight w:val="none"/>
          <w:lang w:val="en-US" w:eastAsia="zh-CN" w:bidi="ar-SA"/>
        </w:rPr>
        <w:t>徐深</w:t>
      </w:r>
      <w:r>
        <w:rPr>
          <w:rFonts w:hint="default" w:ascii="Times New Roman" w:hAnsi="Times New Roman" w:eastAsia="宋体" w:cs="Times New Roman"/>
          <w:color w:val="auto"/>
          <w:spacing w:val="0"/>
          <w:w w:val="99"/>
          <w:position w:val="0"/>
          <w:sz w:val="24"/>
          <w:szCs w:val="24"/>
          <w:highlight w:val="none"/>
          <w:lang w:val="en-US" w:eastAsia="zh-CN" w:bidi="ar-SA"/>
        </w:rPr>
        <w:t>气田开采力度，增加天然气产能，保证大庆油田年天然气产量，</w:t>
      </w:r>
      <w:r>
        <w:rPr>
          <w:rFonts w:hint="eastAsia" w:ascii="Times New Roman" w:hAnsi="Times New Roman" w:eastAsia="宋体" w:cs="Times New Roman"/>
          <w:color w:val="auto"/>
          <w:spacing w:val="0"/>
          <w:w w:val="99"/>
          <w:position w:val="0"/>
          <w:sz w:val="24"/>
          <w:szCs w:val="24"/>
          <w:highlight w:val="none"/>
          <w:lang w:val="en-US" w:eastAsia="zh-CN" w:bidi="ar-SA"/>
        </w:rPr>
        <w:t>大庆油田有限责任公司采气分公司</w:t>
      </w:r>
      <w:r>
        <w:rPr>
          <w:rFonts w:hint="default" w:ascii="Times New Roman" w:hAnsi="Times New Roman" w:eastAsia="宋体" w:cs="Times New Roman"/>
          <w:color w:val="auto"/>
          <w:spacing w:val="0"/>
          <w:w w:val="99"/>
          <w:position w:val="0"/>
          <w:sz w:val="24"/>
          <w:szCs w:val="24"/>
          <w:highlight w:val="none"/>
          <w:lang w:val="en-US" w:eastAsia="zh-CN" w:bidi="ar-SA"/>
        </w:rPr>
        <w:t>积极开展气田开发，计划投资</w:t>
      </w:r>
      <w:r>
        <w:rPr>
          <w:rFonts w:hint="eastAsia" w:ascii="Times New Roman" w:hAnsi="Times New Roman" w:cs="Times New Roman"/>
          <w:color w:val="auto"/>
          <w:spacing w:val="0"/>
          <w:w w:val="99"/>
          <w:position w:val="0"/>
          <w:sz w:val="24"/>
          <w:szCs w:val="24"/>
          <w:highlight w:val="none"/>
          <w:lang w:val="en-US" w:eastAsia="zh-CN" w:bidi="ar-SA"/>
        </w:rPr>
        <w:t>567</w:t>
      </w:r>
      <w:r>
        <w:rPr>
          <w:rFonts w:hint="default" w:ascii="Times New Roman" w:hAnsi="Times New Roman" w:eastAsia="宋体" w:cs="Times New Roman"/>
          <w:color w:val="auto"/>
          <w:spacing w:val="0"/>
          <w:w w:val="99"/>
          <w:position w:val="0"/>
          <w:sz w:val="24"/>
          <w:szCs w:val="24"/>
          <w:highlight w:val="none"/>
          <w:lang w:val="en-US" w:eastAsia="zh-CN" w:bidi="ar-SA"/>
        </w:rPr>
        <w:t>万元进行</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cs="Times New Roman"/>
          <w:color w:val="auto"/>
          <w:spacing w:val="0"/>
          <w:w w:val="99"/>
          <w:position w:val="0"/>
          <w:sz w:val="24"/>
          <w:szCs w:val="24"/>
          <w:highlight w:val="none"/>
          <w:lang w:val="en-US" w:eastAsia="zh-CN" w:bidi="ar-SA"/>
        </w:rPr>
        <w:t>徐深27-H1井地面工程项目</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以下简称</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本工程</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，本工程</w:t>
      </w:r>
      <w:r>
        <w:rPr>
          <w:rFonts w:hint="eastAsia" w:ascii="Times New Roman" w:hAnsi="Times New Roman" w:cs="Times New Roman"/>
          <w:color w:val="auto"/>
          <w:spacing w:val="0"/>
          <w:w w:val="99"/>
          <w:position w:val="0"/>
          <w:sz w:val="24"/>
          <w:szCs w:val="24"/>
          <w:highlight w:val="none"/>
          <w:lang w:val="en-US" w:eastAsia="zh-CN" w:bidi="ar-SA"/>
        </w:rPr>
        <w:t>基</w:t>
      </w:r>
      <w:r>
        <w:rPr>
          <w:rFonts w:hint="eastAsia" w:ascii="Times New Roman" w:hAnsi="Times New Roman" w:eastAsia="宋体" w:cs="Times New Roman"/>
          <w:color w:val="auto"/>
          <w:spacing w:val="0"/>
          <w:w w:val="99"/>
          <w:position w:val="0"/>
          <w:sz w:val="24"/>
          <w:szCs w:val="24"/>
          <w:highlight w:val="none"/>
          <w:lang w:val="en-US" w:eastAsia="zh-CN" w:bidi="ar-SA"/>
        </w:rPr>
        <w:t>建</w:t>
      </w:r>
      <w:r>
        <w:rPr>
          <w:rFonts w:hint="eastAsia" w:ascii="Times New Roman" w:hAnsi="Times New Roman" w:cs="Times New Roman"/>
          <w:color w:val="auto"/>
          <w:spacing w:val="0"/>
          <w:w w:val="99"/>
          <w:position w:val="0"/>
          <w:sz w:val="24"/>
          <w:szCs w:val="24"/>
          <w:highlight w:val="none"/>
          <w:lang w:val="en-US" w:eastAsia="zh-CN" w:bidi="ar-SA"/>
        </w:rPr>
        <w:t>1</w:t>
      </w:r>
      <w:r>
        <w:rPr>
          <w:rFonts w:hint="default" w:ascii="Times New Roman" w:hAnsi="Times New Roman" w:eastAsia="宋体" w:cs="Times New Roman"/>
          <w:color w:val="auto"/>
          <w:spacing w:val="0"/>
          <w:w w:val="99"/>
          <w:position w:val="0"/>
          <w:sz w:val="24"/>
          <w:szCs w:val="24"/>
          <w:highlight w:val="none"/>
          <w:lang w:val="en-US" w:eastAsia="zh-CN" w:bidi="ar-SA"/>
        </w:rPr>
        <w:t>口</w:t>
      </w:r>
      <w:r>
        <w:rPr>
          <w:rFonts w:hint="eastAsia" w:ascii="Times New Roman" w:hAnsi="Times New Roman" w:eastAsia="宋体" w:cs="Times New Roman"/>
          <w:color w:val="auto"/>
          <w:spacing w:val="0"/>
          <w:w w:val="99"/>
          <w:position w:val="0"/>
          <w:sz w:val="24"/>
          <w:szCs w:val="24"/>
          <w:highlight w:val="none"/>
          <w:lang w:val="en-US" w:eastAsia="zh-CN" w:bidi="ar-SA"/>
        </w:rPr>
        <w:t>气井</w:t>
      </w:r>
      <w:r>
        <w:rPr>
          <w:rFonts w:hint="default" w:ascii="Times New Roman" w:hAnsi="Times New Roman" w:eastAsia="宋体" w:cs="Times New Roman"/>
          <w:color w:val="auto"/>
          <w:spacing w:val="0"/>
          <w:w w:val="99"/>
          <w:position w:val="0"/>
          <w:sz w:val="24"/>
          <w:szCs w:val="24"/>
          <w:highlight w:val="none"/>
          <w:lang w:val="en-US" w:eastAsia="zh-CN" w:bidi="ar-SA"/>
        </w:rPr>
        <w:t>，总产气量为</w:t>
      </w:r>
      <w:r>
        <w:rPr>
          <w:rFonts w:hint="eastAsia" w:ascii="Times New Roman" w:hAnsi="Times New Roman" w:cs="Times New Roman"/>
          <w:color w:val="auto"/>
          <w:spacing w:val="0"/>
          <w:w w:val="99"/>
          <w:position w:val="0"/>
          <w:sz w:val="24"/>
          <w:szCs w:val="24"/>
          <w:highlight w:val="none"/>
          <w:lang w:val="en-US" w:eastAsia="zh-CN" w:bidi="ar-SA"/>
        </w:rPr>
        <w:t>9.0</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10</w:t>
      </w:r>
      <w:r>
        <w:rPr>
          <w:rFonts w:hint="eastAsia" w:ascii="Times New Roman" w:hAnsi="Times New Roman" w:cs="Times New Roman"/>
          <w:color w:val="auto"/>
          <w:spacing w:val="0"/>
          <w:w w:val="99"/>
          <w:position w:val="0"/>
          <w:sz w:val="24"/>
          <w:szCs w:val="24"/>
          <w:highlight w:val="none"/>
          <w:vertAlign w:val="superscript"/>
          <w:lang w:val="en-US" w:eastAsia="zh-CN" w:bidi="ar-SA"/>
        </w:rPr>
        <w:t>4</w:t>
      </w:r>
      <w:r>
        <w:rPr>
          <w:rFonts w:hint="default" w:ascii="Times New Roman" w:hAnsi="Times New Roman" w:eastAsia="宋体" w:cs="Times New Roman"/>
          <w:color w:val="auto"/>
          <w:spacing w:val="0"/>
          <w:w w:val="99"/>
          <w:position w:val="0"/>
          <w:sz w:val="24"/>
          <w:szCs w:val="24"/>
          <w:highlight w:val="none"/>
          <w:lang w:val="en-US" w:eastAsia="zh-CN" w:bidi="ar-SA"/>
        </w:rPr>
        <w:t>m</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3</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cs="Times New Roman"/>
          <w:color w:val="auto"/>
          <w:spacing w:val="0"/>
          <w:w w:val="99"/>
          <w:position w:val="0"/>
          <w:sz w:val="24"/>
          <w:szCs w:val="24"/>
          <w:highlight w:val="none"/>
          <w:lang w:val="en-US" w:eastAsia="zh-CN" w:bidi="ar-SA"/>
        </w:rPr>
        <w:t>d</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eastAsia="宋体" w:cs="Times New Roman"/>
          <w:color w:val="auto"/>
          <w:spacing w:val="0"/>
          <w:w w:val="99"/>
          <w:position w:val="0"/>
          <w:sz w:val="24"/>
          <w:szCs w:val="24"/>
          <w:highlight w:val="none"/>
          <w:lang w:val="en-US" w:eastAsia="zh-CN" w:bidi="ar-SA"/>
        </w:rPr>
        <w:t>井场各设电磁加热节流装置１套，</w:t>
      </w:r>
      <w:r>
        <w:rPr>
          <w:rFonts w:hint="default" w:ascii="Times New Roman" w:hAnsi="Times New Roman" w:eastAsia="宋体" w:cs="Times New Roman"/>
          <w:color w:val="auto"/>
          <w:spacing w:val="0"/>
          <w:w w:val="99"/>
          <w:position w:val="0"/>
          <w:sz w:val="24"/>
          <w:szCs w:val="24"/>
          <w:highlight w:val="none"/>
          <w:lang w:val="en-US" w:eastAsia="zh-CN" w:bidi="ar-SA"/>
        </w:rPr>
        <w:t>新建采气管道</w:t>
      </w:r>
      <w:r>
        <w:rPr>
          <w:rFonts w:hint="eastAsia" w:ascii="Times New Roman" w:hAnsi="Times New Roman" w:cs="Times New Roman"/>
          <w:color w:val="auto"/>
          <w:spacing w:val="0"/>
          <w:w w:val="99"/>
          <w:position w:val="0"/>
          <w:sz w:val="24"/>
          <w:szCs w:val="24"/>
          <w:highlight w:val="none"/>
          <w:lang w:val="en-US" w:eastAsia="zh-CN" w:bidi="ar-SA"/>
        </w:rPr>
        <w:t>1.92</w:t>
      </w:r>
      <w:r>
        <w:rPr>
          <w:rFonts w:hint="default" w:ascii="Times New Roman" w:hAnsi="Times New Roman" w:eastAsia="宋体" w:cs="Times New Roman"/>
          <w:color w:val="auto"/>
          <w:spacing w:val="0"/>
          <w:w w:val="99"/>
          <w:position w:val="0"/>
          <w:sz w:val="24"/>
          <w:szCs w:val="24"/>
          <w:highlight w:val="none"/>
          <w:lang w:val="en-US" w:eastAsia="zh-CN" w:bidi="ar-SA"/>
        </w:rPr>
        <w:t>km</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徐深</w:t>
      </w:r>
      <w:r>
        <w:rPr>
          <w:rFonts w:hint="eastAsia" w:ascii="Times New Roman" w:hAnsi="Times New Roman" w:cs="Times New Roman"/>
          <w:color w:val="auto"/>
          <w:spacing w:val="0"/>
          <w:w w:val="99"/>
          <w:position w:val="0"/>
          <w:sz w:val="24"/>
          <w:szCs w:val="24"/>
          <w:highlight w:val="none"/>
          <w:lang w:val="en-US" w:eastAsia="zh-CN" w:bidi="ar-SA"/>
        </w:rPr>
        <w:t>27</w:t>
      </w:r>
      <w:r>
        <w:rPr>
          <w:rFonts w:hint="default" w:ascii="Times New Roman" w:hAnsi="Times New Roman" w:eastAsia="宋体" w:cs="Times New Roman"/>
          <w:color w:val="auto"/>
          <w:spacing w:val="0"/>
          <w:w w:val="99"/>
          <w:position w:val="0"/>
          <w:sz w:val="24"/>
          <w:szCs w:val="24"/>
          <w:highlight w:val="none"/>
          <w:lang w:val="en-US" w:eastAsia="zh-CN" w:bidi="ar-SA"/>
        </w:rPr>
        <w:t>集气站内</w:t>
      </w:r>
      <w:r>
        <w:rPr>
          <w:rFonts w:hint="eastAsia" w:ascii="Times New Roman" w:hAnsi="Times New Roman" w:cs="Times New Roman"/>
          <w:color w:val="auto"/>
          <w:spacing w:val="0"/>
          <w:w w:val="99"/>
          <w:position w:val="0"/>
          <w:sz w:val="24"/>
          <w:szCs w:val="24"/>
          <w:highlight w:val="none"/>
          <w:lang w:val="en-US" w:eastAsia="zh-CN" w:bidi="ar-SA"/>
        </w:rPr>
        <w:t>新建生产阀组、进站阀组各</w:t>
      </w:r>
      <w:r>
        <w:rPr>
          <w:rFonts w:hint="eastAsia" w:ascii="Times New Roman" w:hAnsi="Times New Roman" w:eastAsia="宋体" w:cs="Times New Roman"/>
          <w:color w:val="auto"/>
          <w:spacing w:val="0"/>
          <w:w w:val="99"/>
          <w:position w:val="0"/>
          <w:sz w:val="24"/>
          <w:szCs w:val="24"/>
          <w:highlight w:val="none"/>
          <w:lang w:val="en-US" w:eastAsia="zh-CN" w:bidi="ar-SA"/>
        </w:rPr>
        <w:t>１套</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eastAsia="宋体" w:cs="Times New Roman"/>
          <w:color w:val="auto"/>
          <w:spacing w:val="0"/>
          <w:w w:val="99"/>
          <w:position w:val="0"/>
          <w:sz w:val="24"/>
          <w:szCs w:val="24"/>
          <w:highlight w:val="none"/>
          <w:lang w:val="en-US" w:eastAsia="zh-CN" w:bidi="ar-SA"/>
        </w:rPr>
        <w:t>同时配套建设给供配电、自动控制、通信、道路等工程。</w:t>
      </w:r>
    </w:p>
    <w:p w14:paraId="402FFE3A">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为老区增产项目，项目占地范围内不涉及国家公园、自然保护区、风景名胜区、世界文化和自然遗产地、海洋特别保护区、基本草原、自然公园、重要湿地、天然林、重点保护野生动物栖息地、重点保护野生植物生长繁殖地、重要水生生物的自然产卵场、索饵场、越冬场和洄游通道、天然渔场、沙化土地封禁保护区、封闭及半封闭海域、以及以医疗卫生、文化教育、科研、行政办公为主要功能的区域、文物保护单位等环境敏感区，且项目不在生态保护红线内。</w:t>
      </w:r>
    </w:p>
    <w:p w14:paraId="67589680">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eastAsia="宋体" w:cs="Times New Roman"/>
          <w:color w:val="auto"/>
          <w:spacing w:val="0"/>
          <w:w w:val="99"/>
          <w:position w:val="0"/>
          <w:sz w:val="24"/>
          <w:szCs w:val="24"/>
          <w:highlight w:val="none"/>
          <w:lang w:val="en-US" w:eastAsia="zh-CN" w:bidi="ar-SA"/>
        </w:rPr>
        <w:t>建设区块附近涉及的村屯主要有</w:t>
      </w:r>
      <w:r>
        <w:rPr>
          <w:rFonts w:hint="eastAsia" w:ascii="Times New Roman" w:hAnsi="Times New Roman" w:cs="Times New Roman"/>
          <w:color w:val="auto"/>
          <w:spacing w:val="0"/>
          <w:w w:val="99"/>
          <w:position w:val="0"/>
          <w:sz w:val="24"/>
          <w:szCs w:val="24"/>
          <w:highlight w:val="none"/>
          <w:lang w:val="en-US" w:eastAsia="zh-CN" w:bidi="ar-SA"/>
        </w:rPr>
        <w:t>邢家围子</w:t>
      </w:r>
      <w:r>
        <w:rPr>
          <w:rFonts w:hint="default" w:ascii="Times New Roman" w:hAnsi="Times New Roman" w:eastAsia="宋体" w:cs="Times New Roman"/>
          <w:color w:val="auto"/>
          <w:spacing w:val="0"/>
          <w:w w:val="99"/>
          <w:position w:val="0"/>
          <w:sz w:val="24"/>
          <w:szCs w:val="24"/>
          <w:highlight w:val="none"/>
          <w:lang w:val="en-US" w:eastAsia="zh-CN" w:bidi="ar-SA"/>
        </w:rPr>
        <w:t>屯、</w:t>
      </w:r>
      <w:r>
        <w:rPr>
          <w:rFonts w:hint="eastAsia" w:ascii="Times New Roman" w:hAnsi="Times New Roman" w:cs="Times New Roman"/>
          <w:color w:val="auto"/>
          <w:spacing w:val="0"/>
          <w:w w:val="99"/>
          <w:position w:val="0"/>
          <w:sz w:val="24"/>
          <w:szCs w:val="24"/>
          <w:highlight w:val="none"/>
          <w:lang w:val="en-US" w:eastAsia="zh-CN" w:bidi="ar-SA"/>
        </w:rPr>
        <w:t>福龙村</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cs="Times New Roman"/>
          <w:color w:val="auto"/>
          <w:spacing w:val="0"/>
          <w:w w:val="99"/>
          <w:position w:val="0"/>
          <w:sz w:val="24"/>
          <w:szCs w:val="24"/>
          <w:highlight w:val="none"/>
          <w:lang w:val="en-US" w:eastAsia="zh-CN" w:bidi="ar-SA"/>
        </w:rPr>
        <w:t>王家围子</w:t>
      </w:r>
      <w:r>
        <w:rPr>
          <w:rFonts w:hint="default" w:ascii="Times New Roman" w:hAnsi="Times New Roman" w:eastAsia="宋体" w:cs="Times New Roman"/>
          <w:color w:val="auto"/>
          <w:spacing w:val="0"/>
          <w:w w:val="99"/>
          <w:position w:val="0"/>
          <w:sz w:val="24"/>
          <w:szCs w:val="24"/>
          <w:highlight w:val="none"/>
          <w:lang w:val="en-US" w:eastAsia="zh-CN" w:bidi="ar-SA"/>
        </w:rPr>
        <w:t>屯</w:t>
      </w:r>
      <w:r>
        <w:rPr>
          <w:rFonts w:hint="eastAsia" w:ascii="Times New Roman" w:hAnsi="Times New Roman" w:eastAsia="宋体" w:cs="Times New Roman"/>
          <w:color w:val="auto"/>
          <w:spacing w:val="0"/>
          <w:w w:val="99"/>
          <w:position w:val="0"/>
          <w:sz w:val="24"/>
          <w:szCs w:val="24"/>
          <w:highlight w:val="none"/>
          <w:lang w:val="en-US" w:eastAsia="zh-CN" w:bidi="ar-SA"/>
        </w:rPr>
        <w:t>等村屯。项目周边最近的敏感目标为</w:t>
      </w:r>
      <w:r>
        <w:rPr>
          <w:rFonts w:hint="eastAsia" w:ascii="Times New Roman" w:hAnsi="Times New Roman" w:cs="Times New Roman"/>
          <w:color w:val="auto"/>
          <w:spacing w:val="0"/>
          <w:w w:val="99"/>
          <w:position w:val="0"/>
          <w:sz w:val="24"/>
          <w:szCs w:val="24"/>
          <w:highlight w:val="none"/>
          <w:lang w:val="en-US" w:eastAsia="zh-CN" w:bidi="ar-SA"/>
        </w:rPr>
        <w:t>项目东侧</w:t>
      </w:r>
      <w:r>
        <w:rPr>
          <w:rFonts w:hint="eastAsia" w:ascii="Times New Roman" w:hAnsi="Times New Roman" w:eastAsiaTheme="minorEastAsia"/>
          <w:color w:val="auto"/>
          <w:w w:val="99"/>
          <w:highlight w:val="none"/>
          <w:lang w:val="en-US" w:eastAsia="zh-CN"/>
        </w:rPr>
        <w:t>300m处的邢家围子屯</w:t>
      </w:r>
      <w:r>
        <w:rPr>
          <w:rFonts w:hint="eastAsia" w:ascii="Times New Roman" w:hAnsi="Times New Roman" w:eastAsia="宋体" w:cs="Times New Roman"/>
          <w:color w:val="auto"/>
          <w:spacing w:val="0"/>
          <w:w w:val="99"/>
          <w:position w:val="0"/>
          <w:sz w:val="24"/>
          <w:szCs w:val="24"/>
          <w:highlight w:val="none"/>
          <w:lang w:val="en-US" w:eastAsia="zh-CN" w:bidi="ar-SA"/>
        </w:rPr>
        <w:t>。</w:t>
      </w:r>
    </w:p>
    <w:p w14:paraId="77B2DC2F">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FF0000"/>
          <w:spacing w:val="0"/>
          <w:w w:val="99"/>
          <w:position w:val="0"/>
          <w:sz w:val="24"/>
          <w:szCs w:val="24"/>
          <w:highlight w:val="none"/>
          <w:lang w:val="en-US" w:eastAsia="zh-CN" w:bidi="ar-SA"/>
        </w:rPr>
        <w:t>根据</w:t>
      </w:r>
      <w:r>
        <w:rPr>
          <w:rFonts w:hint="eastAsia" w:ascii="Times New Roman" w:hAnsi="Times New Roman" w:eastAsia="宋体" w:cs="Times New Roman"/>
          <w:color w:val="FF0000"/>
          <w:spacing w:val="0"/>
          <w:w w:val="99"/>
          <w:position w:val="0"/>
          <w:sz w:val="24"/>
          <w:szCs w:val="24"/>
          <w:highlight w:val="none"/>
          <w:lang w:val="en-US" w:eastAsia="zh-CN" w:bidi="ar-SA"/>
        </w:rPr>
        <w:t>永久基本农田查询平台</w:t>
      </w:r>
      <w:r>
        <w:rPr>
          <w:rFonts w:hint="default" w:ascii="Times New Roman" w:hAnsi="Times New Roman" w:eastAsia="宋体" w:cs="Times New Roman"/>
          <w:color w:val="FF0000"/>
          <w:spacing w:val="0"/>
          <w:w w:val="99"/>
          <w:position w:val="0"/>
          <w:sz w:val="24"/>
          <w:szCs w:val="24"/>
          <w:highlight w:val="none"/>
          <w:lang w:val="en-US" w:eastAsia="zh-CN" w:bidi="ar-SA"/>
        </w:rPr>
        <w:t>，本项目</w:t>
      </w:r>
      <w:r>
        <w:rPr>
          <w:rFonts w:hint="eastAsia" w:ascii="Times New Roman" w:hAnsi="Times New Roman" w:eastAsia="宋体" w:cs="Times New Roman"/>
          <w:color w:val="FF0000"/>
          <w:spacing w:val="0"/>
          <w:w w:val="99"/>
          <w:position w:val="0"/>
          <w:sz w:val="24"/>
          <w:szCs w:val="24"/>
          <w:highlight w:val="none"/>
          <w:lang w:val="en-US" w:eastAsia="zh-CN" w:bidi="ar-SA"/>
        </w:rPr>
        <w:t>新建气井及</w:t>
      </w:r>
      <w:r>
        <w:rPr>
          <w:rFonts w:hint="default" w:ascii="Times New Roman" w:hAnsi="Times New Roman" w:eastAsia="宋体" w:cs="Times New Roman"/>
          <w:color w:val="FF0000"/>
          <w:spacing w:val="0"/>
          <w:w w:val="99"/>
          <w:position w:val="0"/>
          <w:sz w:val="24"/>
          <w:szCs w:val="24"/>
          <w:highlight w:val="none"/>
          <w:lang w:val="en-US" w:eastAsia="zh-CN" w:bidi="ar-SA"/>
        </w:rPr>
        <w:t>附属管线</w:t>
      </w:r>
      <w:r>
        <w:rPr>
          <w:rFonts w:hint="eastAsia" w:ascii="Times New Roman" w:hAnsi="Times New Roman" w:eastAsia="宋体" w:cs="Times New Roman"/>
          <w:color w:val="FF0000"/>
          <w:spacing w:val="0"/>
          <w:w w:val="99"/>
          <w:position w:val="0"/>
          <w:sz w:val="24"/>
          <w:szCs w:val="24"/>
          <w:highlight w:val="none"/>
          <w:lang w:val="en-US" w:eastAsia="zh-CN" w:bidi="ar-SA"/>
        </w:rPr>
        <w:t>、</w:t>
      </w:r>
      <w:r>
        <w:rPr>
          <w:rFonts w:hint="default" w:ascii="Times New Roman" w:hAnsi="Times New Roman" w:eastAsia="宋体" w:cs="Times New Roman"/>
          <w:color w:val="FF0000"/>
          <w:spacing w:val="0"/>
          <w:w w:val="99"/>
          <w:position w:val="0"/>
          <w:sz w:val="24"/>
          <w:szCs w:val="24"/>
          <w:highlight w:val="none"/>
          <w:lang w:val="en-US" w:eastAsia="zh-CN" w:bidi="ar-SA"/>
        </w:rPr>
        <w:t>道路</w:t>
      </w:r>
      <w:r>
        <w:rPr>
          <w:rFonts w:hint="eastAsia" w:ascii="Times New Roman" w:hAnsi="Times New Roman" w:eastAsia="宋体" w:cs="Times New Roman"/>
          <w:color w:val="FF0000"/>
          <w:spacing w:val="0"/>
          <w:w w:val="99"/>
          <w:position w:val="0"/>
          <w:sz w:val="24"/>
          <w:szCs w:val="24"/>
          <w:highlight w:val="none"/>
          <w:lang w:val="en-US" w:eastAsia="zh-CN" w:bidi="ar-SA"/>
        </w:rPr>
        <w:t>等工程涉及</w:t>
      </w:r>
      <w:r>
        <w:rPr>
          <w:rFonts w:hint="default" w:ascii="Times New Roman" w:hAnsi="Times New Roman" w:eastAsia="宋体" w:cs="Times New Roman"/>
          <w:color w:val="FF0000"/>
          <w:spacing w:val="0"/>
          <w:w w:val="99"/>
          <w:position w:val="0"/>
          <w:sz w:val="24"/>
          <w:szCs w:val="24"/>
          <w:highlight w:val="none"/>
          <w:lang w:val="en-US" w:eastAsia="zh-CN" w:bidi="ar-SA"/>
        </w:rPr>
        <w:t>占用永久基本农田</w:t>
      </w:r>
      <w:r>
        <w:rPr>
          <w:rFonts w:hint="eastAsia" w:ascii="Times New Roman" w:hAnsi="Times New Roman" w:eastAsia="宋体" w:cs="Times New Roman"/>
          <w:color w:val="FF0000"/>
          <w:spacing w:val="0"/>
          <w:w w:val="99"/>
          <w:position w:val="0"/>
          <w:sz w:val="24"/>
          <w:szCs w:val="24"/>
          <w:highlight w:val="none"/>
          <w:lang w:val="en-US" w:eastAsia="zh-CN" w:bidi="ar-SA"/>
        </w:rPr>
        <w:t>，属于敏感区。</w:t>
      </w:r>
      <w:r>
        <w:rPr>
          <w:rFonts w:hint="default" w:ascii="Times New Roman" w:hAnsi="Times New Roman" w:eastAsia="宋体" w:cs="Times New Roman"/>
          <w:color w:val="auto"/>
          <w:spacing w:val="0"/>
          <w:w w:val="99"/>
          <w:position w:val="0"/>
          <w:sz w:val="24"/>
          <w:szCs w:val="24"/>
          <w:highlight w:val="none"/>
          <w:lang w:val="en-US" w:eastAsia="zh-CN" w:bidi="ar-SA"/>
        </w:rPr>
        <w:t>根据《国民经济行业分类》（GB/T4754-2017），本项目国民经济分类为B07</w:t>
      </w:r>
      <w:r>
        <w:rPr>
          <w:rFonts w:hint="eastAsia" w:ascii="Times New Roman" w:hAnsi="Times New Roman" w:eastAsia="宋体" w:cs="Times New Roman"/>
          <w:color w:val="auto"/>
          <w:spacing w:val="0"/>
          <w:w w:val="99"/>
          <w:position w:val="0"/>
          <w:sz w:val="24"/>
          <w:szCs w:val="24"/>
          <w:highlight w:val="none"/>
          <w:lang w:val="en-US" w:eastAsia="zh-CN" w:bidi="ar-SA"/>
        </w:rPr>
        <w:t>21</w:t>
      </w:r>
      <w:r>
        <w:rPr>
          <w:rFonts w:hint="default" w:ascii="Times New Roman" w:hAnsi="Times New Roman" w:eastAsia="宋体" w:cs="Times New Roman"/>
          <w:color w:val="auto"/>
          <w:spacing w:val="0"/>
          <w:w w:val="99"/>
          <w:position w:val="0"/>
          <w:sz w:val="24"/>
          <w:szCs w:val="24"/>
          <w:highlight w:val="none"/>
          <w:lang w:val="en-US" w:eastAsia="zh-CN" w:bidi="ar-SA"/>
        </w:rPr>
        <w:t>陆地</w:t>
      </w:r>
      <w:r>
        <w:rPr>
          <w:rFonts w:hint="eastAsia" w:ascii="Times New Roman" w:hAnsi="Times New Roman" w:eastAsia="宋体" w:cs="Times New Roman"/>
          <w:color w:val="auto"/>
          <w:spacing w:val="0"/>
          <w:w w:val="99"/>
          <w:position w:val="0"/>
          <w:sz w:val="24"/>
          <w:szCs w:val="24"/>
          <w:highlight w:val="none"/>
          <w:lang w:val="en-US" w:eastAsia="zh-CN" w:bidi="ar-SA"/>
        </w:rPr>
        <w:t>天然气</w:t>
      </w:r>
      <w:r>
        <w:rPr>
          <w:rFonts w:hint="default" w:ascii="Times New Roman" w:hAnsi="Times New Roman" w:eastAsia="宋体" w:cs="Times New Roman"/>
          <w:color w:val="auto"/>
          <w:spacing w:val="0"/>
          <w:w w:val="99"/>
          <w:position w:val="0"/>
          <w:sz w:val="24"/>
          <w:szCs w:val="24"/>
          <w:highlight w:val="none"/>
          <w:lang w:val="en-US" w:eastAsia="zh-CN" w:bidi="ar-SA"/>
        </w:rPr>
        <w:t>开采</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根据《建设项目环境影响评价分类管理名录（2021年版）》（</w:t>
      </w:r>
      <w:r>
        <w:rPr>
          <w:rFonts w:hint="eastAsia" w:ascii="Times New Roman" w:hAnsi="Times New Roman" w:eastAsia="宋体" w:cs="Times New Roman"/>
          <w:color w:val="auto"/>
          <w:spacing w:val="0"/>
          <w:w w:val="99"/>
          <w:position w:val="0"/>
          <w:sz w:val="24"/>
          <w:szCs w:val="24"/>
          <w:highlight w:val="none"/>
          <w:lang w:val="en-US" w:eastAsia="zh-CN" w:bidi="ar-SA"/>
        </w:rPr>
        <w:t>生态环境部令第</w:t>
      </w:r>
      <w:r>
        <w:rPr>
          <w:rFonts w:hint="default" w:ascii="Times New Roman" w:hAnsi="Times New Roman" w:eastAsia="宋体" w:cs="Times New Roman"/>
          <w:color w:val="auto"/>
          <w:spacing w:val="0"/>
          <w:w w:val="99"/>
          <w:position w:val="0"/>
          <w:sz w:val="24"/>
          <w:szCs w:val="24"/>
          <w:highlight w:val="none"/>
          <w:lang w:val="en-US" w:eastAsia="zh-CN" w:bidi="ar-SA"/>
        </w:rPr>
        <w:t>16号），判定本项目为“五、石油和天然气开采业-0</w:t>
      </w:r>
      <w:r>
        <w:rPr>
          <w:rFonts w:hint="eastAsia" w:ascii="Times New Roman" w:hAnsi="Times New Roman" w:eastAsia="宋体" w:cs="Times New Roman"/>
          <w:color w:val="auto"/>
          <w:spacing w:val="0"/>
          <w:w w:val="99"/>
          <w:position w:val="0"/>
          <w:sz w:val="24"/>
          <w:szCs w:val="24"/>
          <w:highlight w:val="none"/>
          <w:lang w:val="en-US" w:eastAsia="zh-CN" w:bidi="ar-SA"/>
        </w:rPr>
        <w:t>8</w:t>
      </w:r>
      <w:r>
        <w:rPr>
          <w:rFonts w:hint="default" w:ascii="Times New Roman" w:hAnsi="Times New Roman" w:eastAsia="宋体" w:cs="Times New Roman"/>
          <w:color w:val="auto"/>
          <w:spacing w:val="0"/>
          <w:w w:val="99"/>
          <w:position w:val="0"/>
          <w:sz w:val="24"/>
          <w:szCs w:val="24"/>
          <w:highlight w:val="none"/>
          <w:lang w:val="en-US" w:eastAsia="zh-CN" w:bidi="ar-SA"/>
        </w:rPr>
        <w:t>、陆地</w:t>
      </w:r>
      <w:r>
        <w:rPr>
          <w:rFonts w:hint="eastAsia" w:ascii="Times New Roman" w:hAnsi="Times New Roman" w:eastAsia="宋体" w:cs="Times New Roman"/>
          <w:color w:val="auto"/>
          <w:spacing w:val="0"/>
          <w:w w:val="99"/>
          <w:position w:val="0"/>
          <w:sz w:val="24"/>
          <w:szCs w:val="24"/>
          <w:highlight w:val="none"/>
          <w:lang w:val="en-US" w:eastAsia="zh-CN" w:bidi="ar-SA"/>
        </w:rPr>
        <w:t>天然气</w:t>
      </w:r>
      <w:r>
        <w:rPr>
          <w:rFonts w:hint="default" w:ascii="Times New Roman" w:hAnsi="Times New Roman" w:eastAsia="宋体" w:cs="Times New Roman"/>
          <w:color w:val="auto"/>
          <w:spacing w:val="0"/>
          <w:w w:val="99"/>
          <w:position w:val="0"/>
          <w:sz w:val="24"/>
          <w:szCs w:val="24"/>
          <w:highlight w:val="none"/>
          <w:lang w:val="en-US" w:eastAsia="zh-CN" w:bidi="ar-SA"/>
        </w:rPr>
        <w:t>开采 07</w:t>
      </w:r>
      <w:r>
        <w:rPr>
          <w:rFonts w:hint="eastAsia" w:ascii="Times New Roman" w:hAnsi="Times New Roman" w:eastAsia="宋体" w:cs="Times New Roman"/>
          <w:color w:val="auto"/>
          <w:spacing w:val="0"/>
          <w:w w:val="99"/>
          <w:position w:val="0"/>
          <w:sz w:val="24"/>
          <w:szCs w:val="24"/>
          <w:highlight w:val="none"/>
          <w:lang w:val="en-US" w:eastAsia="zh-CN" w:bidi="ar-SA"/>
        </w:rPr>
        <w:t>2</w:t>
      </w:r>
      <w:r>
        <w:rPr>
          <w:rFonts w:hint="default" w:ascii="Times New Roman" w:hAnsi="Times New Roman" w:eastAsia="宋体" w:cs="Times New Roman"/>
          <w:color w:val="auto"/>
          <w:spacing w:val="0"/>
          <w:w w:val="99"/>
          <w:position w:val="0"/>
          <w:sz w:val="24"/>
          <w:szCs w:val="24"/>
          <w:highlight w:val="none"/>
          <w:lang w:val="en-US" w:eastAsia="zh-CN" w:bidi="ar-SA"/>
        </w:rPr>
        <w:t>1”中“涉及环境敏感区的（含内部集输管线建设）”，应编制环境影响报告书。</w:t>
      </w:r>
    </w:p>
    <w:p w14:paraId="62C78023">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根据2017年7月16日《国务院关于修改〈建设项目环境保护管理条例〉的决定》（中华人民共和国国务院令第682号）、《中华人民共和国环境影响评价法》</w:t>
      </w:r>
      <w:r>
        <w:rPr>
          <w:rFonts w:hint="eastAsia" w:ascii="Times New Roman" w:hAnsi="Times New Roman" w:eastAsia="宋体" w:cs="Times New Roman"/>
          <w:color w:val="auto"/>
          <w:spacing w:val="0"/>
          <w:w w:val="99"/>
          <w:position w:val="0"/>
          <w:sz w:val="24"/>
          <w:szCs w:val="24"/>
          <w:highlight w:val="none"/>
          <w:lang w:val="en-US" w:eastAsia="zh-CN" w:bidi="ar-SA"/>
        </w:rPr>
        <w:t>（主席令[2018]第24号[2018年修正本]）</w:t>
      </w:r>
      <w:r>
        <w:rPr>
          <w:rFonts w:hint="default" w:ascii="Times New Roman" w:hAnsi="Times New Roman" w:eastAsia="宋体" w:cs="Times New Roman"/>
          <w:color w:val="auto"/>
          <w:spacing w:val="0"/>
          <w:w w:val="99"/>
          <w:position w:val="0"/>
          <w:sz w:val="24"/>
          <w:szCs w:val="24"/>
          <w:highlight w:val="none"/>
          <w:lang w:val="en-US" w:eastAsia="zh-CN" w:bidi="ar-SA"/>
        </w:rPr>
        <w:t>、《建设项目环境影响评价分类管理名录（2021年版）》（生态环境部令第16号）及《关于进一步加强石油天然气行业环境影响评价管理的通知》（环办环评函[2019]910号）等法律法规，为保证建设项目与环境保护协调发展，从环境保护角度评价建设项目的可行性，</w:t>
      </w:r>
      <w:r>
        <w:rPr>
          <w:rFonts w:hint="eastAsia" w:ascii="Times New Roman" w:hAnsi="Times New Roman" w:eastAsia="宋体" w:cs="Times New Roman"/>
          <w:color w:val="auto"/>
          <w:spacing w:val="0"/>
          <w:w w:val="99"/>
          <w:position w:val="0"/>
          <w:sz w:val="24"/>
          <w:szCs w:val="24"/>
          <w:highlight w:val="none"/>
          <w:lang w:val="en-US" w:eastAsia="zh-CN" w:bidi="ar-SA"/>
        </w:rPr>
        <w:t>大庆油田有限责任公司采气分公司</w:t>
      </w:r>
      <w:r>
        <w:rPr>
          <w:rFonts w:hint="default" w:ascii="Times New Roman" w:hAnsi="Times New Roman" w:eastAsia="宋体" w:cs="Times New Roman"/>
          <w:color w:val="auto"/>
          <w:spacing w:val="0"/>
          <w:w w:val="99"/>
          <w:position w:val="0"/>
          <w:sz w:val="24"/>
          <w:szCs w:val="24"/>
          <w:highlight w:val="none"/>
          <w:lang w:val="en-US" w:eastAsia="zh-CN" w:bidi="ar-SA"/>
        </w:rPr>
        <w:t>委托</w:t>
      </w:r>
      <w:r>
        <w:rPr>
          <w:rFonts w:hint="eastAsia" w:ascii="Times New Roman" w:hAnsi="Times New Roman" w:cs="Times New Roman"/>
          <w:color w:val="auto"/>
          <w:spacing w:val="0"/>
          <w:w w:val="99"/>
          <w:position w:val="0"/>
          <w:sz w:val="24"/>
          <w:szCs w:val="24"/>
          <w:highlight w:val="none"/>
          <w:lang w:val="en-US" w:eastAsia="zh-CN" w:bidi="ar-SA"/>
        </w:rPr>
        <w:t>湖南葆华环保</w:t>
      </w:r>
      <w:r>
        <w:rPr>
          <w:rFonts w:hint="eastAsia" w:ascii="Times New Roman" w:hAnsi="Times New Roman" w:eastAsia="宋体" w:cs="Times New Roman"/>
          <w:color w:val="auto"/>
          <w:spacing w:val="0"/>
          <w:w w:val="99"/>
          <w:position w:val="0"/>
          <w:sz w:val="24"/>
          <w:szCs w:val="24"/>
          <w:highlight w:val="none"/>
          <w:lang w:val="en-US" w:eastAsia="zh-CN" w:bidi="ar-SA"/>
        </w:rPr>
        <w:t>科技有限公司</w:t>
      </w:r>
      <w:r>
        <w:rPr>
          <w:rFonts w:hint="default" w:ascii="Times New Roman" w:hAnsi="Times New Roman" w:eastAsia="宋体" w:cs="Times New Roman"/>
          <w:color w:val="auto"/>
          <w:spacing w:val="0"/>
          <w:w w:val="99"/>
          <w:position w:val="0"/>
          <w:sz w:val="24"/>
          <w:szCs w:val="24"/>
          <w:highlight w:val="none"/>
          <w:lang w:val="en-US" w:eastAsia="zh-CN" w:bidi="ar-SA"/>
        </w:rPr>
        <w:t>编制环境影响报告书。接受委托后，项目负责人对项目的建设方案进行了详细分析，并对拟建井区域进行多次实地考察，并结合项目方案，分析了项目的类型、性质、建设规模及所在区域的环境状况，在详细研究了相关资料并进行类比调查分析的情况下，按照国家环境影响评价技术导则的要求，编制了《</w:t>
      </w:r>
      <w:r>
        <w:rPr>
          <w:rFonts w:hint="eastAsia" w:ascii="Times New Roman" w:hAnsi="Times New Roman" w:cs="Times New Roman"/>
          <w:color w:val="auto"/>
          <w:spacing w:val="0"/>
          <w:w w:val="99"/>
          <w:position w:val="0"/>
          <w:sz w:val="24"/>
          <w:szCs w:val="24"/>
          <w:highlight w:val="none"/>
          <w:lang w:val="en-US" w:eastAsia="zh-CN" w:bidi="ar-SA"/>
        </w:rPr>
        <w:t>徐深27-H1井地面工程项目</w:t>
      </w:r>
      <w:r>
        <w:rPr>
          <w:rFonts w:hint="default" w:ascii="Times New Roman" w:hAnsi="Times New Roman" w:eastAsia="宋体" w:cs="Times New Roman"/>
          <w:color w:val="auto"/>
          <w:spacing w:val="0"/>
          <w:w w:val="99"/>
          <w:position w:val="0"/>
          <w:sz w:val="24"/>
          <w:szCs w:val="24"/>
          <w:highlight w:val="none"/>
          <w:lang w:val="en-US" w:eastAsia="zh-CN" w:bidi="ar-SA"/>
        </w:rPr>
        <w:t>环境影响报告书》。</w:t>
      </w:r>
    </w:p>
    <w:p w14:paraId="6AB347F3">
      <w:pPr>
        <w:pStyle w:val="5"/>
        <w:keepNext w:val="0"/>
        <w:keepLines w:val="0"/>
        <w:widowControl w:val="0"/>
        <w:spacing w:before="120" w:after="120" w:line="440" w:lineRule="exact"/>
        <w:jc w:val="both"/>
        <w:rPr>
          <w:rFonts w:ascii="Times New Roman" w:hAnsi="Times New Roman" w:eastAsia="宋体"/>
          <w:b/>
          <w:snapToGrid w:val="0"/>
          <w:color w:val="auto"/>
          <w:w w:val="99"/>
          <w:highlight w:val="none"/>
        </w:rPr>
      </w:pPr>
      <w:bookmarkStart w:id="7" w:name="_Toc26471"/>
      <w:r>
        <w:rPr>
          <w:rFonts w:ascii="Times New Roman" w:hAnsi="Times New Roman" w:eastAsia="宋体"/>
          <w:b/>
          <w:snapToGrid w:val="0"/>
          <w:color w:val="auto"/>
          <w:w w:val="99"/>
          <w:highlight w:val="none"/>
        </w:rPr>
        <w:t>1.2项目特点</w:t>
      </w:r>
      <w:bookmarkEnd w:id="6"/>
      <w:bookmarkEnd w:id="7"/>
    </w:p>
    <w:p w14:paraId="7ADC3481">
      <w:pPr>
        <w:pStyle w:val="7"/>
        <w:widowControl w:val="0"/>
        <w:spacing w:before="60" w:after="60" w:line="440" w:lineRule="exact"/>
        <w:jc w:val="both"/>
        <w:rPr>
          <w:rFonts w:eastAsiaTheme="minorEastAsia"/>
          <w:b/>
          <w:color w:val="auto"/>
          <w:w w:val="99"/>
          <w:kern w:val="2"/>
          <w:sz w:val="24"/>
          <w:szCs w:val="24"/>
          <w:highlight w:val="none"/>
        </w:rPr>
      </w:pPr>
      <w:bookmarkStart w:id="8" w:name="_Toc186444221"/>
      <w:bookmarkStart w:id="9" w:name="_Toc143099523"/>
      <w:bookmarkStart w:id="10" w:name="_Toc84929175"/>
      <w:bookmarkStart w:id="11" w:name="_Toc126863339"/>
      <w:bookmarkStart w:id="12" w:name="_Toc86141883"/>
      <w:bookmarkStart w:id="13" w:name="_Toc131167238"/>
      <w:bookmarkStart w:id="14" w:name="_Toc127192288"/>
      <w:bookmarkStart w:id="15" w:name="_Toc85640700"/>
      <w:bookmarkStart w:id="16" w:name="_Toc80588203"/>
      <w:bookmarkStart w:id="17" w:name="_Toc80588204"/>
      <w:bookmarkStart w:id="18" w:name="_Toc76976191"/>
      <w:bookmarkStart w:id="19" w:name="_Toc71371891"/>
      <w:bookmarkStart w:id="20" w:name="_Toc83209420"/>
      <w:bookmarkStart w:id="21" w:name="_Toc78816408"/>
      <w:bookmarkStart w:id="22" w:name="_Toc83209421"/>
      <w:bookmarkStart w:id="23" w:name="_Toc74812263"/>
      <w:bookmarkStart w:id="24" w:name="_Toc76976192"/>
      <w:bookmarkStart w:id="25" w:name="_Toc77067607"/>
      <w:bookmarkStart w:id="26" w:name="_Toc80971326"/>
      <w:bookmarkStart w:id="27" w:name="_Toc78816409"/>
      <w:bookmarkStart w:id="28" w:name="_Toc71371892"/>
      <w:bookmarkStart w:id="29" w:name="_Toc74812262"/>
      <w:bookmarkStart w:id="30" w:name="_Toc80971325"/>
      <w:bookmarkStart w:id="31" w:name="_Toc77067608"/>
      <w:bookmarkStart w:id="32" w:name="_Toc22290"/>
      <w:r>
        <w:rPr>
          <w:rFonts w:eastAsiaTheme="minorEastAsia"/>
          <w:b/>
          <w:color w:val="auto"/>
          <w:w w:val="99"/>
          <w:kern w:val="2"/>
          <w:sz w:val="24"/>
          <w:szCs w:val="24"/>
          <w:highlight w:val="none"/>
        </w:rPr>
        <w:t>1.2.1项目</w:t>
      </w:r>
      <w:bookmarkEnd w:id="8"/>
      <w:bookmarkEnd w:id="9"/>
      <w:r>
        <w:rPr>
          <w:rFonts w:hint="eastAsia" w:eastAsiaTheme="minorEastAsia"/>
          <w:b/>
          <w:color w:val="auto"/>
          <w:w w:val="99"/>
          <w:kern w:val="2"/>
          <w:sz w:val="24"/>
          <w:szCs w:val="24"/>
          <w:highlight w:val="none"/>
        </w:rPr>
        <w:t>特点</w:t>
      </w:r>
    </w:p>
    <w:p w14:paraId="1273F8CF">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highlight w:val="none"/>
          <w:lang w:val="en-US" w:eastAsia="zh-CN"/>
        </w:rPr>
      </w:pPr>
      <w:r>
        <w:rPr>
          <w:rFonts w:hint="eastAsia" w:ascii="Times New Roman" w:hAnsi="Times New Roman" w:eastAsia="宋体" w:cs="Times New Roman"/>
          <w:color w:val="auto"/>
          <w:spacing w:val="0"/>
          <w:w w:val="99"/>
          <w:position w:val="0"/>
          <w:sz w:val="24"/>
          <w:szCs w:val="24"/>
          <w:highlight w:val="none"/>
          <w:lang w:val="en-US" w:eastAsia="zh-CN" w:bidi="ar-SA"/>
        </w:rPr>
        <w:t>本项目位于</w:t>
      </w:r>
      <w:r>
        <w:rPr>
          <w:rFonts w:hint="eastAsia" w:ascii="Times New Roman" w:hAnsi="Times New Roman" w:cs="Times New Roman"/>
          <w:color w:val="auto"/>
          <w:spacing w:val="0"/>
          <w:w w:val="99"/>
          <w:position w:val="0"/>
          <w:sz w:val="24"/>
          <w:szCs w:val="24"/>
          <w:highlight w:val="none"/>
          <w:lang w:val="en-US" w:eastAsia="zh-CN" w:bidi="ar-SA"/>
        </w:rPr>
        <w:t>肇东市跃进乡</w:t>
      </w:r>
      <w:r>
        <w:rPr>
          <w:rFonts w:hint="eastAsia" w:ascii="Times New Roman" w:hAnsi="Times New Roman" w:eastAsia="宋体" w:cs="Times New Roman"/>
          <w:color w:val="auto"/>
          <w:spacing w:val="0"/>
          <w:w w:val="99"/>
          <w:position w:val="0"/>
          <w:sz w:val="24"/>
          <w:szCs w:val="24"/>
          <w:highlight w:val="none"/>
          <w:lang w:val="en-US" w:eastAsia="zh-CN" w:bidi="ar-SA"/>
        </w:rPr>
        <w:t>，主要位于徐深</w:t>
      </w:r>
      <w:r>
        <w:rPr>
          <w:rFonts w:hint="eastAsia" w:ascii="Times New Roman" w:hAnsi="Times New Roman" w:cs="Times New Roman"/>
          <w:color w:val="auto"/>
          <w:spacing w:val="0"/>
          <w:w w:val="99"/>
          <w:position w:val="0"/>
          <w:sz w:val="24"/>
          <w:szCs w:val="24"/>
          <w:highlight w:val="none"/>
          <w:lang w:val="en-US" w:eastAsia="zh-CN" w:bidi="ar-SA"/>
        </w:rPr>
        <w:t>其他徐深27井</w:t>
      </w:r>
      <w:r>
        <w:rPr>
          <w:rFonts w:hint="default" w:ascii="Times New Roman" w:hAnsi="Times New Roman" w:eastAsia="宋体" w:cs="Times New Roman"/>
          <w:color w:val="auto"/>
          <w:spacing w:val="0"/>
          <w:w w:val="99"/>
          <w:position w:val="0"/>
          <w:sz w:val="24"/>
          <w:szCs w:val="24"/>
          <w:highlight w:val="none"/>
          <w:lang w:val="en-US" w:eastAsia="zh-CN" w:bidi="ar-SA"/>
        </w:rPr>
        <w:t>块</w:t>
      </w:r>
      <w:r>
        <w:rPr>
          <w:rFonts w:hint="eastAsia" w:ascii="Times New Roman" w:hAnsi="Times New Roman" w:eastAsia="宋体" w:cs="Times New Roman"/>
          <w:color w:val="auto"/>
          <w:spacing w:val="0"/>
          <w:w w:val="99"/>
          <w:position w:val="0"/>
          <w:sz w:val="24"/>
          <w:szCs w:val="24"/>
          <w:highlight w:val="none"/>
          <w:lang w:val="en-US" w:eastAsia="zh-CN" w:bidi="ar-SA"/>
        </w:rPr>
        <w:t>。区块内建有较为完善的油、气、水、电、路、信等工程，项目建设均可就近搭接，大大减少项目工程量，从环保角度可控；</w:t>
      </w:r>
      <w:r>
        <w:rPr>
          <w:rFonts w:hint="default" w:ascii="Times New Roman" w:hAnsi="Times New Roman" w:eastAsiaTheme="minorEastAsia"/>
          <w:bCs/>
          <w:color w:val="auto"/>
          <w:w w:val="99"/>
          <w:highlight w:val="none"/>
        </w:rPr>
        <w:t>徐深</w:t>
      </w:r>
      <w:r>
        <w:rPr>
          <w:rFonts w:hint="default" w:ascii="Times New Roman" w:hAnsi="Times New Roman" w:eastAsiaTheme="minorEastAsia"/>
          <w:bCs/>
          <w:color w:val="auto"/>
          <w:w w:val="99"/>
          <w:highlight w:val="none"/>
          <w:lang w:val="en-US" w:eastAsia="zh-CN"/>
        </w:rPr>
        <w:t>27</w:t>
      </w:r>
      <w:r>
        <w:rPr>
          <w:rFonts w:hint="default" w:ascii="Times New Roman" w:hAnsi="Times New Roman" w:eastAsiaTheme="minorEastAsia"/>
          <w:bCs/>
          <w:color w:val="auto"/>
          <w:w w:val="99"/>
          <w:highlight w:val="none"/>
        </w:rPr>
        <w:t>区块目前共辖井</w:t>
      </w:r>
      <w:r>
        <w:rPr>
          <w:rFonts w:hint="default" w:ascii="Times New Roman" w:hAnsi="Times New Roman" w:eastAsiaTheme="minorEastAsia"/>
          <w:bCs/>
          <w:color w:val="auto"/>
          <w:w w:val="99"/>
          <w:highlight w:val="none"/>
          <w:lang w:val="en-US" w:eastAsia="zh-CN"/>
        </w:rPr>
        <w:t>3</w:t>
      </w:r>
      <w:r>
        <w:rPr>
          <w:rFonts w:hint="default" w:ascii="Times New Roman" w:hAnsi="Times New Roman" w:eastAsiaTheme="minorEastAsia"/>
          <w:bCs/>
          <w:color w:val="auto"/>
          <w:w w:val="99"/>
          <w:highlight w:val="none"/>
        </w:rPr>
        <w:t>口，集气站</w:t>
      </w:r>
      <w:r>
        <w:rPr>
          <w:rFonts w:hint="default" w:ascii="Times New Roman" w:hAnsi="Times New Roman" w:eastAsiaTheme="minorEastAsia"/>
          <w:bCs/>
          <w:color w:val="auto"/>
          <w:w w:val="99"/>
          <w:highlight w:val="none"/>
          <w:lang w:val="en-US" w:eastAsia="zh-CN"/>
        </w:rPr>
        <w:t>1</w:t>
      </w:r>
      <w:r>
        <w:rPr>
          <w:rFonts w:hint="default" w:ascii="Times New Roman" w:hAnsi="Times New Roman" w:eastAsiaTheme="minorEastAsia"/>
          <w:bCs/>
          <w:color w:val="auto"/>
          <w:w w:val="99"/>
          <w:highlight w:val="none"/>
        </w:rPr>
        <w:t>座，</w:t>
      </w:r>
      <w:r>
        <w:rPr>
          <w:rFonts w:hint="eastAsia" w:ascii="Times New Roman" w:hAnsi="Times New Roman" w:eastAsiaTheme="minorEastAsia"/>
          <w:bCs/>
          <w:color w:val="auto"/>
          <w:w w:val="99"/>
          <w:highlight w:val="none"/>
          <w:lang w:val="en-US" w:eastAsia="zh-CN"/>
        </w:rPr>
        <w:t>输气管线</w:t>
      </w:r>
      <w:r>
        <w:rPr>
          <w:rFonts w:hint="default" w:ascii="Times New Roman" w:hAnsi="Times New Roman" w:eastAsiaTheme="minorEastAsia"/>
          <w:bCs/>
          <w:color w:val="auto"/>
          <w:w w:val="99"/>
          <w:highlight w:val="none"/>
          <w:lang w:val="en-US" w:eastAsia="zh-CN"/>
        </w:rPr>
        <w:t>5.26</w:t>
      </w:r>
      <w:r>
        <w:rPr>
          <w:rFonts w:hint="default" w:ascii="Times New Roman" w:hAnsi="Times New Roman" w:eastAsiaTheme="minorEastAsia"/>
          <w:bCs/>
          <w:color w:val="auto"/>
          <w:w w:val="99"/>
          <w:highlight w:val="none"/>
        </w:rPr>
        <w:t>km</w:t>
      </w:r>
      <w:r>
        <w:rPr>
          <w:rFonts w:hint="eastAsia" w:ascii="Times New Roman" w:hAnsi="Times New Roman" w:eastAsiaTheme="minorEastAsia"/>
          <w:bCs/>
          <w:color w:val="auto"/>
          <w:w w:val="99"/>
          <w:highlight w:val="none"/>
          <w:lang w:eastAsia="zh-CN"/>
        </w:rPr>
        <w:t>，</w:t>
      </w:r>
      <w:r>
        <w:rPr>
          <w:rFonts w:hint="default" w:ascii="Times New Roman" w:hAnsi="Times New Roman" w:eastAsiaTheme="minorEastAsia"/>
          <w:bCs/>
          <w:color w:val="auto"/>
          <w:w w:val="99"/>
          <w:highlight w:val="none"/>
        </w:rPr>
        <w:t>总产气规模</w:t>
      </w:r>
      <w:r>
        <w:rPr>
          <w:rFonts w:hint="default" w:ascii="Times New Roman" w:hAnsi="Times New Roman" w:eastAsiaTheme="minorEastAsia"/>
          <w:bCs/>
          <w:color w:val="auto"/>
          <w:w w:val="99"/>
          <w:highlight w:val="none"/>
          <w:lang w:val="en-US" w:eastAsia="zh-CN"/>
        </w:rPr>
        <w:t>9</w:t>
      </w:r>
      <w:r>
        <w:rPr>
          <w:rFonts w:hint="default" w:ascii="Times New Roman" w:hAnsi="Times New Roman" w:eastAsiaTheme="minorEastAsia"/>
          <w:bCs/>
          <w:color w:val="auto"/>
          <w:w w:val="99"/>
          <w:highlight w:val="none"/>
        </w:rPr>
        <w:t>×10</w:t>
      </w:r>
      <w:r>
        <w:rPr>
          <w:rFonts w:hint="default" w:ascii="Times New Roman" w:hAnsi="Times New Roman" w:eastAsiaTheme="minorEastAsia"/>
          <w:bCs/>
          <w:color w:val="auto"/>
          <w:w w:val="99"/>
          <w:highlight w:val="none"/>
          <w:vertAlign w:val="superscript"/>
        </w:rPr>
        <w:t>4</w:t>
      </w:r>
      <w:r>
        <w:rPr>
          <w:rFonts w:hint="default" w:ascii="Times New Roman" w:hAnsi="Times New Roman" w:eastAsiaTheme="minorEastAsia"/>
          <w:bCs/>
          <w:color w:val="auto"/>
          <w:w w:val="99"/>
          <w:highlight w:val="none"/>
        </w:rPr>
        <w:t>m</w:t>
      </w:r>
      <w:r>
        <w:rPr>
          <w:rFonts w:hint="default" w:ascii="Times New Roman" w:hAnsi="Times New Roman" w:eastAsiaTheme="minorEastAsia"/>
          <w:bCs/>
          <w:color w:val="auto"/>
          <w:w w:val="99"/>
          <w:highlight w:val="none"/>
          <w:vertAlign w:val="superscript"/>
        </w:rPr>
        <w:t>3</w:t>
      </w:r>
      <w:r>
        <w:rPr>
          <w:rFonts w:hint="default" w:ascii="Times New Roman" w:hAnsi="Times New Roman" w:eastAsiaTheme="minorEastAsia"/>
          <w:bCs/>
          <w:color w:val="auto"/>
          <w:w w:val="99"/>
          <w:highlight w:val="none"/>
        </w:rPr>
        <w:t>/d，徐深</w:t>
      </w:r>
      <w:r>
        <w:rPr>
          <w:rFonts w:hint="default" w:ascii="Times New Roman" w:hAnsi="Times New Roman" w:eastAsiaTheme="minorEastAsia"/>
          <w:bCs/>
          <w:color w:val="auto"/>
          <w:w w:val="99"/>
          <w:highlight w:val="none"/>
          <w:lang w:val="en-US" w:eastAsia="zh-CN"/>
        </w:rPr>
        <w:t>27</w:t>
      </w:r>
      <w:r>
        <w:rPr>
          <w:rFonts w:hint="default" w:ascii="Times New Roman" w:hAnsi="Times New Roman" w:eastAsiaTheme="minorEastAsia"/>
          <w:bCs/>
          <w:color w:val="auto"/>
          <w:w w:val="99"/>
          <w:highlight w:val="none"/>
        </w:rPr>
        <w:t>区块有完善的集气管网，</w:t>
      </w:r>
      <w:r>
        <w:rPr>
          <w:rFonts w:hint="default" w:ascii="Times New Roman" w:hAnsi="Times New Roman" w:eastAsia="宋体" w:cs="Times New Roman"/>
          <w:color w:val="auto"/>
          <w:w w:val="99"/>
          <w:highlight w:val="none"/>
          <w:lang w:val="en-US" w:eastAsia="zh-CN"/>
        </w:rPr>
        <w:t>区块内已建有气、水、电、道路等工程。</w:t>
      </w:r>
    </w:p>
    <w:p w14:paraId="19FFD1BB">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cs="Times New Roman"/>
          <w:b w:val="0"/>
          <w:bCs/>
          <w:color w:val="auto"/>
          <w:w w:val="99"/>
          <w:sz w:val="24"/>
          <w:szCs w:val="24"/>
          <w:highlight w:val="none"/>
          <w:lang w:val="en-US" w:eastAsia="zh-CN"/>
        </w:rPr>
        <w:t>区块内3口采气井，其中</w:t>
      </w:r>
      <w:r>
        <w:rPr>
          <w:rFonts w:hint="eastAsia" w:ascii="Times New Roman" w:hAnsi="Times New Roman" w:eastAsiaTheme="minorEastAsia"/>
          <w:bCs/>
          <w:color w:val="auto"/>
          <w:w w:val="99"/>
          <w:highlight w:val="none"/>
        </w:rPr>
        <w:t>徐深</w:t>
      </w:r>
      <w:r>
        <w:rPr>
          <w:rFonts w:hint="default" w:ascii="Times New Roman" w:hAnsi="Times New Roman" w:eastAsiaTheme="minorEastAsia"/>
          <w:bCs/>
          <w:color w:val="auto"/>
          <w:w w:val="99"/>
          <w:highlight w:val="none"/>
        </w:rPr>
        <w:t>27</w:t>
      </w:r>
      <w:r>
        <w:rPr>
          <w:rFonts w:hint="eastAsia" w:ascii="Times New Roman" w:hAnsi="Times New Roman" w:eastAsiaTheme="minorEastAsia"/>
          <w:bCs/>
          <w:color w:val="auto"/>
          <w:w w:val="99"/>
          <w:highlight w:val="none"/>
        </w:rPr>
        <w:t>井、徐深2</w:t>
      </w:r>
      <w:r>
        <w:rPr>
          <w:rFonts w:hint="default" w:ascii="Times New Roman" w:hAnsi="Times New Roman" w:eastAsiaTheme="minorEastAsia"/>
          <w:bCs/>
          <w:color w:val="auto"/>
          <w:w w:val="99"/>
          <w:highlight w:val="none"/>
        </w:rPr>
        <w:t>13</w:t>
      </w:r>
      <w:r>
        <w:rPr>
          <w:rFonts w:hint="eastAsia" w:ascii="Times New Roman" w:hAnsi="Times New Roman" w:eastAsiaTheme="minorEastAsia"/>
          <w:bCs/>
          <w:color w:val="auto"/>
          <w:w w:val="99"/>
          <w:highlight w:val="none"/>
        </w:rPr>
        <w:t>井钻井工程于</w:t>
      </w:r>
      <w:r>
        <w:rPr>
          <w:rFonts w:hint="default" w:ascii="Times New Roman" w:hAnsi="Times New Roman" w:eastAsiaTheme="minorEastAsia"/>
          <w:bCs/>
          <w:color w:val="auto"/>
          <w:w w:val="99"/>
          <w:highlight w:val="none"/>
        </w:rPr>
        <w:t>1982</w:t>
      </w:r>
      <w:r>
        <w:rPr>
          <w:rFonts w:hint="eastAsia" w:ascii="Times New Roman" w:hAnsi="Times New Roman" w:eastAsiaTheme="minorEastAsia"/>
          <w:bCs/>
          <w:color w:val="auto"/>
          <w:w w:val="99"/>
          <w:highlight w:val="none"/>
        </w:rPr>
        <w:t>年完成了钻井工作，由于钻井时间太早，因此未进行环境影响评价工作</w:t>
      </w:r>
      <w:r>
        <w:rPr>
          <w:rFonts w:hint="eastAsia" w:ascii="Times New Roman" w:hAnsi="Times New Roman" w:eastAsiaTheme="minorEastAsia"/>
          <w:bCs/>
          <w:color w:val="auto"/>
          <w:w w:val="99"/>
          <w:highlight w:val="none"/>
          <w:lang w:eastAsia="zh-CN"/>
        </w:rPr>
        <w:t>；</w:t>
      </w:r>
      <w:r>
        <w:rPr>
          <w:rFonts w:hint="eastAsia" w:ascii="Times New Roman" w:hAnsi="Times New Roman" w:eastAsiaTheme="minorEastAsia"/>
          <w:bCs/>
          <w:color w:val="auto"/>
          <w:w w:val="99"/>
          <w:highlight w:val="none"/>
        </w:rPr>
        <w:t>大庆油田工程有限公司于201</w:t>
      </w:r>
      <w:r>
        <w:rPr>
          <w:rFonts w:hint="default" w:ascii="Times New Roman" w:hAnsi="Times New Roman" w:eastAsiaTheme="minorEastAsia"/>
          <w:bCs/>
          <w:color w:val="auto"/>
          <w:w w:val="99"/>
          <w:highlight w:val="none"/>
        </w:rPr>
        <w:t>5</w:t>
      </w:r>
      <w:r>
        <w:rPr>
          <w:rFonts w:hint="eastAsia" w:ascii="Times New Roman" w:hAnsi="Times New Roman" w:eastAsiaTheme="minorEastAsia"/>
          <w:bCs/>
          <w:color w:val="auto"/>
          <w:w w:val="99"/>
          <w:highlight w:val="none"/>
        </w:rPr>
        <w:t>年</w:t>
      </w:r>
      <w:r>
        <w:rPr>
          <w:rFonts w:hint="default" w:ascii="Times New Roman" w:hAnsi="Times New Roman" w:eastAsiaTheme="minorEastAsia"/>
          <w:bCs/>
          <w:color w:val="auto"/>
          <w:w w:val="99"/>
          <w:highlight w:val="none"/>
        </w:rPr>
        <w:t>9</w:t>
      </w:r>
      <w:r>
        <w:rPr>
          <w:rFonts w:hint="eastAsia" w:ascii="Times New Roman" w:hAnsi="Times New Roman" w:eastAsiaTheme="minorEastAsia"/>
          <w:bCs/>
          <w:color w:val="auto"/>
          <w:w w:val="99"/>
          <w:highlight w:val="none"/>
        </w:rPr>
        <w:t>月份编制完成了《徐深2</w:t>
      </w:r>
      <w:r>
        <w:rPr>
          <w:rFonts w:hint="default" w:ascii="Times New Roman" w:hAnsi="Times New Roman" w:eastAsiaTheme="minorEastAsia"/>
          <w:bCs/>
          <w:color w:val="auto"/>
          <w:w w:val="99"/>
          <w:highlight w:val="none"/>
        </w:rPr>
        <w:t>7-</w:t>
      </w:r>
      <w:r>
        <w:rPr>
          <w:rFonts w:hint="eastAsia" w:ascii="Times New Roman" w:hAnsi="Times New Roman" w:eastAsiaTheme="minorEastAsia"/>
          <w:bCs/>
          <w:color w:val="auto"/>
          <w:w w:val="99"/>
          <w:highlight w:val="none"/>
        </w:rPr>
        <w:t>平1井钻井工程</w:t>
      </w:r>
      <w:r>
        <w:rPr>
          <w:rFonts w:hint="default" w:ascii="Times New Roman" w:hAnsi="Times New Roman" w:eastAsiaTheme="minorEastAsia"/>
          <w:bCs/>
          <w:color w:val="auto"/>
          <w:w w:val="99"/>
          <w:highlight w:val="none"/>
        </w:rPr>
        <w:t>环境影响报告表</w:t>
      </w:r>
      <w:r>
        <w:rPr>
          <w:rFonts w:hint="eastAsia" w:ascii="Times New Roman" w:hAnsi="Times New Roman" w:eastAsiaTheme="minorEastAsia"/>
          <w:bCs/>
          <w:color w:val="auto"/>
          <w:w w:val="99"/>
          <w:highlight w:val="none"/>
        </w:rPr>
        <w:t>》。大庆市环境保护局于</w:t>
      </w:r>
      <w:r>
        <w:rPr>
          <w:rFonts w:hint="default" w:ascii="Times New Roman" w:hAnsi="Times New Roman" w:eastAsiaTheme="minorEastAsia"/>
          <w:bCs/>
          <w:color w:val="auto"/>
          <w:w w:val="99"/>
          <w:highlight w:val="none"/>
        </w:rPr>
        <w:t>20</w:t>
      </w:r>
      <w:r>
        <w:rPr>
          <w:rFonts w:hint="eastAsia" w:ascii="Times New Roman" w:hAnsi="Times New Roman" w:eastAsiaTheme="minorEastAsia"/>
          <w:bCs/>
          <w:color w:val="auto"/>
          <w:w w:val="99"/>
          <w:highlight w:val="none"/>
        </w:rPr>
        <w:t>1</w:t>
      </w:r>
      <w:r>
        <w:rPr>
          <w:rFonts w:hint="default" w:ascii="Times New Roman" w:hAnsi="Times New Roman" w:eastAsiaTheme="minorEastAsia"/>
          <w:bCs/>
          <w:color w:val="auto"/>
          <w:w w:val="99"/>
          <w:highlight w:val="none"/>
        </w:rPr>
        <w:t>5年9月16日</w:t>
      </w:r>
      <w:r>
        <w:rPr>
          <w:rFonts w:hint="eastAsia" w:ascii="Times New Roman" w:hAnsi="Times New Roman" w:eastAsiaTheme="minorEastAsia"/>
          <w:bCs/>
          <w:color w:val="auto"/>
          <w:w w:val="99"/>
          <w:highlight w:val="none"/>
        </w:rPr>
        <w:t>以庆环审〔2015〕</w:t>
      </w:r>
      <w:r>
        <w:rPr>
          <w:rFonts w:hint="default" w:ascii="Times New Roman" w:hAnsi="Times New Roman" w:eastAsiaTheme="minorEastAsia"/>
          <w:bCs/>
          <w:color w:val="auto"/>
          <w:w w:val="99"/>
          <w:highlight w:val="none"/>
        </w:rPr>
        <w:t>236号文件对</w:t>
      </w:r>
      <w:r>
        <w:rPr>
          <w:rFonts w:hint="eastAsia" w:ascii="Times New Roman" w:hAnsi="Times New Roman" w:eastAsiaTheme="minorEastAsia"/>
          <w:bCs/>
          <w:color w:val="auto"/>
          <w:w w:val="99"/>
          <w:highlight w:val="none"/>
        </w:rPr>
        <w:t>本工程</w:t>
      </w:r>
      <w:r>
        <w:rPr>
          <w:rFonts w:hint="default" w:ascii="Times New Roman" w:hAnsi="Times New Roman" w:eastAsiaTheme="minorEastAsia"/>
          <w:bCs/>
          <w:color w:val="auto"/>
          <w:w w:val="99"/>
          <w:highlight w:val="none"/>
        </w:rPr>
        <w:t>予以了批复</w:t>
      </w:r>
      <w:r>
        <w:rPr>
          <w:rFonts w:hint="eastAsia" w:ascii="Times New Roman" w:hAnsi="Times New Roman" w:eastAsiaTheme="minorEastAsia"/>
          <w:bCs/>
          <w:color w:val="auto"/>
          <w:w w:val="99"/>
          <w:highlight w:val="none"/>
          <w:lang w:eastAsia="zh-CN"/>
        </w:rPr>
        <w:t>；</w:t>
      </w:r>
      <w:r>
        <w:rPr>
          <w:rFonts w:hint="eastAsia" w:ascii="Times New Roman" w:hAnsi="Times New Roman" w:eastAsiaTheme="minorEastAsia"/>
          <w:bCs/>
          <w:color w:val="auto"/>
          <w:w w:val="99"/>
          <w:highlight w:val="none"/>
        </w:rPr>
        <w:t>大庆油田工程有限公司于201</w:t>
      </w:r>
      <w:r>
        <w:rPr>
          <w:rFonts w:hint="default" w:ascii="Times New Roman" w:hAnsi="Times New Roman" w:eastAsiaTheme="minorEastAsia"/>
          <w:bCs/>
          <w:color w:val="auto"/>
          <w:w w:val="99"/>
          <w:highlight w:val="none"/>
        </w:rPr>
        <w:t>7</w:t>
      </w:r>
      <w:r>
        <w:rPr>
          <w:rFonts w:hint="eastAsia" w:ascii="Times New Roman" w:hAnsi="Times New Roman" w:eastAsiaTheme="minorEastAsia"/>
          <w:bCs/>
          <w:color w:val="auto"/>
          <w:w w:val="99"/>
          <w:highlight w:val="none"/>
        </w:rPr>
        <w:t>年</w:t>
      </w:r>
      <w:r>
        <w:rPr>
          <w:rFonts w:hint="default" w:ascii="Times New Roman" w:hAnsi="Times New Roman" w:eastAsiaTheme="minorEastAsia"/>
          <w:bCs/>
          <w:color w:val="auto"/>
          <w:w w:val="99"/>
          <w:highlight w:val="none"/>
        </w:rPr>
        <w:t>9</w:t>
      </w:r>
      <w:r>
        <w:rPr>
          <w:rFonts w:hint="eastAsia" w:ascii="Times New Roman" w:hAnsi="Times New Roman" w:eastAsiaTheme="minorEastAsia"/>
          <w:bCs/>
          <w:color w:val="auto"/>
          <w:w w:val="99"/>
          <w:highlight w:val="none"/>
        </w:rPr>
        <w:t>月份编制完成了《2</w:t>
      </w:r>
      <w:r>
        <w:rPr>
          <w:rFonts w:hint="default" w:ascii="Times New Roman" w:hAnsi="Times New Roman" w:eastAsiaTheme="minorEastAsia"/>
          <w:bCs/>
          <w:color w:val="auto"/>
          <w:w w:val="99"/>
          <w:highlight w:val="none"/>
        </w:rPr>
        <w:t>017</w:t>
      </w:r>
      <w:r>
        <w:rPr>
          <w:rFonts w:hint="eastAsia" w:ascii="Times New Roman" w:hAnsi="Times New Roman" w:eastAsiaTheme="minorEastAsia"/>
          <w:bCs/>
          <w:color w:val="auto"/>
          <w:w w:val="99"/>
          <w:highlight w:val="none"/>
        </w:rPr>
        <w:t>年徐深气田徐深2</w:t>
      </w:r>
      <w:r>
        <w:rPr>
          <w:rFonts w:hint="default" w:ascii="Times New Roman" w:hAnsi="Times New Roman" w:eastAsiaTheme="minorEastAsia"/>
          <w:bCs/>
          <w:color w:val="auto"/>
          <w:w w:val="99"/>
          <w:highlight w:val="none"/>
        </w:rPr>
        <w:t>7</w:t>
      </w:r>
      <w:r>
        <w:rPr>
          <w:rFonts w:hint="eastAsia" w:ascii="Times New Roman" w:hAnsi="Times New Roman" w:eastAsiaTheme="minorEastAsia"/>
          <w:bCs/>
          <w:color w:val="auto"/>
          <w:w w:val="99"/>
          <w:highlight w:val="none"/>
        </w:rPr>
        <w:t>井区产能建设工程环境影响报告书》。黑龙江省环境保护厅于2</w:t>
      </w:r>
      <w:r>
        <w:rPr>
          <w:rFonts w:hint="default" w:ascii="Times New Roman" w:hAnsi="Times New Roman" w:eastAsiaTheme="minorEastAsia"/>
          <w:bCs/>
          <w:color w:val="auto"/>
          <w:w w:val="99"/>
          <w:highlight w:val="none"/>
        </w:rPr>
        <w:t>017</w:t>
      </w:r>
      <w:r>
        <w:rPr>
          <w:rFonts w:hint="eastAsia" w:ascii="Times New Roman" w:hAnsi="Times New Roman" w:eastAsiaTheme="minorEastAsia"/>
          <w:bCs/>
          <w:color w:val="auto"/>
          <w:w w:val="99"/>
          <w:highlight w:val="none"/>
        </w:rPr>
        <w:t>年9月2</w:t>
      </w:r>
      <w:r>
        <w:rPr>
          <w:rFonts w:hint="default" w:ascii="Times New Roman" w:hAnsi="Times New Roman" w:eastAsiaTheme="minorEastAsia"/>
          <w:bCs/>
          <w:color w:val="auto"/>
          <w:w w:val="99"/>
          <w:highlight w:val="none"/>
        </w:rPr>
        <w:t>8</w:t>
      </w:r>
      <w:r>
        <w:rPr>
          <w:rFonts w:hint="eastAsia" w:ascii="Times New Roman" w:hAnsi="Times New Roman" w:eastAsiaTheme="minorEastAsia"/>
          <w:bCs/>
          <w:color w:val="auto"/>
          <w:w w:val="99"/>
          <w:highlight w:val="none"/>
        </w:rPr>
        <w:t>日以黑环审</w:t>
      </w:r>
      <w:r>
        <w:rPr>
          <w:rFonts w:hint="default" w:ascii="Times New Roman" w:hAnsi="Times New Roman" w:eastAsiaTheme="minorEastAsia"/>
          <w:bCs/>
          <w:color w:val="auto"/>
          <w:w w:val="99"/>
          <w:highlight w:val="none"/>
        </w:rPr>
        <w:t>〔2017〕51</w:t>
      </w:r>
      <w:r>
        <w:rPr>
          <w:rFonts w:hint="eastAsia" w:ascii="Times New Roman" w:hAnsi="Times New Roman" w:eastAsiaTheme="minorEastAsia"/>
          <w:bCs/>
          <w:color w:val="auto"/>
          <w:w w:val="99"/>
          <w:highlight w:val="none"/>
        </w:rPr>
        <w:t>号文对本工程做出了批复</w:t>
      </w:r>
      <w:r>
        <w:rPr>
          <w:rFonts w:hint="eastAsia" w:ascii="Times New Roman" w:hAnsi="Times New Roman" w:eastAsiaTheme="minorEastAsia"/>
          <w:bCs/>
          <w:color w:val="auto"/>
          <w:w w:val="99"/>
          <w:highlight w:val="none"/>
          <w:lang w:eastAsia="zh-CN"/>
        </w:rPr>
        <w:t>；</w:t>
      </w:r>
      <w:r>
        <w:rPr>
          <w:rFonts w:hint="eastAsia" w:ascii="Times New Roman" w:hAnsi="Times New Roman" w:eastAsiaTheme="minorEastAsia"/>
          <w:bCs/>
          <w:color w:val="auto"/>
          <w:w w:val="99"/>
          <w:highlight w:val="none"/>
          <w:lang w:val="en-US" w:eastAsia="zh-CN"/>
        </w:rPr>
        <w:t>2019年11月《</w:t>
      </w:r>
      <w:r>
        <w:rPr>
          <w:rFonts w:hint="eastAsia" w:ascii="Times New Roman" w:hAnsi="Times New Roman" w:eastAsiaTheme="minorEastAsia"/>
          <w:bCs/>
          <w:color w:val="auto"/>
          <w:w w:val="99"/>
          <w:highlight w:val="none"/>
        </w:rPr>
        <w:t>徐深2</w:t>
      </w:r>
      <w:r>
        <w:rPr>
          <w:rFonts w:hint="default" w:ascii="Times New Roman" w:hAnsi="Times New Roman" w:eastAsiaTheme="minorEastAsia"/>
          <w:bCs/>
          <w:color w:val="auto"/>
          <w:w w:val="99"/>
          <w:highlight w:val="none"/>
        </w:rPr>
        <w:t>7-</w:t>
      </w:r>
      <w:r>
        <w:rPr>
          <w:rFonts w:hint="eastAsia" w:ascii="Times New Roman" w:hAnsi="Times New Roman" w:eastAsiaTheme="minorEastAsia"/>
          <w:bCs/>
          <w:color w:val="auto"/>
          <w:w w:val="99"/>
          <w:highlight w:val="none"/>
        </w:rPr>
        <w:t>平1井钻井工程</w:t>
      </w:r>
      <w:r>
        <w:rPr>
          <w:rFonts w:hint="eastAsia" w:ascii="Times New Roman" w:hAnsi="Times New Roman" w:eastAsiaTheme="minorEastAsia"/>
          <w:bCs/>
          <w:color w:val="auto"/>
          <w:w w:val="99"/>
          <w:highlight w:val="none"/>
          <w:lang w:val="en-US" w:eastAsia="zh-CN"/>
        </w:rPr>
        <w:t>》与《</w:t>
      </w:r>
      <w:r>
        <w:rPr>
          <w:rFonts w:hint="eastAsia" w:ascii="Times New Roman" w:hAnsi="Times New Roman" w:eastAsiaTheme="minorEastAsia"/>
          <w:bCs/>
          <w:color w:val="auto"/>
          <w:w w:val="99"/>
          <w:highlight w:val="none"/>
        </w:rPr>
        <w:t>2</w:t>
      </w:r>
      <w:r>
        <w:rPr>
          <w:rFonts w:hint="default" w:ascii="Times New Roman" w:hAnsi="Times New Roman" w:eastAsiaTheme="minorEastAsia"/>
          <w:bCs/>
          <w:color w:val="auto"/>
          <w:w w:val="99"/>
          <w:highlight w:val="none"/>
        </w:rPr>
        <w:t>017</w:t>
      </w:r>
      <w:r>
        <w:rPr>
          <w:rFonts w:hint="eastAsia" w:ascii="Times New Roman" w:hAnsi="Times New Roman" w:eastAsiaTheme="minorEastAsia"/>
          <w:bCs/>
          <w:color w:val="auto"/>
          <w:w w:val="99"/>
          <w:highlight w:val="none"/>
        </w:rPr>
        <w:t>年徐深气田徐深2</w:t>
      </w:r>
      <w:r>
        <w:rPr>
          <w:rFonts w:hint="default" w:ascii="Times New Roman" w:hAnsi="Times New Roman" w:eastAsiaTheme="minorEastAsia"/>
          <w:bCs/>
          <w:color w:val="auto"/>
          <w:w w:val="99"/>
          <w:highlight w:val="none"/>
        </w:rPr>
        <w:t>7</w:t>
      </w:r>
      <w:r>
        <w:rPr>
          <w:rFonts w:hint="eastAsia" w:ascii="Times New Roman" w:hAnsi="Times New Roman" w:eastAsiaTheme="minorEastAsia"/>
          <w:bCs/>
          <w:color w:val="auto"/>
          <w:w w:val="99"/>
          <w:highlight w:val="none"/>
        </w:rPr>
        <w:t>井区产能建设工程</w:t>
      </w:r>
      <w:r>
        <w:rPr>
          <w:rFonts w:hint="eastAsia" w:ascii="Times New Roman" w:hAnsi="Times New Roman" w:eastAsiaTheme="minorEastAsia"/>
          <w:bCs/>
          <w:color w:val="auto"/>
          <w:w w:val="99"/>
          <w:highlight w:val="none"/>
          <w:lang w:val="en-US" w:eastAsia="zh-CN"/>
        </w:rPr>
        <w:t>》合并验收</w:t>
      </w:r>
      <w:r>
        <w:rPr>
          <w:rFonts w:hint="eastAsia" w:ascii="Times New Roman" w:hAnsi="Times New Roman" w:eastAsiaTheme="minorEastAsia"/>
          <w:bCs/>
          <w:color w:val="auto"/>
          <w:w w:val="99"/>
          <w:highlight w:val="none"/>
        </w:rPr>
        <w:t>。</w:t>
      </w:r>
    </w:p>
    <w:p w14:paraId="6B500C0F">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val="0"/>
          <w:bCs/>
          <w:color w:val="auto"/>
          <w:w w:val="99"/>
          <w:sz w:val="24"/>
          <w:szCs w:val="24"/>
          <w:highlight w:val="none"/>
          <w:lang w:val="en-US" w:eastAsia="zh-CN"/>
        </w:rPr>
      </w:pPr>
      <w:r>
        <w:rPr>
          <w:rFonts w:hint="default" w:ascii="Times New Roman" w:hAnsi="Times New Roman" w:eastAsia="宋体" w:cs="Times New Roman"/>
          <w:b w:val="0"/>
          <w:bCs/>
          <w:color w:val="auto"/>
          <w:w w:val="99"/>
          <w:sz w:val="24"/>
          <w:szCs w:val="24"/>
          <w:highlight w:val="none"/>
          <w:lang w:val="en-US" w:eastAsia="zh-CN"/>
        </w:rPr>
        <w:t>本项目属于典型的生态与污染影响复合型建设项目。本项目生态环境影响主要体现在建设期占用土地、破坏植被、扰动土壤、加大水土流失强度及生态景观破坏等方面。污染影响中重点关注施工过程的各项污染物产生以及可能发生的风险对区域环境产生的影响、施工过程中产生的生态环境问题以及生态恢复措施，完井后进行压裂、试气工程，试气过程井场放空火炬燃烧废气、放空噪声、试气产液等对环境产生的影响。环境风险事故类型有井喷、泄漏、火灾与爆炸等，各类环境风险事故一旦发生，将产生一定的环境影响。</w:t>
      </w:r>
    </w:p>
    <w:bookmarkEnd w:id="10"/>
    <w:bookmarkEnd w:id="11"/>
    <w:bookmarkEnd w:id="12"/>
    <w:bookmarkEnd w:id="13"/>
    <w:bookmarkEnd w:id="14"/>
    <w:bookmarkEnd w:id="15"/>
    <w:p w14:paraId="70C4418E">
      <w:pPr>
        <w:pStyle w:val="7"/>
        <w:widowControl w:val="0"/>
        <w:spacing w:before="60" w:after="60" w:line="440" w:lineRule="exact"/>
        <w:jc w:val="both"/>
        <w:rPr>
          <w:rFonts w:eastAsiaTheme="minorEastAsia"/>
          <w:b/>
          <w:color w:val="auto"/>
          <w:w w:val="99"/>
          <w:kern w:val="2"/>
          <w:sz w:val="24"/>
          <w:szCs w:val="24"/>
          <w:highlight w:val="none"/>
        </w:rPr>
      </w:pPr>
      <w:bookmarkStart w:id="33" w:name="_Toc126863340"/>
      <w:bookmarkStart w:id="34" w:name="_Toc84929176"/>
      <w:bookmarkStart w:id="35" w:name="_Toc131167239"/>
      <w:bookmarkStart w:id="36" w:name="_Toc85640701"/>
      <w:bookmarkStart w:id="37" w:name="_Toc143099526"/>
      <w:bookmarkStart w:id="38" w:name="_Toc86141884"/>
      <w:bookmarkStart w:id="39" w:name="_Toc127192289"/>
      <w:bookmarkStart w:id="40" w:name="_Toc186444224"/>
      <w:r>
        <w:rPr>
          <w:rFonts w:eastAsiaTheme="minorEastAsia"/>
          <w:b/>
          <w:color w:val="auto"/>
          <w:w w:val="99"/>
          <w:kern w:val="2"/>
          <w:sz w:val="24"/>
          <w:szCs w:val="24"/>
          <w:highlight w:val="none"/>
        </w:rPr>
        <w:t>1.2.</w:t>
      </w:r>
      <w:r>
        <w:rPr>
          <w:rFonts w:hint="eastAsia" w:eastAsiaTheme="minorEastAsia"/>
          <w:b/>
          <w:color w:val="auto"/>
          <w:w w:val="99"/>
          <w:kern w:val="2"/>
          <w:sz w:val="24"/>
          <w:szCs w:val="24"/>
          <w:highlight w:val="none"/>
          <w:lang w:val="en-US" w:eastAsia="zh-CN"/>
        </w:rPr>
        <w:t>2</w:t>
      </w:r>
      <w:r>
        <w:rPr>
          <w:rFonts w:eastAsiaTheme="minorEastAsia"/>
          <w:b/>
          <w:color w:val="auto"/>
          <w:w w:val="99"/>
          <w:kern w:val="2"/>
          <w:sz w:val="24"/>
          <w:szCs w:val="24"/>
          <w:highlight w:val="none"/>
        </w:rPr>
        <w:t>工艺特点</w:t>
      </w:r>
      <w:bookmarkEnd w:id="33"/>
      <w:bookmarkEnd w:id="34"/>
      <w:bookmarkEnd w:id="35"/>
      <w:bookmarkEnd w:id="36"/>
      <w:bookmarkEnd w:id="37"/>
      <w:bookmarkEnd w:id="38"/>
      <w:bookmarkEnd w:id="39"/>
      <w:bookmarkEnd w:id="40"/>
    </w:p>
    <w:p w14:paraId="40E1599F">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yellow"/>
          <w:lang w:val="en-US" w:eastAsia="zh-CN" w:bidi="ar-SA"/>
        </w:rPr>
      </w:pPr>
      <w:r>
        <w:rPr>
          <w:rFonts w:hint="eastAsia" w:ascii="Times New Roman" w:hAnsi="Times New Roman" w:eastAsia="宋体" w:cs="Times New Roman"/>
          <w:color w:val="auto"/>
          <w:spacing w:val="0"/>
          <w:w w:val="99"/>
          <w:position w:val="0"/>
          <w:sz w:val="24"/>
          <w:szCs w:val="24"/>
          <w:highlight w:val="none"/>
          <w:lang w:val="en-US" w:eastAsia="zh-CN" w:bidi="ar-SA"/>
        </w:rPr>
        <w:t>施工期，</w:t>
      </w:r>
      <w:r>
        <w:rPr>
          <w:rFonts w:hint="default" w:ascii="Times New Roman" w:hAnsi="Times New Roman" w:eastAsia="宋体" w:cs="Times New Roman"/>
          <w:color w:val="auto"/>
          <w:spacing w:val="0"/>
          <w:w w:val="99"/>
          <w:position w:val="0"/>
          <w:sz w:val="24"/>
          <w:szCs w:val="24"/>
          <w:highlight w:val="none"/>
          <w:lang w:val="en-US" w:eastAsia="zh-CN" w:bidi="ar-SA"/>
        </w:rPr>
        <w:t>本工程</w:t>
      </w:r>
      <w:r>
        <w:rPr>
          <w:rFonts w:hint="eastAsia" w:ascii="Times New Roman" w:hAnsi="Times New Roman" w:cs="Times New Roman" w:eastAsiaTheme="minorEastAsia"/>
          <w:snapToGrid w:val="0"/>
          <w:color w:val="auto"/>
          <w:w w:val="99"/>
          <w:highlight w:val="none"/>
          <w:lang w:val="en-US" w:eastAsia="zh-CN"/>
        </w:rPr>
        <w:t>基建1口气井，井场设置80kW电磁涡流加热装置1座</w:t>
      </w:r>
      <w:r>
        <w:rPr>
          <w:rFonts w:hint="default" w:ascii="Times New Roman" w:hAnsi="Times New Roman" w:cs="Times New Roman" w:eastAsiaTheme="minorEastAsia"/>
          <w:snapToGrid w:val="0"/>
          <w:color w:val="auto"/>
          <w:w w:val="99"/>
          <w:highlight w:val="none"/>
          <w:lang w:val="en-US" w:eastAsia="zh-CN"/>
        </w:rPr>
        <w:t>；</w:t>
      </w:r>
      <w:r>
        <w:rPr>
          <w:rFonts w:hint="eastAsia" w:ascii="Times New Roman" w:hAnsi="Times New Roman" w:cs="Times New Roman" w:eastAsiaTheme="minorEastAsia"/>
          <w:snapToGrid w:val="0"/>
          <w:color w:val="auto"/>
          <w:w w:val="99"/>
          <w:highlight w:val="none"/>
          <w:lang w:val="en-US" w:eastAsia="zh-CN"/>
        </w:rPr>
        <w:t>新建采气管道1.92km，同时配套新建通信工程、自动控制工程、道路工程、供配电工程等内容。输气管道材质采用20#+316L内衬不锈钢材质。</w:t>
      </w:r>
      <w:r>
        <w:rPr>
          <w:rFonts w:hint="default" w:ascii="Times New Roman" w:hAnsi="Times New Roman" w:cs="Times New Roman" w:eastAsiaTheme="minorEastAsia"/>
          <w:snapToGrid w:val="0"/>
          <w:color w:val="auto"/>
          <w:w w:val="99"/>
          <w:highlight w:val="none"/>
          <w:lang w:val="en-US" w:eastAsia="zh-CN"/>
        </w:rPr>
        <w:t>采气管道均采用埋地敷设，管顶标高为-</w:t>
      </w:r>
      <w:r>
        <w:rPr>
          <w:rFonts w:hint="eastAsia" w:ascii="Times New Roman" w:hAnsi="Times New Roman" w:cs="Times New Roman" w:eastAsiaTheme="minorEastAsia"/>
          <w:snapToGrid w:val="0"/>
          <w:color w:val="auto"/>
          <w:w w:val="99"/>
          <w:highlight w:val="none"/>
          <w:lang w:val="en-US" w:eastAsia="zh-CN"/>
        </w:rPr>
        <w:t>1.8</w:t>
      </w:r>
      <w:r>
        <w:rPr>
          <w:rFonts w:hint="default" w:ascii="Times New Roman" w:hAnsi="Times New Roman" w:cs="Times New Roman" w:eastAsiaTheme="minorEastAsia"/>
          <w:snapToGrid w:val="0"/>
          <w:color w:val="auto"/>
          <w:w w:val="99"/>
          <w:highlight w:val="none"/>
          <w:lang w:val="en-US" w:eastAsia="zh-CN"/>
        </w:rPr>
        <w:t>m。</w:t>
      </w:r>
      <w:r>
        <w:rPr>
          <w:rFonts w:hint="eastAsia" w:ascii="Times New Roman" w:hAnsi="Times New Roman" w:cs="Times New Roman" w:eastAsiaTheme="minorEastAsia"/>
          <w:snapToGrid w:val="0"/>
          <w:color w:val="auto"/>
          <w:w w:val="99"/>
          <w:highlight w:val="none"/>
          <w:lang w:val="en-US" w:eastAsia="zh-CN"/>
        </w:rPr>
        <w:t>管沟开挖以机械开挖为主，管线施工涉及钢顶</w:t>
      </w:r>
      <w:r>
        <w:rPr>
          <w:rFonts w:hint="default" w:ascii="Times New Roman" w:hAnsi="Times New Roman" w:cs="Times New Roman" w:eastAsiaTheme="minorEastAsia"/>
          <w:snapToGrid w:val="0"/>
          <w:color w:val="auto"/>
          <w:w w:val="99"/>
          <w:highlight w:val="none"/>
          <w:lang w:val="en-US" w:eastAsia="zh-CN"/>
        </w:rPr>
        <w:t>穿越</w:t>
      </w:r>
      <w:r>
        <w:rPr>
          <w:rFonts w:hint="eastAsia" w:ascii="Times New Roman" w:hAnsi="Times New Roman" w:cs="Times New Roman" w:eastAsiaTheme="minorEastAsia"/>
          <w:snapToGrid w:val="0"/>
          <w:color w:val="auto"/>
          <w:w w:val="99"/>
          <w:highlight w:val="none"/>
          <w:lang w:val="en-US" w:eastAsia="zh-CN"/>
        </w:rPr>
        <w:t>4处</w:t>
      </w:r>
      <w:r>
        <w:rPr>
          <w:rFonts w:hint="default" w:ascii="Times New Roman" w:hAnsi="Times New Roman" w:cs="Times New Roman" w:eastAsiaTheme="minorEastAsia"/>
          <w:snapToGrid w:val="0"/>
          <w:color w:val="auto"/>
          <w:w w:val="99"/>
          <w:highlight w:val="none"/>
          <w:lang w:val="en-US" w:eastAsia="zh-CN"/>
        </w:rPr>
        <w:t>。</w:t>
      </w:r>
    </w:p>
    <w:p w14:paraId="74B9B9E8">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eastAsia="宋体" w:cs="Times New Roman"/>
          <w:color w:val="auto"/>
          <w:spacing w:val="0"/>
          <w:w w:val="99"/>
          <w:position w:val="0"/>
          <w:sz w:val="24"/>
          <w:szCs w:val="24"/>
          <w:highlight w:val="none"/>
          <w:lang w:val="en-US" w:eastAsia="zh-CN" w:bidi="ar-SA"/>
        </w:rPr>
        <w:t>运营期，</w:t>
      </w:r>
      <w:r>
        <w:rPr>
          <w:rFonts w:hint="default" w:ascii="Times New Roman" w:hAnsi="Times New Roman" w:eastAsia="宋体" w:cs="Times New Roman"/>
          <w:color w:val="auto"/>
          <w:spacing w:val="0"/>
          <w:w w:val="99"/>
          <w:position w:val="0"/>
          <w:sz w:val="24"/>
          <w:szCs w:val="24"/>
          <w:highlight w:val="none"/>
          <w:lang w:val="en-US" w:eastAsia="zh-CN" w:bidi="ar-SA"/>
        </w:rPr>
        <w:t>站外系统采用</w:t>
      </w:r>
      <w:r>
        <w:rPr>
          <w:rFonts w:hint="eastAsia" w:ascii="Times New Roman" w:hAnsi="Times New Roman" w:eastAsia="宋体" w:cs="Times New Roman"/>
          <w:color w:val="auto"/>
          <w:spacing w:val="0"/>
          <w:w w:val="99"/>
          <w:position w:val="0"/>
          <w:sz w:val="24"/>
          <w:szCs w:val="24"/>
          <w:highlight w:val="none"/>
          <w:lang w:val="en-US" w:eastAsia="zh-CN" w:bidi="ar-SA"/>
        </w:rPr>
        <w:t>井场一级加热节流降压、采气管道</w:t>
      </w:r>
      <w:r>
        <w:rPr>
          <w:rFonts w:hint="default" w:ascii="Times New Roman" w:hAnsi="Times New Roman" w:eastAsia="宋体" w:cs="Times New Roman"/>
          <w:color w:val="auto"/>
          <w:spacing w:val="0"/>
          <w:w w:val="99"/>
          <w:position w:val="0"/>
          <w:sz w:val="24"/>
          <w:szCs w:val="24"/>
          <w:highlight w:val="none"/>
          <w:lang w:val="en-US" w:eastAsia="zh-CN" w:bidi="ar-SA"/>
        </w:rPr>
        <w:t>高压集气工艺；集气和预处理系统采用多井集气，在集气站内</w:t>
      </w:r>
      <w:r>
        <w:rPr>
          <w:rFonts w:hint="eastAsia" w:ascii="Times New Roman" w:hAnsi="Times New Roman" w:eastAsia="宋体" w:cs="Times New Roman"/>
          <w:color w:val="auto"/>
          <w:spacing w:val="0"/>
          <w:w w:val="99"/>
          <w:position w:val="0"/>
          <w:sz w:val="24"/>
          <w:szCs w:val="24"/>
          <w:highlight w:val="none"/>
          <w:lang w:val="en-US" w:eastAsia="zh-CN" w:bidi="ar-SA"/>
        </w:rPr>
        <w:t>进行二级</w:t>
      </w:r>
      <w:r>
        <w:rPr>
          <w:rFonts w:hint="default" w:ascii="Times New Roman" w:hAnsi="Times New Roman" w:eastAsia="宋体" w:cs="Times New Roman"/>
          <w:color w:val="auto"/>
          <w:spacing w:val="0"/>
          <w:w w:val="99"/>
          <w:position w:val="0"/>
          <w:sz w:val="24"/>
          <w:szCs w:val="24"/>
          <w:highlight w:val="none"/>
          <w:lang w:val="en-US" w:eastAsia="zh-CN" w:bidi="ar-SA"/>
        </w:rPr>
        <w:t>加热节流降压、多井轮换计量</w:t>
      </w:r>
      <w:r>
        <w:rPr>
          <w:rFonts w:hint="eastAsia" w:ascii="Times New Roman" w:hAnsi="Times New Roman" w:eastAsia="宋体" w:cs="Times New Roman"/>
          <w:color w:val="auto"/>
          <w:spacing w:val="0"/>
          <w:w w:val="99"/>
          <w:position w:val="0"/>
          <w:sz w:val="24"/>
          <w:szCs w:val="24"/>
          <w:highlight w:val="none"/>
          <w:lang w:val="en-US" w:eastAsia="zh-CN" w:bidi="ar-SA"/>
        </w:rPr>
        <w:t>、湿气外输工艺，湿气进入徐深</w:t>
      </w:r>
      <w:r>
        <w:rPr>
          <w:rFonts w:hint="eastAsia" w:ascii="Times New Roman" w:hAnsi="Times New Roman" w:cs="Times New Roman"/>
          <w:color w:val="auto"/>
          <w:spacing w:val="0"/>
          <w:w w:val="99"/>
          <w:position w:val="0"/>
          <w:sz w:val="24"/>
          <w:szCs w:val="24"/>
          <w:highlight w:val="none"/>
          <w:lang w:val="en-US" w:eastAsia="zh-CN" w:bidi="ar-SA"/>
        </w:rPr>
        <w:t>27</w:t>
      </w:r>
      <w:r>
        <w:rPr>
          <w:rFonts w:hint="eastAsia" w:ascii="Times New Roman" w:hAnsi="Times New Roman" w:eastAsia="宋体" w:cs="Times New Roman"/>
          <w:color w:val="auto"/>
          <w:spacing w:val="0"/>
          <w:w w:val="99"/>
          <w:position w:val="0"/>
          <w:sz w:val="24"/>
          <w:szCs w:val="24"/>
          <w:highlight w:val="none"/>
          <w:lang w:val="en-US" w:eastAsia="zh-CN" w:bidi="ar-SA"/>
        </w:rPr>
        <w:t>集气站集中脱水</w:t>
      </w:r>
      <w:r>
        <w:rPr>
          <w:rFonts w:hint="default" w:ascii="Times New Roman" w:hAnsi="Times New Roman" w:eastAsia="宋体" w:cs="Times New Roman"/>
          <w:color w:val="auto"/>
          <w:spacing w:val="0"/>
          <w:w w:val="99"/>
          <w:position w:val="0"/>
          <w:sz w:val="24"/>
          <w:szCs w:val="24"/>
          <w:highlight w:val="none"/>
          <w:lang w:val="en-US" w:eastAsia="zh-CN" w:bidi="ar-SA"/>
        </w:rPr>
        <w:t>处理后计量外输。</w:t>
      </w:r>
    </w:p>
    <w:p w14:paraId="24F5457A">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eastAsia="宋体" w:cs="Times New Roman"/>
          <w:color w:val="auto"/>
          <w:spacing w:val="0"/>
          <w:w w:val="99"/>
          <w:position w:val="0"/>
          <w:sz w:val="24"/>
          <w:szCs w:val="24"/>
          <w:highlight w:val="none"/>
          <w:lang w:val="en-US" w:eastAsia="zh-CN" w:bidi="ar-SA"/>
        </w:rPr>
        <w:t>退役期，将不具备开采价值的气井进行关停，拆除地面设备，并对气井进行封井，配套单井集气、输气管道清管后两端封堵直埋，同时</w:t>
      </w:r>
      <w:r>
        <w:rPr>
          <w:rFonts w:hint="default" w:ascii="Times New Roman" w:hAnsi="Times New Roman" w:eastAsia="宋体" w:cs="Times New Roman"/>
          <w:color w:val="auto"/>
          <w:spacing w:val="0"/>
          <w:w w:val="99"/>
          <w:position w:val="0"/>
          <w:sz w:val="24"/>
          <w:szCs w:val="24"/>
          <w:highlight w:val="none"/>
          <w:lang w:val="en-US" w:eastAsia="zh-CN" w:bidi="ar-SA"/>
        </w:rPr>
        <w:t>开展场地土壤环境调查与评价，确定</w:t>
      </w:r>
      <w:r>
        <w:rPr>
          <w:rFonts w:hint="eastAsia" w:ascii="Times New Roman" w:hAnsi="Times New Roman" w:eastAsia="宋体" w:cs="Times New Roman"/>
          <w:color w:val="auto"/>
          <w:spacing w:val="0"/>
          <w:w w:val="99"/>
          <w:position w:val="0"/>
          <w:sz w:val="24"/>
          <w:szCs w:val="24"/>
          <w:highlight w:val="none"/>
          <w:lang w:val="en-US" w:eastAsia="zh-CN" w:bidi="ar-SA"/>
        </w:rPr>
        <w:t>未造成场地污染</w:t>
      </w:r>
      <w:r>
        <w:rPr>
          <w:rFonts w:hint="default" w:ascii="Times New Roman" w:hAnsi="Times New Roman" w:eastAsia="宋体" w:cs="Times New Roman"/>
          <w:color w:val="auto"/>
          <w:spacing w:val="0"/>
          <w:w w:val="99"/>
          <w:position w:val="0"/>
          <w:sz w:val="24"/>
          <w:szCs w:val="24"/>
          <w:highlight w:val="none"/>
          <w:lang w:val="en-US" w:eastAsia="zh-CN" w:bidi="ar-SA"/>
        </w:rPr>
        <w:t>后，应及时对</w:t>
      </w:r>
      <w:r>
        <w:rPr>
          <w:rFonts w:hint="eastAsia" w:ascii="Times New Roman" w:hAnsi="Times New Roman" w:eastAsia="宋体" w:cs="Times New Roman"/>
          <w:color w:val="auto"/>
          <w:spacing w:val="0"/>
          <w:w w:val="99"/>
          <w:position w:val="0"/>
          <w:sz w:val="24"/>
          <w:szCs w:val="24"/>
          <w:highlight w:val="none"/>
          <w:lang w:val="en-US" w:eastAsia="zh-CN" w:bidi="ar-SA"/>
        </w:rPr>
        <w:t>退役期气井</w:t>
      </w:r>
      <w:r>
        <w:rPr>
          <w:rFonts w:hint="default" w:ascii="Times New Roman" w:hAnsi="Times New Roman" w:eastAsia="宋体" w:cs="Times New Roman"/>
          <w:color w:val="auto"/>
          <w:spacing w:val="0"/>
          <w:w w:val="99"/>
          <w:position w:val="0"/>
          <w:sz w:val="24"/>
          <w:szCs w:val="24"/>
          <w:highlight w:val="none"/>
          <w:lang w:val="en-US" w:eastAsia="zh-CN" w:bidi="ar-SA"/>
        </w:rPr>
        <w:t>受扰动场地进行平整，对土地进行旋耕复垦</w:t>
      </w:r>
      <w:r>
        <w:rPr>
          <w:rFonts w:hint="eastAsia" w:ascii="Times New Roman" w:hAnsi="Times New Roman" w:eastAsia="宋体" w:cs="Times New Roman"/>
          <w:color w:val="auto"/>
          <w:spacing w:val="0"/>
          <w:w w:val="99"/>
          <w:position w:val="0"/>
          <w:sz w:val="24"/>
          <w:szCs w:val="24"/>
          <w:highlight w:val="none"/>
          <w:lang w:val="en-US" w:eastAsia="zh-CN" w:bidi="ar-SA"/>
        </w:rPr>
        <w:t>。</w:t>
      </w: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4CF524AA">
      <w:pPr>
        <w:pStyle w:val="7"/>
        <w:widowControl w:val="0"/>
        <w:spacing w:before="60" w:after="60" w:line="440" w:lineRule="exact"/>
        <w:jc w:val="both"/>
        <w:rPr>
          <w:rFonts w:eastAsiaTheme="minorEastAsia"/>
          <w:b/>
          <w:color w:val="auto"/>
          <w:w w:val="99"/>
          <w:kern w:val="2"/>
          <w:sz w:val="24"/>
          <w:szCs w:val="24"/>
          <w:highlight w:val="none"/>
        </w:rPr>
      </w:pPr>
      <w:bookmarkStart w:id="41" w:name="_Toc143099528"/>
      <w:bookmarkStart w:id="42" w:name="_Toc131167241"/>
      <w:bookmarkStart w:id="43" w:name="_Toc86141885"/>
      <w:bookmarkStart w:id="44" w:name="_Toc126863341"/>
      <w:bookmarkStart w:id="45" w:name="_Toc85640702"/>
      <w:bookmarkStart w:id="46" w:name="_Toc84929177"/>
      <w:bookmarkStart w:id="47" w:name="_Toc127192290"/>
      <w:bookmarkStart w:id="48" w:name="_Toc186444225"/>
      <w:bookmarkStart w:id="49" w:name="_Toc83209422"/>
      <w:bookmarkStart w:id="50" w:name="_Toc78816410"/>
      <w:bookmarkStart w:id="51" w:name="_Toc76976193"/>
      <w:bookmarkStart w:id="52" w:name="_Toc69690760"/>
      <w:bookmarkStart w:id="53" w:name="_Toc80588205"/>
      <w:bookmarkStart w:id="54" w:name="_Toc77067609"/>
      <w:bookmarkStart w:id="55" w:name="_Toc80971327"/>
      <w:bookmarkStart w:id="56" w:name="_Toc74812264"/>
      <w:bookmarkStart w:id="57" w:name="_Toc71371893"/>
      <w:bookmarkStart w:id="58" w:name="_Toc67523542"/>
      <w:r>
        <w:rPr>
          <w:rFonts w:eastAsiaTheme="minorEastAsia"/>
          <w:b/>
          <w:color w:val="auto"/>
          <w:w w:val="99"/>
          <w:kern w:val="2"/>
          <w:sz w:val="24"/>
          <w:szCs w:val="24"/>
          <w:highlight w:val="none"/>
        </w:rPr>
        <w:t>1.2.</w:t>
      </w:r>
      <w:bookmarkEnd w:id="41"/>
      <w:bookmarkEnd w:id="42"/>
      <w:bookmarkEnd w:id="43"/>
      <w:bookmarkEnd w:id="44"/>
      <w:bookmarkEnd w:id="45"/>
      <w:bookmarkEnd w:id="46"/>
      <w:bookmarkEnd w:id="47"/>
      <w:r>
        <w:rPr>
          <w:rFonts w:eastAsiaTheme="minorEastAsia"/>
          <w:b/>
          <w:color w:val="auto"/>
          <w:w w:val="99"/>
          <w:kern w:val="2"/>
          <w:sz w:val="24"/>
          <w:szCs w:val="24"/>
          <w:highlight w:val="none"/>
        </w:rPr>
        <w:t>4产污特点及措施</w:t>
      </w:r>
      <w:bookmarkEnd w:id="48"/>
    </w:p>
    <w:p w14:paraId="421C67F1">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eastAsia="宋体" w:cs="Times New Roman"/>
          <w:color w:val="auto"/>
          <w:spacing w:val="0"/>
          <w:w w:val="99"/>
          <w:position w:val="0"/>
          <w:sz w:val="24"/>
          <w:szCs w:val="24"/>
          <w:highlight w:val="none"/>
          <w:lang w:val="en-US" w:eastAsia="zh-CN" w:bidi="ar-SA"/>
        </w:rPr>
        <w:t>本项目为典型气田产能建设项目，</w:t>
      </w:r>
      <w:r>
        <w:rPr>
          <w:rFonts w:hint="default" w:ascii="Times New Roman" w:hAnsi="Times New Roman" w:eastAsia="宋体" w:cs="Times New Roman"/>
          <w:color w:val="auto"/>
          <w:spacing w:val="0"/>
          <w:w w:val="99"/>
          <w:position w:val="0"/>
          <w:sz w:val="24"/>
          <w:szCs w:val="24"/>
          <w:highlight w:val="none"/>
          <w:lang w:val="en-US" w:eastAsia="zh-CN" w:bidi="ar-SA"/>
        </w:rPr>
        <w:t>兼具生态影响和污染影响的特点。生态环境影响主要体现在建设期占用土地、压占植被、破坏土壤、加大水土流失强度及生态景观破坏等方面</w:t>
      </w:r>
      <w:r>
        <w:rPr>
          <w:rFonts w:hint="eastAsia" w:ascii="Times New Roman" w:hAnsi="Times New Roman" w:eastAsia="宋体" w:cs="Times New Roman"/>
          <w:color w:val="auto"/>
          <w:spacing w:val="0"/>
          <w:w w:val="99"/>
          <w:position w:val="0"/>
          <w:sz w:val="24"/>
          <w:szCs w:val="24"/>
          <w:highlight w:val="none"/>
          <w:lang w:val="en-US" w:eastAsia="zh-CN" w:bidi="ar-SA"/>
        </w:rPr>
        <w:t>，以及退役期场地清理和修复。</w:t>
      </w:r>
    </w:p>
    <w:p w14:paraId="6674459A">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污染影响中施工期主要</w:t>
      </w:r>
      <w:r>
        <w:rPr>
          <w:rFonts w:hint="eastAsia" w:ascii="Times New Roman" w:hAnsi="Times New Roman" w:eastAsia="宋体" w:cs="Times New Roman"/>
          <w:color w:val="auto"/>
          <w:spacing w:val="0"/>
          <w:w w:val="99"/>
          <w:position w:val="0"/>
          <w:sz w:val="24"/>
          <w:szCs w:val="24"/>
          <w:highlight w:val="none"/>
          <w:lang w:val="en-US" w:eastAsia="zh-CN" w:bidi="ar-SA"/>
        </w:rPr>
        <w:t>会产生</w:t>
      </w:r>
      <w:r>
        <w:rPr>
          <w:rFonts w:hint="default" w:ascii="Times New Roman" w:hAnsi="Times New Roman" w:eastAsia="宋体" w:cs="Times New Roman"/>
          <w:color w:val="auto"/>
          <w:spacing w:val="0"/>
          <w:w w:val="99"/>
          <w:position w:val="0"/>
          <w:sz w:val="24"/>
          <w:szCs w:val="24"/>
          <w:highlight w:val="none"/>
          <w:lang w:val="en-US" w:eastAsia="zh-CN" w:bidi="ar-SA"/>
        </w:rPr>
        <w:t>扬尘、</w:t>
      </w:r>
      <w:r>
        <w:rPr>
          <w:rFonts w:hint="eastAsia" w:ascii="Times New Roman" w:hAnsi="Times New Roman" w:eastAsia="宋体" w:cs="Times New Roman"/>
          <w:color w:val="auto"/>
          <w:spacing w:val="0"/>
          <w:w w:val="99"/>
          <w:position w:val="0"/>
          <w:sz w:val="24"/>
          <w:szCs w:val="24"/>
          <w:highlight w:val="none"/>
          <w:lang w:val="en-US" w:eastAsia="zh-CN" w:bidi="ar-SA"/>
        </w:rPr>
        <w:t>车辆尾气、焊接烟尘</w:t>
      </w:r>
      <w:r>
        <w:rPr>
          <w:rFonts w:hint="default" w:ascii="Times New Roman" w:hAnsi="Times New Roman" w:eastAsia="宋体" w:cs="Times New Roman"/>
          <w:color w:val="auto"/>
          <w:spacing w:val="0"/>
          <w:w w:val="99"/>
          <w:position w:val="0"/>
          <w:sz w:val="24"/>
          <w:szCs w:val="24"/>
          <w:highlight w:val="none"/>
          <w:lang w:val="en-US" w:eastAsia="zh-CN" w:bidi="ar-SA"/>
        </w:rPr>
        <w:t>，试压废水</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管道施工废料等，</w:t>
      </w:r>
      <w:r>
        <w:rPr>
          <w:rFonts w:hint="eastAsia" w:ascii="Times New Roman" w:hAnsi="Times New Roman" w:cs="Times New Roman"/>
          <w:color w:val="auto"/>
          <w:spacing w:val="0"/>
          <w:w w:val="99"/>
          <w:position w:val="0"/>
          <w:sz w:val="24"/>
          <w:szCs w:val="24"/>
          <w:highlight w:val="none"/>
          <w:lang w:val="en-US" w:eastAsia="zh-CN" w:bidi="ar-SA"/>
        </w:rPr>
        <w:t>施工</w:t>
      </w:r>
      <w:r>
        <w:rPr>
          <w:rFonts w:hint="default" w:ascii="Times New Roman" w:hAnsi="Times New Roman" w:eastAsia="宋体" w:cs="Times New Roman"/>
          <w:color w:val="auto"/>
          <w:spacing w:val="0"/>
          <w:w w:val="99"/>
          <w:position w:val="0"/>
          <w:sz w:val="24"/>
          <w:szCs w:val="24"/>
          <w:highlight w:val="none"/>
          <w:lang w:val="en-US" w:eastAsia="zh-CN" w:bidi="ar-SA"/>
        </w:rPr>
        <w:t>设备运行噪声和交通噪声，施工人员产生的生活污水和生活垃圾</w:t>
      </w:r>
      <w:r>
        <w:rPr>
          <w:rFonts w:hint="eastAsia" w:ascii="Times New Roman" w:hAnsi="Times New Roman" w:eastAsia="宋体" w:cs="Times New Roman"/>
          <w:color w:val="auto"/>
          <w:spacing w:val="0"/>
          <w:w w:val="99"/>
          <w:position w:val="0"/>
          <w:sz w:val="24"/>
          <w:szCs w:val="24"/>
          <w:highlight w:val="none"/>
          <w:lang w:val="en-US" w:eastAsia="zh-CN" w:bidi="ar-SA"/>
        </w:rPr>
        <w:t>等。</w:t>
      </w:r>
    </w:p>
    <w:p w14:paraId="49F30A95">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eastAsia="宋体" w:cs="Times New Roman"/>
          <w:color w:val="auto"/>
          <w:spacing w:val="0"/>
          <w:w w:val="99"/>
          <w:position w:val="0"/>
          <w:sz w:val="24"/>
          <w:szCs w:val="24"/>
          <w:highlight w:val="none"/>
          <w:lang w:val="en-US" w:eastAsia="zh-CN" w:bidi="ar-SA"/>
        </w:rPr>
        <w:t>运营</w:t>
      </w:r>
      <w:r>
        <w:rPr>
          <w:rFonts w:hint="default" w:ascii="Times New Roman" w:hAnsi="Times New Roman" w:eastAsia="宋体" w:cs="Times New Roman"/>
          <w:color w:val="auto"/>
          <w:spacing w:val="0"/>
          <w:w w:val="99"/>
          <w:position w:val="0"/>
          <w:sz w:val="24"/>
          <w:szCs w:val="24"/>
          <w:highlight w:val="none"/>
          <w:lang w:val="en-US" w:eastAsia="zh-CN" w:bidi="ar-SA"/>
        </w:rPr>
        <w:t>期的主要环境影响因素为</w:t>
      </w:r>
      <w:r>
        <w:rPr>
          <w:rFonts w:hint="eastAsia" w:ascii="Times New Roman" w:hAnsi="Times New Roman" w:cs="Times New Roman"/>
          <w:color w:val="auto"/>
          <w:spacing w:val="0"/>
          <w:w w:val="99"/>
          <w:position w:val="0"/>
          <w:sz w:val="24"/>
          <w:szCs w:val="24"/>
          <w:highlight w:val="none"/>
          <w:lang w:val="en-US" w:eastAsia="zh-CN" w:bidi="ar-SA"/>
        </w:rPr>
        <w:t>依托徐深27集气站脱水工艺的</w:t>
      </w:r>
      <w:r>
        <w:rPr>
          <w:rFonts w:hint="eastAsia" w:ascii="Times New Roman" w:hAnsi="Times New Roman" w:eastAsia="宋体" w:cs="Times New Roman"/>
          <w:color w:val="auto"/>
          <w:spacing w:val="0"/>
          <w:w w:val="99"/>
          <w:position w:val="0"/>
          <w:sz w:val="24"/>
          <w:szCs w:val="24"/>
          <w:highlight w:val="none"/>
          <w:lang w:val="en-US" w:eastAsia="zh-CN" w:bidi="ar-SA"/>
        </w:rPr>
        <w:t>加热装置</w:t>
      </w:r>
      <w:r>
        <w:rPr>
          <w:rFonts w:hint="default" w:ascii="Times New Roman" w:hAnsi="Times New Roman" w:eastAsia="宋体" w:cs="Times New Roman"/>
          <w:color w:val="auto"/>
          <w:spacing w:val="0"/>
          <w:w w:val="99"/>
          <w:position w:val="0"/>
          <w:sz w:val="24"/>
          <w:szCs w:val="24"/>
          <w:highlight w:val="none"/>
          <w:lang w:val="en-US" w:eastAsia="zh-CN" w:bidi="ar-SA"/>
        </w:rPr>
        <w:t>产生的燃烧烟气</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徐深</w:t>
      </w:r>
      <w:r>
        <w:rPr>
          <w:rFonts w:hint="eastAsia" w:ascii="Times New Roman" w:hAnsi="Times New Roman" w:cs="Times New Roman"/>
          <w:color w:val="auto"/>
          <w:spacing w:val="0"/>
          <w:w w:val="99"/>
          <w:position w:val="0"/>
          <w:sz w:val="24"/>
          <w:szCs w:val="24"/>
          <w:highlight w:val="none"/>
          <w:lang w:val="en-US" w:eastAsia="zh-CN" w:bidi="ar-SA"/>
        </w:rPr>
        <w:t>27</w:t>
      </w:r>
      <w:r>
        <w:rPr>
          <w:rFonts w:hint="default" w:ascii="Times New Roman" w:hAnsi="Times New Roman" w:eastAsia="宋体" w:cs="Times New Roman"/>
          <w:color w:val="auto"/>
          <w:spacing w:val="0"/>
          <w:w w:val="99"/>
          <w:position w:val="0"/>
          <w:sz w:val="24"/>
          <w:szCs w:val="24"/>
          <w:highlight w:val="none"/>
          <w:lang w:val="en-US" w:eastAsia="zh-CN" w:bidi="ar-SA"/>
        </w:rPr>
        <w:t>集气站和井场无组织排放的非甲烷总烃；</w:t>
      </w:r>
      <w:r>
        <w:rPr>
          <w:rFonts w:hint="eastAsia" w:ascii="Times New Roman" w:hAnsi="Times New Roman" w:cs="Times New Roman"/>
          <w:color w:val="auto"/>
          <w:spacing w:val="0"/>
          <w:w w:val="99"/>
          <w:position w:val="0"/>
          <w:sz w:val="24"/>
          <w:szCs w:val="24"/>
          <w:highlight w:val="none"/>
          <w:lang w:val="en-US" w:eastAsia="zh-CN" w:bidi="ar-SA"/>
        </w:rPr>
        <w:t>井场放空</w:t>
      </w:r>
      <w:r>
        <w:rPr>
          <w:rFonts w:hint="default" w:ascii="Times New Roman" w:hAnsi="Times New Roman" w:eastAsia="宋体" w:cs="Times New Roman"/>
          <w:color w:val="auto"/>
          <w:spacing w:val="0"/>
          <w:w w:val="99"/>
          <w:position w:val="0"/>
          <w:sz w:val="24"/>
          <w:szCs w:val="24"/>
          <w:highlight w:val="none"/>
          <w:lang w:val="en-US" w:eastAsia="zh-CN" w:bidi="ar-SA"/>
        </w:rPr>
        <w:t>产生的噪声；气井</w:t>
      </w:r>
      <w:r>
        <w:rPr>
          <w:rFonts w:hint="eastAsia" w:ascii="Times New Roman" w:hAnsi="Times New Roman" w:eastAsia="宋体" w:cs="Times New Roman"/>
          <w:color w:val="auto"/>
          <w:spacing w:val="0"/>
          <w:w w:val="99"/>
          <w:position w:val="0"/>
          <w:sz w:val="24"/>
          <w:szCs w:val="24"/>
          <w:highlight w:val="none"/>
          <w:lang w:val="en-US" w:eastAsia="zh-CN" w:bidi="ar-SA"/>
        </w:rPr>
        <w:t>产气分离的气田采出水；气井</w:t>
      </w:r>
      <w:r>
        <w:rPr>
          <w:rFonts w:hint="eastAsia" w:ascii="Times New Roman" w:hAnsi="Times New Roman" w:cs="Times New Roman"/>
          <w:color w:val="auto"/>
          <w:spacing w:val="0"/>
          <w:w w:val="99"/>
          <w:position w:val="0"/>
          <w:sz w:val="24"/>
          <w:szCs w:val="24"/>
          <w:highlight w:val="none"/>
          <w:lang w:val="en-US" w:eastAsia="zh-CN" w:bidi="ar-SA"/>
        </w:rPr>
        <w:t>检修</w:t>
      </w:r>
      <w:r>
        <w:rPr>
          <w:rFonts w:hint="eastAsia" w:ascii="Times New Roman" w:hAnsi="Times New Roman" w:eastAsia="宋体" w:cs="Times New Roman"/>
          <w:color w:val="auto"/>
          <w:spacing w:val="0"/>
          <w:w w:val="99"/>
          <w:position w:val="0"/>
          <w:sz w:val="24"/>
          <w:szCs w:val="24"/>
          <w:highlight w:val="none"/>
          <w:lang w:val="en-US" w:eastAsia="zh-CN" w:bidi="ar-SA"/>
        </w:rPr>
        <w:t>过程可能产生井口</w:t>
      </w:r>
      <w:r>
        <w:rPr>
          <w:rFonts w:hint="eastAsia" w:ascii="Times New Roman" w:hAnsi="Times New Roman" w:cs="Times New Roman"/>
          <w:color w:val="auto"/>
          <w:spacing w:val="0"/>
          <w:w w:val="99"/>
          <w:position w:val="0"/>
          <w:sz w:val="24"/>
          <w:szCs w:val="24"/>
          <w:highlight w:val="none"/>
          <w:lang w:val="en-US" w:eastAsia="zh-CN" w:bidi="ar-SA"/>
        </w:rPr>
        <w:t>含油砂砾、以及井场柱上变检修产生的废变压器油</w:t>
      </w:r>
      <w:r>
        <w:rPr>
          <w:rFonts w:hint="eastAsia" w:ascii="Times New Roman" w:hAnsi="Times New Roman" w:eastAsia="宋体" w:cs="Times New Roman"/>
          <w:color w:val="auto"/>
          <w:spacing w:val="0"/>
          <w:w w:val="99"/>
          <w:position w:val="0"/>
          <w:sz w:val="24"/>
          <w:szCs w:val="24"/>
          <w:highlight w:val="none"/>
          <w:lang w:val="en-US" w:eastAsia="zh-CN" w:bidi="ar-SA"/>
        </w:rPr>
        <w:t>。</w:t>
      </w:r>
    </w:p>
    <w:p w14:paraId="70B32BDF">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eastAsia="宋体" w:cs="Times New Roman"/>
          <w:color w:val="auto"/>
          <w:spacing w:val="0"/>
          <w:w w:val="99"/>
          <w:position w:val="0"/>
          <w:sz w:val="24"/>
          <w:szCs w:val="24"/>
          <w:highlight w:val="none"/>
          <w:lang w:val="en-US" w:eastAsia="zh-CN" w:bidi="ar-SA"/>
        </w:rPr>
        <w:t>退役期包括退役期气井拆除设备、设备清洗废水、封井建筑垃圾、含油废防渗布。</w:t>
      </w:r>
    </w:p>
    <w:p w14:paraId="738C6951">
      <w:pPr>
        <w:spacing w:line="440" w:lineRule="exact"/>
        <w:jc w:val="both"/>
        <w:outlineLvl w:val="3"/>
        <w:rPr>
          <w:rFonts w:ascii="Times New Roman" w:hAnsi="Times New Roman" w:cs="Times New Roman" w:eastAsiaTheme="minorEastAsia"/>
          <w:b/>
          <w:color w:val="auto"/>
          <w:w w:val="99"/>
          <w:szCs w:val="20"/>
          <w:highlight w:val="none"/>
        </w:rPr>
      </w:pPr>
      <w:r>
        <w:rPr>
          <w:rFonts w:ascii="Times New Roman" w:hAnsi="Times New Roman" w:cs="Times New Roman" w:eastAsiaTheme="minorEastAsia"/>
          <w:b/>
          <w:color w:val="auto"/>
          <w:w w:val="99"/>
          <w:szCs w:val="20"/>
          <w:highlight w:val="none"/>
        </w:rPr>
        <w:t>1.2.4.1施工期</w:t>
      </w:r>
    </w:p>
    <w:p w14:paraId="5158BFFC">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cs="Times New Roman"/>
          <w:color w:val="auto"/>
          <w:spacing w:val="0"/>
          <w:w w:val="99"/>
          <w:position w:val="0"/>
          <w:sz w:val="24"/>
          <w:szCs w:val="24"/>
          <w:highlight w:val="none"/>
          <w:lang w:val="en-US" w:eastAsia="zh-CN" w:bidi="ar-SA"/>
        </w:rPr>
        <w:t>（1）</w:t>
      </w:r>
      <w:r>
        <w:rPr>
          <w:rFonts w:hint="eastAsia" w:ascii="Times New Roman" w:hAnsi="Times New Roman" w:eastAsia="宋体" w:cs="Times New Roman"/>
          <w:color w:val="auto"/>
          <w:spacing w:val="0"/>
          <w:w w:val="99"/>
          <w:position w:val="0"/>
          <w:sz w:val="24"/>
          <w:szCs w:val="24"/>
          <w:highlight w:val="none"/>
          <w:lang w:val="en-US" w:eastAsia="zh-CN" w:bidi="ar-SA"/>
        </w:rPr>
        <w:t>废气</w:t>
      </w:r>
    </w:p>
    <w:p w14:paraId="038C61CC">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本项目施工期产生的废气主要为施工扬尘、管道焊接烟尘、运输车辆尾气。施工扬尘采取施工现场洒水抑尘、运输车辆及物料加盖防尘布等方式降低扬尘污染。</w:t>
      </w:r>
    </w:p>
    <w:p w14:paraId="2525A4EF">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cs="Times New Roman"/>
          <w:color w:val="auto"/>
          <w:spacing w:val="0"/>
          <w:w w:val="99"/>
          <w:position w:val="0"/>
          <w:sz w:val="24"/>
          <w:szCs w:val="24"/>
          <w:highlight w:val="none"/>
          <w:lang w:val="en-US" w:eastAsia="zh-CN" w:bidi="ar-SA"/>
        </w:rPr>
        <w:t>（2）</w:t>
      </w:r>
      <w:r>
        <w:rPr>
          <w:rFonts w:hint="eastAsia" w:ascii="Times New Roman" w:hAnsi="Times New Roman" w:eastAsia="宋体" w:cs="Times New Roman"/>
          <w:color w:val="auto"/>
          <w:spacing w:val="0"/>
          <w:w w:val="99"/>
          <w:position w:val="0"/>
          <w:sz w:val="24"/>
          <w:szCs w:val="24"/>
          <w:highlight w:val="none"/>
          <w:lang w:val="en-US" w:eastAsia="zh-CN" w:bidi="ar-SA"/>
        </w:rPr>
        <w:t>废水</w:t>
      </w:r>
    </w:p>
    <w:p w14:paraId="6B968ED4">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施工期废水主要为管线试压废水及施工人员生活污水。施工期新建管道试压废水由罐车拉运至</w:t>
      </w:r>
      <w:r>
        <w:rPr>
          <w:rFonts w:hint="eastAsia" w:ascii="Times New Roman" w:hAnsi="Times New Roman" w:eastAsia="宋体" w:cs="Times New Roman"/>
          <w:color w:val="auto"/>
          <w:spacing w:val="0"/>
          <w:w w:val="99"/>
          <w:position w:val="0"/>
          <w:sz w:val="24"/>
          <w:szCs w:val="24"/>
          <w:highlight w:val="none"/>
          <w:lang w:val="en-US" w:eastAsia="zh-CN" w:bidi="ar-SA"/>
        </w:rPr>
        <w:t>升一联气田污水预处理站</w:t>
      </w:r>
      <w:r>
        <w:rPr>
          <w:rFonts w:hint="default" w:ascii="Times New Roman" w:hAnsi="Times New Roman" w:eastAsia="宋体" w:cs="Times New Roman"/>
          <w:color w:val="auto"/>
          <w:spacing w:val="0"/>
          <w:w w:val="99"/>
          <w:position w:val="0"/>
          <w:sz w:val="24"/>
          <w:szCs w:val="24"/>
          <w:highlight w:val="none"/>
          <w:lang w:val="en-US" w:eastAsia="zh-CN" w:bidi="ar-SA"/>
        </w:rPr>
        <w:t>，出水水质满足《大庆油田地面工程建设设计规定》（Q/SYDQ0639-2015）、《碎屑岩油藏注水水质指标技术要求及分析方法》（SY/T5329-2022）标准要求，即“含油量≤</w:t>
      </w:r>
      <w:r>
        <w:rPr>
          <w:rFonts w:hint="eastAsia" w:ascii="Times New Roman" w:hAnsi="Times New Roman" w:eastAsia="宋体" w:cs="Times New Roman"/>
          <w:color w:val="auto"/>
          <w:spacing w:val="0"/>
          <w:w w:val="99"/>
          <w:position w:val="0"/>
          <w:sz w:val="24"/>
          <w:szCs w:val="24"/>
          <w:highlight w:val="none"/>
          <w:lang w:val="en-US" w:eastAsia="zh-CN" w:bidi="ar-SA"/>
        </w:rPr>
        <w:t>10</w:t>
      </w:r>
      <w:r>
        <w:rPr>
          <w:rFonts w:hint="default" w:ascii="Times New Roman" w:hAnsi="Times New Roman" w:eastAsia="宋体" w:cs="Times New Roman"/>
          <w:color w:val="auto"/>
          <w:spacing w:val="0"/>
          <w:w w:val="99"/>
          <w:position w:val="0"/>
          <w:sz w:val="24"/>
          <w:szCs w:val="24"/>
          <w:highlight w:val="none"/>
          <w:lang w:val="en-US" w:eastAsia="zh-CN" w:bidi="ar-SA"/>
        </w:rPr>
        <w:t>mg/L、悬浮固体含量≤5mg/L”后回注地下开采油层。</w:t>
      </w:r>
      <w:r>
        <w:rPr>
          <w:rFonts w:hint="default" w:ascii="Times New Roman" w:hAnsi="Times New Roman" w:eastAsia="宋体" w:cs="Times New Roman"/>
          <w:color w:val="auto"/>
          <w:spacing w:val="0"/>
          <w:w w:val="99"/>
          <w:position w:val="0"/>
          <w:sz w:val="24"/>
          <w:szCs w:val="24"/>
          <w:highlight w:val="none"/>
          <w:lang w:val="zh-CN" w:eastAsia="zh-CN" w:bidi="ar-SA"/>
        </w:rPr>
        <w:t>施工期</w:t>
      </w:r>
      <w:r>
        <w:rPr>
          <w:rFonts w:hint="eastAsia" w:ascii="Times New Roman" w:hAnsi="Times New Roman" w:eastAsia="宋体" w:cs="Times New Roman"/>
          <w:color w:val="auto"/>
          <w:spacing w:val="0"/>
          <w:w w:val="99"/>
          <w:position w:val="0"/>
          <w:sz w:val="24"/>
          <w:szCs w:val="24"/>
          <w:highlight w:val="none"/>
          <w:lang w:val="en-US" w:eastAsia="zh-CN" w:bidi="ar-SA"/>
        </w:rPr>
        <w:t>生活污水排入本项目附近集气站已建生活污水收集设施，定期由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p>
    <w:p w14:paraId="4DF512D9">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eastAsia="宋体" w:cs="Times New Roman"/>
          <w:color w:val="auto"/>
          <w:spacing w:val="0"/>
          <w:w w:val="99"/>
          <w:position w:val="0"/>
          <w:sz w:val="24"/>
          <w:szCs w:val="24"/>
          <w:highlight w:val="none"/>
          <w:lang w:val="en-US" w:eastAsia="zh-CN" w:bidi="ar-SA"/>
        </w:rPr>
        <w:t>（3）噪声</w:t>
      </w:r>
    </w:p>
    <w:p w14:paraId="675B086F">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本项目施工期噪声主要是施工机械产生的噪声和车辆运行噪声</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运输车辆应选择合理时间和路线，避开居民休息时段；严格限定施工范围，选用噪音低的设备；注意对设备的维护和保养，合理操作，保证施工机械保持在最佳状态，降低噪声源强度。</w:t>
      </w:r>
    </w:p>
    <w:p w14:paraId="01C500D6">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cs="Times New Roman"/>
          <w:color w:val="auto"/>
          <w:spacing w:val="0"/>
          <w:w w:val="99"/>
          <w:position w:val="0"/>
          <w:sz w:val="24"/>
          <w:szCs w:val="24"/>
          <w:highlight w:val="none"/>
          <w:lang w:val="en-US" w:eastAsia="zh-CN" w:bidi="ar-SA"/>
        </w:rPr>
        <w:t>4</w:t>
      </w:r>
      <w:r>
        <w:rPr>
          <w:rFonts w:hint="default" w:ascii="Times New Roman" w:hAnsi="Times New Roman" w:eastAsia="宋体" w:cs="Times New Roman"/>
          <w:color w:val="auto"/>
          <w:spacing w:val="0"/>
          <w:w w:val="99"/>
          <w:position w:val="0"/>
          <w:sz w:val="24"/>
          <w:szCs w:val="24"/>
          <w:highlight w:val="none"/>
          <w:lang w:val="en-US" w:eastAsia="zh-CN" w:bidi="ar-SA"/>
        </w:rPr>
        <w:t>）固体废物</w:t>
      </w:r>
    </w:p>
    <w:p w14:paraId="1A839D37">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施工期</w:t>
      </w:r>
      <w:r>
        <w:rPr>
          <w:rFonts w:hint="eastAsia" w:ascii="Times New Roman" w:hAnsi="Times New Roman" w:cs="Times New Roman"/>
          <w:color w:val="auto"/>
          <w:spacing w:val="0"/>
          <w:w w:val="99"/>
          <w:position w:val="0"/>
          <w:sz w:val="24"/>
          <w:szCs w:val="24"/>
          <w:highlight w:val="none"/>
          <w:lang w:val="en-US" w:eastAsia="zh-CN" w:bidi="ar-SA"/>
        </w:rPr>
        <w:t>施工废料</w:t>
      </w:r>
      <w:r>
        <w:rPr>
          <w:rFonts w:hint="eastAsia" w:ascii="Times New Roman" w:hAnsi="Times New Roman" w:eastAsia="宋体" w:cs="Times New Roman"/>
          <w:color w:val="auto"/>
          <w:spacing w:val="0"/>
          <w:w w:val="99"/>
          <w:position w:val="0"/>
          <w:sz w:val="24"/>
          <w:szCs w:val="24"/>
          <w:highlight w:val="none"/>
          <w:lang w:val="en-US" w:eastAsia="zh-CN" w:bidi="ar-SA"/>
        </w:rPr>
        <w:t>拉运至第八采油厂工业固废填埋场进行填埋处理；</w:t>
      </w:r>
      <w:r>
        <w:rPr>
          <w:rFonts w:hint="default" w:ascii="Times New Roman" w:hAnsi="Times New Roman" w:eastAsia="宋体" w:cs="Times New Roman"/>
          <w:color w:val="auto"/>
          <w:spacing w:val="0"/>
          <w:w w:val="99"/>
          <w:position w:val="0"/>
          <w:sz w:val="24"/>
          <w:szCs w:val="24"/>
          <w:highlight w:val="none"/>
          <w:lang w:val="en-US" w:eastAsia="zh-CN" w:bidi="ar-SA"/>
        </w:rPr>
        <w:t>生活垃圾</w:t>
      </w:r>
      <w:r>
        <w:rPr>
          <w:rFonts w:hint="eastAsia" w:ascii="Times New Roman" w:hAnsi="Times New Roman" w:eastAsia="宋体" w:cs="Times New Roman"/>
          <w:color w:val="auto"/>
          <w:spacing w:val="0"/>
          <w:w w:val="99"/>
          <w:position w:val="0"/>
          <w:sz w:val="24"/>
          <w:szCs w:val="24"/>
          <w:highlight w:val="none"/>
          <w:lang w:val="en-US" w:eastAsia="zh-CN" w:bidi="ar-SA"/>
        </w:rPr>
        <w:t>统一收集后拉运至</w:t>
      </w:r>
      <w:r>
        <w:rPr>
          <w:rFonts w:hint="eastAsia" w:ascii="Times New Roman" w:hAnsi="Times New Roman" w:cs="Times New Roman"/>
          <w:color w:val="auto"/>
          <w:spacing w:val="0"/>
          <w:w w:val="99"/>
          <w:position w:val="0"/>
          <w:sz w:val="24"/>
          <w:szCs w:val="24"/>
          <w:highlight w:val="none"/>
          <w:lang w:val="en-US" w:eastAsia="zh-CN" w:bidi="ar-SA"/>
        </w:rPr>
        <w:t>肇东北控环境再生能源有限公司</w:t>
      </w:r>
      <w:r>
        <w:rPr>
          <w:rFonts w:hint="eastAsia" w:ascii="Times New Roman" w:hAnsi="Times New Roman" w:eastAsia="宋体" w:cs="Times New Roman"/>
          <w:color w:val="auto"/>
          <w:spacing w:val="0"/>
          <w:w w:val="99"/>
          <w:position w:val="0"/>
          <w:sz w:val="24"/>
          <w:szCs w:val="24"/>
          <w:highlight w:val="none"/>
          <w:lang w:val="en-US" w:eastAsia="zh-CN" w:bidi="ar-SA"/>
        </w:rPr>
        <w:t>处理。</w:t>
      </w:r>
    </w:p>
    <w:p w14:paraId="503D6CAE">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cs="Times New Roman"/>
          <w:color w:val="auto"/>
          <w:spacing w:val="0"/>
          <w:w w:val="99"/>
          <w:position w:val="0"/>
          <w:sz w:val="24"/>
          <w:szCs w:val="24"/>
          <w:highlight w:val="none"/>
          <w:lang w:val="en-US" w:eastAsia="zh-CN" w:bidi="ar-SA"/>
        </w:rPr>
        <w:t>5</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eastAsia="宋体" w:cs="Times New Roman"/>
          <w:color w:val="auto"/>
          <w:spacing w:val="0"/>
          <w:w w:val="99"/>
          <w:position w:val="0"/>
          <w:sz w:val="24"/>
          <w:szCs w:val="24"/>
          <w:highlight w:val="none"/>
          <w:lang w:val="en-US" w:eastAsia="zh-CN" w:bidi="ar-SA"/>
        </w:rPr>
        <w:t>环境</w:t>
      </w:r>
      <w:r>
        <w:rPr>
          <w:rFonts w:hint="default" w:ascii="Times New Roman" w:hAnsi="Times New Roman" w:eastAsia="宋体" w:cs="Times New Roman"/>
          <w:color w:val="auto"/>
          <w:spacing w:val="0"/>
          <w:w w:val="99"/>
          <w:position w:val="0"/>
          <w:sz w:val="24"/>
          <w:szCs w:val="24"/>
          <w:highlight w:val="none"/>
          <w:lang w:val="en-US" w:eastAsia="zh-CN" w:bidi="ar-SA"/>
        </w:rPr>
        <w:t>风险</w:t>
      </w:r>
    </w:p>
    <w:p w14:paraId="3A79DAD2">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本项目的施工期环境风险主要来自钻井过程中井喷、套管破损、井漏以及柴油储罐泄漏</w:t>
      </w:r>
      <w:r>
        <w:rPr>
          <w:rFonts w:hint="eastAsia" w:ascii="Times New Roman" w:hAnsi="Times New Roman" w:eastAsia="宋体" w:cs="Times New Roman"/>
          <w:color w:val="auto"/>
          <w:spacing w:val="0"/>
          <w:w w:val="99"/>
          <w:position w:val="0"/>
          <w:sz w:val="24"/>
          <w:szCs w:val="24"/>
          <w:highlight w:val="none"/>
          <w:lang w:val="en-US" w:eastAsia="zh-CN" w:bidi="ar-SA"/>
        </w:rPr>
        <w:t>；施工期项目</w:t>
      </w:r>
      <w:r>
        <w:rPr>
          <w:rFonts w:hint="default" w:ascii="Times New Roman" w:hAnsi="Times New Roman" w:eastAsia="宋体" w:cs="Times New Roman"/>
          <w:color w:val="auto"/>
          <w:spacing w:val="0"/>
          <w:w w:val="99"/>
          <w:position w:val="0"/>
          <w:sz w:val="24"/>
          <w:szCs w:val="24"/>
          <w:highlight w:val="none"/>
          <w:lang w:val="en-US" w:eastAsia="zh-CN" w:bidi="ar-SA"/>
        </w:rPr>
        <w:t>钻井时安装防喷器，防止井喷事故的发生</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柴油储罐进行重点防渗</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采用地面碾压平整并铺设2mm厚高密度聚乙烯（HDPE）</w:t>
      </w:r>
      <w:r>
        <w:rPr>
          <w:rFonts w:hint="eastAsia" w:ascii="Times New Roman" w:hAnsi="Times New Roman" w:eastAsia="宋体" w:cs="Times New Roman"/>
          <w:color w:val="auto"/>
          <w:spacing w:val="0"/>
          <w:w w:val="99"/>
          <w:position w:val="0"/>
          <w:sz w:val="24"/>
          <w:szCs w:val="24"/>
          <w:highlight w:val="none"/>
          <w:lang w:val="en-US" w:eastAsia="zh-CN" w:bidi="ar-SA"/>
        </w:rPr>
        <w:t>膜，渗透</w:t>
      </w:r>
      <w:r>
        <w:rPr>
          <w:rFonts w:hint="default" w:ascii="Times New Roman" w:hAnsi="Times New Roman" w:eastAsia="宋体" w:cs="Times New Roman"/>
          <w:color w:val="auto"/>
          <w:spacing w:val="0"/>
          <w:w w:val="99"/>
          <w:position w:val="0"/>
          <w:sz w:val="24"/>
          <w:szCs w:val="24"/>
          <w:highlight w:val="none"/>
          <w:lang w:val="en-US" w:eastAsia="zh-CN" w:bidi="ar-SA"/>
        </w:rPr>
        <w:t>系数</w:t>
      </w:r>
      <w:r>
        <w:rPr>
          <w:rFonts w:hint="eastAsia" w:ascii="Times New Roman" w:hAnsi="Times New Roman" w:eastAsia="宋体" w:cs="Times New Roman"/>
          <w:color w:val="auto"/>
          <w:spacing w:val="0"/>
          <w:w w:val="99"/>
          <w:position w:val="0"/>
          <w:sz w:val="24"/>
          <w:szCs w:val="24"/>
          <w:highlight w:val="none"/>
          <w:lang w:val="en-US" w:eastAsia="zh-CN" w:bidi="ar-SA"/>
        </w:rPr>
        <w:t>为</w:t>
      </w:r>
      <w:r>
        <w:rPr>
          <w:rFonts w:hint="default" w:ascii="Times New Roman" w:hAnsi="Times New Roman" w:eastAsia="宋体" w:cs="Times New Roman"/>
          <w:color w:val="auto"/>
          <w:spacing w:val="0"/>
          <w:w w:val="99"/>
          <w:position w:val="0"/>
          <w:sz w:val="24"/>
          <w:szCs w:val="24"/>
          <w:highlight w:val="none"/>
          <w:lang w:val="en-US" w:eastAsia="zh-CN" w:bidi="ar-SA"/>
        </w:rPr>
        <w:t>1.0×10</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-1</w:t>
      </w:r>
      <w:r>
        <w:rPr>
          <w:rFonts w:hint="eastAsia" w:ascii="Times New Roman" w:hAnsi="Times New Roman" w:cs="Times New Roman"/>
          <w:color w:val="auto"/>
          <w:spacing w:val="0"/>
          <w:w w:val="99"/>
          <w:position w:val="0"/>
          <w:sz w:val="24"/>
          <w:szCs w:val="24"/>
          <w:highlight w:val="none"/>
          <w:vertAlign w:val="superscript"/>
          <w:lang w:val="en-US" w:eastAsia="zh-CN" w:bidi="ar-SA"/>
        </w:rPr>
        <w:t>3</w:t>
      </w:r>
      <w:r>
        <w:rPr>
          <w:rFonts w:hint="default" w:ascii="Times New Roman" w:hAnsi="Times New Roman" w:eastAsia="宋体" w:cs="Times New Roman"/>
          <w:color w:val="auto"/>
          <w:spacing w:val="0"/>
          <w:w w:val="99"/>
          <w:position w:val="0"/>
          <w:sz w:val="24"/>
          <w:szCs w:val="24"/>
          <w:highlight w:val="none"/>
          <w:lang w:val="en-US" w:eastAsia="zh-CN" w:bidi="ar-SA"/>
        </w:rPr>
        <w:t>cm/s；</w:t>
      </w:r>
      <w:r>
        <w:rPr>
          <w:rFonts w:hint="eastAsia" w:ascii="Times New Roman" w:hAnsi="Times New Roman" w:eastAsia="宋体" w:cs="Times New Roman"/>
          <w:color w:val="auto"/>
          <w:spacing w:val="0"/>
          <w:w w:val="99"/>
          <w:position w:val="0"/>
          <w:sz w:val="24"/>
          <w:szCs w:val="24"/>
          <w:highlight w:val="none"/>
          <w:lang w:val="en-US" w:eastAsia="zh-CN" w:bidi="ar-SA"/>
        </w:rPr>
        <w:t>并且储罐周围</w:t>
      </w:r>
      <w:r>
        <w:rPr>
          <w:rFonts w:hint="default" w:ascii="Times New Roman" w:hAnsi="Times New Roman" w:eastAsia="宋体" w:cs="Times New Roman"/>
          <w:color w:val="auto"/>
          <w:spacing w:val="0"/>
          <w:w w:val="99"/>
          <w:position w:val="0"/>
          <w:sz w:val="24"/>
          <w:szCs w:val="24"/>
          <w:highlight w:val="none"/>
          <w:lang w:val="en-US" w:eastAsia="zh-CN" w:bidi="ar-SA"/>
        </w:rPr>
        <w:t>设临时围堰，并要求储罐布置在明火、井口等安全距离内；</w:t>
      </w:r>
      <w:r>
        <w:rPr>
          <w:rFonts w:hint="eastAsia" w:ascii="Times New Roman" w:hAnsi="Times New Roman" w:eastAsia="宋体" w:cs="Times New Roman"/>
          <w:color w:val="auto"/>
          <w:spacing w:val="0"/>
          <w:w w:val="99"/>
          <w:position w:val="0"/>
          <w:sz w:val="24"/>
          <w:szCs w:val="24"/>
          <w:highlight w:val="none"/>
          <w:lang w:val="en-US" w:eastAsia="zh-CN" w:bidi="ar-SA"/>
        </w:rPr>
        <w:t xml:space="preserve">  </w:t>
      </w:r>
    </w:p>
    <w:p w14:paraId="282CF698">
      <w:pPr>
        <w:spacing w:line="440" w:lineRule="exact"/>
        <w:jc w:val="both"/>
        <w:outlineLvl w:val="3"/>
        <w:rPr>
          <w:rFonts w:ascii="Times New Roman" w:hAnsi="Times New Roman" w:cs="Times New Roman" w:eastAsiaTheme="minorEastAsia"/>
          <w:b/>
          <w:color w:val="auto"/>
          <w:w w:val="99"/>
          <w:szCs w:val="20"/>
          <w:highlight w:val="none"/>
        </w:rPr>
      </w:pPr>
      <w:r>
        <w:rPr>
          <w:rFonts w:ascii="Times New Roman" w:hAnsi="Times New Roman" w:cs="Times New Roman" w:eastAsiaTheme="minorEastAsia"/>
          <w:b/>
          <w:color w:val="auto"/>
          <w:w w:val="99"/>
          <w:szCs w:val="20"/>
          <w:highlight w:val="none"/>
        </w:rPr>
        <w:t>1.2.4.2运营期</w:t>
      </w:r>
    </w:p>
    <w:p w14:paraId="6C7A13B7">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（1）运营期废气主要为</w:t>
      </w:r>
      <w:r>
        <w:rPr>
          <w:rFonts w:hint="eastAsia" w:ascii="Times New Roman" w:hAnsi="Times New Roman" w:cs="Times New Roman"/>
          <w:color w:val="auto"/>
          <w:spacing w:val="0"/>
          <w:w w:val="99"/>
          <w:position w:val="0"/>
          <w:sz w:val="24"/>
          <w:szCs w:val="24"/>
          <w:highlight w:val="none"/>
          <w:lang w:val="en-US" w:eastAsia="zh-CN" w:bidi="ar-SA"/>
        </w:rPr>
        <w:t>依托场站（</w:t>
      </w:r>
      <w:r>
        <w:rPr>
          <w:rFonts w:hint="eastAsia" w:ascii="Times New Roman" w:hAnsi="Times New Roman" w:eastAsia="宋体" w:cs="Times New Roman"/>
          <w:color w:val="auto"/>
          <w:spacing w:val="0"/>
          <w:w w:val="99"/>
          <w:position w:val="0"/>
          <w:sz w:val="24"/>
          <w:szCs w:val="24"/>
          <w:highlight w:val="none"/>
          <w:lang w:val="en-US" w:eastAsia="zh-CN" w:bidi="ar-SA"/>
        </w:rPr>
        <w:t>徐深27集气站</w:t>
      </w:r>
      <w:r>
        <w:rPr>
          <w:rFonts w:hint="eastAsia" w:ascii="Times New Roman" w:hAnsi="Times New Roman"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燃烧烟气，井场、场站</w:t>
      </w:r>
      <w:r>
        <w:rPr>
          <w:rFonts w:hint="eastAsia" w:ascii="Times New Roman" w:hAnsi="Times New Roman" w:eastAsia="宋体" w:cs="Times New Roman"/>
          <w:color w:val="auto"/>
          <w:spacing w:val="0"/>
          <w:w w:val="99"/>
          <w:position w:val="0"/>
          <w:sz w:val="24"/>
          <w:szCs w:val="24"/>
          <w:highlight w:val="none"/>
          <w:lang w:val="en-US" w:eastAsia="zh-CN" w:bidi="ar-SA"/>
        </w:rPr>
        <w:t>天然气</w:t>
      </w:r>
      <w:r>
        <w:rPr>
          <w:rFonts w:hint="default" w:ascii="Times New Roman" w:hAnsi="Times New Roman" w:eastAsia="宋体" w:cs="Times New Roman"/>
          <w:color w:val="auto"/>
          <w:spacing w:val="0"/>
          <w:w w:val="99"/>
          <w:position w:val="0"/>
          <w:sz w:val="24"/>
          <w:szCs w:val="24"/>
          <w:highlight w:val="none"/>
          <w:lang w:val="en-US" w:eastAsia="zh-CN" w:bidi="ar-SA"/>
        </w:rPr>
        <w:t>集输处理过程中挥发的烃类气体</w:t>
      </w:r>
      <w:r>
        <w:rPr>
          <w:rFonts w:hint="eastAsia" w:ascii="Times New Roman" w:hAnsi="Times New Roman" w:eastAsia="宋体" w:cs="Times New Roman"/>
          <w:color w:val="auto"/>
          <w:spacing w:val="0"/>
          <w:w w:val="99"/>
          <w:position w:val="0"/>
          <w:sz w:val="24"/>
          <w:szCs w:val="24"/>
          <w:highlight w:val="none"/>
          <w:lang w:val="en-US" w:eastAsia="zh-CN" w:bidi="ar-SA"/>
        </w:rPr>
        <w:t>、温室气体</w:t>
      </w:r>
      <w:r>
        <w:rPr>
          <w:rFonts w:hint="default" w:ascii="Times New Roman" w:hAnsi="Times New Roman" w:eastAsia="宋体" w:cs="Times New Roman"/>
          <w:color w:val="auto"/>
          <w:spacing w:val="0"/>
          <w:w w:val="99"/>
          <w:position w:val="0"/>
          <w:sz w:val="24"/>
          <w:szCs w:val="24"/>
          <w:highlight w:val="none"/>
          <w:lang w:val="en-US" w:eastAsia="zh-CN" w:bidi="ar-SA"/>
        </w:rPr>
        <w:t>。本项目徐深</w:t>
      </w:r>
      <w:r>
        <w:rPr>
          <w:rFonts w:hint="eastAsia" w:ascii="Times New Roman" w:hAnsi="Times New Roman" w:cs="Times New Roman"/>
          <w:color w:val="auto"/>
          <w:spacing w:val="0"/>
          <w:w w:val="99"/>
          <w:position w:val="0"/>
          <w:sz w:val="24"/>
          <w:szCs w:val="24"/>
          <w:highlight w:val="none"/>
          <w:lang w:val="en-US" w:eastAsia="zh-CN" w:bidi="ar-SA"/>
        </w:rPr>
        <w:t>27</w:t>
      </w:r>
      <w:r>
        <w:rPr>
          <w:rFonts w:hint="default" w:ascii="Times New Roman" w:hAnsi="Times New Roman" w:eastAsia="宋体" w:cs="Times New Roman"/>
          <w:color w:val="auto"/>
          <w:spacing w:val="0"/>
          <w:w w:val="99"/>
          <w:position w:val="0"/>
          <w:sz w:val="24"/>
          <w:szCs w:val="24"/>
          <w:highlight w:val="none"/>
          <w:lang w:val="en-US" w:eastAsia="zh-CN" w:bidi="ar-SA"/>
        </w:rPr>
        <w:t>集气站使用清洁燃料天然气，同时站内采用数字化仪表监控，根据气温合理控制温度，减少天然气用量，减少了烟气排放量。</w:t>
      </w:r>
      <w:r>
        <w:rPr>
          <w:rFonts w:hint="eastAsia" w:ascii="Times New Roman" w:hAnsi="Times New Roman" w:eastAsia="宋体" w:cs="Times New Roman"/>
          <w:color w:val="auto"/>
          <w:spacing w:val="0"/>
          <w:w w:val="99"/>
          <w:position w:val="0"/>
          <w:sz w:val="24"/>
          <w:szCs w:val="24"/>
          <w:highlight w:val="none"/>
          <w:lang w:val="en-US" w:eastAsia="zh-CN" w:bidi="ar-SA"/>
        </w:rPr>
        <w:t>场站</w:t>
      </w:r>
      <w:r>
        <w:rPr>
          <w:rFonts w:hint="default" w:ascii="Times New Roman" w:hAnsi="Times New Roman" w:eastAsia="宋体" w:cs="Times New Roman"/>
          <w:color w:val="auto"/>
          <w:spacing w:val="0"/>
          <w:w w:val="99"/>
          <w:position w:val="0"/>
          <w:sz w:val="24"/>
          <w:szCs w:val="24"/>
          <w:highlight w:val="none"/>
          <w:lang w:val="en-US" w:eastAsia="zh-CN" w:bidi="ar-SA"/>
        </w:rPr>
        <w:t>加热装置燃烧烟气可以满足《</w:t>
      </w:r>
      <w:r>
        <w:rPr>
          <w:rFonts w:hint="eastAsia" w:ascii="Times New Roman" w:hAnsi="Times New Roman" w:eastAsia="宋体" w:cs="Times New Roman"/>
          <w:color w:val="auto"/>
          <w:spacing w:val="0"/>
          <w:w w:val="99"/>
          <w:position w:val="0"/>
          <w:sz w:val="24"/>
          <w:szCs w:val="24"/>
          <w:highlight w:val="none"/>
          <w:lang w:val="en-US" w:eastAsia="zh-CN" w:bidi="ar-SA"/>
        </w:rPr>
        <w:t>锅炉</w:t>
      </w:r>
      <w:r>
        <w:rPr>
          <w:rFonts w:hint="default" w:ascii="Times New Roman" w:hAnsi="Times New Roman" w:eastAsia="宋体" w:cs="Times New Roman"/>
          <w:color w:val="auto"/>
          <w:spacing w:val="0"/>
          <w:w w:val="99"/>
          <w:position w:val="0"/>
          <w:sz w:val="24"/>
          <w:szCs w:val="24"/>
          <w:highlight w:val="none"/>
          <w:lang w:val="en-US" w:eastAsia="zh-CN" w:bidi="ar-SA"/>
        </w:rPr>
        <w:t>大气污染物排放标准》（GB</w:t>
      </w:r>
      <w:r>
        <w:rPr>
          <w:rFonts w:hint="eastAsia" w:ascii="Times New Roman" w:hAnsi="Times New Roman" w:eastAsia="宋体" w:cs="Times New Roman"/>
          <w:color w:val="auto"/>
          <w:spacing w:val="0"/>
          <w:w w:val="99"/>
          <w:position w:val="0"/>
          <w:sz w:val="24"/>
          <w:szCs w:val="24"/>
          <w:highlight w:val="none"/>
          <w:lang w:val="en-US" w:eastAsia="zh-CN" w:bidi="ar-SA"/>
        </w:rPr>
        <w:t>13271</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eastAsia="宋体" w:cs="Times New Roman"/>
          <w:color w:val="auto"/>
          <w:spacing w:val="0"/>
          <w:w w:val="99"/>
          <w:position w:val="0"/>
          <w:sz w:val="24"/>
          <w:szCs w:val="24"/>
          <w:highlight w:val="none"/>
          <w:lang w:val="en-US" w:eastAsia="zh-CN" w:bidi="ar-SA"/>
        </w:rPr>
        <w:t>2014</w:t>
      </w:r>
      <w:r>
        <w:rPr>
          <w:rFonts w:hint="default" w:ascii="Times New Roman" w:hAnsi="Times New Roman" w:eastAsia="宋体" w:cs="Times New Roman"/>
          <w:color w:val="auto"/>
          <w:spacing w:val="0"/>
          <w:w w:val="99"/>
          <w:position w:val="0"/>
          <w:sz w:val="24"/>
          <w:szCs w:val="24"/>
          <w:highlight w:val="none"/>
          <w:lang w:val="en-US" w:eastAsia="zh-CN" w:bidi="ar-SA"/>
        </w:rPr>
        <w:t>）表</w:t>
      </w:r>
      <w:r>
        <w:rPr>
          <w:rFonts w:hint="eastAsia" w:ascii="Times New Roman" w:hAnsi="Times New Roman" w:eastAsia="宋体" w:cs="Times New Roman"/>
          <w:color w:val="auto"/>
          <w:spacing w:val="0"/>
          <w:w w:val="99"/>
          <w:position w:val="0"/>
          <w:sz w:val="24"/>
          <w:szCs w:val="24"/>
          <w:highlight w:val="none"/>
          <w:lang w:val="en-US" w:eastAsia="zh-CN" w:bidi="ar-SA"/>
        </w:rPr>
        <w:t>2新建燃气</w:t>
      </w:r>
      <w:r>
        <w:rPr>
          <w:rFonts w:hint="default" w:ascii="Times New Roman" w:hAnsi="Times New Roman" w:eastAsia="宋体" w:cs="Times New Roman"/>
          <w:color w:val="auto"/>
          <w:spacing w:val="0"/>
          <w:w w:val="99"/>
          <w:position w:val="0"/>
          <w:sz w:val="24"/>
          <w:szCs w:val="24"/>
          <w:highlight w:val="none"/>
          <w:lang w:val="en-US" w:eastAsia="zh-CN" w:bidi="ar-SA"/>
        </w:rPr>
        <w:t>中</w:t>
      </w:r>
      <w:r>
        <w:rPr>
          <w:rFonts w:hint="eastAsia" w:ascii="Times New Roman" w:hAnsi="Times New Roman" w:eastAsia="宋体" w:cs="Times New Roman"/>
          <w:color w:val="auto"/>
          <w:spacing w:val="0"/>
          <w:w w:val="99"/>
          <w:position w:val="0"/>
          <w:sz w:val="24"/>
          <w:szCs w:val="24"/>
          <w:highlight w:val="none"/>
          <w:lang w:val="en-US" w:eastAsia="zh-CN" w:bidi="ar-SA"/>
        </w:rPr>
        <w:t>加热炉</w:t>
      </w:r>
      <w:r>
        <w:rPr>
          <w:rFonts w:hint="default" w:ascii="Times New Roman" w:hAnsi="Times New Roman" w:eastAsia="宋体" w:cs="Times New Roman"/>
          <w:color w:val="auto"/>
          <w:spacing w:val="0"/>
          <w:w w:val="99"/>
          <w:position w:val="0"/>
          <w:sz w:val="24"/>
          <w:szCs w:val="24"/>
          <w:highlight w:val="none"/>
          <w:lang w:val="en-US" w:eastAsia="zh-CN" w:bidi="ar-SA"/>
        </w:rPr>
        <w:t>标准值要求。</w:t>
      </w:r>
      <w:r>
        <w:rPr>
          <w:rFonts w:hint="eastAsia" w:ascii="Times New Roman" w:hAnsi="Times New Roman" w:eastAsia="宋体" w:cs="Times New Roman"/>
          <w:color w:val="auto"/>
          <w:spacing w:val="0"/>
          <w:w w:val="99"/>
          <w:position w:val="0"/>
          <w:sz w:val="24"/>
          <w:szCs w:val="24"/>
          <w:highlight w:val="none"/>
          <w:lang w:val="en-US" w:eastAsia="zh-CN" w:bidi="ar-SA"/>
        </w:rPr>
        <w:t>气</w:t>
      </w:r>
      <w:r>
        <w:rPr>
          <w:rFonts w:hint="default" w:ascii="Times New Roman" w:hAnsi="Times New Roman" w:eastAsia="宋体" w:cs="Times New Roman"/>
          <w:color w:val="auto"/>
          <w:spacing w:val="0"/>
          <w:w w:val="99"/>
          <w:position w:val="0"/>
          <w:sz w:val="24"/>
          <w:szCs w:val="24"/>
          <w:highlight w:val="none"/>
          <w:lang w:val="en-US" w:eastAsia="zh-CN" w:bidi="ar-SA"/>
        </w:rPr>
        <w:t>井井口均安装了密封垫，全部密闭；</w:t>
      </w:r>
      <w:r>
        <w:rPr>
          <w:rFonts w:hint="eastAsia" w:ascii="Times New Roman" w:hAnsi="Times New Roman" w:eastAsia="宋体" w:cs="Times New Roman"/>
          <w:color w:val="auto"/>
          <w:spacing w:val="0"/>
          <w:w w:val="99"/>
          <w:position w:val="0"/>
          <w:sz w:val="24"/>
          <w:szCs w:val="24"/>
          <w:highlight w:val="none"/>
          <w:lang w:val="en-US" w:eastAsia="zh-CN" w:bidi="ar-SA"/>
        </w:rPr>
        <w:t>场</w:t>
      </w:r>
      <w:r>
        <w:rPr>
          <w:rFonts w:hint="default" w:ascii="Times New Roman" w:hAnsi="Times New Roman" w:eastAsia="宋体" w:cs="Times New Roman"/>
          <w:color w:val="auto"/>
          <w:spacing w:val="0"/>
          <w:w w:val="99"/>
          <w:position w:val="0"/>
          <w:sz w:val="24"/>
          <w:szCs w:val="24"/>
          <w:highlight w:val="none"/>
          <w:lang w:val="en-US" w:eastAsia="zh-CN" w:bidi="ar-SA"/>
        </w:rPr>
        <w:t>站内设备阀门进行密封、防腐处理，</w:t>
      </w:r>
      <w:r>
        <w:rPr>
          <w:rFonts w:hint="eastAsia" w:ascii="Times New Roman" w:hAnsi="Times New Roman" w:eastAsia="宋体" w:cs="Times New Roman"/>
          <w:color w:val="auto"/>
          <w:spacing w:val="0"/>
          <w:w w:val="99"/>
          <w:position w:val="0"/>
          <w:sz w:val="24"/>
          <w:szCs w:val="24"/>
          <w:highlight w:val="none"/>
          <w:lang w:val="en-US" w:eastAsia="zh-CN" w:bidi="ar-SA"/>
        </w:rPr>
        <w:t>气井产气</w:t>
      </w:r>
      <w:r>
        <w:rPr>
          <w:rFonts w:hint="default" w:ascii="Times New Roman" w:hAnsi="Times New Roman" w:eastAsia="宋体" w:cs="Times New Roman"/>
          <w:color w:val="auto"/>
          <w:spacing w:val="0"/>
          <w:w w:val="99"/>
          <w:position w:val="0"/>
          <w:sz w:val="24"/>
          <w:szCs w:val="24"/>
          <w:highlight w:val="none"/>
          <w:lang w:val="en-US" w:eastAsia="zh-CN" w:bidi="ar-SA"/>
        </w:rPr>
        <w:t>经管道密闭集输，确保了</w:t>
      </w:r>
      <w:r>
        <w:rPr>
          <w:rFonts w:hint="eastAsia" w:ascii="Times New Roman" w:hAnsi="Times New Roman" w:eastAsia="宋体" w:cs="Times New Roman"/>
          <w:color w:val="auto"/>
          <w:spacing w:val="0"/>
          <w:w w:val="99"/>
          <w:position w:val="0"/>
          <w:sz w:val="24"/>
          <w:szCs w:val="24"/>
          <w:highlight w:val="none"/>
          <w:lang w:val="en-US" w:eastAsia="zh-CN" w:bidi="ar-SA"/>
        </w:rPr>
        <w:t>气田</w:t>
      </w:r>
      <w:r>
        <w:rPr>
          <w:rFonts w:hint="default" w:ascii="Times New Roman" w:hAnsi="Times New Roman" w:eastAsia="宋体" w:cs="Times New Roman"/>
          <w:color w:val="auto"/>
          <w:spacing w:val="0"/>
          <w:w w:val="99"/>
          <w:position w:val="0"/>
          <w:sz w:val="24"/>
          <w:szCs w:val="24"/>
          <w:highlight w:val="none"/>
          <w:lang w:val="en-US" w:eastAsia="zh-CN" w:bidi="ar-SA"/>
        </w:rPr>
        <w:t>特征污染物非甲烷总烃挥发量降至最低，厂界非甲烷总烃浓度满足《陆上石油天然气开采工业大气污染物排放标准》（GB39728-2020）中无组织排放监控浓度限值要求。</w:t>
      </w:r>
    </w:p>
    <w:p w14:paraId="4E074A54">
      <w:pPr>
        <w:pStyle w:val="153"/>
        <w:widowControl w:val="0"/>
        <w:spacing w:line="440" w:lineRule="exact"/>
        <w:ind w:firstLine="473"/>
        <w:jc w:val="both"/>
        <w:rPr>
          <w:rFonts w:hint="eastAsia" w:ascii="Times New Roman" w:hAnsi="Times New Roman" w:eastAsia="宋体" w:cs="Times New Roman"/>
          <w:bCs/>
          <w:color w:val="auto"/>
          <w:w w:val="99"/>
          <w:highlight w:val="none"/>
          <w:lang w:val="en-US" w:eastAsia="zh-CN"/>
        </w:rPr>
      </w:pPr>
      <w:r>
        <w:rPr>
          <w:rFonts w:hint="eastAsia" w:ascii="Times New Roman" w:hAnsi="Times New Roman" w:eastAsia="宋体" w:cs="Times New Roman"/>
          <w:color w:val="auto"/>
          <w:spacing w:val="0"/>
          <w:w w:val="99"/>
          <w:position w:val="0"/>
          <w:sz w:val="24"/>
          <w:szCs w:val="24"/>
          <w:highlight w:val="none"/>
          <w:lang w:val="en-US" w:eastAsia="zh-CN" w:bidi="ar-SA"/>
        </w:rPr>
        <w:t>（2）</w:t>
      </w:r>
      <w:r>
        <w:rPr>
          <w:rFonts w:hint="default" w:ascii="Times New Roman" w:hAnsi="Times New Roman" w:eastAsia="宋体" w:cs="Times New Roman"/>
          <w:color w:val="auto"/>
          <w:spacing w:val="0"/>
          <w:w w:val="99"/>
          <w:position w:val="0"/>
          <w:sz w:val="24"/>
          <w:szCs w:val="24"/>
          <w:highlight w:val="none"/>
          <w:lang w:val="en-US" w:eastAsia="zh-CN" w:bidi="ar-SA"/>
        </w:rPr>
        <w:t>运营期正常工况下</w:t>
      </w:r>
      <w:r>
        <w:rPr>
          <w:rFonts w:hint="eastAsia" w:ascii="Times New Roman" w:hAnsi="Times New Roman" w:eastAsia="宋体" w:cs="Times New Roman"/>
          <w:color w:val="auto"/>
          <w:spacing w:val="0"/>
          <w:w w:val="99"/>
          <w:position w:val="0"/>
          <w:sz w:val="24"/>
          <w:szCs w:val="24"/>
          <w:highlight w:val="none"/>
          <w:lang w:val="en-US" w:eastAsia="zh-CN" w:bidi="ar-SA"/>
        </w:rPr>
        <w:t>集气站分离的</w:t>
      </w:r>
      <w:r>
        <w:rPr>
          <w:rFonts w:hint="default" w:ascii="Times New Roman" w:hAnsi="Times New Roman" w:eastAsia="宋体" w:cs="Times New Roman"/>
          <w:color w:val="auto"/>
          <w:spacing w:val="0"/>
          <w:w w:val="99"/>
          <w:position w:val="0"/>
          <w:sz w:val="24"/>
          <w:szCs w:val="24"/>
          <w:highlight w:val="none"/>
          <w:lang w:val="en-US" w:eastAsia="zh-CN" w:bidi="ar-SA"/>
        </w:rPr>
        <w:t>气田采出水</w:t>
      </w:r>
      <w:r>
        <w:rPr>
          <w:rFonts w:hint="eastAsia" w:ascii="Times New Roman" w:hAnsi="Times New Roman" w:eastAsia="宋体" w:cs="Times New Roman"/>
          <w:color w:val="auto"/>
          <w:spacing w:val="0"/>
          <w:w w:val="99"/>
          <w:position w:val="0"/>
          <w:sz w:val="24"/>
          <w:szCs w:val="24"/>
          <w:highlight w:val="none"/>
          <w:lang w:val="en-US" w:eastAsia="zh-CN" w:bidi="ar-SA"/>
        </w:rPr>
        <w:t>、员工生活污水</w:t>
      </w:r>
      <w:r>
        <w:rPr>
          <w:rFonts w:hint="default" w:ascii="Times New Roman" w:hAnsi="Times New Roman" w:eastAsia="宋体" w:cs="Times New Roman"/>
          <w:color w:val="auto"/>
          <w:spacing w:val="0"/>
          <w:w w:val="99"/>
          <w:position w:val="0"/>
          <w:sz w:val="24"/>
          <w:szCs w:val="24"/>
          <w:highlight w:val="none"/>
          <w:lang w:val="en-US" w:eastAsia="zh-CN" w:bidi="ar-SA"/>
        </w:rPr>
        <w:t>。运营期</w:t>
      </w:r>
      <w:r>
        <w:rPr>
          <w:rFonts w:hint="eastAsia" w:ascii="Times New Roman" w:hAnsi="Times New Roman" w:eastAsia="宋体" w:cs="Times New Roman"/>
          <w:color w:val="auto"/>
          <w:spacing w:val="0"/>
          <w:w w:val="99"/>
          <w:position w:val="0"/>
          <w:sz w:val="24"/>
          <w:szCs w:val="24"/>
          <w:highlight w:val="none"/>
          <w:lang w:val="en-US" w:eastAsia="zh-CN" w:bidi="ar-SA"/>
        </w:rPr>
        <w:t>徐深</w:t>
      </w:r>
      <w:r>
        <w:rPr>
          <w:rFonts w:hint="eastAsia" w:ascii="Times New Roman" w:hAnsi="Times New Roman" w:cs="Times New Roman"/>
          <w:color w:val="auto"/>
          <w:spacing w:val="0"/>
          <w:w w:val="99"/>
          <w:position w:val="0"/>
          <w:sz w:val="24"/>
          <w:szCs w:val="24"/>
          <w:highlight w:val="none"/>
          <w:lang w:val="en-US" w:eastAsia="zh-CN" w:bidi="ar-SA"/>
        </w:rPr>
        <w:t>27</w:t>
      </w:r>
      <w:r>
        <w:rPr>
          <w:rFonts w:hint="eastAsia" w:ascii="Times New Roman" w:hAnsi="Times New Roman" w:eastAsia="宋体" w:cs="Times New Roman"/>
          <w:color w:val="auto"/>
          <w:spacing w:val="0"/>
          <w:w w:val="99"/>
          <w:position w:val="0"/>
          <w:sz w:val="24"/>
          <w:szCs w:val="24"/>
          <w:highlight w:val="none"/>
          <w:lang w:val="en-US" w:eastAsia="zh-CN" w:bidi="ar-SA"/>
        </w:rPr>
        <w:t>集气站分离的采出水进入污水储罐中临时储存，</w:t>
      </w:r>
      <w:r>
        <w:rPr>
          <w:rFonts w:hint="default" w:ascii="Times New Roman" w:hAnsi="Times New Roman" w:eastAsia="宋体" w:cs="Times New Roman"/>
          <w:color w:val="auto"/>
          <w:spacing w:val="0"/>
          <w:w w:val="99"/>
          <w:position w:val="0"/>
          <w:sz w:val="24"/>
          <w:szCs w:val="24"/>
          <w:highlight w:val="none"/>
          <w:lang w:val="en-US" w:eastAsia="zh-CN" w:bidi="ar-SA"/>
        </w:rPr>
        <w:t>再通过外输泵升压外输至气田采出水集输管网，外输至升一联气田污水预处理站处理后的水质执行《大庆油田地面工程建设设计</w:t>
      </w:r>
      <w:r>
        <w:rPr>
          <w:rFonts w:ascii="Times New Roman" w:hAnsi="Times New Roman" w:eastAsia="宋体" w:cs="Times New Roman"/>
          <w:bCs/>
          <w:color w:val="auto"/>
          <w:w w:val="99"/>
          <w:highlight w:val="none"/>
        </w:rPr>
        <w:t>规定》（Q/SYDQ  0639-2015） 限值“含油量≤10mg/L、悬浮固体含量≤5mg/L、粒径中值≤2μm” ，同时满足《碎屑岩油藏注水水质指标技术要求及分析方法》(SY/T5329-2022)中标准限值，回注地下</w:t>
      </w:r>
      <w:r>
        <w:rPr>
          <w:rFonts w:hint="eastAsia" w:ascii="Times New Roman" w:hAnsi="Times New Roman" w:cs="Times New Roman"/>
          <w:bCs/>
          <w:color w:val="auto"/>
          <w:w w:val="99"/>
          <w:highlight w:val="none"/>
          <w:lang w:val="en-US" w:eastAsia="zh-CN"/>
        </w:rPr>
        <w:t>油层</w:t>
      </w:r>
      <w:r>
        <w:rPr>
          <w:rFonts w:hint="eastAsia" w:ascii="Times New Roman" w:hAnsi="Times New Roman" w:eastAsia="宋体" w:cs="Times New Roman"/>
          <w:bCs/>
          <w:color w:val="auto"/>
          <w:w w:val="99"/>
          <w:highlight w:val="none"/>
          <w:lang w:val="en-US" w:eastAsia="zh-CN"/>
        </w:rPr>
        <w:t>；不新增生活污水。</w:t>
      </w:r>
    </w:p>
    <w:p w14:paraId="0FC5AC10">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（3）运营期噪声主要是</w:t>
      </w:r>
      <w:r>
        <w:rPr>
          <w:rFonts w:hint="eastAsia" w:ascii="Times New Roman" w:hAnsi="Times New Roman" w:cs="Times New Roman"/>
          <w:color w:val="auto"/>
          <w:spacing w:val="0"/>
          <w:w w:val="99"/>
          <w:position w:val="0"/>
          <w:sz w:val="24"/>
          <w:szCs w:val="24"/>
          <w:highlight w:val="none"/>
          <w:lang w:val="en-US" w:eastAsia="zh-CN" w:bidi="ar-SA"/>
        </w:rPr>
        <w:t>井场放空产生的</w:t>
      </w:r>
      <w:r>
        <w:rPr>
          <w:rFonts w:hint="default" w:ascii="Times New Roman" w:hAnsi="Times New Roman" w:eastAsia="宋体" w:cs="Times New Roman"/>
          <w:color w:val="auto"/>
          <w:spacing w:val="0"/>
          <w:w w:val="99"/>
          <w:position w:val="0"/>
          <w:sz w:val="24"/>
          <w:szCs w:val="24"/>
          <w:highlight w:val="none"/>
          <w:lang w:val="en-US" w:eastAsia="zh-CN" w:bidi="ar-SA"/>
        </w:rPr>
        <w:t>噪声。</w:t>
      </w:r>
      <w:r>
        <w:rPr>
          <w:rFonts w:hint="eastAsia" w:ascii="Times New Roman" w:hAnsi="Times New Roman" w:eastAsia="宋体" w:cs="Times New Roman"/>
          <w:color w:val="auto"/>
          <w:spacing w:val="0"/>
          <w:w w:val="99"/>
          <w:position w:val="0"/>
          <w:sz w:val="24"/>
          <w:szCs w:val="24"/>
          <w:highlight w:val="none"/>
          <w:lang w:val="en-US" w:eastAsia="zh-CN" w:bidi="ar-SA"/>
        </w:rPr>
        <w:t>本项目</w:t>
      </w:r>
      <w:r>
        <w:rPr>
          <w:rFonts w:hint="default" w:ascii="Times New Roman" w:hAnsi="Times New Roman" w:eastAsia="宋体" w:cs="Times New Roman"/>
          <w:color w:val="auto"/>
          <w:spacing w:val="0"/>
          <w:w w:val="99"/>
          <w:position w:val="0"/>
          <w:sz w:val="24"/>
          <w:szCs w:val="24"/>
          <w:highlight w:val="none"/>
          <w:lang w:val="en-US" w:eastAsia="zh-CN" w:bidi="ar-SA"/>
        </w:rPr>
        <w:t>尽可能选用低噪声设备，场站机泵等设备集中布置于室内，并安装减震基础。采取以上措施后井场及场站厂界噪声能够达到《工业企业厂界环境噪声排放标准》（GB12348-2008）2类标准的要求。</w:t>
      </w:r>
    </w:p>
    <w:p w14:paraId="26A39C4B">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（4）</w:t>
      </w:r>
      <w:r>
        <w:rPr>
          <w:rFonts w:hint="eastAsia" w:ascii="Times New Roman" w:hAnsi="Times New Roman" w:eastAsia="宋体" w:cs="Times New Roman"/>
          <w:color w:val="auto"/>
          <w:spacing w:val="0"/>
          <w:w w:val="99"/>
          <w:position w:val="0"/>
          <w:sz w:val="24"/>
          <w:szCs w:val="24"/>
          <w:highlight w:val="none"/>
          <w:lang w:val="en-US" w:eastAsia="zh-CN" w:bidi="ar-SA"/>
        </w:rPr>
        <w:t>运营期</w:t>
      </w:r>
      <w:r>
        <w:rPr>
          <w:rFonts w:hint="default" w:ascii="Times New Roman" w:hAnsi="Times New Roman" w:eastAsia="宋体" w:cs="Times New Roman"/>
          <w:color w:val="auto"/>
          <w:spacing w:val="0"/>
          <w:w w:val="99"/>
          <w:position w:val="0"/>
          <w:sz w:val="24"/>
          <w:szCs w:val="24"/>
          <w:highlight w:val="none"/>
          <w:lang w:val="en-US" w:eastAsia="zh-CN" w:bidi="ar-SA"/>
        </w:rPr>
        <w:t>本工程气井井口安装有井口除砂器，投产初会定期检查井口除砂器</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产生</w:t>
      </w:r>
      <w:r>
        <w:rPr>
          <w:rFonts w:hint="eastAsia" w:ascii="Times New Roman" w:hAnsi="Times New Roman" w:cs="Times New Roman"/>
          <w:color w:val="auto"/>
          <w:spacing w:val="0"/>
          <w:w w:val="99"/>
          <w:position w:val="0"/>
          <w:sz w:val="24"/>
          <w:szCs w:val="24"/>
          <w:highlight w:val="none"/>
          <w:lang w:val="en-US" w:eastAsia="zh-CN" w:bidi="ar-SA"/>
        </w:rPr>
        <w:t>井口含油砂砾</w:t>
      </w:r>
      <w:r>
        <w:rPr>
          <w:rFonts w:hint="default" w:ascii="Times New Roman" w:hAnsi="Times New Roman" w:eastAsia="宋体" w:cs="Times New Roman"/>
          <w:color w:val="auto"/>
          <w:spacing w:val="0"/>
          <w:w w:val="99"/>
          <w:position w:val="0"/>
          <w:sz w:val="24"/>
          <w:szCs w:val="24"/>
          <w:highlight w:val="none"/>
          <w:lang w:val="en-US" w:eastAsia="zh-CN" w:bidi="ar-SA"/>
        </w:rPr>
        <w:t>为危险废物</w:t>
      </w:r>
      <w:r>
        <w:rPr>
          <w:rFonts w:hint="eastAsia" w:ascii="Times New Roman" w:hAnsi="Times New Roman" w:eastAsia="宋体" w:cs="Times New Roman"/>
          <w:color w:val="auto"/>
          <w:spacing w:val="0"/>
          <w:w w:val="99"/>
          <w:position w:val="0"/>
          <w:sz w:val="24"/>
          <w:szCs w:val="24"/>
          <w:highlight w:val="none"/>
          <w:lang w:val="en-US" w:eastAsia="zh-CN" w:bidi="ar-SA"/>
        </w:rPr>
        <w:t xml:space="preserve">HW08 </w:t>
      </w:r>
      <w:r>
        <w:rPr>
          <w:rFonts w:hint="default" w:ascii="Times New Roman" w:hAnsi="Times New Roman" w:eastAsia="宋体" w:cs="Times New Roman"/>
          <w:color w:val="auto"/>
          <w:spacing w:val="0"/>
          <w:w w:val="99"/>
          <w:position w:val="0"/>
          <w:sz w:val="24"/>
          <w:szCs w:val="24"/>
          <w:highlight w:val="none"/>
          <w:lang w:val="en-US" w:eastAsia="zh-CN" w:bidi="ar-SA"/>
        </w:rPr>
        <w:t>900-249-08，委托有资质单位处置</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cs="Times New Roman"/>
          <w:color w:val="auto"/>
          <w:spacing w:val="0"/>
          <w:w w:val="99"/>
          <w:position w:val="0"/>
          <w:sz w:val="24"/>
          <w:szCs w:val="24"/>
          <w:highlight w:val="none"/>
          <w:lang w:val="en-US" w:eastAsia="zh-CN" w:bidi="ar-SA"/>
        </w:rPr>
        <w:t>柱上变检修可能产生废变压器油，收集后暂存于采气分公司危险废物贮存库，定期委托有资质单位处理。</w:t>
      </w:r>
      <w:r>
        <w:rPr>
          <w:rFonts w:hint="eastAsia" w:ascii="Times New Roman" w:hAnsi="Times New Roman" w:eastAsia="宋体" w:cs="Times New Roman"/>
          <w:color w:val="auto"/>
          <w:spacing w:val="0"/>
          <w:w w:val="99"/>
          <w:position w:val="0"/>
          <w:sz w:val="24"/>
          <w:szCs w:val="24"/>
          <w:highlight w:val="none"/>
          <w:lang w:val="en-US" w:eastAsia="zh-CN" w:bidi="ar-SA"/>
        </w:rPr>
        <w:t>运营期不新增生活垃圾。</w:t>
      </w:r>
    </w:p>
    <w:p w14:paraId="52719574">
      <w:pPr>
        <w:spacing w:line="440" w:lineRule="exact"/>
        <w:jc w:val="both"/>
        <w:outlineLvl w:val="3"/>
        <w:rPr>
          <w:rFonts w:ascii="Times New Roman" w:hAnsi="Times New Roman" w:cs="Times New Roman" w:eastAsiaTheme="minorEastAsia"/>
          <w:b/>
          <w:color w:val="auto"/>
          <w:w w:val="99"/>
          <w:szCs w:val="20"/>
          <w:highlight w:val="none"/>
        </w:rPr>
      </w:pPr>
      <w:r>
        <w:rPr>
          <w:rFonts w:ascii="Times New Roman" w:hAnsi="Times New Roman" w:cs="Times New Roman" w:eastAsiaTheme="minorEastAsia"/>
          <w:b/>
          <w:color w:val="auto"/>
          <w:w w:val="99"/>
          <w:szCs w:val="20"/>
          <w:highlight w:val="none"/>
        </w:rPr>
        <w:t>1.2.4.3退役期</w:t>
      </w:r>
    </w:p>
    <w:p w14:paraId="0F63DF4B">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（1）退役期</w:t>
      </w:r>
      <w:r>
        <w:rPr>
          <w:rFonts w:hint="eastAsia" w:ascii="Times New Roman" w:hAnsi="Times New Roman" w:eastAsia="宋体" w:cs="Times New Roman"/>
          <w:color w:val="auto"/>
          <w:spacing w:val="0"/>
          <w:w w:val="99"/>
          <w:position w:val="0"/>
          <w:sz w:val="24"/>
          <w:szCs w:val="24"/>
          <w:highlight w:val="none"/>
          <w:lang w:val="en-US" w:eastAsia="zh-CN" w:bidi="ar-SA"/>
        </w:rPr>
        <w:t>大气污染物主要为气井</w:t>
      </w:r>
      <w:r>
        <w:rPr>
          <w:rFonts w:hint="default" w:ascii="Times New Roman" w:hAnsi="Times New Roman" w:eastAsia="宋体" w:cs="Times New Roman"/>
          <w:color w:val="auto"/>
          <w:spacing w:val="0"/>
          <w:w w:val="99"/>
          <w:position w:val="0"/>
          <w:sz w:val="24"/>
          <w:szCs w:val="24"/>
          <w:highlight w:val="none"/>
          <w:lang w:val="en-US" w:eastAsia="zh-CN" w:bidi="ar-SA"/>
        </w:rPr>
        <w:t>拆除过程中</w:t>
      </w:r>
      <w:r>
        <w:rPr>
          <w:rFonts w:hint="eastAsia" w:ascii="Times New Roman" w:hAnsi="Times New Roman" w:eastAsia="宋体" w:cs="Times New Roman"/>
          <w:color w:val="auto"/>
          <w:spacing w:val="0"/>
          <w:w w:val="99"/>
          <w:position w:val="0"/>
          <w:sz w:val="24"/>
          <w:szCs w:val="24"/>
          <w:highlight w:val="none"/>
          <w:lang w:val="en-US" w:eastAsia="zh-CN" w:bidi="ar-SA"/>
        </w:rPr>
        <w:t>产生的施工扬尘和运输车辆尾气，通过</w:t>
      </w:r>
      <w:r>
        <w:rPr>
          <w:rFonts w:hint="default" w:ascii="Times New Roman" w:hAnsi="Times New Roman" w:eastAsia="宋体" w:cs="Times New Roman"/>
          <w:color w:val="auto"/>
          <w:spacing w:val="0"/>
          <w:w w:val="99"/>
          <w:position w:val="0"/>
          <w:sz w:val="24"/>
          <w:szCs w:val="24"/>
          <w:highlight w:val="none"/>
          <w:lang w:val="en-US" w:eastAsia="zh-CN" w:bidi="ar-SA"/>
        </w:rPr>
        <w:t>场地洒水抑尘</w:t>
      </w:r>
      <w:r>
        <w:rPr>
          <w:rFonts w:hint="eastAsia" w:ascii="Times New Roman" w:hAnsi="Times New Roman" w:eastAsia="宋体" w:cs="Times New Roman"/>
          <w:color w:val="auto"/>
          <w:spacing w:val="0"/>
          <w:w w:val="99"/>
          <w:position w:val="0"/>
          <w:sz w:val="24"/>
          <w:szCs w:val="24"/>
          <w:highlight w:val="none"/>
          <w:lang w:val="en-US" w:eastAsia="zh-CN" w:bidi="ar-SA"/>
        </w:rPr>
        <w:t>能够有效降低扬尘产生量，且退役期拆除过程持续时间较短，通过洒水抑尘后对环境空气的影响可接受</w:t>
      </w:r>
      <w:r>
        <w:rPr>
          <w:rFonts w:hint="default" w:ascii="Times New Roman" w:hAnsi="Times New Roman" w:eastAsia="宋体" w:cs="Times New Roman"/>
          <w:color w:val="auto"/>
          <w:spacing w:val="0"/>
          <w:w w:val="99"/>
          <w:position w:val="0"/>
          <w:sz w:val="24"/>
          <w:szCs w:val="24"/>
          <w:highlight w:val="none"/>
          <w:lang w:val="en-US" w:eastAsia="zh-CN" w:bidi="ar-SA"/>
        </w:rPr>
        <w:t>。</w:t>
      </w:r>
    </w:p>
    <w:p w14:paraId="29D81AE4">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（2）</w:t>
      </w:r>
      <w:r>
        <w:rPr>
          <w:rFonts w:hint="eastAsia" w:ascii="Times New Roman" w:hAnsi="Times New Roman" w:eastAsia="宋体" w:cs="Times New Roman"/>
          <w:color w:val="auto"/>
          <w:spacing w:val="0"/>
          <w:w w:val="99"/>
          <w:position w:val="0"/>
          <w:sz w:val="24"/>
          <w:szCs w:val="24"/>
          <w:highlight w:val="none"/>
          <w:lang w:val="en-US" w:eastAsia="zh-CN" w:bidi="ar-SA"/>
        </w:rPr>
        <w:t>退役期废水主要包括退役气井拆除设备清洗废水</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eastAsia="宋体" w:cs="Times New Roman"/>
          <w:color w:val="auto"/>
          <w:spacing w:val="0"/>
          <w:w w:val="99"/>
          <w:position w:val="0"/>
          <w:sz w:val="24"/>
          <w:szCs w:val="24"/>
          <w:highlight w:val="none"/>
          <w:lang w:val="en-US" w:eastAsia="zh-CN" w:bidi="ar-SA"/>
        </w:rPr>
        <w:t>洗废水</w:t>
      </w:r>
      <w:r>
        <w:rPr>
          <w:rFonts w:hint="default" w:ascii="Times New Roman" w:hAnsi="Times New Roman" w:eastAsia="宋体" w:cs="Times New Roman"/>
          <w:color w:val="auto"/>
          <w:spacing w:val="0"/>
          <w:w w:val="99"/>
          <w:position w:val="0"/>
          <w:sz w:val="24"/>
          <w:szCs w:val="24"/>
          <w:highlight w:val="none"/>
          <w:lang w:val="en-US" w:eastAsia="zh-CN" w:bidi="ar-SA"/>
        </w:rPr>
        <w:t>由罐车拉运至升一联气田污水预处理站</w:t>
      </w:r>
      <w:r>
        <w:rPr>
          <w:rFonts w:hint="eastAsia" w:ascii="Times New Roman" w:hAnsi="Times New Roman" w:eastAsia="宋体" w:cs="Times New Roman"/>
          <w:color w:val="auto"/>
          <w:spacing w:val="0"/>
          <w:w w:val="99"/>
          <w:position w:val="0"/>
          <w:sz w:val="24"/>
          <w:szCs w:val="24"/>
          <w:highlight w:val="none"/>
          <w:lang w:val="en-US" w:eastAsia="zh-CN" w:bidi="ar-SA"/>
        </w:rPr>
        <w:t>集中处理</w:t>
      </w:r>
      <w:r>
        <w:rPr>
          <w:rFonts w:hint="default" w:ascii="Times New Roman" w:hAnsi="Times New Roman" w:eastAsia="宋体" w:cs="Times New Roman"/>
          <w:color w:val="auto"/>
          <w:spacing w:val="0"/>
          <w:w w:val="99"/>
          <w:position w:val="0"/>
          <w:sz w:val="24"/>
          <w:szCs w:val="24"/>
          <w:highlight w:val="none"/>
          <w:lang w:val="en-US" w:eastAsia="zh-CN" w:bidi="ar-SA"/>
        </w:rPr>
        <w:t>，达标后回注地下开采油层，不外排</w:t>
      </w:r>
      <w:r>
        <w:rPr>
          <w:rFonts w:hint="eastAsia" w:ascii="Times New Roman" w:hAnsi="Times New Roman" w:eastAsia="宋体" w:cs="Times New Roman"/>
          <w:color w:val="auto"/>
          <w:spacing w:val="0"/>
          <w:w w:val="99"/>
          <w:position w:val="0"/>
          <w:sz w:val="24"/>
          <w:szCs w:val="24"/>
          <w:highlight w:val="none"/>
          <w:lang w:val="en-US" w:eastAsia="zh-CN" w:bidi="ar-SA"/>
        </w:rPr>
        <w:t>。</w:t>
      </w:r>
    </w:p>
    <w:p w14:paraId="1802A96E">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（3）</w:t>
      </w:r>
      <w:r>
        <w:rPr>
          <w:rFonts w:hint="eastAsia" w:ascii="Times New Roman" w:hAnsi="Times New Roman" w:eastAsia="宋体" w:cs="Times New Roman"/>
          <w:color w:val="auto"/>
          <w:spacing w:val="0"/>
          <w:w w:val="99"/>
          <w:position w:val="0"/>
          <w:sz w:val="24"/>
          <w:szCs w:val="24"/>
          <w:highlight w:val="none"/>
          <w:lang w:val="en-US" w:eastAsia="zh-CN" w:bidi="ar-SA"/>
        </w:rPr>
        <w:t>退役期噪声主要是设备拆除</w:t>
      </w:r>
      <w:r>
        <w:rPr>
          <w:rFonts w:hint="default" w:ascii="Times New Roman" w:hAnsi="Times New Roman" w:eastAsia="宋体" w:cs="Times New Roman"/>
          <w:color w:val="auto"/>
          <w:spacing w:val="0"/>
          <w:w w:val="99"/>
          <w:position w:val="0"/>
          <w:sz w:val="24"/>
          <w:szCs w:val="24"/>
          <w:highlight w:val="none"/>
          <w:lang w:val="en-US" w:eastAsia="zh-CN" w:bidi="ar-SA"/>
        </w:rPr>
        <w:t>和车辆运行噪声。</w:t>
      </w:r>
      <w:r>
        <w:rPr>
          <w:rFonts w:hint="eastAsia" w:ascii="Times New Roman" w:hAnsi="Times New Roman" w:eastAsia="宋体" w:cs="Times New Roman"/>
          <w:color w:val="auto"/>
          <w:spacing w:val="0"/>
          <w:w w:val="99"/>
          <w:position w:val="0"/>
          <w:sz w:val="24"/>
          <w:szCs w:val="24"/>
          <w:highlight w:val="none"/>
          <w:lang w:val="en-US" w:eastAsia="zh-CN" w:bidi="ar-SA"/>
        </w:rPr>
        <w:t>施工时应</w:t>
      </w:r>
      <w:r>
        <w:rPr>
          <w:rFonts w:hint="default" w:ascii="Times New Roman" w:hAnsi="Times New Roman" w:eastAsia="宋体" w:cs="Times New Roman"/>
          <w:color w:val="auto"/>
          <w:spacing w:val="0"/>
          <w:w w:val="99"/>
          <w:position w:val="0"/>
          <w:sz w:val="24"/>
          <w:szCs w:val="24"/>
          <w:highlight w:val="none"/>
          <w:lang w:val="en-US" w:eastAsia="zh-CN" w:bidi="ar-SA"/>
        </w:rPr>
        <w:t>加强施工管理工作，合理安排施工进度，避免大量高噪声设备同时施工；选用低噪声设备；运输车辆选择避开居民区的路线。</w:t>
      </w:r>
    </w:p>
    <w:p w14:paraId="75289941">
      <w:pPr>
        <w:pStyle w:val="153"/>
        <w:widowControl w:val="0"/>
        <w:spacing w:line="440" w:lineRule="exact"/>
        <w:ind w:firstLine="473"/>
        <w:jc w:val="both"/>
        <w:rPr>
          <w:rFonts w:hint="default" w:ascii="Times New Roman" w:hAnsi="Times New Roman" w:eastAsia="宋体" w:cs="Times New Roman"/>
          <w:bCs/>
          <w:color w:val="auto"/>
          <w:w w:val="99"/>
          <w:kern w:val="0"/>
          <w:sz w:val="24"/>
          <w:szCs w:val="24"/>
          <w:highlight w:val="none"/>
          <w:lang w:val="en-US" w:eastAsia="zh-CN" w:bidi="ar-SA"/>
        </w:rPr>
      </w:pPr>
      <w:r>
        <w:rPr>
          <w:rFonts w:hint="eastAsia" w:ascii="Times New Roman" w:hAnsi="Times New Roman" w:eastAsia="宋体" w:cs="Times New Roman"/>
          <w:color w:val="auto"/>
          <w:spacing w:val="0"/>
          <w:w w:val="99"/>
          <w:position w:val="0"/>
          <w:sz w:val="24"/>
          <w:szCs w:val="24"/>
          <w:highlight w:val="none"/>
          <w:lang w:val="en-US" w:eastAsia="zh-CN" w:bidi="ar-SA"/>
        </w:rPr>
        <w:t>（4）退役期固体废物主要为拆除的废旧设备、封井垃圾、建筑垃圾、生活垃圾</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eastAsia="宋体" w:cs="Times New Roman"/>
          <w:color w:val="auto"/>
          <w:spacing w:val="0"/>
          <w:w w:val="99"/>
          <w:position w:val="0"/>
          <w:sz w:val="24"/>
          <w:szCs w:val="24"/>
          <w:highlight w:val="none"/>
          <w:lang w:val="en-US" w:eastAsia="zh-CN" w:bidi="ar-SA"/>
        </w:rPr>
        <w:t>气</w:t>
      </w:r>
      <w:r>
        <w:rPr>
          <w:rFonts w:hint="default" w:ascii="Times New Roman" w:hAnsi="Times New Roman" w:eastAsia="宋体" w:cs="Times New Roman"/>
          <w:color w:val="auto"/>
          <w:spacing w:val="0"/>
          <w:w w:val="99"/>
          <w:position w:val="0"/>
          <w:sz w:val="24"/>
          <w:szCs w:val="24"/>
          <w:highlight w:val="none"/>
          <w:lang w:val="en-US" w:eastAsia="zh-CN" w:bidi="ar-SA"/>
        </w:rPr>
        <w:t>井拆除设备废旧设备回收至</w:t>
      </w:r>
      <w:r>
        <w:rPr>
          <w:rFonts w:hint="eastAsia" w:ascii="Times New Roman" w:hAnsi="Times New Roman" w:eastAsia="宋体" w:cs="Times New Roman"/>
          <w:color w:val="auto"/>
          <w:spacing w:val="0"/>
          <w:w w:val="99"/>
          <w:position w:val="0"/>
          <w:sz w:val="24"/>
          <w:szCs w:val="24"/>
          <w:highlight w:val="none"/>
          <w:lang w:val="en-US" w:eastAsia="zh-CN" w:bidi="ar-SA"/>
        </w:rPr>
        <w:t>大庆油田有限责</w:t>
      </w:r>
      <w:r>
        <w:rPr>
          <w:rFonts w:hint="eastAsia" w:ascii="Times New Roman" w:hAnsi="Times New Roman" w:eastAsia="宋体" w:cs="Times New Roman"/>
          <w:bCs/>
          <w:color w:val="auto"/>
          <w:w w:val="99"/>
          <w:kern w:val="0"/>
          <w:sz w:val="24"/>
          <w:szCs w:val="24"/>
          <w:highlight w:val="none"/>
          <w:lang w:val="en-US" w:eastAsia="zh-CN" w:bidi="ar-SA"/>
        </w:rPr>
        <w:t>任公司采气分公司</w:t>
      </w:r>
      <w:r>
        <w:rPr>
          <w:rFonts w:hint="default" w:ascii="Times New Roman" w:hAnsi="Times New Roman" w:eastAsia="宋体" w:cs="Times New Roman"/>
          <w:bCs/>
          <w:color w:val="auto"/>
          <w:w w:val="99"/>
          <w:kern w:val="0"/>
          <w:sz w:val="24"/>
          <w:szCs w:val="24"/>
          <w:highlight w:val="none"/>
          <w:lang w:val="en-US" w:eastAsia="zh-CN" w:bidi="ar-SA"/>
        </w:rPr>
        <w:t>资产回收库</w:t>
      </w:r>
      <w:r>
        <w:rPr>
          <w:rFonts w:hint="eastAsia" w:ascii="Times New Roman" w:hAnsi="Times New Roman" w:eastAsia="宋体" w:cs="Times New Roman"/>
          <w:bCs/>
          <w:color w:val="auto"/>
          <w:w w:val="99"/>
          <w:kern w:val="0"/>
          <w:sz w:val="24"/>
          <w:szCs w:val="24"/>
          <w:highlight w:val="none"/>
          <w:lang w:val="en-US" w:eastAsia="zh-CN" w:bidi="ar-SA"/>
        </w:rPr>
        <w:t>；</w:t>
      </w:r>
      <w:r>
        <w:rPr>
          <w:rFonts w:hint="default" w:ascii="Times New Roman" w:hAnsi="Times New Roman" w:eastAsia="宋体" w:cs="Times New Roman"/>
          <w:bCs/>
          <w:color w:val="auto"/>
          <w:w w:val="99"/>
          <w:kern w:val="0"/>
          <w:sz w:val="24"/>
          <w:szCs w:val="24"/>
          <w:highlight w:val="none"/>
          <w:lang w:val="en-US" w:eastAsia="zh-CN" w:bidi="ar-SA"/>
        </w:rPr>
        <w:t>封井垃圾</w:t>
      </w:r>
      <w:r>
        <w:rPr>
          <w:rFonts w:hint="default" w:ascii="Times New Roman" w:hAnsi="Times New Roman" w:eastAsia="宋体" w:cs="Times New Roman"/>
          <w:color w:val="auto"/>
          <w:spacing w:val="0"/>
          <w:w w:val="99"/>
          <w:sz w:val="24"/>
          <w:szCs w:val="24"/>
          <w:highlight w:val="none"/>
        </w:rPr>
        <w:t>拉运至建筑垃圾</w:t>
      </w:r>
      <w:r>
        <w:rPr>
          <w:rFonts w:hint="eastAsia" w:ascii="Times New Roman" w:hAnsi="Times New Roman" w:eastAsia="宋体" w:cs="Times New Roman"/>
          <w:color w:val="auto"/>
          <w:spacing w:val="0"/>
          <w:w w:val="99"/>
          <w:sz w:val="24"/>
          <w:szCs w:val="24"/>
          <w:highlight w:val="none"/>
          <w:lang w:val="en-US" w:eastAsia="zh-CN"/>
        </w:rPr>
        <w:t>调配</w:t>
      </w:r>
      <w:r>
        <w:rPr>
          <w:rFonts w:hint="default" w:ascii="Times New Roman" w:hAnsi="Times New Roman" w:eastAsia="宋体" w:cs="Times New Roman"/>
          <w:color w:val="auto"/>
          <w:spacing w:val="0"/>
          <w:w w:val="99"/>
          <w:sz w:val="24"/>
          <w:szCs w:val="24"/>
          <w:highlight w:val="none"/>
        </w:rPr>
        <w:t>场处理</w:t>
      </w:r>
      <w:r>
        <w:rPr>
          <w:rFonts w:hint="eastAsia" w:ascii="Times New Roman" w:hAnsi="Times New Roman" w:eastAsia="宋体" w:cs="Times New Roman"/>
          <w:color w:val="auto"/>
          <w:spacing w:val="0"/>
          <w:w w:val="99"/>
          <w:sz w:val="24"/>
          <w:szCs w:val="24"/>
          <w:highlight w:val="none"/>
          <w:lang w:eastAsia="zh-CN"/>
        </w:rPr>
        <w:t>；</w:t>
      </w:r>
      <w:r>
        <w:rPr>
          <w:rFonts w:hint="default" w:ascii="Times New Roman" w:hAnsi="Times New Roman" w:eastAsia="宋体" w:cs="Times New Roman"/>
          <w:bCs/>
          <w:color w:val="auto"/>
          <w:w w:val="99"/>
          <w:kern w:val="0"/>
          <w:sz w:val="24"/>
          <w:szCs w:val="24"/>
          <w:highlight w:val="none"/>
          <w:lang w:val="en-US" w:eastAsia="zh-CN" w:bidi="ar-SA"/>
        </w:rPr>
        <w:t>生活垃圾统一收集后拉运至</w:t>
      </w:r>
      <w:r>
        <w:rPr>
          <w:rFonts w:hint="eastAsia" w:ascii="Times New Roman" w:hAnsi="Times New Roman" w:cs="Times New Roman"/>
          <w:bCs/>
          <w:color w:val="auto"/>
          <w:w w:val="99"/>
          <w:kern w:val="0"/>
          <w:sz w:val="24"/>
          <w:szCs w:val="24"/>
          <w:highlight w:val="none"/>
          <w:lang w:val="en-US" w:eastAsia="zh-CN" w:bidi="ar-SA"/>
        </w:rPr>
        <w:t>肇东北控环境再生能源有限公司</w:t>
      </w:r>
      <w:r>
        <w:rPr>
          <w:rFonts w:hint="default" w:ascii="Times New Roman" w:hAnsi="Times New Roman" w:eastAsia="宋体" w:cs="Times New Roman"/>
          <w:bCs/>
          <w:color w:val="auto"/>
          <w:w w:val="99"/>
          <w:kern w:val="0"/>
          <w:sz w:val="24"/>
          <w:szCs w:val="24"/>
          <w:highlight w:val="none"/>
          <w:lang w:val="en-US" w:eastAsia="zh-CN" w:bidi="ar-SA"/>
        </w:rPr>
        <w:t>处理。</w:t>
      </w:r>
    </w:p>
    <w:bookmarkEnd w:id="32"/>
    <w:bookmarkEnd w:id="49"/>
    <w:bookmarkEnd w:id="50"/>
    <w:bookmarkEnd w:id="51"/>
    <w:bookmarkEnd w:id="52"/>
    <w:bookmarkEnd w:id="53"/>
    <w:bookmarkEnd w:id="54"/>
    <w:bookmarkEnd w:id="55"/>
    <w:bookmarkEnd w:id="56"/>
    <w:bookmarkEnd w:id="57"/>
    <w:bookmarkEnd w:id="58"/>
    <w:p w14:paraId="7882771E">
      <w:pPr>
        <w:pStyle w:val="5"/>
        <w:keepNext w:val="0"/>
        <w:keepLines w:val="0"/>
        <w:widowControl w:val="0"/>
        <w:spacing w:before="120" w:after="120" w:line="440" w:lineRule="exact"/>
        <w:jc w:val="both"/>
        <w:rPr>
          <w:rFonts w:ascii="Times New Roman" w:hAnsi="Times New Roman" w:eastAsia="宋体"/>
          <w:b/>
          <w:snapToGrid w:val="0"/>
          <w:color w:val="auto"/>
          <w:w w:val="99"/>
          <w:highlight w:val="none"/>
        </w:rPr>
      </w:pPr>
      <w:bookmarkStart w:id="59" w:name="_Toc2083"/>
      <w:bookmarkStart w:id="60" w:name="_Toc502736432"/>
      <w:r>
        <w:rPr>
          <w:rFonts w:ascii="Times New Roman" w:hAnsi="Times New Roman" w:eastAsia="宋体"/>
          <w:b/>
          <w:snapToGrid w:val="0"/>
          <w:color w:val="auto"/>
          <w:w w:val="99"/>
          <w:highlight w:val="none"/>
        </w:rPr>
        <w:t>1.3环境影响评价工作过程</w:t>
      </w:r>
      <w:bookmarkEnd w:id="59"/>
      <w:bookmarkEnd w:id="60"/>
    </w:p>
    <w:p w14:paraId="4020AE43">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我单位在接受委托后，按照《建设项目环境影响评价技术导则总纲》（HJ2.1-2016）、《环境影响评价技术导则 陆地石油天然气开发建设项目》（HJ349-2023）等国家有关环境影响评价规范、技术导则及环境保护管理部门的要求，依次完成以下环境影响评价工作：</w:t>
      </w:r>
    </w:p>
    <w:p w14:paraId="40CA1DA0">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第一阶段：首先，收集分析工程技术文件以及相关基础资料，依据《建设项目环境影响评价分类管理名录（2021年版）》（</w:t>
      </w:r>
      <w:r>
        <w:rPr>
          <w:rFonts w:hint="eastAsia" w:ascii="Times New Roman" w:hAnsi="Times New Roman" w:eastAsia="宋体" w:cs="Times New Roman"/>
          <w:color w:val="auto"/>
          <w:spacing w:val="0"/>
          <w:w w:val="99"/>
          <w:position w:val="0"/>
          <w:sz w:val="24"/>
          <w:szCs w:val="24"/>
          <w:highlight w:val="none"/>
          <w:lang w:val="en-US" w:eastAsia="zh-CN" w:bidi="ar-SA"/>
        </w:rPr>
        <w:t>生态环境部令</w:t>
      </w:r>
      <w:r>
        <w:rPr>
          <w:rFonts w:hint="default" w:ascii="Times New Roman" w:hAnsi="Times New Roman" w:eastAsia="宋体" w:cs="Times New Roman"/>
          <w:color w:val="auto"/>
          <w:spacing w:val="0"/>
          <w:w w:val="99"/>
          <w:position w:val="0"/>
          <w:sz w:val="24"/>
          <w:szCs w:val="24"/>
          <w:highlight w:val="none"/>
          <w:lang w:val="en-US" w:eastAsia="zh-CN" w:bidi="ar-SA"/>
        </w:rPr>
        <w:t>第16号）规定，确定</w:t>
      </w:r>
      <w:r>
        <w:rPr>
          <w:rFonts w:hint="eastAsia" w:ascii="Times New Roman" w:hAnsi="Times New Roman" w:cs="Times New Roman"/>
          <w:color w:val="auto"/>
          <w:spacing w:val="0"/>
          <w:w w:val="99"/>
          <w:position w:val="0"/>
          <w:sz w:val="24"/>
          <w:szCs w:val="24"/>
          <w:highlight w:val="none"/>
          <w:lang w:val="en-US" w:eastAsia="zh-CN" w:bidi="ar-SA"/>
        </w:rPr>
        <w:t>徐深27-H1井地面工程项目</w:t>
      </w:r>
      <w:r>
        <w:rPr>
          <w:rFonts w:hint="default" w:ascii="Times New Roman" w:hAnsi="Times New Roman" w:eastAsia="宋体" w:cs="Times New Roman"/>
          <w:color w:val="auto"/>
          <w:spacing w:val="0"/>
          <w:w w:val="99"/>
          <w:position w:val="0"/>
          <w:sz w:val="24"/>
          <w:szCs w:val="24"/>
          <w:highlight w:val="none"/>
          <w:lang w:val="en-US" w:eastAsia="zh-CN" w:bidi="ar-SA"/>
        </w:rPr>
        <w:t>环境影响评价技术文件类型为环境影响报告书。</w:t>
      </w:r>
    </w:p>
    <w:p w14:paraId="24DF6270">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其次，在仔细研究工程技术文件的基础上，进行了工程分析，并对项目所在区域进行实地踏勘和调研，了解项目周围情况。在此基础上，识别环境影响并筛选评价因子，明确环境影响、评价工作重点和环境保护目标确定等工作。通过对项目概况、周围环境敏感性及导则要求分析确定：本项目大气环境影响评价工作等级为</w:t>
      </w:r>
      <w:r>
        <w:rPr>
          <w:rFonts w:hint="eastAsia" w:ascii="Times New Roman" w:hAnsi="Times New Roman" w:cs="Times New Roman"/>
          <w:color w:val="auto"/>
          <w:spacing w:val="0"/>
          <w:w w:val="99"/>
          <w:position w:val="0"/>
          <w:sz w:val="24"/>
          <w:szCs w:val="24"/>
          <w:highlight w:val="none"/>
          <w:lang w:val="en-US" w:eastAsia="zh-CN" w:bidi="ar-SA"/>
        </w:rPr>
        <w:t>一</w:t>
      </w:r>
      <w:r>
        <w:rPr>
          <w:rFonts w:hint="default" w:ascii="Times New Roman" w:hAnsi="Times New Roman" w:eastAsia="宋体" w:cs="Times New Roman"/>
          <w:color w:val="auto"/>
          <w:spacing w:val="0"/>
          <w:w w:val="99"/>
          <w:position w:val="0"/>
          <w:sz w:val="24"/>
          <w:szCs w:val="24"/>
          <w:highlight w:val="none"/>
          <w:lang w:val="en-US" w:eastAsia="zh-CN" w:bidi="ar-SA"/>
        </w:rPr>
        <w:t>级；声环境影响评价工作等级确定为二级；地表水环境影响评价工作等级为三级B；地下水环境影响评价工作等级为</w:t>
      </w:r>
      <w:r>
        <w:rPr>
          <w:rFonts w:hint="eastAsia" w:ascii="Times New Roman" w:hAnsi="Times New Roman" w:cs="Times New Roman"/>
          <w:color w:val="auto"/>
          <w:spacing w:val="0"/>
          <w:w w:val="99"/>
          <w:position w:val="0"/>
          <w:sz w:val="24"/>
          <w:szCs w:val="24"/>
          <w:highlight w:val="none"/>
          <w:lang w:val="en-US" w:eastAsia="zh-CN" w:bidi="ar-SA"/>
        </w:rPr>
        <w:t>二</w:t>
      </w:r>
      <w:r>
        <w:rPr>
          <w:rFonts w:hint="default" w:ascii="Times New Roman" w:hAnsi="Times New Roman" w:eastAsia="宋体" w:cs="Times New Roman"/>
          <w:color w:val="auto"/>
          <w:spacing w:val="0"/>
          <w:w w:val="99"/>
          <w:position w:val="0"/>
          <w:sz w:val="24"/>
          <w:szCs w:val="24"/>
          <w:highlight w:val="none"/>
          <w:lang w:val="en-US" w:eastAsia="zh-CN" w:bidi="ar-SA"/>
        </w:rPr>
        <w:t>级；生态环境影响评价工作等级为</w:t>
      </w:r>
      <w:r>
        <w:rPr>
          <w:rFonts w:hint="eastAsia" w:ascii="Times New Roman" w:hAnsi="Times New Roman" w:eastAsia="宋体" w:cs="Times New Roman"/>
          <w:color w:val="auto"/>
          <w:spacing w:val="0"/>
          <w:w w:val="99"/>
          <w:position w:val="0"/>
          <w:sz w:val="24"/>
          <w:szCs w:val="24"/>
          <w:highlight w:val="none"/>
          <w:lang w:val="en-US" w:eastAsia="zh-CN" w:bidi="ar-SA"/>
        </w:rPr>
        <w:t>三</w:t>
      </w:r>
      <w:r>
        <w:rPr>
          <w:rFonts w:hint="default" w:ascii="Times New Roman" w:hAnsi="Times New Roman" w:eastAsia="宋体" w:cs="Times New Roman"/>
          <w:color w:val="auto"/>
          <w:spacing w:val="0"/>
          <w:w w:val="99"/>
          <w:position w:val="0"/>
          <w:sz w:val="24"/>
          <w:szCs w:val="24"/>
          <w:highlight w:val="none"/>
          <w:lang w:val="en-US" w:eastAsia="zh-CN" w:bidi="ar-SA"/>
        </w:rPr>
        <w:t>级；土壤环境影响评价工作等级井场为</w:t>
      </w:r>
      <w:r>
        <w:rPr>
          <w:rFonts w:hint="eastAsia" w:ascii="Times New Roman" w:hAnsi="Times New Roman" w:eastAsia="宋体" w:cs="Times New Roman"/>
          <w:color w:val="auto"/>
          <w:spacing w:val="0"/>
          <w:w w:val="99"/>
          <w:position w:val="0"/>
          <w:sz w:val="24"/>
          <w:szCs w:val="24"/>
          <w:highlight w:val="none"/>
          <w:lang w:val="en-US" w:eastAsia="zh-CN" w:bidi="ar-SA"/>
        </w:rPr>
        <w:t>二</w:t>
      </w:r>
      <w:r>
        <w:rPr>
          <w:rFonts w:hint="default" w:ascii="Times New Roman" w:hAnsi="Times New Roman" w:eastAsia="宋体" w:cs="Times New Roman"/>
          <w:color w:val="auto"/>
          <w:spacing w:val="0"/>
          <w:w w:val="99"/>
          <w:position w:val="0"/>
          <w:sz w:val="24"/>
          <w:szCs w:val="24"/>
          <w:highlight w:val="none"/>
          <w:lang w:val="en-US" w:eastAsia="zh-CN" w:bidi="ar-SA"/>
        </w:rPr>
        <w:t>级，环境风险环境影响评价工作等级为简单分析。并以此确定评价范围和评价标准，制定了评价工作方案。</w:t>
      </w:r>
    </w:p>
    <w:p w14:paraId="28D017F7">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第二阶段：根据工作方案，针对各环境要素的评价工作等级，调查了评价范围内的环境状况，制定了监测方案，进行生态环境现状监测并进行调查与评价，在现状监测与评价的基础上，进行各环境要素的环境影响预测和评价，编制完成各环境要素环境影响分析与评价章节。</w:t>
      </w:r>
    </w:p>
    <w:p w14:paraId="523417D3">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第三阶段：通过工程分析、环境影响预测与评价的结果，确定科学合理、可行的工程方案，提出预防或减缓不利影响的环境保护措施，制定相应的环境管理或环境监测计划，从生态环境影响的角度给出工程建设项目是否可行的结论，完成报告的编制。</w:t>
      </w:r>
    </w:p>
    <w:p w14:paraId="3382E33A">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具体环境影响评价工作程序见图1.3-1。</w:t>
      </w:r>
    </w:p>
    <w:p w14:paraId="3F53FF4A">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yellow"/>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202</w:t>
      </w:r>
      <w:r>
        <w:rPr>
          <w:rFonts w:hint="eastAsia" w:ascii="Times New Roman" w:hAnsi="Times New Roman" w:cs="Times New Roman"/>
          <w:color w:val="auto"/>
          <w:spacing w:val="0"/>
          <w:w w:val="99"/>
          <w:position w:val="0"/>
          <w:sz w:val="24"/>
          <w:szCs w:val="24"/>
          <w:highlight w:val="none"/>
          <w:lang w:val="en-US" w:eastAsia="zh-CN" w:bidi="ar-SA"/>
        </w:rPr>
        <w:t>6</w:t>
      </w:r>
      <w:r>
        <w:rPr>
          <w:rFonts w:hint="default" w:ascii="Times New Roman" w:hAnsi="Times New Roman" w:eastAsia="宋体" w:cs="Times New Roman"/>
          <w:color w:val="auto"/>
          <w:spacing w:val="0"/>
          <w:w w:val="99"/>
          <w:position w:val="0"/>
          <w:sz w:val="24"/>
          <w:szCs w:val="24"/>
          <w:highlight w:val="none"/>
          <w:lang w:val="en-US" w:eastAsia="zh-CN" w:bidi="ar-SA"/>
        </w:rPr>
        <w:t>年</w:t>
      </w:r>
      <w:r>
        <w:rPr>
          <w:rFonts w:hint="eastAsia" w:ascii="Times New Roman" w:hAnsi="Times New Roman" w:cs="Times New Roman"/>
          <w:color w:val="auto"/>
          <w:spacing w:val="0"/>
          <w:w w:val="99"/>
          <w:position w:val="0"/>
          <w:sz w:val="24"/>
          <w:szCs w:val="24"/>
          <w:highlight w:val="none"/>
          <w:lang w:val="en-US" w:eastAsia="zh-CN" w:bidi="ar-SA"/>
        </w:rPr>
        <w:t>5</w:t>
      </w:r>
      <w:r>
        <w:rPr>
          <w:rFonts w:hint="default" w:ascii="Times New Roman" w:hAnsi="Times New Roman" w:eastAsia="宋体" w:cs="Times New Roman"/>
          <w:color w:val="auto"/>
          <w:spacing w:val="0"/>
          <w:w w:val="99"/>
          <w:position w:val="0"/>
          <w:sz w:val="24"/>
          <w:szCs w:val="24"/>
          <w:highlight w:val="none"/>
          <w:lang w:val="en-US" w:eastAsia="zh-CN" w:bidi="ar-SA"/>
        </w:rPr>
        <w:t>月</w:t>
      </w:r>
      <w:r>
        <w:rPr>
          <w:rFonts w:hint="eastAsia" w:ascii="Times New Roman" w:hAnsi="Times New Roman" w:eastAsia="宋体" w:cs="Times New Roman"/>
          <w:color w:val="auto"/>
          <w:spacing w:val="0"/>
          <w:w w:val="99"/>
          <w:position w:val="0"/>
          <w:sz w:val="24"/>
          <w:szCs w:val="24"/>
          <w:highlight w:val="none"/>
          <w:lang w:val="en-US" w:eastAsia="zh-CN" w:bidi="ar-SA"/>
        </w:rPr>
        <w:t>10</w:t>
      </w:r>
      <w:r>
        <w:rPr>
          <w:rFonts w:hint="default" w:ascii="Times New Roman" w:hAnsi="Times New Roman" w:eastAsia="宋体" w:cs="Times New Roman"/>
          <w:color w:val="auto"/>
          <w:spacing w:val="0"/>
          <w:w w:val="99"/>
          <w:position w:val="0"/>
          <w:sz w:val="24"/>
          <w:szCs w:val="24"/>
          <w:highlight w:val="none"/>
          <w:lang w:val="en-US" w:eastAsia="zh-CN" w:bidi="ar-SA"/>
        </w:rPr>
        <w:t>日，</w:t>
      </w:r>
      <w:r>
        <w:rPr>
          <w:rFonts w:hint="eastAsia" w:ascii="Times New Roman" w:hAnsi="Times New Roman" w:eastAsia="宋体" w:cs="Times New Roman"/>
          <w:color w:val="auto"/>
          <w:spacing w:val="0"/>
          <w:w w:val="99"/>
          <w:position w:val="0"/>
          <w:sz w:val="24"/>
          <w:szCs w:val="24"/>
          <w:highlight w:val="none"/>
          <w:lang w:val="en-US" w:eastAsia="zh-CN" w:bidi="ar-SA"/>
        </w:rPr>
        <w:t>大庆油田有限责任公司采气分公司</w:t>
      </w:r>
      <w:r>
        <w:rPr>
          <w:rFonts w:hint="default" w:ascii="Times New Roman" w:hAnsi="Times New Roman" w:eastAsia="宋体" w:cs="Times New Roman"/>
          <w:color w:val="auto"/>
          <w:spacing w:val="0"/>
          <w:w w:val="99"/>
          <w:position w:val="0"/>
          <w:sz w:val="24"/>
          <w:szCs w:val="24"/>
          <w:highlight w:val="none"/>
          <w:lang w:val="en-US" w:eastAsia="zh-CN" w:bidi="ar-SA"/>
        </w:rPr>
        <w:t>委托</w:t>
      </w:r>
      <w:r>
        <w:rPr>
          <w:rFonts w:hint="eastAsia" w:ascii="Times New Roman" w:hAnsi="Times New Roman" w:eastAsia="宋体" w:cs="Times New Roman"/>
          <w:color w:val="auto"/>
          <w:spacing w:val="0"/>
          <w:w w:val="99"/>
          <w:position w:val="0"/>
          <w:sz w:val="24"/>
          <w:szCs w:val="24"/>
          <w:highlight w:val="none"/>
          <w:lang w:val="en-US" w:eastAsia="zh-CN" w:bidi="ar-SA"/>
        </w:rPr>
        <w:t>河北奇正环境科技有限公司</w:t>
      </w:r>
      <w:r>
        <w:rPr>
          <w:rFonts w:hint="default" w:ascii="Times New Roman" w:hAnsi="Times New Roman" w:eastAsia="宋体" w:cs="Times New Roman"/>
          <w:color w:val="auto"/>
          <w:spacing w:val="0"/>
          <w:w w:val="99"/>
          <w:position w:val="0"/>
          <w:sz w:val="24"/>
          <w:szCs w:val="24"/>
          <w:highlight w:val="none"/>
          <w:lang w:val="en-US" w:eastAsia="zh-CN" w:bidi="ar-SA"/>
        </w:rPr>
        <w:t>编制《</w:t>
      </w:r>
      <w:r>
        <w:rPr>
          <w:rFonts w:hint="eastAsia" w:ascii="Times New Roman" w:hAnsi="Times New Roman" w:cs="Times New Roman"/>
          <w:color w:val="auto"/>
          <w:spacing w:val="0"/>
          <w:w w:val="99"/>
          <w:position w:val="0"/>
          <w:sz w:val="24"/>
          <w:szCs w:val="24"/>
          <w:highlight w:val="none"/>
          <w:lang w:val="en-US" w:eastAsia="zh-CN" w:bidi="ar-SA"/>
        </w:rPr>
        <w:t>徐深27-H1井地面工程项目</w:t>
      </w:r>
      <w:r>
        <w:rPr>
          <w:rFonts w:hint="default" w:ascii="Times New Roman" w:hAnsi="Times New Roman" w:eastAsia="宋体" w:cs="Times New Roman"/>
          <w:color w:val="auto"/>
          <w:spacing w:val="0"/>
          <w:w w:val="99"/>
          <w:position w:val="0"/>
          <w:sz w:val="24"/>
          <w:szCs w:val="24"/>
          <w:highlight w:val="none"/>
          <w:lang w:val="en-US" w:eastAsia="zh-CN" w:bidi="ar-SA"/>
        </w:rPr>
        <w:t>环境影响报告书》，在本项目环境影响报告书编制过程及初稿完成后，建设单位依据《中华人民共和国环境影响评价法》</w:t>
      </w:r>
      <w:r>
        <w:rPr>
          <w:rFonts w:hint="eastAsia" w:ascii="Times New Roman" w:hAnsi="Times New Roman" w:eastAsia="宋体" w:cs="Times New Roman"/>
          <w:color w:val="auto"/>
          <w:spacing w:val="0"/>
          <w:w w:val="99"/>
          <w:position w:val="0"/>
          <w:sz w:val="24"/>
          <w:szCs w:val="24"/>
          <w:highlight w:val="none"/>
          <w:lang w:val="en-US" w:eastAsia="zh-CN" w:bidi="ar-SA"/>
        </w:rPr>
        <w:t>（主席令[2018]第24号[2018年修正本]）</w:t>
      </w:r>
      <w:r>
        <w:rPr>
          <w:rFonts w:hint="default" w:ascii="Times New Roman" w:hAnsi="Times New Roman" w:eastAsia="宋体" w:cs="Times New Roman"/>
          <w:color w:val="auto"/>
          <w:spacing w:val="0"/>
          <w:w w:val="99"/>
          <w:position w:val="0"/>
          <w:sz w:val="24"/>
          <w:szCs w:val="24"/>
          <w:highlight w:val="none"/>
          <w:lang w:val="en-US" w:eastAsia="zh-CN" w:bidi="ar-SA"/>
        </w:rPr>
        <w:t>、《环境影响评价公众参与办法》（</w:t>
      </w:r>
      <w:r>
        <w:rPr>
          <w:rFonts w:hint="eastAsia" w:ascii="Times New Roman" w:hAnsi="Times New Roman" w:eastAsia="宋体" w:cs="Times New Roman"/>
          <w:color w:val="auto"/>
          <w:spacing w:val="0"/>
          <w:w w:val="99"/>
          <w:position w:val="0"/>
          <w:sz w:val="24"/>
          <w:szCs w:val="24"/>
          <w:highlight w:val="none"/>
          <w:lang w:val="en-US" w:eastAsia="zh-CN" w:bidi="ar-SA"/>
        </w:rPr>
        <w:t>生态环境部令〔</w:t>
      </w:r>
      <w:r>
        <w:rPr>
          <w:rFonts w:hint="default" w:ascii="Times New Roman" w:hAnsi="Times New Roman" w:eastAsia="宋体" w:cs="Times New Roman"/>
          <w:color w:val="auto"/>
          <w:spacing w:val="0"/>
          <w:w w:val="99"/>
          <w:position w:val="0"/>
          <w:sz w:val="24"/>
          <w:szCs w:val="24"/>
          <w:highlight w:val="none"/>
          <w:lang w:val="en-US" w:eastAsia="zh-CN" w:bidi="ar-SA"/>
        </w:rPr>
        <w:t>2018〕第4号）及建设项目环境影响评价的相关规定开展项目的公众参与工作并单独出具环境影响评价公众参与说明。公众参与工作采用网络公示、报纸公示以及张贴公告等相结合的方式进行。本项目首次环境影响评价信息公开之日为202</w:t>
      </w:r>
      <w:r>
        <w:rPr>
          <w:rFonts w:hint="eastAsia" w:ascii="Times New Roman" w:hAnsi="Times New Roman" w:cs="Times New Roman"/>
          <w:color w:val="auto"/>
          <w:spacing w:val="0"/>
          <w:w w:val="99"/>
          <w:position w:val="0"/>
          <w:sz w:val="24"/>
          <w:szCs w:val="24"/>
          <w:highlight w:val="none"/>
          <w:lang w:val="en-US" w:eastAsia="zh-CN" w:bidi="ar-SA"/>
        </w:rPr>
        <w:t>6</w:t>
      </w:r>
      <w:r>
        <w:rPr>
          <w:rFonts w:hint="default" w:ascii="Times New Roman" w:hAnsi="Times New Roman" w:eastAsia="宋体" w:cs="Times New Roman"/>
          <w:color w:val="auto"/>
          <w:spacing w:val="0"/>
          <w:w w:val="99"/>
          <w:position w:val="0"/>
          <w:sz w:val="24"/>
          <w:szCs w:val="24"/>
          <w:highlight w:val="none"/>
          <w:lang w:val="en-US" w:eastAsia="zh-CN" w:bidi="ar-SA"/>
        </w:rPr>
        <w:t>年</w:t>
      </w:r>
      <w:r>
        <w:rPr>
          <w:rFonts w:hint="eastAsia" w:ascii="Times New Roman" w:hAnsi="Times New Roman" w:cs="Times New Roman"/>
          <w:color w:val="auto"/>
          <w:spacing w:val="0"/>
          <w:w w:val="99"/>
          <w:position w:val="0"/>
          <w:sz w:val="24"/>
          <w:szCs w:val="24"/>
          <w:highlight w:val="none"/>
          <w:lang w:val="en-US" w:eastAsia="zh-CN" w:bidi="ar-SA"/>
        </w:rPr>
        <w:t>5</w:t>
      </w:r>
      <w:r>
        <w:rPr>
          <w:rFonts w:hint="default" w:ascii="Times New Roman" w:hAnsi="Times New Roman" w:eastAsia="宋体" w:cs="Times New Roman"/>
          <w:color w:val="auto"/>
          <w:spacing w:val="0"/>
          <w:w w:val="99"/>
          <w:position w:val="0"/>
          <w:sz w:val="24"/>
          <w:szCs w:val="24"/>
          <w:highlight w:val="none"/>
          <w:lang w:val="en-US" w:eastAsia="zh-CN" w:bidi="ar-SA"/>
        </w:rPr>
        <w:t>月</w:t>
      </w:r>
      <w:r>
        <w:rPr>
          <w:rFonts w:hint="eastAsia" w:ascii="Times New Roman" w:hAnsi="Times New Roman" w:cs="Times New Roman"/>
          <w:color w:val="auto"/>
          <w:spacing w:val="0"/>
          <w:w w:val="99"/>
          <w:position w:val="0"/>
          <w:sz w:val="24"/>
          <w:szCs w:val="24"/>
          <w:highlight w:val="none"/>
          <w:lang w:val="en-US" w:eastAsia="zh-CN" w:bidi="ar-SA"/>
        </w:rPr>
        <w:t>11</w:t>
      </w:r>
      <w:r>
        <w:rPr>
          <w:rFonts w:hint="default" w:ascii="Times New Roman" w:hAnsi="Times New Roman" w:eastAsia="宋体" w:cs="Times New Roman"/>
          <w:color w:val="auto"/>
          <w:spacing w:val="0"/>
          <w:w w:val="99"/>
          <w:position w:val="0"/>
          <w:sz w:val="24"/>
          <w:szCs w:val="24"/>
          <w:highlight w:val="none"/>
          <w:lang w:val="en-US" w:eastAsia="zh-CN" w:bidi="ar-SA"/>
        </w:rPr>
        <w:t>日（黑龙江环保技术服务网），征求意见稿公示日期为20</w:t>
      </w:r>
      <w:r>
        <w:rPr>
          <w:rFonts w:hint="eastAsia" w:ascii="Times New Roman" w:hAnsi="Times New Roman" w:cs="Times New Roman"/>
          <w:color w:val="auto"/>
          <w:spacing w:val="0"/>
          <w:w w:val="99"/>
          <w:position w:val="0"/>
          <w:sz w:val="24"/>
          <w:szCs w:val="24"/>
          <w:highlight w:val="none"/>
          <w:lang w:val="en-US" w:eastAsia="zh-CN" w:bidi="ar-SA"/>
        </w:rPr>
        <w:t>26</w:t>
      </w:r>
      <w:r>
        <w:rPr>
          <w:rFonts w:hint="default" w:ascii="Times New Roman" w:hAnsi="Times New Roman" w:eastAsia="宋体" w:cs="Times New Roman"/>
          <w:color w:val="auto"/>
          <w:spacing w:val="0"/>
          <w:w w:val="99"/>
          <w:position w:val="0"/>
          <w:sz w:val="24"/>
          <w:szCs w:val="24"/>
          <w:highlight w:val="none"/>
          <w:lang w:val="en-US" w:eastAsia="zh-CN" w:bidi="ar-SA"/>
        </w:rPr>
        <w:t>年</w:t>
      </w:r>
      <w:r>
        <w:rPr>
          <w:rFonts w:hint="eastAsia" w:ascii="Times New Roman" w:hAnsi="Times New Roman" w:cs="Times New Roman"/>
          <w:color w:val="auto"/>
          <w:spacing w:val="0"/>
          <w:w w:val="99"/>
          <w:position w:val="0"/>
          <w:sz w:val="24"/>
          <w:szCs w:val="24"/>
          <w:highlight w:val="none"/>
          <w:lang w:val="en-US" w:eastAsia="zh-CN" w:bidi="ar-SA"/>
        </w:rPr>
        <w:t>6</w:t>
      </w:r>
      <w:r>
        <w:rPr>
          <w:rFonts w:hint="default" w:ascii="Times New Roman" w:hAnsi="Times New Roman" w:eastAsia="宋体" w:cs="Times New Roman"/>
          <w:color w:val="auto"/>
          <w:spacing w:val="0"/>
          <w:w w:val="99"/>
          <w:position w:val="0"/>
          <w:sz w:val="24"/>
          <w:szCs w:val="24"/>
          <w:highlight w:val="none"/>
          <w:lang w:val="en-US" w:eastAsia="zh-CN" w:bidi="ar-SA"/>
        </w:rPr>
        <w:t>月</w:t>
      </w:r>
      <w:r>
        <w:rPr>
          <w:rFonts w:hint="eastAsia" w:ascii="Times New Roman" w:hAnsi="Times New Roman" w:cs="Times New Roman"/>
          <w:color w:val="auto"/>
          <w:spacing w:val="0"/>
          <w:w w:val="99"/>
          <w:position w:val="0"/>
          <w:sz w:val="24"/>
          <w:szCs w:val="24"/>
          <w:highlight w:val="none"/>
          <w:lang w:val="en-US" w:eastAsia="zh-CN" w:bidi="ar-SA"/>
        </w:rPr>
        <w:t>9</w:t>
      </w:r>
      <w:r>
        <w:rPr>
          <w:rFonts w:hint="default" w:ascii="Times New Roman" w:hAnsi="Times New Roman" w:eastAsia="宋体" w:cs="Times New Roman"/>
          <w:color w:val="auto"/>
          <w:spacing w:val="0"/>
          <w:w w:val="99"/>
          <w:position w:val="0"/>
          <w:sz w:val="24"/>
          <w:szCs w:val="24"/>
          <w:highlight w:val="none"/>
          <w:lang w:val="en-US" w:eastAsia="zh-CN" w:bidi="ar-SA"/>
        </w:rPr>
        <w:t>日~</w:t>
      </w:r>
      <w:r>
        <w:rPr>
          <w:rFonts w:hint="eastAsia" w:ascii="Times New Roman" w:hAnsi="Times New Roman" w:cs="Times New Roman"/>
          <w:color w:val="auto"/>
          <w:spacing w:val="0"/>
          <w:w w:val="99"/>
          <w:position w:val="0"/>
          <w:sz w:val="24"/>
          <w:szCs w:val="24"/>
          <w:highlight w:val="none"/>
          <w:lang w:val="en-US" w:eastAsia="zh-CN" w:bidi="ar-SA"/>
        </w:rPr>
        <w:t>6</w:t>
      </w:r>
      <w:r>
        <w:rPr>
          <w:rFonts w:hint="default" w:ascii="Times New Roman" w:hAnsi="Times New Roman" w:eastAsia="宋体" w:cs="Times New Roman"/>
          <w:color w:val="auto"/>
          <w:spacing w:val="0"/>
          <w:w w:val="99"/>
          <w:position w:val="0"/>
          <w:sz w:val="24"/>
          <w:szCs w:val="24"/>
          <w:highlight w:val="none"/>
          <w:lang w:val="en-US" w:eastAsia="zh-CN" w:bidi="ar-SA"/>
        </w:rPr>
        <w:t>月</w:t>
      </w:r>
      <w:r>
        <w:rPr>
          <w:rFonts w:hint="eastAsia" w:ascii="Times New Roman" w:hAnsi="Times New Roman" w:cs="Times New Roman"/>
          <w:color w:val="auto"/>
          <w:spacing w:val="0"/>
          <w:w w:val="99"/>
          <w:position w:val="0"/>
          <w:sz w:val="24"/>
          <w:szCs w:val="24"/>
          <w:highlight w:val="none"/>
          <w:lang w:val="en-US" w:eastAsia="zh-CN" w:bidi="ar-SA"/>
        </w:rPr>
        <w:t>23</w:t>
      </w:r>
      <w:r>
        <w:rPr>
          <w:rFonts w:hint="default" w:ascii="Times New Roman" w:hAnsi="Times New Roman" w:eastAsia="宋体" w:cs="Times New Roman"/>
          <w:color w:val="auto"/>
          <w:spacing w:val="0"/>
          <w:w w:val="99"/>
          <w:position w:val="0"/>
          <w:sz w:val="24"/>
          <w:szCs w:val="24"/>
          <w:highlight w:val="none"/>
          <w:lang w:val="en-US" w:eastAsia="zh-CN" w:bidi="ar-SA"/>
        </w:rPr>
        <w:t>日（黑龙江环保技术服务网），报纸第一次公告日期为</w:t>
      </w:r>
      <w:r>
        <w:rPr>
          <w:rFonts w:hint="eastAsia" w:ascii="Times New Roman" w:hAnsi="Times New Roman" w:cs="Times New Roman"/>
          <w:color w:val="auto"/>
          <w:spacing w:val="0"/>
          <w:w w:val="99"/>
          <w:position w:val="0"/>
          <w:sz w:val="24"/>
          <w:szCs w:val="24"/>
          <w:highlight w:val="none"/>
          <w:lang w:val="en-US" w:eastAsia="zh-CN" w:bidi="ar-SA"/>
        </w:rPr>
        <w:t>2026</w:t>
      </w:r>
      <w:r>
        <w:rPr>
          <w:rFonts w:hint="default" w:ascii="Times New Roman" w:hAnsi="Times New Roman" w:eastAsia="宋体" w:cs="Times New Roman"/>
          <w:color w:val="auto"/>
          <w:spacing w:val="0"/>
          <w:w w:val="99"/>
          <w:position w:val="0"/>
          <w:sz w:val="24"/>
          <w:szCs w:val="24"/>
          <w:highlight w:val="none"/>
          <w:lang w:val="en-US" w:eastAsia="zh-CN" w:bidi="ar-SA"/>
        </w:rPr>
        <w:t>年</w:t>
      </w:r>
      <w:r>
        <w:rPr>
          <w:rFonts w:hint="eastAsia" w:ascii="Times New Roman" w:hAnsi="Times New Roman" w:cs="Times New Roman"/>
          <w:color w:val="auto"/>
          <w:spacing w:val="0"/>
          <w:w w:val="99"/>
          <w:position w:val="0"/>
          <w:sz w:val="24"/>
          <w:szCs w:val="24"/>
          <w:highlight w:val="none"/>
          <w:lang w:val="en-US" w:eastAsia="zh-CN" w:bidi="ar-SA"/>
        </w:rPr>
        <w:t>6</w:t>
      </w:r>
      <w:r>
        <w:rPr>
          <w:rFonts w:hint="default" w:ascii="Times New Roman" w:hAnsi="Times New Roman" w:eastAsia="宋体" w:cs="Times New Roman"/>
          <w:color w:val="auto"/>
          <w:spacing w:val="0"/>
          <w:w w:val="99"/>
          <w:position w:val="0"/>
          <w:sz w:val="24"/>
          <w:szCs w:val="24"/>
          <w:highlight w:val="none"/>
          <w:lang w:val="en-US" w:eastAsia="zh-CN" w:bidi="ar-SA"/>
        </w:rPr>
        <w:t>月</w:t>
      </w:r>
      <w:r>
        <w:rPr>
          <w:rFonts w:hint="eastAsia" w:ascii="Times New Roman" w:hAnsi="Times New Roman" w:cs="Times New Roman"/>
          <w:color w:val="auto"/>
          <w:spacing w:val="0"/>
          <w:w w:val="99"/>
          <w:position w:val="0"/>
          <w:sz w:val="24"/>
          <w:szCs w:val="24"/>
          <w:highlight w:val="none"/>
          <w:lang w:val="en-US" w:eastAsia="zh-CN" w:bidi="ar-SA"/>
        </w:rPr>
        <w:t>16</w:t>
      </w:r>
      <w:r>
        <w:rPr>
          <w:rFonts w:hint="default" w:ascii="Times New Roman" w:hAnsi="Times New Roman" w:eastAsia="宋体" w:cs="Times New Roman"/>
          <w:color w:val="auto"/>
          <w:spacing w:val="0"/>
          <w:w w:val="99"/>
          <w:position w:val="0"/>
          <w:sz w:val="24"/>
          <w:szCs w:val="24"/>
          <w:highlight w:val="none"/>
          <w:lang w:val="en-US" w:eastAsia="zh-CN" w:bidi="ar-SA"/>
        </w:rPr>
        <w:t>日（</w:t>
      </w:r>
      <w:r>
        <w:rPr>
          <w:rFonts w:hint="eastAsia" w:ascii="Times New Roman" w:hAnsi="Times New Roman" w:cs="Times New Roman"/>
          <w:color w:val="auto"/>
          <w:spacing w:val="0"/>
          <w:w w:val="99"/>
          <w:position w:val="0"/>
          <w:sz w:val="24"/>
          <w:szCs w:val="24"/>
          <w:highlight w:val="none"/>
          <w:lang w:val="en-US" w:eastAsia="zh-CN" w:bidi="ar-SA"/>
        </w:rPr>
        <w:t>绥化日报</w:t>
      </w:r>
      <w:r>
        <w:rPr>
          <w:rFonts w:hint="default" w:ascii="Times New Roman" w:hAnsi="Times New Roman" w:eastAsia="宋体" w:cs="Times New Roman"/>
          <w:color w:val="auto"/>
          <w:spacing w:val="0"/>
          <w:w w:val="99"/>
          <w:position w:val="0"/>
          <w:sz w:val="24"/>
          <w:szCs w:val="24"/>
          <w:highlight w:val="none"/>
          <w:lang w:val="en-US" w:eastAsia="zh-CN" w:bidi="ar-SA"/>
        </w:rPr>
        <w:t>），报纸第二次公告日期为</w:t>
      </w:r>
      <w:r>
        <w:rPr>
          <w:rFonts w:hint="eastAsia" w:ascii="Times New Roman" w:hAnsi="Times New Roman" w:cs="Times New Roman"/>
          <w:color w:val="auto"/>
          <w:spacing w:val="0"/>
          <w:w w:val="99"/>
          <w:position w:val="0"/>
          <w:sz w:val="24"/>
          <w:szCs w:val="24"/>
          <w:highlight w:val="none"/>
          <w:lang w:val="en-US" w:eastAsia="zh-CN" w:bidi="ar-SA"/>
        </w:rPr>
        <w:t>2026</w:t>
      </w:r>
      <w:r>
        <w:rPr>
          <w:rFonts w:hint="default" w:ascii="Times New Roman" w:hAnsi="Times New Roman" w:eastAsia="宋体" w:cs="Times New Roman"/>
          <w:color w:val="auto"/>
          <w:spacing w:val="0"/>
          <w:w w:val="99"/>
          <w:position w:val="0"/>
          <w:sz w:val="24"/>
          <w:szCs w:val="24"/>
          <w:highlight w:val="none"/>
          <w:lang w:val="en-US" w:eastAsia="zh-CN" w:bidi="ar-SA"/>
        </w:rPr>
        <w:t>年</w:t>
      </w:r>
      <w:r>
        <w:rPr>
          <w:rFonts w:hint="eastAsia" w:ascii="Times New Roman" w:hAnsi="Times New Roman" w:cs="Times New Roman"/>
          <w:color w:val="auto"/>
          <w:spacing w:val="0"/>
          <w:w w:val="99"/>
          <w:position w:val="0"/>
          <w:sz w:val="24"/>
          <w:szCs w:val="24"/>
          <w:highlight w:val="none"/>
          <w:lang w:val="en-US" w:eastAsia="zh-CN" w:bidi="ar-SA"/>
        </w:rPr>
        <w:t>6</w:t>
      </w:r>
      <w:r>
        <w:rPr>
          <w:rFonts w:hint="default" w:ascii="Times New Roman" w:hAnsi="Times New Roman" w:eastAsia="宋体" w:cs="Times New Roman"/>
          <w:color w:val="auto"/>
          <w:spacing w:val="0"/>
          <w:w w:val="99"/>
          <w:position w:val="0"/>
          <w:sz w:val="24"/>
          <w:szCs w:val="24"/>
          <w:highlight w:val="none"/>
          <w:lang w:val="en-US" w:eastAsia="zh-CN" w:bidi="ar-SA"/>
        </w:rPr>
        <w:t>月</w:t>
      </w:r>
      <w:r>
        <w:rPr>
          <w:rFonts w:hint="eastAsia" w:ascii="Times New Roman" w:hAnsi="Times New Roman" w:cs="Times New Roman"/>
          <w:color w:val="auto"/>
          <w:spacing w:val="0"/>
          <w:w w:val="99"/>
          <w:position w:val="0"/>
          <w:sz w:val="24"/>
          <w:szCs w:val="24"/>
          <w:highlight w:val="none"/>
          <w:lang w:val="en-US" w:eastAsia="zh-CN" w:bidi="ar-SA"/>
        </w:rPr>
        <w:t>17</w:t>
      </w:r>
      <w:r>
        <w:rPr>
          <w:rFonts w:hint="default" w:ascii="Times New Roman" w:hAnsi="Times New Roman" w:eastAsia="宋体" w:cs="Times New Roman"/>
          <w:color w:val="auto"/>
          <w:spacing w:val="0"/>
          <w:w w:val="99"/>
          <w:position w:val="0"/>
          <w:sz w:val="24"/>
          <w:szCs w:val="24"/>
          <w:highlight w:val="none"/>
          <w:lang w:val="en-US" w:eastAsia="zh-CN" w:bidi="ar-SA"/>
        </w:rPr>
        <w:t>日（</w:t>
      </w:r>
      <w:r>
        <w:rPr>
          <w:rFonts w:hint="eastAsia" w:ascii="Times New Roman" w:hAnsi="Times New Roman" w:cs="Times New Roman"/>
          <w:color w:val="auto"/>
          <w:spacing w:val="0"/>
          <w:w w:val="99"/>
          <w:position w:val="0"/>
          <w:sz w:val="24"/>
          <w:szCs w:val="24"/>
          <w:highlight w:val="none"/>
          <w:lang w:val="en-US" w:eastAsia="zh-CN" w:bidi="ar-SA"/>
        </w:rPr>
        <w:t>绥化日报</w:t>
      </w:r>
      <w:r>
        <w:rPr>
          <w:rFonts w:hint="default" w:ascii="Times New Roman" w:hAnsi="Times New Roman" w:eastAsia="宋体" w:cs="Times New Roman"/>
          <w:color w:val="auto"/>
          <w:spacing w:val="0"/>
          <w:w w:val="99"/>
          <w:position w:val="0"/>
          <w:sz w:val="24"/>
          <w:szCs w:val="24"/>
          <w:highlight w:val="none"/>
          <w:lang w:val="en-US" w:eastAsia="zh-CN" w:bidi="ar-SA"/>
        </w:rPr>
        <w:t>），现场张贴公示日期为20</w:t>
      </w:r>
      <w:r>
        <w:rPr>
          <w:rFonts w:hint="eastAsia" w:ascii="Times New Roman" w:hAnsi="Times New Roman" w:cs="Times New Roman"/>
          <w:color w:val="auto"/>
          <w:spacing w:val="0"/>
          <w:w w:val="99"/>
          <w:position w:val="0"/>
          <w:sz w:val="24"/>
          <w:szCs w:val="24"/>
          <w:highlight w:val="none"/>
          <w:lang w:val="en-US" w:eastAsia="zh-CN" w:bidi="ar-SA"/>
        </w:rPr>
        <w:t>26</w:t>
      </w:r>
      <w:r>
        <w:rPr>
          <w:rFonts w:hint="default" w:ascii="Times New Roman" w:hAnsi="Times New Roman" w:eastAsia="宋体" w:cs="Times New Roman"/>
          <w:color w:val="auto"/>
          <w:spacing w:val="0"/>
          <w:w w:val="99"/>
          <w:position w:val="0"/>
          <w:sz w:val="24"/>
          <w:szCs w:val="24"/>
          <w:highlight w:val="none"/>
          <w:lang w:val="en-US" w:eastAsia="zh-CN" w:bidi="ar-SA"/>
        </w:rPr>
        <w:t>年</w:t>
      </w:r>
      <w:r>
        <w:rPr>
          <w:rFonts w:hint="eastAsia" w:ascii="Times New Roman" w:hAnsi="Times New Roman" w:cs="Times New Roman"/>
          <w:color w:val="auto"/>
          <w:spacing w:val="0"/>
          <w:w w:val="99"/>
          <w:position w:val="0"/>
          <w:sz w:val="24"/>
          <w:szCs w:val="24"/>
          <w:highlight w:val="none"/>
          <w:lang w:val="en-US" w:eastAsia="zh-CN" w:bidi="ar-SA"/>
        </w:rPr>
        <w:t>6</w:t>
      </w:r>
      <w:r>
        <w:rPr>
          <w:rFonts w:hint="default" w:ascii="Times New Roman" w:hAnsi="Times New Roman" w:eastAsia="宋体" w:cs="Times New Roman"/>
          <w:color w:val="auto"/>
          <w:spacing w:val="0"/>
          <w:w w:val="99"/>
          <w:position w:val="0"/>
          <w:sz w:val="24"/>
          <w:szCs w:val="24"/>
          <w:highlight w:val="none"/>
          <w:lang w:val="en-US" w:eastAsia="zh-CN" w:bidi="ar-SA"/>
        </w:rPr>
        <w:t>月</w:t>
      </w:r>
      <w:r>
        <w:rPr>
          <w:rFonts w:hint="eastAsia" w:ascii="Times New Roman" w:hAnsi="Times New Roman" w:cs="Times New Roman"/>
          <w:color w:val="auto"/>
          <w:spacing w:val="0"/>
          <w:w w:val="99"/>
          <w:position w:val="0"/>
          <w:sz w:val="24"/>
          <w:szCs w:val="24"/>
          <w:highlight w:val="none"/>
          <w:lang w:val="en-US" w:eastAsia="zh-CN" w:bidi="ar-SA"/>
        </w:rPr>
        <w:t>9</w:t>
      </w:r>
      <w:r>
        <w:rPr>
          <w:rFonts w:hint="default" w:ascii="Times New Roman" w:hAnsi="Times New Roman" w:eastAsia="宋体" w:cs="Times New Roman"/>
          <w:color w:val="auto"/>
          <w:spacing w:val="0"/>
          <w:w w:val="99"/>
          <w:position w:val="0"/>
          <w:sz w:val="24"/>
          <w:szCs w:val="24"/>
          <w:highlight w:val="none"/>
          <w:lang w:val="en-US" w:eastAsia="zh-CN" w:bidi="ar-SA"/>
        </w:rPr>
        <w:t>日~</w:t>
      </w:r>
      <w:r>
        <w:rPr>
          <w:rFonts w:hint="eastAsia" w:ascii="Times New Roman" w:hAnsi="Times New Roman" w:cs="Times New Roman"/>
          <w:color w:val="auto"/>
          <w:spacing w:val="0"/>
          <w:w w:val="99"/>
          <w:position w:val="0"/>
          <w:sz w:val="24"/>
          <w:szCs w:val="24"/>
          <w:highlight w:val="none"/>
          <w:lang w:val="en-US" w:eastAsia="zh-CN" w:bidi="ar-SA"/>
        </w:rPr>
        <w:t>6</w:t>
      </w:r>
      <w:r>
        <w:rPr>
          <w:rFonts w:hint="default" w:ascii="Times New Roman" w:hAnsi="Times New Roman" w:eastAsia="宋体" w:cs="Times New Roman"/>
          <w:color w:val="auto"/>
          <w:spacing w:val="0"/>
          <w:w w:val="99"/>
          <w:position w:val="0"/>
          <w:sz w:val="24"/>
          <w:szCs w:val="24"/>
          <w:highlight w:val="none"/>
          <w:lang w:val="en-US" w:eastAsia="zh-CN" w:bidi="ar-SA"/>
        </w:rPr>
        <w:t>月</w:t>
      </w:r>
      <w:r>
        <w:rPr>
          <w:rFonts w:hint="eastAsia" w:ascii="Times New Roman" w:hAnsi="Times New Roman" w:cs="Times New Roman"/>
          <w:color w:val="auto"/>
          <w:spacing w:val="0"/>
          <w:w w:val="99"/>
          <w:position w:val="0"/>
          <w:sz w:val="24"/>
          <w:szCs w:val="24"/>
          <w:highlight w:val="none"/>
          <w:lang w:val="en-US" w:eastAsia="zh-CN" w:bidi="ar-SA"/>
        </w:rPr>
        <w:t>23</w:t>
      </w:r>
      <w:r>
        <w:rPr>
          <w:rFonts w:hint="default" w:ascii="Times New Roman" w:hAnsi="Times New Roman" w:eastAsia="宋体" w:cs="Times New Roman"/>
          <w:color w:val="auto"/>
          <w:spacing w:val="0"/>
          <w:w w:val="99"/>
          <w:position w:val="0"/>
          <w:sz w:val="24"/>
          <w:szCs w:val="24"/>
          <w:highlight w:val="none"/>
          <w:lang w:val="en-US" w:eastAsia="zh-CN" w:bidi="ar-SA"/>
        </w:rPr>
        <w:t>日，公示地点为评价范围内村屯，并于</w:t>
      </w:r>
      <w:r>
        <w:rPr>
          <w:rFonts w:hint="eastAsia" w:ascii="Times New Roman" w:hAnsi="Times New Roman" w:cs="Times New Roman"/>
          <w:color w:val="auto"/>
          <w:spacing w:val="0"/>
          <w:w w:val="99"/>
          <w:position w:val="0"/>
          <w:sz w:val="24"/>
          <w:szCs w:val="24"/>
          <w:highlight w:val="none"/>
          <w:lang w:val="en-US" w:eastAsia="zh-CN" w:bidi="ar-SA"/>
        </w:rPr>
        <w:t>2026</w:t>
      </w:r>
      <w:r>
        <w:rPr>
          <w:rFonts w:hint="default" w:ascii="Times New Roman" w:hAnsi="Times New Roman" w:eastAsia="宋体" w:cs="Times New Roman"/>
          <w:color w:val="auto"/>
          <w:spacing w:val="0"/>
          <w:w w:val="99"/>
          <w:position w:val="0"/>
          <w:sz w:val="24"/>
          <w:szCs w:val="24"/>
          <w:highlight w:val="none"/>
          <w:lang w:val="en-US" w:eastAsia="zh-CN" w:bidi="ar-SA"/>
        </w:rPr>
        <w:t>年</w:t>
      </w:r>
      <w:r>
        <w:rPr>
          <w:rFonts w:hint="eastAsia" w:ascii="Times New Roman" w:hAnsi="Times New Roman"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月</w:t>
      </w:r>
      <w:r>
        <w:rPr>
          <w:rFonts w:hint="eastAsia" w:ascii="Times New Roman" w:hAnsi="Times New Roman"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日在黑龙江环保技术服务网公开发布平台进行</w:t>
      </w:r>
      <w:r>
        <w:rPr>
          <w:rFonts w:hint="eastAsia" w:ascii="Times New Roman" w:hAnsi="Times New Roman" w:cs="Times New Roman"/>
          <w:color w:val="auto"/>
          <w:spacing w:val="0"/>
          <w:w w:val="99"/>
          <w:position w:val="0"/>
          <w:sz w:val="24"/>
          <w:szCs w:val="24"/>
          <w:highlight w:val="none"/>
          <w:lang w:val="en-US" w:eastAsia="zh-CN" w:bidi="ar-SA"/>
        </w:rPr>
        <w:t>徐深27-H1井地面工程项目</w:t>
      </w:r>
      <w:r>
        <w:rPr>
          <w:rFonts w:hint="default" w:ascii="Times New Roman" w:hAnsi="Times New Roman" w:eastAsia="宋体" w:cs="Times New Roman"/>
          <w:color w:val="auto"/>
          <w:spacing w:val="0"/>
          <w:w w:val="99"/>
          <w:position w:val="0"/>
          <w:sz w:val="24"/>
          <w:szCs w:val="24"/>
          <w:highlight w:val="none"/>
          <w:lang w:val="en-US" w:eastAsia="zh-CN" w:bidi="ar-SA"/>
        </w:rPr>
        <w:t>环境影响报告书全本公示和项目公众参与说明全本公示。在公示期间建设单位及环评单位未收到相关反馈，建设单位承诺将加强企业环境管理，强化诚信意识，恪守环保信用，项目运行中主动公开环保信息，接受公众监督。</w:t>
      </w:r>
    </w:p>
    <w:p w14:paraId="14757DD9">
      <w:pPr>
        <w:pStyle w:val="153"/>
        <w:widowControl w:val="0"/>
        <w:spacing w:line="240" w:lineRule="auto"/>
        <w:ind w:firstLine="0" w:firstLineChars="0"/>
        <w:jc w:val="center"/>
        <w:rPr>
          <w:rFonts w:ascii="Times New Roman" w:hAnsi="Times New Roman" w:eastAsiaTheme="minorEastAsia"/>
          <w:snapToGrid w:val="0"/>
          <w:color w:val="auto"/>
          <w:w w:val="99"/>
          <w:highlight w:val="none"/>
        </w:rPr>
      </w:pPr>
      <w:r>
        <w:rPr>
          <w:rFonts w:ascii="Times New Roman" w:hAnsi="Times New Roman"/>
          <w:color w:val="auto"/>
          <w:w w:val="99"/>
          <w:highlight w:val="none"/>
        </w:rPr>
        <w:drawing>
          <wp:inline distT="0" distB="0" distL="0" distR="0">
            <wp:extent cx="4733925" cy="5497830"/>
            <wp:effectExtent l="19050" t="19050" r="9525" b="266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6"/>
                    <a:srcRect l="2610" t="1955" r="1995"/>
                    <a:stretch>
                      <a:fillRect/>
                    </a:stretch>
                  </pic:blipFill>
                  <pic:spPr>
                    <a:xfrm>
                      <a:off x="0" y="0"/>
                      <a:ext cx="4736534" cy="5500922"/>
                    </a:xfrm>
                    <a:prstGeom prst="rect">
                      <a:avLst/>
                    </a:prstGeom>
                    <a:ln w="6350">
                      <a:solidFill>
                        <a:schemeClr val="tx1"/>
                      </a:solidFill>
                    </a:ln>
                  </pic:spPr>
                </pic:pic>
              </a:graphicData>
            </a:graphic>
          </wp:inline>
        </w:drawing>
      </w:r>
    </w:p>
    <w:p w14:paraId="7A6997A4">
      <w:pPr>
        <w:pStyle w:val="153"/>
        <w:widowControl w:val="0"/>
        <w:spacing w:line="440" w:lineRule="exact"/>
        <w:ind w:firstLine="0" w:firstLineChars="0"/>
        <w:jc w:val="center"/>
        <w:rPr>
          <w:rFonts w:ascii="Times New Roman" w:hAnsi="Times New Roman" w:eastAsiaTheme="minorEastAsia"/>
          <w:b/>
          <w:snapToGrid w:val="0"/>
          <w:color w:val="auto"/>
          <w:w w:val="99"/>
          <w:highlight w:val="none"/>
        </w:rPr>
      </w:pPr>
      <w:r>
        <w:rPr>
          <w:rFonts w:ascii="Times New Roman" w:hAnsi="Times New Roman" w:eastAsiaTheme="minorEastAsia"/>
          <w:b/>
          <w:snapToGrid w:val="0"/>
          <w:color w:val="auto"/>
          <w:w w:val="99"/>
          <w:highlight w:val="none"/>
        </w:rPr>
        <w:t>图1.3-1    建设项目环境影响评价工作程序图</w:t>
      </w:r>
    </w:p>
    <w:p w14:paraId="3FEB560E">
      <w:pPr>
        <w:pStyle w:val="5"/>
        <w:keepNext w:val="0"/>
        <w:keepLines w:val="0"/>
        <w:widowControl w:val="0"/>
        <w:spacing w:before="120" w:after="120" w:line="440" w:lineRule="exact"/>
        <w:jc w:val="both"/>
        <w:rPr>
          <w:rFonts w:ascii="Times New Roman" w:hAnsi="Times New Roman" w:eastAsia="宋体"/>
          <w:b/>
          <w:snapToGrid w:val="0"/>
          <w:color w:val="auto"/>
          <w:w w:val="99"/>
          <w:highlight w:val="none"/>
        </w:rPr>
      </w:pPr>
      <w:bookmarkStart w:id="61" w:name="_Toc16420"/>
      <w:bookmarkStart w:id="62" w:name="_Toc502736433"/>
      <w:r>
        <w:rPr>
          <w:rFonts w:ascii="Times New Roman" w:hAnsi="Times New Roman" w:eastAsia="宋体"/>
          <w:b/>
          <w:snapToGrid w:val="0"/>
          <w:color w:val="auto"/>
          <w:w w:val="99"/>
          <w:highlight w:val="none"/>
        </w:rPr>
        <w:t>1.4分析判定相关情况</w:t>
      </w:r>
      <w:bookmarkEnd w:id="61"/>
      <w:bookmarkEnd w:id="62"/>
    </w:p>
    <w:p w14:paraId="42512B15">
      <w:pPr>
        <w:pStyle w:val="7"/>
        <w:widowControl w:val="0"/>
        <w:spacing w:before="60" w:after="60" w:line="440" w:lineRule="exact"/>
        <w:jc w:val="both"/>
        <w:rPr>
          <w:rFonts w:eastAsia="宋体"/>
          <w:b/>
          <w:color w:val="auto"/>
          <w:w w:val="99"/>
          <w:kern w:val="2"/>
          <w:sz w:val="24"/>
          <w:szCs w:val="24"/>
          <w:highlight w:val="none"/>
        </w:rPr>
      </w:pPr>
      <w:bookmarkStart w:id="63" w:name="_Toc80588208"/>
      <w:bookmarkStart w:id="64" w:name="_Toc70050123"/>
      <w:bookmarkStart w:id="65" w:name="_Toc29321"/>
      <w:bookmarkStart w:id="66" w:name="_Toc77067612"/>
      <w:bookmarkStart w:id="67" w:name="_Toc78816413"/>
      <w:bookmarkStart w:id="68" w:name="_Toc76976196"/>
      <w:bookmarkStart w:id="69" w:name="_Toc80971330"/>
      <w:bookmarkStart w:id="70" w:name="_Toc67860081"/>
      <w:bookmarkStart w:id="71" w:name="_Toc186444228"/>
      <w:bookmarkStart w:id="72" w:name="_Toc502736434"/>
      <w:bookmarkStart w:id="73" w:name="_Toc17898120"/>
      <w:bookmarkStart w:id="74" w:name="_Toc61597173"/>
      <w:bookmarkStart w:id="75" w:name="_Toc57976628"/>
      <w:bookmarkStart w:id="76" w:name="_Toc83209425"/>
      <w:bookmarkStart w:id="77" w:name="_Toc57707873"/>
      <w:bookmarkStart w:id="78" w:name="_Toc57203203"/>
      <w:r>
        <w:rPr>
          <w:rFonts w:eastAsia="宋体"/>
          <w:b/>
          <w:color w:val="auto"/>
          <w:w w:val="99"/>
          <w:kern w:val="2"/>
          <w:sz w:val="24"/>
          <w:szCs w:val="24"/>
          <w:highlight w:val="none"/>
        </w:rPr>
        <w:t>1.4.1产业政策符合性分析</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EEE8FDB">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bookmarkStart w:id="79" w:name="_Toc17898121"/>
      <w:bookmarkStart w:id="80" w:name="_Toc502736435"/>
      <w:bookmarkStart w:id="81" w:name="_Toc3092"/>
      <w:r>
        <w:rPr>
          <w:rFonts w:hint="default" w:ascii="Times New Roman" w:hAnsi="Times New Roman" w:eastAsia="宋体" w:cs="Times New Roman"/>
          <w:color w:val="auto"/>
          <w:spacing w:val="0"/>
          <w:w w:val="99"/>
          <w:position w:val="0"/>
          <w:sz w:val="24"/>
          <w:szCs w:val="24"/>
          <w:highlight w:val="none"/>
          <w:lang w:val="en-US" w:eastAsia="zh-CN" w:bidi="ar-SA"/>
        </w:rPr>
        <w:t>本项目为石油开采项目，根据《产业结构调整指导目录（2024 年本）》</w:t>
      </w:r>
      <w:r>
        <w:rPr>
          <w:rFonts w:hint="eastAsia" w:ascii="Times New Roman" w:hAnsi="Times New Roman" w:eastAsia="宋体" w:cs="Times New Roman"/>
          <w:color w:val="auto"/>
          <w:spacing w:val="0"/>
          <w:w w:val="99"/>
          <w:position w:val="0"/>
          <w:sz w:val="24"/>
          <w:szCs w:val="24"/>
          <w:highlight w:val="none"/>
          <w:lang w:val="en-US" w:eastAsia="zh-CN" w:bidi="ar-SA"/>
        </w:rPr>
        <w:t>（国家发展和改革委员会令</w:t>
      </w:r>
      <w:r>
        <w:rPr>
          <w:rFonts w:hint="default" w:ascii="Times New Roman" w:hAnsi="Times New Roman" w:eastAsia="宋体" w:cs="Times New Roman"/>
          <w:color w:val="auto"/>
          <w:spacing w:val="0"/>
          <w:w w:val="99"/>
          <w:position w:val="0"/>
          <w:sz w:val="24"/>
          <w:szCs w:val="24"/>
          <w:highlight w:val="none"/>
          <w:lang w:val="en-US" w:eastAsia="zh-CN" w:bidi="ar-SA"/>
        </w:rPr>
        <w:t>[2023]第7号</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，本项目属于鼓励类“七、石油天然气”中“1.石油天然气开采：常规石油、天然气勘探与开采”，因此，本项目建设符合国家的产业政策。</w:t>
      </w:r>
    </w:p>
    <w:p w14:paraId="351B61D4">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本项目不属于列入《淘汰落后生产能力、工艺和产品的目录》（第一批、第二批、第三批）和《工商投资领域制止重复建设目录》内的项目，因此本项目不违反国家有关产业政策。</w:t>
      </w:r>
    </w:p>
    <w:p w14:paraId="6111AC7C">
      <w:pPr>
        <w:pStyle w:val="7"/>
        <w:widowControl w:val="0"/>
        <w:spacing w:before="60" w:after="60" w:line="440" w:lineRule="exact"/>
        <w:jc w:val="both"/>
        <w:rPr>
          <w:rFonts w:eastAsiaTheme="minorEastAsia"/>
          <w:b/>
          <w:color w:val="auto"/>
          <w:w w:val="99"/>
          <w:kern w:val="2"/>
          <w:sz w:val="24"/>
          <w:szCs w:val="24"/>
          <w:highlight w:val="none"/>
        </w:rPr>
      </w:pPr>
      <w:bookmarkStart w:id="82" w:name="_Toc84929181"/>
      <w:bookmarkStart w:id="83" w:name="_Toc186444229"/>
      <w:bookmarkStart w:id="84" w:name="_Toc127192294"/>
      <w:bookmarkStart w:id="85" w:name="_Toc86141889"/>
      <w:bookmarkStart w:id="86" w:name="_Toc143099532"/>
      <w:bookmarkStart w:id="87" w:name="_Toc85640706"/>
      <w:bookmarkStart w:id="88" w:name="_Toc126863345"/>
      <w:bookmarkStart w:id="89" w:name="_Toc131167245"/>
      <w:r>
        <w:rPr>
          <w:rFonts w:eastAsiaTheme="minorEastAsia"/>
          <w:b/>
          <w:color w:val="auto"/>
          <w:w w:val="99"/>
          <w:kern w:val="2"/>
          <w:sz w:val="24"/>
          <w:szCs w:val="24"/>
          <w:highlight w:val="none"/>
        </w:rPr>
        <w:t>1.4.2相关规划符合性分析</w:t>
      </w:r>
      <w:bookmarkEnd w:id="82"/>
      <w:bookmarkEnd w:id="83"/>
      <w:bookmarkEnd w:id="84"/>
      <w:bookmarkEnd w:id="85"/>
      <w:bookmarkEnd w:id="86"/>
      <w:bookmarkEnd w:id="87"/>
      <w:bookmarkEnd w:id="88"/>
      <w:bookmarkEnd w:id="89"/>
    </w:p>
    <w:p w14:paraId="7E12E869">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1.4.2.1与《黑龙江省主体功能区规划》（</w:t>
      </w:r>
      <w:r>
        <w:rPr>
          <w:rFonts w:hint="eastAsia" w:ascii="Times New Roman" w:hAnsi="Times New Roman" w:eastAsiaTheme="minorEastAsia"/>
          <w:b/>
          <w:color w:val="auto"/>
          <w:w w:val="99"/>
          <w:highlight w:val="none"/>
        </w:rPr>
        <w:t>黑政发〔2012〕29号</w:t>
      </w:r>
      <w:r>
        <w:rPr>
          <w:rFonts w:ascii="Times New Roman" w:hAnsi="Times New Roman" w:eastAsiaTheme="minorEastAsia"/>
          <w:b/>
          <w:color w:val="auto"/>
          <w:w w:val="99"/>
          <w:highlight w:val="none"/>
        </w:rPr>
        <w:t>）符合性分析</w:t>
      </w:r>
    </w:p>
    <w:p w14:paraId="74BD8DED">
      <w:pPr>
        <w:pStyle w:val="153"/>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本项目位于黑龙江省</w:t>
      </w:r>
      <w:r>
        <w:rPr>
          <w:rFonts w:hint="eastAsia" w:ascii="Times New Roman" w:hAnsi="Times New Roman" w:eastAsiaTheme="minorEastAsia"/>
          <w:color w:val="auto"/>
          <w:w w:val="99"/>
          <w:highlight w:val="none"/>
          <w:lang w:val="en-US" w:eastAsia="zh-CN"/>
        </w:rPr>
        <w:t>绥化市肇东市</w:t>
      </w:r>
      <w:r>
        <w:rPr>
          <w:rFonts w:ascii="Times New Roman" w:hAnsi="Times New Roman" w:eastAsiaTheme="minorEastAsia"/>
          <w:color w:val="auto"/>
          <w:w w:val="99"/>
          <w:highlight w:val="none"/>
        </w:rPr>
        <w:t>境内，根据《黑龙江省主体功能区规划》，工程所在区域定位为国家农产品主产区，属于限制开发区域。根据《黑龙江省主体功能区规划》中第八章能源与资源中提出：“位于限制开发区域的重点生态功能区的能源和矿产资源，在进行点状开发时，必须进行生态环境影响评估。尽可能减少对生态空间的占用，并同步修复生态环境。其中，在水资源严重短缺、环境容量很小、生态十分脆弱的地区，要严格控制能源和矿产资源开发”。</w:t>
      </w:r>
    </w:p>
    <w:p w14:paraId="6436F0AD">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根据《黑龙江省主体功能区规划》</w:t>
      </w:r>
      <w:r>
        <w:rPr>
          <w:rFonts w:hint="eastAsia" w:ascii="Times New Roman" w:hAnsi="Times New Roman" w:eastAsia="宋体" w:cs="Times New Roman"/>
          <w:color w:val="auto"/>
          <w:spacing w:val="0"/>
          <w:w w:val="99"/>
          <w:position w:val="0"/>
          <w:sz w:val="24"/>
          <w:szCs w:val="24"/>
          <w:highlight w:val="none"/>
          <w:lang w:val="en-US" w:eastAsia="zh-CN" w:bidi="ar-SA"/>
        </w:rPr>
        <w:t>（黑政发〔</w:t>
      </w:r>
      <w:r>
        <w:rPr>
          <w:rFonts w:hint="default" w:ascii="Times New Roman" w:hAnsi="Times New Roman" w:eastAsia="宋体" w:cs="Times New Roman"/>
          <w:color w:val="auto"/>
          <w:spacing w:val="0"/>
          <w:w w:val="99"/>
          <w:position w:val="0"/>
          <w:sz w:val="24"/>
          <w:szCs w:val="24"/>
          <w:highlight w:val="none"/>
          <w:lang w:val="en-US" w:eastAsia="zh-CN" w:bidi="ar-SA"/>
        </w:rPr>
        <w:t>2012〕29号）第五章保障措施中第八节环境政策，限制开发区要通过治理、限制或关闭污染物排放企业等手段，实现污染物排放总量持续下降；加大水资源保护力度，适度开发利用水资源，实行全面节水，满足基本的生态用水需求。</w:t>
      </w:r>
    </w:p>
    <w:p w14:paraId="58168D42">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①本项目属于天然气开采项目，不属于大规模、 高强度的工业和城镇建设，因此本项目不属于限制或禁止类项目。本报告书中的第五章“环境影响预测与评价”中的第</w:t>
      </w:r>
      <w:r>
        <w:rPr>
          <w:rFonts w:hint="eastAsia" w:ascii="Times New Roman" w:hAnsi="Times New Roman" w:eastAsia="宋体" w:cs="Times New Roman"/>
          <w:color w:val="auto"/>
          <w:spacing w:val="0"/>
          <w:w w:val="99"/>
          <w:position w:val="0"/>
          <w:sz w:val="24"/>
          <w:szCs w:val="24"/>
          <w:highlight w:val="none"/>
          <w:lang w:val="en-US" w:eastAsia="zh-CN" w:bidi="ar-SA"/>
        </w:rPr>
        <w:t>六</w:t>
      </w:r>
      <w:r>
        <w:rPr>
          <w:rFonts w:hint="default" w:ascii="Times New Roman" w:hAnsi="Times New Roman" w:eastAsia="宋体" w:cs="Times New Roman"/>
          <w:color w:val="auto"/>
          <w:spacing w:val="0"/>
          <w:w w:val="99"/>
          <w:position w:val="0"/>
          <w:sz w:val="24"/>
          <w:szCs w:val="24"/>
          <w:highlight w:val="none"/>
          <w:lang w:val="en-US" w:eastAsia="zh-CN" w:bidi="ar-SA"/>
        </w:rPr>
        <w:t>节“生态环境影响分析”进行了生态环境影响评价，因此符合“位于限制开发区域的重点生态功能区的能源和矿产资源，在进行点状开发时，必须进行生态环境影响评估。”</w:t>
      </w:r>
    </w:p>
    <w:p w14:paraId="2D5825C7">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②本项目施工活动控制在施工作业带内进行，施工期间严格控制施工作业面积， 占地严格按照《石油天然气工程项目用地控制指标》（国土资规〔2016〕14 号），管线施工采用人工开挖和机械开挖相结合的方式，临时占用基本农田在施工结束后及时进行复垦，并在施工过程中加强水土保持措施，有效降低生态环境影响因此符合“尽可能减少对生态空间的占用，并同步修复生态环境。”</w:t>
      </w:r>
    </w:p>
    <w:p w14:paraId="554EB484">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③本项目区域不属于水资源严重短缺、环境容量很小、生态十分脆弱的地区。同时，本项目为天然气开采项目，因此符合“鼓励开采石油、天然气、煤层气、地热、油页岩 …等矿产资源”。</w:t>
      </w:r>
    </w:p>
    <w:p w14:paraId="6F677AAF">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本项目与黑龙江省主体功能区位置关系见图1.4-1。</w:t>
      </w:r>
    </w:p>
    <w:p w14:paraId="6FDA778B">
      <w:pPr>
        <w:jc w:val="center"/>
        <w:rPr>
          <w:rFonts w:ascii="Times New Roman" w:hAnsi="Times New Roman" w:cs="Times New Roman"/>
          <w:color w:val="auto"/>
          <w:w w:val="99"/>
          <w:highlight w:val="none"/>
        </w:rPr>
      </w:pPr>
      <w:r>
        <w:rPr>
          <w:rFonts w:ascii="Times New Roman" w:hAnsi="Times New Roman" w:cs="Times New Roman"/>
          <w:color w:val="auto"/>
          <w:w w:val="99"/>
          <w:highlight w:val="none"/>
        </w:rPr>
        <mc:AlternateContent>
          <mc:Choice Requires="wps">
            <w:drawing>
              <wp:anchor distT="0" distB="0" distL="114300" distR="114300" simplePos="0" relativeHeight="251663360" behindDoc="0" locked="0" layoutInCell="1" allowOverlap="1">
                <wp:simplePos x="0" y="0"/>
                <wp:positionH relativeFrom="column">
                  <wp:posOffset>2146935</wp:posOffset>
                </wp:positionH>
                <wp:positionV relativeFrom="paragraph">
                  <wp:posOffset>3069590</wp:posOffset>
                </wp:positionV>
                <wp:extent cx="76200" cy="76200"/>
                <wp:effectExtent l="22225" t="22225" r="34925" b="34925"/>
                <wp:wrapNone/>
                <wp:docPr id="499" name="矩形 499"/>
                <wp:cNvGraphicFramePr/>
                <a:graphic xmlns:a="http://schemas.openxmlformats.org/drawingml/2006/main">
                  <a:graphicData uri="http://schemas.microsoft.com/office/word/2010/wordprocessingShape">
                    <wps:wsp>
                      <wps:cNvSpPr/>
                      <wps:spPr>
                        <a:xfrm rot="3083878" flipH="1">
                          <a:off x="0" y="0"/>
                          <a:ext cx="76200" cy="76200"/>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169.05pt;margin-top:241.7pt;height:6pt;width:6pt;rotation:-3368417f;z-index:251663360;v-text-anchor:middle;mso-width-relative:page;mso-height-relative:page;" filled="f" stroked="t" coordsize="21600,21600" o:gfxdata="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935ntgAAAALAQAADwAAAAAAAAABACAAAAAiAAAAZHJz&#10;L2Rvd25yZXYueG1sUEsBAhQAFAAAAAgAh07iQIWhpyp2AgAA4wQAAA4AAAAAAAAAAQAgAAAAJwEA&#10;AGRycy9lMm9Eb2MueG1sUEsFBgAAAAAGAAYAWQEAAA8GAAAAAA==&#10;">
                <v:fill on="f" focussize="0,0"/>
                <v:stroke weight="0.5pt" color="#FF0000 [3204]" miterlimit="8" joinstyle="miter"/>
                <v:imagedata o:title=""/>
                <o:lock v:ext="edit" aspectratio="f"/>
              </v:rect>
            </w:pict>
          </mc:Fallback>
        </mc:AlternateContent>
      </w:r>
      <w:r>
        <w:rPr>
          <w:rFonts w:ascii="Times New Roman" w:hAnsi="Times New Roman" w:cs="Times New Roman"/>
          <w:color w:val="auto"/>
          <w:w w:val="99"/>
          <w:highlight w:val="none"/>
        </w:rPr>
        <mc:AlternateContent>
          <mc:Choice Requires="wps">
            <w:drawing>
              <wp:anchor distT="0" distB="0" distL="114300" distR="114300" simplePos="0" relativeHeight="251664384" behindDoc="0" locked="0" layoutInCell="1" allowOverlap="1">
                <wp:simplePos x="0" y="0"/>
                <wp:positionH relativeFrom="column">
                  <wp:posOffset>572135</wp:posOffset>
                </wp:positionH>
                <wp:positionV relativeFrom="paragraph">
                  <wp:posOffset>2647315</wp:posOffset>
                </wp:positionV>
                <wp:extent cx="1073150" cy="309245"/>
                <wp:effectExtent l="0" t="0" r="488950" b="319405"/>
                <wp:wrapNone/>
                <wp:docPr id="63" name="圆角矩形标注 63"/>
                <wp:cNvGraphicFramePr/>
                <a:graphic xmlns:a="http://schemas.openxmlformats.org/drawingml/2006/main">
                  <a:graphicData uri="http://schemas.microsoft.com/office/word/2010/wordprocessingShape">
                    <wps:wsp>
                      <wps:cNvSpPr/>
                      <wps:spPr>
                        <a:xfrm>
                          <a:off x="0" y="0"/>
                          <a:ext cx="1073150" cy="309245"/>
                        </a:xfrm>
                        <a:prstGeom prst="wedgeRoundRectCallout">
                          <a:avLst>
                            <a:gd name="adj1" fmla="val 88825"/>
                            <a:gd name="adj2" fmla="val 14094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7ED277">
                            <w:pPr>
                              <w:jc w:val="center"/>
                            </w:pPr>
                            <w:r>
                              <w:rPr>
                                <w:rFonts w:hint="eastAsia"/>
                              </w:rPr>
                              <w:t>本项目</w:t>
                            </w:r>
                            <w:r>
                              <w:t>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5.05pt;margin-top:208.45pt;height:24.35pt;width:84.5pt;z-index:251664384;v-text-anchor:middle;mso-width-relative:page;mso-height-relative:page;" fillcolor="#5B9BD5 [3204]" filled="t" stroked="t" coordsize="21600,21600" o:gfxdata="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Jza/SzYAAAACgEAAA8AAAAAAAAAAQAgAAAAIgAAAGRycy9kb3ducmV2Lnht&#10;bFBLAQIUABQAAAAIAIdO4kD7/Wbu3QIAALUFAAAOAAAAAAAAAAEAIAAAACcBAABkcnMvZTJvRG9j&#10;LnhtbFBLBQYAAAAABgAGAFkBAAB2BgAAAAA=&#10;" adj="29986,41244,14400">
                <v:fill on="t" focussize="0,0"/>
                <v:stroke weight="1pt" color="#41719C [3204]" miterlimit="8" joinstyle="miter"/>
                <v:imagedata o:title=""/>
                <o:lock v:ext="edit" aspectratio="f"/>
                <v:textbox>
                  <w:txbxContent>
                    <w:p w14:paraId="6F7ED277">
                      <w:pPr>
                        <w:jc w:val="center"/>
                      </w:pPr>
                      <w:r>
                        <w:rPr>
                          <w:rFonts w:hint="eastAsia"/>
                        </w:rPr>
                        <w:t>本项目</w:t>
                      </w:r>
                      <w:r>
                        <w:t>位置</w:t>
                      </w:r>
                    </w:p>
                  </w:txbxContent>
                </v:textbox>
              </v:shape>
            </w:pict>
          </mc:Fallback>
        </mc:AlternateContent>
      </w:r>
      <w:r>
        <w:rPr>
          <w:rFonts w:ascii="Times New Roman" w:hAnsi="Times New Roman" w:cs="Times New Roman"/>
          <w:color w:val="auto"/>
          <w:w w:val="99"/>
          <w:highlight w:val="none"/>
        </w:rPr>
        <w:drawing>
          <wp:inline distT="0" distB="0" distL="0" distR="0">
            <wp:extent cx="5759450" cy="4361815"/>
            <wp:effectExtent l="0" t="0" r="0" b="635"/>
            <wp:docPr id="500" name="图片 500" descr="21主体功能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21主体功能区分布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9450" cy="4362218"/>
                    </a:xfrm>
                    <a:prstGeom prst="rect">
                      <a:avLst/>
                    </a:prstGeom>
                    <a:noFill/>
                    <a:ln>
                      <a:noFill/>
                    </a:ln>
                  </pic:spPr>
                </pic:pic>
              </a:graphicData>
            </a:graphic>
          </wp:inline>
        </w:drawing>
      </w:r>
    </w:p>
    <w:p w14:paraId="2B2905F6">
      <w:pPr>
        <w:jc w:val="center"/>
        <w:rPr>
          <w:rFonts w:ascii="Times New Roman" w:hAnsi="Times New Roman" w:cs="Times New Roman"/>
          <w:b/>
          <w:color w:val="auto"/>
          <w:w w:val="99"/>
          <w:highlight w:val="none"/>
        </w:rPr>
      </w:pPr>
      <w:r>
        <w:rPr>
          <w:rFonts w:ascii="Times New Roman" w:hAnsi="Times New Roman" w:cs="Times New Roman" w:eastAsiaTheme="minorEastAsia"/>
          <w:b/>
          <w:color w:val="auto"/>
          <w:w w:val="99"/>
          <w:highlight w:val="none"/>
        </w:rPr>
        <w:t>图1.4-1    本项目与黑龙江省主体功能区位置关系图</w:t>
      </w:r>
    </w:p>
    <w:p w14:paraId="5FD66896">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1.4.2.2与《黑龙江省生态功能区划》（黑政函〔2006〕75号）符合性分析</w:t>
      </w:r>
    </w:p>
    <w:p w14:paraId="017B6B40">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根据《黑龙江省生态功能区划》（黑政函〔2006〕75号），本项目所在区域位于Ⅰ-6-1-1嫩江下游湿地保护与沙化和盐渍化控制生态功能区及Ⅰ-06-01-3 安达-肇东-肇州农、牧业与盐渍化控制生态功能区，该功能区的主要生态系统服务功能为盐渍化控制、生态系统产品提供。</w:t>
      </w:r>
    </w:p>
    <w:p w14:paraId="0C9C5EC9">
      <w:pPr>
        <w:pStyle w:val="153"/>
        <w:widowControl w:val="0"/>
        <w:spacing w:line="440" w:lineRule="exact"/>
        <w:ind w:firstLine="473"/>
        <w:jc w:val="both"/>
        <w:rPr>
          <w:rFonts w:ascii="Times New Roman" w:hAnsi="Times New Roman"/>
          <w:iCs/>
          <w:color w:val="auto"/>
          <w:w w:val="99"/>
          <w:highlight w:val="none"/>
        </w:rPr>
      </w:pPr>
      <w:r>
        <w:rPr>
          <w:rFonts w:ascii="Times New Roman" w:hAnsi="Times New Roman"/>
          <w:iCs/>
          <w:color w:val="auto"/>
          <w:w w:val="99"/>
          <w:highlight w:val="none"/>
        </w:rPr>
        <w:t>本项目属于</w:t>
      </w:r>
      <w:r>
        <w:rPr>
          <w:rFonts w:hint="eastAsia" w:ascii="Times New Roman" w:hAnsi="Times New Roman"/>
          <w:iCs/>
          <w:color w:val="auto"/>
          <w:w w:val="99"/>
          <w:highlight w:val="none"/>
          <w:lang w:val="en-US" w:eastAsia="zh-CN"/>
        </w:rPr>
        <w:t>天然气</w:t>
      </w:r>
      <w:r>
        <w:rPr>
          <w:rFonts w:ascii="Times New Roman" w:hAnsi="Times New Roman"/>
          <w:iCs/>
          <w:color w:val="auto"/>
          <w:w w:val="99"/>
          <w:highlight w:val="none"/>
        </w:rPr>
        <w:t>开发项目，建成后新增总</w:t>
      </w:r>
      <w:r>
        <w:rPr>
          <w:rFonts w:ascii="Times New Roman" w:hAnsi="Times New Roman"/>
          <w:bCs/>
          <w:iCs/>
          <w:color w:val="auto"/>
          <w:w w:val="99"/>
          <w:highlight w:val="none"/>
        </w:rPr>
        <w:t>占地面积为</w:t>
      </w:r>
      <w:r>
        <w:rPr>
          <w:rFonts w:hint="eastAsia" w:ascii="Times New Roman" w:hAnsi="Times New Roman"/>
          <w:iCs/>
          <w:color w:val="auto"/>
          <w:w w:val="99"/>
          <w:highlight w:val="none"/>
          <w:lang w:val="en-US" w:eastAsia="zh-CN"/>
        </w:rPr>
        <w:t>2.013</w:t>
      </w:r>
      <w:r>
        <w:rPr>
          <w:rFonts w:ascii="Times New Roman" w:hAnsi="Times New Roman"/>
          <w:bCs/>
          <w:iCs/>
          <w:color w:val="auto"/>
          <w:w w:val="99"/>
          <w:highlight w:val="none"/>
        </w:rPr>
        <w:t>hm</w:t>
      </w:r>
      <w:r>
        <w:rPr>
          <w:rFonts w:ascii="Times New Roman" w:hAnsi="Times New Roman"/>
          <w:bCs/>
          <w:iCs/>
          <w:color w:val="auto"/>
          <w:w w:val="99"/>
          <w:highlight w:val="none"/>
          <w:vertAlign w:val="superscript"/>
        </w:rPr>
        <w:t>2</w:t>
      </w:r>
      <w:r>
        <w:rPr>
          <w:rFonts w:ascii="Times New Roman" w:hAnsi="Times New Roman"/>
          <w:bCs/>
          <w:iCs/>
          <w:color w:val="auto"/>
          <w:w w:val="99"/>
          <w:highlight w:val="none"/>
        </w:rPr>
        <w:t>，其中永久占地面积为</w:t>
      </w:r>
      <w:r>
        <w:rPr>
          <w:rFonts w:hint="eastAsia" w:ascii="Times New Roman" w:hAnsi="Times New Roman"/>
          <w:iCs/>
          <w:color w:val="auto"/>
          <w:w w:val="99"/>
          <w:highlight w:val="none"/>
          <w:lang w:val="en-US" w:eastAsia="zh-CN"/>
        </w:rPr>
        <w:t>0.0901</w:t>
      </w:r>
      <w:r>
        <w:rPr>
          <w:rFonts w:ascii="Times New Roman" w:hAnsi="Times New Roman"/>
          <w:bCs/>
          <w:iCs/>
          <w:color w:val="auto"/>
          <w:w w:val="99"/>
          <w:highlight w:val="none"/>
        </w:rPr>
        <w:t>hm</w:t>
      </w:r>
      <w:r>
        <w:rPr>
          <w:rFonts w:ascii="Times New Roman" w:hAnsi="Times New Roman"/>
          <w:bCs/>
          <w:iCs/>
          <w:color w:val="auto"/>
          <w:w w:val="99"/>
          <w:highlight w:val="none"/>
          <w:vertAlign w:val="superscript"/>
        </w:rPr>
        <w:t>2</w:t>
      </w:r>
      <w:r>
        <w:rPr>
          <w:rFonts w:ascii="Times New Roman" w:hAnsi="Times New Roman"/>
          <w:bCs/>
          <w:iCs/>
          <w:color w:val="auto"/>
          <w:w w:val="99"/>
          <w:highlight w:val="none"/>
        </w:rPr>
        <w:t>，临时占地面积为</w:t>
      </w:r>
      <w:r>
        <w:rPr>
          <w:rFonts w:hint="eastAsia" w:ascii="Times New Roman" w:hAnsi="Times New Roman"/>
          <w:iCs/>
          <w:color w:val="auto"/>
          <w:w w:val="99"/>
          <w:highlight w:val="none"/>
          <w:lang w:val="en-US" w:eastAsia="zh-CN"/>
        </w:rPr>
        <w:t>1.9229</w:t>
      </w:r>
      <w:r>
        <w:rPr>
          <w:rFonts w:ascii="Times New Roman" w:hAnsi="Times New Roman"/>
          <w:bCs/>
          <w:iCs/>
          <w:color w:val="auto"/>
          <w:w w:val="99"/>
          <w:highlight w:val="none"/>
        </w:rPr>
        <w:t>hm</w:t>
      </w:r>
      <w:r>
        <w:rPr>
          <w:rFonts w:ascii="Times New Roman" w:hAnsi="Times New Roman"/>
          <w:bCs/>
          <w:iCs/>
          <w:color w:val="auto"/>
          <w:w w:val="99"/>
          <w:highlight w:val="none"/>
          <w:vertAlign w:val="superscript"/>
        </w:rPr>
        <w:t>2</w:t>
      </w:r>
      <w:r>
        <w:rPr>
          <w:rFonts w:ascii="Times New Roman" w:hAnsi="Times New Roman"/>
          <w:bCs/>
          <w:iCs/>
          <w:color w:val="auto"/>
          <w:w w:val="99"/>
          <w:highlight w:val="none"/>
        </w:rPr>
        <w:t>，</w:t>
      </w:r>
      <w:r>
        <w:rPr>
          <w:rFonts w:ascii="Times New Roman" w:hAnsi="Times New Roman"/>
          <w:iCs/>
          <w:color w:val="auto"/>
          <w:w w:val="99"/>
          <w:highlight w:val="none"/>
        </w:rPr>
        <w:t>占地类型为耕地（永久基本农田），占地面积不大。项目施工结束后对临时占地进行恢复，对永久占地进行补偿，且运营期作业均在井场永久占地内进行，不会造成大面积的土地退化，项目的建设不会对区域生态功能产生明显影响，在项目实施过程中，应加强防沙治沙措施的实施，如尽量减少施工作业范围，施工过程中力求做到挖填平衡，施工结束后对破坏的土地进行平整并覆土压实，及时进行植被恢复等，</w:t>
      </w:r>
      <w:r>
        <w:rPr>
          <w:rFonts w:hint="eastAsia" w:ascii="Times New Roman" w:hAnsi="Times New Roman"/>
          <w:iCs/>
          <w:color w:val="auto"/>
          <w:w w:val="99"/>
          <w:highlight w:val="none"/>
        </w:rPr>
        <w:t>本项目占用永久基本农田应按照《中华人民共和国土地管理法》（主席令〔</w:t>
      </w:r>
      <w:r>
        <w:rPr>
          <w:rFonts w:ascii="Times New Roman" w:hAnsi="Times New Roman"/>
          <w:iCs/>
          <w:color w:val="auto"/>
          <w:w w:val="99"/>
          <w:highlight w:val="none"/>
        </w:rPr>
        <w:t>2019〕第32号〔2019年修正本〕</w:t>
      </w:r>
      <w:r>
        <w:rPr>
          <w:rFonts w:hint="eastAsia" w:ascii="Times New Roman" w:hAnsi="Times New Roman"/>
          <w:iCs/>
          <w:color w:val="auto"/>
          <w:w w:val="99"/>
          <w:highlight w:val="none"/>
        </w:rPr>
        <w:t>）、《基本农田保护条例》（国务院令第</w:t>
      </w:r>
      <w:r>
        <w:rPr>
          <w:rFonts w:ascii="Times New Roman" w:hAnsi="Times New Roman"/>
          <w:iCs/>
          <w:color w:val="auto"/>
          <w:w w:val="99"/>
          <w:highlight w:val="none"/>
        </w:rPr>
        <w:t>257号</w:t>
      </w:r>
      <w:r>
        <w:rPr>
          <w:rFonts w:hint="eastAsia" w:ascii="Times New Roman" w:hAnsi="Times New Roman"/>
          <w:iCs/>
          <w:color w:val="auto"/>
          <w:w w:val="99"/>
          <w:highlight w:val="none"/>
        </w:rPr>
        <w:t>）的要求逐级上报土地管理部门批准，永久占用永久基本农田应由当地人民政府按照国务院的批准文件修改土地利用总体规划，并补充划入数量和质量相当的基本农田。</w:t>
      </w:r>
      <w:r>
        <w:rPr>
          <w:rFonts w:hint="eastAsia" w:ascii="Times New Roman" w:hAnsi="Times New Roman"/>
          <w:iCs/>
          <w:color w:val="auto"/>
          <w:w w:val="99"/>
          <w:highlight w:val="none"/>
          <w:lang w:val="en-US" w:eastAsia="zh-CN"/>
        </w:rPr>
        <w:t>采气分公司</w:t>
      </w:r>
      <w:r>
        <w:rPr>
          <w:rFonts w:hint="eastAsia" w:ascii="Times New Roman" w:hAnsi="Times New Roman"/>
          <w:iCs/>
          <w:color w:val="auto"/>
          <w:w w:val="99"/>
          <w:highlight w:val="none"/>
        </w:rPr>
        <w:t>应当按照</w:t>
      </w:r>
      <w:r>
        <w:rPr>
          <w:rFonts w:ascii="Times New Roman" w:hAnsi="Times New Roman"/>
          <w:iCs/>
          <w:color w:val="auto"/>
          <w:w w:val="99"/>
          <w:highlight w:val="none"/>
        </w:rPr>
        <w:t>“</w:t>
      </w:r>
      <w:r>
        <w:rPr>
          <w:rFonts w:hint="eastAsia" w:ascii="Times New Roman" w:hAnsi="Times New Roman"/>
          <w:iCs/>
          <w:color w:val="auto"/>
          <w:w w:val="99"/>
          <w:highlight w:val="none"/>
        </w:rPr>
        <w:t>占多少、垦多少</w:t>
      </w:r>
      <w:r>
        <w:rPr>
          <w:rFonts w:ascii="Times New Roman" w:hAnsi="Times New Roman"/>
          <w:iCs/>
          <w:color w:val="auto"/>
          <w:w w:val="99"/>
          <w:highlight w:val="none"/>
        </w:rPr>
        <w:t>”</w:t>
      </w:r>
      <w:r>
        <w:rPr>
          <w:rFonts w:hint="eastAsia" w:ascii="Times New Roman" w:hAnsi="Times New Roman"/>
          <w:iCs/>
          <w:color w:val="auto"/>
          <w:w w:val="99"/>
          <w:highlight w:val="none"/>
        </w:rPr>
        <w:t>的原则，负责开垦与所占用的永久基本农田数量与质量相当的耕地；没有条件开垦或者开垦的耕地不符合的</w:t>
      </w:r>
      <w:r>
        <w:rPr>
          <w:rFonts w:ascii="Times New Roman" w:hAnsi="Times New Roman"/>
          <w:iCs/>
          <w:color w:val="auto"/>
          <w:w w:val="99"/>
          <w:highlight w:val="none"/>
        </w:rPr>
        <w:t xml:space="preserve"> </w:t>
      </w:r>
      <w:r>
        <w:rPr>
          <w:rFonts w:hint="eastAsia" w:ascii="Times New Roman" w:hAnsi="Times New Roman"/>
          <w:iCs/>
          <w:color w:val="auto"/>
          <w:w w:val="99"/>
          <w:highlight w:val="none"/>
        </w:rPr>
        <w:t>要求的，应当按照省、直辖市的规定缴纳耕地开垦费，专款用于开垦新的耕地。</w:t>
      </w:r>
      <w:r>
        <w:rPr>
          <w:rFonts w:hint="eastAsia" w:ascii="Times New Roman" w:hAnsi="Times New Roman"/>
          <w:iCs/>
          <w:color w:val="auto"/>
          <w:w w:val="99"/>
          <w:highlight w:val="none"/>
          <w:lang w:val="en-US" w:eastAsia="zh-CN"/>
        </w:rPr>
        <w:t>采气分公司</w:t>
      </w:r>
      <w:r>
        <w:rPr>
          <w:rFonts w:hint="eastAsia" w:ascii="Times New Roman" w:hAnsi="Times New Roman"/>
          <w:iCs/>
          <w:color w:val="auto"/>
          <w:w w:val="99"/>
          <w:highlight w:val="none"/>
        </w:rPr>
        <w:t>应按照县级以上地方人民政府的要求，将所占用的永久基本农田耕作层的土壤用于新开垦耕地、劣质地或者其他耕地的土壤改良。</w:t>
      </w:r>
    </w:p>
    <w:p w14:paraId="1FAA1712">
      <w:pPr>
        <w:pStyle w:val="153"/>
        <w:widowControl w:val="0"/>
        <w:spacing w:line="440" w:lineRule="exact"/>
        <w:ind w:firstLine="473"/>
        <w:jc w:val="both"/>
        <w:rPr>
          <w:rFonts w:ascii="Times New Roman" w:hAnsi="Times New Roman"/>
          <w:iCs/>
          <w:color w:val="auto"/>
          <w:w w:val="99"/>
          <w:highlight w:val="none"/>
        </w:rPr>
      </w:pPr>
      <w:r>
        <w:rPr>
          <w:rFonts w:ascii="Times New Roman" w:hAnsi="Times New Roman"/>
          <w:iCs/>
          <w:color w:val="auto"/>
          <w:w w:val="99"/>
          <w:highlight w:val="none"/>
        </w:rPr>
        <w:t>本项目的建设不会对区域生态功能产生明显影响，满足该区域生态系统服务功能需求。因此，本项目符合《黑龙江省生态功能区划》（黑政函〔2006〕75号）的要求。</w:t>
      </w:r>
      <w:bookmarkStart w:id="90" w:name="OLE_LINK204"/>
      <w:bookmarkStart w:id="91" w:name="OLE_LINK205"/>
    </w:p>
    <w:p w14:paraId="5B43CF40">
      <w:pPr>
        <w:jc w:val="center"/>
        <w:rPr>
          <w:rFonts w:ascii="Times New Roman" w:hAnsi="Times New Roman" w:cs="Times New Roman"/>
          <w:color w:val="auto"/>
          <w:w w:val="99"/>
          <w:highlight w:val="none"/>
        </w:rPr>
      </w:pPr>
      <w:r>
        <w:rPr>
          <w:rFonts w:ascii="Times New Roman" w:hAnsi="Times New Roman" w:cs="Times New Roman"/>
          <w:color w:val="auto"/>
          <w:w w:val="99"/>
          <w:highlight w:val="none"/>
        </w:rPr>
        <mc:AlternateContent>
          <mc:Choice Requires="wps">
            <w:drawing>
              <wp:anchor distT="0" distB="0" distL="114300" distR="114300" simplePos="0" relativeHeight="251665408" behindDoc="0" locked="0" layoutInCell="1" allowOverlap="1">
                <wp:simplePos x="0" y="0"/>
                <wp:positionH relativeFrom="column">
                  <wp:posOffset>2838450</wp:posOffset>
                </wp:positionH>
                <wp:positionV relativeFrom="paragraph">
                  <wp:posOffset>3136900</wp:posOffset>
                </wp:positionV>
                <wp:extent cx="76200" cy="76200"/>
                <wp:effectExtent l="22225" t="22225" r="34925" b="34925"/>
                <wp:wrapNone/>
                <wp:docPr id="503" name="矩形 503"/>
                <wp:cNvGraphicFramePr/>
                <a:graphic xmlns:a="http://schemas.openxmlformats.org/drawingml/2006/main">
                  <a:graphicData uri="http://schemas.microsoft.com/office/word/2010/wordprocessingShape">
                    <wps:wsp>
                      <wps:cNvSpPr/>
                      <wps:spPr>
                        <a:xfrm rot="2881194" flipH="1">
                          <a:off x="0" y="0"/>
                          <a:ext cx="76200" cy="76200"/>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23.5pt;margin-top:247pt;height:6pt;width:6pt;rotation:-3147032f;z-index:251665408;v-text-anchor:middle;mso-width-relative:page;mso-height-relative:page;" filled="f" stroked="t" coordsize="21600,21600" o:gfxdata="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i7Vg1wAAAAsBAAAPAAAAAAAAAAEAIAAAACIAAABkcnMv&#10;ZG93bnJldi54bWxQSwECFAAUAAAACACHTuJAmwMd53YCAADjBAAADgAAAAAAAAABACAAAAAmAQAA&#10;ZHJzL2Uyb0RvYy54bWxQSwUGAAAAAAYABgBZAQAADgYAAAAA&#10;">
                <v:fill on="f" focussize="0,0"/>
                <v:stroke weight="0.5pt" color="#FF0000 [3204]" miterlimit="8" joinstyle="miter"/>
                <v:imagedata o:title=""/>
                <o:lock v:ext="edit" aspectratio="f"/>
              </v:rect>
            </w:pict>
          </mc:Fallback>
        </mc:AlternateContent>
      </w:r>
      <w:r>
        <w:rPr>
          <w:rFonts w:ascii="Times New Roman" w:hAnsi="Times New Roman" w:cs="Times New Roman"/>
          <w:color w:val="auto"/>
          <w:w w:val="99"/>
          <w:highlight w:val="none"/>
        </w:rPr>
        <mc:AlternateContent>
          <mc:Choice Requires="wps">
            <w:drawing>
              <wp:anchor distT="0" distB="0" distL="114300" distR="114300" simplePos="0" relativeHeight="251666432" behindDoc="0" locked="0" layoutInCell="1" allowOverlap="1">
                <wp:simplePos x="0" y="0"/>
                <wp:positionH relativeFrom="column">
                  <wp:posOffset>1247140</wp:posOffset>
                </wp:positionH>
                <wp:positionV relativeFrom="paragraph">
                  <wp:posOffset>3326130</wp:posOffset>
                </wp:positionV>
                <wp:extent cx="1009015" cy="309245"/>
                <wp:effectExtent l="0" t="38100" r="534035" b="14605"/>
                <wp:wrapNone/>
                <wp:docPr id="504" name="圆角矩形标注 504"/>
                <wp:cNvGraphicFramePr/>
                <a:graphic xmlns:a="http://schemas.openxmlformats.org/drawingml/2006/main">
                  <a:graphicData uri="http://schemas.microsoft.com/office/word/2010/wordprocessingShape">
                    <wps:wsp>
                      <wps:cNvSpPr/>
                      <wps:spPr>
                        <a:xfrm>
                          <a:off x="0" y="0"/>
                          <a:ext cx="1009015" cy="309245"/>
                        </a:xfrm>
                        <a:prstGeom prst="wedgeRoundRectCallout">
                          <a:avLst>
                            <a:gd name="adj1" fmla="val 96068"/>
                            <a:gd name="adj2" fmla="val -540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606D80">
                            <w:pPr>
                              <w:jc w:val="center"/>
                            </w:pPr>
                            <w:r>
                              <w:rPr>
                                <w:rFonts w:hint="eastAsia"/>
                              </w:rPr>
                              <w:t>本项目</w:t>
                            </w:r>
                            <w:r>
                              <w:t>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8.2pt;margin-top:261.9pt;height:24.35pt;width:79.45pt;z-index:251666432;v-text-anchor:middle;mso-width-relative:page;mso-height-relative:page;" fillcolor="#5B9BD5 [3204]" filled="t" stroked="t" coordsize="21600,21600" o:gfxdata="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Q5tArNoAAAALAQAADwAAAAAAAAABACAAAAAiAAAAZHJzL2Rvd25yZXYu&#10;eG1sUEsBAhQAFAAAAAgAh07iQC3g71fdAgAAtwUAAA4AAAAAAAAAAQAgAAAAKQEAAGRycy9lMm9E&#10;b2MueG1sUEsFBgAAAAAGAAYAWQEAAHgGAAAAAA==&#10;" adj="31551,-872,14400">
                <v:fill on="t" focussize="0,0"/>
                <v:stroke weight="1pt" color="#41719C [3204]" miterlimit="8" joinstyle="miter"/>
                <v:imagedata o:title=""/>
                <o:lock v:ext="edit" aspectratio="f"/>
                <v:textbox>
                  <w:txbxContent>
                    <w:p w14:paraId="63606D80">
                      <w:pPr>
                        <w:jc w:val="center"/>
                      </w:pPr>
                      <w:r>
                        <w:rPr>
                          <w:rFonts w:hint="eastAsia"/>
                        </w:rPr>
                        <w:t>本项目</w:t>
                      </w:r>
                      <w:r>
                        <w:t>位置</w:t>
                      </w:r>
                    </w:p>
                  </w:txbxContent>
                </v:textbox>
              </v:shape>
            </w:pict>
          </mc:Fallback>
        </mc:AlternateContent>
      </w:r>
      <w:r>
        <w:rPr>
          <w:rFonts w:ascii="Times New Roman" w:hAnsi="Times New Roman" w:cs="Times New Roman"/>
          <w:color w:val="auto"/>
          <w:w w:val="99"/>
          <w:highlight w:val="none"/>
        </w:rPr>
        <w:drawing>
          <wp:inline distT="0" distB="0" distL="0" distR="0">
            <wp:extent cx="5743575" cy="4019550"/>
            <wp:effectExtent l="0" t="0" r="9525" b="0"/>
            <wp:docPr id="130447746" name="图片 130447746" descr="C:\Users\1\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46" name="图片 130447746" descr="C:\Users\1\AppData\Local\Microsoft\Windows\INetCache\Content.Word\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43575" cy="4019550"/>
                    </a:xfrm>
                    <a:prstGeom prst="rect">
                      <a:avLst/>
                    </a:prstGeom>
                    <a:noFill/>
                    <a:ln>
                      <a:noFill/>
                    </a:ln>
                  </pic:spPr>
                </pic:pic>
              </a:graphicData>
            </a:graphic>
          </wp:inline>
        </w:drawing>
      </w:r>
    </w:p>
    <w:p w14:paraId="5372AF8D">
      <w:pPr>
        <w:jc w:val="center"/>
        <w:rPr>
          <w:rFonts w:ascii="Times New Roman" w:hAnsi="Times New Roman" w:cs="Times New Roman"/>
          <w:b/>
          <w:color w:val="auto"/>
          <w:w w:val="99"/>
          <w:highlight w:val="none"/>
        </w:rPr>
      </w:pPr>
      <w:r>
        <w:rPr>
          <w:rFonts w:ascii="Times New Roman" w:hAnsi="Times New Roman" w:cs="Times New Roman" w:eastAsiaTheme="minorEastAsia"/>
          <w:b/>
          <w:color w:val="auto"/>
          <w:w w:val="99"/>
          <w:highlight w:val="none"/>
        </w:rPr>
        <w:t xml:space="preserve">图1.4-2    </w:t>
      </w:r>
      <w:r>
        <w:rPr>
          <w:rFonts w:ascii="Times New Roman" w:hAnsi="Times New Roman" w:cs="Times New Roman" w:eastAsiaTheme="minorEastAsia"/>
          <w:b/>
          <w:iCs/>
          <w:color w:val="auto"/>
          <w:w w:val="99"/>
          <w:highlight w:val="none"/>
        </w:rPr>
        <w:t>本项目与《黑龙江省生态功能区划》位置关系</w:t>
      </w:r>
      <w:r>
        <w:rPr>
          <w:rFonts w:ascii="Times New Roman" w:hAnsi="Times New Roman" w:cs="Times New Roman" w:eastAsiaTheme="minorEastAsia"/>
          <w:b/>
          <w:color w:val="auto"/>
          <w:w w:val="99"/>
          <w:highlight w:val="none"/>
        </w:rPr>
        <w:t>图</w:t>
      </w:r>
    </w:p>
    <w:bookmarkEnd w:id="90"/>
    <w:bookmarkEnd w:id="91"/>
    <w:p w14:paraId="71C5A43D">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1.4.2.3与国土空间总体规划符合性分析</w:t>
      </w:r>
    </w:p>
    <w:p w14:paraId="27FE9256">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根据《自然资源部办公厅关于依据“三区三线”划定成果报批建设项目用地用海有关事宜的函》（自然资办函〔2022〕2072 号）、</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lang w:val="en-US" w:eastAsia="zh-CN"/>
        </w:rPr>
        <w:t>绥化</w:t>
      </w:r>
      <w:r>
        <w:rPr>
          <w:rFonts w:ascii="Times New Roman" w:hAnsi="Times New Roman" w:eastAsiaTheme="minorEastAsia"/>
          <w:color w:val="auto"/>
          <w:w w:val="99"/>
          <w:highlight w:val="none"/>
        </w:rPr>
        <w:t>市国土空间总体规划（2021-2035年）》</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lang w:val="en-US" w:eastAsia="zh-CN"/>
        </w:rPr>
        <w:t>肇东</w:t>
      </w:r>
      <w:r>
        <w:rPr>
          <w:rFonts w:ascii="Times New Roman" w:hAnsi="Times New Roman" w:eastAsiaTheme="minorEastAsia"/>
          <w:color w:val="auto"/>
          <w:w w:val="99"/>
          <w:highlight w:val="none"/>
        </w:rPr>
        <w:t>市国土空间规划（2021-2035年）》</w:t>
      </w:r>
      <w:r>
        <w:rPr>
          <w:rFonts w:hint="default" w:ascii="Times New Roman" w:hAnsi="Times New Roman" w:eastAsia="宋体" w:cs="Times New Roman"/>
          <w:color w:val="auto"/>
          <w:spacing w:val="0"/>
          <w:w w:val="99"/>
          <w:position w:val="0"/>
          <w:sz w:val="24"/>
          <w:szCs w:val="24"/>
          <w:highlight w:val="none"/>
          <w:lang w:val="en-US" w:eastAsia="zh-CN" w:bidi="ar-SA"/>
        </w:rPr>
        <w:t>，“三区”即城镇空间、农业空间、生态空间，“三线”分别对应划定的城镇开发边界、永久基本农田保护红线、生态保护红线三条控制线。本项目所在区域属于油气资源利用区，不涉及城镇开发边界，根据《</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lang w:val="en-US" w:eastAsia="zh-CN"/>
        </w:rPr>
        <w:t>绥化</w:t>
      </w:r>
      <w:r>
        <w:rPr>
          <w:rFonts w:ascii="Times New Roman" w:hAnsi="Times New Roman" w:eastAsiaTheme="minorEastAsia"/>
          <w:color w:val="auto"/>
          <w:w w:val="99"/>
          <w:highlight w:val="none"/>
        </w:rPr>
        <w:t>市国土空间总体规划（2021-2035年）》</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lang w:val="en-US" w:eastAsia="zh-CN"/>
        </w:rPr>
        <w:t>肇东</w:t>
      </w:r>
      <w:r>
        <w:rPr>
          <w:rFonts w:ascii="Times New Roman" w:hAnsi="Times New Roman" w:eastAsiaTheme="minorEastAsia"/>
          <w:color w:val="auto"/>
          <w:w w:val="99"/>
          <w:highlight w:val="none"/>
        </w:rPr>
        <w:t>市国土空间规划（2021-2035年）》</w:t>
      </w:r>
      <w:r>
        <w:rPr>
          <w:rFonts w:hint="default" w:ascii="Times New Roman" w:hAnsi="Times New Roman" w:eastAsia="宋体" w:cs="Times New Roman"/>
          <w:color w:val="auto"/>
          <w:spacing w:val="0"/>
          <w:w w:val="99"/>
          <w:position w:val="0"/>
          <w:sz w:val="24"/>
          <w:szCs w:val="24"/>
          <w:highlight w:val="none"/>
          <w:lang w:val="en-US" w:eastAsia="zh-CN" w:bidi="ar-SA"/>
        </w:rPr>
        <w:t>，结合《黑龙江省生态环境分区管控动态更新成果（2023年版）》</w:t>
      </w:r>
      <w:r>
        <w:rPr>
          <w:rFonts w:hint="eastAsia" w:ascii="Times New Roman" w:hAnsi="Times New Roman"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cs="Times New Roman"/>
          <w:color w:val="auto"/>
          <w:spacing w:val="0"/>
          <w:w w:val="99"/>
          <w:position w:val="0"/>
          <w:sz w:val="24"/>
          <w:szCs w:val="24"/>
          <w:highlight w:val="none"/>
          <w:lang w:val="en-US" w:eastAsia="zh-CN" w:bidi="ar-SA"/>
        </w:rPr>
        <w:t>绥化</w:t>
      </w:r>
      <w:r>
        <w:rPr>
          <w:rFonts w:hint="default" w:ascii="Times New Roman" w:hAnsi="Times New Roman" w:eastAsia="宋体" w:cs="Times New Roman"/>
          <w:color w:val="auto"/>
          <w:spacing w:val="0"/>
          <w:w w:val="99"/>
          <w:position w:val="0"/>
          <w:sz w:val="24"/>
          <w:szCs w:val="24"/>
          <w:highlight w:val="none"/>
          <w:lang w:val="en-US" w:eastAsia="zh-CN" w:bidi="ar-SA"/>
        </w:rPr>
        <w:t>市生态环境准入清单》（2023年版）、永久基本农田查询平台及黑龙江省生态环境分区管控数据应用平台查询结果，本项目涉及永久基本农田，但不涉及</w:t>
      </w:r>
      <w:r>
        <w:rPr>
          <w:rFonts w:hint="eastAsia" w:ascii="Times New Roman" w:hAnsi="Times New Roman" w:cs="Times New Roman"/>
          <w:color w:val="auto"/>
          <w:spacing w:val="0"/>
          <w:w w:val="99"/>
          <w:position w:val="0"/>
          <w:sz w:val="24"/>
          <w:szCs w:val="24"/>
          <w:highlight w:val="none"/>
          <w:lang w:val="en-US" w:eastAsia="zh-CN" w:bidi="ar-SA"/>
        </w:rPr>
        <w:t>绥化</w:t>
      </w:r>
      <w:r>
        <w:rPr>
          <w:rFonts w:hint="default" w:ascii="Times New Roman" w:hAnsi="Times New Roman" w:eastAsia="宋体" w:cs="Times New Roman"/>
          <w:color w:val="auto"/>
          <w:spacing w:val="0"/>
          <w:w w:val="99"/>
          <w:position w:val="0"/>
          <w:sz w:val="24"/>
          <w:szCs w:val="24"/>
          <w:highlight w:val="none"/>
          <w:lang w:val="en-US" w:eastAsia="zh-CN" w:bidi="ar-SA"/>
        </w:rPr>
        <w:t>市城镇空间和生态保护红线。</w:t>
      </w:r>
      <w:r>
        <w:rPr>
          <w:rFonts w:hint="eastAsia" w:ascii="Times New Roman" w:hAnsi="Times New Roman" w:eastAsia="宋体" w:cs="Times New Roman"/>
          <w:color w:val="auto"/>
          <w:spacing w:val="0"/>
          <w:w w:val="99"/>
          <w:position w:val="0"/>
          <w:sz w:val="24"/>
          <w:szCs w:val="24"/>
          <w:highlight w:val="none"/>
          <w:lang w:val="en-US" w:eastAsia="zh-CN" w:bidi="ar-SA"/>
        </w:rPr>
        <w:t>本项目与永久基本农田位置关系见附图</w:t>
      </w:r>
      <w:r>
        <w:rPr>
          <w:rFonts w:hint="eastAsia" w:ascii="Times New Roman" w:hAnsi="Times New Roman" w:cs="Times New Roman"/>
          <w:color w:val="auto"/>
          <w:spacing w:val="0"/>
          <w:w w:val="99"/>
          <w:position w:val="0"/>
          <w:sz w:val="24"/>
          <w:szCs w:val="24"/>
          <w:highlight w:val="none"/>
          <w:lang w:val="en-US" w:eastAsia="zh-CN" w:bidi="ar-SA"/>
        </w:rPr>
        <w:t>14。</w:t>
      </w:r>
    </w:p>
    <w:p w14:paraId="4FF8EFD9">
      <w:pPr>
        <w:pStyle w:val="153"/>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（1）与《</w:t>
      </w:r>
      <w:r>
        <w:rPr>
          <w:rFonts w:hint="eastAsia" w:ascii="Times New Roman" w:hAnsi="Times New Roman" w:eastAsiaTheme="minorEastAsia"/>
          <w:color w:val="auto"/>
          <w:w w:val="99"/>
          <w:highlight w:val="none"/>
          <w:lang w:val="en-US" w:eastAsia="zh-CN"/>
        </w:rPr>
        <w:t>绥化</w:t>
      </w:r>
      <w:r>
        <w:rPr>
          <w:rFonts w:ascii="Times New Roman" w:hAnsi="Times New Roman" w:eastAsiaTheme="minorEastAsia"/>
          <w:color w:val="auto"/>
          <w:w w:val="99"/>
          <w:highlight w:val="none"/>
        </w:rPr>
        <w:t>市国土空间总体规划（2021-2035年）》符合性分析</w:t>
      </w:r>
    </w:p>
    <w:p w14:paraId="1CC3B0A3">
      <w:pPr>
        <w:pStyle w:val="153"/>
        <w:spacing w:line="440" w:lineRule="exact"/>
        <w:ind w:firstLine="473"/>
        <w:jc w:val="both"/>
        <w:rPr>
          <w:rFonts w:ascii="Times New Roman" w:hAnsi="Times New Roman" w:eastAsiaTheme="minorEastAsia"/>
          <w:iCs/>
          <w:color w:val="auto"/>
          <w:w w:val="99"/>
          <w:highlight w:val="none"/>
        </w:rPr>
      </w:pPr>
      <w:r>
        <w:rPr>
          <w:rFonts w:ascii="Times New Roman" w:hAnsi="Times New Roman" w:cs="Times New Roman" w:eastAsiaTheme="minorEastAsia"/>
          <w:color w:val="auto"/>
          <w:w w:val="99"/>
          <w:sz w:val="24"/>
          <w:szCs w:val="24"/>
          <w:highlight w:val="none"/>
          <w:lang w:val="en-US" w:eastAsia="zh-CN" w:bidi="ar-SA"/>
        </w:rPr>
        <w:t>根据《</w:t>
      </w:r>
      <w:r>
        <w:rPr>
          <w:rFonts w:hint="eastAsia" w:ascii="Times New Roman" w:hAnsi="Times New Roman" w:eastAsiaTheme="minorEastAsia"/>
          <w:color w:val="auto"/>
          <w:w w:val="99"/>
          <w:highlight w:val="none"/>
          <w:lang w:val="en-US" w:eastAsia="zh-CN"/>
        </w:rPr>
        <w:t>绥化</w:t>
      </w:r>
      <w:r>
        <w:rPr>
          <w:rFonts w:ascii="Times New Roman" w:hAnsi="Times New Roman" w:cs="Times New Roman" w:eastAsiaTheme="minorEastAsia"/>
          <w:color w:val="auto"/>
          <w:w w:val="99"/>
          <w:sz w:val="24"/>
          <w:szCs w:val="24"/>
          <w:highlight w:val="none"/>
          <w:lang w:val="en-US" w:eastAsia="zh-CN" w:bidi="ar-SA"/>
        </w:rPr>
        <w:t>市国土空间总体规划（2021-2035年）》，</w:t>
      </w:r>
      <w:r>
        <w:rPr>
          <w:rFonts w:hint="eastAsia" w:ascii="Times New Roman" w:hAnsi="Times New Roman" w:cs="Times New Roman" w:eastAsiaTheme="minorEastAsia"/>
          <w:color w:val="auto"/>
          <w:w w:val="99"/>
          <w:sz w:val="24"/>
          <w:szCs w:val="24"/>
          <w:highlight w:val="none"/>
          <w:lang w:val="en-US" w:eastAsia="zh-CN" w:bidi="ar-SA"/>
        </w:rPr>
        <w:t>矿产能源发展区是适应国家能源安全与矿业发展的重要区域，包括重要陆域采矿区、战略性矿产储量区等区域。绥化市矿产能源发展区集中分布在绥棱、安达、庆安等县市，其他县市有零星分布。矿产能源发展区允许矿产资源的勘探、开采、初加工以及相关的配套设施建设，禁止大规模的城镇建设，“推进耕地“三位一体”保护，严守耕地红线，坚守“数量+质量+生态”并重，加强黑土地保护利用，优化耕地生态功能，耕地后备资源开发和战略储备，农业空间可持续利用”</w:t>
      </w:r>
      <w:r>
        <w:rPr>
          <w:rFonts w:ascii="Times New Roman" w:hAnsi="Times New Roman" w:eastAsiaTheme="minorEastAsia"/>
          <w:color w:val="auto"/>
          <w:w w:val="99"/>
          <w:highlight w:val="none"/>
        </w:rPr>
        <w:t>本项目为陆地</w:t>
      </w:r>
      <w:r>
        <w:rPr>
          <w:rFonts w:hint="eastAsia" w:ascii="Times New Roman" w:hAnsi="Times New Roman" w:eastAsiaTheme="minorEastAsia"/>
          <w:color w:val="auto"/>
          <w:w w:val="99"/>
          <w:highlight w:val="none"/>
          <w:lang w:val="en-US" w:eastAsia="zh-CN"/>
        </w:rPr>
        <w:t>天然气</w:t>
      </w:r>
      <w:r>
        <w:rPr>
          <w:rFonts w:ascii="Times New Roman" w:hAnsi="Times New Roman" w:eastAsiaTheme="minorEastAsia"/>
          <w:color w:val="auto"/>
          <w:w w:val="99"/>
          <w:highlight w:val="none"/>
        </w:rPr>
        <w:t>开采项目，建设占用</w:t>
      </w:r>
      <w:r>
        <w:rPr>
          <w:rFonts w:hint="eastAsia" w:ascii="Times New Roman" w:hAnsi="Times New Roman" w:eastAsiaTheme="minorEastAsia"/>
          <w:color w:val="auto"/>
          <w:w w:val="99"/>
          <w:highlight w:val="none"/>
          <w:lang w:val="en-US" w:eastAsia="zh-CN"/>
        </w:rPr>
        <w:t>永久基本农田</w:t>
      </w:r>
      <w:r>
        <w:rPr>
          <w:rFonts w:ascii="Times New Roman" w:hAnsi="Times New Roman" w:eastAsiaTheme="minorEastAsia"/>
          <w:color w:val="auto"/>
          <w:w w:val="99"/>
          <w:highlight w:val="none"/>
        </w:rPr>
        <w:t>，</w:t>
      </w:r>
      <w:r>
        <w:rPr>
          <w:rFonts w:ascii="Times New Roman" w:hAnsi="Times New Roman" w:eastAsiaTheme="minorEastAsia"/>
          <w:iCs/>
          <w:color w:val="auto"/>
          <w:w w:val="99"/>
          <w:highlight w:val="none"/>
        </w:rPr>
        <w:t>针对永久占地按当地相关规定缴纳土地补偿费，专款用于占地补偿，针对临时占地在将剥离的表土在施工结束后分层回填，确保恢复等质等量面积的草地。</w:t>
      </w:r>
    </w:p>
    <w:p w14:paraId="07B0877B">
      <w:pPr>
        <w:pStyle w:val="153"/>
        <w:spacing w:line="440" w:lineRule="exact"/>
        <w:ind w:firstLine="473"/>
        <w:jc w:val="both"/>
        <w:rPr>
          <w:rFonts w:ascii="Times New Roman" w:hAnsi="Times New Roman" w:eastAsiaTheme="minorEastAsia"/>
          <w:color w:val="auto"/>
          <w:w w:val="99"/>
          <w:highlight w:val="none"/>
        </w:rPr>
      </w:pPr>
      <w:r>
        <w:rPr>
          <w:rFonts w:hint="eastAsia" w:ascii="Times New Roman" w:hAnsi="Times New Roman" w:cs="Times New Roman" w:eastAsiaTheme="minorEastAsia"/>
          <w:color w:val="auto"/>
          <w:w w:val="99"/>
          <w:sz w:val="24"/>
          <w:szCs w:val="24"/>
          <w:highlight w:val="none"/>
          <w:lang w:val="en-US" w:eastAsia="zh-CN" w:bidi="ar-SA"/>
        </w:rPr>
        <w:t>本项目属于矿产资源的勘探、开采建设，</w:t>
      </w:r>
      <w:r>
        <w:rPr>
          <w:rFonts w:ascii="Times New Roman" w:hAnsi="Times New Roman" w:eastAsiaTheme="minorEastAsia"/>
          <w:iCs/>
          <w:color w:val="auto"/>
          <w:w w:val="99"/>
          <w:highlight w:val="none"/>
        </w:rPr>
        <w:t>再采取以上措施的前提下，本项目满足《</w:t>
      </w:r>
      <w:r>
        <w:rPr>
          <w:rFonts w:hint="eastAsia" w:ascii="Times New Roman" w:hAnsi="Times New Roman" w:eastAsiaTheme="minorEastAsia"/>
          <w:color w:val="auto"/>
          <w:w w:val="99"/>
          <w:highlight w:val="none"/>
          <w:lang w:val="en-US" w:eastAsia="zh-CN"/>
        </w:rPr>
        <w:t>绥化</w:t>
      </w:r>
      <w:r>
        <w:rPr>
          <w:rFonts w:ascii="Times New Roman" w:hAnsi="Times New Roman" w:eastAsiaTheme="minorEastAsia"/>
          <w:iCs/>
          <w:color w:val="auto"/>
          <w:w w:val="99"/>
          <w:highlight w:val="none"/>
        </w:rPr>
        <w:t>市国土空间总体规划（2021-2035年）》中的要求。</w:t>
      </w:r>
    </w:p>
    <w:p w14:paraId="2C624CE1">
      <w:pPr>
        <w:pStyle w:val="153"/>
        <w:keepNext w:val="0"/>
        <w:keepLines w:val="0"/>
        <w:pageBreakBefore w:val="0"/>
        <w:widowControl/>
        <w:numPr>
          <w:ilvl w:val="0"/>
          <w:numId w:val="0"/>
        </w:numPr>
        <w:kinsoku/>
        <w:wordWrap/>
        <w:overflowPunct/>
        <w:topLinePunct w:val="0"/>
        <w:autoSpaceDE/>
        <w:autoSpaceDN/>
        <w:bidi w:val="0"/>
        <w:adjustRightInd/>
        <w:snapToGrid/>
        <w:spacing w:line="440" w:lineRule="exact"/>
        <w:ind w:leftChars="200"/>
        <w:jc w:val="both"/>
        <w:textAlignment w:val="auto"/>
        <w:rPr>
          <w:rFonts w:ascii="Times New Roman" w:hAnsi="Times New Roman" w:eastAsiaTheme="minorEastAsia"/>
          <w:color w:val="auto"/>
          <w:w w:val="99"/>
          <w:highlight w:val="none"/>
        </w:rPr>
      </w:pPr>
      <w:r>
        <w:rPr>
          <w:rFonts w:hint="eastAsia" w:ascii="Times New Roman" w:hAnsi="Times New Roman" w:eastAsiaTheme="minorEastAsia"/>
          <w:color w:val="auto"/>
          <w:w w:val="99"/>
          <w:highlight w:val="none"/>
          <w:lang w:eastAsia="zh-CN"/>
        </w:rPr>
        <w:t>（</w:t>
      </w:r>
      <w:r>
        <w:rPr>
          <w:rFonts w:hint="eastAsia" w:ascii="Times New Roman" w:hAnsi="Times New Roman" w:eastAsiaTheme="minorEastAsia"/>
          <w:color w:val="auto"/>
          <w:w w:val="99"/>
          <w:highlight w:val="none"/>
          <w:lang w:val="en-US" w:eastAsia="zh-CN"/>
        </w:rPr>
        <w:t>2</w:t>
      </w:r>
      <w:r>
        <w:rPr>
          <w:rFonts w:hint="eastAsia" w:ascii="Times New Roman" w:hAnsi="Times New Roman" w:eastAsiaTheme="minorEastAsia"/>
          <w:color w:val="auto"/>
          <w:w w:val="99"/>
          <w:highlight w:val="none"/>
          <w:lang w:eastAsia="zh-CN"/>
        </w:rPr>
        <w:t>）</w:t>
      </w:r>
      <w:r>
        <w:rPr>
          <w:rFonts w:ascii="Times New Roman" w:hAnsi="Times New Roman" w:eastAsiaTheme="minorEastAsia"/>
          <w:color w:val="auto"/>
          <w:w w:val="99"/>
          <w:highlight w:val="none"/>
        </w:rPr>
        <w:t>与《</w:t>
      </w:r>
      <w:r>
        <w:rPr>
          <w:rFonts w:hint="eastAsia" w:ascii="Times New Roman" w:hAnsi="Times New Roman" w:eastAsiaTheme="minorEastAsia"/>
          <w:color w:val="auto"/>
          <w:w w:val="99"/>
          <w:highlight w:val="none"/>
          <w:lang w:val="en-US" w:eastAsia="zh-CN"/>
        </w:rPr>
        <w:t>肇东</w:t>
      </w:r>
      <w:r>
        <w:rPr>
          <w:rFonts w:ascii="Times New Roman" w:hAnsi="Times New Roman" w:eastAsiaTheme="minorEastAsia"/>
          <w:color w:val="auto"/>
          <w:w w:val="99"/>
          <w:highlight w:val="none"/>
        </w:rPr>
        <w:t>市国土空间规划（2021-2035年）》符合性分析</w:t>
      </w:r>
    </w:p>
    <w:p w14:paraId="6A77A3C0">
      <w:pPr>
        <w:pStyle w:val="2"/>
        <w:keepNext w:val="0"/>
        <w:keepLines w:val="0"/>
        <w:pageBreakBefore w:val="0"/>
        <w:kinsoku w:val="0"/>
        <w:wordWrap/>
        <w:overflowPunct/>
        <w:topLinePunct w:val="0"/>
        <w:autoSpaceDE w:val="0"/>
        <w:autoSpaceDN w:val="0"/>
        <w:bidi w:val="0"/>
        <w:adjustRightInd w:val="0"/>
        <w:snapToGrid w:val="0"/>
        <w:spacing w:line="440" w:lineRule="exact"/>
        <w:ind w:left="0" w:right="0" w:firstLine="482"/>
        <w:jc w:val="both"/>
        <w:textAlignment w:val="baseline"/>
        <w:rPr>
          <w:rFonts w:ascii="Times New Roman" w:hAnsi="Times New Roman" w:eastAsiaTheme="minorEastAsia"/>
          <w:iCs/>
          <w:color w:val="auto"/>
          <w:w w:val="99"/>
          <w:highlight w:val="none"/>
        </w:rPr>
      </w:pPr>
      <w:r>
        <w:rPr>
          <w:rFonts w:ascii="Times New Roman" w:hAnsi="Times New Roman" w:cs="Times New Roman" w:eastAsiaTheme="minorEastAsia"/>
          <w:color w:val="auto"/>
          <w:w w:val="99"/>
          <w:sz w:val="24"/>
          <w:szCs w:val="24"/>
          <w:highlight w:val="none"/>
          <w:lang w:val="en-US" w:eastAsia="zh-CN" w:bidi="ar-SA"/>
        </w:rPr>
        <w:t>根据《</w:t>
      </w:r>
      <w:r>
        <w:rPr>
          <w:rFonts w:hint="eastAsia" w:ascii="Times New Roman" w:hAnsi="Times New Roman" w:eastAsiaTheme="minorEastAsia"/>
          <w:color w:val="auto"/>
          <w:w w:val="99"/>
          <w:highlight w:val="none"/>
          <w:lang w:val="en-US" w:eastAsia="zh-CN"/>
        </w:rPr>
        <w:t>肇东</w:t>
      </w:r>
      <w:r>
        <w:rPr>
          <w:rFonts w:ascii="Times New Roman" w:hAnsi="Times New Roman" w:cs="Times New Roman" w:eastAsiaTheme="minorEastAsia"/>
          <w:color w:val="auto"/>
          <w:w w:val="99"/>
          <w:sz w:val="24"/>
          <w:szCs w:val="24"/>
          <w:highlight w:val="none"/>
          <w:lang w:val="en-US" w:eastAsia="zh-CN" w:bidi="ar-SA"/>
        </w:rPr>
        <w:t>市国土空间总体规划（2021-2035年）》，</w:t>
      </w:r>
      <w:r>
        <w:rPr>
          <w:rFonts w:hint="eastAsia" w:ascii="Times New Roman" w:hAnsi="Times New Roman" w:cs="Times New Roman" w:eastAsiaTheme="minorEastAsia"/>
          <w:color w:val="auto"/>
          <w:w w:val="99"/>
          <w:sz w:val="24"/>
          <w:szCs w:val="24"/>
          <w:highlight w:val="none"/>
          <w:lang w:val="en-US" w:eastAsia="zh-CN" w:bidi="ar-SA"/>
        </w:rPr>
        <w:t>“严格落实耕地藏粮于地、藏粮于技”战略，坚决守住耕地红线，做到耕地数量不减少、耕地质量有所提升。强化耕地保有量责任考核，进一步完善乡镇政府耕地保有量责任考核评价体系，夯实耕地保护主体责任。划定永久基本农田储备区不小于400公顷，达到优质耕地集中连片的目的，保障国家粮食安全。”</w:t>
      </w:r>
      <w:r>
        <w:rPr>
          <w:rFonts w:ascii="Times New Roman" w:hAnsi="Times New Roman" w:eastAsiaTheme="minorEastAsia"/>
          <w:color w:val="auto"/>
          <w:w w:val="99"/>
          <w:highlight w:val="none"/>
        </w:rPr>
        <w:t>本项目为陆地</w:t>
      </w:r>
      <w:r>
        <w:rPr>
          <w:rFonts w:hint="eastAsia" w:ascii="Times New Roman" w:hAnsi="Times New Roman" w:eastAsiaTheme="minorEastAsia"/>
          <w:color w:val="auto"/>
          <w:w w:val="99"/>
          <w:highlight w:val="none"/>
          <w:lang w:val="en-US" w:eastAsia="zh-CN"/>
        </w:rPr>
        <w:t>天然气</w:t>
      </w:r>
      <w:r>
        <w:rPr>
          <w:rFonts w:ascii="Times New Roman" w:hAnsi="Times New Roman" w:eastAsiaTheme="minorEastAsia"/>
          <w:color w:val="auto"/>
          <w:w w:val="99"/>
          <w:highlight w:val="none"/>
        </w:rPr>
        <w:t>开采项目，</w:t>
      </w:r>
      <w:r>
        <w:rPr>
          <w:rFonts w:hint="eastAsia" w:ascii="Times New Roman" w:hAnsi="Times New Roman" w:eastAsia="宋体" w:cs="Times New Roman"/>
          <w:color w:val="auto"/>
          <w:w w:val="99"/>
          <w:kern w:val="2"/>
          <w:sz w:val="24"/>
          <w:szCs w:val="24"/>
          <w:highlight w:val="none"/>
          <w:lang w:val="en-US" w:eastAsia="zh-CN" w:bidi="ar-SA"/>
        </w:rPr>
        <w:t>工程无法避让基本农田，因此应按有关土地管理办法的要求，逐级上报土地管理部门批准，对于永久占地，应纳入省土地利用规划，按有关土地管理部门要求认真执行。对占用的耕地，按照“占多少，垦多少”的原则，由建设单位负责开垦与所占用耕地的数量和质量相当的耕地；如果没有条件开垦，应当按照省的规定缴纳耕地开垦费，专款用于开垦新的耕地，基本农田的耕地恢复由当地政府负责开垦相应数量的耕地，进行耕地保护。</w:t>
      </w:r>
      <w:r>
        <w:rPr>
          <w:rFonts w:ascii="Times New Roman" w:hAnsi="Times New Roman" w:eastAsiaTheme="minorEastAsia"/>
          <w:iCs/>
          <w:color w:val="auto"/>
          <w:w w:val="99"/>
          <w:highlight w:val="none"/>
        </w:rPr>
        <w:t>本项目满足《</w:t>
      </w:r>
      <w:r>
        <w:rPr>
          <w:rFonts w:hint="eastAsia" w:ascii="Times New Roman" w:hAnsi="Times New Roman" w:eastAsiaTheme="minorEastAsia"/>
          <w:color w:val="auto"/>
          <w:w w:val="99"/>
          <w:highlight w:val="none"/>
          <w:lang w:val="en-US" w:eastAsia="zh-CN"/>
        </w:rPr>
        <w:t>肇东</w:t>
      </w:r>
      <w:r>
        <w:rPr>
          <w:rFonts w:ascii="Times New Roman" w:hAnsi="Times New Roman" w:eastAsiaTheme="minorEastAsia"/>
          <w:iCs/>
          <w:color w:val="auto"/>
          <w:w w:val="99"/>
          <w:highlight w:val="none"/>
        </w:rPr>
        <w:t>市国土空间总体规划（2021-2035年）》中的要求。</w:t>
      </w:r>
    </w:p>
    <w:p w14:paraId="7844AD14">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outlineLvl w:val="9"/>
        <w:rPr>
          <w:rFonts w:hint="default" w:ascii="Times New Roman" w:hAnsi="Times New Roman" w:eastAsiaTheme="minorEastAsia"/>
          <w:b/>
          <w:color w:val="auto"/>
          <w:w w:val="99"/>
          <w:highlight w:val="none"/>
          <w:lang w:val="en-US" w:eastAsia="zh-CN"/>
        </w:rPr>
      </w:pPr>
      <w:r>
        <w:rPr>
          <w:rFonts w:hint="eastAsia" w:ascii="Times New Roman" w:hAnsi="Times New Roman" w:eastAsiaTheme="minorEastAsia"/>
          <w:iCs/>
          <w:color w:val="auto"/>
          <w:w w:val="99"/>
          <w:highlight w:val="none"/>
          <w:lang w:eastAsia="zh-CN"/>
        </w:rPr>
        <w:t>（</w:t>
      </w:r>
      <w:r>
        <w:rPr>
          <w:rFonts w:hint="eastAsia" w:ascii="Times New Roman" w:hAnsi="Times New Roman" w:eastAsiaTheme="minorEastAsia"/>
          <w:iCs/>
          <w:color w:val="auto"/>
          <w:w w:val="99"/>
          <w:highlight w:val="none"/>
          <w:lang w:val="en-US" w:eastAsia="zh-CN"/>
        </w:rPr>
        <w:t>3</w:t>
      </w:r>
      <w:r>
        <w:rPr>
          <w:rFonts w:hint="eastAsia" w:ascii="Times New Roman" w:hAnsi="Times New Roman" w:eastAsiaTheme="minorEastAsia"/>
          <w:iCs/>
          <w:color w:val="auto"/>
          <w:w w:val="99"/>
          <w:highlight w:val="none"/>
          <w:lang w:eastAsia="zh-CN"/>
        </w:rPr>
        <w:t>）</w:t>
      </w:r>
      <w:r>
        <w:rPr>
          <w:rFonts w:ascii="Times New Roman" w:hAnsi="Times New Roman" w:eastAsiaTheme="minorEastAsia"/>
          <w:b/>
          <w:color w:val="auto"/>
          <w:w w:val="99"/>
          <w:highlight w:val="none"/>
        </w:rPr>
        <w:t>1.4.4.1</w:t>
      </w:r>
      <w:r>
        <w:rPr>
          <w:rFonts w:hint="eastAsia" w:ascii="Times New Roman" w:hAnsi="Times New Roman" w:eastAsiaTheme="minorEastAsia"/>
          <w:b/>
          <w:color w:val="auto"/>
          <w:w w:val="99"/>
          <w:highlight w:val="none"/>
          <w:lang w:eastAsia="zh-CN"/>
        </w:rPr>
        <w:t>“三区三线”</w:t>
      </w:r>
      <w:r>
        <w:rPr>
          <w:rFonts w:hint="eastAsia" w:ascii="Times New Roman" w:hAnsi="Times New Roman" w:eastAsiaTheme="minorEastAsia"/>
          <w:b/>
          <w:color w:val="auto"/>
          <w:w w:val="99"/>
          <w:highlight w:val="none"/>
          <w:lang w:val="en-US" w:eastAsia="zh-CN"/>
        </w:rPr>
        <w:t>分析</w:t>
      </w:r>
    </w:p>
    <w:p w14:paraId="62C2C8C5">
      <w:pPr>
        <w:pStyle w:val="153"/>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eastAsia" w:ascii="Times New Roman" w:hAnsi="Times New Roman" w:eastAsiaTheme="minorEastAsia"/>
          <w:b w:val="0"/>
          <w:bCs/>
          <w:color w:val="auto"/>
          <w:w w:val="99"/>
          <w:highlight w:val="none"/>
          <w:lang w:eastAsia="zh-CN"/>
        </w:rPr>
      </w:pPr>
      <w:r>
        <w:rPr>
          <w:rFonts w:hint="eastAsia" w:ascii="Times New Roman" w:hAnsi="Times New Roman" w:eastAsiaTheme="minorEastAsia"/>
          <w:b w:val="0"/>
          <w:bCs/>
          <w:color w:val="auto"/>
          <w:w w:val="99"/>
          <w:highlight w:val="none"/>
          <w:lang w:eastAsia="zh-CN"/>
        </w:rPr>
        <w:t>根据《自然资源部办公厅辽宁等省启用“三区三线”划定成果作为报批建设项目用地用海依据的涵》，本项目位于黑龙江省</w:t>
      </w:r>
      <w:r>
        <w:rPr>
          <w:rFonts w:hint="eastAsia" w:ascii="Times New Roman" w:hAnsi="Times New Roman" w:eastAsiaTheme="minorEastAsia"/>
          <w:b w:val="0"/>
          <w:bCs/>
          <w:color w:val="auto"/>
          <w:w w:val="99"/>
          <w:highlight w:val="none"/>
          <w:lang w:val="en-US" w:eastAsia="zh-CN"/>
        </w:rPr>
        <w:t>绥化</w:t>
      </w:r>
      <w:r>
        <w:rPr>
          <w:rFonts w:hint="eastAsia" w:ascii="Times New Roman" w:hAnsi="Times New Roman" w:eastAsiaTheme="minorEastAsia"/>
          <w:b w:val="0"/>
          <w:bCs/>
          <w:color w:val="auto"/>
          <w:w w:val="99"/>
          <w:highlight w:val="none"/>
          <w:lang w:eastAsia="zh-CN"/>
        </w:rPr>
        <w:t>市，属于“三区三线”划定启用的区域，其中的“三区”分别为城镇空间、农业空间、生态空间三种类型的国土空间；“三线”分别为城镇开发边界、永久基本农田、生态保护红线三条控制线。</w:t>
      </w:r>
    </w:p>
    <w:p w14:paraId="08495695">
      <w:pPr>
        <w:pStyle w:val="153"/>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eastAsia" w:ascii="Times New Roman" w:hAnsi="Times New Roman" w:eastAsiaTheme="minorEastAsia"/>
          <w:b w:val="0"/>
          <w:bCs/>
          <w:color w:val="auto"/>
          <w:w w:val="99"/>
          <w:highlight w:val="none"/>
          <w:lang w:val="en-US" w:eastAsia="zh-CN"/>
        </w:rPr>
      </w:pPr>
      <w:r>
        <w:rPr>
          <w:rFonts w:hint="eastAsia" w:ascii="Times New Roman" w:hAnsi="Times New Roman" w:eastAsiaTheme="minorEastAsia"/>
          <w:b w:val="0"/>
          <w:bCs/>
          <w:color w:val="auto"/>
          <w:w w:val="99"/>
          <w:highlight w:val="none"/>
          <w:lang w:val="en-US" w:eastAsia="zh-CN"/>
        </w:rPr>
        <w:t>①永久基本农田；根据永久基本农田查询平台查询结果，本项目拟建徐深27-H1井位于永久基本农田（地块编号</w:t>
      </w:r>
      <w:r>
        <w:rPr>
          <w:rFonts w:hint="eastAsia" w:ascii="Times New Roman" w:hAnsi="Times New Roman" w:eastAsia="宋体" w:cs="Times New Roman"/>
          <w:bCs/>
          <w:iCs/>
          <w:color w:val="auto"/>
          <w:sz w:val="24"/>
          <w:szCs w:val="24"/>
          <w:highlight w:val="none"/>
          <w:lang w:val="en-US" w:eastAsia="zh-CN" w:bidi="en-US"/>
        </w:rPr>
        <w:t>231282211000005080</w:t>
      </w:r>
      <w:r>
        <w:rPr>
          <w:rFonts w:hint="eastAsia" w:ascii="Times New Roman" w:hAnsi="Times New Roman" w:eastAsiaTheme="minorEastAsia"/>
          <w:b w:val="0"/>
          <w:bCs/>
          <w:color w:val="auto"/>
          <w:w w:val="99"/>
          <w:highlight w:val="none"/>
          <w:lang w:val="en-US" w:eastAsia="zh-CN"/>
        </w:rPr>
        <w:t>）。</w:t>
      </w:r>
    </w:p>
    <w:p w14:paraId="4078C93C">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Theme="minorEastAsia"/>
          <w:b w:val="0"/>
          <w:bCs/>
          <w:color w:val="auto"/>
          <w:w w:val="99"/>
          <w:highlight w:val="none"/>
          <w:lang w:val="en-US" w:eastAsia="zh-CN"/>
        </w:rPr>
      </w:pPr>
      <w:r>
        <w:rPr>
          <w:color w:val="auto"/>
          <w:highlight w:val="none"/>
        </w:rPr>
        <w:drawing>
          <wp:inline distT="0" distB="0" distL="114300" distR="114300">
            <wp:extent cx="5329555" cy="3195955"/>
            <wp:effectExtent l="0" t="0" r="444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329555" cy="3195955"/>
                    </a:xfrm>
                    <a:prstGeom prst="rect">
                      <a:avLst/>
                    </a:prstGeom>
                    <a:noFill/>
                    <a:ln>
                      <a:noFill/>
                    </a:ln>
                  </pic:spPr>
                </pic:pic>
              </a:graphicData>
            </a:graphic>
          </wp:inline>
        </w:drawing>
      </w:r>
    </w:p>
    <w:p w14:paraId="7BE90748">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Times New Roman" w:hAnsi="Times New Roman" w:cs="Times New Roman" w:eastAsiaTheme="minorEastAsia"/>
          <w:b/>
          <w:iCs/>
          <w:color w:val="auto"/>
          <w:w w:val="99"/>
          <w:highlight w:val="none"/>
          <w:lang w:eastAsia="zh-CN"/>
        </w:rPr>
      </w:pPr>
      <w:r>
        <w:rPr>
          <w:rFonts w:hint="eastAsia" w:ascii="Times New Roman" w:hAnsi="Times New Roman" w:cs="Times New Roman" w:eastAsiaTheme="minorEastAsia"/>
          <w:b/>
          <w:iCs/>
          <w:color w:val="auto"/>
          <w:w w:val="99"/>
          <w:highlight w:val="none"/>
          <w:lang w:val="en-US" w:eastAsia="zh-CN"/>
        </w:rPr>
        <w:t>图1.4-3  本项</w:t>
      </w:r>
      <w:r>
        <w:rPr>
          <w:rFonts w:ascii="Times New Roman" w:hAnsi="Times New Roman" w:cs="Times New Roman" w:eastAsiaTheme="minorEastAsia"/>
          <w:b/>
          <w:iCs/>
          <w:color w:val="auto"/>
          <w:w w:val="99"/>
          <w:highlight w:val="none"/>
        </w:rPr>
        <w:t>目与</w:t>
      </w:r>
      <w:r>
        <w:rPr>
          <w:rFonts w:hint="eastAsia" w:ascii="Times New Roman" w:hAnsi="Times New Roman" w:cs="Times New Roman" w:eastAsiaTheme="minorEastAsia"/>
          <w:b/>
          <w:iCs/>
          <w:color w:val="auto"/>
          <w:w w:val="99"/>
          <w:highlight w:val="none"/>
          <w:lang w:val="en-US" w:eastAsia="zh-CN"/>
        </w:rPr>
        <w:t>永久基本农田位置</w:t>
      </w:r>
      <w:r>
        <w:rPr>
          <w:rFonts w:ascii="Times New Roman" w:hAnsi="Times New Roman" w:cs="Times New Roman" w:eastAsiaTheme="minorEastAsia"/>
          <w:b/>
          <w:iCs/>
          <w:color w:val="auto"/>
          <w:w w:val="99"/>
          <w:highlight w:val="none"/>
        </w:rPr>
        <w:t>图</w:t>
      </w:r>
    </w:p>
    <w:p w14:paraId="0B676A16">
      <w:pPr>
        <w:pStyle w:val="153"/>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default" w:ascii="Times New Roman" w:hAnsi="Times New Roman" w:cs="Times New Roman" w:eastAsiaTheme="minorEastAsia"/>
          <w:b w:val="0"/>
          <w:bCs/>
          <w:color w:val="auto"/>
          <w:w w:val="99"/>
          <w:highlight w:val="none"/>
          <w:lang w:val="en-US" w:eastAsia="zh-CN"/>
        </w:rPr>
      </w:pPr>
      <w:r>
        <w:rPr>
          <w:rFonts w:hint="eastAsia" w:ascii="Times New Roman" w:hAnsi="Times New Roman" w:cs="Times New Roman" w:eastAsiaTheme="minorEastAsia"/>
          <w:b w:val="0"/>
          <w:bCs/>
          <w:color w:val="auto"/>
          <w:w w:val="99"/>
          <w:highlight w:val="none"/>
          <w:lang w:val="en-US" w:eastAsia="zh-CN"/>
        </w:rPr>
        <w:t>②生态保护红线：根据《黑龙江省区域空间生态环境评价报告（绥化市部分）》、以及黑龙江省生态环境分区管控数据应用平台，本项目位于肇东市跃进乡，不涉及生态保护红线。 与本项目拟建井与最近生态保护红线距离为约18km（YS2312821110002肇东市松嫩平原生物多样性维护功能生态保护红线-水源涵养生态功能重要区）。</w:t>
      </w:r>
    </w:p>
    <w:p w14:paraId="184B4595">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color w:val="auto"/>
          <w:highlight w:val="none"/>
        </w:rPr>
      </w:pPr>
      <w:r>
        <w:rPr>
          <w:sz w:val="24"/>
        </w:rPr>
        <mc:AlternateContent>
          <mc:Choice Requires="wps">
            <w:drawing>
              <wp:anchor distT="0" distB="0" distL="114300" distR="114300" simplePos="0" relativeHeight="251674624" behindDoc="0" locked="0" layoutInCell="1" allowOverlap="1">
                <wp:simplePos x="0" y="0"/>
                <wp:positionH relativeFrom="column">
                  <wp:posOffset>2125345</wp:posOffset>
                </wp:positionH>
                <wp:positionV relativeFrom="paragraph">
                  <wp:posOffset>1628775</wp:posOffset>
                </wp:positionV>
                <wp:extent cx="731520" cy="304800"/>
                <wp:effectExtent l="0" t="0" r="0" b="0"/>
                <wp:wrapNone/>
                <wp:docPr id="16" name="文本框 16"/>
                <wp:cNvGraphicFramePr/>
                <a:graphic xmlns:a="http://schemas.openxmlformats.org/drawingml/2006/main">
                  <a:graphicData uri="http://schemas.microsoft.com/office/word/2010/wordprocessingShape">
                    <wps:wsp>
                      <wps:cNvSpPr txBox="1"/>
                      <wps:spPr>
                        <a:xfrm>
                          <a:off x="2920365" y="7753985"/>
                          <a:ext cx="73152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8E44E">
                            <w:pPr>
                              <w:rPr>
                                <w:rFonts w:hint="default" w:eastAsia="宋体"/>
                                <w:b/>
                                <w:bCs/>
                                <w:color w:val="FFC000"/>
                                <w:sz w:val="21"/>
                                <w:szCs w:val="21"/>
                                <w:lang w:val="en-US" w:eastAsia="zh-CN"/>
                              </w:rPr>
                            </w:pPr>
                            <w:r>
                              <w:rPr>
                                <w:rFonts w:hint="eastAsia"/>
                                <w:b/>
                                <w:bCs/>
                                <w:color w:val="FFC000"/>
                                <w:sz w:val="21"/>
                                <w:szCs w:val="21"/>
                                <w:lang w:val="en-US" w:eastAsia="zh-CN"/>
                              </w:rPr>
                              <w:t>18km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35pt;margin-top:128.25pt;height:24pt;width:57.6pt;z-index:251674624;mso-width-relative:page;mso-height-relative:page;" filled="f" stroked="f" coordsize="21600,21600" o:gfxdata="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B0AGLcAAAACwEAAA8AAAAA&#10;AAAAAQAgAAAAIgAAAGRycy9kb3ducmV2LnhtbFBLAQIUABQAAAAIAIdO4kBX6RlySQIAAHMEAAAO&#10;AAAAAAAAAAEAIAAAACsBAABkcnMvZTJvRG9jLnhtbFBLBQYAAAAABgAGAFkBAADmBQAAAAA=&#10;">
                <v:fill on="f" focussize="0,0"/>
                <v:stroke on="f" weight="0.5pt"/>
                <v:imagedata o:title=""/>
                <o:lock v:ext="edit" aspectratio="f"/>
                <v:textbox>
                  <w:txbxContent>
                    <w:p w14:paraId="2A28E44E">
                      <w:pPr>
                        <w:rPr>
                          <w:rFonts w:hint="default" w:eastAsia="宋体"/>
                          <w:b/>
                          <w:bCs/>
                          <w:color w:val="FFC000"/>
                          <w:sz w:val="21"/>
                          <w:szCs w:val="21"/>
                          <w:lang w:val="en-US" w:eastAsia="zh-CN"/>
                        </w:rPr>
                      </w:pPr>
                      <w:r>
                        <w:rPr>
                          <w:rFonts w:hint="eastAsia"/>
                          <w:b/>
                          <w:bCs/>
                          <w:color w:val="FFC000"/>
                          <w:sz w:val="21"/>
                          <w:szCs w:val="21"/>
                          <w:lang w:val="en-US" w:eastAsia="zh-CN"/>
                        </w:rPr>
                        <w:t>18km</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2152015</wp:posOffset>
                </wp:positionH>
                <wp:positionV relativeFrom="paragraph">
                  <wp:posOffset>1297305</wp:posOffset>
                </wp:positionV>
                <wp:extent cx="1170305" cy="1397635"/>
                <wp:effectExtent l="5080" t="3810" r="5715" b="8255"/>
                <wp:wrapNone/>
                <wp:docPr id="15" name="直接箭头连接符 15"/>
                <wp:cNvGraphicFramePr/>
                <a:graphic xmlns:a="http://schemas.openxmlformats.org/drawingml/2006/main">
                  <a:graphicData uri="http://schemas.microsoft.com/office/word/2010/wordprocessingShape">
                    <wps:wsp>
                      <wps:cNvCnPr/>
                      <wps:spPr>
                        <a:xfrm>
                          <a:off x="3052445" y="7353935"/>
                          <a:ext cx="1170305" cy="1397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9.45pt;margin-top:102.15pt;height:110.05pt;width:92.15pt;z-index:251673600;mso-width-relative:page;mso-height-relative:page;" filled="f" stroked="t" coordsize="21600,21600" o:gfxdata="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KH5W7a&#10;AAAACwEAAA8AAAAAAAAAAQAgAAAAIgAAAGRycy9kb3ducmV2LnhtbFBLAQIUABQAAAAIAIdO4kB4&#10;8W+aHgIAAPMDAAAOAAAAAAAAAAEAIAAAACkBAABkcnMvZTJvRG9jLnhtbFBLBQYAAAAABgAGAFkB&#10;AAC5BQAAAAA=&#10;">
                <v:fill on="f" focussize="0,0"/>
                <v:stroke weight="1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2359660</wp:posOffset>
                </wp:positionH>
                <wp:positionV relativeFrom="paragraph">
                  <wp:posOffset>784860</wp:posOffset>
                </wp:positionV>
                <wp:extent cx="716915" cy="269875"/>
                <wp:effectExtent l="212725" t="6350" r="22860" b="180975"/>
                <wp:wrapNone/>
                <wp:docPr id="14" name="矩形标注 14"/>
                <wp:cNvGraphicFramePr/>
                <a:graphic xmlns:a="http://schemas.openxmlformats.org/drawingml/2006/main">
                  <a:graphicData uri="http://schemas.microsoft.com/office/word/2010/wordprocessingShape">
                    <wps:wsp>
                      <wps:cNvSpPr/>
                      <wps:spPr>
                        <a:xfrm>
                          <a:off x="3061970" y="6913245"/>
                          <a:ext cx="716915" cy="269875"/>
                        </a:xfrm>
                        <a:prstGeom prst="wedgeRectCallout">
                          <a:avLst>
                            <a:gd name="adj1" fmla="val -73052"/>
                            <a:gd name="adj2" fmla="val 108461"/>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34BED6C1">
                            <w:pPr>
                              <w:jc w:val="center"/>
                              <w:rPr>
                                <w:rFonts w:hint="eastAsia" w:eastAsia="宋体"/>
                                <w:b/>
                                <w:bCs/>
                                <w:color w:val="FFC000"/>
                                <w:sz w:val="21"/>
                                <w:szCs w:val="21"/>
                                <w:lang w:val="en-US" w:eastAsia="zh-CN"/>
                              </w:rPr>
                            </w:pPr>
                            <w:r>
                              <w:rPr>
                                <w:rFonts w:hint="eastAsia"/>
                                <w:b/>
                                <w:bCs/>
                                <w:color w:val="FFC000"/>
                                <w:sz w:val="21"/>
                                <w:szCs w:val="21"/>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5.8pt;margin-top:61.8pt;height:21.25pt;width:56.45pt;z-index:251672576;v-text-anchor:middle;mso-width-relative:page;mso-height-relative:page;" filled="f" stroked="t" coordsize="21600,21600" o:gfxdata="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3/vBXb&#10;AAAACwEAAA8AAAAAAAAAAQAgAAAAIgAAAGRycy9kb3ducmV2LnhtbFBLAQIUABQAAAAIAIdO4kA9&#10;ECV+yAIAAGoFAAAOAAAAAAAAAAEAIAAAACoBAABkcnMvZTJvRG9jLnhtbFBLBQYAAAAABgAGAFkB&#10;AABkBgAAAAA=&#10;" adj="-4979,34228">
                <v:fill on="f" focussize="0,0"/>
                <v:stroke weight="1pt" color="#2E75B6 [2404]" miterlimit="8" joinstyle="miter"/>
                <v:imagedata o:title=""/>
                <o:lock v:ext="edit" aspectratio="f"/>
                <v:textbox>
                  <w:txbxContent>
                    <w:p w14:paraId="34BED6C1">
                      <w:pPr>
                        <w:jc w:val="center"/>
                        <w:rPr>
                          <w:rFonts w:hint="eastAsia" w:eastAsia="宋体"/>
                          <w:b/>
                          <w:bCs/>
                          <w:color w:val="FFC000"/>
                          <w:sz w:val="21"/>
                          <w:szCs w:val="21"/>
                          <w:lang w:val="en-US" w:eastAsia="zh-CN"/>
                        </w:rPr>
                      </w:pPr>
                      <w:r>
                        <w:rPr>
                          <w:rFonts w:hint="eastAsia"/>
                          <w:b/>
                          <w:bCs/>
                          <w:color w:val="FFC000"/>
                          <w:sz w:val="21"/>
                          <w:szCs w:val="21"/>
                          <w:lang w:val="en-US" w:eastAsia="zh-CN"/>
                        </w:rPr>
                        <w:t>本项目</w:t>
                      </w:r>
                    </w:p>
                  </w:txbxContent>
                </v:textbox>
              </v:shape>
            </w:pict>
          </mc:Fallback>
        </mc:AlternateContent>
      </w:r>
      <w:r>
        <w:drawing>
          <wp:inline distT="0" distB="0" distL="114300" distR="114300">
            <wp:extent cx="5755005" cy="2877185"/>
            <wp:effectExtent l="0" t="0" r="17145" b="1841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0"/>
                    <a:stretch>
                      <a:fillRect/>
                    </a:stretch>
                  </pic:blipFill>
                  <pic:spPr>
                    <a:xfrm>
                      <a:off x="0" y="0"/>
                      <a:ext cx="5755005" cy="2877185"/>
                    </a:xfrm>
                    <a:prstGeom prst="rect">
                      <a:avLst/>
                    </a:prstGeom>
                    <a:noFill/>
                    <a:ln>
                      <a:noFill/>
                    </a:ln>
                  </pic:spPr>
                </pic:pic>
              </a:graphicData>
            </a:graphic>
          </wp:inline>
        </w:drawing>
      </w:r>
    </w:p>
    <w:p w14:paraId="214278A8">
      <w:pPr>
        <w:pStyle w:val="1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cs="Times New Roman" w:eastAsiaTheme="minorEastAsia"/>
          <w:b/>
          <w:iCs/>
          <w:color w:val="auto"/>
          <w:w w:val="99"/>
          <w:highlight w:val="none"/>
          <w:lang w:eastAsia="zh-CN"/>
        </w:rPr>
      </w:pPr>
      <w:r>
        <w:rPr>
          <w:rFonts w:hint="eastAsia" w:ascii="Times New Roman" w:hAnsi="Times New Roman" w:cs="Times New Roman" w:eastAsiaTheme="minorEastAsia"/>
          <w:b/>
          <w:iCs/>
          <w:color w:val="auto"/>
          <w:w w:val="99"/>
          <w:highlight w:val="none"/>
          <w:lang w:val="en-US" w:eastAsia="zh-CN"/>
        </w:rPr>
        <w:t>图1.4-3  本项</w:t>
      </w:r>
      <w:r>
        <w:rPr>
          <w:rFonts w:ascii="Times New Roman" w:hAnsi="Times New Roman" w:cs="Times New Roman" w:eastAsiaTheme="minorEastAsia"/>
          <w:b/>
          <w:iCs/>
          <w:color w:val="auto"/>
          <w:w w:val="99"/>
          <w:highlight w:val="none"/>
        </w:rPr>
        <w:t>目与</w:t>
      </w:r>
      <w:r>
        <w:rPr>
          <w:rFonts w:hint="eastAsia" w:ascii="Times New Roman" w:hAnsi="Times New Roman" w:cs="Times New Roman" w:eastAsiaTheme="minorEastAsia"/>
          <w:b/>
          <w:iCs/>
          <w:color w:val="auto"/>
          <w:w w:val="99"/>
          <w:highlight w:val="none"/>
          <w:lang w:val="en-US" w:eastAsia="zh-CN"/>
        </w:rPr>
        <w:t>生态保护红线位置</w:t>
      </w:r>
      <w:r>
        <w:rPr>
          <w:rFonts w:ascii="Times New Roman" w:hAnsi="Times New Roman" w:cs="Times New Roman" w:eastAsiaTheme="minorEastAsia"/>
          <w:b/>
          <w:iCs/>
          <w:color w:val="auto"/>
          <w:w w:val="99"/>
          <w:highlight w:val="none"/>
        </w:rPr>
        <w:t>图</w:t>
      </w:r>
    </w:p>
    <w:p w14:paraId="0461DF78">
      <w:pPr>
        <w:pStyle w:val="153"/>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eastAsia" w:ascii="Times New Roman" w:hAnsi="Times New Roman" w:cs="Times New Roman" w:eastAsiaTheme="minorEastAsia"/>
          <w:b w:val="0"/>
          <w:bCs/>
          <w:color w:val="auto"/>
          <w:w w:val="99"/>
          <w:highlight w:val="none"/>
          <w:lang w:val="en-US" w:eastAsia="zh-CN"/>
        </w:rPr>
      </w:pPr>
      <w:r>
        <w:rPr>
          <w:rFonts w:hint="eastAsia" w:ascii="Times New Roman" w:hAnsi="Times New Roman" w:cs="Times New Roman" w:eastAsiaTheme="minorEastAsia"/>
          <w:b w:val="0"/>
          <w:bCs/>
          <w:color w:val="auto"/>
          <w:w w:val="99"/>
          <w:highlight w:val="none"/>
          <w:lang w:val="en-US" w:eastAsia="zh-CN"/>
        </w:rPr>
        <w:t>③城镇开发边界：根据《黑龙江省国土空间总体规划（2021-2035年）》、《绥化市国土空间总体规划（2021-2035年）》，本项目不涉及城镇开发边界。</w:t>
      </w:r>
    </w:p>
    <w:p w14:paraId="2049D0F5">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1.4.2.4国民经济和社会发展规划符合性分析</w:t>
      </w:r>
    </w:p>
    <w:p w14:paraId="1FEBA409">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w:t>
      </w:r>
      <w:bookmarkStart w:id="92" w:name="OLE_LINK136"/>
      <w:bookmarkStart w:id="93" w:name="OLE_LINK135"/>
      <w:r>
        <w:rPr>
          <w:rFonts w:hint="default" w:ascii="Times New Roman" w:hAnsi="Times New Roman" w:eastAsia="宋体" w:cs="Times New Roman"/>
          <w:color w:val="auto"/>
          <w:spacing w:val="0"/>
          <w:w w:val="99"/>
          <w:position w:val="0"/>
          <w:sz w:val="24"/>
          <w:szCs w:val="24"/>
          <w:highlight w:val="none"/>
          <w:lang w:val="en-US" w:eastAsia="zh-CN" w:bidi="ar-SA"/>
        </w:rPr>
        <w:t>黑龙江省国民经济和社会发展第十四个五年规划和二〇三五年远景目标纲要</w:t>
      </w:r>
      <w:bookmarkEnd w:id="92"/>
      <w:bookmarkEnd w:id="93"/>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eastAsia="宋体" w:cs="Times New Roman"/>
          <w:color w:val="auto"/>
          <w:spacing w:val="0"/>
          <w:w w:val="99"/>
          <w:position w:val="0"/>
          <w:sz w:val="24"/>
          <w:szCs w:val="24"/>
          <w:highlight w:val="none"/>
          <w:lang w:val="en-US" w:eastAsia="zh-CN" w:bidi="ar-SA"/>
        </w:rPr>
        <w:t>黑政发〔</w:t>
      </w:r>
      <w:r>
        <w:rPr>
          <w:rFonts w:hint="default" w:ascii="Times New Roman" w:hAnsi="Times New Roman" w:eastAsia="宋体" w:cs="Times New Roman"/>
          <w:color w:val="auto"/>
          <w:spacing w:val="0"/>
          <w:w w:val="99"/>
          <w:position w:val="0"/>
          <w:sz w:val="24"/>
          <w:szCs w:val="24"/>
          <w:highlight w:val="none"/>
          <w:lang w:val="en-US" w:eastAsia="zh-CN" w:bidi="ar-SA"/>
        </w:rPr>
        <w:t>2021〕5号）中提出：保障国家能源安全。当好标杆旗帜，建设百年油田，推进大庆油田常规油气资源稳油增气，建立地企共建共享机制，加快大庆页岩油气开发产业化商业化步伐，到2025年油气产量当量达到4500万吨以上，巩固石油大省地位。</w:t>
      </w:r>
    </w:p>
    <w:p w14:paraId="2E00A1F2">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《大庆市国民经济和社会发展第十四个五年规划和二O三五年远景目标纲要》（</w:t>
      </w:r>
      <w:r>
        <w:rPr>
          <w:rFonts w:hint="eastAsia" w:ascii="Times New Roman" w:hAnsi="Times New Roman" w:eastAsia="宋体" w:cs="Times New Roman"/>
          <w:color w:val="auto"/>
          <w:spacing w:val="0"/>
          <w:w w:val="99"/>
          <w:position w:val="0"/>
          <w:sz w:val="24"/>
          <w:szCs w:val="24"/>
          <w:highlight w:val="none"/>
          <w:lang w:val="en-US" w:eastAsia="zh-CN" w:bidi="ar-SA"/>
        </w:rPr>
        <w:t>庆政发〔</w:t>
      </w:r>
      <w:r>
        <w:rPr>
          <w:rFonts w:hint="default" w:ascii="Times New Roman" w:hAnsi="Times New Roman" w:eastAsia="宋体" w:cs="Times New Roman"/>
          <w:color w:val="auto"/>
          <w:spacing w:val="0"/>
          <w:w w:val="99"/>
          <w:position w:val="0"/>
          <w:sz w:val="24"/>
          <w:szCs w:val="24"/>
          <w:highlight w:val="none"/>
          <w:lang w:val="en-US" w:eastAsia="zh-CN" w:bidi="ar-SA"/>
        </w:rPr>
        <w:t>2021〕13号）第三章中提出加快体制机制创新，全力推动百年油田建设。力争到2025年，大庆油田国内外油气产量当量达到4500万吨以上，天然气产量70亿立方米，</w:t>
      </w:r>
    </w:p>
    <w:p w14:paraId="10BA2A87">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w:t>
      </w:r>
      <w:r>
        <w:rPr>
          <w:rFonts w:hint="eastAsia" w:ascii="Times New Roman" w:hAnsi="Times New Roman" w:eastAsia="宋体" w:cs="Times New Roman"/>
          <w:color w:val="auto"/>
          <w:spacing w:val="0"/>
          <w:w w:val="99"/>
          <w:position w:val="0"/>
          <w:sz w:val="24"/>
          <w:szCs w:val="24"/>
          <w:highlight w:val="none"/>
          <w:lang w:val="en-US" w:eastAsia="zh-CN" w:bidi="ar-SA"/>
        </w:rPr>
        <w:t>项目</w:t>
      </w:r>
      <w:r>
        <w:rPr>
          <w:rFonts w:hint="default" w:ascii="Times New Roman" w:hAnsi="Times New Roman" w:eastAsia="宋体" w:cs="Times New Roman"/>
          <w:color w:val="auto"/>
          <w:spacing w:val="0"/>
          <w:w w:val="99"/>
          <w:position w:val="0"/>
          <w:sz w:val="24"/>
          <w:szCs w:val="24"/>
          <w:highlight w:val="none"/>
          <w:lang w:val="en-US" w:eastAsia="zh-CN" w:bidi="ar-SA"/>
        </w:rPr>
        <w:t>为</w:t>
      </w:r>
      <w:r>
        <w:rPr>
          <w:rFonts w:hint="eastAsia" w:ascii="Times New Roman" w:hAnsi="Times New Roman" w:eastAsia="宋体" w:cs="Times New Roman"/>
          <w:color w:val="auto"/>
          <w:spacing w:val="0"/>
          <w:w w:val="99"/>
          <w:position w:val="0"/>
          <w:sz w:val="24"/>
          <w:szCs w:val="24"/>
          <w:highlight w:val="none"/>
          <w:lang w:val="en-US" w:eastAsia="zh-CN" w:bidi="ar-SA"/>
        </w:rPr>
        <w:t>天然气</w:t>
      </w:r>
      <w:r>
        <w:rPr>
          <w:rFonts w:hint="default" w:ascii="Times New Roman" w:hAnsi="Times New Roman" w:eastAsia="宋体" w:cs="Times New Roman"/>
          <w:color w:val="auto"/>
          <w:spacing w:val="0"/>
          <w:w w:val="99"/>
          <w:position w:val="0"/>
          <w:sz w:val="24"/>
          <w:szCs w:val="24"/>
          <w:highlight w:val="none"/>
          <w:lang w:val="en-US" w:eastAsia="zh-CN" w:bidi="ar-SA"/>
        </w:rPr>
        <w:t>开采项目，项目建设有利于保障大庆天然气产量，因此本项目符合《黑龙江省国民经济和社会发展第十四个五年规划和二〇三五年远景目标纲要》（</w:t>
      </w:r>
      <w:r>
        <w:rPr>
          <w:rFonts w:hint="eastAsia" w:ascii="Times New Roman" w:hAnsi="Times New Roman" w:eastAsia="宋体" w:cs="Times New Roman"/>
          <w:color w:val="auto"/>
          <w:spacing w:val="0"/>
          <w:w w:val="99"/>
          <w:position w:val="0"/>
          <w:sz w:val="24"/>
          <w:szCs w:val="24"/>
          <w:highlight w:val="none"/>
          <w:lang w:val="en-US" w:eastAsia="zh-CN" w:bidi="ar-SA"/>
        </w:rPr>
        <w:t>黑政发〔</w:t>
      </w:r>
      <w:r>
        <w:rPr>
          <w:rFonts w:hint="default" w:ascii="Times New Roman" w:hAnsi="Times New Roman" w:eastAsia="宋体" w:cs="Times New Roman"/>
          <w:color w:val="auto"/>
          <w:spacing w:val="0"/>
          <w:w w:val="99"/>
          <w:position w:val="0"/>
          <w:sz w:val="24"/>
          <w:szCs w:val="24"/>
          <w:highlight w:val="none"/>
          <w:lang w:val="en-US" w:eastAsia="zh-CN" w:bidi="ar-SA"/>
        </w:rPr>
        <w:t>2021〕5号）及《</w:t>
      </w:r>
      <w:bookmarkStart w:id="94" w:name="OLE_LINK139"/>
      <w:bookmarkStart w:id="95" w:name="OLE_LINK140"/>
      <w:r>
        <w:rPr>
          <w:rFonts w:hint="default" w:ascii="Times New Roman" w:hAnsi="Times New Roman" w:eastAsia="宋体" w:cs="Times New Roman"/>
          <w:color w:val="auto"/>
          <w:spacing w:val="0"/>
          <w:w w:val="99"/>
          <w:position w:val="0"/>
          <w:sz w:val="24"/>
          <w:szCs w:val="24"/>
          <w:highlight w:val="none"/>
          <w:lang w:val="en-US" w:eastAsia="zh-CN" w:bidi="ar-SA"/>
        </w:rPr>
        <w:t>大庆市国民经济和社会发展第十四个五年规划和二O三五年远景目标纲要</w:t>
      </w:r>
      <w:bookmarkEnd w:id="94"/>
      <w:bookmarkEnd w:id="95"/>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eastAsia="宋体" w:cs="Times New Roman"/>
          <w:color w:val="auto"/>
          <w:spacing w:val="0"/>
          <w:w w:val="99"/>
          <w:position w:val="0"/>
          <w:sz w:val="24"/>
          <w:szCs w:val="24"/>
          <w:highlight w:val="none"/>
          <w:lang w:val="en-US" w:eastAsia="zh-CN" w:bidi="ar-SA"/>
        </w:rPr>
        <w:t>庆政发〔</w:t>
      </w:r>
      <w:r>
        <w:rPr>
          <w:rFonts w:hint="default" w:ascii="Times New Roman" w:hAnsi="Times New Roman" w:eastAsia="宋体" w:cs="Times New Roman"/>
          <w:color w:val="auto"/>
          <w:spacing w:val="0"/>
          <w:w w:val="99"/>
          <w:position w:val="0"/>
          <w:sz w:val="24"/>
          <w:szCs w:val="24"/>
          <w:highlight w:val="none"/>
          <w:lang w:val="en-US" w:eastAsia="zh-CN" w:bidi="ar-SA"/>
        </w:rPr>
        <w:t>2021〕13号）中要求。</w:t>
      </w:r>
    </w:p>
    <w:p w14:paraId="01127386">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1.4.2.</w:t>
      </w:r>
      <w:r>
        <w:rPr>
          <w:rFonts w:hint="eastAsia" w:ascii="Times New Roman" w:hAnsi="Times New Roman" w:eastAsiaTheme="minorEastAsia"/>
          <w:b/>
          <w:color w:val="auto"/>
          <w:w w:val="99"/>
          <w:highlight w:val="none"/>
          <w:lang w:val="en-US" w:eastAsia="zh-CN"/>
        </w:rPr>
        <w:t>5</w:t>
      </w:r>
      <w:r>
        <w:rPr>
          <w:rFonts w:ascii="Times New Roman" w:hAnsi="Times New Roman" w:eastAsiaTheme="minorEastAsia"/>
          <w:b/>
          <w:color w:val="auto"/>
          <w:w w:val="99"/>
          <w:highlight w:val="none"/>
          <w:lang w:bidi="zh-CN"/>
        </w:rPr>
        <w:t>与《</w:t>
      </w:r>
      <w:bookmarkStart w:id="96" w:name="OLE_LINK142"/>
      <w:bookmarkStart w:id="97" w:name="OLE_LINK141"/>
      <w:r>
        <w:rPr>
          <w:rFonts w:ascii="Times New Roman" w:hAnsi="Times New Roman" w:eastAsiaTheme="minorEastAsia"/>
          <w:b/>
          <w:color w:val="auto"/>
          <w:w w:val="99"/>
          <w:highlight w:val="none"/>
          <w:lang w:bidi="zh-CN"/>
        </w:rPr>
        <w:t>黑龙江省“十四五”黑土地保护规划</w:t>
      </w:r>
      <w:bookmarkEnd w:id="96"/>
      <w:bookmarkEnd w:id="97"/>
      <w:r>
        <w:rPr>
          <w:rFonts w:ascii="Times New Roman" w:hAnsi="Times New Roman" w:eastAsiaTheme="minorEastAsia"/>
          <w:b/>
          <w:color w:val="auto"/>
          <w:w w:val="99"/>
          <w:highlight w:val="none"/>
          <w:lang w:bidi="zh-CN"/>
        </w:rPr>
        <w:t>》</w:t>
      </w:r>
      <w:r>
        <w:rPr>
          <w:rFonts w:hint="eastAsia" w:ascii="Times New Roman" w:hAnsi="Times New Roman" w:eastAsiaTheme="minorEastAsia"/>
          <w:b/>
          <w:color w:val="auto"/>
          <w:w w:val="99"/>
          <w:highlight w:val="none"/>
          <w:lang w:bidi="zh-CN"/>
        </w:rPr>
        <w:t>（黑政办规〔</w:t>
      </w:r>
      <w:r>
        <w:rPr>
          <w:rFonts w:ascii="Times New Roman" w:hAnsi="Times New Roman" w:eastAsiaTheme="minorEastAsia"/>
          <w:b/>
          <w:color w:val="auto"/>
          <w:w w:val="99"/>
          <w:highlight w:val="none"/>
          <w:lang w:bidi="zh-CN"/>
        </w:rPr>
        <w:t>2021〕48号</w:t>
      </w:r>
      <w:r>
        <w:rPr>
          <w:rFonts w:hint="eastAsia" w:ascii="Times New Roman" w:hAnsi="Times New Roman" w:eastAsiaTheme="minorEastAsia"/>
          <w:b/>
          <w:color w:val="auto"/>
          <w:w w:val="99"/>
          <w:highlight w:val="none"/>
          <w:lang w:bidi="zh-CN"/>
        </w:rPr>
        <w:t>）</w:t>
      </w:r>
      <w:r>
        <w:rPr>
          <w:rFonts w:ascii="Times New Roman" w:hAnsi="Times New Roman" w:eastAsiaTheme="minorEastAsia"/>
          <w:b/>
          <w:color w:val="auto"/>
          <w:w w:val="99"/>
          <w:highlight w:val="none"/>
          <w:lang w:bidi="zh-CN"/>
        </w:rPr>
        <w:t>符合性分析</w:t>
      </w:r>
    </w:p>
    <w:p w14:paraId="3BE689C3">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本项目与《黑龙江省“十四五”黑土地保护规划》</w:t>
      </w:r>
      <w:r>
        <w:rPr>
          <w:rFonts w:hint="eastAsia" w:ascii="Times New Roman" w:hAnsi="Times New Roman" w:eastAsia="宋体" w:cs="Times New Roman"/>
          <w:color w:val="auto"/>
          <w:spacing w:val="0"/>
          <w:w w:val="99"/>
          <w:position w:val="0"/>
          <w:sz w:val="24"/>
          <w:szCs w:val="24"/>
          <w:highlight w:val="none"/>
          <w:lang w:val="en-US" w:eastAsia="zh-CN" w:bidi="ar-SA"/>
        </w:rPr>
        <w:t>（黑政办规〔</w:t>
      </w:r>
      <w:r>
        <w:rPr>
          <w:rFonts w:hint="default" w:ascii="Times New Roman" w:hAnsi="Times New Roman" w:eastAsia="宋体" w:cs="Times New Roman"/>
          <w:color w:val="auto"/>
          <w:spacing w:val="0"/>
          <w:w w:val="99"/>
          <w:position w:val="0"/>
          <w:sz w:val="24"/>
          <w:szCs w:val="24"/>
          <w:highlight w:val="none"/>
          <w:lang w:val="en-US" w:eastAsia="zh-CN" w:bidi="ar-SA"/>
        </w:rPr>
        <w:t>2021〕48号</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符合性分析见表1.4-</w:t>
      </w:r>
      <w:r>
        <w:rPr>
          <w:rFonts w:hint="eastAsia" w:ascii="Times New Roman" w:hAnsi="Times New Roman" w:cs="Times New Roman"/>
          <w:color w:val="auto"/>
          <w:spacing w:val="0"/>
          <w:w w:val="99"/>
          <w:position w:val="0"/>
          <w:sz w:val="24"/>
          <w:szCs w:val="24"/>
          <w:highlight w:val="none"/>
          <w:lang w:val="en-US" w:eastAsia="zh-CN" w:bidi="ar-SA"/>
        </w:rPr>
        <w:t>1</w:t>
      </w:r>
      <w:r>
        <w:rPr>
          <w:rFonts w:hint="default" w:ascii="Times New Roman" w:hAnsi="Times New Roman" w:eastAsia="宋体" w:cs="Times New Roman"/>
          <w:color w:val="auto"/>
          <w:spacing w:val="0"/>
          <w:w w:val="99"/>
          <w:position w:val="0"/>
          <w:sz w:val="24"/>
          <w:szCs w:val="24"/>
          <w:highlight w:val="none"/>
          <w:lang w:val="en-US" w:eastAsia="zh-CN" w:bidi="ar-SA"/>
        </w:rPr>
        <w:t>。</w:t>
      </w:r>
    </w:p>
    <w:p w14:paraId="163FCC85">
      <w:pPr>
        <w:pStyle w:val="153"/>
        <w:widowControl w:val="0"/>
        <w:spacing w:line="440" w:lineRule="exact"/>
        <w:ind w:firstLine="478"/>
        <w:jc w:val="both"/>
        <w:rPr>
          <w:rFonts w:ascii="Times New Roman" w:hAnsi="Times New Roman" w:eastAsiaTheme="minorEastAsia"/>
          <w:color w:val="auto"/>
          <w:w w:val="99"/>
          <w:highlight w:val="none"/>
        </w:rPr>
      </w:pPr>
      <w:r>
        <w:rPr>
          <w:rFonts w:ascii="Times New Roman" w:hAnsi="Times New Roman"/>
          <w:b/>
          <w:bCs/>
          <w:color w:val="auto"/>
          <w:w w:val="99"/>
          <w:kern w:val="21"/>
          <w:szCs w:val="20"/>
          <w:highlight w:val="none"/>
        </w:rPr>
        <w:t>表1.4-</w:t>
      </w:r>
      <w:r>
        <w:rPr>
          <w:rFonts w:hint="eastAsia" w:ascii="Times New Roman" w:hAnsi="Times New Roman"/>
          <w:b/>
          <w:bCs/>
          <w:color w:val="auto"/>
          <w:w w:val="99"/>
          <w:kern w:val="21"/>
          <w:szCs w:val="20"/>
          <w:highlight w:val="none"/>
          <w:lang w:val="en-US" w:eastAsia="zh-CN"/>
        </w:rPr>
        <w:t>1</w:t>
      </w:r>
      <w:r>
        <w:rPr>
          <w:rFonts w:ascii="Times New Roman" w:hAnsi="Times New Roman"/>
          <w:b/>
          <w:bCs/>
          <w:color w:val="auto"/>
          <w:w w:val="99"/>
          <w:kern w:val="21"/>
          <w:szCs w:val="20"/>
          <w:highlight w:val="none"/>
        </w:rPr>
        <w:t xml:space="preserve">    本项目与《黑龙江省“十四五”黑土地保护规划》</w:t>
      </w:r>
      <w:r>
        <w:rPr>
          <w:rFonts w:hint="eastAsia" w:ascii="Times New Roman" w:hAnsi="Times New Roman"/>
          <w:b/>
          <w:bCs/>
          <w:color w:val="auto"/>
          <w:w w:val="99"/>
          <w:kern w:val="21"/>
          <w:szCs w:val="20"/>
          <w:highlight w:val="none"/>
        </w:rPr>
        <w:t>（黑政办规〔</w:t>
      </w:r>
      <w:r>
        <w:rPr>
          <w:rFonts w:ascii="Times New Roman" w:hAnsi="Times New Roman"/>
          <w:b/>
          <w:bCs/>
          <w:color w:val="auto"/>
          <w:w w:val="99"/>
          <w:kern w:val="21"/>
          <w:szCs w:val="20"/>
          <w:highlight w:val="none"/>
        </w:rPr>
        <w:t>2021〕48号</w:t>
      </w:r>
      <w:r>
        <w:rPr>
          <w:rFonts w:hint="eastAsia" w:ascii="Times New Roman" w:hAnsi="Times New Roman"/>
          <w:b/>
          <w:bCs/>
          <w:color w:val="auto"/>
          <w:w w:val="99"/>
          <w:kern w:val="21"/>
          <w:szCs w:val="20"/>
          <w:highlight w:val="none"/>
        </w:rPr>
        <w:t>）</w:t>
      </w:r>
      <w:r>
        <w:rPr>
          <w:rFonts w:ascii="Times New Roman" w:hAnsi="Times New Roman"/>
          <w:b/>
          <w:bCs/>
          <w:color w:val="auto"/>
          <w:w w:val="99"/>
          <w:kern w:val="21"/>
          <w:szCs w:val="20"/>
          <w:highlight w:val="none"/>
        </w:rPr>
        <w:t>相关要求符合性</w:t>
      </w:r>
    </w:p>
    <w:tbl>
      <w:tblPr>
        <w:tblStyle w:val="8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468"/>
        <w:gridCol w:w="4082"/>
        <w:gridCol w:w="879"/>
      </w:tblGrid>
      <w:tr w14:paraId="71BA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38" w:type="dxa"/>
            <w:vAlign w:val="center"/>
          </w:tcPr>
          <w:p w14:paraId="2895BE9E">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3468" w:type="dxa"/>
            <w:vAlign w:val="center"/>
          </w:tcPr>
          <w:p w14:paraId="13BE8500">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相关要求</w:t>
            </w:r>
          </w:p>
        </w:tc>
        <w:tc>
          <w:tcPr>
            <w:tcW w:w="4082" w:type="dxa"/>
            <w:vAlign w:val="center"/>
          </w:tcPr>
          <w:p w14:paraId="0F00FD10">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符合性分析</w:t>
            </w:r>
          </w:p>
        </w:tc>
        <w:tc>
          <w:tcPr>
            <w:tcW w:w="879" w:type="dxa"/>
            <w:vAlign w:val="center"/>
          </w:tcPr>
          <w:p w14:paraId="33F8FACC">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w:t>
            </w:r>
          </w:p>
        </w:tc>
      </w:tr>
      <w:tr w14:paraId="28A3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dxa"/>
            <w:vAlign w:val="center"/>
          </w:tcPr>
          <w:p w14:paraId="0EBC9DEA">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3468" w:type="dxa"/>
            <w:vAlign w:val="center"/>
          </w:tcPr>
          <w:p w14:paraId="7502C2D7">
            <w:pPr>
              <w:widowControl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严控耕地保护红线。实行最严格的耕地保护制度，划定耕地保护红线和永久基本农田控制线，严格落实耕地占补平衡、易地补充耕地、土地复垦等政策，确保完成规划期内黑土耕地保有量和永久基本农田保护任务。</w:t>
            </w:r>
          </w:p>
        </w:tc>
        <w:tc>
          <w:tcPr>
            <w:tcW w:w="4082" w:type="dxa"/>
            <w:vAlign w:val="center"/>
          </w:tcPr>
          <w:p w14:paraId="05F9B216">
            <w:pPr>
              <w:widowControl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w:t>
            </w:r>
            <w:r>
              <w:rPr>
                <w:rFonts w:hint="eastAsia" w:ascii="Times New Roman" w:hAnsi="Times New Roman" w:cs="Times New Roman"/>
                <w:color w:val="auto"/>
                <w:w w:val="99"/>
                <w:sz w:val="21"/>
                <w:szCs w:val="21"/>
                <w:highlight w:val="none"/>
                <w:lang w:val="en-US" w:eastAsia="zh-CN"/>
              </w:rPr>
              <w:t>天然气</w:t>
            </w:r>
            <w:r>
              <w:rPr>
                <w:rFonts w:ascii="Times New Roman" w:hAnsi="Times New Roman" w:cs="Times New Roman"/>
                <w:color w:val="auto"/>
                <w:w w:val="99"/>
                <w:sz w:val="21"/>
                <w:szCs w:val="21"/>
                <w:highlight w:val="none"/>
              </w:rPr>
              <w:t>开采项目，属于国家能源建设项目，项目部分建设内容位于耕地内，根据地下储层特性，项目选址无法避让耕地。项目在施工前需要征收土地，应报请相关主管部门同意，取得用地审批。本项目尽可能减少占地。本项目建设过程中，对占用的耕地，按照“占多少，垦多少”的原则，由建设单位负责开垦与所占用耕地的数量和质量相当的耕地，如果没有条件开垦时，按照省的规定缴纳耕地开垦费，专款用于开垦新的耕地。</w:t>
            </w:r>
          </w:p>
        </w:tc>
        <w:tc>
          <w:tcPr>
            <w:tcW w:w="879" w:type="dxa"/>
            <w:vAlign w:val="center"/>
          </w:tcPr>
          <w:p w14:paraId="5731B2C2">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r w14:paraId="52C3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dxa"/>
            <w:vAlign w:val="center"/>
          </w:tcPr>
          <w:p w14:paraId="28937E89">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w:t>
            </w:r>
          </w:p>
        </w:tc>
        <w:tc>
          <w:tcPr>
            <w:tcW w:w="3468" w:type="dxa"/>
            <w:vAlign w:val="center"/>
          </w:tcPr>
          <w:p w14:paraId="3D6A2416">
            <w:pPr>
              <w:widowControl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严格国土空间用途管制。划定一般农业区，把优质黑土耕地优先划入一般农业区。制定用途管制规则，实行严格的用途管制，严控非农建设用地规模，尽量少占优质黑土地。强化对占用黑土地的管控约束，使得城镇发展等非农建设尽量避让优质黑土地。</w:t>
            </w:r>
          </w:p>
        </w:tc>
        <w:tc>
          <w:tcPr>
            <w:tcW w:w="4082" w:type="dxa"/>
            <w:vAlign w:val="center"/>
          </w:tcPr>
          <w:p w14:paraId="2BF7436C">
            <w:pPr>
              <w:widowControl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施工过程中，需遵守《大庆油（气）田建设工程用地规范》规定，严格控制施工作业面积，加强施工管理，尽量减少占地面积，并规范行车路线及施工人员行为，严禁随意践踏、碾压施工区范围外的植被及黑土耕地，不准乱挖、乱采野生植物，确保不影响周边黑土耕地。</w:t>
            </w:r>
          </w:p>
        </w:tc>
        <w:tc>
          <w:tcPr>
            <w:tcW w:w="879" w:type="dxa"/>
            <w:vAlign w:val="center"/>
          </w:tcPr>
          <w:p w14:paraId="47E2617F">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r w14:paraId="4F6C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dxa"/>
            <w:vAlign w:val="center"/>
          </w:tcPr>
          <w:p w14:paraId="23E6DEB7">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w:t>
            </w:r>
          </w:p>
        </w:tc>
        <w:tc>
          <w:tcPr>
            <w:tcW w:w="3468" w:type="dxa"/>
            <w:vAlign w:val="center"/>
          </w:tcPr>
          <w:p w14:paraId="6AFAE7D2">
            <w:pPr>
              <w:widowControl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严格土地执法。建设项目占用耕地的，应当按规定进行表土剥离和利用。全面加大黑土耕地保护违法违规问题执法力度，及时发现、严肃查处土地违法特别是乱占耕地、破坏耕地、盗挖黑土等行为。</w:t>
            </w:r>
          </w:p>
        </w:tc>
        <w:tc>
          <w:tcPr>
            <w:tcW w:w="4082" w:type="dxa"/>
            <w:vAlign w:val="center"/>
          </w:tcPr>
          <w:p w14:paraId="369C5F39">
            <w:pPr>
              <w:widowControl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本项目实施前</w:t>
            </w:r>
            <w:r>
              <w:rPr>
                <w:rFonts w:hint="eastAsia" w:ascii="Times New Roman" w:hAnsi="Times New Roman" w:cs="Times New Roman"/>
                <w:color w:val="auto"/>
                <w:w w:val="99"/>
                <w:sz w:val="21"/>
                <w:szCs w:val="21"/>
                <w:highlight w:val="none"/>
                <w:lang w:val="en-US" w:eastAsia="zh-CN"/>
              </w:rPr>
              <w:t>采气分公司应</w:t>
            </w:r>
            <w:r>
              <w:rPr>
                <w:rFonts w:ascii="Times New Roman" w:hAnsi="Times New Roman" w:cs="Times New Roman"/>
                <w:color w:val="auto"/>
                <w:w w:val="99"/>
                <w:sz w:val="21"/>
                <w:szCs w:val="21"/>
                <w:highlight w:val="none"/>
              </w:rPr>
              <w:t>编制建设项目占用耕地耕作层土壤剥离利用方案，统筹安排剥离、储存和再利用。表土剥离和利用严格执行《建设占用耕地耕作层土壤剥离利用技术规范》（DB23/T2913-2021）。本项目施工前应剥离永久占地内的表土，</w:t>
            </w:r>
            <w:r>
              <w:rPr>
                <w:rFonts w:hint="eastAsia" w:ascii="Times New Roman" w:hAnsi="Times New Roman" w:cs="Times New Roman"/>
                <w:color w:val="auto"/>
                <w:w w:val="99"/>
                <w:sz w:val="21"/>
                <w:szCs w:val="21"/>
                <w:highlight w:val="none"/>
              </w:rPr>
              <w:t>耕地剥离厚度</w:t>
            </w:r>
            <w:r>
              <w:rPr>
                <w:rFonts w:ascii="Times New Roman" w:hAnsi="Times New Roman" w:cs="Times New Roman"/>
                <w:color w:val="auto"/>
                <w:w w:val="99"/>
                <w:sz w:val="21"/>
                <w:szCs w:val="21"/>
                <w:highlight w:val="none"/>
              </w:rPr>
              <w:t>0.3m，剥离的表土暂存于施工井场的表土剥离临时堆放区，并采取苫布遮盖，表土剥离临时堆放区周围设置排水沟等措施防止水土流失，并定期采取洒水抑尘措施，施工结束后，剥离表土用于周围区域土地复垦、土壤治理等用途。</w:t>
            </w:r>
          </w:p>
        </w:tc>
        <w:tc>
          <w:tcPr>
            <w:tcW w:w="879" w:type="dxa"/>
            <w:vAlign w:val="center"/>
          </w:tcPr>
          <w:p w14:paraId="27FDD1F8">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r w14:paraId="4424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dxa"/>
            <w:vAlign w:val="center"/>
          </w:tcPr>
          <w:p w14:paraId="1E5E9549">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4</w:t>
            </w:r>
          </w:p>
        </w:tc>
        <w:tc>
          <w:tcPr>
            <w:tcW w:w="3468" w:type="dxa"/>
            <w:vAlign w:val="center"/>
          </w:tcPr>
          <w:p w14:paraId="2D91E6F0">
            <w:pPr>
              <w:widowControl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实施耕地深松轮作。推行深松（翻）整地，打破犁底层，增加土壤通透性和耕层厚度，建立“土壤水库”，提高土壤抗旱防涝、蓄水保墒能力，实现春旱秋防。</w:t>
            </w:r>
          </w:p>
        </w:tc>
        <w:tc>
          <w:tcPr>
            <w:tcW w:w="4082" w:type="dxa"/>
            <w:vAlign w:val="center"/>
          </w:tcPr>
          <w:p w14:paraId="515561B9">
            <w:pPr>
              <w:widowControl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对于临时占地采取分层开挖、分层堆放</w:t>
            </w:r>
            <w:r>
              <w:rPr>
                <w:rFonts w:hint="eastAsia" w:ascii="Times New Roman" w:hAnsi="Times New Roman" w:cs="Times New Roman"/>
                <w:color w:val="auto"/>
                <w:w w:val="99"/>
                <w:sz w:val="21"/>
                <w:szCs w:val="21"/>
                <w:highlight w:val="none"/>
              </w:rPr>
              <w:t>、分层回填</w:t>
            </w:r>
            <w:r>
              <w:rPr>
                <w:rFonts w:ascii="Times New Roman" w:hAnsi="Times New Roman" w:cs="Times New Roman"/>
                <w:color w:val="auto"/>
                <w:w w:val="99"/>
                <w:sz w:val="21"/>
                <w:szCs w:val="21"/>
                <w:highlight w:val="none"/>
              </w:rPr>
              <w:t>方式，剥离占地内的表土，</w:t>
            </w:r>
            <w:r>
              <w:rPr>
                <w:rFonts w:hint="eastAsia" w:ascii="Times New Roman" w:hAnsi="Times New Roman" w:cs="Times New Roman"/>
                <w:color w:val="auto"/>
                <w:w w:val="99"/>
                <w:sz w:val="21"/>
                <w:szCs w:val="21"/>
                <w:highlight w:val="none"/>
              </w:rPr>
              <w:t>耕地剥离厚度</w:t>
            </w:r>
            <w:r>
              <w:rPr>
                <w:rFonts w:ascii="Times New Roman" w:hAnsi="Times New Roman" w:cs="Times New Roman"/>
                <w:color w:val="auto"/>
                <w:w w:val="99"/>
                <w:sz w:val="21"/>
                <w:szCs w:val="21"/>
                <w:highlight w:val="none"/>
              </w:rPr>
              <w:t>0.3m，并对剥离表土采取苫布遮盖、定期洒水抑尘措施，施工结束后及时用于回填，分层回填压实，保护有耕作能力种植价值的表层土壤，并对临时占地进行深松深耕复垦，恢复地表植被。</w:t>
            </w:r>
          </w:p>
        </w:tc>
        <w:tc>
          <w:tcPr>
            <w:tcW w:w="879" w:type="dxa"/>
            <w:vAlign w:val="center"/>
          </w:tcPr>
          <w:p w14:paraId="5392DC8F">
            <w:pPr>
              <w:widowControl/>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bl>
    <w:p w14:paraId="3C95D609">
      <w:pPr>
        <w:widowControl w:val="0"/>
        <w:spacing w:line="44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rPr>
        <w:t>由上表可知</w:t>
      </w:r>
      <w:r>
        <w:rPr>
          <w:rFonts w:ascii="Times New Roman" w:hAnsi="Times New Roman" w:cs="Times New Roman"/>
          <w:color w:val="auto"/>
          <w:w w:val="99"/>
          <w:highlight w:val="none"/>
          <w:lang w:val="zh-CN" w:bidi="zh-CN"/>
        </w:rPr>
        <w:t>，本项目符合《黑龙江省“十四五”黑土地保护规划》</w:t>
      </w:r>
      <w:r>
        <w:rPr>
          <w:rFonts w:hint="eastAsia" w:ascii="Times New Roman" w:hAnsi="Times New Roman" w:cs="Times New Roman"/>
          <w:color w:val="auto"/>
          <w:w w:val="99"/>
          <w:highlight w:val="none"/>
          <w:lang w:bidi="zh-CN"/>
        </w:rPr>
        <w:t>（黑政办规〔</w:t>
      </w:r>
      <w:r>
        <w:rPr>
          <w:rFonts w:ascii="Times New Roman" w:hAnsi="Times New Roman" w:cs="Times New Roman"/>
          <w:color w:val="auto"/>
          <w:w w:val="99"/>
          <w:highlight w:val="none"/>
          <w:lang w:bidi="zh-CN"/>
        </w:rPr>
        <w:t>2021〕48号</w:t>
      </w:r>
      <w:r>
        <w:rPr>
          <w:rFonts w:hint="eastAsia" w:ascii="Times New Roman" w:hAnsi="Times New Roman" w:cs="Times New Roman"/>
          <w:color w:val="auto"/>
          <w:w w:val="99"/>
          <w:highlight w:val="none"/>
          <w:lang w:bidi="zh-CN"/>
        </w:rPr>
        <w:t>）</w:t>
      </w:r>
      <w:r>
        <w:rPr>
          <w:rFonts w:ascii="Times New Roman" w:hAnsi="Times New Roman" w:cs="Times New Roman"/>
          <w:color w:val="auto"/>
          <w:w w:val="99"/>
          <w:highlight w:val="none"/>
          <w:lang w:val="zh-CN" w:bidi="zh-CN"/>
        </w:rPr>
        <w:t>中相关规定。</w:t>
      </w:r>
    </w:p>
    <w:p w14:paraId="5B40FDB2">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1.4.2.</w:t>
      </w:r>
      <w:r>
        <w:rPr>
          <w:rFonts w:hint="eastAsia" w:ascii="Times New Roman" w:hAnsi="Times New Roman" w:eastAsiaTheme="minorEastAsia"/>
          <w:b/>
          <w:color w:val="auto"/>
          <w:w w:val="99"/>
          <w:highlight w:val="none"/>
          <w:lang w:val="en-US" w:eastAsia="zh-CN"/>
        </w:rPr>
        <w:t>6</w:t>
      </w:r>
      <w:r>
        <w:rPr>
          <w:rFonts w:ascii="Times New Roman" w:hAnsi="Times New Roman" w:eastAsiaTheme="minorEastAsia"/>
          <w:b/>
          <w:color w:val="auto"/>
          <w:w w:val="99"/>
          <w:highlight w:val="none"/>
        </w:rPr>
        <w:t>《</w:t>
      </w:r>
      <w:r>
        <w:rPr>
          <w:rFonts w:hint="eastAsia" w:ascii="Times New Roman" w:hAnsi="Times New Roman" w:eastAsiaTheme="minorEastAsia"/>
          <w:b/>
          <w:color w:val="auto"/>
          <w:w w:val="99"/>
          <w:highlight w:val="none"/>
          <w:lang w:val="en-US" w:eastAsia="zh-CN"/>
        </w:rPr>
        <w:t>绥化</w:t>
      </w:r>
      <w:r>
        <w:rPr>
          <w:rFonts w:ascii="Times New Roman" w:hAnsi="Times New Roman" w:eastAsiaTheme="minorEastAsia"/>
          <w:b/>
          <w:color w:val="auto"/>
          <w:w w:val="99"/>
          <w:highlight w:val="none"/>
        </w:rPr>
        <w:t>市水土保持规划》（201</w:t>
      </w:r>
      <w:r>
        <w:rPr>
          <w:rFonts w:hint="eastAsia" w:ascii="Times New Roman" w:hAnsi="Times New Roman" w:eastAsiaTheme="minorEastAsia"/>
          <w:b/>
          <w:color w:val="auto"/>
          <w:w w:val="99"/>
          <w:highlight w:val="none"/>
          <w:lang w:val="en-US" w:eastAsia="zh-CN"/>
        </w:rPr>
        <w:t>9</w:t>
      </w:r>
      <w:r>
        <w:rPr>
          <w:rFonts w:ascii="Times New Roman" w:hAnsi="Times New Roman" w:eastAsiaTheme="minorEastAsia"/>
          <w:b/>
          <w:color w:val="auto"/>
          <w:w w:val="99"/>
          <w:highlight w:val="none"/>
        </w:rPr>
        <w:t>～2030年）符合性分析</w:t>
      </w:r>
    </w:p>
    <w:p w14:paraId="39765E22">
      <w:pPr>
        <w:pStyle w:val="153"/>
        <w:spacing w:line="440" w:lineRule="exact"/>
        <w:ind w:firstLine="473"/>
        <w:jc w:val="both"/>
        <w:rPr>
          <w:rFonts w:ascii="Times New Roman" w:hAnsi="Times New Roman" w:eastAsiaTheme="minorEastAsia"/>
          <w:color w:val="auto"/>
          <w:w w:val="99"/>
          <w:highlight w:val="none"/>
          <w:lang w:val="en"/>
        </w:rPr>
      </w:pPr>
      <w:bookmarkStart w:id="98" w:name="_Toc143099533"/>
      <w:bookmarkStart w:id="99" w:name="_Toc127192295"/>
      <w:bookmarkStart w:id="100" w:name="_Toc84929182"/>
      <w:bookmarkStart w:id="101" w:name="_Toc86141890"/>
      <w:bookmarkStart w:id="102" w:name="_Toc85640707"/>
      <w:bookmarkStart w:id="103" w:name="_Toc126863346"/>
      <w:bookmarkStart w:id="104" w:name="_Toc186444230"/>
      <w:bookmarkStart w:id="105" w:name="_Toc131167246"/>
      <w:r>
        <w:rPr>
          <w:rFonts w:ascii="Times New Roman" w:hAnsi="Times New Roman" w:eastAsiaTheme="minorEastAsia"/>
          <w:color w:val="auto"/>
          <w:w w:val="99"/>
          <w:highlight w:val="none"/>
        </w:rPr>
        <w:t>根据</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lang w:val="en-US" w:eastAsia="zh-CN"/>
        </w:rPr>
        <w:t>绥化</w:t>
      </w:r>
      <w:r>
        <w:rPr>
          <w:rFonts w:ascii="Times New Roman" w:hAnsi="Times New Roman" w:cs="Times New Roman" w:eastAsiaTheme="minorEastAsia"/>
          <w:color w:val="auto"/>
          <w:w w:val="99"/>
          <w:highlight w:val="none"/>
        </w:rPr>
        <w:t>市水土保持规</w:t>
      </w:r>
      <w:r>
        <w:rPr>
          <w:rFonts w:ascii="Times New Roman" w:hAnsi="Times New Roman" w:eastAsiaTheme="minorEastAsia"/>
          <w:color w:val="auto"/>
          <w:w w:val="99"/>
          <w:highlight w:val="none"/>
        </w:rPr>
        <w:t>划》（201</w:t>
      </w:r>
      <w:r>
        <w:rPr>
          <w:rFonts w:hint="eastAsia" w:ascii="Times New Roman" w:hAnsi="Times New Roman" w:eastAsiaTheme="minorEastAsia"/>
          <w:color w:val="auto"/>
          <w:w w:val="99"/>
          <w:highlight w:val="none"/>
          <w:lang w:val="en-US" w:eastAsia="zh-CN"/>
        </w:rPr>
        <w:t>9</w:t>
      </w:r>
      <w:r>
        <w:rPr>
          <w:rFonts w:ascii="Times New Roman" w:hAnsi="Times New Roman" w:eastAsiaTheme="minorEastAsia"/>
          <w:color w:val="auto"/>
          <w:w w:val="99"/>
          <w:highlight w:val="none"/>
        </w:rPr>
        <w:t>～2030年），</w:t>
      </w:r>
      <w:r>
        <w:rPr>
          <w:rFonts w:hint="eastAsia" w:ascii="Times New Roman" w:hAnsi="Times New Roman" w:eastAsiaTheme="minorEastAsia"/>
          <w:color w:val="auto"/>
          <w:w w:val="99"/>
          <w:highlight w:val="none"/>
          <w:lang w:val="en-US" w:eastAsia="zh-CN"/>
        </w:rPr>
        <w:t>绥化</w:t>
      </w:r>
      <w:r>
        <w:rPr>
          <w:rFonts w:ascii="Times New Roman" w:hAnsi="Times New Roman" w:eastAsiaTheme="minorEastAsia"/>
          <w:color w:val="auto"/>
          <w:w w:val="99"/>
          <w:highlight w:val="none"/>
          <w:lang w:val="en"/>
        </w:rPr>
        <w:t>市划定了市级水土流失重点预防区和重点治理区，本项目位于</w:t>
      </w:r>
      <w:r>
        <w:rPr>
          <w:rFonts w:hint="eastAsia" w:ascii="Times New Roman" w:hAnsi="Times New Roman" w:eastAsiaTheme="minorEastAsia"/>
          <w:color w:val="auto"/>
          <w:w w:val="99"/>
          <w:highlight w:val="none"/>
          <w:lang w:val="en-US" w:eastAsia="zh-CN"/>
        </w:rPr>
        <w:t>绥化</w:t>
      </w:r>
      <w:r>
        <w:rPr>
          <w:rFonts w:ascii="Times New Roman" w:hAnsi="Times New Roman" w:eastAsiaTheme="minorEastAsia"/>
          <w:color w:val="auto"/>
          <w:w w:val="99"/>
          <w:highlight w:val="none"/>
          <w:lang w:val="en"/>
        </w:rPr>
        <w:t>市</w:t>
      </w:r>
      <w:r>
        <w:rPr>
          <w:rFonts w:hint="eastAsia" w:ascii="Times New Roman" w:hAnsi="Times New Roman" w:eastAsiaTheme="minorEastAsia"/>
          <w:color w:val="auto"/>
          <w:w w:val="99"/>
          <w:highlight w:val="none"/>
          <w:lang w:val="en-US" w:eastAsia="zh-CN"/>
        </w:rPr>
        <w:t>肇东市</w:t>
      </w:r>
      <w:r>
        <w:rPr>
          <w:rFonts w:ascii="Times New Roman" w:hAnsi="Times New Roman" w:eastAsiaTheme="minorEastAsia"/>
          <w:color w:val="auto"/>
          <w:w w:val="99"/>
          <w:highlight w:val="none"/>
          <w:lang w:val="en"/>
        </w:rPr>
        <w:t>，</w:t>
      </w:r>
      <w:r>
        <w:rPr>
          <w:rFonts w:hint="eastAsia" w:ascii="Times New Roman" w:hAnsi="Times New Roman" w:eastAsiaTheme="minorEastAsia"/>
          <w:color w:val="auto"/>
          <w:w w:val="99"/>
          <w:highlight w:val="none"/>
          <w:lang w:val="en-US" w:eastAsia="zh-CN"/>
        </w:rPr>
        <w:t>不</w:t>
      </w:r>
      <w:r>
        <w:rPr>
          <w:rFonts w:ascii="Times New Roman" w:hAnsi="Times New Roman" w:eastAsiaTheme="minorEastAsia"/>
          <w:color w:val="auto"/>
          <w:w w:val="99"/>
          <w:highlight w:val="none"/>
          <w:lang w:val="en"/>
        </w:rPr>
        <w:t>属于水土流失重点预防区和重点治理区。本项目</w:t>
      </w:r>
      <w:r>
        <w:rPr>
          <w:rFonts w:ascii="Times New Roman" w:hAnsi="Times New Roman" w:eastAsiaTheme="minorEastAsia"/>
          <w:color w:val="auto"/>
          <w:w w:val="99"/>
          <w:highlight w:val="none"/>
        </w:rPr>
        <w:t>开发区域与</w:t>
      </w:r>
      <w:r>
        <w:rPr>
          <w:rFonts w:ascii="Times New Roman" w:hAnsi="Times New Roman" w:eastAsiaTheme="minorEastAsia"/>
          <w:color w:val="auto"/>
          <w:w w:val="99"/>
          <w:highlight w:val="none"/>
          <w:lang w:val="en"/>
        </w:rPr>
        <w:t>水土保持重点治理区和重点预防区位置关系见附图</w:t>
      </w:r>
      <w:r>
        <w:rPr>
          <w:rFonts w:hint="eastAsia" w:ascii="Times New Roman" w:hAnsi="Times New Roman" w:eastAsiaTheme="minorEastAsia"/>
          <w:color w:val="auto"/>
          <w:w w:val="99"/>
          <w:highlight w:val="none"/>
          <w:lang w:val="en-US" w:eastAsia="zh-CN"/>
        </w:rPr>
        <w:t>3</w:t>
      </w:r>
      <w:r>
        <w:rPr>
          <w:rFonts w:ascii="Times New Roman" w:hAnsi="Times New Roman" w:eastAsiaTheme="minorEastAsia"/>
          <w:color w:val="auto"/>
          <w:w w:val="99"/>
          <w:highlight w:val="none"/>
          <w:lang w:val="en"/>
        </w:rPr>
        <w:t>。</w:t>
      </w:r>
      <w:r>
        <w:rPr>
          <w:rFonts w:hint="eastAsia" w:ascii="Times New Roman" w:hAnsi="Times New Roman" w:eastAsiaTheme="minorEastAsia"/>
          <w:color w:val="auto"/>
          <w:w w:val="99"/>
          <w:highlight w:val="none"/>
          <w:lang w:val="en"/>
        </w:rPr>
        <w:t>项目在施工过程中，对堆放的分层土壤上覆盖</w:t>
      </w:r>
      <w:r>
        <w:rPr>
          <w:rFonts w:hint="eastAsia" w:ascii="Times New Roman" w:hAnsi="Times New Roman" w:eastAsiaTheme="minorEastAsia"/>
          <w:color w:val="auto"/>
          <w:w w:val="99"/>
          <w:highlight w:val="none"/>
          <w:lang w:val="en" w:eastAsia="zh-CN"/>
        </w:rPr>
        <w:t>苫布</w:t>
      </w:r>
      <w:r>
        <w:rPr>
          <w:rFonts w:hint="eastAsia" w:ascii="Times New Roman" w:hAnsi="Times New Roman" w:eastAsiaTheme="minorEastAsia"/>
          <w:color w:val="auto"/>
          <w:w w:val="99"/>
          <w:highlight w:val="none"/>
          <w:lang w:val="en"/>
        </w:rPr>
        <w:t>，周围利用重物压实，施工场界周围设置围挡，防止降雨期大量冲刷雨水携带砂砾进入周围耕地环境，导致耕地生产力下降，土壤沙漠化。施工结束后，优先对周围耕地进行复垦，防止松软土壤无植物根系的作用，在降雨期间，造成大量土壤流失。</w:t>
      </w:r>
    </w:p>
    <w:p w14:paraId="5E10A69E">
      <w:pPr>
        <w:pStyle w:val="153"/>
        <w:spacing w:line="440" w:lineRule="exact"/>
        <w:ind w:firstLine="473"/>
        <w:jc w:val="both"/>
        <w:rPr>
          <w:rFonts w:ascii="Times New Roman" w:hAnsi="Times New Roman" w:eastAsiaTheme="minorEastAsia"/>
          <w:color w:val="auto"/>
          <w:w w:val="99"/>
          <w:highlight w:val="none"/>
          <w:lang w:val="en"/>
        </w:rPr>
      </w:pPr>
      <w:r>
        <w:rPr>
          <w:rFonts w:hint="eastAsia" w:ascii="Times New Roman" w:hAnsi="Times New Roman" w:eastAsiaTheme="minorEastAsia"/>
          <w:color w:val="auto"/>
          <w:w w:val="99"/>
          <w:highlight w:val="none"/>
          <w:lang w:val="en"/>
        </w:rPr>
        <w:t>综上，本项目建设符合</w:t>
      </w:r>
      <w:r>
        <w:rPr>
          <w:rFonts w:ascii="Times New Roman" w:hAnsi="Times New Roman" w:eastAsiaTheme="minorEastAsia"/>
          <w:color w:val="auto"/>
          <w:w w:val="99"/>
          <w:highlight w:val="none"/>
          <w:lang w:val="en"/>
        </w:rPr>
        <w:t>《绥化市水土保持规划》（2019～2030年）</w:t>
      </w:r>
      <w:r>
        <w:rPr>
          <w:rFonts w:hint="eastAsia" w:ascii="Times New Roman" w:hAnsi="Times New Roman" w:eastAsiaTheme="minorEastAsia"/>
          <w:color w:val="auto"/>
          <w:w w:val="99"/>
          <w:highlight w:val="none"/>
          <w:lang w:val="en"/>
        </w:rPr>
        <w:t>要求。</w:t>
      </w:r>
    </w:p>
    <w:p w14:paraId="3F4470F0">
      <w:pPr>
        <w:pStyle w:val="7"/>
        <w:widowControl w:val="0"/>
        <w:spacing w:before="60" w:after="60" w:line="440" w:lineRule="exact"/>
        <w:jc w:val="both"/>
        <w:rPr>
          <w:rFonts w:eastAsiaTheme="minorEastAsia"/>
          <w:b/>
          <w:color w:val="auto"/>
          <w:w w:val="99"/>
          <w:kern w:val="2"/>
          <w:sz w:val="24"/>
          <w:szCs w:val="24"/>
          <w:highlight w:val="none"/>
        </w:rPr>
      </w:pPr>
      <w:r>
        <w:rPr>
          <w:rFonts w:eastAsiaTheme="minorEastAsia"/>
          <w:b/>
          <w:color w:val="auto"/>
          <w:w w:val="99"/>
          <w:kern w:val="2"/>
          <w:sz w:val="24"/>
          <w:szCs w:val="24"/>
          <w:highlight w:val="none"/>
        </w:rPr>
        <w:t>1.4.3相关政策符合性分析</w:t>
      </w:r>
      <w:bookmarkEnd w:id="98"/>
      <w:bookmarkEnd w:id="99"/>
      <w:bookmarkEnd w:id="100"/>
      <w:bookmarkEnd w:id="101"/>
      <w:bookmarkEnd w:id="102"/>
      <w:bookmarkEnd w:id="103"/>
      <w:bookmarkEnd w:id="104"/>
      <w:bookmarkEnd w:id="105"/>
    </w:p>
    <w:p w14:paraId="3FAD6A8C">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1.4.3.1与《关于进一步加强石油天然气行业环境影响评价管理的通知》</w:t>
      </w:r>
      <w:r>
        <w:rPr>
          <w:rFonts w:ascii="Times New Roman" w:hAnsi="Times New Roman" w:eastAsiaTheme="minorEastAsia"/>
          <w:color w:val="auto"/>
          <w:w w:val="99"/>
          <w:highlight w:val="none"/>
        </w:rPr>
        <w:t>（环办环评函[2019]910号）</w:t>
      </w:r>
      <w:r>
        <w:rPr>
          <w:rFonts w:ascii="Times New Roman" w:hAnsi="Times New Roman" w:eastAsiaTheme="minorEastAsia"/>
          <w:b/>
          <w:color w:val="auto"/>
          <w:w w:val="99"/>
          <w:highlight w:val="none"/>
        </w:rPr>
        <w:t>符合性分析</w:t>
      </w:r>
    </w:p>
    <w:p w14:paraId="7ADD6202">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本项目与《关于进一步加强石油天然气行业环境影响评价管理的通知》（环办环评函[2019]910号）符合性分析见表1.4-</w:t>
      </w:r>
      <w:r>
        <w:rPr>
          <w:rFonts w:hint="eastAsia" w:ascii="Times New Roman" w:hAnsi="Times New Roman" w:cs="Times New Roman"/>
          <w:color w:val="auto"/>
          <w:spacing w:val="0"/>
          <w:w w:val="99"/>
          <w:position w:val="0"/>
          <w:sz w:val="24"/>
          <w:szCs w:val="24"/>
          <w:highlight w:val="none"/>
          <w:lang w:val="en-US" w:eastAsia="zh-CN" w:bidi="ar-SA"/>
        </w:rPr>
        <w:t>2</w:t>
      </w:r>
      <w:r>
        <w:rPr>
          <w:rFonts w:hint="default" w:ascii="Times New Roman" w:hAnsi="Times New Roman" w:eastAsia="宋体" w:cs="Times New Roman"/>
          <w:color w:val="auto"/>
          <w:spacing w:val="0"/>
          <w:w w:val="99"/>
          <w:position w:val="0"/>
          <w:sz w:val="24"/>
          <w:szCs w:val="24"/>
          <w:highlight w:val="none"/>
          <w:lang w:val="en-US" w:eastAsia="zh-CN" w:bidi="ar-SA"/>
        </w:rPr>
        <w:t>。</w:t>
      </w:r>
    </w:p>
    <w:p w14:paraId="1A05EF2C">
      <w:pPr>
        <w:pStyle w:val="153"/>
        <w:widowControl w:val="0"/>
        <w:spacing w:line="440" w:lineRule="exact"/>
        <w:ind w:firstLine="478"/>
        <w:jc w:val="both"/>
        <w:rPr>
          <w:rFonts w:ascii="Times New Roman" w:hAnsi="Times New Roman" w:eastAsiaTheme="minorEastAsia"/>
          <w:color w:val="auto"/>
          <w:w w:val="99"/>
          <w:highlight w:val="none"/>
        </w:rPr>
      </w:pPr>
      <w:r>
        <w:rPr>
          <w:rFonts w:ascii="Times New Roman" w:hAnsi="Times New Roman" w:eastAsiaTheme="minorEastAsia"/>
          <w:b/>
          <w:bCs/>
          <w:color w:val="auto"/>
          <w:w w:val="99"/>
          <w:kern w:val="21"/>
          <w:szCs w:val="20"/>
          <w:highlight w:val="none"/>
        </w:rPr>
        <w:t>表1.4-</w:t>
      </w:r>
      <w:r>
        <w:rPr>
          <w:rFonts w:hint="eastAsia" w:ascii="Times New Roman" w:hAnsi="Times New Roman" w:eastAsiaTheme="minorEastAsia"/>
          <w:b/>
          <w:bCs/>
          <w:color w:val="auto"/>
          <w:w w:val="99"/>
          <w:kern w:val="21"/>
          <w:szCs w:val="20"/>
          <w:highlight w:val="none"/>
          <w:lang w:val="en-US" w:eastAsia="zh-CN"/>
        </w:rPr>
        <w:t>2</w:t>
      </w:r>
      <w:r>
        <w:rPr>
          <w:rFonts w:ascii="Times New Roman" w:hAnsi="Times New Roman" w:eastAsiaTheme="minorEastAsia"/>
          <w:b/>
          <w:color w:val="auto"/>
          <w:w w:val="99"/>
          <w:highlight w:val="none"/>
        </w:rPr>
        <w:t>与</w:t>
      </w:r>
      <w:r>
        <w:rPr>
          <w:rFonts w:hint="eastAsia" w:ascii="Times New Roman" w:hAnsi="Times New Roman" w:eastAsiaTheme="minorEastAsia"/>
          <w:b/>
          <w:color w:val="auto"/>
          <w:w w:val="99"/>
          <w:highlight w:val="none"/>
        </w:rPr>
        <w:t>“（环办环评函</w:t>
      </w:r>
      <w:r>
        <w:rPr>
          <w:rFonts w:ascii="Times New Roman" w:hAnsi="Times New Roman" w:eastAsiaTheme="minorEastAsia"/>
          <w:b/>
          <w:color w:val="auto"/>
          <w:w w:val="99"/>
          <w:highlight w:val="none"/>
        </w:rPr>
        <w:t>[2019]910</w:t>
      </w:r>
      <w:r>
        <w:rPr>
          <w:rFonts w:hint="eastAsia" w:ascii="Times New Roman" w:hAnsi="Times New Roman" w:eastAsiaTheme="minorEastAsia"/>
          <w:b/>
          <w:color w:val="auto"/>
          <w:w w:val="99"/>
          <w:highlight w:val="none"/>
        </w:rPr>
        <w:t>号）”</w:t>
      </w:r>
      <w:r>
        <w:rPr>
          <w:rFonts w:ascii="Times New Roman" w:hAnsi="Times New Roman" w:eastAsiaTheme="minorEastAsia"/>
          <w:b/>
          <w:color w:val="auto"/>
          <w:w w:val="99"/>
          <w:highlight w:val="none"/>
        </w:rPr>
        <w:t>符合性分析</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029"/>
        <w:gridCol w:w="4536"/>
        <w:gridCol w:w="981"/>
      </w:tblGrid>
      <w:tr w14:paraId="50C1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vAlign w:val="center"/>
          </w:tcPr>
          <w:p w14:paraId="70B53BFB">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序号</w:t>
            </w:r>
          </w:p>
        </w:tc>
        <w:tc>
          <w:tcPr>
            <w:tcW w:w="1630" w:type="pct"/>
            <w:vAlign w:val="center"/>
          </w:tcPr>
          <w:p w14:paraId="73CAF395">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文件要求</w:t>
            </w:r>
          </w:p>
        </w:tc>
        <w:tc>
          <w:tcPr>
            <w:tcW w:w="2441" w:type="pct"/>
            <w:vAlign w:val="center"/>
          </w:tcPr>
          <w:p w14:paraId="4BEF8E71">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符合性分析</w:t>
            </w:r>
          </w:p>
        </w:tc>
        <w:tc>
          <w:tcPr>
            <w:tcW w:w="528" w:type="pct"/>
            <w:vAlign w:val="center"/>
          </w:tcPr>
          <w:p w14:paraId="403873DF">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符合性</w:t>
            </w:r>
          </w:p>
        </w:tc>
      </w:tr>
      <w:tr w14:paraId="12FD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vAlign w:val="center"/>
          </w:tcPr>
          <w:p w14:paraId="3D453347">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1</w:t>
            </w:r>
          </w:p>
        </w:tc>
        <w:tc>
          <w:tcPr>
            <w:tcW w:w="1630" w:type="pct"/>
            <w:vAlign w:val="center"/>
          </w:tcPr>
          <w:p w14:paraId="22CCEED4">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2441" w:type="pct"/>
            <w:vAlign w:val="center"/>
          </w:tcPr>
          <w:p w14:paraId="2C733841">
            <w:pPr>
              <w:widowControl w:val="0"/>
              <w:spacing w:line="320" w:lineRule="exact"/>
              <w:jc w:val="both"/>
              <w:rPr>
                <w:rFonts w:hint="default" w:ascii="Times New Roman" w:hAnsi="Times New Roman" w:cs="Times New Roman" w:eastAsiaTheme="minorEastAsia"/>
                <w:color w:val="auto"/>
                <w:w w:val="99"/>
                <w:kern w:val="2"/>
                <w:sz w:val="21"/>
                <w:highlight w:val="none"/>
                <w:lang w:val="en-US" w:bidi="zh-CN"/>
              </w:rPr>
            </w:pPr>
            <w:r>
              <w:rPr>
                <w:rFonts w:hint="default" w:ascii="Times New Roman" w:hAnsi="Times New Roman" w:cs="Times New Roman" w:eastAsiaTheme="minorEastAsia"/>
                <w:color w:val="auto"/>
                <w:w w:val="99"/>
                <w:kern w:val="2"/>
                <w:sz w:val="21"/>
                <w:highlight w:val="none"/>
                <w:lang w:bidi="zh-CN"/>
              </w:rPr>
              <w:t>①项目为徐深气田的滚动开发项目，以徐深气田徐深</w:t>
            </w:r>
            <w:r>
              <w:rPr>
                <w:rFonts w:hint="default" w:ascii="Times New Roman" w:hAnsi="Times New Roman" w:cs="Times New Roman" w:eastAsiaTheme="minorEastAsia"/>
                <w:color w:val="auto"/>
                <w:w w:val="99"/>
                <w:kern w:val="2"/>
                <w:sz w:val="21"/>
                <w:highlight w:val="none"/>
                <w:lang w:val="en-US" w:eastAsia="zh-CN" w:bidi="zh-CN"/>
              </w:rPr>
              <w:t>27</w:t>
            </w:r>
            <w:r>
              <w:rPr>
                <w:rFonts w:hint="default" w:ascii="Times New Roman" w:hAnsi="Times New Roman" w:cs="Times New Roman" w:eastAsiaTheme="minorEastAsia"/>
                <w:color w:val="auto"/>
                <w:w w:val="99"/>
                <w:kern w:val="2"/>
                <w:sz w:val="21"/>
                <w:highlight w:val="none"/>
                <w:lang w:bidi="zh-CN"/>
              </w:rPr>
              <w:t>区块为单位进行评价，本次评价内容主要为钻井工程和压裂试气工程；</w:t>
            </w:r>
            <w:r>
              <w:rPr>
                <w:rFonts w:hint="eastAsia" w:ascii="Times New Roman" w:hAnsi="Times New Roman" w:cs="Times New Roman" w:eastAsiaTheme="minorEastAsia"/>
                <w:color w:val="auto"/>
                <w:w w:val="99"/>
                <w:kern w:val="2"/>
                <w:sz w:val="21"/>
                <w:highlight w:val="none"/>
                <w:lang w:val="en-US" w:bidi="zh-CN"/>
              </w:rPr>
              <w:t>项目所在区块未开展规划环评，根据产能预测，区块内再拟新建1口气井就可满足额不能区块天然气开采要求。</w:t>
            </w:r>
          </w:p>
          <w:p w14:paraId="333C88E3">
            <w:pPr>
              <w:widowControl w:val="0"/>
              <w:spacing w:line="320" w:lineRule="exact"/>
              <w:jc w:val="both"/>
              <w:rPr>
                <w:rFonts w:hint="default" w:ascii="Times New Roman" w:hAnsi="Times New Roman" w:cs="Times New Roman" w:eastAsiaTheme="minorEastAsia"/>
                <w:color w:val="auto"/>
                <w:w w:val="99"/>
                <w:kern w:val="2"/>
                <w:sz w:val="21"/>
                <w:highlight w:val="none"/>
                <w:lang w:bidi="zh-CN"/>
              </w:rPr>
            </w:pPr>
            <w:r>
              <w:rPr>
                <w:rFonts w:hint="default" w:ascii="Times New Roman" w:hAnsi="Times New Roman" w:cs="Times New Roman" w:eastAsiaTheme="minorEastAsia"/>
                <w:color w:val="auto"/>
                <w:w w:val="99"/>
                <w:kern w:val="2"/>
                <w:sz w:val="21"/>
                <w:highlight w:val="none"/>
                <w:lang w:bidi="zh-CN"/>
              </w:rPr>
              <w:t>②报告将施工期地下水、生态、土壤等要素环境影响和污染防治措施可行性作为评价重点，针对项目钻井工程、压裂试气工程进行了深入的评价；</w:t>
            </w:r>
          </w:p>
          <w:p w14:paraId="240BFCDC">
            <w:pPr>
              <w:widowControl w:val="0"/>
              <w:spacing w:line="320" w:lineRule="exact"/>
              <w:jc w:val="both"/>
              <w:rPr>
                <w:rFonts w:hint="eastAsia" w:ascii="Times New Roman" w:hAnsi="Times New Roman" w:cs="Times New Roman" w:eastAsiaTheme="minorEastAsia"/>
                <w:color w:val="auto"/>
                <w:w w:val="99"/>
                <w:kern w:val="2"/>
                <w:sz w:val="21"/>
                <w:highlight w:val="none"/>
                <w:lang w:val="en-US" w:eastAsia="zh-CN" w:bidi="zh-CN"/>
              </w:rPr>
            </w:pPr>
            <w:r>
              <w:rPr>
                <w:rFonts w:hint="default" w:ascii="Times New Roman" w:hAnsi="Times New Roman" w:cs="Times New Roman" w:eastAsiaTheme="minorEastAsia"/>
                <w:color w:val="auto"/>
                <w:w w:val="99"/>
                <w:kern w:val="2"/>
                <w:sz w:val="21"/>
                <w:highlight w:val="none"/>
                <w:lang w:bidi="zh-CN"/>
              </w:rPr>
              <w:t>③本次环评在3.1章节中详述了</w:t>
            </w:r>
            <w:r>
              <w:rPr>
                <w:rFonts w:hint="default" w:ascii="Times New Roman" w:hAnsi="Times New Roman" w:cs="Times New Roman" w:eastAsiaTheme="minorEastAsia"/>
                <w:color w:val="auto"/>
                <w:w w:val="99"/>
                <w:kern w:val="2"/>
                <w:sz w:val="21"/>
                <w:highlight w:val="none"/>
                <w:lang w:val="en-US" w:eastAsia="zh-CN" w:bidi="zh-CN"/>
              </w:rPr>
              <w:t>徐深气田徐深27区</w:t>
            </w:r>
            <w:r>
              <w:rPr>
                <w:rFonts w:hint="default" w:ascii="Times New Roman" w:hAnsi="Times New Roman" w:cs="Times New Roman" w:eastAsiaTheme="minorEastAsia"/>
                <w:color w:val="auto"/>
                <w:w w:val="99"/>
                <w:kern w:val="2"/>
                <w:sz w:val="21"/>
                <w:highlight w:val="none"/>
                <w:lang w:bidi="zh-CN"/>
              </w:rPr>
              <w:t>现有工程环境影响进行回顾性评价针对徐深气田徐深</w:t>
            </w:r>
            <w:r>
              <w:rPr>
                <w:rFonts w:hint="default" w:ascii="Times New Roman" w:hAnsi="Times New Roman" w:cs="Times New Roman" w:eastAsiaTheme="minorEastAsia"/>
                <w:color w:val="auto"/>
                <w:w w:val="99"/>
                <w:kern w:val="2"/>
                <w:sz w:val="21"/>
                <w:highlight w:val="none"/>
                <w:lang w:val="en-US" w:eastAsia="zh-CN" w:bidi="zh-CN"/>
              </w:rPr>
              <w:t>27</w:t>
            </w:r>
            <w:r>
              <w:rPr>
                <w:rFonts w:hint="default" w:ascii="Times New Roman" w:hAnsi="Times New Roman" w:cs="Times New Roman" w:eastAsiaTheme="minorEastAsia"/>
                <w:color w:val="auto"/>
                <w:w w:val="99"/>
                <w:kern w:val="2"/>
                <w:sz w:val="21"/>
                <w:highlight w:val="none"/>
                <w:lang w:bidi="zh-CN"/>
              </w:rPr>
              <w:t>区块现有工程进行了回顾性的评价；废气主要为井场和集输管线逸散的非甲烷总烃气体、场站加热炉废气；废水主要为分离污水</w:t>
            </w:r>
            <w:r>
              <w:rPr>
                <w:rFonts w:hint="eastAsia" w:ascii="Times New Roman" w:hAnsi="Times New Roman" w:cs="Times New Roman" w:eastAsiaTheme="minorEastAsia"/>
                <w:color w:val="auto"/>
                <w:w w:val="99"/>
                <w:kern w:val="2"/>
                <w:sz w:val="21"/>
                <w:highlight w:val="none"/>
                <w:lang w:bidi="zh-CN"/>
              </w:rPr>
              <w:t>，</w:t>
            </w:r>
            <w:r>
              <w:rPr>
                <w:rFonts w:hint="default" w:ascii="Times New Roman" w:hAnsi="Times New Roman" w:cs="Times New Roman" w:eastAsiaTheme="minorEastAsia"/>
                <w:color w:val="auto"/>
                <w:w w:val="99"/>
                <w:kern w:val="2"/>
                <w:sz w:val="21"/>
                <w:highlight w:val="none"/>
                <w:lang w:bidi="zh-CN"/>
              </w:rPr>
              <w:t>最终经升一联气田污水处理站</w:t>
            </w:r>
            <w:r>
              <w:rPr>
                <w:rFonts w:hint="eastAsia" w:ascii="Times New Roman" w:hAnsi="Times New Roman" w:cs="Times New Roman" w:eastAsiaTheme="minorEastAsia"/>
                <w:color w:val="auto"/>
                <w:w w:val="99"/>
                <w:kern w:val="2"/>
                <w:sz w:val="21"/>
                <w:highlight w:val="none"/>
                <w:lang w:val="en-US" w:eastAsia="zh-CN" w:bidi="zh-CN"/>
              </w:rPr>
              <w:t>处理</w:t>
            </w:r>
            <w:r>
              <w:rPr>
                <w:rFonts w:hint="default" w:ascii="Times New Roman" w:hAnsi="Times New Roman" w:cs="Times New Roman" w:eastAsiaTheme="minorEastAsia"/>
                <w:color w:val="auto"/>
                <w:w w:val="99"/>
                <w:kern w:val="2"/>
                <w:sz w:val="21"/>
                <w:highlight w:val="none"/>
                <w:lang w:bidi="zh-CN"/>
              </w:rPr>
              <w:t>；噪声主要来自</w:t>
            </w:r>
            <w:r>
              <w:rPr>
                <w:rFonts w:hint="eastAsia" w:ascii="Times New Roman" w:hAnsi="Times New Roman" w:cs="Times New Roman" w:eastAsiaTheme="minorEastAsia"/>
                <w:color w:val="auto"/>
                <w:w w:val="99"/>
                <w:kern w:val="2"/>
                <w:sz w:val="21"/>
                <w:highlight w:val="none"/>
                <w:lang w:val="en-US" w:bidi="zh-CN"/>
              </w:rPr>
              <w:t>井场</w:t>
            </w:r>
            <w:r>
              <w:rPr>
                <w:rFonts w:hint="default" w:ascii="Times New Roman" w:hAnsi="Times New Roman" w:cs="Times New Roman" w:eastAsiaTheme="minorEastAsia"/>
                <w:color w:val="auto"/>
                <w:w w:val="99"/>
                <w:kern w:val="2"/>
                <w:sz w:val="21"/>
                <w:highlight w:val="none"/>
                <w:lang w:bidi="zh-CN"/>
              </w:rPr>
              <w:t>及场站各类机泵噪声；固废主要为</w:t>
            </w:r>
            <w:r>
              <w:rPr>
                <w:rFonts w:hint="eastAsia" w:ascii="Times New Roman" w:hAnsi="Times New Roman" w:cs="Times New Roman" w:eastAsiaTheme="minorEastAsia"/>
                <w:color w:val="auto"/>
                <w:w w:val="99"/>
                <w:kern w:val="2"/>
                <w:sz w:val="21"/>
                <w:highlight w:val="none"/>
                <w:lang w:val="en-US" w:eastAsia="zh-CN" w:bidi="zh-CN"/>
              </w:rPr>
              <w:t>气井井口安装有井口除砂器，投产初会定期检查井口除砂器，如有砂粒，委托有资质单位处置。气井如产生这部分砂粒，单井产生量约为0.001t/a，这部分砂粒内会混有烃类物质，为危险废物，废物类别HW08废矿物油与含矿物油废物，危废代码为900-249-08。在井场产生后装入加盖钢制桶中，由检维修队送采气分公司危险废物贮存库内，定期委托有危废处置资质的单位处置；集气站三甘醇脱水装置内设置活性炭过滤器，活性炭更换频次约1次/年，徐深27区块内1座集气站产生废活性炭1.4t/a，属于危险废物“HW49其他废物”中的“900-041-49含有或沾染毒性、感染性危险废物的废弃包装物、容器、过滤吸附介质”。暂存采气分公司危险废物贮存库，定期委托有危废处置资质的单位处置；采出气通过三甘醇脱水装置进行脱水，由生产厂家来定期更换三甘醇，更换频次约1次/年，徐深27区块内1座集气站产生废三甘醇约70t/a。更换后产生的废三甘醇属于一般固废，委托相关单位处理；区块内场站员工产生的生活垃圾产生量约为0.365t/a，统一收集送周围垃圾点，由市政环卫部门统一清理。</w:t>
            </w:r>
          </w:p>
          <w:p w14:paraId="382AA187">
            <w:pPr>
              <w:widowControl w:val="0"/>
              <w:spacing w:line="320" w:lineRule="exact"/>
              <w:jc w:val="both"/>
              <w:rPr>
                <w:rFonts w:hint="default" w:ascii="Times New Roman" w:hAnsi="Times New Roman" w:cs="Times New Roman" w:eastAsiaTheme="minorEastAsia"/>
                <w:color w:val="auto"/>
                <w:w w:val="99"/>
                <w:kern w:val="2"/>
                <w:sz w:val="21"/>
                <w:highlight w:val="none"/>
                <w:lang w:bidi="zh-CN"/>
              </w:rPr>
            </w:pPr>
            <w:r>
              <w:rPr>
                <w:rFonts w:hint="default" w:ascii="Times New Roman" w:hAnsi="Times New Roman" w:cs="Times New Roman" w:eastAsiaTheme="minorEastAsia"/>
                <w:color w:val="auto"/>
                <w:w w:val="99"/>
                <w:kern w:val="2"/>
                <w:sz w:val="21"/>
                <w:highlight w:val="none"/>
                <w:lang w:bidi="zh-CN"/>
              </w:rPr>
              <w:t>。区块内生态恢复良好，未发现生态环境问题和环境风险隐患。</w:t>
            </w:r>
          </w:p>
          <w:p w14:paraId="546C2896">
            <w:pPr>
              <w:widowControl w:val="0"/>
              <w:spacing w:line="320" w:lineRule="exact"/>
              <w:jc w:val="both"/>
              <w:rPr>
                <w:rFonts w:hint="default" w:ascii="Times New Roman" w:hAnsi="Times New Roman" w:cs="Times New Roman" w:eastAsiaTheme="minorEastAsia"/>
                <w:color w:val="auto"/>
                <w:w w:val="99"/>
                <w:kern w:val="2"/>
                <w:sz w:val="21"/>
                <w:highlight w:val="none"/>
                <w:lang w:val="en-US" w:eastAsia="zh-CN" w:bidi="zh-CN"/>
              </w:rPr>
            </w:pPr>
            <w:r>
              <w:rPr>
                <w:rFonts w:ascii="Times New Roman" w:hAnsi="Times New Roman" w:cs="Times New Roman" w:eastAsiaTheme="minorEastAsia"/>
                <w:color w:val="auto"/>
                <w:w w:val="99"/>
                <w:kern w:val="2"/>
                <w:sz w:val="21"/>
                <w:highlight w:val="none"/>
                <w:lang w:bidi="zh-CN"/>
              </w:rPr>
              <w:t>④明确了现有区块的污染物排放情况，依托设施的对依托工程进行了依托可行性分析，包括升一联气田污水预处理站、</w:t>
            </w:r>
            <w:r>
              <w:rPr>
                <w:rFonts w:hint="eastAsia" w:ascii="Times New Roman" w:hAnsi="Times New Roman" w:cs="Times New Roman" w:eastAsiaTheme="minorEastAsia"/>
                <w:color w:val="auto"/>
                <w:w w:val="99"/>
                <w:kern w:val="2"/>
                <w:sz w:val="21"/>
                <w:highlight w:val="none"/>
                <w:lang w:bidi="zh-CN"/>
              </w:rPr>
              <w:t>采油八厂废弃钻井液集中处理站</w:t>
            </w:r>
            <w:r>
              <w:rPr>
                <w:rFonts w:ascii="Times New Roman" w:hAnsi="Times New Roman" w:cs="Times New Roman" w:eastAsiaTheme="minorEastAsia"/>
                <w:color w:val="auto"/>
                <w:w w:val="99"/>
                <w:kern w:val="2"/>
                <w:sz w:val="21"/>
                <w:highlight w:val="none"/>
                <w:lang w:bidi="zh-CN"/>
              </w:rPr>
              <w:t>、</w:t>
            </w:r>
            <w:r>
              <w:rPr>
                <w:rFonts w:hint="eastAsia" w:ascii="Times New Roman" w:hAnsi="Times New Roman" w:cs="Times New Roman" w:eastAsiaTheme="minorEastAsia"/>
                <w:color w:val="auto"/>
                <w:w w:val="99"/>
                <w:kern w:val="2"/>
                <w:sz w:val="21"/>
                <w:highlight w:val="none"/>
                <w:lang w:bidi="zh-CN"/>
              </w:rPr>
              <w:t>采油九厂塔三压裂返排液处理站</w:t>
            </w:r>
            <w:r>
              <w:rPr>
                <w:rFonts w:ascii="Times New Roman" w:hAnsi="Times New Roman" w:cs="Times New Roman" w:eastAsiaTheme="minorEastAsia"/>
                <w:color w:val="auto"/>
                <w:w w:val="99"/>
                <w:kern w:val="2"/>
                <w:sz w:val="21"/>
                <w:highlight w:val="none"/>
                <w:lang w:bidi="zh-CN"/>
              </w:rPr>
              <w:t>、</w:t>
            </w:r>
            <w:r>
              <w:rPr>
                <w:rFonts w:hint="eastAsia" w:ascii="Times New Roman" w:hAnsi="Times New Roman" w:cs="Times New Roman" w:eastAsiaTheme="minorEastAsia"/>
                <w:color w:val="auto"/>
                <w:w w:val="99"/>
                <w:kern w:val="2"/>
                <w:sz w:val="21"/>
                <w:highlight w:val="none"/>
                <w:lang w:val="en-US" w:eastAsia="zh-CN" w:bidi="zh-CN"/>
              </w:rPr>
              <w:t>第八采油厂工业固体废物填埋场</w:t>
            </w:r>
            <w:r>
              <w:rPr>
                <w:rFonts w:ascii="Times New Roman" w:hAnsi="Times New Roman" w:cs="Times New Roman" w:eastAsiaTheme="minorEastAsia"/>
                <w:color w:val="auto"/>
                <w:w w:val="99"/>
                <w:kern w:val="2"/>
                <w:sz w:val="21"/>
                <w:highlight w:val="none"/>
                <w:lang w:bidi="zh-CN"/>
              </w:rPr>
              <w:t>等。依托可行性及其污染物产生及排放情况，各依托设施均可有效依托</w:t>
            </w:r>
            <w:r>
              <w:rPr>
                <w:rFonts w:hint="default" w:ascii="Times New Roman" w:hAnsi="Times New Roman" w:cs="Times New Roman" w:eastAsiaTheme="minorEastAsia"/>
                <w:color w:val="auto"/>
                <w:w w:val="99"/>
                <w:kern w:val="2"/>
                <w:sz w:val="21"/>
                <w:highlight w:val="none"/>
                <w:lang w:val="en-US" w:eastAsia="zh-CN" w:bidi="zh-CN"/>
              </w:rPr>
              <w:t>。</w:t>
            </w:r>
          </w:p>
          <w:p w14:paraId="4A0C6BE3">
            <w:pPr>
              <w:widowControl w:val="0"/>
              <w:spacing w:line="320" w:lineRule="exact"/>
              <w:jc w:val="both"/>
              <w:rPr>
                <w:rFonts w:ascii="Times New Roman" w:hAnsi="Times New Roman" w:cs="Times New Roman" w:eastAsiaTheme="minorEastAsia"/>
                <w:color w:val="auto"/>
                <w:w w:val="99"/>
                <w:kern w:val="2"/>
                <w:sz w:val="21"/>
                <w:highlight w:val="none"/>
                <w:lang w:bidi="zh-CN"/>
              </w:rPr>
            </w:pPr>
          </w:p>
        </w:tc>
        <w:tc>
          <w:tcPr>
            <w:tcW w:w="528" w:type="pct"/>
            <w:vAlign w:val="center"/>
          </w:tcPr>
          <w:p w14:paraId="5993B7C2">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14:paraId="6296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vAlign w:val="center"/>
          </w:tcPr>
          <w:p w14:paraId="206E2936">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2</w:t>
            </w:r>
          </w:p>
        </w:tc>
        <w:tc>
          <w:tcPr>
            <w:tcW w:w="1630" w:type="pct"/>
            <w:vAlign w:val="center"/>
          </w:tcPr>
          <w:p w14:paraId="3D2FAF1F">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确定产能建设规模后，原则上不得以勘探名义继续开展单井环评。勘探井转为生产井的，可以纳入区块环评。自2021年1月1日起，原则上不以单井形式开展环评。</w:t>
            </w:r>
          </w:p>
        </w:tc>
        <w:tc>
          <w:tcPr>
            <w:tcW w:w="2441" w:type="pct"/>
            <w:vAlign w:val="center"/>
          </w:tcPr>
          <w:p w14:paraId="695DFC12">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lang w:val="en-US" w:eastAsia="zh-CN"/>
              </w:rPr>
              <w:t>本项目为气田产能建设工程，非勘探项目，本项目涉及基建1口气井，不以单井形式开展环评</w:t>
            </w:r>
            <w:r>
              <w:rPr>
                <w:rFonts w:ascii="Times New Roman" w:hAnsi="Times New Roman" w:cs="Times New Roman" w:eastAsiaTheme="minorEastAsia"/>
                <w:color w:val="auto"/>
                <w:w w:val="99"/>
                <w:kern w:val="2"/>
                <w:sz w:val="21"/>
                <w:highlight w:val="none"/>
              </w:rPr>
              <w:t>。</w:t>
            </w:r>
          </w:p>
        </w:tc>
        <w:tc>
          <w:tcPr>
            <w:tcW w:w="528" w:type="pct"/>
            <w:vAlign w:val="center"/>
          </w:tcPr>
          <w:p w14:paraId="559C2723">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14:paraId="093D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vAlign w:val="center"/>
          </w:tcPr>
          <w:p w14:paraId="3CF1CA7F">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3</w:t>
            </w:r>
          </w:p>
        </w:tc>
        <w:tc>
          <w:tcPr>
            <w:tcW w:w="1630" w:type="pct"/>
            <w:vAlign w:val="center"/>
          </w:tcPr>
          <w:p w14:paraId="22F23571">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涉及向地表水体排放污染物的陆地油气开采项目，应当符合国家和地方污染物排放标准，满足重点污染物排放总量控制要求。</w:t>
            </w:r>
          </w:p>
        </w:tc>
        <w:tc>
          <w:tcPr>
            <w:tcW w:w="2441" w:type="pct"/>
            <w:vAlign w:val="center"/>
          </w:tcPr>
          <w:p w14:paraId="40F8F895">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本项目施工期及运营期产生的废水均不外排。</w:t>
            </w:r>
          </w:p>
        </w:tc>
        <w:tc>
          <w:tcPr>
            <w:tcW w:w="528" w:type="pct"/>
            <w:vAlign w:val="center"/>
          </w:tcPr>
          <w:p w14:paraId="2A653F60">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14:paraId="4349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8" w:type="pct"/>
            <w:vAlign w:val="center"/>
          </w:tcPr>
          <w:p w14:paraId="07D42E38">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4</w:t>
            </w:r>
          </w:p>
        </w:tc>
        <w:tc>
          <w:tcPr>
            <w:tcW w:w="1630" w:type="pct"/>
            <w:vAlign w:val="center"/>
          </w:tcPr>
          <w:p w14:paraId="71FDC799">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涉及废水回注的，应当论证回注的环境可行性，采取切实可行的地下水污染防治和监控措施，不得回注与油气开采无关的废水，严禁造成地下水污染。在相关行业污染控制标准发布前，回注的开采废水应当经处理并符合《</w:t>
            </w:r>
            <w:r>
              <w:rPr>
                <w:rFonts w:hint="eastAsia" w:ascii="Times New Roman" w:hAnsi="Times New Roman" w:cs="Times New Roman" w:eastAsiaTheme="minorEastAsia"/>
                <w:color w:val="auto"/>
                <w:w w:val="99"/>
                <w:kern w:val="2"/>
                <w:sz w:val="21"/>
                <w:highlight w:val="none"/>
              </w:rPr>
              <w:t>碎屑岩油藏注水水质指标技术要求及分析方法</w:t>
            </w:r>
            <w:r>
              <w:rPr>
                <w:rFonts w:ascii="Times New Roman" w:hAnsi="Times New Roman" w:cs="Times New Roman" w:eastAsiaTheme="minorEastAsia"/>
                <w:color w:val="auto"/>
                <w:w w:val="99"/>
                <w:kern w:val="2"/>
                <w:sz w:val="21"/>
                <w:highlight w:val="none"/>
              </w:rPr>
              <w:t>》（SY/T5329-2022）等相关标准要求后回注，同步采取切实可行措施防治污染。回注目的层应当为地质构造封闭地层，一般应当回注到现役油气藏或枯竭废弃油气藏。</w:t>
            </w:r>
          </w:p>
        </w:tc>
        <w:tc>
          <w:tcPr>
            <w:tcW w:w="2441" w:type="pct"/>
            <w:vAlign w:val="center"/>
          </w:tcPr>
          <w:p w14:paraId="2FDF2DB2">
            <w:pPr>
              <w:widowControl w:val="0"/>
              <w:spacing w:line="320" w:lineRule="exact"/>
              <w:jc w:val="both"/>
              <w:rPr>
                <w:rFonts w:ascii="Times New Roman" w:hAnsi="Times New Roman" w:cs="Times New Roman" w:eastAsiaTheme="minorEastAsia"/>
                <w:color w:val="auto"/>
                <w:w w:val="99"/>
                <w:kern w:val="2"/>
                <w:sz w:val="21"/>
                <w:highlight w:val="none"/>
              </w:rPr>
            </w:pPr>
            <w:r>
              <w:rPr>
                <w:rFonts w:hint="default" w:ascii="Times New Roman" w:hAnsi="Times New Roman" w:cs="Times New Roman" w:eastAsiaTheme="minorEastAsia"/>
                <w:color w:val="auto"/>
                <w:w w:val="99"/>
                <w:kern w:val="2"/>
                <w:sz w:val="21"/>
                <w:highlight w:val="none"/>
                <w:lang w:val="en-US" w:eastAsia="zh-CN"/>
              </w:rPr>
              <w:t>施工期</w:t>
            </w:r>
            <w:r>
              <w:rPr>
                <w:rFonts w:hint="eastAsia" w:ascii="Times New Roman" w:hAnsi="Times New Roman" w:cs="Times New Roman" w:eastAsiaTheme="minorEastAsia"/>
                <w:color w:val="auto"/>
                <w:w w:val="99"/>
                <w:kern w:val="2"/>
                <w:sz w:val="21"/>
                <w:highlight w:val="none"/>
                <w:lang w:val="en-US" w:eastAsia="zh-CN"/>
              </w:rPr>
              <w:t>试压废水拉运至升一联气田污水预处理站处理满足《</w:t>
            </w:r>
            <w:r>
              <w:rPr>
                <w:rFonts w:ascii="Times New Roman" w:hAnsi="Times New Roman" w:cs="Times New Roman" w:eastAsiaTheme="minorEastAsia"/>
                <w:color w:val="auto"/>
                <w:w w:val="99"/>
                <w:kern w:val="2"/>
                <w:sz w:val="21"/>
                <w:highlight w:val="none"/>
              </w:rPr>
              <w:t>大庆油田地面工程建设设计规定》（Q/SYDQ0639- 2015） 限值“含油量≤10mg/L、悬浮固体含量 ≤5mg/L、粒径 中值≤2μm” ，同时满足《碎屑岩油藏注水水质指标技术要求及分析方法》 (SY/T5329-2022)中标准限值，回注地 下；气田采出水暂存在污水罐内，经污水管线输送至升一联气田污水预处理站处理满足《大庆油田地面工程建设设计规 定》 （Q/SYDQ0639-2015） 限值“含油量≤10mg/L、悬浮固体含量≤5mg/L、粒径中值≤2μm” ，同时满足《碎屑岩油藏注水水质指标技术要求及分析方 法 》 (SY/T5329-2022) 中 标 准 限值，回注地下</w:t>
            </w:r>
            <w:r>
              <w:rPr>
                <w:rFonts w:hint="eastAsia" w:ascii="Times New Roman" w:hAnsi="Times New Roman" w:cs="Times New Roman" w:eastAsiaTheme="minorEastAsia"/>
                <w:color w:val="auto"/>
                <w:w w:val="99"/>
                <w:kern w:val="2"/>
                <w:sz w:val="21"/>
                <w:highlight w:val="none"/>
                <w:lang w:val="en-US" w:eastAsia="zh-CN"/>
              </w:rPr>
              <w:t>油层</w:t>
            </w:r>
            <w:r>
              <w:rPr>
                <w:rFonts w:ascii="Times New Roman" w:hAnsi="Times New Roman" w:cs="Times New Roman" w:eastAsiaTheme="minorEastAsia"/>
                <w:color w:val="auto"/>
                <w:w w:val="99"/>
                <w:kern w:val="2"/>
                <w:sz w:val="21"/>
                <w:highlight w:val="none"/>
              </w:rPr>
              <w:t>。</w:t>
            </w:r>
          </w:p>
        </w:tc>
        <w:tc>
          <w:tcPr>
            <w:tcW w:w="528" w:type="pct"/>
            <w:vAlign w:val="center"/>
          </w:tcPr>
          <w:p w14:paraId="1FE8DBE9">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14:paraId="554A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69B96B68">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5</w:t>
            </w:r>
          </w:p>
        </w:tc>
        <w:tc>
          <w:tcPr>
            <w:tcW w:w="1630" w:type="pct"/>
            <w:vAlign w:val="center"/>
          </w:tcPr>
          <w:p w14:paraId="095A5764">
            <w:pPr>
              <w:spacing w:line="320" w:lineRule="exact"/>
              <w:jc w:val="both"/>
              <w:rPr>
                <w:rFonts w:hint="eastAsia" w:ascii="Times New Roman" w:hAnsi="Times New Roman" w:cs="Times New Roman" w:eastAsiaTheme="minorEastAsia"/>
                <w:color w:val="auto"/>
                <w:w w:val="99"/>
                <w:kern w:val="2"/>
                <w:sz w:val="21"/>
                <w:highlight w:val="none"/>
                <w:lang w:eastAsia="zh-CN"/>
              </w:rPr>
            </w:pPr>
            <w:r>
              <w:rPr>
                <w:rFonts w:ascii="Times New Roman" w:hAnsi="Times New Roman" w:cs="Times New Roman" w:eastAsiaTheme="minorEastAsia"/>
                <w:color w:val="auto"/>
                <w:w w:val="99"/>
                <w:kern w:val="2"/>
                <w:sz w:val="21"/>
                <w:highlight w:val="none"/>
              </w:rPr>
              <w:t>通过采取设备密闭、废气有效收集及配套高效末端处理设施等措施，有效控制挥发性有机物和恶臭气体无组织排放</w:t>
            </w:r>
            <w:r>
              <w:rPr>
                <w:rFonts w:hint="eastAsia" w:ascii="Times New Roman" w:hAnsi="Times New Roman" w:cs="Times New Roman" w:eastAsiaTheme="minorEastAsia"/>
                <w:color w:val="auto"/>
                <w:w w:val="99"/>
                <w:kern w:val="2"/>
                <w:sz w:val="21"/>
                <w:highlight w:val="none"/>
                <w:lang w:eastAsia="zh-CN"/>
              </w:rPr>
              <w:t>。</w:t>
            </w:r>
          </w:p>
        </w:tc>
        <w:tc>
          <w:tcPr>
            <w:tcW w:w="2441" w:type="pct"/>
            <w:vAlign w:val="center"/>
          </w:tcPr>
          <w:p w14:paraId="52949BCB">
            <w:pPr>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本项目采用密闭集输工艺，大大降低了天然气的挥发量。</w:t>
            </w:r>
          </w:p>
          <w:p w14:paraId="69D74C4D">
            <w:pPr>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lang w:val="en-US" w:eastAsia="zh-CN"/>
              </w:rPr>
              <w:t>井场及</w:t>
            </w:r>
            <w:r>
              <w:rPr>
                <w:rFonts w:ascii="Times New Roman" w:hAnsi="Times New Roman" w:cs="Times New Roman" w:eastAsiaTheme="minorEastAsia"/>
                <w:color w:val="auto"/>
                <w:w w:val="99"/>
                <w:kern w:val="2"/>
                <w:sz w:val="21"/>
                <w:highlight w:val="none"/>
              </w:rPr>
              <w:t>徐深</w:t>
            </w:r>
            <w:r>
              <w:rPr>
                <w:rFonts w:hint="eastAsia" w:ascii="Times New Roman" w:hAnsi="Times New Roman" w:cs="Times New Roman" w:eastAsiaTheme="minorEastAsia"/>
                <w:color w:val="auto"/>
                <w:w w:val="99"/>
                <w:kern w:val="2"/>
                <w:sz w:val="21"/>
                <w:highlight w:val="none"/>
                <w:lang w:val="en-US" w:eastAsia="zh-CN"/>
              </w:rPr>
              <w:t>27</w:t>
            </w:r>
            <w:r>
              <w:rPr>
                <w:rFonts w:ascii="Times New Roman" w:hAnsi="Times New Roman" w:cs="Times New Roman" w:eastAsiaTheme="minorEastAsia"/>
                <w:color w:val="auto"/>
                <w:w w:val="99"/>
                <w:kern w:val="2"/>
                <w:sz w:val="21"/>
                <w:highlight w:val="none"/>
              </w:rPr>
              <w:t>集气站厂界外非甲烷总烃无组织排放浓度监测结果可知，满足《陆上石油天然气开采工业大气污染物排放标准》（GB39728-2020）中的相关标准要求，可以有效控制挥发性有机物无组织排放。徐深</w:t>
            </w:r>
            <w:r>
              <w:rPr>
                <w:rFonts w:hint="eastAsia" w:ascii="Times New Roman" w:hAnsi="Times New Roman" w:cs="Times New Roman" w:eastAsiaTheme="minorEastAsia"/>
                <w:color w:val="auto"/>
                <w:w w:val="99"/>
                <w:kern w:val="2"/>
                <w:sz w:val="21"/>
                <w:highlight w:val="none"/>
                <w:lang w:val="en-US" w:eastAsia="zh-CN"/>
              </w:rPr>
              <w:t>27</w:t>
            </w:r>
            <w:r>
              <w:rPr>
                <w:rFonts w:ascii="Times New Roman" w:hAnsi="Times New Roman" w:cs="Times New Roman" w:eastAsiaTheme="minorEastAsia"/>
                <w:color w:val="auto"/>
                <w:w w:val="99"/>
                <w:kern w:val="2"/>
                <w:sz w:val="21"/>
                <w:highlight w:val="none"/>
              </w:rPr>
              <w:t>集气站加热炉烟气</w:t>
            </w:r>
            <w:r>
              <w:rPr>
                <w:rFonts w:hint="eastAsia" w:ascii="Times New Roman" w:hAnsi="Times New Roman" w:cs="Times New Roman" w:eastAsiaTheme="minorEastAsia"/>
                <w:color w:val="auto"/>
                <w:w w:val="99"/>
                <w:kern w:val="2"/>
                <w:sz w:val="21"/>
                <w:highlight w:val="none"/>
                <w:lang w:val="en-US" w:eastAsia="zh-CN"/>
              </w:rPr>
              <w:t>排放浓度可以</w:t>
            </w:r>
            <w:r>
              <w:rPr>
                <w:rFonts w:ascii="Times New Roman" w:hAnsi="Times New Roman" w:cs="Times New Roman" w:eastAsiaTheme="minorEastAsia"/>
                <w:color w:val="auto"/>
                <w:w w:val="99"/>
                <w:kern w:val="2"/>
                <w:sz w:val="21"/>
                <w:highlight w:val="none"/>
              </w:rPr>
              <w:t>达标排放。</w:t>
            </w:r>
          </w:p>
        </w:tc>
        <w:tc>
          <w:tcPr>
            <w:tcW w:w="528" w:type="pct"/>
            <w:vAlign w:val="center"/>
          </w:tcPr>
          <w:p w14:paraId="03970FED">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14:paraId="3AE8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98" w:type="pct"/>
            <w:vAlign w:val="center"/>
          </w:tcPr>
          <w:p w14:paraId="2B92E5AE">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6</w:t>
            </w:r>
          </w:p>
        </w:tc>
        <w:tc>
          <w:tcPr>
            <w:tcW w:w="1630" w:type="pct"/>
            <w:shd w:val="clear" w:color="auto" w:fill="auto"/>
            <w:vAlign w:val="center"/>
          </w:tcPr>
          <w:p w14:paraId="3D821642">
            <w:pPr>
              <w:spacing w:line="320" w:lineRule="exact"/>
              <w:jc w:val="both"/>
              <w:rPr>
                <w:rFonts w:ascii="Times New Roman" w:hAnsi="Times New Roman" w:cs="Times New Roman" w:eastAsiaTheme="minorEastAsia"/>
                <w:color w:val="auto"/>
                <w:w w:val="99"/>
                <w:kern w:val="2"/>
                <w:sz w:val="21"/>
                <w:szCs w:val="24"/>
                <w:highlight w:val="none"/>
                <w:lang w:val="en-US" w:eastAsia="zh-CN" w:bidi="ar-SA"/>
              </w:rPr>
            </w:pPr>
            <w:r>
              <w:rPr>
                <w:rFonts w:ascii="Times New Roman" w:hAnsi="Times New Roman" w:cs="Times New Roman" w:eastAsiaTheme="minorEastAsia"/>
                <w:color w:val="auto"/>
                <w:w w:val="99"/>
                <w:kern w:val="2"/>
                <w:sz w:val="21"/>
                <w:highlight w:val="none"/>
              </w:rPr>
              <w:t>施工期应当尽量减少施工占地、缩短施工时间、选择合理施工方式、落实环境敏感区管控要求以及其他生态环境保护措施，降低生态环境影响。钻井和压裂设备应当优先使用网电、高标准清洁燃油，减少废气排放。</w:t>
            </w:r>
          </w:p>
        </w:tc>
        <w:tc>
          <w:tcPr>
            <w:tcW w:w="2441" w:type="pct"/>
            <w:shd w:val="clear" w:color="auto" w:fill="auto"/>
            <w:vAlign w:val="center"/>
          </w:tcPr>
          <w:p w14:paraId="429CB7D8">
            <w:pPr>
              <w:widowControl w:val="0"/>
              <w:autoSpaceDE w:val="0"/>
              <w:autoSpaceDN w:val="0"/>
              <w:spacing w:line="320" w:lineRule="exact"/>
              <w:jc w:val="both"/>
              <w:rPr>
                <w:rFonts w:ascii="Times New Roman" w:hAnsi="Times New Roman" w:cs="Times New Roman" w:eastAsiaTheme="minorEastAsia"/>
                <w:color w:val="auto"/>
                <w:w w:val="99"/>
                <w:kern w:val="2"/>
                <w:sz w:val="21"/>
                <w:szCs w:val="24"/>
                <w:highlight w:val="none"/>
                <w:lang w:val="en-US" w:eastAsia="zh-CN" w:bidi="ar-SA"/>
              </w:rPr>
            </w:pPr>
            <w:r>
              <w:rPr>
                <w:rFonts w:ascii="Times New Roman" w:hAnsi="Times New Roman" w:cs="Times New Roman" w:eastAsiaTheme="minorEastAsia"/>
                <w:color w:val="auto"/>
                <w:w w:val="99"/>
                <w:kern w:val="2"/>
                <w:sz w:val="21"/>
                <w:highlight w:val="none"/>
                <w:lang w:bidi="zh-CN"/>
              </w:rPr>
              <w:t>施工期井场、管线均在临时用地内进行施工，施工采用人工开挖和机械开挖相结合的方式。</w:t>
            </w:r>
            <w:r>
              <w:rPr>
                <w:rFonts w:ascii="Times New Roman" w:hAnsi="Times New Roman" w:cs="Times New Roman" w:eastAsiaTheme="minorEastAsia"/>
                <w:color w:val="auto"/>
                <w:w w:val="99"/>
                <w:kern w:val="2"/>
                <w:sz w:val="21"/>
                <w:highlight w:val="none"/>
              </w:rPr>
              <w:t>环评中已提出耕地的保护措施，本项目钻井及压裂用产品质量达标的低标号柴油，采用节能环保型柴油动力设备。</w:t>
            </w:r>
          </w:p>
        </w:tc>
        <w:tc>
          <w:tcPr>
            <w:tcW w:w="528" w:type="pct"/>
            <w:shd w:val="clear" w:color="auto" w:fill="auto"/>
            <w:vAlign w:val="center"/>
          </w:tcPr>
          <w:p w14:paraId="1145B974">
            <w:pPr>
              <w:spacing w:line="320" w:lineRule="exact"/>
              <w:jc w:val="center"/>
              <w:rPr>
                <w:rFonts w:ascii="Times New Roman" w:hAnsi="Times New Roman" w:cs="Times New Roman" w:eastAsiaTheme="minorEastAsia"/>
                <w:color w:val="auto"/>
                <w:w w:val="99"/>
                <w:kern w:val="2"/>
                <w:sz w:val="21"/>
                <w:szCs w:val="24"/>
                <w:highlight w:val="none"/>
                <w:lang w:val="en-US" w:eastAsia="zh-CN" w:bidi="ar-SA"/>
              </w:rPr>
            </w:pPr>
            <w:r>
              <w:rPr>
                <w:rFonts w:ascii="Times New Roman" w:hAnsi="Times New Roman" w:cs="Times New Roman" w:eastAsiaTheme="minorEastAsia"/>
                <w:color w:val="auto"/>
                <w:w w:val="99"/>
                <w:kern w:val="2"/>
                <w:sz w:val="21"/>
                <w:highlight w:val="none"/>
              </w:rPr>
              <w:t>符合</w:t>
            </w:r>
          </w:p>
        </w:tc>
      </w:tr>
      <w:tr w14:paraId="07BB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006E93F1">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7</w:t>
            </w:r>
          </w:p>
        </w:tc>
        <w:tc>
          <w:tcPr>
            <w:tcW w:w="1630" w:type="pct"/>
            <w:shd w:val="clear" w:color="auto" w:fill="auto"/>
            <w:vAlign w:val="center"/>
          </w:tcPr>
          <w:p w14:paraId="2D2E24C5">
            <w:pPr>
              <w:spacing w:line="320" w:lineRule="exact"/>
              <w:jc w:val="both"/>
              <w:rPr>
                <w:rFonts w:ascii="Times New Roman" w:hAnsi="Times New Roman" w:cs="Times New Roman" w:eastAsiaTheme="minorEastAsia"/>
                <w:color w:val="auto"/>
                <w:w w:val="99"/>
                <w:kern w:val="2"/>
                <w:sz w:val="21"/>
                <w:szCs w:val="24"/>
                <w:highlight w:val="none"/>
                <w:lang w:val="en-US" w:eastAsia="zh-CN" w:bidi="ar-SA"/>
              </w:rPr>
            </w:pPr>
            <w:r>
              <w:rPr>
                <w:rFonts w:ascii="Times New Roman" w:hAnsi="Times New Roman" w:cs="Times New Roman" w:eastAsiaTheme="minorEastAsia"/>
                <w:color w:val="auto"/>
                <w:w w:val="99"/>
                <w:kern w:val="2"/>
                <w:sz w:val="21"/>
                <w:highlight w:val="none"/>
              </w:rPr>
              <w:t>油气企业应当加强风险防控，按规定编制突发环境事件应急预案，报所在地生态环境主管部门备案。</w:t>
            </w:r>
          </w:p>
        </w:tc>
        <w:tc>
          <w:tcPr>
            <w:tcW w:w="2441" w:type="pct"/>
            <w:shd w:val="clear" w:color="auto" w:fill="auto"/>
            <w:vAlign w:val="center"/>
          </w:tcPr>
          <w:p w14:paraId="5E457774">
            <w:pPr>
              <w:widowControl w:val="0"/>
              <w:autoSpaceDE w:val="0"/>
              <w:autoSpaceDN w:val="0"/>
              <w:spacing w:line="320" w:lineRule="exact"/>
              <w:jc w:val="both"/>
              <w:rPr>
                <w:rFonts w:ascii="Times New Roman" w:hAnsi="Times New Roman" w:cs="Times New Roman" w:eastAsiaTheme="minorEastAsia"/>
                <w:color w:val="auto"/>
                <w:w w:val="99"/>
                <w:kern w:val="2"/>
                <w:sz w:val="21"/>
                <w:szCs w:val="24"/>
                <w:highlight w:val="none"/>
                <w:lang w:val="en-US" w:eastAsia="zh-CN" w:bidi="ar-SA"/>
              </w:rPr>
            </w:pPr>
            <w:r>
              <w:rPr>
                <w:rFonts w:hint="eastAsia" w:ascii="Times New Roman" w:hAnsi="Times New Roman" w:cs="Times New Roman"/>
                <w:color w:val="auto"/>
                <w:w w:val="99"/>
                <w:sz w:val="21"/>
                <w:szCs w:val="21"/>
                <w:highlight w:val="none"/>
                <w:lang w:val="en-US" w:eastAsia="zh-CN" w:bidi="ar-SA"/>
              </w:rPr>
              <w:t>大庆</w:t>
            </w:r>
            <w:r>
              <w:rPr>
                <w:rFonts w:hint="default" w:ascii="Times New Roman" w:hAnsi="Times New Roman" w:eastAsia="宋体" w:cs="Times New Roman"/>
                <w:color w:val="auto"/>
                <w:w w:val="99"/>
                <w:sz w:val="21"/>
                <w:szCs w:val="21"/>
                <w:highlight w:val="none"/>
                <w:lang w:val="en-US" w:eastAsia="zh-CN" w:bidi="ar-SA"/>
              </w:rPr>
              <w:t>油田有限责任公司采气分公司于2024年10月23日在大庆市让胡路生态环境局备案了企业环境风险应急预案（备案号230604-2024-47-L），大庆油田有限责任公司采气分公司本项目建成后应将已备案的应急预案根据本次工程内容进行修订，包括相关工作人员的培训和演练等</w:t>
            </w:r>
            <w:r>
              <w:rPr>
                <w:rFonts w:ascii="Times New Roman" w:hAnsi="Times New Roman" w:cs="Times New Roman" w:eastAsiaTheme="minorEastAsia"/>
                <w:color w:val="auto"/>
                <w:w w:val="99"/>
                <w:kern w:val="2"/>
                <w:sz w:val="21"/>
                <w:highlight w:val="none"/>
              </w:rPr>
              <w:t>。</w:t>
            </w:r>
          </w:p>
        </w:tc>
        <w:tc>
          <w:tcPr>
            <w:tcW w:w="528" w:type="pct"/>
            <w:shd w:val="clear" w:color="auto" w:fill="auto"/>
            <w:vAlign w:val="center"/>
          </w:tcPr>
          <w:p w14:paraId="2A0472F9">
            <w:pPr>
              <w:spacing w:line="320" w:lineRule="exact"/>
              <w:jc w:val="center"/>
              <w:rPr>
                <w:rFonts w:ascii="Times New Roman" w:hAnsi="Times New Roman" w:cs="Times New Roman" w:eastAsiaTheme="minorEastAsia"/>
                <w:color w:val="auto"/>
                <w:w w:val="99"/>
                <w:kern w:val="2"/>
                <w:sz w:val="21"/>
                <w:szCs w:val="24"/>
                <w:highlight w:val="none"/>
                <w:lang w:val="en-US" w:eastAsia="zh-CN" w:bidi="ar-SA"/>
              </w:rPr>
            </w:pPr>
            <w:r>
              <w:rPr>
                <w:rFonts w:ascii="Times New Roman" w:hAnsi="Times New Roman" w:cs="Times New Roman" w:eastAsiaTheme="minorEastAsia"/>
                <w:color w:val="auto"/>
                <w:w w:val="99"/>
                <w:kern w:val="2"/>
                <w:sz w:val="21"/>
                <w:highlight w:val="none"/>
              </w:rPr>
              <w:t>符合</w:t>
            </w:r>
          </w:p>
        </w:tc>
      </w:tr>
    </w:tbl>
    <w:p w14:paraId="303A215A">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由上表可知，本项目符合《关于进一步加强石油天然气行业环境影响评价管理的通知》（环办环评函[2019]910号）中要求。</w:t>
      </w:r>
    </w:p>
    <w:p w14:paraId="6110C2A5">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1.4.3.2 与《石油天然气开采业污染防治技术政策》（公告2012年第18号）符合性判定</w:t>
      </w:r>
    </w:p>
    <w:p w14:paraId="5B0815F2">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本项目与《石油天然气开采业污染防治技术政策》（公告2012年第18号）符合性分析见表1.4-</w:t>
      </w:r>
      <w:r>
        <w:rPr>
          <w:rFonts w:hint="eastAsia" w:ascii="Times New Roman" w:hAnsi="Times New Roman" w:cs="Times New Roman"/>
          <w:color w:val="auto"/>
          <w:spacing w:val="0"/>
          <w:w w:val="99"/>
          <w:position w:val="0"/>
          <w:sz w:val="24"/>
          <w:szCs w:val="24"/>
          <w:highlight w:val="none"/>
          <w:lang w:val="en-US" w:eastAsia="zh-CN" w:bidi="ar-SA"/>
        </w:rPr>
        <w:t>3</w:t>
      </w:r>
      <w:r>
        <w:rPr>
          <w:rFonts w:hint="default" w:ascii="Times New Roman" w:hAnsi="Times New Roman" w:eastAsia="宋体" w:cs="Times New Roman"/>
          <w:color w:val="auto"/>
          <w:spacing w:val="0"/>
          <w:w w:val="99"/>
          <w:position w:val="0"/>
          <w:sz w:val="24"/>
          <w:szCs w:val="24"/>
          <w:highlight w:val="none"/>
          <w:lang w:val="en-US" w:eastAsia="zh-CN" w:bidi="ar-SA"/>
        </w:rPr>
        <w:t>。</w:t>
      </w:r>
    </w:p>
    <w:p w14:paraId="603ED53B">
      <w:pPr>
        <w:spacing w:line="440" w:lineRule="exact"/>
        <w:jc w:val="center"/>
        <w:rPr>
          <w:rFonts w:ascii="Times New Roman" w:hAnsi="Times New Roman" w:cs="Times New Roman" w:eastAsiaTheme="majorEastAsia"/>
          <w:b/>
          <w:color w:val="auto"/>
          <w:w w:val="99"/>
          <w:szCs w:val="32"/>
          <w:highlight w:val="none"/>
        </w:rPr>
      </w:pPr>
      <w:r>
        <w:rPr>
          <w:rFonts w:ascii="Times New Roman" w:hAnsi="Times New Roman" w:cs="Times New Roman" w:eastAsiaTheme="majorEastAsia"/>
          <w:b/>
          <w:color w:val="auto"/>
          <w:w w:val="99"/>
          <w:szCs w:val="32"/>
          <w:highlight w:val="none"/>
          <w:lang w:bidi="zh-CN"/>
        </w:rPr>
        <w:t>表1.4-</w:t>
      </w:r>
      <w:r>
        <w:rPr>
          <w:rFonts w:hint="eastAsia" w:ascii="Times New Roman" w:hAnsi="Times New Roman" w:cs="Times New Roman" w:eastAsiaTheme="majorEastAsia"/>
          <w:b/>
          <w:color w:val="auto"/>
          <w:w w:val="99"/>
          <w:szCs w:val="32"/>
          <w:highlight w:val="none"/>
          <w:lang w:val="en-US" w:bidi="zh-CN"/>
        </w:rPr>
        <w:t>3</w:t>
      </w:r>
      <w:r>
        <w:rPr>
          <w:rFonts w:ascii="Times New Roman" w:hAnsi="Times New Roman" w:cs="Times New Roman" w:eastAsiaTheme="majorEastAsia"/>
          <w:b/>
          <w:color w:val="auto"/>
          <w:w w:val="99"/>
          <w:szCs w:val="32"/>
          <w:highlight w:val="none"/>
          <w:lang w:bidi="zh-CN"/>
        </w:rPr>
        <w:t xml:space="preserve">    本工程与《石油天然气开采业污染防治技术政策》相关要求符合性</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3310"/>
        <w:gridCol w:w="4505"/>
        <w:gridCol w:w="980"/>
      </w:tblGrid>
      <w:tr w14:paraId="5728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vAlign w:val="center"/>
          </w:tcPr>
          <w:p w14:paraId="65871CFC">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3310" w:type="dxa"/>
            <w:vAlign w:val="center"/>
          </w:tcPr>
          <w:p w14:paraId="0B6FE69D">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相关要求</w:t>
            </w:r>
          </w:p>
        </w:tc>
        <w:tc>
          <w:tcPr>
            <w:tcW w:w="4505" w:type="dxa"/>
            <w:vAlign w:val="center"/>
          </w:tcPr>
          <w:p w14:paraId="5EEEBA33">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本工程符合性</w:t>
            </w:r>
          </w:p>
        </w:tc>
        <w:tc>
          <w:tcPr>
            <w:tcW w:w="980" w:type="dxa"/>
            <w:vAlign w:val="center"/>
          </w:tcPr>
          <w:p w14:paraId="42FBE55A">
            <w:pPr>
              <w:adjustRightInd w:val="0"/>
              <w:snapToGrid w:val="0"/>
              <w:spacing w:line="36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符合性</w:t>
            </w:r>
          </w:p>
        </w:tc>
      </w:tr>
      <w:tr w14:paraId="3B07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vAlign w:val="center"/>
          </w:tcPr>
          <w:p w14:paraId="0B8CB19E">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3310" w:type="dxa"/>
            <w:vAlign w:val="center"/>
          </w:tcPr>
          <w:p w14:paraId="2F86A76F">
            <w:pPr>
              <w:adjustRightInd w:val="0"/>
              <w:snapToGrid w:val="0"/>
              <w:spacing w:line="360" w:lineRule="exact"/>
              <w:jc w:val="left"/>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到2015年末，行业新、改、扩建项目均采用清洁生产工艺和技术，工业废水回用率达到90%以上，工业固体废物资源化及无害化处理处置率达到100%。</w:t>
            </w:r>
          </w:p>
        </w:tc>
        <w:tc>
          <w:tcPr>
            <w:tcW w:w="4505" w:type="dxa"/>
            <w:vAlign w:val="center"/>
          </w:tcPr>
          <w:p w14:paraId="5BD2072B">
            <w:pPr>
              <w:adjustRightInd w:val="0"/>
              <w:snapToGrid w:val="0"/>
              <w:spacing w:line="360" w:lineRule="exact"/>
              <w:jc w:val="left"/>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本项目施工期及运营期生产废水均经</w:t>
            </w:r>
            <w:r>
              <w:rPr>
                <w:rFonts w:ascii="Times New Roman" w:hAnsi="Times New Roman" w:cs="Times New Roman"/>
                <w:bCs/>
                <w:color w:val="auto"/>
                <w:w w:val="99"/>
                <w:sz w:val="21"/>
                <w:szCs w:val="21"/>
                <w:highlight w:val="none"/>
              </w:rPr>
              <w:t>污水处理站处理达标后回注油层，</w:t>
            </w:r>
            <w:r>
              <w:rPr>
                <w:rFonts w:ascii="Times New Roman" w:hAnsi="Times New Roman" w:cs="Times New Roman"/>
                <w:color w:val="auto"/>
                <w:w w:val="99"/>
                <w:sz w:val="21"/>
                <w:szCs w:val="21"/>
                <w:highlight w:val="none"/>
              </w:rPr>
              <w:t>回用率90%以上，工业固废（施工废料及运营期</w:t>
            </w:r>
            <w:r>
              <w:rPr>
                <w:rFonts w:hint="eastAsia" w:ascii="Times New Roman" w:hAnsi="Times New Roman" w:cs="Times New Roman" w:eastAsiaTheme="minorEastAsia"/>
                <w:color w:val="auto"/>
                <w:w w:val="99"/>
                <w:kern w:val="2"/>
                <w:sz w:val="21"/>
                <w:highlight w:val="none"/>
                <w:lang w:bidi="zh-CN"/>
              </w:rPr>
              <w:t>井口含油砂砾、</w:t>
            </w:r>
            <w:r>
              <w:rPr>
                <w:rFonts w:hint="eastAsia" w:ascii="Times New Roman" w:hAnsi="Times New Roman" w:cs="Times New Roman" w:eastAsiaTheme="minorEastAsia"/>
                <w:color w:val="auto"/>
                <w:w w:val="99"/>
                <w:kern w:val="2"/>
                <w:sz w:val="21"/>
                <w:highlight w:val="none"/>
                <w:lang w:val="en-US" w:bidi="zh-CN"/>
              </w:rPr>
              <w:t>废变压器油</w:t>
            </w:r>
            <w:r>
              <w:rPr>
                <w:rFonts w:ascii="Times New Roman" w:hAnsi="Times New Roman" w:cs="Times New Roman"/>
                <w:color w:val="auto"/>
                <w:w w:val="99"/>
                <w:sz w:val="21"/>
                <w:szCs w:val="21"/>
                <w:highlight w:val="none"/>
              </w:rPr>
              <w:t>）均得到妥善处置，处置率达到100%。</w:t>
            </w:r>
          </w:p>
        </w:tc>
        <w:tc>
          <w:tcPr>
            <w:tcW w:w="980" w:type="dxa"/>
            <w:vAlign w:val="center"/>
          </w:tcPr>
          <w:p w14:paraId="7FB78495">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r w14:paraId="3644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vAlign w:val="center"/>
          </w:tcPr>
          <w:p w14:paraId="2FA2AF8A">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w:t>
            </w:r>
          </w:p>
        </w:tc>
        <w:tc>
          <w:tcPr>
            <w:tcW w:w="3310" w:type="dxa"/>
            <w:vAlign w:val="center"/>
          </w:tcPr>
          <w:p w14:paraId="0F3508D8">
            <w:pPr>
              <w:adjustRightInd w:val="0"/>
              <w:snapToGrid w:val="0"/>
              <w:spacing w:line="360" w:lineRule="exact"/>
              <w:jc w:val="left"/>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油气田建设应总体规划，优化布局，整体开发，减少占地和油气损失，实现油气和废物的集中收集、处理处置。</w:t>
            </w:r>
          </w:p>
        </w:tc>
        <w:tc>
          <w:tcPr>
            <w:tcW w:w="4505" w:type="dxa"/>
            <w:vAlign w:val="center"/>
          </w:tcPr>
          <w:p w14:paraId="00A0F36E">
            <w:pPr>
              <w:adjustRightInd w:val="0"/>
              <w:snapToGrid w:val="0"/>
              <w:spacing w:line="360" w:lineRule="exact"/>
              <w:jc w:val="left"/>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本项目为现有区块的改扩建项目，油气处置和废物收集处置均依托现有集中处置站场。</w:t>
            </w:r>
          </w:p>
        </w:tc>
        <w:tc>
          <w:tcPr>
            <w:tcW w:w="980" w:type="dxa"/>
            <w:vAlign w:val="center"/>
          </w:tcPr>
          <w:p w14:paraId="6239E79E">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r w14:paraId="0D3A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vAlign w:val="center"/>
          </w:tcPr>
          <w:p w14:paraId="68607965">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w:t>
            </w:r>
          </w:p>
        </w:tc>
        <w:tc>
          <w:tcPr>
            <w:tcW w:w="3310" w:type="dxa"/>
            <w:vAlign w:val="center"/>
          </w:tcPr>
          <w:p w14:paraId="581DF726">
            <w:pPr>
              <w:adjustRightInd w:val="0"/>
              <w:snapToGrid w:val="0"/>
              <w:spacing w:line="360" w:lineRule="exact"/>
              <w:jc w:val="left"/>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井下作业过程中应配备泄油器、刮油器等。落地原油应及时回收，落地原油回收率应达到100%。</w:t>
            </w:r>
          </w:p>
        </w:tc>
        <w:tc>
          <w:tcPr>
            <w:tcW w:w="4505" w:type="dxa"/>
            <w:vAlign w:val="center"/>
          </w:tcPr>
          <w:p w14:paraId="109F5662">
            <w:pPr>
              <w:adjustRightInd w:val="0"/>
              <w:snapToGrid w:val="0"/>
              <w:spacing w:line="360" w:lineRule="exact"/>
              <w:jc w:val="left"/>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val="en-US" w:eastAsia="zh-CN"/>
              </w:rPr>
              <w:t>本项目为天然气开采项目，井下作业不涉及落地油</w:t>
            </w:r>
            <w:r>
              <w:rPr>
                <w:rFonts w:ascii="Times New Roman" w:hAnsi="Times New Roman" w:cs="Times New Roman"/>
                <w:color w:val="auto"/>
                <w:w w:val="99"/>
                <w:sz w:val="21"/>
                <w:szCs w:val="21"/>
                <w:highlight w:val="none"/>
              </w:rPr>
              <w:t>。</w:t>
            </w:r>
          </w:p>
        </w:tc>
        <w:tc>
          <w:tcPr>
            <w:tcW w:w="980" w:type="dxa"/>
            <w:vAlign w:val="center"/>
          </w:tcPr>
          <w:p w14:paraId="0C5B3E7A">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r w14:paraId="6376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vAlign w:val="center"/>
          </w:tcPr>
          <w:p w14:paraId="5DE8B276">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4</w:t>
            </w:r>
          </w:p>
        </w:tc>
        <w:tc>
          <w:tcPr>
            <w:tcW w:w="3310" w:type="dxa"/>
            <w:shd w:val="clear" w:color="auto" w:fill="auto"/>
            <w:vAlign w:val="center"/>
          </w:tcPr>
          <w:p w14:paraId="43134F67">
            <w:pPr>
              <w:adjustRightInd w:val="0"/>
              <w:snapToGrid w:val="0"/>
              <w:spacing w:line="360" w:lineRule="exact"/>
              <w:jc w:val="left"/>
              <w:rPr>
                <w:rFonts w:ascii="Times New Roman" w:hAnsi="Times New Roman" w:eastAsia="宋体" w:cs="Times New Roman"/>
                <w:color w:val="auto"/>
                <w:w w:val="99"/>
                <w:sz w:val="21"/>
                <w:szCs w:val="21"/>
                <w:highlight w:val="none"/>
                <w:lang w:val="en-US" w:eastAsia="zh-CN" w:bidi="ar-SA"/>
              </w:rPr>
            </w:pPr>
            <w:r>
              <w:rPr>
                <w:rFonts w:ascii="Times New Roman" w:hAnsi="Times New Roman" w:cs="Times New Roman"/>
                <w:color w:val="auto"/>
                <w:w w:val="99"/>
                <w:sz w:val="21"/>
                <w:szCs w:val="21"/>
                <w:highlight w:val="none"/>
              </w:rPr>
              <w:t>在开发过程中，适宜注水开采的油气田，应将采出水处理满足标准后回注；对于稠油注汽开采，鼓励采出水处理后回用于注汽锅炉。</w:t>
            </w:r>
          </w:p>
        </w:tc>
        <w:tc>
          <w:tcPr>
            <w:tcW w:w="4505" w:type="dxa"/>
            <w:shd w:val="clear" w:color="auto" w:fill="auto"/>
            <w:vAlign w:val="center"/>
          </w:tcPr>
          <w:p w14:paraId="56DA09E5">
            <w:pPr>
              <w:adjustRightInd w:val="0"/>
              <w:snapToGrid w:val="0"/>
              <w:spacing w:line="360" w:lineRule="exact"/>
              <w:jc w:val="left"/>
              <w:rPr>
                <w:rFonts w:ascii="Times New Roman" w:hAnsi="Times New Roman" w:eastAsia="宋体" w:cs="Times New Roman"/>
                <w:color w:val="auto"/>
                <w:w w:val="99"/>
                <w:sz w:val="21"/>
                <w:szCs w:val="21"/>
                <w:highlight w:val="none"/>
                <w:lang w:val="en-US" w:eastAsia="zh-CN" w:bidi="ar-SA"/>
              </w:rPr>
            </w:pPr>
            <w:r>
              <w:rPr>
                <w:rFonts w:ascii="Times New Roman" w:hAnsi="Times New Roman" w:cs="Times New Roman"/>
                <w:color w:val="auto"/>
                <w:w w:val="99"/>
                <w:sz w:val="21"/>
                <w:szCs w:val="21"/>
                <w:highlight w:val="none"/>
              </w:rPr>
              <w:t>本项目运营期气田采出水暂存在各集气站污水罐内，经污水管线输送至升一联气田污水预处理站处理满足《大庆油田地面工程建设设计规定》（Q/SYDQ0639-2015）限值“含油量≤10mg/L、悬浮固体含量≤5mg/L、粒径中值≤2μm”，同时满足《碎屑岩油藏注水水质指标技术要求及分析方法》(SY/T5329-2022)中标准限值，回注地下</w:t>
            </w:r>
            <w:r>
              <w:rPr>
                <w:rFonts w:hint="eastAsia" w:ascii="Times New Roman" w:hAnsi="Times New Roman" w:cs="Times New Roman"/>
                <w:color w:val="auto"/>
                <w:w w:val="99"/>
                <w:sz w:val="21"/>
                <w:szCs w:val="21"/>
                <w:highlight w:val="none"/>
                <w:lang w:val="en-US" w:eastAsia="zh-CN"/>
              </w:rPr>
              <w:t>油层</w:t>
            </w:r>
            <w:r>
              <w:rPr>
                <w:rFonts w:ascii="Times New Roman" w:hAnsi="Times New Roman" w:cs="Times New Roman"/>
                <w:color w:val="auto"/>
                <w:w w:val="99"/>
                <w:sz w:val="21"/>
                <w:szCs w:val="21"/>
                <w:highlight w:val="none"/>
              </w:rPr>
              <w:t>。</w:t>
            </w:r>
          </w:p>
        </w:tc>
        <w:tc>
          <w:tcPr>
            <w:tcW w:w="980" w:type="dxa"/>
            <w:vAlign w:val="center"/>
          </w:tcPr>
          <w:p w14:paraId="2879CC84">
            <w:pPr>
              <w:adjustRightInd w:val="0"/>
              <w:snapToGrid w:val="0"/>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符合</w:t>
            </w:r>
          </w:p>
        </w:tc>
      </w:tr>
      <w:tr w14:paraId="38D3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vAlign w:val="center"/>
          </w:tcPr>
          <w:p w14:paraId="5B859ECB">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5</w:t>
            </w:r>
          </w:p>
        </w:tc>
        <w:tc>
          <w:tcPr>
            <w:tcW w:w="3310" w:type="dxa"/>
            <w:shd w:val="clear" w:color="auto" w:fill="auto"/>
            <w:vAlign w:val="center"/>
          </w:tcPr>
          <w:p w14:paraId="3029BDCB">
            <w:pPr>
              <w:adjustRightInd w:val="0"/>
              <w:snapToGrid w:val="0"/>
              <w:spacing w:line="360" w:lineRule="exact"/>
              <w:jc w:val="left"/>
              <w:rPr>
                <w:rFonts w:ascii="Times New Roman" w:hAnsi="Times New Roman" w:eastAsia="宋体" w:cs="Times New Roman"/>
                <w:color w:val="auto"/>
                <w:w w:val="99"/>
                <w:sz w:val="21"/>
                <w:szCs w:val="21"/>
                <w:highlight w:val="none"/>
                <w:lang w:val="en-US" w:eastAsia="zh-CN" w:bidi="ar-SA"/>
              </w:rPr>
            </w:pPr>
            <w:r>
              <w:rPr>
                <w:rFonts w:ascii="Times New Roman" w:hAnsi="Times New Roman" w:cs="Times New Roman"/>
                <w:color w:val="auto"/>
                <w:w w:val="99"/>
                <w:sz w:val="21"/>
                <w:szCs w:val="21"/>
                <w:highlight w:val="none"/>
              </w:rPr>
              <w:t>在油气集输过程中，应采用密闭流程，减少烃类气体排放。新、改、扩建油气田油气集输损耗率不高于0.5%</w:t>
            </w:r>
          </w:p>
        </w:tc>
        <w:tc>
          <w:tcPr>
            <w:tcW w:w="4505" w:type="dxa"/>
            <w:shd w:val="clear" w:color="auto" w:fill="auto"/>
            <w:vAlign w:val="center"/>
          </w:tcPr>
          <w:p w14:paraId="4C62EBBD">
            <w:pPr>
              <w:adjustRightInd w:val="0"/>
              <w:snapToGrid w:val="0"/>
              <w:spacing w:line="360" w:lineRule="exact"/>
              <w:jc w:val="left"/>
              <w:rPr>
                <w:rFonts w:ascii="Times New Roman" w:hAnsi="Times New Roman" w:eastAsia="宋体" w:cs="Times New Roman"/>
                <w:color w:val="auto"/>
                <w:w w:val="99"/>
                <w:sz w:val="21"/>
                <w:szCs w:val="21"/>
                <w:highlight w:val="none"/>
                <w:lang w:val="en-US" w:eastAsia="zh-CN" w:bidi="ar-SA"/>
              </w:rPr>
            </w:pPr>
            <w:r>
              <w:rPr>
                <w:rFonts w:ascii="Times New Roman" w:hAnsi="Times New Roman" w:cs="Times New Roman"/>
                <w:color w:val="auto"/>
                <w:w w:val="99"/>
                <w:sz w:val="21"/>
                <w:szCs w:val="21"/>
                <w:highlight w:val="none"/>
              </w:rPr>
              <w:t>符合。本项目油气集输均采用密闭流程，集输过程中烃类挥发系数为</w:t>
            </w:r>
            <w:r>
              <w:rPr>
                <w:rFonts w:hint="eastAsia" w:ascii="Times New Roman" w:hAnsi="Times New Roman" w:cs="Times New Roman"/>
                <w:color w:val="auto"/>
                <w:w w:val="99"/>
                <w:sz w:val="21"/>
                <w:szCs w:val="21"/>
                <w:highlight w:val="none"/>
                <w:lang w:val="en-US" w:eastAsia="zh-CN"/>
              </w:rPr>
              <w:t>0.05</w:t>
            </w:r>
            <w:r>
              <w:rPr>
                <w:rFonts w:ascii="Times New Roman" w:hAnsi="Times New Roman" w:cs="Times New Roman"/>
                <w:color w:val="auto"/>
                <w:w w:val="99"/>
                <w:sz w:val="21"/>
                <w:szCs w:val="21"/>
                <w:highlight w:val="none"/>
              </w:rPr>
              <w:t>‰，不高于0.5%。</w:t>
            </w:r>
          </w:p>
        </w:tc>
        <w:tc>
          <w:tcPr>
            <w:tcW w:w="980" w:type="dxa"/>
            <w:vAlign w:val="center"/>
          </w:tcPr>
          <w:p w14:paraId="14B6F6E2">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r w14:paraId="542C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9" w:type="dxa"/>
            <w:vAlign w:val="center"/>
          </w:tcPr>
          <w:p w14:paraId="6B1CE6CD">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6</w:t>
            </w:r>
          </w:p>
        </w:tc>
        <w:tc>
          <w:tcPr>
            <w:tcW w:w="3310" w:type="dxa"/>
            <w:shd w:val="clear" w:color="auto" w:fill="auto"/>
            <w:vAlign w:val="center"/>
          </w:tcPr>
          <w:p w14:paraId="4ECF2CD3">
            <w:pPr>
              <w:adjustRightInd w:val="0"/>
              <w:snapToGrid w:val="0"/>
              <w:spacing w:line="360" w:lineRule="exact"/>
              <w:jc w:val="left"/>
              <w:rPr>
                <w:rFonts w:ascii="Times New Roman" w:hAnsi="Times New Roman" w:eastAsia="宋体" w:cs="Times New Roman"/>
                <w:color w:val="auto"/>
                <w:w w:val="99"/>
                <w:sz w:val="21"/>
                <w:szCs w:val="21"/>
                <w:highlight w:val="none"/>
                <w:lang w:val="en-US" w:eastAsia="zh-CN" w:bidi="ar-SA"/>
              </w:rPr>
            </w:pPr>
            <w:r>
              <w:rPr>
                <w:rFonts w:ascii="Times New Roman" w:hAnsi="Times New Roman" w:cs="Times New Roman"/>
                <w:color w:val="auto"/>
                <w:w w:val="99"/>
                <w:sz w:val="21"/>
                <w:szCs w:val="21"/>
                <w:highlight w:val="none"/>
              </w:rPr>
              <w:t>应设立地下水水质监测井，加强对油气田地下水水质的监控，防止回注过程对地下水造成污染。</w:t>
            </w:r>
          </w:p>
        </w:tc>
        <w:tc>
          <w:tcPr>
            <w:tcW w:w="4505" w:type="dxa"/>
            <w:shd w:val="clear" w:color="auto" w:fill="auto"/>
            <w:vAlign w:val="center"/>
          </w:tcPr>
          <w:p w14:paraId="7CF77949">
            <w:pPr>
              <w:adjustRightInd w:val="0"/>
              <w:snapToGrid w:val="0"/>
              <w:spacing w:line="360" w:lineRule="exact"/>
              <w:jc w:val="left"/>
              <w:rPr>
                <w:rFonts w:ascii="Times New Roman" w:hAnsi="Times New Roman" w:eastAsia="宋体" w:cs="Times New Roman"/>
                <w:color w:val="auto"/>
                <w:w w:val="99"/>
                <w:sz w:val="21"/>
                <w:szCs w:val="21"/>
                <w:highlight w:val="none"/>
                <w:lang w:val="en-US" w:eastAsia="zh-CN" w:bidi="ar-SA"/>
              </w:rPr>
            </w:pPr>
            <w:r>
              <w:rPr>
                <w:rFonts w:ascii="Times New Roman" w:hAnsi="Times New Roman" w:cs="Times New Roman"/>
                <w:color w:val="auto"/>
                <w:w w:val="99"/>
                <w:sz w:val="21"/>
                <w:szCs w:val="21"/>
                <w:highlight w:val="none"/>
              </w:rPr>
              <w:t>符合。</w:t>
            </w:r>
            <w:r>
              <w:rPr>
                <w:rFonts w:ascii="Times New Roman" w:hAnsi="Times New Roman" w:cs="Times New Roman"/>
                <w:bCs/>
                <w:color w:val="auto"/>
                <w:w w:val="99"/>
                <w:sz w:val="21"/>
                <w:szCs w:val="21"/>
                <w:highlight w:val="none"/>
              </w:rPr>
              <w:t>在本项目区域下游共布设</w:t>
            </w:r>
            <w:r>
              <w:rPr>
                <w:rFonts w:hint="eastAsia" w:ascii="Times New Roman" w:hAnsi="Times New Roman" w:cs="Times New Roman"/>
                <w:bCs/>
                <w:color w:val="auto"/>
                <w:w w:val="99"/>
                <w:sz w:val="21"/>
                <w:szCs w:val="21"/>
                <w:highlight w:val="none"/>
                <w:lang w:val="en-US" w:eastAsia="zh-CN"/>
              </w:rPr>
              <w:t>3</w:t>
            </w:r>
            <w:r>
              <w:rPr>
                <w:rFonts w:ascii="Times New Roman" w:hAnsi="Times New Roman" w:cs="Times New Roman"/>
                <w:bCs/>
                <w:color w:val="auto"/>
                <w:w w:val="99"/>
                <w:sz w:val="21"/>
                <w:szCs w:val="21"/>
                <w:highlight w:val="none"/>
              </w:rPr>
              <w:t>口潜水跟踪监测水井，定期对地下水进行跟踪监测。</w:t>
            </w:r>
          </w:p>
        </w:tc>
        <w:tc>
          <w:tcPr>
            <w:tcW w:w="980" w:type="dxa"/>
            <w:vAlign w:val="center"/>
          </w:tcPr>
          <w:p w14:paraId="1A581C52">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bl>
    <w:p w14:paraId="625C64DF">
      <w:pPr>
        <w:widowControl w:val="0"/>
        <w:spacing w:line="440" w:lineRule="exact"/>
        <w:jc w:val="both"/>
        <w:outlineLvl w:val="3"/>
        <w:rPr>
          <w:rFonts w:ascii="Times New Roman" w:hAnsi="Times New Roman" w:cs="Times New Roman"/>
          <w:b/>
          <w:color w:val="auto"/>
          <w:w w:val="99"/>
          <w:highlight w:val="none"/>
          <w:lang w:val="zh-CN" w:bidi="zh-CN"/>
        </w:rPr>
      </w:pPr>
      <w:r>
        <w:rPr>
          <w:rFonts w:ascii="Times New Roman" w:hAnsi="Times New Roman" w:cs="Times New Roman"/>
          <w:b/>
          <w:color w:val="auto"/>
          <w:w w:val="99"/>
          <w:highlight w:val="none"/>
          <w:lang w:val="zh-CN" w:bidi="zh-CN"/>
        </w:rPr>
        <w:t>1.4.3.</w:t>
      </w:r>
      <w:r>
        <w:rPr>
          <w:rFonts w:hint="eastAsia" w:ascii="Times New Roman" w:hAnsi="Times New Roman" w:cs="Times New Roman"/>
          <w:b/>
          <w:color w:val="auto"/>
          <w:w w:val="99"/>
          <w:highlight w:val="none"/>
          <w:lang w:val="en-US" w:bidi="zh-CN"/>
        </w:rPr>
        <w:t>3</w:t>
      </w:r>
      <w:r>
        <w:rPr>
          <w:rFonts w:ascii="Times New Roman" w:hAnsi="Times New Roman" w:cs="Times New Roman"/>
          <w:b/>
          <w:color w:val="auto"/>
          <w:w w:val="99"/>
          <w:highlight w:val="none"/>
          <w:lang w:val="zh-CN" w:bidi="zh-CN"/>
        </w:rPr>
        <w:t>与《</w:t>
      </w:r>
      <w:bookmarkStart w:id="106" w:name="OLE_LINK83"/>
      <w:bookmarkStart w:id="107" w:name="OLE_LINK71"/>
      <w:r>
        <w:rPr>
          <w:rFonts w:ascii="Times New Roman" w:hAnsi="Times New Roman" w:cs="Times New Roman"/>
          <w:b/>
          <w:color w:val="auto"/>
          <w:w w:val="99"/>
          <w:highlight w:val="none"/>
          <w:lang w:val="zh-CN" w:bidi="zh-CN"/>
        </w:rPr>
        <w:t>黑龙江省黑土地保护利用条例</w:t>
      </w:r>
      <w:bookmarkEnd w:id="106"/>
      <w:bookmarkEnd w:id="107"/>
      <w:r>
        <w:rPr>
          <w:rFonts w:ascii="Times New Roman" w:hAnsi="Times New Roman" w:cs="Times New Roman"/>
          <w:b/>
          <w:color w:val="auto"/>
          <w:w w:val="99"/>
          <w:highlight w:val="none"/>
          <w:lang w:val="zh-CN" w:bidi="zh-CN"/>
        </w:rPr>
        <w:t>》</w:t>
      </w:r>
      <w:r>
        <w:rPr>
          <w:rFonts w:hint="eastAsia" w:ascii="Times New Roman" w:hAnsi="Times New Roman" w:cs="Times New Roman"/>
          <w:b/>
          <w:color w:val="auto"/>
          <w:w w:val="99"/>
          <w:highlight w:val="none"/>
          <w:lang w:val="zh-CN" w:bidi="zh-CN"/>
        </w:rPr>
        <w:t>（黑人常〔</w:t>
      </w:r>
      <w:r>
        <w:rPr>
          <w:rFonts w:ascii="Times New Roman" w:hAnsi="Times New Roman" w:cs="Times New Roman"/>
          <w:b/>
          <w:color w:val="auto"/>
          <w:w w:val="99"/>
          <w:highlight w:val="none"/>
          <w:lang w:val="zh-CN" w:bidi="zh-CN"/>
        </w:rPr>
        <w:t>2024</w:t>
      </w:r>
      <w:r>
        <w:rPr>
          <w:rFonts w:hint="eastAsia" w:ascii="Times New Roman" w:hAnsi="Times New Roman" w:cs="Times New Roman"/>
          <w:b/>
          <w:color w:val="auto"/>
          <w:w w:val="99"/>
          <w:highlight w:val="none"/>
          <w:lang w:val="zh-CN" w:bidi="zh-CN"/>
        </w:rPr>
        <w:t>〕</w:t>
      </w:r>
      <w:r>
        <w:rPr>
          <w:rFonts w:ascii="Times New Roman" w:hAnsi="Times New Roman" w:cs="Times New Roman"/>
          <w:b/>
          <w:color w:val="auto"/>
          <w:w w:val="99"/>
          <w:highlight w:val="none"/>
          <w:lang w:val="zh-CN" w:bidi="zh-CN"/>
        </w:rPr>
        <w:t>17</w:t>
      </w:r>
      <w:r>
        <w:rPr>
          <w:rFonts w:hint="eastAsia" w:ascii="Times New Roman" w:hAnsi="Times New Roman" w:cs="Times New Roman"/>
          <w:b/>
          <w:color w:val="auto"/>
          <w:w w:val="99"/>
          <w:highlight w:val="none"/>
          <w:lang w:val="zh-CN" w:bidi="zh-CN"/>
        </w:rPr>
        <w:t>号）</w:t>
      </w:r>
      <w:r>
        <w:rPr>
          <w:rFonts w:ascii="Times New Roman" w:hAnsi="Times New Roman" w:cs="Times New Roman"/>
          <w:b/>
          <w:color w:val="auto"/>
          <w:w w:val="99"/>
          <w:highlight w:val="none"/>
          <w:lang w:val="zh-CN" w:bidi="zh-CN"/>
        </w:rPr>
        <w:t>符合性分析</w:t>
      </w:r>
    </w:p>
    <w:p w14:paraId="0D9697E1">
      <w:pPr>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本项目与《</w:t>
      </w:r>
      <w:bookmarkStart w:id="108" w:name="OLE_LINK147"/>
      <w:bookmarkStart w:id="109" w:name="OLE_LINK145"/>
      <w:r>
        <w:rPr>
          <w:rFonts w:ascii="Times New Roman" w:hAnsi="Times New Roman" w:cs="Times New Roman"/>
          <w:iCs/>
          <w:color w:val="auto"/>
          <w:w w:val="99"/>
          <w:kern w:val="2"/>
          <w:highlight w:val="none"/>
        </w:rPr>
        <w:t>黑龙江省黑土地保护利用条例</w:t>
      </w:r>
      <w:bookmarkEnd w:id="108"/>
      <w:bookmarkEnd w:id="109"/>
      <w:r>
        <w:rPr>
          <w:rFonts w:ascii="Times New Roman" w:hAnsi="Times New Roman" w:cs="Times New Roman"/>
          <w:iCs/>
          <w:color w:val="auto"/>
          <w:w w:val="99"/>
          <w:kern w:val="2"/>
          <w:highlight w:val="none"/>
        </w:rPr>
        <w:t>》</w:t>
      </w:r>
      <w:r>
        <w:rPr>
          <w:rFonts w:hint="eastAsia" w:ascii="Times New Roman" w:hAnsi="Times New Roman" w:cs="Times New Roman"/>
          <w:iCs/>
          <w:color w:val="auto"/>
          <w:w w:val="99"/>
          <w:kern w:val="2"/>
          <w:highlight w:val="none"/>
        </w:rPr>
        <w:t>（黑人常〔</w:t>
      </w:r>
      <w:r>
        <w:rPr>
          <w:rFonts w:ascii="Times New Roman" w:hAnsi="Times New Roman" w:cs="Times New Roman"/>
          <w:iCs/>
          <w:color w:val="auto"/>
          <w:w w:val="99"/>
          <w:kern w:val="2"/>
          <w:highlight w:val="none"/>
        </w:rPr>
        <w:t>2024〕17号</w:t>
      </w:r>
      <w:r>
        <w:rPr>
          <w:rFonts w:hint="eastAsia" w:ascii="Times New Roman" w:hAnsi="Times New Roman" w:cs="Times New Roman"/>
          <w:iCs/>
          <w:color w:val="auto"/>
          <w:w w:val="99"/>
          <w:kern w:val="2"/>
          <w:highlight w:val="none"/>
        </w:rPr>
        <w:t>）</w:t>
      </w:r>
      <w:r>
        <w:rPr>
          <w:rFonts w:ascii="Times New Roman" w:hAnsi="Times New Roman" w:cs="Times New Roman"/>
          <w:iCs/>
          <w:color w:val="auto"/>
          <w:w w:val="99"/>
          <w:kern w:val="2"/>
          <w:highlight w:val="none"/>
        </w:rPr>
        <w:t>符合性分析见表1.4-</w:t>
      </w:r>
      <w:r>
        <w:rPr>
          <w:rFonts w:hint="eastAsia" w:ascii="Times New Roman" w:hAnsi="Times New Roman" w:cs="Times New Roman"/>
          <w:iCs/>
          <w:color w:val="auto"/>
          <w:w w:val="99"/>
          <w:kern w:val="2"/>
          <w:highlight w:val="none"/>
          <w:lang w:val="en-US" w:eastAsia="zh-CN"/>
        </w:rPr>
        <w:t>4</w:t>
      </w:r>
      <w:r>
        <w:rPr>
          <w:rFonts w:ascii="Times New Roman" w:hAnsi="Times New Roman" w:cs="Times New Roman"/>
          <w:iCs/>
          <w:color w:val="auto"/>
          <w:w w:val="99"/>
          <w:kern w:val="2"/>
          <w:highlight w:val="none"/>
        </w:rPr>
        <w:t>。</w:t>
      </w:r>
    </w:p>
    <w:p w14:paraId="654D568C">
      <w:pPr>
        <w:spacing w:line="440" w:lineRule="exact"/>
        <w:jc w:val="center"/>
        <w:rPr>
          <w:rFonts w:ascii="Times New Roman" w:hAnsi="Times New Roman" w:cs="Times New Roman"/>
          <w:b/>
          <w:iCs/>
          <w:color w:val="auto"/>
          <w:w w:val="99"/>
          <w:kern w:val="2"/>
          <w:highlight w:val="none"/>
        </w:rPr>
      </w:pPr>
      <w:r>
        <w:rPr>
          <w:rFonts w:ascii="Times New Roman" w:hAnsi="Times New Roman" w:cs="Times New Roman"/>
          <w:b/>
          <w:iCs/>
          <w:color w:val="auto"/>
          <w:w w:val="99"/>
          <w:kern w:val="2"/>
          <w:highlight w:val="none"/>
        </w:rPr>
        <w:t>表1.4-</w:t>
      </w:r>
      <w:r>
        <w:rPr>
          <w:rFonts w:hint="eastAsia" w:ascii="Times New Roman" w:hAnsi="Times New Roman" w:cs="Times New Roman"/>
          <w:b/>
          <w:iCs/>
          <w:color w:val="auto"/>
          <w:w w:val="99"/>
          <w:kern w:val="2"/>
          <w:highlight w:val="none"/>
          <w:lang w:val="en-US" w:eastAsia="zh-CN"/>
        </w:rPr>
        <w:t>4</w:t>
      </w:r>
      <w:r>
        <w:rPr>
          <w:rFonts w:ascii="Times New Roman" w:hAnsi="Times New Roman" w:cs="Times New Roman"/>
          <w:b/>
          <w:iCs/>
          <w:color w:val="auto"/>
          <w:w w:val="99"/>
          <w:kern w:val="2"/>
          <w:highlight w:val="none"/>
        </w:rPr>
        <w:t xml:space="preserve">    本项目与《黑龙江省黑土地保护利用条例》</w:t>
      </w:r>
      <w:r>
        <w:rPr>
          <w:rFonts w:hint="eastAsia" w:ascii="Times New Roman" w:hAnsi="Times New Roman" w:cs="Times New Roman"/>
          <w:b/>
          <w:iCs/>
          <w:color w:val="auto"/>
          <w:w w:val="99"/>
          <w:kern w:val="2"/>
          <w:highlight w:val="none"/>
        </w:rPr>
        <w:t>（黑人常〔</w:t>
      </w:r>
      <w:r>
        <w:rPr>
          <w:rFonts w:ascii="Times New Roman" w:hAnsi="Times New Roman" w:cs="Times New Roman"/>
          <w:b/>
          <w:iCs/>
          <w:color w:val="auto"/>
          <w:w w:val="99"/>
          <w:kern w:val="2"/>
          <w:highlight w:val="none"/>
        </w:rPr>
        <w:t>2024</w:t>
      </w:r>
      <w:r>
        <w:rPr>
          <w:rFonts w:hint="eastAsia" w:ascii="Times New Roman" w:hAnsi="Times New Roman" w:cs="Times New Roman"/>
          <w:b/>
          <w:iCs/>
          <w:color w:val="auto"/>
          <w:w w:val="99"/>
          <w:kern w:val="2"/>
          <w:highlight w:val="none"/>
        </w:rPr>
        <w:t>〕</w:t>
      </w:r>
      <w:r>
        <w:rPr>
          <w:rFonts w:ascii="Times New Roman" w:hAnsi="Times New Roman" w:cs="Times New Roman"/>
          <w:b/>
          <w:iCs/>
          <w:color w:val="auto"/>
          <w:w w:val="99"/>
          <w:kern w:val="2"/>
          <w:highlight w:val="none"/>
        </w:rPr>
        <w:t>17</w:t>
      </w:r>
      <w:r>
        <w:rPr>
          <w:rFonts w:hint="eastAsia" w:ascii="Times New Roman" w:hAnsi="Times New Roman" w:cs="Times New Roman"/>
          <w:b/>
          <w:iCs/>
          <w:color w:val="auto"/>
          <w:w w:val="99"/>
          <w:kern w:val="2"/>
          <w:highlight w:val="none"/>
        </w:rPr>
        <w:t>号）</w:t>
      </w:r>
      <w:r>
        <w:rPr>
          <w:rFonts w:ascii="Times New Roman" w:hAnsi="Times New Roman" w:cs="Times New Roman"/>
          <w:b/>
          <w:iCs/>
          <w:color w:val="auto"/>
          <w:w w:val="99"/>
          <w:kern w:val="2"/>
          <w:highlight w:val="none"/>
        </w:rPr>
        <w:t>相关要求符合性一览表</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2051"/>
        <w:gridCol w:w="5587"/>
        <w:gridCol w:w="939"/>
      </w:tblGrid>
      <w:tr w14:paraId="3CED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62FE2175">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序号</w:t>
            </w:r>
          </w:p>
        </w:tc>
        <w:tc>
          <w:tcPr>
            <w:tcW w:w="1105" w:type="pct"/>
            <w:vAlign w:val="center"/>
          </w:tcPr>
          <w:p w14:paraId="4A567539">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文件要求</w:t>
            </w:r>
          </w:p>
        </w:tc>
        <w:tc>
          <w:tcPr>
            <w:tcW w:w="3010" w:type="pct"/>
            <w:vAlign w:val="center"/>
          </w:tcPr>
          <w:p w14:paraId="71DBDEE0">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符合性分析</w:t>
            </w:r>
          </w:p>
        </w:tc>
        <w:tc>
          <w:tcPr>
            <w:tcW w:w="506" w:type="pct"/>
            <w:vAlign w:val="center"/>
          </w:tcPr>
          <w:p w14:paraId="1B02290B">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w:t>
            </w:r>
          </w:p>
        </w:tc>
      </w:tr>
      <w:tr w14:paraId="5AC5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77AD1528">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1</w:t>
            </w:r>
          </w:p>
        </w:tc>
        <w:tc>
          <w:tcPr>
            <w:tcW w:w="1105" w:type="pct"/>
            <w:vAlign w:val="center"/>
          </w:tcPr>
          <w:p w14:paraId="4611940B">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黑土地保护利用实行土地用途管制制度。严格限制农用地转为建设用地，严格控制耕地转为非耕地，禁止违法占用耕地。</w:t>
            </w:r>
          </w:p>
        </w:tc>
        <w:tc>
          <w:tcPr>
            <w:tcW w:w="3010" w:type="pct"/>
            <w:vAlign w:val="center"/>
          </w:tcPr>
          <w:p w14:paraId="02F71C6A">
            <w:pPr>
              <w:keepNext w:val="0"/>
              <w:keepLines w:val="0"/>
              <w:pageBreakBefore w:val="0"/>
              <w:kinsoku/>
              <w:wordWrap/>
              <w:overflowPunct/>
              <w:topLinePunct w:val="0"/>
              <w:autoSpaceDE/>
              <w:autoSpaceDN/>
              <w:bidi w:val="0"/>
              <w:spacing w:line="360" w:lineRule="exact"/>
              <w:jc w:val="both"/>
              <w:textAlignment w:val="auto"/>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本项目建设无法避免占用耕地，在施工前需要征收土地，应报请相关主管部门同意，取得用地审批。对永久占用</w:t>
            </w:r>
            <w:r>
              <w:rPr>
                <w:rFonts w:hint="eastAsia" w:ascii="Times New Roman" w:hAnsi="Times New Roman" w:cs="Times New Roman"/>
                <w:color w:val="auto"/>
                <w:w w:val="99"/>
                <w:sz w:val="21"/>
                <w:szCs w:val="21"/>
                <w:highlight w:val="none"/>
                <w:lang w:val="en-US" w:eastAsia="zh-CN"/>
              </w:rPr>
              <w:t>0.0901</w:t>
            </w:r>
            <w:r>
              <w:rPr>
                <w:rFonts w:ascii="Times New Roman" w:hAnsi="Times New Roman" w:cs="Times New Roman"/>
                <w:color w:val="auto"/>
                <w:w w:val="99"/>
                <w:sz w:val="21"/>
                <w:szCs w:val="21"/>
                <w:highlight w:val="none"/>
              </w:rPr>
              <w:t>hm</w:t>
            </w:r>
            <w:r>
              <w:rPr>
                <w:rFonts w:ascii="Times New Roman" w:hAnsi="Times New Roman" w:cs="Times New Roman"/>
                <w:color w:val="auto"/>
                <w:w w:val="99"/>
                <w:sz w:val="21"/>
                <w:szCs w:val="21"/>
                <w:highlight w:val="none"/>
                <w:vertAlign w:val="superscript"/>
              </w:rPr>
              <w:t>2</w:t>
            </w:r>
            <w:r>
              <w:rPr>
                <w:rFonts w:ascii="Times New Roman" w:hAnsi="Times New Roman" w:cs="Times New Roman"/>
                <w:color w:val="auto"/>
                <w:w w:val="99"/>
                <w:sz w:val="21"/>
                <w:szCs w:val="21"/>
                <w:highlight w:val="none"/>
              </w:rPr>
              <w:t>耕地（永久基本农田），按照“占一补一”原则进行占补平衡，由建设单位负责开垦与所占用耕地的数量和质量相当的耕地；如果没有条件开垦时，应当按照黑龙江省的规定缴纳耕地开垦费，专款用于开垦新的耕地。永久占用耕地的耕作层土壤集中堆放在施工井场或场站置土带区域，施工结束后用于</w:t>
            </w:r>
            <w:r>
              <w:rPr>
                <w:rFonts w:ascii="Times New Roman" w:hAnsi="Times New Roman" w:cs="Times New Roman"/>
                <w:bCs/>
                <w:color w:val="auto"/>
                <w:w w:val="99"/>
                <w:sz w:val="21"/>
                <w:szCs w:val="21"/>
                <w:highlight w:val="none"/>
              </w:rPr>
              <w:t>周围区域土地复垦、土壤治理等用途</w:t>
            </w:r>
            <w:r>
              <w:rPr>
                <w:rFonts w:ascii="Times New Roman" w:hAnsi="Times New Roman" w:cs="Times New Roman"/>
                <w:color w:val="auto"/>
                <w:w w:val="99"/>
                <w:sz w:val="21"/>
                <w:szCs w:val="21"/>
                <w:highlight w:val="none"/>
              </w:rPr>
              <w:t>。</w:t>
            </w:r>
          </w:p>
        </w:tc>
        <w:tc>
          <w:tcPr>
            <w:tcW w:w="506" w:type="pct"/>
            <w:vAlign w:val="center"/>
          </w:tcPr>
          <w:p w14:paraId="5D09C488">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2353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0" w:hRule="atLeast"/>
          <w:jc w:val="center"/>
        </w:trPr>
        <w:tc>
          <w:tcPr>
            <w:tcW w:w="379" w:type="pct"/>
            <w:vAlign w:val="center"/>
          </w:tcPr>
          <w:p w14:paraId="63130F04">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2</w:t>
            </w:r>
          </w:p>
        </w:tc>
        <w:tc>
          <w:tcPr>
            <w:tcW w:w="1105" w:type="pct"/>
            <w:vAlign w:val="center"/>
          </w:tcPr>
          <w:p w14:paraId="6D3404B6">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禁止向黑土地排放重金属或者其他有毒有害物质含量超标的污水、污泥，以及可能造成土壤污染的清淤底泥、尾矿、矿渣等；禁止将有毒有害废物用作肥料或者用于造田和土地复垦。</w:t>
            </w:r>
          </w:p>
        </w:tc>
        <w:tc>
          <w:tcPr>
            <w:tcW w:w="3010" w:type="pct"/>
            <w:vAlign w:val="center"/>
          </w:tcPr>
          <w:p w14:paraId="6C64B40A">
            <w:pPr>
              <w:keepNext w:val="0"/>
              <w:keepLines w:val="0"/>
              <w:pageBreakBefore w:val="0"/>
              <w:kinsoku/>
              <w:wordWrap/>
              <w:overflowPunct/>
              <w:topLinePunct w:val="0"/>
              <w:autoSpaceDE/>
              <w:autoSpaceDN/>
              <w:bidi w:val="0"/>
              <w:spacing w:line="360" w:lineRule="exact"/>
              <w:jc w:val="both"/>
              <w:textAlignment w:val="auto"/>
              <w:rPr>
                <w:rFonts w:hint="default" w:ascii="Times New Roman" w:hAnsi="Times New Roman" w:eastAsia="宋体" w:cs="Times New Roman"/>
                <w:color w:val="auto"/>
                <w:w w:val="99"/>
                <w:sz w:val="21"/>
                <w:szCs w:val="21"/>
                <w:highlight w:val="none"/>
                <w:lang w:val="en-US" w:eastAsia="zh-CN"/>
              </w:rPr>
            </w:pPr>
            <w:r>
              <w:rPr>
                <w:rFonts w:ascii="Times New Roman" w:hAnsi="Times New Roman" w:eastAsia="宋体" w:cs="Times New Roman"/>
                <w:color w:val="auto"/>
                <w:w w:val="99"/>
                <w:sz w:val="21"/>
                <w:szCs w:val="21"/>
                <w:highlight w:val="none"/>
              </w:rPr>
              <w:t>本项目施工期</w:t>
            </w:r>
            <w:r>
              <w:rPr>
                <w:rFonts w:hint="eastAsia" w:ascii="Times New Roman" w:hAnsi="Times New Roman" w:eastAsia="宋体" w:cs="Times New Roman"/>
                <w:color w:val="auto"/>
                <w:w w:val="99"/>
                <w:sz w:val="21"/>
                <w:szCs w:val="21"/>
                <w:highlight w:val="none"/>
                <w:lang w:val="en-US" w:eastAsia="zh-CN"/>
              </w:rPr>
              <w:t>管线试压废水</w:t>
            </w:r>
            <w:r>
              <w:rPr>
                <w:rFonts w:ascii="Times New Roman" w:hAnsi="Times New Roman" w:eastAsia="宋体" w:cs="Times New Roman"/>
                <w:color w:val="auto"/>
                <w:w w:val="99"/>
                <w:sz w:val="21"/>
                <w:szCs w:val="21"/>
                <w:highlight w:val="none"/>
              </w:rPr>
              <w:t>由罐车拉运至升一联气田污水预处理站处理</w:t>
            </w:r>
            <w:r>
              <w:rPr>
                <w:rFonts w:hint="eastAsia" w:ascii="Times New Roman" w:hAnsi="Times New Roman" w:eastAsia="宋体" w:cs="Times New Roman"/>
                <w:color w:val="auto"/>
                <w:w w:val="99"/>
                <w:sz w:val="21"/>
                <w:szCs w:val="21"/>
                <w:highlight w:val="none"/>
                <w:lang w:val="en-US" w:eastAsia="zh-CN"/>
              </w:rPr>
              <w:t>达标后回注地下油层，不外排。</w:t>
            </w:r>
            <w:r>
              <w:rPr>
                <w:rFonts w:ascii="Times New Roman" w:hAnsi="Times New Roman" w:eastAsia="宋体" w:cs="Times New Roman"/>
                <w:color w:val="auto"/>
                <w:w w:val="99"/>
                <w:sz w:val="21"/>
                <w:szCs w:val="21"/>
                <w:highlight w:val="none"/>
              </w:rPr>
              <w:t>施工人员产生的</w:t>
            </w:r>
            <w:r>
              <w:rPr>
                <w:rFonts w:hint="eastAsia" w:ascii="Times New Roman" w:hAnsi="Times New Roman" w:eastAsia="宋体" w:cs="Times New Roman"/>
                <w:color w:val="auto"/>
                <w:w w:val="99"/>
                <w:sz w:val="21"/>
                <w:szCs w:val="21"/>
                <w:highlight w:val="none"/>
                <w:lang w:val="en-US" w:eastAsia="zh-CN"/>
              </w:rPr>
              <w:t>生活污水排入附近场站已建生活污水收集设施，定期由大庆石油管理局有限公司庆南工矿服务公司红岗分公司拉运至大庆红岗区西巷污水回收站，管输至南区污水处理厂进行处理。</w:t>
            </w:r>
          </w:p>
          <w:p w14:paraId="38C9831B">
            <w:pPr>
              <w:keepNext w:val="0"/>
              <w:keepLines w:val="0"/>
              <w:pageBreakBefore w:val="0"/>
              <w:kinsoku/>
              <w:wordWrap/>
              <w:overflowPunct/>
              <w:topLinePunct w:val="0"/>
              <w:autoSpaceDE/>
              <w:autoSpaceDN/>
              <w:bidi w:val="0"/>
              <w:spacing w:line="360" w:lineRule="exact"/>
              <w:jc w:val="both"/>
              <w:textAlignment w:val="auto"/>
              <w:rPr>
                <w:rFonts w:hint="eastAsia" w:ascii="Times New Roman" w:hAnsi="Times New Roman" w:eastAsia="宋体" w:cs="Times New Roman"/>
                <w:color w:val="auto"/>
                <w:w w:val="99"/>
                <w:sz w:val="21"/>
                <w:szCs w:val="21"/>
                <w:highlight w:val="none"/>
                <w:lang w:val="en-US" w:eastAsia="zh-CN"/>
              </w:rPr>
            </w:pPr>
            <w:r>
              <w:rPr>
                <w:rFonts w:ascii="Times New Roman" w:hAnsi="Times New Roman" w:eastAsia="宋体" w:cs="Times New Roman"/>
                <w:color w:val="auto"/>
                <w:w w:val="99"/>
                <w:sz w:val="21"/>
                <w:szCs w:val="21"/>
                <w:highlight w:val="none"/>
              </w:rPr>
              <w:t>运营期产生的</w:t>
            </w:r>
            <w:r>
              <w:rPr>
                <w:rFonts w:hint="eastAsia" w:ascii="Times New Roman" w:hAnsi="Times New Roman" w:eastAsia="宋体" w:cs="Times New Roman"/>
                <w:color w:val="auto"/>
                <w:w w:val="99"/>
                <w:sz w:val="21"/>
                <w:szCs w:val="21"/>
                <w:highlight w:val="none"/>
                <w:lang w:val="en-US" w:eastAsia="zh-CN"/>
              </w:rPr>
              <w:t>气田</w:t>
            </w:r>
            <w:r>
              <w:rPr>
                <w:rFonts w:ascii="Times New Roman" w:hAnsi="Times New Roman" w:eastAsia="宋体" w:cs="Times New Roman"/>
                <w:color w:val="auto"/>
                <w:w w:val="99"/>
                <w:sz w:val="21"/>
                <w:szCs w:val="21"/>
                <w:highlight w:val="none"/>
              </w:rPr>
              <w:t>采出水暂存于</w:t>
            </w:r>
            <w:r>
              <w:rPr>
                <w:rFonts w:hint="eastAsia" w:ascii="Times New Roman" w:hAnsi="Times New Roman" w:eastAsia="宋体" w:cs="Times New Roman"/>
                <w:color w:val="auto"/>
                <w:w w:val="99"/>
                <w:sz w:val="21"/>
                <w:szCs w:val="21"/>
                <w:highlight w:val="none"/>
                <w:lang w:val="en-US" w:eastAsia="zh-CN"/>
              </w:rPr>
              <w:t>徐深</w:t>
            </w:r>
            <w:r>
              <w:rPr>
                <w:rFonts w:hint="eastAsia" w:ascii="Times New Roman" w:hAnsi="Times New Roman" w:cs="Times New Roman"/>
                <w:color w:val="auto"/>
                <w:w w:val="99"/>
                <w:sz w:val="21"/>
                <w:szCs w:val="21"/>
                <w:highlight w:val="none"/>
                <w:lang w:val="en-US" w:eastAsia="zh-CN"/>
              </w:rPr>
              <w:t>27</w:t>
            </w:r>
            <w:r>
              <w:rPr>
                <w:rFonts w:ascii="Times New Roman" w:hAnsi="Times New Roman" w:eastAsia="宋体" w:cs="Times New Roman"/>
                <w:color w:val="auto"/>
                <w:w w:val="99"/>
                <w:sz w:val="21"/>
                <w:szCs w:val="21"/>
                <w:highlight w:val="none"/>
              </w:rPr>
              <w:t>集气站污水储罐，再定期通过外输泵升压外输至气田采出水集输管网，并统一外输至升一联气田污水预处理站处理</w:t>
            </w:r>
            <w:r>
              <w:rPr>
                <w:rFonts w:hint="eastAsia" w:ascii="Times New Roman" w:hAnsi="Times New Roman" w:eastAsia="宋体" w:cs="Times New Roman"/>
                <w:color w:val="auto"/>
                <w:w w:val="99"/>
                <w:sz w:val="21"/>
                <w:szCs w:val="21"/>
                <w:highlight w:val="none"/>
                <w:lang w:val="en-US" w:eastAsia="zh-CN"/>
              </w:rPr>
              <w:t>达标后回注地下油层，不外排。</w:t>
            </w:r>
          </w:p>
          <w:p w14:paraId="113AAC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ascii="Times New Roman" w:hAnsi="Times New Roman" w:cs="Times New Roman"/>
                <w:iCs/>
                <w:color w:val="auto"/>
                <w:w w:val="99"/>
                <w:kern w:val="28"/>
                <w:sz w:val="21"/>
                <w:szCs w:val="21"/>
                <w:highlight w:val="none"/>
              </w:rPr>
            </w:pPr>
            <w:r>
              <w:rPr>
                <w:rFonts w:hint="eastAsia" w:ascii="Times New Roman" w:hAnsi="Times New Roman" w:eastAsia="宋体" w:cs="Times New Roman"/>
                <w:color w:val="auto"/>
                <w:w w:val="99"/>
                <w:sz w:val="21"/>
                <w:szCs w:val="21"/>
                <w:highlight w:val="none"/>
                <w:lang w:val="en-US" w:eastAsia="zh-CN"/>
              </w:rPr>
              <w:t>运营期</w:t>
            </w:r>
            <w:r>
              <w:rPr>
                <w:rFonts w:ascii="Times New Roman" w:hAnsi="Times New Roman" w:eastAsia="宋体" w:cs="Times New Roman"/>
                <w:color w:val="auto"/>
                <w:w w:val="99"/>
                <w:sz w:val="21"/>
                <w:szCs w:val="21"/>
                <w:highlight w:val="none"/>
              </w:rPr>
              <w:t>井口除砂器产生少量</w:t>
            </w:r>
            <w:r>
              <w:rPr>
                <w:rFonts w:hint="eastAsia" w:ascii="Times New Roman" w:hAnsi="Times New Roman" w:cs="Times New Roman"/>
                <w:color w:val="auto"/>
                <w:w w:val="99"/>
                <w:sz w:val="21"/>
                <w:szCs w:val="21"/>
                <w:highlight w:val="none"/>
                <w:lang w:eastAsia="zh-CN"/>
              </w:rPr>
              <w:t>井口含油砂砾</w:t>
            </w:r>
            <w:r>
              <w:rPr>
                <w:rFonts w:hint="eastAsia" w:ascii="Times New Roman" w:hAnsi="Times New Roman" w:cs="Times New Roman"/>
                <w:color w:val="auto"/>
                <w:w w:val="99"/>
                <w:sz w:val="21"/>
                <w:szCs w:val="21"/>
                <w:highlight w:val="none"/>
                <w:lang w:val="en-US" w:eastAsia="zh-CN"/>
              </w:rPr>
              <w:t>及废变压器油</w:t>
            </w:r>
            <w:r>
              <w:rPr>
                <w:rFonts w:hint="eastAsia" w:ascii="Times New Roman" w:hAnsi="Times New Roman" w:eastAsia="宋体" w:cs="Times New Roman"/>
                <w:color w:val="auto"/>
                <w:w w:val="99"/>
                <w:sz w:val="21"/>
                <w:szCs w:val="21"/>
                <w:highlight w:val="none"/>
                <w:lang w:val="en-US" w:eastAsia="zh-CN"/>
              </w:rPr>
              <w:t>属于危险废物，由检维修队送采气分公司危险废物贮存库内，定期委托有危废处置资质的单位处置。</w:t>
            </w:r>
          </w:p>
        </w:tc>
        <w:tc>
          <w:tcPr>
            <w:tcW w:w="506" w:type="pct"/>
            <w:vAlign w:val="center"/>
          </w:tcPr>
          <w:p w14:paraId="12F38577">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7B56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65F5C258">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3</w:t>
            </w:r>
          </w:p>
        </w:tc>
        <w:tc>
          <w:tcPr>
            <w:tcW w:w="1105" w:type="pct"/>
            <w:vAlign w:val="center"/>
          </w:tcPr>
          <w:p w14:paraId="202D847C">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因突发事件造成黑土地污染或者破坏的，当事人应当立即采取补救措施，并向当地县级人民政府生态环境或者自然资源、农业农村、林业和草原主管部门报告。</w:t>
            </w:r>
          </w:p>
        </w:tc>
        <w:tc>
          <w:tcPr>
            <w:tcW w:w="3010" w:type="pct"/>
            <w:vAlign w:val="center"/>
          </w:tcPr>
          <w:p w14:paraId="0D404CB6">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为避免事故状态下对周边黑土耕地的影响，</w:t>
            </w:r>
            <w:r>
              <w:rPr>
                <w:rFonts w:hint="eastAsia" w:ascii="Times New Roman" w:hAnsi="Times New Roman" w:cs="Times New Roman"/>
                <w:iCs/>
                <w:color w:val="auto"/>
                <w:w w:val="99"/>
                <w:kern w:val="28"/>
                <w:sz w:val="21"/>
                <w:szCs w:val="21"/>
                <w:highlight w:val="none"/>
                <w:lang w:eastAsia="zh-CN"/>
              </w:rPr>
              <w:t>大庆油田有限责任公司采气分公司</w:t>
            </w:r>
            <w:r>
              <w:rPr>
                <w:rFonts w:ascii="Times New Roman" w:hAnsi="Times New Roman" w:cs="Times New Roman"/>
                <w:iCs/>
                <w:color w:val="auto"/>
                <w:w w:val="99"/>
                <w:kern w:val="28"/>
                <w:sz w:val="21"/>
                <w:szCs w:val="21"/>
                <w:highlight w:val="none"/>
              </w:rPr>
              <w:t>已针对项目运行过程中可能产生的突发环境污染事件制定了</w:t>
            </w:r>
            <w:r>
              <w:rPr>
                <w:rFonts w:ascii="Times New Roman" w:hAnsi="Times New Roman" w:cs="Times New Roman"/>
                <w:bCs/>
                <w:iCs/>
                <w:color w:val="auto"/>
                <w:w w:val="99"/>
                <w:kern w:val="28"/>
                <w:sz w:val="21"/>
                <w:szCs w:val="21"/>
                <w:highlight w:val="none"/>
              </w:rPr>
              <w:t>《环境突发事件专项应急预案》</w:t>
            </w:r>
            <w:r>
              <w:rPr>
                <w:rFonts w:ascii="Times New Roman" w:hAnsi="Times New Roman" w:cs="Times New Roman"/>
                <w:iCs/>
                <w:color w:val="auto"/>
                <w:w w:val="99"/>
                <w:kern w:val="28"/>
                <w:sz w:val="21"/>
                <w:szCs w:val="21"/>
                <w:highlight w:val="none"/>
              </w:rPr>
              <w:t>，预案内容包括应急组织机构及职责明确、监测与预警、应急处置与应急响应、恢复与重建、应急保障与培训、督查与奖惩等内容，应急预案于202</w:t>
            </w:r>
            <w:r>
              <w:rPr>
                <w:rFonts w:hint="eastAsia" w:ascii="Times New Roman" w:hAnsi="Times New Roman" w:cs="Times New Roman"/>
                <w:iCs/>
                <w:color w:val="auto"/>
                <w:w w:val="99"/>
                <w:kern w:val="28"/>
                <w:sz w:val="21"/>
                <w:szCs w:val="21"/>
                <w:highlight w:val="none"/>
                <w:lang w:val="en-US" w:eastAsia="zh-CN"/>
              </w:rPr>
              <w:t>4</w:t>
            </w:r>
            <w:r>
              <w:rPr>
                <w:rFonts w:ascii="Times New Roman" w:hAnsi="Times New Roman" w:cs="Times New Roman"/>
                <w:iCs/>
                <w:color w:val="auto"/>
                <w:w w:val="99"/>
                <w:kern w:val="28"/>
                <w:sz w:val="21"/>
                <w:szCs w:val="21"/>
                <w:highlight w:val="none"/>
              </w:rPr>
              <w:t>年</w:t>
            </w:r>
            <w:r>
              <w:rPr>
                <w:rFonts w:hint="eastAsia" w:ascii="Times New Roman" w:hAnsi="Times New Roman" w:cs="Times New Roman"/>
                <w:iCs/>
                <w:color w:val="auto"/>
                <w:w w:val="99"/>
                <w:kern w:val="28"/>
                <w:sz w:val="21"/>
                <w:szCs w:val="21"/>
                <w:highlight w:val="none"/>
                <w:lang w:val="en-US" w:eastAsia="zh-CN"/>
              </w:rPr>
              <w:t>10</w:t>
            </w:r>
            <w:r>
              <w:rPr>
                <w:rFonts w:ascii="Times New Roman" w:hAnsi="Times New Roman" w:cs="Times New Roman"/>
                <w:iCs/>
                <w:color w:val="auto"/>
                <w:w w:val="99"/>
                <w:kern w:val="28"/>
                <w:sz w:val="21"/>
                <w:szCs w:val="21"/>
                <w:highlight w:val="none"/>
              </w:rPr>
              <w:t>月</w:t>
            </w:r>
            <w:r>
              <w:rPr>
                <w:rFonts w:hint="eastAsia" w:ascii="Times New Roman" w:hAnsi="Times New Roman" w:cs="Times New Roman"/>
                <w:iCs/>
                <w:color w:val="auto"/>
                <w:w w:val="99"/>
                <w:kern w:val="28"/>
                <w:sz w:val="21"/>
                <w:szCs w:val="21"/>
                <w:highlight w:val="none"/>
                <w:lang w:val="en-US" w:eastAsia="zh-CN"/>
              </w:rPr>
              <w:t>23</w:t>
            </w:r>
            <w:r>
              <w:rPr>
                <w:rFonts w:ascii="Times New Roman" w:hAnsi="Times New Roman" w:cs="Times New Roman"/>
                <w:iCs/>
                <w:color w:val="auto"/>
                <w:w w:val="99"/>
                <w:kern w:val="28"/>
                <w:sz w:val="21"/>
                <w:szCs w:val="21"/>
                <w:highlight w:val="none"/>
              </w:rPr>
              <w:t>日在大庆市</w:t>
            </w:r>
            <w:r>
              <w:rPr>
                <w:rFonts w:hint="eastAsia" w:ascii="Times New Roman" w:hAnsi="Times New Roman" w:cs="Times New Roman"/>
                <w:iCs/>
                <w:color w:val="auto"/>
                <w:w w:val="99"/>
                <w:kern w:val="28"/>
                <w:sz w:val="21"/>
                <w:szCs w:val="21"/>
                <w:highlight w:val="none"/>
                <w:lang w:val="en-US" w:eastAsia="zh-CN"/>
              </w:rPr>
              <w:t>让胡路</w:t>
            </w:r>
            <w:r>
              <w:rPr>
                <w:rFonts w:ascii="Times New Roman" w:hAnsi="Times New Roman" w:cs="Times New Roman"/>
                <w:iCs/>
                <w:color w:val="auto"/>
                <w:w w:val="99"/>
                <w:kern w:val="28"/>
                <w:sz w:val="21"/>
                <w:szCs w:val="21"/>
                <w:highlight w:val="none"/>
              </w:rPr>
              <w:t>生态环境局进行了备案，备案编号为</w:t>
            </w:r>
            <w:r>
              <w:rPr>
                <w:rFonts w:hint="default" w:ascii="Times New Roman" w:hAnsi="Times New Roman" w:eastAsia="宋体" w:cs="Times New Roman"/>
                <w:color w:val="auto"/>
                <w:w w:val="99"/>
                <w:sz w:val="21"/>
                <w:szCs w:val="21"/>
                <w:highlight w:val="none"/>
                <w:lang w:val="en-US" w:eastAsia="zh-CN" w:bidi="ar-SA"/>
              </w:rPr>
              <w:t>230604-2024-47-L</w:t>
            </w:r>
            <w:r>
              <w:rPr>
                <w:rFonts w:ascii="Times New Roman" w:hAnsi="Times New Roman" w:cs="Times New Roman"/>
                <w:iCs/>
                <w:color w:val="auto"/>
                <w:w w:val="99"/>
                <w:kern w:val="28"/>
                <w:sz w:val="21"/>
                <w:szCs w:val="21"/>
                <w:highlight w:val="none"/>
              </w:rPr>
              <w:t>，具体见附件</w:t>
            </w:r>
            <w:r>
              <w:rPr>
                <w:rFonts w:hint="eastAsia" w:ascii="Times New Roman" w:hAnsi="Times New Roman" w:cs="Times New Roman"/>
                <w:iCs/>
                <w:color w:val="auto"/>
                <w:w w:val="99"/>
                <w:kern w:val="28"/>
                <w:sz w:val="21"/>
                <w:szCs w:val="21"/>
                <w:highlight w:val="none"/>
                <w:lang w:val="en-US" w:eastAsia="zh-CN"/>
              </w:rPr>
              <w:t>5</w:t>
            </w:r>
            <w:r>
              <w:rPr>
                <w:rFonts w:ascii="Times New Roman" w:hAnsi="Times New Roman" w:cs="Times New Roman"/>
                <w:iCs/>
                <w:color w:val="auto"/>
                <w:w w:val="99"/>
                <w:kern w:val="28"/>
                <w:sz w:val="21"/>
                <w:szCs w:val="21"/>
                <w:highlight w:val="none"/>
              </w:rPr>
              <w:t>。</w:t>
            </w:r>
          </w:p>
        </w:tc>
        <w:tc>
          <w:tcPr>
            <w:tcW w:w="506" w:type="pct"/>
            <w:vAlign w:val="center"/>
          </w:tcPr>
          <w:p w14:paraId="76CB966A">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61D7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3495DF53">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4</w:t>
            </w:r>
          </w:p>
        </w:tc>
        <w:tc>
          <w:tcPr>
            <w:tcW w:w="1105" w:type="pct"/>
            <w:vAlign w:val="center"/>
          </w:tcPr>
          <w:p w14:paraId="74A53456">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黑土地上禁止下列行为：（一）建窑、建坟；（二）擅自建房、挖砂、采石、采矿等；（三）向黑土地倾倒垃圾；（四）法律、法规规定的其他禁止行为。</w:t>
            </w:r>
          </w:p>
        </w:tc>
        <w:tc>
          <w:tcPr>
            <w:tcW w:w="3010" w:type="pct"/>
            <w:vAlign w:val="center"/>
          </w:tcPr>
          <w:p w14:paraId="00D5C87F">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本项目为</w:t>
            </w:r>
            <w:r>
              <w:rPr>
                <w:rFonts w:hint="eastAsia" w:ascii="Times New Roman" w:hAnsi="Times New Roman" w:cs="Times New Roman"/>
                <w:iCs/>
                <w:color w:val="auto"/>
                <w:w w:val="99"/>
                <w:kern w:val="28"/>
                <w:sz w:val="21"/>
                <w:szCs w:val="21"/>
                <w:highlight w:val="none"/>
                <w:lang w:val="en-US" w:eastAsia="zh-CN"/>
              </w:rPr>
              <w:t>天然气</w:t>
            </w:r>
            <w:r>
              <w:rPr>
                <w:rFonts w:ascii="Times New Roman" w:hAnsi="Times New Roman" w:cs="Times New Roman"/>
                <w:iCs/>
                <w:color w:val="auto"/>
                <w:w w:val="99"/>
                <w:kern w:val="28"/>
                <w:sz w:val="21"/>
                <w:szCs w:val="21"/>
                <w:highlight w:val="none"/>
              </w:rPr>
              <w:t>开采项目，本项目在采矿许可证允许范围内进行采矿活动。项目施工及运营</w:t>
            </w:r>
            <w:r>
              <w:rPr>
                <w:rFonts w:hint="eastAsia" w:ascii="Times New Roman" w:hAnsi="Times New Roman" w:cs="Times New Roman"/>
                <w:iCs/>
                <w:color w:val="auto"/>
                <w:w w:val="99"/>
                <w:kern w:val="28"/>
                <w:sz w:val="21"/>
                <w:szCs w:val="21"/>
                <w:highlight w:val="none"/>
              </w:rPr>
              <w:t>产生</w:t>
            </w:r>
            <w:r>
              <w:rPr>
                <w:rFonts w:ascii="Times New Roman" w:hAnsi="Times New Roman" w:cs="Times New Roman"/>
                <w:iCs/>
                <w:color w:val="auto"/>
                <w:w w:val="99"/>
                <w:kern w:val="28"/>
                <w:sz w:val="21"/>
                <w:szCs w:val="21"/>
                <w:highlight w:val="none"/>
              </w:rPr>
              <w:t>的固体废物在固定地点集中存放，防止因暴雨、大风等冲入外环境，并及时清运，做到工完、料净、场地清。</w:t>
            </w:r>
          </w:p>
        </w:tc>
        <w:tc>
          <w:tcPr>
            <w:tcW w:w="506" w:type="pct"/>
            <w:vAlign w:val="center"/>
          </w:tcPr>
          <w:p w14:paraId="2479705A">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5B09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3A8CC617">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5</w:t>
            </w:r>
          </w:p>
        </w:tc>
        <w:tc>
          <w:tcPr>
            <w:tcW w:w="1105" w:type="pct"/>
            <w:vAlign w:val="center"/>
          </w:tcPr>
          <w:p w14:paraId="459839BF">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建立和完善建设用地增减挂钩机制。建设项目应当节约、集约使用黑土地，不占或者少占黑土地。</w:t>
            </w:r>
          </w:p>
        </w:tc>
        <w:tc>
          <w:tcPr>
            <w:tcW w:w="3010" w:type="pct"/>
            <w:vAlign w:val="center"/>
          </w:tcPr>
          <w:p w14:paraId="7BEC229C">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本项目已尽量减少了占地，本项目建设无法避免占用耕地，在施工前需要征收土地，应报请相关主管部门同意，取得用地审批。对永久占用</w:t>
            </w:r>
            <w:r>
              <w:rPr>
                <w:rFonts w:hint="eastAsia" w:ascii="Times New Roman" w:hAnsi="Times New Roman" w:cs="Times New Roman"/>
                <w:iCs/>
                <w:color w:val="auto"/>
                <w:w w:val="99"/>
                <w:kern w:val="28"/>
                <w:sz w:val="21"/>
                <w:szCs w:val="21"/>
                <w:highlight w:val="none"/>
                <w:lang w:val="en-US" w:eastAsia="zh-CN"/>
              </w:rPr>
              <w:t>0.0901</w:t>
            </w:r>
            <w:r>
              <w:rPr>
                <w:rFonts w:ascii="Times New Roman" w:hAnsi="Times New Roman" w:cs="Times New Roman"/>
                <w:iCs/>
                <w:color w:val="auto"/>
                <w:w w:val="99"/>
                <w:kern w:val="28"/>
                <w:sz w:val="21"/>
                <w:szCs w:val="21"/>
                <w:highlight w:val="none"/>
              </w:rPr>
              <w:t>hm</w:t>
            </w:r>
            <w:r>
              <w:rPr>
                <w:rFonts w:ascii="Times New Roman" w:hAnsi="Times New Roman" w:cs="Times New Roman"/>
                <w:iCs/>
                <w:color w:val="auto"/>
                <w:w w:val="99"/>
                <w:kern w:val="28"/>
                <w:sz w:val="21"/>
                <w:szCs w:val="21"/>
                <w:highlight w:val="none"/>
                <w:vertAlign w:val="superscript"/>
              </w:rPr>
              <w:t>2</w:t>
            </w:r>
            <w:r>
              <w:rPr>
                <w:rFonts w:ascii="Times New Roman" w:hAnsi="Times New Roman" w:cs="Times New Roman"/>
                <w:iCs/>
                <w:color w:val="auto"/>
                <w:w w:val="99"/>
                <w:kern w:val="28"/>
                <w:sz w:val="21"/>
                <w:szCs w:val="21"/>
                <w:highlight w:val="none"/>
              </w:rPr>
              <w:t>耕地（永久基本农田），按照“占一补一”原则进行占补平衡，由建设单位负责开垦与所占用耕地的数量和质量相当的耕地；如果没有条件开垦时，应当按照黑龙江省的规定缴纳耕地开垦费，专款用于开垦新的耕地。永久占用耕地的耕作层土壤集中堆放在施工井场或场站置土带区域，施工结束后用于</w:t>
            </w:r>
            <w:r>
              <w:rPr>
                <w:rFonts w:ascii="Times New Roman" w:hAnsi="Times New Roman" w:cs="Times New Roman"/>
                <w:bCs/>
                <w:iCs/>
                <w:color w:val="auto"/>
                <w:w w:val="99"/>
                <w:kern w:val="28"/>
                <w:sz w:val="21"/>
                <w:szCs w:val="21"/>
                <w:highlight w:val="none"/>
              </w:rPr>
              <w:t>周围区域土地复垦、土壤治理等用途</w:t>
            </w:r>
            <w:r>
              <w:rPr>
                <w:rFonts w:ascii="Times New Roman" w:hAnsi="Times New Roman" w:cs="Times New Roman"/>
                <w:iCs/>
                <w:color w:val="auto"/>
                <w:w w:val="99"/>
                <w:kern w:val="28"/>
                <w:sz w:val="21"/>
                <w:szCs w:val="21"/>
                <w:highlight w:val="none"/>
              </w:rPr>
              <w:t>。对于</w:t>
            </w:r>
            <w:r>
              <w:rPr>
                <w:rFonts w:hint="eastAsia" w:ascii="Times New Roman" w:hAnsi="Times New Roman" w:cs="Times New Roman"/>
                <w:color w:val="auto"/>
                <w:w w:val="99"/>
                <w:sz w:val="21"/>
                <w:szCs w:val="21"/>
                <w:highlight w:val="none"/>
                <w:lang w:val="en-US" w:eastAsia="zh-CN"/>
              </w:rPr>
              <w:t>1.9229</w:t>
            </w:r>
            <w:r>
              <w:rPr>
                <w:rFonts w:ascii="Times New Roman" w:hAnsi="Times New Roman" w:cs="Times New Roman"/>
                <w:iCs/>
                <w:color w:val="auto"/>
                <w:w w:val="99"/>
                <w:kern w:val="28"/>
                <w:sz w:val="21"/>
                <w:szCs w:val="21"/>
                <w:highlight w:val="none"/>
              </w:rPr>
              <w:t>hm</w:t>
            </w:r>
            <w:r>
              <w:rPr>
                <w:rFonts w:ascii="Times New Roman" w:hAnsi="Times New Roman" w:cs="Times New Roman"/>
                <w:iCs/>
                <w:color w:val="auto"/>
                <w:w w:val="99"/>
                <w:kern w:val="28"/>
                <w:sz w:val="21"/>
                <w:szCs w:val="21"/>
                <w:highlight w:val="none"/>
                <w:vertAlign w:val="superscript"/>
              </w:rPr>
              <w:t>2</w:t>
            </w:r>
            <w:r>
              <w:rPr>
                <w:rFonts w:ascii="Times New Roman" w:hAnsi="Times New Roman" w:cs="Times New Roman"/>
                <w:iCs/>
                <w:color w:val="auto"/>
                <w:w w:val="99"/>
                <w:kern w:val="28"/>
                <w:sz w:val="21"/>
                <w:szCs w:val="21"/>
                <w:highlight w:val="none"/>
              </w:rPr>
              <w:t>临时占地，施工前应剥离占地内的表土，</w:t>
            </w:r>
            <w:r>
              <w:rPr>
                <w:rFonts w:hint="eastAsia" w:ascii="Times New Roman" w:hAnsi="Times New Roman" w:cs="Times New Roman"/>
                <w:iCs/>
                <w:color w:val="auto"/>
                <w:w w:val="99"/>
                <w:kern w:val="28"/>
                <w:sz w:val="21"/>
                <w:szCs w:val="21"/>
                <w:highlight w:val="none"/>
              </w:rPr>
              <w:t>耕地剥离厚度</w:t>
            </w:r>
            <w:r>
              <w:rPr>
                <w:rFonts w:ascii="Times New Roman" w:hAnsi="Times New Roman" w:cs="Times New Roman"/>
                <w:iCs/>
                <w:color w:val="auto"/>
                <w:w w:val="99"/>
                <w:kern w:val="28"/>
                <w:sz w:val="21"/>
                <w:szCs w:val="21"/>
                <w:highlight w:val="none"/>
              </w:rPr>
              <w:t>0.3m，采用分层开挖，分层堆放，暂存于占地内的表土剥离临时堆放区，并采取苫布遮盖，表土剥离临时堆放区周围设置排水沟等措施防止水土流失，并定期采取洒水抑尘措施，剥离的表土在施工结束后分层回填，及时恢复地表植被，并采取补播措施，对占用农田全部恢复为等质等量面积的耕地。</w:t>
            </w:r>
          </w:p>
        </w:tc>
        <w:tc>
          <w:tcPr>
            <w:tcW w:w="506" w:type="pct"/>
            <w:vAlign w:val="center"/>
          </w:tcPr>
          <w:p w14:paraId="2CF8ACCA">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237C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1883C32D">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6</w:t>
            </w:r>
          </w:p>
        </w:tc>
        <w:tc>
          <w:tcPr>
            <w:tcW w:w="1105" w:type="pct"/>
            <w:vAlign w:val="center"/>
          </w:tcPr>
          <w:p w14:paraId="11E365C0">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生产建设活动占用黑土地的，应当按照有关标准、规范和管理规定剥离表土。</w:t>
            </w:r>
          </w:p>
        </w:tc>
        <w:tc>
          <w:tcPr>
            <w:tcW w:w="3010" w:type="pct"/>
            <w:vAlign w:val="center"/>
          </w:tcPr>
          <w:p w14:paraId="5BC32667">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color w:val="auto"/>
                <w:w w:val="99"/>
                <w:sz w:val="21"/>
                <w:szCs w:val="21"/>
                <w:highlight w:val="none"/>
              </w:rPr>
              <w:t xml:space="preserve">对永久占用 </w:t>
            </w:r>
            <w:r>
              <w:rPr>
                <w:rFonts w:hint="eastAsia" w:ascii="Times New Roman" w:hAnsi="Times New Roman" w:cs="Times New Roman"/>
                <w:color w:val="auto"/>
                <w:w w:val="99"/>
                <w:sz w:val="21"/>
                <w:szCs w:val="21"/>
                <w:highlight w:val="none"/>
                <w:lang w:val="en-US" w:eastAsia="zh-CN"/>
              </w:rPr>
              <w:t>0.0901</w:t>
            </w:r>
            <w:r>
              <w:rPr>
                <w:rFonts w:ascii="Times New Roman" w:hAnsi="Times New Roman" w:cs="Times New Roman"/>
                <w:color w:val="auto"/>
                <w:w w:val="99"/>
                <w:sz w:val="21"/>
                <w:szCs w:val="21"/>
                <w:highlight w:val="none"/>
              </w:rPr>
              <w:t>hm</w:t>
            </w:r>
            <w:r>
              <w:rPr>
                <w:rFonts w:ascii="Times New Roman" w:hAnsi="Times New Roman" w:cs="Times New Roman"/>
                <w:color w:val="auto"/>
                <w:w w:val="99"/>
                <w:sz w:val="21"/>
                <w:szCs w:val="21"/>
                <w:highlight w:val="none"/>
                <w:vertAlign w:val="superscript"/>
              </w:rPr>
              <w:t>2</w:t>
            </w:r>
            <w:r>
              <w:rPr>
                <w:rFonts w:ascii="Times New Roman" w:hAnsi="Times New Roman" w:cs="Times New Roman"/>
                <w:color w:val="auto"/>
                <w:w w:val="99"/>
                <w:sz w:val="21"/>
                <w:szCs w:val="21"/>
                <w:highlight w:val="none"/>
              </w:rPr>
              <w:t>耕地（永久基本农田），按照“占一补一”原则进行占补平衡，由建设单位负责开垦与所占用耕地的数量和质量相当的耕地；如果没有条件开垦时，应当按照黑龙江省的规定缴纳耕地开垦费，专款用于开垦新的耕地。永久占用耕地的耕作层土壤集中堆放在施工井场或场站置土带区域，施工结束后用于</w:t>
            </w:r>
            <w:r>
              <w:rPr>
                <w:rFonts w:ascii="Times New Roman" w:hAnsi="Times New Roman" w:cs="Times New Roman"/>
                <w:bCs/>
                <w:color w:val="auto"/>
                <w:w w:val="99"/>
                <w:sz w:val="21"/>
                <w:szCs w:val="21"/>
                <w:highlight w:val="none"/>
              </w:rPr>
              <w:t>周围区域土地复垦、土壤治理等用途</w:t>
            </w:r>
            <w:r>
              <w:rPr>
                <w:rFonts w:ascii="Times New Roman" w:hAnsi="Times New Roman" w:cs="Times New Roman"/>
                <w:color w:val="auto"/>
                <w:w w:val="99"/>
                <w:sz w:val="21"/>
                <w:szCs w:val="21"/>
                <w:highlight w:val="none"/>
              </w:rPr>
              <w:t>。对于</w:t>
            </w:r>
            <w:r>
              <w:rPr>
                <w:rFonts w:hint="eastAsia" w:ascii="Times New Roman" w:hAnsi="Times New Roman" w:cs="Times New Roman"/>
                <w:color w:val="auto"/>
                <w:w w:val="99"/>
                <w:sz w:val="21"/>
                <w:szCs w:val="21"/>
                <w:highlight w:val="none"/>
                <w:lang w:val="en-US" w:eastAsia="zh-CN"/>
              </w:rPr>
              <w:t>1.9229</w:t>
            </w:r>
            <w:r>
              <w:rPr>
                <w:rFonts w:ascii="Times New Roman" w:hAnsi="Times New Roman" w:cs="Times New Roman"/>
                <w:color w:val="auto"/>
                <w:w w:val="99"/>
                <w:sz w:val="21"/>
                <w:szCs w:val="21"/>
                <w:highlight w:val="none"/>
              </w:rPr>
              <w:t>hm</w:t>
            </w:r>
            <w:r>
              <w:rPr>
                <w:rFonts w:ascii="Times New Roman" w:hAnsi="Times New Roman" w:cs="Times New Roman"/>
                <w:color w:val="auto"/>
                <w:w w:val="99"/>
                <w:sz w:val="21"/>
                <w:szCs w:val="21"/>
                <w:highlight w:val="none"/>
                <w:vertAlign w:val="superscript"/>
              </w:rPr>
              <w:t>2</w:t>
            </w:r>
            <w:r>
              <w:rPr>
                <w:rFonts w:ascii="Times New Roman" w:hAnsi="Times New Roman" w:cs="Times New Roman"/>
                <w:color w:val="auto"/>
                <w:w w:val="99"/>
                <w:sz w:val="21"/>
                <w:szCs w:val="21"/>
                <w:highlight w:val="none"/>
              </w:rPr>
              <w:t>临时占地，施工前应剥离占地内的表土，</w:t>
            </w:r>
            <w:r>
              <w:rPr>
                <w:rFonts w:hint="eastAsia" w:ascii="Times New Roman" w:hAnsi="Times New Roman" w:cs="Times New Roman"/>
                <w:color w:val="auto"/>
                <w:w w:val="99"/>
                <w:sz w:val="21"/>
                <w:szCs w:val="21"/>
                <w:highlight w:val="none"/>
              </w:rPr>
              <w:t>耕地剥离厚度</w:t>
            </w:r>
            <w:r>
              <w:rPr>
                <w:rFonts w:ascii="Times New Roman" w:hAnsi="Times New Roman" w:cs="Times New Roman"/>
                <w:color w:val="auto"/>
                <w:w w:val="99"/>
                <w:sz w:val="21"/>
                <w:szCs w:val="21"/>
                <w:highlight w:val="none"/>
              </w:rPr>
              <w:t>0.3m，采用分层开挖，分层堆放，暂存于占地内的表土剥离临时堆放区，并采取苫布遮盖，表土剥离临时堆放区周围设置排水沟等措施防止水土流失，并定期采取洒水抑尘措施，剥离的表土在施工结束后分层回填，及时恢复地表植被，并采取补播措施，对占用农田全部恢复为等质等量面积的耕地。</w:t>
            </w:r>
          </w:p>
        </w:tc>
        <w:tc>
          <w:tcPr>
            <w:tcW w:w="506" w:type="pct"/>
            <w:vAlign w:val="center"/>
          </w:tcPr>
          <w:p w14:paraId="68A52B56">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bl>
    <w:p w14:paraId="77946464">
      <w:pPr>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根据以上分析，本项目符合《黑龙江省黑土地保护利用条例》（</w:t>
      </w:r>
      <w:r>
        <w:rPr>
          <w:rFonts w:hint="eastAsia" w:ascii="Times New Roman" w:hAnsi="Times New Roman" w:cs="Times New Roman"/>
          <w:iCs/>
          <w:color w:val="auto"/>
          <w:w w:val="99"/>
          <w:kern w:val="2"/>
          <w:highlight w:val="none"/>
        </w:rPr>
        <w:t>黑人常〔</w:t>
      </w:r>
      <w:r>
        <w:rPr>
          <w:rFonts w:ascii="Times New Roman" w:hAnsi="Times New Roman" w:cs="Times New Roman"/>
          <w:iCs/>
          <w:color w:val="auto"/>
          <w:w w:val="99"/>
          <w:kern w:val="2"/>
          <w:highlight w:val="none"/>
        </w:rPr>
        <w:t>2024〕17号）中要求。</w:t>
      </w:r>
    </w:p>
    <w:p w14:paraId="1EB0A6C1">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1.4.3.</w:t>
      </w:r>
      <w:r>
        <w:rPr>
          <w:rFonts w:hint="eastAsia" w:ascii="Times New Roman" w:hAnsi="Times New Roman" w:eastAsiaTheme="minorEastAsia"/>
          <w:b/>
          <w:color w:val="auto"/>
          <w:w w:val="99"/>
          <w:highlight w:val="none"/>
          <w:lang w:val="en-US" w:eastAsia="zh-CN"/>
        </w:rPr>
        <w:t>4</w:t>
      </w:r>
      <w:r>
        <w:rPr>
          <w:rFonts w:ascii="Times New Roman" w:hAnsi="Times New Roman" w:eastAsiaTheme="minorEastAsia"/>
          <w:b/>
          <w:color w:val="auto"/>
          <w:w w:val="99"/>
          <w:highlight w:val="none"/>
        </w:rPr>
        <w:t>与</w:t>
      </w:r>
      <w:r>
        <w:rPr>
          <w:rFonts w:hint="eastAsia" w:ascii="Times New Roman" w:hAnsi="Times New Roman" w:eastAsiaTheme="minorEastAsia"/>
          <w:b/>
          <w:color w:val="auto"/>
          <w:w w:val="99"/>
          <w:highlight w:val="none"/>
        </w:rPr>
        <w:t>《自然资源部关于规范临时用地管理的通知》</w:t>
      </w:r>
      <w:r>
        <w:rPr>
          <w:rFonts w:hint="eastAsia" w:ascii="Times New Roman" w:hAnsi="Times New Roman"/>
          <w:iCs/>
          <w:color w:val="auto"/>
          <w:w w:val="99"/>
          <w:kern w:val="2"/>
          <w:highlight w:val="none"/>
        </w:rPr>
        <w:t>（</w:t>
      </w:r>
      <w:r>
        <w:rPr>
          <w:rFonts w:ascii="Times New Roman" w:hAnsi="Times New Roman" w:eastAsiaTheme="minorEastAsia"/>
          <w:b/>
          <w:color w:val="auto"/>
          <w:w w:val="99"/>
          <w:highlight w:val="none"/>
        </w:rPr>
        <w:t>自然资规〔2021〕2号</w:t>
      </w:r>
      <w:r>
        <w:rPr>
          <w:rFonts w:hint="eastAsia" w:ascii="Times New Roman" w:hAnsi="Times New Roman"/>
          <w:iCs/>
          <w:color w:val="auto"/>
          <w:w w:val="99"/>
          <w:kern w:val="2"/>
          <w:highlight w:val="none"/>
        </w:rPr>
        <w:t>）</w:t>
      </w:r>
      <w:r>
        <w:rPr>
          <w:rFonts w:ascii="Times New Roman" w:hAnsi="Times New Roman" w:eastAsiaTheme="minorEastAsia"/>
          <w:b/>
          <w:color w:val="auto"/>
          <w:w w:val="99"/>
          <w:highlight w:val="none"/>
        </w:rPr>
        <w:t>符合性分析</w:t>
      </w:r>
    </w:p>
    <w:p w14:paraId="79F9EF4F">
      <w:pPr>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本项目与《自然资源部关于规范临时用地管理的通知》（自然资规〔2021〕2号）符合性分析见表1.4-</w:t>
      </w:r>
      <w:r>
        <w:rPr>
          <w:rFonts w:hint="eastAsia" w:ascii="Times New Roman" w:hAnsi="Times New Roman" w:cs="Times New Roman"/>
          <w:iCs/>
          <w:color w:val="auto"/>
          <w:w w:val="99"/>
          <w:kern w:val="2"/>
          <w:highlight w:val="none"/>
          <w:lang w:val="en-US" w:eastAsia="zh-CN"/>
        </w:rPr>
        <w:t>5</w:t>
      </w:r>
      <w:r>
        <w:rPr>
          <w:rFonts w:ascii="Times New Roman" w:hAnsi="Times New Roman" w:cs="Times New Roman"/>
          <w:iCs/>
          <w:color w:val="auto"/>
          <w:w w:val="99"/>
          <w:kern w:val="2"/>
          <w:highlight w:val="none"/>
        </w:rPr>
        <w:t>。</w:t>
      </w:r>
    </w:p>
    <w:p w14:paraId="045EA88F">
      <w:pPr>
        <w:spacing w:line="440" w:lineRule="exact"/>
        <w:ind w:firstLine="476" w:firstLineChars="200"/>
        <w:rPr>
          <w:rFonts w:ascii="Times New Roman" w:hAnsi="Times New Roman" w:cs="Times New Roman"/>
          <w:b/>
          <w:iCs/>
          <w:color w:val="auto"/>
          <w:w w:val="99"/>
          <w:kern w:val="2"/>
          <w:highlight w:val="none"/>
        </w:rPr>
      </w:pPr>
      <w:r>
        <w:rPr>
          <w:rFonts w:ascii="Times New Roman" w:hAnsi="Times New Roman" w:cs="Times New Roman"/>
          <w:b/>
          <w:iCs/>
          <w:color w:val="auto"/>
          <w:w w:val="99"/>
          <w:kern w:val="2"/>
          <w:highlight w:val="none"/>
        </w:rPr>
        <w:t>表1.4-</w:t>
      </w:r>
      <w:r>
        <w:rPr>
          <w:rFonts w:hint="eastAsia" w:ascii="Times New Roman" w:hAnsi="Times New Roman" w:cs="Times New Roman"/>
          <w:b/>
          <w:iCs/>
          <w:color w:val="auto"/>
          <w:w w:val="99"/>
          <w:kern w:val="2"/>
          <w:highlight w:val="none"/>
          <w:lang w:val="en-US" w:eastAsia="zh-CN"/>
        </w:rPr>
        <w:t>5</w:t>
      </w:r>
      <w:r>
        <w:rPr>
          <w:rFonts w:ascii="Times New Roman" w:hAnsi="Times New Roman" w:cs="Times New Roman"/>
          <w:b/>
          <w:iCs/>
          <w:color w:val="auto"/>
          <w:w w:val="99"/>
          <w:kern w:val="2"/>
          <w:highlight w:val="none"/>
        </w:rPr>
        <w:t xml:space="preserve">    本项目与</w:t>
      </w:r>
      <w:r>
        <w:rPr>
          <w:rFonts w:hint="eastAsia" w:ascii="Times New Roman" w:hAnsi="Times New Roman" w:cs="Times New Roman"/>
          <w:b/>
          <w:iCs/>
          <w:color w:val="auto"/>
          <w:w w:val="99"/>
          <w:kern w:val="2"/>
          <w:highlight w:val="none"/>
        </w:rPr>
        <w:t>“</w:t>
      </w:r>
      <w:r>
        <w:rPr>
          <w:rFonts w:ascii="Times New Roman" w:hAnsi="Times New Roman" w:cs="Times New Roman"/>
          <w:b/>
          <w:iCs/>
          <w:color w:val="auto"/>
          <w:w w:val="99"/>
          <w:kern w:val="2"/>
          <w:highlight w:val="none"/>
        </w:rPr>
        <w:t>自然资规〔2021〕2号</w:t>
      </w:r>
      <w:r>
        <w:rPr>
          <w:rFonts w:hint="eastAsia" w:ascii="Times New Roman" w:hAnsi="Times New Roman" w:cs="Times New Roman"/>
          <w:b/>
          <w:iCs/>
          <w:color w:val="auto"/>
          <w:w w:val="99"/>
          <w:kern w:val="2"/>
          <w:highlight w:val="none"/>
        </w:rPr>
        <w:t>”</w:t>
      </w:r>
      <w:r>
        <w:rPr>
          <w:rFonts w:ascii="Times New Roman" w:hAnsi="Times New Roman" w:cs="Times New Roman"/>
          <w:b/>
          <w:iCs/>
          <w:color w:val="auto"/>
          <w:w w:val="99"/>
          <w:kern w:val="2"/>
          <w:highlight w:val="none"/>
        </w:rPr>
        <w:t>相关要求符合性一览表</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070"/>
        <w:gridCol w:w="4568"/>
        <w:gridCol w:w="939"/>
      </w:tblGrid>
      <w:tr w14:paraId="7F37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3E7516FE">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序号</w:t>
            </w:r>
          </w:p>
        </w:tc>
        <w:tc>
          <w:tcPr>
            <w:tcW w:w="1654" w:type="pct"/>
            <w:vAlign w:val="center"/>
          </w:tcPr>
          <w:p w14:paraId="2CFFEC16">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文件要求</w:t>
            </w:r>
          </w:p>
        </w:tc>
        <w:tc>
          <w:tcPr>
            <w:tcW w:w="2461" w:type="pct"/>
            <w:vAlign w:val="center"/>
          </w:tcPr>
          <w:p w14:paraId="7110CB5A">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符合性分析</w:t>
            </w:r>
          </w:p>
        </w:tc>
        <w:tc>
          <w:tcPr>
            <w:tcW w:w="506" w:type="pct"/>
            <w:vAlign w:val="center"/>
          </w:tcPr>
          <w:p w14:paraId="2C5620DA">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w:t>
            </w:r>
          </w:p>
        </w:tc>
      </w:tr>
      <w:tr w14:paraId="6CD3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7D16CFAB">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1</w:t>
            </w:r>
          </w:p>
        </w:tc>
        <w:tc>
          <w:tcPr>
            <w:tcW w:w="1654" w:type="pct"/>
            <w:vAlign w:val="center"/>
          </w:tcPr>
          <w:p w14:paraId="6F29D1D3">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建设项目施工、地质勘查使用临时用地时应坚持“用多少、批多少、占多少、恢复多少”，尽量不占或者少占耕地。使用后土地复垦难度较大的临时用地，要严格控制占用耕地。</w:t>
            </w:r>
          </w:p>
        </w:tc>
        <w:tc>
          <w:tcPr>
            <w:tcW w:w="2461" w:type="pct"/>
            <w:vAlign w:val="center"/>
          </w:tcPr>
          <w:p w14:paraId="32636B7D">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 xml:space="preserve">对永久占用 </w:t>
            </w:r>
            <w:r>
              <w:rPr>
                <w:rFonts w:hint="eastAsia" w:ascii="Times New Roman" w:hAnsi="Times New Roman" w:cs="Times New Roman"/>
                <w:iCs/>
                <w:color w:val="auto"/>
                <w:w w:val="99"/>
                <w:kern w:val="28"/>
                <w:sz w:val="21"/>
                <w:szCs w:val="21"/>
                <w:highlight w:val="none"/>
                <w:lang w:eastAsia="zh-CN"/>
              </w:rPr>
              <w:t>0.0901</w:t>
            </w:r>
            <w:r>
              <w:rPr>
                <w:rFonts w:ascii="Times New Roman" w:hAnsi="Times New Roman" w:cs="Times New Roman"/>
                <w:iCs/>
                <w:color w:val="auto"/>
                <w:w w:val="99"/>
                <w:kern w:val="28"/>
                <w:sz w:val="21"/>
                <w:szCs w:val="21"/>
                <w:highlight w:val="none"/>
              </w:rPr>
              <w:t>hm</w:t>
            </w:r>
            <w:r>
              <w:rPr>
                <w:rFonts w:ascii="Times New Roman" w:hAnsi="Times New Roman" w:cs="Times New Roman"/>
                <w:iCs/>
                <w:color w:val="auto"/>
                <w:w w:val="99"/>
                <w:kern w:val="28"/>
                <w:sz w:val="21"/>
                <w:szCs w:val="21"/>
                <w:highlight w:val="none"/>
                <w:vertAlign w:val="superscript"/>
              </w:rPr>
              <w:t>2</w:t>
            </w:r>
            <w:r>
              <w:rPr>
                <w:rFonts w:ascii="Times New Roman" w:hAnsi="Times New Roman" w:cs="Times New Roman"/>
                <w:iCs/>
                <w:color w:val="auto"/>
                <w:w w:val="99"/>
                <w:kern w:val="28"/>
                <w:sz w:val="21"/>
                <w:szCs w:val="21"/>
                <w:highlight w:val="none"/>
              </w:rPr>
              <w:t>耕地（永久基本农田），按照“占一补一”原则进行占补平衡，由建设单位负责开垦与所占用耕地的数量和质量相当的耕地；如果没有条件开垦时，应当按照黑龙江省的规定缴纳耕地开垦费，专款用于开垦新的耕地。永久占用耕地的耕作层土壤集中堆放在施工井场或场站置土带区域，施工结束后用于</w:t>
            </w:r>
            <w:r>
              <w:rPr>
                <w:rFonts w:ascii="Times New Roman" w:hAnsi="Times New Roman" w:cs="Times New Roman"/>
                <w:bCs/>
                <w:iCs/>
                <w:color w:val="auto"/>
                <w:w w:val="99"/>
                <w:kern w:val="28"/>
                <w:sz w:val="21"/>
                <w:szCs w:val="21"/>
                <w:highlight w:val="none"/>
              </w:rPr>
              <w:t>周围区域土地复垦、土壤治理等用途</w:t>
            </w:r>
            <w:r>
              <w:rPr>
                <w:rFonts w:ascii="Times New Roman" w:hAnsi="Times New Roman" w:cs="Times New Roman"/>
                <w:iCs/>
                <w:color w:val="auto"/>
                <w:w w:val="99"/>
                <w:kern w:val="28"/>
                <w:sz w:val="21"/>
                <w:szCs w:val="21"/>
                <w:highlight w:val="none"/>
              </w:rPr>
              <w:t>。对于</w:t>
            </w:r>
            <w:r>
              <w:rPr>
                <w:rFonts w:hint="eastAsia" w:ascii="Times New Roman" w:hAnsi="Times New Roman" w:cs="Times New Roman"/>
                <w:iCs/>
                <w:color w:val="auto"/>
                <w:w w:val="99"/>
                <w:kern w:val="28"/>
                <w:sz w:val="21"/>
                <w:szCs w:val="21"/>
                <w:highlight w:val="none"/>
                <w:lang w:eastAsia="zh-CN"/>
              </w:rPr>
              <w:t>1.9229</w:t>
            </w:r>
            <w:r>
              <w:rPr>
                <w:rFonts w:ascii="Times New Roman" w:hAnsi="Times New Roman" w:cs="Times New Roman"/>
                <w:iCs/>
                <w:color w:val="auto"/>
                <w:w w:val="99"/>
                <w:kern w:val="28"/>
                <w:sz w:val="21"/>
                <w:szCs w:val="21"/>
                <w:highlight w:val="none"/>
              </w:rPr>
              <w:t>hm</w:t>
            </w:r>
            <w:r>
              <w:rPr>
                <w:rFonts w:ascii="Times New Roman" w:hAnsi="Times New Roman" w:cs="Times New Roman"/>
                <w:iCs/>
                <w:color w:val="auto"/>
                <w:w w:val="99"/>
                <w:kern w:val="28"/>
                <w:sz w:val="21"/>
                <w:szCs w:val="21"/>
                <w:highlight w:val="none"/>
                <w:vertAlign w:val="superscript"/>
              </w:rPr>
              <w:t>2</w:t>
            </w:r>
            <w:r>
              <w:rPr>
                <w:rFonts w:ascii="Times New Roman" w:hAnsi="Times New Roman" w:cs="Times New Roman"/>
                <w:iCs/>
                <w:color w:val="auto"/>
                <w:w w:val="99"/>
                <w:kern w:val="28"/>
                <w:sz w:val="21"/>
                <w:szCs w:val="21"/>
                <w:highlight w:val="none"/>
              </w:rPr>
              <w:t>临时占地，施工前应剥离占地内的表土，</w:t>
            </w:r>
            <w:r>
              <w:rPr>
                <w:rFonts w:hint="eastAsia" w:ascii="Times New Roman" w:hAnsi="Times New Roman" w:cs="Times New Roman"/>
                <w:iCs/>
                <w:color w:val="auto"/>
                <w:w w:val="99"/>
                <w:kern w:val="28"/>
                <w:sz w:val="21"/>
                <w:szCs w:val="21"/>
                <w:highlight w:val="none"/>
              </w:rPr>
              <w:t>耕地剥离厚度</w:t>
            </w:r>
            <w:r>
              <w:rPr>
                <w:rFonts w:ascii="Times New Roman" w:hAnsi="Times New Roman" w:cs="Times New Roman"/>
                <w:iCs/>
                <w:color w:val="auto"/>
                <w:w w:val="99"/>
                <w:kern w:val="28"/>
                <w:sz w:val="21"/>
                <w:szCs w:val="21"/>
                <w:highlight w:val="none"/>
              </w:rPr>
              <w:t>0.3m，采用分层开挖，分层堆放，暂存于占地内的表土剥离临时堆放区，并采取苫布遮盖，表土剥离临时堆放区周围设置排水沟等措施防止水土流失，并定期采取洒水抑尘措施，剥离的表土在施工结束后分层回填，及时恢复地表植被，并采取补播措施，对占用农田全部恢复为等质等量面积的耕地。</w:t>
            </w:r>
          </w:p>
        </w:tc>
        <w:tc>
          <w:tcPr>
            <w:tcW w:w="506" w:type="pct"/>
            <w:vAlign w:val="center"/>
          </w:tcPr>
          <w:p w14:paraId="2B1F5A2D">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08BF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0D6A788C">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2</w:t>
            </w:r>
          </w:p>
        </w:tc>
        <w:tc>
          <w:tcPr>
            <w:tcW w:w="1654" w:type="pct"/>
            <w:vAlign w:val="center"/>
          </w:tcPr>
          <w:p w14:paraId="489F510D">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制梁场、拌合站等难以恢复原种植条件的不得以临时用地方式占用耕地和永久基本农田，可以建设用地方式或者临时占用未利用地方式使用土地。</w:t>
            </w:r>
          </w:p>
        </w:tc>
        <w:tc>
          <w:tcPr>
            <w:tcW w:w="2461" w:type="pct"/>
            <w:vAlign w:val="center"/>
          </w:tcPr>
          <w:p w14:paraId="22F5306C">
            <w:pPr>
              <w:widowControl w:val="0"/>
              <w:adjustRightInd w:val="0"/>
              <w:snapToGrid w:val="0"/>
              <w:spacing w:line="360" w:lineRule="exact"/>
              <w:jc w:val="left"/>
              <w:rPr>
                <w:rFonts w:ascii="Times New Roman" w:hAnsi="Times New Roman" w:cs="Times New Roman"/>
                <w:bCs/>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本项目不涉及建设</w:t>
            </w:r>
            <w:r>
              <w:rPr>
                <w:rFonts w:hint="eastAsia" w:ascii="Times New Roman" w:hAnsi="Times New Roman" w:cs="Times New Roman"/>
                <w:iCs/>
                <w:color w:val="auto"/>
                <w:w w:val="99"/>
                <w:kern w:val="28"/>
                <w:sz w:val="21"/>
                <w:szCs w:val="21"/>
                <w:highlight w:val="none"/>
              </w:rPr>
              <w:t>制梁场、拌合站、弃渣场等，项目固井采用外购的商品混凝土。本项目</w:t>
            </w:r>
            <w:r>
              <w:rPr>
                <w:rFonts w:ascii="Times New Roman" w:hAnsi="Times New Roman" w:cs="Times New Roman"/>
                <w:iCs/>
                <w:color w:val="auto"/>
                <w:w w:val="99"/>
                <w:kern w:val="28"/>
                <w:sz w:val="21"/>
                <w:szCs w:val="21"/>
                <w:highlight w:val="none"/>
              </w:rPr>
              <w:t>施工前应剥离占地内的表土，</w:t>
            </w:r>
            <w:r>
              <w:rPr>
                <w:rFonts w:hint="eastAsia" w:ascii="Times New Roman" w:hAnsi="Times New Roman" w:cs="Times New Roman"/>
                <w:iCs/>
                <w:color w:val="auto"/>
                <w:w w:val="99"/>
                <w:kern w:val="28"/>
                <w:sz w:val="21"/>
                <w:szCs w:val="21"/>
                <w:highlight w:val="none"/>
              </w:rPr>
              <w:t>耕地剥离厚度</w:t>
            </w:r>
            <w:r>
              <w:rPr>
                <w:rFonts w:ascii="Times New Roman" w:hAnsi="Times New Roman" w:cs="Times New Roman"/>
                <w:iCs/>
                <w:color w:val="auto"/>
                <w:w w:val="99"/>
                <w:kern w:val="28"/>
                <w:sz w:val="21"/>
                <w:szCs w:val="21"/>
                <w:highlight w:val="none"/>
              </w:rPr>
              <w:t>0.3m，采用分层开挖，分层堆放，暂存于占地内的表土剥离临时堆放区，并采取苫布遮盖，表土剥离临时堆放区周围设置排水沟等措施防止水土流失，并定期采取洒水抑尘措施，剥离的表土在施工结束后分层回填，及时恢复地表植被，并采取补播措施，对占用农田全部恢复为等质等量面积的耕地。</w:t>
            </w:r>
          </w:p>
        </w:tc>
        <w:tc>
          <w:tcPr>
            <w:tcW w:w="506" w:type="pct"/>
            <w:vAlign w:val="center"/>
          </w:tcPr>
          <w:p w14:paraId="334F6AC3">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76F6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7E62212B">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2</w:t>
            </w:r>
          </w:p>
        </w:tc>
        <w:tc>
          <w:tcPr>
            <w:tcW w:w="1654" w:type="pct"/>
            <w:vAlign w:val="center"/>
          </w:tcPr>
          <w:p w14:paraId="159F7A5E">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临时用地使用期限一般不超过两年。建设周期较长的能源、交通、水利等基础设施建设项目施工使用的临时用地，期限不超过四年。</w:t>
            </w:r>
          </w:p>
        </w:tc>
        <w:tc>
          <w:tcPr>
            <w:tcW w:w="2461" w:type="pct"/>
            <w:vAlign w:val="center"/>
          </w:tcPr>
          <w:p w14:paraId="2226127C">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bCs/>
                <w:iCs/>
                <w:color w:val="auto"/>
                <w:w w:val="99"/>
                <w:kern w:val="28"/>
                <w:sz w:val="21"/>
                <w:szCs w:val="21"/>
                <w:highlight w:val="none"/>
              </w:rPr>
              <w:t>本项目为天然气开采</w:t>
            </w:r>
            <w:r>
              <w:rPr>
                <w:rFonts w:hint="eastAsia" w:ascii="Times New Roman" w:hAnsi="Times New Roman" w:cs="Times New Roman"/>
                <w:bCs/>
                <w:iCs/>
                <w:color w:val="auto"/>
                <w:w w:val="99"/>
                <w:kern w:val="28"/>
                <w:sz w:val="21"/>
                <w:szCs w:val="21"/>
                <w:highlight w:val="none"/>
                <w:lang w:val="en-US" w:eastAsia="zh-CN"/>
              </w:rPr>
              <w:t>项目</w:t>
            </w:r>
            <w:r>
              <w:rPr>
                <w:rFonts w:ascii="Times New Roman" w:hAnsi="Times New Roman" w:cs="Times New Roman"/>
                <w:bCs/>
                <w:iCs/>
                <w:color w:val="auto"/>
                <w:w w:val="99"/>
                <w:kern w:val="28"/>
                <w:sz w:val="21"/>
                <w:szCs w:val="21"/>
                <w:highlight w:val="none"/>
              </w:rPr>
              <w:t>，</w:t>
            </w:r>
            <w:r>
              <w:rPr>
                <w:rFonts w:hint="eastAsia" w:ascii="Times New Roman" w:hAnsi="Times New Roman" w:cs="Times New Roman"/>
                <w:bCs/>
                <w:iCs/>
                <w:color w:val="auto"/>
                <w:w w:val="99"/>
                <w:kern w:val="28"/>
                <w:sz w:val="21"/>
                <w:szCs w:val="21"/>
                <w:highlight w:val="none"/>
                <w:lang w:val="en-US" w:eastAsia="zh-CN"/>
              </w:rPr>
              <w:t>属于</w:t>
            </w:r>
            <w:r>
              <w:rPr>
                <w:rFonts w:ascii="Times New Roman" w:hAnsi="Times New Roman" w:cs="Times New Roman"/>
                <w:bCs/>
                <w:iCs/>
                <w:color w:val="auto"/>
                <w:w w:val="99"/>
                <w:kern w:val="28"/>
                <w:sz w:val="21"/>
                <w:szCs w:val="21"/>
                <w:highlight w:val="none"/>
              </w:rPr>
              <w:t>能源基础设施建设项目，本项目计划施工期不超过1年。</w:t>
            </w:r>
          </w:p>
        </w:tc>
        <w:tc>
          <w:tcPr>
            <w:tcW w:w="506" w:type="pct"/>
            <w:vAlign w:val="center"/>
          </w:tcPr>
          <w:p w14:paraId="299FEA94">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0900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79028CFC">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3</w:t>
            </w:r>
          </w:p>
        </w:tc>
        <w:tc>
          <w:tcPr>
            <w:tcW w:w="1654" w:type="pct"/>
            <w:vAlign w:val="center"/>
          </w:tcPr>
          <w:p w14:paraId="71E79974">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2461" w:type="pct"/>
            <w:vAlign w:val="center"/>
          </w:tcPr>
          <w:p w14:paraId="5CF6E55C">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本项目施工结束后拆除临时用地内临时建（构）筑物，并等质等量恢复临时占地内的耕地。</w:t>
            </w:r>
          </w:p>
        </w:tc>
        <w:tc>
          <w:tcPr>
            <w:tcW w:w="506" w:type="pct"/>
            <w:vAlign w:val="center"/>
          </w:tcPr>
          <w:p w14:paraId="06C9DBC2">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bl>
    <w:p w14:paraId="6C80098B">
      <w:pPr>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根据以上分析，本项目符合《自然资源部关于规范临时用地管理的通知》（自然资规〔2021〕2号）中要求。</w:t>
      </w:r>
    </w:p>
    <w:p w14:paraId="1CBA978D">
      <w:pPr>
        <w:keepNext w:val="0"/>
        <w:keepLines w:val="0"/>
        <w:pageBreakBefore w:val="0"/>
        <w:widowControl w:val="0"/>
        <w:shd w:val="clear"/>
        <w:kinsoku/>
        <w:wordWrap/>
        <w:overflowPunct/>
        <w:topLinePunct w:val="0"/>
        <w:autoSpaceDE/>
        <w:autoSpaceDN/>
        <w:bidi w:val="0"/>
        <w:adjustRightInd/>
        <w:snapToGrid/>
        <w:spacing w:line="440" w:lineRule="exact"/>
        <w:ind w:firstLine="0" w:firstLineChars="0"/>
        <w:jc w:val="both"/>
        <w:textAlignment w:val="auto"/>
        <w:outlineLvl w:val="3"/>
        <w:rPr>
          <w:rFonts w:hint="default" w:ascii="Times New Roman" w:hAnsi="Times New Roman" w:cs="宋体" w:eastAsiaTheme="minorEastAsia"/>
          <w:b/>
          <w:color w:val="auto"/>
          <w:w w:val="99"/>
          <w:highlight w:val="none"/>
          <w:lang w:val="en-US" w:eastAsia="zh-CN"/>
        </w:rPr>
      </w:pPr>
      <w:r>
        <w:rPr>
          <w:rFonts w:hint="eastAsia" w:ascii="Times New Roman" w:hAnsi="Times New Roman" w:cs="宋体" w:eastAsiaTheme="minorEastAsia"/>
          <w:b/>
          <w:color w:val="auto"/>
          <w:w w:val="99"/>
          <w:highlight w:val="none"/>
          <w:lang w:val="en-US" w:eastAsia="zh-CN"/>
        </w:rPr>
        <w:t>1.4.3.5与《</w:t>
      </w:r>
      <w:r>
        <w:rPr>
          <w:rFonts w:hint="eastAsia" w:ascii="Times New Roman" w:hAnsi="Times New Roman" w:cs="宋体" w:eastAsiaTheme="minorEastAsia"/>
          <w:b/>
          <w:color w:val="auto"/>
          <w:w w:val="99"/>
          <w:highlight w:val="none"/>
        </w:rPr>
        <w:t>永久基本农田保护红线管理办法</w:t>
      </w:r>
      <w:r>
        <w:rPr>
          <w:rFonts w:hint="eastAsia" w:ascii="Times New Roman" w:hAnsi="Times New Roman" w:cs="宋体" w:eastAsiaTheme="minorEastAsia"/>
          <w:b/>
          <w:color w:val="auto"/>
          <w:w w:val="99"/>
          <w:highlight w:val="none"/>
          <w:lang w:eastAsia="zh-CN"/>
        </w:rPr>
        <w:t>》（</w:t>
      </w:r>
      <w:r>
        <w:rPr>
          <w:rFonts w:hint="eastAsia" w:ascii="Times New Roman" w:hAnsi="Times New Roman" w:cs="宋体" w:eastAsiaTheme="minorEastAsia"/>
          <w:b/>
          <w:color w:val="auto"/>
          <w:w w:val="99"/>
          <w:highlight w:val="none"/>
          <w:lang w:val="en-US" w:eastAsia="zh-CN"/>
        </w:rPr>
        <w:t>2025年10月1日）符合性分析</w:t>
      </w:r>
    </w:p>
    <w:p w14:paraId="0BD3D581">
      <w:pPr>
        <w:widowControl w:val="0"/>
        <w:shd w:val="clear"/>
        <w:spacing w:line="500" w:lineRule="exact"/>
        <w:ind w:firstLine="474" w:firstLineChars="200"/>
        <w:jc w:val="both"/>
        <w:rPr>
          <w:rFonts w:ascii="Times New Roman" w:hAnsi="Times New Roman" w:cs="Times New Roman" w:eastAsiaTheme="minorEastAsia"/>
          <w:color w:val="auto"/>
          <w:highlight w:val="none"/>
        </w:rPr>
      </w:pPr>
      <w:r>
        <w:rPr>
          <w:rFonts w:ascii="Times New Roman" w:hAnsi="Times New Roman" w:cs="Times New Roman" w:eastAsiaTheme="minorEastAsia"/>
          <w:color w:val="auto"/>
          <w:w w:val="99"/>
          <w:sz w:val="24"/>
          <w:szCs w:val="24"/>
          <w:highlight w:val="none"/>
          <w:lang w:val="en-US" w:eastAsia="zh-CN" w:bidi="ar-SA"/>
        </w:rPr>
        <w:t>本项</w:t>
      </w:r>
      <w:r>
        <w:rPr>
          <w:rFonts w:hint="eastAsia" w:ascii="Times New Roman" w:hAnsi="Times New Roman" w:cs="Times New Roman" w:eastAsiaTheme="minorEastAsia"/>
          <w:color w:val="auto"/>
          <w:w w:val="99"/>
          <w:sz w:val="24"/>
          <w:szCs w:val="24"/>
          <w:highlight w:val="none"/>
          <w:lang w:val="en-US" w:eastAsia="zh-CN" w:bidi="ar-SA"/>
        </w:rPr>
        <w:t>目与《永久基本农田保护红线管理办法》（2025年10月1日）相关要求符合性分析详见表</w:t>
      </w:r>
      <w:r>
        <w:rPr>
          <w:rFonts w:ascii="Times New Roman" w:hAnsi="Times New Roman" w:cs="Times New Roman" w:eastAsiaTheme="minorEastAsia"/>
          <w:color w:val="auto"/>
          <w:w w:val="99"/>
          <w:sz w:val="24"/>
          <w:szCs w:val="24"/>
          <w:highlight w:val="none"/>
          <w:lang w:val="en-US" w:eastAsia="zh-CN" w:bidi="ar-SA"/>
        </w:rPr>
        <w:t>1</w:t>
      </w:r>
      <w:r>
        <w:rPr>
          <w:rFonts w:hint="eastAsia" w:ascii="Times New Roman" w:hAnsi="Times New Roman" w:cs="Times New Roman" w:eastAsiaTheme="minorEastAsia"/>
          <w:color w:val="auto"/>
          <w:w w:val="99"/>
          <w:sz w:val="24"/>
          <w:szCs w:val="24"/>
          <w:highlight w:val="none"/>
          <w:lang w:val="en-US" w:eastAsia="zh-CN" w:bidi="ar-SA"/>
        </w:rPr>
        <w:t>.4</w:t>
      </w:r>
      <w:r>
        <w:rPr>
          <w:rFonts w:ascii="Times New Roman" w:hAnsi="Times New Roman" w:cs="Times New Roman" w:eastAsiaTheme="minorEastAsia"/>
          <w:color w:val="auto"/>
          <w:w w:val="99"/>
          <w:sz w:val="24"/>
          <w:szCs w:val="24"/>
          <w:highlight w:val="none"/>
          <w:lang w:val="en-US" w:eastAsia="zh-CN" w:bidi="ar-SA"/>
        </w:rPr>
        <w:t>-</w:t>
      </w:r>
      <w:r>
        <w:rPr>
          <w:rFonts w:hint="eastAsia" w:ascii="Times New Roman" w:hAnsi="Times New Roman" w:cs="Times New Roman" w:eastAsiaTheme="minorEastAsia"/>
          <w:color w:val="auto"/>
          <w:w w:val="99"/>
          <w:sz w:val="24"/>
          <w:szCs w:val="24"/>
          <w:highlight w:val="none"/>
          <w:lang w:val="en-US" w:eastAsia="zh-CN" w:bidi="ar-SA"/>
        </w:rPr>
        <w:t>6</w:t>
      </w:r>
      <w:r>
        <w:rPr>
          <w:rFonts w:ascii="Times New Roman" w:hAnsi="Times New Roman" w:cs="Times New Roman" w:eastAsiaTheme="minorEastAsia"/>
          <w:color w:val="auto"/>
          <w:w w:val="99"/>
          <w:sz w:val="24"/>
          <w:szCs w:val="24"/>
          <w:highlight w:val="none"/>
          <w:lang w:val="en-US" w:eastAsia="zh-CN" w:bidi="ar-SA"/>
        </w:rPr>
        <w:t>。</w:t>
      </w:r>
    </w:p>
    <w:p w14:paraId="519A9289">
      <w:pPr>
        <w:pStyle w:val="2"/>
        <w:shd w:val="clear"/>
        <w:spacing w:line="500" w:lineRule="exact"/>
        <w:jc w:val="center"/>
        <w:rPr>
          <w:rFonts w:ascii="Times New Roman" w:hAnsi="Times New Roman" w:eastAsia="宋体" w:cs="Times New Roman"/>
          <w:b/>
          <w:iCs/>
          <w:color w:val="auto"/>
          <w:w w:val="99"/>
          <w:kern w:val="2"/>
          <w:sz w:val="24"/>
          <w:szCs w:val="24"/>
          <w:highlight w:val="none"/>
          <w:lang w:val="en-US" w:eastAsia="zh-CN" w:bidi="ar-SA"/>
        </w:rPr>
      </w:pPr>
      <w:r>
        <w:rPr>
          <w:rFonts w:ascii="Times New Roman" w:hAnsi="Times New Roman" w:eastAsiaTheme="minorEastAsia"/>
          <w:b/>
          <w:bCs/>
          <w:color w:val="auto"/>
          <w:kern w:val="21"/>
          <w:szCs w:val="20"/>
          <w:highlight w:val="none"/>
        </w:rPr>
        <w:t>表1.</w:t>
      </w:r>
      <w:r>
        <w:rPr>
          <w:rFonts w:hint="eastAsia" w:ascii="Times New Roman" w:hAnsi="Times New Roman" w:eastAsiaTheme="minorEastAsia"/>
          <w:b/>
          <w:bCs/>
          <w:color w:val="auto"/>
          <w:kern w:val="21"/>
          <w:szCs w:val="20"/>
          <w:highlight w:val="none"/>
          <w:lang w:val="en-US" w:eastAsia="zh-CN"/>
        </w:rPr>
        <w:t>4</w:t>
      </w:r>
      <w:r>
        <w:rPr>
          <w:rFonts w:ascii="Times New Roman" w:hAnsi="Times New Roman" w:eastAsiaTheme="minorEastAsia"/>
          <w:b/>
          <w:bCs/>
          <w:color w:val="auto"/>
          <w:kern w:val="21"/>
          <w:szCs w:val="20"/>
          <w:highlight w:val="none"/>
        </w:rPr>
        <w:t>-</w:t>
      </w:r>
      <w:r>
        <w:rPr>
          <w:rFonts w:hint="eastAsia" w:ascii="Times New Roman" w:hAnsi="Times New Roman" w:eastAsiaTheme="minorEastAsia"/>
          <w:b/>
          <w:bCs/>
          <w:color w:val="auto"/>
          <w:kern w:val="21"/>
          <w:szCs w:val="20"/>
          <w:highlight w:val="none"/>
          <w:lang w:val="en-US" w:eastAsia="zh-CN"/>
        </w:rPr>
        <w:t>6</w:t>
      </w:r>
      <w:r>
        <w:rPr>
          <w:rFonts w:ascii="Times New Roman" w:hAnsi="Times New Roman" w:eastAsiaTheme="minorEastAsia"/>
          <w:b/>
          <w:bCs/>
          <w:color w:val="auto"/>
          <w:kern w:val="21"/>
          <w:szCs w:val="20"/>
          <w:highlight w:val="none"/>
        </w:rPr>
        <w:t xml:space="preserve">   </w:t>
      </w:r>
      <w:r>
        <w:rPr>
          <w:rFonts w:ascii="Times New Roman" w:hAnsi="Times New Roman" w:eastAsia="宋体" w:cs="Times New Roman"/>
          <w:b/>
          <w:iCs/>
          <w:color w:val="auto"/>
          <w:w w:val="99"/>
          <w:kern w:val="2"/>
          <w:sz w:val="24"/>
          <w:szCs w:val="24"/>
          <w:highlight w:val="none"/>
          <w:lang w:val="en-US" w:eastAsia="zh-CN" w:bidi="ar-SA"/>
        </w:rPr>
        <w:t xml:space="preserve"> 本项目与</w:t>
      </w:r>
      <w:r>
        <w:rPr>
          <w:rFonts w:hint="eastAsia" w:ascii="Times New Roman" w:hAnsi="Times New Roman" w:eastAsia="宋体" w:cs="Times New Roman"/>
          <w:b/>
          <w:iCs/>
          <w:color w:val="auto"/>
          <w:w w:val="99"/>
          <w:kern w:val="2"/>
          <w:sz w:val="24"/>
          <w:szCs w:val="24"/>
          <w:highlight w:val="none"/>
          <w:lang w:val="en-US" w:eastAsia="zh-CN" w:bidi="ar-SA"/>
        </w:rPr>
        <w:t>《永久基本农田保护红线管理办法》</w:t>
      </w:r>
      <w:r>
        <w:rPr>
          <w:rFonts w:ascii="Times New Roman" w:hAnsi="Times New Roman" w:eastAsia="宋体" w:cs="Times New Roman"/>
          <w:b/>
          <w:iCs/>
          <w:color w:val="auto"/>
          <w:w w:val="99"/>
          <w:kern w:val="2"/>
          <w:sz w:val="24"/>
          <w:szCs w:val="24"/>
          <w:highlight w:val="none"/>
          <w:lang w:val="en-US" w:eastAsia="zh-CN" w:bidi="ar-SA"/>
        </w:rPr>
        <w:t>符合性分析</w:t>
      </w:r>
    </w:p>
    <w:tbl>
      <w:tblPr>
        <w:tblStyle w:val="80"/>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742"/>
        <w:gridCol w:w="2940"/>
        <w:gridCol w:w="4553"/>
        <w:gridCol w:w="1051"/>
      </w:tblGrid>
      <w:tr w14:paraId="280B55D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42" w:type="dxa"/>
            <w:vAlign w:val="center"/>
          </w:tcPr>
          <w:p w14:paraId="2C8B9D53">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center"/>
              <w:textAlignment w:val="auto"/>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序号</w:t>
            </w:r>
          </w:p>
        </w:tc>
        <w:tc>
          <w:tcPr>
            <w:tcW w:w="2940" w:type="dxa"/>
            <w:vAlign w:val="center"/>
          </w:tcPr>
          <w:p w14:paraId="4FF34D7A">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center"/>
              <w:textAlignment w:val="auto"/>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相关要求</w:t>
            </w:r>
          </w:p>
        </w:tc>
        <w:tc>
          <w:tcPr>
            <w:tcW w:w="4553" w:type="dxa"/>
            <w:vAlign w:val="center"/>
          </w:tcPr>
          <w:p w14:paraId="3B798F5F">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center"/>
              <w:textAlignment w:val="auto"/>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符合性分析</w:t>
            </w:r>
          </w:p>
        </w:tc>
        <w:tc>
          <w:tcPr>
            <w:tcW w:w="1051" w:type="dxa"/>
            <w:vAlign w:val="center"/>
          </w:tcPr>
          <w:p w14:paraId="2FB9B9A2">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center"/>
              <w:textAlignment w:val="auto"/>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符合性</w:t>
            </w:r>
          </w:p>
        </w:tc>
      </w:tr>
      <w:tr w14:paraId="59A1604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42" w:type="dxa"/>
            <w:vAlign w:val="center"/>
          </w:tcPr>
          <w:p w14:paraId="0DEF0444">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center"/>
              <w:textAlignment w:val="auto"/>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1</w:t>
            </w:r>
          </w:p>
        </w:tc>
        <w:tc>
          <w:tcPr>
            <w:tcW w:w="2940" w:type="dxa"/>
            <w:vAlign w:val="center"/>
          </w:tcPr>
          <w:p w14:paraId="3DA7EF7F">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left"/>
              <w:textAlignment w:val="auto"/>
              <w:rPr>
                <w:rFonts w:ascii="Times New Roman" w:hAnsi="Times New Roman" w:eastAsiaTheme="minorEastAsia"/>
                <w:color w:val="auto"/>
                <w:w w:val="99"/>
                <w:szCs w:val="21"/>
                <w:highlight w:val="none"/>
              </w:rPr>
            </w:pPr>
            <w:r>
              <w:rPr>
                <w:rFonts w:hint="eastAsia" w:ascii="Times New Roman" w:hAnsi="Times New Roman" w:cs="Times New Roman" w:eastAsiaTheme="minorEastAsia"/>
                <w:color w:val="auto"/>
                <w:w w:val="99"/>
                <w:kern w:val="2"/>
                <w:sz w:val="21"/>
                <w:szCs w:val="21"/>
                <w:highlight w:val="none"/>
                <w:lang w:val="zh-CN" w:eastAsia="zh-CN" w:bidi="ar-SA"/>
              </w:rPr>
              <w:t>第四条</w:t>
            </w:r>
            <w:r>
              <w:rPr>
                <w:rFonts w:hint="eastAsia" w:ascii="Times New Roman" w:hAnsi="Times New Roman" w:cs="Times New Roman" w:eastAsiaTheme="minorEastAsia"/>
                <w:color w:val="auto"/>
                <w:w w:val="99"/>
                <w:kern w:val="2"/>
                <w:sz w:val="21"/>
                <w:szCs w:val="21"/>
                <w:highlight w:val="none"/>
                <w:lang w:val="en-US" w:eastAsia="zh-CN" w:bidi="ar-SA"/>
              </w:rPr>
              <w:t>永久基本农田划定落实到具体地块，并向社会公告。永久基本农田划定后，任何单位和个人不得擅自调整、占用或者改变用途。</w:t>
            </w:r>
          </w:p>
        </w:tc>
        <w:tc>
          <w:tcPr>
            <w:tcW w:w="4553" w:type="dxa"/>
            <w:vAlign w:val="center"/>
          </w:tcPr>
          <w:p w14:paraId="0D10AB3D">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left"/>
              <w:textAlignment w:val="auto"/>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lang w:eastAsia="zh-CN"/>
              </w:rPr>
              <w:t>本项目</w:t>
            </w:r>
            <w:r>
              <w:rPr>
                <w:rFonts w:hint="eastAsia" w:ascii="Times New Roman" w:hAnsi="Times New Roman" w:cs="Times New Roman"/>
                <w:iCs/>
                <w:color w:val="auto"/>
                <w:w w:val="99"/>
                <w:kern w:val="2"/>
                <w:highlight w:val="none"/>
                <w:lang w:val="en-US" w:eastAsia="zh-CN"/>
              </w:rPr>
              <w:t>气田</w:t>
            </w:r>
            <w:r>
              <w:rPr>
                <w:rFonts w:ascii="Times New Roman" w:hAnsi="Times New Roman" w:cs="Times New Roman"/>
                <w:iCs/>
                <w:color w:val="auto"/>
                <w:w w:val="99"/>
                <w:kern w:val="2"/>
                <w:highlight w:val="none"/>
              </w:rPr>
              <w:t>开发工程占地完全避开永久基本农田的可能性较低，在不可避免的条件下需占用永久基本农田时，施工完毕后1年内，临时占地全部恢复原有植被类型，即占用农田全部恢复为耕地。临时占地恢复也可在征地过程中给予农民一定的费用补偿，由农民自行进行土地恢复。本项目井场及道路工程永久占用永久基本农田面积共</w:t>
            </w:r>
            <w:r>
              <w:rPr>
                <w:rFonts w:hint="eastAsia" w:ascii="Times New Roman" w:hAnsi="Times New Roman" w:cs="Times New Roman"/>
                <w:iCs/>
                <w:color w:val="auto"/>
                <w:w w:val="99"/>
                <w:kern w:val="2"/>
                <w:highlight w:val="none"/>
                <w:lang w:val="en-US" w:eastAsia="zh-CN"/>
              </w:rPr>
              <w:t>0.0901</w:t>
            </w:r>
            <w:r>
              <w:rPr>
                <w:rFonts w:ascii="Times New Roman" w:hAnsi="Times New Roman" w:cs="Times New Roman"/>
                <w:iCs/>
                <w:color w:val="auto"/>
                <w:w w:val="99"/>
                <w:kern w:val="2"/>
                <w:highlight w:val="none"/>
              </w:rPr>
              <w:t>hm</w:t>
            </w:r>
            <w:r>
              <w:rPr>
                <w:rFonts w:ascii="Times New Roman" w:hAnsi="Times New Roman" w:cs="Times New Roman"/>
                <w:iCs/>
                <w:color w:val="auto"/>
                <w:w w:val="99"/>
                <w:kern w:val="2"/>
                <w:highlight w:val="none"/>
                <w:vertAlign w:val="superscript"/>
              </w:rPr>
              <w:t>2</w:t>
            </w:r>
            <w:r>
              <w:rPr>
                <w:rFonts w:ascii="Times New Roman" w:hAnsi="Times New Roman" w:cs="Times New Roman"/>
                <w:iCs/>
                <w:color w:val="auto"/>
                <w:w w:val="99"/>
                <w:kern w:val="2"/>
                <w:highlight w:val="none"/>
              </w:rPr>
              <w:t>，应按照《中华人民共和国土地管理法》（</w:t>
            </w:r>
            <w:r>
              <w:rPr>
                <w:rFonts w:hint="eastAsia" w:ascii="Times New Roman" w:hAnsi="Times New Roman" w:cs="Times New Roman"/>
                <w:iCs/>
                <w:color w:val="auto"/>
                <w:w w:val="99"/>
                <w:kern w:val="2"/>
                <w:highlight w:val="none"/>
              </w:rPr>
              <w:t>主席令〔</w:t>
            </w:r>
            <w:r>
              <w:rPr>
                <w:rFonts w:ascii="Times New Roman" w:hAnsi="Times New Roman" w:cs="Times New Roman"/>
                <w:iCs/>
                <w:color w:val="auto"/>
                <w:w w:val="99"/>
                <w:kern w:val="2"/>
                <w:highlight w:val="none"/>
              </w:rPr>
              <w:t>2019〕第32号〔2019年修正本〕）中 “占一补一”原则进行占补平衡，由建设单位负责开垦补充数量和质量相当的永久基本农田；如果没有条件开垦时，应当按照黑龙江省的规定缴纳耕地开垦费，专款用于开垦新的耕地。永久占用耕地的耕作层土壤集中堆放在施工井场或场站置土带区域，施工结束后用于</w:t>
            </w:r>
            <w:r>
              <w:rPr>
                <w:rFonts w:ascii="Times New Roman" w:hAnsi="Times New Roman" w:cs="Times New Roman"/>
                <w:bCs/>
                <w:iCs/>
                <w:color w:val="auto"/>
                <w:w w:val="99"/>
                <w:kern w:val="2"/>
                <w:highlight w:val="none"/>
              </w:rPr>
              <w:t>周围区域土地复垦、土壤治理等用</w:t>
            </w:r>
            <w:r>
              <w:rPr>
                <w:rFonts w:hint="eastAsia" w:ascii="Times New Roman" w:hAnsi="Times New Roman" w:eastAsiaTheme="minorEastAsia"/>
                <w:color w:val="auto"/>
                <w:w w:val="99"/>
                <w:szCs w:val="21"/>
                <w:highlight w:val="none"/>
                <w:lang w:eastAsia="zh-CN"/>
              </w:rPr>
              <w:t>。</w:t>
            </w:r>
          </w:p>
        </w:tc>
        <w:tc>
          <w:tcPr>
            <w:tcW w:w="1051" w:type="dxa"/>
            <w:vAlign w:val="center"/>
          </w:tcPr>
          <w:p w14:paraId="401A56FF">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center"/>
              <w:textAlignment w:val="auto"/>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符合</w:t>
            </w:r>
          </w:p>
        </w:tc>
      </w:tr>
      <w:tr w14:paraId="1F9C9DA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2" w:type="dxa"/>
            <w:vAlign w:val="center"/>
          </w:tcPr>
          <w:p w14:paraId="06B7B6BA">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center"/>
              <w:textAlignment w:val="auto"/>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2</w:t>
            </w:r>
          </w:p>
        </w:tc>
        <w:tc>
          <w:tcPr>
            <w:tcW w:w="2940" w:type="dxa"/>
            <w:vAlign w:val="center"/>
          </w:tcPr>
          <w:p w14:paraId="68F3D77C">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left"/>
              <w:textAlignment w:val="auto"/>
              <w:rPr>
                <w:rFonts w:hint="eastAsia" w:ascii="Times New Roman" w:hAnsi="Times New Roman" w:cs="Times New Roman" w:eastAsiaTheme="minorEastAsia"/>
                <w:color w:val="auto"/>
                <w:w w:val="99"/>
                <w:kern w:val="2"/>
                <w:sz w:val="21"/>
                <w:szCs w:val="21"/>
                <w:highlight w:val="none"/>
                <w:lang w:val="zh-CN" w:eastAsia="zh-CN" w:bidi="ar-SA"/>
              </w:rPr>
            </w:pPr>
            <w:r>
              <w:rPr>
                <w:rFonts w:hint="eastAsia" w:ascii="Times New Roman" w:hAnsi="Times New Roman" w:cs="Times New Roman" w:eastAsiaTheme="minorEastAsia"/>
                <w:color w:val="auto"/>
                <w:w w:val="99"/>
                <w:kern w:val="2"/>
                <w:sz w:val="21"/>
                <w:szCs w:val="21"/>
                <w:highlight w:val="none"/>
                <w:lang w:val="zh-CN" w:eastAsia="zh-CN" w:bidi="ar-SA"/>
              </w:rPr>
              <w:t> 第</w:t>
            </w:r>
            <w:r>
              <w:rPr>
                <w:rFonts w:hint="eastAsia" w:ascii="Times New Roman" w:hAnsi="Times New Roman" w:cs="Times New Roman" w:eastAsiaTheme="minorEastAsia"/>
                <w:color w:val="auto"/>
                <w:w w:val="99"/>
                <w:kern w:val="2"/>
                <w:sz w:val="21"/>
                <w:szCs w:val="21"/>
                <w:highlight w:val="none"/>
                <w:lang w:val="en-US" w:eastAsia="zh-CN" w:bidi="ar-SA"/>
              </w:rPr>
              <w:t>二十</w:t>
            </w:r>
            <w:r>
              <w:rPr>
                <w:rFonts w:hint="eastAsia" w:ascii="Times New Roman" w:hAnsi="Times New Roman" w:cs="Times New Roman" w:eastAsiaTheme="minorEastAsia"/>
                <w:color w:val="auto"/>
                <w:w w:val="99"/>
                <w:kern w:val="2"/>
                <w:sz w:val="21"/>
                <w:szCs w:val="21"/>
                <w:highlight w:val="none"/>
                <w:lang w:val="zh-CN" w:eastAsia="zh-CN" w:bidi="ar-SA"/>
              </w:rPr>
              <w:t>条</w:t>
            </w:r>
            <w:r>
              <w:rPr>
                <w:rFonts w:hint="eastAsia" w:ascii="Times New Roman" w:hAnsi="Times New Roman" w:cs="Times New Roman" w:eastAsiaTheme="minorEastAsia"/>
                <w:color w:val="auto"/>
                <w:w w:val="99"/>
                <w:kern w:val="2"/>
                <w:sz w:val="21"/>
                <w:szCs w:val="21"/>
                <w:highlight w:val="none"/>
                <w:lang w:val="en-US" w:eastAsia="zh-CN" w:bidi="ar-SA"/>
              </w:rPr>
              <w:t xml:space="preserve">有下列情形之一，确实难以避让永久基本农田保护红线的，应当坚持节约集约原则，依法由国务院批准，办理农用地转用审批手续：（一）党中央、国务院明确支持的重大建设项目，中央军委及其有关部门批准的军事国防类项目，经国务院批准确需就地建设的遗址保护项目； </w:t>
            </w:r>
          </w:p>
          <w:p w14:paraId="1C781C70">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left"/>
              <w:textAlignment w:val="auto"/>
              <w:rPr>
                <w:rFonts w:hint="eastAsia" w:ascii="Times New Roman" w:hAnsi="Times New Roman" w:cs="Times New Roman" w:eastAsiaTheme="minorEastAsia"/>
                <w:color w:val="auto"/>
                <w:w w:val="99"/>
                <w:kern w:val="2"/>
                <w:sz w:val="21"/>
                <w:szCs w:val="21"/>
                <w:highlight w:val="none"/>
                <w:lang w:val="zh-CN"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 xml:space="preserve">（二）按程序纳入国务院投资主管部门重大项目清单的用地项目，纳入国务院审批国土空间规划的机场、铁路、公路、水运、能源、水利等基础设施项目； </w:t>
            </w:r>
          </w:p>
          <w:p w14:paraId="01C8D895">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left"/>
              <w:textAlignment w:val="auto"/>
              <w:rPr>
                <w:rFonts w:hint="eastAsia" w:ascii="Times New Roman" w:hAnsi="Times New Roman" w:cs="Times New Roman" w:eastAsiaTheme="minorEastAsia"/>
                <w:color w:val="auto"/>
                <w:w w:val="99"/>
                <w:kern w:val="2"/>
                <w:sz w:val="21"/>
                <w:szCs w:val="21"/>
                <w:highlight w:val="none"/>
                <w:lang w:val="zh-CN"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 xml:space="preserve"> （三）法律、行政法规以及国务院自然资源主管部门规定的其他情形。</w:t>
            </w:r>
          </w:p>
        </w:tc>
        <w:tc>
          <w:tcPr>
            <w:tcW w:w="4553" w:type="dxa"/>
            <w:vAlign w:val="center"/>
          </w:tcPr>
          <w:p w14:paraId="75E7DF90">
            <w:pPr>
              <w:keepNext w:val="0"/>
              <w:keepLines w:val="0"/>
              <w:pageBreakBefore w:val="0"/>
              <w:widowControl w:val="0"/>
              <w:shd w:val="clear"/>
              <w:wordWrap/>
              <w:topLinePunct w:val="0"/>
              <w:autoSpaceDE/>
              <w:autoSpaceDN/>
              <w:bidi w:val="0"/>
              <w:adjustRightInd/>
              <w:snapToGrid/>
              <w:spacing w:line="360" w:lineRule="exact"/>
              <w:ind w:firstLine="0" w:firstLineChars="0"/>
              <w:jc w:val="left"/>
              <w:textAlignment w:val="auto"/>
              <w:rPr>
                <w:rFonts w:hint="eastAsia"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本工程位于黑龙江省大庆市肇东市境内，共涉及永久占用基本农田为0.0901hm</w:t>
            </w:r>
            <w:r>
              <w:rPr>
                <w:rFonts w:hint="eastAsia" w:ascii="Times New Roman" w:hAnsi="Times New Roman" w:cs="Times New Roman" w:eastAsiaTheme="minorEastAsia"/>
                <w:snapToGrid w:val="0"/>
                <w:color w:val="auto"/>
                <w:w w:val="99"/>
                <w:sz w:val="21"/>
                <w:szCs w:val="21"/>
                <w:highlight w:val="none"/>
                <w:vertAlign w:val="superscript"/>
                <w:lang w:val="en-US" w:eastAsia="zh-CN"/>
              </w:rPr>
              <w:t>2</w:t>
            </w:r>
            <w:r>
              <w:rPr>
                <w:rFonts w:hint="eastAsia" w:ascii="Times New Roman" w:hAnsi="Times New Roman" w:cs="Times New Roman" w:eastAsiaTheme="minorEastAsia"/>
                <w:snapToGrid w:val="0"/>
                <w:color w:val="auto"/>
                <w:w w:val="99"/>
                <w:sz w:val="21"/>
                <w:szCs w:val="21"/>
                <w:highlight w:val="none"/>
                <w:lang w:val="en-US" w:eastAsia="zh-CN"/>
              </w:rPr>
              <w:t>，临时占用基本农田为1.9229hm</w:t>
            </w:r>
            <w:r>
              <w:rPr>
                <w:rFonts w:hint="eastAsia" w:ascii="Times New Roman" w:hAnsi="Times New Roman" w:cs="Times New Roman" w:eastAsiaTheme="minorEastAsia"/>
                <w:snapToGrid w:val="0"/>
                <w:color w:val="auto"/>
                <w:w w:val="99"/>
                <w:sz w:val="21"/>
                <w:szCs w:val="21"/>
                <w:highlight w:val="none"/>
                <w:vertAlign w:val="superscript"/>
                <w:lang w:val="en-US" w:eastAsia="zh-CN"/>
              </w:rPr>
              <w:t>2</w:t>
            </w:r>
            <w:r>
              <w:rPr>
                <w:rFonts w:hint="eastAsia" w:ascii="Times New Roman" w:hAnsi="Times New Roman" w:cs="Times New Roman" w:eastAsiaTheme="minorEastAsia"/>
                <w:snapToGrid w:val="0"/>
                <w:color w:val="auto"/>
                <w:w w:val="99"/>
                <w:sz w:val="21"/>
                <w:szCs w:val="21"/>
                <w:highlight w:val="none"/>
                <w:lang w:val="en-US" w:eastAsia="zh-CN"/>
              </w:rPr>
              <w:t>，基本农田征地工作相关流程如下：</w:t>
            </w:r>
          </w:p>
          <w:p w14:paraId="46B27E9D">
            <w:pPr>
              <w:keepNext w:val="0"/>
              <w:keepLines w:val="0"/>
              <w:pageBreakBefore w:val="0"/>
              <w:widowControl w:val="0"/>
              <w:shd w:val="clear"/>
              <w:wordWrap/>
              <w:topLinePunct w:val="0"/>
              <w:autoSpaceDE/>
              <w:autoSpaceDN/>
              <w:bidi w:val="0"/>
              <w:adjustRightInd/>
              <w:snapToGrid/>
              <w:spacing w:line="360" w:lineRule="exact"/>
              <w:ind w:firstLine="0" w:firstLineChars="0"/>
              <w:jc w:val="left"/>
              <w:textAlignment w:val="auto"/>
              <w:rPr>
                <w:rFonts w:hint="eastAsia" w:ascii="Times New Roman" w:hAnsi="Times New Roman" w:cs="Times New Roman" w:eastAsiaTheme="minorEastAsia"/>
                <w:snapToGrid w:val="0"/>
                <w:color w:val="auto"/>
                <w:w w:val="99"/>
                <w:sz w:val="21"/>
                <w:szCs w:val="21"/>
                <w:highlight w:val="none"/>
                <w:lang w:val="en-US" w:eastAsia="zh-CN"/>
              </w:rPr>
            </w:pPr>
            <w:r>
              <w:rPr>
                <w:rFonts w:hint="eastAsia" w:ascii="宋体" w:hAnsi="宋体" w:eastAsia="宋体" w:cs="宋体"/>
                <w:snapToGrid w:val="0"/>
                <w:color w:val="auto"/>
                <w:w w:val="99"/>
                <w:sz w:val="21"/>
                <w:szCs w:val="21"/>
                <w:highlight w:val="none"/>
                <w:lang w:val="en-US" w:eastAsia="zh-CN"/>
              </w:rPr>
              <w:t>①</w:t>
            </w:r>
            <w:r>
              <w:rPr>
                <w:rFonts w:hint="eastAsia" w:ascii="Times New Roman" w:hAnsi="Times New Roman" w:cs="Times New Roman" w:eastAsiaTheme="minorEastAsia"/>
                <w:snapToGrid w:val="0"/>
                <w:color w:val="auto"/>
                <w:w w:val="99"/>
                <w:sz w:val="21"/>
                <w:szCs w:val="21"/>
                <w:highlight w:val="none"/>
                <w:lang w:val="en-US" w:eastAsia="zh-CN"/>
              </w:rPr>
              <w:t>建设单位组织临时用地申请材料。采气分公司依据项目设计资料、投资计划等基础资料，核实项目用地范围、面积、类型，准备临时用地申请、平面布置图、占地现状图、临时使用土地合同、土地复垦方案等相关材料。</w:t>
            </w:r>
          </w:p>
          <w:p w14:paraId="539E9122">
            <w:pPr>
              <w:keepNext w:val="0"/>
              <w:keepLines w:val="0"/>
              <w:pageBreakBefore w:val="0"/>
              <w:widowControl w:val="0"/>
              <w:shd w:val="clear"/>
              <w:wordWrap/>
              <w:topLinePunct w:val="0"/>
              <w:autoSpaceDE/>
              <w:autoSpaceDN/>
              <w:bidi w:val="0"/>
              <w:adjustRightInd/>
              <w:snapToGrid/>
              <w:spacing w:line="360" w:lineRule="exact"/>
              <w:ind w:firstLine="0" w:firstLineChars="0"/>
              <w:jc w:val="left"/>
              <w:textAlignment w:val="auto"/>
              <w:rPr>
                <w:rFonts w:hint="eastAsia" w:ascii="Times New Roman" w:hAnsi="Times New Roman" w:cs="Times New Roman" w:eastAsiaTheme="minorEastAsia"/>
                <w:snapToGrid w:val="0"/>
                <w:color w:val="auto"/>
                <w:w w:val="99"/>
                <w:sz w:val="21"/>
                <w:szCs w:val="21"/>
                <w:highlight w:val="none"/>
                <w:lang w:val="en-US" w:eastAsia="zh-CN"/>
              </w:rPr>
            </w:pPr>
            <w:r>
              <w:rPr>
                <w:rFonts w:hint="eastAsia" w:ascii="宋体" w:hAnsi="宋体" w:eastAsia="宋体" w:cs="宋体"/>
                <w:snapToGrid w:val="0"/>
                <w:color w:val="auto"/>
                <w:w w:val="99"/>
                <w:sz w:val="21"/>
                <w:szCs w:val="21"/>
                <w:highlight w:val="none"/>
                <w:lang w:val="en-US" w:eastAsia="zh-CN"/>
              </w:rPr>
              <w:t>②</w:t>
            </w:r>
            <w:r>
              <w:rPr>
                <w:rFonts w:hint="eastAsia" w:ascii="Times New Roman" w:hAnsi="Times New Roman" w:cs="Times New Roman" w:eastAsiaTheme="minorEastAsia"/>
                <w:snapToGrid w:val="0"/>
                <w:color w:val="auto"/>
                <w:w w:val="99"/>
                <w:sz w:val="21"/>
                <w:szCs w:val="21"/>
                <w:highlight w:val="none"/>
                <w:lang w:val="en-US" w:eastAsia="zh-CN"/>
              </w:rPr>
              <w:t>肇东市自然资源部门初审。肇东市自然资源部门组织对建设单位提交的临时用地申请资料进行初审，开展实地探勘核验，审查同意的出具审查意见。</w:t>
            </w:r>
          </w:p>
          <w:p w14:paraId="3FCD1FE6">
            <w:pPr>
              <w:pStyle w:val="157"/>
              <w:keepNext w:val="0"/>
              <w:keepLines w:val="0"/>
              <w:pageBreakBefore w:val="0"/>
              <w:widowControl w:val="0"/>
              <w:shd w:val="clear"/>
              <w:kinsoku w:val="0"/>
              <w:wordWrap/>
              <w:overflowPunct w:val="0"/>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宋体" w:hAnsi="宋体" w:eastAsia="宋体" w:cs="宋体"/>
                <w:snapToGrid w:val="0"/>
                <w:color w:val="auto"/>
                <w:w w:val="99"/>
                <w:sz w:val="21"/>
                <w:szCs w:val="21"/>
                <w:highlight w:val="none"/>
                <w:lang w:val="en-US" w:eastAsia="zh-CN"/>
              </w:rPr>
              <w:t>③</w:t>
            </w:r>
            <w:r>
              <w:rPr>
                <w:rFonts w:hint="eastAsia" w:ascii="宋体" w:hAnsi="宋体" w:cs="宋体"/>
                <w:snapToGrid w:val="0"/>
                <w:color w:val="auto"/>
                <w:w w:val="99"/>
                <w:sz w:val="21"/>
                <w:szCs w:val="21"/>
                <w:highlight w:val="none"/>
                <w:lang w:val="en-US" w:eastAsia="zh-CN"/>
              </w:rPr>
              <w:t>绥化市</w:t>
            </w:r>
            <w:r>
              <w:rPr>
                <w:rFonts w:hint="eastAsia" w:ascii="Times New Roman" w:hAnsi="Times New Roman" w:cs="Times New Roman" w:eastAsiaTheme="minorEastAsia"/>
                <w:snapToGrid w:val="0"/>
                <w:color w:val="auto"/>
                <w:w w:val="99"/>
                <w:sz w:val="21"/>
                <w:szCs w:val="21"/>
                <w:highlight w:val="none"/>
                <w:lang w:val="en-US" w:eastAsia="zh-CN"/>
              </w:rPr>
              <w:t>自然资源局审批。</w:t>
            </w:r>
            <w:r>
              <w:rPr>
                <w:rFonts w:hint="eastAsia" w:ascii="宋体" w:hAnsi="宋体" w:cs="宋体"/>
                <w:snapToGrid w:val="0"/>
                <w:color w:val="auto"/>
                <w:w w:val="99"/>
                <w:sz w:val="21"/>
                <w:szCs w:val="21"/>
                <w:highlight w:val="none"/>
                <w:lang w:val="en-US" w:eastAsia="zh-CN"/>
              </w:rPr>
              <w:t>绥化市</w:t>
            </w:r>
            <w:r>
              <w:rPr>
                <w:rFonts w:hint="eastAsia" w:ascii="Times New Roman" w:hAnsi="Times New Roman" w:cs="Times New Roman" w:eastAsiaTheme="minorEastAsia"/>
                <w:snapToGrid w:val="0"/>
                <w:color w:val="auto"/>
                <w:w w:val="99"/>
                <w:sz w:val="21"/>
                <w:szCs w:val="21"/>
                <w:highlight w:val="none"/>
                <w:lang w:val="en-US" w:eastAsia="zh-CN"/>
              </w:rPr>
              <w:t>自然资源局组织审查肇东市自然资源部门提交的临时用地申请是否已完成初审、是否符合相关要求，对满足要求的用地申请组织审批，下发临时用地批复文件。具体见8.3小节。</w:t>
            </w:r>
          </w:p>
        </w:tc>
        <w:tc>
          <w:tcPr>
            <w:tcW w:w="1051" w:type="dxa"/>
            <w:vAlign w:val="center"/>
          </w:tcPr>
          <w:p w14:paraId="7AB43B57">
            <w:pPr>
              <w:pStyle w:val="157"/>
              <w:keepNext w:val="0"/>
              <w:keepLines w:val="0"/>
              <w:pageBreakBefore w:val="0"/>
              <w:widowControl w:val="0"/>
              <w:shd w:val="clear"/>
              <w:kinsoku w:val="0"/>
              <w:wordWrap/>
              <w:overflowPunct w:val="0"/>
              <w:topLinePunct w:val="0"/>
              <w:autoSpaceDE/>
              <w:autoSpaceDN/>
              <w:bidi w:val="0"/>
              <w:adjustRightInd/>
              <w:snapToGrid/>
              <w:spacing w:line="360" w:lineRule="exact"/>
              <w:jc w:val="center"/>
              <w:textAlignment w:val="auto"/>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符合</w:t>
            </w:r>
          </w:p>
        </w:tc>
      </w:tr>
    </w:tbl>
    <w:p w14:paraId="5BDE8646">
      <w:pPr>
        <w:pStyle w:val="104"/>
        <w:rPr>
          <w:color w:val="auto"/>
          <w:highlight w:val="none"/>
        </w:rPr>
      </w:pPr>
    </w:p>
    <w:p w14:paraId="71EE9DF5">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1.4.3.</w:t>
      </w:r>
      <w:r>
        <w:rPr>
          <w:rFonts w:hint="eastAsia" w:ascii="Times New Roman" w:hAnsi="Times New Roman" w:eastAsiaTheme="minorEastAsia"/>
          <w:b/>
          <w:color w:val="auto"/>
          <w:w w:val="99"/>
          <w:highlight w:val="none"/>
          <w:lang w:val="en-US" w:eastAsia="zh-CN"/>
        </w:rPr>
        <w:t>6</w:t>
      </w:r>
      <w:r>
        <w:rPr>
          <w:rFonts w:ascii="Times New Roman" w:hAnsi="Times New Roman" w:eastAsiaTheme="minorEastAsia"/>
          <w:b/>
          <w:color w:val="auto"/>
          <w:w w:val="99"/>
          <w:highlight w:val="none"/>
        </w:rPr>
        <w:t>与《基本农田保护条例》（</w:t>
      </w:r>
      <w:r>
        <w:rPr>
          <w:rFonts w:hint="eastAsia" w:ascii="Times New Roman" w:hAnsi="Times New Roman" w:eastAsiaTheme="minorEastAsia"/>
          <w:b/>
          <w:color w:val="auto"/>
          <w:w w:val="99"/>
          <w:highlight w:val="none"/>
        </w:rPr>
        <w:t>国务院令第</w:t>
      </w:r>
      <w:r>
        <w:rPr>
          <w:rFonts w:ascii="Times New Roman" w:hAnsi="Times New Roman" w:eastAsiaTheme="minorEastAsia"/>
          <w:b/>
          <w:color w:val="auto"/>
          <w:w w:val="99"/>
          <w:highlight w:val="none"/>
        </w:rPr>
        <w:t>257号）符合性判定</w:t>
      </w:r>
    </w:p>
    <w:p w14:paraId="2E01DF4F">
      <w:pPr>
        <w:widowControl w:val="0"/>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根据《基本农田保护条例》</w:t>
      </w:r>
      <w:r>
        <w:rPr>
          <w:rFonts w:hint="eastAsia" w:ascii="Times New Roman" w:hAnsi="Times New Roman" w:cs="Times New Roman"/>
          <w:iCs/>
          <w:color w:val="auto"/>
          <w:w w:val="99"/>
          <w:kern w:val="2"/>
          <w:highlight w:val="none"/>
        </w:rPr>
        <w:t>（国务院令第</w:t>
      </w:r>
      <w:r>
        <w:rPr>
          <w:rFonts w:ascii="Times New Roman" w:hAnsi="Times New Roman" w:cs="Times New Roman"/>
          <w:iCs/>
          <w:color w:val="auto"/>
          <w:w w:val="99"/>
          <w:kern w:val="2"/>
          <w:highlight w:val="none"/>
        </w:rPr>
        <w:t>257号），国家能源、交通、水利、军事设施等重点建设项目选址确实无法避开永久基本农田保护区，需要占用永久基本农田，涉及农用地转用或者征收土地的，应报请相关主管部门同意，并补充划入数量和质量相当的永久基本农田或按规定缴纳耕地开垦费，专款用于开垦新的耕地。</w:t>
      </w:r>
    </w:p>
    <w:p w14:paraId="7B6953F0">
      <w:pPr>
        <w:widowControl w:val="0"/>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bCs/>
          <w:iCs/>
          <w:color w:val="auto"/>
          <w:w w:val="99"/>
          <w:kern w:val="2"/>
          <w:highlight w:val="none"/>
        </w:rPr>
        <w:t>本项目按照“先临时、后永久”的政策，临时用地结束后，办理永久用地审批。</w:t>
      </w:r>
      <w:r>
        <w:rPr>
          <w:rFonts w:hint="eastAsia" w:ascii="Times New Roman" w:hAnsi="Times New Roman" w:cs="Times New Roman"/>
          <w:bCs/>
          <w:iCs/>
          <w:color w:val="auto"/>
          <w:w w:val="99"/>
          <w:kern w:val="2"/>
          <w:highlight w:val="none"/>
          <w:lang w:eastAsia="zh-CN"/>
        </w:rPr>
        <w:t>大庆油田有限责任公司采气分公司</w:t>
      </w:r>
      <w:r>
        <w:rPr>
          <w:rFonts w:ascii="Times New Roman" w:hAnsi="Times New Roman" w:cs="Times New Roman"/>
          <w:bCs/>
          <w:iCs/>
          <w:color w:val="auto"/>
          <w:w w:val="99"/>
          <w:kern w:val="2"/>
          <w:highlight w:val="none"/>
        </w:rPr>
        <w:t>监督管理中心土地管理室由专业测绘队伍，组卷勘测定界成果，每年上报油田公司生态资源管理部，全油田全年组卷一次，经</w:t>
      </w:r>
      <w:r>
        <w:rPr>
          <w:rFonts w:hint="eastAsia" w:ascii="Times New Roman" w:hAnsi="Times New Roman" w:cs="Times New Roman"/>
          <w:bCs/>
          <w:iCs/>
          <w:color w:val="auto"/>
          <w:w w:val="99"/>
          <w:kern w:val="2"/>
          <w:highlight w:val="none"/>
          <w:lang w:val="en-US" w:eastAsia="zh-CN"/>
        </w:rPr>
        <w:t>肇东市</w:t>
      </w:r>
      <w:r>
        <w:rPr>
          <w:rFonts w:ascii="Times New Roman" w:hAnsi="Times New Roman" w:cs="Times New Roman"/>
          <w:bCs/>
          <w:iCs/>
          <w:color w:val="auto"/>
          <w:w w:val="99"/>
          <w:kern w:val="2"/>
          <w:highlight w:val="none"/>
        </w:rPr>
        <w:t>自然资源局、</w:t>
      </w:r>
      <w:r>
        <w:rPr>
          <w:rFonts w:hint="eastAsia" w:ascii="Times New Roman" w:hAnsi="Times New Roman" w:cs="Times New Roman"/>
          <w:bCs/>
          <w:iCs/>
          <w:color w:val="auto"/>
          <w:w w:val="99"/>
          <w:kern w:val="2"/>
          <w:highlight w:val="none"/>
          <w:lang w:val="en-US" w:eastAsia="zh-CN"/>
        </w:rPr>
        <w:t>肇东市</w:t>
      </w:r>
      <w:r>
        <w:rPr>
          <w:rFonts w:ascii="Times New Roman" w:hAnsi="Times New Roman" w:cs="Times New Roman"/>
          <w:bCs/>
          <w:iCs/>
          <w:color w:val="auto"/>
          <w:w w:val="99"/>
          <w:kern w:val="2"/>
          <w:highlight w:val="none"/>
        </w:rPr>
        <w:t>政府，</w:t>
      </w:r>
      <w:r>
        <w:rPr>
          <w:rFonts w:hint="eastAsia" w:ascii="Times New Roman" w:hAnsi="Times New Roman" w:cs="Times New Roman"/>
          <w:bCs/>
          <w:iCs/>
          <w:color w:val="auto"/>
          <w:w w:val="99"/>
          <w:kern w:val="2"/>
          <w:highlight w:val="none"/>
          <w:lang w:val="en-US" w:eastAsia="zh-CN"/>
        </w:rPr>
        <w:t>绥化</w:t>
      </w:r>
      <w:r>
        <w:rPr>
          <w:rFonts w:ascii="Times New Roman" w:hAnsi="Times New Roman" w:cs="Times New Roman"/>
          <w:bCs/>
          <w:iCs/>
          <w:color w:val="auto"/>
          <w:w w:val="99"/>
          <w:kern w:val="2"/>
          <w:highlight w:val="none"/>
        </w:rPr>
        <w:t>市自然资源局、</w:t>
      </w:r>
      <w:r>
        <w:rPr>
          <w:rFonts w:hint="eastAsia" w:ascii="Times New Roman" w:hAnsi="Times New Roman" w:cs="Times New Roman"/>
          <w:bCs/>
          <w:iCs/>
          <w:color w:val="auto"/>
          <w:w w:val="99"/>
          <w:kern w:val="2"/>
          <w:highlight w:val="none"/>
          <w:lang w:val="en-US" w:eastAsia="zh-CN"/>
        </w:rPr>
        <w:t>绥化</w:t>
      </w:r>
      <w:r>
        <w:rPr>
          <w:rFonts w:ascii="Times New Roman" w:hAnsi="Times New Roman" w:cs="Times New Roman"/>
          <w:bCs/>
          <w:iCs/>
          <w:color w:val="auto"/>
          <w:w w:val="99"/>
          <w:kern w:val="2"/>
          <w:highlight w:val="none"/>
        </w:rPr>
        <w:t>市政府，黑龙江省自然资源厅、黑龙江省政府，逐级上报自然资源部、国务院审批。</w:t>
      </w:r>
    </w:p>
    <w:p w14:paraId="48732992">
      <w:pPr>
        <w:widowControl w:val="0"/>
        <w:spacing w:line="440" w:lineRule="exact"/>
        <w:ind w:firstLine="474" w:firstLineChars="200"/>
        <w:jc w:val="both"/>
        <w:rPr>
          <w:rFonts w:ascii="Times New Roman" w:hAnsi="Times New Roman" w:cs="Times New Roman"/>
          <w:iCs/>
          <w:color w:val="auto"/>
          <w:w w:val="99"/>
          <w:kern w:val="2"/>
          <w:highlight w:val="none"/>
        </w:rPr>
      </w:pPr>
      <w:r>
        <w:rPr>
          <w:rFonts w:hint="eastAsia" w:ascii="Times New Roman" w:hAnsi="Times New Roman" w:cs="Times New Roman"/>
          <w:iCs/>
          <w:color w:val="auto"/>
          <w:w w:val="99"/>
          <w:kern w:val="2"/>
          <w:highlight w:val="none"/>
          <w:lang w:val="en-US" w:eastAsia="zh-CN"/>
        </w:rPr>
        <w:t>气田</w:t>
      </w:r>
      <w:r>
        <w:rPr>
          <w:rFonts w:ascii="Times New Roman" w:hAnsi="Times New Roman" w:cs="Times New Roman"/>
          <w:iCs/>
          <w:color w:val="auto"/>
          <w:w w:val="99"/>
          <w:kern w:val="2"/>
          <w:highlight w:val="none"/>
        </w:rPr>
        <w:t>开发工程占地完全避开永久基本农田的可能性较低，在不可避免的条件下需占用永久基本农田时，施工完毕后1年内，临时占地全部恢复原有植被类型，即占用农田全部恢复为耕地。临时占地恢复也可在征地过程中给予农民一定的费用补偿，由农民自行进行土地恢复。本项目井场及道路工程永久占用永久基本农田面积共</w:t>
      </w:r>
      <w:r>
        <w:rPr>
          <w:rFonts w:hint="eastAsia" w:ascii="Times New Roman" w:hAnsi="Times New Roman" w:cs="Times New Roman"/>
          <w:iCs/>
          <w:color w:val="auto"/>
          <w:w w:val="99"/>
          <w:kern w:val="2"/>
          <w:highlight w:val="none"/>
          <w:lang w:eastAsia="zh-CN"/>
        </w:rPr>
        <w:t>0.0901</w:t>
      </w:r>
      <w:r>
        <w:rPr>
          <w:rFonts w:ascii="Times New Roman" w:hAnsi="Times New Roman" w:cs="Times New Roman"/>
          <w:iCs/>
          <w:color w:val="auto"/>
          <w:w w:val="99"/>
          <w:kern w:val="2"/>
          <w:highlight w:val="none"/>
        </w:rPr>
        <w:t>hm</w:t>
      </w:r>
      <w:r>
        <w:rPr>
          <w:rFonts w:ascii="Times New Roman" w:hAnsi="Times New Roman" w:cs="Times New Roman"/>
          <w:iCs/>
          <w:color w:val="auto"/>
          <w:w w:val="99"/>
          <w:kern w:val="2"/>
          <w:highlight w:val="none"/>
          <w:vertAlign w:val="superscript"/>
        </w:rPr>
        <w:t>2</w:t>
      </w:r>
      <w:r>
        <w:rPr>
          <w:rFonts w:ascii="Times New Roman" w:hAnsi="Times New Roman" w:cs="Times New Roman"/>
          <w:iCs/>
          <w:color w:val="auto"/>
          <w:w w:val="99"/>
          <w:kern w:val="2"/>
          <w:highlight w:val="none"/>
        </w:rPr>
        <w:t>，应按照《中华人民共和国土地管理法》（</w:t>
      </w:r>
      <w:r>
        <w:rPr>
          <w:rFonts w:hint="eastAsia" w:ascii="Times New Roman" w:hAnsi="Times New Roman" w:cs="Times New Roman"/>
          <w:iCs/>
          <w:color w:val="auto"/>
          <w:w w:val="99"/>
          <w:kern w:val="2"/>
          <w:highlight w:val="none"/>
        </w:rPr>
        <w:t>主席令〔</w:t>
      </w:r>
      <w:r>
        <w:rPr>
          <w:rFonts w:ascii="Times New Roman" w:hAnsi="Times New Roman" w:cs="Times New Roman"/>
          <w:iCs/>
          <w:color w:val="auto"/>
          <w:w w:val="99"/>
          <w:kern w:val="2"/>
          <w:highlight w:val="none"/>
        </w:rPr>
        <w:t>2019〕第32号〔2019年修正本〕）中 “占一补一”原则进行占补平衡，由建设单位负责开垦补充数量和质量相当的永久基本农田；如果没有条件开垦时，应当按照黑龙江省的规定缴纳耕地开垦费，专款用于开垦新的耕地。永久占用耕地的耕作层土壤集中堆放在施工井场或场站置土带区域，施工结束后用于</w:t>
      </w:r>
      <w:r>
        <w:rPr>
          <w:rFonts w:ascii="Times New Roman" w:hAnsi="Times New Roman" w:cs="Times New Roman"/>
          <w:bCs/>
          <w:iCs/>
          <w:color w:val="auto"/>
          <w:w w:val="99"/>
          <w:kern w:val="2"/>
          <w:highlight w:val="none"/>
        </w:rPr>
        <w:t>周围区域土地复垦、土壤治理等用途</w:t>
      </w:r>
      <w:r>
        <w:rPr>
          <w:rFonts w:ascii="Times New Roman" w:hAnsi="Times New Roman" w:cs="Times New Roman"/>
          <w:iCs/>
          <w:color w:val="auto"/>
          <w:w w:val="99"/>
          <w:kern w:val="2"/>
          <w:highlight w:val="none"/>
        </w:rPr>
        <w:t>。</w:t>
      </w:r>
    </w:p>
    <w:p w14:paraId="1D4E917D">
      <w:pPr>
        <w:widowControl w:val="0"/>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bCs/>
          <w:iCs/>
          <w:color w:val="auto"/>
          <w:w w:val="99"/>
          <w:kern w:val="2"/>
          <w:highlight w:val="none"/>
        </w:rPr>
        <w:t>本项目对农业生产的直接影响主要体现为占用耕地而造成粮食减产，对于临时占地造成的农作物减产，除应对其进行经济补偿外，项目开工前，应剥离临时占地内的表土，</w:t>
      </w:r>
      <w:r>
        <w:rPr>
          <w:rFonts w:hint="eastAsia" w:ascii="Times New Roman" w:hAnsi="Times New Roman" w:cs="Times New Roman"/>
          <w:bCs/>
          <w:iCs/>
          <w:color w:val="auto"/>
          <w:w w:val="99"/>
          <w:kern w:val="2"/>
          <w:highlight w:val="none"/>
        </w:rPr>
        <w:t>耕地剥离厚度</w:t>
      </w:r>
      <w:r>
        <w:rPr>
          <w:rFonts w:ascii="Times New Roman" w:hAnsi="Times New Roman" w:cs="Times New Roman"/>
          <w:bCs/>
          <w:iCs/>
          <w:color w:val="auto"/>
          <w:w w:val="99"/>
          <w:kern w:val="2"/>
          <w:highlight w:val="none"/>
        </w:rPr>
        <w:t>0.3m，暂存于井场或管线两侧临时占地内的表土剥离临时堆放区，并采取苫布遮盖，表土剥离临时堆放区周围设置排水沟等措施防止水土流失，并定期采取洒水抑尘措施，待施工结束后，回填占地范围，并采用表土复耕，增肥作业，恢复临时占用耕地的生产力，本项目的建设对当地土地利用格局影响在可接受范围内。</w:t>
      </w:r>
      <w:r>
        <w:rPr>
          <w:rFonts w:ascii="Times New Roman" w:hAnsi="Times New Roman" w:cs="Times New Roman"/>
          <w:iCs/>
          <w:color w:val="auto"/>
          <w:w w:val="99"/>
          <w:kern w:val="2"/>
          <w:highlight w:val="none"/>
        </w:rPr>
        <w:t>因此本项目符合《基本农田保护条例》</w:t>
      </w:r>
      <w:r>
        <w:rPr>
          <w:rFonts w:hint="eastAsia" w:ascii="Times New Roman" w:hAnsi="Times New Roman" w:cs="Times New Roman"/>
          <w:iCs/>
          <w:color w:val="auto"/>
          <w:w w:val="99"/>
          <w:kern w:val="2"/>
          <w:highlight w:val="none"/>
        </w:rPr>
        <w:t>（国务院令第</w:t>
      </w:r>
      <w:r>
        <w:rPr>
          <w:rFonts w:ascii="Times New Roman" w:hAnsi="Times New Roman" w:cs="Times New Roman"/>
          <w:iCs/>
          <w:color w:val="auto"/>
          <w:w w:val="99"/>
          <w:kern w:val="2"/>
          <w:highlight w:val="none"/>
        </w:rPr>
        <w:t>257号）中要求。</w:t>
      </w:r>
    </w:p>
    <w:p w14:paraId="74390A07">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1.4.3.</w:t>
      </w:r>
      <w:r>
        <w:rPr>
          <w:rFonts w:hint="eastAsia" w:ascii="Times New Roman" w:hAnsi="Times New Roman" w:eastAsiaTheme="minorEastAsia"/>
          <w:b/>
          <w:color w:val="auto"/>
          <w:w w:val="99"/>
          <w:highlight w:val="none"/>
          <w:lang w:val="en-US" w:eastAsia="zh-CN"/>
        </w:rPr>
        <w:t>7</w:t>
      </w:r>
      <w:r>
        <w:rPr>
          <w:rFonts w:ascii="Times New Roman" w:hAnsi="Times New Roman" w:eastAsiaTheme="minorEastAsia"/>
          <w:b/>
          <w:bCs/>
          <w:color w:val="auto"/>
          <w:w w:val="99"/>
          <w:highlight w:val="none"/>
        </w:rPr>
        <w:t>与《黑龙江省耕地保护条例》（</w:t>
      </w:r>
      <w:r>
        <w:rPr>
          <w:rFonts w:hint="eastAsia" w:ascii="Times New Roman" w:hAnsi="Times New Roman" w:eastAsiaTheme="minorEastAsia"/>
          <w:b/>
          <w:bCs/>
          <w:color w:val="auto"/>
          <w:w w:val="99"/>
          <w:highlight w:val="none"/>
        </w:rPr>
        <w:t>黑人常〔</w:t>
      </w:r>
      <w:r>
        <w:rPr>
          <w:rFonts w:ascii="Times New Roman" w:hAnsi="Times New Roman" w:eastAsiaTheme="minorEastAsia"/>
          <w:b/>
          <w:bCs/>
          <w:color w:val="auto"/>
          <w:w w:val="99"/>
          <w:highlight w:val="none"/>
        </w:rPr>
        <w:t>2021〕43号）符合性判定</w:t>
      </w:r>
    </w:p>
    <w:p w14:paraId="4B4293FF">
      <w:pPr>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bCs/>
          <w:iCs/>
          <w:color w:val="auto"/>
          <w:w w:val="99"/>
          <w:kern w:val="2"/>
          <w:highlight w:val="none"/>
        </w:rPr>
        <w:t>本项目与《黑龙江省耕地保护条例》（</w:t>
      </w:r>
      <w:r>
        <w:rPr>
          <w:rFonts w:hint="eastAsia" w:ascii="Times New Roman" w:hAnsi="Times New Roman" w:cs="Times New Roman"/>
          <w:bCs/>
          <w:iCs/>
          <w:color w:val="auto"/>
          <w:w w:val="99"/>
          <w:kern w:val="2"/>
          <w:highlight w:val="none"/>
        </w:rPr>
        <w:t>黑人常〔</w:t>
      </w:r>
      <w:r>
        <w:rPr>
          <w:rFonts w:ascii="Times New Roman" w:hAnsi="Times New Roman" w:cs="Times New Roman"/>
          <w:bCs/>
          <w:iCs/>
          <w:color w:val="auto"/>
          <w:w w:val="99"/>
          <w:kern w:val="2"/>
          <w:highlight w:val="none"/>
        </w:rPr>
        <w:t>2021〕43号）符合性分析见表</w:t>
      </w:r>
      <w:r>
        <w:rPr>
          <w:rFonts w:ascii="Times New Roman" w:hAnsi="Times New Roman" w:cs="Times New Roman"/>
          <w:iCs/>
          <w:color w:val="auto"/>
          <w:w w:val="99"/>
          <w:kern w:val="2"/>
          <w:highlight w:val="none"/>
        </w:rPr>
        <w:t>1.4-</w:t>
      </w:r>
      <w:r>
        <w:rPr>
          <w:rFonts w:hint="eastAsia" w:ascii="Times New Roman" w:hAnsi="Times New Roman" w:cs="Times New Roman"/>
          <w:iCs/>
          <w:color w:val="auto"/>
          <w:w w:val="99"/>
          <w:kern w:val="2"/>
          <w:highlight w:val="none"/>
          <w:lang w:val="en-US" w:eastAsia="zh-CN"/>
        </w:rPr>
        <w:t>7</w:t>
      </w:r>
      <w:r>
        <w:rPr>
          <w:rFonts w:ascii="Times New Roman" w:hAnsi="Times New Roman" w:cs="Times New Roman"/>
          <w:iCs/>
          <w:color w:val="auto"/>
          <w:w w:val="99"/>
          <w:kern w:val="2"/>
          <w:highlight w:val="none"/>
        </w:rPr>
        <w:t>。</w:t>
      </w:r>
    </w:p>
    <w:p w14:paraId="54347560">
      <w:pPr>
        <w:spacing w:line="440" w:lineRule="exact"/>
        <w:jc w:val="center"/>
        <w:rPr>
          <w:rFonts w:ascii="Times New Roman" w:hAnsi="Times New Roman" w:cs="Times New Roman"/>
          <w:b/>
          <w:iCs/>
          <w:color w:val="auto"/>
          <w:w w:val="99"/>
          <w:kern w:val="2"/>
          <w:highlight w:val="none"/>
        </w:rPr>
      </w:pPr>
      <w:r>
        <w:rPr>
          <w:rFonts w:ascii="Times New Roman" w:hAnsi="Times New Roman" w:cs="Times New Roman"/>
          <w:b/>
          <w:iCs/>
          <w:color w:val="auto"/>
          <w:w w:val="99"/>
          <w:kern w:val="2"/>
          <w:highlight w:val="none"/>
        </w:rPr>
        <w:t>表1.4-</w:t>
      </w:r>
      <w:r>
        <w:rPr>
          <w:rFonts w:hint="eastAsia" w:ascii="Times New Roman" w:hAnsi="Times New Roman" w:cs="Times New Roman"/>
          <w:b/>
          <w:iCs/>
          <w:color w:val="auto"/>
          <w:w w:val="99"/>
          <w:kern w:val="2"/>
          <w:highlight w:val="none"/>
          <w:lang w:val="en-US" w:eastAsia="zh-CN"/>
        </w:rPr>
        <w:t>7</w:t>
      </w:r>
      <w:r>
        <w:rPr>
          <w:rFonts w:ascii="Times New Roman" w:hAnsi="Times New Roman" w:cs="Times New Roman"/>
          <w:b/>
          <w:iCs/>
          <w:color w:val="auto"/>
          <w:w w:val="99"/>
          <w:kern w:val="2"/>
          <w:highlight w:val="none"/>
        </w:rPr>
        <w:t xml:space="preserve">   本项目与《黑龙江省耕地保护条例》相关要求符合性一览表</w:t>
      </w:r>
    </w:p>
    <w:tbl>
      <w:tblPr>
        <w:tblStyle w:val="80"/>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3560"/>
        <w:gridCol w:w="3892"/>
        <w:gridCol w:w="916"/>
      </w:tblGrid>
      <w:tr w14:paraId="0BAF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7B87D89C">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序号</w:t>
            </w:r>
          </w:p>
        </w:tc>
        <w:tc>
          <w:tcPr>
            <w:tcW w:w="3560" w:type="dxa"/>
            <w:vAlign w:val="center"/>
          </w:tcPr>
          <w:p w14:paraId="258DD8BA">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文件要求</w:t>
            </w:r>
          </w:p>
        </w:tc>
        <w:tc>
          <w:tcPr>
            <w:tcW w:w="3892" w:type="dxa"/>
            <w:vAlign w:val="center"/>
          </w:tcPr>
          <w:p w14:paraId="4DC01B61">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符合性分析</w:t>
            </w:r>
          </w:p>
        </w:tc>
        <w:tc>
          <w:tcPr>
            <w:tcW w:w="916" w:type="dxa"/>
            <w:vAlign w:val="center"/>
          </w:tcPr>
          <w:p w14:paraId="5DE740D6">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w:t>
            </w:r>
          </w:p>
        </w:tc>
      </w:tr>
      <w:tr w14:paraId="5B73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5D6F1F09">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1</w:t>
            </w:r>
          </w:p>
        </w:tc>
        <w:tc>
          <w:tcPr>
            <w:tcW w:w="3560" w:type="dxa"/>
            <w:vAlign w:val="center"/>
          </w:tcPr>
          <w:p w14:paraId="0B068DF0">
            <w:pPr>
              <w:widowControl w:val="0"/>
              <w:adjustRightInd w:val="0"/>
              <w:snapToGrid w:val="0"/>
              <w:spacing w:line="360" w:lineRule="exact"/>
              <w:jc w:val="both"/>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第二十一条：非农业建设可以利用非耕地的，不得占用耕地。经依法批准占用耕地的，用地单位应当负责开垦与所占用耕地数量、质量相当的耕地；没有条件开垦或者开垦的耕地不符合要求的，应当向县以上自然资源行政主管部门缴纳耕地开垦费，专款用于开垦新的耕地；耕地后备资源不足的，依法实行易地占补。</w:t>
            </w:r>
          </w:p>
        </w:tc>
        <w:tc>
          <w:tcPr>
            <w:tcW w:w="3892" w:type="dxa"/>
            <w:vAlign w:val="center"/>
          </w:tcPr>
          <w:p w14:paraId="157FF8B9">
            <w:pPr>
              <w:widowControl w:val="0"/>
              <w:adjustRightInd w:val="0"/>
              <w:snapToGrid w:val="0"/>
              <w:spacing w:line="360" w:lineRule="exact"/>
              <w:jc w:val="both"/>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根据工程方案情况，本项目施工无法避免占用耕地，本项目在施工前需要征收土地，应报请相关主管部门同意，取得用地审批。对于永久占耕地剥离表土就近用于新开垦耕地和低质耕地改良、被污染耕地的治理、高标准农田建设、土地复垦等。</w:t>
            </w:r>
          </w:p>
        </w:tc>
        <w:tc>
          <w:tcPr>
            <w:tcW w:w="916" w:type="dxa"/>
            <w:vAlign w:val="center"/>
          </w:tcPr>
          <w:p w14:paraId="69757E16">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07E4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676B86E5">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2</w:t>
            </w:r>
          </w:p>
        </w:tc>
        <w:tc>
          <w:tcPr>
            <w:tcW w:w="3560" w:type="dxa"/>
            <w:vAlign w:val="center"/>
          </w:tcPr>
          <w:p w14:paraId="2322F92D">
            <w:pPr>
              <w:widowControl w:val="0"/>
              <w:adjustRightInd w:val="0"/>
              <w:snapToGrid w:val="0"/>
              <w:spacing w:line="360" w:lineRule="exact"/>
              <w:jc w:val="both"/>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第三十六条：因事故或者其他突发事件，造成耕地环境污染的，当事人应当立即采取补救措施，并向当地县级农业农村或者生态环境行政主管部门报告。相关行政主管部门接到报告后，应当及时启动应急预案，并按照规定处理。</w:t>
            </w:r>
          </w:p>
        </w:tc>
        <w:tc>
          <w:tcPr>
            <w:tcW w:w="3892" w:type="dxa"/>
            <w:vAlign w:val="center"/>
          </w:tcPr>
          <w:p w14:paraId="0FBE021A">
            <w:pPr>
              <w:widowControl w:val="0"/>
              <w:adjustRightInd w:val="0"/>
              <w:snapToGrid w:val="0"/>
              <w:spacing w:line="360" w:lineRule="exact"/>
              <w:jc w:val="both"/>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本项目发现原油及含油污水泄漏渗入土壤时，针对工程可能发生的土壤污染，按照“源头控制、末端防治、污染监控、应急响应”相结合的原则，从污染物的产生、入渗、扩散、应急响应全阶段进行控制。</w:t>
            </w:r>
          </w:p>
        </w:tc>
        <w:tc>
          <w:tcPr>
            <w:tcW w:w="916" w:type="dxa"/>
            <w:vAlign w:val="center"/>
          </w:tcPr>
          <w:p w14:paraId="07634F41">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2D89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55A29F87">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3</w:t>
            </w:r>
          </w:p>
        </w:tc>
        <w:tc>
          <w:tcPr>
            <w:tcW w:w="3560" w:type="dxa"/>
            <w:vAlign w:val="center"/>
          </w:tcPr>
          <w:p w14:paraId="5ACEE046">
            <w:pPr>
              <w:widowControl w:val="0"/>
              <w:adjustRightInd w:val="0"/>
              <w:snapToGrid w:val="0"/>
              <w:spacing w:line="360" w:lineRule="exact"/>
              <w:jc w:val="both"/>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第四十五条：耕地的耕作层土壤剥离按照国家和省有关规定执行。</w:t>
            </w:r>
          </w:p>
        </w:tc>
        <w:tc>
          <w:tcPr>
            <w:tcW w:w="3892" w:type="dxa"/>
            <w:vAlign w:val="center"/>
          </w:tcPr>
          <w:p w14:paraId="4D7EBC4A">
            <w:pPr>
              <w:widowControl w:val="0"/>
              <w:adjustRightInd w:val="0"/>
              <w:snapToGrid w:val="0"/>
              <w:spacing w:line="360" w:lineRule="exact"/>
              <w:jc w:val="both"/>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根据《黑龙江省人民政府办公厅关于建设占用耕地耕作层土壤剥离利用工作的指导意见（试行）》（黑政办规〔2021〕18号）要求实施表土剥离制度，本项目在施工过程中针对永久占地及临时占地，应剥离占地内的表土，</w:t>
            </w:r>
            <w:r>
              <w:rPr>
                <w:rFonts w:hint="eastAsia" w:ascii="Times New Roman" w:hAnsi="Times New Roman" w:cs="Times New Roman"/>
                <w:iCs/>
                <w:color w:val="auto"/>
                <w:w w:val="99"/>
                <w:kern w:val="28"/>
                <w:sz w:val="21"/>
                <w:szCs w:val="21"/>
                <w:highlight w:val="none"/>
              </w:rPr>
              <w:t>耕地剥离厚度</w:t>
            </w:r>
            <w:r>
              <w:rPr>
                <w:rFonts w:ascii="Times New Roman" w:hAnsi="Times New Roman" w:cs="Times New Roman"/>
                <w:iCs/>
                <w:color w:val="auto"/>
                <w:w w:val="99"/>
                <w:kern w:val="28"/>
                <w:sz w:val="21"/>
                <w:szCs w:val="21"/>
                <w:highlight w:val="none"/>
              </w:rPr>
              <w:t>0.3m，采用分层开挖，分层堆放，集中暂存于剥离表土临时堆放区，并采取苫布遮盖等措施防止水土流失，定期采取洒水抑尘措施。针对永久占地将剥离的表土就近用于新开垦耕地和低质耕地改良、被污染耕地的治理、高标准农田建设、土地复垦等，针对临时占地在将剥离的表土在施工结束后分层回填，并及时平整恢复。</w:t>
            </w:r>
          </w:p>
        </w:tc>
        <w:tc>
          <w:tcPr>
            <w:tcW w:w="916" w:type="dxa"/>
            <w:vAlign w:val="center"/>
          </w:tcPr>
          <w:p w14:paraId="120A3B14">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010A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7FACB588">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4</w:t>
            </w:r>
          </w:p>
        </w:tc>
        <w:tc>
          <w:tcPr>
            <w:tcW w:w="3560" w:type="dxa"/>
            <w:vAlign w:val="center"/>
          </w:tcPr>
          <w:p w14:paraId="1FBD0EC1">
            <w:pPr>
              <w:widowControl w:val="0"/>
              <w:adjustRightInd w:val="0"/>
              <w:snapToGrid w:val="0"/>
              <w:spacing w:line="360" w:lineRule="exact"/>
              <w:jc w:val="both"/>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第四十六条：经批准占用耕地的非农业建设项目施工时，施工单位应当减少地表扰动范围，避免损坏周边耕地的耕作层。无法避免的，由建设单位及时进行整理、修复或者依法补偿。</w:t>
            </w:r>
          </w:p>
        </w:tc>
        <w:tc>
          <w:tcPr>
            <w:tcW w:w="3892" w:type="dxa"/>
            <w:vAlign w:val="center"/>
          </w:tcPr>
          <w:p w14:paraId="32EBCEC4">
            <w:pPr>
              <w:widowControl w:val="0"/>
              <w:adjustRightInd w:val="0"/>
              <w:snapToGrid w:val="0"/>
              <w:spacing w:line="360" w:lineRule="exact"/>
              <w:jc w:val="both"/>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在施工过程中严格控制施工作业面积，减少占地。加强施工管理，尽量减少占地面积，并规范行车路线及施工人员行为，严禁随意践踏、碾压施工区范围外的植被，确保尽量少占优质黑土地。针对永久占地及临时占地，应剥离占地内的表土，</w:t>
            </w:r>
            <w:r>
              <w:rPr>
                <w:rFonts w:hint="eastAsia" w:ascii="Times New Roman" w:hAnsi="Times New Roman" w:cs="Times New Roman"/>
                <w:iCs/>
                <w:color w:val="auto"/>
                <w:w w:val="99"/>
                <w:kern w:val="28"/>
                <w:sz w:val="21"/>
                <w:szCs w:val="21"/>
                <w:highlight w:val="none"/>
              </w:rPr>
              <w:t>耕地剥离厚度</w:t>
            </w:r>
            <w:r>
              <w:rPr>
                <w:rFonts w:ascii="Times New Roman" w:hAnsi="Times New Roman" w:cs="Times New Roman"/>
                <w:iCs/>
                <w:color w:val="auto"/>
                <w:w w:val="99"/>
                <w:kern w:val="28"/>
                <w:sz w:val="21"/>
                <w:szCs w:val="21"/>
                <w:highlight w:val="none"/>
              </w:rPr>
              <w:t>0.3m，采用分层开挖，分层堆放，集中暂存于剥离表土临时堆放区，并采取苫布遮盖等措施防止水土流失，定期采取洒水抑尘措施。针对永久占地将剥离的表土按照 “占一补一，质量相等”的要求进行补偿并易地补充耕地，永久占耕地剥离表土就近用于新开垦耕地和低质耕地改良、被污染耕地的治理、高标准农田建设、土地复垦等。针对临时占地在将剥离的表土在施工结束后分层回填，及时平整恢复。</w:t>
            </w:r>
          </w:p>
        </w:tc>
        <w:tc>
          <w:tcPr>
            <w:tcW w:w="916" w:type="dxa"/>
            <w:vAlign w:val="center"/>
          </w:tcPr>
          <w:p w14:paraId="1B680814">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bl>
    <w:p w14:paraId="0E4403AF">
      <w:pPr>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根据以上分析，本项目符合</w:t>
      </w:r>
      <w:r>
        <w:rPr>
          <w:rFonts w:ascii="Times New Roman" w:hAnsi="Times New Roman" w:cs="Times New Roman"/>
          <w:bCs/>
          <w:iCs/>
          <w:color w:val="auto"/>
          <w:w w:val="99"/>
          <w:kern w:val="2"/>
          <w:highlight w:val="none"/>
        </w:rPr>
        <w:t>《黑龙江省耕地保护条例》</w:t>
      </w:r>
      <w:r>
        <w:rPr>
          <w:rFonts w:hint="eastAsia" w:ascii="Times New Roman" w:hAnsi="Times New Roman" w:cs="Times New Roman"/>
          <w:bCs/>
          <w:iCs/>
          <w:color w:val="auto"/>
          <w:w w:val="99"/>
          <w:kern w:val="2"/>
          <w:highlight w:val="none"/>
        </w:rPr>
        <w:t>（黑人常〔</w:t>
      </w:r>
      <w:r>
        <w:rPr>
          <w:rFonts w:ascii="Times New Roman" w:hAnsi="Times New Roman" w:cs="Times New Roman"/>
          <w:bCs/>
          <w:iCs/>
          <w:color w:val="auto"/>
          <w:w w:val="99"/>
          <w:kern w:val="2"/>
          <w:highlight w:val="none"/>
        </w:rPr>
        <w:t>2021〕43号）</w:t>
      </w:r>
      <w:r>
        <w:rPr>
          <w:rFonts w:ascii="Times New Roman" w:hAnsi="Times New Roman" w:cs="Times New Roman"/>
          <w:iCs/>
          <w:color w:val="auto"/>
          <w:w w:val="99"/>
          <w:kern w:val="2"/>
          <w:highlight w:val="none"/>
        </w:rPr>
        <w:t>中要求。</w:t>
      </w:r>
    </w:p>
    <w:p w14:paraId="7CEFCA50">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1.4.3.</w:t>
      </w:r>
      <w:r>
        <w:rPr>
          <w:rFonts w:hint="eastAsia" w:ascii="Times New Roman" w:hAnsi="Times New Roman" w:eastAsiaTheme="minorEastAsia"/>
          <w:b/>
          <w:color w:val="auto"/>
          <w:w w:val="99"/>
          <w:highlight w:val="none"/>
          <w:lang w:val="en-US" w:eastAsia="zh-CN"/>
        </w:rPr>
        <w:t>8</w:t>
      </w:r>
      <w:r>
        <w:rPr>
          <w:rFonts w:ascii="Times New Roman" w:hAnsi="Times New Roman" w:eastAsiaTheme="minorEastAsia"/>
          <w:b/>
          <w:color w:val="auto"/>
          <w:w w:val="99"/>
          <w:highlight w:val="none"/>
        </w:rPr>
        <w:t>与《关于强化管控落实最严格耕地保护制度的通知》（国土资发〔2014〕18号）符合性判定</w:t>
      </w:r>
    </w:p>
    <w:p w14:paraId="1631675C">
      <w:pPr>
        <w:widowControl w:val="0"/>
        <w:spacing w:line="440" w:lineRule="exact"/>
        <w:ind w:firstLine="474" w:firstLineChars="200"/>
        <w:jc w:val="both"/>
        <w:rPr>
          <w:rFonts w:ascii="Times New Roman" w:hAnsi="Times New Roman" w:cs="Times New Roman"/>
          <w:bCs/>
          <w:iCs/>
          <w:color w:val="auto"/>
          <w:w w:val="99"/>
          <w:kern w:val="2"/>
          <w:highlight w:val="none"/>
        </w:rPr>
      </w:pPr>
      <w:r>
        <w:rPr>
          <w:rFonts w:ascii="Times New Roman" w:hAnsi="Times New Roman" w:cs="Times New Roman"/>
          <w:bCs/>
          <w:iCs/>
          <w:color w:val="auto"/>
          <w:w w:val="99"/>
          <w:kern w:val="2"/>
          <w:highlight w:val="none"/>
        </w:rPr>
        <w:t>本项目与《关于强化管控落实最严格耕地保护制度的通知》（国土资发〔2014〕18号）符合性分析见表1.4</w:t>
      </w:r>
      <w:r>
        <w:rPr>
          <w:rFonts w:hint="eastAsia" w:ascii="Times New Roman" w:hAnsi="Times New Roman" w:cs="Times New Roman"/>
          <w:bCs/>
          <w:iCs/>
          <w:color w:val="auto"/>
          <w:w w:val="99"/>
          <w:kern w:val="2"/>
          <w:highlight w:val="none"/>
          <w:lang w:val="en-US" w:eastAsia="zh-CN"/>
        </w:rPr>
        <w:t>-8</w:t>
      </w:r>
      <w:r>
        <w:rPr>
          <w:rFonts w:ascii="Times New Roman" w:hAnsi="Times New Roman" w:cs="Times New Roman"/>
          <w:bCs/>
          <w:iCs/>
          <w:color w:val="auto"/>
          <w:w w:val="99"/>
          <w:kern w:val="2"/>
          <w:highlight w:val="none"/>
        </w:rPr>
        <w:t>。</w:t>
      </w:r>
    </w:p>
    <w:p w14:paraId="0056F77D">
      <w:pPr>
        <w:spacing w:line="440" w:lineRule="exact"/>
        <w:ind w:firstLine="476" w:firstLineChars="200"/>
        <w:rPr>
          <w:rFonts w:ascii="Times New Roman" w:hAnsi="Times New Roman" w:cs="Times New Roman"/>
          <w:b/>
          <w:iCs/>
          <w:color w:val="auto"/>
          <w:w w:val="99"/>
          <w:kern w:val="2"/>
          <w:highlight w:val="none"/>
        </w:rPr>
      </w:pPr>
      <w:r>
        <w:rPr>
          <w:rFonts w:ascii="Times New Roman" w:hAnsi="Times New Roman" w:cs="Times New Roman"/>
          <w:b/>
          <w:iCs/>
          <w:color w:val="auto"/>
          <w:w w:val="99"/>
          <w:kern w:val="2"/>
          <w:highlight w:val="none"/>
        </w:rPr>
        <w:t>表1.4-</w:t>
      </w:r>
      <w:r>
        <w:rPr>
          <w:rFonts w:hint="eastAsia" w:ascii="Times New Roman" w:hAnsi="Times New Roman" w:cs="Times New Roman"/>
          <w:b/>
          <w:iCs/>
          <w:color w:val="auto"/>
          <w:w w:val="99"/>
          <w:kern w:val="2"/>
          <w:highlight w:val="none"/>
          <w:lang w:val="en-US" w:eastAsia="zh-CN"/>
        </w:rPr>
        <w:t>8</w:t>
      </w:r>
      <w:r>
        <w:rPr>
          <w:rFonts w:ascii="Times New Roman" w:hAnsi="Times New Roman" w:cs="Times New Roman"/>
          <w:b/>
          <w:iCs/>
          <w:color w:val="auto"/>
          <w:w w:val="99"/>
          <w:kern w:val="2"/>
          <w:highlight w:val="none"/>
        </w:rPr>
        <w:t xml:space="preserve">  与</w:t>
      </w:r>
      <w:r>
        <w:rPr>
          <w:rFonts w:hint="eastAsia" w:ascii="Times New Roman" w:hAnsi="Times New Roman" w:cs="Times New Roman"/>
          <w:b/>
          <w:iCs/>
          <w:color w:val="auto"/>
          <w:w w:val="99"/>
          <w:kern w:val="2"/>
          <w:highlight w:val="none"/>
        </w:rPr>
        <w:t>“国土资发〔</w:t>
      </w:r>
      <w:r>
        <w:rPr>
          <w:rFonts w:ascii="Times New Roman" w:hAnsi="Times New Roman" w:cs="Times New Roman"/>
          <w:b/>
          <w:iCs/>
          <w:color w:val="auto"/>
          <w:w w:val="99"/>
          <w:kern w:val="2"/>
          <w:highlight w:val="none"/>
        </w:rPr>
        <w:t>2014</w:t>
      </w:r>
      <w:r>
        <w:rPr>
          <w:rFonts w:hint="eastAsia" w:ascii="Times New Roman" w:hAnsi="Times New Roman" w:cs="Times New Roman"/>
          <w:b/>
          <w:iCs/>
          <w:color w:val="auto"/>
          <w:w w:val="99"/>
          <w:kern w:val="2"/>
          <w:highlight w:val="none"/>
        </w:rPr>
        <w:t>〕</w:t>
      </w:r>
      <w:r>
        <w:rPr>
          <w:rFonts w:ascii="Times New Roman" w:hAnsi="Times New Roman" w:cs="Times New Roman"/>
          <w:b/>
          <w:iCs/>
          <w:color w:val="auto"/>
          <w:w w:val="99"/>
          <w:kern w:val="2"/>
          <w:highlight w:val="none"/>
        </w:rPr>
        <w:t>18</w:t>
      </w:r>
      <w:r>
        <w:rPr>
          <w:rFonts w:hint="eastAsia" w:ascii="Times New Roman" w:hAnsi="Times New Roman" w:cs="Times New Roman"/>
          <w:b/>
          <w:iCs/>
          <w:color w:val="auto"/>
          <w:w w:val="99"/>
          <w:kern w:val="2"/>
          <w:highlight w:val="none"/>
        </w:rPr>
        <w:t>号”</w:t>
      </w:r>
      <w:r>
        <w:rPr>
          <w:rFonts w:ascii="Times New Roman" w:hAnsi="Times New Roman" w:cs="Times New Roman"/>
          <w:b/>
          <w:iCs/>
          <w:color w:val="auto"/>
          <w:w w:val="99"/>
          <w:kern w:val="2"/>
          <w:highlight w:val="none"/>
        </w:rPr>
        <w:t>相关要求符合性判定</w:t>
      </w:r>
    </w:p>
    <w:tbl>
      <w:tblPr>
        <w:tblStyle w:val="80"/>
        <w:tblW w:w="906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48"/>
        <w:gridCol w:w="4269"/>
        <w:gridCol w:w="3242"/>
        <w:gridCol w:w="1005"/>
      </w:tblGrid>
      <w:tr w14:paraId="0C5754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48" w:type="dxa"/>
            <w:vAlign w:val="center"/>
          </w:tcPr>
          <w:p w14:paraId="23611954">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序号</w:t>
            </w:r>
          </w:p>
        </w:tc>
        <w:tc>
          <w:tcPr>
            <w:tcW w:w="4269" w:type="dxa"/>
            <w:vAlign w:val="center"/>
          </w:tcPr>
          <w:p w14:paraId="5F1577B8">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相关要求</w:t>
            </w:r>
          </w:p>
        </w:tc>
        <w:tc>
          <w:tcPr>
            <w:tcW w:w="3242" w:type="dxa"/>
            <w:vAlign w:val="center"/>
          </w:tcPr>
          <w:p w14:paraId="559EABA7">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符合性分析</w:t>
            </w:r>
          </w:p>
        </w:tc>
        <w:tc>
          <w:tcPr>
            <w:tcW w:w="1005" w:type="dxa"/>
            <w:vAlign w:val="center"/>
          </w:tcPr>
          <w:p w14:paraId="432C0F64">
            <w:pPr>
              <w:widowControl w:val="0"/>
              <w:spacing w:line="360" w:lineRule="exact"/>
              <w:ind w:firstLine="29"/>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符合性</w:t>
            </w:r>
          </w:p>
        </w:tc>
      </w:tr>
      <w:tr w14:paraId="3E749C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48" w:type="dxa"/>
            <w:vAlign w:val="center"/>
          </w:tcPr>
          <w:p w14:paraId="0D50D4C5">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1</w:t>
            </w:r>
          </w:p>
        </w:tc>
        <w:tc>
          <w:tcPr>
            <w:tcW w:w="4269" w:type="dxa"/>
            <w:vAlign w:val="center"/>
          </w:tcPr>
          <w:p w14:paraId="70FF341F">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进一步严格建设占用耕地审批。强化建设项目预审，严格项目选址把关。凡不符合土地利用总体规划、耕地占补平衡要求、征地补偿安置政策、用地标准、产业和供地政策的项目，不得通过用地预审。对线性工程占用耕地100公顷以上、块状工程70公顷以上的，省级国土资源部门必须组织实地踏勘论证，组织抽查核实；确需占用的，按照确保粮食生产能力不下降的要求，提出补充耕地安排，补充数量质量相当的耕地，并作为通过预审的必备条件。</w:t>
            </w:r>
          </w:p>
        </w:tc>
        <w:tc>
          <w:tcPr>
            <w:tcW w:w="3242" w:type="dxa"/>
            <w:vMerge w:val="restart"/>
            <w:vAlign w:val="center"/>
          </w:tcPr>
          <w:p w14:paraId="097F9010">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针对临时占地及永久占地应剥离占地内的表土，</w:t>
            </w:r>
            <w:r>
              <w:rPr>
                <w:rFonts w:hint="eastAsia" w:ascii="Times New Roman" w:hAnsi="Times New Roman" w:cs="Times New Roman"/>
                <w:iCs/>
                <w:color w:val="auto"/>
                <w:w w:val="99"/>
                <w:kern w:val="28"/>
                <w:sz w:val="21"/>
                <w:szCs w:val="21"/>
                <w:highlight w:val="none"/>
              </w:rPr>
              <w:t>耕地剥离厚度</w:t>
            </w:r>
            <w:r>
              <w:rPr>
                <w:rFonts w:ascii="Times New Roman" w:hAnsi="Times New Roman" w:cs="Times New Roman"/>
                <w:iCs/>
                <w:color w:val="auto"/>
                <w:w w:val="99"/>
                <w:kern w:val="28"/>
                <w:sz w:val="21"/>
                <w:szCs w:val="21"/>
                <w:highlight w:val="none"/>
              </w:rPr>
              <w:t>0.3m，采用分层开挖，分层堆放，暂存于占地内的表土剥离临时堆放区，并采取苫布遮盖，表土剥离临时堆放区周围设置排水沟等措施防止水土流失，并定期采取洒水抑尘措施，临时占地剥离的表土在施工结束后分层回填，并及时恢复地表植被，临时占地恢复面积</w:t>
            </w:r>
            <w:r>
              <w:rPr>
                <w:rFonts w:hint="eastAsia" w:ascii="Times New Roman" w:hAnsi="Times New Roman" w:cs="Times New Roman"/>
                <w:iCs/>
                <w:color w:val="auto"/>
                <w:w w:val="99"/>
                <w:kern w:val="28"/>
                <w:sz w:val="21"/>
                <w:szCs w:val="21"/>
                <w:highlight w:val="none"/>
                <w:lang w:eastAsia="zh-CN"/>
              </w:rPr>
              <w:t>1.9229</w:t>
            </w:r>
            <w:r>
              <w:rPr>
                <w:rFonts w:ascii="Times New Roman" w:hAnsi="Times New Roman" w:cs="Times New Roman"/>
                <w:iCs/>
                <w:color w:val="auto"/>
                <w:w w:val="99"/>
                <w:kern w:val="28"/>
                <w:sz w:val="21"/>
                <w:szCs w:val="21"/>
                <w:highlight w:val="none"/>
              </w:rPr>
              <w:t>hm</w:t>
            </w:r>
            <w:r>
              <w:rPr>
                <w:rFonts w:ascii="Times New Roman" w:hAnsi="Times New Roman" w:cs="Times New Roman"/>
                <w:iCs/>
                <w:color w:val="auto"/>
                <w:w w:val="99"/>
                <w:kern w:val="28"/>
                <w:sz w:val="21"/>
                <w:szCs w:val="21"/>
                <w:highlight w:val="none"/>
                <w:vertAlign w:val="superscript"/>
              </w:rPr>
              <w:t>2</w:t>
            </w:r>
            <w:r>
              <w:rPr>
                <w:rFonts w:ascii="Times New Roman" w:hAnsi="Times New Roman" w:cs="Times New Roman"/>
                <w:iCs/>
                <w:color w:val="auto"/>
                <w:w w:val="99"/>
                <w:kern w:val="28"/>
                <w:sz w:val="21"/>
                <w:szCs w:val="21"/>
                <w:highlight w:val="none"/>
              </w:rPr>
              <w:t>；永久占用耕地剥离的表土按照 “占一补一，质量相等”的要求用于易地补充耕地的表土，开垦新的耕地，对永久占地按照规定进行经济补偿，补偿面积</w:t>
            </w:r>
            <w:r>
              <w:rPr>
                <w:rFonts w:hint="eastAsia" w:ascii="Times New Roman" w:hAnsi="Times New Roman" w:cs="Times New Roman"/>
                <w:iCs/>
                <w:color w:val="auto"/>
                <w:w w:val="99"/>
                <w:kern w:val="28"/>
                <w:sz w:val="21"/>
                <w:szCs w:val="21"/>
                <w:highlight w:val="none"/>
                <w:lang w:val="en-US" w:eastAsia="zh-CN"/>
              </w:rPr>
              <w:t>0.0901</w:t>
            </w:r>
            <w:r>
              <w:rPr>
                <w:rFonts w:ascii="Times New Roman" w:hAnsi="Times New Roman" w:cs="Times New Roman"/>
                <w:iCs/>
                <w:color w:val="auto"/>
                <w:w w:val="99"/>
                <w:kern w:val="28"/>
                <w:sz w:val="21"/>
                <w:szCs w:val="21"/>
                <w:highlight w:val="none"/>
              </w:rPr>
              <w:t>hm</w:t>
            </w:r>
            <w:r>
              <w:rPr>
                <w:rFonts w:ascii="Times New Roman" w:hAnsi="Times New Roman" w:cs="Times New Roman"/>
                <w:iCs/>
                <w:color w:val="auto"/>
                <w:w w:val="99"/>
                <w:kern w:val="28"/>
                <w:sz w:val="21"/>
                <w:szCs w:val="21"/>
                <w:highlight w:val="none"/>
                <w:vertAlign w:val="superscript"/>
              </w:rPr>
              <w:t>2</w:t>
            </w:r>
            <w:r>
              <w:rPr>
                <w:rFonts w:ascii="Times New Roman" w:hAnsi="Times New Roman" w:cs="Times New Roman"/>
                <w:iCs/>
                <w:color w:val="auto"/>
                <w:w w:val="99"/>
                <w:kern w:val="28"/>
                <w:sz w:val="21"/>
                <w:szCs w:val="21"/>
                <w:highlight w:val="none"/>
              </w:rPr>
              <w:t>。</w:t>
            </w:r>
          </w:p>
        </w:tc>
        <w:tc>
          <w:tcPr>
            <w:tcW w:w="1005" w:type="dxa"/>
            <w:vMerge w:val="restart"/>
            <w:vAlign w:val="center"/>
          </w:tcPr>
          <w:p w14:paraId="7DC66098">
            <w:pPr>
              <w:widowControl w:val="0"/>
              <w:spacing w:line="360" w:lineRule="exact"/>
              <w:ind w:firstLine="29"/>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14:paraId="1D0C0D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48" w:type="dxa"/>
            <w:vAlign w:val="center"/>
          </w:tcPr>
          <w:p w14:paraId="1AA6DED0">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2</w:t>
            </w:r>
          </w:p>
        </w:tc>
        <w:tc>
          <w:tcPr>
            <w:tcW w:w="4269" w:type="dxa"/>
            <w:vAlign w:val="center"/>
          </w:tcPr>
          <w:p w14:paraId="0EBE8245">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强化耕地数量和质量占补平衡。各地要严格执行以补定占、先补后占规定，引导建设不占或少占耕地。</w:t>
            </w:r>
          </w:p>
        </w:tc>
        <w:tc>
          <w:tcPr>
            <w:tcW w:w="3242" w:type="dxa"/>
            <w:vMerge w:val="continue"/>
            <w:vAlign w:val="center"/>
          </w:tcPr>
          <w:p w14:paraId="3D984717">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p>
        </w:tc>
        <w:tc>
          <w:tcPr>
            <w:tcW w:w="1005" w:type="dxa"/>
            <w:vMerge w:val="continue"/>
            <w:vAlign w:val="center"/>
          </w:tcPr>
          <w:p w14:paraId="15EC15C6">
            <w:pPr>
              <w:widowControl w:val="0"/>
              <w:spacing w:line="360" w:lineRule="exact"/>
              <w:ind w:firstLine="29"/>
              <w:jc w:val="center"/>
              <w:rPr>
                <w:rFonts w:ascii="Times New Roman" w:hAnsi="Times New Roman" w:cs="Times New Roman" w:eastAsiaTheme="minorEastAsia"/>
                <w:color w:val="auto"/>
                <w:w w:val="99"/>
                <w:sz w:val="21"/>
                <w:szCs w:val="21"/>
                <w:highlight w:val="none"/>
              </w:rPr>
            </w:pPr>
          </w:p>
        </w:tc>
      </w:tr>
      <w:tr w14:paraId="5372F2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48" w:type="dxa"/>
            <w:vAlign w:val="center"/>
          </w:tcPr>
          <w:p w14:paraId="7266D135">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3</w:t>
            </w:r>
          </w:p>
        </w:tc>
        <w:tc>
          <w:tcPr>
            <w:tcW w:w="4269" w:type="dxa"/>
            <w:vAlign w:val="center"/>
          </w:tcPr>
          <w:p w14:paraId="6D74CBB9">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严格划定和永久保护基本农田。基本农田一经划定，实行严格管理、永久保护，任何单位和个人不得擅自占用或改变用途；建立和完善基本农田保护负面清单，符合法定条件和供地政策，确需占用和改变基本农田的，必须报国务院批准，并优先将同等面积的优质耕地补划为基本农田。</w:t>
            </w:r>
          </w:p>
        </w:tc>
        <w:tc>
          <w:tcPr>
            <w:tcW w:w="3242" w:type="dxa"/>
            <w:vMerge w:val="continue"/>
            <w:vAlign w:val="center"/>
          </w:tcPr>
          <w:p w14:paraId="34B86095">
            <w:pPr>
              <w:widowControl w:val="0"/>
              <w:spacing w:line="360" w:lineRule="exact"/>
              <w:ind w:firstLine="29"/>
              <w:jc w:val="center"/>
              <w:rPr>
                <w:rFonts w:ascii="Times New Roman" w:hAnsi="Times New Roman" w:cs="Times New Roman" w:eastAsiaTheme="minorEastAsia"/>
                <w:color w:val="auto"/>
                <w:w w:val="99"/>
                <w:sz w:val="21"/>
                <w:szCs w:val="21"/>
                <w:highlight w:val="none"/>
              </w:rPr>
            </w:pPr>
          </w:p>
        </w:tc>
        <w:tc>
          <w:tcPr>
            <w:tcW w:w="1005" w:type="dxa"/>
            <w:vMerge w:val="continue"/>
            <w:vAlign w:val="center"/>
          </w:tcPr>
          <w:p w14:paraId="205E0F05">
            <w:pPr>
              <w:widowControl w:val="0"/>
              <w:spacing w:line="360" w:lineRule="exact"/>
              <w:ind w:firstLine="29"/>
              <w:jc w:val="center"/>
              <w:rPr>
                <w:rFonts w:ascii="Times New Roman" w:hAnsi="Times New Roman" w:cs="Times New Roman" w:eastAsiaTheme="minorEastAsia"/>
                <w:color w:val="auto"/>
                <w:w w:val="99"/>
                <w:sz w:val="21"/>
                <w:szCs w:val="21"/>
                <w:highlight w:val="none"/>
              </w:rPr>
            </w:pPr>
          </w:p>
        </w:tc>
      </w:tr>
    </w:tbl>
    <w:p w14:paraId="7BDF670F">
      <w:pPr>
        <w:widowControl w:val="0"/>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根据以上分析，本项目符合《关于强化管控落实最严格耕地保护制度的通知》</w:t>
      </w:r>
      <w:r>
        <w:rPr>
          <w:rFonts w:hint="eastAsia" w:ascii="Times New Roman" w:hAnsi="Times New Roman" w:cs="Times New Roman"/>
          <w:iCs/>
          <w:color w:val="auto"/>
          <w:w w:val="99"/>
          <w:kern w:val="2"/>
          <w:highlight w:val="none"/>
        </w:rPr>
        <w:t>（</w:t>
      </w:r>
      <w:r>
        <w:rPr>
          <w:rFonts w:ascii="Times New Roman" w:hAnsi="Times New Roman" w:cs="Times New Roman"/>
          <w:bCs/>
          <w:iCs/>
          <w:color w:val="auto"/>
          <w:w w:val="99"/>
          <w:kern w:val="2"/>
          <w:highlight w:val="none"/>
        </w:rPr>
        <w:t>国土资发〔2014〕18号</w:t>
      </w:r>
      <w:r>
        <w:rPr>
          <w:rFonts w:hint="eastAsia" w:ascii="Times New Roman" w:hAnsi="Times New Roman" w:cs="Times New Roman"/>
          <w:iCs/>
          <w:color w:val="auto"/>
          <w:w w:val="99"/>
          <w:kern w:val="2"/>
          <w:highlight w:val="none"/>
        </w:rPr>
        <w:t>）</w:t>
      </w:r>
      <w:r>
        <w:rPr>
          <w:rFonts w:ascii="Times New Roman" w:hAnsi="Times New Roman" w:cs="Times New Roman"/>
          <w:iCs/>
          <w:color w:val="auto"/>
          <w:w w:val="99"/>
          <w:kern w:val="2"/>
          <w:highlight w:val="none"/>
        </w:rPr>
        <w:t>中要求。</w:t>
      </w:r>
    </w:p>
    <w:p w14:paraId="0ADBBF7C">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1.4.3.</w:t>
      </w:r>
      <w:r>
        <w:rPr>
          <w:rFonts w:hint="eastAsia" w:ascii="Times New Roman" w:hAnsi="Times New Roman" w:eastAsiaTheme="minorEastAsia"/>
          <w:b/>
          <w:color w:val="auto"/>
          <w:w w:val="99"/>
          <w:highlight w:val="none"/>
          <w:lang w:val="en-US" w:eastAsia="zh-CN"/>
        </w:rPr>
        <w:t>9</w:t>
      </w:r>
      <w:r>
        <w:rPr>
          <w:rFonts w:ascii="Times New Roman" w:hAnsi="Times New Roman" w:eastAsiaTheme="minorEastAsia"/>
          <w:b/>
          <w:color w:val="auto"/>
          <w:w w:val="99"/>
          <w:highlight w:val="none"/>
        </w:rPr>
        <w:t>与</w:t>
      </w:r>
      <w:r>
        <w:rPr>
          <w:rFonts w:hint="eastAsia" w:ascii="Times New Roman" w:hAnsi="Times New Roman" w:eastAsiaTheme="minorEastAsia"/>
          <w:b/>
          <w:color w:val="auto"/>
          <w:w w:val="99"/>
          <w:highlight w:val="none"/>
        </w:rPr>
        <w:t>《黑龙江省水污染防治条例》</w:t>
      </w:r>
      <w:r>
        <w:rPr>
          <w:rFonts w:ascii="Times New Roman" w:hAnsi="Times New Roman" w:eastAsiaTheme="minorEastAsia"/>
          <w:b/>
          <w:color w:val="auto"/>
          <w:w w:val="99"/>
          <w:highlight w:val="none"/>
        </w:rPr>
        <w:t>（</w:t>
      </w:r>
      <w:r>
        <w:rPr>
          <w:rFonts w:hint="eastAsia" w:ascii="Times New Roman" w:hAnsi="Times New Roman" w:eastAsiaTheme="minorEastAsia"/>
          <w:b/>
          <w:color w:val="auto"/>
          <w:w w:val="99"/>
          <w:highlight w:val="none"/>
        </w:rPr>
        <w:t>黑人常〔</w:t>
      </w:r>
      <w:r>
        <w:rPr>
          <w:rFonts w:ascii="Times New Roman" w:hAnsi="Times New Roman" w:eastAsiaTheme="minorEastAsia"/>
          <w:b/>
          <w:color w:val="auto"/>
          <w:w w:val="99"/>
          <w:highlight w:val="none"/>
        </w:rPr>
        <w:t>2023〕13号）符合性分析</w:t>
      </w:r>
    </w:p>
    <w:p w14:paraId="2B4DBB69">
      <w:pPr>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本项目与</w:t>
      </w:r>
      <w:r>
        <w:rPr>
          <w:rFonts w:hint="eastAsia" w:ascii="Times New Roman" w:hAnsi="Times New Roman" w:cs="Times New Roman"/>
          <w:iCs/>
          <w:color w:val="auto"/>
          <w:w w:val="99"/>
          <w:kern w:val="2"/>
          <w:highlight w:val="none"/>
        </w:rPr>
        <w:t>《黑龙江省水污染防治条例》</w:t>
      </w:r>
      <w:r>
        <w:rPr>
          <w:rFonts w:ascii="Times New Roman" w:hAnsi="Times New Roman" w:cs="Times New Roman"/>
          <w:iCs/>
          <w:color w:val="auto"/>
          <w:w w:val="99"/>
          <w:kern w:val="2"/>
          <w:highlight w:val="none"/>
        </w:rPr>
        <w:t>（</w:t>
      </w:r>
      <w:r>
        <w:rPr>
          <w:rFonts w:hint="eastAsia" w:ascii="Times New Roman" w:hAnsi="Times New Roman" w:cs="Times New Roman"/>
          <w:iCs/>
          <w:color w:val="auto"/>
          <w:w w:val="99"/>
          <w:kern w:val="2"/>
          <w:highlight w:val="none"/>
        </w:rPr>
        <w:t>黑人常〔</w:t>
      </w:r>
      <w:r>
        <w:rPr>
          <w:rFonts w:ascii="Times New Roman" w:hAnsi="Times New Roman" w:cs="Times New Roman"/>
          <w:iCs/>
          <w:color w:val="auto"/>
          <w:w w:val="99"/>
          <w:kern w:val="2"/>
          <w:highlight w:val="none"/>
        </w:rPr>
        <w:t>2023〕13号）符合性分析见表1.4-</w:t>
      </w:r>
      <w:r>
        <w:rPr>
          <w:rFonts w:hint="eastAsia" w:ascii="Times New Roman" w:hAnsi="Times New Roman" w:cs="Times New Roman"/>
          <w:iCs/>
          <w:color w:val="auto"/>
          <w:w w:val="99"/>
          <w:kern w:val="2"/>
          <w:highlight w:val="none"/>
          <w:lang w:val="en-US" w:eastAsia="zh-CN"/>
        </w:rPr>
        <w:t>9</w:t>
      </w:r>
      <w:r>
        <w:rPr>
          <w:rFonts w:ascii="Times New Roman" w:hAnsi="Times New Roman" w:cs="Times New Roman"/>
          <w:iCs/>
          <w:color w:val="auto"/>
          <w:w w:val="99"/>
          <w:kern w:val="2"/>
          <w:highlight w:val="none"/>
        </w:rPr>
        <w:t>。</w:t>
      </w:r>
    </w:p>
    <w:p w14:paraId="601B69EF">
      <w:pPr>
        <w:spacing w:line="440" w:lineRule="exact"/>
        <w:jc w:val="center"/>
        <w:rPr>
          <w:rFonts w:ascii="Times New Roman" w:hAnsi="Times New Roman" w:cs="Times New Roman"/>
          <w:b/>
          <w:iCs/>
          <w:color w:val="auto"/>
          <w:w w:val="99"/>
          <w:kern w:val="2"/>
          <w:highlight w:val="none"/>
        </w:rPr>
      </w:pPr>
      <w:r>
        <w:rPr>
          <w:rFonts w:ascii="Times New Roman" w:hAnsi="Times New Roman" w:cs="Times New Roman"/>
          <w:b/>
          <w:iCs/>
          <w:color w:val="auto"/>
          <w:w w:val="99"/>
          <w:kern w:val="2"/>
          <w:highlight w:val="none"/>
        </w:rPr>
        <w:t>表1.4-</w:t>
      </w:r>
      <w:r>
        <w:rPr>
          <w:rFonts w:hint="eastAsia" w:ascii="Times New Roman" w:hAnsi="Times New Roman" w:cs="Times New Roman"/>
          <w:b/>
          <w:iCs/>
          <w:color w:val="auto"/>
          <w:w w:val="99"/>
          <w:kern w:val="2"/>
          <w:highlight w:val="none"/>
          <w:lang w:val="en-US" w:eastAsia="zh-CN"/>
        </w:rPr>
        <w:t>9</w:t>
      </w:r>
      <w:r>
        <w:rPr>
          <w:rFonts w:ascii="Times New Roman" w:hAnsi="Times New Roman" w:cs="Times New Roman"/>
          <w:b/>
          <w:iCs/>
          <w:color w:val="auto"/>
          <w:w w:val="99"/>
          <w:kern w:val="2"/>
          <w:highlight w:val="none"/>
        </w:rPr>
        <w:t xml:space="preserve">    本项目与</w:t>
      </w:r>
      <w:r>
        <w:rPr>
          <w:rFonts w:hint="eastAsia" w:ascii="Times New Roman" w:hAnsi="Times New Roman" w:cs="Times New Roman"/>
          <w:b/>
          <w:iCs/>
          <w:color w:val="auto"/>
          <w:w w:val="99"/>
          <w:kern w:val="2"/>
          <w:highlight w:val="none"/>
        </w:rPr>
        <w:t>《黑龙江省水污染防治条例》</w:t>
      </w:r>
      <w:r>
        <w:rPr>
          <w:rFonts w:ascii="Times New Roman" w:hAnsi="Times New Roman" w:cs="Times New Roman"/>
          <w:b/>
          <w:iCs/>
          <w:color w:val="auto"/>
          <w:w w:val="99"/>
          <w:kern w:val="2"/>
          <w:highlight w:val="none"/>
        </w:rPr>
        <w:t>相关要求符合性一览表</w:t>
      </w: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3652"/>
        <w:gridCol w:w="3992"/>
        <w:gridCol w:w="936"/>
      </w:tblGrid>
      <w:tr w14:paraId="5392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14:paraId="16BBD7E8">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序号</w:t>
            </w:r>
          </w:p>
        </w:tc>
        <w:tc>
          <w:tcPr>
            <w:tcW w:w="1967" w:type="pct"/>
            <w:vAlign w:val="center"/>
          </w:tcPr>
          <w:p w14:paraId="3F56B034">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文件要求</w:t>
            </w:r>
          </w:p>
        </w:tc>
        <w:tc>
          <w:tcPr>
            <w:tcW w:w="2150" w:type="pct"/>
            <w:vAlign w:val="center"/>
          </w:tcPr>
          <w:p w14:paraId="7BB29B52">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符合性分析</w:t>
            </w:r>
          </w:p>
        </w:tc>
        <w:tc>
          <w:tcPr>
            <w:tcW w:w="504" w:type="pct"/>
            <w:vAlign w:val="center"/>
          </w:tcPr>
          <w:p w14:paraId="0DFD903A">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w:t>
            </w:r>
          </w:p>
        </w:tc>
      </w:tr>
      <w:tr w14:paraId="4A2C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Align w:val="center"/>
          </w:tcPr>
          <w:p w14:paraId="413E8CD6">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1</w:t>
            </w:r>
          </w:p>
        </w:tc>
        <w:tc>
          <w:tcPr>
            <w:tcW w:w="1967" w:type="pct"/>
            <w:vAlign w:val="center"/>
          </w:tcPr>
          <w:p w14:paraId="17ADD49F">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新建、改建、扩建直接或者间接向水体排放污染物的建设项目和其他水上设施，应当依法进行环境影响评价，并符合国家、省、市（地）有关生态保护红线、环境质量底线、资源利用上线和生态环境准入清单的要求。</w:t>
            </w:r>
          </w:p>
        </w:tc>
        <w:tc>
          <w:tcPr>
            <w:tcW w:w="2150" w:type="pct"/>
            <w:vAlign w:val="center"/>
          </w:tcPr>
          <w:p w14:paraId="02C29A4D">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本项目生产废水均处理达标后回注油层，废水均不外排，同时根据三线一单分析，本项目</w:t>
            </w:r>
            <w:r>
              <w:rPr>
                <w:rFonts w:hint="eastAsia" w:ascii="Times New Roman" w:hAnsi="Times New Roman" w:cs="Times New Roman"/>
                <w:iCs/>
                <w:color w:val="auto"/>
                <w:w w:val="99"/>
                <w:kern w:val="28"/>
                <w:sz w:val="21"/>
                <w:szCs w:val="21"/>
                <w:highlight w:val="none"/>
              </w:rPr>
              <w:t>符合生态保护红线、环境质量底线、资源利用上线和生态环境准入清单的要求。</w:t>
            </w:r>
          </w:p>
        </w:tc>
        <w:tc>
          <w:tcPr>
            <w:tcW w:w="504" w:type="pct"/>
            <w:vAlign w:val="center"/>
          </w:tcPr>
          <w:p w14:paraId="7EA63AD6">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692F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Align w:val="center"/>
          </w:tcPr>
          <w:p w14:paraId="16F3ABA1">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2</w:t>
            </w:r>
          </w:p>
        </w:tc>
        <w:tc>
          <w:tcPr>
            <w:tcW w:w="1967" w:type="pct"/>
            <w:vAlign w:val="center"/>
          </w:tcPr>
          <w:p w14:paraId="1D0BF7D6">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依照法律规定实行排污许可管理的企业事业单位和其他生产经营者，应当依照《排污许可管理条例》规定申请取得排污许可证，按照排污许可证要求排放污染物；未取得排污许可证的，不得排放污染物。</w:t>
            </w:r>
          </w:p>
        </w:tc>
        <w:tc>
          <w:tcPr>
            <w:tcW w:w="2150" w:type="pct"/>
            <w:vAlign w:val="center"/>
          </w:tcPr>
          <w:p w14:paraId="6F2F96FE">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hint="eastAsia" w:ascii="Times New Roman" w:hAnsi="Times New Roman" w:cs="Times New Roman"/>
                <w:bCs/>
                <w:iCs/>
                <w:color w:val="auto"/>
                <w:w w:val="99"/>
                <w:kern w:val="28"/>
                <w:sz w:val="21"/>
                <w:szCs w:val="21"/>
                <w:highlight w:val="none"/>
              </w:rPr>
              <w:t>大庆油田有限责任公司采气分公司已办理固定污染源排污许可证登记，登记编号：</w:t>
            </w:r>
            <w:r>
              <w:rPr>
                <w:rFonts w:hint="eastAsia" w:ascii="Times New Roman" w:hAnsi="Times New Roman" w:cs="Times New Roman"/>
                <w:bCs/>
                <w:iCs/>
                <w:color w:val="auto"/>
                <w:w w:val="99"/>
                <w:kern w:val="28"/>
                <w:sz w:val="21"/>
                <w:szCs w:val="21"/>
                <w:highlight w:val="none"/>
                <w:lang w:val="en-US" w:eastAsia="zh-CN"/>
              </w:rPr>
              <w:t>91230607716675409L007W</w:t>
            </w:r>
            <w:r>
              <w:rPr>
                <w:rFonts w:hint="eastAsia" w:ascii="Times New Roman" w:hAnsi="Times New Roman" w:cs="Times New Roman"/>
                <w:bCs/>
                <w:iCs/>
                <w:color w:val="auto"/>
                <w:w w:val="99"/>
                <w:kern w:val="28"/>
                <w:sz w:val="21"/>
                <w:szCs w:val="21"/>
                <w:highlight w:val="none"/>
              </w:rPr>
              <w:t>。有效日期为 202</w:t>
            </w:r>
            <w:r>
              <w:rPr>
                <w:rFonts w:hint="eastAsia" w:ascii="Times New Roman" w:hAnsi="Times New Roman" w:cs="Times New Roman"/>
                <w:bCs/>
                <w:iCs/>
                <w:color w:val="auto"/>
                <w:w w:val="99"/>
                <w:kern w:val="28"/>
                <w:sz w:val="21"/>
                <w:szCs w:val="21"/>
                <w:highlight w:val="none"/>
                <w:lang w:val="en-US" w:eastAsia="zh-CN"/>
              </w:rPr>
              <w:t>4</w:t>
            </w:r>
            <w:r>
              <w:rPr>
                <w:rFonts w:hint="eastAsia" w:ascii="Times New Roman" w:hAnsi="Times New Roman" w:cs="Times New Roman"/>
                <w:bCs/>
                <w:iCs/>
                <w:color w:val="auto"/>
                <w:w w:val="99"/>
                <w:kern w:val="28"/>
                <w:sz w:val="21"/>
                <w:szCs w:val="21"/>
                <w:highlight w:val="none"/>
              </w:rPr>
              <w:t>年</w:t>
            </w:r>
            <w:r>
              <w:rPr>
                <w:rFonts w:hint="eastAsia" w:ascii="Times New Roman" w:hAnsi="Times New Roman" w:cs="Times New Roman"/>
                <w:bCs/>
                <w:iCs/>
                <w:color w:val="auto"/>
                <w:w w:val="99"/>
                <w:kern w:val="28"/>
                <w:sz w:val="21"/>
                <w:szCs w:val="21"/>
                <w:highlight w:val="none"/>
                <w:lang w:val="en-US" w:eastAsia="zh-CN"/>
              </w:rPr>
              <w:t>10</w:t>
            </w:r>
            <w:r>
              <w:rPr>
                <w:rFonts w:hint="eastAsia" w:ascii="Times New Roman" w:hAnsi="Times New Roman" w:cs="Times New Roman"/>
                <w:bCs/>
                <w:iCs/>
                <w:color w:val="auto"/>
                <w:w w:val="99"/>
                <w:kern w:val="28"/>
                <w:sz w:val="21"/>
                <w:szCs w:val="21"/>
                <w:highlight w:val="none"/>
              </w:rPr>
              <w:t>月</w:t>
            </w:r>
            <w:r>
              <w:rPr>
                <w:rFonts w:hint="eastAsia" w:ascii="Times New Roman" w:hAnsi="Times New Roman" w:cs="Times New Roman"/>
                <w:bCs/>
                <w:iCs/>
                <w:color w:val="auto"/>
                <w:w w:val="99"/>
                <w:kern w:val="28"/>
                <w:sz w:val="21"/>
                <w:szCs w:val="21"/>
                <w:highlight w:val="none"/>
                <w:lang w:val="en-US" w:eastAsia="zh-CN"/>
              </w:rPr>
              <w:t>24</w:t>
            </w:r>
            <w:r>
              <w:rPr>
                <w:rFonts w:hint="eastAsia" w:ascii="Times New Roman" w:hAnsi="Times New Roman" w:cs="Times New Roman"/>
                <w:bCs/>
                <w:iCs/>
                <w:color w:val="auto"/>
                <w:w w:val="99"/>
                <w:kern w:val="28"/>
                <w:sz w:val="21"/>
                <w:szCs w:val="21"/>
                <w:highlight w:val="none"/>
              </w:rPr>
              <w:t>日至 202</w:t>
            </w:r>
            <w:r>
              <w:rPr>
                <w:rFonts w:hint="eastAsia" w:ascii="Times New Roman" w:hAnsi="Times New Roman" w:cs="Times New Roman"/>
                <w:bCs/>
                <w:iCs/>
                <w:color w:val="auto"/>
                <w:w w:val="99"/>
                <w:kern w:val="28"/>
                <w:sz w:val="21"/>
                <w:szCs w:val="21"/>
                <w:highlight w:val="none"/>
                <w:lang w:val="en-US" w:eastAsia="zh-CN"/>
              </w:rPr>
              <w:t>9</w:t>
            </w:r>
            <w:r>
              <w:rPr>
                <w:rFonts w:hint="eastAsia" w:ascii="Times New Roman" w:hAnsi="Times New Roman" w:cs="Times New Roman"/>
                <w:bCs/>
                <w:iCs/>
                <w:color w:val="auto"/>
                <w:w w:val="99"/>
                <w:kern w:val="28"/>
                <w:sz w:val="21"/>
                <w:szCs w:val="21"/>
                <w:highlight w:val="none"/>
              </w:rPr>
              <w:t xml:space="preserve"> 年</w:t>
            </w:r>
            <w:r>
              <w:rPr>
                <w:rFonts w:hint="eastAsia" w:ascii="Times New Roman" w:hAnsi="Times New Roman" w:cs="Times New Roman"/>
                <w:bCs/>
                <w:iCs/>
                <w:color w:val="auto"/>
                <w:w w:val="99"/>
                <w:kern w:val="28"/>
                <w:sz w:val="21"/>
                <w:szCs w:val="21"/>
                <w:highlight w:val="none"/>
                <w:lang w:val="en-US" w:eastAsia="zh-CN"/>
              </w:rPr>
              <w:t>10</w:t>
            </w:r>
            <w:r>
              <w:rPr>
                <w:rFonts w:hint="eastAsia" w:ascii="Times New Roman" w:hAnsi="Times New Roman" w:cs="Times New Roman"/>
                <w:bCs/>
                <w:iCs/>
                <w:color w:val="auto"/>
                <w:w w:val="99"/>
                <w:kern w:val="28"/>
                <w:sz w:val="21"/>
                <w:szCs w:val="21"/>
                <w:highlight w:val="none"/>
              </w:rPr>
              <w:t>月</w:t>
            </w:r>
            <w:r>
              <w:rPr>
                <w:rFonts w:hint="eastAsia" w:ascii="Times New Roman" w:hAnsi="Times New Roman" w:cs="Times New Roman"/>
                <w:bCs/>
                <w:iCs/>
                <w:color w:val="auto"/>
                <w:w w:val="99"/>
                <w:kern w:val="28"/>
                <w:sz w:val="21"/>
                <w:szCs w:val="21"/>
                <w:highlight w:val="none"/>
                <w:lang w:val="en-US" w:eastAsia="zh-CN"/>
              </w:rPr>
              <w:t>23</w:t>
            </w:r>
            <w:r>
              <w:rPr>
                <w:rFonts w:hint="eastAsia" w:ascii="Times New Roman" w:hAnsi="Times New Roman" w:cs="Times New Roman"/>
                <w:bCs/>
                <w:iCs/>
                <w:color w:val="auto"/>
                <w:w w:val="99"/>
                <w:kern w:val="28"/>
                <w:sz w:val="21"/>
                <w:szCs w:val="21"/>
                <w:highlight w:val="none"/>
              </w:rPr>
              <w:t>日，申报的排污许可内容主要包括各场站内加热炉、锅炉等。本项目依托的徐深</w:t>
            </w:r>
            <w:r>
              <w:rPr>
                <w:rFonts w:hint="eastAsia" w:ascii="Times New Roman" w:hAnsi="Times New Roman" w:cs="Times New Roman"/>
                <w:bCs/>
                <w:iCs/>
                <w:color w:val="auto"/>
                <w:w w:val="99"/>
                <w:kern w:val="28"/>
                <w:sz w:val="21"/>
                <w:szCs w:val="21"/>
                <w:highlight w:val="none"/>
                <w:lang w:val="en-US" w:eastAsia="zh-CN"/>
              </w:rPr>
              <w:t>27</w:t>
            </w:r>
            <w:r>
              <w:rPr>
                <w:rFonts w:hint="eastAsia" w:ascii="Times New Roman" w:hAnsi="Times New Roman" w:cs="Times New Roman"/>
                <w:bCs/>
                <w:iCs/>
                <w:color w:val="auto"/>
                <w:w w:val="99"/>
                <w:kern w:val="28"/>
                <w:sz w:val="21"/>
                <w:szCs w:val="21"/>
                <w:highlight w:val="none"/>
              </w:rPr>
              <w:t>集气站已经纳入排污许可管理。</w:t>
            </w:r>
          </w:p>
        </w:tc>
        <w:tc>
          <w:tcPr>
            <w:tcW w:w="504" w:type="pct"/>
            <w:vAlign w:val="center"/>
          </w:tcPr>
          <w:p w14:paraId="0FC08EB4">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68D0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Align w:val="center"/>
          </w:tcPr>
          <w:p w14:paraId="57137A13">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3</w:t>
            </w:r>
          </w:p>
        </w:tc>
        <w:tc>
          <w:tcPr>
            <w:tcW w:w="1967" w:type="pct"/>
            <w:shd w:val="clear" w:color="auto" w:fill="auto"/>
            <w:vAlign w:val="center"/>
          </w:tcPr>
          <w:p w14:paraId="213F1860">
            <w:pPr>
              <w:widowControl w:val="0"/>
              <w:adjustRightInd w:val="0"/>
              <w:snapToGrid w:val="0"/>
              <w:spacing w:line="360" w:lineRule="exact"/>
              <w:jc w:val="left"/>
              <w:rPr>
                <w:rFonts w:ascii="Times New Roman" w:hAnsi="Times New Roman" w:eastAsia="宋体" w:cs="Times New Roman"/>
                <w:iCs/>
                <w:color w:val="auto"/>
                <w:w w:val="99"/>
                <w:kern w:val="28"/>
                <w:sz w:val="21"/>
                <w:szCs w:val="21"/>
                <w:highlight w:val="none"/>
                <w:lang w:val="en-US" w:eastAsia="zh-CN" w:bidi="ar-SA"/>
              </w:rPr>
            </w:pPr>
            <w:r>
              <w:rPr>
                <w:rFonts w:hint="eastAsia" w:ascii="Times New Roman" w:hAnsi="Times New Roman" w:cs="Times New Roman"/>
                <w:iCs/>
                <w:color w:val="auto"/>
                <w:w w:val="99"/>
                <w:kern w:val="28"/>
                <w:sz w:val="21"/>
                <w:szCs w:val="21"/>
                <w:highlight w:val="none"/>
              </w:rPr>
              <w:t>排放工业废水的企业应当采取有效措施，收集和处理产生的全部废水，防止污染环境。含有毒有害水污染物的工业废水应当分类收集和处理，不得稀释排放。</w:t>
            </w:r>
          </w:p>
        </w:tc>
        <w:tc>
          <w:tcPr>
            <w:tcW w:w="2150" w:type="pct"/>
            <w:shd w:val="clear" w:color="auto" w:fill="auto"/>
            <w:vAlign w:val="center"/>
          </w:tcPr>
          <w:p w14:paraId="0C96DCD1">
            <w:pPr>
              <w:widowControl w:val="0"/>
              <w:adjustRightInd w:val="0"/>
              <w:snapToGrid w:val="0"/>
              <w:spacing w:line="360" w:lineRule="exact"/>
              <w:jc w:val="left"/>
              <w:rPr>
                <w:rFonts w:ascii="Times New Roman" w:hAnsi="Times New Roman" w:eastAsia="宋体" w:cs="Times New Roman"/>
                <w:iCs/>
                <w:color w:val="auto"/>
                <w:w w:val="99"/>
                <w:kern w:val="28"/>
                <w:sz w:val="21"/>
                <w:szCs w:val="21"/>
                <w:highlight w:val="none"/>
                <w:lang w:val="en-US" w:eastAsia="zh-CN" w:bidi="ar-SA"/>
              </w:rPr>
            </w:pPr>
            <w:r>
              <w:rPr>
                <w:rFonts w:ascii="Times New Roman" w:hAnsi="Times New Roman" w:cs="Times New Roman"/>
                <w:iCs/>
                <w:color w:val="auto"/>
                <w:w w:val="99"/>
                <w:kern w:val="28"/>
                <w:sz w:val="21"/>
                <w:szCs w:val="21"/>
                <w:highlight w:val="none"/>
              </w:rPr>
              <w:t>本项目生产废水均处理达标后回注油层，废水均不外排。</w:t>
            </w:r>
          </w:p>
        </w:tc>
        <w:tc>
          <w:tcPr>
            <w:tcW w:w="504" w:type="pct"/>
            <w:shd w:val="clear" w:color="auto" w:fill="auto"/>
            <w:vAlign w:val="center"/>
          </w:tcPr>
          <w:p w14:paraId="12A1EB69">
            <w:pPr>
              <w:widowControl w:val="0"/>
              <w:adjustRightInd w:val="0"/>
              <w:snapToGrid w:val="0"/>
              <w:spacing w:line="360" w:lineRule="exact"/>
              <w:jc w:val="center"/>
              <w:rPr>
                <w:rFonts w:ascii="Times New Roman" w:hAnsi="Times New Roman" w:eastAsia="宋体" w:cs="Times New Roman"/>
                <w:iCs/>
                <w:color w:val="auto"/>
                <w:w w:val="99"/>
                <w:kern w:val="28"/>
                <w:sz w:val="21"/>
                <w:szCs w:val="21"/>
                <w:highlight w:val="none"/>
                <w:lang w:val="en-US" w:eastAsia="zh-CN" w:bidi="ar-SA"/>
              </w:rPr>
            </w:pPr>
            <w:r>
              <w:rPr>
                <w:rFonts w:ascii="Times New Roman" w:hAnsi="Times New Roman" w:cs="Times New Roman"/>
                <w:iCs/>
                <w:color w:val="auto"/>
                <w:w w:val="99"/>
                <w:kern w:val="28"/>
                <w:sz w:val="21"/>
                <w:szCs w:val="21"/>
                <w:highlight w:val="none"/>
              </w:rPr>
              <w:t>符合</w:t>
            </w:r>
          </w:p>
        </w:tc>
      </w:tr>
      <w:tr w14:paraId="19D1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Align w:val="center"/>
          </w:tcPr>
          <w:p w14:paraId="2F0C0A7E">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4</w:t>
            </w:r>
          </w:p>
        </w:tc>
        <w:tc>
          <w:tcPr>
            <w:tcW w:w="1967" w:type="pct"/>
            <w:shd w:val="clear" w:color="auto" w:fill="auto"/>
            <w:vAlign w:val="center"/>
          </w:tcPr>
          <w:p w14:paraId="7BFB5A63">
            <w:pPr>
              <w:widowControl w:val="0"/>
              <w:adjustRightInd w:val="0"/>
              <w:snapToGrid w:val="0"/>
              <w:spacing w:line="360" w:lineRule="exact"/>
              <w:jc w:val="left"/>
              <w:rPr>
                <w:rFonts w:ascii="Times New Roman" w:hAnsi="Times New Roman" w:eastAsia="宋体" w:cs="Times New Roman"/>
                <w:iCs/>
                <w:color w:val="auto"/>
                <w:w w:val="99"/>
                <w:kern w:val="28"/>
                <w:sz w:val="21"/>
                <w:szCs w:val="21"/>
                <w:highlight w:val="none"/>
                <w:lang w:val="en-US" w:eastAsia="zh-CN" w:bidi="ar-SA"/>
              </w:rPr>
            </w:pPr>
            <w:r>
              <w:rPr>
                <w:rFonts w:hint="eastAsia" w:ascii="Times New Roman" w:hAnsi="Times New Roman" w:cs="Times New Roman"/>
                <w:iCs/>
                <w:color w:val="auto"/>
                <w:w w:val="99"/>
                <w:kern w:val="28"/>
                <w:sz w:val="21"/>
                <w:szCs w:val="21"/>
                <w:highlight w:val="none"/>
              </w:rPr>
              <w:t>禁止在饮用水水源一级保护区内新建、改建、扩建与供水设施和保护水源无关的建设项目；已建成的与供水设施和保护水源无关的建设项目，依照法律规定处理。</w:t>
            </w:r>
          </w:p>
        </w:tc>
        <w:tc>
          <w:tcPr>
            <w:tcW w:w="2150" w:type="pct"/>
            <w:shd w:val="clear" w:color="auto" w:fill="auto"/>
            <w:vAlign w:val="center"/>
          </w:tcPr>
          <w:p w14:paraId="74C78744">
            <w:pPr>
              <w:widowControl w:val="0"/>
              <w:adjustRightInd w:val="0"/>
              <w:snapToGrid w:val="0"/>
              <w:spacing w:line="360" w:lineRule="exact"/>
              <w:jc w:val="left"/>
              <w:rPr>
                <w:rFonts w:ascii="Times New Roman" w:hAnsi="Times New Roman" w:eastAsia="宋体" w:cs="Times New Roman"/>
                <w:iCs/>
                <w:color w:val="auto"/>
                <w:w w:val="99"/>
                <w:kern w:val="28"/>
                <w:sz w:val="21"/>
                <w:szCs w:val="21"/>
                <w:highlight w:val="none"/>
                <w:lang w:val="en-US" w:eastAsia="zh-CN" w:bidi="ar-SA"/>
              </w:rPr>
            </w:pPr>
            <w:r>
              <w:rPr>
                <w:rFonts w:ascii="Times New Roman" w:hAnsi="Times New Roman" w:cs="Times New Roman"/>
                <w:iCs/>
                <w:color w:val="auto"/>
                <w:w w:val="99"/>
                <w:kern w:val="28"/>
                <w:sz w:val="21"/>
                <w:szCs w:val="21"/>
                <w:highlight w:val="none"/>
              </w:rPr>
              <w:t>本项目的建设均不在</w:t>
            </w:r>
            <w:r>
              <w:rPr>
                <w:rFonts w:hint="eastAsia" w:ascii="Times New Roman" w:hAnsi="Times New Roman" w:cs="Times New Roman"/>
                <w:iCs/>
                <w:color w:val="auto"/>
                <w:w w:val="99"/>
                <w:kern w:val="28"/>
                <w:sz w:val="21"/>
                <w:szCs w:val="21"/>
                <w:highlight w:val="none"/>
              </w:rPr>
              <w:t>饮用水水源一级保护区、二级保护区。</w:t>
            </w:r>
          </w:p>
        </w:tc>
        <w:tc>
          <w:tcPr>
            <w:tcW w:w="504" w:type="pct"/>
            <w:shd w:val="clear" w:color="auto" w:fill="auto"/>
            <w:vAlign w:val="center"/>
          </w:tcPr>
          <w:p w14:paraId="259D2CEC">
            <w:pPr>
              <w:widowControl w:val="0"/>
              <w:adjustRightInd w:val="0"/>
              <w:snapToGrid w:val="0"/>
              <w:spacing w:line="360" w:lineRule="exact"/>
              <w:jc w:val="center"/>
              <w:rPr>
                <w:rFonts w:ascii="Times New Roman" w:hAnsi="Times New Roman" w:eastAsia="宋体" w:cs="Times New Roman"/>
                <w:iCs/>
                <w:color w:val="auto"/>
                <w:w w:val="99"/>
                <w:kern w:val="28"/>
                <w:sz w:val="21"/>
                <w:szCs w:val="21"/>
                <w:highlight w:val="none"/>
                <w:lang w:val="en-US" w:eastAsia="zh-CN" w:bidi="ar-SA"/>
              </w:rPr>
            </w:pPr>
            <w:r>
              <w:rPr>
                <w:rFonts w:ascii="Times New Roman" w:hAnsi="Times New Roman" w:cs="Times New Roman"/>
                <w:iCs/>
                <w:color w:val="auto"/>
                <w:w w:val="99"/>
                <w:kern w:val="28"/>
                <w:sz w:val="21"/>
                <w:szCs w:val="21"/>
                <w:highlight w:val="none"/>
              </w:rPr>
              <w:t>符合</w:t>
            </w:r>
          </w:p>
        </w:tc>
      </w:tr>
      <w:tr w14:paraId="3892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Align w:val="center"/>
          </w:tcPr>
          <w:p w14:paraId="069B03C6">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5</w:t>
            </w:r>
          </w:p>
        </w:tc>
        <w:tc>
          <w:tcPr>
            <w:tcW w:w="1967" w:type="pct"/>
            <w:shd w:val="clear" w:color="auto" w:fill="auto"/>
            <w:vAlign w:val="center"/>
          </w:tcPr>
          <w:p w14:paraId="03EC6879">
            <w:pPr>
              <w:widowControl w:val="0"/>
              <w:adjustRightInd w:val="0"/>
              <w:snapToGrid w:val="0"/>
              <w:spacing w:line="360" w:lineRule="exact"/>
              <w:jc w:val="left"/>
              <w:rPr>
                <w:rFonts w:ascii="Times New Roman" w:hAnsi="Times New Roman" w:eastAsia="宋体" w:cs="Times New Roman"/>
                <w:iCs/>
                <w:color w:val="auto"/>
                <w:w w:val="99"/>
                <w:kern w:val="28"/>
                <w:sz w:val="21"/>
                <w:szCs w:val="21"/>
                <w:highlight w:val="none"/>
                <w:lang w:val="en-US" w:eastAsia="zh-CN" w:bidi="ar-SA"/>
              </w:rPr>
            </w:pPr>
            <w:r>
              <w:rPr>
                <w:rFonts w:hint="eastAsia" w:ascii="Times New Roman" w:hAnsi="Times New Roman" w:cs="Times New Roman"/>
                <w:iCs/>
                <w:color w:val="auto"/>
                <w:w w:val="99"/>
                <w:kern w:val="28"/>
                <w:sz w:val="21"/>
                <w:szCs w:val="21"/>
                <w:highlight w:val="none"/>
              </w:rPr>
              <w:t>禁止在饮用水水源二级保护区内新建、改建、扩建排放污染物的建设项目；已建成的排放污染物的建设项目，依照法律规定处理。</w:t>
            </w:r>
          </w:p>
        </w:tc>
        <w:tc>
          <w:tcPr>
            <w:tcW w:w="2150" w:type="pct"/>
            <w:vMerge w:val="restart"/>
            <w:vAlign w:val="center"/>
          </w:tcPr>
          <w:p w14:paraId="1F709D83">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lang w:eastAsia="zh-CN"/>
              </w:rPr>
              <w:t xml:space="preserve">大庆油田有限责任公司采气分公司 </w:t>
            </w:r>
            <w:r>
              <w:rPr>
                <w:rFonts w:ascii="Times New Roman" w:hAnsi="Times New Roman" w:cs="Times New Roman"/>
                <w:iCs/>
                <w:color w:val="auto"/>
                <w:w w:val="99"/>
                <w:kern w:val="28"/>
                <w:sz w:val="21"/>
                <w:szCs w:val="21"/>
                <w:highlight w:val="none"/>
              </w:rPr>
              <w:t>现有</w:t>
            </w:r>
            <w:r>
              <w:rPr>
                <w:rFonts w:ascii="Times New Roman" w:hAnsi="Times New Roman" w:cs="Times New Roman"/>
                <w:bCs/>
                <w:iCs/>
                <w:color w:val="auto"/>
                <w:w w:val="99"/>
                <w:kern w:val="28"/>
                <w:sz w:val="21"/>
                <w:szCs w:val="21"/>
                <w:highlight w:val="none"/>
              </w:rPr>
              <w:t>《环境突发事件专项应急预案》</w:t>
            </w:r>
            <w:r>
              <w:rPr>
                <w:rFonts w:ascii="Times New Roman" w:hAnsi="Times New Roman" w:cs="Times New Roman"/>
                <w:iCs/>
                <w:color w:val="auto"/>
                <w:w w:val="99"/>
                <w:kern w:val="28"/>
                <w:sz w:val="21"/>
                <w:szCs w:val="21"/>
                <w:highlight w:val="none"/>
              </w:rPr>
              <w:t>主要包括应急组织机构及职责明确、监测与预警、应急处置与应急响应、恢复与重建、应急保障与培训、督查与奖惩等内容。</w:t>
            </w:r>
            <w:r>
              <w:rPr>
                <w:rFonts w:hint="eastAsia" w:ascii="Times New Roman" w:hAnsi="Times New Roman" w:cs="Times New Roman"/>
                <w:iCs/>
                <w:color w:val="auto"/>
                <w:w w:val="99"/>
                <w:kern w:val="28"/>
                <w:sz w:val="21"/>
                <w:szCs w:val="21"/>
                <w:highlight w:val="none"/>
              </w:rPr>
              <w:t>并于</w:t>
            </w:r>
            <w:r>
              <w:rPr>
                <w:rFonts w:ascii="Times New Roman" w:hAnsi="Times New Roman" w:cs="Times New Roman"/>
                <w:iCs/>
                <w:color w:val="auto"/>
                <w:w w:val="99"/>
                <w:kern w:val="28"/>
                <w:sz w:val="21"/>
                <w:szCs w:val="21"/>
                <w:highlight w:val="none"/>
              </w:rPr>
              <w:t>202</w:t>
            </w:r>
            <w:r>
              <w:rPr>
                <w:rFonts w:hint="eastAsia" w:ascii="Times New Roman" w:hAnsi="Times New Roman" w:cs="Times New Roman"/>
                <w:iCs/>
                <w:color w:val="auto"/>
                <w:w w:val="99"/>
                <w:kern w:val="28"/>
                <w:sz w:val="21"/>
                <w:szCs w:val="21"/>
                <w:highlight w:val="none"/>
                <w:lang w:val="en-US" w:eastAsia="zh-CN"/>
              </w:rPr>
              <w:t>4</w:t>
            </w:r>
            <w:r>
              <w:rPr>
                <w:rFonts w:ascii="Times New Roman" w:hAnsi="Times New Roman" w:cs="Times New Roman"/>
                <w:iCs/>
                <w:color w:val="auto"/>
                <w:w w:val="99"/>
                <w:kern w:val="28"/>
                <w:sz w:val="21"/>
                <w:szCs w:val="21"/>
                <w:highlight w:val="none"/>
              </w:rPr>
              <w:t>年</w:t>
            </w:r>
            <w:r>
              <w:rPr>
                <w:rFonts w:hint="eastAsia" w:ascii="Times New Roman" w:hAnsi="Times New Roman" w:cs="Times New Roman"/>
                <w:iCs/>
                <w:color w:val="auto"/>
                <w:w w:val="99"/>
                <w:kern w:val="28"/>
                <w:sz w:val="21"/>
                <w:szCs w:val="21"/>
                <w:highlight w:val="none"/>
                <w:lang w:val="en-US" w:eastAsia="zh-CN"/>
              </w:rPr>
              <w:t>10</w:t>
            </w:r>
            <w:r>
              <w:rPr>
                <w:rFonts w:ascii="Times New Roman" w:hAnsi="Times New Roman" w:cs="Times New Roman"/>
                <w:iCs/>
                <w:color w:val="auto"/>
                <w:w w:val="99"/>
                <w:kern w:val="28"/>
                <w:sz w:val="21"/>
                <w:szCs w:val="21"/>
                <w:highlight w:val="none"/>
              </w:rPr>
              <w:t>月</w:t>
            </w:r>
            <w:r>
              <w:rPr>
                <w:rFonts w:hint="eastAsia" w:ascii="Times New Roman" w:hAnsi="Times New Roman" w:cs="Times New Roman"/>
                <w:iCs/>
                <w:color w:val="auto"/>
                <w:w w:val="99"/>
                <w:kern w:val="28"/>
                <w:sz w:val="21"/>
                <w:szCs w:val="21"/>
                <w:highlight w:val="none"/>
                <w:lang w:val="en-US" w:eastAsia="zh-CN"/>
              </w:rPr>
              <w:t>23</w:t>
            </w:r>
            <w:r>
              <w:rPr>
                <w:rFonts w:ascii="Times New Roman" w:hAnsi="Times New Roman" w:cs="Times New Roman"/>
                <w:iCs/>
                <w:color w:val="auto"/>
                <w:w w:val="99"/>
                <w:kern w:val="28"/>
                <w:sz w:val="21"/>
                <w:szCs w:val="21"/>
                <w:highlight w:val="none"/>
              </w:rPr>
              <w:t>日在</w:t>
            </w:r>
            <w:r>
              <w:rPr>
                <w:rFonts w:ascii="Times New Roman" w:hAnsi="Times New Roman" w:cs="Times New Roman"/>
                <w:bCs/>
                <w:iCs/>
                <w:color w:val="auto"/>
                <w:w w:val="99"/>
                <w:kern w:val="28"/>
                <w:sz w:val="21"/>
                <w:szCs w:val="21"/>
                <w:highlight w:val="none"/>
              </w:rPr>
              <w:t>大庆市</w:t>
            </w:r>
            <w:r>
              <w:rPr>
                <w:rFonts w:hint="eastAsia" w:ascii="Times New Roman" w:hAnsi="Times New Roman" w:cs="Times New Roman"/>
                <w:bCs/>
                <w:iCs/>
                <w:color w:val="auto"/>
                <w:w w:val="99"/>
                <w:kern w:val="28"/>
                <w:sz w:val="21"/>
                <w:szCs w:val="21"/>
                <w:highlight w:val="none"/>
                <w:lang w:val="en-US" w:eastAsia="zh-CN"/>
              </w:rPr>
              <w:t>让胡路</w:t>
            </w:r>
            <w:r>
              <w:rPr>
                <w:rFonts w:ascii="Times New Roman" w:hAnsi="Times New Roman" w:cs="Times New Roman"/>
                <w:bCs/>
                <w:iCs/>
                <w:color w:val="auto"/>
                <w:w w:val="99"/>
                <w:kern w:val="28"/>
                <w:sz w:val="21"/>
                <w:szCs w:val="21"/>
                <w:highlight w:val="none"/>
              </w:rPr>
              <w:t>生态环境局</w:t>
            </w:r>
            <w:r>
              <w:rPr>
                <w:rFonts w:ascii="Times New Roman" w:hAnsi="Times New Roman" w:cs="Times New Roman"/>
                <w:iCs/>
                <w:color w:val="auto"/>
                <w:w w:val="99"/>
                <w:kern w:val="28"/>
                <w:sz w:val="21"/>
                <w:szCs w:val="21"/>
                <w:highlight w:val="none"/>
              </w:rPr>
              <w:t>进行了备案，备案编</w:t>
            </w:r>
            <w:r>
              <w:rPr>
                <w:rFonts w:hint="eastAsia" w:ascii="Times New Roman" w:hAnsi="Times New Roman" w:cs="Times New Roman"/>
                <w:iCs/>
                <w:color w:val="auto"/>
                <w:w w:val="99"/>
                <w:kern w:val="28"/>
                <w:sz w:val="21"/>
                <w:szCs w:val="21"/>
                <w:highlight w:val="none"/>
              </w:rPr>
              <w:t>号为</w:t>
            </w:r>
            <w:r>
              <w:rPr>
                <w:rFonts w:ascii="Times New Roman" w:hAnsi="Times New Roman" w:cs="Times New Roman"/>
                <w:iCs/>
                <w:color w:val="auto"/>
                <w:w w:val="99"/>
                <w:kern w:val="28"/>
                <w:sz w:val="21"/>
                <w:szCs w:val="21"/>
                <w:highlight w:val="none"/>
              </w:rPr>
              <w:t xml:space="preserve"> </w:t>
            </w:r>
            <w:r>
              <w:rPr>
                <w:rFonts w:hint="default" w:ascii="Times New Roman" w:hAnsi="Times New Roman" w:eastAsia="宋体" w:cs="Times New Roman"/>
                <w:color w:val="auto"/>
                <w:w w:val="99"/>
                <w:sz w:val="21"/>
                <w:szCs w:val="21"/>
                <w:highlight w:val="none"/>
                <w:lang w:val="en-US" w:eastAsia="zh-CN" w:bidi="ar-SA"/>
              </w:rPr>
              <w:t>230604-2024-47-L</w:t>
            </w:r>
            <w:r>
              <w:rPr>
                <w:rFonts w:ascii="Times New Roman" w:hAnsi="Times New Roman" w:cs="Times New Roman"/>
                <w:iCs/>
                <w:color w:val="auto"/>
                <w:w w:val="99"/>
                <w:kern w:val="28"/>
                <w:sz w:val="21"/>
                <w:szCs w:val="21"/>
                <w:highlight w:val="none"/>
              </w:rPr>
              <w:t>。</w:t>
            </w:r>
          </w:p>
        </w:tc>
        <w:tc>
          <w:tcPr>
            <w:tcW w:w="504" w:type="pct"/>
            <w:vMerge w:val="restart"/>
            <w:vAlign w:val="center"/>
          </w:tcPr>
          <w:p w14:paraId="3E575CDE">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7854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Align w:val="center"/>
          </w:tcPr>
          <w:p w14:paraId="682856F8">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6</w:t>
            </w:r>
          </w:p>
        </w:tc>
        <w:tc>
          <w:tcPr>
            <w:tcW w:w="1967" w:type="pct"/>
            <w:shd w:val="clear" w:color="auto" w:fill="auto"/>
            <w:vAlign w:val="center"/>
          </w:tcPr>
          <w:p w14:paraId="6E9D56AF">
            <w:pPr>
              <w:widowControl w:val="0"/>
              <w:adjustRightInd w:val="0"/>
              <w:snapToGrid w:val="0"/>
              <w:spacing w:line="360" w:lineRule="exact"/>
              <w:jc w:val="left"/>
              <w:rPr>
                <w:rFonts w:ascii="Times New Roman" w:hAnsi="Times New Roman" w:eastAsia="宋体" w:cs="Times New Roman"/>
                <w:iCs/>
                <w:color w:val="auto"/>
                <w:w w:val="99"/>
                <w:kern w:val="28"/>
                <w:sz w:val="21"/>
                <w:szCs w:val="21"/>
                <w:highlight w:val="none"/>
                <w:lang w:val="en-US" w:eastAsia="zh-CN" w:bidi="ar-SA"/>
              </w:rPr>
            </w:pPr>
            <w:r>
              <w:rPr>
                <w:rFonts w:hint="eastAsia" w:ascii="Times New Roman" w:hAnsi="Times New Roman" w:cs="Times New Roman"/>
                <w:iCs/>
                <w:color w:val="auto"/>
                <w:w w:val="99"/>
                <w:kern w:val="28"/>
                <w:sz w:val="21"/>
                <w:szCs w:val="21"/>
                <w:highlight w:val="none"/>
              </w:rPr>
              <w:t>可能发生水污染事故的企业事业单位，应当制定有关水污染事故的应急方案，做好应急物资储备等应急准备，并定期进行演练。</w:t>
            </w:r>
          </w:p>
        </w:tc>
        <w:tc>
          <w:tcPr>
            <w:tcW w:w="2150" w:type="pct"/>
            <w:vMerge w:val="continue"/>
            <w:shd w:val="clear" w:color="auto" w:fill="auto"/>
            <w:vAlign w:val="center"/>
          </w:tcPr>
          <w:p w14:paraId="25137BAD">
            <w:pPr>
              <w:widowControl w:val="0"/>
              <w:adjustRightInd w:val="0"/>
              <w:snapToGrid w:val="0"/>
              <w:spacing w:line="360" w:lineRule="exact"/>
              <w:jc w:val="both"/>
              <w:rPr>
                <w:rFonts w:ascii="Times New Roman" w:hAnsi="Times New Roman" w:eastAsia="宋体" w:cs="Times New Roman"/>
                <w:iCs/>
                <w:color w:val="auto"/>
                <w:w w:val="99"/>
                <w:kern w:val="28"/>
                <w:sz w:val="21"/>
                <w:szCs w:val="21"/>
                <w:highlight w:val="none"/>
                <w:lang w:val="en-US" w:eastAsia="zh-CN" w:bidi="ar-SA"/>
              </w:rPr>
            </w:pPr>
          </w:p>
        </w:tc>
        <w:tc>
          <w:tcPr>
            <w:tcW w:w="504" w:type="pct"/>
            <w:vMerge w:val="continue"/>
            <w:shd w:val="clear" w:color="auto" w:fill="auto"/>
            <w:vAlign w:val="center"/>
          </w:tcPr>
          <w:p w14:paraId="777C5850">
            <w:pPr>
              <w:widowControl w:val="0"/>
              <w:adjustRightInd w:val="0"/>
              <w:snapToGrid w:val="0"/>
              <w:spacing w:line="360" w:lineRule="exact"/>
              <w:jc w:val="center"/>
              <w:rPr>
                <w:rFonts w:ascii="Times New Roman" w:hAnsi="Times New Roman" w:eastAsia="宋体" w:cs="Times New Roman"/>
                <w:iCs/>
                <w:color w:val="auto"/>
                <w:w w:val="99"/>
                <w:kern w:val="28"/>
                <w:sz w:val="21"/>
                <w:szCs w:val="21"/>
                <w:highlight w:val="none"/>
                <w:lang w:val="en-US" w:eastAsia="zh-CN" w:bidi="ar-SA"/>
              </w:rPr>
            </w:pPr>
          </w:p>
        </w:tc>
      </w:tr>
    </w:tbl>
    <w:p w14:paraId="4230085F">
      <w:pPr>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根据以上分析，本项目符合</w:t>
      </w:r>
      <w:r>
        <w:rPr>
          <w:rFonts w:hint="eastAsia" w:ascii="Times New Roman" w:hAnsi="Times New Roman" w:cs="Times New Roman"/>
          <w:iCs/>
          <w:color w:val="auto"/>
          <w:w w:val="99"/>
          <w:kern w:val="2"/>
          <w:highlight w:val="none"/>
        </w:rPr>
        <w:t>《黑龙江省水污染防治条例》</w:t>
      </w:r>
      <w:r>
        <w:rPr>
          <w:rFonts w:ascii="Times New Roman" w:hAnsi="Times New Roman" w:cs="Times New Roman"/>
          <w:iCs/>
          <w:color w:val="auto"/>
          <w:w w:val="99"/>
          <w:kern w:val="2"/>
          <w:highlight w:val="none"/>
        </w:rPr>
        <w:t>（</w:t>
      </w:r>
      <w:r>
        <w:rPr>
          <w:rFonts w:hint="eastAsia" w:ascii="Times New Roman" w:hAnsi="Times New Roman" w:cs="Times New Roman"/>
          <w:iCs/>
          <w:color w:val="auto"/>
          <w:w w:val="99"/>
          <w:kern w:val="2"/>
          <w:highlight w:val="none"/>
        </w:rPr>
        <w:t>黑人常〔</w:t>
      </w:r>
      <w:r>
        <w:rPr>
          <w:rFonts w:ascii="Times New Roman" w:hAnsi="Times New Roman" w:cs="Times New Roman"/>
          <w:iCs/>
          <w:color w:val="auto"/>
          <w:w w:val="99"/>
          <w:kern w:val="2"/>
          <w:highlight w:val="none"/>
        </w:rPr>
        <w:t>2023〕13号）中要求。</w:t>
      </w:r>
    </w:p>
    <w:p w14:paraId="7C015070">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1.4.3.1</w:t>
      </w:r>
      <w:r>
        <w:rPr>
          <w:rFonts w:hint="eastAsia" w:ascii="Times New Roman" w:hAnsi="Times New Roman" w:eastAsiaTheme="minorEastAsia"/>
          <w:b/>
          <w:color w:val="auto"/>
          <w:w w:val="99"/>
          <w:highlight w:val="none"/>
          <w:lang w:val="en-US" w:eastAsia="zh-CN"/>
        </w:rPr>
        <w:t>0</w:t>
      </w:r>
      <w:r>
        <w:rPr>
          <w:rFonts w:ascii="Times New Roman" w:hAnsi="Times New Roman" w:eastAsiaTheme="minorEastAsia"/>
          <w:b/>
          <w:color w:val="auto"/>
          <w:w w:val="99"/>
          <w:highlight w:val="none"/>
        </w:rPr>
        <w:t>与《地下水管理条例》（</w:t>
      </w:r>
      <w:r>
        <w:rPr>
          <w:rFonts w:hint="eastAsia" w:ascii="Times New Roman" w:hAnsi="Times New Roman" w:eastAsiaTheme="minorEastAsia"/>
          <w:b/>
          <w:color w:val="auto"/>
          <w:w w:val="99"/>
          <w:highlight w:val="none"/>
        </w:rPr>
        <w:t>国令第</w:t>
      </w:r>
      <w:r>
        <w:rPr>
          <w:rFonts w:ascii="Times New Roman" w:hAnsi="Times New Roman" w:eastAsiaTheme="minorEastAsia"/>
          <w:b/>
          <w:color w:val="auto"/>
          <w:w w:val="99"/>
          <w:highlight w:val="none"/>
        </w:rPr>
        <w:t>748号）符合性分析</w:t>
      </w:r>
    </w:p>
    <w:p w14:paraId="5977E46D">
      <w:pPr>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本项目与《地下水管理条例》（</w:t>
      </w:r>
      <w:r>
        <w:rPr>
          <w:rFonts w:hint="eastAsia" w:ascii="Times New Roman" w:hAnsi="Times New Roman" w:cs="Times New Roman"/>
          <w:iCs/>
          <w:color w:val="auto"/>
          <w:w w:val="99"/>
          <w:kern w:val="2"/>
          <w:highlight w:val="none"/>
        </w:rPr>
        <w:t>国令第</w:t>
      </w:r>
      <w:r>
        <w:rPr>
          <w:rFonts w:ascii="Times New Roman" w:hAnsi="Times New Roman" w:cs="Times New Roman"/>
          <w:iCs/>
          <w:color w:val="auto"/>
          <w:w w:val="99"/>
          <w:kern w:val="2"/>
          <w:highlight w:val="none"/>
        </w:rPr>
        <w:t>748号）符合性分析见表1.4-</w:t>
      </w:r>
      <w:r>
        <w:rPr>
          <w:rFonts w:hint="eastAsia" w:ascii="Times New Roman" w:hAnsi="Times New Roman" w:cs="Times New Roman"/>
          <w:iCs/>
          <w:color w:val="auto"/>
          <w:w w:val="99"/>
          <w:kern w:val="2"/>
          <w:highlight w:val="none"/>
          <w:lang w:val="en-US" w:eastAsia="zh-CN"/>
        </w:rPr>
        <w:t>10</w:t>
      </w:r>
      <w:r>
        <w:rPr>
          <w:rFonts w:ascii="Times New Roman" w:hAnsi="Times New Roman" w:cs="Times New Roman"/>
          <w:iCs/>
          <w:color w:val="auto"/>
          <w:w w:val="99"/>
          <w:kern w:val="2"/>
          <w:highlight w:val="none"/>
        </w:rPr>
        <w:t>。</w:t>
      </w:r>
    </w:p>
    <w:p w14:paraId="678320A8">
      <w:pPr>
        <w:spacing w:line="440" w:lineRule="exact"/>
        <w:ind w:firstLine="476" w:firstLineChars="200"/>
        <w:jc w:val="both"/>
        <w:rPr>
          <w:rFonts w:ascii="Times New Roman" w:hAnsi="Times New Roman" w:cs="Times New Roman"/>
          <w:iCs/>
          <w:color w:val="auto"/>
          <w:w w:val="99"/>
          <w:kern w:val="2"/>
          <w:highlight w:val="none"/>
        </w:rPr>
      </w:pPr>
      <w:r>
        <w:rPr>
          <w:rFonts w:ascii="Times New Roman" w:hAnsi="Times New Roman" w:cs="Times New Roman"/>
          <w:b/>
          <w:iCs/>
          <w:color w:val="auto"/>
          <w:w w:val="99"/>
          <w:kern w:val="2"/>
          <w:highlight w:val="none"/>
        </w:rPr>
        <w:t>表1.4-1</w:t>
      </w:r>
      <w:r>
        <w:rPr>
          <w:rFonts w:hint="eastAsia" w:ascii="Times New Roman" w:hAnsi="Times New Roman" w:cs="Times New Roman"/>
          <w:b/>
          <w:iCs/>
          <w:color w:val="auto"/>
          <w:w w:val="99"/>
          <w:kern w:val="2"/>
          <w:highlight w:val="none"/>
          <w:lang w:val="en-US" w:eastAsia="zh-CN"/>
        </w:rPr>
        <w:t>0</w:t>
      </w:r>
      <w:r>
        <w:rPr>
          <w:rFonts w:ascii="Times New Roman" w:hAnsi="Times New Roman" w:cs="Times New Roman"/>
          <w:b/>
          <w:iCs/>
          <w:color w:val="auto"/>
          <w:w w:val="99"/>
          <w:kern w:val="2"/>
          <w:highlight w:val="none"/>
        </w:rPr>
        <w:t xml:space="preserve">    本项目与</w:t>
      </w:r>
      <w:r>
        <w:rPr>
          <w:rFonts w:hint="eastAsia" w:ascii="Times New Roman" w:hAnsi="Times New Roman" w:cs="Times New Roman"/>
          <w:b/>
          <w:iCs/>
          <w:color w:val="auto"/>
          <w:w w:val="99"/>
          <w:kern w:val="2"/>
          <w:highlight w:val="none"/>
        </w:rPr>
        <w:t>“国令第</w:t>
      </w:r>
      <w:r>
        <w:rPr>
          <w:rFonts w:ascii="Times New Roman" w:hAnsi="Times New Roman" w:cs="Times New Roman"/>
          <w:b/>
          <w:iCs/>
          <w:color w:val="auto"/>
          <w:w w:val="99"/>
          <w:kern w:val="2"/>
          <w:highlight w:val="none"/>
        </w:rPr>
        <w:t>748号</w:t>
      </w:r>
      <w:r>
        <w:rPr>
          <w:rFonts w:hint="eastAsia" w:ascii="Times New Roman" w:hAnsi="Times New Roman" w:cs="Times New Roman"/>
          <w:b/>
          <w:iCs/>
          <w:color w:val="auto"/>
          <w:w w:val="99"/>
          <w:kern w:val="2"/>
          <w:highlight w:val="none"/>
        </w:rPr>
        <w:t>”</w:t>
      </w:r>
      <w:r>
        <w:rPr>
          <w:rFonts w:ascii="Times New Roman" w:hAnsi="Times New Roman" w:cs="Times New Roman"/>
          <w:b/>
          <w:iCs/>
          <w:color w:val="auto"/>
          <w:w w:val="99"/>
          <w:kern w:val="2"/>
          <w:highlight w:val="none"/>
        </w:rPr>
        <w:t>相关要求符合性一览表</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504"/>
        <w:gridCol w:w="4133"/>
        <w:gridCol w:w="940"/>
      </w:tblGrid>
      <w:tr w14:paraId="7A16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2C88BEEC">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序号</w:t>
            </w:r>
          </w:p>
        </w:tc>
        <w:tc>
          <w:tcPr>
            <w:tcW w:w="1888" w:type="pct"/>
            <w:vAlign w:val="center"/>
          </w:tcPr>
          <w:p w14:paraId="1511412C">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文件要求</w:t>
            </w:r>
          </w:p>
        </w:tc>
        <w:tc>
          <w:tcPr>
            <w:tcW w:w="2227" w:type="pct"/>
            <w:vAlign w:val="center"/>
          </w:tcPr>
          <w:p w14:paraId="51FDFBDE">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符合性分析</w:t>
            </w:r>
          </w:p>
        </w:tc>
        <w:tc>
          <w:tcPr>
            <w:tcW w:w="506" w:type="pct"/>
            <w:vAlign w:val="center"/>
          </w:tcPr>
          <w:p w14:paraId="17B4470C">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w:t>
            </w:r>
          </w:p>
        </w:tc>
      </w:tr>
      <w:tr w14:paraId="03A8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vAlign w:val="center"/>
          </w:tcPr>
          <w:p w14:paraId="45361A6C">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1</w:t>
            </w:r>
          </w:p>
        </w:tc>
        <w:tc>
          <w:tcPr>
            <w:tcW w:w="1888" w:type="pct"/>
            <w:vAlign w:val="center"/>
          </w:tcPr>
          <w:p w14:paraId="47A075AE">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兴建地下工程设施或者进行地下勘探、采矿等活动，依法编制的环境影响评价文件中，应当包括地下水污染防治的内容，并采取防护性措施；</w:t>
            </w:r>
          </w:p>
        </w:tc>
        <w:tc>
          <w:tcPr>
            <w:tcW w:w="2227" w:type="pct"/>
            <w:vMerge w:val="restart"/>
            <w:vAlign w:val="center"/>
          </w:tcPr>
          <w:p w14:paraId="71CF62E2">
            <w:pPr>
              <w:widowControl w:val="0"/>
              <w:adjustRightInd w:val="0"/>
              <w:snapToGrid w:val="0"/>
              <w:spacing w:line="360" w:lineRule="exact"/>
              <w:jc w:val="both"/>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本项目已针对项目特点提出针对性地下水污染防治措施，主要包括采取分区防渗措施，根据可能对地下水造成污染的污染源分布制定重点防渗区、一般防渗区；根据区域潜水流向，本项目在区域</w:t>
            </w:r>
            <w:r>
              <w:rPr>
                <w:rFonts w:hint="eastAsia" w:ascii="Times New Roman" w:hAnsi="Times New Roman" w:cs="Times New Roman"/>
                <w:iCs/>
                <w:color w:val="auto"/>
                <w:w w:val="99"/>
                <w:kern w:val="28"/>
                <w:sz w:val="21"/>
                <w:szCs w:val="21"/>
                <w:highlight w:val="none"/>
                <w:lang w:eastAsia="zh-CN"/>
              </w:rPr>
              <w:t>、</w:t>
            </w:r>
            <w:r>
              <w:rPr>
                <w:rFonts w:ascii="Times New Roman" w:hAnsi="Times New Roman" w:cs="Times New Roman"/>
                <w:iCs/>
                <w:color w:val="auto"/>
                <w:w w:val="99"/>
                <w:kern w:val="28"/>
                <w:sz w:val="21"/>
                <w:szCs w:val="21"/>
                <w:highlight w:val="none"/>
              </w:rPr>
              <w:t>下游设</w:t>
            </w:r>
            <w:r>
              <w:rPr>
                <w:rFonts w:hint="eastAsia" w:ascii="Times New Roman" w:hAnsi="Times New Roman" w:cs="Times New Roman"/>
                <w:iCs/>
                <w:color w:val="auto"/>
                <w:w w:val="99"/>
                <w:kern w:val="28"/>
                <w:sz w:val="21"/>
                <w:szCs w:val="21"/>
                <w:highlight w:val="none"/>
                <w:lang w:val="en-US" w:eastAsia="zh-CN"/>
              </w:rPr>
              <w:t>3</w:t>
            </w:r>
            <w:r>
              <w:rPr>
                <w:rFonts w:ascii="Times New Roman" w:hAnsi="Times New Roman" w:cs="Times New Roman"/>
                <w:iCs/>
                <w:color w:val="auto"/>
                <w:w w:val="99"/>
                <w:kern w:val="28"/>
                <w:sz w:val="21"/>
                <w:szCs w:val="21"/>
                <w:highlight w:val="none"/>
              </w:rPr>
              <w:t>个潜水跟踪监测点，定期对地下水进行跟踪监测。</w:t>
            </w:r>
          </w:p>
        </w:tc>
        <w:tc>
          <w:tcPr>
            <w:tcW w:w="506" w:type="pct"/>
            <w:vMerge w:val="restart"/>
            <w:vAlign w:val="center"/>
          </w:tcPr>
          <w:p w14:paraId="3C116DAA">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14:paraId="6A23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0283BB84">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2</w:t>
            </w:r>
          </w:p>
        </w:tc>
        <w:tc>
          <w:tcPr>
            <w:tcW w:w="1888" w:type="pct"/>
            <w:vAlign w:val="center"/>
          </w:tcPr>
          <w:p w14:paraId="12BD7239">
            <w:pPr>
              <w:widowControl w:val="0"/>
              <w:adjustRightInd w:val="0"/>
              <w:snapToGrid w:val="0"/>
              <w:spacing w:line="360" w:lineRule="exact"/>
              <w:jc w:val="left"/>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化学品生产企业以及工业集聚区、矿山开采区、尾矿库、危险废物处置场、垃圾填埋场等的运营、管理单位，应当采取防渗漏等措施，并建设地下水水质监测井进行监测；</w:t>
            </w:r>
          </w:p>
        </w:tc>
        <w:tc>
          <w:tcPr>
            <w:tcW w:w="2227" w:type="pct"/>
            <w:vMerge w:val="continue"/>
            <w:vAlign w:val="center"/>
          </w:tcPr>
          <w:p w14:paraId="08D3C230">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p>
        </w:tc>
        <w:tc>
          <w:tcPr>
            <w:tcW w:w="506" w:type="pct"/>
            <w:vMerge w:val="continue"/>
            <w:vAlign w:val="center"/>
          </w:tcPr>
          <w:p w14:paraId="3ECD6EE0">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p>
        </w:tc>
      </w:tr>
    </w:tbl>
    <w:p w14:paraId="6752EF4F">
      <w:pPr>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根据以上分析，本项目符合《地下水管理条例》（</w:t>
      </w:r>
      <w:r>
        <w:rPr>
          <w:rFonts w:hint="eastAsia" w:ascii="Times New Roman" w:hAnsi="Times New Roman" w:cs="Times New Roman"/>
          <w:iCs/>
          <w:color w:val="auto"/>
          <w:w w:val="99"/>
          <w:kern w:val="2"/>
          <w:highlight w:val="none"/>
        </w:rPr>
        <w:t>国令第</w:t>
      </w:r>
      <w:r>
        <w:rPr>
          <w:rFonts w:ascii="Times New Roman" w:hAnsi="Times New Roman" w:cs="Times New Roman"/>
          <w:iCs/>
          <w:color w:val="auto"/>
          <w:w w:val="99"/>
          <w:kern w:val="2"/>
          <w:highlight w:val="none"/>
        </w:rPr>
        <w:t>748号）中要求。</w:t>
      </w:r>
    </w:p>
    <w:p w14:paraId="73B3A15B">
      <w:pPr>
        <w:widowControl w:val="0"/>
        <w:autoSpaceDE w:val="0"/>
        <w:autoSpaceDN w:val="0"/>
        <w:spacing w:line="440" w:lineRule="exact"/>
        <w:jc w:val="both"/>
        <w:outlineLvl w:val="3"/>
        <w:rPr>
          <w:rFonts w:ascii="Times New Roman" w:hAnsi="Times New Roman" w:cs="Times New Roman"/>
          <w:b/>
          <w:color w:val="auto"/>
          <w:w w:val="99"/>
          <w:highlight w:val="none"/>
          <w:lang w:val="zh-CN" w:bidi="zh-CN"/>
        </w:rPr>
      </w:pPr>
      <w:r>
        <w:rPr>
          <w:rFonts w:ascii="Times New Roman" w:hAnsi="Times New Roman" w:cs="Times New Roman"/>
          <w:b/>
          <w:color w:val="auto"/>
          <w:w w:val="99"/>
          <w:highlight w:val="none"/>
          <w:lang w:val="zh-CN" w:bidi="zh-CN"/>
        </w:rPr>
        <w:t>1.4.</w:t>
      </w:r>
      <w:r>
        <w:rPr>
          <w:rFonts w:ascii="Times New Roman" w:hAnsi="Times New Roman" w:cs="Times New Roman"/>
          <w:b/>
          <w:color w:val="auto"/>
          <w:w w:val="99"/>
          <w:highlight w:val="none"/>
          <w:lang w:bidi="zh-CN"/>
        </w:rPr>
        <w:t>3</w:t>
      </w:r>
      <w:r>
        <w:rPr>
          <w:rFonts w:ascii="Times New Roman" w:hAnsi="Times New Roman" w:cs="Times New Roman"/>
          <w:b/>
          <w:color w:val="auto"/>
          <w:w w:val="99"/>
          <w:highlight w:val="none"/>
          <w:lang w:val="zh-CN" w:bidi="zh-CN"/>
        </w:rPr>
        <w:t>.</w:t>
      </w:r>
      <w:r>
        <w:rPr>
          <w:rFonts w:ascii="Times New Roman" w:hAnsi="Times New Roman" w:cs="Times New Roman"/>
          <w:b/>
          <w:color w:val="auto"/>
          <w:w w:val="99"/>
          <w:highlight w:val="none"/>
          <w:lang w:bidi="zh-CN"/>
        </w:rPr>
        <w:t>1</w:t>
      </w:r>
      <w:r>
        <w:rPr>
          <w:rFonts w:hint="eastAsia" w:ascii="Times New Roman" w:hAnsi="Times New Roman" w:cs="Times New Roman"/>
          <w:b/>
          <w:color w:val="auto"/>
          <w:w w:val="99"/>
          <w:highlight w:val="none"/>
          <w:lang w:val="en-US" w:bidi="zh-CN"/>
        </w:rPr>
        <w:t>1</w:t>
      </w:r>
      <w:r>
        <w:rPr>
          <w:rFonts w:ascii="Times New Roman" w:hAnsi="Times New Roman" w:cs="Times New Roman"/>
          <w:b/>
          <w:color w:val="auto"/>
          <w:w w:val="99"/>
          <w:highlight w:val="none"/>
          <w:lang w:val="zh-CN" w:bidi="zh-CN"/>
        </w:rPr>
        <w:t>与</w:t>
      </w:r>
      <w:r>
        <w:rPr>
          <w:rFonts w:hint="eastAsia" w:ascii="Times New Roman" w:hAnsi="Times New Roman" w:cs="Times New Roman"/>
          <w:b/>
          <w:color w:val="auto"/>
          <w:w w:val="99"/>
          <w:highlight w:val="none"/>
          <w:lang w:val="zh-CN" w:bidi="zh-CN"/>
        </w:rPr>
        <w:t>《黑龙江省人民政府办公厅关于建设占用耕地耕作层土壤剥离利用工作的指导意见（试行）》（</w:t>
      </w:r>
      <w:r>
        <w:rPr>
          <w:rFonts w:ascii="Times New Roman" w:hAnsi="Times New Roman" w:cs="Times New Roman"/>
          <w:b/>
          <w:color w:val="auto"/>
          <w:w w:val="99"/>
          <w:highlight w:val="none"/>
          <w:lang w:val="zh-CN" w:bidi="zh-CN"/>
        </w:rPr>
        <w:t>黑政办规〔2021〕18号</w:t>
      </w:r>
      <w:r>
        <w:rPr>
          <w:rFonts w:hint="eastAsia" w:ascii="Times New Roman" w:hAnsi="Times New Roman" w:cs="Times New Roman"/>
          <w:b/>
          <w:color w:val="auto"/>
          <w:w w:val="99"/>
          <w:highlight w:val="none"/>
          <w:lang w:val="zh-CN" w:bidi="zh-CN"/>
        </w:rPr>
        <w:t>）</w:t>
      </w:r>
      <w:r>
        <w:rPr>
          <w:rFonts w:ascii="Times New Roman" w:hAnsi="Times New Roman" w:cs="Times New Roman"/>
          <w:b/>
          <w:color w:val="auto"/>
          <w:w w:val="99"/>
          <w:highlight w:val="none"/>
          <w:lang w:val="zh-CN" w:bidi="zh-CN"/>
        </w:rPr>
        <w:t>符合性分析</w:t>
      </w:r>
    </w:p>
    <w:p w14:paraId="4D422355">
      <w:pPr>
        <w:widowControl w:val="0"/>
        <w:autoSpaceDE w:val="0"/>
        <w:autoSpaceDN w:val="0"/>
        <w:spacing w:line="440" w:lineRule="exact"/>
        <w:ind w:firstLine="474" w:firstLineChars="200"/>
        <w:jc w:val="both"/>
        <w:rPr>
          <w:rFonts w:ascii="Times New Roman" w:hAnsi="Times New Roman" w:cs="Times New Roman"/>
          <w:iCs/>
          <w:color w:val="auto"/>
          <w:w w:val="99"/>
          <w:kern w:val="2"/>
          <w:highlight w:val="none"/>
          <w:lang w:val="zh-CN" w:bidi="zh-CN"/>
        </w:rPr>
      </w:pPr>
      <w:r>
        <w:rPr>
          <w:rFonts w:ascii="Times New Roman" w:hAnsi="Times New Roman" w:cs="Times New Roman"/>
          <w:iCs/>
          <w:color w:val="auto"/>
          <w:w w:val="99"/>
          <w:kern w:val="2"/>
          <w:highlight w:val="none"/>
          <w:lang w:val="zh-CN" w:bidi="zh-CN"/>
        </w:rPr>
        <w:t>本项目与《黑龙江省人民政府办公厅关于建设占用耕地耕作层土壤剥离利用工作的指导意见（试行）》（黑政办规〔2021〕18号）符合性分析见表1.4-</w:t>
      </w:r>
      <w:r>
        <w:rPr>
          <w:rFonts w:ascii="Times New Roman" w:hAnsi="Times New Roman" w:cs="Times New Roman"/>
          <w:iCs/>
          <w:color w:val="auto"/>
          <w:w w:val="99"/>
          <w:kern w:val="2"/>
          <w:highlight w:val="none"/>
          <w:lang w:bidi="zh-CN"/>
        </w:rPr>
        <w:t>1</w:t>
      </w:r>
      <w:r>
        <w:rPr>
          <w:rFonts w:hint="eastAsia" w:ascii="Times New Roman" w:hAnsi="Times New Roman" w:cs="Times New Roman"/>
          <w:iCs/>
          <w:color w:val="auto"/>
          <w:w w:val="99"/>
          <w:kern w:val="2"/>
          <w:highlight w:val="none"/>
          <w:lang w:val="en-US" w:bidi="zh-CN"/>
        </w:rPr>
        <w:t>1</w:t>
      </w:r>
      <w:r>
        <w:rPr>
          <w:rFonts w:ascii="Times New Roman" w:hAnsi="Times New Roman" w:cs="Times New Roman"/>
          <w:iCs/>
          <w:color w:val="auto"/>
          <w:w w:val="99"/>
          <w:kern w:val="2"/>
          <w:highlight w:val="none"/>
          <w:lang w:val="zh-CN" w:bidi="zh-CN"/>
        </w:rPr>
        <w:t>。</w:t>
      </w:r>
    </w:p>
    <w:p w14:paraId="7D5256B5">
      <w:pPr>
        <w:widowControl w:val="0"/>
        <w:autoSpaceDE w:val="0"/>
        <w:autoSpaceDN w:val="0"/>
        <w:spacing w:line="440" w:lineRule="exact"/>
        <w:ind w:firstLine="476" w:firstLineChars="200"/>
        <w:jc w:val="both"/>
        <w:rPr>
          <w:rFonts w:ascii="Times New Roman" w:hAnsi="Times New Roman" w:cs="Times New Roman"/>
          <w:iCs/>
          <w:color w:val="auto"/>
          <w:w w:val="99"/>
          <w:kern w:val="2"/>
          <w:highlight w:val="none"/>
          <w:lang w:val="zh-CN" w:bidi="zh-CN"/>
        </w:rPr>
      </w:pPr>
      <w:r>
        <w:rPr>
          <w:rFonts w:ascii="Times New Roman" w:hAnsi="Times New Roman" w:cs="Times New Roman"/>
          <w:b/>
          <w:iCs/>
          <w:color w:val="auto"/>
          <w:w w:val="99"/>
          <w:kern w:val="2"/>
          <w:highlight w:val="none"/>
          <w:lang w:val="zh-CN" w:bidi="zh-CN"/>
        </w:rPr>
        <w:t>表1.4-</w:t>
      </w:r>
      <w:r>
        <w:rPr>
          <w:rFonts w:ascii="Times New Roman" w:hAnsi="Times New Roman" w:cs="Times New Roman"/>
          <w:b/>
          <w:iCs/>
          <w:color w:val="auto"/>
          <w:w w:val="99"/>
          <w:kern w:val="2"/>
          <w:highlight w:val="none"/>
          <w:lang w:bidi="zh-CN"/>
        </w:rPr>
        <w:t>1</w:t>
      </w:r>
      <w:r>
        <w:rPr>
          <w:rFonts w:hint="eastAsia" w:ascii="Times New Roman" w:hAnsi="Times New Roman" w:cs="Times New Roman"/>
          <w:b/>
          <w:iCs/>
          <w:color w:val="auto"/>
          <w:w w:val="99"/>
          <w:kern w:val="2"/>
          <w:highlight w:val="none"/>
          <w:lang w:val="en-US" w:bidi="zh-CN"/>
        </w:rPr>
        <w:t>1</w:t>
      </w:r>
      <w:r>
        <w:rPr>
          <w:rFonts w:ascii="Times New Roman" w:hAnsi="Times New Roman" w:cs="Times New Roman"/>
          <w:b/>
          <w:iCs/>
          <w:color w:val="auto"/>
          <w:w w:val="99"/>
          <w:kern w:val="2"/>
          <w:highlight w:val="none"/>
          <w:lang w:val="zh-CN" w:bidi="zh-CN"/>
        </w:rPr>
        <w:t xml:space="preserve">    本项目与</w:t>
      </w:r>
      <w:r>
        <w:rPr>
          <w:rFonts w:hint="eastAsia" w:ascii="Times New Roman" w:hAnsi="Times New Roman" w:cs="Times New Roman"/>
          <w:b/>
          <w:iCs/>
          <w:color w:val="auto"/>
          <w:w w:val="99"/>
          <w:kern w:val="2"/>
          <w:highlight w:val="none"/>
          <w:lang w:val="zh-CN" w:bidi="zh-CN"/>
        </w:rPr>
        <w:t>“</w:t>
      </w:r>
      <w:r>
        <w:rPr>
          <w:rFonts w:ascii="Times New Roman" w:hAnsi="Times New Roman" w:cs="Times New Roman"/>
          <w:b/>
          <w:color w:val="auto"/>
          <w:w w:val="99"/>
          <w:highlight w:val="none"/>
          <w:lang w:val="zh-CN" w:bidi="zh-CN"/>
        </w:rPr>
        <w:t>黑政办规〔2021〕18号</w:t>
      </w:r>
      <w:r>
        <w:rPr>
          <w:rFonts w:hint="eastAsia" w:ascii="Times New Roman" w:hAnsi="Times New Roman" w:cs="Times New Roman"/>
          <w:b/>
          <w:iCs/>
          <w:color w:val="auto"/>
          <w:w w:val="99"/>
          <w:kern w:val="2"/>
          <w:highlight w:val="none"/>
          <w:lang w:val="zh-CN" w:bidi="zh-CN"/>
        </w:rPr>
        <w:t>”</w:t>
      </w:r>
      <w:r>
        <w:rPr>
          <w:rFonts w:ascii="Times New Roman" w:hAnsi="Times New Roman" w:cs="Times New Roman"/>
          <w:b/>
          <w:iCs/>
          <w:color w:val="auto"/>
          <w:w w:val="99"/>
          <w:kern w:val="2"/>
          <w:highlight w:val="none"/>
          <w:lang w:val="zh-CN" w:bidi="zh-CN"/>
        </w:rPr>
        <w:t>相关要求符合性一览表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798"/>
        <w:gridCol w:w="3844"/>
        <w:gridCol w:w="940"/>
      </w:tblGrid>
      <w:tr w14:paraId="5539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5AD54DFF">
            <w:pPr>
              <w:widowControl w:val="0"/>
              <w:autoSpaceDE w:val="0"/>
              <w:autoSpaceDN w:val="0"/>
              <w:adjustRightInd w:val="0"/>
              <w:snapToGrid w:val="0"/>
              <w:spacing w:line="360" w:lineRule="exact"/>
              <w:jc w:val="center"/>
              <w:rPr>
                <w:rFonts w:ascii="Times New Roman" w:hAnsi="Times New Roman" w:cs="Times New Roman"/>
                <w:iCs/>
                <w:color w:val="auto"/>
                <w:w w:val="99"/>
                <w:kern w:val="28"/>
                <w:sz w:val="21"/>
                <w:szCs w:val="21"/>
                <w:highlight w:val="none"/>
                <w:lang w:val="zh-CN" w:bidi="zh-CN"/>
              </w:rPr>
            </w:pPr>
            <w:r>
              <w:rPr>
                <w:rFonts w:ascii="Times New Roman" w:hAnsi="Times New Roman" w:cs="Times New Roman"/>
                <w:iCs/>
                <w:color w:val="auto"/>
                <w:w w:val="99"/>
                <w:kern w:val="28"/>
                <w:sz w:val="21"/>
                <w:szCs w:val="21"/>
                <w:highlight w:val="none"/>
                <w:lang w:val="zh-CN" w:bidi="zh-CN"/>
              </w:rPr>
              <w:t>序号</w:t>
            </w:r>
          </w:p>
        </w:tc>
        <w:tc>
          <w:tcPr>
            <w:tcW w:w="2045" w:type="pct"/>
            <w:vAlign w:val="center"/>
          </w:tcPr>
          <w:p w14:paraId="441E0D5F">
            <w:pPr>
              <w:widowControl w:val="0"/>
              <w:autoSpaceDE w:val="0"/>
              <w:autoSpaceDN w:val="0"/>
              <w:adjustRightInd w:val="0"/>
              <w:snapToGrid w:val="0"/>
              <w:spacing w:line="360" w:lineRule="exact"/>
              <w:jc w:val="center"/>
              <w:rPr>
                <w:rFonts w:ascii="Times New Roman" w:hAnsi="Times New Roman" w:cs="Times New Roman"/>
                <w:iCs/>
                <w:color w:val="auto"/>
                <w:w w:val="99"/>
                <w:kern w:val="28"/>
                <w:sz w:val="21"/>
                <w:szCs w:val="21"/>
                <w:highlight w:val="none"/>
                <w:lang w:val="zh-CN" w:bidi="zh-CN"/>
              </w:rPr>
            </w:pPr>
            <w:r>
              <w:rPr>
                <w:rFonts w:ascii="Times New Roman" w:hAnsi="Times New Roman" w:cs="Times New Roman"/>
                <w:iCs/>
                <w:color w:val="auto"/>
                <w:w w:val="99"/>
                <w:kern w:val="28"/>
                <w:sz w:val="21"/>
                <w:szCs w:val="21"/>
                <w:highlight w:val="none"/>
                <w:lang w:val="zh-CN" w:bidi="zh-CN"/>
              </w:rPr>
              <w:t>文件要求</w:t>
            </w:r>
          </w:p>
        </w:tc>
        <w:tc>
          <w:tcPr>
            <w:tcW w:w="2070" w:type="pct"/>
            <w:vAlign w:val="center"/>
          </w:tcPr>
          <w:p w14:paraId="4FF3D844">
            <w:pPr>
              <w:widowControl w:val="0"/>
              <w:autoSpaceDE w:val="0"/>
              <w:autoSpaceDN w:val="0"/>
              <w:adjustRightInd w:val="0"/>
              <w:snapToGrid w:val="0"/>
              <w:spacing w:line="360" w:lineRule="exact"/>
              <w:jc w:val="center"/>
              <w:rPr>
                <w:rFonts w:ascii="Times New Roman" w:hAnsi="Times New Roman" w:cs="Times New Roman"/>
                <w:iCs/>
                <w:color w:val="auto"/>
                <w:w w:val="99"/>
                <w:kern w:val="28"/>
                <w:sz w:val="21"/>
                <w:szCs w:val="21"/>
                <w:highlight w:val="none"/>
                <w:lang w:val="zh-CN" w:bidi="zh-CN"/>
              </w:rPr>
            </w:pPr>
            <w:r>
              <w:rPr>
                <w:rFonts w:ascii="Times New Roman" w:hAnsi="Times New Roman" w:cs="Times New Roman"/>
                <w:iCs/>
                <w:color w:val="auto"/>
                <w:w w:val="99"/>
                <w:kern w:val="28"/>
                <w:sz w:val="21"/>
                <w:szCs w:val="21"/>
                <w:highlight w:val="none"/>
                <w:lang w:val="zh-CN" w:bidi="zh-CN"/>
              </w:rPr>
              <w:t>符合性分析</w:t>
            </w:r>
          </w:p>
        </w:tc>
        <w:tc>
          <w:tcPr>
            <w:tcW w:w="506" w:type="pct"/>
            <w:vAlign w:val="center"/>
          </w:tcPr>
          <w:p w14:paraId="58BC91FA">
            <w:pPr>
              <w:widowControl w:val="0"/>
              <w:autoSpaceDE w:val="0"/>
              <w:autoSpaceDN w:val="0"/>
              <w:adjustRightInd w:val="0"/>
              <w:snapToGrid w:val="0"/>
              <w:spacing w:line="360" w:lineRule="exact"/>
              <w:jc w:val="center"/>
              <w:rPr>
                <w:rFonts w:ascii="Times New Roman" w:hAnsi="Times New Roman" w:cs="Times New Roman"/>
                <w:iCs/>
                <w:color w:val="auto"/>
                <w:w w:val="99"/>
                <w:kern w:val="28"/>
                <w:sz w:val="21"/>
                <w:szCs w:val="21"/>
                <w:highlight w:val="none"/>
                <w:lang w:val="zh-CN" w:bidi="zh-CN"/>
              </w:rPr>
            </w:pPr>
            <w:r>
              <w:rPr>
                <w:rFonts w:ascii="Times New Roman" w:hAnsi="Times New Roman" w:cs="Times New Roman"/>
                <w:iCs/>
                <w:color w:val="auto"/>
                <w:w w:val="99"/>
                <w:kern w:val="28"/>
                <w:sz w:val="21"/>
                <w:szCs w:val="21"/>
                <w:highlight w:val="none"/>
                <w:lang w:val="zh-CN" w:bidi="zh-CN"/>
              </w:rPr>
              <w:t>符合性</w:t>
            </w:r>
          </w:p>
        </w:tc>
      </w:tr>
      <w:tr w14:paraId="2136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0795E07E">
            <w:pPr>
              <w:widowControl w:val="0"/>
              <w:autoSpaceDE w:val="0"/>
              <w:autoSpaceDN w:val="0"/>
              <w:adjustRightInd w:val="0"/>
              <w:snapToGrid w:val="0"/>
              <w:spacing w:line="360" w:lineRule="exact"/>
              <w:jc w:val="center"/>
              <w:rPr>
                <w:rFonts w:ascii="Times New Roman" w:hAnsi="Times New Roman" w:cs="Times New Roman"/>
                <w:iCs/>
                <w:color w:val="auto"/>
                <w:w w:val="99"/>
                <w:kern w:val="28"/>
                <w:sz w:val="21"/>
                <w:szCs w:val="21"/>
                <w:highlight w:val="none"/>
                <w:lang w:val="zh-CN" w:bidi="zh-CN"/>
              </w:rPr>
            </w:pPr>
            <w:r>
              <w:rPr>
                <w:rFonts w:ascii="Times New Roman" w:hAnsi="Times New Roman" w:cs="Times New Roman"/>
                <w:iCs/>
                <w:color w:val="auto"/>
                <w:w w:val="99"/>
                <w:kern w:val="28"/>
                <w:sz w:val="21"/>
                <w:szCs w:val="21"/>
                <w:highlight w:val="none"/>
                <w:lang w:val="zh-CN" w:bidi="zh-CN"/>
              </w:rPr>
              <w:t>1</w:t>
            </w:r>
          </w:p>
        </w:tc>
        <w:tc>
          <w:tcPr>
            <w:tcW w:w="2045" w:type="pct"/>
            <w:vAlign w:val="center"/>
          </w:tcPr>
          <w:p w14:paraId="1BD1EA16">
            <w:pPr>
              <w:widowControl w:val="0"/>
              <w:autoSpaceDE w:val="0"/>
              <w:autoSpaceDN w:val="0"/>
              <w:adjustRightInd w:val="0"/>
              <w:snapToGrid w:val="0"/>
              <w:spacing w:line="360" w:lineRule="exact"/>
              <w:jc w:val="left"/>
              <w:rPr>
                <w:rFonts w:ascii="Times New Roman" w:hAnsi="Times New Roman" w:cs="Times New Roman"/>
                <w:iCs/>
                <w:color w:val="auto"/>
                <w:w w:val="99"/>
                <w:kern w:val="28"/>
                <w:sz w:val="21"/>
                <w:szCs w:val="21"/>
                <w:highlight w:val="none"/>
                <w:lang w:val="zh-CN" w:bidi="zh-CN"/>
              </w:rPr>
            </w:pPr>
            <w:r>
              <w:rPr>
                <w:rFonts w:ascii="Times New Roman" w:hAnsi="Times New Roman" w:cs="Times New Roman"/>
                <w:iCs/>
                <w:color w:val="auto"/>
                <w:w w:val="99"/>
                <w:kern w:val="28"/>
                <w:sz w:val="21"/>
                <w:szCs w:val="21"/>
                <w:highlight w:val="none"/>
                <w:lang w:val="zh-CN" w:bidi="zh-CN"/>
              </w:rPr>
              <w:t>成片开发和城镇批次用地占用耕地的，应在供地前实施耕作层土壤剥离；单独选址项目及其他需要剥离的项目，应在开工建设前按照剥离利用方案要求实施耕作层土壤剥离，并将剥离土壤存储在指定地点或直接输送到再利用场所。耕作层土壤剥离及运输过程中，应采取水土保持和扬尘防治措施，防止土壤和环境污染。土壤存储点的选取应遵循就近存储、易于存放、专人管理的原则，尽量利用废弃土地、闲置建设用地和未利用地，避让永久基本农田和生态保护红线、水源地等敏感区域。土壤存储要采取必要的工程防护和保育措施，防止出现水土流失、土壤质量退化和安全隐患。</w:t>
            </w:r>
          </w:p>
        </w:tc>
        <w:tc>
          <w:tcPr>
            <w:tcW w:w="2070" w:type="pct"/>
            <w:vAlign w:val="center"/>
          </w:tcPr>
          <w:p w14:paraId="5F0E1D31">
            <w:pPr>
              <w:widowControl w:val="0"/>
              <w:autoSpaceDE w:val="0"/>
              <w:autoSpaceDN w:val="0"/>
              <w:adjustRightInd w:val="0"/>
              <w:snapToGrid w:val="0"/>
              <w:spacing w:line="360" w:lineRule="exact"/>
              <w:jc w:val="left"/>
              <w:rPr>
                <w:rFonts w:ascii="Times New Roman" w:hAnsi="Times New Roman" w:cs="Times New Roman"/>
                <w:iCs/>
                <w:color w:val="auto"/>
                <w:w w:val="99"/>
                <w:kern w:val="28"/>
                <w:sz w:val="21"/>
                <w:szCs w:val="21"/>
                <w:highlight w:val="none"/>
                <w:lang w:val="zh-CN" w:bidi="zh-CN"/>
              </w:rPr>
            </w:pPr>
            <w:r>
              <w:rPr>
                <w:rFonts w:ascii="Times New Roman" w:hAnsi="Times New Roman" w:cs="Times New Roman"/>
                <w:iCs/>
                <w:color w:val="auto"/>
                <w:w w:val="99"/>
                <w:kern w:val="28"/>
                <w:sz w:val="21"/>
                <w:szCs w:val="21"/>
                <w:highlight w:val="none"/>
                <w:lang w:val="zh-CN" w:bidi="zh-CN"/>
              </w:rPr>
              <w:t>本项目建设占用耕地。项目在施工过程中针对临时占地，应剥离占地内的表土，</w:t>
            </w:r>
            <w:r>
              <w:rPr>
                <w:rFonts w:hint="eastAsia" w:ascii="Times New Roman" w:hAnsi="Times New Roman" w:cs="Times New Roman"/>
                <w:iCs/>
                <w:color w:val="auto"/>
                <w:w w:val="99"/>
                <w:kern w:val="28"/>
                <w:sz w:val="21"/>
                <w:szCs w:val="21"/>
                <w:highlight w:val="none"/>
                <w:lang w:bidi="zh-CN"/>
              </w:rPr>
              <w:t>耕地剥离厚度</w:t>
            </w:r>
            <w:r>
              <w:rPr>
                <w:rFonts w:ascii="Times New Roman" w:hAnsi="Times New Roman" w:cs="Times New Roman"/>
                <w:iCs/>
                <w:color w:val="auto"/>
                <w:w w:val="99"/>
                <w:kern w:val="28"/>
                <w:sz w:val="21"/>
                <w:szCs w:val="21"/>
                <w:highlight w:val="none"/>
                <w:lang w:bidi="zh-CN"/>
              </w:rPr>
              <w:t>0.3m，</w:t>
            </w:r>
            <w:r>
              <w:rPr>
                <w:rFonts w:ascii="Times New Roman" w:hAnsi="Times New Roman" w:cs="Times New Roman"/>
                <w:iCs/>
                <w:color w:val="auto"/>
                <w:w w:val="99"/>
                <w:kern w:val="28"/>
                <w:sz w:val="21"/>
                <w:szCs w:val="21"/>
                <w:highlight w:val="none"/>
                <w:lang w:val="zh-CN" w:bidi="zh-CN"/>
              </w:rPr>
              <w:t>采用分层开挖，分层堆放，集中暂存于施工井场或管线两侧临时占地内的表土剥离临时堆放区，并采取苫布遮盖，表土剥离临时堆放区周围设置排水沟等措施防止水土流失，并定期采取洒水抑尘措施，土壤剥离完成后，由当地自然资源主管部门会同农业农村主管部门组织验收，验收合格的方能实施项目建设。针对临时占地在将剥离的表土在施工结束后分层回填，并及时恢复地表植被。</w:t>
            </w:r>
          </w:p>
        </w:tc>
        <w:tc>
          <w:tcPr>
            <w:tcW w:w="506" w:type="pct"/>
            <w:vAlign w:val="center"/>
          </w:tcPr>
          <w:p w14:paraId="3B82BA6A">
            <w:pPr>
              <w:widowControl w:val="0"/>
              <w:autoSpaceDE w:val="0"/>
              <w:autoSpaceDN w:val="0"/>
              <w:adjustRightInd w:val="0"/>
              <w:snapToGrid w:val="0"/>
              <w:spacing w:line="360" w:lineRule="exact"/>
              <w:jc w:val="center"/>
              <w:rPr>
                <w:rFonts w:ascii="Times New Roman" w:hAnsi="Times New Roman" w:cs="Times New Roman"/>
                <w:iCs/>
                <w:color w:val="auto"/>
                <w:w w:val="99"/>
                <w:kern w:val="28"/>
                <w:sz w:val="21"/>
                <w:szCs w:val="21"/>
                <w:highlight w:val="none"/>
                <w:lang w:val="zh-CN" w:bidi="zh-CN"/>
              </w:rPr>
            </w:pPr>
            <w:r>
              <w:rPr>
                <w:rFonts w:ascii="Times New Roman" w:hAnsi="Times New Roman" w:cs="Times New Roman"/>
                <w:iCs/>
                <w:color w:val="auto"/>
                <w:w w:val="99"/>
                <w:kern w:val="28"/>
                <w:sz w:val="21"/>
                <w:szCs w:val="21"/>
                <w:highlight w:val="none"/>
                <w:lang w:val="zh-CN" w:bidi="zh-CN"/>
              </w:rPr>
              <w:t>符合</w:t>
            </w:r>
          </w:p>
        </w:tc>
      </w:tr>
    </w:tbl>
    <w:p w14:paraId="3CCCEDF8">
      <w:pPr>
        <w:widowControl w:val="0"/>
        <w:autoSpaceDE w:val="0"/>
        <w:autoSpaceDN w:val="0"/>
        <w:spacing w:line="440" w:lineRule="exact"/>
        <w:ind w:firstLine="474" w:firstLineChars="200"/>
        <w:jc w:val="both"/>
        <w:rPr>
          <w:rFonts w:ascii="Times New Roman" w:hAnsi="Times New Roman" w:cs="Times New Roman"/>
          <w:iCs/>
          <w:color w:val="auto"/>
          <w:w w:val="99"/>
          <w:kern w:val="2"/>
          <w:highlight w:val="none"/>
          <w:lang w:val="zh-CN" w:bidi="zh-CN"/>
        </w:rPr>
      </w:pPr>
      <w:r>
        <w:rPr>
          <w:rFonts w:ascii="Times New Roman" w:hAnsi="Times New Roman" w:cs="Times New Roman"/>
          <w:iCs/>
          <w:color w:val="auto"/>
          <w:w w:val="99"/>
          <w:kern w:val="2"/>
          <w:highlight w:val="none"/>
          <w:lang w:val="zh-CN" w:bidi="zh-CN"/>
        </w:rPr>
        <w:t>根据以上分析，本项目符合《黑龙江省人民政府办公厅关于建设占用耕地耕作层土壤剥离利用工作的指导意见（试行）》（黑政办规〔2021〕18号）中要求。</w:t>
      </w:r>
    </w:p>
    <w:p w14:paraId="00106FED">
      <w:pPr>
        <w:widowControl w:val="0"/>
        <w:spacing w:line="440" w:lineRule="exact"/>
        <w:jc w:val="both"/>
        <w:outlineLvl w:val="3"/>
        <w:rPr>
          <w:rFonts w:ascii="Times New Roman" w:hAnsi="Times New Roman" w:cs="Times New Roman" w:eastAsiaTheme="minorEastAsia"/>
          <w:b/>
          <w:color w:val="auto"/>
          <w:w w:val="99"/>
          <w:highlight w:val="none"/>
        </w:rPr>
      </w:pPr>
      <w:r>
        <w:rPr>
          <w:rFonts w:ascii="Times New Roman" w:hAnsi="Times New Roman" w:cs="Times New Roman" w:eastAsiaTheme="minorEastAsia"/>
          <w:b/>
          <w:color w:val="auto"/>
          <w:w w:val="99"/>
          <w:highlight w:val="none"/>
        </w:rPr>
        <w:t>1.4.3.1</w:t>
      </w:r>
      <w:r>
        <w:rPr>
          <w:rFonts w:hint="eastAsia" w:ascii="Times New Roman" w:hAnsi="Times New Roman" w:cs="Times New Roman" w:eastAsiaTheme="minorEastAsia"/>
          <w:b/>
          <w:color w:val="auto"/>
          <w:w w:val="99"/>
          <w:highlight w:val="none"/>
          <w:lang w:val="en-US" w:eastAsia="zh-CN"/>
        </w:rPr>
        <w:t>2</w:t>
      </w:r>
      <w:r>
        <w:rPr>
          <w:rFonts w:ascii="Times New Roman" w:hAnsi="Times New Roman" w:cs="Times New Roman" w:eastAsiaTheme="minorEastAsia"/>
          <w:b/>
          <w:color w:val="auto"/>
          <w:w w:val="99"/>
          <w:highlight w:val="none"/>
        </w:rPr>
        <w:t>与《陆上石油天然气开采业绿色矿山建设规范》（DZ∕T 0317-2018）符合性判定</w:t>
      </w:r>
    </w:p>
    <w:p w14:paraId="11A28029">
      <w:pPr>
        <w:spacing w:line="440" w:lineRule="exact"/>
        <w:ind w:firstLine="474" w:firstLineChars="200"/>
        <w:jc w:val="both"/>
        <w:rPr>
          <w:rFonts w:ascii="Times New Roman" w:hAnsi="Times New Roman" w:cs="Times New Roman"/>
          <w:color w:val="auto"/>
          <w:w w:val="99"/>
          <w:highlight w:val="none"/>
          <w:lang w:bidi="zh-CN"/>
        </w:rPr>
      </w:pPr>
      <w:r>
        <w:rPr>
          <w:rFonts w:ascii="Times New Roman" w:hAnsi="Times New Roman" w:cs="Times New Roman"/>
          <w:color w:val="auto"/>
          <w:w w:val="99"/>
          <w:highlight w:val="none"/>
          <w:lang w:bidi="zh-CN"/>
        </w:rPr>
        <w:t>本项目与《陆上石油天然气开采业绿色矿山建设规范》</w:t>
      </w:r>
      <w:r>
        <w:rPr>
          <w:rFonts w:hint="eastAsia" w:ascii="Times New Roman" w:hAnsi="Times New Roman" w:cs="Times New Roman"/>
          <w:color w:val="auto"/>
          <w:w w:val="99"/>
          <w:highlight w:val="none"/>
          <w:lang w:bidi="zh-CN"/>
        </w:rPr>
        <w:t>（</w:t>
      </w:r>
      <w:r>
        <w:rPr>
          <w:rFonts w:ascii="Times New Roman" w:hAnsi="Times New Roman" w:cs="Times New Roman"/>
          <w:color w:val="auto"/>
          <w:w w:val="99"/>
          <w:highlight w:val="none"/>
          <w:lang w:bidi="zh-CN"/>
        </w:rPr>
        <w:t>DZ</w:t>
      </w:r>
      <w:r>
        <w:rPr>
          <w:rFonts w:hint="eastAsia" w:ascii="Times New Roman" w:hAnsi="Times New Roman" w:cs="Times New Roman"/>
          <w:color w:val="auto"/>
          <w:w w:val="99"/>
          <w:highlight w:val="none"/>
          <w:lang w:bidi="zh-CN"/>
        </w:rPr>
        <w:t>∕</w:t>
      </w:r>
      <w:r>
        <w:rPr>
          <w:rFonts w:ascii="Times New Roman" w:hAnsi="Times New Roman" w:cs="Times New Roman"/>
          <w:color w:val="auto"/>
          <w:w w:val="99"/>
          <w:highlight w:val="none"/>
          <w:lang w:bidi="zh-CN"/>
        </w:rPr>
        <w:t>T 0317-2018</w:t>
      </w:r>
      <w:r>
        <w:rPr>
          <w:rFonts w:hint="eastAsia" w:ascii="Times New Roman" w:hAnsi="Times New Roman" w:cs="Times New Roman"/>
          <w:color w:val="auto"/>
          <w:w w:val="99"/>
          <w:highlight w:val="none"/>
          <w:lang w:bidi="zh-CN"/>
        </w:rPr>
        <w:t>）</w:t>
      </w:r>
      <w:r>
        <w:rPr>
          <w:rFonts w:ascii="Times New Roman" w:hAnsi="Times New Roman" w:cs="Times New Roman"/>
          <w:color w:val="auto"/>
          <w:w w:val="99"/>
          <w:highlight w:val="none"/>
          <w:lang w:bidi="zh-CN"/>
        </w:rPr>
        <w:t>符合性分析见表1.4-1</w:t>
      </w:r>
      <w:r>
        <w:rPr>
          <w:rFonts w:hint="eastAsia" w:ascii="Times New Roman" w:hAnsi="Times New Roman" w:cs="Times New Roman"/>
          <w:color w:val="auto"/>
          <w:w w:val="99"/>
          <w:highlight w:val="none"/>
          <w:lang w:val="en-US" w:bidi="zh-CN"/>
        </w:rPr>
        <w:t>2</w:t>
      </w:r>
      <w:r>
        <w:rPr>
          <w:rFonts w:ascii="Times New Roman" w:hAnsi="Times New Roman" w:cs="Times New Roman"/>
          <w:color w:val="auto"/>
          <w:w w:val="99"/>
          <w:highlight w:val="none"/>
          <w:lang w:bidi="zh-CN"/>
        </w:rPr>
        <w:t>。</w:t>
      </w:r>
    </w:p>
    <w:p w14:paraId="221B6D0E">
      <w:pPr>
        <w:spacing w:line="440" w:lineRule="exact"/>
        <w:ind w:firstLine="476" w:firstLineChars="200"/>
        <w:jc w:val="both"/>
        <w:rPr>
          <w:rFonts w:ascii="Times New Roman" w:hAnsi="Times New Roman" w:cs="Times New Roman"/>
          <w:color w:val="auto"/>
          <w:w w:val="99"/>
          <w:highlight w:val="none"/>
          <w:lang w:bidi="zh-CN"/>
        </w:rPr>
      </w:pPr>
      <w:r>
        <w:rPr>
          <w:rFonts w:ascii="Times New Roman" w:hAnsi="Times New Roman" w:cs="Times New Roman"/>
          <w:b/>
          <w:color w:val="auto"/>
          <w:w w:val="99"/>
          <w:highlight w:val="none"/>
          <w:lang w:bidi="zh-CN"/>
        </w:rPr>
        <w:t>表1.4-1</w:t>
      </w:r>
      <w:r>
        <w:rPr>
          <w:rFonts w:hint="eastAsia" w:ascii="Times New Roman" w:hAnsi="Times New Roman" w:cs="Times New Roman"/>
          <w:b/>
          <w:color w:val="auto"/>
          <w:w w:val="99"/>
          <w:highlight w:val="none"/>
          <w:lang w:val="en-US" w:bidi="zh-CN"/>
        </w:rPr>
        <w:t>2</w:t>
      </w:r>
      <w:r>
        <w:rPr>
          <w:rFonts w:ascii="Times New Roman" w:hAnsi="Times New Roman" w:cs="Times New Roman"/>
          <w:b/>
          <w:color w:val="auto"/>
          <w:w w:val="99"/>
          <w:highlight w:val="none"/>
          <w:lang w:bidi="zh-CN"/>
        </w:rPr>
        <w:t xml:space="preserve">    与</w:t>
      </w:r>
      <w:r>
        <w:rPr>
          <w:rFonts w:hint="eastAsia" w:ascii="Times New Roman" w:hAnsi="Times New Roman" w:cs="Times New Roman"/>
          <w:b/>
          <w:color w:val="auto"/>
          <w:w w:val="99"/>
          <w:highlight w:val="none"/>
          <w:lang w:bidi="zh-CN"/>
        </w:rPr>
        <w:t>“</w:t>
      </w:r>
      <w:r>
        <w:rPr>
          <w:rFonts w:ascii="Times New Roman" w:hAnsi="Times New Roman" w:cs="Times New Roman"/>
          <w:b/>
          <w:color w:val="auto"/>
          <w:w w:val="99"/>
          <w:highlight w:val="none"/>
          <w:lang w:bidi="zh-CN"/>
        </w:rPr>
        <w:t>DZ</w:t>
      </w:r>
      <w:r>
        <w:rPr>
          <w:rFonts w:hint="eastAsia" w:ascii="Times New Roman" w:hAnsi="Times New Roman" w:cs="Times New Roman"/>
          <w:b/>
          <w:color w:val="auto"/>
          <w:w w:val="99"/>
          <w:highlight w:val="none"/>
          <w:lang w:bidi="zh-CN"/>
        </w:rPr>
        <w:t>∕</w:t>
      </w:r>
      <w:r>
        <w:rPr>
          <w:rFonts w:ascii="Times New Roman" w:hAnsi="Times New Roman" w:cs="Times New Roman"/>
          <w:b/>
          <w:color w:val="auto"/>
          <w:w w:val="99"/>
          <w:highlight w:val="none"/>
          <w:lang w:bidi="zh-CN"/>
        </w:rPr>
        <w:t>T 0317-2018</w:t>
      </w:r>
      <w:r>
        <w:rPr>
          <w:rFonts w:hint="eastAsia" w:ascii="Times New Roman" w:hAnsi="Times New Roman" w:cs="Times New Roman"/>
          <w:b/>
          <w:color w:val="auto"/>
          <w:w w:val="99"/>
          <w:highlight w:val="none"/>
          <w:lang w:bidi="zh-CN"/>
        </w:rPr>
        <w:t>”</w:t>
      </w:r>
      <w:r>
        <w:rPr>
          <w:rFonts w:ascii="Times New Roman" w:hAnsi="Times New Roman" w:cs="Times New Roman"/>
          <w:b/>
          <w:color w:val="auto"/>
          <w:w w:val="99"/>
          <w:highlight w:val="none"/>
          <w:lang w:bidi="zh-CN"/>
        </w:rPr>
        <w:t>相关要求符合性判定</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2519"/>
        <w:gridCol w:w="4989"/>
        <w:gridCol w:w="992"/>
      </w:tblGrid>
      <w:tr w14:paraId="1A95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14:paraId="11337026">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1356" w:type="pct"/>
            <w:vAlign w:val="center"/>
          </w:tcPr>
          <w:p w14:paraId="7D621CB2">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相关要求</w:t>
            </w:r>
          </w:p>
        </w:tc>
        <w:tc>
          <w:tcPr>
            <w:tcW w:w="2685" w:type="pct"/>
            <w:vAlign w:val="center"/>
          </w:tcPr>
          <w:p w14:paraId="37F3D007">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符合性分析</w:t>
            </w:r>
          </w:p>
        </w:tc>
        <w:tc>
          <w:tcPr>
            <w:tcW w:w="534" w:type="pct"/>
            <w:vAlign w:val="center"/>
          </w:tcPr>
          <w:p w14:paraId="1F805DA8">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w:t>
            </w:r>
          </w:p>
        </w:tc>
      </w:tr>
      <w:tr w14:paraId="6C45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14:paraId="7F7159E6">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1356" w:type="pct"/>
            <w:vAlign w:val="center"/>
          </w:tcPr>
          <w:p w14:paraId="3A92B89A">
            <w:pPr>
              <w:adjustRightInd w:val="0"/>
              <w:snapToGrid w:val="0"/>
              <w:spacing w:line="360" w:lineRule="exact"/>
              <w:jc w:val="left"/>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废液、废气、固体废物应建档分类管理，并清洁化、无害化处置，处置率应达到100%</w:t>
            </w:r>
          </w:p>
        </w:tc>
        <w:tc>
          <w:tcPr>
            <w:tcW w:w="2685" w:type="pct"/>
            <w:vAlign w:val="center"/>
          </w:tcPr>
          <w:p w14:paraId="29C0C317">
            <w:pPr>
              <w:adjustRightInd w:val="0"/>
              <w:snapToGrid w:val="0"/>
              <w:spacing w:line="360" w:lineRule="exact"/>
              <w:jc w:val="left"/>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w:t>
            </w:r>
            <w:r>
              <w:rPr>
                <w:rFonts w:ascii="Times New Roman" w:hAnsi="Times New Roman" w:cs="Times New Roman" w:eastAsiaTheme="minorEastAsia"/>
                <w:color w:val="auto"/>
                <w:w w:val="99"/>
                <w:sz w:val="21"/>
                <w:szCs w:val="21"/>
                <w:highlight w:val="none"/>
              </w:rPr>
              <w:t>施工期及运营期废水、固体废物均无害化处置，处置率100%，</w:t>
            </w:r>
            <w:r>
              <w:rPr>
                <w:rFonts w:ascii="Times New Roman" w:hAnsi="Times New Roman" w:cs="Times New Roman"/>
                <w:bCs/>
                <w:color w:val="auto"/>
                <w:w w:val="99"/>
                <w:sz w:val="21"/>
                <w:szCs w:val="21"/>
                <w:highlight w:val="none"/>
              </w:rPr>
              <w:t>运营期</w:t>
            </w:r>
            <w:r>
              <w:rPr>
                <w:rFonts w:hint="eastAsia" w:ascii="Times New Roman" w:hAnsi="Times New Roman" w:cs="Times New Roman"/>
                <w:bCs/>
                <w:color w:val="auto"/>
                <w:w w:val="99"/>
                <w:sz w:val="21"/>
                <w:szCs w:val="21"/>
                <w:highlight w:val="none"/>
                <w:lang w:val="en-US" w:eastAsia="zh-CN"/>
              </w:rPr>
              <w:t>天然气</w:t>
            </w:r>
            <w:r>
              <w:rPr>
                <w:rFonts w:ascii="Times New Roman" w:hAnsi="Times New Roman" w:cs="Times New Roman"/>
                <w:bCs/>
                <w:color w:val="auto"/>
                <w:w w:val="99"/>
                <w:sz w:val="21"/>
                <w:szCs w:val="21"/>
                <w:highlight w:val="none"/>
              </w:rPr>
              <w:t>集输全部采用密闭集油工艺流程，井口安装密封垫，集输管线采用密闭管道，定期对设备和管道进行维修保养，保证油气处理设施的平稳运行，控制烃类气体、温室气体的无组织挥发。依托场站内加热炉采用清洁能源天然气作为燃料，并采用低氮燃烧器，加热炉燃烧产生的废气均经不低于8m的烟囱高空排放。</w:t>
            </w:r>
          </w:p>
        </w:tc>
        <w:tc>
          <w:tcPr>
            <w:tcW w:w="534" w:type="pct"/>
            <w:vAlign w:val="center"/>
          </w:tcPr>
          <w:p w14:paraId="63090658">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r w14:paraId="4B15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14:paraId="3B65D93A">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w:t>
            </w:r>
          </w:p>
        </w:tc>
        <w:tc>
          <w:tcPr>
            <w:tcW w:w="1356" w:type="pct"/>
            <w:vAlign w:val="center"/>
          </w:tcPr>
          <w:p w14:paraId="4D4B5D83">
            <w:pPr>
              <w:adjustRightInd w:val="0"/>
              <w:snapToGrid w:val="0"/>
              <w:spacing w:line="360" w:lineRule="exact"/>
              <w:jc w:val="left"/>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油气生产过程中的采出水应清洁处理后循环利用；不能循环利用的，应达标排放、回注或采取其他有效利用方式。</w:t>
            </w:r>
          </w:p>
        </w:tc>
        <w:tc>
          <w:tcPr>
            <w:tcW w:w="2685" w:type="pct"/>
            <w:vAlign w:val="center"/>
          </w:tcPr>
          <w:p w14:paraId="5F4F4374">
            <w:pPr>
              <w:adjustRightInd w:val="0"/>
              <w:snapToGrid w:val="0"/>
              <w:spacing w:line="360" w:lineRule="exact"/>
              <w:jc w:val="left"/>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w:t>
            </w:r>
            <w:r>
              <w:rPr>
                <w:rFonts w:hint="eastAsia" w:ascii="Times New Roman" w:hAnsi="Times New Roman" w:cs="Times New Roman"/>
                <w:color w:val="auto"/>
                <w:w w:val="99"/>
                <w:sz w:val="21"/>
                <w:szCs w:val="21"/>
                <w:highlight w:val="none"/>
                <w:lang w:val="en-US" w:eastAsia="zh-CN"/>
              </w:rPr>
              <w:t>气田</w:t>
            </w:r>
            <w:r>
              <w:rPr>
                <w:rFonts w:ascii="Times New Roman" w:hAnsi="Times New Roman" w:cs="Times New Roman"/>
                <w:color w:val="auto"/>
                <w:w w:val="99"/>
                <w:sz w:val="21"/>
                <w:szCs w:val="21"/>
                <w:highlight w:val="none"/>
              </w:rPr>
              <w:t>采出水暂存于集气站污水储罐临时储存，再定期通过外输泵升压外输至气田采出水集输管网，并统一外输至升一联气田污水预处理站处理后的水质执行《大庆油田地面工程建设设计规定》（Q/SYDQ  0639-2015） 限值“含油量≤10mg/L 、悬浮固体含量≤5mg/L 、粒径中值≤2μm” ，同时满足《碎屑岩油藏注水水质指标技术要求及分析方法》(SY/T5329-2022)中标准限值，回注地下</w:t>
            </w:r>
            <w:r>
              <w:rPr>
                <w:rFonts w:hint="eastAsia" w:ascii="Times New Roman" w:hAnsi="Times New Roman" w:cs="Times New Roman"/>
                <w:color w:val="auto"/>
                <w:w w:val="99"/>
                <w:sz w:val="21"/>
                <w:szCs w:val="21"/>
                <w:highlight w:val="none"/>
                <w:lang w:val="en-US" w:eastAsia="zh-CN"/>
              </w:rPr>
              <w:t>油层</w:t>
            </w:r>
            <w:r>
              <w:rPr>
                <w:rFonts w:ascii="Times New Roman" w:hAnsi="Times New Roman" w:cs="Times New Roman"/>
                <w:bCs/>
                <w:color w:val="auto"/>
                <w:w w:val="99"/>
                <w:sz w:val="21"/>
                <w:szCs w:val="21"/>
                <w:highlight w:val="none"/>
              </w:rPr>
              <w:t>。</w:t>
            </w:r>
          </w:p>
        </w:tc>
        <w:tc>
          <w:tcPr>
            <w:tcW w:w="534" w:type="pct"/>
            <w:vAlign w:val="center"/>
          </w:tcPr>
          <w:p w14:paraId="7EDBA34F">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bl>
    <w:p w14:paraId="43D13E1C">
      <w:pPr>
        <w:spacing w:line="440" w:lineRule="exact"/>
        <w:ind w:firstLine="474" w:firstLineChars="200"/>
        <w:jc w:val="both"/>
        <w:rPr>
          <w:rFonts w:ascii="Times New Roman" w:hAnsi="Times New Roman" w:eastAsia="宋体" w:cs="Times New Roman"/>
          <w:color w:val="auto"/>
          <w:w w:val="99"/>
          <w:highlight w:val="none"/>
          <w:lang w:bidi="zh-CN"/>
        </w:rPr>
      </w:pPr>
      <w:r>
        <w:rPr>
          <w:rFonts w:ascii="Times New Roman" w:hAnsi="Times New Roman" w:eastAsia="宋体" w:cs="Times New Roman"/>
          <w:color w:val="auto"/>
          <w:w w:val="99"/>
          <w:highlight w:val="none"/>
          <w:lang w:bidi="zh-CN"/>
        </w:rPr>
        <w:t>根据以上分析，本项目符合《陆上石油天然气开采业绿色矿山建设规范》（DZ∕T 0317-2018）中要求。</w:t>
      </w:r>
    </w:p>
    <w:p w14:paraId="4D48978E">
      <w:pPr>
        <w:widowControl w:val="0"/>
        <w:spacing w:line="440" w:lineRule="exact"/>
        <w:jc w:val="both"/>
        <w:outlineLvl w:val="3"/>
        <w:rPr>
          <w:rFonts w:ascii="Times New Roman" w:hAnsi="Times New Roman" w:cs="Times New Roman" w:eastAsiaTheme="minorEastAsia"/>
          <w:b/>
          <w:color w:val="auto"/>
          <w:w w:val="99"/>
          <w:highlight w:val="none"/>
        </w:rPr>
      </w:pPr>
      <w:r>
        <w:rPr>
          <w:rFonts w:ascii="Times New Roman" w:hAnsi="Times New Roman" w:cs="Times New Roman" w:eastAsiaTheme="minorEastAsia"/>
          <w:b/>
          <w:color w:val="auto"/>
          <w:w w:val="99"/>
          <w:highlight w:val="none"/>
        </w:rPr>
        <w:t>1.4.3.</w:t>
      </w:r>
      <w:r>
        <w:rPr>
          <w:rFonts w:hint="eastAsia" w:ascii="Times New Roman" w:hAnsi="Times New Roman" w:cs="Times New Roman" w:eastAsiaTheme="minorEastAsia"/>
          <w:b/>
          <w:color w:val="auto"/>
          <w:w w:val="99"/>
          <w:highlight w:val="none"/>
          <w:lang w:val="en-US" w:eastAsia="zh-CN"/>
        </w:rPr>
        <w:t>13</w:t>
      </w:r>
      <w:r>
        <w:rPr>
          <w:rFonts w:ascii="Times New Roman" w:hAnsi="Times New Roman" w:cs="Times New Roman" w:eastAsiaTheme="minorEastAsia"/>
          <w:b/>
          <w:color w:val="auto"/>
          <w:w w:val="99"/>
          <w:highlight w:val="none"/>
        </w:rPr>
        <w:t>与《空气质量持续改善行动计划》（国发〔2023〕24号）符合性判定</w:t>
      </w:r>
    </w:p>
    <w:p w14:paraId="74EB0530">
      <w:pPr>
        <w:spacing w:line="440" w:lineRule="exact"/>
        <w:ind w:firstLine="474" w:firstLineChars="200"/>
        <w:jc w:val="both"/>
        <w:rPr>
          <w:rFonts w:ascii="Times New Roman" w:hAnsi="Times New Roman" w:cs="Times New Roman"/>
          <w:color w:val="auto"/>
          <w:w w:val="99"/>
          <w:highlight w:val="none"/>
          <w:lang w:bidi="zh-CN"/>
        </w:rPr>
      </w:pPr>
      <w:r>
        <w:rPr>
          <w:rFonts w:ascii="Times New Roman" w:hAnsi="Times New Roman" w:cs="Times New Roman"/>
          <w:color w:val="auto"/>
          <w:w w:val="99"/>
          <w:highlight w:val="none"/>
          <w:lang w:bidi="zh-CN"/>
        </w:rPr>
        <w:t>本项目与《空气质量持续改善行动计划》（国发〔2023〕24号）符合性分析见表1.4-</w:t>
      </w:r>
      <w:r>
        <w:rPr>
          <w:rFonts w:hint="eastAsia" w:ascii="Times New Roman" w:hAnsi="Times New Roman" w:cs="Times New Roman"/>
          <w:color w:val="auto"/>
          <w:w w:val="99"/>
          <w:highlight w:val="none"/>
          <w:lang w:val="en-US" w:bidi="zh-CN"/>
        </w:rPr>
        <w:t>13</w:t>
      </w:r>
      <w:r>
        <w:rPr>
          <w:rFonts w:ascii="Times New Roman" w:hAnsi="Times New Roman" w:cs="Times New Roman"/>
          <w:color w:val="auto"/>
          <w:w w:val="99"/>
          <w:highlight w:val="none"/>
          <w:lang w:bidi="zh-CN"/>
        </w:rPr>
        <w:t>。</w:t>
      </w:r>
    </w:p>
    <w:p w14:paraId="77330423">
      <w:pPr>
        <w:spacing w:line="440" w:lineRule="exact"/>
        <w:ind w:firstLine="476" w:firstLineChars="200"/>
        <w:jc w:val="both"/>
        <w:rPr>
          <w:rFonts w:ascii="Times New Roman" w:hAnsi="Times New Roman" w:cs="Times New Roman"/>
          <w:color w:val="auto"/>
          <w:w w:val="99"/>
          <w:highlight w:val="none"/>
          <w:lang w:bidi="zh-CN"/>
        </w:rPr>
      </w:pPr>
      <w:r>
        <w:rPr>
          <w:rFonts w:ascii="Times New Roman" w:hAnsi="Times New Roman" w:cs="Times New Roman"/>
          <w:b/>
          <w:color w:val="auto"/>
          <w:w w:val="99"/>
          <w:highlight w:val="none"/>
          <w:lang w:bidi="zh-CN"/>
        </w:rPr>
        <w:t>表1.4-1</w:t>
      </w:r>
      <w:r>
        <w:rPr>
          <w:rFonts w:hint="eastAsia" w:ascii="Times New Roman" w:hAnsi="Times New Roman" w:cs="Times New Roman"/>
          <w:b/>
          <w:color w:val="auto"/>
          <w:w w:val="99"/>
          <w:highlight w:val="none"/>
          <w:lang w:val="en-US" w:bidi="zh-CN"/>
        </w:rPr>
        <w:t>3</w:t>
      </w:r>
      <w:r>
        <w:rPr>
          <w:rFonts w:ascii="Times New Roman" w:hAnsi="Times New Roman" w:cs="Times New Roman"/>
          <w:b/>
          <w:color w:val="auto"/>
          <w:w w:val="99"/>
          <w:highlight w:val="none"/>
          <w:lang w:bidi="zh-CN"/>
        </w:rPr>
        <w:t xml:space="preserve">   与</w:t>
      </w:r>
      <w:r>
        <w:rPr>
          <w:rFonts w:hint="eastAsia" w:ascii="Times New Roman" w:hAnsi="Times New Roman" w:cs="Times New Roman"/>
          <w:b/>
          <w:color w:val="auto"/>
          <w:w w:val="99"/>
          <w:highlight w:val="none"/>
          <w:lang w:bidi="zh-CN"/>
        </w:rPr>
        <w:t>“国发〔</w:t>
      </w:r>
      <w:r>
        <w:rPr>
          <w:rFonts w:ascii="Times New Roman" w:hAnsi="Times New Roman" w:cs="Times New Roman"/>
          <w:b/>
          <w:color w:val="auto"/>
          <w:w w:val="99"/>
          <w:highlight w:val="none"/>
          <w:lang w:bidi="zh-CN"/>
        </w:rPr>
        <w:t>2023</w:t>
      </w:r>
      <w:r>
        <w:rPr>
          <w:rFonts w:hint="eastAsia" w:ascii="Times New Roman" w:hAnsi="Times New Roman" w:cs="Times New Roman"/>
          <w:b/>
          <w:color w:val="auto"/>
          <w:w w:val="99"/>
          <w:highlight w:val="none"/>
          <w:lang w:bidi="zh-CN"/>
        </w:rPr>
        <w:t>〕</w:t>
      </w:r>
      <w:r>
        <w:rPr>
          <w:rFonts w:ascii="Times New Roman" w:hAnsi="Times New Roman" w:cs="Times New Roman"/>
          <w:b/>
          <w:color w:val="auto"/>
          <w:w w:val="99"/>
          <w:highlight w:val="none"/>
          <w:lang w:bidi="zh-CN"/>
        </w:rPr>
        <w:t>24</w:t>
      </w:r>
      <w:r>
        <w:rPr>
          <w:rFonts w:hint="eastAsia" w:ascii="Times New Roman" w:hAnsi="Times New Roman" w:cs="Times New Roman"/>
          <w:b/>
          <w:color w:val="auto"/>
          <w:w w:val="99"/>
          <w:highlight w:val="none"/>
          <w:lang w:bidi="zh-CN"/>
        </w:rPr>
        <w:t>号”</w:t>
      </w:r>
      <w:r>
        <w:rPr>
          <w:rFonts w:ascii="Times New Roman" w:hAnsi="Times New Roman" w:cs="Times New Roman"/>
          <w:b/>
          <w:color w:val="auto"/>
          <w:w w:val="99"/>
          <w:highlight w:val="none"/>
          <w:lang w:bidi="zh-CN"/>
        </w:rPr>
        <w:t>相关要求符合性判定</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3602"/>
        <w:gridCol w:w="3940"/>
        <w:gridCol w:w="992"/>
      </w:tblGrid>
      <w:tr w14:paraId="3D2E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Align w:val="center"/>
          </w:tcPr>
          <w:p w14:paraId="7B329CBC">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1938" w:type="pct"/>
            <w:vAlign w:val="center"/>
          </w:tcPr>
          <w:p w14:paraId="5FB3D966">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相关要求</w:t>
            </w:r>
          </w:p>
        </w:tc>
        <w:tc>
          <w:tcPr>
            <w:tcW w:w="2120" w:type="pct"/>
            <w:vAlign w:val="center"/>
          </w:tcPr>
          <w:p w14:paraId="11A7F6B3">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符合性分析</w:t>
            </w:r>
          </w:p>
        </w:tc>
        <w:tc>
          <w:tcPr>
            <w:tcW w:w="534" w:type="pct"/>
            <w:vAlign w:val="center"/>
          </w:tcPr>
          <w:p w14:paraId="73AFDFEE">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w:t>
            </w:r>
          </w:p>
        </w:tc>
      </w:tr>
      <w:tr w14:paraId="175D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Align w:val="center"/>
          </w:tcPr>
          <w:p w14:paraId="4119F7E7">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1938" w:type="pct"/>
            <w:vAlign w:val="center"/>
          </w:tcPr>
          <w:p w14:paraId="1C483DA0">
            <w:pPr>
              <w:adjustRightInd w:val="0"/>
              <w:snapToGrid w:val="0"/>
              <w:spacing w:line="360" w:lineRule="exact"/>
              <w:jc w:val="left"/>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以习近平新时代中国特色社会主义思想为指导，全面贯彻党的二十大精神，深入贯彻习近平生态文明思想，落实全国生态环境保护大会部署，坚持稳中求进工作总基调，协同推进降碳、减污、扩绿、增长，以改善空气质量为核心，以减少重污染天气和解决人民群众身边的突出大气环境问题为重点，以降低细颗粒物（PM</w:t>
            </w:r>
            <w:r>
              <w:rPr>
                <w:rFonts w:ascii="Times New Roman" w:hAnsi="Times New Roman" w:cs="Times New Roman"/>
                <w:color w:val="auto"/>
                <w:w w:val="99"/>
                <w:sz w:val="21"/>
                <w:szCs w:val="21"/>
                <w:highlight w:val="none"/>
                <w:vertAlign w:val="subscript"/>
              </w:rPr>
              <w:t>2.5</w:t>
            </w:r>
            <w:r>
              <w:rPr>
                <w:rFonts w:ascii="Times New Roman" w:hAnsi="Times New Roman" w:cs="Times New Roman"/>
                <w:color w:val="auto"/>
                <w:w w:val="99"/>
                <w:sz w:val="21"/>
                <w:szCs w:val="21"/>
                <w:highlight w:val="none"/>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w:t>
            </w:r>
          </w:p>
        </w:tc>
        <w:tc>
          <w:tcPr>
            <w:tcW w:w="2120" w:type="pct"/>
            <w:vAlign w:val="center"/>
          </w:tcPr>
          <w:p w14:paraId="1A70DB66">
            <w:pPr>
              <w:adjustRightInd w:val="0"/>
              <w:snapToGrid w:val="0"/>
              <w:spacing w:line="360" w:lineRule="exact"/>
              <w:jc w:val="left"/>
              <w:rPr>
                <w:rFonts w:ascii="Times New Roman" w:hAnsi="Times New Roman" w:cs="Times New Roman"/>
                <w:color w:val="auto"/>
                <w:w w:val="99"/>
                <w:sz w:val="21"/>
                <w:szCs w:val="21"/>
                <w:highlight w:val="none"/>
              </w:rPr>
            </w:pPr>
            <w:r>
              <w:rPr>
                <w:rFonts w:ascii="Times New Roman" w:hAnsi="Times New Roman" w:cs="Times New Roman"/>
                <w:bCs/>
                <w:color w:val="auto"/>
                <w:w w:val="99"/>
                <w:sz w:val="21"/>
                <w:szCs w:val="21"/>
                <w:highlight w:val="none"/>
              </w:rPr>
              <w:t>本项目施工过程中产生的施工扬尘采取运输道路及施工场地定时洒水抑尘，运输车辆采取苫布遮盖措施，土方开挖采取遮盖、围挡、洒水等防尘措施；施工车辆采用清洁燃料，降低污染物排放；柴油机采用节能环保型柴油动力设备，钻井发电机和钻井柴油机采用符合</w:t>
            </w:r>
            <w:r>
              <w:rPr>
                <w:rFonts w:hint="eastAsia" w:ascii="Times New Roman" w:hAnsi="Times New Roman" w:cs="Times New Roman"/>
                <w:bCs/>
                <w:color w:val="auto"/>
                <w:w w:val="99"/>
                <w:sz w:val="21"/>
                <w:szCs w:val="21"/>
                <w:highlight w:val="none"/>
              </w:rPr>
              <w:t>《车用柴油》（</w:t>
            </w:r>
            <w:r>
              <w:rPr>
                <w:rFonts w:ascii="Times New Roman" w:hAnsi="Times New Roman" w:cs="Times New Roman"/>
                <w:bCs/>
                <w:color w:val="auto"/>
                <w:w w:val="99"/>
                <w:sz w:val="21"/>
                <w:szCs w:val="21"/>
                <w:highlight w:val="none"/>
              </w:rPr>
              <w:t>GB 19147-2016）的柴油，加强对机械设备的维护、保养，减少不必要的运转时间，以控制尾气的排放。本项目运营期油气集输全部采用密闭集油工艺流程，井口安装密封垫，集输管线采用密闭管道，定期对设备和管道进行维修保养，保证油气处理设施的平稳运行，控制烃类气体、温室气体的无组织挥发。依托场站内加热炉采用清洁能源天然气作为燃料，并采用低氮燃烧器，加热炉燃烧产生的废气均经不低于8m的烟囱高空排放。</w:t>
            </w:r>
          </w:p>
        </w:tc>
        <w:tc>
          <w:tcPr>
            <w:tcW w:w="534" w:type="pct"/>
            <w:vAlign w:val="center"/>
          </w:tcPr>
          <w:p w14:paraId="769D9B56">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bl>
    <w:p w14:paraId="6E0BC9A8">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根据以上分析，本项目符合《空气质量持续改善行动计划》（国发〔2023〕24号）中要求。</w:t>
      </w:r>
    </w:p>
    <w:p w14:paraId="19DC6BE3">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1.4.3.</w:t>
      </w:r>
      <w:r>
        <w:rPr>
          <w:rFonts w:hint="eastAsia" w:ascii="Times New Roman" w:hAnsi="Times New Roman" w:eastAsiaTheme="minorEastAsia"/>
          <w:b/>
          <w:color w:val="auto"/>
          <w:w w:val="99"/>
          <w:highlight w:val="none"/>
          <w:lang w:val="en-US" w:eastAsia="zh-CN"/>
        </w:rPr>
        <w:t>14</w:t>
      </w:r>
      <w:r>
        <w:rPr>
          <w:rFonts w:ascii="Times New Roman" w:hAnsi="Times New Roman" w:eastAsiaTheme="minorEastAsia"/>
          <w:b/>
          <w:color w:val="auto"/>
          <w:w w:val="99"/>
          <w:highlight w:val="none"/>
        </w:rPr>
        <w:t>与《中华人民共和国石油天然气管道保护法》</w:t>
      </w:r>
      <w:r>
        <w:rPr>
          <w:rFonts w:hint="eastAsia" w:ascii="Times New Roman" w:hAnsi="Times New Roman" w:eastAsiaTheme="minorEastAsia"/>
          <w:b/>
          <w:color w:val="auto"/>
          <w:w w:val="99"/>
          <w:highlight w:val="none"/>
        </w:rPr>
        <w:t>（主席令</w:t>
      </w:r>
      <w:r>
        <w:rPr>
          <w:rFonts w:ascii="Times New Roman" w:hAnsi="Times New Roman" w:eastAsiaTheme="minorEastAsia"/>
          <w:b/>
          <w:color w:val="auto"/>
          <w:w w:val="99"/>
          <w:highlight w:val="none"/>
        </w:rPr>
        <w:t>[2010]</w:t>
      </w:r>
      <w:r>
        <w:rPr>
          <w:rFonts w:hint="eastAsia" w:ascii="Times New Roman" w:hAnsi="Times New Roman" w:eastAsiaTheme="minorEastAsia"/>
          <w:b/>
          <w:color w:val="auto"/>
          <w:w w:val="99"/>
          <w:highlight w:val="none"/>
        </w:rPr>
        <w:t>第</w:t>
      </w:r>
      <w:r>
        <w:rPr>
          <w:rFonts w:ascii="Times New Roman" w:hAnsi="Times New Roman" w:eastAsiaTheme="minorEastAsia"/>
          <w:b/>
          <w:color w:val="auto"/>
          <w:w w:val="99"/>
          <w:highlight w:val="none"/>
        </w:rPr>
        <w:t>30</w:t>
      </w:r>
      <w:r>
        <w:rPr>
          <w:rFonts w:hint="eastAsia" w:ascii="Times New Roman" w:hAnsi="Times New Roman" w:eastAsiaTheme="minorEastAsia"/>
          <w:b/>
          <w:color w:val="auto"/>
          <w:w w:val="99"/>
          <w:highlight w:val="none"/>
        </w:rPr>
        <w:t>号）</w:t>
      </w:r>
      <w:r>
        <w:rPr>
          <w:rFonts w:ascii="Times New Roman" w:hAnsi="Times New Roman" w:eastAsiaTheme="minorEastAsia"/>
          <w:b/>
          <w:color w:val="auto"/>
          <w:w w:val="99"/>
          <w:highlight w:val="none"/>
        </w:rPr>
        <w:t>符合性分析</w:t>
      </w:r>
    </w:p>
    <w:p w14:paraId="3823A57A">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本项目与《中华人民共和国石油天然气管道保护法》（</w:t>
      </w:r>
      <w:r>
        <w:rPr>
          <w:rFonts w:hint="eastAsia" w:ascii="Times New Roman" w:hAnsi="Times New Roman" w:eastAsia="宋体" w:cs="Times New Roman"/>
          <w:color w:val="auto"/>
          <w:spacing w:val="0"/>
          <w:w w:val="99"/>
          <w:position w:val="0"/>
          <w:sz w:val="24"/>
          <w:szCs w:val="24"/>
          <w:highlight w:val="none"/>
          <w:lang w:val="en-US" w:eastAsia="zh-CN" w:bidi="ar-SA"/>
        </w:rPr>
        <w:t>主席令</w:t>
      </w:r>
      <w:r>
        <w:rPr>
          <w:rFonts w:hint="default" w:ascii="Times New Roman" w:hAnsi="Times New Roman" w:eastAsia="宋体" w:cs="Times New Roman"/>
          <w:color w:val="auto"/>
          <w:spacing w:val="0"/>
          <w:w w:val="99"/>
          <w:position w:val="0"/>
          <w:sz w:val="24"/>
          <w:szCs w:val="24"/>
          <w:highlight w:val="none"/>
          <w:lang w:val="en-US" w:eastAsia="zh-CN" w:bidi="ar-SA"/>
        </w:rPr>
        <w:t>[2010]第30号）符合性分析见表1.4-</w:t>
      </w:r>
      <w:r>
        <w:rPr>
          <w:rFonts w:hint="eastAsia" w:ascii="Times New Roman" w:hAnsi="Times New Roman" w:eastAsia="宋体" w:cs="Times New Roman"/>
          <w:color w:val="auto"/>
          <w:spacing w:val="0"/>
          <w:w w:val="99"/>
          <w:position w:val="0"/>
          <w:sz w:val="24"/>
          <w:szCs w:val="24"/>
          <w:highlight w:val="none"/>
          <w:lang w:val="en-US" w:eastAsia="zh-CN" w:bidi="ar-SA"/>
        </w:rPr>
        <w:t>1</w:t>
      </w:r>
      <w:r>
        <w:rPr>
          <w:rFonts w:hint="eastAsia" w:ascii="Times New Roman" w:hAnsi="Times New Roman" w:cs="Times New Roman"/>
          <w:color w:val="auto"/>
          <w:spacing w:val="0"/>
          <w:w w:val="99"/>
          <w:position w:val="0"/>
          <w:sz w:val="24"/>
          <w:szCs w:val="24"/>
          <w:highlight w:val="none"/>
          <w:lang w:val="en-US" w:eastAsia="zh-CN" w:bidi="ar-SA"/>
        </w:rPr>
        <w:t>4</w:t>
      </w:r>
      <w:r>
        <w:rPr>
          <w:rFonts w:hint="default" w:ascii="Times New Roman" w:hAnsi="Times New Roman" w:eastAsia="宋体" w:cs="Times New Roman"/>
          <w:color w:val="auto"/>
          <w:spacing w:val="0"/>
          <w:w w:val="99"/>
          <w:position w:val="0"/>
          <w:sz w:val="24"/>
          <w:szCs w:val="24"/>
          <w:highlight w:val="none"/>
          <w:lang w:val="en-US" w:eastAsia="zh-CN" w:bidi="ar-SA"/>
        </w:rPr>
        <w:t>。</w:t>
      </w:r>
    </w:p>
    <w:p w14:paraId="4A901422">
      <w:pPr>
        <w:spacing w:line="440" w:lineRule="exact"/>
        <w:ind w:firstLine="476" w:firstLineChars="200"/>
        <w:jc w:val="both"/>
        <w:rPr>
          <w:rFonts w:ascii="Times New Roman" w:hAnsi="Times New Roman" w:cs="Times New Roman"/>
          <w:b/>
          <w:iCs/>
          <w:color w:val="auto"/>
          <w:w w:val="99"/>
          <w:kern w:val="2"/>
          <w:highlight w:val="none"/>
        </w:rPr>
      </w:pPr>
      <w:r>
        <w:rPr>
          <w:rFonts w:ascii="Times New Roman" w:hAnsi="Times New Roman" w:cs="Times New Roman"/>
          <w:b/>
          <w:iCs/>
          <w:color w:val="auto"/>
          <w:w w:val="99"/>
          <w:kern w:val="2"/>
          <w:highlight w:val="none"/>
        </w:rPr>
        <w:t>表1.4-</w:t>
      </w:r>
      <w:r>
        <w:rPr>
          <w:rFonts w:hint="eastAsia" w:ascii="Times New Roman" w:hAnsi="Times New Roman" w:cs="Times New Roman"/>
          <w:b/>
          <w:iCs/>
          <w:color w:val="auto"/>
          <w:w w:val="99"/>
          <w:kern w:val="2"/>
          <w:highlight w:val="none"/>
          <w:lang w:val="en-US" w:eastAsia="zh-CN"/>
        </w:rPr>
        <w:t>14</w:t>
      </w:r>
      <w:r>
        <w:rPr>
          <w:rFonts w:ascii="Times New Roman" w:hAnsi="Times New Roman" w:cs="Times New Roman"/>
          <w:b/>
          <w:iCs/>
          <w:color w:val="auto"/>
          <w:w w:val="99"/>
          <w:kern w:val="2"/>
          <w:highlight w:val="none"/>
        </w:rPr>
        <w:t xml:space="preserve">   本项目与</w:t>
      </w:r>
      <w:r>
        <w:rPr>
          <w:rFonts w:hint="eastAsia" w:ascii="Times New Roman" w:hAnsi="Times New Roman" w:cs="Times New Roman"/>
          <w:b/>
          <w:iCs/>
          <w:color w:val="auto"/>
          <w:w w:val="99"/>
          <w:kern w:val="2"/>
          <w:highlight w:val="none"/>
        </w:rPr>
        <w:t>“主席令</w:t>
      </w:r>
      <w:r>
        <w:rPr>
          <w:rFonts w:ascii="Times New Roman" w:hAnsi="Times New Roman" w:cs="Times New Roman"/>
          <w:b/>
          <w:iCs/>
          <w:color w:val="auto"/>
          <w:w w:val="99"/>
          <w:kern w:val="2"/>
          <w:highlight w:val="none"/>
        </w:rPr>
        <w:t>[2010]第30号</w:t>
      </w:r>
      <w:r>
        <w:rPr>
          <w:rFonts w:hint="eastAsia" w:ascii="Times New Roman" w:hAnsi="Times New Roman" w:cs="Times New Roman"/>
          <w:b/>
          <w:iCs/>
          <w:color w:val="auto"/>
          <w:w w:val="99"/>
          <w:kern w:val="2"/>
          <w:highlight w:val="none"/>
        </w:rPr>
        <w:t>”</w:t>
      </w:r>
      <w:r>
        <w:rPr>
          <w:rFonts w:ascii="Times New Roman" w:hAnsi="Times New Roman" w:cs="Times New Roman"/>
          <w:b/>
          <w:iCs/>
          <w:color w:val="auto"/>
          <w:w w:val="99"/>
          <w:kern w:val="2"/>
          <w:highlight w:val="none"/>
        </w:rPr>
        <w:t>符合性一览表</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31"/>
        <w:gridCol w:w="3406"/>
        <w:gridCol w:w="939"/>
      </w:tblGrid>
      <w:tr w14:paraId="4EE2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14613BE3">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2279" w:type="pct"/>
            <w:vAlign w:val="center"/>
          </w:tcPr>
          <w:p w14:paraId="71433DA4">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文件要求</w:t>
            </w:r>
          </w:p>
        </w:tc>
        <w:tc>
          <w:tcPr>
            <w:tcW w:w="1835" w:type="pct"/>
            <w:vAlign w:val="center"/>
          </w:tcPr>
          <w:p w14:paraId="3BA0B60A">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符合性分析</w:t>
            </w:r>
          </w:p>
        </w:tc>
        <w:tc>
          <w:tcPr>
            <w:tcW w:w="506" w:type="pct"/>
            <w:vAlign w:val="center"/>
          </w:tcPr>
          <w:p w14:paraId="1F74620B">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w:t>
            </w:r>
          </w:p>
        </w:tc>
      </w:tr>
      <w:tr w14:paraId="5BF3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52176326">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2279" w:type="pct"/>
            <w:vAlign w:val="center"/>
          </w:tcPr>
          <w:p w14:paraId="66437EF8">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管道企业应当建立、健全管道巡护制度，配备专门人员对管道线路进行日常巡护。管道巡护人员发现危害管道安全的情形或者隐患，应当按照规定及时处理和报告。</w:t>
            </w:r>
          </w:p>
        </w:tc>
        <w:tc>
          <w:tcPr>
            <w:tcW w:w="1835" w:type="pct"/>
            <w:vMerge w:val="restart"/>
            <w:vAlign w:val="center"/>
          </w:tcPr>
          <w:p w14:paraId="466AEBF3">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管道由小队人员每日巡检，发现问题按程序上报处理。集输管道采用防腐无缝钢管，泄漏事故具有隐蔽性和灾难性，要加强监控，定期对集输管线防腐及腐蚀情况定期检测，及时维修或更新，防止泄漏事故的发生。</w:t>
            </w:r>
          </w:p>
        </w:tc>
        <w:tc>
          <w:tcPr>
            <w:tcW w:w="506" w:type="pct"/>
            <w:vMerge w:val="restart"/>
            <w:vAlign w:val="center"/>
          </w:tcPr>
          <w:p w14:paraId="0EEAACC9">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r w14:paraId="7150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21592154">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w:t>
            </w:r>
          </w:p>
        </w:tc>
        <w:tc>
          <w:tcPr>
            <w:tcW w:w="2279" w:type="pct"/>
            <w:vAlign w:val="center"/>
          </w:tcPr>
          <w:p w14:paraId="73604557">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管道企业应当定期对管道进行检测、维修，确保其处于良好状态；对管道安全风险较大的区段和场所应当进行重点监测，采取有效措施防止管道事故的发生。</w:t>
            </w:r>
          </w:p>
        </w:tc>
        <w:tc>
          <w:tcPr>
            <w:tcW w:w="1835" w:type="pct"/>
            <w:vMerge w:val="continue"/>
            <w:vAlign w:val="center"/>
          </w:tcPr>
          <w:p w14:paraId="4F5112CA">
            <w:pPr>
              <w:adjustRightInd w:val="0"/>
              <w:snapToGrid w:val="0"/>
              <w:spacing w:line="360" w:lineRule="exact"/>
              <w:jc w:val="both"/>
              <w:rPr>
                <w:rFonts w:ascii="Times New Roman" w:hAnsi="Times New Roman" w:cs="Times New Roman"/>
                <w:color w:val="auto"/>
                <w:w w:val="99"/>
                <w:sz w:val="21"/>
                <w:szCs w:val="21"/>
                <w:highlight w:val="none"/>
              </w:rPr>
            </w:pPr>
          </w:p>
        </w:tc>
        <w:tc>
          <w:tcPr>
            <w:tcW w:w="506" w:type="pct"/>
            <w:vMerge w:val="continue"/>
            <w:vAlign w:val="center"/>
          </w:tcPr>
          <w:p w14:paraId="744AB6B5">
            <w:pPr>
              <w:adjustRightInd w:val="0"/>
              <w:snapToGrid w:val="0"/>
              <w:spacing w:line="360" w:lineRule="exact"/>
              <w:jc w:val="center"/>
              <w:rPr>
                <w:rFonts w:ascii="Times New Roman" w:hAnsi="Times New Roman" w:cs="Times New Roman"/>
                <w:color w:val="auto"/>
                <w:w w:val="99"/>
                <w:sz w:val="21"/>
                <w:szCs w:val="21"/>
                <w:highlight w:val="none"/>
              </w:rPr>
            </w:pPr>
          </w:p>
        </w:tc>
      </w:tr>
      <w:tr w14:paraId="225D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2B6BF419">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w:t>
            </w:r>
          </w:p>
        </w:tc>
        <w:tc>
          <w:tcPr>
            <w:tcW w:w="2279" w:type="pct"/>
            <w:vAlign w:val="center"/>
          </w:tcPr>
          <w:p w14:paraId="67803607">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管道企业应当制定本企业管道事故应急预案，并报管道所在地县级人民政府主管管道保护工作的部门备案；配备抢险救援人员和设备，并定期进行管道事故应急救援演练。</w:t>
            </w:r>
          </w:p>
        </w:tc>
        <w:tc>
          <w:tcPr>
            <w:tcW w:w="1835" w:type="pct"/>
            <w:vAlign w:val="center"/>
          </w:tcPr>
          <w:p w14:paraId="3CA5874E">
            <w:pPr>
              <w:adjustRightInd w:val="0"/>
              <w:snapToGrid w:val="0"/>
              <w:spacing w:line="360" w:lineRule="exact"/>
              <w:jc w:val="both"/>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val="en-US" w:eastAsia="zh-CN"/>
              </w:rPr>
              <w:t>采气分公司</w:t>
            </w:r>
            <w:r>
              <w:rPr>
                <w:rFonts w:ascii="Times New Roman" w:hAnsi="Times New Roman" w:cs="Times New Roman"/>
                <w:color w:val="auto"/>
                <w:w w:val="99"/>
                <w:sz w:val="21"/>
                <w:szCs w:val="21"/>
                <w:highlight w:val="none"/>
              </w:rPr>
              <w:t>已制定油气集输管道突发环境事件专项应急预案，对油气集输管道可能发生的泄漏、火灾等各类事故制定了应急处置措施，并定期演练。应急预案已于</w:t>
            </w:r>
            <w:r>
              <w:rPr>
                <w:rFonts w:hint="eastAsia" w:ascii="Times New Roman" w:hAnsi="Times New Roman" w:cs="Times New Roman"/>
                <w:color w:val="auto"/>
                <w:w w:val="99"/>
                <w:sz w:val="21"/>
                <w:szCs w:val="21"/>
                <w:highlight w:val="none"/>
                <w:lang w:val="en-US" w:eastAsia="zh-CN"/>
              </w:rPr>
              <w:t>2024年12月19日在大庆市让胡路生态环境局</w:t>
            </w:r>
            <w:r>
              <w:rPr>
                <w:rFonts w:ascii="Times New Roman" w:hAnsi="Times New Roman" w:cs="Times New Roman"/>
                <w:color w:val="auto"/>
                <w:w w:val="99"/>
                <w:sz w:val="21"/>
                <w:szCs w:val="21"/>
                <w:highlight w:val="none"/>
              </w:rPr>
              <w:t xml:space="preserve">进行了备案，备案编号为 </w:t>
            </w:r>
            <w:r>
              <w:rPr>
                <w:rFonts w:hint="eastAsia" w:ascii="Times New Roman" w:hAnsi="Times New Roman" w:cs="Times New Roman"/>
                <w:color w:val="auto"/>
                <w:w w:val="99"/>
                <w:sz w:val="21"/>
                <w:szCs w:val="21"/>
                <w:highlight w:val="none"/>
                <w:lang w:eastAsia="zh-CN"/>
              </w:rPr>
              <w:t>230604-2024-47-L</w:t>
            </w:r>
            <w:r>
              <w:rPr>
                <w:rFonts w:ascii="Times New Roman" w:hAnsi="Times New Roman" w:cs="Times New Roman"/>
                <w:color w:val="auto"/>
                <w:w w:val="99"/>
                <w:sz w:val="21"/>
                <w:szCs w:val="21"/>
                <w:highlight w:val="none"/>
              </w:rPr>
              <w:t>。</w:t>
            </w:r>
          </w:p>
        </w:tc>
        <w:tc>
          <w:tcPr>
            <w:tcW w:w="506" w:type="pct"/>
            <w:vAlign w:val="center"/>
          </w:tcPr>
          <w:p w14:paraId="3544903B">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bookmarkEnd w:id="79"/>
      <w:bookmarkEnd w:id="80"/>
      <w:bookmarkEnd w:id="81"/>
    </w:tbl>
    <w:p w14:paraId="1950446E">
      <w:pPr>
        <w:widowControl w:val="0"/>
        <w:spacing w:line="440" w:lineRule="exact"/>
        <w:jc w:val="both"/>
        <w:outlineLvl w:val="3"/>
        <w:rPr>
          <w:rFonts w:ascii="Times New Roman" w:hAnsi="Times New Roman" w:cs="Times New Roman" w:eastAsiaTheme="minorEastAsia"/>
          <w:b/>
          <w:color w:val="auto"/>
          <w:w w:val="99"/>
          <w:highlight w:val="none"/>
        </w:rPr>
      </w:pPr>
      <w:bookmarkStart w:id="110" w:name="_Toc57203206"/>
      <w:bookmarkStart w:id="111" w:name="_Toc61597175"/>
      <w:bookmarkStart w:id="112" w:name="_Toc57976631"/>
      <w:bookmarkStart w:id="113" w:name="_Toc57707876"/>
      <w:bookmarkStart w:id="114" w:name="_Toc83209427"/>
      <w:bookmarkStart w:id="115" w:name="_Toc67860083"/>
      <w:bookmarkStart w:id="116" w:name="_Toc80971332"/>
      <w:bookmarkStart w:id="117" w:name="_Toc186444231"/>
      <w:bookmarkStart w:id="118" w:name="_Toc77067614"/>
      <w:bookmarkStart w:id="119" w:name="_Toc70050130"/>
      <w:bookmarkStart w:id="120" w:name="_Toc76976198"/>
      <w:bookmarkStart w:id="121" w:name="_Toc78816415"/>
      <w:bookmarkStart w:id="122" w:name="_Toc80588210"/>
      <w:bookmarkStart w:id="123" w:name="_Toc527882715"/>
      <w:bookmarkStart w:id="124" w:name="_Toc502736436"/>
      <w:bookmarkStart w:id="125" w:name="_Toc527121316"/>
      <w:bookmarkStart w:id="126" w:name="_Toc11277"/>
      <w:bookmarkStart w:id="127" w:name="_Toc17898122"/>
      <w:r>
        <w:rPr>
          <w:rFonts w:hint="eastAsia" w:ascii="Times New Roman" w:hAnsi="Times New Roman" w:cs="Times New Roman" w:eastAsiaTheme="minorEastAsia"/>
          <w:b/>
          <w:color w:val="auto"/>
          <w:w w:val="99"/>
          <w:highlight w:val="none"/>
        </w:rPr>
        <w:t>1.</w:t>
      </w:r>
      <w:r>
        <w:rPr>
          <w:rFonts w:ascii="Times New Roman" w:hAnsi="Times New Roman" w:cs="Times New Roman" w:eastAsiaTheme="minorEastAsia"/>
          <w:b/>
          <w:color w:val="auto"/>
          <w:w w:val="99"/>
          <w:highlight w:val="none"/>
        </w:rPr>
        <w:t>4.3.</w:t>
      </w:r>
      <w:r>
        <w:rPr>
          <w:rFonts w:hint="eastAsia" w:ascii="Times New Roman" w:hAnsi="Times New Roman" w:cs="Times New Roman" w:eastAsiaTheme="minorEastAsia"/>
          <w:b/>
          <w:color w:val="auto"/>
          <w:w w:val="99"/>
          <w:highlight w:val="none"/>
          <w:lang w:val="en-US" w:eastAsia="zh-CN"/>
        </w:rPr>
        <w:t>15</w:t>
      </w:r>
      <w:r>
        <w:rPr>
          <w:rFonts w:ascii="Times New Roman" w:hAnsi="Times New Roman" w:cs="Times New Roman" w:eastAsiaTheme="minorEastAsia"/>
          <w:b/>
          <w:color w:val="auto"/>
          <w:w w:val="99"/>
          <w:highlight w:val="none"/>
        </w:rPr>
        <w:t>与《土壤污染源头防控行动计划》（环土壤〔2024〕80号）符合性分析</w:t>
      </w:r>
    </w:p>
    <w:p w14:paraId="19AAFBE4">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本项目与</w:t>
      </w:r>
      <w:r>
        <w:rPr>
          <w:rFonts w:hint="eastAsia" w:ascii="Times New Roman" w:hAnsi="Times New Roman" w:eastAsia="宋体" w:cs="Times New Roman"/>
          <w:color w:val="auto"/>
          <w:spacing w:val="0"/>
          <w:w w:val="99"/>
          <w:position w:val="0"/>
          <w:sz w:val="24"/>
          <w:szCs w:val="24"/>
          <w:highlight w:val="none"/>
          <w:lang w:val="en-US" w:eastAsia="zh-CN" w:bidi="ar-SA"/>
        </w:rPr>
        <w:t>《土壤污染源头防控行动计划》（环土壤〔</w:t>
      </w:r>
      <w:r>
        <w:rPr>
          <w:rFonts w:hint="default" w:ascii="Times New Roman" w:hAnsi="Times New Roman" w:eastAsia="宋体" w:cs="Times New Roman"/>
          <w:color w:val="auto"/>
          <w:spacing w:val="0"/>
          <w:w w:val="99"/>
          <w:position w:val="0"/>
          <w:sz w:val="24"/>
          <w:szCs w:val="24"/>
          <w:highlight w:val="none"/>
          <w:lang w:val="en-US" w:eastAsia="zh-CN" w:bidi="ar-SA"/>
        </w:rPr>
        <w:t>2024〕80号）符合性分析见表</w:t>
      </w:r>
      <w:r>
        <w:rPr>
          <w:rFonts w:hint="eastAsia" w:ascii="Times New Roman" w:hAnsi="Times New Roman" w:eastAsia="宋体" w:cs="Times New Roman"/>
          <w:color w:val="auto"/>
          <w:spacing w:val="0"/>
          <w:w w:val="99"/>
          <w:position w:val="0"/>
          <w:sz w:val="24"/>
          <w:szCs w:val="24"/>
          <w:highlight w:val="none"/>
          <w:lang w:val="en-US" w:eastAsia="zh-CN" w:bidi="ar-SA"/>
        </w:rPr>
        <w:t>1</w:t>
      </w:r>
      <w:r>
        <w:rPr>
          <w:rFonts w:hint="default" w:ascii="Times New Roman" w:hAnsi="Times New Roman" w:eastAsia="宋体" w:cs="Times New Roman"/>
          <w:color w:val="auto"/>
          <w:spacing w:val="0"/>
          <w:w w:val="99"/>
          <w:position w:val="0"/>
          <w:sz w:val="24"/>
          <w:szCs w:val="24"/>
          <w:highlight w:val="none"/>
          <w:lang w:val="en-US" w:eastAsia="zh-CN" w:bidi="ar-SA"/>
        </w:rPr>
        <w:t>.4-</w:t>
      </w:r>
      <w:r>
        <w:rPr>
          <w:rFonts w:hint="eastAsia" w:ascii="Times New Roman" w:hAnsi="Times New Roman" w:cs="Times New Roman"/>
          <w:color w:val="auto"/>
          <w:spacing w:val="0"/>
          <w:w w:val="99"/>
          <w:position w:val="0"/>
          <w:sz w:val="24"/>
          <w:szCs w:val="24"/>
          <w:highlight w:val="none"/>
          <w:lang w:val="en-US" w:eastAsia="zh-CN" w:bidi="ar-SA"/>
        </w:rPr>
        <w:t>15</w:t>
      </w:r>
      <w:r>
        <w:rPr>
          <w:rFonts w:hint="default" w:ascii="Times New Roman" w:hAnsi="Times New Roman" w:eastAsia="宋体" w:cs="Times New Roman"/>
          <w:color w:val="auto"/>
          <w:spacing w:val="0"/>
          <w:w w:val="99"/>
          <w:position w:val="0"/>
          <w:sz w:val="24"/>
          <w:szCs w:val="24"/>
          <w:highlight w:val="none"/>
          <w:lang w:val="en-US" w:eastAsia="zh-CN" w:bidi="ar-SA"/>
        </w:rPr>
        <w:t>。</w:t>
      </w:r>
    </w:p>
    <w:p w14:paraId="375E01EF">
      <w:pPr>
        <w:pStyle w:val="153"/>
        <w:widowControl w:val="0"/>
        <w:spacing w:line="440" w:lineRule="exact"/>
        <w:ind w:firstLine="473"/>
        <w:jc w:val="both"/>
        <w:rPr>
          <w:rFonts w:hint="default" w:ascii="Times New Roman" w:hAnsi="Times New Roman" w:eastAsia="宋体" w:cs="Times New Roman"/>
          <w:b/>
          <w:bCs/>
          <w:color w:val="auto"/>
          <w:spacing w:val="0"/>
          <w:w w:val="99"/>
          <w:position w:val="0"/>
          <w:sz w:val="24"/>
          <w:szCs w:val="24"/>
          <w:highlight w:val="none"/>
          <w:lang w:val="en-US" w:eastAsia="zh-CN" w:bidi="ar-SA"/>
        </w:rPr>
      </w:pPr>
      <w:r>
        <w:rPr>
          <w:rFonts w:hint="default" w:ascii="Times New Roman" w:hAnsi="Times New Roman" w:eastAsia="宋体" w:cs="Times New Roman"/>
          <w:b/>
          <w:bCs/>
          <w:color w:val="auto"/>
          <w:spacing w:val="0"/>
          <w:w w:val="99"/>
          <w:position w:val="0"/>
          <w:sz w:val="24"/>
          <w:szCs w:val="24"/>
          <w:highlight w:val="none"/>
          <w:lang w:val="en-US" w:eastAsia="zh-CN" w:bidi="ar-SA"/>
        </w:rPr>
        <w:t>表</w:t>
      </w:r>
      <w:r>
        <w:rPr>
          <w:rFonts w:hint="eastAsia" w:ascii="Times New Roman" w:hAnsi="Times New Roman" w:eastAsia="宋体" w:cs="Times New Roman"/>
          <w:b/>
          <w:bCs/>
          <w:color w:val="auto"/>
          <w:spacing w:val="0"/>
          <w:w w:val="99"/>
          <w:position w:val="0"/>
          <w:sz w:val="24"/>
          <w:szCs w:val="24"/>
          <w:highlight w:val="none"/>
          <w:lang w:val="en-US" w:eastAsia="zh-CN" w:bidi="ar-SA"/>
        </w:rPr>
        <w:t>1</w:t>
      </w:r>
      <w:r>
        <w:rPr>
          <w:rFonts w:hint="default" w:ascii="Times New Roman" w:hAnsi="Times New Roman" w:eastAsia="宋体" w:cs="Times New Roman"/>
          <w:b/>
          <w:bCs/>
          <w:color w:val="auto"/>
          <w:spacing w:val="0"/>
          <w:w w:val="99"/>
          <w:position w:val="0"/>
          <w:sz w:val="24"/>
          <w:szCs w:val="24"/>
          <w:highlight w:val="none"/>
          <w:lang w:val="en-US" w:eastAsia="zh-CN" w:bidi="ar-SA"/>
        </w:rPr>
        <w:t>.4-</w:t>
      </w:r>
      <w:r>
        <w:rPr>
          <w:rFonts w:hint="eastAsia" w:ascii="Times New Roman" w:hAnsi="Times New Roman" w:cs="Times New Roman"/>
          <w:b/>
          <w:bCs/>
          <w:color w:val="auto"/>
          <w:spacing w:val="0"/>
          <w:w w:val="99"/>
          <w:position w:val="0"/>
          <w:sz w:val="24"/>
          <w:szCs w:val="24"/>
          <w:highlight w:val="none"/>
          <w:lang w:val="en-US" w:eastAsia="zh-CN" w:bidi="ar-SA"/>
        </w:rPr>
        <w:t>15</w:t>
      </w:r>
      <w:r>
        <w:rPr>
          <w:rFonts w:hint="default" w:ascii="Times New Roman" w:hAnsi="Times New Roman" w:eastAsia="宋体" w:cs="Times New Roman"/>
          <w:b/>
          <w:bCs/>
          <w:color w:val="auto"/>
          <w:spacing w:val="0"/>
          <w:w w:val="99"/>
          <w:position w:val="0"/>
          <w:sz w:val="24"/>
          <w:szCs w:val="24"/>
          <w:highlight w:val="none"/>
          <w:lang w:val="en-US" w:eastAsia="zh-CN" w:bidi="ar-SA"/>
        </w:rPr>
        <w:t xml:space="preserve">  本项目与《土壤污染源头防控行动计划》符合性一览表</w:t>
      </w:r>
    </w:p>
    <w:tbl>
      <w:tblPr>
        <w:tblStyle w:val="80"/>
        <w:tblW w:w="48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3813"/>
        <w:gridCol w:w="3634"/>
        <w:gridCol w:w="916"/>
      </w:tblGrid>
      <w:tr w14:paraId="3302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79" w:type="pct"/>
            <w:vAlign w:val="center"/>
          </w:tcPr>
          <w:p w14:paraId="2C7CFCBA">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2107" w:type="pct"/>
            <w:vAlign w:val="center"/>
          </w:tcPr>
          <w:p w14:paraId="51F8294F">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文件要求</w:t>
            </w:r>
          </w:p>
        </w:tc>
        <w:tc>
          <w:tcPr>
            <w:tcW w:w="2008" w:type="pct"/>
            <w:vAlign w:val="center"/>
          </w:tcPr>
          <w:p w14:paraId="3855AF50">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符合性分析</w:t>
            </w:r>
          </w:p>
        </w:tc>
        <w:tc>
          <w:tcPr>
            <w:tcW w:w="506" w:type="pct"/>
            <w:vAlign w:val="center"/>
          </w:tcPr>
          <w:p w14:paraId="4A337451">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w:t>
            </w:r>
          </w:p>
        </w:tc>
      </w:tr>
      <w:tr w14:paraId="0C71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79" w:type="pct"/>
            <w:vAlign w:val="center"/>
          </w:tcPr>
          <w:p w14:paraId="73F6BD0B">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2107" w:type="pct"/>
            <w:vAlign w:val="center"/>
          </w:tcPr>
          <w:p w14:paraId="5BBF514C">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落实生态环境分区管控。加强农用地分类管理，衔接国土空间规划，根据土壤污染程度和相关标准，动态调整优先保护类、安全利用类和严格管控类农用地的数量和边界，细化并落实分类管理措施。城镇开发边界外不得规划建设各类开发区，区内各类开发 建设活动应严格落实生态环境准入清单。严格重点建设用地安全利用。完善地下水环境风险管控划定技术要求，划定地下水污染防治重点区，精准编制差异化准入清单，提出土壤和地下水污染风险管控要求。</w:t>
            </w:r>
          </w:p>
        </w:tc>
        <w:tc>
          <w:tcPr>
            <w:tcW w:w="2008" w:type="pct"/>
            <w:vAlign w:val="center"/>
          </w:tcPr>
          <w:p w14:paraId="559EA5A7">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符合生态环境分区管控准入要求，已针对项目特点提出针对性地下水污染防治措施，主要包括采取分区防渗措施，根据可能对地下水造成污染的污染源分布制定重点防渗区、简单防渗区；根据区域潜水流向，在区域</w:t>
            </w:r>
            <w:r>
              <w:rPr>
                <w:rFonts w:hint="eastAsia" w:ascii="Times New Roman" w:hAnsi="Times New Roman" w:cs="Times New Roman"/>
                <w:color w:val="auto"/>
                <w:w w:val="99"/>
                <w:sz w:val="21"/>
                <w:szCs w:val="21"/>
                <w:highlight w:val="none"/>
                <w:lang w:eastAsia="zh-CN"/>
              </w:rPr>
              <w:t>、</w:t>
            </w:r>
            <w:r>
              <w:rPr>
                <w:rFonts w:ascii="Times New Roman" w:hAnsi="Times New Roman" w:cs="Times New Roman"/>
                <w:color w:val="auto"/>
                <w:w w:val="99"/>
                <w:sz w:val="21"/>
                <w:szCs w:val="21"/>
                <w:highlight w:val="none"/>
              </w:rPr>
              <w:t>下游设</w:t>
            </w:r>
            <w:r>
              <w:rPr>
                <w:rFonts w:hint="eastAsia" w:ascii="Times New Roman" w:hAnsi="Times New Roman" w:cs="Times New Roman"/>
                <w:color w:val="auto"/>
                <w:w w:val="99"/>
                <w:sz w:val="21"/>
                <w:szCs w:val="21"/>
                <w:highlight w:val="none"/>
                <w:lang w:val="en-US" w:eastAsia="zh-CN"/>
              </w:rPr>
              <w:t>3</w:t>
            </w:r>
            <w:r>
              <w:rPr>
                <w:rFonts w:ascii="Times New Roman" w:hAnsi="Times New Roman" w:cs="Times New Roman"/>
                <w:color w:val="auto"/>
                <w:w w:val="99"/>
                <w:sz w:val="21"/>
                <w:szCs w:val="21"/>
                <w:highlight w:val="none"/>
              </w:rPr>
              <w:t>个潜水跟踪监测点，定期对地下水进行跟踪监测。</w:t>
            </w:r>
          </w:p>
        </w:tc>
        <w:tc>
          <w:tcPr>
            <w:tcW w:w="506" w:type="pct"/>
            <w:vAlign w:val="center"/>
          </w:tcPr>
          <w:p w14:paraId="4245D7BA">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r w14:paraId="3722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79" w:type="pct"/>
            <w:vAlign w:val="center"/>
          </w:tcPr>
          <w:p w14:paraId="05255AE0">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w:t>
            </w:r>
          </w:p>
        </w:tc>
        <w:tc>
          <w:tcPr>
            <w:tcW w:w="2107" w:type="pct"/>
            <w:vAlign w:val="center"/>
          </w:tcPr>
          <w:p w14:paraId="051BE3F9">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加强未污染土壤保护。强化优先保护类耕地管理，加强土壤生态环境质量监测和保护。鼓励黑龙江等省份探索开展黑土地土壤生态环境保护监督管理。加强盐碱地生态环境保护。新建涉重金属排放企业，要在相关建设项目中加强重金属排放对周边耕地土壤的累积性风险分析，存在风险的，要采取防控措施。</w:t>
            </w:r>
          </w:p>
        </w:tc>
        <w:tc>
          <w:tcPr>
            <w:tcW w:w="2008" w:type="pct"/>
            <w:vAlign w:val="center"/>
          </w:tcPr>
          <w:p w14:paraId="1A057B76">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bCs/>
                <w:color w:val="auto"/>
                <w:w w:val="99"/>
                <w:sz w:val="21"/>
                <w:szCs w:val="21"/>
                <w:highlight w:val="none"/>
              </w:rPr>
              <w:t>在施工过程中针对临时占地，应剥离占地内的表土，</w:t>
            </w:r>
            <w:r>
              <w:rPr>
                <w:rFonts w:hint="eastAsia" w:ascii="Times New Roman" w:hAnsi="Times New Roman" w:cs="Times New Roman"/>
                <w:bCs/>
                <w:color w:val="auto"/>
                <w:w w:val="99"/>
                <w:sz w:val="21"/>
                <w:szCs w:val="21"/>
                <w:highlight w:val="none"/>
              </w:rPr>
              <w:t>耕地剥离厚度</w:t>
            </w:r>
            <w:r>
              <w:rPr>
                <w:rFonts w:ascii="Times New Roman" w:hAnsi="Times New Roman" w:cs="Times New Roman"/>
                <w:bCs/>
                <w:color w:val="auto"/>
                <w:w w:val="99"/>
                <w:sz w:val="21"/>
                <w:szCs w:val="21"/>
                <w:highlight w:val="none"/>
              </w:rPr>
              <w:t>0.3m，采用分层开挖，分层堆放，暂存于占地内的表土剥离临时堆放区，并采取苫布遮盖，表土剥离临时堆放区周围设置排水沟等措施防止水土流失，并定期采取洒水抑尘措施，剥离的表土在施工结束后分层回填，并及时恢复地表植被</w:t>
            </w:r>
            <w:r>
              <w:rPr>
                <w:rFonts w:ascii="Times New Roman" w:hAnsi="Times New Roman" w:cs="Times New Roman"/>
                <w:color w:val="auto"/>
                <w:w w:val="99"/>
                <w:sz w:val="21"/>
                <w:szCs w:val="21"/>
                <w:highlight w:val="none"/>
              </w:rPr>
              <w:t>。</w:t>
            </w:r>
          </w:p>
        </w:tc>
        <w:tc>
          <w:tcPr>
            <w:tcW w:w="506" w:type="pct"/>
            <w:vAlign w:val="center"/>
          </w:tcPr>
          <w:p w14:paraId="5F5E1397">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r w14:paraId="7943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79" w:type="pct"/>
            <w:vAlign w:val="center"/>
          </w:tcPr>
          <w:p w14:paraId="3E668BB0">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3</w:t>
            </w:r>
          </w:p>
        </w:tc>
        <w:tc>
          <w:tcPr>
            <w:tcW w:w="2107" w:type="pct"/>
            <w:vAlign w:val="center"/>
          </w:tcPr>
          <w:p w14:paraId="7F09B866">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推进固体废物源头减量和综合利用。加强一般工业固体废物规范化环境管理，开展历史遗留固体废物堆存场摸底排查和分级分类整改，全面完善防渗漏、防流失、防扬散等措施。严密防控危险废物环境风险，深化危险废物规范化环境管理评估，推进全过程信息化环境管理，严格管控最终填埋处置。严厉打击非法排放、倾倒、转移、处置固体废物，尤其是危险废物环境违法犯罪行为。</w:t>
            </w:r>
          </w:p>
        </w:tc>
        <w:tc>
          <w:tcPr>
            <w:tcW w:w="2008" w:type="pct"/>
            <w:vAlign w:val="center"/>
          </w:tcPr>
          <w:p w14:paraId="31A868E8">
            <w:pPr>
              <w:adjustRightInd w:val="0"/>
              <w:snapToGrid w:val="0"/>
              <w:spacing w:line="360" w:lineRule="exact"/>
              <w:jc w:val="both"/>
              <w:rPr>
                <w:rFonts w:hint="eastAsia" w:ascii="Times New Roman" w:hAnsi="Times New Roman" w:cs="Times New Roman" w:eastAsiaTheme="minorEastAsia"/>
                <w:color w:val="auto"/>
                <w:w w:val="99"/>
                <w:kern w:val="2"/>
                <w:highlight w:val="none"/>
                <w:lang w:val="en-US" w:eastAsia="zh-CN"/>
              </w:rPr>
            </w:pPr>
            <w:r>
              <w:rPr>
                <w:rFonts w:ascii="Times New Roman" w:hAnsi="Times New Roman" w:cs="Times New Roman"/>
                <w:color w:val="auto"/>
                <w:w w:val="99"/>
                <w:sz w:val="21"/>
                <w:szCs w:val="21"/>
                <w:highlight w:val="none"/>
              </w:rPr>
              <w:t>本项目</w:t>
            </w:r>
            <w:r>
              <w:rPr>
                <w:rFonts w:hint="eastAsia" w:ascii="Times New Roman" w:hAnsi="Times New Roman" w:cs="Times New Roman"/>
                <w:color w:val="auto"/>
                <w:w w:val="99"/>
                <w:sz w:val="21"/>
                <w:szCs w:val="21"/>
                <w:highlight w:val="none"/>
              </w:rPr>
              <w:t>施工期</w:t>
            </w:r>
            <w:r>
              <w:rPr>
                <w:rFonts w:ascii="Times New Roman" w:hAnsi="Times New Roman" w:cs="Times New Roman"/>
                <w:color w:val="auto"/>
                <w:w w:val="99"/>
                <w:sz w:val="21"/>
                <w:szCs w:val="21"/>
                <w:highlight w:val="none"/>
              </w:rPr>
              <w:t>施工废料</w:t>
            </w:r>
            <w:r>
              <w:rPr>
                <w:rFonts w:ascii="Times New Roman" w:hAnsi="Times New Roman" w:cs="Times New Roman"/>
                <w:bCs/>
                <w:color w:val="auto"/>
                <w:w w:val="99"/>
                <w:sz w:val="21"/>
                <w:szCs w:val="21"/>
                <w:highlight w:val="none"/>
              </w:rPr>
              <w:t>由施工单位拉运至第八采</w:t>
            </w:r>
            <w:r>
              <w:rPr>
                <w:rFonts w:hint="eastAsia" w:ascii="Times New Roman" w:hAnsi="Times New Roman" w:eastAsia="宋体" w:cs="Times New Roman"/>
                <w:bCs/>
                <w:color w:val="auto"/>
                <w:w w:val="99"/>
                <w:sz w:val="21"/>
                <w:szCs w:val="21"/>
                <w:highlight w:val="none"/>
                <w:lang w:val="en-US" w:eastAsia="zh-CN"/>
              </w:rPr>
              <w:t>油厂工业固废填埋场处理；生活垃圾统一收集后运至</w:t>
            </w:r>
            <w:r>
              <w:rPr>
                <w:rFonts w:hint="eastAsia" w:ascii="Times New Roman" w:hAnsi="Times New Roman" w:cs="Times New Roman"/>
                <w:bCs/>
                <w:color w:val="auto"/>
                <w:w w:val="99"/>
                <w:sz w:val="21"/>
                <w:szCs w:val="21"/>
                <w:highlight w:val="none"/>
                <w:lang w:val="en-US" w:eastAsia="zh-CN"/>
              </w:rPr>
              <w:t>肇东北控环境再生能源有限公司</w:t>
            </w:r>
            <w:r>
              <w:rPr>
                <w:rFonts w:hint="eastAsia" w:ascii="Times New Roman" w:hAnsi="Times New Roman" w:eastAsia="宋体" w:cs="Times New Roman"/>
                <w:bCs/>
                <w:color w:val="auto"/>
                <w:w w:val="99"/>
                <w:sz w:val="21"/>
                <w:szCs w:val="21"/>
                <w:highlight w:val="none"/>
                <w:lang w:val="en-US" w:eastAsia="zh-CN"/>
              </w:rPr>
              <w:t>垃圾处理厂进行处理</w:t>
            </w:r>
            <w:r>
              <w:rPr>
                <w:rFonts w:hint="eastAsia" w:ascii="Times New Roman" w:hAnsi="Times New Roman" w:cs="Times New Roman"/>
                <w:bCs/>
                <w:color w:val="auto"/>
                <w:w w:val="99"/>
                <w:sz w:val="21"/>
                <w:szCs w:val="21"/>
                <w:highlight w:val="none"/>
                <w:lang w:val="en-US" w:eastAsia="zh-CN"/>
              </w:rPr>
              <w:t>；</w:t>
            </w:r>
            <w:r>
              <w:rPr>
                <w:rFonts w:ascii="Times New Roman" w:hAnsi="Times New Roman" w:cs="Times New Roman"/>
                <w:color w:val="auto"/>
                <w:w w:val="99"/>
                <w:sz w:val="21"/>
                <w:szCs w:val="21"/>
                <w:highlight w:val="none"/>
              </w:rPr>
              <w:t>运营期产生</w:t>
            </w:r>
            <w:r>
              <w:rPr>
                <w:rFonts w:ascii="Times New Roman" w:hAnsi="Times New Roman" w:eastAsia="宋体" w:cs="Times New Roman"/>
                <w:bCs/>
                <w:color w:val="auto"/>
                <w:w w:val="99"/>
                <w:sz w:val="21"/>
                <w:szCs w:val="21"/>
                <w:highlight w:val="none"/>
              </w:rPr>
              <w:t>的</w:t>
            </w:r>
            <w:r>
              <w:rPr>
                <w:rFonts w:hint="eastAsia" w:ascii="Times New Roman" w:hAnsi="Times New Roman" w:cs="Times New Roman"/>
                <w:bCs/>
                <w:color w:val="auto"/>
                <w:w w:val="99"/>
                <w:sz w:val="21"/>
                <w:szCs w:val="21"/>
                <w:highlight w:val="none"/>
                <w:lang w:val="en-US" w:eastAsia="zh-CN"/>
              </w:rPr>
              <w:t>井口含油砂砾、废变压器油</w:t>
            </w:r>
            <w:r>
              <w:rPr>
                <w:rFonts w:hint="eastAsia" w:ascii="Times New Roman" w:hAnsi="Times New Roman" w:eastAsia="宋体" w:cs="Times New Roman"/>
                <w:bCs/>
                <w:color w:val="auto"/>
                <w:w w:val="99"/>
                <w:sz w:val="21"/>
                <w:szCs w:val="21"/>
                <w:highlight w:val="none"/>
                <w:lang w:val="en-US" w:eastAsia="zh-CN"/>
              </w:rPr>
              <w:t>由检维修队送采气分公司危险废物贮存库内，定期委托有危废处置资质的单位处置。</w:t>
            </w:r>
          </w:p>
          <w:p w14:paraId="32F41C9D">
            <w:pPr>
              <w:keepNext w:val="0"/>
              <w:keepLines w:val="0"/>
              <w:pageBreakBefore w:val="0"/>
              <w:kinsoku/>
              <w:wordWrap/>
              <w:overflowPunct/>
              <w:topLinePunct w:val="0"/>
              <w:autoSpaceDE/>
              <w:autoSpaceDN/>
              <w:bidi w:val="0"/>
              <w:adjustRightInd w:val="0"/>
              <w:snapToGrid w:val="0"/>
              <w:spacing w:line="360" w:lineRule="exact"/>
              <w:ind w:firstLine="0" w:firstLineChars="0"/>
              <w:jc w:val="both"/>
              <w:textAlignment w:val="auto"/>
              <w:rPr>
                <w:rFonts w:ascii="Times New Roman" w:hAnsi="Times New Roman" w:cs="Times New Roman"/>
                <w:color w:val="auto"/>
                <w:w w:val="99"/>
                <w:sz w:val="21"/>
                <w:szCs w:val="21"/>
                <w:highlight w:val="none"/>
              </w:rPr>
            </w:pPr>
            <w:r>
              <w:rPr>
                <w:rFonts w:hint="eastAsia" w:ascii="Times New Roman" w:hAnsi="Times New Roman" w:eastAsia="宋体" w:cs="Times New Roman"/>
                <w:bCs/>
                <w:color w:val="auto"/>
                <w:w w:val="99"/>
                <w:sz w:val="21"/>
                <w:szCs w:val="21"/>
                <w:highlight w:val="none"/>
                <w:lang w:val="en-US" w:eastAsia="zh-CN"/>
              </w:rPr>
              <w:t>综上，固体废物处置率100%。</w:t>
            </w:r>
          </w:p>
        </w:tc>
        <w:tc>
          <w:tcPr>
            <w:tcW w:w="506" w:type="pct"/>
            <w:vAlign w:val="center"/>
          </w:tcPr>
          <w:p w14:paraId="59FA7ABE">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w:t>
            </w:r>
          </w:p>
        </w:tc>
      </w:tr>
    </w:tbl>
    <w:p w14:paraId="6ABEBC13">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根据以上分析，本项目</w:t>
      </w:r>
      <w:r>
        <w:rPr>
          <w:rFonts w:hint="eastAsia" w:ascii="Times New Roman" w:hAnsi="Times New Roman" w:eastAsia="宋体" w:cs="Times New Roman"/>
          <w:color w:val="auto"/>
          <w:spacing w:val="0"/>
          <w:w w:val="99"/>
          <w:position w:val="0"/>
          <w:sz w:val="24"/>
          <w:szCs w:val="24"/>
          <w:highlight w:val="none"/>
          <w:lang w:val="en-US" w:eastAsia="zh-CN" w:bidi="ar-SA"/>
        </w:rPr>
        <w:t>满足《土壤污染源头防控行动计划》（环土壤〔</w:t>
      </w:r>
      <w:r>
        <w:rPr>
          <w:rFonts w:hint="default" w:ascii="Times New Roman" w:hAnsi="Times New Roman" w:eastAsia="宋体" w:cs="Times New Roman"/>
          <w:color w:val="auto"/>
          <w:spacing w:val="0"/>
          <w:w w:val="99"/>
          <w:position w:val="0"/>
          <w:sz w:val="24"/>
          <w:szCs w:val="24"/>
          <w:highlight w:val="none"/>
          <w:lang w:val="en-US" w:eastAsia="zh-CN" w:bidi="ar-SA"/>
        </w:rPr>
        <w:t>2024〕80号）</w:t>
      </w:r>
      <w:r>
        <w:rPr>
          <w:rFonts w:hint="eastAsia" w:ascii="Times New Roman" w:hAnsi="Times New Roman" w:eastAsia="宋体" w:cs="Times New Roman"/>
          <w:color w:val="auto"/>
          <w:spacing w:val="0"/>
          <w:w w:val="99"/>
          <w:position w:val="0"/>
          <w:sz w:val="24"/>
          <w:szCs w:val="24"/>
          <w:highlight w:val="none"/>
          <w:lang w:val="en-US" w:eastAsia="zh-CN" w:bidi="ar-SA"/>
        </w:rPr>
        <w:t>中</w:t>
      </w:r>
      <w:r>
        <w:rPr>
          <w:rFonts w:hint="default" w:ascii="Times New Roman" w:hAnsi="Times New Roman" w:eastAsia="宋体" w:cs="Times New Roman"/>
          <w:color w:val="auto"/>
          <w:spacing w:val="0"/>
          <w:w w:val="99"/>
          <w:position w:val="0"/>
          <w:sz w:val="24"/>
          <w:szCs w:val="24"/>
          <w:highlight w:val="none"/>
          <w:lang w:val="en-US" w:eastAsia="zh-CN" w:bidi="ar-SA"/>
        </w:rPr>
        <w:t>要求。</w:t>
      </w:r>
    </w:p>
    <w:p w14:paraId="533255D9">
      <w:pPr>
        <w:keepNext w:val="0"/>
        <w:keepLines w:val="0"/>
        <w:pageBreakBefore w:val="0"/>
        <w:widowControl w:val="0"/>
        <w:shd w:val="clear"/>
        <w:kinsoku/>
        <w:wordWrap/>
        <w:overflowPunct/>
        <w:topLinePunct w:val="0"/>
        <w:autoSpaceDE/>
        <w:autoSpaceDN/>
        <w:bidi w:val="0"/>
        <w:adjustRightInd/>
        <w:snapToGrid/>
        <w:spacing w:line="440" w:lineRule="exact"/>
        <w:ind w:firstLine="0" w:firstLineChars="0"/>
        <w:jc w:val="both"/>
        <w:textAlignment w:val="auto"/>
        <w:outlineLvl w:val="3"/>
        <w:rPr>
          <w:rFonts w:hint="default" w:ascii="Times New Roman" w:hAnsi="Times New Roman" w:cs="宋体" w:eastAsiaTheme="minorEastAsia"/>
          <w:b/>
          <w:color w:val="auto"/>
          <w:w w:val="99"/>
          <w:highlight w:val="none"/>
          <w:lang w:val="en-US" w:eastAsia="zh-CN"/>
        </w:rPr>
      </w:pPr>
      <w:r>
        <w:rPr>
          <w:rFonts w:hint="eastAsia" w:ascii="Times New Roman" w:hAnsi="Times New Roman" w:cs="Times New Roman" w:eastAsiaTheme="minorEastAsia"/>
          <w:b/>
          <w:color w:val="auto"/>
          <w:w w:val="99"/>
          <w:highlight w:val="none"/>
        </w:rPr>
        <w:t>1.</w:t>
      </w:r>
      <w:r>
        <w:rPr>
          <w:rFonts w:ascii="Times New Roman" w:hAnsi="Times New Roman" w:cs="Times New Roman" w:eastAsiaTheme="minorEastAsia"/>
          <w:b/>
          <w:color w:val="auto"/>
          <w:w w:val="99"/>
          <w:highlight w:val="none"/>
        </w:rPr>
        <w:t>4.3.</w:t>
      </w:r>
      <w:r>
        <w:rPr>
          <w:rFonts w:hint="eastAsia" w:ascii="Times New Roman" w:hAnsi="Times New Roman" w:cs="Times New Roman" w:eastAsiaTheme="minorEastAsia"/>
          <w:b/>
          <w:color w:val="auto"/>
          <w:w w:val="99"/>
          <w:highlight w:val="none"/>
          <w:lang w:val="en-US" w:eastAsia="zh-CN"/>
        </w:rPr>
        <w:t>16</w:t>
      </w:r>
      <w:r>
        <w:rPr>
          <w:rFonts w:hint="eastAsia" w:ascii="Times New Roman" w:hAnsi="Times New Roman" w:cs="宋体" w:eastAsiaTheme="minorEastAsia"/>
          <w:b/>
          <w:color w:val="auto"/>
          <w:w w:val="99"/>
          <w:highlight w:val="none"/>
          <w:lang w:val="en-US" w:eastAsia="zh-CN"/>
        </w:rPr>
        <w:t>与《固体废物综合治理行动计划》的通知（国发〔2025〕14号）的符合性分析</w:t>
      </w:r>
    </w:p>
    <w:p w14:paraId="03BEE7F2">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eastAsia="宋体" w:cs="Times New Roman"/>
          <w:color w:val="auto"/>
          <w:spacing w:val="0"/>
          <w:w w:val="99"/>
          <w:position w:val="0"/>
          <w:sz w:val="24"/>
          <w:szCs w:val="24"/>
          <w:highlight w:val="none"/>
          <w:lang w:val="en-US" w:eastAsia="zh-CN" w:bidi="ar-SA"/>
        </w:rPr>
        <w:t>本项目与《固体废物综合治理行动计划》的通知（国发〔2025〕14号）符合性分析见表1.4</w:t>
      </w:r>
      <w:r>
        <w:rPr>
          <w:rFonts w:hint="eastAsia" w:ascii="Times New Roman" w:hAnsi="Times New Roman" w:cs="Times New Roman"/>
          <w:color w:val="auto"/>
          <w:spacing w:val="0"/>
          <w:w w:val="99"/>
          <w:position w:val="0"/>
          <w:sz w:val="24"/>
          <w:szCs w:val="24"/>
          <w:highlight w:val="none"/>
          <w:lang w:val="en-US" w:eastAsia="zh-CN" w:bidi="ar-SA"/>
        </w:rPr>
        <w:t>-16</w:t>
      </w:r>
      <w:r>
        <w:rPr>
          <w:rFonts w:hint="eastAsia" w:ascii="Times New Roman" w:hAnsi="Times New Roman" w:eastAsia="宋体" w:cs="Times New Roman"/>
          <w:color w:val="auto"/>
          <w:spacing w:val="0"/>
          <w:w w:val="99"/>
          <w:position w:val="0"/>
          <w:sz w:val="24"/>
          <w:szCs w:val="24"/>
          <w:highlight w:val="none"/>
          <w:lang w:val="en-US" w:eastAsia="zh-CN" w:bidi="ar-SA"/>
        </w:rPr>
        <w:t>。</w:t>
      </w:r>
    </w:p>
    <w:p w14:paraId="1E26F243">
      <w:pPr>
        <w:pStyle w:val="153"/>
        <w:widowControl w:val="0"/>
        <w:spacing w:line="440" w:lineRule="exact"/>
        <w:ind w:firstLine="473"/>
        <w:jc w:val="both"/>
        <w:rPr>
          <w:rFonts w:hint="default" w:ascii="Times New Roman" w:hAnsi="Times New Roman" w:eastAsia="宋体" w:cs="Times New Roman"/>
          <w:b/>
          <w:bCs/>
          <w:color w:val="auto"/>
          <w:spacing w:val="0"/>
          <w:w w:val="99"/>
          <w:position w:val="0"/>
          <w:sz w:val="24"/>
          <w:szCs w:val="24"/>
          <w:highlight w:val="none"/>
          <w:lang w:val="en-US" w:eastAsia="zh-CN" w:bidi="ar-SA"/>
        </w:rPr>
      </w:pPr>
      <w:r>
        <w:rPr>
          <w:rFonts w:hint="eastAsia" w:ascii="Times New Roman" w:hAnsi="Times New Roman" w:eastAsia="宋体" w:cs="Times New Roman"/>
          <w:b/>
          <w:bCs/>
          <w:color w:val="auto"/>
          <w:spacing w:val="0"/>
          <w:w w:val="99"/>
          <w:position w:val="0"/>
          <w:sz w:val="24"/>
          <w:szCs w:val="24"/>
          <w:highlight w:val="none"/>
          <w:lang w:val="en-US" w:eastAsia="zh-CN" w:bidi="ar-SA"/>
        </w:rPr>
        <w:t>表1.4-</w:t>
      </w:r>
      <w:r>
        <w:rPr>
          <w:rFonts w:hint="eastAsia" w:ascii="Times New Roman" w:hAnsi="Times New Roman" w:cs="Times New Roman"/>
          <w:b/>
          <w:bCs/>
          <w:color w:val="auto"/>
          <w:spacing w:val="0"/>
          <w:w w:val="99"/>
          <w:position w:val="0"/>
          <w:sz w:val="24"/>
          <w:szCs w:val="24"/>
          <w:highlight w:val="none"/>
          <w:lang w:val="en-US" w:eastAsia="zh-CN" w:bidi="ar-SA"/>
        </w:rPr>
        <w:t>16</w:t>
      </w:r>
      <w:r>
        <w:rPr>
          <w:rFonts w:hint="eastAsia" w:ascii="Times New Roman" w:hAnsi="Times New Roman" w:eastAsia="宋体" w:cs="Times New Roman"/>
          <w:b/>
          <w:bCs/>
          <w:color w:val="auto"/>
          <w:spacing w:val="0"/>
          <w:w w:val="99"/>
          <w:position w:val="0"/>
          <w:sz w:val="24"/>
          <w:szCs w:val="24"/>
          <w:highlight w:val="none"/>
          <w:lang w:val="en-US" w:eastAsia="zh-CN" w:bidi="ar-SA"/>
        </w:rPr>
        <w:t xml:space="preserve">   本项目与“固体废物综合治理行动计划”符合性分析</w:t>
      </w:r>
    </w:p>
    <w:tbl>
      <w:tblPr>
        <w:tblStyle w:val="81"/>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0"/>
        <w:gridCol w:w="4022"/>
        <w:gridCol w:w="866"/>
      </w:tblGrid>
      <w:tr w14:paraId="2D18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70" w:type="dxa"/>
            <w:noWrap w:val="0"/>
            <w:vAlign w:val="center"/>
          </w:tcPr>
          <w:p w14:paraId="05969CD6">
            <w:pPr>
              <w:widowControl w:val="0"/>
              <w:shd w:val="clear"/>
              <w:adjustRightInd w:val="0"/>
              <w:snapToGrid w:val="0"/>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相关要求</w:t>
            </w:r>
          </w:p>
        </w:tc>
        <w:tc>
          <w:tcPr>
            <w:tcW w:w="4022" w:type="dxa"/>
            <w:noWrap w:val="0"/>
            <w:vAlign w:val="center"/>
          </w:tcPr>
          <w:p w14:paraId="4996AD50">
            <w:pPr>
              <w:widowControl w:val="0"/>
              <w:shd w:val="clear"/>
              <w:adjustRightInd w:val="0"/>
              <w:snapToGrid w:val="0"/>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本项目</w:t>
            </w:r>
          </w:p>
        </w:tc>
        <w:tc>
          <w:tcPr>
            <w:tcW w:w="866" w:type="dxa"/>
            <w:noWrap w:val="0"/>
            <w:vAlign w:val="center"/>
          </w:tcPr>
          <w:p w14:paraId="0096AD13">
            <w:pPr>
              <w:widowControl w:val="0"/>
              <w:shd w:val="clear"/>
              <w:adjustRightInd w:val="0"/>
              <w:snapToGrid w:val="0"/>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符合性</w:t>
            </w:r>
          </w:p>
        </w:tc>
      </w:tr>
      <w:tr w14:paraId="5D95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70" w:type="dxa"/>
            <w:noWrap w:val="0"/>
            <w:vAlign w:val="center"/>
          </w:tcPr>
          <w:p w14:paraId="50425B79">
            <w:pPr>
              <w:widowControl w:val="0"/>
              <w:shd w:val="clear"/>
              <w:adjustRightInd w:val="0"/>
              <w:snapToGrid w:val="0"/>
              <w:spacing w:line="360" w:lineRule="exact"/>
              <w:jc w:val="left"/>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加强工业固体废物源头减量。严格落实产业、环保、节能等政策，依法依规淘汰落后产能。强化工业园区固体废物源头管控。大力推行绿色设计，支持企业改进生产工艺和装备，强化工业生产精细化管控，降低固体废物产生强度。推动重有色金属矿采选 一体化建设，促进尾矿就近充填回填，原则上不再批准建设无自建矿山、无配套尾矿利用处置设施的选矿项目。推动重点行业固体废物产生量与综合消纳量逐步实现动态平衡。</w:t>
            </w:r>
          </w:p>
        </w:tc>
        <w:tc>
          <w:tcPr>
            <w:tcW w:w="4022" w:type="dxa"/>
            <w:vMerge w:val="restart"/>
            <w:noWrap w:val="0"/>
            <w:vAlign w:val="center"/>
          </w:tcPr>
          <w:p w14:paraId="4CD0A161">
            <w:pPr>
              <w:widowControl w:val="0"/>
              <w:shd w:val="clea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本项目施工过</w:t>
            </w:r>
            <w:r>
              <w:rPr>
                <w:rFonts w:hint="eastAsia" w:ascii="Times New Roman" w:hAnsi="Times New Roman" w:eastAsia="宋体" w:cs="Times New Roman"/>
                <w:color w:val="auto"/>
                <w:w w:val="99"/>
                <w:kern w:val="2"/>
                <w:sz w:val="21"/>
                <w:szCs w:val="21"/>
                <w:highlight w:val="none"/>
                <w:lang w:val="en-US" w:eastAsia="zh-CN"/>
              </w:rPr>
              <w:t>程中产生的固体废物</w:t>
            </w:r>
            <w:r>
              <w:rPr>
                <w:rFonts w:hint="default" w:ascii="Times New Roman" w:hAnsi="Times New Roman" w:eastAsia="宋体" w:cs="Times New Roman"/>
                <w:color w:val="auto"/>
                <w:w w:val="99"/>
                <w:kern w:val="2"/>
                <w:sz w:val="21"/>
                <w:szCs w:val="21"/>
                <w:highlight w:val="none"/>
                <w:lang w:val="en-US" w:eastAsia="zh-CN"/>
              </w:rPr>
              <w:t>主要为管道施工废料</w:t>
            </w:r>
            <w:r>
              <w:rPr>
                <w:rFonts w:hint="eastAsia" w:ascii="Times New Roman" w:hAnsi="Times New Roman" w:cs="Times New Roman"/>
                <w:color w:val="auto"/>
                <w:w w:val="99"/>
                <w:kern w:val="2"/>
                <w:sz w:val="21"/>
                <w:szCs w:val="21"/>
                <w:highlight w:val="none"/>
                <w:lang w:val="en-US" w:eastAsia="zh-CN"/>
              </w:rPr>
              <w:t>、</w:t>
            </w:r>
            <w:r>
              <w:rPr>
                <w:rFonts w:hint="default" w:ascii="Times New Roman" w:hAnsi="Times New Roman" w:eastAsia="宋体" w:cs="Times New Roman"/>
                <w:color w:val="auto"/>
                <w:w w:val="99"/>
                <w:kern w:val="2"/>
                <w:sz w:val="21"/>
                <w:szCs w:val="21"/>
                <w:highlight w:val="none"/>
                <w:lang w:val="en-US" w:eastAsia="zh-CN"/>
              </w:rPr>
              <w:t>施工人员生活垃圾</w:t>
            </w:r>
            <w:r>
              <w:rPr>
                <w:rFonts w:hint="eastAsia" w:ascii="Times New Roman" w:hAnsi="Times New Roman" w:eastAsia="宋体" w:cs="Times New Roman"/>
                <w:color w:val="auto"/>
                <w:w w:val="99"/>
                <w:kern w:val="2"/>
                <w:sz w:val="21"/>
                <w:szCs w:val="21"/>
                <w:highlight w:val="none"/>
                <w:lang w:val="en-US" w:eastAsia="zh-CN"/>
              </w:rPr>
              <w:t>。</w:t>
            </w:r>
            <w:r>
              <w:rPr>
                <w:rFonts w:ascii="Times New Roman" w:hAnsi="Times New Roman" w:cs="Times New Roman"/>
                <w:color w:val="auto"/>
                <w:w w:val="99"/>
                <w:kern w:val="2"/>
                <w:sz w:val="21"/>
                <w:szCs w:val="21"/>
                <w:highlight w:val="none"/>
              </w:rPr>
              <w:t>施工废料</w:t>
            </w:r>
            <w:r>
              <w:rPr>
                <w:rFonts w:hint="eastAsia" w:ascii="Times New Roman" w:hAnsi="Times New Roman" w:cs="Times New Roman"/>
                <w:color w:val="auto"/>
                <w:w w:val="99"/>
                <w:kern w:val="2"/>
                <w:sz w:val="21"/>
                <w:szCs w:val="21"/>
                <w:highlight w:val="none"/>
                <w:lang w:val="en-US" w:eastAsia="zh-CN"/>
              </w:rPr>
              <w:t>由施工单位</w:t>
            </w:r>
            <w:r>
              <w:rPr>
                <w:rFonts w:ascii="Times New Roman" w:hAnsi="Times New Roman" w:cs="Times New Roman" w:eastAsiaTheme="minorEastAsia"/>
                <w:color w:val="auto"/>
                <w:w w:val="99"/>
                <w:kern w:val="2"/>
                <w:sz w:val="21"/>
                <w:szCs w:val="21"/>
                <w:highlight w:val="none"/>
              </w:rPr>
              <w:t>拉运至第八采油厂工业固废填埋场处理</w:t>
            </w:r>
            <w:r>
              <w:rPr>
                <w:rFonts w:hint="eastAsia" w:ascii="Times New Roman" w:hAnsi="Times New Roman" w:cs="Times New Roman"/>
                <w:color w:val="auto"/>
                <w:w w:val="99"/>
                <w:kern w:val="2"/>
                <w:sz w:val="21"/>
                <w:szCs w:val="21"/>
                <w:highlight w:val="none"/>
                <w:lang w:eastAsia="zh-CN"/>
              </w:rPr>
              <w:t>；</w:t>
            </w:r>
            <w:r>
              <w:rPr>
                <w:rFonts w:hint="eastAsia" w:ascii="Times New Roman" w:hAnsi="Times New Roman" w:eastAsia="宋体" w:cs="Times New Roman"/>
                <w:bCs/>
                <w:color w:val="auto"/>
                <w:w w:val="99"/>
                <w:sz w:val="21"/>
                <w:szCs w:val="21"/>
                <w:highlight w:val="none"/>
                <w:lang w:val="en-US" w:eastAsia="zh-CN"/>
              </w:rPr>
              <w:t>生活垃圾统一收集后运至</w:t>
            </w:r>
            <w:r>
              <w:rPr>
                <w:rFonts w:hint="eastAsia" w:ascii="Times New Roman" w:hAnsi="Times New Roman" w:cs="Times New Roman"/>
                <w:bCs/>
                <w:color w:val="auto"/>
                <w:w w:val="99"/>
                <w:sz w:val="21"/>
                <w:szCs w:val="21"/>
                <w:highlight w:val="none"/>
                <w:lang w:val="en-US" w:eastAsia="zh-CN"/>
              </w:rPr>
              <w:t>肇东北控环境再生能源有限公司</w:t>
            </w:r>
            <w:r>
              <w:rPr>
                <w:rFonts w:hint="eastAsia" w:ascii="Times New Roman" w:hAnsi="Times New Roman" w:eastAsia="宋体" w:cs="Times New Roman"/>
                <w:bCs/>
                <w:color w:val="auto"/>
                <w:w w:val="99"/>
                <w:sz w:val="21"/>
                <w:szCs w:val="21"/>
                <w:highlight w:val="none"/>
                <w:lang w:val="en-US" w:eastAsia="zh-CN"/>
              </w:rPr>
              <w:t>垃圾处理厂进行处理</w:t>
            </w:r>
            <w:r>
              <w:rPr>
                <w:rFonts w:hint="eastAsia" w:ascii="Times New Roman" w:hAnsi="Times New Roman" w:cs="Times New Roman"/>
                <w:bCs/>
                <w:color w:val="auto"/>
                <w:w w:val="99"/>
                <w:sz w:val="21"/>
                <w:szCs w:val="21"/>
                <w:highlight w:val="none"/>
                <w:lang w:val="en-US" w:eastAsia="zh-CN"/>
              </w:rPr>
              <w:t>；</w:t>
            </w:r>
            <w:r>
              <w:rPr>
                <w:rFonts w:hint="eastAsia" w:ascii="Times New Roman" w:hAnsi="Times New Roman" w:cs="Times New Roman" w:eastAsiaTheme="minorEastAsia"/>
                <w:color w:val="auto"/>
                <w:w w:val="99"/>
                <w:kern w:val="2"/>
                <w:sz w:val="21"/>
                <w:szCs w:val="21"/>
                <w:highlight w:val="none"/>
                <w:lang w:eastAsia="zh-CN"/>
              </w:rPr>
              <w:t>。</w:t>
            </w:r>
          </w:p>
        </w:tc>
        <w:tc>
          <w:tcPr>
            <w:tcW w:w="866" w:type="dxa"/>
            <w:noWrap w:val="0"/>
            <w:vAlign w:val="center"/>
          </w:tcPr>
          <w:p w14:paraId="3C4BD249">
            <w:pPr>
              <w:widowControl w:val="0"/>
              <w:shd w:val="clear"/>
              <w:adjustRightInd w:val="0"/>
              <w:snapToGrid w:val="0"/>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符合</w:t>
            </w:r>
          </w:p>
        </w:tc>
      </w:tr>
      <w:tr w14:paraId="0E02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70" w:type="dxa"/>
            <w:noWrap w:val="0"/>
            <w:vAlign w:val="center"/>
          </w:tcPr>
          <w:p w14:paraId="6529DC73">
            <w:pPr>
              <w:widowControl w:val="0"/>
              <w:shd w:val="clear"/>
              <w:adjustRightInd w:val="0"/>
              <w:snapToGrid w:val="0"/>
              <w:spacing w:line="360" w:lineRule="exact"/>
              <w:jc w:val="left"/>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提升全过程无害化水平。加强大宗工业固体废物无害化预处理，降低贮存填埋量和环境污染风险。</w:t>
            </w:r>
          </w:p>
        </w:tc>
        <w:tc>
          <w:tcPr>
            <w:tcW w:w="4022" w:type="dxa"/>
            <w:vMerge w:val="continue"/>
            <w:noWrap w:val="0"/>
            <w:vAlign w:val="center"/>
          </w:tcPr>
          <w:p w14:paraId="678EAF2D">
            <w:pPr>
              <w:widowControl w:val="0"/>
              <w:shd w:val="clear"/>
              <w:adjustRightInd w:val="0"/>
              <w:snapToGrid w:val="0"/>
              <w:spacing w:line="360" w:lineRule="exact"/>
              <w:jc w:val="center"/>
              <w:rPr>
                <w:rFonts w:hint="eastAsia" w:ascii="Times New Roman" w:hAnsi="Times New Roman" w:eastAsia="宋体" w:cs="Times New Roman"/>
                <w:color w:val="auto"/>
                <w:w w:val="99"/>
                <w:sz w:val="21"/>
                <w:szCs w:val="21"/>
                <w:highlight w:val="none"/>
                <w:lang w:val="en-US" w:eastAsia="zh-CN"/>
              </w:rPr>
            </w:pPr>
          </w:p>
        </w:tc>
        <w:tc>
          <w:tcPr>
            <w:tcW w:w="866" w:type="dxa"/>
            <w:noWrap w:val="0"/>
            <w:vAlign w:val="center"/>
          </w:tcPr>
          <w:p w14:paraId="16DD855A">
            <w:pPr>
              <w:widowControl w:val="0"/>
              <w:shd w:val="clear"/>
              <w:adjustRightInd w:val="0"/>
              <w:snapToGrid w:val="0"/>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符合</w:t>
            </w:r>
          </w:p>
        </w:tc>
      </w:tr>
    </w:tbl>
    <w:p w14:paraId="0475B60C">
      <w:pPr>
        <w:shd w:val="clear"/>
        <w:spacing w:line="440" w:lineRule="exact"/>
        <w:ind w:firstLine="474" w:firstLineChars="200"/>
        <w:rPr>
          <w:rFonts w:hint="eastAsia" w:ascii="Times New Roman" w:hAnsi="Times New Roman" w:cs="Times New Roman" w:eastAsiaTheme="minorEastAsia"/>
          <w:color w:val="auto"/>
          <w:w w:val="99"/>
          <w:sz w:val="24"/>
          <w:szCs w:val="24"/>
          <w:highlight w:val="none"/>
          <w:lang w:val="en-US" w:eastAsia="zh-CN" w:bidi="ar-SA"/>
        </w:rPr>
      </w:pPr>
      <w:r>
        <w:rPr>
          <w:rFonts w:hint="eastAsia" w:ascii="Times New Roman" w:hAnsi="Times New Roman" w:cs="Times New Roman" w:eastAsiaTheme="minorEastAsia"/>
          <w:color w:val="auto"/>
          <w:w w:val="99"/>
          <w:sz w:val="24"/>
          <w:szCs w:val="24"/>
          <w:highlight w:val="none"/>
          <w:lang w:val="en-US" w:eastAsia="zh-CN" w:bidi="ar-SA"/>
        </w:rPr>
        <w:t>根据以上分析，本项目符合《固体废物综合治理行动计划》的通知（国发〔2025〕14号）中要求。</w:t>
      </w:r>
    </w:p>
    <w:p w14:paraId="03D444FC">
      <w:pPr>
        <w:keepNext w:val="0"/>
        <w:keepLines w:val="0"/>
        <w:pageBreakBefore w:val="0"/>
        <w:widowControl w:val="0"/>
        <w:shd w:val="clear"/>
        <w:kinsoku/>
        <w:wordWrap/>
        <w:overflowPunct/>
        <w:topLinePunct w:val="0"/>
        <w:autoSpaceDE/>
        <w:autoSpaceDN/>
        <w:bidi w:val="0"/>
        <w:adjustRightInd/>
        <w:snapToGrid/>
        <w:spacing w:line="440" w:lineRule="exact"/>
        <w:ind w:firstLine="0" w:firstLineChars="0"/>
        <w:jc w:val="both"/>
        <w:textAlignment w:val="auto"/>
        <w:outlineLvl w:val="3"/>
        <w:rPr>
          <w:rFonts w:hint="default" w:ascii="Times New Roman" w:hAnsi="Times New Roman" w:cs="宋体" w:eastAsiaTheme="minorEastAsia"/>
          <w:b/>
          <w:color w:val="auto"/>
          <w:w w:val="99"/>
          <w:highlight w:val="none"/>
          <w:lang w:val="en-US" w:eastAsia="zh-CN"/>
        </w:rPr>
      </w:pPr>
      <w:r>
        <w:rPr>
          <w:rFonts w:hint="eastAsia" w:ascii="Times New Roman" w:hAnsi="Times New Roman" w:cs="Times New Roman" w:eastAsiaTheme="minorEastAsia"/>
          <w:b/>
          <w:color w:val="auto"/>
          <w:w w:val="99"/>
          <w:highlight w:val="none"/>
        </w:rPr>
        <w:t>1.</w:t>
      </w:r>
      <w:r>
        <w:rPr>
          <w:rFonts w:ascii="Times New Roman" w:hAnsi="Times New Roman" w:cs="Times New Roman" w:eastAsiaTheme="minorEastAsia"/>
          <w:b/>
          <w:color w:val="auto"/>
          <w:w w:val="99"/>
          <w:highlight w:val="none"/>
        </w:rPr>
        <w:t>4.3.</w:t>
      </w:r>
      <w:r>
        <w:rPr>
          <w:rFonts w:hint="eastAsia" w:ascii="Times New Roman" w:hAnsi="Times New Roman" w:cs="Times New Roman" w:eastAsiaTheme="minorEastAsia"/>
          <w:b/>
          <w:color w:val="auto"/>
          <w:w w:val="99"/>
          <w:highlight w:val="none"/>
          <w:lang w:val="en-US" w:eastAsia="zh-CN"/>
        </w:rPr>
        <w:t>17</w:t>
      </w:r>
      <w:r>
        <w:rPr>
          <w:rFonts w:hint="eastAsia" w:ascii="Times New Roman" w:hAnsi="Times New Roman" w:cs="宋体" w:eastAsiaTheme="minorEastAsia"/>
          <w:b/>
          <w:color w:val="auto"/>
          <w:w w:val="99"/>
          <w:highlight w:val="none"/>
          <w:lang w:val="en-US" w:eastAsia="zh-CN"/>
        </w:rPr>
        <w:t>与《甲烷排放控制行动方案》的通知（环气候〔2023〕67号）的符合性分析</w:t>
      </w:r>
    </w:p>
    <w:p w14:paraId="785D9BC5">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eastAsia="宋体" w:cs="Times New Roman"/>
          <w:color w:val="auto"/>
          <w:spacing w:val="0"/>
          <w:w w:val="99"/>
          <w:position w:val="0"/>
          <w:sz w:val="24"/>
          <w:szCs w:val="24"/>
          <w:highlight w:val="none"/>
          <w:lang w:val="en-US" w:eastAsia="zh-CN" w:bidi="ar-SA"/>
        </w:rPr>
        <w:t>本项目与</w:t>
      </w:r>
      <w:r>
        <w:rPr>
          <w:rFonts w:hint="eastAsia" w:ascii="Times New Roman" w:hAnsi="Times New Roman" w:eastAsia="宋体" w:cs="Times New Roman"/>
          <w:b w:val="0"/>
          <w:bCs w:val="0"/>
          <w:color w:val="auto"/>
          <w:spacing w:val="0"/>
          <w:w w:val="99"/>
          <w:kern w:val="2"/>
          <w:position w:val="0"/>
          <w:sz w:val="21"/>
          <w:szCs w:val="21"/>
          <w:highlight w:val="none"/>
          <w:lang w:val="en-US" w:eastAsia="zh-CN" w:bidi="ar-SA"/>
        </w:rPr>
        <w:t>《甲烷排放控制行动方案》的通知（环气候〔2023〕67号）</w:t>
      </w:r>
      <w:r>
        <w:rPr>
          <w:rFonts w:hint="eastAsia" w:ascii="Times New Roman" w:hAnsi="Times New Roman" w:eastAsia="宋体" w:cs="Times New Roman"/>
          <w:color w:val="auto"/>
          <w:spacing w:val="0"/>
          <w:w w:val="99"/>
          <w:position w:val="0"/>
          <w:sz w:val="24"/>
          <w:szCs w:val="24"/>
          <w:highlight w:val="none"/>
          <w:lang w:val="en-US" w:eastAsia="zh-CN" w:bidi="ar-SA"/>
        </w:rPr>
        <w:t>符合性分析见表1.4-2</w:t>
      </w:r>
      <w:r>
        <w:rPr>
          <w:rFonts w:hint="eastAsia" w:ascii="Times New Roman" w:hAnsi="Times New Roman" w:cs="Times New Roman"/>
          <w:color w:val="auto"/>
          <w:spacing w:val="0"/>
          <w:w w:val="99"/>
          <w:position w:val="0"/>
          <w:sz w:val="24"/>
          <w:szCs w:val="24"/>
          <w:highlight w:val="none"/>
          <w:lang w:val="en-US" w:eastAsia="zh-CN" w:bidi="ar-SA"/>
        </w:rPr>
        <w:t>1-17</w:t>
      </w:r>
      <w:r>
        <w:rPr>
          <w:rFonts w:hint="eastAsia" w:ascii="Times New Roman" w:hAnsi="Times New Roman" w:eastAsia="宋体" w:cs="Times New Roman"/>
          <w:color w:val="auto"/>
          <w:spacing w:val="0"/>
          <w:w w:val="99"/>
          <w:position w:val="0"/>
          <w:sz w:val="24"/>
          <w:szCs w:val="24"/>
          <w:highlight w:val="none"/>
          <w:lang w:val="en-US" w:eastAsia="zh-CN" w:bidi="ar-SA"/>
        </w:rPr>
        <w:t>。</w:t>
      </w:r>
    </w:p>
    <w:p w14:paraId="7A07D11E">
      <w:pPr>
        <w:pStyle w:val="153"/>
        <w:widowControl w:val="0"/>
        <w:spacing w:line="440" w:lineRule="exact"/>
        <w:ind w:firstLine="473"/>
        <w:jc w:val="both"/>
        <w:rPr>
          <w:rFonts w:hint="default" w:ascii="Times New Roman" w:hAnsi="Times New Roman" w:eastAsia="宋体" w:cs="Times New Roman"/>
          <w:b/>
          <w:bCs/>
          <w:color w:val="auto"/>
          <w:spacing w:val="0"/>
          <w:w w:val="99"/>
          <w:position w:val="0"/>
          <w:sz w:val="24"/>
          <w:szCs w:val="24"/>
          <w:highlight w:val="none"/>
          <w:lang w:val="en-US" w:eastAsia="zh-CN" w:bidi="ar-SA"/>
        </w:rPr>
      </w:pPr>
      <w:r>
        <w:rPr>
          <w:rFonts w:hint="eastAsia" w:ascii="Times New Roman" w:hAnsi="Times New Roman" w:eastAsia="宋体" w:cs="Times New Roman"/>
          <w:b/>
          <w:bCs/>
          <w:color w:val="auto"/>
          <w:spacing w:val="0"/>
          <w:w w:val="99"/>
          <w:position w:val="0"/>
          <w:sz w:val="24"/>
          <w:szCs w:val="24"/>
          <w:highlight w:val="none"/>
          <w:lang w:val="en-US" w:eastAsia="zh-CN" w:bidi="ar-SA"/>
        </w:rPr>
        <w:t>表1.4-</w:t>
      </w:r>
      <w:r>
        <w:rPr>
          <w:rFonts w:hint="eastAsia" w:ascii="Times New Roman" w:hAnsi="Times New Roman" w:cs="Times New Roman"/>
          <w:b/>
          <w:bCs/>
          <w:color w:val="auto"/>
          <w:spacing w:val="0"/>
          <w:w w:val="99"/>
          <w:position w:val="0"/>
          <w:sz w:val="24"/>
          <w:szCs w:val="24"/>
          <w:highlight w:val="none"/>
          <w:lang w:val="en-US" w:eastAsia="zh-CN" w:bidi="ar-SA"/>
        </w:rPr>
        <w:t>17</w:t>
      </w:r>
      <w:r>
        <w:rPr>
          <w:rFonts w:hint="eastAsia" w:ascii="Times New Roman" w:hAnsi="Times New Roman" w:eastAsia="宋体" w:cs="Times New Roman"/>
          <w:b/>
          <w:bCs/>
          <w:color w:val="auto"/>
          <w:spacing w:val="0"/>
          <w:w w:val="99"/>
          <w:position w:val="0"/>
          <w:sz w:val="24"/>
          <w:szCs w:val="24"/>
          <w:highlight w:val="none"/>
          <w:lang w:val="en-US" w:eastAsia="zh-CN" w:bidi="ar-SA"/>
        </w:rPr>
        <w:t xml:space="preserve">   本项目与“</w:t>
      </w:r>
      <w:r>
        <w:rPr>
          <w:rFonts w:hint="eastAsia" w:ascii="Times New Roman" w:hAnsi="Times New Roman" w:cs="宋体" w:eastAsiaTheme="minorEastAsia"/>
          <w:b/>
          <w:color w:val="auto"/>
          <w:w w:val="99"/>
          <w:highlight w:val="none"/>
          <w:lang w:val="en-US" w:eastAsia="zh-CN"/>
        </w:rPr>
        <w:t>甲烷排放控制行动方案</w:t>
      </w:r>
      <w:r>
        <w:rPr>
          <w:rFonts w:hint="eastAsia" w:ascii="Times New Roman" w:hAnsi="Times New Roman" w:eastAsia="宋体" w:cs="Times New Roman"/>
          <w:b/>
          <w:bCs/>
          <w:color w:val="auto"/>
          <w:spacing w:val="0"/>
          <w:w w:val="99"/>
          <w:position w:val="0"/>
          <w:sz w:val="24"/>
          <w:szCs w:val="24"/>
          <w:highlight w:val="none"/>
          <w:lang w:val="en-US" w:eastAsia="zh-CN" w:bidi="ar-SA"/>
        </w:rPr>
        <w:t>”符合性分析</w:t>
      </w:r>
    </w:p>
    <w:tbl>
      <w:tblPr>
        <w:tblStyle w:val="81"/>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8"/>
        <w:gridCol w:w="2744"/>
        <w:gridCol w:w="866"/>
      </w:tblGrid>
      <w:tr w14:paraId="290E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48" w:type="dxa"/>
            <w:noWrap w:val="0"/>
            <w:vAlign w:val="center"/>
          </w:tcPr>
          <w:p w14:paraId="15C57312">
            <w:pPr>
              <w:widowControl w:val="0"/>
              <w:shd w:val="clear"/>
              <w:adjustRightInd w:val="0"/>
              <w:snapToGrid w:val="0"/>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相关要求</w:t>
            </w:r>
          </w:p>
        </w:tc>
        <w:tc>
          <w:tcPr>
            <w:tcW w:w="2744" w:type="dxa"/>
            <w:noWrap w:val="0"/>
            <w:vAlign w:val="center"/>
          </w:tcPr>
          <w:p w14:paraId="547B3B7F">
            <w:pPr>
              <w:widowControl w:val="0"/>
              <w:shd w:val="clear"/>
              <w:adjustRightInd w:val="0"/>
              <w:snapToGrid w:val="0"/>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本项目</w:t>
            </w:r>
          </w:p>
        </w:tc>
        <w:tc>
          <w:tcPr>
            <w:tcW w:w="866" w:type="dxa"/>
            <w:noWrap w:val="0"/>
            <w:vAlign w:val="center"/>
          </w:tcPr>
          <w:p w14:paraId="2FDA3C7F">
            <w:pPr>
              <w:widowControl w:val="0"/>
              <w:shd w:val="clear"/>
              <w:adjustRightInd w:val="0"/>
              <w:snapToGrid w:val="0"/>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符合性</w:t>
            </w:r>
          </w:p>
        </w:tc>
      </w:tr>
      <w:tr w14:paraId="51ED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48" w:type="dxa"/>
            <w:noWrap w:val="0"/>
            <w:vAlign w:val="center"/>
          </w:tcPr>
          <w:p w14:paraId="18F74623">
            <w:pPr>
              <w:widowControl w:val="0"/>
              <w:shd w:val="clear"/>
              <w:adjustRightInd w:val="0"/>
              <w:snapToGrid w:val="0"/>
              <w:spacing w:line="360" w:lineRule="exact"/>
              <w:jc w:val="left"/>
              <w:rPr>
                <w:rFonts w:hint="eastAsia"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rPr>
              <w:t>强化甲烷综合利用。促进油气田放空甲烷排放管控，鼓励企业因地制宜开展伴生气与放空气回收利用，不能回收或难以回收的，应经燃烧后放空。鼓励引导煤炭企业加大煤矿瓦斯抽采利用。到2025年，煤矿瓦斯年利用量达到60亿立方米；到2030年，油田伴生气集气率达到国际先进水平。</w:t>
            </w:r>
          </w:p>
        </w:tc>
        <w:tc>
          <w:tcPr>
            <w:tcW w:w="2744" w:type="dxa"/>
            <w:vMerge w:val="restart"/>
            <w:noWrap w:val="0"/>
            <w:vAlign w:val="center"/>
          </w:tcPr>
          <w:p w14:paraId="5B0BF915">
            <w:pPr>
              <w:widowControl w:val="0"/>
              <w:shd w:val="clear"/>
              <w:adjustRightInd w:val="0"/>
              <w:snapToGrid w:val="0"/>
              <w:spacing w:line="360" w:lineRule="exact"/>
              <w:jc w:val="left"/>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项目天然气开采项目，</w:t>
            </w:r>
            <w:r>
              <w:rPr>
                <w:rFonts w:hint="eastAsia" w:ascii="Times New Roman" w:hAnsi="Times New Roman" w:cs="Times New Roman"/>
                <w:color w:val="auto"/>
                <w:w w:val="99"/>
                <w:kern w:val="2"/>
                <w:sz w:val="21"/>
                <w:szCs w:val="21"/>
                <w:highlight w:val="none"/>
                <w:lang w:val="en-US" w:eastAsia="zh-CN" w:bidi="ar-SA"/>
              </w:rPr>
              <w:t>运营期，</w:t>
            </w:r>
            <w:r>
              <w:rPr>
                <w:rFonts w:hint="eastAsia" w:ascii="Times New Roman" w:hAnsi="Times New Roman" w:cs="Times New Roman" w:eastAsiaTheme="minorEastAsia"/>
                <w:color w:val="auto"/>
                <w:w w:val="99"/>
                <w:sz w:val="21"/>
                <w:szCs w:val="21"/>
                <w:highlight w:val="none"/>
                <w:lang w:val="en-US" w:eastAsia="zh-CN"/>
              </w:rPr>
              <w:t>企业对多余伴生气均采用热放空方式进行放空，以减少甲烷直接排放量。</w:t>
            </w:r>
          </w:p>
        </w:tc>
        <w:tc>
          <w:tcPr>
            <w:tcW w:w="866" w:type="dxa"/>
            <w:noWrap w:val="0"/>
            <w:vAlign w:val="center"/>
          </w:tcPr>
          <w:p w14:paraId="54A2F534">
            <w:pPr>
              <w:widowControl w:val="0"/>
              <w:shd w:val="clear"/>
              <w:adjustRightInd w:val="0"/>
              <w:snapToGrid w:val="0"/>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符合</w:t>
            </w:r>
          </w:p>
        </w:tc>
      </w:tr>
      <w:tr w14:paraId="6C49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48" w:type="dxa"/>
            <w:noWrap w:val="0"/>
            <w:vAlign w:val="center"/>
          </w:tcPr>
          <w:p w14:paraId="3209764C">
            <w:pPr>
              <w:widowControl w:val="0"/>
              <w:shd w:val="clear"/>
              <w:adjustRightInd w:val="0"/>
              <w:snapToGrid w:val="0"/>
              <w:spacing w:line="360" w:lineRule="exact"/>
              <w:jc w:val="left"/>
              <w:rPr>
                <w:rFonts w:hint="eastAsia"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rPr>
              <w:t>推动逐步减少油气系统常规火炬。优化油气田地面工程建设与管理，减少火炬系统天然气燃烧量。科学规划设计新建油气作业项目，在确保生产安全的基础上，努力逐步减少常规火炬燃放。</w:t>
            </w:r>
          </w:p>
        </w:tc>
        <w:tc>
          <w:tcPr>
            <w:tcW w:w="2744" w:type="dxa"/>
            <w:vMerge w:val="continue"/>
            <w:noWrap w:val="0"/>
            <w:vAlign w:val="center"/>
          </w:tcPr>
          <w:p w14:paraId="4DA7A668">
            <w:pPr>
              <w:widowControl w:val="0"/>
              <w:shd w:val="clear"/>
              <w:adjustRightInd w:val="0"/>
              <w:snapToGrid w:val="0"/>
              <w:spacing w:line="360" w:lineRule="exact"/>
              <w:jc w:val="left"/>
              <w:rPr>
                <w:rFonts w:hint="default" w:ascii="Times New Roman" w:hAnsi="Times New Roman" w:eastAsia="宋体" w:cs="Times New Roman"/>
                <w:color w:val="auto"/>
                <w:w w:val="99"/>
                <w:sz w:val="21"/>
                <w:szCs w:val="21"/>
                <w:highlight w:val="none"/>
                <w:lang w:val="en-US" w:eastAsia="zh-CN"/>
              </w:rPr>
            </w:pPr>
          </w:p>
        </w:tc>
        <w:tc>
          <w:tcPr>
            <w:tcW w:w="866" w:type="dxa"/>
            <w:noWrap w:val="0"/>
            <w:vAlign w:val="center"/>
          </w:tcPr>
          <w:p w14:paraId="35AFB61A">
            <w:pPr>
              <w:widowControl w:val="0"/>
              <w:shd w:val="clear"/>
              <w:adjustRightInd w:val="0"/>
              <w:snapToGrid w:val="0"/>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符合</w:t>
            </w:r>
          </w:p>
        </w:tc>
      </w:tr>
    </w:tbl>
    <w:p w14:paraId="5F82B61B">
      <w:pPr>
        <w:pStyle w:val="7"/>
        <w:widowControl w:val="0"/>
        <w:tabs>
          <w:tab w:val="left" w:pos="381"/>
        </w:tabs>
        <w:spacing w:before="60" w:after="60" w:line="440" w:lineRule="exact"/>
        <w:jc w:val="both"/>
        <w:rPr>
          <w:rFonts w:eastAsia="宋体"/>
          <w:b/>
          <w:color w:val="auto"/>
          <w:w w:val="99"/>
          <w:kern w:val="2"/>
          <w:sz w:val="24"/>
          <w:szCs w:val="24"/>
          <w:highlight w:val="none"/>
        </w:rPr>
      </w:pPr>
      <w:r>
        <w:rPr>
          <w:rFonts w:eastAsia="宋体"/>
          <w:b/>
          <w:color w:val="auto"/>
          <w:w w:val="99"/>
          <w:kern w:val="2"/>
          <w:sz w:val="24"/>
          <w:szCs w:val="24"/>
          <w:highlight w:val="none"/>
        </w:rPr>
        <w:t>1.4.</w:t>
      </w:r>
      <w:bookmarkEnd w:id="110"/>
      <w:bookmarkEnd w:id="111"/>
      <w:bookmarkEnd w:id="112"/>
      <w:bookmarkEnd w:id="113"/>
      <w:bookmarkStart w:id="128" w:name="_Toc61597176"/>
      <w:r>
        <w:rPr>
          <w:rFonts w:hint="eastAsia" w:eastAsia="宋体"/>
          <w:b/>
          <w:color w:val="auto"/>
          <w:w w:val="99"/>
          <w:kern w:val="2"/>
          <w:sz w:val="24"/>
          <w:szCs w:val="24"/>
          <w:highlight w:val="none"/>
          <w:lang w:val="en-US" w:eastAsia="zh-CN"/>
        </w:rPr>
        <w:t>4</w:t>
      </w:r>
      <w:r>
        <w:rPr>
          <w:rFonts w:eastAsia="宋体"/>
          <w:b/>
          <w:color w:val="auto"/>
          <w:w w:val="99"/>
          <w:kern w:val="2"/>
          <w:sz w:val="24"/>
          <w:szCs w:val="24"/>
          <w:highlight w:val="none"/>
        </w:rPr>
        <w:t xml:space="preserve"> “三线一单”符合性分析</w:t>
      </w:r>
      <w:bookmarkEnd w:id="114"/>
      <w:bookmarkEnd w:id="115"/>
      <w:bookmarkEnd w:id="116"/>
      <w:bookmarkEnd w:id="117"/>
      <w:bookmarkEnd w:id="118"/>
      <w:bookmarkEnd w:id="119"/>
      <w:bookmarkEnd w:id="120"/>
      <w:bookmarkEnd w:id="121"/>
      <w:bookmarkEnd w:id="122"/>
      <w:bookmarkEnd w:id="128"/>
    </w:p>
    <w:p w14:paraId="349108D2">
      <w:pPr>
        <w:pStyle w:val="153"/>
        <w:widowControl w:val="0"/>
        <w:tabs>
          <w:tab w:val="left" w:pos="399"/>
        </w:tabs>
        <w:spacing w:line="440" w:lineRule="exact"/>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1.4.</w:t>
      </w:r>
      <w:r>
        <w:rPr>
          <w:rFonts w:hint="eastAsia" w:ascii="Times New Roman" w:hAnsi="Times New Roman"/>
          <w:b/>
          <w:color w:val="auto"/>
          <w:w w:val="99"/>
          <w:highlight w:val="none"/>
          <w:lang w:val="en-US" w:eastAsia="zh-CN"/>
        </w:rPr>
        <w:t>4</w:t>
      </w:r>
      <w:r>
        <w:rPr>
          <w:rFonts w:ascii="Times New Roman" w:hAnsi="Times New Roman"/>
          <w:b/>
          <w:color w:val="auto"/>
          <w:w w:val="99"/>
          <w:highlight w:val="none"/>
        </w:rPr>
        <w:t>.1生态保护红线</w:t>
      </w:r>
    </w:p>
    <w:p w14:paraId="3B0C200E">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根据《自然资源部办公厅关于辽宁等省启用“三区三线”划定成果作为报批建设项目用地用海依据的函》，本项目位于黑龙江省</w:t>
      </w:r>
      <w:r>
        <w:rPr>
          <w:rFonts w:hint="eastAsia" w:ascii="Times New Roman" w:hAnsi="Times New Roman" w:cs="Times New Roman"/>
          <w:color w:val="auto"/>
          <w:w w:val="99"/>
          <w:kern w:val="2"/>
          <w:highlight w:val="none"/>
          <w:lang w:val="en-US" w:eastAsia="zh-CN"/>
        </w:rPr>
        <w:t>绥化市</w:t>
      </w:r>
      <w:r>
        <w:rPr>
          <w:rFonts w:ascii="Times New Roman" w:hAnsi="Times New Roman" w:cs="Times New Roman"/>
          <w:color w:val="auto"/>
          <w:w w:val="99"/>
          <w:kern w:val="2"/>
          <w:highlight w:val="none"/>
        </w:rPr>
        <w:t>市，属于“三区三线”划定启用的区域，其中的“三区”分别为城镇空间、农业空间、生态空间三种类型的国土空间；“三线”分别为城镇开发边界、永久基本农田、生态保护红线三条控制线。根据《</w:t>
      </w:r>
      <w:r>
        <w:rPr>
          <w:rFonts w:hint="eastAsia" w:ascii="Times New Roman" w:hAnsi="Times New Roman" w:cs="Times New Roman"/>
          <w:color w:val="auto"/>
          <w:w w:val="99"/>
          <w:kern w:val="2"/>
          <w:highlight w:val="none"/>
          <w:lang w:val="en-US" w:eastAsia="zh-CN"/>
        </w:rPr>
        <w:t>绥化市</w:t>
      </w:r>
      <w:r>
        <w:rPr>
          <w:rFonts w:ascii="Times New Roman" w:hAnsi="Times New Roman" w:cs="Times New Roman"/>
          <w:color w:val="auto"/>
          <w:w w:val="99"/>
          <w:kern w:val="2"/>
          <w:highlight w:val="none"/>
        </w:rPr>
        <w:t>国土空间总体规划（2021-2035 年）》，以及黑龙江省生态环境分区管控数据应用平台、黑龙江省生态保护红线分布图、永久基本农田查询平台，本项目不在生态保护红线内，且本项目占地内不涉及国家、省、市级自然保护区、自然文化遗产、风景名胜区、文物古迹、饮用水水源保护区、重要湿地等区域，本项目与生态保护红线的位置关系见附图5。根据《黑龙江省生态环境分区管控动态更新成果（2023年版）》及《</w:t>
      </w:r>
      <w:r>
        <w:rPr>
          <w:rFonts w:hint="eastAsia" w:ascii="Times New Roman" w:hAnsi="Times New Roman" w:cs="Times New Roman"/>
          <w:color w:val="auto"/>
          <w:w w:val="99"/>
          <w:kern w:val="2"/>
          <w:highlight w:val="none"/>
          <w:lang w:val="en-US" w:eastAsia="zh-CN"/>
        </w:rPr>
        <w:t>绥化</w:t>
      </w:r>
      <w:r>
        <w:rPr>
          <w:rFonts w:ascii="Times New Roman" w:hAnsi="Times New Roman" w:cs="Times New Roman"/>
          <w:color w:val="auto"/>
          <w:w w:val="99"/>
          <w:kern w:val="2"/>
          <w:highlight w:val="none"/>
        </w:rPr>
        <w:t>市生态环境准入清单（2023年版）》中划分的环境管控单元内容，本项目位于</w:t>
      </w:r>
      <w:r>
        <w:rPr>
          <w:rFonts w:hint="eastAsia" w:ascii="Times New Roman" w:hAnsi="Times New Roman" w:cs="Times New Roman"/>
          <w:color w:val="auto"/>
          <w:w w:val="99"/>
          <w:kern w:val="2"/>
          <w:highlight w:val="none"/>
          <w:lang w:val="en-US" w:eastAsia="zh-CN"/>
        </w:rPr>
        <w:t>重点</w:t>
      </w:r>
      <w:r>
        <w:rPr>
          <w:rFonts w:ascii="Times New Roman" w:hAnsi="Times New Roman" w:cs="Times New Roman"/>
          <w:color w:val="auto"/>
          <w:w w:val="99"/>
          <w:kern w:val="2"/>
          <w:highlight w:val="none"/>
        </w:rPr>
        <w:t>管控单元，本项目与环境管控单元位置关系见附图</w:t>
      </w:r>
      <w:r>
        <w:rPr>
          <w:rFonts w:hint="eastAsia" w:ascii="Times New Roman" w:hAnsi="Times New Roman" w:cs="Times New Roman"/>
          <w:color w:val="auto"/>
          <w:w w:val="99"/>
          <w:kern w:val="2"/>
          <w:highlight w:val="none"/>
          <w:lang w:val="en-US" w:eastAsia="zh-CN"/>
        </w:rPr>
        <w:t>4</w:t>
      </w:r>
      <w:r>
        <w:rPr>
          <w:rFonts w:ascii="Times New Roman" w:hAnsi="Times New Roman" w:cs="Times New Roman"/>
          <w:color w:val="auto"/>
          <w:w w:val="99"/>
          <w:kern w:val="2"/>
          <w:highlight w:val="none"/>
        </w:rPr>
        <w:t>，本项目与分区管控要求符合性分析见表1.4</w:t>
      </w:r>
      <w:r>
        <w:rPr>
          <w:rFonts w:hint="eastAsia" w:ascii="Times New Roman" w:hAnsi="Times New Roman" w:cs="Times New Roman"/>
          <w:color w:val="auto"/>
          <w:w w:val="99"/>
          <w:kern w:val="2"/>
          <w:highlight w:val="none"/>
          <w:lang w:val="en-US" w:eastAsia="zh-CN"/>
        </w:rPr>
        <w:t>-18</w:t>
      </w:r>
      <w:r>
        <w:rPr>
          <w:rFonts w:ascii="Times New Roman" w:hAnsi="Times New Roman" w:cs="Times New Roman"/>
          <w:color w:val="auto"/>
          <w:w w:val="99"/>
          <w:kern w:val="2"/>
          <w:highlight w:val="none"/>
        </w:rPr>
        <w:t>。</w:t>
      </w:r>
    </w:p>
    <w:p w14:paraId="5B3682AA">
      <w:pPr>
        <w:widowControl w:val="0"/>
        <w:snapToGrid w:val="0"/>
        <w:spacing w:line="440" w:lineRule="exact"/>
        <w:ind w:firstLine="476" w:firstLineChars="200"/>
        <w:jc w:val="both"/>
        <w:rPr>
          <w:rFonts w:ascii="Times New Roman" w:hAnsi="Times New Roman" w:cs="Times New Roman"/>
          <w:b/>
          <w:bCs/>
          <w:color w:val="auto"/>
          <w:w w:val="99"/>
          <w:kern w:val="2"/>
          <w:szCs w:val="20"/>
          <w:highlight w:val="none"/>
        </w:rPr>
      </w:pPr>
      <w:r>
        <w:rPr>
          <w:rFonts w:ascii="Times New Roman" w:hAnsi="Times New Roman" w:cs="Times New Roman"/>
          <w:b/>
          <w:bCs/>
          <w:color w:val="auto"/>
          <w:w w:val="99"/>
          <w:szCs w:val="20"/>
          <w:highlight w:val="none"/>
        </w:rPr>
        <w:t>表1.4-</w:t>
      </w:r>
      <w:r>
        <w:rPr>
          <w:rFonts w:hint="eastAsia" w:ascii="Times New Roman" w:hAnsi="Times New Roman" w:cs="Times New Roman"/>
          <w:b/>
          <w:bCs/>
          <w:color w:val="auto"/>
          <w:w w:val="99"/>
          <w:szCs w:val="20"/>
          <w:highlight w:val="none"/>
          <w:lang w:val="en-US" w:eastAsia="zh-CN"/>
        </w:rPr>
        <w:t>18</w:t>
      </w:r>
      <w:r>
        <w:rPr>
          <w:rFonts w:ascii="Times New Roman" w:hAnsi="Times New Roman" w:cs="Times New Roman"/>
          <w:b/>
          <w:bCs/>
          <w:color w:val="auto"/>
          <w:w w:val="99"/>
          <w:szCs w:val="20"/>
          <w:highlight w:val="none"/>
        </w:rPr>
        <w:t xml:space="preserve">    本项目与分区管控要求符合性分析</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36"/>
        <w:gridCol w:w="2315"/>
        <w:gridCol w:w="4775"/>
        <w:gridCol w:w="714"/>
      </w:tblGrid>
      <w:tr w14:paraId="0E2F4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7" w:type="pct"/>
            <w:tcMar>
              <w:top w:w="0" w:type="dxa"/>
              <w:left w:w="85" w:type="dxa"/>
              <w:bottom w:w="0" w:type="dxa"/>
              <w:right w:w="85" w:type="dxa"/>
            </w:tcMar>
            <w:vAlign w:val="center"/>
          </w:tcPr>
          <w:p w14:paraId="553F9BD5">
            <w:pPr>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环境管控单元</w:t>
            </w:r>
          </w:p>
        </w:tc>
        <w:tc>
          <w:tcPr>
            <w:tcW w:w="1252" w:type="pct"/>
            <w:tcMar>
              <w:top w:w="0" w:type="dxa"/>
              <w:left w:w="85" w:type="dxa"/>
              <w:bottom w:w="0" w:type="dxa"/>
              <w:right w:w="85" w:type="dxa"/>
            </w:tcMar>
            <w:vAlign w:val="center"/>
          </w:tcPr>
          <w:p w14:paraId="044A1FB0">
            <w:pPr>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分区管控要求</w:t>
            </w:r>
          </w:p>
        </w:tc>
        <w:tc>
          <w:tcPr>
            <w:tcW w:w="2583" w:type="pct"/>
            <w:tcMar>
              <w:top w:w="0" w:type="dxa"/>
              <w:left w:w="85" w:type="dxa"/>
              <w:bottom w:w="0" w:type="dxa"/>
              <w:right w:w="85" w:type="dxa"/>
            </w:tcMar>
            <w:vAlign w:val="center"/>
          </w:tcPr>
          <w:p w14:paraId="2AAE463B">
            <w:pPr>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拟建项目情况</w:t>
            </w:r>
          </w:p>
        </w:tc>
        <w:tc>
          <w:tcPr>
            <w:tcW w:w="386" w:type="pct"/>
            <w:tcMar>
              <w:top w:w="0" w:type="dxa"/>
              <w:left w:w="85" w:type="dxa"/>
              <w:bottom w:w="0" w:type="dxa"/>
              <w:right w:w="85" w:type="dxa"/>
            </w:tcMar>
            <w:vAlign w:val="center"/>
          </w:tcPr>
          <w:p w14:paraId="7AC90E1C">
            <w:pPr>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w:t>
            </w:r>
          </w:p>
        </w:tc>
      </w:tr>
      <w:tr w14:paraId="05BFC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7" w:type="pct"/>
            <w:tcMar>
              <w:top w:w="0" w:type="dxa"/>
              <w:left w:w="85" w:type="dxa"/>
              <w:bottom w:w="0" w:type="dxa"/>
              <w:right w:w="85" w:type="dxa"/>
            </w:tcMar>
            <w:vAlign w:val="center"/>
          </w:tcPr>
          <w:p w14:paraId="180D9769">
            <w:pPr>
              <w:spacing w:line="32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重点管控单元</w:t>
            </w:r>
          </w:p>
        </w:tc>
        <w:tc>
          <w:tcPr>
            <w:tcW w:w="1252" w:type="pct"/>
            <w:tcMar>
              <w:top w:w="0" w:type="dxa"/>
              <w:left w:w="85" w:type="dxa"/>
              <w:bottom w:w="0" w:type="dxa"/>
              <w:right w:w="85" w:type="dxa"/>
            </w:tcMar>
            <w:vAlign w:val="center"/>
          </w:tcPr>
          <w:p w14:paraId="5CE8837B">
            <w:pPr>
              <w:spacing w:line="32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重点管控单元突出污染物排放控制和环境风险防控，按照差别化的生态环境准入要求，优化空间和产业布局，不断提升资源利用效率，强化环境质量改善目标约束，解决局部生态环境质量不达标、生态环境风险高的问题。</w:t>
            </w:r>
          </w:p>
        </w:tc>
        <w:tc>
          <w:tcPr>
            <w:tcW w:w="2583" w:type="pct"/>
            <w:tcMar>
              <w:top w:w="0" w:type="dxa"/>
              <w:left w:w="85" w:type="dxa"/>
              <w:bottom w:w="0" w:type="dxa"/>
              <w:right w:w="85" w:type="dxa"/>
            </w:tcMar>
            <w:vAlign w:val="center"/>
          </w:tcPr>
          <w:p w14:paraId="0EC61D45">
            <w:pPr>
              <w:spacing w:line="320" w:lineRule="exact"/>
              <w:ind w:firstLine="414" w:firstLineChars="200"/>
              <w:jc w:val="both"/>
              <w:rPr>
                <w:rFonts w:ascii="Times New Roman" w:hAnsi="Times New Roman" w:eastAsiaTheme="minorEastAsia"/>
                <w:iCs/>
                <w:color w:val="auto"/>
                <w:w w:val="99"/>
                <w:sz w:val="21"/>
                <w:szCs w:val="21"/>
                <w:highlight w:val="none"/>
              </w:rPr>
            </w:pPr>
            <w:r>
              <w:rPr>
                <w:rFonts w:ascii="Times New Roman" w:hAnsi="Times New Roman" w:cs="Times New Roman" w:eastAsiaTheme="minorEastAsia"/>
                <w:color w:val="auto"/>
                <w:w w:val="99"/>
                <w:sz w:val="21"/>
                <w:szCs w:val="21"/>
                <w:highlight w:val="none"/>
              </w:rPr>
              <w:t>本项目施工期及运营期产生的污染物均可得到有效治理，可控制污染物排放；废水、固体废物等均不外排</w:t>
            </w:r>
            <w:r>
              <w:rPr>
                <w:rFonts w:hint="eastAsia" w:ascii="Times New Roman" w:hAnsi="Times New Roman" w:cs="Times New Roman" w:eastAsiaTheme="minorEastAsia"/>
                <w:color w:val="auto"/>
                <w:w w:val="99"/>
                <w:sz w:val="21"/>
                <w:szCs w:val="21"/>
                <w:highlight w:val="none"/>
                <w:lang w:eastAsia="zh-CN"/>
              </w:rPr>
              <w:t>；</w:t>
            </w:r>
            <w:r>
              <w:rPr>
                <w:rFonts w:ascii="Times New Roman" w:hAnsi="Times New Roman" w:cs="Times New Roman"/>
                <w:color w:val="auto"/>
                <w:w w:val="99"/>
                <w:sz w:val="21"/>
                <w:szCs w:val="21"/>
                <w:highlight w:val="none"/>
              </w:rPr>
              <w:t>本项目在施工过程中针对永久占地及临时占地，应剥离占地内的表土，</w:t>
            </w:r>
            <w:r>
              <w:rPr>
                <w:rFonts w:ascii="Times New Roman" w:hAnsi="Times New Roman" w:cs="Times New Roman"/>
                <w:iCs/>
                <w:color w:val="auto"/>
                <w:w w:val="99"/>
                <w:sz w:val="21"/>
                <w:szCs w:val="21"/>
                <w:highlight w:val="none"/>
              </w:rPr>
              <w:t>耕地剥离厚度0.3m，</w:t>
            </w:r>
            <w:r>
              <w:rPr>
                <w:rFonts w:ascii="Times New Roman" w:hAnsi="Times New Roman" w:cs="Times New Roman"/>
                <w:color w:val="auto"/>
                <w:w w:val="99"/>
                <w:sz w:val="21"/>
                <w:szCs w:val="21"/>
                <w:highlight w:val="none"/>
              </w:rPr>
              <w:t>采用分层开挖，分层堆放，暂存于表土剥离临时堆放区，并采取苫布遮盖，表土剥离临时堆放区周围设置排水沟等措施防止水土流失，并定期采取洒水抑尘措施，针对永久占地将剥离的表土按照“占一补一，质量相等”的要求进行易地补充耕地，针对临时占地在将剥离的表土在施工结束后分层回填，并及时恢复地表植被</w:t>
            </w:r>
            <w:r>
              <w:rPr>
                <w:rFonts w:ascii="Times New Roman" w:hAnsi="Times New Roman" w:cs="Times New Roman"/>
                <w:bCs/>
                <w:color w:val="auto"/>
                <w:w w:val="99"/>
                <w:sz w:val="21"/>
                <w:szCs w:val="21"/>
                <w:highlight w:val="none"/>
              </w:rPr>
              <w:t>。</w:t>
            </w:r>
            <w:r>
              <w:rPr>
                <w:rFonts w:ascii="Times New Roman" w:hAnsi="Times New Roman" w:cs="Times New Roman"/>
                <w:color w:val="auto"/>
                <w:w w:val="99"/>
                <w:sz w:val="21"/>
                <w:szCs w:val="21"/>
                <w:highlight w:val="none"/>
              </w:rPr>
              <w:t>在环境风险防控方面采取加强施工管理、制定岗位操作规程并定期培训学习、实行岗位责任制，及施工单位制定可行的突发环境事件环境应急预案等措施。在采取一系列生态保护措施下，项目建设不会使区域生态功能受损</w:t>
            </w:r>
            <w:r>
              <w:rPr>
                <w:rFonts w:hint="eastAsia" w:ascii="Times New Roman" w:hAnsi="Times New Roman" w:cs="Times New Roman"/>
                <w:color w:val="auto"/>
                <w:w w:val="99"/>
                <w:sz w:val="21"/>
                <w:szCs w:val="21"/>
                <w:highlight w:val="none"/>
                <w:lang w:eastAsia="zh-CN"/>
              </w:rPr>
              <w:t>；</w:t>
            </w:r>
            <w:r>
              <w:rPr>
                <w:rFonts w:ascii="Times New Roman" w:hAnsi="Times New Roman" w:eastAsiaTheme="minorEastAsia"/>
                <w:iCs/>
                <w:color w:val="auto"/>
                <w:w w:val="99"/>
                <w:sz w:val="21"/>
                <w:szCs w:val="21"/>
                <w:highlight w:val="none"/>
              </w:rPr>
              <w:t>项目施工结束后对临时占地进行恢复，对永久占地进行补偿，且运营期作业均在井场永久占地内进行，不会造成大面积的土地退化，项目的建设不会对区域生态功能产生明显影响，在项目实施过程中，应加强防沙治沙措施的实施，如尽量减少施工作业范围，施工过程中力求做到挖填平衡，施工结束后对破坏的土地进行平整并覆土压实，及时进行植被恢复等，本项目的建设不会对区域生态功能产生明显影响，满足该区域生态系统服务功能需求。</w:t>
            </w:r>
          </w:p>
          <w:p w14:paraId="6D738CD6">
            <w:pPr>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eastAsiaTheme="minorEastAsia"/>
                <w:iCs/>
                <w:color w:val="auto"/>
                <w:w w:val="99"/>
                <w:sz w:val="21"/>
                <w:szCs w:val="21"/>
                <w:highlight w:val="none"/>
              </w:rPr>
              <w:t>由以上分析，本项目满足</w:t>
            </w:r>
            <w:r>
              <w:rPr>
                <w:rFonts w:hint="eastAsia" w:ascii="Times New Roman" w:hAnsi="Times New Roman" w:cs="Times New Roman" w:eastAsiaTheme="minorEastAsia"/>
                <w:iCs/>
                <w:color w:val="auto"/>
                <w:w w:val="99"/>
                <w:sz w:val="21"/>
                <w:szCs w:val="21"/>
                <w:highlight w:val="none"/>
                <w:lang w:val="en-US" w:eastAsia="zh-CN"/>
              </w:rPr>
              <w:t>重点</w:t>
            </w:r>
            <w:r>
              <w:rPr>
                <w:rFonts w:ascii="Times New Roman" w:hAnsi="Times New Roman" w:cs="Times New Roman" w:eastAsiaTheme="minorEastAsia"/>
                <w:iCs/>
                <w:color w:val="auto"/>
                <w:w w:val="99"/>
                <w:sz w:val="21"/>
                <w:szCs w:val="21"/>
                <w:highlight w:val="none"/>
              </w:rPr>
              <w:t>管控单元分区管控要求。</w:t>
            </w:r>
          </w:p>
        </w:tc>
        <w:tc>
          <w:tcPr>
            <w:tcW w:w="386" w:type="pct"/>
            <w:tcMar>
              <w:top w:w="0" w:type="dxa"/>
              <w:left w:w="85" w:type="dxa"/>
              <w:bottom w:w="0" w:type="dxa"/>
              <w:right w:w="85" w:type="dxa"/>
            </w:tcMar>
            <w:vAlign w:val="center"/>
          </w:tcPr>
          <w:p w14:paraId="2FF3AE65">
            <w:pPr>
              <w:spacing w:line="320" w:lineRule="exact"/>
              <w:jc w:val="center"/>
              <w:rPr>
                <w:rFonts w:ascii="Times New Roman" w:hAnsi="Times New Roman" w:cs="Times New Roman"/>
                <w:color w:val="auto"/>
                <w:w w:val="99"/>
                <w:sz w:val="21"/>
                <w:szCs w:val="21"/>
                <w:highlight w:val="none"/>
              </w:rPr>
            </w:pPr>
          </w:p>
        </w:tc>
      </w:tr>
    </w:tbl>
    <w:p w14:paraId="370CBCED">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根据以上分析，本项目满足</w:t>
      </w:r>
      <w:r>
        <w:rPr>
          <w:rFonts w:hint="eastAsia" w:ascii="Times New Roman" w:hAnsi="Times New Roman" w:cs="Times New Roman"/>
          <w:color w:val="auto"/>
          <w:w w:val="99"/>
          <w:kern w:val="2"/>
          <w:highlight w:val="none"/>
          <w:lang w:val="en-US" w:eastAsia="zh-CN"/>
        </w:rPr>
        <w:t>重点</w:t>
      </w:r>
      <w:r>
        <w:rPr>
          <w:rFonts w:ascii="Times New Roman" w:hAnsi="Times New Roman" w:cs="Times New Roman"/>
          <w:color w:val="auto"/>
          <w:w w:val="99"/>
          <w:kern w:val="2"/>
          <w:highlight w:val="none"/>
        </w:rPr>
        <w:t>管控单元</w:t>
      </w:r>
      <w:r>
        <w:rPr>
          <w:rFonts w:hint="eastAsia" w:ascii="Times New Roman" w:hAnsi="Times New Roman" w:cs="Times New Roman"/>
          <w:color w:val="auto"/>
          <w:w w:val="99"/>
          <w:kern w:val="2"/>
          <w:highlight w:val="none"/>
        </w:rPr>
        <w:t>分区</w:t>
      </w:r>
      <w:r>
        <w:rPr>
          <w:rFonts w:ascii="Times New Roman" w:hAnsi="Times New Roman" w:cs="Times New Roman"/>
          <w:color w:val="auto"/>
          <w:w w:val="99"/>
          <w:kern w:val="2"/>
          <w:highlight w:val="none"/>
        </w:rPr>
        <w:t>管控要求。</w:t>
      </w:r>
    </w:p>
    <w:p w14:paraId="2BFE1040">
      <w:pPr>
        <w:pStyle w:val="153"/>
        <w:widowControl w:val="0"/>
        <w:spacing w:line="440" w:lineRule="exact"/>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1.4.</w:t>
      </w:r>
      <w:r>
        <w:rPr>
          <w:rFonts w:hint="eastAsia" w:ascii="Times New Roman" w:hAnsi="Times New Roman"/>
          <w:b/>
          <w:color w:val="auto"/>
          <w:w w:val="99"/>
          <w:highlight w:val="none"/>
          <w:lang w:val="en-US" w:eastAsia="zh-CN"/>
        </w:rPr>
        <w:t>4</w:t>
      </w:r>
      <w:r>
        <w:rPr>
          <w:rFonts w:ascii="Times New Roman" w:hAnsi="Times New Roman"/>
          <w:b/>
          <w:color w:val="auto"/>
          <w:w w:val="99"/>
          <w:highlight w:val="none"/>
        </w:rPr>
        <w:t>.2环境质量底线</w:t>
      </w:r>
    </w:p>
    <w:p w14:paraId="4CC225D1">
      <w:pPr>
        <w:widowControl w:val="0"/>
        <w:spacing w:line="440" w:lineRule="exact"/>
        <w:ind w:firstLine="474" w:firstLineChars="200"/>
        <w:jc w:val="both"/>
        <w:rPr>
          <w:rFonts w:ascii="Times New Roman" w:hAnsi="Times New Roman" w:cs="Times New Roman"/>
          <w:color w:val="auto"/>
          <w:w w:val="99"/>
          <w:kern w:val="2"/>
          <w:highlight w:val="none"/>
        </w:rPr>
      </w:pPr>
      <w:r>
        <w:rPr>
          <w:rFonts w:hint="default" w:ascii="Times New Roman" w:hAnsi="Times New Roman" w:eastAsia="宋体" w:cs="Times New Roman"/>
          <w:color w:val="auto"/>
          <w:spacing w:val="0"/>
          <w:w w:val="99"/>
          <w:position w:val="0"/>
          <w:sz w:val="24"/>
          <w:szCs w:val="24"/>
          <w:highlight w:val="none"/>
          <w:lang w:val="en-US" w:eastAsia="zh-CN" w:bidi="ar-SA"/>
        </w:rPr>
        <w:t>根据《环境影响评价技术导则 大气环境》（HJ2.2-2018）要求，依据评价所需环境空气质量现状、气象资料等数据的可获得性、数据质量、代表性等因素，选择近3年中数据相对完整的1个日历年作为评价基准年，根据</w:t>
      </w:r>
      <w:r>
        <w:rPr>
          <w:rFonts w:hint="eastAsia" w:ascii="Times New Roman" w:hAnsi="Times New Roman" w:cs="Times New Roman"/>
          <w:color w:val="auto"/>
          <w:spacing w:val="0"/>
          <w:w w:val="99"/>
          <w:position w:val="0"/>
          <w:sz w:val="24"/>
          <w:szCs w:val="24"/>
          <w:highlight w:val="none"/>
          <w:lang w:val="en-US" w:eastAsia="zh-CN" w:bidi="ar-SA"/>
        </w:rPr>
        <w:t>绥化</w:t>
      </w:r>
      <w:r>
        <w:rPr>
          <w:rFonts w:hint="default" w:ascii="Times New Roman" w:hAnsi="Times New Roman" w:eastAsia="宋体" w:cs="Times New Roman"/>
          <w:color w:val="auto"/>
          <w:spacing w:val="0"/>
          <w:w w:val="99"/>
          <w:position w:val="0"/>
          <w:sz w:val="24"/>
          <w:szCs w:val="24"/>
          <w:highlight w:val="none"/>
          <w:lang w:val="en-US" w:eastAsia="zh-CN" w:bidi="ar-SA"/>
        </w:rPr>
        <w:t>市生态环境局公布</w:t>
      </w:r>
      <w:r>
        <w:rPr>
          <w:rFonts w:hint="default" w:ascii="Times New Roman" w:hAnsi="Times New Roman" w:cs="Times New Roman" w:eastAsiaTheme="minorEastAsia"/>
          <w:color w:val="auto"/>
          <w:w w:val="99"/>
          <w:kern w:val="2"/>
          <w:sz w:val="24"/>
          <w:szCs w:val="20"/>
          <w:highlight w:val="none"/>
          <w:lang w:val="en-GB" w:eastAsia="zh-CN" w:bidi="ar-SA"/>
        </w:rPr>
        <w:t>《绥化市环境质量年报》（202</w:t>
      </w:r>
      <w:r>
        <w:rPr>
          <w:rFonts w:hint="eastAsia" w:ascii="Times New Roman" w:hAnsi="Times New Roman" w:cs="Times New Roman" w:eastAsiaTheme="minorEastAsia"/>
          <w:color w:val="auto"/>
          <w:w w:val="99"/>
          <w:kern w:val="2"/>
          <w:sz w:val="24"/>
          <w:szCs w:val="20"/>
          <w:highlight w:val="none"/>
          <w:lang w:val="en-GB" w:eastAsia="zh-CN" w:bidi="ar-SA"/>
        </w:rPr>
        <w:t>4</w:t>
      </w:r>
      <w:r>
        <w:rPr>
          <w:rFonts w:hint="default" w:ascii="Times New Roman" w:hAnsi="Times New Roman" w:cs="Times New Roman" w:eastAsiaTheme="minorEastAsia"/>
          <w:color w:val="auto"/>
          <w:w w:val="99"/>
          <w:kern w:val="2"/>
          <w:sz w:val="24"/>
          <w:szCs w:val="20"/>
          <w:highlight w:val="none"/>
          <w:lang w:val="en-GB" w:eastAsia="zh-CN" w:bidi="ar-SA"/>
        </w:rPr>
        <w:t>年度）</w:t>
      </w:r>
      <w:r>
        <w:rPr>
          <w:rFonts w:hint="default" w:ascii="Times New Roman" w:hAnsi="Times New Roman" w:eastAsia="宋体" w:cs="Times New Roman"/>
          <w:color w:val="auto"/>
          <w:spacing w:val="0"/>
          <w:w w:val="99"/>
          <w:position w:val="0"/>
          <w:sz w:val="24"/>
          <w:szCs w:val="24"/>
          <w:highlight w:val="none"/>
          <w:lang w:val="en-US" w:eastAsia="zh-CN" w:bidi="ar-SA"/>
        </w:rPr>
        <w:t>，项目区域大气环境质量</w:t>
      </w:r>
      <w:r>
        <w:rPr>
          <w:rFonts w:hint="eastAsia" w:ascii="Times New Roman" w:hAnsi="Times New Roman" w:cs="Times New Roman"/>
          <w:color w:val="auto"/>
          <w:spacing w:val="0"/>
          <w:w w:val="99"/>
          <w:position w:val="0"/>
          <w:sz w:val="24"/>
          <w:szCs w:val="24"/>
          <w:highlight w:val="none"/>
          <w:lang w:val="en-US" w:eastAsia="zh-CN" w:bidi="ar-SA"/>
        </w:rPr>
        <w:t>除</w:t>
      </w:r>
      <w:r>
        <w:rPr>
          <w:rFonts w:hint="default" w:ascii="Times New Roman" w:hAnsi="Times New Roman" w:cs="Times New Roman" w:eastAsiaTheme="minorEastAsia"/>
          <w:color w:val="auto"/>
          <w:w w:val="99"/>
          <w:kern w:val="2"/>
          <w:szCs w:val="20"/>
          <w:highlight w:val="none"/>
        </w:rPr>
        <w:t>PM</w:t>
      </w:r>
      <w:r>
        <w:rPr>
          <w:rFonts w:hint="default" w:ascii="Times New Roman" w:hAnsi="Times New Roman" w:cs="Times New Roman" w:eastAsiaTheme="minorEastAsia"/>
          <w:color w:val="auto"/>
          <w:w w:val="99"/>
          <w:kern w:val="2"/>
          <w:szCs w:val="20"/>
          <w:highlight w:val="none"/>
          <w:vertAlign w:val="subscript"/>
        </w:rPr>
        <w:t>2.5</w:t>
      </w:r>
      <w:r>
        <w:rPr>
          <w:rFonts w:hint="eastAsia" w:ascii="Times New Roman" w:hAnsi="Times New Roman" w:cs="Times New Roman"/>
          <w:color w:val="auto"/>
          <w:spacing w:val="0"/>
          <w:w w:val="99"/>
          <w:position w:val="0"/>
          <w:sz w:val="24"/>
          <w:szCs w:val="24"/>
          <w:highlight w:val="none"/>
          <w:lang w:val="en-US" w:eastAsia="zh-CN" w:bidi="ar-SA"/>
        </w:rPr>
        <w:t>均</w:t>
      </w:r>
      <w:r>
        <w:rPr>
          <w:rFonts w:hint="default" w:ascii="Times New Roman" w:hAnsi="Times New Roman" w:eastAsia="宋体" w:cs="Times New Roman"/>
          <w:color w:val="auto"/>
          <w:spacing w:val="0"/>
          <w:w w:val="99"/>
          <w:position w:val="0"/>
          <w:sz w:val="24"/>
          <w:szCs w:val="24"/>
          <w:highlight w:val="none"/>
          <w:lang w:val="en-US" w:eastAsia="zh-CN" w:bidi="ar-SA"/>
        </w:rPr>
        <w:t>优于《环境空气质量标准》（GB3095-20</w:t>
      </w:r>
      <w:r>
        <w:rPr>
          <w:rFonts w:hint="eastAsia" w:ascii="Times New Roman" w:hAnsi="Times New Roman" w:cs="Times New Roman"/>
          <w:color w:val="auto"/>
          <w:spacing w:val="0"/>
          <w:w w:val="99"/>
          <w:position w:val="0"/>
          <w:sz w:val="24"/>
          <w:szCs w:val="24"/>
          <w:highlight w:val="none"/>
          <w:lang w:val="en-US" w:eastAsia="zh-CN" w:bidi="ar-SA"/>
        </w:rPr>
        <w:t>26</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cs="Times New Roman"/>
          <w:color w:val="auto"/>
          <w:spacing w:val="0"/>
          <w:w w:val="99"/>
          <w:position w:val="0"/>
          <w:sz w:val="24"/>
          <w:szCs w:val="24"/>
          <w:highlight w:val="none"/>
          <w:lang w:val="en-US" w:eastAsia="zh-CN" w:bidi="ar-SA"/>
        </w:rPr>
        <w:t>过渡阶段</w:t>
      </w:r>
      <w:r>
        <w:rPr>
          <w:rFonts w:hint="default" w:ascii="Times New Roman" w:hAnsi="Times New Roman" w:eastAsia="宋体" w:cs="Times New Roman"/>
          <w:color w:val="auto"/>
          <w:spacing w:val="0"/>
          <w:w w:val="99"/>
          <w:position w:val="0"/>
          <w:sz w:val="24"/>
          <w:szCs w:val="24"/>
          <w:highlight w:val="none"/>
          <w:lang w:val="en-US" w:eastAsia="zh-CN" w:bidi="ar-SA"/>
        </w:rPr>
        <w:t>二级标准要求。根据补充现状监测结果：非甲烷总烃可以达到《大气污染物综合排放标准详解》中限值要求</w:t>
      </w:r>
      <w:r>
        <w:rPr>
          <w:rFonts w:hint="eastAsia" w:ascii="Times New Roman" w:hAnsi="Times New Roman" w:cs="Times New Roman"/>
          <w:color w:val="auto"/>
          <w:spacing w:val="0"/>
          <w:w w:val="99"/>
          <w:position w:val="0"/>
          <w:sz w:val="24"/>
          <w:szCs w:val="24"/>
          <w:highlight w:val="none"/>
          <w:lang w:val="en-US" w:eastAsia="zh-CN" w:bidi="ar-SA"/>
        </w:rPr>
        <w:t>，</w:t>
      </w:r>
      <w:r>
        <w:rPr>
          <w:rFonts w:ascii="Times New Roman" w:hAnsi="Times New Roman" w:cs="Times New Roman" w:eastAsiaTheme="minorEastAsia"/>
          <w:color w:val="auto"/>
          <w:w w:val="99"/>
          <w:szCs w:val="28"/>
          <w:highlight w:val="none"/>
        </w:rPr>
        <w:t>甲醇</w:t>
      </w:r>
      <w:r>
        <w:rPr>
          <w:rFonts w:hint="eastAsia" w:ascii="Times New Roman" w:hAnsi="Times New Roman" w:cs="Times New Roman" w:eastAsiaTheme="minorEastAsia"/>
          <w:color w:val="auto"/>
          <w:w w:val="99"/>
          <w:szCs w:val="28"/>
          <w:highlight w:val="none"/>
          <w:lang w:val="en-US" w:eastAsia="zh-CN"/>
        </w:rPr>
        <w:t>满足</w:t>
      </w:r>
      <w:r>
        <w:rPr>
          <w:rFonts w:ascii="Times New Roman" w:hAnsi="Times New Roman" w:cs="Times New Roman" w:eastAsiaTheme="minorEastAsia"/>
          <w:color w:val="auto"/>
          <w:w w:val="99"/>
          <w:szCs w:val="28"/>
          <w:highlight w:val="none"/>
        </w:rPr>
        <w:t>标准《环境影响评价技术导则 大气环境》(HJ2.2-2018）附录 D</w:t>
      </w:r>
      <w:r>
        <w:rPr>
          <w:rFonts w:hint="eastAsia" w:ascii="Times New Roman" w:hAnsi="Times New Roman" w:cs="Times New Roman" w:eastAsiaTheme="minorEastAsia"/>
          <w:color w:val="auto"/>
          <w:w w:val="99"/>
          <w:szCs w:val="28"/>
          <w:highlight w:val="none"/>
          <w:lang w:val="en-US" w:eastAsia="zh-CN"/>
        </w:rPr>
        <w:t>标准</w:t>
      </w:r>
      <w:r>
        <w:rPr>
          <w:rFonts w:hint="default" w:ascii="Times New Roman" w:hAnsi="Times New Roman" w:eastAsia="宋体" w:cs="Times New Roman"/>
          <w:color w:val="auto"/>
          <w:spacing w:val="0"/>
          <w:w w:val="99"/>
          <w:position w:val="0"/>
          <w:sz w:val="24"/>
          <w:szCs w:val="24"/>
          <w:highlight w:val="none"/>
          <w:lang w:val="en-US" w:eastAsia="zh-CN" w:bidi="ar-SA"/>
        </w:rPr>
        <w:t>；本项目不排放废水，不会对周边地表水</w:t>
      </w:r>
      <w:r>
        <w:rPr>
          <w:rFonts w:hint="eastAsia" w:ascii="Times New Roman" w:hAnsi="Times New Roman" w:cs="Times New Roman"/>
          <w:color w:val="auto"/>
          <w:spacing w:val="0"/>
          <w:w w:val="99"/>
          <w:position w:val="0"/>
          <w:sz w:val="24"/>
          <w:szCs w:val="24"/>
          <w:highlight w:val="none"/>
          <w:lang w:val="en-US" w:eastAsia="zh-CN" w:bidi="ar-SA"/>
        </w:rPr>
        <w:t>北大</w:t>
      </w:r>
      <w:r>
        <w:rPr>
          <w:rFonts w:hint="eastAsia" w:ascii="Times New Roman" w:hAnsi="Times New Roman" w:eastAsia="宋体" w:cs="Times New Roman"/>
          <w:color w:val="auto"/>
          <w:spacing w:val="0"/>
          <w:w w:val="99"/>
          <w:position w:val="0"/>
          <w:sz w:val="24"/>
          <w:szCs w:val="24"/>
          <w:highlight w:val="none"/>
          <w:lang w:val="en-US" w:eastAsia="zh-CN" w:bidi="ar-SA"/>
        </w:rPr>
        <w:t>干渠</w:t>
      </w:r>
      <w:r>
        <w:rPr>
          <w:rFonts w:hint="default" w:ascii="Times New Roman" w:hAnsi="Times New Roman" w:eastAsia="宋体" w:cs="Times New Roman"/>
          <w:color w:val="auto"/>
          <w:spacing w:val="0"/>
          <w:w w:val="99"/>
          <w:position w:val="0"/>
          <w:sz w:val="24"/>
          <w:szCs w:val="24"/>
          <w:highlight w:val="none"/>
          <w:lang w:val="en-US" w:eastAsia="zh-CN" w:bidi="ar-SA"/>
        </w:rPr>
        <w:t>产生影响；本项目在采取措施</w:t>
      </w:r>
      <w:r>
        <w:rPr>
          <w:rFonts w:ascii="Times New Roman" w:hAnsi="Times New Roman" w:cs="Times New Roman"/>
          <w:color w:val="auto"/>
          <w:w w:val="99"/>
          <w:kern w:val="2"/>
          <w:highlight w:val="none"/>
        </w:rPr>
        <w:t>后不会对地下水及土壤环境产生影响，区域地下水质量除锰外可以满足《地下水质量标准》（GB/T14848-2017）III类标准，特征因子石油类可以满足《地表水环境质量标准》（GB3838-2002）表1中的</w:t>
      </w:r>
      <w:r>
        <w:rPr>
          <w:rFonts w:ascii="Times New Roman" w:hAnsi="Times New Roman" w:cs="Times New Roman"/>
          <w:color w:val="auto"/>
          <w:w w:val="99"/>
          <w:kern w:val="2"/>
          <w:highlight w:val="none"/>
        </w:rPr>
        <w:fldChar w:fldCharType="begin"/>
      </w:r>
      <w:r>
        <w:rPr>
          <w:rFonts w:ascii="Times New Roman" w:hAnsi="Times New Roman" w:cs="Times New Roman"/>
          <w:color w:val="auto"/>
          <w:w w:val="99"/>
          <w:kern w:val="2"/>
          <w:highlight w:val="none"/>
        </w:rPr>
        <w:instrText xml:space="preserve"> = 2 \* ROMAN </w:instrText>
      </w:r>
      <w:r>
        <w:rPr>
          <w:rFonts w:ascii="Times New Roman" w:hAnsi="Times New Roman" w:cs="Times New Roman"/>
          <w:color w:val="auto"/>
          <w:w w:val="99"/>
          <w:kern w:val="2"/>
          <w:highlight w:val="none"/>
        </w:rPr>
        <w:fldChar w:fldCharType="separate"/>
      </w:r>
      <w:r>
        <w:rPr>
          <w:rFonts w:ascii="Times New Roman" w:hAnsi="Times New Roman" w:cs="Times New Roman"/>
          <w:color w:val="auto"/>
          <w:w w:val="99"/>
          <w:kern w:val="2"/>
          <w:highlight w:val="none"/>
        </w:rPr>
        <w:t>II</w:t>
      </w:r>
      <w:r>
        <w:rPr>
          <w:rFonts w:ascii="Times New Roman" w:hAnsi="Times New Roman" w:cs="Times New Roman"/>
          <w:color w:val="auto"/>
          <w:w w:val="99"/>
          <w:kern w:val="2"/>
          <w:highlight w:val="none"/>
        </w:rPr>
        <w:fldChar w:fldCharType="end"/>
      </w:r>
      <w:r>
        <w:rPr>
          <w:rFonts w:ascii="Times New Roman" w:hAnsi="Times New Roman" w:cs="Times New Roman"/>
          <w:color w:val="auto"/>
          <w:w w:val="99"/>
          <w:kern w:val="2"/>
          <w:highlight w:val="none"/>
        </w:rPr>
        <w:t>类标准限值要求；本项目永久占地内、现有井场及场站土壤满足《土壤环境质量 建设用地土壤污染风险管控标准（试行）》（GB36600-2018）中第二类用地筛选值标准，评价范围内居住区土壤满足《土壤环境质量 建设用地土壤污染风险管控标准（试行）》（GB36600-2018）中第一类用地筛选值标准，评价范围内农用地土壤满足《土壤环境质量 农用地土壤污染风险管控标准（试行）》（GB15618-2018）表1农用地土壤风险筛选值。因此本项目建设符合环境质量底线要求。</w:t>
      </w:r>
    </w:p>
    <w:p w14:paraId="4F31901A">
      <w:pPr>
        <w:pStyle w:val="153"/>
        <w:widowControl w:val="0"/>
        <w:spacing w:line="440" w:lineRule="exact"/>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1.4.</w:t>
      </w:r>
      <w:r>
        <w:rPr>
          <w:rFonts w:hint="eastAsia" w:ascii="Times New Roman" w:hAnsi="Times New Roman"/>
          <w:b/>
          <w:color w:val="auto"/>
          <w:w w:val="99"/>
          <w:highlight w:val="none"/>
          <w:lang w:val="en-US" w:eastAsia="zh-CN"/>
        </w:rPr>
        <w:t>4</w:t>
      </w:r>
      <w:r>
        <w:rPr>
          <w:rFonts w:ascii="Times New Roman" w:hAnsi="Times New Roman"/>
          <w:b/>
          <w:color w:val="auto"/>
          <w:w w:val="99"/>
          <w:highlight w:val="none"/>
        </w:rPr>
        <w:t>.3资源利用上线</w:t>
      </w:r>
    </w:p>
    <w:p w14:paraId="56261CD8">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本项目为</w:t>
      </w:r>
      <w:r>
        <w:rPr>
          <w:rFonts w:hint="eastAsia" w:ascii="Times New Roman" w:hAnsi="Times New Roman" w:eastAsia="宋体" w:cs="Times New Roman"/>
          <w:color w:val="auto"/>
          <w:spacing w:val="0"/>
          <w:w w:val="99"/>
          <w:position w:val="0"/>
          <w:sz w:val="24"/>
          <w:szCs w:val="24"/>
          <w:highlight w:val="none"/>
          <w:lang w:val="en-US" w:eastAsia="zh-CN" w:bidi="ar-SA"/>
        </w:rPr>
        <w:t>天然气</w:t>
      </w:r>
      <w:r>
        <w:rPr>
          <w:rFonts w:hint="default" w:ascii="Times New Roman" w:hAnsi="Times New Roman" w:eastAsia="宋体" w:cs="Times New Roman"/>
          <w:color w:val="auto"/>
          <w:spacing w:val="0"/>
          <w:w w:val="99"/>
          <w:position w:val="0"/>
          <w:sz w:val="24"/>
          <w:szCs w:val="24"/>
          <w:highlight w:val="none"/>
          <w:lang w:val="en-US" w:eastAsia="zh-CN" w:bidi="ar-SA"/>
        </w:rPr>
        <w:t>开采项目，项目永久占地</w:t>
      </w:r>
      <w:r>
        <w:rPr>
          <w:rFonts w:hint="eastAsia" w:ascii="Times New Roman" w:hAnsi="Times New Roman" w:cs="Times New Roman"/>
          <w:color w:val="auto"/>
          <w:spacing w:val="0"/>
          <w:w w:val="99"/>
          <w:position w:val="0"/>
          <w:sz w:val="24"/>
          <w:szCs w:val="24"/>
          <w:highlight w:val="none"/>
          <w:lang w:val="en-US" w:eastAsia="zh-CN" w:bidi="ar-SA"/>
        </w:rPr>
        <w:t>0.0901</w:t>
      </w:r>
      <w:r>
        <w:rPr>
          <w:rFonts w:hint="default" w:ascii="Times New Roman" w:hAnsi="Times New Roman" w:eastAsia="宋体" w:cs="Times New Roman"/>
          <w:color w:val="auto"/>
          <w:spacing w:val="0"/>
          <w:w w:val="99"/>
          <w:position w:val="0"/>
          <w:sz w:val="24"/>
          <w:szCs w:val="24"/>
          <w:highlight w:val="none"/>
          <w:lang w:val="en-US" w:eastAsia="zh-CN" w:bidi="ar-SA"/>
        </w:rPr>
        <w:t>hm</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2</w:t>
      </w:r>
      <w:r>
        <w:rPr>
          <w:rFonts w:hint="default" w:ascii="Times New Roman" w:hAnsi="Times New Roman" w:eastAsia="宋体" w:cs="Times New Roman"/>
          <w:color w:val="auto"/>
          <w:spacing w:val="0"/>
          <w:w w:val="99"/>
          <w:position w:val="0"/>
          <w:sz w:val="24"/>
          <w:szCs w:val="24"/>
          <w:highlight w:val="none"/>
          <w:lang w:val="en-US" w:eastAsia="zh-CN" w:bidi="ar-SA"/>
        </w:rPr>
        <w:t>，临时占地面积</w:t>
      </w:r>
      <w:r>
        <w:rPr>
          <w:rFonts w:hint="eastAsia" w:ascii="Times New Roman" w:hAnsi="Times New Roman" w:cs="Times New Roman"/>
          <w:color w:val="auto"/>
          <w:spacing w:val="0"/>
          <w:w w:val="99"/>
          <w:position w:val="0"/>
          <w:sz w:val="24"/>
          <w:szCs w:val="24"/>
          <w:highlight w:val="none"/>
          <w:lang w:val="en-US" w:eastAsia="zh-CN" w:bidi="ar-SA"/>
        </w:rPr>
        <w:t>1.9229</w:t>
      </w:r>
      <w:r>
        <w:rPr>
          <w:rFonts w:hint="default" w:ascii="Times New Roman" w:hAnsi="Times New Roman" w:eastAsia="宋体" w:cs="Times New Roman"/>
          <w:color w:val="auto"/>
          <w:spacing w:val="0"/>
          <w:w w:val="99"/>
          <w:position w:val="0"/>
          <w:sz w:val="24"/>
          <w:szCs w:val="24"/>
          <w:highlight w:val="none"/>
          <w:lang w:val="en-US" w:eastAsia="zh-CN" w:bidi="ar-SA"/>
        </w:rPr>
        <w:t>hm</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2</w:t>
      </w:r>
      <w:r>
        <w:rPr>
          <w:rFonts w:hint="default" w:ascii="Times New Roman" w:hAnsi="Times New Roman" w:eastAsia="宋体" w:cs="Times New Roman"/>
          <w:color w:val="auto"/>
          <w:spacing w:val="0"/>
          <w:w w:val="99"/>
          <w:position w:val="0"/>
          <w:sz w:val="24"/>
          <w:szCs w:val="24"/>
          <w:highlight w:val="none"/>
          <w:lang w:val="en-US" w:eastAsia="zh-CN" w:bidi="ar-SA"/>
        </w:rPr>
        <w:t>，占地类型为耕地（永久基本农田），占地面积较少，针对永久占地按“占一补一”原则进行补偿，临时占地均为施工结束后进行生态恢复，土地资源消耗符合</w:t>
      </w:r>
      <w:r>
        <w:rPr>
          <w:rFonts w:hint="eastAsia" w:ascii="Times New Roman" w:hAnsi="Times New Roman" w:cs="Times New Roman"/>
          <w:color w:val="auto"/>
          <w:spacing w:val="0"/>
          <w:w w:val="99"/>
          <w:position w:val="0"/>
          <w:sz w:val="24"/>
          <w:szCs w:val="24"/>
          <w:highlight w:val="none"/>
          <w:lang w:val="en-US" w:eastAsia="zh-CN" w:bidi="ar-SA"/>
        </w:rPr>
        <w:t>绥化</w:t>
      </w:r>
      <w:r>
        <w:rPr>
          <w:rFonts w:hint="default" w:ascii="Times New Roman" w:hAnsi="Times New Roman" w:eastAsia="宋体" w:cs="Times New Roman"/>
          <w:color w:val="auto"/>
          <w:spacing w:val="0"/>
          <w:w w:val="99"/>
          <w:position w:val="0"/>
          <w:sz w:val="24"/>
          <w:szCs w:val="24"/>
          <w:highlight w:val="none"/>
          <w:lang w:val="en-US" w:eastAsia="zh-CN" w:bidi="ar-SA"/>
        </w:rPr>
        <w:t>市土地资源利用上线要求；本项目施工期新鲜水消耗量为</w:t>
      </w:r>
      <w:r>
        <w:rPr>
          <w:rFonts w:hint="eastAsia" w:ascii="Times New Roman" w:hAnsi="Times New Roman" w:cs="Times New Roman"/>
          <w:color w:val="auto"/>
          <w:spacing w:val="0"/>
          <w:w w:val="99"/>
          <w:position w:val="0"/>
          <w:sz w:val="24"/>
          <w:szCs w:val="24"/>
          <w:highlight w:val="none"/>
          <w:lang w:val="en-US" w:eastAsia="zh-CN" w:bidi="ar-SA"/>
        </w:rPr>
        <w:t>724.39</w:t>
      </w:r>
      <w:r>
        <w:rPr>
          <w:rFonts w:hint="default" w:ascii="Times New Roman" w:hAnsi="Times New Roman" w:eastAsia="宋体" w:cs="Times New Roman"/>
          <w:color w:val="auto"/>
          <w:spacing w:val="0"/>
          <w:w w:val="99"/>
          <w:position w:val="0"/>
          <w:sz w:val="24"/>
          <w:szCs w:val="24"/>
          <w:highlight w:val="none"/>
          <w:lang w:val="en-US" w:eastAsia="zh-CN" w:bidi="ar-SA"/>
        </w:rPr>
        <w:t>m</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3</w:t>
      </w:r>
      <w:r>
        <w:rPr>
          <w:rFonts w:hint="default" w:ascii="Times New Roman" w:hAnsi="Times New Roman" w:eastAsia="宋体" w:cs="Times New Roman"/>
          <w:color w:val="auto"/>
          <w:spacing w:val="0"/>
          <w:w w:val="99"/>
          <w:position w:val="0"/>
          <w:sz w:val="24"/>
          <w:szCs w:val="24"/>
          <w:highlight w:val="none"/>
          <w:lang w:val="en-US" w:eastAsia="zh-CN" w:bidi="ar-SA"/>
        </w:rPr>
        <w:t>，消耗的水主要用于生活及生产需要，用量不大；运营期不新增新鲜水消耗，区域的水资源消耗不大；井场、场站设备能源主要依托油田的电网供电，生产用气主要为油田采出气，新增耗气量</w:t>
      </w:r>
      <w:r>
        <w:rPr>
          <w:rFonts w:hint="eastAsia" w:ascii="Times New Roman" w:hAnsi="Times New Roman" w:cs="Times New Roman"/>
          <w:color w:val="auto"/>
          <w:spacing w:val="0"/>
          <w:w w:val="99"/>
          <w:position w:val="0"/>
          <w:sz w:val="24"/>
          <w:szCs w:val="24"/>
          <w:highlight w:val="none"/>
          <w:lang w:val="en-US" w:eastAsia="zh-CN" w:bidi="ar-SA"/>
        </w:rPr>
        <w:t>77.09</w:t>
      </w:r>
      <w:r>
        <w:rPr>
          <w:rFonts w:hint="default" w:ascii="Times New Roman" w:hAnsi="Times New Roman" w:eastAsia="宋体" w:cs="Times New Roman"/>
          <w:color w:val="auto"/>
          <w:spacing w:val="0"/>
          <w:w w:val="99"/>
          <w:position w:val="0"/>
          <w:sz w:val="24"/>
          <w:szCs w:val="24"/>
          <w:highlight w:val="none"/>
          <w:lang w:val="en-US" w:eastAsia="zh-CN" w:bidi="ar-SA"/>
        </w:rPr>
        <w:t>万m</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3</w:t>
      </w:r>
      <w:r>
        <w:rPr>
          <w:rFonts w:hint="default" w:ascii="Times New Roman" w:hAnsi="Times New Roman" w:eastAsia="宋体" w:cs="Times New Roman"/>
          <w:color w:val="auto"/>
          <w:spacing w:val="0"/>
          <w:w w:val="99"/>
          <w:position w:val="0"/>
          <w:sz w:val="24"/>
          <w:szCs w:val="24"/>
          <w:highlight w:val="none"/>
          <w:lang w:val="en-US" w:eastAsia="zh-CN" w:bidi="ar-SA"/>
        </w:rPr>
        <w:t>/a</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本项目资源消耗较少，均能满足</w:t>
      </w:r>
      <w:r>
        <w:rPr>
          <w:rFonts w:hint="eastAsia" w:ascii="Times New Roman" w:hAnsi="Times New Roman" w:cs="Times New Roman"/>
          <w:color w:val="auto"/>
          <w:spacing w:val="0"/>
          <w:w w:val="99"/>
          <w:position w:val="0"/>
          <w:sz w:val="24"/>
          <w:szCs w:val="24"/>
          <w:highlight w:val="none"/>
          <w:lang w:val="en-US" w:eastAsia="zh-CN" w:bidi="ar-SA"/>
        </w:rPr>
        <w:t>绥化</w:t>
      </w:r>
      <w:r>
        <w:rPr>
          <w:rFonts w:hint="default" w:ascii="Times New Roman" w:hAnsi="Times New Roman" w:eastAsia="宋体" w:cs="Times New Roman"/>
          <w:color w:val="auto"/>
          <w:spacing w:val="0"/>
          <w:w w:val="99"/>
          <w:position w:val="0"/>
          <w:sz w:val="24"/>
          <w:szCs w:val="24"/>
          <w:highlight w:val="none"/>
          <w:lang w:val="en-US" w:eastAsia="zh-CN" w:bidi="ar-SA"/>
        </w:rPr>
        <w:t>市资源利用上线及分区管控要求。因此本项目符合资源利用上限要求。</w:t>
      </w:r>
    </w:p>
    <w:p w14:paraId="22456F3F">
      <w:pPr>
        <w:pStyle w:val="153"/>
        <w:widowControl w:val="0"/>
        <w:spacing w:line="440" w:lineRule="exact"/>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1.4.</w:t>
      </w:r>
      <w:r>
        <w:rPr>
          <w:rFonts w:hint="eastAsia" w:ascii="Times New Roman" w:hAnsi="Times New Roman"/>
          <w:b/>
          <w:color w:val="auto"/>
          <w:w w:val="99"/>
          <w:highlight w:val="none"/>
          <w:lang w:val="en-US" w:eastAsia="zh-CN"/>
        </w:rPr>
        <w:t>4</w:t>
      </w:r>
      <w:r>
        <w:rPr>
          <w:rFonts w:ascii="Times New Roman" w:hAnsi="Times New Roman"/>
          <w:b/>
          <w:color w:val="auto"/>
          <w:w w:val="99"/>
          <w:highlight w:val="none"/>
        </w:rPr>
        <w:t xml:space="preserve">.4生态环境准入清单 </w:t>
      </w:r>
    </w:p>
    <w:p w14:paraId="5CC97929">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本项目与《</w:t>
      </w:r>
      <w:bookmarkStart w:id="129" w:name="OLE_LINK107"/>
      <w:bookmarkStart w:id="130" w:name="OLE_LINK108"/>
      <w:r>
        <w:rPr>
          <w:rFonts w:hint="eastAsia" w:ascii="Times New Roman" w:hAnsi="Times New Roman" w:cs="Times New Roman"/>
          <w:color w:val="auto"/>
          <w:spacing w:val="0"/>
          <w:w w:val="99"/>
          <w:position w:val="0"/>
          <w:sz w:val="24"/>
          <w:szCs w:val="24"/>
          <w:highlight w:val="none"/>
          <w:lang w:val="en-US" w:eastAsia="zh-CN" w:bidi="ar-SA"/>
        </w:rPr>
        <w:t>绥化</w:t>
      </w:r>
      <w:r>
        <w:rPr>
          <w:rFonts w:hint="default" w:ascii="Times New Roman" w:hAnsi="Times New Roman" w:eastAsia="宋体" w:cs="Times New Roman"/>
          <w:color w:val="auto"/>
          <w:spacing w:val="0"/>
          <w:w w:val="99"/>
          <w:position w:val="0"/>
          <w:sz w:val="24"/>
          <w:szCs w:val="24"/>
          <w:highlight w:val="none"/>
          <w:lang w:val="en-US" w:eastAsia="zh-CN" w:bidi="ar-SA"/>
        </w:rPr>
        <w:t>市生态环境准入清单（2023年版）</w:t>
      </w:r>
      <w:bookmarkEnd w:id="129"/>
      <w:bookmarkEnd w:id="130"/>
      <w:r>
        <w:rPr>
          <w:rFonts w:hint="default" w:ascii="Times New Roman" w:hAnsi="Times New Roman" w:eastAsia="宋体" w:cs="Times New Roman"/>
          <w:color w:val="auto"/>
          <w:spacing w:val="0"/>
          <w:w w:val="99"/>
          <w:position w:val="0"/>
          <w:sz w:val="24"/>
          <w:szCs w:val="24"/>
          <w:highlight w:val="none"/>
          <w:lang w:val="en-US" w:eastAsia="zh-CN" w:bidi="ar-SA"/>
        </w:rPr>
        <w:t>》中环境管控单元进行对照，本项目位于一般管控单元，根据黑龙江省生态环境分区管控数据应用平台生成的生态环境分区管控分析报告，本项目位于</w:t>
      </w:r>
      <w:bookmarkStart w:id="131" w:name="OLE_LINK48"/>
      <w:bookmarkStart w:id="132" w:name="OLE_LINK49"/>
      <w:r>
        <w:rPr>
          <w:rFonts w:hint="default" w:ascii="Times New Roman" w:hAnsi="Times New Roman" w:eastAsia="宋体" w:cs="Times New Roman"/>
          <w:color w:val="auto"/>
          <w:spacing w:val="0"/>
          <w:w w:val="99"/>
          <w:position w:val="0"/>
          <w:sz w:val="24"/>
          <w:szCs w:val="24"/>
          <w:highlight w:val="none"/>
          <w:lang w:val="en-US" w:eastAsia="zh-CN" w:bidi="ar-SA"/>
        </w:rPr>
        <w:t>肇东市水环境农业污染重点管控区</w:t>
      </w:r>
      <w:bookmarkEnd w:id="131"/>
      <w:bookmarkEnd w:id="132"/>
      <w:r>
        <w:rPr>
          <w:rFonts w:hint="eastAsia" w:ascii="Times New Roman" w:hAnsi="Times New Roman" w:eastAsia="宋体" w:cs="Times New Roman"/>
          <w:color w:val="auto"/>
          <w:w w:val="99"/>
          <w:highlight w:val="none"/>
          <w:lang w:val="en-US" w:eastAsia="zh-CN"/>
        </w:rPr>
        <w:t>（ZH23128220003）</w:t>
      </w:r>
      <w:r>
        <w:rPr>
          <w:rFonts w:hint="default" w:ascii="Times New Roman" w:hAnsi="Times New Roman" w:eastAsia="宋体" w:cs="Times New Roman"/>
          <w:color w:val="auto"/>
          <w:spacing w:val="0"/>
          <w:w w:val="99"/>
          <w:position w:val="0"/>
          <w:sz w:val="24"/>
          <w:szCs w:val="24"/>
          <w:highlight w:val="none"/>
          <w:lang w:val="en-US" w:eastAsia="zh-CN" w:bidi="ar-SA"/>
        </w:rPr>
        <w:t>，本项目与生态环境准入清单管控体系符合性分析见表1.4-</w:t>
      </w:r>
      <w:r>
        <w:rPr>
          <w:rFonts w:hint="eastAsia" w:ascii="Times New Roman" w:hAnsi="Times New Roman" w:cs="Times New Roman"/>
          <w:color w:val="auto"/>
          <w:spacing w:val="0"/>
          <w:w w:val="99"/>
          <w:position w:val="0"/>
          <w:sz w:val="24"/>
          <w:szCs w:val="24"/>
          <w:highlight w:val="none"/>
          <w:lang w:val="en-US" w:eastAsia="zh-CN" w:bidi="ar-SA"/>
        </w:rPr>
        <w:t>19</w:t>
      </w:r>
      <w:r>
        <w:rPr>
          <w:rFonts w:hint="default" w:ascii="Times New Roman" w:hAnsi="Times New Roman" w:eastAsia="宋体" w:cs="Times New Roman"/>
          <w:color w:val="auto"/>
          <w:spacing w:val="0"/>
          <w:w w:val="99"/>
          <w:position w:val="0"/>
          <w:sz w:val="24"/>
          <w:szCs w:val="24"/>
          <w:highlight w:val="none"/>
          <w:lang w:val="en-US" w:eastAsia="zh-CN" w:bidi="ar-SA"/>
        </w:rPr>
        <w:t>。</w:t>
      </w:r>
    </w:p>
    <w:p w14:paraId="3839F95B">
      <w:pPr>
        <w:widowControl w:val="0"/>
        <w:spacing w:line="440" w:lineRule="exact"/>
        <w:ind w:firstLine="476" w:firstLineChars="200"/>
        <w:jc w:val="both"/>
        <w:rPr>
          <w:rFonts w:ascii="Times New Roman" w:hAnsi="Times New Roman" w:cs="Times New Roman"/>
          <w:b/>
          <w:color w:val="auto"/>
          <w:w w:val="99"/>
          <w:szCs w:val="20"/>
          <w:highlight w:val="none"/>
        </w:rPr>
      </w:pPr>
      <w:r>
        <w:rPr>
          <w:rFonts w:ascii="Times New Roman" w:hAnsi="Times New Roman" w:cs="Times New Roman"/>
          <w:b/>
          <w:color w:val="auto"/>
          <w:w w:val="99"/>
          <w:szCs w:val="20"/>
          <w:highlight w:val="none"/>
        </w:rPr>
        <w:t>表1.4-</w:t>
      </w:r>
      <w:r>
        <w:rPr>
          <w:rFonts w:hint="eastAsia" w:ascii="Times New Roman" w:hAnsi="Times New Roman" w:cs="Times New Roman"/>
          <w:b/>
          <w:color w:val="auto"/>
          <w:w w:val="99"/>
          <w:szCs w:val="20"/>
          <w:highlight w:val="none"/>
          <w:lang w:val="en-US" w:eastAsia="zh-CN"/>
        </w:rPr>
        <w:t>19</w:t>
      </w:r>
      <w:r>
        <w:rPr>
          <w:rFonts w:ascii="Times New Roman" w:hAnsi="Times New Roman" w:cs="Times New Roman"/>
          <w:b/>
          <w:color w:val="auto"/>
          <w:w w:val="99"/>
          <w:szCs w:val="20"/>
          <w:highlight w:val="none"/>
        </w:rPr>
        <w:t xml:space="preserve">  本项目与生态环境准入清单管控体系符合性分析</w:t>
      </w:r>
    </w:p>
    <w:tbl>
      <w:tblPr>
        <w:tblStyle w:val="80"/>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8"/>
        <w:gridCol w:w="744"/>
        <w:gridCol w:w="517"/>
        <w:gridCol w:w="448"/>
        <w:gridCol w:w="2669"/>
        <w:gridCol w:w="3345"/>
        <w:gridCol w:w="853"/>
      </w:tblGrid>
      <w:tr w14:paraId="38B4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7"/>
            <w:vAlign w:val="center"/>
          </w:tcPr>
          <w:p w14:paraId="0206479D">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绥化</w:t>
            </w:r>
            <w:r>
              <w:rPr>
                <w:rFonts w:ascii="Times New Roman" w:hAnsi="Times New Roman" w:cs="Times New Roman" w:eastAsiaTheme="minorEastAsia"/>
                <w:color w:val="auto"/>
                <w:w w:val="99"/>
                <w:sz w:val="21"/>
                <w:szCs w:val="21"/>
                <w:highlight w:val="none"/>
              </w:rPr>
              <w:t>市总体准入要求</w:t>
            </w:r>
          </w:p>
        </w:tc>
      </w:tr>
      <w:tr w14:paraId="3BC5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Align w:val="center"/>
          </w:tcPr>
          <w:p w14:paraId="55C63EB2">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适用范围</w:t>
            </w:r>
          </w:p>
        </w:tc>
        <w:tc>
          <w:tcPr>
            <w:tcW w:w="404" w:type="pct"/>
            <w:vAlign w:val="center"/>
          </w:tcPr>
          <w:p w14:paraId="374709F4">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管控维度</w:t>
            </w:r>
          </w:p>
        </w:tc>
        <w:tc>
          <w:tcPr>
            <w:tcW w:w="1974" w:type="pct"/>
            <w:gridSpan w:val="3"/>
            <w:vAlign w:val="center"/>
          </w:tcPr>
          <w:p w14:paraId="1D7EF877">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管控要求</w:t>
            </w:r>
          </w:p>
        </w:tc>
        <w:tc>
          <w:tcPr>
            <w:tcW w:w="1817" w:type="pct"/>
            <w:vAlign w:val="center"/>
          </w:tcPr>
          <w:p w14:paraId="3AC980EA">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本项目符合性分析</w:t>
            </w:r>
          </w:p>
        </w:tc>
        <w:tc>
          <w:tcPr>
            <w:tcW w:w="463" w:type="pct"/>
            <w:vAlign w:val="center"/>
          </w:tcPr>
          <w:p w14:paraId="47797756">
            <w:pPr>
              <w:keepNext w:val="0"/>
              <w:keepLines w:val="0"/>
              <w:pageBreakBefore w:val="0"/>
              <w:widowControl w:val="0"/>
              <w:wordWrap/>
              <w:overflowPunct/>
              <w:topLinePunct w:val="0"/>
              <w:bidi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结论</w:t>
            </w:r>
          </w:p>
        </w:tc>
      </w:tr>
      <w:tr w14:paraId="12D5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restart"/>
            <w:vAlign w:val="center"/>
          </w:tcPr>
          <w:p w14:paraId="5FF85BF3">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总体要求</w:t>
            </w:r>
          </w:p>
        </w:tc>
        <w:tc>
          <w:tcPr>
            <w:tcW w:w="404" w:type="pct"/>
            <w:vAlign w:val="center"/>
          </w:tcPr>
          <w:p w14:paraId="18D12E13">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空间布局约束</w:t>
            </w:r>
          </w:p>
        </w:tc>
        <w:tc>
          <w:tcPr>
            <w:tcW w:w="1974" w:type="pct"/>
            <w:gridSpan w:val="3"/>
            <w:vAlign w:val="center"/>
          </w:tcPr>
          <w:p w14:paraId="68F2824B">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both"/>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lang w:val="en-US" w:eastAsia="zh-CN"/>
              </w:rPr>
              <w:t>1、</w:t>
            </w:r>
            <w:r>
              <w:rPr>
                <w:rFonts w:hint="default" w:ascii="Times New Roman" w:hAnsi="Times New Roman" w:eastAsia="宋体" w:cs="Times New Roman"/>
                <w:color w:val="auto"/>
                <w:w w:val="99"/>
                <w:sz w:val="21"/>
                <w:szCs w:val="21"/>
                <w:highlight w:val="none"/>
              </w:rPr>
              <w:t>加大黑土地保护；农产品禁止生产区域，禁止种植食用农产品；禁止处理处置不达标的污泥进入耕地，取缔非法污泥堆放点。</w:t>
            </w:r>
          </w:p>
          <w:p w14:paraId="783EEB50">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both"/>
              <w:textAlignment w:val="auto"/>
              <w:rPr>
                <w:rFonts w:hint="default" w:ascii="Times New Roman" w:hAnsi="Times New Roman" w:eastAsia="宋体" w:cs="Times New Roman"/>
                <w:color w:val="auto"/>
                <w:w w:val="99"/>
                <w:sz w:val="21"/>
                <w:szCs w:val="21"/>
                <w:highlight w:val="none"/>
                <w:lang w:eastAsia="zh-CN"/>
              </w:rPr>
            </w:pPr>
            <w:r>
              <w:rPr>
                <w:rFonts w:hint="default" w:ascii="Times New Roman" w:hAnsi="Times New Roman" w:eastAsia="宋体" w:cs="Times New Roman"/>
                <w:color w:val="auto"/>
                <w:w w:val="99"/>
                <w:sz w:val="21"/>
                <w:szCs w:val="21"/>
                <w:highlight w:val="none"/>
                <w:lang w:val="en-US" w:eastAsia="zh-CN"/>
              </w:rPr>
              <w:t>2、</w:t>
            </w:r>
            <w:r>
              <w:rPr>
                <w:rFonts w:hint="default" w:ascii="Times New Roman" w:hAnsi="Times New Roman" w:eastAsia="宋体" w:cs="Times New Roman"/>
                <w:color w:val="auto"/>
                <w:w w:val="99"/>
                <w:sz w:val="21"/>
                <w:szCs w:val="21"/>
                <w:highlight w:val="none"/>
              </w:rPr>
              <w:t>严禁以任何名义、任何方式备案产能严重过剩行业的增加产能项目。对电力、钢铁、建材、有色、化工、石油石化、煤炭、印染、造纸、制革、染料、焦化、电镀等行业中，环保、能耗、安全、质量等不达标或生产、使用淘汰类产品的企业和产能，要依法依规有序退出。严控“两高”行业产能，严格执行钢铁、水泥等行业产能转换</w:t>
            </w:r>
            <w:r>
              <w:rPr>
                <w:rFonts w:hint="default" w:ascii="Times New Roman" w:hAnsi="Times New Roman" w:eastAsia="宋体" w:cs="Times New Roman"/>
                <w:color w:val="auto"/>
                <w:w w:val="99"/>
                <w:sz w:val="21"/>
                <w:szCs w:val="21"/>
                <w:highlight w:val="none"/>
                <w:lang w:eastAsia="zh-CN"/>
              </w:rPr>
              <w:t>。</w:t>
            </w:r>
          </w:p>
          <w:p w14:paraId="543BC276">
            <w:pPr>
              <w:pStyle w:val="4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both"/>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3.严格合理控制煤炭消费增长，逐步降低煤炭消费比重。大力推动煤电机组节能降耗改造、灵活性改造、供热改造“三改联动”，原则上不再新增煤电规模。</w:t>
            </w:r>
          </w:p>
          <w:p w14:paraId="693321B0">
            <w:pPr>
              <w:pStyle w:val="4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lang w:val="en-US" w:eastAsia="zh-CN" w:bidi="ar-SA"/>
              </w:rPr>
              <w:t>4.县级及以上城市建成区原则上不再新建35蒸吨/小时及以下燃煤锅炉，其他地区原则上不再新建10蒸吨小时以下燃煤锅炉。采取生物质锅炉替代的，需使用专用锅炉配套布袋等高效除尘设施，若氮氧化物排放不能达标的需配备脱硝设施，使用过程中严禁掺烧煤炭、垃圾等其他物料。实施工业炉窑清洁能源替代，大力推进电能替代煤炭，积极稳妥推进以气代煤。</w:t>
            </w:r>
          </w:p>
        </w:tc>
        <w:tc>
          <w:tcPr>
            <w:tcW w:w="1817" w:type="pct"/>
            <w:vAlign w:val="center"/>
          </w:tcPr>
          <w:p w14:paraId="1279B6CA">
            <w:pPr>
              <w:pStyle w:val="275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exact"/>
              <w:ind w:left="0" w:right="0" w:firstLine="414" w:firstLineChars="200"/>
              <w:jc w:val="both"/>
              <w:textAlignment w:val="auto"/>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color w:val="auto"/>
                <w:w w:val="99"/>
                <w:sz w:val="21"/>
                <w:szCs w:val="21"/>
                <w:highlight w:val="none"/>
                <w:lang w:val="en-US" w:eastAsia="zh-CN"/>
              </w:rPr>
              <w:t>1、</w:t>
            </w:r>
            <w:r>
              <w:rPr>
                <w:rFonts w:hint="default" w:ascii="Times New Roman" w:hAnsi="Times New Roman" w:cs="Times New Roman" w:eastAsiaTheme="minorEastAsia"/>
                <w:color w:val="auto"/>
                <w:w w:val="99"/>
                <w:kern w:val="2"/>
                <w:sz w:val="21"/>
                <w:szCs w:val="21"/>
                <w:highlight w:val="none"/>
              </w:rPr>
              <w:t>本项目</w:t>
            </w:r>
            <w:r>
              <w:rPr>
                <w:rFonts w:hint="default" w:ascii="Times New Roman" w:hAnsi="Times New Roman" w:cs="Times New Roman" w:eastAsiaTheme="minorEastAsia"/>
                <w:color w:val="auto"/>
                <w:w w:val="99"/>
                <w:kern w:val="2"/>
                <w:sz w:val="21"/>
                <w:szCs w:val="21"/>
                <w:highlight w:val="none"/>
                <w:lang w:val="en-US" w:eastAsia="zh-CN"/>
              </w:rPr>
              <w:t>为</w:t>
            </w:r>
            <w:r>
              <w:rPr>
                <w:rFonts w:hint="eastAsia" w:ascii="Times New Roman" w:hAnsi="Times New Roman" w:cs="Times New Roman" w:eastAsiaTheme="minorEastAsia"/>
                <w:color w:val="auto"/>
                <w:w w:val="99"/>
                <w:kern w:val="2"/>
                <w:sz w:val="21"/>
                <w:szCs w:val="21"/>
                <w:highlight w:val="none"/>
                <w:lang w:val="en-US" w:eastAsia="zh-CN"/>
              </w:rPr>
              <w:t>气田</w:t>
            </w:r>
            <w:r>
              <w:rPr>
                <w:rFonts w:hint="default" w:ascii="Times New Roman" w:hAnsi="Times New Roman" w:cs="Times New Roman" w:eastAsiaTheme="minorEastAsia"/>
                <w:color w:val="auto"/>
                <w:w w:val="99"/>
                <w:kern w:val="2"/>
                <w:sz w:val="21"/>
                <w:szCs w:val="21"/>
                <w:highlight w:val="none"/>
              </w:rPr>
              <w:t>开发工程，属于国家能源建设项目，位于</w:t>
            </w:r>
            <w:r>
              <w:rPr>
                <w:rFonts w:hint="eastAsia" w:ascii="Times New Roman" w:hAnsi="Times New Roman" w:cs="Times New Roman" w:eastAsiaTheme="minorEastAsia"/>
                <w:color w:val="auto"/>
                <w:w w:val="99"/>
                <w:kern w:val="2"/>
                <w:sz w:val="21"/>
                <w:szCs w:val="21"/>
                <w:highlight w:val="none"/>
                <w:lang w:val="en-US" w:eastAsia="zh-CN"/>
              </w:rPr>
              <w:t>肇东</w:t>
            </w:r>
            <w:r>
              <w:rPr>
                <w:rFonts w:hint="default" w:ascii="Times New Roman" w:hAnsi="Times New Roman" w:cs="Times New Roman" w:eastAsiaTheme="minorEastAsia"/>
                <w:color w:val="auto"/>
                <w:w w:val="99"/>
                <w:kern w:val="2"/>
                <w:sz w:val="21"/>
                <w:szCs w:val="21"/>
                <w:highlight w:val="none"/>
                <w:lang w:val="en-US" w:eastAsia="zh-CN"/>
              </w:rPr>
              <w:t>市境内耕地（基本农田）</w:t>
            </w:r>
            <w:r>
              <w:rPr>
                <w:rFonts w:hint="default" w:ascii="Times New Roman" w:hAnsi="Times New Roman" w:cs="Times New Roman" w:eastAsiaTheme="minorEastAsia"/>
                <w:color w:val="auto"/>
                <w:w w:val="99"/>
                <w:kern w:val="2"/>
                <w:sz w:val="21"/>
                <w:szCs w:val="21"/>
                <w:highlight w:val="none"/>
              </w:rPr>
              <w:t>内，</w:t>
            </w:r>
            <w:r>
              <w:rPr>
                <w:rFonts w:hint="default" w:ascii="Times New Roman" w:hAnsi="Times New Roman" w:cs="Times New Roman" w:eastAsiaTheme="minorEastAsia"/>
                <w:color w:val="auto"/>
                <w:w w:val="99"/>
                <w:kern w:val="2"/>
                <w:sz w:val="21"/>
                <w:szCs w:val="21"/>
                <w:highlight w:val="none"/>
                <w:lang w:val="en-US" w:eastAsia="zh-CN"/>
              </w:rPr>
              <w:t>根据地下储层特性，</w:t>
            </w:r>
            <w:r>
              <w:rPr>
                <w:rFonts w:hint="default" w:ascii="Times New Roman" w:hAnsi="Times New Roman" w:cs="Times New Roman" w:eastAsiaTheme="minorEastAsia"/>
                <w:color w:val="auto"/>
                <w:w w:val="99"/>
                <w:kern w:val="2"/>
                <w:sz w:val="21"/>
                <w:szCs w:val="21"/>
                <w:highlight w:val="none"/>
              </w:rPr>
              <w:t>项目选址无法避让</w:t>
            </w:r>
            <w:r>
              <w:rPr>
                <w:rFonts w:hint="default" w:ascii="Times New Roman" w:hAnsi="Times New Roman" w:cs="Times New Roman" w:eastAsiaTheme="minorEastAsia"/>
                <w:color w:val="auto"/>
                <w:w w:val="99"/>
                <w:kern w:val="2"/>
                <w:sz w:val="21"/>
                <w:szCs w:val="21"/>
                <w:highlight w:val="none"/>
                <w:lang w:val="en-US" w:eastAsia="zh-CN"/>
              </w:rPr>
              <w:t>耕地（黑土地）。</w:t>
            </w:r>
          </w:p>
          <w:p w14:paraId="44A95FEE">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both"/>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bidi="ar-SA"/>
              </w:rPr>
              <w:t>本项目总占地面积为2.013</w:t>
            </w:r>
            <w:r>
              <w:rPr>
                <w:rFonts w:hint="default" w:ascii="Times New Roman" w:hAnsi="Times New Roman" w:cs="Times New Roman" w:eastAsiaTheme="minorEastAsia"/>
                <w:color w:val="auto"/>
                <w:w w:val="99"/>
                <w:kern w:val="2"/>
                <w:sz w:val="21"/>
                <w:szCs w:val="21"/>
                <w:highlight w:val="none"/>
                <w:lang w:val="en-US" w:eastAsia="zh-CN" w:bidi="ar-SA"/>
              </w:rPr>
              <w:t>hm</w:t>
            </w:r>
            <w:r>
              <w:rPr>
                <w:rFonts w:hint="default" w:ascii="Times New Roman" w:hAnsi="Times New Roman" w:cs="Times New Roman" w:eastAsiaTheme="minorEastAsia"/>
                <w:color w:val="auto"/>
                <w:w w:val="99"/>
                <w:kern w:val="2"/>
                <w:sz w:val="21"/>
                <w:szCs w:val="21"/>
                <w:highlight w:val="none"/>
                <w:vertAlign w:val="superscript"/>
                <w:lang w:val="en-US" w:eastAsia="zh-CN" w:bidi="ar-SA"/>
              </w:rPr>
              <w:t>2</w:t>
            </w:r>
            <w:r>
              <w:rPr>
                <w:rFonts w:hint="default" w:ascii="Times New Roman" w:hAnsi="Times New Roman" w:cs="Times New Roman" w:eastAsiaTheme="minorEastAsia"/>
                <w:color w:val="auto"/>
                <w:w w:val="99"/>
                <w:kern w:val="2"/>
                <w:sz w:val="21"/>
                <w:szCs w:val="21"/>
                <w:highlight w:val="none"/>
                <w:lang w:val="en-US" w:eastAsia="zh-CN" w:bidi="ar-SA"/>
              </w:rPr>
              <w:t>，</w:t>
            </w:r>
            <w:r>
              <w:rPr>
                <w:rFonts w:hint="eastAsia" w:ascii="Times New Roman" w:hAnsi="Times New Roman" w:cs="Times New Roman" w:eastAsiaTheme="minorEastAsia"/>
                <w:color w:val="auto"/>
                <w:w w:val="99"/>
                <w:kern w:val="2"/>
                <w:sz w:val="21"/>
                <w:szCs w:val="21"/>
                <w:highlight w:val="none"/>
                <w:lang w:val="en-US" w:eastAsia="zh-CN" w:bidi="ar-SA"/>
              </w:rPr>
              <w:t>其中</w:t>
            </w:r>
            <w:r>
              <w:rPr>
                <w:rFonts w:hint="default" w:ascii="Times New Roman" w:hAnsi="Times New Roman" w:cs="Times New Roman" w:eastAsiaTheme="minorEastAsia"/>
                <w:color w:val="auto"/>
                <w:w w:val="99"/>
                <w:kern w:val="2"/>
                <w:sz w:val="21"/>
                <w:szCs w:val="21"/>
                <w:highlight w:val="none"/>
                <w:lang w:val="en-US" w:eastAsia="zh-CN" w:bidi="ar-SA"/>
              </w:rPr>
              <w:t>永久</w:t>
            </w:r>
            <w:r>
              <w:rPr>
                <w:rFonts w:hint="eastAsia" w:ascii="Times New Roman" w:hAnsi="Times New Roman" w:cs="Times New Roman" w:eastAsiaTheme="minorEastAsia"/>
                <w:color w:val="auto"/>
                <w:w w:val="99"/>
                <w:kern w:val="2"/>
                <w:sz w:val="21"/>
                <w:szCs w:val="21"/>
                <w:highlight w:val="none"/>
                <w:lang w:val="en-US" w:eastAsia="zh-CN" w:bidi="ar-SA"/>
              </w:rPr>
              <w:t>占地0.0901</w:t>
            </w:r>
            <w:r>
              <w:rPr>
                <w:rFonts w:hint="default" w:ascii="Times New Roman" w:hAnsi="Times New Roman" w:cs="Times New Roman" w:eastAsiaTheme="minorEastAsia"/>
                <w:color w:val="auto"/>
                <w:w w:val="99"/>
                <w:kern w:val="2"/>
                <w:sz w:val="21"/>
                <w:szCs w:val="21"/>
                <w:highlight w:val="none"/>
                <w:lang w:val="en-US" w:eastAsia="zh-CN" w:bidi="ar-SA"/>
              </w:rPr>
              <w:t>hm</w:t>
            </w:r>
            <w:r>
              <w:rPr>
                <w:rFonts w:hint="default" w:ascii="Times New Roman" w:hAnsi="Times New Roman" w:cs="Times New Roman" w:eastAsiaTheme="minorEastAsia"/>
                <w:color w:val="auto"/>
                <w:w w:val="99"/>
                <w:kern w:val="2"/>
                <w:sz w:val="21"/>
                <w:szCs w:val="21"/>
                <w:highlight w:val="none"/>
                <w:vertAlign w:val="superscript"/>
                <w:lang w:val="en-US" w:eastAsia="zh-CN" w:bidi="ar-SA"/>
              </w:rPr>
              <w:t>2</w:t>
            </w:r>
            <w:r>
              <w:rPr>
                <w:rFonts w:hint="eastAsia" w:ascii="Times New Roman" w:hAnsi="Times New Roman" w:cs="Times New Roman" w:eastAsiaTheme="minorEastAsia"/>
                <w:color w:val="auto"/>
                <w:w w:val="99"/>
                <w:kern w:val="2"/>
                <w:sz w:val="21"/>
                <w:szCs w:val="21"/>
                <w:highlight w:val="none"/>
                <w:lang w:val="en-US" w:eastAsia="zh-CN" w:bidi="ar-SA"/>
              </w:rPr>
              <w:t>，临时占地</w:t>
            </w:r>
            <w:r>
              <w:rPr>
                <w:rFonts w:hint="eastAsia" w:ascii="Times New Roman" w:hAnsi="Times New Roman" w:eastAsia="宋体" w:cs="Times New Roman"/>
                <w:color w:val="auto"/>
                <w:w w:val="99"/>
                <w:kern w:val="0"/>
                <w:sz w:val="21"/>
                <w:szCs w:val="21"/>
                <w:highlight w:val="none"/>
                <w:lang w:val="en-US" w:eastAsia="zh-CN" w:bidi="ar-SA"/>
              </w:rPr>
              <w:t>1.9229</w:t>
            </w:r>
            <w:r>
              <w:rPr>
                <w:rFonts w:hint="default" w:ascii="Times New Roman" w:hAnsi="Times New Roman" w:cs="Times New Roman" w:eastAsiaTheme="minorEastAsia"/>
                <w:color w:val="auto"/>
                <w:w w:val="99"/>
                <w:kern w:val="2"/>
                <w:sz w:val="21"/>
                <w:szCs w:val="21"/>
                <w:highlight w:val="none"/>
                <w:lang w:val="en-US" w:eastAsia="zh-CN" w:bidi="ar-SA"/>
              </w:rPr>
              <w:t>hm</w:t>
            </w:r>
            <w:r>
              <w:rPr>
                <w:rFonts w:hint="default" w:ascii="Times New Roman" w:hAnsi="Times New Roman" w:cs="Times New Roman" w:eastAsiaTheme="minorEastAsia"/>
                <w:color w:val="auto"/>
                <w:w w:val="99"/>
                <w:kern w:val="2"/>
                <w:sz w:val="21"/>
                <w:szCs w:val="21"/>
                <w:highlight w:val="none"/>
                <w:vertAlign w:val="superscript"/>
                <w:lang w:val="en-US" w:eastAsia="zh-CN" w:bidi="ar-SA"/>
              </w:rPr>
              <w:t>2</w:t>
            </w:r>
            <w:r>
              <w:rPr>
                <w:rFonts w:hint="eastAsia" w:ascii="Times New Roman" w:hAnsi="Times New Roman" w:cs="Times New Roman" w:eastAsiaTheme="minorEastAsia"/>
                <w:color w:val="auto"/>
                <w:w w:val="99"/>
                <w:kern w:val="2"/>
                <w:sz w:val="21"/>
                <w:szCs w:val="21"/>
                <w:highlight w:val="none"/>
                <w:vertAlign w:val="baseline"/>
                <w:lang w:val="en-US" w:eastAsia="zh-CN" w:bidi="ar-SA"/>
              </w:rPr>
              <w:t>，占地类型为永久基本农田</w:t>
            </w:r>
            <w:r>
              <w:rPr>
                <w:rFonts w:hint="default" w:ascii="Times New Roman" w:hAnsi="Times New Roman" w:cs="Times New Roman" w:eastAsiaTheme="minorEastAsia"/>
                <w:color w:val="auto"/>
                <w:w w:val="99"/>
                <w:kern w:val="2"/>
                <w:sz w:val="21"/>
                <w:szCs w:val="21"/>
                <w:highlight w:val="none"/>
                <w:lang w:val="en-US" w:eastAsia="zh-CN" w:bidi="ar-SA"/>
              </w:rPr>
              <w:t>。本</w:t>
            </w:r>
            <w:r>
              <w:rPr>
                <w:rFonts w:hint="default" w:ascii="Times New Roman" w:hAnsi="Times New Roman" w:cs="Times New Roman" w:eastAsiaTheme="minorEastAsia"/>
                <w:color w:val="auto"/>
                <w:w w:val="99"/>
                <w:kern w:val="2"/>
                <w:sz w:val="21"/>
                <w:szCs w:val="21"/>
                <w:highlight w:val="none"/>
                <w:lang w:val="en-US" w:eastAsia="zh-CN"/>
              </w:rPr>
              <w:t>项目在施工前需要征收土地，应报请相关主管部门同意，取得用地审批。本工程尽可能减少占地。本工程建设过程中，无法避让基本农田，根据《基本农田保护条例》（2011年修订），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w:t>
            </w:r>
            <w:r>
              <w:rPr>
                <w:rFonts w:hint="default" w:ascii="Times New Roman" w:hAnsi="Times New Roman" w:cs="Times New Roman" w:eastAsiaTheme="minorEastAsia"/>
                <w:color w:val="auto"/>
                <w:w w:val="99"/>
                <w:kern w:val="2"/>
                <w:sz w:val="21"/>
                <w:szCs w:val="21"/>
                <w:highlight w:val="none"/>
              </w:rPr>
              <w:t>本工程实施前编制建设项目占用耕地耕作层土壤剥离利用方案，统筹安</w:t>
            </w:r>
            <w:r>
              <w:rPr>
                <w:rFonts w:hint="default" w:ascii="Times New Roman" w:hAnsi="Times New Roman" w:eastAsia="宋体" w:cs="Times New Roman"/>
                <w:color w:val="auto"/>
                <w:w w:val="99"/>
                <w:sz w:val="21"/>
                <w:szCs w:val="21"/>
                <w:highlight w:val="none"/>
                <w:lang w:val="en-US" w:eastAsia="zh-CN"/>
              </w:rPr>
              <w:t>排剥离、储存和再利用。表土剥离和利用严格执行《建设占用耕地耕作层土壤剥离利用技术规范》（DB23/T2913-2021）。</w:t>
            </w:r>
          </w:p>
          <w:p w14:paraId="02C88286">
            <w:pPr>
              <w:keepNext w:val="0"/>
              <w:keepLines w:val="0"/>
              <w:pageBreakBefore w:val="0"/>
              <w:widowControl w:val="0"/>
              <w:numPr>
                <w:ilvl w:val="0"/>
                <w:numId w:val="7"/>
              </w:numPr>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both"/>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lang w:val="en-US" w:eastAsia="zh-CN"/>
              </w:rPr>
              <w:t>本项目为</w:t>
            </w:r>
            <w:r>
              <w:rPr>
                <w:rFonts w:hint="eastAsia" w:ascii="Times New Roman" w:hAnsi="Times New Roman" w:eastAsia="宋体" w:cs="Times New Roman"/>
                <w:color w:val="auto"/>
                <w:w w:val="99"/>
                <w:sz w:val="21"/>
                <w:szCs w:val="21"/>
                <w:highlight w:val="none"/>
                <w:lang w:val="en-US" w:eastAsia="zh-CN"/>
              </w:rPr>
              <w:t>气</w:t>
            </w:r>
            <w:r>
              <w:rPr>
                <w:rFonts w:hint="default" w:ascii="Times New Roman" w:hAnsi="Times New Roman" w:eastAsia="宋体" w:cs="Times New Roman"/>
                <w:color w:val="auto"/>
                <w:w w:val="99"/>
                <w:sz w:val="21"/>
                <w:szCs w:val="21"/>
                <w:highlight w:val="none"/>
                <w:lang w:val="en-US" w:eastAsia="zh-CN"/>
              </w:rPr>
              <w:t>田产能开发，属于陆地</w:t>
            </w:r>
            <w:r>
              <w:rPr>
                <w:rFonts w:hint="eastAsia" w:ascii="Times New Roman" w:hAnsi="Times New Roman" w:eastAsia="宋体" w:cs="Times New Roman"/>
                <w:color w:val="auto"/>
                <w:w w:val="99"/>
                <w:sz w:val="21"/>
                <w:szCs w:val="21"/>
                <w:highlight w:val="none"/>
                <w:lang w:val="en-US" w:eastAsia="zh-CN"/>
              </w:rPr>
              <w:t>天然气</w:t>
            </w:r>
            <w:r>
              <w:rPr>
                <w:rFonts w:hint="default" w:ascii="Times New Roman" w:hAnsi="Times New Roman" w:eastAsia="宋体" w:cs="Times New Roman"/>
                <w:color w:val="auto"/>
                <w:w w:val="99"/>
                <w:sz w:val="21"/>
                <w:szCs w:val="21"/>
                <w:highlight w:val="none"/>
                <w:lang w:val="en-US" w:eastAsia="zh-CN"/>
              </w:rPr>
              <w:t>项目，不属于有色、石油加工、化工、焦化、电镀、制革等行业企业。不属于高污染、高能耗行业。</w:t>
            </w:r>
          </w:p>
          <w:p w14:paraId="2446DAF9">
            <w:pPr>
              <w:keepNext w:val="0"/>
              <w:keepLines w:val="0"/>
              <w:pageBreakBefore w:val="0"/>
              <w:widowControl w:val="0"/>
              <w:numPr>
                <w:ilvl w:val="0"/>
                <w:numId w:val="7"/>
              </w:numPr>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both"/>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项目不涉及煤炭消费。</w:t>
            </w:r>
          </w:p>
          <w:p w14:paraId="47DE64C5">
            <w:pPr>
              <w:keepNext w:val="0"/>
              <w:keepLines w:val="0"/>
              <w:pageBreakBefore w:val="0"/>
              <w:widowControl w:val="0"/>
              <w:numPr>
                <w:ilvl w:val="0"/>
                <w:numId w:val="7"/>
              </w:numPr>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leftChars="0" w:right="0" w:rightChars="0" w:firstLine="414" w:firstLineChars="200"/>
              <w:jc w:val="both"/>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eastAsia="宋体" w:cs="Times New Roman"/>
                <w:color w:val="auto"/>
                <w:w w:val="99"/>
                <w:sz w:val="21"/>
                <w:szCs w:val="21"/>
                <w:highlight w:val="none"/>
                <w:lang w:val="en-US" w:eastAsia="zh-CN"/>
              </w:rPr>
              <w:t>项目依托场站加热装置燃料采用天然气，不涉及煤炭。</w:t>
            </w:r>
          </w:p>
        </w:tc>
        <w:tc>
          <w:tcPr>
            <w:tcW w:w="463" w:type="pct"/>
            <w:vAlign w:val="center"/>
          </w:tcPr>
          <w:p w14:paraId="5DBFFDA1">
            <w:pPr>
              <w:keepNext w:val="0"/>
              <w:keepLines w:val="0"/>
              <w:pageBreakBefore w:val="0"/>
              <w:widowControl w:val="0"/>
              <w:wordWrap/>
              <w:overflowPunct/>
              <w:topLinePunct w:val="0"/>
              <w:bidi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符合</w:t>
            </w:r>
          </w:p>
        </w:tc>
      </w:tr>
      <w:tr w14:paraId="775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541C1A89">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p>
        </w:tc>
        <w:tc>
          <w:tcPr>
            <w:tcW w:w="404" w:type="pct"/>
            <w:vAlign w:val="center"/>
          </w:tcPr>
          <w:p w14:paraId="0F60B380">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污染物排放管控</w:t>
            </w:r>
          </w:p>
        </w:tc>
        <w:tc>
          <w:tcPr>
            <w:tcW w:w="1974" w:type="pct"/>
            <w:gridSpan w:val="3"/>
            <w:vAlign w:val="center"/>
          </w:tcPr>
          <w:p w14:paraId="66E1FA01">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exact"/>
              <w:ind w:left="0" w:right="0" w:firstLine="414" w:firstLineChars="200"/>
              <w:jc w:val="both"/>
              <w:textAlignment w:val="auto"/>
              <w:rPr>
                <w:rFonts w:hint="default" w:ascii="Times New Roman" w:hAnsi="Times New Roman" w:eastAsia="宋体" w:cs="Times New Roman"/>
                <w:color w:val="auto"/>
                <w:spacing w:val="0"/>
                <w:w w:val="99"/>
                <w:sz w:val="21"/>
                <w:szCs w:val="21"/>
                <w:highlight w:val="none"/>
                <w:lang w:val="en-US" w:eastAsia="zh-CN" w:bidi="ar-SA"/>
              </w:rPr>
            </w:pPr>
            <w:r>
              <w:rPr>
                <w:rFonts w:hint="default" w:ascii="Times New Roman" w:hAnsi="Times New Roman" w:eastAsia="宋体" w:cs="Times New Roman"/>
                <w:color w:val="auto"/>
                <w:spacing w:val="0"/>
                <w:w w:val="99"/>
                <w:sz w:val="21"/>
                <w:szCs w:val="21"/>
                <w:highlight w:val="none"/>
                <w:lang w:val="en-US" w:eastAsia="zh-CN" w:bidi="ar-SA"/>
              </w:rPr>
              <w:t>1.2025年和2035年全市大气污染物氮氧化物和VOCs重点工程削减量不低于省政府确定的削减量。</w:t>
            </w:r>
          </w:p>
          <w:p w14:paraId="70EC9486">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leftChars="0" w:right="0" w:rightChars="0" w:firstLine="414" w:firstLineChars="200"/>
              <w:jc w:val="both"/>
              <w:textAlignment w:val="auto"/>
              <w:rPr>
                <w:rFonts w:ascii="Times New Roman" w:hAnsi="Times New Roman" w:cs="Times New Roman" w:eastAsiaTheme="minorEastAsia"/>
                <w:color w:val="auto"/>
                <w:spacing w:val="0"/>
                <w:w w:val="99"/>
                <w:sz w:val="21"/>
                <w:szCs w:val="21"/>
                <w:highlight w:val="none"/>
              </w:rPr>
            </w:pPr>
            <w:r>
              <w:rPr>
                <w:rFonts w:hint="default" w:ascii="Times New Roman" w:hAnsi="Times New Roman" w:eastAsia="宋体" w:cs="Times New Roman"/>
                <w:color w:val="auto"/>
                <w:spacing w:val="0"/>
                <w:w w:val="99"/>
                <w:sz w:val="21"/>
                <w:szCs w:val="21"/>
                <w:highlight w:val="none"/>
                <w:lang w:val="en-US" w:eastAsia="zh-CN" w:bidi="ar-SA"/>
              </w:rPr>
              <w:t>2.2025年和2035年全市水污染物化学需氧量和氨氮削减量不低于省政府确定的削减量。到2025年，化学需氧量、氨氮重点工程减排量分别达到10984.9吨、1200吨。</w:t>
            </w:r>
          </w:p>
        </w:tc>
        <w:tc>
          <w:tcPr>
            <w:tcW w:w="1817" w:type="pct"/>
            <w:vAlign w:val="center"/>
          </w:tcPr>
          <w:p w14:paraId="4EEA6439">
            <w:pPr>
              <w:pStyle w:val="275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exact"/>
              <w:ind w:left="0" w:right="0" w:firstLine="414" w:firstLineChars="200"/>
              <w:jc w:val="both"/>
              <w:textAlignment w:val="auto"/>
              <w:rPr>
                <w:rFonts w:hint="default" w:ascii="Times New Roman" w:hAnsi="Times New Roman" w:eastAsia="宋体" w:cs="Times New Roman"/>
                <w:color w:val="auto"/>
                <w:spacing w:val="0"/>
                <w:w w:val="99"/>
                <w:highlight w:val="none"/>
                <w:lang w:val="en-US" w:eastAsia="zh-CN"/>
              </w:rPr>
            </w:pPr>
            <w:r>
              <w:rPr>
                <w:rFonts w:hint="default" w:ascii="Times New Roman" w:hAnsi="Times New Roman" w:eastAsia="宋体" w:cs="Times New Roman"/>
                <w:color w:val="auto"/>
                <w:spacing w:val="0"/>
                <w:w w:val="99"/>
                <w:highlight w:val="none"/>
                <w:lang w:val="en-US" w:eastAsia="zh-CN"/>
              </w:rPr>
              <w:t>1、施工扬尘采取施工现场洒水抑尘、运输车辆及物料加盖防尘布等方式降低扬尘污染。</w:t>
            </w:r>
          </w:p>
          <w:p w14:paraId="213FE05C">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4" w:firstLineChars="200"/>
              <w:jc w:val="both"/>
              <w:textAlignment w:val="baseline"/>
              <w:rPr>
                <w:rFonts w:hint="default" w:ascii="Times New Roman" w:hAnsi="Times New Roman" w:eastAsia="宋体" w:cs="Times New Roman"/>
                <w:color w:val="auto"/>
                <w:spacing w:val="0"/>
                <w:w w:val="99"/>
                <w:kern w:val="2"/>
                <w:sz w:val="21"/>
                <w:szCs w:val="20"/>
                <w:highlight w:val="none"/>
                <w:lang w:val="en-US" w:eastAsia="zh-CN" w:bidi="ar-SA"/>
              </w:rPr>
            </w:pPr>
            <w:r>
              <w:rPr>
                <w:rFonts w:hint="eastAsia" w:ascii="Times New Roman" w:hAnsi="Times New Roman" w:eastAsia="宋体" w:cs="Times New Roman"/>
                <w:color w:val="auto"/>
                <w:spacing w:val="0"/>
                <w:w w:val="99"/>
                <w:kern w:val="2"/>
                <w:sz w:val="21"/>
                <w:szCs w:val="20"/>
                <w:highlight w:val="none"/>
                <w:lang w:val="en-US" w:eastAsia="zh-CN" w:bidi="ar-SA"/>
              </w:rPr>
              <w:t>2、本项目施工期管线试压废水通过罐车拉运至升一联气田污水预处理站处理，满足《大庆油田地面工程建 设设计规定》（Q/SYDQ0639-2015）限值“含油量≤10mg/L、悬浮固体含量 ≤5mg/L、粒径中值≤2μm”后回注地下，回注到现役油气藏层位。</w:t>
            </w:r>
          </w:p>
          <w:p w14:paraId="342C9A51">
            <w:pPr>
              <w:pStyle w:val="275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exact"/>
              <w:ind w:left="0" w:leftChars="0" w:right="0" w:rightChars="0" w:firstLine="414" w:firstLineChars="200"/>
              <w:jc w:val="both"/>
              <w:textAlignment w:val="auto"/>
              <w:rPr>
                <w:rFonts w:ascii="Times New Roman" w:hAnsi="Times New Roman" w:cs="Times New Roman" w:eastAsiaTheme="minorEastAsia"/>
                <w:color w:val="auto"/>
                <w:spacing w:val="0"/>
                <w:w w:val="99"/>
                <w:sz w:val="21"/>
                <w:szCs w:val="21"/>
                <w:highlight w:val="none"/>
              </w:rPr>
            </w:pPr>
            <w:r>
              <w:rPr>
                <w:rFonts w:hint="eastAsia" w:ascii="Times New Roman" w:hAnsi="Times New Roman" w:cs="Times New Roman"/>
                <w:color w:val="auto"/>
                <w:spacing w:val="0"/>
                <w:w w:val="99"/>
                <w:highlight w:val="none"/>
                <w:lang w:val="en-US" w:eastAsia="zh-CN"/>
              </w:rPr>
              <w:t>3、生活污水排入附近场站已建生活污水收集设施，定期由大庆石油管理局有限公司庆南工矿服务公司红岗分公司拉运至大庆红岗区西巷污水回收站，管输至南区污水处理厂进行处理。</w:t>
            </w:r>
          </w:p>
        </w:tc>
        <w:tc>
          <w:tcPr>
            <w:tcW w:w="463" w:type="pct"/>
            <w:vAlign w:val="center"/>
          </w:tcPr>
          <w:p w14:paraId="57EE5764">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符合</w:t>
            </w:r>
          </w:p>
        </w:tc>
      </w:tr>
      <w:tr w14:paraId="13DE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39107C35">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p>
        </w:tc>
        <w:tc>
          <w:tcPr>
            <w:tcW w:w="404" w:type="pct"/>
            <w:shd w:val="clear" w:color="auto" w:fill="auto"/>
            <w:vAlign w:val="center"/>
          </w:tcPr>
          <w:p w14:paraId="2228C93A">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spacing w:val="0"/>
                <w:w w:val="99"/>
                <w:sz w:val="21"/>
                <w:szCs w:val="21"/>
                <w:highlight w:val="none"/>
                <w:lang w:val="en-US" w:eastAsia="zh-CN"/>
              </w:rPr>
              <w:t>环境风险防控</w:t>
            </w:r>
          </w:p>
        </w:tc>
        <w:tc>
          <w:tcPr>
            <w:tcW w:w="1974" w:type="pct"/>
            <w:gridSpan w:val="3"/>
            <w:shd w:val="clear" w:color="auto" w:fill="auto"/>
            <w:vAlign w:val="center"/>
          </w:tcPr>
          <w:p w14:paraId="2F62376D">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leftChars="0" w:right="0" w:rightChars="0" w:firstLine="414" w:firstLineChars="200"/>
              <w:jc w:val="left"/>
              <w:textAlignment w:val="auto"/>
              <w:rPr>
                <w:rFonts w:hint="default" w:ascii="Times New Roman" w:hAnsi="Times New Roman" w:eastAsia="宋体" w:cs="Times New Roman"/>
                <w:color w:val="auto"/>
                <w:spacing w:val="0"/>
                <w:w w:val="99"/>
                <w:kern w:val="0"/>
                <w:sz w:val="24"/>
                <w:szCs w:val="21"/>
                <w:highlight w:val="none"/>
                <w:lang w:val="en-US" w:eastAsia="zh-CN" w:bidi="ar-SA"/>
              </w:rPr>
            </w:pPr>
            <w:r>
              <w:rPr>
                <w:rFonts w:hint="default" w:ascii="Times New Roman" w:hAnsi="Times New Roman" w:eastAsia="宋体" w:cs="Times New Roman"/>
                <w:color w:val="auto"/>
                <w:spacing w:val="0"/>
                <w:w w:val="99"/>
                <w:sz w:val="21"/>
                <w:szCs w:val="21"/>
                <w:highlight w:val="none"/>
                <w:lang w:val="en-US" w:eastAsia="zh-CN"/>
              </w:rPr>
              <w:t>各级人民政府及其有关部门和企业事业单位，应当依照《中华人民共和国突发事件应对法》的规定，做好突发环境事件的风险控制、应急准备、应急处置和事后恢复等工作。</w:t>
            </w:r>
          </w:p>
        </w:tc>
        <w:tc>
          <w:tcPr>
            <w:tcW w:w="1817" w:type="pct"/>
            <w:shd w:val="clear" w:color="auto" w:fill="auto"/>
            <w:vAlign w:val="center"/>
          </w:tcPr>
          <w:p w14:paraId="17946271">
            <w:pPr>
              <w:pStyle w:val="275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exact"/>
              <w:ind w:left="0" w:leftChars="0" w:right="0" w:rightChars="0" w:firstLine="414" w:firstLineChars="200"/>
              <w:jc w:val="both"/>
              <w:textAlignment w:val="auto"/>
              <w:rPr>
                <w:rFonts w:hint="eastAsia" w:ascii="Times New Roman" w:hAnsi="Times New Roman" w:eastAsia="宋体" w:cs="Times New Roman"/>
                <w:color w:val="auto"/>
                <w:spacing w:val="0"/>
                <w:w w:val="99"/>
                <w:kern w:val="2"/>
                <w:sz w:val="21"/>
                <w:szCs w:val="21"/>
                <w:highlight w:val="none"/>
                <w:lang w:val="en-US" w:eastAsia="zh-CN" w:bidi="ar-SA"/>
              </w:rPr>
            </w:pPr>
            <w:r>
              <w:rPr>
                <w:rFonts w:hint="default" w:ascii="Times New Roman" w:hAnsi="Times New Roman" w:eastAsia="宋体" w:cs="Times New Roman"/>
                <w:color w:val="auto"/>
                <w:spacing w:val="0"/>
                <w:w w:val="99"/>
                <w:highlight w:val="none"/>
                <w:lang w:val="en-US" w:eastAsia="zh-CN"/>
              </w:rPr>
              <w:t>大庆油田有限责任公司采气分公司于2024年10月23日在大庆市让胡路生态环境局备案了企业环境风险应急预案（备案号230604-2024-47-L），大庆油田有限责任公司采气分公司本项目建成后应将已备案的应急预案根据本次工程内容进行修订，包括相关工作人员的培训和演练等。</w:t>
            </w:r>
          </w:p>
        </w:tc>
        <w:tc>
          <w:tcPr>
            <w:tcW w:w="463" w:type="pct"/>
            <w:vAlign w:val="center"/>
          </w:tcPr>
          <w:p w14:paraId="0150B0CB">
            <w:pPr>
              <w:keepNext w:val="0"/>
              <w:keepLines w:val="0"/>
              <w:pageBreakBefore w:val="0"/>
              <w:widowControl w:val="0"/>
              <w:wordWrap/>
              <w:overflowPunct/>
              <w:topLinePunct w:val="0"/>
              <w:bidi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符合</w:t>
            </w:r>
          </w:p>
        </w:tc>
      </w:tr>
      <w:tr w14:paraId="6669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2CE2C096">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p>
        </w:tc>
        <w:tc>
          <w:tcPr>
            <w:tcW w:w="404" w:type="pct"/>
            <w:vAlign w:val="center"/>
          </w:tcPr>
          <w:p w14:paraId="376B541D">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资源利用效率要求</w:t>
            </w:r>
          </w:p>
        </w:tc>
        <w:tc>
          <w:tcPr>
            <w:tcW w:w="1974" w:type="pct"/>
            <w:gridSpan w:val="3"/>
            <w:vAlign w:val="center"/>
          </w:tcPr>
          <w:p w14:paraId="5A9BE363">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left"/>
              <w:textAlignment w:val="auto"/>
              <w:rPr>
                <w:rFonts w:hint="default" w:ascii="Times New Roman" w:hAnsi="Times New Roman" w:eastAsia="宋体" w:cs="Times New Roman"/>
                <w:color w:val="auto"/>
                <w:spacing w:val="0"/>
                <w:w w:val="99"/>
                <w:sz w:val="21"/>
                <w:szCs w:val="21"/>
                <w:highlight w:val="none"/>
                <w:lang w:val="en-US" w:eastAsia="zh-CN"/>
              </w:rPr>
            </w:pPr>
            <w:r>
              <w:rPr>
                <w:rFonts w:hint="default" w:ascii="Times New Roman" w:hAnsi="Times New Roman" w:eastAsia="宋体" w:cs="Times New Roman"/>
                <w:color w:val="auto"/>
                <w:spacing w:val="0"/>
                <w:w w:val="99"/>
                <w:sz w:val="21"/>
                <w:szCs w:val="21"/>
                <w:highlight w:val="none"/>
                <w:lang w:val="en-US" w:eastAsia="zh-CN"/>
              </w:rPr>
              <w:t>1.水资源：</w:t>
            </w:r>
          </w:p>
          <w:p w14:paraId="2559E6D3">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left"/>
              <w:textAlignment w:val="auto"/>
              <w:rPr>
                <w:rFonts w:hint="default" w:ascii="Times New Roman" w:hAnsi="Times New Roman" w:eastAsia="宋体" w:cs="Times New Roman"/>
                <w:color w:val="auto"/>
                <w:spacing w:val="0"/>
                <w:w w:val="99"/>
                <w:sz w:val="21"/>
                <w:szCs w:val="21"/>
                <w:highlight w:val="none"/>
                <w:lang w:val="en-US" w:eastAsia="zh-CN"/>
              </w:rPr>
            </w:pPr>
            <w:r>
              <w:rPr>
                <w:rFonts w:hint="default" w:ascii="Times New Roman" w:hAnsi="Times New Roman" w:eastAsia="宋体" w:cs="Times New Roman"/>
                <w:color w:val="auto"/>
                <w:spacing w:val="0"/>
                <w:w w:val="99"/>
                <w:sz w:val="21"/>
                <w:szCs w:val="21"/>
                <w:highlight w:val="none"/>
                <w:lang w:val="en-US" w:eastAsia="zh-CN"/>
              </w:rPr>
              <w:t>全市2025年用水总量不得超过36.55亿立方米，2030年用水总量控制指标不高于省政府确定的指标。</w:t>
            </w:r>
          </w:p>
          <w:p w14:paraId="5F524512">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left"/>
              <w:textAlignment w:val="auto"/>
              <w:rPr>
                <w:rFonts w:hint="default" w:ascii="Times New Roman" w:hAnsi="Times New Roman" w:eastAsia="宋体" w:cs="Times New Roman"/>
                <w:color w:val="auto"/>
                <w:spacing w:val="0"/>
                <w:w w:val="99"/>
                <w:sz w:val="21"/>
                <w:szCs w:val="21"/>
                <w:highlight w:val="none"/>
                <w:lang w:val="en-US" w:eastAsia="zh-CN"/>
              </w:rPr>
            </w:pPr>
            <w:r>
              <w:rPr>
                <w:rFonts w:hint="default" w:ascii="Times New Roman" w:hAnsi="Times New Roman" w:eastAsia="宋体" w:cs="Times New Roman"/>
                <w:color w:val="auto"/>
                <w:spacing w:val="0"/>
                <w:w w:val="99"/>
                <w:sz w:val="21"/>
                <w:szCs w:val="21"/>
                <w:highlight w:val="none"/>
                <w:lang w:val="en-US" w:eastAsia="zh-CN"/>
              </w:rPr>
              <w:t>2.土地资源：</w:t>
            </w:r>
          </w:p>
          <w:p w14:paraId="2C40FF4F">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left"/>
              <w:textAlignment w:val="auto"/>
              <w:rPr>
                <w:rFonts w:hint="default" w:ascii="Times New Roman" w:hAnsi="Times New Roman" w:eastAsia="宋体" w:cs="Times New Roman"/>
                <w:color w:val="auto"/>
                <w:spacing w:val="0"/>
                <w:w w:val="99"/>
                <w:sz w:val="21"/>
                <w:szCs w:val="21"/>
                <w:highlight w:val="none"/>
                <w:lang w:val="en-US" w:eastAsia="zh-CN"/>
              </w:rPr>
            </w:pPr>
            <w:r>
              <w:rPr>
                <w:rFonts w:hint="default" w:ascii="Times New Roman" w:hAnsi="Times New Roman" w:eastAsia="宋体" w:cs="Times New Roman"/>
                <w:color w:val="auto"/>
                <w:spacing w:val="0"/>
                <w:w w:val="99"/>
                <w:sz w:val="21"/>
                <w:szCs w:val="21"/>
                <w:highlight w:val="none"/>
                <w:lang w:val="en-US" w:eastAsia="zh-CN"/>
              </w:rPr>
              <w:t>全市2025和2035年耕地保有量不低于规划指标。</w:t>
            </w:r>
          </w:p>
          <w:p w14:paraId="3463B45C">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left"/>
              <w:textAlignment w:val="auto"/>
              <w:rPr>
                <w:rFonts w:hint="default" w:ascii="Times New Roman" w:hAnsi="Times New Roman" w:eastAsia="宋体" w:cs="Times New Roman"/>
                <w:color w:val="auto"/>
                <w:spacing w:val="0"/>
                <w:w w:val="99"/>
                <w:sz w:val="21"/>
                <w:szCs w:val="21"/>
                <w:highlight w:val="none"/>
                <w:lang w:val="en-US" w:eastAsia="zh-CN"/>
              </w:rPr>
            </w:pPr>
            <w:r>
              <w:rPr>
                <w:rFonts w:hint="default" w:ascii="Times New Roman" w:hAnsi="Times New Roman" w:eastAsia="宋体" w:cs="Times New Roman"/>
                <w:color w:val="auto"/>
                <w:spacing w:val="0"/>
                <w:w w:val="99"/>
                <w:sz w:val="21"/>
                <w:szCs w:val="21"/>
                <w:highlight w:val="none"/>
                <w:lang w:val="en-US" w:eastAsia="zh-CN"/>
              </w:rPr>
              <w:t>3.能源：</w:t>
            </w:r>
          </w:p>
          <w:p w14:paraId="0E2AFA2C">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leftChars="0" w:right="0" w:rightChars="0" w:firstLine="414" w:firstLineChars="200"/>
              <w:jc w:val="left"/>
              <w:textAlignment w:val="auto"/>
              <w:rPr>
                <w:rFonts w:ascii="Times New Roman" w:hAnsi="Times New Roman" w:cs="Times New Roman" w:eastAsiaTheme="minorEastAsia"/>
                <w:color w:val="auto"/>
                <w:spacing w:val="0"/>
                <w:w w:val="99"/>
                <w:sz w:val="21"/>
                <w:szCs w:val="21"/>
                <w:highlight w:val="none"/>
              </w:rPr>
            </w:pPr>
            <w:r>
              <w:rPr>
                <w:rFonts w:hint="default" w:ascii="Times New Roman" w:hAnsi="Times New Roman" w:eastAsia="宋体" w:cs="Times New Roman"/>
                <w:color w:val="auto"/>
                <w:spacing w:val="0"/>
                <w:w w:val="99"/>
                <w:sz w:val="21"/>
                <w:szCs w:val="21"/>
                <w:highlight w:val="none"/>
                <w:lang w:val="en-US" w:eastAsia="zh-CN"/>
              </w:rPr>
              <w:t>2025年和2035年，全市煤炭消费上线不高于省政府确定的指标。</w:t>
            </w:r>
          </w:p>
        </w:tc>
        <w:tc>
          <w:tcPr>
            <w:tcW w:w="1817" w:type="pct"/>
            <w:vAlign w:val="center"/>
          </w:tcPr>
          <w:p w14:paraId="20D3C726">
            <w:pPr>
              <w:pStyle w:val="275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exact"/>
              <w:ind w:left="0" w:right="0" w:firstLine="414" w:firstLineChars="200"/>
              <w:jc w:val="both"/>
              <w:textAlignment w:val="auto"/>
              <w:rPr>
                <w:rFonts w:hint="default" w:ascii="Times New Roman" w:hAnsi="Times New Roman" w:eastAsia="宋体" w:cs="Times New Roman"/>
                <w:color w:val="auto"/>
                <w:spacing w:val="0"/>
                <w:w w:val="99"/>
                <w:highlight w:val="none"/>
                <w:lang w:val="en-US" w:eastAsia="zh-CN"/>
              </w:rPr>
            </w:pPr>
            <w:r>
              <w:rPr>
                <w:rFonts w:hint="default" w:ascii="Times New Roman" w:hAnsi="Times New Roman" w:eastAsia="宋体" w:cs="Times New Roman"/>
                <w:color w:val="auto"/>
                <w:spacing w:val="0"/>
                <w:w w:val="99"/>
                <w:sz w:val="21"/>
                <w:szCs w:val="21"/>
                <w:highlight w:val="none"/>
                <w:lang w:val="en-US" w:eastAsia="zh-CN"/>
              </w:rPr>
              <w:t>1、本项目施工期新鲜水消耗量为724.39m</w:t>
            </w:r>
            <w:r>
              <w:rPr>
                <w:rFonts w:hint="default" w:ascii="Times New Roman" w:hAnsi="Times New Roman" w:eastAsia="宋体" w:cs="Times New Roman"/>
                <w:color w:val="auto"/>
                <w:spacing w:val="0"/>
                <w:w w:val="99"/>
                <w:sz w:val="21"/>
                <w:szCs w:val="21"/>
                <w:highlight w:val="none"/>
                <w:vertAlign w:val="superscript"/>
                <w:lang w:val="en-US" w:eastAsia="zh-CN"/>
              </w:rPr>
              <w:t>3</w:t>
            </w:r>
            <w:r>
              <w:rPr>
                <w:rFonts w:hint="default" w:ascii="Times New Roman" w:hAnsi="Times New Roman" w:eastAsia="宋体" w:cs="Times New Roman"/>
                <w:color w:val="auto"/>
                <w:spacing w:val="0"/>
                <w:w w:val="99"/>
                <w:sz w:val="21"/>
                <w:szCs w:val="21"/>
                <w:highlight w:val="none"/>
                <w:lang w:val="en-US" w:eastAsia="zh-CN"/>
              </w:rPr>
              <w:t>，消耗的水主要用于生活及生产需要，用量不大；运营期不新增新鲜水消耗，区域的水资源消耗不大</w:t>
            </w:r>
            <w:r>
              <w:rPr>
                <w:rFonts w:hint="default" w:ascii="Times New Roman" w:hAnsi="Times New Roman" w:eastAsia="宋体" w:cs="Times New Roman"/>
                <w:color w:val="auto"/>
                <w:spacing w:val="0"/>
                <w:w w:val="99"/>
                <w:highlight w:val="none"/>
                <w:lang w:val="en-US" w:eastAsia="zh-CN"/>
              </w:rPr>
              <w:t>。</w:t>
            </w:r>
          </w:p>
          <w:p w14:paraId="5F4FD81E">
            <w:pPr>
              <w:pStyle w:val="275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exact"/>
              <w:ind w:left="0" w:right="0" w:firstLine="414" w:firstLineChars="200"/>
              <w:jc w:val="both"/>
              <w:textAlignment w:val="auto"/>
              <w:rPr>
                <w:rFonts w:hint="default" w:ascii="Times New Roman" w:hAnsi="Times New Roman" w:eastAsia="宋体" w:cs="Times New Roman"/>
                <w:color w:val="auto"/>
                <w:spacing w:val="0"/>
                <w:w w:val="99"/>
                <w:highlight w:val="none"/>
                <w:lang w:val="en-US" w:eastAsia="zh-CN"/>
              </w:rPr>
            </w:pPr>
            <w:r>
              <w:rPr>
                <w:rFonts w:hint="default" w:ascii="Times New Roman" w:hAnsi="Times New Roman" w:cs="Times New Roman"/>
                <w:color w:val="auto"/>
                <w:spacing w:val="0"/>
                <w:w w:val="99"/>
                <w:highlight w:val="none"/>
                <w:lang w:val="en-US" w:eastAsia="zh-CN"/>
              </w:rPr>
              <w:t>2、</w:t>
            </w:r>
            <w:r>
              <w:rPr>
                <w:rFonts w:hint="default" w:ascii="Times New Roman" w:hAnsi="Times New Roman" w:eastAsia="宋体" w:cs="Times New Roman"/>
                <w:color w:val="auto"/>
                <w:spacing w:val="0"/>
                <w:w w:val="99"/>
                <w:highlight w:val="none"/>
                <w:lang w:val="en-US" w:eastAsia="zh-CN"/>
              </w:rPr>
              <w:t>本</w:t>
            </w:r>
            <w:r>
              <w:rPr>
                <w:rFonts w:hint="eastAsia" w:ascii="Times New Roman" w:hAnsi="Times New Roman" w:cs="Times New Roman" w:eastAsiaTheme="minorEastAsia"/>
                <w:color w:val="auto"/>
                <w:spacing w:val="0"/>
                <w:w w:val="99"/>
                <w:kern w:val="2"/>
                <w:sz w:val="21"/>
                <w:szCs w:val="21"/>
                <w:highlight w:val="none"/>
                <w:lang w:val="en-US" w:eastAsia="zh-CN" w:bidi="ar-SA"/>
              </w:rPr>
              <w:t>项目总占地面积为2.013</w:t>
            </w:r>
            <w:r>
              <w:rPr>
                <w:rFonts w:hint="default" w:ascii="Times New Roman" w:hAnsi="Times New Roman" w:cs="Times New Roman" w:eastAsiaTheme="minorEastAsia"/>
                <w:color w:val="auto"/>
                <w:spacing w:val="0"/>
                <w:w w:val="99"/>
                <w:kern w:val="2"/>
                <w:sz w:val="21"/>
                <w:szCs w:val="21"/>
                <w:highlight w:val="none"/>
                <w:lang w:val="en-US" w:eastAsia="zh-CN" w:bidi="ar-SA"/>
              </w:rPr>
              <w:t>hm</w:t>
            </w:r>
            <w:r>
              <w:rPr>
                <w:rFonts w:hint="default" w:ascii="Times New Roman" w:hAnsi="Times New Roman" w:cs="Times New Roman" w:eastAsiaTheme="minorEastAsia"/>
                <w:color w:val="auto"/>
                <w:spacing w:val="0"/>
                <w:w w:val="99"/>
                <w:kern w:val="2"/>
                <w:sz w:val="21"/>
                <w:szCs w:val="21"/>
                <w:highlight w:val="none"/>
                <w:vertAlign w:val="superscript"/>
                <w:lang w:val="en-US" w:eastAsia="zh-CN" w:bidi="ar-SA"/>
              </w:rPr>
              <w:t>2</w:t>
            </w:r>
            <w:r>
              <w:rPr>
                <w:rFonts w:hint="default" w:ascii="Times New Roman" w:hAnsi="Times New Roman" w:cs="Times New Roman" w:eastAsiaTheme="minorEastAsia"/>
                <w:color w:val="auto"/>
                <w:spacing w:val="0"/>
                <w:w w:val="99"/>
                <w:kern w:val="2"/>
                <w:sz w:val="21"/>
                <w:szCs w:val="21"/>
                <w:highlight w:val="none"/>
                <w:lang w:val="en-US" w:eastAsia="zh-CN" w:bidi="ar-SA"/>
              </w:rPr>
              <w:t>，</w:t>
            </w:r>
            <w:r>
              <w:rPr>
                <w:rFonts w:hint="eastAsia" w:ascii="Times New Roman" w:hAnsi="Times New Roman" w:cs="Times New Roman" w:eastAsiaTheme="minorEastAsia"/>
                <w:color w:val="auto"/>
                <w:spacing w:val="0"/>
                <w:w w:val="99"/>
                <w:kern w:val="2"/>
                <w:sz w:val="21"/>
                <w:szCs w:val="21"/>
                <w:highlight w:val="none"/>
                <w:lang w:val="en-US" w:eastAsia="zh-CN" w:bidi="ar-SA"/>
              </w:rPr>
              <w:t>其中</w:t>
            </w:r>
            <w:r>
              <w:rPr>
                <w:rFonts w:hint="default" w:ascii="Times New Roman" w:hAnsi="Times New Roman" w:cs="Times New Roman" w:eastAsiaTheme="minorEastAsia"/>
                <w:color w:val="auto"/>
                <w:spacing w:val="0"/>
                <w:w w:val="99"/>
                <w:kern w:val="2"/>
                <w:sz w:val="21"/>
                <w:szCs w:val="21"/>
                <w:highlight w:val="none"/>
                <w:lang w:val="en-US" w:eastAsia="zh-CN" w:bidi="ar-SA"/>
              </w:rPr>
              <w:t>永久</w:t>
            </w:r>
            <w:r>
              <w:rPr>
                <w:rFonts w:hint="eastAsia" w:ascii="Times New Roman" w:hAnsi="Times New Roman" w:cs="Times New Roman" w:eastAsiaTheme="minorEastAsia"/>
                <w:color w:val="auto"/>
                <w:spacing w:val="0"/>
                <w:w w:val="99"/>
                <w:kern w:val="2"/>
                <w:sz w:val="21"/>
                <w:szCs w:val="21"/>
                <w:highlight w:val="none"/>
                <w:lang w:val="en-US" w:eastAsia="zh-CN" w:bidi="ar-SA"/>
              </w:rPr>
              <w:t>占地0.0901</w:t>
            </w:r>
            <w:r>
              <w:rPr>
                <w:rFonts w:hint="default" w:ascii="Times New Roman" w:hAnsi="Times New Roman" w:cs="Times New Roman" w:eastAsiaTheme="minorEastAsia"/>
                <w:color w:val="auto"/>
                <w:spacing w:val="0"/>
                <w:w w:val="99"/>
                <w:kern w:val="2"/>
                <w:sz w:val="21"/>
                <w:szCs w:val="21"/>
                <w:highlight w:val="none"/>
                <w:lang w:val="en-US" w:eastAsia="zh-CN" w:bidi="ar-SA"/>
              </w:rPr>
              <w:t>hm</w:t>
            </w:r>
            <w:r>
              <w:rPr>
                <w:rFonts w:hint="default" w:ascii="Times New Roman" w:hAnsi="Times New Roman" w:cs="Times New Roman" w:eastAsiaTheme="minorEastAsia"/>
                <w:color w:val="auto"/>
                <w:spacing w:val="0"/>
                <w:w w:val="99"/>
                <w:kern w:val="2"/>
                <w:sz w:val="21"/>
                <w:szCs w:val="21"/>
                <w:highlight w:val="none"/>
                <w:vertAlign w:val="superscript"/>
                <w:lang w:val="en-US" w:eastAsia="zh-CN" w:bidi="ar-SA"/>
              </w:rPr>
              <w:t>2</w:t>
            </w:r>
            <w:r>
              <w:rPr>
                <w:rFonts w:hint="eastAsia" w:ascii="Times New Roman" w:hAnsi="Times New Roman" w:cs="Times New Roman" w:eastAsiaTheme="minorEastAsia"/>
                <w:color w:val="auto"/>
                <w:spacing w:val="0"/>
                <w:w w:val="99"/>
                <w:kern w:val="2"/>
                <w:sz w:val="21"/>
                <w:szCs w:val="21"/>
                <w:highlight w:val="none"/>
                <w:lang w:val="en-US" w:eastAsia="zh-CN" w:bidi="ar-SA"/>
              </w:rPr>
              <w:t>，临时占地1.9229</w:t>
            </w:r>
            <w:r>
              <w:rPr>
                <w:rFonts w:hint="default" w:ascii="Times New Roman" w:hAnsi="Times New Roman" w:cs="Times New Roman" w:eastAsiaTheme="minorEastAsia"/>
                <w:color w:val="auto"/>
                <w:spacing w:val="0"/>
                <w:w w:val="99"/>
                <w:kern w:val="2"/>
                <w:sz w:val="21"/>
                <w:szCs w:val="21"/>
                <w:highlight w:val="none"/>
                <w:lang w:val="en-US" w:eastAsia="zh-CN" w:bidi="ar-SA"/>
              </w:rPr>
              <w:t>hm</w:t>
            </w:r>
            <w:r>
              <w:rPr>
                <w:rFonts w:hint="default" w:ascii="Times New Roman" w:hAnsi="Times New Roman" w:cs="Times New Roman" w:eastAsiaTheme="minorEastAsia"/>
                <w:color w:val="auto"/>
                <w:spacing w:val="0"/>
                <w:w w:val="99"/>
                <w:kern w:val="2"/>
                <w:sz w:val="21"/>
                <w:szCs w:val="21"/>
                <w:highlight w:val="none"/>
                <w:vertAlign w:val="superscript"/>
                <w:lang w:val="en-US" w:eastAsia="zh-CN" w:bidi="ar-SA"/>
              </w:rPr>
              <w:t>2</w:t>
            </w:r>
            <w:r>
              <w:rPr>
                <w:rFonts w:hint="default" w:ascii="Times New Roman" w:hAnsi="Times New Roman" w:cs="Times New Roman" w:eastAsiaTheme="minorEastAsia"/>
                <w:color w:val="auto"/>
                <w:spacing w:val="0"/>
                <w:w w:val="99"/>
                <w:kern w:val="2"/>
                <w:sz w:val="21"/>
                <w:szCs w:val="21"/>
                <w:highlight w:val="none"/>
                <w:lang w:val="en-US" w:eastAsia="zh-CN" w:bidi="ar-SA"/>
              </w:rPr>
              <w:t>。</w:t>
            </w:r>
            <w:r>
              <w:rPr>
                <w:rFonts w:hint="default" w:ascii="Times New Roman" w:hAnsi="Times New Roman" w:cs="Times New Roman" w:eastAsiaTheme="minorEastAsia"/>
                <w:color w:val="auto"/>
                <w:spacing w:val="0"/>
                <w:w w:val="99"/>
                <w:kern w:val="2"/>
                <w:sz w:val="21"/>
                <w:szCs w:val="21"/>
                <w:highlight w:val="none"/>
                <w:vertAlign w:val="baseline"/>
                <w:lang w:val="en-US" w:eastAsia="zh-CN"/>
              </w:rPr>
              <w:t>新增基本农田</w:t>
            </w:r>
            <w:r>
              <w:rPr>
                <w:rFonts w:hint="eastAsia" w:ascii="Times New Roman" w:hAnsi="Times New Roman" w:cs="Times New Roman" w:eastAsiaTheme="minorEastAsia"/>
                <w:color w:val="auto"/>
                <w:spacing w:val="0"/>
                <w:w w:val="99"/>
                <w:kern w:val="2"/>
                <w:sz w:val="21"/>
                <w:szCs w:val="21"/>
                <w:highlight w:val="none"/>
                <w:vertAlign w:val="baseline"/>
                <w:lang w:val="en-US" w:eastAsia="zh-CN"/>
              </w:rPr>
              <w:t>面积</w:t>
            </w:r>
            <w:r>
              <w:rPr>
                <w:rFonts w:hint="default" w:ascii="Times New Roman" w:hAnsi="Times New Roman" w:cs="Times New Roman" w:eastAsiaTheme="minorEastAsia"/>
                <w:color w:val="auto"/>
                <w:spacing w:val="0"/>
                <w:w w:val="99"/>
                <w:kern w:val="2"/>
                <w:sz w:val="21"/>
                <w:szCs w:val="21"/>
                <w:highlight w:val="none"/>
                <w:vertAlign w:val="baseline"/>
                <w:lang w:val="en-US" w:eastAsia="zh-CN"/>
              </w:rPr>
              <w:t>，满足省政府确定的指标。</w:t>
            </w:r>
          </w:p>
          <w:p w14:paraId="170FC6DF">
            <w:pPr>
              <w:pStyle w:val="275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exact"/>
              <w:ind w:left="0" w:leftChars="0" w:right="0" w:rightChars="0" w:firstLine="414" w:firstLineChars="200"/>
              <w:jc w:val="both"/>
              <w:textAlignment w:val="auto"/>
              <w:rPr>
                <w:rFonts w:ascii="Times New Roman" w:hAnsi="Times New Roman" w:cs="Times New Roman" w:eastAsiaTheme="minorEastAsia"/>
                <w:color w:val="auto"/>
                <w:spacing w:val="0"/>
                <w:w w:val="99"/>
                <w:sz w:val="21"/>
                <w:szCs w:val="21"/>
                <w:highlight w:val="none"/>
              </w:rPr>
            </w:pPr>
            <w:r>
              <w:rPr>
                <w:rFonts w:hint="default" w:ascii="Times New Roman" w:hAnsi="Times New Roman" w:cs="Times New Roman"/>
                <w:color w:val="auto"/>
                <w:spacing w:val="0"/>
                <w:w w:val="99"/>
                <w:sz w:val="21"/>
                <w:szCs w:val="21"/>
                <w:highlight w:val="none"/>
                <w:lang w:val="en-US" w:eastAsia="zh-CN"/>
              </w:rPr>
              <w:t>3、</w:t>
            </w:r>
            <w:r>
              <w:rPr>
                <w:rFonts w:hint="default" w:ascii="Times New Roman" w:hAnsi="Times New Roman" w:eastAsia="宋体" w:cs="Times New Roman"/>
                <w:color w:val="auto"/>
                <w:spacing w:val="0"/>
                <w:w w:val="99"/>
                <w:sz w:val="21"/>
                <w:szCs w:val="21"/>
                <w:highlight w:val="none"/>
                <w:lang w:eastAsia="zh-CN"/>
              </w:rPr>
              <w:t>本项目</w:t>
            </w:r>
            <w:r>
              <w:rPr>
                <w:rFonts w:hint="eastAsia" w:ascii="Times New Roman" w:hAnsi="Times New Roman" w:eastAsia="宋体" w:cs="Times New Roman"/>
                <w:color w:val="auto"/>
                <w:spacing w:val="0"/>
                <w:w w:val="99"/>
                <w:sz w:val="21"/>
                <w:szCs w:val="21"/>
                <w:highlight w:val="none"/>
                <w:lang w:val="en-US" w:eastAsia="zh-CN"/>
              </w:rPr>
              <w:t>依托场站加热装置均采用天然气</w:t>
            </w:r>
            <w:r>
              <w:rPr>
                <w:rFonts w:hint="eastAsia" w:ascii="Times New Roman" w:hAnsi="Times New Roman" w:cs="Times New Roman"/>
                <w:color w:val="auto"/>
                <w:spacing w:val="0"/>
                <w:w w:val="99"/>
                <w:sz w:val="21"/>
                <w:szCs w:val="21"/>
                <w:highlight w:val="none"/>
                <w:lang w:val="en-US" w:eastAsia="zh-CN"/>
              </w:rPr>
              <w:t>，不涉及煤炭消耗</w:t>
            </w:r>
            <w:r>
              <w:rPr>
                <w:rFonts w:hint="default" w:ascii="Times New Roman" w:hAnsi="Times New Roman" w:eastAsia="宋体" w:cs="Times New Roman"/>
                <w:color w:val="auto"/>
                <w:spacing w:val="0"/>
                <w:w w:val="99"/>
                <w:sz w:val="21"/>
                <w:szCs w:val="21"/>
                <w:highlight w:val="none"/>
                <w:lang w:val="en-US" w:eastAsia="zh-CN"/>
              </w:rPr>
              <w:t>。</w:t>
            </w:r>
          </w:p>
        </w:tc>
        <w:tc>
          <w:tcPr>
            <w:tcW w:w="463" w:type="pct"/>
            <w:vAlign w:val="center"/>
          </w:tcPr>
          <w:p w14:paraId="3BA72C12">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符合</w:t>
            </w:r>
          </w:p>
        </w:tc>
      </w:tr>
      <w:tr w14:paraId="0FA3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Align w:val="center"/>
          </w:tcPr>
          <w:p w14:paraId="766600F4">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p>
        </w:tc>
        <w:tc>
          <w:tcPr>
            <w:tcW w:w="404" w:type="pct"/>
            <w:vAlign w:val="center"/>
          </w:tcPr>
          <w:p w14:paraId="3378C968">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高污染</w:t>
            </w:r>
          </w:p>
          <w:p w14:paraId="7FE2AAFB">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燃料禁燃区资源利用效率要</w:t>
            </w:r>
          </w:p>
          <w:p w14:paraId="66AEB082">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求</w:t>
            </w:r>
          </w:p>
        </w:tc>
        <w:tc>
          <w:tcPr>
            <w:tcW w:w="1974" w:type="pct"/>
            <w:gridSpan w:val="3"/>
            <w:vAlign w:val="center"/>
          </w:tcPr>
          <w:p w14:paraId="56E8B789">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left"/>
              <w:textAlignment w:val="auto"/>
              <w:rPr>
                <w:rFonts w:hint="default" w:ascii="Times New Roman" w:hAnsi="Times New Roman" w:eastAsia="宋体" w:cs="Times New Roman"/>
                <w:color w:val="auto"/>
                <w:spacing w:val="0"/>
                <w:w w:val="99"/>
                <w:sz w:val="21"/>
                <w:szCs w:val="21"/>
                <w:highlight w:val="none"/>
                <w:lang w:val="en-US" w:eastAsia="zh-CN"/>
              </w:rPr>
            </w:pPr>
            <w:r>
              <w:rPr>
                <w:rFonts w:hint="default" w:ascii="Times New Roman" w:hAnsi="Times New Roman" w:eastAsia="宋体" w:cs="Times New Roman"/>
                <w:color w:val="auto"/>
                <w:spacing w:val="0"/>
                <w:w w:val="99"/>
                <w:sz w:val="21"/>
                <w:szCs w:val="21"/>
                <w:highlight w:val="none"/>
                <w:lang w:val="en-US" w:eastAsia="zh-CN"/>
              </w:rPr>
              <w:t>1.禁燃区禁止燃用燃料组合类别确定为国环规大气〔2017〕2号中I类类别。</w:t>
            </w:r>
          </w:p>
          <w:p w14:paraId="3F3F19A9">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right="0" w:firstLine="414" w:firstLineChars="200"/>
              <w:jc w:val="left"/>
              <w:textAlignment w:val="auto"/>
              <w:rPr>
                <w:rFonts w:hint="default" w:ascii="Times New Roman" w:hAnsi="Times New Roman" w:eastAsia="宋体" w:cs="Times New Roman"/>
                <w:color w:val="auto"/>
                <w:spacing w:val="0"/>
                <w:w w:val="99"/>
                <w:sz w:val="21"/>
                <w:szCs w:val="21"/>
                <w:highlight w:val="none"/>
                <w:lang w:val="en-US" w:eastAsia="zh-CN"/>
              </w:rPr>
            </w:pPr>
            <w:r>
              <w:rPr>
                <w:rFonts w:hint="default" w:ascii="Times New Roman" w:hAnsi="Times New Roman" w:eastAsia="宋体" w:cs="Times New Roman"/>
                <w:color w:val="auto"/>
                <w:spacing w:val="0"/>
                <w:w w:val="99"/>
                <w:sz w:val="21"/>
                <w:szCs w:val="21"/>
                <w:highlight w:val="none"/>
                <w:lang w:val="en-US" w:eastAsia="zh-CN"/>
              </w:rPr>
              <w:t>2.禁燃区内禁止燃用石油焦、油页岩、原油、重油、渣油、煤焦油等燃料；单台出力小于20蒸吨/小时的锅炉禁止燃用煤炭及其制品（包括原煤、散煤、煤矸石、煤泥、煤粉、水煤浆、型煤、焦炭、兰炭等）。</w:t>
            </w:r>
          </w:p>
          <w:p w14:paraId="27D3EF06">
            <w:pPr>
              <w:keepNext w:val="0"/>
              <w:keepLines w:val="0"/>
              <w:pageBreakBefore w:val="0"/>
              <w:widowControl w:val="0"/>
              <w:suppressLineNumbers w:val="0"/>
              <w:tabs>
                <w:tab w:val="center" w:pos="4153"/>
                <w:tab w:val="right" w:pos="8306"/>
              </w:tabs>
              <w:kinsoku/>
              <w:wordWrap/>
              <w:overflowPunct/>
              <w:topLinePunct w:val="0"/>
              <w:autoSpaceDE/>
              <w:autoSpaceDN/>
              <w:bidi w:val="0"/>
              <w:adjustRightInd/>
              <w:snapToGrid/>
              <w:spacing w:before="0" w:beforeAutospacing="0" w:after="0" w:afterAutospacing="0" w:line="360" w:lineRule="exact"/>
              <w:ind w:left="0" w:leftChars="0" w:right="0" w:rightChars="0" w:firstLine="414" w:firstLineChars="200"/>
              <w:jc w:val="left"/>
              <w:textAlignment w:val="auto"/>
              <w:rPr>
                <w:rFonts w:ascii="Times New Roman" w:hAnsi="Times New Roman" w:cs="Times New Roman" w:eastAsiaTheme="minorEastAsia"/>
                <w:color w:val="auto"/>
                <w:spacing w:val="0"/>
                <w:w w:val="99"/>
                <w:sz w:val="21"/>
                <w:szCs w:val="21"/>
                <w:highlight w:val="none"/>
              </w:rPr>
            </w:pPr>
            <w:r>
              <w:rPr>
                <w:rFonts w:hint="default" w:ascii="Times New Roman" w:hAnsi="Times New Roman" w:eastAsia="宋体" w:cs="Times New Roman"/>
                <w:color w:val="auto"/>
                <w:spacing w:val="0"/>
                <w:w w:val="99"/>
                <w:sz w:val="21"/>
                <w:szCs w:val="21"/>
                <w:highlight w:val="none"/>
                <w:lang w:val="en-US" w:eastAsia="zh-CN"/>
              </w:rPr>
              <w:t>3.禁燃区内不得新建、扩建国环规大气〔2017〕2号Ⅱ类类别规定中禁止燃用高污染燃料的燃用设施，不得销售国环规大气〔2017〕2号Ⅱ类类别中规定的高污染燃料。</w:t>
            </w:r>
          </w:p>
        </w:tc>
        <w:tc>
          <w:tcPr>
            <w:tcW w:w="1817" w:type="pct"/>
            <w:vAlign w:val="center"/>
          </w:tcPr>
          <w:p w14:paraId="343659BE">
            <w:pPr>
              <w:pStyle w:val="275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exact"/>
              <w:ind w:left="0" w:leftChars="0" w:right="0" w:rightChars="0" w:firstLine="414" w:firstLineChars="200"/>
              <w:jc w:val="both"/>
              <w:textAlignment w:val="auto"/>
              <w:rPr>
                <w:rFonts w:ascii="Times New Roman" w:hAnsi="Times New Roman" w:cs="Times New Roman" w:eastAsiaTheme="minorEastAsia"/>
                <w:color w:val="auto"/>
                <w:spacing w:val="0"/>
                <w:w w:val="99"/>
                <w:sz w:val="21"/>
                <w:szCs w:val="21"/>
                <w:highlight w:val="none"/>
              </w:rPr>
            </w:pPr>
            <w:r>
              <w:rPr>
                <w:rFonts w:hint="eastAsia" w:ascii="Times New Roman" w:hAnsi="Times New Roman" w:eastAsia="宋体" w:cs="Times New Roman"/>
                <w:color w:val="auto"/>
                <w:spacing w:val="0"/>
                <w:w w:val="99"/>
                <w:kern w:val="0"/>
                <w:sz w:val="21"/>
                <w:szCs w:val="21"/>
                <w:highlight w:val="none"/>
                <w:lang w:val="en-US" w:eastAsia="zh-CN" w:bidi="ar-SA"/>
              </w:rPr>
              <w:t>项目位于绥化市肇东市跃进乡邢家围子屯西侧300m处。不属于禁燃区</w:t>
            </w:r>
            <w:r>
              <w:rPr>
                <w:rFonts w:hint="eastAsia" w:ascii="Times New Roman" w:hAnsi="Times New Roman" w:cs="Times New Roman"/>
                <w:bCs/>
                <w:iCs/>
                <w:color w:val="auto"/>
                <w:spacing w:val="0"/>
                <w:w w:val="99"/>
                <w:sz w:val="24"/>
                <w:szCs w:val="24"/>
                <w:highlight w:val="none"/>
                <w:lang w:val="en-US" w:eastAsia="zh-CN" w:bidi="en-US"/>
              </w:rPr>
              <w:t>。</w:t>
            </w:r>
          </w:p>
        </w:tc>
        <w:tc>
          <w:tcPr>
            <w:tcW w:w="463" w:type="pct"/>
            <w:vAlign w:val="center"/>
          </w:tcPr>
          <w:p w14:paraId="0C1BA054">
            <w:pPr>
              <w:keepNext w:val="0"/>
              <w:keepLines w:val="0"/>
              <w:pageBreakBefore w:val="0"/>
              <w:widowControl/>
              <w:suppressLineNumbers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符合</w:t>
            </w:r>
          </w:p>
        </w:tc>
      </w:tr>
      <w:tr w14:paraId="3263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36" w:type="pct"/>
            <w:gridSpan w:val="6"/>
            <w:vAlign w:val="center"/>
          </w:tcPr>
          <w:p w14:paraId="58FD1A9B">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肇东</w:t>
            </w:r>
            <w:r>
              <w:rPr>
                <w:rFonts w:hint="default" w:ascii="Times New Roman" w:hAnsi="Times New Roman" w:cs="Times New Roman" w:eastAsiaTheme="minorEastAsia"/>
                <w:color w:val="auto"/>
                <w:w w:val="99"/>
                <w:sz w:val="21"/>
                <w:szCs w:val="21"/>
                <w:highlight w:val="none"/>
                <w:lang w:val="en-US" w:eastAsia="zh-CN"/>
              </w:rPr>
              <w:t>市</w:t>
            </w:r>
            <w:r>
              <w:rPr>
                <w:rFonts w:ascii="Times New Roman" w:hAnsi="Times New Roman" w:cs="Times New Roman" w:eastAsiaTheme="minorEastAsia"/>
                <w:color w:val="auto"/>
                <w:w w:val="99"/>
                <w:sz w:val="21"/>
                <w:szCs w:val="21"/>
                <w:highlight w:val="none"/>
              </w:rPr>
              <w:t>生态环境准入清单</w:t>
            </w:r>
          </w:p>
        </w:tc>
        <w:tc>
          <w:tcPr>
            <w:tcW w:w="463" w:type="pct"/>
            <w:vAlign w:val="center"/>
          </w:tcPr>
          <w:p w14:paraId="7CF67601">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p>
        </w:tc>
      </w:tr>
      <w:tr w14:paraId="7608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Align w:val="center"/>
          </w:tcPr>
          <w:p w14:paraId="08633C1D">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环境管控单元编码</w:t>
            </w:r>
          </w:p>
        </w:tc>
        <w:tc>
          <w:tcPr>
            <w:tcW w:w="404" w:type="pct"/>
            <w:vAlign w:val="center"/>
          </w:tcPr>
          <w:p w14:paraId="0C13978A">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环境管控单元名称</w:t>
            </w:r>
          </w:p>
        </w:tc>
        <w:tc>
          <w:tcPr>
            <w:tcW w:w="280" w:type="pct"/>
            <w:vAlign w:val="center"/>
          </w:tcPr>
          <w:p w14:paraId="20F1D6BD">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管控单元类别</w:t>
            </w:r>
          </w:p>
        </w:tc>
        <w:tc>
          <w:tcPr>
            <w:tcW w:w="1693" w:type="pct"/>
            <w:gridSpan w:val="2"/>
            <w:vAlign w:val="center"/>
          </w:tcPr>
          <w:p w14:paraId="609FA8F6">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管控要求</w:t>
            </w:r>
          </w:p>
        </w:tc>
        <w:tc>
          <w:tcPr>
            <w:tcW w:w="1817" w:type="pct"/>
            <w:vAlign w:val="center"/>
          </w:tcPr>
          <w:p w14:paraId="6F92D3B9">
            <w:pPr>
              <w:keepNext w:val="0"/>
              <w:keepLines w:val="0"/>
              <w:pageBreakBefore w:val="0"/>
              <w:widowControl w:val="0"/>
              <w:wordWrap/>
              <w:overflowPunct/>
              <w:topLinePunct w:val="0"/>
              <w:bidi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本项目符合性分析</w:t>
            </w:r>
          </w:p>
        </w:tc>
        <w:tc>
          <w:tcPr>
            <w:tcW w:w="463" w:type="pct"/>
            <w:vAlign w:val="center"/>
          </w:tcPr>
          <w:p w14:paraId="5A80CB85">
            <w:pPr>
              <w:keepNext w:val="0"/>
              <w:keepLines w:val="0"/>
              <w:pageBreakBefore w:val="0"/>
              <w:widowControl w:val="0"/>
              <w:wordWrap/>
              <w:overflowPunct/>
              <w:topLinePunct w:val="0"/>
              <w:bidi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结论</w:t>
            </w:r>
          </w:p>
        </w:tc>
      </w:tr>
      <w:tr w14:paraId="67F5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Align w:val="center"/>
          </w:tcPr>
          <w:p w14:paraId="044BEE99">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rPr>
            </w:pPr>
            <w:r>
              <w:rPr>
                <w:rFonts w:hint="default" w:ascii="Times New Roman" w:hAnsi="Times New Roman" w:cs="Times New Roman" w:eastAsiaTheme="minorEastAsia"/>
                <w:color w:val="auto"/>
                <w:spacing w:val="0"/>
                <w:w w:val="99"/>
                <w:sz w:val="21"/>
                <w:szCs w:val="21"/>
                <w:highlight w:val="none"/>
              </w:rPr>
              <w:t>ZH23128220003</w:t>
            </w:r>
          </w:p>
        </w:tc>
        <w:tc>
          <w:tcPr>
            <w:tcW w:w="404" w:type="pct"/>
            <w:vAlign w:val="top"/>
          </w:tcPr>
          <w:p w14:paraId="5298290E">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rPr>
            </w:pPr>
            <w:r>
              <w:rPr>
                <w:rFonts w:hint="default" w:ascii="Times New Roman" w:hAnsi="Times New Roman" w:cs="Times New Roman" w:eastAsiaTheme="minorEastAsia"/>
                <w:color w:val="auto"/>
                <w:spacing w:val="0"/>
                <w:w w:val="99"/>
                <w:sz w:val="21"/>
                <w:szCs w:val="21"/>
                <w:highlight w:val="none"/>
                <w:lang w:val="en-US" w:eastAsia="zh-CN"/>
              </w:rPr>
              <w:t>肇东市水环境农业污染重点管控区</w:t>
            </w:r>
          </w:p>
          <w:p w14:paraId="07689458">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rPr>
            </w:pPr>
          </w:p>
        </w:tc>
        <w:tc>
          <w:tcPr>
            <w:tcW w:w="280" w:type="pct"/>
            <w:vAlign w:val="top"/>
          </w:tcPr>
          <w:p w14:paraId="5ADC26D6">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rPr>
            </w:pPr>
            <w:r>
              <w:rPr>
                <w:rFonts w:hint="default" w:ascii="Times New Roman" w:hAnsi="Times New Roman" w:cs="Times New Roman" w:eastAsiaTheme="minorEastAsia"/>
                <w:color w:val="auto"/>
                <w:spacing w:val="0"/>
                <w:w w:val="99"/>
                <w:sz w:val="21"/>
                <w:szCs w:val="21"/>
                <w:highlight w:val="none"/>
                <w:lang w:val="en-US" w:eastAsia="zh-CN"/>
              </w:rPr>
              <w:t>重点</w:t>
            </w:r>
            <w:r>
              <w:rPr>
                <w:rFonts w:hint="default" w:ascii="Times New Roman" w:hAnsi="Times New Roman" w:cs="Times New Roman" w:eastAsiaTheme="minorEastAsia"/>
                <w:color w:val="auto"/>
                <w:spacing w:val="0"/>
                <w:w w:val="99"/>
                <w:sz w:val="21"/>
                <w:szCs w:val="21"/>
                <w:highlight w:val="none"/>
              </w:rPr>
              <w:t>管控单元</w:t>
            </w:r>
          </w:p>
        </w:tc>
        <w:tc>
          <w:tcPr>
            <w:tcW w:w="243" w:type="pct"/>
            <w:vAlign w:val="center"/>
          </w:tcPr>
          <w:p w14:paraId="525B35BB">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rPr>
            </w:pPr>
            <w:r>
              <w:rPr>
                <w:rFonts w:hint="default" w:ascii="Times New Roman" w:hAnsi="Times New Roman" w:cs="Times New Roman" w:eastAsiaTheme="minorEastAsia"/>
                <w:color w:val="auto"/>
                <w:spacing w:val="0"/>
                <w:w w:val="99"/>
                <w:sz w:val="21"/>
                <w:szCs w:val="21"/>
                <w:highlight w:val="none"/>
                <w:lang w:val="en-US" w:eastAsia="zh-CN"/>
              </w:rPr>
              <w:t>空间布局约束</w:t>
            </w:r>
          </w:p>
        </w:tc>
        <w:tc>
          <w:tcPr>
            <w:tcW w:w="1449" w:type="pct"/>
            <w:vAlign w:val="center"/>
          </w:tcPr>
          <w:p w14:paraId="2E24DE16">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rPr>
            </w:pPr>
            <w:r>
              <w:rPr>
                <w:rFonts w:hint="default" w:ascii="Times New Roman" w:hAnsi="Times New Roman" w:cs="Times New Roman" w:eastAsiaTheme="minorEastAsia"/>
                <w:color w:val="auto"/>
                <w:spacing w:val="0"/>
                <w:w w:val="99"/>
                <w:sz w:val="21"/>
                <w:szCs w:val="21"/>
                <w:highlight w:val="none"/>
                <w:lang w:val="en-US" w:eastAsia="zh-CN"/>
              </w:rPr>
              <w:t>1.执行（1）科学划定畜禽养殖禁养区。（2）加快农业结构调整。松嫩平原和三江平原等地下水易受污染地区优先种植需肥需药量低、环境效益突出的农作物；在西部干旱区发展谷子、高粱等耐旱杂粮种植；在北部四、五积温区开展米豆麦轮作，促进化肥需求低的农作物面积恢复性增长。2.大气环境布局敏感重点管控区同时执行（1）严控“两高”行业产能。严格执行钢铁、水泥、平板玻璃等行业产能置换实施办法。（2）利用水泥窑协同处置城市生活垃圾、危险废弃物、电石渣等固废伴生水泥项目，必须依托现有新型干法水泥熟料生产线进行不扩产能改造。</w:t>
            </w:r>
          </w:p>
        </w:tc>
        <w:tc>
          <w:tcPr>
            <w:tcW w:w="1817" w:type="pct"/>
            <w:vMerge w:val="restart"/>
            <w:vAlign w:val="center"/>
          </w:tcPr>
          <w:p w14:paraId="1F9B0B67">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4" w:firstLineChars="200"/>
              <w:jc w:val="both"/>
              <w:textAlignment w:val="baseline"/>
              <w:rPr>
                <w:rFonts w:hint="eastAsia" w:ascii="Times New Roman" w:hAnsi="Times New Roman" w:cs="Times New Roman" w:eastAsiaTheme="minorEastAsia"/>
                <w:color w:val="auto"/>
                <w:spacing w:val="0"/>
                <w:w w:val="99"/>
                <w:sz w:val="21"/>
                <w:szCs w:val="21"/>
                <w:highlight w:val="none"/>
                <w:lang w:val="en-US" w:eastAsia="zh-CN" w:bidi="ar-SA"/>
              </w:rPr>
            </w:pPr>
            <w:r>
              <w:rPr>
                <w:rFonts w:hint="eastAsia" w:ascii="Times New Roman" w:hAnsi="Times New Roman" w:cs="Times New Roman" w:eastAsiaTheme="minorEastAsia"/>
                <w:color w:val="auto"/>
                <w:spacing w:val="0"/>
                <w:w w:val="99"/>
                <w:sz w:val="21"/>
                <w:szCs w:val="21"/>
                <w:highlight w:val="none"/>
                <w:lang w:val="en-US" w:eastAsia="zh-CN" w:bidi="ar-SA"/>
              </w:rPr>
              <w:t>1.</w:t>
            </w:r>
            <w:r>
              <w:rPr>
                <w:rFonts w:hint="default" w:ascii="Times New Roman" w:hAnsi="Times New Roman" w:cs="Times New Roman" w:eastAsiaTheme="minorEastAsia"/>
                <w:color w:val="auto"/>
                <w:spacing w:val="0"/>
                <w:w w:val="99"/>
                <w:sz w:val="21"/>
                <w:szCs w:val="21"/>
                <w:highlight w:val="none"/>
                <w:lang w:val="en-US" w:eastAsia="zh-CN" w:bidi="ar-SA"/>
              </w:rPr>
              <w:t>本项目为天然气</w:t>
            </w:r>
            <w:r>
              <w:rPr>
                <w:rFonts w:hint="eastAsia" w:ascii="Times New Roman" w:hAnsi="Times New Roman" w:cs="Times New Roman" w:eastAsiaTheme="minorEastAsia"/>
                <w:color w:val="auto"/>
                <w:spacing w:val="0"/>
                <w:w w:val="99"/>
                <w:sz w:val="21"/>
                <w:szCs w:val="21"/>
                <w:highlight w:val="none"/>
                <w:lang w:val="en-US" w:eastAsia="zh-CN" w:bidi="ar-SA"/>
              </w:rPr>
              <w:t>开采</w:t>
            </w:r>
            <w:r>
              <w:rPr>
                <w:rFonts w:hint="default" w:ascii="Times New Roman" w:hAnsi="Times New Roman" w:cs="Times New Roman" w:eastAsiaTheme="minorEastAsia"/>
                <w:color w:val="auto"/>
                <w:spacing w:val="0"/>
                <w:w w:val="99"/>
                <w:sz w:val="21"/>
                <w:szCs w:val="21"/>
                <w:highlight w:val="none"/>
                <w:lang w:val="en-US" w:eastAsia="zh-CN" w:bidi="ar-SA"/>
              </w:rPr>
              <w:t>工程，本项目</w:t>
            </w:r>
            <w:r>
              <w:rPr>
                <w:rFonts w:hint="eastAsia" w:ascii="Times New Roman" w:hAnsi="Times New Roman" w:cs="Times New Roman" w:eastAsiaTheme="minorEastAsia"/>
                <w:color w:val="auto"/>
                <w:spacing w:val="0"/>
                <w:w w:val="99"/>
                <w:sz w:val="21"/>
                <w:szCs w:val="21"/>
                <w:highlight w:val="none"/>
                <w:lang w:val="en-US" w:eastAsia="zh-CN" w:bidi="ar-SA"/>
              </w:rPr>
              <w:t>不涉及</w:t>
            </w:r>
            <w:r>
              <w:rPr>
                <w:rFonts w:hint="default" w:ascii="Times New Roman" w:hAnsi="Times New Roman" w:cs="Times New Roman" w:eastAsiaTheme="minorEastAsia"/>
                <w:color w:val="auto"/>
                <w:spacing w:val="0"/>
                <w:w w:val="99"/>
                <w:sz w:val="21"/>
                <w:szCs w:val="21"/>
                <w:highlight w:val="none"/>
                <w:lang w:val="en-US" w:eastAsia="zh-CN" w:bidi="ar-SA"/>
              </w:rPr>
              <w:t>畜禽养殖</w:t>
            </w:r>
            <w:r>
              <w:rPr>
                <w:rFonts w:hint="eastAsia" w:ascii="Times New Roman" w:hAnsi="Times New Roman" w:cs="Times New Roman" w:eastAsiaTheme="minorEastAsia"/>
                <w:color w:val="auto"/>
                <w:spacing w:val="0"/>
                <w:w w:val="99"/>
                <w:sz w:val="21"/>
                <w:szCs w:val="21"/>
                <w:highlight w:val="none"/>
                <w:lang w:val="en-US" w:eastAsia="zh-CN" w:bidi="ar-SA"/>
              </w:rPr>
              <w:t>；</w:t>
            </w:r>
          </w:p>
          <w:p w14:paraId="4B30E42E">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4" w:firstLineChars="200"/>
              <w:jc w:val="both"/>
              <w:textAlignment w:val="baseline"/>
              <w:rPr>
                <w:rFonts w:hint="default" w:ascii="Times New Roman" w:hAnsi="Times New Roman" w:cs="Times New Roman" w:eastAsiaTheme="minorEastAsia"/>
                <w:color w:val="auto"/>
                <w:spacing w:val="0"/>
                <w:w w:val="99"/>
                <w:sz w:val="21"/>
                <w:szCs w:val="21"/>
                <w:highlight w:val="none"/>
                <w:lang w:val="en-US" w:eastAsia="zh-CN" w:bidi="ar-SA"/>
              </w:rPr>
            </w:pPr>
            <w:r>
              <w:rPr>
                <w:rFonts w:hint="eastAsia" w:ascii="Times New Roman" w:hAnsi="Times New Roman" w:cs="Times New Roman" w:eastAsiaTheme="minorEastAsia"/>
                <w:color w:val="auto"/>
                <w:spacing w:val="0"/>
                <w:w w:val="99"/>
                <w:sz w:val="21"/>
                <w:szCs w:val="21"/>
                <w:highlight w:val="none"/>
                <w:lang w:val="en-US" w:eastAsia="zh-CN" w:bidi="ar-SA"/>
              </w:rPr>
              <w:t>2.本项目基建，占地类型为永久基本农田，占地面积约2.013hm</w:t>
            </w:r>
            <w:r>
              <w:rPr>
                <w:rFonts w:hint="eastAsia" w:ascii="Times New Roman" w:hAnsi="Times New Roman" w:cs="Times New Roman" w:eastAsiaTheme="minorEastAsia"/>
                <w:color w:val="auto"/>
                <w:spacing w:val="0"/>
                <w:w w:val="99"/>
                <w:sz w:val="21"/>
                <w:szCs w:val="21"/>
                <w:highlight w:val="none"/>
                <w:vertAlign w:val="superscript"/>
                <w:lang w:val="en-US" w:eastAsia="zh-CN" w:bidi="ar-SA"/>
              </w:rPr>
              <w:t>2</w:t>
            </w:r>
            <w:r>
              <w:rPr>
                <w:rFonts w:hint="eastAsia" w:ascii="Times New Roman" w:hAnsi="Times New Roman" w:cs="Times New Roman" w:eastAsiaTheme="minorEastAsia"/>
                <w:color w:val="auto"/>
                <w:spacing w:val="0"/>
                <w:w w:val="99"/>
                <w:sz w:val="21"/>
                <w:szCs w:val="21"/>
                <w:highlight w:val="none"/>
                <w:lang w:val="en-US" w:eastAsia="zh-CN" w:bidi="ar-SA"/>
              </w:rPr>
              <w:t>，永久占地0.0901hm</w:t>
            </w:r>
            <w:r>
              <w:rPr>
                <w:rFonts w:hint="eastAsia" w:ascii="Times New Roman" w:hAnsi="Times New Roman" w:cs="Times New Roman" w:eastAsiaTheme="minorEastAsia"/>
                <w:color w:val="auto"/>
                <w:spacing w:val="0"/>
                <w:w w:val="99"/>
                <w:sz w:val="21"/>
                <w:szCs w:val="21"/>
                <w:highlight w:val="none"/>
                <w:vertAlign w:val="superscript"/>
                <w:lang w:val="en-US" w:eastAsia="zh-CN" w:bidi="ar-SA"/>
              </w:rPr>
              <w:t>2</w:t>
            </w:r>
            <w:r>
              <w:rPr>
                <w:rFonts w:hint="eastAsia" w:ascii="Times New Roman" w:hAnsi="Times New Roman" w:cs="Times New Roman" w:eastAsiaTheme="minorEastAsia"/>
                <w:color w:val="auto"/>
                <w:spacing w:val="0"/>
                <w:w w:val="99"/>
                <w:sz w:val="21"/>
                <w:szCs w:val="21"/>
                <w:highlight w:val="none"/>
                <w:lang w:val="en-US" w:eastAsia="zh-CN" w:bidi="ar-SA"/>
              </w:rPr>
              <w:t>，临时占地面积1.9229hm</w:t>
            </w:r>
            <w:r>
              <w:rPr>
                <w:rFonts w:hint="eastAsia" w:ascii="Times New Roman" w:hAnsi="Times New Roman" w:cs="Times New Roman" w:eastAsiaTheme="minorEastAsia"/>
                <w:color w:val="auto"/>
                <w:spacing w:val="0"/>
                <w:w w:val="99"/>
                <w:sz w:val="21"/>
                <w:szCs w:val="21"/>
                <w:highlight w:val="none"/>
                <w:vertAlign w:val="superscript"/>
                <w:lang w:val="en-US" w:eastAsia="zh-CN" w:bidi="ar-SA"/>
              </w:rPr>
              <w:t>2</w:t>
            </w:r>
            <w:r>
              <w:rPr>
                <w:rFonts w:hint="eastAsia" w:ascii="Times New Roman" w:hAnsi="Times New Roman" w:cs="Times New Roman" w:eastAsiaTheme="minorEastAsia"/>
                <w:color w:val="auto"/>
                <w:spacing w:val="0"/>
                <w:w w:val="99"/>
                <w:sz w:val="21"/>
                <w:szCs w:val="21"/>
                <w:highlight w:val="none"/>
                <w:lang w:val="en-US" w:eastAsia="zh-CN" w:bidi="ar-SA"/>
              </w:rPr>
              <w:t>，</w:t>
            </w:r>
            <w:r>
              <w:rPr>
                <w:rFonts w:hint="default" w:ascii="Times New Roman" w:hAnsi="Times New Roman" w:cs="Times New Roman" w:eastAsiaTheme="minorEastAsia"/>
                <w:color w:val="auto"/>
                <w:spacing w:val="0"/>
                <w:w w:val="99"/>
                <w:sz w:val="21"/>
                <w:szCs w:val="21"/>
                <w:highlight w:val="none"/>
                <w:lang w:val="en-US" w:eastAsia="zh-CN" w:bidi="ar-SA"/>
              </w:rPr>
              <w:t>占地严格按照规范控制占地面积，占用基本农田均按照规定进行经济补偿，临时占用基本农田施工结束后及时恢复地表地貌，由农户自行复耕，不会对生态功能造成损害。</w:t>
            </w:r>
          </w:p>
          <w:p w14:paraId="7C44AE71">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4" w:firstLineChars="200"/>
              <w:jc w:val="both"/>
              <w:textAlignment w:val="baseline"/>
              <w:rPr>
                <w:rFonts w:hint="default" w:ascii="Times New Roman" w:hAnsi="Times New Roman" w:cs="Times New Roman" w:eastAsiaTheme="minorEastAsia"/>
                <w:color w:val="auto"/>
                <w:spacing w:val="0"/>
                <w:w w:val="99"/>
                <w:sz w:val="21"/>
                <w:szCs w:val="21"/>
                <w:highlight w:val="none"/>
                <w:lang w:val="en-US" w:eastAsia="zh-CN" w:bidi="ar-SA"/>
              </w:rPr>
            </w:pPr>
            <w:r>
              <w:rPr>
                <w:rFonts w:hint="eastAsia" w:ascii="Times New Roman" w:hAnsi="Times New Roman" w:cs="Times New Roman" w:eastAsiaTheme="minorEastAsia"/>
                <w:color w:val="auto"/>
                <w:spacing w:val="0"/>
                <w:w w:val="99"/>
                <w:sz w:val="21"/>
                <w:szCs w:val="21"/>
                <w:highlight w:val="none"/>
                <w:lang w:val="en-US" w:eastAsia="zh-CN" w:bidi="ar-SA"/>
              </w:rPr>
              <w:t>3.项目不涉及</w:t>
            </w:r>
            <w:r>
              <w:rPr>
                <w:rFonts w:hint="default" w:ascii="Times New Roman" w:hAnsi="Times New Roman" w:cs="Times New Roman" w:eastAsiaTheme="minorEastAsia"/>
                <w:color w:val="auto"/>
                <w:spacing w:val="0"/>
                <w:w w:val="99"/>
                <w:sz w:val="21"/>
                <w:szCs w:val="21"/>
                <w:highlight w:val="none"/>
                <w:lang w:val="en-US" w:eastAsia="zh-CN" w:bidi="ar-SA"/>
              </w:rPr>
              <w:t>大气环境布局敏感重点管控区</w:t>
            </w:r>
            <w:r>
              <w:rPr>
                <w:rFonts w:hint="eastAsia" w:ascii="Times New Roman" w:hAnsi="Times New Roman" w:cs="Times New Roman" w:eastAsiaTheme="minorEastAsia"/>
                <w:color w:val="auto"/>
                <w:spacing w:val="0"/>
                <w:w w:val="99"/>
                <w:sz w:val="21"/>
                <w:szCs w:val="21"/>
                <w:highlight w:val="none"/>
                <w:lang w:val="en-US" w:eastAsia="zh-CN" w:bidi="ar-SA"/>
              </w:rPr>
              <w:t>。</w:t>
            </w:r>
          </w:p>
          <w:p w14:paraId="3A0BEDD6">
            <w:pPr>
              <w:keepNext w:val="0"/>
              <w:keepLines w:val="0"/>
              <w:pageBreakBefore w:val="0"/>
              <w:widowControl w:val="0"/>
              <w:kinsoku/>
              <w:wordWrap/>
              <w:overflowPunct/>
              <w:topLinePunct w:val="0"/>
              <w:bidi w:val="0"/>
              <w:spacing w:line="360" w:lineRule="exact"/>
              <w:ind w:right="0" w:firstLine="414" w:firstLineChars="200"/>
              <w:jc w:val="both"/>
              <w:textAlignment w:val="auto"/>
              <w:rPr>
                <w:rFonts w:hint="default" w:ascii="Times New Roman" w:hAnsi="Times New Roman" w:cs="Times New Roman" w:eastAsiaTheme="minorEastAsia"/>
                <w:color w:val="auto"/>
                <w:spacing w:val="0"/>
                <w:w w:val="99"/>
                <w:sz w:val="21"/>
                <w:szCs w:val="21"/>
                <w:highlight w:val="none"/>
              </w:rPr>
            </w:pPr>
            <w:r>
              <w:rPr>
                <w:rFonts w:hint="eastAsia" w:ascii="Times New Roman" w:hAnsi="Times New Roman" w:cs="Times New Roman" w:eastAsiaTheme="minorEastAsia"/>
                <w:color w:val="auto"/>
                <w:spacing w:val="0"/>
                <w:w w:val="99"/>
                <w:sz w:val="21"/>
                <w:szCs w:val="21"/>
                <w:highlight w:val="none"/>
                <w:lang w:val="en-US" w:eastAsia="zh-CN" w:bidi="ar-SA"/>
              </w:rPr>
              <w:t>4.项目不涉及燃煤锅炉。</w:t>
            </w:r>
          </w:p>
        </w:tc>
        <w:tc>
          <w:tcPr>
            <w:tcW w:w="463" w:type="pct"/>
            <w:vAlign w:val="center"/>
          </w:tcPr>
          <w:p w14:paraId="4CC15202">
            <w:pPr>
              <w:keepNext w:val="0"/>
              <w:keepLines w:val="0"/>
              <w:pageBreakBefore w:val="0"/>
              <w:widowControl w:val="0"/>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rPr>
            </w:pPr>
          </w:p>
          <w:p w14:paraId="357D5ECA">
            <w:pPr>
              <w:pStyle w:val="50"/>
              <w:keepNext w:val="0"/>
              <w:keepLines w:val="0"/>
              <w:pageBreakBefore w:val="0"/>
              <w:wordWrap/>
              <w:overflowPunct/>
              <w:topLinePunct w:val="0"/>
              <w:bidi w:val="0"/>
              <w:spacing w:line="360" w:lineRule="exact"/>
              <w:jc w:val="center"/>
              <w:rPr>
                <w:rFonts w:hint="eastAsia" w:eastAsia="宋体"/>
                <w:color w:val="auto"/>
                <w:highlight w:val="none"/>
                <w:lang w:val="en-US" w:eastAsia="zh-CN"/>
              </w:rPr>
            </w:pPr>
            <w:r>
              <w:rPr>
                <w:rFonts w:hint="eastAsia" w:ascii="Times New Roman" w:hAnsi="Times New Roman" w:cs="Times New Roman" w:eastAsiaTheme="minorEastAsia"/>
                <w:color w:val="auto"/>
                <w:spacing w:val="0"/>
                <w:w w:val="99"/>
                <w:kern w:val="0"/>
                <w:sz w:val="21"/>
                <w:szCs w:val="21"/>
                <w:highlight w:val="none"/>
                <w:lang w:val="en-US" w:eastAsia="zh-CN" w:bidi="ar-SA"/>
              </w:rPr>
              <w:t>符合</w:t>
            </w:r>
          </w:p>
        </w:tc>
      </w:tr>
      <w:tr w14:paraId="21DA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Align w:val="center"/>
          </w:tcPr>
          <w:p w14:paraId="33F57764">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rPr>
            </w:pPr>
          </w:p>
        </w:tc>
        <w:tc>
          <w:tcPr>
            <w:tcW w:w="404" w:type="pct"/>
            <w:vAlign w:val="top"/>
          </w:tcPr>
          <w:p w14:paraId="2C75AC9C">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rPr>
            </w:pPr>
          </w:p>
        </w:tc>
        <w:tc>
          <w:tcPr>
            <w:tcW w:w="280" w:type="pct"/>
            <w:vAlign w:val="top"/>
          </w:tcPr>
          <w:p w14:paraId="32165A22">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rPr>
            </w:pPr>
          </w:p>
        </w:tc>
        <w:tc>
          <w:tcPr>
            <w:tcW w:w="243" w:type="pct"/>
            <w:vAlign w:val="top"/>
          </w:tcPr>
          <w:p w14:paraId="1E6AAAC3">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firstLineChars="0"/>
              <w:jc w:val="center"/>
              <w:textAlignment w:val="baseline"/>
              <w:rPr>
                <w:rFonts w:hint="default" w:ascii="Times New Roman" w:hAnsi="Times New Roman" w:cs="Times New Roman" w:eastAsiaTheme="minorEastAsia"/>
                <w:color w:val="auto"/>
                <w:spacing w:val="0"/>
                <w:w w:val="99"/>
                <w:sz w:val="21"/>
                <w:szCs w:val="21"/>
                <w:highlight w:val="none"/>
                <w:lang w:val="en-US" w:eastAsia="zh-CN" w:bidi="ar-SA"/>
              </w:rPr>
            </w:pPr>
            <w:r>
              <w:rPr>
                <w:rFonts w:hint="default" w:ascii="Times New Roman" w:hAnsi="Times New Roman" w:cs="Times New Roman" w:eastAsiaTheme="minorEastAsia"/>
                <w:color w:val="auto"/>
                <w:spacing w:val="0"/>
                <w:w w:val="99"/>
                <w:sz w:val="21"/>
                <w:szCs w:val="21"/>
                <w:highlight w:val="none"/>
                <w:lang w:val="en-US" w:eastAsia="zh-CN" w:bidi="ar-SA"/>
              </w:rPr>
              <w:t>污染物排放管控</w:t>
            </w:r>
          </w:p>
          <w:p w14:paraId="72924FAA">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cs="Times New Roman" w:eastAsiaTheme="minorEastAsia"/>
                <w:color w:val="auto"/>
                <w:spacing w:val="0"/>
                <w:w w:val="99"/>
                <w:sz w:val="21"/>
                <w:szCs w:val="21"/>
                <w:highlight w:val="none"/>
                <w:lang w:val="en-US" w:eastAsia="zh-CN" w:bidi="ar-SA"/>
              </w:rPr>
            </w:pPr>
          </w:p>
        </w:tc>
        <w:tc>
          <w:tcPr>
            <w:tcW w:w="1449" w:type="pct"/>
            <w:vAlign w:val="top"/>
          </w:tcPr>
          <w:p w14:paraId="415C5EF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ind w:firstLine="0" w:firstLineChars="0"/>
              <w:jc w:val="center"/>
              <w:textAlignment w:val="baseline"/>
              <w:rPr>
                <w:rFonts w:hint="default" w:ascii="Times New Roman" w:hAnsi="Times New Roman" w:cs="Times New Roman" w:eastAsiaTheme="minorEastAsia"/>
                <w:color w:val="auto"/>
                <w:spacing w:val="0"/>
                <w:w w:val="99"/>
                <w:sz w:val="21"/>
                <w:szCs w:val="21"/>
                <w:highlight w:val="none"/>
                <w:lang w:val="en-US" w:eastAsia="zh-CN" w:bidi="ar-SA"/>
              </w:rPr>
            </w:pPr>
            <w:r>
              <w:rPr>
                <w:rFonts w:hint="default" w:ascii="Times New Roman" w:hAnsi="Times New Roman" w:cs="Times New Roman" w:eastAsiaTheme="minorEastAsia"/>
                <w:color w:val="auto"/>
                <w:spacing w:val="0"/>
                <w:w w:val="99"/>
                <w:sz w:val="21"/>
                <w:szCs w:val="21"/>
                <w:highlight w:val="none"/>
                <w:lang w:val="en-US" w:eastAsia="zh-CN" w:bidi="ar-SA"/>
              </w:rPr>
              <w:t>1.执行1）支持规模化畜禽养殖场（小区）开展标准化改造和建设，提高畜禽粪污收集和处理机械化水平，实施雨污分流、粪污资源化利用，控制畜禽养殖污染排放。（2）畜禽养殖户应当及时对畜禽粪便、污水进行收集、贮存、清运，或者进行无害化处理。县级人民政府应当组织对本行政区域的畜禽散养密集区畜禽粪便、污水进行集中处理利用，督促乡镇人民政府建设或者配备污染防治配套设施。（3）全面加强农业面源污染防控，科学合理使用农业投入品，提高使用效率，减少农业内源性污染。2.大气环境布局敏感重点管控区同时执行（1）对以煤、石焦油、渣油、重油等为燃料的锅炉和工业炉窑，加快使用清洁低碳能源以及工厂余热、电力热力等进行替代。（3）到2025年，在用65蒸吨/小时以上的燃煤锅炉（含电力）实现超低排放，钢铁企业基本实现超低排放。</w:t>
            </w:r>
          </w:p>
        </w:tc>
        <w:tc>
          <w:tcPr>
            <w:tcW w:w="1817" w:type="pct"/>
            <w:vMerge w:val="continue"/>
            <w:vAlign w:val="center"/>
          </w:tcPr>
          <w:p w14:paraId="079B8AB0">
            <w:pPr>
              <w:keepNext w:val="0"/>
              <w:keepLines w:val="0"/>
              <w:pageBreakBefore w:val="0"/>
              <w:widowControl w:val="0"/>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rPr>
            </w:pPr>
          </w:p>
        </w:tc>
        <w:tc>
          <w:tcPr>
            <w:tcW w:w="463" w:type="pct"/>
            <w:vAlign w:val="center"/>
          </w:tcPr>
          <w:p w14:paraId="02AF3915">
            <w:pPr>
              <w:pStyle w:val="50"/>
              <w:keepNext w:val="0"/>
              <w:keepLines w:val="0"/>
              <w:pageBreakBefore w:val="0"/>
              <w:wordWrap/>
              <w:overflowPunct/>
              <w:topLinePunct w:val="0"/>
              <w:bidi w:val="0"/>
              <w:spacing w:line="360" w:lineRule="exact"/>
              <w:jc w:val="center"/>
              <w:rPr>
                <w:rFonts w:hint="eastAsia" w:eastAsia="宋体"/>
                <w:color w:val="auto"/>
                <w:highlight w:val="none"/>
                <w:lang w:val="en-US" w:eastAsia="zh-CN"/>
              </w:rPr>
            </w:pPr>
            <w:r>
              <w:rPr>
                <w:rFonts w:hint="eastAsia" w:ascii="Times New Roman" w:hAnsi="Times New Roman" w:cs="Times New Roman" w:eastAsiaTheme="minorEastAsia"/>
                <w:color w:val="auto"/>
                <w:spacing w:val="0"/>
                <w:w w:val="99"/>
                <w:kern w:val="0"/>
                <w:sz w:val="21"/>
                <w:szCs w:val="21"/>
                <w:highlight w:val="none"/>
                <w:lang w:val="en-US" w:eastAsia="zh-CN" w:bidi="ar-SA"/>
              </w:rPr>
              <w:t>符合</w:t>
            </w:r>
          </w:p>
        </w:tc>
      </w:tr>
      <w:tr w14:paraId="6AA0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Align w:val="center"/>
          </w:tcPr>
          <w:p w14:paraId="3FA3409C">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rPr>
            </w:pPr>
          </w:p>
        </w:tc>
        <w:tc>
          <w:tcPr>
            <w:tcW w:w="404" w:type="pct"/>
            <w:vAlign w:val="top"/>
          </w:tcPr>
          <w:p w14:paraId="4C450D8D">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rPr>
            </w:pPr>
          </w:p>
        </w:tc>
        <w:tc>
          <w:tcPr>
            <w:tcW w:w="280" w:type="pct"/>
            <w:vAlign w:val="top"/>
          </w:tcPr>
          <w:p w14:paraId="7916FAA2">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rPr>
            </w:pPr>
          </w:p>
        </w:tc>
        <w:tc>
          <w:tcPr>
            <w:tcW w:w="243" w:type="pct"/>
            <w:vAlign w:val="top"/>
          </w:tcPr>
          <w:p w14:paraId="680E6D6B">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bidi="ar-SA"/>
              </w:rPr>
            </w:pPr>
            <w:r>
              <w:rPr>
                <w:rFonts w:hint="default" w:ascii="Times New Roman" w:hAnsi="Times New Roman" w:cs="Times New Roman" w:eastAsiaTheme="minorEastAsia"/>
                <w:color w:val="auto"/>
                <w:spacing w:val="0"/>
                <w:w w:val="99"/>
                <w:sz w:val="21"/>
                <w:szCs w:val="21"/>
                <w:highlight w:val="none"/>
                <w:lang w:val="en-US" w:eastAsia="zh-CN" w:bidi="ar-SA"/>
              </w:rPr>
              <w:t>环境风险防控</w:t>
            </w:r>
          </w:p>
          <w:p w14:paraId="7D2C68BE">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bidi="ar-SA"/>
              </w:rPr>
            </w:pPr>
          </w:p>
        </w:tc>
        <w:tc>
          <w:tcPr>
            <w:tcW w:w="1449" w:type="pct"/>
            <w:vAlign w:val="top"/>
          </w:tcPr>
          <w:p w14:paraId="6F6247CD">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bidi="ar-SA"/>
              </w:rPr>
            </w:pPr>
            <w:r>
              <w:rPr>
                <w:rFonts w:hint="default" w:ascii="Times New Roman" w:hAnsi="Times New Roman" w:cs="Times New Roman" w:eastAsiaTheme="minorEastAsia"/>
                <w:color w:val="auto"/>
                <w:spacing w:val="0"/>
                <w:w w:val="99"/>
                <w:sz w:val="21"/>
                <w:szCs w:val="21"/>
                <w:highlight w:val="none"/>
                <w:lang w:val="en-US" w:eastAsia="zh-CN" w:bidi="ar-SA"/>
              </w:rPr>
              <w:t>大气环境布局敏感重点管控区同时执行禁止在居民区、学校、医疗和养老机构等周边新建有色金属冶炼、焦化等行业企业。</w:t>
            </w:r>
          </w:p>
        </w:tc>
        <w:tc>
          <w:tcPr>
            <w:tcW w:w="1817" w:type="pct"/>
            <w:vAlign w:val="top"/>
          </w:tcPr>
          <w:p w14:paraId="1092B2F8">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414" w:firstLineChars="200"/>
              <w:jc w:val="both"/>
              <w:textAlignment w:val="baseline"/>
              <w:rPr>
                <w:rFonts w:hint="default" w:ascii="Times New Roman" w:hAnsi="Times New Roman" w:cs="Times New Roman" w:eastAsiaTheme="minorEastAsia"/>
                <w:color w:val="auto"/>
                <w:spacing w:val="0"/>
                <w:w w:val="99"/>
                <w:sz w:val="21"/>
                <w:szCs w:val="21"/>
                <w:highlight w:val="none"/>
                <w:lang w:val="en-US" w:eastAsia="zh-CN" w:bidi="ar-SA"/>
              </w:rPr>
            </w:pPr>
            <w:r>
              <w:rPr>
                <w:rFonts w:hint="eastAsia" w:ascii="Times New Roman" w:hAnsi="Times New Roman" w:cs="Times New Roman" w:eastAsiaTheme="minorEastAsia"/>
                <w:color w:val="auto"/>
                <w:spacing w:val="0"/>
                <w:w w:val="99"/>
                <w:sz w:val="21"/>
                <w:szCs w:val="21"/>
                <w:highlight w:val="none"/>
                <w:lang w:val="en-US" w:eastAsia="zh-CN" w:bidi="ar-SA"/>
              </w:rPr>
              <w:t>本项目属于天然气开采项目，不属于</w:t>
            </w:r>
            <w:r>
              <w:rPr>
                <w:rFonts w:hint="default" w:ascii="Times New Roman" w:hAnsi="Times New Roman" w:cs="Times New Roman" w:eastAsiaTheme="minorEastAsia"/>
                <w:color w:val="auto"/>
                <w:spacing w:val="0"/>
                <w:w w:val="99"/>
                <w:sz w:val="21"/>
                <w:szCs w:val="21"/>
                <w:highlight w:val="none"/>
                <w:lang w:val="en-US" w:eastAsia="zh-CN" w:bidi="ar-SA"/>
              </w:rPr>
              <w:t>有色金属冶炼、焦化等行业企业</w:t>
            </w:r>
            <w:r>
              <w:rPr>
                <w:rFonts w:hint="eastAsia" w:ascii="Times New Roman" w:hAnsi="Times New Roman" w:cs="Times New Roman" w:eastAsiaTheme="minorEastAsia"/>
                <w:color w:val="auto"/>
                <w:spacing w:val="0"/>
                <w:w w:val="99"/>
                <w:sz w:val="21"/>
                <w:szCs w:val="21"/>
                <w:highlight w:val="none"/>
                <w:lang w:val="en-US" w:eastAsia="zh-CN" w:bidi="ar-SA"/>
              </w:rPr>
              <w:t>。</w:t>
            </w:r>
          </w:p>
        </w:tc>
        <w:tc>
          <w:tcPr>
            <w:tcW w:w="463" w:type="pct"/>
            <w:vAlign w:val="center"/>
          </w:tcPr>
          <w:p w14:paraId="7BFF3439">
            <w:pPr>
              <w:pStyle w:val="50"/>
              <w:keepNext w:val="0"/>
              <w:keepLines w:val="0"/>
              <w:pageBreakBefore w:val="0"/>
              <w:wordWrap/>
              <w:overflowPunct/>
              <w:topLinePunct w:val="0"/>
              <w:bidi w:val="0"/>
              <w:spacing w:line="360" w:lineRule="exact"/>
              <w:jc w:val="center"/>
              <w:rPr>
                <w:rFonts w:hint="default" w:eastAsia="宋体"/>
                <w:color w:val="auto"/>
                <w:highlight w:val="none"/>
                <w:lang w:val="en-US" w:eastAsia="zh-CN"/>
              </w:rPr>
            </w:pPr>
            <w:r>
              <w:rPr>
                <w:rFonts w:hint="eastAsia" w:ascii="Times New Roman" w:hAnsi="Times New Roman" w:cs="Times New Roman" w:eastAsiaTheme="minorEastAsia"/>
                <w:color w:val="auto"/>
                <w:spacing w:val="0"/>
                <w:w w:val="99"/>
                <w:kern w:val="0"/>
                <w:sz w:val="21"/>
                <w:szCs w:val="21"/>
                <w:highlight w:val="none"/>
                <w:lang w:val="en-US" w:eastAsia="zh-CN" w:bidi="ar-SA"/>
              </w:rPr>
              <w:t>符合</w:t>
            </w:r>
          </w:p>
        </w:tc>
      </w:tr>
      <w:tr w14:paraId="4D27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Align w:val="center"/>
          </w:tcPr>
          <w:p w14:paraId="09E7691C">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rPr>
            </w:pPr>
          </w:p>
        </w:tc>
        <w:tc>
          <w:tcPr>
            <w:tcW w:w="404" w:type="pct"/>
            <w:vAlign w:val="top"/>
          </w:tcPr>
          <w:p w14:paraId="4038AF60">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rPr>
            </w:pPr>
          </w:p>
        </w:tc>
        <w:tc>
          <w:tcPr>
            <w:tcW w:w="280" w:type="pct"/>
            <w:vAlign w:val="top"/>
          </w:tcPr>
          <w:p w14:paraId="413EAAB5">
            <w:pPr>
              <w:keepNext w:val="0"/>
              <w:keepLines w:val="0"/>
              <w:pageBreakBefore w:val="0"/>
              <w:widowControl/>
              <w:kinsoku/>
              <w:wordWrap/>
              <w:overflowPunct/>
              <w:topLinePunct w:val="0"/>
              <w:bidi w:val="0"/>
              <w:spacing w:line="360" w:lineRule="exact"/>
              <w:ind w:right="0"/>
              <w:jc w:val="center"/>
              <w:textAlignment w:val="auto"/>
              <w:rPr>
                <w:rFonts w:hint="default" w:ascii="Times New Roman" w:hAnsi="Times New Roman" w:cs="Times New Roman" w:eastAsiaTheme="minorEastAsia"/>
                <w:color w:val="auto"/>
                <w:spacing w:val="0"/>
                <w:w w:val="99"/>
                <w:sz w:val="21"/>
                <w:szCs w:val="21"/>
                <w:highlight w:val="none"/>
                <w:lang w:val="en-US" w:eastAsia="zh-CN"/>
              </w:rPr>
            </w:pPr>
          </w:p>
        </w:tc>
        <w:tc>
          <w:tcPr>
            <w:tcW w:w="243" w:type="pct"/>
            <w:vAlign w:val="top"/>
          </w:tcPr>
          <w:p w14:paraId="2058F7BE">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cs="Times New Roman" w:eastAsiaTheme="minorEastAsia"/>
                <w:color w:val="auto"/>
                <w:spacing w:val="0"/>
                <w:w w:val="99"/>
                <w:sz w:val="21"/>
                <w:szCs w:val="21"/>
                <w:highlight w:val="none"/>
                <w:lang w:val="en-US" w:eastAsia="zh-CN" w:bidi="ar-SA"/>
              </w:rPr>
            </w:pPr>
            <w:r>
              <w:rPr>
                <w:rFonts w:hint="default" w:ascii="Times New Roman" w:hAnsi="Times New Roman" w:cs="Times New Roman" w:eastAsiaTheme="minorEastAsia"/>
                <w:color w:val="auto"/>
                <w:spacing w:val="0"/>
                <w:w w:val="99"/>
                <w:sz w:val="21"/>
                <w:szCs w:val="21"/>
                <w:highlight w:val="none"/>
                <w:lang w:val="en-US" w:eastAsia="zh-CN" w:bidi="ar-SA"/>
              </w:rPr>
              <w:t>资源利用效率要求</w:t>
            </w:r>
          </w:p>
        </w:tc>
        <w:tc>
          <w:tcPr>
            <w:tcW w:w="1449" w:type="pct"/>
            <w:vAlign w:val="top"/>
          </w:tcPr>
          <w:p w14:paraId="626B7D4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ind w:firstLine="0" w:firstLineChars="0"/>
              <w:jc w:val="center"/>
              <w:textAlignment w:val="baseline"/>
              <w:rPr>
                <w:rFonts w:hint="default" w:ascii="Times New Roman" w:hAnsi="Times New Roman" w:cs="Times New Roman" w:eastAsiaTheme="minorEastAsia"/>
                <w:color w:val="auto"/>
                <w:spacing w:val="0"/>
                <w:w w:val="99"/>
                <w:sz w:val="21"/>
                <w:szCs w:val="21"/>
                <w:highlight w:val="none"/>
                <w:lang w:val="en-US" w:eastAsia="zh-CN" w:bidi="ar-SA"/>
              </w:rPr>
            </w:pPr>
            <w:r>
              <w:rPr>
                <w:rFonts w:hint="default" w:ascii="Times New Roman" w:hAnsi="Times New Roman" w:cs="Times New Roman" w:eastAsiaTheme="minorEastAsia"/>
                <w:color w:val="auto"/>
                <w:spacing w:val="0"/>
                <w:w w:val="99"/>
                <w:sz w:val="21"/>
                <w:szCs w:val="21"/>
                <w:highlight w:val="none"/>
                <w:lang w:val="en-US" w:eastAsia="zh-CN" w:bidi="ar-SA"/>
              </w:rPr>
              <w:t>高污染燃料禁燃区同时执行1.在禁燃区内，禁止销售、燃用高污染燃料；禁止新建、扩建燃用高污染燃料的设施，已建成的，应当在城市人民政府规定的期限内改用天然气、页岩气、液化石油气、电或者其他清洁能源。2.城市建设应当统筹规划，在燃煤供热地区，推进热电联产和集中供热。在集中供热管网覆盖地区，禁止新建、扩建分散燃煤供热锅炉；已建成的不能达标排放的燃煤供热锅炉，应当在城市人民政府规定的期限内拆除。</w:t>
            </w:r>
          </w:p>
        </w:tc>
        <w:tc>
          <w:tcPr>
            <w:tcW w:w="1817" w:type="pct"/>
            <w:vAlign w:val="top"/>
          </w:tcPr>
          <w:p w14:paraId="7D7111F6">
            <w:pPr>
              <w:pStyle w:val="2857"/>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right="0" w:firstLine="414" w:firstLineChars="200"/>
              <w:jc w:val="both"/>
              <w:textAlignment w:val="baseline"/>
              <w:rPr>
                <w:rFonts w:hint="eastAsia" w:ascii="Times New Roman" w:hAnsi="Times New Roman" w:cs="Times New Roman" w:eastAsiaTheme="minorEastAsia"/>
                <w:color w:val="auto"/>
                <w:spacing w:val="0"/>
                <w:w w:val="99"/>
                <w:sz w:val="21"/>
                <w:szCs w:val="21"/>
                <w:highlight w:val="none"/>
                <w:lang w:val="en-US" w:eastAsia="zh-CN" w:bidi="ar-SA"/>
              </w:rPr>
            </w:pPr>
            <w:r>
              <w:rPr>
                <w:rFonts w:hint="eastAsia" w:ascii="Times New Roman" w:hAnsi="Times New Roman" w:cs="Times New Roman" w:eastAsiaTheme="minorEastAsia"/>
                <w:color w:val="auto"/>
                <w:spacing w:val="0"/>
                <w:w w:val="99"/>
                <w:sz w:val="21"/>
                <w:szCs w:val="21"/>
                <w:highlight w:val="none"/>
                <w:lang w:val="en-US" w:eastAsia="zh-CN" w:bidi="ar-SA"/>
              </w:rPr>
              <w:t>项目位于绥化市肇东市跃进乡境内，不属于</w:t>
            </w:r>
            <w:r>
              <w:rPr>
                <w:rFonts w:hint="default" w:ascii="Times New Roman" w:hAnsi="Times New Roman" w:cs="Times New Roman" w:eastAsiaTheme="minorEastAsia"/>
                <w:color w:val="auto"/>
                <w:spacing w:val="0"/>
                <w:w w:val="99"/>
                <w:sz w:val="21"/>
                <w:szCs w:val="21"/>
                <w:highlight w:val="none"/>
                <w:lang w:val="en-US" w:eastAsia="zh-CN" w:bidi="ar-SA"/>
              </w:rPr>
              <w:t>高污染燃料禁燃区</w:t>
            </w:r>
            <w:r>
              <w:rPr>
                <w:rFonts w:hint="eastAsia" w:ascii="Times New Roman" w:hAnsi="Times New Roman" w:cs="Times New Roman" w:eastAsiaTheme="minorEastAsia"/>
                <w:color w:val="auto"/>
                <w:spacing w:val="0"/>
                <w:w w:val="99"/>
                <w:sz w:val="21"/>
                <w:szCs w:val="21"/>
                <w:highlight w:val="none"/>
                <w:lang w:val="en-US" w:eastAsia="zh-CN" w:bidi="ar-SA"/>
              </w:rPr>
              <w:t>；</w:t>
            </w:r>
          </w:p>
          <w:p w14:paraId="3151994A">
            <w:pPr>
              <w:pStyle w:val="2857"/>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exact"/>
              <w:ind w:left="0" w:leftChars="0" w:right="0" w:rightChars="0" w:firstLine="414" w:firstLineChars="200"/>
              <w:jc w:val="both"/>
              <w:textAlignment w:val="baseline"/>
              <w:rPr>
                <w:rFonts w:hint="default" w:ascii="Times New Roman" w:hAnsi="Times New Roman" w:cs="Times New Roman" w:eastAsiaTheme="minorEastAsia"/>
                <w:color w:val="auto"/>
                <w:spacing w:val="0"/>
                <w:w w:val="99"/>
                <w:sz w:val="21"/>
                <w:szCs w:val="21"/>
                <w:highlight w:val="none"/>
                <w:lang w:val="en-US" w:eastAsia="zh-CN" w:bidi="ar-SA"/>
              </w:rPr>
            </w:pPr>
            <w:r>
              <w:rPr>
                <w:rFonts w:hint="eastAsia" w:ascii="Times New Roman" w:hAnsi="Times New Roman" w:cs="Times New Roman" w:eastAsiaTheme="minorEastAsia"/>
                <w:color w:val="auto"/>
                <w:spacing w:val="0"/>
                <w:w w:val="99"/>
                <w:sz w:val="21"/>
                <w:szCs w:val="21"/>
                <w:highlight w:val="none"/>
                <w:lang w:val="en-US" w:eastAsia="zh-CN" w:bidi="ar-SA"/>
              </w:rPr>
              <w:t>项目不涉及燃煤供热锅炉。</w:t>
            </w:r>
          </w:p>
        </w:tc>
        <w:tc>
          <w:tcPr>
            <w:tcW w:w="463" w:type="pct"/>
            <w:vAlign w:val="center"/>
          </w:tcPr>
          <w:p w14:paraId="09EE2615">
            <w:pPr>
              <w:pStyle w:val="50"/>
              <w:keepNext w:val="0"/>
              <w:keepLines w:val="0"/>
              <w:pageBreakBefore w:val="0"/>
              <w:wordWrap/>
              <w:overflowPunct/>
              <w:topLinePunct w:val="0"/>
              <w:bidi w:val="0"/>
              <w:spacing w:line="360" w:lineRule="exact"/>
              <w:jc w:val="center"/>
              <w:rPr>
                <w:rFonts w:hint="default"/>
                <w:color w:val="auto"/>
                <w:highlight w:val="none"/>
              </w:rPr>
            </w:pPr>
            <w:r>
              <w:rPr>
                <w:rFonts w:hint="eastAsia" w:ascii="Times New Roman" w:hAnsi="Times New Roman" w:cs="Times New Roman" w:eastAsiaTheme="minorEastAsia"/>
                <w:color w:val="auto"/>
                <w:spacing w:val="0"/>
                <w:w w:val="99"/>
                <w:kern w:val="0"/>
                <w:sz w:val="21"/>
                <w:szCs w:val="21"/>
                <w:highlight w:val="none"/>
                <w:lang w:val="en-US" w:eastAsia="zh-CN" w:bidi="ar-SA"/>
              </w:rPr>
              <w:t>符合</w:t>
            </w:r>
          </w:p>
        </w:tc>
      </w:tr>
    </w:tbl>
    <w:p w14:paraId="7E642133">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根据上表分析，本项目符合《</w:t>
      </w:r>
      <w:r>
        <w:rPr>
          <w:rFonts w:hint="eastAsia" w:ascii="Times New Roman" w:hAnsi="Times New Roman" w:cs="Times New Roman"/>
          <w:color w:val="auto"/>
          <w:w w:val="99"/>
          <w:kern w:val="2"/>
          <w:highlight w:val="none"/>
          <w:lang w:val="en-US" w:eastAsia="zh-CN"/>
        </w:rPr>
        <w:t>绥化</w:t>
      </w:r>
      <w:r>
        <w:rPr>
          <w:rFonts w:ascii="Times New Roman" w:hAnsi="Times New Roman" w:cs="Times New Roman"/>
          <w:color w:val="auto"/>
          <w:w w:val="99"/>
          <w:kern w:val="2"/>
          <w:highlight w:val="none"/>
        </w:rPr>
        <w:t>市生态环境准入清单（2023年版）》中生态环境准入清单要求，本项目为环境准入允许类别。</w:t>
      </w:r>
    </w:p>
    <w:p w14:paraId="625A8D0C">
      <w:pPr>
        <w:pStyle w:val="7"/>
        <w:widowControl w:val="0"/>
        <w:spacing w:before="60" w:after="60" w:line="440" w:lineRule="exact"/>
        <w:jc w:val="both"/>
        <w:rPr>
          <w:rFonts w:eastAsia="宋体"/>
          <w:b/>
          <w:color w:val="auto"/>
          <w:w w:val="99"/>
          <w:kern w:val="2"/>
          <w:sz w:val="24"/>
          <w:szCs w:val="24"/>
          <w:highlight w:val="none"/>
        </w:rPr>
      </w:pPr>
      <w:bookmarkStart w:id="133" w:name="_Toc57203207"/>
      <w:bookmarkStart w:id="134" w:name="_Toc80588211"/>
      <w:bookmarkStart w:id="135" w:name="_Toc57707877"/>
      <w:bookmarkStart w:id="136" w:name="_Toc57976632"/>
      <w:bookmarkStart w:id="137" w:name="_Toc67860084"/>
      <w:bookmarkStart w:id="138" w:name="_Toc77067615"/>
      <w:bookmarkStart w:id="139" w:name="_Toc61597177"/>
      <w:bookmarkStart w:id="140" w:name="_Toc83209428"/>
      <w:bookmarkStart w:id="141" w:name="_Toc78816416"/>
      <w:bookmarkStart w:id="142" w:name="_Toc70050131"/>
      <w:bookmarkStart w:id="143" w:name="_Toc80971333"/>
      <w:bookmarkStart w:id="144" w:name="_Toc76976199"/>
      <w:bookmarkStart w:id="145" w:name="_Toc186444232"/>
      <w:r>
        <w:rPr>
          <w:rFonts w:eastAsia="宋体"/>
          <w:b/>
          <w:color w:val="auto"/>
          <w:w w:val="99"/>
          <w:kern w:val="2"/>
          <w:sz w:val="24"/>
          <w:szCs w:val="24"/>
          <w:highlight w:val="none"/>
        </w:rPr>
        <w:t>1.4.</w:t>
      </w:r>
      <w:r>
        <w:rPr>
          <w:rFonts w:hint="eastAsia" w:eastAsia="宋体"/>
          <w:b/>
          <w:color w:val="auto"/>
          <w:w w:val="99"/>
          <w:kern w:val="2"/>
          <w:sz w:val="24"/>
          <w:szCs w:val="24"/>
          <w:highlight w:val="none"/>
          <w:lang w:val="en-US" w:eastAsia="zh-CN"/>
        </w:rPr>
        <w:t>5</w:t>
      </w:r>
      <w:r>
        <w:rPr>
          <w:rFonts w:eastAsia="宋体"/>
          <w:b/>
          <w:color w:val="auto"/>
          <w:w w:val="99"/>
          <w:kern w:val="2"/>
          <w:sz w:val="24"/>
          <w:szCs w:val="24"/>
          <w:highlight w:val="none"/>
        </w:rPr>
        <w:t>选址选线合理性分析</w:t>
      </w:r>
      <w:bookmarkEnd w:id="133"/>
      <w:bookmarkEnd w:id="134"/>
      <w:bookmarkEnd w:id="135"/>
      <w:bookmarkEnd w:id="136"/>
      <w:bookmarkEnd w:id="137"/>
      <w:bookmarkEnd w:id="138"/>
      <w:bookmarkEnd w:id="139"/>
      <w:bookmarkEnd w:id="140"/>
      <w:bookmarkEnd w:id="141"/>
      <w:bookmarkEnd w:id="142"/>
      <w:bookmarkEnd w:id="143"/>
      <w:bookmarkEnd w:id="144"/>
      <w:bookmarkEnd w:id="145"/>
    </w:p>
    <w:p w14:paraId="46E1F860">
      <w:pPr>
        <w:pStyle w:val="103"/>
        <w:spacing w:line="440" w:lineRule="exact"/>
        <w:ind w:firstLine="474" w:firstLineChars="200"/>
        <w:jc w:val="both"/>
        <w:rPr>
          <w:rFonts w:ascii="Times New Roman" w:hAnsi="Times New Roman" w:cs="Times New Roman"/>
          <w:bCs/>
          <w:color w:val="auto"/>
          <w:w w:val="99"/>
          <w:highlight w:val="none"/>
        </w:rPr>
      </w:pPr>
      <w:r>
        <w:rPr>
          <w:rFonts w:ascii="Times New Roman" w:hAnsi="Times New Roman" w:cs="Times New Roman"/>
          <w:bCs/>
          <w:color w:val="auto"/>
          <w:w w:val="99"/>
          <w:highlight w:val="none"/>
        </w:rPr>
        <w:t>本项目选址位于</w:t>
      </w:r>
      <w:r>
        <w:rPr>
          <w:rFonts w:hint="eastAsia" w:ascii="Times New Roman" w:hAnsi="Times New Roman" w:eastAsia="宋体" w:cs="Times New Roman"/>
          <w:color w:val="auto"/>
          <w:w w:val="99"/>
          <w:sz w:val="24"/>
          <w:szCs w:val="24"/>
          <w:highlight w:val="none"/>
          <w:lang w:val="en-US" w:eastAsia="zh-CN" w:bidi="ar-SA"/>
        </w:rPr>
        <w:t>黑龙江省绥化市肇东市跃进乡邢家围子屯西侧300m处</w:t>
      </w:r>
      <w:r>
        <w:rPr>
          <w:rFonts w:ascii="Times New Roman" w:hAnsi="Times New Roman" w:cs="Times New Roman"/>
          <w:bCs/>
          <w:color w:val="auto"/>
          <w:w w:val="99"/>
          <w:highlight w:val="none"/>
        </w:rPr>
        <w:t>，主要建设内容包括</w:t>
      </w:r>
      <w:r>
        <w:rPr>
          <w:rFonts w:hint="eastAsia" w:ascii="Times New Roman" w:hAnsi="Times New Roman" w:cs="Times New Roman"/>
          <w:bCs/>
          <w:color w:val="auto"/>
          <w:w w:val="99"/>
          <w:highlight w:val="none"/>
          <w:lang w:val="en-US" w:eastAsia="zh-CN"/>
        </w:rPr>
        <w:t>地面工程</w:t>
      </w:r>
      <w:r>
        <w:rPr>
          <w:rFonts w:ascii="Times New Roman" w:hAnsi="Times New Roman" w:cs="Times New Roman"/>
          <w:bCs/>
          <w:color w:val="auto"/>
          <w:w w:val="99"/>
          <w:highlight w:val="none"/>
        </w:rPr>
        <w:t>，项目周围敏感点主要为居住区、耕地、草地。</w:t>
      </w:r>
    </w:p>
    <w:p w14:paraId="66024DBE">
      <w:pPr>
        <w:pStyle w:val="103"/>
        <w:spacing w:line="440" w:lineRule="exact"/>
        <w:ind w:firstLine="474" w:firstLineChars="200"/>
        <w:jc w:val="both"/>
        <w:rPr>
          <w:rFonts w:ascii="Times New Roman" w:hAnsi="Times New Roman" w:eastAsia="宋体" w:cs="Times New Roman"/>
          <w:bCs/>
          <w:color w:val="auto"/>
          <w:w w:val="99"/>
          <w:highlight w:val="none"/>
        </w:rPr>
      </w:pPr>
      <w:r>
        <w:rPr>
          <w:rFonts w:ascii="Times New Roman" w:hAnsi="Times New Roman" w:cs="Times New Roman"/>
          <w:bCs/>
          <w:color w:val="auto"/>
          <w:w w:val="99"/>
          <w:highlight w:val="none"/>
        </w:rPr>
        <w:t>根据《黑龙江省国土空间规划（2021-2035年）》、</w:t>
      </w:r>
      <w:r>
        <w:rPr>
          <w:rFonts w:hint="eastAsia" w:ascii="Times New Roman" w:hAnsi="Times New Roman" w:eastAsia="宋体" w:cs="Times New Roman"/>
          <w:color w:val="auto"/>
          <w:w w:val="99"/>
          <w:sz w:val="24"/>
          <w:szCs w:val="24"/>
          <w:highlight w:val="none"/>
          <w:lang w:val="en-US" w:eastAsia="zh-CN" w:bidi="ar-SA"/>
        </w:rPr>
        <w:t>《</w:t>
      </w:r>
      <w:r>
        <w:rPr>
          <w:rFonts w:hint="eastAsia" w:ascii="Times New Roman" w:hAnsi="Times New Roman" w:cs="Times New Roman"/>
          <w:color w:val="auto"/>
          <w:w w:val="99"/>
          <w:sz w:val="24"/>
          <w:szCs w:val="24"/>
          <w:highlight w:val="none"/>
          <w:lang w:val="en-US" w:eastAsia="zh-CN" w:bidi="ar-SA"/>
        </w:rPr>
        <w:t>绥化</w:t>
      </w:r>
      <w:r>
        <w:rPr>
          <w:rFonts w:hint="eastAsia" w:ascii="Times New Roman" w:hAnsi="Times New Roman" w:eastAsia="宋体" w:cs="Times New Roman"/>
          <w:color w:val="auto"/>
          <w:w w:val="99"/>
          <w:sz w:val="24"/>
          <w:szCs w:val="24"/>
          <w:highlight w:val="none"/>
          <w:lang w:val="en-US" w:eastAsia="zh-CN" w:bidi="ar-SA"/>
        </w:rPr>
        <w:t>市国土空间总体规划（2021-2035年）》</w:t>
      </w:r>
      <w:r>
        <w:rPr>
          <w:rFonts w:ascii="Times New Roman" w:hAnsi="Times New Roman" w:cs="Times New Roman"/>
          <w:bCs/>
          <w:color w:val="auto"/>
          <w:w w:val="99"/>
          <w:highlight w:val="none"/>
        </w:rPr>
        <w:t>、黑龙江省生态环境分区管控数据应用平台和黑龙江省生态保护红线分布图，本项目占地范围内不涉及国家公园、自然保护区、风景名胜区、世界文化和自然遗产地、海洋特别保护区、基本草原、自然公园、重要湿地、天然林、重点保护野生动物栖息地、重点保护野生植物生长繁殖地、重要水生生物的自然产卵场、索饵场、越冬场和洄游通道、天然渔场、沙化土地封禁保护区、封闭及半封闭海域、以及以医疗卫生、文化教育、科研、行政办公为主要功能的区域、文物保护单位等环境敏感区，且项目不在生态保护红线内，项目周边分</w:t>
      </w:r>
      <w:r>
        <w:rPr>
          <w:rFonts w:ascii="Times New Roman" w:hAnsi="Times New Roman" w:eastAsia="宋体" w:cs="Times New Roman"/>
          <w:bCs/>
          <w:color w:val="auto"/>
          <w:w w:val="99"/>
          <w:highlight w:val="none"/>
        </w:rPr>
        <w:t>布有</w:t>
      </w:r>
      <w:r>
        <w:rPr>
          <w:rFonts w:hint="eastAsia" w:ascii="Times New Roman" w:hAnsi="Times New Roman" w:eastAsia="宋体" w:cs="Times New Roman"/>
          <w:bCs/>
          <w:color w:val="auto"/>
          <w:w w:val="99"/>
          <w:highlight w:val="none"/>
          <w:lang w:val="en-US" w:eastAsia="zh-CN"/>
        </w:rPr>
        <w:t>邢家围子</w:t>
      </w:r>
      <w:r>
        <w:rPr>
          <w:rFonts w:hint="default" w:ascii="Times New Roman" w:hAnsi="Times New Roman" w:eastAsia="宋体" w:cs="Times New Roman"/>
          <w:bCs/>
          <w:color w:val="auto"/>
          <w:w w:val="99"/>
          <w:highlight w:val="none"/>
          <w:lang w:val="en-US" w:eastAsia="zh-CN"/>
        </w:rPr>
        <w:t>屯、</w:t>
      </w:r>
      <w:r>
        <w:rPr>
          <w:rFonts w:hint="eastAsia" w:ascii="Times New Roman" w:hAnsi="Times New Roman" w:eastAsia="宋体" w:cs="Times New Roman"/>
          <w:bCs/>
          <w:color w:val="auto"/>
          <w:w w:val="99"/>
          <w:highlight w:val="none"/>
          <w:lang w:val="en-US" w:eastAsia="zh-CN"/>
        </w:rPr>
        <w:t>福龙村</w:t>
      </w:r>
      <w:r>
        <w:rPr>
          <w:rFonts w:hint="default" w:ascii="Times New Roman" w:hAnsi="Times New Roman" w:eastAsia="宋体" w:cs="Times New Roman"/>
          <w:bCs/>
          <w:color w:val="auto"/>
          <w:w w:val="99"/>
          <w:highlight w:val="none"/>
          <w:lang w:val="en-US" w:eastAsia="zh-CN"/>
        </w:rPr>
        <w:t>、</w:t>
      </w:r>
      <w:r>
        <w:rPr>
          <w:rFonts w:hint="eastAsia" w:ascii="Times New Roman" w:hAnsi="Times New Roman" w:eastAsia="宋体" w:cs="Times New Roman"/>
          <w:bCs/>
          <w:color w:val="auto"/>
          <w:w w:val="99"/>
          <w:highlight w:val="none"/>
          <w:lang w:val="en-US" w:eastAsia="zh-CN"/>
        </w:rPr>
        <w:t>王</w:t>
      </w:r>
      <w:r>
        <w:rPr>
          <w:rFonts w:hint="eastAsia" w:ascii="Times New Roman" w:hAnsi="Times New Roman" w:cs="Times New Roman"/>
          <w:bCs/>
          <w:color w:val="auto"/>
          <w:w w:val="99"/>
          <w:highlight w:val="none"/>
          <w:lang w:val="en-US" w:eastAsia="zh-CN"/>
        </w:rPr>
        <w:t>家</w:t>
      </w:r>
      <w:r>
        <w:rPr>
          <w:rFonts w:hint="eastAsia" w:ascii="Times New Roman" w:hAnsi="Times New Roman" w:eastAsia="宋体" w:cs="Times New Roman"/>
          <w:bCs/>
          <w:color w:val="auto"/>
          <w:w w:val="99"/>
          <w:highlight w:val="none"/>
          <w:lang w:val="en-US" w:eastAsia="zh-CN"/>
        </w:rPr>
        <w:t>围子</w:t>
      </w:r>
      <w:r>
        <w:rPr>
          <w:rFonts w:hint="default" w:ascii="Times New Roman" w:hAnsi="Times New Roman" w:eastAsia="宋体" w:cs="Times New Roman"/>
          <w:bCs/>
          <w:color w:val="auto"/>
          <w:w w:val="99"/>
          <w:highlight w:val="none"/>
          <w:lang w:val="en-US" w:eastAsia="zh-CN"/>
        </w:rPr>
        <w:t>屯</w:t>
      </w:r>
      <w:r>
        <w:rPr>
          <w:rFonts w:ascii="Times New Roman" w:hAnsi="Times New Roman" w:eastAsia="宋体" w:cs="Times New Roman"/>
          <w:bCs/>
          <w:color w:val="auto"/>
          <w:w w:val="99"/>
          <w:highlight w:val="none"/>
        </w:rPr>
        <w:t>等居住区。项目区域周边地表水体主要为</w:t>
      </w:r>
      <w:r>
        <w:rPr>
          <w:rFonts w:hint="eastAsia" w:ascii="Times New Roman" w:hAnsi="Times New Roman" w:cs="Times New Roman"/>
          <w:bCs/>
          <w:color w:val="auto"/>
          <w:w w:val="99"/>
          <w:highlight w:val="none"/>
          <w:lang w:val="en-US" w:eastAsia="zh-CN"/>
        </w:rPr>
        <w:t>北大</w:t>
      </w:r>
      <w:r>
        <w:rPr>
          <w:rFonts w:hint="eastAsia" w:ascii="Times New Roman" w:hAnsi="Times New Roman" w:eastAsia="宋体" w:cs="Times New Roman"/>
          <w:bCs/>
          <w:color w:val="auto"/>
          <w:w w:val="99"/>
          <w:highlight w:val="none"/>
          <w:lang w:val="en-US" w:eastAsia="zh-CN"/>
        </w:rPr>
        <w:t>干渠</w:t>
      </w:r>
      <w:r>
        <w:rPr>
          <w:rFonts w:ascii="Times New Roman" w:hAnsi="Times New Roman" w:eastAsia="宋体" w:cs="Times New Roman"/>
          <w:bCs/>
          <w:color w:val="auto"/>
          <w:w w:val="99"/>
          <w:highlight w:val="none"/>
        </w:rPr>
        <w:t>。</w:t>
      </w:r>
      <w:r>
        <w:rPr>
          <w:rFonts w:ascii="Times New Roman" w:hAnsi="Times New Roman" w:cs="Times New Roman"/>
          <w:bCs/>
          <w:color w:val="auto"/>
          <w:w w:val="99"/>
          <w:highlight w:val="none"/>
        </w:rPr>
        <w:t>在选址上满足</w:t>
      </w:r>
      <w:r>
        <w:rPr>
          <w:rFonts w:hint="eastAsia" w:ascii="Times New Roman" w:hAnsi="Times New Roman" w:eastAsia="宋体" w:cs="Times New Roman"/>
          <w:color w:val="auto"/>
          <w:w w:val="99"/>
          <w:sz w:val="24"/>
          <w:szCs w:val="24"/>
          <w:highlight w:val="none"/>
          <w:lang w:val="en-US" w:eastAsia="zh-CN" w:bidi="ar-SA"/>
        </w:rPr>
        <w:t>《</w:t>
      </w:r>
      <w:r>
        <w:rPr>
          <w:rFonts w:hint="eastAsia" w:ascii="Times New Roman" w:hAnsi="Times New Roman" w:cs="Times New Roman"/>
          <w:color w:val="auto"/>
          <w:w w:val="99"/>
          <w:sz w:val="24"/>
          <w:szCs w:val="24"/>
          <w:highlight w:val="none"/>
          <w:lang w:val="en-US" w:eastAsia="zh-CN" w:bidi="ar-SA"/>
        </w:rPr>
        <w:t>绥化</w:t>
      </w:r>
      <w:r>
        <w:rPr>
          <w:rFonts w:hint="eastAsia" w:ascii="Times New Roman" w:hAnsi="Times New Roman" w:eastAsia="宋体" w:cs="Times New Roman"/>
          <w:color w:val="auto"/>
          <w:w w:val="99"/>
          <w:sz w:val="24"/>
          <w:szCs w:val="24"/>
          <w:highlight w:val="none"/>
          <w:lang w:val="en-US" w:eastAsia="zh-CN" w:bidi="ar-SA"/>
        </w:rPr>
        <w:t>市国土空间总体规划（2021-2035年）》</w:t>
      </w:r>
      <w:r>
        <w:rPr>
          <w:rFonts w:ascii="Times New Roman" w:hAnsi="Times New Roman" w:cs="Times New Roman"/>
          <w:bCs/>
          <w:color w:val="auto"/>
          <w:w w:val="99"/>
          <w:highlight w:val="none"/>
        </w:rPr>
        <w:t>要求。</w:t>
      </w:r>
    </w:p>
    <w:p w14:paraId="29B136B9">
      <w:pPr>
        <w:pStyle w:val="103"/>
        <w:spacing w:line="440" w:lineRule="exact"/>
        <w:ind w:firstLine="474" w:firstLineChars="200"/>
        <w:jc w:val="both"/>
        <w:rPr>
          <w:rFonts w:ascii="Times New Roman" w:hAnsi="Times New Roman" w:cs="Times New Roman" w:eastAsiaTheme="minorEastAsia"/>
          <w:bCs/>
          <w:iCs/>
          <w:color w:val="auto"/>
          <w:w w:val="99"/>
          <w:highlight w:val="none"/>
        </w:rPr>
      </w:pPr>
      <w:r>
        <w:rPr>
          <w:rFonts w:ascii="Times New Roman" w:hAnsi="Times New Roman" w:cs="Times New Roman" w:eastAsiaTheme="minorEastAsia"/>
          <w:bCs/>
          <w:color w:val="auto"/>
          <w:w w:val="99"/>
          <w:highlight w:val="none"/>
        </w:rPr>
        <w:t>根据《黑龙江省生态环境分区管控动态更新成果（2023年版）》及</w:t>
      </w:r>
      <w:r>
        <w:rPr>
          <w:rFonts w:hint="eastAsia" w:ascii="Times New Roman" w:hAnsi="Times New Roman" w:eastAsia="宋体" w:cs="Times New Roman"/>
          <w:color w:val="auto"/>
          <w:w w:val="99"/>
          <w:sz w:val="24"/>
          <w:szCs w:val="24"/>
          <w:highlight w:val="none"/>
          <w:lang w:val="en-US" w:eastAsia="zh-CN" w:bidi="ar-SA"/>
        </w:rPr>
        <w:t>《</w:t>
      </w:r>
      <w:r>
        <w:rPr>
          <w:rFonts w:hint="eastAsia" w:ascii="Times New Roman" w:hAnsi="Times New Roman" w:cs="Times New Roman"/>
          <w:color w:val="auto"/>
          <w:w w:val="99"/>
          <w:sz w:val="24"/>
          <w:szCs w:val="24"/>
          <w:highlight w:val="none"/>
          <w:lang w:val="en-US" w:eastAsia="zh-CN" w:bidi="ar-SA"/>
        </w:rPr>
        <w:t>绥化</w:t>
      </w:r>
      <w:r>
        <w:rPr>
          <w:rFonts w:hint="eastAsia" w:ascii="Times New Roman" w:hAnsi="Times New Roman" w:eastAsia="宋体" w:cs="Times New Roman"/>
          <w:color w:val="auto"/>
          <w:w w:val="99"/>
          <w:sz w:val="24"/>
          <w:szCs w:val="24"/>
          <w:highlight w:val="none"/>
          <w:lang w:val="en-US" w:eastAsia="zh-CN" w:bidi="ar-SA"/>
        </w:rPr>
        <w:t>市国土空间总体规划（2021-2035年）》</w:t>
      </w:r>
      <w:r>
        <w:rPr>
          <w:rFonts w:ascii="Times New Roman" w:hAnsi="Times New Roman" w:cs="Times New Roman" w:eastAsiaTheme="minorEastAsia"/>
          <w:bCs/>
          <w:color w:val="auto"/>
          <w:w w:val="99"/>
          <w:highlight w:val="none"/>
        </w:rPr>
        <w:t>中划分的环境管控单元内容，本项目</w:t>
      </w:r>
      <w:r>
        <w:rPr>
          <w:rFonts w:hint="eastAsia" w:ascii="Times New Roman" w:hAnsi="Times New Roman" w:cs="Times New Roman" w:eastAsiaTheme="minorEastAsia"/>
          <w:bCs/>
          <w:color w:val="auto"/>
          <w:w w:val="99"/>
          <w:highlight w:val="none"/>
          <w:lang w:val="en-US" w:eastAsia="zh-CN"/>
        </w:rPr>
        <w:t>占用重点管控</w:t>
      </w:r>
      <w:r>
        <w:rPr>
          <w:rFonts w:ascii="Times New Roman" w:hAnsi="Times New Roman" w:cs="Times New Roman" w:eastAsiaTheme="minorEastAsia"/>
          <w:bCs/>
          <w:color w:val="auto"/>
          <w:w w:val="99"/>
          <w:highlight w:val="none"/>
        </w:rPr>
        <w:t>单元</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bCs/>
          <w:iCs/>
          <w:color w:val="auto"/>
          <w:w w:val="99"/>
          <w:highlight w:val="none"/>
        </w:rPr>
        <w:t>本项目不在生态保护红线内，本项目属于国家能源设施重点建设项目，不属于大规模、高强度工业建设，开工建设前依据《中华人民共和国土地管理法》（主席令〔2019〕第32号〔2019年修正本〕）、《基本农田保护条例》（国务院令第257号）等法律法规，到相关部门办理用地审批手续。同时本项目产生的污染物均可得到有效治理，可控制污染物排放；在环境风险防控方面采取加强施工管理、制定岗位操作规程并定期培训学习、实行岗位责任制，及施工单位制定可行的突发环境事件环境应急预案等措施。在施工过程中针对永久占地及临时占地，应剥离占地内的表土，施工结束后针对永久占地将剥离的表土按照“占一补一，质量相等”的要求进行易地补充耕地，针对临时占地在将剥离的表土在施工结束后分层回填，对占用农田全部恢复为等质等量面积的耕地</w:t>
      </w:r>
      <w:r>
        <w:rPr>
          <w:rFonts w:hint="eastAsia" w:ascii="Times New Roman" w:hAnsi="Times New Roman" w:cs="Times New Roman" w:eastAsiaTheme="minorEastAsia"/>
          <w:bCs/>
          <w:iCs/>
          <w:color w:val="auto"/>
          <w:w w:val="99"/>
          <w:highlight w:val="none"/>
        </w:rPr>
        <w:t>，</w:t>
      </w:r>
      <w:r>
        <w:rPr>
          <w:rFonts w:ascii="Times New Roman" w:hAnsi="Times New Roman" w:cs="Times New Roman" w:eastAsiaTheme="minorEastAsia"/>
          <w:bCs/>
          <w:iCs/>
          <w:color w:val="auto"/>
          <w:w w:val="99"/>
          <w:highlight w:val="none"/>
        </w:rPr>
        <w:t>本项目的建设不会对区域生态功能产生明显影响，对区域</w:t>
      </w:r>
      <w:r>
        <w:rPr>
          <w:rFonts w:hint="eastAsia" w:ascii="Times New Roman" w:hAnsi="Times New Roman" w:cs="Times New Roman" w:eastAsiaTheme="minorEastAsia"/>
          <w:bCs/>
          <w:iCs/>
          <w:color w:val="auto"/>
          <w:w w:val="99"/>
          <w:highlight w:val="none"/>
          <w:lang w:val="en-US" w:eastAsia="zh-CN"/>
        </w:rPr>
        <w:t>一般管控</w:t>
      </w:r>
      <w:r>
        <w:rPr>
          <w:rFonts w:hint="eastAsia" w:ascii="Times New Roman" w:hAnsi="Times New Roman" w:cs="Times New Roman" w:eastAsiaTheme="minorEastAsia"/>
          <w:bCs/>
          <w:iCs/>
          <w:color w:val="auto"/>
          <w:w w:val="99"/>
          <w:highlight w:val="none"/>
        </w:rPr>
        <w:t>单元的影响不大，选址可行。</w:t>
      </w:r>
    </w:p>
    <w:p w14:paraId="016D6E2F">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position w:val="0"/>
          <w:sz w:val="24"/>
          <w:szCs w:val="24"/>
          <w:highlight w:val="none"/>
          <w:lang w:val="en-US" w:eastAsia="zh-CN" w:bidi="ar-SA"/>
        </w:rPr>
        <w:t>在选址和布局上根据“地下决定地上，地下顾及地上”的原则，本项目新增总占地面积为</w:t>
      </w:r>
      <w:r>
        <w:rPr>
          <w:rFonts w:hint="eastAsia" w:ascii="Times New Roman" w:hAnsi="Times New Roman" w:cs="Times New Roman"/>
          <w:color w:val="auto"/>
          <w:spacing w:val="0"/>
          <w:w w:val="99"/>
          <w:position w:val="0"/>
          <w:sz w:val="24"/>
          <w:szCs w:val="24"/>
          <w:highlight w:val="none"/>
          <w:lang w:val="en-US" w:eastAsia="zh-CN" w:bidi="ar-SA"/>
        </w:rPr>
        <w:t>2.013</w:t>
      </w:r>
      <w:r>
        <w:rPr>
          <w:rFonts w:hint="default" w:ascii="Times New Roman" w:hAnsi="Times New Roman" w:eastAsia="宋体" w:cs="Times New Roman"/>
          <w:color w:val="auto"/>
          <w:spacing w:val="0"/>
          <w:w w:val="99"/>
          <w:position w:val="0"/>
          <w:sz w:val="24"/>
          <w:szCs w:val="24"/>
          <w:highlight w:val="none"/>
          <w:lang w:val="en-US" w:eastAsia="zh-CN" w:bidi="ar-SA"/>
        </w:rPr>
        <w:t>hm</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2</w:t>
      </w:r>
      <w:r>
        <w:rPr>
          <w:rFonts w:hint="default" w:ascii="Times New Roman" w:hAnsi="Times New Roman" w:eastAsia="宋体" w:cs="Times New Roman"/>
          <w:color w:val="auto"/>
          <w:spacing w:val="0"/>
          <w:w w:val="99"/>
          <w:position w:val="0"/>
          <w:sz w:val="24"/>
          <w:szCs w:val="24"/>
          <w:highlight w:val="none"/>
          <w:lang w:val="en-US" w:eastAsia="zh-CN" w:bidi="ar-SA"/>
        </w:rPr>
        <w:t>，其中永久占地</w:t>
      </w:r>
      <w:r>
        <w:rPr>
          <w:rFonts w:hint="eastAsia" w:ascii="Times New Roman" w:hAnsi="Times New Roman" w:cs="Times New Roman"/>
          <w:color w:val="auto"/>
          <w:spacing w:val="0"/>
          <w:w w:val="99"/>
          <w:position w:val="0"/>
          <w:sz w:val="24"/>
          <w:szCs w:val="24"/>
          <w:highlight w:val="none"/>
          <w:lang w:val="en-US" w:eastAsia="zh-CN" w:bidi="ar-SA"/>
        </w:rPr>
        <w:t>0.0901</w:t>
      </w:r>
      <w:r>
        <w:rPr>
          <w:rFonts w:hint="default" w:ascii="Times New Roman" w:hAnsi="Times New Roman" w:eastAsia="宋体" w:cs="Times New Roman"/>
          <w:color w:val="auto"/>
          <w:spacing w:val="0"/>
          <w:w w:val="99"/>
          <w:position w:val="0"/>
          <w:sz w:val="24"/>
          <w:szCs w:val="24"/>
          <w:highlight w:val="none"/>
          <w:lang w:val="en-US" w:eastAsia="zh-CN" w:bidi="ar-SA"/>
        </w:rPr>
        <w:t>hm</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2</w:t>
      </w:r>
      <w:r>
        <w:rPr>
          <w:rFonts w:hint="default" w:ascii="Times New Roman" w:hAnsi="Times New Roman" w:eastAsia="宋体" w:cs="Times New Roman"/>
          <w:color w:val="auto"/>
          <w:spacing w:val="0"/>
          <w:w w:val="99"/>
          <w:position w:val="0"/>
          <w:sz w:val="24"/>
          <w:szCs w:val="24"/>
          <w:highlight w:val="none"/>
          <w:lang w:val="en-US" w:eastAsia="zh-CN" w:bidi="ar-SA"/>
        </w:rPr>
        <w:t>，临时占地</w:t>
      </w:r>
      <w:r>
        <w:rPr>
          <w:rFonts w:hint="eastAsia" w:ascii="Times New Roman" w:hAnsi="Times New Roman" w:cs="Times New Roman"/>
          <w:color w:val="auto"/>
          <w:spacing w:val="0"/>
          <w:w w:val="99"/>
          <w:position w:val="0"/>
          <w:sz w:val="24"/>
          <w:szCs w:val="24"/>
          <w:highlight w:val="none"/>
          <w:lang w:val="en-US" w:eastAsia="zh-CN" w:bidi="ar-SA"/>
        </w:rPr>
        <w:t>1.9229</w:t>
      </w:r>
      <w:r>
        <w:rPr>
          <w:rFonts w:hint="default" w:ascii="Times New Roman" w:hAnsi="Times New Roman" w:eastAsia="宋体" w:cs="Times New Roman"/>
          <w:color w:val="auto"/>
          <w:spacing w:val="0"/>
          <w:w w:val="99"/>
          <w:position w:val="0"/>
          <w:sz w:val="24"/>
          <w:szCs w:val="24"/>
          <w:highlight w:val="none"/>
          <w:lang w:val="en-US" w:eastAsia="zh-CN" w:bidi="ar-SA"/>
        </w:rPr>
        <w:t>hm</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2</w:t>
      </w:r>
      <w:r>
        <w:rPr>
          <w:rFonts w:hint="default" w:ascii="Times New Roman" w:hAnsi="Times New Roman" w:eastAsia="宋体" w:cs="Times New Roman"/>
          <w:color w:val="auto"/>
          <w:spacing w:val="0"/>
          <w:w w:val="99"/>
          <w:position w:val="0"/>
          <w:sz w:val="24"/>
          <w:szCs w:val="24"/>
          <w:highlight w:val="none"/>
          <w:lang w:val="en-US" w:eastAsia="zh-CN" w:bidi="ar-SA"/>
        </w:rPr>
        <w:t>，占地类型为耕地（永久基本农田）。根据《基本农田保护条例》</w:t>
      </w:r>
      <w:bookmarkStart w:id="146" w:name="OLE_LINK4"/>
      <w:bookmarkStart w:id="147" w:name="OLE_LINK5"/>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eastAsia="宋体" w:cs="Times New Roman"/>
          <w:color w:val="auto"/>
          <w:spacing w:val="0"/>
          <w:w w:val="99"/>
          <w:position w:val="0"/>
          <w:sz w:val="24"/>
          <w:szCs w:val="24"/>
          <w:highlight w:val="none"/>
          <w:lang w:val="en-US" w:eastAsia="zh-CN" w:bidi="ar-SA"/>
        </w:rPr>
        <w:t>国务院令第</w:t>
      </w:r>
      <w:r>
        <w:rPr>
          <w:rFonts w:hint="default" w:ascii="Times New Roman" w:hAnsi="Times New Roman" w:eastAsia="宋体" w:cs="Times New Roman"/>
          <w:color w:val="auto"/>
          <w:spacing w:val="0"/>
          <w:w w:val="99"/>
          <w:position w:val="0"/>
          <w:sz w:val="24"/>
          <w:szCs w:val="24"/>
          <w:highlight w:val="none"/>
          <w:lang w:val="en-US" w:eastAsia="zh-CN" w:bidi="ar-SA"/>
        </w:rPr>
        <w:t>257号）</w:t>
      </w:r>
      <w:bookmarkEnd w:id="146"/>
      <w:bookmarkEnd w:id="147"/>
      <w:r>
        <w:rPr>
          <w:rFonts w:hint="default" w:ascii="Times New Roman" w:hAnsi="Times New Roman" w:eastAsia="宋体" w:cs="Times New Roman"/>
          <w:color w:val="auto"/>
          <w:spacing w:val="0"/>
          <w:w w:val="99"/>
          <w:position w:val="0"/>
          <w:sz w:val="24"/>
          <w:szCs w:val="24"/>
          <w:highlight w:val="none"/>
          <w:lang w:val="en-US" w:eastAsia="zh-CN" w:bidi="ar-SA"/>
        </w:rPr>
        <w:t>，国家能源、交通、水利、军事设施等重点建设项目选址确实无法避开永久基本农田保护区，需要占用永久基本农田，涉及农用地转用或者征收土地的，应报请相关主管部门同意，并补充划入数量和质量相当的永久基本农田或按规定缴纳耕地开垦费，专款用于开垦新的耕地。</w:t>
      </w:r>
      <w:r>
        <w:rPr>
          <w:rFonts w:hint="eastAsia" w:ascii="Times New Roman" w:hAnsi="Times New Roman" w:cs="Times New Roman"/>
          <w:color w:val="auto"/>
          <w:spacing w:val="0"/>
          <w:w w:val="99"/>
          <w:position w:val="0"/>
          <w:sz w:val="24"/>
          <w:szCs w:val="24"/>
          <w:highlight w:val="none"/>
          <w:lang w:val="en-US" w:eastAsia="zh-CN" w:bidi="ar-SA"/>
        </w:rPr>
        <w:t>本项目为天然气开采项目，属于能源保障重点工程。</w:t>
      </w:r>
      <w:r>
        <w:rPr>
          <w:rFonts w:hint="default" w:ascii="Times New Roman" w:hAnsi="Times New Roman" w:eastAsia="宋体" w:cs="Times New Roman"/>
          <w:color w:val="auto"/>
          <w:spacing w:val="0"/>
          <w:w w:val="99"/>
          <w:position w:val="0"/>
          <w:sz w:val="24"/>
          <w:szCs w:val="24"/>
          <w:highlight w:val="none"/>
          <w:lang w:val="en-US" w:eastAsia="zh-CN" w:bidi="ar-SA"/>
        </w:rPr>
        <w:t>采气井位由地下天然气藏分布、储层地质条件（埋深、厚度、渗透率）及开采工艺（直井、定向井、水平井）决定，井位需精准对准气藏富集区，无其他可替代的地质有利区域，调整井位将导致资源无法有效开采或开采效率大幅降低</w:t>
      </w:r>
      <w:r>
        <w:rPr>
          <w:rFonts w:hint="eastAsia" w:ascii="Times New Roman" w:hAnsi="Times New Roman" w:cs="Times New Roman"/>
          <w:color w:val="auto"/>
          <w:spacing w:val="0"/>
          <w:w w:val="99"/>
          <w:position w:val="0"/>
          <w:sz w:val="24"/>
          <w:szCs w:val="24"/>
          <w:highlight w:val="none"/>
          <w:lang w:val="en-US" w:eastAsia="zh-CN" w:bidi="ar-SA"/>
        </w:rPr>
        <w:t>；同时</w:t>
      </w:r>
      <w:r>
        <w:rPr>
          <w:rFonts w:hint="default" w:ascii="Times New Roman" w:hAnsi="Times New Roman" w:eastAsia="宋体" w:cs="Times New Roman"/>
          <w:color w:val="auto"/>
          <w:spacing w:val="0"/>
          <w:w w:val="99"/>
          <w:position w:val="0"/>
          <w:sz w:val="24"/>
          <w:szCs w:val="24"/>
          <w:highlight w:val="none"/>
          <w:lang w:val="en-US" w:eastAsia="zh-CN" w:bidi="ar-SA"/>
        </w:rPr>
        <w:t>受现有钻井技术、地面集输系统布局限制，井位需与集输管线、站场形成合理衔接，无法随意偏移，偏移后将引发管线超长铺设、地形穿越难度增加、工程安全风险上升等问题，不具备技术可行性。</w:t>
      </w:r>
      <w:r>
        <w:rPr>
          <w:rFonts w:hint="eastAsia" w:ascii="Times New Roman" w:hAnsi="Times New Roman" w:cs="Times New Roman"/>
          <w:color w:val="auto"/>
          <w:spacing w:val="0"/>
          <w:w w:val="99"/>
          <w:position w:val="0"/>
          <w:sz w:val="24"/>
          <w:szCs w:val="24"/>
          <w:highlight w:val="none"/>
          <w:lang w:val="en-US" w:eastAsia="zh-CN" w:bidi="ar-SA"/>
        </w:rPr>
        <w:t>本项目外扩1.5km范围内均为永久基本农田，故</w:t>
      </w:r>
      <w:r>
        <w:rPr>
          <w:rFonts w:hint="default" w:ascii="Times New Roman" w:hAnsi="Times New Roman" w:eastAsia="宋体" w:cs="Times New Roman"/>
          <w:color w:val="auto"/>
          <w:spacing w:val="0"/>
          <w:w w:val="99"/>
          <w:position w:val="0"/>
          <w:sz w:val="24"/>
          <w:szCs w:val="24"/>
          <w:highlight w:val="none"/>
          <w:lang w:val="en-US" w:eastAsia="zh-CN" w:bidi="ar-SA"/>
        </w:rPr>
        <w:t>本项目井位选址、管线选线确实无法避让永久基本农田</w:t>
      </w:r>
      <w:r>
        <w:rPr>
          <w:rFonts w:hint="eastAsia" w:ascii="Times New Roman" w:hAnsi="Times New Roman"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本项目施工前应剥离永久占地内的表土，剥离面积</w:t>
      </w:r>
      <w:r>
        <w:rPr>
          <w:rFonts w:hint="eastAsia" w:ascii="Times New Roman" w:hAnsi="Times New Roman" w:cs="Times New Roman"/>
          <w:color w:val="auto"/>
          <w:spacing w:val="0"/>
          <w:w w:val="99"/>
          <w:position w:val="0"/>
          <w:sz w:val="24"/>
          <w:szCs w:val="24"/>
          <w:highlight w:val="none"/>
          <w:lang w:val="en-US" w:eastAsia="zh-CN" w:bidi="ar-SA"/>
        </w:rPr>
        <w:t>0.0901</w:t>
      </w:r>
      <w:r>
        <w:rPr>
          <w:rFonts w:hint="default" w:ascii="Times New Roman" w:hAnsi="Times New Roman" w:eastAsia="宋体" w:cs="Times New Roman"/>
          <w:color w:val="auto"/>
          <w:spacing w:val="0"/>
          <w:w w:val="99"/>
          <w:position w:val="0"/>
          <w:sz w:val="24"/>
          <w:szCs w:val="24"/>
          <w:highlight w:val="none"/>
          <w:lang w:val="en-US" w:eastAsia="zh-CN" w:bidi="ar-SA"/>
        </w:rPr>
        <w:t>hm</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2</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eastAsia="宋体" w:cs="Times New Roman"/>
          <w:color w:val="auto"/>
          <w:spacing w:val="0"/>
          <w:w w:val="99"/>
          <w:position w:val="0"/>
          <w:sz w:val="24"/>
          <w:szCs w:val="24"/>
          <w:highlight w:val="none"/>
          <w:lang w:val="en-US" w:eastAsia="zh-CN" w:bidi="ar-SA"/>
        </w:rPr>
        <w:t>耕地剥离厚度</w:t>
      </w:r>
      <w:r>
        <w:rPr>
          <w:rFonts w:hint="default" w:ascii="Times New Roman" w:hAnsi="Times New Roman" w:eastAsia="宋体" w:cs="Times New Roman"/>
          <w:color w:val="auto"/>
          <w:spacing w:val="0"/>
          <w:w w:val="99"/>
          <w:position w:val="0"/>
          <w:sz w:val="24"/>
          <w:szCs w:val="24"/>
          <w:highlight w:val="none"/>
          <w:lang w:val="en-US" w:eastAsia="zh-CN" w:bidi="ar-SA"/>
        </w:rPr>
        <w:t>0.3m，剥离的表土暂存于施工井场的表土剥离临时堆放区，并采取苫布遮盖，表土剥离临时堆放区周围设置排水沟等措施防止水土流失，并定期采取洒水抑尘措施，施工结束后，剥离表土用于周围区域土地复垦、土壤治理等用途。对永久占用</w:t>
      </w:r>
      <w:r>
        <w:rPr>
          <w:rFonts w:hint="eastAsia" w:ascii="Times New Roman" w:hAnsi="Times New Roman" w:cs="Times New Roman"/>
          <w:color w:val="auto"/>
          <w:spacing w:val="0"/>
          <w:w w:val="99"/>
          <w:position w:val="0"/>
          <w:sz w:val="24"/>
          <w:szCs w:val="24"/>
          <w:highlight w:val="none"/>
          <w:lang w:val="en-US" w:eastAsia="zh-CN" w:bidi="ar-SA"/>
        </w:rPr>
        <w:t>0.0901</w:t>
      </w:r>
      <w:r>
        <w:rPr>
          <w:rFonts w:hint="default" w:ascii="Times New Roman" w:hAnsi="Times New Roman" w:eastAsia="宋体" w:cs="Times New Roman"/>
          <w:color w:val="auto"/>
          <w:spacing w:val="0"/>
          <w:w w:val="99"/>
          <w:position w:val="0"/>
          <w:sz w:val="24"/>
          <w:szCs w:val="24"/>
          <w:highlight w:val="none"/>
          <w:lang w:val="en-US" w:eastAsia="zh-CN" w:bidi="ar-SA"/>
        </w:rPr>
        <w:t>hm</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2</w:t>
      </w:r>
      <w:r>
        <w:rPr>
          <w:rFonts w:hint="default" w:ascii="Times New Roman" w:hAnsi="Times New Roman" w:eastAsia="宋体" w:cs="Times New Roman"/>
          <w:color w:val="auto"/>
          <w:spacing w:val="0"/>
          <w:w w:val="99"/>
          <w:position w:val="0"/>
          <w:sz w:val="24"/>
          <w:szCs w:val="24"/>
          <w:highlight w:val="none"/>
          <w:lang w:val="en-US" w:eastAsia="zh-CN" w:bidi="ar-SA"/>
        </w:rPr>
        <w:t>耕地（永久基本农田），按照“占一补一”原则进行占补平衡，由建设单位负责开垦与所占用耕地的数量和质量相当的耕地；如果没有条件开垦时，应当按照黑龙江省的规定缴纳耕地开垦费，专款用于开垦新的耕地。永久占用耕地的耕作层土壤集中堆放在施工井场或场站置土带区域，施工结束后用于周围区域土地复垦、土壤治理等用途。对于</w:t>
      </w:r>
      <w:r>
        <w:rPr>
          <w:rFonts w:hint="eastAsia" w:ascii="Times New Roman" w:hAnsi="Times New Roman" w:cs="Times New Roman"/>
          <w:color w:val="auto"/>
          <w:spacing w:val="0"/>
          <w:w w:val="99"/>
          <w:position w:val="0"/>
          <w:sz w:val="24"/>
          <w:szCs w:val="24"/>
          <w:highlight w:val="none"/>
          <w:lang w:val="en-US" w:eastAsia="zh-CN" w:bidi="ar-SA"/>
        </w:rPr>
        <w:t>1.9229</w:t>
      </w:r>
      <w:r>
        <w:rPr>
          <w:rFonts w:hint="default" w:ascii="Times New Roman" w:hAnsi="Times New Roman" w:eastAsia="宋体" w:cs="Times New Roman"/>
          <w:color w:val="auto"/>
          <w:spacing w:val="0"/>
          <w:w w:val="99"/>
          <w:position w:val="0"/>
          <w:sz w:val="24"/>
          <w:szCs w:val="24"/>
          <w:highlight w:val="none"/>
          <w:lang w:val="en-US" w:eastAsia="zh-CN" w:bidi="ar-SA"/>
        </w:rPr>
        <w:t>hm</w:t>
      </w:r>
      <w:r>
        <w:rPr>
          <w:rFonts w:hint="default" w:ascii="Times New Roman" w:hAnsi="Times New Roman" w:eastAsia="宋体" w:cs="Times New Roman"/>
          <w:color w:val="auto"/>
          <w:spacing w:val="0"/>
          <w:w w:val="99"/>
          <w:position w:val="0"/>
          <w:sz w:val="24"/>
          <w:szCs w:val="24"/>
          <w:highlight w:val="none"/>
          <w:vertAlign w:val="superscript"/>
          <w:lang w:val="en-US" w:eastAsia="zh-CN" w:bidi="ar-SA"/>
        </w:rPr>
        <w:t>2</w:t>
      </w:r>
      <w:r>
        <w:rPr>
          <w:rFonts w:hint="default" w:ascii="Times New Roman" w:hAnsi="Times New Roman" w:eastAsia="宋体" w:cs="Times New Roman"/>
          <w:color w:val="auto"/>
          <w:spacing w:val="0"/>
          <w:w w:val="99"/>
          <w:position w:val="0"/>
          <w:sz w:val="24"/>
          <w:szCs w:val="24"/>
          <w:highlight w:val="none"/>
          <w:lang w:val="en-US" w:eastAsia="zh-CN" w:bidi="ar-SA"/>
        </w:rPr>
        <w:t>临时占地，施工前应剥离占地内的表土，</w:t>
      </w:r>
      <w:r>
        <w:rPr>
          <w:rFonts w:hint="eastAsia" w:ascii="Times New Roman" w:hAnsi="Times New Roman" w:eastAsia="宋体" w:cs="Times New Roman"/>
          <w:color w:val="auto"/>
          <w:spacing w:val="0"/>
          <w:w w:val="99"/>
          <w:position w:val="0"/>
          <w:sz w:val="24"/>
          <w:szCs w:val="24"/>
          <w:highlight w:val="none"/>
          <w:lang w:val="en-US" w:eastAsia="zh-CN" w:bidi="ar-SA"/>
        </w:rPr>
        <w:t>耕地剥离厚度</w:t>
      </w:r>
      <w:r>
        <w:rPr>
          <w:rFonts w:hint="default" w:ascii="Times New Roman" w:hAnsi="Times New Roman" w:eastAsia="宋体" w:cs="Times New Roman"/>
          <w:color w:val="auto"/>
          <w:spacing w:val="0"/>
          <w:w w:val="99"/>
          <w:position w:val="0"/>
          <w:sz w:val="24"/>
          <w:szCs w:val="24"/>
          <w:highlight w:val="none"/>
          <w:lang w:val="en-US" w:eastAsia="zh-CN" w:bidi="ar-SA"/>
        </w:rPr>
        <w:t>0.3m，采用分层开挖，分层堆放，暂存于占地内的表土剥离临时堆放区（井场施工临时占地剥离表土暂存于井场内表土剥离临时堆放区，管线施工临时占地剥离表土暂存于管线一侧的表土剥离临时堆放区），并采取苫布遮盖，表土剥离临时堆放区周围设置排水沟等措施防止水土流失，并定期采取洒水抑尘措施，剥离的表土在施工结束后分层回填，及时恢复地表植被，并采取补播措施，对占用农田全部恢复为等质等量面积的耕地，对占用的草地进行植被恢复，采取以上措施，满足占用耕地及草地的选址要求。</w:t>
      </w:r>
    </w:p>
    <w:p w14:paraId="187816FD">
      <w:pPr>
        <w:pStyle w:val="153"/>
        <w:widowControl w:val="0"/>
        <w:spacing w:line="440" w:lineRule="exact"/>
        <w:ind w:firstLine="473"/>
        <w:jc w:val="both"/>
        <w:rPr>
          <w:rFonts w:ascii="Times New Roman" w:hAnsi="Times New Roman" w:cs="Times New Roman"/>
          <w:bCs/>
          <w:color w:val="auto"/>
          <w:w w:val="99"/>
          <w:highlight w:val="none"/>
        </w:rPr>
      </w:pPr>
      <w:r>
        <w:rPr>
          <w:rFonts w:hint="default" w:ascii="Times New Roman" w:hAnsi="Times New Roman" w:eastAsia="宋体" w:cs="Times New Roman"/>
          <w:color w:val="auto"/>
          <w:spacing w:val="0"/>
          <w:w w:val="99"/>
          <w:position w:val="0"/>
          <w:sz w:val="24"/>
          <w:szCs w:val="24"/>
          <w:highlight w:val="none"/>
          <w:lang w:val="en-US" w:eastAsia="zh-CN" w:bidi="ar-SA"/>
        </w:rPr>
        <w:t>在新建管线选线方面，本项目管线已尽可能沿道路走向设计，已尽量沿最短路线且避开居民区等环境敏感点进行设计，以避免施工活动对土地和地表植被的扰动；管线</w:t>
      </w:r>
      <w:r>
        <w:rPr>
          <w:rFonts w:ascii="Times New Roman" w:hAnsi="Times New Roman" w:cs="Times New Roman"/>
          <w:bCs/>
          <w:color w:val="auto"/>
          <w:w w:val="99"/>
          <w:highlight w:val="none"/>
        </w:rPr>
        <w:t>穿越尽量选择顶管穿越，不对公路进行破坏，同时顶管穿越作业坑占地位于管道施工作业带内，减少了占地，做到了优化施工区域。同时管线选线满足</w:t>
      </w:r>
      <w:r>
        <w:rPr>
          <w:rFonts w:hint="eastAsia" w:ascii="Times New Roman" w:hAnsi="Times New Roman" w:cs="Times New Roman"/>
          <w:bCs/>
          <w:color w:val="auto"/>
          <w:w w:val="99"/>
          <w:highlight w:val="none"/>
        </w:rPr>
        <w:t>相关标准</w:t>
      </w:r>
      <w:r>
        <w:rPr>
          <w:rFonts w:ascii="Times New Roman" w:hAnsi="Times New Roman" w:cs="Times New Roman"/>
          <w:bCs/>
          <w:color w:val="auto"/>
          <w:w w:val="99"/>
          <w:highlight w:val="none"/>
        </w:rPr>
        <w:t>中与居民区、村镇、公共福利设施、工矿企业等防火距离要求。</w:t>
      </w:r>
    </w:p>
    <w:p w14:paraId="5E28B3B9">
      <w:pPr>
        <w:pStyle w:val="103"/>
        <w:spacing w:line="440" w:lineRule="exact"/>
        <w:ind w:firstLine="474" w:firstLineChars="200"/>
        <w:jc w:val="both"/>
        <w:rPr>
          <w:rFonts w:ascii="Times New Roman" w:hAnsi="Times New Roman" w:cs="Times New Roman"/>
          <w:bCs/>
          <w:color w:val="auto"/>
          <w:w w:val="99"/>
          <w:highlight w:val="none"/>
        </w:rPr>
      </w:pPr>
      <w:r>
        <w:rPr>
          <w:rFonts w:hint="eastAsia" w:ascii="Times New Roman" w:hAnsi="Times New Roman" w:cs="Times New Roman"/>
          <w:bCs/>
          <w:color w:val="auto"/>
          <w:w w:val="99"/>
          <w:highlight w:val="none"/>
        </w:rPr>
        <w:t>根据</w:t>
      </w:r>
      <w:r>
        <w:rPr>
          <w:rFonts w:hint="eastAsia" w:ascii="Times New Roman" w:hAnsi="Times New Roman" w:eastAsia="宋体" w:cs="Times New Roman"/>
          <w:color w:val="auto"/>
          <w:w w:val="99"/>
          <w:sz w:val="24"/>
          <w:szCs w:val="24"/>
          <w:highlight w:val="none"/>
          <w:lang w:val="en-US" w:eastAsia="zh-CN" w:bidi="ar-SA"/>
        </w:rPr>
        <w:t>《</w:t>
      </w:r>
      <w:r>
        <w:rPr>
          <w:rFonts w:hint="eastAsia" w:ascii="Times New Roman" w:hAnsi="Times New Roman" w:cs="Times New Roman"/>
          <w:color w:val="auto"/>
          <w:w w:val="99"/>
          <w:sz w:val="24"/>
          <w:szCs w:val="24"/>
          <w:highlight w:val="none"/>
          <w:lang w:val="en-US" w:eastAsia="zh-CN" w:bidi="ar-SA"/>
        </w:rPr>
        <w:t>绥化</w:t>
      </w:r>
      <w:r>
        <w:rPr>
          <w:rFonts w:hint="eastAsia" w:ascii="Times New Roman" w:hAnsi="Times New Roman" w:eastAsia="宋体" w:cs="Times New Roman"/>
          <w:color w:val="auto"/>
          <w:w w:val="99"/>
          <w:sz w:val="24"/>
          <w:szCs w:val="24"/>
          <w:highlight w:val="none"/>
          <w:lang w:val="en-US" w:eastAsia="zh-CN" w:bidi="ar-SA"/>
        </w:rPr>
        <w:t>市水土保持规划（201</w:t>
      </w:r>
      <w:r>
        <w:rPr>
          <w:rFonts w:hint="eastAsia" w:ascii="Times New Roman" w:hAnsi="Times New Roman" w:cs="Times New Roman"/>
          <w:color w:val="auto"/>
          <w:w w:val="99"/>
          <w:sz w:val="24"/>
          <w:szCs w:val="24"/>
          <w:highlight w:val="none"/>
          <w:lang w:val="en-US" w:eastAsia="zh-CN" w:bidi="ar-SA"/>
        </w:rPr>
        <w:t>9</w:t>
      </w:r>
      <w:r>
        <w:rPr>
          <w:rFonts w:hint="eastAsia" w:ascii="Times New Roman" w:hAnsi="Times New Roman" w:eastAsia="宋体" w:cs="Times New Roman"/>
          <w:color w:val="auto"/>
          <w:w w:val="99"/>
          <w:sz w:val="24"/>
          <w:szCs w:val="24"/>
          <w:highlight w:val="none"/>
          <w:lang w:val="en-US" w:eastAsia="zh-CN" w:bidi="ar-SA"/>
        </w:rPr>
        <w:t>-2030年）》</w:t>
      </w:r>
      <w:r>
        <w:rPr>
          <w:rFonts w:ascii="Times New Roman" w:hAnsi="Times New Roman" w:cs="Times New Roman"/>
          <w:bCs/>
          <w:color w:val="auto"/>
          <w:w w:val="99"/>
          <w:highlight w:val="none"/>
        </w:rPr>
        <w:t>，本项目所在</w:t>
      </w:r>
      <w:r>
        <w:rPr>
          <w:rFonts w:hint="eastAsia" w:ascii="Times New Roman" w:hAnsi="Times New Roman" w:cs="Times New Roman"/>
          <w:bCs/>
          <w:color w:val="auto"/>
          <w:w w:val="99"/>
          <w:highlight w:val="none"/>
          <w:lang w:val="en-US" w:eastAsia="zh-CN"/>
        </w:rPr>
        <w:t>区域不</w:t>
      </w:r>
      <w:r>
        <w:rPr>
          <w:rFonts w:ascii="Times New Roman" w:hAnsi="Times New Roman" w:cs="Times New Roman"/>
          <w:bCs/>
          <w:color w:val="auto"/>
          <w:w w:val="99"/>
          <w:highlight w:val="none"/>
        </w:rPr>
        <w:t>属于市级水土流失重点治理区</w:t>
      </w:r>
      <w:r>
        <w:rPr>
          <w:rFonts w:hint="eastAsia" w:ascii="Times New Roman" w:hAnsi="Times New Roman" w:cs="Times New Roman"/>
          <w:bCs/>
          <w:color w:val="auto"/>
          <w:w w:val="99"/>
          <w:highlight w:val="none"/>
          <w:lang w:val="en-US" w:eastAsia="zh-CN"/>
        </w:rPr>
        <w:t>及</w:t>
      </w:r>
      <w:r>
        <w:rPr>
          <w:rFonts w:ascii="Times New Roman" w:hAnsi="Times New Roman" w:cs="Times New Roman"/>
          <w:bCs/>
          <w:color w:val="auto"/>
          <w:w w:val="99"/>
          <w:highlight w:val="none"/>
        </w:rPr>
        <w:t>水土流失重点</w:t>
      </w:r>
      <w:r>
        <w:rPr>
          <w:rFonts w:hint="eastAsia" w:ascii="Times New Roman" w:hAnsi="Times New Roman" w:cs="Times New Roman"/>
          <w:bCs/>
          <w:color w:val="auto"/>
          <w:w w:val="99"/>
          <w:highlight w:val="none"/>
          <w:lang w:val="en-US" w:eastAsia="zh-CN"/>
        </w:rPr>
        <w:t>预防</w:t>
      </w:r>
      <w:r>
        <w:rPr>
          <w:rFonts w:ascii="Times New Roman" w:hAnsi="Times New Roman" w:cs="Times New Roman"/>
          <w:bCs/>
          <w:color w:val="auto"/>
          <w:w w:val="99"/>
          <w:highlight w:val="none"/>
        </w:rPr>
        <w:t>区，属于县级水土流失重点</w:t>
      </w:r>
      <w:r>
        <w:rPr>
          <w:rFonts w:hint="eastAsia" w:ascii="Times New Roman" w:hAnsi="Times New Roman" w:cs="Times New Roman"/>
          <w:bCs/>
          <w:color w:val="auto"/>
          <w:w w:val="99"/>
          <w:highlight w:val="none"/>
          <w:lang w:val="en-US" w:eastAsia="zh-CN"/>
        </w:rPr>
        <w:t>治理</w:t>
      </w:r>
      <w:r>
        <w:rPr>
          <w:rFonts w:ascii="Times New Roman" w:hAnsi="Times New Roman" w:cs="Times New Roman"/>
          <w:bCs/>
          <w:color w:val="auto"/>
          <w:w w:val="99"/>
          <w:highlight w:val="none"/>
        </w:rPr>
        <w:t>区</w:t>
      </w:r>
      <w:r>
        <w:rPr>
          <w:rFonts w:hint="eastAsia" w:ascii="Times New Roman" w:hAnsi="Times New Roman" w:cs="Times New Roman"/>
          <w:bCs/>
          <w:color w:val="auto"/>
          <w:w w:val="99"/>
          <w:highlight w:val="none"/>
          <w:lang w:val="en"/>
        </w:rPr>
        <w:t>。</w:t>
      </w:r>
      <w:r>
        <w:rPr>
          <w:rFonts w:ascii="Times New Roman" w:hAnsi="Times New Roman" w:cs="Times New Roman"/>
          <w:bCs/>
          <w:color w:val="auto"/>
          <w:w w:val="99"/>
          <w:highlight w:val="none"/>
          <w:lang w:val="en"/>
        </w:rPr>
        <w:t>针对可能造成的水土流失本项目采取</w:t>
      </w:r>
      <w:r>
        <w:rPr>
          <w:rFonts w:ascii="Times New Roman" w:hAnsi="Times New Roman" w:cs="Times New Roman"/>
          <w:bCs/>
          <w:color w:val="auto"/>
          <w:w w:val="99"/>
          <w:highlight w:val="none"/>
        </w:rPr>
        <w:t>井场予以平整、压实，以免发生水土流失。施工期尽量利用现有公路和已有便道行车，避免造成新的裸露地表；执行“无捷径”原则，规范车辆行驶路线，不在道路、井场以外的地方行驶和作业，禁止碾压和破坏地表植被。管道工程施工时，要特别注意保护原始地表与天然植被，应划定施工活动范围，严格控制和管理车辆及重型机械的运行范围，所有车辆采用“一”字型作业法，走同一车辙，避免加行开辟新路。管沟挖、填方作业应尽量做到互补平衡，以免造成弃土方堆积和过多借土，增加新的水土流失。管沟回填应按层回填，以利于施工带土壤和植被的尽早恢复。回填后应予以平整、压实，以免发生水土流失。在施工过程中针对临时占地，应剥离占地内的表土，</w:t>
      </w:r>
      <w:r>
        <w:rPr>
          <w:rFonts w:hint="eastAsia" w:ascii="Times New Roman" w:hAnsi="Times New Roman" w:cs="Times New Roman"/>
          <w:bCs/>
          <w:color w:val="auto"/>
          <w:w w:val="99"/>
          <w:highlight w:val="none"/>
        </w:rPr>
        <w:t>耕地剥离厚度</w:t>
      </w:r>
      <w:r>
        <w:rPr>
          <w:rFonts w:ascii="Times New Roman" w:hAnsi="Times New Roman" w:cs="Times New Roman"/>
          <w:bCs/>
          <w:color w:val="auto"/>
          <w:w w:val="99"/>
          <w:highlight w:val="none"/>
        </w:rPr>
        <w:t>0.3m，采用分层开挖，分层堆放，暂存于占地内的表土剥离临时堆放区，并采取苫布遮盖，表土剥离临时堆放区周围设置排水沟等措施防止水土流失，并定期采取洒水抑尘措施，剥离的表土在施工结束后分层回填，并及时恢复地表植被，在采取以上措施后，项目建设满足</w:t>
      </w:r>
      <w:r>
        <w:rPr>
          <w:rFonts w:hint="eastAsia" w:ascii="Times New Roman" w:hAnsi="Times New Roman" w:eastAsia="宋体" w:cs="Times New Roman"/>
          <w:color w:val="auto"/>
          <w:w w:val="99"/>
          <w:sz w:val="24"/>
          <w:szCs w:val="24"/>
          <w:highlight w:val="none"/>
          <w:lang w:val="en-US" w:eastAsia="zh-CN" w:bidi="ar-SA"/>
        </w:rPr>
        <w:t>《</w:t>
      </w:r>
      <w:r>
        <w:rPr>
          <w:rFonts w:hint="eastAsia" w:ascii="Times New Roman" w:hAnsi="Times New Roman" w:cs="Times New Roman"/>
          <w:color w:val="auto"/>
          <w:w w:val="99"/>
          <w:sz w:val="24"/>
          <w:szCs w:val="24"/>
          <w:highlight w:val="none"/>
          <w:lang w:val="en-US" w:eastAsia="zh-CN" w:bidi="ar-SA"/>
        </w:rPr>
        <w:t>绥化</w:t>
      </w:r>
      <w:r>
        <w:rPr>
          <w:rFonts w:hint="eastAsia" w:ascii="Times New Roman" w:hAnsi="Times New Roman" w:eastAsia="宋体" w:cs="Times New Roman"/>
          <w:color w:val="auto"/>
          <w:w w:val="99"/>
          <w:sz w:val="24"/>
          <w:szCs w:val="24"/>
          <w:highlight w:val="none"/>
          <w:lang w:val="en-US" w:eastAsia="zh-CN" w:bidi="ar-SA"/>
        </w:rPr>
        <w:t>市水土保持规划（201</w:t>
      </w:r>
      <w:r>
        <w:rPr>
          <w:rFonts w:hint="eastAsia" w:ascii="Times New Roman" w:hAnsi="Times New Roman" w:cs="Times New Roman"/>
          <w:color w:val="auto"/>
          <w:w w:val="99"/>
          <w:sz w:val="24"/>
          <w:szCs w:val="24"/>
          <w:highlight w:val="none"/>
          <w:lang w:val="en-US" w:eastAsia="zh-CN" w:bidi="ar-SA"/>
        </w:rPr>
        <w:t>9</w:t>
      </w:r>
      <w:r>
        <w:rPr>
          <w:rFonts w:hint="eastAsia" w:ascii="Times New Roman" w:hAnsi="Times New Roman" w:eastAsia="宋体" w:cs="Times New Roman"/>
          <w:color w:val="auto"/>
          <w:w w:val="99"/>
          <w:sz w:val="24"/>
          <w:szCs w:val="24"/>
          <w:highlight w:val="none"/>
          <w:lang w:val="en-US" w:eastAsia="zh-CN" w:bidi="ar-SA"/>
        </w:rPr>
        <w:t>-2030年）》</w:t>
      </w:r>
      <w:r>
        <w:rPr>
          <w:rFonts w:ascii="Times New Roman" w:hAnsi="Times New Roman" w:cs="Times New Roman"/>
          <w:bCs/>
          <w:color w:val="auto"/>
          <w:w w:val="99"/>
          <w:highlight w:val="none"/>
        </w:rPr>
        <w:t>要求。</w:t>
      </w:r>
    </w:p>
    <w:p w14:paraId="5A83B851">
      <w:pPr>
        <w:pStyle w:val="103"/>
        <w:spacing w:line="440" w:lineRule="exact"/>
        <w:ind w:firstLine="474" w:firstLineChars="200"/>
        <w:jc w:val="both"/>
        <w:rPr>
          <w:rFonts w:ascii="Times New Roman" w:hAnsi="Times New Roman" w:cs="Times New Roman"/>
          <w:bCs/>
          <w:color w:val="auto"/>
          <w:w w:val="99"/>
          <w:highlight w:val="none"/>
        </w:rPr>
      </w:pPr>
      <w:r>
        <w:rPr>
          <w:rFonts w:ascii="Times New Roman" w:hAnsi="Times New Roman" w:cs="Times New Roman"/>
          <w:bCs/>
          <w:color w:val="auto"/>
          <w:w w:val="99"/>
          <w:highlight w:val="none"/>
        </w:rPr>
        <w:t>根据黑龙江省防沙治沙工作领导小组《关于印发&lt;关于贯彻落实《沙化土地封禁保护修复制度方案》的实施意见&gt;的通知》（黑防沙发〔</w:t>
      </w:r>
      <w:r>
        <w:rPr>
          <w:rFonts w:hint="eastAsia" w:ascii="Times New Roman" w:hAnsi="Times New Roman" w:cs="Times New Roman"/>
          <w:bCs/>
          <w:color w:val="auto"/>
          <w:w w:val="99"/>
          <w:highlight w:val="none"/>
        </w:rPr>
        <w:t>2</w:t>
      </w:r>
      <w:r>
        <w:rPr>
          <w:rFonts w:ascii="Times New Roman" w:hAnsi="Times New Roman" w:cs="Times New Roman"/>
          <w:bCs/>
          <w:color w:val="auto"/>
          <w:w w:val="99"/>
          <w:highlight w:val="none"/>
        </w:rPr>
        <w:t>020</w:t>
      </w:r>
      <w:r>
        <w:rPr>
          <w:rFonts w:hint="eastAsia" w:ascii="Times New Roman" w:hAnsi="Times New Roman" w:cs="Times New Roman"/>
          <w:bCs/>
          <w:color w:val="auto"/>
          <w:w w:val="99"/>
          <w:highlight w:val="none"/>
        </w:rPr>
        <w:t>〕3号</w:t>
      </w:r>
      <w:r>
        <w:rPr>
          <w:rFonts w:ascii="Times New Roman" w:hAnsi="Times New Roman" w:cs="Times New Roman"/>
          <w:bCs/>
          <w:color w:val="auto"/>
          <w:w w:val="99"/>
          <w:highlight w:val="none"/>
        </w:rPr>
        <w:t>），本项目所在</w:t>
      </w:r>
      <w:r>
        <w:rPr>
          <w:rFonts w:hint="eastAsia" w:ascii="Times New Roman" w:hAnsi="Times New Roman" w:cs="Times New Roman"/>
          <w:bCs/>
          <w:color w:val="auto"/>
          <w:w w:val="99"/>
          <w:highlight w:val="none"/>
          <w:lang w:val="en-US" w:eastAsia="zh-CN"/>
        </w:rPr>
        <w:t>地不</w:t>
      </w:r>
      <w:r>
        <w:rPr>
          <w:rFonts w:ascii="Times New Roman" w:hAnsi="Times New Roman" w:cs="Times New Roman"/>
          <w:bCs/>
          <w:color w:val="auto"/>
          <w:w w:val="99"/>
          <w:highlight w:val="none"/>
        </w:rPr>
        <w:t>属于沙化土地所在县（区）。本项目施工结束后及时有效地对占地区域土地进行平整，并压实，利于植被自然恢复。施工尽量缩小占地面积，划定施工活动范围，严格控制和管理车辆及重型机械的运行范围，所有车辆采用“一”字型作业法，避免并行开辟新路，以减少风蚀沙化活动的范围。做好施工期开挖土方临时堆存的水土保持措施，确保土方水土流失得到有效控制。通过以上措施，可有效防止土地沙化。</w:t>
      </w:r>
    </w:p>
    <w:p w14:paraId="0A42E740">
      <w:pPr>
        <w:pStyle w:val="103"/>
        <w:spacing w:line="440" w:lineRule="exact"/>
        <w:ind w:firstLine="474" w:firstLineChars="200"/>
        <w:jc w:val="both"/>
        <w:rPr>
          <w:rFonts w:ascii="Times New Roman" w:hAnsi="Times New Roman" w:cs="Times New Roman"/>
          <w:bCs/>
          <w:color w:val="auto"/>
          <w:w w:val="99"/>
          <w:highlight w:val="none"/>
        </w:rPr>
      </w:pPr>
      <w:r>
        <w:rPr>
          <w:rFonts w:ascii="Times New Roman" w:hAnsi="Times New Roman" w:cs="Times New Roman"/>
          <w:bCs/>
          <w:color w:val="auto"/>
          <w:w w:val="99"/>
          <w:highlight w:val="none"/>
        </w:rPr>
        <w:t>根据《</w:t>
      </w:r>
      <w:r>
        <w:rPr>
          <w:rFonts w:hint="eastAsia" w:ascii="Times New Roman" w:hAnsi="Times New Roman" w:cs="Times New Roman"/>
          <w:bCs/>
          <w:color w:val="auto"/>
          <w:w w:val="99"/>
          <w:highlight w:val="none"/>
          <w:lang w:val="en-US" w:eastAsia="zh-CN"/>
        </w:rPr>
        <w:t>绥化</w:t>
      </w:r>
      <w:r>
        <w:rPr>
          <w:rFonts w:ascii="Times New Roman" w:hAnsi="Times New Roman" w:cs="Times New Roman"/>
          <w:bCs/>
          <w:color w:val="auto"/>
          <w:w w:val="99"/>
          <w:highlight w:val="none"/>
        </w:rPr>
        <w:t>市生态环境准入清单（2023年版）》，本项目位于</w:t>
      </w:r>
      <w:r>
        <w:rPr>
          <w:rFonts w:hint="eastAsia" w:ascii="Times New Roman" w:hAnsi="Times New Roman" w:cs="Times New Roman"/>
          <w:color w:val="auto"/>
          <w:w w:val="99"/>
          <w:sz w:val="24"/>
          <w:szCs w:val="24"/>
          <w:highlight w:val="none"/>
          <w:lang w:val="en-US" w:eastAsia="zh-CN" w:bidi="ar-SA"/>
        </w:rPr>
        <w:t>重点</w:t>
      </w:r>
      <w:r>
        <w:rPr>
          <w:rFonts w:hint="eastAsia" w:ascii="Times New Roman" w:hAnsi="Times New Roman" w:eastAsia="宋体" w:cs="Times New Roman"/>
          <w:color w:val="auto"/>
          <w:w w:val="99"/>
          <w:sz w:val="24"/>
          <w:szCs w:val="24"/>
          <w:highlight w:val="none"/>
          <w:lang w:val="en-US" w:eastAsia="zh-CN" w:bidi="ar-SA"/>
        </w:rPr>
        <w:t>管控单元</w:t>
      </w:r>
      <w:r>
        <w:rPr>
          <w:rFonts w:ascii="Times New Roman" w:hAnsi="Times New Roman" w:cs="Times New Roman"/>
          <w:bCs/>
          <w:color w:val="auto"/>
          <w:w w:val="99"/>
          <w:highlight w:val="none"/>
        </w:rPr>
        <w:t>，根据黑龙江省生态环境分区管控数据应用平台生成的生态环境分区管控分析报告，本项目位于</w:t>
      </w:r>
      <w:r>
        <w:rPr>
          <w:rFonts w:hint="default" w:ascii="Times New Roman" w:hAnsi="Times New Roman" w:eastAsia="宋体" w:cs="Times New Roman"/>
          <w:color w:val="auto"/>
          <w:spacing w:val="0"/>
          <w:w w:val="99"/>
          <w:position w:val="0"/>
          <w:sz w:val="24"/>
          <w:szCs w:val="24"/>
          <w:highlight w:val="none"/>
          <w:lang w:val="en-US" w:eastAsia="zh-CN" w:bidi="ar-SA"/>
        </w:rPr>
        <w:t>肇东市水环境农业污染重点管控区</w:t>
      </w:r>
      <w:r>
        <w:rPr>
          <w:rFonts w:hint="eastAsia" w:ascii="Times New Roman" w:hAnsi="Times New Roman" w:eastAsia="宋体" w:cs="Times New Roman"/>
          <w:color w:val="auto"/>
          <w:w w:val="99"/>
          <w:highlight w:val="none"/>
          <w:lang w:val="en-US" w:eastAsia="zh-CN"/>
        </w:rPr>
        <w:t>（ZH23128220003）</w:t>
      </w:r>
      <w:r>
        <w:rPr>
          <w:rFonts w:ascii="Times New Roman" w:hAnsi="Times New Roman" w:cs="Times New Roman"/>
          <w:bCs/>
          <w:color w:val="auto"/>
          <w:w w:val="99"/>
          <w:highlight w:val="none"/>
        </w:rPr>
        <w:t>，根据项目与生态环境准入清单管控体系符合性分析，本项目建设符合分区管控要求。</w:t>
      </w:r>
    </w:p>
    <w:p w14:paraId="43AE4456">
      <w:pPr>
        <w:pStyle w:val="103"/>
        <w:spacing w:line="440" w:lineRule="exact"/>
        <w:ind w:firstLine="474" w:firstLineChars="200"/>
        <w:jc w:val="both"/>
        <w:rPr>
          <w:rFonts w:ascii="Times New Roman" w:hAnsi="Times New Roman" w:cs="Times New Roman"/>
          <w:bCs/>
          <w:color w:val="auto"/>
          <w:w w:val="99"/>
          <w:highlight w:val="none"/>
        </w:rPr>
      </w:pPr>
      <w:r>
        <w:rPr>
          <w:rFonts w:ascii="Times New Roman" w:hAnsi="Times New Roman" w:cs="Times New Roman"/>
          <w:bCs/>
          <w:color w:val="auto"/>
          <w:w w:val="99"/>
          <w:highlight w:val="none"/>
        </w:rPr>
        <w:t>本项目井场布置采用占地面积最小、环境影响最小的布局方案，尽量避绕周围环境敏感目标，减少对耕地的占用，并对占地采取生态恢复及补偿措施，把对生态环境的影响降至最小。施工区布置尽量将高噪声机械布置远离环境敏感点一侧，同时，避免在同一地点安排较多的动力机械，避免大量高噪声设备同时施工影响周边环境敏感点。工程建设对周围的主要环境影响为生态环境影响、大气环境影响、地下水环境影响、声环境影响和固体废物对周围的环境影响。通过环境影响预测与环境影响分析，工程建设实施后，通过采取相应的废气、废水、噪声、固体废物等污染控制措施，周围环境质量均满足相关标准要求，工程建设对周围的环境影响均在可接受的范围。</w:t>
      </w:r>
    </w:p>
    <w:p w14:paraId="0F807907">
      <w:pPr>
        <w:pStyle w:val="103"/>
        <w:spacing w:line="440" w:lineRule="exact"/>
        <w:ind w:firstLine="474" w:firstLineChars="200"/>
        <w:jc w:val="both"/>
        <w:rPr>
          <w:rFonts w:ascii="Times New Roman" w:hAnsi="Times New Roman" w:cs="Times New Roman"/>
          <w:bCs/>
          <w:color w:val="auto"/>
          <w:w w:val="99"/>
          <w:highlight w:val="none"/>
        </w:rPr>
      </w:pPr>
      <w:r>
        <w:rPr>
          <w:rFonts w:ascii="Times New Roman" w:hAnsi="Times New Roman" w:cs="Times New Roman"/>
          <w:bCs/>
          <w:color w:val="auto"/>
          <w:w w:val="99"/>
          <w:highlight w:val="none"/>
        </w:rPr>
        <w:t>综合分析，项目周边不涉及制约本项目建设的环境影响因素，工程选址在环境保护方面较合理。</w:t>
      </w:r>
    </w:p>
    <w:bookmarkEnd w:id="123"/>
    <w:bookmarkEnd w:id="124"/>
    <w:bookmarkEnd w:id="125"/>
    <w:bookmarkEnd w:id="126"/>
    <w:bookmarkEnd w:id="127"/>
    <w:p w14:paraId="4EAFB697">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148" w:name="_Toc61597178"/>
      <w:bookmarkStart w:id="149" w:name="_Toc502736437"/>
      <w:bookmarkStart w:id="150" w:name="_Toc8562"/>
      <w:r>
        <w:rPr>
          <w:rFonts w:ascii="Times New Roman" w:hAnsi="Times New Roman" w:eastAsia="宋体"/>
          <w:b/>
          <w:snapToGrid w:val="0"/>
          <w:color w:val="auto"/>
          <w:w w:val="99"/>
          <w:highlight w:val="none"/>
        </w:rPr>
        <w:t>1.5关注的主要环境问题及环境影响</w:t>
      </w:r>
      <w:bookmarkEnd w:id="148"/>
      <w:bookmarkEnd w:id="149"/>
      <w:bookmarkEnd w:id="150"/>
    </w:p>
    <w:p w14:paraId="192F8D87">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（1）施工期</w:t>
      </w:r>
    </w:p>
    <w:p w14:paraId="363E332E">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环境空气影响：主要体现在施工期施工机械及运输车辆尾气、施工扬尘</w:t>
      </w:r>
      <w:r>
        <w:rPr>
          <w:rFonts w:hint="eastAsia" w:ascii="Times New Roman" w:hAnsi="Times New Roman" w:eastAsia="宋体" w:cs="Times New Roman"/>
          <w:color w:val="auto"/>
          <w:w w:val="99"/>
          <w:sz w:val="24"/>
          <w:szCs w:val="24"/>
          <w:highlight w:val="none"/>
          <w:lang w:val="en-US" w:eastAsia="zh-CN" w:bidi="ar-SA"/>
        </w:rPr>
        <w:t>、</w:t>
      </w:r>
      <w:r>
        <w:rPr>
          <w:rFonts w:hint="default" w:ascii="Times New Roman" w:hAnsi="Times New Roman" w:eastAsia="宋体" w:cs="Times New Roman"/>
          <w:color w:val="auto"/>
          <w:spacing w:val="0"/>
          <w:w w:val="99"/>
          <w:sz w:val="24"/>
          <w:szCs w:val="24"/>
          <w:highlight w:val="none"/>
        </w:rPr>
        <w:t>管道焊接烟尘等对大气环境的影响，通过采用环保型机械设备，选用高品质燃油并加强设备保养维护，合理规划运输路线，临时堆存的土方加盖苫布、洒水抑尘等措施，减小对周围环境空气的影响。</w:t>
      </w:r>
    </w:p>
    <w:p w14:paraId="4582E6BC">
      <w:pPr>
        <w:pStyle w:val="153"/>
        <w:widowControl w:val="0"/>
        <w:spacing w:line="440" w:lineRule="exact"/>
        <w:ind w:firstLine="473"/>
        <w:jc w:val="both"/>
        <w:rPr>
          <w:rFonts w:hint="eastAsia"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sz w:val="24"/>
          <w:szCs w:val="24"/>
          <w:highlight w:val="none"/>
        </w:rPr>
        <w:t>水环境影响：主要关注施工生活污水以及管线施工过程产生的试压废水的处置措施及去向。施工期管线试压废水由罐车拉运至升一联气田污水预处理站处理，满足《大庆油田地面工程建设设计规定》（Q/SYDQ0639-2015）限值“含油量≤10mg/L 、悬浮固体含量≤5mg/L 、粒径中值≤2μm”  ，同时满足</w:t>
      </w:r>
      <w:r>
        <w:rPr>
          <w:rFonts w:hint="default" w:ascii="Times New Roman" w:hAnsi="Times New Roman" w:eastAsia="宋体" w:cs="Times New Roman"/>
          <w:color w:val="auto"/>
          <w:spacing w:val="0"/>
          <w:w w:val="99"/>
          <w:sz w:val="24"/>
          <w:szCs w:val="24"/>
          <w:highlight w:val="none"/>
          <w:lang w:val="en-US" w:eastAsia="zh-CN"/>
        </w:rPr>
        <w:t>《碎屑岩油藏注水水质指标技术要求及分析方法》(SY/T5329-2022)中标准限值，回注地下，回注到现役油气藏层位。</w:t>
      </w:r>
      <w:r>
        <w:rPr>
          <w:rFonts w:hint="eastAsia" w:ascii="Times New Roman" w:hAnsi="Times New Roman" w:eastAsia="宋体" w:cs="Times New Roman"/>
          <w:color w:val="auto"/>
          <w:spacing w:val="0"/>
          <w:w w:val="99"/>
          <w:sz w:val="24"/>
          <w:szCs w:val="24"/>
          <w:highlight w:val="none"/>
          <w:lang w:val="en-US" w:eastAsia="zh-CN"/>
        </w:rPr>
        <w:t>生活污水</w:t>
      </w:r>
      <w:r>
        <w:rPr>
          <w:rFonts w:hint="eastAsia" w:ascii="Times New Roman" w:hAnsi="Times New Roman" w:eastAsia="宋体" w:cs="Times New Roman"/>
          <w:color w:val="auto"/>
          <w:spacing w:val="0"/>
          <w:w w:val="99"/>
          <w:position w:val="0"/>
          <w:sz w:val="24"/>
          <w:szCs w:val="24"/>
          <w:highlight w:val="none"/>
          <w:lang w:val="en-US" w:eastAsia="zh-CN" w:bidi="ar-SA"/>
        </w:rPr>
        <w:t>排入附近集气站已建生活污水收集设施，定期由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p>
    <w:p w14:paraId="32B8BF6E">
      <w:pPr>
        <w:pStyle w:val="153"/>
        <w:widowControl w:val="0"/>
        <w:spacing w:line="440" w:lineRule="exact"/>
        <w:ind w:firstLine="473"/>
        <w:jc w:val="both"/>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声环境影响：主要体现在施工机械</w:t>
      </w:r>
      <w:r>
        <w:rPr>
          <w:rFonts w:hint="eastAsia" w:ascii="Times New Roman" w:hAnsi="Times New Roman" w:eastAsia="宋体" w:cs="Times New Roman"/>
          <w:color w:val="auto"/>
          <w:w w:val="99"/>
          <w:sz w:val="24"/>
          <w:szCs w:val="24"/>
          <w:highlight w:val="none"/>
          <w:lang w:val="en-US" w:eastAsia="zh-CN" w:bidi="ar-SA"/>
        </w:rPr>
        <w:t>产生的噪声</w:t>
      </w:r>
      <w:r>
        <w:rPr>
          <w:rFonts w:hint="default" w:ascii="Times New Roman" w:hAnsi="Times New Roman" w:eastAsia="宋体" w:cs="Times New Roman"/>
          <w:color w:val="auto"/>
          <w:spacing w:val="0"/>
          <w:w w:val="99"/>
          <w:sz w:val="24"/>
          <w:szCs w:val="24"/>
          <w:highlight w:val="none"/>
        </w:rPr>
        <w:t>及运输车辆噪声对声环境的影响，通过选用低噪声设备，采取隔声、基础减振等措施减小对周边声环境的影响。</w:t>
      </w:r>
    </w:p>
    <w:p w14:paraId="0E1F964D">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固废影响：施工期固体废物主要为施工废料、生活垃圾等。</w:t>
      </w:r>
    </w:p>
    <w:p w14:paraId="1F1F15DF">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spacing w:val="0"/>
          <w:w w:val="99"/>
          <w:sz w:val="24"/>
          <w:szCs w:val="24"/>
          <w:highlight w:val="none"/>
        </w:rPr>
        <w:t>施工废料拉运至第八采油厂工业固废填埋场处理填埋处理，建筑垃圾拉运至建筑垃圾</w:t>
      </w:r>
      <w:r>
        <w:rPr>
          <w:rFonts w:hint="eastAsia" w:ascii="Times New Roman" w:hAnsi="Times New Roman" w:eastAsia="宋体" w:cs="Times New Roman"/>
          <w:color w:val="auto"/>
          <w:spacing w:val="0"/>
          <w:w w:val="99"/>
          <w:sz w:val="24"/>
          <w:szCs w:val="24"/>
          <w:highlight w:val="none"/>
          <w:lang w:val="en-US" w:eastAsia="zh-CN"/>
        </w:rPr>
        <w:t>调配</w:t>
      </w:r>
      <w:r>
        <w:rPr>
          <w:rFonts w:hint="default" w:ascii="Times New Roman" w:hAnsi="Times New Roman" w:eastAsia="宋体" w:cs="Times New Roman"/>
          <w:color w:val="auto"/>
          <w:spacing w:val="0"/>
          <w:w w:val="99"/>
          <w:sz w:val="24"/>
          <w:szCs w:val="24"/>
          <w:highlight w:val="none"/>
        </w:rPr>
        <w:t>处理</w:t>
      </w:r>
      <w:r>
        <w:rPr>
          <w:rFonts w:hint="eastAsia" w:ascii="Times New Roman" w:hAnsi="Times New Roman" w:cs="Times New Roman"/>
          <w:color w:val="auto"/>
          <w:spacing w:val="0"/>
          <w:w w:val="99"/>
          <w:sz w:val="24"/>
          <w:szCs w:val="24"/>
          <w:highlight w:val="none"/>
          <w:lang w:eastAsia="zh-CN"/>
        </w:rPr>
        <w:t>；</w:t>
      </w:r>
      <w:r>
        <w:rPr>
          <w:rFonts w:hint="default" w:ascii="Times New Roman" w:hAnsi="Times New Roman" w:eastAsia="宋体" w:cs="Times New Roman"/>
          <w:color w:val="auto"/>
          <w:spacing w:val="0"/>
          <w:w w:val="99"/>
          <w:position w:val="0"/>
          <w:sz w:val="24"/>
          <w:szCs w:val="24"/>
          <w:highlight w:val="none"/>
          <w:lang w:val="en-US" w:eastAsia="zh-CN" w:bidi="ar-SA"/>
        </w:rPr>
        <w:t>生活垃圾</w:t>
      </w:r>
      <w:r>
        <w:rPr>
          <w:rFonts w:hint="eastAsia" w:ascii="Times New Roman" w:hAnsi="Times New Roman" w:eastAsia="宋体" w:cs="Times New Roman"/>
          <w:color w:val="auto"/>
          <w:spacing w:val="0"/>
          <w:w w:val="99"/>
          <w:position w:val="0"/>
          <w:sz w:val="24"/>
          <w:szCs w:val="24"/>
          <w:highlight w:val="none"/>
          <w:lang w:val="en-US" w:eastAsia="zh-CN" w:bidi="ar-SA"/>
        </w:rPr>
        <w:t>统一收集后拉运至</w:t>
      </w:r>
      <w:r>
        <w:rPr>
          <w:rFonts w:hint="eastAsia" w:ascii="Times New Roman" w:hAnsi="Times New Roman" w:cs="Times New Roman"/>
          <w:color w:val="auto"/>
          <w:spacing w:val="0"/>
          <w:w w:val="99"/>
          <w:position w:val="0"/>
          <w:sz w:val="24"/>
          <w:szCs w:val="24"/>
          <w:highlight w:val="none"/>
          <w:lang w:val="en-US" w:eastAsia="zh-CN" w:bidi="ar-SA"/>
        </w:rPr>
        <w:t>肇东北控环境再生能源有限公司</w:t>
      </w:r>
      <w:r>
        <w:rPr>
          <w:rFonts w:hint="eastAsia" w:ascii="Times New Roman" w:hAnsi="Times New Roman" w:eastAsia="宋体" w:cs="Times New Roman"/>
          <w:color w:val="auto"/>
          <w:spacing w:val="0"/>
          <w:w w:val="99"/>
          <w:position w:val="0"/>
          <w:sz w:val="24"/>
          <w:szCs w:val="24"/>
          <w:highlight w:val="none"/>
          <w:lang w:val="en-US" w:eastAsia="zh-CN" w:bidi="ar-SA"/>
        </w:rPr>
        <w:t>处理。</w:t>
      </w:r>
    </w:p>
    <w:p w14:paraId="4EBC8FA3">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生态环境影响：主要体现在施工期占地、破坏土壤、损毁植被、破坏生态景观等，通过采取相应的生态保护与恢复措施，对生态环境的影响可得到有效减缓。</w:t>
      </w:r>
    </w:p>
    <w:p w14:paraId="00E80C8C">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土壤影响：主要为施工期废水和固体废物对土壤产生的影响，本项目施工期废水与固体废物全部妥善处置，可有效降低工程对土壤环境的影响。</w:t>
      </w:r>
    </w:p>
    <w:p w14:paraId="6C2F4794">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环境风险：项目施工期涉及的风险物质为天然气（甲烷），主要关注井漏、天然气井喷及遇明火燃烧爆炸产生次生物质对环境的影响，在采取相应风险防控措施后，环境风险可防控。</w:t>
      </w:r>
    </w:p>
    <w:p w14:paraId="381C9AAF">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（2）运行期</w:t>
      </w:r>
    </w:p>
    <w:p w14:paraId="760A127B">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环境空气影响：主要关注运行期天然气开采及集输处理过程无组织挥发的烃类气体、加热炉燃烧烟气排放，以及非正常状况下井场、站场放空燃烧烟气对大气环境的影响，通过采用密闭集输工艺，站和管线均采取密闭性良好的阀门，加强对设备与管道的检查和维护，最大限度减少无组织挥发烃类气体，减少对周围环境空气的影响。</w:t>
      </w:r>
    </w:p>
    <w:p w14:paraId="3CF385A6">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水环境影响：主要关注采出水的处置措施及去向，气田采出水暂存于集气站污水储罐临时储存，再定期通过外输泵升压外输至气田采出水集输管网，并统一外输至升一联气田污水预处理站处理，水质处理达到《大庆油田地面工程建设设计规定》（Q/SY DQ0639-2015）要求（石油类≤10.0mg/L ，悬浮固体≤5.0mg/L）， 同时满足《碎屑岩油藏注水水质指标技术要求及分析方法》 (SY/T5329-2022)中标准限值，回注地下</w:t>
      </w:r>
      <w:r>
        <w:rPr>
          <w:rFonts w:hint="eastAsia" w:ascii="Times New Roman" w:hAnsi="Times New Roman" w:cs="Times New Roman"/>
          <w:color w:val="auto"/>
          <w:spacing w:val="0"/>
          <w:w w:val="99"/>
          <w:sz w:val="24"/>
          <w:szCs w:val="24"/>
          <w:highlight w:val="none"/>
          <w:lang w:val="en-US" w:eastAsia="zh-CN"/>
        </w:rPr>
        <w:t>油层</w:t>
      </w:r>
      <w:r>
        <w:rPr>
          <w:rFonts w:hint="default" w:ascii="Times New Roman" w:hAnsi="Times New Roman" w:eastAsia="宋体" w:cs="Times New Roman"/>
          <w:color w:val="auto"/>
          <w:spacing w:val="0"/>
          <w:w w:val="99"/>
          <w:sz w:val="24"/>
          <w:szCs w:val="24"/>
          <w:highlight w:val="none"/>
        </w:rPr>
        <w:t>。</w:t>
      </w:r>
    </w:p>
    <w:p w14:paraId="608B7B86">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声环境影响：主要关注井场、站场站内设备机泵等设备噪声、以及非正常工况气井、站场放空噪声对周围声环境影响，通过采用基础减振、隔声等措施后，可有效减小对周边声环境的影响。</w:t>
      </w:r>
    </w:p>
    <w:p w14:paraId="487BD17A">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固废影响：主要关注非正常工况时危险废物（</w:t>
      </w:r>
      <w:r>
        <w:rPr>
          <w:rFonts w:hint="eastAsia" w:ascii="Times New Roman" w:hAnsi="Times New Roman" w:cs="Times New Roman"/>
          <w:color w:val="auto"/>
          <w:spacing w:val="0"/>
          <w:w w:val="99"/>
          <w:sz w:val="24"/>
          <w:szCs w:val="24"/>
          <w:highlight w:val="none"/>
          <w:lang w:eastAsia="zh-CN"/>
        </w:rPr>
        <w:t>井口含油砂砾、</w:t>
      </w:r>
      <w:r>
        <w:rPr>
          <w:rFonts w:hint="eastAsia" w:ascii="Times New Roman" w:hAnsi="Times New Roman" w:cs="Times New Roman"/>
          <w:color w:val="auto"/>
          <w:spacing w:val="0"/>
          <w:w w:val="99"/>
          <w:sz w:val="24"/>
          <w:szCs w:val="24"/>
          <w:highlight w:val="none"/>
          <w:lang w:val="en-US" w:eastAsia="zh-CN"/>
        </w:rPr>
        <w:t>废变压器油</w:t>
      </w:r>
      <w:r>
        <w:rPr>
          <w:rFonts w:hint="default" w:ascii="Times New Roman" w:hAnsi="Times New Roman" w:eastAsia="宋体" w:cs="Times New Roman"/>
          <w:color w:val="auto"/>
          <w:spacing w:val="0"/>
          <w:w w:val="99"/>
          <w:sz w:val="24"/>
          <w:szCs w:val="24"/>
          <w:highlight w:val="none"/>
        </w:rPr>
        <w:t>）等固废处置去向。危险废物由检维修队送采气分公司危险废物贮存库内，定期委托有危废处置资质的单位处置。</w:t>
      </w:r>
    </w:p>
    <w:p w14:paraId="7632AD6E">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土壤影响：主要关注运营期废水和固废对土壤的污染，井场及场站内分区进行防渗；气田采出水与固体废物妥善进行处置，降低对土壤产生的影响。</w:t>
      </w:r>
    </w:p>
    <w:p w14:paraId="153E70B1">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环境风险：本项目涉及的风险物质为天然气（ 甲烷），主要关注天然气泄漏、井喷及遇明火燃烧爆炸产生次生物质对环境的影响，在采取相应风险防控措施后，环境风险可防控。</w:t>
      </w:r>
    </w:p>
    <w:p w14:paraId="0C6522B9">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（3）退役期</w:t>
      </w:r>
    </w:p>
    <w:p w14:paraId="63B67D19">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sz w:val="24"/>
          <w:szCs w:val="24"/>
          <w:highlight w:val="none"/>
        </w:rPr>
      </w:pPr>
      <w:r>
        <w:rPr>
          <w:rFonts w:hint="default" w:ascii="Times New Roman" w:hAnsi="Times New Roman" w:eastAsia="宋体" w:cs="Times New Roman"/>
          <w:color w:val="auto"/>
          <w:spacing w:val="0"/>
          <w:w w:val="99"/>
          <w:sz w:val="24"/>
          <w:szCs w:val="24"/>
          <w:highlight w:val="none"/>
        </w:rPr>
        <w:t>环境空气影响：主要为井场及站场地面设施拆除、封井、井场清理等，产生少量施工扬尘和气井在废弃阶段如果井口封闭不严，可能出现微量天然气泄漏。通过洒水抑尘等措施，同时注意规范操作和管理，减少废气的产生。</w:t>
      </w:r>
    </w:p>
    <w:p w14:paraId="5D1C21BA">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eastAsia" w:ascii="Times New Roman" w:hAnsi="Times New Roman" w:eastAsia="宋体" w:cs="Times New Roman"/>
          <w:color w:val="auto"/>
          <w:spacing w:val="0"/>
          <w:w w:val="99"/>
          <w:sz w:val="24"/>
          <w:szCs w:val="24"/>
          <w:highlight w:val="none"/>
          <w:lang w:val="en-US" w:eastAsia="zh-CN"/>
        </w:rPr>
      </w:pPr>
      <w:r>
        <w:rPr>
          <w:rFonts w:hint="default" w:ascii="Times New Roman" w:hAnsi="Times New Roman" w:eastAsia="宋体" w:cs="Times New Roman"/>
          <w:color w:val="auto"/>
          <w:spacing w:val="0"/>
          <w:w w:val="99"/>
          <w:sz w:val="24"/>
          <w:szCs w:val="24"/>
          <w:highlight w:val="none"/>
        </w:rPr>
        <w:t>水环境影响：</w:t>
      </w:r>
      <w:r>
        <w:rPr>
          <w:rFonts w:hint="eastAsia" w:ascii="Times New Roman" w:hAnsi="Times New Roman" w:eastAsia="宋体" w:cs="Times New Roman"/>
          <w:color w:val="auto"/>
          <w:spacing w:val="0"/>
          <w:w w:val="99"/>
          <w:sz w:val="24"/>
          <w:szCs w:val="24"/>
          <w:highlight w:val="none"/>
          <w:lang w:val="en-US" w:eastAsia="zh-CN"/>
        </w:rPr>
        <w:t>主要为退役气井拆除设备清洗废水。洗废水由罐车拉运至升一联气田污水预处理站集中处理，达标后回注地下开采油层，不外排。</w:t>
      </w:r>
    </w:p>
    <w:p w14:paraId="36425419">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bCs/>
          <w:color w:val="auto"/>
          <w:w w:val="99"/>
          <w:kern w:val="0"/>
          <w:sz w:val="24"/>
          <w:szCs w:val="24"/>
          <w:highlight w:val="none"/>
          <w:lang w:val="en-US" w:eastAsia="zh-CN" w:bidi="ar-SA"/>
        </w:rPr>
      </w:pPr>
      <w:r>
        <w:rPr>
          <w:rFonts w:hint="default" w:ascii="Times New Roman" w:hAnsi="Times New Roman" w:eastAsia="宋体" w:cs="Times New Roman"/>
          <w:color w:val="auto"/>
          <w:spacing w:val="0"/>
          <w:w w:val="99"/>
          <w:sz w:val="24"/>
          <w:szCs w:val="24"/>
          <w:highlight w:val="none"/>
        </w:rPr>
        <w:t>固废影响：退役期在井场及站场清理过程主要会产生少量建筑垃圾，废弃建筑垃圾拉运至建筑垃圾</w:t>
      </w:r>
      <w:r>
        <w:rPr>
          <w:rFonts w:hint="eastAsia" w:ascii="Times New Roman" w:hAnsi="Times New Roman" w:eastAsia="宋体" w:cs="Times New Roman"/>
          <w:color w:val="auto"/>
          <w:spacing w:val="0"/>
          <w:w w:val="99"/>
          <w:sz w:val="24"/>
          <w:szCs w:val="24"/>
          <w:highlight w:val="none"/>
          <w:lang w:val="en-US" w:eastAsia="zh-CN"/>
        </w:rPr>
        <w:t>调配</w:t>
      </w:r>
      <w:r>
        <w:rPr>
          <w:rFonts w:hint="default" w:ascii="Times New Roman" w:hAnsi="Times New Roman" w:eastAsia="宋体" w:cs="Times New Roman"/>
          <w:color w:val="auto"/>
          <w:spacing w:val="0"/>
          <w:w w:val="99"/>
          <w:sz w:val="24"/>
          <w:szCs w:val="24"/>
          <w:highlight w:val="none"/>
        </w:rPr>
        <w:t>场处理</w:t>
      </w:r>
      <w:r>
        <w:rPr>
          <w:rFonts w:hint="eastAsia" w:ascii="Times New Roman" w:hAnsi="Times New Roman" w:cs="Times New Roman"/>
          <w:color w:val="auto"/>
          <w:spacing w:val="0"/>
          <w:w w:val="99"/>
          <w:sz w:val="24"/>
          <w:szCs w:val="24"/>
          <w:highlight w:val="none"/>
          <w:lang w:eastAsia="zh-CN"/>
        </w:rPr>
        <w:t>；</w:t>
      </w:r>
      <w:r>
        <w:rPr>
          <w:rFonts w:hint="default" w:ascii="Times New Roman" w:hAnsi="Times New Roman" w:eastAsia="宋体" w:cs="Times New Roman"/>
          <w:bCs/>
          <w:color w:val="auto"/>
          <w:w w:val="99"/>
          <w:kern w:val="0"/>
          <w:sz w:val="24"/>
          <w:szCs w:val="24"/>
          <w:highlight w:val="none"/>
          <w:lang w:val="en-US" w:eastAsia="zh-CN" w:bidi="ar-SA"/>
        </w:rPr>
        <w:t>拆除废旧设备回收至</w:t>
      </w:r>
      <w:r>
        <w:rPr>
          <w:rFonts w:hint="eastAsia" w:ascii="Times New Roman" w:hAnsi="Times New Roman" w:eastAsia="宋体" w:cs="Times New Roman"/>
          <w:bCs/>
          <w:color w:val="auto"/>
          <w:w w:val="99"/>
          <w:kern w:val="0"/>
          <w:sz w:val="24"/>
          <w:szCs w:val="24"/>
          <w:highlight w:val="none"/>
          <w:lang w:val="en-US" w:eastAsia="zh-CN" w:bidi="ar-SA"/>
        </w:rPr>
        <w:t>大庆油田有限责任公司采气分公司</w:t>
      </w:r>
      <w:r>
        <w:rPr>
          <w:rFonts w:hint="default" w:ascii="Times New Roman" w:hAnsi="Times New Roman" w:eastAsia="宋体" w:cs="Times New Roman"/>
          <w:bCs/>
          <w:color w:val="auto"/>
          <w:w w:val="99"/>
          <w:kern w:val="0"/>
          <w:sz w:val="24"/>
          <w:szCs w:val="24"/>
          <w:highlight w:val="none"/>
          <w:lang w:val="en-US" w:eastAsia="zh-CN" w:bidi="ar-SA"/>
        </w:rPr>
        <w:t>资产回收库</w:t>
      </w:r>
      <w:r>
        <w:rPr>
          <w:rFonts w:hint="eastAsia" w:ascii="Times New Roman" w:hAnsi="Times New Roman" w:eastAsia="宋体" w:cs="Times New Roman"/>
          <w:bCs/>
          <w:color w:val="auto"/>
          <w:w w:val="99"/>
          <w:kern w:val="0"/>
          <w:sz w:val="24"/>
          <w:szCs w:val="24"/>
          <w:highlight w:val="none"/>
          <w:lang w:val="en-US" w:eastAsia="zh-CN" w:bidi="ar-SA"/>
        </w:rPr>
        <w:t>；</w:t>
      </w:r>
      <w:r>
        <w:rPr>
          <w:rFonts w:hint="default" w:ascii="Times New Roman" w:hAnsi="Times New Roman" w:eastAsia="宋体" w:cs="Times New Roman"/>
          <w:bCs/>
          <w:color w:val="auto"/>
          <w:w w:val="99"/>
          <w:kern w:val="0"/>
          <w:sz w:val="24"/>
          <w:szCs w:val="24"/>
          <w:highlight w:val="none"/>
          <w:lang w:val="en-US" w:eastAsia="zh-CN" w:bidi="ar-SA"/>
        </w:rPr>
        <w:t>封井垃圾为一般工业固体废物，拉运至第</w:t>
      </w:r>
      <w:r>
        <w:rPr>
          <w:rFonts w:hint="eastAsia" w:ascii="Times New Roman" w:hAnsi="Times New Roman" w:eastAsia="宋体" w:cs="Times New Roman"/>
          <w:bCs/>
          <w:color w:val="auto"/>
          <w:w w:val="99"/>
          <w:kern w:val="0"/>
          <w:sz w:val="24"/>
          <w:szCs w:val="24"/>
          <w:highlight w:val="none"/>
          <w:lang w:val="en-US" w:eastAsia="zh-CN" w:bidi="ar-SA"/>
        </w:rPr>
        <w:t>八</w:t>
      </w:r>
      <w:r>
        <w:rPr>
          <w:rFonts w:hint="default" w:ascii="Times New Roman" w:hAnsi="Times New Roman" w:eastAsia="宋体" w:cs="Times New Roman"/>
          <w:bCs/>
          <w:color w:val="auto"/>
          <w:w w:val="99"/>
          <w:kern w:val="0"/>
          <w:sz w:val="24"/>
          <w:szCs w:val="24"/>
          <w:highlight w:val="none"/>
          <w:lang w:val="en-US" w:eastAsia="zh-CN" w:bidi="ar-SA"/>
        </w:rPr>
        <w:t>采油厂工业固废填埋场处理</w:t>
      </w:r>
      <w:r>
        <w:rPr>
          <w:rFonts w:hint="eastAsia" w:ascii="Times New Roman" w:hAnsi="Times New Roman" w:eastAsia="宋体" w:cs="Times New Roman"/>
          <w:bCs/>
          <w:color w:val="auto"/>
          <w:w w:val="99"/>
          <w:kern w:val="0"/>
          <w:sz w:val="24"/>
          <w:szCs w:val="24"/>
          <w:highlight w:val="none"/>
          <w:lang w:val="en-US" w:eastAsia="zh-CN" w:bidi="ar-SA"/>
        </w:rPr>
        <w:t>；</w:t>
      </w:r>
      <w:r>
        <w:rPr>
          <w:rFonts w:hint="default" w:ascii="Times New Roman" w:hAnsi="Times New Roman" w:eastAsia="宋体" w:cs="Times New Roman"/>
          <w:bCs/>
          <w:color w:val="auto"/>
          <w:w w:val="99"/>
          <w:kern w:val="0"/>
          <w:sz w:val="24"/>
          <w:szCs w:val="24"/>
          <w:highlight w:val="none"/>
          <w:lang w:val="en-US" w:eastAsia="zh-CN" w:bidi="ar-SA"/>
        </w:rPr>
        <w:t>生活垃圾统一收集后拉运至</w:t>
      </w:r>
      <w:r>
        <w:rPr>
          <w:rFonts w:hint="eastAsia" w:ascii="Times New Roman" w:hAnsi="Times New Roman" w:cs="Times New Roman"/>
          <w:bCs/>
          <w:color w:val="auto"/>
          <w:w w:val="99"/>
          <w:kern w:val="0"/>
          <w:sz w:val="24"/>
          <w:szCs w:val="24"/>
          <w:highlight w:val="none"/>
          <w:lang w:val="en-US" w:eastAsia="zh-CN" w:bidi="ar-SA"/>
        </w:rPr>
        <w:t>肇东北控环境再生能源有限公司</w:t>
      </w:r>
      <w:r>
        <w:rPr>
          <w:rFonts w:hint="default" w:ascii="Times New Roman" w:hAnsi="Times New Roman" w:eastAsia="宋体" w:cs="Times New Roman"/>
          <w:bCs/>
          <w:color w:val="auto"/>
          <w:w w:val="99"/>
          <w:kern w:val="0"/>
          <w:sz w:val="24"/>
          <w:szCs w:val="24"/>
          <w:highlight w:val="none"/>
          <w:lang w:val="en-US" w:eastAsia="zh-CN" w:bidi="ar-SA"/>
        </w:rPr>
        <w:t>处理。</w:t>
      </w:r>
    </w:p>
    <w:p w14:paraId="64E7186C">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151" w:name="_Toc6598"/>
      <w:bookmarkStart w:id="152" w:name="_Toc502736438"/>
      <w:r>
        <w:rPr>
          <w:rFonts w:ascii="Times New Roman" w:hAnsi="Times New Roman" w:eastAsia="宋体"/>
          <w:b/>
          <w:snapToGrid w:val="0"/>
          <w:color w:val="auto"/>
          <w:w w:val="99"/>
          <w:highlight w:val="none"/>
        </w:rPr>
        <w:t>1.6环境影响评价主要结论</w:t>
      </w:r>
      <w:bookmarkEnd w:id="151"/>
      <w:bookmarkEnd w:id="152"/>
    </w:p>
    <w:p w14:paraId="10A0CA5E">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bookmarkStart w:id="153" w:name="_Toc502736439"/>
      <w:r>
        <w:rPr>
          <w:rFonts w:hint="default" w:ascii="Times New Roman" w:hAnsi="Times New Roman" w:eastAsia="宋体" w:cs="Times New Roman"/>
          <w:color w:val="auto"/>
          <w:spacing w:val="0"/>
          <w:w w:val="99"/>
          <w:position w:val="0"/>
          <w:sz w:val="24"/>
          <w:szCs w:val="24"/>
          <w:highlight w:val="none"/>
          <w:lang w:val="en-US" w:eastAsia="zh-CN" w:bidi="ar-SA"/>
        </w:rPr>
        <w:t>根据《产业结构调整指导目录（2024 年本）》</w:t>
      </w:r>
      <w:r>
        <w:rPr>
          <w:rFonts w:hint="eastAsia" w:ascii="Times New Roman" w:hAnsi="Times New Roman" w:eastAsia="宋体" w:cs="Times New Roman"/>
          <w:color w:val="auto"/>
          <w:spacing w:val="0"/>
          <w:w w:val="99"/>
          <w:position w:val="0"/>
          <w:sz w:val="24"/>
          <w:szCs w:val="24"/>
          <w:highlight w:val="none"/>
          <w:lang w:val="en-US" w:eastAsia="zh-CN" w:bidi="ar-SA"/>
        </w:rPr>
        <w:t>（国家发展和改革委员会令</w:t>
      </w:r>
      <w:r>
        <w:rPr>
          <w:rFonts w:hint="default" w:ascii="Times New Roman" w:hAnsi="Times New Roman" w:eastAsia="宋体" w:cs="Times New Roman"/>
          <w:color w:val="auto"/>
          <w:spacing w:val="0"/>
          <w:w w:val="99"/>
          <w:position w:val="0"/>
          <w:sz w:val="24"/>
          <w:szCs w:val="24"/>
          <w:highlight w:val="none"/>
          <w:lang w:val="en-US" w:eastAsia="zh-CN" w:bidi="ar-SA"/>
        </w:rPr>
        <w:t>[2023]第7号</w:t>
      </w:r>
      <w:r>
        <w:rPr>
          <w:rFonts w:hint="eastAsia" w:ascii="Times New Roman" w:hAnsi="Times New Roman" w:eastAsia="宋体" w:cs="Times New Roman"/>
          <w:color w:val="auto"/>
          <w:spacing w:val="0"/>
          <w:w w:val="99"/>
          <w:position w:val="0"/>
          <w:sz w:val="24"/>
          <w:szCs w:val="24"/>
          <w:highlight w:val="none"/>
          <w:lang w:val="en-US" w:eastAsia="zh-CN" w:bidi="ar-SA"/>
        </w:rPr>
        <w:t>）</w:t>
      </w:r>
      <w:r>
        <w:rPr>
          <w:rFonts w:hint="default" w:ascii="Times New Roman" w:hAnsi="Times New Roman" w:eastAsia="宋体" w:cs="Times New Roman"/>
          <w:color w:val="auto"/>
          <w:spacing w:val="0"/>
          <w:w w:val="99"/>
          <w:position w:val="0"/>
          <w:sz w:val="24"/>
          <w:szCs w:val="24"/>
          <w:highlight w:val="none"/>
          <w:lang w:val="en-US" w:eastAsia="zh-CN" w:bidi="ar-SA"/>
        </w:rPr>
        <w:t>，石油、天然气勘探及开采属于鼓励类项目，本工程符合国家产业政策。本项目符合《黑龙江省生态环境分区管控动态更新成果（2023年版）》及《</w:t>
      </w:r>
      <w:r>
        <w:rPr>
          <w:rFonts w:hint="eastAsia" w:ascii="Times New Roman" w:hAnsi="Times New Roman" w:cs="Times New Roman"/>
          <w:color w:val="auto"/>
          <w:spacing w:val="0"/>
          <w:w w:val="99"/>
          <w:position w:val="0"/>
          <w:sz w:val="24"/>
          <w:szCs w:val="24"/>
          <w:highlight w:val="none"/>
          <w:lang w:val="en-US" w:eastAsia="zh-CN" w:bidi="ar-SA"/>
        </w:rPr>
        <w:t>绥化</w:t>
      </w:r>
      <w:r>
        <w:rPr>
          <w:rFonts w:hint="default" w:ascii="Times New Roman" w:hAnsi="Times New Roman" w:eastAsia="宋体" w:cs="Times New Roman"/>
          <w:color w:val="auto"/>
          <w:spacing w:val="0"/>
          <w:w w:val="99"/>
          <w:position w:val="0"/>
          <w:sz w:val="24"/>
          <w:szCs w:val="24"/>
          <w:highlight w:val="none"/>
          <w:lang w:val="en-US" w:eastAsia="zh-CN" w:bidi="ar-SA"/>
        </w:rPr>
        <w:t>市生态环境准入清单（2023年版）》中要求。按照《环境影响评价公众参与办法》（</w:t>
      </w:r>
      <w:r>
        <w:rPr>
          <w:rFonts w:hint="eastAsia" w:ascii="Times New Roman" w:hAnsi="Times New Roman" w:eastAsia="宋体" w:cs="Times New Roman"/>
          <w:color w:val="auto"/>
          <w:spacing w:val="0"/>
          <w:w w:val="99"/>
          <w:position w:val="0"/>
          <w:sz w:val="24"/>
          <w:szCs w:val="24"/>
          <w:highlight w:val="none"/>
          <w:lang w:val="en-US" w:eastAsia="zh-CN" w:bidi="ar-SA"/>
        </w:rPr>
        <w:t>生态环境部令〔</w:t>
      </w:r>
      <w:r>
        <w:rPr>
          <w:rFonts w:hint="default" w:ascii="Times New Roman" w:hAnsi="Times New Roman" w:eastAsia="宋体" w:cs="Times New Roman"/>
          <w:color w:val="auto"/>
          <w:spacing w:val="0"/>
          <w:w w:val="99"/>
          <w:position w:val="0"/>
          <w:sz w:val="24"/>
          <w:szCs w:val="24"/>
          <w:highlight w:val="none"/>
          <w:lang w:val="en-US" w:eastAsia="zh-CN" w:bidi="ar-SA"/>
        </w:rPr>
        <w:t>2018〕第4号）的要求，本项目环评进行的过程中建设单位开展了公众参与调查，具体见《</w:t>
      </w:r>
      <w:r>
        <w:rPr>
          <w:rFonts w:hint="eastAsia" w:ascii="Times New Roman" w:hAnsi="Times New Roman" w:cs="Times New Roman"/>
          <w:color w:val="auto"/>
          <w:spacing w:val="0"/>
          <w:w w:val="99"/>
          <w:position w:val="0"/>
          <w:sz w:val="24"/>
          <w:szCs w:val="24"/>
          <w:highlight w:val="none"/>
          <w:lang w:val="en-US" w:eastAsia="zh-CN" w:bidi="ar-SA"/>
        </w:rPr>
        <w:t>徐深27-H1井地面工程项目</w:t>
      </w:r>
      <w:r>
        <w:rPr>
          <w:rFonts w:hint="default" w:ascii="Times New Roman" w:hAnsi="Times New Roman" w:eastAsia="宋体" w:cs="Times New Roman"/>
          <w:color w:val="auto"/>
          <w:spacing w:val="0"/>
          <w:w w:val="99"/>
          <w:position w:val="0"/>
          <w:sz w:val="24"/>
          <w:szCs w:val="24"/>
          <w:highlight w:val="none"/>
          <w:lang w:val="en-US" w:eastAsia="zh-CN" w:bidi="ar-SA"/>
        </w:rPr>
        <w:t>环境影响评价公众参与说明》。</w:t>
      </w:r>
    </w:p>
    <w:p w14:paraId="0380378B">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sectPr>
          <w:headerReference r:id="rId5" w:type="default"/>
          <w:footerReference r:id="rId6" w:type="default"/>
          <w:type w:val="nextColumn"/>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宋体" w:cs="Times New Roman"/>
          <w:color w:val="auto"/>
          <w:spacing w:val="0"/>
          <w:w w:val="99"/>
          <w:position w:val="0"/>
          <w:sz w:val="24"/>
          <w:szCs w:val="24"/>
          <w:highlight w:val="none"/>
          <w:lang w:val="en-US" w:eastAsia="zh-CN" w:bidi="ar-SA"/>
        </w:rPr>
        <w:t>本报告书较为详细地论述了建设项目环境概况、主要环境问题、主要环境影响和拟采取的环保措施。主要结论为：</w:t>
      </w:r>
      <w:r>
        <w:rPr>
          <w:rFonts w:hint="eastAsia" w:ascii="Times New Roman" w:hAnsi="Times New Roman" w:cs="Times New Roman"/>
          <w:color w:val="auto"/>
          <w:spacing w:val="0"/>
          <w:w w:val="99"/>
          <w:position w:val="0"/>
          <w:sz w:val="24"/>
          <w:szCs w:val="24"/>
          <w:highlight w:val="none"/>
          <w:lang w:val="en-US" w:eastAsia="zh-CN" w:bidi="ar-SA"/>
        </w:rPr>
        <w:t>徐深27-H1井地面工程项目</w:t>
      </w:r>
      <w:r>
        <w:rPr>
          <w:rFonts w:hint="default" w:ascii="Times New Roman" w:hAnsi="Times New Roman" w:eastAsia="宋体" w:cs="Times New Roman"/>
          <w:color w:val="auto"/>
          <w:spacing w:val="0"/>
          <w:w w:val="99"/>
          <w:position w:val="0"/>
          <w:sz w:val="24"/>
          <w:szCs w:val="24"/>
          <w:highlight w:val="none"/>
          <w:lang w:val="en-US" w:eastAsia="zh-CN" w:bidi="ar-SA"/>
        </w:rPr>
        <w:t>选址于</w:t>
      </w:r>
      <w:r>
        <w:rPr>
          <w:rFonts w:hint="eastAsia" w:ascii="Times New Roman" w:hAnsi="Times New Roman" w:cs="Times New Roman"/>
          <w:color w:val="auto"/>
          <w:spacing w:val="0"/>
          <w:w w:val="99"/>
          <w:position w:val="0"/>
          <w:sz w:val="24"/>
          <w:szCs w:val="24"/>
          <w:highlight w:val="none"/>
          <w:lang w:val="en-US" w:eastAsia="zh-CN" w:bidi="ar-SA"/>
        </w:rPr>
        <w:t>绥化市肇东市跃进乡</w:t>
      </w:r>
      <w:r>
        <w:rPr>
          <w:rFonts w:hint="default" w:ascii="Times New Roman" w:hAnsi="Times New Roman" w:eastAsia="宋体" w:cs="Times New Roman"/>
          <w:color w:val="auto"/>
          <w:spacing w:val="0"/>
          <w:w w:val="99"/>
          <w:position w:val="0"/>
          <w:sz w:val="24"/>
          <w:szCs w:val="24"/>
          <w:highlight w:val="none"/>
          <w:lang w:val="en-US" w:eastAsia="zh-CN" w:bidi="ar-SA"/>
        </w:rPr>
        <w:t>，项目选址合理；项目符合现行产业政策；对产生的污染物采取行之有效的环保措施后，可以做到达标排放，满足总量控制要求，环境风险可防控，对区域环境影响较小；公众参与调查结果表明，公众参与对该项目无反对意见。在确保落实好各项环保措施并保证其正常运行的前提下，从环境保护角度分析，本项目的建设可行。</w:t>
      </w:r>
    </w:p>
    <w:p w14:paraId="68DF763B">
      <w:pPr>
        <w:pStyle w:val="4"/>
        <w:widowControl w:val="0"/>
        <w:spacing w:before="180" w:after="180" w:line="440" w:lineRule="exact"/>
        <w:rPr>
          <w:rFonts w:ascii="Times New Roman" w:hAnsi="Times New Roman" w:eastAsia="宋体"/>
          <w:b/>
          <w:snapToGrid w:val="0"/>
          <w:color w:val="auto"/>
          <w:w w:val="99"/>
          <w:sz w:val="30"/>
          <w:szCs w:val="30"/>
          <w:highlight w:val="none"/>
        </w:rPr>
      </w:pPr>
      <w:bookmarkStart w:id="154" w:name="_Toc29565"/>
      <w:r>
        <w:rPr>
          <w:rFonts w:ascii="Times New Roman" w:hAnsi="Times New Roman" w:eastAsia="宋体"/>
          <w:b/>
          <w:snapToGrid w:val="0"/>
          <w:color w:val="auto"/>
          <w:w w:val="99"/>
          <w:sz w:val="30"/>
          <w:szCs w:val="30"/>
          <w:highlight w:val="none"/>
        </w:rPr>
        <w:t>2总则</w:t>
      </w:r>
      <w:bookmarkEnd w:id="154"/>
    </w:p>
    <w:p w14:paraId="5FC7B21D">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155" w:name="_Toc6128"/>
      <w:r>
        <w:rPr>
          <w:rFonts w:ascii="Times New Roman" w:hAnsi="Times New Roman" w:eastAsia="宋体"/>
          <w:b/>
          <w:snapToGrid w:val="0"/>
          <w:color w:val="auto"/>
          <w:w w:val="99"/>
          <w:highlight w:val="none"/>
        </w:rPr>
        <w:t>2.1评价目的</w:t>
      </w:r>
      <w:bookmarkEnd w:id="155"/>
    </w:p>
    <w:p w14:paraId="0B08E5F8">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根据本工程特性及工程所在地的环境特点，确定建设项目环境影响评价目的：</w:t>
      </w:r>
    </w:p>
    <w:p w14:paraId="6F6B0FFE">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（1）贯彻“预防为主，防治结合，综合利用”环境管理方针，要求在开发建设活动实施之前预计可能产生的环境污染与破坏，再据此采取防治对策，做到防患于未然。</w:t>
      </w:r>
    </w:p>
    <w:p w14:paraId="79516640">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（2）本次环评将在工程分析的基础上，分析论证本项目“三废”排放情况及从环保角度确认工艺过程的先进性，为环境影响预测提供基础数据，并为今后的环境管理工作提供科学依据。</w:t>
      </w:r>
    </w:p>
    <w:p w14:paraId="42CCA381">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（3）通过对建设地点及周围环境的综合现状调查和现场监测，了解和掌握该地区的环境质量现状及污染现状，并确定环境保护目标。</w:t>
      </w:r>
    </w:p>
    <w:p w14:paraId="3FA96840">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（4）采用适当的预测模式，预测和评价工程投产后对该地区的环境影响程度和范围，提出经济上合理，技术上可行的环境保护措施。</w:t>
      </w:r>
    </w:p>
    <w:p w14:paraId="611137AA">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（5）通过对环境、经济的损益分析，论证本工程社会效益、环境效益和经济效益的统一性。</w:t>
      </w:r>
    </w:p>
    <w:p w14:paraId="6C915B7B">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（6）从环境功能规划、环境容量及周围环境敏感保护目标等方面，论证本项目选址的合理性，为项目实现优化选址、合理布局、最佳设计提供科学依据。</w:t>
      </w:r>
    </w:p>
    <w:p w14:paraId="1F6F7F03">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156" w:name="_Toc26816"/>
      <w:r>
        <w:rPr>
          <w:rFonts w:ascii="Times New Roman" w:hAnsi="Times New Roman" w:eastAsia="宋体"/>
          <w:b/>
          <w:snapToGrid w:val="0"/>
          <w:color w:val="auto"/>
          <w:w w:val="99"/>
          <w:highlight w:val="none"/>
        </w:rPr>
        <w:t>2.2评价原则</w:t>
      </w:r>
      <w:bookmarkEnd w:id="156"/>
    </w:p>
    <w:p w14:paraId="13685D5A">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 xml:space="preserve">突出环境影响评价的源头预防作用，坚持保护和改善环境质量。 </w:t>
      </w:r>
    </w:p>
    <w:p w14:paraId="25D1EF35">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（1）依法评价</w:t>
      </w:r>
    </w:p>
    <w:p w14:paraId="01D28FDC">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贯彻执行我国环境保护相关法律法规、标准、政策和规划等，优化项目建设，服务环境管理。</w:t>
      </w:r>
    </w:p>
    <w:p w14:paraId="05E5A8F7">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（2）科学评价</w:t>
      </w:r>
    </w:p>
    <w:p w14:paraId="568FCE7E">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规范环境影响评价方法，科学分析项目建设对环境质量的影响。</w:t>
      </w:r>
    </w:p>
    <w:p w14:paraId="65F1A289">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（3）突出重点</w:t>
      </w:r>
    </w:p>
    <w:p w14:paraId="01F54C79">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根据建设项目的工程内容及其特点，明确与环境要素间的作用效应关系，充分利用符合时效的数据资料及成果，对建设项目主要环境影响予以重点分析和评价。</w:t>
      </w:r>
    </w:p>
    <w:p w14:paraId="3A83643F">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157" w:name="_Toc774"/>
      <w:r>
        <w:rPr>
          <w:rFonts w:ascii="Times New Roman" w:hAnsi="Times New Roman" w:eastAsia="宋体"/>
          <w:b/>
          <w:snapToGrid w:val="0"/>
          <w:color w:val="auto"/>
          <w:w w:val="99"/>
          <w:highlight w:val="none"/>
        </w:rPr>
        <w:t>2.3编制依据</w:t>
      </w:r>
      <w:bookmarkEnd w:id="157"/>
    </w:p>
    <w:p w14:paraId="5DA997C2">
      <w:pPr>
        <w:pStyle w:val="7"/>
        <w:widowControl w:val="0"/>
        <w:spacing w:before="60" w:after="60" w:line="440" w:lineRule="exact"/>
        <w:jc w:val="both"/>
        <w:rPr>
          <w:rFonts w:eastAsia="宋体"/>
          <w:b/>
          <w:color w:val="FF0000"/>
          <w:w w:val="99"/>
          <w:kern w:val="2"/>
          <w:sz w:val="24"/>
          <w:szCs w:val="24"/>
          <w:highlight w:val="none"/>
        </w:rPr>
      </w:pPr>
      <w:bookmarkStart w:id="158" w:name="_Toc57707885"/>
      <w:bookmarkStart w:id="159" w:name="_Toc9305"/>
      <w:bookmarkStart w:id="160" w:name="_Toc17898130"/>
      <w:bookmarkStart w:id="161" w:name="_Toc57203215"/>
      <w:bookmarkStart w:id="162" w:name="_Toc57976640"/>
      <w:bookmarkStart w:id="163" w:name="_Toc76976206"/>
      <w:bookmarkStart w:id="164" w:name="_Toc80971340"/>
      <w:bookmarkStart w:id="165" w:name="_Toc186444239"/>
      <w:bookmarkStart w:id="166" w:name="_Toc77067622"/>
      <w:bookmarkStart w:id="167" w:name="_Toc70050138"/>
      <w:bookmarkStart w:id="168" w:name="_Toc61597184"/>
      <w:bookmarkStart w:id="169" w:name="_Toc78816423"/>
      <w:bookmarkStart w:id="170" w:name="_Toc80588218"/>
      <w:bookmarkStart w:id="171" w:name="_Toc83209435"/>
      <w:bookmarkStart w:id="172" w:name="_Toc67860091"/>
      <w:r>
        <w:rPr>
          <w:rFonts w:eastAsia="宋体"/>
          <w:b/>
          <w:color w:val="FF0000"/>
          <w:w w:val="99"/>
          <w:kern w:val="2"/>
          <w:sz w:val="24"/>
          <w:szCs w:val="24"/>
          <w:highlight w:val="none"/>
        </w:rPr>
        <w:t>2.3.1</w:t>
      </w:r>
      <w:bookmarkEnd w:id="158"/>
      <w:bookmarkEnd w:id="159"/>
      <w:bookmarkEnd w:id="160"/>
      <w:bookmarkEnd w:id="161"/>
      <w:bookmarkEnd w:id="162"/>
      <w:r>
        <w:rPr>
          <w:rFonts w:eastAsia="宋体"/>
          <w:b/>
          <w:color w:val="FF0000"/>
          <w:w w:val="99"/>
          <w:kern w:val="2"/>
          <w:sz w:val="24"/>
          <w:szCs w:val="24"/>
          <w:highlight w:val="none"/>
        </w:rPr>
        <w:t>环境保护相关法律</w:t>
      </w:r>
      <w:bookmarkEnd w:id="163"/>
      <w:bookmarkEnd w:id="164"/>
      <w:bookmarkEnd w:id="165"/>
      <w:bookmarkEnd w:id="166"/>
      <w:bookmarkEnd w:id="167"/>
      <w:bookmarkEnd w:id="168"/>
      <w:bookmarkEnd w:id="169"/>
      <w:bookmarkEnd w:id="170"/>
      <w:bookmarkEnd w:id="171"/>
      <w:bookmarkEnd w:id="172"/>
    </w:p>
    <w:p w14:paraId="4E2FDA46">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（1）《中华人民共和国环境保护法》</w:t>
      </w:r>
      <w:r>
        <w:rPr>
          <w:rFonts w:hint="eastAsia" w:ascii="Times New Roman" w:hAnsi="Times New Roman" w:eastAsia="宋体" w:cs="Times New Roman"/>
          <w:snapToGrid w:val="0"/>
          <w:color w:val="FF0000"/>
          <w:w w:val="99"/>
          <w:highlight w:val="none"/>
        </w:rPr>
        <w:t>（主席令[2014]第9号[2014年修订本]）</w:t>
      </w:r>
      <w:r>
        <w:rPr>
          <w:rFonts w:ascii="Times New Roman" w:hAnsi="Times New Roman" w:eastAsia="宋体" w:cs="Times New Roman"/>
          <w:snapToGrid w:val="0"/>
          <w:color w:val="FF0000"/>
          <w:w w:val="99"/>
          <w:highlight w:val="none"/>
        </w:rPr>
        <w:t>；</w:t>
      </w:r>
    </w:p>
    <w:p w14:paraId="1CD57F61">
      <w:pPr>
        <w:pStyle w:val="153"/>
        <w:widowControl w:val="0"/>
        <w:spacing w:line="440" w:lineRule="exact"/>
        <w:ind w:firstLine="473"/>
        <w:rPr>
          <w:rFonts w:hint="eastAsia" w:ascii="Times New Roman" w:hAnsi="Times New Roman" w:eastAsia="宋体" w:cs="Times New Roman"/>
          <w:snapToGrid w:val="0"/>
          <w:color w:val="FF0000"/>
          <w:w w:val="99"/>
          <w:highlight w:val="none"/>
          <w:lang w:val="en-US" w:eastAsia="zh-CN"/>
        </w:rPr>
      </w:pPr>
      <w:r>
        <w:rPr>
          <w:rFonts w:ascii="Times New Roman" w:hAnsi="Times New Roman" w:eastAsia="宋体" w:cs="Times New Roman"/>
          <w:snapToGrid w:val="0"/>
          <w:color w:val="FF0000"/>
          <w:w w:val="99"/>
          <w:highlight w:val="none"/>
        </w:rPr>
        <w:t>（2）</w:t>
      </w:r>
      <w:r>
        <w:rPr>
          <w:rFonts w:hint="eastAsia" w:ascii="Times New Roman" w:hAnsi="Times New Roman" w:eastAsia="宋体" w:cs="Times New Roman"/>
          <w:snapToGrid w:val="0"/>
          <w:color w:val="FF0000"/>
          <w:w w:val="99"/>
          <w:highlight w:val="none"/>
          <w:lang w:val="en-US" w:eastAsia="zh-CN"/>
        </w:rPr>
        <w:t>《中华人民共和国环境影响评价法》（主席令[2018]第24号[2018年修正本]）；</w:t>
      </w:r>
    </w:p>
    <w:p w14:paraId="45847ECF">
      <w:pPr>
        <w:pStyle w:val="153"/>
        <w:widowControl w:val="0"/>
        <w:spacing w:line="440" w:lineRule="exact"/>
        <w:ind w:firstLine="473"/>
        <w:rPr>
          <w:rFonts w:hint="eastAsia" w:ascii="Times New Roman" w:hAnsi="Times New Roman" w:eastAsia="宋体" w:cs="Times New Roman"/>
          <w:snapToGrid w:val="0"/>
          <w:color w:val="FF0000"/>
          <w:w w:val="99"/>
          <w:highlight w:val="none"/>
          <w:lang w:val="en-US" w:eastAsia="zh-CN"/>
        </w:rPr>
      </w:pPr>
      <w:r>
        <w:rPr>
          <w:rFonts w:hint="eastAsia" w:ascii="Times New Roman" w:hAnsi="Times New Roman" w:eastAsia="宋体" w:cs="Times New Roman"/>
          <w:snapToGrid w:val="0"/>
          <w:color w:val="FF0000"/>
          <w:w w:val="99"/>
          <w:highlight w:val="none"/>
          <w:lang w:val="en-US" w:eastAsia="zh-CN"/>
        </w:rPr>
        <w:t>（3）《中华人民共和国大气污染防治法》（主席令[2018]第16号[2018年修正本]）；</w:t>
      </w:r>
    </w:p>
    <w:p w14:paraId="0701AB7C">
      <w:pPr>
        <w:pStyle w:val="153"/>
        <w:widowControl w:val="0"/>
        <w:spacing w:line="440" w:lineRule="exact"/>
        <w:ind w:firstLine="473"/>
        <w:rPr>
          <w:rFonts w:hint="eastAsia" w:ascii="Times New Roman" w:hAnsi="Times New Roman" w:eastAsia="宋体" w:cs="Times New Roman"/>
          <w:snapToGrid w:val="0"/>
          <w:color w:val="FF0000"/>
          <w:w w:val="99"/>
          <w:highlight w:val="none"/>
          <w:lang w:val="en-US" w:eastAsia="zh-CN"/>
        </w:rPr>
      </w:pPr>
      <w:r>
        <w:rPr>
          <w:rFonts w:hint="eastAsia" w:ascii="Times New Roman" w:hAnsi="Times New Roman" w:eastAsia="宋体" w:cs="Times New Roman"/>
          <w:snapToGrid w:val="0"/>
          <w:color w:val="FF0000"/>
          <w:w w:val="99"/>
          <w:highlight w:val="none"/>
          <w:lang w:val="en-US" w:eastAsia="zh-CN"/>
        </w:rPr>
        <w:t>（4）《中华人民共和国水污染防治法》（主席令[2017]第70号[2017年修正本]）；</w:t>
      </w:r>
    </w:p>
    <w:p w14:paraId="661C772E">
      <w:pPr>
        <w:pStyle w:val="153"/>
        <w:widowControl w:val="0"/>
        <w:spacing w:line="440" w:lineRule="exact"/>
        <w:ind w:firstLine="473"/>
        <w:rPr>
          <w:rFonts w:hint="eastAsia" w:ascii="Times New Roman" w:hAnsi="Times New Roman" w:eastAsia="宋体" w:cs="Times New Roman"/>
          <w:snapToGrid w:val="0"/>
          <w:color w:val="FF0000"/>
          <w:w w:val="99"/>
          <w:highlight w:val="none"/>
          <w:lang w:val="en-US" w:eastAsia="zh-CN"/>
        </w:rPr>
      </w:pPr>
      <w:r>
        <w:rPr>
          <w:rFonts w:hint="eastAsia" w:ascii="Times New Roman" w:hAnsi="Times New Roman" w:eastAsia="宋体" w:cs="Times New Roman"/>
          <w:snapToGrid w:val="0"/>
          <w:color w:val="FF0000"/>
          <w:w w:val="99"/>
          <w:highlight w:val="none"/>
          <w:lang w:val="en-US" w:eastAsia="zh-CN"/>
        </w:rPr>
        <w:t>（5）《中华人民共和国噪声污染防治法》（中华人民共和国主席令第一〇四号）；</w:t>
      </w:r>
    </w:p>
    <w:p w14:paraId="6D151652">
      <w:pPr>
        <w:pStyle w:val="153"/>
        <w:widowControl w:val="0"/>
        <w:spacing w:line="440" w:lineRule="exact"/>
        <w:ind w:firstLine="473"/>
        <w:rPr>
          <w:rFonts w:hint="eastAsia" w:ascii="Times New Roman" w:hAnsi="Times New Roman" w:eastAsia="宋体" w:cs="Times New Roman"/>
          <w:snapToGrid w:val="0"/>
          <w:color w:val="FF0000"/>
          <w:w w:val="99"/>
          <w:highlight w:val="none"/>
          <w:lang w:val="en-US" w:eastAsia="zh-CN"/>
        </w:rPr>
      </w:pPr>
      <w:r>
        <w:rPr>
          <w:rFonts w:hint="eastAsia" w:ascii="Times New Roman" w:hAnsi="Times New Roman" w:eastAsia="宋体" w:cs="Times New Roman"/>
          <w:snapToGrid w:val="0"/>
          <w:color w:val="FF0000"/>
          <w:w w:val="99"/>
          <w:highlight w:val="none"/>
          <w:lang w:val="en-US" w:eastAsia="zh-CN"/>
        </w:rPr>
        <w:t>（6）《中华人民共和国土壤污染防治法》（中华人民共和国主席令[13届]第八号）；</w:t>
      </w:r>
    </w:p>
    <w:p w14:paraId="5D06363B">
      <w:pPr>
        <w:pStyle w:val="153"/>
        <w:widowControl w:val="0"/>
        <w:spacing w:line="440" w:lineRule="exact"/>
        <w:ind w:firstLine="473"/>
        <w:rPr>
          <w:rFonts w:hint="eastAsia" w:ascii="Times New Roman" w:hAnsi="Times New Roman" w:eastAsia="宋体" w:cs="Times New Roman"/>
          <w:snapToGrid w:val="0"/>
          <w:color w:val="FF0000"/>
          <w:w w:val="99"/>
          <w:highlight w:val="none"/>
          <w:lang w:val="en-US" w:eastAsia="zh-CN"/>
        </w:rPr>
      </w:pPr>
      <w:r>
        <w:rPr>
          <w:rFonts w:hint="eastAsia" w:ascii="Times New Roman" w:hAnsi="Times New Roman" w:eastAsia="宋体" w:cs="Times New Roman"/>
          <w:snapToGrid w:val="0"/>
          <w:color w:val="FF0000"/>
          <w:w w:val="99"/>
          <w:highlight w:val="none"/>
          <w:lang w:val="en-US" w:eastAsia="zh-CN"/>
        </w:rPr>
        <w:t>（7）《中华人民共和国固体废物污染环境防治法》（主席令[2020]第43号[2020年修正本]）；</w:t>
      </w:r>
    </w:p>
    <w:p w14:paraId="525B6BBF">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w:t>
      </w:r>
      <w:r>
        <w:rPr>
          <w:rFonts w:ascii="Times New Roman" w:hAnsi="Times New Roman" w:eastAsia="宋体" w:cs="Times New Roman"/>
          <w:snapToGrid w:val="0"/>
          <w:color w:val="FF0000"/>
          <w:w w:val="99"/>
          <w:highlight w:val="none"/>
          <w:lang w:val="en-US"/>
        </w:rPr>
        <w:t>8</w:t>
      </w:r>
      <w:r>
        <w:rPr>
          <w:rFonts w:ascii="Times New Roman" w:hAnsi="Times New Roman" w:eastAsia="宋体" w:cs="Times New Roman"/>
          <w:snapToGrid w:val="0"/>
          <w:color w:val="FF0000"/>
          <w:w w:val="99"/>
          <w:highlight w:val="none"/>
        </w:rPr>
        <w:t>）《中华人民共和国黑土地保护法》（</w:t>
      </w:r>
      <w:r>
        <w:rPr>
          <w:rFonts w:hint="eastAsia" w:ascii="Times New Roman" w:hAnsi="Times New Roman" w:eastAsia="宋体" w:cs="Times New Roman"/>
          <w:snapToGrid w:val="0"/>
          <w:color w:val="FF0000"/>
          <w:w w:val="99"/>
          <w:highlight w:val="none"/>
          <w:lang w:val="en-US"/>
        </w:rPr>
        <w:t>主席令〔</w:t>
      </w:r>
      <w:r>
        <w:rPr>
          <w:rFonts w:ascii="Times New Roman" w:hAnsi="Times New Roman" w:eastAsia="宋体" w:cs="Times New Roman"/>
          <w:snapToGrid w:val="0"/>
          <w:color w:val="FF0000"/>
          <w:w w:val="99"/>
          <w:highlight w:val="none"/>
          <w:lang w:val="en-US"/>
        </w:rPr>
        <w:t>2022〕115号</w:t>
      </w:r>
      <w:r>
        <w:rPr>
          <w:rFonts w:ascii="Times New Roman" w:hAnsi="Times New Roman" w:eastAsia="宋体" w:cs="Times New Roman"/>
          <w:snapToGrid w:val="0"/>
          <w:color w:val="FF0000"/>
          <w:w w:val="99"/>
          <w:highlight w:val="none"/>
        </w:rPr>
        <w:t>）；</w:t>
      </w:r>
    </w:p>
    <w:p w14:paraId="184150F6">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（9）《中华人民共和国水土保持法》（</w:t>
      </w:r>
      <w:r>
        <w:rPr>
          <w:rFonts w:hint="eastAsia" w:ascii="Times New Roman" w:hAnsi="Times New Roman" w:eastAsia="宋体" w:cs="Times New Roman"/>
          <w:snapToGrid w:val="0"/>
          <w:color w:val="FF0000"/>
          <w:w w:val="99"/>
          <w:highlight w:val="none"/>
        </w:rPr>
        <w:t>主席令</w:t>
      </w:r>
      <w:r>
        <w:rPr>
          <w:rFonts w:ascii="Times New Roman" w:hAnsi="Times New Roman" w:eastAsia="宋体" w:cs="Times New Roman"/>
          <w:snapToGrid w:val="0"/>
          <w:color w:val="FF0000"/>
          <w:w w:val="99"/>
          <w:highlight w:val="none"/>
        </w:rPr>
        <w:t>[2010]第39号[2010年修订本]）。</w:t>
      </w:r>
    </w:p>
    <w:p w14:paraId="1CCBA74A">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（10）《中华人民共和国清洁生产促进法》（</w:t>
      </w:r>
      <w:r>
        <w:rPr>
          <w:rFonts w:hint="eastAsia" w:ascii="Times New Roman" w:hAnsi="Times New Roman" w:eastAsia="宋体" w:cs="Times New Roman"/>
          <w:snapToGrid w:val="0"/>
          <w:color w:val="FF0000"/>
          <w:w w:val="99"/>
          <w:highlight w:val="none"/>
        </w:rPr>
        <w:t>主席令</w:t>
      </w:r>
      <w:r>
        <w:rPr>
          <w:rFonts w:ascii="Times New Roman" w:hAnsi="Times New Roman" w:eastAsia="宋体" w:cs="Times New Roman"/>
          <w:snapToGrid w:val="0"/>
          <w:color w:val="FF0000"/>
          <w:w w:val="99"/>
          <w:highlight w:val="none"/>
        </w:rPr>
        <w:t>[2012]第54号[2012年修正本]）；</w:t>
      </w:r>
    </w:p>
    <w:p w14:paraId="4BDD8505">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（11）《中华人民共和国野生动物保护法》（</w:t>
      </w:r>
      <w:r>
        <w:rPr>
          <w:rFonts w:hint="eastAsia" w:ascii="Times New Roman" w:hAnsi="Times New Roman" w:eastAsia="宋体" w:cs="Times New Roman"/>
          <w:snapToGrid w:val="0"/>
          <w:color w:val="FF0000"/>
          <w:w w:val="99"/>
          <w:highlight w:val="none"/>
        </w:rPr>
        <w:t>主席令〔</w:t>
      </w:r>
      <w:r>
        <w:rPr>
          <w:rFonts w:ascii="Times New Roman" w:hAnsi="Times New Roman" w:eastAsia="宋体" w:cs="Times New Roman"/>
          <w:snapToGrid w:val="0"/>
          <w:color w:val="FF0000"/>
          <w:w w:val="99"/>
          <w:highlight w:val="none"/>
        </w:rPr>
        <w:t>2022〕126号）；</w:t>
      </w:r>
    </w:p>
    <w:p w14:paraId="521221DB">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（12）《中华人民共和国防沙治沙法》（</w:t>
      </w:r>
      <w:r>
        <w:rPr>
          <w:rFonts w:hint="eastAsia" w:ascii="Times New Roman" w:hAnsi="Times New Roman" w:eastAsia="宋体" w:cs="Times New Roman"/>
          <w:snapToGrid w:val="0"/>
          <w:color w:val="FF0000"/>
          <w:w w:val="99"/>
          <w:highlight w:val="none"/>
        </w:rPr>
        <w:t>第十三届全国人民代表大会常务委员会第六次会议通过</w:t>
      </w:r>
      <w:r>
        <w:rPr>
          <w:rFonts w:ascii="Times New Roman" w:hAnsi="Times New Roman" w:eastAsia="宋体" w:cs="Times New Roman"/>
          <w:snapToGrid w:val="0"/>
          <w:color w:val="FF0000"/>
          <w:w w:val="99"/>
          <w:highlight w:val="none"/>
        </w:rPr>
        <w:t>2018年10月26日实施）；</w:t>
      </w:r>
    </w:p>
    <w:p w14:paraId="132B439D">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（13）《中华人民共和国石油天然气管道保护法》（</w:t>
      </w:r>
      <w:r>
        <w:rPr>
          <w:rFonts w:hint="eastAsia" w:ascii="Times New Roman" w:hAnsi="Times New Roman" w:eastAsia="宋体" w:cs="Times New Roman"/>
          <w:snapToGrid w:val="0"/>
          <w:color w:val="FF0000"/>
          <w:w w:val="99"/>
          <w:highlight w:val="none"/>
        </w:rPr>
        <w:t>主席令</w:t>
      </w:r>
      <w:r>
        <w:rPr>
          <w:rFonts w:ascii="Times New Roman" w:hAnsi="Times New Roman" w:eastAsia="宋体" w:cs="Times New Roman"/>
          <w:snapToGrid w:val="0"/>
          <w:color w:val="FF0000"/>
          <w:w w:val="99"/>
          <w:highlight w:val="none"/>
        </w:rPr>
        <w:t>[2010]第30号）。</w:t>
      </w:r>
    </w:p>
    <w:p w14:paraId="0D28F6EE">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w:t>
      </w:r>
      <w:r>
        <w:rPr>
          <w:rFonts w:hint="eastAsia" w:ascii="Times New Roman" w:hAnsi="Times New Roman" w:eastAsia="宋体" w:cs="Times New Roman"/>
          <w:snapToGrid w:val="0"/>
          <w:color w:val="FF0000"/>
          <w:w w:val="99"/>
          <w:highlight w:val="none"/>
          <w:lang w:val="en-US" w:eastAsia="zh-CN"/>
        </w:rPr>
        <w:t>4</w:t>
      </w:r>
      <w:r>
        <w:rPr>
          <w:rFonts w:ascii="Times New Roman" w:hAnsi="Times New Roman" w:eastAsia="宋体" w:cs="Times New Roman"/>
          <w:snapToGrid w:val="0"/>
          <w:color w:val="FF0000"/>
          <w:w w:val="99"/>
          <w:highlight w:val="none"/>
        </w:rPr>
        <w:t>）《建设项目环境保护管理条例》（</w:t>
      </w:r>
      <w:r>
        <w:rPr>
          <w:rFonts w:hint="eastAsia" w:ascii="Times New Roman" w:hAnsi="Times New Roman" w:eastAsia="宋体" w:cs="Times New Roman"/>
          <w:snapToGrid w:val="0"/>
          <w:color w:val="FF0000"/>
          <w:w w:val="99"/>
          <w:highlight w:val="none"/>
        </w:rPr>
        <w:t>国务院令第</w:t>
      </w:r>
      <w:r>
        <w:rPr>
          <w:rFonts w:ascii="Times New Roman" w:hAnsi="Times New Roman" w:eastAsia="宋体" w:cs="Times New Roman"/>
          <w:snapToGrid w:val="0"/>
          <w:color w:val="FF0000"/>
          <w:w w:val="99"/>
          <w:highlight w:val="none"/>
        </w:rPr>
        <w:t>682号〔2017年修正本〕）；</w:t>
      </w:r>
    </w:p>
    <w:p w14:paraId="7795CA9F">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w:t>
      </w:r>
      <w:r>
        <w:rPr>
          <w:rFonts w:hint="eastAsia" w:ascii="Times New Roman" w:hAnsi="Times New Roman" w:eastAsia="宋体" w:cs="Times New Roman"/>
          <w:snapToGrid w:val="0"/>
          <w:color w:val="FF0000"/>
          <w:w w:val="99"/>
          <w:highlight w:val="none"/>
          <w:lang w:val="en-US" w:eastAsia="zh-CN"/>
        </w:rPr>
        <w:t>5</w:t>
      </w:r>
      <w:r>
        <w:rPr>
          <w:rFonts w:ascii="Times New Roman" w:hAnsi="Times New Roman" w:eastAsia="宋体" w:cs="Times New Roman"/>
          <w:snapToGrid w:val="0"/>
          <w:color w:val="FF0000"/>
          <w:w w:val="99"/>
          <w:highlight w:val="none"/>
        </w:rPr>
        <w:t>）《排污许可管理条例》（</w:t>
      </w:r>
      <w:r>
        <w:rPr>
          <w:rFonts w:hint="eastAsia" w:ascii="Times New Roman" w:hAnsi="Times New Roman" w:eastAsia="宋体" w:cs="Times New Roman"/>
          <w:snapToGrid w:val="0"/>
          <w:color w:val="FF0000"/>
          <w:w w:val="99"/>
          <w:highlight w:val="none"/>
        </w:rPr>
        <w:t>中华人民共和国国务院令</w:t>
      </w:r>
      <w:r>
        <w:rPr>
          <w:rFonts w:ascii="Times New Roman" w:hAnsi="Times New Roman" w:eastAsia="宋体" w:cs="Times New Roman"/>
          <w:snapToGrid w:val="0"/>
          <w:color w:val="FF0000"/>
          <w:w w:val="99"/>
          <w:highlight w:val="none"/>
        </w:rPr>
        <w:t xml:space="preserve"> 第736号）；</w:t>
      </w:r>
    </w:p>
    <w:p w14:paraId="488B1E83">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w:t>
      </w:r>
      <w:r>
        <w:rPr>
          <w:rFonts w:hint="eastAsia" w:ascii="Times New Roman" w:hAnsi="Times New Roman" w:eastAsia="宋体" w:cs="Times New Roman"/>
          <w:snapToGrid w:val="0"/>
          <w:color w:val="FF0000"/>
          <w:w w:val="99"/>
          <w:highlight w:val="none"/>
          <w:lang w:val="en-US" w:eastAsia="zh-CN"/>
        </w:rPr>
        <w:t>6</w:t>
      </w:r>
      <w:r>
        <w:rPr>
          <w:rFonts w:ascii="Times New Roman" w:hAnsi="Times New Roman" w:eastAsia="宋体" w:cs="Times New Roman"/>
          <w:snapToGrid w:val="0"/>
          <w:color w:val="FF0000"/>
          <w:w w:val="99"/>
          <w:highlight w:val="none"/>
        </w:rPr>
        <w:t>）《中华人民共和国土地管理法》（</w:t>
      </w:r>
      <w:r>
        <w:rPr>
          <w:rFonts w:hint="eastAsia" w:ascii="Times New Roman" w:hAnsi="Times New Roman" w:eastAsia="宋体" w:cs="Times New Roman"/>
          <w:snapToGrid w:val="0"/>
          <w:color w:val="FF0000"/>
          <w:w w:val="99"/>
          <w:highlight w:val="none"/>
        </w:rPr>
        <w:t>主席令〔</w:t>
      </w:r>
      <w:r>
        <w:rPr>
          <w:rFonts w:ascii="Times New Roman" w:hAnsi="Times New Roman" w:eastAsia="宋体" w:cs="Times New Roman"/>
          <w:snapToGrid w:val="0"/>
          <w:color w:val="FF0000"/>
          <w:w w:val="99"/>
          <w:highlight w:val="none"/>
        </w:rPr>
        <w:t>2019〕第32号〔2019年修正本〕）；</w:t>
      </w:r>
    </w:p>
    <w:p w14:paraId="3A9614B5">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w:t>
      </w:r>
      <w:r>
        <w:rPr>
          <w:rFonts w:hint="eastAsia" w:ascii="Times New Roman" w:hAnsi="Times New Roman" w:eastAsia="宋体" w:cs="Times New Roman"/>
          <w:snapToGrid w:val="0"/>
          <w:color w:val="FF0000"/>
          <w:w w:val="99"/>
          <w:highlight w:val="none"/>
          <w:lang w:val="en-US" w:eastAsia="zh-CN"/>
        </w:rPr>
        <w:t>7</w:t>
      </w:r>
      <w:r>
        <w:rPr>
          <w:rFonts w:ascii="Times New Roman" w:hAnsi="Times New Roman" w:eastAsia="宋体" w:cs="Times New Roman"/>
          <w:snapToGrid w:val="0"/>
          <w:color w:val="FF0000"/>
          <w:w w:val="99"/>
          <w:highlight w:val="none"/>
        </w:rPr>
        <w:t>）《中华人民共和国湿地保护法》（</w:t>
      </w:r>
      <w:r>
        <w:rPr>
          <w:rFonts w:hint="eastAsia" w:ascii="Times New Roman" w:hAnsi="Times New Roman" w:eastAsia="宋体" w:cs="Times New Roman"/>
          <w:snapToGrid w:val="0"/>
          <w:color w:val="FF0000"/>
          <w:w w:val="99"/>
          <w:highlight w:val="none"/>
        </w:rPr>
        <w:t>主席令〔</w:t>
      </w:r>
      <w:r>
        <w:rPr>
          <w:rFonts w:ascii="Times New Roman" w:hAnsi="Times New Roman" w:eastAsia="宋体" w:cs="Times New Roman"/>
          <w:snapToGrid w:val="0"/>
          <w:color w:val="FF0000"/>
          <w:w w:val="99"/>
          <w:highlight w:val="none"/>
        </w:rPr>
        <w:t>2021〕102号）；</w:t>
      </w:r>
    </w:p>
    <w:p w14:paraId="1C1E5F09">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w:t>
      </w:r>
      <w:r>
        <w:rPr>
          <w:rFonts w:hint="eastAsia" w:ascii="Times New Roman" w:hAnsi="Times New Roman" w:eastAsia="宋体" w:cs="Times New Roman"/>
          <w:snapToGrid w:val="0"/>
          <w:color w:val="FF0000"/>
          <w:w w:val="99"/>
          <w:highlight w:val="none"/>
          <w:lang w:val="en-US" w:eastAsia="zh-CN"/>
        </w:rPr>
        <w:t>8</w:t>
      </w:r>
      <w:r>
        <w:rPr>
          <w:rFonts w:ascii="Times New Roman" w:hAnsi="Times New Roman" w:eastAsia="宋体" w:cs="Times New Roman"/>
          <w:snapToGrid w:val="0"/>
          <w:color w:val="FF0000"/>
          <w:w w:val="99"/>
          <w:highlight w:val="none"/>
        </w:rPr>
        <w:t>）《地下水管理条例》（</w:t>
      </w:r>
      <w:r>
        <w:rPr>
          <w:rFonts w:hint="eastAsia" w:ascii="Times New Roman" w:hAnsi="Times New Roman" w:eastAsia="宋体" w:cs="Times New Roman"/>
          <w:snapToGrid w:val="0"/>
          <w:color w:val="FF0000"/>
          <w:w w:val="99"/>
          <w:highlight w:val="none"/>
        </w:rPr>
        <w:t>国令第</w:t>
      </w:r>
      <w:r>
        <w:rPr>
          <w:rFonts w:ascii="Times New Roman" w:hAnsi="Times New Roman" w:eastAsia="宋体" w:cs="Times New Roman"/>
          <w:snapToGrid w:val="0"/>
          <w:color w:val="FF0000"/>
          <w:w w:val="99"/>
          <w:highlight w:val="none"/>
        </w:rPr>
        <w:t>748号）；</w:t>
      </w:r>
    </w:p>
    <w:p w14:paraId="3061A0BF">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w:t>
      </w:r>
      <w:r>
        <w:rPr>
          <w:rFonts w:hint="eastAsia" w:ascii="Times New Roman" w:hAnsi="Times New Roman" w:eastAsia="宋体" w:cs="Times New Roman"/>
          <w:snapToGrid w:val="0"/>
          <w:color w:val="FF0000"/>
          <w:w w:val="99"/>
          <w:highlight w:val="none"/>
          <w:lang w:val="en-US" w:eastAsia="zh-CN"/>
        </w:rPr>
        <w:t>19</w:t>
      </w:r>
      <w:r>
        <w:rPr>
          <w:rFonts w:ascii="Times New Roman" w:hAnsi="Times New Roman" w:eastAsia="宋体" w:cs="Times New Roman"/>
          <w:snapToGrid w:val="0"/>
          <w:color w:val="FF0000"/>
          <w:w w:val="99"/>
          <w:highlight w:val="none"/>
        </w:rPr>
        <w:t>）《基本农田保护条例》（</w:t>
      </w:r>
      <w:r>
        <w:rPr>
          <w:rFonts w:hint="eastAsia" w:ascii="Times New Roman" w:hAnsi="Times New Roman" w:eastAsia="宋体" w:cs="Times New Roman"/>
          <w:snapToGrid w:val="0"/>
          <w:color w:val="FF0000"/>
          <w:w w:val="99"/>
          <w:highlight w:val="none"/>
        </w:rPr>
        <w:t>国务院令第</w:t>
      </w:r>
      <w:r>
        <w:rPr>
          <w:rFonts w:ascii="Times New Roman" w:hAnsi="Times New Roman" w:eastAsia="宋体" w:cs="Times New Roman"/>
          <w:snapToGrid w:val="0"/>
          <w:color w:val="FF0000"/>
          <w:w w:val="99"/>
          <w:highlight w:val="none"/>
        </w:rPr>
        <w:t>257号）；</w:t>
      </w:r>
    </w:p>
    <w:p w14:paraId="65E205BD">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（2</w:t>
      </w:r>
      <w:r>
        <w:rPr>
          <w:rFonts w:hint="eastAsia" w:ascii="Times New Roman" w:hAnsi="Times New Roman" w:eastAsia="宋体" w:cs="Times New Roman"/>
          <w:snapToGrid w:val="0"/>
          <w:color w:val="FF0000"/>
          <w:w w:val="99"/>
          <w:highlight w:val="none"/>
          <w:lang w:val="en-US" w:eastAsia="zh-CN"/>
        </w:rPr>
        <w:t>0</w:t>
      </w:r>
      <w:r>
        <w:rPr>
          <w:rFonts w:ascii="Times New Roman" w:hAnsi="Times New Roman" w:eastAsia="宋体" w:cs="Times New Roman"/>
          <w:snapToGrid w:val="0"/>
          <w:color w:val="FF0000"/>
          <w:w w:val="99"/>
          <w:highlight w:val="none"/>
        </w:rPr>
        <w:t>）《</w:t>
      </w:r>
      <w:bookmarkStart w:id="173" w:name="OLE_LINK206"/>
      <w:bookmarkStart w:id="174" w:name="OLE_LINK207"/>
      <w:r>
        <w:rPr>
          <w:rFonts w:ascii="Times New Roman" w:hAnsi="Times New Roman" w:eastAsia="宋体" w:cs="Times New Roman"/>
          <w:snapToGrid w:val="0"/>
          <w:color w:val="FF0000"/>
          <w:w w:val="99"/>
          <w:highlight w:val="none"/>
        </w:rPr>
        <w:t>黑龙江省大气污染防治条例</w:t>
      </w:r>
      <w:bookmarkEnd w:id="173"/>
      <w:bookmarkEnd w:id="174"/>
      <w:r>
        <w:rPr>
          <w:rFonts w:ascii="Times New Roman" w:hAnsi="Times New Roman" w:eastAsia="宋体" w:cs="Times New Roman"/>
          <w:snapToGrid w:val="0"/>
          <w:color w:val="FF0000"/>
          <w:w w:val="99"/>
          <w:highlight w:val="none"/>
        </w:rPr>
        <w:t>》（</w:t>
      </w:r>
      <w:r>
        <w:rPr>
          <w:rFonts w:hint="eastAsia" w:ascii="Times New Roman" w:hAnsi="Times New Roman" w:eastAsia="宋体" w:cs="Times New Roman"/>
          <w:snapToGrid w:val="0"/>
          <w:color w:val="FF0000"/>
          <w:w w:val="99"/>
          <w:highlight w:val="none"/>
        </w:rPr>
        <w:t>黑人常〔</w:t>
      </w:r>
      <w:r>
        <w:rPr>
          <w:rFonts w:ascii="Times New Roman" w:hAnsi="Times New Roman" w:eastAsia="宋体" w:cs="Times New Roman"/>
          <w:snapToGrid w:val="0"/>
          <w:color w:val="FF0000"/>
          <w:w w:val="99"/>
          <w:highlight w:val="none"/>
        </w:rPr>
        <w:t>2017〕4号发布，黑人常〔2018〕15号修正）；</w:t>
      </w:r>
    </w:p>
    <w:p w14:paraId="2B030C43">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（2</w:t>
      </w:r>
      <w:r>
        <w:rPr>
          <w:rFonts w:hint="eastAsia" w:ascii="Times New Roman" w:hAnsi="Times New Roman" w:eastAsia="宋体" w:cs="Times New Roman"/>
          <w:snapToGrid w:val="0"/>
          <w:color w:val="FF0000"/>
          <w:w w:val="99"/>
          <w:highlight w:val="none"/>
          <w:lang w:val="en-US" w:eastAsia="zh-CN"/>
        </w:rPr>
        <w:t>1</w:t>
      </w:r>
      <w:r>
        <w:rPr>
          <w:rFonts w:ascii="Times New Roman" w:hAnsi="Times New Roman" w:eastAsia="宋体" w:cs="Times New Roman"/>
          <w:snapToGrid w:val="0"/>
          <w:color w:val="FF0000"/>
          <w:w w:val="99"/>
          <w:highlight w:val="none"/>
        </w:rPr>
        <w:t>）《黑龙江省黑土地保护利用条例》（</w:t>
      </w:r>
      <w:r>
        <w:rPr>
          <w:rFonts w:hint="eastAsia" w:ascii="Times New Roman" w:hAnsi="Times New Roman" w:eastAsia="宋体" w:cs="Times New Roman"/>
          <w:snapToGrid w:val="0"/>
          <w:color w:val="FF0000"/>
          <w:w w:val="99"/>
          <w:highlight w:val="none"/>
        </w:rPr>
        <w:t>黑人常〔</w:t>
      </w:r>
      <w:r>
        <w:rPr>
          <w:rFonts w:ascii="Times New Roman" w:hAnsi="Times New Roman" w:eastAsia="宋体" w:cs="Times New Roman"/>
          <w:snapToGrid w:val="0"/>
          <w:color w:val="FF0000"/>
          <w:w w:val="99"/>
          <w:highlight w:val="none"/>
        </w:rPr>
        <w:t>2024〕17号）；</w:t>
      </w:r>
    </w:p>
    <w:p w14:paraId="05BD8161">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（2</w:t>
      </w:r>
      <w:r>
        <w:rPr>
          <w:rFonts w:hint="eastAsia" w:ascii="Times New Roman" w:hAnsi="Times New Roman" w:eastAsia="宋体" w:cs="Times New Roman"/>
          <w:snapToGrid w:val="0"/>
          <w:color w:val="FF0000"/>
          <w:w w:val="99"/>
          <w:highlight w:val="none"/>
          <w:lang w:val="en-US" w:eastAsia="zh-CN"/>
        </w:rPr>
        <w:t>2</w:t>
      </w:r>
      <w:r>
        <w:rPr>
          <w:rFonts w:ascii="Times New Roman" w:hAnsi="Times New Roman" w:eastAsia="宋体" w:cs="Times New Roman"/>
          <w:snapToGrid w:val="0"/>
          <w:color w:val="FF0000"/>
          <w:w w:val="99"/>
          <w:highlight w:val="none"/>
        </w:rPr>
        <w:t>）《黑龙江省耕地保护条例》（</w:t>
      </w:r>
      <w:r>
        <w:rPr>
          <w:rFonts w:hint="eastAsia" w:ascii="Times New Roman" w:hAnsi="Times New Roman" w:eastAsia="宋体" w:cs="Times New Roman"/>
          <w:snapToGrid w:val="0"/>
          <w:color w:val="FF0000"/>
          <w:w w:val="99"/>
          <w:highlight w:val="none"/>
        </w:rPr>
        <w:t>黑人常〔</w:t>
      </w:r>
      <w:r>
        <w:rPr>
          <w:rFonts w:ascii="Times New Roman" w:hAnsi="Times New Roman" w:eastAsia="宋体" w:cs="Times New Roman"/>
          <w:snapToGrid w:val="0"/>
          <w:color w:val="FF0000"/>
          <w:w w:val="99"/>
          <w:highlight w:val="none"/>
        </w:rPr>
        <w:t>2021〕43号）；</w:t>
      </w:r>
    </w:p>
    <w:p w14:paraId="5219178A">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（2</w:t>
      </w:r>
      <w:r>
        <w:rPr>
          <w:rFonts w:hint="eastAsia" w:ascii="Times New Roman" w:hAnsi="Times New Roman" w:eastAsia="宋体" w:cs="Times New Roman"/>
          <w:snapToGrid w:val="0"/>
          <w:color w:val="FF0000"/>
          <w:w w:val="99"/>
          <w:highlight w:val="none"/>
          <w:lang w:val="en-US" w:eastAsia="zh-CN"/>
        </w:rPr>
        <w:t>3</w:t>
      </w:r>
      <w:r>
        <w:rPr>
          <w:rFonts w:ascii="Times New Roman" w:hAnsi="Times New Roman" w:eastAsia="宋体" w:cs="Times New Roman"/>
          <w:snapToGrid w:val="0"/>
          <w:color w:val="FF0000"/>
          <w:w w:val="99"/>
          <w:highlight w:val="none"/>
        </w:rPr>
        <w:t>）《黑龙江省水污染防治条例》（</w:t>
      </w:r>
      <w:r>
        <w:rPr>
          <w:rFonts w:hint="eastAsia" w:ascii="Times New Roman" w:hAnsi="Times New Roman" w:eastAsia="宋体" w:cs="Times New Roman"/>
          <w:snapToGrid w:val="0"/>
          <w:color w:val="FF0000"/>
          <w:w w:val="99"/>
          <w:highlight w:val="none"/>
        </w:rPr>
        <w:t>黑人常〔</w:t>
      </w:r>
      <w:r>
        <w:rPr>
          <w:rFonts w:ascii="Times New Roman" w:hAnsi="Times New Roman" w:eastAsia="宋体" w:cs="Times New Roman"/>
          <w:snapToGrid w:val="0"/>
          <w:color w:val="FF0000"/>
          <w:w w:val="99"/>
          <w:highlight w:val="none"/>
        </w:rPr>
        <w:t>2023〕13号）；</w:t>
      </w:r>
    </w:p>
    <w:p w14:paraId="3A49F7BE">
      <w:pPr>
        <w:pStyle w:val="153"/>
        <w:widowControl w:val="0"/>
        <w:spacing w:line="440" w:lineRule="exact"/>
        <w:ind w:firstLine="473"/>
        <w:rPr>
          <w:rFonts w:hint="eastAsia" w:ascii="Times New Roman" w:hAnsi="Times New Roman" w:cs="Times New Roman"/>
          <w:snapToGrid w:val="0"/>
          <w:color w:val="FF0000"/>
          <w:w w:val="99"/>
          <w:highlight w:val="none"/>
          <w:lang w:eastAsia="zh-CN"/>
        </w:rPr>
      </w:pPr>
      <w:r>
        <w:rPr>
          <w:rFonts w:ascii="Times New Roman" w:hAnsi="Times New Roman" w:eastAsia="宋体" w:cs="Times New Roman"/>
          <w:snapToGrid w:val="0"/>
          <w:color w:val="FF0000"/>
          <w:w w:val="99"/>
          <w:highlight w:val="none"/>
        </w:rPr>
        <w:t>（2</w:t>
      </w:r>
      <w:r>
        <w:rPr>
          <w:rFonts w:hint="eastAsia" w:ascii="Times New Roman" w:hAnsi="Times New Roman" w:eastAsia="宋体" w:cs="Times New Roman"/>
          <w:snapToGrid w:val="0"/>
          <w:color w:val="FF0000"/>
          <w:w w:val="99"/>
          <w:highlight w:val="none"/>
          <w:lang w:val="en-US" w:eastAsia="zh-CN"/>
        </w:rPr>
        <w:t>4</w:t>
      </w:r>
      <w:r>
        <w:rPr>
          <w:rFonts w:ascii="Times New Roman" w:hAnsi="Times New Roman" w:eastAsia="宋体" w:cs="Times New Roman"/>
          <w:snapToGrid w:val="0"/>
          <w:color w:val="FF0000"/>
          <w:w w:val="99"/>
          <w:highlight w:val="none"/>
        </w:rPr>
        <w:t>）《黑龙江省防沙治沙条例》（</w:t>
      </w:r>
      <w:r>
        <w:rPr>
          <w:rFonts w:hint="eastAsia" w:ascii="Times New Roman" w:hAnsi="Times New Roman" w:eastAsia="宋体" w:cs="Times New Roman"/>
          <w:snapToGrid w:val="0"/>
          <w:color w:val="FF0000"/>
          <w:w w:val="99"/>
          <w:highlight w:val="none"/>
        </w:rPr>
        <w:t>黑人常〔</w:t>
      </w:r>
      <w:r>
        <w:rPr>
          <w:rFonts w:ascii="Times New Roman" w:hAnsi="Times New Roman" w:eastAsia="宋体" w:cs="Times New Roman"/>
          <w:snapToGrid w:val="0"/>
          <w:color w:val="FF0000"/>
          <w:w w:val="99"/>
          <w:highlight w:val="none"/>
        </w:rPr>
        <w:t>2008〕7号发布，黑人常〔2016〕44号、黑人常〔2018〕7号修正）</w:t>
      </w:r>
      <w:r>
        <w:rPr>
          <w:rFonts w:hint="eastAsia" w:ascii="Times New Roman" w:hAnsi="Times New Roman" w:cs="Times New Roman"/>
          <w:snapToGrid w:val="0"/>
          <w:color w:val="FF0000"/>
          <w:w w:val="99"/>
          <w:highlight w:val="none"/>
          <w:lang w:eastAsia="zh-CN"/>
        </w:rPr>
        <w:t>；</w:t>
      </w:r>
    </w:p>
    <w:p w14:paraId="4F0492D5">
      <w:pPr>
        <w:pStyle w:val="153"/>
        <w:widowControl w:val="0"/>
        <w:spacing w:line="440" w:lineRule="exact"/>
        <w:ind w:firstLine="473"/>
        <w:rPr>
          <w:rFonts w:ascii="Times New Roman" w:hAnsi="Times New Roman" w:eastAsia="宋体" w:cs="Times New Roman"/>
          <w:snapToGrid w:val="0"/>
          <w:color w:val="FF0000"/>
          <w:w w:val="99"/>
          <w:highlight w:val="none"/>
        </w:rPr>
      </w:pPr>
      <w:r>
        <w:rPr>
          <w:rFonts w:hint="eastAsia" w:ascii="Times New Roman" w:hAnsi="Times New Roman" w:cs="Times New Roman"/>
          <w:snapToGrid w:val="0"/>
          <w:color w:val="FF0000"/>
          <w:w w:val="99"/>
          <w:highlight w:val="none"/>
          <w:lang w:eastAsia="zh-CN"/>
        </w:rPr>
        <w:t>（</w:t>
      </w:r>
      <w:r>
        <w:rPr>
          <w:rFonts w:hint="eastAsia" w:ascii="Times New Roman" w:hAnsi="Times New Roman" w:cs="Times New Roman"/>
          <w:snapToGrid w:val="0"/>
          <w:color w:val="FF0000"/>
          <w:w w:val="99"/>
          <w:highlight w:val="none"/>
          <w:lang w:val="en-US" w:eastAsia="zh-CN"/>
        </w:rPr>
        <w:t>25</w:t>
      </w:r>
      <w:r>
        <w:rPr>
          <w:rFonts w:hint="eastAsia" w:ascii="Times New Roman" w:hAnsi="Times New Roman" w:cs="Times New Roman"/>
          <w:snapToGrid w:val="0"/>
          <w:color w:val="FF0000"/>
          <w:w w:val="99"/>
          <w:highlight w:val="none"/>
          <w:lang w:eastAsia="zh-CN"/>
        </w:rPr>
        <w:t>）</w:t>
      </w:r>
      <w:r>
        <w:rPr>
          <w:rFonts w:hint="eastAsia" w:ascii="Times New Roman" w:hAnsi="Times New Roman" w:eastAsia="宋体" w:cs="Times New Roman"/>
          <w:snapToGrid w:val="0"/>
          <w:color w:val="FF0000"/>
          <w:w w:val="99"/>
          <w:highlight w:val="none"/>
          <w:lang w:val="en-US" w:eastAsia="zh-CN"/>
        </w:rPr>
        <w:t>《</w:t>
      </w:r>
      <w:r>
        <w:rPr>
          <w:rFonts w:hint="eastAsia" w:ascii="Times New Roman" w:hAnsi="Times New Roman" w:eastAsia="宋体" w:cs="Times New Roman"/>
          <w:snapToGrid w:val="0"/>
          <w:color w:val="FF0000"/>
          <w:w w:val="99"/>
          <w:highlight w:val="none"/>
        </w:rPr>
        <w:t>永久基本农田保护红线管理办法</w:t>
      </w:r>
      <w:r>
        <w:rPr>
          <w:rFonts w:hint="eastAsia" w:ascii="Times New Roman" w:hAnsi="Times New Roman" w:eastAsia="宋体" w:cs="Times New Roman"/>
          <w:snapToGrid w:val="0"/>
          <w:color w:val="FF0000"/>
          <w:w w:val="99"/>
          <w:highlight w:val="none"/>
          <w:lang w:eastAsia="zh-CN"/>
        </w:rPr>
        <w:t>》（</w:t>
      </w:r>
      <w:r>
        <w:rPr>
          <w:rFonts w:hint="eastAsia" w:ascii="Times New Roman" w:hAnsi="Times New Roman" w:eastAsia="宋体" w:cs="Times New Roman"/>
          <w:snapToGrid w:val="0"/>
          <w:color w:val="FF0000"/>
          <w:w w:val="99"/>
          <w:highlight w:val="none"/>
          <w:lang w:val="en-US" w:eastAsia="zh-CN"/>
        </w:rPr>
        <w:t>2025年10月1日）</w:t>
      </w:r>
      <w:r>
        <w:rPr>
          <w:rFonts w:ascii="Times New Roman" w:hAnsi="Times New Roman" w:eastAsia="宋体" w:cs="Times New Roman"/>
          <w:snapToGrid w:val="0"/>
          <w:color w:val="FF0000"/>
          <w:w w:val="99"/>
          <w:highlight w:val="none"/>
        </w:rPr>
        <w:t>。</w:t>
      </w:r>
    </w:p>
    <w:p w14:paraId="7D81E70B">
      <w:pPr>
        <w:pStyle w:val="7"/>
        <w:widowControl w:val="0"/>
        <w:spacing w:before="60" w:after="60" w:line="440" w:lineRule="exact"/>
        <w:jc w:val="both"/>
        <w:rPr>
          <w:rFonts w:eastAsiaTheme="minorEastAsia"/>
          <w:b/>
          <w:color w:val="FF0000"/>
          <w:w w:val="99"/>
          <w:kern w:val="2"/>
          <w:sz w:val="24"/>
          <w:szCs w:val="24"/>
          <w:highlight w:val="none"/>
        </w:rPr>
      </w:pPr>
      <w:bookmarkStart w:id="175" w:name="_Toc85640717"/>
      <w:bookmarkStart w:id="176" w:name="_Toc186444240"/>
      <w:bookmarkStart w:id="177" w:name="_Toc127192305"/>
      <w:bookmarkStart w:id="178" w:name="_Toc126863356"/>
      <w:bookmarkStart w:id="179" w:name="_Toc84929193"/>
      <w:bookmarkStart w:id="180" w:name="_Toc143099543"/>
      <w:bookmarkStart w:id="181" w:name="_Toc86141900"/>
      <w:bookmarkStart w:id="182" w:name="_Toc131167256"/>
      <w:r>
        <w:rPr>
          <w:rFonts w:eastAsiaTheme="minorEastAsia"/>
          <w:b/>
          <w:color w:val="FF0000"/>
          <w:w w:val="99"/>
          <w:kern w:val="2"/>
          <w:sz w:val="24"/>
          <w:szCs w:val="24"/>
          <w:highlight w:val="none"/>
        </w:rPr>
        <w:t>2.3.2环境保护相关部门规章及规范性文件</w:t>
      </w:r>
      <w:bookmarkEnd w:id="175"/>
      <w:bookmarkEnd w:id="176"/>
      <w:bookmarkEnd w:id="177"/>
      <w:bookmarkEnd w:id="178"/>
      <w:bookmarkEnd w:id="179"/>
      <w:bookmarkEnd w:id="180"/>
      <w:bookmarkEnd w:id="181"/>
      <w:bookmarkEnd w:id="182"/>
    </w:p>
    <w:p w14:paraId="7B897FE3">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（1）《建设项目环境影响评价分类管理名录（2021年版）》（</w:t>
      </w:r>
      <w:r>
        <w:rPr>
          <w:rFonts w:hint="eastAsia" w:ascii="Times New Roman" w:hAnsi="Times New Roman" w:eastAsia="宋体" w:cs="Times New Roman"/>
          <w:snapToGrid w:val="0"/>
          <w:color w:val="FF0000"/>
          <w:w w:val="99"/>
          <w:highlight w:val="none"/>
        </w:rPr>
        <w:t>生态环境部令</w:t>
      </w:r>
      <w:r>
        <w:rPr>
          <w:rFonts w:ascii="Times New Roman" w:hAnsi="Times New Roman" w:eastAsia="宋体" w:cs="Times New Roman"/>
          <w:snapToGrid w:val="0"/>
          <w:color w:val="FF0000"/>
          <w:w w:val="99"/>
          <w:highlight w:val="none"/>
        </w:rPr>
        <w:t>第16号）；</w:t>
      </w:r>
    </w:p>
    <w:p w14:paraId="64FC2112">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（2）《产业结构调整指导目录（2024年本）》（</w:t>
      </w:r>
      <w:r>
        <w:rPr>
          <w:rFonts w:hint="eastAsia" w:ascii="Times New Roman" w:hAnsi="Times New Roman" w:eastAsia="宋体" w:cs="Times New Roman"/>
          <w:snapToGrid w:val="0"/>
          <w:color w:val="FF0000"/>
          <w:w w:val="99"/>
          <w:highlight w:val="none"/>
        </w:rPr>
        <w:t>国家发展和改革委员会令</w:t>
      </w:r>
      <w:r>
        <w:rPr>
          <w:rFonts w:ascii="Times New Roman" w:hAnsi="Times New Roman" w:eastAsia="宋体" w:cs="Times New Roman"/>
          <w:snapToGrid w:val="0"/>
          <w:color w:val="FF0000"/>
          <w:w w:val="99"/>
          <w:highlight w:val="none"/>
        </w:rPr>
        <w:t>[2023]第7号）；</w:t>
      </w:r>
    </w:p>
    <w:p w14:paraId="378DA840">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（3）《国家危险废物名录（2025年版）》（</w:t>
      </w:r>
      <w:r>
        <w:rPr>
          <w:rFonts w:hint="eastAsia" w:ascii="Times New Roman" w:hAnsi="Times New Roman" w:eastAsia="宋体" w:cs="Times New Roman"/>
          <w:snapToGrid w:val="0"/>
          <w:color w:val="FF0000"/>
          <w:w w:val="99"/>
          <w:highlight w:val="none"/>
        </w:rPr>
        <w:t>生态环境部</w:t>
      </w:r>
      <w:r>
        <w:rPr>
          <w:rFonts w:ascii="Times New Roman" w:hAnsi="Times New Roman" w:eastAsia="宋体" w:cs="Times New Roman"/>
          <w:snapToGrid w:val="0"/>
          <w:color w:val="FF0000"/>
          <w:w w:val="99"/>
          <w:highlight w:val="none"/>
        </w:rPr>
        <w:t xml:space="preserve"> 国家发展和改革委员会 公安部 交通运输部 国家卫生健康委员会 2024年 部令 第36号）；</w:t>
      </w:r>
    </w:p>
    <w:p w14:paraId="507C6AA1">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（4）《危险废物排除管理清单（2021年版）》（</w:t>
      </w:r>
      <w:r>
        <w:rPr>
          <w:rFonts w:hint="eastAsia" w:ascii="Times New Roman" w:hAnsi="Times New Roman" w:eastAsia="宋体" w:cs="Times New Roman"/>
          <w:snapToGrid w:val="0"/>
          <w:color w:val="FF0000"/>
          <w:w w:val="99"/>
          <w:highlight w:val="none"/>
        </w:rPr>
        <w:t>环境部公告〔</w:t>
      </w:r>
      <w:r>
        <w:rPr>
          <w:rFonts w:ascii="Times New Roman" w:hAnsi="Times New Roman" w:eastAsia="宋体" w:cs="Times New Roman"/>
          <w:snapToGrid w:val="0"/>
          <w:color w:val="FF0000"/>
          <w:w w:val="99"/>
          <w:highlight w:val="none"/>
        </w:rPr>
        <w:t>2021〕66号）；</w:t>
      </w:r>
    </w:p>
    <w:p w14:paraId="501371FD">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（5）《危险废物转移管理办法》（</w:t>
      </w:r>
      <w:r>
        <w:rPr>
          <w:rFonts w:hint="eastAsia" w:ascii="Times New Roman" w:hAnsi="Times New Roman" w:eastAsia="宋体" w:cs="Times New Roman"/>
          <w:snapToGrid w:val="0"/>
          <w:color w:val="FF0000"/>
          <w:w w:val="99"/>
          <w:highlight w:val="none"/>
        </w:rPr>
        <w:t>生态环境部、公安部、交通运输部</w:t>
      </w:r>
      <w:r>
        <w:rPr>
          <w:rFonts w:ascii="Times New Roman" w:hAnsi="Times New Roman" w:eastAsia="宋体" w:cs="Times New Roman"/>
          <w:snapToGrid w:val="0"/>
          <w:color w:val="FF0000"/>
          <w:w w:val="99"/>
          <w:highlight w:val="none"/>
        </w:rPr>
        <w:t xml:space="preserve"> 2021年部令第23号）；</w:t>
      </w:r>
    </w:p>
    <w:p w14:paraId="1508C60A">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（6）《关于进一步加强环境影响评价管理防范环境风险的通知》（</w:t>
      </w:r>
      <w:r>
        <w:rPr>
          <w:rFonts w:hint="eastAsia" w:ascii="Times New Roman" w:hAnsi="Times New Roman" w:eastAsia="宋体" w:cs="Times New Roman"/>
          <w:snapToGrid w:val="0"/>
          <w:color w:val="FF0000"/>
          <w:w w:val="99"/>
          <w:highlight w:val="none"/>
        </w:rPr>
        <w:t>环发〔</w:t>
      </w:r>
      <w:r>
        <w:rPr>
          <w:rFonts w:ascii="Times New Roman" w:hAnsi="Times New Roman" w:eastAsia="宋体" w:cs="Times New Roman"/>
          <w:snapToGrid w:val="0"/>
          <w:color w:val="FF0000"/>
          <w:w w:val="99"/>
          <w:highlight w:val="none"/>
        </w:rPr>
        <w:t>2012〕77号）；</w:t>
      </w:r>
    </w:p>
    <w:p w14:paraId="683EFD24">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（7）《关于进一步加强危险废物环境治理严密防控环境风险的指导意见》（环固体〔2025〕10号）</w:t>
      </w:r>
    </w:p>
    <w:p w14:paraId="0CA219EB">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（8）《关于切实加强风险防范严格环境影响评价管理的通知》（</w:t>
      </w:r>
      <w:r>
        <w:rPr>
          <w:rFonts w:hint="eastAsia" w:ascii="Times New Roman" w:hAnsi="Times New Roman" w:eastAsia="宋体" w:cs="Times New Roman"/>
          <w:snapToGrid w:val="0"/>
          <w:color w:val="FF0000"/>
          <w:w w:val="99"/>
          <w:highlight w:val="none"/>
        </w:rPr>
        <w:t>环发〔</w:t>
      </w:r>
      <w:r>
        <w:rPr>
          <w:rFonts w:ascii="Times New Roman" w:hAnsi="Times New Roman" w:eastAsia="宋体" w:cs="Times New Roman"/>
          <w:snapToGrid w:val="0"/>
          <w:color w:val="FF0000"/>
          <w:w w:val="99"/>
          <w:highlight w:val="none"/>
        </w:rPr>
        <w:t>2012〕98号）；</w:t>
      </w:r>
    </w:p>
    <w:p w14:paraId="41C90D42">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（9） 《环境影响评价公众参与办法》（</w:t>
      </w:r>
      <w:r>
        <w:rPr>
          <w:rFonts w:hint="eastAsia" w:ascii="Times New Roman" w:hAnsi="Times New Roman" w:eastAsia="宋体" w:cs="Times New Roman"/>
          <w:snapToGrid w:val="0"/>
          <w:color w:val="FF0000"/>
          <w:w w:val="99"/>
          <w:highlight w:val="none"/>
        </w:rPr>
        <w:t>生态环境部令〔</w:t>
      </w:r>
      <w:r>
        <w:rPr>
          <w:rFonts w:ascii="Times New Roman" w:hAnsi="Times New Roman" w:eastAsia="宋体" w:cs="Times New Roman"/>
          <w:snapToGrid w:val="0"/>
          <w:color w:val="FF0000"/>
          <w:w w:val="99"/>
          <w:highlight w:val="none"/>
        </w:rPr>
        <w:t>2018〕第4号）；</w:t>
      </w:r>
    </w:p>
    <w:p w14:paraId="590E825A">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（10）《关于进一步加强石油天然气行业环境影响评价管理的通知》（环办环评函〔2019〕910号）；</w:t>
      </w:r>
    </w:p>
    <w:p w14:paraId="1CABADAF">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（11） 《石油天然气开采业污染防治技术政策》（环保部公告2012年第18号）；</w:t>
      </w:r>
    </w:p>
    <w:p w14:paraId="0132D723">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（12）《2020年挥发性有机物治理攻坚方案》（环大气〔2020〕33号，2020.06.24）；</w:t>
      </w:r>
    </w:p>
    <w:p w14:paraId="167414E9">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（13）《自然资源部关于规范临时用地管理的通知》（自然资规〔2021〕2号）；</w:t>
      </w:r>
    </w:p>
    <w:p w14:paraId="0598E35E">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（14）《排污许可管理办法》（</w:t>
      </w:r>
      <w:r>
        <w:rPr>
          <w:rFonts w:hint="eastAsia" w:ascii="Times New Roman" w:hAnsi="Times New Roman" w:eastAsia="宋体" w:cs="Times New Roman"/>
          <w:snapToGrid w:val="0"/>
          <w:color w:val="FF0000"/>
          <w:w w:val="99"/>
          <w:highlight w:val="none"/>
        </w:rPr>
        <w:t>环境部令〔</w:t>
      </w:r>
      <w:r>
        <w:rPr>
          <w:rFonts w:ascii="Times New Roman" w:hAnsi="Times New Roman" w:eastAsia="宋体" w:cs="Times New Roman"/>
          <w:snapToGrid w:val="0"/>
          <w:color w:val="FF0000"/>
          <w:w w:val="99"/>
          <w:highlight w:val="none"/>
        </w:rPr>
        <w:t>2024〕32号）；</w:t>
      </w:r>
    </w:p>
    <w:p w14:paraId="720491A5">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w:t>
      </w:r>
      <w:r>
        <w:rPr>
          <w:rFonts w:hint="eastAsia" w:ascii="Times New Roman" w:hAnsi="Times New Roman" w:eastAsia="宋体" w:cs="Times New Roman"/>
          <w:snapToGrid w:val="0"/>
          <w:color w:val="FF0000"/>
          <w:w w:val="99"/>
          <w:highlight w:val="none"/>
          <w:lang w:val="en-US" w:eastAsia="zh-CN"/>
        </w:rPr>
        <w:t>5</w:t>
      </w:r>
      <w:r>
        <w:rPr>
          <w:rFonts w:ascii="Times New Roman" w:hAnsi="Times New Roman" w:eastAsia="宋体" w:cs="Times New Roman"/>
          <w:snapToGrid w:val="0"/>
          <w:color w:val="FF0000"/>
          <w:w w:val="99"/>
          <w:highlight w:val="none"/>
        </w:rPr>
        <w:t>）《沙化土地封禁保护修复制度方案》（林涵沙字〔2016〕167号）；</w:t>
      </w:r>
    </w:p>
    <w:p w14:paraId="34545337">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w:t>
      </w:r>
      <w:r>
        <w:rPr>
          <w:rFonts w:hint="eastAsia" w:ascii="Times New Roman" w:hAnsi="Times New Roman" w:eastAsia="宋体" w:cs="Times New Roman"/>
          <w:snapToGrid w:val="0"/>
          <w:color w:val="FF0000"/>
          <w:w w:val="99"/>
          <w:highlight w:val="none"/>
          <w:lang w:val="en-US" w:eastAsia="zh-CN"/>
        </w:rPr>
        <w:t>6</w:t>
      </w:r>
      <w:r>
        <w:rPr>
          <w:rFonts w:ascii="Times New Roman" w:hAnsi="Times New Roman" w:eastAsia="宋体" w:cs="Times New Roman"/>
          <w:snapToGrid w:val="0"/>
          <w:color w:val="FF0000"/>
          <w:w w:val="99"/>
          <w:highlight w:val="none"/>
        </w:rPr>
        <w:t>）《关于印发&lt;关于贯彻落实《沙化土地封禁保护修复制度方案》的实施意见&gt;的通知》（黑防沙发〔</w:t>
      </w:r>
      <w:r>
        <w:rPr>
          <w:rFonts w:hint="eastAsia" w:ascii="Times New Roman" w:hAnsi="Times New Roman" w:eastAsia="宋体" w:cs="Times New Roman"/>
          <w:snapToGrid w:val="0"/>
          <w:color w:val="FF0000"/>
          <w:w w:val="99"/>
          <w:highlight w:val="none"/>
        </w:rPr>
        <w:t>2</w:t>
      </w:r>
      <w:r>
        <w:rPr>
          <w:rFonts w:ascii="Times New Roman" w:hAnsi="Times New Roman" w:eastAsia="宋体" w:cs="Times New Roman"/>
          <w:snapToGrid w:val="0"/>
          <w:color w:val="FF0000"/>
          <w:w w:val="99"/>
          <w:highlight w:val="none"/>
        </w:rPr>
        <w:t>020</w:t>
      </w:r>
      <w:r>
        <w:rPr>
          <w:rFonts w:hint="eastAsia" w:ascii="Times New Roman" w:hAnsi="Times New Roman" w:eastAsia="宋体" w:cs="Times New Roman"/>
          <w:snapToGrid w:val="0"/>
          <w:color w:val="FF0000"/>
          <w:w w:val="99"/>
          <w:highlight w:val="none"/>
        </w:rPr>
        <w:t>〕3号</w:t>
      </w:r>
      <w:r>
        <w:rPr>
          <w:rFonts w:ascii="Times New Roman" w:hAnsi="Times New Roman" w:eastAsia="宋体" w:cs="Times New Roman"/>
          <w:snapToGrid w:val="0"/>
          <w:color w:val="FF0000"/>
          <w:w w:val="99"/>
          <w:highlight w:val="none"/>
        </w:rPr>
        <w:t>）；</w:t>
      </w:r>
    </w:p>
    <w:p w14:paraId="46FE1C2C">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w:t>
      </w:r>
      <w:r>
        <w:rPr>
          <w:rFonts w:hint="eastAsia" w:ascii="Times New Roman" w:hAnsi="Times New Roman" w:eastAsia="宋体" w:cs="Times New Roman"/>
          <w:snapToGrid w:val="0"/>
          <w:color w:val="FF0000"/>
          <w:w w:val="99"/>
          <w:highlight w:val="none"/>
        </w:rPr>
        <w:t>1</w:t>
      </w:r>
      <w:r>
        <w:rPr>
          <w:rFonts w:hint="eastAsia" w:ascii="Times New Roman" w:hAnsi="Times New Roman" w:eastAsia="宋体" w:cs="Times New Roman"/>
          <w:snapToGrid w:val="0"/>
          <w:color w:val="FF0000"/>
          <w:w w:val="99"/>
          <w:highlight w:val="none"/>
          <w:lang w:val="en-US" w:eastAsia="zh-CN"/>
        </w:rPr>
        <w:t>7</w:t>
      </w:r>
      <w:r>
        <w:rPr>
          <w:rFonts w:ascii="Times New Roman" w:hAnsi="Times New Roman" w:eastAsia="宋体" w:cs="Times New Roman"/>
          <w:snapToGrid w:val="0"/>
          <w:color w:val="FF0000"/>
          <w:w w:val="99"/>
          <w:highlight w:val="none"/>
        </w:rPr>
        <w:t>）《</w:t>
      </w:r>
      <w:r>
        <w:rPr>
          <w:rFonts w:hint="eastAsia" w:ascii="Times New Roman" w:hAnsi="Times New Roman" w:eastAsia="宋体" w:cs="Times New Roman"/>
          <w:snapToGrid w:val="0"/>
          <w:color w:val="FF0000"/>
          <w:w w:val="99"/>
          <w:highlight w:val="none"/>
        </w:rPr>
        <w:t>关于印发《土壤污染源头防控行动计划》的通知》（</w:t>
      </w:r>
      <w:r>
        <w:rPr>
          <w:rFonts w:ascii="Times New Roman" w:hAnsi="Times New Roman" w:eastAsia="宋体" w:cs="Times New Roman"/>
          <w:snapToGrid w:val="0"/>
          <w:color w:val="FF0000"/>
          <w:w w:val="99"/>
          <w:highlight w:val="none"/>
        </w:rPr>
        <w:t>环土壤〔2024〕80号</w:t>
      </w:r>
      <w:r>
        <w:rPr>
          <w:rFonts w:hint="eastAsia" w:ascii="Times New Roman" w:hAnsi="Times New Roman" w:eastAsia="宋体" w:cs="Times New Roman"/>
          <w:snapToGrid w:val="0"/>
          <w:color w:val="FF0000"/>
          <w:w w:val="99"/>
          <w:highlight w:val="none"/>
        </w:rPr>
        <w:t>）；</w:t>
      </w:r>
    </w:p>
    <w:p w14:paraId="4F93BB96">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（1</w:t>
      </w:r>
      <w:r>
        <w:rPr>
          <w:rFonts w:hint="eastAsia" w:ascii="Times New Roman" w:hAnsi="Times New Roman" w:eastAsia="宋体" w:cs="Times New Roman"/>
          <w:snapToGrid w:val="0"/>
          <w:color w:val="FF0000"/>
          <w:w w:val="99"/>
          <w:highlight w:val="none"/>
          <w:lang w:val="en-US" w:eastAsia="zh-CN"/>
        </w:rPr>
        <w:t>8</w:t>
      </w:r>
      <w:r>
        <w:rPr>
          <w:rFonts w:ascii="Times New Roman" w:hAnsi="Times New Roman" w:eastAsia="宋体" w:cs="Times New Roman"/>
          <w:snapToGrid w:val="0"/>
          <w:color w:val="FF0000"/>
          <w:w w:val="99"/>
          <w:highlight w:val="none"/>
        </w:rPr>
        <w:t>）《黑龙江省主体功能区规划》（黑政发〔2012〕29 号）；</w:t>
      </w:r>
    </w:p>
    <w:p w14:paraId="719046A0">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w:t>
      </w:r>
      <w:r>
        <w:rPr>
          <w:rFonts w:hint="eastAsia" w:ascii="Times New Roman" w:hAnsi="Times New Roman" w:eastAsia="宋体" w:cs="Times New Roman"/>
          <w:snapToGrid w:val="0"/>
          <w:color w:val="FF0000"/>
          <w:w w:val="99"/>
          <w:highlight w:val="none"/>
          <w:lang w:val="en-US" w:eastAsia="zh-CN"/>
        </w:rPr>
        <w:t>19</w:t>
      </w:r>
      <w:r>
        <w:rPr>
          <w:rFonts w:ascii="Times New Roman" w:hAnsi="Times New Roman" w:eastAsia="宋体" w:cs="Times New Roman"/>
          <w:snapToGrid w:val="0"/>
          <w:color w:val="FF0000"/>
          <w:w w:val="99"/>
          <w:highlight w:val="none"/>
        </w:rPr>
        <w:t>）《黑龙江省生态功能区划》（黑政函〔2006〕75号）；</w:t>
      </w:r>
    </w:p>
    <w:p w14:paraId="46F25FDC">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（2</w:t>
      </w:r>
      <w:r>
        <w:rPr>
          <w:rFonts w:hint="eastAsia" w:ascii="Times New Roman" w:hAnsi="Times New Roman" w:eastAsia="宋体" w:cs="Times New Roman"/>
          <w:snapToGrid w:val="0"/>
          <w:color w:val="FF0000"/>
          <w:w w:val="99"/>
          <w:highlight w:val="none"/>
          <w:lang w:val="en-US" w:eastAsia="zh-CN"/>
        </w:rPr>
        <w:t>0</w:t>
      </w:r>
      <w:r>
        <w:rPr>
          <w:rFonts w:ascii="Times New Roman" w:hAnsi="Times New Roman" w:eastAsia="宋体" w:cs="Times New Roman"/>
          <w:snapToGrid w:val="0"/>
          <w:color w:val="FF0000"/>
          <w:w w:val="99"/>
          <w:highlight w:val="none"/>
        </w:rPr>
        <w:t>）《黑龙江省“十四五”黑土地保护规划》</w:t>
      </w:r>
      <w:r>
        <w:rPr>
          <w:rFonts w:hint="eastAsia" w:ascii="Times New Roman" w:hAnsi="Times New Roman" w:eastAsia="宋体" w:cs="Times New Roman"/>
          <w:snapToGrid w:val="0"/>
          <w:color w:val="FF0000"/>
          <w:w w:val="99"/>
          <w:highlight w:val="none"/>
        </w:rPr>
        <w:t>（黑政办规〔</w:t>
      </w:r>
      <w:r>
        <w:rPr>
          <w:rFonts w:ascii="Times New Roman" w:hAnsi="Times New Roman" w:eastAsia="宋体" w:cs="Times New Roman"/>
          <w:snapToGrid w:val="0"/>
          <w:color w:val="FF0000"/>
          <w:w w:val="99"/>
          <w:highlight w:val="none"/>
        </w:rPr>
        <w:t>2021〕48号</w:t>
      </w:r>
      <w:r>
        <w:rPr>
          <w:rFonts w:hint="eastAsia" w:ascii="Times New Roman" w:hAnsi="Times New Roman" w:eastAsia="宋体" w:cs="Times New Roman"/>
          <w:snapToGrid w:val="0"/>
          <w:color w:val="FF0000"/>
          <w:w w:val="99"/>
          <w:highlight w:val="none"/>
        </w:rPr>
        <w:t>）</w:t>
      </w:r>
      <w:r>
        <w:rPr>
          <w:rFonts w:ascii="Times New Roman" w:hAnsi="Times New Roman" w:eastAsia="宋体" w:cs="Times New Roman"/>
          <w:snapToGrid w:val="0"/>
          <w:color w:val="FF0000"/>
          <w:w w:val="99"/>
          <w:highlight w:val="none"/>
        </w:rPr>
        <w:t>；</w:t>
      </w:r>
    </w:p>
    <w:p w14:paraId="4ECB7CEC">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（2</w:t>
      </w:r>
      <w:r>
        <w:rPr>
          <w:rFonts w:hint="eastAsia" w:ascii="Times New Roman" w:hAnsi="Times New Roman" w:eastAsia="宋体" w:cs="Times New Roman"/>
          <w:snapToGrid w:val="0"/>
          <w:color w:val="FF0000"/>
          <w:w w:val="99"/>
          <w:highlight w:val="none"/>
          <w:lang w:val="en-US" w:eastAsia="zh-CN"/>
        </w:rPr>
        <w:t>1</w:t>
      </w:r>
      <w:r>
        <w:rPr>
          <w:rFonts w:ascii="Times New Roman" w:hAnsi="Times New Roman" w:eastAsia="宋体" w:cs="Times New Roman"/>
          <w:snapToGrid w:val="0"/>
          <w:color w:val="FF0000"/>
          <w:w w:val="99"/>
          <w:highlight w:val="none"/>
        </w:rPr>
        <w:t>）《黑龙江省人民政府办公厅关于建设占用耕地耕作层土壤剥离利用工作的指导意见（试行）》（黑政办规〔2021〕18号）；</w:t>
      </w:r>
    </w:p>
    <w:p w14:paraId="6F84521B">
      <w:pPr>
        <w:pStyle w:val="153"/>
        <w:widowControl w:val="0"/>
        <w:spacing w:line="440" w:lineRule="exact"/>
        <w:ind w:firstLine="473"/>
        <w:rPr>
          <w:rFonts w:ascii="Times New Roman" w:hAnsi="Times New Roman" w:eastAsia="宋体" w:cs="Times New Roman"/>
          <w:snapToGrid w:val="0"/>
          <w:color w:val="FF0000"/>
          <w:w w:val="99"/>
          <w:highlight w:val="none"/>
        </w:rPr>
      </w:pPr>
      <w:r>
        <w:rPr>
          <w:rFonts w:ascii="Times New Roman" w:hAnsi="Times New Roman" w:eastAsia="宋体" w:cs="Times New Roman"/>
          <w:snapToGrid w:val="0"/>
          <w:color w:val="FF0000"/>
          <w:w w:val="99"/>
          <w:highlight w:val="none"/>
        </w:rPr>
        <w:t>（2</w:t>
      </w:r>
      <w:r>
        <w:rPr>
          <w:rFonts w:hint="eastAsia" w:ascii="Times New Roman" w:hAnsi="Times New Roman" w:cs="Times New Roman"/>
          <w:snapToGrid w:val="0"/>
          <w:color w:val="FF0000"/>
          <w:w w:val="99"/>
          <w:highlight w:val="none"/>
          <w:lang w:val="en-US" w:eastAsia="zh-CN"/>
        </w:rPr>
        <w:t>2</w:t>
      </w:r>
      <w:r>
        <w:rPr>
          <w:rFonts w:ascii="Times New Roman" w:hAnsi="Times New Roman" w:eastAsia="宋体" w:cs="Times New Roman"/>
          <w:snapToGrid w:val="0"/>
          <w:color w:val="FF0000"/>
          <w:w w:val="99"/>
          <w:highlight w:val="none"/>
        </w:rPr>
        <w:t>）《黑龙江省生态环境分区管控动态更新成果（2023年版）》；</w:t>
      </w:r>
    </w:p>
    <w:p w14:paraId="6AAE077C">
      <w:pPr>
        <w:pStyle w:val="153"/>
        <w:spacing w:line="440" w:lineRule="exact"/>
        <w:ind w:firstLine="473"/>
        <w:jc w:val="both"/>
        <w:rPr>
          <w:rFonts w:hint="eastAsia" w:ascii="Times New Roman" w:hAnsi="Times New Roman" w:eastAsia="宋体" w:cs="Times New Roman"/>
          <w:color w:val="FF0000"/>
          <w:w w:val="99"/>
          <w:sz w:val="24"/>
          <w:szCs w:val="24"/>
          <w:highlight w:val="none"/>
          <w:lang w:val="en-US" w:eastAsia="zh-CN" w:bidi="ar-SA"/>
        </w:rPr>
      </w:pPr>
      <w:r>
        <w:rPr>
          <w:rFonts w:hint="eastAsia" w:ascii="Times New Roman" w:hAnsi="Times New Roman" w:eastAsia="宋体" w:cs="Times New Roman"/>
          <w:color w:val="FF0000"/>
          <w:w w:val="99"/>
          <w:sz w:val="24"/>
          <w:szCs w:val="24"/>
          <w:highlight w:val="none"/>
          <w:lang w:val="en-US" w:eastAsia="zh-CN" w:bidi="ar-SA"/>
        </w:rPr>
        <w:t>（2</w:t>
      </w:r>
      <w:r>
        <w:rPr>
          <w:rFonts w:hint="eastAsia" w:ascii="Times New Roman" w:hAnsi="Times New Roman" w:cs="Times New Roman"/>
          <w:color w:val="FF0000"/>
          <w:w w:val="99"/>
          <w:sz w:val="24"/>
          <w:szCs w:val="24"/>
          <w:highlight w:val="none"/>
          <w:lang w:val="en-US" w:eastAsia="zh-CN" w:bidi="ar-SA"/>
        </w:rPr>
        <w:t>3</w:t>
      </w:r>
      <w:r>
        <w:rPr>
          <w:rFonts w:hint="eastAsia" w:ascii="Times New Roman" w:hAnsi="Times New Roman" w:eastAsia="宋体" w:cs="Times New Roman"/>
          <w:color w:val="FF0000"/>
          <w:w w:val="99"/>
          <w:sz w:val="24"/>
          <w:szCs w:val="24"/>
          <w:highlight w:val="none"/>
          <w:lang w:val="en-US" w:eastAsia="zh-CN" w:bidi="ar-SA"/>
        </w:rPr>
        <w:t>）《绥化市生态环境准入清单（2023年版）》；</w:t>
      </w:r>
    </w:p>
    <w:p w14:paraId="1066A8D4">
      <w:pPr>
        <w:pStyle w:val="153"/>
        <w:spacing w:line="440" w:lineRule="exact"/>
        <w:ind w:firstLine="473"/>
        <w:jc w:val="both"/>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FF0000"/>
          <w:w w:val="99"/>
          <w:sz w:val="24"/>
          <w:szCs w:val="24"/>
          <w:highlight w:val="none"/>
          <w:lang w:val="en-US" w:eastAsia="zh-CN" w:bidi="ar-SA"/>
        </w:rPr>
        <w:t>（2</w:t>
      </w:r>
      <w:r>
        <w:rPr>
          <w:rFonts w:hint="eastAsia" w:ascii="Times New Roman" w:hAnsi="Times New Roman" w:cs="Times New Roman"/>
          <w:color w:val="FF0000"/>
          <w:w w:val="99"/>
          <w:sz w:val="24"/>
          <w:szCs w:val="24"/>
          <w:highlight w:val="none"/>
          <w:lang w:val="en-US" w:eastAsia="zh-CN" w:bidi="ar-SA"/>
        </w:rPr>
        <w:t>4</w:t>
      </w:r>
      <w:r>
        <w:rPr>
          <w:rFonts w:hint="eastAsia" w:ascii="Times New Roman" w:hAnsi="Times New Roman" w:eastAsia="宋体" w:cs="Times New Roman"/>
          <w:color w:val="FF0000"/>
          <w:w w:val="99"/>
          <w:sz w:val="24"/>
          <w:szCs w:val="24"/>
          <w:highlight w:val="none"/>
          <w:lang w:val="en-US" w:eastAsia="zh-CN" w:bidi="ar-SA"/>
        </w:rPr>
        <w:t>）《绥化市水土保持规划》（2019～2030年）</w:t>
      </w:r>
      <w:r>
        <w:rPr>
          <w:rFonts w:hint="eastAsia" w:ascii="Times New Roman" w:hAnsi="Times New Roman" w:eastAsia="宋体" w:cs="Times New Roman"/>
          <w:color w:val="auto"/>
          <w:w w:val="99"/>
          <w:sz w:val="24"/>
          <w:szCs w:val="24"/>
          <w:highlight w:val="none"/>
          <w:lang w:val="en-US" w:eastAsia="zh-CN" w:bidi="ar-SA"/>
        </w:rPr>
        <w:t>；</w:t>
      </w:r>
    </w:p>
    <w:p w14:paraId="328E1CDD">
      <w:pPr>
        <w:pStyle w:val="153"/>
        <w:spacing w:line="440" w:lineRule="exact"/>
        <w:ind w:firstLine="473"/>
        <w:jc w:val="both"/>
        <w:rPr>
          <w:rFonts w:hint="eastAsia" w:ascii="Times New Roman" w:hAnsi="Times New Roman" w:eastAsia="宋体" w:cs="Times New Roman"/>
          <w:color w:val="FF0000"/>
          <w:w w:val="99"/>
          <w:sz w:val="24"/>
          <w:szCs w:val="24"/>
          <w:highlight w:val="none"/>
          <w:lang w:val="en-US" w:eastAsia="zh-CN" w:bidi="ar-SA"/>
        </w:rPr>
      </w:pPr>
      <w:r>
        <w:rPr>
          <w:rFonts w:hint="eastAsia" w:ascii="Times New Roman" w:hAnsi="Times New Roman" w:eastAsia="宋体" w:cs="Times New Roman"/>
          <w:color w:val="FF0000"/>
          <w:w w:val="99"/>
          <w:sz w:val="24"/>
          <w:szCs w:val="24"/>
          <w:highlight w:val="none"/>
          <w:lang w:val="en-US" w:eastAsia="zh-CN" w:bidi="ar-SA"/>
        </w:rPr>
        <w:t>（2</w:t>
      </w:r>
      <w:r>
        <w:rPr>
          <w:rFonts w:hint="eastAsia" w:ascii="Times New Roman" w:hAnsi="Times New Roman" w:cs="Times New Roman"/>
          <w:color w:val="FF0000"/>
          <w:w w:val="99"/>
          <w:sz w:val="24"/>
          <w:szCs w:val="24"/>
          <w:highlight w:val="none"/>
          <w:lang w:val="en-US" w:eastAsia="zh-CN" w:bidi="ar-SA"/>
        </w:rPr>
        <w:t>5</w:t>
      </w:r>
      <w:r>
        <w:rPr>
          <w:rFonts w:hint="eastAsia" w:ascii="Times New Roman" w:hAnsi="Times New Roman" w:eastAsia="宋体" w:cs="Times New Roman"/>
          <w:color w:val="FF0000"/>
          <w:w w:val="99"/>
          <w:sz w:val="24"/>
          <w:szCs w:val="24"/>
          <w:highlight w:val="none"/>
          <w:lang w:val="en-US" w:eastAsia="zh-CN" w:bidi="ar-SA"/>
        </w:rPr>
        <w:t>）《绥化市空气质量持续改善行动计划实施方案》（绥政发【2024】16号）；</w:t>
      </w:r>
    </w:p>
    <w:p w14:paraId="34E5A8E5">
      <w:pPr>
        <w:pStyle w:val="153"/>
        <w:widowControl w:val="0"/>
        <w:spacing w:line="440" w:lineRule="exact"/>
        <w:ind w:firstLine="473"/>
        <w:jc w:val="both"/>
        <w:rPr>
          <w:rFonts w:hint="eastAsia" w:ascii="Times New Roman" w:hAnsi="Times New Roman" w:eastAsia="宋体" w:cs="Times New Roman"/>
          <w:color w:val="FF0000"/>
          <w:w w:val="99"/>
          <w:sz w:val="24"/>
          <w:szCs w:val="24"/>
          <w:highlight w:val="none"/>
          <w:lang w:val="en-US" w:eastAsia="zh-CN" w:bidi="ar-SA"/>
        </w:rPr>
      </w:pPr>
      <w:r>
        <w:rPr>
          <w:rFonts w:hint="eastAsia" w:ascii="Times New Roman" w:hAnsi="Times New Roman" w:eastAsia="宋体" w:cs="Times New Roman"/>
          <w:color w:val="FF0000"/>
          <w:w w:val="99"/>
          <w:sz w:val="24"/>
          <w:szCs w:val="24"/>
          <w:highlight w:val="none"/>
          <w:lang w:val="en-US" w:eastAsia="zh-CN" w:bidi="ar-SA"/>
        </w:rPr>
        <w:t>（2</w:t>
      </w:r>
      <w:r>
        <w:rPr>
          <w:rFonts w:hint="eastAsia" w:ascii="Times New Roman" w:hAnsi="Times New Roman" w:cs="Times New Roman"/>
          <w:color w:val="FF0000"/>
          <w:w w:val="99"/>
          <w:sz w:val="24"/>
          <w:szCs w:val="24"/>
          <w:highlight w:val="none"/>
          <w:lang w:val="en-US" w:eastAsia="zh-CN" w:bidi="ar-SA"/>
        </w:rPr>
        <w:t>6</w:t>
      </w:r>
      <w:r>
        <w:rPr>
          <w:rFonts w:hint="eastAsia" w:ascii="Times New Roman" w:hAnsi="Times New Roman" w:eastAsia="宋体" w:cs="Times New Roman"/>
          <w:color w:val="FF0000"/>
          <w:w w:val="99"/>
          <w:sz w:val="24"/>
          <w:szCs w:val="24"/>
          <w:highlight w:val="none"/>
          <w:lang w:val="en-US" w:eastAsia="zh-CN" w:bidi="ar-SA"/>
        </w:rPr>
        <w:t>）《绥化市环境空气质量达标规划》（绥政发【2023】5号）；</w:t>
      </w:r>
    </w:p>
    <w:p w14:paraId="0E00D405">
      <w:pPr>
        <w:pStyle w:val="153"/>
        <w:widowControl w:val="0"/>
        <w:spacing w:line="440" w:lineRule="exact"/>
        <w:ind w:firstLine="473"/>
        <w:jc w:val="both"/>
        <w:rPr>
          <w:rFonts w:hint="eastAsia" w:ascii="Times New Roman" w:hAnsi="Times New Roman" w:eastAsia="宋体" w:cs="Times New Roman"/>
          <w:color w:val="FF0000"/>
          <w:w w:val="99"/>
          <w:sz w:val="24"/>
          <w:szCs w:val="24"/>
          <w:highlight w:val="none"/>
          <w:lang w:val="en-US" w:eastAsia="zh-CN" w:bidi="ar-SA"/>
        </w:rPr>
      </w:pPr>
      <w:r>
        <w:rPr>
          <w:rFonts w:hint="eastAsia" w:ascii="Times New Roman" w:hAnsi="Times New Roman" w:eastAsia="宋体" w:cs="Times New Roman"/>
          <w:color w:val="FF0000"/>
          <w:w w:val="99"/>
          <w:sz w:val="24"/>
          <w:szCs w:val="24"/>
          <w:highlight w:val="none"/>
          <w:lang w:val="en-US" w:eastAsia="zh-CN" w:bidi="ar-SA"/>
        </w:rPr>
        <w:t>（</w:t>
      </w:r>
      <w:r>
        <w:rPr>
          <w:rFonts w:hint="eastAsia" w:ascii="Times New Roman" w:hAnsi="Times New Roman" w:cs="Times New Roman"/>
          <w:color w:val="FF0000"/>
          <w:w w:val="99"/>
          <w:sz w:val="24"/>
          <w:szCs w:val="24"/>
          <w:highlight w:val="none"/>
          <w:lang w:val="en-US" w:eastAsia="zh-CN" w:bidi="ar-SA"/>
        </w:rPr>
        <w:t>27</w:t>
      </w:r>
      <w:r>
        <w:rPr>
          <w:rFonts w:hint="eastAsia" w:ascii="Times New Roman" w:hAnsi="Times New Roman" w:eastAsia="宋体" w:cs="Times New Roman"/>
          <w:color w:val="FF0000"/>
          <w:w w:val="99"/>
          <w:sz w:val="24"/>
          <w:szCs w:val="24"/>
          <w:highlight w:val="none"/>
          <w:lang w:val="en-US" w:eastAsia="zh-CN" w:bidi="ar-SA"/>
        </w:rPr>
        <w:t>）《黑龙江省国土空间总体规划(2021-2035年)》；</w:t>
      </w:r>
    </w:p>
    <w:p w14:paraId="39B801E4">
      <w:pPr>
        <w:pStyle w:val="153"/>
        <w:widowControl w:val="0"/>
        <w:spacing w:line="440" w:lineRule="exact"/>
        <w:ind w:firstLine="473"/>
        <w:jc w:val="both"/>
        <w:rPr>
          <w:rFonts w:hint="eastAsia" w:ascii="Times New Roman" w:hAnsi="Times New Roman" w:eastAsia="宋体" w:cs="Times New Roman"/>
          <w:color w:val="FF0000"/>
          <w:w w:val="99"/>
          <w:sz w:val="24"/>
          <w:szCs w:val="24"/>
          <w:highlight w:val="none"/>
          <w:lang w:val="en-US" w:eastAsia="zh-CN" w:bidi="ar-SA"/>
        </w:rPr>
      </w:pPr>
      <w:r>
        <w:rPr>
          <w:rFonts w:hint="eastAsia" w:ascii="Times New Roman" w:hAnsi="Times New Roman" w:eastAsia="宋体" w:cs="Times New Roman"/>
          <w:color w:val="FF0000"/>
          <w:w w:val="99"/>
          <w:sz w:val="24"/>
          <w:szCs w:val="24"/>
          <w:highlight w:val="none"/>
          <w:lang w:val="en-US" w:eastAsia="zh-CN" w:bidi="ar-SA"/>
        </w:rPr>
        <w:t>（</w:t>
      </w:r>
      <w:r>
        <w:rPr>
          <w:rFonts w:hint="eastAsia" w:ascii="Times New Roman" w:hAnsi="Times New Roman" w:cs="Times New Roman"/>
          <w:color w:val="FF0000"/>
          <w:w w:val="99"/>
          <w:sz w:val="24"/>
          <w:szCs w:val="24"/>
          <w:highlight w:val="none"/>
          <w:lang w:val="en-US" w:eastAsia="zh-CN" w:bidi="ar-SA"/>
        </w:rPr>
        <w:t>28</w:t>
      </w:r>
      <w:r>
        <w:rPr>
          <w:rFonts w:hint="eastAsia" w:ascii="Times New Roman" w:hAnsi="Times New Roman" w:eastAsia="宋体" w:cs="Times New Roman"/>
          <w:color w:val="FF0000"/>
          <w:w w:val="99"/>
          <w:sz w:val="24"/>
          <w:szCs w:val="24"/>
          <w:highlight w:val="none"/>
          <w:lang w:val="en-US" w:eastAsia="zh-CN" w:bidi="ar-SA"/>
        </w:rPr>
        <w:t>）《绥化市国土空间总体规划(2021-2035年)》；</w:t>
      </w:r>
    </w:p>
    <w:p w14:paraId="4EAB15FD">
      <w:pPr>
        <w:pStyle w:val="153"/>
        <w:widowControl w:val="0"/>
        <w:spacing w:line="440" w:lineRule="exact"/>
        <w:ind w:firstLine="473"/>
        <w:jc w:val="both"/>
        <w:rPr>
          <w:rFonts w:hint="eastAsia" w:ascii="Times New Roman" w:hAnsi="Times New Roman" w:eastAsia="宋体" w:cs="Times New Roman"/>
          <w:color w:val="FF0000"/>
          <w:w w:val="99"/>
          <w:sz w:val="24"/>
          <w:szCs w:val="24"/>
          <w:highlight w:val="none"/>
          <w:lang w:val="en-US" w:eastAsia="zh-CN" w:bidi="ar-SA"/>
        </w:rPr>
      </w:pPr>
      <w:r>
        <w:rPr>
          <w:rFonts w:hint="eastAsia" w:ascii="Times New Roman" w:hAnsi="Times New Roman" w:eastAsia="宋体" w:cs="Times New Roman"/>
          <w:color w:val="FF0000"/>
          <w:w w:val="99"/>
          <w:sz w:val="24"/>
          <w:szCs w:val="24"/>
          <w:highlight w:val="none"/>
          <w:lang w:val="en-US" w:eastAsia="zh-CN" w:bidi="ar-SA"/>
        </w:rPr>
        <w:t>（</w:t>
      </w:r>
      <w:r>
        <w:rPr>
          <w:rFonts w:hint="eastAsia" w:ascii="Times New Roman" w:hAnsi="Times New Roman" w:cs="Times New Roman"/>
          <w:color w:val="FF0000"/>
          <w:w w:val="99"/>
          <w:sz w:val="24"/>
          <w:szCs w:val="24"/>
          <w:highlight w:val="none"/>
          <w:lang w:val="en-US" w:eastAsia="zh-CN" w:bidi="ar-SA"/>
        </w:rPr>
        <w:t>29</w:t>
      </w:r>
      <w:r>
        <w:rPr>
          <w:rFonts w:hint="eastAsia" w:ascii="Times New Roman" w:hAnsi="Times New Roman" w:eastAsia="宋体" w:cs="Times New Roman"/>
          <w:color w:val="FF0000"/>
          <w:w w:val="99"/>
          <w:sz w:val="24"/>
          <w:szCs w:val="24"/>
          <w:highlight w:val="none"/>
          <w:lang w:val="en-US" w:eastAsia="zh-CN" w:bidi="ar-SA"/>
        </w:rPr>
        <w:t>）《肇东市国土空间总体规划(2021-2035年)》；</w:t>
      </w:r>
    </w:p>
    <w:p w14:paraId="5213D718">
      <w:pPr>
        <w:pStyle w:val="153"/>
        <w:widowControl w:val="0"/>
        <w:spacing w:line="440" w:lineRule="exact"/>
        <w:ind w:firstLine="473"/>
        <w:rPr>
          <w:rFonts w:hint="eastAsia" w:ascii="Times New Roman" w:hAnsi="Times New Roman" w:cs="Times New Roman"/>
          <w:snapToGrid w:val="0"/>
          <w:color w:val="FF0000"/>
          <w:w w:val="99"/>
          <w:highlight w:val="none"/>
          <w:lang w:eastAsia="zh-CN"/>
        </w:rPr>
      </w:pPr>
      <w:r>
        <w:rPr>
          <w:rFonts w:hint="eastAsia" w:ascii="Times New Roman" w:hAnsi="Times New Roman" w:eastAsia="宋体" w:cs="Times New Roman"/>
          <w:color w:val="FF0000"/>
          <w:w w:val="99"/>
          <w:sz w:val="24"/>
          <w:szCs w:val="24"/>
          <w:highlight w:val="none"/>
          <w:lang w:val="en-US" w:eastAsia="zh-CN" w:bidi="ar-SA"/>
        </w:rPr>
        <w:t>（3</w:t>
      </w:r>
      <w:r>
        <w:rPr>
          <w:rFonts w:hint="eastAsia" w:ascii="Times New Roman" w:hAnsi="Times New Roman" w:cs="Times New Roman"/>
          <w:color w:val="FF0000"/>
          <w:w w:val="99"/>
          <w:sz w:val="24"/>
          <w:szCs w:val="24"/>
          <w:highlight w:val="none"/>
          <w:lang w:val="en-US" w:eastAsia="zh-CN" w:bidi="ar-SA"/>
        </w:rPr>
        <w:t>0</w:t>
      </w:r>
      <w:r>
        <w:rPr>
          <w:rFonts w:hint="eastAsia" w:ascii="Times New Roman" w:hAnsi="Times New Roman" w:eastAsia="宋体" w:cs="Times New Roman"/>
          <w:color w:val="FF0000"/>
          <w:w w:val="99"/>
          <w:sz w:val="24"/>
          <w:szCs w:val="24"/>
          <w:highlight w:val="none"/>
          <w:lang w:val="en-US" w:eastAsia="zh-CN" w:bidi="ar-SA"/>
        </w:rPr>
        <w:t>）《大庆油气田地面工程“十四五”规划》；</w:t>
      </w:r>
      <w:r>
        <w:rPr>
          <w:rFonts w:hint="eastAsia" w:ascii="Times New Roman" w:hAnsi="Times New Roman" w:cs="Times New Roman"/>
          <w:snapToGrid w:val="0"/>
          <w:color w:val="FF0000"/>
          <w:w w:val="99"/>
          <w:highlight w:val="none"/>
          <w:lang w:eastAsia="zh-CN"/>
        </w:rPr>
        <w:t>；</w:t>
      </w:r>
    </w:p>
    <w:p w14:paraId="4B8007A7">
      <w:pPr>
        <w:pStyle w:val="153"/>
        <w:widowControl w:val="0"/>
        <w:spacing w:line="440" w:lineRule="exact"/>
        <w:ind w:firstLine="473"/>
        <w:rPr>
          <w:rFonts w:hint="eastAsia" w:ascii="Times New Roman" w:hAnsi="Times New Roman" w:cs="Times New Roman"/>
          <w:snapToGrid w:val="0"/>
          <w:color w:val="FF0000"/>
          <w:w w:val="99"/>
          <w:highlight w:val="none"/>
          <w:lang w:eastAsia="zh-CN"/>
        </w:rPr>
      </w:pPr>
      <w:r>
        <w:rPr>
          <w:rFonts w:hint="eastAsia" w:ascii="Times New Roman" w:hAnsi="Times New Roman" w:cs="Times New Roman"/>
          <w:snapToGrid w:val="0"/>
          <w:color w:val="FF0000"/>
          <w:w w:val="99"/>
          <w:highlight w:val="none"/>
          <w:lang w:eastAsia="zh-CN"/>
        </w:rPr>
        <w:t>（</w:t>
      </w:r>
      <w:r>
        <w:rPr>
          <w:rFonts w:hint="eastAsia" w:ascii="Times New Roman" w:hAnsi="Times New Roman" w:cs="Times New Roman"/>
          <w:snapToGrid w:val="0"/>
          <w:color w:val="FF0000"/>
          <w:w w:val="99"/>
          <w:highlight w:val="none"/>
          <w:lang w:val="en-US" w:eastAsia="zh-CN"/>
        </w:rPr>
        <w:t>31</w:t>
      </w:r>
      <w:r>
        <w:rPr>
          <w:rFonts w:hint="eastAsia" w:ascii="Times New Roman" w:hAnsi="Times New Roman" w:cs="Times New Roman"/>
          <w:snapToGrid w:val="0"/>
          <w:color w:val="FF0000"/>
          <w:w w:val="99"/>
          <w:highlight w:val="none"/>
          <w:lang w:eastAsia="zh-CN"/>
        </w:rPr>
        <w:t>）《固体废物综合治理行动计划》的通知（国发〔2025〕14号）；</w:t>
      </w:r>
    </w:p>
    <w:p w14:paraId="5AD72C05">
      <w:pPr>
        <w:pStyle w:val="153"/>
        <w:widowControl w:val="0"/>
        <w:spacing w:line="440" w:lineRule="exact"/>
        <w:ind w:firstLine="473"/>
        <w:rPr>
          <w:rFonts w:ascii="Times New Roman" w:hAnsi="Times New Roman" w:eastAsia="宋体" w:cs="Times New Roman"/>
          <w:snapToGrid w:val="0"/>
          <w:color w:val="FF0000"/>
          <w:w w:val="99"/>
          <w:highlight w:val="none"/>
        </w:rPr>
      </w:pPr>
      <w:r>
        <w:rPr>
          <w:rFonts w:hint="eastAsia" w:ascii="Times New Roman" w:hAnsi="Times New Roman" w:cs="Times New Roman"/>
          <w:snapToGrid w:val="0"/>
          <w:color w:val="FF0000"/>
          <w:w w:val="99"/>
          <w:highlight w:val="none"/>
          <w:lang w:eastAsia="zh-CN"/>
        </w:rPr>
        <w:t>（</w:t>
      </w:r>
      <w:r>
        <w:rPr>
          <w:rFonts w:hint="eastAsia" w:ascii="Times New Roman" w:hAnsi="Times New Roman" w:cs="Times New Roman"/>
          <w:snapToGrid w:val="0"/>
          <w:color w:val="FF0000"/>
          <w:w w:val="99"/>
          <w:highlight w:val="none"/>
          <w:lang w:val="en-US" w:eastAsia="zh-CN"/>
        </w:rPr>
        <w:t>32</w:t>
      </w:r>
      <w:r>
        <w:rPr>
          <w:rFonts w:hint="eastAsia" w:ascii="Times New Roman" w:hAnsi="Times New Roman" w:cs="Times New Roman"/>
          <w:snapToGrid w:val="0"/>
          <w:color w:val="FF0000"/>
          <w:w w:val="99"/>
          <w:highlight w:val="none"/>
          <w:lang w:eastAsia="zh-CN"/>
        </w:rPr>
        <w:t>）</w:t>
      </w:r>
      <w:r>
        <w:rPr>
          <w:rFonts w:hint="eastAsia" w:ascii="Times New Roman" w:hAnsi="Times New Roman" w:cs="Times New Roman"/>
          <w:snapToGrid w:val="0"/>
          <w:color w:val="FF0000"/>
          <w:w w:val="99"/>
          <w:highlight w:val="none"/>
          <w:lang w:val="en-US" w:eastAsia="zh-CN"/>
        </w:rPr>
        <w:t>《甲烷排放控制行动方案》的通知（环气候〔2023〕67号）</w:t>
      </w:r>
      <w:r>
        <w:rPr>
          <w:rFonts w:ascii="Times New Roman" w:hAnsi="Times New Roman" w:eastAsia="宋体" w:cs="Times New Roman"/>
          <w:snapToGrid w:val="0"/>
          <w:color w:val="FF0000"/>
          <w:w w:val="99"/>
          <w:highlight w:val="none"/>
        </w:rPr>
        <w:t>。</w:t>
      </w:r>
    </w:p>
    <w:p w14:paraId="0BC08F84">
      <w:pPr>
        <w:pStyle w:val="7"/>
        <w:widowControl w:val="0"/>
        <w:spacing w:before="60" w:after="60" w:line="440" w:lineRule="exact"/>
        <w:jc w:val="both"/>
        <w:rPr>
          <w:rFonts w:eastAsiaTheme="minorEastAsia"/>
          <w:b/>
          <w:color w:val="FF0000"/>
          <w:w w:val="99"/>
          <w:kern w:val="2"/>
          <w:sz w:val="24"/>
          <w:szCs w:val="24"/>
          <w:highlight w:val="none"/>
        </w:rPr>
      </w:pPr>
      <w:bookmarkStart w:id="183" w:name="_Toc84929194"/>
      <w:bookmarkStart w:id="184" w:name="_Toc126863357"/>
      <w:bookmarkStart w:id="185" w:name="_Toc85640718"/>
      <w:bookmarkStart w:id="186" w:name="_Toc143099544"/>
      <w:bookmarkStart w:id="187" w:name="_Toc131167257"/>
      <w:bookmarkStart w:id="188" w:name="_Toc127192306"/>
      <w:bookmarkStart w:id="189" w:name="_Toc86141901"/>
      <w:bookmarkStart w:id="190" w:name="_Toc186444241"/>
      <w:r>
        <w:rPr>
          <w:rFonts w:eastAsiaTheme="minorEastAsia"/>
          <w:b/>
          <w:color w:val="FF0000"/>
          <w:w w:val="99"/>
          <w:kern w:val="2"/>
          <w:sz w:val="24"/>
          <w:szCs w:val="24"/>
          <w:highlight w:val="none"/>
        </w:rPr>
        <w:t>2.3.3技术依据</w:t>
      </w:r>
      <w:bookmarkEnd w:id="183"/>
      <w:bookmarkEnd w:id="184"/>
      <w:bookmarkEnd w:id="185"/>
      <w:bookmarkEnd w:id="186"/>
      <w:bookmarkEnd w:id="187"/>
      <w:bookmarkEnd w:id="188"/>
      <w:bookmarkEnd w:id="189"/>
      <w:bookmarkEnd w:id="190"/>
    </w:p>
    <w:p w14:paraId="754E6A4E">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（1）《建设项目环境影响评价技术导则 总纲》（HJ2.1-2016）；</w:t>
      </w:r>
    </w:p>
    <w:p w14:paraId="5C512ABF">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（2）《环境影响评价技术导则 大气环境》（HJ2.2-2018）；</w:t>
      </w:r>
    </w:p>
    <w:p w14:paraId="30E1B755">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（3）《环境影响评价技术导则 地表水环境》（HJ2.3-2018）；</w:t>
      </w:r>
    </w:p>
    <w:p w14:paraId="5E42F877">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（4）《环境影响评价技术导则 声环境》（HJ2.4-2021）；</w:t>
      </w:r>
    </w:p>
    <w:p w14:paraId="4A42DD19">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（5）《环境影响评价技术导则 地下水环境》（HJ610-2016）；</w:t>
      </w:r>
    </w:p>
    <w:p w14:paraId="0228E931">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（6）《环境影响评价技术导则 生态影响》（HJ19-2022）；</w:t>
      </w:r>
    </w:p>
    <w:p w14:paraId="7686BFDC">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（7）《环境影响评价技术导则 土壤环境（试行）》（HJ964-2018）；</w:t>
      </w:r>
    </w:p>
    <w:p w14:paraId="2A7B4A92">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（8）《建设项目环境风险评价技术导则》（HJ169-2018）；</w:t>
      </w:r>
    </w:p>
    <w:p w14:paraId="56E87FF4">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（9）《环境影响评价技术导则 陆地石油天然气开发建设项目》（HJ349-2023）；</w:t>
      </w:r>
    </w:p>
    <w:p w14:paraId="3081A755">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（10）《排污许可证申请与核发技术规范 总则》（HJ942-2018）；</w:t>
      </w:r>
    </w:p>
    <w:p w14:paraId="78FD2CBC">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（11）《排污单位自行监测技术指南 总则》（HJ819-2017）；</w:t>
      </w:r>
    </w:p>
    <w:p w14:paraId="23AA25BB">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（12）《排污单位自行监测技术指南 陆上石油天然气开采工业》（HJ1248-2022）；</w:t>
      </w:r>
    </w:p>
    <w:p w14:paraId="51762D1B">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（13）</w:t>
      </w:r>
      <w:r>
        <w:rPr>
          <w:rFonts w:ascii="Times New Roman" w:hAnsi="Times New Roman" w:cs="Times New Roman"/>
          <w:snapToGrid w:val="0"/>
          <w:color w:val="FF0000"/>
          <w:w w:val="99"/>
          <w:highlight w:val="none"/>
          <w:lang w:bidi="zh-CN"/>
        </w:rPr>
        <w:t>《工业企业土壤和地下水自行监测</w:t>
      </w:r>
      <w:r>
        <w:rPr>
          <w:rFonts w:hint="eastAsia" w:ascii="Times New Roman" w:hAnsi="Times New Roman" w:cs="Times New Roman"/>
          <w:snapToGrid w:val="0"/>
          <w:color w:val="FF0000"/>
          <w:w w:val="99"/>
          <w:highlight w:val="none"/>
          <w:lang w:bidi="zh-CN"/>
        </w:rPr>
        <w:t>技术指南（试行）</w:t>
      </w:r>
      <w:r>
        <w:rPr>
          <w:rFonts w:ascii="Times New Roman" w:hAnsi="Times New Roman" w:cs="Times New Roman"/>
          <w:snapToGrid w:val="0"/>
          <w:color w:val="FF0000"/>
          <w:w w:val="99"/>
          <w:highlight w:val="none"/>
          <w:lang w:bidi="zh-CN"/>
        </w:rPr>
        <w:t>》（HJ1209-2021）；</w:t>
      </w:r>
    </w:p>
    <w:p w14:paraId="5D65816C">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（14）</w:t>
      </w:r>
      <w:r>
        <w:rPr>
          <w:rFonts w:ascii="Times New Roman" w:hAnsi="Times New Roman" w:cs="Times New Roman"/>
          <w:bCs/>
          <w:snapToGrid w:val="0"/>
          <w:color w:val="FF0000"/>
          <w:w w:val="99"/>
          <w:highlight w:val="none"/>
          <w:lang w:bidi="zh-CN"/>
        </w:rPr>
        <w:t>《地下水环境监测技术规范》（HJ164-2020）</w:t>
      </w:r>
      <w:r>
        <w:rPr>
          <w:rFonts w:hint="eastAsia" w:ascii="Times New Roman" w:hAnsi="Times New Roman" w:cs="Times New Roman"/>
          <w:bCs/>
          <w:snapToGrid w:val="0"/>
          <w:color w:val="FF0000"/>
          <w:w w:val="99"/>
          <w:highlight w:val="none"/>
          <w:lang w:bidi="zh-CN"/>
        </w:rPr>
        <w:t>；</w:t>
      </w:r>
    </w:p>
    <w:p w14:paraId="3DAD4B29">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（15）《建设项目危险废物环境影响评价指南》（</w:t>
      </w:r>
      <w:r>
        <w:rPr>
          <w:rFonts w:hint="eastAsia" w:ascii="Times New Roman" w:hAnsi="Times New Roman" w:cs="Times New Roman"/>
          <w:snapToGrid w:val="0"/>
          <w:color w:val="FF0000"/>
          <w:w w:val="99"/>
          <w:highlight w:val="none"/>
          <w:lang w:val="zh-CN" w:bidi="zh-CN"/>
        </w:rPr>
        <w:t>环保部公告〔</w:t>
      </w:r>
      <w:r>
        <w:rPr>
          <w:rFonts w:ascii="Times New Roman" w:hAnsi="Times New Roman" w:cs="Times New Roman"/>
          <w:snapToGrid w:val="0"/>
          <w:color w:val="FF0000"/>
          <w:w w:val="99"/>
          <w:highlight w:val="none"/>
          <w:lang w:val="zh-CN" w:bidi="zh-CN"/>
        </w:rPr>
        <w:t>2017〕43号）；</w:t>
      </w:r>
    </w:p>
    <w:p w14:paraId="3C294261">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（16）《危险废物环境管理指南 陆上石油天然气开采》（</w:t>
      </w:r>
      <w:r>
        <w:rPr>
          <w:rFonts w:hint="eastAsia" w:ascii="Times New Roman" w:hAnsi="Times New Roman" w:cs="Times New Roman"/>
          <w:snapToGrid w:val="0"/>
          <w:color w:val="FF0000"/>
          <w:w w:val="99"/>
          <w:highlight w:val="none"/>
          <w:lang w:bidi="zh-CN"/>
        </w:rPr>
        <w:t>环境部公告〔</w:t>
      </w:r>
      <w:r>
        <w:rPr>
          <w:rFonts w:ascii="Times New Roman" w:hAnsi="Times New Roman" w:cs="Times New Roman"/>
          <w:snapToGrid w:val="0"/>
          <w:color w:val="FF0000"/>
          <w:w w:val="99"/>
          <w:highlight w:val="none"/>
          <w:lang w:bidi="zh-CN"/>
        </w:rPr>
        <w:t>2021〕74号</w:t>
      </w:r>
      <w:r>
        <w:rPr>
          <w:rFonts w:ascii="Times New Roman" w:hAnsi="Times New Roman" w:cs="Times New Roman"/>
          <w:snapToGrid w:val="0"/>
          <w:color w:val="FF0000"/>
          <w:w w:val="99"/>
          <w:highlight w:val="none"/>
          <w:lang w:val="zh-CN" w:bidi="zh-CN"/>
        </w:rPr>
        <w:t>）；</w:t>
      </w:r>
    </w:p>
    <w:p w14:paraId="15E45EF4">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（17）《污染源源强核算技术指南 准则》（HJ884-2018）。</w:t>
      </w:r>
    </w:p>
    <w:p w14:paraId="751B76B4">
      <w:pPr>
        <w:widowControl w:val="0"/>
        <w:spacing w:line="440" w:lineRule="exact"/>
        <w:ind w:firstLine="474" w:firstLineChars="200"/>
        <w:jc w:val="both"/>
        <w:rPr>
          <w:rFonts w:ascii="Times New Roman" w:hAnsi="Times New Roman" w:cs="Times New Roman"/>
          <w:snapToGrid w:val="0"/>
          <w:color w:val="FF0000"/>
          <w:w w:val="99"/>
          <w:highlight w:val="none"/>
          <w:lang w:val="zh-CN" w:bidi="zh-CN"/>
        </w:rPr>
      </w:pPr>
      <w:r>
        <w:rPr>
          <w:rFonts w:ascii="Times New Roman" w:hAnsi="Times New Roman" w:cs="Times New Roman"/>
          <w:snapToGrid w:val="0"/>
          <w:color w:val="FF0000"/>
          <w:w w:val="99"/>
          <w:highlight w:val="none"/>
          <w:lang w:val="zh-CN" w:bidi="zh-CN"/>
        </w:rPr>
        <w:t>（18）《中国石油天然气生产企业温室气体排放核算方法与报告指南》；</w:t>
      </w:r>
    </w:p>
    <w:p w14:paraId="39A5BCD8">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（19）《危险废物收集 贮存 运输技术规范》（HJ2025-2012）；</w:t>
      </w:r>
    </w:p>
    <w:p w14:paraId="264A8236">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（20）《油田注水工程施工技术规范》（SY/T4122-2020）；</w:t>
      </w:r>
    </w:p>
    <w:p w14:paraId="13721FFF">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（21）《碎屑岩油藏注水水质指标技术要求及分析方法》（SY/T5329-2022）；</w:t>
      </w:r>
    </w:p>
    <w:p w14:paraId="1C422CF7">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（22）《</w:t>
      </w:r>
      <w:bookmarkStart w:id="191" w:name="OLE_LINK162"/>
      <w:bookmarkStart w:id="192" w:name="OLE_LINK169"/>
      <w:r>
        <w:rPr>
          <w:rFonts w:ascii="Times New Roman" w:hAnsi="Times New Roman" w:cs="Times New Roman"/>
          <w:snapToGrid w:val="0"/>
          <w:color w:val="FF0000"/>
          <w:w w:val="99"/>
          <w:highlight w:val="none"/>
          <w:lang w:bidi="zh-CN"/>
        </w:rPr>
        <w:t>陆上石油天然气生产环境保护推荐</w:t>
      </w:r>
      <w:r>
        <w:rPr>
          <w:rFonts w:hint="eastAsia" w:ascii="Times New Roman" w:hAnsi="Times New Roman" w:cs="Times New Roman"/>
          <w:snapToGrid w:val="0"/>
          <w:color w:val="FF0000"/>
          <w:w w:val="99"/>
          <w:highlight w:val="none"/>
          <w:lang w:bidi="zh-CN"/>
        </w:rPr>
        <w:t>作</w:t>
      </w:r>
      <w:r>
        <w:rPr>
          <w:rFonts w:ascii="Times New Roman" w:hAnsi="Times New Roman" w:cs="Times New Roman"/>
          <w:snapToGrid w:val="0"/>
          <w:color w:val="FF0000"/>
          <w:w w:val="99"/>
          <w:highlight w:val="none"/>
          <w:lang w:bidi="zh-CN"/>
        </w:rPr>
        <w:t>法</w:t>
      </w:r>
      <w:bookmarkEnd w:id="191"/>
      <w:bookmarkEnd w:id="192"/>
      <w:r>
        <w:rPr>
          <w:rFonts w:ascii="Times New Roman" w:hAnsi="Times New Roman" w:cs="Times New Roman"/>
          <w:snapToGrid w:val="0"/>
          <w:color w:val="FF0000"/>
          <w:w w:val="99"/>
          <w:highlight w:val="none"/>
          <w:lang w:bidi="zh-CN"/>
        </w:rPr>
        <w:t>》（</w:t>
      </w:r>
      <w:bookmarkStart w:id="193" w:name="OLE_LINK161"/>
      <w:bookmarkStart w:id="194" w:name="OLE_LINK160"/>
      <w:r>
        <w:rPr>
          <w:rFonts w:ascii="Times New Roman" w:hAnsi="Times New Roman" w:cs="Times New Roman"/>
          <w:snapToGrid w:val="0"/>
          <w:color w:val="FF0000"/>
          <w:w w:val="99"/>
          <w:highlight w:val="none"/>
          <w:lang w:bidi="zh-CN"/>
        </w:rPr>
        <w:t>SY/T6628-</w:t>
      </w:r>
      <w:bookmarkEnd w:id="193"/>
      <w:bookmarkEnd w:id="194"/>
      <w:r>
        <w:rPr>
          <w:rFonts w:ascii="Times New Roman" w:hAnsi="Times New Roman" w:cs="Times New Roman"/>
          <w:snapToGrid w:val="0"/>
          <w:color w:val="FF0000"/>
          <w:w w:val="99"/>
          <w:highlight w:val="none"/>
          <w:lang w:bidi="zh-CN"/>
        </w:rPr>
        <w:t>2005）；</w:t>
      </w:r>
    </w:p>
    <w:p w14:paraId="31C3C378">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（23）《矿山生态修复技术规范 第7部分：油气矿山》（TD/T1070.7-2022）；</w:t>
      </w:r>
    </w:p>
    <w:p w14:paraId="3E2E8DDD">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（24）《石油天然气项目土地复垦与生态修复技术规范》（GB/T43936-2024）；</w:t>
      </w:r>
    </w:p>
    <w:p w14:paraId="1B0524C3">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（25）《矿产资源“三率”指标要求第2部分：石油、天然气、煤层气、页岩气、二氧化碳气》（DZ/T0462.2-2023）；</w:t>
      </w:r>
    </w:p>
    <w:p w14:paraId="2F601FA3">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（26）《危险废物鉴别技术规范》（HJ298-2019）；</w:t>
      </w:r>
    </w:p>
    <w:p w14:paraId="15AA7F0B">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（27）《生产建设项目水土流失防治标准》（GB/T50434-2018）；</w:t>
      </w:r>
    </w:p>
    <w:p w14:paraId="2E5E186C">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（28）《固体废物分类与代码目录》（</w:t>
      </w:r>
      <w:r>
        <w:rPr>
          <w:rFonts w:hint="eastAsia" w:ascii="Times New Roman" w:hAnsi="Times New Roman" w:cs="Times New Roman"/>
          <w:snapToGrid w:val="0"/>
          <w:color w:val="FF0000"/>
          <w:w w:val="99"/>
          <w:highlight w:val="none"/>
          <w:lang w:bidi="zh-CN"/>
        </w:rPr>
        <w:t>环境部公告〔</w:t>
      </w:r>
      <w:r>
        <w:rPr>
          <w:rFonts w:ascii="Times New Roman" w:hAnsi="Times New Roman" w:cs="Times New Roman"/>
          <w:snapToGrid w:val="0"/>
          <w:color w:val="FF0000"/>
          <w:w w:val="99"/>
          <w:highlight w:val="none"/>
          <w:lang w:bidi="zh-CN"/>
        </w:rPr>
        <w:t>2024〕4号）；</w:t>
      </w:r>
    </w:p>
    <w:p w14:paraId="46DAF655">
      <w:pPr>
        <w:widowControl w:val="0"/>
        <w:spacing w:line="440" w:lineRule="exact"/>
        <w:ind w:firstLine="474" w:firstLineChars="200"/>
        <w:jc w:val="both"/>
        <w:rPr>
          <w:rFonts w:ascii="Times New Roman" w:hAnsi="Times New Roman" w:cs="Times New Roman"/>
          <w:snapToGrid w:val="0"/>
          <w:color w:val="FF0000"/>
          <w:w w:val="99"/>
          <w:highlight w:val="none"/>
          <w:lang w:bidi="zh-CN"/>
        </w:rPr>
      </w:pPr>
      <w:r>
        <w:rPr>
          <w:rFonts w:ascii="Times New Roman" w:hAnsi="Times New Roman" w:cs="Times New Roman"/>
          <w:snapToGrid w:val="0"/>
          <w:color w:val="FF0000"/>
          <w:w w:val="99"/>
          <w:highlight w:val="none"/>
          <w:lang w:bidi="zh-CN"/>
        </w:rPr>
        <w:t>（</w:t>
      </w:r>
      <w:r>
        <w:rPr>
          <w:rFonts w:hint="eastAsia" w:ascii="Times New Roman" w:hAnsi="Times New Roman" w:cs="Times New Roman"/>
          <w:snapToGrid w:val="0"/>
          <w:color w:val="FF0000"/>
          <w:w w:val="99"/>
          <w:highlight w:val="none"/>
          <w:lang w:bidi="zh-CN"/>
        </w:rPr>
        <w:t>2</w:t>
      </w:r>
      <w:r>
        <w:rPr>
          <w:rFonts w:ascii="Times New Roman" w:hAnsi="Times New Roman" w:cs="Times New Roman"/>
          <w:snapToGrid w:val="0"/>
          <w:color w:val="FF0000"/>
          <w:w w:val="99"/>
          <w:highlight w:val="none"/>
          <w:lang w:bidi="zh-CN"/>
        </w:rPr>
        <w:t>9）《地下水型饮用水水源补给区划定技术指南（试行）》（环办便函</w:t>
      </w:r>
      <w:r>
        <w:rPr>
          <w:rFonts w:hint="eastAsia" w:ascii="Times New Roman" w:hAnsi="Times New Roman" w:cs="Times New Roman"/>
          <w:snapToGrid w:val="0"/>
          <w:color w:val="FF0000"/>
          <w:w w:val="99"/>
          <w:highlight w:val="none"/>
          <w:lang w:bidi="zh-CN"/>
        </w:rPr>
        <w:t>〔</w:t>
      </w:r>
      <w:r>
        <w:rPr>
          <w:rFonts w:ascii="Times New Roman" w:hAnsi="Times New Roman" w:cs="Times New Roman"/>
          <w:snapToGrid w:val="0"/>
          <w:color w:val="FF0000"/>
          <w:w w:val="99"/>
          <w:highlight w:val="none"/>
          <w:lang w:bidi="zh-CN"/>
        </w:rPr>
        <w:t>2022〕335号）</w:t>
      </w:r>
      <w:r>
        <w:rPr>
          <w:rFonts w:hint="eastAsia" w:ascii="Times New Roman" w:hAnsi="Times New Roman" w:cs="Times New Roman"/>
          <w:snapToGrid w:val="0"/>
          <w:color w:val="FF0000"/>
          <w:w w:val="99"/>
          <w:highlight w:val="none"/>
          <w:lang w:bidi="zh-CN"/>
        </w:rPr>
        <w:t>。</w:t>
      </w:r>
    </w:p>
    <w:p w14:paraId="34AA79F1">
      <w:pPr>
        <w:pStyle w:val="7"/>
        <w:widowControl w:val="0"/>
        <w:spacing w:before="60" w:after="60" w:line="440" w:lineRule="exact"/>
        <w:jc w:val="both"/>
        <w:rPr>
          <w:rFonts w:eastAsiaTheme="minorEastAsia"/>
          <w:b/>
          <w:color w:val="auto"/>
          <w:w w:val="99"/>
          <w:kern w:val="2"/>
          <w:sz w:val="24"/>
          <w:szCs w:val="24"/>
          <w:highlight w:val="none"/>
        </w:rPr>
      </w:pPr>
      <w:bookmarkStart w:id="195" w:name="_Toc127192307"/>
      <w:bookmarkStart w:id="196" w:name="_Toc86141902"/>
      <w:bookmarkStart w:id="197" w:name="_Toc131167258"/>
      <w:bookmarkStart w:id="198" w:name="_Toc126863358"/>
      <w:bookmarkStart w:id="199" w:name="_Toc143099545"/>
      <w:bookmarkStart w:id="200" w:name="_Toc186444242"/>
      <w:bookmarkStart w:id="201" w:name="_Toc84929195"/>
      <w:bookmarkStart w:id="202" w:name="_Toc85640719"/>
      <w:r>
        <w:rPr>
          <w:rFonts w:eastAsiaTheme="minorEastAsia"/>
          <w:b/>
          <w:color w:val="auto"/>
          <w:w w:val="99"/>
          <w:kern w:val="2"/>
          <w:sz w:val="24"/>
          <w:szCs w:val="24"/>
          <w:highlight w:val="none"/>
        </w:rPr>
        <w:t>2.3.4其它相关依据及支持性文件</w:t>
      </w:r>
      <w:bookmarkEnd w:id="195"/>
      <w:bookmarkEnd w:id="196"/>
      <w:bookmarkEnd w:id="197"/>
      <w:bookmarkEnd w:id="198"/>
      <w:bookmarkEnd w:id="199"/>
      <w:bookmarkEnd w:id="200"/>
      <w:bookmarkEnd w:id="201"/>
      <w:bookmarkEnd w:id="202"/>
    </w:p>
    <w:p w14:paraId="1D75F4ED">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（1）《徐深气田徐深 9 区块营城组气藏产能建设项目（2026 年）可行性研究报告</w:t>
      </w:r>
    </w:p>
    <w:p w14:paraId="61A52D7F">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地面工程部分》</w:t>
      </w:r>
      <w:r>
        <w:rPr>
          <w:rFonts w:hint="eastAsia" w:ascii="Times New Roman" w:hAnsi="Times New Roman" w:cs="Times New Roman"/>
          <w:snapToGrid w:val="0"/>
          <w:color w:val="auto"/>
          <w:w w:val="99"/>
          <w:highlight w:val="none"/>
          <w:lang w:eastAsia="zh-CN"/>
        </w:rPr>
        <w:t>（</w:t>
      </w:r>
      <w:r>
        <w:rPr>
          <w:rFonts w:ascii="Times New Roman" w:hAnsi="Times New Roman" w:eastAsia="宋体" w:cs="Times New Roman"/>
          <w:snapToGrid w:val="0"/>
          <w:color w:val="auto"/>
          <w:w w:val="99"/>
          <w:highlight w:val="none"/>
        </w:rPr>
        <w:t>项目号：S（26）0515QC005</w:t>
      </w:r>
      <w:r>
        <w:rPr>
          <w:rFonts w:hint="eastAsia" w:ascii="Times New Roman" w:hAnsi="Times New Roman" w:cs="Times New Roman"/>
          <w:snapToGrid w:val="0"/>
          <w:color w:val="auto"/>
          <w:w w:val="99"/>
          <w:highlight w:val="none"/>
          <w:lang w:eastAsia="zh-CN"/>
        </w:rPr>
        <w:t>），大庆油田设计院有限公司，</w:t>
      </w:r>
      <w:r>
        <w:rPr>
          <w:rFonts w:hint="eastAsia" w:ascii="Times New Roman" w:hAnsi="Times New Roman" w:cs="Times New Roman"/>
          <w:snapToGrid w:val="0"/>
          <w:color w:val="auto"/>
          <w:w w:val="99"/>
          <w:highlight w:val="none"/>
          <w:lang w:val="en-US" w:eastAsia="zh-CN"/>
        </w:rPr>
        <w:t>2026年5月</w:t>
      </w:r>
      <w:r>
        <w:rPr>
          <w:rFonts w:ascii="Times New Roman" w:hAnsi="Times New Roman" w:eastAsia="宋体" w:cs="Times New Roman"/>
          <w:snapToGrid w:val="0"/>
          <w:color w:val="auto"/>
          <w:w w:val="99"/>
          <w:highlight w:val="none"/>
        </w:rPr>
        <w:t>；</w:t>
      </w:r>
    </w:p>
    <w:p w14:paraId="325D1E2F">
      <w:pPr>
        <w:pStyle w:val="153"/>
        <w:widowControl w:val="0"/>
        <w:spacing w:line="440" w:lineRule="exact"/>
        <w:ind w:firstLine="473"/>
        <w:rPr>
          <w:rFonts w:ascii="Times New Roman" w:hAnsi="Times New Roman" w:eastAsia="宋体" w:cs="Times New Roman"/>
          <w:snapToGrid w:val="0"/>
          <w:color w:val="auto"/>
          <w:w w:val="99"/>
          <w:highlight w:val="none"/>
        </w:rPr>
      </w:pPr>
      <w:r>
        <w:rPr>
          <w:rFonts w:hint="eastAsia" w:ascii="Times New Roman" w:hAnsi="Times New Roman" w:cs="Times New Roman"/>
          <w:snapToGrid w:val="0"/>
          <w:color w:val="auto"/>
          <w:w w:val="99"/>
          <w:highlight w:val="none"/>
          <w:lang w:eastAsia="zh-CN"/>
        </w:rPr>
        <w:t>（</w:t>
      </w:r>
      <w:r>
        <w:rPr>
          <w:rFonts w:hint="eastAsia" w:ascii="Times New Roman" w:hAnsi="Times New Roman" w:cs="Times New Roman"/>
          <w:snapToGrid w:val="0"/>
          <w:color w:val="auto"/>
          <w:w w:val="99"/>
          <w:highlight w:val="none"/>
          <w:lang w:val="en-US" w:eastAsia="zh-CN"/>
        </w:rPr>
        <w:t>2</w:t>
      </w:r>
      <w:r>
        <w:rPr>
          <w:rFonts w:hint="eastAsia" w:ascii="Times New Roman" w:hAnsi="Times New Roman" w:cs="Times New Roman"/>
          <w:snapToGrid w:val="0"/>
          <w:color w:val="auto"/>
          <w:w w:val="99"/>
          <w:highlight w:val="none"/>
          <w:lang w:eastAsia="zh-CN"/>
        </w:rPr>
        <w:t>）《大庆市水文地质勘察报告》（石油管理局）</w:t>
      </w:r>
      <w:r>
        <w:rPr>
          <w:rFonts w:ascii="Times New Roman" w:hAnsi="Times New Roman" w:eastAsia="宋体" w:cs="Times New Roman"/>
          <w:snapToGrid w:val="0"/>
          <w:color w:val="auto"/>
          <w:w w:val="99"/>
          <w:highlight w:val="none"/>
        </w:rPr>
        <w:t>。</w:t>
      </w:r>
    </w:p>
    <w:p w14:paraId="0829196F">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203" w:name="_Toc30845"/>
      <w:bookmarkStart w:id="204" w:name="_Toc12054"/>
      <w:r>
        <w:rPr>
          <w:rFonts w:ascii="Times New Roman" w:hAnsi="Times New Roman" w:eastAsia="宋体"/>
          <w:b/>
          <w:snapToGrid w:val="0"/>
          <w:color w:val="auto"/>
          <w:w w:val="99"/>
          <w:highlight w:val="none"/>
        </w:rPr>
        <w:t>2.5环境影响识别与评价因子筛选</w:t>
      </w:r>
      <w:bookmarkEnd w:id="203"/>
      <w:bookmarkEnd w:id="204"/>
    </w:p>
    <w:p w14:paraId="2BC16734">
      <w:pPr>
        <w:pStyle w:val="7"/>
        <w:widowControl w:val="0"/>
        <w:spacing w:before="60" w:after="60" w:line="440" w:lineRule="exact"/>
        <w:jc w:val="both"/>
        <w:rPr>
          <w:rFonts w:eastAsia="宋体"/>
          <w:b/>
          <w:color w:val="auto"/>
          <w:w w:val="99"/>
          <w:kern w:val="2"/>
          <w:sz w:val="24"/>
          <w:szCs w:val="24"/>
          <w:highlight w:val="none"/>
        </w:rPr>
      </w:pPr>
      <w:bookmarkStart w:id="205" w:name="_Toc70050144"/>
      <w:bookmarkStart w:id="206" w:name="_Toc61597190"/>
      <w:bookmarkStart w:id="207" w:name="_Toc77067628"/>
      <w:bookmarkStart w:id="208" w:name="_Toc186444244"/>
      <w:bookmarkStart w:id="209" w:name="_Toc80588224"/>
      <w:bookmarkStart w:id="210" w:name="_Toc78816429"/>
      <w:bookmarkStart w:id="211" w:name="_Toc80971346"/>
      <w:bookmarkStart w:id="212" w:name="_Toc83209441"/>
      <w:bookmarkStart w:id="213" w:name="_Toc67860097"/>
      <w:bookmarkStart w:id="214" w:name="_Toc76976212"/>
      <w:bookmarkStart w:id="215" w:name="_Toc57203219"/>
      <w:bookmarkStart w:id="216" w:name="_Toc6028"/>
      <w:bookmarkStart w:id="217" w:name="_Toc57707889"/>
      <w:bookmarkStart w:id="218" w:name="_Toc57976644"/>
      <w:bookmarkStart w:id="219" w:name="_Toc17898134"/>
      <w:r>
        <w:rPr>
          <w:rFonts w:eastAsia="宋体"/>
          <w:b/>
          <w:color w:val="auto"/>
          <w:w w:val="99"/>
          <w:kern w:val="2"/>
          <w:sz w:val="24"/>
          <w:szCs w:val="24"/>
          <w:highlight w:val="none"/>
        </w:rPr>
        <w:t>2.5.1评价时段</w:t>
      </w:r>
      <w:bookmarkEnd w:id="205"/>
      <w:bookmarkEnd w:id="206"/>
      <w:bookmarkEnd w:id="207"/>
      <w:bookmarkEnd w:id="208"/>
      <w:bookmarkEnd w:id="209"/>
      <w:bookmarkEnd w:id="210"/>
      <w:bookmarkEnd w:id="211"/>
      <w:bookmarkEnd w:id="212"/>
      <w:bookmarkEnd w:id="213"/>
      <w:bookmarkEnd w:id="214"/>
    </w:p>
    <w:p w14:paraId="35A1125A">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施工期、运营期和退役期。</w:t>
      </w:r>
    </w:p>
    <w:p w14:paraId="7F49E613">
      <w:pPr>
        <w:pStyle w:val="7"/>
        <w:widowControl w:val="0"/>
        <w:spacing w:before="60" w:after="60" w:line="440" w:lineRule="exact"/>
        <w:jc w:val="both"/>
        <w:rPr>
          <w:rFonts w:eastAsia="宋体"/>
          <w:b/>
          <w:color w:val="auto"/>
          <w:w w:val="99"/>
          <w:kern w:val="2"/>
          <w:sz w:val="24"/>
          <w:szCs w:val="24"/>
          <w:highlight w:val="none"/>
        </w:rPr>
      </w:pPr>
      <w:bookmarkStart w:id="220" w:name="_Toc186444245"/>
      <w:bookmarkStart w:id="221" w:name="_Toc78816430"/>
      <w:bookmarkStart w:id="222" w:name="_Toc76976213"/>
      <w:bookmarkStart w:id="223" w:name="_Toc80588225"/>
      <w:bookmarkStart w:id="224" w:name="_Toc61597191"/>
      <w:bookmarkStart w:id="225" w:name="_Toc70050145"/>
      <w:bookmarkStart w:id="226" w:name="_Toc83209442"/>
      <w:bookmarkStart w:id="227" w:name="_Toc77067629"/>
      <w:bookmarkStart w:id="228" w:name="_Toc67860098"/>
      <w:bookmarkStart w:id="229" w:name="_Toc80971347"/>
      <w:r>
        <w:rPr>
          <w:rFonts w:eastAsia="宋体"/>
          <w:b/>
          <w:color w:val="auto"/>
          <w:w w:val="99"/>
          <w:kern w:val="2"/>
          <w:sz w:val="24"/>
          <w:szCs w:val="24"/>
          <w:highlight w:val="none"/>
        </w:rPr>
        <w:t>2.5.2环境影响因素识别</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510C6FDF">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本工程建设对环境的影响，根据其特征可分为施工期影响</w:t>
      </w:r>
      <w:r>
        <w:rPr>
          <w:rFonts w:hint="eastAsia" w:ascii="Times New Roman" w:hAnsi="Times New Roman" w:eastAsia="宋体" w:cs="Times New Roman"/>
          <w:snapToGrid w:val="0"/>
          <w:color w:val="auto"/>
          <w:w w:val="99"/>
          <w:highlight w:val="none"/>
        </w:rPr>
        <w:t>、</w:t>
      </w:r>
      <w:r>
        <w:rPr>
          <w:rFonts w:ascii="Times New Roman" w:hAnsi="Times New Roman" w:eastAsia="宋体" w:cs="Times New Roman"/>
          <w:snapToGrid w:val="0"/>
          <w:color w:val="auto"/>
          <w:w w:val="99"/>
          <w:highlight w:val="none"/>
        </w:rPr>
        <w:t>生产运营期影响</w:t>
      </w:r>
      <w:r>
        <w:rPr>
          <w:rFonts w:hint="eastAsia" w:ascii="Times New Roman" w:hAnsi="Times New Roman" w:eastAsia="宋体" w:cs="Times New Roman"/>
          <w:snapToGrid w:val="0"/>
          <w:color w:val="auto"/>
          <w:w w:val="99"/>
          <w:highlight w:val="none"/>
        </w:rPr>
        <w:t>和退役期影响三</w:t>
      </w:r>
      <w:r>
        <w:rPr>
          <w:rFonts w:ascii="Times New Roman" w:hAnsi="Times New Roman" w:eastAsia="宋体" w:cs="Times New Roman"/>
          <w:snapToGrid w:val="0"/>
          <w:color w:val="auto"/>
          <w:w w:val="99"/>
          <w:highlight w:val="none"/>
        </w:rPr>
        <w:t>部分。</w:t>
      </w:r>
    </w:p>
    <w:p w14:paraId="3726FF39">
      <w:pPr>
        <w:pStyle w:val="2"/>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ar-SA"/>
        </w:rPr>
      </w:pPr>
      <w:r>
        <w:rPr>
          <w:rFonts w:hint="eastAsia" w:ascii="Times New Roman" w:hAnsi="Times New Roman" w:eastAsia="宋体" w:cs="Times New Roman"/>
          <w:color w:val="auto"/>
          <w:w w:val="99"/>
          <w:kern w:val="0"/>
          <w:sz w:val="24"/>
          <w:szCs w:val="24"/>
          <w:highlight w:val="none"/>
          <w:lang w:val="en-US" w:eastAsia="zh-CN" w:bidi="ar-SA"/>
        </w:rPr>
        <w:t>施工期的环境影响主要为地面工程施工过程中施工活动对周围环境产生的不利影响。一种影响是对土壤扰动和自然植被等的破坏，这种影响是比较持久的，在施工完成后的一段时间内仍将存在；另一种是在施工过程中产生的污染物排放对环境造成的不利影响，这种影响是短暂的，待施工结束后将随之消失。</w:t>
      </w:r>
    </w:p>
    <w:p w14:paraId="17FBED46">
      <w:pPr>
        <w:pStyle w:val="153"/>
        <w:widowControl w:val="0"/>
        <w:spacing w:line="440" w:lineRule="exact"/>
        <w:ind w:firstLine="473"/>
        <w:rPr>
          <w:rFonts w:hint="default" w:ascii="Times New Roman" w:hAnsi="Times New Roman" w:eastAsia="宋体" w:cs="Times New Roman"/>
          <w:snapToGrid w:val="0"/>
          <w:color w:val="auto"/>
          <w:w w:val="99"/>
          <w:highlight w:val="none"/>
          <w:lang w:eastAsia="zh-CN"/>
        </w:rPr>
      </w:pPr>
      <w:r>
        <w:rPr>
          <w:rFonts w:hint="default" w:ascii="Times New Roman" w:hAnsi="Times New Roman" w:eastAsia="宋体" w:cs="Times New Roman"/>
          <w:snapToGrid w:val="0"/>
          <w:color w:val="auto"/>
          <w:w w:val="99"/>
          <w:highlight w:val="none"/>
        </w:rPr>
        <w:t>运营期的环境影响主要为井场和场站产生的污染物排放对环境造成的不利影响，这种影响是长期的。运营期事故状态的环境影响包括</w:t>
      </w:r>
      <w:r>
        <w:rPr>
          <w:rFonts w:hint="eastAsia" w:ascii="Times New Roman" w:hAnsi="Times New Roman" w:eastAsia="宋体" w:cs="Times New Roman"/>
          <w:snapToGrid w:val="0"/>
          <w:color w:val="auto"/>
          <w:w w:val="99"/>
          <w:highlight w:val="none"/>
          <w:lang w:val="en-US" w:eastAsia="zh-CN"/>
        </w:rPr>
        <w:t>井场、管道</w:t>
      </w:r>
      <w:r>
        <w:rPr>
          <w:rFonts w:hint="default" w:ascii="Times New Roman" w:hAnsi="Times New Roman" w:eastAsia="宋体" w:cs="Times New Roman"/>
          <w:snapToGrid w:val="0"/>
          <w:color w:val="auto"/>
          <w:w w:val="99"/>
          <w:highlight w:val="none"/>
        </w:rPr>
        <w:t>和场站发生</w:t>
      </w:r>
      <w:r>
        <w:rPr>
          <w:rFonts w:hint="eastAsia" w:ascii="Times New Roman" w:hAnsi="Times New Roman" w:eastAsia="宋体" w:cs="Times New Roman"/>
          <w:snapToGrid w:val="0"/>
          <w:color w:val="auto"/>
          <w:w w:val="99"/>
          <w:highlight w:val="none"/>
          <w:lang w:val="en-US" w:eastAsia="zh-CN"/>
        </w:rPr>
        <w:t>天然气泄漏</w:t>
      </w:r>
      <w:r>
        <w:rPr>
          <w:rFonts w:hint="default" w:ascii="Times New Roman" w:hAnsi="Times New Roman" w:eastAsia="宋体" w:cs="Times New Roman"/>
          <w:snapToGrid w:val="0"/>
          <w:color w:val="auto"/>
          <w:w w:val="99"/>
          <w:highlight w:val="none"/>
        </w:rPr>
        <w:t>、火灾、爆炸等事故对周围环境和人员的影响</w:t>
      </w:r>
      <w:r>
        <w:rPr>
          <w:rFonts w:hint="default" w:ascii="Times New Roman" w:hAnsi="Times New Roman" w:eastAsia="宋体" w:cs="Times New Roman"/>
          <w:snapToGrid w:val="0"/>
          <w:color w:val="auto"/>
          <w:w w:val="99"/>
          <w:highlight w:val="none"/>
          <w:lang w:eastAsia="zh-CN"/>
        </w:rPr>
        <w:t>。</w:t>
      </w:r>
    </w:p>
    <w:p w14:paraId="1ADB5C43">
      <w:pPr>
        <w:pStyle w:val="153"/>
        <w:widowControl w:val="0"/>
        <w:spacing w:line="440" w:lineRule="exact"/>
        <w:ind w:firstLine="473"/>
        <w:rPr>
          <w:rFonts w:hint="default" w:ascii="Times New Roman" w:hAnsi="Times New Roman" w:eastAsia="宋体" w:cs="Times New Roman"/>
          <w:snapToGrid w:val="0"/>
          <w:color w:val="auto"/>
          <w:w w:val="99"/>
          <w:highlight w:val="none"/>
          <w:lang w:val="en-US" w:eastAsia="zh-CN"/>
        </w:rPr>
      </w:pPr>
      <w:r>
        <w:rPr>
          <w:rFonts w:hint="eastAsia" w:ascii="Times New Roman" w:hAnsi="Times New Roman" w:eastAsia="宋体" w:cs="Times New Roman"/>
          <w:snapToGrid w:val="0"/>
          <w:color w:val="auto"/>
          <w:w w:val="99"/>
          <w:highlight w:val="none"/>
          <w:lang w:val="en-US" w:eastAsia="zh-CN"/>
        </w:rPr>
        <w:t>退役期的环境影响主要是拆除工程的废气、噪声、拆除设备清洗废水、废弃管道清管废水、废旧设备、封井垃圾、含油废防渗布，这种影响是短暂的，</w:t>
      </w:r>
      <w:r>
        <w:rPr>
          <w:rFonts w:hint="default" w:ascii="Times New Roman" w:hAnsi="Times New Roman" w:eastAsia="宋体" w:cs="Times New Roman"/>
          <w:snapToGrid w:val="0"/>
          <w:color w:val="auto"/>
          <w:w w:val="99"/>
          <w:highlight w:val="none"/>
        </w:rPr>
        <w:t>待施工结束后将随之消失</w:t>
      </w:r>
      <w:r>
        <w:rPr>
          <w:rFonts w:hint="default" w:ascii="Times New Roman" w:hAnsi="Times New Roman" w:eastAsia="宋体" w:cs="Times New Roman"/>
          <w:snapToGrid w:val="0"/>
          <w:color w:val="auto"/>
          <w:w w:val="99"/>
          <w:highlight w:val="none"/>
          <w:lang w:eastAsia="zh-CN"/>
        </w:rPr>
        <w:t>。</w:t>
      </w:r>
      <w:r>
        <w:rPr>
          <w:rFonts w:hint="eastAsia" w:ascii="Times New Roman" w:hAnsi="Times New Roman" w:eastAsia="宋体" w:cs="Times New Roman"/>
          <w:snapToGrid w:val="0"/>
          <w:color w:val="auto"/>
          <w:w w:val="99"/>
          <w:highlight w:val="none"/>
          <w:lang w:val="en-US" w:eastAsia="zh-CN"/>
        </w:rPr>
        <w:t>还有拆除过程中，对占地土壤的扰动、对场地植被的破坏，</w:t>
      </w:r>
      <w:r>
        <w:rPr>
          <w:rFonts w:hint="default" w:ascii="Times New Roman" w:hAnsi="Times New Roman" w:eastAsia="宋体" w:cs="Times New Roman"/>
          <w:snapToGrid w:val="0"/>
          <w:color w:val="auto"/>
          <w:w w:val="99"/>
          <w:highlight w:val="none"/>
        </w:rPr>
        <w:t>这种影响是比较持久的，在施工完成后的一段时间内仍将存在</w:t>
      </w:r>
      <w:r>
        <w:rPr>
          <w:rFonts w:hint="eastAsia" w:ascii="Times New Roman" w:hAnsi="Times New Roman" w:eastAsia="宋体" w:cs="Times New Roman"/>
          <w:snapToGrid w:val="0"/>
          <w:color w:val="auto"/>
          <w:w w:val="99"/>
          <w:highlight w:val="none"/>
          <w:lang w:eastAsia="zh-CN"/>
        </w:rPr>
        <w:t>。</w:t>
      </w:r>
    </w:p>
    <w:p w14:paraId="4952C6FD">
      <w:pPr>
        <w:pStyle w:val="153"/>
        <w:widowControl w:val="0"/>
        <w:spacing w:line="440" w:lineRule="exact"/>
        <w:ind w:firstLine="473"/>
        <w:rPr>
          <w:rFonts w:ascii="Times New Roman" w:hAnsi="Times New Roman"/>
          <w:color w:val="auto"/>
          <w:w w:val="99"/>
          <w:highlight w:val="none"/>
        </w:rPr>
      </w:pPr>
      <w:r>
        <w:rPr>
          <w:rFonts w:ascii="Times New Roman" w:hAnsi="Times New Roman" w:eastAsia="宋体" w:cs="Times New Roman"/>
          <w:snapToGrid w:val="0"/>
          <w:color w:val="auto"/>
          <w:w w:val="99"/>
          <w:highlight w:val="none"/>
        </w:rPr>
        <w:t>根据工程实际情况，结合工程区域的自然环境特</w:t>
      </w:r>
      <w:r>
        <w:rPr>
          <w:rFonts w:ascii="Times New Roman" w:hAnsi="Times New Roman"/>
          <w:color w:val="auto"/>
          <w:w w:val="99"/>
          <w:highlight w:val="none"/>
        </w:rPr>
        <w:t>征，采用矩阵法对工程建设期间和运营期产生的影响进行识别，具体见表2.5-1。</w:t>
      </w:r>
    </w:p>
    <w:p w14:paraId="5BD91EB5">
      <w:pPr>
        <w:widowControl w:val="0"/>
        <w:spacing w:line="440" w:lineRule="exact"/>
        <w:ind w:firstLine="476" w:firstLineChars="200"/>
        <w:jc w:val="both"/>
        <w:rPr>
          <w:rFonts w:ascii="Times New Roman" w:hAnsi="Times New Roman" w:cs="Times New Roman"/>
          <w:b/>
          <w:bCs/>
          <w:color w:val="auto"/>
          <w:w w:val="99"/>
          <w:highlight w:val="none"/>
        </w:rPr>
      </w:pPr>
      <w:r>
        <w:rPr>
          <w:rFonts w:ascii="Times New Roman" w:hAnsi="Times New Roman" w:cs="Times New Roman"/>
          <w:b/>
          <w:bCs/>
          <w:color w:val="auto"/>
          <w:w w:val="99"/>
          <w:highlight w:val="none"/>
        </w:rPr>
        <w:t>表2.5-1  环境影响因素矩阵识别表</w:t>
      </w: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1"/>
        <w:gridCol w:w="1142"/>
        <w:gridCol w:w="1780"/>
        <w:gridCol w:w="1363"/>
        <w:gridCol w:w="1478"/>
        <w:gridCol w:w="1606"/>
      </w:tblGrid>
      <w:tr w14:paraId="37BD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Merge w:val="restart"/>
            <w:tcBorders>
              <w:tl2br w:val="single" w:color="auto" w:sz="4" w:space="0"/>
            </w:tcBorders>
            <w:vAlign w:val="center"/>
          </w:tcPr>
          <w:p w14:paraId="6D9845D8">
            <w:pPr>
              <w:pStyle w:val="157"/>
              <w:widowControl w:val="0"/>
              <w:spacing w:line="360" w:lineRule="exact"/>
              <w:jc w:val="center"/>
              <w:rPr>
                <w:rFonts w:ascii="Times New Roman" w:hAnsi="Times New Roman" w:eastAsiaTheme="minorEastAsia"/>
                <w:snapToGrid w:val="0"/>
                <w:color w:val="auto"/>
                <w:w w:val="99"/>
                <w:kern w:val="0"/>
                <w:szCs w:val="21"/>
                <w:highlight w:val="none"/>
              </w:rPr>
            </w:pPr>
            <w:r>
              <w:rPr>
                <w:rFonts w:hint="eastAsia" w:ascii="Times New Roman" w:hAnsi="Times New Roman" w:eastAsiaTheme="minorEastAsia"/>
                <w:snapToGrid w:val="0"/>
                <w:color w:val="auto"/>
                <w:w w:val="99"/>
                <w:kern w:val="0"/>
                <w:szCs w:val="21"/>
                <w:highlight w:val="none"/>
                <w:lang w:val="en-US" w:eastAsia="zh-CN"/>
              </w:rPr>
              <w:t xml:space="preserve">        </w:t>
            </w:r>
            <w:r>
              <w:rPr>
                <w:rFonts w:ascii="Times New Roman" w:hAnsi="Times New Roman" w:eastAsiaTheme="minorEastAsia"/>
                <w:snapToGrid w:val="0"/>
                <w:color w:val="auto"/>
                <w:w w:val="99"/>
                <w:kern w:val="0"/>
                <w:szCs w:val="21"/>
                <w:highlight w:val="none"/>
              </w:rPr>
              <w:t>影响因素</w:t>
            </w:r>
          </w:p>
          <w:p w14:paraId="7D3642BC">
            <w:pPr>
              <w:pStyle w:val="157"/>
              <w:widowControl w:val="0"/>
              <w:spacing w:line="360" w:lineRule="exact"/>
              <w:jc w:val="lef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环境因素</w:t>
            </w:r>
          </w:p>
        </w:tc>
        <w:tc>
          <w:tcPr>
            <w:tcW w:w="3969" w:type="pct"/>
            <w:gridSpan w:val="5"/>
            <w:vAlign w:val="center"/>
          </w:tcPr>
          <w:p w14:paraId="33FED6A8">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施工期</w:t>
            </w:r>
          </w:p>
        </w:tc>
      </w:tr>
      <w:tr w14:paraId="5D14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Merge w:val="continue"/>
            <w:tcBorders>
              <w:tl2br w:val="single" w:color="auto" w:sz="4" w:space="0"/>
            </w:tcBorders>
            <w:vAlign w:val="center"/>
          </w:tcPr>
          <w:p w14:paraId="3C3324FD">
            <w:pPr>
              <w:pStyle w:val="157"/>
              <w:widowControl w:val="0"/>
              <w:spacing w:line="360" w:lineRule="exact"/>
              <w:rPr>
                <w:rFonts w:ascii="Times New Roman" w:hAnsi="Times New Roman" w:eastAsiaTheme="minorEastAsia"/>
                <w:snapToGrid w:val="0"/>
                <w:color w:val="auto"/>
                <w:w w:val="99"/>
                <w:kern w:val="0"/>
                <w:szCs w:val="21"/>
                <w:highlight w:val="none"/>
              </w:rPr>
            </w:pPr>
          </w:p>
        </w:tc>
        <w:tc>
          <w:tcPr>
            <w:tcW w:w="615" w:type="pct"/>
            <w:vAlign w:val="center"/>
          </w:tcPr>
          <w:p w14:paraId="193AC93A">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工程占地</w:t>
            </w:r>
          </w:p>
        </w:tc>
        <w:tc>
          <w:tcPr>
            <w:tcW w:w="959" w:type="pct"/>
            <w:shd w:val="clear" w:color="auto" w:fill="auto"/>
            <w:vAlign w:val="center"/>
          </w:tcPr>
          <w:p w14:paraId="14BD7CAA">
            <w:pPr>
              <w:pStyle w:val="157"/>
              <w:widowControl w:val="0"/>
              <w:spacing w:line="360" w:lineRule="exact"/>
              <w:rPr>
                <w:rFonts w:ascii="Times New Roman" w:hAnsi="Times New Roman" w:cs="Times New Roman" w:eastAsiaTheme="minorEastAsia"/>
                <w:snapToGrid w:val="0"/>
                <w:color w:val="auto"/>
                <w:w w:val="99"/>
                <w:kern w:val="0"/>
                <w:sz w:val="21"/>
                <w:szCs w:val="21"/>
                <w:highlight w:val="none"/>
                <w:lang w:val="zh-CN" w:eastAsia="zh-CN" w:bidi="ar-SA"/>
              </w:rPr>
            </w:pPr>
            <w:r>
              <w:rPr>
                <w:rFonts w:ascii="Times New Roman" w:hAnsi="Times New Roman" w:eastAsiaTheme="minorEastAsia"/>
                <w:snapToGrid w:val="0"/>
                <w:color w:val="auto"/>
                <w:w w:val="99"/>
                <w:kern w:val="0"/>
                <w:szCs w:val="21"/>
                <w:highlight w:val="none"/>
              </w:rPr>
              <w:t>废气</w:t>
            </w:r>
          </w:p>
        </w:tc>
        <w:tc>
          <w:tcPr>
            <w:tcW w:w="734" w:type="pct"/>
            <w:shd w:val="clear" w:color="auto" w:fill="auto"/>
            <w:vAlign w:val="center"/>
          </w:tcPr>
          <w:p w14:paraId="66701C1F">
            <w:pPr>
              <w:pStyle w:val="157"/>
              <w:widowControl w:val="0"/>
              <w:spacing w:line="360" w:lineRule="exact"/>
              <w:rPr>
                <w:rFonts w:ascii="Times New Roman" w:hAnsi="Times New Roman" w:cs="Times New Roman" w:eastAsiaTheme="minorEastAsia"/>
                <w:snapToGrid w:val="0"/>
                <w:color w:val="auto"/>
                <w:w w:val="99"/>
                <w:kern w:val="0"/>
                <w:sz w:val="21"/>
                <w:szCs w:val="21"/>
                <w:highlight w:val="none"/>
                <w:lang w:val="zh-CN" w:eastAsia="zh-CN" w:bidi="ar-SA"/>
              </w:rPr>
            </w:pPr>
            <w:r>
              <w:rPr>
                <w:rFonts w:ascii="Times New Roman" w:hAnsi="Times New Roman" w:eastAsiaTheme="minorEastAsia"/>
                <w:snapToGrid w:val="0"/>
                <w:color w:val="auto"/>
                <w:w w:val="99"/>
                <w:kern w:val="0"/>
                <w:szCs w:val="21"/>
                <w:highlight w:val="none"/>
              </w:rPr>
              <w:t>废水</w:t>
            </w:r>
          </w:p>
        </w:tc>
        <w:tc>
          <w:tcPr>
            <w:tcW w:w="796" w:type="pct"/>
            <w:shd w:val="clear" w:color="auto" w:fill="auto"/>
            <w:vAlign w:val="center"/>
          </w:tcPr>
          <w:p w14:paraId="75F3ACD2">
            <w:pPr>
              <w:pStyle w:val="157"/>
              <w:widowControl w:val="0"/>
              <w:spacing w:line="360" w:lineRule="exact"/>
              <w:rPr>
                <w:rFonts w:ascii="Times New Roman" w:hAnsi="Times New Roman" w:cs="Times New Roman" w:eastAsiaTheme="minorEastAsia"/>
                <w:snapToGrid w:val="0"/>
                <w:color w:val="auto"/>
                <w:w w:val="99"/>
                <w:kern w:val="0"/>
                <w:sz w:val="21"/>
                <w:szCs w:val="21"/>
                <w:highlight w:val="none"/>
                <w:lang w:val="zh-CN" w:eastAsia="zh-CN" w:bidi="ar-SA"/>
              </w:rPr>
            </w:pPr>
            <w:r>
              <w:rPr>
                <w:rFonts w:ascii="Times New Roman" w:hAnsi="Times New Roman" w:eastAsiaTheme="minorEastAsia"/>
                <w:snapToGrid w:val="0"/>
                <w:color w:val="auto"/>
                <w:w w:val="99"/>
                <w:kern w:val="0"/>
                <w:szCs w:val="21"/>
                <w:highlight w:val="none"/>
              </w:rPr>
              <w:t>固体废物</w:t>
            </w:r>
          </w:p>
        </w:tc>
        <w:tc>
          <w:tcPr>
            <w:tcW w:w="864" w:type="pct"/>
            <w:shd w:val="clear" w:color="auto" w:fill="auto"/>
            <w:vAlign w:val="center"/>
          </w:tcPr>
          <w:p w14:paraId="2039F325">
            <w:pPr>
              <w:pStyle w:val="157"/>
              <w:widowControl w:val="0"/>
              <w:spacing w:line="360" w:lineRule="exact"/>
              <w:rPr>
                <w:rFonts w:ascii="Times New Roman" w:hAnsi="Times New Roman" w:cs="Times New Roman" w:eastAsiaTheme="minorEastAsia"/>
                <w:snapToGrid w:val="0"/>
                <w:color w:val="auto"/>
                <w:w w:val="99"/>
                <w:kern w:val="0"/>
                <w:sz w:val="21"/>
                <w:szCs w:val="21"/>
                <w:highlight w:val="none"/>
                <w:lang w:val="zh-CN" w:eastAsia="zh-CN" w:bidi="ar-SA"/>
              </w:rPr>
            </w:pPr>
            <w:r>
              <w:rPr>
                <w:rFonts w:ascii="Times New Roman" w:hAnsi="Times New Roman" w:eastAsiaTheme="minorEastAsia"/>
                <w:snapToGrid w:val="0"/>
                <w:color w:val="auto"/>
                <w:w w:val="99"/>
                <w:kern w:val="0"/>
                <w:szCs w:val="21"/>
                <w:highlight w:val="none"/>
              </w:rPr>
              <w:t>噪声</w:t>
            </w:r>
          </w:p>
        </w:tc>
      </w:tr>
      <w:tr w14:paraId="74CC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030" w:type="pct"/>
            <w:vMerge w:val="continue"/>
            <w:tcBorders>
              <w:tl2br w:val="single" w:color="auto" w:sz="4" w:space="0"/>
            </w:tcBorders>
            <w:vAlign w:val="center"/>
          </w:tcPr>
          <w:p w14:paraId="6BC0C720">
            <w:pPr>
              <w:pStyle w:val="157"/>
              <w:widowControl w:val="0"/>
              <w:spacing w:line="360" w:lineRule="exact"/>
              <w:rPr>
                <w:rFonts w:ascii="Times New Roman" w:hAnsi="Times New Roman" w:eastAsiaTheme="minorEastAsia"/>
                <w:snapToGrid w:val="0"/>
                <w:color w:val="auto"/>
                <w:w w:val="99"/>
                <w:kern w:val="0"/>
                <w:szCs w:val="21"/>
                <w:highlight w:val="none"/>
              </w:rPr>
            </w:pPr>
          </w:p>
        </w:tc>
        <w:tc>
          <w:tcPr>
            <w:tcW w:w="615" w:type="pct"/>
            <w:vAlign w:val="center"/>
          </w:tcPr>
          <w:p w14:paraId="58C01AD8">
            <w:pPr>
              <w:pStyle w:val="157"/>
              <w:widowControl w:val="0"/>
              <w:kinsoku w:val="0"/>
              <w:overflowPunct w:val="0"/>
              <w:spacing w:line="360" w:lineRule="exact"/>
              <w:jc w:val="both"/>
              <w:rPr>
                <w:rFonts w:hint="default" w:ascii="Times New Roman" w:hAnsi="Times New Roman" w:eastAsiaTheme="minorEastAsia"/>
                <w:color w:val="auto"/>
                <w:w w:val="99"/>
                <w:szCs w:val="21"/>
                <w:highlight w:val="none"/>
                <w:lang w:val="en-US"/>
              </w:rPr>
            </w:pPr>
            <w:r>
              <w:rPr>
                <w:rFonts w:hint="eastAsia" w:ascii="Times New Roman" w:hAnsi="Times New Roman" w:eastAsiaTheme="minorEastAsia"/>
                <w:color w:val="auto"/>
                <w:w w:val="99"/>
                <w:szCs w:val="21"/>
                <w:highlight w:val="none"/>
                <w:lang w:val="en-US" w:eastAsia="zh-CN"/>
              </w:rPr>
              <w:t>占用耕地</w:t>
            </w:r>
          </w:p>
        </w:tc>
        <w:tc>
          <w:tcPr>
            <w:tcW w:w="959" w:type="pct"/>
            <w:shd w:val="clear" w:color="auto" w:fill="auto"/>
            <w:vAlign w:val="center"/>
          </w:tcPr>
          <w:p w14:paraId="4E42CF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cs="Times New Roman" w:eastAsiaTheme="minorEastAsia"/>
                <w:color w:val="auto"/>
                <w:w w:val="99"/>
                <w:kern w:val="2"/>
                <w:sz w:val="21"/>
                <w:szCs w:val="21"/>
                <w:highlight w:val="none"/>
                <w:lang w:val="zh-CN" w:eastAsia="zh-CN" w:bidi="ar-SA"/>
              </w:rPr>
            </w:pPr>
            <w:r>
              <w:rPr>
                <w:rFonts w:hint="default" w:ascii="Times New Roman" w:hAnsi="Times New Roman" w:cs="Times New Roman" w:eastAsiaTheme="minorEastAsia"/>
                <w:color w:val="auto"/>
                <w:w w:val="99"/>
                <w:kern w:val="2"/>
                <w:sz w:val="21"/>
                <w:szCs w:val="21"/>
                <w:highlight w:val="none"/>
                <w:lang w:val="en-US" w:eastAsia="zh-CN" w:bidi="ar-SA"/>
              </w:rPr>
              <w:t>施工扬尘、焊接烟尘、车辆废气等</w:t>
            </w:r>
          </w:p>
        </w:tc>
        <w:tc>
          <w:tcPr>
            <w:tcW w:w="734" w:type="pct"/>
            <w:shd w:val="clear" w:color="auto" w:fill="auto"/>
            <w:vAlign w:val="center"/>
          </w:tcPr>
          <w:p w14:paraId="768908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kern w:val="2"/>
                <w:sz w:val="21"/>
                <w:szCs w:val="21"/>
                <w:highlight w:val="none"/>
                <w:lang w:val="en-US" w:eastAsia="zh-CN" w:bidi="ar-SA"/>
              </w:rPr>
              <w:t>试压废水、生活污水</w:t>
            </w:r>
          </w:p>
        </w:tc>
        <w:tc>
          <w:tcPr>
            <w:tcW w:w="796" w:type="pct"/>
            <w:shd w:val="clear" w:color="auto" w:fill="auto"/>
            <w:vAlign w:val="center"/>
          </w:tcPr>
          <w:p w14:paraId="022195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kern w:val="2"/>
                <w:sz w:val="21"/>
                <w:szCs w:val="21"/>
                <w:highlight w:val="none"/>
                <w:lang w:val="en-US" w:eastAsia="zh-CN" w:bidi="ar-SA"/>
              </w:rPr>
              <w:t>管道施工废料、生活垃圾</w:t>
            </w:r>
          </w:p>
        </w:tc>
        <w:tc>
          <w:tcPr>
            <w:tcW w:w="864" w:type="pct"/>
            <w:shd w:val="clear" w:color="auto" w:fill="auto"/>
            <w:vAlign w:val="center"/>
          </w:tcPr>
          <w:p w14:paraId="5D63C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cs="Times New Roman" w:eastAsiaTheme="minorEastAsia"/>
                <w:color w:val="auto"/>
                <w:w w:val="99"/>
                <w:kern w:val="2"/>
                <w:sz w:val="21"/>
                <w:szCs w:val="21"/>
                <w:highlight w:val="none"/>
                <w:lang w:val="zh-CN" w:eastAsia="zh-CN" w:bidi="ar-SA"/>
              </w:rPr>
            </w:pPr>
            <w:r>
              <w:rPr>
                <w:rFonts w:hint="default" w:ascii="Times New Roman" w:hAnsi="Times New Roman" w:cs="Times New Roman" w:eastAsiaTheme="minorEastAsia"/>
                <w:color w:val="auto"/>
                <w:w w:val="99"/>
                <w:kern w:val="2"/>
                <w:sz w:val="21"/>
                <w:szCs w:val="21"/>
                <w:highlight w:val="none"/>
                <w:lang w:val="en-US" w:eastAsia="zh-CN" w:bidi="ar-SA"/>
              </w:rPr>
              <w:t>施工车辆、挖掘机等施工机械噪声</w:t>
            </w:r>
          </w:p>
        </w:tc>
      </w:tr>
      <w:tr w14:paraId="3FA7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Align w:val="center"/>
          </w:tcPr>
          <w:p w14:paraId="6459AA4C">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环境空气</w:t>
            </w:r>
          </w:p>
        </w:tc>
        <w:tc>
          <w:tcPr>
            <w:tcW w:w="615" w:type="pct"/>
            <w:vAlign w:val="center"/>
          </w:tcPr>
          <w:p w14:paraId="1B6BCCE3">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59" w:type="pct"/>
            <w:vAlign w:val="center"/>
          </w:tcPr>
          <w:p w14:paraId="4A1F209B">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734" w:type="pct"/>
            <w:vAlign w:val="center"/>
          </w:tcPr>
          <w:p w14:paraId="5F052EE5">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96" w:type="pct"/>
            <w:vAlign w:val="center"/>
          </w:tcPr>
          <w:p w14:paraId="64E4FBDA">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864" w:type="pct"/>
            <w:vAlign w:val="center"/>
          </w:tcPr>
          <w:p w14:paraId="3F9ED348">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r>
      <w:tr w14:paraId="16B2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Align w:val="center"/>
          </w:tcPr>
          <w:p w14:paraId="14F3B9EB">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地表水</w:t>
            </w:r>
          </w:p>
        </w:tc>
        <w:tc>
          <w:tcPr>
            <w:tcW w:w="615" w:type="pct"/>
            <w:vAlign w:val="center"/>
          </w:tcPr>
          <w:p w14:paraId="3E6CB560">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59" w:type="pct"/>
            <w:vAlign w:val="center"/>
          </w:tcPr>
          <w:p w14:paraId="6049DB0F">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34" w:type="pct"/>
            <w:vAlign w:val="center"/>
          </w:tcPr>
          <w:p w14:paraId="0613ED89">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796" w:type="pct"/>
            <w:vAlign w:val="center"/>
          </w:tcPr>
          <w:p w14:paraId="458C6614">
            <w:pPr>
              <w:widowControl w:val="0"/>
              <w:spacing w:line="360" w:lineRule="exact"/>
              <w:jc w:val="center"/>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864" w:type="pct"/>
            <w:vAlign w:val="center"/>
          </w:tcPr>
          <w:p w14:paraId="3634E7C8">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r>
      <w:tr w14:paraId="2A65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Align w:val="center"/>
          </w:tcPr>
          <w:p w14:paraId="5F086B0F">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地下水</w:t>
            </w:r>
          </w:p>
        </w:tc>
        <w:tc>
          <w:tcPr>
            <w:tcW w:w="615" w:type="pct"/>
            <w:vAlign w:val="center"/>
          </w:tcPr>
          <w:p w14:paraId="4D3B3ACF">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59" w:type="pct"/>
            <w:vAlign w:val="center"/>
          </w:tcPr>
          <w:p w14:paraId="36D883CF">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34" w:type="pct"/>
            <w:vAlign w:val="center"/>
          </w:tcPr>
          <w:p w14:paraId="5B854B45">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796" w:type="pct"/>
            <w:vAlign w:val="center"/>
          </w:tcPr>
          <w:p w14:paraId="23A58BEE">
            <w:pPr>
              <w:widowControl w:val="0"/>
              <w:spacing w:line="360" w:lineRule="exact"/>
              <w:jc w:val="center"/>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864" w:type="pct"/>
            <w:vAlign w:val="center"/>
          </w:tcPr>
          <w:p w14:paraId="20F5F896">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r>
      <w:tr w14:paraId="3ED9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Align w:val="center"/>
          </w:tcPr>
          <w:p w14:paraId="18C8ADCC">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声环境</w:t>
            </w:r>
          </w:p>
        </w:tc>
        <w:tc>
          <w:tcPr>
            <w:tcW w:w="615" w:type="pct"/>
            <w:vAlign w:val="center"/>
          </w:tcPr>
          <w:p w14:paraId="22424919">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59" w:type="pct"/>
            <w:vAlign w:val="center"/>
          </w:tcPr>
          <w:p w14:paraId="21C5BB34">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34" w:type="pct"/>
            <w:vAlign w:val="center"/>
          </w:tcPr>
          <w:p w14:paraId="18F194AE">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96" w:type="pct"/>
            <w:vAlign w:val="center"/>
          </w:tcPr>
          <w:p w14:paraId="06E19DB9">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864" w:type="pct"/>
            <w:vAlign w:val="center"/>
          </w:tcPr>
          <w:p w14:paraId="186C72C3">
            <w:pPr>
              <w:pStyle w:val="157"/>
              <w:widowControl w:val="0"/>
              <w:spacing w:line="360" w:lineRule="exact"/>
              <w:rPr>
                <w:rFonts w:ascii="Times New Roman" w:hAnsi="Times New Roman" w:eastAsiaTheme="minorEastAsia"/>
                <w:snapToGrid w:val="0"/>
                <w:color w:val="auto"/>
                <w:w w:val="99"/>
                <w:kern w:val="0"/>
                <w:szCs w:val="21"/>
                <w:highlight w:val="none"/>
              </w:rPr>
            </w:pPr>
            <w:bookmarkStart w:id="230" w:name="OLE_LINK155"/>
            <w:bookmarkStart w:id="231" w:name="OLE_LINK157"/>
            <w:bookmarkStart w:id="232" w:name="OLE_LINK156"/>
            <w:r>
              <w:rPr>
                <w:rFonts w:ascii="Times New Roman" w:hAnsi="Times New Roman" w:eastAsiaTheme="minorEastAsia"/>
                <w:snapToGrid w:val="0"/>
                <w:color w:val="auto"/>
                <w:w w:val="99"/>
                <w:kern w:val="0"/>
                <w:szCs w:val="21"/>
                <w:highlight w:val="none"/>
              </w:rPr>
              <w:t>-S</w:t>
            </w:r>
            <w:bookmarkEnd w:id="230"/>
            <w:bookmarkEnd w:id="231"/>
            <w:bookmarkEnd w:id="232"/>
          </w:p>
        </w:tc>
      </w:tr>
      <w:tr w14:paraId="5011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Align w:val="center"/>
          </w:tcPr>
          <w:p w14:paraId="2718FC2F">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土壤</w:t>
            </w:r>
          </w:p>
        </w:tc>
        <w:tc>
          <w:tcPr>
            <w:tcW w:w="615" w:type="pct"/>
            <w:vAlign w:val="center"/>
          </w:tcPr>
          <w:p w14:paraId="301FE1CB">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959" w:type="pct"/>
            <w:vAlign w:val="center"/>
          </w:tcPr>
          <w:p w14:paraId="05918725">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34" w:type="pct"/>
            <w:vAlign w:val="center"/>
          </w:tcPr>
          <w:p w14:paraId="093CE89D">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796" w:type="pct"/>
            <w:vAlign w:val="center"/>
          </w:tcPr>
          <w:p w14:paraId="00B47A33">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r>
              <w:rPr>
                <w:rFonts w:ascii="Times New Roman" w:hAnsi="Times New Roman"/>
                <w:color w:val="auto"/>
                <w:w w:val="99"/>
                <w:szCs w:val="21"/>
                <w:highlight w:val="none"/>
              </w:rPr>
              <w:t>S</w:t>
            </w:r>
          </w:p>
        </w:tc>
        <w:tc>
          <w:tcPr>
            <w:tcW w:w="864" w:type="pct"/>
            <w:vAlign w:val="center"/>
          </w:tcPr>
          <w:p w14:paraId="26C09B9E">
            <w:pPr>
              <w:pStyle w:val="157"/>
              <w:widowControl w:val="0"/>
              <w:spacing w:line="360" w:lineRule="exact"/>
              <w:rPr>
                <w:rFonts w:hint="eastAsia" w:ascii="Times New Roman" w:hAnsi="Times New Roman" w:eastAsiaTheme="minorEastAsia"/>
                <w:snapToGrid w:val="0"/>
                <w:color w:val="auto"/>
                <w:w w:val="99"/>
                <w:kern w:val="0"/>
                <w:szCs w:val="21"/>
                <w:highlight w:val="none"/>
                <w:lang w:val="en-US" w:eastAsia="zh-CN"/>
              </w:rPr>
            </w:pPr>
            <w:r>
              <w:rPr>
                <w:rFonts w:hint="eastAsia" w:ascii="Times New Roman" w:hAnsi="Times New Roman" w:eastAsiaTheme="minorEastAsia"/>
                <w:snapToGrid w:val="0"/>
                <w:color w:val="auto"/>
                <w:w w:val="99"/>
                <w:kern w:val="0"/>
                <w:szCs w:val="21"/>
                <w:highlight w:val="none"/>
                <w:lang w:val="en-US" w:eastAsia="zh-CN"/>
              </w:rPr>
              <w:t>/</w:t>
            </w:r>
          </w:p>
        </w:tc>
      </w:tr>
      <w:tr w14:paraId="1C4F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vAlign w:val="center"/>
          </w:tcPr>
          <w:p w14:paraId="473DE7D2">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生态</w:t>
            </w:r>
          </w:p>
        </w:tc>
        <w:tc>
          <w:tcPr>
            <w:tcW w:w="615" w:type="pct"/>
            <w:vAlign w:val="center"/>
          </w:tcPr>
          <w:p w14:paraId="1394F054">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959" w:type="pct"/>
            <w:vAlign w:val="center"/>
          </w:tcPr>
          <w:p w14:paraId="2F6588DF">
            <w:pPr>
              <w:pStyle w:val="157"/>
              <w:widowControl w:val="0"/>
              <w:spacing w:line="360" w:lineRule="exact"/>
              <w:rPr>
                <w:rFonts w:ascii="Times New Roman" w:hAnsi="Times New Roman" w:eastAsiaTheme="minorEastAsia"/>
                <w:snapToGrid w:val="0"/>
                <w:color w:val="auto"/>
                <w:w w:val="99"/>
                <w:kern w:val="0"/>
                <w:szCs w:val="21"/>
                <w:highlight w:val="none"/>
              </w:rPr>
            </w:pPr>
            <w:r>
              <w:rPr>
                <w:rFonts w:hint="eastAsia" w:ascii="Times New Roman" w:hAnsi="Times New Roman" w:eastAsiaTheme="minorEastAsia"/>
                <w:snapToGrid w:val="0"/>
                <w:color w:val="auto"/>
                <w:w w:val="99"/>
                <w:kern w:val="0"/>
                <w:szCs w:val="21"/>
                <w:highlight w:val="none"/>
                <w:lang w:val="en-US" w:eastAsia="zh-CN"/>
              </w:rPr>
              <w:t>/</w:t>
            </w:r>
          </w:p>
        </w:tc>
        <w:tc>
          <w:tcPr>
            <w:tcW w:w="734" w:type="pct"/>
            <w:vAlign w:val="center"/>
          </w:tcPr>
          <w:p w14:paraId="08D09FEF">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96" w:type="pct"/>
            <w:vAlign w:val="center"/>
          </w:tcPr>
          <w:p w14:paraId="46944713">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864" w:type="pct"/>
            <w:vAlign w:val="center"/>
          </w:tcPr>
          <w:p w14:paraId="41778708">
            <w:pPr>
              <w:pStyle w:val="157"/>
              <w:widowControl w:val="0"/>
              <w:spacing w:line="360" w:lineRule="exact"/>
              <w:rPr>
                <w:rFonts w:ascii="Times New Roman" w:hAnsi="Times New Roman" w:eastAsiaTheme="minorEastAsia"/>
                <w:snapToGrid w:val="0"/>
                <w:color w:val="auto"/>
                <w:w w:val="99"/>
                <w:kern w:val="0"/>
                <w:szCs w:val="21"/>
                <w:highlight w:val="none"/>
              </w:rPr>
            </w:pPr>
            <w:r>
              <w:rPr>
                <w:rFonts w:hint="eastAsia" w:ascii="Times New Roman" w:hAnsi="Times New Roman" w:eastAsiaTheme="minorEastAsia"/>
                <w:snapToGrid w:val="0"/>
                <w:color w:val="auto"/>
                <w:w w:val="99"/>
                <w:kern w:val="0"/>
                <w:szCs w:val="21"/>
                <w:highlight w:val="none"/>
                <w:lang w:val="en-US" w:eastAsia="zh-CN"/>
              </w:rPr>
              <w:t>/</w:t>
            </w:r>
          </w:p>
        </w:tc>
      </w:tr>
    </w:tbl>
    <w:p w14:paraId="006BC2F5">
      <w:pPr>
        <w:widowControl w:val="0"/>
        <w:spacing w:line="440" w:lineRule="exact"/>
        <w:ind w:firstLine="476" w:firstLineChars="200"/>
        <w:rPr>
          <w:rFonts w:ascii="Times New Roman" w:hAnsi="Times New Roman" w:cs="Times New Roman" w:eastAsiaTheme="minorEastAsia"/>
          <w:b/>
          <w:color w:val="auto"/>
          <w:w w:val="99"/>
          <w:highlight w:val="none"/>
        </w:rPr>
      </w:pPr>
      <w:r>
        <w:rPr>
          <w:rFonts w:ascii="Times New Roman" w:hAnsi="Times New Roman" w:cs="Times New Roman" w:eastAsiaTheme="minorEastAsia"/>
          <w:b/>
          <w:color w:val="auto"/>
          <w:w w:val="99"/>
          <w:highlight w:val="none"/>
        </w:rPr>
        <w:t>续表2.5-1    环境影响因素矩阵识别表</w:t>
      </w:r>
    </w:p>
    <w:tbl>
      <w:tblPr>
        <w:tblStyle w:val="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1738"/>
        <w:gridCol w:w="1036"/>
        <w:gridCol w:w="1732"/>
        <w:gridCol w:w="1262"/>
        <w:gridCol w:w="1751"/>
      </w:tblGrid>
      <w:tr w14:paraId="6F46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Merge w:val="restart"/>
            <w:tcBorders>
              <w:tl2br w:val="single" w:color="auto" w:sz="4" w:space="0"/>
            </w:tcBorders>
            <w:vAlign w:val="center"/>
          </w:tcPr>
          <w:p w14:paraId="4122E288">
            <w:pPr>
              <w:pStyle w:val="157"/>
              <w:widowControl w:val="0"/>
              <w:spacing w:line="360" w:lineRule="exact"/>
              <w:ind w:firstLine="517" w:firstLineChars="250"/>
              <w:jc w:val="lef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影响因素</w:t>
            </w:r>
          </w:p>
          <w:p w14:paraId="725957B7">
            <w:pPr>
              <w:pStyle w:val="157"/>
              <w:widowControl w:val="0"/>
              <w:spacing w:line="360" w:lineRule="exact"/>
              <w:jc w:val="left"/>
              <w:rPr>
                <w:rFonts w:ascii="Times New Roman" w:hAnsi="Times New Roman" w:eastAsiaTheme="minorEastAsia"/>
                <w:snapToGrid w:val="0"/>
                <w:color w:val="auto"/>
                <w:w w:val="99"/>
                <w:kern w:val="0"/>
                <w:szCs w:val="21"/>
                <w:highlight w:val="none"/>
              </w:rPr>
            </w:pPr>
          </w:p>
          <w:p w14:paraId="68870AC1">
            <w:pPr>
              <w:pStyle w:val="157"/>
              <w:widowControl w:val="0"/>
              <w:spacing w:line="360" w:lineRule="exact"/>
              <w:jc w:val="lef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环境因素</w:t>
            </w:r>
          </w:p>
        </w:tc>
        <w:tc>
          <w:tcPr>
            <w:tcW w:w="4049" w:type="pct"/>
            <w:gridSpan w:val="5"/>
            <w:vAlign w:val="center"/>
          </w:tcPr>
          <w:p w14:paraId="685DBDCB">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运营期</w:t>
            </w:r>
          </w:p>
        </w:tc>
      </w:tr>
      <w:tr w14:paraId="2140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 w:type="pct"/>
            <w:vMerge w:val="continue"/>
            <w:tcBorders>
              <w:tl2br w:val="single" w:color="auto" w:sz="4" w:space="0"/>
            </w:tcBorders>
            <w:vAlign w:val="center"/>
          </w:tcPr>
          <w:p w14:paraId="0FCB7BB3">
            <w:pPr>
              <w:pStyle w:val="157"/>
              <w:widowControl w:val="0"/>
              <w:spacing w:line="360" w:lineRule="exact"/>
              <w:rPr>
                <w:rFonts w:ascii="Times New Roman" w:hAnsi="Times New Roman" w:eastAsiaTheme="minorEastAsia"/>
                <w:snapToGrid w:val="0"/>
                <w:color w:val="auto"/>
                <w:w w:val="99"/>
                <w:kern w:val="0"/>
                <w:szCs w:val="21"/>
                <w:highlight w:val="none"/>
              </w:rPr>
            </w:pPr>
          </w:p>
        </w:tc>
        <w:tc>
          <w:tcPr>
            <w:tcW w:w="936" w:type="pct"/>
            <w:vAlign w:val="center"/>
          </w:tcPr>
          <w:p w14:paraId="3F7EBEAB">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废气</w:t>
            </w:r>
          </w:p>
        </w:tc>
        <w:tc>
          <w:tcPr>
            <w:tcW w:w="558" w:type="pct"/>
            <w:vAlign w:val="center"/>
          </w:tcPr>
          <w:p w14:paraId="7C65819B">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废水</w:t>
            </w:r>
          </w:p>
        </w:tc>
        <w:tc>
          <w:tcPr>
            <w:tcW w:w="933" w:type="pct"/>
            <w:vAlign w:val="center"/>
          </w:tcPr>
          <w:p w14:paraId="5D2A0F31">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固体废物</w:t>
            </w:r>
          </w:p>
        </w:tc>
        <w:tc>
          <w:tcPr>
            <w:tcW w:w="680" w:type="pct"/>
            <w:vAlign w:val="center"/>
          </w:tcPr>
          <w:p w14:paraId="3195BC9E">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噪声</w:t>
            </w:r>
          </w:p>
        </w:tc>
        <w:tc>
          <w:tcPr>
            <w:tcW w:w="939" w:type="pct"/>
            <w:vAlign w:val="center"/>
          </w:tcPr>
          <w:p w14:paraId="5871CFDD">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风险</w:t>
            </w:r>
          </w:p>
        </w:tc>
      </w:tr>
      <w:tr w14:paraId="3BDA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Merge w:val="continue"/>
            <w:tcBorders>
              <w:tl2br w:val="single" w:color="auto" w:sz="4" w:space="0"/>
            </w:tcBorders>
            <w:vAlign w:val="center"/>
          </w:tcPr>
          <w:p w14:paraId="3949D3B0">
            <w:pPr>
              <w:pStyle w:val="157"/>
              <w:widowControl w:val="0"/>
              <w:spacing w:line="360" w:lineRule="exact"/>
              <w:rPr>
                <w:rFonts w:ascii="Times New Roman" w:hAnsi="Times New Roman" w:eastAsiaTheme="minorEastAsia"/>
                <w:snapToGrid w:val="0"/>
                <w:color w:val="auto"/>
                <w:w w:val="99"/>
                <w:kern w:val="0"/>
                <w:szCs w:val="21"/>
                <w:highlight w:val="none"/>
              </w:rPr>
            </w:pPr>
          </w:p>
        </w:tc>
        <w:tc>
          <w:tcPr>
            <w:tcW w:w="936" w:type="pct"/>
            <w:vAlign w:val="center"/>
          </w:tcPr>
          <w:p w14:paraId="351972E5">
            <w:pPr>
              <w:pStyle w:val="157"/>
              <w:widowControl w:val="0"/>
              <w:kinsoku w:val="0"/>
              <w:overflowPunct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加热炉烟气、无组织挥发的烃类、</w:t>
            </w:r>
            <w:r>
              <w:rPr>
                <w:rFonts w:ascii="Times New Roman" w:hAnsi="Times New Roman" w:eastAsiaTheme="minorEastAsia"/>
                <w:snapToGrid w:val="0"/>
                <w:color w:val="auto"/>
                <w:w w:val="99"/>
                <w:kern w:val="0"/>
                <w:szCs w:val="21"/>
                <w:highlight w:val="none"/>
                <w:lang w:val="en-US"/>
              </w:rPr>
              <w:t>温室气体</w:t>
            </w:r>
          </w:p>
        </w:tc>
        <w:tc>
          <w:tcPr>
            <w:tcW w:w="558" w:type="pct"/>
            <w:vAlign w:val="center"/>
          </w:tcPr>
          <w:p w14:paraId="2C598DB0">
            <w:pPr>
              <w:pStyle w:val="157"/>
              <w:widowControl w:val="0"/>
              <w:kinsoku w:val="0"/>
              <w:overflowPunct w:val="0"/>
              <w:spacing w:line="360" w:lineRule="exact"/>
              <w:rPr>
                <w:rFonts w:hint="eastAsia" w:ascii="Times New Roman" w:hAnsi="Times New Roman" w:eastAsiaTheme="minorEastAsia"/>
                <w:snapToGrid w:val="0"/>
                <w:color w:val="auto"/>
                <w:w w:val="99"/>
                <w:kern w:val="0"/>
                <w:szCs w:val="21"/>
                <w:highlight w:val="none"/>
                <w:lang w:eastAsia="zh-CN"/>
              </w:rPr>
            </w:pPr>
            <w:r>
              <w:rPr>
                <w:rFonts w:hint="eastAsia" w:ascii="Times New Roman" w:hAnsi="Times New Roman" w:eastAsiaTheme="minorEastAsia"/>
                <w:snapToGrid w:val="0"/>
                <w:color w:val="auto"/>
                <w:w w:val="99"/>
                <w:kern w:val="0"/>
                <w:szCs w:val="21"/>
                <w:highlight w:val="none"/>
                <w:lang w:val="en-US" w:eastAsia="zh-CN"/>
              </w:rPr>
              <w:t>采出水</w:t>
            </w:r>
          </w:p>
        </w:tc>
        <w:tc>
          <w:tcPr>
            <w:tcW w:w="933" w:type="pct"/>
            <w:vAlign w:val="center"/>
          </w:tcPr>
          <w:p w14:paraId="029D7242">
            <w:pPr>
              <w:pStyle w:val="157"/>
              <w:widowControl w:val="0"/>
              <w:kinsoku w:val="0"/>
              <w:overflowPunct w:val="0"/>
              <w:spacing w:line="360" w:lineRule="exact"/>
              <w:rPr>
                <w:rFonts w:hint="default" w:ascii="Times New Roman" w:hAnsi="Times New Roman" w:eastAsiaTheme="minorEastAsia"/>
                <w:snapToGrid w:val="0"/>
                <w:color w:val="auto"/>
                <w:w w:val="99"/>
                <w:kern w:val="0"/>
                <w:szCs w:val="21"/>
                <w:highlight w:val="none"/>
                <w:lang w:val="en-US"/>
              </w:rPr>
            </w:pPr>
            <w:r>
              <w:rPr>
                <w:rFonts w:hint="eastAsia" w:ascii="Times New Roman" w:hAnsi="Times New Roman" w:cs="Times New Roman"/>
                <w:color w:val="auto"/>
                <w:w w:val="99"/>
                <w:sz w:val="21"/>
                <w:szCs w:val="21"/>
                <w:highlight w:val="none"/>
                <w:lang w:val="en-US" w:eastAsia="zh-CN" w:bidi="ar-SA"/>
              </w:rPr>
              <w:t>井口含油砂砾、废变压器油</w:t>
            </w:r>
          </w:p>
        </w:tc>
        <w:tc>
          <w:tcPr>
            <w:tcW w:w="680" w:type="pct"/>
            <w:vAlign w:val="center"/>
          </w:tcPr>
          <w:p w14:paraId="6D34EEDE">
            <w:pPr>
              <w:pStyle w:val="157"/>
              <w:widowControl w:val="0"/>
              <w:kinsoku w:val="0"/>
              <w:overflowPunct w:val="0"/>
              <w:spacing w:line="360" w:lineRule="exact"/>
              <w:rPr>
                <w:rFonts w:ascii="Times New Roman" w:hAnsi="Times New Roman" w:eastAsiaTheme="minorEastAsia"/>
                <w:snapToGrid w:val="0"/>
                <w:color w:val="auto"/>
                <w:w w:val="99"/>
                <w:kern w:val="0"/>
                <w:szCs w:val="21"/>
                <w:highlight w:val="none"/>
              </w:rPr>
            </w:pPr>
            <w:r>
              <w:rPr>
                <w:rFonts w:hint="default" w:ascii="Times New Roman" w:hAnsi="Times New Roman" w:eastAsiaTheme="minorEastAsia"/>
                <w:snapToGrid w:val="0"/>
                <w:color w:val="auto"/>
                <w:w w:val="99"/>
                <w:kern w:val="0"/>
                <w:szCs w:val="21"/>
                <w:highlight w:val="none"/>
                <w:lang w:val="en-US" w:eastAsia="zh-CN"/>
              </w:rPr>
              <w:t>加热装置、机泵</w:t>
            </w:r>
          </w:p>
        </w:tc>
        <w:tc>
          <w:tcPr>
            <w:tcW w:w="939" w:type="pct"/>
            <w:vAlign w:val="center"/>
          </w:tcPr>
          <w:p w14:paraId="22BCB0E4">
            <w:pPr>
              <w:pStyle w:val="157"/>
              <w:widowControl w:val="0"/>
              <w:kinsoku w:val="0"/>
              <w:overflowPunct w:val="0"/>
              <w:spacing w:line="360" w:lineRule="exact"/>
              <w:rPr>
                <w:rFonts w:ascii="Times New Roman" w:hAnsi="Times New Roman" w:eastAsiaTheme="minorEastAsia"/>
                <w:snapToGrid w:val="0"/>
                <w:color w:val="auto"/>
                <w:w w:val="99"/>
                <w:kern w:val="0"/>
                <w:szCs w:val="21"/>
                <w:highlight w:val="none"/>
              </w:rPr>
            </w:pPr>
            <w:r>
              <w:rPr>
                <w:rFonts w:hint="eastAsia" w:ascii="Times New Roman" w:hAnsi="Times New Roman" w:eastAsiaTheme="minorEastAsia"/>
                <w:snapToGrid w:val="0"/>
                <w:color w:val="auto"/>
                <w:w w:val="99"/>
                <w:kern w:val="0"/>
                <w:szCs w:val="21"/>
                <w:highlight w:val="none"/>
                <w:lang w:val="en-US" w:eastAsia="zh-CN"/>
              </w:rPr>
              <w:t>气井</w:t>
            </w:r>
            <w:r>
              <w:rPr>
                <w:rFonts w:hint="default" w:ascii="Times New Roman" w:hAnsi="Times New Roman" w:eastAsiaTheme="minorEastAsia"/>
                <w:snapToGrid w:val="0"/>
                <w:color w:val="auto"/>
                <w:w w:val="99"/>
                <w:kern w:val="0"/>
                <w:szCs w:val="21"/>
                <w:highlight w:val="none"/>
                <w:lang w:val="en-US" w:eastAsia="zh-CN"/>
              </w:rPr>
              <w:t>井喷、</w:t>
            </w:r>
            <w:r>
              <w:rPr>
                <w:rFonts w:hint="default" w:ascii="Times New Roman" w:hAnsi="Times New Roman" w:eastAsiaTheme="minorEastAsia"/>
                <w:snapToGrid w:val="0"/>
                <w:color w:val="auto"/>
                <w:w w:val="99"/>
                <w:kern w:val="0"/>
                <w:szCs w:val="21"/>
                <w:highlight w:val="none"/>
                <w:lang w:eastAsia="zh-CN"/>
              </w:rPr>
              <w:t>管道</w:t>
            </w:r>
            <w:r>
              <w:rPr>
                <w:rFonts w:hint="default" w:ascii="Times New Roman" w:hAnsi="Times New Roman" w:eastAsiaTheme="minorEastAsia"/>
                <w:snapToGrid w:val="0"/>
                <w:color w:val="auto"/>
                <w:w w:val="99"/>
                <w:kern w:val="0"/>
                <w:szCs w:val="21"/>
                <w:highlight w:val="none"/>
              </w:rPr>
              <w:t>泄漏、火灾、爆炸</w:t>
            </w:r>
          </w:p>
        </w:tc>
      </w:tr>
      <w:tr w14:paraId="16A8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Align w:val="center"/>
          </w:tcPr>
          <w:p w14:paraId="557C88BF">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环境空气</w:t>
            </w:r>
          </w:p>
        </w:tc>
        <w:tc>
          <w:tcPr>
            <w:tcW w:w="936" w:type="pct"/>
            <w:vAlign w:val="center"/>
          </w:tcPr>
          <w:p w14:paraId="2A172B0D">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-L</w:t>
            </w:r>
          </w:p>
        </w:tc>
        <w:tc>
          <w:tcPr>
            <w:tcW w:w="558" w:type="pct"/>
            <w:vAlign w:val="center"/>
          </w:tcPr>
          <w:p w14:paraId="55DB63EB">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33" w:type="pct"/>
            <w:vAlign w:val="center"/>
          </w:tcPr>
          <w:p w14:paraId="5C95122D">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-S</w:t>
            </w:r>
          </w:p>
        </w:tc>
        <w:tc>
          <w:tcPr>
            <w:tcW w:w="680" w:type="pct"/>
            <w:vAlign w:val="center"/>
          </w:tcPr>
          <w:p w14:paraId="5DE72016">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39" w:type="pct"/>
            <w:vAlign w:val="center"/>
          </w:tcPr>
          <w:p w14:paraId="06C6E0BC">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-S</w:t>
            </w:r>
          </w:p>
        </w:tc>
      </w:tr>
      <w:tr w14:paraId="260A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Align w:val="center"/>
          </w:tcPr>
          <w:p w14:paraId="4F9DA0DC">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地表水</w:t>
            </w:r>
          </w:p>
        </w:tc>
        <w:tc>
          <w:tcPr>
            <w:tcW w:w="936" w:type="pct"/>
            <w:vAlign w:val="center"/>
          </w:tcPr>
          <w:p w14:paraId="0AE28A11">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558" w:type="pct"/>
            <w:vAlign w:val="center"/>
          </w:tcPr>
          <w:p w14:paraId="2FD75AC2">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933" w:type="pct"/>
            <w:vAlign w:val="center"/>
          </w:tcPr>
          <w:p w14:paraId="73C1A13C">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680" w:type="pct"/>
            <w:vAlign w:val="center"/>
          </w:tcPr>
          <w:p w14:paraId="6653760D">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39" w:type="pct"/>
            <w:vAlign w:val="center"/>
          </w:tcPr>
          <w:p w14:paraId="2AE4C949">
            <w:pPr>
              <w:pStyle w:val="157"/>
              <w:widowControl w:val="0"/>
              <w:spacing w:line="360" w:lineRule="exact"/>
              <w:rPr>
                <w:rFonts w:hint="eastAsia" w:ascii="Times New Roman" w:hAnsi="Times New Roman" w:eastAsiaTheme="minorEastAsia"/>
                <w:snapToGrid w:val="0"/>
                <w:color w:val="auto"/>
                <w:w w:val="99"/>
                <w:kern w:val="0"/>
                <w:szCs w:val="21"/>
                <w:highlight w:val="none"/>
                <w:lang w:eastAsia="zh-CN"/>
              </w:rPr>
            </w:pPr>
            <w:r>
              <w:rPr>
                <w:rFonts w:hint="eastAsia" w:ascii="Times New Roman" w:hAnsi="Times New Roman" w:eastAsiaTheme="minorEastAsia"/>
                <w:snapToGrid w:val="0"/>
                <w:color w:val="auto"/>
                <w:w w:val="99"/>
                <w:kern w:val="0"/>
                <w:szCs w:val="21"/>
                <w:highlight w:val="none"/>
                <w:lang w:val="en-US" w:eastAsia="zh-CN"/>
              </w:rPr>
              <w:t>/</w:t>
            </w:r>
          </w:p>
        </w:tc>
      </w:tr>
      <w:tr w14:paraId="29E1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Align w:val="center"/>
          </w:tcPr>
          <w:p w14:paraId="03805F1D">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地下水</w:t>
            </w:r>
          </w:p>
        </w:tc>
        <w:tc>
          <w:tcPr>
            <w:tcW w:w="936" w:type="pct"/>
            <w:vAlign w:val="center"/>
          </w:tcPr>
          <w:p w14:paraId="5D3C6B8C">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558" w:type="pct"/>
            <w:vAlign w:val="center"/>
          </w:tcPr>
          <w:p w14:paraId="71F6C408">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933" w:type="pct"/>
            <w:vAlign w:val="center"/>
          </w:tcPr>
          <w:p w14:paraId="22CB4F82">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680" w:type="pct"/>
            <w:vAlign w:val="center"/>
          </w:tcPr>
          <w:p w14:paraId="6CB5F794">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39" w:type="pct"/>
            <w:vAlign w:val="center"/>
          </w:tcPr>
          <w:p w14:paraId="1BE7E24D">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-S</w:t>
            </w:r>
          </w:p>
        </w:tc>
      </w:tr>
      <w:tr w14:paraId="2EA6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Align w:val="center"/>
          </w:tcPr>
          <w:p w14:paraId="487C7F11">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声环境</w:t>
            </w:r>
          </w:p>
        </w:tc>
        <w:tc>
          <w:tcPr>
            <w:tcW w:w="936" w:type="pct"/>
            <w:vAlign w:val="center"/>
          </w:tcPr>
          <w:p w14:paraId="4B1309BB">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558" w:type="pct"/>
            <w:vAlign w:val="center"/>
          </w:tcPr>
          <w:p w14:paraId="34692EAA">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33" w:type="pct"/>
            <w:vAlign w:val="center"/>
          </w:tcPr>
          <w:p w14:paraId="42300088">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680" w:type="pct"/>
            <w:vAlign w:val="center"/>
          </w:tcPr>
          <w:p w14:paraId="469133E7">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-L</w:t>
            </w:r>
          </w:p>
        </w:tc>
        <w:tc>
          <w:tcPr>
            <w:tcW w:w="939" w:type="pct"/>
            <w:vAlign w:val="center"/>
          </w:tcPr>
          <w:p w14:paraId="4B80FE3B">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r>
      <w:tr w14:paraId="3AC1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Align w:val="center"/>
          </w:tcPr>
          <w:p w14:paraId="3302E7F6">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土壤</w:t>
            </w:r>
          </w:p>
        </w:tc>
        <w:tc>
          <w:tcPr>
            <w:tcW w:w="936" w:type="pct"/>
            <w:vAlign w:val="center"/>
          </w:tcPr>
          <w:p w14:paraId="65FE757F">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558" w:type="pct"/>
            <w:vAlign w:val="center"/>
          </w:tcPr>
          <w:p w14:paraId="6DEE7242">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933" w:type="pct"/>
            <w:vAlign w:val="center"/>
          </w:tcPr>
          <w:p w14:paraId="6FA2481B">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-S</w:t>
            </w:r>
          </w:p>
        </w:tc>
        <w:tc>
          <w:tcPr>
            <w:tcW w:w="680" w:type="pct"/>
            <w:vAlign w:val="center"/>
          </w:tcPr>
          <w:p w14:paraId="3FB53702">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39" w:type="pct"/>
            <w:vAlign w:val="center"/>
          </w:tcPr>
          <w:p w14:paraId="260C23AA">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-S</w:t>
            </w:r>
          </w:p>
        </w:tc>
      </w:tr>
      <w:tr w14:paraId="48FE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Align w:val="center"/>
          </w:tcPr>
          <w:p w14:paraId="1A0589AA">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生态</w:t>
            </w:r>
          </w:p>
        </w:tc>
        <w:tc>
          <w:tcPr>
            <w:tcW w:w="936" w:type="pct"/>
            <w:vAlign w:val="center"/>
          </w:tcPr>
          <w:p w14:paraId="5DF49B68">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558" w:type="pct"/>
            <w:vAlign w:val="center"/>
          </w:tcPr>
          <w:p w14:paraId="0BFAD5A0">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33" w:type="pct"/>
            <w:vAlign w:val="center"/>
          </w:tcPr>
          <w:p w14:paraId="30E223BB">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-S</w:t>
            </w:r>
          </w:p>
        </w:tc>
        <w:tc>
          <w:tcPr>
            <w:tcW w:w="680" w:type="pct"/>
            <w:vAlign w:val="center"/>
          </w:tcPr>
          <w:p w14:paraId="6E819725">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939" w:type="pct"/>
            <w:vAlign w:val="center"/>
          </w:tcPr>
          <w:p w14:paraId="7C905AF4">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-S</w:t>
            </w:r>
          </w:p>
        </w:tc>
      </w:tr>
      <w:tr w14:paraId="41E3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vAlign w:val="center"/>
          </w:tcPr>
          <w:p w14:paraId="54DDF42A">
            <w:pPr>
              <w:pStyle w:val="157"/>
              <w:widowControl w:val="0"/>
              <w:spacing w:line="36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szCs w:val="21"/>
                <w:highlight w:val="none"/>
                <w:lang w:val="en-US"/>
              </w:rPr>
              <w:t>注：-：不利影响   +：有利影响   L：长期影响   S：短期影响   A：显著影响    /：表示此项环境因子不存在或与工程活动无关</w:t>
            </w:r>
          </w:p>
        </w:tc>
      </w:tr>
    </w:tbl>
    <w:p w14:paraId="7233FAEF">
      <w:pPr>
        <w:widowControl w:val="0"/>
        <w:spacing w:line="440" w:lineRule="exact"/>
        <w:ind w:firstLine="476" w:firstLineChars="200"/>
        <w:rPr>
          <w:rFonts w:ascii="Times New Roman" w:hAnsi="Times New Roman" w:cs="Times New Roman" w:eastAsiaTheme="minorEastAsia"/>
          <w:b/>
          <w:color w:val="auto"/>
          <w:w w:val="99"/>
          <w:highlight w:val="none"/>
        </w:rPr>
      </w:pPr>
      <w:r>
        <w:rPr>
          <w:rFonts w:ascii="Times New Roman" w:hAnsi="Times New Roman" w:cs="Times New Roman" w:eastAsiaTheme="minorEastAsia"/>
          <w:b/>
          <w:color w:val="auto"/>
          <w:w w:val="99"/>
          <w:highlight w:val="none"/>
        </w:rPr>
        <w:t>续表2.5-1    环境影响因素矩阵识别表</w:t>
      </w:r>
    </w:p>
    <w:tbl>
      <w:tblPr>
        <w:tblStyle w:val="80"/>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1175"/>
        <w:gridCol w:w="1452"/>
        <w:gridCol w:w="1307"/>
        <w:gridCol w:w="2033"/>
        <w:gridCol w:w="1596"/>
        <w:gridCol w:w="7"/>
      </w:tblGrid>
      <w:tr w14:paraId="4332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Merge w:val="restart"/>
            <w:tcBorders>
              <w:tl2br w:val="single" w:color="auto" w:sz="4" w:space="0"/>
            </w:tcBorders>
            <w:vAlign w:val="center"/>
          </w:tcPr>
          <w:p w14:paraId="4F2E89ED">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 xml:space="preserve">      影响因素</w:t>
            </w:r>
          </w:p>
          <w:p w14:paraId="476E208A">
            <w:pPr>
              <w:pStyle w:val="157"/>
              <w:widowControl w:val="0"/>
              <w:spacing w:line="320" w:lineRule="exact"/>
              <w:rPr>
                <w:rFonts w:ascii="Times New Roman" w:hAnsi="Times New Roman" w:eastAsiaTheme="minorEastAsia"/>
                <w:snapToGrid w:val="0"/>
                <w:color w:val="auto"/>
                <w:w w:val="99"/>
                <w:kern w:val="0"/>
                <w:szCs w:val="21"/>
                <w:highlight w:val="none"/>
              </w:rPr>
            </w:pPr>
          </w:p>
          <w:p w14:paraId="66E326FF">
            <w:pPr>
              <w:pStyle w:val="157"/>
              <w:widowControl w:val="0"/>
              <w:spacing w:line="320" w:lineRule="exact"/>
              <w:jc w:val="lef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环境因素</w:t>
            </w:r>
          </w:p>
        </w:tc>
        <w:tc>
          <w:tcPr>
            <w:tcW w:w="632" w:type="pct"/>
            <w:vMerge w:val="restart"/>
            <w:vAlign w:val="center"/>
          </w:tcPr>
          <w:p w14:paraId="335BEED0">
            <w:pPr>
              <w:pStyle w:val="157"/>
              <w:widowControl w:val="0"/>
              <w:spacing w:line="320" w:lineRule="exact"/>
              <w:rPr>
                <w:rFonts w:hint="default" w:ascii="Times New Roman" w:hAnsi="Times New Roman" w:eastAsiaTheme="minorEastAsia"/>
                <w:snapToGrid w:val="0"/>
                <w:color w:val="auto"/>
                <w:w w:val="99"/>
                <w:kern w:val="0"/>
                <w:szCs w:val="21"/>
                <w:highlight w:val="none"/>
                <w:lang w:val="en-US" w:eastAsia="zh-CN"/>
              </w:rPr>
            </w:pPr>
            <w:r>
              <w:rPr>
                <w:rFonts w:hint="eastAsia" w:ascii="Times New Roman" w:hAnsi="Times New Roman" w:eastAsiaTheme="minorEastAsia"/>
                <w:snapToGrid w:val="0"/>
                <w:color w:val="auto"/>
                <w:w w:val="99"/>
                <w:kern w:val="0"/>
                <w:szCs w:val="21"/>
                <w:highlight w:val="none"/>
                <w:lang w:val="en-US" w:eastAsia="zh-CN"/>
              </w:rPr>
              <w:t>永久占地</w:t>
            </w:r>
          </w:p>
        </w:tc>
        <w:tc>
          <w:tcPr>
            <w:tcW w:w="3435" w:type="pct"/>
            <w:gridSpan w:val="4"/>
            <w:vAlign w:val="center"/>
          </w:tcPr>
          <w:p w14:paraId="68E563CC">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退役期</w:t>
            </w:r>
          </w:p>
        </w:tc>
      </w:tr>
      <w:tr w14:paraId="6083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Merge w:val="continue"/>
            <w:tcBorders>
              <w:tl2br w:val="single" w:color="auto" w:sz="4" w:space="0"/>
            </w:tcBorders>
            <w:vAlign w:val="center"/>
          </w:tcPr>
          <w:p w14:paraId="02523031">
            <w:pPr>
              <w:pStyle w:val="157"/>
              <w:widowControl w:val="0"/>
              <w:spacing w:line="320" w:lineRule="exact"/>
              <w:rPr>
                <w:rFonts w:ascii="Times New Roman" w:hAnsi="Times New Roman" w:eastAsiaTheme="minorEastAsia"/>
                <w:snapToGrid w:val="0"/>
                <w:color w:val="auto"/>
                <w:w w:val="99"/>
                <w:kern w:val="0"/>
                <w:szCs w:val="21"/>
                <w:highlight w:val="none"/>
              </w:rPr>
            </w:pPr>
          </w:p>
        </w:tc>
        <w:tc>
          <w:tcPr>
            <w:tcW w:w="632" w:type="pct"/>
            <w:vMerge w:val="continue"/>
            <w:vAlign w:val="center"/>
          </w:tcPr>
          <w:p w14:paraId="260F6CBE">
            <w:pPr>
              <w:pStyle w:val="157"/>
              <w:widowControl w:val="0"/>
              <w:spacing w:line="320" w:lineRule="exact"/>
              <w:rPr>
                <w:rFonts w:ascii="Times New Roman" w:hAnsi="Times New Roman" w:eastAsiaTheme="minorEastAsia"/>
                <w:snapToGrid w:val="0"/>
                <w:color w:val="auto"/>
                <w:w w:val="99"/>
                <w:kern w:val="0"/>
                <w:szCs w:val="21"/>
                <w:highlight w:val="none"/>
              </w:rPr>
            </w:pPr>
          </w:p>
        </w:tc>
        <w:tc>
          <w:tcPr>
            <w:tcW w:w="781" w:type="pct"/>
            <w:vAlign w:val="center"/>
          </w:tcPr>
          <w:p w14:paraId="38CB7D8F">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废气</w:t>
            </w:r>
          </w:p>
        </w:tc>
        <w:tc>
          <w:tcPr>
            <w:tcW w:w="703" w:type="pct"/>
            <w:vAlign w:val="center"/>
          </w:tcPr>
          <w:p w14:paraId="719C9AD5">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废水</w:t>
            </w:r>
          </w:p>
        </w:tc>
        <w:tc>
          <w:tcPr>
            <w:tcW w:w="1093" w:type="pct"/>
            <w:vAlign w:val="center"/>
          </w:tcPr>
          <w:p w14:paraId="1FECCCF3">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固体废物</w:t>
            </w:r>
          </w:p>
        </w:tc>
        <w:tc>
          <w:tcPr>
            <w:tcW w:w="858" w:type="pct"/>
            <w:vAlign w:val="center"/>
          </w:tcPr>
          <w:p w14:paraId="5A7F4B96">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噪声</w:t>
            </w:r>
          </w:p>
        </w:tc>
      </w:tr>
      <w:tr w14:paraId="4A3F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Merge w:val="continue"/>
            <w:tcBorders>
              <w:tl2br w:val="single" w:color="auto" w:sz="4" w:space="0"/>
            </w:tcBorders>
            <w:vAlign w:val="center"/>
          </w:tcPr>
          <w:p w14:paraId="32D1D463">
            <w:pPr>
              <w:pStyle w:val="157"/>
              <w:widowControl w:val="0"/>
              <w:spacing w:line="320" w:lineRule="exact"/>
              <w:rPr>
                <w:rFonts w:ascii="Times New Roman" w:hAnsi="Times New Roman" w:eastAsiaTheme="minorEastAsia"/>
                <w:snapToGrid w:val="0"/>
                <w:color w:val="auto"/>
                <w:w w:val="99"/>
                <w:kern w:val="0"/>
                <w:szCs w:val="21"/>
                <w:highlight w:val="none"/>
              </w:rPr>
            </w:pPr>
          </w:p>
        </w:tc>
        <w:tc>
          <w:tcPr>
            <w:tcW w:w="632" w:type="pct"/>
            <w:vMerge w:val="continue"/>
            <w:vAlign w:val="center"/>
          </w:tcPr>
          <w:p w14:paraId="36CDB4A1">
            <w:pPr>
              <w:pStyle w:val="157"/>
              <w:widowControl w:val="0"/>
              <w:spacing w:line="320" w:lineRule="exact"/>
              <w:rPr>
                <w:rFonts w:ascii="Times New Roman" w:hAnsi="Times New Roman" w:eastAsiaTheme="minorEastAsia"/>
                <w:snapToGrid w:val="0"/>
                <w:color w:val="auto"/>
                <w:w w:val="99"/>
                <w:kern w:val="0"/>
                <w:szCs w:val="21"/>
                <w:highlight w:val="none"/>
              </w:rPr>
            </w:pPr>
          </w:p>
        </w:tc>
        <w:tc>
          <w:tcPr>
            <w:tcW w:w="781" w:type="pct"/>
            <w:vAlign w:val="center"/>
          </w:tcPr>
          <w:p w14:paraId="0C975617">
            <w:pPr>
              <w:pStyle w:val="157"/>
              <w:widowControl w:val="0"/>
              <w:kinsoku w:val="0"/>
              <w:overflowPunct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color w:val="auto"/>
                <w:w w:val="99"/>
                <w:szCs w:val="21"/>
                <w:highlight w:val="none"/>
              </w:rPr>
              <w:t>施工扬尘、车辆尾气</w:t>
            </w:r>
          </w:p>
        </w:tc>
        <w:tc>
          <w:tcPr>
            <w:tcW w:w="703" w:type="pct"/>
            <w:vAlign w:val="center"/>
          </w:tcPr>
          <w:p w14:paraId="24CE5C6A">
            <w:pPr>
              <w:pStyle w:val="157"/>
              <w:widowControl w:val="0"/>
              <w:kinsoku w:val="0"/>
              <w:overflowPunct w:val="0"/>
              <w:spacing w:line="320" w:lineRule="exact"/>
              <w:rPr>
                <w:rFonts w:ascii="Times New Roman" w:hAnsi="Times New Roman" w:eastAsiaTheme="minorEastAsia"/>
                <w:snapToGrid w:val="0"/>
                <w:color w:val="auto"/>
                <w:w w:val="99"/>
                <w:kern w:val="0"/>
                <w:szCs w:val="21"/>
                <w:highlight w:val="none"/>
              </w:rPr>
            </w:pPr>
            <w:r>
              <w:rPr>
                <w:rFonts w:hint="eastAsia" w:ascii="Times New Roman" w:hAnsi="Times New Roman" w:eastAsiaTheme="minorEastAsia"/>
                <w:snapToGrid w:val="0"/>
                <w:color w:val="auto"/>
                <w:w w:val="99"/>
                <w:kern w:val="0"/>
                <w:szCs w:val="21"/>
                <w:highlight w:val="none"/>
                <w:lang w:val="en-US" w:eastAsia="zh-CN"/>
              </w:rPr>
              <w:t>拆除设备清洗废水、生活污水</w:t>
            </w:r>
          </w:p>
        </w:tc>
        <w:tc>
          <w:tcPr>
            <w:tcW w:w="1093" w:type="pct"/>
            <w:vAlign w:val="center"/>
          </w:tcPr>
          <w:p w14:paraId="1BBC20DB">
            <w:pPr>
              <w:pStyle w:val="157"/>
              <w:widowControl w:val="0"/>
              <w:kinsoku w:val="0"/>
              <w:overflowPunct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color w:val="auto"/>
                <w:w w:val="99"/>
                <w:szCs w:val="21"/>
                <w:highlight w:val="none"/>
              </w:rPr>
              <w:t>废旧设备、封井建筑垃圾、生活垃圾</w:t>
            </w:r>
          </w:p>
        </w:tc>
        <w:tc>
          <w:tcPr>
            <w:tcW w:w="858" w:type="pct"/>
            <w:vAlign w:val="center"/>
          </w:tcPr>
          <w:p w14:paraId="1B453CF0">
            <w:pPr>
              <w:pStyle w:val="157"/>
              <w:widowControl w:val="0"/>
              <w:kinsoku w:val="0"/>
              <w:overflowPunct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施工车辆、施工机械噪声</w:t>
            </w:r>
          </w:p>
        </w:tc>
      </w:tr>
      <w:tr w14:paraId="3389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Align w:val="center"/>
          </w:tcPr>
          <w:p w14:paraId="03EB3911">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环境空气</w:t>
            </w:r>
          </w:p>
        </w:tc>
        <w:tc>
          <w:tcPr>
            <w:tcW w:w="632" w:type="pct"/>
            <w:vAlign w:val="center"/>
          </w:tcPr>
          <w:p w14:paraId="71F8ED75">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81" w:type="pct"/>
            <w:vAlign w:val="center"/>
          </w:tcPr>
          <w:p w14:paraId="75BA88C1">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-S</w:t>
            </w:r>
          </w:p>
        </w:tc>
        <w:tc>
          <w:tcPr>
            <w:tcW w:w="703" w:type="pct"/>
            <w:vAlign w:val="center"/>
          </w:tcPr>
          <w:p w14:paraId="101D39A5">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1093" w:type="pct"/>
            <w:vAlign w:val="center"/>
          </w:tcPr>
          <w:p w14:paraId="4C392736">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858" w:type="pct"/>
            <w:vAlign w:val="center"/>
          </w:tcPr>
          <w:p w14:paraId="47A22C44">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w:t>
            </w:r>
          </w:p>
        </w:tc>
      </w:tr>
      <w:tr w14:paraId="673F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Align w:val="center"/>
          </w:tcPr>
          <w:p w14:paraId="2B738CAB">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地表水</w:t>
            </w:r>
          </w:p>
        </w:tc>
        <w:tc>
          <w:tcPr>
            <w:tcW w:w="632" w:type="pct"/>
            <w:vAlign w:val="center"/>
          </w:tcPr>
          <w:p w14:paraId="0AE84CAC">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81" w:type="pct"/>
            <w:vAlign w:val="center"/>
          </w:tcPr>
          <w:p w14:paraId="0CD22014">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03" w:type="pct"/>
            <w:vAlign w:val="center"/>
          </w:tcPr>
          <w:p w14:paraId="74255E94">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1093" w:type="pct"/>
            <w:vAlign w:val="center"/>
          </w:tcPr>
          <w:p w14:paraId="58AA4043">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858" w:type="pct"/>
            <w:vAlign w:val="center"/>
          </w:tcPr>
          <w:p w14:paraId="167024C8">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w:t>
            </w:r>
          </w:p>
        </w:tc>
      </w:tr>
      <w:tr w14:paraId="1549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Align w:val="center"/>
          </w:tcPr>
          <w:p w14:paraId="151C3A1F">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地下水</w:t>
            </w:r>
          </w:p>
        </w:tc>
        <w:tc>
          <w:tcPr>
            <w:tcW w:w="632" w:type="pct"/>
            <w:vAlign w:val="center"/>
          </w:tcPr>
          <w:p w14:paraId="76EE621E">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81" w:type="pct"/>
            <w:vAlign w:val="center"/>
          </w:tcPr>
          <w:p w14:paraId="32371535">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03" w:type="pct"/>
            <w:vAlign w:val="center"/>
          </w:tcPr>
          <w:p w14:paraId="063552EC">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1093" w:type="pct"/>
            <w:vAlign w:val="center"/>
          </w:tcPr>
          <w:p w14:paraId="46BAD1D8">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858" w:type="pct"/>
            <w:vAlign w:val="center"/>
          </w:tcPr>
          <w:p w14:paraId="08112875">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w:t>
            </w:r>
          </w:p>
        </w:tc>
      </w:tr>
      <w:tr w14:paraId="0102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Align w:val="center"/>
          </w:tcPr>
          <w:p w14:paraId="4C548A4F">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声环境</w:t>
            </w:r>
          </w:p>
        </w:tc>
        <w:tc>
          <w:tcPr>
            <w:tcW w:w="632" w:type="pct"/>
            <w:vAlign w:val="center"/>
          </w:tcPr>
          <w:p w14:paraId="624AD6A8">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81" w:type="pct"/>
            <w:vAlign w:val="center"/>
          </w:tcPr>
          <w:p w14:paraId="6C19E2B0">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03" w:type="pct"/>
            <w:vAlign w:val="center"/>
          </w:tcPr>
          <w:p w14:paraId="381A7D36">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1093" w:type="pct"/>
            <w:vAlign w:val="center"/>
          </w:tcPr>
          <w:p w14:paraId="6B426372">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858" w:type="pct"/>
            <w:vAlign w:val="center"/>
          </w:tcPr>
          <w:p w14:paraId="6CEDFCA7">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-S</w:t>
            </w:r>
          </w:p>
        </w:tc>
      </w:tr>
      <w:tr w14:paraId="7FA4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Align w:val="center"/>
          </w:tcPr>
          <w:p w14:paraId="5B5EC008">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土壤</w:t>
            </w:r>
          </w:p>
        </w:tc>
        <w:tc>
          <w:tcPr>
            <w:tcW w:w="632" w:type="pct"/>
            <w:vAlign w:val="center"/>
          </w:tcPr>
          <w:p w14:paraId="5CF9E326">
            <w:pPr>
              <w:widowControl w:val="0"/>
              <w:spacing w:line="320" w:lineRule="exact"/>
              <w:jc w:val="center"/>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781" w:type="pct"/>
            <w:vAlign w:val="center"/>
          </w:tcPr>
          <w:p w14:paraId="798C11DA">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03" w:type="pct"/>
            <w:vAlign w:val="center"/>
          </w:tcPr>
          <w:p w14:paraId="0D95CB5D">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1093" w:type="pct"/>
            <w:vAlign w:val="center"/>
          </w:tcPr>
          <w:p w14:paraId="46A7694E">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858" w:type="pct"/>
            <w:vAlign w:val="center"/>
          </w:tcPr>
          <w:p w14:paraId="1F7FA9DB">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w:t>
            </w:r>
          </w:p>
        </w:tc>
      </w:tr>
      <w:tr w14:paraId="21D3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Align w:val="center"/>
          </w:tcPr>
          <w:p w14:paraId="5374F1F8">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生态</w:t>
            </w:r>
          </w:p>
        </w:tc>
        <w:tc>
          <w:tcPr>
            <w:tcW w:w="632" w:type="pct"/>
            <w:vAlign w:val="center"/>
          </w:tcPr>
          <w:p w14:paraId="4873913B">
            <w:pPr>
              <w:widowControl w:val="0"/>
              <w:spacing w:line="320" w:lineRule="exact"/>
              <w:jc w:val="center"/>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781" w:type="pct"/>
            <w:vAlign w:val="center"/>
          </w:tcPr>
          <w:p w14:paraId="149771FB">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703" w:type="pct"/>
            <w:vAlign w:val="center"/>
          </w:tcPr>
          <w:p w14:paraId="10FC7318">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rPr>
              <w:t>/</w:t>
            </w:r>
          </w:p>
        </w:tc>
        <w:tc>
          <w:tcPr>
            <w:tcW w:w="1093" w:type="pct"/>
            <w:vAlign w:val="center"/>
          </w:tcPr>
          <w:p w14:paraId="3FD80914">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-S</w:t>
            </w:r>
          </w:p>
        </w:tc>
        <w:tc>
          <w:tcPr>
            <w:tcW w:w="858" w:type="pct"/>
            <w:vAlign w:val="center"/>
          </w:tcPr>
          <w:p w14:paraId="5DE1284B">
            <w:pPr>
              <w:pStyle w:val="157"/>
              <w:widowControl w:val="0"/>
              <w:spacing w:line="320" w:lineRule="exac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w:t>
            </w:r>
          </w:p>
        </w:tc>
      </w:tr>
      <w:tr w14:paraId="0DDB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1E17B085">
            <w:pPr>
              <w:pStyle w:val="157"/>
              <w:widowControl w:val="0"/>
              <w:spacing w:line="320" w:lineRule="exact"/>
              <w:jc w:val="left"/>
              <w:rPr>
                <w:rFonts w:ascii="Times New Roman" w:hAnsi="Times New Roman" w:eastAsiaTheme="minorEastAsia"/>
                <w:snapToGrid w:val="0"/>
                <w:color w:val="auto"/>
                <w:w w:val="99"/>
                <w:kern w:val="0"/>
                <w:szCs w:val="21"/>
                <w:highlight w:val="none"/>
              </w:rPr>
            </w:pPr>
            <w:r>
              <w:rPr>
                <w:rFonts w:ascii="Times New Roman" w:hAnsi="Times New Roman" w:eastAsiaTheme="minorEastAsia"/>
                <w:snapToGrid w:val="0"/>
                <w:color w:val="auto"/>
                <w:w w:val="99"/>
                <w:kern w:val="0"/>
                <w:szCs w:val="21"/>
                <w:highlight w:val="none"/>
                <w:lang w:val="en-US"/>
              </w:rPr>
              <w:t>注：-：不利影响   +：有利影响   L：长期影响   S：短期影响   A：显著影响    /：表示此项环境因子不存在或与工程活动无关</w:t>
            </w:r>
          </w:p>
        </w:tc>
      </w:tr>
    </w:tbl>
    <w:p w14:paraId="3AD9B167">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从上表可知，本项目的主要环境影响表现在工程占地对土壤、植被的影响，环境风险对地表水、地下水、土壤、植被的影响等方面。</w:t>
      </w:r>
    </w:p>
    <w:p w14:paraId="4C778E2A">
      <w:pPr>
        <w:pStyle w:val="7"/>
        <w:widowControl w:val="0"/>
        <w:spacing w:before="60" w:after="60" w:line="440" w:lineRule="exact"/>
        <w:jc w:val="both"/>
        <w:rPr>
          <w:rFonts w:eastAsia="宋体"/>
          <w:b/>
          <w:color w:val="auto"/>
          <w:w w:val="99"/>
          <w:kern w:val="2"/>
          <w:sz w:val="24"/>
          <w:szCs w:val="24"/>
          <w:highlight w:val="none"/>
        </w:rPr>
      </w:pPr>
      <w:bookmarkStart w:id="233" w:name="_Toc61597192"/>
      <w:bookmarkStart w:id="234" w:name="_Toc83209443"/>
      <w:bookmarkStart w:id="235" w:name="_Toc77067630"/>
      <w:bookmarkStart w:id="236" w:name="_Toc80588226"/>
      <w:bookmarkStart w:id="237" w:name="_Toc76976214"/>
      <w:bookmarkStart w:id="238" w:name="_Toc186444246"/>
      <w:bookmarkStart w:id="239" w:name="_Toc67860099"/>
      <w:bookmarkStart w:id="240" w:name="_Toc57707890"/>
      <w:bookmarkStart w:id="241" w:name="_Toc57203220"/>
      <w:bookmarkStart w:id="242" w:name="_Toc17898135"/>
      <w:bookmarkStart w:id="243" w:name="_Toc21320"/>
      <w:bookmarkStart w:id="244" w:name="_Toc78816431"/>
      <w:bookmarkStart w:id="245" w:name="_Toc80971348"/>
      <w:bookmarkStart w:id="246" w:name="_Toc70050146"/>
      <w:bookmarkStart w:id="247" w:name="_Toc57976645"/>
      <w:r>
        <w:rPr>
          <w:rFonts w:eastAsia="宋体"/>
          <w:b/>
          <w:color w:val="auto"/>
          <w:w w:val="99"/>
          <w:kern w:val="2"/>
          <w:sz w:val="24"/>
          <w:szCs w:val="24"/>
          <w:highlight w:val="none"/>
        </w:rPr>
        <w:t>2.5.3评价因子筛选</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195C19E">
      <w:pPr>
        <w:pStyle w:val="153"/>
        <w:widowControl w:val="0"/>
        <w:spacing w:line="440" w:lineRule="exact"/>
        <w:ind w:firstLine="473"/>
        <w:rPr>
          <w:rFonts w:ascii="Times New Roman" w:hAnsi="Times New Roman"/>
          <w:color w:val="auto"/>
          <w:w w:val="99"/>
          <w:highlight w:val="none"/>
        </w:rPr>
      </w:pPr>
      <w:r>
        <w:rPr>
          <w:rFonts w:ascii="Times New Roman" w:hAnsi="Times New Roman"/>
          <w:color w:val="auto"/>
          <w:w w:val="99"/>
          <w:highlight w:val="none"/>
        </w:rPr>
        <w:t>经过对</w:t>
      </w:r>
      <w:r>
        <w:rPr>
          <w:rFonts w:hint="eastAsia" w:ascii="Times New Roman" w:hAnsi="Times New Roman"/>
          <w:color w:val="auto"/>
          <w:w w:val="99"/>
          <w:highlight w:val="none"/>
          <w:lang w:val="en-US" w:eastAsia="zh-CN"/>
        </w:rPr>
        <w:t>气田</w:t>
      </w:r>
      <w:r>
        <w:rPr>
          <w:rFonts w:ascii="Times New Roman" w:hAnsi="Times New Roman"/>
          <w:color w:val="auto"/>
          <w:w w:val="99"/>
          <w:highlight w:val="none"/>
        </w:rPr>
        <w:t>产生污染物排放特点及油田周围环境情况进行分析后，确定本工程评价因子详见</w:t>
      </w:r>
      <w:r>
        <w:rPr>
          <w:rFonts w:ascii="Times New Roman" w:hAnsi="Times New Roman" w:eastAsiaTheme="minorEastAsia"/>
          <w:color w:val="auto"/>
          <w:w w:val="99"/>
          <w:highlight w:val="none"/>
        </w:rPr>
        <w:t>表 2.5-2~表2.5-</w:t>
      </w:r>
      <w:r>
        <w:rPr>
          <w:rFonts w:hint="eastAsia" w:ascii="Times New Roman" w:hAnsi="Times New Roman" w:eastAsiaTheme="minorEastAsia"/>
          <w:color w:val="auto"/>
          <w:w w:val="99"/>
          <w:highlight w:val="none"/>
          <w:lang w:val="en-US" w:eastAsia="zh-CN"/>
        </w:rPr>
        <w:t>4</w:t>
      </w:r>
      <w:r>
        <w:rPr>
          <w:rFonts w:ascii="Times New Roman" w:hAnsi="Times New Roman"/>
          <w:color w:val="auto"/>
          <w:w w:val="99"/>
          <w:highlight w:val="none"/>
        </w:rPr>
        <w:t>。</w:t>
      </w:r>
    </w:p>
    <w:p w14:paraId="09319482">
      <w:pPr>
        <w:pStyle w:val="153"/>
        <w:widowControl w:val="0"/>
        <w:spacing w:line="440" w:lineRule="exact"/>
        <w:ind w:firstLine="478"/>
        <w:rPr>
          <w:rFonts w:ascii="Times New Roman" w:hAnsi="Times New Roman"/>
          <w:color w:val="auto"/>
          <w:w w:val="99"/>
          <w:highlight w:val="none"/>
        </w:rPr>
      </w:pPr>
      <w:r>
        <w:rPr>
          <w:rFonts w:ascii="Times New Roman" w:hAnsi="Times New Roman" w:eastAsiaTheme="minorEastAsia"/>
          <w:b/>
          <w:color w:val="auto"/>
          <w:w w:val="99"/>
          <w:highlight w:val="none"/>
        </w:rPr>
        <w:t>表2.5-2    污染影响评价因子表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713"/>
        <w:gridCol w:w="1111"/>
        <w:gridCol w:w="6883"/>
      </w:tblGrid>
      <w:tr w14:paraId="091F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pct"/>
            <w:gridSpan w:val="2"/>
            <w:vAlign w:val="center"/>
          </w:tcPr>
          <w:p w14:paraId="4E1AE4FD">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序号</w:t>
            </w:r>
          </w:p>
        </w:tc>
        <w:tc>
          <w:tcPr>
            <w:tcW w:w="598" w:type="pct"/>
            <w:vAlign w:val="center"/>
          </w:tcPr>
          <w:p w14:paraId="78CFACBA">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评价内容</w:t>
            </w:r>
          </w:p>
        </w:tc>
        <w:tc>
          <w:tcPr>
            <w:tcW w:w="3705" w:type="pct"/>
            <w:vAlign w:val="center"/>
          </w:tcPr>
          <w:p w14:paraId="52224E36">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评价因子名称</w:t>
            </w:r>
          </w:p>
        </w:tc>
      </w:tr>
      <w:tr w14:paraId="1CBD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vMerge w:val="restart"/>
            <w:vAlign w:val="center"/>
          </w:tcPr>
          <w:p w14:paraId="0F86AADF">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现状调查因子</w:t>
            </w:r>
          </w:p>
        </w:tc>
        <w:tc>
          <w:tcPr>
            <w:tcW w:w="383" w:type="pct"/>
            <w:vAlign w:val="center"/>
          </w:tcPr>
          <w:p w14:paraId="3C55D58C">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1</w:t>
            </w:r>
          </w:p>
        </w:tc>
        <w:tc>
          <w:tcPr>
            <w:tcW w:w="598" w:type="pct"/>
            <w:vAlign w:val="center"/>
          </w:tcPr>
          <w:p w14:paraId="43EE3FF7">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空气</w:t>
            </w:r>
          </w:p>
        </w:tc>
        <w:tc>
          <w:tcPr>
            <w:tcW w:w="3705" w:type="pct"/>
            <w:vAlign w:val="center"/>
          </w:tcPr>
          <w:p w14:paraId="2618B3FC">
            <w:pPr>
              <w:pStyle w:val="41"/>
              <w:spacing w:line="320" w:lineRule="exact"/>
              <w:jc w:val="both"/>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NO</w:t>
            </w:r>
            <w:r>
              <w:rPr>
                <w:rFonts w:ascii="Times New Roman" w:hAnsi="Times New Roman" w:eastAsiaTheme="minorEastAsia"/>
                <w:color w:val="auto"/>
                <w:w w:val="99"/>
                <w:szCs w:val="21"/>
                <w:highlight w:val="none"/>
                <w:vertAlign w:val="subscript"/>
              </w:rPr>
              <w:t>2</w:t>
            </w:r>
            <w:r>
              <w:rPr>
                <w:rFonts w:ascii="Times New Roman" w:hAnsi="Times New Roman" w:eastAsiaTheme="minorEastAsia"/>
                <w:color w:val="auto"/>
                <w:w w:val="99"/>
                <w:szCs w:val="21"/>
                <w:highlight w:val="none"/>
              </w:rPr>
              <w:t>、SO</w:t>
            </w:r>
            <w:r>
              <w:rPr>
                <w:rFonts w:ascii="Times New Roman" w:hAnsi="Times New Roman" w:eastAsiaTheme="minorEastAsia"/>
                <w:color w:val="auto"/>
                <w:w w:val="99"/>
                <w:szCs w:val="21"/>
                <w:highlight w:val="none"/>
                <w:vertAlign w:val="subscript"/>
              </w:rPr>
              <w:t>2</w:t>
            </w:r>
            <w:r>
              <w:rPr>
                <w:rFonts w:ascii="Times New Roman" w:hAnsi="Times New Roman" w:eastAsiaTheme="minorEastAsia"/>
                <w:color w:val="auto"/>
                <w:w w:val="99"/>
                <w:szCs w:val="21"/>
                <w:highlight w:val="none"/>
              </w:rPr>
              <w:t>、O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rPr>
              <w:t>、CO、PM</w:t>
            </w:r>
            <w:r>
              <w:rPr>
                <w:rFonts w:ascii="Times New Roman" w:hAnsi="Times New Roman" w:eastAsiaTheme="minorEastAsia"/>
                <w:color w:val="auto"/>
                <w:w w:val="99"/>
                <w:szCs w:val="21"/>
                <w:highlight w:val="none"/>
                <w:vertAlign w:val="subscript"/>
              </w:rPr>
              <w:t>10</w:t>
            </w:r>
            <w:r>
              <w:rPr>
                <w:rFonts w:ascii="Times New Roman" w:hAnsi="Times New Roman" w:eastAsiaTheme="minorEastAsia"/>
                <w:color w:val="auto"/>
                <w:w w:val="99"/>
                <w:szCs w:val="21"/>
                <w:highlight w:val="none"/>
              </w:rPr>
              <w:t>、PM</w:t>
            </w:r>
            <w:r>
              <w:rPr>
                <w:rFonts w:ascii="Times New Roman" w:hAnsi="Times New Roman" w:eastAsiaTheme="minorEastAsia"/>
                <w:color w:val="auto"/>
                <w:w w:val="99"/>
                <w:szCs w:val="21"/>
                <w:highlight w:val="none"/>
                <w:vertAlign w:val="subscript"/>
              </w:rPr>
              <w:t>2.5</w:t>
            </w:r>
            <w:r>
              <w:rPr>
                <w:rFonts w:ascii="Times New Roman" w:hAnsi="Times New Roman" w:eastAsiaTheme="minorEastAsia"/>
                <w:color w:val="auto"/>
                <w:w w:val="99"/>
                <w:szCs w:val="21"/>
                <w:highlight w:val="none"/>
              </w:rPr>
              <w:t>、</w:t>
            </w:r>
            <w:r>
              <w:rPr>
                <w:rFonts w:ascii="Times New Roman" w:hAnsi="Times New Roman" w:eastAsiaTheme="minorEastAsia"/>
                <w:bCs/>
                <w:color w:val="auto"/>
                <w:w w:val="99"/>
                <w:szCs w:val="21"/>
                <w:highlight w:val="none"/>
              </w:rPr>
              <w:t>非甲烷总烃、TSP</w:t>
            </w:r>
            <w:r>
              <w:rPr>
                <w:rFonts w:ascii="Times New Roman" w:hAnsi="Times New Roman" w:eastAsiaTheme="minorEastAsia"/>
                <w:color w:val="auto"/>
                <w:w w:val="99"/>
                <w:szCs w:val="21"/>
                <w:highlight w:val="none"/>
              </w:rPr>
              <w:t xml:space="preserve"> </w:t>
            </w:r>
          </w:p>
        </w:tc>
      </w:tr>
      <w:tr w14:paraId="1EF0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vAlign w:val="center"/>
          </w:tcPr>
          <w:p w14:paraId="2E280BE0">
            <w:pPr>
              <w:pStyle w:val="41"/>
              <w:spacing w:line="320" w:lineRule="exact"/>
              <w:jc w:val="center"/>
              <w:rPr>
                <w:rFonts w:ascii="Times New Roman" w:hAnsi="Times New Roman" w:eastAsiaTheme="minorEastAsia"/>
                <w:color w:val="auto"/>
                <w:w w:val="99"/>
                <w:szCs w:val="21"/>
                <w:highlight w:val="none"/>
              </w:rPr>
            </w:pPr>
          </w:p>
        </w:tc>
        <w:tc>
          <w:tcPr>
            <w:tcW w:w="383" w:type="pct"/>
            <w:vAlign w:val="center"/>
          </w:tcPr>
          <w:p w14:paraId="515C6C63">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2</w:t>
            </w:r>
          </w:p>
        </w:tc>
        <w:tc>
          <w:tcPr>
            <w:tcW w:w="598" w:type="pct"/>
            <w:vAlign w:val="center"/>
          </w:tcPr>
          <w:p w14:paraId="61B6EDE6">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地表水</w:t>
            </w:r>
          </w:p>
        </w:tc>
        <w:tc>
          <w:tcPr>
            <w:tcW w:w="3705" w:type="pct"/>
            <w:vAlign w:val="center"/>
          </w:tcPr>
          <w:p w14:paraId="41D18BE3">
            <w:pPr>
              <w:pStyle w:val="41"/>
              <w:spacing w:line="320" w:lineRule="exact"/>
              <w:jc w:val="both"/>
              <w:rPr>
                <w:rFonts w:ascii="Times New Roman" w:hAnsi="Times New Roman" w:eastAsiaTheme="minorEastAsia"/>
                <w:color w:val="auto"/>
                <w:w w:val="99"/>
                <w:szCs w:val="21"/>
                <w:highlight w:val="none"/>
              </w:rPr>
            </w:pPr>
            <w:r>
              <w:rPr>
                <w:rFonts w:hint="eastAsia" w:ascii="Times New Roman" w:hAnsi="Times New Roman" w:eastAsia="宋体" w:cs="Times New Roman"/>
                <w:w w:val="100"/>
                <w:kern w:val="24"/>
                <w:sz w:val="21"/>
                <w:szCs w:val="21"/>
                <w:lang w:val="en-US" w:eastAsia="zh-CN"/>
              </w:rPr>
              <w:t>p</w:t>
            </w:r>
            <w:r>
              <w:rPr>
                <w:rFonts w:hint="eastAsia" w:ascii="Times New Roman" w:hAnsi="Times New Roman" w:cs="Times New Roman" w:eastAsiaTheme="minorEastAsia"/>
                <w:color w:val="auto"/>
                <w:w w:val="99"/>
                <w:szCs w:val="21"/>
                <w:highlight w:val="none"/>
                <w:lang w:val="en-US" w:eastAsia="zh-CN"/>
              </w:rPr>
              <w:t>H 、高锰酸盐指数、BOD</w:t>
            </w:r>
            <w:r>
              <w:rPr>
                <w:rFonts w:hint="eastAsia" w:ascii="Times New Roman" w:hAnsi="Times New Roman" w:cs="Times New Roman" w:eastAsiaTheme="minorEastAsia"/>
                <w:color w:val="auto"/>
                <w:w w:val="99"/>
                <w:szCs w:val="21"/>
                <w:highlight w:val="none"/>
                <w:vertAlign w:val="subscript"/>
                <w:lang w:val="en-US" w:eastAsia="zh-CN"/>
              </w:rPr>
              <w:t>5</w:t>
            </w:r>
            <w:r>
              <w:rPr>
                <w:rFonts w:hint="eastAsia" w:ascii="Times New Roman" w:hAnsi="Times New Roman" w:cs="Times New Roman" w:eastAsiaTheme="minorEastAsia"/>
                <w:color w:val="auto"/>
                <w:w w:val="99"/>
                <w:szCs w:val="21"/>
                <w:highlight w:val="none"/>
                <w:lang w:val="en-US" w:eastAsia="zh-CN"/>
              </w:rPr>
              <w:t xml:space="preserve"> 、COD</w:t>
            </w:r>
            <w:r>
              <w:rPr>
                <w:rFonts w:hint="eastAsia" w:ascii="Times New Roman" w:hAnsi="Times New Roman" w:cs="Times New Roman" w:eastAsiaTheme="minorEastAsia"/>
                <w:color w:val="auto"/>
                <w:w w:val="99"/>
                <w:szCs w:val="21"/>
                <w:highlight w:val="none"/>
                <w:vertAlign w:val="subscript"/>
                <w:lang w:val="en-US" w:eastAsia="zh-CN"/>
              </w:rPr>
              <w:t>Cr</w:t>
            </w:r>
            <w:r>
              <w:rPr>
                <w:rFonts w:hint="eastAsia" w:ascii="Times New Roman" w:hAnsi="Times New Roman" w:cs="Times New Roman" w:eastAsiaTheme="minorEastAsia"/>
                <w:color w:val="auto"/>
                <w:w w:val="99"/>
                <w:szCs w:val="21"/>
                <w:highlight w:val="none"/>
                <w:lang w:val="en-US" w:eastAsia="zh-CN"/>
              </w:rPr>
              <w:t xml:space="preserve"> 、氨氮、挥发酚、石油类、硫化物、水温、悬浮物、总磷、阴离子表面活性剂、汞、总铬、六价铬、镉、砷、镍、铅</w:t>
            </w:r>
          </w:p>
        </w:tc>
      </w:tr>
      <w:tr w14:paraId="6B6D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vAlign w:val="center"/>
          </w:tcPr>
          <w:p w14:paraId="061B8C4E">
            <w:pPr>
              <w:pStyle w:val="41"/>
              <w:spacing w:line="320" w:lineRule="exact"/>
              <w:jc w:val="center"/>
              <w:rPr>
                <w:rFonts w:ascii="Times New Roman" w:hAnsi="Times New Roman" w:eastAsiaTheme="minorEastAsia"/>
                <w:color w:val="auto"/>
                <w:w w:val="99"/>
                <w:szCs w:val="21"/>
                <w:highlight w:val="none"/>
              </w:rPr>
            </w:pPr>
          </w:p>
        </w:tc>
        <w:tc>
          <w:tcPr>
            <w:tcW w:w="383" w:type="pct"/>
            <w:vAlign w:val="center"/>
          </w:tcPr>
          <w:p w14:paraId="69E24235">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3</w:t>
            </w:r>
          </w:p>
        </w:tc>
        <w:tc>
          <w:tcPr>
            <w:tcW w:w="598" w:type="pct"/>
            <w:vAlign w:val="center"/>
          </w:tcPr>
          <w:p w14:paraId="2812DC19">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地下水</w:t>
            </w:r>
          </w:p>
        </w:tc>
        <w:tc>
          <w:tcPr>
            <w:tcW w:w="3705" w:type="pct"/>
            <w:vAlign w:val="center"/>
          </w:tcPr>
          <w:p w14:paraId="769273AF">
            <w:pPr>
              <w:pStyle w:val="41"/>
              <w:spacing w:line="320" w:lineRule="exact"/>
              <w:jc w:val="both"/>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K</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、Na</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、Ca</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、Mg</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、CO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、HCO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、Cl</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、SO</w:t>
            </w:r>
            <w:r>
              <w:rPr>
                <w:rFonts w:ascii="Times New Roman" w:hAnsi="Times New Roman" w:eastAsiaTheme="minorEastAsia"/>
                <w:color w:val="auto"/>
                <w:w w:val="99"/>
                <w:szCs w:val="21"/>
                <w:highlight w:val="none"/>
                <w:vertAlign w:val="subscript"/>
              </w:rPr>
              <w:t>4</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、pH、氨氮、硝酸盐、亚硝酸盐、挥发性酚类、氰化物、砷、汞、六价铬、总硬度、铅、氟化物、镉、铁、锰、溶解性总固体、耗氧量、总大肠菌群、菌落总数、石油类、硫化物、钡</w:t>
            </w:r>
          </w:p>
        </w:tc>
      </w:tr>
      <w:tr w14:paraId="5965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vAlign w:val="center"/>
          </w:tcPr>
          <w:p w14:paraId="4FD20351">
            <w:pPr>
              <w:pStyle w:val="41"/>
              <w:spacing w:line="320" w:lineRule="exact"/>
              <w:jc w:val="center"/>
              <w:rPr>
                <w:rFonts w:ascii="Times New Roman" w:hAnsi="Times New Roman" w:eastAsiaTheme="minorEastAsia"/>
                <w:color w:val="auto"/>
                <w:w w:val="99"/>
                <w:szCs w:val="21"/>
                <w:highlight w:val="none"/>
              </w:rPr>
            </w:pPr>
          </w:p>
        </w:tc>
        <w:tc>
          <w:tcPr>
            <w:tcW w:w="383" w:type="pct"/>
            <w:vAlign w:val="center"/>
          </w:tcPr>
          <w:p w14:paraId="46D625A6">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4</w:t>
            </w:r>
          </w:p>
        </w:tc>
        <w:tc>
          <w:tcPr>
            <w:tcW w:w="598" w:type="pct"/>
            <w:shd w:val="clear" w:color="auto" w:fill="auto"/>
            <w:vAlign w:val="center"/>
          </w:tcPr>
          <w:p w14:paraId="206F2860">
            <w:pPr>
              <w:pStyle w:val="41"/>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噪声</w:t>
            </w:r>
          </w:p>
        </w:tc>
        <w:tc>
          <w:tcPr>
            <w:tcW w:w="3705" w:type="pct"/>
            <w:shd w:val="clear" w:color="auto" w:fill="auto"/>
            <w:vAlign w:val="center"/>
          </w:tcPr>
          <w:p w14:paraId="636CA0E5">
            <w:pPr>
              <w:pStyle w:val="41"/>
              <w:spacing w:line="320" w:lineRule="exact"/>
              <w:jc w:val="both"/>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等效连续 A 声级</w:t>
            </w:r>
          </w:p>
        </w:tc>
      </w:tr>
      <w:tr w14:paraId="779B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vAlign w:val="center"/>
          </w:tcPr>
          <w:p w14:paraId="238563D3">
            <w:pPr>
              <w:pStyle w:val="41"/>
              <w:spacing w:line="320" w:lineRule="exact"/>
              <w:jc w:val="center"/>
              <w:rPr>
                <w:rFonts w:ascii="Times New Roman" w:hAnsi="Times New Roman" w:eastAsiaTheme="minorEastAsia"/>
                <w:color w:val="auto"/>
                <w:w w:val="99"/>
                <w:szCs w:val="21"/>
                <w:highlight w:val="none"/>
              </w:rPr>
            </w:pPr>
          </w:p>
        </w:tc>
        <w:tc>
          <w:tcPr>
            <w:tcW w:w="383" w:type="pct"/>
            <w:vAlign w:val="center"/>
          </w:tcPr>
          <w:p w14:paraId="4F534A40">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5</w:t>
            </w:r>
          </w:p>
        </w:tc>
        <w:tc>
          <w:tcPr>
            <w:tcW w:w="598" w:type="pct"/>
            <w:shd w:val="clear" w:color="auto" w:fill="auto"/>
            <w:vAlign w:val="center"/>
          </w:tcPr>
          <w:p w14:paraId="495466B8">
            <w:pPr>
              <w:pStyle w:val="41"/>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土壤</w:t>
            </w:r>
          </w:p>
        </w:tc>
        <w:tc>
          <w:tcPr>
            <w:tcW w:w="3705" w:type="pct"/>
            <w:shd w:val="clear" w:color="auto" w:fill="auto"/>
            <w:vAlign w:val="center"/>
          </w:tcPr>
          <w:p w14:paraId="45F58925">
            <w:pPr>
              <w:pStyle w:val="157"/>
              <w:widowControl w:val="0"/>
              <w:spacing w:line="320" w:lineRule="exact"/>
              <w:jc w:val="both"/>
              <w:rPr>
                <w:rFonts w:ascii="Times New Roman" w:hAnsi="Times New Roman" w:cs="Times New Roman" w:eastAsiaTheme="minorEastAsia"/>
                <w:snapToGrid w:val="0"/>
                <w:color w:val="auto"/>
                <w:w w:val="99"/>
                <w:kern w:val="0"/>
                <w:sz w:val="21"/>
                <w:szCs w:val="21"/>
                <w:highlight w:val="none"/>
                <w:lang w:val="en-US" w:eastAsia="zh-CN" w:bidi="ar-SA"/>
              </w:rPr>
            </w:pPr>
            <w:r>
              <w:rPr>
                <w:rFonts w:ascii="Times New Roman" w:hAnsi="Times New Roman" w:eastAsiaTheme="minorEastAsia"/>
                <w:snapToGrid w:val="0"/>
                <w:color w:val="auto"/>
                <w:w w:val="99"/>
                <w:kern w:val="0"/>
                <w:szCs w:val="21"/>
                <w:highlight w:val="none"/>
                <w:lang w:val="en-US"/>
              </w:rPr>
              <w:t>建设用地：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ascii="Times New Roman" w:hAnsi="Times New Roman" w:eastAsiaTheme="minorEastAsia"/>
                <w:snapToGrid w:val="0"/>
                <w:color w:val="auto"/>
                <w:w w:val="99"/>
                <w:kern w:val="0"/>
                <w:szCs w:val="21"/>
                <w:highlight w:val="none"/>
                <w:vertAlign w:val="subscript"/>
                <w:lang w:val="en-US"/>
              </w:rPr>
              <w:t>10</w:t>
            </w:r>
            <w:r>
              <w:rPr>
                <w:rFonts w:ascii="Times New Roman" w:hAnsi="Times New Roman" w:eastAsiaTheme="minorEastAsia"/>
                <w:snapToGrid w:val="0"/>
                <w:color w:val="auto"/>
                <w:w w:val="99"/>
                <w:kern w:val="0"/>
                <w:szCs w:val="21"/>
                <w:highlight w:val="none"/>
                <w:lang w:val="en-US"/>
              </w:rPr>
              <w:t xml:space="preserve"> -C</w:t>
            </w:r>
            <w:r>
              <w:rPr>
                <w:rFonts w:ascii="Times New Roman" w:hAnsi="Times New Roman" w:eastAsiaTheme="minorEastAsia"/>
                <w:snapToGrid w:val="0"/>
                <w:color w:val="auto"/>
                <w:w w:val="99"/>
                <w:kern w:val="0"/>
                <w:szCs w:val="21"/>
                <w:highlight w:val="none"/>
                <w:vertAlign w:val="subscript"/>
                <w:lang w:val="en-US"/>
              </w:rPr>
              <w:t>40</w:t>
            </w:r>
            <w:r>
              <w:rPr>
                <w:rFonts w:ascii="Times New Roman" w:hAnsi="Times New Roman" w:eastAsiaTheme="minorEastAsia"/>
                <w:snapToGrid w:val="0"/>
                <w:color w:val="auto"/>
                <w:w w:val="99"/>
                <w:kern w:val="0"/>
                <w:szCs w:val="21"/>
                <w:highlight w:val="none"/>
                <w:lang w:val="en-US"/>
              </w:rPr>
              <w:t>）、石油类、石油烃（C</w:t>
            </w:r>
            <w:r>
              <w:rPr>
                <w:rFonts w:ascii="Times New Roman" w:hAnsi="Times New Roman" w:eastAsiaTheme="minorEastAsia"/>
                <w:snapToGrid w:val="0"/>
                <w:color w:val="auto"/>
                <w:w w:val="99"/>
                <w:kern w:val="0"/>
                <w:szCs w:val="21"/>
                <w:highlight w:val="none"/>
                <w:vertAlign w:val="subscript"/>
                <w:lang w:val="en-US"/>
              </w:rPr>
              <w:t>6</w:t>
            </w:r>
            <w:r>
              <w:rPr>
                <w:rFonts w:ascii="Times New Roman" w:hAnsi="Times New Roman" w:eastAsiaTheme="minorEastAsia"/>
                <w:snapToGrid w:val="0"/>
                <w:color w:val="auto"/>
                <w:w w:val="99"/>
                <w:kern w:val="0"/>
                <w:szCs w:val="21"/>
                <w:highlight w:val="none"/>
                <w:lang w:val="en-US"/>
              </w:rPr>
              <w:t>-C</w:t>
            </w:r>
            <w:r>
              <w:rPr>
                <w:rFonts w:ascii="Times New Roman" w:hAnsi="Times New Roman" w:eastAsiaTheme="minorEastAsia"/>
                <w:snapToGrid w:val="0"/>
                <w:color w:val="auto"/>
                <w:w w:val="99"/>
                <w:kern w:val="0"/>
                <w:szCs w:val="21"/>
                <w:highlight w:val="none"/>
                <w:vertAlign w:val="subscript"/>
                <w:lang w:val="en-US"/>
              </w:rPr>
              <w:t>9</w:t>
            </w:r>
            <w:r>
              <w:rPr>
                <w:rFonts w:ascii="Times New Roman" w:hAnsi="Times New Roman" w:eastAsiaTheme="minorEastAsia"/>
                <w:snapToGrid w:val="0"/>
                <w:color w:val="auto"/>
                <w:w w:val="99"/>
                <w:kern w:val="0"/>
                <w:szCs w:val="21"/>
                <w:highlight w:val="none"/>
                <w:lang w:val="en-US"/>
              </w:rPr>
              <w:t>）、水溶性盐总量</w:t>
            </w:r>
          </w:p>
        </w:tc>
      </w:tr>
      <w:tr w14:paraId="76A2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vAlign w:val="center"/>
          </w:tcPr>
          <w:p w14:paraId="15CBE82D">
            <w:pPr>
              <w:pStyle w:val="41"/>
              <w:spacing w:line="320" w:lineRule="exact"/>
              <w:jc w:val="center"/>
              <w:rPr>
                <w:rFonts w:ascii="Times New Roman" w:hAnsi="Times New Roman" w:eastAsiaTheme="minorEastAsia"/>
                <w:color w:val="auto"/>
                <w:w w:val="99"/>
                <w:szCs w:val="21"/>
                <w:highlight w:val="none"/>
              </w:rPr>
            </w:pPr>
          </w:p>
        </w:tc>
        <w:tc>
          <w:tcPr>
            <w:tcW w:w="383" w:type="pct"/>
            <w:vMerge w:val="restart"/>
            <w:vAlign w:val="center"/>
          </w:tcPr>
          <w:p w14:paraId="4A96D04D">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6</w:t>
            </w:r>
          </w:p>
        </w:tc>
        <w:tc>
          <w:tcPr>
            <w:tcW w:w="598" w:type="pct"/>
            <w:vMerge w:val="restart"/>
            <w:vAlign w:val="center"/>
          </w:tcPr>
          <w:p w14:paraId="16C1FE87">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生态</w:t>
            </w:r>
          </w:p>
        </w:tc>
        <w:tc>
          <w:tcPr>
            <w:tcW w:w="3705" w:type="pct"/>
            <w:shd w:val="clear" w:color="auto" w:fill="auto"/>
            <w:vAlign w:val="center"/>
          </w:tcPr>
          <w:p w14:paraId="2B4E51BE">
            <w:pPr>
              <w:pStyle w:val="157"/>
              <w:widowControl w:val="0"/>
              <w:spacing w:line="320" w:lineRule="exact"/>
              <w:jc w:val="both"/>
              <w:rPr>
                <w:rFonts w:ascii="Times New Roman" w:hAnsi="Times New Roman" w:cs="Times New Roman" w:eastAsiaTheme="minorEastAsia"/>
                <w:snapToGrid w:val="0"/>
                <w:color w:val="auto"/>
                <w:w w:val="99"/>
                <w:kern w:val="0"/>
                <w:sz w:val="21"/>
                <w:szCs w:val="21"/>
                <w:highlight w:val="none"/>
                <w:lang w:val="en-US" w:eastAsia="zh-CN" w:bidi="ar-SA"/>
              </w:rPr>
            </w:pPr>
            <w:r>
              <w:rPr>
                <w:rFonts w:ascii="Times New Roman" w:hAnsi="Times New Roman" w:eastAsiaTheme="minorEastAsia"/>
                <w:snapToGrid w:val="0"/>
                <w:color w:val="auto"/>
                <w:w w:val="99"/>
                <w:kern w:val="0"/>
                <w:szCs w:val="21"/>
                <w:highlight w:val="none"/>
                <w:lang w:val="en-US"/>
              </w:rPr>
              <w:t>农用地：pH、镉、汞、砷、铅、铬、铜、镍、锌、石油烃（C</w:t>
            </w:r>
            <w:r>
              <w:rPr>
                <w:rFonts w:ascii="Times New Roman" w:hAnsi="Times New Roman" w:eastAsiaTheme="minorEastAsia"/>
                <w:snapToGrid w:val="0"/>
                <w:color w:val="auto"/>
                <w:w w:val="99"/>
                <w:kern w:val="0"/>
                <w:szCs w:val="21"/>
                <w:highlight w:val="none"/>
                <w:vertAlign w:val="subscript"/>
                <w:lang w:val="en-US"/>
              </w:rPr>
              <w:t>10</w:t>
            </w:r>
            <w:r>
              <w:rPr>
                <w:rFonts w:ascii="Times New Roman" w:hAnsi="Times New Roman" w:eastAsiaTheme="minorEastAsia"/>
                <w:snapToGrid w:val="0"/>
                <w:color w:val="auto"/>
                <w:w w:val="99"/>
                <w:kern w:val="0"/>
                <w:szCs w:val="21"/>
                <w:highlight w:val="none"/>
                <w:lang w:val="en-US"/>
              </w:rPr>
              <w:t xml:space="preserve"> -C</w:t>
            </w:r>
            <w:r>
              <w:rPr>
                <w:rFonts w:ascii="Times New Roman" w:hAnsi="Times New Roman" w:eastAsiaTheme="minorEastAsia"/>
                <w:snapToGrid w:val="0"/>
                <w:color w:val="auto"/>
                <w:w w:val="99"/>
                <w:kern w:val="0"/>
                <w:szCs w:val="21"/>
                <w:highlight w:val="none"/>
                <w:vertAlign w:val="subscript"/>
                <w:lang w:val="en-US"/>
              </w:rPr>
              <w:t>40</w:t>
            </w:r>
            <w:r>
              <w:rPr>
                <w:rFonts w:ascii="Times New Roman" w:hAnsi="Times New Roman" w:eastAsiaTheme="minorEastAsia"/>
                <w:snapToGrid w:val="0"/>
                <w:color w:val="auto"/>
                <w:w w:val="99"/>
                <w:kern w:val="0"/>
                <w:szCs w:val="21"/>
                <w:highlight w:val="none"/>
                <w:lang w:val="en-US"/>
              </w:rPr>
              <w:t>）、石油类、石油烃（C</w:t>
            </w:r>
            <w:r>
              <w:rPr>
                <w:rFonts w:ascii="Times New Roman" w:hAnsi="Times New Roman" w:eastAsiaTheme="minorEastAsia"/>
                <w:snapToGrid w:val="0"/>
                <w:color w:val="auto"/>
                <w:w w:val="99"/>
                <w:kern w:val="0"/>
                <w:szCs w:val="21"/>
                <w:highlight w:val="none"/>
                <w:vertAlign w:val="subscript"/>
                <w:lang w:val="en-US"/>
              </w:rPr>
              <w:t>6</w:t>
            </w:r>
            <w:r>
              <w:rPr>
                <w:rFonts w:ascii="Times New Roman" w:hAnsi="Times New Roman" w:eastAsiaTheme="minorEastAsia"/>
                <w:snapToGrid w:val="0"/>
                <w:color w:val="auto"/>
                <w:w w:val="99"/>
                <w:kern w:val="0"/>
                <w:szCs w:val="21"/>
                <w:highlight w:val="none"/>
                <w:lang w:val="en-US"/>
              </w:rPr>
              <w:t>-C</w:t>
            </w:r>
            <w:r>
              <w:rPr>
                <w:rFonts w:ascii="Times New Roman" w:hAnsi="Times New Roman" w:eastAsiaTheme="minorEastAsia"/>
                <w:snapToGrid w:val="0"/>
                <w:color w:val="auto"/>
                <w:w w:val="99"/>
                <w:kern w:val="0"/>
                <w:szCs w:val="21"/>
                <w:highlight w:val="none"/>
                <w:vertAlign w:val="subscript"/>
                <w:lang w:val="en-US"/>
              </w:rPr>
              <w:t>9</w:t>
            </w:r>
            <w:r>
              <w:rPr>
                <w:rFonts w:ascii="Times New Roman" w:hAnsi="Times New Roman" w:eastAsiaTheme="minorEastAsia"/>
                <w:snapToGrid w:val="0"/>
                <w:color w:val="auto"/>
                <w:w w:val="99"/>
                <w:kern w:val="0"/>
                <w:szCs w:val="21"/>
                <w:highlight w:val="none"/>
                <w:lang w:val="en-US"/>
              </w:rPr>
              <w:t>）、水溶性盐总量</w:t>
            </w:r>
          </w:p>
        </w:tc>
      </w:tr>
      <w:tr w14:paraId="3B24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vAlign w:val="center"/>
          </w:tcPr>
          <w:p w14:paraId="5A824BA8">
            <w:pPr>
              <w:pStyle w:val="41"/>
              <w:spacing w:line="320" w:lineRule="exact"/>
              <w:jc w:val="center"/>
              <w:rPr>
                <w:rFonts w:ascii="Times New Roman" w:hAnsi="Times New Roman" w:eastAsiaTheme="minorEastAsia"/>
                <w:color w:val="auto"/>
                <w:w w:val="99"/>
                <w:szCs w:val="21"/>
                <w:highlight w:val="none"/>
              </w:rPr>
            </w:pPr>
          </w:p>
        </w:tc>
        <w:tc>
          <w:tcPr>
            <w:tcW w:w="383" w:type="pct"/>
            <w:vMerge w:val="continue"/>
            <w:vAlign w:val="center"/>
          </w:tcPr>
          <w:p w14:paraId="539D595A">
            <w:pPr>
              <w:pStyle w:val="41"/>
              <w:spacing w:line="320" w:lineRule="exact"/>
              <w:jc w:val="center"/>
              <w:rPr>
                <w:rFonts w:ascii="Times New Roman" w:hAnsi="Times New Roman" w:eastAsiaTheme="minorEastAsia"/>
                <w:color w:val="auto"/>
                <w:w w:val="99"/>
                <w:szCs w:val="21"/>
                <w:highlight w:val="none"/>
              </w:rPr>
            </w:pPr>
          </w:p>
        </w:tc>
        <w:tc>
          <w:tcPr>
            <w:tcW w:w="598" w:type="pct"/>
            <w:vMerge w:val="continue"/>
            <w:shd w:val="clear" w:color="auto" w:fill="auto"/>
            <w:vAlign w:val="center"/>
          </w:tcPr>
          <w:p w14:paraId="5679AC0F">
            <w:pPr>
              <w:pStyle w:val="41"/>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p>
        </w:tc>
        <w:tc>
          <w:tcPr>
            <w:tcW w:w="3705" w:type="pct"/>
            <w:shd w:val="clear" w:color="auto" w:fill="auto"/>
            <w:vAlign w:val="center"/>
          </w:tcPr>
          <w:p w14:paraId="14CA978A">
            <w:pPr>
              <w:pStyle w:val="157"/>
              <w:widowControl w:val="0"/>
              <w:spacing w:line="320" w:lineRule="exact"/>
              <w:jc w:val="both"/>
              <w:rPr>
                <w:rFonts w:ascii="Times New Roman" w:hAnsi="Times New Roman" w:cs="Times New Roman" w:eastAsiaTheme="minorEastAsia"/>
                <w:snapToGrid w:val="0"/>
                <w:color w:val="auto"/>
                <w:w w:val="99"/>
                <w:kern w:val="0"/>
                <w:sz w:val="21"/>
                <w:szCs w:val="21"/>
                <w:highlight w:val="none"/>
                <w:lang w:val="en-US" w:eastAsia="zh-CN" w:bidi="ar-SA"/>
              </w:rPr>
            </w:pPr>
            <w:r>
              <w:rPr>
                <w:rFonts w:ascii="Times New Roman" w:hAnsi="Times New Roman" w:eastAsiaTheme="minorEastAsia"/>
                <w:snapToGrid w:val="0"/>
                <w:color w:val="auto"/>
                <w:w w:val="99"/>
                <w:kern w:val="0"/>
                <w:szCs w:val="21"/>
                <w:highlight w:val="none"/>
                <w:lang w:val="en-US"/>
              </w:rPr>
              <w:t>物种分布范围、生物群落结构和组成、生态系统中植被覆盖率等、水土流失、防沙治沙等；土壤类型、特征、组成和分布，土地利用状况、土壤状况等</w:t>
            </w:r>
          </w:p>
        </w:tc>
      </w:tr>
      <w:tr w14:paraId="220C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restart"/>
            <w:vAlign w:val="center"/>
          </w:tcPr>
          <w:p w14:paraId="640F2693">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影响预测因子</w:t>
            </w:r>
          </w:p>
        </w:tc>
        <w:tc>
          <w:tcPr>
            <w:tcW w:w="383" w:type="pct"/>
            <w:vAlign w:val="center"/>
          </w:tcPr>
          <w:p w14:paraId="3447B4A3">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1</w:t>
            </w:r>
          </w:p>
        </w:tc>
        <w:tc>
          <w:tcPr>
            <w:tcW w:w="598" w:type="pct"/>
            <w:vAlign w:val="center"/>
          </w:tcPr>
          <w:p w14:paraId="3DE9A5E2">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大气</w:t>
            </w:r>
          </w:p>
        </w:tc>
        <w:tc>
          <w:tcPr>
            <w:tcW w:w="3705" w:type="pct"/>
            <w:vAlign w:val="center"/>
          </w:tcPr>
          <w:p w14:paraId="478DB2AE">
            <w:pPr>
              <w:pStyle w:val="41"/>
              <w:spacing w:line="320" w:lineRule="exact"/>
              <w:jc w:val="both"/>
              <w:rPr>
                <w:rFonts w:ascii="Times New Roman" w:hAnsi="Times New Roman" w:eastAsiaTheme="minorEastAsia"/>
                <w:color w:val="auto"/>
                <w:w w:val="99"/>
                <w:szCs w:val="21"/>
                <w:highlight w:val="none"/>
              </w:rPr>
            </w:pPr>
            <w:r>
              <w:rPr>
                <w:rFonts w:ascii="Times New Roman" w:hAnsi="Times New Roman" w:eastAsiaTheme="minorEastAsia"/>
                <w:snapToGrid w:val="0"/>
                <w:color w:val="auto"/>
                <w:w w:val="99"/>
                <w:kern w:val="0"/>
                <w:szCs w:val="21"/>
                <w:highlight w:val="none"/>
              </w:rPr>
              <w:t>非甲烷总烃</w:t>
            </w:r>
          </w:p>
        </w:tc>
      </w:tr>
      <w:tr w14:paraId="13AA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vMerge w:val="continue"/>
            <w:vAlign w:val="center"/>
          </w:tcPr>
          <w:p w14:paraId="5A58E4E2">
            <w:pPr>
              <w:pStyle w:val="41"/>
              <w:spacing w:line="320" w:lineRule="exact"/>
              <w:jc w:val="center"/>
              <w:rPr>
                <w:rFonts w:ascii="Times New Roman" w:hAnsi="Times New Roman" w:eastAsiaTheme="minorEastAsia"/>
                <w:color w:val="auto"/>
                <w:w w:val="99"/>
                <w:szCs w:val="21"/>
                <w:highlight w:val="none"/>
              </w:rPr>
            </w:pPr>
          </w:p>
        </w:tc>
        <w:tc>
          <w:tcPr>
            <w:tcW w:w="383" w:type="pct"/>
            <w:vAlign w:val="center"/>
          </w:tcPr>
          <w:p w14:paraId="1F518AAB">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2</w:t>
            </w:r>
          </w:p>
        </w:tc>
        <w:tc>
          <w:tcPr>
            <w:tcW w:w="598" w:type="pct"/>
            <w:vAlign w:val="center"/>
          </w:tcPr>
          <w:p w14:paraId="1641906D">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地下水</w:t>
            </w:r>
          </w:p>
        </w:tc>
        <w:tc>
          <w:tcPr>
            <w:tcW w:w="3705" w:type="pct"/>
            <w:vAlign w:val="center"/>
          </w:tcPr>
          <w:p w14:paraId="6C4E51F4">
            <w:pPr>
              <w:pStyle w:val="41"/>
              <w:spacing w:line="320" w:lineRule="exact"/>
              <w:jc w:val="both"/>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rPr>
              <w:t>C</w:t>
            </w:r>
            <w:r>
              <w:rPr>
                <w:rFonts w:ascii="Times New Roman" w:hAnsi="Times New Roman" w:eastAsiaTheme="minorEastAsia"/>
                <w:color w:val="auto"/>
                <w:w w:val="99"/>
                <w:szCs w:val="21"/>
                <w:highlight w:val="none"/>
              </w:rPr>
              <w:t>OD、石油类</w:t>
            </w:r>
          </w:p>
        </w:tc>
      </w:tr>
      <w:tr w14:paraId="2CA5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vAlign w:val="center"/>
          </w:tcPr>
          <w:p w14:paraId="1F273842">
            <w:pPr>
              <w:pStyle w:val="41"/>
              <w:spacing w:line="320" w:lineRule="exact"/>
              <w:jc w:val="center"/>
              <w:rPr>
                <w:rFonts w:ascii="Times New Roman" w:hAnsi="Times New Roman" w:eastAsiaTheme="minorEastAsia"/>
                <w:color w:val="auto"/>
                <w:w w:val="99"/>
                <w:szCs w:val="21"/>
                <w:highlight w:val="none"/>
              </w:rPr>
            </w:pPr>
          </w:p>
        </w:tc>
        <w:tc>
          <w:tcPr>
            <w:tcW w:w="383" w:type="pct"/>
            <w:vAlign w:val="center"/>
          </w:tcPr>
          <w:p w14:paraId="3EA5ED94">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3</w:t>
            </w:r>
          </w:p>
        </w:tc>
        <w:tc>
          <w:tcPr>
            <w:tcW w:w="598" w:type="pct"/>
            <w:vAlign w:val="center"/>
          </w:tcPr>
          <w:p w14:paraId="7E982A0B">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噪声</w:t>
            </w:r>
          </w:p>
        </w:tc>
        <w:tc>
          <w:tcPr>
            <w:tcW w:w="3705" w:type="pct"/>
            <w:vAlign w:val="center"/>
          </w:tcPr>
          <w:p w14:paraId="2E91DBB0">
            <w:pPr>
              <w:pStyle w:val="41"/>
              <w:spacing w:line="320" w:lineRule="exact"/>
              <w:jc w:val="both"/>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昼间连续等效A声级、夜间连续等效A声级</w:t>
            </w:r>
          </w:p>
        </w:tc>
      </w:tr>
      <w:tr w14:paraId="2EF8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vAlign w:val="center"/>
          </w:tcPr>
          <w:p w14:paraId="6BEF702C">
            <w:pPr>
              <w:pStyle w:val="41"/>
              <w:spacing w:line="320" w:lineRule="exact"/>
              <w:jc w:val="center"/>
              <w:rPr>
                <w:rFonts w:ascii="Times New Roman" w:hAnsi="Times New Roman" w:eastAsiaTheme="minorEastAsia"/>
                <w:color w:val="auto"/>
                <w:w w:val="99"/>
                <w:szCs w:val="21"/>
                <w:highlight w:val="none"/>
              </w:rPr>
            </w:pPr>
          </w:p>
        </w:tc>
        <w:tc>
          <w:tcPr>
            <w:tcW w:w="383" w:type="pct"/>
            <w:vAlign w:val="center"/>
          </w:tcPr>
          <w:p w14:paraId="5BAF4ABC">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4</w:t>
            </w:r>
          </w:p>
        </w:tc>
        <w:tc>
          <w:tcPr>
            <w:tcW w:w="598" w:type="pct"/>
            <w:vAlign w:val="center"/>
          </w:tcPr>
          <w:p w14:paraId="6ED2E6C9">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土壤</w:t>
            </w:r>
          </w:p>
        </w:tc>
        <w:tc>
          <w:tcPr>
            <w:tcW w:w="3705" w:type="pct"/>
            <w:vAlign w:val="center"/>
          </w:tcPr>
          <w:p w14:paraId="2BEC9AB7">
            <w:pPr>
              <w:pStyle w:val="41"/>
              <w:spacing w:line="320" w:lineRule="exact"/>
              <w:jc w:val="both"/>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石油烃（C</w:t>
            </w:r>
            <w:r>
              <w:rPr>
                <w:rFonts w:ascii="Times New Roman" w:hAnsi="Times New Roman" w:eastAsiaTheme="minorEastAsia"/>
                <w:color w:val="auto"/>
                <w:w w:val="99"/>
                <w:kern w:val="0"/>
                <w:szCs w:val="21"/>
                <w:highlight w:val="none"/>
                <w:vertAlign w:val="subscript"/>
              </w:rPr>
              <w:t>10</w:t>
            </w:r>
            <w:r>
              <w:rPr>
                <w:rFonts w:ascii="Times New Roman" w:hAnsi="Times New Roman" w:eastAsiaTheme="minorEastAsia"/>
                <w:color w:val="auto"/>
                <w:w w:val="99"/>
                <w:kern w:val="0"/>
                <w:szCs w:val="21"/>
                <w:highlight w:val="none"/>
              </w:rPr>
              <w:t>-C</w:t>
            </w:r>
            <w:r>
              <w:rPr>
                <w:rFonts w:ascii="Times New Roman" w:hAnsi="Times New Roman" w:eastAsiaTheme="minorEastAsia"/>
                <w:color w:val="auto"/>
                <w:w w:val="99"/>
                <w:kern w:val="0"/>
                <w:szCs w:val="21"/>
                <w:highlight w:val="none"/>
                <w:vertAlign w:val="subscript"/>
              </w:rPr>
              <w:t>40</w:t>
            </w:r>
            <w:r>
              <w:rPr>
                <w:rFonts w:ascii="Times New Roman" w:hAnsi="Times New Roman" w:eastAsiaTheme="minorEastAsia"/>
                <w:color w:val="auto"/>
                <w:w w:val="99"/>
                <w:kern w:val="0"/>
                <w:szCs w:val="21"/>
                <w:highlight w:val="none"/>
              </w:rPr>
              <w:t>）</w:t>
            </w:r>
          </w:p>
        </w:tc>
      </w:tr>
      <w:tr w14:paraId="0DA5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vAlign w:val="center"/>
          </w:tcPr>
          <w:p w14:paraId="032278A3">
            <w:pPr>
              <w:pStyle w:val="41"/>
              <w:spacing w:line="320" w:lineRule="exact"/>
              <w:jc w:val="center"/>
              <w:rPr>
                <w:rFonts w:ascii="Times New Roman" w:hAnsi="Times New Roman" w:eastAsiaTheme="minorEastAsia"/>
                <w:color w:val="auto"/>
                <w:w w:val="99"/>
                <w:szCs w:val="21"/>
                <w:highlight w:val="none"/>
              </w:rPr>
            </w:pPr>
          </w:p>
        </w:tc>
        <w:tc>
          <w:tcPr>
            <w:tcW w:w="383" w:type="pct"/>
            <w:vAlign w:val="center"/>
          </w:tcPr>
          <w:p w14:paraId="5C7AC3A1">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5</w:t>
            </w:r>
          </w:p>
        </w:tc>
        <w:tc>
          <w:tcPr>
            <w:tcW w:w="598" w:type="pct"/>
            <w:vAlign w:val="center"/>
          </w:tcPr>
          <w:p w14:paraId="6CAFDD17">
            <w:pPr>
              <w:pStyle w:val="41"/>
              <w:spacing w:line="320" w:lineRule="exact"/>
              <w:jc w:val="center"/>
              <w:rPr>
                <w:rFonts w:ascii="Times New Roman" w:hAnsi="Times New Roman" w:eastAsiaTheme="minorEastAsia"/>
                <w:color w:val="auto"/>
                <w:w w:val="99"/>
                <w:kern w:val="0"/>
                <w:szCs w:val="21"/>
                <w:highlight w:val="none"/>
              </w:rPr>
            </w:pPr>
            <w:r>
              <w:rPr>
                <w:rFonts w:ascii="Times New Roman" w:hAnsi="Times New Roman" w:eastAsiaTheme="minorEastAsia"/>
                <w:color w:val="auto"/>
                <w:w w:val="99"/>
                <w:kern w:val="0"/>
                <w:szCs w:val="21"/>
                <w:highlight w:val="none"/>
              </w:rPr>
              <w:t>环境风险</w:t>
            </w:r>
          </w:p>
        </w:tc>
        <w:tc>
          <w:tcPr>
            <w:tcW w:w="3705" w:type="pct"/>
            <w:vAlign w:val="center"/>
          </w:tcPr>
          <w:p w14:paraId="6FB8551B">
            <w:pPr>
              <w:pStyle w:val="41"/>
              <w:spacing w:line="320" w:lineRule="exact"/>
              <w:jc w:val="both"/>
              <w:rPr>
                <w:rFonts w:ascii="Times New Roman" w:hAnsi="Times New Roman" w:eastAsiaTheme="minorEastAsia"/>
                <w:color w:val="auto"/>
                <w:w w:val="99"/>
                <w:kern w:val="0"/>
                <w:szCs w:val="21"/>
                <w:highlight w:val="none"/>
              </w:rPr>
            </w:pPr>
            <w:r>
              <w:rPr>
                <w:rFonts w:hint="default" w:ascii="Times New Roman" w:hAnsi="Times New Roman" w:eastAsiaTheme="minorEastAsia"/>
                <w:color w:val="auto"/>
                <w:w w:val="99"/>
                <w:kern w:val="0"/>
                <w:szCs w:val="21"/>
                <w:highlight w:val="none"/>
                <w:lang w:val="en-US" w:eastAsia="zh-CN"/>
              </w:rPr>
              <w:t>油类物质或天然气泄露；火灾、爆炸伴生/次生污染物CO</w:t>
            </w:r>
          </w:p>
        </w:tc>
      </w:tr>
      <w:tr w14:paraId="0BA0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vAlign w:val="center"/>
          </w:tcPr>
          <w:p w14:paraId="2F4C1764">
            <w:pPr>
              <w:pStyle w:val="41"/>
              <w:spacing w:line="320" w:lineRule="exact"/>
              <w:jc w:val="center"/>
              <w:rPr>
                <w:rFonts w:ascii="Times New Roman" w:hAnsi="Times New Roman" w:eastAsiaTheme="minorEastAsia"/>
                <w:color w:val="auto"/>
                <w:w w:val="99"/>
                <w:szCs w:val="21"/>
                <w:highlight w:val="none"/>
              </w:rPr>
            </w:pPr>
          </w:p>
        </w:tc>
        <w:tc>
          <w:tcPr>
            <w:tcW w:w="383" w:type="pct"/>
            <w:vAlign w:val="center"/>
          </w:tcPr>
          <w:p w14:paraId="152A1E83">
            <w:pPr>
              <w:pStyle w:val="41"/>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6</w:t>
            </w:r>
          </w:p>
        </w:tc>
        <w:tc>
          <w:tcPr>
            <w:tcW w:w="598" w:type="pct"/>
            <w:vAlign w:val="center"/>
          </w:tcPr>
          <w:p w14:paraId="0BE15080">
            <w:pPr>
              <w:pStyle w:val="41"/>
              <w:spacing w:line="320" w:lineRule="exact"/>
              <w:jc w:val="center"/>
              <w:rPr>
                <w:rFonts w:ascii="Times New Roman" w:hAnsi="Times New Roman" w:eastAsiaTheme="minorEastAsia"/>
                <w:color w:val="auto"/>
                <w:w w:val="99"/>
                <w:kern w:val="0"/>
                <w:szCs w:val="21"/>
                <w:highlight w:val="none"/>
              </w:rPr>
            </w:pPr>
            <w:r>
              <w:rPr>
                <w:rFonts w:ascii="Times New Roman" w:hAnsi="Times New Roman" w:eastAsiaTheme="minorEastAsia"/>
                <w:color w:val="auto"/>
                <w:w w:val="99"/>
                <w:kern w:val="0"/>
                <w:szCs w:val="21"/>
                <w:highlight w:val="none"/>
              </w:rPr>
              <w:t>生态</w:t>
            </w:r>
          </w:p>
        </w:tc>
        <w:tc>
          <w:tcPr>
            <w:tcW w:w="3705" w:type="pct"/>
            <w:vAlign w:val="center"/>
          </w:tcPr>
          <w:p w14:paraId="5DD9E7DC">
            <w:pPr>
              <w:pStyle w:val="41"/>
              <w:spacing w:line="320" w:lineRule="exact"/>
              <w:jc w:val="both"/>
              <w:rPr>
                <w:rFonts w:hint="default" w:ascii="Times New Roman" w:hAnsi="Times New Roman" w:eastAsiaTheme="minorEastAsia"/>
                <w:color w:val="auto"/>
                <w:w w:val="99"/>
                <w:kern w:val="0"/>
                <w:szCs w:val="21"/>
                <w:highlight w:val="none"/>
                <w:lang w:val="en-US" w:eastAsia="zh-CN"/>
              </w:rPr>
            </w:pPr>
            <w:r>
              <w:rPr>
                <w:rFonts w:ascii="Times New Roman" w:hAnsi="Times New Roman" w:eastAsiaTheme="minorEastAsia"/>
                <w:color w:val="auto"/>
                <w:w w:val="99"/>
                <w:kern w:val="0"/>
                <w:szCs w:val="21"/>
                <w:highlight w:val="none"/>
              </w:rPr>
              <w:t>土地利用、植被、野生动物</w:t>
            </w:r>
            <w:r>
              <w:rPr>
                <w:rFonts w:hint="eastAsia" w:ascii="Times New Roman" w:hAnsi="Times New Roman" w:eastAsiaTheme="minorEastAsia"/>
                <w:color w:val="auto"/>
                <w:w w:val="99"/>
                <w:kern w:val="0"/>
                <w:szCs w:val="21"/>
                <w:highlight w:val="none"/>
                <w:lang w:eastAsia="zh-CN"/>
              </w:rPr>
              <w:t>、</w:t>
            </w:r>
            <w:r>
              <w:rPr>
                <w:rFonts w:hint="eastAsia" w:ascii="Times New Roman" w:hAnsi="Times New Roman" w:eastAsia="宋体" w:cs="Times New Roman"/>
                <w:b w:val="0"/>
                <w:bCs w:val="0"/>
                <w:color w:val="auto"/>
                <w:spacing w:val="0"/>
                <w:w w:val="99"/>
                <w:kern w:val="2"/>
                <w:position w:val="0"/>
                <w:sz w:val="21"/>
                <w:szCs w:val="21"/>
                <w:highlight w:val="none"/>
                <w:lang w:val="en-US" w:eastAsia="zh-CN" w:bidi="ar-SA"/>
              </w:rPr>
              <w:t>物种、种群、生态系统、生境</w:t>
            </w:r>
            <w:r>
              <w:rPr>
                <w:rFonts w:hint="eastAsia" w:ascii="Times New Roman" w:hAnsi="Times New Roman" w:cs="Times New Roman"/>
                <w:b w:val="0"/>
                <w:bCs w:val="0"/>
                <w:color w:val="auto"/>
                <w:spacing w:val="0"/>
                <w:w w:val="99"/>
                <w:kern w:val="2"/>
                <w:position w:val="0"/>
                <w:sz w:val="21"/>
                <w:szCs w:val="21"/>
                <w:highlight w:val="none"/>
                <w:lang w:val="en-US" w:eastAsia="zh-CN" w:bidi="ar-SA"/>
              </w:rPr>
              <w:t>等</w:t>
            </w:r>
          </w:p>
        </w:tc>
      </w:tr>
    </w:tbl>
    <w:p w14:paraId="12E6DA7B">
      <w:pPr>
        <w:pStyle w:val="153"/>
        <w:widowControl w:val="0"/>
        <w:spacing w:line="240" w:lineRule="auto"/>
        <w:ind w:firstLine="478"/>
        <w:rPr>
          <w:rFonts w:hint="default" w:ascii="Times New Roman" w:hAnsi="Times New Roman" w:eastAsiaTheme="minorEastAsia"/>
          <w:b w:val="0"/>
          <w:bCs/>
          <w:color w:val="auto"/>
          <w:w w:val="99"/>
          <w:sz w:val="21"/>
          <w:szCs w:val="21"/>
          <w:highlight w:val="none"/>
          <w:lang w:val="en-US" w:eastAsia="zh-CN"/>
        </w:rPr>
      </w:pPr>
      <w:r>
        <w:rPr>
          <w:rFonts w:hint="eastAsia" w:ascii="Times New Roman" w:hAnsi="Times New Roman" w:eastAsiaTheme="minorEastAsia"/>
          <w:b w:val="0"/>
          <w:bCs/>
          <w:color w:val="auto"/>
          <w:w w:val="99"/>
          <w:sz w:val="21"/>
          <w:szCs w:val="21"/>
          <w:highlight w:val="none"/>
          <w:lang w:val="en-US" w:eastAsia="zh-CN"/>
        </w:rPr>
        <w:t>注：地下水预测因子COD参照执行《地表水环境质量标准》（GB3838-2002）II类标准。</w:t>
      </w:r>
    </w:p>
    <w:p w14:paraId="31FD44ED">
      <w:pPr>
        <w:pStyle w:val="153"/>
        <w:widowControl w:val="0"/>
        <w:spacing w:line="440" w:lineRule="exact"/>
        <w:ind w:firstLine="478"/>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表2.5-3    建设项目环境影响评价因子一览表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581"/>
        <w:gridCol w:w="871"/>
        <w:gridCol w:w="1740"/>
        <w:gridCol w:w="1308"/>
        <w:gridCol w:w="1308"/>
        <w:gridCol w:w="1454"/>
        <w:gridCol w:w="1299"/>
      </w:tblGrid>
      <w:tr w14:paraId="5DD8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Align w:val="center"/>
          </w:tcPr>
          <w:p w14:paraId="5C49FA1C">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环境要素</w:t>
            </w:r>
          </w:p>
          <w:p w14:paraId="1D0CDEFD">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单项工程</w:t>
            </w:r>
          </w:p>
        </w:tc>
        <w:tc>
          <w:tcPr>
            <w:tcW w:w="312" w:type="pct"/>
            <w:vAlign w:val="center"/>
          </w:tcPr>
          <w:p w14:paraId="11D34915">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时期</w:t>
            </w:r>
          </w:p>
        </w:tc>
        <w:tc>
          <w:tcPr>
            <w:tcW w:w="468" w:type="pct"/>
            <w:vAlign w:val="center"/>
          </w:tcPr>
          <w:p w14:paraId="71A774CE">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大气</w:t>
            </w:r>
          </w:p>
        </w:tc>
        <w:tc>
          <w:tcPr>
            <w:tcW w:w="936" w:type="pct"/>
            <w:vAlign w:val="center"/>
          </w:tcPr>
          <w:p w14:paraId="4038FC4C">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地表水</w:t>
            </w:r>
          </w:p>
        </w:tc>
        <w:tc>
          <w:tcPr>
            <w:tcW w:w="704" w:type="pct"/>
            <w:vAlign w:val="center"/>
          </w:tcPr>
          <w:p w14:paraId="6533B404">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地下水</w:t>
            </w:r>
          </w:p>
        </w:tc>
        <w:tc>
          <w:tcPr>
            <w:tcW w:w="704" w:type="pct"/>
            <w:vAlign w:val="center"/>
          </w:tcPr>
          <w:p w14:paraId="0B8DF771">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土壤</w:t>
            </w:r>
          </w:p>
        </w:tc>
        <w:tc>
          <w:tcPr>
            <w:tcW w:w="782" w:type="pct"/>
            <w:vAlign w:val="center"/>
          </w:tcPr>
          <w:p w14:paraId="605A526F">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生态</w:t>
            </w:r>
          </w:p>
        </w:tc>
        <w:tc>
          <w:tcPr>
            <w:tcW w:w="699" w:type="pct"/>
            <w:vAlign w:val="center"/>
          </w:tcPr>
          <w:p w14:paraId="041968DC">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噪声</w:t>
            </w:r>
          </w:p>
        </w:tc>
      </w:tr>
      <w:tr w14:paraId="3385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vAlign w:val="center"/>
          </w:tcPr>
          <w:p w14:paraId="6C7B341B">
            <w:pPr>
              <w:pStyle w:val="41"/>
              <w:spacing w:line="31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lang w:val="en-US" w:eastAsia="zh-CN"/>
              </w:rPr>
              <w:t>天然气处理</w:t>
            </w:r>
            <w:r>
              <w:rPr>
                <w:rFonts w:ascii="Times New Roman" w:hAnsi="Times New Roman" w:eastAsiaTheme="minorEastAsia"/>
                <w:color w:val="auto"/>
                <w:w w:val="99"/>
                <w:szCs w:val="21"/>
                <w:highlight w:val="none"/>
              </w:rPr>
              <w:t>工程</w:t>
            </w:r>
          </w:p>
        </w:tc>
        <w:tc>
          <w:tcPr>
            <w:tcW w:w="312" w:type="pct"/>
            <w:vAlign w:val="center"/>
          </w:tcPr>
          <w:p w14:paraId="4D8ACFB7">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施工期</w:t>
            </w:r>
          </w:p>
        </w:tc>
        <w:tc>
          <w:tcPr>
            <w:tcW w:w="468" w:type="pct"/>
            <w:vAlign w:val="center"/>
          </w:tcPr>
          <w:p w14:paraId="614F8C80">
            <w:pPr>
              <w:pStyle w:val="41"/>
              <w:spacing w:line="310" w:lineRule="exact"/>
              <w:jc w:val="both"/>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颗粒物</w:t>
            </w:r>
          </w:p>
        </w:tc>
        <w:tc>
          <w:tcPr>
            <w:tcW w:w="936" w:type="pct"/>
            <w:vAlign w:val="center"/>
          </w:tcPr>
          <w:p w14:paraId="43CDEF5B">
            <w:pPr>
              <w:pStyle w:val="41"/>
              <w:spacing w:line="310" w:lineRule="exact"/>
              <w:jc w:val="both"/>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BOD</w:t>
            </w:r>
            <w:r>
              <w:rPr>
                <w:rFonts w:ascii="Times New Roman" w:hAnsi="Times New Roman" w:eastAsiaTheme="minorEastAsia"/>
                <w:color w:val="auto"/>
                <w:w w:val="99"/>
                <w:szCs w:val="21"/>
                <w:highlight w:val="none"/>
                <w:vertAlign w:val="subscript"/>
              </w:rPr>
              <w:t>5</w:t>
            </w:r>
            <w:r>
              <w:rPr>
                <w:rFonts w:ascii="Times New Roman" w:hAnsi="Times New Roman" w:eastAsiaTheme="minorEastAsia"/>
                <w:color w:val="auto"/>
                <w:w w:val="99"/>
                <w:szCs w:val="21"/>
                <w:highlight w:val="none"/>
              </w:rPr>
              <w:t>、COD、悬浮物、氨氮等</w:t>
            </w:r>
          </w:p>
        </w:tc>
        <w:tc>
          <w:tcPr>
            <w:tcW w:w="704" w:type="pct"/>
            <w:vAlign w:val="center"/>
          </w:tcPr>
          <w:p w14:paraId="4E643C44">
            <w:pPr>
              <w:pStyle w:val="41"/>
              <w:spacing w:line="310" w:lineRule="exact"/>
              <w:jc w:val="both"/>
              <w:rPr>
                <w:rFonts w:ascii="Times New Roman" w:hAnsi="Times New Roman" w:eastAsiaTheme="minorEastAsia"/>
                <w:color w:val="auto"/>
                <w:w w:val="99"/>
                <w:kern w:val="0"/>
                <w:szCs w:val="21"/>
                <w:highlight w:val="none"/>
              </w:rPr>
            </w:pPr>
            <w:r>
              <w:rPr>
                <w:rFonts w:ascii="Times New Roman" w:hAnsi="Times New Roman" w:eastAsiaTheme="minorEastAsia"/>
                <w:color w:val="auto"/>
                <w:w w:val="99"/>
                <w:kern w:val="0"/>
                <w:szCs w:val="21"/>
                <w:highlight w:val="none"/>
              </w:rPr>
              <w:t>耗氧量、氨氮、石油类等</w:t>
            </w:r>
          </w:p>
        </w:tc>
        <w:tc>
          <w:tcPr>
            <w:tcW w:w="704" w:type="pct"/>
            <w:vAlign w:val="center"/>
          </w:tcPr>
          <w:p w14:paraId="7668DE1B">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w:t>
            </w:r>
          </w:p>
        </w:tc>
        <w:tc>
          <w:tcPr>
            <w:tcW w:w="782" w:type="pct"/>
            <w:vAlign w:val="center"/>
          </w:tcPr>
          <w:p w14:paraId="301DB71B">
            <w:pPr>
              <w:pStyle w:val="41"/>
              <w:spacing w:line="310" w:lineRule="exact"/>
              <w:jc w:val="both"/>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地表扰动面积及类型、植被覆盖度、生物量损失、物种多样性、生态系统完整性</w:t>
            </w:r>
          </w:p>
        </w:tc>
        <w:tc>
          <w:tcPr>
            <w:tcW w:w="699" w:type="pct"/>
            <w:vAlign w:val="center"/>
          </w:tcPr>
          <w:p w14:paraId="7F06660A">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昼间等效声级（L</w:t>
            </w:r>
            <w:r>
              <w:rPr>
                <w:rFonts w:ascii="Times New Roman" w:hAnsi="Times New Roman" w:eastAsiaTheme="minorEastAsia"/>
                <w:color w:val="auto"/>
                <w:w w:val="99"/>
                <w:szCs w:val="21"/>
                <w:highlight w:val="none"/>
                <w:vertAlign w:val="subscript"/>
              </w:rPr>
              <w:t>d</w:t>
            </w:r>
            <w:r>
              <w:rPr>
                <w:rFonts w:ascii="Times New Roman" w:hAnsi="Times New Roman" w:eastAsiaTheme="minorEastAsia"/>
                <w:color w:val="auto"/>
                <w:w w:val="99"/>
                <w:szCs w:val="21"/>
                <w:highlight w:val="none"/>
              </w:rPr>
              <w:t>）、夜间等效声级（L</w:t>
            </w:r>
            <w:r>
              <w:rPr>
                <w:rFonts w:ascii="Times New Roman" w:hAnsi="Times New Roman" w:eastAsiaTheme="minorEastAsia"/>
                <w:color w:val="auto"/>
                <w:w w:val="99"/>
                <w:szCs w:val="21"/>
                <w:highlight w:val="none"/>
                <w:vertAlign w:val="subscript"/>
              </w:rPr>
              <w:t>n</w:t>
            </w:r>
            <w:r>
              <w:rPr>
                <w:rFonts w:ascii="Times New Roman" w:hAnsi="Times New Roman" w:eastAsiaTheme="minorEastAsia"/>
                <w:color w:val="auto"/>
                <w:w w:val="99"/>
                <w:szCs w:val="21"/>
                <w:highlight w:val="none"/>
              </w:rPr>
              <w:t>）</w:t>
            </w:r>
          </w:p>
        </w:tc>
      </w:tr>
      <w:tr w14:paraId="69D4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vAlign w:val="center"/>
          </w:tcPr>
          <w:p w14:paraId="366E2F28">
            <w:pPr>
              <w:pStyle w:val="41"/>
              <w:spacing w:line="310" w:lineRule="exact"/>
              <w:jc w:val="center"/>
              <w:rPr>
                <w:rFonts w:ascii="Times New Roman" w:hAnsi="Times New Roman" w:eastAsiaTheme="minorEastAsia"/>
                <w:color w:val="auto"/>
                <w:w w:val="99"/>
                <w:szCs w:val="21"/>
                <w:highlight w:val="none"/>
              </w:rPr>
            </w:pPr>
          </w:p>
        </w:tc>
        <w:tc>
          <w:tcPr>
            <w:tcW w:w="312" w:type="pct"/>
            <w:vAlign w:val="center"/>
          </w:tcPr>
          <w:p w14:paraId="3C13EB85">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运营期</w:t>
            </w:r>
          </w:p>
        </w:tc>
        <w:tc>
          <w:tcPr>
            <w:tcW w:w="468" w:type="pct"/>
            <w:vAlign w:val="center"/>
          </w:tcPr>
          <w:p w14:paraId="31A0A550">
            <w:pPr>
              <w:pStyle w:val="41"/>
              <w:spacing w:line="310" w:lineRule="exact"/>
              <w:jc w:val="both"/>
              <w:rPr>
                <w:rFonts w:hint="eastAsia" w:ascii="Times New Roman" w:hAnsi="Times New Roman" w:eastAsiaTheme="minorEastAsia"/>
                <w:color w:val="auto"/>
                <w:w w:val="99"/>
                <w:szCs w:val="21"/>
                <w:highlight w:val="none"/>
                <w:lang w:eastAsia="zh-CN"/>
              </w:rPr>
            </w:pPr>
            <w:r>
              <w:rPr>
                <w:rFonts w:ascii="Times New Roman" w:hAnsi="Times New Roman" w:eastAsiaTheme="minorEastAsia"/>
                <w:color w:val="auto"/>
                <w:w w:val="99"/>
                <w:szCs w:val="21"/>
                <w:highlight w:val="none"/>
              </w:rPr>
              <w:t>SO</w:t>
            </w:r>
            <w:r>
              <w:rPr>
                <w:rFonts w:ascii="Times New Roman" w:hAnsi="Times New Roman" w:eastAsiaTheme="minorEastAsia"/>
                <w:color w:val="auto"/>
                <w:w w:val="99"/>
                <w:szCs w:val="21"/>
                <w:highlight w:val="none"/>
                <w:vertAlign w:val="subscript"/>
              </w:rPr>
              <w:t>2</w:t>
            </w:r>
            <w:r>
              <w:rPr>
                <w:rFonts w:ascii="Times New Roman" w:hAnsi="Times New Roman" w:eastAsiaTheme="minorEastAsia"/>
                <w:color w:val="auto"/>
                <w:w w:val="99"/>
                <w:szCs w:val="21"/>
                <w:highlight w:val="none"/>
              </w:rPr>
              <w:t>、NO</w:t>
            </w:r>
            <w:r>
              <w:rPr>
                <w:rFonts w:ascii="Times New Roman" w:hAnsi="Times New Roman" w:eastAsiaTheme="minorEastAsia"/>
                <w:color w:val="auto"/>
                <w:w w:val="99"/>
                <w:szCs w:val="21"/>
                <w:highlight w:val="none"/>
                <w:vertAlign w:val="subscript"/>
              </w:rPr>
              <w:t>X</w:t>
            </w:r>
            <w:r>
              <w:rPr>
                <w:rFonts w:ascii="Times New Roman" w:hAnsi="Times New Roman" w:eastAsiaTheme="minorEastAsia"/>
                <w:color w:val="auto"/>
                <w:w w:val="99"/>
                <w:szCs w:val="21"/>
                <w:highlight w:val="none"/>
              </w:rPr>
              <w:t>、颗粒物</w:t>
            </w:r>
            <w:r>
              <w:rPr>
                <w:rFonts w:hint="eastAsia" w:ascii="Times New Roman" w:hAnsi="Times New Roman" w:eastAsiaTheme="minorEastAsia"/>
                <w:color w:val="auto"/>
                <w:w w:val="99"/>
                <w:szCs w:val="21"/>
                <w:highlight w:val="none"/>
                <w:lang w:eastAsia="zh-CN"/>
              </w:rPr>
              <w:t>、</w:t>
            </w:r>
          </w:p>
          <w:p w14:paraId="633F2CEC">
            <w:pPr>
              <w:pStyle w:val="41"/>
              <w:spacing w:line="310" w:lineRule="exact"/>
              <w:jc w:val="both"/>
              <w:rPr>
                <w:rFonts w:hint="default" w:ascii="Times New Roman" w:hAnsi="Times New Roman" w:eastAsiaTheme="minorEastAsia"/>
                <w:color w:val="auto"/>
                <w:w w:val="99"/>
                <w:szCs w:val="21"/>
                <w:highlight w:val="none"/>
                <w:lang w:val="en-US" w:eastAsia="zh-CN"/>
              </w:rPr>
            </w:pPr>
            <w:r>
              <w:rPr>
                <w:rFonts w:ascii="Times New Roman" w:hAnsi="Times New Roman" w:eastAsiaTheme="minorEastAsia"/>
                <w:color w:val="auto"/>
                <w:w w:val="99"/>
                <w:szCs w:val="21"/>
                <w:highlight w:val="none"/>
              </w:rPr>
              <w:t>非甲烷总烃</w:t>
            </w:r>
          </w:p>
        </w:tc>
        <w:tc>
          <w:tcPr>
            <w:tcW w:w="936" w:type="pct"/>
            <w:vAlign w:val="center"/>
          </w:tcPr>
          <w:p w14:paraId="09AB5140">
            <w:pPr>
              <w:pStyle w:val="41"/>
              <w:spacing w:line="310" w:lineRule="exact"/>
              <w:jc w:val="both"/>
              <w:rPr>
                <w:rFonts w:hint="default" w:ascii="Times New Roman" w:hAnsi="Times New Roman" w:eastAsiaTheme="minorEastAsia"/>
                <w:color w:val="auto"/>
                <w:w w:val="99"/>
                <w:szCs w:val="21"/>
                <w:highlight w:val="none"/>
                <w:lang w:val="en-US" w:eastAsia="zh-CN"/>
              </w:rPr>
            </w:pPr>
            <w:r>
              <w:rPr>
                <w:rFonts w:ascii="Times New Roman" w:hAnsi="Times New Roman" w:eastAsiaTheme="minorEastAsia"/>
                <w:color w:val="auto"/>
                <w:w w:val="99"/>
                <w:szCs w:val="21"/>
                <w:highlight w:val="none"/>
              </w:rPr>
              <w:t>pH 值、悬浮物、COD、BOD</w:t>
            </w:r>
            <w:r>
              <w:rPr>
                <w:rFonts w:ascii="Times New Roman" w:hAnsi="Times New Roman" w:eastAsiaTheme="minorEastAsia"/>
                <w:color w:val="auto"/>
                <w:w w:val="99"/>
                <w:szCs w:val="21"/>
                <w:highlight w:val="none"/>
                <w:vertAlign w:val="subscript"/>
              </w:rPr>
              <w:t>5</w:t>
            </w:r>
            <w:r>
              <w:rPr>
                <w:rFonts w:ascii="Times New Roman" w:hAnsi="Times New Roman" w:eastAsiaTheme="minorEastAsia"/>
                <w:color w:val="auto"/>
                <w:w w:val="99"/>
                <w:szCs w:val="21"/>
                <w:highlight w:val="none"/>
              </w:rPr>
              <w:t>、氨氮、总磷、石油类、挥发酚、硫化物、阴离子表面活性剂、汞、总铬、六价铬、镉、砷、镍、铅</w:t>
            </w:r>
            <w:r>
              <w:rPr>
                <w:rFonts w:hint="eastAsia" w:ascii="Times New Roman" w:hAnsi="Times New Roman" w:eastAsiaTheme="minorEastAsia"/>
                <w:color w:val="auto"/>
                <w:w w:val="99"/>
                <w:szCs w:val="21"/>
                <w:highlight w:val="none"/>
                <w:lang w:eastAsia="zh-CN"/>
              </w:rPr>
              <w:t>、</w:t>
            </w:r>
            <w:r>
              <w:rPr>
                <w:rFonts w:hint="eastAsia" w:ascii="Times New Roman" w:hAnsi="Times New Roman" w:eastAsiaTheme="minorEastAsia"/>
                <w:color w:val="auto"/>
                <w:w w:val="99"/>
                <w:szCs w:val="21"/>
                <w:highlight w:val="none"/>
                <w:lang w:val="en-US" w:eastAsia="zh-CN"/>
              </w:rPr>
              <w:t>高锰酸盐指数</w:t>
            </w:r>
          </w:p>
        </w:tc>
        <w:tc>
          <w:tcPr>
            <w:tcW w:w="704" w:type="pct"/>
            <w:vAlign w:val="center"/>
          </w:tcPr>
          <w:p w14:paraId="0C58ACDD">
            <w:pPr>
              <w:pStyle w:val="41"/>
              <w:spacing w:line="310" w:lineRule="exact"/>
              <w:jc w:val="both"/>
              <w:rPr>
                <w:rFonts w:ascii="Times New Roman" w:hAnsi="Times New Roman" w:eastAsiaTheme="minorEastAsia"/>
                <w:color w:val="auto"/>
                <w:w w:val="99"/>
                <w:kern w:val="0"/>
                <w:szCs w:val="21"/>
                <w:highlight w:val="none"/>
              </w:rPr>
            </w:pPr>
            <w:r>
              <w:rPr>
                <w:rFonts w:ascii="Times New Roman" w:hAnsi="Times New Roman" w:eastAsiaTheme="minorEastAsia"/>
                <w:color w:val="auto"/>
                <w:w w:val="99"/>
                <w:szCs w:val="21"/>
                <w:highlight w:val="none"/>
              </w:rPr>
              <w:t>pH值、挥发酚、耗氧量、氨氮、硫化物、氯化物、石油类、总硬度、溶解性总固体、钡、汞、砷、六价铬等</w:t>
            </w:r>
          </w:p>
        </w:tc>
        <w:tc>
          <w:tcPr>
            <w:tcW w:w="704" w:type="pct"/>
            <w:vAlign w:val="center"/>
          </w:tcPr>
          <w:p w14:paraId="5B969F94">
            <w:pPr>
              <w:pStyle w:val="41"/>
              <w:spacing w:line="310" w:lineRule="exact"/>
              <w:jc w:val="both"/>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pH值、石油类、石油烃（C</w:t>
            </w:r>
            <w:r>
              <w:rPr>
                <w:rFonts w:ascii="Times New Roman" w:hAnsi="Times New Roman" w:eastAsiaTheme="minorEastAsia"/>
                <w:color w:val="auto"/>
                <w:w w:val="99"/>
                <w:szCs w:val="21"/>
                <w:highlight w:val="none"/>
                <w:vertAlign w:val="subscript"/>
              </w:rPr>
              <w:t>6</w:t>
            </w:r>
            <w:r>
              <w:rPr>
                <w:rFonts w:ascii="Times New Roman" w:hAnsi="Times New Roman" w:eastAsiaTheme="minorEastAsia"/>
                <w:color w:val="auto"/>
                <w:w w:val="99"/>
                <w:szCs w:val="21"/>
                <w:highlight w:val="none"/>
              </w:rPr>
              <w:t>~C</w:t>
            </w:r>
            <w:r>
              <w:rPr>
                <w:rFonts w:ascii="Times New Roman" w:hAnsi="Times New Roman" w:eastAsiaTheme="minorEastAsia"/>
                <w:color w:val="auto"/>
                <w:w w:val="99"/>
                <w:szCs w:val="21"/>
                <w:highlight w:val="none"/>
                <w:vertAlign w:val="subscript"/>
              </w:rPr>
              <w:t>9</w:t>
            </w:r>
            <w:r>
              <w:rPr>
                <w:rFonts w:ascii="Times New Roman" w:hAnsi="Times New Roman" w:eastAsiaTheme="minorEastAsia"/>
                <w:color w:val="auto"/>
                <w:w w:val="99"/>
                <w:szCs w:val="21"/>
                <w:highlight w:val="none"/>
              </w:rPr>
              <w:t>）、石油烃</w:t>
            </w:r>
          </w:p>
          <w:p w14:paraId="40EC5EFF">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（C</w:t>
            </w:r>
            <w:r>
              <w:rPr>
                <w:rFonts w:ascii="Times New Roman" w:hAnsi="Times New Roman" w:eastAsiaTheme="minorEastAsia"/>
                <w:color w:val="auto"/>
                <w:w w:val="99"/>
                <w:szCs w:val="21"/>
                <w:highlight w:val="none"/>
                <w:vertAlign w:val="subscript"/>
              </w:rPr>
              <w:t>10</w:t>
            </w:r>
            <w:r>
              <w:rPr>
                <w:rFonts w:ascii="Times New Roman" w:hAnsi="Times New Roman" w:eastAsiaTheme="minorEastAsia"/>
                <w:color w:val="auto"/>
                <w:w w:val="99"/>
                <w:szCs w:val="21"/>
                <w:highlight w:val="none"/>
              </w:rPr>
              <w:t>~C</w:t>
            </w:r>
            <w:r>
              <w:rPr>
                <w:rFonts w:ascii="Times New Roman" w:hAnsi="Times New Roman" w:eastAsiaTheme="minorEastAsia"/>
                <w:color w:val="auto"/>
                <w:w w:val="99"/>
                <w:szCs w:val="21"/>
                <w:highlight w:val="none"/>
                <w:vertAlign w:val="subscript"/>
              </w:rPr>
              <w:t>40</w:t>
            </w:r>
            <w:r>
              <w:rPr>
                <w:rFonts w:ascii="Times New Roman" w:hAnsi="Times New Roman" w:eastAsiaTheme="minorEastAsia"/>
                <w:color w:val="auto"/>
                <w:w w:val="99"/>
                <w:szCs w:val="21"/>
                <w:highlight w:val="none"/>
              </w:rPr>
              <w:t>）、汞、砷、六价铬、土壤盐分含量等</w:t>
            </w:r>
          </w:p>
        </w:tc>
        <w:tc>
          <w:tcPr>
            <w:tcW w:w="782" w:type="pct"/>
            <w:vAlign w:val="center"/>
          </w:tcPr>
          <w:p w14:paraId="456EA357">
            <w:pPr>
              <w:pStyle w:val="41"/>
              <w:spacing w:line="31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土壤肥力</w:t>
            </w:r>
          </w:p>
          <w:p w14:paraId="470525C4">
            <w:pPr>
              <w:pStyle w:val="41"/>
              <w:spacing w:line="310" w:lineRule="exact"/>
              <w:jc w:val="both"/>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、生物多样性、生态系统完整性</w:t>
            </w:r>
          </w:p>
        </w:tc>
        <w:tc>
          <w:tcPr>
            <w:tcW w:w="699" w:type="pct"/>
            <w:vAlign w:val="center"/>
          </w:tcPr>
          <w:p w14:paraId="2B86B4D5">
            <w:pPr>
              <w:pStyle w:val="41"/>
              <w:spacing w:line="31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昼间等效声级（L</w:t>
            </w:r>
            <w:r>
              <w:rPr>
                <w:rFonts w:ascii="Times New Roman" w:hAnsi="Times New Roman" w:eastAsiaTheme="minorEastAsia"/>
                <w:color w:val="auto"/>
                <w:w w:val="99"/>
                <w:szCs w:val="21"/>
                <w:highlight w:val="none"/>
                <w:vertAlign w:val="subscript"/>
              </w:rPr>
              <w:t>d</w:t>
            </w:r>
            <w:r>
              <w:rPr>
                <w:rFonts w:ascii="Times New Roman" w:hAnsi="Times New Roman" w:eastAsiaTheme="minorEastAsia"/>
                <w:color w:val="auto"/>
                <w:w w:val="99"/>
                <w:szCs w:val="21"/>
                <w:highlight w:val="none"/>
              </w:rPr>
              <w:t>）、夜间等效声级（L</w:t>
            </w:r>
            <w:r>
              <w:rPr>
                <w:rFonts w:ascii="Times New Roman" w:hAnsi="Times New Roman" w:eastAsiaTheme="minorEastAsia"/>
                <w:color w:val="auto"/>
                <w:w w:val="99"/>
                <w:szCs w:val="21"/>
                <w:highlight w:val="none"/>
                <w:vertAlign w:val="subscript"/>
              </w:rPr>
              <w:t>n</w:t>
            </w:r>
            <w:r>
              <w:rPr>
                <w:rFonts w:ascii="Times New Roman" w:hAnsi="Times New Roman" w:eastAsiaTheme="minorEastAsia"/>
                <w:color w:val="auto"/>
                <w:w w:val="99"/>
                <w:szCs w:val="21"/>
                <w:highlight w:val="none"/>
              </w:rPr>
              <w:t>）</w:t>
            </w:r>
          </w:p>
        </w:tc>
      </w:tr>
    </w:tbl>
    <w:p w14:paraId="130569AA">
      <w:pPr>
        <w:pStyle w:val="153"/>
        <w:widowControl w:val="0"/>
        <w:spacing w:line="440" w:lineRule="exact"/>
        <w:ind w:firstLine="478"/>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表2.5-4    生态影响评价因子筛选表</w:t>
      </w:r>
    </w:p>
    <w:tbl>
      <w:tblPr>
        <w:tblStyle w:val="80"/>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985"/>
        <w:gridCol w:w="1979"/>
        <w:gridCol w:w="1042"/>
        <w:gridCol w:w="645"/>
        <w:gridCol w:w="853"/>
        <w:gridCol w:w="657"/>
        <w:gridCol w:w="592"/>
        <w:gridCol w:w="853"/>
        <w:gridCol w:w="657"/>
        <w:gridCol w:w="543"/>
      </w:tblGrid>
      <w:tr w14:paraId="1F1A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vAlign w:val="center"/>
          </w:tcPr>
          <w:p w14:paraId="09D4061D">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受影响对象</w:t>
            </w:r>
          </w:p>
        </w:tc>
        <w:tc>
          <w:tcPr>
            <w:tcW w:w="531" w:type="pct"/>
            <w:vMerge w:val="restart"/>
            <w:vAlign w:val="center"/>
          </w:tcPr>
          <w:p w14:paraId="1C80F68C">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评价因子</w:t>
            </w:r>
          </w:p>
        </w:tc>
        <w:tc>
          <w:tcPr>
            <w:tcW w:w="1977" w:type="pct"/>
            <w:gridSpan w:val="3"/>
            <w:vAlign w:val="center"/>
          </w:tcPr>
          <w:p w14:paraId="40F1D314">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施工期</w:t>
            </w:r>
          </w:p>
        </w:tc>
        <w:tc>
          <w:tcPr>
            <w:tcW w:w="1133" w:type="pct"/>
            <w:gridSpan w:val="3"/>
            <w:vAlign w:val="center"/>
          </w:tcPr>
          <w:p w14:paraId="04DA8760">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运营期</w:t>
            </w:r>
          </w:p>
        </w:tc>
        <w:tc>
          <w:tcPr>
            <w:tcW w:w="1107" w:type="pct"/>
            <w:gridSpan w:val="3"/>
            <w:vAlign w:val="center"/>
          </w:tcPr>
          <w:p w14:paraId="7F4400CE">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退役期</w:t>
            </w:r>
          </w:p>
        </w:tc>
      </w:tr>
      <w:tr w14:paraId="2CEC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vAlign w:val="center"/>
          </w:tcPr>
          <w:p w14:paraId="52832144">
            <w:pPr>
              <w:pStyle w:val="41"/>
              <w:shd w:val="clear"/>
              <w:spacing w:line="320" w:lineRule="exact"/>
              <w:jc w:val="center"/>
              <w:rPr>
                <w:rFonts w:ascii="Times New Roman" w:hAnsi="Times New Roman" w:eastAsiaTheme="minorEastAsia"/>
                <w:color w:val="auto"/>
                <w:w w:val="99"/>
                <w:szCs w:val="21"/>
                <w:highlight w:val="none"/>
              </w:rPr>
            </w:pPr>
          </w:p>
        </w:tc>
        <w:tc>
          <w:tcPr>
            <w:tcW w:w="531" w:type="pct"/>
            <w:vMerge w:val="continue"/>
            <w:vAlign w:val="center"/>
          </w:tcPr>
          <w:p w14:paraId="556EBDC3">
            <w:pPr>
              <w:pStyle w:val="41"/>
              <w:shd w:val="clear"/>
              <w:spacing w:line="320" w:lineRule="exact"/>
              <w:jc w:val="center"/>
              <w:rPr>
                <w:rFonts w:ascii="Times New Roman" w:hAnsi="Times New Roman" w:eastAsiaTheme="minorEastAsia"/>
                <w:color w:val="auto"/>
                <w:w w:val="99"/>
                <w:szCs w:val="21"/>
                <w:highlight w:val="none"/>
              </w:rPr>
            </w:pPr>
          </w:p>
        </w:tc>
        <w:tc>
          <w:tcPr>
            <w:tcW w:w="1067" w:type="pct"/>
            <w:vAlign w:val="center"/>
          </w:tcPr>
          <w:p w14:paraId="63E04BC4">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工程内容及影响方式</w:t>
            </w:r>
          </w:p>
        </w:tc>
        <w:tc>
          <w:tcPr>
            <w:tcW w:w="562" w:type="pct"/>
            <w:vAlign w:val="center"/>
          </w:tcPr>
          <w:p w14:paraId="7A02BEB3">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影响性质</w:t>
            </w:r>
          </w:p>
        </w:tc>
        <w:tc>
          <w:tcPr>
            <w:tcW w:w="347" w:type="pct"/>
            <w:vAlign w:val="center"/>
          </w:tcPr>
          <w:p w14:paraId="79EA2AF0">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影响程度</w:t>
            </w:r>
          </w:p>
        </w:tc>
        <w:tc>
          <w:tcPr>
            <w:tcW w:w="460" w:type="pct"/>
            <w:shd w:val="clear" w:color="auto" w:fill="auto"/>
            <w:vAlign w:val="center"/>
          </w:tcPr>
          <w:p w14:paraId="611B5C45">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工程内容及影响方式</w:t>
            </w:r>
          </w:p>
        </w:tc>
        <w:tc>
          <w:tcPr>
            <w:tcW w:w="354" w:type="pct"/>
            <w:shd w:val="clear" w:color="auto" w:fill="auto"/>
            <w:vAlign w:val="center"/>
          </w:tcPr>
          <w:p w14:paraId="443EA215">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影响性质</w:t>
            </w:r>
          </w:p>
        </w:tc>
        <w:tc>
          <w:tcPr>
            <w:tcW w:w="318" w:type="pct"/>
            <w:shd w:val="clear" w:color="auto" w:fill="auto"/>
            <w:vAlign w:val="center"/>
          </w:tcPr>
          <w:p w14:paraId="08B46DAC">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影响程度</w:t>
            </w:r>
          </w:p>
        </w:tc>
        <w:tc>
          <w:tcPr>
            <w:tcW w:w="460" w:type="pct"/>
            <w:shd w:val="clear" w:color="auto" w:fill="auto"/>
            <w:vAlign w:val="center"/>
          </w:tcPr>
          <w:p w14:paraId="3D3D67CD">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工程内容及影响方式</w:t>
            </w:r>
          </w:p>
        </w:tc>
        <w:tc>
          <w:tcPr>
            <w:tcW w:w="354" w:type="pct"/>
            <w:shd w:val="clear" w:color="auto" w:fill="auto"/>
            <w:vAlign w:val="center"/>
          </w:tcPr>
          <w:p w14:paraId="7CD30B0F">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影响性质</w:t>
            </w:r>
          </w:p>
        </w:tc>
        <w:tc>
          <w:tcPr>
            <w:tcW w:w="292" w:type="pct"/>
            <w:shd w:val="clear" w:color="auto" w:fill="auto"/>
            <w:vAlign w:val="center"/>
          </w:tcPr>
          <w:p w14:paraId="260F8F43">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影响程度</w:t>
            </w:r>
          </w:p>
        </w:tc>
      </w:tr>
      <w:tr w14:paraId="369D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vAlign w:val="center"/>
          </w:tcPr>
          <w:p w14:paraId="136A8E65">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物种</w:t>
            </w:r>
          </w:p>
        </w:tc>
        <w:tc>
          <w:tcPr>
            <w:tcW w:w="531" w:type="pct"/>
            <w:vMerge w:val="restart"/>
            <w:vAlign w:val="center"/>
          </w:tcPr>
          <w:p w14:paraId="0A054A23">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分布范围、种群数量、种群结构</w:t>
            </w:r>
          </w:p>
        </w:tc>
        <w:tc>
          <w:tcPr>
            <w:tcW w:w="1067" w:type="pct"/>
            <w:vAlign w:val="center"/>
          </w:tcPr>
          <w:p w14:paraId="564797E7">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井场、</w:t>
            </w:r>
            <w:r>
              <w:rPr>
                <w:rFonts w:hint="eastAsia" w:ascii="Times New Roman" w:hAnsi="Times New Roman" w:eastAsiaTheme="minorEastAsia"/>
                <w:color w:val="auto"/>
                <w:w w:val="99"/>
                <w:szCs w:val="21"/>
                <w:highlight w:val="none"/>
                <w:lang w:val="en-US" w:eastAsia="zh-CN"/>
              </w:rPr>
              <w:t>放空池、改建站场、新建道路永久占地产生的直接影响、间接生态影响</w:t>
            </w:r>
          </w:p>
        </w:tc>
        <w:tc>
          <w:tcPr>
            <w:tcW w:w="562" w:type="pct"/>
            <w:vAlign w:val="center"/>
          </w:tcPr>
          <w:p w14:paraId="5CA41C8A">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永久占地长期不可逆</w:t>
            </w:r>
          </w:p>
        </w:tc>
        <w:tc>
          <w:tcPr>
            <w:tcW w:w="347" w:type="pct"/>
            <w:vAlign w:val="center"/>
          </w:tcPr>
          <w:p w14:paraId="43A8C478">
            <w:pPr>
              <w:pStyle w:val="41"/>
              <w:shd w:val="clear"/>
              <w:spacing w:line="320" w:lineRule="exact"/>
              <w:jc w:val="center"/>
              <w:rPr>
                <w:rFonts w:hint="eastAsia" w:ascii="Times New Roman" w:hAnsi="Times New Roman" w:eastAsiaTheme="minorEastAsia"/>
                <w:color w:val="auto"/>
                <w:w w:val="99"/>
                <w:szCs w:val="21"/>
                <w:highlight w:val="none"/>
                <w:lang w:eastAsia="zh-CN"/>
              </w:rPr>
            </w:pPr>
            <w:r>
              <w:rPr>
                <w:rFonts w:hint="eastAsia" w:ascii="Times New Roman" w:hAnsi="Times New Roman" w:eastAsiaTheme="minorEastAsia"/>
                <w:color w:val="auto"/>
                <w:w w:val="99"/>
                <w:szCs w:val="21"/>
                <w:highlight w:val="none"/>
                <w:lang w:val="en-US" w:eastAsia="zh-CN"/>
              </w:rPr>
              <w:t>中</w:t>
            </w:r>
          </w:p>
        </w:tc>
        <w:tc>
          <w:tcPr>
            <w:tcW w:w="460" w:type="pct"/>
            <w:vMerge w:val="restart"/>
            <w:vAlign w:val="center"/>
          </w:tcPr>
          <w:p w14:paraId="32B29CCA">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工程运行噪声导致的直接影响</w:t>
            </w:r>
          </w:p>
        </w:tc>
        <w:tc>
          <w:tcPr>
            <w:tcW w:w="354" w:type="pct"/>
            <w:vMerge w:val="restart"/>
            <w:vAlign w:val="center"/>
          </w:tcPr>
          <w:p w14:paraId="703D962A">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长期影响</w:t>
            </w:r>
          </w:p>
        </w:tc>
        <w:tc>
          <w:tcPr>
            <w:tcW w:w="318" w:type="pct"/>
            <w:vMerge w:val="restart"/>
            <w:vAlign w:val="center"/>
          </w:tcPr>
          <w:p w14:paraId="47E67B85">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弱</w:t>
            </w:r>
          </w:p>
        </w:tc>
        <w:tc>
          <w:tcPr>
            <w:tcW w:w="460" w:type="pct"/>
            <w:vMerge w:val="restart"/>
            <w:vAlign w:val="center"/>
          </w:tcPr>
          <w:p w14:paraId="03141313">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临时占地、施工活动导致的直接影响</w:t>
            </w:r>
          </w:p>
        </w:tc>
        <w:tc>
          <w:tcPr>
            <w:tcW w:w="354" w:type="pct"/>
            <w:vMerge w:val="restart"/>
            <w:vAlign w:val="center"/>
          </w:tcPr>
          <w:p w14:paraId="3C1F5FC1">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短期影响</w:t>
            </w:r>
          </w:p>
        </w:tc>
        <w:tc>
          <w:tcPr>
            <w:tcW w:w="292" w:type="pct"/>
            <w:vMerge w:val="restart"/>
            <w:vAlign w:val="center"/>
          </w:tcPr>
          <w:p w14:paraId="514FA061">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弱</w:t>
            </w:r>
          </w:p>
        </w:tc>
      </w:tr>
      <w:tr w14:paraId="08D0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vAlign w:val="center"/>
          </w:tcPr>
          <w:p w14:paraId="433AC87D">
            <w:pPr>
              <w:pStyle w:val="41"/>
              <w:shd w:val="clear"/>
              <w:spacing w:line="320" w:lineRule="exact"/>
              <w:jc w:val="center"/>
              <w:rPr>
                <w:rFonts w:ascii="Times New Roman" w:hAnsi="Times New Roman" w:eastAsiaTheme="minorEastAsia"/>
                <w:color w:val="auto"/>
                <w:w w:val="99"/>
                <w:szCs w:val="21"/>
                <w:highlight w:val="none"/>
              </w:rPr>
            </w:pPr>
          </w:p>
        </w:tc>
        <w:tc>
          <w:tcPr>
            <w:tcW w:w="531" w:type="pct"/>
            <w:vMerge w:val="continue"/>
            <w:vAlign w:val="center"/>
          </w:tcPr>
          <w:p w14:paraId="1FE0255C">
            <w:pPr>
              <w:pStyle w:val="41"/>
              <w:shd w:val="clear"/>
              <w:spacing w:line="320" w:lineRule="exact"/>
              <w:jc w:val="center"/>
              <w:rPr>
                <w:rFonts w:ascii="Times New Roman" w:hAnsi="Times New Roman" w:eastAsiaTheme="minorEastAsia"/>
                <w:color w:val="auto"/>
                <w:w w:val="99"/>
                <w:szCs w:val="21"/>
                <w:highlight w:val="none"/>
              </w:rPr>
            </w:pPr>
          </w:p>
        </w:tc>
        <w:tc>
          <w:tcPr>
            <w:tcW w:w="1067" w:type="pct"/>
            <w:vAlign w:val="center"/>
          </w:tcPr>
          <w:p w14:paraId="3C300786">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管线开挖过程临时占地产生的直接影响</w:t>
            </w:r>
          </w:p>
        </w:tc>
        <w:tc>
          <w:tcPr>
            <w:tcW w:w="562" w:type="pct"/>
            <w:vAlign w:val="center"/>
          </w:tcPr>
          <w:p w14:paraId="07A12F5E">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临时占地短期可逆</w:t>
            </w:r>
          </w:p>
        </w:tc>
        <w:tc>
          <w:tcPr>
            <w:tcW w:w="347" w:type="pct"/>
            <w:vAlign w:val="center"/>
          </w:tcPr>
          <w:p w14:paraId="561E08C0">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弱</w:t>
            </w:r>
          </w:p>
        </w:tc>
        <w:tc>
          <w:tcPr>
            <w:tcW w:w="460" w:type="pct"/>
            <w:vMerge w:val="continue"/>
            <w:vAlign w:val="center"/>
          </w:tcPr>
          <w:p w14:paraId="1CCDBD5B">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p>
        </w:tc>
        <w:tc>
          <w:tcPr>
            <w:tcW w:w="354" w:type="pct"/>
            <w:vMerge w:val="continue"/>
            <w:vAlign w:val="center"/>
          </w:tcPr>
          <w:p w14:paraId="0D2607B6">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p>
        </w:tc>
        <w:tc>
          <w:tcPr>
            <w:tcW w:w="318" w:type="pct"/>
            <w:vMerge w:val="continue"/>
            <w:vAlign w:val="center"/>
          </w:tcPr>
          <w:p w14:paraId="2441CC9E">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p>
        </w:tc>
        <w:tc>
          <w:tcPr>
            <w:tcW w:w="460" w:type="pct"/>
            <w:vMerge w:val="continue"/>
            <w:vAlign w:val="center"/>
          </w:tcPr>
          <w:p w14:paraId="60FA6BF4">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p>
        </w:tc>
        <w:tc>
          <w:tcPr>
            <w:tcW w:w="354" w:type="pct"/>
            <w:vMerge w:val="continue"/>
            <w:vAlign w:val="center"/>
          </w:tcPr>
          <w:p w14:paraId="75F4FB3E">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p>
        </w:tc>
        <w:tc>
          <w:tcPr>
            <w:tcW w:w="292" w:type="pct"/>
            <w:vMerge w:val="continue"/>
            <w:vAlign w:val="center"/>
          </w:tcPr>
          <w:p w14:paraId="15F4989D">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p>
        </w:tc>
      </w:tr>
      <w:tr w14:paraId="333E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vAlign w:val="center"/>
          </w:tcPr>
          <w:p w14:paraId="1E5A0019">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生境</w:t>
            </w:r>
          </w:p>
        </w:tc>
        <w:tc>
          <w:tcPr>
            <w:tcW w:w="531" w:type="pct"/>
            <w:vMerge w:val="restart"/>
            <w:vAlign w:val="center"/>
          </w:tcPr>
          <w:p w14:paraId="7947A8B5">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生境面积、质量、连通性</w:t>
            </w:r>
          </w:p>
        </w:tc>
        <w:tc>
          <w:tcPr>
            <w:tcW w:w="1979" w:type="dxa"/>
            <w:vAlign w:val="center"/>
          </w:tcPr>
          <w:p w14:paraId="4A005B63">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井场、</w:t>
            </w:r>
            <w:r>
              <w:rPr>
                <w:rFonts w:hint="eastAsia" w:ascii="Times New Roman" w:hAnsi="Times New Roman" w:eastAsiaTheme="minorEastAsia"/>
                <w:color w:val="auto"/>
                <w:w w:val="99"/>
                <w:szCs w:val="21"/>
                <w:highlight w:val="none"/>
                <w:lang w:val="en-US" w:eastAsia="zh-CN"/>
              </w:rPr>
              <w:t>放空池、改建站场、新建道路永久占地产生的直接影响、间接生态影响</w:t>
            </w:r>
          </w:p>
        </w:tc>
        <w:tc>
          <w:tcPr>
            <w:tcW w:w="562" w:type="pct"/>
            <w:vAlign w:val="center"/>
          </w:tcPr>
          <w:p w14:paraId="1D275DF2">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永久占地长期不可逆</w:t>
            </w:r>
          </w:p>
        </w:tc>
        <w:tc>
          <w:tcPr>
            <w:tcW w:w="347" w:type="pct"/>
            <w:shd w:val="clear" w:color="auto" w:fill="auto"/>
            <w:vAlign w:val="center"/>
          </w:tcPr>
          <w:p w14:paraId="583D1459">
            <w:pPr>
              <w:pStyle w:val="41"/>
              <w:shd w:val="clear"/>
              <w:spacing w:line="320" w:lineRule="exact"/>
              <w:jc w:val="center"/>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中</w:t>
            </w:r>
          </w:p>
        </w:tc>
        <w:tc>
          <w:tcPr>
            <w:tcW w:w="460" w:type="pct"/>
            <w:vMerge w:val="restart"/>
            <w:vAlign w:val="center"/>
          </w:tcPr>
          <w:p w14:paraId="6467DEBB">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永久占地导致的直接影响</w:t>
            </w:r>
          </w:p>
        </w:tc>
        <w:tc>
          <w:tcPr>
            <w:tcW w:w="354" w:type="pct"/>
            <w:vMerge w:val="restart"/>
            <w:vAlign w:val="center"/>
          </w:tcPr>
          <w:p w14:paraId="13C4192B">
            <w:pPr>
              <w:pStyle w:val="41"/>
              <w:shd w:val="clear"/>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lang w:val="en-US" w:eastAsia="zh-CN"/>
              </w:rPr>
              <w:t>长期影响</w:t>
            </w:r>
          </w:p>
        </w:tc>
        <w:tc>
          <w:tcPr>
            <w:tcW w:w="318" w:type="pct"/>
            <w:vMerge w:val="restart"/>
            <w:vAlign w:val="center"/>
          </w:tcPr>
          <w:p w14:paraId="23D2576E">
            <w:pPr>
              <w:pStyle w:val="41"/>
              <w:shd w:val="clear"/>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lang w:val="en-US" w:eastAsia="zh-CN"/>
              </w:rPr>
              <w:t>弱</w:t>
            </w:r>
          </w:p>
        </w:tc>
        <w:tc>
          <w:tcPr>
            <w:tcW w:w="460" w:type="pct"/>
            <w:vMerge w:val="restart"/>
            <w:vAlign w:val="center"/>
          </w:tcPr>
          <w:p w14:paraId="248D2744">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临时占地导致的直接影响</w:t>
            </w:r>
          </w:p>
        </w:tc>
        <w:tc>
          <w:tcPr>
            <w:tcW w:w="354" w:type="pct"/>
            <w:vMerge w:val="restart"/>
            <w:shd w:val="clear" w:color="auto" w:fill="auto"/>
            <w:vAlign w:val="center"/>
          </w:tcPr>
          <w:p w14:paraId="5A5645E3">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短期影响</w:t>
            </w:r>
          </w:p>
        </w:tc>
        <w:tc>
          <w:tcPr>
            <w:tcW w:w="292" w:type="pct"/>
            <w:vMerge w:val="restart"/>
            <w:shd w:val="clear" w:color="auto" w:fill="auto"/>
            <w:vAlign w:val="center"/>
          </w:tcPr>
          <w:p w14:paraId="60371929">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r>
      <w:tr w14:paraId="6EC8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vAlign w:val="center"/>
          </w:tcPr>
          <w:p w14:paraId="51572AE6">
            <w:pPr>
              <w:pStyle w:val="41"/>
              <w:shd w:val="clear"/>
              <w:spacing w:line="320" w:lineRule="exact"/>
              <w:jc w:val="center"/>
              <w:rPr>
                <w:rFonts w:ascii="Times New Roman" w:hAnsi="Times New Roman" w:eastAsiaTheme="minorEastAsia"/>
                <w:color w:val="auto"/>
                <w:w w:val="99"/>
                <w:szCs w:val="21"/>
                <w:highlight w:val="none"/>
              </w:rPr>
            </w:pPr>
          </w:p>
        </w:tc>
        <w:tc>
          <w:tcPr>
            <w:tcW w:w="531" w:type="pct"/>
            <w:vMerge w:val="continue"/>
            <w:vAlign w:val="center"/>
          </w:tcPr>
          <w:p w14:paraId="4B31F6E4">
            <w:pPr>
              <w:pStyle w:val="41"/>
              <w:shd w:val="clear"/>
              <w:spacing w:line="320" w:lineRule="exact"/>
              <w:jc w:val="center"/>
              <w:rPr>
                <w:rFonts w:ascii="Times New Roman" w:hAnsi="Times New Roman" w:eastAsiaTheme="minorEastAsia"/>
                <w:color w:val="auto"/>
                <w:w w:val="99"/>
                <w:szCs w:val="21"/>
                <w:highlight w:val="none"/>
              </w:rPr>
            </w:pPr>
          </w:p>
        </w:tc>
        <w:tc>
          <w:tcPr>
            <w:tcW w:w="1979" w:type="dxa"/>
            <w:vAlign w:val="center"/>
          </w:tcPr>
          <w:p w14:paraId="34FF04D5">
            <w:pPr>
              <w:pStyle w:val="41"/>
              <w:shd w:val="clear"/>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lang w:val="en-US" w:eastAsia="zh-CN"/>
              </w:rPr>
              <w:t>管线开挖过程临时占地产生的直接影响</w:t>
            </w:r>
          </w:p>
        </w:tc>
        <w:tc>
          <w:tcPr>
            <w:tcW w:w="562" w:type="pct"/>
            <w:vAlign w:val="center"/>
          </w:tcPr>
          <w:p w14:paraId="74ED42CD">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临时占地短期可逆</w:t>
            </w:r>
          </w:p>
        </w:tc>
        <w:tc>
          <w:tcPr>
            <w:tcW w:w="347" w:type="pct"/>
            <w:shd w:val="clear" w:color="auto" w:fill="auto"/>
            <w:vAlign w:val="center"/>
          </w:tcPr>
          <w:p w14:paraId="7CCD279A">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c>
          <w:tcPr>
            <w:tcW w:w="460" w:type="pct"/>
            <w:vMerge w:val="continue"/>
            <w:vAlign w:val="center"/>
          </w:tcPr>
          <w:p w14:paraId="211BD952">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163F4C4D">
            <w:pPr>
              <w:pStyle w:val="41"/>
              <w:shd w:val="clear"/>
              <w:spacing w:line="320" w:lineRule="exact"/>
              <w:jc w:val="center"/>
              <w:rPr>
                <w:rFonts w:ascii="Times New Roman" w:hAnsi="Times New Roman" w:eastAsiaTheme="minorEastAsia"/>
                <w:color w:val="auto"/>
                <w:w w:val="99"/>
                <w:szCs w:val="21"/>
                <w:highlight w:val="none"/>
              </w:rPr>
            </w:pPr>
          </w:p>
        </w:tc>
        <w:tc>
          <w:tcPr>
            <w:tcW w:w="318" w:type="pct"/>
            <w:vMerge w:val="continue"/>
            <w:vAlign w:val="center"/>
          </w:tcPr>
          <w:p w14:paraId="1D053F61">
            <w:pPr>
              <w:pStyle w:val="41"/>
              <w:shd w:val="clear"/>
              <w:spacing w:line="320" w:lineRule="exact"/>
              <w:jc w:val="center"/>
              <w:rPr>
                <w:rFonts w:ascii="Times New Roman" w:hAnsi="Times New Roman" w:eastAsiaTheme="minorEastAsia"/>
                <w:color w:val="auto"/>
                <w:w w:val="99"/>
                <w:szCs w:val="21"/>
                <w:highlight w:val="none"/>
              </w:rPr>
            </w:pPr>
          </w:p>
        </w:tc>
        <w:tc>
          <w:tcPr>
            <w:tcW w:w="460" w:type="pct"/>
            <w:vMerge w:val="continue"/>
            <w:vAlign w:val="center"/>
          </w:tcPr>
          <w:p w14:paraId="5C634CE5">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05A04AB6">
            <w:pPr>
              <w:pStyle w:val="41"/>
              <w:shd w:val="clear"/>
              <w:spacing w:line="320" w:lineRule="exact"/>
              <w:jc w:val="center"/>
              <w:rPr>
                <w:rFonts w:ascii="Times New Roman" w:hAnsi="Times New Roman" w:eastAsiaTheme="minorEastAsia"/>
                <w:color w:val="auto"/>
                <w:w w:val="99"/>
                <w:szCs w:val="21"/>
                <w:highlight w:val="none"/>
              </w:rPr>
            </w:pPr>
          </w:p>
        </w:tc>
        <w:tc>
          <w:tcPr>
            <w:tcW w:w="292" w:type="pct"/>
            <w:vMerge w:val="continue"/>
            <w:vAlign w:val="center"/>
          </w:tcPr>
          <w:p w14:paraId="0E125B7E">
            <w:pPr>
              <w:pStyle w:val="41"/>
              <w:shd w:val="clear"/>
              <w:spacing w:line="320" w:lineRule="exact"/>
              <w:jc w:val="center"/>
              <w:rPr>
                <w:rFonts w:ascii="Times New Roman" w:hAnsi="Times New Roman" w:eastAsiaTheme="minorEastAsia"/>
                <w:color w:val="auto"/>
                <w:w w:val="99"/>
                <w:szCs w:val="21"/>
                <w:highlight w:val="none"/>
              </w:rPr>
            </w:pPr>
          </w:p>
        </w:tc>
      </w:tr>
      <w:tr w14:paraId="1F2A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9" w:type="pct"/>
            <w:vMerge w:val="restart"/>
            <w:vAlign w:val="center"/>
          </w:tcPr>
          <w:p w14:paraId="3D465D55">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生物群落</w:t>
            </w:r>
          </w:p>
        </w:tc>
        <w:tc>
          <w:tcPr>
            <w:tcW w:w="531" w:type="pct"/>
            <w:vMerge w:val="restart"/>
            <w:vAlign w:val="center"/>
          </w:tcPr>
          <w:p w14:paraId="2CD5E8FF">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物种组成、群落结构</w:t>
            </w:r>
          </w:p>
        </w:tc>
        <w:tc>
          <w:tcPr>
            <w:tcW w:w="1979" w:type="dxa"/>
            <w:shd w:val="clear" w:color="auto" w:fill="auto"/>
            <w:vAlign w:val="center"/>
          </w:tcPr>
          <w:p w14:paraId="65C26E43">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井场、</w:t>
            </w:r>
            <w:r>
              <w:rPr>
                <w:rFonts w:hint="eastAsia" w:ascii="Times New Roman" w:hAnsi="Times New Roman" w:eastAsiaTheme="minorEastAsia"/>
                <w:color w:val="auto"/>
                <w:w w:val="99"/>
                <w:szCs w:val="21"/>
                <w:highlight w:val="none"/>
                <w:lang w:val="en-US" w:eastAsia="zh-CN"/>
              </w:rPr>
              <w:t>放空池、改建站场、新建道路永久占地产生的直接影响、间接生态影响</w:t>
            </w:r>
          </w:p>
        </w:tc>
        <w:tc>
          <w:tcPr>
            <w:tcW w:w="562" w:type="pct"/>
            <w:shd w:val="clear" w:color="auto" w:fill="auto"/>
            <w:vAlign w:val="center"/>
          </w:tcPr>
          <w:p w14:paraId="72BD3D0B">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永久占地长期不可逆</w:t>
            </w:r>
          </w:p>
        </w:tc>
        <w:tc>
          <w:tcPr>
            <w:tcW w:w="347" w:type="pct"/>
            <w:shd w:val="clear" w:color="auto" w:fill="auto"/>
            <w:vAlign w:val="center"/>
          </w:tcPr>
          <w:p w14:paraId="0B9F6BE6">
            <w:pPr>
              <w:pStyle w:val="41"/>
              <w:shd w:val="clear"/>
              <w:spacing w:line="320" w:lineRule="exact"/>
              <w:jc w:val="center"/>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中</w:t>
            </w:r>
          </w:p>
        </w:tc>
        <w:tc>
          <w:tcPr>
            <w:tcW w:w="460" w:type="pct"/>
            <w:vMerge w:val="restart"/>
            <w:vAlign w:val="center"/>
          </w:tcPr>
          <w:p w14:paraId="18823198">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354" w:type="pct"/>
            <w:vMerge w:val="restart"/>
            <w:vAlign w:val="center"/>
          </w:tcPr>
          <w:p w14:paraId="232C15C4">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318" w:type="pct"/>
            <w:vMerge w:val="restart"/>
            <w:vAlign w:val="center"/>
          </w:tcPr>
          <w:p w14:paraId="73E3619B">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460" w:type="pct"/>
            <w:vMerge w:val="restart"/>
            <w:vAlign w:val="center"/>
          </w:tcPr>
          <w:p w14:paraId="1621265E">
            <w:pPr>
              <w:pStyle w:val="41"/>
              <w:shd w:val="clear"/>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lang w:val="en-US" w:eastAsia="zh-CN"/>
              </w:rPr>
              <w:t>临时占地导致的直接影响</w:t>
            </w:r>
          </w:p>
        </w:tc>
        <w:tc>
          <w:tcPr>
            <w:tcW w:w="354" w:type="pct"/>
            <w:vMerge w:val="restart"/>
            <w:shd w:val="clear" w:color="auto" w:fill="auto"/>
            <w:vAlign w:val="center"/>
          </w:tcPr>
          <w:p w14:paraId="52186F6C">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短期影响</w:t>
            </w:r>
          </w:p>
        </w:tc>
        <w:tc>
          <w:tcPr>
            <w:tcW w:w="292" w:type="pct"/>
            <w:vMerge w:val="restart"/>
            <w:shd w:val="clear" w:color="auto" w:fill="auto"/>
            <w:vAlign w:val="center"/>
          </w:tcPr>
          <w:p w14:paraId="32C7CE5E">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r>
      <w:tr w14:paraId="2E47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vAlign w:val="center"/>
          </w:tcPr>
          <w:p w14:paraId="22BF4031">
            <w:pPr>
              <w:pStyle w:val="41"/>
              <w:shd w:val="clear"/>
              <w:spacing w:line="320" w:lineRule="exact"/>
              <w:jc w:val="center"/>
              <w:rPr>
                <w:rFonts w:ascii="Times New Roman" w:hAnsi="Times New Roman" w:eastAsiaTheme="minorEastAsia"/>
                <w:color w:val="auto"/>
                <w:w w:val="99"/>
                <w:szCs w:val="21"/>
                <w:highlight w:val="none"/>
              </w:rPr>
            </w:pPr>
          </w:p>
        </w:tc>
        <w:tc>
          <w:tcPr>
            <w:tcW w:w="531" w:type="pct"/>
            <w:vMerge w:val="continue"/>
            <w:vAlign w:val="center"/>
          </w:tcPr>
          <w:p w14:paraId="14B21B8E">
            <w:pPr>
              <w:pStyle w:val="41"/>
              <w:shd w:val="clear"/>
              <w:spacing w:line="320" w:lineRule="exact"/>
              <w:jc w:val="center"/>
              <w:rPr>
                <w:rFonts w:ascii="Times New Roman" w:hAnsi="Times New Roman" w:eastAsiaTheme="minorEastAsia"/>
                <w:color w:val="auto"/>
                <w:w w:val="99"/>
                <w:szCs w:val="21"/>
                <w:highlight w:val="none"/>
              </w:rPr>
            </w:pPr>
          </w:p>
        </w:tc>
        <w:tc>
          <w:tcPr>
            <w:tcW w:w="1979" w:type="dxa"/>
            <w:shd w:val="clear" w:color="auto" w:fill="auto"/>
            <w:vAlign w:val="center"/>
          </w:tcPr>
          <w:p w14:paraId="2DB974FD">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管线开挖过程临时占地产生的直接影响</w:t>
            </w:r>
          </w:p>
        </w:tc>
        <w:tc>
          <w:tcPr>
            <w:tcW w:w="562" w:type="pct"/>
            <w:shd w:val="clear" w:color="auto" w:fill="auto"/>
            <w:vAlign w:val="center"/>
          </w:tcPr>
          <w:p w14:paraId="06D64274">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临时占地短期可逆</w:t>
            </w:r>
          </w:p>
        </w:tc>
        <w:tc>
          <w:tcPr>
            <w:tcW w:w="347" w:type="pct"/>
            <w:shd w:val="clear" w:color="auto" w:fill="auto"/>
            <w:vAlign w:val="center"/>
          </w:tcPr>
          <w:p w14:paraId="01D692B7">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c>
          <w:tcPr>
            <w:tcW w:w="460" w:type="pct"/>
            <w:vMerge w:val="continue"/>
            <w:vAlign w:val="center"/>
          </w:tcPr>
          <w:p w14:paraId="2C1D6241">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6E94CA59">
            <w:pPr>
              <w:pStyle w:val="41"/>
              <w:shd w:val="clear"/>
              <w:spacing w:line="320" w:lineRule="exact"/>
              <w:jc w:val="center"/>
              <w:rPr>
                <w:rFonts w:ascii="Times New Roman" w:hAnsi="Times New Roman" w:eastAsiaTheme="minorEastAsia"/>
                <w:color w:val="auto"/>
                <w:w w:val="99"/>
                <w:szCs w:val="21"/>
                <w:highlight w:val="none"/>
              </w:rPr>
            </w:pPr>
          </w:p>
        </w:tc>
        <w:tc>
          <w:tcPr>
            <w:tcW w:w="318" w:type="pct"/>
            <w:vMerge w:val="continue"/>
            <w:vAlign w:val="center"/>
          </w:tcPr>
          <w:p w14:paraId="6FEFF8A9">
            <w:pPr>
              <w:pStyle w:val="41"/>
              <w:shd w:val="clear"/>
              <w:spacing w:line="320" w:lineRule="exact"/>
              <w:jc w:val="center"/>
              <w:rPr>
                <w:rFonts w:ascii="Times New Roman" w:hAnsi="Times New Roman" w:eastAsiaTheme="minorEastAsia"/>
                <w:color w:val="auto"/>
                <w:w w:val="99"/>
                <w:szCs w:val="21"/>
                <w:highlight w:val="none"/>
              </w:rPr>
            </w:pPr>
          </w:p>
        </w:tc>
        <w:tc>
          <w:tcPr>
            <w:tcW w:w="460" w:type="pct"/>
            <w:vMerge w:val="continue"/>
            <w:vAlign w:val="center"/>
          </w:tcPr>
          <w:p w14:paraId="42F61E1C">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4FD781E8">
            <w:pPr>
              <w:pStyle w:val="41"/>
              <w:shd w:val="clear"/>
              <w:spacing w:line="320" w:lineRule="exact"/>
              <w:jc w:val="center"/>
              <w:rPr>
                <w:rFonts w:ascii="Times New Roman" w:hAnsi="Times New Roman" w:eastAsiaTheme="minorEastAsia"/>
                <w:color w:val="auto"/>
                <w:w w:val="99"/>
                <w:szCs w:val="21"/>
                <w:highlight w:val="none"/>
              </w:rPr>
            </w:pPr>
          </w:p>
        </w:tc>
        <w:tc>
          <w:tcPr>
            <w:tcW w:w="292" w:type="pct"/>
            <w:vMerge w:val="continue"/>
            <w:vAlign w:val="center"/>
          </w:tcPr>
          <w:p w14:paraId="15547474">
            <w:pPr>
              <w:pStyle w:val="41"/>
              <w:shd w:val="clear"/>
              <w:spacing w:line="320" w:lineRule="exact"/>
              <w:jc w:val="center"/>
              <w:rPr>
                <w:rFonts w:ascii="Times New Roman" w:hAnsi="Times New Roman" w:eastAsiaTheme="minorEastAsia"/>
                <w:color w:val="auto"/>
                <w:w w:val="99"/>
                <w:szCs w:val="21"/>
                <w:highlight w:val="none"/>
              </w:rPr>
            </w:pPr>
          </w:p>
        </w:tc>
      </w:tr>
      <w:tr w14:paraId="4E39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vAlign w:val="center"/>
          </w:tcPr>
          <w:p w14:paraId="30C9190D">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生态系统</w:t>
            </w:r>
          </w:p>
        </w:tc>
        <w:tc>
          <w:tcPr>
            <w:tcW w:w="531" w:type="pct"/>
            <w:vMerge w:val="restart"/>
            <w:vAlign w:val="center"/>
          </w:tcPr>
          <w:p w14:paraId="58891907">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ascii="Times New Roman" w:hAnsi="Times New Roman" w:eastAsiaTheme="minorEastAsia"/>
                <w:color w:val="auto"/>
                <w:w w:val="99"/>
                <w:szCs w:val="21"/>
                <w:highlight w:val="none"/>
              </w:rPr>
              <w:t>植被覆盖度、生产力、生物量、生态系统功能</w:t>
            </w:r>
          </w:p>
        </w:tc>
        <w:tc>
          <w:tcPr>
            <w:tcW w:w="1979" w:type="dxa"/>
            <w:shd w:val="clear" w:color="auto" w:fill="auto"/>
            <w:vAlign w:val="center"/>
          </w:tcPr>
          <w:p w14:paraId="596D5F4D">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井场、</w:t>
            </w:r>
            <w:r>
              <w:rPr>
                <w:rFonts w:hint="eastAsia" w:ascii="Times New Roman" w:hAnsi="Times New Roman" w:eastAsiaTheme="minorEastAsia"/>
                <w:color w:val="auto"/>
                <w:w w:val="99"/>
                <w:szCs w:val="21"/>
                <w:highlight w:val="none"/>
                <w:lang w:val="en-US" w:eastAsia="zh-CN"/>
              </w:rPr>
              <w:t>放空池、改建站场、新建道路永久占地产生的直接影响、间接生态影响</w:t>
            </w:r>
          </w:p>
        </w:tc>
        <w:tc>
          <w:tcPr>
            <w:tcW w:w="562" w:type="pct"/>
            <w:shd w:val="clear" w:color="auto" w:fill="auto"/>
            <w:vAlign w:val="center"/>
          </w:tcPr>
          <w:p w14:paraId="3FE11F40">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永久占地长期不可逆</w:t>
            </w:r>
          </w:p>
        </w:tc>
        <w:tc>
          <w:tcPr>
            <w:tcW w:w="347" w:type="pct"/>
            <w:shd w:val="clear" w:color="auto" w:fill="auto"/>
            <w:vAlign w:val="center"/>
          </w:tcPr>
          <w:p w14:paraId="52ECC9BC">
            <w:pPr>
              <w:pStyle w:val="41"/>
              <w:shd w:val="clear"/>
              <w:spacing w:line="320" w:lineRule="exact"/>
              <w:jc w:val="center"/>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中</w:t>
            </w:r>
          </w:p>
        </w:tc>
        <w:tc>
          <w:tcPr>
            <w:tcW w:w="460" w:type="pct"/>
            <w:vMerge w:val="restart"/>
            <w:vAlign w:val="center"/>
          </w:tcPr>
          <w:p w14:paraId="06FE8648">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354" w:type="pct"/>
            <w:vMerge w:val="restart"/>
            <w:vAlign w:val="center"/>
          </w:tcPr>
          <w:p w14:paraId="221D738B">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318" w:type="pct"/>
            <w:vMerge w:val="restart"/>
            <w:vAlign w:val="center"/>
          </w:tcPr>
          <w:p w14:paraId="27897677">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460" w:type="pct"/>
            <w:vMerge w:val="restart"/>
            <w:vAlign w:val="center"/>
          </w:tcPr>
          <w:p w14:paraId="11AEDA0A">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临时占地、开挖导致的直接影响</w:t>
            </w:r>
          </w:p>
        </w:tc>
        <w:tc>
          <w:tcPr>
            <w:tcW w:w="354" w:type="pct"/>
            <w:vMerge w:val="restart"/>
            <w:shd w:val="clear" w:color="auto" w:fill="auto"/>
            <w:vAlign w:val="center"/>
          </w:tcPr>
          <w:p w14:paraId="06CE9673">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短期影响</w:t>
            </w:r>
          </w:p>
        </w:tc>
        <w:tc>
          <w:tcPr>
            <w:tcW w:w="292" w:type="pct"/>
            <w:vMerge w:val="restart"/>
            <w:shd w:val="clear" w:color="auto" w:fill="auto"/>
            <w:vAlign w:val="center"/>
          </w:tcPr>
          <w:p w14:paraId="2FA2E6D8">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r>
      <w:tr w14:paraId="340A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vAlign w:val="center"/>
          </w:tcPr>
          <w:p w14:paraId="01769370">
            <w:pPr>
              <w:pStyle w:val="41"/>
              <w:shd w:val="clear"/>
              <w:spacing w:line="320" w:lineRule="exact"/>
              <w:jc w:val="center"/>
              <w:rPr>
                <w:rFonts w:ascii="Times New Roman" w:hAnsi="Times New Roman" w:eastAsiaTheme="minorEastAsia"/>
                <w:color w:val="auto"/>
                <w:w w:val="99"/>
                <w:szCs w:val="21"/>
                <w:highlight w:val="none"/>
              </w:rPr>
            </w:pPr>
          </w:p>
        </w:tc>
        <w:tc>
          <w:tcPr>
            <w:tcW w:w="531" w:type="pct"/>
            <w:vMerge w:val="continue"/>
            <w:vAlign w:val="center"/>
          </w:tcPr>
          <w:p w14:paraId="5E1F01EB">
            <w:pPr>
              <w:pStyle w:val="41"/>
              <w:shd w:val="clear"/>
              <w:spacing w:line="320" w:lineRule="exact"/>
              <w:jc w:val="center"/>
              <w:rPr>
                <w:rFonts w:ascii="Times New Roman" w:hAnsi="Times New Roman" w:eastAsiaTheme="minorEastAsia"/>
                <w:color w:val="auto"/>
                <w:w w:val="99"/>
                <w:szCs w:val="21"/>
                <w:highlight w:val="none"/>
              </w:rPr>
            </w:pPr>
          </w:p>
        </w:tc>
        <w:tc>
          <w:tcPr>
            <w:tcW w:w="1979" w:type="dxa"/>
            <w:shd w:val="clear" w:color="auto" w:fill="auto"/>
            <w:vAlign w:val="center"/>
          </w:tcPr>
          <w:p w14:paraId="10DA31E4">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管线开挖过程临时占地产生的直接影响</w:t>
            </w:r>
          </w:p>
        </w:tc>
        <w:tc>
          <w:tcPr>
            <w:tcW w:w="562" w:type="pct"/>
            <w:shd w:val="clear" w:color="auto" w:fill="auto"/>
            <w:vAlign w:val="center"/>
          </w:tcPr>
          <w:p w14:paraId="17DA160B">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临时占地短期可逆</w:t>
            </w:r>
          </w:p>
        </w:tc>
        <w:tc>
          <w:tcPr>
            <w:tcW w:w="347" w:type="pct"/>
            <w:shd w:val="clear" w:color="auto" w:fill="auto"/>
            <w:vAlign w:val="center"/>
          </w:tcPr>
          <w:p w14:paraId="7EBAD076">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c>
          <w:tcPr>
            <w:tcW w:w="460" w:type="pct"/>
            <w:vMerge w:val="continue"/>
            <w:vAlign w:val="center"/>
          </w:tcPr>
          <w:p w14:paraId="1DBB066E">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237CB3A2">
            <w:pPr>
              <w:pStyle w:val="41"/>
              <w:shd w:val="clear"/>
              <w:spacing w:line="320" w:lineRule="exact"/>
              <w:jc w:val="center"/>
              <w:rPr>
                <w:rFonts w:ascii="Times New Roman" w:hAnsi="Times New Roman" w:eastAsiaTheme="minorEastAsia"/>
                <w:color w:val="auto"/>
                <w:w w:val="99"/>
                <w:szCs w:val="21"/>
                <w:highlight w:val="none"/>
              </w:rPr>
            </w:pPr>
          </w:p>
        </w:tc>
        <w:tc>
          <w:tcPr>
            <w:tcW w:w="318" w:type="pct"/>
            <w:vMerge w:val="continue"/>
            <w:vAlign w:val="center"/>
          </w:tcPr>
          <w:p w14:paraId="0E7DAC5D">
            <w:pPr>
              <w:pStyle w:val="41"/>
              <w:shd w:val="clear"/>
              <w:spacing w:line="320" w:lineRule="exact"/>
              <w:jc w:val="center"/>
              <w:rPr>
                <w:rFonts w:ascii="Times New Roman" w:hAnsi="Times New Roman" w:eastAsiaTheme="minorEastAsia"/>
                <w:color w:val="auto"/>
                <w:w w:val="99"/>
                <w:szCs w:val="21"/>
                <w:highlight w:val="none"/>
              </w:rPr>
            </w:pPr>
          </w:p>
        </w:tc>
        <w:tc>
          <w:tcPr>
            <w:tcW w:w="460" w:type="pct"/>
            <w:vMerge w:val="continue"/>
            <w:vAlign w:val="center"/>
          </w:tcPr>
          <w:p w14:paraId="330BDE9D">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7B30BB1D">
            <w:pPr>
              <w:pStyle w:val="41"/>
              <w:shd w:val="clear"/>
              <w:spacing w:line="320" w:lineRule="exact"/>
              <w:jc w:val="center"/>
              <w:rPr>
                <w:rFonts w:ascii="Times New Roman" w:hAnsi="Times New Roman" w:eastAsiaTheme="minorEastAsia"/>
                <w:color w:val="auto"/>
                <w:w w:val="99"/>
                <w:szCs w:val="21"/>
                <w:highlight w:val="none"/>
              </w:rPr>
            </w:pPr>
          </w:p>
        </w:tc>
        <w:tc>
          <w:tcPr>
            <w:tcW w:w="292" w:type="pct"/>
            <w:vMerge w:val="continue"/>
            <w:vAlign w:val="center"/>
          </w:tcPr>
          <w:p w14:paraId="665B9070">
            <w:pPr>
              <w:pStyle w:val="41"/>
              <w:shd w:val="clear"/>
              <w:spacing w:line="320" w:lineRule="exact"/>
              <w:jc w:val="center"/>
              <w:rPr>
                <w:rFonts w:ascii="Times New Roman" w:hAnsi="Times New Roman" w:eastAsiaTheme="minorEastAsia"/>
                <w:color w:val="auto"/>
                <w:w w:val="99"/>
                <w:szCs w:val="21"/>
                <w:highlight w:val="none"/>
              </w:rPr>
            </w:pPr>
          </w:p>
        </w:tc>
      </w:tr>
      <w:tr w14:paraId="3681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vAlign w:val="center"/>
          </w:tcPr>
          <w:p w14:paraId="39EF0772">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生物多样性</w:t>
            </w:r>
          </w:p>
        </w:tc>
        <w:tc>
          <w:tcPr>
            <w:tcW w:w="531" w:type="pct"/>
            <w:vMerge w:val="restart"/>
            <w:vAlign w:val="center"/>
          </w:tcPr>
          <w:p w14:paraId="71CA09EC">
            <w:pPr>
              <w:pStyle w:val="41"/>
              <w:shd w:val="clear"/>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物种丰富度、均匀度、优势度</w:t>
            </w:r>
          </w:p>
        </w:tc>
        <w:tc>
          <w:tcPr>
            <w:tcW w:w="1979" w:type="dxa"/>
            <w:shd w:val="clear" w:color="auto" w:fill="auto"/>
            <w:vAlign w:val="center"/>
          </w:tcPr>
          <w:p w14:paraId="0D1D9101">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井场、</w:t>
            </w:r>
            <w:r>
              <w:rPr>
                <w:rFonts w:hint="eastAsia" w:ascii="Times New Roman" w:hAnsi="Times New Roman" w:eastAsiaTheme="minorEastAsia"/>
                <w:color w:val="auto"/>
                <w:w w:val="99"/>
                <w:szCs w:val="21"/>
                <w:highlight w:val="none"/>
                <w:lang w:val="en-US" w:eastAsia="zh-CN"/>
              </w:rPr>
              <w:t>放空池、改建站场、新建道路永久占地产生的直接影响、间接生态影响</w:t>
            </w:r>
          </w:p>
        </w:tc>
        <w:tc>
          <w:tcPr>
            <w:tcW w:w="562" w:type="pct"/>
            <w:shd w:val="clear" w:color="auto" w:fill="auto"/>
            <w:vAlign w:val="center"/>
          </w:tcPr>
          <w:p w14:paraId="7EFF7ABE">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永久占地长期不可逆</w:t>
            </w:r>
          </w:p>
        </w:tc>
        <w:tc>
          <w:tcPr>
            <w:tcW w:w="347" w:type="pct"/>
            <w:shd w:val="clear" w:color="auto" w:fill="auto"/>
            <w:vAlign w:val="center"/>
          </w:tcPr>
          <w:p w14:paraId="07F3C97F">
            <w:pPr>
              <w:pStyle w:val="41"/>
              <w:shd w:val="clear"/>
              <w:spacing w:line="320" w:lineRule="exact"/>
              <w:jc w:val="center"/>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中</w:t>
            </w:r>
          </w:p>
        </w:tc>
        <w:tc>
          <w:tcPr>
            <w:tcW w:w="460" w:type="pct"/>
            <w:vMerge w:val="restart"/>
            <w:vAlign w:val="center"/>
          </w:tcPr>
          <w:p w14:paraId="0FC962B4">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354" w:type="pct"/>
            <w:vMerge w:val="restart"/>
            <w:vAlign w:val="center"/>
          </w:tcPr>
          <w:p w14:paraId="78715D81">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318" w:type="pct"/>
            <w:vMerge w:val="restart"/>
            <w:vAlign w:val="center"/>
          </w:tcPr>
          <w:p w14:paraId="6EE3EEB0">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460" w:type="pct"/>
            <w:vMerge w:val="restart"/>
            <w:vAlign w:val="center"/>
          </w:tcPr>
          <w:p w14:paraId="02FD7948">
            <w:pPr>
              <w:pStyle w:val="41"/>
              <w:shd w:val="clear"/>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lang w:val="en-US" w:eastAsia="zh-CN"/>
              </w:rPr>
              <w:t>临时占地导致的直接影响</w:t>
            </w:r>
          </w:p>
        </w:tc>
        <w:tc>
          <w:tcPr>
            <w:tcW w:w="354" w:type="pct"/>
            <w:vMerge w:val="restart"/>
            <w:shd w:val="clear" w:color="auto" w:fill="auto"/>
            <w:vAlign w:val="center"/>
          </w:tcPr>
          <w:p w14:paraId="7A61D20C">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短期影响</w:t>
            </w:r>
          </w:p>
        </w:tc>
        <w:tc>
          <w:tcPr>
            <w:tcW w:w="292" w:type="pct"/>
            <w:vMerge w:val="restart"/>
            <w:shd w:val="clear" w:color="auto" w:fill="auto"/>
            <w:vAlign w:val="center"/>
          </w:tcPr>
          <w:p w14:paraId="50EDDAA0">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r>
      <w:tr w14:paraId="6F9C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continue"/>
            <w:vAlign w:val="center"/>
          </w:tcPr>
          <w:p w14:paraId="2A81E518">
            <w:pPr>
              <w:pStyle w:val="41"/>
              <w:shd w:val="clear"/>
              <w:spacing w:line="320" w:lineRule="exact"/>
              <w:jc w:val="center"/>
              <w:rPr>
                <w:rFonts w:ascii="Times New Roman" w:hAnsi="Times New Roman" w:eastAsiaTheme="minorEastAsia"/>
                <w:color w:val="auto"/>
                <w:w w:val="99"/>
                <w:szCs w:val="21"/>
                <w:highlight w:val="none"/>
              </w:rPr>
            </w:pPr>
          </w:p>
        </w:tc>
        <w:tc>
          <w:tcPr>
            <w:tcW w:w="531" w:type="pct"/>
            <w:vMerge w:val="continue"/>
            <w:vAlign w:val="center"/>
          </w:tcPr>
          <w:p w14:paraId="4F31996D">
            <w:pPr>
              <w:pStyle w:val="41"/>
              <w:shd w:val="clear"/>
              <w:spacing w:line="320" w:lineRule="exact"/>
              <w:jc w:val="center"/>
              <w:rPr>
                <w:rFonts w:ascii="Times New Roman" w:hAnsi="Times New Roman" w:eastAsiaTheme="minorEastAsia"/>
                <w:color w:val="auto"/>
                <w:w w:val="99"/>
                <w:szCs w:val="21"/>
                <w:highlight w:val="none"/>
              </w:rPr>
            </w:pPr>
          </w:p>
        </w:tc>
        <w:tc>
          <w:tcPr>
            <w:tcW w:w="1979" w:type="dxa"/>
            <w:shd w:val="clear" w:color="auto" w:fill="auto"/>
            <w:vAlign w:val="center"/>
          </w:tcPr>
          <w:p w14:paraId="07BD9EBE">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管线开挖过程临时占地产生的直接影响</w:t>
            </w:r>
          </w:p>
        </w:tc>
        <w:tc>
          <w:tcPr>
            <w:tcW w:w="562" w:type="pct"/>
            <w:shd w:val="clear" w:color="auto" w:fill="auto"/>
            <w:vAlign w:val="center"/>
          </w:tcPr>
          <w:p w14:paraId="13FDC2A5">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临时占地短期可逆</w:t>
            </w:r>
          </w:p>
        </w:tc>
        <w:tc>
          <w:tcPr>
            <w:tcW w:w="347" w:type="pct"/>
            <w:shd w:val="clear" w:color="auto" w:fill="auto"/>
            <w:vAlign w:val="center"/>
          </w:tcPr>
          <w:p w14:paraId="6C8915A4">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c>
          <w:tcPr>
            <w:tcW w:w="460" w:type="pct"/>
            <w:vMerge w:val="continue"/>
            <w:vAlign w:val="center"/>
          </w:tcPr>
          <w:p w14:paraId="1E66D940">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4CD3FE0E">
            <w:pPr>
              <w:pStyle w:val="41"/>
              <w:shd w:val="clear"/>
              <w:spacing w:line="320" w:lineRule="exact"/>
              <w:jc w:val="center"/>
              <w:rPr>
                <w:rFonts w:ascii="Times New Roman" w:hAnsi="Times New Roman" w:eastAsiaTheme="minorEastAsia"/>
                <w:color w:val="auto"/>
                <w:w w:val="99"/>
                <w:szCs w:val="21"/>
                <w:highlight w:val="none"/>
              </w:rPr>
            </w:pPr>
          </w:p>
        </w:tc>
        <w:tc>
          <w:tcPr>
            <w:tcW w:w="318" w:type="pct"/>
            <w:vMerge w:val="continue"/>
            <w:vAlign w:val="center"/>
          </w:tcPr>
          <w:p w14:paraId="60298157">
            <w:pPr>
              <w:pStyle w:val="41"/>
              <w:shd w:val="clear"/>
              <w:spacing w:line="320" w:lineRule="exact"/>
              <w:jc w:val="center"/>
              <w:rPr>
                <w:rFonts w:ascii="Times New Roman" w:hAnsi="Times New Roman" w:eastAsiaTheme="minorEastAsia"/>
                <w:color w:val="auto"/>
                <w:w w:val="99"/>
                <w:szCs w:val="21"/>
                <w:highlight w:val="none"/>
              </w:rPr>
            </w:pPr>
          </w:p>
        </w:tc>
        <w:tc>
          <w:tcPr>
            <w:tcW w:w="460" w:type="pct"/>
            <w:vMerge w:val="continue"/>
            <w:vAlign w:val="center"/>
          </w:tcPr>
          <w:p w14:paraId="7A0004E9">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2522548F">
            <w:pPr>
              <w:pStyle w:val="41"/>
              <w:shd w:val="clear"/>
              <w:spacing w:line="320" w:lineRule="exact"/>
              <w:jc w:val="center"/>
              <w:rPr>
                <w:rFonts w:ascii="Times New Roman" w:hAnsi="Times New Roman" w:eastAsiaTheme="minorEastAsia"/>
                <w:color w:val="auto"/>
                <w:w w:val="99"/>
                <w:szCs w:val="21"/>
                <w:highlight w:val="none"/>
              </w:rPr>
            </w:pPr>
          </w:p>
        </w:tc>
        <w:tc>
          <w:tcPr>
            <w:tcW w:w="292" w:type="pct"/>
            <w:vMerge w:val="continue"/>
            <w:vAlign w:val="center"/>
          </w:tcPr>
          <w:p w14:paraId="190C182A">
            <w:pPr>
              <w:pStyle w:val="41"/>
              <w:shd w:val="clear"/>
              <w:spacing w:line="320" w:lineRule="exact"/>
              <w:jc w:val="center"/>
              <w:rPr>
                <w:rFonts w:ascii="Times New Roman" w:hAnsi="Times New Roman" w:eastAsiaTheme="minorEastAsia"/>
                <w:color w:val="auto"/>
                <w:w w:val="99"/>
                <w:szCs w:val="21"/>
                <w:highlight w:val="none"/>
              </w:rPr>
            </w:pPr>
          </w:p>
        </w:tc>
      </w:tr>
      <w:tr w14:paraId="162F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vAlign w:val="center"/>
          </w:tcPr>
          <w:p w14:paraId="0954591E">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生态敏感区</w:t>
            </w:r>
          </w:p>
        </w:tc>
        <w:tc>
          <w:tcPr>
            <w:tcW w:w="531" w:type="pct"/>
            <w:vMerge w:val="restart"/>
            <w:vAlign w:val="center"/>
          </w:tcPr>
          <w:p w14:paraId="35249CE5">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主要保护对象、生态功能等</w:t>
            </w:r>
          </w:p>
        </w:tc>
        <w:tc>
          <w:tcPr>
            <w:tcW w:w="1979" w:type="dxa"/>
            <w:shd w:val="clear" w:color="auto" w:fill="auto"/>
            <w:vAlign w:val="center"/>
          </w:tcPr>
          <w:p w14:paraId="6DB4CCFC">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井场、</w:t>
            </w:r>
            <w:r>
              <w:rPr>
                <w:rFonts w:hint="eastAsia" w:ascii="Times New Roman" w:hAnsi="Times New Roman" w:eastAsiaTheme="minorEastAsia"/>
                <w:color w:val="auto"/>
                <w:w w:val="99"/>
                <w:szCs w:val="21"/>
                <w:highlight w:val="none"/>
                <w:lang w:val="en-US" w:eastAsia="zh-CN"/>
              </w:rPr>
              <w:t>放空池、改建站场、新建道路永久占地产生的直接影响、间接生态影响</w:t>
            </w:r>
          </w:p>
        </w:tc>
        <w:tc>
          <w:tcPr>
            <w:tcW w:w="562" w:type="pct"/>
            <w:shd w:val="clear" w:color="auto" w:fill="auto"/>
            <w:vAlign w:val="center"/>
          </w:tcPr>
          <w:p w14:paraId="1444126B">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永久占地长期不可逆</w:t>
            </w:r>
          </w:p>
        </w:tc>
        <w:tc>
          <w:tcPr>
            <w:tcW w:w="347" w:type="pct"/>
            <w:shd w:val="clear" w:color="auto" w:fill="auto"/>
            <w:vAlign w:val="center"/>
          </w:tcPr>
          <w:p w14:paraId="3EB64F6B">
            <w:pPr>
              <w:pStyle w:val="41"/>
              <w:shd w:val="clear"/>
              <w:spacing w:line="320" w:lineRule="exact"/>
              <w:jc w:val="center"/>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中</w:t>
            </w:r>
          </w:p>
        </w:tc>
        <w:tc>
          <w:tcPr>
            <w:tcW w:w="460" w:type="pct"/>
            <w:vMerge w:val="restart"/>
            <w:vAlign w:val="center"/>
          </w:tcPr>
          <w:p w14:paraId="7EDCCEA5">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354" w:type="pct"/>
            <w:vMerge w:val="restart"/>
            <w:vAlign w:val="center"/>
          </w:tcPr>
          <w:p w14:paraId="0C93F507">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318" w:type="pct"/>
            <w:vMerge w:val="restart"/>
            <w:vAlign w:val="center"/>
          </w:tcPr>
          <w:p w14:paraId="6E555C0D">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w:t>
            </w:r>
          </w:p>
        </w:tc>
        <w:tc>
          <w:tcPr>
            <w:tcW w:w="460" w:type="pct"/>
            <w:vMerge w:val="restart"/>
            <w:vAlign w:val="center"/>
          </w:tcPr>
          <w:p w14:paraId="6A1CB3DF">
            <w:pPr>
              <w:pStyle w:val="41"/>
              <w:shd w:val="clear"/>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lang w:val="en-US" w:eastAsia="zh-CN"/>
              </w:rPr>
              <w:t>临时占地导致的直接影响</w:t>
            </w:r>
          </w:p>
        </w:tc>
        <w:tc>
          <w:tcPr>
            <w:tcW w:w="354" w:type="pct"/>
            <w:vMerge w:val="restart"/>
            <w:shd w:val="clear" w:color="auto" w:fill="auto"/>
            <w:vAlign w:val="center"/>
          </w:tcPr>
          <w:p w14:paraId="0EDA143E">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短期影响</w:t>
            </w:r>
          </w:p>
        </w:tc>
        <w:tc>
          <w:tcPr>
            <w:tcW w:w="292" w:type="pct"/>
            <w:vMerge w:val="restart"/>
            <w:shd w:val="clear" w:color="auto" w:fill="auto"/>
            <w:vAlign w:val="center"/>
          </w:tcPr>
          <w:p w14:paraId="29687D14">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r>
      <w:tr w14:paraId="2CE5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vAlign w:val="center"/>
          </w:tcPr>
          <w:p w14:paraId="1BCE2F8E">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p>
        </w:tc>
        <w:tc>
          <w:tcPr>
            <w:tcW w:w="531" w:type="pct"/>
            <w:vMerge w:val="continue"/>
            <w:vAlign w:val="center"/>
          </w:tcPr>
          <w:p w14:paraId="4BF9BCF4">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p>
        </w:tc>
        <w:tc>
          <w:tcPr>
            <w:tcW w:w="1979" w:type="dxa"/>
            <w:shd w:val="clear" w:color="auto" w:fill="auto"/>
            <w:vAlign w:val="center"/>
          </w:tcPr>
          <w:p w14:paraId="6EE7E97D">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管线开挖过程临时占地产生的直接影响</w:t>
            </w:r>
          </w:p>
        </w:tc>
        <w:tc>
          <w:tcPr>
            <w:tcW w:w="562" w:type="pct"/>
            <w:shd w:val="clear" w:color="auto" w:fill="auto"/>
            <w:vAlign w:val="center"/>
          </w:tcPr>
          <w:p w14:paraId="348A5362">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临时占地短期可逆</w:t>
            </w:r>
          </w:p>
        </w:tc>
        <w:tc>
          <w:tcPr>
            <w:tcW w:w="347" w:type="pct"/>
            <w:shd w:val="clear" w:color="auto" w:fill="auto"/>
            <w:vAlign w:val="center"/>
          </w:tcPr>
          <w:p w14:paraId="2A6E34BD">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c>
          <w:tcPr>
            <w:tcW w:w="460" w:type="pct"/>
            <w:vMerge w:val="continue"/>
            <w:vAlign w:val="center"/>
          </w:tcPr>
          <w:p w14:paraId="7291C57B">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4E3CA7DE">
            <w:pPr>
              <w:pStyle w:val="41"/>
              <w:shd w:val="clear"/>
              <w:spacing w:line="320" w:lineRule="exact"/>
              <w:jc w:val="center"/>
              <w:rPr>
                <w:rFonts w:ascii="Times New Roman" w:hAnsi="Times New Roman" w:eastAsiaTheme="minorEastAsia"/>
                <w:color w:val="auto"/>
                <w:w w:val="99"/>
                <w:szCs w:val="21"/>
                <w:highlight w:val="none"/>
              </w:rPr>
            </w:pPr>
          </w:p>
        </w:tc>
        <w:tc>
          <w:tcPr>
            <w:tcW w:w="318" w:type="pct"/>
            <w:vMerge w:val="continue"/>
            <w:vAlign w:val="center"/>
          </w:tcPr>
          <w:p w14:paraId="492CD323">
            <w:pPr>
              <w:pStyle w:val="41"/>
              <w:shd w:val="clear"/>
              <w:spacing w:line="320" w:lineRule="exact"/>
              <w:jc w:val="center"/>
              <w:rPr>
                <w:rFonts w:ascii="Times New Roman" w:hAnsi="Times New Roman" w:eastAsiaTheme="minorEastAsia"/>
                <w:color w:val="auto"/>
                <w:w w:val="99"/>
                <w:szCs w:val="21"/>
                <w:highlight w:val="none"/>
              </w:rPr>
            </w:pPr>
          </w:p>
        </w:tc>
        <w:tc>
          <w:tcPr>
            <w:tcW w:w="460" w:type="pct"/>
            <w:vMerge w:val="continue"/>
            <w:vAlign w:val="center"/>
          </w:tcPr>
          <w:p w14:paraId="4E1EABF4">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5C631847">
            <w:pPr>
              <w:pStyle w:val="41"/>
              <w:shd w:val="clear"/>
              <w:spacing w:line="320" w:lineRule="exact"/>
              <w:jc w:val="center"/>
              <w:rPr>
                <w:rFonts w:ascii="Times New Roman" w:hAnsi="Times New Roman" w:eastAsiaTheme="minorEastAsia"/>
                <w:color w:val="auto"/>
                <w:w w:val="99"/>
                <w:szCs w:val="21"/>
                <w:highlight w:val="none"/>
              </w:rPr>
            </w:pPr>
          </w:p>
        </w:tc>
        <w:tc>
          <w:tcPr>
            <w:tcW w:w="292" w:type="pct"/>
            <w:vMerge w:val="continue"/>
            <w:vAlign w:val="center"/>
          </w:tcPr>
          <w:p w14:paraId="38313343">
            <w:pPr>
              <w:pStyle w:val="41"/>
              <w:shd w:val="clear"/>
              <w:spacing w:line="320" w:lineRule="exact"/>
              <w:jc w:val="center"/>
              <w:rPr>
                <w:rFonts w:ascii="Times New Roman" w:hAnsi="Times New Roman" w:eastAsiaTheme="minorEastAsia"/>
                <w:color w:val="auto"/>
                <w:w w:val="99"/>
                <w:szCs w:val="21"/>
                <w:highlight w:val="none"/>
              </w:rPr>
            </w:pPr>
          </w:p>
        </w:tc>
      </w:tr>
      <w:tr w14:paraId="3ACD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9" w:type="pct"/>
            <w:vMerge w:val="restart"/>
            <w:vAlign w:val="center"/>
          </w:tcPr>
          <w:p w14:paraId="307C73C1">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自然景观</w:t>
            </w:r>
          </w:p>
        </w:tc>
        <w:tc>
          <w:tcPr>
            <w:tcW w:w="531" w:type="pct"/>
            <w:vMerge w:val="restart"/>
            <w:vAlign w:val="center"/>
          </w:tcPr>
          <w:p w14:paraId="6ADFA4E1">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景观多样性、完整性等</w:t>
            </w:r>
          </w:p>
        </w:tc>
        <w:tc>
          <w:tcPr>
            <w:tcW w:w="1979" w:type="dxa"/>
            <w:shd w:val="clear" w:color="auto" w:fill="auto"/>
            <w:vAlign w:val="center"/>
          </w:tcPr>
          <w:p w14:paraId="6BDCF6F1">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井场、</w:t>
            </w:r>
            <w:r>
              <w:rPr>
                <w:rFonts w:hint="eastAsia" w:ascii="Times New Roman" w:hAnsi="Times New Roman" w:eastAsiaTheme="minorEastAsia"/>
                <w:color w:val="auto"/>
                <w:w w:val="99"/>
                <w:szCs w:val="21"/>
                <w:highlight w:val="none"/>
                <w:lang w:val="en-US" w:eastAsia="zh-CN"/>
              </w:rPr>
              <w:t>放空池、改建站场、新建道路永久占地产生的直接影响、间接生态影响</w:t>
            </w:r>
          </w:p>
        </w:tc>
        <w:tc>
          <w:tcPr>
            <w:tcW w:w="562" w:type="pct"/>
            <w:shd w:val="clear" w:color="auto" w:fill="auto"/>
            <w:vAlign w:val="center"/>
          </w:tcPr>
          <w:p w14:paraId="7A226249">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永久占地长期不可逆</w:t>
            </w:r>
          </w:p>
        </w:tc>
        <w:tc>
          <w:tcPr>
            <w:tcW w:w="347" w:type="pct"/>
            <w:shd w:val="clear" w:color="auto" w:fill="auto"/>
            <w:vAlign w:val="center"/>
          </w:tcPr>
          <w:p w14:paraId="1A42B7DE">
            <w:pPr>
              <w:pStyle w:val="41"/>
              <w:shd w:val="clear"/>
              <w:spacing w:line="320" w:lineRule="exact"/>
              <w:jc w:val="center"/>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中</w:t>
            </w:r>
          </w:p>
        </w:tc>
        <w:tc>
          <w:tcPr>
            <w:tcW w:w="460" w:type="pct"/>
            <w:vMerge w:val="restart"/>
            <w:vAlign w:val="center"/>
          </w:tcPr>
          <w:p w14:paraId="5B41BD5C">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永久占地导致的直接影响</w:t>
            </w:r>
          </w:p>
        </w:tc>
        <w:tc>
          <w:tcPr>
            <w:tcW w:w="354" w:type="pct"/>
            <w:vMerge w:val="restart"/>
            <w:vAlign w:val="center"/>
          </w:tcPr>
          <w:p w14:paraId="05E6A984">
            <w:pPr>
              <w:pStyle w:val="41"/>
              <w:shd w:val="clear"/>
              <w:spacing w:line="320" w:lineRule="exact"/>
              <w:jc w:val="center"/>
              <w:rPr>
                <w:rFonts w:hint="default"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长期影响</w:t>
            </w:r>
          </w:p>
        </w:tc>
        <w:tc>
          <w:tcPr>
            <w:tcW w:w="318" w:type="pct"/>
            <w:vMerge w:val="restart"/>
            <w:vAlign w:val="center"/>
          </w:tcPr>
          <w:p w14:paraId="649D76AD">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r>
              <w:rPr>
                <w:rFonts w:hint="eastAsia" w:ascii="Times New Roman" w:hAnsi="Times New Roman" w:eastAsiaTheme="minorEastAsia"/>
                <w:color w:val="auto"/>
                <w:w w:val="99"/>
                <w:szCs w:val="21"/>
                <w:highlight w:val="none"/>
                <w:lang w:val="en-US" w:eastAsia="zh-CN"/>
              </w:rPr>
              <w:t>弱</w:t>
            </w:r>
          </w:p>
        </w:tc>
        <w:tc>
          <w:tcPr>
            <w:tcW w:w="460" w:type="pct"/>
            <w:vMerge w:val="restart"/>
            <w:vAlign w:val="center"/>
          </w:tcPr>
          <w:p w14:paraId="67839B08">
            <w:pPr>
              <w:pStyle w:val="41"/>
              <w:shd w:val="clear"/>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lang w:val="en-US" w:eastAsia="zh-CN"/>
              </w:rPr>
              <w:t>临时占地导致的直接影响</w:t>
            </w:r>
          </w:p>
        </w:tc>
        <w:tc>
          <w:tcPr>
            <w:tcW w:w="354" w:type="pct"/>
            <w:vMerge w:val="restart"/>
            <w:shd w:val="clear" w:color="auto" w:fill="auto"/>
            <w:vAlign w:val="center"/>
          </w:tcPr>
          <w:p w14:paraId="7EDB30E6">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短期影响</w:t>
            </w:r>
          </w:p>
        </w:tc>
        <w:tc>
          <w:tcPr>
            <w:tcW w:w="292" w:type="pct"/>
            <w:vMerge w:val="restart"/>
            <w:shd w:val="clear" w:color="auto" w:fill="auto"/>
            <w:vAlign w:val="center"/>
          </w:tcPr>
          <w:p w14:paraId="12E5514D">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r>
      <w:tr w14:paraId="6772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vAlign w:val="center"/>
          </w:tcPr>
          <w:p w14:paraId="717FD07A">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p>
        </w:tc>
        <w:tc>
          <w:tcPr>
            <w:tcW w:w="531" w:type="pct"/>
            <w:vMerge w:val="continue"/>
            <w:vAlign w:val="center"/>
          </w:tcPr>
          <w:p w14:paraId="1FA001E0">
            <w:pPr>
              <w:pStyle w:val="41"/>
              <w:shd w:val="clear"/>
              <w:spacing w:line="320" w:lineRule="exact"/>
              <w:jc w:val="center"/>
              <w:rPr>
                <w:rFonts w:hint="eastAsia" w:ascii="Times New Roman" w:hAnsi="Times New Roman" w:eastAsiaTheme="minorEastAsia"/>
                <w:color w:val="auto"/>
                <w:w w:val="99"/>
                <w:szCs w:val="21"/>
                <w:highlight w:val="none"/>
                <w:lang w:val="en-US" w:eastAsia="zh-CN"/>
              </w:rPr>
            </w:pPr>
          </w:p>
        </w:tc>
        <w:tc>
          <w:tcPr>
            <w:tcW w:w="1979" w:type="dxa"/>
            <w:shd w:val="clear" w:color="auto" w:fill="auto"/>
            <w:vAlign w:val="center"/>
          </w:tcPr>
          <w:p w14:paraId="7655341F">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管线开挖过程临时占地产生的直接影响</w:t>
            </w:r>
          </w:p>
        </w:tc>
        <w:tc>
          <w:tcPr>
            <w:tcW w:w="562" w:type="pct"/>
            <w:shd w:val="clear" w:color="auto" w:fill="auto"/>
            <w:vAlign w:val="center"/>
          </w:tcPr>
          <w:p w14:paraId="736F5772">
            <w:pPr>
              <w:pStyle w:val="41"/>
              <w:shd w:val="clea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eastAsiaTheme="minorEastAsia"/>
                <w:color w:val="auto"/>
                <w:w w:val="99"/>
                <w:szCs w:val="21"/>
                <w:highlight w:val="none"/>
              </w:rPr>
              <w:t>临时占地短期可逆</w:t>
            </w:r>
          </w:p>
        </w:tc>
        <w:tc>
          <w:tcPr>
            <w:tcW w:w="347" w:type="pct"/>
            <w:shd w:val="clear" w:color="auto" w:fill="auto"/>
            <w:vAlign w:val="center"/>
          </w:tcPr>
          <w:p w14:paraId="3824EB20">
            <w:pPr>
              <w:pStyle w:val="41"/>
              <w:shd w:val="clea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eastAsiaTheme="minorEastAsia"/>
                <w:color w:val="auto"/>
                <w:w w:val="99"/>
                <w:szCs w:val="21"/>
                <w:highlight w:val="none"/>
                <w:lang w:val="en-US" w:eastAsia="zh-CN"/>
              </w:rPr>
              <w:t>弱</w:t>
            </w:r>
          </w:p>
        </w:tc>
        <w:tc>
          <w:tcPr>
            <w:tcW w:w="460" w:type="pct"/>
            <w:vMerge w:val="continue"/>
            <w:vAlign w:val="center"/>
          </w:tcPr>
          <w:p w14:paraId="4880B250">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2BCA567F">
            <w:pPr>
              <w:pStyle w:val="41"/>
              <w:shd w:val="clear"/>
              <w:spacing w:line="320" w:lineRule="exact"/>
              <w:jc w:val="center"/>
              <w:rPr>
                <w:rFonts w:ascii="Times New Roman" w:hAnsi="Times New Roman" w:eastAsiaTheme="minorEastAsia"/>
                <w:color w:val="auto"/>
                <w:w w:val="99"/>
                <w:szCs w:val="21"/>
                <w:highlight w:val="none"/>
              </w:rPr>
            </w:pPr>
          </w:p>
        </w:tc>
        <w:tc>
          <w:tcPr>
            <w:tcW w:w="318" w:type="pct"/>
            <w:vMerge w:val="continue"/>
            <w:vAlign w:val="center"/>
          </w:tcPr>
          <w:p w14:paraId="376BF122">
            <w:pPr>
              <w:pStyle w:val="41"/>
              <w:shd w:val="clear"/>
              <w:spacing w:line="320" w:lineRule="exact"/>
              <w:jc w:val="center"/>
              <w:rPr>
                <w:rFonts w:ascii="Times New Roman" w:hAnsi="Times New Roman" w:eastAsiaTheme="minorEastAsia"/>
                <w:color w:val="auto"/>
                <w:w w:val="99"/>
                <w:szCs w:val="21"/>
                <w:highlight w:val="none"/>
              </w:rPr>
            </w:pPr>
          </w:p>
        </w:tc>
        <w:tc>
          <w:tcPr>
            <w:tcW w:w="460" w:type="pct"/>
            <w:vMerge w:val="continue"/>
            <w:vAlign w:val="center"/>
          </w:tcPr>
          <w:p w14:paraId="3023E2B8">
            <w:pPr>
              <w:pStyle w:val="41"/>
              <w:shd w:val="clear"/>
              <w:spacing w:line="320" w:lineRule="exact"/>
              <w:jc w:val="center"/>
              <w:rPr>
                <w:rFonts w:ascii="Times New Roman" w:hAnsi="Times New Roman" w:eastAsiaTheme="minorEastAsia"/>
                <w:color w:val="auto"/>
                <w:w w:val="99"/>
                <w:szCs w:val="21"/>
                <w:highlight w:val="none"/>
              </w:rPr>
            </w:pPr>
          </w:p>
        </w:tc>
        <w:tc>
          <w:tcPr>
            <w:tcW w:w="354" w:type="pct"/>
            <w:vMerge w:val="continue"/>
            <w:vAlign w:val="center"/>
          </w:tcPr>
          <w:p w14:paraId="016044AF">
            <w:pPr>
              <w:pStyle w:val="41"/>
              <w:shd w:val="clear"/>
              <w:spacing w:line="320" w:lineRule="exact"/>
              <w:jc w:val="center"/>
              <w:rPr>
                <w:rFonts w:ascii="Times New Roman" w:hAnsi="Times New Roman" w:eastAsiaTheme="minorEastAsia"/>
                <w:color w:val="auto"/>
                <w:w w:val="99"/>
                <w:szCs w:val="21"/>
                <w:highlight w:val="none"/>
              </w:rPr>
            </w:pPr>
          </w:p>
        </w:tc>
        <w:tc>
          <w:tcPr>
            <w:tcW w:w="292" w:type="pct"/>
            <w:vMerge w:val="continue"/>
            <w:vAlign w:val="center"/>
          </w:tcPr>
          <w:p w14:paraId="592432B5">
            <w:pPr>
              <w:pStyle w:val="41"/>
              <w:shd w:val="clear"/>
              <w:spacing w:line="320" w:lineRule="exact"/>
              <w:jc w:val="center"/>
              <w:rPr>
                <w:rFonts w:ascii="Times New Roman" w:hAnsi="Times New Roman" w:eastAsiaTheme="minorEastAsia"/>
                <w:color w:val="auto"/>
                <w:w w:val="99"/>
                <w:szCs w:val="21"/>
                <w:highlight w:val="none"/>
              </w:rPr>
            </w:pPr>
          </w:p>
        </w:tc>
      </w:tr>
    </w:tbl>
    <w:p w14:paraId="5DEF8E5C">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248" w:name="_Toc19439"/>
      <w:r>
        <w:rPr>
          <w:rFonts w:ascii="Times New Roman" w:hAnsi="Times New Roman" w:eastAsia="宋体"/>
          <w:b/>
          <w:snapToGrid w:val="0"/>
          <w:color w:val="auto"/>
          <w:w w:val="99"/>
          <w:highlight w:val="none"/>
        </w:rPr>
        <w:t>2.6评价标准</w:t>
      </w:r>
      <w:bookmarkEnd w:id="248"/>
    </w:p>
    <w:p w14:paraId="4A3547DF">
      <w:pPr>
        <w:pStyle w:val="7"/>
        <w:widowControl w:val="0"/>
        <w:spacing w:before="60" w:after="60" w:line="440" w:lineRule="exact"/>
        <w:jc w:val="both"/>
        <w:rPr>
          <w:rFonts w:eastAsia="宋体"/>
          <w:b/>
          <w:color w:val="auto"/>
          <w:w w:val="99"/>
          <w:kern w:val="2"/>
          <w:sz w:val="24"/>
          <w:szCs w:val="24"/>
          <w:highlight w:val="none"/>
        </w:rPr>
      </w:pPr>
      <w:bookmarkStart w:id="249" w:name="_Toc78816433"/>
      <w:bookmarkStart w:id="250" w:name="_Toc57976647"/>
      <w:bookmarkStart w:id="251" w:name="_Toc80971350"/>
      <w:bookmarkStart w:id="252" w:name="_Toc61597194"/>
      <w:bookmarkStart w:id="253" w:name="_Toc70050148"/>
      <w:bookmarkStart w:id="254" w:name="_Toc17898137"/>
      <w:bookmarkStart w:id="255" w:name="_Toc77067632"/>
      <w:bookmarkStart w:id="256" w:name="_Toc57707892"/>
      <w:bookmarkStart w:id="257" w:name="_Toc83209445"/>
      <w:bookmarkStart w:id="258" w:name="_Toc67860101"/>
      <w:bookmarkStart w:id="259" w:name="_Toc57203222"/>
      <w:bookmarkStart w:id="260" w:name="_Toc76976216"/>
      <w:bookmarkStart w:id="261" w:name="_Toc80588228"/>
      <w:bookmarkStart w:id="262" w:name="_Toc4125"/>
      <w:bookmarkStart w:id="263" w:name="_Toc186444248"/>
      <w:r>
        <w:rPr>
          <w:rFonts w:eastAsia="宋体"/>
          <w:b/>
          <w:color w:val="auto"/>
          <w:w w:val="99"/>
          <w:kern w:val="2"/>
          <w:sz w:val="24"/>
          <w:szCs w:val="24"/>
          <w:highlight w:val="none"/>
        </w:rPr>
        <w:t>2.6.1环境质量标准</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rFonts w:eastAsiaTheme="minorEastAsia"/>
          <w:b/>
          <w:color w:val="auto"/>
          <w:w w:val="99"/>
          <w:kern w:val="2"/>
          <w:sz w:val="24"/>
          <w:szCs w:val="24"/>
          <w:highlight w:val="none"/>
        </w:rPr>
        <w:t>及环境功能区划</w:t>
      </w:r>
      <w:bookmarkEnd w:id="263"/>
    </w:p>
    <w:p w14:paraId="791317CA">
      <w:pPr>
        <w:pStyle w:val="153"/>
        <w:widowControl w:val="0"/>
        <w:spacing w:line="440" w:lineRule="exact"/>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2.6.1.1环境空气质量标准</w:t>
      </w:r>
    </w:p>
    <w:p w14:paraId="6C84A228">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本项目所在区域内无自然保护区、风景名胜区和其它需要特殊保护的地区，项目所在区域主要为居住区、商业交通居民混合区、文化区、一般工业区和农村地区，因此本项目所在地环境空气属于二类功能区，其环境空气质量执行《环境空气质量标准》（GB3095-20</w:t>
      </w:r>
      <w:r>
        <w:rPr>
          <w:rFonts w:hint="eastAsia" w:ascii="Times New Roman" w:hAnsi="Times New Roman" w:cs="Times New Roman"/>
          <w:snapToGrid w:val="0"/>
          <w:color w:val="auto"/>
          <w:w w:val="99"/>
          <w:highlight w:val="none"/>
          <w:lang w:val="en-US" w:eastAsia="zh-CN"/>
        </w:rPr>
        <w:t>26</w:t>
      </w:r>
      <w:r>
        <w:rPr>
          <w:rFonts w:ascii="Times New Roman" w:hAnsi="Times New Roman" w:eastAsia="宋体" w:cs="Times New Roman"/>
          <w:snapToGrid w:val="0"/>
          <w:color w:val="auto"/>
          <w:w w:val="99"/>
          <w:highlight w:val="none"/>
        </w:rPr>
        <w:t>）中的二级标准，非甲烷总烃参照《大气污染物综合排放标准详解》中要求</w:t>
      </w:r>
      <w:r>
        <w:rPr>
          <w:rFonts w:hint="eastAsia" w:ascii="Times New Roman" w:hAnsi="Times New Roman" w:eastAsia="宋体" w:cs="Times New Roman"/>
          <w:snapToGrid w:val="0"/>
          <w:color w:val="auto"/>
          <w:w w:val="99"/>
          <w:highlight w:val="none"/>
          <w:lang w:eastAsia="zh-CN"/>
        </w:rPr>
        <w:t>；</w:t>
      </w:r>
      <w:r>
        <w:rPr>
          <w:rFonts w:ascii="Times New Roman" w:hAnsi="Times New Roman" w:eastAsia="宋体" w:cs="Times New Roman"/>
          <w:snapToGrid w:val="0"/>
          <w:color w:val="auto"/>
          <w:w w:val="99"/>
          <w:highlight w:val="none"/>
        </w:rPr>
        <w:t>甲醇执行《环境影响评价技术导则 大气环境》(HJ2.2-2018）附录 D 中甲醇1h平均浓度参考限值 3.0mg/m</w:t>
      </w:r>
      <w:r>
        <w:rPr>
          <w:rFonts w:ascii="Times New Roman" w:hAnsi="Times New Roman" w:eastAsia="宋体" w:cs="Times New Roman"/>
          <w:snapToGrid w:val="0"/>
          <w:color w:val="auto"/>
          <w:w w:val="99"/>
          <w:highlight w:val="none"/>
          <w:vertAlign w:val="superscript"/>
        </w:rPr>
        <w:t>3</w:t>
      </w:r>
      <w:r>
        <w:rPr>
          <w:rFonts w:ascii="Times New Roman" w:hAnsi="Times New Roman" w:eastAsia="宋体" w:cs="Times New Roman"/>
          <w:snapToGrid w:val="0"/>
          <w:color w:val="auto"/>
          <w:w w:val="99"/>
          <w:highlight w:val="none"/>
        </w:rPr>
        <w:t>。具体见表2.6-1</w:t>
      </w:r>
      <w:r>
        <w:rPr>
          <w:rFonts w:hint="eastAsia" w:ascii="Times New Roman" w:hAnsi="Times New Roman" w:eastAsia="宋体" w:cs="Times New Roman"/>
          <w:snapToGrid w:val="0"/>
          <w:color w:val="auto"/>
          <w:w w:val="99"/>
          <w:highlight w:val="none"/>
          <w:lang w:eastAsia="zh-CN"/>
        </w:rPr>
        <w:t>、</w:t>
      </w:r>
      <w:r>
        <w:rPr>
          <w:rFonts w:hint="eastAsia" w:ascii="Times New Roman" w:hAnsi="Times New Roman" w:eastAsia="宋体" w:cs="Times New Roman"/>
          <w:snapToGrid w:val="0"/>
          <w:color w:val="auto"/>
          <w:w w:val="99"/>
          <w:highlight w:val="none"/>
          <w:lang w:val="en-US" w:eastAsia="zh-CN"/>
        </w:rPr>
        <w:t>表2.6-2</w:t>
      </w:r>
      <w:r>
        <w:rPr>
          <w:rFonts w:ascii="Times New Roman" w:hAnsi="Times New Roman" w:eastAsia="宋体" w:cs="Times New Roman"/>
          <w:snapToGrid w:val="0"/>
          <w:color w:val="auto"/>
          <w:w w:val="99"/>
          <w:highlight w:val="none"/>
        </w:rPr>
        <w:t>。</w:t>
      </w:r>
    </w:p>
    <w:p w14:paraId="374DC973">
      <w:pPr>
        <w:widowControl w:val="0"/>
        <w:spacing w:line="440" w:lineRule="exact"/>
        <w:ind w:firstLine="476" w:firstLineChars="200"/>
        <w:rPr>
          <w:rFonts w:hint="eastAsia" w:ascii="Times New Roman" w:hAnsi="Times New Roman" w:cs="Times New Roman" w:eastAsiaTheme="minorEastAsia"/>
          <w:b/>
          <w:color w:val="auto"/>
          <w:w w:val="99"/>
          <w:kern w:val="2"/>
          <w:szCs w:val="20"/>
          <w:highlight w:val="none"/>
          <w:lang w:eastAsia="zh-CN"/>
        </w:rPr>
      </w:pPr>
      <w:r>
        <w:rPr>
          <w:rFonts w:ascii="Times New Roman" w:hAnsi="Times New Roman" w:cs="Times New Roman" w:eastAsiaTheme="minorEastAsia"/>
          <w:b/>
          <w:color w:val="auto"/>
          <w:w w:val="99"/>
          <w:kern w:val="2"/>
          <w:szCs w:val="20"/>
          <w:highlight w:val="none"/>
        </w:rPr>
        <w:t>表2.6-1    评价区域内各项污染物的浓度限值</w:t>
      </w:r>
      <w:r>
        <w:rPr>
          <w:rFonts w:hint="eastAsia" w:ascii="Times New Roman" w:hAnsi="Times New Roman" w:cs="Times New Roman" w:eastAsiaTheme="minorEastAsia"/>
          <w:b/>
          <w:color w:val="auto"/>
          <w:w w:val="99"/>
          <w:kern w:val="2"/>
          <w:szCs w:val="20"/>
          <w:highlight w:val="none"/>
          <w:lang w:eastAsia="zh-CN"/>
        </w:rPr>
        <w:t>（</w:t>
      </w:r>
      <w:r>
        <w:rPr>
          <w:rFonts w:hint="eastAsia" w:ascii="Times New Roman" w:hAnsi="Times New Roman" w:cs="Times New Roman" w:eastAsiaTheme="minorEastAsia"/>
          <w:b/>
          <w:color w:val="auto"/>
          <w:w w:val="99"/>
          <w:kern w:val="2"/>
          <w:szCs w:val="20"/>
          <w:highlight w:val="none"/>
          <w:lang w:val="en-US" w:eastAsia="zh-CN"/>
        </w:rPr>
        <w:t>过渡阶段</w:t>
      </w:r>
      <w:r>
        <w:rPr>
          <w:rFonts w:hint="eastAsia" w:ascii="Times New Roman" w:hAnsi="Times New Roman" w:cs="Times New Roman" w:eastAsiaTheme="minorEastAsia"/>
          <w:b/>
          <w:color w:val="auto"/>
          <w:w w:val="99"/>
          <w:kern w:val="2"/>
          <w:szCs w:val="20"/>
          <w:highlight w:val="none"/>
          <w:lang w:eastAsia="zh-CN"/>
        </w:rPr>
        <w:t>）</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1583"/>
        <w:gridCol w:w="728"/>
        <w:gridCol w:w="730"/>
        <w:gridCol w:w="731"/>
        <w:gridCol w:w="731"/>
        <w:gridCol w:w="731"/>
        <w:gridCol w:w="783"/>
        <w:gridCol w:w="729"/>
        <w:gridCol w:w="719"/>
      </w:tblGrid>
      <w:tr w14:paraId="5922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25" w:type="pct"/>
            <w:gridSpan w:val="2"/>
            <w:vAlign w:val="center"/>
          </w:tcPr>
          <w:p w14:paraId="3E36106D">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污染物名称</w:t>
            </w:r>
          </w:p>
        </w:tc>
        <w:tc>
          <w:tcPr>
            <w:tcW w:w="406" w:type="pct"/>
            <w:vAlign w:val="center"/>
          </w:tcPr>
          <w:p w14:paraId="3B2102A9">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TSP</w:t>
            </w:r>
          </w:p>
        </w:tc>
        <w:tc>
          <w:tcPr>
            <w:tcW w:w="407" w:type="pct"/>
            <w:vAlign w:val="center"/>
          </w:tcPr>
          <w:p w14:paraId="7C6FD7CC">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10</w:t>
            </w:r>
          </w:p>
        </w:tc>
        <w:tc>
          <w:tcPr>
            <w:tcW w:w="407" w:type="pct"/>
            <w:vAlign w:val="center"/>
          </w:tcPr>
          <w:p w14:paraId="69B6951C">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2.5</w:t>
            </w:r>
          </w:p>
        </w:tc>
        <w:tc>
          <w:tcPr>
            <w:tcW w:w="407" w:type="pct"/>
            <w:vAlign w:val="center"/>
          </w:tcPr>
          <w:p w14:paraId="1C83318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407" w:type="pct"/>
            <w:vAlign w:val="center"/>
          </w:tcPr>
          <w:p w14:paraId="700F1600">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2</w:t>
            </w:r>
          </w:p>
        </w:tc>
        <w:tc>
          <w:tcPr>
            <w:tcW w:w="435" w:type="pct"/>
            <w:vAlign w:val="center"/>
          </w:tcPr>
          <w:p w14:paraId="0DCBECAC">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406" w:type="pct"/>
            <w:vAlign w:val="center"/>
          </w:tcPr>
          <w:p w14:paraId="634340E6">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O</w:t>
            </w:r>
            <w:r>
              <w:rPr>
                <w:rFonts w:ascii="Times New Roman" w:hAnsi="Times New Roman" w:cs="Times New Roman" w:eastAsiaTheme="minorEastAsia"/>
                <w:color w:val="auto"/>
                <w:w w:val="99"/>
                <w:kern w:val="2"/>
                <w:sz w:val="21"/>
                <w:szCs w:val="21"/>
                <w:highlight w:val="none"/>
                <w:vertAlign w:val="subscript"/>
              </w:rPr>
              <w:t>3</w:t>
            </w:r>
          </w:p>
        </w:tc>
        <w:tc>
          <w:tcPr>
            <w:tcW w:w="401" w:type="pct"/>
          </w:tcPr>
          <w:p w14:paraId="261D9D29">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tc>
      </w:tr>
      <w:tr w14:paraId="2B4F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25" w:type="pct"/>
            <w:gridSpan w:val="2"/>
            <w:vAlign w:val="center"/>
          </w:tcPr>
          <w:p w14:paraId="2BED3703">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单位</w:t>
            </w:r>
          </w:p>
        </w:tc>
        <w:tc>
          <w:tcPr>
            <w:tcW w:w="406" w:type="pct"/>
            <w:vAlign w:val="center"/>
          </w:tcPr>
          <w:p w14:paraId="46642A68">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07" w:type="pct"/>
            <w:vAlign w:val="center"/>
          </w:tcPr>
          <w:p w14:paraId="0BBBBA17">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07" w:type="pct"/>
            <w:vAlign w:val="center"/>
          </w:tcPr>
          <w:p w14:paraId="3BDEC3D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07" w:type="pct"/>
            <w:vAlign w:val="center"/>
          </w:tcPr>
          <w:p w14:paraId="6C0B235B">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07" w:type="pct"/>
            <w:vAlign w:val="center"/>
          </w:tcPr>
          <w:p w14:paraId="0258529F">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35" w:type="pct"/>
            <w:vAlign w:val="center"/>
          </w:tcPr>
          <w:p w14:paraId="11665B48">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mg/m</w:t>
            </w:r>
            <w:r>
              <w:rPr>
                <w:rFonts w:ascii="Times New Roman" w:hAnsi="Times New Roman" w:cs="Times New Roman" w:eastAsiaTheme="minorEastAsia"/>
                <w:bCs/>
                <w:color w:val="auto"/>
                <w:w w:val="99"/>
                <w:kern w:val="2"/>
                <w:sz w:val="21"/>
                <w:szCs w:val="21"/>
                <w:highlight w:val="none"/>
                <w:vertAlign w:val="superscript"/>
              </w:rPr>
              <w:t>3</w:t>
            </w:r>
          </w:p>
        </w:tc>
        <w:tc>
          <w:tcPr>
            <w:tcW w:w="406" w:type="pct"/>
            <w:vAlign w:val="center"/>
          </w:tcPr>
          <w:p w14:paraId="1EC8918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01" w:type="pct"/>
          </w:tcPr>
          <w:p w14:paraId="0F82E320">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r>
      <w:tr w14:paraId="5DDE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restart"/>
            <w:vAlign w:val="center"/>
          </w:tcPr>
          <w:p w14:paraId="344DE461">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（GB3095-20</w:t>
            </w:r>
            <w:r>
              <w:rPr>
                <w:rFonts w:hint="eastAsia" w:ascii="Times New Roman" w:hAnsi="Times New Roman" w:cs="Times New Roman" w:eastAsiaTheme="minorEastAsia"/>
                <w:color w:val="auto"/>
                <w:w w:val="99"/>
                <w:kern w:val="2"/>
                <w:sz w:val="21"/>
                <w:szCs w:val="21"/>
                <w:highlight w:val="none"/>
                <w:lang w:val="en-US" w:eastAsia="zh-CN"/>
              </w:rPr>
              <w:t>26</w:t>
            </w:r>
            <w:r>
              <w:rPr>
                <w:rFonts w:ascii="Times New Roman" w:hAnsi="Times New Roman" w:cs="Times New Roman" w:eastAsiaTheme="minorEastAsia"/>
                <w:color w:val="auto"/>
                <w:w w:val="99"/>
                <w:kern w:val="2"/>
                <w:sz w:val="21"/>
                <w:szCs w:val="21"/>
                <w:highlight w:val="none"/>
              </w:rPr>
              <w:t>）中二级浓度限值</w:t>
            </w:r>
          </w:p>
        </w:tc>
        <w:tc>
          <w:tcPr>
            <w:tcW w:w="866" w:type="pct"/>
            <w:vAlign w:val="center"/>
          </w:tcPr>
          <w:p w14:paraId="2B3F2A31">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w:t>
            </w:r>
          </w:p>
        </w:tc>
        <w:tc>
          <w:tcPr>
            <w:tcW w:w="406" w:type="pct"/>
            <w:vAlign w:val="center"/>
          </w:tcPr>
          <w:p w14:paraId="3142622F">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c>
          <w:tcPr>
            <w:tcW w:w="407" w:type="pct"/>
            <w:vAlign w:val="center"/>
          </w:tcPr>
          <w:p w14:paraId="5ABD6A62">
            <w:pPr>
              <w:widowControl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60</w:t>
            </w:r>
          </w:p>
        </w:tc>
        <w:tc>
          <w:tcPr>
            <w:tcW w:w="407" w:type="pct"/>
            <w:vAlign w:val="center"/>
          </w:tcPr>
          <w:p w14:paraId="2FA70C1E">
            <w:pPr>
              <w:widowControl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30</w:t>
            </w:r>
          </w:p>
        </w:tc>
        <w:tc>
          <w:tcPr>
            <w:tcW w:w="407" w:type="pct"/>
            <w:vAlign w:val="center"/>
          </w:tcPr>
          <w:p w14:paraId="36889E8F">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w:t>
            </w:r>
          </w:p>
        </w:tc>
        <w:tc>
          <w:tcPr>
            <w:tcW w:w="407" w:type="pct"/>
            <w:vAlign w:val="center"/>
          </w:tcPr>
          <w:p w14:paraId="3237AE9D">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w:t>
            </w:r>
          </w:p>
        </w:tc>
        <w:tc>
          <w:tcPr>
            <w:tcW w:w="435" w:type="pct"/>
            <w:vAlign w:val="center"/>
          </w:tcPr>
          <w:p w14:paraId="1D328EA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6" w:type="pct"/>
            <w:vAlign w:val="center"/>
          </w:tcPr>
          <w:p w14:paraId="3796AF46">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1" w:type="pct"/>
          </w:tcPr>
          <w:p w14:paraId="2ACEE2C7">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r>
      <w:tr w14:paraId="4205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continue"/>
            <w:vAlign w:val="center"/>
          </w:tcPr>
          <w:p w14:paraId="443910FC">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866" w:type="pct"/>
            <w:vAlign w:val="center"/>
          </w:tcPr>
          <w:p w14:paraId="5C4D62AB">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24小时平均</w:t>
            </w:r>
          </w:p>
        </w:tc>
        <w:tc>
          <w:tcPr>
            <w:tcW w:w="406" w:type="pct"/>
            <w:vAlign w:val="center"/>
          </w:tcPr>
          <w:p w14:paraId="1FCF332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300</w:t>
            </w:r>
          </w:p>
        </w:tc>
        <w:tc>
          <w:tcPr>
            <w:tcW w:w="407" w:type="pct"/>
            <w:vAlign w:val="center"/>
          </w:tcPr>
          <w:p w14:paraId="6AE9603D">
            <w:pPr>
              <w:widowControl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120</w:t>
            </w:r>
          </w:p>
        </w:tc>
        <w:tc>
          <w:tcPr>
            <w:tcW w:w="407" w:type="pct"/>
            <w:vAlign w:val="center"/>
          </w:tcPr>
          <w:p w14:paraId="161DE98B">
            <w:pPr>
              <w:widowControl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60</w:t>
            </w:r>
          </w:p>
        </w:tc>
        <w:tc>
          <w:tcPr>
            <w:tcW w:w="407" w:type="pct"/>
            <w:vAlign w:val="center"/>
          </w:tcPr>
          <w:p w14:paraId="149523D5">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w:t>
            </w:r>
          </w:p>
        </w:tc>
        <w:tc>
          <w:tcPr>
            <w:tcW w:w="407" w:type="pct"/>
            <w:vAlign w:val="center"/>
          </w:tcPr>
          <w:p w14:paraId="388C6DE8">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80</w:t>
            </w:r>
          </w:p>
        </w:tc>
        <w:tc>
          <w:tcPr>
            <w:tcW w:w="435" w:type="pct"/>
            <w:vAlign w:val="center"/>
          </w:tcPr>
          <w:p w14:paraId="7E613AB7">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w:t>
            </w:r>
          </w:p>
        </w:tc>
        <w:tc>
          <w:tcPr>
            <w:tcW w:w="406" w:type="pct"/>
            <w:vAlign w:val="center"/>
          </w:tcPr>
          <w:p w14:paraId="73166BB9">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1" w:type="pct"/>
          </w:tcPr>
          <w:p w14:paraId="3E2F921E">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w:t>
            </w:r>
          </w:p>
        </w:tc>
      </w:tr>
      <w:tr w14:paraId="39A1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continue"/>
            <w:vAlign w:val="center"/>
          </w:tcPr>
          <w:p w14:paraId="60F7DD5E">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866" w:type="pct"/>
            <w:vAlign w:val="center"/>
          </w:tcPr>
          <w:p w14:paraId="1FF45683">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8小时平均</w:t>
            </w:r>
          </w:p>
        </w:tc>
        <w:tc>
          <w:tcPr>
            <w:tcW w:w="406" w:type="pct"/>
            <w:vAlign w:val="center"/>
          </w:tcPr>
          <w:p w14:paraId="7BA7A0A0">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7" w:type="pct"/>
            <w:vAlign w:val="center"/>
          </w:tcPr>
          <w:p w14:paraId="68CA0D70">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7" w:type="pct"/>
            <w:vAlign w:val="center"/>
          </w:tcPr>
          <w:p w14:paraId="2A72708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7" w:type="pct"/>
            <w:vAlign w:val="center"/>
          </w:tcPr>
          <w:p w14:paraId="0352F78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7" w:type="pct"/>
            <w:vAlign w:val="center"/>
          </w:tcPr>
          <w:p w14:paraId="20EDE64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35" w:type="pct"/>
            <w:vAlign w:val="center"/>
          </w:tcPr>
          <w:p w14:paraId="61A73603">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6" w:type="pct"/>
            <w:vAlign w:val="center"/>
          </w:tcPr>
          <w:p w14:paraId="66CFFF3B">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160</w:t>
            </w:r>
          </w:p>
        </w:tc>
        <w:tc>
          <w:tcPr>
            <w:tcW w:w="401" w:type="pct"/>
          </w:tcPr>
          <w:p w14:paraId="547F7B16">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r>
      <w:tr w14:paraId="4632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continue"/>
            <w:vAlign w:val="center"/>
          </w:tcPr>
          <w:p w14:paraId="0FB9A934">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866" w:type="pct"/>
            <w:vAlign w:val="center"/>
          </w:tcPr>
          <w:p w14:paraId="609CDA00">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1小时平均</w:t>
            </w:r>
          </w:p>
        </w:tc>
        <w:tc>
          <w:tcPr>
            <w:tcW w:w="406" w:type="pct"/>
            <w:vAlign w:val="center"/>
          </w:tcPr>
          <w:p w14:paraId="7C640EFC">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7" w:type="pct"/>
            <w:vAlign w:val="center"/>
          </w:tcPr>
          <w:p w14:paraId="259FC359">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7" w:type="pct"/>
            <w:vAlign w:val="center"/>
          </w:tcPr>
          <w:p w14:paraId="7D15F316">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7" w:type="pct"/>
            <w:vAlign w:val="center"/>
          </w:tcPr>
          <w:p w14:paraId="4E1B9751">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500</w:t>
            </w:r>
          </w:p>
        </w:tc>
        <w:tc>
          <w:tcPr>
            <w:tcW w:w="407" w:type="pct"/>
            <w:vAlign w:val="center"/>
          </w:tcPr>
          <w:p w14:paraId="1388CFE0">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c>
          <w:tcPr>
            <w:tcW w:w="435" w:type="pct"/>
            <w:vAlign w:val="center"/>
          </w:tcPr>
          <w:p w14:paraId="029B88DD">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w:t>
            </w:r>
          </w:p>
        </w:tc>
        <w:tc>
          <w:tcPr>
            <w:tcW w:w="406" w:type="pct"/>
            <w:vAlign w:val="center"/>
          </w:tcPr>
          <w:p w14:paraId="23DE3A83">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c>
          <w:tcPr>
            <w:tcW w:w="401" w:type="pct"/>
          </w:tcPr>
          <w:p w14:paraId="1F777E39">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250</w:t>
            </w:r>
          </w:p>
        </w:tc>
      </w:tr>
    </w:tbl>
    <w:p w14:paraId="34985206">
      <w:pPr>
        <w:widowControl w:val="0"/>
        <w:spacing w:line="440" w:lineRule="exact"/>
        <w:ind w:firstLine="476" w:firstLineChars="200"/>
        <w:rPr>
          <w:rFonts w:ascii="Times New Roman" w:hAnsi="Times New Roman" w:cs="Times New Roman"/>
          <w:b/>
          <w:bCs/>
          <w:color w:val="auto"/>
          <w:w w:val="99"/>
          <w:kern w:val="2"/>
          <w:szCs w:val="21"/>
          <w:highlight w:val="none"/>
        </w:rPr>
      </w:pPr>
      <w:r>
        <w:rPr>
          <w:rFonts w:ascii="Times New Roman" w:hAnsi="Times New Roman" w:cs="Times New Roman"/>
          <w:b/>
          <w:bCs/>
          <w:color w:val="auto"/>
          <w:w w:val="99"/>
          <w:kern w:val="2"/>
          <w:szCs w:val="20"/>
          <w:highlight w:val="none"/>
        </w:rPr>
        <w:t>表2.6-2    评价区域内其他污染物的浓度限值    单位：</w:t>
      </w:r>
      <w:r>
        <w:rPr>
          <w:rFonts w:ascii="Times New Roman" w:hAnsi="Times New Roman" w:cs="Times New Roman"/>
          <w:b/>
          <w:bCs/>
          <w:color w:val="auto"/>
          <w:w w:val="99"/>
          <w:kern w:val="2"/>
          <w:szCs w:val="21"/>
          <w:highlight w:val="none"/>
        </w:rPr>
        <w:t>mg/m</w:t>
      </w:r>
      <w:r>
        <w:rPr>
          <w:rFonts w:ascii="Times New Roman" w:hAnsi="Times New Roman" w:cs="Times New Roman"/>
          <w:b/>
          <w:bCs/>
          <w:color w:val="auto"/>
          <w:w w:val="99"/>
          <w:kern w:val="2"/>
          <w:szCs w:val="21"/>
          <w:highlight w:val="none"/>
          <w:vertAlign w:val="superscript"/>
        </w:rPr>
        <w:t>3</w:t>
      </w:r>
    </w:p>
    <w:tbl>
      <w:tblPr>
        <w:tblStyle w:val="8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1862"/>
        <w:gridCol w:w="2291"/>
        <w:gridCol w:w="2291"/>
      </w:tblGrid>
      <w:tr w14:paraId="7D48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9" w:type="pct"/>
            <w:vAlign w:val="center"/>
          </w:tcPr>
          <w:p w14:paraId="528F6DD8">
            <w:pPr>
              <w:widowControl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标准</w:t>
            </w:r>
          </w:p>
        </w:tc>
        <w:tc>
          <w:tcPr>
            <w:tcW w:w="1002" w:type="pct"/>
            <w:vAlign w:val="center"/>
          </w:tcPr>
          <w:p w14:paraId="6375E41D">
            <w:pPr>
              <w:widowControl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污染物名称</w:t>
            </w:r>
          </w:p>
        </w:tc>
        <w:tc>
          <w:tcPr>
            <w:tcW w:w="1233" w:type="pct"/>
            <w:vAlign w:val="center"/>
          </w:tcPr>
          <w:p w14:paraId="3CBD14E9">
            <w:pPr>
              <w:widowControl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1h平均浓度参考限值</w:t>
            </w:r>
          </w:p>
        </w:tc>
        <w:tc>
          <w:tcPr>
            <w:tcW w:w="1233" w:type="pct"/>
            <w:vAlign w:val="center"/>
          </w:tcPr>
          <w:p w14:paraId="2B2C8A00">
            <w:pPr>
              <w:widowControl w:val="0"/>
              <w:spacing w:line="36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日均值</w:t>
            </w:r>
          </w:p>
        </w:tc>
      </w:tr>
      <w:tr w14:paraId="46DA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9" w:type="pct"/>
            <w:vAlign w:val="center"/>
          </w:tcPr>
          <w:p w14:paraId="46EFAD0A">
            <w:pPr>
              <w:widowControl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《大气污染物综合排放标准详解》</w:t>
            </w:r>
          </w:p>
        </w:tc>
        <w:tc>
          <w:tcPr>
            <w:tcW w:w="1002" w:type="pct"/>
            <w:vAlign w:val="center"/>
          </w:tcPr>
          <w:p w14:paraId="73CE22CF">
            <w:pPr>
              <w:widowControl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非甲烷总烃</w:t>
            </w:r>
          </w:p>
        </w:tc>
        <w:tc>
          <w:tcPr>
            <w:tcW w:w="1233" w:type="pct"/>
            <w:vAlign w:val="center"/>
          </w:tcPr>
          <w:p w14:paraId="461A58A8">
            <w:pPr>
              <w:widowControl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2.0</w:t>
            </w:r>
          </w:p>
        </w:tc>
        <w:tc>
          <w:tcPr>
            <w:tcW w:w="1233" w:type="pct"/>
            <w:vAlign w:val="center"/>
          </w:tcPr>
          <w:p w14:paraId="3F977459">
            <w:pPr>
              <w:widowControl w:val="0"/>
              <w:spacing w:line="360" w:lineRule="exact"/>
              <w:jc w:val="center"/>
              <w:rPr>
                <w:rFonts w:hint="eastAsia"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w:t>
            </w:r>
          </w:p>
        </w:tc>
      </w:tr>
      <w:tr w14:paraId="2A56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9" w:type="pct"/>
            <w:vAlign w:val="center"/>
          </w:tcPr>
          <w:p w14:paraId="2A74AE7C">
            <w:pPr>
              <w:widowControl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《环境影响评价技术导则 大气环境》</w:t>
            </w:r>
          </w:p>
        </w:tc>
        <w:tc>
          <w:tcPr>
            <w:tcW w:w="1002" w:type="pct"/>
            <w:vAlign w:val="center"/>
          </w:tcPr>
          <w:p w14:paraId="79A94350">
            <w:pPr>
              <w:widowControl w:val="0"/>
              <w:spacing w:line="360" w:lineRule="exact"/>
              <w:jc w:val="center"/>
              <w:rPr>
                <w:rFonts w:hint="eastAsia"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甲醇</w:t>
            </w:r>
          </w:p>
        </w:tc>
        <w:tc>
          <w:tcPr>
            <w:tcW w:w="1233" w:type="pct"/>
            <w:vAlign w:val="center"/>
          </w:tcPr>
          <w:p w14:paraId="1EEBD133">
            <w:pPr>
              <w:widowControl w:val="0"/>
              <w:spacing w:line="36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3.0</w:t>
            </w:r>
          </w:p>
        </w:tc>
        <w:tc>
          <w:tcPr>
            <w:tcW w:w="1233" w:type="pct"/>
            <w:vAlign w:val="center"/>
          </w:tcPr>
          <w:p w14:paraId="4B955716">
            <w:pPr>
              <w:widowControl w:val="0"/>
              <w:spacing w:line="360" w:lineRule="exact"/>
              <w:jc w:val="center"/>
              <w:rPr>
                <w:rFonts w:hint="default" w:ascii="Times New Roman" w:hAnsi="Times New Roman"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1.0</w:t>
            </w:r>
          </w:p>
        </w:tc>
      </w:tr>
    </w:tbl>
    <w:p w14:paraId="45132575">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2.6.1.2地表水环境质量标准</w:t>
      </w:r>
    </w:p>
    <w:p w14:paraId="0A90C842">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项目区域附近地表水体为</w:t>
      </w:r>
      <w:r>
        <w:rPr>
          <w:rFonts w:hint="eastAsia" w:ascii="Times New Roman" w:hAnsi="Times New Roman" w:cs="Times New Roman"/>
          <w:snapToGrid w:val="0"/>
          <w:color w:val="auto"/>
          <w:w w:val="99"/>
          <w:highlight w:val="none"/>
          <w:lang w:val="en-US" w:eastAsia="zh-CN"/>
        </w:rPr>
        <w:t>北大</w:t>
      </w:r>
      <w:r>
        <w:rPr>
          <w:rFonts w:hint="eastAsia" w:ascii="Times New Roman" w:hAnsi="Times New Roman" w:eastAsia="宋体" w:cs="Times New Roman"/>
          <w:snapToGrid w:val="0"/>
          <w:color w:val="auto"/>
          <w:w w:val="99"/>
          <w:highlight w:val="none"/>
          <w:lang w:val="en-US"/>
        </w:rPr>
        <w:t>干渠</w:t>
      </w:r>
      <w:r>
        <w:rPr>
          <w:rFonts w:ascii="Times New Roman" w:hAnsi="Times New Roman" w:eastAsia="宋体" w:cs="Times New Roman"/>
          <w:snapToGrid w:val="0"/>
          <w:color w:val="auto"/>
          <w:w w:val="99"/>
          <w:highlight w:val="none"/>
        </w:rPr>
        <w:t>，</w:t>
      </w:r>
      <w:r>
        <w:rPr>
          <w:rFonts w:hint="eastAsia" w:ascii="Times New Roman" w:hAnsi="Times New Roman" w:cs="Times New Roman"/>
          <w:snapToGrid w:val="0"/>
          <w:color w:val="auto"/>
          <w:w w:val="99"/>
          <w:highlight w:val="none"/>
          <w:lang w:val="en-US" w:eastAsia="zh-CN"/>
        </w:rPr>
        <w:t>该</w:t>
      </w:r>
      <w:r>
        <w:rPr>
          <w:rFonts w:hint="eastAsia" w:ascii="Times New Roman" w:hAnsi="Times New Roman" w:eastAsia="宋体" w:cs="Times New Roman"/>
          <w:snapToGrid w:val="0"/>
          <w:color w:val="auto"/>
          <w:w w:val="99"/>
          <w:highlight w:val="none"/>
          <w:lang w:val="en-US"/>
        </w:rPr>
        <w:t>干渠</w:t>
      </w:r>
      <w:r>
        <w:rPr>
          <w:rFonts w:ascii="Times New Roman" w:hAnsi="Times New Roman" w:eastAsia="宋体" w:cs="Times New Roman"/>
          <w:snapToGrid w:val="0"/>
          <w:color w:val="auto"/>
          <w:w w:val="99"/>
          <w:highlight w:val="none"/>
        </w:rPr>
        <w:t>未划分水环境功能区，</w:t>
      </w:r>
      <w:r>
        <w:rPr>
          <w:rFonts w:hint="eastAsia" w:ascii="Times New Roman" w:hAnsi="Times New Roman" w:cs="Times New Roman"/>
          <w:snapToGrid w:val="0"/>
          <w:color w:val="auto"/>
          <w:w w:val="99"/>
          <w:highlight w:val="none"/>
          <w:lang w:val="en-US" w:eastAsia="zh-CN"/>
        </w:rPr>
        <w:t>且</w:t>
      </w:r>
      <w:r>
        <w:rPr>
          <w:rFonts w:ascii="Times New Roman" w:hAnsi="Times New Roman" w:cs="Times New Roman"/>
          <w:color w:val="auto"/>
          <w:w w:val="99"/>
          <w:szCs w:val="20"/>
          <w:highlight w:val="none"/>
        </w:rPr>
        <w:t>本项目属于水污染影响型三级B评价，可不开展区域污染源调查</w:t>
      </w:r>
      <w:r>
        <w:rPr>
          <w:rFonts w:hint="eastAsia" w:ascii="Times New Roman" w:hAnsi="Times New Roman" w:cs="Times New Roman"/>
          <w:color w:val="auto"/>
          <w:w w:val="99"/>
          <w:szCs w:val="20"/>
          <w:highlight w:val="none"/>
          <w:lang w:eastAsia="zh-CN"/>
        </w:rPr>
        <w:t>，</w:t>
      </w:r>
      <w:r>
        <w:rPr>
          <w:rFonts w:hint="eastAsia" w:ascii="Times New Roman" w:hAnsi="Times New Roman" w:eastAsia="宋体" w:cs="Times New Roman"/>
          <w:snapToGrid w:val="0"/>
          <w:color w:val="auto"/>
          <w:w w:val="99"/>
          <w:highlight w:val="none"/>
        </w:rPr>
        <w:t>无执行标准</w:t>
      </w:r>
      <w:r>
        <w:rPr>
          <w:rFonts w:ascii="Times New Roman" w:hAnsi="Times New Roman" w:eastAsia="宋体" w:cs="Times New Roman"/>
          <w:snapToGrid w:val="0"/>
          <w:color w:val="auto"/>
          <w:w w:val="99"/>
          <w:highlight w:val="none"/>
        </w:rPr>
        <w:t>，</w:t>
      </w:r>
      <w:r>
        <w:rPr>
          <w:rFonts w:hint="eastAsia" w:ascii="Times New Roman" w:hAnsi="Times New Roman" w:cs="Times New Roman"/>
          <w:snapToGrid w:val="0"/>
          <w:color w:val="auto"/>
          <w:w w:val="99"/>
          <w:highlight w:val="none"/>
          <w:lang w:val="en-US" w:eastAsia="zh-CN"/>
        </w:rPr>
        <w:t>根据现场调查，目前北大</w:t>
      </w:r>
      <w:r>
        <w:rPr>
          <w:rFonts w:hint="eastAsia" w:ascii="Times New Roman" w:hAnsi="Times New Roman" w:eastAsia="宋体" w:cs="Times New Roman"/>
          <w:snapToGrid w:val="0"/>
          <w:color w:val="auto"/>
          <w:w w:val="99"/>
          <w:highlight w:val="none"/>
          <w:lang w:val="en-US"/>
        </w:rPr>
        <w:t>干渠</w:t>
      </w:r>
      <w:r>
        <w:rPr>
          <w:rFonts w:hint="eastAsia" w:ascii="Times New Roman" w:hAnsi="Times New Roman" w:eastAsia="宋体" w:cs="Times New Roman"/>
          <w:snapToGrid w:val="0"/>
          <w:color w:val="auto"/>
          <w:w w:val="99"/>
          <w:highlight w:val="none"/>
          <w:lang w:val="en-US" w:eastAsia="zh-CN"/>
        </w:rPr>
        <w:t>为干涸状态</w:t>
      </w:r>
      <w:r>
        <w:rPr>
          <w:rFonts w:ascii="Times New Roman" w:hAnsi="Times New Roman" w:eastAsia="宋体" w:cs="Times New Roman"/>
          <w:snapToGrid w:val="0"/>
          <w:color w:val="auto"/>
          <w:w w:val="99"/>
          <w:highlight w:val="none"/>
        </w:rPr>
        <w:t>。</w:t>
      </w:r>
    </w:p>
    <w:p w14:paraId="6F5F3BC7">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2.6.1.3地下水质量标准</w:t>
      </w:r>
    </w:p>
    <w:p w14:paraId="33853D27">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根据调查，评价区域地下水使用功能为农业灌溉用水、牲畜用水及村民饮用水，地下水质量执行《地下水质量标准》（GB/T14848-2017）III类标准，石油类参考执行《地表水环境质量标准》（GB3838-2002）表1中的II类标准限值要求，具体见表2.6-3。</w:t>
      </w:r>
    </w:p>
    <w:p w14:paraId="1987BE63">
      <w:pPr>
        <w:widowControl w:val="0"/>
        <w:spacing w:line="440" w:lineRule="exact"/>
        <w:ind w:firstLine="476" w:firstLineChars="200"/>
        <w:jc w:val="both"/>
        <w:rPr>
          <w:rFonts w:ascii="Times New Roman" w:hAnsi="Times New Roman" w:cs="Times New Roman"/>
          <w:color w:val="auto"/>
          <w:w w:val="99"/>
          <w:highlight w:val="none"/>
        </w:rPr>
      </w:pPr>
      <w:r>
        <w:rPr>
          <w:rFonts w:ascii="Times New Roman" w:hAnsi="Times New Roman" w:cs="Times New Roman" w:eastAsiaTheme="minorEastAsia"/>
          <w:b/>
          <w:color w:val="auto"/>
          <w:w w:val="99"/>
          <w:kern w:val="2"/>
          <w:szCs w:val="20"/>
          <w:highlight w:val="none"/>
        </w:rPr>
        <w:t>表2.6-3</w:t>
      </w:r>
      <w:r>
        <w:rPr>
          <w:rFonts w:ascii="Times New Roman" w:hAnsi="Times New Roman" w:cs="Times New Roman" w:eastAsiaTheme="minorEastAsia"/>
          <w:b/>
          <w:color w:val="auto"/>
          <w:w w:val="99"/>
          <w:kern w:val="2"/>
          <w:highlight w:val="none"/>
        </w:rPr>
        <w:t xml:space="preserve">    地下水质量标准</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2457"/>
        <w:gridCol w:w="3695"/>
      </w:tblGrid>
      <w:tr w14:paraId="19BB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l2br w:val="single" w:color="auto" w:sz="4" w:space="0"/>
            </w:tcBorders>
            <w:vAlign w:val="center"/>
          </w:tcPr>
          <w:p w14:paraId="079F9ECE">
            <w:pPr>
              <w:spacing w:line="360" w:lineRule="exact"/>
              <w:jc w:val="center"/>
              <w:rPr>
                <w:rFonts w:ascii="Times New Roman" w:hAnsi="Times New Roman" w:cs="Times New Roman"/>
                <w:bCs/>
                <w:color w:val="auto"/>
                <w:w w:val="99"/>
                <w:kern w:val="2"/>
                <w:sz w:val="21"/>
                <w:szCs w:val="21"/>
                <w:highlight w:val="none"/>
              </w:rPr>
            </w:pPr>
            <w:r>
              <w:rPr>
                <w:rFonts w:ascii="Times New Roman" w:hAnsi="Times New Roman" w:cs="Times New Roman"/>
                <w:bCs/>
                <w:color w:val="auto"/>
                <w:w w:val="99"/>
                <w:kern w:val="2"/>
                <w:sz w:val="21"/>
                <w:szCs w:val="21"/>
                <w:highlight w:val="none"/>
              </w:rPr>
              <w:t xml:space="preserve">          类别</w:t>
            </w:r>
          </w:p>
          <w:p w14:paraId="119BF937">
            <w:pPr>
              <w:spacing w:line="360" w:lineRule="exact"/>
              <w:ind w:firstLine="828" w:firstLineChars="400"/>
              <w:rPr>
                <w:rFonts w:ascii="Times New Roman" w:hAnsi="Times New Roman" w:cs="Times New Roman"/>
                <w:bCs/>
                <w:color w:val="auto"/>
                <w:w w:val="99"/>
                <w:kern w:val="2"/>
                <w:sz w:val="21"/>
                <w:szCs w:val="21"/>
                <w:highlight w:val="none"/>
              </w:rPr>
            </w:pPr>
            <w:r>
              <w:rPr>
                <w:rFonts w:ascii="Times New Roman" w:hAnsi="Times New Roman" w:cs="Times New Roman"/>
                <w:bCs/>
                <w:color w:val="auto"/>
                <w:w w:val="99"/>
                <w:kern w:val="2"/>
                <w:sz w:val="21"/>
                <w:szCs w:val="21"/>
                <w:highlight w:val="none"/>
              </w:rPr>
              <w:t>项目</w:t>
            </w:r>
          </w:p>
        </w:tc>
        <w:tc>
          <w:tcPr>
            <w:tcW w:w="1323" w:type="pct"/>
            <w:vAlign w:val="center"/>
          </w:tcPr>
          <w:p w14:paraId="27B4652F">
            <w:pPr>
              <w:spacing w:line="360" w:lineRule="exact"/>
              <w:jc w:val="center"/>
              <w:rPr>
                <w:rFonts w:ascii="Times New Roman" w:hAnsi="Times New Roman" w:cs="Times New Roman"/>
                <w:bCs/>
                <w:color w:val="auto"/>
                <w:w w:val="99"/>
                <w:kern w:val="2"/>
                <w:sz w:val="21"/>
                <w:szCs w:val="21"/>
                <w:highlight w:val="none"/>
              </w:rPr>
            </w:pPr>
            <w:r>
              <w:rPr>
                <w:rFonts w:ascii="Times New Roman" w:hAnsi="Times New Roman" w:cs="Times New Roman"/>
                <w:bCs/>
                <w:color w:val="auto"/>
                <w:w w:val="99"/>
                <w:kern w:val="2"/>
                <w:sz w:val="21"/>
                <w:szCs w:val="21"/>
                <w:highlight w:val="none"/>
              </w:rPr>
              <w:t>标准</w:t>
            </w:r>
          </w:p>
        </w:tc>
        <w:tc>
          <w:tcPr>
            <w:tcW w:w="1989" w:type="pct"/>
            <w:vAlign w:val="center"/>
          </w:tcPr>
          <w:p w14:paraId="4E9A8A60">
            <w:pPr>
              <w:spacing w:line="360" w:lineRule="exact"/>
              <w:jc w:val="center"/>
              <w:rPr>
                <w:rFonts w:ascii="Times New Roman" w:hAnsi="Times New Roman" w:cs="Times New Roman"/>
                <w:bCs/>
                <w:color w:val="auto"/>
                <w:w w:val="99"/>
                <w:kern w:val="2"/>
                <w:sz w:val="21"/>
                <w:szCs w:val="21"/>
                <w:highlight w:val="none"/>
              </w:rPr>
            </w:pPr>
            <w:r>
              <w:rPr>
                <w:rFonts w:ascii="Times New Roman" w:hAnsi="Times New Roman" w:cs="Times New Roman"/>
                <w:bCs/>
                <w:color w:val="auto"/>
                <w:w w:val="99"/>
                <w:kern w:val="2"/>
                <w:sz w:val="21"/>
                <w:szCs w:val="21"/>
                <w:highlight w:val="none"/>
              </w:rPr>
              <w:t>标准来源</w:t>
            </w:r>
          </w:p>
        </w:tc>
      </w:tr>
      <w:tr w14:paraId="6A18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431C5070">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pH（无纲量）</w:t>
            </w:r>
          </w:p>
        </w:tc>
        <w:tc>
          <w:tcPr>
            <w:tcW w:w="1323" w:type="pct"/>
            <w:vAlign w:val="center"/>
          </w:tcPr>
          <w:p w14:paraId="3046B9F2">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6.5～8.5</w:t>
            </w:r>
          </w:p>
        </w:tc>
        <w:tc>
          <w:tcPr>
            <w:tcW w:w="1989" w:type="pct"/>
            <w:vMerge w:val="restart"/>
            <w:vAlign w:val="center"/>
          </w:tcPr>
          <w:p w14:paraId="245849EA">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《地下水质量标准》（GB/T14848-2017）中Ⅲ类标准</w:t>
            </w:r>
          </w:p>
        </w:tc>
      </w:tr>
      <w:tr w14:paraId="40F1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42D03450">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氨氮（mg/L）</w:t>
            </w:r>
          </w:p>
        </w:tc>
        <w:tc>
          <w:tcPr>
            <w:tcW w:w="1323" w:type="pct"/>
            <w:vAlign w:val="center"/>
          </w:tcPr>
          <w:p w14:paraId="4873A971">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0.5</w:t>
            </w:r>
          </w:p>
        </w:tc>
        <w:tc>
          <w:tcPr>
            <w:tcW w:w="1989" w:type="pct"/>
            <w:vMerge w:val="continue"/>
            <w:vAlign w:val="center"/>
          </w:tcPr>
          <w:p w14:paraId="18383FBA">
            <w:pPr>
              <w:spacing w:line="360" w:lineRule="exact"/>
              <w:jc w:val="center"/>
              <w:rPr>
                <w:rFonts w:ascii="Times New Roman" w:hAnsi="Times New Roman" w:cs="Times New Roman"/>
                <w:color w:val="auto"/>
                <w:w w:val="99"/>
                <w:kern w:val="2"/>
                <w:sz w:val="21"/>
                <w:szCs w:val="21"/>
                <w:highlight w:val="none"/>
              </w:rPr>
            </w:pPr>
          </w:p>
        </w:tc>
      </w:tr>
      <w:tr w14:paraId="6F1C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0A645ADF">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硝酸盐(以N计)（mg/L）</w:t>
            </w:r>
          </w:p>
        </w:tc>
        <w:tc>
          <w:tcPr>
            <w:tcW w:w="1323" w:type="pct"/>
            <w:vAlign w:val="center"/>
          </w:tcPr>
          <w:p w14:paraId="46FED150">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20</w:t>
            </w:r>
          </w:p>
        </w:tc>
        <w:tc>
          <w:tcPr>
            <w:tcW w:w="1989" w:type="pct"/>
            <w:vMerge w:val="continue"/>
            <w:vAlign w:val="center"/>
          </w:tcPr>
          <w:p w14:paraId="38B0BBA9">
            <w:pPr>
              <w:spacing w:line="360" w:lineRule="exact"/>
              <w:jc w:val="center"/>
              <w:rPr>
                <w:rFonts w:ascii="Times New Roman" w:hAnsi="Times New Roman" w:cs="Times New Roman"/>
                <w:color w:val="auto"/>
                <w:w w:val="99"/>
                <w:kern w:val="2"/>
                <w:sz w:val="21"/>
                <w:szCs w:val="21"/>
                <w:highlight w:val="none"/>
              </w:rPr>
            </w:pPr>
          </w:p>
        </w:tc>
      </w:tr>
      <w:tr w14:paraId="4936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23576846">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亚硝酸盐(以N计)（mg/L）</w:t>
            </w:r>
          </w:p>
        </w:tc>
        <w:tc>
          <w:tcPr>
            <w:tcW w:w="1323" w:type="pct"/>
            <w:vAlign w:val="center"/>
          </w:tcPr>
          <w:p w14:paraId="6B4810E1">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1.0</w:t>
            </w:r>
          </w:p>
        </w:tc>
        <w:tc>
          <w:tcPr>
            <w:tcW w:w="1989" w:type="pct"/>
            <w:vMerge w:val="continue"/>
            <w:vAlign w:val="center"/>
          </w:tcPr>
          <w:p w14:paraId="46BC8492">
            <w:pPr>
              <w:spacing w:line="360" w:lineRule="exact"/>
              <w:jc w:val="center"/>
              <w:rPr>
                <w:rFonts w:ascii="Times New Roman" w:hAnsi="Times New Roman" w:cs="Times New Roman"/>
                <w:color w:val="auto"/>
                <w:w w:val="99"/>
                <w:kern w:val="2"/>
                <w:sz w:val="21"/>
                <w:szCs w:val="21"/>
                <w:highlight w:val="none"/>
              </w:rPr>
            </w:pPr>
          </w:p>
        </w:tc>
      </w:tr>
      <w:tr w14:paraId="37D0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4FAC58C2">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挥发性酚类（mg/L）</w:t>
            </w:r>
          </w:p>
        </w:tc>
        <w:tc>
          <w:tcPr>
            <w:tcW w:w="1323" w:type="pct"/>
            <w:vAlign w:val="center"/>
          </w:tcPr>
          <w:p w14:paraId="21D5E5F7">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0.002</w:t>
            </w:r>
          </w:p>
        </w:tc>
        <w:tc>
          <w:tcPr>
            <w:tcW w:w="1989" w:type="pct"/>
            <w:vMerge w:val="continue"/>
            <w:vAlign w:val="center"/>
          </w:tcPr>
          <w:p w14:paraId="25E40641">
            <w:pPr>
              <w:spacing w:line="360" w:lineRule="exact"/>
              <w:jc w:val="center"/>
              <w:rPr>
                <w:rFonts w:ascii="Times New Roman" w:hAnsi="Times New Roman" w:cs="Times New Roman"/>
                <w:color w:val="auto"/>
                <w:w w:val="99"/>
                <w:kern w:val="2"/>
                <w:sz w:val="21"/>
                <w:szCs w:val="21"/>
                <w:highlight w:val="none"/>
              </w:rPr>
            </w:pPr>
          </w:p>
        </w:tc>
      </w:tr>
      <w:tr w14:paraId="0115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5D0BDDA4">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氰化物（mg/L）</w:t>
            </w:r>
          </w:p>
        </w:tc>
        <w:tc>
          <w:tcPr>
            <w:tcW w:w="1323" w:type="pct"/>
            <w:vAlign w:val="center"/>
          </w:tcPr>
          <w:p w14:paraId="2B42CDF2">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0.05</w:t>
            </w:r>
          </w:p>
        </w:tc>
        <w:tc>
          <w:tcPr>
            <w:tcW w:w="1989" w:type="pct"/>
            <w:vMerge w:val="continue"/>
            <w:vAlign w:val="center"/>
          </w:tcPr>
          <w:p w14:paraId="3CE38FEF">
            <w:pPr>
              <w:spacing w:line="360" w:lineRule="exact"/>
              <w:jc w:val="center"/>
              <w:rPr>
                <w:rFonts w:ascii="Times New Roman" w:hAnsi="Times New Roman" w:cs="Times New Roman"/>
                <w:color w:val="auto"/>
                <w:w w:val="99"/>
                <w:kern w:val="2"/>
                <w:sz w:val="21"/>
                <w:szCs w:val="21"/>
                <w:highlight w:val="none"/>
              </w:rPr>
            </w:pPr>
          </w:p>
        </w:tc>
      </w:tr>
      <w:tr w14:paraId="1C50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36C9C35C">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砷（mg/L）</w:t>
            </w:r>
          </w:p>
        </w:tc>
        <w:tc>
          <w:tcPr>
            <w:tcW w:w="1323" w:type="pct"/>
            <w:vAlign w:val="center"/>
          </w:tcPr>
          <w:p w14:paraId="755872EB">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0.01</w:t>
            </w:r>
          </w:p>
        </w:tc>
        <w:tc>
          <w:tcPr>
            <w:tcW w:w="1989" w:type="pct"/>
            <w:vMerge w:val="continue"/>
            <w:vAlign w:val="center"/>
          </w:tcPr>
          <w:p w14:paraId="5D3D8626">
            <w:pPr>
              <w:spacing w:line="360" w:lineRule="exact"/>
              <w:jc w:val="center"/>
              <w:rPr>
                <w:rFonts w:ascii="Times New Roman" w:hAnsi="Times New Roman" w:cs="Times New Roman"/>
                <w:color w:val="auto"/>
                <w:w w:val="99"/>
                <w:kern w:val="2"/>
                <w:sz w:val="21"/>
                <w:szCs w:val="21"/>
                <w:highlight w:val="none"/>
              </w:rPr>
            </w:pPr>
          </w:p>
        </w:tc>
      </w:tr>
      <w:tr w14:paraId="1B69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4E866C2E">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汞（mg/L）</w:t>
            </w:r>
          </w:p>
        </w:tc>
        <w:tc>
          <w:tcPr>
            <w:tcW w:w="1323" w:type="pct"/>
            <w:vAlign w:val="center"/>
          </w:tcPr>
          <w:p w14:paraId="15F0FB27">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0.001</w:t>
            </w:r>
          </w:p>
        </w:tc>
        <w:tc>
          <w:tcPr>
            <w:tcW w:w="1989" w:type="pct"/>
            <w:vMerge w:val="continue"/>
            <w:vAlign w:val="center"/>
          </w:tcPr>
          <w:p w14:paraId="58DFC3DC">
            <w:pPr>
              <w:spacing w:line="360" w:lineRule="exact"/>
              <w:jc w:val="center"/>
              <w:rPr>
                <w:rFonts w:ascii="Times New Roman" w:hAnsi="Times New Roman" w:cs="Times New Roman"/>
                <w:color w:val="auto"/>
                <w:w w:val="99"/>
                <w:kern w:val="2"/>
                <w:sz w:val="21"/>
                <w:szCs w:val="21"/>
                <w:highlight w:val="none"/>
              </w:rPr>
            </w:pPr>
          </w:p>
        </w:tc>
      </w:tr>
      <w:tr w14:paraId="7BD5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4039C9FA">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铬（六价）（mg/L）</w:t>
            </w:r>
          </w:p>
        </w:tc>
        <w:tc>
          <w:tcPr>
            <w:tcW w:w="1323" w:type="pct"/>
            <w:vAlign w:val="center"/>
          </w:tcPr>
          <w:p w14:paraId="040651C4">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0.05</w:t>
            </w:r>
          </w:p>
        </w:tc>
        <w:tc>
          <w:tcPr>
            <w:tcW w:w="1989" w:type="pct"/>
            <w:vMerge w:val="continue"/>
            <w:vAlign w:val="center"/>
          </w:tcPr>
          <w:p w14:paraId="017B8CCC">
            <w:pPr>
              <w:spacing w:line="360" w:lineRule="exact"/>
              <w:jc w:val="center"/>
              <w:rPr>
                <w:rFonts w:ascii="Times New Roman" w:hAnsi="Times New Roman" w:cs="Times New Roman"/>
                <w:color w:val="auto"/>
                <w:w w:val="99"/>
                <w:kern w:val="2"/>
                <w:sz w:val="21"/>
                <w:szCs w:val="21"/>
                <w:highlight w:val="none"/>
              </w:rPr>
            </w:pPr>
          </w:p>
        </w:tc>
      </w:tr>
      <w:tr w14:paraId="38FC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3803A55C">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总硬度（mg/L）</w:t>
            </w:r>
          </w:p>
        </w:tc>
        <w:tc>
          <w:tcPr>
            <w:tcW w:w="1323" w:type="pct"/>
            <w:vAlign w:val="center"/>
          </w:tcPr>
          <w:p w14:paraId="7EEB8905">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450</w:t>
            </w:r>
          </w:p>
        </w:tc>
        <w:tc>
          <w:tcPr>
            <w:tcW w:w="1989" w:type="pct"/>
            <w:vMerge w:val="continue"/>
            <w:vAlign w:val="center"/>
          </w:tcPr>
          <w:p w14:paraId="2CF47369">
            <w:pPr>
              <w:spacing w:line="360" w:lineRule="exact"/>
              <w:jc w:val="center"/>
              <w:rPr>
                <w:rFonts w:ascii="Times New Roman" w:hAnsi="Times New Roman" w:cs="Times New Roman"/>
                <w:color w:val="auto"/>
                <w:w w:val="99"/>
                <w:kern w:val="2"/>
                <w:sz w:val="21"/>
                <w:szCs w:val="21"/>
                <w:highlight w:val="none"/>
              </w:rPr>
            </w:pPr>
          </w:p>
        </w:tc>
      </w:tr>
      <w:tr w14:paraId="45F1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451D7A7E">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铅（mg/L）</w:t>
            </w:r>
          </w:p>
        </w:tc>
        <w:tc>
          <w:tcPr>
            <w:tcW w:w="1323" w:type="pct"/>
            <w:vAlign w:val="center"/>
          </w:tcPr>
          <w:p w14:paraId="16F11D0D">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0.01</w:t>
            </w:r>
          </w:p>
        </w:tc>
        <w:tc>
          <w:tcPr>
            <w:tcW w:w="1989" w:type="pct"/>
            <w:vMerge w:val="continue"/>
            <w:vAlign w:val="center"/>
          </w:tcPr>
          <w:p w14:paraId="3AF43711">
            <w:pPr>
              <w:spacing w:line="360" w:lineRule="exact"/>
              <w:jc w:val="center"/>
              <w:rPr>
                <w:rFonts w:ascii="Times New Roman" w:hAnsi="Times New Roman" w:cs="Times New Roman"/>
                <w:color w:val="auto"/>
                <w:w w:val="99"/>
                <w:kern w:val="2"/>
                <w:sz w:val="21"/>
                <w:szCs w:val="21"/>
                <w:highlight w:val="none"/>
              </w:rPr>
            </w:pPr>
          </w:p>
        </w:tc>
      </w:tr>
      <w:tr w14:paraId="7DB0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5754B16F">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氟化物（mg/L）</w:t>
            </w:r>
          </w:p>
        </w:tc>
        <w:tc>
          <w:tcPr>
            <w:tcW w:w="1323" w:type="pct"/>
            <w:vAlign w:val="center"/>
          </w:tcPr>
          <w:p w14:paraId="6727E4E2">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1.0</w:t>
            </w:r>
          </w:p>
        </w:tc>
        <w:tc>
          <w:tcPr>
            <w:tcW w:w="1989" w:type="pct"/>
            <w:vMerge w:val="continue"/>
            <w:vAlign w:val="center"/>
          </w:tcPr>
          <w:p w14:paraId="0084B215">
            <w:pPr>
              <w:spacing w:line="360" w:lineRule="exact"/>
              <w:jc w:val="center"/>
              <w:rPr>
                <w:rFonts w:ascii="Times New Roman" w:hAnsi="Times New Roman" w:cs="Times New Roman"/>
                <w:color w:val="auto"/>
                <w:w w:val="99"/>
                <w:kern w:val="2"/>
                <w:sz w:val="21"/>
                <w:szCs w:val="21"/>
                <w:highlight w:val="none"/>
              </w:rPr>
            </w:pPr>
          </w:p>
        </w:tc>
      </w:tr>
      <w:tr w14:paraId="4756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7906E471">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镉（mg/L）</w:t>
            </w:r>
          </w:p>
        </w:tc>
        <w:tc>
          <w:tcPr>
            <w:tcW w:w="1323" w:type="pct"/>
            <w:vAlign w:val="center"/>
          </w:tcPr>
          <w:p w14:paraId="1876C20F">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0.005</w:t>
            </w:r>
          </w:p>
        </w:tc>
        <w:tc>
          <w:tcPr>
            <w:tcW w:w="1989" w:type="pct"/>
            <w:vMerge w:val="continue"/>
            <w:vAlign w:val="center"/>
          </w:tcPr>
          <w:p w14:paraId="1EFF686E">
            <w:pPr>
              <w:spacing w:line="360" w:lineRule="exact"/>
              <w:jc w:val="center"/>
              <w:rPr>
                <w:rFonts w:ascii="Times New Roman" w:hAnsi="Times New Roman" w:cs="Times New Roman"/>
                <w:color w:val="auto"/>
                <w:w w:val="99"/>
                <w:kern w:val="2"/>
                <w:sz w:val="21"/>
                <w:szCs w:val="21"/>
                <w:highlight w:val="none"/>
              </w:rPr>
            </w:pPr>
          </w:p>
        </w:tc>
      </w:tr>
      <w:tr w14:paraId="61F0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4D1E3A84">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钠（mg/L）</w:t>
            </w:r>
          </w:p>
        </w:tc>
        <w:tc>
          <w:tcPr>
            <w:tcW w:w="1323" w:type="pct"/>
            <w:vAlign w:val="center"/>
          </w:tcPr>
          <w:p w14:paraId="1BB7B811">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200</w:t>
            </w:r>
          </w:p>
        </w:tc>
        <w:tc>
          <w:tcPr>
            <w:tcW w:w="1989" w:type="pct"/>
            <w:vMerge w:val="continue"/>
            <w:vAlign w:val="center"/>
          </w:tcPr>
          <w:p w14:paraId="721D1D0B">
            <w:pPr>
              <w:spacing w:line="360" w:lineRule="exact"/>
              <w:jc w:val="center"/>
              <w:rPr>
                <w:rFonts w:ascii="Times New Roman" w:hAnsi="Times New Roman" w:cs="Times New Roman"/>
                <w:color w:val="auto"/>
                <w:w w:val="99"/>
                <w:kern w:val="2"/>
                <w:sz w:val="21"/>
                <w:szCs w:val="21"/>
                <w:highlight w:val="none"/>
              </w:rPr>
            </w:pPr>
          </w:p>
        </w:tc>
      </w:tr>
      <w:tr w14:paraId="3D86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55893246">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铁（mg/L）</w:t>
            </w:r>
          </w:p>
        </w:tc>
        <w:tc>
          <w:tcPr>
            <w:tcW w:w="1323" w:type="pct"/>
            <w:vAlign w:val="center"/>
          </w:tcPr>
          <w:p w14:paraId="0B5A7835">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0.3</w:t>
            </w:r>
          </w:p>
        </w:tc>
        <w:tc>
          <w:tcPr>
            <w:tcW w:w="1989" w:type="pct"/>
            <w:vMerge w:val="continue"/>
            <w:vAlign w:val="center"/>
          </w:tcPr>
          <w:p w14:paraId="28C23563">
            <w:pPr>
              <w:spacing w:line="360" w:lineRule="exact"/>
              <w:jc w:val="center"/>
              <w:rPr>
                <w:rFonts w:ascii="Times New Roman" w:hAnsi="Times New Roman" w:cs="Times New Roman"/>
                <w:color w:val="auto"/>
                <w:w w:val="99"/>
                <w:kern w:val="2"/>
                <w:sz w:val="21"/>
                <w:szCs w:val="21"/>
                <w:highlight w:val="none"/>
              </w:rPr>
            </w:pPr>
          </w:p>
        </w:tc>
      </w:tr>
      <w:tr w14:paraId="48C1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7CBCC169">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锰（mg/L）</w:t>
            </w:r>
          </w:p>
        </w:tc>
        <w:tc>
          <w:tcPr>
            <w:tcW w:w="1323" w:type="pct"/>
            <w:vAlign w:val="center"/>
          </w:tcPr>
          <w:p w14:paraId="7054CF61">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0.1</w:t>
            </w:r>
          </w:p>
        </w:tc>
        <w:tc>
          <w:tcPr>
            <w:tcW w:w="1989" w:type="pct"/>
            <w:vMerge w:val="continue"/>
            <w:vAlign w:val="center"/>
          </w:tcPr>
          <w:p w14:paraId="00A4AE5C">
            <w:pPr>
              <w:spacing w:line="360" w:lineRule="exact"/>
              <w:jc w:val="center"/>
              <w:rPr>
                <w:rFonts w:ascii="Times New Roman" w:hAnsi="Times New Roman" w:cs="Times New Roman"/>
                <w:color w:val="auto"/>
                <w:w w:val="99"/>
                <w:kern w:val="2"/>
                <w:sz w:val="21"/>
                <w:szCs w:val="21"/>
                <w:highlight w:val="none"/>
              </w:rPr>
            </w:pPr>
          </w:p>
        </w:tc>
      </w:tr>
      <w:tr w14:paraId="79AC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47E80B06">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溶解性总固体（mg/L）</w:t>
            </w:r>
          </w:p>
        </w:tc>
        <w:tc>
          <w:tcPr>
            <w:tcW w:w="1323" w:type="pct"/>
            <w:vAlign w:val="center"/>
          </w:tcPr>
          <w:p w14:paraId="2BFBC10B">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1000</w:t>
            </w:r>
          </w:p>
        </w:tc>
        <w:tc>
          <w:tcPr>
            <w:tcW w:w="1989" w:type="pct"/>
            <w:vMerge w:val="continue"/>
            <w:vAlign w:val="center"/>
          </w:tcPr>
          <w:p w14:paraId="742990FE">
            <w:pPr>
              <w:spacing w:line="360" w:lineRule="exact"/>
              <w:jc w:val="center"/>
              <w:rPr>
                <w:rFonts w:ascii="Times New Roman" w:hAnsi="Times New Roman" w:cs="Times New Roman"/>
                <w:color w:val="auto"/>
                <w:w w:val="99"/>
                <w:kern w:val="2"/>
                <w:sz w:val="21"/>
                <w:szCs w:val="21"/>
                <w:highlight w:val="none"/>
              </w:rPr>
            </w:pPr>
          </w:p>
        </w:tc>
      </w:tr>
      <w:tr w14:paraId="25AC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657F542C">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耗氧量（mg/L）</w:t>
            </w:r>
          </w:p>
        </w:tc>
        <w:tc>
          <w:tcPr>
            <w:tcW w:w="1323" w:type="pct"/>
            <w:vAlign w:val="center"/>
          </w:tcPr>
          <w:p w14:paraId="60CCFBD1">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3.0</w:t>
            </w:r>
          </w:p>
        </w:tc>
        <w:tc>
          <w:tcPr>
            <w:tcW w:w="1989" w:type="pct"/>
            <w:vMerge w:val="continue"/>
            <w:vAlign w:val="center"/>
          </w:tcPr>
          <w:p w14:paraId="32E566FB">
            <w:pPr>
              <w:spacing w:line="360" w:lineRule="exact"/>
              <w:jc w:val="center"/>
              <w:rPr>
                <w:rFonts w:ascii="Times New Roman" w:hAnsi="Times New Roman" w:cs="Times New Roman"/>
                <w:color w:val="auto"/>
                <w:w w:val="99"/>
                <w:kern w:val="2"/>
                <w:sz w:val="21"/>
                <w:szCs w:val="21"/>
                <w:highlight w:val="none"/>
              </w:rPr>
            </w:pPr>
          </w:p>
        </w:tc>
      </w:tr>
      <w:tr w14:paraId="78AD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62FCF0F1">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硫酸盐（mg/L）</w:t>
            </w:r>
          </w:p>
        </w:tc>
        <w:tc>
          <w:tcPr>
            <w:tcW w:w="1323" w:type="pct"/>
            <w:vAlign w:val="center"/>
          </w:tcPr>
          <w:p w14:paraId="1CB4327B">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250</w:t>
            </w:r>
          </w:p>
        </w:tc>
        <w:tc>
          <w:tcPr>
            <w:tcW w:w="1989" w:type="pct"/>
            <w:vMerge w:val="continue"/>
            <w:vAlign w:val="center"/>
          </w:tcPr>
          <w:p w14:paraId="480165DC">
            <w:pPr>
              <w:spacing w:line="360" w:lineRule="exact"/>
              <w:jc w:val="center"/>
              <w:rPr>
                <w:rFonts w:ascii="Times New Roman" w:hAnsi="Times New Roman" w:cs="Times New Roman"/>
                <w:color w:val="auto"/>
                <w:w w:val="99"/>
                <w:kern w:val="2"/>
                <w:sz w:val="21"/>
                <w:szCs w:val="21"/>
                <w:highlight w:val="none"/>
              </w:rPr>
            </w:pPr>
          </w:p>
        </w:tc>
      </w:tr>
      <w:tr w14:paraId="285F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34027E90">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氯化物（mg/L）</w:t>
            </w:r>
          </w:p>
        </w:tc>
        <w:tc>
          <w:tcPr>
            <w:tcW w:w="1323" w:type="pct"/>
            <w:vAlign w:val="center"/>
          </w:tcPr>
          <w:p w14:paraId="5EBE35F3">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250</w:t>
            </w:r>
          </w:p>
        </w:tc>
        <w:tc>
          <w:tcPr>
            <w:tcW w:w="1989" w:type="pct"/>
            <w:vMerge w:val="continue"/>
            <w:vAlign w:val="center"/>
          </w:tcPr>
          <w:p w14:paraId="42288ABC">
            <w:pPr>
              <w:spacing w:line="360" w:lineRule="exact"/>
              <w:jc w:val="center"/>
              <w:rPr>
                <w:rFonts w:ascii="Times New Roman" w:hAnsi="Times New Roman" w:cs="Times New Roman"/>
                <w:color w:val="auto"/>
                <w:w w:val="99"/>
                <w:kern w:val="2"/>
                <w:sz w:val="21"/>
                <w:szCs w:val="21"/>
                <w:highlight w:val="none"/>
              </w:rPr>
            </w:pPr>
          </w:p>
        </w:tc>
      </w:tr>
      <w:tr w14:paraId="2CFA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67EF3D3A">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总大肠菌群（MPN/100mL）</w:t>
            </w:r>
          </w:p>
        </w:tc>
        <w:tc>
          <w:tcPr>
            <w:tcW w:w="1323" w:type="pct"/>
            <w:vAlign w:val="center"/>
          </w:tcPr>
          <w:p w14:paraId="600CC464">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3.0</w:t>
            </w:r>
          </w:p>
        </w:tc>
        <w:tc>
          <w:tcPr>
            <w:tcW w:w="1989" w:type="pct"/>
            <w:vMerge w:val="continue"/>
            <w:vAlign w:val="center"/>
          </w:tcPr>
          <w:p w14:paraId="64D726DD">
            <w:pPr>
              <w:spacing w:line="360" w:lineRule="exact"/>
              <w:jc w:val="center"/>
              <w:rPr>
                <w:rFonts w:ascii="Times New Roman" w:hAnsi="Times New Roman" w:cs="Times New Roman"/>
                <w:color w:val="auto"/>
                <w:w w:val="99"/>
                <w:kern w:val="2"/>
                <w:sz w:val="21"/>
                <w:szCs w:val="21"/>
                <w:highlight w:val="none"/>
              </w:rPr>
            </w:pPr>
          </w:p>
        </w:tc>
      </w:tr>
      <w:tr w14:paraId="4920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2D9AB3C3">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菌落总数（CFU/mL）</w:t>
            </w:r>
          </w:p>
        </w:tc>
        <w:tc>
          <w:tcPr>
            <w:tcW w:w="1323" w:type="pct"/>
            <w:vAlign w:val="center"/>
          </w:tcPr>
          <w:p w14:paraId="22EF041A">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100</w:t>
            </w:r>
          </w:p>
        </w:tc>
        <w:tc>
          <w:tcPr>
            <w:tcW w:w="1989" w:type="pct"/>
            <w:vMerge w:val="continue"/>
            <w:vAlign w:val="center"/>
          </w:tcPr>
          <w:p w14:paraId="467D1F21">
            <w:pPr>
              <w:spacing w:line="360" w:lineRule="exact"/>
              <w:jc w:val="center"/>
              <w:rPr>
                <w:rFonts w:ascii="Times New Roman" w:hAnsi="Times New Roman" w:cs="Times New Roman"/>
                <w:color w:val="auto"/>
                <w:w w:val="99"/>
                <w:kern w:val="2"/>
                <w:sz w:val="21"/>
                <w:szCs w:val="21"/>
                <w:highlight w:val="none"/>
              </w:rPr>
            </w:pPr>
          </w:p>
        </w:tc>
      </w:tr>
      <w:tr w14:paraId="621A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6D787199">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硫化物（mg/L）</w:t>
            </w:r>
          </w:p>
        </w:tc>
        <w:tc>
          <w:tcPr>
            <w:tcW w:w="1323" w:type="pct"/>
            <w:vAlign w:val="center"/>
          </w:tcPr>
          <w:p w14:paraId="40AAFD7B">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≤0.02</w:t>
            </w:r>
          </w:p>
        </w:tc>
        <w:tc>
          <w:tcPr>
            <w:tcW w:w="1989" w:type="pct"/>
            <w:vMerge w:val="continue"/>
            <w:vAlign w:val="center"/>
          </w:tcPr>
          <w:p w14:paraId="7ACB3E1B">
            <w:pPr>
              <w:spacing w:line="360" w:lineRule="exact"/>
              <w:jc w:val="center"/>
              <w:rPr>
                <w:rFonts w:ascii="Times New Roman" w:hAnsi="Times New Roman" w:cs="Times New Roman"/>
                <w:color w:val="auto"/>
                <w:w w:val="99"/>
                <w:kern w:val="2"/>
                <w:sz w:val="21"/>
                <w:szCs w:val="21"/>
                <w:highlight w:val="none"/>
              </w:rPr>
            </w:pPr>
          </w:p>
        </w:tc>
      </w:tr>
      <w:tr w14:paraId="7C9F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321DDADE">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钡（mg/L）</w:t>
            </w:r>
          </w:p>
        </w:tc>
        <w:tc>
          <w:tcPr>
            <w:tcW w:w="1323" w:type="pct"/>
            <w:vAlign w:val="center"/>
          </w:tcPr>
          <w:p w14:paraId="3E624506">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≤0.70</w:t>
            </w:r>
          </w:p>
        </w:tc>
        <w:tc>
          <w:tcPr>
            <w:tcW w:w="1989" w:type="pct"/>
            <w:vMerge w:val="continue"/>
            <w:vAlign w:val="center"/>
          </w:tcPr>
          <w:p w14:paraId="5AFED0DE">
            <w:pPr>
              <w:spacing w:line="360" w:lineRule="exact"/>
              <w:jc w:val="center"/>
              <w:rPr>
                <w:rFonts w:ascii="Times New Roman" w:hAnsi="Times New Roman" w:cs="Times New Roman"/>
                <w:color w:val="auto"/>
                <w:w w:val="99"/>
                <w:kern w:val="2"/>
                <w:sz w:val="21"/>
                <w:szCs w:val="21"/>
                <w:highlight w:val="none"/>
              </w:rPr>
            </w:pPr>
          </w:p>
        </w:tc>
      </w:tr>
      <w:tr w14:paraId="70A3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vAlign w:val="center"/>
          </w:tcPr>
          <w:p w14:paraId="17658705">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石油类</w:t>
            </w:r>
          </w:p>
        </w:tc>
        <w:tc>
          <w:tcPr>
            <w:tcW w:w="1323" w:type="pct"/>
            <w:vAlign w:val="center"/>
          </w:tcPr>
          <w:p w14:paraId="2CF9985E">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sz w:val="21"/>
                <w:szCs w:val="21"/>
                <w:highlight w:val="none"/>
              </w:rPr>
              <w:t>≤</w:t>
            </w:r>
            <w:r>
              <w:rPr>
                <w:rFonts w:ascii="Times New Roman" w:hAnsi="Times New Roman" w:cs="Times New Roman"/>
                <w:color w:val="auto"/>
                <w:w w:val="99"/>
                <w:kern w:val="2"/>
                <w:sz w:val="21"/>
                <w:szCs w:val="21"/>
                <w:highlight w:val="none"/>
              </w:rPr>
              <w:t>0.05</w:t>
            </w:r>
          </w:p>
        </w:tc>
        <w:tc>
          <w:tcPr>
            <w:tcW w:w="1989" w:type="pct"/>
            <w:vAlign w:val="center"/>
          </w:tcPr>
          <w:p w14:paraId="7E5727E9">
            <w:pPr>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《地表水环境质量标准》（GB3838-2002）表1中的II类标准限值要求</w:t>
            </w:r>
          </w:p>
        </w:tc>
      </w:tr>
    </w:tbl>
    <w:p w14:paraId="394551B4">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2.6.1.4声环境</w:t>
      </w:r>
    </w:p>
    <w:p w14:paraId="335C3B49">
      <w:pPr>
        <w:pStyle w:val="153"/>
        <w:widowControl w:val="0"/>
        <w:spacing w:line="440" w:lineRule="exact"/>
        <w:ind w:firstLine="473"/>
        <w:rPr>
          <w:rFonts w:ascii="Times New Roman" w:hAnsi="Times New Roman" w:eastAsia="宋体" w:cs="Times New Roman"/>
          <w:snapToGrid w:val="0"/>
          <w:color w:val="auto"/>
          <w:w w:val="99"/>
          <w:highlight w:val="none"/>
        </w:rPr>
      </w:pPr>
      <w:r>
        <w:rPr>
          <w:rFonts w:hint="eastAsia" w:ascii="Times New Roman" w:hAnsi="Times New Roman" w:cs="Times New Roman"/>
          <w:color w:val="auto"/>
          <w:w w:val="99"/>
          <w:highlight w:val="none"/>
        </w:rPr>
        <w:t>本项目所在区域未划分声功能区，本项目位于居住、工业混杂区域，且项目周边200m范围内无声环境敏感点，因此根据《声环境质量标准》（GB3096-2008），项目区域声环境执行《声环境质量标准》（GB3096-2008）中2类区标准，周围村屯</w:t>
      </w:r>
      <w:r>
        <w:rPr>
          <w:rFonts w:hint="eastAsia" w:ascii="Times New Roman" w:hAnsi="Times New Roman" w:cs="Times New Roman"/>
          <w:color w:val="auto"/>
          <w:w w:val="99"/>
          <w:highlight w:val="none"/>
          <w:lang w:eastAsia="zh-CN"/>
        </w:rPr>
        <w:t>声环境执行</w:t>
      </w:r>
      <w:r>
        <w:rPr>
          <w:rFonts w:hint="eastAsia" w:ascii="Times New Roman" w:hAnsi="Times New Roman" w:cs="Times New Roman"/>
          <w:color w:val="auto"/>
          <w:w w:val="99"/>
          <w:highlight w:val="none"/>
        </w:rPr>
        <w:t>1类。</w:t>
      </w:r>
      <w:r>
        <w:rPr>
          <w:rFonts w:ascii="Times New Roman" w:hAnsi="Times New Roman" w:eastAsia="宋体" w:cs="Times New Roman"/>
          <w:snapToGrid w:val="0"/>
          <w:color w:val="auto"/>
          <w:w w:val="99"/>
          <w:highlight w:val="none"/>
        </w:rPr>
        <w:t>具体见表2.6-4。</w:t>
      </w:r>
    </w:p>
    <w:p w14:paraId="7035AC76">
      <w:pPr>
        <w:widowControl w:val="0"/>
        <w:spacing w:line="440" w:lineRule="exact"/>
        <w:ind w:firstLine="476" w:firstLineChars="200"/>
        <w:jc w:val="both"/>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表2.6-4    声环境质量标准    单位：dB（A）</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6"/>
        <w:gridCol w:w="2179"/>
        <w:gridCol w:w="2172"/>
      </w:tblGrid>
      <w:tr w14:paraId="56F6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7" w:type="pct"/>
            <w:vAlign w:val="center"/>
          </w:tcPr>
          <w:p w14:paraId="56261809">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1173" w:type="pct"/>
            <w:vAlign w:val="center"/>
          </w:tcPr>
          <w:p w14:paraId="0E750423">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昼  间</w:t>
            </w:r>
          </w:p>
        </w:tc>
        <w:tc>
          <w:tcPr>
            <w:tcW w:w="1169" w:type="pct"/>
            <w:vAlign w:val="center"/>
          </w:tcPr>
          <w:p w14:paraId="3A2C77A6">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夜  间</w:t>
            </w:r>
          </w:p>
        </w:tc>
      </w:tr>
      <w:tr w14:paraId="1EE3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7" w:type="pct"/>
            <w:vAlign w:val="center"/>
          </w:tcPr>
          <w:p w14:paraId="5BC856DF">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《声环境质量标准》（GB3096-2008）中1类标准</w:t>
            </w:r>
          </w:p>
        </w:tc>
        <w:tc>
          <w:tcPr>
            <w:tcW w:w="1173" w:type="pct"/>
            <w:vAlign w:val="center"/>
          </w:tcPr>
          <w:p w14:paraId="2FB981CE">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55</w:t>
            </w:r>
          </w:p>
        </w:tc>
        <w:tc>
          <w:tcPr>
            <w:tcW w:w="1169" w:type="pct"/>
            <w:vAlign w:val="center"/>
          </w:tcPr>
          <w:p w14:paraId="7AB578AD">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r>
      <w:tr w14:paraId="0AAD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7" w:type="pct"/>
            <w:vAlign w:val="center"/>
          </w:tcPr>
          <w:p w14:paraId="1688B719">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《声环境质量标准》（GB3096-2008）中2类标准</w:t>
            </w:r>
          </w:p>
        </w:tc>
        <w:tc>
          <w:tcPr>
            <w:tcW w:w="1173" w:type="pct"/>
            <w:vAlign w:val="center"/>
          </w:tcPr>
          <w:p w14:paraId="15E4F16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w:t>
            </w:r>
          </w:p>
        </w:tc>
        <w:tc>
          <w:tcPr>
            <w:tcW w:w="1169" w:type="pct"/>
            <w:vAlign w:val="center"/>
          </w:tcPr>
          <w:p w14:paraId="0B0CF207">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r>
    </w:tbl>
    <w:p w14:paraId="32BC52FD">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2.6.1.5土壤环境</w:t>
      </w:r>
    </w:p>
    <w:p w14:paraId="7DC88C52">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本项目永久占地内土壤执行《土壤环境质量 建设用地土壤污染风险管控标准（试行）》（GB36600-2018）中第二类用地筛选值，永久占地外居民区内土壤执行《土壤环境质量 建设用地土壤污染风险管控标准（试行）》（GB36600-2018）中第一类用地筛选值，具体见表2.6-5。</w:t>
      </w:r>
    </w:p>
    <w:p w14:paraId="11BC32E2">
      <w:pPr>
        <w:widowControl w:val="0"/>
        <w:spacing w:line="440" w:lineRule="exact"/>
        <w:ind w:firstLine="476"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b/>
          <w:color w:val="auto"/>
          <w:w w:val="99"/>
          <w:kern w:val="2"/>
          <w:szCs w:val="20"/>
          <w:highlight w:val="none"/>
        </w:rPr>
        <w:t>表2.6-5</w:t>
      </w:r>
      <w:r>
        <w:rPr>
          <w:rFonts w:ascii="Times New Roman" w:hAnsi="Times New Roman" w:cs="Times New Roman" w:eastAsiaTheme="minorEastAsia"/>
          <w:b/>
          <w:bCs/>
          <w:color w:val="auto"/>
          <w:w w:val="99"/>
          <w:kern w:val="2"/>
          <w:highlight w:val="none"/>
        </w:rPr>
        <w:t xml:space="preserve">    土壤环境执行标准    单位：mg/kg</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313"/>
        <w:gridCol w:w="1685"/>
        <w:gridCol w:w="1722"/>
        <w:gridCol w:w="2764"/>
      </w:tblGrid>
      <w:tr w14:paraId="4CF8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restart"/>
            <w:vAlign w:val="center"/>
          </w:tcPr>
          <w:p w14:paraId="7BF8BCC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序号</w:t>
            </w:r>
          </w:p>
        </w:tc>
        <w:tc>
          <w:tcPr>
            <w:tcW w:w="1245" w:type="pct"/>
            <w:vMerge w:val="restart"/>
            <w:vAlign w:val="center"/>
          </w:tcPr>
          <w:p w14:paraId="106EEC5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监测项目</w:t>
            </w:r>
          </w:p>
        </w:tc>
        <w:tc>
          <w:tcPr>
            <w:tcW w:w="1834" w:type="pct"/>
            <w:gridSpan w:val="2"/>
            <w:vAlign w:val="center"/>
          </w:tcPr>
          <w:p w14:paraId="0A6EB67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筛选值</w:t>
            </w:r>
          </w:p>
        </w:tc>
        <w:tc>
          <w:tcPr>
            <w:tcW w:w="1488" w:type="pct"/>
            <w:vMerge w:val="restart"/>
            <w:vAlign w:val="center"/>
          </w:tcPr>
          <w:p w14:paraId="545B487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标准名称</w:t>
            </w:r>
          </w:p>
        </w:tc>
      </w:tr>
      <w:tr w14:paraId="2643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vAlign w:val="center"/>
          </w:tcPr>
          <w:p w14:paraId="6BF71BE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c>
          <w:tcPr>
            <w:tcW w:w="1245" w:type="pct"/>
            <w:vMerge w:val="continue"/>
            <w:vAlign w:val="center"/>
          </w:tcPr>
          <w:p w14:paraId="01F74AE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c>
          <w:tcPr>
            <w:tcW w:w="907" w:type="pct"/>
            <w:vAlign w:val="center"/>
          </w:tcPr>
          <w:p w14:paraId="07019135">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第一类用地</w:t>
            </w:r>
          </w:p>
        </w:tc>
        <w:tc>
          <w:tcPr>
            <w:tcW w:w="927" w:type="pct"/>
            <w:vAlign w:val="center"/>
          </w:tcPr>
          <w:p w14:paraId="622C597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第二类用地</w:t>
            </w:r>
          </w:p>
        </w:tc>
        <w:tc>
          <w:tcPr>
            <w:tcW w:w="1488" w:type="pct"/>
            <w:vMerge w:val="continue"/>
            <w:vAlign w:val="center"/>
          </w:tcPr>
          <w:p w14:paraId="5A706E4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0986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06614C6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1245" w:type="pct"/>
            <w:vAlign w:val="center"/>
          </w:tcPr>
          <w:p w14:paraId="5DBC28E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As</w:t>
            </w:r>
          </w:p>
        </w:tc>
        <w:tc>
          <w:tcPr>
            <w:tcW w:w="907" w:type="pct"/>
            <w:vAlign w:val="center"/>
          </w:tcPr>
          <w:p w14:paraId="16796BC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927" w:type="pct"/>
            <w:vAlign w:val="center"/>
          </w:tcPr>
          <w:p w14:paraId="4B28669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60</w:t>
            </w:r>
          </w:p>
        </w:tc>
        <w:tc>
          <w:tcPr>
            <w:tcW w:w="1488" w:type="pct"/>
            <w:vMerge w:val="restart"/>
            <w:vAlign w:val="center"/>
          </w:tcPr>
          <w:p w14:paraId="67F3A82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《土壤环境质量 建设用地土壤污染风险管控标准（试行）》（GB36600-2018）基本项目</w:t>
            </w:r>
          </w:p>
        </w:tc>
      </w:tr>
      <w:tr w14:paraId="76F7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7637A05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w:t>
            </w:r>
          </w:p>
        </w:tc>
        <w:tc>
          <w:tcPr>
            <w:tcW w:w="1245" w:type="pct"/>
            <w:vAlign w:val="center"/>
          </w:tcPr>
          <w:p w14:paraId="4F0E076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Cd</w:t>
            </w:r>
          </w:p>
        </w:tc>
        <w:tc>
          <w:tcPr>
            <w:tcW w:w="907" w:type="pct"/>
            <w:vAlign w:val="center"/>
          </w:tcPr>
          <w:p w14:paraId="683E313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927" w:type="pct"/>
            <w:vAlign w:val="center"/>
          </w:tcPr>
          <w:p w14:paraId="34F2D31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65</w:t>
            </w:r>
          </w:p>
        </w:tc>
        <w:tc>
          <w:tcPr>
            <w:tcW w:w="1488" w:type="pct"/>
            <w:vMerge w:val="continue"/>
            <w:vAlign w:val="center"/>
          </w:tcPr>
          <w:p w14:paraId="6297DC9C">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1F7F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051F83A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w:t>
            </w:r>
          </w:p>
        </w:tc>
        <w:tc>
          <w:tcPr>
            <w:tcW w:w="1245" w:type="pct"/>
            <w:vAlign w:val="center"/>
          </w:tcPr>
          <w:p w14:paraId="250A39C5">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Cr（六价）</w:t>
            </w:r>
          </w:p>
        </w:tc>
        <w:tc>
          <w:tcPr>
            <w:tcW w:w="907" w:type="pct"/>
            <w:vAlign w:val="center"/>
          </w:tcPr>
          <w:p w14:paraId="1456F27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3.0</w:t>
            </w:r>
          </w:p>
        </w:tc>
        <w:tc>
          <w:tcPr>
            <w:tcW w:w="927" w:type="pct"/>
            <w:vAlign w:val="center"/>
          </w:tcPr>
          <w:p w14:paraId="66A0860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5.7</w:t>
            </w:r>
          </w:p>
        </w:tc>
        <w:tc>
          <w:tcPr>
            <w:tcW w:w="1488" w:type="pct"/>
            <w:vMerge w:val="continue"/>
            <w:vAlign w:val="center"/>
          </w:tcPr>
          <w:p w14:paraId="3742FA0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3348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0B04B57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w:t>
            </w:r>
          </w:p>
        </w:tc>
        <w:tc>
          <w:tcPr>
            <w:tcW w:w="1245" w:type="pct"/>
            <w:vAlign w:val="center"/>
          </w:tcPr>
          <w:p w14:paraId="4EB1D4A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Cu</w:t>
            </w:r>
          </w:p>
        </w:tc>
        <w:tc>
          <w:tcPr>
            <w:tcW w:w="907" w:type="pct"/>
            <w:vAlign w:val="center"/>
          </w:tcPr>
          <w:p w14:paraId="1738807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2000</w:t>
            </w:r>
          </w:p>
        </w:tc>
        <w:tc>
          <w:tcPr>
            <w:tcW w:w="927" w:type="pct"/>
            <w:vAlign w:val="center"/>
          </w:tcPr>
          <w:p w14:paraId="6DA3F3C5">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18000</w:t>
            </w:r>
          </w:p>
        </w:tc>
        <w:tc>
          <w:tcPr>
            <w:tcW w:w="1488" w:type="pct"/>
            <w:vMerge w:val="continue"/>
            <w:vAlign w:val="center"/>
          </w:tcPr>
          <w:p w14:paraId="45CBB76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505B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74A2A17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245" w:type="pct"/>
            <w:vAlign w:val="center"/>
          </w:tcPr>
          <w:p w14:paraId="1E18AD7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Pb</w:t>
            </w:r>
          </w:p>
        </w:tc>
        <w:tc>
          <w:tcPr>
            <w:tcW w:w="907" w:type="pct"/>
            <w:vAlign w:val="center"/>
          </w:tcPr>
          <w:p w14:paraId="33C29AD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400</w:t>
            </w:r>
          </w:p>
        </w:tc>
        <w:tc>
          <w:tcPr>
            <w:tcW w:w="927" w:type="pct"/>
            <w:vAlign w:val="center"/>
          </w:tcPr>
          <w:p w14:paraId="4BBB45A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800</w:t>
            </w:r>
          </w:p>
        </w:tc>
        <w:tc>
          <w:tcPr>
            <w:tcW w:w="1488" w:type="pct"/>
            <w:vMerge w:val="continue"/>
            <w:vAlign w:val="center"/>
          </w:tcPr>
          <w:p w14:paraId="6A6C1B2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7D63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50CE212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w:t>
            </w:r>
          </w:p>
        </w:tc>
        <w:tc>
          <w:tcPr>
            <w:tcW w:w="1245" w:type="pct"/>
            <w:vAlign w:val="center"/>
          </w:tcPr>
          <w:p w14:paraId="0EDAB3E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Hg</w:t>
            </w:r>
          </w:p>
        </w:tc>
        <w:tc>
          <w:tcPr>
            <w:tcW w:w="907" w:type="pct"/>
            <w:vAlign w:val="center"/>
          </w:tcPr>
          <w:p w14:paraId="773388F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w:t>
            </w:r>
          </w:p>
        </w:tc>
        <w:tc>
          <w:tcPr>
            <w:tcW w:w="927" w:type="pct"/>
            <w:vAlign w:val="center"/>
          </w:tcPr>
          <w:p w14:paraId="0F1B525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38</w:t>
            </w:r>
          </w:p>
        </w:tc>
        <w:tc>
          <w:tcPr>
            <w:tcW w:w="1488" w:type="pct"/>
            <w:vMerge w:val="continue"/>
            <w:vAlign w:val="center"/>
          </w:tcPr>
          <w:p w14:paraId="263293F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7070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6A35428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w:t>
            </w:r>
          </w:p>
        </w:tc>
        <w:tc>
          <w:tcPr>
            <w:tcW w:w="1245" w:type="pct"/>
            <w:vAlign w:val="center"/>
          </w:tcPr>
          <w:p w14:paraId="184729F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Ni</w:t>
            </w:r>
          </w:p>
        </w:tc>
        <w:tc>
          <w:tcPr>
            <w:tcW w:w="907" w:type="pct"/>
            <w:vAlign w:val="center"/>
          </w:tcPr>
          <w:p w14:paraId="7D219D2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150</w:t>
            </w:r>
          </w:p>
        </w:tc>
        <w:tc>
          <w:tcPr>
            <w:tcW w:w="927" w:type="pct"/>
            <w:vAlign w:val="center"/>
          </w:tcPr>
          <w:p w14:paraId="0D97CD3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900</w:t>
            </w:r>
          </w:p>
        </w:tc>
        <w:tc>
          <w:tcPr>
            <w:tcW w:w="1488" w:type="pct"/>
            <w:vMerge w:val="continue"/>
            <w:vAlign w:val="center"/>
          </w:tcPr>
          <w:p w14:paraId="13A9B425">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0B27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2C2F82A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w:t>
            </w:r>
          </w:p>
        </w:tc>
        <w:tc>
          <w:tcPr>
            <w:tcW w:w="1245" w:type="pct"/>
            <w:vAlign w:val="center"/>
          </w:tcPr>
          <w:p w14:paraId="35B4342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四氯化碳</w:t>
            </w:r>
          </w:p>
        </w:tc>
        <w:tc>
          <w:tcPr>
            <w:tcW w:w="907" w:type="pct"/>
            <w:vAlign w:val="center"/>
          </w:tcPr>
          <w:p w14:paraId="5D40D2A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0.9</w:t>
            </w:r>
          </w:p>
        </w:tc>
        <w:tc>
          <w:tcPr>
            <w:tcW w:w="927" w:type="pct"/>
            <w:vAlign w:val="center"/>
          </w:tcPr>
          <w:p w14:paraId="1ADECD8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488" w:type="pct"/>
            <w:vMerge w:val="continue"/>
            <w:vAlign w:val="center"/>
          </w:tcPr>
          <w:p w14:paraId="7080757C">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2ADA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1789597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w:t>
            </w:r>
          </w:p>
        </w:tc>
        <w:tc>
          <w:tcPr>
            <w:tcW w:w="1245" w:type="pct"/>
            <w:vAlign w:val="center"/>
          </w:tcPr>
          <w:p w14:paraId="0B38D3A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氯仿</w:t>
            </w:r>
          </w:p>
        </w:tc>
        <w:tc>
          <w:tcPr>
            <w:tcW w:w="907" w:type="pct"/>
            <w:vAlign w:val="center"/>
          </w:tcPr>
          <w:p w14:paraId="1E1BE5A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0.3</w:t>
            </w:r>
          </w:p>
        </w:tc>
        <w:tc>
          <w:tcPr>
            <w:tcW w:w="927" w:type="pct"/>
            <w:vAlign w:val="center"/>
          </w:tcPr>
          <w:p w14:paraId="2F466F3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0.9</w:t>
            </w:r>
          </w:p>
        </w:tc>
        <w:tc>
          <w:tcPr>
            <w:tcW w:w="1488" w:type="pct"/>
            <w:vMerge w:val="continue"/>
            <w:vAlign w:val="center"/>
          </w:tcPr>
          <w:p w14:paraId="3C26781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1850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244B10C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1245" w:type="pct"/>
            <w:vAlign w:val="center"/>
          </w:tcPr>
          <w:p w14:paraId="6ED05A7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氯甲烷</w:t>
            </w:r>
          </w:p>
        </w:tc>
        <w:tc>
          <w:tcPr>
            <w:tcW w:w="907" w:type="pct"/>
            <w:vAlign w:val="center"/>
          </w:tcPr>
          <w:p w14:paraId="4A2A965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927" w:type="pct"/>
            <w:vAlign w:val="center"/>
          </w:tcPr>
          <w:p w14:paraId="5ED55F3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37</w:t>
            </w:r>
          </w:p>
        </w:tc>
        <w:tc>
          <w:tcPr>
            <w:tcW w:w="1488" w:type="pct"/>
            <w:vMerge w:val="continue"/>
            <w:vAlign w:val="center"/>
          </w:tcPr>
          <w:p w14:paraId="3AB3A1B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3487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7034981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w:t>
            </w:r>
          </w:p>
        </w:tc>
        <w:tc>
          <w:tcPr>
            <w:tcW w:w="1245" w:type="pct"/>
            <w:vAlign w:val="center"/>
          </w:tcPr>
          <w:p w14:paraId="2CBBA93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1,1-二氯乙烷</w:t>
            </w:r>
          </w:p>
        </w:tc>
        <w:tc>
          <w:tcPr>
            <w:tcW w:w="907" w:type="pct"/>
            <w:vAlign w:val="center"/>
          </w:tcPr>
          <w:p w14:paraId="3657440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w:t>
            </w:r>
          </w:p>
        </w:tc>
        <w:tc>
          <w:tcPr>
            <w:tcW w:w="927" w:type="pct"/>
            <w:vAlign w:val="center"/>
          </w:tcPr>
          <w:p w14:paraId="4CD977F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w:t>
            </w:r>
          </w:p>
        </w:tc>
        <w:tc>
          <w:tcPr>
            <w:tcW w:w="1488" w:type="pct"/>
            <w:vMerge w:val="continue"/>
            <w:vAlign w:val="center"/>
          </w:tcPr>
          <w:p w14:paraId="4DDD0EA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38A9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43FC027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1245" w:type="pct"/>
            <w:vAlign w:val="center"/>
          </w:tcPr>
          <w:p w14:paraId="35F6A05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1,2-二氯乙烷</w:t>
            </w:r>
          </w:p>
        </w:tc>
        <w:tc>
          <w:tcPr>
            <w:tcW w:w="907" w:type="pct"/>
            <w:vAlign w:val="center"/>
          </w:tcPr>
          <w:p w14:paraId="5171E3A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0.52</w:t>
            </w:r>
          </w:p>
        </w:tc>
        <w:tc>
          <w:tcPr>
            <w:tcW w:w="927" w:type="pct"/>
            <w:vAlign w:val="center"/>
          </w:tcPr>
          <w:p w14:paraId="193834EC">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488" w:type="pct"/>
            <w:vMerge w:val="continue"/>
            <w:vAlign w:val="center"/>
          </w:tcPr>
          <w:p w14:paraId="1C5309B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5E31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5AA7485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13</w:t>
            </w:r>
          </w:p>
        </w:tc>
        <w:tc>
          <w:tcPr>
            <w:tcW w:w="1245" w:type="pct"/>
            <w:vAlign w:val="center"/>
          </w:tcPr>
          <w:p w14:paraId="5E8E0D3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1,1-二氯乙烯</w:t>
            </w:r>
          </w:p>
        </w:tc>
        <w:tc>
          <w:tcPr>
            <w:tcW w:w="907" w:type="pct"/>
            <w:vAlign w:val="center"/>
          </w:tcPr>
          <w:p w14:paraId="0A9DBCE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927" w:type="pct"/>
            <w:vAlign w:val="center"/>
          </w:tcPr>
          <w:p w14:paraId="60643C5C">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66</w:t>
            </w:r>
          </w:p>
        </w:tc>
        <w:tc>
          <w:tcPr>
            <w:tcW w:w="1488" w:type="pct"/>
            <w:vMerge w:val="continue"/>
            <w:vAlign w:val="center"/>
          </w:tcPr>
          <w:p w14:paraId="006C84D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1D6E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32" w:type="pct"/>
            <w:vAlign w:val="center"/>
          </w:tcPr>
          <w:p w14:paraId="1A507FF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14</w:t>
            </w:r>
          </w:p>
        </w:tc>
        <w:tc>
          <w:tcPr>
            <w:tcW w:w="1245" w:type="pct"/>
            <w:vAlign w:val="center"/>
          </w:tcPr>
          <w:p w14:paraId="1D4B05C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顺-1,2-二氯乙烯</w:t>
            </w:r>
          </w:p>
        </w:tc>
        <w:tc>
          <w:tcPr>
            <w:tcW w:w="907" w:type="pct"/>
            <w:vAlign w:val="center"/>
          </w:tcPr>
          <w:p w14:paraId="62292FE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66</w:t>
            </w:r>
          </w:p>
        </w:tc>
        <w:tc>
          <w:tcPr>
            <w:tcW w:w="927" w:type="pct"/>
            <w:vAlign w:val="center"/>
          </w:tcPr>
          <w:p w14:paraId="611EB85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596</w:t>
            </w:r>
          </w:p>
        </w:tc>
        <w:tc>
          <w:tcPr>
            <w:tcW w:w="1488" w:type="pct"/>
            <w:vMerge w:val="continue"/>
            <w:vAlign w:val="center"/>
          </w:tcPr>
          <w:p w14:paraId="7293714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68D4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2908C81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245" w:type="pct"/>
            <w:vAlign w:val="center"/>
          </w:tcPr>
          <w:p w14:paraId="50F130D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反-1,2-二氯乙烯</w:t>
            </w:r>
          </w:p>
        </w:tc>
        <w:tc>
          <w:tcPr>
            <w:tcW w:w="907" w:type="pct"/>
            <w:vAlign w:val="center"/>
          </w:tcPr>
          <w:p w14:paraId="4FEA6B3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927" w:type="pct"/>
            <w:vAlign w:val="center"/>
          </w:tcPr>
          <w:p w14:paraId="6F1FD3A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54</w:t>
            </w:r>
          </w:p>
        </w:tc>
        <w:tc>
          <w:tcPr>
            <w:tcW w:w="1488" w:type="pct"/>
            <w:vMerge w:val="continue"/>
            <w:vAlign w:val="center"/>
          </w:tcPr>
          <w:p w14:paraId="3308849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3BD8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36EB0E7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w:t>
            </w:r>
          </w:p>
        </w:tc>
        <w:tc>
          <w:tcPr>
            <w:tcW w:w="1245" w:type="pct"/>
            <w:vAlign w:val="center"/>
          </w:tcPr>
          <w:p w14:paraId="729727F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二氯甲烷</w:t>
            </w:r>
          </w:p>
        </w:tc>
        <w:tc>
          <w:tcPr>
            <w:tcW w:w="907" w:type="pct"/>
            <w:vAlign w:val="center"/>
          </w:tcPr>
          <w:p w14:paraId="2BE56A8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94</w:t>
            </w:r>
          </w:p>
        </w:tc>
        <w:tc>
          <w:tcPr>
            <w:tcW w:w="927" w:type="pct"/>
            <w:vAlign w:val="center"/>
          </w:tcPr>
          <w:p w14:paraId="1B3391D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616</w:t>
            </w:r>
          </w:p>
        </w:tc>
        <w:tc>
          <w:tcPr>
            <w:tcW w:w="1488" w:type="pct"/>
            <w:vMerge w:val="continue"/>
            <w:vAlign w:val="center"/>
          </w:tcPr>
          <w:p w14:paraId="246E705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2BB6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05C73B9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17</w:t>
            </w:r>
          </w:p>
        </w:tc>
        <w:tc>
          <w:tcPr>
            <w:tcW w:w="1245" w:type="pct"/>
            <w:vAlign w:val="center"/>
          </w:tcPr>
          <w:p w14:paraId="474561A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1,2-二氯丙烷</w:t>
            </w:r>
          </w:p>
        </w:tc>
        <w:tc>
          <w:tcPr>
            <w:tcW w:w="907" w:type="pct"/>
            <w:vAlign w:val="center"/>
          </w:tcPr>
          <w:p w14:paraId="4BBF0E3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927" w:type="pct"/>
            <w:vAlign w:val="center"/>
          </w:tcPr>
          <w:p w14:paraId="7B904A2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488" w:type="pct"/>
            <w:vMerge w:val="continue"/>
            <w:vAlign w:val="center"/>
          </w:tcPr>
          <w:p w14:paraId="697AEBD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6094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244568B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18</w:t>
            </w:r>
          </w:p>
        </w:tc>
        <w:tc>
          <w:tcPr>
            <w:tcW w:w="1245" w:type="pct"/>
            <w:vAlign w:val="center"/>
          </w:tcPr>
          <w:p w14:paraId="15CE622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1,1,1,2-四氯乙烷</w:t>
            </w:r>
          </w:p>
        </w:tc>
        <w:tc>
          <w:tcPr>
            <w:tcW w:w="907" w:type="pct"/>
            <w:vAlign w:val="center"/>
          </w:tcPr>
          <w:p w14:paraId="29979AA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w:t>
            </w:r>
          </w:p>
        </w:tc>
        <w:tc>
          <w:tcPr>
            <w:tcW w:w="927" w:type="pct"/>
            <w:vAlign w:val="center"/>
          </w:tcPr>
          <w:p w14:paraId="3814CC8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1488" w:type="pct"/>
            <w:vMerge w:val="continue"/>
            <w:vAlign w:val="center"/>
          </w:tcPr>
          <w:p w14:paraId="10F6A13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7177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4457D7E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19</w:t>
            </w:r>
          </w:p>
        </w:tc>
        <w:tc>
          <w:tcPr>
            <w:tcW w:w="1245" w:type="pct"/>
            <w:vAlign w:val="center"/>
          </w:tcPr>
          <w:p w14:paraId="79032B4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1,1,2,2-四氯乙烷</w:t>
            </w:r>
          </w:p>
        </w:tc>
        <w:tc>
          <w:tcPr>
            <w:tcW w:w="907" w:type="pct"/>
            <w:vAlign w:val="center"/>
          </w:tcPr>
          <w:p w14:paraId="09A166D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w:t>
            </w:r>
          </w:p>
        </w:tc>
        <w:tc>
          <w:tcPr>
            <w:tcW w:w="927" w:type="pct"/>
            <w:vAlign w:val="center"/>
          </w:tcPr>
          <w:p w14:paraId="0FF32AB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6.8</w:t>
            </w:r>
          </w:p>
        </w:tc>
        <w:tc>
          <w:tcPr>
            <w:tcW w:w="1488" w:type="pct"/>
            <w:vMerge w:val="continue"/>
            <w:vAlign w:val="center"/>
          </w:tcPr>
          <w:p w14:paraId="7EBB45F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0553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1E45089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1245" w:type="pct"/>
            <w:vAlign w:val="center"/>
          </w:tcPr>
          <w:p w14:paraId="5967C65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四氯乙烯</w:t>
            </w:r>
          </w:p>
        </w:tc>
        <w:tc>
          <w:tcPr>
            <w:tcW w:w="907" w:type="pct"/>
            <w:vAlign w:val="center"/>
          </w:tcPr>
          <w:p w14:paraId="7D312C5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w:t>
            </w:r>
          </w:p>
        </w:tc>
        <w:tc>
          <w:tcPr>
            <w:tcW w:w="927" w:type="pct"/>
            <w:vAlign w:val="center"/>
          </w:tcPr>
          <w:p w14:paraId="627E973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53</w:t>
            </w:r>
          </w:p>
        </w:tc>
        <w:tc>
          <w:tcPr>
            <w:tcW w:w="1488" w:type="pct"/>
            <w:vMerge w:val="continue"/>
            <w:vAlign w:val="center"/>
          </w:tcPr>
          <w:p w14:paraId="2D7BE6D5">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6487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67170F4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21</w:t>
            </w:r>
          </w:p>
        </w:tc>
        <w:tc>
          <w:tcPr>
            <w:tcW w:w="1245" w:type="pct"/>
            <w:vAlign w:val="center"/>
          </w:tcPr>
          <w:p w14:paraId="7AB0E94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1,1,1-三氯乙烷</w:t>
            </w:r>
          </w:p>
        </w:tc>
        <w:tc>
          <w:tcPr>
            <w:tcW w:w="907" w:type="pct"/>
            <w:vAlign w:val="center"/>
          </w:tcPr>
          <w:p w14:paraId="6FF16F1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701</w:t>
            </w:r>
          </w:p>
        </w:tc>
        <w:tc>
          <w:tcPr>
            <w:tcW w:w="927" w:type="pct"/>
            <w:vAlign w:val="center"/>
          </w:tcPr>
          <w:p w14:paraId="1C40287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840</w:t>
            </w:r>
          </w:p>
        </w:tc>
        <w:tc>
          <w:tcPr>
            <w:tcW w:w="1488" w:type="pct"/>
            <w:vMerge w:val="continue"/>
            <w:vAlign w:val="center"/>
          </w:tcPr>
          <w:p w14:paraId="645D25FC">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58E4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2E64C4F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w:t>
            </w:r>
          </w:p>
        </w:tc>
        <w:tc>
          <w:tcPr>
            <w:tcW w:w="1245" w:type="pct"/>
            <w:vAlign w:val="center"/>
          </w:tcPr>
          <w:p w14:paraId="6AE3F0B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1,1,2-三氯乙烷</w:t>
            </w:r>
          </w:p>
        </w:tc>
        <w:tc>
          <w:tcPr>
            <w:tcW w:w="907" w:type="pct"/>
            <w:vAlign w:val="center"/>
          </w:tcPr>
          <w:p w14:paraId="4596B24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0.6</w:t>
            </w:r>
          </w:p>
        </w:tc>
        <w:tc>
          <w:tcPr>
            <w:tcW w:w="927" w:type="pct"/>
            <w:vAlign w:val="center"/>
          </w:tcPr>
          <w:p w14:paraId="4141921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488" w:type="pct"/>
            <w:vMerge w:val="continue"/>
            <w:vAlign w:val="center"/>
          </w:tcPr>
          <w:p w14:paraId="0B8DC5A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3B1B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56F33D0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23</w:t>
            </w:r>
          </w:p>
        </w:tc>
        <w:tc>
          <w:tcPr>
            <w:tcW w:w="1245" w:type="pct"/>
            <w:vAlign w:val="center"/>
          </w:tcPr>
          <w:p w14:paraId="4C79A37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三氯乙烯</w:t>
            </w:r>
          </w:p>
        </w:tc>
        <w:tc>
          <w:tcPr>
            <w:tcW w:w="907" w:type="pct"/>
            <w:vAlign w:val="center"/>
          </w:tcPr>
          <w:p w14:paraId="717FF4B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0.7</w:t>
            </w:r>
          </w:p>
        </w:tc>
        <w:tc>
          <w:tcPr>
            <w:tcW w:w="927" w:type="pct"/>
            <w:vAlign w:val="center"/>
          </w:tcPr>
          <w:p w14:paraId="54DC52C5">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488" w:type="pct"/>
            <w:vMerge w:val="continue"/>
            <w:vAlign w:val="center"/>
          </w:tcPr>
          <w:p w14:paraId="2360294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337B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2AF203C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24</w:t>
            </w:r>
          </w:p>
        </w:tc>
        <w:tc>
          <w:tcPr>
            <w:tcW w:w="1245" w:type="pct"/>
            <w:vAlign w:val="center"/>
          </w:tcPr>
          <w:p w14:paraId="2186AA3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1,2,3-三氯丙烷</w:t>
            </w:r>
          </w:p>
        </w:tc>
        <w:tc>
          <w:tcPr>
            <w:tcW w:w="907" w:type="pct"/>
            <w:vAlign w:val="center"/>
          </w:tcPr>
          <w:p w14:paraId="463D45D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0.05</w:t>
            </w:r>
          </w:p>
        </w:tc>
        <w:tc>
          <w:tcPr>
            <w:tcW w:w="927" w:type="pct"/>
            <w:vAlign w:val="center"/>
          </w:tcPr>
          <w:p w14:paraId="37AE247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w:t>
            </w:r>
          </w:p>
        </w:tc>
        <w:tc>
          <w:tcPr>
            <w:tcW w:w="1488" w:type="pct"/>
            <w:vMerge w:val="continue"/>
            <w:vAlign w:val="center"/>
          </w:tcPr>
          <w:p w14:paraId="2EBA131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12C5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1CE2C33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w:t>
            </w:r>
          </w:p>
        </w:tc>
        <w:tc>
          <w:tcPr>
            <w:tcW w:w="1245" w:type="pct"/>
            <w:vAlign w:val="center"/>
          </w:tcPr>
          <w:p w14:paraId="4268B38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氯乙烯</w:t>
            </w:r>
          </w:p>
        </w:tc>
        <w:tc>
          <w:tcPr>
            <w:tcW w:w="907" w:type="pct"/>
            <w:vAlign w:val="center"/>
          </w:tcPr>
          <w:p w14:paraId="45BB4C7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0.12</w:t>
            </w:r>
          </w:p>
        </w:tc>
        <w:tc>
          <w:tcPr>
            <w:tcW w:w="927" w:type="pct"/>
            <w:vAlign w:val="center"/>
          </w:tcPr>
          <w:p w14:paraId="3D71E4B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0.43</w:t>
            </w:r>
          </w:p>
        </w:tc>
        <w:tc>
          <w:tcPr>
            <w:tcW w:w="1488" w:type="pct"/>
            <w:vMerge w:val="continue"/>
            <w:vAlign w:val="center"/>
          </w:tcPr>
          <w:p w14:paraId="556159F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2129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304652D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w:t>
            </w:r>
          </w:p>
        </w:tc>
        <w:tc>
          <w:tcPr>
            <w:tcW w:w="1245" w:type="pct"/>
            <w:vAlign w:val="center"/>
          </w:tcPr>
          <w:p w14:paraId="14E45035">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w:t>
            </w:r>
          </w:p>
        </w:tc>
        <w:tc>
          <w:tcPr>
            <w:tcW w:w="907" w:type="pct"/>
            <w:vAlign w:val="center"/>
          </w:tcPr>
          <w:p w14:paraId="15E5B5C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927" w:type="pct"/>
            <w:vAlign w:val="center"/>
          </w:tcPr>
          <w:p w14:paraId="287B79CC">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w:t>
            </w:r>
          </w:p>
        </w:tc>
        <w:tc>
          <w:tcPr>
            <w:tcW w:w="1488" w:type="pct"/>
            <w:vMerge w:val="continue"/>
            <w:vAlign w:val="center"/>
          </w:tcPr>
          <w:p w14:paraId="23FC4D2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2BE4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463FDF8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27</w:t>
            </w:r>
          </w:p>
        </w:tc>
        <w:tc>
          <w:tcPr>
            <w:tcW w:w="1245" w:type="pct"/>
            <w:vAlign w:val="center"/>
          </w:tcPr>
          <w:p w14:paraId="1B6F42D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氯苯</w:t>
            </w:r>
          </w:p>
        </w:tc>
        <w:tc>
          <w:tcPr>
            <w:tcW w:w="907" w:type="pct"/>
            <w:vAlign w:val="center"/>
          </w:tcPr>
          <w:p w14:paraId="166320AC">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68</w:t>
            </w:r>
          </w:p>
        </w:tc>
        <w:tc>
          <w:tcPr>
            <w:tcW w:w="927" w:type="pct"/>
            <w:vAlign w:val="center"/>
          </w:tcPr>
          <w:p w14:paraId="73E92AA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270</w:t>
            </w:r>
          </w:p>
        </w:tc>
        <w:tc>
          <w:tcPr>
            <w:tcW w:w="1488" w:type="pct"/>
            <w:vMerge w:val="continue"/>
            <w:vAlign w:val="center"/>
          </w:tcPr>
          <w:p w14:paraId="5316C73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36BA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0341AA7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245" w:type="pct"/>
            <w:vAlign w:val="center"/>
          </w:tcPr>
          <w:p w14:paraId="09367FB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1,2-二氯苯</w:t>
            </w:r>
          </w:p>
        </w:tc>
        <w:tc>
          <w:tcPr>
            <w:tcW w:w="907" w:type="pct"/>
            <w:vAlign w:val="center"/>
          </w:tcPr>
          <w:p w14:paraId="0ACE3E1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560</w:t>
            </w:r>
          </w:p>
        </w:tc>
        <w:tc>
          <w:tcPr>
            <w:tcW w:w="927" w:type="pct"/>
            <w:vAlign w:val="center"/>
          </w:tcPr>
          <w:p w14:paraId="2530C21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560</w:t>
            </w:r>
          </w:p>
        </w:tc>
        <w:tc>
          <w:tcPr>
            <w:tcW w:w="1488" w:type="pct"/>
            <w:vMerge w:val="continue"/>
            <w:vAlign w:val="center"/>
          </w:tcPr>
          <w:p w14:paraId="5A9239A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5ACD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360DDCF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29</w:t>
            </w:r>
          </w:p>
        </w:tc>
        <w:tc>
          <w:tcPr>
            <w:tcW w:w="1245" w:type="pct"/>
            <w:vAlign w:val="center"/>
          </w:tcPr>
          <w:p w14:paraId="4CE1D98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1,4-二氯苯</w:t>
            </w:r>
          </w:p>
        </w:tc>
        <w:tc>
          <w:tcPr>
            <w:tcW w:w="907" w:type="pct"/>
            <w:vAlign w:val="center"/>
          </w:tcPr>
          <w:p w14:paraId="0F61D61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w:t>
            </w:r>
          </w:p>
        </w:tc>
        <w:tc>
          <w:tcPr>
            <w:tcW w:w="927" w:type="pct"/>
            <w:vAlign w:val="center"/>
          </w:tcPr>
          <w:p w14:paraId="375E50D3">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1488" w:type="pct"/>
            <w:vMerge w:val="continue"/>
            <w:vAlign w:val="center"/>
          </w:tcPr>
          <w:p w14:paraId="384F71C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1907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0AB668F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30</w:t>
            </w:r>
          </w:p>
        </w:tc>
        <w:tc>
          <w:tcPr>
            <w:tcW w:w="1245" w:type="pct"/>
            <w:vAlign w:val="center"/>
          </w:tcPr>
          <w:p w14:paraId="12E468A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乙苯</w:t>
            </w:r>
          </w:p>
        </w:tc>
        <w:tc>
          <w:tcPr>
            <w:tcW w:w="907" w:type="pct"/>
            <w:vAlign w:val="center"/>
          </w:tcPr>
          <w:p w14:paraId="5F8E86C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7.2</w:t>
            </w:r>
          </w:p>
        </w:tc>
        <w:tc>
          <w:tcPr>
            <w:tcW w:w="927" w:type="pct"/>
            <w:vAlign w:val="center"/>
          </w:tcPr>
          <w:p w14:paraId="79D4A90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488" w:type="pct"/>
            <w:vMerge w:val="continue"/>
            <w:vAlign w:val="center"/>
          </w:tcPr>
          <w:p w14:paraId="6E644DB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49CC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5319AEB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31</w:t>
            </w:r>
          </w:p>
        </w:tc>
        <w:tc>
          <w:tcPr>
            <w:tcW w:w="1245" w:type="pct"/>
            <w:vAlign w:val="center"/>
          </w:tcPr>
          <w:p w14:paraId="1B5179C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苯乙烯</w:t>
            </w:r>
          </w:p>
        </w:tc>
        <w:tc>
          <w:tcPr>
            <w:tcW w:w="907" w:type="pct"/>
            <w:vAlign w:val="center"/>
          </w:tcPr>
          <w:p w14:paraId="1FBA91F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1290</w:t>
            </w:r>
          </w:p>
        </w:tc>
        <w:tc>
          <w:tcPr>
            <w:tcW w:w="927" w:type="pct"/>
            <w:vAlign w:val="center"/>
          </w:tcPr>
          <w:p w14:paraId="537E075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1290</w:t>
            </w:r>
          </w:p>
        </w:tc>
        <w:tc>
          <w:tcPr>
            <w:tcW w:w="1488" w:type="pct"/>
            <w:vMerge w:val="continue"/>
            <w:vAlign w:val="center"/>
          </w:tcPr>
          <w:p w14:paraId="24ED972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6CE5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53456D6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32</w:t>
            </w:r>
          </w:p>
        </w:tc>
        <w:tc>
          <w:tcPr>
            <w:tcW w:w="1245" w:type="pct"/>
            <w:vAlign w:val="center"/>
          </w:tcPr>
          <w:p w14:paraId="298316C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甲苯</w:t>
            </w:r>
          </w:p>
        </w:tc>
        <w:tc>
          <w:tcPr>
            <w:tcW w:w="907" w:type="pct"/>
            <w:vAlign w:val="center"/>
          </w:tcPr>
          <w:p w14:paraId="250DD4F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1200</w:t>
            </w:r>
          </w:p>
        </w:tc>
        <w:tc>
          <w:tcPr>
            <w:tcW w:w="927" w:type="pct"/>
            <w:vAlign w:val="center"/>
          </w:tcPr>
          <w:p w14:paraId="1EB0E20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1200</w:t>
            </w:r>
          </w:p>
        </w:tc>
        <w:tc>
          <w:tcPr>
            <w:tcW w:w="1488" w:type="pct"/>
            <w:vMerge w:val="continue"/>
            <w:vAlign w:val="center"/>
          </w:tcPr>
          <w:p w14:paraId="02DCD50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6FC3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3491198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33</w:t>
            </w:r>
          </w:p>
        </w:tc>
        <w:tc>
          <w:tcPr>
            <w:tcW w:w="1245" w:type="pct"/>
            <w:vAlign w:val="center"/>
          </w:tcPr>
          <w:p w14:paraId="3D8D03F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间二甲苯+对二甲苯</w:t>
            </w:r>
          </w:p>
        </w:tc>
        <w:tc>
          <w:tcPr>
            <w:tcW w:w="907" w:type="pct"/>
            <w:vAlign w:val="center"/>
          </w:tcPr>
          <w:p w14:paraId="65DE163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163</w:t>
            </w:r>
          </w:p>
        </w:tc>
        <w:tc>
          <w:tcPr>
            <w:tcW w:w="927" w:type="pct"/>
            <w:vAlign w:val="center"/>
          </w:tcPr>
          <w:p w14:paraId="1406FCA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570</w:t>
            </w:r>
          </w:p>
        </w:tc>
        <w:tc>
          <w:tcPr>
            <w:tcW w:w="1488" w:type="pct"/>
            <w:vMerge w:val="continue"/>
            <w:vAlign w:val="center"/>
          </w:tcPr>
          <w:p w14:paraId="6B17166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5A04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434974A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34</w:t>
            </w:r>
          </w:p>
        </w:tc>
        <w:tc>
          <w:tcPr>
            <w:tcW w:w="1245" w:type="pct"/>
            <w:vAlign w:val="center"/>
          </w:tcPr>
          <w:p w14:paraId="740CD11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邻二甲苯</w:t>
            </w:r>
          </w:p>
        </w:tc>
        <w:tc>
          <w:tcPr>
            <w:tcW w:w="907" w:type="pct"/>
            <w:vAlign w:val="center"/>
          </w:tcPr>
          <w:p w14:paraId="2ABED99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222</w:t>
            </w:r>
          </w:p>
        </w:tc>
        <w:tc>
          <w:tcPr>
            <w:tcW w:w="927" w:type="pct"/>
            <w:vAlign w:val="center"/>
          </w:tcPr>
          <w:p w14:paraId="76AF4FF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640</w:t>
            </w:r>
          </w:p>
        </w:tc>
        <w:tc>
          <w:tcPr>
            <w:tcW w:w="1488" w:type="pct"/>
            <w:vMerge w:val="continue"/>
            <w:vAlign w:val="center"/>
          </w:tcPr>
          <w:p w14:paraId="3E9AF70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5A4E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6D130F4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35</w:t>
            </w:r>
          </w:p>
        </w:tc>
        <w:tc>
          <w:tcPr>
            <w:tcW w:w="1245" w:type="pct"/>
            <w:vAlign w:val="center"/>
          </w:tcPr>
          <w:p w14:paraId="0F3E02C5">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硝基苯</w:t>
            </w:r>
          </w:p>
        </w:tc>
        <w:tc>
          <w:tcPr>
            <w:tcW w:w="907" w:type="pct"/>
            <w:vAlign w:val="center"/>
          </w:tcPr>
          <w:p w14:paraId="58FCE94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34</w:t>
            </w:r>
          </w:p>
        </w:tc>
        <w:tc>
          <w:tcPr>
            <w:tcW w:w="927" w:type="pct"/>
            <w:vAlign w:val="center"/>
          </w:tcPr>
          <w:p w14:paraId="798F0F7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76</w:t>
            </w:r>
          </w:p>
        </w:tc>
        <w:tc>
          <w:tcPr>
            <w:tcW w:w="1488" w:type="pct"/>
            <w:vMerge w:val="continue"/>
            <w:vAlign w:val="center"/>
          </w:tcPr>
          <w:p w14:paraId="0051B9B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3CC3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1DD5A995">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36</w:t>
            </w:r>
          </w:p>
        </w:tc>
        <w:tc>
          <w:tcPr>
            <w:tcW w:w="1245" w:type="pct"/>
            <w:vAlign w:val="center"/>
          </w:tcPr>
          <w:p w14:paraId="28D788A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苯胺</w:t>
            </w:r>
          </w:p>
        </w:tc>
        <w:tc>
          <w:tcPr>
            <w:tcW w:w="907" w:type="pct"/>
            <w:vAlign w:val="center"/>
          </w:tcPr>
          <w:p w14:paraId="6FA1579C">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92</w:t>
            </w:r>
          </w:p>
        </w:tc>
        <w:tc>
          <w:tcPr>
            <w:tcW w:w="927" w:type="pct"/>
            <w:vAlign w:val="center"/>
          </w:tcPr>
          <w:p w14:paraId="1BAAF4A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260</w:t>
            </w:r>
          </w:p>
        </w:tc>
        <w:tc>
          <w:tcPr>
            <w:tcW w:w="1488" w:type="pct"/>
            <w:vMerge w:val="continue"/>
            <w:vAlign w:val="center"/>
          </w:tcPr>
          <w:p w14:paraId="08799E8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607A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40937D6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37</w:t>
            </w:r>
          </w:p>
        </w:tc>
        <w:tc>
          <w:tcPr>
            <w:tcW w:w="1245" w:type="pct"/>
            <w:vAlign w:val="center"/>
          </w:tcPr>
          <w:p w14:paraId="753E9D5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2-氯酚</w:t>
            </w:r>
          </w:p>
        </w:tc>
        <w:tc>
          <w:tcPr>
            <w:tcW w:w="907" w:type="pct"/>
            <w:vAlign w:val="center"/>
          </w:tcPr>
          <w:p w14:paraId="7E2763B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250</w:t>
            </w:r>
          </w:p>
        </w:tc>
        <w:tc>
          <w:tcPr>
            <w:tcW w:w="927" w:type="pct"/>
            <w:vAlign w:val="center"/>
          </w:tcPr>
          <w:p w14:paraId="4829D54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2256</w:t>
            </w:r>
          </w:p>
        </w:tc>
        <w:tc>
          <w:tcPr>
            <w:tcW w:w="1488" w:type="pct"/>
            <w:vMerge w:val="continue"/>
            <w:vAlign w:val="center"/>
          </w:tcPr>
          <w:p w14:paraId="07E7BE4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2635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684B434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38</w:t>
            </w:r>
          </w:p>
        </w:tc>
        <w:tc>
          <w:tcPr>
            <w:tcW w:w="1245" w:type="pct"/>
            <w:vAlign w:val="center"/>
          </w:tcPr>
          <w:p w14:paraId="2A61CD2C">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苯并［a］蒽</w:t>
            </w:r>
          </w:p>
        </w:tc>
        <w:tc>
          <w:tcPr>
            <w:tcW w:w="907" w:type="pct"/>
            <w:vAlign w:val="center"/>
          </w:tcPr>
          <w:p w14:paraId="0508CF8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927" w:type="pct"/>
            <w:vAlign w:val="center"/>
          </w:tcPr>
          <w:p w14:paraId="3E0F216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488" w:type="pct"/>
            <w:vMerge w:val="continue"/>
            <w:vAlign w:val="center"/>
          </w:tcPr>
          <w:p w14:paraId="6581235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2949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7244AFA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39</w:t>
            </w:r>
          </w:p>
        </w:tc>
        <w:tc>
          <w:tcPr>
            <w:tcW w:w="1245" w:type="pct"/>
            <w:vAlign w:val="center"/>
          </w:tcPr>
          <w:p w14:paraId="50132C66">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苯并［a］芘</w:t>
            </w:r>
          </w:p>
        </w:tc>
        <w:tc>
          <w:tcPr>
            <w:tcW w:w="907" w:type="pct"/>
            <w:vAlign w:val="center"/>
          </w:tcPr>
          <w:p w14:paraId="0A9B2EC8">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0.55</w:t>
            </w:r>
          </w:p>
        </w:tc>
        <w:tc>
          <w:tcPr>
            <w:tcW w:w="927" w:type="pct"/>
            <w:vAlign w:val="center"/>
          </w:tcPr>
          <w:p w14:paraId="7E5E6D7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488" w:type="pct"/>
            <w:vMerge w:val="continue"/>
            <w:vAlign w:val="center"/>
          </w:tcPr>
          <w:p w14:paraId="0799908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2331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76BBE4C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40</w:t>
            </w:r>
          </w:p>
        </w:tc>
        <w:tc>
          <w:tcPr>
            <w:tcW w:w="1245" w:type="pct"/>
            <w:vAlign w:val="center"/>
          </w:tcPr>
          <w:p w14:paraId="21438D1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苯并［b］荧蒽</w:t>
            </w:r>
          </w:p>
        </w:tc>
        <w:tc>
          <w:tcPr>
            <w:tcW w:w="907" w:type="pct"/>
            <w:vAlign w:val="center"/>
          </w:tcPr>
          <w:p w14:paraId="37878DA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927" w:type="pct"/>
            <w:vAlign w:val="center"/>
          </w:tcPr>
          <w:p w14:paraId="66514C20">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488" w:type="pct"/>
            <w:vMerge w:val="continue"/>
            <w:vAlign w:val="center"/>
          </w:tcPr>
          <w:p w14:paraId="57E2646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4EBC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47C48F5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41</w:t>
            </w:r>
          </w:p>
        </w:tc>
        <w:tc>
          <w:tcPr>
            <w:tcW w:w="1245" w:type="pct"/>
            <w:vAlign w:val="center"/>
          </w:tcPr>
          <w:p w14:paraId="5ABC796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苯并［k］荧蒽</w:t>
            </w:r>
          </w:p>
        </w:tc>
        <w:tc>
          <w:tcPr>
            <w:tcW w:w="907" w:type="pct"/>
            <w:vAlign w:val="center"/>
          </w:tcPr>
          <w:p w14:paraId="0B8AABC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927" w:type="pct"/>
            <w:vAlign w:val="center"/>
          </w:tcPr>
          <w:p w14:paraId="61EDBE9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151</w:t>
            </w:r>
          </w:p>
        </w:tc>
        <w:tc>
          <w:tcPr>
            <w:tcW w:w="1488" w:type="pct"/>
            <w:vMerge w:val="continue"/>
            <w:vAlign w:val="center"/>
          </w:tcPr>
          <w:p w14:paraId="78B4E4D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4FFA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1F0BA63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42</w:t>
            </w:r>
          </w:p>
        </w:tc>
        <w:tc>
          <w:tcPr>
            <w:tcW w:w="1245" w:type="pct"/>
            <w:vAlign w:val="center"/>
          </w:tcPr>
          <w:p w14:paraId="1CF3E91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䓛</w:t>
            </w:r>
          </w:p>
        </w:tc>
        <w:tc>
          <w:tcPr>
            <w:tcW w:w="907" w:type="pct"/>
            <w:vAlign w:val="center"/>
          </w:tcPr>
          <w:p w14:paraId="5440F24A">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490</w:t>
            </w:r>
          </w:p>
        </w:tc>
        <w:tc>
          <w:tcPr>
            <w:tcW w:w="927" w:type="pct"/>
            <w:vAlign w:val="center"/>
          </w:tcPr>
          <w:p w14:paraId="5A9BD4C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1293</w:t>
            </w:r>
          </w:p>
        </w:tc>
        <w:tc>
          <w:tcPr>
            <w:tcW w:w="1488" w:type="pct"/>
            <w:vMerge w:val="continue"/>
            <w:vAlign w:val="center"/>
          </w:tcPr>
          <w:p w14:paraId="273FA71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5747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4C07493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43</w:t>
            </w:r>
          </w:p>
        </w:tc>
        <w:tc>
          <w:tcPr>
            <w:tcW w:w="1245" w:type="pct"/>
            <w:vAlign w:val="center"/>
          </w:tcPr>
          <w:p w14:paraId="4E8FD895">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二苯并［a,h］蒽</w:t>
            </w:r>
          </w:p>
        </w:tc>
        <w:tc>
          <w:tcPr>
            <w:tcW w:w="907" w:type="pct"/>
            <w:vAlign w:val="center"/>
          </w:tcPr>
          <w:p w14:paraId="7F74A8A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0.55</w:t>
            </w:r>
          </w:p>
        </w:tc>
        <w:tc>
          <w:tcPr>
            <w:tcW w:w="927" w:type="pct"/>
            <w:vAlign w:val="center"/>
          </w:tcPr>
          <w:p w14:paraId="3977681C">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488" w:type="pct"/>
            <w:vMerge w:val="continue"/>
            <w:vAlign w:val="center"/>
          </w:tcPr>
          <w:p w14:paraId="34E1D8C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24C1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6381B33B">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44</w:t>
            </w:r>
          </w:p>
        </w:tc>
        <w:tc>
          <w:tcPr>
            <w:tcW w:w="1245" w:type="pct"/>
            <w:vAlign w:val="center"/>
          </w:tcPr>
          <w:p w14:paraId="01C5C4A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茚并［1,2,3-cd］芘</w:t>
            </w:r>
          </w:p>
        </w:tc>
        <w:tc>
          <w:tcPr>
            <w:tcW w:w="907" w:type="pct"/>
            <w:vAlign w:val="center"/>
          </w:tcPr>
          <w:p w14:paraId="1B1571C4">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927" w:type="pct"/>
            <w:vAlign w:val="center"/>
          </w:tcPr>
          <w:p w14:paraId="20BA29CC">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488" w:type="pct"/>
            <w:vMerge w:val="continue"/>
            <w:vAlign w:val="center"/>
          </w:tcPr>
          <w:p w14:paraId="20E24D6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001B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22A911CF">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45</w:t>
            </w:r>
          </w:p>
        </w:tc>
        <w:tc>
          <w:tcPr>
            <w:tcW w:w="1245" w:type="pct"/>
            <w:vAlign w:val="center"/>
          </w:tcPr>
          <w:p w14:paraId="4B1CEED1">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萘</w:t>
            </w:r>
          </w:p>
        </w:tc>
        <w:tc>
          <w:tcPr>
            <w:tcW w:w="907" w:type="pct"/>
            <w:vAlign w:val="center"/>
          </w:tcPr>
          <w:p w14:paraId="30029FB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w:t>
            </w:r>
          </w:p>
        </w:tc>
        <w:tc>
          <w:tcPr>
            <w:tcW w:w="927" w:type="pct"/>
            <w:vAlign w:val="center"/>
          </w:tcPr>
          <w:p w14:paraId="6FB7115D">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70</w:t>
            </w:r>
          </w:p>
        </w:tc>
        <w:tc>
          <w:tcPr>
            <w:tcW w:w="1488" w:type="pct"/>
            <w:vMerge w:val="continue"/>
            <w:vAlign w:val="center"/>
          </w:tcPr>
          <w:p w14:paraId="5D2218B7">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14:paraId="4116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291F447E">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46</w:t>
            </w:r>
          </w:p>
        </w:tc>
        <w:tc>
          <w:tcPr>
            <w:tcW w:w="1245" w:type="pct"/>
            <w:vAlign w:val="center"/>
          </w:tcPr>
          <w:p w14:paraId="2F936CC5">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石油烃（C</w:t>
            </w:r>
            <w:r>
              <w:rPr>
                <w:rFonts w:ascii="Times New Roman" w:hAnsi="Times New Roman" w:cs="Times New Roman" w:eastAsiaTheme="minorEastAsia"/>
                <w:color w:val="auto"/>
                <w:w w:val="99"/>
                <w:kern w:val="2"/>
                <w:sz w:val="21"/>
                <w:szCs w:val="22"/>
                <w:highlight w:val="none"/>
                <w:vertAlign w:val="subscript"/>
                <w:lang w:bidi="ar"/>
              </w:rPr>
              <w:t>10</w:t>
            </w:r>
            <w:r>
              <w:rPr>
                <w:rFonts w:ascii="Times New Roman" w:hAnsi="Times New Roman" w:cs="Times New Roman" w:eastAsiaTheme="minorEastAsia"/>
                <w:color w:val="auto"/>
                <w:w w:val="99"/>
                <w:kern w:val="2"/>
                <w:sz w:val="21"/>
                <w:szCs w:val="22"/>
                <w:highlight w:val="none"/>
                <w:lang w:bidi="ar"/>
              </w:rPr>
              <w:t>-C</w:t>
            </w:r>
            <w:r>
              <w:rPr>
                <w:rFonts w:ascii="Times New Roman" w:hAnsi="Times New Roman" w:cs="Times New Roman" w:eastAsiaTheme="minorEastAsia"/>
                <w:color w:val="auto"/>
                <w:w w:val="99"/>
                <w:kern w:val="2"/>
                <w:sz w:val="21"/>
                <w:szCs w:val="22"/>
                <w:highlight w:val="none"/>
                <w:vertAlign w:val="subscript"/>
                <w:lang w:bidi="ar"/>
              </w:rPr>
              <w:t>40</w:t>
            </w:r>
            <w:r>
              <w:rPr>
                <w:rFonts w:ascii="Times New Roman" w:hAnsi="Times New Roman" w:cs="Times New Roman" w:eastAsiaTheme="minorEastAsia"/>
                <w:color w:val="auto"/>
                <w:w w:val="99"/>
                <w:kern w:val="2"/>
                <w:sz w:val="21"/>
                <w:szCs w:val="22"/>
                <w:highlight w:val="none"/>
                <w:lang w:bidi="ar"/>
              </w:rPr>
              <w:t>）</w:t>
            </w:r>
          </w:p>
        </w:tc>
        <w:tc>
          <w:tcPr>
            <w:tcW w:w="907" w:type="pct"/>
            <w:vAlign w:val="center"/>
          </w:tcPr>
          <w:p w14:paraId="45C07F02">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826</w:t>
            </w:r>
          </w:p>
        </w:tc>
        <w:tc>
          <w:tcPr>
            <w:tcW w:w="927" w:type="pct"/>
            <w:vAlign w:val="center"/>
          </w:tcPr>
          <w:p w14:paraId="04D5477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4500</w:t>
            </w:r>
          </w:p>
        </w:tc>
        <w:tc>
          <w:tcPr>
            <w:tcW w:w="1488" w:type="pct"/>
            <w:vAlign w:val="center"/>
          </w:tcPr>
          <w:p w14:paraId="052394F9">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《土壤环境质量 建设用地土壤污染风险管控标准（试行）》（GB36600-2018）其他项目</w:t>
            </w:r>
          </w:p>
        </w:tc>
      </w:tr>
    </w:tbl>
    <w:p w14:paraId="21FB2DC2">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本项目周边农用地执行《土壤环境质量 农用地土壤污染风险管控标准（试行）》（GB15618-2018）表1基本项目筛选值标准，稻田地执行水田标准，旱地和草地执行其他标准。具体标准详见表2.6-6。</w:t>
      </w:r>
    </w:p>
    <w:p w14:paraId="3C1726BF">
      <w:pPr>
        <w:widowControl w:val="0"/>
        <w:spacing w:line="440" w:lineRule="exact"/>
        <w:ind w:firstLine="476" w:firstLineChars="200"/>
        <w:jc w:val="both"/>
        <w:rPr>
          <w:rFonts w:ascii="Times New Roman" w:hAnsi="Times New Roman" w:cs="Times New Roman" w:eastAsiaTheme="minorEastAsia"/>
          <w:b/>
          <w:color w:val="auto"/>
          <w:w w:val="99"/>
          <w:kern w:val="2"/>
          <w:szCs w:val="20"/>
          <w:highlight w:val="none"/>
        </w:rPr>
      </w:pPr>
      <w:r>
        <w:rPr>
          <w:rFonts w:ascii="Times New Roman" w:hAnsi="Times New Roman" w:cs="Times New Roman" w:eastAsiaTheme="minorEastAsia"/>
          <w:b/>
          <w:color w:val="auto"/>
          <w:w w:val="99"/>
          <w:kern w:val="2"/>
          <w:szCs w:val="20"/>
          <w:highlight w:val="none"/>
        </w:rPr>
        <w:t>表2.6-6    农用地土壤环境执行标准    单位：mg/kg</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2032"/>
        <w:gridCol w:w="2467"/>
        <w:gridCol w:w="3628"/>
      </w:tblGrid>
      <w:tr w14:paraId="1A5B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5C9F0B0A">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序号</w:t>
            </w:r>
          </w:p>
        </w:tc>
        <w:tc>
          <w:tcPr>
            <w:tcW w:w="2422" w:type="pct"/>
            <w:gridSpan w:val="2"/>
            <w:vMerge w:val="restart"/>
            <w:shd w:val="clear" w:color="auto" w:fill="auto"/>
            <w:vAlign w:val="center"/>
          </w:tcPr>
          <w:p w14:paraId="5C7759E5">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污染物项目</w:t>
            </w:r>
          </w:p>
        </w:tc>
        <w:tc>
          <w:tcPr>
            <w:tcW w:w="1953" w:type="pct"/>
            <w:shd w:val="clear" w:color="auto" w:fill="auto"/>
            <w:vAlign w:val="center"/>
          </w:tcPr>
          <w:p w14:paraId="69C0892B">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筛选值</w:t>
            </w:r>
          </w:p>
        </w:tc>
      </w:tr>
      <w:tr w14:paraId="30C4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shd w:val="clear" w:color="auto" w:fill="auto"/>
            <w:vAlign w:val="center"/>
          </w:tcPr>
          <w:p w14:paraId="380571D1">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2422" w:type="pct"/>
            <w:gridSpan w:val="2"/>
            <w:vMerge w:val="continue"/>
            <w:shd w:val="clear" w:color="auto" w:fill="auto"/>
            <w:vAlign w:val="center"/>
          </w:tcPr>
          <w:p w14:paraId="43EC347E">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953" w:type="pct"/>
            <w:shd w:val="clear" w:color="auto" w:fill="auto"/>
            <w:vAlign w:val="center"/>
          </w:tcPr>
          <w:p w14:paraId="57A6B03F">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pH&gt;7.5</w:t>
            </w:r>
          </w:p>
        </w:tc>
      </w:tr>
      <w:tr w14:paraId="3DE7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73B19BDE">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w:t>
            </w:r>
          </w:p>
        </w:tc>
        <w:tc>
          <w:tcPr>
            <w:tcW w:w="1094" w:type="pct"/>
            <w:vMerge w:val="restart"/>
            <w:shd w:val="clear" w:color="auto" w:fill="auto"/>
            <w:vAlign w:val="center"/>
          </w:tcPr>
          <w:p w14:paraId="7FB58EAD">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镉</w:t>
            </w:r>
          </w:p>
        </w:tc>
        <w:tc>
          <w:tcPr>
            <w:tcW w:w="1328" w:type="pct"/>
            <w:shd w:val="clear" w:color="auto" w:fill="auto"/>
            <w:vAlign w:val="center"/>
          </w:tcPr>
          <w:p w14:paraId="732F8CF0">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水田</w:t>
            </w:r>
          </w:p>
        </w:tc>
        <w:tc>
          <w:tcPr>
            <w:tcW w:w="1953" w:type="pct"/>
            <w:shd w:val="clear" w:color="auto" w:fill="auto"/>
            <w:vAlign w:val="center"/>
          </w:tcPr>
          <w:p w14:paraId="023ECA67">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0.8</w:t>
            </w:r>
          </w:p>
        </w:tc>
      </w:tr>
      <w:tr w14:paraId="7DDB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shd w:val="clear" w:color="auto" w:fill="auto"/>
            <w:vAlign w:val="center"/>
          </w:tcPr>
          <w:p w14:paraId="75D69761">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094" w:type="pct"/>
            <w:vMerge w:val="continue"/>
            <w:shd w:val="clear" w:color="auto" w:fill="auto"/>
            <w:vAlign w:val="center"/>
          </w:tcPr>
          <w:p w14:paraId="447A651D">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328" w:type="pct"/>
            <w:shd w:val="clear" w:color="auto" w:fill="auto"/>
            <w:vAlign w:val="center"/>
          </w:tcPr>
          <w:p w14:paraId="2685F390">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shd w:val="clear" w:color="auto" w:fill="auto"/>
            <w:vAlign w:val="center"/>
          </w:tcPr>
          <w:p w14:paraId="7BDD8F9C">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0.6</w:t>
            </w:r>
          </w:p>
        </w:tc>
      </w:tr>
      <w:tr w14:paraId="433D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60F15859">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w:t>
            </w:r>
          </w:p>
        </w:tc>
        <w:tc>
          <w:tcPr>
            <w:tcW w:w="1094" w:type="pct"/>
            <w:vMerge w:val="restart"/>
            <w:shd w:val="clear" w:color="auto" w:fill="auto"/>
            <w:vAlign w:val="center"/>
          </w:tcPr>
          <w:p w14:paraId="25D727B9">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汞</w:t>
            </w:r>
          </w:p>
        </w:tc>
        <w:tc>
          <w:tcPr>
            <w:tcW w:w="1328" w:type="pct"/>
            <w:shd w:val="clear" w:color="auto" w:fill="auto"/>
            <w:vAlign w:val="center"/>
          </w:tcPr>
          <w:p w14:paraId="4A1BB26F">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水田</w:t>
            </w:r>
          </w:p>
        </w:tc>
        <w:tc>
          <w:tcPr>
            <w:tcW w:w="1953" w:type="pct"/>
            <w:shd w:val="clear" w:color="auto" w:fill="auto"/>
            <w:vAlign w:val="center"/>
          </w:tcPr>
          <w:p w14:paraId="23991814">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1.0</w:t>
            </w:r>
          </w:p>
        </w:tc>
      </w:tr>
      <w:tr w14:paraId="7D5E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shd w:val="clear" w:color="auto" w:fill="auto"/>
            <w:vAlign w:val="center"/>
          </w:tcPr>
          <w:p w14:paraId="29E0C268">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094" w:type="pct"/>
            <w:vMerge w:val="continue"/>
            <w:shd w:val="clear" w:color="auto" w:fill="auto"/>
            <w:vAlign w:val="center"/>
          </w:tcPr>
          <w:p w14:paraId="2E8EE44D">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328" w:type="pct"/>
            <w:shd w:val="clear" w:color="auto" w:fill="auto"/>
            <w:vAlign w:val="center"/>
          </w:tcPr>
          <w:p w14:paraId="3AD9339E">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shd w:val="clear" w:color="auto" w:fill="auto"/>
            <w:vAlign w:val="center"/>
          </w:tcPr>
          <w:p w14:paraId="399DFF7A">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3.4</w:t>
            </w:r>
          </w:p>
        </w:tc>
      </w:tr>
      <w:tr w14:paraId="0292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37C4474F">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w:t>
            </w:r>
          </w:p>
        </w:tc>
        <w:tc>
          <w:tcPr>
            <w:tcW w:w="1094" w:type="pct"/>
            <w:vMerge w:val="restart"/>
            <w:shd w:val="clear" w:color="auto" w:fill="auto"/>
            <w:vAlign w:val="center"/>
          </w:tcPr>
          <w:p w14:paraId="7FF072D8">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砷</w:t>
            </w:r>
          </w:p>
        </w:tc>
        <w:tc>
          <w:tcPr>
            <w:tcW w:w="1328" w:type="pct"/>
            <w:shd w:val="clear" w:color="auto" w:fill="auto"/>
            <w:vAlign w:val="center"/>
          </w:tcPr>
          <w:p w14:paraId="4672BDCE">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水田</w:t>
            </w:r>
          </w:p>
        </w:tc>
        <w:tc>
          <w:tcPr>
            <w:tcW w:w="1953" w:type="pct"/>
            <w:shd w:val="clear" w:color="auto" w:fill="auto"/>
            <w:vAlign w:val="center"/>
          </w:tcPr>
          <w:p w14:paraId="3AE8730F">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20</w:t>
            </w:r>
          </w:p>
        </w:tc>
      </w:tr>
      <w:tr w14:paraId="2001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shd w:val="clear" w:color="auto" w:fill="auto"/>
            <w:vAlign w:val="center"/>
          </w:tcPr>
          <w:p w14:paraId="5748ED57">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094" w:type="pct"/>
            <w:vMerge w:val="continue"/>
            <w:shd w:val="clear" w:color="auto" w:fill="auto"/>
            <w:vAlign w:val="center"/>
          </w:tcPr>
          <w:p w14:paraId="23C5FB06">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328" w:type="pct"/>
            <w:shd w:val="clear" w:color="auto" w:fill="auto"/>
            <w:vAlign w:val="center"/>
          </w:tcPr>
          <w:p w14:paraId="7D3BEC8B">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shd w:val="clear" w:color="auto" w:fill="auto"/>
            <w:vAlign w:val="center"/>
          </w:tcPr>
          <w:p w14:paraId="7EEE88C1">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25</w:t>
            </w:r>
          </w:p>
        </w:tc>
      </w:tr>
      <w:tr w14:paraId="101F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6B6057F3">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4</w:t>
            </w:r>
          </w:p>
        </w:tc>
        <w:tc>
          <w:tcPr>
            <w:tcW w:w="1094" w:type="pct"/>
            <w:vMerge w:val="restart"/>
            <w:shd w:val="clear" w:color="auto" w:fill="auto"/>
            <w:vAlign w:val="center"/>
          </w:tcPr>
          <w:p w14:paraId="6A1AFB5D">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铅</w:t>
            </w:r>
          </w:p>
        </w:tc>
        <w:tc>
          <w:tcPr>
            <w:tcW w:w="1328" w:type="pct"/>
            <w:shd w:val="clear" w:color="auto" w:fill="auto"/>
            <w:vAlign w:val="center"/>
          </w:tcPr>
          <w:p w14:paraId="282A02D1">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水田</w:t>
            </w:r>
          </w:p>
        </w:tc>
        <w:tc>
          <w:tcPr>
            <w:tcW w:w="1953" w:type="pct"/>
            <w:shd w:val="clear" w:color="auto" w:fill="auto"/>
            <w:vAlign w:val="center"/>
          </w:tcPr>
          <w:p w14:paraId="6EBAD235">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240</w:t>
            </w:r>
          </w:p>
        </w:tc>
      </w:tr>
      <w:tr w14:paraId="700F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shd w:val="clear" w:color="auto" w:fill="auto"/>
            <w:vAlign w:val="center"/>
          </w:tcPr>
          <w:p w14:paraId="15A6B261">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094" w:type="pct"/>
            <w:vMerge w:val="continue"/>
            <w:shd w:val="clear" w:color="auto" w:fill="auto"/>
            <w:vAlign w:val="center"/>
          </w:tcPr>
          <w:p w14:paraId="3715F361">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328" w:type="pct"/>
            <w:shd w:val="clear" w:color="auto" w:fill="auto"/>
            <w:vAlign w:val="center"/>
          </w:tcPr>
          <w:p w14:paraId="6026964B">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shd w:val="clear" w:color="auto" w:fill="auto"/>
            <w:vAlign w:val="center"/>
          </w:tcPr>
          <w:p w14:paraId="4360B514">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170</w:t>
            </w:r>
          </w:p>
        </w:tc>
      </w:tr>
      <w:tr w14:paraId="016D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23977876">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5</w:t>
            </w:r>
          </w:p>
        </w:tc>
        <w:tc>
          <w:tcPr>
            <w:tcW w:w="1094" w:type="pct"/>
            <w:vMerge w:val="restart"/>
            <w:shd w:val="clear" w:color="auto" w:fill="auto"/>
            <w:vAlign w:val="center"/>
          </w:tcPr>
          <w:p w14:paraId="04F51B9D">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铬</w:t>
            </w:r>
          </w:p>
        </w:tc>
        <w:tc>
          <w:tcPr>
            <w:tcW w:w="1328" w:type="pct"/>
            <w:shd w:val="clear" w:color="auto" w:fill="auto"/>
            <w:vAlign w:val="center"/>
          </w:tcPr>
          <w:p w14:paraId="4A311A38">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水田</w:t>
            </w:r>
          </w:p>
        </w:tc>
        <w:tc>
          <w:tcPr>
            <w:tcW w:w="1953" w:type="pct"/>
            <w:shd w:val="clear" w:color="auto" w:fill="auto"/>
            <w:vAlign w:val="center"/>
          </w:tcPr>
          <w:p w14:paraId="58C7BB6C">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350</w:t>
            </w:r>
          </w:p>
        </w:tc>
      </w:tr>
      <w:tr w14:paraId="076B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shd w:val="clear" w:color="auto" w:fill="auto"/>
            <w:vAlign w:val="center"/>
          </w:tcPr>
          <w:p w14:paraId="7303A05F">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094" w:type="pct"/>
            <w:vMerge w:val="continue"/>
            <w:shd w:val="clear" w:color="auto" w:fill="auto"/>
            <w:vAlign w:val="center"/>
          </w:tcPr>
          <w:p w14:paraId="6D2C62EF">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328" w:type="pct"/>
            <w:shd w:val="clear" w:color="auto" w:fill="auto"/>
            <w:vAlign w:val="center"/>
          </w:tcPr>
          <w:p w14:paraId="5ADC4AF5">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shd w:val="clear" w:color="auto" w:fill="auto"/>
            <w:vAlign w:val="center"/>
          </w:tcPr>
          <w:p w14:paraId="503474A4">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250</w:t>
            </w:r>
          </w:p>
        </w:tc>
      </w:tr>
      <w:tr w14:paraId="726E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shd w:val="clear" w:color="auto" w:fill="auto"/>
            <w:vAlign w:val="center"/>
          </w:tcPr>
          <w:p w14:paraId="458E1DD8">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6</w:t>
            </w:r>
          </w:p>
        </w:tc>
        <w:tc>
          <w:tcPr>
            <w:tcW w:w="1094" w:type="pct"/>
            <w:shd w:val="clear" w:color="auto" w:fill="auto"/>
            <w:vAlign w:val="center"/>
          </w:tcPr>
          <w:p w14:paraId="781BBEAF">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铜</w:t>
            </w:r>
          </w:p>
        </w:tc>
        <w:tc>
          <w:tcPr>
            <w:tcW w:w="1328" w:type="pct"/>
            <w:shd w:val="clear" w:color="auto" w:fill="auto"/>
            <w:vAlign w:val="center"/>
          </w:tcPr>
          <w:p w14:paraId="5B6F29E5">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shd w:val="clear" w:color="auto" w:fill="auto"/>
            <w:vAlign w:val="center"/>
          </w:tcPr>
          <w:p w14:paraId="52A72CCD">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100</w:t>
            </w:r>
          </w:p>
        </w:tc>
      </w:tr>
      <w:tr w14:paraId="06E6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shd w:val="clear" w:color="auto" w:fill="auto"/>
            <w:vAlign w:val="center"/>
          </w:tcPr>
          <w:p w14:paraId="196CE12C">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7</w:t>
            </w:r>
          </w:p>
        </w:tc>
        <w:tc>
          <w:tcPr>
            <w:tcW w:w="2422" w:type="pct"/>
            <w:gridSpan w:val="2"/>
            <w:shd w:val="clear" w:color="auto" w:fill="auto"/>
            <w:vAlign w:val="center"/>
          </w:tcPr>
          <w:p w14:paraId="010719B3">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镍</w:t>
            </w:r>
          </w:p>
        </w:tc>
        <w:tc>
          <w:tcPr>
            <w:tcW w:w="1953" w:type="pct"/>
            <w:shd w:val="clear" w:color="auto" w:fill="auto"/>
            <w:vAlign w:val="center"/>
          </w:tcPr>
          <w:p w14:paraId="08718ACC">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190</w:t>
            </w:r>
          </w:p>
        </w:tc>
      </w:tr>
      <w:tr w14:paraId="3898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shd w:val="clear" w:color="auto" w:fill="auto"/>
            <w:vAlign w:val="center"/>
          </w:tcPr>
          <w:p w14:paraId="51BEB00B">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8</w:t>
            </w:r>
          </w:p>
        </w:tc>
        <w:tc>
          <w:tcPr>
            <w:tcW w:w="2422" w:type="pct"/>
            <w:gridSpan w:val="2"/>
            <w:shd w:val="clear" w:color="auto" w:fill="auto"/>
            <w:vAlign w:val="center"/>
          </w:tcPr>
          <w:p w14:paraId="1B746C0E">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锌</w:t>
            </w:r>
          </w:p>
        </w:tc>
        <w:tc>
          <w:tcPr>
            <w:tcW w:w="1953" w:type="pct"/>
            <w:shd w:val="clear" w:color="auto" w:fill="auto"/>
            <w:vAlign w:val="center"/>
          </w:tcPr>
          <w:p w14:paraId="5C620CFB">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300</w:t>
            </w:r>
          </w:p>
        </w:tc>
      </w:tr>
    </w:tbl>
    <w:p w14:paraId="398CC556">
      <w:pPr>
        <w:pStyle w:val="7"/>
        <w:widowControl w:val="0"/>
        <w:spacing w:before="60" w:after="60" w:line="440" w:lineRule="exact"/>
        <w:jc w:val="both"/>
        <w:rPr>
          <w:rFonts w:eastAsia="宋体"/>
          <w:b/>
          <w:color w:val="auto"/>
          <w:w w:val="99"/>
          <w:kern w:val="2"/>
          <w:sz w:val="24"/>
          <w:szCs w:val="24"/>
          <w:highlight w:val="none"/>
        </w:rPr>
      </w:pPr>
      <w:bookmarkStart w:id="264" w:name="_Toc80588229"/>
      <w:bookmarkStart w:id="265" w:name="_Toc57707893"/>
      <w:bookmarkStart w:id="266" w:name="_Toc21176"/>
      <w:bookmarkStart w:id="267" w:name="_Toc76976217"/>
      <w:bookmarkStart w:id="268" w:name="_Toc57976648"/>
      <w:bookmarkStart w:id="269" w:name="_Toc70050149"/>
      <w:bookmarkStart w:id="270" w:name="_Toc83209446"/>
      <w:bookmarkStart w:id="271" w:name="_Toc186444249"/>
      <w:bookmarkStart w:id="272" w:name="_Toc61597195"/>
      <w:bookmarkStart w:id="273" w:name="_Toc57203223"/>
      <w:bookmarkStart w:id="274" w:name="_Toc67860102"/>
      <w:bookmarkStart w:id="275" w:name="_Toc80971351"/>
      <w:bookmarkStart w:id="276" w:name="_Toc77067633"/>
      <w:bookmarkStart w:id="277" w:name="_Toc78816434"/>
      <w:bookmarkStart w:id="278" w:name="_Toc17898138"/>
      <w:r>
        <w:rPr>
          <w:rFonts w:eastAsia="宋体"/>
          <w:b/>
          <w:color w:val="auto"/>
          <w:w w:val="99"/>
          <w:kern w:val="2"/>
          <w:sz w:val="24"/>
          <w:szCs w:val="24"/>
          <w:highlight w:val="none"/>
        </w:rPr>
        <w:t>2.6.2污染物排放标准</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687B38CD">
      <w:pPr>
        <w:pStyle w:val="153"/>
        <w:widowControl w:val="0"/>
        <w:spacing w:line="440" w:lineRule="exact"/>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2.6.2.1废气</w:t>
      </w:r>
    </w:p>
    <w:p w14:paraId="5A3EF207">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（1）项目施工期扬尘（颗粒物）执行《大气污染物综合排放标准》（GB 16297-1996）表2中无组织排放监控浓度限值，见表2.6-7。</w:t>
      </w:r>
    </w:p>
    <w:p w14:paraId="643C306C">
      <w:pPr>
        <w:widowControl w:val="0"/>
        <w:tabs>
          <w:tab w:val="left" w:pos="5262"/>
        </w:tabs>
        <w:spacing w:line="440" w:lineRule="exact"/>
        <w:ind w:firstLine="476"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b/>
          <w:color w:val="auto"/>
          <w:w w:val="99"/>
          <w:kern w:val="2"/>
          <w:szCs w:val="20"/>
          <w:highlight w:val="none"/>
        </w:rPr>
        <w:t>表2.6-7</w:t>
      </w:r>
      <w:r>
        <w:rPr>
          <w:rFonts w:ascii="Times New Roman" w:hAnsi="Times New Roman" w:cs="Times New Roman" w:eastAsiaTheme="minorEastAsia"/>
          <w:b/>
          <w:bCs/>
          <w:color w:val="auto"/>
          <w:w w:val="99"/>
          <w:kern w:val="21"/>
          <w:highlight w:val="none"/>
        </w:rPr>
        <w:t xml:space="preserve">    大气污染物综合排放标准    单位：mg/m</w:t>
      </w:r>
      <w:r>
        <w:rPr>
          <w:rFonts w:ascii="Times New Roman" w:hAnsi="Times New Roman" w:cs="Times New Roman" w:eastAsiaTheme="minorEastAsia"/>
          <w:b/>
          <w:bCs/>
          <w:color w:val="auto"/>
          <w:w w:val="99"/>
          <w:kern w:val="21"/>
          <w:highlight w:val="none"/>
          <w:vertAlign w:val="superscript"/>
        </w:rPr>
        <w:t>3</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3"/>
        <w:gridCol w:w="3036"/>
        <w:gridCol w:w="3298"/>
      </w:tblGrid>
      <w:tr w14:paraId="5132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pct"/>
            <w:vMerge w:val="restart"/>
            <w:vAlign w:val="center"/>
          </w:tcPr>
          <w:p w14:paraId="741A940B">
            <w:pPr>
              <w:widowControl w:val="0"/>
              <w:tabs>
                <w:tab w:val="left" w:pos="5262"/>
              </w:tabs>
              <w:spacing w:line="36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污染物</w:t>
            </w:r>
          </w:p>
        </w:tc>
        <w:tc>
          <w:tcPr>
            <w:tcW w:w="3409" w:type="pct"/>
            <w:gridSpan w:val="2"/>
            <w:vAlign w:val="center"/>
          </w:tcPr>
          <w:p w14:paraId="3AAE7104">
            <w:pPr>
              <w:widowControl w:val="0"/>
              <w:tabs>
                <w:tab w:val="left" w:pos="5262"/>
              </w:tabs>
              <w:spacing w:line="36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无组织排放监控浓度限值</w:t>
            </w:r>
          </w:p>
        </w:tc>
      </w:tr>
      <w:tr w14:paraId="3217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pct"/>
            <w:vMerge w:val="continue"/>
            <w:vAlign w:val="center"/>
          </w:tcPr>
          <w:p w14:paraId="1B47F9B6">
            <w:pPr>
              <w:widowControl w:val="0"/>
              <w:tabs>
                <w:tab w:val="left" w:pos="5262"/>
              </w:tabs>
              <w:spacing w:line="360" w:lineRule="exact"/>
              <w:jc w:val="center"/>
              <w:rPr>
                <w:rFonts w:ascii="Times New Roman" w:hAnsi="Times New Roman" w:cs="Times New Roman" w:eastAsiaTheme="minorEastAsia"/>
                <w:bCs/>
                <w:color w:val="auto"/>
                <w:w w:val="99"/>
                <w:kern w:val="21"/>
                <w:sz w:val="21"/>
                <w:szCs w:val="21"/>
                <w:highlight w:val="none"/>
              </w:rPr>
            </w:pPr>
          </w:p>
        </w:tc>
        <w:tc>
          <w:tcPr>
            <w:tcW w:w="1634" w:type="pct"/>
            <w:vAlign w:val="center"/>
          </w:tcPr>
          <w:p w14:paraId="33437CD5">
            <w:pPr>
              <w:widowControl w:val="0"/>
              <w:tabs>
                <w:tab w:val="left" w:pos="5262"/>
              </w:tabs>
              <w:spacing w:line="36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监控点</w:t>
            </w:r>
          </w:p>
        </w:tc>
        <w:tc>
          <w:tcPr>
            <w:tcW w:w="1775" w:type="pct"/>
            <w:vAlign w:val="center"/>
          </w:tcPr>
          <w:p w14:paraId="3F18B652">
            <w:pPr>
              <w:widowControl w:val="0"/>
              <w:tabs>
                <w:tab w:val="left" w:pos="5262"/>
              </w:tabs>
              <w:spacing w:line="36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浓度</w:t>
            </w:r>
          </w:p>
        </w:tc>
      </w:tr>
      <w:tr w14:paraId="65A2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pct"/>
            <w:vAlign w:val="center"/>
          </w:tcPr>
          <w:p w14:paraId="3ED0AB18">
            <w:pPr>
              <w:widowControl w:val="0"/>
              <w:tabs>
                <w:tab w:val="left" w:pos="5262"/>
              </w:tabs>
              <w:spacing w:line="36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颗粒物</w:t>
            </w:r>
          </w:p>
        </w:tc>
        <w:tc>
          <w:tcPr>
            <w:tcW w:w="1634" w:type="pct"/>
            <w:vAlign w:val="center"/>
          </w:tcPr>
          <w:p w14:paraId="664098E6">
            <w:pPr>
              <w:widowControl w:val="0"/>
              <w:tabs>
                <w:tab w:val="left" w:pos="5262"/>
              </w:tabs>
              <w:spacing w:line="36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周界外浓度最高点</w:t>
            </w:r>
          </w:p>
        </w:tc>
        <w:tc>
          <w:tcPr>
            <w:tcW w:w="1775" w:type="pct"/>
            <w:vAlign w:val="center"/>
          </w:tcPr>
          <w:p w14:paraId="57369FF2">
            <w:pPr>
              <w:widowControl w:val="0"/>
              <w:tabs>
                <w:tab w:val="left" w:pos="5262"/>
              </w:tabs>
              <w:spacing w:line="36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1.0</w:t>
            </w:r>
          </w:p>
        </w:tc>
      </w:tr>
    </w:tbl>
    <w:p w14:paraId="48F1C62D">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（3）运营期井场</w:t>
      </w:r>
      <w:r>
        <w:rPr>
          <w:rFonts w:hint="eastAsia" w:ascii="Times New Roman" w:hAnsi="Times New Roman" w:cs="Times New Roman"/>
          <w:snapToGrid w:val="0"/>
          <w:color w:val="auto"/>
          <w:w w:val="99"/>
          <w:highlight w:val="none"/>
          <w:lang w:val="en-US" w:eastAsia="zh-CN"/>
        </w:rPr>
        <w:t>以及</w:t>
      </w:r>
      <w:r>
        <w:rPr>
          <w:rFonts w:ascii="Times New Roman" w:hAnsi="Times New Roman" w:eastAsia="宋体" w:cs="Times New Roman"/>
          <w:snapToGrid w:val="0"/>
          <w:color w:val="auto"/>
          <w:w w:val="99"/>
          <w:highlight w:val="none"/>
        </w:rPr>
        <w:t>依托场站排放的VOCs（以非甲烷总烃计）执行《陆上石油天然气开采工业大气污染物排放标准》（GB39728-2020）</w:t>
      </w:r>
      <w:r>
        <w:rPr>
          <w:rFonts w:hint="eastAsia" w:ascii="Times New Roman" w:hAnsi="Times New Roman" w:cs="Times New Roman"/>
          <w:color w:val="auto"/>
          <w:w w:val="99"/>
          <w:sz w:val="24"/>
          <w:szCs w:val="24"/>
          <w:highlight w:val="none"/>
        </w:rPr>
        <w:t>要求</w:t>
      </w:r>
      <w:r>
        <w:rPr>
          <w:rFonts w:hint="eastAsia" w:ascii="Times New Roman" w:hAnsi="Times New Roman" w:cs="Times New Roman"/>
          <w:color w:val="auto"/>
          <w:w w:val="99"/>
          <w:sz w:val="24"/>
          <w:szCs w:val="24"/>
          <w:highlight w:val="none"/>
          <w:lang w:eastAsia="zh-CN"/>
        </w:rPr>
        <w:t>，</w:t>
      </w:r>
      <w:r>
        <w:rPr>
          <w:rFonts w:ascii="Times New Roman" w:hAnsi="Times New Roman" w:eastAsia="宋体" w:cs="Times New Roman"/>
          <w:snapToGrid w:val="0"/>
          <w:color w:val="auto"/>
          <w:w w:val="99"/>
          <w:highlight w:val="none"/>
        </w:rPr>
        <w:t>见表2.6-</w:t>
      </w:r>
      <w:r>
        <w:rPr>
          <w:rFonts w:hint="eastAsia" w:ascii="Times New Roman" w:hAnsi="Times New Roman" w:cs="Times New Roman"/>
          <w:snapToGrid w:val="0"/>
          <w:color w:val="auto"/>
          <w:w w:val="99"/>
          <w:highlight w:val="none"/>
          <w:lang w:val="en-US" w:eastAsia="zh-CN"/>
        </w:rPr>
        <w:t>8</w:t>
      </w:r>
      <w:r>
        <w:rPr>
          <w:rFonts w:ascii="Times New Roman" w:hAnsi="Times New Roman" w:eastAsia="宋体" w:cs="Times New Roman"/>
          <w:snapToGrid w:val="0"/>
          <w:color w:val="auto"/>
          <w:w w:val="99"/>
          <w:highlight w:val="none"/>
        </w:rPr>
        <w:t>。</w:t>
      </w:r>
    </w:p>
    <w:p w14:paraId="7E4C8955">
      <w:pPr>
        <w:widowControl w:val="0"/>
        <w:tabs>
          <w:tab w:val="left" w:pos="5262"/>
        </w:tabs>
        <w:spacing w:line="44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color w:val="auto"/>
          <w:w w:val="99"/>
          <w:kern w:val="2"/>
          <w:szCs w:val="20"/>
          <w:highlight w:val="none"/>
        </w:rPr>
        <w:t>表2.6-</w:t>
      </w:r>
      <w:r>
        <w:rPr>
          <w:rFonts w:hint="eastAsia" w:ascii="Times New Roman" w:hAnsi="Times New Roman" w:cs="Times New Roman" w:eastAsiaTheme="minorEastAsia"/>
          <w:b/>
          <w:color w:val="auto"/>
          <w:w w:val="99"/>
          <w:kern w:val="2"/>
          <w:szCs w:val="20"/>
          <w:highlight w:val="none"/>
          <w:lang w:val="en-US" w:eastAsia="zh-CN"/>
        </w:rPr>
        <w:t>8</w:t>
      </w:r>
      <w:r>
        <w:rPr>
          <w:rFonts w:ascii="Times New Roman" w:hAnsi="Times New Roman" w:cs="Times New Roman" w:eastAsiaTheme="minorEastAsia"/>
          <w:b/>
          <w:color w:val="auto"/>
          <w:w w:val="99"/>
          <w:kern w:val="2"/>
          <w:szCs w:val="20"/>
          <w:highlight w:val="none"/>
        </w:rPr>
        <w:t xml:space="preserve">    陆上石油天然气开采工业大气污染物排放标准</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3"/>
        <w:gridCol w:w="5804"/>
      </w:tblGrid>
      <w:tr w14:paraId="7A96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pct"/>
            <w:vAlign w:val="center"/>
          </w:tcPr>
          <w:p w14:paraId="593D6BAD">
            <w:pPr>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标准</w:t>
            </w:r>
          </w:p>
        </w:tc>
        <w:tc>
          <w:tcPr>
            <w:tcW w:w="3125" w:type="pct"/>
            <w:vAlign w:val="center"/>
          </w:tcPr>
          <w:p w14:paraId="2458B7F9">
            <w:pPr>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规定要求</w:t>
            </w:r>
          </w:p>
        </w:tc>
      </w:tr>
      <w:tr w14:paraId="56AD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5" w:type="pct"/>
            <w:vAlign w:val="center"/>
          </w:tcPr>
          <w:p w14:paraId="7B2E8161">
            <w:pPr>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《陆上石油天然气开采工业大气污染物排放标准》（GB39728-2020）</w:t>
            </w:r>
          </w:p>
        </w:tc>
        <w:tc>
          <w:tcPr>
            <w:tcW w:w="3125" w:type="pct"/>
            <w:vAlign w:val="center"/>
          </w:tcPr>
          <w:p w14:paraId="42266996">
            <w:pPr>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油气集中处理站、涉及凝析油或天然气凝液的天然气处理厂、储油库边界非甲烷总烃浓度不应超过4.0 mg/m</w:t>
            </w:r>
            <w:r>
              <w:rPr>
                <w:rFonts w:ascii="Times New Roman" w:hAnsi="Times New Roman" w:cs="Times New Roman"/>
                <w:color w:val="auto"/>
                <w:w w:val="99"/>
                <w:sz w:val="21"/>
                <w:szCs w:val="21"/>
                <w:highlight w:val="none"/>
                <w:vertAlign w:val="superscript"/>
              </w:rPr>
              <w:t>3</w:t>
            </w:r>
            <w:r>
              <w:rPr>
                <w:rFonts w:ascii="Times New Roman" w:hAnsi="Times New Roman" w:cs="Times New Roman"/>
                <w:color w:val="auto"/>
                <w:w w:val="99"/>
                <w:sz w:val="21"/>
                <w:szCs w:val="21"/>
                <w:highlight w:val="none"/>
              </w:rPr>
              <w:t>。</w:t>
            </w:r>
          </w:p>
        </w:tc>
      </w:tr>
    </w:tbl>
    <w:p w14:paraId="476E8993">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w:t>
      </w:r>
      <w:r>
        <w:rPr>
          <w:rFonts w:hint="eastAsia" w:ascii="Times New Roman" w:hAnsi="Times New Roman" w:cs="Times New Roman"/>
          <w:snapToGrid w:val="0"/>
          <w:color w:val="auto"/>
          <w:w w:val="99"/>
          <w:highlight w:val="none"/>
          <w:lang w:val="en-US" w:eastAsia="zh-CN"/>
        </w:rPr>
        <w:t>4</w:t>
      </w:r>
      <w:r>
        <w:rPr>
          <w:rFonts w:ascii="Times New Roman" w:hAnsi="Times New Roman" w:eastAsia="宋体" w:cs="Times New Roman"/>
          <w:snapToGrid w:val="0"/>
          <w:color w:val="auto"/>
          <w:w w:val="99"/>
          <w:highlight w:val="none"/>
        </w:rPr>
        <w:t>）本项目不在重点地区，运营期依托场站内加热炉执行《锅炉大气污染物排放标准》（GB13271-2014）表2中新建燃气锅炉标准限值，具体见表2.6-</w:t>
      </w:r>
      <w:r>
        <w:rPr>
          <w:rFonts w:hint="eastAsia" w:ascii="Times New Roman" w:hAnsi="Times New Roman" w:cs="Times New Roman"/>
          <w:snapToGrid w:val="0"/>
          <w:color w:val="auto"/>
          <w:w w:val="99"/>
          <w:highlight w:val="none"/>
          <w:lang w:val="en-US" w:eastAsia="zh-CN"/>
        </w:rPr>
        <w:t>9</w:t>
      </w:r>
      <w:r>
        <w:rPr>
          <w:rFonts w:ascii="Times New Roman" w:hAnsi="Times New Roman" w:eastAsia="宋体" w:cs="Times New Roman"/>
          <w:snapToGrid w:val="0"/>
          <w:color w:val="auto"/>
          <w:w w:val="99"/>
          <w:highlight w:val="none"/>
        </w:rPr>
        <w:t>。</w:t>
      </w:r>
    </w:p>
    <w:p w14:paraId="76A0A8A3">
      <w:pPr>
        <w:widowControl w:val="0"/>
        <w:spacing w:line="440" w:lineRule="exact"/>
        <w:ind w:firstLine="476"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b/>
          <w:color w:val="auto"/>
          <w:w w:val="99"/>
          <w:kern w:val="2"/>
          <w:szCs w:val="20"/>
          <w:highlight w:val="none"/>
        </w:rPr>
        <w:t>表2.6-</w:t>
      </w:r>
      <w:r>
        <w:rPr>
          <w:rFonts w:hint="eastAsia" w:ascii="Times New Roman" w:hAnsi="Times New Roman" w:cs="Times New Roman" w:eastAsiaTheme="minorEastAsia"/>
          <w:b/>
          <w:color w:val="auto"/>
          <w:w w:val="99"/>
          <w:kern w:val="2"/>
          <w:szCs w:val="20"/>
          <w:highlight w:val="none"/>
          <w:lang w:val="en-US" w:eastAsia="zh-CN"/>
        </w:rPr>
        <w:t>9</w:t>
      </w:r>
      <w:r>
        <w:rPr>
          <w:rFonts w:ascii="Times New Roman" w:hAnsi="Times New Roman" w:cs="Times New Roman" w:eastAsiaTheme="minorEastAsia"/>
          <w:b/>
          <w:color w:val="auto"/>
          <w:w w:val="99"/>
          <w:kern w:val="2"/>
          <w:szCs w:val="20"/>
          <w:highlight w:val="none"/>
        </w:rPr>
        <w:t xml:space="preserve">    锅炉大气污染物排放浓度限值    单位：mg/m</w:t>
      </w:r>
      <w:r>
        <w:rPr>
          <w:rFonts w:ascii="Times New Roman" w:hAnsi="Times New Roman" w:cs="Times New Roman" w:eastAsiaTheme="minorEastAsia"/>
          <w:b/>
          <w:color w:val="auto"/>
          <w:w w:val="99"/>
          <w:kern w:val="2"/>
          <w:szCs w:val="20"/>
          <w:highlight w:val="none"/>
          <w:vertAlign w:val="superscript"/>
        </w:rPr>
        <w:t>3</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2474"/>
        <w:gridCol w:w="1016"/>
        <w:gridCol w:w="873"/>
        <w:gridCol w:w="1016"/>
        <w:gridCol w:w="1597"/>
        <w:gridCol w:w="1011"/>
      </w:tblGrid>
      <w:tr w14:paraId="1673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00" w:type="pct"/>
            <w:vAlign w:val="center"/>
          </w:tcPr>
          <w:p w14:paraId="0C72660F">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区域</w:t>
            </w:r>
          </w:p>
        </w:tc>
        <w:tc>
          <w:tcPr>
            <w:tcW w:w="1332" w:type="pct"/>
            <w:vAlign w:val="center"/>
          </w:tcPr>
          <w:p w14:paraId="1BC21635">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污染物项目</w:t>
            </w:r>
          </w:p>
        </w:tc>
        <w:tc>
          <w:tcPr>
            <w:tcW w:w="547" w:type="pct"/>
            <w:vAlign w:val="center"/>
          </w:tcPr>
          <w:p w14:paraId="7FDAB10A">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颗粒物</w:t>
            </w:r>
          </w:p>
        </w:tc>
        <w:tc>
          <w:tcPr>
            <w:tcW w:w="470" w:type="pct"/>
            <w:vAlign w:val="center"/>
          </w:tcPr>
          <w:p w14:paraId="03C6B8E8">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547" w:type="pct"/>
            <w:vAlign w:val="center"/>
          </w:tcPr>
          <w:p w14:paraId="79B061E3">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tc>
        <w:tc>
          <w:tcPr>
            <w:tcW w:w="860" w:type="pct"/>
            <w:vAlign w:val="center"/>
          </w:tcPr>
          <w:p w14:paraId="7EA837D9">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烟气黑度（林格曼级）</w:t>
            </w:r>
          </w:p>
        </w:tc>
        <w:tc>
          <w:tcPr>
            <w:tcW w:w="544" w:type="pct"/>
          </w:tcPr>
          <w:p w14:paraId="67D6F91F">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排气筒高度</w:t>
            </w:r>
          </w:p>
        </w:tc>
      </w:tr>
      <w:tr w14:paraId="1A42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0" w:type="pct"/>
            <w:vAlign w:val="center"/>
          </w:tcPr>
          <w:p w14:paraId="67F82B88">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非重点地区</w:t>
            </w:r>
          </w:p>
        </w:tc>
        <w:tc>
          <w:tcPr>
            <w:tcW w:w="1332" w:type="pct"/>
            <w:vAlign w:val="center"/>
          </w:tcPr>
          <w:p w14:paraId="36AAF140">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加热炉（新建、燃气）</w:t>
            </w:r>
          </w:p>
        </w:tc>
        <w:tc>
          <w:tcPr>
            <w:tcW w:w="547" w:type="pct"/>
            <w:vAlign w:val="center"/>
          </w:tcPr>
          <w:p w14:paraId="56F5ECDB">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w:t>
            </w:r>
          </w:p>
        </w:tc>
        <w:tc>
          <w:tcPr>
            <w:tcW w:w="470" w:type="pct"/>
            <w:vAlign w:val="center"/>
          </w:tcPr>
          <w:p w14:paraId="338C67C6">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c>
          <w:tcPr>
            <w:tcW w:w="547" w:type="pct"/>
            <w:vAlign w:val="center"/>
          </w:tcPr>
          <w:p w14:paraId="2C75E515">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c>
          <w:tcPr>
            <w:tcW w:w="860" w:type="pct"/>
            <w:vAlign w:val="center"/>
          </w:tcPr>
          <w:p w14:paraId="41E21B6A">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p>
        </w:tc>
        <w:tc>
          <w:tcPr>
            <w:tcW w:w="544" w:type="pct"/>
          </w:tcPr>
          <w:p w14:paraId="1250E82A">
            <w:pPr>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≥8m</w:t>
            </w:r>
          </w:p>
        </w:tc>
      </w:tr>
    </w:tbl>
    <w:p w14:paraId="0472F7D2">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2.6.2.2 废水</w:t>
      </w:r>
    </w:p>
    <w:p w14:paraId="55CDA18D">
      <w:pPr>
        <w:pStyle w:val="153"/>
        <w:widowControl w:val="0"/>
        <w:spacing w:line="440" w:lineRule="exact"/>
        <w:ind w:firstLine="473"/>
        <w:rPr>
          <w:rFonts w:hint="default" w:ascii="Times New Roman" w:hAnsi="Times New Roman" w:eastAsia="宋体" w:cs="Times New Roman"/>
          <w:snapToGrid w:val="0"/>
          <w:color w:val="auto"/>
          <w:w w:val="99"/>
          <w:highlight w:val="none"/>
          <w:lang w:val="en-US" w:eastAsia="zh-CN"/>
        </w:rPr>
      </w:pPr>
      <w:r>
        <w:rPr>
          <w:rFonts w:ascii="Times New Roman" w:hAnsi="Times New Roman" w:eastAsia="宋体" w:cs="Times New Roman"/>
          <w:snapToGrid w:val="0"/>
          <w:color w:val="auto"/>
          <w:w w:val="99"/>
          <w:highlight w:val="none"/>
        </w:rPr>
        <w:t>（1）本项目</w:t>
      </w:r>
      <w:r>
        <w:rPr>
          <w:rFonts w:hint="eastAsia" w:ascii="Times New Roman" w:hAnsi="Times New Roman" w:eastAsia="宋体" w:cs="Times New Roman"/>
          <w:snapToGrid w:val="0"/>
          <w:color w:val="auto"/>
          <w:w w:val="99"/>
          <w:highlight w:val="none"/>
          <w:lang w:val="en-US" w:eastAsia="zh-CN"/>
        </w:rPr>
        <w:t>管线试压废水、气田采出水最终进入</w:t>
      </w:r>
      <w:r>
        <w:rPr>
          <w:rFonts w:ascii="Times New Roman" w:hAnsi="Times New Roman" w:eastAsia="宋体" w:cs="Times New Roman"/>
          <w:snapToGrid w:val="0"/>
          <w:color w:val="auto"/>
          <w:w w:val="99"/>
          <w:highlight w:val="none"/>
        </w:rPr>
        <w:t>升一联气田污水预处理站处理满足《大庆油田地面工程建设设计规定》（Q/SYDQ 0639-2015）限值“含油量≤10mg/L、悬浮固体含量≤5mg/L、粒径中值≤2μm”后回注地下</w:t>
      </w:r>
      <w:r>
        <w:rPr>
          <w:rFonts w:hint="eastAsia" w:ascii="Times New Roman" w:hAnsi="Times New Roman" w:cs="Times New Roman"/>
          <w:snapToGrid w:val="0"/>
          <w:color w:val="auto"/>
          <w:w w:val="99"/>
          <w:highlight w:val="none"/>
          <w:lang w:val="en-US" w:eastAsia="zh-CN"/>
        </w:rPr>
        <w:t>油层</w:t>
      </w:r>
      <w:r>
        <w:rPr>
          <w:rFonts w:ascii="Times New Roman" w:hAnsi="Times New Roman" w:eastAsia="宋体" w:cs="Times New Roman"/>
          <w:snapToGrid w:val="0"/>
          <w:color w:val="auto"/>
          <w:w w:val="99"/>
          <w:highlight w:val="none"/>
        </w:rPr>
        <w:t>。</w:t>
      </w:r>
    </w:p>
    <w:p w14:paraId="045BE33C">
      <w:pPr>
        <w:pStyle w:val="153"/>
        <w:widowControl w:val="0"/>
        <w:spacing w:line="440" w:lineRule="exact"/>
        <w:ind w:firstLine="473"/>
        <w:jc w:val="both"/>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施工期施工人员产生的生活污水排入</w:t>
      </w:r>
      <w:r>
        <w:rPr>
          <w:rFonts w:hint="eastAsia" w:ascii="Times New Roman" w:hAnsi="Times New Roman" w:eastAsia="宋体" w:cs="Times New Roman"/>
          <w:snapToGrid w:val="0"/>
          <w:color w:val="auto"/>
          <w:w w:val="99"/>
          <w:highlight w:val="none"/>
          <w:lang w:val="en-US" w:eastAsia="zh-CN"/>
        </w:rPr>
        <w:t>附近场站已建防渗旱厕，均</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p>
    <w:p w14:paraId="3DC2043C">
      <w:pPr>
        <w:widowControl w:val="0"/>
        <w:tabs>
          <w:tab w:val="left" w:pos="5262"/>
        </w:tabs>
        <w:spacing w:line="44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snapToGrid w:val="0"/>
          <w:color w:val="auto"/>
          <w:w w:val="99"/>
          <w:highlight w:val="none"/>
        </w:rPr>
        <w:t>表2.6-1</w:t>
      </w:r>
      <w:r>
        <w:rPr>
          <w:rFonts w:hint="eastAsia" w:ascii="Times New Roman" w:hAnsi="Times New Roman" w:cs="Times New Roman" w:eastAsiaTheme="minorEastAsia"/>
          <w:b/>
          <w:snapToGrid w:val="0"/>
          <w:color w:val="auto"/>
          <w:w w:val="99"/>
          <w:highlight w:val="none"/>
          <w:lang w:val="en-US" w:eastAsia="zh-CN"/>
        </w:rPr>
        <w:t>0</w:t>
      </w:r>
      <w:r>
        <w:rPr>
          <w:rFonts w:ascii="Times New Roman" w:hAnsi="Times New Roman" w:cs="Times New Roman" w:eastAsiaTheme="minorEastAsia"/>
          <w:b/>
          <w:snapToGrid w:val="0"/>
          <w:color w:val="auto"/>
          <w:w w:val="99"/>
          <w:highlight w:val="none"/>
        </w:rPr>
        <w:t xml:space="preserve">    大庆油田水驱注水水质主要控制指标</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567"/>
        <w:gridCol w:w="1285"/>
        <w:gridCol w:w="1283"/>
        <w:gridCol w:w="1287"/>
        <w:gridCol w:w="1285"/>
        <w:gridCol w:w="1420"/>
      </w:tblGrid>
      <w:tr w14:paraId="1AF4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vMerge w:val="restart"/>
            <w:vAlign w:val="center"/>
          </w:tcPr>
          <w:p w14:paraId="572944E4">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3594" w:type="pct"/>
            <w:gridSpan w:val="5"/>
            <w:vAlign w:val="center"/>
          </w:tcPr>
          <w:p w14:paraId="6544C986">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空气渗透率μm</w:t>
            </w:r>
            <w:r>
              <w:rPr>
                <w:rFonts w:ascii="Times New Roman" w:hAnsi="Times New Roman" w:cs="Times New Roman" w:eastAsiaTheme="minorEastAsia"/>
                <w:color w:val="auto"/>
                <w:w w:val="99"/>
                <w:kern w:val="2"/>
                <w:sz w:val="21"/>
                <w:szCs w:val="21"/>
                <w:highlight w:val="none"/>
                <w:vertAlign w:val="superscript"/>
              </w:rPr>
              <w:t>2</w:t>
            </w:r>
          </w:p>
        </w:tc>
      </w:tr>
      <w:tr w14:paraId="6C2C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vMerge w:val="continue"/>
            <w:vAlign w:val="center"/>
          </w:tcPr>
          <w:p w14:paraId="1F97DB89">
            <w:pPr>
              <w:spacing w:line="360" w:lineRule="exact"/>
              <w:jc w:val="center"/>
              <w:rPr>
                <w:rFonts w:ascii="Times New Roman" w:hAnsi="Times New Roman" w:cs="Times New Roman" w:eastAsiaTheme="minorEastAsia"/>
                <w:color w:val="auto"/>
                <w:w w:val="99"/>
                <w:kern w:val="2"/>
                <w:sz w:val="21"/>
                <w:szCs w:val="21"/>
                <w:highlight w:val="none"/>
              </w:rPr>
            </w:pPr>
          </w:p>
        </w:tc>
        <w:tc>
          <w:tcPr>
            <w:tcW w:w="704" w:type="pct"/>
            <w:vAlign w:val="center"/>
          </w:tcPr>
          <w:p w14:paraId="1FCDEC91">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＜0.02</w:t>
            </w:r>
          </w:p>
        </w:tc>
        <w:tc>
          <w:tcPr>
            <w:tcW w:w="703" w:type="pct"/>
            <w:vAlign w:val="center"/>
          </w:tcPr>
          <w:p w14:paraId="39F92954">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0.02-0.1</w:t>
            </w:r>
          </w:p>
        </w:tc>
        <w:tc>
          <w:tcPr>
            <w:tcW w:w="705" w:type="pct"/>
            <w:vAlign w:val="center"/>
          </w:tcPr>
          <w:p w14:paraId="26B34D44">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0.1-0.3</w:t>
            </w:r>
          </w:p>
        </w:tc>
        <w:tc>
          <w:tcPr>
            <w:tcW w:w="704" w:type="pct"/>
            <w:vAlign w:val="center"/>
          </w:tcPr>
          <w:p w14:paraId="47A7E3B3">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0.3-0.6</w:t>
            </w:r>
          </w:p>
        </w:tc>
        <w:tc>
          <w:tcPr>
            <w:tcW w:w="778" w:type="pct"/>
            <w:vAlign w:val="center"/>
          </w:tcPr>
          <w:p w14:paraId="0ED71422">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＞0.6</w:t>
            </w:r>
          </w:p>
        </w:tc>
      </w:tr>
      <w:tr w14:paraId="79E8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vAlign w:val="center"/>
          </w:tcPr>
          <w:p w14:paraId="7519BF23">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含油量，mg/L</w:t>
            </w:r>
          </w:p>
        </w:tc>
        <w:tc>
          <w:tcPr>
            <w:tcW w:w="704" w:type="pct"/>
            <w:vAlign w:val="center"/>
          </w:tcPr>
          <w:p w14:paraId="77C6946D">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c>
          <w:tcPr>
            <w:tcW w:w="703" w:type="pct"/>
            <w:vAlign w:val="center"/>
          </w:tcPr>
          <w:p w14:paraId="18391D66">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≤8.0</w:t>
            </w:r>
          </w:p>
        </w:tc>
        <w:tc>
          <w:tcPr>
            <w:tcW w:w="705" w:type="pct"/>
            <w:vAlign w:val="center"/>
          </w:tcPr>
          <w:p w14:paraId="62299903">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w:t>
            </w:r>
          </w:p>
        </w:tc>
        <w:tc>
          <w:tcPr>
            <w:tcW w:w="704" w:type="pct"/>
            <w:vAlign w:val="center"/>
          </w:tcPr>
          <w:p w14:paraId="70DFE273">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w:t>
            </w:r>
          </w:p>
        </w:tc>
        <w:tc>
          <w:tcPr>
            <w:tcW w:w="778" w:type="pct"/>
            <w:vAlign w:val="center"/>
          </w:tcPr>
          <w:p w14:paraId="57FF583A">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r>
      <w:tr w14:paraId="2BF9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vAlign w:val="center"/>
          </w:tcPr>
          <w:p w14:paraId="6951A689">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悬浮固体含量，mg/L</w:t>
            </w:r>
          </w:p>
        </w:tc>
        <w:tc>
          <w:tcPr>
            <w:tcW w:w="704" w:type="pct"/>
            <w:vAlign w:val="center"/>
          </w:tcPr>
          <w:p w14:paraId="7C6ED179">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w:t>
            </w:r>
          </w:p>
        </w:tc>
        <w:tc>
          <w:tcPr>
            <w:tcW w:w="703" w:type="pct"/>
            <w:vAlign w:val="center"/>
          </w:tcPr>
          <w:p w14:paraId="42670AE3">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≤3.0</w:t>
            </w:r>
          </w:p>
        </w:tc>
        <w:tc>
          <w:tcPr>
            <w:tcW w:w="705" w:type="pct"/>
            <w:vAlign w:val="center"/>
          </w:tcPr>
          <w:p w14:paraId="06199117">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c>
          <w:tcPr>
            <w:tcW w:w="704" w:type="pct"/>
            <w:vAlign w:val="center"/>
          </w:tcPr>
          <w:p w14:paraId="1DDFE50B">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c>
          <w:tcPr>
            <w:tcW w:w="778" w:type="pct"/>
            <w:vAlign w:val="center"/>
          </w:tcPr>
          <w:p w14:paraId="316287A0">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w:t>
            </w:r>
          </w:p>
        </w:tc>
      </w:tr>
      <w:tr w14:paraId="4F20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vAlign w:val="center"/>
          </w:tcPr>
          <w:p w14:paraId="2B41E309">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悬浮物颗粒直径中值，μm</w:t>
            </w:r>
          </w:p>
        </w:tc>
        <w:tc>
          <w:tcPr>
            <w:tcW w:w="704" w:type="pct"/>
            <w:vAlign w:val="center"/>
          </w:tcPr>
          <w:p w14:paraId="19AF9043">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w:t>
            </w:r>
          </w:p>
        </w:tc>
        <w:tc>
          <w:tcPr>
            <w:tcW w:w="703" w:type="pct"/>
            <w:vAlign w:val="center"/>
          </w:tcPr>
          <w:p w14:paraId="7F3E1275">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w:t>
            </w:r>
          </w:p>
        </w:tc>
        <w:tc>
          <w:tcPr>
            <w:tcW w:w="705" w:type="pct"/>
            <w:vAlign w:val="center"/>
          </w:tcPr>
          <w:p w14:paraId="0B571495">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w:t>
            </w:r>
          </w:p>
        </w:tc>
        <w:tc>
          <w:tcPr>
            <w:tcW w:w="704" w:type="pct"/>
            <w:vAlign w:val="center"/>
          </w:tcPr>
          <w:p w14:paraId="26BD5832">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≤3.0</w:t>
            </w:r>
          </w:p>
        </w:tc>
        <w:tc>
          <w:tcPr>
            <w:tcW w:w="778" w:type="pct"/>
            <w:vAlign w:val="center"/>
          </w:tcPr>
          <w:p w14:paraId="48ED3541">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≤3.0</w:t>
            </w:r>
          </w:p>
        </w:tc>
      </w:tr>
    </w:tbl>
    <w:p w14:paraId="39C66FB1">
      <w:pPr>
        <w:pStyle w:val="153"/>
        <w:widowControl w:val="0"/>
        <w:spacing w:line="440" w:lineRule="exact"/>
        <w:ind w:firstLine="478"/>
        <w:rPr>
          <w:rFonts w:ascii="Times New Roman" w:hAnsi="Times New Roman" w:eastAsiaTheme="minorEastAsia"/>
          <w:b/>
          <w:snapToGrid w:val="0"/>
          <w:color w:val="auto"/>
          <w:w w:val="99"/>
          <w:highlight w:val="none"/>
        </w:rPr>
      </w:pPr>
      <w:r>
        <w:rPr>
          <w:rFonts w:ascii="Times New Roman" w:hAnsi="Times New Roman" w:eastAsiaTheme="minorEastAsia"/>
          <w:b/>
          <w:snapToGrid w:val="0"/>
          <w:color w:val="auto"/>
          <w:w w:val="99"/>
          <w:highlight w:val="none"/>
        </w:rPr>
        <w:t>表2.6-1</w:t>
      </w:r>
      <w:r>
        <w:rPr>
          <w:rFonts w:hint="eastAsia" w:ascii="Times New Roman" w:hAnsi="Times New Roman" w:eastAsiaTheme="minorEastAsia"/>
          <w:b/>
          <w:snapToGrid w:val="0"/>
          <w:color w:val="auto"/>
          <w:w w:val="99"/>
          <w:highlight w:val="none"/>
          <w:lang w:val="en-US" w:eastAsia="zh-CN"/>
        </w:rPr>
        <w:t>1</w:t>
      </w:r>
      <w:r>
        <w:rPr>
          <w:rFonts w:ascii="Times New Roman" w:hAnsi="Times New Roman" w:eastAsiaTheme="minorEastAsia"/>
          <w:b/>
          <w:snapToGrid w:val="0"/>
          <w:color w:val="auto"/>
          <w:w w:val="99"/>
          <w:highlight w:val="none"/>
        </w:rPr>
        <w:t xml:space="preserve">    碎屑岩油藏注水水质主要控制指标</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566"/>
        <w:gridCol w:w="1286"/>
        <w:gridCol w:w="1282"/>
        <w:gridCol w:w="1288"/>
        <w:gridCol w:w="1286"/>
        <w:gridCol w:w="1419"/>
      </w:tblGrid>
      <w:tr w14:paraId="5D12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5" w:type="pct"/>
            <w:vAlign w:val="center"/>
          </w:tcPr>
          <w:p w14:paraId="0CB7BB3C">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储层空气渗透率，μm</w:t>
            </w:r>
            <w:r>
              <w:rPr>
                <w:rFonts w:ascii="Times New Roman" w:hAnsi="Times New Roman" w:cs="Times New Roman" w:eastAsiaTheme="minorEastAsia"/>
                <w:color w:val="auto"/>
                <w:w w:val="99"/>
                <w:kern w:val="2"/>
                <w:sz w:val="21"/>
                <w:szCs w:val="21"/>
                <w:highlight w:val="none"/>
                <w:vertAlign w:val="superscript"/>
              </w:rPr>
              <w:t>2</w:t>
            </w:r>
          </w:p>
        </w:tc>
        <w:tc>
          <w:tcPr>
            <w:tcW w:w="704" w:type="pct"/>
            <w:vAlign w:val="center"/>
          </w:tcPr>
          <w:p w14:paraId="7F96AFC7">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＜0.01</w:t>
            </w:r>
          </w:p>
        </w:tc>
        <w:tc>
          <w:tcPr>
            <w:tcW w:w="702" w:type="pct"/>
            <w:vAlign w:val="center"/>
          </w:tcPr>
          <w:p w14:paraId="52E27455">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[0.01-0.05）</w:t>
            </w:r>
          </w:p>
        </w:tc>
        <w:tc>
          <w:tcPr>
            <w:tcW w:w="705" w:type="pct"/>
            <w:vAlign w:val="center"/>
          </w:tcPr>
          <w:p w14:paraId="5495B147">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[0.05-0.5）</w:t>
            </w:r>
          </w:p>
        </w:tc>
        <w:tc>
          <w:tcPr>
            <w:tcW w:w="704" w:type="pct"/>
            <w:vAlign w:val="center"/>
          </w:tcPr>
          <w:p w14:paraId="0DBEC6D0">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[0.5-2.0）</w:t>
            </w:r>
          </w:p>
        </w:tc>
        <w:tc>
          <w:tcPr>
            <w:tcW w:w="777" w:type="pct"/>
            <w:vAlign w:val="center"/>
          </w:tcPr>
          <w:p w14:paraId="6ADDE11E">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w:t>
            </w:r>
          </w:p>
        </w:tc>
      </w:tr>
      <w:tr w14:paraId="25FE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5" w:type="pct"/>
            <w:shd w:val="clear" w:color="auto" w:fill="auto"/>
            <w:vAlign w:val="center"/>
          </w:tcPr>
          <w:p w14:paraId="5AAECD7C">
            <w:pPr>
              <w:spacing w:line="36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cs="Times New Roman" w:eastAsiaTheme="minorEastAsia"/>
                <w:color w:val="auto"/>
                <w:w w:val="99"/>
                <w:kern w:val="2"/>
                <w:sz w:val="21"/>
                <w:szCs w:val="21"/>
                <w:highlight w:val="none"/>
              </w:rPr>
              <w:t>含油量，mg/L</w:t>
            </w:r>
          </w:p>
        </w:tc>
        <w:tc>
          <w:tcPr>
            <w:tcW w:w="704" w:type="pct"/>
            <w:shd w:val="clear" w:color="auto" w:fill="auto"/>
            <w:vAlign w:val="center"/>
          </w:tcPr>
          <w:p w14:paraId="7455EC7A">
            <w:pPr>
              <w:spacing w:line="36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cs="Times New Roman" w:eastAsiaTheme="minorEastAsia"/>
                <w:color w:val="auto"/>
                <w:w w:val="99"/>
                <w:kern w:val="2"/>
                <w:sz w:val="21"/>
                <w:szCs w:val="21"/>
                <w:highlight w:val="none"/>
              </w:rPr>
              <w:t>≤5.0</w:t>
            </w:r>
          </w:p>
        </w:tc>
        <w:tc>
          <w:tcPr>
            <w:tcW w:w="702" w:type="pct"/>
            <w:shd w:val="clear" w:color="auto" w:fill="auto"/>
            <w:vAlign w:val="center"/>
          </w:tcPr>
          <w:p w14:paraId="797811F3">
            <w:pPr>
              <w:spacing w:line="36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cs="Times New Roman" w:eastAsiaTheme="minorEastAsia"/>
                <w:color w:val="auto"/>
                <w:w w:val="99"/>
                <w:kern w:val="2"/>
                <w:sz w:val="21"/>
                <w:szCs w:val="21"/>
                <w:highlight w:val="none"/>
              </w:rPr>
              <w:t>≤10.0</w:t>
            </w:r>
          </w:p>
        </w:tc>
        <w:tc>
          <w:tcPr>
            <w:tcW w:w="705" w:type="pct"/>
            <w:shd w:val="clear" w:color="auto" w:fill="auto"/>
            <w:vAlign w:val="center"/>
          </w:tcPr>
          <w:p w14:paraId="15F6A0C4">
            <w:pPr>
              <w:spacing w:line="36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cs="Times New Roman" w:eastAsiaTheme="minorEastAsia"/>
                <w:color w:val="auto"/>
                <w:w w:val="99"/>
                <w:kern w:val="2"/>
                <w:sz w:val="21"/>
                <w:szCs w:val="21"/>
                <w:highlight w:val="none"/>
              </w:rPr>
              <w:t>≤15.0</w:t>
            </w:r>
          </w:p>
        </w:tc>
        <w:tc>
          <w:tcPr>
            <w:tcW w:w="704" w:type="pct"/>
            <w:shd w:val="clear" w:color="auto" w:fill="auto"/>
            <w:vAlign w:val="center"/>
          </w:tcPr>
          <w:p w14:paraId="6981ACF3">
            <w:pPr>
              <w:spacing w:line="36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cs="Times New Roman" w:eastAsiaTheme="minorEastAsia"/>
                <w:color w:val="auto"/>
                <w:w w:val="99"/>
                <w:kern w:val="2"/>
                <w:sz w:val="21"/>
                <w:szCs w:val="21"/>
                <w:highlight w:val="none"/>
              </w:rPr>
              <w:t>≤30.0</w:t>
            </w:r>
          </w:p>
        </w:tc>
        <w:tc>
          <w:tcPr>
            <w:tcW w:w="777" w:type="pct"/>
            <w:shd w:val="clear" w:color="auto" w:fill="auto"/>
            <w:vAlign w:val="center"/>
          </w:tcPr>
          <w:p w14:paraId="37626D35">
            <w:pPr>
              <w:spacing w:line="36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cs="Times New Roman" w:eastAsiaTheme="minorEastAsia"/>
                <w:color w:val="auto"/>
                <w:w w:val="99"/>
                <w:kern w:val="2"/>
                <w:sz w:val="21"/>
                <w:szCs w:val="21"/>
                <w:highlight w:val="none"/>
              </w:rPr>
              <w:t>≤100.0</w:t>
            </w:r>
          </w:p>
        </w:tc>
      </w:tr>
      <w:tr w14:paraId="4078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5" w:type="pct"/>
            <w:vAlign w:val="center"/>
          </w:tcPr>
          <w:p w14:paraId="1C87C693">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悬浮固体含量，mg/L</w:t>
            </w:r>
          </w:p>
        </w:tc>
        <w:tc>
          <w:tcPr>
            <w:tcW w:w="704" w:type="pct"/>
            <w:vAlign w:val="center"/>
          </w:tcPr>
          <w:p w14:paraId="1FD9C2E1">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≤8.0</w:t>
            </w:r>
          </w:p>
        </w:tc>
        <w:tc>
          <w:tcPr>
            <w:tcW w:w="702" w:type="pct"/>
            <w:vAlign w:val="center"/>
          </w:tcPr>
          <w:p w14:paraId="0016048A">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w:t>
            </w:r>
          </w:p>
        </w:tc>
        <w:tc>
          <w:tcPr>
            <w:tcW w:w="705" w:type="pct"/>
            <w:vAlign w:val="center"/>
          </w:tcPr>
          <w:p w14:paraId="67B8CA98">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c>
          <w:tcPr>
            <w:tcW w:w="704" w:type="pct"/>
            <w:vAlign w:val="center"/>
          </w:tcPr>
          <w:p w14:paraId="3741065B">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≤25.0</w:t>
            </w:r>
          </w:p>
        </w:tc>
        <w:tc>
          <w:tcPr>
            <w:tcW w:w="777" w:type="pct"/>
            <w:vAlign w:val="center"/>
          </w:tcPr>
          <w:p w14:paraId="549DB011">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≤35.0</w:t>
            </w:r>
          </w:p>
        </w:tc>
      </w:tr>
      <w:tr w14:paraId="0265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5" w:type="pct"/>
            <w:vAlign w:val="center"/>
          </w:tcPr>
          <w:p w14:paraId="656013EA">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悬浮物颗粒直径中值，μm</w:t>
            </w:r>
          </w:p>
        </w:tc>
        <w:tc>
          <w:tcPr>
            <w:tcW w:w="704" w:type="pct"/>
            <w:vAlign w:val="center"/>
          </w:tcPr>
          <w:p w14:paraId="31E8E016">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≤3.0</w:t>
            </w:r>
          </w:p>
        </w:tc>
        <w:tc>
          <w:tcPr>
            <w:tcW w:w="702" w:type="pct"/>
            <w:vAlign w:val="center"/>
          </w:tcPr>
          <w:p w14:paraId="4DE96AEE">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c>
          <w:tcPr>
            <w:tcW w:w="705" w:type="pct"/>
            <w:vAlign w:val="center"/>
          </w:tcPr>
          <w:p w14:paraId="0EB81C7B">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c>
          <w:tcPr>
            <w:tcW w:w="704" w:type="pct"/>
            <w:vAlign w:val="center"/>
          </w:tcPr>
          <w:p w14:paraId="4829635D">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c>
          <w:tcPr>
            <w:tcW w:w="777" w:type="pct"/>
            <w:vAlign w:val="center"/>
          </w:tcPr>
          <w:p w14:paraId="76D5C7F7">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≤5.5</w:t>
            </w:r>
          </w:p>
        </w:tc>
      </w:tr>
    </w:tbl>
    <w:p w14:paraId="611204CE">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2.6.2.3噪声</w:t>
      </w:r>
    </w:p>
    <w:p w14:paraId="0B4F3FDC">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项目施工期噪声排放执行《</w:t>
      </w:r>
      <w:r>
        <w:rPr>
          <w:rFonts w:hint="eastAsia" w:ascii="Times New Roman" w:hAnsi="Times New Roman" w:eastAsia="宋体" w:cs="Times New Roman"/>
          <w:snapToGrid w:val="0"/>
          <w:color w:val="auto"/>
          <w:w w:val="99"/>
          <w:highlight w:val="none"/>
          <w:lang w:eastAsia="zh-CN"/>
        </w:rPr>
        <w:t>建筑施工噪声排放标准</w:t>
      </w:r>
      <w:r>
        <w:rPr>
          <w:rFonts w:ascii="Times New Roman" w:hAnsi="Times New Roman" w:eastAsia="宋体" w:cs="Times New Roman"/>
          <w:snapToGrid w:val="0"/>
          <w:color w:val="auto"/>
          <w:w w:val="99"/>
          <w:highlight w:val="none"/>
        </w:rPr>
        <w:t>》（GB12523-20</w:t>
      </w:r>
      <w:r>
        <w:rPr>
          <w:rFonts w:hint="eastAsia" w:ascii="Times New Roman" w:hAnsi="Times New Roman" w:eastAsia="宋体" w:cs="Times New Roman"/>
          <w:snapToGrid w:val="0"/>
          <w:color w:val="auto"/>
          <w:w w:val="99"/>
          <w:highlight w:val="none"/>
          <w:lang w:val="en-US" w:eastAsia="zh-CN"/>
        </w:rPr>
        <w:t>25</w:t>
      </w:r>
      <w:r>
        <w:rPr>
          <w:rFonts w:ascii="Times New Roman" w:hAnsi="Times New Roman" w:eastAsia="宋体" w:cs="Times New Roman"/>
          <w:snapToGrid w:val="0"/>
          <w:color w:val="auto"/>
          <w:w w:val="99"/>
          <w:highlight w:val="none"/>
        </w:rPr>
        <w:t>），见表2.6-</w:t>
      </w:r>
      <w:r>
        <w:rPr>
          <w:rFonts w:hint="eastAsia" w:ascii="Times New Roman" w:hAnsi="Times New Roman" w:cs="Times New Roman"/>
          <w:snapToGrid w:val="0"/>
          <w:color w:val="auto"/>
          <w:w w:val="99"/>
          <w:highlight w:val="none"/>
          <w:lang w:val="en-US" w:eastAsia="zh-CN"/>
        </w:rPr>
        <w:t>12</w:t>
      </w:r>
      <w:r>
        <w:rPr>
          <w:rFonts w:ascii="Times New Roman" w:hAnsi="Times New Roman" w:eastAsia="宋体" w:cs="Times New Roman"/>
          <w:snapToGrid w:val="0"/>
          <w:color w:val="auto"/>
          <w:w w:val="99"/>
          <w:highlight w:val="none"/>
        </w:rPr>
        <w:t>。</w:t>
      </w:r>
    </w:p>
    <w:p w14:paraId="7A519969">
      <w:pPr>
        <w:pStyle w:val="153"/>
        <w:widowControl w:val="0"/>
        <w:spacing w:line="440" w:lineRule="exact"/>
        <w:ind w:firstLine="478"/>
        <w:jc w:val="both"/>
        <w:rPr>
          <w:rFonts w:ascii="Times New Roman" w:hAnsi="Times New Roman" w:eastAsiaTheme="minorEastAsia"/>
          <w:snapToGrid w:val="0"/>
          <w:color w:val="auto"/>
          <w:w w:val="99"/>
          <w:highlight w:val="none"/>
        </w:rPr>
      </w:pPr>
      <w:r>
        <w:rPr>
          <w:rFonts w:ascii="Times New Roman" w:hAnsi="Times New Roman" w:eastAsiaTheme="minorEastAsia"/>
          <w:b/>
          <w:snapToGrid w:val="0"/>
          <w:color w:val="auto"/>
          <w:w w:val="99"/>
          <w:highlight w:val="none"/>
        </w:rPr>
        <w:t>表2.6-1</w:t>
      </w:r>
      <w:r>
        <w:rPr>
          <w:rFonts w:hint="eastAsia" w:ascii="Times New Roman" w:hAnsi="Times New Roman" w:eastAsiaTheme="minorEastAsia"/>
          <w:b/>
          <w:snapToGrid w:val="0"/>
          <w:color w:val="auto"/>
          <w:w w:val="99"/>
          <w:highlight w:val="none"/>
          <w:lang w:val="en-US" w:eastAsia="zh-CN"/>
        </w:rPr>
        <w:t>2</w:t>
      </w:r>
      <w:r>
        <w:rPr>
          <w:rFonts w:ascii="Times New Roman" w:hAnsi="Times New Roman" w:eastAsiaTheme="minorEastAsia"/>
          <w:b/>
          <w:snapToGrid w:val="0"/>
          <w:color w:val="auto"/>
          <w:w w:val="99"/>
          <w:highlight w:val="none"/>
        </w:rPr>
        <w:t xml:space="preserve">   </w:t>
      </w:r>
      <w:r>
        <w:rPr>
          <w:rFonts w:hint="eastAsia" w:ascii="Times New Roman" w:hAnsi="Times New Roman" w:eastAsiaTheme="minorEastAsia"/>
          <w:b/>
          <w:snapToGrid w:val="0"/>
          <w:color w:val="auto"/>
          <w:w w:val="99"/>
          <w:highlight w:val="none"/>
          <w:lang w:eastAsia="zh-CN"/>
        </w:rPr>
        <w:t>建筑施工噪声排放标准</w:t>
      </w:r>
      <w:r>
        <w:rPr>
          <w:rFonts w:ascii="Times New Roman" w:hAnsi="Times New Roman" w:eastAsiaTheme="minorEastAsia"/>
          <w:b/>
          <w:snapToGrid w:val="0"/>
          <w:color w:val="auto"/>
          <w:w w:val="99"/>
          <w:highlight w:val="none"/>
        </w:rPr>
        <w:t xml:space="preserve">    单位：dB（A）</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2"/>
        <w:gridCol w:w="3081"/>
        <w:gridCol w:w="3084"/>
      </w:tblGrid>
      <w:tr w14:paraId="7BEB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Merge w:val="restart"/>
            <w:vAlign w:val="center"/>
          </w:tcPr>
          <w:p w14:paraId="27773DB8">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主要噪声源</w:t>
            </w:r>
          </w:p>
        </w:tc>
        <w:tc>
          <w:tcPr>
            <w:tcW w:w="3319" w:type="pct"/>
            <w:gridSpan w:val="2"/>
            <w:vAlign w:val="center"/>
          </w:tcPr>
          <w:p w14:paraId="248776F7">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噪声限值</w:t>
            </w:r>
          </w:p>
        </w:tc>
      </w:tr>
      <w:tr w14:paraId="673F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Merge w:val="continue"/>
            <w:vAlign w:val="center"/>
          </w:tcPr>
          <w:p w14:paraId="1996AF1B">
            <w:pPr>
              <w:pStyle w:val="157"/>
              <w:widowControl w:val="0"/>
              <w:spacing w:line="320" w:lineRule="exact"/>
              <w:rPr>
                <w:rFonts w:ascii="Times New Roman" w:hAnsi="Times New Roman" w:eastAsiaTheme="minorEastAsia"/>
                <w:snapToGrid w:val="0"/>
                <w:color w:val="auto"/>
                <w:w w:val="99"/>
                <w:kern w:val="0"/>
                <w:szCs w:val="24"/>
                <w:highlight w:val="none"/>
              </w:rPr>
            </w:pPr>
          </w:p>
        </w:tc>
        <w:tc>
          <w:tcPr>
            <w:tcW w:w="1659" w:type="pct"/>
            <w:vAlign w:val="center"/>
          </w:tcPr>
          <w:p w14:paraId="44C86CF5">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昼间</w:t>
            </w:r>
          </w:p>
        </w:tc>
        <w:tc>
          <w:tcPr>
            <w:tcW w:w="1660" w:type="pct"/>
            <w:vAlign w:val="center"/>
          </w:tcPr>
          <w:p w14:paraId="5808DE26">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夜间</w:t>
            </w:r>
          </w:p>
        </w:tc>
      </w:tr>
      <w:tr w14:paraId="3B06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Align w:val="center"/>
          </w:tcPr>
          <w:p w14:paraId="02AA6737">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建筑施工</w:t>
            </w:r>
          </w:p>
        </w:tc>
        <w:tc>
          <w:tcPr>
            <w:tcW w:w="1659" w:type="pct"/>
            <w:vAlign w:val="center"/>
          </w:tcPr>
          <w:p w14:paraId="5E465AA8">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70</w:t>
            </w:r>
          </w:p>
        </w:tc>
        <w:tc>
          <w:tcPr>
            <w:tcW w:w="1660" w:type="pct"/>
            <w:vAlign w:val="center"/>
          </w:tcPr>
          <w:p w14:paraId="4C10C948">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55</w:t>
            </w:r>
          </w:p>
        </w:tc>
      </w:tr>
    </w:tbl>
    <w:p w14:paraId="0A826552">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eastAsia="宋体" w:cs="Times New Roman"/>
          <w:snapToGrid w:val="0"/>
          <w:color w:val="auto"/>
          <w:w w:val="99"/>
          <w:highlight w:val="none"/>
        </w:rPr>
        <w:t>运营期新建井场噪声执行《工业企业厂界环境噪声排放标准》（GB12348-2008）中2类标准，具体见表2.6-1</w:t>
      </w:r>
      <w:r>
        <w:rPr>
          <w:rFonts w:hint="eastAsia" w:ascii="Times New Roman" w:hAnsi="Times New Roman" w:cs="Times New Roman"/>
          <w:snapToGrid w:val="0"/>
          <w:color w:val="auto"/>
          <w:w w:val="99"/>
          <w:highlight w:val="none"/>
          <w:lang w:val="en-US" w:eastAsia="zh-CN"/>
        </w:rPr>
        <w:t>3</w:t>
      </w:r>
      <w:r>
        <w:rPr>
          <w:rFonts w:ascii="Times New Roman" w:hAnsi="Times New Roman" w:eastAsia="宋体" w:cs="Times New Roman"/>
          <w:snapToGrid w:val="0"/>
          <w:color w:val="auto"/>
          <w:w w:val="99"/>
          <w:highlight w:val="none"/>
        </w:rPr>
        <w:t>。</w:t>
      </w:r>
    </w:p>
    <w:p w14:paraId="4775A8CB">
      <w:pPr>
        <w:pStyle w:val="185"/>
        <w:widowControl w:val="0"/>
        <w:tabs>
          <w:tab w:val="left" w:pos="1571"/>
        </w:tabs>
        <w:spacing w:line="440" w:lineRule="exact"/>
        <w:ind w:left="0"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snapToGrid w:val="0"/>
          <w:color w:val="auto"/>
          <w:w w:val="99"/>
          <w:highlight w:val="none"/>
        </w:rPr>
        <w:t>表2.6-1</w:t>
      </w:r>
      <w:r>
        <w:rPr>
          <w:rFonts w:hint="eastAsia" w:ascii="Times New Roman" w:hAnsi="Times New Roman" w:cs="Times New Roman" w:eastAsiaTheme="minorEastAsia"/>
          <w:b/>
          <w:snapToGrid w:val="0"/>
          <w:color w:val="auto"/>
          <w:w w:val="99"/>
          <w:highlight w:val="none"/>
          <w:lang w:val="en-US" w:eastAsia="zh-CN"/>
        </w:rPr>
        <w:t>3</w:t>
      </w:r>
      <w:r>
        <w:rPr>
          <w:rFonts w:ascii="Times New Roman" w:hAnsi="Times New Roman" w:cs="Times New Roman" w:eastAsiaTheme="minorEastAsia"/>
          <w:b/>
          <w:snapToGrid w:val="0"/>
          <w:color w:val="auto"/>
          <w:w w:val="99"/>
          <w:highlight w:val="none"/>
        </w:rPr>
        <w:t xml:space="preserve">    工业企业厂界环境噪声排放标准    单位：dB（A）</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63"/>
        <w:gridCol w:w="4564"/>
      </w:tblGrid>
      <w:tr w14:paraId="0CE7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00" w:type="pct"/>
            <w:vAlign w:val="center"/>
          </w:tcPr>
          <w:p w14:paraId="07D961D2">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昼  间</w:t>
            </w:r>
          </w:p>
        </w:tc>
        <w:tc>
          <w:tcPr>
            <w:tcW w:w="2500" w:type="pct"/>
            <w:vAlign w:val="center"/>
          </w:tcPr>
          <w:p w14:paraId="398A623F">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夜  间</w:t>
            </w:r>
          </w:p>
        </w:tc>
      </w:tr>
      <w:tr w14:paraId="6451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00" w:type="pct"/>
            <w:vAlign w:val="center"/>
          </w:tcPr>
          <w:p w14:paraId="37278647">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w:t>
            </w:r>
          </w:p>
        </w:tc>
        <w:tc>
          <w:tcPr>
            <w:tcW w:w="2500" w:type="pct"/>
            <w:vAlign w:val="center"/>
          </w:tcPr>
          <w:p w14:paraId="025725CB">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r>
    </w:tbl>
    <w:p w14:paraId="25E6259A">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2.6.2.4固体废物</w:t>
      </w:r>
    </w:p>
    <w:p w14:paraId="4C71E85C">
      <w:pPr>
        <w:pStyle w:val="153"/>
        <w:widowControl w:val="0"/>
        <w:spacing w:line="440" w:lineRule="exact"/>
        <w:ind w:firstLine="473"/>
        <w:rPr>
          <w:rFonts w:hint="default" w:ascii="Times New Roman" w:hAnsi="Times New Roman" w:eastAsia="宋体" w:cs="Times New Roman"/>
          <w:snapToGrid w:val="0"/>
          <w:color w:val="auto"/>
          <w:w w:val="99"/>
          <w:highlight w:val="none"/>
          <w:lang w:val="en-US" w:eastAsia="zh-CN"/>
        </w:rPr>
      </w:pPr>
      <w:r>
        <w:rPr>
          <w:rFonts w:hint="default" w:ascii="Times New Roman" w:hAnsi="Times New Roman" w:eastAsia="宋体" w:cs="Times New Roman"/>
          <w:snapToGrid w:val="0"/>
          <w:color w:val="auto"/>
          <w:w w:val="99"/>
          <w:highlight w:val="none"/>
          <w:lang w:val="en-US" w:eastAsia="zh-CN"/>
        </w:rPr>
        <w:t>管道施工废料</w:t>
      </w:r>
      <w:r>
        <w:rPr>
          <w:rFonts w:hint="eastAsia" w:ascii="Times New Roman" w:hAnsi="Times New Roman" w:eastAsia="宋体" w:cs="Times New Roman"/>
          <w:snapToGrid w:val="0"/>
          <w:color w:val="auto"/>
          <w:w w:val="99"/>
          <w:highlight w:val="none"/>
          <w:lang w:val="en-US" w:eastAsia="zh-CN"/>
        </w:rPr>
        <w:t>等</w:t>
      </w:r>
      <w:r>
        <w:rPr>
          <w:rFonts w:hint="default" w:ascii="Times New Roman" w:hAnsi="Times New Roman" w:eastAsia="宋体" w:cs="Times New Roman"/>
          <w:snapToGrid w:val="0"/>
          <w:color w:val="auto"/>
          <w:w w:val="99"/>
          <w:highlight w:val="none"/>
          <w:lang w:val="en-US" w:eastAsia="zh-CN"/>
        </w:rPr>
        <w:t>属于一般工业固体废物，执行《一般工业固体废物贮存和填埋污染控制标准》（GB 18599-2020）。</w:t>
      </w:r>
    </w:p>
    <w:p w14:paraId="0E5A4C12">
      <w:pPr>
        <w:pStyle w:val="153"/>
        <w:widowControl w:val="0"/>
        <w:spacing w:line="440" w:lineRule="exact"/>
        <w:ind w:firstLine="473"/>
        <w:rPr>
          <w:rFonts w:hint="default" w:ascii="Times New Roman" w:hAnsi="Times New Roman" w:eastAsia="宋体" w:cs="Times New Roman"/>
          <w:snapToGrid w:val="0"/>
          <w:color w:val="auto"/>
          <w:w w:val="99"/>
          <w:highlight w:val="none"/>
          <w:lang w:val="en-US" w:eastAsia="zh-CN"/>
        </w:rPr>
      </w:pPr>
      <w:r>
        <w:rPr>
          <w:rFonts w:hint="default" w:ascii="Times New Roman" w:hAnsi="Times New Roman" w:eastAsia="宋体" w:cs="Times New Roman"/>
          <w:snapToGrid w:val="0"/>
          <w:color w:val="auto"/>
          <w:w w:val="99"/>
          <w:highlight w:val="none"/>
          <w:lang w:val="en-US" w:eastAsia="zh-CN"/>
        </w:rPr>
        <w:t>生活垃圾执行《城市生活垃圾管理办法》（中华人民共和国建设部令第157号令）。</w:t>
      </w:r>
    </w:p>
    <w:p w14:paraId="68BE1BDA">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279" w:name="_Toc29703"/>
      <w:r>
        <w:rPr>
          <w:rFonts w:ascii="Times New Roman" w:hAnsi="Times New Roman" w:eastAsia="宋体"/>
          <w:b/>
          <w:snapToGrid w:val="0"/>
          <w:color w:val="auto"/>
          <w:w w:val="99"/>
          <w:highlight w:val="none"/>
        </w:rPr>
        <w:t>2.7评价等级及评价范围</w:t>
      </w:r>
      <w:bookmarkEnd w:id="279"/>
    </w:p>
    <w:p w14:paraId="603F6185">
      <w:pPr>
        <w:pStyle w:val="7"/>
        <w:widowControl w:val="0"/>
        <w:spacing w:before="60" w:after="60" w:line="440" w:lineRule="exact"/>
        <w:jc w:val="both"/>
        <w:rPr>
          <w:rFonts w:eastAsia="宋体"/>
          <w:b/>
          <w:color w:val="auto"/>
          <w:w w:val="99"/>
          <w:kern w:val="2"/>
          <w:sz w:val="24"/>
          <w:szCs w:val="24"/>
          <w:highlight w:val="none"/>
        </w:rPr>
      </w:pPr>
      <w:bookmarkStart w:id="280" w:name="_Toc186444251"/>
      <w:bookmarkStart w:id="281" w:name="_Toc80588231"/>
      <w:bookmarkStart w:id="282" w:name="_Toc83209448"/>
      <w:bookmarkStart w:id="283" w:name="_Toc17898140"/>
      <w:bookmarkStart w:id="284" w:name="_Toc67860104"/>
      <w:bookmarkStart w:id="285" w:name="_Toc77067635"/>
      <w:bookmarkStart w:id="286" w:name="_Toc57976650"/>
      <w:bookmarkStart w:id="287" w:name="_Toc57707895"/>
      <w:bookmarkStart w:id="288" w:name="_Toc12000"/>
      <w:bookmarkStart w:id="289" w:name="_Toc80971353"/>
      <w:bookmarkStart w:id="290" w:name="_Toc76976219"/>
      <w:bookmarkStart w:id="291" w:name="_Toc61597197"/>
      <w:bookmarkStart w:id="292" w:name="_Toc70050151"/>
      <w:bookmarkStart w:id="293" w:name="_Toc78816436"/>
      <w:bookmarkStart w:id="294" w:name="_Toc57203225"/>
      <w:r>
        <w:rPr>
          <w:rFonts w:eastAsia="宋体"/>
          <w:b/>
          <w:color w:val="auto"/>
          <w:w w:val="99"/>
          <w:kern w:val="2"/>
          <w:sz w:val="24"/>
          <w:szCs w:val="24"/>
          <w:highlight w:val="none"/>
        </w:rPr>
        <w:t>2.7.1环境空气</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7A8D17A9">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2.7.1.1评价等级</w:t>
      </w:r>
    </w:p>
    <w:p w14:paraId="788A0B47">
      <w:pPr>
        <w:widowControl w:val="0"/>
        <w:spacing w:line="440" w:lineRule="exact"/>
        <w:ind w:firstLine="474" w:firstLineChars="200"/>
        <w:jc w:val="both"/>
        <w:rPr>
          <w:rFonts w:ascii="Times New Roman" w:hAnsi="Times New Roman" w:eastAsia="宋体" w:cs="Times New Roman"/>
          <w:snapToGrid w:val="0"/>
          <w:color w:val="auto"/>
          <w:w w:val="99"/>
          <w:sz w:val="24"/>
          <w:szCs w:val="24"/>
          <w:highlight w:val="none"/>
          <w:lang w:val="zh-CN" w:eastAsia="zh-CN" w:bidi="ar-SA"/>
        </w:rPr>
      </w:pPr>
      <w:r>
        <w:rPr>
          <w:rFonts w:ascii="Times New Roman" w:hAnsi="Times New Roman" w:eastAsia="宋体" w:cs="Times New Roman"/>
          <w:snapToGrid w:val="0"/>
          <w:color w:val="auto"/>
          <w:w w:val="99"/>
          <w:sz w:val="24"/>
          <w:szCs w:val="24"/>
          <w:highlight w:val="none"/>
          <w:lang w:val="zh-CN" w:eastAsia="zh-CN" w:bidi="ar-SA"/>
        </w:rPr>
        <w:t>本项目采用《环境影响评价技术导则 大气环境》（HJ2.2-2018）推荐的 AERSCREEN估算模型对污染源进行估算并确定评价等级与范围。 本项目属于陆地天然气开采工程。根据项目工程分析和环境要素分析可知，项目施工期废气主要为施工扬尘、管线焊接烟尘，由于施工期较短暂，不考虑其评价等级，本项目评价等级判断主要以运营期为主。运营期大气污染源 主要为天然气加热炉产生的燃烧烟气（SO</w:t>
      </w:r>
      <w:r>
        <w:rPr>
          <w:rFonts w:ascii="Times New Roman" w:hAnsi="Times New Roman" w:eastAsia="宋体" w:cs="Times New Roman"/>
          <w:snapToGrid w:val="0"/>
          <w:color w:val="auto"/>
          <w:w w:val="99"/>
          <w:sz w:val="24"/>
          <w:szCs w:val="24"/>
          <w:highlight w:val="none"/>
          <w:vertAlign w:val="subscript"/>
          <w:lang w:val="zh-CN" w:eastAsia="zh-CN" w:bidi="ar-SA"/>
        </w:rPr>
        <w:t>2</w:t>
      </w:r>
      <w:r>
        <w:rPr>
          <w:rFonts w:ascii="Times New Roman" w:hAnsi="Times New Roman" w:eastAsia="宋体" w:cs="Times New Roman"/>
          <w:snapToGrid w:val="0"/>
          <w:color w:val="auto"/>
          <w:w w:val="99"/>
          <w:sz w:val="24"/>
          <w:szCs w:val="24"/>
          <w:highlight w:val="none"/>
          <w:lang w:val="zh-CN" w:eastAsia="zh-CN" w:bidi="ar-SA"/>
        </w:rPr>
        <w:t>、NOx、颗粒物）、天然气开采及集输过程中无组织排放的烃类气体（以NMHC计）。</w:t>
      </w:r>
    </w:p>
    <w:p w14:paraId="1FD4E558">
      <w:pPr>
        <w:widowControl w:val="0"/>
        <w:spacing w:line="440" w:lineRule="exact"/>
        <w:ind w:firstLine="494"/>
        <w:jc w:val="both"/>
        <w:rPr>
          <w:rFonts w:ascii="Times New Roman" w:hAnsi="Times New Roman" w:cs="Times New Roman" w:eastAsiaTheme="minorEastAsia"/>
          <w:color w:val="auto"/>
          <w:w w:val="99"/>
          <w:highlight w:val="none"/>
          <w:lang w:val="zh-CN" w:bidi="zh-CN"/>
        </w:rPr>
      </w:pPr>
      <w:r>
        <w:rPr>
          <w:rFonts w:ascii="Times New Roman" w:hAnsi="Times New Roman" w:cs="Times New Roman" w:eastAsiaTheme="minorEastAsia"/>
          <w:color w:val="auto"/>
          <w:w w:val="99"/>
          <w:highlight w:val="none"/>
          <w:lang w:val="zh-CN" w:bidi="zh-CN"/>
        </w:rPr>
        <w:t>由于本工程未新建</w:t>
      </w:r>
      <w:r>
        <w:rPr>
          <w:rFonts w:hint="eastAsia" w:ascii="Times New Roman" w:hAnsi="Times New Roman" w:cs="Times New Roman" w:eastAsiaTheme="minorEastAsia"/>
          <w:color w:val="auto"/>
          <w:w w:val="99"/>
          <w:highlight w:val="none"/>
          <w:lang w:val="en-US" w:bidi="zh-CN"/>
        </w:rPr>
        <w:t>加热炉</w:t>
      </w:r>
      <w:r>
        <w:rPr>
          <w:rFonts w:ascii="Times New Roman" w:hAnsi="Times New Roman" w:cs="Times New Roman" w:eastAsiaTheme="minorEastAsia"/>
          <w:color w:val="auto"/>
          <w:w w:val="99"/>
          <w:highlight w:val="none"/>
          <w:lang w:val="zh-CN" w:bidi="zh-CN"/>
        </w:rPr>
        <w:t>，依托场站加热炉均满足相应的负荷状态下运行，且大气污染物总量在原申请总量范围内，故不对</w:t>
      </w:r>
      <w:r>
        <w:rPr>
          <w:rFonts w:hint="eastAsia" w:ascii="Times New Roman" w:hAnsi="Times New Roman" w:cs="Times New Roman" w:eastAsiaTheme="minorEastAsia"/>
          <w:color w:val="auto"/>
          <w:w w:val="99"/>
          <w:highlight w:val="none"/>
          <w:lang w:val="en-US" w:bidi="zh-CN"/>
        </w:rPr>
        <w:t>燃烧</w:t>
      </w:r>
      <w:r>
        <w:rPr>
          <w:rFonts w:ascii="Times New Roman" w:hAnsi="Times New Roman" w:cs="Times New Roman" w:eastAsiaTheme="minorEastAsia"/>
          <w:color w:val="auto"/>
          <w:w w:val="99"/>
          <w:highlight w:val="none"/>
          <w:lang w:val="zh-CN" w:bidi="zh-CN"/>
        </w:rPr>
        <w:t>烟气进行预测。</w:t>
      </w:r>
    </w:p>
    <w:p w14:paraId="3BED02A0">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color w:val="auto"/>
          <w:w w:val="99"/>
          <w:highlight w:val="none"/>
        </w:rPr>
        <w:t>本工程排放的无组织挥发非甲烷总烃为面源形式排放，</w:t>
      </w:r>
      <w:r>
        <w:rPr>
          <w:rFonts w:hint="eastAsia" w:ascii="Times New Roman" w:hAnsi="Times New Roman" w:cs="Times New Roman"/>
          <w:color w:val="auto"/>
          <w:w w:val="99"/>
          <w:highlight w:val="none"/>
          <w:lang w:val="en-US" w:eastAsia="zh-CN"/>
        </w:rPr>
        <w:t>天然气</w:t>
      </w:r>
      <w:r>
        <w:rPr>
          <w:rFonts w:ascii="Times New Roman" w:hAnsi="Times New Roman" w:cs="Times New Roman"/>
          <w:color w:val="auto"/>
          <w:w w:val="99"/>
          <w:highlight w:val="none"/>
        </w:rPr>
        <w:t>集输采用密闭流程，可有效控制烃类物质的排放，</w:t>
      </w:r>
      <w:r>
        <w:rPr>
          <w:rFonts w:ascii="Times New Roman" w:hAnsi="Times New Roman" w:cs="Times New Roman" w:eastAsiaTheme="minorEastAsia"/>
          <w:color w:val="auto"/>
          <w:w w:val="99"/>
          <w:kern w:val="2"/>
          <w:szCs w:val="20"/>
          <w:highlight w:val="none"/>
        </w:rPr>
        <w:t>根据工程分析可知整个</w:t>
      </w:r>
      <w:r>
        <w:rPr>
          <w:rFonts w:hint="eastAsia" w:ascii="Times New Roman" w:hAnsi="Times New Roman" w:cs="Times New Roman" w:eastAsiaTheme="minorEastAsia"/>
          <w:color w:val="auto"/>
          <w:w w:val="99"/>
          <w:kern w:val="2"/>
          <w:szCs w:val="20"/>
          <w:highlight w:val="none"/>
          <w:lang w:val="en-US" w:eastAsia="zh-CN"/>
        </w:rPr>
        <w:t>天然气</w:t>
      </w:r>
      <w:r>
        <w:rPr>
          <w:rFonts w:ascii="Times New Roman" w:hAnsi="Times New Roman" w:cs="Times New Roman" w:eastAsiaTheme="minorEastAsia"/>
          <w:color w:val="auto"/>
          <w:w w:val="99"/>
          <w:kern w:val="2"/>
          <w:szCs w:val="20"/>
          <w:highlight w:val="none"/>
        </w:rPr>
        <w:t>集输过程中非甲烷总烃挥发量为</w:t>
      </w:r>
      <w:r>
        <w:rPr>
          <w:rFonts w:hint="eastAsia" w:ascii="Times New Roman" w:hAnsi="Times New Roman" w:cs="Times New Roman" w:eastAsiaTheme="minorEastAsia"/>
          <w:color w:val="auto"/>
          <w:w w:val="99"/>
          <w:kern w:val="2"/>
          <w:szCs w:val="20"/>
          <w:highlight w:val="none"/>
          <w:lang w:val="en-US" w:eastAsia="zh-CN"/>
        </w:rPr>
        <w:t>11.66t</w:t>
      </w:r>
      <w:r>
        <w:rPr>
          <w:rFonts w:ascii="Times New Roman" w:hAnsi="Times New Roman" w:cs="Times New Roman" w:eastAsiaTheme="minorEastAsia"/>
          <w:color w:val="auto"/>
          <w:w w:val="99"/>
          <w:kern w:val="2"/>
          <w:szCs w:val="20"/>
          <w:highlight w:val="none"/>
          <w:lang w:bidi="zh-CN"/>
        </w:rPr>
        <w:t>/a</w:t>
      </w:r>
      <w:r>
        <w:rPr>
          <w:rFonts w:ascii="Times New Roman" w:hAnsi="Times New Roman" w:cs="Times New Roman" w:eastAsiaTheme="minorEastAsia"/>
          <w:color w:val="auto"/>
          <w:w w:val="99"/>
          <w:kern w:val="2"/>
          <w:szCs w:val="20"/>
          <w:highlight w:val="none"/>
        </w:rPr>
        <w:t>，主要排放位置有井场、集输管道阀门、</w:t>
      </w:r>
      <w:r>
        <w:rPr>
          <w:rFonts w:hint="eastAsia" w:ascii="Times New Roman" w:hAnsi="Times New Roman" w:cs="Times New Roman" w:eastAsiaTheme="minorEastAsia"/>
          <w:color w:val="auto"/>
          <w:w w:val="99"/>
          <w:kern w:val="2"/>
          <w:szCs w:val="20"/>
          <w:highlight w:val="none"/>
          <w:lang w:val="en-US" w:eastAsia="zh-CN"/>
        </w:rPr>
        <w:t>集气站</w:t>
      </w:r>
      <w:r>
        <w:rPr>
          <w:rFonts w:ascii="Times New Roman" w:hAnsi="Times New Roman" w:cs="Times New Roman" w:eastAsiaTheme="minorEastAsia"/>
          <w:color w:val="auto"/>
          <w:w w:val="99"/>
          <w:kern w:val="2"/>
          <w:szCs w:val="20"/>
          <w:highlight w:val="none"/>
        </w:rPr>
        <w:t>等位置，其中</w:t>
      </w:r>
      <w:r>
        <w:rPr>
          <w:rFonts w:hint="eastAsia" w:ascii="Times New Roman" w:hAnsi="Times New Roman" w:cs="Times New Roman" w:eastAsiaTheme="minorEastAsia"/>
          <w:color w:val="auto"/>
          <w:w w:val="99"/>
          <w:kern w:val="2"/>
          <w:szCs w:val="20"/>
          <w:highlight w:val="none"/>
          <w:lang w:val="en-US" w:eastAsia="zh-CN"/>
        </w:rPr>
        <w:t>气井</w:t>
      </w:r>
      <w:r>
        <w:rPr>
          <w:rFonts w:ascii="Times New Roman" w:hAnsi="Times New Roman" w:cs="Times New Roman" w:eastAsiaTheme="minorEastAsia"/>
          <w:color w:val="auto"/>
          <w:w w:val="99"/>
          <w:kern w:val="2"/>
          <w:szCs w:val="20"/>
          <w:highlight w:val="none"/>
        </w:rPr>
        <w:t>井场</w:t>
      </w:r>
      <w:r>
        <w:rPr>
          <w:rFonts w:hint="eastAsia" w:ascii="Times New Roman" w:hAnsi="Times New Roman" w:cs="Times New Roman" w:eastAsiaTheme="minorEastAsia"/>
          <w:color w:val="auto"/>
          <w:w w:val="99"/>
          <w:kern w:val="2"/>
          <w:szCs w:val="20"/>
          <w:highlight w:val="none"/>
          <w:lang w:eastAsia="zh-CN"/>
        </w:rPr>
        <w:t>、</w:t>
      </w:r>
      <w:r>
        <w:rPr>
          <w:rFonts w:hint="eastAsia" w:ascii="Times New Roman" w:hAnsi="Times New Roman" w:cs="Times New Roman" w:eastAsiaTheme="minorEastAsia"/>
          <w:color w:val="auto"/>
          <w:w w:val="99"/>
          <w:kern w:val="2"/>
          <w:szCs w:val="20"/>
          <w:highlight w:val="none"/>
          <w:lang w:val="en-US" w:eastAsia="zh-CN"/>
        </w:rPr>
        <w:t>集气站</w:t>
      </w:r>
      <w:r>
        <w:rPr>
          <w:rFonts w:ascii="Times New Roman" w:hAnsi="Times New Roman" w:cs="Times New Roman" w:eastAsiaTheme="minorEastAsia"/>
          <w:color w:val="auto"/>
          <w:w w:val="99"/>
          <w:kern w:val="2"/>
          <w:szCs w:val="20"/>
          <w:highlight w:val="none"/>
        </w:rPr>
        <w:t>占比</w:t>
      </w:r>
      <w:r>
        <w:rPr>
          <w:rFonts w:hint="eastAsia" w:ascii="Times New Roman" w:hAnsi="Times New Roman" w:cs="Times New Roman" w:eastAsiaTheme="minorEastAsia"/>
          <w:color w:val="auto"/>
          <w:w w:val="99"/>
          <w:kern w:val="2"/>
          <w:szCs w:val="20"/>
          <w:highlight w:val="none"/>
          <w:lang w:val="en-US" w:eastAsia="zh-CN"/>
        </w:rPr>
        <w:t>各</w:t>
      </w:r>
      <w:r>
        <w:rPr>
          <w:rFonts w:ascii="Times New Roman" w:hAnsi="Times New Roman" w:cs="Times New Roman" w:eastAsiaTheme="minorEastAsia"/>
          <w:color w:val="auto"/>
          <w:w w:val="99"/>
          <w:kern w:val="2"/>
          <w:szCs w:val="20"/>
          <w:highlight w:val="none"/>
        </w:rPr>
        <w:t>约30%</w:t>
      </w:r>
      <w:r>
        <w:rPr>
          <w:rFonts w:hint="eastAsia" w:ascii="Times New Roman" w:hAnsi="Times New Roman" w:cs="Times New Roman" w:eastAsiaTheme="minorEastAsia"/>
          <w:color w:val="auto"/>
          <w:w w:val="99"/>
          <w:kern w:val="2"/>
          <w:szCs w:val="20"/>
          <w:highlight w:val="none"/>
          <w:lang w:val="en-US" w:eastAsia="zh-CN"/>
        </w:rPr>
        <w:t>，</w:t>
      </w:r>
      <w:r>
        <w:rPr>
          <w:rFonts w:ascii="Times New Roman" w:hAnsi="Times New Roman" w:cs="Times New Roman" w:eastAsiaTheme="minorEastAsia"/>
          <w:color w:val="auto"/>
          <w:w w:val="99"/>
          <w:highlight w:val="none"/>
        </w:rPr>
        <w:t>经核算本项目</w:t>
      </w:r>
      <w:r>
        <w:rPr>
          <w:rFonts w:hint="eastAsia" w:ascii="Times New Roman" w:hAnsi="Times New Roman" w:cs="Times New Roman" w:eastAsiaTheme="minorEastAsia"/>
          <w:color w:val="auto"/>
          <w:w w:val="99"/>
          <w:highlight w:val="none"/>
          <w:lang w:val="en-US" w:eastAsia="zh-CN"/>
        </w:rPr>
        <w:t>徐深27-H1井场</w:t>
      </w:r>
      <w:r>
        <w:rPr>
          <w:rFonts w:ascii="Times New Roman" w:hAnsi="Times New Roman" w:cs="Times New Roman" w:eastAsiaTheme="minorEastAsia"/>
          <w:color w:val="auto"/>
          <w:w w:val="99"/>
          <w:highlight w:val="none"/>
        </w:rPr>
        <w:t>非甲烷总烃逸散量为</w:t>
      </w:r>
      <w:r>
        <w:rPr>
          <w:rFonts w:hint="eastAsia" w:ascii="Times New Roman" w:hAnsi="Times New Roman" w:cs="Times New Roman" w:eastAsiaTheme="minorEastAsia"/>
          <w:color w:val="auto"/>
          <w:w w:val="99"/>
          <w:highlight w:val="none"/>
          <w:lang w:val="en-US" w:eastAsia="zh-CN"/>
        </w:rPr>
        <w:t>3.50</w:t>
      </w:r>
      <w:r>
        <w:rPr>
          <w:rFonts w:ascii="Times New Roman" w:hAnsi="Times New Roman" w:cs="Times New Roman" w:eastAsiaTheme="minorEastAsia"/>
          <w:color w:val="auto"/>
          <w:w w:val="99"/>
          <w:highlight w:val="none"/>
        </w:rPr>
        <w:t>t/a、</w:t>
      </w:r>
      <w:r>
        <w:rPr>
          <w:rFonts w:hint="eastAsia" w:ascii="Times New Roman" w:hAnsi="Times New Roman" w:cs="Times New Roman" w:eastAsiaTheme="minorEastAsia"/>
          <w:bCs/>
          <w:color w:val="auto"/>
          <w:w w:val="99"/>
          <w:highlight w:val="none"/>
          <w:lang w:val="en-US" w:eastAsia="zh-CN"/>
        </w:rPr>
        <w:t>0.399</w:t>
      </w:r>
      <w:r>
        <w:rPr>
          <w:rFonts w:ascii="Times New Roman" w:hAnsi="Times New Roman" w:cs="Times New Roman" w:eastAsiaTheme="minorEastAsia"/>
          <w:bCs/>
          <w:color w:val="auto"/>
          <w:w w:val="99"/>
          <w:highlight w:val="none"/>
        </w:rPr>
        <w:t>kg/h</w:t>
      </w:r>
      <w:r>
        <w:rPr>
          <w:rFonts w:ascii="Times New Roman" w:hAnsi="Times New Roman" w:cs="Times New Roman" w:eastAsiaTheme="minorEastAsia"/>
          <w:color w:val="auto"/>
          <w:w w:val="99"/>
          <w:highlight w:val="none"/>
        </w:rPr>
        <w:t>。</w:t>
      </w:r>
    </w:p>
    <w:p w14:paraId="16401916">
      <w:pPr>
        <w:widowControl w:val="0"/>
        <w:spacing w:line="440" w:lineRule="exact"/>
        <w:ind w:firstLine="474" w:firstLineChars="200"/>
        <w:jc w:val="both"/>
        <w:rPr>
          <w:rFonts w:ascii="Times New Roman" w:hAnsi="Times New Roman" w:eastAsia="宋体" w:cs="Times New Roman"/>
          <w:color w:val="auto"/>
          <w:w w:val="99"/>
          <w:kern w:val="2"/>
          <w:position w:val="2"/>
          <w:sz w:val="24"/>
          <w:szCs w:val="24"/>
          <w:highlight w:val="none"/>
          <w:lang w:val="zh-CN" w:eastAsia="zh-CN" w:bidi="ar-SA"/>
        </w:rPr>
      </w:pPr>
      <w:r>
        <w:rPr>
          <w:rFonts w:ascii="Times New Roman" w:hAnsi="Times New Roman" w:eastAsia="宋体" w:cs="Times New Roman"/>
          <w:color w:val="auto"/>
          <w:w w:val="99"/>
          <w:kern w:val="2"/>
          <w:position w:val="2"/>
          <w:sz w:val="24"/>
          <w:szCs w:val="24"/>
          <w:highlight w:val="none"/>
          <w:lang w:val="en-US" w:eastAsia="zh-CN" w:bidi="ar-SA"/>
        </w:rPr>
        <w:t>大气面源参数见表2.</w:t>
      </w:r>
      <w:r>
        <w:rPr>
          <w:rFonts w:hint="eastAsia" w:ascii="Times New Roman" w:hAnsi="Times New Roman" w:cs="Times New Roman"/>
          <w:color w:val="auto"/>
          <w:w w:val="99"/>
          <w:kern w:val="2"/>
          <w:position w:val="2"/>
          <w:sz w:val="24"/>
          <w:szCs w:val="24"/>
          <w:highlight w:val="none"/>
          <w:lang w:val="en-US" w:eastAsia="zh-CN" w:bidi="ar-SA"/>
        </w:rPr>
        <w:t>7-1</w:t>
      </w:r>
      <w:r>
        <w:rPr>
          <w:rFonts w:ascii="Times New Roman" w:hAnsi="Times New Roman" w:eastAsia="宋体" w:cs="Times New Roman"/>
          <w:color w:val="auto"/>
          <w:w w:val="99"/>
          <w:kern w:val="2"/>
          <w:position w:val="2"/>
          <w:sz w:val="24"/>
          <w:szCs w:val="24"/>
          <w:highlight w:val="none"/>
          <w:lang w:val="en-US" w:eastAsia="zh-CN" w:bidi="ar-SA"/>
        </w:rPr>
        <w:t>。</w:t>
      </w:r>
    </w:p>
    <w:p w14:paraId="6C134645">
      <w:pPr>
        <w:widowControl w:val="0"/>
        <w:spacing w:line="440" w:lineRule="exact"/>
        <w:ind w:firstLine="494"/>
        <w:jc w:val="both"/>
        <w:rPr>
          <w:rFonts w:ascii="Times New Roman" w:hAnsi="Times New Roman" w:cs="Times New Roman" w:eastAsiaTheme="minorEastAsia"/>
          <w:color w:val="auto"/>
          <w:w w:val="99"/>
          <w:highlight w:val="none"/>
          <w:lang w:bidi="zh-CN"/>
        </w:rPr>
      </w:pPr>
      <w:r>
        <w:rPr>
          <w:rFonts w:ascii="Times New Roman" w:hAnsi="Times New Roman" w:cs="Times New Roman"/>
          <w:b/>
          <w:color w:val="auto"/>
          <w:w w:val="99"/>
          <w:highlight w:val="none"/>
        </w:rPr>
        <w:t>表2.7-</w:t>
      </w:r>
      <w:r>
        <w:rPr>
          <w:rFonts w:hint="eastAsia" w:ascii="Times New Roman" w:hAnsi="Times New Roman" w:cs="Times New Roman"/>
          <w:b/>
          <w:color w:val="auto"/>
          <w:w w:val="99"/>
          <w:highlight w:val="none"/>
          <w:lang w:val="en-US" w:eastAsia="zh-CN"/>
        </w:rPr>
        <w:t>1</w:t>
      </w:r>
      <w:r>
        <w:rPr>
          <w:rFonts w:ascii="Times New Roman" w:hAnsi="Times New Roman" w:cs="Times New Roman"/>
          <w:b/>
          <w:color w:val="auto"/>
          <w:w w:val="99"/>
          <w:highlight w:val="none"/>
        </w:rPr>
        <w:t xml:space="preserve">    面源参数调查清单</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1100"/>
        <w:gridCol w:w="1013"/>
        <w:gridCol w:w="714"/>
        <w:gridCol w:w="862"/>
        <w:gridCol w:w="717"/>
        <w:gridCol w:w="717"/>
        <w:gridCol w:w="669"/>
        <w:gridCol w:w="639"/>
        <w:gridCol w:w="541"/>
        <w:gridCol w:w="1020"/>
      </w:tblGrid>
      <w:tr w14:paraId="3C43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697" w:type="pct"/>
            <w:vMerge w:val="restart"/>
            <w:vAlign w:val="center"/>
          </w:tcPr>
          <w:p w14:paraId="02D94509">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污染源名称</w:t>
            </w:r>
          </w:p>
        </w:tc>
        <w:tc>
          <w:tcPr>
            <w:tcW w:w="1137" w:type="pct"/>
            <w:gridSpan w:val="2"/>
            <w:vAlign w:val="center"/>
          </w:tcPr>
          <w:p w14:paraId="1681CDDB">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面源起点坐标</w:t>
            </w:r>
          </w:p>
        </w:tc>
        <w:tc>
          <w:tcPr>
            <w:tcW w:w="384" w:type="pct"/>
            <w:vMerge w:val="restart"/>
            <w:vAlign w:val="center"/>
          </w:tcPr>
          <w:p w14:paraId="175D20F4">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海拔高度/m</w:t>
            </w:r>
          </w:p>
        </w:tc>
        <w:tc>
          <w:tcPr>
            <w:tcW w:w="464" w:type="pct"/>
            <w:vMerge w:val="restart"/>
            <w:vAlign w:val="center"/>
          </w:tcPr>
          <w:p w14:paraId="6FCF9B6A">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与正北方向夹角/°</w:t>
            </w:r>
          </w:p>
        </w:tc>
        <w:tc>
          <w:tcPr>
            <w:tcW w:w="386" w:type="pct"/>
            <w:vMerge w:val="restart"/>
            <w:vAlign w:val="center"/>
          </w:tcPr>
          <w:p w14:paraId="08BD22CC">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面源长度/m</w:t>
            </w:r>
          </w:p>
        </w:tc>
        <w:tc>
          <w:tcPr>
            <w:tcW w:w="386" w:type="pct"/>
            <w:vMerge w:val="restart"/>
            <w:vAlign w:val="center"/>
          </w:tcPr>
          <w:p w14:paraId="70296A23">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面源宽度/m</w:t>
            </w:r>
          </w:p>
        </w:tc>
        <w:tc>
          <w:tcPr>
            <w:tcW w:w="360" w:type="pct"/>
            <w:vMerge w:val="restart"/>
            <w:vAlign w:val="center"/>
          </w:tcPr>
          <w:p w14:paraId="5A170B51">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面源有效排放高度/m</w:t>
            </w:r>
          </w:p>
        </w:tc>
        <w:tc>
          <w:tcPr>
            <w:tcW w:w="344" w:type="pct"/>
            <w:vMerge w:val="restart"/>
            <w:vAlign w:val="center"/>
          </w:tcPr>
          <w:p w14:paraId="18D0CE36">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年排放小时数/h</w:t>
            </w:r>
          </w:p>
        </w:tc>
        <w:tc>
          <w:tcPr>
            <w:tcW w:w="291" w:type="pct"/>
            <w:vMerge w:val="restart"/>
            <w:vAlign w:val="center"/>
          </w:tcPr>
          <w:p w14:paraId="4E1D4B55">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排放工况</w:t>
            </w:r>
          </w:p>
        </w:tc>
        <w:tc>
          <w:tcPr>
            <w:tcW w:w="549" w:type="pct"/>
            <w:vAlign w:val="center"/>
          </w:tcPr>
          <w:p w14:paraId="76800F49">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污染物排放速率（kg/h）</w:t>
            </w:r>
          </w:p>
        </w:tc>
      </w:tr>
      <w:tr w14:paraId="4D36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pct"/>
            <w:vMerge w:val="continue"/>
            <w:vAlign w:val="center"/>
          </w:tcPr>
          <w:p w14:paraId="719201AB">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592" w:type="pct"/>
            <w:vAlign w:val="center"/>
          </w:tcPr>
          <w:p w14:paraId="24C15C37">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经度</w:t>
            </w:r>
          </w:p>
        </w:tc>
        <w:tc>
          <w:tcPr>
            <w:tcW w:w="545" w:type="pct"/>
            <w:vAlign w:val="center"/>
          </w:tcPr>
          <w:p w14:paraId="0F2EEE87">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纬度</w:t>
            </w:r>
          </w:p>
        </w:tc>
        <w:tc>
          <w:tcPr>
            <w:tcW w:w="384" w:type="pct"/>
            <w:vMerge w:val="continue"/>
            <w:vAlign w:val="center"/>
          </w:tcPr>
          <w:p w14:paraId="2F48F1FC">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464" w:type="pct"/>
            <w:vMerge w:val="continue"/>
            <w:vAlign w:val="center"/>
          </w:tcPr>
          <w:p w14:paraId="7A9769CC">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386" w:type="pct"/>
            <w:vMerge w:val="continue"/>
            <w:vAlign w:val="center"/>
          </w:tcPr>
          <w:p w14:paraId="2B6B075D">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386" w:type="pct"/>
            <w:vMerge w:val="continue"/>
            <w:vAlign w:val="center"/>
          </w:tcPr>
          <w:p w14:paraId="3E4430BB">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360" w:type="pct"/>
            <w:vMerge w:val="continue"/>
            <w:vAlign w:val="center"/>
          </w:tcPr>
          <w:p w14:paraId="0AC05125">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344" w:type="pct"/>
            <w:vMerge w:val="continue"/>
            <w:vAlign w:val="center"/>
          </w:tcPr>
          <w:p w14:paraId="7E22AE18">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291" w:type="pct"/>
            <w:vMerge w:val="continue"/>
            <w:vAlign w:val="center"/>
          </w:tcPr>
          <w:p w14:paraId="756613D8">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549" w:type="pct"/>
            <w:vAlign w:val="center"/>
          </w:tcPr>
          <w:p w14:paraId="66A6F9C2">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NMHC</w:t>
            </w:r>
          </w:p>
        </w:tc>
      </w:tr>
      <w:tr w14:paraId="2125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pct"/>
            <w:vAlign w:val="center"/>
          </w:tcPr>
          <w:p w14:paraId="24408214">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hint="eastAsia" w:ascii="Times New Roman" w:hAnsi="Times New Roman" w:cs="Times New Roman"/>
                <w:color w:val="auto"/>
                <w:w w:val="99"/>
                <w:sz w:val="21"/>
                <w:szCs w:val="21"/>
                <w:highlight w:val="none"/>
              </w:rPr>
              <w:t>徐深</w:t>
            </w:r>
            <w:r>
              <w:rPr>
                <w:rFonts w:hint="eastAsia" w:ascii="Times New Roman" w:hAnsi="Times New Roman" w:cs="Times New Roman"/>
                <w:color w:val="auto"/>
                <w:w w:val="99"/>
                <w:sz w:val="21"/>
                <w:szCs w:val="21"/>
                <w:highlight w:val="none"/>
                <w:lang w:val="en-US" w:eastAsia="zh-CN"/>
              </w:rPr>
              <w:t>27-H1井场</w:t>
            </w:r>
          </w:p>
        </w:tc>
        <w:tc>
          <w:tcPr>
            <w:tcW w:w="592" w:type="pct"/>
            <w:vAlign w:val="center"/>
          </w:tcPr>
          <w:p w14:paraId="21F432C4">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125.50922</w:t>
            </w:r>
          </w:p>
        </w:tc>
        <w:tc>
          <w:tcPr>
            <w:tcW w:w="545" w:type="pct"/>
            <w:vAlign w:val="center"/>
          </w:tcPr>
          <w:p w14:paraId="25E00353">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45.89242</w:t>
            </w:r>
          </w:p>
        </w:tc>
        <w:tc>
          <w:tcPr>
            <w:tcW w:w="384" w:type="pct"/>
            <w:vAlign w:val="center"/>
          </w:tcPr>
          <w:p w14:paraId="439C1F6A">
            <w:pPr>
              <w:adjustRightInd w:val="0"/>
              <w:snapToGrid w:val="0"/>
              <w:spacing w:line="36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197</w:t>
            </w:r>
          </w:p>
        </w:tc>
        <w:tc>
          <w:tcPr>
            <w:tcW w:w="464" w:type="pct"/>
            <w:vAlign w:val="center"/>
          </w:tcPr>
          <w:p w14:paraId="33D2CC5E">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0</w:t>
            </w:r>
          </w:p>
        </w:tc>
        <w:tc>
          <w:tcPr>
            <w:tcW w:w="386" w:type="pct"/>
            <w:vAlign w:val="center"/>
          </w:tcPr>
          <w:p w14:paraId="52E05001">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40</w:t>
            </w:r>
          </w:p>
        </w:tc>
        <w:tc>
          <w:tcPr>
            <w:tcW w:w="386" w:type="pct"/>
            <w:vAlign w:val="center"/>
          </w:tcPr>
          <w:p w14:paraId="2FFA4A9F">
            <w:pPr>
              <w:adjustRightInd w:val="0"/>
              <w:snapToGrid w:val="0"/>
              <w:spacing w:line="36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30</w:t>
            </w:r>
          </w:p>
        </w:tc>
        <w:tc>
          <w:tcPr>
            <w:tcW w:w="360" w:type="pct"/>
            <w:vAlign w:val="center"/>
          </w:tcPr>
          <w:p w14:paraId="2C571D6F">
            <w:pPr>
              <w:adjustRightInd w:val="0"/>
              <w:snapToGrid w:val="0"/>
              <w:spacing w:line="360" w:lineRule="exact"/>
              <w:jc w:val="center"/>
              <w:rPr>
                <w:rFonts w:hint="eastAsia" w:ascii="Times New Roman" w:hAnsi="Times New Roman" w:eastAsia="宋体" w:cs="Times New Roman"/>
                <w:color w:val="auto"/>
                <w:w w:val="99"/>
                <w:kern w:val="2"/>
                <w:sz w:val="21"/>
                <w:szCs w:val="21"/>
                <w:highlight w:val="none"/>
                <w:lang w:eastAsia="zh-CN"/>
              </w:rPr>
            </w:pPr>
            <w:r>
              <w:rPr>
                <w:rFonts w:hint="eastAsia" w:ascii="Times New Roman" w:hAnsi="Times New Roman" w:cs="Times New Roman"/>
                <w:color w:val="auto"/>
                <w:w w:val="99"/>
                <w:kern w:val="2"/>
                <w:sz w:val="21"/>
                <w:szCs w:val="21"/>
                <w:highlight w:val="none"/>
                <w:lang w:val="en-US" w:eastAsia="zh-CN"/>
              </w:rPr>
              <w:t>3</w:t>
            </w:r>
          </w:p>
        </w:tc>
        <w:tc>
          <w:tcPr>
            <w:tcW w:w="344" w:type="pct"/>
            <w:vAlign w:val="center"/>
          </w:tcPr>
          <w:p w14:paraId="4821F4EE">
            <w:pPr>
              <w:adjustRightInd w:val="0"/>
              <w:snapToGrid w:val="0"/>
              <w:spacing w:line="360" w:lineRule="exact"/>
              <w:jc w:val="center"/>
              <w:rPr>
                <w:rFonts w:ascii="Times New Roman" w:hAnsi="Times New Roman" w:cs="Times New Roman"/>
                <w:bCs/>
                <w:color w:val="auto"/>
                <w:w w:val="99"/>
                <w:kern w:val="2"/>
                <w:sz w:val="21"/>
                <w:szCs w:val="21"/>
                <w:highlight w:val="none"/>
              </w:rPr>
            </w:pPr>
            <w:r>
              <w:rPr>
                <w:rFonts w:ascii="Times New Roman" w:hAnsi="Times New Roman" w:cs="Times New Roman"/>
                <w:bCs/>
                <w:color w:val="auto"/>
                <w:w w:val="99"/>
                <w:kern w:val="2"/>
                <w:sz w:val="21"/>
                <w:szCs w:val="21"/>
                <w:highlight w:val="none"/>
              </w:rPr>
              <w:t>8760</w:t>
            </w:r>
          </w:p>
        </w:tc>
        <w:tc>
          <w:tcPr>
            <w:tcW w:w="291" w:type="pct"/>
            <w:vAlign w:val="center"/>
          </w:tcPr>
          <w:p w14:paraId="526F939A">
            <w:pPr>
              <w:adjustRightInd w:val="0"/>
              <w:snapToGrid w:val="0"/>
              <w:spacing w:line="360" w:lineRule="exact"/>
              <w:jc w:val="center"/>
              <w:rPr>
                <w:rFonts w:ascii="Times New Roman" w:hAnsi="Times New Roman" w:cs="Times New Roman"/>
                <w:bCs/>
                <w:color w:val="auto"/>
                <w:w w:val="99"/>
                <w:kern w:val="2"/>
                <w:sz w:val="21"/>
                <w:szCs w:val="21"/>
                <w:highlight w:val="none"/>
              </w:rPr>
            </w:pPr>
            <w:r>
              <w:rPr>
                <w:rFonts w:ascii="Times New Roman" w:hAnsi="Times New Roman" w:cs="Times New Roman"/>
                <w:bCs/>
                <w:color w:val="auto"/>
                <w:w w:val="99"/>
                <w:kern w:val="2"/>
                <w:sz w:val="21"/>
                <w:szCs w:val="21"/>
                <w:highlight w:val="none"/>
              </w:rPr>
              <w:t>正常排放</w:t>
            </w:r>
          </w:p>
        </w:tc>
        <w:tc>
          <w:tcPr>
            <w:tcW w:w="549" w:type="pct"/>
            <w:vAlign w:val="center"/>
          </w:tcPr>
          <w:p w14:paraId="32E3552D">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auto"/>
              <w:rPr>
                <w:rFonts w:hint="default" w:ascii="Times New Roman" w:hAnsi="Times New Roman" w:cs="Times New Roman" w:eastAsiaTheme="minorEastAsia"/>
                <w:color w:val="auto"/>
                <w:w w:val="99"/>
                <w:kern w:val="24"/>
                <w:sz w:val="21"/>
                <w:szCs w:val="21"/>
                <w:highlight w:val="none"/>
                <w:lang w:val="en-US"/>
              </w:rPr>
            </w:pPr>
            <w:r>
              <w:rPr>
                <w:rFonts w:hint="eastAsia" w:ascii="Times New Roman" w:hAnsi="Times New Roman" w:cs="Times New Roman"/>
                <w:color w:val="auto"/>
                <w:w w:val="99"/>
                <w:kern w:val="2"/>
                <w:sz w:val="21"/>
                <w:szCs w:val="21"/>
                <w:highlight w:val="none"/>
                <w:lang w:val="en-US" w:eastAsia="zh-CN" w:bidi="ar-SA"/>
              </w:rPr>
              <w:t>0.399</w:t>
            </w:r>
          </w:p>
        </w:tc>
      </w:tr>
    </w:tbl>
    <w:p w14:paraId="69940E4A">
      <w:pPr>
        <w:widowControl w:val="0"/>
        <w:spacing w:line="440" w:lineRule="exact"/>
        <w:ind w:firstLine="474" w:firstLineChars="200"/>
        <w:jc w:val="both"/>
        <w:rPr>
          <w:rFonts w:ascii="Times New Roman" w:hAnsi="Times New Roman" w:eastAsia="宋体" w:cs="Times New Roman"/>
          <w:snapToGrid w:val="0"/>
          <w:color w:val="auto"/>
          <w:w w:val="99"/>
          <w:sz w:val="24"/>
          <w:szCs w:val="24"/>
          <w:highlight w:val="none"/>
          <w:lang w:val="zh-CN" w:eastAsia="zh-CN" w:bidi="ar-SA"/>
        </w:rPr>
      </w:pPr>
      <w:r>
        <w:rPr>
          <w:rFonts w:ascii="Times New Roman" w:hAnsi="Times New Roman" w:eastAsia="宋体" w:cs="Times New Roman"/>
          <w:snapToGrid w:val="0"/>
          <w:color w:val="auto"/>
          <w:w w:val="99"/>
          <w:sz w:val="24"/>
          <w:szCs w:val="24"/>
          <w:highlight w:val="none"/>
          <w:lang w:val="zh-CN" w:eastAsia="zh-CN" w:bidi="ar-SA"/>
        </w:rPr>
        <w:t xml:space="preserve"> 根据《环境影响评价技术导则 大气环境》（HJ2.2-2018）规定，采用估算模式计算本项目正常排放情况下主要污染物的最大影响程度和最远影响范围， 并按照评价工作分级判据进行分级。 根据调查，本项目所在地附近为农村地区，不属于城市；根据 4.1.1 章节气候气象调查，项目所在地区最高气温为 </w:t>
      </w:r>
      <w:r>
        <w:rPr>
          <w:rFonts w:hint="eastAsia" w:ascii="Times New Roman" w:hAnsi="Times New Roman" w:cs="Times New Roman"/>
          <w:snapToGrid w:val="0"/>
          <w:color w:val="auto"/>
          <w:w w:val="99"/>
          <w:sz w:val="24"/>
          <w:szCs w:val="24"/>
          <w:highlight w:val="none"/>
          <w:lang w:val="en-US" w:eastAsia="zh-CN" w:bidi="ar-SA"/>
        </w:rPr>
        <w:t>38.8</w:t>
      </w:r>
      <w:r>
        <w:rPr>
          <w:rFonts w:ascii="Times New Roman" w:hAnsi="Times New Roman" w:eastAsia="宋体" w:cs="Times New Roman"/>
          <w:snapToGrid w:val="0"/>
          <w:color w:val="auto"/>
          <w:w w:val="99"/>
          <w:sz w:val="24"/>
          <w:szCs w:val="24"/>
          <w:highlight w:val="none"/>
          <w:lang w:val="zh-CN" w:eastAsia="zh-CN" w:bidi="ar-SA"/>
        </w:rPr>
        <w:t>℃，最低气温为-</w:t>
      </w:r>
      <w:r>
        <w:rPr>
          <w:rFonts w:hint="eastAsia" w:ascii="Times New Roman" w:hAnsi="Times New Roman" w:cs="Times New Roman"/>
          <w:snapToGrid w:val="0"/>
          <w:color w:val="auto"/>
          <w:w w:val="99"/>
          <w:sz w:val="24"/>
          <w:szCs w:val="24"/>
          <w:highlight w:val="none"/>
          <w:lang w:val="en-US" w:eastAsia="zh-CN" w:bidi="ar-SA"/>
        </w:rPr>
        <w:t>31.9</w:t>
      </w:r>
      <w:r>
        <w:rPr>
          <w:rFonts w:ascii="Times New Roman" w:hAnsi="Times New Roman" w:eastAsia="宋体" w:cs="Times New Roman"/>
          <w:snapToGrid w:val="0"/>
          <w:color w:val="auto"/>
          <w:w w:val="99"/>
          <w:sz w:val="24"/>
          <w:szCs w:val="24"/>
          <w:highlight w:val="none"/>
          <w:lang w:val="zh-CN" w:eastAsia="zh-CN" w:bidi="ar-SA"/>
        </w:rPr>
        <w:t>℃；项目所在区域年相对湿度为 66%，属于中等湿润气候；本项目主要占地类型及项目 3km 范围内主要土地利用类型为农用地。本项目估算模型参数一览表见表2.</w:t>
      </w:r>
      <w:r>
        <w:rPr>
          <w:rFonts w:hint="eastAsia" w:ascii="Times New Roman" w:hAnsi="Times New Roman" w:cs="Times New Roman"/>
          <w:snapToGrid w:val="0"/>
          <w:color w:val="auto"/>
          <w:w w:val="99"/>
          <w:sz w:val="24"/>
          <w:szCs w:val="24"/>
          <w:highlight w:val="none"/>
          <w:lang w:val="en-US" w:eastAsia="zh-CN" w:bidi="ar-SA"/>
        </w:rPr>
        <w:t>7-2</w:t>
      </w:r>
      <w:r>
        <w:rPr>
          <w:rFonts w:ascii="Times New Roman" w:hAnsi="Times New Roman" w:eastAsia="宋体" w:cs="Times New Roman"/>
          <w:snapToGrid w:val="0"/>
          <w:color w:val="auto"/>
          <w:w w:val="99"/>
          <w:sz w:val="24"/>
          <w:szCs w:val="24"/>
          <w:highlight w:val="none"/>
          <w:lang w:val="zh-CN" w:eastAsia="zh-CN" w:bidi="ar-SA"/>
        </w:rPr>
        <w:t>。</w:t>
      </w:r>
    </w:p>
    <w:p w14:paraId="2E7C5270">
      <w:pPr>
        <w:widowControl w:val="0"/>
        <w:spacing w:line="440" w:lineRule="exact"/>
        <w:ind w:firstLine="494"/>
        <w:jc w:val="both"/>
        <w:rPr>
          <w:rFonts w:ascii="Times New Roman" w:hAnsi="Times New Roman" w:cs="Times New Roman"/>
          <w:b/>
          <w:color w:val="auto"/>
          <w:w w:val="99"/>
          <w:highlight w:val="none"/>
        </w:rPr>
      </w:pPr>
      <w:r>
        <w:rPr>
          <w:rFonts w:ascii="Times New Roman" w:hAnsi="Times New Roman" w:cs="Times New Roman"/>
          <w:b/>
          <w:color w:val="auto"/>
          <w:w w:val="99"/>
          <w:highlight w:val="none"/>
        </w:rPr>
        <w:t>表2.7-</w:t>
      </w:r>
      <w:r>
        <w:rPr>
          <w:rFonts w:hint="eastAsia" w:ascii="Times New Roman" w:hAnsi="Times New Roman" w:cs="Times New Roman"/>
          <w:b/>
          <w:color w:val="auto"/>
          <w:w w:val="99"/>
          <w:highlight w:val="none"/>
          <w:lang w:val="en-US" w:eastAsia="zh-CN"/>
        </w:rPr>
        <w:t>2</w:t>
      </w:r>
      <w:r>
        <w:rPr>
          <w:rFonts w:ascii="Times New Roman" w:hAnsi="Times New Roman" w:cs="Times New Roman"/>
          <w:b/>
          <w:color w:val="auto"/>
          <w:w w:val="99"/>
          <w:highlight w:val="none"/>
        </w:rPr>
        <w:t xml:space="preserve">   估算模型参数一览表</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4"/>
        <w:gridCol w:w="7"/>
        <w:gridCol w:w="3089"/>
        <w:gridCol w:w="3097"/>
      </w:tblGrid>
      <w:tr w14:paraId="29BE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333" w:type="pct"/>
            <w:gridSpan w:val="3"/>
            <w:vAlign w:val="center"/>
          </w:tcPr>
          <w:p w14:paraId="3603E4B1">
            <w:pPr>
              <w:spacing w:line="32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参数</w:t>
            </w:r>
          </w:p>
        </w:tc>
        <w:tc>
          <w:tcPr>
            <w:tcW w:w="1667" w:type="pct"/>
            <w:vAlign w:val="center"/>
          </w:tcPr>
          <w:p w14:paraId="748A224B">
            <w:pPr>
              <w:spacing w:line="32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取值</w:t>
            </w:r>
          </w:p>
        </w:tc>
      </w:tr>
      <w:tr w14:paraId="6CF9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Merge w:val="restart"/>
            <w:vAlign w:val="center"/>
          </w:tcPr>
          <w:p w14:paraId="40C36AF7">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城市/农村选项</w:t>
            </w:r>
          </w:p>
        </w:tc>
        <w:tc>
          <w:tcPr>
            <w:tcW w:w="1666" w:type="pct"/>
            <w:gridSpan w:val="2"/>
            <w:vAlign w:val="center"/>
          </w:tcPr>
          <w:p w14:paraId="76B6F0D4">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城市/农村</w:t>
            </w:r>
          </w:p>
        </w:tc>
        <w:tc>
          <w:tcPr>
            <w:tcW w:w="1667" w:type="pct"/>
            <w:vAlign w:val="center"/>
          </w:tcPr>
          <w:p w14:paraId="03741452">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农村</w:t>
            </w:r>
          </w:p>
        </w:tc>
      </w:tr>
      <w:tr w14:paraId="2410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Merge w:val="continue"/>
            <w:vAlign w:val="center"/>
          </w:tcPr>
          <w:p w14:paraId="2F7FE74A">
            <w:pPr>
              <w:spacing w:line="320" w:lineRule="exact"/>
              <w:jc w:val="center"/>
              <w:rPr>
                <w:rFonts w:ascii="Times New Roman" w:hAnsi="Times New Roman" w:cs="Times New Roman" w:eastAsiaTheme="minorEastAsia"/>
                <w:color w:val="auto"/>
                <w:w w:val="99"/>
                <w:sz w:val="21"/>
                <w:szCs w:val="21"/>
                <w:highlight w:val="none"/>
              </w:rPr>
            </w:pPr>
          </w:p>
        </w:tc>
        <w:tc>
          <w:tcPr>
            <w:tcW w:w="1666" w:type="pct"/>
            <w:gridSpan w:val="2"/>
            <w:vAlign w:val="center"/>
          </w:tcPr>
          <w:p w14:paraId="59CC015D">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人口数（城市选项时）</w:t>
            </w:r>
          </w:p>
        </w:tc>
        <w:tc>
          <w:tcPr>
            <w:tcW w:w="1667" w:type="pct"/>
            <w:vAlign w:val="center"/>
          </w:tcPr>
          <w:p w14:paraId="3666EDA6">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0E23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3" w:type="pct"/>
            <w:gridSpan w:val="3"/>
            <w:vAlign w:val="center"/>
          </w:tcPr>
          <w:p w14:paraId="059F3437">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最高环境温度/</w:t>
            </w:r>
            <w:r>
              <w:rPr>
                <w:rFonts w:ascii="Times New Roman" w:hAnsi="Times New Roman" w:cs="Times New Roman"/>
                <w:color w:val="auto"/>
                <w:w w:val="99"/>
                <w:sz w:val="21"/>
                <w:szCs w:val="21"/>
                <w:highlight w:val="none"/>
              </w:rPr>
              <w:t>℃</w:t>
            </w:r>
          </w:p>
        </w:tc>
        <w:tc>
          <w:tcPr>
            <w:tcW w:w="1667" w:type="pct"/>
            <w:vAlign w:val="center"/>
          </w:tcPr>
          <w:p w14:paraId="31338CC5">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38.8</w:t>
            </w:r>
          </w:p>
        </w:tc>
      </w:tr>
      <w:tr w14:paraId="1195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3" w:type="pct"/>
            <w:gridSpan w:val="3"/>
            <w:vAlign w:val="center"/>
          </w:tcPr>
          <w:p w14:paraId="3AD8E303">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最低环境温度/</w:t>
            </w:r>
            <w:r>
              <w:rPr>
                <w:rFonts w:ascii="Times New Roman" w:hAnsi="Times New Roman" w:cs="Times New Roman"/>
                <w:color w:val="auto"/>
                <w:w w:val="99"/>
                <w:sz w:val="21"/>
                <w:szCs w:val="21"/>
                <w:highlight w:val="none"/>
              </w:rPr>
              <w:t>℃</w:t>
            </w:r>
          </w:p>
        </w:tc>
        <w:tc>
          <w:tcPr>
            <w:tcW w:w="1667" w:type="pct"/>
            <w:vAlign w:val="center"/>
          </w:tcPr>
          <w:p w14:paraId="7DBDC271">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lang w:val="en-US" w:eastAsia="zh-CN"/>
              </w:rPr>
              <w:t>31.9</w:t>
            </w:r>
          </w:p>
        </w:tc>
      </w:tr>
      <w:tr w14:paraId="7BF0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3" w:type="pct"/>
            <w:gridSpan w:val="3"/>
            <w:vAlign w:val="center"/>
          </w:tcPr>
          <w:p w14:paraId="3411F69C">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土地利用类型</w:t>
            </w:r>
          </w:p>
        </w:tc>
        <w:tc>
          <w:tcPr>
            <w:tcW w:w="1667" w:type="pct"/>
            <w:vAlign w:val="center"/>
          </w:tcPr>
          <w:p w14:paraId="7884E219">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农田</w:t>
            </w:r>
          </w:p>
        </w:tc>
      </w:tr>
      <w:tr w14:paraId="5C0B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3" w:type="pct"/>
            <w:gridSpan w:val="3"/>
            <w:vAlign w:val="center"/>
          </w:tcPr>
          <w:p w14:paraId="01C21669">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区域湿度条件</w:t>
            </w:r>
          </w:p>
        </w:tc>
        <w:tc>
          <w:tcPr>
            <w:tcW w:w="1667" w:type="pct"/>
            <w:vAlign w:val="center"/>
          </w:tcPr>
          <w:p w14:paraId="789329F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中等湿度</w:t>
            </w:r>
          </w:p>
        </w:tc>
      </w:tr>
      <w:tr w14:paraId="5DC0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70" w:type="pct"/>
            <w:gridSpan w:val="2"/>
            <w:vMerge w:val="restart"/>
            <w:vAlign w:val="center"/>
          </w:tcPr>
          <w:p w14:paraId="268CEBC6">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是否考虑地形</w:t>
            </w:r>
          </w:p>
        </w:tc>
        <w:tc>
          <w:tcPr>
            <w:tcW w:w="1663" w:type="pct"/>
          </w:tcPr>
          <w:p w14:paraId="429A7A1C">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考虑地形</w:t>
            </w:r>
          </w:p>
        </w:tc>
        <w:tc>
          <w:tcPr>
            <w:tcW w:w="1667" w:type="pct"/>
            <w:vAlign w:val="center"/>
          </w:tcPr>
          <w:p w14:paraId="69D5B495">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是</w:t>
            </w:r>
          </w:p>
        </w:tc>
      </w:tr>
      <w:tr w14:paraId="5F52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70" w:type="pct"/>
            <w:gridSpan w:val="2"/>
            <w:vMerge w:val="continue"/>
            <w:vAlign w:val="center"/>
          </w:tcPr>
          <w:p w14:paraId="68BE5450">
            <w:pPr>
              <w:spacing w:line="320" w:lineRule="exact"/>
              <w:jc w:val="center"/>
              <w:rPr>
                <w:rFonts w:ascii="Times New Roman" w:hAnsi="Times New Roman" w:cs="Times New Roman" w:eastAsiaTheme="minorEastAsia"/>
                <w:color w:val="auto"/>
                <w:w w:val="99"/>
                <w:sz w:val="21"/>
                <w:szCs w:val="21"/>
                <w:highlight w:val="none"/>
              </w:rPr>
            </w:pPr>
          </w:p>
        </w:tc>
        <w:tc>
          <w:tcPr>
            <w:tcW w:w="1663" w:type="pct"/>
          </w:tcPr>
          <w:p w14:paraId="1DE49D9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地形数据分辨率 / m</w:t>
            </w:r>
          </w:p>
        </w:tc>
        <w:tc>
          <w:tcPr>
            <w:tcW w:w="1667" w:type="pct"/>
            <w:vAlign w:val="center"/>
          </w:tcPr>
          <w:p w14:paraId="1C744585">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90</w:t>
            </w:r>
          </w:p>
        </w:tc>
      </w:tr>
      <w:tr w14:paraId="41B1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3" w:type="pct"/>
            <w:gridSpan w:val="3"/>
            <w:vAlign w:val="center"/>
          </w:tcPr>
          <w:p w14:paraId="61E28D47">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是否考虑岸线熏烟</w:t>
            </w:r>
          </w:p>
        </w:tc>
        <w:tc>
          <w:tcPr>
            <w:tcW w:w="1667" w:type="pct"/>
            <w:vAlign w:val="center"/>
          </w:tcPr>
          <w:p w14:paraId="3AD7861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否</w:t>
            </w:r>
          </w:p>
        </w:tc>
      </w:tr>
    </w:tbl>
    <w:p w14:paraId="55F7B525">
      <w:pPr>
        <w:pStyle w:val="2"/>
        <w:widowControl w:val="0"/>
        <w:spacing w:line="440" w:lineRule="exact"/>
        <w:ind w:firstLine="473"/>
        <w:jc w:val="both"/>
        <w:rPr>
          <w:rFonts w:ascii="Times New Roman" w:hAnsi="Times New Roman"/>
          <w:color w:val="auto"/>
          <w:w w:val="99"/>
          <w:szCs w:val="24"/>
          <w:highlight w:val="none"/>
        </w:rPr>
      </w:pPr>
      <w:r>
        <w:rPr>
          <w:rFonts w:ascii="Times New Roman" w:hAnsi="Times New Roman"/>
          <w:color w:val="auto"/>
          <w:w w:val="99"/>
          <w:szCs w:val="24"/>
          <w:highlight w:val="none"/>
        </w:rPr>
        <w:t>根据《环境影响评价技术导则 大气环境》</w:t>
      </w:r>
      <w:r>
        <w:rPr>
          <w:rFonts w:ascii="Times New Roman" w:hAnsi="Times New Roman"/>
          <w:color w:val="auto"/>
          <w:spacing w:val="4"/>
          <w:w w:val="99"/>
          <w:szCs w:val="24"/>
          <w:highlight w:val="none"/>
        </w:rPr>
        <w:t>（</w:t>
      </w:r>
      <w:r>
        <w:rPr>
          <w:rFonts w:ascii="Times New Roman" w:hAnsi="Times New Roman" w:eastAsia="Times New Roman"/>
          <w:color w:val="auto"/>
          <w:spacing w:val="4"/>
          <w:w w:val="99"/>
          <w:szCs w:val="24"/>
          <w:highlight w:val="none"/>
        </w:rPr>
        <w:t>HJ2.2-2018</w:t>
      </w:r>
      <w:r>
        <w:rPr>
          <w:rFonts w:ascii="Times New Roman" w:hAnsi="Times New Roman"/>
          <w:color w:val="auto"/>
          <w:spacing w:val="4"/>
          <w:w w:val="99"/>
          <w:szCs w:val="24"/>
          <w:highlight w:val="none"/>
        </w:rPr>
        <w:t>）中的有关规定，评价工</w:t>
      </w:r>
      <w:r>
        <w:rPr>
          <w:rFonts w:ascii="Times New Roman" w:hAnsi="Times New Roman"/>
          <w:color w:val="auto"/>
          <w:spacing w:val="4"/>
          <w:w w:val="99"/>
          <w:position w:val="2"/>
          <w:szCs w:val="24"/>
          <w:highlight w:val="none"/>
        </w:rPr>
        <w:t>作等级由项目主要污染物的最大地面空气质量浓度占标率</w:t>
      </w:r>
      <w:r>
        <w:rPr>
          <w:rFonts w:ascii="Times New Roman" w:hAnsi="Times New Roman" w:eastAsia="Times New Roman"/>
          <w:color w:val="auto"/>
          <w:w w:val="99"/>
          <w:position w:val="2"/>
          <w:szCs w:val="24"/>
          <w:highlight w:val="none"/>
        </w:rPr>
        <w:t>P</w:t>
      </w:r>
      <w:r>
        <w:rPr>
          <w:rFonts w:ascii="Times New Roman" w:hAnsi="Times New Roman" w:eastAsia="Times New Roman"/>
          <w:color w:val="auto"/>
          <w:w w:val="99"/>
          <w:position w:val="2"/>
          <w:szCs w:val="24"/>
          <w:highlight w:val="none"/>
          <w:vertAlign w:val="subscript"/>
        </w:rPr>
        <w:t>i</w:t>
      </w:r>
      <w:r>
        <w:rPr>
          <w:rFonts w:ascii="Times New Roman" w:hAnsi="Times New Roman"/>
          <w:color w:val="auto"/>
          <w:spacing w:val="25"/>
          <w:w w:val="99"/>
          <w:position w:val="2"/>
          <w:szCs w:val="24"/>
          <w:highlight w:val="none"/>
        </w:rPr>
        <w:t>及第</w:t>
      </w:r>
      <w:r>
        <w:rPr>
          <w:rFonts w:ascii="Times New Roman" w:hAnsi="Times New Roman" w:eastAsia="Times New Roman"/>
          <w:color w:val="auto"/>
          <w:w w:val="99"/>
          <w:position w:val="2"/>
          <w:szCs w:val="24"/>
          <w:highlight w:val="none"/>
        </w:rPr>
        <w:t>i</w:t>
      </w:r>
      <w:r>
        <w:rPr>
          <w:rFonts w:ascii="Times New Roman" w:hAnsi="Times New Roman"/>
          <w:color w:val="auto"/>
          <w:w w:val="99"/>
          <w:position w:val="2"/>
          <w:szCs w:val="24"/>
          <w:highlight w:val="none"/>
        </w:rPr>
        <w:t>个污染物的地面空气</w:t>
      </w:r>
      <w:r>
        <w:rPr>
          <w:rFonts w:ascii="Times New Roman" w:hAnsi="Times New Roman"/>
          <w:color w:val="auto"/>
          <w:spacing w:val="-6"/>
          <w:w w:val="99"/>
          <w:position w:val="2"/>
          <w:szCs w:val="24"/>
          <w:highlight w:val="none"/>
        </w:rPr>
        <w:t>质量浓度达到标准值的</w:t>
      </w:r>
      <w:r>
        <w:rPr>
          <w:rFonts w:ascii="Times New Roman" w:hAnsi="Times New Roman" w:eastAsia="Times New Roman"/>
          <w:color w:val="auto"/>
          <w:w w:val="99"/>
          <w:position w:val="2"/>
          <w:szCs w:val="24"/>
          <w:highlight w:val="none"/>
        </w:rPr>
        <w:t>10%</w:t>
      </w:r>
      <w:r>
        <w:rPr>
          <w:rFonts w:ascii="Times New Roman" w:hAnsi="Times New Roman"/>
          <w:color w:val="auto"/>
          <w:spacing w:val="-6"/>
          <w:w w:val="99"/>
          <w:position w:val="2"/>
          <w:szCs w:val="24"/>
          <w:highlight w:val="none"/>
        </w:rPr>
        <w:t>时所对应的最远距离</w:t>
      </w:r>
      <w:r>
        <w:rPr>
          <w:rFonts w:ascii="Times New Roman" w:hAnsi="Times New Roman" w:eastAsia="Times New Roman"/>
          <w:color w:val="auto"/>
          <w:w w:val="99"/>
          <w:position w:val="2"/>
          <w:szCs w:val="24"/>
          <w:highlight w:val="none"/>
        </w:rPr>
        <w:t>D</w:t>
      </w:r>
      <w:r>
        <w:rPr>
          <w:rFonts w:ascii="Times New Roman" w:hAnsi="Times New Roman" w:eastAsia="Times New Roman"/>
          <w:color w:val="auto"/>
          <w:w w:val="99"/>
          <w:position w:val="2"/>
          <w:szCs w:val="24"/>
          <w:highlight w:val="none"/>
          <w:vertAlign w:val="subscript"/>
        </w:rPr>
        <w:t>10%</w:t>
      </w:r>
      <w:r>
        <w:rPr>
          <w:rFonts w:ascii="Times New Roman" w:hAnsi="Times New Roman"/>
          <w:color w:val="auto"/>
          <w:w w:val="99"/>
          <w:position w:val="2"/>
          <w:szCs w:val="24"/>
          <w:highlight w:val="none"/>
        </w:rPr>
        <w:t>进行等级划分。其中，</w:t>
      </w:r>
      <w:r>
        <w:rPr>
          <w:rFonts w:ascii="Times New Roman" w:hAnsi="Times New Roman" w:eastAsia="Times New Roman"/>
          <w:color w:val="auto"/>
          <w:w w:val="99"/>
          <w:position w:val="2"/>
          <w:szCs w:val="24"/>
          <w:highlight w:val="none"/>
        </w:rPr>
        <w:t>P</w:t>
      </w:r>
      <w:r>
        <w:rPr>
          <w:rFonts w:ascii="Times New Roman" w:hAnsi="Times New Roman" w:eastAsia="Times New Roman"/>
          <w:color w:val="auto"/>
          <w:w w:val="99"/>
          <w:position w:val="2"/>
          <w:szCs w:val="24"/>
          <w:highlight w:val="none"/>
          <w:vertAlign w:val="subscript"/>
        </w:rPr>
        <w:t>i</w:t>
      </w:r>
      <w:r>
        <w:rPr>
          <w:rFonts w:ascii="Times New Roman" w:hAnsi="Times New Roman"/>
          <w:color w:val="auto"/>
          <w:spacing w:val="-7"/>
          <w:w w:val="99"/>
          <w:position w:val="2"/>
          <w:szCs w:val="24"/>
          <w:highlight w:val="none"/>
        </w:rPr>
        <w:t>定义为：</w:t>
      </w:r>
    </w:p>
    <w:p w14:paraId="6783F242">
      <w:pPr>
        <w:widowControl w:val="0"/>
        <w:tabs>
          <w:tab w:val="left" w:pos="1571"/>
        </w:tabs>
        <w:spacing w:line="440" w:lineRule="exact"/>
        <w:ind w:left="595" w:hanging="597" w:hangingChars="252"/>
        <w:jc w:val="center"/>
        <w:rPr>
          <w:rFonts w:ascii="Times New Roman" w:hAnsi="Times New Roman" w:cs="Times New Roman"/>
          <w:color w:val="auto"/>
          <w:w w:val="99"/>
          <w:position w:val="2"/>
          <w:highlight w:val="none"/>
        </w:rPr>
      </w:pPr>
      <w:r>
        <w:rPr>
          <w:rFonts w:ascii="Times New Roman" w:hAnsi="Times New Roman" w:cs="Times New Roman"/>
          <w:color w:val="auto"/>
          <w:w w:val="99"/>
          <w:position w:val="2"/>
          <w:highlight w:val="none"/>
        </w:rPr>
        <w:t>P</w:t>
      </w:r>
      <w:r>
        <w:rPr>
          <w:rFonts w:ascii="Times New Roman" w:hAnsi="Times New Roman" w:cs="Times New Roman"/>
          <w:color w:val="auto"/>
          <w:w w:val="99"/>
          <w:position w:val="2"/>
          <w:highlight w:val="none"/>
          <w:vertAlign w:val="subscript"/>
        </w:rPr>
        <w:t>i</w:t>
      </w:r>
      <w:r>
        <w:rPr>
          <w:rFonts w:ascii="Times New Roman" w:hAnsi="Times New Roman" w:cs="Times New Roman"/>
          <w:color w:val="auto"/>
          <w:w w:val="99"/>
          <w:position w:val="2"/>
          <w:highlight w:val="none"/>
        </w:rPr>
        <w:t>=C</w:t>
      </w:r>
      <w:r>
        <w:rPr>
          <w:rFonts w:ascii="Times New Roman" w:hAnsi="Times New Roman" w:cs="Times New Roman"/>
          <w:color w:val="auto"/>
          <w:w w:val="99"/>
          <w:position w:val="2"/>
          <w:highlight w:val="none"/>
          <w:vertAlign w:val="subscript"/>
        </w:rPr>
        <w:t>i</w:t>
      </w:r>
      <w:r>
        <w:rPr>
          <w:rFonts w:ascii="Times New Roman" w:hAnsi="Times New Roman" w:cs="Times New Roman"/>
          <w:color w:val="auto"/>
          <w:w w:val="99"/>
          <w:position w:val="2"/>
          <w:highlight w:val="none"/>
        </w:rPr>
        <w:t>/C</w:t>
      </w:r>
      <w:r>
        <w:rPr>
          <w:rFonts w:ascii="Times New Roman" w:hAnsi="Times New Roman" w:cs="Times New Roman"/>
          <w:color w:val="auto"/>
          <w:w w:val="99"/>
          <w:position w:val="2"/>
          <w:highlight w:val="none"/>
          <w:vertAlign w:val="subscript"/>
        </w:rPr>
        <w:t>0i</w:t>
      </w:r>
      <w:r>
        <w:rPr>
          <w:rFonts w:ascii="Times New Roman" w:hAnsi="Times New Roman" w:cs="Times New Roman"/>
          <w:color w:val="auto"/>
          <w:w w:val="99"/>
          <w:position w:val="2"/>
          <w:highlight w:val="none"/>
        </w:rPr>
        <w:t>×100%</w:t>
      </w:r>
    </w:p>
    <w:p w14:paraId="257112A4">
      <w:pPr>
        <w:pStyle w:val="2"/>
        <w:widowControl w:val="0"/>
        <w:spacing w:line="440" w:lineRule="exact"/>
        <w:jc w:val="both"/>
        <w:rPr>
          <w:rFonts w:ascii="Times New Roman" w:hAnsi="Times New Roman"/>
          <w:color w:val="auto"/>
          <w:w w:val="99"/>
          <w:szCs w:val="24"/>
          <w:highlight w:val="none"/>
        </w:rPr>
      </w:pPr>
      <w:r>
        <w:rPr>
          <w:rFonts w:ascii="Times New Roman" w:hAnsi="Times New Roman"/>
          <w:color w:val="auto"/>
          <w:w w:val="99"/>
          <w:position w:val="2"/>
          <w:szCs w:val="24"/>
          <w:highlight w:val="none"/>
        </w:rPr>
        <w:t>式中：</w:t>
      </w:r>
      <w:r>
        <w:rPr>
          <w:rFonts w:ascii="Times New Roman" w:hAnsi="Times New Roman" w:eastAsia="Times New Roman"/>
          <w:color w:val="auto"/>
          <w:w w:val="99"/>
          <w:position w:val="2"/>
          <w:szCs w:val="24"/>
          <w:highlight w:val="none"/>
        </w:rPr>
        <w:t>P</w:t>
      </w:r>
      <w:r>
        <w:rPr>
          <w:rFonts w:ascii="Times New Roman" w:hAnsi="Times New Roman" w:eastAsia="Times New Roman"/>
          <w:color w:val="auto"/>
          <w:w w:val="99"/>
          <w:position w:val="2"/>
          <w:szCs w:val="24"/>
          <w:highlight w:val="none"/>
          <w:vertAlign w:val="subscript"/>
        </w:rPr>
        <w:t>i</w:t>
      </w:r>
      <w:r>
        <w:rPr>
          <w:rFonts w:ascii="Times New Roman" w:hAnsi="Times New Roman" w:eastAsia="Times New Roman"/>
          <w:color w:val="auto"/>
          <w:w w:val="99"/>
          <w:position w:val="2"/>
          <w:szCs w:val="24"/>
          <w:highlight w:val="none"/>
        </w:rPr>
        <w:t>——</w:t>
      </w:r>
      <w:r>
        <w:rPr>
          <w:rFonts w:ascii="Times New Roman" w:hAnsi="Times New Roman"/>
          <w:color w:val="auto"/>
          <w:w w:val="99"/>
          <w:position w:val="2"/>
          <w:szCs w:val="24"/>
          <w:highlight w:val="none"/>
        </w:rPr>
        <w:t xml:space="preserve">第 </w:t>
      </w:r>
      <w:r>
        <w:rPr>
          <w:rFonts w:ascii="Times New Roman" w:hAnsi="Times New Roman" w:eastAsia="Times New Roman"/>
          <w:color w:val="auto"/>
          <w:w w:val="99"/>
          <w:position w:val="2"/>
          <w:szCs w:val="24"/>
          <w:highlight w:val="none"/>
        </w:rPr>
        <w:t xml:space="preserve">i </w:t>
      </w:r>
      <w:r>
        <w:rPr>
          <w:rFonts w:ascii="Times New Roman" w:hAnsi="Times New Roman"/>
          <w:color w:val="auto"/>
          <w:w w:val="99"/>
          <w:position w:val="2"/>
          <w:szCs w:val="24"/>
          <w:highlight w:val="none"/>
        </w:rPr>
        <w:t>个污染物的最大地面空气质量浓度占标率，</w:t>
      </w:r>
      <w:r>
        <w:rPr>
          <w:rFonts w:ascii="Times New Roman" w:hAnsi="Times New Roman" w:eastAsia="Times New Roman"/>
          <w:color w:val="auto"/>
          <w:w w:val="99"/>
          <w:position w:val="2"/>
          <w:szCs w:val="24"/>
          <w:highlight w:val="none"/>
        </w:rPr>
        <w:t>%</w:t>
      </w:r>
      <w:r>
        <w:rPr>
          <w:rFonts w:ascii="Times New Roman" w:hAnsi="Times New Roman"/>
          <w:color w:val="auto"/>
          <w:w w:val="99"/>
          <w:position w:val="2"/>
          <w:szCs w:val="24"/>
          <w:highlight w:val="none"/>
        </w:rPr>
        <w:t>；</w:t>
      </w:r>
    </w:p>
    <w:p w14:paraId="1F075BD5">
      <w:pPr>
        <w:pStyle w:val="2"/>
        <w:widowControl w:val="0"/>
        <w:spacing w:line="440" w:lineRule="exact"/>
        <w:ind w:firstLine="711" w:firstLineChars="300"/>
        <w:jc w:val="both"/>
        <w:rPr>
          <w:rFonts w:ascii="Times New Roman" w:hAnsi="Times New Roman"/>
          <w:color w:val="auto"/>
          <w:w w:val="99"/>
          <w:szCs w:val="24"/>
          <w:highlight w:val="none"/>
        </w:rPr>
      </w:pPr>
      <w:r>
        <w:rPr>
          <w:rFonts w:ascii="Times New Roman" w:hAnsi="Times New Roman" w:eastAsia="Times New Roman"/>
          <w:color w:val="auto"/>
          <w:w w:val="99"/>
          <w:position w:val="2"/>
          <w:szCs w:val="24"/>
          <w:highlight w:val="none"/>
        </w:rPr>
        <w:t>C</w:t>
      </w:r>
      <w:r>
        <w:rPr>
          <w:rFonts w:ascii="Times New Roman" w:hAnsi="Times New Roman" w:eastAsia="Times New Roman"/>
          <w:color w:val="auto"/>
          <w:w w:val="99"/>
          <w:position w:val="2"/>
          <w:szCs w:val="24"/>
          <w:highlight w:val="none"/>
          <w:vertAlign w:val="subscript"/>
        </w:rPr>
        <w:t>i</w:t>
      </w:r>
      <w:r>
        <w:rPr>
          <w:rFonts w:ascii="Times New Roman" w:hAnsi="Times New Roman" w:eastAsia="Times New Roman"/>
          <w:color w:val="auto"/>
          <w:w w:val="99"/>
          <w:position w:val="2"/>
          <w:szCs w:val="24"/>
          <w:highlight w:val="none"/>
        </w:rPr>
        <w:t>——</w:t>
      </w:r>
      <w:r>
        <w:rPr>
          <w:rFonts w:ascii="Times New Roman" w:hAnsi="Times New Roman"/>
          <w:color w:val="auto"/>
          <w:w w:val="99"/>
          <w:position w:val="2"/>
          <w:szCs w:val="24"/>
          <w:highlight w:val="none"/>
        </w:rPr>
        <w:t>采用估算模式计算出的第</w:t>
      </w:r>
      <w:r>
        <w:rPr>
          <w:rFonts w:ascii="Times New Roman" w:hAnsi="Times New Roman" w:eastAsia="Times New Roman"/>
          <w:color w:val="auto"/>
          <w:w w:val="99"/>
          <w:position w:val="2"/>
          <w:szCs w:val="24"/>
          <w:highlight w:val="none"/>
        </w:rPr>
        <w:t>i</w:t>
      </w:r>
      <w:r>
        <w:rPr>
          <w:rFonts w:ascii="Times New Roman" w:hAnsi="Times New Roman"/>
          <w:color w:val="auto"/>
          <w:w w:val="99"/>
          <w:position w:val="2"/>
          <w:szCs w:val="24"/>
          <w:highlight w:val="none"/>
        </w:rPr>
        <w:t>个污染物的最大</w:t>
      </w:r>
      <w:r>
        <w:rPr>
          <w:rFonts w:ascii="Times New Roman" w:hAnsi="Times New Roman" w:eastAsia="Times New Roman"/>
          <w:color w:val="auto"/>
          <w:w w:val="99"/>
          <w:position w:val="2"/>
          <w:szCs w:val="24"/>
          <w:highlight w:val="none"/>
        </w:rPr>
        <w:t>1h</w:t>
      </w:r>
      <w:r>
        <w:rPr>
          <w:rFonts w:ascii="Times New Roman" w:hAnsi="Times New Roman"/>
          <w:color w:val="auto"/>
          <w:w w:val="99"/>
          <w:position w:val="2"/>
          <w:szCs w:val="24"/>
          <w:highlight w:val="none"/>
        </w:rPr>
        <w:t>地面空气质量浓度，</w:t>
      </w:r>
      <w:r>
        <w:rPr>
          <w:rFonts w:ascii="Times New Roman" w:hAnsi="Times New Roman" w:eastAsia="Times New Roman"/>
          <w:color w:val="auto"/>
          <w:w w:val="99"/>
          <w:position w:val="2"/>
          <w:szCs w:val="24"/>
          <w:highlight w:val="none"/>
        </w:rPr>
        <w:t>μg/m</w:t>
      </w:r>
      <w:r>
        <w:rPr>
          <w:rFonts w:ascii="Times New Roman" w:hAnsi="Times New Roman" w:eastAsia="Times New Roman"/>
          <w:color w:val="auto"/>
          <w:w w:val="99"/>
          <w:position w:val="2"/>
          <w:szCs w:val="24"/>
          <w:highlight w:val="none"/>
          <w:vertAlign w:val="superscript"/>
        </w:rPr>
        <w:t>3</w:t>
      </w:r>
      <w:r>
        <w:rPr>
          <w:rFonts w:ascii="Times New Roman" w:hAnsi="Times New Roman"/>
          <w:color w:val="auto"/>
          <w:w w:val="99"/>
          <w:position w:val="2"/>
          <w:szCs w:val="24"/>
          <w:highlight w:val="none"/>
        </w:rPr>
        <w:t>；</w:t>
      </w:r>
    </w:p>
    <w:p w14:paraId="1CE5692E">
      <w:pPr>
        <w:pStyle w:val="2"/>
        <w:widowControl w:val="0"/>
        <w:spacing w:line="440" w:lineRule="exact"/>
        <w:ind w:firstLine="711" w:firstLineChars="300"/>
        <w:jc w:val="both"/>
        <w:rPr>
          <w:rFonts w:ascii="Times New Roman" w:hAnsi="Times New Roman"/>
          <w:color w:val="auto"/>
          <w:w w:val="99"/>
          <w:szCs w:val="24"/>
          <w:highlight w:val="none"/>
        </w:rPr>
      </w:pPr>
      <w:r>
        <w:rPr>
          <w:rFonts w:ascii="Times New Roman" w:hAnsi="Times New Roman" w:eastAsia="Times New Roman"/>
          <w:color w:val="auto"/>
          <w:w w:val="99"/>
          <w:position w:val="2"/>
          <w:szCs w:val="24"/>
          <w:highlight w:val="none"/>
        </w:rPr>
        <w:t>C</w:t>
      </w:r>
      <w:r>
        <w:rPr>
          <w:rFonts w:ascii="Times New Roman" w:hAnsi="Times New Roman" w:eastAsia="Times New Roman"/>
          <w:color w:val="auto"/>
          <w:w w:val="99"/>
          <w:position w:val="2"/>
          <w:szCs w:val="24"/>
          <w:highlight w:val="none"/>
          <w:vertAlign w:val="subscript"/>
        </w:rPr>
        <w:t>0i</w:t>
      </w:r>
      <w:r>
        <w:rPr>
          <w:rFonts w:ascii="Times New Roman" w:hAnsi="Times New Roman" w:eastAsia="Times New Roman"/>
          <w:color w:val="auto"/>
          <w:w w:val="99"/>
          <w:position w:val="2"/>
          <w:szCs w:val="24"/>
          <w:highlight w:val="none"/>
        </w:rPr>
        <w:t>——</w:t>
      </w:r>
      <w:r>
        <w:rPr>
          <w:rFonts w:ascii="Times New Roman" w:hAnsi="Times New Roman"/>
          <w:color w:val="auto"/>
          <w:w w:val="99"/>
          <w:position w:val="2"/>
          <w:szCs w:val="24"/>
          <w:highlight w:val="none"/>
        </w:rPr>
        <w:t xml:space="preserve">第 </w:t>
      </w:r>
      <w:r>
        <w:rPr>
          <w:rFonts w:ascii="Times New Roman" w:hAnsi="Times New Roman" w:eastAsia="Times New Roman"/>
          <w:color w:val="auto"/>
          <w:w w:val="99"/>
          <w:position w:val="2"/>
          <w:szCs w:val="24"/>
          <w:highlight w:val="none"/>
        </w:rPr>
        <w:t xml:space="preserve">i </w:t>
      </w:r>
      <w:r>
        <w:rPr>
          <w:rFonts w:ascii="Times New Roman" w:hAnsi="Times New Roman"/>
          <w:color w:val="auto"/>
          <w:w w:val="99"/>
          <w:position w:val="2"/>
          <w:szCs w:val="24"/>
          <w:highlight w:val="none"/>
        </w:rPr>
        <w:t>个污染物的环境空气质量浓度标准，</w:t>
      </w:r>
      <w:r>
        <w:rPr>
          <w:rFonts w:ascii="Times New Roman" w:hAnsi="Times New Roman" w:eastAsia="Times New Roman"/>
          <w:color w:val="auto"/>
          <w:w w:val="99"/>
          <w:position w:val="2"/>
          <w:szCs w:val="24"/>
          <w:highlight w:val="none"/>
        </w:rPr>
        <w:t>μg/m</w:t>
      </w:r>
      <w:r>
        <w:rPr>
          <w:rFonts w:ascii="Times New Roman" w:hAnsi="Times New Roman" w:eastAsia="Times New Roman"/>
          <w:color w:val="auto"/>
          <w:w w:val="99"/>
          <w:position w:val="2"/>
          <w:szCs w:val="24"/>
          <w:highlight w:val="none"/>
          <w:vertAlign w:val="superscript"/>
        </w:rPr>
        <w:t>3</w:t>
      </w:r>
      <w:r>
        <w:rPr>
          <w:rFonts w:ascii="Times New Roman" w:hAnsi="Times New Roman"/>
          <w:color w:val="auto"/>
          <w:w w:val="99"/>
          <w:position w:val="2"/>
          <w:szCs w:val="24"/>
          <w:highlight w:val="none"/>
        </w:rPr>
        <w:t>。</w:t>
      </w:r>
    </w:p>
    <w:p w14:paraId="1E4F28CD">
      <w:pPr>
        <w:widowControl w:val="0"/>
        <w:spacing w:line="440" w:lineRule="exact"/>
        <w:ind w:firstLine="490" w:firstLineChars="200"/>
        <w:jc w:val="both"/>
        <w:rPr>
          <w:rFonts w:ascii="Times New Roman" w:hAnsi="Times New Roman" w:eastAsia="宋体" w:cs="Times New Roman"/>
          <w:color w:val="auto"/>
          <w:spacing w:val="4"/>
          <w:w w:val="99"/>
          <w:kern w:val="2"/>
          <w:position w:val="2"/>
          <w:sz w:val="24"/>
          <w:szCs w:val="24"/>
          <w:highlight w:val="none"/>
          <w:lang w:val="zh-CN" w:eastAsia="zh-CN" w:bidi="ar-SA"/>
        </w:rPr>
      </w:pPr>
      <w:r>
        <w:rPr>
          <w:rFonts w:ascii="Times New Roman" w:hAnsi="Times New Roman" w:eastAsia="宋体" w:cs="Times New Roman"/>
          <w:color w:val="auto"/>
          <w:spacing w:val="4"/>
          <w:w w:val="99"/>
          <w:kern w:val="2"/>
          <w:position w:val="2"/>
          <w:sz w:val="24"/>
          <w:szCs w:val="24"/>
          <w:highlight w:val="none"/>
          <w:lang w:val="zh-CN" w:eastAsia="zh-CN" w:bidi="ar-SA"/>
        </w:rPr>
        <w:t>本项目根据估算模式预测，本项目最大地面浓度占标率计算结果见表2.</w:t>
      </w:r>
      <w:r>
        <w:rPr>
          <w:rFonts w:hint="eastAsia" w:ascii="Times New Roman" w:hAnsi="Times New Roman" w:eastAsia="宋体" w:cs="Times New Roman"/>
          <w:color w:val="auto"/>
          <w:spacing w:val="4"/>
          <w:w w:val="99"/>
          <w:kern w:val="2"/>
          <w:position w:val="2"/>
          <w:sz w:val="24"/>
          <w:szCs w:val="24"/>
          <w:highlight w:val="none"/>
          <w:lang w:val="en-US" w:eastAsia="zh-CN" w:bidi="ar-SA"/>
        </w:rPr>
        <w:t>7-</w:t>
      </w:r>
      <w:r>
        <w:rPr>
          <w:rFonts w:hint="eastAsia" w:ascii="Times New Roman" w:hAnsi="Times New Roman" w:cs="Times New Roman"/>
          <w:color w:val="auto"/>
          <w:spacing w:val="4"/>
          <w:w w:val="99"/>
          <w:kern w:val="2"/>
          <w:position w:val="2"/>
          <w:sz w:val="24"/>
          <w:szCs w:val="24"/>
          <w:highlight w:val="none"/>
          <w:lang w:val="en-US" w:eastAsia="zh-CN" w:bidi="ar-SA"/>
        </w:rPr>
        <w:t>3</w:t>
      </w:r>
      <w:r>
        <w:rPr>
          <w:rFonts w:ascii="Times New Roman" w:hAnsi="Times New Roman" w:eastAsia="宋体" w:cs="Times New Roman"/>
          <w:color w:val="auto"/>
          <w:spacing w:val="4"/>
          <w:w w:val="99"/>
          <w:kern w:val="2"/>
          <w:position w:val="2"/>
          <w:sz w:val="24"/>
          <w:szCs w:val="24"/>
          <w:highlight w:val="none"/>
          <w:lang w:val="zh-CN" w:eastAsia="zh-CN" w:bidi="ar-SA"/>
        </w:rPr>
        <w:t>。</w:t>
      </w:r>
    </w:p>
    <w:p w14:paraId="34739F4B">
      <w:pPr>
        <w:widowControl w:val="0"/>
        <w:spacing w:line="440" w:lineRule="exact"/>
        <w:ind w:firstLine="476" w:firstLineChars="200"/>
        <w:jc w:val="both"/>
        <w:rPr>
          <w:rFonts w:hint="eastAsia" w:ascii="Times New Roman" w:hAnsi="Times New Roman" w:cs="Times New Roman" w:eastAsiaTheme="minorEastAsia"/>
          <w:b/>
          <w:bCs/>
          <w:color w:val="auto"/>
          <w:w w:val="99"/>
          <w:highlight w:val="none"/>
          <w:lang w:val="en-US" w:bidi="zh-CN"/>
        </w:rPr>
      </w:pPr>
      <w:r>
        <w:rPr>
          <w:rFonts w:hint="eastAsia" w:ascii="Times New Roman" w:hAnsi="Times New Roman" w:cs="Times New Roman" w:eastAsiaTheme="minorEastAsia"/>
          <w:b/>
          <w:bCs/>
          <w:color w:val="auto"/>
          <w:w w:val="99"/>
          <w:highlight w:val="none"/>
          <w:lang w:val="en-US" w:bidi="zh-CN"/>
        </w:rPr>
        <w:t>表2.7-3   Pmax和D</w:t>
      </w:r>
      <w:r>
        <w:rPr>
          <w:rFonts w:hint="eastAsia" w:ascii="Times New Roman" w:hAnsi="Times New Roman" w:cs="Times New Roman" w:eastAsiaTheme="minorEastAsia"/>
          <w:b/>
          <w:bCs/>
          <w:color w:val="auto"/>
          <w:w w:val="99"/>
          <w:highlight w:val="none"/>
          <w:vertAlign w:val="subscript"/>
          <w:lang w:val="en-US" w:bidi="zh-CN"/>
        </w:rPr>
        <w:t>10%</w:t>
      </w:r>
      <w:r>
        <w:rPr>
          <w:rFonts w:hint="eastAsia" w:ascii="Times New Roman" w:hAnsi="Times New Roman" w:cs="Times New Roman" w:eastAsiaTheme="minorEastAsia"/>
          <w:b/>
          <w:bCs/>
          <w:color w:val="auto"/>
          <w:w w:val="99"/>
          <w:highlight w:val="none"/>
          <w:lang w:val="en-US" w:bidi="zh-CN"/>
        </w:rPr>
        <w:t>预测和计算结果一览表</w:t>
      </w:r>
    </w:p>
    <w:tbl>
      <w:tblPr>
        <w:tblStyle w:val="8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1483"/>
        <w:gridCol w:w="1568"/>
        <w:gridCol w:w="1797"/>
        <w:gridCol w:w="1308"/>
        <w:gridCol w:w="864"/>
      </w:tblGrid>
      <w:tr w14:paraId="4943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0" w:type="pct"/>
            <w:vAlign w:val="center"/>
          </w:tcPr>
          <w:p w14:paraId="658533BA">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污染源</w:t>
            </w:r>
          </w:p>
        </w:tc>
        <w:tc>
          <w:tcPr>
            <w:tcW w:w="798" w:type="pct"/>
            <w:vAlign w:val="center"/>
          </w:tcPr>
          <w:p w14:paraId="7777D921">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预测因子</w:t>
            </w:r>
          </w:p>
        </w:tc>
        <w:tc>
          <w:tcPr>
            <w:tcW w:w="844" w:type="pct"/>
            <w:vAlign w:val="center"/>
          </w:tcPr>
          <w:p w14:paraId="5668418A">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评价标准(μg/m</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w:t>
            </w:r>
          </w:p>
        </w:tc>
        <w:tc>
          <w:tcPr>
            <w:tcW w:w="967" w:type="pct"/>
            <w:vAlign w:val="center"/>
          </w:tcPr>
          <w:p w14:paraId="1BC5D3FE">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最大地面空气质量浓度（μg/m³）</w:t>
            </w:r>
          </w:p>
        </w:tc>
        <w:tc>
          <w:tcPr>
            <w:tcW w:w="704" w:type="pct"/>
            <w:vAlign w:val="center"/>
          </w:tcPr>
          <w:p w14:paraId="2BCFE231">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最大浓度占标率（%）</w:t>
            </w:r>
          </w:p>
        </w:tc>
        <w:tc>
          <w:tcPr>
            <w:tcW w:w="465" w:type="pct"/>
            <w:vAlign w:val="center"/>
          </w:tcPr>
          <w:p w14:paraId="2F78142E">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D</w:t>
            </w:r>
            <w:r>
              <w:rPr>
                <w:rFonts w:ascii="Times New Roman" w:hAnsi="Times New Roman" w:cs="Times New Roman" w:eastAsiaTheme="minorEastAsia"/>
                <w:color w:val="auto"/>
                <w:w w:val="99"/>
                <w:kern w:val="2"/>
                <w:sz w:val="21"/>
                <w:szCs w:val="21"/>
                <w:highlight w:val="none"/>
                <w:vertAlign w:val="subscript"/>
              </w:rPr>
              <w:t>10%</w:t>
            </w:r>
          </w:p>
          <w:p w14:paraId="0C9F259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(m)</w:t>
            </w:r>
          </w:p>
        </w:tc>
      </w:tr>
      <w:tr w14:paraId="1C51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0" w:type="pct"/>
            <w:shd w:val="clear" w:color="auto" w:fill="auto"/>
            <w:vAlign w:val="center"/>
          </w:tcPr>
          <w:p w14:paraId="33B133CF">
            <w:pPr>
              <w:adjustRightInd w:val="0"/>
              <w:snapToGrid w:val="0"/>
              <w:spacing w:line="360" w:lineRule="exact"/>
              <w:jc w:val="center"/>
              <w:rPr>
                <w:rFonts w:hint="default" w:ascii="Times New Roman" w:hAnsi="Times New Roman" w:eastAsia="宋体" w:cs="Times New Roman"/>
                <w:color w:val="auto"/>
                <w:w w:val="99"/>
                <w:kern w:val="24"/>
                <w:sz w:val="21"/>
                <w:szCs w:val="21"/>
                <w:highlight w:val="none"/>
                <w:lang w:val="en-US" w:eastAsia="zh-CN" w:bidi="ar-SA"/>
              </w:rPr>
            </w:pPr>
            <w:r>
              <w:rPr>
                <w:rFonts w:hint="eastAsia" w:ascii="Times New Roman" w:hAnsi="Times New Roman" w:cs="Times New Roman"/>
                <w:color w:val="auto"/>
                <w:w w:val="99"/>
                <w:sz w:val="21"/>
                <w:szCs w:val="21"/>
                <w:highlight w:val="none"/>
              </w:rPr>
              <w:t>徐深</w:t>
            </w:r>
            <w:r>
              <w:rPr>
                <w:rFonts w:hint="eastAsia" w:ascii="Times New Roman" w:hAnsi="Times New Roman" w:cs="Times New Roman"/>
                <w:color w:val="auto"/>
                <w:w w:val="99"/>
                <w:sz w:val="21"/>
                <w:szCs w:val="21"/>
                <w:highlight w:val="none"/>
                <w:lang w:val="en-US" w:eastAsia="zh-CN"/>
              </w:rPr>
              <w:t>27-H1井场</w:t>
            </w:r>
          </w:p>
        </w:tc>
        <w:tc>
          <w:tcPr>
            <w:tcW w:w="798" w:type="pct"/>
            <w:vAlign w:val="center"/>
          </w:tcPr>
          <w:p w14:paraId="24E1AA6D">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NMHC</w:t>
            </w:r>
          </w:p>
        </w:tc>
        <w:tc>
          <w:tcPr>
            <w:tcW w:w="844" w:type="pct"/>
            <w:vAlign w:val="center"/>
          </w:tcPr>
          <w:p w14:paraId="2B854C9C">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2000</w:t>
            </w:r>
          </w:p>
        </w:tc>
        <w:tc>
          <w:tcPr>
            <w:tcW w:w="967" w:type="pct"/>
            <w:shd w:val="clear" w:color="auto" w:fill="auto"/>
            <w:vAlign w:val="center"/>
          </w:tcPr>
          <w:p w14:paraId="15ED5AFB">
            <w:pPr>
              <w:widowControl w:val="0"/>
              <w:spacing w:line="360" w:lineRule="exact"/>
              <w:jc w:val="center"/>
              <w:rPr>
                <w:rFonts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1033.5000</w:t>
            </w:r>
          </w:p>
        </w:tc>
        <w:tc>
          <w:tcPr>
            <w:tcW w:w="704" w:type="pct"/>
            <w:shd w:val="clear" w:color="auto" w:fill="auto"/>
            <w:vAlign w:val="center"/>
          </w:tcPr>
          <w:p w14:paraId="25564903">
            <w:pPr>
              <w:widowControl w:val="0"/>
              <w:spacing w:line="360" w:lineRule="exact"/>
              <w:jc w:val="center"/>
              <w:rPr>
                <w:rFonts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51.6750</w:t>
            </w:r>
          </w:p>
        </w:tc>
        <w:tc>
          <w:tcPr>
            <w:tcW w:w="465" w:type="pct"/>
            <w:shd w:val="clear" w:color="auto" w:fill="auto"/>
            <w:vAlign w:val="center"/>
          </w:tcPr>
          <w:p w14:paraId="5E799929">
            <w:pPr>
              <w:widowControl w:val="0"/>
              <w:spacing w:line="360" w:lineRule="exact"/>
              <w:jc w:val="center"/>
              <w:rPr>
                <w:rFonts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1775.0</w:t>
            </w:r>
          </w:p>
        </w:tc>
      </w:tr>
    </w:tbl>
    <w:p w14:paraId="270EF841">
      <w:pPr>
        <w:widowControl w:val="0"/>
        <w:spacing w:line="440" w:lineRule="exact"/>
        <w:ind w:firstLine="490" w:firstLineChars="200"/>
        <w:jc w:val="both"/>
        <w:rPr>
          <w:rFonts w:ascii="Times New Roman" w:hAnsi="Times New Roman" w:eastAsia="宋体" w:cs="Times New Roman"/>
          <w:color w:val="auto"/>
          <w:spacing w:val="4"/>
          <w:w w:val="99"/>
          <w:kern w:val="2"/>
          <w:position w:val="2"/>
          <w:sz w:val="24"/>
          <w:szCs w:val="24"/>
          <w:highlight w:val="none"/>
          <w:lang w:val="zh-CN" w:eastAsia="zh-CN" w:bidi="ar-SA"/>
        </w:rPr>
      </w:pPr>
      <w:r>
        <w:rPr>
          <w:rFonts w:ascii="Times New Roman" w:hAnsi="Times New Roman" w:eastAsia="宋体" w:cs="Times New Roman"/>
          <w:color w:val="auto"/>
          <w:spacing w:val="4"/>
          <w:w w:val="99"/>
          <w:kern w:val="2"/>
          <w:position w:val="2"/>
          <w:sz w:val="24"/>
          <w:szCs w:val="24"/>
          <w:highlight w:val="none"/>
          <w:lang w:val="zh-CN" w:eastAsia="zh-CN" w:bidi="ar-SA"/>
        </w:rPr>
        <w:t>《环境影响评价技术导则 大气环境》（HJ2.2-2018）中评价等级的划分原则见表2.7-</w:t>
      </w:r>
      <w:r>
        <w:rPr>
          <w:rFonts w:hint="eastAsia" w:ascii="Times New Roman" w:hAnsi="Times New Roman" w:cs="Times New Roman"/>
          <w:color w:val="auto"/>
          <w:spacing w:val="4"/>
          <w:w w:val="99"/>
          <w:kern w:val="2"/>
          <w:position w:val="2"/>
          <w:sz w:val="24"/>
          <w:szCs w:val="24"/>
          <w:highlight w:val="none"/>
          <w:lang w:val="en-US" w:eastAsia="zh-CN" w:bidi="ar-SA"/>
        </w:rPr>
        <w:t>4</w:t>
      </w:r>
      <w:r>
        <w:rPr>
          <w:rFonts w:ascii="Times New Roman" w:hAnsi="Times New Roman" w:eastAsia="宋体" w:cs="Times New Roman"/>
          <w:color w:val="auto"/>
          <w:spacing w:val="4"/>
          <w:w w:val="99"/>
          <w:kern w:val="2"/>
          <w:position w:val="2"/>
          <w:sz w:val="24"/>
          <w:szCs w:val="24"/>
          <w:highlight w:val="none"/>
          <w:lang w:val="zh-CN" w:eastAsia="zh-CN" w:bidi="ar-SA"/>
        </w:rPr>
        <w:t>。</w:t>
      </w:r>
    </w:p>
    <w:p w14:paraId="04568E1D">
      <w:pPr>
        <w:widowControl w:val="0"/>
        <w:spacing w:line="440" w:lineRule="exact"/>
        <w:ind w:firstLine="476" w:firstLineChars="200"/>
        <w:jc w:val="both"/>
        <w:rPr>
          <w:rFonts w:ascii="Times New Roman" w:hAnsi="Times New Roman" w:cs="Times New Roman" w:eastAsiaTheme="minorEastAsia"/>
          <w:color w:val="auto"/>
          <w:w w:val="99"/>
          <w:position w:val="2"/>
          <w:highlight w:val="none"/>
          <w:lang w:val="zh-CN" w:bidi="zh-CN"/>
        </w:rPr>
      </w:pPr>
      <w:r>
        <w:rPr>
          <w:rFonts w:ascii="Times New Roman" w:hAnsi="Times New Roman" w:cs="Times New Roman" w:eastAsiaTheme="minorEastAsia"/>
          <w:b/>
          <w:color w:val="auto"/>
          <w:w w:val="99"/>
          <w:highlight w:val="none"/>
          <w:lang w:val="zh-CN" w:bidi="zh-CN"/>
        </w:rPr>
        <w:t>表</w:t>
      </w:r>
      <w:r>
        <w:rPr>
          <w:rFonts w:ascii="Times New Roman" w:hAnsi="Times New Roman" w:cs="Times New Roman" w:eastAsiaTheme="minorEastAsia"/>
          <w:b/>
          <w:color w:val="auto"/>
          <w:w w:val="99"/>
          <w:highlight w:val="none"/>
          <w:lang w:bidi="zh-CN"/>
        </w:rPr>
        <w:t>2.7-</w:t>
      </w:r>
      <w:r>
        <w:rPr>
          <w:rFonts w:hint="eastAsia" w:ascii="Times New Roman" w:hAnsi="Times New Roman" w:cs="Times New Roman" w:eastAsiaTheme="minorEastAsia"/>
          <w:b/>
          <w:color w:val="auto"/>
          <w:w w:val="99"/>
          <w:highlight w:val="none"/>
          <w:lang w:val="en-US" w:bidi="zh-CN"/>
        </w:rPr>
        <w:t>4</w:t>
      </w:r>
      <w:r>
        <w:rPr>
          <w:rFonts w:ascii="Times New Roman" w:hAnsi="Times New Roman" w:cs="Times New Roman" w:eastAsiaTheme="minorEastAsia"/>
          <w:b/>
          <w:color w:val="auto"/>
          <w:w w:val="99"/>
          <w:highlight w:val="none"/>
          <w:lang w:bidi="zh-CN"/>
        </w:rPr>
        <w:t xml:space="preserve">    </w:t>
      </w:r>
      <w:r>
        <w:rPr>
          <w:rFonts w:ascii="Times New Roman" w:hAnsi="Times New Roman" w:cs="Times New Roman" w:eastAsiaTheme="minorEastAsia"/>
          <w:b/>
          <w:color w:val="auto"/>
          <w:w w:val="99"/>
          <w:position w:val="2"/>
          <w:highlight w:val="none"/>
          <w:lang w:val="zh-CN" w:bidi="zh-CN"/>
        </w:rPr>
        <w:t>评价等级判别表</w:t>
      </w:r>
    </w:p>
    <w:tbl>
      <w:tblPr>
        <w:tblStyle w:val="80"/>
        <w:tblW w:w="9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6"/>
        <w:gridCol w:w="4646"/>
      </w:tblGrid>
      <w:tr w14:paraId="75E5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6" w:type="dxa"/>
            <w:vAlign w:val="center"/>
          </w:tcPr>
          <w:p w14:paraId="0796A05E">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评价工作等级</w:t>
            </w:r>
          </w:p>
        </w:tc>
        <w:tc>
          <w:tcPr>
            <w:tcW w:w="4646" w:type="dxa"/>
            <w:vAlign w:val="center"/>
          </w:tcPr>
          <w:p w14:paraId="3892E19C">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烟尘</w:t>
            </w:r>
          </w:p>
        </w:tc>
      </w:tr>
      <w:tr w14:paraId="2B10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6" w:type="dxa"/>
            <w:vAlign w:val="center"/>
          </w:tcPr>
          <w:p w14:paraId="0E9AD934">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一级</w:t>
            </w:r>
          </w:p>
        </w:tc>
        <w:tc>
          <w:tcPr>
            <w:tcW w:w="4646" w:type="dxa"/>
            <w:vAlign w:val="center"/>
          </w:tcPr>
          <w:p w14:paraId="658B462D">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w:t>
            </w:r>
            <w:r>
              <w:rPr>
                <w:rFonts w:ascii="Times New Roman" w:hAnsi="Times New Roman" w:cs="Times New Roman" w:eastAsiaTheme="minorEastAsia"/>
                <w:color w:val="auto"/>
                <w:w w:val="99"/>
                <w:kern w:val="2"/>
                <w:sz w:val="21"/>
                <w:szCs w:val="21"/>
                <w:highlight w:val="none"/>
                <w:vertAlign w:val="subscript"/>
              </w:rPr>
              <w:t>max</w:t>
            </w:r>
            <w:r>
              <w:rPr>
                <w:rFonts w:ascii="Times New Roman" w:hAnsi="Times New Roman" w:cs="Times New Roman" w:eastAsiaTheme="minorEastAsia"/>
                <w:color w:val="auto"/>
                <w:w w:val="99"/>
                <w:kern w:val="2"/>
                <w:sz w:val="21"/>
                <w:szCs w:val="21"/>
                <w:highlight w:val="none"/>
              </w:rPr>
              <w:t>≥10%</w:t>
            </w:r>
          </w:p>
        </w:tc>
      </w:tr>
      <w:tr w14:paraId="71CA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6" w:type="dxa"/>
            <w:vAlign w:val="center"/>
          </w:tcPr>
          <w:p w14:paraId="257E9AEC">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二级</w:t>
            </w:r>
          </w:p>
        </w:tc>
        <w:tc>
          <w:tcPr>
            <w:tcW w:w="4646" w:type="dxa"/>
            <w:vAlign w:val="center"/>
          </w:tcPr>
          <w:p w14:paraId="050A28C1">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1%≤P</w:t>
            </w:r>
            <w:r>
              <w:rPr>
                <w:rFonts w:ascii="Times New Roman" w:hAnsi="Times New Roman" w:cs="Times New Roman" w:eastAsiaTheme="minorEastAsia"/>
                <w:color w:val="auto"/>
                <w:w w:val="99"/>
                <w:kern w:val="2"/>
                <w:sz w:val="21"/>
                <w:szCs w:val="21"/>
                <w:highlight w:val="none"/>
                <w:vertAlign w:val="subscript"/>
              </w:rPr>
              <w:t>max</w:t>
            </w:r>
            <w:r>
              <w:rPr>
                <w:rFonts w:ascii="Times New Roman" w:hAnsi="Times New Roman" w:cs="Times New Roman" w:eastAsiaTheme="minorEastAsia"/>
                <w:color w:val="auto"/>
                <w:w w:val="99"/>
                <w:kern w:val="2"/>
                <w:sz w:val="21"/>
                <w:szCs w:val="21"/>
                <w:highlight w:val="none"/>
              </w:rPr>
              <w:t>＜10%</w:t>
            </w:r>
          </w:p>
        </w:tc>
      </w:tr>
      <w:tr w14:paraId="4F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6" w:type="dxa"/>
            <w:vAlign w:val="center"/>
          </w:tcPr>
          <w:p w14:paraId="72272B7E">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三级</w:t>
            </w:r>
          </w:p>
        </w:tc>
        <w:tc>
          <w:tcPr>
            <w:tcW w:w="4646" w:type="dxa"/>
            <w:vAlign w:val="center"/>
          </w:tcPr>
          <w:p w14:paraId="63BC7164">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w:t>
            </w:r>
            <w:r>
              <w:rPr>
                <w:rFonts w:ascii="Times New Roman" w:hAnsi="Times New Roman" w:cs="Times New Roman" w:eastAsiaTheme="minorEastAsia"/>
                <w:color w:val="auto"/>
                <w:w w:val="99"/>
                <w:kern w:val="2"/>
                <w:sz w:val="21"/>
                <w:szCs w:val="21"/>
                <w:highlight w:val="none"/>
                <w:vertAlign w:val="subscript"/>
              </w:rPr>
              <w:t>max</w:t>
            </w:r>
            <w:r>
              <w:rPr>
                <w:rFonts w:ascii="Times New Roman" w:hAnsi="Times New Roman" w:cs="Times New Roman" w:eastAsiaTheme="minorEastAsia"/>
                <w:color w:val="auto"/>
                <w:w w:val="99"/>
                <w:kern w:val="2"/>
                <w:sz w:val="21"/>
                <w:szCs w:val="21"/>
                <w:highlight w:val="none"/>
              </w:rPr>
              <w:t>＜1%</w:t>
            </w:r>
          </w:p>
        </w:tc>
      </w:tr>
    </w:tbl>
    <w:p w14:paraId="38F21221">
      <w:pPr>
        <w:widowControl w:val="0"/>
        <w:tabs>
          <w:tab w:val="left" w:pos="1571"/>
        </w:tabs>
        <w:spacing w:line="440" w:lineRule="exact"/>
        <w:ind w:firstLine="490" w:firstLineChars="200"/>
        <w:jc w:val="both"/>
        <w:rPr>
          <w:rFonts w:ascii="Times New Roman" w:hAnsi="Times New Roman" w:eastAsia="宋体" w:cs="Times New Roman"/>
          <w:color w:val="auto"/>
          <w:spacing w:val="4"/>
          <w:w w:val="99"/>
          <w:kern w:val="2"/>
          <w:position w:val="2"/>
          <w:sz w:val="24"/>
          <w:szCs w:val="24"/>
          <w:highlight w:val="none"/>
          <w:lang w:val="zh-CN" w:eastAsia="zh-CN" w:bidi="ar-SA"/>
        </w:rPr>
      </w:pPr>
      <w:r>
        <w:rPr>
          <w:rFonts w:ascii="Times New Roman" w:hAnsi="Times New Roman" w:eastAsia="宋体" w:cs="Times New Roman"/>
          <w:color w:val="auto"/>
          <w:spacing w:val="4"/>
          <w:w w:val="99"/>
          <w:kern w:val="2"/>
          <w:position w:val="2"/>
          <w:sz w:val="24"/>
          <w:szCs w:val="24"/>
          <w:highlight w:val="none"/>
          <w:lang w:val="zh-CN" w:eastAsia="zh-CN" w:bidi="ar-SA"/>
        </w:rPr>
        <w:t xml:space="preserve"> 本项目P</w:t>
      </w:r>
      <w:r>
        <w:rPr>
          <w:rFonts w:ascii="Times New Roman" w:hAnsi="Times New Roman" w:eastAsia="宋体" w:cs="Times New Roman"/>
          <w:color w:val="auto"/>
          <w:spacing w:val="4"/>
          <w:w w:val="99"/>
          <w:kern w:val="2"/>
          <w:position w:val="2"/>
          <w:sz w:val="24"/>
          <w:szCs w:val="24"/>
          <w:highlight w:val="none"/>
          <w:vertAlign w:val="subscript"/>
          <w:lang w:val="zh-CN" w:eastAsia="zh-CN" w:bidi="ar-SA"/>
        </w:rPr>
        <w:t>max</w:t>
      </w:r>
      <w:r>
        <w:rPr>
          <w:rFonts w:ascii="Times New Roman" w:hAnsi="Times New Roman" w:eastAsia="宋体" w:cs="Times New Roman"/>
          <w:color w:val="auto"/>
          <w:spacing w:val="4"/>
          <w:w w:val="99"/>
          <w:kern w:val="2"/>
          <w:position w:val="2"/>
          <w:sz w:val="24"/>
          <w:szCs w:val="24"/>
          <w:highlight w:val="none"/>
          <w:lang w:val="zh-CN" w:eastAsia="zh-CN" w:bidi="ar-SA"/>
        </w:rPr>
        <w:t>最大值出现为徐深</w:t>
      </w:r>
      <w:r>
        <w:rPr>
          <w:rFonts w:hint="eastAsia" w:ascii="Times New Roman" w:hAnsi="Times New Roman" w:eastAsia="宋体" w:cs="Times New Roman"/>
          <w:color w:val="auto"/>
          <w:spacing w:val="4"/>
          <w:w w:val="99"/>
          <w:kern w:val="2"/>
          <w:position w:val="2"/>
          <w:sz w:val="24"/>
          <w:szCs w:val="24"/>
          <w:highlight w:val="none"/>
          <w:lang w:val="zh-CN" w:eastAsia="zh-CN" w:bidi="ar-SA"/>
        </w:rPr>
        <w:t>27-H1</w:t>
      </w:r>
      <w:r>
        <w:rPr>
          <w:rFonts w:hint="eastAsia" w:ascii="Times New Roman" w:hAnsi="Times New Roman" w:cs="Times New Roman"/>
          <w:color w:val="auto"/>
          <w:spacing w:val="4"/>
          <w:w w:val="99"/>
          <w:kern w:val="2"/>
          <w:position w:val="2"/>
          <w:sz w:val="24"/>
          <w:szCs w:val="24"/>
          <w:highlight w:val="none"/>
          <w:lang w:val="en-US" w:eastAsia="zh-CN" w:bidi="ar-SA"/>
        </w:rPr>
        <w:t>井场</w:t>
      </w:r>
      <w:r>
        <w:rPr>
          <w:rFonts w:ascii="Times New Roman" w:hAnsi="Times New Roman" w:eastAsia="宋体" w:cs="Times New Roman"/>
          <w:color w:val="auto"/>
          <w:spacing w:val="4"/>
          <w:w w:val="99"/>
          <w:kern w:val="2"/>
          <w:position w:val="2"/>
          <w:sz w:val="24"/>
          <w:szCs w:val="24"/>
          <w:highlight w:val="none"/>
          <w:lang w:val="zh-CN" w:eastAsia="zh-CN" w:bidi="ar-SA"/>
        </w:rPr>
        <w:t>排放的NMHC</w:t>
      </w:r>
      <w:r>
        <w:rPr>
          <w:rFonts w:ascii="Times New Roman" w:hAnsi="Times New Roman" w:eastAsia="宋体" w:cs="Times New Roman"/>
          <w:color w:val="auto"/>
          <w:spacing w:val="4"/>
          <w:w w:val="99"/>
          <w:kern w:val="2"/>
          <w:position w:val="2"/>
          <w:sz w:val="24"/>
          <w:szCs w:val="24"/>
          <w:highlight w:val="none"/>
          <w:vertAlign w:val="subscript"/>
          <w:lang w:val="zh-CN" w:eastAsia="zh-CN" w:bidi="ar-SA"/>
        </w:rPr>
        <w:t>Pmax</w:t>
      </w:r>
      <w:r>
        <w:rPr>
          <w:rFonts w:ascii="Times New Roman" w:hAnsi="Times New Roman" w:eastAsia="宋体" w:cs="Times New Roman"/>
          <w:color w:val="auto"/>
          <w:spacing w:val="4"/>
          <w:w w:val="99"/>
          <w:kern w:val="2"/>
          <w:position w:val="2"/>
          <w:sz w:val="24"/>
          <w:szCs w:val="24"/>
          <w:highlight w:val="none"/>
          <w:lang w:val="zh-CN" w:eastAsia="zh-CN" w:bidi="ar-SA"/>
        </w:rPr>
        <w:t>值为</w:t>
      </w:r>
      <w:r>
        <w:rPr>
          <w:rFonts w:hint="eastAsia" w:ascii="Times New Roman" w:hAnsi="Times New Roman" w:cs="Times New Roman"/>
          <w:color w:val="auto"/>
          <w:spacing w:val="4"/>
          <w:w w:val="99"/>
          <w:kern w:val="2"/>
          <w:position w:val="2"/>
          <w:sz w:val="24"/>
          <w:szCs w:val="24"/>
          <w:highlight w:val="none"/>
          <w:lang w:val="en-US" w:eastAsia="zh-CN" w:bidi="ar-SA"/>
        </w:rPr>
        <w:t>81.79</w:t>
      </w:r>
      <w:r>
        <w:rPr>
          <w:rFonts w:ascii="Times New Roman" w:hAnsi="Times New Roman" w:eastAsia="宋体" w:cs="Times New Roman"/>
          <w:color w:val="auto"/>
          <w:spacing w:val="4"/>
          <w:w w:val="99"/>
          <w:kern w:val="2"/>
          <w:position w:val="2"/>
          <w:sz w:val="24"/>
          <w:szCs w:val="24"/>
          <w:highlight w:val="none"/>
          <w:lang w:val="zh-CN" w:eastAsia="zh-CN" w:bidi="ar-SA"/>
        </w:rPr>
        <w:t>%，Cmax为</w:t>
      </w:r>
      <w:r>
        <w:rPr>
          <w:rFonts w:hint="eastAsia" w:ascii="Times New Roman" w:hAnsi="Times New Roman" w:cs="Times New Roman"/>
          <w:color w:val="auto"/>
          <w:spacing w:val="4"/>
          <w:w w:val="99"/>
          <w:kern w:val="2"/>
          <w:position w:val="2"/>
          <w:sz w:val="24"/>
          <w:szCs w:val="24"/>
          <w:highlight w:val="none"/>
          <w:lang w:val="en-US" w:eastAsia="zh-CN" w:bidi="ar-SA"/>
        </w:rPr>
        <w:t>1635.8</w:t>
      </w:r>
      <w:r>
        <w:rPr>
          <w:rFonts w:ascii="Times New Roman" w:hAnsi="Times New Roman" w:eastAsia="宋体" w:cs="Times New Roman"/>
          <w:color w:val="auto"/>
          <w:spacing w:val="4"/>
          <w:w w:val="99"/>
          <w:kern w:val="2"/>
          <w:position w:val="2"/>
          <w:sz w:val="24"/>
          <w:szCs w:val="24"/>
          <w:highlight w:val="none"/>
          <w:lang w:val="zh-CN" w:eastAsia="zh-CN" w:bidi="ar-SA"/>
        </w:rPr>
        <w:t>μg/</w:t>
      </w:r>
      <w:r>
        <w:rPr>
          <w:rFonts w:hint="eastAsia" w:ascii="Times New Roman" w:hAnsi="Times New Roman" w:eastAsia="宋体" w:cs="Times New Roman"/>
          <w:color w:val="auto"/>
          <w:spacing w:val="4"/>
          <w:w w:val="99"/>
          <w:kern w:val="2"/>
          <w:position w:val="2"/>
          <w:sz w:val="24"/>
          <w:szCs w:val="24"/>
          <w:highlight w:val="none"/>
          <w:lang w:val="en-US" w:eastAsia="zh-CN" w:bidi="ar-SA"/>
        </w:rPr>
        <w:t>m</w:t>
      </w:r>
      <w:r>
        <w:rPr>
          <w:rFonts w:hint="eastAsia" w:ascii="Times New Roman" w:hAnsi="Times New Roman" w:eastAsia="宋体" w:cs="Times New Roman"/>
          <w:color w:val="auto"/>
          <w:spacing w:val="4"/>
          <w:w w:val="99"/>
          <w:kern w:val="2"/>
          <w:position w:val="2"/>
          <w:sz w:val="24"/>
          <w:szCs w:val="24"/>
          <w:highlight w:val="none"/>
          <w:vertAlign w:val="superscript"/>
          <w:lang w:val="en-US" w:eastAsia="zh-CN" w:bidi="ar-SA"/>
        </w:rPr>
        <w:t>3</w:t>
      </w:r>
      <w:r>
        <w:rPr>
          <w:rFonts w:hint="eastAsia" w:ascii="Times New Roman" w:hAnsi="Times New Roman" w:eastAsia="宋体" w:cs="Times New Roman"/>
          <w:color w:val="auto"/>
          <w:spacing w:val="4"/>
          <w:w w:val="99"/>
          <w:kern w:val="2"/>
          <w:position w:val="2"/>
          <w:sz w:val="24"/>
          <w:szCs w:val="24"/>
          <w:highlight w:val="none"/>
          <w:lang w:val="en-US" w:eastAsia="zh-CN" w:bidi="ar-SA"/>
        </w:rPr>
        <w:t>，</w:t>
      </w:r>
      <w:r>
        <w:rPr>
          <w:rFonts w:ascii="Times New Roman" w:hAnsi="Times New Roman" w:eastAsia="宋体" w:cs="Times New Roman"/>
          <w:color w:val="auto"/>
          <w:spacing w:val="4"/>
          <w:w w:val="99"/>
          <w:kern w:val="2"/>
          <w:position w:val="2"/>
          <w:sz w:val="24"/>
          <w:szCs w:val="24"/>
          <w:highlight w:val="none"/>
          <w:lang w:val="zh-CN" w:eastAsia="zh-CN" w:bidi="ar-SA"/>
        </w:rPr>
        <w:t>D</w:t>
      </w:r>
      <w:r>
        <w:rPr>
          <w:rFonts w:ascii="Times New Roman" w:hAnsi="Times New Roman" w:eastAsia="宋体" w:cs="Times New Roman"/>
          <w:color w:val="auto"/>
          <w:spacing w:val="4"/>
          <w:w w:val="99"/>
          <w:kern w:val="2"/>
          <w:position w:val="2"/>
          <w:sz w:val="24"/>
          <w:szCs w:val="24"/>
          <w:highlight w:val="none"/>
          <w:vertAlign w:val="subscript"/>
          <w:lang w:val="zh-CN" w:eastAsia="zh-CN" w:bidi="ar-SA"/>
        </w:rPr>
        <w:t>10%</w:t>
      </w:r>
      <w:r>
        <w:rPr>
          <w:rFonts w:ascii="Times New Roman" w:hAnsi="Times New Roman" w:eastAsia="宋体" w:cs="Times New Roman"/>
          <w:color w:val="auto"/>
          <w:spacing w:val="4"/>
          <w:w w:val="99"/>
          <w:kern w:val="2"/>
          <w:position w:val="2"/>
          <w:sz w:val="24"/>
          <w:szCs w:val="24"/>
          <w:highlight w:val="none"/>
          <w:lang w:val="zh-CN" w:eastAsia="zh-CN" w:bidi="ar-SA"/>
        </w:rPr>
        <w:t>为</w:t>
      </w:r>
      <w:r>
        <w:rPr>
          <w:rFonts w:hint="eastAsia" w:ascii="Times New Roman" w:hAnsi="Times New Roman" w:cs="Times New Roman"/>
          <w:color w:val="auto"/>
          <w:spacing w:val="4"/>
          <w:w w:val="99"/>
          <w:kern w:val="2"/>
          <w:position w:val="2"/>
          <w:sz w:val="24"/>
          <w:szCs w:val="24"/>
          <w:highlight w:val="none"/>
          <w:lang w:val="en-US" w:eastAsia="zh-CN" w:bidi="ar-SA"/>
        </w:rPr>
        <w:t>1775.0</w:t>
      </w:r>
      <w:r>
        <w:rPr>
          <w:rFonts w:ascii="Times New Roman" w:hAnsi="Times New Roman" w:eastAsia="宋体" w:cs="Times New Roman"/>
          <w:color w:val="auto"/>
          <w:spacing w:val="4"/>
          <w:w w:val="99"/>
          <w:kern w:val="2"/>
          <w:position w:val="2"/>
          <w:sz w:val="24"/>
          <w:szCs w:val="24"/>
          <w:highlight w:val="none"/>
          <w:lang w:val="zh-CN" w:eastAsia="zh-CN" w:bidi="ar-SA"/>
        </w:rPr>
        <w:t>m。根据《环境影响评价技术导则 大气环境》（HJ2.2-2018）分级判据，确定本项目大气环境影响评价工作等级为</w:t>
      </w:r>
      <w:r>
        <w:rPr>
          <w:rFonts w:hint="eastAsia" w:ascii="Times New Roman" w:hAnsi="Times New Roman" w:cs="Times New Roman"/>
          <w:color w:val="auto"/>
          <w:spacing w:val="4"/>
          <w:w w:val="99"/>
          <w:kern w:val="2"/>
          <w:position w:val="2"/>
          <w:sz w:val="24"/>
          <w:szCs w:val="24"/>
          <w:highlight w:val="none"/>
          <w:lang w:val="en-US" w:eastAsia="zh-CN" w:bidi="ar-SA"/>
        </w:rPr>
        <w:t>一</w:t>
      </w:r>
      <w:r>
        <w:rPr>
          <w:rFonts w:ascii="Times New Roman" w:hAnsi="Times New Roman" w:eastAsia="宋体" w:cs="Times New Roman"/>
          <w:color w:val="auto"/>
          <w:spacing w:val="4"/>
          <w:w w:val="99"/>
          <w:kern w:val="2"/>
          <w:position w:val="2"/>
          <w:sz w:val="24"/>
          <w:szCs w:val="24"/>
          <w:highlight w:val="none"/>
          <w:lang w:val="zh-CN" w:eastAsia="zh-CN" w:bidi="ar-SA"/>
        </w:rPr>
        <w:t>级。</w:t>
      </w:r>
    </w:p>
    <w:p w14:paraId="11FB8441">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2.7.1.2评价范围</w:t>
      </w:r>
    </w:p>
    <w:p w14:paraId="0A6CA586">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GB" w:eastAsia="zh-CN" w:bidi="ar-SA"/>
        </w:rPr>
      </w:pPr>
      <w:r>
        <w:rPr>
          <w:rFonts w:hint="eastAsia" w:ascii="Times New Roman" w:hAnsi="Times New Roman" w:eastAsia="宋体" w:cs="Times New Roman"/>
          <w:color w:val="auto"/>
          <w:w w:val="99"/>
          <w:sz w:val="24"/>
          <w:szCs w:val="24"/>
          <w:highlight w:val="none"/>
          <w:lang w:val="en-GB" w:eastAsia="zh-CN" w:bidi="ar-SA"/>
        </w:rPr>
        <w:t>本项目大气评价等级为一级，根据《环境影响评价技术导则 大气环境》（HJ2.2-2018）</w:t>
      </w:r>
      <w:r>
        <w:rPr>
          <w:rFonts w:hint="eastAsia" w:ascii="Times New Roman" w:hAnsi="Times New Roman" w:eastAsia="宋体" w:cs="Times New Roman"/>
          <w:color w:val="auto"/>
          <w:w w:val="99"/>
          <w:sz w:val="24"/>
          <w:szCs w:val="24"/>
          <w:highlight w:val="none"/>
          <w:lang w:val="zh-CN" w:eastAsia="zh-CN" w:bidi="ar-SA"/>
        </w:rPr>
        <w:t>，大气一级评价项目自厂界外延D10%的矩形区域作为大气环境影响评价范围，当D</w:t>
      </w:r>
      <w:r>
        <w:rPr>
          <w:rFonts w:hint="eastAsia" w:ascii="Times New Roman" w:hAnsi="Times New Roman" w:eastAsia="宋体" w:cs="Times New Roman"/>
          <w:color w:val="auto"/>
          <w:w w:val="99"/>
          <w:sz w:val="24"/>
          <w:szCs w:val="24"/>
          <w:highlight w:val="none"/>
          <w:vertAlign w:val="subscript"/>
          <w:lang w:val="zh-CN" w:eastAsia="zh-CN" w:bidi="ar-SA"/>
        </w:rPr>
        <w:t>10%</w:t>
      </w:r>
      <w:r>
        <w:rPr>
          <w:rFonts w:hint="eastAsia" w:ascii="Times New Roman" w:hAnsi="Times New Roman" w:eastAsia="宋体" w:cs="Times New Roman"/>
          <w:color w:val="auto"/>
          <w:w w:val="99"/>
          <w:sz w:val="24"/>
          <w:szCs w:val="24"/>
          <w:highlight w:val="none"/>
          <w:lang w:val="zh-CN" w:eastAsia="zh-CN" w:bidi="ar-SA"/>
        </w:rPr>
        <w:t>小于2.5km时，评价范围边长取5km，</w:t>
      </w:r>
      <w:r>
        <w:rPr>
          <w:rFonts w:hint="eastAsia" w:ascii="Times New Roman" w:hAnsi="Times New Roman" w:eastAsia="宋体" w:cs="Times New Roman"/>
          <w:color w:val="auto"/>
          <w:w w:val="99"/>
          <w:sz w:val="24"/>
          <w:szCs w:val="24"/>
          <w:highlight w:val="none"/>
          <w:lang w:val="en-US" w:eastAsia="zh-CN" w:bidi="ar-SA"/>
        </w:rPr>
        <w:t>故</w:t>
      </w:r>
      <w:r>
        <w:rPr>
          <w:rFonts w:ascii="Times New Roman" w:hAnsi="Times New Roman" w:eastAsia="宋体" w:cs="Times New Roman"/>
          <w:color w:val="auto"/>
          <w:spacing w:val="4"/>
          <w:w w:val="99"/>
          <w:kern w:val="2"/>
          <w:position w:val="2"/>
          <w:sz w:val="24"/>
          <w:szCs w:val="24"/>
          <w:highlight w:val="none"/>
          <w:lang w:val="en-US" w:eastAsia="zh-CN" w:bidi="ar-SA"/>
        </w:rPr>
        <w:t>本项目大气</w:t>
      </w:r>
      <w:r>
        <w:rPr>
          <w:rFonts w:ascii="Times New Roman" w:hAnsi="Times New Roman" w:eastAsia="宋体" w:cs="Times New Roman"/>
          <w:color w:val="auto"/>
          <w:spacing w:val="4"/>
          <w:w w:val="99"/>
          <w:kern w:val="2"/>
          <w:position w:val="2"/>
          <w:sz w:val="24"/>
          <w:szCs w:val="24"/>
          <w:highlight w:val="none"/>
          <w:lang w:val="en-GB" w:eastAsia="zh-CN" w:bidi="ar-SA"/>
        </w:rPr>
        <w:t>评价范围为</w:t>
      </w:r>
      <w:r>
        <w:rPr>
          <w:rFonts w:ascii="Times New Roman" w:hAnsi="Times New Roman" w:eastAsia="宋体" w:cs="Times New Roman"/>
          <w:color w:val="auto"/>
          <w:spacing w:val="4"/>
          <w:w w:val="99"/>
          <w:kern w:val="2"/>
          <w:position w:val="2"/>
          <w:sz w:val="24"/>
          <w:szCs w:val="24"/>
          <w:highlight w:val="none"/>
          <w:lang w:val="en-US" w:eastAsia="zh-CN" w:bidi="ar-SA"/>
        </w:rPr>
        <w:t>拟建井场</w:t>
      </w:r>
      <w:r>
        <w:rPr>
          <w:rFonts w:hint="eastAsia" w:ascii="Times New Roman" w:hAnsi="Times New Roman" w:eastAsia="宋体" w:cs="Times New Roman"/>
          <w:color w:val="auto"/>
          <w:spacing w:val="4"/>
          <w:w w:val="99"/>
          <w:kern w:val="2"/>
          <w:position w:val="2"/>
          <w:sz w:val="24"/>
          <w:szCs w:val="24"/>
          <w:highlight w:val="none"/>
          <w:lang w:val="en-US" w:eastAsia="zh-CN" w:bidi="ar-SA"/>
        </w:rPr>
        <w:t>为中心边长5km</w:t>
      </w:r>
      <w:r>
        <w:rPr>
          <w:rFonts w:ascii="Times New Roman" w:hAnsi="Times New Roman" w:eastAsia="宋体" w:cs="Times New Roman"/>
          <w:color w:val="auto"/>
          <w:spacing w:val="4"/>
          <w:w w:val="99"/>
          <w:kern w:val="2"/>
          <w:position w:val="2"/>
          <w:sz w:val="24"/>
          <w:szCs w:val="24"/>
          <w:highlight w:val="none"/>
          <w:lang w:val="en-US" w:eastAsia="zh-CN" w:bidi="ar-SA"/>
        </w:rPr>
        <w:t>的矩形区域的包络范围，评价范围总面积约</w:t>
      </w:r>
      <w:r>
        <w:rPr>
          <w:rFonts w:hint="eastAsia" w:ascii="Times New Roman" w:hAnsi="Times New Roman" w:cs="Times New Roman"/>
          <w:color w:val="auto"/>
          <w:spacing w:val="4"/>
          <w:w w:val="99"/>
          <w:kern w:val="2"/>
          <w:position w:val="2"/>
          <w:sz w:val="24"/>
          <w:szCs w:val="24"/>
          <w:highlight w:val="none"/>
          <w:lang w:val="en-US" w:eastAsia="zh-CN" w:bidi="ar-SA"/>
        </w:rPr>
        <w:t>25.35</w:t>
      </w:r>
      <w:r>
        <w:rPr>
          <w:rFonts w:ascii="Times New Roman" w:hAnsi="Times New Roman" w:eastAsia="宋体" w:cs="Times New Roman"/>
          <w:color w:val="auto"/>
          <w:spacing w:val="4"/>
          <w:w w:val="99"/>
          <w:kern w:val="2"/>
          <w:position w:val="2"/>
          <w:sz w:val="24"/>
          <w:szCs w:val="24"/>
          <w:highlight w:val="none"/>
          <w:lang w:val="en-US" w:eastAsia="zh-CN" w:bidi="ar-SA"/>
        </w:rPr>
        <w:t>km</w:t>
      </w:r>
      <w:r>
        <w:rPr>
          <w:rFonts w:ascii="Times New Roman" w:hAnsi="Times New Roman" w:eastAsia="宋体" w:cs="Times New Roman"/>
          <w:color w:val="auto"/>
          <w:spacing w:val="4"/>
          <w:w w:val="99"/>
          <w:kern w:val="2"/>
          <w:position w:val="2"/>
          <w:sz w:val="24"/>
          <w:szCs w:val="24"/>
          <w:highlight w:val="none"/>
          <w:vertAlign w:val="superscript"/>
          <w:lang w:val="en-US" w:eastAsia="zh-CN" w:bidi="ar-SA"/>
        </w:rPr>
        <w:t>2</w:t>
      </w:r>
      <w:r>
        <w:rPr>
          <w:rFonts w:ascii="Times New Roman" w:hAnsi="Times New Roman" w:eastAsia="宋体" w:cs="Times New Roman"/>
          <w:color w:val="auto"/>
          <w:spacing w:val="4"/>
          <w:w w:val="99"/>
          <w:kern w:val="2"/>
          <w:position w:val="2"/>
          <w:sz w:val="24"/>
          <w:szCs w:val="24"/>
          <w:highlight w:val="none"/>
          <w:lang w:val="en-GB" w:eastAsia="zh-CN" w:bidi="ar-SA"/>
        </w:rPr>
        <w:t>。</w:t>
      </w:r>
    </w:p>
    <w:p w14:paraId="1372E371">
      <w:pPr>
        <w:pStyle w:val="7"/>
        <w:widowControl w:val="0"/>
        <w:spacing w:before="60" w:after="60" w:line="440" w:lineRule="exact"/>
        <w:jc w:val="both"/>
        <w:rPr>
          <w:rFonts w:eastAsia="宋体"/>
          <w:b/>
          <w:color w:val="auto"/>
          <w:w w:val="99"/>
          <w:kern w:val="2"/>
          <w:sz w:val="24"/>
          <w:szCs w:val="24"/>
          <w:highlight w:val="none"/>
        </w:rPr>
      </w:pPr>
      <w:bookmarkStart w:id="295" w:name="_Toc24214"/>
      <w:bookmarkStart w:id="296" w:name="_Toc67860105"/>
      <w:bookmarkStart w:id="297" w:name="_Toc76976220"/>
      <w:bookmarkStart w:id="298" w:name="_Toc78816437"/>
      <w:bookmarkStart w:id="299" w:name="_Toc77067636"/>
      <w:bookmarkStart w:id="300" w:name="_Toc57976651"/>
      <w:bookmarkStart w:id="301" w:name="_Toc80971354"/>
      <w:bookmarkStart w:id="302" w:name="_Toc57707896"/>
      <w:bookmarkStart w:id="303" w:name="_Toc80588232"/>
      <w:bookmarkStart w:id="304" w:name="_Toc70050152"/>
      <w:bookmarkStart w:id="305" w:name="_Toc186444252"/>
      <w:bookmarkStart w:id="306" w:name="_Toc57203226"/>
      <w:bookmarkStart w:id="307" w:name="_Toc61597198"/>
      <w:bookmarkStart w:id="308" w:name="_Toc83209449"/>
      <w:bookmarkStart w:id="309" w:name="_Toc17898141"/>
      <w:r>
        <w:rPr>
          <w:rFonts w:eastAsia="宋体"/>
          <w:b/>
          <w:color w:val="auto"/>
          <w:w w:val="99"/>
          <w:kern w:val="2"/>
          <w:sz w:val="24"/>
          <w:szCs w:val="24"/>
          <w:highlight w:val="none"/>
        </w:rPr>
        <w:t>2.7.2地表水</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398C2837">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2.7.2.1评价等级</w:t>
      </w:r>
    </w:p>
    <w:p w14:paraId="50EF885E">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《环境影响评价技术导则 地表水环境》（HJ2.3-2018）规定，建设项目地表水环境影响评价等级按照影响类型、排放方式、排放量或影响情况、受纳水体环境质量现状、水环境保护目标等综合确定。</w:t>
      </w:r>
    </w:p>
    <w:p w14:paraId="104F5571">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本项目为水污染影响型建设项目，其分级是根据排放方式和废水排放量划定排放等级。</w:t>
      </w:r>
    </w:p>
    <w:p w14:paraId="4E8D9AFA">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直接排放建设项目评价等级分为一级、二级和三级A，根据废水排放量、水污染物污染当量数确定；间接排放建设项目评价等级为三级B。</w:t>
      </w:r>
    </w:p>
    <w:p w14:paraId="297F5B3D">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地表水环境评价等级判据见表2.7-</w:t>
      </w:r>
      <w:r>
        <w:rPr>
          <w:rFonts w:hint="eastAsia" w:ascii="Times New Roman" w:hAnsi="Times New Roman" w:cs="Times New Roman"/>
          <w:color w:val="auto"/>
          <w:spacing w:val="4"/>
          <w:w w:val="99"/>
          <w:kern w:val="2"/>
          <w:position w:val="2"/>
          <w:sz w:val="24"/>
          <w:szCs w:val="24"/>
          <w:highlight w:val="none"/>
          <w:lang w:val="en-US" w:eastAsia="zh-CN" w:bidi="ar-SA"/>
        </w:rPr>
        <w:t>5</w:t>
      </w:r>
      <w:r>
        <w:rPr>
          <w:rFonts w:ascii="Times New Roman" w:hAnsi="Times New Roman" w:eastAsia="宋体" w:cs="Times New Roman"/>
          <w:color w:val="auto"/>
          <w:spacing w:val="4"/>
          <w:w w:val="99"/>
          <w:kern w:val="2"/>
          <w:position w:val="2"/>
          <w:sz w:val="24"/>
          <w:szCs w:val="24"/>
          <w:highlight w:val="none"/>
          <w:lang w:val="en-US" w:eastAsia="zh-CN" w:bidi="ar-SA"/>
        </w:rPr>
        <w:t>。</w:t>
      </w:r>
    </w:p>
    <w:p w14:paraId="380480C6">
      <w:pPr>
        <w:pStyle w:val="153"/>
        <w:widowControl w:val="0"/>
        <w:spacing w:line="440" w:lineRule="exact"/>
        <w:ind w:firstLine="478"/>
        <w:jc w:val="both"/>
        <w:rPr>
          <w:rFonts w:ascii="Times New Roman" w:hAnsi="Times New Roman" w:eastAsiaTheme="minorEastAsia"/>
          <w:snapToGrid w:val="0"/>
          <w:color w:val="auto"/>
          <w:w w:val="99"/>
          <w:highlight w:val="none"/>
        </w:rPr>
      </w:pPr>
      <w:r>
        <w:rPr>
          <w:rFonts w:ascii="Times New Roman" w:hAnsi="Times New Roman" w:eastAsiaTheme="minorEastAsia"/>
          <w:b/>
          <w:snapToGrid w:val="0"/>
          <w:color w:val="auto"/>
          <w:w w:val="99"/>
          <w:highlight w:val="none"/>
        </w:rPr>
        <w:t>表2.7-</w:t>
      </w:r>
      <w:r>
        <w:rPr>
          <w:rFonts w:hint="eastAsia" w:ascii="Times New Roman" w:hAnsi="Times New Roman" w:eastAsiaTheme="minorEastAsia"/>
          <w:b/>
          <w:snapToGrid w:val="0"/>
          <w:color w:val="auto"/>
          <w:w w:val="99"/>
          <w:highlight w:val="none"/>
          <w:lang w:val="en-US" w:eastAsia="zh-CN"/>
        </w:rPr>
        <w:t>5</w:t>
      </w:r>
      <w:r>
        <w:rPr>
          <w:rFonts w:ascii="Times New Roman" w:hAnsi="Times New Roman" w:eastAsiaTheme="minorEastAsia"/>
          <w:b/>
          <w:color w:val="auto"/>
          <w:w w:val="99"/>
          <w:kern w:val="2"/>
          <w:highlight w:val="none"/>
        </w:rPr>
        <w:t xml:space="preserve">    地表水环境影响评价分级判据</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9"/>
        <w:gridCol w:w="1425"/>
        <w:gridCol w:w="5223"/>
      </w:tblGrid>
      <w:tr w14:paraId="4219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21" w:type="pct"/>
            <w:vMerge w:val="restart"/>
            <w:vAlign w:val="center"/>
          </w:tcPr>
          <w:p w14:paraId="1FCD0D6A">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评价等级</w:t>
            </w:r>
          </w:p>
        </w:tc>
        <w:tc>
          <w:tcPr>
            <w:tcW w:w="3579" w:type="pct"/>
            <w:gridSpan w:val="2"/>
            <w:vAlign w:val="center"/>
          </w:tcPr>
          <w:p w14:paraId="18885B0D">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判定依据</w:t>
            </w:r>
          </w:p>
        </w:tc>
      </w:tr>
      <w:tr w14:paraId="6129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vAlign w:val="center"/>
          </w:tcPr>
          <w:p w14:paraId="6F773521">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p>
        </w:tc>
        <w:tc>
          <w:tcPr>
            <w:tcW w:w="767" w:type="pct"/>
            <w:vAlign w:val="center"/>
          </w:tcPr>
          <w:p w14:paraId="4B3E172B">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排放方式</w:t>
            </w:r>
          </w:p>
        </w:tc>
        <w:tc>
          <w:tcPr>
            <w:tcW w:w="2812" w:type="pct"/>
            <w:vAlign w:val="center"/>
          </w:tcPr>
          <w:p w14:paraId="280BA0EB">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废水排放量Q/（m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/d）;水污染物当量数W/（无量纲）</w:t>
            </w:r>
          </w:p>
        </w:tc>
      </w:tr>
      <w:tr w14:paraId="2B08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Align w:val="center"/>
          </w:tcPr>
          <w:p w14:paraId="008EC19E">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一级</w:t>
            </w:r>
          </w:p>
        </w:tc>
        <w:tc>
          <w:tcPr>
            <w:tcW w:w="767" w:type="pct"/>
            <w:vAlign w:val="center"/>
          </w:tcPr>
          <w:p w14:paraId="7FA67CE6">
            <w:pPr>
              <w:pStyle w:val="59"/>
              <w:autoSpaceDE w:val="0"/>
              <w:adjustRightInd w:val="0"/>
              <w:snapToGrid w:val="0"/>
              <w:spacing w:line="320" w:lineRule="exact"/>
              <w:ind w:left="0" w:firstLine="0"/>
              <w:jc w:val="center"/>
              <w:textAlignment w:val="center"/>
              <w:rPr>
                <w:rFonts w:hint="default" w:ascii="Times New Roman" w:eastAsiaTheme="minorEastAsia"/>
                <w:snapToGrid w:val="0"/>
                <w:color w:val="auto"/>
                <w:w w:val="99"/>
                <w:sz w:val="21"/>
                <w:highlight w:val="none"/>
                <w:lang w:val="zh-CN"/>
              </w:rPr>
            </w:pPr>
            <w:r>
              <w:rPr>
                <w:rFonts w:hint="default" w:ascii="Times New Roman" w:eastAsiaTheme="minorEastAsia"/>
                <w:snapToGrid w:val="0"/>
                <w:color w:val="auto"/>
                <w:w w:val="99"/>
                <w:sz w:val="21"/>
                <w:highlight w:val="none"/>
                <w:lang w:val="zh-CN"/>
              </w:rPr>
              <w:t>直接排放</w:t>
            </w:r>
          </w:p>
        </w:tc>
        <w:tc>
          <w:tcPr>
            <w:tcW w:w="2812" w:type="pct"/>
            <w:vAlign w:val="center"/>
          </w:tcPr>
          <w:p w14:paraId="31126DBB">
            <w:pPr>
              <w:pStyle w:val="59"/>
              <w:autoSpaceDE w:val="0"/>
              <w:adjustRightInd w:val="0"/>
              <w:snapToGrid w:val="0"/>
              <w:spacing w:line="320" w:lineRule="exact"/>
              <w:ind w:left="0" w:firstLine="0"/>
              <w:jc w:val="center"/>
              <w:textAlignment w:val="center"/>
              <w:rPr>
                <w:rFonts w:hint="default" w:ascii="Times New Roman" w:eastAsiaTheme="minorEastAsia"/>
                <w:snapToGrid w:val="0"/>
                <w:color w:val="auto"/>
                <w:w w:val="99"/>
                <w:sz w:val="21"/>
                <w:highlight w:val="none"/>
                <w:lang w:val="zh-CN"/>
              </w:rPr>
            </w:pPr>
            <w:r>
              <w:rPr>
                <w:rFonts w:hint="default" w:ascii="Times New Roman" w:eastAsiaTheme="minorEastAsia"/>
                <w:snapToGrid w:val="0"/>
                <w:color w:val="auto"/>
                <w:w w:val="99"/>
                <w:sz w:val="21"/>
                <w:highlight w:val="none"/>
                <w:lang w:val="zh-CN"/>
              </w:rPr>
              <w:t>Q≥20000或W≥600000</w:t>
            </w:r>
          </w:p>
        </w:tc>
      </w:tr>
      <w:tr w14:paraId="1212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Align w:val="center"/>
          </w:tcPr>
          <w:p w14:paraId="7D422A4A">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二级</w:t>
            </w:r>
          </w:p>
        </w:tc>
        <w:tc>
          <w:tcPr>
            <w:tcW w:w="767" w:type="pct"/>
            <w:vAlign w:val="center"/>
          </w:tcPr>
          <w:p w14:paraId="6E5D5FD3">
            <w:pPr>
              <w:spacing w:line="320" w:lineRule="exact"/>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snapToGrid w:val="0"/>
                <w:color w:val="auto"/>
                <w:w w:val="99"/>
                <w:sz w:val="21"/>
                <w:highlight w:val="none"/>
                <w:lang w:val="zh-CN"/>
              </w:rPr>
              <w:t>直接排放</w:t>
            </w:r>
          </w:p>
        </w:tc>
        <w:tc>
          <w:tcPr>
            <w:tcW w:w="2812" w:type="pct"/>
            <w:vAlign w:val="center"/>
          </w:tcPr>
          <w:p w14:paraId="0F32271A">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其他</w:t>
            </w:r>
          </w:p>
        </w:tc>
      </w:tr>
      <w:tr w14:paraId="3016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Align w:val="center"/>
          </w:tcPr>
          <w:p w14:paraId="77D8A509">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三级A</w:t>
            </w:r>
          </w:p>
        </w:tc>
        <w:tc>
          <w:tcPr>
            <w:tcW w:w="767" w:type="pct"/>
            <w:vAlign w:val="center"/>
          </w:tcPr>
          <w:p w14:paraId="4D4054F6">
            <w:pPr>
              <w:spacing w:line="320" w:lineRule="exact"/>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snapToGrid w:val="0"/>
                <w:color w:val="auto"/>
                <w:w w:val="99"/>
                <w:sz w:val="21"/>
                <w:highlight w:val="none"/>
                <w:lang w:val="zh-CN"/>
              </w:rPr>
              <w:t>直接排放</w:t>
            </w:r>
          </w:p>
        </w:tc>
        <w:tc>
          <w:tcPr>
            <w:tcW w:w="2812" w:type="pct"/>
            <w:vAlign w:val="center"/>
          </w:tcPr>
          <w:p w14:paraId="38084399">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Q＜200且W＜6000</w:t>
            </w:r>
          </w:p>
        </w:tc>
      </w:tr>
      <w:tr w14:paraId="2838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Align w:val="center"/>
          </w:tcPr>
          <w:p w14:paraId="5C5A7E3D">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三级B</w:t>
            </w:r>
          </w:p>
        </w:tc>
        <w:tc>
          <w:tcPr>
            <w:tcW w:w="767" w:type="pct"/>
            <w:vAlign w:val="center"/>
          </w:tcPr>
          <w:p w14:paraId="16A9E259">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lang w:val="zh-CN"/>
              </w:rPr>
              <w:t>间接排放</w:t>
            </w:r>
          </w:p>
        </w:tc>
        <w:tc>
          <w:tcPr>
            <w:tcW w:w="2812" w:type="pct"/>
            <w:vAlign w:val="center"/>
          </w:tcPr>
          <w:p w14:paraId="0E5D314C">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w:t>
            </w:r>
          </w:p>
        </w:tc>
      </w:tr>
      <w:tr w14:paraId="3A82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2C58F1B9">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注1：水污染物当量数等于该污染物的年排放量除以该污染物的污染当量值（见附录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6B3E0B24">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463E421D">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注3：厂区存在堆积物（露天堆放的原料、燃料、废渣等以及垃圾堆放场）、降尘污染的，应将初期雨污水纳入废水排放量，相应的主要污染物纳入水污染当量计算。</w:t>
            </w:r>
          </w:p>
          <w:p w14:paraId="5D7B2AE0">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注4：建设项目直接排放第一类污染物的，其评价等级为一级；建设项目直接排放的污染物为受纳水体超标因子的，评价等级不低于二级。</w:t>
            </w:r>
          </w:p>
          <w:p w14:paraId="5928B322">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注5：直接排放受纳水体影响范围涉及饮用水水源保护区、饮用水取水口、重点保护与珍稀水生生物的栖息地、重要水生生物的自然产卵场等保护目标时，评价等级不低于二级。</w:t>
            </w:r>
          </w:p>
          <w:p w14:paraId="096CFE70">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注6：建设项目向河流、湖库排放温排水引起受纳水体水温变化超过水环境质量标准要求，且评价范围有水温敏感目标时，评价等级为一级。</w:t>
            </w:r>
          </w:p>
          <w:p w14:paraId="3569D56C">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注7：建设项目利用海水作为调节温度介质，排水量≥500万m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/d，评价等级为一级；排水量＜500 万m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/d，评价等级为二级。</w:t>
            </w:r>
          </w:p>
          <w:p w14:paraId="382D55B2">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注8：仅涉及清净下水排放的，如其排放水质满足受纳水体水环境质量标准要求的，评价等级为三级A。</w:t>
            </w:r>
          </w:p>
          <w:p w14:paraId="3E3D4FC0">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注9：依托现有排放口，且对外环境未新增排放污染物的直接排放建设项目，评价等级参照间接排放，定为三级 B。</w:t>
            </w:r>
          </w:p>
          <w:p w14:paraId="51295A88">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注10：</w:t>
            </w:r>
            <w:r>
              <w:rPr>
                <w:rFonts w:ascii="Times New Roman" w:hAnsi="Times New Roman" w:cs="Times New Roman" w:eastAsiaTheme="minorEastAsia"/>
                <w:b/>
                <w:snapToGrid w:val="0"/>
                <w:color w:val="auto"/>
                <w:w w:val="99"/>
                <w:sz w:val="21"/>
                <w:highlight w:val="none"/>
              </w:rPr>
              <w:t>建设项目生产工艺中有废水产生，但作为回水利用，不排放到外环境的，按三级B评价</w:t>
            </w:r>
            <w:r>
              <w:rPr>
                <w:rFonts w:ascii="Times New Roman" w:hAnsi="Times New Roman" w:cs="Times New Roman" w:eastAsiaTheme="minorEastAsia"/>
                <w:snapToGrid w:val="0"/>
                <w:color w:val="auto"/>
                <w:w w:val="99"/>
                <w:sz w:val="21"/>
                <w:highlight w:val="none"/>
              </w:rPr>
              <w:t>。</w:t>
            </w:r>
          </w:p>
        </w:tc>
      </w:tr>
    </w:tbl>
    <w:p w14:paraId="75F328DD">
      <w:pPr>
        <w:pStyle w:val="153"/>
        <w:keepNext w:val="0"/>
        <w:keepLines w:val="0"/>
        <w:pageBreakBefore w:val="0"/>
        <w:widowControl w:val="0"/>
        <w:kinsoku/>
        <w:wordWrap/>
        <w:overflowPunct/>
        <w:topLinePunct w:val="0"/>
        <w:autoSpaceDE/>
        <w:autoSpaceDN/>
        <w:bidi w:val="0"/>
        <w:adjustRightInd/>
        <w:snapToGrid/>
        <w:spacing w:line="440" w:lineRule="exact"/>
        <w:ind w:firstLine="473"/>
        <w:jc w:val="both"/>
        <w:textAlignment w:val="auto"/>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根据工程分析，施工期生活污水依托周边</w:t>
      </w:r>
      <w:r>
        <w:rPr>
          <w:rFonts w:hint="eastAsia" w:ascii="Times New Roman" w:hAnsi="Times New Roman" w:eastAsia="宋体" w:cs="Times New Roman"/>
          <w:color w:val="auto"/>
          <w:spacing w:val="4"/>
          <w:w w:val="99"/>
          <w:kern w:val="2"/>
          <w:position w:val="2"/>
          <w:sz w:val="24"/>
          <w:szCs w:val="24"/>
          <w:highlight w:val="none"/>
          <w:lang w:val="en-US" w:eastAsia="zh-CN" w:bidi="ar-SA"/>
        </w:rPr>
        <w:t>集气站现有生活污水收集措设施</w:t>
      </w:r>
      <w:r>
        <w:rPr>
          <w:rFonts w:ascii="Times New Roman" w:hAnsi="Times New Roman" w:eastAsia="宋体" w:cs="Times New Roman"/>
          <w:color w:val="auto"/>
          <w:spacing w:val="4"/>
          <w:w w:val="99"/>
          <w:kern w:val="2"/>
          <w:position w:val="2"/>
          <w:sz w:val="24"/>
          <w:szCs w:val="24"/>
          <w:highlight w:val="none"/>
          <w:lang w:val="en-US" w:eastAsia="zh-CN" w:bidi="ar-SA"/>
        </w:rPr>
        <w:t>，</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r>
        <w:rPr>
          <w:rFonts w:ascii="Times New Roman" w:hAnsi="Times New Roman" w:eastAsia="宋体" w:cs="Times New Roman"/>
          <w:color w:val="auto"/>
          <w:spacing w:val="4"/>
          <w:w w:val="99"/>
          <w:kern w:val="2"/>
          <w:position w:val="2"/>
          <w:sz w:val="24"/>
          <w:szCs w:val="24"/>
          <w:highlight w:val="none"/>
          <w:lang w:val="en-US" w:eastAsia="zh-CN" w:bidi="ar-SA"/>
        </w:rPr>
        <w:t>。</w:t>
      </w:r>
      <w:r>
        <w:rPr>
          <w:rFonts w:hint="eastAsia" w:ascii="Times New Roman" w:hAnsi="Times New Roman" w:eastAsia="宋体" w:cs="Times New Roman"/>
          <w:color w:val="auto"/>
          <w:spacing w:val="4"/>
          <w:w w:val="99"/>
          <w:kern w:val="2"/>
          <w:position w:val="2"/>
          <w:sz w:val="24"/>
          <w:szCs w:val="24"/>
          <w:highlight w:val="none"/>
          <w:lang w:val="en-US" w:eastAsia="zh-CN" w:bidi="ar-SA"/>
        </w:rPr>
        <w:t>施工期</w:t>
      </w:r>
      <w:r>
        <w:rPr>
          <w:rFonts w:ascii="Times New Roman" w:hAnsi="Times New Roman" w:eastAsia="宋体" w:cs="Times New Roman"/>
          <w:color w:val="auto"/>
          <w:spacing w:val="4"/>
          <w:w w:val="99"/>
          <w:kern w:val="2"/>
          <w:position w:val="2"/>
          <w:sz w:val="24"/>
          <w:szCs w:val="24"/>
          <w:highlight w:val="none"/>
          <w:lang w:val="en-US" w:eastAsia="zh-CN" w:bidi="ar-SA"/>
        </w:rPr>
        <w:t>管线试压废水</w:t>
      </w:r>
      <w:r>
        <w:rPr>
          <w:rFonts w:hint="eastAsia" w:ascii="Times New Roman" w:hAnsi="Times New Roman" w:eastAsia="宋体" w:cs="Times New Roman"/>
          <w:color w:val="auto"/>
          <w:spacing w:val="4"/>
          <w:w w:val="99"/>
          <w:kern w:val="2"/>
          <w:position w:val="2"/>
          <w:sz w:val="24"/>
          <w:szCs w:val="24"/>
          <w:highlight w:val="none"/>
          <w:lang w:val="en-US" w:eastAsia="zh-CN" w:bidi="ar-SA"/>
        </w:rPr>
        <w:t>与运营期气田采出水最终均进入</w:t>
      </w:r>
      <w:r>
        <w:rPr>
          <w:rFonts w:ascii="Times New Roman" w:hAnsi="Times New Roman" w:eastAsia="宋体" w:cs="Times New Roman"/>
          <w:color w:val="auto"/>
          <w:spacing w:val="4"/>
          <w:w w:val="99"/>
          <w:kern w:val="2"/>
          <w:position w:val="2"/>
          <w:sz w:val="24"/>
          <w:szCs w:val="24"/>
          <w:highlight w:val="none"/>
          <w:lang w:val="en-US" w:eastAsia="zh-CN" w:bidi="ar-SA"/>
        </w:rPr>
        <w:t>升一联气田污水预处理站处理</w:t>
      </w:r>
      <w:r>
        <w:rPr>
          <w:rFonts w:hint="eastAsia" w:ascii="Times New Roman" w:hAnsi="Times New Roman" w:eastAsia="宋体" w:cs="Times New Roman"/>
          <w:color w:val="auto"/>
          <w:spacing w:val="4"/>
          <w:w w:val="99"/>
          <w:kern w:val="2"/>
          <w:position w:val="2"/>
          <w:sz w:val="24"/>
          <w:szCs w:val="24"/>
          <w:highlight w:val="none"/>
          <w:lang w:val="en-US" w:eastAsia="zh-CN" w:bidi="ar-SA"/>
        </w:rPr>
        <w:t>，</w:t>
      </w:r>
      <w:r>
        <w:rPr>
          <w:rFonts w:ascii="Times New Roman" w:hAnsi="Times New Roman" w:eastAsia="宋体" w:cs="Times New Roman"/>
          <w:color w:val="auto"/>
          <w:spacing w:val="4"/>
          <w:w w:val="99"/>
          <w:kern w:val="2"/>
          <w:position w:val="2"/>
          <w:sz w:val="24"/>
          <w:szCs w:val="24"/>
          <w:highlight w:val="none"/>
          <w:lang w:val="en-US" w:eastAsia="zh-CN" w:bidi="ar-SA"/>
        </w:rPr>
        <w:t>满足《大庆油田地面工程建设 设计规定》（Q/SYDQ 0639-2015）限值“含油量≤10mg/L、悬浮固体含量≤5mg/L、粒径中值≤2μm”后回注地下</w:t>
      </w:r>
      <w:r>
        <w:rPr>
          <w:rFonts w:hint="eastAsia" w:ascii="Times New Roman" w:hAnsi="Times New Roman" w:cs="Times New Roman"/>
          <w:color w:val="auto"/>
          <w:spacing w:val="4"/>
          <w:w w:val="99"/>
          <w:kern w:val="2"/>
          <w:position w:val="2"/>
          <w:sz w:val="24"/>
          <w:szCs w:val="24"/>
          <w:highlight w:val="none"/>
          <w:lang w:val="en-US" w:eastAsia="zh-CN" w:bidi="ar-SA"/>
        </w:rPr>
        <w:t>油层，不外排</w:t>
      </w:r>
      <w:r>
        <w:rPr>
          <w:rFonts w:ascii="Times New Roman" w:hAnsi="Times New Roman" w:eastAsia="宋体" w:cs="Times New Roman"/>
          <w:color w:val="auto"/>
          <w:spacing w:val="4"/>
          <w:w w:val="99"/>
          <w:kern w:val="2"/>
          <w:position w:val="2"/>
          <w:sz w:val="24"/>
          <w:szCs w:val="24"/>
          <w:highlight w:val="none"/>
          <w:lang w:val="en-US" w:eastAsia="zh-CN" w:bidi="ar-SA"/>
        </w:rPr>
        <w:t>。</w:t>
      </w:r>
    </w:p>
    <w:p w14:paraId="4BEB156E">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综上所述，本项目</w:t>
      </w:r>
      <w:r>
        <w:rPr>
          <w:rFonts w:hint="eastAsia" w:ascii="Times New Roman" w:hAnsi="Times New Roman" w:eastAsia="宋体" w:cs="Times New Roman"/>
          <w:color w:val="auto"/>
          <w:spacing w:val="4"/>
          <w:w w:val="99"/>
          <w:kern w:val="2"/>
          <w:position w:val="2"/>
          <w:sz w:val="24"/>
          <w:szCs w:val="24"/>
          <w:highlight w:val="none"/>
          <w:lang w:val="en-US" w:eastAsia="zh-CN" w:bidi="ar-SA"/>
        </w:rPr>
        <w:t>生产</w:t>
      </w:r>
      <w:r>
        <w:rPr>
          <w:rFonts w:ascii="Times New Roman" w:hAnsi="Times New Roman" w:eastAsia="宋体" w:cs="Times New Roman"/>
          <w:color w:val="auto"/>
          <w:spacing w:val="4"/>
          <w:w w:val="99"/>
          <w:kern w:val="2"/>
          <w:position w:val="2"/>
          <w:sz w:val="24"/>
          <w:szCs w:val="24"/>
          <w:highlight w:val="none"/>
          <w:lang w:val="en-US" w:eastAsia="zh-CN" w:bidi="ar-SA"/>
        </w:rPr>
        <w:t xml:space="preserve">废水均不排入外环境，根据《环境影响评价技术导则 地表水环境》（HJ2.3-2018）：“建设项目生产工艺中有废水产生，但作为回水利用，不排放到外环境的，按三级 B评价”，因此，本项目地表水评价等级为三级B。 </w:t>
      </w:r>
    </w:p>
    <w:p w14:paraId="4C10B8D8">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2.7.2.2评价范围</w:t>
      </w:r>
    </w:p>
    <w:p w14:paraId="3890060B">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根据《环境影响评价技术导则 地表水环境》（HJ2.3-2018）中关于地表水评价等级为三级B的评价范围要求，涉及地表水环境风险的，其评价范围应覆盖环境风险影响范围所涉及的地表水环境保护目标水域，因此地表水评价范围为拟建井场</w:t>
      </w:r>
      <w:r>
        <w:rPr>
          <w:rFonts w:hint="eastAsia" w:ascii="Times New Roman" w:hAnsi="Times New Roman" w:eastAsia="宋体" w:cs="Times New Roman"/>
          <w:color w:val="auto"/>
          <w:spacing w:val="4"/>
          <w:w w:val="99"/>
          <w:kern w:val="2"/>
          <w:position w:val="2"/>
          <w:sz w:val="24"/>
          <w:szCs w:val="24"/>
          <w:highlight w:val="none"/>
          <w:lang w:val="en-US" w:eastAsia="zh-CN" w:bidi="ar-SA"/>
        </w:rPr>
        <w:t>为中心边长5km</w:t>
      </w:r>
      <w:r>
        <w:rPr>
          <w:rFonts w:ascii="Times New Roman" w:hAnsi="Times New Roman" w:eastAsia="宋体" w:cs="Times New Roman"/>
          <w:color w:val="auto"/>
          <w:spacing w:val="4"/>
          <w:w w:val="99"/>
          <w:kern w:val="2"/>
          <w:position w:val="2"/>
          <w:sz w:val="24"/>
          <w:szCs w:val="24"/>
          <w:highlight w:val="none"/>
          <w:lang w:val="en-US" w:eastAsia="zh-CN" w:bidi="ar-SA"/>
        </w:rPr>
        <w:t>的矩形区域的包络范围及管线、道路沿线两侧外扩200m范围的地表水体，该范围内地表水体主要为</w:t>
      </w:r>
      <w:r>
        <w:rPr>
          <w:rFonts w:hint="eastAsia" w:ascii="Times New Roman" w:hAnsi="Times New Roman" w:cs="Times New Roman"/>
          <w:color w:val="auto"/>
          <w:spacing w:val="4"/>
          <w:w w:val="99"/>
          <w:kern w:val="2"/>
          <w:position w:val="2"/>
          <w:sz w:val="24"/>
          <w:szCs w:val="24"/>
          <w:highlight w:val="none"/>
          <w:lang w:val="en-US" w:eastAsia="zh-CN" w:bidi="ar-SA"/>
        </w:rPr>
        <w:t>北大</w:t>
      </w:r>
      <w:r>
        <w:rPr>
          <w:rFonts w:hint="eastAsia" w:ascii="Times New Roman" w:hAnsi="Times New Roman" w:eastAsia="宋体" w:cs="Times New Roman"/>
          <w:color w:val="auto"/>
          <w:spacing w:val="4"/>
          <w:w w:val="99"/>
          <w:kern w:val="2"/>
          <w:position w:val="2"/>
          <w:sz w:val="24"/>
          <w:szCs w:val="24"/>
          <w:highlight w:val="none"/>
          <w:lang w:val="en-US" w:eastAsia="zh-CN" w:bidi="ar-SA"/>
        </w:rPr>
        <w:t>干渠</w:t>
      </w:r>
      <w:r>
        <w:rPr>
          <w:rFonts w:ascii="Times New Roman" w:hAnsi="Times New Roman" w:eastAsia="宋体" w:cs="Times New Roman"/>
          <w:color w:val="auto"/>
          <w:spacing w:val="4"/>
          <w:w w:val="99"/>
          <w:kern w:val="2"/>
          <w:position w:val="2"/>
          <w:sz w:val="24"/>
          <w:szCs w:val="24"/>
          <w:highlight w:val="none"/>
          <w:lang w:val="en-US" w:eastAsia="zh-CN" w:bidi="ar-SA"/>
        </w:rPr>
        <w:t>。</w:t>
      </w:r>
    </w:p>
    <w:p w14:paraId="0844AA18">
      <w:pPr>
        <w:pStyle w:val="7"/>
        <w:widowControl w:val="0"/>
        <w:spacing w:before="60" w:after="60" w:line="440" w:lineRule="exact"/>
        <w:jc w:val="both"/>
        <w:rPr>
          <w:rFonts w:eastAsia="宋体"/>
          <w:b/>
          <w:color w:val="auto"/>
          <w:w w:val="99"/>
          <w:kern w:val="2"/>
          <w:sz w:val="24"/>
          <w:szCs w:val="24"/>
          <w:highlight w:val="none"/>
        </w:rPr>
      </w:pPr>
      <w:bookmarkStart w:id="310" w:name="_Toc57203227"/>
      <w:bookmarkStart w:id="311" w:name="_Toc57707897"/>
      <w:bookmarkStart w:id="312" w:name="_Toc61597199"/>
      <w:bookmarkStart w:id="313" w:name="_Toc186444253"/>
      <w:bookmarkStart w:id="314" w:name="_Toc18486"/>
      <w:bookmarkStart w:id="315" w:name="_Toc76976221"/>
      <w:bookmarkStart w:id="316" w:name="_Toc83209450"/>
      <w:bookmarkStart w:id="317" w:name="_Toc80971355"/>
      <w:bookmarkStart w:id="318" w:name="_Toc77067637"/>
      <w:bookmarkStart w:id="319" w:name="_Toc78816438"/>
      <w:bookmarkStart w:id="320" w:name="_Toc70050153"/>
      <w:bookmarkStart w:id="321" w:name="_Toc80588233"/>
      <w:bookmarkStart w:id="322" w:name="_Toc17898142"/>
      <w:bookmarkStart w:id="323" w:name="_Toc57976652"/>
      <w:bookmarkStart w:id="324" w:name="_Toc67860106"/>
      <w:r>
        <w:rPr>
          <w:rFonts w:eastAsia="宋体"/>
          <w:b/>
          <w:color w:val="auto"/>
          <w:w w:val="99"/>
          <w:kern w:val="2"/>
          <w:sz w:val="24"/>
          <w:szCs w:val="24"/>
          <w:highlight w:val="none"/>
        </w:rPr>
        <w:t>2.7.3地下水</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4D3E02E1">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2.7.3.1评价等级</w:t>
      </w:r>
    </w:p>
    <w:p w14:paraId="5F01595D">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根据《环境影响评价技术导则 地下水环境》（HJ610-2016）中要求，评价工作等级的划分应依据建设项目行业分类和地下水环境敏感程度分级进行判定，同时满足《环境影响评价技术导则 陆地石油天然气开发建设项目》（HJ349-2023）中关于评价等级的相关要求。</w:t>
      </w:r>
    </w:p>
    <w:p w14:paraId="51CE26A4">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（1）地下水环境影响评价行业分类</w:t>
      </w:r>
    </w:p>
    <w:p w14:paraId="6CAD43F5">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根据《环境影响评价技术导则</w:t>
      </w:r>
      <w:r>
        <w:rPr>
          <w:rFonts w:hint="eastAsia" w:ascii="Times New Roman" w:hAnsi="Times New Roman" w:eastAsia="宋体" w:cs="Times New Roman"/>
          <w:color w:val="auto"/>
          <w:spacing w:val="4"/>
          <w:w w:val="99"/>
          <w:kern w:val="2"/>
          <w:position w:val="2"/>
          <w:sz w:val="24"/>
          <w:szCs w:val="24"/>
          <w:highlight w:val="none"/>
          <w:lang w:val="en-US" w:eastAsia="zh-CN" w:bidi="ar-SA"/>
        </w:rPr>
        <w:t xml:space="preserve"> </w:t>
      </w:r>
      <w:r>
        <w:rPr>
          <w:rFonts w:ascii="Times New Roman" w:hAnsi="Times New Roman" w:eastAsia="宋体" w:cs="Times New Roman"/>
          <w:color w:val="auto"/>
          <w:spacing w:val="4"/>
          <w:w w:val="99"/>
          <w:kern w:val="2"/>
          <w:position w:val="2"/>
          <w:sz w:val="24"/>
          <w:szCs w:val="24"/>
          <w:highlight w:val="none"/>
          <w:lang w:val="en-US" w:eastAsia="zh-CN" w:bidi="ar-SA"/>
        </w:rPr>
        <w:t>地下水环境》（HJ610-2016）附录A，本项目井场、站场工程属于附录A中“38、天然气、页岩气开采（含净化）”，属于报告书类别II类项目，输气管线属于“41石油、天然气、成品油管线（不含城市天然气管线）”，属于III类项目。按照《环境影响评价技术导则 陆地石油天然气开发建设项目》（HJ349-2023）中“常规天然气和页岩气、致密气等非常规天然气开采井场、站场（含净化厂）等工程，油类和废水等输送管道，按照Ⅱ类建设项目开展地下水环境影响评价。天然气管道按照III类建设项目开展地下水环境影响评价”。</w:t>
      </w:r>
    </w:p>
    <w:p w14:paraId="4E14FACD">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（2）地下水环境敏感程度</w:t>
      </w:r>
    </w:p>
    <w:p w14:paraId="15E65A6D">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建设项目场地的地下水环境敏感程度可分为敏感、较敏感、不敏感三级，分级原则见表2.7-</w:t>
      </w:r>
      <w:r>
        <w:rPr>
          <w:rFonts w:hint="eastAsia" w:ascii="Times New Roman" w:hAnsi="Times New Roman" w:cs="Times New Roman"/>
          <w:color w:val="auto"/>
          <w:spacing w:val="4"/>
          <w:w w:val="99"/>
          <w:kern w:val="2"/>
          <w:position w:val="2"/>
          <w:sz w:val="24"/>
          <w:szCs w:val="24"/>
          <w:highlight w:val="none"/>
          <w:lang w:val="en-US" w:eastAsia="zh-CN" w:bidi="ar-SA"/>
        </w:rPr>
        <w:t>6</w:t>
      </w:r>
      <w:r>
        <w:rPr>
          <w:rFonts w:ascii="Times New Roman" w:hAnsi="Times New Roman" w:eastAsia="宋体" w:cs="Times New Roman"/>
          <w:color w:val="auto"/>
          <w:spacing w:val="4"/>
          <w:w w:val="99"/>
          <w:kern w:val="2"/>
          <w:position w:val="2"/>
          <w:sz w:val="24"/>
          <w:szCs w:val="24"/>
          <w:highlight w:val="none"/>
          <w:lang w:val="en-US" w:eastAsia="zh-CN" w:bidi="ar-SA"/>
        </w:rPr>
        <w:t>。</w:t>
      </w:r>
    </w:p>
    <w:p w14:paraId="4127B3CE">
      <w:pPr>
        <w:pStyle w:val="153"/>
        <w:widowControl w:val="0"/>
        <w:spacing w:line="440" w:lineRule="exact"/>
        <w:ind w:firstLine="478"/>
        <w:jc w:val="both"/>
        <w:rPr>
          <w:rFonts w:ascii="Times New Roman" w:hAnsi="Times New Roman" w:eastAsiaTheme="minorEastAsia"/>
          <w:snapToGrid w:val="0"/>
          <w:color w:val="auto"/>
          <w:w w:val="99"/>
          <w:highlight w:val="none"/>
        </w:rPr>
      </w:pPr>
      <w:r>
        <w:rPr>
          <w:rFonts w:ascii="Times New Roman" w:hAnsi="Times New Roman" w:eastAsiaTheme="minorEastAsia"/>
          <w:b/>
          <w:bCs/>
          <w:color w:val="auto"/>
          <w:w w:val="99"/>
          <w:highlight w:val="none"/>
        </w:rPr>
        <w:t>表2.7-</w:t>
      </w:r>
      <w:r>
        <w:rPr>
          <w:rFonts w:hint="eastAsia" w:ascii="Times New Roman" w:hAnsi="Times New Roman" w:eastAsiaTheme="minorEastAsia"/>
          <w:b/>
          <w:bCs/>
          <w:color w:val="auto"/>
          <w:w w:val="99"/>
          <w:highlight w:val="none"/>
          <w:lang w:val="en-US" w:eastAsia="zh-CN"/>
        </w:rPr>
        <w:t>6</w:t>
      </w:r>
      <w:r>
        <w:rPr>
          <w:rFonts w:ascii="Times New Roman" w:hAnsi="Times New Roman" w:eastAsiaTheme="minorEastAsia"/>
          <w:b/>
          <w:snapToGrid w:val="0"/>
          <w:color w:val="auto"/>
          <w:w w:val="99"/>
          <w:highlight w:val="none"/>
        </w:rPr>
        <w:t xml:space="preserve">    地下水环境敏感程度分级</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8130"/>
      </w:tblGrid>
      <w:tr w14:paraId="7AD9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2B29C61F">
            <w:pPr>
              <w:pStyle w:val="157"/>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敏感程度</w:t>
            </w:r>
          </w:p>
        </w:tc>
        <w:tc>
          <w:tcPr>
            <w:tcW w:w="4377" w:type="pct"/>
            <w:vAlign w:val="center"/>
          </w:tcPr>
          <w:p w14:paraId="7CA25665">
            <w:pPr>
              <w:pStyle w:val="157"/>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地下水环境敏感特征</w:t>
            </w:r>
          </w:p>
        </w:tc>
      </w:tr>
      <w:tr w14:paraId="70FF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7EF7137D">
            <w:pPr>
              <w:pStyle w:val="157"/>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敏感</w:t>
            </w:r>
          </w:p>
        </w:tc>
        <w:tc>
          <w:tcPr>
            <w:tcW w:w="4377" w:type="pct"/>
            <w:vAlign w:val="center"/>
          </w:tcPr>
          <w:p w14:paraId="67B39F9D">
            <w:pPr>
              <w:pStyle w:val="157"/>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64B9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0A127764">
            <w:pPr>
              <w:pStyle w:val="157"/>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较敏感</w:t>
            </w:r>
          </w:p>
        </w:tc>
        <w:tc>
          <w:tcPr>
            <w:tcW w:w="4377" w:type="pct"/>
            <w:vAlign w:val="center"/>
          </w:tcPr>
          <w:p w14:paraId="017AF29A">
            <w:pPr>
              <w:pStyle w:val="157"/>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ascii="Times New Roman" w:hAnsi="Times New Roman" w:eastAsiaTheme="minorEastAsia"/>
                <w:snapToGrid w:val="0"/>
                <w:color w:val="auto"/>
                <w:w w:val="99"/>
                <w:kern w:val="0"/>
                <w:szCs w:val="24"/>
                <w:highlight w:val="none"/>
                <w:vertAlign w:val="superscript"/>
              </w:rPr>
              <w:t>a</w:t>
            </w:r>
            <w:r>
              <w:rPr>
                <w:rFonts w:ascii="Times New Roman" w:hAnsi="Times New Roman" w:eastAsiaTheme="minorEastAsia"/>
                <w:snapToGrid w:val="0"/>
                <w:color w:val="auto"/>
                <w:w w:val="99"/>
                <w:kern w:val="0"/>
                <w:szCs w:val="24"/>
                <w:highlight w:val="none"/>
              </w:rPr>
              <w:t>。</w:t>
            </w:r>
          </w:p>
        </w:tc>
      </w:tr>
      <w:tr w14:paraId="0DF6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40FE033F">
            <w:pPr>
              <w:pStyle w:val="157"/>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不敏感</w:t>
            </w:r>
          </w:p>
        </w:tc>
        <w:tc>
          <w:tcPr>
            <w:tcW w:w="4377" w:type="pct"/>
            <w:vAlign w:val="center"/>
          </w:tcPr>
          <w:p w14:paraId="6BCF622C">
            <w:pPr>
              <w:pStyle w:val="157"/>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上述地区之外的其它地区。</w:t>
            </w:r>
          </w:p>
        </w:tc>
      </w:tr>
      <w:tr w14:paraId="4DAB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vAlign w:val="center"/>
          </w:tcPr>
          <w:p w14:paraId="383B1542">
            <w:pPr>
              <w:pStyle w:val="157"/>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注：a“环境敏感区”是指《建设项目环境影响评价分类管理目录》中所界定的涉及地下水的环境敏感区。</w:t>
            </w:r>
          </w:p>
        </w:tc>
      </w:tr>
    </w:tbl>
    <w:p w14:paraId="7741D997">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经现场调查，本项目调查范围内分布有</w:t>
      </w:r>
      <w:r>
        <w:rPr>
          <w:rFonts w:hint="eastAsia" w:ascii="Times New Roman" w:hAnsi="Times New Roman" w:cs="Times New Roman"/>
          <w:color w:val="auto"/>
          <w:w w:val="99"/>
          <w:highlight w:val="none"/>
          <w:lang w:val="en-US" w:eastAsia="zh-CN"/>
        </w:rPr>
        <w:t>福龙村、邢家围子屯、王家围子屯</w:t>
      </w:r>
      <w:r>
        <w:rPr>
          <w:rFonts w:hint="eastAsia" w:ascii="Times New Roman" w:hAnsi="Times New Roman" w:cs="Times New Roman"/>
          <w:color w:val="auto"/>
          <w:w w:val="99"/>
          <w:highlight w:val="none"/>
        </w:rPr>
        <w:t>等村屯，各村屯均由村屯内为分散式饮用水源井供水，开采层位均为承压含水层，地下水开采规模均小于5万m</w:t>
      </w:r>
      <w:r>
        <w:rPr>
          <w:rFonts w:hint="eastAsia" w:ascii="Times New Roman" w:hAnsi="Times New Roman" w:cs="Times New Roman"/>
          <w:color w:val="auto"/>
          <w:w w:val="99"/>
          <w:highlight w:val="none"/>
          <w:vertAlign w:val="superscript"/>
        </w:rPr>
        <w:t>3</w:t>
      </w:r>
      <w:r>
        <w:rPr>
          <w:rFonts w:hint="eastAsia" w:ascii="Times New Roman" w:hAnsi="Times New Roman" w:cs="Times New Roman"/>
          <w:color w:val="auto"/>
          <w:w w:val="99"/>
          <w:highlight w:val="none"/>
        </w:rPr>
        <w:t>/d，且分散式饮用水源井</w:t>
      </w:r>
      <w:r>
        <w:rPr>
          <w:rFonts w:hint="eastAsia" w:ascii="Times New Roman" w:hAnsi="Times New Roman" w:cs="Times New Roman"/>
          <w:color w:val="auto"/>
          <w:w w:val="99"/>
          <w:highlight w:val="none"/>
          <w:lang w:eastAsia="zh-CN"/>
        </w:rPr>
        <w:t>，</w:t>
      </w:r>
      <w:r>
        <w:rPr>
          <w:rFonts w:hint="eastAsia" w:ascii="Times New Roman" w:hAnsi="Times New Roman" w:cs="Times New Roman"/>
          <w:color w:val="auto"/>
          <w:w w:val="99"/>
          <w:highlight w:val="none"/>
        </w:rPr>
        <w:t>均未划定</w:t>
      </w:r>
      <w:r>
        <w:rPr>
          <w:rFonts w:hint="eastAsia" w:ascii="Times New Roman" w:hAnsi="Times New Roman" w:cs="Times New Roman"/>
          <w:color w:val="auto"/>
          <w:w w:val="99"/>
          <w:highlight w:val="none"/>
          <w:lang w:val="en-US" w:eastAsia="zh-CN"/>
        </w:rPr>
        <w:t>一级</w:t>
      </w:r>
      <w:r>
        <w:rPr>
          <w:rFonts w:hint="eastAsia" w:ascii="Times New Roman" w:hAnsi="Times New Roman" w:cs="Times New Roman"/>
          <w:color w:val="auto"/>
          <w:w w:val="99"/>
          <w:highlight w:val="none"/>
        </w:rPr>
        <w:t>保护区</w:t>
      </w:r>
      <w:r>
        <w:rPr>
          <w:rFonts w:hint="eastAsia" w:ascii="Times New Roman" w:hAnsi="Times New Roman" w:cs="Times New Roman"/>
          <w:color w:val="auto"/>
          <w:w w:val="99"/>
          <w:highlight w:val="none"/>
          <w:lang w:eastAsia="zh-CN"/>
        </w:rPr>
        <w:t>，</w:t>
      </w:r>
      <w:r>
        <w:rPr>
          <w:rFonts w:hint="eastAsia" w:ascii="Times New Roman" w:hAnsi="Times New Roman" w:cs="Times New Roman"/>
          <w:color w:val="auto"/>
          <w:w w:val="99"/>
          <w:highlight w:val="none"/>
          <w:lang w:val="en-US" w:eastAsia="zh-CN"/>
        </w:rPr>
        <w:t>未划定二级保护区，保护范围为以井口为圆心30m</w:t>
      </w:r>
      <w:r>
        <w:rPr>
          <w:rFonts w:hint="eastAsia" w:ascii="Times New Roman" w:hAnsi="Times New Roman" w:cs="Times New Roman"/>
          <w:color w:val="auto"/>
          <w:w w:val="99"/>
          <w:highlight w:val="none"/>
        </w:rPr>
        <w:t>。根据《全省地市级饮用水水源保护区基础信息名录（2022年）》、《全省县区级饮用水水源保护区基础信息名录（2022年）》《黑龙江省人民政府关于调整撤销新建哈尔滨等11个地市384个集中式饮用水水源保护区》（黑政函〔2019〕118号）和《黑龙江省人民政府关于调整撤销新建哈尔滨市等市（地）197个集中式饮用水水源保护区》（黑政函〔2020〕97号）），调查范围内无集中式饮用水水源地。</w:t>
      </w:r>
    </w:p>
    <w:p w14:paraId="44FA3934">
      <w:pPr>
        <w:widowControl w:val="0"/>
        <w:spacing w:line="440" w:lineRule="exact"/>
        <w:ind w:firstLine="476" w:firstLineChars="200"/>
        <w:jc w:val="both"/>
        <w:rPr>
          <w:rFonts w:hint="eastAsia" w:ascii="Times New Roman" w:hAnsi="Times New Roman" w:cs="Times New Roman"/>
          <w:color w:val="auto"/>
          <w:spacing w:val="4"/>
          <w:w w:val="99"/>
          <w:kern w:val="2"/>
          <w:position w:val="2"/>
          <w:sz w:val="24"/>
          <w:szCs w:val="24"/>
          <w:highlight w:val="none"/>
          <w:lang w:val="en-US" w:eastAsia="zh-CN" w:bidi="ar-SA"/>
        </w:rPr>
      </w:pPr>
      <w:r>
        <w:rPr>
          <w:rFonts w:ascii="Times New Roman" w:hAnsi="Times New Roman" w:cs="Times New Roman" w:eastAsiaTheme="minorEastAsia"/>
          <w:b/>
          <w:bCs/>
          <w:color w:val="auto"/>
          <w:w w:val="99"/>
          <w:highlight w:val="none"/>
        </w:rPr>
        <w:t>表2.7-</w:t>
      </w:r>
      <w:r>
        <w:rPr>
          <w:rFonts w:hint="eastAsia" w:ascii="Times New Roman" w:hAnsi="Times New Roman" w:cs="Times New Roman" w:eastAsiaTheme="minorEastAsia"/>
          <w:b/>
          <w:bCs/>
          <w:color w:val="auto"/>
          <w:w w:val="99"/>
          <w:highlight w:val="none"/>
          <w:lang w:val="en-US" w:eastAsia="zh-CN"/>
        </w:rPr>
        <w:t>7</w:t>
      </w:r>
      <w:r>
        <w:rPr>
          <w:rFonts w:ascii="Times New Roman" w:hAnsi="Times New Roman" w:cs="Times New Roman" w:eastAsiaTheme="minorEastAsia"/>
          <w:b/>
          <w:bCs/>
          <w:color w:val="auto"/>
          <w:w w:val="99"/>
          <w:highlight w:val="none"/>
        </w:rPr>
        <w:t xml:space="preserve">    </w:t>
      </w:r>
      <w:r>
        <w:rPr>
          <w:rFonts w:hint="eastAsia" w:ascii="Times New Roman" w:hAnsi="Times New Roman" w:cs="Times New Roman" w:eastAsiaTheme="minorEastAsia"/>
          <w:b/>
          <w:bCs/>
          <w:color w:val="auto"/>
          <w:w w:val="99"/>
          <w:highlight w:val="none"/>
          <w:lang w:val="en-US" w:eastAsia="zh-CN"/>
        </w:rPr>
        <w:t>周边村屯饮用水情况</w:t>
      </w:r>
    </w:p>
    <w:tbl>
      <w:tblPr>
        <w:tblStyle w:val="80"/>
        <w:tblW w:w="4996" w:type="pct"/>
        <w:tblInd w:w="0" w:type="dxa"/>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Layout w:type="autofit"/>
        <w:tblCellMar>
          <w:top w:w="0" w:type="dxa"/>
          <w:left w:w="0" w:type="dxa"/>
          <w:bottom w:w="0" w:type="dxa"/>
          <w:right w:w="0" w:type="dxa"/>
        </w:tblCellMar>
      </w:tblPr>
      <w:tblGrid>
        <w:gridCol w:w="1054"/>
        <w:gridCol w:w="2672"/>
        <w:gridCol w:w="2127"/>
        <w:gridCol w:w="3381"/>
      </w:tblGrid>
      <w:tr w14:paraId="06A3C687">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571" w:type="pct"/>
            <w:tcBorders>
              <w:tl2br w:val="nil"/>
              <w:tr2bl w:val="nil"/>
            </w:tcBorders>
            <w:tcMar>
              <w:top w:w="0" w:type="dxa"/>
              <w:left w:w="85" w:type="dxa"/>
              <w:bottom w:w="0" w:type="dxa"/>
              <w:right w:w="85" w:type="dxa"/>
            </w:tcMar>
            <w:vAlign w:val="center"/>
          </w:tcPr>
          <w:p w14:paraId="4F653171">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序号</w:t>
            </w:r>
          </w:p>
        </w:tc>
        <w:tc>
          <w:tcPr>
            <w:tcW w:w="1446" w:type="pct"/>
            <w:tcBorders>
              <w:tl2br w:val="nil"/>
              <w:tr2bl w:val="nil"/>
            </w:tcBorders>
            <w:tcMar>
              <w:top w:w="0" w:type="dxa"/>
              <w:left w:w="85" w:type="dxa"/>
              <w:bottom w:w="0" w:type="dxa"/>
              <w:right w:w="85" w:type="dxa"/>
            </w:tcMar>
            <w:vAlign w:val="center"/>
          </w:tcPr>
          <w:p w14:paraId="1A24E9E0">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村屯</w:t>
            </w:r>
          </w:p>
        </w:tc>
        <w:tc>
          <w:tcPr>
            <w:tcW w:w="1151" w:type="pct"/>
            <w:tcBorders>
              <w:tl2br w:val="nil"/>
              <w:tr2bl w:val="nil"/>
            </w:tcBorders>
            <w:tcMar>
              <w:top w:w="0" w:type="dxa"/>
              <w:left w:w="85" w:type="dxa"/>
              <w:bottom w:w="0" w:type="dxa"/>
              <w:right w:w="85" w:type="dxa"/>
            </w:tcMar>
            <w:vAlign w:val="center"/>
          </w:tcPr>
          <w:p w14:paraId="09E6B5DD">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饮用水来源</w:t>
            </w:r>
          </w:p>
        </w:tc>
        <w:tc>
          <w:tcPr>
            <w:tcW w:w="1830" w:type="pct"/>
            <w:tcBorders>
              <w:tl2br w:val="nil"/>
              <w:tr2bl w:val="nil"/>
            </w:tcBorders>
            <w:tcMar>
              <w:top w:w="0" w:type="dxa"/>
              <w:left w:w="85" w:type="dxa"/>
              <w:bottom w:w="0" w:type="dxa"/>
              <w:right w:w="85" w:type="dxa"/>
            </w:tcMar>
            <w:vAlign w:val="center"/>
          </w:tcPr>
          <w:p w14:paraId="5CAF0CC6">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水源井与本项目位置关系</w:t>
            </w:r>
          </w:p>
        </w:tc>
      </w:tr>
      <w:tr w14:paraId="285B8326">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25" w:hRule="atLeast"/>
        </w:trPr>
        <w:tc>
          <w:tcPr>
            <w:tcW w:w="571" w:type="pct"/>
            <w:tcBorders>
              <w:tl2br w:val="nil"/>
              <w:tr2bl w:val="nil"/>
            </w:tcBorders>
            <w:tcMar>
              <w:top w:w="0" w:type="dxa"/>
              <w:left w:w="85" w:type="dxa"/>
              <w:bottom w:w="0" w:type="dxa"/>
              <w:right w:w="85" w:type="dxa"/>
            </w:tcMar>
            <w:vAlign w:val="center"/>
          </w:tcPr>
          <w:p w14:paraId="1ECA1B50">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1</w:t>
            </w:r>
          </w:p>
        </w:tc>
        <w:tc>
          <w:tcPr>
            <w:tcW w:w="1446" w:type="pct"/>
            <w:tcBorders>
              <w:tl2br w:val="nil"/>
              <w:tr2bl w:val="nil"/>
            </w:tcBorders>
            <w:shd w:val="clear" w:color="auto" w:fill="auto"/>
            <w:tcMar>
              <w:top w:w="0" w:type="dxa"/>
              <w:left w:w="85" w:type="dxa"/>
              <w:bottom w:w="0" w:type="dxa"/>
              <w:right w:w="85" w:type="dxa"/>
            </w:tcMar>
            <w:vAlign w:val="center"/>
          </w:tcPr>
          <w:p w14:paraId="54F8727C">
            <w:pPr>
              <w:widowControl w:val="0"/>
              <w:adjustRightInd w:val="0"/>
              <w:snapToGrid w:val="0"/>
              <w:ind w:firstLine="4" w:firstLineChars="0"/>
              <w:jc w:val="center"/>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en-US" w:bidi="ar-SA"/>
              </w:rPr>
              <w:t>王家围子</w:t>
            </w:r>
            <w:r>
              <w:rPr>
                <w:rFonts w:hint="eastAsia" w:ascii="Times New Roman" w:hAnsi="Times New Roman" w:cs="Times New Roman" w:eastAsiaTheme="minorEastAsia"/>
                <w:color w:val="auto"/>
                <w:w w:val="99"/>
                <w:sz w:val="21"/>
                <w:szCs w:val="21"/>
                <w:highlight w:val="none"/>
                <w:lang w:val="en-US" w:eastAsia="zh-CN" w:bidi="ar-SA"/>
              </w:rPr>
              <w:t>屯</w:t>
            </w:r>
          </w:p>
        </w:tc>
        <w:tc>
          <w:tcPr>
            <w:tcW w:w="1151" w:type="pct"/>
            <w:tcBorders>
              <w:tl2br w:val="nil"/>
              <w:tr2bl w:val="nil"/>
            </w:tcBorders>
            <w:shd w:val="clear" w:color="auto" w:fill="auto"/>
            <w:tcMar>
              <w:top w:w="0" w:type="dxa"/>
              <w:left w:w="85" w:type="dxa"/>
              <w:bottom w:w="0" w:type="dxa"/>
              <w:right w:w="85" w:type="dxa"/>
            </w:tcMar>
            <w:vAlign w:val="center"/>
          </w:tcPr>
          <w:p w14:paraId="3CC8BC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rPr>
              <w:t>引自杨家围子屯水井</w:t>
            </w:r>
          </w:p>
        </w:tc>
        <w:tc>
          <w:tcPr>
            <w:tcW w:w="1830" w:type="pct"/>
            <w:tcBorders>
              <w:tl2br w:val="nil"/>
              <w:tr2bl w:val="nil"/>
            </w:tcBorders>
            <w:shd w:val="clear" w:color="auto" w:fill="auto"/>
            <w:tcMar>
              <w:top w:w="0" w:type="dxa"/>
              <w:left w:w="85" w:type="dxa"/>
              <w:bottom w:w="0" w:type="dxa"/>
              <w:right w:w="85" w:type="dxa"/>
            </w:tcMar>
            <w:vAlign w:val="center"/>
          </w:tcPr>
          <w:p w14:paraId="43461BFD">
            <w:pPr>
              <w:widowControl w:val="0"/>
              <w:spacing w:line="26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拟建徐深27集气站EN1.88km</w:t>
            </w:r>
          </w:p>
        </w:tc>
      </w:tr>
      <w:tr w14:paraId="13263459">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571" w:type="pct"/>
            <w:tcBorders>
              <w:tl2br w:val="nil"/>
              <w:tr2bl w:val="nil"/>
            </w:tcBorders>
            <w:tcMar>
              <w:top w:w="0" w:type="dxa"/>
              <w:left w:w="85" w:type="dxa"/>
              <w:bottom w:w="0" w:type="dxa"/>
              <w:right w:w="85" w:type="dxa"/>
            </w:tcMar>
            <w:vAlign w:val="center"/>
          </w:tcPr>
          <w:p w14:paraId="5DE9C0EF">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2</w:t>
            </w:r>
          </w:p>
        </w:tc>
        <w:tc>
          <w:tcPr>
            <w:tcW w:w="1446" w:type="pct"/>
            <w:tcBorders>
              <w:tl2br w:val="nil"/>
              <w:tr2bl w:val="nil"/>
            </w:tcBorders>
            <w:shd w:val="clear" w:color="auto" w:fill="auto"/>
            <w:tcMar>
              <w:top w:w="0" w:type="dxa"/>
              <w:left w:w="85" w:type="dxa"/>
              <w:bottom w:w="0" w:type="dxa"/>
              <w:right w:w="85" w:type="dxa"/>
            </w:tcMar>
            <w:vAlign w:val="center"/>
          </w:tcPr>
          <w:p w14:paraId="73190C63">
            <w:pPr>
              <w:widowControl w:val="0"/>
              <w:adjustRightInd w:val="0"/>
              <w:snapToGrid w:val="0"/>
              <w:ind w:firstLine="4"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en-US" w:bidi="ar-SA"/>
              </w:rPr>
              <w:t>邢家围子</w:t>
            </w:r>
            <w:r>
              <w:rPr>
                <w:rFonts w:hint="eastAsia" w:ascii="Times New Roman" w:hAnsi="Times New Roman" w:cs="Times New Roman" w:eastAsiaTheme="minorEastAsia"/>
                <w:color w:val="auto"/>
                <w:w w:val="99"/>
                <w:sz w:val="21"/>
                <w:szCs w:val="21"/>
                <w:highlight w:val="none"/>
                <w:lang w:val="en-US" w:eastAsia="zh-CN" w:bidi="ar-SA"/>
              </w:rPr>
              <w:t>屯</w:t>
            </w:r>
          </w:p>
        </w:tc>
        <w:tc>
          <w:tcPr>
            <w:tcW w:w="1151" w:type="pct"/>
            <w:tcBorders>
              <w:tl2br w:val="nil"/>
              <w:tr2bl w:val="nil"/>
            </w:tcBorders>
            <w:shd w:val="clear" w:color="auto" w:fill="auto"/>
            <w:tcMar>
              <w:top w:w="0" w:type="dxa"/>
              <w:left w:w="85" w:type="dxa"/>
              <w:bottom w:w="0" w:type="dxa"/>
              <w:right w:w="85" w:type="dxa"/>
            </w:tcMar>
            <w:vAlign w:val="center"/>
          </w:tcPr>
          <w:p w14:paraId="1FE9AB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rPr>
              <w:t>引自</w:t>
            </w:r>
            <w:r>
              <w:rPr>
                <w:rFonts w:hint="eastAsia" w:ascii="Times New Roman" w:hAnsi="Times New Roman" w:cs="Times New Roman" w:eastAsiaTheme="minorEastAsia"/>
                <w:color w:val="auto"/>
                <w:w w:val="99"/>
                <w:sz w:val="21"/>
                <w:szCs w:val="21"/>
                <w:highlight w:val="none"/>
                <w:lang w:val="en-US" w:eastAsia="zh-CN" w:bidi="ar-SA"/>
              </w:rPr>
              <w:t>本村饮用</w:t>
            </w:r>
            <w:r>
              <w:rPr>
                <w:rFonts w:hint="eastAsia" w:ascii="Times New Roman" w:hAnsi="Times New Roman" w:cs="Times New Roman"/>
                <w:color w:val="auto"/>
                <w:w w:val="99"/>
                <w:sz w:val="21"/>
                <w:szCs w:val="21"/>
                <w:highlight w:val="none"/>
                <w:lang w:val="en-US" w:eastAsia="zh-CN"/>
              </w:rPr>
              <w:t>水井</w:t>
            </w:r>
          </w:p>
        </w:tc>
        <w:tc>
          <w:tcPr>
            <w:tcW w:w="1830" w:type="pct"/>
            <w:tcBorders>
              <w:tl2br w:val="nil"/>
              <w:tr2bl w:val="nil"/>
            </w:tcBorders>
            <w:shd w:val="clear" w:color="auto" w:fill="auto"/>
            <w:tcMar>
              <w:top w:w="0" w:type="dxa"/>
              <w:left w:w="85" w:type="dxa"/>
              <w:bottom w:w="0" w:type="dxa"/>
              <w:right w:w="85" w:type="dxa"/>
            </w:tcMar>
            <w:vAlign w:val="center"/>
          </w:tcPr>
          <w:p w14:paraId="1FB3B8EC">
            <w:pPr>
              <w:widowControl w:val="0"/>
              <w:spacing w:line="2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拟建徐深27-H1井场EN380m</w:t>
            </w:r>
          </w:p>
          <w:p w14:paraId="66B28DDB">
            <w:pPr>
              <w:widowControl w:val="0"/>
              <w:spacing w:line="26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采气管道E300m</w:t>
            </w:r>
          </w:p>
        </w:tc>
      </w:tr>
      <w:tr w14:paraId="5647A84B">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90" w:hRule="atLeast"/>
        </w:trPr>
        <w:tc>
          <w:tcPr>
            <w:tcW w:w="571" w:type="pct"/>
            <w:tcBorders>
              <w:tl2br w:val="nil"/>
              <w:tr2bl w:val="nil"/>
            </w:tcBorders>
            <w:tcMar>
              <w:top w:w="0" w:type="dxa"/>
              <w:left w:w="85" w:type="dxa"/>
              <w:bottom w:w="0" w:type="dxa"/>
              <w:right w:w="85" w:type="dxa"/>
            </w:tcMar>
            <w:vAlign w:val="center"/>
          </w:tcPr>
          <w:p w14:paraId="72D39DAE">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eastAsia" w:ascii="Times New Roman" w:hAnsi="Times New Roman" w:eastAsia="宋体"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3</w:t>
            </w:r>
          </w:p>
        </w:tc>
        <w:tc>
          <w:tcPr>
            <w:tcW w:w="1446" w:type="pct"/>
            <w:tcBorders>
              <w:tl2br w:val="nil"/>
              <w:tr2bl w:val="nil"/>
            </w:tcBorders>
            <w:shd w:val="clear" w:color="auto" w:fill="auto"/>
            <w:tcMar>
              <w:top w:w="0" w:type="dxa"/>
              <w:left w:w="85" w:type="dxa"/>
              <w:bottom w:w="0" w:type="dxa"/>
              <w:right w:w="85" w:type="dxa"/>
            </w:tcMar>
            <w:vAlign w:val="center"/>
          </w:tcPr>
          <w:p w14:paraId="11B4E86D">
            <w:pPr>
              <w:widowControl w:val="0"/>
              <w:adjustRightInd w:val="0"/>
              <w:snapToGrid w:val="0"/>
              <w:ind w:firstLine="4"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福龙村（</w:t>
            </w:r>
            <w:r>
              <w:rPr>
                <w:rFonts w:ascii="Times New Roman" w:hAnsi="Times New Roman" w:cs="Times New Roman" w:eastAsiaTheme="minorEastAsia"/>
                <w:color w:val="auto"/>
                <w:w w:val="99"/>
                <w:sz w:val="21"/>
                <w:szCs w:val="21"/>
                <w:highlight w:val="none"/>
                <w:lang w:val="en-US" w:eastAsia="en-US" w:bidi="ar-SA"/>
              </w:rPr>
              <w:t>尚家围子</w:t>
            </w:r>
            <w:r>
              <w:rPr>
                <w:rFonts w:hint="eastAsia" w:ascii="Times New Roman" w:hAnsi="Times New Roman" w:cs="Times New Roman" w:eastAsiaTheme="minorEastAsia"/>
                <w:color w:val="auto"/>
                <w:w w:val="99"/>
                <w:sz w:val="21"/>
                <w:szCs w:val="21"/>
                <w:highlight w:val="none"/>
                <w:lang w:val="en-US" w:eastAsia="zh-CN" w:bidi="ar-SA"/>
              </w:rPr>
              <w:t>）</w:t>
            </w:r>
          </w:p>
        </w:tc>
        <w:tc>
          <w:tcPr>
            <w:tcW w:w="1151" w:type="pct"/>
            <w:tcBorders>
              <w:tl2br w:val="nil"/>
              <w:tr2bl w:val="nil"/>
            </w:tcBorders>
            <w:shd w:val="clear" w:color="auto" w:fill="auto"/>
            <w:tcMar>
              <w:top w:w="0" w:type="dxa"/>
              <w:left w:w="85" w:type="dxa"/>
              <w:bottom w:w="0" w:type="dxa"/>
              <w:right w:w="85" w:type="dxa"/>
            </w:tcMar>
            <w:vAlign w:val="center"/>
          </w:tcPr>
          <w:p w14:paraId="4A4991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rPr>
              <w:t>引自</w:t>
            </w:r>
            <w:r>
              <w:rPr>
                <w:rFonts w:hint="eastAsia" w:ascii="Times New Roman" w:hAnsi="Times New Roman" w:cs="Times New Roman" w:eastAsiaTheme="minorEastAsia"/>
                <w:color w:val="auto"/>
                <w:w w:val="99"/>
                <w:sz w:val="21"/>
                <w:szCs w:val="21"/>
                <w:highlight w:val="none"/>
                <w:lang w:val="en-US" w:eastAsia="zh-CN" w:bidi="ar-SA"/>
              </w:rPr>
              <w:t>本村饮用</w:t>
            </w:r>
            <w:r>
              <w:rPr>
                <w:rFonts w:hint="eastAsia" w:ascii="Times New Roman" w:hAnsi="Times New Roman" w:cs="Times New Roman"/>
                <w:color w:val="auto"/>
                <w:w w:val="99"/>
                <w:sz w:val="21"/>
                <w:szCs w:val="21"/>
                <w:highlight w:val="none"/>
                <w:lang w:val="en-US" w:eastAsia="zh-CN"/>
              </w:rPr>
              <w:t>水井</w:t>
            </w:r>
          </w:p>
        </w:tc>
        <w:tc>
          <w:tcPr>
            <w:tcW w:w="1830" w:type="pct"/>
            <w:tcBorders>
              <w:tl2br w:val="nil"/>
              <w:tr2bl w:val="nil"/>
            </w:tcBorders>
            <w:shd w:val="clear" w:color="auto" w:fill="auto"/>
            <w:tcMar>
              <w:top w:w="0" w:type="dxa"/>
              <w:left w:w="85" w:type="dxa"/>
              <w:bottom w:w="0" w:type="dxa"/>
              <w:right w:w="85" w:type="dxa"/>
            </w:tcMar>
            <w:vAlign w:val="center"/>
          </w:tcPr>
          <w:p w14:paraId="0B8B8DE2">
            <w:pPr>
              <w:widowControl w:val="0"/>
              <w:spacing w:line="26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拟建徐深27-H1井场WN850m</w:t>
            </w:r>
          </w:p>
          <w:p w14:paraId="6477093F">
            <w:pPr>
              <w:widowControl w:val="0"/>
              <w:spacing w:line="26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采气管道W780m</w:t>
            </w:r>
          </w:p>
        </w:tc>
      </w:tr>
      <w:tr w14:paraId="74513C50">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571" w:type="pct"/>
            <w:tcBorders>
              <w:tl2br w:val="nil"/>
              <w:tr2bl w:val="nil"/>
            </w:tcBorders>
            <w:tcMar>
              <w:top w:w="0" w:type="dxa"/>
              <w:left w:w="85" w:type="dxa"/>
              <w:bottom w:w="0" w:type="dxa"/>
              <w:right w:w="85" w:type="dxa"/>
            </w:tcMar>
            <w:vAlign w:val="center"/>
          </w:tcPr>
          <w:p w14:paraId="0E25F9DC">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eastAsia" w:ascii="Times New Roman" w:hAnsi="Times New Roman" w:eastAsia="宋体"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4</w:t>
            </w:r>
          </w:p>
        </w:tc>
        <w:tc>
          <w:tcPr>
            <w:tcW w:w="1446" w:type="pct"/>
            <w:tcBorders>
              <w:tl2br w:val="nil"/>
              <w:tr2bl w:val="nil"/>
            </w:tcBorders>
            <w:shd w:val="clear" w:color="auto" w:fill="auto"/>
            <w:tcMar>
              <w:top w:w="0" w:type="dxa"/>
              <w:left w:w="85" w:type="dxa"/>
              <w:bottom w:w="0" w:type="dxa"/>
              <w:right w:w="85" w:type="dxa"/>
            </w:tcMar>
            <w:vAlign w:val="center"/>
          </w:tcPr>
          <w:p w14:paraId="56046731">
            <w:pPr>
              <w:widowControl w:val="0"/>
              <w:adjustRightInd w:val="0"/>
              <w:snapToGrid w:val="0"/>
              <w:ind w:firstLine="4"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杨家屯</w:t>
            </w:r>
          </w:p>
        </w:tc>
        <w:tc>
          <w:tcPr>
            <w:tcW w:w="1151" w:type="pct"/>
            <w:vMerge w:val="restart"/>
            <w:tcBorders>
              <w:tl2br w:val="nil"/>
              <w:tr2bl w:val="nil"/>
            </w:tcBorders>
            <w:shd w:val="clear" w:color="auto" w:fill="auto"/>
            <w:tcMar>
              <w:top w:w="0" w:type="dxa"/>
              <w:left w:w="85" w:type="dxa"/>
              <w:bottom w:w="0" w:type="dxa"/>
              <w:right w:w="85" w:type="dxa"/>
            </w:tcMar>
            <w:vAlign w:val="center"/>
          </w:tcPr>
          <w:p w14:paraId="482A25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rPr>
              <w:t>引自</w:t>
            </w:r>
            <w:r>
              <w:rPr>
                <w:rFonts w:hint="eastAsia" w:ascii="Times New Roman" w:hAnsi="Times New Roman" w:cs="Times New Roman"/>
                <w:color w:val="auto"/>
                <w:w w:val="99"/>
                <w:sz w:val="21"/>
                <w:szCs w:val="21"/>
                <w:highlight w:val="none"/>
                <w:lang w:val="en-US" w:eastAsia="zh-CN" w:bidi="ar-SA"/>
              </w:rPr>
              <w:t>后柜屯水井</w:t>
            </w:r>
          </w:p>
        </w:tc>
        <w:tc>
          <w:tcPr>
            <w:tcW w:w="1830" w:type="pct"/>
            <w:vMerge w:val="restart"/>
            <w:tcBorders>
              <w:tl2br w:val="nil"/>
              <w:tr2bl w:val="nil"/>
            </w:tcBorders>
            <w:shd w:val="clear" w:color="auto" w:fill="auto"/>
            <w:tcMar>
              <w:top w:w="0" w:type="dxa"/>
              <w:left w:w="85" w:type="dxa"/>
              <w:bottom w:w="0" w:type="dxa"/>
              <w:right w:w="85" w:type="dxa"/>
            </w:tcMar>
            <w:vAlign w:val="center"/>
          </w:tcPr>
          <w:p w14:paraId="20446148">
            <w:pPr>
              <w:widowControl w:val="0"/>
              <w:spacing w:line="26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拟建徐深27-H1井场ES1.86km</w:t>
            </w:r>
          </w:p>
        </w:tc>
      </w:tr>
      <w:tr w14:paraId="756D4C2E">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571" w:type="pct"/>
            <w:tcBorders>
              <w:tl2br w:val="nil"/>
              <w:tr2bl w:val="nil"/>
            </w:tcBorders>
            <w:tcMar>
              <w:top w:w="0" w:type="dxa"/>
              <w:left w:w="85" w:type="dxa"/>
              <w:bottom w:w="0" w:type="dxa"/>
              <w:right w:w="85" w:type="dxa"/>
            </w:tcMar>
            <w:vAlign w:val="center"/>
          </w:tcPr>
          <w:p w14:paraId="11685D1C">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5</w:t>
            </w:r>
          </w:p>
        </w:tc>
        <w:tc>
          <w:tcPr>
            <w:tcW w:w="1446" w:type="pct"/>
            <w:tcBorders>
              <w:tl2br w:val="nil"/>
              <w:tr2bl w:val="nil"/>
            </w:tcBorders>
            <w:shd w:val="clear" w:color="auto" w:fill="auto"/>
            <w:tcMar>
              <w:top w:w="0" w:type="dxa"/>
              <w:left w:w="85" w:type="dxa"/>
              <w:bottom w:w="0" w:type="dxa"/>
              <w:right w:w="85" w:type="dxa"/>
            </w:tcMar>
            <w:vAlign w:val="center"/>
          </w:tcPr>
          <w:p w14:paraId="163AB945">
            <w:pPr>
              <w:widowControl w:val="0"/>
              <w:adjustRightInd w:val="0"/>
              <w:snapToGrid w:val="0"/>
              <w:ind w:firstLine="4"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崔永宝</w:t>
            </w:r>
          </w:p>
        </w:tc>
        <w:tc>
          <w:tcPr>
            <w:tcW w:w="1151" w:type="pct"/>
            <w:vMerge w:val="continue"/>
            <w:tcBorders>
              <w:tl2br w:val="nil"/>
              <w:tr2bl w:val="nil"/>
            </w:tcBorders>
            <w:shd w:val="clear" w:color="auto" w:fill="auto"/>
            <w:tcMar>
              <w:top w:w="0" w:type="dxa"/>
              <w:left w:w="85" w:type="dxa"/>
              <w:bottom w:w="0" w:type="dxa"/>
              <w:right w:w="85" w:type="dxa"/>
            </w:tcMar>
            <w:vAlign w:val="center"/>
          </w:tcPr>
          <w:p w14:paraId="74E90D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w w:val="99"/>
                <w:sz w:val="21"/>
                <w:szCs w:val="21"/>
                <w:highlight w:val="none"/>
                <w:lang w:val="en-US" w:eastAsia="zh-CN"/>
              </w:rPr>
            </w:pPr>
          </w:p>
        </w:tc>
        <w:tc>
          <w:tcPr>
            <w:tcW w:w="1830" w:type="pct"/>
            <w:vMerge w:val="continue"/>
            <w:tcBorders>
              <w:tl2br w:val="nil"/>
              <w:tr2bl w:val="nil"/>
            </w:tcBorders>
            <w:shd w:val="clear" w:color="auto" w:fill="auto"/>
            <w:tcMar>
              <w:top w:w="0" w:type="dxa"/>
              <w:left w:w="85" w:type="dxa"/>
              <w:bottom w:w="0" w:type="dxa"/>
              <w:right w:w="85" w:type="dxa"/>
            </w:tcMar>
            <w:vAlign w:val="center"/>
          </w:tcPr>
          <w:p w14:paraId="2B8B6221">
            <w:pPr>
              <w:widowControl w:val="0"/>
              <w:spacing w:line="260" w:lineRule="exact"/>
              <w:jc w:val="center"/>
              <w:rPr>
                <w:rFonts w:hint="eastAsia" w:ascii="Times New Roman" w:hAnsi="Times New Roman" w:cs="Times New Roman" w:eastAsiaTheme="minorEastAsia"/>
                <w:color w:val="auto"/>
                <w:w w:val="99"/>
                <w:sz w:val="21"/>
                <w:szCs w:val="21"/>
                <w:highlight w:val="none"/>
                <w:lang w:val="en-US" w:eastAsia="en-US" w:bidi="ar-SA"/>
              </w:rPr>
            </w:pPr>
          </w:p>
        </w:tc>
      </w:tr>
      <w:tr w14:paraId="0110479F">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571" w:type="pct"/>
            <w:tcBorders>
              <w:tl2br w:val="nil"/>
              <w:tr2bl w:val="nil"/>
            </w:tcBorders>
            <w:tcMar>
              <w:top w:w="0" w:type="dxa"/>
              <w:left w:w="85" w:type="dxa"/>
              <w:bottom w:w="0" w:type="dxa"/>
              <w:right w:w="85" w:type="dxa"/>
            </w:tcMar>
            <w:vAlign w:val="center"/>
          </w:tcPr>
          <w:p w14:paraId="200A5982">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6</w:t>
            </w:r>
          </w:p>
        </w:tc>
        <w:tc>
          <w:tcPr>
            <w:tcW w:w="1446" w:type="pct"/>
            <w:tcBorders>
              <w:tl2br w:val="nil"/>
              <w:tr2bl w:val="nil"/>
            </w:tcBorders>
            <w:shd w:val="clear" w:color="auto" w:fill="auto"/>
            <w:tcMar>
              <w:top w:w="0" w:type="dxa"/>
              <w:left w:w="85" w:type="dxa"/>
              <w:bottom w:w="0" w:type="dxa"/>
              <w:right w:w="85" w:type="dxa"/>
            </w:tcMar>
            <w:vAlign w:val="center"/>
          </w:tcPr>
          <w:p w14:paraId="4BA2C926">
            <w:pPr>
              <w:widowControl w:val="0"/>
              <w:adjustRightInd w:val="0"/>
              <w:snapToGrid w:val="0"/>
              <w:ind w:firstLine="4"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鹿家屯</w:t>
            </w:r>
          </w:p>
        </w:tc>
        <w:tc>
          <w:tcPr>
            <w:tcW w:w="1151" w:type="pct"/>
            <w:vMerge w:val="continue"/>
            <w:tcBorders>
              <w:tl2br w:val="nil"/>
              <w:tr2bl w:val="nil"/>
            </w:tcBorders>
            <w:shd w:val="clear" w:color="auto" w:fill="auto"/>
            <w:tcMar>
              <w:top w:w="0" w:type="dxa"/>
              <w:left w:w="85" w:type="dxa"/>
              <w:bottom w:w="0" w:type="dxa"/>
              <w:right w:w="85" w:type="dxa"/>
            </w:tcMar>
            <w:vAlign w:val="center"/>
          </w:tcPr>
          <w:p w14:paraId="145E70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w w:val="99"/>
                <w:sz w:val="21"/>
                <w:szCs w:val="21"/>
                <w:highlight w:val="none"/>
                <w:lang w:val="en-US" w:eastAsia="zh-CN"/>
              </w:rPr>
            </w:pPr>
          </w:p>
        </w:tc>
        <w:tc>
          <w:tcPr>
            <w:tcW w:w="1830" w:type="pct"/>
            <w:vMerge w:val="continue"/>
            <w:tcBorders>
              <w:tl2br w:val="nil"/>
              <w:tr2bl w:val="nil"/>
            </w:tcBorders>
            <w:shd w:val="clear" w:color="auto" w:fill="auto"/>
            <w:tcMar>
              <w:top w:w="0" w:type="dxa"/>
              <w:left w:w="85" w:type="dxa"/>
              <w:bottom w:w="0" w:type="dxa"/>
              <w:right w:w="85" w:type="dxa"/>
            </w:tcMar>
            <w:vAlign w:val="center"/>
          </w:tcPr>
          <w:p w14:paraId="7C0F261C">
            <w:pPr>
              <w:widowControl w:val="0"/>
              <w:spacing w:line="260" w:lineRule="exact"/>
              <w:jc w:val="center"/>
              <w:rPr>
                <w:rFonts w:hint="eastAsia" w:ascii="Times New Roman" w:hAnsi="Times New Roman" w:cs="Times New Roman" w:eastAsiaTheme="minorEastAsia"/>
                <w:color w:val="auto"/>
                <w:w w:val="99"/>
                <w:sz w:val="21"/>
                <w:szCs w:val="21"/>
                <w:highlight w:val="none"/>
                <w:lang w:val="en-US" w:eastAsia="en-US" w:bidi="ar-SA"/>
              </w:rPr>
            </w:pPr>
          </w:p>
        </w:tc>
      </w:tr>
      <w:tr w14:paraId="0C9E3E78">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571" w:type="pct"/>
            <w:tcBorders>
              <w:tl2br w:val="nil"/>
              <w:tr2bl w:val="nil"/>
            </w:tcBorders>
            <w:tcMar>
              <w:top w:w="0" w:type="dxa"/>
              <w:left w:w="85" w:type="dxa"/>
              <w:bottom w:w="0" w:type="dxa"/>
              <w:right w:w="85" w:type="dxa"/>
            </w:tcMar>
            <w:vAlign w:val="center"/>
          </w:tcPr>
          <w:p w14:paraId="30854FCE">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7</w:t>
            </w:r>
          </w:p>
        </w:tc>
        <w:tc>
          <w:tcPr>
            <w:tcW w:w="1446" w:type="pct"/>
            <w:tcBorders>
              <w:tl2br w:val="nil"/>
              <w:tr2bl w:val="nil"/>
            </w:tcBorders>
            <w:shd w:val="clear" w:color="auto" w:fill="auto"/>
            <w:tcMar>
              <w:top w:w="0" w:type="dxa"/>
              <w:left w:w="85" w:type="dxa"/>
              <w:bottom w:w="0" w:type="dxa"/>
              <w:right w:w="85" w:type="dxa"/>
            </w:tcMar>
            <w:vAlign w:val="center"/>
          </w:tcPr>
          <w:p w14:paraId="4672A827">
            <w:pPr>
              <w:widowControl w:val="0"/>
              <w:adjustRightInd w:val="0"/>
              <w:snapToGrid w:val="0"/>
              <w:ind w:firstLine="4"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后柜屯</w:t>
            </w:r>
          </w:p>
        </w:tc>
        <w:tc>
          <w:tcPr>
            <w:tcW w:w="1151" w:type="pct"/>
            <w:vMerge w:val="continue"/>
            <w:tcBorders>
              <w:tl2br w:val="nil"/>
              <w:tr2bl w:val="nil"/>
            </w:tcBorders>
            <w:shd w:val="clear" w:color="auto" w:fill="auto"/>
            <w:tcMar>
              <w:top w:w="0" w:type="dxa"/>
              <w:left w:w="85" w:type="dxa"/>
              <w:bottom w:w="0" w:type="dxa"/>
              <w:right w:w="85" w:type="dxa"/>
            </w:tcMar>
            <w:vAlign w:val="center"/>
          </w:tcPr>
          <w:p w14:paraId="09AE6F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w w:val="99"/>
                <w:sz w:val="21"/>
                <w:szCs w:val="21"/>
                <w:highlight w:val="none"/>
                <w:lang w:val="en-US" w:eastAsia="zh-CN"/>
              </w:rPr>
            </w:pPr>
          </w:p>
        </w:tc>
        <w:tc>
          <w:tcPr>
            <w:tcW w:w="1830" w:type="pct"/>
            <w:vMerge w:val="continue"/>
            <w:tcBorders>
              <w:tl2br w:val="nil"/>
              <w:tr2bl w:val="nil"/>
            </w:tcBorders>
            <w:shd w:val="clear" w:color="auto" w:fill="auto"/>
            <w:tcMar>
              <w:top w:w="0" w:type="dxa"/>
              <w:left w:w="85" w:type="dxa"/>
              <w:bottom w:w="0" w:type="dxa"/>
              <w:right w:w="85" w:type="dxa"/>
            </w:tcMar>
            <w:vAlign w:val="center"/>
          </w:tcPr>
          <w:p w14:paraId="3F49C31D">
            <w:pPr>
              <w:widowControl w:val="0"/>
              <w:spacing w:line="260" w:lineRule="exact"/>
              <w:jc w:val="center"/>
              <w:rPr>
                <w:rFonts w:hint="eastAsia" w:ascii="Times New Roman" w:hAnsi="Times New Roman" w:cs="Times New Roman" w:eastAsiaTheme="minorEastAsia"/>
                <w:color w:val="auto"/>
                <w:w w:val="99"/>
                <w:sz w:val="21"/>
                <w:szCs w:val="21"/>
                <w:highlight w:val="none"/>
                <w:lang w:val="en-US" w:eastAsia="en-US" w:bidi="ar-SA"/>
              </w:rPr>
            </w:pPr>
          </w:p>
        </w:tc>
      </w:tr>
      <w:tr w14:paraId="294F7ED1">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571" w:type="pct"/>
            <w:tcBorders>
              <w:tl2br w:val="nil"/>
              <w:tr2bl w:val="nil"/>
            </w:tcBorders>
            <w:tcMar>
              <w:top w:w="0" w:type="dxa"/>
              <w:left w:w="85" w:type="dxa"/>
              <w:bottom w:w="0" w:type="dxa"/>
              <w:right w:w="85" w:type="dxa"/>
            </w:tcMar>
            <w:vAlign w:val="center"/>
          </w:tcPr>
          <w:p w14:paraId="041FFFCC">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8</w:t>
            </w:r>
          </w:p>
        </w:tc>
        <w:tc>
          <w:tcPr>
            <w:tcW w:w="1446" w:type="pct"/>
            <w:tcBorders>
              <w:tl2br w:val="nil"/>
              <w:tr2bl w:val="nil"/>
            </w:tcBorders>
            <w:shd w:val="clear" w:color="auto" w:fill="auto"/>
            <w:tcMar>
              <w:top w:w="0" w:type="dxa"/>
              <w:left w:w="85" w:type="dxa"/>
              <w:bottom w:w="0" w:type="dxa"/>
              <w:right w:w="85" w:type="dxa"/>
            </w:tcMar>
            <w:vAlign w:val="center"/>
          </w:tcPr>
          <w:p w14:paraId="5A3B32E9">
            <w:pPr>
              <w:widowControl w:val="0"/>
              <w:adjustRightInd w:val="0"/>
              <w:snapToGrid w:val="0"/>
              <w:ind w:firstLine="4"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腰柜屯</w:t>
            </w:r>
          </w:p>
        </w:tc>
        <w:tc>
          <w:tcPr>
            <w:tcW w:w="1151" w:type="pct"/>
            <w:vMerge w:val="continue"/>
            <w:tcBorders>
              <w:tl2br w:val="nil"/>
              <w:tr2bl w:val="nil"/>
            </w:tcBorders>
            <w:shd w:val="clear" w:color="auto" w:fill="auto"/>
            <w:tcMar>
              <w:top w:w="0" w:type="dxa"/>
              <w:left w:w="85" w:type="dxa"/>
              <w:bottom w:w="0" w:type="dxa"/>
              <w:right w:w="85" w:type="dxa"/>
            </w:tcMar>
            <w:vAlign w:val="center"/>
          </w:tcPr>
          <w:p w14:paraId="73126C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w w:val="99"/>
                <w:sz w:val="21"/>
                <w:szCs w:val="21"/>
                <w:highlight w:val="none"/>
                <w:lang w:val="en-US" w:eastAsia="zh-CN"/>
              </w:rPr>
            </w:pPr>
          </w:p>
        </w:tc>
        <w:tc>
          <w:tcPr>
            <w:tcW w:w="1830" w:type="pct"/>
            <w:vMerge w:val="continue"/>
            <w:tcBorders>
              <w:tl2br w:val="nil"/>
              <w:tr2bl w:val="nil"/>
            </w:tcBorders>
            <w:shd w:val="clear" w:color="auto" w:fill="auto"/>
            <w:tcMar>
              <w:top w:w="0" w:type="dxa"/>
              <w:left w:w="85" w:type="dxa"/>
              <w:bottom w:w="0" w:type="dxa"/>
              <w:right w:w="85" w:type="dxa"/>
            </w:tcMar>
            <w:vAlign w:val="center"/>
          </w:tcPr>
          <w:p w14:paraId="5E169117">
            <w:pPr>
              <w:widowControl w:val="0"/>
              <w:spacing w:line="260" w:lineRule="exact"/>
              <w:jc w:val="center"/>
              <w:rPr>
                <w:rFonts w:hint="eastAsia" w:ascii="Times New Roman" w:hAnsi="Times New Roman" w:cs="Times New Roman" w:eastAsiaTheme="minorEastAsia"/>
                <w:color w:val="auto"/>
                <w:w w:val="99"/>
                <w:sz w:val="21"/>
                <w:szCs w:val="21"/>
                <w:highlight w:val="none"/>
                <w:lang w:val="en-US" w:eastAsia="en-US" w:bidi="ar-SA"/>
              </w:rPr>
            </w:pPr>
          </w:p>
        </w:tc>
      </w:tr>
      <w:tr w14:paraId="171953A4">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571" w:type="pct"/>
            <w:tcBorders>
              <w:tl2br w:val="nil"/>
              <w:tr2bl w:val="nil"/>
            </w:tcBorders>
            <w:tcMar>
              <w:top w:w="0" w:type="dxa"/>
              <w:left w:w="85" w:type="dxa"/>
              <w:bottom w:w="0" w:type="dxa"/>
              <w:right w:w="85" w:type="dxa"/>
            </w:tcMar>
            <w:vAlign w:val="center"/>
          </w:tcPr>
          <w:p w14:paraId="1836755A">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eastAsia" w:ascii="Times New Roman" w:hAnsi="Times New Roman" w:eastAsia="宋体"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9</w:t>
            </w:r>
          </w:p>
        </w:tc>
        <w:tc>
          <w:tcPr>
            <w:tcW w:w="1446" w:type="pct"/>
            <w:tcBorders>
              <w:tl2br w:val="nil"/>
              <w:tr2bl w:val="nil"/>
            </w:tcBorders>
            <w:shd w:val="clear" w:color="auto" w:fill="auto"/>
            <w:tcMar>
              <w:top w:w="0" w:type="dxa"/>
              <w:left w:w="85" w:type="dxa"/>
              <w:bottom w:w="0" w:type="dxa"/>
              <w:right w:w="85" w:type="dxa"/>
            </w:tcMar>
            <w:vAlign w:val="center"/>
          </w:tcPr>
          <w:p w14:paraId="553B92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rPr>
              <w:t>新发屯</w:t>
            </w:r>
          </w:p>
        </w:tc>
        <w:tc>
          <w:tcPr>
            <w:tcW w:w="1151" w:type="pct"/>
            <w:tcBorders>
              <w:tl2br w:val="nil"/>
              <w:tr2bl w:val="nil"/>
            </w:tcBorders>
            <w:shd w:val="clear" w:color="auto" w:fill="auto"/>
            <w:tcMar>
              <w:top w:w="0" w:type="dxa"/>
              <w:left w:w="85" w:type="dxa"/>
              <w:bottom w:w="0" w:type="dxa"/>
              <w:right w:w="85" w:type="dxa"/>
            </w:tcMar>
            <w:vAlign w:val="center"/>
          </w:tcPr>
          <w:p w14:paraId="4CA18C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eastAsia" w:ascii="Times New Roman" w:hAnsi="Times New Roman" w:cs="Times New Roman"/>
                <w:color w:val="auto"/>
                <w:w w:val="99"/>
                <w:sz w:val="21"/>
                <w:szCs w:val="21"/>
                <w:highlight w:val="none"/>
                <w:lang w:val="en-US" w:eastAsia="zh-CN"/>
              </w:rPr>
              <w:t>引自</w:t>
            </w:r>
            <w:r>
              <w:rPr>
                <w:rFonts w:hint="eastAsia" w:ascii="Times New Roman" w:hAnsi="Times New Roman" w:cs="Times New Roman" w:eastAsiaTheme="minorEastAsia"/>
                <w:color w:val="auto"/>
                <w:w w:val="99"/>
                <w:sz w:val="21"/>
                <w:szCs w:val="21"/>
                <w:highlight w:val="none"/>
                <w:lang w:val="en-US" w:eastAsia="zh-CN" w:bidi="ar-SA"/>
              </w:rPr>
              <w:t>本村饮用</w:t>
            </w:r>
            <w:r>
              <w:rPr>
                <w:rFonts w:hint="eastAsia" w:ascii="Times New Roman" w:hAnsi="Times New Roman" w:cs="Times New Roman"/>
                <w:color w:val="auto"/>
                <w:w w:val="99"/>
                <w:sz w:val="21"/>
                <w:szCs w:val="21"/>
                <w:highlight w:val="none"/>
                <w:lang w:val="en-US" w:eastAsia="zh-CN"/>
              </w:rPr>
              <w:t>水井</w:t>
            </w:r>
          </w:p>
        </w:tc>
        <w:tc>
          <w:tcPr>
            <w:tcW w:w="1830" w:type="pct"/>
            <w:tcBorders>
              <w:tl2br w:val="nil"/>
              <w:tr2bl w:val="nil"/>
            </w:tcBorders>
            <w:shd w:val="clear" w:color="auto" w:fill="auto"/>
            <w:tcMar>
              <w:top w:w="0" w:type="dxa"/>
              <w:left w:w="85" w:type="dxa"/>
              <w:bottom w:w="0" w:type="dxa"/>
              <w:right w:w="85" w:type="dxa"/>
            </w:tcMar>
            <w:vAlign w:val="center"/>
          </w:tcPr>
          <w:p w14:paraId="19B51106">
            <w:pPr>
              <w:widowControl w:val="0"/>
              <w:spacing w:line="260" w:lineRule="exact"/>
              <w:jc w:val="center"/>
              <w:rPr>
                <w:rFonts w:hint="eastAsia" w:ascii="Times New Roman" w:hAnsi="Times New Roman" w:cs="Times New Roman" w:eastAsiaTheme="minorEastAsia"/>
                <w:color w:val="auto"/>
                <w:w w:val="99"/>
                <w:sz w:val="21"/>
                <w:szCs w:val="21"/>
                <w:highlight w:val="none"/>
                <w:lang w:val="en-US" w:eastAsia="en-US" w:bidi="ar-SA"/>
              </w:rPr>
            </w:pPr>
            <w:r>
              <w:rPr>
                <w:rFonts w:hint="eastAsia" w:ascii="Times New Roman" w:hAnsi="Times New Roman" w:cs="Times New Roman" w:eastAsiaTheme="minorEastAsia"/>
                <w:color w:val="auto"/>
                <w:w w:val="99"/>
                <w:sz w:val="21"/>
                <w:szCs w:val="21"/>
                <w:highlight w:val="none"/>
                <w:lang w:val="en-US" w:eastAsia="zh-CN" w:bidi="ar-SA"/>
              </w:rPr>
              <w:t>拟建徐深27-H1井场WS2.0km</w:t>
            </w:r>
          </w:p>
        </w:tc>
      </w:tr>
      <w:tr w14:paraId="779BA1C1">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571" w:type="pct"/>
            <w:tcBorders>
              <w:tl2br w:val="nil"/>
              <w:tr2bl w:val="nil"/>
            </w:tcBorders>
            <w:shd w:val="clear" w:color="auto" w:fill="auto"/>
            <w:tcMar>
              <w:top w:w="0" w:type="dxa"/>
              <w:left w:w="85" w:type="dxa"/>
              <w:bottom w:w="0" w:type="dxa"/>
              <w:right w:w="85" w:type="dxa"/>
            </w:tcMar>
            <w:vAlign w:val="center"/>
          </w:tcPr>
          <w:p w14:paraId="201CB44F">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pacing w:val="0"/>
                <w:w w:val="100"/>
                <w:sz w:val="21"/>
                <w:szCs w:val="21"/>
                <w:highlight w:val="none"/>
                <w:lang w:val="en-US" w:eastAsia="zh-CN" w:bidi="ar-SA"/>
              </w:rPr>
            </w:pPr>
            <w:r>
              <w:rPr>
                <w:rFonts w:hint="eastAsia" w:ascii="Times New Roman" w:hAnsi="Times New Roman" w:cs="Times New Roman"/>
                <w:color w:val="auto"/>
                <w:spacing w:val="0"/>
                <w:w w:val="100"/>
                <w:sz w:val="21"/>
                <w:szCs w:val="21"/>
                <w:highlight w:val="none"/>
                <w:lang w:val="en-US" w:eastAsia="zh-CN"/>
              </w:rPr>
              <w:t>10</w:t>
            </w:r>
          </w:p>
        </w:tc>
        <w:tc>
          <w:tcPr>
            <w:tcW w:w="1446" w:type="pct"/>
            <w:tcBorders>
              <w:tl2br w:val="nil"/>
              <w:tr2bl w:val="nil"/>
            </w:tcBorders>
            <w:shd w:val="clear" w:color="auto" w:fill="auto"/>
            <w:tcMar>
              <w:top w:w="0" w:type="dxa"/>
              <w:left w:w="85" w:type="dxa"/>
              <w:bottom w:w="0" w:type="dxa"/>
              <w:right w:w="85" w:type="dxa"/>
            </w:tcMar>
            <w:vAlign w:val="center"/>
          </w:tcPr>
          <w:p w14:paraId="1939B7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于洼子屯</w:t>
            </w:r>
          </w:p>
        </w:tc>
        <w:tc>
          <w:tcPr>
            <w:tcW w:w="1151" w:type="pct"/>
            <w:vMerge w:val="restart"/>
            <w:tcBorders>
              <w:tl2br w:val="nil"/>
              <w:tr2bl w:val="nil"/>
            </w:tcBorders>
            <w:shd w:val="clear" w:color="auto" w:fill="auto"/>
            <w:tcMar>
              <w:top w:w="0" w:type="dxa"/>
              <w:left w:w="85" w:type="dxa"/>
              <w:bottom w:w="0" w:type="dxa"/>
              <w:right w:w="85" w:type="dxa"/>
            </w:tcMar>
            <w:vAlign w:val="center"/>
          </w:tcPr>
          <w:p w14:paraId="2E1778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引自东双山屯水井</w:t>
            </w:r>
          </w:p>
        </w:tc>
        <w:tc>
          <w:tcPr>
            <w:tcW w:w="1830" w:type="pct"/>
            <w:vMerge w:val="restart"/>
            <w:tcBorders>
              <w:tl2br w:val="nil"/>
              <w:tr2bl w:val="nil"/>
            </w:tcBorders>
            <w:shd w:val="clear" w:color="auto" w:fill="auto"/>
            <w:tcMar>
              <w:top w:w="0" w:type="dxa"/>
              <w:left w:w="85" w:type="dxa"/>
              <w:bottom w:w="0" w:type="dxa"/>
              <w:right w:w="85" w:type="dxa"/>
            </w:tcMar>
            <w:vAlign w:val="center"/>
          </w:tcPr>
          <w:p w14:paraId="4D7ED976">
            <w:pPr>
              <w:pStyle w:val="2857"/>
              <w:spacing w:before="35" w:line="227" w:lineRule="auto"/>
              <w:ind w:left="114" w:leftChars="0"/>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徐深27集气站WN1.6km</w:t>
            </w:r>
          </w:p>
        </w:tc>
      </w:tr>
      <w:tr w14:paraId="7E28034B">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571" w:type="pct"/>
            <w:tcBorders>
              <w:tl2br w:val="nil"/>
              <w:tr2bl w:val="nil"/>
            </w:tcBorders>
            <w:shd w:val="clear" w:color="auto" w:fill="auto"/>
            <w:tcMar>
              <w:top w:w="0" w:type="dxa"/>
              <w:left w:w="85" w:type="dxa"/>
              <w:bottom w:w="0" w:type="dxa"/>
              <w:right w:w="85" w:type="dxa"/>
            </w:tcMar>
            <w:vAlign w:val="center"/>
          </w:tcPr>
          <w:p w14:paraId="5BC71CDA">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pacing w:val="0"/>
                <w:w w:val="100"/>
                <w:sz w:val="21"/>
                <w:szCs w:val="21"/>
                <w:highlight w:val="none"/>
                <w:lang w:val="en-US" w:eastAsia="zh-CN" w:bidi="ar-SA"/>
              </w:rPr>
            </w:pPr>
            <w:r>
              <w:rPr>
                <w:rFonts w:hint="eastAsia" w:ascii="Times New Roman" w:hAnsi="Times New Roman" w:cs="Times New Roman"/>
                <w:color w:val="auto"/>
                <w:spacing w:val="0"/>
                <w:w w:val="100"/>
                <w:sz w:val="21"/>
                <w:szCs w:val="21"/>
                <w:highlight w:val="none"/>
                <w:lang w:val="en-US" w:eastAsia="zh-CN"/>
              </w:rPr>
              <w:t>11</w:t>
            </w:r>
          </w:p>
        </w:tc>
        <w:tc>
          <w:tcPr>
            <w:tcW w:w="1446" w:type="pct"/>
            <w:tcBorders>
              <w:tl2br w:val="nil"/>
              <w:tr2bl w:val="nil"/>
            </w:tcBorders>
            <w:shd w:val="clear" w:color="auto" w:fill="auto"/>
            <w:tcMar>
              <w:top w:w="0" w:type="dxa"/>
              <w:left w:w="85" w:type="dxa"/>
              <w:bottom w:w="0" w:type="dxa"/>
              <w:right w:w="85" w:type="dxa"/>
            </w:tcMar>
            <w:vAlign w:val="center"/>
          </w:tcPr>
          <w:p w14:paraId="2DD35D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东双山屯</w:t>
            </w:r>
          </w:p>
        </w:tc>
        <w:tc>
          <w:tcPr>
            <w:tcW w:w="1151" w:type="pct"/>
            <w:vMerge w:val="continue"/>
            <w:tcBorders>
              <w:tl2br w:val="nil"/>
              <w:tr2bl w:val="nil"/>
            </w:tcBorders>
            <w:shd w:val="clear" w:color="auto" w:fill="auto"/>
            <w:tcMar>
              <w:top w:w="0" w:type="dxa"/>
              <w:left w:w="85" w:type="dxa"/>
              <w:bottom w:w="0" w:type="dxa"/>
              <w:right w:w="85" w:type="dxa"/>
            </w:tcMar>
            <w:vAlign w:val="center"/>
          </w:tcPr>
          <w:p w14:paraId="41CD8C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w w:val="99"/>
                <w:sz w:val="21"/>
                <w:szCs w:val="21"/>
                <w:highlight w:val="none"/>
                <w:lang w:val="en-US" w:eastAsia="zh-CN"/>
              </w:rPr>
            </w:pPr>
          </w:p>
        </w:tc>
        <w:tc>
          <w:tcPr>
            <w:tcW w:w="1830" w:type="pct"/>
            <w:vMerge w:val="continue"/>
            <w:tcBorders>
              <w:tl2br w:val="nil"/>
              <w:tr2bl w:val="nil"/>
            </w:tcBorders>
            <w:shd w:val="clear" w:color="auto" w:fill="auto"/>
            <w:tcMar>
              <w:top w:w="0" w:type="dxa"/>
              <w:left w:w="85" w:type="dxa"/>
              <w:bottom w:w="0" w:type="dxa"/>
              <w:right w:w="85" w:type="dxa"/>
            </w:tcMar>
            <w:vAlign w:val="center"/>
          </w:tcPr>
          <w:p w14:paraId="0E1BC7C5">
            <w:pPr>
              <w:pStyle w:val="2857"/>
              <w:spacing w:before="35" w:line="227" w:lineRule="auto"/>
              <w:ind w:left="114" w:leftChars="0"/>
              <w:rPr>
                <w:rFonts w:hint="eastAsia" w:ascii="Times New Roman" w:hAnsi="Times New Roman" w:cs="Times New Roman"/>
                <w:color w:val="auto"/>
                <w:w w:val="99"/>
                <w:sz w:val="21"/>
                <w:szCs w:val="21"/>
                <w:highlight w:val="none"/>
                <w:lang w:val="en-US" w:eastAsia="zh-CN" w:bidi="ar-SA"/>
              </w:rPr>
            </w:pPr>
          </w:p>
        </w:tc>
      </w:tr>
      <w:tr w14:paraId="48052E75">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571" w:type="pct"/>
            <w:tcBorders>
              <w:tl2br w:val="nil"/>
              <w:tr2bl w:val="nil"/>
            </w:tcBorders>
            <w:shd w:val="clear" w:color="auto" w:fill="auto"/>
            <w:tcMar>
              <w:top w:w="0" w:type="dxa"/>
              <w:left w:w="85" w:type="dxa"/>
              <w:bottom w:w="0" w:type="dxa"/>
              <w:right w:w="85" w:type="dxa"/>
            </w:tcMar>
            <w:vAlign w:val="center"/>
          </w:tcPr>
          <w:p w14:paraId="0236E84D">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pacing w:val="0"/>
                <w:w w:val="100"/>
                <w:sz w:val="21"/>
                <w:szCs w:val="21"/>
                <w:highlight w:val="none"/>
                <w:lang w:val="en-US" w:eastAsia="zh-CN" w:bidi="ar-SA"/>
              </w:rPr>
            </w:pPr>
            <w:r>
              <w:rPr>
                <w:rFonts w:hint="eastAsia" w:ascii="Times New Roman" w:hAnsi="Times New Roman" w:cs="Times New Roman"/>
                <w:color w:val="auto"/>
                <w:spacing w:val="0"/>
                <w:w w:val="100"/>
                <w:sz w:val="21"/>
                <w:szCs w:val="21"/>
                <w:highlight w:val="none"/>
                <w:lang w:val="en-US" w:eastAsia="zh-CN"/>
              </w:rPr>
              <w:t>12</w:t>
            </w:r>
          </w:p>
        </w:tc>
        <w:tc>
          <w:tcPr>
            <w:tcW w:w="1446" w:type="pct"/>
            <w:tcBorders>
              <w:tl2br w:val="nil"/>
              <w:tr2bl w:val="nil"/>
            </w:tcBorders>
            <w:shd w:val="clear" w:color="auto" w:fill="auto"/>
            <w:tcMar>
              <w:top w:w="0" w:type="dxa"/>
              <w:left w:w="85" w:type="dxa"/>
              <w:bottom w:w="0" w:type="dxa"/>
              <w:right w:w="85" w:type="dxa"/>
            </w:tcMar>
            <w:vAlign w:val="center"/>
          </w:tcPr>
          <w:p w14:paraId="3AC2A9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西双山屯</w:t>
            </w:r>
          </w:p>
        </w:tc>
        <w:tc>
          <w:tcPr>
            <w:tcW w:w="1151" w:type="pct"/>
            <w:vMerge w:val="continue"/>
            <w:tcBorders>
              <w:tl2br w:val="nil"/>
              <w:tr2bl w:val="nil"/>
            </w:tcBorders>
            <w:shd w:val="clear" w:color="auto" w:fill="auto"/>
            <w:tcMar>
              <w:top w:w="0" w:type="dxa"/>
              <w:left w:w="85" w:type="dxa"/>
              <w:bottom w:w="0" w:type="dxa"/>
              <w:right w:w="85" w:type="dxa"/>
            </w:tcMar>
            <w:vAlign w:val="center"/>
          </w:tcPr>
          <w:p w14:paraId="61C5C0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w w:val="99"/>
                <w:sz w:val="21"/>
                <w:szCs w:val="21"/>
                <w:highlight w:val="none"/>
                <w:lang w:val="en-US" w:eastAsia="zh-CN"/>
              </w:rPr>
            </w:pPr>
          </w:p>
        </w:tc>
        <w:tc>
          <w:tcPr>
            <w:tcW w:w="1830" w:type="pct"/>
            <w:vMerge w:val="continue"/>
            <w:tcBorders>
              <w:tl2br w:val="nil"/>
              <w:tr2bl w:val="nil"/>
            </w:tcBorders>
            <w:shd w:val="clear" w:color="auto" w:fill="auto"/>
            <w:tcMar>
              <w:top w:w="0" w:type="dxa"/>
              <w:left w:w="85" w:type="dxa"/>
              <w:bottom w:w="0" w:type="dxa"/>
              <w:right w:w="85" w:type="dxa"/>
            </w:tcMar>
            <w:vAlign w:val="center"/>
          </w:tcPr>
          <w:p w14:paraId="248062EC">
            <w:pPr>
              <w:pStyle w:val="2857"/>
              <w:spacing w:before="35" w:line="227" w:lineRule="auto"/>
              <w:ind w:left="114" w:leftChars="0"/>
              <w:rPr>
                <w:rFonts w:hint="eastAsia" w:ascii="Times New Roman" w:hAnsi="Times New Roman" w:eastAsia="宋体" w:cs="Times New Roman"/>
                <w:color w:val="auto"/>
                <w:w w:val="99"/>
                <w:sz w:val="21"/>
                <w:szCs w:val="21"/>
                <w:highlight w:val="none"/>
                <w:lang w:val="en-US" w:eastAsia="zh-CN" w:bidi="ar-SA"/>
              </w:rPr>
            </w:pPr>
          </w:p>
        </w:tc>
      </w:tr>
    </w:tbl>
    <w:p w14:paraId="50EF97A3">
      <w:pPr>
        <w:widowControl w:val="0"/>
        <w:spacing w:line="440" w:lineRule="exact"/>
        <w:ind w:firstLine="490" w:firstLineChars="200"/>
        <w:jc w:val="both"/>
        <w:rPr>
          <w:rFonts w:hint="default" w:ascii="Times New Roman" w:hAnsi="Times New Roman" w:eastAsia="宋体" w:cs="Times New Roman"/>
          <w:color w:val="auto"/>
          <w:spacing w:val="4"/>
          <w:w w:val="99"/>
          <w:kern w:val="2"/>
          <w:position w:val="2"/>
          <w:sz w:val="24"/>
          <w:szCs w:val="24"/>
          <w:highlight w:val="none"/>
          <w:lang w:val="en-US" w:eastAsia="zh-CN" w:bidi="ar-SA"/>
        </w:rPr>
      </w:pPr>
      <w:r>
        <w:rPr>
          <w:rFonts w:hint="default" w:ascii="Times New Roman" w:hAnsi="Times New Roman" w:eastAsia="宋体" w:cs="Times New Roman"/>
          <w:color w:val="auto"/>
          <w:spacing w:val="4"/>
          <w:w w:val="99"/>
          <w:kern w:val="2"/>
          <w:position w:val="2"/>
          <w:sz w:val="24"/>
          <w:szCs w:val="24"/>
          <w:highlight w:val="none"/>
          <w:lang w:val="en-US" w:eastAsia="zh-CN" w:bidi="ar-SA"/>
        </w:rPr>
        <w:t>根据《地下水型饮用水水源补给区划定技术指南（试行）》（环办便函</w:t>
      </w:r>
      <w:r>
        <w:rPr>
          <w:rFonts w:hint="eastAsia" w:ascii="Times New Roman" w:hAnsi="Times New Roman" w:eastAsia="宋体" w:cs="Times New Roman"/>
          <w:color w:val="auto"/>
          <w:spacing w:val="4"/>
          <w:w w:val="99"/>
          <w:kern w:val="2"/>
          <w:position w:val="2"/>
          <w:sz w:val="24"/>
          <w:szCs w:val="24"/>
          <w:highlight w:val="none"/>
          <w:lang w:val="en-US" w:eastAsia="zh-CN" w:bidi="ar-SA"/>
        </w:rPr>
        <w:t>〔</w:t>
      </w:r>
      <w:r>
        <w:rPr>
          <w:rFonts w:hint="default" w:ascii="Times New Roman" w:hAnsi="Times New Roman" w:eastAsia="宋体" w:cs="Times New Roman"/>
          <w:color w:val="auto"/>
          <w:spacing w:val="4"/>
          <w:w w:val="99"/>
          <w:kern w:val="2"/>
          <w:position w:val="2"/>
          <w:sz w:val="24"/>
          <w:szCs w:val="24"/>
          <w:highlight w:val="none"/>
          <w:lang w:val="en-US" w:eastAsia="zh-CN" w:bidi="ar-SA"/>
        </w:rPr>
        <w:t>2022〕335号）划定饮用水源井补给径流区，地下水饮用水源井补给径流区判定依据见表2.7-</w:t>
      </w:r>
      <w:r>
        <w:rPr>
          <w:rFonts w:hint="eastAsia" w:ascii="Times New Roman" w:hAnsi="Times New Roman" w:cs="Times New Roman"/>
          <w:color w:val="auto"/>
          <w:spacing w:val="4"/>
          <w:w w:val="99"/>
          <w:kern w:val="2"/>
          <w:position w:val="2"/>
          <w:sz w:val="24"/>
          <w:szCs w:val="24"/>
          <w:highlight w:val="none"/>
          <w:lang w:val="en-US" w:eastAsia="zh-CN" w:bidi="ar-SA"/>
        </w:rPr>
        <w:t>8</w:t>
      </w:r>
      <w:r>
        <w:rPr>
          <w:rFonts w:hint="default" w:ascii="Times New Roman" w:hAnsi="Times New Roman" w:eastAsia="宋体" w:cs="Times New Roman"/>
          <w:color w:val="auto"/>
          <w:spacing w:val="4"/>
          <w:w w:val="99"/>
          <w:kern w:val="2"/>
          <w:position w:val="2"/>
          <w:sz w:val="24"/>
          <w:szCs w:val="24"/>
          <w:highlight w:val="none"/>
          <w:lang w:val="en-US" w:eastAsia="zh-CN" w:bidi="ar-SA"/>
        </w:rPr>
        <w:t>。</w:t>
      </w:r>
    </w:p>
    <w:p w14:paraId="12993457">
      <w:pPr>
        <w:widowControl w:val="0"/>
        <w:spacing w:line="440" w:lineRule="exact"/>
        <w:ind w:firstLine="476" w:firstLineChars="200"/>
        <w:jc w:val="both"/>
        <w:rPr>
          <w:rFonts w:ascii="Times New Roman" w:hAnsi="Times New Roman" w:cs="Times New Roman" w:eastAsiaTheme="minorEastAsia"/>
          <w:b/>
          <w:color w:val="auto"/>
          <w:w w:val="99"/>
          <w:highlight w:val="none"/>
        </w:rPr>
      </w:pPr>
      <w:r>
        <w:rPr>
          <w:rFonts w:ascii="Times New Roman" w:hAnsi="Times New Roman" w:cs="Times New Roman" w:eastAsiaTheme="minorEastAsia"/>
          <w:b/>
          <w:bCs/>
          <w:color w:val="auto"/>
          <w:w w:val="99"/>
          <w:highlight w:val="none"/>
        </w:rPr>
        <w:t>表2.7-</w:t>
      </w:r>
      <w:r>
        <w:rPr>
          <w:rFonts w:hint="eastAsia" w:ascii="Times New Roman" w:hAnsi="Times New Roman" w:cs="Times New Roman" w:eastAsiaTheme="minorEastAsia"/>
          <w:b/>
          <w:bCs/>
          <w:color w:val="auto"/>
          <w:w w:val="99"/>
          <w:highlight w:val="none"/>
          <w:lang w:val="en-US" w:eastAsia="zh-CN"/>
        </w:rPr>
        <w:t>8</w:t>
      </w:r>
      <w:r>
        <w:rPr>
          <w:rFonts w:ascii="Times New Roman" w:hAnsi="Times New Roman" w:cs="Times New Roman" w:eastAsiaTheme="minorEastAsia"/>
          <w:b/>
          <w:bCs/>
          <w:color w:val="auto"/>
          <w:w w:val="99"/>
          <w:highlight w:val="none"/>
        </w:rPr>
        <w:t xml:space="preserve">   地下水饮用水源井补给径流区判定表</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335"/>
        <w:gridCol w:w="2127"/>
        <w:gridCol w:w="5067"/>
      </w:tblGrid>
      <w:tr w14:paraId="340C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gridSpan w:val="3"/>
            <w:vAlign w:val="center"/>
          </w:tcPr>
          <w:p w14:paraId="1A79A534">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lang w:val="en-US"/>
              </w:rPr>
              <w:t>地下水型饮用水水源</w:t>
            </w:r>
            <w:r>
              <w:rPr>
                <w:rFonts w:ascii="Times New Roman" w:hAnsi="Times New Roman" w:eastAsiaTheme="minorEastAsia"/>
                <w:snapToGrid w:val="0"/>
                <w:color w:val="auto"/>
                <w:w w:val="99"/>
                <w:kern w:val="0"/>
                <w:szCs w:val="24"/>
                <w:highlight w:val="none"/>
              </w:rPr>
              <w:t>划定保护区情况</w:t>
            </w:r>
          </w:p>
        </w:tc>
        <w:tc>
          <w:tcPr>
            <w:tcW w:w="2728" w:type="pct"/>
            <w:vAlign w:val="center"/>
          </w:tcPr>
          <w:p w14:paraId="47C38D30">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lang w:val="en-US"/>
              </w:rPr>
              <w:t>补给区范围</w:t>
            </w:r>
          </w:p>
        </w:tc>
      </w:tr>
      <w:tr w14:paraId="167E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8" w:type="pct"/>
            <w:vMerge w:val="restart"/>
            <w:vAlign w:val="center"/>
          </w:tcPr>
          <w:p w14:paraId="561A0429">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lang w:val="en-US"/>
              </w:rPr>
              <w:t>水源开采规模</w:t>
            </w:r>
          </w:p>
        </w:tc>
        <w:tc>
          <w:tcPr>
            <w:tcW w:w="719" w:type="pct"/>
            <w:vMerge w:val="restart"/>
            <w:vAlign w:val="center"/>
          </w:tcPr>
          <w:p w14:paraId="3F1E8923">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lang w:val="en-US"/>
              </w:rPr>
              <w:t>大型≥5万m</w:t>
            </w:r>
            <w:r>
              <w:rPr>
                <w:rFonts w:ascii="Times New Roman" w:hAnsi="Times New Roman" w:eastAsiaTheme="minorEastAsia"/>
                <w:snapToGrid w:val="0"/>
                <w:color w:val="auto"/>
                <w:w w:val="99"/>
                <w:kern w:val="0"/>
                <w:szCs w:val="24"/>
                <w:highlight w:val="none"/>
                <w:vertAlign w:val="superscript"/>
                <w:lang w:val="en-US"/>
              </w:rPr>
              <w:t>3</w:t>
            </w:r>
            <w:r>
              <w:rPr>
                <w:rFonts w:ascii="Times New Roman" w:hAnsi="Times New Roman" w:eastAsiaTheme="minorEastAsia"/>
                <w:snapToGrid w:val="0"/>
                <w:color w:val="auto"/>
                <w:w w:val="99"/>
                <w:kern w:val="0"/>
                <w:szCs w:val="24"/>
                <w:highlight w:val="none"/>
                <w:lang w:val="en-US"/>
              </w:rPr>
              <w:t>/d</w:t>
            </w:r>
          </w:p>
        </w:tc>
        <w:tc>
          <w:tcPr>
            <w:tcW w:w="1145" w:type="pct"/>
            <w:vAlign w:val="center"/>
          </w:tcPr>
          <w:p w14:paraId="117FE14E">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已划定</w:t>
            </w:r>
            <w:r>
              <w:rPr>
                <w:rFonts w:ascii="Times New Roman" w:hAnsi="Times New Roman" w:eastAsiaTheme="minorEastAsia"/>
                <w:snapToGrid w:val="0"/>
                <w:color w:val="auto"/>
                <w:w w:val="99"/>
                <w:kern w:val="0"/>
                <w:szCs w:val="24"/>
                <w:highlight w:val="none"/>
                <w:lang w:val="en-US"/>
              </w:rPr>
              <w:t>二级保护区的</w:t>
            </w:r>
          </w:p>
        </w:tc>
        <w:tc>
          <w:tcPr>
            <w:tcW w:w="2728" w:type="pct"/>
            <w:vAlign w:val="center"/>
          </w:tcPr>
          <w:p w14:paraId="71F31BCA">
            <w:pPr>
              <w:pStyle w:val="157"/>
              <w:widowControl w:val="0"/>
              <w:spacing w:line="32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lang w:val="en-US"/>
              </w:rPr>
              <w:t>以二级保护区边界为基准，按大型水源30年流程圈定的范围</w:t>
            </w:r>
          </w:p>
        </w:tc>
      </w:tr>
      <w:tr w14:paraId="500C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8" w:type="pct"/>
            <w:vMerge w:val="continue"/>
            <w:vAlign w:val="center"/>
          </w:tcPr>
          <w:p w14:paraId="7BB52995">
            <w:pPr>
              <w:pStyle w:val="157"/>
              <w:widowControl w:val="0"/>
              <w:spacing w:line="320" w:lineRule="exact"/>
              <w:jc w:val="both"/>
              <w:rPr>
                <w:rFonts w:ascii="Times New Roman" w:hAnsi="Times New Roman" w:eastAsiaTheme="minorEastAsia"/>
                <w:snapToGrid w:val="0"/>
                <w:color w:val="auto"/>
                <w:w w:val="99"/>
                <w:kern w:val="0"/>
                <w:szCs w:val="24"/>
                <w:highlight w:val="none"/>
                <w:lang w:val="en-US"/>
              </w:rPr>
            </w:pPr>
          </w:p>
        </w:tc>
        <w:tc>
          <w:tcPr>
            <w:tcW w:w="719" w:type="pct"/>
            <w:vMerge w:val="continue"/>
            <w:vAlign w:val="center"/>
          </w:tcPr>
          <w:p w14:paraId="700941F2">
            <w:pPr>
              <w:pStyle w:val="157"/>
              <w:widowControl w:val="0"/>
              <w:spacing w:line="320" w:lineRule="exact"/>
              <w:rPr>
                <w:rFonts w:ascii="Times New Roman" w:hAnsi="Times New Roman" w:eastAsiaTheme="minorEastAsia"/>
                <w:snapToGrid w:val="0"/>
                <w:color w:val="auto"/>
                <w:w w:val="99"/>
                <w:kern w:val="0"/>
                <w:szCs w:val="24"/>
                <w:highlight w:val="none"/>
                <w:lang w:val="en-US"/>
              </w:rPr>
            </w:pPr>
          </w:p>
        </w:tc>
        <w:tc>
          <w:tcPr>
            <w:tcW w:w="1145" w:type="pct"/>
            <w:vAlign w:val="center"/>
          </w:tcPr>
          <w:p w14:paraId="2E33D4D4">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lang w:val="en-US"/>
              </w:rPr>
              <w:t>仅划定了一级保护区的</w:t>
            </w:r>
          </w:p>
        </w:tc>
        <w:tc>
          <w:tcPr>
            <w:tcW w:w="2728" w:type="pct"/>
            <w:vAlign w:val="center"/>
          </w:tcPr>
          <w:p w14:paraId="1578A2DC">
            <w:pPr>
              <w:pStyle w:val="157"/>
              <w:widowControl w:val="0"/>
              <w:spacing w:line="320" w:lineRule="exact"/>
              <w:jc w:val="both"/>
              <w:rPr>
                <w:rFonts w:ascii="Times New Roman" w:hAnsi="Times New Roman" w:eastAsiaTheme="minorEastAsia"/>
                <w:snapToGrid w:val="0"/>
                <w:color w:val="auto"/>
                <w:w w:val="99"/>
                <w:kern w:val="0"/>
                <w:szCs w:val="24"/>
                <w:highlight w:val="none"/>
                <w:lang w:val="en-US"/>
              </w:rPr>
            </w:pPr>
            <w:r>
              <w:rPr>
                <w:rFonts w:ascii="Times New Roman" w:hAnsi="Times New Roman" w:eastAsiaTheme="minorEastAsia"/>
                <w:snapToGrid w:val="0"/>
                <w:color w:val="auto"/>
                <w:w w:val="99"/>
                <w:kern w:val="0"/>
                <w:szCs w:val="24"/>
                <w:highlight w:val="none"/>
                <w:lang w:val="en-US"/>
              </w:rPr>
              <w:t>以水源一级保护区边界为基准，按大型水源30年+1000天流程圈定的范围</w:t>
            </w:r>
          </w:p>
        </w:tc>
      </w:tr>
      <w:tr w14:paraId="68B6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8" w:type="pct"/>
            <w:vMerge w:val="continue"/>
            <w:vAlign w:val="center"/>
          </w:tcPr>
          <w:p w14:paraId="0A2D19D4">
            <w:pPr>
              <w:pStyle w:val="157"/>
              <w:widowControl w:val="0"/>
              <w:spacing w:line="320" w:lineRule="exact"/>
              <w:jc w:val="both"/>
              <w:rPr>
                <w:rFonts w:ascii="Times New Roman" w:hAnsi="Times New Roman" w:eastAsiaTheme="minorEastAsia"/>
                <w:snapToGrid w:val="0"/>
                <w:color w:val="auto"/>
                <w:w w:val="99"/>
                <w:kern w:val="0"/>
                <w:szCs w:val="24"/>
                <w:highlight w:val="none"/>
                <w:lang w:val="en-US"/>
              </w:rPr>
            </w:pPr>
          </w:p>
        </w:tc>
        <w:tc>
          <w:tcPr>
            <w:tcW w:w="719" w:type="pct"/>
            <w:vMerge w:val="continue"/>
            <w:vAlign w:val="center"/>
          </w:tcPr>
          <w:p w14:paraId="7F4481E0">
            <w:pPr>
              <w:pStyle w:val="157"/>
              <w:widowControl w:val="0"/>
              <w:spacing w:line="320" w:lineRule="exact"/>
              <w:rPr>
                <w:rFonts w:ascii="Times New Roman" w:hAnsi="Times New Roman" w:eastAsiaTheme="minorEastAsia"/>
                <w:snapToGrid w:val="0"/>
                <w:color w:val="auto"/>
                <w:w w:val="99"/>
                <w:kern w:val="0"/>
                <w:szCs w:val="24"/>
                <w:highlight w:val="none"/>
                <w:lang w:val="en-US"/>
              </w:rPr>
            </w:pPr>
          </w:p>
        </w:tc>
        <w:tc>
          <w:tcPr>
            <w:tcW w:w="1145" w:type="pct"/>
            <w:vAlign w:val="center"/>
          </w:tcPr>
          <w:p w14:paraId="0237607F">
            <w:pPr>
              <w:pStyle w:val="157"/>
              <w:widowControl w:val="0"/>
              <w:spacing w:line="320" w:lineRule="exact"/>
              <w:rPr>
                <w:rFonts w:ascii="Times New Roman" w:hAnsi="Times New Roman" w:eastAsiaTheme="minorEastAsia"/>
                <w:snapToGrid w:val="0"/>
                <w:color w:val="auto"/>
                <w:w w:val="99"/>
                <w:kern w:val="0"/>
                <w:szCs w:val="24"/>
                <w:highlight w:val="none"/>
                <w:lang w:val="en-US"/>
              </w:rPr>
            </w:pPr>
            <w:r>
              <w:rPr>
                <w:rFonts w:ascii="Times New Roman" w:hAnsi="Times New Roman" w:eastAsiaTheme="minorEastAsia"/>
                <w:snapToGrid w:val="0"/>
                <w:color w:val="auto"/>
                <w:w w:val="99"/>
                <w:kern w:val="0"/>
                <w:szCs w:val="24"/>
                <w:highlight w:val="none"/>
                <w:lang w:val="en-US"/>
              </w:rPr>
              <w:t>未划定保护区的</w:t>
            </w:r>
          </w:p>
        </w:tc>
        <w:tc>
          <w:tcPr>
            <w:tcW w:w="2728" w:type="pct"/>
            <w:vAlign w:val="center"/>
          </w:tcPr>
          <w:p w14:paraId="217D8DD4">
            <w:pPr>
              <w:pStyle w:val="157"/>
              <w:widowControl w:val="0"/>
              <w:spacing w:line="320" w:lineRule="exact"/>
              <w:jc w:val="both"/>
              <w:rPr>
                <w:rFonts w:ascii="Times New Roman" w:hAnsi="Times New Roman" w:eastAsiaTheme="minorEastAsia"/>
                <w:snapToGrid w:val="0"/>
                <w:color w:val="auto"/>
                <w:w w:val="99"/>
                <w:kern w:val="0"/>
                <w:szCs w:val="24"/>
                <w:highlight w:val="none"/>
                <w:lang w:val="en-US"/>
              </w:rPr>
            </w:pPr>
            <w:r>
              <w:rPr>
                <w:rFonts w:ascii="Times New Roman" w:hAnsi="Times New Roman" w:eastAsiaTheme="minorEastAsia"/>
                <w:snapToGrid w:val="0"/>
                <w:color w:val="auto"/>
                <w:w w:val="99"/>
                <w:kern w:val="0"/>
                <w:szCs w:val="24"/>
                <w:highlight w:val="none"/>
                <w:lang w:val="en-US"/>
              </w:rPr>
              <w:t>以水源开采井为基准，按大型水源30年+1100天流程圈定的范围</w:t>
            </w:r>
          </w:p>
        </w:tc>
      </w:tr>
      <w:tr w14:paraId="700F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8" w:type="pct"/>
            <w:vMerge w:val="continue"/>
            <w:vAlign w:val="center"/>
          </w:tcPr>
          <w:p w14:paraId="45DD9F44">
            <w:pPr>
              <w:pStyle w:val="157"/>
              <w:widowControl w:val="0"/>
              <w:spacing w:line="320" w:lineRule="exact"/>
              <w:jc w:val="both"/>
              <w:rPr>
                <w:rFonts w:ascii="Times New Roman" w:hAnsi="Times New Roman" w:eastAsiaTheme="minorEastAsia"/>
                <w:snapToGrid w:val="0"/>
                <w:color w:val="auto"/>
                <w:w w:val="99"/>
                <w:kern w:val="0"/>
                <w:szCs w:val="24"/>
                <w:highlight w:val="none"/>
                <w:lang w:val="en-US"/>
              </w:rPr>
            </w:pPr>
          </w:p>
        </w:tc>
        <w:tc>
          <w:tcPr>
            <w:tcW w:w="719" w:type="pct"/>
            <w:vMerge w:val="restart"/>
            <w:vAlign w:val="center"/>
          </w:tcPr>
          <w:p w14:paraId="6233C0A7">
            <w:pPr>
              <w:pStyle w:val="157"/>
              <w:widowControl w:val="0"/>
              <w:spacing w:line="320" w:lineRule="exact"/>
              <w:rPr>
                <w:rFonts w:ascii="Times New Roman" w:hAnsi="Times New Roman" w:eastAsiaTheme="minorEastAsia"/>
                <w:snapToGrid w:val="0"/>
                <w:color w:val="auto"/>
                <w:w w:val="99"/>
                <w:kern w:val="0"/>
                <w:szCs w:val="24"/>
                <w:highlight w:val="none"/>
                <w:lang w:val="en-US"/>
              </w:rPr>
            </w:pPr>
            <w:r>
              <w:rPr>
                <w:rFonts w:ascii="Times New Roman" w:hAnsi="Times New Roman" w:eastAsiaTheme="minorEastAsia"/>
                <w:snapToGrid w:val="0"/>
                <w:color w:val="auto"/>
                <w:w w:val="99"/>
                <w:kern w:val="0"/>
                <w:szCs w:val="24"/>
                <w:highlight w:val="none"/>
                <w:lang w:val="en-US"/>
              </w:rPr>
              <w:t>中小型</w:t>
            </w:r>
            <w:bookmarkStart w:id="325" w:name="OLE_LINK93"/>
            <w:r>
              <w:rPr>
                <w:rFonts w:ascii="Times New Roman" w:hAnsi="Times New Roman" w:eastAsiaTheme="minorEastAsia"/>
                <w:snapToGrid w:val="0"/>
                <w:color w:val="auto"/>
                <w:w w:val="99"/>
                <w:kern w:val="0"/>
                <w:szCs w:val="24"/>
                <w:highlight w:val="none"/>
                <w:lang w:val="en-US"/>
              </w:rPr>
              <w:t>＜5万m</w:t>
            </w:r>
            <w:r>
              <w:rPr>
                <w:rFonts w:ascii="Times New Roman" w:hAnsi="Times New Roman" w:eastAsiaTheme="minorEastAsia"/>
                <w:snapToGrid w:val="0"/>
                <w:color w:val="auto"/>
                <w:w w:val="99"/>
                <w:kern w:val="0"/>
                <w:szCs w:val="24"/>
                <w:highlight w:val="none"/>
                <w:vertAlign w:val="superscript"/>
                <w:lang w:val="en-US"/>
              </w:rPr>
              <w:t>3</w:t>
            </w:r>
            <w:r>
              <w:rPr>
                <w:rFonts w:ascii="Times New Roman" w:hAnsi="Times New Roman" w:eastAsiaTheme="minorEastAsia"/>
                <w:snapToGrid w:val="0"/>
                <w:color w:val="auto"/>
                <w:w w:val="99"/>
                <w:kern w:val="0"/>
                <w:szCs w:val="24"/>
                <w:highlight w:val="none"/>
                <w:lang w:val="en-US"/>
              </w:rPr>
              <w:t>/d</w:t>
            </w:r>
            <w:bookmarkEnd w:id="325"/>
          </w:p>
        </w:tc>
        <w:tc>
          <w:tcPr>
            <w:tcW w:w="1145" w:type="pct"/>
            <w:vAlign w:val="center"/>
          </w:tcPr>
          <w:p w14:paraId="7672B569">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已划定</w:t>
            </w:r>
            <w:r>
              <w:rPr>
                <w:rFonts w:ascii="Times New Roman" w:hAnsi="Times New Roman" w:eastAsiaTheme="minorEastAsia"/>
                <w:snapToGrid w:val="0"/>
                <w:color w:val="auto"/>
                <w:w w:val="99"/>
                <w:kern w:val="0"/>
                <w:szCs w:val="24"/>
                <w:highlight w:val="none"/>
                <w:lang w:val="en-US"/>
              </w:rPr>
              <w:t>二级保护区的</w:t>
            </w:r>
          </w:p>
        </w:tc>
        <w:tc>
          <w:tcPr>
            <w:tcW w:w="2728" w:type="pct"/>
            <w:vAlign w:val="center"/>
          </w:tcPr>
          <w:p w14:paraId="29A668D1">
            <w:pPr>
              <w:pStyle w:val="157"/>
              <w:widowControl w:val="0"/>
              <w:spacing w:line="32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lang w:val="en-US"/>
              </w:rPr>
              <w:t>以二级保护区边界为基准，按中小型水源15年流程圈定的范围</w:t>
            </w:r>
          </w:p>
        </w:tc>
      </w:tr>
      <w:tr w14:paraId="1A5B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8" w:type="pct"/>
            <w:vMerge w:val="continue"/>
            <w:vAlign w:val="center"/>
          </w:tcPr>
          <w:p w14:paraId="2F243695">
            <w:pPr>
              <w:pStyle w:val="157"/>
              <w:widowControl w:val="0"/>
              <w:spacing w:line="320" w:lineRule="exact"/>
              <w:jc w:val="both"/>
              <w:rPr>
                <w:rFonts w:ascii="Times New Roman" w:hAnsi="Times New Roman" w:eastAsiaTheme="minorEastAsia"/>
                <w:snapToGrid w:val="0"/>
                <w:color w:val="auto"/>
                <w:w w:val="99"/>
                <w:kern w:val="0"/>
                <w:szCs w:val="24"/>
                <w:highlight w:val="none"/>
              </w:rPr>
            </w:pPr>
          </w:p>
        </w:tc>
        <w:tc>
          <w:tcPr>
            <w:tcW w:w="719" w:type="pct"/>
            <w:vMerge w:val="continue"/>
            <w:vAlign w:val="center"/>
          </w:tcPr>
          <w:p w14:paraId="1B4EC8AC">
            <w:pPr>
              <w:pStyle w:val="157"/>
              <w:widowControl w:val="0"/>
              <w:spacing w:line="320" w:lineRule="exact"/>
              <w:jc w:val="both"/>
              <w:rPr>
                <w:rFonts w:ascii="Times New Roman" w:hAnsi="Times New Roman" w:eastAsiaTheme="minorEastAsia"/>
                <w:snapToGrid w:val="0"/>
                <w:color w:val="auto"/>
                <w:w w:val="99"/>
                <w:kern w:val="0"/>
                <w:szCs w:val="24"/>
                <w:highlight w:val="none"/>
              </w:rPr>
            </w:pPr>
          </w:p>
        </w:tc>
        <w:tc>
          <w:tcPr>
            <w:tcW w:w="1145" w:type="pct"/>
            <w:vAlign w:val="center"/>
          </w:tcPr>
          <w:p w14:paraId="38754075">
            <w:pPr>
              <w:pStyle w:val="157"/>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lang w:val="en-US"/>
              </w:rPr>
              <w:t>仅划定了一级保护区的</w:t>
            </w:r>
          </w:p>
        </w:tc>
        <w:tc>
          <w:tcPr>
            <w:tcW w:w="2728" w:type="pct"/>
            <w:vAlign w:val="center"/>
          </w:tcPr>
          <w:p w14:paraId="05369768">
            <w:pPr>
              <w:pStyle w:val="157"/>
              <w:widowControl w:val="0"/>
              <w:spacing w:line="320" w:lineRule="exact"/>
              <w:jc w:val="both"/>
              <w:rPr>
                <w:rFonts w:ascii="Times New Roman" w:hAnsi="Times New Roman" w:eastAsiaTheme="minorEastAsia"/>
                <w:snapToGrid w:val="0"/>
                <w:color w:val="auto"/>
                <w:w w:val="99"/>
                <w:kern w:val="0"/>
                <w:szCs w:val="24"/>
                <w:highlight w:val="none"/>
                <w:lang w:val="en-US"/>
              </w:rPr>
            </w:pPr>
            <w:r>
              <w:rPr>
                <w:rFonts w:ascii="Times New Roman" w:hAnsi="Times New Roman" w:eastAsiaTheme="minorEastAsia"/>
                <w:snapToGrid w:val="0"/>
                <w:color w:val="auto"/>
                <w:w w:val="99"/>
                <w:kern w:val="0"/>
                <w:szCs w:val="24"/>
                <w:highlight w:val="none"/>
                <w:lang w:val="en-US"/>
              </w:rPr>
              <w:t>以水源一级保护区边界为基准，按中小型水源15年+1000天流程圈定的范围</w:t>
            </w:r>
          </w:p>
        </w:tc>
      </w:tr>
      <w:tr w14:paraId="57F2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8" w:type="pct"/>
            <w:vMerge w:val="continue"/>
            <w:vAlign w:val="center"/>
          </w:tcPr>
          <w:p w14:paraId="371497EE">
            <w:pPr>
              <w:pStyle w:val="157"/>
              <w:widowControl w:val="0"/>
              <w:spacing w:line="320" w:lineRule="exact"/>
              <w:jc w:val="both"/>
              <w:rPr>
                <w:rFonts w:ascii="Times New Roman" w:hAnsi="Times New Roman" w:eastAsiaTheme="minorEastAsia"/>
                <w:snapToGrid w:val="0"/>
                <w:color w:val="auto"/>
                <w:w w:val="99"/>
                <w:kern w:val="0"/>
                <w:szCs w:val="24"/>
                <w:highlight w:val="none"/>
              </w:rPr>
            </w:pPr>
          </w:p>
        </w:tc>
        <w:tc>
          <w:tcPr>
            <w:tcW w:w="719" w:type="pct"/>
            <w:vMerge w:val="continue"/>
            <w:vAlign w:val="center"/>
          </w:tcPr>
          <w:p w14:paraId="2C1569B7">
            <w:pPr>
              <w:pStyle w:val="157"/>
              <w:widowControl w:val="0"/>
              <w:spacing w:line="320" w:lineRule="exact"/>
              <w:jc w:val="both"/>
              <w:rPr>
                <w:rFonts w:ascii="Times New Roman" w:hAnsi="Times New Roman" w:eastAsiaTheme="minorEastAsia"/>
                <w:snapToGrid w:val="0"/>
                <w:color w:val="auto"/>
                <w:w w:val="99"/>
                <w:kern w:val="0"/>
                <w:szCs w:val="24"/>
                <w:highlight w:val="none"/>
              </w:rPr>
            </w:pPr>
          </w:p>
        </w:tc>
        <w:tc>
          <w:tcPr>
            <w:tcW w:w="1145" w:type="pct"/>
            <w:vAlign w:val="center"/>
          </w:tcPr>
          <w:p w14:paraId="4C856CAB">
            <w:pPr>
              <w:pStyle w:val="157"/>
              <w:widowControl w:val="0"/>
              <w:spacing w:line="320" w:lineRule="exact"/>
              <w:rPr>
                <w:rFonts w:ascii="Times New Roman" w:hAnsi="Times New Roman" w:eastAsiaTheme="minorEastAsia"/>
                <w:snapToGrid w:val="0"/>
                <w:color w:val="auto"/>
                <w:w w:val="99"/>
                <w:kern w:val="0"/>
                <w:szCs w:val="24"/>
                <w:highlight w:val="none"/>
                <w:lang w:val="en-US"/>
              </w:rPr>
            </w:pPr>
            <w:r>
              <w:rPr>
                <w:rFonts w:ascii="Times New Roman" w:hAnsi="Times New Roman" w:eastAsiaTheme="minorEastAsia"/>
                <w:snapToGrid w:val="0"/>
                <w:color w:val="auto"/>
                <w:w w:val="99"/>
                <w:kern w:val="0"/>
                <w:szCs w:val="24"/>
                <w:highlight w:val="none"/>
                <w:lang w:val="en-US"/>
              </w:rPr>
              <w:t>未划定保护区的</w:t>
            </w:r>
          </w:p>
        </w:tc>
        <w:tc>
          <w:tcPr>
            <w:tcW w:w="2728" w:type="pct"/>
            <w:vAlign w:val="center"/>
          </w:tcPr>
          <w:p w14:paraId="35A6B822">
            <w:pPr>
              <w:pStyle w:val="157"/>
              <w:widowControl w:val="0"/>
              <w:spacing w:line="320" w:lineRule="exact"/>
              <w:jc w:val="both"/>
              <w:rPr>
                <w:rFonts w:ascii="Times New Roman" w:hAnsi="Times New Roman" w:eastAsiaTheme="minorEastAsia"/>
                <w:snapToGrid w:val="0"/>
                <w:color w:val="auto"/>
                <w:w w:val="99"/>
                <w:kern w:val="0"/>
                <w:szCs w:val="24"/>
                <w:highlight w:val="none"/>
                <w:lang w:val="en-US"/>
              </w:rPr>
            </w:pPr>
            <w:r>
              <w:rPr>
                <w:rFonts w:ascii="Times New Roman" w:hAnsi="Times New Roman" w:eastAsiaTheme="minorEastAsia"/>
                <w:snapToGrid w:val="0"/>
                <w:color w:val="auto"/>
                <w:w w:val="99"/>
                <w:kern w:val="0"/>
                <w:szCs w:val="24"/>
                <w:highlight w:val="none"/>
                <w:lang w:val="en-US"/>
              </w:rPr>
              <w:t>以水源开采井为基准，按中小型水源15年+1100天流程圈定的范围</w:t>
            </w:r>
          </w:p>
        </w:tc>
      </w:tr>
    </w:tbl>
    <w:p w14:paraId="248376F8">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质点运移距离采用下述公式计算：</w:t>
      </w:r>
    </w:p>
    <w:p w14:paraId="1A5DE079">
      <w:pPr>
        <w:widowControl w:val="0"/>
        <w:spacing w:line="440" w:lineRule="exact"/>
        <w:ind w:firstLine="474" w:firstLineChars="200"/>
        <w:jc w:val="both"/>
        <w:rPr>
          <w:rFonts w:hint="eastAsia" w:ascii="Times New Roman" w:hAnsi="Times New Roman" w:cs="Times New Roman"/>
          <w:color w:val="auto"/>
          <w:w w:val="99"/>
          <w:highlight w:val="none"/>
          <w:lang w:val="de-DE"/>
        </w:rPr>
      </w:pPr>
      <w:r>
        <w:rPr>
          <w:rFonts w:hint="eastAsia" w:ascii="Times New Roman" w:hAnsi="Times New Roman" w:cs="Times New Roman"/>
          <w:color w:val="auto"/>
          <w:w w:val="99"/>
          <w:highlight w:val="none"/>
        </w:rPr>
        <w:t>L=α</w:t>
      </w:r>
      <w:r>
        <w:rPr>
          <w:rFonts w:hint="eastAsia" w:ascii="Times New Roman" w:hAnsi="Times New Roman" w:cs="Times New Roman"/>
          <w:color w:val="auto"/>
          <w:w w:val="99"/>
          <w:highlight w:val="none"/>
          <w:lang w:val="de-DE"/>
        </w:rPr>
        <w:t>×K×I×T/n</w:t>
      </w:r>
      <w:r>
        <w:rPr>
          <w:rFonts w:hint="eastAsia" w:ascii="Times New Roman" w:hAnsi="Times New Roman" w:cs="Times New Roman"/>
          <w:color w:val="auto"/>
          <w:w w:val="99"/>
          <w:highlight w:val="none"/>
          <w:vertAlign w:val="subscript"/>
          <w:lang w:val="de-DE"/>
        </w:rPr>
        <w:t>e</w:t>
      </w:r>
    </w:p>
    <w:p w14:paraId="0A56E755">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式中：L—下游迁移距离，m；</w:t>
      </w:r>
    </w:p>
    <w:p w14:paraId="2A5ED6C5">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α—变化系数，α≥1，一般取2；</w:t>
      </w:r>
    </w:p>
    <w:p w14:paraId="6BB18C29">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K—渗透系数，m/d；</w:t>
      </w:r>
    </w:p>
    <w:p w14:paraId="7FB3A037">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I—水力坡度，无量纲；</w:t>
      </w:r>
    </w:p>
    <w:p w14:paraId="7451AFDD">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T—质点迁移天数；</w:t>
      </w:r>
    </w:p>
    <w:p w14:paraId="159A25F1">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n</w:t>
      </w:r>
      <w:r>
        <w:rPr>
          <w:rFonts w:hint="eastAsia" w:ascii="Times New Roman" w:hAnsi="Times New Roman" w:cs="Times New Roman"/>
          <w:color w:val="auto"/>
          <w:w w:val="99"/>
          <w:highlight w:val="none"/>
          <w:vertAlign w:val="subscript"/>
        </w:rPr>
        <w:t>e</w:t>
      </w:r>
      <w:r>
        <w:rPr>
          <w:rFonts w:hint="eastAsia" w:ascii="Times New Roman" w:hAnsi="Times New Roman" w:cs="Times New Roman"/>
          <w:color w:val="auto"/>
          <w:w w:val="99"/>
          <w:highlight w:val="none"/>
        </w:rPr>
        <w:t xml:space="preserve"> —有效孔隙度，无量纲。</w:t>
      </w:r>
    </w:p>
    <w:p w14:paraId="2995AE09">
      <w:pPr>
        <w:widowControl w:val="0"/>
        <w:spacing w:line="440" w:lineRule="exact"/>
        <w:ind w:firstLine="474" w:firstLineChars="200"/>
        <w:jc w:val="both"/>
        <w:rPr>
          <w:rFonts w:ascii="Times New Roman" w:hAnsi="Times New Roman" w:cs="Times New Roman" w:eastAsiaTheme="minorEastAsia"/>
          <w:color w:val="auto"/>
          <w:spacing w:val="-2"/>
          <w:w w:val="99"/>
          <w:highlight w:val="none"/>
        </w:rPr>
      </w:pPr>
      <w:r>
        <w:rPr>
          <w:rFonts w:hint="eastAsia" w:ascii="Times New Roman" w:hAnsi="Times New Roman" w:cs="Times New Roman"/>
          <w:color w:val="auto"/>
          <w:w w:val="99"/>
          <w:highlight w:val="none"/>
        </w:rPr>
        <w:t>根据该地区的水文地质条件</w:t>
      </w:r>
      <w:r>
        <w:rPr>
          <w:rFonts w:hint="eastAsia" w:ascii="Times New Roman" w:hAnsi="Times New Roman" w:cs="Times New Roman" w:eastAsiaTheme="minorEastAsia"/>
          <w:color w:val="auto"/>
          <w:spacing w:val="-2"/>
          <w:w w:val="99"/>
          <w:highlight w:val="none"/>
        </w:rPr>
        <w:t>，</w:t>
      </w:r>
      <w:r>
        <w:rPr>
          <w:rFonts w:ascii="Times New Roman" w:hAnsi="Times New Roman" w:cs="Times New Roman" w:eastAsiaTheme="minorEastAsia"/>
          <w:color w:val="auto"/>
          <w:spacing w:val="-2"/>
          <w:w w:val="99"/>
          <w:highlight w:val="none"/>
        </w:rPr>
        <w:t>本区域潜水含水层岩性主要为</w:t>
      </w:r>
      <w:r>
        <w:rPr>
          <w:rFonts w:hint="eastAsia" w:ascii="Times New Roman" w:hAnsi="Times New Roman" w:cs="Times New Roman" w:eastAsiaTheme="minorEastAsia"/>
          <w:color w:val="auto"/>
          <w:spacing w:val="-2"/>
          <w:w w:val="99"/>
          <w:highlight w:val="none"/>
          <w:lang w:val="en-US" w:eastAsia="zh-CN"/>
        </w:rPr>
        <w:t>粉</w:t>
      </w:r>
      <w:r>
        <w:rPr>
          <w:rFonts w:ascii="Times New Roman" w:hAnsi="Times New Roman" w:cs="Times New Roman" w:eastAsiaTheme="minorEastAsia"/>
          <w:color w:val="auto"/>
          <w:spacing w:val="-2"/>
          <w:w w:val="99"/>
          <w:highlight w:val="none"/>
        </w:rPr>
        <w:t>细砂，承压水含水层岩性主要为砂砾岩，结合《环境影响评价技术导则</w:t>
      </w:r>
      <w:r>
        <w:rPr>
          <w:rFonts w:hint="eastAsia" w:ascii="Times New Roman" w:hAnsi="Times New Roman" w:cs="Times New Roman" w:eastAsiaTheme="minorEastAsia"/>
          <w:color w:val="auto"/>
          <w:spacing w:val="-2"/>
          <w:w w:val="99"/>
          <w:highlight w:val="none"/>
          <w:lang w:val="en-US" w:eastAsia="zh-CN"/>
        </w:rPr>
        <w:t xml:space="preserve"> </w:t>
      </w:r>
      <w:r>
        <w:rPr>
          <w:rFonts w:ascii="Times New Roman" w:hAnsi="Times New Roman" w:cs="Times New Roman" w:eastAsiaTheme="minorEastAsia"/>
          <w:color w:val="auto"/>
          <w:spacing w:val="-2"/>
          <w:w w:val="99"/>
          <w:highlight w:val="none"/>
        </w:rPr>
        <w:t>地下水》（HJ610-2016）附录B中的水文地质参数，本次渗透系数潜水K</w:t>
      </w:r>
      <w:r>
        <w:rPr>
          <w:rFonts w:ascii="Times New Roman" w:hAnsi="Times New Roman" w:cs="Times New Roman" w:eastAsiaTheme="minorEastAsia"/>
          <w:color w:val="auto"/>
          <w:spacing w:val="-2"/>
          <w:w w:val="99"/>
          <w:highlight w:val="none"/>
          <w:vertAlign w:val="subscript"/>
        </w:rPr>
        <w:t>潜水</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lang w:val="en-US" w:eastAsia="zh-CN"/>
        </w:rPr>
        <w:t>5.0</w:t>
      </w:r>
      <w:r>
        <w:rPr>
          <w:rFonts w:ascii="Times New Roman" w:hAnsi="Times New Roman" w:cs="Times New Roman" w:eastAsiaTheme="minorEastAsia"/>
          <w:color w:val="auto"/>
          <w:spacing w:val="-2"/>
          <w:w w:val="99"/>
          <w:highlight w:val="none"/>
        </w:rPr>
        <w:t>m/d、承压水K</w:t>
      </w:r>
      <w:r>
        <w:rPr>
          <w:rFonts w:ascii="Times New Roman" w:hAnsi="Times New Roman" w:cs="Times New Roman" w:eastAsiaTheme="minorEastAsia"/>
          <w:color w:val="auto"/>
          <w:spacing w:val="-2"/>
          <w:w w:val="99"/>
          <w:highlight w:val="none"/>
          <w:vertAlign w:val="subscript"/>
        </w:rPr>
        <w:t>承压水</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lang w:val="en-US" w:eastAsia="zh-CN"/>
        </w:rPr>
        <w:t>50.0</w:t>
      </w:r>
      <w:r>
        <w:rPr>
          <w:rFonts w:ascii="Times New Roman" w:hAnsi="Times New Roman" w:cs="Times New Roman" w:eastAsiaTheme="minorEastAsia"/>
          <w:color w:val="auto"/>
          <w:spacing w:val="-2"/>
          <w:w w:val="99"/>
          <w:highlight w:val="none"/>
        </w:rPr>
        <w:t>m/d，有效孔隙度</w:t>
      </w:r>
      <w:r>
        <w:rPr>
          <w:rFonts w:ascii="Times New Roman" w:hAnsi="Times New Roman" w:cs="Times New Roman" w:eastAsiaTheme="minorEastAsia"/>
          <w:color w:val="auto"/>
          <w:spacing w:val="-2"/>
          <w:w w:val="99"/>
          <w:highlight w:val="none"/>
          <w:lang w:val="de-DE"/>
        </w:rPr>
        <w:t>n</w:t>
      </w:r>
      <w:r>
        <w:rPr>
          <w:rFonts w:ascii="Times New Roman" w:hAnsi="Times New Roman" w:cs="Times New Roman" w:eastAsiaTheme="minorEastAsia"/>
          <w:color w:val="auto"/>
          <w:spacing w:val="-2"/>
          <w:w w:val="99"/>
          <w:highlight w:val="none"/>
          <w:vertAlign w:val="subscript"/>
          <w:lang w:val="de-DE"/>
        </w:rPr>
        <w:t>e</w:t>
      </w:r>
      <w:r>
        <w:rPr>
          <w:rFonts w:ascii="Times New Roman" w:hAnsi="Times New Roman" w:cs="Times New Roman" w:eastAsiaTheme="minorEastAsia"/>
          <w:color w:val="auto"/>
          <w:spacing w:val="-2"/>
          <w:w w:val="99"/>
          <w:highlight w:val="none"/>
          <w:vertAlign w:val="subscript"/>
        </w:rPr>
        <w:t>潜水</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lang w:val="en-US" w:eastAsia="zh-CN"/>
        </w:rPr>
        <w:t>20</w:t>
      </w:r>
      <w:r>
        <w:rPr>
          <w:rFonts w:ascii="Times New Roman" w:hAnsi="Times New Roman" w:cs="Times New Roman" w:eastAsiaTheme="minorEastAsia"/>
          <w:color w:val="auto"/>
          <w:spacing w:val="-2"/>
          <w:w w:val="99"/>
          <w:highlight w:val="none"/>
        </w:rPr>
        <w:t>，</w:t>
      </w:r>
      <w:r>
        <w:rPr>
          <w:rFonts w:ascii="Times New Roman" w:hAnsi="Times New Roman" w:cs="Times New Roman" w:eastAsiaTheme="minorEastAsia"/>
          <w:color w:val="auto"/>
          <w:spacing w:val="-2"/>
          <w:w w:val="99"/>
          <w:highlight w:val="none"/>
          <w:lang w:val="de-DE"/>
        </w:rPr>
        <w:t>n</w:t>
      </w:r>
      <w:r>
        <w:rPr>
          <w:rFonts w:ascii="Times New Roman" w:hAnsi="Times New Roman" w:cs="Times New Roman" w:eastAsiaTheme="minorEastAsia"/>
          <w:color w:val="auto"/>
          <w:spacing w:val="-2"/>
          <w:w w:val="99"/>
          <w:highlight w:val="none"/>
          <w:vertAlign w:val="subscript"/>
          <w:lang w:val="de-DE"/>
        </w:rPr>
        <w:t>e</w:t>
      </w:r>
      <w:r>
        <w:rPr>
          <w:rFonts w:ascii="Times New Roman" w:hAnsi="Times New Roman" w:cs="Times New Roman" w:eastAsiaTheme="minorEastAsia"/>
          <w:color w:val="auto"/>
          <w:spacing w:val="-2"/>
          <w:w w:val="99"/>
          <w:highlight w:val="none"/>
          <w:vertAlign w:val="subscript"/>
        </w:rPr>
        <w:t>承压水</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lang w:val="en-US" w:eastAsia="zh-CN"/>
        </w:rPr>
        <w:t>30</w:t>
      </w:r>
      <w:r>
        <w:rPr>
          <w:rFonts w:ascii="Times New Roman" w:hAnsi="Times New Roman" w:cs="Times New Roman" w:eastAsiaTheme="minorEastAsia"/>
          <w:color w:val="auto"/>
          <w:spacing w:val="-2"/>
          <w:w w:val="99"/>
          <w:highlight w:val="none"/>
        </w:rPr>
        <w:t>。根据区域地下水等水位线与距离确定水力坡度，潜水水力坡度I</w:t>
      </w:r>
      <w:r>
        <w:rPr>
          <w:rFonts w:ascii="Times New Roman" w:hAnsi="Times New Roman" w:cs="Times New Roman" w:eastAsiaTheme="minorEastAsia"/>
          <w:color w:val="auto"/>
          <w:spacing w:val="-2"/>
          <w:w w:val="99"/>
          <w:highlight w:val="none"/>
          <w:vertAlign w:val="subscript"/>
        </w:rPr>
        <w:t>潜水</w:t>
      </w:r>
      <w:r>
        <w:rPr>
          <w:rFonts w:ascii="Times New Roman" w:hAnsi="Times New Roman" w:cs="Times New Roman" w:eastAsiaTheme="minorEastAsia"/>
          <w:color w:val="auto"/>
          <w:spacing w:val="-2"/>
          <w:w w:val="99"/>
          <w:highlight w:val="none"/>
        </w:rPr>
        <w:t>=0.00</w:t>
      </w:r>
      <w:r>
        <w:rPr>
          <w:rFonts w:hint="eastAsia" w:ascii="Times New Roman" w:hAnsi="Times New Roman" w:cs="Times New Roman" w:eastAsiaTheme="minorEastAsia"/>
          <w:color w:val="auto"/>
          <w:spacing w:val="-2"/>
          <w:w w:val="99"/>
          <w:highlight w:val="none"/>
          <w:lang w:val="en-US" w:eastAsia="zh-CN"/>
        </w:rPr>
        <w:t>14</w:t>
      </w:r>
      <w:r>
        <w:rPr>
          <w:rFonts w:ascii="Times New Roman" w:hAnsi="Times New Roman" w:cs="Times New Roman" w:eastAsiaTheme="minorEastAsia"/>
          <w:color w:val="auto"/>
          <w:spacing w:val="-2"/>
          <w:w w:val="99"/>
          <w:highlight w:val="none"/>
        </w:rPr>
        <w:t>、承压水水力坡度I</w:t>
      </w:r>
      <w:r>
        <w:rPr>
          <w:rFonts w:ascii="Times New Roman" w:hAnsi="Times New Roman" w:cs="Times New Roman" w:eastAsiaTheme="minorEastAsia"/>
          <w:color w:val="auto"/>
          <w:spacing w:val="-2"/>
          <w:w w:val="99"/>
          <w:highlight w:val="none"/>
          <w:vertAlign w:val="subscript"/>
        </w:rPr>
        <w:t>承压水</w:t>
      </w:r>
      <w:r>
        <w:rPr>
          <w:rFonts w:ascii="Times New Roman" w:hAnsi="Times New Roman" w:cs="Times New Roman" w:eastAsiaTheme="minorEastAsia"/>
          <w:color w:val="auto"/>
          <w:spacing w:val="-2"/>
          <w:w w:val="99"/>
          <w:highlight w:val="none"/>
        </w:rPr>
        <w:t>=0.000</w:t>
      </w:r>
      <w:r>
        <w:rPr>
          <w:rFonts w:hint="eastAsia" w:ascii="Times New Roman" w:hAnsi="Times New Roman" w:cs="Times New Roman" w:eastAsiaTheme="minorEastAsia"/>
          <w:color w:val="auto"/>
          <w:spacing w:val="-2"/>
          <w:w w:val="99"/>
          <w:highlight w:val="none"/>
          <w:lang w:val="en-US" w:eastAsia="zh-CN"/>
        </w:rPr>
        <w:t>7</w:t>
      </w:r>
      <w:r>
        <w:rPr>
          <w:rFonts w:ascii="Times New Roman" w:hAnsi="Times New Roman" w:cs="Times New Roman" w:eastAsiaTheme="minorEastAsia"/>
          <w:color w:val="auto"/>
          <w:spacing w:val="-2"/>
          <w:w w:val="99"/>
          <w:highlight w:val="none"/>
        </w:rPr>
        <w:t>。</w:t>
      </w:r>
    </w:p>
    <w:p w14:paraId="3080A892">
      <w:pPr>
        <w:widowControl w:val="0"/>
        <w:spacing w:line="440" w:lineRule="exact"/>
        <w:ind w:firstLine="46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spacing w:val="-2"/>
          <w:w w:val="99"/>
          <w:highlight w:val="none"/>
        </w:rPr>
        <w:t>经上述公式计算得出：</w:t>
      </w:r>
    </w:p>
    <w:p w14:paraId="13E24086">
      <w:pPr>
        <w:widowControl w:val="0"/>
        <w:spacing w:line="440" w:lineRule="exact"/>
        <w:ind w:firstLine="474" w:firstLineChars="200"/>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分散式饮用水源（中小型，承压水，</w:t>
      </w:r>
      <w:r>
        <w:rPr>
          <w:rFonts w:hint="eastAsia" w:ascii="Times New Roman" w:hAnsi="Times New Roman" w:cs="Times New Roman" w:eastAsiaTheme="minorEastAsia"/>
          <w:color w:val="auto"/>
          <w:w w:val="99"/>
          <w:highlight w:val="none"/>
          <w:lang w:val="en-US" w:eastAsia="zh-CN"/>
        </w:rPr>
        <w:t>仅</w:t>
      </w:r>
      <w:r>
        <w:rPr>
          <w:rFonts w:ascii="Times New Roman" w:hAnsi="Times New Roman" w:cs="Times New Roman" w:eastAsiaTheme="minorEastAsia"/>
          <w:color w:val="auto"/>
          <w:w w:val="99"/>
          <w:highlight w:val="none"/>
        </w:rPr>
        <w:t>划定</w:t>
      </w:r>
      <w:r>
        <w:rPr>
          <w:rFonts w:hint="eastAsia" w:ascii="Times New Roman" w:hAnsi="Times New Roman" w:cs="Times New Roman" w:eastAsiaTheme="minorEastAsia"/>
          <w:color w:val="auto"/>
          <w:w w:val="99"/>
          <w:highlight w:val="none"/>
          <w:lang w:val="en-US" w:eastAsia="zh-CN"/>
        </w:rPr>
        <w:t>一级</w:t>
      </w:r>
      <w:r>
        <w:rPr>
          <w:rFonts w:ascii="Times New Roman" w:hAnsi="Times New Roman" w:cs="Times New Roman" w:eastAsiaTheme="minorEastAsia"/>
          <w:color w:val="auto"/>
          <w:w w:val="99"/>
          <w:highlight w:val="none"/>
        </w:rPr>
        <w:t>保护区）</w:t>
      </w:r>
    </w:p>
    <w:p w14:paraId="1A5E6E1F">
      <w:pPr>
        <w:widowControl w:val="0"/>
        <w:spacing w:line="44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补给区L为以水源井为基准外扩L=2</w:t>
      </w:r>
      <w:r>
        <w:rPr>
          <w:rFonts w:ascii="Times New Roman" w:hAnsi="Times New Roman" w:cs="Times New Roman" w:eastAsiaTheme="minorEastAsia"/>
          <w:color w:val="auto"/>
          <w:w w:val="99"/>
          <w:highlight w:val="none"/>
          <w:lang w:val="de-DE"/>
        </w:rPr>
        <w:t>×</w:t>
      </w:r>
      <w:r>
        <w:rPr>
          <w:rFonts w:hint="eastAsia" w:ascii="Times New Roman" w:hAnsi="Times New Roman" w:cs="Times New Roman" w:eastAsiaTheme="minorEastAsia"/>
          <w:color w:val="auto"/>
          <w:w w:val="99"/>
          <w:highlight w:val="none"/>
          <w:lang w:val="en-US" w:eastAsia="zh-CN"/>
        </w:rPr>
        <w:t>50</w:t>
      </w:r>
      <w:r>
        <w:rPr>
          <w:rFonts w:ascii="Times New Roman" w:hAnsi="Times New Roman" w:cs="Times New Roman" w:eastAsiaTheme="minorEastAsia"/>
          <w:color w:val="auto"/>
          <w:w w:val="99"/>
          <w:highlight w:val="none"/>
          <w:lang w:val="de-DE"/>
        </w:rPr>
        <w:t>×0.000</w:t>
      </w:r>
      <w:r>
        <w:rPr>
          <w:rFonts w:hint="eastAsia" w:ascii="Times New Roman" w:hAnsi="Times New Roman" w:cs="Times New Roman" w:eastAsiaTheme="minorEastAsia"/>
          <w:color w:val="auto"/>
          <w:w w:val="99"/>
          <w:highlight w:val="none"/>
          <w:lang w:val="en-US" w:eastAsia="zh-CN"/>
        </w:rPr>
        <w:t>7</w:t>
      </w:r>
      <w:r>
        <w:rPr>
          <w:rFonts w:ascii="Times New Roman" w:hAnsi="Times New Roman" w:cs="Times New Roman" w:eastAsiaTheme="minorEastAsia"/>
          <w:color w:val="auto"/>
          <w:w w:val="99"/>
          <w:highlight w:val="none"/>
          <w:lang w:val="de-DE"/>
        </w:rPr>
        <w:t>×（</w:t>
      </w:r>
      <w:r>
        <w:rPr>
          <w:rFonts w:hint="eastAsia" w:ascii="Times New Roman" w:hAnsi="Times New Roman" w:cs="Times New Roman" w:eastAsiaTheme="minorEastAsia"/>
          <w:color w:val="auto"/>
          <w:w w:val="99"/>
          <w:highlight w:val="none"/>
          <w:lang w:val="en-US" w:eastAsia="zh-CN"/>
        </w:rPr>
        <w:t>15</w:t>
      </w:r>
      <w:r>
        <w:rPr>
          <w:rFonts w:ascii="Times New Roman" w:hAnsi="Times New Roman" w:cs="Times New Roman" w:eastAsiaTheme="minorEastAsia"/>
          <w:color w:val="auto"/>
          <w:w w:val="99"/>
          <w:highlight w:val="none"/>
          <w:lang w:val="de-DE"/>
        </w:rPr>
        <w:t>×365+1</w:t>
      </w:r>
      <w:r>
        <w:rPr>
          <w:rFonts w:hint="eastAsia" w:ascii="Times New Roman" w:hAnsi="Times New Roman" w:cs="Times New Roman" w:eastAsiaTheme="minorEastAsia"/>
          <w:color w:val="auto"/>
          <w:w w:val="99"/>
          <w:highlight w:val="none"/>
          <w:lang w:val="en-US" w:eastAsia="zh-CN"/>
        </w:rPr>
        <w:t>0</w:t>
      </w:r>
      <w:r>
        <w:rPr>
          <w:rFonts w:ascii="Times New Roman" w:hAnsi="Times New Roman" w:cs="Times New Roman" w:eastAsiaTheme="minorEastAsia"/>
          <w:color w:val="auto"/>
          <w:w w:val="99"/>
          <w:highlight w:val="none"/>
          <w:lang w:val="de-DE"/>
        </w:rPr>
        <w:t>00）/0.</w:t>
      </w:r>
      <w:r>
        <w:rPr>
          <w:rFonts w:hint="eastAsia" w:ascii="Times New Roman" w:hAnsi="Times New Roman" w:cs="Times New Roman" w:eastAsiaTheme="minorEastAsia"/>
          <w:color w:val="auto"/>
          <w:w w:val="99"/>
          <w:highlight w:val="none"/>
          <w:lang w:val="en-US" w:eastAsia="zh-CN"/>
        </w:rPr>
        <w:t>30+30</w:t>
      </w:r>
      <w:r>
        <w:rPr>
          <w:rFonts w:ascii="Times New Roman" w:hAnsi="Times New Roman" w:cs="Times New Roman" w:eastAsiaTheme="minorEastAsia"/>
          <w:color w:val="auto"/>
          <w:w w:val="99"/>
          <w:highlight w:val="none"/>
          <w:lang w:val="de-DE"/>
        </w:rPr>
        <w:t>=</w:t>
      </w:r>
      <w:r>
        <w:rPr>
          <w:rFonts w:hint="eastAsia" w:ascii="Times New Roman" w:hAnsi="Times New Roman" w:cs="Times New Roman" w:eastAsiaTheme="minorEastAsia"/>
          <w:color w:val="auto"/>
          <w:w w:val="99"/>
          <w:highlight w:val="none"/>
          <w:lang w:val="en-US" w:eastAsia="zh-CN"/>
        </w:rPr>
        <w:t>1513.83</w:t>
      </w:r>
      <w:r>
        <w:rPr>
          <w:rFonts w:ascii="Times New Roman" w:hAnsi="Times New Roman" w:cs="Times New Roman" w:eastAsiaTheme="minorEastAsia"/>
          <w:color w:val="auto"/>
          <w:w w:val="99"/>
          <w:highlight w:val="none"/>
        </w:rPr>
        <w:t>m的区域；</w:t>
      </w:r>
    </w:p>
    <w:p w14:paraId="783121B9">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不敏感区为</w:t>
      </w:r>
      <w:r>
        <w:rPr>
          <w:rFonts w:hint="eastAsia" w:ascii="Times New Roman" w:hAnsi="Times New Roman" w:cs="Times New Roman" w:eastAsiaTheme="minorEastAsia"/>
          <w:color w:val="auto"/>
          <w:w w:val="99"/>
          <w:highlight w:val="none"/>
          <w:lang w:val="en-US" w:eastAsia="zh-CN"/>
        </w:rPr>
        <w:t>1513.8</w:t>
      </w:r>
      <w:r>
        <w:rPr>
          <w:rFonts w:ascii="Times New Roman" w:hAnsi="Times New Roman" w:cs="Times New Roman" w:eastAsiaTheme="minorEastAsia"/>
          <w:color w:val="auto"/>
          <w:w w:val="99"/>
          <w:highlight w:val="none"/>
        </w:rPr>
        <w:t>m以外的区域。</w:t>
      </w:r>
    </w:p>
    <w:p w14:paraId="50389082">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分散式饮用水源（中小型，潜水，</w:t>
      </w:r>
      <w:r>
        <w:rPr>
          <w:rFonts w:hint="eastAsia" w:ascii="Times New Roman" w:hAnsi="Times New Roman" w:cs="Times New Roman" w:eastAsiaTheme="minorEastAsia"/>
          <w:color w:val="auto"/>
          <w:w w:val="99"/>
          <w:highlight w:val="none"/>
          <w:lang w:val="en-US" w:eastAsia="zh-CN"/>
        </w:rPr>
        <w:t>仅</w:t>
      </w:r>
      <w:r>
        <w:rPr>
          <w:rFonts w:ascii="Times New Roman" w:hAnsi="Times New Roman" w:cs="Times New Roman" w:eastAsiaTheme="minorEastAsia"/>
          <w:color w:val="auto"/>
          <w:w w:val="99"/>
          <w:highlight w:val="none"/>
        </w:rPr>
        <w:t>划定</w:t>
      </w:r>
      <w:r>
        <w:rPr>
          <w:rFonts w:hint="eastAsia" w:ascii="Times New Roman" w:hAnsi="Times New Roman" w:cs="Times New Roman" w:eastAsiaTheme="minorEastAsia"/>
          <w:color w:val="auto"/>
          <w:w w:val="99"/>
          <w:highlight w:val="none"/>
          <w:lang w:val="en-US" w:eastAsia="zh-CN"/>
        </w:rPr>
        <w:t>一级</w:t>
      </w:r>
      <w:r>
        <w:rPr>
          <w:rFonts w:ascii="Times New Roman" w:hAnsi="Times New Roman" w:cs="Times New Roman" w:eastAsiaTheme="minorEastAsia"/>
          <w:color w:val="auto"/>
          <w:w w:val="99"/>
          <w:highlight w:val="none"/>
        </w:rPr>
        <w:t>保护区）</w:t>
      </w:r>
    </w:p>
    <w:p w14:paraId="3330DB11">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补给区L为以水源井为基准外扩L=2</w:t>
      </w:r>
      <w:r>
        <w:rPr>
          <w:rFonts w:ascii="Times New Roman" w:hAnsi="Times New Roman" w:cs="Times New Roman" w:eastAsiaTheme="minorEastAsia"/>
          <w:color w:val="auto"/>
          <w:w w:val="99"/>
          <w:highlight w:val="none"/>
          <w:lang w:val="de-DE"/>
        </w:rPr>
        <w:t>×</w:t>
      </w:r>
      <w:r>
        <w:rPr>
          <w:rFonts w:hint="eastAsia" w:ascii="Times New Roman" w:hAnsi="Times New Roman" w:cs="Times New Roman" w:eastAsiaTheme="minorEastAsia"/>
          <w:color w:val="auto"/>
          <w:w w:val="99"/>
          <w:highlight w:val="none"/>
          <w:lang w:val="en-US" w:eastAsia="zh-CN"/>
        </w:rPr>
        <w:t>5.0</w:t>
      </w:r>
      <w:r>
        <w:rPr>
          <w:rFonts w:ascii="Times New Roman" w:hAnsi="Times New Roman" w:cs="Times New Roman" w:eastAsiaTheme="minorEastAsia"/>
          <w:color w:val="auto"/>
          <w:w w:val="99"/>
          <w:highlight w:val="none"/>
          <w:lang w:val="de-DE"/>
        </w:rPr>
        <w:t>×0.00</w:t>
      </w:r>
      <w:r>
        <w:rPr>
          <w:rFonts w:hint="eastAsia" w:ascii="Times New Roman" w:hAnsi="Times New Roman" w:cs="Times New Roman" w:eastAsiaTheme="minorEastAsia"/>
          <w:color w:val="auto"/>
          <w:w w:val="99"/>
          <w:highlight w:val="none"/>
          <w:lang w:val="en-US" w:eastAsia="zh-CN"/>
        </w:rPr>
        <w:t>14</w:t>
      </w:r>
      <w:r>
        <w:rPr>
          <w:rFonts w:ascii="Times New Roman" w:hAnsi="Times New Roman" w:cs="Times New Roman" w:eastAsiaTheme="minorEastAsia"/>
          <w:color w:val="auto"/>
          <w:w w:val="99"/>
          <w:highlight w:val="none"/>
          <w:lang w:val="de-DE"/>
        </w:rPr>
        <w:t>×（15×365+1</w:t>
      </w:r>
      <w:r>
        <w:rPr>
          <w:rFonts w:hint="eastAsia" w:ascii="Times New Roman" w:hAnsi="Times New Roman" w:cs="Times New Roman" w:eastAsiaTheme="minorEastAsia"/>
          <w:color w:val="auto"/>
          <w:w w:val="99"/>
          <w:highlight w:val="none"/>
          <w:lang w:val="en-US" w:eastAsia="zh-CN"/>
        </w:rPr>
        <w:t>0</w:t>
      </w:r>
      <w:r>
        <w:rPr>
          <w:rFonts w:ascii="Times New Roman" w:hAnsi="Times New Roman" w:cs="Times New Roman" w:eastAsiaTheme="minorEastAsia"/>
          <w:color w:val="auto"/>
          <w:w w:val="99"/>
          <w:highlight w:val="none"/>
          <w:lang w:val="de-DE"/>
        </w:rPr>
        <w:t>00）/0.</w:t>
      </w:r>
      <w:r>
        <w:rPr>
          <w:rFonts w:hint="eastAsia" w:ascii="Times New Roman" w:hAnsi="Times New Roman" w:cs="Times New Roman" w:eastAsiaTheme="minorEastAsia"/>
          <w:color w:val="auto"/>
          <w:w w:val="99"/>
          <w:highlight w:val="none"/>
          <w:lang w:val="en-US" w:eastAsia="zh-CN"/>
        </w:rPr>
        <w:t>20+30</w:t>
      </w:r>
      <w:r>
        <w:rPr>
          <w:rFonts w:ascii="Times New Roman" w:hAnsi="Times New Roman" w:cs="Times New Roman" w:eastAsiaTheme="minorEastAsia"/>
          <w:color w:val="auto"/>
          <w:w w:val="99"/>
          <w:highlight w:val="none"/>
          <w:lang w:val="de-DE"/>
        </w:rPr>
        <w:t>=</w:t>
      </w:r>
      <w:r>
        <w:rPr>
          <w:rFonts w:hint="eastAsia" w:ascii="Times New Roman" w:hAnsi="Times New Roman" w:cs="Times New Roman" w:eastAsiaTheme="minorEastAsia"/>
          <w:color w:val="auto"/>
          <w:w w:val="99"/>
          <w:highlight w:val="none"/>
          <w:lang w:val="en-US" w:eastAsia="zh-CN"/>
        </w:rPr>
        <w:t>483.25</w:t>
      </w:r>
      <w:r>
        <w:rPr>
          <w:rFonts w:ascii="Times New Roman" w:hAnsi="Times New Roman" w:cs="Times New Roman" w:eastAsiaTheme="minorEastAsia"/>
          <w:color w:val="auto"/>
          <w:w w:val="99"/>
          <w:highlight w:val="none"/>
        </w:rPr>
        <w:t>m的区域；</w:t>
      </w:r>
    </w:p>
    <w:p w14:paraId="47CB003E">
      <w:pPr>
        <w:widowControl w:val="0"/>
        <w:spacing w:line="440" w:lineRule="exact"/>
        <w:ind w:firstLine="46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Cs/>
          <w:color w:val="auto"/>
          <w:spacing w:val="-2"/>
          <w:w w:val="99"/>
          <w:highlight w:val="none"/>
        </w:rPr>
        <w:t>根据现场调查，距离本项目最近的村屯</w:t>
      </w:r>
      <w:r>
        <w:rPr>
          <w:rFonts w:hint="eastAsia" w:ascii="Times New Roman" w:hAnsi="Times New Roman" w:cs="Times New Roman" w:eastAsiaTheme="minorEastAsia"/>
          <w:bCs/>
          <w:color w:val="auto"/>
          <w:spacing w:val="-2"/>
          <w:w w:val="99"/>
          <w:highlight w:val="none"/>
          <w:lang w:val="en-US" w:eastAsia="zh-CN"/>
        </w:rPr>
        <w:t>水井</w:t>
      </w:r>
      <w:r>
        <w:rPr>
          <w:rFonts w:ascii="Times New Roman" w:hAnsi="Times New Roman" w:cs="Times New Roman" w:eastAsiaTheme="minorEastAsia"/>
          <w:bCs/>
          <w:color w:val="auto"/>
          <w:spacing w:val="-2"/>
          <w:w w:val="99"/>
          <w:highlight w:val="none"/>
        </w:rPr>
        <w:t>为</w:t>
      </w:r>
      <w:r>
        <w:rPr>
          <w:rFonts w:hint="eastAsia" w:ascii="Times New Roman" w:hAnsi="Times New Roman" w:cs="Times New Roman" w:eastAsiaTheme="minorEastAsia"/>
          <w:bCs/>
          <w:color w:val="auto"/>
          <w:spacing w:val="-2"/>
          <w:w w:val="99"/>
          <w:highlight w:val="none"/>
          <w:lang w:eastAsia="zh-CN"/>
        </w:rPr>
        <w:t>拟建徐深27-H1井</w:t>
      </w:r>
      <w:r>
        <w:rPr>
          <w:rFonts w:hint="eastAsia" w:ascii="Times New Roman" w:hAnsi="Times New Roman" w:cs="Times New Roman" w:eastAsiaTheme="minorEastAsia"/>
          <w:bCs/>
          <w:color w:val="auto"/>
          <w:spacing w:val="-2"/>
          <w:w w:val="99"/>
          <w:highlight w:val="none"/>
          <w:lang w:val="en-US" w:eastAsia="zh-CN"/>
        </w:rPr>
        <w:t>东</w:t>
      </w:r>
      <w:r>
        <w:rPr>
          <w:rFonts w:hint="eastAsia" w:ascii="Times New Roman" w:hAnsi="Times New Roman" w:cs="Times New Roman" w:eastAsiaTheme="minorEastAsia"/>
          <w:bCs/>
          <w:color w:val="auto"/>
          <w:spacing w:val="-2"/>
          <w:w w:val="99"/>
          <w:highlight w:val="none"/>
          <w:lang w:eastAsia="zh-CN"/>
        </w:rPr>
        <w:t>北侧</w:t>
      </w:r>
      <w:r>
        <w:rPr>
          <w:rFonts w:hint="eastAsia" w:ascii="Times New Roman" w:hAnsi="Times New Roman" w:cs="Times New Roman" w:eastAsiaTheme="minorEastAsia"/>
          <w:bCs/>
          <w:color w:val="auto"/>
          <w:spacing w:val="-2"/>
          <w:w w:val="99"/>
          <w:highlight w:val="none"/>
          <w:lang w:val="en-US" w:eastAsia="zh-CN"/>
        </w:rPr>
        <w:t>380</w:t>
      </w:r>
      <w:r>
        <w:rPr>
          <w:rFonts w:hint="eastAsia" w:ascii="Times New Roman" w:hAnsi="Times New Roman" w:cs="Times New Roman" w:eastAsiaTheme="minorEastAsia"/>
          <w:bCs/>
          <w:color w:val="auto"/>
          <w:spacing w:val="-2"/>
          <w:w w:val="99"/>
          <w:highlight w:val="none"/>
          <w:lang w:eastAsia="zh-CN"/>
        </w:rPr>
        <w:t>m的</w:t>
      </w:r>
      <w:r>
        <w:rPr>
          <w:rFonts w:hint="eastAsia" w:ascii="Times New Roman" w:hAnsi="Times New Roman" w:cs="Times New Roman" w:eastAsiaTheme="minorEastAsia"/>
          <w:bCs/>
          <w:color w:val="auto"/>
          <w:spacing w:val="-2"/>
          <w:w w:val="99"/>
          <w:highlight w:val="none"/>
          <w:lang w:val="en-US" w:eastAsia="zh-CN"/>
        </w:rPr>
        <w:t>邢家围子屯水井</w:t>
      </w:r>
      <w:r>
        <w:rPr>
          <w:rFonts w:ascii="Times New Roman" w:hAnsi="Times New Roman" w:cs="Times New Roman" w:eastAsiaTheme="minorEastAsia"/>
          <w:bCs/>
          <w:color w:val="auto"/>
          <w:spacing w:val="-2"/>
          <w:w w:val="99"/>
          <w:highlight w:val="none"/>
        </w:rPr>
        <w:t>。</w:t>
      </w:r>
      <w:r>
        <w:rPr>
          <w:rFonts w:hint="eastAsia" w:ascii="Times New Roman" w:hAnsi="Times New Roman" w:cs="Times New Roman" w:eastAsiaTheme="minorEastAsia"/>
          <w:bCs/>
          <w:color w:val="auto"/>
          <w:spacing w:val="-2"/>
          <w:w w:val="99"/>
          <w:highlight w:val="none"/>
          <w:lang w:val="en-US" w:eastAsia="zh-CN"/>
        </w:rPr>
        <w:t>邢家围子屯</w:t>
      </w:r>
      <w:r>
        <w:rPr>
          <w:rFonts w:ascii="Times New Roman" w:hAnsi="Times New Roman" w:cs="Times New Roman" w:eastAsiaTheme="minorEastAsia"/>
          <w:bCs/>
          <w:color w:val="auto"/>
          <w:spacing w:val="-2"/>
          <w:w w:val="99"/>
          <w:highlight w:val="none"/>
        </w:rPr>
        <w:t>居民饮用水由村内分散式饮用水源井供给，该水源井</w:t>
      </w:r>
      <w:r>
        <w:rPr>
          <w:rFonts w:hint="eastAsia" w:ascii="Times New Roman" w:hAnsi="Times New Roman" w:cs="Times New Roman" w:eastAsiaTheme="minorEastAsia"/>
          <w:bCs/>
          <w:color w:val="auto"/>
          <w:spacing w:val="-2"/>
          <w:w w:val="99"/>
          <w:highlight w:val="none"/>
          <w:lang w:val="en-US" w:eastAsia="zh-CN"/>
        </w:rPr>
        <w:t>位于</w:t>
      </w:r>
      <w:r>
        <w:rPr>
          <w:rFonts w:ascii="Times New Roman" w:hAnsi="Times New Roman" w:cs="Times New Roman" w:eastAsiaTheme="minorEastAsia"/>
          <w:bCs/>
          <w:color w:val="auto"/>
          <w:spacing w:val="-2"/>
          <w:w w:val="99"/>
          <w:highlight w:val="none"/>
        </w:rPr>
        <w:t>较敏感区内</w:t>
      </w:r>
      <w:r>
        <w:rPr>
          <w:rFonts w:hint="eastAsia" w:ascii="Times New Roman" w:hAnsi="Times New Roman" w:cs="Times New Roman" w:eastAsiaTheme="minorEastAsia"/>
          <w:bCs/>
          <w:color w:val="auto"/>
          <w:spacing w:val="-2"/>
          <w:w w:val="99"/>
          <w:highlight w:val="none"/>
          <w:lang w:eastAsia="zh-CN"/>
        </w:rPr>
        <w:t>，</w:t>
      </w:r>
      <w:r>
        <w:rPr>
          <w:rFonts w:ascii="Times New Roman" w:hAnsi="Times New Roman" w:cs="Times New Roman" w:eastAsiaTheme="minorEastAsia"/>
          <w:color w:val="auto"/>
          <w:spacing w:val="-2"/>
          <w:w w:val="99"/>
          <w:highlight w:val="none"/>
        </w:rPr>
        <w:t>因此评价区域地下水环境属于“</w:t>
      </w:r>
      <w:r>
        <w:rPr>
          <w:rFonts w:hint="eastAsia" w:ascii="Times New Roman" w:hAnsi="Times New Roman" w:cs="Times New Roman" w:eastAsiaTheme="minorEastAsia"/>
          <w:color w:val="auto"/>
          <w:spacing w:val="-2"/>
          <w:w w:val="99"/>
          <w:highlight w:val="none"/>
          <w:lang w:val="en-US" w:eastAsia="zh-CN"/>
        </w:rPr>
        <w:t>较</w:t>
      </w:r>
      <w:r>
        <w:rPr>
          <w:rFonts w:ascii="Times New Roman" w:hAnsi="Times New Roman" w:cs="Times New Roman" w:eastAsiaTheme="minorEastAsia"/>
          <w:color w:val="auto"/>
          <w:spacing w:val="-2"/>
          <w:w w:val="99"/>
          <w:highlight w:val="none"/>
        </w:rPr>
        <w:t>敏感”区域。</w:t>
      </w:r>
    </w:p>
    <w:p w14:paraId="20E6C1F5">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（3）评价等级判别</w:t>
      </w:r>
    </w:p>
    <w:p w14:paraId="4FABA394">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建设项目地下水环境影响评价工作等级划分见表2.7-</w:t>
      </w:r>
      <w:r>
        <w:rPr>
          <w:rFonts w:hint="eastAsia" w:ascii="Times New Roman" w:hAnsi="Times New Roman" w:cs="Times New Roman"/>
          <w:color w:val="auto"/>
          <w:spacing w:val="4"/>
          <w:w w:val="99"/>
          <w:kern w:val="2"/>
          <w:position w:val="2"/>
          <w:sz w:val="24"/>
          <w:szCs w:val="24"/>
          <w:highlight w:val="none"/>
          <w:lang w:val="en-US" w:eastAsia="zh-CN" w:bidi="ar-SA"/>
        </w:rPr>
        <w:t>9</w:t>
      </w:r>
      <w:r>
        <w:rPr>
          <w:rFonts w:ascii="Times New Roman" w:hAnsi="Times New Roman" w:eastAsia="宋体" w:cs="Times New Roman"/>
          <w:color w:val="auto"/>
          <w:spacing w:val="4"/>
          <w:w w:val="99"/>
          <w:kern w:val="2"/>
          <w:position w:val="2"/>
          <w:sz w:val="24"/>
          <w:szCs w:val="24"/>
          <w:highlight w:val="none"/>
          <w:lang w:val="en-US" w:eastAsia="zh-CN" w:bidi="ar-SA"/>
        </w:rPr>
        <w:t>。</w:t>
      </w:r>
    </w:p>
    <w:p w14:paraId="06AF3ADD">
      <w:pPr>
        <w:pStyle w:val="153"/>
        <w:widowControl w:val="0"/>
        <w:spacing w:line="440" w:lineRule="exact"/>
        <w:ind w:firstLine="478"/>
        <w:jc w:val="both"/>
        <w:rPr>
          <w:rFonts w:ascii="Times New Roman" w:hAnsi="Times New Roman" w:eastAsiaTheme="minorEastAsia"/>
          <w:snapToGrid w:val="0"/>
          <w:color w:val="auto"/>
          <w:w w:val="99"/>
          <w:highlight w:val="none"/>
        </w:rPr>
      </w:pPr>
      <w:r>
        <w:rPr>
          <w:rFonts w:ascii="Times New Roman" w:hAnsi="Times New Roman" w:eastAsiaTheme="minorEastAsia"/>
          <w:b/>
          <w:bCs/>
          <w:color w:val="auto"/>
          <w:w w:val="99"/>
          <w:highlight w:val="none"/>
        </w:rPr>
        <w:t>表2.7-</w:t>
      </w:r>
      <w:r>
        <w:rPr>
          <w:rFonts w:hint="eastAsia" w:ascii="Times New Roman" w:hAnsi="Times New Roman" w:eastAsiaTheme="minorEastAsia"/>
          <w:b/>
          <w:bCs/>
          <w:color w:val="auto"/>
          <w:w w:val="99"/>
          <w:highlight w:val="none"/>
          <w:lang w:val="en-US" w:eastAsia="zh-CN"/>
        </w:rPr>
        <w:t>9</w:t>
      </w:r>
      <w:r>
        <w:rPr>
          <w:rFonts w:ascii="Times New Roman" w:hAnsi="Times New Roman" w:eastAsiaTheme="minorEastAsia"/>
          <w:b/>
          <w:bCs/>
          <w:color w:val="auto"/>
          <w:w w:val="99"/>
          <w:highlight w:val="none"/>
        </w:rPr>
        <w:t xml:space="preserve">    评价工作等级表</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68"/>
        <w:gridCol w:w="2272"/>
        <w:gridCol w:w="2270"/>
        <w:gridCol w:w="2271"/>
      </w:tblGrid>
      <w:tr w14:paraId="3647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tcBorders>
              <w:tl2br w:val="single" w:color="auto" w:sz="4" w:space="0"/>
            </w:tcBorders>
            <w:vAlign w:val="center"/>
          </w:tcPr>
          <w:p w14:paraId="0B71D87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       项目类别</w:t>
            </w:r>
          </w:p>
          <w:p w14:paraId="2989750B">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环境敏感程度</w:t>
            </w:r>
          </w:p>
        </w:tc>
        <w:tc>
          <w:tcPr>
            <w:tcW w:w="1251" w:type="pct"/>
            <w:tcBorders>
              <w:tl2br w:val="nil"/>
            </w:tcBorders>
            <w:vAlign w:val="center"/>
          </w:tcPr>
          <w:p w14:paraId="195BE27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color w:val="auto"/>
                <w:w w:val="99"/>
                <w:sz w:val="21"/>
                <w:szCs w:val="21"/>
                <w:highlight w:val="none"/>
              </w:rPr>
              <w:t>Ⅰ</w:t>
            </w:r>
            <w:r>
              <w:rPr>
                <w:rFonts w:ascii="Times New Roman" w:hAnsi="Times New Roman" w:cs="Times New Roman" w:eastAsiaTheme="minorEastAsia"/>
                <w:color w:val="auto"/>
                <w:w w:val="99"/>
                <w:sz w:val="21"/>
                <w:szCs w:val="21"/>
                <w:highlight w:val="none"/>
              </w:rPr>
              <w:t>类项目</w:t>
            </w:r>
          </w:p>
        </w:tc>
        <w:tc>
          <w:tcPr>
            <w:tcW w:w="1250" w:type="pct"/>
            <w:vAlign w:val="center"/>
          </w:tcPr>
          <w:p w14:paraId="750CB7C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color w:val="auto"/>
                <w:w w:val="99"/>
                <w:sz w:val="21"/>
                <w:szCs w:val="21"/>
                <w:highlight w:val="none"/>
              </w:rPr>
              <w:t>Ⅱ</w:t>
            </w:r>
            <w:r>
              <w:rPr>
                <w:rFonts w:ascii="Times New Roman" w:hAnsi="Times New Roman" w:cs="Times New Roman" w:eastAsiaTheme="minorEastAsia"/>
                <w:color w:val="auto"/>
                <w:w w:val="99"/>
                <w:sz w:val="21"/>
                <w:szCs w:val="21"/>
                <w:highlight w:val="none"/>
              </w:rPr>
              <w:t>类项目</w:t>
            </w:r>
          </w:p>
        </w:tc>
        <w:tc>
          <w:tcPr>
            <w:tcW w:w="1250" w:type="pct"/>
            <w:vAlign w:val="center"/>
          </w:tcPr>
          <w:p w14:paraId="03F3AD2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color w:val="auto"/>
                <w:w w:val="99"/>
                <w:sz w:val="21"/>
                <w:szCs w:val="21"/>
                <w:highlight w:val="none"/>
              </w:rPr>
              <w:t>Ⅲ</w:t>
            </w:r>
            <w:r>
              <w:rPr>
                <w:rFonts w:ascii="Times New Roman" w:hAnsi="Times New Roman" w:cs="Times New Roman" w:eastAsiaTheme="minorEastAsia"/>
                <w:color w:val="auto"/>
                <w:w w:val="99"/>
                <w:sz w:val="21"/>
                <w:szCs w:val="21"/>
                <w:highlight w:val="none"/>
              </w:rPr>
              <w:t>类项目</w:t>
            </w:r>
          </w:p>
        </w:tc>
      </w:tr>
      <w:tr w14:paraId="1950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14:paraId="72125EF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1251" w:type="pct"/>
            <w:vAlign w:val="center"/>
          </w:tcPr>
          <w:p w14:paraId="45D20A0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14:paraId="25D6FEA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14:paraId="43F496F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w:t>
            </w:r>
          </w:p>
        </w:tc>
      </w:tr>
      <w:tr w14:paraId="7029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14:paraId="48CDA0D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1251" w:type="pct"/>
            <w:vAlign w:val="center"/>
          </w:tcPr>
          <w:p w14:paraId="139FCC7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14:paraId="7474D1B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
                <w:bCs/>
                <w:color w:val="auto"/>
                <w:w w:val="99"/>
                <w:sz w:val="21"/>
                <w:szCs w:val="21"/>
                <w:highlight w:val="none"/>
              </w:rPr>
              <w:t>二</w:t>
            </w:r>
          </w:p>
        </w:tc>
        <w:tc>
          <w:tcPr>
            <w:tcW w:w="1250" w:type="pct"/>
            <w:vAlign w:val="center"/>
          </w:tcPr>
          <w:p w14:paraId="409D5DE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w:t>
            </w:r>
          </w:p>
        </w:tc>
      </w:tr>
      <w:tr w14:paraId="7CFE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14:paraId="72C5398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1251" w:type="pct"/>
            <w:vAlign w:val="center"/>
          </w:tcPr>
          <w:p w14:paraId="133C74C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w:t>
            </w:r>
          </w:p>
        </w:tc>
        <w:tc>
          <w:tcPr>
            <w:tcW w:w="1250" w:type="pct"/>
            <w:vAlign w:val="center"/>
          </w:tcPr>
          <w:p w14:paraId="115847C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 w:val="0"/>
                <w:bCs w:val="0"/>
                <w:color w:val="auto"/>
                <w:w w:val="99"/>
                <w:sz w:val="21"/>
                <w:szCs w:val="21"/>
                <w:highlight w:val="none"/>
              </w:rPr>
              <w:t>三</w:t>
            </w:r>
          </w:p>
        </w:tc>
        <w:tc>
          <w:tcPr>
            <w:tcW w:w="1250" w:type="pct"/>
            <w:vAlign w:val="center"/>
          </w:tcPr>
          <w:p w14:paraId="02C5E56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w:t>
            </w:r>
          </w:p>
        </w:tc>
      </w:tr>
    </w:tbl>
    <w:p w14:paraId="1FAB1FEC">
      <w:pPr>
        <w:pStyle w:val="153"/>
        <w:widowControl w:val="0"/>
        <w:spacing w:line="440" w:lineRule="exact"/>
        <w:ind w:firstLine="473"/>
        <w:jc w:val="both"/>
        <w:rPr>
          <w:rFonts w:hint="default" w:ascii="Times New Roman" w:hAnsi="Times New Roman" w:eastAsia="宋体" w:cs="Times New Roman"/>
          <w:color w:val="auto"/>
          <w:spacing w:val="4"/>
          <w:w w:val="99"/>
          <w:kern w:val="2"/>
          <w:position w:val="2"/>
          <w:sz w:val="24"/>
          <w:szCs w:val="24"/>
          <w:highlight w:val="none"/>
          <w:lang w:val="en-US" w:eastAsia="zh-CN" w:bidi="ar-SA"/>
        </w:rPr>
      </w:pPr>
      <w:r>
        <w:rPr>
          <w:rFonts w:hint="default" w:ascii="Times New Roman" w:hAnsi="Times New Roman" w:eastAsia="宋体" w:cs="Times New Roman"/>
          <w:color w:val="auto"/>
          <w:spacing w:val="4"/>
          <w:w w:val="99"/>
          <w:kern w:val="2"/>
          <w:position w:val="2"/>
          <w:sz w:val="24"/>
          <w:szCs w:val="24"/>
          <w:highlight w:val="none"/>
          <w:lang w:val="en-US" w:eastAsia="zh-CN" w:bidi="ar-SA"/>
        </w:rPr>
        <w:t>依据表2.</w:t>
      </w:r>
      <w:r>
        <w:rPr>
          <w:rFonts w:hint="eastAsia" w:ascii="Times New Roman" w:hAnsi="Times New Roman" w:eastAsia="宋体" w:cs="Times New Roman"/>
          <w:color w:val="auto"/>
          <w:spacing w:val="4"/>
          <w:w w:val="99"/>
          <w:kern w:val="2"/>
          <w:position w:val="2"/>
          <w:sz w:val="24"/>
          <w:szCs w:val="24"/>
          <w:highlight w:val="none"/>
          <w:lang w:val="en-US" w:eastAsia="zh-CN" w:bidi="ar-SA"/>
        </w:rPr>
        <w:t>7-</w:t>
      </w:r>
      <w:r>
        <w:rPr>
          <w:rFonts w:hint="eastAsia" w:ascii="Times New Roman" w:hAnsi="Times New Roman" w:cs="Times New Roman"/>
          <w:color w:val="auto"/>
          <w:spacing w:val="4"/>
          <w:w w:val="99"/>
          <w:kern w:val="2"/>
          <w:position w:val="2"/>
          <w:sz w:val="24"/>
          <w:szCs w:val="24"/>
          <w:highlight w:val="none"/>
          <w:lang w:val="en-US" w:eastAsia="zh-CN" w:bidi="ar-SA"/>
        </w:rPr>
        <w:t>9</w:t>
      </w:r>
      <w:r>
        <w:rPr>
          <w:rFonts w:hint="default" w:ascii="Times New Roman" w:hAnsi="Times New Roman" w:eastAsia="宋体" w:cs="Times New Roman"/>
          <w:color w:val="auto"/>
          <w:spacing w:val="4"/>
          <w:w w:val="99"/>
          <w:kern w:val="2"/>
          <w:position w:val="2"/>
          <w:sz w:val="24"/>
          <w:szCs w:val="24"/>
          <w:highlight w:val="none"/>
          <w:lang w:val="en-US" w:eastAsia="zh-CN" w:bidi="ar-SA"/>
        </w:rPr>
        <w:t>的评价工作等级划分原则，本项目涉及的井场、</w:t>
      </w:r>
      <w:r>
        <w:rPr>
          <w:rFonts w:hint="eastAsia" w:ascii="Times New Roman" w:hAnsi="Times New Roman" w:cs="Times New Roman"/>
          <w:color w:val="auto"/>
          <w:spacing w:val="4"/>
          <w:w w:val="99"/>
          <w:kern w:val="2"/>
          <w:position w:val="2"/>
          <w:sz w:val="24"/>
          <w:szCs w:val="24"/>
          <w:highlight w:val="none"/>
          <w:lang w:val="en-US" w:eastAsia="zh-CN" w:bidi="ar-SA"/>
        </w:rPr>
        <w:t>改造</w:t>
      </w:r>
      <w:r>
        <w:rPr>
          <w:rFonts w:hint="default" w:ascii="Times New Roman" w:hAnsi="Times New Roman" w:eastAsia="宋体" w:cs="Times New Roman"/>
          <w:color w:val="auto"/>
          <w:spacing w:val="4"/>
          <w:w w:val="99"/>
          <w:kern w:val="2"/>
          <w:position w:val="2"/>
          <w:sz w:val="24"/>
          <w:szCs w:val="24"/>
          <w:highlight w:val="none"/>
          <w:lang w:val="en-US" w:eastAsia="zh-CN" w:bidi="ar-SA"/>
        </w:rPr>
        <w:t>站场为Ⅱ类项目，地下水环境敏感程度为</w:t>
      </w:r>
      <w:r>
        <w:rPr>
          <w:rFonts w:hint="eastAsia" w:ascii="Times New Roman" w:hAnsi="Times New Roman" w:cs="Times New Roman"/>
          <w:color w:val="auto"/>
          <w:spacing w:val="4"/>
          <w:w w:val="99"/>
          <w:kern w:val="2"/>
          <w:position w:val="2"/>
          <w:sz w:val="24"/>
          <w:szCs w:val="24"/>
          <w:highlight w:val="none"/>
          <w:lang w:val="en-US" w:eastAsia="zh-CN" w:bidi="ar-SA"/>
        </w:rPr>
        <w:t>较</w:t>
      </w:r>
      <w:r>
        <w:rPr>
          <w:rFonts w:hint="default" w:ascii="Times New Roman" w:hAnsi="Times New Roman" w:eastAsia="宋体" w:cs="Times New Roman"/>
          <w:color w:val="auto"/>
          <w:spacing w:val="4"/>
          <w:w w:val="99"/>
          <w:kern w:val="2"/>
          <w:position w:val="2"/>
          <w:sz w:val="24"/>
          <w:szCs w:val="24"/>
          <w:highlight w:val="none"/>
          <w:lang w:val="en-US" w:eastAsia="zh-CN" w:bidi="ar-SA"/>
        </w:rPr>
        <w:t>敏感，地下水评价工作等级为</w:t>
      </w:r>
      <w:r>
        <w:rPr>
          <w:rFonts w:hint="eastAsia" w:ascii="Times New Roman" w:hAnsi="Times New Roman" w:cs="Times New Roman"/>
          <w:color w:val="auto"/>
          <w:spacing w:val="4"/>
          <w:w w:val="99"/>
          <w:kern w:val="2"/>
          <w:position w:val="2"/>
          <w:sz w:val="24"/>
          <w:szCs w:val="24"/>
          <w:highlight w:val="none"/>
          <w:lang w:val="en-US" w:eastAsia="zh-CN" w:bidi="ar-SA"/>
        </w:rPr>
        <w:t>二</w:t>
      </w:r>
      <w:r>
        <w:rPr>
          <w:rFonts w:hint="default" w:ascii="Times New Roman" w:hAnsi="Times New Roman" w:eastAsia="宋体" w:cs="Times New Roman"/>
          <w:color w:val="auto"/>
          <w:spacing w:val="4"/>
          <w:w w:val="99"/>
          <w:kern w:val="2"/>
          <w:position w:val="2"/>
          <w:sz w:val="24"/>
          <w:szCs w:val="24"/>
          <w:highlight w:val="none"/>
          <w:lang w:val="en-US" w:eastAsia="zh-CN" w:bidi="ar-SA"/>
        </w:rPr>
        <w:t>级；涉及的</w:t>
      </w:r>
      <w:r>
        <w:rPr>
          <w:rFonts w:hint="eastAsia" w:ascii="Times New Roman" w:hAnsi="Times New Roman" w:eastAsia="宋体" w:cs="Times New Roman"/>
          <w:color w:val="auto"/>
          <w:spacing w:val="4"/>
          <w:w w:val="99"/>
          <w:kern w:val="2"/>
          <w:position w:val="2"/>
          <w:sz w:val="24"/>
          <w:szCs w:val="24"/>
          <w:highlight w:val="none"/>
          <w:lang w:val="en-US" w:eastAsia="zh-CN" w:bidi="ar-SA"/>
        </w:rPr>
        <w:t>集气管线、外输气管线</w:t>
      </w:r>
      <w:r>
        <w:rPr>
          <w:rFonts w:hint="default" w:ascii="Times New Roman" w:hAnsi="Times New Roman" w:eastAsia="宋体" w:cs="Times New Roman"/>
          <w:color w:val="auto"/>
          <w:spacing w:val="4"/>
          <w:w w:val="99"/>
          <w:kern w:val="2"/>
          <w:position w:val="2"/>
          <w:sz w:val="24"/>
          <w:szCs w:val="24"/>
          <w:highlight w:val="none"/>
          <w:lang w:val="en-US" w:eastAsia="zh-CN" w:bidi="ar-SA"/>
        </w:rPr>
        <w:t>为Ⅲ类项目，地下水环境敏感程度为</w:t>
      </w:r>
      <w:r>
        <w:rPr>
          <w:rFonts w:hint="eastAsia" w:ascii="Times New Roman" w:hAnsi="Times New Roman" w:cs="Times New Roman"/>
          <w:color w:val="auto"/>
          <w:spacing w:val="4"/>
          <w:w w:val="99"/>
          <w:kern w:val="2"/>
          <w:position w:val="2"/>
          <w:sz w:val="24"/>
          <w:szCs w:val="24"/>
          <w:highlight w:val="none"/>
          <w:lang w:val="en-US" w:eastAsia="zh-CN" w:bidi="ar-SA"/>
        </w:rPr>
        <w:t>较</w:t>
      </w:r>
      <w:r>
        <w:rPr>
          <w:rFonts w:hint="default" w:ascii="Times New Roman" w:hAnsi="Times New Roman" w:eastAsia="宋体" w:cs="Times New Roman"/>
          <w:color w:val="auto"/>
          <w:spacing w:val="4"/>
          <w:w w:val="99"/>
          <w:kern w:val="2"/>
          <w:position w:val="2"/>
          <w:sz w:val="24"/>
          <w:szCs w:val="24"/>
          <w:highlight w:val="none"/>
          <w:lang w:val="en-US" w:eastAsia="zh-CN" w:bidi="ar-SA"/>
        </w:rPr>
        <w:t>敏感，地下水评价工作等级为三级，</w:t>
      </w:r>
      <w:r>
        <w:rPr>
          <w:rFonts w:hint="eastAsia" w:ascii="Times New Roman" w:hAnsi="Times New Roman" w:eastAsia="宋体" w:cs="Times New Roman"/>
          <w:color w:val="auto"/>
          <w:spacing w:val="4"/>
          <w:w w:val="99"/>
          <w:kern w:val="2"/>
          <w:position w:val="2"/>
          <w:sz w:val="24"/>
          <w:szCs w:val="24"/>
          <w:highlight w:val="none"/>
          <w:lang w:val="en-US" w:eastAsia="zh-CN" w:bidi="ar-SA"/>
        </w:rPr>
        <w:t>综上本项目地下水评价等级为</w:t>
      </w:r>
      <w:r>
        <w:rPr>
          <w:rFonts w:hint="eastAsia" w:ascii="Times New Roman" w:hAnsi="Times New Roman" w:cs="Times New Roman"/>
          <w:color w:val="auto"/>
          <w:spacing w:val="4"/>
          <w:w w:val="99"/>
          <w:kern w:val="2"/>
          <w:position w:val="2"/>
          <w:sz w:val="24"/>
          <w:szCs w:val="24"/>
          <w:highlight w:val="none"/>
          <w:lang w:val="en-US" w:eastAsia="zh-CN" w:bidi="ar-SA"/>
        </w:rPr>
        <w:t>二</w:t>
      </w:r>
      <w:r>
        <w:rPr>
          <w:rFonts w:hint="eastAsia" w:ascii="Times New Roman" w:hAnsi="Times New Roman" w:eastAsia="宋体" w:cs="Times New Roman"/>
          <w:color w:val="auto"/>
          <w:spacing w:val="4"/>
          <w:w w:val="99"/>
          <w:kern w:val="2"/>
          <w:position w:val="2"/>
          <w:sz w:val="24"/>
          <w:szCs w:val="24"/>
          <w:highlight w:val="none"/>
          <w:lang w:val="en-US" w:eastAsia="zh-CN" w:bidi="ar-SA"/>
        </w:rPr>
        <w:t>级</w:t>
      </w:r>
      <w:r>
        <w:rPr>
          <w:rFonts w:hint="default" w:ascii="Times New Roman" w:hAnsi="Times New Roman" w:eastAsia="宋体" w:cs="Times New Roman"/>
          <w:color w:val="auto"/>
          <w:spacing w:val="4"/>
          <w:w w:val="99"/>
          <w:kern w:val="2"/>
          <w:position w:val="2"/>
          <w:sz w:val="24"/>
          <w:szCs w:val="24"/>
          <w:highlight w:val="none"/>
          <w:lang w:val="en-US" w:eastAsia="zh-CN" w:bidi="ar-SA"/>
        </w:rPr>
        <w:t>。</w:t>
      </w:r>
    </w:p>
    <w:p w14:paraId="0565BF6A">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2.7.3.2评价范围</w:t>
      </w:r>
    </w:p>
    <w:p w14:paraId="2B6CF337">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根据《环境影响评价技术导则 陆地石油天然气开发建设项目》（HJ349-2023）要求：井场、站场等工程评价范围应包括与建设项目相关的地下水保护目标，结合水文地质条件情况，依据HJ 610的规定，采用公式计算法、查表法或自定义法等确定。回注井调查评价范围应根据回注层位所在区域地层构造发育情况确定，包括回注空间及回注水可能影响的范围。油类和废水等输送管道以工程边界两侧各向外延伸200米作为调查评价范围，管道穿越饮用水水源准保护区时，调查范围应至少包含水源保护区。</w:t>
      </w:r>
    </w:p>
    <w:p w14:paraId="0DBB572E">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根据《环境影响评价技术导则 地下水环境》（HJ610-2016），采用公式法确定本项目井场区域地下水评价范围。计算公式如下：</w:t>
      </w:r>
    </w:p>
    <w:p w14:paraId="670C3D26">
      <w:pPr>
        <w:pStyle w:val="153"/>
        <w:widowControl w:val="0"/>
        <w:spacing w:line="440" w:lineRule="exact"/>
        <w:ind w:firstLine="0" w:firstLineChars="0"/>
        <w:jc w:val="center"/>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L=α</w:t>
      </w:r>
      <w:r>
        <w:rPr>
          <w:rFonts w:ascii="Times New Roman" w:hAnsi="Times New Roman" w:eastAsia="宋体" w:cs="Times New Roman"/>
          <w:color w:val="auto"/>
          <w:spacing w:val="4"/>
          <w:w w:val="99"/>
          <w:kern w:val="2"/>
          <w:position w:val="2"/>
          <w:sz w:val="24"/>
          <w:szCs w:val="24"/>
          <w:highlight w:val="none"/>
          <w:lang w:val="de-DE" w:eastAsia="zh-CN" w:bidi="ar-SA"/>
        </w:rPr>
        <w:t>×K×I×T/n</w:t>
      </w:r>
      <w:r>
        <w:rPr>
          <w:rFonts w:ascii="Times New Roman" w:hAnsi="Times New Roman" w:eastAsia="宋体" w:cs="Times New Roman"/>
          <w:color w:val="auto"/>
          <w:spacing w:val="4"/>
          <w:w w:val="99"/>
          <w:kern w:val="2"/>
          <w:position w:val="2"/>
          <w:sz w:val="24"/>
          <w:szCs w:val="24"/>
          <w:highlight w:val="none"/>
          <w:vertAlign w:val="subscript"/>
          <w:lang w:val="de-DE" w:eastAsia="zh-CN" w:bidi="ar-SA"/>
        </w:rPr>
        <w:t>e</w:t>
      </w:r>
    </w:p>
    <w:p w14:paraId="4CA36230">
      <w:pPr>
        <w:pStyle w:val="153"/>
        <w:widowControl w:val="0"/>
        <w:spacing w:line="440" w:lineRule="exact"/>
        <w:ind w:firstLine="473"/>
        <w:jc w:val="both"/>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式中：L——下游迁移距离，m；</w:t>
      </w:r>
    </w:p>
    <w:p w14:paraId="1CFC8449">
      <w:pPr>
        <w:pStyle w:val="153"/>
        <w:widowControl w:val="0"/>
        <w:spacing w:line="440" w:lineRule="exact"/>
        <w:ind w:firstLine="1185" w:firstLineChars="500"/>
        <w:jc w:val="both"/>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a——变化系数，a≥1，一般取2，取2；</w:t>
      </w:r>
    </w:p>
    <w:p w14:paraId="26AA481A">
      <w:pPr>
        <w:pStyle w:val="153"/>
        <w:widowControl w:val="0"/>
        <w:spacing w:line="440" w:lineRule="exact"/>
        <w:ind w:firstLine="1185" w:firstLineChars="500"/>
        <w:jc w:val="both"/>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K——渗透系数；</w:t>
      </w:r>
    </w:p>
    <w:p w14:paraId="02F030AA">
      <w:pPr>
        <w:pStyle w:val="153"/>
        <w:widowControl w:val="0"/>
        <w:spacing w:line="440" w:lineRule="exact"/>
        <w:ind w:firstLine="1185" w:firstLineChars="500"/>
        <w:jc w:val="both"/>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I——水力坡度，无量纲；</w:t>
      </w:r>
    </w:p>
    <w:p w14:paraId="375B1E86">
      <w:pPr>
        <w:pStyle w:val="153"/>
        <w:widowControl w:val="0"/>
        <w:spacing w:line="440" w:lineRule="exact"/>
        <w:ind w:firstLine="1185" w:firstLineChars="500"/>
        <w:jc w:val="both"/>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T——质点迁移天数，取值不小于5000d；</w:t>
      </w:r>
    </w:p>
    <w:p w14:paraId="62455CE7">
      <w:pPr>
        <w:pStyle w:val="153"/>
        <w:widowControl w:val="0"/>
        <w:spacing w:line="440" w:lineRule="exact"/>
        <w:ind w:firstLine="1185" w:firstLineChars="500"/>
        <w:jc w:val="both"/>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ne——有效孔隙度，无量纲。</w:t>
      </w:r>
    </w:p>
    <w:p w14:paraId="50E31D57">
      <w:pPr>
        <w:widowControl w:val="0"/>
        <w:spacing w:line="440" w:lineRule="exact"/>
        <w:ind w:firstLine="474" w:firstLineChars="200"/>
        <w:jc w:val="both"/>
        <w:rPr>
          <w:rFonts w:ascii="Times New Roman" w:hAnsi="Times New Roman" w:cs="Times New Roman" w:eastAsiaTheme="minorEastAsia"/>
          <w:color w:val="auto"/>
          <w:spacing w:val="-2"/>
          <w:w w:val="99"/>
          <w:highlight w:val="none"/>
        </w:rPr>
      </w:pPr>
      <w:r>
        <w:rPr>
          <w:rFonts w:hint="eastAsia" w:ascii="Times New Roman" w:hAnsi="Times New Roman" w:eastAsia="宋体" w:cs="Times New Roman"/>
          <w:color w:val="auto"/>
          <w:w w:val="99"/>
          <w:sz w:val="24"/>
          <w:szCs w:val="24"/>
          <w:highlight w:val="none"/>
          <w:lang w:val="en-US" w:eastAsia="zh-CN" w:bidi="ar-SA"/>
        </w:rPr>
        <w:t>根据该地区水文地质调查资料，</w:t>
      </w:r>
      <w:r>
        <w:rPr>
          <w:rFonts w:ascii="Times New Roman" w:hAnsi="Times New Roman" w:cs="Times New Roman" w:eastAsiaTheme="minorEastAsia"/>
          <w:color w:val="auto"/>
          <w:spacing w:val="-2"/>
          <w:w w:val="99"/>
          <w:highlight w:val="none"/>
        </w:rPr>
        <w:t>本区域潜水含水层岩性主要为</w:t>
      </w:r>
      <w:r>
        <w:rPr>
          <w:rFonts w:hint="eastAsia" w:ascii="Times New Roman" w:hAnsi="Times New Roman" w:cs="Times New Roman" w:eastAsiaTheme="minorEastAsia"/>
          <w:color w:val="auto"/>
          <w:spacing w:val="-2"/>
          <w:w w:val="99"/>
          <w:highlight w:val="none"/>
          <w:lang w:val="en-US" w:eastAsia="zh-CN"/>
        </w:rPr>
        <w:t>粉</w:t>
      </w:r>
      <w:r>
        <w:rPr>
          <w:rFonts w:ascii="Times New Roman" w:hAnsi="Times New Roman" w:cs="Times New Roman" w:eastAsiaTheme="minorEastAsia"/>
          <w:color w:val="auto"/>
          <w:spacing w:val="-2"/>
          <w:w w:val="99"/>
          <w:highlight w:val="none"/>
        </w:rPr>
        <w:t>细砂，承压水含水层岩性主要为砂砾岩，结合《环境影响评价技术导则</w:t>
      </w:r>
      <w:r>
        <w:rPr>
          <w:rFonts w:hint="eastAsia" w:ascii="Times New Roman" w:hAnsi="Times New Roman" w:cs="Times New Roman" w:eastAsiaTheme="minorEastAsia"/>
          <w:color w:val="auto"/>
          <w:spacing w:val="-2"/>
          <w:w w:val="99"/>
          <w:highlight w:val="none"/>
          <w:lang w:val="en-US" w:eastAsia="zh-CN"/>
        </w:rPr>
        <w:t xml:space="preserve"> </w:t>
      </w:r>
      <w:r>
        <w:rPr>
          <w:rFonts w:ascii="Times New Roman" w:hAnsi="Times New Roman" w:cs="Times New Roman" w:eastAsiaTheme="minorEastAsia"/>
          <w:color w:val="auto"/>
          <w:spacing w:val="-2"/>
          <w:w w:val="99"/>
          <w:highlight w:val="none"/>
        </w:rPr>
        <w:t>地下水》（HJ610-2016）附录B中的水文地质参数 ，本次渗透系数潜水K</w:t>
      </w:r>
      <w:r>
        <w:rPr>
          <w:rFonts w:ascii="Times New Roman" w:hAnsi="Times New Roman" w:cs="Times New Roman" w:eastAsiaTheme="minorEastAsia"/>
          <w:color w:val="auto"/>
          <w:spacing w:val="-2"/>
          <w:w w:val="99"/>
          <w:highlight w:val="none"/>
          <w:vertAlign w:val="subscript"/>
        </w:rPr>
        <w:t>潜水</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lang w:val="en-US" w:eastAsia="zh-CN"/>
        </w:rPr>
        <w:t>5.0</w:t>
      </w:r>
      <w:r>
        <w:rPr>
          <w:rFonts w:ascii="Times New Roman" w:hAnsi="Times New Roman" w:cs="Times New Roman" w:eastAsiaTheme="minorEastAsia"/>
          <w:color w:val="auto"/>
          <w:spacing w:val="-2"/>
          <w:w w:val="99"/>
          <w:highlight w:val="none"/>
        </w:rPr>
        <w:t>m/d、承压水K</w:t>
      </w:r>
      <w:r>
        <w:rPr>
          <w:rFonts w:ascii="Times New Roman" w:hAnsi="Times New Roman" w:cs="Times New Roman" w:eastAsiaTheme="minorEastAsia"/>
          <w:color w:val="auto"/>
          <w:spacing w:val="-2"/>
          <w:w w:val="99"/>
          <w:highlight w:val="none"/>
          <w:vertAlign w:val="subscript"/>
        </w:rPr>
        <w:t>承压水</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lang w:val="en-US" w:eastAsia="zh-CN"/>
        </w:rPr>
        <w:t>50</w:t>
      </w:r>
      <w:r>
        <w:rPr>
          <w:rFonts w:ascii="Times New Roman" w:hAnsi="Times New Roman" w:cs="Times New Roman" w:eastAsiaTheme="minorEastAsia"/>
          <w:color w:val="auto"/>
          <w:spacing w:val="-2"/>
          <w:w w:val="99"/>
          <w:highlight w:val="none"/>
        </w:rPr>
        <w:t>m/d，有效孔隙度</w:t>
      </w:r>
      <w:r>
        <w:rPr>
          <w:rFonts w:ascii="Times New Roman" w:hAnsi="Times New Roman" w:cs="Times New Roman" w:eastAsiaTheme="minorEastAsia"/>
          <w:color w:val="auto"/>
          <w:spacing w:val="-2"/>
          <w:w w:val="99"/>
          <w:highlight w:val="none"/>
          <w:lang w:val="de-DE"/>
        </w:rPr>
        <w:t>n</w:t>
      </w:r>
      <w:r>
        <w:rPr>
          <w:rFonts w:ascii="Times New Roman" w:hAnsi="Times New Roman" w:cs="Times New Roman" w:eastAsiaTheme="minorEastAsia"/>
          <w:color w:val="auto"/>
          <w:spacing w:val="-2"/>
          <w:w w:val="99"/>
          <w:highlight w:val="none"/>
          <w:vertAlign w:val="subscript"/>
          <w:lang w:val="de-DE"/>
        </w:rPr>
        <w:t>e</w:t>
      </w:r>
      <w:r>
        <w:rPr>
          <w:rFonts w:ascii="Times New Roman" w:hAnsi="Times New Roman" w:cs="Times New Roman" w:eastAsiaTheme="minorEastAsia"/>
          <w:color w:val="auto"/>
          <w:spacing w:val="-2"/>
          <w:w w:val="99"/>
          <w:highlight w:val="none"/>
          <w:vertAlign w:val="subscript"/>
        </w:rPr>
        <w:t>潜水</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lang w:val="en-US" w:eastAsia="zh-CN"/>
        </w:rPr>
        <w:t>20</w:t>
      </w:r>
      <w:r>
        <w:rPr>
          <w:rFonts w:ascii="Times New Roman" w:hAnsi="Times New Roman" w:cs="Times New Roman" w:eastAsiaTheme="minorEastAsia"/>
          <w:color w:val="auto"/>
          <w:spacing w:val="-2"/>
          <w:w w:val="99"/>
          <w:highlight w:val="none"/>
        </w:rPr>
        <w:t>，</w:t>
      </w:r>
      <w:r>
        <w:rPr>
          <w:rFonts w:ascii="Times New Roman" w:hAnsi="Times New Roman" w:cs="Times New Roman" w:eastAsiaTheme="minorEastAsia"/>
          <w:color w:val="auto"/>
          <w:spacing w:val="-2"/>
          <w:w w:val="99"/>
          <w:highlight w:val="none"/>
          <w:lang w:val="de-DE"/>
        </w:rPr>
        <w:t>n</w:t>
      </w:r>
      <w:r>
        <w:rPr>
          <w:rFonts w:ascii="Times New Roman" w:hAnsi="Times New Roman" w:cs="Times New Roman" w:eastAsiaTheme="minorEastAsia"/>
          <w:color w:val="auto"/>
          <w:spacing w:val="-2"/>
          <w:w w:val="99"/>
          <w:highlight w:val="none"/>
          <w:vertAlign w:val="subscript"/>
          <w:lang w:val="de-DE"/>
        </w:rPr>
        <w:t>e</w:t>
      </w:r>
      <w:r>
        <w:rPr>
          <w:rFonts w:ascii="Times New Roman" w:hAnsi="Times New Roman" w:cs="Times New Roman" w:eastAsiaTheme="minorEastAsia"/>
          <w:color w:val="auto"/>
          <w:spacing w:val="-2"/>
          <w:w w:val="99"/>
          <w:highlight w:val="none"/>
          <w:vertAlign w:val="subscript"/>
        </w:rPr>
        <w:t>承压水</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lang w:val="en-US" w:eastAsia="zh-CN"/>
        </w:rPr>
        <w:t>30</w:t>
      </w:r>
      <w:r>
        <w:rPr>
          <w:rFonts w:ascii="Times New Roman" w:hAnsi="Times New Roman" w:cs="Times New Roman" w:eastAsiaTheme="minorEastAsia"/>
          <w:color w:val="auto"/>
          <w:spacing w:val="-2"/>
          <w:w w:val="99"/>
          <w:highlight w:val="none"/>
        </w:rPr>
        <w:t>。根据区域地下水等水位线与距离确定水力坡度，潜水水力坡度I</w:t>
      </w:r>
      <w:r>
        <w:rPr>
          <w:rFonts w:ascii="Times New Roman" w:hAnsi="Times New Roman" w:cs="Times New Roman" w:eastAsiaTheme="minorEastAsia"/>
          <w:color w:val="auto"/>
          <w:spacing w:val="-2"/>
          <w:w w:val="99"/>
          <w:highlight w:val="none"/>
          <w:vertAlign w:val="subscript"/>
        </w:rPr>
        <w:t>潜水</w:t>
      </w:r>
      <w:r>
        <w:rPr>
          <w:rFonts w:ascii="Times New Roman" w:hAnsi="Times New Roman" w:cs="Times New Roman" w:eastAsiaTheme="minorEastAsia"/>
          <w:color w:val="auto"/>
          <w:spacing w:val="-2"/>
          <w:w w:val="99"/>
          <w:highlight w:val="none"/>
        </w:rPr>
        <w:t>=0.00</w:t>
      </w:r>
      <w:r>
        <w:rPr>
          <w:rFonts w:hint="eastAsia" w:ascii="Times New Roman" w:hAnsi="Times New Roman" w:cs="Times New Roman" w:eastAsiaTheme="minorEastAsia"/>
          <w:color w:val="auto"/>
          <w:spacing w:val="-2"/>
          <w:w w:val="99"/>
          <w:highlight w:val="none"/>
          <w:lang w:val="en-US" w:eastAsia="zh-CN"/>
        </w:rPr>
        <w:t>14</w:t>
      </w:r>
      <w:r>
        <w:rPr>
          <w:rFonts w:ascii="Times New Roman" w:hAnsi="Times New Roman" w:cs="Times New Roman" w:eastAsiaTheme="minorEastAsia"/>
          <w:color w:val="auto"/>
          <w:spacing w:val="-2"/>
          <w:w w:val="99"/>
          <w:highlight w:val="none"/>
        </w:rPr>
        <w:t>、承压水水力坡度I</w:t>
      </w:r>
      <w:r>
        <w:rPr>
          <w:rFonts w:ascii="Times New Roman" w:hAnsi="Times New Roman" w:cs="Times New Roman" w:eastAsiaTheme="minorEastAsia"/>
          <w:color w:val="auto"/>
          <w:spacing w:val="-2"/>
          <w:w w:val="99"/>
          <w:highlight w:val="none"/>
          <w:vertAlign w:val="subscript"/>
        </w:rPr>
        <w:t>承压水</w:t>
      </w:r>
      <w:r>
        <w:rPr>
          <w:rFonts w:ascii="Times New Roman" w:hAnsi="Times New Roman" w:cs="Times New Roman" w:eastAsiaTheme="minorEastAsia"/>
          <w:color w:val="auto"/>
          <w:spacing w:val="-2"/>
          <w:w w:val="99"/>
          <w:highlight w:val="none"/>
        </w:rPr>
        <w:t>=0.000</w:t>
      </w:r>
      <w:r>
        <w:rPr>
          <w:rFonts w:hint="eastAsia" w:ascii="Times New Roman" w:hAnsi="Times New Roman" w:cs="Times New Roman" w:eastAsiaTheme="minorEastAsia"/>
          <w:color w:val="auto"/>
          <w:spacing w:val="-2"/>
          <w:w w:val="99"/>
          <w:highlight w:val="none"/>
          <w:lang w:val="en-US" w:eastAsia="zh-CN"/>
        </w:rPr>
        <w:t>7</w:t>
      </w:r>
      <w:r>
        <w:rPr>
          <w:rFonts w:ascii="Times New Roman" w:hAnsi="Times New Roman" w:cs="Times New Roman" w:eastAsiaTheme="minorEastAsia"/>
          <w:color w:val="auto"/>
          <w:spacing w:val="-2"/>
          <w:w w:val="99"/>
          <w:highlight w:val="none"/>
        </w:rPr>
        <w:t>。</w:t>
      </w:r>
    </w:p>
    <w:p w14:paraId="05D72402">
      <w:pPr>
        <w:pStyle w:val="153"/>
        <w:widowControl w:val="0"/>
        <w:spacing w:line="440" w:lineRule="exac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由此计算本项目区域潜水水层下游迁移距离为L</w:t>
      </w:r>
      <w:r>
        <w:rPr>
          <w:rFonts w:ascii="Times New Roman" w:hAnsi="Times New Roman" w:eastAsiaTheme="minorEastAsia"/>
          <w:snapToGrid w:val="0"/>
          <w:color w:val="auto"/>
          <w:w w:val="99"/>
          <w:highlight w:val="none"/>
          <w:vertAlign w:val="subscript"/>
        </w:rPr>
        <w:t>潜水</w:t>
      </w:r>
      <w:r>
        <w:rPr>
          <w:rFonts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lang w:val="en-US" w:eastAsia="zh-CN"/>
        </w:rPr>
        <w:t>5</w:t>
      </w:r>
      <w:r>
        <w:rPr>
          <w:rFonts w:ascii="Times New Roman" w:hAnsi="Times New Roman" w:eastAsiaTheme="minorEastAsia"/>
          <w:snapToGrid w:val="0"/>
          <w:color w:val="auto"/>
          <w:w w:val="99"/>
          <w:highlight w:val="none"/>
        </w:rPr>
        <w:t>×0.00</w:t>
      </w:r>
      <w:r>
        <w:rPr>
          <w:rFonts w:hint="eastAsia" w:ascii="Times New Roman" w:hAnsi="Times New Roman" w:eastAsiaTheme="minorEastAsia"/>
          <w:snapToGrid w:val="0"/>
          <w:color w:val="auto"/>
          <w:w w:val="99"/>
          <w:highlight w:val="none"/>
          <w:lang w:val="en-US" w:eastAsia="zh-CN"/>
        </w:rPr>
        <w:t>14</w:t>
      </w:r>
      <w:r>
        <w:rPr>
          <w:rFonts w:ascii="Times New Roman" w:hAnsi="Times New Roman" w:eastAsiaTheme="minorEastAsia"/>
          <w:snapToGrid w:val="0"/>
          <w:color w:val="auto"/>
          <w:w w:val="99"/>
          <w:highlight w:val="none"/>
        </w:rPr>
        <w:t>×5000/0.2</w:t>
      </w:r>
      <w:r>
        <w:rPr>
          <w:rFonts w:hint="eastAsia" w:ascii="Times New Roman" w:hAnsi="Times New Roman" w:eastAsiaTheme="minorEastAsia"/>
          <w:snapToGrid w:val="0"/>
          <w:color w:val="auto"/>
          <w:w w:val="99"/>
          <w:highlight w:val="none"/>
          <w:lang w:val="en-US" w:eastAsia="zh-CN"/>
        </w:rPr>
        <w:t>0</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lang w:val="en-US" w:eastAsia="zh-CN"/>
        </w:rPr>
        <w:t>35</w:t>
      </w:r>
      <w:r>
        <w:rPr>
          <w:rFonts w:ascii="Times New Roman" w:hAnsi="Times New Roman" w:eastAsiaTheme="minorEastAsia"/>
          <w:snapToGrid w:val="0"/>
          <w:color w:val="auto"/>
          <w:w w:val="99"/>
          <w:highlight w:val="none"/>
        </w:rPr>
        <w:t>0m；区域承压层下游迁移距离为L</w:t>
      </w:r>
      <w:r>
        <w:rPr>
          <w:rFonts w:ascii="Times New Roman" w:hAnsi="Times New Roman" w:eastAsiaTheme="minorEastAsia"/>
          <w:snapToGrid w:val="0"/>
          <w:color w:val="auto"/>
          <w:w w:val="99"/>
          <w:highlight w:val="none"/>
          <w:vertAlign w:val="subscript"/>
        </w:rPr>
        <w:t>承压水</w:t>
      </w:r>
      <w:r>
        <w:rPr>
          <w:rFonts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lang w:val="en-US" w:eastAsia="zh-CN"/>
        </w:rPr>
        <w:t>50</w:t>
      </w:r>
      <w:r>
        <w:rPr>
          <w:rFonts w:ascii="Times New Roman" w:hAnsi="Times New Roman" w:eastAsiaTheme="minorEastAsia"/>
          <w:snapToGrid w:val="0"/>
          <w:color w:val="auto"/>
          <w:w w:val="99"/>
          <w:highlight w:val="none"/>
        </w:rPr>
        <w:t>×0.000</w:t>
      </w:r>
      <w:r>
        <w:rPr>
          <w:rFonts w:hint="eastAsia" w:ascii="Times New Roman" w:hAnsi="Times New Roman" w:eastAsiaTheme="minorEastAsia"/>
          <w:snapToGrid w:val="0"/>
          <w:color w:val="auto"/>
          <w:w w:val="99"/>
          <w:highlight w:val="none"/>
          <w:lang w:val="en-US" w:eastAsia="zh-CN"/>
        </w:rPr>
        <w:t>7</w:t>
      </w:r>
      <w:r>
        <w:rPr>
          <w:rFonts w:ascii="Times New Roman" w:hAnsi="Times New Roman" w:eastAsiaTheme="minorEastAsia"/>
          <w:snapToGrid w:val="0"/>
          <w:color w:val="auto"/>
          <w:w w:val="99"/>
          <w:highlight w:val="none"/>
        </w:rPr>
        <w:t>×5000/0.</w:t>
      </w:r>
      <w:r>
        <w:rPr>
          <w:rFonts w:hint="eastAsia" w:ascii="Times New Roman" w:hAnsi="Times New Roman" w:eastAsiaTheme="minorEastAsia"/>
          <w:snapToGrid w:val="0"/>
          <w:color w:val="auto"/>
          <w:w w:val="99"/>
          <w:highlight w:val="none"/>
          <w:lang w:val="en-US" w:eastAsia="zh-CN"/>
        </w:rPr>
        <w:t>30</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lang w:val="en-US" w:eastAsia="zh-CN"/>
        </w:rPr>
        <w:t>1166.67</w:t>
      </w:r>
      <w:r>
        <w:rPr>
          <w:rFonts w:ascii="Times New Roman" w:hAnsi="Times New Roman" w:eastAsiaTheme="minorEastAsia"/>
          <w:snapToGrid w:val="0"/>
          <w:color w:val="auto"/>
          <w:w w:val="99"/>
          <w:highlight w:val="none"/>
        </w:rPr>
        <w:t>m。</w:t>
      </w:r>
    </w:p>
    <w:p w14:paraId="25BBEE37">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yellow"/>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以最大迁移距离考虑评价范围，根据《环境影响评价技术导则 地下水环境》（HJ610-2016），本项目井场地下水调查评价范围应为下游不小于</w:t>
      </w:r>
      <w:r>
        <w:rPr>
          <w:rFonts w:hint="eastAsia" w:ascii="Times New Roman" w:hAnsi="Times New Roman" w:eastAsia="宋体" w:cs="Times New Roman"/>
          <w:color w:val="auto"/>
          <w:spacing w:val="4"/>
          <w:w w:val="99"/>
          <w:kern w:val="2"/>
          <w:position w:val="2"/>
          <w:sz w:val="24"/>
          <w:szCs w:val="24"/>
          <w:highlight w:val="none"/>
          <w:lang w:val="en-US" w:eastAsia="zh-CN" w:bidi="ar-SA"/>
        </w:rPr>
        <w:t>1</w:t>
      </w:r>
      <w:r>
        <w:rPr>
          <w:rFonts w:hint="eastAsia" w:ascii="Times New Roman" w:hAnsi="Times New Roman" w:cs="Times New Roman"/>
          <w:color w:val="auto"/>
          <w:spacing w:val="4"/>
          <w:w w:val="99"/>
          <w:kern w:val="2"/>
          <w:position w:val="2"/>
          <w:sz w:val="24"/>
          <w:szCs w:val="24"/>
          <w:highlight w:val="none"/>
          <w:lang w:val="en-US" w:eastAsia="zh-CN" w:bidi="ar-SA"/>
        </w:rPr>
        <w:t>166.67</w:t>
      </w:r>
      <w:r>
        <w:rPr>
          <w:rFonts w:ascii="Times New Roman" w:hAnsi="Times New Roman" w:eastAsia="宋体" w:cs="Times New Roman"/>
          <w:color w:val="auto"/>
          <w:spacing w:val="4"/>
          <w:w w:val="99"/>
          <w:kern w:val="2"/>
          <w:position w:val="2"/>
          <w:sz w:val="24"/>
          <w:szCs w:val="24"/>
          <w:highlight w:val="none"/>
          <w:lang w:val="en-US" w:eastAsia="zh-CN" w:bidi="ar-SA"/>
        </w:rPr>
        <w:t>m、两侧及上游不小于</w:t>
      </w:r>
      <w:r>
        <w:rPr>
          <w:rFonts w:hint="eastAsia" w:ascii="Times New Roman" w:hAnsi="Times New Roman" w:cs="Times New Roman"/>
          <w:color w:val="auto"/>
          <w:spacing w:val="4"/>
          <w:w w:val="99"/>
          <w:kern w:val="2"/>
          <w:position w:val="2"/>
          <w:sz w:val="24"/>
          <w:szCs w:val="24"/>
          <w:highlight w:val="none"/>
          <w:lang w:val="en-US" w:eastAsia="zh-CN" w:bidi="ar-SA"/>
        </w:rPr>
        <w:t>583.33</w:t>
      </w:r>
      <w:r>
        <w:rPr>
          <w:rFonts w:ascii="Times New Roman" w:hAnsi="Times New Roman" w:eastAsia="宋体" w:cs="Times New Roman"/>
          <w:color w:val="auto"/>
          <w:spacing w:val="4"/>
          <w:w w:val="99"/>
          <w:kern w:val="2"/>
          <w:position w:val="2"/>
          <w:sz w:val="24"/>
          <w:szCs w:val="24"/>
          <w:highlight w:val="none"/>
          <w:lang w:val="en-US" w:eastAsia="zh-CN" w:bidi="ar-SA"/>
        </w:rPr>
        <w:t>m的区域，并包含拟建管线工程边界两侧各向外延伸200m的范围。</w:t>
      </w:r>
    </w:p>
    <w:p w14:paraId="40C1E914">
      <w:pPr>
        <w:pStyle w:val="153"/>
        <w:ind w:firstLine="473"/>
        <w:jc w:val="both"/>
        <w:rPr>
          <w:rFonts w:ascii="Times New Roman" w:hAnsi="Times New Roman" w:eastAsiaTheme="minorEastAsia"/>
          <w:snapToGrid w:val="0"/>
          <w:color w:val="auto"/>
          <w:w w:val="99"/>
          <w:highlight w:val="none"/>
        </w:rPr>
      </w:pPr>
      <w:r>
        <w:rPr>
          <w:rFonts w:ascii="Times New Roman" w:hAnsi="Times New Roman" w:eastAsia="宋体" w:cs="Times New Roman"/>
          <w:color w:val="auto"/>
          <w:spacing w:val="4"/>
          <w:w w:val="99"/>
          <w:kern w:val="2"/>
          <w:position w:val="2"/>
          <w:sz w:val="24"/>
          <w:szCs w:val="24"/>
          <w:highlight w:val="none"/>
          <w:lang w:val="en-US" w:eastAsia="zh-CN" w:bidi="ar-SA"/>
        </w:rPr>
        <w:t>根据公式计算法的计算结果，同时综合考虑井场区域地下水影响最远距离、地下水监测布点情况，结合该区域地下水流向，最终确定本项目地下水评价范围为</w:t>
      </w:r>
      <w:bookmarkStart w:id="326" w:name="OLE_LINK73"/>
      <w:bookmarkStart w:id="327" w:name="OLE_LINK74"/>
      <w:bookmarkStart w:id="328" w:name="OLE_LINK1"/>
      <w:r>
        <w:rPr>
          <w:rFonts w:ascii="Times New Roman" w:hAnsi="Times New Roman" w:eastAsia="宋体" w:cs="Times New Roman"/>
          <w:color w:val="auto"/>
          <w:spacing w:val="4"/>
          <w:w w:val="99"/>
          <w:kern w:val="2"/>
          <w:position w:val="2"/>
          <w:sz w:val="24"/>
          <w:szCs w:val="24"/>
          <w:highlight w:val="none"/>
          <w:lang w:val="en-US" w:eastAsia="zh-CN" w:bidi="ar-SA"/>
        </w:rPr>
        <w:t>项目拟</w:t>
      </w:r>
      <w:r>
        <w:rPr>
          <w:rFonts w:hint="eastAsia" w:ascii="Times New Roman" w:hAnsi="Times New Roman" w:eastAsia="宋体" w:cs="Times New Roman"/>
          <w:color w:val="auto"/>
          <w:spacing w:val="0"/>
          <w:w w:val="99"/>
          <w:position w:val="0"/>
          <w:sz w:val="24"/>
          <w:szCs w:val="24"/>
          <w:highlight w:val="none"/>
          <w:lang w:val="en-US" w:eastAsia="zh-CN" w:bidi="ar-SA"/>
        </w:rPr>
        <w:t>建区域地下水流向上游及两侧外扩</w:t>
      </w:r>
      <w:r>
        <w:rPr>
          <w:rFonts w:hint="eastAsia" w:ascii="Times New Roman" w:hAnsi="Times New Roman" w:cs="Times New Roman"/>
          <w:color w:val="auto"/>
          <w:spacing w:val="0"/>
          <w:w w:val="99"/>
          <w:position w:val="0"/>
          <w:sz w:val="24"/>
          <w:szCs w:val="24"/>
          <w:highlight w:val="none"/>
          <w:lang w:val="en-US" w:eastAsia="zh-CN" w:bidi="ar-SA"/>
        </w:rPr>
        <w:t>1166.67</w:t>
      </w:r>
      <w:r>
        <w:rPr>
          <w:rFonts w:hint="eastAsia" w:ascii="Times New Roman" w:hAnsi="Times New Roman" w:eastAsia="宋体" w:cs="Times New Roman"/>
          <w:color w:val="auto"/>
          <w:spacing w:val="0"/>
          <w:w w:val="99"/>
          <w:position w:val="0"/>
          <w:sz w:val="24"/>
          <w:szCs w:val="24"/>
          <w:highlight w:val="none"/>
          <w:lang w:val="en-US" w:eastAsia="zh-CN" w:bidi="ar-SA"/>
        </w:rPr>
        <w:t>m、下游外扩</w:t>
      </w:r>
      <w:r>
        <w:rPr>
          <w:rFonts w:hint="eastAsia" w:ascii="Times New Roman" w:hAnsi="Times New Roman" w:cs="Times New Roman"/>
          <w:color w:val="auto"/>
          <w:spacing w:val="0"/>
          <w:w w:val="99"/>
          <w:position w:val="0"/>
          <w:sz w:val="24"/>
          <w:szCs w:val="24"/>
          <w:highlight w:val="none"/>
          <w:lang w:val="en-US" w:eastAsia="zh-CN" w:bidi="ar-SA"/>
        </w:rPr>
        <w:t>583.335</w:t>
      </w:r>
      <w:r>
        <w:rPr>
          <w:rFonts w:hint="eastAsia" w:ascii="Times New Roman" w:hAnsi="Times New Roman" w:eastAsia="宋体" w:cs="Times New Roman"/>
          <w:color w:val="auto"/>
          <w:spacing w:val="0"/>
          <w:w w:val="99"/>
          <w:position w:val="0"/>
          <w:sz w:val="24"/>
          <w:szCs w:val="24"/>
          <w:highlight w:val="none"/>
          <w:lang w:val="en-US" w:eastAsia="zh-CN" w:bidi="ar-SA"/>
        </w:rPr>
        <w:t>m并包括水质现状监测点的东南→西北走向的合围区域，共计约</w:t>
      </w:r>
      <w:r>
        <w:rPr>
          <w:rFonts w:hint="eastAsia" w:ascii="Times New Roman" w:hAnsi="Times New Roman" w:cs="Times New Roman"/>
          <w:color w:val="auto"/>
          <w:spacing w:val="0"/>
          <w:w w:val="99"/>
          <w:position w:val="0"/>
          <w:sz w:val="24"/>
          <w:szCs w:val="24"/>
          <w:highlight w:val="none"/>
          <w:lang w:val="en-US" w:eastAsia="zh-CN" w:bidi="ar-SA"/>
        </w:rPr>
        <w:t>16.65</w:t>
      </w:r>
      <w:r>
        <w:rPr>
          <w:rFonts w:hint="eastAsia" w:ascii="Times New Roman" w:hAnsi="Times New Roman" w:eastAsia="宋体" w:cs="Times New Roman"/>
          <w:color w:val="auto"/>
          <w:spacing w:val="0"/>
          <w:w w:val="99"/>
          <w:position w:val="0"/>
          <w:sz w:val="24"/>
          <w:szCs w:val="24"/>
          <w:highlight w:val="none"/>
          <w:lang w:val="en-US" w:eastAsia="zh-CN" w:bidi="ar-SA"/>
        </w:rPr>
        <w:t>km</w:t>
      </w:r>
      <w:r>
        <w:rPr>
          <w:rFonts w:hint="eastAsia" w:ascii="Times New Roman" w:hAnsi="Times New Roman" w:eastAsia="宋体" w:cs="Times New Roman"/>
          <w:color w:val="auto"/>
          <w:spacing w:val="0"/>
          <w:w w:val="99"/>
          <w:position w:val="0"/>
          <w:sz w:val="24"/>
          <w:szCs w:val="24"/>
          <w:highlight w:val="none"/>
          <w:vertAlign w:val="superscript"/>
          <w:lang w:val="en-US" w:eastAsia="zh-CN" w:bidi="ar-SA"/>
        </w:rPr>
        <w:t>2</w:t>
      </w:r>
      <w:r>
        <w:rPr>
          <w:rFonts w:hint="eastAsia" w:ascii="Times New Roman" w:hAnsi="Times New Roman" w:eastAsia="宋体" w:cs="Times New Roman"/>
          <w:color w:val="auto"/>
          <w:spacing w:val="0"/>
          <w:w w:val="99"/>
          <w:position w:val="0"/>
          <w:sz w:val="24"/>
          <w:szCs w:val="24"/>
          <w:highlight w:val="none"/>
          <w:lang w:val="en-US" w:eastAsia="zh-CN" w:bidi="ar-SA"/>
        </w:rPr>
        <w:t>。</w:t>
      </w:r>
      <w:bookmarkEnd w:id="326"/>
      <w:bookmarkEnd w:id="327"/>
    </w:p>
    <w:bookmarkEnd w:id="328"/>
    <w:p w14:paraId="660E7320">
      <w:pPr>
        <w:pStyle w:val="7"/>
        <w:widowControl w:val="0"/>
        <w:spacing w:before="60" w:after="60" w:line="440" w:lineRule="exact"/>
        <w:jc w:val="both"/>
        <w:rPr>
          <w:rFonts w:eastAsia="宋体"/>
          <w:b/>
          <w:color w:val="auto"/>
          <w:w w:val="99"/>
          <w:kern w:val="2"/>
          <w:sz w:val="24"/>
          <w:szCs w:val="24"/>
          <w:highlight w:val="none"/>
        </w:rPr>
      </w:pPr>
      <w:bookmarkStart w:id="329" w:name="_Toc57203228"/>
      <w:bookmarkStart w:id="330" w:name="_Toc78816439"/>
      <w:bookmarkStart w:id="331" w:name="_Toc77067638"/>
      <w:bookmarkStart w:id="332" w:name="_Toc12541"/>
      <w:bookmarkStart w:id="333" w:name="_Toc80971356"/>
      <w:bookmarkStart w:id="334" w:name="_Toc70050154"/>
      <w:bookmarkStart w:id="335" w:name="_Toc57976653"/>
      <w:bookmarkStart w:id="336" w:name="_Toc80588234"/>
      <w:bookmarkStart w:id="337" w:name="_Toc57707898"/>
      <w:bookmarkStart w:id="338" w:name="_Toc17898143"/>
      <w:bookmarkStart w:id="339" w:name="_Toc61597200"/>
      <w:bookmarkStart w:id="340" w:name="_Toc76976222"/>
      <w:bookmarkStart w:id="341" w:name="_Toc67860107"/>
      <w:bookmarkStart w:id="342" w:name="_Toc186444254"/>
      <w:bookmarkStart w:id="343" w:name="_Toc83209451"/>
      <w:r>
        <w:rPr>
          <w:rFonts w:eastAsia="宋体"/>
          <w:b/>
          <w:color w:val="auto"/>
          <w:w w:val="99"/>
          <w:kern w:val="2"/>
          <w:sz w:val="24"/>
          <w:szCs w:val="24"/>
          <w:highlight w:val="none"/>
        </w:rPr>
        <w:t>2.7.4声环境</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53636EA3">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2.7.4.1评价等级</w:t>
      </w:r>
    </w:p>
    <w:p w14:paraId="28985628">
      <w:pPr>
        <w:pStyle w:val="153"/>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根据《环境影响评价技术导则 声环境》（HJ2.4-2021）中规定的声环境影响评价工作等级划分原则：建设项目所处的声环境功能区为GB3096规定的1类、2类地区，或建设项目建设前后评价范围内声环境保护目标噪声级增高量达3dB(A)~5dB(A)，或受噪声影响人口数量增加较多时，评价等级为二级评价。</w:t>
      </w:r>
    </w:p>
    <w:p w14:paraId="772E086E">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根据《声环境质量标准》（GB3096-2008），项目周边区域为2类声环境功能区。本工程主要噪声源分为施工期机械、车辆产生的噪声，施工期短；本项目运营期主要噪声源为</w:t>
      </w:r>
      <w:r>
        <w:rPr>
          <w:rFonts w:hint="eastAsia" w:ascii="Times New Roman" w:hAnsi="Times New Roman" w:eastAsia="宋体" w:cs="Times New Roman"/>
          <w:color w:val="auto"/>
          <w:spacing w:val="4"/>
          <w:w w:val="99"/>
          <w:kern w:val="2"/>
          <w:position w:val="2"/>
          <w:sz w:val="24"/>
          <w:szCs w:val="24"/>
          <w:highlight w:val="none"/>
          <w:lang w:val="en-US" w:eastAsia="zh-CN" w:bidi="ar-SA"/>
        </w:rPr>
        <w:t>井场、场站加热装置、机泵</w:t>
      </w:r>
      <w:r>
        <w:rPr>
          <w:rFonts w:ascii="Times New Roman" w:hAnsi="Times New Roman" w:eastAsia="宋体" w:cs="Times New Roman"/>
          <w:color w:val="auto"/>
          <w:spacing w:val="4"/>
          <w:w w:val="99"/>
          <w:kern w:val="2"/>
          <w:position w:val="2"/>
          <w:sz w:val="24"/>
          <w:szCs w:val="24"/>
          <w:highlight w:val="none"/>
          <w:lang w:val="en-US" w:eastAsia="zh-CN" w:bidi="ar-SA"/>
        </w:rPr>
        <w:t>设备运行产生的噪声，输气管线均埋地敷设，项目周边</w:t>
      </w:r>
      <w:r>
        <w:rPr>
          <w:rFonts w:ascii="Times New Roman" w:hAnsi="Times New Roman" w:eastAsiaTheme="minorEastAsia"/>
          <w:snapToGrid w:val="0"/>
          <w:color w:val="auto"/>
          <w:w w:val="99"/>
          <w:highlight w:val="none"/>
        </w:rPr>
        <w:t>200m</w:t>
      </w:r>
      <w:r>
        <w:rPr>
          <w:rFonts w:ascii="Times New Roman" w:hAnsi="Times New Roman" w:eastAsia="宋体" w:cs="Times New Roman"/>
          <w:color w:val="auto"/>
          <w:spacing w:val="4"/>
          <w:w w:val="99"/>
          <w:kern w:val="2"/>
          <w:position w:val="2"/>
          <w:sz w:val="24"/>
          <w:szCs w:val="24"/>
          <w:highlight w:val="none"/>
          <w:lang w:val="en-US" w:eastAsia="zh-CN" w:bidi="ar-SA"/>
        </w:rPr>
        <w:t>范围内无声环境敏感点，周围居民受影响人口数量增加不多，敏感目标噪声级增高量在 5dB(A)以下，因此，声环境评价等级为二级。</w:t>
      </w:r>
    </w:p>
    <w:p w14:paraId="3C06643D">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2.7.4.2评价范围</w:t>
      </w:r>
    </w:p>
    <w:p w14:paraId="5C4050CD">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本项目是以固定声源为主的建设项目，声环境评价等级为二级，根据《环境影响评价技术导则 声环境》（HJ2.4-2021）中要求，一级评价的要求一般以建设项目边界向外200m为评价范围，二级评价范围可根据建设项目所在区域和相邻区域的声环境功能区类别及敏感目标等实际情况适当缩小，且经后续预测分析，项目声源计算得到的贡献值到200 m处可以满足《声环境质量标准》</w:t>
      </w:r>
      <w:r>
        <w:rPr>
          <w:rFonts w:hint="eastAsia" w:ascii="Times New Roman" w:hAnsi="Times New Roman" w:eastAsia="宋体" w:cs="Times New Roman"/>
          <w:color w:val="auto"/>
          <w:spacing w:val="4"/>
          <w:w w:val="99"/>
          <w:kern w:val="2"/>
          <w:position w:val="2"/>
          <w:sz w:val="24"/>
          <w:szCs w:val="24"/>
          <w:highlight w:val="none"/>
          <w:lang w:val="en-US" w:eastAsia="zh-CN" w:bidi="ar-SA"/>
        </w:rPr>
        <w:t>（GB</w:t>
      </w:r>
      <w:r>
        <w:rPr>
          <w:rFonts w:ascii="Times New Roman" w:hAnsi="Times New Roman" w:eastAsia="宋体" w:cs="Times New Roman"/>
          <w:color w:val="auto"/>
          <w:spacing w:val="4"/>
          <w:w w:val="99"/>
          <w:kern w:val="2"/>
          <w:position w:val="2"/>
          <w:sz w:val="24"/>
          <w:szCs w:val="24"/>
          <w:highlight w:val="none"/>
          <w:lang w:val="en-US" w:eastAsia="zh-CN" w:bidi="ar-SA"/>
        </w:rPr>
        <w:t xml:space="preserve"> 3096-2008</w:t>
      </w:r>
      <w:r>
        <w:rPr>
          <w:rFonts w:hint="eastAsia" w:ascii="Times New Roman" w:hAnsi="Times New Roman" w:eastAsia="宋体" w:cs="Times New Roman"/>
          <w:color w:val="auto"/>
          <w:spacing w:val="4"/>
          <w:w w:val="99"/>
          <w:kern w:val="2"/>
          <w:position w:val="2"/>
          <w:sz w:val="24"/>
          <w:szCs w:val="24"/>
          <w:highlight w:val="none"/>
          <w:lang w:val="en-US" w:eastAsia="zh-CN" w:bidi="ar-SA"/>
        </w:rPr>
        <w:t>）</w:t>
      </w:r>
      <w:r>
        <w:rPr>
          <w:rFonts w:ascii="Times New Roman" w:hAnsi="Times New Roman" w:eastAsia="宋体" w:cs="Times New Roman"/>
          <w:color w:val="auto"/>
          <w:spacing w:val="4"/>
          <w:w w:val="99"/>
          <w:kern w:val="2"/>
          <w:position w:val="2"/>
          <w:sz w:val="24"/>
          <w:szCs w:val="24"/>
          <w:highlight w:val="none"/>
          <w:lang w:val="en-US" w:eastAsia="zh-CN" w:bidi="ar-SA"/>
        </w:rPr>
        <w:t>中的二级标准，因此，本项目声环境影响评价范围为拟建井场边界外延至200m及管线、道路中心线两侧各200m范围内的声环境。</w:t>
      </w:r>
    </w:p>
    <w:p w14:paraId="2A689DBE">
      <w:pPr>
        <w:pStyle w:val="7"/>
        <w:widowControl w:val="0"/>
        <w:spacing w:before="60" w:after="60" w:line="440" w:lineRule="exact"/>
        <w:jc w:val="both"/>
        <w:rPr>
          <w:rFonts w:eastAsia="宋体"/>
          <w:b/>
          <w:color w:val="auto"/>
          <w:w w:val="99"/>
          <w:kern w:val="2"/>
          <w:sz w:val="24"/>
          <w:szCs w:val="24"/>
          <w:highlight w:val="none"/>
        </w:rPr>
      </w:pPr>
      <w:bookmarkStart w:id="344" w:name="_Toc57707899"/>
      <w:bookmarkStart w:id="345" w:name="_Toc186444255"/>
      <w:bookmarkStart w:id="346" w:name="_Toc80971357"/>
      <w:bookmarkStart w:id="347" w:name="_Toc80588235"/>
      <w:bookmarkStart w:id="348" w:name="_Toc78816440"/>
      <w:bookmarkStart w:id="349" w:name="_Toc76976223"/>
      <w:bookmarkStart w:id="350" w:name="_Toc5605"/>
      <w:bookmarkStart w:id="351" w:name="_Toc57976654"/>
      <w:bookmarkStart w:id="352" w:name="_Toc57203229"/>
      <w:bookmarkStart w:id="353" w:name="_Toc70050155"/>
      <w:bookmarkStart w:id="354" w:name="_Toc83209452"/>
      <w:bookmarkStart w:id="355" w:name="_Toc67860108"/>
      <w:bookmarkStart w:id="356" w:name="_Toc77067639"/>
      <w:bookmarkStart w:id="357" w:name="_Toc61597201"/>
      <w:bookmarkStart w:id="358" w:name="_Toc17898144"/>
      <w:r>
        <w:rPr>
          <w:rFonts w:eastAsia="宋体"/>
          <w:b/>
          <w:color w:val="auto"/>
          <w:w w:val="99"/>
          <w:kern w:val="2"/>
          <w:sz w:val="24"/>
          <w:szCs w:val="24"/>
          <w:highlight w:val="none"/>
        </w:rPr>
        <w:t>2.7.5生态环境</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A7850A0">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2.7.5.1评价等级</w:t>
      </w:r>
    </w:p>
    <w:p w14:paraId="44B9D25B">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本项目新增永久占地</w:t>
      </w:r>
      <w:r>
        <w:rPr>
          <w:rFonts w:hint="eastAsia" w:ascii="Times New Roman" w:hAnsi="Times New Roman" w:cs="Times New Roman"/>
          <w:color w:val="auto"/>
          <w:spacing w:val="4"/>
          <w:w w:val="99"/>
          <w:kern w:val="2"/>
          <w:position w:val="2"/>
          <w:sz w:val="24"/>
          <w:szCs w:val="24"/>
          <w:highlight w:val="none"/>
          <w:lang w:val="en-US" w:eastAsia="zh-CN" w:bidi="ar-SA"/>
        </w:rPr>
        <w:t>0.0901</w:t>
      </w:r>
      <w:r>
        <w:rPr>
          <w:rFonts w:ascii="Times New Roman" w:hAnsi="Times New Roman" w:eastAsia="宋体" w:cs="Times New Roman"/>
          <w:color w:val="auto"/>
          <w:spacing w:val="4"/>
          <w:w w:val="99"/>
          <w:kern w:val="2"/>
          <w:position w:val="2"/>
          <w:sz w:val="24"/>
          <w:szCs w:val="24"/>
          <w:highlight w:val="none"/>
          <w:lang w:val="en-US" w:eastAsia="zh-CN" w:bidi="ar-SA"/>
        </w:rPr>
        <w:t>hm</w:t>
      </w:r>
      <w:r>
        <w:rPr>
          <w:rFonts w:ascii="Times New Roman" w:hAnsi="Times New Roman" w:eastAsia="宋体" w:cs="Times New Roman"/>
          <w:color w:val="auto"/>
          <w:spacing w:val="4"/>
          <w:w w:val="99"/>
          <w:kern w:val="2"/>
          <w:position w:val="2"/>
          <w:sz w:val="24"/>
          <w:szCs w:val="24"/>
          <w:highlight w:val="none"/>
          <w:vertAlign w:val="superscript"/>
          <w:lang w:val="en-US" w:eastAsia="zh-CN" w:bidi="ar-SA"/>
        </w:rPr>
        <w:t>2</w:t>
      </w:r>
      <w:r>
        <w:rPr>
          <w:rFonts w:ascii="Times New Roman" w:hAnsi="Times New Roman" w:eastAsia="宋体" w:cs="Times New Roman"/>
          <w:color w:val="auto"/>
          <w:spacing w:val="4"/>
          <w:w w:val="99"/>
          <w:kern w:val="2"/>
          <w:position w:val="2"/>
          <w:sz w:val="24"/>
          <w:szCs w:val="24"/>
          <w:highlight w:val="none"/>
          <w:lang w:val="en-US" w:eastAsia="zh-CN" w:bidi="ar-SA"/>
        </w:rPr>
        <w:t>，新增临时占地</w:t>
      </w:r>
      <w:r>
        <w:rPr>
          <w:rFonts w:hint="eastAsia" w:ascii="Times New Roman" w:hAnsi="Times New Roman" w:cs="Times New Roman"/>
          <w:color w:val="auto"/>
          <w:spacing w:val="4"/>
          <w:w w:val="99"/>
          <w:kern w:val="2"/>
          <w:position w:val="2"/>
          <w:sz w:val="24"/>
          <w:szCs w:val="24"/>
          <w:highlight w:val="none"/>
          <w:lang w:val="en-US" w:eastAsia="zh-CN" w:bidi="ar-SA"/>
        </w:rPr>
        <w:t>1.9229</w:t>
      </w:r>
      <w:r>
        <w:rPr>
          <w:rFonts w:ascii="Times New Roman" w:hAnsi="Times New Roman" w:eastAsia="宋体" w:cs="Times New Roman"/>
          <w:color w:val="auto"/>
          <w:spacing w:val="4"/>
          <w:w w:val="99"/>
          <w:kern w:val="2"/>
          <w:position w:val="2"/>
          <w:sz w:val="24"/>
          <w:szCs w:val="24"/>
          <w:highlight w:val="none"/>
          <w:lang w:val="en-US" w:eastAsia="zh-CN" w:bidi="ar-SA"/>
        </w:rPr>
        <w:t>hm</w:t>
      </w:r>
      <w:r>
        <w:rPr>
          <w:rFonts w:ascii="Times New Roman" w:hAnsi="Times New Roman" w:eastAsia="宋体" w:cs="Times New Roman"/>
          <w:color w:val="auto"/>
          <w:spacing w:val="4"/>
          <w:w w:val="99"/>
          <w:kern w:val="2"/>
          <w:position w:val="2"/>
          <w:sz w:val="24"/>
          <w:szCs w:val="24"/>
          <w:highlight w:val="none"/>
          <w:vertAlign w:val="superscript"/>
          <w:lang w:val="en-US" w:eastAsia="zh-CN" w:bidi="ar-SA"/>
        </w:rPr>
        <w:t>2</w:t>
      </w:r>
      <w:r>
        <w:rPr>
          <w:rFonts w:ascii="Times New Roman" w:hAnsi="Times New Roman" w:eastAsia="宋体" w:cs="Times New Roman"/>
          <w:color w:val="auto"/>
          <w:spacing w:val="4"/>
          <w:w w:val="99"/>
          <w:kern w:val="2"/>
          <w:position w:val="2"/>
          <w:sz w:val="24"/>
          <w:szCs w:val="24"/>
          <w:highlight w:val="none"/>
          <w:lang w:val="en-US" w:eastAsia="zh-CN" w:bidi="ar-SA"/>
        </w:rPr>
        <w:t>，新增总占地面积</w:t>
      </w:r>
      <w:r>
        <w:rPr>
          <w:rFonts w:hint="eastAsia" w:ascii="Times New Roman" w:hAnsi="Times New Roman" w:cs="Times New Roman"/>
          <w:color w:val="auto"/>
          <w:spacing w:val="4"/>
          <w:w w:val="99"/>
          <w:kern w:val="2"/>
          <w:position w:val="2"/>
          <w:sz w:val="24"/>
          <w:szCs w:val="24"/>
          <w:highlight w:val="none"/>
          <w:lang w:val="en-US" w:eastAsia="zh-CN" w:bidi="ar-SA"/>
        </w:rPr>
        <w:t>2.013</w:t>
      </w:r>
      <w:r>
        <w:rPr>
          <w:rFonts w:ascii="Times New Roman" w:hAnsi="Times New Roman" w:eastAsia="宋体" w:cs="Times New Roman"/>
          <w:color w:val="auto"/>
          <w:spacing w:val="4"/>
          <w:w w:val="99"/>
          <w:kern w:val="2"/>
          <w:position w:val="2"/>
          <w:sz w:val="24"/>
          <w:szCs w:val="24"/>
          <w:highlight w:val="none"/>
          <w:lang w:val="en-US" w:eastAsia="zh-CN" w:bidi="ar-SA"/>
        </w:rPr>
        <w:t>hm</w:t>
      </w:r>
      <w:r>
        <w:rPr>
          <w:rFonts w:ascii="Times New Roman" w:hAnsi="Times New Roman" w:eastAsia="宋体" w:cs="Times New Roman"/>
          <w:color w:val="auto"/>
          <w:spacing w:val="4"/>
          <w:w w:val="99"/>
          <w:kern w:val="2"/>
          <w:position w:val="2"/>
          <w:sz w:val="24"/>
          <w:szCs w:val="24"/>
          <w:highlight w:val="none"/>
          <w:vertAlign w:val="superscript"/>
          <w:lang w:val="en-US" w:eastAsia="zh-CN" w:bidi="ar-SA"/>
        </w:rPr>
        <w:t>2</w:t>
      </w:r>
      <w:r>
        <w:rPr>
          <w:rFonts w:ascii="Times New Roman" w:hAnsi="Times New Roman" w:eastAsia="宋体" w:cs="Times New Roman"/>
          <w:color w:val="auto"/>
          <w:spacing w:val="4"/>
          <w:w w:val="99"/>
          <w:kern w:val="2"/>
          <w:position w:val="2"/>
          <w:sz w:val="24"/>
          <w:szCs w:val="24"/>
          <w:highlight w:val="none"/>
          <w:lang w:val="en-US" w:eastAsia="zh-CN" w:bidi="ar-SA"/>
        </w:rPr>
        <w:t>（0.</w:t>
      </w:r>
      <w:r>
        <w:rPr>
          <w:rFonts w:hint="eastAsia" w:ascii="Times New Roman" w:hAnsi="Times New Roman" w:cs="Times New Roman"/>
          <w:color w:val="auto"/>
          <w:spacing w:val="4"/>
          <w:w w:val="99"/>
          <w:kern w:val="2"/>
          <w:position w:val="2"/>
          <w:sz w:val="24"/>
          <w:szCs w:val="24"/>
          <w:highlight w:val="none"/>
          <w:lang w:val="en-US" w:eastAsia="zh-CN" w:bidi="ar-SA"/>
        </w:rPr>
        <w:t>02013</w:t>
      </w:r>
      <w:r>
        <w:rPr>
          <w:rFonts w:ascii="Times New Roman" w:hAnsi="Times New Roman" w:eastAsia="宋体" w:cs="Times New Roman"/>
          <w:color w:val="auto"/>
          <w:spacing w:val="4"/>
          <w:w w:val="99"/>
          <w:kern w:val="2"/>
          <w:position w:val="2"/>
          <w:sz w:val="24"/>
          <w:szCs w:val="24"/>
          <w:highlight w:val="none"/>
          <w:lang w:val="en-US" w:eastAsia="zh-CN" w:bidi="ar-SA"/>
        </w:rPr>
        <w:t>km</w:t>
      </w:r>
      <w:r>
        <w:rPr>
          <w:rFonts w:ascii="Times New Roman" w:hAnsi="Times New Roman" w:eastAsia="宋体" w:cs="Times New Roman"/>
          <w:color w:val="auto"/>
          <w:spacing w:val="4"/>
          <w:w w:val="99"/>
          <w:kern w:val="2"/>
          <w:position w:val="2"/>
          <w:sz w:val="24"/>
          <w:szCs w:val="24"/>
          <w:highlight w:val="none"/>
          <w:vertAlign w:val="superscript"/>
          <w:lang w:val="en-US" w:eastAsia="zh-CN" w:bidi="ar-SA"/>
        </w:rPr>
        <w:t>2</w:t>
      </w:r>
      <w:r>
        <w:rPr>
          <w:rFonts w:ascii="Times New Roman" w:hAnsi="Times New Roman" w:eastAsia="宋体" w:cs="Times New Roman"/>
          <w:color w:val="auto"/>
          <w:spacing w:val="4"/>
          <w:w w:val="99"/>
          <w:kern w:val="2"/>
          <w:position w:val="2"/>
          <w:sz w:val="24"/>
          <w:szCs w:val="24"/>
          <w:highlight w:val="none"/>
          <w:lang w:val="en-US" w:eastAsia="zh-CN" w:bidi="ar-SA"/>
        </w:rPr>
        <w:t>），占地面积小于20km</w:t>
      </w:r>
      <w:r>
        <w:rPr>
          <w:rFonts w:ascii="Times New Roman" w:hAnsi="Times New Roman" w:eastAsia="宋体" w:cs="Times New Roman"/>
          <w:color w:val="auto"/>
          <w:spacing w:val="4"/>
          <w:w w:val="99"/>
          <w:kern w:val="2"/>
          <w:position w:val="2"/>
          <w:sz w:val="24"/>
          <w:szCs w:val="24"/>
          <w:highlight w:val="none"/>
          <w:vertAlign w:val="superscript"/>
          <w:lang w:val="en-US" w:eastAsia="zh-CN" w:bidi="ar-SA"/>
        </w:rPr>
        <w:t>2</w:t>
      </w:r>
      <w:r>
        <w:rPr>
          <w:rFonts w:ascii="Times New Roman" w:hAnsi="Times New Roman" w:eastAsia="宋体" w:cs="Times New Roman"/>
          <w:color w:val="auto"/>
          <w:spacing w:val="4"/>
          <w:w w:val="99"/>
          <w:kern w:val="2"/>
          <w:position w:val="2"/>
          <w:sz w:val="24"/>
          <w:szCs w:val="24"/>
          <w:highlight w:val="none"/>
          <w:lang w:val="en-US" w:eastAsia="zh-CN" w:bidi="ar-SA"/>
        </w:rPr>
        <w:t>，本项目占地类型为耕地（永久基本农田），占地范围内没有自然保护区、世界文化和自然遗产地、风景名胜区、森林公园、地质公园、重要湿地、珍稀濒危野生动植物天然集中分布区等，项目不在生态保护红线内。本项目建设不影响地下水水位，项目土壤影响范围内无天然林、公益林等生态保护目标。</w:t>
      </w:r>
      <w:r>
        <w:rPr>
          <w:rFonts w:ascii="Times New Roman" w:hAnsi="Times New Roman" w:eastAsiaTheme="minorEastAsia"/>
          <w:snapToGrid w:val="0"/>
          <w:color w:val="auto"/>
          <w:w w:val="99"/>
          <w:highlight w:val="none"/>
        </w:rPr>
        <w:t>根据《环境影响评价技术导则 生态影响》（HJ19-2022）规定，本项目生态环境评价等级为</w:t>
      </w:r>
      <w:r>
        <w:rPr>
          <w:rFonts w:hint="eastAsia" w:ascii="Times New Roman" w:hAnsi="Times New Roman" w:eastAsiaTheme="minorEastAsia"/>
          <w:snapToGrid w:val="0"/>
          <w:color w:val="auto"/>
          <w:w w:val="99"/>
          <w:highlight w:val="none"/>
          <w:lang w:val="en-US" w:eastAsia="zh-CN"/>
        </w:rPr>
        <w:t>三</w:t>
      </w:r>
      <w:r>
        <w:rPr>
          <w:rFonts w:ascii="Times New Roman" w:hAnsi="Times New Roman" w:eastAsiaTheme="minorEastAsia"/>
          <w:snapToGrid w:val="0"/>
          <w:color w:val="auto"/>
          <w:w w:val="99"/>
          <w:highlight w:val="none"/>
        </w:rPr>
        <w:t>级。</w:t>
      </w:r>
    </w:p>
    <w:p w14:paraId="27C7CACC">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本工程生态环境影响评价工作等级判定见表2.7-</w:t>
      </w:r>
      <w:r>
        <w:rPr>
          <w:rFonts w:hint="eastAsia" w:ascii="Times New Roman" w:hAnsi="Times New Roman" w:cs="Times New Roman"/>
          <w:color w:val="auto"/>
          <w:spacing w:val="4"/>
          <w:w w:val="99"/>
          <w:kern w:val="2"/>
          <w:position w:val="2"/>
          <w:sz w:val="24"/>
          <w:szCs w:val="24"/>
          <w:highlight w:val="none"/>
          <w:lang w:val="en-US" w:eastAsia="zh-CN" w:bidi="ar-SA"/>
        </w:rPr>
        <w:t>10</w:t>
      </w:r>
      <w:r>
        <w:rPr>
          <w:rFonts w:ascii="Times New Roman" w:hAnsi="Times New Roman" w:eastAsia="宋体" w:cs="Times New Roman"/>
          <w:color w:val="auto"/>
          <w:spacing w:val="4"/>
          <w:w w:val="99"/>
          <w:kern w:val="2"/>
          <w:position w:val="2"/>
          <w:sz w:val="24"/>
          <w:szCs w:val="24"/>
          <w:highlight w:val="none"/>
          <w:lang w:val="en-US" w:eastAsia="zh-CN" w:bidi="ar-SA"/>
        </w:rPr>
        <w:t>。</w:t>
      </w:r>
    </w:p>
    <w:p w14:paraId="596F07C6">
      <w:pPr>
        <w:pStyle w:val="153"/>
        <w:widowControl w:val="0"/>
        <w:spacing w:line="440" w:lineRule="exact"/>
        <w:ind w:firstLine="478"/>
        <w:jc w:val="both"/>
        <w:rPr>
          <w:rFonts w:ascii="Times New Roman" w:hAnsi="Times New Roman" w:eastAsiaTheme="minorEastAsia"/>
          <w:snapToGrid w:val="0"/>
          <w:color w:val="auto"/>
          <w:w w:val="99"/>
          <w:highlight w:val="none"/>
        </w:rPr>
      </w:pPr>
      <w:r>
        <w:rPr>
          <w:rFonts w:ascii="Times New Roman" w:hAnsi="Times New Roman" w:eastAsiaTheme="minorEastAsia"/>
          <w:b/>
          <w:bCs/>
          <w:color w:val="auto"/>
          <w:w w:val="99"/>
          <w:highlight w:val="none"/>
        </w:rPr>
        <w:t>表2.7-</w:t>
      </w:r>
      <w:r>
        <w:rPr>
          <w:rFonts w:hint="eastAsia" w:ascii="Times New Roman" w:hAnsi="Times New Roman" w:eastAsiaTheme="minorEastAsia"/>
          <w:b/>
          <w:bCs/>
          <w:color w:val="auto"/>
          <w:w w:val="99"/>
          <w:highlight w:val="none"/>
          <w:lang w:val="en-US" w:eastAsia="zh-CN"/>
        </w:rPr>
        <w:t>10</w:t>
      </w:r>
      <w:r>
        <w:rPr>
          <w:rFonts w:ascii="Times New Roman" w:hAnsi="Times New Roman" w:eastAsiaTheme="minorEastAsia"/>
          <w:b/>
          <w:bCs/>
          <w:color w:val="auto"/>
          <w:w w:val="99"/>
          <w:highlight w:val="none"/>
        </w:rPr>
        <w:t xml:space="preserve">    生态影响评价工作等级划分表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4"/>
        <w:gridCol w:w="5639"/>
        <w:gridCol w:w="2601"/>
      </w:tblGrid>
      <w:tr w14:paraId="7DA55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3" w:type="pct"/>
            <w:tcMar>
              <w:left w:w="85" w:type="dxa"/>
            </w:tcMar>
            <w:vAlign w:val="center"/>
          </w:tcPr>
          <w:p w14:paraId="138A18A4">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评价等级</w:t>
            </w:r>
          </w:p>
        </w:tc>
        <w:tc>
          <w:tcPr>
            <w:tcW w:w="3042" w:type="pct"/>
            <w:tcMar>
              <w:left w:w="85" w:type="dxa"/>
            </w:tcMar>
            <w:vAlign w:val="center"/>
          </w:tcPr>
          <w:p w14:paraId="33DFF9A9">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判定内容</w:t>
            </w:r>
          </w:p>
        </w:tc>
        <w:tc>
          <w:tcPr>
            <w:tcW w:w="1403" w:type="pct"/>
            <w:tcMar>
              <w:left w:w="85" w:type="dxa"/>
            </w:tcMar>
            <w:vAlign w:val="center"/>
          </w:tcPr>
          <w:p w14:paraId="32799712">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w:t>
            </w:r>
          </w:p>
        </w:tc>
      </w:tr>
      <w:tr w14:paraId="485E4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3" w:type="pct"/>
            <w:tcMar>
              <w:left w:w="85" w:type="dxa"/>
            </w:tcMar>
            <w:vAlign w:val="center"/>
          </w:tcPr>
          <w:p w14:paraId="4BE39846">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一级</w:t>
            </w:r>
          </w:p>
        </w:tc>
        <w:tc>
          <w:tcPr>
            <w:tcW w:w="3042" w:type="pct"/>
            <w:tcMar>
              <w:left w:w="85" w:type="dxa"/>
            </w:tcMar>
            <w:vAlign w:val="center"/>
          </w:tcPr>
          <w:p w14:paraId="7555988F">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涉及国家公园、自然保护区、世界自然遗产、重要生境时</w:t>
            </w:r>
          </w:p>
        </w:tc>
        <w:tc>
          <w:tcPr>
            <w:tcW w:w="1403" w:type="pct"/>
            <w:tcMar>
              <w:left w:w="85" w:type="dxa"/>
            </w:tcMar>
            <w:vAlign w:val="center"/>
          </w:tcPr>
          <w:p w14:paraId="6FCA8BB3">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不涉及</w:t>
            </w:r>
          </w:p>
        </w:tc>
      </w:tr>
      <w:tr w14:paraId="3F0A2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3" w:type="pct"/>
            <w:tcMar>
              <w:left w:w="85" w:type="dxa"/>
            </w:tcMar>
            <w:vAlign w:val="center"/>
          </w:tcPr>
          <w:p w14:paraId="63A288E8">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二级</w:t>
            </w:r>
          </w:p>
        </w:tc>
        <w:tc>
          <w:tcPr>
            <w:tcW w:w="3042" w:type="pct"/>
            <w:tcMar>
              <w:left w:w="85" w:type="dxa"/>
            </w:tcMar>
            <w:vAlign w:val="center"/>
          </w:tcPr>
          <w:p w14:paraId="6D6B0E6F">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涉及自然公园</w:t>
            </w:r>
          </w:p>
        </w:tc>
        <w:tc>
          <w:tcPr>
            <w:tcW w:w="1403" w:type="pct"/>
            <w:tcMar>
              <w:left w:w="85" w:type="dxa"/>
            </w:tcMar>
            <w:vAlign w:val="center"/>
          </w:tcPr>
          <w:p w14:paraId="3F15B694">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不涉及</w:t>
            </w:r>
          </w:p>
        </w:tc>
      </w:tr>
      <w:tr w14:paraId="16FAF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3" w:type="pct"/>
            <w:tcMar>
              <w:left w:w="85" w:type="dxa"/>
            </w:tcMar>
            <w:vAlign w:val="center"/>
          </w:tcPr>
          <w:p w14:paraId="03B33896">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不低于二级</w:t>
            </w:r>
          </w:p>
        </w:tc>
        <w:tc>
          <w:tcPr>
            <w:tcW w:w="3042" w:type="pct"/>
            <w:tcMar>
              <w:left w:w="85" w:type="dxa"/>
            </w:tcMar>
            <w:vAlign w:val="center"/>
          </w:tcPr>
          <w:p w14:paraId="0D8E92DC">
            <w:pPr>
              <w:spacing w:line="360" w:lineRule="exact"/>
              <w:jc w:val="center"/>
              <w:rPr>
                <w:rFonts w:ascii="Times New Roman" w:hAnsi="Times New Roman" w:cs="Times New Roman"/>
                <w:color w:val="auto"/>
                <w:w w:val="99"/>
                <w:sz w:val="21"/>
                <w:szCs w:val="21"/>
                <w:highlight w:val="none"/>
              </w:rPr>
            </w:pPr>
            <w:r>
              <w:rPr>
                <w:rFonts w:hint="eastAsia"/>
                <w:color w:val="auto"/>
                <w:w w:val="99"/>
                <w:sz w:val="21"/>
                <w:szCs w:val="21"/>
                <w:highlight w:val="none"/>
              </w:rPr>
              <w:t>①</w:t>
            </w:r>
            <w:r>
              <w:rPr>
                <w:rFonts w:ascii="Times New Roman" w:hAnsi="Times New Roman" w:cs="Times New Roman"/>
                <w:color w:val="auto"/>
                <w:w w:val="99"/>
                <w:sz w:val="21"/>
                <w:szCs w:val="21"/>
                <w:highlight w:val="none"/>
              </w:rPr>
              <w:t>涉及生态保护红线时；根据HJ2.3判断属于水文要素影响型且地表水评价等级不低于二级的建设项目；</w:t>
            </w:r>
            <w:r>
              <w:rPr>
                <w:rFonts w:hint="eastAsia"/>
                <w:color w:val="auto"/>
                <w:w w:val="99"/>
                <w:sz w:val="21"/>
                <w:szCs w:val="21"/>
                <w:highlight w:val="none"/>
              </w:rPr>
              <w:t>②</w:t>
            </w:r>
            <w:r>
              <w:rPr>
                <w:rFonts w:ascii="Times New Roman" w:hAnsi="Times New Roman" w:cs="Times New Roman"/>
                <w:color w:val="auto"/>
                <w:w w:val="99"/>
                <w:sz w:val="21"/>
                <w:szCs w:val="21"/>
                <w:highlight w:val="none"/>
              </w:rPr>
              <w:t>根据HJ610、HJ964判断地下水水位或土壤影响范围内分布有天然林、公益林、湿地等生态保护目标的建设项目；</w:t>
            </w:r>
            <w:r>
              <w:rPr>
                <w:rFonts w:hint="eastAsia"/>
                <w:color w:val="auto"/>
                <w:w w:val="99"/>
                <w:sz w:val="21"/>
                <w:szCs w:val="21"/>
                <w:highlight w:val="none"/>
              </w:rPr>
              <w:t>③</w:t>
            </w:r>
            <w:r>
              <w:rPr>
                <w:rFonts w:ascii="Times New Roman" w:hAnsi="Times New Roman" w:cs="Times New Roman"/>
                <w:color w:val="auto"/>
                <w:w w:val="99"/>
                <w:sz w:val="21"/>
                <w:szCs w:val="21"/>
                <w:highlight w:val="none"/>
              </w:rPr>
              <w:t>当工程占地规模大于20km</w:t>
            </w:r>
            <w:r>
              <w:rPr>
                <w:rFonts w:ascii="Times New Roman" w:hAnsi="Times New Roman" w:cs="Times New Roman"/>
                <w:color w:val="auto"/>
                <w:w w:val="99"/>
                <w:sz w:val="21"/>
                <w:szCs w:val="21"/>
                <w:highlight w:val="none"/>
                <w:vertAlign w:val="superscript"/>
              </w:rPr>
              <w:t>2</w:t>
            </w:r>
            <w:r>
              <w:rPr>
                <w:rFonts w:ascii="Times New Roman" w:hAnsi="Times New Roman" w:cs="Times New Roman"/>
                <w:color w:val="auto"/>
                <w:w w:val="99"/>
                <w:sz w:val="21"/>
                <w:szCs w:val="21"/>
                <w:highlight w:val="none"/>
              </w:rPr>
              <w:t>时（包括永久和临时占用陆域和水域）。</w:t>
            </w:r>
          </w:p>
        </w:tc>
        <w:tc>
          <w:tcPr>
            <w:tcW w:w="1403" w:type="pct"/>
            <w:tcMar>
              <w:left w:w="85" w:type="dxa"/>
            </w:tcMar>
            <w:vAlign w:val="center"/>
          </w:tcPr>
          <w:p w14:paraId="31A4B686">
            <w:pPr>
              <w:spacing w:line="360" w:lineRule="exact"/>
              <w:jc w:val="both"/>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val="en-US" w:eastAsia="zh-CN"/>
              </w:rPr>
              <w:t>不</w:t>
            </w:r>
            <w:r>
              <w:rPr>
                <w:rFonts w:ascii="Times New Roman" w:hAnsi="Times New Roman" w:cs="Times New Roman"/>
                <w:color w:val="auto"/>
                <w:w w:val="99"/>
                <w:sz w:val="21"/>
                <w:szCs w:val="21"/>
                <w:highlight w:val="none"/>
              </w:rPr>
              <w:t>涉及。本项目不涉及生态保护红线，地表水为水污染影响型，评价等级为三级B；</w:t>
            </w:r>
            <w:r>
              <w:rPr>
                <w:rFonts w:ascii="Times New Roman" w:hAnsi="Times New Roman" w:cs="Times New Roman"/>
                <w:color w:val="auto"/>
                <w:w w:val="99"/>
                <w:sz w:val="21"/>
                <w:szCs w:val="21"/>
                <w:highlight w:val="none"/>
                <w:lang w:bidi="zh-CN"/>
              </w:rPr>
              <w:t>土壤范围内无天然林、公益林</w:t>
            </w:r>
            <w:r>
              <w:rPr>
                <w:rFonts w:hint="eastAsia" w:ascii="Times New Roman" w:hAnsi="Times New Roman" w:cs="Times New Roman"/>
                <w:color w:val="auto"/>
                <w:w w:val="99"/>
                <w:sz w:val="21"/>
                <w:szCs w:val="21"/>
                <w:highlight w:val="none"/>
                <w:lang w:bidi="zh-CN"/>
              </w:rPr>
              <w:t>、</w:t>
            </w:r>
            <w:r>
              <w:rPr>
                <w:rFonts w:hint="eastAsia" w:ascii="Times New Roman" w:hAnsi="Times New Roman" w:cs="Times New Roman"/>
                <w:color w:val="auto"/>
                <w:w w:val="99"/>
                <w:sz w:val="21"/>
                <w:szCs w:val="21"/>
                <w:highlight w:val="none"/>
                <w:lang w:val="en-US" w:bidi="zh-CN"/>
              </w:rPr>
              <w:t>湿地</w:t>
            </w:r>
            <w:r>
              <w:rPr>
                <w:rFonts w:ascii="Times New Roman" w:hAnsi="Times New Roman" w:cs="Times New Roman"/>
                <w:color w:val="auto"/>
                <w:w w:val="99"/>
                <w:sz w:val="21"/>
                <w:szCs w:val="21"/>
                <w:highlight w:val="none"/>
                <w:lang w:bidi="zh-CN"/>
              </w:rPr>
              <w:t>等生态保护目标，项目占地0</w:t>
            </w:r>
            <w:r>
              <w:rPr>
                <w:rFonts w:hint="eastAsia" w:ascii="Times New Roman" w:hAnsi="Times New Roman" w:cs="Times New Roman"/>
                <w:color w:val="auto"/>
                <w:w w:val="99"/>
                <w:sz w:val="21"/>
                <w:szCs w:val="21"/>
                <w:highlight w:val="none"/>
                <w:lang w:val="en-US" w:bidi="zh-CN"/>
              </w:rPr>
              <w:t>.02013</w:t>
            </w:r>
            <w:r>
              <w:rPr>
                <w:rFonts w:ascii="Times New Roman" w:hAnsi="Times New Roman" w:cs="Times New Roman"/>
                <w:color w:val="auto"/>
                <w:w w:val="99"/>
                <w:sz w:val="21"/>
                <w:szCs w:val="21"/>
                <w:highlight w:val="none"/>
                <w:lang w:bidi="zh-CN"/>
              </w:rPr>
              <w:t>km</w:t>
            </w:r>
            <w:r>
              <w:rPr>
                <w:rFonts w:ascii="Times New Roman" w:hAnsi="Times New Roman" w:cs="Times New Roman"/>
                <w:color w:val="auto"/>
                <w:w w:val="99"/>
                <w:sz w:val="21"/>
                <w:szCs w:val="21"/>
                <w:highlight w:val="none"/>
                <w:vertAlign w:val="superscript"/>
                <w:lang w:bidi="zh-CN"/>
              </w:rPr>
              <w:t>2</w:t>
            </w:r>
            <w:r>
              <w:rPr>
                <w:rFonts w:ascii="Times New Roman" w:hAnsi="Times New Roman" w:cs="Times New Roman"/>
                <w:color w:val="auto"/>
                <w:w w:val="99"/>
                <w:sz w:val="21"/>
                <w:szCs w:val="21"/>
                <w:highlight w:val="none"/>
                <w:lang w:bidi="zh-CN"/>
              </w:rPr>
              <w:t>，小于20km</w:t>
            </w:r>
            <w:r>
              <w:rPr>
                <w:rFonts w:ascii="Times New Roman" w:hAnsi="Times New Roman" w:cs="Times New Roman"/>
                <w:color w:val="auto"/>
                <w:w w:val="99"/>
                <w:sz w:val="21"/>
                <w:szCs w:val="21"/>
                <w:highlight w:val="none"/>
                <w:vertAlign w:val="superscript"/>
                <w:lang w:bidi="zh-CN"/>
              </w:rPr>
              <w:t>2</w:t>
            </w:r>
            <w:r>
              <w:rPr>
                <w:rFonts w:ascii="Times New Roman" w:hAnsi="Times New Roman" w:cs="Times New Roman"/>
                <w:color w:val="auto"/>
                <w:w w:val="99"/>
                <w:sz w:val="21"/>
                <w:szCs w:val="21"/>
                <w:highlight w:val="none"/>
                <w:lang w:bidi="zh-CN"/>
              </w:rPr>
              <w:t>。</w:t>
            </w:r>
          </w:p>
        </w:tc>
      </w:tr>
      <w:tr w14:paraId="3760B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3" w:type="pct"/>
            <w:tcMar>
              <w:left w:w="85" w:type="dxa"/>
            </w:tcMar>
            <w:vAlign w:val="center"/>
          </w:tcPr>
          <w:p w14:paraId="354D7C52">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三级</w:t>
            </w:r>
          </w:p>
        </w:tc>
        <w:tc>
          <w:tcPr>
            <w:tcW w:w="3042" w:type="pct"/>
            <w:tcMar>
              <w:left w:w="85" w:type="dxa"/>
            </w:tcMar>
            <w:vAlign w:val="center"/>
          </w:tcPr>
          <w:p w14:paraId="78A729A1">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以上之外的</w:t>
            </w:r>
          </w:p>
        </w:tc>
        <w:tc>
          <w:tcPr>
            <w:tcW w:w="1403" w:type="pct"/>
            <w:tcMar>
              <w:left w:w="85" w:type="dxa"/>
            </w:tcMar>
            <w:vAlign w:val="center"/>
          </w:tcPr>
          <w:p w14:paraId="3FF50F82">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w:t>
            </w:r>
          </w:p>
        </w:tc>
      </w:tr>
      <w:tr w14:paraId="6C442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3" w:type="pct"/>
            <w:tcMar>
              <w:left w:w="85" w:type="dxa"/>
            </w:tcMar>
            <w:vAlign w:val="center"/>
          </w:tcPr>
          <w:p w14:paraId="1486A145">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说明</w:t>
            </w:r>
          </w:p>
        </w:tc>
        <w:tc>
          <w:tcPr>
            <w:tcW w:w="3042" w:type="pct"/>
            <w:tcMar>
              <w:left w:w="85" w:type="dxa"/>
            </w:tcMar>
            <w:vAlign w:val="center"/>
          </w:tcPr>
          <w:p w14:paraId="0BE57E68">
            <w:pPr>
              <w:spacing w:line="360" w:lineRule="exact"/>
              <w:jc w:val="center"/>
              <w:rPr>
                <w:rFonts w:ascii="Times New Roman" w:hAnsi="Times New Roman" w:cs="Times New Roman"/>
                <w:color w:val="auto"/>
                <w:w w:val="99"/>
                <w:sz w:val="21"/>
                <w:szCs w:val="21"/>
                <w:highlight w:val="none"/>
              </w:rPr>
            </w:pPr>
            <w:r>
              <w:rPr>
                <w:rFonts w:hint="eastAsia"/>
                <w:color w:val="auto"/>
                <w:w w:val="99"/>
                <w:sz w:val="21"/>
                <w:szCs w:val="21"/>
                <w:highlight w:val="none"/>
              </w:rPr>
              <w:t>①</w:t>
            </w:r>
            <w:r>
              <w:rPr>
                <w:rFonts w:ascii="Times New Roman" w:hAnsi="Times New Roman" w:cs="Times New Roman"/>
                <w:color w:val="auto"/>
                <w:w w:val="99"/>
                <w:sz w:val="21"/>
                <w:szCs w:val="21"/>
                <w:highlight w:val="none"/>
              </w:rPr>
              <w:t>改扩建项目的占地范围以新增占地（包括陆域和水域）确定；</w:t>
            </w:r>
            <w:r>
              <w:rPr>
                <w:rFonts w:hint="eastAsia"/>
                <w:color w:val="auto"/>
                <w:w w:val="99"/>
                <w:sz w:val="21"/>
                <w:szCs w:val="21"/>
                <w:highlight w:val="none"/>
              </w:rPr>
              <w:t>②</w:t>
            </w:r>
            <w:r>
              <w:rPr>
                <w:rFonts w:ascii="Times New Roman" w:hAnsi="Times New Roman" w:cs="Times New Roman"/>
                <w:color w:val="auto"/>
                <w:w w:val="99"/>
                <w:sz w:val="21"/>
                <w:szCs w:val="21"/>
                <w:highlight w:val="none"/>
              </w:rPr>
              <w:t>当评价等级判定同时符合上述多种情况时，应采用其中最高的评价等级；</w:t>
            </w:r>
            <w:r>
              <w:rPr>
                <w:rFonts w:hint="eastAsia"/>
                <w:color w:val="auto"/>
                <w:w w:val="99"/>
                <w:sz w:val="21"/>
                <w:szCs w:val="21"/>
                <w:highlight w:val="none"/>
              </w:rPr>
              <w:t>③</w:t>
            </w:r>
            <w:r>
              <w:rPr>
                <w:rFonts w:ascii="Times New Roman" w:hAnsi="Times New Roman" w:cs="Times New Roman"/>
                <w:color w:val="auto"/>
                <w:w w:val="99"/>
                <w:sz w:val="21"/>
                <w:szCs w:val="21"/>
                <w:highlight w:val="none"/>
              </w:rPr>
              <w:t>建设项目涉及经论证对保护生物多样性具有重要意义的区域时，可适当上调评价等级。</w:t>
            </w:r>
            <w:r>
              <w:rPr>
                <w:rFonts w:hint="eastAsia"/>
                <w:color w:val="auto"/>
                <w:w w:val="99"/>
                <w:sz w:val="21"/>
                <w:szCs w:val="21"/>
                <w:highlight w:val="none"/>
              </w:rPr>
              <w:t>④</w:t>
            </w:r>
            <w:r>
              <w:rPr>
                <w:rFonts w:ascii="Times New Roman" w:hAnsi="Times New Roman" w:cs="Times New Roman"/>
                <w:color w:val="auto"/>
                <w:w w:val="99"/>
                <w:sz w:val="21"/>
                <w:szCs w:val="21"/>
                <w:highlight w:val="none"/>
              </w:rPr>
              <w:t>建设项目同时涉及陆生、水生生态影响时，可针对陆生生态、水生生态分别判定评价等级。</w:t>
            </w:r>
            <w:r>
              <w:rPr>
                <w:rFonts w:hint="eastAsia"/>
                <w:color w:val="auto"/>
                <w:w w:val="99"/>
                <w:sz w:val="21"/>
                <w:szCs w:val="21"/>
                <w:highlight w:val="none"/>
              </w:rPr>
              <w:t>⑤</w:t>
            </w:r>
            <w:r>
              <w:rPr>
                <w:rFonts w:ascii="Times New Roman" w:hAnsi="Times New Roman" w:cs="Times New Roman"/>
                <w:color w:val="auto"/>
                <w:w w:val="99"/>
                <w:sz w:val="21"/>
                <w:szCs w:val="21"/>
                <w:highlight w:val="none"/>
              </w:rPr>
              <w:t>在矿山开采可能导致矿区土地利用类型明显改变，或拦河闸坝建设可能明显改变水文情势等情况下，评价等级应上调一级。</w:t>
            </w:r>
            <w:r>
              <w:rPr>
                <w:rFonts w:hint="eastAsia"/>
                <w:color w:val="auto"/>
                <w:w w:val="99"/>
                <w:sz w:val="21"/>
                <w:szCs w:val="21"/>
                <w:highlight w:val="none"/>
              </w:rPr>
              <w:t>⑥</w:t>
            </w:r>
            <w:r>
              <w:rPr>
                <w:rFonts w:ascii="Times New Roman" w:hAnsi="Times New Roman" w:cs="Times New Roman"/>
                <w:color w:val="auto"/>
                <w:w w:val="99"/>
                <w:sz w:val="21"/>
                <w:szCs w:val="21"/>
                <w:highlight w:val="none"/>
              </w:rPr>
              <w:t>线性工程可分段确定评价等级。线性工程地下穿越或地表跨越生态敏感区，在生态敏感区范围内无永久、临时占地时，评价等级可下调一级。</w:t>
            </w:r>
            <w:r>
              <w:rPr>
                <w:rFonts w:hint="eastAsia"/>
                <w:color w:val="auto"/>
                <w:w w:val="99"/>
                <w:sz w:val="21"/>
                <w:szCs w:val="21"/>
                <w:highlight w:val="none"/>
              </w:rPr>
              <w:t>⑦</w:t>
            </w:r>
            <w:r>
              <w:rPr>
                <w:rFonts w:ascii="Times New Roman" w:hAnsi="Times New Roman" w:cs="Times New Roman"/>
                <w:color w:val="auto"/>
                <w:w w:val="99"/>
                <w:sz w:val="21"/>
                <w:szCs w:val="21"/>
                <w:highlight w:val="none"/>
              </w:rPr>
              <w:t>涉海工程评价等级判定参照 GB/T 19485。</w:t>
            </w:r>
          </w:p>
        </w:tc>
        <w:tc>
          <w:tcPr>
            <w:tcW w:w="1403" w:type="pct"/>
            <w:tcMar>
              <w:left w:w="85" w:type="dxa"/>
            </w:tcMar>
            <w:vAlign w:val="center"/>
          </w:tcPr>
          <w:p w14:paraId="7E2F00F1">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不涉及</w:t>
            </w:r>
          </w:p>
        </w:tc>
      </w:tr>
      <w:tr w14:paraId="4C445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3" w:type="pct"/>
            <w:tcMar>
              <w:left w:w="85" w:type="dxa"/>
            </w:tcMar>
            <w:vAlign w:val="center"/>
          </w:tcPr>
          <w:p w14:paraId="0CC040A8">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简单分析</w:t>
            </w:r>
          </w:p>
        </w:tc>
        <w:tc>
          <w:tcPr>
            <w:tcW w:w="3042" w:type="pct"/>
            <w:tcMar>
              <w:left w:w="85" w:type="dxa"/>
            </w:tcMar>
            <w:vAlign w:val="center"/>
          </w:tcPr>
          <w:p w14:paraId="467D211B">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1403" w:type="pct"/>
            <w:tcMar>
              <w:left w:w="85" w:type="dxa"/>
            </w:tcMar>
            <w:vAlign w:val="center"/>
          </w:tcPr>
          <w:p w14:paraId="496BEBDD">
            <w:pPr>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不涉及，本项目为生态影响类项目</w:t>
            </w:r>
          </w:p>
        </w:tc>
      </w:tr>
    </w:tbl>
    <w:p w14:paraId="758CEFC2">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2.7.5.2评价范围</w:t>
      </w:r>
    </w:p>
    <w:p w14:paraId="3AD6E1C9">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yellow"/>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根据《环境影响评价技术导则 陆地石油天然气开发建设项目》（HJ349-2023）要求，本项目</w:t>
      </w:r>
      <w:bookmarkStart w:id="359" w:name="OLE_LINK47"/>
      <w:bookmarkStart w:id="360" w:name="OLE_LINK58"/>
      <w:r>
        <w:rPr>
          <w:rFonts w:ascii="Times New Roman" w:hAnsi="Times New Roman" w:eastAsia="宋体" w:cs="Times New Roman"/>
          <w:color w:val="auto"/>
          <w:spacing w:val="4"/>
          <w:w w:val="99"/>
          <w:kern w:val="2"/>
          <w:position w:val="2"/>
          <w:sz w:val="24"/>
          <w:szCs w:val="24"/>
          <w:highlight w:val="none"/>
          <w:lang w:val="en-US" w:eastAsia="zh-CN" w:bidi="ar-SA"/>
        </w:rPr>
        <w:t>评价范围为</w:t>
      </w:r>
      <w:bookmarkStart w:id="361" w:name="OLE_LINK32"/>
      <w:bookmarkStart w:id="362" w:name="OLE_LINK28"/>
      <w:r>
        <w:rPr>
          <w:rFonts w:ascii="Times New Roman" w:hAnsi="Times New Roman" w:eastAsia="宋体" w:cs="Times New Roman"/>
          <w:color w:val="auto"/>
          <w:spacing w:val="4"/>
          <w:w w:val="99"/>
          <w:kern w:val="2"/>
          <w:position w:val="2"/>
          <w:sz w:val="24"/>
          <w:szCs w:val="24"/>
          <w:highlight w:val="none"/>
          <w:lang w:val="en-US" w:eastAsia="zh-CN" w:bidi="ar-SA"/>
        </w:rPr>
        <w:t>拟建井场边界外扩50m范围及管线、道路沿线两侧外扩300m区域</w:t>
      </w:r>
      <w:bookmarkEnd w:id="359"/>
      <w:bookmarkEnd w:id="360"/>
      <w:r>
        <w:rPr>
          <w:rFonts w:ascii="Times New Roman" w:hAnsi="Times New Roman" w:eastAsia="宋体" w:cs="Times New Roman"/>
          <w:color w:val="auto"/>
          <w:spacing w:val="4"/>
          <w:w w:val="99"/>
          <w:kern w:val="2"/>
          <w:position w:val="2"/>
          <w:sz w:val="24"/>
          <w:szCs w:val="24"/>
          <w:highlight w:val="none"/>
          <w:lang w:val="en-US" w:eastAsia="zh-CN" w:bidi="ar-SA"/>
        </w:rPr>
        <w:t>的生态环境，评价范围总面积</w:t>
      </w:r>
      <w:r>
        <w:rPr>
          <w:rFonts w:hint="eastAsia" w:ascii="Times New Roman" w:hAnsi="Times New Roman" w:cs="Times New Roman"/>
          <w:color w:val="auto"/>
          <w:spacing w:val="4"/>
          <w:w w:val="99"/>
          <w:kern w:val="2"/>
          <w:position w:val="2"/>
          <w:sz w:val="24"/>
          <w:szCs w:val="24"/>
          <w:highlight w:val="none"/>
          <w:lang w:val="en-US" w:eastAsia="zh-CN" w:bidi="ar-SA"/>
        </w:rPr>
        <w:t>0.58</w:t>
      </w:r>
      <w:r>
        <w:rPr>
          <w:rFonts w:hint="eastAsia" w:ascii="Times New Roman" w:hAnsi="Times New Roman" w:eastAsia="宋体" w:cs="Times New Roman"/>
          <w:color w:val="auto"/>
          <w:spacing w:val="4"/>
          <w:w w:val="99"/>
          <w:kern w:val="2"/>
          <w:position w:val="2"/>
          <w:sz w:val="24"/>
          <w:szCs w:val="24"/>
          <w:highlight w:val="none"/>
          <w:lang w:val="en-US" w:eastAsia="zh-CN" w:bidi="ar-SA"/>
        </w:rPr>
        <w:t>k</w:t>
      </w:r>
      <w:r>
        <w:rPr>
          <w:rFonts w:ascii="Times New Roman" w:hAnsi="Times New Roman" w:eastAsia="宋体" w:cs="Times New Roman"/>
          <w:color w:val="auto"/>
          <w:spacing w:val="4"/>
          <w:w w:val="99"/>
          <w:kern w:val="2"/>
          <w:position w:val="2"/>
          <w:sz w:val="24"/>
          <w:szCs w:val="24"/>
          <w:highlight w:val="none"/>
          <w:lang w:val="en-US" w:eastAsia="zh-CN" w:bidi="ar-SA"/>
        </w:rPr>
        <w:t>m</w:t>
      </w:r>
      <w:r>
        <w:rPr>
          <w:rFonts w:ascii="Times New Roman" w:hAnsi="Times New Roman" w:eastAsia="宋体" w:cs="Times New Roman"/>
          <w:color w:val="auto"/>
          <w:spacing w:val="4"/>
          <w:w w:val="99"/>
          <w:kern w:val="2"/>
          <w:position w:val="2"/>
          <w:sz w:val="24"/>
          <w:szCs w:val="24"/>
          <w:highlight w:val="none"/>
          <w:vertAlign w:val="superscript"/>
          <w:lang w:val="en-US" w:eastAsia="zh-CN" w:bidi="ar-SA"/>
        </w:rPr>
        <w:t>2</w:t>
      </w:r>
      <w:bookmarkEnd w:id="361"/>
      <w:bookmarkEnd w:id="362"/>
      <w:r>
        <w:rPr>
          <w:rFonts w:ascii="Times New Roman" w:hAnsi="Times New Roman" w:eastAsia="宋体" w:cs="Times New Roman"/>
          <w:color w:val="auto"/>
          <w:spacing w:val="4"/>
          <w:w w:val="99"/>
          <w:kern w:val="2"/>
          <w:position w:val="2"/>
          <w:sz w:val="24"/>
          <w:szCs w:val="24"/>
          <w:highlight w:val="none"/>
          <w:lang w:val="en-US" w:eastAsia="zh-CN" w:bidi="ar-SA"/>
        </w:rPr>
        <w:t>。</w:t>
      </w:r>
    </w:p>
    <w:p w14:paraId="60A09CAE">
      <w:pPr>
        <w:pStyle w:val="7"/>
        <w:widowControl w:val="0"/>
        <w:spacing w:before="60" w:after="60" w:line="440" w:lineRule="exact"/>
        <w:jc w:val="both"/>
        <w:rPr>
          <w:rFonts w:eastAsia="宋体"/>
          <w:b/>
          <w:color w:val="auto"/>
          <w:w w:val="99"/>
          <w:kern w:val="2"/>
          <w:sz w:val="24"/>
          <w:szCs w:val="24"/>
          <w:highlight w:val="none"/>
        </w:rPr>
      </w:pPr>
      <w:bookmarkStart w:id="363" w:name="_Toc186444256"/>
      <w:bookmarkStart w:id="364" w:name="_Toc67860109"/>
      <w:bookmarkStart w:id="365" w:name="_Toc17898145"/>
      <w:bookmarkStart w:id="366" w:name="_Toc57203230"/>
      <w:bookmarkStart w:id="367" w:name="_Toc76976224"/>
      <w:bookmarkStart w:id="368" w:name="_Toc77067640"/>
      <w:bookmarkStart w:id="369" w:name="_Toc80971358"/>
      <w:bookmarkStart w:id="370" w:name="_Toc70050156"/>
      <w:bookmarkStart w:id="371" w:name="_Toc57976655"/>
      <w:bookmarkStart w:id="372" w:name="_Toc78816441"/>
      <w:bookmarkStart w:id="373" w:name="_Toc83209453"/>
      <w:bookmarkStart w:id="374" w:name="_Toc57707900"/>
      <w:bookmarkStart w:id="375" w:name="_Toc80588236"/>
      <w:bookmarkStart w:id="376" w:name="_Toc61597202"/>
      <w:r>
        <w:rPr>
          <w:rFonts w:eastAsia="宋体"/>
          <w:b/>
          <w:color w:val="auto"/>
          <w:w w:val="99"/>
          <w:kern w:val="2"/>
          <w:sz w:val="24"/>
          <w:szCs w:val="24"/>
          <w:highlight w:val="none"/>
        </w:rPr>
        <w:t>2.7.6土壤环境</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0CA7B60D">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2.7.6.1评价等级</w:t>
      </w:r>
    </w:p>
    <w:p w14:paraId="18FFC759">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（1）土壤环境影响评价项目类别</w:t>
      </w:r>
    </w:p>
    <w:p w14:paraId="7D7D0004">
      <w:pPr>
        <w:pStyle w:val="153"/>
        <w:widowControl w:val="0"/>
        <w:spacing w:line="440" w:lineRule="exact"/>
        <w:ind w:firstLine="473"/>
        <w:jc w:val="both"/>
        <w:rPr>
          <w:rFonts w:hint="eastAsia" w:ascii="Times New Roman" w:hAnsi="Times New Roman" w:eastAsia="宋体" w:cs="Times New Roman"/>
          <w:color w:val="auto"/>
          <w:w w:val="99"/>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对照《环境影响评价技术导则 土壤环境（试行）》（HJ964-2018）中附录D</w:t>
      </w:r>
      <w:r>
        <w:rPr>
          <w:rFonts w:hint="eastAsia" w:ascii="Times New Roman" w:hAnsi="Times New Roman" w:eastAsia="宋体" w:cs="Times New Roman"/>
          <w:color w:val="auto"/>
          <w:spacing w:val="4"/>
          <w:w w:val="99"/>
          <w:kern w:val="2"/>
          <w:position w:val="2"/>
          <w:sz w:val="24"/>
          <w:szCs w:val="24"/>
          <w:highlight w:val="none"/>
          <w:lang w:val="en-US" w:eastAsia="zh-CN" w:bidi="ar-SA"/>
        </w:rPr>
        <w:t>土壤盐化、碱化、酸化分级标准</w:t>
      </w:r>
      <w:r>
        <w:rPr>
          <w:rFonts w:ascii="Times New Roman" w:hAnsi="Times New Roman" w:eastAsia="宋体" w:cs="Times New Roman"/>
          <w:color w:val="auto"/>
          <w:spacing w:val="4"/>
          <w:w w:val="99"/>
          <w:kern w:val="2"/>
          <w:position w:val="2"/>
          <w:sz w:val="24"/>
          <w:szCs w:val="24"/>
          <w:highlight w:val="none"/>
          <w:lang w:val="en-US" w:eastAsia="zh-CN" w:bidi="ar-SA"/>
        </w:rPr>
        <w:t>，</w:t>
      </w:r>
      <w:r>
        <w:rPr>
          <w:rFonts w:hint="eastAsia" w:ascii="Times New Roman" w:hAnsi="Times New Roman" w:eastAsia="宋体" w:cs="Times New Roman"/>
          <w:color w:val="auto"/>
          <w:spacing w:val="4"/>
          <w:w w:val="99"/>
          <w:kern w:val="2"/>
          <w:position w:val="2"/>
          <w:sz w:val="24"/>
          <w:szCs w:val="24"/>
          <w:highlight w:val="none"/>
          <w:lang w:val="en-US" w:eastAsia="zh-CN" w:bidi="ar-SA"/>
        </w:rPr>
        <w:t>土壤含盐量</w:t>
      </w:r>
      <w:r>
        <w:rPr>
          <w:rFonts w:ascii="Times New Roman" w:hAnsi="Times New Roman" w:eastAsia="宋体" w:cs="Times New Roman"/>
          <w:color w:val="auto"/>
          <w:spacing w:val="4"/>
          <w:w w:val="99"/>
          <w:kern w:val="2"/>
          <w:position w:val="2"/>
          <w:sz w:val="24"/>
          <w:szCs w:val="24"/>
          <w:highlight w:val="none"/>
          <w:lang w:val="en-US" w:eastAsia="zh-CN" w:bidi="ar-SA"/>
        </w:rPr>
        <w:t>＜</w:t>
      </w:r>
      <w:r>
        <w:rPr>
          <w:rFonts w:hint="eastAsia" w:ascii="Times New Roman" w:hAnsi="Times New Roman" w:eastAsia="宋体" w:cs="Times New Roman"/>
          <w:color w:val="auto"/>
          <w:spacing w:val="4"/>
          <w:w w:val="99"/>
          <w:kern w:val="2"/>
          <w:position w:val="2"/>
          <w:sz w:val="24"/>
          <w:szCs w:val="24"/>
          <w:highlight w:val="none"/>
          <w:lang w:val="en-US" w:eastAsia="zh-CN" w:bidi="ar-SA"/>
        </w:rPr>
        <w:t>1</w:t>
      </w:r>
      <w:r>
        <w:rPr>
          <w:rFonts w:ascii="Times New Roman" w:hAnsi="Times New Roman" w:eastAsia="宋体" w:cs="Times New Roman"/>
          <w:color w:val="auto"/>
          <w:spacing w:val="4"/>
          <w:w w:val="99"/>
          <w:kern w:val="2"/>
          <w:position w:val="2"/>
          <w:sz w:val="24"/>
          <w:szCs w:val="24"/>
          <w:highlight w:val="none"/>
          <w:lang w:val="en-US" w:eastAsia="zh-CN" w:bidi="ar-SA"/>
        </w:rPr>
        <w:t>g/kg</w:t>
      </w:r>
      <w:r>
        <w:rPr>
          <w:rFonts w:hint="eastAsia" w:ascii="Times New Roman" w:hAnsi="Times New Roman" w:eastAsia="宋体" w:cs="Times New Roman"/>
          <w:color w:val="auto"/>
          <w:spacing w:val="4"/>
          <w:w w:val="99"/>
          <w:kern w:val="2"/>
          <w:position w:val="2"/>
          <w:sz w:val="24"/>
          <w:szCs w:val="24"/>
          <w:highlight w:val="none"/>
          <w:lang w:val="en-US" w:eastAsia="zh-CN" w:bidi="ar-SA"/>
        </w:rPr>
        <w:t>分级为“未盐化”，土壤pH为5.5≤pH≤8.5土壤酸化、碱化强度为“无酸化或碱化”。</w:t>
      </w:r>
      <w:r>
        <w:rPr>
          <w:rFonts w:ascii="Times New Roman" w:hAnsi="Times New Roman" w:eastAsia="宋体" w:cs="Times New Roman"/>
          <w:color w:val="auto"/>
          <w:spacing w:val="4"/>
          <w:w w:val="99"/>
          <w:kern w:val="2"/>
          <w:position w:val="2"/>
          <w:sz w:val="24"/>
          <w:szCs w:val="24"/>
          <w:highlight w:val="none"/>
          <w:lang w:val="en-US" w:eastAsia="zh-CN" w:bidi="ar-SA"/>
        </w:rPr>
        <w:t>根据2025年</w:t>
      </w:r>
      <w:r>
        <w:rPr>
          <w:rFonts w:hint="eastAsia" w:ascii="Times New Roman" w:hAnsi="Times New Roman" w:eastAsia="宋体" w:cs="Times New Roman"/>
          <w:color w:val="auto"/>
          <w:spacing w:val="4"/>
          <w:w w:val="99"/>
          <w:kern w:val="2"/>
          <w:position w:val="2"/>
          <w:sz w:val="24"/>
          <w:szCs w:val="24"/>
          <w:highlight w:val="none"/>
          <w:lang w:val="en-US" w:eastAsia="zh-CN" w:bidi="ar-SA"/>
        </w:rPr>
        <w:t>11</w:t>
      </w:r>
      <w:r>
        <w:rPr>
          <w:rFonts w:ascii="Times New Roman" w:hAnsi="Times New Roman" w:eastAsia="宋体" w:cs="Times New Roman"/>
          <w:color w:val="auto"/>
          <w:spacing w:val="4"/>
          <w:w w:val="99"/>
          <w:kern w:val="2"/>
          <w:position w:val="2"/>
          <w:sz w:val="24"/>
          <w:szCs w:val="24"/>
          <w:highlight w:val="none"/>
          <w:lang w:val="en-US" w:eastAsia="zh-CN" w:bidi="ar-SA"/>
        </w:rPr>
        <w:t>月</w:t>
      </w:r>
      <w:r>
        <w:rPr>
          <w:rFonts w:hint="eastAsia" w:ascii="Times New Roman" w:hAnsi="Times New Roman" w:eastAsia="宋体" w:cs="Times New Roman"/>
          <w:color w:val="auto"/>
          <w:spacing w:val="4"/>
          <w:w w:val="99"/>
          <w:kern w:val="2"/>
          <w:position w:val="2"/>
          <w:sz w:val="24"/>
          <w:szCs w:val="24"/>
          <w:highlight w:val="none"/>
          <w:lang w:val="en-US" w:eastAsia="zh-CN" w:bidi="ar-SA"/>
        </w:rPr>
        <w:t>27</w:t>
      </w:r>
      <w:r>
        <w:rPr>
          <w:rFonts w:ascii="Times New Roman" w:hAnsi="Times New Roman" w:eastAsia="宋体" w:cs="Times New Roman"/>
          <w:color w:val="auto"/>
          <w:spacing w:val="4"/>
          <w:w w:val="99"/>
          <w:kern w:val="2"/>
          <w:position w:val="2"/>
          <w:sz w:val="24"/>
          <w:szCs w:val="24"/>
          <w:highlight w:val="none"/>
          <w:lang w:val="en-US" w:eastAsia="zh-CN" w:bidi="ar-SA"/>
        </w:rPr>
        <w:t>日对项目区域土壤监测结果，区域土壤pH 值在7.</w:t>
      </w:r>
      <w:r>
        <w:rPr>
          <w:rFonts w:hint="eastAsia" w:ascii="Times New Roman" w:hAnsi="Times New Roman" w:cs="Times New Roman"/>
          <w:color w:val="auto"/>
          <w:spacing w:val="4"/>
          <w:w w:val="99"/>
          <w:kern w:val="2"/>
          <w:position w:val="2"/>
          <w:sz w:val="24"/>
          <w:szCs w:val="24"/>
          <w:highlight w:val="none"/>
          <w:lang w:val="en-US" w:eastAsia="zh-CN" w:bidi="ar-SA"/>
        </w:rPr>
        <w:t>68</w:t>
      </w:r>
      <w:r>
        <w:rPr>
          <w:rFonts w:ascii="Times New Roman" w:hAnsi="Times New Roman" w:eastAsia="宋体" w:cs="Times New Roman"/>
          <w:color w:val="auto"/>
          <w:spacing w:val="4"/>
          <w:w w:val="99"/>
          <w:kern w:val="2"/>
          <w:position w:val="2"/>
          <w:sz w:val="24"/>
          <w:szCs w:val="24"/>
          <w:highlight w:val="none"/>
          <w:lang w:val="en-US" w:eastAsia="zh-CN" w:bidi="ar-SA"/>
        </w:rPr>
        <w:t>~8.</w:t>
      </w:r>
      <w:r>
        <w:rPr>
          <w:rFonts w:hint="eastAsia" w:ascii="Times New Roman" w:hAnsi="Times New Roman" w:eastAsia="宋体" w:cs="Times New Roman"/>
          <w:color w:val="auto"/>
          <w:spacing w:val="4"/>
          <w:w w:val="99"/>
          <w:kern w:val="2"/>
          <w:position w:val="2"/>
          <w:sz w:val="24"/>
          <w:szCs w:val="24"/>
          <w:highlight w:val="none"/>
          <w:lang w:val="en-US" w:eastAsia="zh-CN" w:bidi="ar-SA"/>
        </w:rPr>
        <w:t>11</w:t>
      </w:r>
      <w:r>
        <w:rPr>
          <w:rFonts w:ascii="Times New Roman" w:hAnsi="Times New Roman" w:eastAsia="宋体" w:cs="Times New Roman"/>
          <w:color w:val="auto"/>
          <w:spacing w:val="4"/>
          <w:w w:val="99"/>
          <w:kern w:val="2"/>
          <w:position w:val="2"/>
          <w:sz w:val="24"/>
          <w:szCs w:val="24"/>
          <w:highlight w:val="none"/>
          <w:lang w:val="en-US" w:eastAsia="zh-CN" w:bidi="ar-SA"/>
        </w:rPr>
        <w:t>之间，土壤含盐量在0.5~0.</w:t>
      </w:r>
      <w:r>
        <w:rPr>
          <w:rFonts w:hint="eastAsia" w:ascii="Times New Roman" w:hAnsi="Times New Roman" w:eastAsia="宋体" w:cs="Times New Roman"/>
          <w:color w:val="auto"/>
          <w:spacing w:val="4"/>
          <w:w w:val="99"/>
          <w:kern w:val="2"/>
          <w:position w:val="2"/>
          <w:sz w:val="24"/>
          <w:szCs w:val="24"/>
          <w:highlight w:val="none"/>
          <w:lang w:val="en-US" w:eastAsia="zh-CN" w:bidi="ar-SA"/>
        </w:rPr>
        <w:t>9</w:t>
      </w:r>
      <w:r>
        <w:rPr>
          <w:rFonts w:ascii="Times New Roman" w:hAnsi="Times New Roman" w:eastAsia="宋体" w:cs="Times New Roman"/>
          <w:color w:val="auto"/>
          <w:spacing w:val="4"/>
          <w:w w:val="99"/>
          <w:kern w:val="2"/>
          <w:position w:val="2"/>
          <w:sz w:val="24"/>
          <w:szCs w:val="24"/>
          <w:highlight w:val="none"/>
          <w:lang w:val="en-US" w:eastAsia="zh-CN" w:bidi="ar-SA"/>
        </w:rPr>
        <w:t>g/kg之间，</w:t>
      </w:r>
      <w:r>
        <w:rPr>
          <w:rFonts w:ascii="Times New Roman" w:hAnsi="Times New Roman" w:eastAsiaTheme="minorEastAsia"/>
          <w:snapToGrid w:val="0"/>
          <w:color w:val="auto"/>
          <w:w w:val="99"/>
          <w:highlight w:val="none"/>
        </w:rPr>
        <w:t>对</w:t>
      </w:r>
      <w:r>
        <w:rPr>
          <w:rFonts w:hint="eastAsia" w:ascii="Times New Roman" w:hAnsi="Times New Roman" w:eastAsia="宋体" w:cs="Times New Roman"/>
          <w:color w:val="auto"/>
          <w:w w:val="99"/>
          <w:sz w:val="24"/>
          <w:szCs w:val="24"/>
          <w:highlight w:val="none"/>
          <w:lang w:val="en-US" w:eastAsia="zh-CN" w:bidi="ar-SA"/>
        </w:rPr>
        <w:t>照《环境影响评价技术导则 土壤环境（试行）》（HJ964-2018）中附录D，本项目区域属于非土壤盐化、酸化和碱化地区，本项目按照土壤污染影响型开展土壤评价。</w:t>
      </w:r>
    </w:p>
    <w:p w14:paraId="43199F53">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hint="eastAsia" w:ascii="Times New Roman" w:hAnsi="Times New Roman" w:eastAsia="宋体" w:cs="Times New Roman"/>
          <w:color w:val="auto"/>
          <w:spacing w:val="4"/>
          <w:w w:val="99"/>
          <w:kern w:val="2"/>
          <w:position w:val="2"/>
          <w:sz w:val="24"/>
          <w:szCs w:val="24"/>
          <w:highlight w:val="none"/>
          <w:lang w:val="en-US" w:eastAsia="zh-CN" w:bidi="ar-SA"/>
        </w:rPr>
        <w:t>根据《环境影响评价技术导则</w:t>
      </w:r>
      <w:r>
        <w:rPr>
          <w:rFonts w:hint="eastAsia" w:ascii="Times New Roman" w:hAnsi="Times New Roman" w:cs="Times New Roman"/>
          <w:color w:val="auto"/>
          <w:spacing w:val="4"/>
          <w:w w:val="99"/>
          <w:kern w:val="2"/>
          <w:position w:val="2"/>
          <w:sz w:val="24"/>
          <w:szCs w:val="24"/>
          <w:highlight w:val="none"/>
          <w:lang w:val="en-US" w:eastAsia="zh-CN" w:bidi="ar-SA"/>
        </w:rPr>
        <w:t xml:space="preserve"> </w:t>
      </w:r>
      <w:r>
        <w:rPr>
          <w:rFonts w:hint="eastAsia" w:ascii="Times New Roman" w:hAnsi="Times New Roman" w:eastAsia="宋体" w:cs="Times New Roman"/>
          <w:color w:val="auto"/>
          <w:spacing w:val="4"/>
          <w:w w:val="99"/>
          <w:kern w:val="2"/>
          <w:position w:val="2"/>
          <w:sz w:val="24"/>
          <w:szCs w:val="24"/>
          <w:highlight w:val="none"/>
          <w:lang w:val="en-US" w:eastAsia="zh-CN" w:bidi="ar-SA"/>
        </w:rPr>
        <w:t>土壤环境(试行)》(HJ964-2018)附录A，本项目属于采矿业中“天然气开采”，属于Ⅱ类建设项目。根据《环境影响评价技术导则陆地石油天然气开发建设项目》(HJ349-2023)中 7.4 土壤环境评价等级和评价范围依据HJ964 的相关原则来确定，并符合下列要求：建设项目按照站场和天然气集输管道分别判断行业分类。常规天然气和页岩气、致密气等非常规天然气开采(含天然气净化厂)站场等工程，油类和废水等输送管道，按照</w:t>
      </w:r>
      <w:r>
        <w:rPr>
          <w:rFonts w:ascii="Times New Roman" w:hAnsi="Times New Roman" w:eastAsia="Times New Roman" w:cs="Times New Roman"/>
          <w:color w:val="auto"/>
          <w:spacing w:val="2"/>
          <w:sz w:val="24"/>
          <w:szCs w:val="24"/>
          <w:highlight w:val="none"/>
        </w:rPr>
        <w:t>Ⅱ</w:t>
      </w:r>
      <w:r>
        <w:rPr>
          <w:rFonts w:hint="eastAsia" w:ascii="Times New Roman" w:hAnsi="Times New Roman" w:eastAsia="宋体" w:cs="Times New Roman"/>
          <w:color w:val="auto"/>
          <w:spacing w:val="4"/>
          <w:w w:val="99"/>
          <w:kern w:val="2"/>
          <w:position w:val="2"/>
          <w:sz w:val="24"/>
          <w:szCs w:val="24"/>
          <w:highlight w:val="none"/>
          <w:lang w:val="en-US" w:eastAsia="zh-CN" w:bidi="ar-SA"/>
        </w:rPr>
        <w:t>类建设项目开展土壤环境影响评价。天然气管道按照IV类建设项目开展土壤环境影响评价。因此，本项目常规天然气开采井场、站场工程属于Ⅱ类项目，天然气管线工程属于IV类项目</w:t>
      </w:r>
      <w:r>
        <w:rPr>
          <w:rFonts w:ascii="Times New Roman" w:hAnsi="Times New Roman" w:eastAsia="宋体" w:cs="Times New Roman"/>
          <w:color w:val="auto"/>
          <w:spacing w:val="4"/>
          <w:w w:val="99"/>
          <w:kern w:val="2"/>
          <w:position w:val="2"/>
          <w:sz w:val="24"/>
          <w:szCs w:val="24"/>
          <w:highlight w:val="none"/>
          <w:lang w:val="en-US" w:eastAsia="zh-CN" w:bidi="ar-SA"/>
        </w:rPr>
        <w:t>。</w:t>
      </w:r>
    </w:p>
    <w:p w14:paraId="4902111D">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（2）污染影响型敏感程度分级</w:t>
      </w:r>
    </w:p>
    <w:p w14:paraId="6F5756D4">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根据建设项目所在地周边的土壤环境敏感程度分级判据见表2.7-1</w:t>
      </w:r>
      <w:r>
        <w:rPr>
          <w:rFonts w:hint="eastAsia" w:ascii="Times New Roman" w:hAnsi="Times New Roman" w:cs="Times New Roman"/>
          <w:color w:val="auto"/>
          <w:spacing w:val="4"/>
          <w:w w:val="99"/>
          <w:kern w:val="2"/>
          <w:position w:val="2"/>
          <w:sz w:val="24"/>
          <w:szCs w:val="24"/>
          <w:highlight w:val="none"/>
          <w:lang w:val="en-US" w:eastAsia="zh-CN" w:bidi="ar-SA"/>
        </w:rPr>
        <w:t>1</w:t>
      </w:r>
      <w:r>
        <w:rPr>
          <w:rFonts w:ascii="Times New Roman" w:hAnsi="Times New Roman" w:eastAsia="宋体" w:cs="Times New Roman"/>
          <w:color w:val="auto"/>
          <w:spacing w:val="4"/>
          <w:w w:val="99"/>
          <w:kern w:val="2"/>
          <w:position w:val="2"/>
          <w:sz w:val="24"/>
          <w:szCs w:val="24"/>
          <w:highlight w:val="none"/>
          <w:lang w:val="en-US" w:eastAsia="zh-CN" w:bidi="ar-SA"/>
        </w:rPr>
        <w:t>。</w:t>
      </w:r>
    </w:p>
    <w:p w14:paraId="04AB064B">
      <w:pPr>
        <w:pStyle w:val="153"/>
        <w:widowControl w:val="0"/>
        <w:spacing w:line="440" w:lineRule="exact"/>
        <w:ind w:firstLine="478"/>
        <w:jc w:val="both"/>
        <w:rPr>
          <w:rFonts w:ascii="Times New Roman" w:hAnsi="Times New Roman" w:eastAsiaTheme="minorEastAsia"/>
          <w:snapToGrid w:val="0"/>
          <w:color w:val="auto"/>
          <w:w w:val="99"/>
          <w:highlight w:val="none"/>
        </w:rPr>
      </w:pPr>
      <w:r>
        <w:rPr>
          <w:rFonts w:ascii="Times New Roman" w:hAnsi="Times New Roman" w:eastAsiaTheme="minorEastAsia"/>
          <w:b/>
          <w:bCs/>
          <w:color w:val="auto"/>
          <w:w w:val="99"/>
          <w:highlight w:val="none"/>
        </w:rPr>
        <w:t>表2.7-</w:t>
      </w:r>
      <w:r>
        <w:rPr>
          <w:rFonts w:hint="eastAsia" w:ascii="Times New Roman" w:hAnsi="Times New Roman" w:eastAsiaTheme="minorEastAsia"/>
          <w:b/>
          <w:bCs/>
          <w:color w:val="auto"/>
          <w:w w:val="99"/>
          <w:highlight w:val="none"/>
          <w:lang w:val="en-US" w:eastAsia="zh-CN"/>
        </w:rPr>
        <w:t>11</w:t>
      </w:r>
      <w:r>
        <w:rPr>
          <w:rFonts w:ascii="Times New Roman" w:hAnsi="Times New Roman" w:eastAsiaTheme="minorEastAsia"/>
          <w:b/>
          <w:bCs/>
          <w:color w:val="auto"/>
          <w:w w:val="99"/>
          <w:highlight w:val="none"/>
        </w:rPr>
        <w:t xml:space="preserve">    污染影响型敏感程度分级表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2"/>
        <w:gridCol w:w="7695"/>
      </w:tblGrid>
      <w:tr w14:paraId="5668E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301D27B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敏感程度</w:t>
            </w:r>
          </w:p>
        </w:tc>
        <w:tc>
          <w:tcPr>
            <w:tcW w:w="4143" w:type="pct"/>
            <w:vAlign w:val="center"/>
          </w:tcPr>
          <w:p w14:paraId="6989615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判别依据</w:t>
            </w:r>
          </w:p>
        </w:tc>
      </w:tr>
      <w:tr w14:paraId="158E9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10FFF58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4143" w:type="pct"/>
            <w:vAlign w:val="center"/>
          </w:tcPr>
          <w:p w14:paraId="467BC703">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建设项目周边存在耕地、园地、牧草地、饮用水水源地或居民区、学校、医院、疗养院、养老院等土壤环境敏感目标的</w:t>
            </w:r>
          </w:p>
        </w:tc>
      </w:tr>
      <w:tr w14:paraId="4323E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1B786AD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4143" w:type="pct"/>
            <w:vAlign w:val="center"/>
          </w:tcPr>
          <w:p w14:paraId="75A7D85A">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建设项目周边存在其他土壤环境敏感目标的</w:t>
            </w:r>
          </w:p>
        </w:tc>
      </w:tr>
      <w:tr w14:paraId="53D0F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7" w:type="pct"/>
            <w:vAlign w:val="center"/>
          </w:tcPr>
          <w:p w14:paraId="534F062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4143" w:type="pct"/>
            <w:vAlign w:val="center"/>
          </w:tcPr>
          <w:p w14:paraId="19AB1853">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其他情况</w:t>
            </w:r>
          </w:p>
        </w:tc>
      </w:tr>
    </w:tbl>
    <w:p w14:paraId="12A291D4">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本项目拟建井场及管线占地类型均为耕地</w:t>
      </w:r>
      <w:r>
        <w:rPr>
          <w:rFonts w:hint="eastAsia" w:ascii="Times New Roman" w:hAnsi="Times New Roman" w:cs="Times New Roman"/>
          <w:color w:val="auto"/>
          <w:spacing w:val="4"/>
          <w:w w:val="99"/>
          <w:kern w:val="2"/>
          <w:position w:val="2"/>
          <w:sz w:val="24"/>
          <w:szCs w:val="24"/>
          <w:highlight w:val="none"/>
          <w:lang w:val="en-US" w:eastAsia="zh-CN" w:bidi="ar-SA"/>
        </w:rPr>
        <w:t>（永久基本农田）</w:t>
      </w:r>
      <w:r>
        <w:rPr>
          <w:rFonts w:ascii="Times New Roman" w:hAnsi="Times New Roman" w:eastAsia="宋体" w:cs="Times New Roman"/>
          <w:color w:val="auto"/>
          <w:spacing w:val="4"/>
          <w:w w:val="99"/>
          <w:kern w:val="2"/>
          <w:position w:val="2"/>
          <w:sz w:val="24"/>
          <w:szCs w:val="24"/>
          <w:highlight w:val="none"/>
          <w:lang w:val="en-US" w:eastAsia="zh-CN" w:bidi="ar-SA"/>
        </w:rPr>
        <w:t>，由此判定，本项目土壤环境敏感程度分级为“敏感”。</w:t>
      </w:r>
    </w:p>
    <w:p w14:paraId="01C13F45">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（3）土壤环境影响评价等级</w:t>
      </w:r>
    </w:p>
    <w:p w14:paraId="6DA4F7F4">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本项目拟建井场及管线均位于同一区块内，因此按同一场地确定评价等级，污染影响型评价工作等级划分依据见</w:t>
      </w:r>
      <w:r>
        <w:rPr>
          <w:rFonts w:ascii="Times New Roman" w:hAnsi="Times New Roman" w:eastAsia="宋体" w:cs="Times New Roman"/>
          <w:color w:val="auto"/>
          <w:spacing w:val="4"/>
          <w:w w:val="99"/>
          <w:kern w:val="2"/>
          <w:position w:val="2"/>
          <w:sz w:val="24"/>
          <w:szCs w:val="24"/>
          <w:highlight w:val="none"/>
          <w:lang w:val="zh-CN" w:eastAsia="zh-CN" w:bidi="ar-SA"/>
        </w:rPr>
        <w:t>表</w:t>
      </w:r>
      <w:r>
        <w:rPr>
          <w:rFonts w:ascii="Times New Roman" w:hAnsi="Times New Roman" w:eastAsia="宋体" w:cs="Times New Roman"/>
          <w:color w:val="auto"/>
          <w:spacing w:val="4"/>
          <w:w w:val="99"/>
          <w:kern w:val="2"/>
          <w:position w:val="2"/>
          <w:sz w:val="24"/>
          <w:szCs w:val="24"/>
          <w:highlight w:val="none"/>
          <w:lang w:val="en-US" w:eastAsia="zh-CN" w:bidi="ar-SA"/>
        </w:rPr>
        <w:t>2.7-1</w:t>
      </w:r>
      <w:r>
        <w:rPr>
          <w:rFonts w:hint="eastAsia" w:ascii="Times New Roman" w:hAnsi="Times New Roman" w:cs="Times New Roman"/>
          <w:color w:val="auto"/>
          <w:spacing w:val="4"/>
          <w:w w:val="99"/>
          <w:kern w:val="2"/>
          <w:position w:val="2"/>
          <w:sz w:val="24"/>
          <w:szCs w:val="24"/>
          <w:highlight w:val="none"/>
          <w:lang w:val="en-US" w:eastAsia="zh-CN" w:bidi="ar-SA"/>
        </w:rPr>
        <w:t>2</w:t>
      </w:r>
      <w:r>
        <w:rPr>
          <w:rFonts w:ascii="Times New Roman" w:hAnsi="Times New Roman" w:eastAsia="宋体" w:cs="Times New Roman"/>
          <w:color w:val="auto"/>
          <w:spacing w:val="4"/>
          <w:w w:val="99"/>
          <w:kern w:val="2"/>
          <w:position w:val="2"/>
          <w:sz w:val="24"/>
          <w:szCs w:val="24"/>
          <w:highlight w:val="none"/>
          <w:lang w:val="en-US" w:eastAsia="zh-CN" w:bidi="ar-SA"/>
        </w:rPr>
        <w:t>。</w:t>
      </w:r>
    </w:p>
    <w:p w14:paraId="099D0770">
      <w:pPr>
        <w:pStyle w:val="153"/>
        <w:widowControl w:val="0"/>
        <w:spacing w:line="440" w:lineRule="exact"/>
        <w:ind w:firstLine="478"/>
        <w:jc w:val="both"/>
        <w:rPr>
          <w:rFonts w:ascii="Times New Roman" w:hAnsi="Times New Roman" w:eastAsiaTheme="minorEastAsia"/>
          <w:b/>
          <w:bCs/>
          <w:color w:val="auto"/>
          <w:w w:val="99"/>
          <w:highlight w:val="none"/>
        </w:rPr>
      </w:pPr>
    </w:p>
    <w:p w14:paraId="268E8ADC">
      <w:pPr>
        <w:pStyle w:val="153"/>
        <w:widowControl w:val="0"/>
        <w:spacing w:line="440" w:lineRule="exact"/>
        <w:ind w:firstLine="478"/>
        <w:jc w:val="both"/>
        <w:rPr>
          <w:rFonts w:ascii="Times New Roman" w:hAnsi="Times New Roman" w:eastAsiaTheme="minorEastAsia"/>
          <w:b/>
          <w:bCs/>
          <w:color w:val="auto"/>
          <w:w w:val="99"/>
          <w:highlight w:val="none"/>
        </w:rPr>
      </w:pPr>
    </w:p>
    <w:p w14:paraId="6CC94D31">
      <w:pPr>
        <w:pStyle w:val="153"/>
        <w:widowControl w:val="0"/>
        <w:spacing w:line="440" w:lineRule="exact"/>
        <w:ind w:firstLine="478"/>
        <w:jc w:val="both"/>
        <w:rPr>
          <w:rFonts w:ascii="Times New Roman" w:hAnsi="Times New Roman" w:eastAsiaTheme="minorEastAsia"/>
          <w:snapToGrid w:val="0"/>
          <w:color w:val="auto"/>
          <w:w w:val="99"/>
          <w:highlight w:val="none"/>
        </w:rPr>
      </w:pPr>
      <w:r>
        <w:rPr>
          <w:rFonts w:ascii="Times New Roman" w:hAnsi="Times New Roman" w:eastAsiaTheme="minorEastAsia"/>
          <w:b/>
          <w:bCs/>
          <w:color w:val="auto"/>
          <w:w w:val="99"/>
          <w:highlight w:val="none"/>
        </w:rPr>
        <w:t>表2.7-1</w:t>
      </w:r>
      <w:r>
        <w:rPr>
          <w:rFonts w:hint="eastAsia" w:ascii="Times New Roman" w:hAnsi="Times New Roman" w:eastAsiaTheme="minorEastAsia"/>
          <w:b/>
          <w:bCs/>
          <w:color w:val="auto"/>
          <w:w w:val="99"/>
          <w:highlight w:val="none"/>
          <w:lang w:val="en-US" w:eastAsia="zh-CN"/>
        </w:rPr>
        <w:t>2</w:t>
      </w:r>
      <w:r>
        <w:rPr>
          <w:rFonts w:ascii="Times New Roman" w:hAnsi="Times New Roman" w:eastAsiaTheme="minorEastAsia"/>
          <w:b/>
          <w:bCs/>
          <w:color w:val="auto"/>
          <w:w w:val="99"/>
          <w:highlight w:val="none"/>
        </w:rPr>
        <w:t xml:space="preserve">   污染影响型评价工作等级划分表</w:t>
      </w:r>
    </w:p>
    <w:tbl>
      <w:tblPr>
        <w:tblStyle w:val="80"/>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799"/>
        <w:gridCol w:w="799"/>
        <w:gridCol w:w="799"/>
        <w:gridCol w:w="799"/>
        <w:gridCol w:w="800"/>
        <w:gridCol w:w="799"/>
        <w:gridCol w:w="799"/>
        <w:gridCol w:w="799"/>
        <w:gridCol w:w="800"/>
      </w:tblGrid>
      <w:tr w14:paraId="0E2BE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93" w:type="dxa"/>
            <w:vMerge w:val="restart"/>
            <w:vAlign w:val="center"/>
          </w:tcPr>
          <w:p w14:paraId="01A343D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highlight w:val="none"/>
              </w:rPr>
              <mc:AlternateContent>
                <mc:Choice Requires="wps">
                  <w:drawing>
                    <wp:anchor distT="0" distB="0" distL="114300" distR="114300" simplePos="0" relativeHeight="251662336" behindDoc="0" locked="0" layoutInCell="1" allowOverlap="1">
                      <wp:simplePos x="0" y="0"/>
                      <wp:positionH relativeFrom="column">
                        <wp:posOffset>-50800</wp:posOffset>
                      </wp:positionH>
                      <wp:positionV relativeFrom="paragraph">
                        <wp:posOffset>-15875</wp:posOffset>
                      </wp:positionV>
                      <wp:extent cx="590550" cy="676275"/>
                      <wp:effectExtent l="0" t="0" r="19050" b="28575"/>
                      <wp:wrapNone/>
                      <wp:docPr id="20" name="Line 11"/>
                      <wp:cNvGraphicFramePr/>
                      <a:graphic xmlns:a="http://schemas.openxmlformats.org/drawingml/2006/main">
                        <a:graphicData uri="http://schemas.microsoft.com/office/word/2010/wordprocessingShape">
                          <wps:wsp>
                            <wps:cNvCnPr>
                              <a:cxnSpLocks noChangeShapeType="1"/>
                            </wps:cNvCnPr>
                            <wps:spPr bwMode="auto">
                              <a:xfrm>
                                <a:off x="0" y="0"/>
                                <a:ext cx="590550" cy="676275"/>
                              </a:xfrm>
                              <a:prstGeom prst="line">
                                <a:avLst/>
                              </a:prstGeom>
                              <a:noFill/>
                              <a:ln w="6350">
                                <a:solidFill>
                                  <a:schemeClr val="tx1">
                                    <a:lumMod val="100000"/>
                                    <a:lumOff val="0"/>
                                  </a:schemeClr>
                                </a:solidFill>
                                <a:miter lim="800000"/>
                              </a:ln>
                            </wps:spPr>
                            <wps:bodyPr/>
                          </wps:wsp>
                        </a:graphicData>
                      </a:graphic>
                    </wp:anchor>
                  </w:drawing>
                </mc:Choice>
                <mc:Fallback>
                  <w:pict>
                    <v:line id="Line 11" o:spid="_x0000_s1026" o:spt="20" style="position:absolute;left:0pt;margin-left:-4pt;margin-top:-1.25pt;height:53.25pt;width:46.5pt;z-index:251662336;mso-width-relative:page;mso-height-relative:page;" filled="f" stroked="t" coordsize="21600,21600" o:gfxdata="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kgmaNYA&#10;AAAIAQAADwAAAAAAAAABACAAAAAiAAAAZHJzL2Rvd25yZXYueG1sUEsBAhQAFAAAAAgAh07iQJp/&#10;ODjoAQAA6AMAAA4AAAAAAAAAAQAgAAAAJQEAAGRycy9lMm9Eb2MueG1sUEsFBgAAAAAGAAYAWQEA&#10;AH8FAAAAAA==&#10;">
                      <v:fill on="f" focussize="0,0"/>
                      <v:stroke weight="0.5pt" color="#000000 [3229]" miterlimit="8" joinstyle="miter"/>
                      <v:imagedata o:title=""/>
                      <o:lock v:ext="edit" aspectratio="f"/>
                    </v:line>
                  </w:pict>
                </mc:Fallback>
              </mc:AlternateContent>
            </w:r>
            <w:r>
              <w:rPr>
                <w:rFonts w:ascii="Times New Roman" w:hAnsi="Times New Roman" w:cs="Times New Roman" w:eastAsiaTheme="minorEastAsia"/>
                <w:color w:val="auto"/>
                <w:w w:val="99"/>
                <w:sz w:val="21"/>
                <w:highlight w:val="none"/>
              </w:rPr>
              <mc:AlternateContent>
                <mc:Choice Requires="wps">
                  <w:drawing>
                    <wp:anchor distT="0" distB="0" distL="114300" distR="114300" simplePos="0" relativeHeight="251661312" behindDoc="0" locked="0" layoutInCell="1" allowOverlap="1">
                      <wp:simplePos x="0" y="0"/>
                      <wp:positionH relativeFrom="column">
                        <wp:posOffset>-41275</wp:posOffset>
                      </wp:positionH>
                      <wp:positionV relativeFrom="paragraph">
                        <wp:posOffset>-5715</wp:posOffset>
                      </wp:positionV>
                      <wp:extent cx="1285875" cy="523875"/>
                      <wp:effectExtent l="0" t="0" r="28575" b="28575"/>
                      <wp:wrapNone/>
                      <wp:docPr id="37" name="Line 12"/>
                      <wp:cNvGraphicFramePr/>
                      <a:graphic xmlns:a="http://schemas.openxmlformats.org/drawingml/2006/main">
                        <a:graphicData uri="http://schemas.microsoft.com/office/word/2010/wordprocessingShape">
                          <wps:wsp>
                            <wps:cNvCnPr>
                              <a:cxnSpLocks noChangeShapeType="1"/>
                            </wps:cNvCnPr>
                            <wps:spPr bwMode="auto">
                              <a:xfrm>
                                <a:off x="0" y="0"/>
                                <a:ext cx="1285875" cy="523875"/>
                              </a:xfrm>
                              <a:prstGeom prst="line">
                                <a:avLst/>
                              </a:prstGeom>
                              <a:noFill/>
                              <a:ln w="6350">
                                <a:solidFill>
                                  <a:schemeClr val="dk1">
                                    <a:lumMod val="100000"/>
                                    <a:lumOff val="0"/>
                                  </a:schemeClr>
                                </a:solidFill>
                                <a:miter lim="800000"/>
                              </a:ln>
                            </wps:spPr>
                            <wps:bodyPr/>
                          </wps:wsp>
                        </a:graphicData>
                      </a:graphic>
                    </wp:anchor>
                  </w:drawing>
                </mc:Choice>
                <mc:Fallback>
                  <w:pict>
                    <v:line id="Line 12" o:spid="_x0000_s1026" o:spt="20" style="position:absolute;left:0pt;margin-left:-3.25pt;margin-top:-0.45pt;height:41.25pt;width:101.25pt;z-index:251661312;mso-width-relative:page;mso-height-relative:page;" filled="f" stroked="t" coordsize="21600,21600" o:gfxdata="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Hcnw&#10;1gAAAAcBAAAPAAAAAAAAAAEAIAAAACIAAABkcnMvZG93bnJldi54bWxQSwECFAAUAAAACACHTuJA&#10;LYSpDuoBAADpAwAADgAAAAAAAAABACAAAAAlAQAAZHJzL2Uyb0RvYy54bWxQSwUGAAAAAAYABgBZ&#10;AQAAgQUAAAAA&#10;">
                      <v:fill on="f" focussize="0,0"/>
                      <v:stroke weight="0.5pt" color="#000000 [3216]" miterlimit="8" joinstyle="miter"/>
                      <v:imagedata o:title=""/>
                      <o:lock v:ext="edit" aspectratio="f"/>
                    </v:line>
                  </w:pict>
                </mc:Fallback>
              </mc:AlternateContent>
            </w:r>
            <w:r>
              <w:rPr>
                <w:rFonts w:ascii="Times New Roman" w:hAnsi="Times New Roman" w:cs="Times New Roman" w:eastAsiaTheme="minorEastAsia"/>
                <w:color w:val="auto"/>
                <w:w w:val="99"/>
                <w:sz w:val="21"/>
                <w:szCs w:val="21"/>
                <w:highlight w:val="none"/>
              </w:rPr>
              <w:t xml:space="preserve">         占地规模</w:t>
            </w:r>
          </w:p>
          <w:p w14:paraId="6F6D7BDE">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    评价</w:t>
            </w:r>
          </w:p>
          <w:p w14:paraId="5635F6C6">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程度    等级</w:t>
            </w:r>
          </w:p>
        </w:tc>
        <w:tc>
          <w:tcPr>
            <w:tcW w:w="2397" w:type="dxa"/>
            <w:gridSpan w:val="3"/>
            <w:vAlign w:val="center"/>
          </w:tcPr>
          <w:p w14:paraId="6F48EA5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color w:val="auto"/>
                <w:w w:val="99"/>
                <w:sz w:val="21"/>
                <w:szCs w:val="21"/>
                <w:highlight w:val="none"/>
              </w:rPr>
              <w:t>Ⅰ</w:t>
            </w:r>
            <w:r>
              <w:rPr>
                <w:rFonts w:ascii="Times New Roman" w:hAnsi="Times New Roman" w:cs="Times New Roman" w:eastAsiaTheme="minorEastAsia"/>
                <w:color w:val="auto"/>
                <w:w w:val="99"/>
                <w:sz w:val="21"/>
                <w:szCs w:val="21"/>
                <w:highlight w:val="none"/>
              </w:rPr>
              <w:t>类</w:t>
            </w:r>
          </w:p>
        </w:tc>
        <w:tc>
          <w:tcPr>
            <w:tcW w:w="2398" w:type="dxa"/>
            <w:gridSpan w:val="3"/>
            <w:vAlign w:val="center"/>
          </w:tcPr>
          <w:p w14:paraId="5B53C2D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color w:val="auto"/>
                <w:w w:val="99"/>
                <w:sz w:val="21"/>
                <w:szCs w:val="21"/>
                <w:highlight w:val="none"/>
              </w:rPr>
              <w:t>Ⅱ</w:t>
            </w:r>
            <w:r>
              <w:rPr>
                <w:rFonts w:ascii="Times New Roman" w:hAnsi="Times New Roman" w:cs="Times New Roman" w:eastAsiaTheme="minorEastAsia"/>
                <w:color w:val="auto"/>
                <w:w w:val="99"/>
                <w:sz w:val="21"/>
                <w:szCs w:val="21"/>
                <w:highlight w:val="none"/>
              </w:rPr>
              <w:t>类</w:t>
            </w:r>
          </w:p>
        </w:tc>
        <w:tc>
          <w:tcPr>
            <w:tcW w:w="2398" w:type="dxa"/>
            <w:gridSpan w:val="3"/>
            <w:vAlign w:val="center"/>
          </w:tcPr>
          <w:p w14:paraId="37673A1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color w:val="auto"/>
                <w:w w:val="99"/>
                <w:sz w:val="21"/>
                <w:szCs w:val="21"/>
                <w:highlight w:val="none"/>
              </w:rPr>
              <w:t>Ⅲ</w:t>
            </w:r>
            <w:r>
              <w:rPr>
                <w:rFonts w:ascii="Times New Roman" w:hAnsi="Times New Roman" w:cs="Times New Roman" w:eastAsiaTheme="minorEastAsia"/>
                <w:color w:val="auto"/>
                <w:w w:val="99"/>
                <w:sz w:val="21"/>
                <w:szCs w:val="21"/>
                <w:highlight w:val="none"/>
              </w:rPr>
              <w:t>类</w:t>
            </w:r>
          </w:p>
        </w:tc>
      </w:tr>
      <w:tr w14:paraId="61085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93" w:type="dxa"/>
            <w:vMerge w:val="continue"/>
            <w:vAlign w:val="center"/>
          </w:tcPr>
          <w:p w14:paraId="457161C8">
            <w:pPr>
              <w:spacing w:line="360" w:lineRule="exact"/>
              <w:jc w:val="center"/>
              <w:rPr>
                <w:rFonts w:ascii="Times New Roman" w:hAnsi="Times New Roman" w:cs="Times New Roman" w:eastAsiaTheme="minorEastAsia"/>
                <w:color w:val="auto"/>
                <w:w w:val="99"/>
                <w:sz w:val="21"/>
                <w:szCs w:val="21"/>
                <w:highlight w:val="none"/>
              </w:rPr>
            </w:pPr>
          </w:p>
        </w:tc>
        <w:tc>
          <w:tcPr>
            <w:tcW w:w="799" w:type="dxa"/>
            <w:vAlign w:val="center"/>
          </w:tcPr>
          <w:p w14:paraId="29C11E8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799" w:type="dxa"/>
            <w:vAlign w:val="center"/>
          </w:tcPr>
          <w:p w14:paraId="70BE12D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799" w:type="dxa"/>
            <w:vAlign w:val="center"/>
          </w:tcPr>
          <w:p w14:paraId="46E49E9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c>
          <w:tcPr>
            <w:tcW w:w="799" w:type="dxa"/>
            <w:vAlign w:val="center"/>
          </w:tcPr>
          <w:p w14:paraId="4BA5B9F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800" w:type="dxa"/>
            <w:vAlign w:val="center"/>
          </w:tcPr>
          <w:p w14:paraId="2FDCE74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799" w:type="dxa"/>
            <w:vAlign w:val="center"/>
          </w:tcPr>
          <w:p w14:paraId="48A1ED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c>
          <w:tcPr>
            <w:tcW w:w="799" w:type="dxa"/>
            <w:vAlign w:val="center"/>
          </w:tcPr>
          <w:p w14:paraId="07233B1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799" w:type="dxa"/>
            <w:vAlign w:val="center"/>
          </w:tcPr>
          <w:p w14:paraId="6D9F181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800" w:type="dxa"/>
            <w:vAlign w:val="center"/>
          </w:tcPr>
          <w:p w14:paraId="0B6C9E7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r>
      <w:tr w14:paraId="393AC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93" w:type="dxa"/>
            <w:vAlign w:val="center"/>
          </w:tcPr>
          <w:p w14:paraId="18662EC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799" w:type="dxa"/>
            <w:vAlign w:val="center"/>
          </w:tcPr>
          <w:p w14:paraId="231C45D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14:paraId="0EB0AEB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14:paraId="2B2A5E6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14:paraId="137414F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14:paraId="6755447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14:paraId="4D31337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14:paraId="738F73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14:paraId="6150F1F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800" w:type="dxa"/>
            <w:vAlign w:val="center"/>
          </w:tcPr>
          <w:p w14:paraId="795E7EF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r>
      <w:tr w14:paraId="3ED40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93" w:type="dxa"/>
            <w:vAlign w:val="center"/>
          </w:tcPr>
          <w:p w14:paraId="1F968B6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799" w:type="dxa"/>
            <w:vAlign w:val="center"/>
          </w:tcPr>
          <w:p w14:paraId="6D6F22B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14:paraId="5B92E18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14:paraId="2CE3C4C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14:paraId="3901B98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14:paraId="123632D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14:paraId="4449966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14:paraId="561B087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14:paraId="662189E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800" w:type="dxa"/>
            <w:vAlign w:val="center"/>
          </w:tcPr>
          <w:p w14:paraId="2FB49C1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598E3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93" w:type="dxa"/>
            <w:vAlign w:val="center"/>
          </w:tcPr>
          <w:p w14:paraId="67CFA01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799" w:type="dxa"/>
            <w:vAlign w:val="center"/>
          </w:tcPr>
          <w:p w14:paraId="233E7D4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14:paraId="2F5A147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14:paraId="2DCF1D9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14:paraId="7DAF5BA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14:paraId="4B5C3D8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14:paraId="2CB0794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14:paraId="09292C2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14:paraId="0B8E9C3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800" w:type="dxa"/>
            <w:vAlign w:val="center"/>
          </w:tcPr>
          <w:p w14:paraId="790BECF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3524F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286" w:type="dxa"/>
            <w:gridSpan w:val="10"/>
            <w:vAlign w:val="center"/>
          </w:tcPr>
          <w:p w14:paraId="40526CCE">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注：“-”表示可不开展土壤环境影响评价工作</w:t>
            </w:r>
          </w:p>
        </w:tc>
      </w:tr>
    </w:tbl>
    <w:p w14:paraId="7AF0DDC0">
      <w:pPr>
        <w:widowControl w:val="0"/>
        <w:shd w:val="clear"/>
        <w:spacing w:line="440" w:lineRule="exact"/>
        <w:ind w:firstLine="490" w:firstLineChars="200"/>
        <w:jc w:val="both"/>
        <w:rPr>
          <w:rFonts w:hint="default"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本项目</w:t>
      </w:r>
      <w:r>
        <w:rPr>
          <w:rFonts w:hint="eastAsia" w:ascii="Times New Roman" w:hAnsi="Times New Roman" w:eastAsia="宋体" w:cs="Times New Roman"/>
          <w:color w:val="auto"/>
          <w:spacing w:val="4"/>
          <w:w w:val="99"/>
          <w:kern w:val="2"/>
          <w:position w:val="2"/>
          <w:sz w:val="24"/>
          <w:szCs w:val="24"/>
          <w:highlight w:val="none"/>
          <w:lang w:val="en-US" w:eastAsia="zh-CN" w:bidi="ar-SA"/>
        </w:rPr>
        <w:t>拟建井</w:t>
      </w:r>
      <w:r>
        <w:rPr>
          <w:rFonts w:hint="eastAsia" w:ascii="Times New Roman" w:hAnsi="Times New Roman" w:cs="Times New Roman"/>
          <w:color w:val="auto"/>
          <w:spacing w:val="4"/>
          <w:w w:val="99"/>
          <w:kern w:val="2"/>
          <w:position w:val="2"/>
          <w:sz w:val="24"/>
          <w:szCs w:val="24"/>
          <w:highlight w:val="none"/>
          <w:lang w:val="en-US" w:eastAsia="zh-CN" w:bidi="ar-SA"/>
        </w:rPr>
        <w:t>无</w:t>
      </w:r>
      <w:r>
        <w:rPr>
          <w:rFonts w:ascii="Times New Roman" w:hAnsi="Times New Roman" w:eastAsia="宋体" w:cs="Times New Roman"/>
          <w:color w:val="auto"/>
          <w:spacing w:val="4"/>
          <w:w w:val="99"/>
          <w:kern w:val="2"/>
          <w:position w:val="2"/>
          <w:sz w:val="24"/>
          <w:szCs w:val="24"/>
          <w:highlight w:val="none"/>
          <w:lang w:val="en-US" w:eastAsia="zh-CN" w:bidi="ar-SA"/>
        </w:rPr>
        <w:t>新增永久占地，</w:t>
      </w:r>
      <w:r>
        <w:rPr>
          <w:rFonts w:hint="eastAsia" w:ascii="Times New Roman" w:hAnsi="Times New Roman" w:eastAsia="宋体" w:cs="Times New Roman"/>
          <w:color w:val="auto"/>
          <w:spacing w:val="4"/>
          <w:w w:val="99"/>
          <w:kern w:val="2"/>
          <w:position w:val="2"/>
          <w:sz w:val="24"/>
          <w:szCs w:val="24"/>
          <w:highlight w:val="none"/>
          <w:lang w:val="en-US" w:eastAsia="zh-CN" w:bidi="ar-SA"/>
        </w:rPr>
        <w:t>道路</w:t>
      </w:r>
      <w:r>
        <w:rPr>
          <w:rFonts w:ascii="Times New Roman" w:hAnsi="Times New Roman" w:eastAsia="宋体" w:cs="Times New Roman"/>
          <w:color w:val="auto"/>
          <w:spacing w:val="4"/>
          <w:w w:val="99"/>
          <w:kern w:val="2"/>
          <w:position w:val="2"/>
          <w:sz w:val="24"/>
          <w:szCs w:val="24"/>
          <w:highlight w:val="none"/>
          <w:lang w:val="en-US" w:eastAsia="zh-CN" w:bidi="ar-SA"/>
        </w:rPr>
        <w:t>新增永久占地</w:t>
      </w:r>
      <w:r>
        <w:rPr>
          <w:rFonts w:hint="eastAsia" w:ascii="Times New Roman" w:hAnsi="Times New Roman" w:cs="Times New Roman"/>
          <w:color w:val="auto"/>
          <w:spacing w:val="4"/>
          <w:w w:val="99"/>
          <w:kern w:val="2"/>
          <w:position w:val="2"/>
          <w:sz w:val="24"/>
          <w:szCs w:val="24"/>
          <w:highlight w:val="none"/>
          <w:lang w:val="en-US" w:eastAsia="zh-CN" w:bidi="ar-SA"/>
        </w:rPr>
        <w:t>0.09</w:t>
      </w:r>
      <w:r>
        <w:rPr>
          <w:rFonts w:ascii="Times New Roman" w:hAnsi="Times New Roman" w:eastAsia="宋体" w:cs="Times New Roman"/>
          <w:color w:val="auto"/>
          <w:spacing w:val="4"/>
          <w:w w:val="99"/>
          <w:kern w:val="2"/>
          <w:position w:val="2"/>
          <w:sz w:val="24"/>
          <w:szCs w:val="24"/>
          <w:highlight w:val="none"/>
          <w:lang w:val="en-US" w:eastAsia="zh-CN" w:bidi="ar-SA"/>
        </w:rPr>
        <w:t>hm</w:t>
      </w:r>
      <w:r>
        <w:rPr>
          <w:rFonts w:ascii="Times New Roman" w:hAnsi="Times New Roman" w:eastAsia="宋体" w:cs="Times New Roman"/>
          <w:color w:val="auto"/>
          <w:spacing w:val="4"/>
          <w:w w:val="99"/>
          <w:kern w:val="2"/>
          <w:position w:val="2"/>
          <w:sz w:val="24"/>
          <w:szCs w:val="24"/>
          <w:highlight w:val="none"/>
          <w:vertAlign w:val="superscript"/>
          <w:lang w:val="en-US" w:eastAsia="zh-CN" w:bidi="ar-SA"/>
        </w:rPr>
        <w:t>2</w:t>
      </w:r>
      <w:r>
        <w:rPr>
          <w:rFonts w:hint="eastAsia" w:ascii="Times New Roman" w:hAnsi="Times New Roman" w:eastAsia="宋体" w:cs="Times New Roman"/>
          <w:color w:val="auto"/>
          <w:spacing w:val="4"/>
          <w:w w:val="99"/>
          <w:kern w:val="2"/>
          <w:position w:val="2"/>
          <w:sz w:val="24"/>
          <w:szCs w:val="24"/>
          <w:highlight w:val="none"/>
          <w:lang w:val="en-US" w:eastAsia="zh-CN" w:bidi="ar-SA"/>
        </w:rPr>
        <w:t>，</w:t>
      </w:r>
      <w:r>
        <w:rPr>
          <w:rFonts w:ascii="Times New Roman" w:hAnsi="Times New Roman" w:eastAsia="宋体" w:cs="Times New Roman"/>
          <w:color w:val="auto"/>
          <w:spacing w:val="4"/>
          <w:w w:val="99"/>
          <w:kern w:val="2"/>
          <w:position w:val="2"/>
          <w:sz w:val="24"/>
          <w:szCs w:val="24"/>
          <w:highlight w:val="none"/>
          <w:lang w:val="en-US" w:eastAsia="zh-CN" w:bidi="ar-SA"/>
        </w:rPr>
        <w:t>小于5hm</w:t>
      </w:r>
      <w:r>
        <w:rPr>
          <w:rFonts w:ascii="Times New Roman" w:hAnsi="Times New Roman" w:eastAsia="宋体" w:cs="Times New Roman"/>
          <w:color w:val="auto"/>
          <w:spacing w:val="4"/>
          <w:w w:val="99"/>
          <w:kern w:val="2"/>
          <w:position w:val="2"/>
          <w:sz w:val="24"/>
          <w:szCs w:val="24"/>
          <w:highlight w:val="none"/>
          <w:vertAlign w:val="superscript"/>
          <w:lang w:val="en-US" w:eastAsia="zh-CN" w:bidi="ar-SA"/>
        </w:rPr>
        <w:t>2</w:t>
      </w:r>
      <w:r>
        <w:rPr>
          <w:rFonts w:ascii="Times New Roman" w:hAnsi="Times New Roman" w:eastAsia="宋体" w:cs="Times New Roman"/>
          <w:color w:val="auto"/>
          <w:spacing w:val="4"/>
          <w:w w:val="99"/>
          <w:kern w:val="2"/>
          <w:position w:val="2"/>
          <w:sz w:val="24"/>
          <w:szCs w:val="24"/>
          <w:highlight w:val="none"/>
          <w:lang w:val="en-US" w:eastAsia="zh-CN" w:bidi="ar-SA"/>
        </w:rPr>
        <w:t>，占地面积属于“小型”规模，敏感程度为“敏感”，项目类别为“</w:t>
      </w:r>
      <w:r>
        <w:rPr>
          <w:rFonts w:hint="eastAsia" w:ascii="Times New Roman" w:hAnsi="Times New Roman" w:eastAsia="宋体" w:cs="Times New Roman"/>
          <w:color w:val="auto"/>
          <w:spacing w:val="4"/>
          <w:w w:val="99"/>
          <w:kern w:val="2"/>
          <w:position w:val="2"/>
          <w:sz w:val="24"/>
          <w:szCs w:val="24"/>
          <w:highlight w:val="none"/>
          <w:lang w:val="en-US" w:eastAsia="zh-CN" w:bidi="ar-SA"/>
        </w:rPr>
        <w:t>II</w:t>
      </w:r>
      <w:r>
        <w:rPr>
          <w:rFonts w:ascii="Times New Roman" w:hAnsi="Times New Roman" w:eastAsia="宋体" w:cs="Times New Roman"/>
          <w:color w:val="auto"/>
          <w:spacing w:val="4"/>
          <w:w w:val="99"/>
          <w:kern w:val="2"/>
          <w:position w:val="2"/>
          <w:sz w:val="24"/>
          <w:szCs w:val="24"/>
          <w:highlight w:val="none"/>
          <w:lang w:val="en-US" w:eastAsia="zh-CN" w:bidi="ar-SA"/>
        </w:rPr>
        <w:t>类”，因此</w:t>
      </w:r>
      <w:r>
        <w:rPr>
          <w:rFonts w:hint="eastAsia" w:ascii="Times New Roman" w:hAnsi="Times New Roman" w:eastAsia="宋体" w:cs="Times New Roman"/>
          <w:color w:val="auto"/>
          <w:spacing w:val="4"/>
          <w:w w:val="99"/>
          <w:kern w:val="2"/>
          <w:position w:val="2"/>
          <w:sz w:val="24"/>
          <w:szCs w:val="24"/>
          <w:highlight w:val="none"/>
          <w:lang w:val="en-US" w:eastAsia="zh-CN" w:bidi="ar-SA"/>
        </w:rPr>
        <w:t>井场及场站土壤评价工作等级为“二级”。</w:t>
      </w:r>
      <w:r>
        <w:rPr>
          <w:rFonts w:hint="eastAsia" w:ascii="Times New Roman" w:hAnsi="Times New Roman" w:cs="Times New Roman"/>
          <w:color w:val="auto"/>
          <w:spacing w:val="4"/>
          <w:w w:val="99"/>
          <w:kern w:val="2"/>
          <w:position w:val="2"/>
          <w:sz w:val="24"/>
          <w:szCs w:val="24"/>
          <w:highlight w:val="none"/>
          <w:lang w:val="en-US" w:eastAsia="zh-CN" w:bidi="ar-SA"/>
        </w:rPr>
        <w:t>天然气管线无等级。</w:t>
      </w:r>
    </w:p>
    <w:p w14:paraId="41F0C2CA">
      <w:pPr>
        <w:widowControl w:val="0"/>
        <w:shd w:val="clear"/>
        <w:spacing w:line="440" w:lineRule="exact"/>
        <w:ind w:firstLine="490" w:firstLineChars="200"/>
        <w:jc w:val="both"/>
        <w:rPr>
          <w:rFonts w:hint="eastAsia" w:ascii="Times New Roman" w:hAnsi="Times New Roman" w:eastAsia="宋体" w:cs="Times New Roman"/>
          <w:color w:val="auto"/>
          <w:spacing w:val="4"/>
          <w:w w:val="99"/>
          <w:kern w:val="2"/>
          <w:position w:val="2"/>
          <w:sz w:val="24"/>
          <w:szCs w:val="24"/>
          <w:highlight w:val="none"/>
          <w:lang w:val="zh-CN" w:eastAsia="zh-CN" w:bidi="ar-SA"/>
        </w:rPr>
      </w:pPr>
      <w:r>
        <w:rPr>
          <w:rFonts w:hint="eastAsia" w:ascii="Times New Roman" w:hAnsi="Times New Roman" w:eastAsia="宋体" w:cs="Times New Roman"/>
          <w:color w:val="auto"/>
          <w:spacing w:val="4"/>
          <w:w w:val="99"/>
          <w:kern w:val="2"/>
          <w:position w:val="2"/>
          <w:sz w:val="24"/>
          <w:szCs w:val="24"/>
          <w:highlight w:val="none"/>
          <w:lang w:val="zh-CN" w:eastAsia="zh-CN" w:bidi="ar-SA"/>
        </w:rPr>
        <w:t>综上所述，本项目土壤环境影响评价工作等级为“</w:t>
      </w:r>
      <w:r>
        <w:rPr>
          <w:rFonts w:hint="eastAsia" w:ascii="Times New Roman" w:hAnsi="Times New Roman" w:eastAsia="宋体" w:cs="Times New Roman"/>
          <w:color w:val="auto"/>
          <w:spacing w:val="4"/>
          <w:w w:val="99"/>
          <w:kern w:val="2"/>
          <w:position w:val="2"/>
          <w:sz w:val="24"/>
          <w:szCs w:val="24"/>
          <w:highlight w:val="none"/>
          <w:lang w:val="en-US" w:eastAsia="zh-CN" w:bidi="ar-SA"/>
        </w:rPr>
        <w:t>二</w:t>
      </w:r>
      <w:r>
        <w:rPr>
          <w:rFonts w:hint="eastAsia" w:ascii="Times New Roman" w:hAnsi="Times New Roman" w:eastAsia="宋体" w:cs="Times New Roman"/>
          <w:color w:val="auto"/>
          <w:spacing w:val="4"/>
          <w:w w:val="99"/>
          <w:kern w:val="2"/>
          <w:position w:val="2"/>
          <w:sz w:val="24"/>
          <w:szCs w:val="24"/>
          <w:highlight w:val="none"/>
          <w:lang w:val="zh-CN" w:eastAsia="zh-CN" w:bidi="ar-SA"/>
        </w:rPr>
        <w:t>级”。</w:t>
      </w:r>
    </w:p>
    <w:p w14:paraId="0014D024">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2.7.6.2评价范围</w:t>
      </w:r>
    </w:p>
    <w:p w14:paraId="3981B824">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根据《环境影响评价技术导则 土壤环境（试行）》（HJ964-2018）中“表5现状调查范围”，确定本项目土壤环境评价范围为拟建井场边界外延至200</w:t>
      </w:r>
      <w:r>
        <w:rPr>
          <w:rFonts w:hint="eastAsia" w:ascii="Times New Roman" w:hAnsi="Times New Roman" w:eastAsia="宋体" w:cs="Times New Roman"/>
          <w:color w:val="auto"/>
          <w:spacing w:val="4"/>
          <w:w w:val="99"/>
          <w:kern w:val="2"/>
          <w:position w:val="2"/>
          <w:sz w:val="24"/>
          <w:szCs w:val="24"/>
          <w:highlight w:val="none"/>
          <w:lang w:val="en-US" w:eastAsia="zh-CN" w:bidi="ar-SA"/>
        </w:rPr>
        <w:t>m</w:t>
      </w:r>
      <w:r>
        <w:rPr>
          <w:rFonts w:ascii="Times New Roman" w:hAnsi="Times New Roman" w:eastAsia="宋体" w:cs="Times New Roman"/>
          <w:color w:val="auto"/>
          <w:spacing w:val="4"/>
          <w:w w:val="99"/>
          <w:kern w:val="2"/>
          <w:position w:val="2"/>
          <w:sz w:val="24"/>
          <w:szCs w:val="24"/>
          <w:highlight w:val="none"/>
          <w:lang w:val="en-US" w:eastAsia="zh-CN" w:bidi="ar-SA"/>
        </w:rPr>
        <w:t>及管线中心线两侧各200m范围。</w:t>
      </w:r>
    </w:p>
    <w:p w14:paraId="4082065C">
      <w:pPr>
        <w:pStyle w:val="7"/>
        <w:widowControl w:val="0"/>
        <w:spacing w:before="60" w:after="60" w:line="440" w:lineRule="exact"/>
        <w:jc w:val="both"/>
        <w:rPr>
          <w:rFonts w:eastAsia="宋体"/>
          <w:b/>
          <w:color w:val="auto"/>
          <w:w w:val="99"/>
          <w:kern w:val="2"/>
          <w:sz w:val="24"/>
          <w:szCs w:val="24"/>
          <w:highlight w:val="none"/>
        </w:rPr>
      </w:pPr>
      <w:bookmarkStart w:id="377" w:name="_Toc186444257"/>
      <w:bookmarkStart w:id="378" w:name="_Toc76976225"/>
      <w:bookmarkStart w:id="379" w:name="_Toc77067641"/>
      <w:bookmarkStart w:id="380" w:name="_Toc61597203"/>
      <w:bookmarkStart w:id="381" w:name="_Toc80971359"/>
      <w:bookmarkStart w:id="382" w:name="_Toc67860110"/>
      <w:bookmarkStart w:id="383" w:name="_Toc70050157"/>
      <w:bookmarkStart w:id="384" w:name="_Toc83209454"/>
      <w:bookmarkStart w:id="385" w:name="_Toc80588237"/>
      <w:bookmarkStart w:id="386" w:name="_Toc78816442"/>
      <w:r>
        <w:rPr>
          <w:rFonts w:eastAsia="宋体"/>
          <w:b/>
          <w:color w:val="auto"/>
          <w:w w:val="99"/>
          <w:kern w:val="2"/>
          <w:sz w:val="24"/>
          <w:szCs w:val="24"/>
          <w:highlight w:val="none"/>
        </w:rPr>
        <w:t>2.7.7环境风险</w:t>
      </w:r>
      <w:bookmarkEnd w:id="377"/>
      <w:bookmarkEnd w:id="378"/>
      <w:bookmarkEnd w:id="379"/>
      <w:bookmarkEnd w:id="380"/>
      <w:bookmarkEnd w:id="381"/>
      <w:bookmarkEnd w:id="382"/>
      <w:bookmarkEnd w:id="383"/>
      <w:bookmarkEnd w:id="384"/>
      <w:bookmarkEnd w:id="385"/>
      <w:bookmarkEnd w:id="386"/>
    </w:p>
    <w:p w14:paraId="573AD143">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2.7.7.1评价等级</w:t>
      </w:r>
    </w:p>
    <w:p w14:paraId="067AC904">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（1）风险潜势初判</w:t>
      </w:r>
    </w:p>
    <w:p w14:paraId="78250391">
      <w:pPr>
        <w:pStyle w:val="153"/>
        <w:widowControl w:val="0"/>
        <w:spacing w:line="440" w:lineRule="exact"/>
        <w:ind w:firstLine="473"/>
        <w:jc w:val="both"/>
        <w:rPr>
          <w:rFonts w:hint="eastAsia" w:ascii="Times New Roman" w:hAnsi="Times New Roman" w:eastAsia="宋体" w:cs="Times New Roman"/>
          <w:color w:val="auto"/>
          <w:spacing w:val="4"/>
          <w:w w:val="99"/>
          <w:kern w:val="2"/>
          <w:position w:val="2"/>
          <w:sz w:val="24"/>
          <w:szCs w:val="24"/>
          <w:highlight w:val="none"/>
          <w:lang w:val="en-US" w:eastAsia="zh-CN" w:bidi="ar-SA"/>
        </w:rPr>
      </w:pPr>
      <w:r>
        <w:rPr>
          <w:rFonts w:hint="eastAsia" w:ascii="Times New Roman" w:hAnsi="Times New Roman" w:eastAsia="宋体" w:cs="Times New Roman"/>
          <w:color w:val="auto"/>
          <w:spacing w:val="4"/>
          <w:w w:val="99"/>
          <w:kern w:val="2"/>
          <w:position w:val="2"/>
          <w:sz w:val="24"/>
          <w:szCs w:val="24"/>
          <w:highlight w:val="none"/>
          <w:lang w:val="en-US" w:eastAsia="zh-CN" w:bidi="ar-SA"/>
        </w:rPr>
        <w:t>根据《建设项目环境风险评价技术导则》(HJ169-2018)附录B，本项目涉及的主要危险物质是天然气，根据工程特点及井场、站场、管线分布，考虑将每两个截断阀之间管段、站场单列装置、单个井场作为一个危险单元，计算其风险物质存在量。根据工程内容，本项目主要危险单元为各个采气井场、新建输气管道。</w:t>
      </w:r>
    </w:p>
    <w:p w14:paraId="7E476878">
      <w:pPr>
        <w:pStyle w:val="153"/>
        <w:widowControl w:val="0"/>
        <w:spacing w:line="440" w:lineRule="exact"/>
        <w:ind w:firstLine="473"/>
        <w:jc w:val="both"/>
        <w:rPr>
          <w:rFonts w:hint="eastAsia" w:ascii="Times New Roman" w:hAnsi="Times New Roman" w:cs="Times New Roman"/>
          <w:color w:val="auto"/>
          <w:spacing w:val="4"/>
          <w:w w:val="99"/>
          <w:kern w:val="2"/>
          <w:position w:val="2"/>
          <w:sz w:val="24"/>
          <w:szCs w:val="24"/>
          <w:highlight w:val="none"/>
          <w:lang w:val="en-US" w:eastAsia="zh-CN" w:bidi="ar-SA"/>
        </w:rPr>
      </w:pPr>
      <w:r>
        <w:rPr>
          <w:rFonts w:hint="eastAsia" w:ascii="Times New Roman" w:hAnsi="Times New Roman" w:cs="Times New Roman"/>
          <w:color w:val="auto"/>
          <w:spacing w:val="4"/>
          <w:w w:val="99"/>
          <w:kern w:val="2"/>
          <w:position w:val="2"/>
          <w:sz w:val="24"/>
          <w:szCs w:val="24"/>
          <w:highlight w:val="none"/>
          <w:lang w:val="en-US" w:eastAsia="zh-CN" w:bidi="ar-SA"/>
        </w:rPr>
        <w:t>①采气井场</w:t>
      </w:r>
    </w:p>
    <w:p w14:paraId="6EC6B6F0">
      <w:pPr>
        <w:pStyle w:val="153"/>
        <w:widowControl w:val="0"/>
        <w:spacing w:line="440" w:lineRule="exact"/>
        <w:ind w:firstLine="473"/>
        <w:jc w:val="both"/>
        <w:rPr>
          <w:rFonts w:hint="eastAsia" w:ascii="Times New Roman" w:hAnsi="Times New Roman" w:cs="Times New Roman"/>
          <w:color w:val="auto"/>
          <w:spacing w:val="4"/>
          <w:w w:val="99"/>
          <w:kern w:val="2"/>
          <w:position w:val="2"/>
          <w:sz w:val="24"/>
          <w:szCs w:val="24"/>
          <w:highlight w:val="none"/>
          <w:lang w:val="en-US" w:eastAsia="zh-CN" w:bidi="ar-SA"/>
        </w:rPr>
      </w:pPr>
      <w:r>
        <w:rPr>
          <w:rFonts w:hint="eastAsia" w:ascii="Times New Roman" w:hAnsi="Times New Roman" w:cs="Times New Roman"/>
          <w:color w:val="auto"/>
          <w:spacing w:val="4"/>
          <w:w w:val="99"/>
          <w:kern w:val="2"/>
          <w:position w:val="2"/>
          <w:sz w:val="24"/>
          <w:szCs w:val="24"/>
          <w:highlight w:val="none"/>
          <w:lang w:val="en-US" w:eastAsia="zh-CN" w:bidi="ar-SA"/>
        </w:rPr>
        <w:t>根据设计资料，本项目井场天然气最大存在量为 0.05t。</w:t>
      </w:r>
    </w:p>
    <w:p w14:paraId="77734D24">
      <w:pPr>
        <w:pStyle w:val="153"/>
        <w:widowControl w:val="0"/>
        <w:spacing w:line="440" w:lineRule="exact"/>
        <w:ind w:firstLine="473"/>
        <w:jc w:val="both"/>
        <w:rPr>
          <w:rFonts w:hint="eastAsia" w:ascii="Times New Roman" w:hAnsi="Times New Roman" w:cs="Times New Roman"/>
          <w:color w:val="auto"/>
          <w:spacing w:val="4"/>
          <w:w w:val="99"/>
          <w:kern w:val="2"/>
          <w:position w:val="2"/>
          <w:sz w:val="24"/>
          <w:szCs w:val="24"/>
          <w:highlight w:val="none"/>
          <w:lang w:val="en-US" w:eastAsia="zh-CN" w:bidi="ar-SA"/>
        </w:rPr>
      </w:pPr>
      <w:r>
        <w:rPr>
          <w:rFonts w:hint="eastAsia" w:ascii="Times New Roman" w:hAnsi="Times New Roman" w:cs="Times New Roman"/>
          <w:color w:val="auto"/>
          <w:spacing w:val="4"/>
          <w:w w:val="99"/>
          <w:kern w:val="2"/>
          <w:position w:val="2"/>
          <w:sz w:val="24"/>
          <w:szCs w:val="24"/>
          <w:highlight w:val="none"/>
          <w:lang w:val="en-US" w:eastAsia="zh-CN" w:bidi="ar-SA"/>
        </w:rPr>
        <w:t>②输气管道</w:t>
      </w:r>
    </w:p>
    <w:p w14:paraId="21B0FEA9">
      <w:pPr>
        <w:pStyle w:val="153"/>
        <w:widowControl w:val="0"/>
        <w:spacing w:line="440" w:lineRule="exact"/>
        <w:ind w:firstLine="473"/>
        <w:jc w:val="both"/>
        <w:rPr>
          <w:rFonts w:hint="default" w:ascii="Times New Roman" w:hAnsi="Times New Roman" w:eastAsia="宋体" w:cs="Times New Roman"/>
          <w:color w:val="auto"/>
          <w:spacing w:val="4"/>
          <w:w w:val="99"/>
          <w:kern w:val="2"/>
          <w:position w:val="2"/>
          <w:sz w:val="24"/>
          <w:szCs w:val="24"/>
          <w:highlight w:val="none"/>
          <w:lang w:val="en-US" w:eastAsia="zh-CN" w:bidi="ar-SA"/>
        </w:rPr>
      </w:pPr>
      <w:r>
        <w:rPr>
          <w:rFonts w:hint="eastAsia" w:ascii="Times New Roman" w:hAnsi="Times New Roman" w:eastAsia="宋体" w:cs="Times New Roman"/>
          <w:color w:val="auto"/>
          <w:spacing w:val="4"/>
          <w:w w:val="99"/>
          <w:kern w:val="2"/>
          <w:position w:val="2"/>
          <w:sz w:val="24"/>
          <w:szCs w:val="24"/>
          <w:highlight w:val="none"/>
          <w:lang w:val="en-US" w:eastAsia="zh-CN" w:bidi="ar-SA"/>
        </w:rPr>
        <w:t>本项目</w:t>
      </w:r>
      <w:r>
        <w:rPr>
          <w:rFonts w:hint="eastAsia" w:ascii="Times New Roman" w:hAnsi="Times New Roman" w:cs="Times New Roman"/>
          <w:color w:val="auto"/>
          <w:spacing w:val="4"/>
          <w:w w:val="99"/>
          <w:kern w:val="2"/>
          <w:position w:val="2"/>
          <w:sz w:val="24"/>
          <w:szCs w:val="24"/>
          <w:highlight w:val="none"/>
          <w:lang w:val="en-US" w:eastAsia="zh-CN" w:bidi="ar-SA"/>
        </w:rPr>
        <w:t>新建</w:t>
      </w:r>
      <w:r>
        <w:rPr>
          <w:rFonts w:hint="eastAsia" w:ascii="Times New Roman" w:hAnsi="Times New Roman" w:eastAsia="宋体" w:cs="Times New Roman"/>
          <w:color w:val="auto"/>
          <w:spacing w:val="4"/>
          <w:w w:val="99"/>
          <w:kern w:val="2"/>
          <w:position w:val="2"/>
          <w:sz w:val="24"/>
          <w:szCs w:val="24"/>
          <w:highlight w:val="none"/>
          <w:lang w:val="en-US" w:eastAsia="zh-CN" w:bidi="ar-SA"/>
        </w:rPr>
        <w:t>采气管道</w:t>
      </w:r>
      <w:r>
        <w:rPr>
          <w:rFonts w:hint="eastAsia" w:ascii="Times New Roman" w:hAnsi="Times New Roman" w:cs="Times New Roman"/>
          <w:color w:val="auto"/>
          <w:spacing w:val="4"/>
          <w:w w:val="99"/>
          <w:kern w:val="2"/>
          <w:position w:val="2"/>
          <w:sz w:val="24"/>
          <w:szCs w:val="24"/>
          <w:highlight w:val="none"/>
          <w:lang w:val="en-US" w:eastAsia="zh-CN" w:bidi="ar-SA"/>
        </w:rPr>
        <w:t>1.92km</w:t>
      </w:r>
      <w:r>
        <w:rPr>
          <w:rFonts w:hint="eastAsia" w:ascii="Times New Roman" w:hAnsi="Times New Roman" w:eastAsia="宋体" w:cs="Times New Roman"/>
          <w:color w:val="auto"/>
          <w:spacing w:val="4"/>
          <w:w w:val="99"/>
          <w:kern w:val="2"/>
          <w:position w:val="2"/>
          <w:sz w:val="24"/>
          <w:szCs w:val="24"/>
          <w:highlight w:val="none"/>
          <w:lang w:val="en-US" w:eastAsia="zh-CN" w:bidi="ar-SA"/>
        </w:rPr>
        <w:t>，每两个截断阀之间管段的管道的规格、压力及天然气最大储存量详见表2.6-</w:t>
      </w:r>
      <w:r>
        <w:rPr>
          <w:rFonts w:hint="eastAsia" w:ascii="Times New Roman" w:hAnsi="Times New Roman" w:cs="Times New Roman"/>
          <w:color w:val="auto"/>
          <w:spacing w:val="4"/>
          <w:w w:val="99"/>
          <w:kern w:val="2"/>
          <w:position w:val="2"/>
          <w:sz w:val="24"/>
          <w:szCs w:val="24"/>
          <w:highlight w:val="none"/>
          <w:lang w:val="en-US" w:eastAsia="zh-CN" w:bidi="ar-SA"/>
        </w:rPr>
        <w:t>13</w:t>
      </w:r>
      <w:r>
        <w:rPr>
          <w:rFonts w:hint="eastAsia" w:ascii="Times New Roman" w:hAnsi="Times New Roman" w:eastAsia="宋体" w:cs="Times New Roman"/>
          <w:color w:val="auto"/>
          <w:spacing w:val="4"/>
          <w:w w:val="99"/>
          <w:kern w:val="2"/>
          <w:position w:val="2"/>
          <w:sz w:val="24"/>
          <w:szCs w:val="24"/>
          <w:highlight w:val="none"/>
          <w:lang w:val="en-US" w:eastAsia="zh-CN" w:bidi="ar-SA"/>
        </w:rPr>
        <w:t>。</w:t>
      </w:r>
    </w:p>
    <w:p w14:paraId="6BB1D63A">
      <w:pPr>
        <w:pStyle w:val="153"/>
        <w:keepNext w:val="0"/>
        <w:keepLines w:val="0"/>
        <w:pageBreakBefore w:val="0"/>
        <w:widowControl w:val="0"/>
        <w:shd w:val="clear"/>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eastAsiaTheme="minorEastAsia"/>
          <w:b/>
          <w:bCs/>
          <w:color w:val="auto"/>
          <w:w w:val="99"/>
          <w:highlight w:val="none"/>
          <w:lang w:val="en-US"/>
        </w:rPr>
      </w:pPr>
      <w:r>
        <w:rPr>
          <w:rFonts w:hint="eastAsia" w:ascii="Times New Roman" w:hAnsi="Times New Roman" w:eastAsiaTheme="minorEastAsia"/>
          <w:b/>
          <w:bCs/>
          <w:color w:val="auto"/>
          <w:w w:val="99"/>
          <w:highlight w:val="none"/>
          <w:lang w:val="en-US"/>
        </w:rPr>
        <w:t>表2.6-1</w:t>
      </w:r>
      <w:r>
        <w:rPr>
          <w:rFonts w:hint="eastAsia" w:ascii="Times New Roman" w:hAnsi="Times New Roman" w:eastAsiaTheme="minorEastAsia"/>
          <w:b/>
          <w:bCs/>
          <w:color w:val="auto"/>
          <w:w w:val="99"/>
          <w:highlight w:val="none"/>
          <w:lang w:val="en-US" w:eastAsia="zh-CN"/>
        </w:rPr>
        <w:t>3</w:t>
      </w:r>
      <w:r>
        <w:rPr>
          <w:rFonts w:hint="eastAsia" w:ascii="Times New Roman" w:hAnsi="Times New Roman" w:eastAsiaTheme="minorEastAsia"/>
          <w:b/>
          <w:bCs/>
          <w:color w:val="auto"/>
          <w:w w:val="99"/>
          <w:highlight w:val="none"/>
          <w:lang w:val="en-US"/>
        </w:rPr>
        <w:t xml:space="preserve">    本项目各管道的危险物质数量表</w:t>
      </w:r>
    </w:p>
    <w:tbl>
      <w:tblPr>
        <w:tblStyle w:val="8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886"/>
        <w:gridCol w:w="1347"/>
        <w:gridCol w:w="1408"/>
        <w:gridCol w:w="1100"/>
        <w:gridCol w:w="1055"/>
        <w:gridCol w:w="732"/>
        <w:gridCol w:w="975"/>
        <w:gridCol w:w="1133"/>
      </w:tblGrid>
      <w:tr w14:paraId="2505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6C423BAF">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序号</w:t>
            </w:r>
          </w:p>
        </w:tc>
        <w:tc>
          <w:tcPr>
            <w:tcW w:w="477" w:type="pct"/>
            <w:vAlign w:val="center"/>
          </w:tcPr>
          <w:p w14:paraId="32DE8A00">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分类</w:t>
            </w:r>
          </w:p>
        </w:tc>
        <w:tc>
          <w:tcPr>
            <w:tcW w:w="725" w:type="pct"/>
            <w:vAlign w:val="center"/>
          </w:tcPr>
          <w:p w14:paraId="0752ADB3">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起点</w:t>
            </w:r>
          </w:p>
        </w:tc>
        <w:tc>
          <w:tcPr>
            <w:tcW w:w="758" w:type="pct"/>
            <w:vAlign w:val="center"/>
          </w:tcPr>
          <w:p w14:paraId="5E47B817">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Theme="minorEastAsia"/>
                <w:snapToGrid w:val="0"/>
                <w:color w:val="auto"/>
                <w:w w:val="99"/>
                <w:sz w:val="21"/>
                <w:szCs w:val="21"/>
                <w:highlight w:val="none"/>
                <w:vertAlign w:val="baseline"/>
                <w:lang w:bidi="zh-CN"/>
              </w:rPr>
            </w:pPr>
            <w:r>
              <w:rPr>
                <w:rFonts w:hint="eastAsia" w:ascii="Times New Roman" w:hAnsi="Times New Roman" w:eastAsiaTheme="minorEastAsia"/>
                <w:snapToGrid w:val="0"/>
                <w:color w:val="auto"/>
                <w:w w:val="99"/>
                <w:sz w:val="21"/>
                <w:szCs w:val="21"/>
                <w:highlight w:val="none"/>
                <w:vertAlign w:val="baseline"/>
                <w:lang w:val="en-US" w:bidi="zh-CN"/>
              </w:rPr>
              <w:t>终点</w:t>
            </w:r>
          </w:p>
        </w:tc>
        <w:tc>
          <w:tcPr>
            <w:tcW w:w="592" w:type="pct"/>
            <w:vAlign w:val="center"/>
          </w:tcPr>
          <w:p w14:paraId="0506EF31">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输送介质</w:t>
            </w:r>
          </w:p>
        </w:tc>
        <w:tc>
          <w:tcPr>
            <w:tcW w:w="568" w:type="pct"/>
            <w:vAlign w:val="center"/>
          </w:tcPr>
          <w:p w14:paraId="7D72CD59">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snapToGrid w:val="0"/>
                <w:color w:val="auto"/>
                <w:w w:val="99"/>
                <w:sz w:val="21"/>
                <w:szCs w:val="21"/>
                <w:highlight w:val="none"/>
                <w:vertAlign w:val="baseline"/>
                <w:lang w:val="en-US" w:eastAsia="zh-CN" w:bidi="zh-CN"/>
              </w:rPr>
            </w:pPr>
            <w:r>
              <w:rPr>
                <w:rFonts w:hint="eastAsia" w:ascii="Times New Roman" w:hAnsi="Times New Roman" w:eastAsiaTheme="minorEastAsia"/>
                <w:snapToGrid w:val="0"/>
                <w:color w:val="auto"/>
                <w:w w:val="99"/>
                <w:sz w:val="21"/>
                <w:szCs w:val="21"/>
                <w:highlight w:val="none"/>
                <w:vertAlign w:val="baseline"/>
                <w:lang w:val="en-US" w:bidi="zh-CN"/>
              </w:rPr>
              <w:t>管道规格</w:t>
            </w:r>
            <w:r>
              <w:rPr>
                <w:rFonts w:hint="eastAsia" w:ascii="Times New Roman" w:hAnsi="Times New Roman" w:eastAsiaTheme="minorEastAsia"/>
                <w:snapToGrid w:val="0"/>
                <w:color w:val="auto"/>
                <w:w w:val="99"/>
                <w:sz w:val="21"/>
                <w:szCs w:val="21"/>
                <w:highlight w:val="none"/>
                <w:vertAlign w:val="baseline"/>
                <w:lang w:val="en-US" w:eastAsia="zh-CN" w:bidi="zh-CN"/>
              </w:rPr>
              <w:t>mm</w:t>
            </w:r>
          </w:p>
        </w:tc>
        <w:tc>
          <w:tcPr>
            <w:tcW w:w="394" w:type="pct"/>
            <w:vAlign w:val="center"/>
          </w:tcPr>
          <w:p w14:paraId="329163EF">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长度km</w:t>
            </w:r>
          </w:p>
        </w:tc>
        <w:tc>
          <w:tcPr>
            <w:tcW w:w="525" w:type="pct"/>
            <w:vAlign w:val="center"/>
          </w:tcPr>
          <w:p w14:paraId="02321A73">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设计压力MPa</w:t>
            </w:r>
          </w:p>
        </w:tc>
        <w:tc>
          <w:tcPr>
            <w:tcW w:w="609" w:type="pct"/>
            <w:vAlign w:val="center"/>
          </w:tcPr>
          <w:p w14:paraId="5C2A70C4">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天然气存在量t</w:t>
            </w:r>
          </w:p>
        </w:tc>
      </w:tr>
      <w:tr w14:paraId="7066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54DAA20A">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1</w:t>
            </w:r>
          </w:p>
        </w:tc>
        <w:tc>
          <w:tcPr>
            <w:tcW w:w="477" w:type="pct"/>
            <w:vAlign w:val="center"/>
          </w:tcPr>
          <w:p w14:paraId="31BDF3A5">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新建采气管线</w:t>
            </w:r>
          </w:p>
        </w:tc>
        <w:tc>
          <w:tcPr>
            <w:tcW w:w="725" w:type="pct"/>
            <w:vAlign w:val="center"/>
          </w:tcPr>
          <w:p w14:paraId="6DD1EA8E">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cs="Times New Roman" w:eastAsiaTheme="minorEastAsia"/>
                <w:color w:val="auto"/>
                <w:w w:val="99"/>
                <w:sz w:val="21"/>
                <w:szCs w:val="21"/>
                <w:highlight w:val="none"/>
                <w:lang w:val="en-US" w:eastAsia="zh-CN"/>
              </w:rPr>
              <w:t>徐深27-H1井场</w:t>
            </w:r>
          </w:p>
        </w:tc>
        <w:tc>
          <w:tcPr>
            <w:tcW w:w="758" w:type="pct"/>
            <w:shd w:val="clear" w:color="auto" w:fill="auto"/>
            <w:vAlign w:val="center"/>
          </w:tcPr>
          <w:p w14:paraId="14B825CD">
            <w:pPr>
              <w:pStyle w:val="104"/>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default" w:ascii="Times New Roman" w:hAnsi="Times New Roman" w:eastAsia="宋体" w:cs="Times New Roman"/>
                <w:bCs/>
                <w:color w:val="auto"/>
                <w:w w:val="99"/>
                <w:kern w:val="2"/>
                <w:sz w:val="21"/>
                <w:szCs w:val="21"/>
                <w:highlight w:val="none"/>
                <w:lang w:val="en-US" w:eastAsia="zh-CN" w:bidi="ar-SA"/>
              </w:rPr>
              <w:t>徐深</w:t>
            </w:r>
            <w:r>
              <w:rPr>
                <w:rFonts w:hint="eastAsia" w:ascii="Times New Roman" w:hAnsi="Times New Roman" w:eastAsia="宋体" w:cs="Times New Roman"/>
                <w:bCs/>
                <w:color w:val="auto"/>
                <w:w w:val="99"/>
                <w:kern w:val="2"/>
                <w:sz w:val="21"/>
                <w:szCs w:val="21"/>
                <w:highlight w:val="none"/>
                <w:lang w:val="en-US" w:eastAsia="zh-CN" w:bidi="ar-SA"/>
              </w:rPr>
              <w:t>27</w:t>
            </w:r>
            <w:r>
              <w:rPr>
                <w:rFonts w:hint="default" w:ascii="Times New Roman" w:hAnsi="Times New Roman" w:eastAsia="宋体" w:cs="Times New Roman"/>
                <w:bCs/>
                <w:color w:val="auto"/>
                <w:w w:val="99"/>
                <w:kern w:val="2"/>
                <w:sz w:val="21"/>
                <w:szCs w:val="21"/>
                <w:highlight w:val="none"/>
                <w:lang w:val="en-US" w:eastAsia="zh-CN" w:bidi="ar-SA"/>
              </w:rPr>
              <w:t>集气站</w:t>
            </w:r>
          </w:p>
        </w:tc>
        <w:tc>
          <w:tcPr>
            <w:tcW w:w="592" w:type="pct"/>
            <w:vAlign w:val="center"/>
          </w:tcPr>
          <w:p w14:paraId="32F9AD9A">
            <w:pPr>
              <w:pStyle w:val="15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天然气（甲烷）</w:t>
            </w:r>
          </w:p>
        </w:tc>
        <w:tc>
          <w:tcPr>
            <w:tcW w:w="568" w:type="pct"/>
            <w:vAlign w:val="center"/>
          </w:tcPr>
          <w:p w14:paraId="6A3B5C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Φ76×（2+9）</w:t>
            </w:r>
          </w:p>
        </w:tc>
        <w:tc>
          <w:tcPr>
            <w:tcW w:w="394" w:type="pct"/>
            <w:vAlign w:val="center"/>
          </w:tcPr>
          <w:p w14:paraId="0DC8C183">
            <w:pPr>
              <w:pStyle w:val="104"/>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1.92</w:t>
            </w:r>
          </w:p>
        </w:tc>
        <w:tc>
          <w:tcPr>
            <w:tcW w:w="525" w:type="pct"/>
            <w:vAlign w:val="center"/>
          </w:tcPr>
          <w:p w14:paraId="630AE778">
            <w:pPr>
              <w:pStyle w:val="104"/>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33</w:t>
            </w:r>
          </w:p>
        </w:tc>
        <w:tc>
          <w:tcPr>
            <w:tcW w:w="609" w:type="pct"/>
            <w:vAlign w:val="center"/>
          </w:tcPr>
          <w:p w14:paraId="4101EA2E">
            <w:pPr>
              <w:pStyle w:val="104"/>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0.955</w:t>
            </w:r>
          </w:p>
        </w:tc>
      </w:tr>
    </w:tbl>
    <w:p w14:paraId="6A6F5BD9">
      <w:pPr>
        <w:pStyle w:val="153"/>
        <w:widowControl w:val="0"/>
        <w:shd w:val="clear"/>
        <w:spacing w:line="440" w:lineRule="exact"/>
        <w:ind w:firstLine="473"/>
        <w:jc w:val="both"/>
        <w:rPr>
          <w:rFonts w:hint="default" w:ascii="Times New Roman" w:hAnsi="Times New Roman" w:eastAsia="宋体" w:cs="Times New Roman"/>
          <w:color w:val="auto"/>
          <w:w w:val="99"/>
          <w:sz w:val="24"/>
          <w:szCs w:val="24"/>
          <w:highlight w:val="none"/>
          <w:lang w:val="en-US" w:eastAsia="zh-CN" w:bidi="zh-CN"/>
        </w:rPr>
      </w:pPr>
      <w:r>
        <w:rPr>
          <w:rFonts w:hint="eastAsia" w:ascii="Times New Roman" w:hAnsi="Times New Roman" w:eastAsia="宋体" w:cs="Times New Roman"/>
          <w:color w:val="auto"/>
          <w:w w:val="99"/>
          <w:sz w:val="24"/>
          <w:szCs w:val="24"/>
          <w:highlight w:val="none"/>
          <w:lang w:val="en-US" w:eastAsia="zh-CN" w:bidi="zh-CN"/>
        </w:rPr>
        <w:t>因此，本项目各危险单元辨识结果详见表2.6-1</w:t>
      </w:r>
      <w:r>
        <w:rPr>
          <w:rFonts w:hint="eastAsia" w:ascii="Times New Roman" w:hAnsi="Times New Roman" w:cs="Times New Roman"/>
          <w:color w:val="auto"/>
          <w:w w:val="99"/>
          <w:sz w:val="24"/>
          <w:szCs w:val="24"/>
          <w:highlight w:val="none"/>
          <w:lang w:val="en-US" w:eastAsia="zh-CN" w:bidi="zh-CN"/>
        </w:rPr>
        <w:t>4</w:t>
      </w:r>
      <w:r>
        <w:rPr>
          <w:rFonts w:hint="eastAsia" w:ascii="Times New Roman" w:hAnsi="Times New Roman" w:eastAsia="宋体" w:cs="Times New Roman"/>
          <w:color w:val="auto"/>
          <w:w w:val="99"/>
          <w:sz w:val="24"/>
          <w:szCs w:val="24"/>
          <w:highlight w:val="none"/>
          <w:lang w:val="en-US" w:eastAsia="zh-CN" w:bidi="zh-CN"/>
        </w:rPr>
        <w:t>。</w:t>
      </w:r>
    </w:p>
    <w:p w14:paraId="3379510E">
      <w:pPr>
        <w:pStyle w:val="153"/>
        <w:keepNext w:val="0"/>
        <w:keepLines w:val="0"/>
        <w:pageBreakBefore w:val="0"/>
        <w:widowControl w:val="0"/>
        <w:shd w:val="clear"/>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b/>
          <w:bCs/>
          <w:color w:val="auto"/>
          <w:w w:val="99"/>
          <w:highlight w:val="none"/>
          <w:lang w:val="en-US" w:eastAsia="zh-CN"/>
        </w:rPr>
      </w:pPr>
      <w:r>
        <w:rPr>
          <w:rFonts w:hint="eastAsia" w:ascii="Times New Roman" w:hAnsi="Times New Roman" w:eastAsiaTheme="minorEastAsia"/>
          <w:b/>
          <w:bCs/>
          <w:color w:val="auto"/>
          <w:w w:val="99"/>
          <w:highlight w:val="none"/>
          <w:lang w:val="en-US"/>
        </w:rPr>
        <w:t>表2.6-1</w:t>
      </w:r>
      <w:r>
        <w:rPr>
          <w:rFonts w:hint="eastAsia" w:ascii="Times New Roman" w:hAnsi="Times New Roman" w:eastAsiaTheme="minorEastAsia"/>
          <w:b/>
          <w:bCs/>
          <w:color w:val="auto"/>
          <w:w w:val="99"/>
          <w:highlight w:val="none"/>
          <w:lang w:val="en-US" w:eastAsia="zh-CN"/>
        </w:rPr>
        <w:t>4</w:t>
      </w:r>
      <w:r>
        <w:rPr>
          <w:rFonts w:hint="eastAsia" w:ascii="Times New Roman" w:hAnsi="Times New Roman" w:eastAsiaTheme="minorEastAsia"/>
          <w:b/>
          <w:bCs/>
          <w:color w:val="auto"/>
          <w:w w:val="99"/>
          <w:highlight w:val="none"/>
          <w:lang w:val="en-US"/>
        </w:rPr>
        <w:t xml:space="preserve">    本项目各</w:t>
      </w:r>
      <w:r>
        <w:rPr>
          <w:rFonts w:hint="eastAsia" w:ascii="Times New Roman" w:hAnsi="Times New Roman" w:eastAsiaTheme="minorEastAsia"/>
          <w:b/>
          <w:bCs/>
          <w:color w:val="auto"/>
          <w:w w:val="99"/>
          <w:highlight w:val="none"/>
          <w:lang w:val="en-US" w:eastAsia="zh-CN"/>
        </w:rPr>
        <w:t>风险单元危险物质总量与其临界量比值（Q）计算表</w:t>
      </w:r>
    </w:p>
    <w:tbl>
      <w:tblPr>
        <w:tblStyle w:val="8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7"/>
        <w:gridCol w:w="2296"/>
        <w:gridCol w:w="934"/>
        <w:gridCol w:w="1397"/>
        <w:gridCol w:w="1122"/>
        <w:gridCol w:w="1008"/>
      </w:tblGrid>
      <w:tr w14:paraId="5E10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pct"/>
            <w:vAlign w:val="center"/>
          </w:tcPr>
          <w:p w14:paraId="1179D37F">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阶段</w:t>
            </w:r>
          </w:p>
        </w:tc>
        <w:tc>
          <w:tcPr>
            <w:tcW w:w="919" w:type="pct"/>
            <w:vAlign w:val="center"/>
          </w:tcPr>
          <w:p w14:paraId="3F1899BC">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危险单元</w:t>
            </w:r>
          </w:p>
        </w:tc>
        <w:tc>
          <w:tcPr>
            <w:tcW w:w="1236" w:type="pct"/>
            <w:vAlign w:val="center"/>
          </w:tcPr>
          <w:p w14:paraId="38D16F5E">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危险物质</w:t>
            </w:r>
          </w:p>
        </w:tc>
        <w:tc>
          <w:tcPr>
            <w:tcW w:w="503" w:type="pct"/>
            <w:vAlign w:val="center"/>
          </w:tcPr>
          <w:p w14:paraId="4D7F1466">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临界量t</w:t>
            </w:r>
          </w:p>
        </w:tc>
        <w:tc>
          <w:tcPr>
            <w:tcW w:w="752" w:type="pct"/>
            <w:vAlign w:val="center"/>
          </w:tcPr>
          <w:p w14:paraId="58CE0567">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最大存在量t</w:t>
            </w:r>
          </w:p>
        </w:tc>
        <w:tc>
          <w:tcPr>
            <w:tcW w:w="604" w:type="pct"/>
            <w:vAlign w:val="center"/>
          </w:tcPr>
          <w:p w14:paraId="2D08A712">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qi/Qi</w:t>
            </w:r>
          </w:p>
        </w:tc>
        <w:tc>
          <w:tcPr>
            <w:tcW w:w="542" w:type="pct"/>
            <w:vAlign w:val="center"/>
          </w:tcPr>
          <w:p w14:paraId="2281755F">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合计</w:t>
            </w:r>
          </w:p>
        </w:tc>
      </w:tr>
      <w:tr w14:paraId="270A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pct"/>
            <w:vMerge w:val="restart"/>
            <w:vAlign w:val="center"/>
          </w:tcPr>
          <w:p w14:paraId="3FE9237F">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运营期</w:t>
            </w:r>
          </w:p>
        </w:tc>
        <w:tc>
          <w:tcPr>
            <w:tcW w:w="919" w:type="pct"/>
            <w:shd w:val="clear" w:color="auto" w:fill="auto"/>
            <w:vAlign w:val="center"/>
          </w:tcPr>
          <w:p w14:paraId="45270AA7">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cs="宋体" w:eastAsiaTheme="minorEastAsia"/>
                <w:snapToGrid w:val="0"/>
                <w:color w:val="auto"/>
                <w:w w:val="99"/>
                <w:sz w:val="21"/>
                <w:szCs w:val="21"/>
                <w:highlight w:val="none"/>
                <w:vertAlign w:val="baseline"/>
                <w:lang w:val="en-US" w:eastAsia="zh-CN" w:bidi="zh-CN"/>
              </w:rPr>
            </w:pPr>
            <w:r>
              <w:rPr>
                <w:rFonts w:hint="default" w:ascii="Times New Roman" w:hAnsi="Times New Roman" w:cs="宋体" w:eastAsiaTheme="minorEastAsia"/>
                <w:snapToGrid w:val="0"/>
                <w:color w:val="auto"/>
                <w:w w:val="99"/>
                <w:sz w:val="21"/>
                <w:szCs w:val="21"/>
                <w:highlight w:val="none"/>
                <w:vertAlign w:val="baseline"/>
                <w:lang w:val="en-US" w:eastAsia="zh-CN" w:bidi="zh-CN"/>
              </w:rPr>
              <w:t>徐深27-H1井场</w:t>
            </w:r>
          </w:p>
        </w:tc>
        <w:tc>
          <w:tcPr>
            <w:tcW w:w="1236" w:type="pct"/>
            <w:vAlign w:val="center"/>
          </w:tcPr>
          <w:p w14:paraId="43B9D1B2">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天然气（甲烷）</w:t>
            </w:r>
          </w:p>
        </w:tc>
        <w:tc>
          <w:tcPr>
            <w:tcW w:w="503" w:type="pct"/>
            <w:shd w:val="clear" w:color="auto" w:fill="auto"/>
            <w:vAlign w:val="center"/>
          </w:tcPr>
          <w:p w14:paraId="62E819C4">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cs="Times New Roman" w:eastAsiaTheme="minorEastAsia"/>
                <w:snapToGrid w:val="0"/>
                <w:color w:val="auto"/>
                <w:w w:val="99"/>
                <w:sz w:val="21"/>
                <w:szCs w:val="21"/>
                <w:highlight w:val="none"/>
                <w:vertAlign w:val="baseline"/>
                <w:lang w:val="en-US" w:eastAsia="zh-CN" w:bidi="zh-CN"/>
              </w:rPr>
            </w:pPr>
            <w:r>
              <w:rPr>
                <w:rFonts w:hint="eastAsia" w:ascii="Times New Roman" w:hAnsi="Times New Roman" w:eastAsiaTheme="minorEastAsia"/>
                <w:snapToGrid w:val="0"/>
                <w:color w:val="auto"/>
                <w:w w:val="99"/>
                <w:sz w:val="21"/>
                <w:szCs w:val="21"/>
                <w:highlight w:val="none"/>
                <w:vertAlign w:val="baseline"/>
                <w:lang w:val="en-US" w:bidi="zh-CN"/>
              </w:rPr>
              <w:t>10</w:t>
            </w:r>
          </w:p>
        </w:tc>
        <w:tc>
          <w:tcPr>
            <w:tcW w:w="752" w:type="pct"/>
            <w:shd w:val="clear" w:color="auto" w:fill="auto"/>
            <w:vAlign w:val="center"/>
          </w:tcPr>
          <w:p w14:paraId="53ADE877">
            <w:pPr>
              <w:pStyle w:val="104"/>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cs="Times New Roman" w:eastAsiaTheme="minorEastAsia"/>
                <w:snapToGrid w:val="0"/>
                <w:color w:val="auto"/>
                <w:w w:val="99"/>
                <w:kern w:val="2"/>
                <w:sz w:val="21"/>
                <w:szCs w:val="21"/>
                <w:highlight w:val="none"/>
                <w:vertAlign w:val="baseline"/>
                <w:lang w:val="en-US" w:eastAsia="zh-CN" w:bidi="zh-CN"/>
              </w:rPr>
            </w:pPr>
            <w:r>
              <w:rPr>
                <w:rFonts w:hint="eastAsia" w:ascii="Times New Roman" w:hAnsi="Times New Roman" w:cs="Times New Roman" w:eastAsiaTheme="minorEastAsia"/>
                <w:snapToGrid w:val="0"/>
                <w:color w:val="auto"/>
                <w:w w:val="99"/>
                <w:kern w:val="2"/>
                <w:sz w:val="21"/>
                <w:szCs w:val="21"/>
                <w:highlight w:val="none"/>
                <w:vertAlign w:val="baseline"/>
                <w:lang w:val="en-US" w:eastAsia="zh-CN" w:bidi="zh-CN"/>
              </w:rPr>
              <w:t>0.05</w:t>
            </w:r>
          </w:p>
        </w:tc>
        <w:tc>
          <w:tcPr>
            <w:tcW w:w="604" w:type="pct"/>
            <w:shd w:val="clear" w:color="auto" w:fill="auto"/>
            <w:vAlign w:val="center"/>
          </w:tcPr>
          <w:p w14:paraId="10EAAFF5">
            <w:pPr>
              <w:pStyle w:val="104"/>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0.005</w:t>
            </w:r>
          </w:p>
        </w:tc>
        <w:tc>
          <w:tcPr>
            <w:tcW w:w="542" w:type="pct"/>
            <w:vAlign w:val="center"/>
          </w:tcPr>
          <w:p w14:paraId="6FD72737">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0.005</w:t>
            </w:r>
          </w:p>
        </w:tc>
      </w:tr>
      <w:tr w14:paraId="29E1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pct"/>
            <w:vMerge w:val="continue"/>
            <w:vAlign w:val="center"/>
          </w:tcPr>
          <w:p w14:paraId="0BD34168">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Theme="minorEastAsia"/>
                <w:snapToGrid w:val="0"/>
                <w:color w:val="auto"/>
                <w:w w:val="99"/>
                <w:sz w:val="21"/>
                <w:szCs w:val="21"/>
                <w:highlight w:val="none"/>
                <w:vertAlign w:val="baseline"/>
                <w:lang w:val="en-US" w:bidi="zh-CN"/>
              </w:rPr>
            </w:pPr>
          </w:p>
        </w:tc>
        <w:tc>
          <w:tcPr>
            <w:tcW w:w="919" w:type="pct"/>
            <w:shd w:val="clear" w:color="auto" w:fill="auto"/>
            <w:vAlign w:val="center"/>
          </w:tcPr>
          <w:p w14:paraId="6FFFD55E">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cs="宋体" w:eastAsiaTheme="minorEastAsia"/>
                <w:snapToGrid w:val="0"/>
                <w:color w:val="auto"/>
                <w:w w:val="99"/>
                <w:sz w:val="21"/>
                <w:szCs w:val="21"/>
                <w:highlight w:val="none"/>
                <w:vertAlign w:val="baseline"/>
                <w:lang w:val="en-US" w:eastAsia="zh-CN" w:bidi="zh-CN"/>
              </w:rPr>
            </w:pPr>
            <w:r>
              <w:rPr>
                <w:rFonts w:hint="eastAsia" w:ascii="Times New Roman" w:hAnsi="Times New Roman" w:cs="宋体" w:eastAsiaTheme="minorEastAsia"/>
                <w:snapToGrid w:val="0"/>
                <w:color w:val="auto"/>
                <w:w w:val="99"/>
                <w:sz w:val="21"/>
                <w:szCs w:val="21"/>
                <w:highlight w:val="none"/>
                <w:vertAlign w:val="baseline"/>
                <w:lang w:val="en-US" w:eastAsia="zh-CN" w:bidi="zh-CN"/>
              </w:rPr>
              <w:t>采气管线</w:t>
            </w:r>
          </w:p>
        </w:tc>
        <w:tc>
          <w:tcPr>
            <w:tcW w:w="1236" w:type="pct"/>
            <w:vAlign w:val="center"/>
          </w:tcPr>
          <w:p w14:paraId="7C170194">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天然气（甲烷）</w:t>
            </w:r>
          </w:p>
        </w:tc>
        <w:tc>
          <w:tcPr>
            <w:tcW w:w="503" w:type="pct"/>
            <w:shd w:val="clear" w:color="auto" w:fill="auto"/>
            <w:vAlign w:val="center"/>
          </w:tcPr>
          <w:p w14:paraId="3E383ECA">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10</w:t>
            </w:r>
          </w:p>
        </w:tc>
        <w:tc>
          <w:tcPr>
            <w:tcW w:w="752" w:type="pct"/>
            <w:shd w:val="clear" w:color="auto" w:fill="auto"/>
            <w:vAlign w:val="center"/>
          </w:tcPr>
          <w:p w14:paraId="44B2A223">
            <w:pPr>
              <w:pStyle w:val="104"/>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0.955</w:t>
            </w:r>
          </w:p>
        </w:tc>
        <w:tc>
          <w:tcPr>
            <w:tcW w:w="604" w:type="pct"/>
            <w:shd w:val="clear" w:color="auto" w:fill="auto"/>
            <w:vAlign w:val="center"/>
          </w:tcPr>
          <w:p w14:paraId="54ECD6A9">
            <w:pPr>
              <w:pStyle w:val="104"/>
              <w:keepNext w:val="0"/>
              <w:keepLines w:val="0"/>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0.0955</w:t>
            </w:r>
          </w:p>
        </w:tc>
        <w:tc>
          <w:tcPr>
            <w:tcW w:w="542" w:type="pct"/>
            <w:vAlign w:val="center"/>
          </w:tcPr>
          <w:p w14:paraId="76C62429">
            <w:pPr>
              <w:pStyle w:val="153"/>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Theme="minorEastAsia"/>
                <w:snapToGrid w:val="0"/>
                <w:color w:val="auto"/>
                <w:w w:val="99"/>
                <w:sz w:val="21"/>
                <w:szCs w:val="21"/>
                <w:highlight w:val="none"/>
                <w:vertAlign w:val="baseline"/>
                <w:lang w:val="en-US" w:bidi="zh-CN"/>
              </w:rPr>
            </w:pPr>
            <w:r>
              <w:rPr>
                <w:rFonts w:hint="eastAsia" w:ascii="Times New Roman" w:hAnsi="Times New Roman" w:eastAsiaTheme="minorEastAsia"/>
                <w:snapToGrid w:val="0"/>
                <w:color w:val="auto"/>
                <w:w w:val="99"/>
                <w:sz w:val="21"/>
                <w:szCs w:val="21"/>
                <w:highlight w:val="none"/>
                <w:vertAlign w:val="baseline"/>
                <w:lang w:val="en-US" w:bidi="zh-CN"/>
              </w:rPr>
              <w:t>0.0955</w:t>
            </w:r>
          </w:p>
        </w:tc>
      </w:tr>
    </w:tbl>
    <w:p w14:paraId="5A2B63BA">
      <w:pPr>
        <w:pStyle w:val="185"/>
        <w:widowControl w:val="0"/>
        <w:shd w:val="clear"/>
        <w:tabs>
          <w:tab w:val="left" w:pos="1571"/>
        </w:tabs>
        <w:spacing w:line="440" w:lineRule="exact"/>
        <w:ind w:left="0" w:firstLine="474" w:firstLineChars="200"/>
        <w:jc w:val="both"/>
        <w:rPr>
          <w:rFonts w:hint="eastAsia" w:ascii="Times New Roman" w:hAnsi="Times New Roman" w:eastAsia="宋体" w:cs="Times New Roman"/>
          <w:color w:val="auto"/>
          <w:w w:val="99"/>
          <w:highlight w:val="none"/>
          <w:lang w:val="en-US" w:eastAsia="zh-CN"/>
        </w:rPr>
      </w:pPr>
      <w:r>
        <w:rPr>
          <w:rFonts w:hint="eastAsia" w:ascii="Times New Roman" w:hAnsi="Times New Roman" w:eastAsia="宋体" w:cs="Times New Roman"/>
          <w:color w:val="auto"/>
          <w:w w:val="99"/>
          <w:highlight w:val="none"/>
          <w:lang w:val="en-US" w:eastAsia="zh-CN"/>
        </w:rPr>
        <w:t>根据表2.6-15可知，施工期</w:t>
      </w:r>
      <w:r>
        <w:rPr>
          <w:rFonts w:hint="eastAsia" w:ascii="Times New Roman" w:hAnsi="Times New Roman" w:cs="Times New Roman"/>
          <w:color w:val="auto"/>
          <w:w w:val="99"/>
          <w:highlight w:val="none"/>
          <w:lang w:val="en-US" w:eastAsia="zh-CN"/>
        </w:rPr>
        <w:t>、</w:t>
      </w:r>
      <w:r>
        <w:rPr>
          <w:rFonts w:hint="eastAsia" w:ascii="Times New Roman" w:hAnsi="Times New Roman" w:eastAsia="宋体" w:cs="Times New Roman"/>
          <w:color w:val="auto"/>
          <w:w w:val="99"/>
          <w:highlight w:val="none"/>
          <w:lang w:val="en-US" w:eastAsia="zh-CN"/>
        </w:rPr>
        <w:t>运营期</w:t>
      </w:r>
      <w:r>
        <w:rPr>
          <w:rFonts w:hint="eastAsia" w:ascii="Times New Roman" w:hAnsi="Times New Roman" w:cs="Times New Roman"/>
          <w:color w:val="auto"/>
          <w:w w:val="99"/>
          <w:highlight w:val="none"/>
          <w:lang w:val="en-US" w:eastAsia="zh-CN"/>
        </w:rPr>
        <w:t>各危险单元</w:t>
      </w:r>
      <w:r>
        <w:rPr>
          <w:rFonts w:hint="eastAsia" w:ascii="Times New Roman" w:hAnsi="Times New Roman" w:eastAsia="宋体" w:cs="Times New Roman"/>
          <w:color w:val="auto"/>
          <w:w w:val="99"/>
          <w:highlight w:val="none"/>
          <w:lang w:val="en-US" w:eastAsia="zh-CN"/>
        </w:rPr>
        <w:t>Q</w:t>
      </w:r>
      <w:r>
        <w:rPr>
          <w:rFonts w:hint="eastAsia" w:ascii="Times New Roman" w:hAnsi="Times New Roman" w:cs="Times New Roman"/>
          <w:color w:val="auto"/>
          <w:w w:val="99"/>
          <w:highlight w:val="none"/>
          <w:lang w:val="en-US" w:eastAsia="zh-CN"/>
        </w:rPr>
        <w:t>均小于</w:t>
      </w:r>
      <w:r>
        <w:rPr>
          <w:rFonts w:hint="eastAsia" w:ascii="Times New Roman" w:hAnsi="Times New Roman" w:eastAsia="宋体" w:cs="Times New Roman"/>
          <w:color w:val="auto"/>
          <w:w w:val="99"/>
          <w:highlight w:val="none"/>
          <w:lang w:val="en-US" w:eastAsia="zh-CN"/>
        </w:rPr>
        <w:t>1。根据《建设项目环境风险评价技术导则》(HJ169-2018)风险评价等级划分依据，本项目环境风险潜势为I。因此，本项目环境风险评价工作应进行简单分析。</w:t>
      </w:r>
    </w:p>
    <w:p w14:paraId="54360319">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2.7.7.2评价范围</w:t>
      </w:r>
    </w:p>
    <w:p w14:paraId="3721A79B">
      <w:pPr>
        <w:pStyle w:val="153"/>
        <w:widowControl w:val="0"/>
        <w:spacing w:line="440" w:lineRule="exact"/>
        <w:ind w:firstLine="473"/>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本项目风险评价等级为简单分析，根据《建设项目环境风险评价技术导则》（HJ169-2018），无关于简单分析的评价范围说明，结合大气环境、地表水环境、地下水环境的评价范围及保护目标分布情况，拟定环境风险评价范围包括地表水、地下水、大气评价范围，因此本项目环境风险评价范围为拟建井场</w:t>
      </w:r>
      <w:r>
        <w:rPr>
          <w:rFonts w:hint="eastAsia" w:ascii="Times New Roman" w:hAnsi="Times New Roman" w:eastAsia="宋体" w:cs="Times New Roman"/>
          <w:color w:val="auto"/>
          <w:spacing w:val="4"/>
          <w:w w:val="99"/>
          <w:kern w:val="2"/>
          <w:position w:val="2"/>
          <w:sz w:val="24"/>
          <w:szCs w:val="24"/>
          <w:highlight w:val="none"/>
          <w:lang w:val="en-US" w:eastAsia="zh-CN" w:bidi="ar-SA"/>
        </w:rPr>
        <w:t>为中心边长</w:t>
      </w:r>
      <w:r>
        <w:rPr>
          <w:rFonts w:hint="eastAsia" w:ascii="Times New Roman" w:hAnsi="Times New Roman" w:cs="Times New Roman"/>
          <w:color w:val="auto"/>
          <w:spacing w:val="4"/>
          <w:w w:val="99"/>
          <w:kern w:val="2"/>
          <w:position w:val="2"/>
          <w:sz w:val="24"/>
          <w:szCs w:val="24"/>
          <w:highlight w:val="none"/>
          <w:lang w:val="en-US" w:eastAsia="zh-CN" w:bidi="ar-SA"/>
        </w:rPr>
        <w:t>500</w:t>
      </w:r>
      <w:r>
        <w:rPr>
          <w:rFonts w:hint="eastAsia" w:ascii="Times New Roman" w:hAnsi="Times New Roman" w:eastAsia="宋体" w:cs="Times New Roman"/>
          <w:color w:val="auto"/>
          <w:spacing w:val="4"/>
          <w:w w:val="99"/>
          <w:kern w:val="2"/>
          <w:position w:val="2"/>
          <w:sz w:val="24"/>
          <w:szCs w:val="24"/>
          <w:highlight w:val="none"/>
          <w:lang w:val="en-US" w:eastAsia="zh-CN" w:bidi="ar-SA"/>
        </w:rPr>
        <w:t>m</w:t>
      </w:r>
      <w:r>
        <w:rPr>
          <w:rFonts w:ascii="Times New Roman" w:hAnsi="Times New Roman" w:eastAsia="宋体" w:cs="Times New Roman"/>
          <w:color w:val="auto"/>
          <w:spacing w:val="4"/>
          <w:w w:val="99"/>
          <w:kern w:val="2"/>
          <w:position w:val="2"/>
          <w:sz w:val="24"/>
          <w:szCs w:val="24"/>
          <w:highlight w:val="none"/>
          <w:lang w:val="en-US" w:eastAsia="zh-CN" w:bidi="ar-SA"/>
        </w:rPr>
        <w:t>的矩形区域的包络范围及新建管线沿线两侧外扩200m范围的区域。</w:t>
      </w:r>
    </w:p>
    <w:p w14:paraId="2127B0C3">
      <w:pPr>
        <w:pStyle w:val="7"/>
        <w:widowControl w:val="0"/>
        <w:spacing w:before="60" w:after="60" w:line="440" w:lineRule="exact"/>
        <w:jc w:val="both"/>
        <w:rPr>
          <w:rFonts w:eastAsia="宋体"/>
          <w:b/>
          <w:color w:val="auto"/>
          <w:w w:val="99"/>
          <w:kern w:val="2"/>
          <w:sz w:val="24"/>
          <w:szCs w:val="24"/>
          <w:highlight w:val="none"/>
        </w:rPr>
      </w:pPr>
      <w:bookmarkStart w:id="387" w:name="_Toc76976234"/>
      <w:bookmarkStart w:id="388" w:name="_Toc70050166"/>
      <w:bookmarkStart w:id="389" w:name="_Toc67860119"/>
      <w:bookmarkStart w:id="390" w:name="_Toc83209463"/>
      <w:bookmarkStart w:id="391" w:name="_Toc78816451"/>
      <w:bookmarkStart w:id="392" w:name="_Toc61597212"/>
      <w:bookmarkStart w:id="393" w:name="_Toc77067650"/>
      <w:bookmarkStart w:id="394" w:name="_Toc80971368"/>
      <w:bookmarkStart w:id="395" w:name="_Toc80588246"/>
      <w:bookmarkStart w:id="396" w:name="_Toc186444258"/>
      <w:r>
        <w:rPr>
          <w:rFonts w:eastAsia="宋体"/>
          <w:b/>
          <w:color w:val="auto"/>
          <w:w w:val="99"/>
          <w:kern w:val="2"/>
          <w:sz w:val="24"/>
          <w:szCs w:val="24"/>
          <w:highlight w:val="none"/>
        </w:rPr>
        <w:t>2.7.8</w:t>
      </w:r>
      <w:bookmarkEnd w:id="387"/>
      <w:bookmarkEnd w:id="388"/>
      <w:bookmarkEnd w:id="389"/>
      <w:bookmarkEnd w:id="390"/>
      <w:bookmarkEnd w:id="391"/>
      <w:bookmarkEnd w:id="392"/>
      <w:bookmarkEnd w:id="393"/>
      <w:bookmarkEnd w:id="394"/>
      <w:bookmarkEnd w:id="395"/>
      <w:r>
        <w:rPr>
          <w:rFonts w:eastAsiaTheme="minorEastAsia"/>
          <w:b/>
          <w:color w:val="auto"/>
          <w:w w:val="99"/>
          <w:kern w:val="2"/>
          <w:sz w:val="24"/>
          <w:szCs w:val="24"/>
          <w:highlight w:val="none"/>
        </w:rPr>
        <w:t>各环境要素评价等级及评价范围汇总</w:t>
      </w:r>
      <w:bookmarkEnd w:id="396"/>
    </w:p>
    <w:p w14:paraId="0AB4FF50">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各环境要素评价等级及评价范围详见表2.7-1</w:t>
      </w:r>
      <w:r>
        <w:rPr>
          <w:rFonts w:hint="eastAsia" w:ascii="Times New Roman" w:hAnsi="Times New Roman"/>
          <w:snapToGrid w:val="0"/>
          <w:color w:val="auto"/>
          <w:w w:val="99"/>
          <w:highlight w:val="none"/>
          <w:lang w:val="en-US" w:eastAsia="zh-CN"/>
        </w:rPr>
        <w:t>5</w:t>
      </w:r>
      <w:r>
        <w:rPr>
          <w:rFonts w:ascii="Times New Roman" w:hAnsi="Times New Roman"/>
          <w:snapToGrid w:val="0"/>
          <w:color w:val="auto"/>
          <w:w w:val="99"/>
          <w:highlight w:val="none"/>
        </w:rPr>
        <w:t>，各环境要素评价范围图见附图</w:t>
      </w:r>
      <w:r>
        <w:rPr>
          <w:rFonts w:hint="eastAsia" w:ascii="Times New Roman" w:hAnsi="Times New Roman"/>
          <w:snapToGrid w:val="0"/>
          <w:color w:val="auto"/>
          <w:w w:val="99"/>
          <w:highlight w:val="none"/>
          <w:lang w:val="en-US" w:eastAsia="zh-CN"/>
        </w:rPr>
        <w:t>6</w:t>
      </w:r>
      <w:r>
        <w:rPr>
          <w:rFonts w:ascii="Times New Roman" w:hAnsi="Times New Roman"/>
          <w:snapToGrid w:val="0"/>
          <w:color w:val="auto"/>
          <w:w w:val="99"/>
          <w:highlight w:val="none"/>
        </w:rPr>
        <w:t>。</w:t>
      </w:r>
    </w:p>
    <w:p w14:paraId="5CB344B3">
      <w:pPr>
        <w:pStyle w:val="153"/>
        <w:widowControl w:val="0"/>
        <w:spacing w:line="440" w:lineRule="exact"/>
        <w:ind w:firstLine="478"/>
        <w:rPr>
          <w:rFonts w:ascii="Times New Roman" w:hAnsi="Times New Roman"/>
          <w:snapToGrid w:val="0"/>
          <w:color w:val="auto"/>
          <w:w w:val="99"/>
          <w:highlight w:val="none"/>
        </w:rPr>
      </w:pPr>
      <w:r>
        <w:rPr>
          <w:rFonts w:ascii="Times New Roman" w:hAnsi="Times New Roman" w:eastAsiaTheme="minorEastAsia"/>
          <w:b/>
          <w:bCs/>
          <w:color w:val="auto"/>
          <w:w w:val="99"/>
          <w:highlight w:val="none"/>
        </w:rPr>
        <w:t>表2.7-</w:t>
      </w:r>
      <w:r>
        <w:rPr>
          <w:rFonts w:hint="eastAsia" w:ascii="Times New Roman" w:hAnsi="Times New Roman" w:eastAsiaTheme="minorEastAsia"/>
          <w:b/>
          <w:bCs/>
          <w:color w:val="auto"/>
          <w:w w:val="99"/>
          <w:highlight w:val="none"/>
          <w:lang w:val="en-US" w:eastAsia="zh-CN"/>
        </w:rPr>
        <w:t>15</w:t>
      </w:r>
      <w:r>
        <w:rPr>
          <w:rFonts w:ascii="Times New Roman" w:hAnsi="Times New Roman" w:eastAsiaTheme="minorEastAsia"/>
          <w:b/>
          <w:bCs/>
          <w:color w:val="auto"/>
          <w:w w:val="99"/>
          <w:highlight w:val="none"/>
        </w:rPr>
        <w:t xml:space="preserve">    评价范围表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68"/>
        <w:gridCol w:w="1182"/>
        <w:gridCol w:w="1180"/>
        <w:gridCol w:w="5557"/>
      </w:tblGrid>
      <w:tr w14:paraId="7B317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737" w:type="pct"/>
            <w:vAlign w:val="center"/>
          </w:tcPr>
          <w:p w14:paraId="645F8069">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1271" w:type="pct"/>
            <w:gridSpan w:val="2"/>
            <w:vAlign w:val="center"/>
          </w:tcPr>
          <w:p w14:paraId="3ECE1FE0">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评价等级</w:t>
            </w:r>
          </w:p>
        </w:tc>
        <w:tc>
          <w:tcPr>
            <w:tcW w:w="2991" w:type="pct"/>
            <w:vAlign w:val="center"/>
          </w:tcPr>
          <w:p w14:paraId="04A9A527">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ascii="Times New Roman" w:hAnsi="Times New Roman" w:cs="Times New Roman" w:eastAsiaTheme="minorEastAsia"/>
                <w:color w:val="auto"/>
                <w:w w:val="99"/>
                <w:kern w:val="2"/>
                <w:sz w:val="21"/>
                <w:szCs w:val="21"/>
                <w:highlight w:val="none"/>
              </w:rPr>
              <w:t>评价范围</w:t>
            </w:r>
          </w:p>
        </w:tc>
      </w:tr>
      <w:tr w14:paraId="726F0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737" w:type="pct"/>
            <w:vAlign w:val="center"/>
          </w:tcPr>
          <w:p w14:paraId="336DE44A">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大气环境</w:t>
            </w:r>
          </w:p>
        </w:tc>
        <w:tc>
          <w:tcPr>
            <w:tcW w:w="1271" w:type="pct"/>
            <w:gridSpan w:val="2"/>
            <w:vAlign w:val="center"/>
          </w:tcPr>
          <w:p w14:paraId="19DBB224">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一</w:t>
            </w:r>
            <w:r>
              <w:rPr>
                <w:rFonts w:ascii="Times New Roman" w:hAnsi="Times New Roman" w:cs="Times New Roman" w:eastAsiaTheme="minorEastAsia"/>
                <w:color w:val="auto"/>
                <w:w w:val="99"/>
                <w:kern w:val="2"/>
                <w:sz w:val="21"/>
                <w:szCs w:val="21"/>
                <w:highlight w:val="none"/>
              </w:rPr>
              <w:t>级</w:t>
            </w:r>
          </w:p>
        </w:tc>
        <w:tc>
          <w:tcPr>
            <w:tcW w:w="2991" w:type="pct"/>
            <w:vAlign w:val="center"/>
          </w:tcPr>
          <w:p w14:paraId="1C4DDEF4">
            <w:pPr>
              <w:widowControl w:val="0"/>
              <w:adjustRightInd w:val="0"/>
              <w:snapToGrid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lang w:val="en-US" w:eastAsia="zh-CN"/>
              </w:rPr>
              <w:t>拟建井场</w:t>
            </w:r>
            <w:r>
              <w:rPr>
                <w:rFonts w:hint="eastAsia" w:ascii="Times New Roman" w:hAnsi="Times New Roman" w:cs="Times New Roman" w:eastAsiaTheme="minorEastAsia"/>
                <w:color w:val="auto"/>
                <w:w w:val="99"/>
                <w:kern w:val="2"/>
                <w:sz w:val="21"/>
                <w:szCs w:val="21"/>
                <w:highlight w:val="none"/>
                <w:lang w:val="en-US" w:eastAsia="zh-CN"/>
              </w:rPr>
              <w:t>为中心边长5km</w:t>
            </w:r>
            <w:r>
              <w:rPr>
                <w:rFonts w:ascii="Times New Roman" w:hAnsi="Times New Roman" w:cs="Times New Roman" w:eastAsiaTheme="minorEastAsia"/>
                <w:color w:val="auto"/>
                <w:w w:val="99"/>
                <w:kern w:val="2"/>
                <w:sz w:val="21"/>
                <w:szCs w:val="21"/>
                <w:highlight w:val="none"/>
                <w:lang w:val="en-US" w:eastAsia="zh-CN"/>
              </w:rPr>
              <w:t>的矩形区域的包络范围，评价范围总面积约</w:t>
            </w:r>
            <w:r>
              <w:rPr>
                <w:rFonts w:hint="eastAsia" w:ascii="Times New Roman" w:hAnsi="Times New Roman" w:cs="Times New Roman" w:eastAsiaTheme="minorEastAsia"/>
                <w:color w:val="auto"/>
                <w:w w:val="99"/>
                <w:kern w:val="2"/>
                <w:sz w:val="21"/>
                <w:szCs w:val="21"/>
                <w:highlight w:val="none"/>
                <w:lang w:val="en-US" w:eastAsia="zh-CN"/>
              </w:rPr>
              <w:t>25.35</w:t>
            </w:r>
            <w:r>
              <w:rPr>
                <w:rFonts w:ascii="Times New Roman" w:hAnsi="Times New Roman" w:cs="Times New Roman" w:eastAsiaTheme="minorEastAsia"/>
                <w:color w:val="auto"/>
                <w:w w:val="99"/>
                <w:kern w:val="2"/>
                <w:sz w:val="21"/>
                <w:szCs w:val="21"/>
                <w:highlight w:val="none"/>
                <w:lang w:val="en-US" w:eastAsia="zh-CN"/>
              </w:rPr>
              <w:t>km</w:t>
            </w:r>
            <w:r>
              <w:rPr>
                <w:rFonts w:ascii="Times New Roman" w:hAnsi="Times New Roman" w:cs="Times New Roman" w:eastAsiaTheme="minorEastAsia"/>
                <w:color w:val="auto"/>
                <w:w w:val="99"/>
                <w:kern w:val="2"/>
                <w:sz w:val="21"/>
                <w:szCs w:val="21"/>
                <w:highlight w:val="none"/>
                <w:vertAlign w:val="superscript"/>
                <w:lang w:val="en-US" w:eastAsia="zh-CN"/>
              </w:rPr>
              <w:t>2</w:t>
            </w:r>
          </w:p>
        </w:tc>
      </w:tr>
      <w:tr w14:paraId="26226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737" w:type="pct"/>
            <w:vAlign w:val="center"/>
          </w:tcPr>
          <w:p w14:paraId="27B5E8EE">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w:t>
            </w:r>
          </w:p>
        </w:tc>
        <w:tc>
          <w:tcPr>
            <w:tcW w:w="1271" w:type="pct"/>
            <w:gridSpan w:val="2"/>
            <w:vAlign w:val="center"/>
          </w:tcPr>
          <w:p w14:paraId="08B5B53A">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二级</w:t>
            </w:r>
          </w:p>
        </w:tc>
        <w:tc>
          <w:tcPr>
            <w:tcW w:w="2991" w:type="pct"/>
            <w:vAlign w:val="center"/>
          </w:tcPr>
          <w:p w14:paraId="3DF61F7A">
            <w:pPr>
              <w:widowControl w:val="0"/>
              <w:adjustRightInd w:val="0"/>
              <w:snapToGrid w:val="0"/>
              <w:spacing w:line="360" w:lineRule="exact"/>
              <w:jc w:val="both"/>
              <w:rPr>
                <w:rFonts w:ascii="Times New Roman" w:hAnsi="Times New Roman" w:cs="Times New Roman" w:eastAsiaTheme="minorEastAsia"/>
                <w:color w:val="auto"/>
                <w:w w:val="99"/>
                <w:kern w:val="2"/>
                <w:sz w:val="21"/>
                <w:szCs w:val="21"/>
                <w:highlight w:val="yellow"/>
              </w:rPr>
            </w:pPr>
            <w:r>
              <w:rPr>
                <w:rFonts w:ascii="Times New Roman" w:hAnsi="Times New Roman" w:cs="Times New Roman" w:eastAsiaTheme="minorEastAsia"/>
                <w:color w:val="auto"/>
                <w:w w:val="99"/>
                <w:kern w:val="2"/>
                <w:sz w:val="21"/>
                <w:szCs w:val="21"/>
                <w:highlight w:val="none"/>
              </w:rPr>
              <w:t>拟建井场边界外延至200</w:t>
            </w:r>
            <w:r>
              <w:rPr>
                <w:rFonts w:hint="eastAsia" w:ascii="Times New Roman" w:hAnsi="Times New Roman" w:cs="Times New Roman" w:eastAsiaTheme="minorEastAsia"/>
                <w:color w:val="auto"/>
                <w:w w:val="99"/>
                <w:kern w:val="2"/>
                <w:sz w:val="21"/>
                <w:szCs w:val="21"/>
                <w:highlight w:val="none"/>
                <w:lang w:val="en-US" w:eastAsia="zh-CN"/>
              </w:rPr>
              <w:t>m</w:t>
            </w:r>
            <w:r>
              <w:rPr>
                <w:rFonts w:ascii="Times New Roman" w:hAnsi="Times New Roman" w:cs="Times New Roman" w:eastAsiaTheme="minorEastAsia"/>
                <w:color w:val="auto"/>
                <w:w w:val="99"/>
                <w:kern w:val="2"/>
                <w:sz w:val="21"/>
                <w:szCs w:val="21"/>
                <w:highlight w:val="none"/>
              </w:rPr>
              <w:t>及管线、道路中心线两侧各200m范围内</w:t>
            </w:r>
          </w:p>
        </w:tc>
      </w:tr>
      <w:tr w14:paraId="269C5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737" w:type="pct"/>
            <w:vAlign w:val="center"/>
          </w:tcPr>
          <w:p w14:paraId="10FCE2A8">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地表水环境</w:t>
            </w:r>
          </w:p>
        </w:tc>
        <w:tc>
          <w:tcPr>
            <w:tcW w:w="1271" w:type="pct"/>
            <w:gridSpan w:val="2"/>
            <w:vAlign w:val="center"/>
          </w:tcPr>
          <w:p w14:paraId="508FF6E9">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三级B</w:t>
            </w:r>
          </w:p>
        </w:tc>
        <w:tc>
          <w:tcPr>
            <w:tcW w:w="2991" w:type="pct"/>
            <w:vAlign w:val="center"/>
          </w:tcPr>
          <w:p w14:paraId="3E00251B">
            <w:pPr>
              <w:widowControl w:val="0"/>
              <w:adjustRightInd w:val="0"/>
              <w:snapToGrid w:val="0"/>
              <w:spacing w:line="360" w:lineRule="exact"/>
              <w:jc w:val="both"/>
              <w:rPr>
                <w:rFonts w:hint="default" w:ascii="Times New Roman" w:hAnsi="Times New Roman" w:cs="Times New Roman" w:eastAsiaTheme="minorEastAsia"/>
                <w:color w:val="auto"/>
                <w:w w:val="99"/>
                <w:kern w:val="2"/>
                <w:sz w:val="21"/>
                <w:szCs w:val="21"/>
                <w:highlight w:val="yellow"/>
                <w:lang w:val="en-US" w:eastAsia="zh-CN"/>
              </w:rPr>
            </w:pPr>
            <w:r>
              <w:rPr>
                <w:rFonts w:ascii="Times New Roman" w:hAnsi="Times New Roman" w:cs="Times New Roman" w:eastAsiaTheme="minorEastAsia"/>
                <w:color w:val="auto"/>
                <w:w w:val="99"/>
                <w:kern w:val="2"/>
                <w:sz w:val="21"/>
                <w:szCs w:val="21"/>
                <w:highlight w:val="none"/>
              </w:rPr>
              <w:t>拟建井场</w:t>
            </w:r>
            <w:r>
              <w:rPr>
                <w:rFonts w:hint="eastAsia" w:ascii="Times New Roman" w:hAnsi="Times New Roman" w:cs="Times New Roman" w:eastAsiaTheme="minorEastAsia"/>
                <w:color w:val="auto"/>
                <w:w w:val="99"/>
                <w:kern w:val="2"/>
                <w:sz w:val="21"/>
                <w:szCs w:val="21"/>
                <w:highlight w:val="none"/>
              </w:rPr>
              <w:t>为中心边长5km</w:t>
            </w:r>
            <w:r>
              <w:rPr>
                <w:rFonts w:ascii="Times New Roman" w:hAnsi="Times New Roman" w:cs="Times New Roman" w:eastAsiaTheme="minorEastAsia"/>
                <w:color w:val="auto"/>
                <w:w w:val="99"/>
                <w:kern w:val="2"/>
                <w:sz w:val="21"/>
                <w:szCs w:val="21"/>
                <w:highlight w:val="none"/>
              </w:rPr>
              <w:t>的矩形区域的包络范围及管线、道路沿线两侧外扩200m范围的地表水体，该范围内地表水体主要为</w:t>
            </w:r>
            <w:r>
              <w:rPr>
                <w:rFonts w:hint="eastAsia" w:ascii="Times New Roman" w:hAnsi="Times New Roman" w:cs="Times New Roman" w:eastAsiaTheme="minorEastAsia"/>
                <w:color w:val="auto"/>
                <w:w w:val="99"/>
                <w:kern w:val="2"/>
                <w:sz w:val="21"/>
                <w:szCs w:val="21"/>
                <w:highlight w:val="none"/>
                <w:lang w:val="en-US" w:eastAsia="zh-CN"/>
              </w:rPr>
              <w:t>北大干渠。</w:t>
            </w:r>
          </w:p>
        </w:tc>
      </w:tr>
      <w:tr w14:paraId="641D6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737" w:type="pct"/>
            <w:vMerge w:val="restart"/>
            <w:vAlign w:val="center"/>
          </w:tcPr>
          <w:p w14:paraId="5789A668">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r>
              <w:rPr>
                <w:rFonts w:ascii="Times New Roman" w:hAnsi="Times New Roman" w:cs="Times New Roman" w:eastAsiaTheme="minorEastAsia"/>
                <w:color w:val="auto"/>
                <w:w w:val="99"/>
                <w:kern w:val="2"/>
                <w:sz w:val="21"/>
                <w:szCs w:val="21"/>
                <w:highlight w:val="yellow"/>
              </w:rPr>
              <w:t>地下水环境</w:t>
            </w:r>
          </w:p>
        </w:tc>
        <w:tc>
          <w:tcPr>
            <w:tcW w:w="636" w:type="pct"/>
            <w:tcBorders>
              <w:right w:val="single" w:color="auto" w:sz="4" w:space="0"/>
            </w:tcBorders>
            <w:vAlign w:val="center"/>
          </w:tcPr>
          <w:p w14:paraId="61CDCBD8">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yellow"/>
                <w:lang w:val="en-US" w:eastAsia="zh-CN"/>
              </w:rPr>
            </w:pPr>
            <w:r>
              <w:rPr>
                <w:rFonts w:hint="eastAsia" w:ascii="Times New Roman" w:hAnsi="Times New Roman" w:cs="Times New Roman" w:eastAsiaTheme="minorEastAsia"/>
                <w:color w:val="auto"/>
                <w:w w:val="99"/>
                <w:kern w:val="2"/>
                <w:sz w:val="21"/>
                <w:szCs w:val="21"/>
                <w:highlight w:val="yellow"/>
                <w:lang w:val="en-US" w:eastAsia="zh-CN"/>
              </w:rPr>
              <w:t>井场</w:t>
            </w:r>
          </w:p>
        </w:tc>
        <w:tc>
          <w:tcPr>
            <w:tcW w:w="635" w:type="pct"/>
            <w:tcBorders>
              <w:left w:val="single" w:color="auto" w:sz="4" w:space="0"/>
            </w:tcBorders>
            <w:vAlign w:val="center"/>
          </w:tcPr>
          <w:p w14:paraId="492EFC9E">
            <w:pPr>
              <w:widowControl w:val="0"/>
              <w:adjustRightInd w:val="0"/>
              <w:snapToGrid w:val="0"/>
              <w:spacing w:line="360" w:lineRule="exact"/>
              <w:jc w:val="center"/>
              <w:rPr>
                <w:rFonts w:hint="eastAsia" w:ascii="Times New Roman" w:hAnsi="Times New Roman" w:cs="Times New Roman" w:eastAsiaTheme="minorEastAsia"/>
                <w:color w:val="auto"/>
                <w:w w:val="99"/>
                <w:kern w:val="2"/>
                <w:sz w:val="21"/>
                <w:szCs w:val="21"/>
                <w:highlight w:val="yellow"/>
                <w:lang w:val="en-US" w:eastAsia="zh-CN"/>
              </w:rPr>
            </w:pPr>
            <w:r>
              <w:rPr>
                <w:rFonts w:hint="eastAsia" w:ascii="Times New Roman" w:hAnsi="Times New Roman" w:cs="Times New Roman" w:eastAsiaTheme="minorEastAsia"/>
                <w:color w:val="auto"/>
                <w:w w:val="99"/>
                <w:kern w:val="2"/>
                <w:sz w:val="21"/>
                <w:szCs w:val="21"/>
                <w:highlight w:val="yellow"/>
                <w:lang w:val="en-US" w:eastAsia="zh-CN"/>
              </w:rPr>
              <w:t>二</w:t>
            </w:r>
            <w:r>
              <w:rPr>
                <w:rFonts w:ascii="Times New Roman" w:hAnsi="Times New Roman" w:cs="Times New Roman" w:eastAsiaTheme="minorEastAsia"/>
                <w:color w:val="auto"/>
                <w:w w:val="99"/>
                <w:kern w:val="2"/>
                <w:sz w:val="21"/>
                <w:szCs w:val="21"/>
                <w:highlight w:val="yellow"/>
              </w:rPr>
              <w:t>级</w:t>
            </w:r>
          </w:p>
        </w:tc>
        <w:tc>
          <w:tcPr>
            <w:tcW w:w="2991" w:type="pct"/>
            <w:vMerge w:val="restart"/>
            <w:vAlign w:val="center"/>
          </w:tcPr>
          <w:p w14:paraId="5DA46B29">
            <w:pPr>
              <w:widowControl w:val="0"/>
              <w:adjustRightInd w:val="0"/>
              <w:snapToGrid w:val="0"/>
              <w:spacing w:line="360" w:lineRule="exact"/>
              <w:jc w:val="both"/>
              <w:rPr>
                <w:rFonts w:hint="default" w:ascii="Times New Roman" w:hAnsi="Times New Roman" w:cs="Times New Roman" w:eastAsiaTheme="minorEastAsia"/>
                <w:color w:val="auto"/>
                <w:w w:val="99"/>
                <w:kern w:val="2"/>
                <w:sz w:val="21"/>
                <w:szCs w:val="21"/>
                <w:highlight w:val="yellow"/>
                <w:vertAlign w:val="superscript"/>
                <w:lang w:val="en-US" w:eastAsia="zh-CN"/>
              </w:rPr>
            </w:pPr>
            <w:r>
              <w:rPr>
                <w:rFonts w:hint="default" w:ascii="Times New Roman" w:hAnsi="Times New Roman" w:cs="Times New Roman" w:eastAsiaTheme="minorEastAsia"/>
                <w:color w:val="auto"/>
                <w:w w:val="99"/>
                <w:kern w:val="2"/>
                <w:sz w:val="21"/>
                <w:szCs w:val="21"/>
                <w:highlight w:val="yellow"/>
                <w:lang w:val="en-US" w:eastAsia="zh-CN"/>
              </w:rPr>
              <w:t>拟建区域地下水流向上游及两侧外扩1166.67m、下游外扩583.335m并包括水质现状监测点的东南→西北走向的合围区域，共计约16.65km</w:t>
            </w:r>
            <w:r>
              <w:rPr>
                <w:rFonts w:hint="default" w:ascii="Times New Roman" w:hAnsi="Times New Roman" w:cs="Times New Roman" w:eastAsiaTheme="minorEastAsia"/>
                <w:color w:val="auto"/>
                <w:w w:val="99"/>
                <w:kern w:val="2"/>
                <w:sz w:val="21"/>
                <w:szCs w:val="21"/>
                <w:highlight w:val="yellow"/>
                <w:vertAlign w:val="superscript"/>
                <w:lang w:val="en-US" w:eastAsia="zh-CN"/>
              </w:rPr>
              <w:t>2</w:t>
            </w:r>
            <w:r>
              <w:rPr>
                <w:rFonts w:hint="default" w:ascii="Times New Roman" w:hAnsi="Times New Roman" w:cs="Times New Roman" w:eastAsiaTheme="minorEastAsia"/>
                <w:color w:val="auto"/>
                <w:w w:val="99"/>
                <w:kern w:val="2"/>
                <w:sz w:val="21"/>
                <w:szCs w:val="21"/>
                <w:highlight w:val="yellow"/>
                <w:lang w:val="en-US" w:eastAsia="zh-CN"/>
              </w:rPr>
              <w:t>。</w:t>
            </w:r>
          </w:p>
        </w:tc>
      </w:tr>
      <w:tr w14:paraId="0C38E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737" w:type="pct"/>
            <w:vMerge w:val="continue"/>
            <w:vAlign w:val="center"/>
          </w:tcPr>
          <w:p w14:paraId="4585867B">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yellow"/>
              </w:rPr>
            </w:pPr>
          </w:p>
        </w:tc>
        <w:tc>
          <w:tcPr>
            <w:tcW w:w="636" w:type="pct"/>
            <w:tcBorders>
              <w:right w:val="single" w:color="auto" w:sz="4" w:space="0"/>
            </w:tcBorders>
            <w:vAlign w:val="center"/>
          </w:tcPr>
          <w:p w14:paraId="02C0B195">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yellow"/>
                <w:lang w:val="en-US" w:eastAsia="zh-CN"/>
              </w:rPr>
            </w:pPr>
            <w:r>
              <w:rPr>
                <w:rFonts w:hint="eastAsia" w:ascii="Times New Roman" w:hAnsi="Times New Roman" w:cs="Times New Roman" w:eastAsiaTheme="minorEastAsia"/>
                <w:color w:val="auto"/>
                <w:w w:val="99"/>
                <w:kern w:val="2"/>
                <w:sz w:val="21"/>
                <w:szCs w:val="21"/>
                <w:highlight w:val="yellow"/>
                <w:lang w:val="en-US" w:eastAsia="zh-CN"/>
              </w:rPr>
              <w:t>采气管线</w:t>
            </w:r>
          </w:p>
        </w:tc>
        <w:tc>
          <w:tcPr>
            <w:tcW w:w="635" w:type="pct"/>
            <w:tcBorders>
              <w:left w:val="single" w:color="auto" w:sz="4" w:space="0"/>
            </w:tcBorders>
            <w:vAlign w:val="center"/>
          </w:tcPr>
          <w:p w14:paraId="168F6D8B">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yellow"/>
                <w:lang w:val="en-US" w:eastAsia="zh-CN"/>
              </w:rPr>
            </w:pPr>
            <w:r>
              <w:rPr>
                <w:rFonts w:hint="eastAsia" w:ascii="Times New Roman" w:hAnsi="Times New Roman" w:cs="Times New Roman" w:eastAsiaTheme="minorEastAsia"/>
                <w:color w:val="auto"/>
                <w:w w:val="99"/>
                <w:kern w:val="2"/>
                <w:sz w:val="21"/>
                <w:szCs w:val="21"/>
                <w:highlight w:val="yellow"/>
                <w:lang w:val="en-US" w:eastAsia="zh-CN"/>
              </w:rPr>
              <w:t>三级</w:t>
            </w:r>
          </w:p>
        </w:tc>
        <w:tc>
          <w:tcPr>
            <w:tcW w:w="2991" w:type="pct"/>
            <w:vMerge w:val="continue"/>
            <w:vAlign w:val="center"/>
          </w:tcPr>
          <w:p w14:paraId="162E876A">
            <w:pPr>
              <w:widowControl w:val="0"/>
              <w:adjustRightInd w:val="0"/>
              <w:snapToGrid w:val="0"/>
              <w:spacing w:line="360" w:lineRule="exact"/>
              <w:jc w:val="both"/>
              <w:rPr>
                <w:rFonts w:hint="default" w:ascii="Times New Roman" w:hAnsi="Times New Roman" w:eastAsia="宋体" w:cs="Times New Roman"/>
                <w:color w:val="auto"/>
                <w:w w:val="99"/>
                <w:sz w:val="21"/>
                <w:szCs w:val="21"/>
                <w:highlight w:val="yellow"/>
                <w:lang w:val="en-US" w:eastAsia="zh-CN" w:bidi="ar-SA"/>
              </w:rPr>
            </w:pPr>
          </w:p>
        </w:tc>
      </w:tr>
      <w:tr w14:paraId="6E119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737" w:type="pct"/>
            <w:vAlign w:val="center"/>
          </w:tcPr>
          <w:p w14:paraId="248F4CD3">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w:t>
            </w:r>
          </w:p>
        </w:tc>
        <w:tc>
          <w:tcPr>
            <w:tcW w:w="1271" w:type="pct"/>
            <w:gridSpan w:val="2"/>
            <w:vAlign w:val="center"/>
          </w:tcPr>
          <w:p w14:paraId="5F0E962A">
            <w:pPr>
              <w:widowControl w:val="0"/>
              <w:adjustRightInd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二</w:t>
            </w:r>
            <w:r>
              <w:rPr>
                <w:rFonts w:ascii="Times New Roman" w:hAnsi="Times New Roman" w:cs="Times New Roman" w:eastAsiaTheme="minorEastAsia"/>
                <w:color w:val="auto"/>
                <w:w w:val="99"/>
                <w:kern w:val="2"/>
                <w:sz w:val="21"/>
                <w:szCs w:val="21"/>
                <w:highlight w:val="none"/>
              </w:rPr>
              <w:t>级</w:t>
            </w:r>
          </w:p>
        </w:tc>
        <w:tc>
          <w:tcPr>
            <w:tcW w:w="2991" w:type="pct"/>
            <w:vAlign w:val="center"/>
          </w:tcPr>
          <w:p w14:paraId="60E937E1">
            <w:pPr>
              <w:widowControl w:val="0"/>
              <w:adjustRightInd w:val="0"/>
              <w:snapToGrid w:val="0"/>
              <w:spacing w:line="360" w:lineRule="exact"/>
              <w:jc w:val="both"/>
              <w:rPr>
                <w:rFonts w:hint="eastAsia"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拟建井场边界外延至200</w:t>
            </w:r>
            <w:r>
              <w:rPr>
                <w:rFonts w:hint="eastAsia" w:ascii="Times New Roman" w:hAnsi="Times New Roman" w:cs="Times New Roman" w:eastAsiaTheme="minorEastAsia"/>
                <w:color w:val="auto"/>
                <w:w w:val="99"/>
                <w:kern w:val="2"/>
                <w:sz w:val="21"/>
                <w:szCs w:val="21"/>
                <w:highlight w:val="none"/>
                <w:lang w:val="en-US" w:eastAsia="zh-CN"/>
              </w:rPr>
              <w:t>m</w:t>
            </w:r>
            <w:r>
              <w:rPr>
                <w:rFonts w:ascii="Times New Roman" w:hAnsi="Times New Roman" w:cs="Times New Roman" w:eastAsiaTheme="minorEastAsia"/>
                <w:color w:val="auto"/>
                <w:w w:val="99"/>
                <w:kern w:val="2"/>
                <w:sz w:val="21"/>
                <w:szCs w:val="21"/>
                <w:highlight w:val="none"/>
              </w:rPr>
              <w:t>及管线中心线两侧各200m范围</w:t>
            </w:r>
            <w:r>
              <w:rPr>
                <w:rFonts w:hint="eastAsia" w:ascii="Times New Roman" w:hAnsi="Times New Roman" w:cs="Times New Roman" w:eastAsiaTheme="minorEastAsia"/>
                <w:color w:val="auto"/>
                <w:w w:val="99"/>
                <w:kern w:val="2"/>
                <w:sz w:val="21"/>
                <w:szCs w:val="21"/>
                <w:highlight w:val="none"/>
                <w:lang w:eastAsia="zh-CN"/>
              </w:rPr>
              <w:t>。</w:t>
            </w:r>
          </w:p>
        </w:tc>
      </w:tr>
      <w:tr w14:paraId="32F41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737" w:type="pct"/>
            <w:vAlign w:val="center"/>
          </w:tcPr>
          <w:p w14:paraId="779C0BB3">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生态环境</w:t>
            </w:r>
          </w:p>
        </w:tc>
        <w:tc>
          <w:tcPr>
            <w:tcW w:w="1271" w:type="pct"/>
            <w:gridSpan w:val="2"/>
            <w:vAlign w:val="center"/>
          </w:tcPr>
          <w:p w14:paraId="0CBE8E02">
            <w:pPr>
              <w:widowControl w:val="0"/>
              <w:adjustRightInd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三级</w:t>
            </w:r>
          </w:p>
        </w:tc>
        <w:tc>
          <w:tcPr>
            <w:tcW w:w="2991" w:type="pct"/>
            <w:vAlign w:val="center"/>
          </w:tcPr>
          <w:p w14:paraId="314158B0">
            <w:pPr>
              <w:widowControl w:val="0"/>
              <w:adjustRightInd w:val="0"/>
              <w:snapToGrid w:val="0"/>
              <w:spacing w:line="360" w:lineRule="exact"/>
              <w:jc w:val="both"/>
              <w:rPr>
                <w:rFonts w:ascii="Times New Roman" w:hAnsi="Times New Roman" w:cs="Times New Roman" w:eastAsiaTheme="minorEastAsia"/>
                <w:color w:val="auto"/>
                <w:w w:val="99"/>
                <w:kern w:val="2"/>
                <w:sz w:val="21"/>
                <w:szCs w:val="21"/>
                <w:highlight w:val="yellow"/>
              </w:rPr>
            </w:pPr>
            <w:r>
              <w:rPr>
                <w:rFonts w:ascii="Times New Roman" w:hAnsi="Times New Roman" w:cs="Times New Roman" w:eastAsiaTheme="minorEastAsia"/>
                <w:color w:val="auto"/>
                <w:w w:val="99"/>
                <w:kern w:val="2"/>
                <w:sz w:val="21"/>
                <w:szCs w:val="21"/>
                <w:highlight w:val="none"/>
              </w:rPr>
              <w:t>拟建井场边界外扩50m范围及管线、道路沿线两侧外扩300m区域的生态环境，评价范围总面积</w:t>
            </w:r>
            <w:r>
              <w:rPr>
                <w:rFonts w:hint="eastAsia" w:ascii="Times New Roman" w:hAnsi="Times New Roman" w:eastAsiaTheme="minorEastAsia"/>
                <w:snapToGrid w:val="0"/>
                <w:color w:val="auto"/>
                <w:w w:val="99"/>
                <w:sz w:val="21"/>
                <w:szCs w:val="21"/>
                <w:highlight w:val="none"/>
                <w:lang w:val="en-US" w:eastAsia="zh-CN"/>
              </w:rPr>
              <w:t>0.58k</w:t>
            </w:r>
            <w:r>
              <w:rPr>
                <w:rFonts w:ascii="Times New Roman" w:hAnsi="Times New Roman" w:eastAsiaTheme="minorEastAsia"/>
                <w:snapToGrid w:val="0"/>
                <w:color w:val="auto"/>
                <w:w w:val="99"/>
                <w:sz w:val="21"/>
                <w:szCs w:val="21"/>
                <w:highlight w:val="none"/>
              </w:rPr>
              <w:t>m</w:t>
            </w:r>
            <w:r>
              <w:rPr>
                <w:rFonts w:ascii="Times New Roman" w:hAnsi="Times New Roman" w:eastAsiaTheme="minorEastAsia"/>
                <w:snapToGrid w:val="0"/>
                <w:color w:val="auto"/>
                <w:w w:val="99"/>
                <w:sz w:val="21"/>
                <w:szCs w:val="21"/>
                <w:highlight w:val="none"/>
                <w:vertAlign w:val="superscript"/>
              </w:rPr>
              <w:t>2</w:t>
            </w:r>
          </w:p>
        </w:tc>
      </w:tr>
      <w:tr w14:paraId="42141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737" w:type="pct"/>
            <w:vAlign w:val="center"/>
          </w:tcPr>
          <w:p w14:paraId="5940FDD7">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w:t>
            </w:r>
          </w:p>
        </w:tc>
        <w:tc>
          <w:tcPr>
            <w:tcW w:w="1271" w:type="pct"/>
            <w:gridSpan w:val="2"/>
            <w:vAlign w:val="center"/>
          </w:tcPr>
          <w:p w14:paraId="01EFE564">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简单分析</w:t>
            </w:r>
          </w:p>
        </w:tc>
        <w:tc>
          <w:tcPr>
            <w:tcW w:w="2991" w:type="pct"/>
            <w:vAlign w:val="center"/>
          </w:tcPr>
          <w:p w14:paraId="7E69F620">
            <w:pPr>
              <w:widowControl w:val="0"/>
              <w:adjustRightInd w:val="0"/>
              <w:snapToGrid w:val="0"/>
              <w:spacing w:line="360" w:lineRule="exact"/>
              <w:jc w:val="both"/>
              <w:rPr>
                <w:rFonts w:ascii="Times New Roman" w:hAnsi="Times New Roman" w:cs="Times New Roman" w:eastAsiaTheme="minorEastAsia"/>
                <w:color w:val="auto"/>
                <w:w w:val="99"/>
                <w:kern w:val="2"/>
                <w:sz w:val="21"/>
                <w:szCs w:val="21"/>
                <w:highlight w:val="yellow"/>
              </w:rPr>
            </w:pPr>
            <w:r>
              <w:rPr>
                <w:rFonts w:ascii="Times New Roman" w:hAnsi="Times New Roman" w:cs="Times New Roman" w:eastAsiaTheme="minorEastAsia"/>
                <w:color w:val="auto"/>
                <w:w w:val="99"/>
                <w:kern w:val="2"/>
                <w:sz w:val="21"/>
                <w:szCs w:val="21"/>
                <w:highlight w:val="none"/>
              </w:rPr>
              <w:t>拟建井场</w:t>
            </w:r>
            <w:r>
              <w:rPr>
                <w:rFonts w:hint="eastAsia" w:ascii="Times New Roman" w:hAnsi="Times New Roman" w:cs="Times New Roman" w:eastAsiaTheme="minorEastAsia"/>
                <w:color w:val="auto"/>
                <w:w w:val="99"/>
                <w:kern w:val="2"/>
                <w:sz w:val="21"/>
                <w:szCs w:val="21"/>
                <w:highlight w:val="none"/>
              </w:rPr>
              <w:t>为中心边长</w:t>
            </w:r>
            <w:r>
              <w:rPr>
                <w:rFonts w:hint="eastAsia" w:ascii="Times New Roman" w:hAnsi="Times New Roman" w:cs="Times New Roman" w:eastAsiaTheme="minorEastAsia"/>
                <w:color w:val="auto"/>
                <w:w w:val="99"/>
                <w:kern w:val="2"/>
                <w:sz w:val="21"/>
                <w:szCs w:val="21"/>
                <w:highlight w:val="none"/>
                <w:lang w:val="en-US" w:eastAsia="zh-CN"/>
              </w:rPr>
              <w:t>500</w:t>
            </w:r>
            <w:r>
              <w:rPr>
                <w:rFonts w:hint="eastAsia"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rPr>
              <w:t>的矩形区域的包络范围及新建管线沿线两侧外扩200m范围的区域</w:t>
            </w:r>
          </w:p>
        </w:tc>
      </w:tr>
    </w:tbl>
    <w:p w14:paraId="17A17DB4">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397" w:name="_Toc6827"/>
      <w:r>
        <w:rPr>
          <w:rFonts w:ascii="Times New Roman" w:hAnsi="Times New Roman" w:eastAsia="宋体"/>
          <w:b/>
          <w:snapToGrid w:val="0"/>
          <w:color w:val="auto"/>
          <w:w w:val="99"/>
          <w:highlight w:val="none"/>
        </w:rPr>
        <w:t>2.8环境保护目标</w:t>
      </w:r>
      <w:bookmarkEnd w:id="397"/>
    </w:p>
    <w:p w14:paraId="2383101D">
      <w:pPr>
        <w:widowControl w:val="0"/>
        <w:spacing w:line="440" w:lineRule="exact"/>
        <w:ind w:firstLine="474" w:firstLineChars="200"/>
        <w:jc w:val="both"/>
        <w:rPr>
          <w:rFonts w:hint="eastAsia" w:ascii="Times New Roman" w:hAnsi="Times New Roman" w:cs="Times New Roman"/>
          <w:color w:val="auto"/>
          <w:w w:val="99"/>
          <w:highlight w:val="none"/>
        </w:rPr>
      </w:pPr>
      <w:bookmarkStart w:id="398" w:name="_Toc11047822"/>
      <w:r>
        <w:rPr>
          <w:rFonts w:hint="eastAsia" w:ascii="Times New Roman" w:hAnsi="Times New Roman" w:cs="Times New Roman"/>
          <w:color w:val="auto"/>
          <w:w w:val="99"/>
          <w:highlight w:val="none"/>
        </w:rPr>
        <w:t>本项目位于</w:t>
      </w:r>
      <w:r>
        <w:rPr>
          <w:rFonts w:hint="eastAsia" w:ascii="Times New Roman" w:hAnsi="Times New Roman" w:cs="Times New Roman"/>
          <w:color w:val="auto"/>
          <w:w w:val="99"/>
          <w:highlight w:val="none"/>
          <w:lang w:val="en-US" w:eastAsia="zh-CN"/>
        </w:rPr>
        <w:t>绥化市肇东</w:t>
      </w:r>
      <w:r>
        <w:rPr>
          <w:rFonts w:hint="eastAsia" w:ascii="Times New Roman" w:hAnsi="Times New Roman" w:cs="Times New Roman"/>
          <w:color w:val="auto"/>
          <w:w w:val="99"/>
          <w:highlight w:val="none"/>
          <w:lang w:eastAsia="zh-CN"/>
        </w:rPr>
        <w:t>市境内</w:t>
      </w:r>
      <w:r>
        <w:rPr>
          <w:rFonts w:hint="eastAsia" w:ascii="Times New Roman" w:hAnsi="Times New Roman" w:cs="Times New Roman"/>
          <w:color w:val="auto"/>
          <w:w w:val="99"/>
          <w:highlight w:val="none"/>
        </w:rPr>
        <w:t>，根据调查，本项目不涉及国家公园、自然保护区、风景名胜区、世界文化和自然遗产地、海洋特别保护区、基本农田、基本草原、自然公园、重要湿地、天然林、重点保护野生动物栖息地、重点保护野生植物生长繁殖地、重要水生生物的自然产卵场、索饵场、越冬场和洄游通道、天然渔场、水土流失重点预防区、沙化土地封禁保护区、封闭及半封闭海域、以及以居住、医疗卫生、文化教育、科研、行政办公为主要功能的区域、文物保护单位等环境敏感区。</w:t>
      </w:r>
    </w:p>
    <w:p w14:paraId="15CBE76D">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项目主要大气环境保护目标见表2.</w:t>
      </w:r>
      <w:r>
        <w:rPr>
          <w:rFonts w:hint="eastAsia" w:ascii="Times New Roman" w:hAnsi="Times New Roman" w:cs="Times New Roman"/>
          <w:color w:val="auto"/>
          <w:w w:val="99"/>
          <w:highlight w:val="none"/>
          <w:lang w:val="en-US" w:eastAsia="zh-CN"/>
        </w:rPr>
        <w:t>8</w:t>
      </w:r>
      <w:r>
        <w:rPr>
          <w:rFonts w:hint="eastAsia" w:ascii="Times New Roman" w:hAnsi="Times New Roman" w:cs="Times New Roman"/>
          <w:color w:val="auto"/>
          <w:w w:val="99"/>
          <w:highlight w:val="none"/>
        </w:rPr>
        <w:t>-1，</w:t>
      </w:r>
      <w:r>
        <w:rPr>
          <w:rFonts w:hint="eastAsia" w:ascii="Times New Roman" w:hAnsi="Times New Roman" w:cs="Times New Roman"/>
          <w:color w:val="auto"/>
          <w:w w:val="99"/>
          <w:highlight w:val="none"/>
          <w:lang w:val="en-US" w:eastAsia="zh-CN"/>
        </w:rPr>
        <w:t>声环境</w:t>
      </w:r>
      <w:r>
        <w:rPr>
          <w:rFonts w:hint="eastAsia" w:ascii="Times New Roman" w:hAnsi="Times New Roman" w:cs="Times New Roman"/>
          <w:color w:val="auto"/>
          <w:w w:val="99"/>
          <w:highlight w:val="none"/>
        </w:rPr>
        <w:t>保护目标见表2.</w:t>
      </w:r>
      <w:r>
        <w:rPr>
          <w:rFonts w:hint="eastAsia" w:ascii="Times New Roman" w:hAnsi="Times New Roman" w:cs="Times New Roman"/>
          <w:color w:val="auto"/>
          <w:w w:val="99"/>
          <w:highlight w:val="none"/>
          <w:lang w:val="en-US" w:eastAsia="zh-CN"/>
        </w:rPr>
        <w:t>8</w:t>
      </w:r>
      <w:r>
        <w:rPr>
          <w:rFonts w:hint="eastAsia" w:ascii="Times New Roman" w:hAnsi="Times New Roman" w:cs="Times New Roman"/>
          <w:color w:val="auto"/>
          <w:w w:val="99"/>
          <w:highlight w:val="none"/>
        </w:rPr>
        <w:t>-2，地下水环境主要保护目标见表2.</w:t>
      </w:r>
      <w:r>
        <w:rPr>
          <w:rFonts w:hint="eastAsia" w:ascii="Times New Roman" w:hAnsi="Times New Roman" w:cs="Times New Roman"/>
          <w:color w:val="auto"/>
          <w:w w:val="99"/>
          <w:highlight w:val="none"/>
          <w:lang w:val="en-US" w:eastAsia="zh-CN"/>
        </w:rPr>
        <w:t>8</w:t>
      </w:r>
      <w:r>
        <w:rPr>
          <w:rFonts w:hint="eastAsia" w:ascii="Times New Roman" w:hAnsi="Times New Roman" w:cs="Times New Roman"/>
          <w:color w:val="auto"/>
          <w:w w:val="99"/>
          <w:highlight w:val="none"/>
        </w:rPr>
        <w:t>-3，其他环境因素保护目标</w:t>
      </w:r>
      <w:r>
        <w:rPr>
          <w:rFonts w:hint="eastAsia" w:ascii="Times New Roman" w:hAnsi="Times New Roman" w:cs="Times New Roman"/>
          <w:color w:val="auto"/>
          <w:w w:val="99"/>
          <w:highlight w:val="none"/>
          <w:lang w:val="en-US" w:eastAsia="zh-CN"/>
        </w:rPr>
        <w:t>见表2.8-4，</w:t>
      </w:r>
      <w:r>
        <w:rPr>
          <w:rFonts w:hint="eastAsia" w:ascii="Times New Roman" w:hAnsi="Times New Roman" w:cs="Times New Roman"/>
          <w:color w:val="auto"/>
          <w:w w:val="99"/>
          <w:highlight w:val="none"/>
        </w:rPr>
        <w:t>主要环境保护目标分布图见附图</w:t>
      </w:r>
      <w:r>
        <w:rPr>
          <w:rFonts w:hint="eastAsia" w:ascii="Times New Roman" w:hAnsi="Times New Roman" w:cs="Times New Roman"/>
          <w:color w:val="auto"/>
          <w:w w:val="99"/>
          <w:highlight w:val="none"/>
          <w:lang w:val="en-US" w:eastAsia="zh-CN"/>
        </w:rPr>
        <w:t>6</w:t>
      </w:r>
      <w:r>
        <w:rPr>
          <w:rFonts w:hint="eastAsia" w:ascii="Times New Roman" w:hAnsi="Times New Roman" w:cs="Times New Roman"/>
          <w:color w:val="auto"/>
          <w:w w:val="99"/>
          <w:highlight w:val="none"/>
        </w:rPr>
        <w:t>。</w:t>
      </w:r>
    </w:p>
    <w:bookmarkEnd w:id="398"/>
    <w:p w14:paraId="2052AD0F">
      <w:pPr>
        <w:widowControl w:val="0"/>
        <w:tabs>
          <w:tab w:val="left" w:pos="5262"/>
        </w:tabs>
        <w:spacing w:line="440" w:lineRule="exact"/>
        <w:ind w:firstLine="490" w:firstLineChars="200"/>
        <w:jc w:val="both"/>
        <w:rPr>
          <w:rFonts w:ascii="Times New Roman" w:hAnsi="Times New Roman" w:eastAsia="宋体" w:cs="Times New Roman"/>
          <w:color w:val="auto"/>
          <w:spacing w:val="4"/>
          <w:w w:val="99"/>
          <w:kern w:val="2"/>
          <w:position w:val="2"/>
          <w:sz w:val="24"/>
          <w:szCs w:val="24"/>
          <w:highlight w:val="none"/>
          <w:lang w:val="en-US" w:eastAsia="zh-CN" w:bidi="ar-SA"/>
        </w:rPr>
      </w:pPr>
      <w:r>
        <w:rPr>
          <w:rFonts w:ascii="Times New Roman" w:hAnsi="Times New Roman" w:eastAsia="宋体" w:cs="Times New Roman"/>
          <w:color w:val="auto"/>
          <w:spacing w:val="4"/>
          <w:w w:val="99"/>
          <w:kern w:val="2"/>
          <w:position w:val="2"/>
          <w:sz w:val="24"/>
          <w:szCs w:val="24"/>
          <w:highlight w:val="none"/>
          <w:lang w:val="en-US" w:eastAsia="zh-CN" w:bidi="ar-SA"/>
        </w:rPr>
        <w:t>项目主要环境保护目标见表2.8-1</w:t>
      </w:r>
      <w:r>
        <w:rPr>
          <w:rFonts w:hint="eastAsia" w:ascii="Times New Roman" w:hAnsi="Times New Roman" w:cs="Times New Roman"/>
          <w:color w:val="auto"/>
          <w:spacing w:val="4"/>
          <w:w w:val="99"/>
          <w:kern w:val="2"/>
          <w:position w:val="2"/>
          <w:sz w:val="24"/>
          <w:szCs w:val="24"/>
          <w:highlight w:val="none"/>
          <w:lang w:val="en-US" w:eastAsia="zh-CN" w:bidi="ar-SA"/>
        </w:rPr>
        <w:t>~2.8-5</w:t>
      </w:r>
      <w:r>
        <w:rPr>
          <w:rFonts w:ascii="Times New Roman" w:hAnsi="Times New Roman" w:eastAsia="宋体" w:cs="Times New Roman"/>
          <w:color w:val="auto"/>
          <w:spacing w:val="4"/>
          <w:w w:val="99"/>
          <w:kern w:val="2"/>
          <w:position w:val="2"/>
          <w:sz w:val="24"/>
          <w:szCs w:val="24"/>
          <w:highlight w:val="none"/>
          <w:lang w:val="en-US" w:eastAsia="zh-CN" w:bidi="ar-SA"/>
        </w:rPr>
        <w:t>，主要环境保护目标分布图见附图</w:t>
      </w:r>
      <w:r>
        <w:rPr>
          <w:rFonts w:hint="eastAsia" w:ascii="Times New Roman" w:hAnsi="Times New Roman" w:eastAsia="宋体" w:cs="Times New Roman"/>
          <w:color w:val="auto"/>
          <w:spacing w:val="4"/>
          <w:w w:val="99"/>
          <w:kern w:val="2"/>
          <w:position w:val="2"/>
          <w:sz w:val="24"/>
          <w:szCs w:val="24"/>
          <w:highlight w:val="none"/>
          <w:lang w:val="en-US" w:eastAsia="zh-CN" w:bidi="ar-SA"/>
        </w:rPr>
        <w:t>6</w:t>
      </w:r>
      <w:r>
        <w:rPr>
          <w:rFonts w:ascii="Times New Roman" w:hAnsi="Times New Roman" w:eastAsia="宋体" w:cs="Times New Roman"/>
          <w:color w:val="auto"/>
          <w:spacing w:val="4"/>
          <w:w w:val="99"/>
          <w:kern w:val="2"/>
          <w:position w:val="2"/>
          <w:sz w:val="24"/>
          <w:szCs w:val="24"/>
          <w:highlight w:val="none"/>
          <w:lang w:val="en-US" w:eastAsia="zh-CN" w:bidi="ar-SA"/>
        </w:rPr>
        <w:t>。</w:t>
      </w:r>
    </w:p>
    <w:p w14:paraId="64E17EBA">
      <w:pPr>
        <w:widowControl w:val="0"/>
        <w:adjustRightInd w:val="0"/>
        <w:snapToGrid w:val="0"/>
        <w:spacing w:line="440" w:lineRule="exact"/>
        <w:ind w:firstLine="476" w:firstLineChars="200"/>
        <w:jc w:val="both"/>
        <w:rPr>
          <w:rFonts w:ascii="Times New Roman" w:hAnsi="Times New Roman" w:cs="Times New Roman"/>
          <w:b/>
          <w:color w:val="auto"/>
          <w:w w:val="99"/>
          <w:kern w:val="2"/>
          <w:highlight w:val="none"/>
        </w:rPr>
      </w:pPr>
      <w:r>
        <w:rPr>
          <w:rFonts w:ascii="Times New Roman" w:hAnsi="Times New Roman" w:cs="Times New Roman"/>
          <w:b/>
          <w:color w:val="auto"/>
          <w:w w:val="99"/>
          <w:kern w:val="21"/>
          <w:highlight w:val="none"/>
        </w:rPr>
        <w:t>表2.8-1</w:t>
      </w:r>
      <w:r>
        <w:rPr>
          <w:rFonts w:ascii="Times New Roman" w:hAnsi="Times New Roman" w:cs="Times New Roman"/>
          <w:b/>
          <w:color w:val="auto"/>
          <w:w w:val="99"/>
          <w:kern w:val="2"/>
          <w:highlight w:val="none"/>
        </w:rPr>
        <w:t xml:space="preserve">  大气主要环境保护目标表</w:t>
      </w: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1155"/>
        <w:gridCol w:w="1244"/>
        <w:gridCol w:w="693"/>
        <w:gridCol w:w="1714"/>
        <w:gridCol w:w="841"/>
        <w:gridCol w:w="2301"/>
      </w:tblGrid>
      <w:tr w14:paraId="07FE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vMerge w:val="restart"/>
            <w:tcBorders>
              <w:tl2br w:val="nil"/>
              <w:tr2bl w:val="nil"/>
            </w:tcBorders>
            <w:vAlign w:val="center"/>
          </w:tcPr>
          <w:p w14:paraId="7C2E5E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名称</w:t>
            </w:r>
          </w:p>
        </w:tc>
        <w:tc>
          <w:tcPr>
            <w:tcW w:w="1292" w:type="pct"/>
            <w:gridSpan w:val="2"/>
            <w:tcBorders>
              <w:tl2br w:val="nil"/>
              <w:tr2bl w:val="nil"/>
            </w:tcBorders>
            <w:vAlign w:val="center"/>
          </w:tcPr>
          <w:p w14:paraId="01591F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坐标</w:t>
            </w:r>
          </w:p>
        </w:tc>
        <w:tc>
          <w:tcPr>
            <w:tcW w:w="373" w:type="pct"/>
            <w:vMerge w:val="restart"/>
            <w:tcBorders>
              <w:tl2br w:val="nil"/>
              <w:tr2bl w:val="nil"/>
            </w:tcBorders>
            <w:vAlign w:val="center"/>
          </w:tcPr>
          <w:p w14:paraId="0DB0F5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保护对象</w:t>
            </w:r>
          </w:p>
        </w:tc>
        <w:tc>
          <w:tcPr>
            <w:tcW w:w="923" w:type="pct"/>
            <w:vMerge w:val="restart"/>
            <w:tcBorders>
              <w:tl2br w:val="nil"/>
              <w:tr2bl w:val="nil"/>
            </w:tcBorders>
            <w:vAlign w:val="center"/>
          </w:tcPr>
          <w:p w14:paraId="34202D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保护</w:t>
            </w:r>
          </w:p>
          <w:p w14:paraId="69E477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内容</w:t>
            </w:r>
          </w:p>
        </w:tc>
        <w:tc>
          <w:tcPr>
            <w:tcW w:w="453" w:type="pct"/>
            <w:vMerge w:val="restart"/>
            <w:tcBorders>
              <w:tl2br w:val="nil"/>
              <w:tr2bl w:val="nil"/>
            </w:tcBorders>
            <w:vAlign w:val="center"/>
          </w:tcPr>
          <w:p w14:paraId="535963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环境功能区</w:t>
            </w:r>
          </w:p>
        </w:tc>
        <w:tc>
          <w:tcPr>
            <w:tcW w:w="1239" w:type="pct"/>
            <w:vMerge w:val="restart"/>
            <w:tcBorders>
              <w:tl2br w:val="nil"/>
              <w:tr2bl w:val="nil"/>
            </w:tcBorders>
            <w:vAlign w:val="center"/>
          </w:tcPr>
          <w:p w14:paraId="78CCAF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相对方位及距离</w:t>
            </w:r>
          </w:p>
        </w:tc>
      </w:tr>
      <w:tr w14:paraId="2362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vMerge w:val="continue"/>
            <w:tcBorders>
              <w:tl2br w:val="nil"/>
              <w:tr2bl w:val="nil"/>
            </w:tcBorders>
            <w:vAlign w:val="center"/>
          </w:tcPr>
          <w:p w14:paraId="653233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color w:val="auto"/>
                <w:w w:val="99"/>
                <w:sz w:val="21"/>
                <w:szCs w:val="21"/>
                <w:highlight w:val="none"/>
              </w:rPr>
            </w:pPr>
          </w:p>
        </w:tc>
        <w:tc>
          <w:tcPr>
            <w:tcW w:w="622" w:type="pct"/>
            <w:tcBorders>
              <w:tl2br w:val="nil"/>
              <w:tr2bl w:val="nil"/>
            </w:tcBorders>
            <w:vAlign w:val="center"/>
          </w:tcPr>
          <w:p w14:paraId="671DB5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经度</w:t>
            </w:r>
          </w:p>
        </w:tc>
        <w:tc>
          <w:tcPr>
            <w:tcW w:w="670" w:type="pct"/>
            <w:tcBorders>
              <w:tl2br w:val="nil"/>
              <w:tr2bl w:val="nil"/>
            </w:tcBorders>
            <w:vAlign w:val="center"/>
          </w:tcPr>
          <w:p w14:paraId="00E597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纬度</w:t>
            </w:r>
          </w:p>
        </w:tc>
        <w:tc>
          <w:tcPr>
            <w:tcW w:w="373" w:type="pct"/>
            <w:vMerge w:val="continue"/>
            <w:tcBorders>
              <w:tl2br w:val="nil"/>
              <w:tr2bl w:val="nil"/>
            </w:tcBorders>
            <w:vAlign w:val="center"/>
          </w:tcPr>
          <w:p w14:paraId="11D4AD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color w:val="auto"/>
                <w:w w:val="99"/>
                <w:sz w:val="21"/>
                <w:szCs w:val="21"/>
                <w:highlight w:val="none"/>
              </w:rPr>
            </w:pPr>
          </w:p>
        </w:tc>
        <w:tc>
          <w:tcPr>
            <w:tcW w:w="923" w:type="pct"/>
            <w:vMerge w:val="continue"/>
            <w:tcBorders>
              <w:tl2br w:val="nil"/>
              <w:tr2bl w:val="nil"/>
            </w:tcBorders>
            <w:vAlign w:val="center"/>
          </w:tcPr>
          <w:p w14:paraId="61F81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color w:val="auto"/>
                <w:w w:val="99"/>
                <w:sz w:val="21"/>
                <w:szCs w:val="21"/>
                <w:highlight w:val="none"/>
              </w:rPr>
            </w:pPr>
          </w:p>
        </w:tc>
        <w:tc>
          <w:tcPr>
            <w:tcW w:w="453" w:type="pct"/>
            <w:vMerge w:val="continue"/>
            <w:tcBorders>
              <w:tl2br w:val="nil"/>
              <w:tr2bl w:val="nil"/>
            </w:tcBorders>
            <w:vAlign w:val="center"/>
          </w:tcPr>
          <w:p w14:paraId="14BB9F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color w:val="auto"/>
                <w:w w:val="99"/>
                <w:sz w:val="21"/>
                <w:szCs w:val="21"/>
                <w:highlight w:val="none"/>
              </w:rPr>
            </w:pPr>
          </w:p>
        </w:tc>
        <w:tc>
          <w:tcPr>
            <w:tcW w:w="1239" w:type="pct"/>
            <w:vMerge w:val="continue"/>
            <w:tcBorders>
              <w:tl2br w:val="nil"/>
              <w:tr2bl w:val="nil"/>
            </w:tcBorders>
            <w:vAlign w:val="center"/>
          </w:tcPr>
          <w:p w14:paraId="16C627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color w:val="auto"/>
                <w:w w:val="99"/>
                <w:sz w:val="21"/>
                <w:szCs w:val="21"/>
                <w:highlight w:val="none"/>
              </w:rPr>
            </w:pPr>
          </w:p>
        </w:tc>
      </w:tr>
      <w:tr w14:paraId="08CD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tcBorders>
              <w:tl2br w:val="nil"/>
              <w:tr2bl w:val="nil"/>
            </w:tcBorders>
            <w:shd w:val="clear" w:color="auto" w:fill="auto"/>
            <w:vAlign w:val="center"/>
          </w:tcPr>
          <w:p w14:paraId="7D833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王家围子</w:t>
            </w:r>
            <w:r>
              <w:rPr>
                <w:rFonts w:hint="eastAsia" w:ascii="Times New Roman" w:hAnsi="Times New Roman" w:eastAsia="宋体" w:cs="Times New Roman"/>
                <w:color w:val="auto"/>
                <w:w w:val="99"/>
                <w:sz w:val="21"/>
                <w:szCs w:val="21"/>
                <w:highlight w:val="none"/>
                <w:lang w:val="en-US" w:eastAsia="zh-CN"/>
              </w:rPr>
              <w:t>屯</w:t>
            </w:r>
          </w:p>
        </w:tc>
        <w:tc>
          <w:tcPr>
            <w:tcW w:w="622" w:type="pct"/>
            <w:tcBorders>
              <w:tl2br w:val="nil"/>
              <w:tr2bl w:val="nil"/>
            </w:tcBorders>
            <w:shd w:val="clear" w:color="auto" w:fill="auto"/>
            <w:vAlign w:val="center"/>
          </w:tcPr>
          <w:p w14:paraId="72091A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lang w:val="en-US" w:eastAsia="zh-CN"/>
              </w:rPr>
              <w:t>125.51827</w:t>
            </w:r>
          </w:p>
        </w:tc>
        <w:tc>
          <w:tcPr>
            <w:tcW w:w="670" w:type="pct"/>
            <w:tcBorders>
              <w:tl2br w:val="nil"/>
              <w:tr2bl w:val="nil"/>
            </w:tcBorders>
            <w:shd w:val="clear" w:color="auto" w:fill="auto"/>
            <w:vAlign w:val="center"/>
          </w:tcPr>
          <w:p w14:paraId="739D40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zh-CN"/>
              </w:rPr>
              <w:t>45.90671</w:t>
            </w:r>
          </w:p>
        </w:tc>
        <w:tc>
          <w:tcPr>
            <w:tcW w:w="373" w:type="pct"/>
            <w:tcBorders>
              <w:tl2br w:val="nil"/>
              <w:tr2bl w:val="nil"/>
            </w:tcBorders>
            <w:vAlign w:val="center"/>
          </w:tcPr>
          <w:p w14:paraId="5F2382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tcBorders>
              <w:tl2br w:val="nil"/>
              <w:tr2bl w:val="nil"/>
            </w:tcBorders>
            <w:vAlign w:val="center"/>
          </w:tcPr>
          <w:p w14:paraId="4E1F3E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居民约</w:t>
            </w:r>
            <w:r>
              <w:rPr>
                <w:rFonts w:hint="eastAsia" w:ascii="Times New Roman" w:hAnsi="Times New Roman" w:eastAsia="宋体" w:cs="Times New Roman"/>
                <w:color w:val="auto"/>
                <w:w w:val="99"/>
                <w:sz w:val="21"/>
                <w:szCs w:val="21"/>
                <w:highlight w:val="none"/>
                <w:lang w:val="en-US" w:eastAsia="zh-CN"/>
              </w:rPr>
              <w:t>3</w:t>
            </w:r>
            <w:r>
              <w:rPr>
                <w:rFonts w:hint="default" w:ascii="Times New Roman" w:hAnsi="Times New Roman" w:eastAsia="宋体" w:cs="Times New Roman"/>
                <w:color w:val="auto"/>
                <w:w w:val="99"/>
                <w:sz w:val="21"/>
                <w:szCs w:val="21"/>
                <w:highlight w:val="none"/>
              </w:rPr>
              <w:t>00人</w:t>
            </w:r>
          </w:p>
        </w:tc>
        <w:tc>
          <w:tcPr>
            <w:tcW w:w="453" w:type="pct"/>
            <w:tcBorders>
              <w:tl2br w:val="nil"/>
              <w:tr2bl w:val="nil"/>
            </w:tcBorders>
            <w:vAlign w:val="center"/>
          </w:tcPr>
          <w:p w14:paraId="226148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0C36C8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NE</w:t>
            </w:r>
            <w:r>
              <w:rPr>
                <w:rFonts w:hint="eastAsia" w:ascii="Times New Roman" w:hAnsi="Times New Roman" w:eastAsia="宋体" w:cs="Times New Roman"/>
                <w:color w:val="auto"/>
                <w:w w:val="99"/>
                <w:sz w:val="21"/>
                <w:szCs w:val="21"/>
                <w:highlight w:val="none"/>
                <w:lang w:val="en-US" w:eastAsia="zh-CN"/>
              </w:rPr>
              <w:t>1500m</w:t>
            </w:r>
          </w:p>
        </w:tc>
      </w:tr>
      <w:tr w14:paraId="592C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tcBorders>
              <w:tl2br w:val="nil"/>
              <w:tr2bl w:val="nil"/>
            </w:tcBorders>
            <w:shd w:val="clear" w:color="auto" w:fill="auto"/>
            <w:vAlign w:val="center"/>
          </w:tcPr>
          <w:p w14:paraId="7435A3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东双山</w:t>
            </w:r>
            <w:r>
              <w:rPr>
                <w:rFonts w:hint="eastAsia" w:ascii="Times New Roman" w:hAnsi="Times New Roman" w:eastAsia="宋体" w:cs="Times New Roman"/>
                <w:color w:val="auto"/>
                <w:w w:val="99"/>
                <w:sz w:val="21"/>
                <w:szCs w:val="21"/>
                <w:highlight w:val="none"/>
                <w:lang w:val="en-US" w:eastAsia="zh-CN"/>
              </w:rPr>
              <w:t>屯</w:t>
            </w:r>
          </w:p>
        </w:tc>
        <w:tc>
          <w:tcPr>
            <w:tcW w:w="622" w:type="pct"/>
            <w:tcBorders>
              <w:tl2br w:val="nil"/>
              <w:tr2bl w:val="nil"/>
            </w:tcBorders>
            <w:shd w:val="clear" w:color="auto" w:fill="auto"/>
            <w:vAlign w:val="center"/>
          </w:tcPr>
          <w:p w14:paraId="7D55BD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125.49022</w:t>
            </w:r>
          </w:p>
        </w:tc>
        <w:tc>
          <w:tcPr>
            <w:tcW w:w="670" w:type="pct"/>
            <w:tcBorders>
              <w:tl2br w:val="nil"/>
              <w:tr2bl w:val="nil"/>
            </w:tcBorders>
            <w:shd w:val="clear" w:color="auto" w:fill="auto"/>
            <w:vAlign w:val="center"/>
          </w:tcPr>
          <w:p w14:paraId="27BF35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45.91260</w:t>
            </w:r>
          </w:p>
        </w:tc>
        <w:tc>
          <w:tcPr>
            <w:tcW w:w="373" w:type="pct"/>
            <w:tcBorders>
              <w:tl2br w:val="nil"/>
              <w:tr2bl w:val="nil"/>
            </w:tcBorders>
            <w:vAlign w:val="center"/>
          </w:tcPr>
          <w:p w14:paraId="11AB03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tcBorders>
              <w:tl2br w:val="nil"/>
              <w:tr2bl w:val="nil"/>
            </w:tcBorders>
            <w:vAlign w:val="center"/>
          </w:tcPr>
          <w:p w14:paraId="463279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居民约</w:t>
            </w:r>
            <w:r>
              <w:rPr>
                <w:rFonts w:hint="eastAsia" w:ascii="Times New Roman" w:hAnsi="Times New Roman" w:eastAsia="宋体" w:cs="Times New Roman"/>
                <w:color w:val="auto"/>
                <w:w w:val="99"/>
                <w:sz w:val="21"/>
                <w:szCs w:val="21"/>
                <w:highlight w:val="none"/>
                <w:lang w:val="en-US" w:eastAsia="zh-CN"/>
              </w:rPr>
              <w:t>3</w:t>
            </w:r>
            <w:r>
              <w:rPr>
                <w:rFonts w:hint="default" w:ascii="Times New Roman" w:hAnsi="Times New Roman" w:eastAsia="宋体" w:cs="Times New Roman"/>
                <w:color w:val="auto"/>
                <w:w w:val="99"/>
                <w:sz w:val="21"/>
                <w:szCs w:val="21"/>
                <w:highlight w:val="none"/>
              </w:rPr>
              <w:t>7</w:t>
            </w:r>
            <w:r>
              <w:rPr>
                <w:rFonts w:hint="eastAsia" w:ascii="Times New Roman" w:hAnsi="Times New Roman" w:eastAsia="宋体" w:cs="Times New Roman"/>
                <w:color w:val="auto"/>
                <w:w w:val="99"/>
                <w:sz w:val="21"/>
                <w:szCs w:val="21"/>
                <w:highlight w:val="none"/>
                <w:lang w:val="en-US" w:eastAsia="zh-CN"/>
              </w:rPr>
              <w:t>0</w:t>
            </w:r>
            <w:r>
              <w:rPr>
                <w:rFonts w:hint="default" w:ascii="Times New Roman" w:hAnsi="Times New Roman" w:eastAsia="宋体" w:cs="Times New Roman"/>
                <w:color w:val="auto"/>
                <w:w w:val="99"/>
                <w:sz w:val="21"/>
                <w:szCs w:val="21"/>
                <w:highlight w:val="none"/>
              </w:rPr>
              <w:t>人</w:t>
            </w:r>
          </w:p>
        </w:tc>
        <w:tc>
          <w:tcPr>
            <w:tcW w:w="453" w:type="pct"/>
            <w:tcBorders>
              <w:tl2br w:val="nil"/>
              <w:tr2bl w:val="nil"/>
            </w:tcBorders>
            <w:vAlign w:val="center"/>
          </w:tcPr>
          <w:p w14:paraId="329F0D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39146E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w:t>
            </w:r>
            <w:r>
              <w:rPr>
                <w:rFonts w:hint="eastAsia" w:ascii="Times New Roman" w:hAnsi="Times New Roman" w:cs="Times New Roman"/>
                <w:color w:val="auto"/>
                <w:w w:val="99"/>
                <w:sz w:val="21"/>
                <w:szCs w:val="21"/>
                <w:highlight w:val="none"/>
                <w:lang w:val="en-US" w:eastAsia="zh-CN"/>
              </w:rPr>
              <w:t>1</w:t>
            </w:r>
            <w:r>
              <w:rPr>
                <w:rFonts w:hint="default" w:ascii="Times New Roman" w:hAnsi="Times New Roman" w:eastAsia="宋体" w:cs="Times New Roman"/>
                <w:color w:val="auto"/>
                <w:w w:val="99"/>
                <w:sz w:val="21"/>
                <w:szCs w:val="21"/>
                <w:highlight w:val="none"/>
                <w:lang w:val="en-US" w:eastAsia="zh-CN"/>
              </w:rPr>
              <w:t>井</w:t>
            </w:r>
            <w:r>
              <w:rPr>
                <w:rFonts w:hint="eastAsia" w:ascii="Times New Roman" w:hAnsi="Times New Roman" w:cs="Times New Roman"/>
                <w:color w:val="auto"/>
                <w:w w:val="99"/>
                <w:sz w:val="21"/>
                <w:szCs w:val="21"/>
                <w:highlight w:val="none"/>
                <w:lang w:val="en-US" w:eastAsia="zh-CN"/>
              </w:rPr>
              <w:t>NW</w:t>
            </w:r>
            <w:r>
              <w:rPr>
                <w:rFonts w:hint="eastAsia" w:ascii="Times New Roman" w:hAnsi="Times New Roman" w:eastAsia="宋体" w:cs="Times New Roman"/>
                <w:color w:val="auto"/>
                <w:w w:val="99"/>
                <w:sz w:val="21"/>
                <w:szCs w:val="21"/>
                <w:highlight w:val="none"/>
                <w:lang w:val="en-US" w:eastAsia="zh-CN"/>
              </w:rPr>
              <w:t>2450m</w:t>
            </w:r>
          </w:p>
        </w:tc>
      </w:tr>
      <w:tr w14:paraId="7049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tcBorders>
              <w:tl2br w:val="nil"/>
              <w:tr2bl w:val="nil"/>
            </w:tcBorders>
            <w:shd w:val="clear" w:color="auto" w:fill="auto"/>
            <w:vAlign w:val="center"/>
          </w:tcPr>
          <w:p w14:paraId="6760ED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西双山屯</w:t>
            </w:r>
          </w:p>
        </w:tc>
        <w:tc>
          <w:tcPr>
            <w:tcW w:w="622" w:type="pct"/>
            <w:tcBorders>
              <w:tl2br w:val="nil"/>
              <w:tr2bl w:val="nil"/>
            </w:tcBorders>
            <w:shd w:val="clear" w:color="auto" w:fill="auto"/>
            <w:vAlign w:val="center"/>
          </w:tcPr>
          <w:p w14:paraId="677A3E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125.47852</w:t>
            </w:r>
          </w:p>
        </w:tc>
        <w:tc>
          <w:tcPr>
            <w:tcW w:w="670" w:type="pct"/>
            <w:tcBorders>
              <w:tl2br w:val="nil"/>
              <w:tr2bl w:val="nil"/>
            </w:tcBorders>
            <w:shd w:val="clear" w:color="auto" w:fill="auto"/>
            <w:vAlign w:val="center"/>
          </w:tcPr>
          <w:p w14:paraId="43ADDE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45.90828</w:t>
            </w:r>
          </w:p>
        </w:tc>
        <w:tc>
          <w:tcPr>
            <w:tcW w:w="373" w:type="pct"/>
            <w:tcBorders>
              <w:tl2br w:val="nil"/>
              <w:tr2bl w:val="nil"/>
            </w:tcBorders>
            <w:vAlign w:val="center"/>
          </w:tcPr>
          <w:p w14:paraId="7ECE52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tcBorders>
              <w:tl2br w:val="nil"/>
              <w:tr2bl w:val="nil"/>
            </w:tcBorders>
            <w:vAlign w:val="center"/>
          </w:tcPr>
          <w:p w14:paraId="769112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居民约</w:t>
            </w:r>
            <w:r>
              <w:rPr>
                <w:rFonts w:hint="eastAsia" w:ascii="Times New Roman" w:hAnsi="Times New Roman" w:eastAsia="宋体" w:cs="Times New Roman"/>
                <w:color w:val="auto"/>
                <w:w w:val="99"/>
                <w:sz w:val="21"/>
                <w:szCs w:val="21"/>
                <w:highlight w:val="none"/>
                <w:lang w:val="en-US" w:eastAsia="zh-CN"/>
              </w:rPr>
              <w:t>300</w:t>
            </w:r>
            <w:r>
              <w:rPr>
                <w:rFonts w:hint="default" w:ascii="Times New Roman" w:hAnsi="Times New Roman" w:eastAsia="宋体" w:cs="Times New Roman"/>
                <w:color w:val="auto"/>
                <w:w w:val="99"/>
                <w:sz w:val="21"/>
                <w:szCs w:val="21"/>
                <w:highlight w:val="none"/>
              </w:rPr>
              <w:t>人</w:t>
            </w:r>
          </w:p>
        </w:tc>
        <w:tc>
          <w:tcPr>
            <w:tcW w:w="453" w:type="pct"/>
            <w:tcBorders>
              <w:tl2br w:val="nil"/>
              <w:tr2bl w:val="nil"/>
            </w:tcBorders>
            <w:vAlign w:val="center"/>
          </w:tcPr>
          <w:p w14:paraId="7B33F8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38C890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NW</w:t>
            </w:r>
            <w:r>
              <w:rPr>
                <w:rFonts w:hint="eastAsia" w:ascii="Times New Roman" w:hAnsi="Times New Roman" w:eastAsia="宋体" w:cs="Times New Roman"/>
                <w:color w:val="auto"/>
                <w:w w:val="99"/>
                <w:sz w:val="21"/>
                <w:szCs w:val="21"/>
                <w:highlight w:val="none"/>
                <w:lang w:val="en-US" w:eastAsia="zh-CN"/>
              </w:rPr>
              <w:t>2500m</w:t>
            </w:r>
          </w:p>
        </w:tc>
      </w:tr>
      <w:tr w14:paraId="79D0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tcBorders>
              <w:tl2br w:val="nil"/>
              <w:tr2bl w:val="nil"/>
            </w:tcBorders>
            <w:shd w:val="clear" w:color="auto" w:fill="auto"/>
            <w:vAlign w:val="center"/>
          </w:tcPr>
          <w:p w14:paraId="53B66F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新发屯</w:t>
            </w:r>
          </w:p>
        </w:tc>
        <w:tc>
          <w:tcPr>
            <w:tcW w:w="622" w:type="pct"/>
            <w:tcBorders>
              <w:tl2br w:val="nil"/>
              <w:tr2bl w:val="nil"/>
            </w:tcBorders>
            <w:shd w:val="clear" w:color="auto" w:fill="auto"/>
            <w:vAlign w:val="center"/>
          </w:tcPr>
          <w:p w14:paraId="756384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125.47975</w:t>
            </w:r>
          </w:p>
        </w:tc>
        <w:tc>
          <w:tcPr>
            <w:tcW w:w="670" w:type="pct"/>
            <w:tcBorders>
              <w:tl2br w:val="nil"/>
              <w:tr2bl w:val="nil"/>
            </w:tcBorders>
            <w:shd w:val="clear" w:color="auto" w:fill="auto"/>
            <w:vAlign w:val="center"/>
          </w:tcPr>
          <w:p w14:paraId="049A96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45.88818</w:t>
            </w:r>
          </w:p>
        </w:tc>
        <w:tc>
          <w:tcPr>
            <w:tcW w:w="373" w:type="pct"/>
            <w:tcBorders>
              <w:tl2br w:val="nil"/>
              <w:tr2bl w:val="nil"/>
            </w:tcBorders>
            <w:vAlign w:val="center"/>
          </w:tcPr>
          <w:p w14:paraId="76831C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tcBorders>
              <w:tl2br w:val="nil"/>
              <w:tr2bl w:val="nil"/>
            </w:tcBorders>
            <w:vAlign w:val="center"/>
          </w:tcPr>
          <w:p w14:paraId="0D7571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居民约</w:t>
            </w:r>
            <w:r>
              <w:rPr>
                <w:rFonts w:hint="eastAsia" w:ascii="Times New Roman" w:hAnsi="Times New Roman" w:cs="Times New Roman"/>
                <w:color w:val="auto"/>
                <w:w w:val="99"/>
                <w:sz w:val="21"/>
                <w:szCs w:val="21"/>
                <w:highlight w:val="none"/>
                <w:lang w:val="en-US" w:eastAsia="zh-CN"/>
              </w:rPr>
              <w:t>1</w:t>
            </w:r>
            <w:r>
              <w:rPr>
                <w:rFonts w:hint="eastAsia" w:ascii="Times New Roman" w:hAnsi="Times New Roman" w:eastAsia="宋体" w:cs="Times New Roman"/>
                <w:color w:val="auto"/>
                <w:w w:val="99"/>
                <w:sz w:val="21"/>
                <w:szCs w:val="21"/>
                <w:highlight w:val="none"/>
                <w:lang w:val="en-US" w:eastAsia="zh-CN"/>
              </w:rPr>
              <w:t>50</w:t>
            </w:r>
            <w:r>
              <w:rPr>
                <w:rFonts w:hint="default" w:ascii="Times New Roman" w:hAnsi="Times New Roman" w:eastAsia="宋体" w:cs="Times New Roman"/>
                <w:color w:val="auto"/>
                <w:w w:val="99"/>
                <w:sz w:val="21"/>
                <w:szCs w:val="21"/>
                <w:highlight w:val="none"/>
              </w:rPr>
              <w:t>人</w:t>
            </w:r>
          </w:p>
        </w:tc>
        <w:tc>
          <w:tcPr>
            <w:tcW w:w="453" w:type="pct"/>
            <w:tcBorders>
              <w:tl2br w:val="nil"/>
              <w:tr2bl w:val="nil"/>
            </w:tcBorders>
            <w:vAlign w:val="center"/>
          </w:tcPr>
          <w:p w14:paraId="7753C5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0AA0A6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W</w:t>
            </w:r>
            <w:r>
              <w:rPr>
                <w:rFonts w:hint="eastAsia" w:ascii="Times New Roman" w:hAnsi="Times New Roman" w:eastAsia="宋体" w:cs="Times New Roman"/>
                <w:color w:val="auto"/>
                <w:w w:val="99"/>
                <w:sz w:val="21"/>
                <w:szCs w:val="21"/>
                <w:highlight w:val="none"/>
                <w:lang w:val="en-US" w:eastAsia="zh-CN"/>
              </w:rPr>
              <w:t>2150m</w:t>
            </w:r>
          </w:p>
        </w:tc>
      </w:tr>
      <w:tr w14:paraId="6982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tcBorders>
              <w:tl2br w:val="nil"/>
              <w:tr2bl w:val="nil"/>
            </w:tcBorders>
            <w:shd w:val="clear" w:color="auto" w:fill="auto"/>
            <w:vAlign w:val="center"/>
          </w:tcPr>
          <w:p w14:paraId="5A9A43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大太平川</w:t>
            </w:r>
            <w:r>
              <w:rPr>
                <w:rFonts w:hint="eastAsia" w:ascii="Times New Roman" w:hAnsi="Times New Roman" w:eastAsia="宋体" w:cs="Times New Roman"/>
                <w:color w:val="auto"/>
                <w:w w:val="99"/>
                <w:sz w:val="21"/>
                <w:szCs w:val="21"/>
                <w:highlight w:val="none"/>
                <w:lang w:val="en-US" w:eastAsia="zh-CN"/>
              </w:rPr>
              <w:t>屯</w:t>
            </w:r>
          </w:p>
        </w:tc>
        <w:tc>
          <w:tcPr>
            <w:tcW w:w="622" w:type="pct"/>
            <w:tcBorders>
              <w:tl2br w:val="nil"/>
              <w:tr2bl w:val="nil"/>
            </w:tcBorders>
            <w:shd w:val="clear" w:color="auto" w:fill="auto"/>
            <w:vAlign w:val="center"/>
          </w:tcPr>
          <w:p w14:paraId="7563FD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125.53798</w:t>
            </w:r>
          </w:p>
        </w:tc>
        <w:tc>
          <w:tcPr>
            <w:tcW w:w="670" w:type="pct"/>
            <w:tcBorders>
              <w:tl2br w:val="nil"/>
              <w:tr2bl w:val="nil"/>
            </w:tcBorders>
            <w:shd w:val="clear" w:color="auto" w:fill="auto"/>
            <w:vAlign w:val="center"/>
          </w:tcPr>
          <w:p w14:paraId="0F2D4E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45.90101</w:t>
            </w:r>
          </w:p>
        </w:tc>
        <w:tc>
          <w:tcPr>
            <w:tcW w:w="373" w:type="pct"/>
            <w:tcBorders>
              <w:tl2br w:val="nil"/>
              <w:tr2bl w:val="nil"/>
            </w:tcBorders>
            <w:vAlign w:val="center"/>
          </w:tcPr>
          <w:p w14:paraId="19EBD5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tcBorders>
              <w:tl2br w:val="nil"/>
              <w:tr2bl w:val="nil"/>
            </w:tcBorders>
            <w:vAlign w:val="center"/>
          </w:tcPr>
          <w:p w14:paraId="525CAE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居民约</w:t>
            </w:r>
            <w:r>
              <w:rPr>
                <w:rFonts w:hint="eastAsia" w:ascii="Times New Roman" w:hAnsi="Times New Roman" w:eastAsia="宋体" w:cs="Times New Roman"/>
                <w:color w:val="auto"/>
                <w:w w:val="99"/>
                <w:sz w:val="21"/>
                <w:szCs w:val="21"/>
                <w:highlight w:val="none"/>
                <w:lang w:val="en-US" w:eastAsia="zh-CN"/>
              </w:rPr>
              <w:t>3</w:t>
            </w:r>
            <w:r>
              <w:rPr>
                <w:rFonts w:hint="default" w:ascii="Times New Roman" w:hAnsi="Times New Roman" w:eastAsia="宋体" w:cs="Times New Roman"/>
                <w:color w:val="auto"/>
                <w:w w:val="99"/>
                <w:sz w:val="21"/>
                <w:szCs w:val="21"/>
                <w:highlight w:val="none"/>
              </w:rPr>
              <w:t>20人</w:t>
            </w:r>
          </w:p>
        </w:tc>
        <w:tc>
          <w:tcPr>
            <w:tcW w:w="453" w:type="pct"/>
            <w:tcBorders>
              <w:tl2br w:val="nil"/>
              <w:tr2bl w:val="nil"/>
            </w:tcBorders>
            <w:vAlign w:val="center"/>
          </w:tcPr>
          <w:p w14:paraId="65F41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1EB88B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NE</w:t>
            </w:r>
            <w:r>
              <w:rPr>
                <w:rFonts w:hint="eastAsia" w:ascii="Times New Roman" w:hAnsi="Times New Roman" w:eastAsia="宋体" w:cs="Times New Roman"/>
                <w:color w:val="auto"/>
                <w:w w:val="99"/>
                <w:sz w:val="21"/>
                <w:szCs w:val="21"/>
                <w:highlight w:val="none"/>
                <w:lang w:val="en-US" w:eastAsia="zh-CN"/>
              </w:rPr>
              <w:t>2150m</w:t>
            </w:r>
          </w:p>
        </w:tc>
      </w:tr>
      <w:tr w14:paraId="2BDB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17" w:type="pct"/>
            <w:vMerge w:val="restart"/>
            <w:tcBorders>
              <w:tl2br w:val="nil"/>
              <w:tr2bl w:val="nil"/>
            </w:tcBorders>
            <w:shd w:val="clear" w:color="auto" w:fill="auto"/>
            <w:vAlign w:val="center"/>
          </w:tcPr>
          <w:p w14:paraId="483A0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福龙村（</w:t>
            </w:r>
            <w:r>
              <w:rPr>
                <w:rFonts w:hint="default" w:ascii="Times New Roman" w:hAnsi="Times New Roman" w:eastAsia="宋体" w:cs="Times New Roman"/>
                <w:color w:val="auto"/>
                <w:w w:val="99"/>
                <w:sz w:val="21"/>
                <w:szCs w:val="21"/>
                <w:highlight w:val="none"/>
              </w:rPr>
              <w:t>尚家围子</w:t>
            </w:r>
            <w:r>
              <w:rPr>
                <w:rFonts w:hint="eastAsia" w:ascii="Times New Roman" w:hAnsi="Times New Roman" w:eastAsia="宋体" w:cs="Times New Roman"/>
                <w:color w:val="auto"/>
                <w:w w:val="99"/>
                <w:sz w:val="21"/>
                <w:szCs w:val="21"/>
                <w:highlight w:val="none"/>
                <w:lang w:val="en-US" w:eastAsia="zh-CN"/>
              </w:rPr>
              <w:t>屯</w:t>
            </w:r>
            <w:r>
              <w:rPr>
                <w:rFonts w:hint="eastAsia" w:ascii="Times New Roman" w:hAnsi="Times New Roman" w:cs="Times New Roman"/>
                <w:color w:val="auto"/>
                <w:w w:val="99"/>
                <w:sz w:val="21"/>
                <w:szCs w:val="21"/>
                <w:highlight w:val="none"/>
                <w:lang w:val="en-US" w:eastAsia="zh-CN"/>
              </w:rPr>
              <w:t>）</w:t>
            </w:r>
          </w:p>
        </w:tc>
        <w:tc>
          <w:tcPr>
            <w:tcW w:w="622" w:type="pct"/>
            <w:vMerge w:val="restart"/>
            <w:tcBorders>
              <w:tl2br w:val="nil"/>
              <w:tr2bl w:val="nil"/>
            </w:tcBorders>
            <w:shd w:val="clear" w:color="auto" w:fill="auto"/>
            <w:vAlign w:val="center"/>
          </w:tcPr>
          <w:p w14:paraId="0DE57D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125.50234</w:t>
            </w:r>
          </w:p>
        </w:tc>
        <w:tc>
          <w:tcPr>
            <w:tcW w:w="670" w:type="pct"/>
            <w:vMerge w:val="restart"/>
            <w:tcBorders>
              <w:tl2br w:val="nil"/>
              <w:tr2bl w:val="nil"/>
            </w:tcBorders>
            <w:shd w:val="clear" w:color="auto" w:fill="auto"/>
            <w:vAlign w:val="center"/>
          </w:tcPr>
          <w:p w14:paraId="7F5A23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45.89525</w:t>
            </w:r>
          </w:p>
        </w:tc>
        <w:tc>
          <w:tcPr>
            <w:tcW w:w="373" w:type="pct"/>
            <w:vMerge w:val="restart"/>
            <w:tcBorders>
              <w:tl2br w:val="nil"/>
              <w:tr2bl w:val="nil"/>
            </w:tcBorders>
            <w:vAlign w:val="center"/>
          </w:tcPr>
          <w:p w14:paraId="71E2D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vMerge w:val="restart"/>
            <w:tcBorders>
              <w:tl2br w:val="nil"/>
              <w:tr2bl w:val="nil"/>
            </w:tcBorders>
            <w:vAlign w:val="center"/>
          </w:tcPr>
          <w:p w14:paraId="049D6C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居民约</w:t>
            </w:r>
            <w:r>
              <w:rPr>
                <w:rFonts w:hint="eastAsia" w:ascii="Times New Roman" w:hAnsi="Times New Roman" w:eastAsia="宋体" w:cs="Times New Roman"/>
                <w:color w:val="auto"/>
                <w:w w:val="99"/>
                <w:sz w:val="21"/>
                <w:szCs w:val="21"/>
                <w:highlight w:val="none"/>
                <w:lang w:val="en-US" w:eastAsia="zh-CN"/>
              </w:rPr>
              <w:t>3</w:t>
            </w:r>
            <w:r>
              <w:rPr>
                <w:rFonts w:hint="default" w:ascii="Times New Roman" w:hAnsi="Times New Roman" w:eastAsia="宋体" w:cs="Times New Roman"/>
                <w:color w:val="auto"/>
                <w:w w:val="99"/>
                <w:sz w:val="21"/>
                <w:szCs w:val="21"/>
                <w:highlight w:val="none"/>
              </w:rPr>
              <w:t>90人</w:t>
            </w:r>
          </w:p>
        </w:tc>
        <w:tc>
          <w:tcPr>
            <w:tcW w:w="453" w:type="pct"/>
            <w:vMerge w:val="restart"/>
            <w:tcBorders>
              <w:tl2br w:val="nil"/>
              <w:tr2bl w:val="nil"/>
            </w:tcBorders>
            <w:vAlign w:val="center"/>
          </w:tcPr>
          <w:p w14:paraId="7322AA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2EB333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NW</w:t>
            </w:r>
            <w:r>
              <w:rPr>
                <w:rFonts w:hint="eastAsia" w:ascii="Times New Roman" w:hAnsi="Times New Roman" w:eastAsia="宋体" w:cs="Times New Roman"/>
                <w:color w:val="auto"/>
                <w:w w:val="99"/>
                <w:sz w:val="21"/>
                <w:szCs w:val="21"/>
                <w:highlight w:val="none"/>
                <w:lang w:val="en-US" w:eastAsia="zh-CN"/>
              </w:rPr>
              <w:t>350m</w:t>
            </w:r>
          </w:p>
        </w:tc>
      </w:tr>
      <w:tr w14:paraId="2DA7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vMerge w:val="continue"/>
            <w:tcBorders>
              <w:tl2br w:val="nil"/>
              <w:tr2bl w:val="nil"/>
            </w:tcBorders>
            <w:shd w:val="clear" w:color="auto" w:fill="auto"/>
            <w:vAlign w:val="center"/>
          </w:tcPr>
          <w:p w14:paraId="472FA3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p>
        </w:tc>
        <w:tc>
          <w:tcPr>
            <w:tcW w:w="622" w:type="pct"/>
            <w:vMerge w:val="continue"/>
            <w:tcBorders>
              <w:tl2br w:val="nil"/>
              <w:tr2bl w:val="nil"/>
            </w:tcBorders>
            <w:shd w:val="clear" w:color="auto" w:fill="auto"/>
            <w:vAlign w:val="center"/>
          </w:tcPr>
          <w:p w14:paraId="759409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p>
        </w:tc>
        <w:tc>
          <w:tcPr>
            <w:tcW w:w="670" w:type="pct"/>
            <w:vMerge w:val="continue"/>
            <w:tcBorders>
              <w:tl2br w:val="nil"/>
              <w:tr2bl w:val="nil"/>
            </w:tcBorders>
            <w:shd w:val="clear" w:color="auto" w:fill="auto"/>
            <w:vAlign w:val="center"/>
          </w:tcPr>
          <w:p w14:paraId="1E50DF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p>
        </w:tc>
        <w:tc>
          <w:tcPr>
            <w:tcW w:w="373" w:type="pct"/>
            <w:vMerge w:val="continue"/>
            <w:tcBorders>
              <w:tl2br w:val="nil"/>
              <w:tr2bl w:val="nil"/>
            </w:tcBorders>
            <w:vAlign w:val="center"/>
          </w:tcPr>
          <w:p w14:paraId="30F96E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p>
        </w:tc>
        <w:tc>
          <w:tcPr>
            <w:tcW w:w="923" w:type="pct"/>
            <w:vMerge w:val="continue"/>
            <w:tcBorders>
              <w:tl2br w:val="nil"/>
              <w:tr2bl w:val="nil"/>
            </w:tcBorders>
            <w:vAlign w:val="center"/>
          </w:tcPr>
          <w:p w14:paraId="3E9AC7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p>
        </w:tc>
        <w:tc>
          <w:tcPr>
            <w:tcW w:w="453" w:type="pct"/>
            <w:vMerge w:val="continue"/>
            <w:tcBorders>
              <w:tl2br w:val="nil"/>
              <w:tr2bl w:val="nil"/>
            </w:tcBorders>
            <w:vAlign w:val="center"/>
          </w:tcPr>
          <w:p w14:paraId="7944B8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p>
        </w:tc>
        <w:tc>
          <w:tcPr>
            <w:tcW w:w="1239" w:type="pct"/>
            <w:tcBorders>
              <w:tl2br w:val="nil"/>
              <w:tr2bl w:val="nil"/>
            </w:tcBorders>
            <w:shd w:val="clear" w:color="auto" w:fill="auto"/>
            <w:vAlign w:val="center"/>
          </w:tcPr>
          <w:p w14:paraId="290155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拟建采气管线W</w:t>
            </w:r>
            <w:r>
              <w:rPr>
                <w:rFonts w:hint="eastAsia" w:ascii="Times New Roman" w:hAnsi="Times New Roman" w:eastAsia="宋体" w:cs="Times New Roman"/>
                <w:color w:val="auto"/>
                <w:w w:val="99"/>
                <w:sz w:val="21"/>
                <w:szCs w:val="21"/>
                <w:highlight w:val="none"/>
                <w:lang w:val="en-US" w:eastAsia="zh-CN"/>
              </w:rPr>
              <w:t>1000m</w:t>
            </w:r>
          </w:p>
        </w:tc>
      </w:tr>
      <w:tr w14:paraId="2EF4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tcBorders>
              <w:tl2br w:val="nil"/>
              <w:tr2bl w:val="nil"/>
            </w:tcBorders>
            <w:shd w:val="clear" w:color="auto" w:fill="auto"/>
            <w:vAlign w:val="center"/>
          </w:tcPr>
          <w:p w14:paraId="7127E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邢家围子</w:t>
            </w:r>
            <w:r>
              <w:rPr>
                <w:rFonts w:hint="eastAsia" w:ascii="Times New Roman" w:hAnsi="Times New Roman" w:eastAsia="宋体" w:cs="Times New Roman"/>
                <w:color w:val="auto"/>
                <w:w w:val="99"/>
                <w:sz w:val="21"/>
                <w:szCs w:val="21"/>
                <w:highlight w:val="none"/>
                <w:lang w:val="en-US" w:eastAsia="zh-CN"/>
              </w:rPr>
              <w:t>屯</w:t>
            </w:r>
          </w:p>
        </w:tc>
        <w:tc>
          <w:tcPr>
            <w:tcW w:w="622" w:type="pct"/>
            <w:tcBorders>
              <w:tl2br w:val="nil"/>
              <w:tr2bl w:val="nil"/>
            </w:tcBorders>
            <w:shd w:val="clear" w:color="auto" w:fill="auto"/>
            <w:vAlign w:val="center"/>
          </w:tcPr>
          <w:p w14:paraId="6E5207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125.51407</w:t>
            </w:r>
          </w:p>
        </w:tc>
        <w:tc>
          <w:tcPr>
            <w:tcW w:w="670" w:type="pct"/>
            <w:tcBorders>
              <w:tl2br w:val="nil"/>
              <w:tr2bl w:val="nil"/>
            </w:tcBorders>
            <w:shd w:val="clear" w:color="auto" w:fill="auto"/>
            <w:vAlign w:val="center"/>
          </w:tcPr>
          <w:p w14:paraId="7E465F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45.89361</w:t>
            </w:r>
          </w:p>
        </w:tc>
        <w:tc>
          <w:tcPr>
            <w:tcW w:w="373" w:type="pct"/>
            <w:tcBorders>
              <w:tl2br w:val="nil"/>
              <w:tr2bl w:val="nil"/>
            </w:tcBorders>
            <w:vAlign w:val="center"/>
          </w:tcPr>
          <w:p w14:paraId="25155E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tcBorders>
              <w:tl2br w:val="nil"/>
              <w:tr2bl w:val="nil"/>
            </w:tcBorders>
            <w:vAlign w:val="center"/>
          </w:tcPr>
          <w:p w14:paraId="3CC10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居民约</w:t>
            </w:r>
            <w:r>
              <w:rPr>
                <w:rFonts w:hint="eastAsia" w:ascii="Times New Roman" w:hAnsi="Times New Roman" w:eastAsia="宋体" w:cs="Times New Roman"/>
                <w:color w:val="auto"/>
                <w:w w:val="99"/>
                <w:sz w:val="21"/>
                <w:szCs w:val="21"/>
                <w:highlight w:val="none"/>
                <w:lang w:val="en-US" w:eastAsia="zh-CN"/>
              </w:rPr>
              <w:t>2</w:t>
            </w:r>
            <w:r>
              <w:rPr>
                <w:rFonts w:hint="default" w:ascii="Times New Roman" w:hAnsi="Times New Roman" w:eastAsia="宋体" w:cs="Times New Roman"/>
                <w:color w:val="auto"/>
                <w:w w:val="99"/>
                <w:sz w:val="21"/>
                <w:szCs w:val="21"/>
                <w:highlight w:val="none"/>
              </w:rPr>
              <w:t>50人</w:t>
            </w:r>
          </w:p>
        </w:tc>
        <w:tc>
          <w:tcPr>
            <w:tcW w:w="453" w:type="pct"/>
            <w:tcBorders>
              <w:tl2br w:val="nil"/>
              <w:tr2bl w:val="nil"/>
            </w:tcBorders>
            <w:vAlign w:val="center"/>
          </w:tcPr>
          <w:p w14:paraId="639DAC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3C2077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E</w:t>
            </w:r>
            <w:r>
              <w:rPr>
                <w:rFonts w:hint="eastAsia" w:ascii="Times New Roman" w:hAnsi="Times New Roman" w:eastAsia="宋体" w:cs="Times New Roman"/>
                <w:color w:val="auto"/>
                <w:w w:val="99"/>
                <w:sz w:val="21"/>
                <w:szCs w:val="21"/>
                <w:highlight w:val="none"/>
                <w:lang w:val="en-US" w:eastAsia="zh-CN"/>
              </w:rPr>
              <w:t>300m</w:t>
            </w:r>
          </w:p>
        </w:tc>
      </w:tr>
      <w:tr w14:paraId="5C8F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tcBorders>
              <w:tl2br w:val="nil"/>
              <w:tr2bl w:val="nil"/>
            </w:tcBorders>
            <w:shd w:val="clear" w:color="auto" w:fill="auto"/>
            <w:vAlign w:val="center"/>
          </w:tcPr>
          <w:p w14:paraId="6D693C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后柜</w:t>
            </w:r>
            <w:r>
              <w:rPr>
                <w:rFonts w:hint="eastAsia" w:ascii="Times New Roman" w:hAnsi="Times New Roman" w:eastAsia="宋体" w:cs="Times New Roman"/>
                <w:color w:val="auto"/>
                <w:w w:val="99"/>
                <w:sz w:val="21"/>
                <w:szCs w:val="21"/>
                <w:highlight w:val="none"/>
                <w:lang w:val="en-US" w:eastAsia="zh-CN"/>
              </w:rPr>
              <w:t>屯</w:t>
            </w:r>
          </w:p>
        </w:tc>
        <w:tc>
          <w:tcPr>
            <w:tcW w:w="622" w:type="pct"/>
            <w:tcBorders>
              <w:tl2br w:val="nil"/>
              <w:tr2bl w:val="nil"/>
            </w:tcBorders>
            <w:shd w:val="clear" w:color="auto" w:fill="auto"/>
            <w:vAlign w:val="center"/>
          </w:tcPr>
          <w:p w14:paraId="0500B6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125.53247</w:t>
            </w:r>
          </w:p>
        </w:tc>
        <w:tc>
          <w:tcPr>
            <w:tcW w:w="670" w:type="pct"/>
            <w:tcBorders>
              <w:tl2br w:val="nil"/>
              <w:tr2bl w:val="nil"/>
            </w:tcBorders>
            <w:shd w:val="clear" w:color="auto" w:fill="auto"/>
            <w:vAlign w:val="center"/>
          </w:tcPr>
          <w:p w14:paraId="5DA1B1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45.88598</w:t>
            </w:r>
          </w:p>
        </w:tc>
        <w:tc>
          <w:tcPr>
            <w:tcW w:w="373" w:type="pct"/>
            <w:tcBorders>
              <w:tl2br w:val="nil"/>
              <w:tr2bl w:val="nil"/>
            </w:tcBorders>
            <w:vAlign w:val="center"/>
          </w:tcPr>
          <w:p w14:paraId="5CB177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tcBorders>
              <w:tl2br w:val="nil"/>
              <w:tr2bl w:val="nil"/>
            </w:tcBorders>
            <w:vAlign w:val="center"/>
          </w:tcPr>
          <w:p w14:paraId="43ED8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居民约1</w:t>
            </w:r>
            <w:r>
              <w:rPr>
                <w:rFonts w:hint="eastAsia" w:ascii="Times New Roman" w:hAnsi="Times New Roman" w:eastAsia="宋体" w:cs="Times New Roman"/>
                <w:color w:val="auto"/>
                <w:w w:val="99"/>
                <w:sz w:val="21"/>
                <w:szCs w:val="21"/>
                <w:highlight w:val="none"/>
                <w:lang w:val="en-US" w:eastAsia="zh-CN"/>
              </w:rPr>
              <w:t>5</w:t>
            </w:r>
            <w:r>
              <w:rPr>
                <w:rFonts w:hint="default" w:ascii="Times New Roman" w:hAnsi="Times New Roman" w:eastAsia="宋体" w:cs="Times New Roman"/>
                <w:color w:val="auto"/>
                <w:w w:val="99"/>
                <w:sz w:val="21"/>
                <w:szCs w:val="21"/>
                <w:highlight w:val="none"/>
              </w:rPr>
              <w:t>0人</w:t>
            </w:r>
          </w:p>
        </w:tc>
        <w:tc>
          <w:tcPr>
            <w:tcW w:w="453" w:type="pct"/>
            <w:tcBorders>
              <w:tl2br w:val="nil"/>
              <w:tr2bl w:val="nil"/>
            </w:tcBorders>
            <w:vAlign w:val="center"/>
          </w:tcPr>
          <w:p w14:paraId="3268A8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3123CC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SE</w:t>
            </w:r>
            <w:r>
              <w:rPr>
                <w:rFonts w:hint="eastAsia" w:ascii="Times New Roman" w:hAnsi="Times New Roman" w:eastAsia="宋体" w:cs="Times New Roman"/>
                <w:color w:val="auto"/>
                <w:w w:val="99"/>
                <w:sz w:val="21"/>
                <w:szCs w:val="21"/>
                <w:highlight w:val="none"/>
                <w:lang w:val="en-US" w:eastAsia="zh-CN"/>
              </w:rPr>
              <w:t>1850m</w:t>
            </w:r>
          </w:p>
        </w:tc>
      </w:tr>
      <w:tr w14:paraId="6232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tcBorders>
              <w:tl2br w:val="nil"/>
              <w:tr2bl w:val="nil"/>
            </w:tcBorders>
            <w:shd w:val="clear" w:color="auto" w:fill="auto"/>
            <w:vAlign w:val="center"/>
          </w:tcPr>
          <w:p w14:paraId="4DCC94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杨</w:t>
            </w:r>
            <w:r>
              <w:rPr>
                <w:rFonts w:hint="eastAsia" w:ascii="Times New Roman" w:hAnsi="Times New Roman" w:cs="Times New Roman"/>
                <w:color w:val="auto"/>
                <w:w w:val="99"/>
                <w:sz w:val="21"/>
                <w:szCs w:val="21"/>
                <w:highlight w:val="none"/>
                <w:lang w:val="en-US" w:eastAsia="zh-CN"/>
              </w:rPr>
              <w:t>家</w:t>
            </w:r>
            <w:r>
              <w:rPr>
                <w:rFonts w:hint="default" w:ascii="Times New Roman" w:hAnsi="Times New Roman" w:eastAsia="宋体" w:cs="Times New Roman"/>
                <w:color w:val="auto"/>
                <w:w w:val="99"/>
                <w:sz w:val="21"/>
                <w:szCs w:val="21"/>
                <w:highlight w:val="none"/>
              </w:rPr>
              <w:t>屯</w:t>
            </w:r>
          </w:p>
        </w:tc>
        <w:tc>
          <w:tcPr>
            <w:tcW w:w="622" w:type="pct"/>
            <w:tcBorders>
              <w:tl2br w:val="nil"/>
              <w:tr2bl w:val="nil"/>
            </w:tcBorders>
            <w:shd w:val="clear" w:color="auto" w:fill="auto"/>
            <w:vAlign w:val="center"/>
          </w:tcPr>
          <w:p w14:paraId="3523B2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125.50057</w:t>
            </w:r>
          </w:p>
        </w:tc>
        <w:tc>
          <w:tcPr>
            <w:tcW w:w="670" w:type="pct"/>
            <w:tcBorders>
              <w:tl2br w:val="nil"/>
              <w:tr2bl w:val="nil"/>
            </w:tcBorders>
            <w:shd w:val="clear" w:color="auto" w:fill="auto"/>
            <w:vAlign w:val="center"/>
          </w:tcPr>
          <w:p w14:paraId="3F57DA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45.88105</w:t>
            </w:r>
          </w:p>
        </w:tc>
        <w:tc>
          <w:tcPr>
            <w:tcW w:w="373" w:type="pct"/>
            <w:tcBorders>
              <w:tl2br w:val="nil"/>
              <w:tr2bl w:val="nil"/>
            </w:tcBorders>
            <w:vAlign w:val="center"/>
          </w:tcPr>
          <w:p w14:paraId="487129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tcBorders>
              <w:tl2br w:val="nil"/>
              <w:tr2bl w:val="nil"/>
            </w:tcBorders>
            <w:vAlign w:val="center"/>
          </w:tcPr>
          <w:p w14:paraId="39E839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居民约</w:t>
            </w:r>
            <w:r>
              <w:rPr>
                <w:rFonts w:hint="eastAsia" w:ascii="Times New Roman" w:hAnsi="Times New Roman" w:eastAsia="宋体" w:cs="Times New Roman"/>
                <w:color w:val="auto"/>
                <w:w w:val="99"/>
                <w:sz w:val="21"/>
                <w:szCs w:val="21"/>
                <w:highlight w:val="none"/>
                <w:lang w:val="en-US" w:eastAsia="zh-CN"/>
              </w:rPr>
              <w:t>10</w:t>
            </w:r>
            <w:r>
              <w:rPr>
                <w:rFonts w:hint="default" w:ascii="Times New Roman" w:hAnsi="Times New Roman" w:eastAsia="宋体" w:cs="Times New Roman"/>
                <w:color w:val="auto"/>
                <w:w w:val="99"/>
                <w:sz w:val="21"/>
                <w:szCs w:val="21"/>
                <w:highlight w:val="none"/>
              </w:rPr>
              <w:t>0人</w:t>
            </w:r>
          </w:p>
        </w:tc>
        <w:tc>
          <w:tcPr>
            <w:tcW w:w="453" w:type="pct"/>
            <w:tcBorders>
              <w:tl2br w:val="nil"/>
              <w:tr2bl w:val="nil"/>
            </w:tcBorders>
            <w:vAlign w:val="center"/>
          </w:tcPr>
          <w:p w14:paraId="3222A2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437A2E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SW</w:t>
            </w:r>
            <w:r>
              <w:rPr>
                <w:rFonts w:hint="eastAsia" w:ascii="Times New Roman" w:hAnsi="Times New Roman" w:eastAsia="宋体" w:cs="Times New Roman"/>
                <w:color w:val="auto"/>
                <w:w w:val="99"/>
                <w:sz w:val="21"/>
                <w:szCs w:val="21"/>
                <w:highlight w:val="none"/>
                <w:lang w:val="en-US" w:eastAsia="zh-CN"/>
              </w:rPr>
              <w:t>1200m</w:t>
            </w:r>
          </w:p>
        </w:tc>
      </w:tr>
      <w:tr w14:paraId="1C64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tcBorders>
              <w:tl2br w:val="nil"/>
              <w:tr2bl w:val="nil"/>
            </w:tcBorders>
            <w:shd w:val="clear" w:color="auto" w:fill="auto"/>
            <w:vAlign w:val="center"/>
          </w:tcPr>
          <w:p w14:paraId="469DAA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腰柜</w:t>
            </w:r>
            <w:r>
              <w:rPr>
                <w:rFonts w:hint="eastAsia" w:ascii="Times New Roman" w:hAnsi="Times New Roman" w:eastAsia="宋体" w:cs="Times New Roman"/>
                <w:color w:val="auto"/>
                <w:w w:val="99"/>
                <w:sz w:val="21"/>
                <w:szCs w:val="21"/>
                <w:highlight w:val="none"/>
                <w:lang w:val="en-US" w:eastAsia="zh-CN"/>
              </w:rPr>
              <w:t>屯</w:t>
            </w:r>
          </w:p>
        </w:tc>
        <w:tc>
          <w:tcPr>
            <w:tcW w:w="622" w:type="pct"/>
            <w:tcBorders>
              <w:tl2br w:val="nil"/>
              <w:tr2bl w:val="nil"/>
            </w:tcBorders>
            <w:shd w:val="clear" w:color="auto" w:fill="auto"/>
            <w:vAlign w:val="center"/>
          </w:tcPr>
          <w:p w14:paraId="3E8E31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125.53764</w:t>
            </w:r>
          </w:p>
        </w:tc>
        <w:tc>
          <w:tcPr>
            <w:tcW w:w="670" w:type="pct"/>
            <w:tcBorders>
              <w:tl2br w:val="nil"/>
              <w:tr2bl w:val="nil"/>
            </w:tcBorders>
            <w:shd w:val="clear" w:color="auto" w:fill="auto"/>
            <w:vAlign w:val="center"/>
          </w:tcPr>
          <w:p w14:paraId="29AEA5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45.88456</w:t>
            </w:r>
          </w:p>
        </w:tc>
        <w:tc>
          <w:tcPr>
            <w:tcW w:w="373" w:type="pct"/>
            <w:tcBorders>
              <w:tl2br w:val="nil"/>
              <w:tr2bl w:val="nil"/>
            </w:tcBorders>
            <w:vAlign w:val="center"/>
          </w:tcPr>
          <w:p w14:paraId="5F4859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tcBorders>
              <w:tl2br w:val="nil"/>
              <w:tr2bl w:val="nil"/>
            </w:tcBorders>
            <w:vAlign w:val="center"/>
          </w:tcPr>
          <w:p w14:paraId="05D56C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居民约1</w:t>
            </w:r>
            <w:r>
              <w:rPr>
                <w:rFonts w:hint="eastAsia" w:ascii="Times New Roman" w:hAnsi="Times New Roman" w:eastAsia="宋体" w:cs="Times New Roman"/>
                <w:color w:val="auto"/>
                <w:w w:val="99"/>
                <w:sz w:val="21"/>
                <w:szCs w:val="21"/>
                <w:highlight w:val="none"/>
                <w:lang w:val="en-US" w:eastAsia="zh-CN"/>
              </w:rPr>
              <w:t>5</w:t>
            </w:r>
            <w:r>
              <w:rPr>
                <w:rFonts w:hint="default" w:ascii="Times New Roman" w:hAnsi="Times New Roman" w:eastAsia="宋体" w:cs="Times New Roman"/>
                <w:color w:val="auto"/>
                <w:w w:val="99"/>
                <w:sz w:val="21"/>
                <w:szCs w:val="21"/>
                <w:highlight w:val="none"/>
              </w:rPr>
              <w:t>0人</w:t>
            </w:r>
          </w:p>
        </w:tc>
        <w:tc>
          <w:tcPr>
            <w:tcW w:w="453" w:type="pct"/>
            <w:tcBorders>
              <w:tl2br w:val="nil"/>
              <w:tr2bl w:val="nil"/>
            </w:tcBorders>
            <w:vAlign w:val="center"/>
          </w:tcPr>
          <w:p w14:paraId="5CE182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1E52E8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SE</w:t>
            </w:r>
            <w:r>
              <w:rPr>
                <w:rFonts w:hint="eastAsia" w:ascii="Times New Roman" w:hAnsi="Times New Roman" w:eastAsia="宋体" w:cs="Times New Roman"/>
                <w:color w:val="auto"/>
                <w:w w:val="99"/>
                <w:sz w:val="21"/>
                <w:szCs w:val="21"/>
                <w:highlight w:val="none"/>
                <w:lang w:val="en-US" w:eastAsia="zh-CN"/>
              </w:rPr>
              <w:t>2200m</w:t>
            </w:r>
          </w:p>
        </w:tc>
      </w:tr>
      <w:tr w14:paraId="7E37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tcBorders>
              <w:tl2br w:val="nil"/>
              <w:tr2bl w:val="nil"/>
            </w:tcBorders>
            <w:shd w:val="clear" w:color="auto" w:fill="auto"/>
            <w:vAlign w:val="center"/>
          </w:tcPr>
          <w:p w14:paraId="133855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崔永宝屯</w:t>
            </w:r>
          </w:p>
        </w:tc>
        <w:tc>
          <w:tcPr>
            <w:tcW w:w="622" w:type="pct"/>
            <w:tcBorders>
              <w:tl2br w:val="nil"/>
              <w:tr2bl w:val="nil"/>
            </w:tcBorders>
            <w:shd w:val="clear" w:color="auto" w:fill="auto"/>
            <w:vAlign w:val="center"/>
          </w:tcPr>
          <w:p w14:paraId="7D112E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125.51243</w:t>
            </w:r>
          </w:p>
        </w:tc>
        <w:tc>
          <w:tcPr>
            <w:tcW w:w="670" w:type="pct"/>
            <w:tcBorders>
              <w:tl2br w:val="nil"/>
              <w:tr2bl w:val="nil"/>
            </w:tcBorders>
            <w:shd w:val="clear" w:color="auto" w:fill="auto"/>
            <w:vAlign w:val="center"/>
          </w:tcPr>
          <w:p w14:paraId="4D86AC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45.87950</w:t>
            </w:r>
          </w:p>
        </w:tc>
        <w:tc>
          <w:tcPr>
            <w:tcW w:w="373" w:type="pct"/>
            <w:tcBorders>
              <w:tl2br w:val="nil"/>
              <w:tr2bl w:val="nil"/>
            </w:tcBorders>
            <w:vAlign w:val="center"/>
          </w:tcPr>
          <w:p w14:paraId="104817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tcBorders>
              <w:tl2br w:val="nil"/>
              <w:tr2bl w:val="nil"/>
            </w:tcBorders>
            <w:vAlign w:val="center"/>
          </w:tcPr>
          <w:p w14:paraId="3178F7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居民约</w:t>
            </w:r>
            <w:r>
              <w:rPr>
                <w:rFonts w:hint="eastAsia" w:ascii="Times New Roman" w:hAnsi="Times New Roman" w:cs="Times New Roman"/>
                <w:color w:val="auto"/>
                <w:w w:val="99"/>
                <w:sz w:val="21"/>
                <w:szCs w:val="21"/>
                <w:highlight w:val="none"/>
                <w:lang w:val="en-US" w:eastAsia="zh-CN"/>
              </w:rPr>
              <w:t>90</w:t>
            </w:r>
            <w:r>
              <w:rPr>
                <w:rFonts w:hint="default" w:ascii="Times New Roman" w:hAnsi="Times New Roman" w:eastAsia="宋体" w:cs="Times New Roman"/>
                <w:color w:val="auto"/>
                <w:w w:val="99"/>
                <w:sz w:val="21"/>
                <w:szCs w:val="21"/>
                <w:highlight w:val="none"/>
              </w:rPr>
              <w:t>人</w:t>
            </w:r>
          </w:p>
        </w:tc>
        <w:tc>
          <w:tcPr>
            <w:tcW w:w="453" w:type="pct"/>
            <w:tcBorders>
              <w:tl2br w:val="nil"/>
              <w:tr2bl w:val="nil"/>
            </w:tcBorders>
            <w:vAlign w:val="center"/>
          </w:tcPr>
          <w:p w14:paraId="3BA3D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417152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S</w:t>
            </w:r>
            <w:r>
              <w:rPr>
                <w:rFonts w:hint="eastAsia" w:ascii="Times New Roman" w:hAnsi="Times New Roman" w:eastAsia="宋体" w:cs="Times New Roman"/>
                <w:color w:val="auto"/>
                <w:w w:val="99"/>
                <w:sz w:val="21"/>
                <w:szCs w:val="21"/>
                <w:highlight w:val="none"/>
                <w:lang w:val="en-US" w:eastAsia="zh-CN"/>
              </w:rPr>
              <w:t>1550m</w:t>
            </w:r>
          </w:p>
        </w:tc>
      </w:tr>
      <w:tr w14:paraId="5123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pct"/>
            <w:tcBorders>
              <w:tl2br w:val="nil"/>
              <w:tr2bl w:val="nil"/>
            </w:tcBorders>
            <w:shd w:val="clear" w:color="auto" w:fill="auto"/>
            <w:vAlign w:val="center"/>
          </w:tcPr>
          <w:p w14:paraId="228AA7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鹿家屯</w:t>
            </w:r>
          </w:p>
        </w:tc>
        <w:tc>
          <w:tcPr>
            <w:tcW w:w="622" w:type="pct"/>
            <w:tcBorders>
              <w:tl2br w:val="nil"/>
              <w:tr2bl w:val="nil"/>
            </w:tcBorders>
            <w:shd w:val="clear" w:color="auto" w:fill="auto"/>
            <w:vAlign w:val="center"/>
          </w:tcPr>
          <w:p w14:paraId="0378A5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125.51753</w:t>
            </w:r>
          </w:p>
        </w:tc>
        <w:tc>
          <w:tcPr>
            <w:tcW w:w="670" w:type="pct"/>
            <w:tcBorders>
              <w:tl2br w:val="nil"/>
              <w:tr2bl w:val="nil"/>
            </w:tcBorders>
            <w:shd w:val="clear" w:color="auto" w:fill="auto"/>
            <w:vAlign w:val="center"/>
          </w:tcPr>
          <w:p w14:paraId="7A6E5C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45.88100</w:t>
            </w:r>
          </w:p>
        </w:tc>
        <w:tc>
          <w:tcPr>
            <w:tcW w:w="373" w:type="pct"/>
            <w:tcBorders>
              <w:tl2br w:val="nil"/>
              <w:tr2bl w:val="nil"/>
            </w:tcBorders>
            <w:vAlign w:val="center"/>
          </w:tcPr>
          <w:p w14:paraId="400034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村屯</w:t>
            </w:r>
          </w:p>
        </w:tc>
        <w:tc>
          <w:tcPr>
            <w:tcW w:w="923" w:type="pct"/>
            <w:tcBorders>
              <w:tl2br w:val="nil"/>
              <w:tr2bl w:val="nil"/>
            </w:tcBorders>
            <w:vAlign w:val="center"/>
          </w:tcPr>
          <w:p w14:paraId="6EF00B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居民约</w:t>
            </w:r>
            <w:r>
              <w:rPr>
                <w:rFonts w:hint="eastAsia" w:ascii="Times New Roman" w:hAnsi="Times New Roman" w:cs="Times New Roman"/>
                <w:color w:val="auto"/>
                <w:w w:val="99"/>
                <w:sz w:val="21"/>
                <w:szCs w:val="21"/>
                <w:highlight w:val="none"/>
                <w:lang w:val="en-US" w:eastAsia="zh-CN"/>
              </w:rPr>
              <w:t>90</w:t>
            </w:r>
            <w:r>
              <w:rPr>
                <w:rFonts w:hint="default" w:ascii="Times New Roman" w:hAnsi="Times New Roman" w:eastAsia="宋体" w:cs="Times New Roman"/>
                <w:color w:val="auto"/>
                <w:w w:val="99"/>
                <w:sz w:val="21"/>
                <w:szCs w:val="21"/>
                <w:highlight w:val="none"/>
              </w:rPr>
              <w:t>人</w:t>
            </w:r>
          </w:p>
        </w:tc>
        <w:tc>
          <w:tcPr>
            <w:tcW w:w="453" w:type="pct"/>
            <w:tcBorders>
              <w:tl2br w:val="nil"/>
              <w:tr2bl w:val="nil"/>
            </w:tcBorders>
            <w:vAlign w:val="center"/>
          </w:tcPr>
          <w:p w14:paraId="26FC0C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二类</w:t>
            </w:r>
          </w:p>
        </w:tc>
        <w:tc>
          <w:tcPr>
            <w:tcW w:w="1239" w:type="pct"/>
            <w:tcBorders>
              <w:tl2br w:val="nil"/>
              <w:tr2bl w:val="nil"/>
            </w:tcBorders>
            <w:shd w:val="clear" w:color="auto" w:fill="auto"/>
            <w:vAlign w:val="center"/>
          </w:tcPr>
          <w:p w14:paraId="587869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S</w:t>
            </w:r>
            <w:r>
              <w:rPr>
                <w:rFonts w:hint="eastAsia" w:ascii="Times New Roman" w:hAnsi="Times New Roman" w:eastAsia="宋体" w:cs="Times New Roman"/>
                <w:color w:val="auto"/>
                <w:w w:val="99"/>
                <w:sz w:val="21"/>
                <w:szCs w:val="21"/>
                <w:highlight w:val="none"/>
                <w:lang w:val="en-US" w:eastAsia="zh-CN"/>
              </w:rPr>
              <w:t>1450m</w:t>
            </w:r>
          </w:p>
        </w:tc>
      </w:tr>
    </w:tbl>
    <w:p w14:paraId="380635D4">
      <w:pPr>
        <w:widowControl w:val="0"/>
        <w:spacing w:line="440" w:lineRule="exact"/>
        <w:ind w:firstLine="476" w:firstLineChars="200"/>
        <w:jc w:val="both"/>
        <w:rPr>
          <w:rFonts w:ascii="Times New Roman" w:hAnsi="Times New Roman" w:cs="Times New Roman" w:eastAsiaTheme="minorEastAsia"/>
          <w:b/>
          <w:color w:val="auto"/>
          <w:w w:val="99"/>
          <w:kern w:val="2"/>
          <w:highlight w:val="none"/>
        </w:rPr>
      </w:pPr>
      <w:r>
        <w:rPr>
          <w:rFonts w:ascii="Times New Roman" w:hAnsi="Times New Roman" w:cs="Times New Roman" w:eastAsiaTheme="minorEastAsia"/>
          <w:b/>
          <w:bCs/>
          <w:color w:val="auto"/>
          <w:w w:val="99"/>
          <w:kern w:val="21"/>
          <w:highlight w:val="none"/>
        </w:rPr>
        <w:t>表2.8-2</w:t>
      </w:r>
      <w:r>
        <w:rPr>
          <w:rFonts w:ascii="Times New Roman" w:hAnsi="Times New Roman" w:cs="Times New Roman" w:eastAsiaTheme="minorEastAsia"/>
          <w:b/>
          <w:color w:val="auto"/>
          <w:w w:val="99"/>
          <w:kern w:val="2"/>
          <w:highlight w:val="none"/>
        </w:rPr>
        <w:t xml:space="preserve">    </w:t>
      </w:r>
      <w:r>
        <w:rPr>
          <w:rFonts w:hint="eastAsia" w:ascii="Times New Roman" w:hAnsi="Times New Roman" w:cs="Times New Roman" w:eastAsiaTheme="minorEastAsia"/>
          <w:b/>
          <w:color w:val="auto"/>
          <w:w w:val="99"/>
          <w:kern w:val="2"/>
          <w:highlight w:val="none"/>
          <w:lang w:val="en-US" w:eastAsia="zh-CN"/>
        </w:rPr>
        <w:t>环境风险</w:t>
      </w:r>
      <w:r>
        <w:rPr>
          <w:rFonts w:ascii="Times New Roman" w:hAnsi="Times New Roman" w:cs="Times New Roman" w:eastAsiaTheme="minorEastAsia"/>
          <w:b/>
          <w:bCs/>
          <w:color w:val="auto"/>
          <w:w w:val="99"/>
          <w:kern w:val="2"/>
          <w:highlight w:val="none"/>
        </w:rPr>
        <w:t>保护目标调查表</w:t>
      </w:r>
    </w:p>
    <w:tbl>
      <w:tblPr>
        <w:tblStyle w:val="80"/>
        <w:tblW w:w="90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134"/>
        <w:gridCol w:w="2006"/>
        <w:gridCol w:w="1530"/>
        <w:gridCol w:w="3694"/>
      </w:tblGrid>
      <w:tr w14:paraId="6DA92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0" w:hRule="atLeast"/>
          <w:jc w:val="center"/>
        </w:trPr>
        <w:tc>
          <w:tcPr>
            <w:tcW w:w="704" w:type="dxa"/>
            <w:vMerge w:val="restart"/>
            <w:vAlign w:val="center"/>
          </w:tcPr>
          <w:p w14:paraId="0D684224">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环境要素</w:t>
            </w:r>
          </w:p>
        </w:tc>
        <w:tc>
          <w:tcPr>
            <w:tcW w:w="1134" w:type="dxa"/>
            <w:vMerge w:val="restart"/>
            <w:vAlign w:val="center"/>
          </w:tcPr>
          <w:p w14:paraId="068E225A">
            <w:pPr>
              <w:widowControl w:val="0"/>
              <w:spacing w:line="360" w:lineRule="exact"/>
              <w:jc w:val="both"/>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保护属性</w:t>
            </w:r>
          </w:p>
        </w:tc>
        <w:tc>
          <w:tcPr>
            <w:tcW w:w="2006" w:type="dxa"/>
            <w:vMerge w:val="restart"/>
            <w:vAlign w:val="center"/>
          </w:tcPr>
          <w:p w14:paraId="6681711A">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保护目标</w:t>
            </w:r>
          </w:p>
        </w:tc>
        <w:tc>
          <w:tcPr>
            <w:tcW w:w="1530" w:type="dxa"/>
            <w:vMerge w:val="restart"/>
            <w:vAlign w:val="center"/>
          </w:tcPr>
          <w:p w14:paraId="0588DF7B">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保护对象</w:t>
            </w:r>
          </w:p>
        </w:tc>
        <w:tc>
          <w:tcPr>
            <w:tcW w:w="3694" w:type="dxa"/>
            <w:vMerge w:val="restart"/>
            <w:vAlign w:val="center"/>
          </w:tcPr>
          <w:p w14:paraId="2F7AEBA9">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bidi="ar"/>
              </w:rPr>
              <w:t>相对方位及距离</w:t>
            </w:r>
          </w:p>
        </w:tc>
      </w:tr>
      <w:tr w14:paraId="0FB97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0" w:hRule="atLeast"/>
          <w:jc w:val="center"/>
        </w:trPr>
        <w:tc>
          <w:tcPr>
            <w:tcW w:w="704" w:type="dxa"/>
            <w:vMerge w:val="continue"/>
            <w:vAlign w:val="center"/>
          </w:tcPr>
          <w:p w14:paraId="1B665174">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2FA98535">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2006" w:type="dxa"/>
            <w:vMerge w:val="continue"/>
            <w:vAlign w:val="center"/>
          </w:tcPr>
          <w:p w14:paraId="0F6924B2">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530" w:type="dxa"/>
            <w:vMerge w:val="continue"/>
            <w:vAlign w:val="center"/>
          </w:tcPr>
          <w:p w14:paraId="049802C4">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3694" w:type="dxa"/>
            <w:vMerge w:val="continue"/>
            <w:vAlign w:val="center"/>
          </w:tcPr>
          <w:p w14:paraId="0991979A">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r>
      <w:tr w14:paraId="1EED1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restart"/>
            <w:vAlign w:val="center"/>
          </w:tcPr>
          <w:p w14:paraId="218709D9">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环境风险</w:t>
            </w:r>
          </w:p>
        </w:tc>
        <w:tc>
          <w:tcPr>
            <w:tcW w:w="1134" w:type="dxa"/>
            <w:vMerge w:val="restart"/>
            <w:vAlign w:val="center"/>
          </w:tcPr>
          <w:p w14:paraId="19586711">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大气</w:t>
            </w:r>
          </w:p>
        </w:tc>
        <w:tc>
          <w:tcPr>
            <w:tcW w:w="2006" w:type="dxa"/>
            <w:shd w:val="clear" w:color="auto" w:fill="auto"/>
            <w:vAlign w:val="center"/>
          </w:tcPr>
          <w:p w14:paraId="143B7D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王家围子</w:t>
            </w:r>
            <w:r>
              <w:rPr>
                <w:rFonts w:hint="eastAsia" w:ascii="Times New Roman" w:hAnsi="Times New Roman" w:eastAsia="宋体" w:cs="Times New Roman"/>
                <w:color w:val="auto"/>
                <w:w w:val="99"/>
                <w:sz w:val="21"/>
                <w:szCs w:val="21"/>
                <w:highlight w:val="none"/>
                <w:lang w:val="en-US" w:eastAsia="zh-CN"/>
              </w:rPr>
              <w:t>屯</w:t>
            </w:r>
          </w:p>
        </w:tc>
        <w:tc>
          <w:tcPr>
            <w:tcW w:w="1530" w:type="dxa"/>
            <w:shd w:val="clear" w:color="auto" w:fill="auto"/>
            <w:vAlign w:val="center"/>
          </w:tcPr>
          <w:p w14:paraId="0D3D15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13749F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NE</w:t>
            </w:r>
            <w:r>
              <w:rPr>
                <w:rFonts w:hint="eastAsia" w:ascii="Times New Roman" w:hAnsi="Times New Roman" w:eastAsia="宋体" w:cs="Times New Roman"/>
                <w:color w:val="auto"/>
                <w:w w:val="99"/>
                <w:sz w:val="21"/>
                <w:szCs w:val="21"/>
                <w:highlight w:val="none"/>
                <w:lang w:val="en-US" w:eastAsia="zh-CN"/>
              </w:rPr>
              <w:t>1500m</w:t>
            </w:r>
          </w:p>
        </w:tc>
      </w:tr>
      <w:tr w14:paraId="5EE1F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7FBAFF5F">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745DA75C">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shd w:val="clear" w:color="auto" w:fill="auto"/>
            <w:vAlign w:val="center"/>
          </w:tcPr>
          <w:p w14:paraId="6247C1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东双山</w:t>
            </w:r>
            <w:r>
              <w:rPr>
                <w:rFonts w:hint="eastAsia" w:ascii="Times New Roman" w:hAnsi="Times New Roman" w:eastAsia="宋体" w:cs="Times New Roman"/>
                <w:color w:val="auto"/>
                <w:w w:val="99"/>
                <w:sz w:val="21"/>
                <w:szCs w:val="21"/>
                <w:highlight w:val="none"/>
                <w:lang w:val="en-US" w:eastAsia="zh-CN"/>
              </w:rPr>
              <w:t>屯</w:t>
            </w:r>
          </w:p>
        </w:tc>
        <w:tc>
          <w:tcPr>
            <w:tcW w:w="1530" w:type="dxa"/>
            <w:shd w:val="clear" w:color="auto" w:fill="auto"/>
            <w:vAlign w:val="center"/>
          </w:tcPr>
          <w:p w14:paraId="5BE8FF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692563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w:t>
            </w:r>
            <w:r>
              <w:rPr>
                <w:rFonts w:hint="eastAsia" w:ascii="Times New Roman" w:hAnsi="Times New Roman" w:cs="Times New Roman"/>
                <w:color w:val="auto"/>
                <w:w w:val="99"/>
                <w:sz w:val="21"/>
                <w:szCs w:val="21"/>
                <w:highlight w:val="none"/>
                <w:lang w:val="en-US" w:eastAsia="zh-CN"/>
              </w:rPr>
              <w:t>1</w:t>
            </w:r>
            <w:r>
              <w:rPr>
                <w:rFonts w:hint="default" w:ascii="Times New Roman" w:hAnsi="Times New Roman" w:eastAsia="宋体" w:cs="Times New Roman"/>
                <w:color w:val="auto"/>
                <w:w w:val="99"/>
                <w:sz w:val="21"/>
                <w:szCs w:val="21"/>
                <w:highlight w:val="none"/>
                <w:lang w:val="en-US" w:eastAsia="zh-CN"/>
              </w:rPr>
              <w:t>井</w:t>
            </w:r>
            <w:r>
              <w:rPr>
                <w:rFonts w:hint="eastAsia" w:ascii="Times New Roman" w:hAnsi="Times New Roman" w:cs="Times New Roman"/>
                <w:color w:val="auto"/>
                <w:w w:val="99"/>
                <w:sz w:val="21"/>
                <w:szCs w:val="21"/>
                <w:highlight w:val="none"/>
                <w:lang w:val="en-US" w:eastAsia="zh-CN"/>
              </w:rPr>
              <w:t>NW</w:t>
            </w:r>
            <w:r>
              <w:rPr>
                <w:rFonts w:hint="eastAsia" w:ascii="Times New Roman" w:hAnsi="Times New Roman" w:eastAsia="宋体" w:cs="Times New Roman"/>
                <w:color w:val="auto"/>
                <w:w w:val="99"/>
                <w:sz w:val="21"/>
                <w:szCs w:val="21"/>
                <w:highlight w:val="none"/>
                <w:lang w:val="en-US" w:eastAsia="zh-CN"/>
              </w:rPr>
              <w:t>2450m</w:t>
            </w:r>
          </w:p>
        </w:tc>
      </w:tr>
      <w:tr w14:paraId="00DDA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4BF3D2A8">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17C5FA40">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shd w:val="clear" w:color="auto" w:fill="auto"/>
            <w:vAlign w:val="center"/>
          </w:tcPr>
          <w:p w14:paraId="6875D6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西双山屯</w:t>
            </w:r>
          </w:p>
        </w:tc>
        <w:tc>
          <w:tcPr>
            <w:tcW w:w="1530" w:type="dxa"/>
            <w:shd w:val="clear" w:color="auto" w:fill="auto"/>
            <w:vAlign w:val="center"/>
          </w:tcPr>
          <w:p w14:paraId="2AEB73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0403EB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NW</w:t>
            </w:r>
            <w:r>
              <w:rPr>
                <w:rFonts w:hint="eastAsia" w:ascii="Times New Roman" w:hAnsi="Times New Roman" w:eastAsia="宋体" w:cs="Times New Roman"/>
                <w:color w:val="auto"/>
                <w:w w:val="99"/>
                <w:sz w:val="21"/>
                <w:szCs w:val="21"/>
                <w:highlight w:val="none"/>
                <w:lang w:val="en-US" w:eastAsia="zh-CN"/>
              </w:rPr>
              <w:t>2500m</w:t>
            </w:r>
          </w:p>
        </w:tc>
      </w:tr>
      <w:tr w14:paraId="20716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294EF45A">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00D32C6D">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shd w:val="clear" w:color="auto" w:fill="auto"/>
            <w:vAlign w:val="center"/>
          </w:tcPr>
          <w:p w14:paraId="4539D9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新发屯</w:t>
            </w:r>
          </w:p>
        </w:tc>
        <w:tc>
          <w:tcPr>
            <w:tcW w:w="1530" w:type="dxa"/>
            <w:vAlign w:val="center"/>
          </w:tcPr>
          <w:p w14:paraId="2B15D8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72E754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W</w:t>
            </w:r>
            <w:r>
              <w:rPr>
                <w:rFonts w:hint="eastAsia" w:ascii="Times New Roman" w:hAnsi="Times New Roman" w:eastAsia="宋体" w:cs="Times New Roman"/>
                <w:color w:val="auto"/>
                <w:w w:val="99"/>
                <w:sz w:val="21"/>
                <w:szCs w:val="21"/>
                <w:highlight w:val="none"/>
                <w:lang w:val="en-US" w:eastAsia="zh-CN"/>
              </w:rPr>
              <w:t>2150m</w:t>
            </w:r>
          </w:p>
        </w:tc>
      </w:tr>
      <w:tr w14:paraId="4836B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33C609B8">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77A78B3D">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shd w:val="clear" w:color="auto" w:fill="auto"/>
            <w:vAlign w:val="center"/>
          </w:tcPr>
          <w:p w14:paraId="40FC3D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大太平川</w:t>
            </w:r>
            <w:r>
              <w:rPr>
                <w:rFonts w:hint="eastAsia" w:ascii="Times New Roman" w:hAnsi="Times New Roman" w:eastAsia="宋体" w:cs="Times New Roman"/>
                <w:color w:val="auto"/>
                <w:w w:val="99"/>
                <w:sz w:val="21"/>
                <w:szCs w:val="21"/>
                <w:highlight w:val="none"/>
                <w:lang w:val="en-US" w:eastAsia="zh-CN"/>
              </w:rPr>
              <w:t>屯</w:t>
            </w:r>
          </w:p>
        </w:tc>
        <w:tc>
          <w:tcPr>
            <w:tcW w:w="1530" w:type="dxa"/>
            <w:vAlign w:val="center"/>
          </w:tcPr>
          <w:p w14:paraId="7D65D6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3D947C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NE</w:t>
            </w:r>
            <w:r>
              <w:rPr>
                <w:rFonts w:hint="eastAsia" w:ascii="Times New Roman" w:hAnsi="Times New Roman" w:eastAsia="宋体" w:cs="Times New Roman"/>
                <w:color w:val="auto"/>
                <w:w w:val="99"/>
                <w:sz w:val="21"/>
                <w:szCs w:val="21"/>
                <w:highlight w:val="none"/>
                <w:lang w:val="en-US" w:eastAsia="zh-CN"/>
              </w:rPr>
              <w:t>2150m</w:t>
            </w:r>
          </w:p>
        </w:tc>
      </w:tr>
      <w:tr w14:paraId="0A03F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454FF188">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659C3223">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vMerge w:val="restart"/>
            <w:shd w:val="clear" w:color="auto" w:fill="auto"/>
            <w:vAlign w:val="center"/>
          </w:tcPr>
          <w:p w14:paraId="2477C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尚家围子</w:t>
            </w:r>
            <w:r>
              <w:rPr>
                <w:rFonts w:hint="eastAsia" w:ascii="Times New Roman" w:hAnsi="Times New Roman" w:eastAsia="宋体" w:cs="Times New Roman"/>
                <w:color w:val="auto"/>
                <w:w w:val="99"/>
                <w:sz w:val="21"/>
                <w:szCs w:val="21"/>
                <w:highlight w:val="none"/>
                <w:lang w:val="en-US" w:eastAsia="zh-CN"/>
              </w:rPr>
              <w:t>屯</w:t>
            </w:r>
          </w:p>
        </w:tc>
        <w:tc>
          <w:tcPr>
            <w:tcW w:w="1530" w:type="dxa"/>
            <w:vMerge w:val="restart"/>
            <w:vAlign w:val="center"/>
          </w:tcPr>
          <w:p w14:paraId="44B6DB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747943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NW</w:t>
            </w:r>
            <w:r>
              <w:rPr>
                <w:rFonts w:hint="eastAsia" w:ascii="Times New Roman" w:hAnsi="Times New Roman" w:eastAsia="宋体" w:cs="Times New Roman"/>
                <w:color w:val="auto"/>
                <w:w w:val="99"/>
                <w:sz w:val="21"/>
                <w:szCs w:val="21"/>
                <w:highlight w:val="none"/>
                <w:lang w:val="en-US" w:eastAsia="zh-CN"/>
              </w:rPr>
              <w:t>350m</w:t>
            </w:r>
          </w:p>
        </w:tc>
      </w:tr>
      <w:tr w14:paraId="6249E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5B4B7FEC">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2243DE12">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vMerge w:val="continue"/>
            <w:shd w:val="clear" w:color="auto" w:fill="auto"/>
            <w:vAlign w:val="center"/>
          </w:tcPr>
          <w:p w14:paraId="6730DD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p>
        </w:tc>
        <w:tc>
          <w:tcPr>
            <w:tcW w:w="1530" w:type="dxa"/>
            <w:vMerge w:val="continue"/>
            <w:vAlign w:val="center"/>
          </w:tcPr>
          <w:p w14:paraId="7B8306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p>
        </w:tc>
        <w:tc>
          <w:tcPr>
            <w:tcW w:w="3694" w:type="dxa"/>
            <w:shd w:val="clear" w:color="auto" w:fill="auto"/>
            <w:vAlign w:val="center"/>
          </w:tcPr>
          <w:p w14:paraId="1A46C8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拟建采气管线W</w:t>
            </w:r>
            <w:r>
              <w:rPr>
                <w:rFonts w:hint="eastAsia" w:ascii="Times New Roman" w:hAnsi="Times New Roman" w:eastAsia="宋体" w:cs="Times New Roman"/>
                <w:color w:val="auto"/>
                <w:w w:val="99"/>
                <w:sz w:val="21"/>
                <w:szCs w:val="21"/>
                <w:highlight w:val="none"/>
                <w:lang w:val="en-US" w:eastAsia="zh-CN"/>
              </w:rPr>
              <w:t>1000m</w:t>
            </w:r>
          </w:p>
        </w:tc>
      </w:tr>
      <w:tr w14:paraId="7E200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2FE4C71F">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13FB62B1">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shd w:val="clear" w:color="auto" w:fill="auto"/>
            <w:vAlign w:val="center"/>
          </w:tcPr>
          <w:p w14:paraId="70E47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邢家围子</w:t>
            </w:r>
            <w:r>
              <w:rPr>
                <w:rFonts w:hint="eastAsia" w:ascii="Times New Roman" w:hAnsi="Times New Roman" w:eastAsia="宋体" w:cs="Times New Roman"/>
                <w:color w:val="auto"/>
                <w:w w:val="99"/>
                <w:sz w:val="21"/>
                <w:szCs w:val="21"/>
                <w:highlight w:val="none"/>
                <w:lang w:val="en-US" w:eastAsia="zh-CN"/>
              </w:rPr>
              <w:t>屯</w:t>
            </w:r>
          </w:p>
        </w:tc>
        <w:tc>
          <w:tcPr>
            <w:tcW w:w="1530" w:type="dxa"/>
            <w:vAlign w:val="center"/>
          </w:tcPr>
          <w:p w14:paraId="635F84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1E053F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E</w:t>
            </w:r>
            <w:r>
              <w:rPr>
                <w:rFonts w:hint="eastAsia" w:ascii="Times New Roman" w:hAnsi="Times New Roman" w:eastAsia="宋体" w:cs="Times New Roman"/>
                <w:color w:val="auto"/>
                <w:w w:val="99"/>
                <w:sz w:val="21"/>
                <w:szCs w:val="21"/>
                <w:highlight w:val="none"/>
                <w:lang w:val="en-US" w:eastAsia="zh-CN"/>
              </w:rPr>
              <w:t>300m</w:t>
            </w:r>
          </w:p>
        </w:tc>
      </w:tr>
      <w:tr w14:paraId="420C0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7D5B2416">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56960FBC">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shd w:val="clear" w:color="auto" w:fill="auto"/>
            <w:vAlign w:val="center"/>
          </w:tcPr>
          <w:p w14:paraId="776800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后柜</w:t>
            </w:r>
            <w:r>
              <w:rPr>
                <w:rFonts w:hint="eastAsia" w:ascii="Times New Roman" w:hAnsi="Times New Roman" w:eastAsia="宋体" w:cs="Times New Roman"/>
                <w:color w:val="auto"/>
                <w:w w:val="99"/>
                <w:sz w:val="21"/>
                <w:szCs w:val="21"/>
                <w:highlight w:val="none"/>
                <w:lang w:val="en-US" w:eastAsia="zh-CN"/>
              </w:rPr>
              <w:t>屯</w:t>
            </w:r>
          </w:p>
        </w:tc>
        <w:tc>
          <w:tcPr>
            <w:tcW w:w="1530" w:type="dxa"/>
            <w:vAlign w:val="center"/>
          </w:tcPr>
          <w:p w14:paraId="6185ED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06C19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SE</w:t>
            </w:r>
            <w:r>
              <w:rPr>
                <w:rFonts w:hint="eastAsia" w:ascii="Times New Roman" w:hAnsi="Times New Roman" w:eastAsia="宋体" w:cs="Times New Roman"/>
                <w:color w:val="auto"/>
                <w:w w:val="99"/>
                <w:sz w:val="21"/>
                <w:szCs w:val="21"/>
                <w:highlight w:val="none"/>
                <w:lang w:val="en-US" w:eastAsia="zh-CN"/>
              </w:rPr>
              <w:t>1850m</w:t>
            </w:r>
          </w:p>
        </w:tc>
      </w:tr>
      <w:tr w14:paraId="69747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6C9EF411">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4E12905D">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shd w:val="clear" w:color="auto" w:fill="auto"/>
            <w:vAlign w:val="center"/>
          </w:tcPr>
          <w:p w14:paraId="5B241E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杨</w:t>
            </w:r>
            <w:r>
              <w:rPr>
                <w:rFonts w:hint="eastAsia" w:ascii="Times New Roman" w:hAnsi="Times New Roman" w:cs="Times New Roman"/>
                <w:color w:val="auto"/>
                <w:w w:val="99"/>
                <w:sz w:val="21"/>
                <w:szCs w:val="21"/>
                <w:highlight w:val="none"/>
                <w:lang w:val="en-US" w:eastAsia="zh-CN"/>
              </w:rPr>
              <w:t>家</w:t>
            </w:r>
            <w:r>
              <w:rPr>
                <w:rFonts w:hint="default" w:ascii="Times New Roman" w:hAnsi="Times New Roman" w:eastAsia="宋体" w:cs="Times New Roman"/>
                <w:color w:val="auto"/>
                <w:w w:val="99"/>
                <w:sz w:val="21"/>
                <w:szCs w:val="21"/>
                <w:highlight w:val="none"/>
              </w:rPr>
              <w:t>屯</w:t>
            </w:r>
          </w:p>
        </w:tc>
        <w:tc>
          <w:tcPr>
            <w:tcW w:w="1530" w:type="dxa"/>
            <w:vAlign w:val="center"/>
          </w:tcPr>
          <w:p w14:paraId="4A047B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0D164F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SW</w:t>
            </w:r>
            <w:r>
              <w:rPr>
                <w:rFonts w:hint="eastAsia" w:ascii="Times New Roman" w:hAnsi="Times New Roman" w:eastAsia="宋体" w:cs="Times New Roman"/>
                <w:color w:val="auto"/>
                <w:w w:val="99"/>
                <w:sz w:val="21"/>
                <w:szCs w:val="21"/>
                <w:highlight w:val="none"/>
                <w:lang w:val="en-US" w:eastAsia="zh-CN"/>
              </w:rPr>
              <w:t>1200m</w:t>
            </w:r>
          </w:p>
        </w:tc>
      </w:tr>
      <w:tr w14:paraId="74CC8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77984740">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518B5156">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shd w:val="clear" w:color="auto" w:fill="auto"/>
            <w:vAlign w:val="center"/>
          </w:tcPr>
          <w:p w14:paraId="0D2B65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腰柜</w:t>
            </w:r>
            <w:r>
              <w:rPr>
                <w:rFonts w:hint="eastAsia" w:ascii="Times New Roman" w:hAnsi="Times New Roman" w:eastAsia="宋体" w:cs="Times New Roman"/>
                <w:color w:val="auto"/>
                <w:w w:val="99"/>
                <w:sz w:val="21"/>
                <w:szCs w:val="21"/>
                <w:highlight w:val="none"/>
                <w:lang w:val="en-US" w:eastAsia="zh-CN"/>
              </w:rPr>
              <w:t>屯</w:t>
            </w:r>
          </w:p>
        </w:tc>
        <w:tc>
          <w:tcPr>
            <w:tcW w:w="1530" w:type="dxa"/>
            <w:vAlign w:val="center"/>
          </w:tcPr>
          <w:p w14:paraId="63F64E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651CE4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SE</w:t>
            </w:r>
            <w:r>
              <w:rPr>
                <w:rFonts w:hint="eastAsia" w:ascii="Times New Roman" w:hAnsi="Times New Roman" w:eastAsia="宋体" w:cs="Times New Roman"/>
                <w:color w:val="auto"/>
                <w:w w:val="99"/>
                <w:sz w:val="21"/>
                <w:szCs w:val="21"/>
                <w:highlight w:val="none"/>
                <w:lang w:val="en-US" w:eastAsia="zh-CN"/>
              </w:rPr>
              <w:t>2200m</w:t>
            </w:r>
          </w:p>
        </w:tc>
      </w:tr>
      <w:tr w14:paraId="28E7A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0C7E2642">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06D5AB37">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shd w:val="clear" w:color="auto" w:fill="auto"/>
            <w:vAlign w:val="center"/>
          </w:tcPr>
          <w:p w14:paraId="5EC3A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rPr>
              <w:t>崔永宝屯</w:t>
            </w:r>
          </w:p>
        </w:tc>
        <w:tc>
          <w:tcPr>
            <w:tcW w:w="1530" w:type="dxa"/>
            <w:vAlign w:val="center"/>
          </w:tcPr>
          <w:p w14:paraId="2AD7C4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4D369C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S</w:t>
            </w:r>
            <w:r>
              <w:rPr>
                <w:rFonts w:hint="eastAsia" w:ascii="Times New Roman" w:hAnsi="Times New Roman" w:eastAsia="宋体" w:cs="Times New Roman"/>
                <w:color w:val="auto"/>
                <w:w w:val="99"/>
                <w:sz w:val="21"/>
                <w:szCs w:val="21"/>
                <w:highlight w:val="none"/>
                <w:lang w:val="en-US" w:eastAsia="zh-CN"/>
              </w:rPr>
              <w:t>1550m</w:t>
            </w:r>
          </w:p>
        </w:tc>
      </w:tr>
      <w:tr w14:paraId="4B0BC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3395E5A7">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Merge w:val="continue"/>
            <w:vAlign w:val="center"/>
          </w:tcPr>
          <w:p w14:paraId="68368583">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2006" w:type="dxa"/>
            <w:shd w:val="clear" w:color="auto" w:fill="auto"/>
            <w:vAlign w:val="center"/>
          </w:tcPr>
          <w:p w14:paraId="36E043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鹿家屯</w:t>
            </w:r>
          </w:p>
        </w:tc>
        <w:tc>
          <w:tcPr>
            <w:tcW w:w="1530" w:type="dxa"/>
            <w:vAlign w:val="center"/>
          </w:tcPr>
          <w:p w14:paraId="6CA1F4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w w:val="99"/>
                <w:sz w:val="21"/>
                <w:szCs w:val="21"/>
                <w:highlight w:val="none"/>
              </w:rPr>
            </w:pPr>
            <w:r>
              <w:rPr>
                <w:rFonts w:hint="default" w:ascii="Times New Roman" w:hAnsi="Times New Roman" w:cs="Times New Roman"/>
                <w:color w:val="auto"/>
                <w:w w:val="99"/>
                <w:sz w:val="21"/>
                <w:szCs w:val="21"/>
                <w:highlight w:val="none"/>
              </w:rPr>
              <w:t>村屯</w:t>
            </w:r>
          </w:p>
        </w:tc>
        <w:tc>
          <w:tcPr>
            <w:tcW w:w="3694" w:type="dxa"/>
            <w:shd w:val="clear" w:color="auto" w:fill="auto"/>
            <w:vAlign w:val="center"/>
          </w:tcPr>
          <w:p w14:paraId="44D716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color w:val="auto"/>
                <w:w w:val="99"/>
                <w:sz w:val="21"/>
                <w:szCs w:val="21"/>
                <w:highlight w:val="none"/>
                <w:lang w:val="en-US" w:eastAsia="zh-CN"/>
              </w:rPr>
              <w:t>S</w:t>
            </w:r>
            <w:r>
              <w:rPr>
                <w:rFonts w:hint="eastAsia" w:ascii="Times New Roman" w:hAnsi="Times New Roman" w:eastAsia="宋体" w:cs="Times New Roman"/>
                <w:color w:val="auto"/>
                <w:w w:val="99"/>
                <w:sz w:val="21"/>
                <w:szCs w:val="21"/>
                <w:highlight w:val="none"/>
                <w:lang w:val="en-US" w:eastAsia="zh-CN"/>
              </w:rPr>
              <w:t>1450m</w:t>
            </w:r>
          </w:p>
        </w:tc>
      </w:tr>
      <w:tr w14:paraId="1025B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04" w:type="dxa"/>
            <w:vMerge w:val="continue"/>
            <w:vAlign w:val="center"/>
          </w:tcPr>
          <w:p w14:paraId="1683527F">
            <w:pPr>
              <w:spacing w:line="360" w:lineRule="exact"/>
              <w:jc w:val="center"/>
              <w:rPr>
                <w:rFonts w:ascii="Times New Roman" w:hAnsi="Times New Roman" w:cs="Times New Roman" w:eastAsiaTheme="minorEastAsia"/>
                <w:color w:val="auto"/>
                <w:w w:val="99"/>
                <w:sz w:val="21"/>
                <w:szCs w:val="21"/>
                <w:highlight w:val="none"/>
                <w:lang w:bidi="ar"/>
              </w:rPr>
            </w:pPr>
          </w:p>
        </w:tc>
        <w:tc>
          <w:tcPr>
            <w:tcW w:w="1134" w:type="dxa"/>
            <w:vAlign w:val="center"/>
          </w:tcPr>
          <w:p w14:paraId="130BE75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地下水</w:t>
            </w:r>
          </w:p>
        </w:tc>
        <w:tc>
          <w:tcPr>
            <w:tcW w:w="3536" w:type="dxa"/>
            <w:gridSpan w:val="2"/>
            <w:vAlign w:val="center"/>
          </w:tcPr>
          <w:p w14:paraId="3D3C6B0F">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评价范围内潜水含水层、具有饮用价值的承压水含水层、饮用水源井</w:t>
            </w:r>
          </w:p>
        </w:tc>
        <w:tc>
          <w:tcPr>
            <w:tcW w:w="3694" w:type="dxa"/>
            <w:vAlign w:val="center"/>
          </w:tcPr>
          <w:p w14:paraId="762B9D53">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《地下水质量标准》（GB/T14848-2017）</w:t>
            </w:r>
            <w:r>
              <w:rPr>
                <w:rFonts w:ascii="Times New Roman" w:hAnsi="Times New Roman" w:cs="Times New Roman"/>
                <w:color w:val="auto"/>
                <w:w w:val="99"/>
                <w:kern w:val="2"/>
                <w:sz w:val="21"/>
                <w:szCs w:val="21"/>
                <w:highlight w:val="none"/>
              </w:rPr>
              <w:t>Ⅲ</w:t>
            </w:r>
            <w:r>
              <w:rPr>
                <w:rFonts w:ascii="Times New Roman" w:hAnsi="Times New Roman" w:cs="Times New Roman" w:eastAsiaTheme="minorEastAsia"/>
                <w:color w:val="auto"/>
                <w:w w:val="99"/>
                <w:kern w:val="2"/>
                <w:sz w:val="21"/>
                <w:szCs w:val="21"/>
                <w:highlight w:val="none"/>
              </w:rPr>
              <w:t>类标准</w:t>
            </w:r>
          </w:p>
        </w:tc>
      </w:tr>
    </w:tbl>
    <w:p w14:paraId="2CA11068">
      <w:pPr>
        <w:widowControl w:val="0"/>
        <w:spacing w:line="440" w:lineRule="exact"/>
        <w:ind w:firstLine="476" w:firstLineChars="200"/>
        <w:rPr>
          <w:rFonts w:ascii="Times New Roman" w:hAnsi="Times New Roman" w:cs="Times New Roman"/>
          <w:b/>
          <w:bCs/>
          <w:color w:val="auto"/>
          <w:w w:val="99"/>
          <w:kern w:val="21"/>
          <w:highlight w:val="none"/>
        </w:rPr>
      </w:pPr>
      <w:r>
        <w:rPr>
          <w:rFonts w:ascii="Times New Roman" w:hAnsi="Times New Roman" w:cs="Times New Roman"/>
          <w:b/>
          <w:bCs/>
          <w:color w:val="auto"/>
          <w:w w:val="99"/>
          <w:kern w:val="21"/>
          <w:highlight w:val="none"/>
        </w:rPr>
        <w:t>表2.8-3    地下水环境保护目标表</w:t>
      </w:r>
    </w:p>
    <w:tbl>
      <w:tblPr>
        <w:tblStyle w:val="80"/>
        <w:tblW w:w="4995" w:type="pct"/>
        <w:tblInd w:w="0" w:type="dxa"/>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Layout w:type="fixed"/>
        <w:tblCellMar>
          <w:top w:w="0" w:type="dxa"/>
          <w:left w:w="0" w:type="dxa"/>
          <w:bottom w:w="0" w:type="dxa"/>
          <w:right w:w="0" w:type="dxa"/>
        </w:tblCellMar>
      </w:tblPr>
      <w:tblGrid>
        <w:gridCol w:w="580"/>
        <w:gridCol w:w="1159"/>
        <w:gridCol w:w="1706"/>
        <w:gridCol w:w="4172"/>
        <w:gridCol w:w="1616"/>
      </w:tblGrid>
      <w:tr w14:paraId="66C6C1BA">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314" w:type="pct"/>
            <w:tcBorders>
              <w:tl2br w:val="nil"/>
              <w:tr2bl w:val="nil"/>
            </w:tcBorders>
            <w:tcMar>
              <w:top w:w="0" w:type="dxa"/>
              <w:left w:w="85" w:type="dxa"/>
              <w:bottom w:w="0" w:type="dxa"/>
              <w:right w:w="85" w:type="dxa"/>
            </w:tcMar>
            <w:vAlign w:val="center"/>
          </w:tcPr>
          <w:p w14:paraId="5F59EF25">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序号</w:t>
            </w:r>
          </w:p>
        </w:tc>
        <w:tc>
          <w:tcPr>
            <w:tcW w:w="627" w:type="pct"/>
            <w:tcBorders>
              <w:tl2br w:val="nil"/>
              <w:tr2bl w:val="nil"/>
            </w:tcBorders>
            <w:tcMar>
              <w:top w:w="0" w:type="dxa"/>
              <w:left w:w="85" w:type="dxa"/>
              <w:bottom w:w="0" w:type="dxa"/>
              <w:right w:w="85" w:type="dxa"/>
            </w:tcMar>
            <w:vAlign w:val="center"/>
          </w:tcPr>
          <w:p w14:paraId="606449B8">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保护目标</w:t>
            </w:r>
          </w:p>
        </w:tc>
        <w:tc>
          <w:tcPr>
            <w:tcW w:w="923" w:type="pct"/>
            <w:tcBorders>
              <w:tl2br w:val="nil"/>
              <w:tr2bl w:val="nil"/>
            </w:tcBorders>
            <w:tcMar>
              <w:top w:w="0" w:type="dxa"/>
              <w:left w:w="85" w:type="dxa"/>
              <w:bottom w:w="0" w:type="dxa"/>
              <w:right w:w="85" w:type="dxa"/>
            </w:tcMar>
            <w:vAlign w:val="center"/>
          </w:tcPr>
          <w:p w14:paraId="1EC6377B">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与本项目相对位置、距离</w:t>
            </w:r>
          </w:p>
        </w:tc>
        <w:tc>
          <w:tcPr>
            <w:tcW w:w="2259" w:type="pct"/>
            <w:tcBorders>
              <w:tl2br w:val="nil"/>
              <w:tr2bl w:val="nil"/>
            </w:tcBorders>
            <w:tcMar>
              <w:top w:w="0" w:type="dxa"/>
              <w:left w:w="85" w:type="dxa"/>
              <w:bottom w:w="0" w:type="dxa"/>
              <w:right w:w="85" w:type="dxa"/>
            </w:tcMar>
            <w:vAlign w:val="center"/>
          </w:tcPr>
          <w:p w14:paraId="1D06FF20">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规模</w:t>
            </w:r>
          </w:p>
        </w:tc>
        <w:tc>
          <w:tcPr>
            <w:tcW w:w="875" w:type="pct"/>
            <w:tcBorders>
              <w:tl2br w:val="nil"/>
              <w:tr2bl w:val="nil"/>
            </w:tcBorders>
            <w:tcMar>
              <w:top w:w="0" w:type="dxa"/>
              <w:left w:w="85" w:type="dxa"/>
              <w:bottom w:w="0" w:type="dxa"/>
              <w:right w:w="85" w:type="dxa"/>
            </w:tcMar>
            <w:vAlign w:val="center"/>
          </w:tcPr>
          <w:p w14:paraId="21054214">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保护级别</w:t>
            </w:r>
          </w:p>
        </w:tc>
      </w:tr>
      <w:tr w14:paraId="114BA1A5">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314" w:type="pct"/>
            <w:tcBorders>
              <w:tl2br w:val="nil"/>
              <w:tr2bl w:val="nil"/>
            </w:tcBorders>
            <w:tcMar>
              <w:top w:w="0" w:type="dxa"/>
              <w:left w:w="85" w:type="dxa"/>
              <w:bottom w:w="0" w:type="dxa"/>
              <w:right w:w="85" w:type="dxa"/>
            </w:tcMar>
            <w:vAlign w:val="center"/>
          </w:tcPr>
          <w:p w14:paraId="49EAFD02">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1</w:t>
            </w:r>
          </w:p>
        </w:tc>
        <w:tc>
          <w:tcPr>
            <w:tcW w:w="627" w:type="pct"/>
            <w:tcBorders>
              <w:tl2br w:val="nil"/>
              <w:tr2bl w:val="nil"/>
            </w:tcBorders>
            <w:shd w:val="clear" w:color="auto" w:fill="auto"/>
            <w:tcMar>
              <w:top w:w="0" w:type="dxa"/>
              <w:left w:w="85" w:type="dxa"/>
              <w:bottom w:w="0" w:type="dxa"/>
              <w:right w:w="85" w:type="dxa"/>
            </w:tcMar>
            <w:vAlign w:val="center"/>
          </w:tcPr>
          <w:p w14:paraId="4E0AEF3E">
            <w:pPr>
              <w:widowControl w:val="0"/>
              <w:adjustRightInd w:val="0"/>
              <w:snapToGrid w:val="0"/>
              <w:ind w:firstLine="4"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en-US" w:bidi="ar-SA"/>
              </w:rPr>
              <w:t>邢家围子水井</w:t>
            </w:r>
          </w:p>
        </w:tc>
        <w:tc>
          <w:tcPr>
            <w:tcW w:w="923" w:type="pct"/>
            <w:tcBorders>
              <w:tl2br w:val="nil"/>
              <w:tr2bl w:val="nil"/>
            </w:tcBorders>
            <w:shd w:val="clear" w:color="auto" w:fill="auto"/>
            <w:tcMar>
              <w:top w:w="0" w:type="dxa"/>
              <w:left w:w="85" w:type="dxa"/>
              <w:bottom w:w="0" w:type="dxa"/>
              <w:right w:w="85" w:type="dxa"/>
            </w:tcMar>
            <w:vAlign w:val="center"/>
          </w:tcPr>
          <w:p w14:paraId="4CE146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cs="Times New Roman" w:eastAsiaTheme="minorEastAsia"/>
                <w:color w:val="auto"/>
                <w:w w:val="99"/>
                <w:sz w:val="21"/>
                <w:szCs w:val="21"/>
                <w:highlight w:val="none"/>
                <w:lang w:val="en-US" w:eastAsia="zh-CN" w:bidi="ar-SA"/>
              </w:rPr>
              <w:t>EN380m</w:t>
            </w:r>
          </w:p>
          <w:p w14:paraId="7DBE3257">
            <w:pPr>
              <w:pStyle w:val="101"/>
              <w:ind w:left="210" w:leftChars="0"/>
              <w:rPr>
                <w:rFonts w:hint="default" w:ascii="Calibri" w:hAnsi="Calibri" w:eastAsia="宋体" w:cs="Times New Roman"/>
                <w:smallCaps/>
                <w:color w:val="000000"/>
                <w:kern w:val="2"/>
                <w:sz w:val="20"/>
                <w:szCs w:val="20"/>
                <w:lang w:val="en-US" w:eastAsia="zh-CN" w:bidi="ar-SA"/>
              </w:rPr>
            </w:pPr>
            <w:r>
              <w:rPr>
                <w:rFonts w:hint="eastAsia" w:ascii="Times New Roman" w:hAnsi="Times New Roman" w:eastAsia="宋体" w:cs="Times New Roman"/>
                <w:color w:val="auto"/>
                <w:w w:val="99"/>
                <w:sz w:val="21"/>
                <w:szCs w:val="21"/>
                <w:highlight w:val="none"/>
                <w:lang w:val="en-US" w:eastAsia="zh-CN" w:bidi="ar-SA"/>
              </w:rPr>
              <w:t>采气管道E300m</w:t>
            </w:r>
          </w:p>
        </w:tc>
        <w:tc>
          <w:tcPr>
            <w:tcW w:w="2259" w:type="pct"/>
            <w:tcBorders>
              <w:tl2br w:val="nil"/>
              <w:tr2bl w:val="nil"/>
            </w:tcBorders>
            <w:shd w:val="clear" w:color="auto" w:fill="auto"/>
            <w:tcMar>
              <w:top w:w="0" w:type="dxa"/>
              <w:left w:w="85" w:type="dxa"/>
              <w:bottom w:w="0" w:type="dxa"/>
              <w:right w:w="85" w:type="dxa"/>
            </w:tcMar>
            <w:vAlign w:val="center"/>
          </w:tcPr>
          <w:p w14:paraId="3A573CAE">
            <w:pPr>
              <w:widowControl w:val="0"/>
              <w:spacing w:line="26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en-US" w:bidi="ar-SA"/>
              </w:rPr>
              <w:t>有1口</w:t>
            </w:r>
            <w:r>
              <w:rPr>
                <w:rFonts w:hint="eastAsia" w:ascii="Times New Roman" w:hAnsi="Times New Roman" w:cs="Times New Roman" w:eastAsiaTheme="minorEastAsia"/>
                <w:color w:val="auto"/>
                <w:w w:val="99"/>
                <w:sz w:val="21"/>
                <w:szCs w:val="21"/>
                <w:highlight w:val="none"/>
                <w:lang w:val="en-US" w:eastAsia="zh-CN" w:bidi="ar-SA"/>
              </w:rPr>
              <w:t>水源</w:t>
            </w:r>
            <w:r>
              <w:rPr>
                <w:rFonts w:ascii="Times New Roman" w:hAnsi="Times New Roman" w:cs="Times New Roman" w:eastAsiaTheme="minorEastAsia"/>
                <w:color w:val="auto"/>
                <w:w w:val="99"/>
                <w:sz w:val="21"/>
                <w:szCs w:val="21"/>
                <w:highlight w:val="none"/>
                <w:lang w:val="en-US" w:eastAsia="en-US" w:bidi="ar-SA"/>
              </w:rPr>
              <w:t>井位于屯东侧，井深110m，供本屯约</w:t>
            </w:r>
            <w:r>
              <w:rPr>
                <w:rFonts w:hint="eastAsia" w:ascii="Times New Roman" w:hAnsi="Times New Roman" w:cs="Times New Roman" w:eastAsiaTheme="minorEastAsia"/>
                <w:color w:val="auto"/>
                <w:w w:val="99"/>
                <w:sz w:val="21"/>
                <w:szCs w:val="21"/>
                <w:highlight w:val="none"/>
                <w:lang w:val="en-US" w:eastAsia="zh-CN" w:bidi="ar-SA"/>
              </w:rPr>
              <w:t>2</w:t>
            </w:r>
            <w:r>
              <w:rPr>
                <w:rFonts w:ascii="Times New Roman" w:hAnsi="Times New Roman" w:cs="Times New Roman" w:eastAsiaTheme="minorEastAsia"/>
                <w:color w:val="auto"/>
                <w:w w:val="99"/>
                <w:sz w:val="21"/>
                <w:szCs w:val="21"/>
                <w:highlight w:val="none"/>
                <w:lang w:val="en-US" w:eastAsia="en-US" w:bidi="ar-SA"/>
              </w:rPr>
              <w:t>50人饮用和其它生活使用</w:t>
            </w:r>
          </w:p>
        </w:tc>
        <w:tc>
          <w:tcPr>
            <w:tcW w:w="875" w:type="pct"/>
            <w:vMerge w:val="restart"/>
            <w:tcBorders>
              <w:tl2br w:val="nil"/>
              <w:tr2bl w:val="nil"/>
            </w:tcBorders>
            <w:tcMar>
              <w:top w:w="0" w:type="dxa"/>
              <w:left w:w="85" w:type="dxa"/>
              <w:bottom w:w="0" w:type="dxa"/>
              <w:right w:w="85" w:type="dxa"/>
            </w:tcMar>
            <w:vAlign w:val="center"/>
          </w:tcPr>
          <w:p w14:paraId="478DE24B">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《地下水质量标准》（GB/T14848-2017）III类，石油类参考执行《地表水环境质量标准》（GB3838-2002）表1中的II类标准限值要求</w:t>
            </w:r>
          </w:p>
        </w:tc>
      </w:tr>
      <w:tr w14:paraId="117EF7ED">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314" w:type="pct"/>
            <w:tcBorders>
              <w:tl2br w:val="nil"/>
              <w:tr2bl w:val="nil"/>
            </w:tcBorders>
            <w:tcMar>
              <w:top w:w="0" w:type="dxa"/>
              <w:left w:w="85" w:type="dxa"/>
              <w:bottom w:w="0" w:type="dxa"/>
              <w:right w:w="85" w:type="dxa"/>
            </w:tcMar>
            <w:vAlign w:val="center"/>
          </w:tcPr>
          <w:p w14:paraId="1FD644B4">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2</w:t>
            </w:r>
          </w:p>
        </w:tc>
        <w:tc>
          <w:tcPr>
            <w:tcW w:w="627" w:type="pct"/>
            <w:tcBorders>
              <w:tl2br w:val="nil"/>
              <w:tr2bl w:val="nil"/>
            </w:tcBorders>
            <w:shd w:val="clear" w:color="auto" w:fill="auto"/>
            <w:tcMar>
              <w:top w:w="0" w:type="dxa"/>
              <w:left w:w="85" w:type="dxa"/>
              <w:bottom w:w="0" w:type="dxa"/>
              <w:right w:w="85" w:type="dxa"/>
            </w:tcMar>
            <w:vAlign w:val="center"/>
          </w:tcPr>
          <w:p w14:paraId="5E1EDC73">
            <w:pPr>
              <w:widowControl w:val="0"/>
              <w:adjustRightInd w:val="0"/>
              <w:snapToGrid w:val="0"/>
              <w:ind w:firstLine="4"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福龙村（</w:t>
            </w:r>
            <w:r>
              <w:rPr>
                <w:rFonts w:ascii="Times New Roman" w:hAnsi="Times New Roman" w:cs="Times New Roman" w:eastAsiaTheme="minorEastAsia"/>
                <w:color w:val="auto"/>
                <w:w w:val="99"/>
                <w:sz w:val="21"/>
                <w:szCs w:val="21"/>
                <w:highlight w:val="none"/>
                <w:lang w:val="en-US" w:eastAsia="en-US" w:bidi="ar-SA"/>
              </w:rPr>
              <w:t>尚家围子水井</w:t>
            </w:r>
            <w:r>
              <w:rPr>
                <w:rFonts w:hint="eastAsia" w:ascii="Times New Roman" w:hAnsi="Times New Roman" w:cs="Times New Roman" w:eastAsiaTheme="minorEastAsia"/>
                <w:color w:val="auto"/>
                <w:w w:val="99"/>
                <w:sz w:val="21"/>
                <w:szCs w:val="21"/>
                <w:highlight w:val="none"/>
                <w:lang w:val="en-US" w:eastAsia="zh-CN" w:bidi="ar-SA"/>
              </w:rPr>
              <w:t>）</w:t>
            </w:r>
          </w:p>
        </w:tc>
        <w:tc>
          <w:tcPr>
            <w:tcW w:w="923" w:type="pct"/>
            <w:tcBorders>
              <w:tl2br w:val="nil"/>
              <w:tr2bl w:val="nil"/>
            </w:tcBorders>
            <w:shd w:val="clear" w:color="auto" w:fill="auto"/>
            <w:tcMar>
              <w:top w:w="0" w:type="dxa"/>
              <w:left w:w="85" w:type="dxa"/>
              <w:bottom w:w="0" w:type="dxa"/>
              <w:right w:w="85" w:type="dxa"/>
            </w:tcMar>
            <w:vAlign w:val="center"/>
          </w:tcPr>
          <w:p w14:paraId="6F7DD36C">
            <w:pPr>
              <w:widowControl w:val="0"/>
              <w:spacing w:line="26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拟建徐深27-H1井场WN850m</w:t>
            </w:r>
          </w:p>
          <w:p w14:paraId="722838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采气管道W780m</w:t>
            </w:r>
          </w:p>
        </w:tc>
        <w:tc>
          <w:tcPr>
            <w:tcW w:w="2259" w:type="pct"/>
            <w:tcBorders>
              <w:tl2br w:val="nil"/>
              <w:tr2bl w:val="nil"/>
            </w:tcBorders>
            <w:shd w:val="clear" w:color="auto" w:fill="auto"/>
            <w:tcMar>
              <w:top w:w="0" w:type="dxa"/>
              <w:left w:w="85" w:type="dxa"/>
              <w:bottom w:w="0" w:type="dxa"/>
              <w:right w:w="85" w:type="dxa"/>
            </w:tcMar>
            <w:vAlign w:val="center"/>
          </w:tcPr>
          <w:p w14:paraId="76C75F3B">
            <w:pPr>
              <w:widowControl w:val="0"/>
              <w:spacing w:line="26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en-US" w:bidi="ar-SA"/>
              </w:rPr>
              <w:t>有1口</w:t>
            </w:r>
            <w:r>
              <w:rPr>
                <w:rFonts w:hint="eastAsia" w:ascii="Times New Roman" w:hAnsi="Times New Roman" w:cs="Times New Roman" w:eastAsiaTheme="minorEastAsia"/>
                <w:color w:val="auto"/>
                <w:w w:val="99"/>
                <w:sz w:val="21"/>
                <w:szCs w:val="21"/>
                <w:highlight w:val="none"/>
                <w:lang w:val="en-US" w:eastAsia="zh-CN" w:bidi="ar-SA"/>
              </w:rPr>
              <w:t>水源</w:t>
            </w:r>
            <w:r>
              <w:rPr>
                <w:rFonts w:ascii="Times New Roman" w:hAnsi="Times New Roman" w:cs="Times New Roman" w:eastAsiaTheme="minorEastAsia"/>
                <w:color w:val="auto"/>
                <w:w w:val="99"/>
                <w:sz w:val="21"/>
                <w:szCs w:val="21"/>
                <w:highlight w:val="none"/>
                <w:lang w:val="en-US" w:eastAsia="en-US" w:bidi="ar-SA"/>
              </w:rPr>
              <w:t>井位于屯东侧，井深110m，供本屯约</w:t>
            </w:r>
            <w:r>
              <w:rPr>
                <w:rFonts w:hint="eastAsia" w:ascii="Times New Roman" w:hAnsi="Times New Roman" w:cs="Times New Roman" w:eastAsiaTheme="minorEastAsia"/>
                <w:color w:val="auto"/>
                <w:w w:val="99"/>
                <w:sz w:val="21"/>
                <w:szCs w:val="21"/>
                <w:highlight w:val="none"/>
                <w:lang w:val="en-US" w:eastAsia="zh-CN" w:bidi="ar-SA"/>
              </w:rPr>
              <w:t>3</w:t>
            </w:r>
            <w:r>
              <w:rPr>
                <w:rFonts w:ascii="Times New Roman" w:hAnsi="Times New Roman" w:cs="Times New Roman" w:eastAsiaTheme="minorEastAsia"/>
                <w:color w:val="auto"/>
                <w:w w:val="99"/>
                <w:sz w:val="21"/>
                <w:szCs w:val="21"/>
                <w:highlight w:val="none"/>
                <w:lang w:val="en-US" w:eastAsia="en-US" w:bidi="ar-SA"/>
              </w:rPr>
              <w:t>90人饮用和其它生活使用</w:t>
            </w:r>
          </w:p>
        </w:tc>
        <w:tc>
          <w:tcPr>
            <w:tcW w:w="875" w:type="pct"/>
            <w:vMerge w:val="continue"/>
            <w:tcBorders>
              <w:tl2br w:val="nil"/>
              <w:tr2bl w:val="nil"/>
            </w:tcBorders>
            <w:tcMar>
              <w:top w:w="0" w:type="dxa"/>
              <w:left w:w="85" w:type="dxa"/>
              <w:bottom w:w="0" w:type="dxa"/>
              <w:right w:w="85" w:type="dxa"/>
            </w:tcMar>
            <w:vAlign w:val="center"/>
          </w:tcPr>
          <w:p w14:paraId="57670DA1">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pacing w:val="0"/>
                <w:w w:val="100"/>
                <w:sz w:val="21"/>
                <w:szCs w:val="21"/>
                <w:highlight w:val="none"/>
              </w:rPr>
            </w:pPr>
          </w:p>
        </w:tc>
      </w:tr>
      <w:tr w14:paraId="0BD1A71D">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314" w:type="pct"/>
            <w:tcBorders>
              <w:tl2br w:val="nil"/>
              <w:tr2bl w:val="nil"/>
            </w:tcBorders>
            <w:tcMar>
              <w:top w:w="0" w:type="dxa"/>
              <w:left w:w="85" w:type="dxa"/>
              <w:bottom w:w="0" w:type="dxa"/>
              <w:right w:w="85" w:type="dxa"/>
            </w:tcMar>
            <w:vAlign w:val="center"/>
          </w:tcPr>
          <w:p w14:paraId="702CEDE7">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eastAsia" w:ascii="Times New Roman" w:hAnsi="Times New Roman" w:eastAsia="宋体"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3</w:t>
            </w:r>
          </w:p>
        </w:tc>
        <w:tc>
          <w:tcPr>
            <w:tcW w:w="627" w:type="pct"/>
            <w:tcBorders>
              <w:tl2br w:val="nil"/>
              <w:tr2bl w:val="nil"/>
            </w:tcBorders>
            <w:shd w:val="clear" w:color="auto" w:fill="auto"/>
            <w:tcMar>
              <w:top w:w="0" w:type="dxa"/>
              <w:left w:w="85" w:type="dxa"/>
              <w:bottom w:w="0" w:type="dxa"/>
              <w:right w:w="85" w:type="dxa"/>
            </w:tcMar>
            <w:vAlign w:val="center"/>
          </w:tcPr>
          <w:p w14:paraId="030A6E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FF"/>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rPr>
              <w:t>后柜屯</w:t>
            </w:r>
            <w:r>
              <w:rPr>
                <w:rFonts w:ascii="Times New Roman" w:hAnsi="Times New Roman" w:cs="Times New Roman" w:eastAsiaTheme="minorEastAsia"/>
                <w:color w:val="auto"/>
                <w:w w:val="99"/>
                <w:sz w:val="21"/>
                <w:szCs w:val="21"/>
                <w:highlight w:val="none"/>
                <w:lang w:val="en-US" w:eastAsia="en-US" w:bidi="ar-SA"/>
              </w:rPr>
              <w:t>水井</w:t>
            </w:r>
          </w:p>
        </w:tc>
        <w:tc>
          <w:tcPr>
            <w:tcW w:w="923" w:type="pct"/>
            <w:tcBorders>
              <w:tl2br w:val="nil"/>
              <w:tr2bl w:val="nil"/>
            </w:tcBorders>
            <w:shd w:val="clear" w:color="auto" w:fill="auto"/>
            <w:tcMar>
              <w:top w:w="0" w:type="dxa"/>
              <w:left w:w="85" w:type="dxa"/>
              <w:bottom w:w="0" w:type="dxa"/>
              <w:right w:w="85" w:type="dxa"/>
            </w:tcMar>
            <w:vAlign w:val="center"/>
          </w:tcPr>
          <w:p w14:paraId="4257CF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拟建徐深27-H1井场ES1.86km</w:t>
            </w:r>
          </w:p>
        </w:tc>
        <w:tc>
          <w:tcPr>
            <w:tcW w:w="2259" w:type="pct"/>
            <w:tcBorders>
              <w:tl2br w:val="nil"/>
              <w:tr2bl w:val="nil"/>
            </w:tcBorders>
            <w:shd w:val="clear" w:color="auto" w:fill="auto"/>
            <w:tcMar>
              <w:top w:w="0" w:type="dxa"/>
              <w:left w:w="85" w:type="dxa"/>
              <w:bottom w:w="0" w:type="dxa"/>
              <w:right w:w="85" w:type="dxa"/>
            </w:tcMar>
            <w:vAlign w:val="center"/>
          </w:tcPr>
          <w:p w14:paraId="0146F62B">
            <w:pPr>
              <w:spacing w:before="35" w:line="227" w:lineRule="auto"/>
              <w:ind w:left="114" w:leftChars="0"/>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en-US" w:bidi="ar-SA"/>
              </w:rPr>
              <w:t>有</w:t>
            </w:r>
            <w:r>
              <w:rPr>
                <w:rFonts w:hint="eastAsia" w:ascii="Times New Roman" w:hAnsi="Times New Roman" w:cs="Times New Roman" w:eastAsiaTheme="minorEastAsia"/>
                <w:color w:val="auto"/>
                <w:w w:val="99"/>
                <w:sz w:val="21"/>
                <w:szCs w:val="21"/>
                <w:highlight w:val="none"/>
                <w:lang w:val="en-US" w:eastAsia="zh-CN" w:bidi="ar-SA"/>
              </w:rPr>
              <w:t>2</w:t>
            </w:r>
            <w:r>
              <w:rPr>
                <w:rFonts w:ascii="Times New Roman" w:hAnsi="Times New Roman" w:cs="Times New Roman" w:eastAsiaTheme="minorEastAsia"/>
                <w:color w:val="auto"/>
                <w:w w:val="99"/>
                <w:sz w:val="21"/>
                <w:szCs w:val="21"/>
                <w:highlight w:val="none"/>
                <w:lang w:val="en-US" w:eastAsia="en-US" w:bidi="ar-SA"/>
              </w:rPr>
              <w:t>口</w:t>
            </w:r>
            <w:r>
              <w:rPr>
                <w:rFonts w:hint="eastAsia" w:ascii="Times New Roman" w:hAnsi="Times New Roman" w:cs="Times New Roman" w:eastAsiaTheme="minorEastAsia"/>
                <w:color w:val="auto"/>
                <w:w w:val="99"/>
                <w:sz w:val="21"/>
                <w:szCs w:val="21"/>
                <w:highlight w:val="none"/>
                <w:lang w:val="en-US" w:eastAsia="zh-CN" w:bidi="ar-SA"/>
              </w:rPr>
              <w:t>水源</w:t>
            </w:r>
            <w:r>
              <w:rPr>
                <w:rFonts w:ascii="Times New Roman" w:hAnsi="Times New Roman" w:cs="Times New Roman" w:eastAsiaTheme="minorEastAsia"/>
                <w:color w:val="auto"/>
                <w:w w:val="99"/>
                <w:sz w:val="21"/>
                <w:szCs w:val="21"/>
                <w:highlight w:val="none"/>
                <w:lang w:val="en-US" w:eastAsia="en-US" w:bidi="ar-SA"/>
              </w:rPr>
              <w:t>井位于屯</w:t>
            </w:r>
            <w:r>
              <w:rPr>
                <w:rFonts w:hint="eastAsia" w:ascii="Times New Roman" w:hAnsi="Times New Roman" w:cs="Times New Roman" w:eastAsiaTheme="minorEastAsia"/>
                <w:color w:val="auto"/>
                <w:w w:val="99"/>
                <w:sz w:val="21"/>
                <w:szCs w:val="21"/>
                <w:highlight w:val="none"/>
                <w:lang w:val="en-US" w:eastAsia="zh-CN" w:bidi="ar-SA"/>
              </w:rPr>
              <w:t>北</w:t>
            </w:r>
            <w:r>
              <w:rPr>
                <w:rFonts w:ascii="Times New Roman" w:hAnsi="Times New Roman" w:cs="Times New Roman" w:eastAsiaTheme="minorEastAsia"/>
                <w:color w:val="auto"/>
                <w:w w:val="99"/>
                <w:sz w:val="21"/>
                <w:szCs w:val="21"/>
                <w:highlight w:val="none"/>
                <w:lang w:val="en-US" w:eastAsia="en-US" w:bidi="ar-SA"/>
              </w:rPr>
              <w:t>侧，井深110m，供本屯</w:t>
            </w:r>
            <w:r>
              <w:rPr>
                <w:rFonts w:hint="eastAsia" w:ascii="Times New Roman" w:hAnsi="Times New Roman" w:cs="Times New Roman" w:eastAsiaTheme="minorEastAsia"/>
                <w:color w:val="auto"/>
                <w:w w:val="99"/>
                <w:sz w:val="21"/>
                <w:szCs w:val="21"/>
                <w:highlight w:val="none"/>
                <w:lang w:val="en-US" w:eastAsia="zh-CN" w:bidi="ar-SA"/>
              </w:rPr>
              <w:t>、杨家屯、崔永宝屯、鹿家屯、腰柜屯等村屯</w:t>
            </w:r>
            <w:r>
              <w:rPr>
                <w:rFonts w:ascii="Times New Roman" w:hAnsi="Times New Roman" w:cs="Times New Roman" w:eastAsiaTheme="minorEastAsia"/>
                <w:color w:val="auto"/>
                <w:w w:val="99"/>
                <w:sz w:val="21"/>
                <w:szCs w:val="21"/>
                <w:highlight w:val="none"/>
                <w:lang w:val="en-US" w:eastAsia="en-US" w:bidi="ar-SA"/>
              </w:rPr>
              <w:t>饮用和其它生活使用</w:t>
            </w:r>
          </w:p>
        </w:tc>
        <w:tc>
          <w:tcPr>
            <w:tcW w:w="875" w:type="pct"/>
            <w:vMerge w:val="continue"/>
            <w:tcBorders>
              <w:tl2br w:val="nil"/>
              <w:tr2bl w:val="nil"/>
            </w:tcBorders>
            <w:tcMar>
              <w:top w:w="0" w:type="dxa"/>
              <w:left w:w="85" w:type="dxa"/>
              <w:bottom w:w="0" w:type="dxa"/>
              <w:right w:w="85" w:type="dxa"/>
            </w:tcMar>
            <w:vAlign w:val="center"/>
          </w:tcPr>
          <w:p w14:paraId="4DED024D">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pacing w:val="0"/>
                <w:w w:val="100"/>
                <w:sz w:val="21"/>
                <w:szCs w:val="21"/>
                <w:highlight w:val="none"/>
              </w:rPr>
            </w:pPr>
          </w:p>
        </w:tc>
      </w:tr>
      <w:tr w14:paraId="4DD08D10">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314" w:type="pct"/>
            <w:tcBorders>
              <w:tl2br w:val="nil"/>
              <w:tr2bl w:val="nil"/>
            </w:tcBorders>
            <w:tcMar>
              <w:top w:w="0" w:type="dxa"/>
              <w:left w:w="85" w:type="dxa"/>
              <w:bottom w:w="0" w:type="dxa"/>
              <w:right w:w="85" w:type="dxa"/>
            </w:tcMar>
            <w:vAlign w:val="center"/>
          </w:tcPr>
          <w:p w14:paraId="78B7F84E">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4</w:t>
            </w:r>
          </w:p>
        </w:tc>
        <w:tc>
          <w:tcPr>
            <w:tcW w:w="627" w:type="pct"/>
            <w:tcBorders>
              <w:tl2br w:val="nil"/>
              <w:tr2bl w:val="nil"/>
            </w:tcBorders>
            <w:shd w:val="clear" w:color="auto" w:fill="auto"/>
            <w:tcMar>
              <w:top w:w="0" w:type="dxa"/>
              <w:left w:w="85" w:type="dxa"/>
              <w:bottom w:w="0" w:type="dxa"/>
              <w:right w:w="85" w:type="dxa"/>
            </w:tcMar>
            <w:vAlign w:val="center"/>
          </w:tcPr>
          <w:p w14:paraId="3A5D50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rPr>
              <w:t>新发屯</w:t>
            </w:r>
            <w:r>
              <w:rPr>
                <w:rFonts w:ascii="Times New Roman" w:hAnsi="Times New Roman" w:cs="Times New Roman" w:eastAsiaTheme="minorEastAsia"/>
                <w:color w:val="auto"/>
                <w:w w:val="99"/>
                <w:sz w:val="21"/>
                <w:szCs w:val="21"/>
                <w:highlight w:val="none"/>
                <w:lang w:val="en-US" w:eastAsia="en-US" w:bidi="ar-SA"/>
              </w:rPr>
              <w:t>水井</w:t>
            </w:r>
          </w:p>
        </w:tc>
        <w:tc>
          <w:tcPr>
            <w:tcW w:w="923" w:type="pct"/>
            <w:tcBorders>
              <w:tl2br w:val="nil"/>
              <w:tr2bl w:val="nil"/>
            </w:tcBorders>
            <w:shd w:val="clear" w:color="auto" w:fill="auto"/>
            <w:tcMar>
              <w:top w:w="0" w:type="dxa"/>
              <w:left w:w="85" w:type="dxa"/>
              <w:bottom w:w="0" w:type="dxa"/>
              <w:right w:w="85" w:type="dxa"/>
            </w:tcMar>
            <w:vAlign w:val="center"/>
          </w:tcPr>
          <w:p w14:paraId="747CAE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rPr>
              <w:t>拟建</w:t>
            </w:r>
            <w:r>
              <w:rPr>
                <w:rFonts w:hint="default" w:ascii="Times New Roman" w:hAnsi="Times New Roman" w:eastAsia="宋体" w:cs="Times New Roman"/>
                <w:color w:val="auto"/>
                <w:w w:val="99"/>
                <w:sz w:val="21"/>
                <w:szCs w:val="21"/>
                <w:highlight w:val="none"/>
                <w:lang w:val="en-US" w:eastAsia="zh-CN"/>
              </w:rPr>
              <w:t>徐深27-H1井</w:t>
            </w:r>
            <w:r>
              <w:rPr>
                <w:rFonts w:hint="eastAsia" w:ascii="Times New Roman" w:hAnsi="Times New Roman" w:eastAsia="宋体" w:cs="Times New Roman"/>
                <w:color w:val="auto"/>
                <w:w w:val="99"/>
                <w:sz w:val="21"/>
                <w:szCs w:val="21"/>
                <w:highlight w:val="none"/>
                <w:lang w:val="en-US" w:eastAsia="zh-CN"/>
              </w:rPr>
              <w:t>S</w:t>
            </w:r>
            <w:r>
              <w:rPr>
                <w:rFonts w:hint="eastAsia" w:ascii="Times New Roman" w:hAnsi="Times New Roman" w:cs="Times New Roman"/>
                <w:color w:val="auto"/>
                <w:w w:val="99"/>
                <w:sz w:val="21"/>
                <w:szCs w:val="21"/>
                <w:highlight w:val="none"/>
                <w:lang w:val="en-US" w:eastAsia="zh-CN" w:bidi="ar-SA"/>
              </w:rPr>
              <w:t>W2.0</w:t>
            </w:r>
            <w:r>
              <w:rPr>
                <w:rFonts w:hint="eastAsia" w:ascii="Times New Roman" w:hAnsi="Times New Roman" w:cs="Times New Roman" w:eastAsiaTheme="minorEastAsia"/>
                <w:color w:val="auto"/>
                <w:w w:val="99"/>
                <w:sz w:val="21"/>
                <w:szCs w:val="21"/>
                <w:highlight w:val="none"/>
                <w:lang w:val="en-US" w:eastAsia="zh-CN" w:bidi="ar-SA"/>
              </w:rPr>
              <w:t>km</w:t>
            </w:r>
          </w:p>
        </w:tc>
        <w:tc>
          <w:tcPr>
            <w:tcW w:w="2259" w:type="pct"/>
            <w:tcBorders>
              <w:tl2br w:val="nil"/>
              <w:tr2bl w:val="nil"/>
            </w:tcBorders>
            <w:shd w:val="clear" w:color="auto" w:fill="auto"/>
            <w:tcMar>
              <w:top w:w="0" w:type="dxa"/>
              <w:left w:w="85" w:type="dxa"/>
              <w:bottom w:w="0" w:type="dxa"/>
              <w:right w:w="85" w:type="dxa"/>
            </w:tcMar>
            <w:vAlign w:val="center"/>
          </w:tcPr>
          <w:p w14:paraId="5BA59BD1">
            <w:pPr>
              <w:pStyle w:val="2857"/>
              <w:spacing w:before="35" w:line="227" w:lineRule="auto"/>
              <w:ind w:left="114" w:leftChars="0"/>
              <w:rPr>
                <w:rFonts w:hint="eastAsia" w:ascii="Times New Roman" w:hAnsi="Times New Roman" w:eastAsia="宋体" w:cs="Times New Roman"/>
                <w:color w:val="auto"/>
                <w:w w:val="99"/>
                <w:sz w:val="21"/>
                <w:szCs w:val="21"/>
                <w:highlight w:val="none"/>
                <w:lang w:val="en-US" w:eastAsia="en-US" w:bidi="ar-SA"/>
              </w:rPr>
            </w:pPr>
            <w:r>
              <w:rPr>
                <w:rFonts w:hint="eastAsia" w:ascii="Times New Roman" w:hAnsi="Times New Roman" w:eastAsia="宋体" w:cs="Times New Roman"/>
                <w:color w:val="auto"/>
                <w:w w:val="99"/>
                <w:sz w:val="21"/>
                <w:szCs w:val="21"/>
                <w:highlight w:val="none"/>
                <w:lang w:val="en-US" w:eastAsia="zh-CN" w:bidi="ar-SA"/>
              </w:rPr>
              <w:t>有1口</w:t>
            </w:r>
            <w:r>
              <w:rPr>
                <w:rFonts w:hint="eastAsia" w:ascii="Times New Roman" w:hAnsi="Times New Roman" w:cs="Times New Roman" w:eastAsiaTheme="minorEastAsia"/>
                <w:color w:val="auto"/>
                <w:w w:val="99"/>
                <w:sz w:val="21"/>
                <w:szCs w:val="21"/>
                <w:highlight w:val="none"/>
                <w:lang w:val="en-US" w:eastAsia="zh-CN" w:bidi="ar-SA"/>
              </w:rPr>
              <w:t>水源</w:t>
            </w:r>
            <w:r>
              <w:rPr>
                <w:rFonts w:ascii="Times New Roman" w:hAnsi="Times New Roman" w:cs="Times New Roman" w:eastAsiaTheme="minorEastAsia"/>
                <w:color w:val="auto"/>
                <w:w w:val="99"/>
                <w:sz w:val="21"/>
                <w:szCs w:val="21"/>
                <w:highlight w:val="none"/>
                <w:lang w:val="en-US" w:eastAsia="en-US" w:bidi="ar-SA"/>
              </w:rPr>
              <w:t>井</w:t>
            </w:r>
            <w:r>
              <w:rPr>
                <w:rFonts w:hint="eastAsia" w:ascii="Times New Roman" w:hAnsi="Times New Roman" w:eastAsia="宋体" w:cs="Times New Roman"/>
                <w:color w:val="auto"/>
                <w:w w:val="99"/>
                <w:sz w:val="21"/>
                <w:szCs w:val="21"/>
                <w:highlight w:val="none"/>
                <w:lang w:val="en-US" w:eastAsia="zh-CN" w:bidi="ar-SA"/>
              </w:rPr>
              <w:t>位于屯北侧，井深105m，供本屯约1</w:t>
            </w:r>
            <w:r>
              <w:rPr>
                <w:rFonts w:hint="eastAsia" w:ascii="Times New Roman" w:hAnsi="Times New Roman" w:cs="Times New Roman"/>
                <w:color w:val="auto"/>
                <w:w w:val="99"/>
                <w:sz w:val="21"/>
                <w:szCs w:val="21"/>
                <w:highlight w:val="none"/>
                <w:lang w:val="en-US" w:eastAsia="zh-CN" w:bidi="ar-SA"/>
              </w:rPr>
              <w:t>5</w:t>
            </w:r>
            <w:r>
              <w:rPr>
                <w:rFonts w:hint="eastAsia" w:ascii="Times New Roman" w:hAnsi="Times New Roman" w:eastAsia="宋体" w:cs="Times New Roman"/>
                <w:color w:val="auto"/>
                <w:w w:val="99"/>
                <w:sz w:val="21"/>
                <w:szCs w:val="21"/>
                <w:highlight w:val="none"/>
                <w:lang w:val="en-US" w:eastAsia="zh-CN" w:bidi="ar-SA"/>
              </w:rPr>
              <w:t>0人饮用和其它生活使用</w:t>
            </w:r>
          </w:p>
        </w:tc>
        <w:tc>
          <w:tcPr>
            <w:tcW w:w="875" w:type="pct"/>
            <w:vMerge w:val="continue"/>
            <w:tcBorders>
              <w:tl2br w:val="nil"/>
              <w:tr2bl w:val="nil"/>
            </w:tcBorders>
            <w:tcMar>
              <w:top w:w="0" w:type="dxa"/>
              <w:left w:w="85" w:type="dxa"/>
              <w:bottom w:w="0" w:type="dxa"/>
              <w:right w:w="85" w:type="dxa"/>
            </w:tcMar>
            <w:vAlign w:val="center"/>
          </w:tcPr>
          <w:p w14:paraId="447EEEA8">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pacing w:val="0"/>
                <w:w w:val="100"/>
                <w:sz w:val="21"/>
                <w:szCs w:val="21"/>
                <w:highlight w:val="none"/>
              </w:rPr>
            </w:pPr>
          </w:p>
        </w:tc>
      </w:tr>
      <w:tr w14:paraId="4E3F515A">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314" w:type="pct"/>
            <w:tcBorders>
              <w:tl2br w:val="nil"/>
              <w:tr2bl w:val="nil"/>
            </w:tcBorders>
            <w:tcMar>
              <w:top w:w="0" w:type="dxa"/>
              <w:left w:w="85" w:type="dxa"/>
              <w:bottom w:w="0" w:type="dxa"/>
              <w:right w:w="85" w:type="dxa"/>
            </w:tcMar>
            <w:vAlign w:val="center"/>
          </w:tcPr>
          <w:p w14:paraId="5A8CB0A2">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eastAsia" w:ascii="Times New Roman" w:hAnsi="Times New Roman" w:eastAsia="宋体"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5</w:t>
            </w:r>
          </w:p>
        </w:tc>
        <w:tc>
          <w:tcPr>
            <w:tcW w:w="627" w:type="pct"/>
            <w:tcBorders>
              <w:tl2br w:val="nil"/>
              <w:tr2bl w:val="nil"/>
            </w:tcBorders>
            <w:shd w:val="clear" w:color="auto" w:fill="auto"/>
            <w:tcMar>
              <w:top w:w="0" w:type="dxa"/>
              <w:left w:w="85" w:type="dxa"/>
              <w:bottom w:w="0" w:type="dxa"/>
              <w:right w:w="85" w:type="dxa"/>
            </w:tcMar>
            <w:vAlign w:val="center"/>
          </w:tcPr>
          <w:p w14:paraId="3E4624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rPr>
              <w:t>东双山屯</w:t>
            </w:r>
          </w:p>
        </w:tc>
        <w:tc>
          <w:tcPr>
            <w:tcW w:w="923" w:type="pct"/>
            <w:tcBorders>
              <w:tl2br w:val="nil"/>
              <w:tr2bl w:val="nil"/>
            </w:tcBorders>
            <w:shd w:val="clear" w:color="auto" w:fill="auto"/>
            <w:tcMar>
              <w:top w:w="0" w:type="dxa"/>
              <w:left w:w="85" w:type="dxa"/>
              <w:bottom w:w="0" w:type="dxa"/>
              <w:right w:w="85" w:type="dxa"/>
            </w:tcMar>
            <w:vAlign w:val="center"/>
          </w:tcPr>
          <w:p w14:paraId="099D56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eastAsia" w:ascii="Times New Roman" w:hAnsi="Times New Roman" w:cs="Times New Roman" w:eastAsiaTheme="minorEastAsia"/>
                <w:color w:val="auto"/>
                <w:w w:val="99"/>
                <w:sz w:val="21"/>
                <w:szCs w:val="21"/>
                <w:highlight w:val="none"/>
                <w:lang w:val="en-US" w:eastAsia="zh-CN" w:bidi="ar-SA"/>
              </w:rPr>
              <w:t>徐深27集气站WN1.6km</w:t>
            </w:r>
          </w:p>
        </w:tc>
        <w:tc>
          <w:tcPr>
            <w:tcW w:w="2259" w:type="pct"/>
            <w:tcBorders>
              <w:tl2br w:val="nil"/>
              <w:tr2bl w:val="nil"/>
            </w:tcBorders>
            <w:shd w:val="clear" w:color="auto" w:fill="auto"/>
            <w:tcMar>
              <w:top w:w="0" w:type="dxa"/>
              <w:left w:w="85" w:type="dxa"/>
              <w:bottom w:w="0" w:type="dxa"/>
              <w:right w:w="85" w:type="dxa"/>
            </w:tcMar>
            <w:vAlign w:val="center"/>
          </w:tcPr>
          <w:p w14:paraId="340C010D">
            <w:pPr>
              <w:pStyle w:val="2857"/>
              <w:spacing w:before="35" w:line="227" w:lineRule="auto"/>
              <w:ind w:left="114" w:leftChars="0"/>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有2口</w:t>
            </w:r>
            <w:r>
              <w:rPr>
                <w:rFonts w:hint="eastAsia" w:ascii="Times New Roman" w:hAnsi="Times New Roman" w:cs="Times New Roman" w:eastAsiaTheme="minorEastAsia"/>
                <w:color w:val="auto"/>
                <w:w w:val="99"/>
                <w:sz w:val="21"/>
                <w:szCs w:val="21"/>
                <w:highlight w:val="none"/>
                <w:lang w:val="en-US" w:eastAsia="zh-CN" w:bidi="ar-SA"/>
              </w:rPr>
              <w:t>水源</w:t>
            </w:r>
            <w:r>
              <w:rPr>
                <w:rFonts w:ascii="Times New Roman" w:hAnsi="Times New Roman" w:cs="Times New Roman" w:eastAsiaTheme="minorEastAsia"/>
                <w:color w:val="auto"/>
                <w:w w:val="99"/>
                <w:sz w:val="21"/>
                <w:szCs w:val="21"/>
                <w:highlight w:val="none"/>
                <w:lang w:val="en-US" w:eastAsia="en-US" w:bidi="ar-SA"/>
              </w:rPr>
              <w:t>井</w:t>
            </w:r>
            <w:r>
              <w:rPr>
                <w:rFonts w:hint="eastAsia" w:ascii="Times New Roman" w:hAnsi="Times New Roman" w:eastAsia="宋体" w:cs="Times New Roman"/>
                <w:color w:val="auto"/>
                <w:w w:val="99"/>
                <w:sz w:val="21"/>
                <w:szCs w:val="21"/>
                <w:highlight w:val="none"/>
                <w:lang w:val="en-US" w:eastAsia="zh-CN" w:bidi="ar-SA"/>
              </w:rPr>
              <w:t>位于屯北侧，井深105-110m，</w:t>
            </w:r>
            <w:r>
              <w:rPr>
                <w:rFonts w:ascii="Times New Roman" w:hAnsi="Times New Roman" w:cs="Times New Roman" w:eastAsiaTheme="minorEastAsia"/>
                <w:color w:val="auto"/>
                <w:w w:val="99"/>
                <w:sz w:val="21"/>
                <w:szCs w:val="21"/>
                <w:highlight w:val="none"/>
                <w:lang w:val="en-US" w:eastAsia="en-US" w:bidi="ar-SA"/>
              </w:rPr>
              <w:t>供本屯</w:t>
            </w:r>
            <w:r>
              <w:rPr>
                <w:rFonts w:hint="eastAsia" w:ascii="Times New Roman" w:hAnsi="Times New Roman" w:cs="Times New Roman" w:eastAsiaTheme="minorEastAsia"/>
                <w:color w:val="auto"/>
                <w:w w:val="99"/>
                <w:sz w:val="21"/>
                <w:szCs w:val="21"/>
                <w:highlight w:val="none"/>
                <w:lang w:val="en-US" w:eastAsia="zh-CN" w:bidi="ar-SA"/>
              </w:rPr>
              <w:t>、</w:t>
            </w:r>
            <w:r>
              <w:rPr>
                <w:rFonts w:hint="eastAsia" w:ascii="Times New Roman" w:hAnsi="Times New Roman" w:cs="Times New Roman"/>
                <w:color w:val="auto"/>
                <w:w w:val="99"/>
                <w:sz w:val="21"/>
                <w:szCs w:val="21"/>
                <w:highlight w:val="none"/>
                <w:lang w:val="en-US" w:eastAsia="zh-CN" w:bidi="ar-SA"/>
              </w:rPr>
              <w:t>于洼子屯、西双山屯</w:t>
            </w:r>
            <w:r>
              <w:rPr>
                <w:rFonts w:hint="eastAsia" w:ascii="Times New Roman" w:hAnsi="Times New Roman" w:cs="Times New Roman" w:eastAsiaTheme="minorEastAsia"/>
                <w:color w:val="auto"/>
                <w:w w:val="99"/>
                <w:sz w:val="21"/>
                <w:szCs w:val="21"/>
                <w:highlight w:val="none"/>
                <w:lang w:val="en-US" w:eastAsia="zh-CN" w:bidi="ar-SA"/>
              </w:rPr>
              <w:t>等村屯</w:t>
            </w:r>
            <w:r>
              <w:rPr>
                <w:rFonts w:ascii="Times New Roman" w:hAnsi="Times New Roman" w:cs="Times New Roman" w:eastAsiaTheme="minorEastAsia"/>
                <w:color w:val="auto"/>
                <w:w w:val="99"/>
                <w:sz w:val="21"/>
                <w:szCs w:val="21"/>
                <w:highlight w:val="none"/>
                <w:lang w:val="en-US" w:eastAsia="en-US" w:bidi="ar-SA"/>
              </w:rPr>
              <w:t>饮用和其它生活使用</w:t>
            </w:r>
          </w:p>
        </w:tc>
        <w:tc>
          <w:tcPr>
            <w:tcW w:w="875" w:type="pct"/>
            <w:vMerge w:val="continue"/>
            <w:tcBorders>
              <w:tl2br w:val="nil"/>
              <w:tr2bl w:val="nil"/>
            </w:tcBorders>
            <w:tcMar>
              <w:top w:w="0" w:type="dxa"/>
              <w:left w:w="85" w:type="dxa"/>
              <w:bottom w:w="0" w:type="dxa"/>
              <w:right w:w="85" w:type="dxa"/>
            </w:tcMar>
            <w:vAlign w:val="center"/>
          </w:tcPr>
          <w:p w14:paraId="0253A0F4">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pacing w:val="0"/>
                <w:w w:val="100"/>
                <w:sz w:val="21"/>
                <w:szCs w:val="21"/>
                <w:highlight w:val="none"/>
              </w:rPr>
            </w:pPr>
          </w:p>
        </w:tc>
      </w:tr>
      <w:tr w14:paraId="4710D09B">
        <w:tblPrEx>
          <w:tblBorders>
            <w:top w:val="single" w:color="auto" w:sz="4" w:space="0"/>
            <w:left w:val="single" w:color="auto" w:sz="4" w:space="0"/>
            <w:bottom w:val="single" w:color="auto" w:sz="4" w:space="0"/>
            <w:right w:val="single" w:color="auto" w:sz="4" w:space="0"/>
            <w:insideH w:val="single" w:color="000000" w:sz="8" w:space="0"/>
            <w:insideV w:val="single" w:color="000000" w:sz="4" w:space="0"/>
          </w:tblBorders>
          <w:tblCellMar>
            <w:top w:w="0" w:type="dxa"/>
            <w:left w:w="0" w:type="dxa"/>
            <w:bottom w:w="0" w:type="dxa"/>
            <w:right w:w="0" w:type="dxa"/>
          </w:tblCellMar>
        </w:tblPrEx>
        <w:trPr>
          <w:trHeight w:val="340" w:hRule="atLeast"/>
        </w:trPr>
        <w:tc>
          <w:tcPr>
            <w:tcW w:w="314" w:type="pct"/>
            <w:tcBorders>
              <w:tl2br w:val="nil"/>
              <w:tr2bl w:val="nil"/>
            </w:tcBorders>
            <w:tcMar>
              <w:top w:w="0" w:type="dxa"/>
              <w:left w:w="85" w:type="dxa"/>
              <w:bottom w:w="0" w:type="dxa"/>
              <w:right w:w="85" w:type="dxa"/>
            </w:tcMar>
            <w:vAlign w:val="center"/>
          </w:tcPr>
          <w:p w14:paraId="6CBE26FB">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jc w:val="center"/>
              <w:textAlignment w:val="auto"/>
              <w:rPr>
                <w:rFonts w:hint="default" w:ascii="Times New Roman" w:hAnsi="Times New Roman"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6</w:t>
            </w:r>
          </w:p>
        </w:tc>
        <w:tc>
          <w:tcPr>
            <w:tcW w:w="3810" w:type="pct"/>
            <w:gridSpan w:val="3"/>
            <w:tcBorders>
              <w:tl2br w:val="nil"/>
              <w:tr2bl w:val="nil"/>
            </w:tcBorders>
            <w:shd w:val="clear" w:color="auto" w:fill="auto"/>
            <w:tcMar>
              <w:top w:w="0" w:type="dxa"/>
              <w:left w:w="85" w:type="dxa"/>
              <w:bottom w:w="0" w:type="dxa"/>
              <w:right w:w="85" w:type="dxa"/>
            </w:tcMar>
            <w:vAlign w:val="center"/>
          </w:tcPr>
          <w:p w14:paraId="05F07C3D">
            <w:pPr>
              <w:pStyle w:val="2857"/>
              <w:spacing w:before="35" w:line="227" w:lineRule="auto"/>
              <w:ind w:left="114" w:leftChars="0"/>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评价范围内第四系潜水含水层、白垩系具有饮用价值的承压水含水层</w:t>
            </w:r>
          </w:p>
        </w:tc>
        <w:tc>
          <w:tcPr>
            <w:tcW w:w="875" w:type="pct"/>
            <w:vMerge w:val="continue"/>
            <w:tcBorders>
              <w:tl2br w:val="nil"/>
              <w:tr2bl w:val="nil"/>
            </w:tcBorders>
            <w:tcMar>
              <w:top w:w="0" w:type="dxa"/>
              <w:left w:w="85" w:type="dxa"/>
              <w:bottom w:w="0" w:type="dxa"/>
              <w:right w:w="85" w:type="dxa"/>
            </w:tcMar>
            <w:vAlign w:val="center"/>
          </w:tcPr>
          <w:p w14:paraId="75B4B4B7">
            <w:pPr>
              <w:pStyle w:val="17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auto"/>
                <w:spacing w:val="0"/>
                <w:w w:val="100"/>
                <w:sz w:val="21"/>
                <w:szCs w:val="21"/>
                <w:highlight w:val="none"/>
              </w:rPr>
            </w:pPr>
          </w:p>
        </w:tc>
      </w:tr>
    </w:tbl>
    <w:p w14:paraId="777BA9B1">
      <w:pPr>
        <w:widowControl w:val="0"/>
        <w:spacing w:line="440" w:lineRule="exact"/>
        <w:ind w:firstLine="476" w:firstLineChars="200"/>
        <w:jc w:val="both"/>
        <w:rPr>
          <w:rFonts w:ascii="Times New Roman" w:hAnsi="Times New Roman" w:cs="Times New Roman" w:eastAsiaTheme="minorEastAsia"/>
          <w:b/>
          <w:color w:val="auto"/>
          <w:w w:val="99"/>
          <w:kern w:val="2"/>
          <w:highlight w:val="none"/>
        </w:rPr>
      </w:pPr>
      <w:r>
        <w:rPr>
          <w:rFonts w:ascii="Times New Roman" w:hAnsi="Times New Roman" w:cs="Times New Roman" w:eastAsiaTheme="minorEastAsia"/>
          <w:b/>
          <w:bCs/>
          <w:color w:val="auto"/>
          <w:w w:val="99"/>
          <w:kern w:val="21"/>
          <w:highlight w:val="none"/>
        </w:rPr>
        <w:t>表2.8-</w:t>
      </w:r>
      <w:r>
        <w:rPr>
          <w:rFonts w:hint="eastAsia" w:ascii="Times New Roman" w:hAnsi="Times New Roman" w:cs="Times New Roman" w:eastAsiaTheme="minorEastAsia"/>
          <w:b/>
          <w:bCs/>
          <w:color w:val="auto"/>
          <w:w w:val="99"/>
          <w:kern w:val="21"/>
          <w:highlight w:val="none"/>
          <w:lang w:val="en-US" w:eastAsia="zh-CN"/>
        </w:rPr>
        <w:t>6</w:t>
      </w:r>
      <w:r>
        <w:rPr>
          <w:rFonts w:ascii="Times New Roman" w:hAnsi="Times New Roman" w:cs="Times New Roman" w:eastAsiaTheme="minorEastAsia"/>
          <w:b/>
          <w:color w:val="auto"/>
          <w:w w:val="99"/>
          <w:kern w:val="2"/>
          <w:highlight w:val="none"/>
        </w:rPr>
        <w:t xml:space="preserve">    </w:t>
      </w:r>
      <w:r>
        <w:rPr>
          <w:rFonts w:ascii="Times New Roman" w:hAnsi="Times New Roman" w:cs="Times New Roman" w:eastAsiaTheme="minorEastAsia"/>
          <w:b/>
          <w:bCs/>
          <w:color w:val="auto"/>
          <w:w w:val="99"/>
          <w:kern w:val="2"/>
          <w:highlight w:val="none"/>
        </w:rPr>
        <w:t>声环境保护目标调查表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564"/>
        <w:gridCol w:w="875"/>
        <w:gridCol w:w="570"/>
        <w:gridCol w:w="719"/>
        <w:gridCol w:w="577"/>
        <w:gridCol w:w="1004"/>
        <w:gridCol w:w="1142"/>
        <w:gridCol w:w="1875"/>
        <w:gridCol w:w="1859"/>
      </w:tblGrid>
      <w:tr w14:paraId="46EB6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307" w:type="pct"/>
            <w:vMerge w:val="restart"/>
            <w:vAlign w:val="center"/>
          </w:tcPr>
          <w:p w14:paraId="614BEAB8">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序号</w:t>
            </w:r>
          </w:p>
        </w:tc>
        <w:tc>
          <w:tcPr>
            <w:tcW w:w="476" w:type="pct"/>
            <w:vMerge w:val="restart"/>
            <w:vAlign w:val="center"/>
          </w:tcPr>
          <w:p w14:paraId="3878737B">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声环境保护目标名称</w:t>
            </w:r>
          </w:p>
        </w:tc>
        <w:tc>
          <w:tcPr>
            <w:tcW w:w="1015" w:type="pct"/>
            <w:gridSpan w:val="3"/>
            <w:vAlign w:val="center"/>
          </w:tcPr>
          <w:p w14:paraId="7FF2F8F7">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空间相对位置/m</w:t>
            </w:r>
          </w:p>
        </w:tc>
        <w:tc>
          <w:tcPr>
            <w:tcW w:w="546" w:type="pct"/>
            <w:vMerge w:val="restart"/>
            <w:vAlign w:val="center"/>
          </w:tcPr>
          <w:p w14:paraId="27462048">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距厂界最近距离/m</w:t>
            </w:r>
          </w:p>
        </w:tc>
        <w:tc>
          <w:tcPr>
            <w:tcW w:w="621" w:type="pct"/>
            <w:vMerge w:val="restart"/>
            <w:vAlign w:val="center"/>
          </w:tcPr>
          <w:p w14:paraId="48512A12">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方位</w:t>
            </w:r>
          </w:p>
        </w:tc>
        <w:tc>
          <w:tcPr>
            <w:tcW w:w="1020" w:type="pct"/>
            <w:vMerge w:val="restart"/>
            <w:vAlign w:val="center"/>
          </w:tcPr>
          <w:p w14:paraId="6CC7CC0E">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执行标准/功能区类别</w:t>
            </w:r>
          </w:p>
        </w:tc>
        <w:tc>
          <w:tcPr>
            <w:tcW w:w="1011" w:type="pct"/>
            <w:vMerge w:val="restart"/>
            <w:vAlign w:val="center"/>
          </w:tcPr>
          <w:p w14:paraId="47EC14EB">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w:t>
            </w:r>
            <w:bookmarkStart w:id="399" w:name="OLE_LINK2"/>
            <w:bookmarkStart w:id="400" w:name="OLE_LINK52"/>
            <w:r>
              <w:rPr>
                <w:rFonts w:ascii="Times New Roman" w:hAnsi="Times New Roman" w:cs="Times New Roman" w:eastAsiaTheme="minorEastAsia"/>
                <w:color w:val="auto"/>
                <w:w w:val="99"/>
                <w:kern w:val="2"/>
                <w:sz w:val="21"/>
                <w:szCs w:val="21"/>
                <w:highlight w:val="none"/>
              </w:rPr>
              <w:t>保护目标</w:t>
            </w:r>
            <w:bookmarkEnd w:id="399"/>
            <w:bookmarkEnd w:id="400"/>
            <w:r>
              <w:rPr>
                <w:rFonts w:ascii="Times New Roman" w:hAnsi="Times New Roman" w:cs="Times New Roman" w:eastAsiaTheme="minorEastAsia"/>
                <w:color w:val="auto"/>
                <w:w w:val="99"/>
                <w:kern w:val="2"/>
                <w:sz w:val="21"/>
                <w:szCs w:val="21"/>
                <w:highlight w:val="none"/>
              </w:rPr>
              <w:t>情况说明</w:t>
            </w:r>
          </w:p>
        </w:tc>
      </w:tr>
      <w:tr w14:paraId="5AAD3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307" w:type="pct"/>
            <w:vMerge w:val="continue"/>
            <w:vAlign w:val="center"/>
          </w:tcPr>
          <w:p w14:paraId="4F083514">
            <w:pPr>
              <w:widowControl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476" w:type="pct"/>
            <w:vMerge w:val="continue"/>
            <w:vAlign w:val="center"/>
          </w:tcPr>
          <w:p w14:paraId="08E92858">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310" w:type="pct"/>
            <w:vAlign w:val="center"/>
          </w:tcPr>
          <w:p w14:paraId="73BD76E8">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X</w:t>
            </w:r>
          </w:p>
        </w:tc>
        <w:tc>
          <w:tcPr>
            <w:tcW w:w="391" w:type="pct"/>
            <w:vAlign w:val="center"/>
          </w:tcPr>
          <w:p w14:paraId="4687924D">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Y</w:t>
            </w:r>
          </w:p>
        </w:tc>
        <w:tc>
          <w:tcPr>
            <w:tcW w:w="314" w:type="pct"/>
            <w:vAlign w:val="center"/>
          </w:tcPr>
          <w:p w14:paraId="5A045CBA">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Z</w:t>
            </w:r>
          </w:p>
        </w:tc>
        <w:tc>
          <w:tcPr>
            <w:tcW w:w="546" w:type="pct"/>
            <w:vMerge w:val="continue"/>
            <w:vAlign w:val="center"/>
          </w:tcPr>
          <w:p w14:paraId="746633B8">
            <w:pPr>
              <w:widowControl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621" w:type="pct"/>
            <w:vMerge w:val="continue"/>
            <w:vAlign w:val="center"/>
          </w:tcPr>
          <w:p w14:paraId="0FDB061E">
            <w:pPr>
              <w:widowControl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1020" w:type="pct"/>
            <w:vMerge w:val="continue"/>
            <w:vAlign w:val="center"/>
          </w:tcPr>
          <w:p w14:paraId="60867281">
            <w:pPr>
              <w:widowControl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1011" w:type="pct"/>
            <w:vMerge w:val="continue"/>
            <w:vAlign w:val="center"/>
          </w:tcPr>
          <w:p w14:paraId="20E3B541">
            <w:pPr>
              <w:widowControl w:val="0"/>
              <w:snapToGrid w:val="0"/>
              <w:spacing w:line="320" w:lineRule="exact"/>
              <w:jc w:val="center"/>
              <w:rPr>
                <w:rFonts w:ascii="Times New Roman" w:hAnsi="Times New Roman" w:cs="Times New Roman" w:eastAsiaTheme="minorEastAsia"/>
                <w:color w:val="auto"/>
                <w:w w:val="99"/>
                <w:sz w:val="21"/>
                <w:szCs w:val="21"/>
                <w:highlight w:val="none"/>
              </w:rPr>
            </w:pPr>
          </w:p>
        </w:tc>
      </w:tr>
      <w:tr w14:paraId="3E72D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307" w:type="pct"/>
            <w:vAlign w:val="center"/>
          </w:tcPr>
          <w:p w14:paraId="20029FB6">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476" w:type="pct"/>
            <w:vAlign w:val="center"/>
          </w:tcPr>
          <w:p w14:paraId="1FB5C9A2">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rPr>
              <w:t>尚家围子</w:t>
            </w:r>
            <w:r>
              <w:rPr>
                <w:rFonts w:hint="eastAsia" w:ascii="Times New Roman" w:hAnsi="Times New Roman" w:eastAsia="宋体" w:cs="Times New Roman"/>
                <w:color w:val="auto"/>
                <w:w w:val="99"/>
                <w:sz w:val="21"/>
                <w:szCs w:val="21"/>
                <w:highlight w:val="none"/>
                <w:lang w:val="en-US" w:eastAsia="zh-CN"/>
              </w:rPr>
              <w:t>屯</w:t>
            </w:r>
          </w:p>
        </w:tc>
        <w:tc>
          <w:tcPr>
            <w:tcW w:w="310" w:type="pct"/>
            <w:tcBorders>
              <w:bottom w:val="single" w:color="auto" w:sz="4" w:space="0"/>
            </w:tcBorders>
            <w:vAlign w:val="center"/>
          </w:tcPr>
          <w:p w14:paraId="1C050E64">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-100</w:t>
            </w:r>
          </w:p>
        </w:tc>
        <w:tc>
          <w:tcPr>
            <w:tcW w:w="391" w:type="pct"/>
            <w:tcBorders>
              <w:bottom w:val="single" w:color="auto" w:sz="4" w:space="0"/>
            </w:tcBorders>
            <w:vAlign w:val="center"/>
          </w:tcPr>
          <w:p w14:paraId="0905D132">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w:t>
            </w:r>
          </w:p>
        </w:tc>
        <w:tc>
          <w:tcPr>
            <w:tcW w:w="314" w:type="pct"/>
            <w:tcBorders>
              <w:bottom w:val="single" w:color="auto" w:sz="4" w:space="0"/>
            </w:tcBorders>
            <w:vAlign w:val="center"/>
          </w:tcPr>
          <w:p w14:paraId="3F372DDA">
            <w:pPr>
              <w:widowControl w:val="0"/>
              <w:snapToGrid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0</w:t>
            </w:r>
          </w:p>
        </w:tc>
        <w:tc>
          <w:tcPr>
            <w:tcW w:w="546" w:type="pct"/>
            <w:tcBorders>
              <w:bottom w:val="single" w:color="auto" w:sz="4" w:space="0"/>
            </w:tcBorders>
            <w:shd w:val="clear" w:color="auto" w:fill="auto"/>
            <w:vAlign w:val="center"/>
          </w:tcPr>
          <w:p w14:paraId="42E6D0FF">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100</w:t>
            </w:r>
          </w:p>
        </w:tc>
        <w:tc>
          <w:tcPr>
            <w:tcW w:w="621" w:type="pct"/>
            <w:shd w:val="clear" w:color="auto" w:fill="auto"/>
            <w:vAlign w:val="center"/>
          </w:tcPr>
          <w:p w14:paraId="2BECA772">
            <w:pPr>
              <w:widowControl w:val="0"/>
              <w:snapToGrid w:val="0"/>
              <w:spacing w:line="320" w:lineRule="exact"/>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采气管线西侧</w:t>
            </w:r>
          </w:p>
        </w:tc>
        <w:tc>
          <w:tcPr>
            <w:tcW w:w="1020" w:type="pct"/>
            <w:vAlign w:val="center"/>
          </w:tcPr>
          <w:p w14:paraId="30E08DF7">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《声环境质量标准》（GB3096-2008）中1类标准</w:t>
            </w:r>
          </w:p>
        </w:tc>
        <w:tc>
          <w:tcPr>
            <w:tcW w:w="1011" w:type="pct"/>
            <w:vAlign w:val="center"/>
          </w:tcPr>
          <w:p w14:paraId="31B3167F">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约</w:t>
            </w:r>
            <w:r>
              <w:rPr>
                <w:rFonts w:hint="eastAsia" w:ascii="Times New Roman" w:hAnsi="Times New Roman" w:cs="Times New Roman" w:eastAsiaTheme="minorEastAsia"/>
                <w:color w:val="auto"/>
                <w:w w:val="99"/>
                <w:kern w:val="2"/>
                <w:sz w:val="21"/>
                <w:szCs w:val="21"/>
                <w:highlight w:val="none"/>
                <w:lang w:val="en-US" w:eastAsia="zh-CN"/>
              </w:rPr>
              <w:t>390</w:t>
            </w:r>
            <w:r>
              <w:rPr>
                <w:rFonts w:ascii="Times New Roman" w:hAnsi="Times New Roman" w:cs="Times New Roman" w:eastAsiaTheme="minorEastAsia"/>
                <w:color w:val="auto"/>
                <w:w w:val="99"/>
                <w:kern w:val="2"/>
                <w:sz w:val="21"/>
                <w:szCs w:val="21"/>
                <w:highlight w:val="none"/>
              </w:rPr>
              <w:t>人，单层</w:t>
            </w:r>
            <w:r>
              <w:rPr>
                <w:rFonts w:ascii="Times New Roman" w:hAnsi="Times New Roman" w:cs="Times New Roman" w:eastAsiaTheme="minorEastAsia"/>
                <w:color w:val="auto"/>
                <w:w w:val="99"/>
                <w:sz w:val="21"/>
                <w:szCs w:val="21"/>
                <w:highlight w:val="none"/>
              </w:rPr>
              <w:t>砖混结构，朝</w:t>
            </w:r>
            <w:r>
              <w:rPr>
                <w:rFonts w:hint="eastAsia" w:ascii="Times New Roman" w:hAnsi="Times New Roman" w:cs="Times New Roman" w:eastAsiaTheme="minorEastAsia"/>
                <w:color w:val="auto"/>
                <w:w w:val="99"/>
                <w:sz w:val="21"/>
                <w:szCs w:val="21"/>
                <w:highlight w:val="none"/>
                <w:lang w:val="en-US" w:eastAsia="zh-CN"/>
              </w:rPr>
              <w:t>南</w:t>
            </w:r>
            <w:r>
              <w:rPr>
                <w:rFonts w:ascii="Times New Roman" w:hAnsi="Times New Roman" w:cs="Times New Roman" w:eastAsiaTheme="minorEastAsia"/>
                <w:color w:val="auto"/>
                <w:w w:val="99"/>
                <w:sz w:val="21"/>
                <w:szCs w:val="21"/>
                <w:highlight w:val="none"/>
              </w:rPr>
              <w:t>，四周为耕地或草地</w:t>
            </w:r>
          </w:p>
        </w:tc>
      </w:tr>
    </w:tbl>
    <w:p w14:paraId="12BE5190">
      <w:pPr>
        <w:pStyle w:val="153"/>
        <w:widowControl w:val="0"/>
        <w:spacing w:line="440" w:lineRule="exact"/>
        <w:ind w:firstLine="476" w:firstLineChars="200"/>
        <w:jc w:val="both"/>
        <w:rPr>
          <w:rFonts w:ascii="Times New Roman" w:hAnsi="Times New Roman" w:eastAsiaTheme="minorEastAsia"/>
          <w:b/>
          <w:bCs/>
          <w:color w:val="auto"/>
          <w:w w:val="99"/>
          <w:kern w:val="21"/>
          <w:highlight w:val="none"/>
        </w:rPr>
      </w:pPr>
      <w:r>
        <w:rPr>
          <w:rFonts w:ascii="Times New Roman" w:hAnsi="Times New Roman" w:eastAsiaTheme="minorEastAsia"/>
          <w:b/>
          <w:bCs/>
          <w:color w:val="auto"/>
          <w:w w:val="99"/>
          <w:kern w:val="21"/>
          <w:highlight w:val="none"/>
        </w:rPr>
        <w:t>表2.7-</w:t>
      </w:r>
      <w:r>
        <w:rPr>
          <w:rFonts w:hint="eastAsia" w:ascii="Times New Roman" w:hAnsi="Times New Roman" w:eastAsiaTheme="minorEastAsia"/>
          <w:b/>
          <w:bCs/>
          <w:color w:val="auto"/>
          <w:w w:val="99"/>
          <w:kern w:val="21"/>
          <w:highlight w:val="none"/>
          <w:lang w:val="en-US" w:eastAsia="zh-CN"/>
        </w:rPr>
        <w:t>7</w:t>
      </w:r>
      <w:r>
        <w:rPr>
          <w:rFonts w:ascii="Times New Roman" w:hAnsi="Times New Roman" w:eastAsiaTheme="minorEastAsia"/>
          <w:b/>
          <w:bCs/>
          <w:color w:val="auto"/>
          <w:w w:val="99"/>
          <w:kern w:val="21"/>
          <w:highlight w:val="none"/>
        </w:rPr>
        <w:t xml:space="preserve">   其他环境因素保护目标表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65"/>
        <w:gridCol w:w="1242"/>
        <w:gridCol w:w="1336"/>
        <w:gridCol w:w="1904"/>
        <w:gridCol w:w="3938"/>
      </w:tblGrid>
      <w:tr w14:paraId="5719F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15" w:hRule="atLeast"/>
          <w:jc w:val="center"/>
        </w:trPr>
        <w:tc>
          <w:tcPr>
            <w:tcW w:w="416" w:type="pct"/>
            <w:vAlign w:val="center"/>
          </w:tcPr>
          <w:p w14:paraId="11132D9B">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环境要素</w:t>
            </w:r>
          </w:p>
        </w:tc>
        <w:tc>
          <w:tcPr>
            <w:tcW w:w="676" w:type="pct"/>
            <w:vAlign w:val="center"/>
          </w:tcPr>
          <w:p w14:paraId="00843951">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保护目标</w:t>
            </w:r>
          </w:p>
        </w:tc>
        <w:tc>
          <w:tcPr>
            <w:tcW w:w="727" w:type="pct"/>
            <w:vAlign w:val="center"/>
          </w:tcPr>
          <w:p w14:paraId="31514892">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最近方位及距离</w:t>
            </w:r>
          </w:p>
        </w:tc>
        <w:tc>
          <w:tcPr>
            <w:tcW w:w="1036" w:type="pct"/>
            <w:vAlign w:val="center"/>
          </w:tcPr>
          <w:p w14:paraId="6851DB04">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规模</w:t>
            </w:r>
          </w:p>
        </w:tc>
        <w:tc>
          <w:tcPr>
            <w:tcW w:w="2143" w:type="pct"/>
            <w:vAlign w:val="center"/>
          </w:tcPr>
          <w:p w14:paraId="4572B5D1">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保护标准及保护级别</w:t>
            </w:r>
          </w:p>
        </w:tc>
      </w:tr>
      <w:tr w14:paraId="73410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416" w:type="pct"/>
            <w:vMerge w:val="restart"/>
            <w:vAlign w:val="center"/>
          </w:tcPr>
          <w:p w14:paraId="48F5038B">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w:t>
            </w:r>
          </w:p>
        </w:tc>
        <w:tc>
          <w:tcPr>
            <w:tcW w:w="2439" w:type="pct"/>
            <w:gridSpan w:val="3"/>
            <w:vAlign w:val="center"/>
          </w:tcPr>
          <w:p w14:paraId="5CFA3E7E">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本项目永久占地范围内，土壤类型为</w:t>
            </w:r>
            <w:r>
              <w:rPr>
                <w:rFonts w:hint="eastAsia" w:ascii="Times New Roman" w:hAnsi="Times New Roman" w:cs="Times New Roman" w:eastAsiaTheme="minorEastAsia"/>
                <w:color w:val="auto"/>
                <w:w w:val="99"/>
                <w:kern w:val="2"/>
                <w:sz w:val="21"/>
                <w:szCs w:val="21"/>
                <w:highlight w:val="none"/>
                <w:lang w:val="en-US" w:eastAsia="zh-CN"/>
              </w:rPr>
              <w:t>黑钙</w:t>
            </w:r>
            <w:r>
              <w:rPr>
                <w:rFonts w:ascii="Times New Roman" w:hAnsi="Times New Roman" w:cs="Times New Roman" w:eastAsiaTheme="minorEastAsia"/>
                <w:color w:val="auto"/>
                <w:w w:val="99"/>
                <w:kern w:val="2"/>
                <w:sz w:val="21"/>
                <w:szCs w:val="21"/>
                <w:highlight w:val="none"/>
              </w:rPr>
              <w:t>土</w:t>
            </w:r>
          </w:p>
        </w:tc>
        <w:tc>
          <w:tcPr>
            <w:tcW w:w="2143" w:type="pct"/>
            <w:vAlign w:val="center"/>
          </w:tcPr>
          <w:p w14:paraId="66921751">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《土壤环境质量 建设用地土壤污染风险管控标准（试行）》（GB36600-2018）第二类用地筛选值</w:t>
            </w:r>
          </w:p>
        </w:tc>
      </w:tr>
      <w:tr w14:paraId="42353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416" w:type="pct"/>
            <w:vMerge w:val="continue"/>
            <w:vAlign w:val="center"/>
          </w:tcPr>
          <w:p w14:paraId="71F7F07E">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2439" w:type="pct"/>
            <w:gridSpan w:val="3"/>
            <w:vAlign w:val="center"/>
          </w:tcPr>
          <w:p w14:paraId="75599E1C">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拟建井场边界外扩0.2km及管线、道路中心线两侧各200m的农用地土壤，主要为</w:t>
            </w:r>
            <w:r>
              <w:rPr>
                <w:rFonts w:hint="eastAsia" w:ascii="Times New Roman" w:hAnsi="Times New Roman" w:cs="Times New Roman" w:eastAsiaTheme="minorEastAsia"/>
                <w:color w:val="auto"/>
                <w:w w:val="99"/>
                <w:kern w:val="2"/>
                <w:sz w:val="21"/>
                <w:szCs w:val="21"/>
                <w:highlight w:val="none"/>
                <w:lang w:val="en-US" w:eastAsia="zh-CN"/>
              </w:rPr>
              <w:t>耕地</w:t>
            </w:r>
            <w:r>
              <w:rPr>
                <w:rFonts w:ascii="Times New Roman" w:hAnsi="Times New Roman" w:cs="Times New Roman" w:eastAsiaTheme="minorEastAsia"/>
                <w:color w:val="auto"/>
                <w:w w:val="99"/>
                <w:kern w:val="2"/>
                <w:sz w:val="21"/>
                <w:szCs w:val="21"/>
                <w:highlight w:val="none"/>
              </w:rPr>
              <w:t>，土壤类型为</w:t>
            </w:r>
            <w:r>
              <w:rPr>
                <w:rFonts w:hint="eastAsia" w:ascii="Times New Roman" w:hAnsi="Times New Roman" w:cs="Times New Roman" w:eastAsiaTheme="minorEastAsia"/>
                <w:color w:val="auto"/>
                <w:w w:val="99"/>
                <w:kern w:val="2"/>
                <w:sz w:val="21"/>
                <w:szCs w:val="21"/>
                <w:highlight w:val="none"/>
                <w:lang w:val="en-US" w:eastAsia="zh-CN"/>
              </w:rPr>
              <w:t>黑钙</w:t>
            </w:r>
            <w:r>
              <w:rPr>
                <w:rFonts w:ascii="Times New Roman" w:hAnsi="Times New Roman" w:cs="Times New Roman" w:eastAsiaTheme="minorEastAsia"/>
                <w:color w:val="auto"/>
                <w:w w:val="99"/>
                <w:kern w:val="2"/>
                <w:sz w:val="21"/>
                <w:szCs w:val="21"/>
                <w:highlight w:val="none"/>
              </w:rPr>
              <w:t>土</w:t>
            </w:r>
          </w:p>
        </w:tc>
        <w:tc>
          <w:tcPr>
            <w:tcW w:w="2143" w:type="pct"/>
            <w:vAlign w:val="center"/>
          </w:tcPr>
          <w:p w14:paraId="611BFAE4">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《土壤环境质量 农用地土壤污染风险管控标准（试行）》（GB15618-2018）表1中农用地土壤污染风险筛选值</w:t>
            </w:r>
          </w:p>
        </w:tc>
      </w:tr>
      <w:tr w14:paraId="5637E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416" w:type="pct"/>
            <w:vMerge w:val="restart"/>
            <w:vAlign w:val="center"/>
          </w:tcPr>
          <w:p w14:paraId="0AAFC3E8">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生态环境</w:t>
            </w:r>
          </w:p>
        </w:tc>
        <w:tc>
          <w:tcPr>
            <w:tcW w:w="2439" w:type="pct"/>
            <w:gridSpan w:val="3"/>
            <w:vAlign w:val="center"/>
          </w:tcPr>
          <w:p w14:paraId="1A3A4DF5">
            <w:pPr>
              <w:widowControl w:val="0"/>
              <w:snapToGrid w:val="0"/>
              <w:spacing w:line="32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拟建井场边界外扩</w:t>
            </w:r>
            <w:r>
              <w:rPr>
                <w:rFonts w:hint="eastAsia" w:ascii="Times New Roman" w:hAnsi="Times New Roman" w:cs="Times New Roman" w:eastAsiaTheme="minorEastAsia"/>
                <w:color w:val="auto"/>
                <w:w w:val="99"/>
                <w:kern w:val="2"/>
                <w:sz w:val="21"/>
                <w:szCs w:val="21"/>
                <w:highlight w:val="none"/>
                <w:lang w:val="en-US" w:eastAsia="zh-CN"/>
              </w:rPr>
              <w:t>50</w:t>
            </w:r>
            <w:r>
              <w:rPr>
                <w:rFonts w:ascii="Times New Roman" w:hAnsi="Times New Roman" w:cs="Times New Roman" w:eastAsiaTheme="minorEastAsia"/>
                <w:color w:val="auto"/>
                <w:w w:val="99"/>
                <w:kern w:val="2"/>
                <w:sz w:val="21"/>
                <w:szCs w:val="21"/>
                <w:highlight w:val="none"/>
              </w:rPr>
              <w:t>m范围及线、道路中心线两侧</w:t>
            </w:r>
            <w:r>
              <w:rPr>
                <w:rFonts w:hint="eastAsia" w:ascii="Times New Roman" w:hAnsi="Times New Roman" w:cs="Times New Roman" w:eastAsiaTheme="minorEastAsia"/>
                <w:color w:val="auto"/>
                <w:w w:val="99"/>
                <w:kern w:val="2"/>
                <w:sz w:val="21"/>
                <w:szCs w:val="21"/>
                <w:highlight w:val="none"/>
                <w:lang w:val="en-US" w:eastAsia="zh-CN"/>
              </w:rPr>
              <w:t>3</w:t>
            </w:r>
            <w:r>
              <w:rPr>
                <w:rFonts w:ascii="Times New Roman" w:hAnsi="Times New Roman" w:cs="Times New Roman" w:eastAsiaTheme="minorEastAsia"/>
                <w:color w:val="auto"/>
                <w:w w:val="99"/>
                <w:kern w:val="2"/>
                <w:sz w:val="21"/>
                <w:szCs w:val="21"/>
                <w:highlight w:val="none"/>
              </w:rPr>
              <w:t>00m范围内的生态环境，主要为耕地</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lang w:val="en-US" w:eastAsia="zh-CN"/>
              </w:rPr>
              <w:t>永久基本农田</w:t>
            </w:r>
            <w:r>
              <w:rPr>
                <w:rFonts w:hint="eastAsia" w:ascii="Times New Roman" w:hAnsi="Times New Roman" w:cs="Times New Roman" w:eastAsiaTheme="minorEastAsia"/>
                <w:color w:val="auto"/>
                <w:w w:val="99"/>
                <w:kern w:val="2"/>
                <w:sz w:val="21"/>
                <w:szCs w:val="21"/>
                <w:highlight w:val="none"/>
                <w:lang w:eastAsia="zh-CN"/>
              </w:rPr>
              <w:t>）</w:t>
            </w:r>
          </w:p>
        </w:tc>
        <w:tc>
          <w:tcPr>
            <w:tcW w:w="2143" w:type="pct"/>
            <w:vAlign w:val="center"/>
          </w:tcPr>
          <w:p w14:paraId="4E633EE4">
            <w:pPr>
              <w:widowControl w:val="0"/>
              <w:snapToGrid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临时占用耕地施工结束后及时复耕</w:t>
            </w:r>
            <w:r>
              <w:rPr>
                <w:rFonts w:hint="eastAsia" w:ascii="Times New Roman" w:hAnsi="Times New Roman" w:cs="Times New Roman" w:eastAsiaTheme="minorEastAsia"/>
                <w:color w:val="auto"/>
                <w:w w:val="99"/>
                <w:kern w:val="2"/>
                <w:sz w:val="21"/>
                <w:szCs w:val="21"/>
                <w:highlight w:val="none"/>
                <w:lang w:val="en-US" w:eastAsia="zh-CN"/>
              </w:rPr>
              <w:t>，</w:t>
            </w:r>
            <w:r>
              <w:rPr>
                <w:rFonts w:ascii="Times New Roman" w:hAnsi="Times New Roman" w:cs="Times New Roman" w:eastAsiaTheme="minorEastAsia"/>
                <w:color w:val="auto"/>
                <w:w w:val="99"/>
                <w:kern w:val="2"/>
                <w:sz w:val="21"/>
                <w:szCs w:val="21"/>
                <w:highlight w:val="none"/>
              </w:rPr>
              <w:t>永久占用耕地按照规定进行经济补偿</w:t>
            </w:r>
          </w:p>
        </w:tc>
      </w:tr>
      <w:tr w14:paraId="53FCD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416" w:type="pct"/>
            <w:vMerge w:val="continue"/>
            <w:vAlign w:val="center"/>
          </w:tcPr>
          <w:p w14:paraId="741AEB30">
            <w:pPr>
              <w:widowControl w:val="0"/>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2439" w:type="pct"/>
            <w:gridSpan w:val="3"/>
            <w:vAlign w:val="center"/>
          </w:tcPr>
          <w:p w14:paraId="03D3D3BC">
            <w:pPr>
              <w:widowControl w:val="0"/>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评价范围内农田生态系统、周边土壤、自然植被、农作物、野生动物</w:t>
            </w:r>
          </w:p>
        </w:tc>
        <w:tc>
          <w:tcPr>
            <w:tcW w:w="2143" w:type="pct"/>
            <w:vAlign w:val="center"/>
          </w:tcPr>
          <w:p w14:paraId="65362D46">
            <w:pPr>
              <w:widowControl w:val="0"/>
              <w:snapToGrid w:val="0"/>
              <w:spacing w:line="32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color w:val="auto"/>
                <w:w w:val="99"/>
                <w:sz w:val="21"/>
                <w:szCs w:val="21"/>
                <w:highlight w:val="none"/>
                <w:lang w:val="en-US" w:bidi="ar-SA"/>
              </w:rPr>
              <w:t>生态环境不受到破坏</w:t>
            </w:r>
          </w:p>
        </w:tc>
      </w:tr>
    </w:tbl>
    <w:p w14:paraId="23C27282">
      <w:pPr>
        <w:pStyle w:val="101"/>
        <w:ind w:left="0" w:leftChars="0" w:firstLine="0" w:firstLineChars="0"/>
        <w:jc w:val="left"/>
        <w:rPr>
          <w:color w:val="auto"/>
          <w:w w:val="99"/>
          <w:highlight w:val="none"/>
        </w:rPr>
      </w:pPr>
    </w:p>
    <w:p w14:paraId="651B8A8C">
      <w:pPr>
        <w:pStyle w:val="4"/>
        <w:widowControl w:val="0"/>
        <w:spacing w:before="180" w:after="180" w:line="500" w:lineRule="exact"/>
        <w:rPr>
          <w:rFonts w:ascii="Times New Roman" w:hAnsi="Times New Roman" w:eastAsiaTheme="minorEastAsia"/>
          <w:b/>
          <w:snapToGrid w:val="0"/>
          <w:color w:val="auto"/>
          <w:w w:val="99"/>
          <w:sz w:val="30"/>
          <w:szCs w:val="30"/>
          <w:highlight w:val="none"/>
        </w:rPr>
        <w:sectPr>
          <w:type w:val="nextColumn"/>
          <w:pgSz w:w="11905" w:h="16838"/>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35" w:charSpace="0"/>
        </w:sectPr>
      </w:pPr>
    </w:p>
    <w:bookmarkEnd w:id="153"/>
    <w:p w14:paraId="77B0E27A">
      <w:pPr>
        <w:pStyle w:val="4"/>
        <w:widowControl w:val="0"/>
        <w:spacing w:before="180" w:after="180" w:line="440" w:lineRule="exact"/>
        <w:rPr>
          <w:rFonts w:ascii="Times New Roman" w:hAnsi="Times New Roman" w:eastAsia="宋体"/>
          <w:b/>
          <w:snapToGrid w:val="0"/>
          <w:color w:val="auto"/>
          <w:w w:val="99"/>
          <w:sz w:val="30"/>
          <w:szCs w:val="30"/>
          <w:highlight w:val="none"/>
        </w:rPr>
      </w:pPr>
      <w:bookmarkStart w:id="401" w:name="_Toc502736463"/>
      <w:bookmarkStart w:id="402" w:name="_Toc30569"/>
      <w:r>
        <w:rPr>
          <w:rFonts w:ascii="Times New Roman" w:hAnsi="Times New Roman" w:eastAsia="宋体"/>
          <w:b/>
          <w:snapToGrid w:val="0"/>
          <w:color w:val="auto"/>
          <w:w w:val="99"/>
          <w:sz w:val="30"/>
          <w:szCs w:val="30"/>
          <w:highlight w:val="none"/>
        </w:rPr>
        <w:t>3建设项目工程分析</w:t>
      </w:r>
      <w:bookmarkEnd w:id="401"/>
      <w:bookmarkEnd w:id="402"/>
    </w:p>
    <w:p w14:paraId="57ED4B25">
      <w:pPr>
        <w:widowControl w:val="0"/>
        <w:spacing w:before="120" w:after="120" w:line="440" w:lineRule="exact"/>
        <w:jc w:val="both"/>
        <w:outlineLvl w:val="1"/>
        <w:rPr>
          <w:rFonts w:ascii="Times New Roman" w:hAnsi="Times New Roman" w:cs="Times New Roman"/>
          <w:b/>
          <w:bCs/>
          <w:snapToGrid w:val="0"/>
          <w:color w:val="auto"/>
          <w:w w:val="99"/>
          <w:sz w:val="28"/>
          <w:szCs w:val="32"/>
          <w:highlight w:val="none"/>
        </w:rPr>
      </w:pPr>
      <w:bookmarkStart w:id="403" w:name="_Toc9951"/>
      <w:bookmarkStart w:id="404" w:name="_Toc173163526"/>
      <w:bookmarkStart w:id="405" w:name="_Toc502736464"/>
      <w:r>
        <w:rPr>
          <w:rFonts w:ascii="Times New Roman" w:hAnsi="Times New Roman" w:cs="Times New Roman"/>
          <w:b/>
          <w:bCs/>
          <w:snapToGrid w:val="0"/>
          <w:color w:val="auto"/>
          <w:w w:val="99"/>
          <w:sz w:val="28"/>
          <w:szCs w:val="32"/>
          <w:highlight w:val="none"/>
        </w:rPr>
        <w:t>3.1现有工程分析</w:t>
      </w:r>
      <w:bookmarkEnd w:id="403"/>
      <w:bookmarkEnd w:id="404"/>
    </w:p>
    <w:p w14:paraId="2BA99C6C">
      <w:pPr>
        <w:widowControl w:val="0"/>
        <w:spacing w:line="500" w:lineRule="exact"/>
        <w:outlineLvl w:val="3"/>
        <w:rPr>
          <w:rFonts w:hint="default" w:ascii="Times New Roman" w:hAnsi="Times New Roman" w:eastAsia="宋体" w:cs="Times New Roman"/>
          <w:b/>
          <w:color w:val="auto"/>
          <w:w w:val="99"/>
          <w:szCs w:val="20"/>
          <w:highlight w:val="none"/>
          <w:lang w:val="en-US" w:eastAsia="zh-CN"/>
        </w:rPr>
      </w:pPr>
      <w:r>
        <w:rPr>
          <w:rFonts w:hint="default" w:ascii="Times New Roman" w:hAnsi="Times New Roman" w:eastAsia="宋体" w:cs="Times New Roman"/>
          <w:b/>
          <w:color w:val="auto"/>
          <w:w w:val="99"/>
          <w:szCs w:val="20"/>
          <w:highlight w:val="none"/>
          <w:lang w:val="en-US" w:eastAsia="zh-CN"/>
        </w:rPr>
        <w:t>3.1.1</w:t>
      </w:r>
      <w:r>
        <w:rPr>
          <w:rFonts w:hint="eastAsia" w:ascii="Times New Roman" w:hAnsi="Times New Roman" w:eastAsia="宋体" w:cs="Times New Roman"/>
          <w:b/>
          <w:color w:val="auto"/>
          <w:w w:val="99"/>
          <w:szCs w:val="20"/>
          <w:highlight w:val="none"/>
          <w:lang w:val="en-US" w:eastAsia="zh-CN"/>
        </w:rPr>
        <w:t>.</w:t>
      </w:r>
      <w:r>
        <w:rPr>
          <w:rFonts w:hint="default" w:ascii="Times New Roman" w:hAnsi="Times New Roman" w:eastAsia="宋体" w:cs="Times New Roman"/>
          <w:b/>
          <w:color w:val="auto"/>
          <w:w w:val="99"/>
          <w:szCs w:val="20"/>
          <w:highlight w:val="none"/>
          <w:lang w:val="en-US" w:eastAsia="zh-CN"/>
        </w:rPr>
        <w:t>1徐深气田开发简况</w:t>
      </w:r>
    </w:p>
    <w:p w14:paraId="2500A7A2">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74" w:firstLineChars="200"/>
        <w:jc w:val="both"/>
        <w:textAlignment w:val="auto"/>
        <w:rPr>
          <w:rFonts w:hint="default" w:ascii="Times New Roman" w:hAnsi="Times New Roman" w:eastAsia="宋体" w:cs="Times New Roman"/>
          <w:color w:val="auto"/>
          <w:w w:val="99"/>
          <w:highlight w:val="none"/>
          <w:lang w:val="en-US" w:eastAsia="zh-CN"/>
        </w:rPr>
      </w:pPr>
      <w:r>
        <w:rPr>
          <w:rFonts w:hint="default" w:ascii="Times New Roman" w:hAnsi="Times New Roman" w:eastAsia="宋体" w:cs="Times New Roman"/>
          <w:color w:val="auto"/>
          <w:w w:val="99"/>
          <w:highlight w:val="none"/>
          <w:lang w:val="en-US" w:eastAsia="zh-CN"/>
        </w:rPr>
        <w:t>本项目拟在已开发的徐深气田徐深27区块</w:t>
      </w:r>
      <w:r>
        <w:rPr>
          <w:rFonts w:hint="eastAsia" w:ascii="Times New Roman" w:hAnsi="Times New Roman" w:cs="Times New Roman"/>
          <w:color w:val="auto"/>
          <w:w w:val="99"/>
          <w:highlight w:val="none"/>
          <w:lang w:val="en-US" w:eastAsia="zh-CN"/>
        </w:rPr>
        <w:t>基建</w:t>
      </w:r>
      <w:r>
        <w:rPr>
          <w:rFonts w:hint="default" w:ascii="Times New Roman" w:hAnsi="Times New Roman" w:eastAsia="宋体" w:cs="Times New Roman"/>
          <w:color w:val="auto"/>
          <w:w w:val="99"/>
          <w:highlight w:val="none"/>
          <w:lang w:val="en-US" w:eastAsia="zh-CN"/>
        </w:rPr>
        <w:t>1口气井，徐深气田分布于黑龙江大庆市肇州县、绥化</w:t>
      </w:r>
      <w:r>
        <w:rPr>
          <w:rFonts w:hint="eastAsia" w:ascii="Times New Roman" w:hAnsi="Times New Roman" w:cs="Times New Roman"/>
          <w:color w:val="auto"/>
          <w:w w:val="99"/>
          <w:highlight w:val="none"/>
          <w:lang w:val="en-US" w:eastAsia="zh-CN"/>
        </w:rPr>
        <w:t>肇东</w:t>
      </w:r>
      <w:r>
        <w:rPr>
          <w:rFonts w:hint="default" w:ascii="Times New Roman" w:hAnsi="Times New Roman" w:eastAsia="宋体" w:cs="Times New Roman"/>
          <w:color w:val="auto"/>
          <w:w w:val="99"/>
          <w:highlight w:val="none"/>
          <w:lang w:val="en-US" w:eastAsia="zh-CN"/>
        </w:rPr>
        <w:t>市境内，徐深气田主要有徐深1 区块、徐深 21 区块、徐深 8 区块、徐深 12 区块、徐深 9 区块等，本项目所在的徐深气田徐深 27区块位于黑龙江省绥化</w:t>
      </w:r>
      <w:r>
        <w:rPr>
          <w:rFonts w:hint="eastAsia" w:ascii="Times New Roman" w:hAnsi="Times New Roman" w:cs="Times New Roman"/>
          <w:color w:val="auto"/>
          <w:w w:val="99"/>
          <w:highlight w:val="none"/>
          <w:lang w:val="en-US" w:eastAsia="zh-CN"/>
        </w:rPr>
        <w:t>肇东</w:t>
      </w:r>
      <w:r>
        <w:rPr>
          <w:rFonts w:hint="default" w:ascii="Times New Roman" w:hAnsi="Times New Roman" w:eastAsia="宋体" w:cs="Times New Roman"/>
          <w:color w:val="auto"/>
          <w:w w:val="99"/>
          <w:highlight w:val="none"/>
          <w:lang w:val="en-US" w:eastAsia="zh-CN"/>
        </w:rPr>
        <w:t>市境内，地理位置详见图3.1-1。</w:t>
      </w:r>
    </w:p>
    <w:p w14:paraId="77B586AD">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74" w:firstLineChars="200"/>
        <w:jc w:val="both"/>
        <w:textAlignment w:val="auto"/>
        <w:rPr>
          <w:rFonts w:hint="default" w:ascii="Times New Roman" w:hAnsi="Times New Roman" w:eastAsia="宋体" w:cs="Times New Roman"/>
          <w:color w:val="auto"/>
          <w:w w:val="99"/>
          <w:highlight w:val="none"/>
          <w:lang w:val="en-US" w:eastAsia="zh-CN"/>
        </w:rPr>
      </w:pPr>
      <w:r>
        <w:rPr>
          <w:rFonts w:hint="default" w:ascii="Times New Roman" w:hAnsi="Times New Roman" w:eastAsia="宋体" w:cs="Times New Roman"/>
          <w:color w:val="auto"/>
          <w:w w:val="99"/>
          <w:highlight w:val="none"/>
          <w:lang w:val="en-US" w:eastAsia="zh-CN"/>
        </w:rPr>
        <w:drawing>
          <wp:inline distT="0" distB="0" distL="114300" distR="114300">
            <wp:extent cx="4966335" cy="4533900"/>
            <wp:effectExtent l="9525" t="9525" r="15240" b="952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1"/>
                    <a:stretch>
                      <a:fillRect/>
                    </a:stretch>
                  </pic:blipFill>
                  <pic:spPr>
                    <a:xfrm>
                      <a:off x="0" y="0"/>
                      <a:ext cx="4966335" cy="4533900"/>
                    </a:xfrm>
                    <a:prstGeom prst="rect">
                      <a:avLst/>
                    </a:prstGeom>
                    <a:noFill/>
                    <a:ln w="6350" cap="flat" cmpd="sng">
                      <a:solidFill>
                        <a:srgbClr val="000000"/>
                      </a:solidFill>
                      <a:prstDash val="solid"/>
                      <a:miter/>
                      <a:headEnd type="none" w="med" len="med"/>
                      <a:tailEnd type="none" w="med" len="med"/>
                    </a:ln>
                  </pic:spPr>
                </pic:pic>
              </a:graphicData>
            </a:graphic>
          </wp:inline>
        </w:drawing>
      </w:r>
    </w:p>
    <w:p w14:paraId="027546CA">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76" w:firstLineChars="200"/>
        <w:jc w:val="center"/>
        <w:textAlignment w:val="auto"/>
        <w:rPr>
          <w:rFonts w:hint="default" w:ascii="Times New Roman" w:hAnsi="Times New Roman" w:eastAsia="宋体" w:cs="Times New Roman"/>
          <w:b/>
          <w:bCs/>
          <w:color w:val="auto"/>
          <w:w w:val="99"/>
          <w:highlight w:val="none"/>
          <w:lang w:val="en-US" w:eastAsia="zh-CN"/>
        </w:rPr>
      </w:pPr>
      <w:r>
        <w:rPr>
          <w:rFonts w:hint="default" w:ascii="Times New Roman" w:hAnsi="Times New Roman" w:eastAsia="宋体" w:cs="Times New Roman"/>
          <w:b/>
          <w:bCs/>
          <w:color w:val="auto"/>
          <w:w w:val="99"/>
          <w:highlight w:val="none"/>
          <w:lang w:val="en-US" w:eastAsia="zh-CN"/>
        </w:rPr>
        <w:t>图3.1-1   徐深气田区域位置示意图</w:t>
      </w:r>
    </w:p>
    <w:p w14:paraId="1D69CA93">
      <w:pPr>
        <w:widowControl w:val="0"/>
        <w:spacing w:line="500" w:lineRule="exact"/>
        <w:ind w:firstLine="474" w:firstLineChars="200"/>
        <w:rPr>
          <w:rFonts w:hint="default" w:ascii="Times New Roman" w:hAnsi="Times New Roman" w:eastAsia="宋体" w:cs="Times New Roman"/>
          <w:color w:val="auto"/>
          <w:w w:val="99"/>
          <w:highlight w:val="none"/>
          <w:lang w:val="en-US" w:eastAsia="zh-CN"/>
        </w:rPr>
      </w:pPr>
      <w:r>
        <w:rPr>
          <w:rFonts w:hint="default" w:ascii="Times New Roman" w:hAnsi="Times New Roman" w:eastAsia="宋体" w:cs="Times New Roman"/>
          <w:color w:val="auto"/>
          <w:w w:val="99"/>
          <w:highlight w:val="none"/>
          <w:lang w:val="en-US" w:eastAsia="zh-CN"/>
        </w:rPr>
        <w:t>徐深27区块于201</w:t>
      </w:r>
      <w:r>
        <w:rPr>
          <w:rFonts w:hint="eastAsia" w:ascii="Times New Roman" w:hAnsi="Times New Roman" w:eastAsia="宋体" w:cs="Times New Roman"/>
          <w:color w:val="auto"/>
          <w:w w:val="99"/>
          <w:highlight w:val="none"/>
          <w:lang w:val="en-US" w:eastAsia="zh-CN"/>
        </w:rPr>
        <w:t>7</w:t>
      </w:r>
      <w:r>
        <w:rPr>
          <w:rFonts w:hint="default" w:ascii="Times New Roman" w:hAnsi="Times New Roman" w:eastAsia="宋体" w:cs="Times New Roman"/>
          <w:color w:val="auto"/>
          <w:w w:val="99"/>
          <w:highlight w:val="none"/>
          <w:lang w:val="en-US" w:eastAsia="zh-CN"/>
        </w:rPr>
        <w:t>年开始投</w:t>
      </w:r>
      <w:r>
        <w:rPr>
          <w:rFonts w:hint="eastAsia" w:ascii="Times New Roman" w:hAnsi="Times New Roman" w:eastAsia="宋体" w:cs="Times New Roman"/>
          <w:color w:val="auto"/>
          <w:w w:val="99"/>
          <w:highlight w:val="none"/>
          <w:lang w:val="en-US" w:eastAsia="zh-CN"/>
        </w:rPr>
        <w:t>入开发</w:t>
      </w:r>
      <w:r>
        <w:rPr>
          <w:rFonts w:hint="default" w:ascii="Times New Roman" w:hAnsi="Times New Roman" w:eastAsia="宋体" w:cs="Times New Roman"/>
          <w:color w:val="auto"/>
          <w:w w:val="99"/>
          <w:highlight w:val="none"/>
          <w:lang w:val="en-US" w:eastAsia="zh-CN"/>
        </w:rPr>
        <w:t>，</w:t>
      </w:r>
      <w:r>
        <w:rPr>
          <w:rFonts w:hint="eastAsia" w:ascii="Times New Roman" w:hAnsi="Times New Roman" w:eastAsia="宋体" w:cs="Times New Roman"/>
          <w:color w:val="auto"/>
          <w:w w:val="99"/>
          <w:highlight w:val="none"/>
          <w:lang w:val="en-US" w:eastAsia="zh-CN"/>
        </w:rPr>
        <w:t>属于滚动开发区块，</w:t>
      </w:r>
      <w:r>
        <w:rPr>
          <w:rFonts w:hint="default" w:ascii="Times New Roman" w:hAnsi="Times New Roman" w:eastAsia="宋体" w:cs="Times New Roman"/>
          <w:color w:val="auto"/>
          <w:w w:val="99"/>
          <w:highlight w:val="none"/>
          <w:lang w:val="en-US" w:eastAsia="zh-CN"/>
        </w:rPr>
        <w:t>目前共有3口气井，分别为徐深27、徐深213、徐深27-平1井，三口气井均进徐深27集气站，徐深27至集气站管线长度为1.07km，徐深213至集气站2.53km，徐深27-平1井至集气站管线长度为1.66km，日产气量约9万方</w:t>
      </w:r>
      <w:r>
        <w:rPr>
          <w:rFonts w:hint="eastAsia" w:ascii="Times New Roman" w:hAnsi="Times New Roman" w:eastAsia="宋体" w:cs="Times New Roman"/>
          <w:color w:val="auto"/>
          <w:w w:val="99"/>
          <w:highlight w:val="none"/>
          <w:lang w:val="en-US" w:eastAsia="zh-CN"/>
        </w:rPr>
        <w:t>。</w:t>
      </w:r>
    </w:p>
    <w:p w14:paraId="04FAB99B">
      <w:pPr>
        <w:widowControl w:val="0"/>
        <w:spacing w:line="500" w:lineRule="exact"/>
        <w:ind w:firstLine="474" w:firstLineChars="200"/>
        <w:jc w:val="both"/>
        <w:rPr>
          <w:rFonts w:hint="default" w:ascii="Times New Roman" w:hAnsi="Times New Roman" w:cs="Times New Roman" w:eastAsiaTheme="minorEastAsia"/>
          <w:color w:val="auto"/>
          <w:w w:val="99"/>
          <w:sz w:val="24"/>
          <w:szCs w:val="24"/>
          <w:highlight w:val="none"/>
          <w:lang w:val="en-US" w:eastAsia="zh-CN" w:bidi="ar-SA"/>
        </w:rPr>
      </w:pPr>
      <w:r>
        <w:rPr>
          <w:rFonts w:hint="default" w:ascii="Times New Roman" w:hAnsi="Times New Roman" w:eastAsia="宋体" w:cs="Times New Roman"/>
          <w:color w:val="auto"/>
          <w:w w:val="99"/>
          <w:sz w:val="24"/>
          <w:szCs w:val="24"/>
          <w:highlight w:val="none"/>
          <w:lang w:val="en-US" w:eastAsia="zh-CN"/>
        </w:rPr>
        <w:t>徐深27区块</w:t>
      </w:r>
      <w:r>
        <w:rPr>
          <w:rFonts w:hint="eastAsia" w:ascii="Times New Roman" w:hAnsi="Times New Roman" w:eastAsia="宋体" w:cs="Times New Roman"/>
          <w:color w:val="auto"/>
          <w:w w:val="99"/>
          <w:sz w:val="24"/>
          <w:szCs w:val="24"/>
          <w:highlight w:val="none"/>
          <w:lang w:val="en-US" w:eastAsia="zh-CN"/>
        </w:rPr>
        <w:t>共进行过两次环境影响评价，2015年9月编制了</w:t>
      </w:r>
      <w:r>
        <w:rPr>
          <w:rFonts w:hint="default" w:ascii="Times New Roman" w:hAnsi="Times New Roman" w:cs="Times New Roman" w:eastAsiaTheme="minorEastAsia"/>
          <w:color w:val="auto"/>
          <w:w w:val="99"/>
          <w:sz w:val="24"/>
          <w:szCs w:val="24"/>
          <w:highlight w:val="none"/>
          <w:lang w:val="en-US" w:eastAsia="zh-CN" w:bidi="ar-SA"/>
        </w:rPr>
        <w:t>《徐深27-平1井钻井工程环境影响报告表》</w:t>
      </w:r>
      <w:r>
        <w:rPr>
          <w:rFonts w:ascii="Times New Roman" w:hAnsi="Times New Roman" w:cs="Times New Roman"/>
          <w:bCs/>
          <w:color w:val="auto"/>
          <w:w w:val="99"/>
          <w:kern w:val="2"/>
          <w:sz w:val="24"/>
          <w:szCs w:val="24"/>
          <w:highlight w:val="none"/>
        </w:rPr>
        <w:t>，于20</w:t>
      </w:r>
      <w:r>
        <w:rPr>
          <w:rFonts w:hint="eastAsia" w:ascii="Times New Roman" w:hAnsi="Times New Roman" w:cs="Times New Roman"/>
          <w:bCs/>
          <w:color w:val="auto"/>
          <w:w w:val="99"/>
          <w:kern w:val="2"/>
          <w:sz w:val="24"/>
          <w:szCs w:val="24"/>
          <w:highlight w:val="none"/>
          <w:lang w:val="en-US" w:eastAsia="zh-CN"/>
        </w:rPr>
        <w:t>15</w:t>
      </w:r>
      <w:r>
        <w:rPr>
          <w:rFonts w:ascii="Times New Roman" w:hAnsi="Times New Roman" w:cs="Times New Roman"/>
          <w:bCs/>
          <w:color w:val="auto"/>
          <w:w w:val="99"/>
          <w:kern w:val="2"/>
          <w:sz w:val="24"/>
          <w:szCs w:val="24"/>
          <w:highlight w:val="none"/>
        </w:rPr>
        <w:t>年</w:t>
      </w:r>
      <w:r>
        <w:rPr>
          <w:rFonts w:hint="eastAsia" w:ascii="Times New Roman" w:hAnsi="Times New Roman" w:cs="Times New Roman"/>
          <w:bCs/>
          <w:color w:val="auto"/>
          <w:w w:val="99"/>
          <w:kern w:val="2"/>
          <w:sz w:val="24"/>
          <w:szCs w:val="24"/>
          <w:highlight w:val="none"/>
          <w:lang w:val="en-US" w:eastAsia="zh-CN"/>
        </w:rPr>
        <w:t>9</w:t>
      </w:r>
      <w:r>
        <w:rPr>
          <w:rFonts w:ascii="Times New Roman" w:hAnsi="Times New Roman" w:cs="Times New Roman"/>
          <w:bCs/>
          <w:color w:val="auto"/>
          <w:w w:val="99"/>
          <w:kern w:val="2"/>
          <w:sz w:val="24"/>
          <w:szCs w:val="24"/>
          <w:highlight w:val="none"/>
        </w:rPr>
        <w:t>月</w:t>
      </w:r>
      <w:r>
        <w:rPr>
          <w:rFonts w:hint="eastAsia" w:ascii="Times New Roman" w:hAnsi="Times New Roman" w:cs="Times New Roman"/>
          <w:bCs/>
          <w:color w:val="auto"/>
          <w:w w:val="99"/>
          <w:kern w:val="2"/>
          <w:sz w:val="24"/>
          <w:szCs w:val="24"/>
          <w:highlight w:val="none"/>
          <w:lang w:val="en-US" w:eastAsia="zh-CN"/>
        </w:rPr>
        <w:t>16</w:t>
      </w:r>
      <w:r>
        <w:rPr>
          <w:rFonts w:ascii="Times New Roman" w:hAnsi="Times New Roman" w:cs="Times New Roman"/>
          <w:bCs/>
          <w:color w:val="auto"/>
          <w:w w:val="99"/>
          <w:kern w:val="2"/>
          <w:sz w:val="24"/>
          <w:szCs w:val="24"/>
          <w:highlight w:val="none"/>
        </w:rPr>
        <w:t>日由大庆市生态环境局（原大庆市环境保护局）进行了批复，批复文号为</w:t>
      </w:r>
      <w:r>
        <w:rPr>
          <w:rFonts w:hint="default" w:ascii="Times New Roman" w:hAnsi="Times New Roman" w:cs="Times New Roman" w:eastAsiaTheme="minorEastAsia"/>
          <w:color w:val="auto"/>
          <w:w w:val="99"/>
          <w:sz w:val="24"/>
          <w:szCs w:val="24"/>
          <w:highlight w:val="none"/>
          <w:lang w:val="en-US" w:eastAsia="zh-CN" w:bidi="ar-SA"/>
        </w:rPr>
        <w:t>庆环审〔2015〕236号</w:t>
      </w:r>
      <w:r>
        <w:rPr>
          <w:rFonts w:ascii="Times New Roman" w:hAnsi="Times New Roman" w:cs="Times New Roman"/>
          <w:bCs/>
          <w:color w:val="auto"/>
          <w:w w:val="99"/>
          <w:kern w:val="2"/>
          <w:sz w:val="24"/>
          <w:szCs w:val="24"/>
          <w:highlight w:val="none"/>
        </w:rPr>
        <w:t>，并于20</w:t>
      </w:r>
      <w:r>
        <w:rPr>
          <w:rFonts w:hint="eastAsia" w:ascii="Times New Roman" w:hAnsi="Times New Roman" w:cs="Times New Roman"/>
          <w:bCs/>
          <w:color w:val="auto"/>
          <w:w w:val="99"/>
          <w:kern w:val="2"/>
          <w:sz w:val="24"/>
          <w:szCs w:val="24"/>
          <w:highlight w:val="none"/>
          <w:lang w:val="en-US" w:eastAsia="zh-CN"/>
        </w:rPr>
        <w:t>19</w:t>
      </w:r>
      <w:r>
        <w:rPr>
          <w:rFonts w:ascii="Times New Roman" w:hAnsi="Times New Roman" w:cs="Times New Roman"/>
          <w:bCs/>
          <w:color w:val="auto"/>
          <w:w w:val="99"/>
          <w:kern w:val="2"/>
          <w:sz w:val="24"/>
          <w:szCs w:val="24"/>
          <w:highlight w:val="none"/>
        </w:rPr>
        <w:t>年</w:t>
      </w:r>
      <w:r>
        <w:rPr>
          <w:rFonts w:hint="eastAsia" w:ascii="Times New Roman" w:hAnsi="Times New Roman" w:cs="Times New Roman"/>
          <w:bCs/>
          <w:color w:val="auto"/>
          <w:w w:val="99"/>
          <w:kern w:val="2"/>
          <w:sz w:val="24"/>
          <w:szCs w:val="24"/>
          <w:highlight w:val="none"/>
          <w:lang w:val="en-US" w:eastAsia="zh-CN"/>
        </w:rPr>
        <w:t>11</w:t>
      </w:r>
      <w:r>
        <w:rPr>
          <w:rFonts w:ascii="Times New Roman" w:hAnsi="Times New Roman" w:cs="Times New Roman"/>
          <w:bCs/>
          <w:color w:val="auto"/>
          <w:w w:val="99"/>
          <w:kern w:val="2"/>
          <w:sz w:val="24"/>
          <w:szCs w:val="24"/>
          <w:highlight w:val="none"/>
        </w:rPr>
        <w:t>月完成自主验收</w:t>
      </w:r>
      <w:r>
        <w:rPr>
          <w:rFonts w:hint="eastAsia" w:ascii="Times New Roman" w:hAnsi="Times New Roman" w:cs="Times New Roman"/>
          <w:bCs/>
          <w:color w:val="auto"/>
          <w:w w:val="99"/>
          <w:kern w:val="2"/>
          <w:sz w:val="24"/>
          <w:szCs w:val="24"/>
          <w:highlight w:val="none"/>
          <w:lang w:eastAsia="zh-CN"/>
        </w:rPr>
        <w:t>；</w:t>
      </w:r>
      <w:r>
        <w:rPr>
          <w:rFonts w:hint="eastAsia" w:ascii="Times New Roman" w:hAnsi="Times New Roman" w:cs="Times New Roman" w:eastAsiaTheme="minorEastAsia"/>
          <w:color w:val="auto"/>
          <w:w w:val="99"/>
          <w:sz w:val="24"/>
          <w:szCs w:val="24"/>
          <w:highlight w:val="none"/>
          <w:lang w:val="en-US" w:eastAsia="zh-CN" w:bidi="ar-SA"/>
        </w:rPr>
        <w:t>2017年9月</w:t>
      </w:r>
      <w:r>
        <w:rPr>
          <w:rFonts w:hint="eastAsia" w:ascii="Times New Roman" w:hAnsi="Times New Roman" w:eastAsia="宋体" w:cs="Times New Roman"/>
          <w:color w:val="auto"/>
          <w:w w:val="99"/>
          <w:sz w:val="24"/>
          <w:szCs w:val="24"/>
          <w:highlight w:val="none"/>
          <w:lang w:val="en-US" w:eastAsia="zh-CN"/>
        </w:rPr>
        <w:t>编制了</w:t>
      </w:r>
      <w:r>
        <w:rPr>
          <w:rFonts w:hint="default" w:ascii="Times New Roman" w:hAnsi="Times New Roman" w:cs="Times New Roman" w:eastAsiaTheme="minorEastAsia"/>
          <w:color w:val="auto"/>
          <w:w w:val="99"/>
          <w:sz w:val="24"/>
          <w:szCs w:val="24"/>
          <w:highlight w:val="none"/>
          <w:lang w:val="en-US" w:eastAsia="zh-CN" w:bidi="ar-SA"/>
        </w:rPr>
        <w:t>《2017年徐深气田徐深27井区产能建设工程环境影响报告书》</w:t>
      </w:r>
      <w:r>
        <w:rPr>
          <w:rFonts w:ascii="Times New Roman" w:hAnsi="Times New Roman" w:cs="Times New Roman"/>
          <w:bCs/>
          <w:color w:val="auto"/>
          <w:w w:val="99"/>
          <w:kern w:val="2"/>
          <w:sz w:val="24"/>
          <w:szCs w:val="24"/>
          <w:highlight w:val="none"/>
        </w:rPr>
        <w:t>于20</w:t>
      </w:r>
      <w:r>
        <w:rPr>
          <w:rFonts w:hint="eastAsia" w:ascii="Times New Roman" w:hAnsi="Times New Roman" w:cs="Times New Roman"/>
          <w:bCs/>
          <w:color w:val="auto"/>
          <w:w w:val="99"/>
          <w:kern w:val="2"/>
          <w:sz w:val="24"/>
          <w:szCs w:val="24"/>
          <w:highlight w:val="none"/>
          <w:lang w:val="en-US" w:eastAsia="zh-CN"/>
        </w:rPr>
        <w:t>17</w:t>
      </w:r>
      <w:r>
        <w:rPr>
          <w:rFonts w:ascii="Times New Roman" w:hAnsi="Times New Roman" w:cs="Times New Roman"/>
          <w:bCs/>
          <w:color w:val="auto"/>
          <w:w w:val="99"/>
          <w:kern w:val="2"/>
          <w:sz w:val="24"/>
          <w:szCs w:val="24"/>
          <w:highlight w:val="none"/>
        </w:rPr>
        <w:t>年</w:t>
      </w:r>
      <w:r>
        <w:rPr>
          <w:rFonts w:hint="eastAsia" w:ascii="Times New Roman" w:hAnsi="Times New Roman" w:cs="Times New Roman"/>
          <w:bCs/>
          <w:color w:val="auto"/>
          <w:w w:val="99"/>
          <w:kern w:val="2"/>
          <w:sz w:val="24"/>
          <w:szCs w:val="24"/>
          <w:highlight w:val="none"/>
          <w:lang w:val="en-US" w:eastAsia="zh-CN"/>
        </w:rPr>
        <w:t>9</w:t>
      </w:r>
      <w:r>
        <w:rPr>
          <w:rFonts w:ascii="Times New Roman" w:hAnsi="Times New Roman" w:cs="Times New Roman"/>
          <w:bCs/>
          <w:color w:val="auto"/>
          <w:w w:val="99"/>
          <w:kern w:val="2"/>
          <w:sz w:val="24"/>
          <w:szCs w:val="24"/>
          <w:highlight w:val="none"/>
        </w:rPr>
        <w:t>月</w:t>
      </w:r>
      <w:r>
        <w:rPr>
          <w:rFonts w:hint="eastAsia" w:ascii="Times New Roman" w:hAnsi="Times New Roman" w:cs="Times New Roman"/>
          <w:bCs/>
          <w:color w:val="auto"/>
          <w:w w:val="99"/>
          <w:kern w:val="2"/>
          <w:sz w:val="24"/>
          <w:szCs w:val="24"/>
          <w:highlight w:val="none"/>
          <w:lang w:val="en-US" w:eastAsia="zh-CN"/>
        </w:rPr>
        <w:t>28</w:t>
      </w:r>
      <w:r>
        <w:rPr>
          <w:rFonts w:ascii="Times New Roman" w:hAnsi="Times New Roman" w:cs="Times New Roman"/>
          <w:bCs/>
          <w:color w:val="auto"/>
          <w:w w:val="99"/>
          <w:kern w:val="2"/>
          <w:sz w:val="24"/>
          <w:szCs w:val="24"/>
          <w:highlight w:val="none"/>
        </w:rPr>
        <w:t>日由大庆市生态环境局（原大庆市环境保护局）进行了批复，批复文号为</w:t>
      </w:r>
      <w:r>
        <w:rPr>
          <w:rFonts w:hint="default" w:ascii="Times New Roman" w:hAnsi="Times New Roman" w:cs="Times New Roman" w:eastAsiaTheme="minorEastAsia"/>
          <w:color w:val="auto"/>
          <w:w w:val="99"/>
          <w:sz w:val="24"/>
          <w:szCs w:val="24"/>
          <w:highlight w:val="none"/>
          <w:lang w:val="en-US" w:eastAsia="zh-CN" w:bidi="ar-SA"/>
        </w:rPr>
        <w:t>庆环审〔201</w:t>
      </w:r>
      <w:r>
        <w:rPr>
          <w:rFonts w:hint="eastAsia" w:ascii="Times New Roman" w:hAnsi="Times New Roman" w:cs="Times New Roman" w:eastAsiaTheme="minorEastAsia"/>
          <w:color w:val="auto"/>
          <w:w w:val="99"/>
          <w:sz w:val="24"/>
          <w:szCs w:val="24"/>
          <w:highlight w:val="none"/>
          <w:lang w:val="en-US" w:eastAsia="zh-CN" w:bidi="ar-SA"/>
        </w:rPr>
        <w:t>7</w:t>
      </w:r>
      <w:r>
        <w:rPr>
          <w:rFonts w:hint="default" w:ascii="Times New Roman" w:hAnsi="Times New Roman" w:cs="Times New Roman" w:eastAsiaTheme="minorEastAsia"/>
          <w:color w:val="auto"/>
          <w:w w:val="99"/>
          <w:sz w:val="24"/>
          <w:szCs w:val="24"/>
          <w:highlight w:val="none"/>
          <w:lang w:val="en-US" w:eastAsia="zh-CN" w:bidi="ar-SA"/>
        </w:rPr>
        <w:t>〕</w:t>
      </w:r>
      <w:r>
        <w:rPr>
          <w:rFonts w:hint="eastAsia" w:ascii="Times New Roman" w:hAnsi="Times New Roman" w:cs="Times New Roman" w:eastAsiaTheme="minorEastAsia"/>
          <w:color w:val="auto"/>
          <w:w w:val="99"/>
          <w:sz w:val="24"/>
          <w:szCs w:val="24"/>
          <w:highlight w:val="none"/>
          <w:lang w:val="en-US" w:eastAsia="zh-CN" w:bidi="ar-SA"/>
        </w:rPr>
        <w:t>51</w:t>
      </w:r>
      <w:r>
        <w:rPr>
          <w:rFonts w:hint="default" w:ascii="Times New Roman" w:hAnsi="Times New Roman" w:cs="Times New Roman" w:eastAsiaTheme="minorEastAsia"/>
          <w:color w:val="auto"/>
          <w:w w:val="99"/>
          <w:sz w:val="24"/>
          <w:szCs w:val="24"/>
          <w:highlight w:val="none"/>
          <w:lang w:val="en-US" w:eastAsia="zh-CN" w:bidi="ar-SA"/>
        </w:rPr>
        <w:t>号</w:t>
      </w:r>
      <w:r>
        <w:rPr>
          <w:rFonts w:ascii="Times New Roman" w:hAnsi="Times New Roman" w:cs="Times New Roman"/>
          <w:bCs/>
          <w:color w:val="auto"/>
          <w:w w:val="99"/>
          <w:kern w:val="2"/>
          <w:sz w:val="24"/>
          <w:szCs w:val="24"/>
          <w:highlight w:val="none"/>
        </w:rPr>
        <w:t>，并于20</w:t>
      </w:r>
      <w:r>
        <w:rPr>
          <w:rFonts w:hint="eastAsia" w:ascii="Times New Roman" w:hAnsi="Times New Roman" w:cs="Times New Roman"/>
          <w:bCs/>
          <w:color w:val="auto"/>
          <w:w w:val="99"/>
          <w:kern w:val="2"/>
          <w:sz w:val="24"/>
          <w:szCs w:val="24"/>
          <w:highlight w:val="none"/>
          <w:lang w:val="en-US" w:eastAsia="zh-CN"/>
        </w:rPr>
        <w:t>19</w:t>
      </w:r>
      <w:r>
        <w:rPr>
          <w:rFonts w:ascii="Times New Roman" w:hAnsi="Times New Roman" w:cs="Times New Roman"/>
          <w:bCs/>
          <w:color w:val="auto"/>
          <w:w w:val="99"/>
          <w:kern w:val="2"/>
          <w:sz w:val="24"/>
          <w:szCs w:val="24"/>
          <w:highlight w:val="none"/>
        </w:rPr>
        <w:t>年</w:t>
      </w:r>
      <w:r>
        <w:rPr>
          <w:rFonts w:hint="eastAsia" w:ascii="Times New Roman" w:hAnsi="Times New Roman" w:cs="Times New Roman"/>
          <w:bCs/>
          <w:color w:val="auto"/>
          <w:w w:val="99"/>
          <w:kern w:val="2"/>
          <w:sz w:val="24"/>
          <w:szCs w:val="24"/>
          <w:highlight w:val="none"/>
          <w:lang w:val="en-US" w:eastAsia="zh-CN"/>
        </w:rPr>
        <w:t>11</w:t>
      </w:r>
      <w:r>
        <w:rPr>
          <w:rFonts w:ascii="Times New Roman" w:hAnsi="Times New Roman" w:cs="Times New Roman"/>
          <w:bCs/>
          <w:color w:val="auto"/>
          <w:w w:val="99"/>
          <w:kern w:val="2"/>
          <w:sz w:val="24"/>
          <w:szCs w:val="24"/>
          <w:highlight w:val="none"/>
        </w:rPr>
        <w:t>月完成自主验收</w:t>
      </w:r>
      <w:r>
        <w:rPr>
          <w:rFonts w:hint="eastAsia" w:ascii="Times New Roman" w:hAnsi="Times New Roman" w:cs="Times New Roman"/>
          <w:bCs/>
          <w:color w:val="auto"/>
          <w:w w:val="99"/>
          <w:kern w:val="2"/>
          <w:sz w:val="24"/>
          <w:szCs w:val="24"/>
          <w:highlight w:val="none"/>
          <w:lang w:eastAsia="zh-CN"/>
        </w:rPr>
        <w:t>；</w:t>
      </w:r>
    </w:p>
    <w:p w14:paraId="4BF74431">
      <w:pPr>
        <w:widowControl w:val="0"/>
        <w:spacing w:line="500" w:lineRule="exact"/>
        <w:ind w:firstLine="474" w:firstLineChars="200"/>
        <w:rPr>
          <w:rFonts w:hint="default" w:ascii="Times New Roman" w:hAnsi="Times New Roman" w:eastAsia="宋体" w:cs="Times New Roman"/>
          <w:color w:val="auto"/>
          <w:w w:val="99"/>
          <w:highlight w:val="none"/>
          <w:lang w:val="en-US" w:eastAsia="zh-CN"/>
        </w:rPr>
      </w:pPr>
      <w:r>
        <w:rPr>
          <w:rFonts w:hint="eastAsia" w:ascii="Times New Roman" w:hAnsi="Times New Roman" w:cs="Times New Roman"/>
          <w:color w:val="auto"/>
          <w:w w:val="99"/>
          <w:highlight w:val="none"/>
          <w:lang w:val="en-US" w:eastAsia="zh-CN"/>
        </w:rPr>
        <w:t>本项目</w:t>
      </w:r>
      <w:r>
        <w:rPr>
          <w:rFonts w:hint="default" w:ascii="Times New Roman" w:hAnsi="Times New Roman" w:eastAsia="宋体" w:cs="Times New Roman"/>
          <w:color w:val="auto"/>
          <w:w w:val="99"/>
          <w:highlight w:val="none"/>
          <w:lang w:val="en-US" w:eastAsia="zh-CN"/>
        </w:rPr>
        <w:t>区块</w:t>
      </w:r>
      <w:r>
        <w:rPr>
          <w:rFonts w:hint="eastAsia" w:ascii="Times New Roman" w:hAnsi="Times New Roman" w:cs="Times New Roman"/>
          <w:color w:val="auto"/>
          <w:w w:val="99"/>
          <w:highlight w:val="none"/>
          <w:lang w:val="en-US" w:eastAsia="zh-CN"/>
        </w:rPr>
        <w:t>所在</w:t>
      </w:r>
      <w:r>
        <w:rPr>
          <w:rFonts w:hint="default" w:ascii="Times New Roman" w:hAnsi="Times New Roman" w:eastAsia="宋体" w:cs="Times New Roman"/>
          <w:color w:val="auto"/>
          <w:w w:val="99"/>
          <w:highlight w:val="none"/>
          <w:lang w:val="en-US" w:eastAsia="zh-CN"/>
        </w:rPr>
        <w:t>徐深气田内已建有气、水、电、道路等工程。</w:t>
      </w:r>
    </w:p>
    <w:p w14:paraId="23B0073D">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
          <w:highlight w:val="none"/>
        </w:rPr>
        <w:t>表3.</w:t>
      </w:r>
      <w:r>
        <w:rPr>
          <w:rFonts w:hint="eastAsia" w:ascii="Times New Roman" w:hAnsi="Times New Roman" w:cs="Times New Roman" w:eastAsiaTheme="minorEastAsia"/>
          <w:b/>
          <w:bCs w:val="0"/>
          <w:color w:val="auto"/>
          <w:w w:val="99"/>
          <w:kern w:val="2"/>
          <w:highlight w:val="none"/>
          <w:lang w:val="en-US" w:eastAsia="zh-CN"/>
        </w:rPr>
        <w:t>1</w:t>
      </w:r>
      <w:r>
        <w:rPr>
          <w:rFonts w:ascii="Times New Roman" w:hAnsi="Times New Roman" w:cs="Times New Roman" w:eastAsiaTheme="minorEastAsia"/>
          <w:b/>
          <w:bCs w:val="0"/>
          <w:color w:val="auto"/>
          <w:w w:val="99"/>
          <w:kern w:val="2"/>
          <w:highlight w:val="none"/>
        </w:rPr>
        <w:t>-</w:t>
      </w:r>
      <w:r>
        <w:rPr>
          <w:rFonts w:hint="eastAsia" w:ascii="Times New Roman" w:hAnsi="Times New Roman" w:cs="Times New Roman" w:eastAsiaTheme="minorEastAsia"/>
          <w:b/>
          <w:bCs w:val="0"/>
          <w:color w:val="auto"/>
          <w:w w:val="99"/>
          <w:kern w:val="2"/>
          <w:highlight w:val="none"/>
          <w:lang w:val="en-US" w:eastAsia="zh-CN"/>
        </w:rPr>
        <w:t xml:space="preserve">1   </w:t>
      </w:r>
      <w:r>
        <w:rPr>
          <w:rFonts w:ascii="Times New Roman" w:hAnsi="Times New Roman" w:cs="Times New Roman" w:eastAsiaTheme="minorEastAsia"/>
          <w:b/>
          <w:bCs w:val="0"/>
          <w:color w:val="auto"/>
          <w:w w:val="99"/>
          <w:kern w:val="2"/>
          <w:highlight w:val="none"/>
        </w:rPr>
        <w:t xml:space="preserve"> </w:t>
      </w:r>
      <w:r>
        <w:rPr>
          <w:rFonts w:hint="eastAsia" w:ascii="Times New Roman" w:hAnsi="Times New Roman" w:cs="Times New Roman" w:eastAsiaTheme="minorEastAsia"/>
          <w:b/>
          <w:bCs w:val="0"/>
          <w:color w:val="auto"/>
          <w:w w:val="99"/>
          <w:kern w:val="2"/>
          <w:highlight w:val="none"/>
          <w:lang w:eastAsia="zh-CN"/>
        </w:rPr>
        <w:t>本项目</w:t>
      </w:r>
      <w:r>
        <w:rPr>
          <w:rFonts w:hint="eastAsia" w:ascii="Times New Roman" w:hAnsi="Times New Roman" w:cs="Times New Roman" w:eastAsiaTheme="minorEastAsia"/>
          <w:b/>
          <w:bCs w:val="0"/>
          <w:color w:val="auto"/>
          <w:w w:val="99"/>
          <w:kern w:val="2"/>
          <w:highlight w:val="none"/>
        </w:rPr>
        <w:t>可依托</w:t>
      </w:r>
      <w:r>
        <w:rPr>
          <w:rFonts w:ascii="Times New Roman" w:hAnsi="Times New Roman" w:cs="Times New Roman" w:eastAsiaTheme="minorEastAsia"/>
          <w:b/>
          <w:bCs w:val="0"/>
          <w:color w:val="auto"/>
          <w:w w:val="99"/>
          <w:kern w:val="2"/>
          <w:highlight w:val="none"/>
        </w:rPr>
        <w:t>各类站统计表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9"/>
        <w:gridCol w:w="1657"/>
        <w:gridCol w:w="1184"/>
        <w:gridCol w:w="5600"/>
      </w:tblGrid>
      <w:tr w14:paraId="491B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jc w:val="center"/>
        </w:trPr>
        <w:tc>
          <w:tcPr>
            <w:tcW w:w="352" w:type="pct"/>
            <w:vAlign w:val="center"/>
          </w:tcPr>
          <w:p w14:paraId="51DCA2D6">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912" w:type="pct"/>
            <w:vAlign w:val="center"/>
          </w:tcPr>
          <w:p w14:paraId="4EF034C5">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类别</w:t>
            </w:r>
          </w:p>
        </w:tc>
        <w:tc>
          <w:tcPr>
            <w:tcW w:w="652" w:type="pct"/>
            <w:vAlign w:val="center"/>
          </w:tcPr>
          <w:p w14:paraId="5B2CB769">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数量（座）</w:t>
            </w:r>
          </w:p>
        </w:tc>
        <w:tc>
          <w:tcPr>
            <w:tcW w:w="3083" w:type="pct"/>
            <w:vAlign w:val="center"/>
          </w:tcPr>
          <w:p w14:paraId="6BEDCDC1">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站名</w:t>
            </w:r>
          </w:p>
        </w:tc>
      </w:tr>
      <w:tr w14:paraId="196A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52" w:type="pct"/>
            <w:vAlign w:val="center"/>
          </w:tcPr>
          <w:p w14:paraId="71762258">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912" w:type="pct"/>
            <w:vAlign w:val="center"/>
          </w:tcPr>
          <w:p w14:paraId="2EA65094">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集气站</w:t>
            </w:r>
          </w:p>
        </w:tc>
        <w:tc>
          <w:tcPr>
            <w:tcW w:w="652" w:type="pct"/>
            <w:vAlign w:val="center"/>
          </w:tcPr>
          <w:p w14:paraId="62D4EAA2">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1</w:t>
            </w:r>
          </w:p>
        </w:tc>
        <w:tc>
          <w:tcPr>
            <w:tcW w:w="3083" w:type="pct"/>
            <w:vAlign w:val="center"/>
          </w:tcPr>
          <w:p w14:paraId="0561EDFD">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徐深27集气站</w:t>
            </w:r>
          </w:p>
        </w:tc>
      </w:tr>
      <w:tr w14:paraId="45B8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52" w:type="pct"/>
            <w:vAlign w:val="center"/>
          </w:tcPr>
          <w:p w14:paraId="6816EB1A">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912" w:type="pct"/>
            <w:vAlign w:val="center"/>
          </w:tcPr>
          <w:p w14:paraId="379BB96D">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污水处理站</w:t>
            </w:r>
          </w:p>
        </w:tc>
        <w:tc>
          <w:tcPr>
            <w:tcW w:w="652" w:type="pct"/>
            <w:vAlign w:val="center"/>
          </w:tcPr>
          <w:p w14:paraId="70DCE5F5">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1</w:t>
            </w:r>
          </w:p>
        </w:tc>
        <w:tc>
          <w:tcPr>
            <w:tcW w:w="3083" w:type="pct"/>
            <w:vAlign w:val="center"/>
          </w:tcPr>
          <w:p w14:paraId="1D48E9E9">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升一联气田污水预处理站</w:t>
            </w:r>
          </w:p>
        </w:tc>
      </w:tr>
    </w:tbl>
    <w:p w14:paraId="4258664C">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w w:val="99"/>
          <w:highlight w:val="none"/>
          <w:lang w:val="en-US" w:eastAsia="zh-CN"/>
        </w:rPr>
      </w:pPr>
      <w:r>
        <w:rPr>
          <w:color w:val="auto"/>
          <w:sz w:val="24"/>
          <w:highlight w:val="none"/>
        </w:rPr>
        <mc:AlternateContent>
          <mc:Choice Requires="wpg">
            <w:drawing>
              <wp:anchor distT="0" distB="0" distL="114300" distR="114300" simplePos="0" relativeHeight="251670528" behindDoc="0" locked="0" layoutInCell="1" allowOverlap="1">
                <wp:simplePos x="0" y="0"/>
                <wp:positionH relativeFrom="column">
                  <wp:posOffset>4366895</wp:posOffset>
                </wp:positionH>
                <wp:positionV relativeFrom="paragraph">
                  <wp:posOffset>-3175</wp:posOffset>
                </wp:positionV>
                <wp:extent cx="1390015" cy="3863975"/>
                <wp:effectExtent l="4445" t="0" r="15240" b="22225"/>
                <wp:wrapNone/>
                <wp:docPr id="60" name="组合 60"/>
                <wp:cNvGraphicFramePr/>
                <a:graphic xmlns:a="http://schemas.openxmlformats.org/drawingml/2006/main">
                  <a:graphicData uri="http://schemas.microsoft.com/office/word/2010/wordprocessingGroup">
                    <wpg:wgp>
                      <wpg:cNvGrpSpPr/>
                      <wpg:grpSpPr>
                        <a:xfrm>
                          <a:off x="0" y="0"/>
                          <a:ext cx="1390015" cy="3863975"/>
                          <a:chOff x="8686" y="1212354"/>
                          <a:chExt cx="2189" cy="6085"/>
                        </a:xfrm>
                      </wpg:grpSpPr>
                      <pic:pic xmlns:pic="http://schemas.openxmlformats.org/drawingml/2006/picture">
                        <pic:nvPicPr>
                          <pic:cNvPr id="77" name="图片 3"/>
                          <pic:cNvPicPr>
                            <a:picLocks noChangeAspect="1"/>
                          </pic:cNvPicPr>
                        </pic:nvPicPr>
                        <pic:blipFill>
                          <a:blip r:embed="rId22"/>
                          <a:stretch>
                            <a:fillRect/>
                          </a:stretch>
                        </pic:blipFill>
                        <pic:spPr>
                          <a:xfrm>
                            <a:off x="9829" y="1212354"/>
                            <a:ext cx="1046" cy="1300"/>
                          </a:xfrm>
                          <a:prstGeom prst="rect">
                            <a:avLst/>
                          </a:prstGeom>
                          <a:noFill/>
                          <a:ln>
                            <a:noFill/>
                          </a:ln>
                        </pic:spPr>
                      </pic:pic>
                      <wps:wsp>
                        <wps:cNvPr id="100" name="文本框 15"/>
                        <wps:cNvSpPr txBox="1"/>
                        <wps:spPr>
                          <a:xfrm>
                            <a:off x="8686" y="1216823"/>
                            <a:ext cx="2166" cy="16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95A5E3">
                              <w:pPr>
                                <w:rPr>
                                  <w:rFonts w:hint="eastAsia"/>
                                  <w:sz w:val="15"/>
                                  <w:szCs w:val="15"/>
                                  <w:lang w:val="en-US" w:eastAsia="zh-CN"/>
                                </w:rPr>
                              </w:pPr>
                              <w:r>
                                <w:rPr>
                                  <w:rFonts w:hint="eastAsia"/>
                                  <w:sz w:val="15"/>
                                  <w:szCs w:val="15"/>
                                  <w:lang w:val="en-US" w:eastAsia="zh-CN"/>
                                </w:rPr>
                                <w:t>图例</w:t>
                              </w:r>
                            </w:p>
                            <w:p w14:paraId="08A68C4C">
                              <w:pPr>
                                <w:ind w:firstLine="450" w:firstLineChars="300"/>
                                <w:rPr>
                                  <w:rFonts w:hint="eastAsia"/>
                                  <w:sz w:val="15"/>
                                  <w:szCs w:val="15"/>
                                  <w:lang w:val="en-US" w:eastAsia="zh-CN"/>
                                </w:rPr>
                              </w:pPr>
                              <w:r>
                                <w:rPr>
                                  <w:rFonts w:hint="eastAsia"/>
                                  <w:sz w:val="15"/>
                                  <w:szCs w:val="15"/>
                                  <w:lang w:val="en-US" w:eastAsia="zh-CN"/>
                                </w:rPr>
                                <w:t>现有管线</w:t>
                              </w:r>
                            </w:p>
                            <w:p w14:paraId="12711C21">
                              <w:pPr>
                                <w:rPr>
                                  <w:rFonts w:hint="eastAsia"/>
                                  <w:sz w:val="15"/>
                                  <w:szCs w:val="15"/>
                                  <w:lang w:val="en-US" w:eastAsia="zh-CN"/>
                                </w:rPr>
                              </w:pPr>
                              <w:r>
                                <w:drawing>
                                  <wp:inline distT="0" distB="0" distL="114300" distR="114300">
                                    <wp:extent cx="193040" cy="179705"/>
                                    <wp:effectExtent l="0" t="0" r="16510" b="10795"/>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23"/>
                                            <a:stretch>
                                              <a:fillRect/>
                                            </a:stretch>
                                          </pic:blipFill>
                                          <pic:spPr>
                                            <a:xfrm>
                                              <a:off x="0" y="0"/>
                                              <a:ext cx="193040" cy="179705"/>
                                            </a:xfrm>
                                            <a:prstGeom prst="rect">
                                              <a:avLst/>
                                            </a:prstGeom>
                                            <a:noFill/>
                                            <a:ln>
                                              <a:noFill/>
                                            </a:ln>
                                          </pic:spPr>
                                        </pic:pic>
                                      </a:graphicData>
                                    </a:graphic>
                                  </wp:inline>
                                </w:drawing>
                              </w:r>
                              <w:r>
                                <w:rPr>
                                  <w:rFonts w:hint="eastAsia"/>
                                  <w:lang w:val="en-US" w:eastAsia="zh-CN"/>
                                </w:rPr>
                                <w:t xml:space="preserve"> </w:t>
                              </w:r>
                              <w:r>
                                <w:rPr>
                                  <w:rFonts w:hint="eastAsia"/>
                                  <w:sz w:val="15"/>
                                  <w:szCs w:val="15"/>
                                  <w:lang w:val="en-US" w:eastAsia="zh-CN"/>
                                </w:rPr>
                                <w:t>区块内现有井场</w:t>
                              </w:r>
                            </w:p>
                            <w:p w14:paraId="061A4654">
                              <w:pPr>
                                <w:rPr>
                                  <w:rFonts w:hint="eastAsia"/>
                                  <w:sz w:val="15"/>
                                  <w:szCs w:val="15"/>
                                  <w:lang w:val="en-US" w:eastAsia="zh-CN"/>
                                </w:rPr>
                              </w:pPr>
                              <w:r>
                                <w:drawing>
                                  <wp:inline distT="0" distB="0" distL="114300" distR="114300">
                                    <wp:extent cx="193040" cy="179705"/>
                                    <wp:effectExtent l="0" t="0" r="16510" b="1079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24"/>
                                            <a:stretch>
                                              <a:fillRect/>
                                            </a:stretch>
                                          </pic:blipFill>
                                          <pic:spPr>
                                            <a:xfrm>
                                              <a:off x="0" y="0"/>
                                              <a:ext cx="193040" cy="179705"/>
                                            </a:xfrm>
                                            <a:prstGeom prst="rect">
                                              <a:avLst/>
                                            </a:prstGeom>
                                            <a:noFill/>
                                            <a:ln>
                                              <a:noFill/>
                                            </a:ln>
                                          </pic:spPr>
                                        </pic:pic>
                                      </a:graphicData>
                                    </a:graphic>
                                  </wp:inline>
                                </w:drawing>
                              </w:r>
                              <w:r>
                                <w:rPr>
                                  <w:rFonts w:hint="eastAsia"/>
                                  <w:lang w:val="en-US" w:eastAsia="zh-CN"/>
                                </w:rPr>
                                <w:t xml:space="preserve"> </w:t>
                              </w:r>
                              <w:r>
                                <w:rPr>
                                  <w:rFonts w:hint="eastAsia"/>
                                  <w:sz w:val="15"/>
                                  <w:szCs w:val="15"/>
                                  <w:lang w:val="en-US" w:eastAsia="zh-CN"/>
                                </w:rPr>
                                <w:t>现有集气站</w:t>
                              </w:r>
                            </w:p>
                            <w:p w14:paraId="0203D297">
                              <w:pPr>
                                <w:rPr>
                                  <w:rFonts w:hint="default"/>
                                  <w:sz w:val="15"/>
                                  <w:szCs w:val="15"/>
                                  <w:lang w:val="en-US" w:eastAsia="zh-CN"/>
                                </w:rPr>
                              </w:pPr>
                              <w:r>
                                <w:drawing>
                                  <wp:inline distT="0" distB="0" distL="114300" distR="114300">
                                    <wp:extent cx="193040" cy="179705"/>
                                    <wp:effectExtent l="0" t="0" r="16510" b="10795"/>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25"/>
                                            <a:stretch>
                                              <a:fillRect/>
                                            </a:stretch>
                                          </pic:blipFill>
                                          <pic:spPr>
                                            <a:xfrm>
                                              <a:off x="0" y="0"/>
                                              <a:ext cx="193040" cy="179705"/>
                                            </a:xfrm>
                                            <a:prstGeom prst="rect">
                                              <a:avLst/>
                                            </a:prstGeom>
                                            <a:noFill/>
                                            <a:ln>
                                              <a:noFill/>
                                            </a:ln>
                                          </pic:spPr>
                                        </pic:pic>
                                      </a:graphicData>
                                    </a:graphic>
                                  </wp:inline>
                                </w:drawing>
                              </w:r>
                              <w:r>
                                <w:rPr>
                                  <w:rFonts w:hint="eastAsia"/>
                                  <w:sz w:val="15"/>
                                  <w:szCs w:val="15"/>
                                  <w:lang w:val="en-US" w:eastAsia="zh-CN"/>
                                </w:rPr>
                                <w:t>本项目拟建井场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直接连接符 20"/>
                        <wps:cNvCnPr/>
                        <wps:spPr>
                          <a:xfrm>
                            <a:off x="8817" y="1217201"/>
                            <a:ext cx="274" cy="0"/>
                          </a:xfrm>
                          <a:prstGeom prst="line">
                            <a:avLst/>
                          </a:prstGeom>
                          <a:ln>
                            <a:solidFill>
                              <a:srgbClr val="0070C0"/>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343.85pt;margin-top:-0.25pt;height:304.25pt;width:109.45pt;z-index:251670528;mso-width-relative:page;mso-height-relative:page;" coordorigin="8686,1212354" coordsize="2189,6085" o:gfxdata="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">
                <o:lock v:ext="edit" aspectratio="f"/>
                <v:shape id="图片 3" o:spid="_x0000_s1026" o:spt="75" type="#_x0000_t75" style="position:absolute;left:9829;top:1212354;height:1300;width:1046;" filled="f" o:preferrelative="t" stroked="f" coordsize="21600,21600" o:gfxdata="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W4ti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文本框 15" o:spid="_x0000_s1026" o:spt="202" type="#_x0000_t202" style="position:absolute;left:8686;top:1216823;height:1617;width:2166;" fillcolor="#FFFFFF [3201]" filled="t" stroked="t" coordsize="21600,21600" o:gfxdata="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WN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2E95A5E3">
                        <w:pPr>
                          <w:rPr>
                            <w:rFonts w:hint="eastAsia"/>
                            <w:sz w:val="15"/>
                            <w:szCs w:val="15"/>
                            <w:lang w:val="en-US" w:eastAsia="zh-CN"/>
                          </w:rPr>
                        </w:pPr>
                        <w:r>
                          <w:rPr>
                            <w:rFonts w:hint="eastAsia"/>
                            <w:sz w:val="15"/>
                            <w:szCs w:val="15"/>
                            <w:lang w:val="en-US" w:eastAsia="zh-CN"/>
                          </w:rPr>
                          <w:t>图例</w:t>
                        </w:r>
                      </w:p>
                      <w:p w14:paraId="08A68C4C">
                        <w:pPr>
                          <w:ind w:firstLine="450" w:firstLineChars="300"/>
                          <w:rPr>
                            <w:rFonts w:hint="eastAsia"/>
                            <w:sz w:val="15"/>
                            <w:szCs w:val="15"/>
                            <w:lang w:val="en-US" w:eastAsia="zh-CN"/>
                          </w:rPr>
                        </w:pPr>
                        <w:r>
                          <w:rPr>
                            <w:rFonts w:hint="eastAsia"/>
                            <w:sz w:val="15"/>
                            <w:szCs w:val="15"/>
                            <w:lang w:val="en-US" w:eastAsia="zh-CN"/>
                          </w:rPr>
                          <w:t>现有管线</w:t>
                        </w:r>
                      </w:p>
                      <w:p w14:paraId="12711C21">
                        <w:pPr>
                          <w:rPr>
                            <w:rFonts w:hint="eastAsia"/>
                            <w:sz w:val="15"/>
                            <w:szCs w:val="15"/>
                            <w:lang w:val="en-US" w:eastAsia="zh-CN"/>
                          </w:rPr>
                        </w:pPr>
                        <w:r>
                          <w:drawing>
                            <wp:inline distT="0" distB="0" distL="114300" distR="114300">
                              <wp:extent cx="193040" cy="179705"/>
                              <wp:effectExtent l="0" t="0" r="16510" b="10795"/>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23"/>
                                      <a:stretch>
                                        <a:fillRect/>
                                      </a:stretch>
                                    </pic:blipFill>
                                    <pic:spPr>
                                      <a:xfrm>
                                        <a:off x="0" y="0"/>
                                        <a:ext cx="193040" cy="179705"/>
                                      </a:xfrm>
                                      <a:prstGeom prst="rect">
                                        <a:avLst/>
                                      </a:prstGeom>
                                      <a:noFill/>
                                      <a:ln>
                                        <a:noFill/>
                                      </a:ln>
                                    </pic:spPr>
                                  </pic:pic>
                                </a:graphicData>
                              </a:graphic>
                            </wp:inline>
                          </w:drawing>
                        </w:r>
                        <w:r>
                          <w:rPr>
                            <w:rFonts w:hint="eastAsia"/>
                            <w:lang w:val="en-US" w:eastAsia="zh-CN"/>
                          </w:rPr>
                          <w:t xml:space="preserve"> </w:t>
                        </w:r>
                        <w:r>
                          <w:rPr>
                            <w:rFonts w:hint="eastAsia"/>
                            <w:sz w:val="15"/>
                            <w:szCs w:val="15"/>
                            <w:lang w:val="en-US" w:eastAsia="zh-CN"/>
                          </w:rPr>
                          <w:t>区块内现有井场</w:t>
                        </w:r>
                      </w:p>
                      <w:p w14:paraId="061A4654">
                        <w:pPr>
                          <w:rPr>
                            <w:rFonts w:hint="eastAsia"/>
                            <w:sz w:val="15"/>
                            <w:szCs w:val="15"/>
                            <w:lang w:val="en-US" w:eastAsia="zh-CN"/>
                          </w:rPr>
                        </w:pPr>
                        <w:r>
                          <w:drawing>
                            <wp:inline distT="0" distB="0" distL="114300" distR="114300">
                              <wp:extent cx="193040" cy="179705"/>
                              <wp:effectExtent l="0" t="0" r="16510" b="1079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24"/>
                                      <a:stretch>
                                        <a:fillRect/>
                                      </a:stretch>
                                    </pic:blipFill>
                                    <pic:spPr>
                                      <a:xfrm>
                                        <a:off x="0" y="0"/>
                                        <a:ext cx="193040" cy="179705"/>
                                      </a:xfrm>
                                      <a:prstGeom prst="rect">
                                        <a:avLst/>
                                      </a:prstGeom>
                                      <a:noFill/>
                                      <a:ln>
                                        <a:noFill/>
                                      </a:ln>
                                    </pic:spPr>
                                  </pic:pic>
                                </a:graphicData>
                              </a:graphic>
                            </wp:inline>
                          </w:drawing>
                        </w:r>
                        <w:r>
                          <w:rPr>
                            <w:rFonts w:hint="eastAsia"/>
                            <w:lang w:val="en-US" w:eastAsia="zh-CN"/>
                          </w:rPr>
                          <w:t xml:space="preserve"> </w:t>
                        </w:r>
                        <w:r>
                          <w:rPr>
                            <w:rFonts w:hint="eastAsia"/>
                            <w:sz w:val="15"/>
                            <w:szCs w:val="15"/>
                            <w:lang w:val="en-US" w:eastAsia="zh-CN"/>
                          </w:rPr>
                          <w:t>现有集气站</w:t>
                        </w:r>
                      </w:p>
                      <w:p w14:paraId="0203D297">
                        <w:pPr>
                          <w:rPr>
                            <w:rFonts w:hint="default"/>
                            <w:sz w:val="15"/>
                            <w:szCs w:val="15"/>
                            <w:lang w:val="en-US" w:eastAsia="zh-CN"/>
                          </w:rPr>
                        </w:pPr>
                        <w:r>
                          <w:drawing>
                            <wp:inline distT="0" distB="0" distL="114300" distR="114300">
                              <wp:extent cx="193040" cy="179705"/>
                              <wp:effectExtent l="0" t="0" r="16510" b="10795"/>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25"/>
                                      <a:stretch>
                                        <a:fillRect/>
                                      </a:stretch>
                                    </pic:blipFill>
                                    <pic:spPr>
                                      <a:xfrm>
                                        <a:off x="0" y="0"/>
                                        <a:ext cx="193040" cy="179705"/>
                                      </a:xfrm>
                                      <a:prstGeom prst="rect">
                                        <a:avLst/>
                                      </a:prstGeom>
                                      <a:noFill/>
                                      <a:ln>
                                        <a:noFill/>
                                      </a:ln>
                                    </pic:spPr>
                                  </pic:pic>
                                </a:graphicData>
                              </a:graphic>
                            </wp:inline>
                          </w:drawing>
                        </w:r>
                        <w:r>
                          <w:rPr>
                            <w:rFonts w:hint="eastAsia"/>
                            <w:sz w:val="15"/>
                            <w:szCs w:val="15"/>
                            <w:lang w:val="en-US" w:eastAsia="zh-CN"/>
                          </w:rPr>
                          <w:t>本项目拟建井场</w:t>
                        </w:r>
                      </w:p>
                    </w:txbxContent>
                  </v:textbox>
                </v:shape>
                <v:line id="直接连接符 20" o:spid="_x0000_s1026" o:spt="20" style="position:absolute;left:8817;top:1217201;height:0;width:274;" filled="f" stroked="t" coordsize="21600,21600" o:gfxdata="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sm86C5AAAA3AAA&#10;AA8AAAAAAAAAAQAgAAAAIgAAAGRycy9kb3ducmV2LnhtbFBLAQIUABQAAAAIAIdO4kAzLwWeOwAA&#10;ADkAAAAQAAAAAAAAAAEAIAAAAAgBAABkcnMvc2hhcGV4bWwueG1sUEsFBgAAAAAGAAYAWwEAALID&#10;AAAAAA==&#10;">
                  <v:fill on="f" focussize="0,0"/>
                  <v:stroke weight="1pt" color="#0070C0 [3204]" miterlimit="8" joinstyle="miter"/>
                  <v:imagedata o:title=""/>
                  <o:lock v:ext="edit" aspectratio="f"/>
                </v:line>
              </v:group>
            </w:pict>
          </mc:Fallback>
        </mc:AlternateContent>
      </w:r>
      <w:r>
        <w:rPr>
          <w:color w:val="auto"/>
          <w:highlight w:val="none"/>
        </w:rPr>
        <w:drawing>
          <wp:inline distT="0" distB="0" distL="114300" distR="114300">
            <wp:extent cx="5754370" cy="3872230"/>
            <wp:effectExtent l="0" t="0" r="17780" b="13970"/>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26"/>
                    <a:stretch>
                      <a:fillRect/>
                    </a:stretch>
                  </pic:blipFill>
                  <pic:spPr>
                    <a:xfrm>
                      <a:off x="0" y="0"/>
                      <a:ext cx="5754370" cy="3872230"/>
                    </a:xfrm>
                    <a:prstGeom prst="rect">
                      <a:avLst/>
                    </a:prstGeom>
                    <a:noFill/>
                    <a:ln>
                      <a:noFill/>
                    </a:ln>
                  </pic:spPr>
                </pic:pic>
              </a:graphicData>
            </a:graphic>
          </wp:inline>
        </w:drawing>
      </w:r>
    </w:p>
    <w:p w14:paraId="30FACCFE">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76" w:firstLineChars="200"/>
        <w:jc w:val="center"/>
        <w:textAlignment w:val="auto"/>
        <w:rPr>
          <w:rFonts w:hint="default" w:ascii="Times New Roman" w:hAnsi="Times New Roman" w:eastAsia="宋体" w:cs="Times New Roman"/>
          <w:b/>
          <w:bCs/>
          <w:color w:val="auto"/>
          <w:w w:val="99"/>
          <w:highlight w:val="none"/>
          <w:lang w:val="en-US" w:eastAsia="zh-CN"/>
        </w:rPr>
      </w:pPr>
      <w:r>
        <w:rPr>
          <w:rFonts w:hint="default" w:ascii="Times New Roman" w:hAnsi="Times New Roman" w:eastAsia="宋体" w:cs="Times New Roman"/>
          <w:b/>
          <w:bCs/>
          <w:color w:val="auto"/>
          <w:w w:val="99"/>
          <w:highlight w:val="none"/>
          <w:lang w:val="en-US" w:eastAsia="zh-CN"/>
        </w:rPr>
        <w:t>图3.1-</w:t>
      </w:r>
      <w:r>
        <w:rPr>
          <w:rFonts w:hint="eastAsia" w:ascii="Times New Roman" w:hAnsi="Times New Roman" w:eastAsia="宋体" w:cs="Times New Roman"/>
          <w:b/>
          <w:bCs/>
          <w:color w:val="auto"/>
          <w:w w:val="99"/>
          <w:highlight w:val="none"/>
          <w:lang w:val="en-US" w:eastAsia="zh-CN"/>
        </w:rPr>
        <w:t>2</w:t>
      </w:r>
      <w:r>
        <w:rPr>
          <w:rFonts w:hint="default" w:ascii="Times New Roman" w:hAnsi="Times New Roman" w:eastAsia="宋体" w:cs="Times New Roman"/>
          <w:b/>
          <w:bCs/>
          <w:color w:val="auto"/>
          <w:w w:val="99"/>
          <w:highlight w:val="none"/>
          <w:lang w:val="en-US" w:eastAsia="zh-CN"/>
        </w:rPr>
        <w:t xml:space="preserve">   </w:t>
      </w:r>
      <w:r>
        <w:rPr>
          <w:rFonts w:hint="eastAsia" w:ascii="Times New Roman" w:hAnsi="Times New Roman" w:eastAsia="宋体" w:cs="Times New Roman"/>
          <w:b/>
          <w:bCs/>
          <w:color w:val="auto"/>
          <w:w w:val="99"/>
          <w:highlight w:val="none"/>
          <w:lang w:val="en-US" w:eastAsia="zh-CN"/>
        </w:rPr>
        <w:t>本项目与徐深27井区</w:t>
      </w:r>
      <w:r>
        <w:rPr>
          <w:rFonts w:hint="default" w:ascii="Times New Roman" w:hAnsi="Times New Roman" w:eastAsia="宋体" w:cs="Times New Roman"/>
          <w:b/>
          <w:bCs/>
          <w:color w:val="auto"/>
          <w:w w:val="99"/>
          <w:highlight w:val="none"/>
          <w:lang w:val="en-US" w:eastAsia="zh-CN"/>
        </w:rPr>
        <w:t>位置示意图</w:t>
      </w:r>
    </w:p>
    <w:p w14:paraId="42A407D1">
      <w:pPr>
        <w:widowControl w:val="0"/>
        <w:spacing w:line="500" w:lineRule="exact"/>
        <w:outlineLvl w:val="3"/>
        <w:rPr>
          <w:rFonts w:hint="default" w:ascii="Times New Roman" w:hAnsi="Times New Roman" w:eastAsia="宋体" w:cs="Times New Roman"/>
          <w:b/>
          <w:color w:val="auto"/>
          <w:w w:val="99"/>
          <w:szCs w:val="20"/>
          <w:highlight w:val="none"/>
          <w:lang w:val="en-US" w:eastAsia="zh-CN"/>
        </w:rPr>
      </w:pPr>
      <w:r>
        <w:rPr>
          <w:rFonts w:hint="default" w:ascii="Times New Roman" w:hAnsi="Times New Roman" w:eastAsia="宋体" w:cs="Times New Roman"/>
          <w:b/>
          <w:color w:val="auto"/>
          <w:w w:val="99"/>
          <w:szCs w:val="20"/>
          <w:highlight w:val="none"/>
          <w:lang w:val="en-US" w:eastAsia="zh-CN"/>
        </w:rPr>
        <w:t>3.</w:t>
      </w:r>
      <w:r>
        <w:rPr>
          <w:rFonts w:hint="eastAsia" w:ascii="Times New Roman" w:hAnsi="Times New Roman" w:eastAsia="宋体" w:cs="Times New Roman"/>
          <w:b/>
          <w:color w:val="auto"/>
          <w:w w:val="99"/>
          <w:szCs w:val="20"/>
          <w:highlight w:val="none"/>
          <w:lang w:val="en-US" w:eastAsia="zh-CN"/>
        </w:rPr>
        <w:t>1.1</w:t>
      </w:r>
      <w:r>
        <w:rPr>
          <w:rFonts w:hint="default" w:ascii="Times New Roman" w:hAnsi="Times New Roman" w:eastAsia="宋体" w:cs="Times New Roman"/>
          <w:b/>
          <w:color w:val="auto"/>
          <w:w w:val="99"/>
          <w:szCs w:val="20"/>
          <w:highlight w:val="none"/>
          <w:lang w:val="en-US" w:eastAsia="zh-CN"/>
        </w:rPr>
        <w:t>.2</w:t>
      </w:r>
      <w:r>
        <w:rPr>
          <w:rFonts w:hint="eastAsia" w:ascii="Times New Roman" w:hAnsi="Times New Roman" w:cs="Times New Roman"/>
          <w:b/>
          <w:color w:val="auto"/>
          <w:w w:val="99"/>
          <w:szCs w:val="20"/>
          <w:highlight w:val="none"/>
          <w:lang w:val="en-US" w:eastAsia="zh-CN"/>
        </w:rPr>
        <w:t>储气层特点</w:t>
      </w:r>
    </w:p>
    <w:p w14:paraId="3709C84A">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74" w:firstLineChars="200"/>
        <w:jc w:val="both"/>
        <w:textAlignment w:val="auto"/>
        <w:rPr>
          <w:rFonts w:hint="default" w:ascii="Times New Roman" w:hAnsi="Times New Roman" w:eastAsia="宋体" w:cs="Times New Roman"/>
          <w:color w:val="auto"/>
          <w:w w:val="99"/>
          <w:highlight w:val="none"/>
          <w:lang w:val="en-US" w:eastAsia="zh-CN"/>
        </w:rPr>
      </w:pPr>
      <w:r>
        <w:rPr>
          <w:rFonts w:hint="default" w:ascii="Times New Roman" w:hAnsi="Times New Roman" w:eastAsia="宋体" w:cs="Times New Roman"/>
          <w:color w:val="auto"/>
          <w:w w:val="99"/>
          <w:highlight w:val="none"/>
          <w:lang w:val="en-US" w:eastAsia="zh-CN"/>
        </w:rPr>
        <w:t>据地质勘查资料显示，徐深27气井区处于徐家围子东部地区东南部的西断东超斜坡带上，徐东大断裂贯穿徐深27气井区，大断裂东侧发育一小型鼻状构造，构造高点海拔深度-3620m。徐家围子东部斜坡区紧邻徐家围子生气断陷，火山岩、砂砾岩储层发育，自西向东隆升的区域构造格局有利于天然气向斜坡较高部位运移聚集，是断陷内较有利的储气区带。井区区深层天然气储层类型比较丰富，在深层不同层位存在致密砂岩、砂砾岩、火山岩、花岗岩及变质岩风化壳等五大类储层。断陷周边隆起区主要储层是登娄库组砂岩、基岩风化壳，断陷区内部砂砾岩、火山岩是最重要的储层。火山岩储层物性较差，主要为中低孔、特低渗储层。井区天然气中甲烷含量92.063%~92.593%，平均92.119%；乙烷、丙烷、丁烷及戊烷含量0.83%~3.155%，平均2.908%；氮气含量0.18%~0.45%，平均0.421%；CO</w:t>
      </w:r>
      <w:r>
        <w:rPr>
          <w:rFonts w:hint="default" w:ascii="Times New Roman" w:hAnsi="Times New Roman" w:eastAsia="宋体" w:cs="Times New Roman"/>
          <w:color w:val="auto"/>
          <w:w w:val="99"/>
          <w:highlight w:val="none"/>
          <w:vertAlign w:val="subscript"/>
          <w:lang w:val="en-US" w:eastAsia="zh-CN"/>
        </w:rPr>
        <w:t>2</w:t>
      </w:r>
      <w:r>
        <w:rPr>
          <w:rFonts w:hint="default" w:ascii="Times New Roman" w:hAnsi="Times New Roman" w:eastAsia="宋体" w:cs="Times New Roman"/>
          <w:color w:val="auto"/>
          <w:w w:val="99"/>
          <w:highlight w:val="none"/>
          <w:lang w:val="en-US" w:eastAsia="zh-CN"/>
        </w:rPr>
        <w:t>含量4.427%~6.372%，平均4.473%；相对密度0.6203~0.6219，平均0.6205，属于中含CO</w:t>
      </w:r>
      <w:r>
        <w:rPr>
          <w:rFonts w:hint="default" w:ascii="Times New Roman" w:hAnsi="Times New Roman" w:eastAsia="宋体" w:cs="Times New Roman"/>
          <w:color w:val="auto"/>
          <w:w w:val="99"/>
          <w:highlight w:val="none"/>
          <w:vertAlign w:val="subscript"/>
          <w:lang w:val="en-US" w:eastAsia="zh-CN"/>
        </w:rPr>
        <w:t>2</w:t>
      </w:r>
      <w:r>
        <w:rPr>
          <w:rFonts w:hint="default" w:ascii="Times New Roman" w:hAnsi="Times New Roman" w:eastAsia="宋体" w:cs="Times New Roman"/>
          <w:color w:val="auto"/>
          <w:w w:val="99"/>
          <w:highlight w:val="none"/>
          <w:lang w:val="en-US" w:eastAsia="zh-CN"/>
        </w:rPr>
        <w:t>的干气气藏。通过对比压前、压后及试采过程中天然气组分，发现各组分含量变化不大，性质稳定。气水关系呈上气下水，依据测井解释结果，上部气层底面海拔-3789.3m，下部水层顶面海拔-3810m，气藏为构造-岩性气藏。</w:t>
      </w:r>
    </w:p>
    <w:p w14:paraId="101A1EFA">
      <w:pPr>
        <w:widowControl w:val="0"/>
        <w:spacing w:line="500" w:lineRule="exact"/>
        <w:outlineLvl w:val="3"/>
        <w:rPr>
          <w:rFonts w:hint="default" w:ascii="Times New Roman" w:hAnsi="Times New Roman" w:eastAsia="宋体" w:cs="Times New Roman"/>
          <w:b/>
          <w:color w:val="auto"/>
          <w:w w:val="99"/>
          <w:szCs w:val="20"/>
          <w:highlight w:val="none"/>
          <w:lang w:val="en-US" w:eastAsia="zh-CN"/>
        </w:rPr>
      </w:pPr>
      <w:r>
        <w:rPr>
          <w:rFonts w:hint="default" w:ascii="Times New Roman" w:hAnsi="Times New Roman" w:eastAsia="宋体" w:cs="Times New Roman"/>
          <w:b/>
          <w:color w:val="auto"/>
          <w:w w:val="99"/>
          <w:szCs w:val="20"/>
          <w:highlight w:val="none"/>
          <w:lang w:val="en-US" w:eastAsia="zh-CN"/>
        </w:rPr>
        <w:t>3.</w:t>
      </w:r>
      <w:r>
        <w:rPr>
          <w:rFonts w:hint="eastAsia" w:ascii="Times New Roman" w:hAnsi="Times New Roman" w:eastAsia="宋体" w:cs="Times New Roman"/>
          <w:b/>
          <w:color w:val="auto"/>
          <w:w w:val="99"/>
          <w:szCs w:val="20"/>
          <w:highlight w:val="none"/>
          <w:lang w:val="en-US" w:eastAsia="zh-CN"/>
        </w:rPr>
        <w:t>1.1</w:t>
      </w:r>
      <w:r>
        <w:rPr>
          <w:rFonts w:hint="default" w:ascii="Times New Roman" w:hAnsi="Times New Roman" w:eastAsia="宋体" w:cs="Times New Roman"/>
          <w:b/>
          <w:color w:val="auto"/>
          <w:w w:val="99"/>
          <w:szCs w:val="20"/>
          <w:highlight w:val="none"/>
          <w:lang w:val="en-US" w:eastAsia="zh-CN"/>
        </w:rPr>
        <w:t>.</w:t>
      </w:r>
      <w:r>
        <w:rPr>
          <w:rFonts w:hint="eastAsia" w:ascii="Times New Roman" w:hAnsi="Times New Roman" w:eastAsia="宋体" w:cs="Times New Roman"/>
          <w:b/>
          <w:color w:val="auto"/>
          <w:w w:val="99"/>
          <w:szCs w:val="20"/>
          <w:highlight w:val="none"/>
          <w:lang w:val="en-US" w:eastAsia="zh-CN"/>
        </w:rPr>
        <w:t>3</w:t>
      </w:r>
      <w:r>
        <w:rPr>
          <w:rFonts w:hint="default" w:ascii="Times New Roman" w:hAnsi="Times New Roman" w:eastAsia="宋体" w:cs="Times New Roman"/>
          <w:b/>
          <w:color w:val="auto"/>
          <w:w w:val="99"/>
          <w:szCs w:val="20"/>
          <w:highlight w:val="none"/>
          <w:lang w:val="en-US" w:eastAsia="zh-CN"/>
        </w:rPr>
        <w:t>已钻井复杂显示</w:t>
      </w:r>
    </w:p>
    <w:p w14:paraId="2AC67A6B">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74" w:firstLineChars="200"/>
        <w:jc w:val="both"/>
        <w:textAlignment w:val="auto"/>
        <w:rPr>
          <w:rFonts w:hint="default" w:ascii="Times New Roman" w:hAnsi="Times New Roman" w:eastAsia="宋体" w:cs="Times New Roman"/>
          <w:color w:val="auto"/>
          <w:w w:val="99"/>
          <w:highlight w:val="none"/>
          <w:lang w:val="en-US" w:eastAsia="zh-CN"/>
        </w:rPr>
      </w:pPr>
      <w:r>
        <w:rPr>
          <w:rFonts w:hint="default" w:ascii="Times New Roman" w:hAnsi="Times New Roman" w:eastAsia="宋体" w:cs="Times New Roman"/>
          <w:color w:val="auto"/>
          <w:w w:val="99"/>
          <w:highlight w:val="none"/>
          <w:lang w:val="en-US" w:eastAsia="zh-CN"/>
        </w:rPr>
        <w:t>未收集到设计井区邻井钻探复杂显示情况。</w:t>
      </w:r>
    </w:p>
    <w:p w14:paraId="6806C62F">
      <w:pPr>
        <w:pStyle w:val="7"/>
        <w:keepNext w:val="0"/>
        <w:keepLines w:val="0"/>
        <w:widowControl w:val="0"/>
        <w:spacing w:before="60" w:after="60"/>
        <w:jc w:val="both"/>
        <w:rPr>
          <w:rFonts w:hint="eastAsia" w:ascii="Times New Roman" w:hAnsi="Times New Roman" w:eastAsia="宋体" w:cs="Times New Roman"/>
          <w:b/>
          <w:color w:val="auto"/>
          <w:w w:val="99"/>
          <w:kern w:val="2"/>
          <w:sz w:val="24"/>
          <w:szCs w:val="24"/>
          <w:highlight w:val="none"/>
          <w:lang w:val="en-US" w:eastAsia="zh-CN"/>
        </w:rPr>
      </w:pPr>
      <w:r>
        <w:rPr>
          <w:rFonts w:hint="eastAsia" w:ascii="Times New Roman" w:hAnsi="Times New Roman" w:eastAsia="宋体" w:cs="Times New Roman"/>
          <w:b/>
          <w:color w:val="auto"/>
          <w:w w:val="99"/>
          <w:kern w:val="2"/>
          <w:sz w:val="24"/>
          <w:szCs w:val="24"/>
          <w:highlight w:val="none"/>
          <w:lang w:val="en-US" w:eastAsia="zh-CN"/>
        </w:rPr>
        <w:t>3.1.</w:t>
      </w:r>
      <w:r>
        <w:rPr>
          <w:rFonts w:hint="eastAsia" w:eastAsia="宋体" w:cs="Times New Roman"/>
          <w:b/>
          <w:color w:val="auto"/>
          <w:w w:val="99"/>
          <w:kern w:val="2"/>
          <w:sz w:val="24"/>
          <w:szCs w:val="24"/>
          <w:highlight w:val="none"/>
          <w:lang w:val="en-US" w:eastAsia="zh-CN"/>
        </w:rPr>
        <w:t>2</w:t>
      </w:r>
      <w:r>
        <w:rPr>
          <w:rFonts w:hint="eastAsia" w:ascii="Times New Roman" w:hAnsi="Times New Roman" w:eastAsia="宋体" w:cs="Times New Roman"/>
          <w:b/>
          <w:color w:val="auto"/>
          <w:w w:val="99"/>
          <w:kern w:val="2"/>
          <w:sz w:val="24"/>
          <w:szCs w:val="24"/>
          <w:highlight w:val="none"/>
          <w:lang w:val="en-US" w:eastAsia="zh-CN"/>
        </w:rPr>
        <w:t>现有工程环保验收情况</w:t>
      </w:r>
    </w:p>
    <w:p w14:paraId="7E78B824">
      <w:pPr>
        <w:spacing w:line="500" w:lineRule="exact"/>
        <w:ind w:firstLine="474" w:firstLineChars="200"/>
        <w:jc w:val="both"/>
        <w:rPr>
          <w:rFonts w:hint="default" w:ascii="Times New Roman" w:hAnsi="Times New Roman" w:eastAsia="宋体" w:cs="Times New Roman"/>
          <w:snapToGrid w:val="0"/>
          <w:color w:val="auto"/>
          <w:w w:val="99"/>
          <w:sz w:val="24"/>
          <w:szCs w:val="24"/>
          <w:highlight w:val="none"/>
          <w:lang w:val="en-US" w:eastAsia="zh-CN" w:bidi="ar-SA"/>
        </w:rPr>
      </w:pPr>
      <w:r>
        <w:rPr>
          <w:rFonts w:hint="eastAsia" w:ascii="Times New Roman" w:hAnsi="Times New Roman" w:eastAsia="宋体" w:cs="Times New Roman"/>
          <w:snapToGrid w:val="0"/>
          <w:color w:val="auto"/>
          <w:w w:val="99"/>
          <w:sz w:val="24"/>
          <w:szCs w:val="24"/>
          <w:highlight w:val="none"/>
          <w:lang w:val="en-US" w:eastAsia="zh-CN" w:bidi="ar-SA"/>
        </w:rPr>
        <w:t>本项目</w:t>
      </w:r>
      <w:r>
        <w:rPr>
          <w:rFonts w:hint="eastAsia" w:ascii="Times New Roman" w:hAnsi="Times New Roman" w:cs="Times New Roman"/>
          <w:snapToGrid w:val="0"/>
          <w:color w:val="auto"/>
          <w:w w:val="99"/>
          <w:sz w:val="24"/>
          <w:szCs w:val="24"/>
          <w:highlight w:val="none"/>
          <w:lang w:val="en-US" w:eastAsia="zh-CN" w:bidi="ar-SA"/>
        </w:rPr>
        <w:t>现有区块的环保验收情况见表3.1-2</w:t>
      </w:r>
      <w:r>
        <w:rPr>
          <w:rFonts w:hint="eastAsia" w:ascii="Times New Roman" w:hAnsi="Times New Roman" w:eastAsia="宋体" w:cs="Times New Roman"/>
          <w:snapToGrid w:val="0"/>
          <w:color w:val="auto"/>
          <w:w w:val="99"/>
          <w:sz w:val="24"/>
          <w:szCs w:val="24"/>
          <w:highlight w:val="none"/>
          <w:lang w:val="en-US" w:eastAsia="zh-CN" w:bidi="ar-SA"/>
        </w:rPr>
        <w:t>。</w:t>
      </w:r>
    </w:p>
    <w:p w14:paraId="7EFF5AA1">
      <w:pPr>
        <w:spacing w:line="500" w:lineRule="exact"/>
        <w:ind w:firstLine="476" w:firstLineChars="200"/>
        <w:jc w:val="both"/>
        <w:rPr>
          <w:rFonts w:ascii="Times New Roman" w:hAnsi="Times New Roman" w:cs="Times New Roman"/>
          <w:b/>
          <w:bCs/>
          <w:color w:val="auto"/>
          <w:w w:val="99"/>
          <w:sz w:val="24"/>
          <w:szCs w:val="24"/>
          <w:highlight w:val="none"/>
        </w:rPr>
      </w:pPr>
      <w:r>
        <w:rPr>
          <w:rFonts w:ascii="Times New Roman" w:hAnsi="Times New Roman" w:cs="Times New Roman"/>
          <w:b/>
          <w:bCs/>
          <w:color w:val="auto"/>
          <w:w w:val="99"/>
          <w:sz w:val="24"/>
          <w:szCs w:val="24"/>
          <w:highlight w:val="none"/>
        </w:rPr>
        <w:t>表3.</w:t>
      </w:r>
      <w:r>
        <w:rPr>
          <w:rFonts w:hint="eastAsia" w:ascii="Times New Roman" w:hAnsi="Times New Roman" w:cs="Times New Roman"/>
          <w:b/>
          <w:bCs/>
          <w:color w:val="auto"/>
          <w:w w:val="99"/>
          <w:sz w:val="24"/>
          <w:szCs w:val="24"/>
          <w:highlight w:val="none"/>
          <w:lang w:val="en-US" w:eastAsia="zh-CN"/>
        </w:rPr>
        <w:t>1-2</w:t>
      </w:r>
      <w:r>
        <w:rPr>
          <w:rFonts w:ascii="Times New Roman" w:hAnsi="Times New Roman" w:cs="Times New Roman"/>
          <w:b/>
          <w:bCs/>
          <w:color w:val="auto"/>
          <w:w w:val="99"/>
          <w:sz w:val="24"/>
          <w:szCs w:val="24"/>
          <w:highlight w:val="none"/>
        </w:rPr>
        <w:t xml:space="preserve">  区块内现有工程环评及验收情况表</w:t>
      </w:r>
    </w:p>
    <w:tbl>
      <w:tblPr>
        <w:tblStyle w:val="1662"/>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5"/>
        <w:gridCol w:w="2334"/>
        <w:gridCol w:w="1828"/>
        <w:gridCol w:w="1770"/>
        <w:gridCol w:w="2685"/>
      </w:tblGrid>
      <w:tr w14:paraId="769E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256" w:type="pct"/>
            <w:vMerge w:val="restart"/>
            <w:vAlign w:val="top"/>
          </w:tcPr>
          <w:p w14:paraId="7A56574C">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bookmarkStart w:id="406" w:name="_Toc131167279"/>
            <w:bookmarkStart w:id="407" w:name="_Toc85640770"/>
            <w:bookmarkStart w:id="408" w:name="_Toc83209490"/>
            <w:bookmarkStart w:id="409" w:name="_Toc126863379"/>
            <w:bookmarkStart w:id="410" w:name="_Toc84929246"/>
            <w:bookmarkStart w:id="411" w:name="_Toc86141923"/>
            <w:bookmarkStart w:id="412" w:name="_Toc143099566"/>
            <w:bookmarkStart w:id="413" w:name="_Toc127192328"/>
            <w:bookmarkStart w:id="414" w:name="_Toc76976260"/>
            <w:r>
              <w:rPr>
                <w:rFonts w:hint="default" w:ascii="Times New Roman" w:hAnsi="Times New Roman" w:cs="Times New Roman" w:eastAsiaTheme="minorEastAsia"/>
                <w:color w:val="auto"/>
                <w:w w:val="99"/>
                <w:sz w:val="21"/>
                <w:szCs w:val="21"/>
                <w:highlight w:val="none"/>
                <w:lang w:val="en-US" w:eastAsia="zh-CN" w:bidi="ar-SA"/>
              </w:rPr>
              <w:t>序号</w:t>
            </w:r>
          </w:p>
        </w:tc>
        <w:tc>
          <w:tcPr>
            <w:tcW w:w="1284" w:type="pct"/>
            <w:vMerge w:val="restart"/>
            <w:vAlign w:val="center"/>
          </w:tcPr>
          <w:p w14:paraId="03D8CAB2">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区块内现有项目名称</w:t>
            </w:r>
          </w:p>
        </w:tc>
        <w:tc>
          <w:tcPr>
            <w:tcW w:w="1980" w:type="pct"/>
            <w:gridSpan w:val="2"/>
            <w:vAlign w:val="top"/>
          </w:tcPr>
          <w:p w14:paraId="269BB53A">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环评批复</w:t>
            </w:r>
          </w:p>
        </w:tc>
        <w:tc>
          <w:tcPr>
            <w:tcW w:w="1477" w:type="pct"/>
            <w:vMerge w:val="restart"/>
            <w:vAlign w:val="top"/>
          </w:tcPr>
          <w:p w14:paraId="26FD4950">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验收情况</w:t>
            </w:r>
          </w:p>
        </w:tc>
      </w:tr>
      <w:tr w14:paraId="41F1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256" w:type="pct"/>
            <w:vMerge w:val="continue"/>
            <w:textDirection w:val="tbRlV"/>
            <w:vAlign w:val="top"/>
          </w:tcPr>
          <w:p w14:paraId="4E07289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p>
        </w:tc>
        <w:tc>
          <w:tcPr>
            <w:tcW w:w="1284" w:type="pct"/>
            <w:vMerge w:val="continue"/>
            <w:vAlign w:val="top"/>
          </w:tcPr>
          <w:p w14:paraId="34E48E9E">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p>
        </w:tc>
        <w:tc>
          <w:tcPr>
            <w:tcW w:w="1006" w:type="pct"/>
            <w:vAlign w:val="top"/>
          </w:tcPr>
          <w:p w14:paraId="2A0305F1">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文号</w:t>
            </w:r>
          </w:p>
        </w:tc>
        <w:tc>
          <w:tcPr>
            <w:tcW w:w="974" w:type="pct"/>
            <w:vAlign w:val="top"/>
          </w:tcPr>
          <w:p w14:paraId="736BDDFE">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时间</w:t>
            </w:r>
          </w:p>
        </w:tc>
        <w:tc>
          <w:tcPr>
            <w:tcW w:w="1477" w:type="pct"/>
            <w:vMerge w:val="continue"/>
            <w:vAlign w:val="top"/>
          </w:tcPr>
          <w:p w14:paraId="6D33A1AC">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p>
        </w:tc>
      </w:tr>
      <w:tr w14:paraId="7260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trPr>
        <w:tc>
          <w:tcPr>
            <w:tcW w:w="256" w:type="pct"/>
            <w:vAlign w:val="top"/>
          </w:tcPr>
          <w:p w14:paraId="578DC01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p>
          <w:p w14:paraId="5B6BF78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1</w:t>
            </w:r>
          </w:p>
        </w:tc>
        <w:tc>
          <w:tcPr>
            <w:tcW w:w="1284" w:type="pct"/>
            <w:vAlign w:val="top"/>
          </w:tcPr>
          <w:p w14:paraId="03B743C4">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《徐深27-平1井钻井工程环境影响报告表》</w:t>
            </w:r>
          </w:p>
        </w:tc>
        <w:tc>
          <w:tcPr>
            <w:tcW w:w="1006" w:type="pct"/>
            <w:vAlign w:val="center"/>
          </w:tcPr>
          <w:p w14:paraId="6DB76B95">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庆环审〔2015〕236号</w:t>
            </w:r>
          </w:p>
        </w:tc>
        <w:tc>
          <w:tcPr>
            <w:tcW w:w="974" w:type="pct"/>
            <w:vAlign w:val="center"/>
          </w:tcPr>
          <w:p w14:paraId="0DAC7F6C">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2015年9月16日</w:t>
            </w:r>
          </w:p>
        </w:tc>
        <w:tc>
          <w:tcPr>
            <w:tcW w:w="1477" w:type="pct"/>
            <w:vMerge w:val="restart"/>
            <w:vAlign w:val="center"/>
          </w:tcPr>
          <w:p w14:paraId="3114D4BC">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企业于2019年11月16日完成自主验收，《2017年徐深气田徐深27井区产能建设工程竣工环境保护验收调查报告》</w:t>
            </w:r>
          </w:p>
        </w:tc>
      </w:tr>
      <w:tr w14:paraId="34A3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trPr>
        <w:tc>
          <w:tcPr>
            <w:tcW w:w="256" w:type="pct"/>
            <w:vAlign w:val="top"/>
          </w:tcPr>
          <w:p w14:paraId="20E2C8C4">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p>
          <w:p w14:paraId="05B7666E">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2</w:t>
            </w:r>
          </w:p>
        </w:tc>
        <w:tc>
          <w:tcPr>
            <w:tcW w:w="1284" w:type="pct"/>
            <w:vAlign w:val="top"/>
          </w:tcPr>
          <w:p w14:paraId="2D9BC576">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《2017年徐深气田徐深27井区产能建设工程环境影响报告书》</w:t>
            </w:r>
          </w:p>
        </w:tc>
        <w:tc>
          <w:tcPr>
            <w:tcW w:w="1006" w:type="pct"/>
            <w:vAlign w:val="center"/>
          </w:tcPr>
          <w:p w14:paraId="7FA18AA6">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黑环审〔2017〕51号</w:t>
            </w:r>
          </w:p>
        </w:tc>
        <w:tc>
          <w:tcPr>
            <w:tcW w:w="974" w:type="pct"/>
            <w:vAlign w:val="center"/>
          </w:tcPr>
          <w:p w14:paraId="5554FDB9">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2017年9月28日</w:t>
            </w:r>
          </w:p>
        </w:tc>
        <w:tc>
          <w:tcPr>
            <w:tcW w:w="1477" w:type="pct"/>
            <w:vMerge w:val="continue"/>
            <w:vAlign w:val="top"/>
          </w:tcPr>
          <w:p w14:paraId="5B27C96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cs="Times New Roman"/>
                <w:color w:val="auto"/>
                <w:sz w:val="21"/>
                <w:highlight w:val="none"/>
              </w:rPr>
            </w:pPr>
          </w:p>
        </w:tc>
      </w:tr>
    </w:tbl>
    <w:p w14:paraId="611677F4">
      <w:pPr>
        <w:pStyle w:val="7"/>
        <w:keepNext w:val="0"/>
        <w:keepLines w:val="0"/>
        <w:widowControl w:val="0"/>
        <w:spacing w:before="60" w:after="60"/>
        <w:jc w:val="both"/>
        <w:rPr>
          <w:rFonts w:hint="eastAsia" w:ascii="Times New Roman" w:hAnsi="Times New Roman" w:eastAsia="宋体" w:cs="Times New Roman"/>
          <w:b/>
          <w:color w:val="auto"/>
          <w:w w:val="99"/>
          <w:kern w:val="2"/>
          <w:sz w:val="24"/>
          <w:szCs w:val="24"/>
          <w:highlight w:val="none"/>
          <w:lang w:val="en-US" w:eastAsia="zh-CN"/>
        </w:rPr>
      </w:pPr>
      <w:r>
        <w:rPr>
          <w:rFonts w:hint="eastAsia" w:ascii="Times New Roman" w:hAnsi="Times New Roman" w:eastAsia="宋体" w:cs="Times New Roman"/>
          <w:b/>
          <w:color w:val="auto"/>
          <w:w w:val="99"/>
          <w:kern w:val="2"/>
          <w:sz w:val="24"/>
          <w:szCs w:val="24"/>
          <w:highlight w:val="none"/>
          <w:lang w:val="en-US" w:eastAsia="zh-CN"/>
        </w:rPr>
        <w:t>3.1.</w:t>
      </w:r>
      <w:r>
        <w:rPr>
          <w:rFonts w:hint="eastAsia" w:eastAsia="宋体" w:cs="Times New Roman"/>
          <w:b/>
          <w:color w:val="auto"/>
          <w:w w:val="99"/>
          <w:kern w:val="2"/>
          <w:sz w:val="24"/>
          <w:szCs w:val="24"/>
          <w:highlight w:val="none"/>
          <w:lang w:val="en-US" w:eastAsia="zh-CN"/>
        </w:rPr>
        <w:t>3</w:t>
      </w:r>
      <w:r>
        <w:rPr>
          <w:rFonts w:hint="eastAsia" w:ascii="Times New Roman" w:hAnsi="Times New Roman" w:eastAsia="宋体" w:cs="Times New Roman"/>
          <w:b/>
          <w:color w:val="auto"/>
          <w:w w:val="99"/>
          <w:kern w:val="2"/>
          <w:sz w:val="24"/>
          <w:szCs w:val="24"/>
          <w:highlight w:val="none"/>
          <w:lang w:val="en-US" w:eastAsia="zh-CN"/>
        </w:rPr>
        <w:t>现有工程排污许可执行情况</w:t>
      </w:r>
    </w:p>
    <w:p w14:paraId="5BB6596A">
      <w:pPr>
        <w:pStyle w:val="2"/>
        <w:widowControl w:val="0"/>
        <w:spacing w:line="440" w:lineRule="exact"/>
        <w:ind w:firstLine="474" w:firstLineChars="200"/>
        <w:jc w:val="both"/>
        <w:rPr>
          <w:rFonts w:hint="default" w:ascii="Times New Roman" w:hAnsi="Times New Roman"/>
          <w:bCs/>
          <w:color w:val="auto"/>
          <w:w w:val="99"/>
          <w:szCs w:val="20"/>
          <w:highlight w:val="none"/>
        </w:rPr>
      </w:pPr>
      <w:r>
        <w:rPr>
          <w:rFonts w:hint="default" w:ascii="Times New Roman" w:hAnsi="Times New Roman"/>
          <w:bCs/>
          <w:color w:val="auto"/>
          <w:w w:val="99"/>
          <w:szCs w:val="20"/>
          <w:highlight w:val="none"/>
        </w:rPr>
        <w:t>大庆油田有限责任公司采气分公司已办理固定污染源排污许可证登记，登记编号：</w:t>
      </w:r>
      <w:r>
        <w:rPr>
          <w:rFonts w:hint="default" w:ascii="Times New Roman" w:hAnsi="Times New Roman"/>
          <w:bCs/>
          <w:color w:val="auto"/>
          <w:w w:val="99"/>
          <w:szCs w:val="20"/>
          <w:highlight w:val="none"/>
          <w:lang w:val="en-US" w:eastAsia="zh-CN"/>
        </w:rPr>
        <w:t>91230607716675409L007W</w:t>
      </w:r>
      <w:r>
        <w:rPr>
          <w:rFonts w:hint="default" w:ascii="Times New Roman" w:hAnsi="Times New Roman"/>
          <w:bCs/>
          <w:color w:val="auto"/>
          <w:w w:val="99"/>
          <w:szCs w:val="20"/>
          <w:highlight w:val="none"/>
        </w:rPr>
        <w:t>。采气分公司申报的排污许可内容主要包括各场站内加热炉、锅炉等。</w:t>
      </w:r>
    </w:p>
    <w:p w14:paraId="736A9809">
      <w:pPr>
        <w:pStyle w:val="2"/>
        <w:widowControl w:val="0"/>
        <w:spacing w:line="440" w:lineRule="exact"/>
        <w:ind w:firstLine="474" w:firstLineChars="200"/>
        <w:jc w:val="both"/>
        <w:rPr>
          <w:rFonts w:hint="default" w:ascii="Times New Roman" w:hAnsi="Times New Roman"/>
          <w:bCs/>
          <w:color w:val="auto"/>
          <w:w w:val="99"/>
          <w:szCs w:val="20"/>
          <w:highlight w:val="none"/>
        </w:rPr>
      </w:pPr>
      <w:r>
        <w:rPr>
          <w:rFonts w:hint="default" w:ascii="Times New Roman" w:hAnsi="Times New Roman"/>
          <w:bCs/>
          <w:color w:val="auto"/>
          <w:w w:val="99"/>
          <w:szCs w:val="20"/>
          <w:highlight w:val="none"/>
        </w:rPr>
        <w:t>大庆油田有限责任公司采气分公司已按照排污许可证的相关要求对各场站加热装置排气筒进行定期监测，定期将各场站污染源监测数据填报在全国排污许可证管理信息平台上，公开采气分公司各场站污染源的污染物排放信息，已按照排污许可证的相关要求建立环境管理台账。</w:t>
      </w:r>
    </w:p>
    <w:p w14:paraId="1CD84BBF">
      <w:pPr>
        <w:pStyle w:val="7"/>
        <w:keepNext w:val="0"/>
        <w:keepLines w:val="0"/>
        <w:widowControl w:val="0"/>
        <w:spacing w:before="60" w:after="60"/>
        <w:jc w:val="both"/>
        <w:rPr>
          <w:rFonts w:hint="eastAsia" w:ascii="Times New Roman" w:hAnsi="Times New Roman" w:eastAsia="宋体" w:cs="Times New Roman"/>
          <w:b/>
          <w:color w:val="auto"/>
          <w:w w:val="99"/>
          <w:kern w:val="2"/>
          <w:sz w:val="24"/>
          <w:szCs w:val="24"/>
          <w:highlight w:val="none"/>
          <w:lang w:val="en-US" w:eastAsia="zh-CN"/>
        </w:rPr>
      </w:pPr>
      <w:r>
        <w:rPr>
          <w:rFonts w:hint="eastAsia" w:ascii="Times New Roman" w:hAnsi="Times New Roman" w:eastAsia="宋体" w:cs="Times New Roman"/>
          <w:b/>
          <w:color w:val="auto"/>
          <w:w w:val="99"/>
          <w:kern w:val="2"/>
          <w:sz w:val="24"/>
          <w:szCs w:val="24"/>
          <w:highlight w:val="none"/>
          <w:lang w:val="en-US" w:eastAsia="zh-CN"/>
        </w:rPr>
        <w:t>3.1.</w:t>
      </w:r>
      <w:r>
        <w:rPr>
          <w:rFonts w:hint="eastAsia" w:eastAsia="宋体" w:cs="Times New Roman"/>
          <w:b/>
          <w:color w:val="auto"/>
          <w:w w:val="99"/>
          <w:kern w:val="2"/>
          <w:sz w:val="24"/>
          <w:szCs w:val="24"/>
          <w:highlight w:val="none"/>
          <w:lang w:val="en-US" w:eastAsia="zh-CN"/>
        </w:rPr>
        <w:t>4</w:t>
      </w:r>
      <w:r>
        <w:rPr>
          <w:rFonts w:hint="eastAsia" w:ascii="Times New Roman" w:hAnsi="Times New Roman" w:eastAsia="宋体" w:cs="Times New Roman"/>
          <w:b/>
          <w:color w:val="auto"/>
          <w:w w:val="99"/>
          <w:kern w:val="2"/>
          <w:sz w:val="24"/>
          <w:szCs w:val="24"/>
          <w:highlight w:val="none"/>
          <w:lang w:val="en-US" w:eastAsia="zh-CN"/>
        </w:rPr>
        <w:t>现有工程突发环境事件应急预案执行情况</w:t>
      </w:r>
    </w:p>
    <w:p w14:paraId="35AE143B">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default" w:ascii="Times New Roman" w:hAnsi="Times New Roman" w:eastAsia="宋体" w:cs="Times New Roman"/>
          <w:bCs/>
          <w:color w:val="auto"/>
          <w:w w:val="99"/>
          <w:kern w:val="2"/>
          <w:sz w:val="24"/>
          <w:szCs w:val="20"/>
          <w:highlight w:val="none"/>
          <w:lang w:val="en-US" w:eastAsia="zh-CN" w:bidi="ar-SA"/>
        </w:rPr>
      </w:pPr>
      <w:r>
        <w:rPr>
          <w:rFonts w:hint="default" w:ascii="Times New Roman" w:hAnsi="Times New Roman" w:eastAsia="宋体" w:cs="Times New Roman"/>
          <w:bCs/>
          <w:color w:val="auto"/>
          <w:w w:val="99"/>
          <w:kern w:val="2"/>
          <w:sz w:val="24"/>
          <w:szCs w:val="20"/>
          <w:highlight w:val="none"/>
          <w:lang w:val="en-US" w:eastAsia="zh-CN" w:bidi="ar-SA"/>
        </w:rPr>
        <w:t>采气分公司针对生产特点，全面排查风险源、分析风险等级，制定了相应的环境保护突发事件应急预案，并在大庆市让胡路区生态环境局（备案编号：230604-2024-47-L）、大同区生态环境局（备案编号：230606-2024-22-L）、肇州县生态环境局（备案编号：230621-2024-039-L）、安达市生态环境局（备案编号：231281-2024-038-L）进行备案；配置集污袋和吸油毡等环境应急装备，能够对环境突发事故进行及时有效的控制和处理。根据应急演练计划，采气分公司开展应急演练，通过演练，员工的安全意识和应急处置能力得到了有效提升，掌握处置危险废物的方法，各应急救援小组之间的协同配合更加默契。同时对应急预案的可操作性进行了确认，以便进一步修订完善，达到了演练预案的要求。</w:t>
      </w:r>
    </w:p>
    <w:p w14:paraId="39DE7659">
      <w:pPr>
        <w:pStyle w:val="7"/>
        <w:widowControl w:val="0"/>
        <w:spacing w:before="60" w:after="60" w:line="440" w:lineRule="exact"/>
        <w:jc w:val="both"/>
        <w:rPr>
          <w:rFonts w:eastAsiaTheme="minorEastAsia"/>
          <w:b/>
          <w:color w:val="auto"/>
          <w:w w:val="99"/>
          <w:kern w:val="2"/>
          <w:sz w:val="24"/>
          <w:szCs w:val="24"/>
          <w:highlight w:val="none"/>
        </w:rPr>
      </w:pPr>
      <w:r>
        <w:rPr>
          <w:rFonts w:eastAsiaTheme="minorEastAsia"/>
          <w:b/>
          <w:color w:val="auto"/>
          <w:w w:val="99"/>
          <w:kern w:val="2"/>
          <w:sz w:val="24"/>
          <w:szCs w:val="24"/>
          <w:highlight w:val="none"/>
        </w:rPr>
        <w:t>3.1.</w:t>
      </w:r>
      <w:bookmarkEnd w:id="406"/>
      <w:bookmarkEnd w:id="407"/>
      <w:bookmarkEnd w:id="408"/>
      <w:bookmarkEnd w:id="409"/>
      <w:bookmarkEnd w:id="410"/>
      <w:bookmarkEnd w:id="411"/>
      <w:bookmarkEnd w:id="412"/>
      <w:bookmarkEnd w:id="413"/>
      <w:r>
        <w:rPr>
          <w:rFonts w:hint="eastAsia" w:eastAsiaTheme="minorEastAsia"/>
          <w:b/>
          <w:color w:val="auto"/>
          <w:w w:val="99"/>
          <w:kern w:val="2"/>
          <w:sz w:val="24"/>
          <w:szCs w:val="24"/>
          <w:highlight w:val="none"/>
          <w:lang w:val="en-US" w:eastAsia="zh-CN"/>
        </w:rPr>
        <w:t>5</w:t>
      </w:r>
      <w:r>
        <w:rPr>
          <w:rFonts w:eastAsiaTheme="minorEastAsia"/>
          <w:b/>
          <w:color w:val="auto"/>
          <w:w w:val="99"/>
          <w:kern w:val="2"/>
          <w:sz w:val="24"/>
          <w:szCs w:val="24"/>
          <w:highlight w:val="none"/>
        </w:rPr>
        <w:t>现有工程污染防治设施运行和排放情况</w:t>
      </w:r>
    </w:p>
    <w:bookmarkEnd w:id="414"/>
    <w:p w14:paraId="78378D4C">
      <w:pPr>
        <w:pStyle w:val="2"/>
        <w:widowControl w:val="0"/>
        <w:spacing w:line="44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（1）废气</w:t>
      </w:r>
    </w:p>
    <w:p w14:paraId="5E757283">
      <w:pPr>
        <w:pStyle w:val="2"/>
        <w:widowControl w:val="0"/>
        <w:spacing w:line="440" w:lineRule="exact"/>
        <w:ind w:firstLine="474" w:firstLineChars="200"/>
        <w:jc w:val="both"/>
        <w:rPr>
          <w:rFonts w:ascii="Times New Roman" w:hAnsi="Times New Roman"/>
          <w:bCs/>
          <w:color w:val="auto"/>
          <w:w w:val="99"/>
          <w:szCs w:val="20"/>
          <w:highlight w:val="none"/>
        </w:rPr>
      </w:pPr>
      <w:r>
        <w:rPr>
          <w:rFonts w:hint="eastAsia" w:ascii="宋体" w:hAnsi="宋体" w:cs="宋体"/>
          <w:bCs/>
          <w:color w:val="auto"/>
          <w:w w:val="99"/>
          <w:szCs w:val="20"/>
          <w:highlight w:val="none"/>
        </w:rPr>
        <w:t>①</w:t>
      </w:r>
      <w:r>
        <w:rPr>
          <w:rFonts w:ascii="Times New Roman" w:hAnsi="Times New Roman"/>
          <w:bCs/>
          <w:color w:val="auto"/>
          <w:w w:val="99"/>
          <w:szCs w:val="20"/>
          <w:highlight w:val="none"/>
        </w:rPr>
        <w:t>非甲烷总烃</w:t>
      </w:r>
    </w:p>
    <w:p w14:paraId="38971D30">
      <w:pPr>
        <w:pStyle w:val="2"/>
        <w:widowControl w:val="0"/>
        <w:spacing w:line="44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本项目位于徐深</w:t>
      </w:r>
      <w:r>
        <w:rPr>
          <w:rFonts w:hint="eastAsia" w:ascii="Times New Roman" w:hAnsi="Times New Roman"/>
          <w:bCs/>
          <w:color w:val="auto"/>
          <w:w w:val="99"/>
          <w:szCs w:val="20"/>
          <w:highlight w:val="none"/>
          <w:lang w:val="en-US" w:eastAsia="zh-CN"/>
        </w:rPr>
        <w:t>27</w:t>
      </w:r>
      <w:r>
        <w:rPr>
          <w:rFonts w:ascii="Times New Roman" w:hAnsi="Times New Roman"/>
          <w:bCs/>
          <w:color w:val="auto"/>
          <w:w w:val="99"/>
          <w:szCs w:val="20"/>
          <w:highlight w:val="none"/>
        </w:rPr>
        <w:t>区块，现有工程排放的非甲烷总烃主要为区块内井场、集输管线及场站在运行过程中无组织挥发的非甲烷总烃，根据建设单位提供资料，徐深</w:t>
      </w:r>
      <w:r>
        <w:rPr>
          <w:rFonts w:hint="eastAsia" w:ascii="Times New Roman" w:hAnsi="Times New Roman"/>
          <w:bCs/>
          <w:color w:val="auto"/>
          <w:w w:val="99"/>
          <w:szCs w:val="20"/>
          <w:highlight w:val="none"/>
          <w:lang w:val="en-US" w:eastAsia="zh-CN"/>
        </w:rPr>
        <w:t>27</w:t>
      </w:r>
      <w:r>
        <w:rPr>
          <w:rFonts w:ascii="Times New Roman" w:hAnsi="Times New Roman"/>
          <w:bCs/>
          <w:color w:val="auto"/>
          <w:w w:val="99"/>
          <w:szCs w:val="20"/>
          <w:highlight w:val="none"/>
        </w:rPr>
        <w:t>区块目前产油约</w:t>
      </w:r>
      <w:r>
        <w:rPr>
          <w:rFonts w:hint="eastAsia" w:ascii="Times New Roman" w:hAnsi="Times New Roman"/>
          <w:bCs/>
          <w:color w:val="auto"/>
          <w:w w:val="99"/>
          <w:szCs w:val="20"/>
          <w:highlight w:val="none"/>
          <w:lang w:val="en-US" w:eastAsia="zh-CN"/>
        </w:rPr>
        <w:t>9</w:t>
      </w:r>
      <w:r>
        <w:rPr>
          <w:rFonts w:ascii="Times New Roman" w:hAnsi="Times New Roman"/>
          <w:bCs/>
          <w:color w:val="auto"/>
          <w:w w:val="99"/>
          <w:szCs w:val="20"/>
          <w:highlight w:val="none"/>
        </w:rPr>
        <w:t>×10</w:t>
      </w:r>
      <w:r>
        <w:rPr>
          <w:rFonts w:ascii="Times New Roman" w:hAnsi="Times New Roman"/>
          <w:bCs/>
          <w:color w:val="auto"/>
          <w:w w:val="99"/>
          <w:szCs w:val="20"/>
          <w:highlight w:val="none"/>
          <w:vertAlign w:val="superscript"/>
        </w:rPr>
        <w:t>4</w:t>
      </w:r>
      <w:r>
        <w:rPr>
          <w:rFonts w:hint="eastAsia" w:ascii="Times New Roman" w:hAnsi="Times New Roman"/>
          <w:bCs/>
          <w:color w:val="auto"/>
          <w:w w:val="99"/>
          <w:szCs w:val="20"/>
          <w:highlight w:val="none"/>
          <w:lang w:val="en-US" w:eastAsia="zh-CN"/>
        </w:rPr>
        <w:t>m</w:t>
      </w:r>
      <w:r>
        <w:rPr>
          <w:rFonts w:hint="eastAsia" w:ascii="Times New Roman" w:hAnsi="Times New Roman"/>
          <w:bCs/>
          <w:color w:val="auto"/>
          <w:w w:val="99"/>
          <w:szCs w:val="20"/>
          <w:highlight w:val="none"/>
          <w:vertAlign w:val="superscript"/>
          <w:lang w:val="en-US" w:eastAsia="zh-CN"/>
        </w:rPr>
        <w:t>3</w:t>
      </w:r>
      <w:r>
        <w:rPr>
          <w:rFonts w:ascii="Times New Roman" w:hAnsi="Times New Roman"/>
          <w:bCs/>
          <w:color w:val="auto"/>
          <w:w w:val="99"/>
          <w:szCs w:val="20"/>
          <w:highlight w:val="none"/>
        </w:rPr>
        <w:t>/a。根据《大气挥发性有机物源排放清单编制技术指南（试行）》其中天然气开采挥发性有机物排放系数推荐值为0.5%，天然气密度按0.71kg/m</w:t>
      </w:r>
      <w:r>
        <w:rPr>
          <w:rFonts w:ascii="Times New Roman" w:hAnsi="Times New Roman"/>
          <w:bCs/>
          <w:color w:val="auto"/>
          <w:w w:val="99"/>
          <w:szCs w:val="20"/>
          <w:highlight w:val="none"/>
          <w:vertAlign w:val="superscript"/>
        </w:rPr>
        <w:t>3</w:t>
      </w:r>
      <w:r>
        <w:rPr>
          <w:rFonts w:ascii="Times New Roman" w:hAnsi="Times New Roman"/>
          <w:bCs/>
          <w:color w:val="auto"/>
          <w:w w:val="99"/>
          <w:szCs w:val="20"/>
          <w:highlight w:val="none"/>
        </w:rPr>
        <w:t>计，则非甲烷总烃挥发量为</w:t>
      </w:r>
      <w:r>
        <w:rPr>
          <w:rFonts w:hint="eastAsia" w:ascii="Times New Roman" w:hAnsi="Times New Roman"/>
          <w:bCs/>
          <w:color w:val="auto"/>
          <w:w w:val="99"/>
          <w:szCs w:val="20"/>
          <w:highlight w:val="none"/>
          <w:lang w:val="en-US" w:eastAsia="zh-CN"/>
        </w:rPr>
        <w:t>31.95</w:t>
      </w:r>
      <w:r>
        <w:rPr>
          <w:rFonts w:ascii="Times New Roman" w:hAnsi="Times New Roman"/>
          <w:bCs/>
          <w:color w:val="auto"/>
          <w:w w:val="99"/>
          <w:szCs w:val="20"/>
          <w:highlight w:val="none"/>
        </w:rPr>
        <w:t>t/a。气井在运行期间非正常工况包括气井开井、关井、检修以及事故时紧急切断阀门后，气井内剩余气通向井口房外放空池放空。</w:t>
      </w:r>
    </w:p>
    <w:p w14:paraId="431E20AD">
      <w:pPr>
        <w:pStyle w:val="2"/>
        <w:widowControl w:val="0"/>
        <w:spacing w:line="440" w:lineRule="exact"/>
        <w:ind w:firstLine="474" w:firstLineChars="200"/>
        <w:jc w:val="both"/>
        <w:rPr>
          <w:rFonts w:ascii="Times New Roman" w:hAnsi="Times New Roman"/>
          <w:bCs/>
          <w:color w:val="auto"/>
          <w:w w:val="99"/>
          <w:szCs w:val="20"/>
          <w:highlight w:val="none"/>
        </w:rPr>
      </w:pPr>
      <w:r>
        <w:rPr>
          <w:rFonts w:ascii="Times New Roman" w:hAnsi="Times New Roman" w:eastAsia="宋体" w:cs="Times New Roman"/>
          <w:bCs/>
          <w:color w:val="auto"/>
          <w:w w:val="99"/>
          <w:kern w:val="2"/>
          <w:sz w:val="24"/>
          <w:szCs w:val="20"/>
          <w:highlight w:val="none"/>
          <w:lang w:val="en-US" w:eastAsia="zh-CN" w:bidi="ar-SA"/>
        </w:rPr>
        <w:t>现有区块内已建气井均安装有井口密封设施、采用密闭集输管道输送天然气，能够有效控制无组织非甲烷总烃挥发。</w:t>
      </w:r>
      <w:r>
        <w:rPr>
          <w:rFonts w:hint="eastAsia" w:ascii="Times New Roman" w:hAnsi="Times New Roman" w:cs="Times New Roman"/>
          <w:bCs/>
          <w:color w:val="auto"/>
          <w:w w:val="99"/>
          <w:szCs w:val="20"/>
          <w:highlight w:val="none"/>
          <w:lang w:val="en-US" w:eastAsia="zh-CN"/>
        </w:rPr>
        <w:t>根据大庆石油管理局环境监测中心站2025年8月21日</w:t>
      </w:r>
      <w:r>
        <w:rPr>
          <w:rFonts w:hint="eastAsia" w:ascii="Times New Roman" w:hAnsi="Times New Roman" w:cs="Times New Roman"/>
          <w:bCs/>
          <w:color w:val="auto"/>
          <w:w w:val="99"/>
          <w:kern w:val="2"/>
          <w:sz w:val="24"/>
          <w:szCs w:val="20"/>
          <w:highlight w:val="none"/>
          <w:vertAlign w:val="baseline"/>
          <w:lang w:val="en-US" w:eastAsia="zh-CN" w:bidi="ar-SA"/>
        </w:rPr>
        <w:t>对已建徐深27集气站的监测报告（报告编号DQWE-RE2-2508-431，附件6）以及本次对已建气井井场的监测（附件7），</w:t>
      </w:r>
      <w:r>
        <w:rPr>
          <w:rFonts w:hint="eastAsia" w:ascii="Times New Roman" w:hAnsi="Times New Roman" w:cs="Times New Roman"/>
          <w:bCs/>
          <w:color w:val="auto"/>
          <w:w w:val="99"/>
          <w:kern w:val="2"/>
          <w:sz w:val="24"/>
          <w:szCs w:val="20"/>
          <w:highlight w:val="none"/>
          <w:lang w:val="en-US" w:eastAsia="zh-CN" w:bidi="ar-SA"/>
        </w:rPr>
        <w:t>徐深27集气站厂界四周浓度范围为1.75~3.57mg/m</w:t>
      </w:r>
      <w:r>
        <w:rPr>
          <w:rFonts w:hint="eastAsia" w:ascii="Times New Roman" w:hAnsi="Times New Roman" w:cs="Times New Roman"/>
          <w:bCs/>
          <w:color w:val="auto"/>
          <w:w w:val="99"/>
          <w:kern w:val="2"/>
          <w:sz w:val="24"/>
          <w:szCs w:val="20"/>
          <w:highlight w:val="none"/>
          <w:vertAlign w:val="superscript"/>
          <w:lang w:val="en-US" w:eastAsia="zh-CN" w:bidi="ar-SA"/>
        </w:rPr>
        <w:t>3</w:t>
      </w:r>
      <w:r>
        <w:rPr>
          <w:rFonts w:hint="eastAsia" w:ascii="Times New Roman" w:hAnsi="Times New Roman" w:cs="Times New Roman"/>
          <w:bCs/>
          <w:color w:val="auto"/>
          <w:w w:val="99"/>
          <w:kern w:val="2"/>
          <w:sz w:val="24"/>
          <w:szCs w:val="20"/>
          <w:highlight w:val="none"/>
          <w:vertAlign w:val="baseline"/>
          <w:lang w:val="en-US" w:eastAsia="zh-CN" w:bidi="ar-SA"/>
        </w:rPr>
        <w:t>；徐深27气井井场</w:t>
      </w:r>
      <w:r>
        <w:rPr>
          <w:rFonts w:ascii="Times New Roman" w:hAnsi="Times New Roman" w:eastAsia="宋体" w:cs="Times New Roman"/>
          <w:bCs/>
          <w:color w:val="auto"/>
          <w:w w:val="99"/>
          <w:kern w:val="2"/>
          <w:sz w:val="24"/>
          <w:szCs w:val="20"/>
          <w:highlight w:val="none"/>
          <w:lang w:val="en-US" w:eastAsia="zh-CN" w:bidi="ar-SA"/>
        </w:rPr>
        <w:t>的</w:t>
      </w:r>
      <w:r>
        <w:rPr>
          <w:rFonts w:hint="eastAsia" w:ascii="Times New Roman" w:hAnsi="Times New Roman" w:cs="Times New Roman"/>
          <w:bCs/>
          <w:color w:val="auto"/>
          <w:w w:val="99"/>
          <w:kern w:val="2"/>
          <w:sz w:val="24"/>
          <w:szCs w:val="20"/>
          <w:highlight w:val="none"/>
          <w:lang w:val="en-US" w:eastAsia="zh-CN" w:bidi="ar-SA"/>
        </w:rPr>
        <w:t>厂界非甲烷总烃的</w:t>
      </w:r>
      <w:r>
        <w:rPr>
          <w:rFonts w:hint="eastAsia" w:ascii="Times New Roman" w:hAnsi="Times New Roman" w:cs="Times New Roman"/>
          <w:bCs/>
          <w:color w:val="auto"/>
          <w:w w:val="99"/>
          <w:kern w:val="2"/>
          <w:sz w:val="24"/>
          <w:szCs w:val="20"/>
          <w:highlight w:val="none"/>
          <w:vertAlign w:val="baseline"/>
          <w:lang w:val="en-US" w:eastAsia="zh-CN" w:bidi="ar-SA"/>
        </w:rPr>
        <w:t>排放浓度为</w:t>
      </w:r>
      <w:r>
        <w:rPr>
          <w:rFonts w:hint="eastAsia" w:ascii="Times New Roman" w:hAnsi="Times New Roman" w:cs="Times New Roman"/>
          <w:bCs/>
          <w:color w:val="auto"/>
          <w:w w:val="99"/>
          <w:kern w:val="2"/>
          <w:sz w:val="24"/>
          <w:szCs w:val="20"/>
          <w:highlight w:val="none"/>
          <w:lang w:val="en-US" w:eastAsia="zh-CN" w:bidi="ar-SA"/>
        </w:rPr>
        <w:t>0.41~0.64mg/m</w:t>
      </w:r>
      <w:r>
        <w:rPr>
          <w:rFonts w:hint="eastAsia" w:ascii="Times New Roman" w:hAnsi="Times New Roman" w:cs="Times New Roman"/>
          <w:bCs/>
          <w:color w:val="auto"/>
          <w:w w:val="99"/>
          <w:kern w:val="2"/>
          <w:sz w:val="24"/>
          <w:szCs w:val="20"/>
          <w:highlight w:val="none"/>
          <w:vertAlign w:val="superscript"/>
          <w:lang w:val="en-US" w:eastAsia="zh-CN" w:bidi="ar-SA"/>
        </w:rPr>
        <w:t>3</w:t>
      </w:r>
      <w:r>
        <w:rPr>
          <w:rFonts w:hint="eastAsia" w:ascii="Times New Roman" w:hAnsi="Times New Roman" w:cs="Times New Roman"/>
          <w:bCs/>
          <w:color w:val="auto"/>
          <w:w w:val="99"/>
          <w:kern w:val="2"/>
          <w:sz w:val="24"/>
          <w:szCs w:val="20"/>
          <w:highlight w:val="none"/>
          <w:vertAlign w:val="baseline"/>
          <w:lang w:val="en-US" w:eastAsia="zh-CN" w:bidi="ar-SA"/>
        </w:rPr>
        <w:t>，已建能够</w:t>
      </w:r>
      <w:r>
        <w:rPr>
          <w:rFonts w:ascii="Times New Roman" w:hAnsi="Times New Roman"/>
          <w:bCs/>
          <w:color w:val="auto"/>
          <w:w w:val="99"/>
          <w:szCs w:val="20"/>
          <w:highlight w:val="none"/>
        </w:rPr>
        <w:t>满足《陆上石油天然气开采工业大气污染物排放标准》（GB39728-2020）5.9中规定要求</w:t>
      </w:r>
      <w:r>
        <w:rPr>
          <w:rFonts w:hint="eastAsia" w:ascii="Times New Roman" w:hAnsi="Times New Roman" w:cs="Times New Roman"/>
          <w:bCs/>
          <w:color w:val="auto"/>
          <w:w w:val="99"/>
          <w:kern w:val="2"/>
          <w:sz w:val="24"/>
          <w:szCs w:val="24"/>
          <w:highlight w:val="none"/>
          <w:vertAlign w:val="baseline"/>
          <w:lang w:val="en-US" w:eastAsia="zh-CN" w:bidi="ar-SA"/>
        </w:rPr>
        <w:t>。</w:t>
      </w:r>
    </w:p>
    <w:p w14:paraId="7E9988F8">
      <w:pPr>
        <w:pStyle w:val="2"/>
        <w:widowControl w:val="0"/>
        <w:spacing w:line="440" w:lineRule="exact"/>
        <w:ind w:firstLine="474" w:firstLineChars="200"/>
        <w:jc w:val="both"/>
        <w:rPr>
          <w:rFonts w:hint="default" w:ascii="Times New Roman" w:hAnsi="Times New Roman" w:cs="Times New Roman"/>
          <w:bCs/>
          <w:color w:val="auto"/>
          <w:w w:val="99"/>
          <w:szCs w:val="20"/>
          <w:highlight w:val="none"/>
        </w:rPr>
      </w:pPr>
      <w:r>
        <w:rPr>
          <w:rFonts w:hint="default" w:ascii="Times New Roman" w:hAnsi="Times New Roman" w:cs="Times New Roman"/>
          <w:bCs/>
          <w:color w:val="auto"/>
          <w:w w:val="99"/>
          <w:szCs w:val="20"/>
          <w:highlight w:val="none"/>
        </w:rPr>
        <w:t>根据《陆上石油天然气开采工业大气污染物排放标准》（GB39728-2020）中5.7.1在气田内将气井采出的井产物进行汇集、处理、输送的全过程应采用密闭工艺流程；5.7.3对油气田放空天然气应予以回收。不能回收或难以回收的，应经燃烧后放空；不能燃烧直接放空的，应报生态环境主管部门备案。</w:t>
      </w:r>
    </w:p>
    <w:p w14:paraId="1159E3B5">
      <w:pPr>
        <w:pStyle w:val="2"/>
        <w:widowControl w:val="0"/>
        <w:spacing w:line="440" w:lineRule="exact"/>
        <w:ind w:firstLine="474" w:firstLineChars="200"/>
        <w:jc w:val="both"/>
        <w:rPr>
          <w:rFonts w:hint="default" w:ascii="Times New Roman" w:hAnsi="Times New Roman" w:cs="Times New Roman"/>
          <w:bCs/>
          <w:color w:val="auto"/>
          <w:w w:val="99"/>
          <w:szCs w:val="20"/>
          <w:highlight w:val="none"/>
        </w:rPr>
      </w:pPr>
      <w:r>
        <w:rPr>
          <w:rFonts w:hint="default" w:ascii="Times New Roman" w:hAnsi="Times New Roman" w:cs="Times New Roman"/>
          <w:bCs/>
          <w:color w:val="auto"/>
          <w:w w:val="99"/>
          <w:szCs w:val="20"/>
          <w:highlight w:val="none"/>
        </w:rPr>
        <w:t>区块内现有气井采出天然气的汇集、处理、输送全过程均为密闭流程，管线均埋地敷设、依托场站内各关键接口法兰均为密闭，在天然气集输过程采取了全密闭工艺流程；目前采气厂对所有放空均采用热放空，满足《陆上石油天然气开采工业大气污染物排放标准》（GB39728-2020）中相关要求。</w:t>
      </w:r>
    </w:p>
    <w:p w14:paraId="2E12E899">
      <w:pPr>
        <w:pStyle w:val="2"/>
        <w:widowControl w:val="0"/>
        <w:spacing w:line="440" w:lineRule="exact"/>
        <w:ind w:firstLine="474" w:firstLineChars="200"/>
        <w:jc w:val="both"/>
        <w:rPr>
          <w:rFonts w:ascii="Times New Roman" w:hAnsi="Times New Roman"/>
          <w:bCs/>
          <w:color w:val="auto"/>
          <w:w w:val="99"/>
          <w:szCs w:val="20"/>
          <w:highlight w:val="none"/>
        </w:rPr>
      </w:pPr>
      <w:r>
        <w:rPr>
          <w:rFonts w:hint="eastAsia" w:ascii="宋体" w:hAnsi="宋体" w:cs="宋体"/>
          <w:bCs/>
          <w:color w:val="auto"/>
          <w:w w:val="99"/>
          <w:szCs w:val="20"/>
          <w:highlight w:val="none"/>
        </w:rPr>
        <w:t>②</w:t>
      </w:r>
      <w:r>
        <w:rPr>
          <w:rFonts w:ascii="Times New Roman" w:hAnsi="Times New Roman"/>
          <w:bCs/>
          <w:color w:val="auto"/>
          <w:w w:val="99"/>
          <w:szCs w:val="20"/>
          <w:highlight w:val="none"/>
        </w:rPr>
        <w:t>锅炉烟气</w:t>
      </w:r>
    </w:p>
    <w:p w14:paraId="5C4BC88F">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现有区块运行期产生的</w:t>
      </w:r>
      <w:r>
        <w:rPr>
          <w:rFonts w:ascii="Times New Roman" w:hAnsi="Times New Roman" w:cs="Times New Roman"/>
          <w:bCs/>
          <w:color w:val="auto"/>
          <w:w w:val="99"/>
          <w:szCs w:val="20"/>
          <w:highlight w:val="none"/>
        </w:rPr>
        <w:t>锅炉烟气</w:t>
      </w:r>
      <w:r>
        <w:rPr>
          <w:rFonts w:ascii="Times New Roman" w:hAnsi="Times New Roman" w:cs="Times New Roman" w:eastAsiaTheme="minorEastAsia"/>
          <w:color w:val="auto"/>
          <w:w w:val="99"/>
          <w:kern w:val="2"/>
          <w:szCs w:val="20"/>
          <w:highlight w:val="none"/>
        </w:rPr>
        <w:t>主要来自区块内的徐深</w:t>
      </w:r>
      <w:r>
        <w:rPr>
          <w:rFonts w:hint="eastAsia" w:ascii="Times New Roman" w:hAnsi="Times New Roman" w:cs="Times New Roman" w:eastAsiaTheme="minorEastAsia"/>
          <w:color w:val="auto"/>
          <w:w w:val="99"/>
          <w:kern w:val="2"/>
          <w:szCs w:val="20"/>
          <w:highlight w:val="none"/>
          <w:lang w:val="en-US" w:eastAsia="zh-CN"/>
        </w:rPr>
        <w:t>27</w:t>
      </w:r>
      <w:r>
        <w:rPr>
          <w:rFonts w:ascii="Times New Roman" w:hAnsi="Times New Roman" w:cs="Times New Roman" w:eastAsiaTheme="minorEastAsia"/>
          <w:color w:val="auto"/>
          <w:w w:val="99"/>
          <w:kern w:val="2"/>
          <w:szCs w:val="20"/>
          <w:highlight w:val="none"/>
        </w:rPr>
        <w:t>区块</w:t>
      </w:r>
      <w:r>
        <w:rPr>
          <w:rFonts w:hint="eastAsia" w:ascii="Times New Roman" w:hAnsi="Times New Roman" w:cs="Times New Roman" w:eastAsiaTheme="minorEastAsia"/>
          <w:color w:val="auto"/>
          <w:w w:val="99"/>
          <w:kern w:val="2"/>
          <w:szCs w:val="20"/>
          <w:highlight w:val="none"/>
          <w:lang w:val="en-US" w:eastAsia="zh-CN"/>
        </w:rPr>
        <w:t>内</w:t>
      </w:r>
      <w:r>
        <w:rPr>
          <w:rFonts w:ascii="Times New Roman" w:hAnsi="Times New Roman" w:cs="Times New Roman" w:eastAsiaTheme="minorEastAsia"/>
          <w:color w:val="auto"/>
          <w:w w:val="99"/>
          <w:kern w:val="2"/>
          <w:szCs w:val="20"/>
          <w:highlight w:val="none"/>
        </w:rPr>
        <w:t>加热炉排放的烟气。加热炉使用清洁燃料天然气。根据</w:t>
      </w:r>
      <w:r>
        <w:rPr>
          <w:rFonts w:hint="eastAsia" w:ascii="Times New Roman" w:hAnsi="Times New Roman" w:cs="Times New Roman"/>
          <w:bCs/>
          <w:color w:val="auto"/>
          <w:w w:val="99"/>
          <w:szCs w:val="20"/>
          <w:highlight w:val="none"/>
          <w:lang w:val="en-US" w:eastAsia="zh-CN"/>
        </w:rPr>
        <w:t>大庆石油管理局环境监测中心站2025年12月20日</w:t>
      </w:r>
      <w:r>
        <w:rPr>
          <w:rFonts w:hint="eastAsia" w:ascii="Times New Roman" w:hAnsi="Times New Roman" w:cs="Times New Roman"/>
          <w:bCs/>
          <w:color w:val="auto"/>
          <w:w w:val="99"/>
          <w:kern w:val="2"/>
          <w:sz w:val="24"/>
          <w:szCs w:val="20"/>
          <w:highlight w:val="none"/>
          <w:vertAlign w:val="baseline"/>
          <w:lang w:val="en-US" w:eastAsia="zh-CN" w:bidi="ar-SA"/>
        </w:rPr>
        <w:t>对已建徐深27集气站1号加热炉的监测报告（报告编号DQWE-RE2-2512-399，附件6），</w:t>
      </w:r>
    </w:p>
    <w:p w14:paraId="3F23C417">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ascii="Times New Roman" w:hAnsi="Times New Roman" w:cs="Times New Roman" w:eastAsiaTheme="minorEastAsia"/>
          <w:color w:val="auto"/>
          <w:w w:val="99"/>
          <w:kern w:val="2"/>
          <w:szCs w:val="20"/>
          <w:highlight w:val="none"/>
        </w:rPr>
        <w:t>徐深</w:t>
      </w:r>
      <w:r>
        <w:rPr>
          <w:rFonts w:ascii="Times New Roman" w:hAnsi="Times New Roman" w:cs="Times New Roman" w:eastAsiaTheme="minorEastAsia"/>
          <w:color w:val="auto"/>
          <w:w w:val="99"/>
          <w:kern w:val="2"/>
          <w:szCs w:val="20"/>
          <w:highlight w:val="none"/>
        </w:rPr>
        <w:t>27</w:t>
      </w:r>
      <w:r>
        <w:rPr>
          <w:rFonts w:hint="eastAsia" w:ascii="Times New Roman" w:hAnsi="Times New Roman" w:cs="Times New Roman" w:eastAsiaTheme="minorEastAsia"/>
          <w:color w:val="auto"/>
          <w:w w:val="99"/>
          <w:kern w:val="2"/>
          <w:szCs w:val="20"/>
          <w:highlight w:val="none"/>
        </w:rPr>
        <w:t>集气站</w:t>
      </w:r>
      <w:r>
        <w:rPr>
          <w:rFonts w:ascii="Times New Roman" w:hAnsi="Times New Roman" w:cs="Times New Roman" w:eastAsiaTheme="minorEastAsia"/>
          <w:color w:val="auto"/>
          <w:w w:val="99"/>
          <w:kern w:val="2"/>
          <w:szCs w:val="20"/>
          <w:highlight w:val="none"/>
        </w:rPr>
        <w:t>加热炉烟气中</w:t>
      </w:r>
      <w:r>
        <w:rPr>
          <w:rFonts w:ascii="Times New Roman" w:hAnsi="Times New Roman" w:cs="Times New Roman" w:eastAsiaTheme="minorEastAsia"/>
          <w:color w:val="auto"/>
          <w:w w:val="99"/>
          <w:kern w:val="2"/>
          <w:szCs w:val="20"/>
          <w:highlight w:val="none"/>
          <w:lang w:val="zh-CN"/>
        </w:rPr>
        <w:t>SO</w:t>
      </w:r>
      <w:r>
        <w:rPr>
          <w:rFonts w:ascii="Times New Roman" w:hAnsi="Times New Roman" w:cs="Times New Roman" w:eastAsiaTheme="minorEastAsia"/>
          <w:color w:val="auto"/>
          <w:w w:val="99"/>
          <w:kern w:val="2"/>
          <w:szCs w:val="20"/>
          <w:highlight w:val="none"/>
          <w:vertAlign w:val="subscript"/>
          <w:lang w:val="zh-CN"/>
        </w:rPr>
        <w:t>2</w:t>
      </w:r>
      <w:r>
        <w:rPr>
          <w:rFonts w:ascii="Times New Roman" w:hAnsi="Times New Roman" w:cs="Times New Roman" w:eastAsiaTheme="minorEastAsia"/>
          <w:color w:val="auto"/>
          <w:w w:val="99"/>
          <w:kern w:val="2"/>
          <w:szCs w:val="20"/>
          <w:highlight w:val="none"/>
          <w:lang w:val="zh-CN"/>
        </w:rPr>
        <w:t>、NO</w:t>
      </w:r>
      <w:r>
        <w:rPr>
          <w:rFonts w:ascii="Times New Roman" w:hAnsi="Times New Roman" w:cs="Times New Roman" w:eastAsiaTheme="minorEastAsia"/>
          <w:color w:val="auto"/>
          <w:w w:val="99"/>
          <w:kern w:val="2"/>
          <w:szCs w:val="20"/>
          <w:highlight w:val="none"/>
          <w:vertAlign w:val="subscript"/>
          <w:lang w:val="zh-CN"/>
        </w:rPr>
        <w:t>x</w:t>
      </w:r>
      <w:r>
        <w:rPr>
          <w:rFonts w:ascii="Times New Roman" w:hAnsi="Times New Roman" w:cs="Times New Roman" w:eastAsiaTheme="minorEastAsia"/>
          <w:color w:val="auto"/>
          <w:w w:val="99"/>
          <w:kern w:val="2"/>
          <w:szCs w:val="20"/>
          <w:highlight w:val="none"/>
          <w:lang w:val="zh-CN"/>
        </w:rPr>
        <w:t>、</w:t>
      </w:r>
      <w:r>
        <w:rPr>
          <w:rFonts w:hint="eastAsia" w:ascii="Times New Roman" w:hAnsi="Times New Roman" w:cs="Times New Roman" w:eastAsiaTheme="minorEastAsia"/>
          <w:color w:val="auto"/>
          <w:w w:val="99"/>
          <w:kern w:val="2"/>
          <w:szCs w:val="20"/>
          <w:highlight w:val="none"/>
          <w:lang w:val="en-US" w:eastAsia="zh-CN"/>
        </w:rPr>
        <w:t>颗粒物的排放浓度分别为0mg/m</w:t>
      </w:r>
      <w:r>
        <w:rPr>
          <w:rFonts w:hint="eastAsia" w:ascii="Times New Roman" w:hAnsi="Times New Roman" w:cs="Times New Roman" w:eastAsiaTheme="minorEastAsia"/>
          <w:color w:val="auto"/>
          <w:w w:val="99"/>
          <w:kern w:val="2"/>
          <w:szCs w:val="20"/>
          <w:highlight w:val="none"/>
          <w:vertAlign w:val="superscript"/>
          <w:lang w:val="en-US" w:eastAsia="zh-CN"/>
        </w:rPr>
        <w:t>3</w:t>
      </w:r>
      <w:r>
        <w:rPr>
          <w:rFonts w:hint="eastAsia" w:ascii="Times New Roman" w:hAnsi="Times New Roman" w:cs="Times New Roman" w:eastAsiaTheme="minorEastAsia"/>
          <w:color w:val="auto"/>
          <w:w w:val="99"/>
          <w:kern w:val="2"/>
          <w:szCs w:val="20"/>
          <w:highlight w:val="none"/>
          <w:vertAlign w:val="baseline"/>
          <w:lang w:val="en-US" w:eastAsia="zh-CN"/>
        </w:rPr>
        <w:t>，</w:t>
      </w:r>
      <w:r>
        <w:rPr>
          <w:rFonts w:hint="eastAsia" w:ascii="Times New Roman" w:hAnsi="Times New Roman" w:cs="Times New Roman" w:eastAsiaTheme="minorEastAsia"/>
          <w:color w:val="auto"/>
          <w:w w:val="99"/>
          <w:kern w:val="2"/>
          <w:szCs w:val="20"/>
          <w:highlight w:val="none"/>
          <w:lang w:val="en-US" w:eastAsia="zh-CN"/>
        </w:rPr>
        <w:t>53~61mg/m</w:t>
      </w:r>
      <w:r>
        <w:rPr>
          <w:rFonts w:hint="eastAsia" w:ascii="Times New Roman" w:hAnsi="Times New Roman" w:cs="Times New Roman" w:eastAsiaTheme="minorEastAsia"/>
          <w:color w:val="auto"/>
          <w:w w:val="99"/>
          <w:kern w:val="2"/>
          <w:szCs w:val="20"/>
          <w:highlight w:val="none"/>
          <w:vertAlign w:val="superscript"/>
          <w:lang w:val="en-US" w:eastAsia="zh-CN"/>
        </w:rPr>
        <w:t>3</w:t>
      </w:r>
      <w:r>
        <w:rPr>
          <w:rFonts w:hint="eastAsia" w:ascii="Times New Roman" w:hAnsi="Times New Roman" w:cs="Times New Roman" w:eastAsiaTheme="minorEastAsia"/>
          <w:color w:val="auto"/>
          <w:w w:val="99"/>
          <w:kern w:val="2"/>
          <w:szCs w:val="20"/>
          <w:highlight w:val="none"/>
          <w:vertAlign w:val="baseline"/>
          <w:lang w:val="en-US" w:eastAsia="zh-CN"/>
        </w:rPr>
        <w:t>，6.2~6.7</w:t>
      </w:r>
      <w:r>
        <w:rPr>
          <w:rFonts w:hint="eastAsia" w:ascii="Times New Roman" w:hAnsi="Times New Roman" w:cs="Times New Roman" w:eastAsiaTheme="minorEastAsia"/>
          <w:color w:val="auto"/>
          <w:w w:val="99"/>
          <w:kern w:val="2"/>
          <w:szCs w:val="20"/>
          <w:highlight w:val="none"/>
          <w:lang w:val="en-US" w:eastAsia="zh-CN"/>
        </w:rPr>
        <w:t>mg/m</w:t>
      </w:r>
      <w:r>
        <w:rPr>
          <w:rFonts w:hint="eastAsia" w:ascii="Times New Roman" w:hAnsi="Times New Roman" w:cs="Times New Roman" w:eastAsiaTheme="minorEastAsia"/>
          <w:color w:val="auto"/>
          <w:w w:val="99"/>
          <w:kern w:val="2"/>
          <w:szCs w:val="20"/>
          <w:highlight w:val="none"/>
          <w:vertAlign w:val="superscript"/>
          <w:lang w:val="en-US" w:eastAsia="zh-CN"/>
        </w:rPr>
        <w:t>3</w:t>
      </w:r>
      <w:r>
        <w:rPr>
          <w:rFonts w:hint="eastAsia" w:ascii="Times New Roman" w:hAnsi="Times New Roman" w:cs="Times New Roman" w:eastAsiaTheme="minorEastAsia"/>
          <w:color w:val="auto"/>
          <w:w w:val="99"/>
          <w:kern w:val="2"/>
          <w:szCs w:val="20"/>
          <w:highlight w:val="none"/>
          <w:vertAlign w:val="baseline"/>
          <w:lang w:val="en-US" w:eastAsia="zh-CN"/>
        </w:rPr>
        <w:t>，</w:t>
      </w:r>
      <w:r>
        <w:rPr>
          <w:rFonts w:ascii="Times New Roman" w:hAnsi="Times New Roman" w:cs="Times New Roman" w:eastAsiaTheme="minorEastAsia"/>
          <w:color w:val="auto"/>
          <w:w w:val="99"/>
          <w:kern w:val="2"/>
          <w:szCs w:val="20"/>
          <w:highlight w:val="none"/>
          <w:lang w:val="zh-CN"/>
        </w:rPr>
        <w:t>均</w:t>
      </w:r>
      <w:r>
        <w:rPr>
          <w:rFonts w:ascii="Times New Roman" w:hAnsi="Times New Roman" w:cs="Times New Roman" w:eastAsiaTheme="minorEastAsia"/>
          <w:color w:val="auto"/>
          <w:w w:val="99"/>
          <w:kern w:val="2"/>
          <w:szCs w:val="20"/>
          <w:highlight w:val="none"/>
        </w:rPr>
        <w:t>满足《锅炉大气污染物排放标准》（GB13271-2014）中表2</w:t>
      </w:r>
      <w:r>
        <w:rPr>
          <w:rFonts w:hint="eastAsia" w:ascii="Times New Roman" w:hAnsi="Times New Roman" w:cs="Times New Roman" w:eastAsiaTheme="minorEastAsia"/>
          <w:color w:val="auto"/>
          <w:w w:val="99"/>
          <w:kern w:val="2"/>
          <w:szCs w:val="20"/>
          <w:highlight w:val="none"/>
        </w:rPr>
        <w:t>新建</w:t>
      </w:r>
      <w:r>
        <w:rPr>
          <w:rFonts w:ascii="Times New Roman" w:hAnsi="Times New Roman" w:cs="Times New Roman" w:eastAsiaTheme="minorEastAsia"/>
          <w:color w:val="auto"/>
          <w:w w:val="99"/>
          <w:kern w:val="2"/>
          <w:szCs w:val="20"/>
          <w:highlight w:val="none"/>
        </w:rPr>
        <w:t>燃气锅炉标准，且排气筒高度满足《锅炉大气污染物排放标准》（GB13271-2014）中对燃气锅炉烟囱不低于8m的要求。</w:t>
      </w:r>
    </w:p>
    <w:p w14:paraId="6AA56738">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highlight w:val="none"/>
        </w:rPr>
        <w:t>现有区块内</w:t>
      </w:r>
      <w:r>
        <w:rPr>
          <w:rFonts w:ascii="Times New Roman" w:hAnsi="Times New Roman" w:cs="Times New Roman" w:eastAsiaTheme="minorEastAsia"/>
          <w:color w:val="auto"/>
          <w:w w:val="99"/>
          <w:kern w:val="2"/>
          <w:szCs w:val="20"/>
          <w:highlight w:val="none"/>
        </w:rPr>
        <w:t>场站加热炉烟气污染物排放见表3.1-</w:t>
      </w:r>
      <w:r>
        <w:rPr>
          <w:rFonts w:hint="eastAsia" w:ascii="Times New Roman" w:hAnsi="Times New Roman" w:cs="Times New Roman" w:eastAsiaTheme="minorEastAsia"/>
          <w:color w:val="auto"/>
          <w:w w:val="99"/>
          <w:kern w:val="2"/>
          <w:szCs w:val="20"/>
          <w:highlight w:val="none"/>
          <w:lang w:val="en-US" w:eastAsia="zh-CN"/>
        </w:rPr>
        <w:t>2</w:t>
      </w:r>
      <w:r>
        <w:rPr>
          <w:rFonts w:ascii="Times New Roman" w:hAnsi="Times New Roman" w:cs="Times New Roman" w:eastAsiaTheme="minorEastAsia"/>
          <w:color w:val="auto"/>
          <w:w w:val="99"/>
          <w:kern w:val="2"/>
          <w:szCs w:val="20"/>
          <w:highlight w:val="none"/>
        </w:rPr>
        <w:t>。</w:t>
      </w:r>
    </w:p>
    <w:p w14:paraId="530EA053">
      <w:pPr>
        <w:pStyle w:val="153"/>
        <w:widowControl w:val="0"/>
        <w:spacing w:line="440" w:lineRule="exact"/>
        <w:ind w:firstLine="476" w:firstLineChars="200"/>
        <w:jc w:val="both"/>
        <w:rPr>
          <w:rFonts w:ascii="Times New Roman" w:hAnsi="Times New Roman" w:eastAsiaTheme="minorEastAsia"/>
          <w:b/>
          <w:color w:val="auto"/>
          <w:w w:val="99"/>
          <w:highlight w:val="none"/>
        </w:rPr>
      </w:pPr>
      <w:r>
        <w:rPr>
          <w:rFonts w:ascii="Times New Roman" w:hAnsi="Times New Roman" w:eastAsiaTheme="minorEastAsia"/>
          <w:b/>
          <w:color w:val="auto"/>
          <w:w w:val="99"/>
          <w:kern w:val="2"/>
          <w:szCs w:val="20"/>
          <w:highlight w:val="none"/>
        </w:rPr>
        <w:t>表3.1-</w:t>
      </w:r>
      <w:r>
        <w:rPr>
          <w:rFonts w:hint="eastAsia" w:ascii="Times New Roman" w:hAnsi="Times New Roman" w:eastAsiaTheme="minorEastAsia"/>
          <w:b/>
          <w:color w:val="auto"/>
          <w:w w:val="99"/>
          <w:kern w:val="2"/>
          <w:szCs w:val="20"/>
          <w:highlight w:val="none"/>
          <w:lang w:val="en-US" w:eastAsia="zh-CN"/>
        </w:rPr>
        <w:t>2</w:t>
      </w:r>
      <w:r>
        <w:rPr>
          <w:rFonts w:ascii="Times New Roman" w:hAnsi="Times New Roman" w:eastAsiaTheme="minorEastAsia"/>
          <w:b/>
          <w:color w:val="auto"/>
          <w:w w:val="99"/>
          <w:highlight w:val="none"/>
        </w:rPr>
        <w:t xml:space="preserve">    现有区块内场站加热装置污染物排放量</w:t>
      </w:r>
    </w:p>
    <w:tbl>
      <w:tblPr>
        <w:tblStyle w:val="8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2271"/>
        <w:gridCol w:w="938"/>
        <w:gridCol w:w="939"/>
        <w:gridCol w:w="947"/>
        <w:gridCol w:w="939"/>
        <w:gridCol w:w="939"/>
        <w:gridCol w:w="947"/>
      </w:tblGrid>
      <w:tr w14:paraId="5712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2" w:type="pct"/>
            <w:vMerge w:val="restart"/>
            <w:vAlign w:val="center"/>
          </w:tcPr>
          <w:p w14:paraId="6C4979C4">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cs="Times New Roman"/>
                <w:color w:val="auto"/>
                <w:w w:val="99"/>
                <w:highlight w:val="none"/>
              </w:rPr>
              <w:t>污染源</w:t>
            </w:r>
          </w:p>
        </w:tc>
        <w:tc>
          <w:tcPr>
            <w:tcW w:w="1223" w:type="pct"/>
            <w:vMerge w:val="restart"/>
            <w:vAlign w:val="center"/>
          </w:tcPr>
          <w:p w14:paraId="076417B7">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cs="Times New Roman"/>
                <w:color w:val="auto"/>
                <w:w w:val="99"/>
                <w:highlight w:val="none"/>
              </w:rPr>
              <w:t>烟气量（万m</w:t>
            </w:r>
            <w:r>
              <w:rPr>
                <w:rFonts w:cs="Times New Roman"/>
                <w:color w:val="auto"/>
                <w:w w:val="99"/>
                <w:highlight w:val="none"/>
                <w:vertAlign w:val="superscript"/>
              </w:rPr>
              <w:t>3</w:t>
            </w:r>
            <w:r>
              <w:rPr>
                <w:rFonts w:cs="Times New Roman"/>
                <w:color w:val="auto"/>
                <w:w w:val="99"/>
                <w:highlight w:val="none"/>
              </w:rPr>
              <w:t>/a）</w:t>
            </w:r>
          </w:p>
        </w:tc>
        <w:tc>
          <w:tcPr>
            <w:tcW w:w="1521" w:type="pct"/>
            <w:gridSpan w:val="3"/>
            <w:vAlign w:val="center"/>
          </w:tcPr>
          <w:p w14:paraId="170E1184">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cs="Times New Roman"/>
                <w:color w:val="auto"/>
                <w:w w:val="99"/>
                <w:highlight w:val="none"/>
              </w:rPr>
              <w:t>污染物浓度（mg/m</w:t>
            </w:r>
            <w:r>
              <w:rPr>
                <w:rFonts w:cs="Times New Roman"/>
                <w:color w:val="auto"/>
                <w:w w:val="99"/>
                <w:highlight w:val="none"/>
                <w:vertAlign w:val="superscript"/>
              </w:rPr>
              <w:t>3</w:t>
            </w:r>
            <w:r>
              <w:rPr>
                <w:rFonts w:cs="Times New Roman"/>
                <w:color w:val="auto"/>
                <w:w w:val="99"/>
                <w:highlight w:val="none"/>
              </w:rPr>
              <w:t>）</w:t>
            </w:r>
          </w:p>
        </w:tc>
        <w:tc>
          <w:tcPr>
            <w:tcW w:w="1522" w:type="pct"/>
            <w:gridSpan w:val="3"/>
            <w:vAlign w:val="center"/>
          </w:tcPr>
          <w:p w14:paraId="1397BF78">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cs="Times New Roman"/>
                <w:color w:val="auto"/>
                <w:w w:val="99"/>
                <w:highlight w:val="none"/>
              </w:rPr>
              <w:t>污染物排放量（t/a）</w:t>
            </w:r>
          </w:p>
        </w:tc>
      </w:tr>
      <w:tr w14:paraId="0BEE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2" w:type="pct"/>
            <w:vMerge w:val="continue"/>
            <w:vAlign w:val="center"/>
          </w:tcPr>
          <w:p w14:paraId="0B276092">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p>
        </w:tc>
        <w:tc>
          <w:tcPr>
            <w:tcW w:w="1223" w:type="pct"/>
            <w:vMerge w:val="continue"/>
            <w:vAlign w:val="center"/>
          </w:tcPr>
          <w:p w14:paraId="0076A8B3">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p>
        </w:tc>
        <w:tc>
          <w:tcPr>
            <w:tcW w:w="505" w:type="pct"/>
            <w:vAlign w:val="center"/>
          </w:tcPr>
          <w:p w14:paraId="690D3A80">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cs="Times New Roman"/>
                <w:color w:val="auto"/>
                <w:w w:val="99"/>
                <w:highlight w:val="none"/>
              </w:rPr>
              <w:t>SO</w:t>
            </w:r>
            <w:r>
              <w:rPr>
                <w:rFonts w:cs="Times New Roman"/>
                <w:color w:val="auto"/>
                <w:w w:val="99"/>
                <w:highlight w:val="none"/>
                <w:vertAlign w:val="subscript"/>
              </w:rPr>
              <w:t>2</w:t>
            </w:r>
          </w:p>
        </w:tc>
        <w:tc>
          <w:tcPr>
            <w:tcW w:w="506" w:type="pct"/>
            <w:vAlign w:val="center"/>
          </w:tcPr>
          <w:p w14:paraId="3BE28063">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cs="Times New Roman"/>
                <w:color w:val="auto"/>
                <w:w w:val="99"/>
                <w:highlight w:val="none"/>
              </w:rPr>
              <w:t>NO</w:t>
            </w:r>
            <w:r>
              <w:rPr>
                <w:rFonts w:cs="Times New Roman"/>
                <w:color w:val="auto"/>
                <w:w w:val="99"/>
                <w:highlight w:val="none"/>
                <w:vertAlign w:val="subscript"/>
              </w:rPr>
              <w:t>X</w:t>
            </w:r>
          </w:p>
        </w:tc>
        <w:tc>
          <w:tcPr>
            <w:tcW w:w="509" w:type="pct"/>
            <w:vAlign w:val="center"/>
          </w:tcPr>
          <w:p w14:paraId="204763C4">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cs="Times New Roman"/>
                <w:color w:val="auto"/>
                <w:w w:val="99"/>
                <w:highlight w:val="none"/>
              </w:rPr>
              <w:t>颗粒物</w:t>
            </w:r>
          </w:p>
        </w:tc>
        <w:tc>
          <w:tcPr>
            <w:tcW w:w="506" w:type="pct"/>
            <w:vAlign w:val="center"/>
          </w:tcPr>
          <w:p w14:paraId="24B83489">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cs="Times New Roman"/>
                <w:color w:val="auto"/>
                <w:w w:val="99"/>
                <w:highlight w:val="none"/>
              </w:rPr>
              <w:t>SO</w:t>
            </w:r>
            <w:r>
              <w:rPr>
                <w:rFonts w:cs="Times New Roman"/>
                <w:color w:val="auto"/>
                <w:w w:val="99"/>
                <w:highlight w:val="none"/>
                <w:vertAlign w:val="subscript"/>
              </w:rPr>
              <w:t>2</w:t>
            </w:r>
          </w:p>
        </w:tc>
        <w:tc>
          <w:tcPr>
            <w:tcW w:w="506" w:type="pct"/>
            <w:vAlign w:val="center"/>
          </w:tcPr>
          <w:p w14:paraId="4A6C2831">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cs="Times New Roman"/>
                <w:color w:val="auto"/>
                <w:w w:val="99"/>
                <w:highlight w:val="none"/>
              </w:rPr>
              <w:t>NO</w:t>
            </w:r>
            <w:r>
              <w:rPr>
                <w:rFonts w:cs="Times New Roman"/>
                <w:color w:val="auto"/>
                <w:w w:val="99"/>
                <w:highlight w:val="none"/>
                <w:vertAlign w:val="subscript"/>
              </w:rPr>
              <w:t>X</w:t>
            </w:r>
          </w:p>
        </w:tc>
        <w:tc>
          <w:tcPr>
            <w:tcW w:w="508" w:type="pct"/>
            <w:vAlign w:val="center"/>
          </w:tcPr>
          <w:p w14:paraId="1E5FCDD2">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cs="Times New Roman"/>
                <w:color w:val="auto"/>
                <w:w w:val="99"/>
                <w:highlight w:val="none"/>
              </w:rPr>
              <w:t>颗粒物</w:t>
            </w:r>
          </w:p>
        </w:tc>
      </w:tr>
      <w:tr w14:paraId="643B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2" w:type="pct"/>
            <w:vAlign w:val="center"/>
          </w:tcPr>
          <w:p w14:paraId="6EA1E1F3">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hint="eastAsia"/>
                <w:color w:val="auto"/>
                <w:w w:val="99"/>
                <w:highlight w:val="none"/>
              </w:rPr>
              <w:t>徐深</w:t>
            </w:r>
            <w:r>
              <w:rPr>
                <w:color w:val="auto"/>
                <w:w w:val="99"/>
                <w:highlight w:val="none"/>
              </w:rPr>
              <w:t>27</w:t>
            </w:r>
            <w:r>
              <w:rPr>
                <w:rFonts w:hint="eastAsia"/>
                <w:color w:val="auto"/>
                <w:w w:val="99"/>
                <w:highlight w:val="none"/>
              </w:rPr>
              <w:t>集气站加热炉</w:t>
            </w:r>
          </w:p>
        </w:tc>
        <w:tc>
          <w:tcPr>
            <w:tcW w:w="1223" w:type="pct"/>
            <w:vAlign w:val="center"/>
          </w:tcPr>
          <w:p w14:paraId="4EF50C14">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cs="Times New Roman"/>
                <w:color w:val="auto"/>
                <w:w w:val="99"/>
                <w:highlight w:val="none"/>
              </w:rPr>
            </w:pPr>
            <w:r>
              <w:rPr>
                <w:rFonts w:cs="Times New Roman"/>
                <w:color w:val="auto"/>
                <w:w w:val="99"/>
                <w:highlight w:val="none"/>
              </w:rPr>
              <w:t>280.4</w:t>
            </w:r>
          </w:p>
        </w:tc>
        <w:tc>
          <w:tcPr>
            <w:tcW w:w="505" w:type="pct"/>
            <w:vAlign w:val="center"/>
          </w:tcPr>
          <w:p w14:paraId="66E673EA">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hint="eastAsia" w:eastAsia="宋体" w:cs="Times New Roman"/>
                <w:color w:val="auto"/>
                <w:w w:val="99"/>
                <w:highlight w:val="none"/>
                <w:lang w:eastAsia="zh-CN"/>
              </w:rPr>
            </w:pPr>
            <w:r>
              <w:rPr>
                <w:rFonts w:hint="eastAsia" w:cs="Times New Roman"/>
                <w:color w:val="auto"/>
                <w:w w:val="99"/>
                <w:highlight w:val="none"/>
                <w:lang w:val="en-US" w:eastAsia="zh-CN"/>
              </w:rPr>
              <w:t>0</w:t>
            </w:r>
          </w:p>
        </w:tc>
        <w:tc>
          <w:tcPr>
            <w:tcW w:w="506" w:type="pct"/>
            <w:vAlign w:val="center"/>
          </w:tcPr>
          <w:p w14:paraId="53E4861D">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hint="default" w:eastAsia="宋体" w:cs="Times New Roman"/>
                <w:color w:val="auto"/>
                <w:w w:val="99"/>
                <w:highlight w:val="none"/>
                <w:lang w:val="en-US" w:eastAsia="zh-CN"/>
              </w:rPr>
            </w:pPr>
            <w:r>
              <w:rPr>
                <w:rFonts w:hint="eastAsia" w:cs="Times New Roman"/>
                <w:color w:val="auto"/>
                <w:w w:val="99"/>
                <w:highlight w:val="none"/>
                <w:lang w:val="en-US" w:eastAsia="zh-CN"/>
              </w:rPr>
              <w:t>58</w:t>
            </w:r>
          </w:p>
        </w:tc>
        <w:tc>
          <w:tcPr>
            <w:tcW w:w="509" w:type="pct"/>
            <w:vAlign w:val="center"/>
          </w:tcPr>
          <w:p w14:paraId="06BB1527">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hint="default" w:eastAsia="宋体" w:cs="Times New Roman"/>
                <w:color w:val="auto"/>
                <w:w w:val="99"/>
                <w:highlight w:val="none"/>
                <w:lang w:val="en-US" w:eastAsia="zh-CN"/>
              </w:rPr>
            </w:pPr>
            <w:r>
              <w:rPr>
                <w:rFonts w:hint="eastAsia" w:cs="Times New Roman"/>
                <w:color w:val="auto"/>
                <w:w w:val="99"/>
                <w:highlight w:val="none"/>
                <w:lang w:val="en-US" w:eastAsia="zh-CN"/>
              </w:rPr>
              <w:t>6.4</w:t>
            </w:r>
          </w:p>
        </w:tc>
        <w:tc>
          <w:tcPr>
            <w:tcW w:w="506" w:type="pct"/>
            <w:vAlign w:val="center"/>
          </w:tcPr>
          <w:p w14:paraId="4CC2A592">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hint="eastAsia" w:eastAsia="宋体" w:cs="Times New Roman"/>
                <w:color w:val="auto"/>
                <w:w w:val="99"/>
                <w:highlight w:val="none"/>
                <w:lang w:eastAsia="zh-CN"/>
              </w:rPr>
            </w:pPr>
            <w:r>
              <w:rPr>
                <w:rFonts w:hint="eastAsia" w:cs="Times New Roman"/>
                <w:color w:val="auto"/>
                <w:w w:val="99"/>
                <w:highlight w:val="none"/>
                <w:lang w:val="en-US" w:eastAsia="zh-CN"/>
              </w:rPr>
              <w:t>0</w:t>
            </w:r>
          </w:p>
        </w:tc>
        <w:tc>
          <w:tcPr>
            <w:tcW w:w="506" w:type="pct"/>
            <w:vAlign w:val="center"/>
          </w:tcPr>
          <w:p w14:paraId="7EA788D7">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hint="default" w:eastAsia="宋体" w:cs="Times New Roman"/>
                <w:color w:val="auto"/>
                <w:w w:val="99"/>
                <w:highlight w:val="none"/>
                <w:lang w:val="en-US" w:eastAsia="zh-CN"/>
              </w:rPr>
            </w:pPr>
            <w:r>
              <w:rPr>
                <w:rFonts w:hint="eastAsia" w:cs="Times New Roman"/>
                <w:color w:val="auto"/>
                <w:w w:val="99"/>
                <w:highlight w:val="none"/>
              </w:rPr>
              <w:t>0</w:t>
            </w:r>
            <w:r>
              <w:rPr>
                <w:rFonts w:cs="Times New Roman"/>
                <w:color w:val="auto"/>
                <w:w w:val="99"/>
                <w:highlight w:val="none"/>
              </w:rPr>
              <w:t>.</w:t>
            </w:r>
            <w:r>
              <w:rPr>
                <w:rFonts w:hint="eastAsia" w:cs="Times New Roman"/>
                <w:color w:val="auto"/>
                <w:w w:val="99"/>
                <w:highlight w:val="none"/>
                <w:lang w:val="en-US" w:eastAsia="zh-CN"/>
              </w:rPr>
              <w:t>163</w:t>
            </w:r>
          </w:p>
        </w:tc>
        <w:tc>
          <w:tcPr>
            <w:tcW w:w="508" w:type="pct"/>
            <w:vAlign w:val="center"/>
          </w:tcPr>
          <w:p w14:paraId="06955586">
            <w:pPr>
              <w:pStyle w:val="2868"/>
              <w:keepNext w:val="0"/>
              <w:keepLines w:val="0"/>
              <w:pageBreakBefore w:val="0"/>
              <w:widowControl w:val="0"/>
              <w:kinsoku/>
              <w:wordWrap/>
              <w:overflowPunct/>
              <w:topLinePunct w:val="0"/>
              <w:autoSpaceDE/>
              <w:autoSpaceDN/>
              <w:bidi w:val="0"/>
              <w:adjustRightInd w:val="0"/>
              <w:snapToGrid/>
              <w:spacing w:line="360" w:lineRule="exact"/>
              <w:textAlignment w:val="baseline"/>
              <w:rPr>
                <w:rFonts w:hint="default" w:eastAsia="宋体" w:cs="Times New Roman"/>
                <w:color w:val="auto"/>
                <w:w w:val="99"/>
                <w:highlight w:val="none"/>
                <w:lang w:val="en-US" w:eastAsia="zh-CN"/>
              </w:rPr>
            </w:pPr>
            <w:r>
              <w:rPr>
                <w:rFonts w:hint="eastAsia" w:cs="Times New Roman"/>
                <w:color w:val="auto"/>
                <w:w w:val="99"/>
                <w:highlight w:val="none"/>
              </w:rPr>
              <w:t>0</w:t>
            </w:r>
            <w:r>
              <w:rPr>
                <w:rFonts w:cs="Times New Roman"/>
                <w:color w:val="auto"/>
                <w:w w:val="99"/>
                <w:highlight w:val="none"/>
              </w:rPr>
              <w:t>.0</w:t>
            </w:r>
            <w:r>
              <w:rPr>
                <w:rFonts w:hint="eastAsia" w:cs="Times New Roman"/>
                <w:color w:val="auto"/>
                <w:w w:val="99"/>
                <w:highlight w:val="none"/>
                <w:lang w:val="en-US" w:eastAsia="zh-CN"/>
              </w:rPr>
              <w:t>18</w:t>
            </w:r>
          </w:p>
        </w:tc>
      </w:tr>
    </w:tbl>
    <w:p w14:paraId="3F103434">
      <w:pPr>
        <w:pStyle w:val="2"/>
        <w:widowControl w:val="0"/>
        <w:spacing w:line="44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由以上分析可知，区块内场站排放的锅炉烟气中颗粒物排放量为</w:t>
      </w:r>
      <w:r>
        <w:rPr>
          <w:rFonts w:hint="eastAsia" w:ascii="Times New Roman" w:hAnsi="Times New Roman"/>
          <w:bCs/>
          <w:color w:val="auto"/>
          <w:w w:val="99"/>
          <w:szCs w:val="20"/>
          <w:highlight w:val="none"/>
          <w:lang w:val="en-US" w:eastAsia="zh-CN"/>
        </w:rPr>
        <w:t>0.018</w:t>
      </w:r>
      <w:r>
        <w:rPr>
          <w:rFonts w:ascii="Times New Roman" w:hAnsi="Times New Roman"/>
          <w:bCs/>
          <w:color w:val="auto"/>
          <w:w w:val="99"/>
          <w:szCs w:val="20"/>
          <w:highlight w:val="none"/>
        </w:rPr>
        <w:t>t/a，NO</w:t>
      </w:r>
      <w:r>
        <w:rPr>
          <w:rFonts w:ascii="Times New Roman" w:hAnsi="Times New Roman"/>
          <w:bCs/>
          <w:color w:val="auto"/>
          <w:w w:val="99"/>
          <w:szCs w:val="20"/>
          <w:highlight w:val="none"/>
          <w:vertAlign w:val="subscript"/>
        </w:rPr>
        <w:t>x</w:t>
      </w:r>
      <w:r>
        <w:rPr>
          <w:rFonts w:ascii="Times New Roman" w:hAnsi="Times New Roman"/>
          <w:bCs/>
          <w:color w:val="auto"/>
          <w:w w:val="99"/>
          <w:szCs w:val="20"/>
          <w:highlight w:val="none"/>
        </w:rPr>
        <w:t>排放量为</w:t>
      </w:r>
      <w:r>
        <w:rPr>
          <w:rFonts w:hint="eastAsia" w:ascii="Times New Roman" w:hAnsi="Times New Roman"/>
          <w:bCs/>
          <w:color w:val="auto"/>
          <w:w w:val="99"/>
          <w:szCs w:val="20"/>
          <w:highlight w:val="none"/>
          <w:lang w:val="en-US" w:eastAsia="zh-CN"/>
        </w:rPr>
        <w:t>0.163</w:t>
      </w:r>
      <w:r>
        <w:rPr>
          <w:rFonts w:ascii="Times New Roman" w:hAnsi="Times New Roman"/>
          <w:bCs/>
          <w:color w:val="auto"/>
          <w:w w:val="99"/>
          <w:szCs w:val="20"/>
          <w:highlight w:val="none"/>
        </w:rPr>
        <w:t>t/a，SO</w:t>
      </w:r>
      <w:r>
        <w:rPr>
          <w:rFonts w:ascii="Times New Roman" w:hAnsi="Times New Roman"/>
          <w:bCs/>
          <w:color w:val="auto"/>
          <w:w w:val="99"/>
          <w:szCs w:val="20"/>
          <w:highlight w:val="none"/>
          <w:vertAlign w:val="subscript"/>
        </w:rPr>
        <w:t>2</w:t>
      </w:r>
      <w:r>
        <w:rPr>
          <w:rFonts w:ascii="Times New Roman" w:hAnsi="Times New Roman"/>
          <w:bCs/>
          <w:color w:val="auto"/>
          <w:w w:val="99"/>
          <w:szCs w:val="20"/>
          <w:highlight w:val="none"/>
        </w:rPr>
        <w:t>排放量为</w:t>
      </w:r>
      <w:r>
        <w:rPr>
          <w:rFonts w:hint="eastAsia" w:ascii="Times New Roman" w:hAnsi="Times New Roman"/>
          <w:bCs/>
          <w:color w:val="auto"/>
          <w:w w:val="99"/>
          <w:szCs w:val="20"/>
          <w:highlight w:val="none"/>
          <w:lang w:val="en-US" w:eastAsia="zh-CN"/>
        </w:rPr>
        <w:t>0</w:t>
      </w:r>
      <w:r>
        <w:rPr>
          <w:rFonts w:ascii="Times New Roman" w:hAnsi="Times New Roman"/>
          <w:bCs/>
          <w:color w:val="auto"/>
          <w:w w:val="99"/>
          <w:szCs w:val="20"/>
          <w:highlight w:val="none"/>
        </w:rPr>
        <w:t>t/a，区块内场站锅炉烟气排放满足</w:t>
      </w:r>
      <w:r>
        <w:rPr>
          <w:rFonts w:ascii="Times New Roman" w:hAnsi="Times New Roman" w:eastAsiaTheme="minorEastAsia"/>
          <w:color w:val="auto"/>
          <w:w w:val="99"/>
          <w:szCs w:val="20"/>
          <w:highlight w:val="none"/>
        </w:rPr>
        <w:t>《锅炉大气污染物排放标准》（GB13271-2014）</w:t>
      </w:r>
      <w:r>
        <w:rPr>
          <w:rFonts w:hint="eastAsia" w:ascii="Times New Roman" w:hAnsi="Times New Roman" w:eastAsiaTheme="minorEastAsia"/>
          <w:color w:val="auto"/>
          <w:w w:val="99"/>
          <w:szCs w:val="20"/>
          <w:highlight w:val="none"/>
          <w:lang w:eastAsia="zh-CN"/>
        </w:rPr>
        <w:t>表</w:t>
      </w:r>
      <w:r>
        <w:rPr>
          <w:rFonts w:hint="eastAsia" w:ascii="Times New Roman" w:hAnsi="Times New Roman" w:eastAsiaTheme="minorEastAsia"/>
          <w:color w:val="auto"/>
          <w:w w:val="99"/>
          <w:szCs w:val="20"/>
          <w:highlight w:val="none"/>
          <w:lang w:val="en-US" w:eastAsia="zh-CN"/>
        </w:rPr>
        <w:t>2</w:t>
      </w:r>
      <w:r>
        <w:rPr>
          <w:rFonts w:ascii="Times New Roman" w:hAnsi="Times New Roman" w:eastAsiaTheme="minorEastAsia"/>
          <w:color w:val="auto"/>
          <w:w w:val="99"/>
          <w:szCs w:val="20"/>
          <w:highlight w:val="none"/>
        </w:rPr>
        <w:t>中</w:t>
      </w:r>
      <w:r>
        <w:rPr>
          <w:rFonts w:hint="eastAsia" w:ascii="Times New Roman" w:hAnsi="Times New Roman" w:eastAsiaTheme="minorEastAsia"/>
          <w:color w:val="auto"/>
          <w:w w:val="99"/>
          <w:szCs w:val="20"/>
          <w:highlight w:val="none"/>
          <w:lang w:val="en-US" w:eastAsia="zh-CN"/>
        </w:rPr>
        <w:t>新建</w:t>
      </w:r>
      <w:r>
        <w:rPr>
          <w:rFonts w:ascii="Times New Roman" w:hAnsi="Times New Roman" w:eastAsiaTheme="minorEastAsia"/>
          <w:color w:val="auto"/>
          <w:w w:val="99"/>
          <w:szCs w:val="20"/>
          <w:highlight w:val="none"/>
        </w:rPr>
        <w:t>燃气锅炉标准限值要求。</w:t>
      </w:r>
    </w:p>
    <w:p w14:paraId="4767FC48">
      <w:pPr>
        <w:pStyle w:val="2"/>
        <w:widowControl w:val="0"/>
        <w:spacing w:line="440" w:lineRule="exact"/>
        <w:ind w:firstLine="474" w:firstLineChars="200"/>
        <w:jc w:val="both"/>
        <w:rPr>
          <w:rFonts w:ascii="Times New Roman" w:hAnsi="Times New Roman" w:eastAsiaTheme="minorEastAsia"/>
          <w:color w:val="auto"/>
          <w:w w:val="99"/>
          <w:szCs w:val="20"/>
          <w:highlight w:val="none"/>
        </w:rPr>
      </w:pPr>
      <w:r>
        <w:rPr>
          <w:rFonts w:hint="eastAsia" w:ascii="Times New Roman" w:hAnsi="Times New Roman" w:eastAsiaTheme="minorEastAsia"/>
          <w:color w:val="auto"/>
          <w:w w:val="99"/>
          <w:szCs w:val="20"/>
          <w:highlight w:val="none"/>
          <w:lang w:val="en-US" w:eastAsia="zh-CN"/>
        </w:rPr>
        <w:t>③</w:t>
      </w:r>
      <w:r>
        <w:rPr>
          <w:rFonts w:ascii="Times New Roman" w:hAnsi="Times New Roman" w:eastAsiaTheme="minorEastAsia"/>
          <w:color w:val="auto"/>
          <w:w w:val="99"/>
          <w:szCs w:val="20"/>
          <w:highlight w:val="none"/>
        </w:rPr>
        <w:t>甘醇脱水装置尾气</w:t>
      </w:r>
    </w:p>
    <w:p w14:paraId="44F781B5">
      <w:pPr>
        <w:pStyle w:val="2"/>
        <w:widowControl w:val="0"/>
        <w:spacing w:line="440" w:lineRule="exact"/>
        <w:ind w:firstLine="474" w:firstLineChars="200"/>
        <w:jc w:val="both"/>
        <w:rPr>
          <w:rFonts w:ascii="Times New Roman" w:hAnsi="Times New Roman" w:eastAsiaTheme="minorEastAsia"/>
          <w:color w:val="auto"/>
          <w:w w:val="99"/>
          <w:szCs w:val="20"/>
          <w:highlight w:val="none"/>
        </w:rPr>
      </w:pPr>
      <w:r>
        <w:rPr>
          <w:rFonts w:ascii="Times New Roman" w:hAnsi="Times New Roman" w:eastAsiaTheme="minorEastAsia"/>
          <w:color w:val="auto"/>
          <w:w w:val="99"/>
          <w:szCs w:val="20"/>
          <w:highlight w:val="none"/>
        </w:rPr>
        <w:t>集气站内三甘醇脱水装置再生精馏柱会产生尾气，针对三甘醇脱水装置的尾气问题，采用尾气回收装置（水引射增压回收工艺）对尾气进行回收处理，既能对尾气中天然气进行回收，又能解决尾气排放对大气的污染实现尾气的零排放，回收率100%。</w:t>
      </w:r>
    </w:p>
    <w:p w14:paraId="43A06D65">
      <w:pPr>
        <w:pStyle w:val="2"/>
        <w:widowControl w:val="0"/>
        <w:spacing w:line="44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（2）废水</w:t>
      </w:r>
    </w:p>
    <w:p w14:paraId="7E5F2FFD">
      <w:pPr>
        <w:pStyle w:val="2"/>
        <w:widowControl w:val="0"/>
        <w:spacing w:line="44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现有区块内</w:t>
      </w:r>
      <w:r>
        <w:rPr>
          <w:rFonts w:hint="eastAsia" w:ascii="Times New Roman" w:hAnsi="Times New Roman"/>
          <w:bCs/>
          <w:color w:val="auto"/>
          <w:w w:val="99"/>
          <w:szCs w:val="20"/>
          <w:highlight w:val="none"/>
          <w:lang w:val="en-US" w:eastAsia="zh-CN"/>
        </w:rPr>
        <w:t>3</w:t>
      </w:r>
      <w:r>
        <w:rPr>
          <w:rFonts w:ascii="Times New Roman" w:hAnsi="Times New Roman"/>
          <w:bCs/>
          <w:color w:val="auto"/>
          <w:w w:val="99"/>
          <w:szCs w:val="20"/>
          <w:highlight w:val="none"/>
        </w:rPr>
        <w:t>口生产井运行，分离污水在各集气站污水储罐暂存，然后由集输管网统一输送至升一联气田污水处理站集中处理，因此本区块内无废水排放。本区块依托的升一联气田污水处理站污染物排放情况详见“</w:t>
      </w:r>
      <w:r>
        <w:rPr>
          <w:rFonts w:ascii="Times New Roman" w:hAnsi="Times New Roman"/>
          <w:bCs/>
          <w:color w:val="auto"/>
          <w:w w:val="99"/>
          <w:szCs w:val="20"/>
          <w:highlight w:val="none"/>
        </w:rPr>
        <w:fldChar w:fldCharType="begin"/>
      </w:r>
      <w:r>
        <w:rPr>
          <w:rFonts w:ascii="Times New Roman" w:hAnsi="Times New Roman"/>
          <w:bCs/>
          <w:color w:val="auto"/>
          <w:w w:val="99"/>
          <w:szCs w:val="20"/>
          <w:highlight w:val="none"/>
        </w:rPr>
        <w:instrText xml:space="preserve"> HYPERLINK "3.3.2.3" </w:instrText>
      </w:r>
      <w:r>
        <w:rPr>
          <w:rFonts w:ascii="Times New Roman" w:hAnsi="Times New Roman"/>
          <w:bCs/>
          <w:color w:val="auto"/>
          <w:w w:val="99"/>
          <w:szCs w:val="20"/>
          <w:highlight w:val="none"/>
        </w:rPr>
        <w:fldChar w:fldCharType="separate"/>
      </w:r>
      <w:r>
        <w:rPr>
          <w:rFonts w:ascii="Times New Roman" w:hAnsi="Times New Roman"/>
          <w:bCs/>
          <w:color w:val="auto"/>
          <w:w w:val="99"/>
          <w:szCs w:val="20"/>
          <w:highlight w:val="none"/>
        </w:rPr>
        <w:t>3.3.2.3</w:t>
      </w:r>
      <w:r>
        <w:rPr>
          <w:rFonts w:ascii="Times New Roman" w:hAnsi="Times New Roman"/>
          <w:bCs/>
          <w:color w:val="auto"/>
          <w:w w:val="99"/>
          <w:szCs w:val="20"/>
          <w:highlight w:val="none"/>
        </w:rPr>
        <w:fldChar w:fldCharType="end"/>
      </w:r>
      <w:r>
        <w:rPr>
          <w:rFonts w:ascii="Times New Roman" w:hAnsi="Times New Roman"/>
          <w:bCs/>
          <w:color w:val="auto"/>
          <w:w w:val="99"/>
          <w:szCs w:val="20"/>
          <w:highlight w:val="none"/>
        </w:rPr>
        <w:t>依托工程污染物排放情况”小节。</w:t>
      </w:r>
    </w:p>
    <w:p w14:paraId="26C9CCE4">
      <w:pPr>
        <w:pStyle w:val="2"/>
        <w:widowControl w:val="0"/>
        <w:spacing w:line="440" w:lineRule="exact"/>
        <w:ind w:firstLine="474" w:firstLineChars="200"/>
        <w:jc w:val="both"/>
        <w:rPr>
          <w:rFonts w:ascii="Times New Roman" w:hAnsi="Times New Roman"/>
          <w:bCs/>
          <w:color w:val="auto"/>
          <w:w w:val="99"/>
          <w:szCs w:val="20"/>
          <w:highlight w:val="none"/>
        </w:rPr>
      </w:pPr>
      <w:r>
        <w:rPr>
          <w:rFonts w:hint="eastAsia" w:ascii="Times New Roman" w:hAnsi="Times New Roman"/>
          <w:bCs/>
          <w:color w:val="auto"/>
          <w:w w:val="99"/>
          <w:szCs w:val="20"/>
          <w:highlight w:val="none"/>
        </w:rPr>
        <w:t>徐深2</w:t>
      </w:r>
      <w:r>
        <w:rPr>
          <w:rFonts w:ascii="Times New Roman" w:hAnsi="Times New Roman"/>
          <w:bCs/>
          <w:color w:val="auto"/>
          <w:w w:val="99"/>
          <w:szCs w:val="20"/>
          <w:highlight w:val="none"/>
        </w:rPr>
        <w:t>7</w:t>
      </w:r>
      <w:r>
        <w:rPr>
          <w:rFonts w:hint="eastAsia" w:ascii="Times New Roman" w:hAnsi="Times New Roman"/>
          <w:bCs/>
          <w:color w:val="auto"/>
          <w:w w:val="99"/>
          <w:szCs w:val="20"/>
          <w:highlight w:val="none"/>
        </w:rPr>
        <w:t>集气站</w:t>
      </w:r>
      <w:r>
        <w:rPr>
          <w:rFonts w:hint="eastAsia" w:ascii="Times New Roman" w:hAnsi="Times New Roman"/>
          <w:bCs/>
          <w:color w:val="auto"/>
          <w:w w:val="99"/>
          <w:szCs w:val="20"/>
          <w:highlight w:val="none"/>
          <w:lang w:val="en-US" w:eastAsia="en-US"/>
        </w:rPr>
        <w:t>按照“无人值守，有人巡检”模式进行</w:t>
      </w:r>
      <w:r>
        <w:rPr>
          <w:rFonts w:hint="eastAsia" w:ascii="Times New Roman" w:hAnsi="Times New Roman"/>
          <w:bCs/>
          <w:color w:val="auto"/>
          <w:w w:val="99"/>
          <w:szCs w:val="20"/>
          <w:highlight w:val="none"/>
          <w:lang w:val="en-US" w:eastAsia="zh-CN"/>
        </w:rPr>
        <w:t>建设，无生活污水产生</w:t>
      </w:r>
      <w:r>
        <w:rPr>
          <w:rFonts w:hint="eastAsia" w:ascii="Times New Roman" w:hAnsi="Times New Roman"/>
          <w:bCs/>
          <w:color w:val="auto"/>
          <w:w w:val="99"/>
          <w:szCs w:val="20"/>
          <w:highlight w:val="none"/>
        </w:rPr>
        <w:t>。</w:t>
      </w:r>
    </w:p>
    <w:p w14:paraId="5B18FE5D">
      <w:pPr>
        <w:widowControl w:val="0"/>
        <w:spacing w:line="440" w:lineRule="exact"/>
        <w:ind w:firstLine="474" w:firstLineChars="200"/>
        <w:jc w:val="both"/>
        <w:rPr>
          <w:rFonts w:ascii="Times New Roman" w:hAnsi="Times New Roman" w:cs="Times New Roman"/>
          <w:bCs/>
          <w:color w:val="auto"/>
          <w:w w:val="99"/>
          <w:szCs w:val="20"/>
          <w:highlight w:val="none"/>
        </w:rPr>
      </w:pPr>
      <w:r>
        <w:rPr>
          <w:rFonts w:ascii="Times New Roman" w:hAnsi="Times New Roman" w:cs="Times New Roman"/>
          <w:bCs/>
          <w:color w:val="auto"/>
          <w:w w:val="99"/>
          <w:szCs w:val="20"/>
          <w:highlight w:val="none"/>
        </w:rPr>
        <w:t>（3）噪声</w:t>
      </w:r>
    </w:p>
    <w:p w14:paraId="64C9DA67">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本工程在开发建设过程中，尽可能地选用了低噪声设备，并对噪声较大的设备统一规划部署。将声源布置在室内，并作了相应的隔声处理，噪声对外界影响较小。</w:t>
      </w:r>
      <w:r>
        <w:rPr>
          <w:rFonts w:hint="eastAsia" w:ascii="Times New Roman" w:hAnsi="Times New Roman" w:cs="Times New Roman"/>
          <w:bCs/>
          <w:color w:val="auto"/>
          <w:w w:val="99"/>
          <w:szCs w:val="20"/>
          <w:highlight w:val="none"/>
          <w:lang w:val="en-US" w:eastAsia="zh-CN"/>
        </w:rPr>
        <w:t>根据大庆石油管理局环境监测中心站2025年10月27日</w:t>
      </w:r>
      <w:r>
        <w:rPr>
          <w:rFonts w:hint="eastAsia" w:ascii="Times New Roman" w:hAnsi="Times New Roman" w:cs="Times New Roman"/>
          <w:bCs/>
          <w:color w:val="auto"/>
          <w:w w:val="99"/>
          <w:kern w:val="2"/>
          <w:sz w:val="24"/>
          <w:szCs w:val="20"/>
          <w:highlight w:val="none"/>
          <w:vertAlign w:val="baseline"/>
          <w:lang w:val="en-US" w:eastAsia="zh-CN" w:bidi="ar-SA"/>
        </w:rPr>
        <w:t>对已建徐深27集气站的监测报告（报告编号DQWE-RE3-2510-026，附件6）以及本次对已建气井井场的监测（附件7）</w:t>
      </w:r>
      <w:r>
        <w:rPr>
          <w:rFonts w:hint="eastAsia" w:ascii="Times New Roman" w:hAnsi="Times New Roman" w:cs="Times New Roman" w:eastAsiaTheme="minorEastAsia"/>
          <w:color w:val="auto"/>
          <w:w w:val="99"/>
          <w:kern w:val="2"/>
          <w:highlight w:val="none"/>
          <w:lang w:val="en-US" w:eastAsia="zh-CN"/>
        </w:rPr>
        <w:t>，该站厂界噪声昼间为47~55</w:t>
      </w:r>
      <w:r>
        <w:rPr>
          <w:rFonts w:ascii="Times New Roman" w:hAnsi="Times New Roman" w:cs="Times New Roman"/>
          <w:bCs/>
          <w:color w:val="auto"/>
          <w:w w:val="99"/>
          <w:szCs w:val="20"/>
          <w:highlight w:val="none"/>
        </w:rPr>
        <w:t>dB(A)</w:t>
      </w:r>
      <w:r>
        <w:rPr>
          <w:rFonts w:hint="eastAsia" w:ascii="Times New Roman" w:hAnsi="Times New Roman" w:cs="Times New Roman" w:eastAsiaTheme="minorEastAsia"/>
          <w:color w:val="auto"/>
          <w:w w:val="99"/>
          <w:kern w:val="2"/>
          <w:highlight w:val="none"/>
          <w:lang w:val="en-US" w:eastAsia="zh-CN"/>
        </w:rPr>
        <w:t>，夜间为43~47</w:t>
      </w:r>
      <w:r>
        <w:rPr>
          <w:rFonts w:ascii="Times New Roman" w:hAnsi="Times New Roman" w:cs="Times New Roman"/>
          <w:bCs/>
          <w:color w:val="auto"/>
          <w:w w:val="99"/>
          <w:szCs w:val="20"/>
          <w:highlight w:val="none"/>
        </w:rPr>
        <w:t>dB(A)</w:t>
      </w:r>
      <w:r>
        <w:rPr>
          <w:rFonts w:hint="eastAsia" w:ascii="Times New Roman" w:hAnsi="Times New Roman" w:cs="Times New Roman" w:eastAsiaTheme="minorEastAsia"/>
          <w:color w:val="auto"/>
          <w:w w:val="99"/>
          <w:kern w:val="2"/>
          <w:highlight w:val="none"/>
          <w:lang w:val="en-US" w:eastAsia="zh-CN"/>
        </w:rPr>
        <w:t>；</w:t>
      </w:r>
      <w:r>
        <w:rPr>
          <w:rFonts w:hint="eastAsia" w:ascii="Times New Roman" w:hAnsi="Times New Roman" w:cs="Times New Roman" w:eastAsiaTheme="minorEastAsia"/>
          <w:color w:val="auto"/>
          <w:w w:val="99"/>
          <w:kern w:val="21"/>
          <w:highlight w:val="none"/>
        </w:rPr>
        <w:t>徐深</w:t>
      </w:r>
      <w:r>
        <w:rPr>
          <w:rFonts w:hint="eastAsia" w:ascii="Times New Roman" w:hAnsi="Times New Roman" w:cs="Times New Roman" w:eastAsiaTheme="minorEastAsia"/>
          <w:color w:val="auto"/>
          <w:w w:val="99"/>
          <w:kern w:val="21"/>
          <w:highlight w:val="none"/>
          <w:lang w:val="en-US" w:eastAsia="zh-CN"/>
        </w:rPr>
        <w:t>27</w:t>
      </w:r>
      <w:r>
        <w:rPr>
          <w:rFonts w:hint="eastAsia" w:ascii="Times New Roman" w:hAnsi="Times New Roman" w:cs="Times New Roman" w:eastAsiaTheme="minorEastAsia"/>
          <w:color w:val="auto"/>
          <w:w w:val="99"/>
          <w:kern w:val="21"/>
          <w:highlight w:val="none"/>
        </w:rPr>
        <w:t>井场</w:t>
      </w:r>
      <w:r>
        <w:rPr>
          <w:rFonts w:hint="eastAsia" w:ascii="Times New Roman" w:hAnsi="Times New Roman" w:cs="Times New Roman" w:eastAsiaTheme="minorEastAsia"/>
          <w:color w:val="auto"/>
          <w:w w:val="99"/>
          <w:kern w:val="21"/>
          <w:highlight w:val="none"/>
          <w:lang w:val="en-US" w:eastAsia="zh-CN"/>
        </w:rPr>
        <w:t>设备间</w:t>
      </w:r>
      <w:r>
        <w:rPr>
          <w:rFonts w:ascii="Times New Roman" w:hAnsi="Times New Roman" w:cs="Times New Roman" w:eastAsiaTheme="minorEastAsia"/>
          <w:color w:val="auto"/>
          <w:w w:val="99"/>
          <w:kern w:val="21"/>
          <w:highlight w:val="none"/>
        </w:rPr>
        <w:t>厂界噪声</w:t>
      </w:r>
      <w:r>
        <w:rPr>
          <w:rFonts w:hint="eastAsia" w:ascii="Times New Roman" w:hAnsi="Times New Roman" w:cs="Times New Roman" w:eastAsiaTheme="minorEastAsia"/>
          <w:color w:val="auto"/>
          <w:w w:val="99"/>
          <w:kern w:val="21"/>
          <w:highlight w:val="none"/>
          <w:lang w:val="en-US" w:eastAsia="zh-CN"/>
        </w:rPr>
        <w:t>昼间为45.3~46.6</w:t>
      </w:r>
      <w:r>
        <w:rPr>
          <w:rFonts w:ascii="Times New Roman" w:hAnsi="Times New Roman" w:cs="Times New Roman" w:eastAsiaTheme="minorEastAsia"/>
          <w:color w:val="auto"/>
          <w:w w:val="99"/>
          <w:kern w:val="21"/>
          <w:highlight w:val="none"/>
        </w:rPr>
        <w:t>dB(A)</w:t>
      </w:r>
      <w:r>
        <w:rPr>
          <w:rFonts w:hint="eastAsia" w:ascii="Times New Roman" w:hAnsi="Times New Roman" w:cs="Times New Roman" w:eastAsiaTheme="minorEastAsia"/>
          <w:color w:val="auto"/>
          <w:w w:val="99"/>
          <w:kern w:val="21"/>
          <w:highlight w:val="none"/>
          <w:lang w:val="en-US" w:eastAsia="zh-CN"/>
        </w:rPr>
        <w:t>，夜间</w:t>
      </w:r>
      <w:r>
        <w:rPr>
          <w:rFonts w:hint="eastAsia" w:ascii="Times New Roman" w:hAnsi="Times New Roman" w:cs="Times New Roman" w:eastAsiaTheme="minorEastAsia"/>
          <w:color w:val="auto"/>
          <w:w w:val="99"/>
          <w:kern w:val="2"/>
          <w:highlight w:val="none"/>
          <w:lang w:val="en-US" w:eastAsia="zh-CN"/>
        </w:rPr>
        <w:t>为43.1~44.3</w:t>
      </w:r>
      <w:r>
        <w:rPr>
          <w:rFonts w:ascii="Times New Roman" w:hAnsi="Times New Roman" w:cs="Times New Roman"/>
          <w:bCs/>
          <w:color w:val="auto"/>
          <w:w w:val="99"/>
          <w:szCs w:val="20"/>
          <w:highlight w:val="none"/>
        </w:rPr>
        <w:t>dB(A)</w:t>
      </w:r>
      <w:r>
        <w:rPr>
          <w:rFonts w:hint="eastAsia" w:ascii="Times New Roman" w:hAnsi="Times New Roman" w:cs="Times New Roman" w:eastAsiaTheme="minorEastAsia"/>
          <w:color w:val="auto"/>
          <w:w w:val="99"/>
          <w:kern w:val="2"/>
          <w:highlight w:val="none"/>
          <w:lang w:val="en-US" w:eastAsia="zh-CN"/>
        </w:rPr>
        <w:t>；</w:t>
      </w:r>
      <w:r>
        <w:rPr>
          <w:rFonts w:hint="eastAsia" w:ascii="Times New Roman" w:hAnsi="Times New Roman" w:cs="Times New Roman" w:eastAsiaTheme="minorEastAsia"/>
          <w:color w:val="auto"/>
          <w:w w:val="99"/>
          <w:kern w:val="21"/>
          <w:highlight w:val="none"/>
        </w:rPr>
        <w:t>集气站</w:t>
      </w:r>
      <w:r>
        <w:rPr>
          <w:rFonts w:ascii="Times New Roman" w:hAnsi="Times New Roman" w:cs="Times New Roman" w:eastAsiaTheme="minorEastAsia"/>
          <w:color w:val="auto"/>
          <w:w w:val="99"/>
          <w:kern w:val="21"/>
          <w:highlight w:val="none"/>
        </w:rPr>
        <w:t>、井场厂界外噪声满足《工业企业厂界环境噪声排放标准》（GB12348-2008）中的2类标准的要求，没有对周围声环境噪造成影响。</w:t>
      </w:r>
    </w:p>
    <w:p w14:paraId="5B1802FA">
      <w:pPr>
        <w:widowControl w:val="0"/>
        <w:numPr>
          <w:ilvl w:val="0"/>
          <w:numId w:val="9"/>
        </w:numPr>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固体废物</w:t>
      </w:r>
    </w:p>
    <w:p w14:paraId="1B317AF2">
      <w:pPr>
        <w:widowControl w:val="0"/>
        <w:numPr>
          <w:ilvl w:val="0"/>
          <w:numId w:val="0"/>
        </w:numPr>
        <w:spacing w:line="440" w:lineRule="exact"/>
        <w:ind w:firstLine="474" w:firstLineChars="200"/>
        <w:jc w:val="both"/>
        <w:rPr>
          <w:rFonts w:hint="eastAsia" w:ascii="Times New Roman" w:hAnsi="Times New Roman" w:eastAsia="宋体" w:cs="Times New Roman"/>
          <w:color w:val="auto"/>
          <w:w w:val="99"/>
          <w:kern w:val="2"/>
          <w:sz w:val="24"/>
          <w:szCs w:val="24"/>
          <w:highlight w:val="none"/>
          <w:lang w:val="en-US" w:eastAsia="zh-CN" w:bidi="ar-SA"/>
        </w:rPr>
      </w:pPr>
      <w:r>
        <w:rPr>
          <w:rFonts w:hint="eastAsia" w:ascii="Times New Roman" w:hAnsi="Times New Roman" w:eastAsia="宋体" w:cs="Times New Roman"/>
          <w:color w:val="auto"/>
          <w:w w:val="99"/>
          <w:kern w:val="2"/>
          <w:sz w:val="24"/>
          <w:szCs w:val="24"/>
          <w:highlight w:val="none"/>
          <w:lang w:val="en-US" w:eastAsia="zh-CN" w:bidi="ar-SA"/>
        </w:rPr>
        <w:t>现有区块内3口生产井运行，正常工况下无固废产生，非正常运行过程中产生的固体废物主要为井口砂粒，由于气井投产后地层未完全闭合原因，导致偶有气井在投产初出现地层压裂砂、地层砂被采出气气流带到地面的现象，为避免这部分砂粒对场站设备造成损伤，气井井口安装有井口除砂器，投产初会定期检查井口除砂器，如有砂粒，委托有资质单位处置。气井如产生这部分砂粒，单井产生量约为0.001t/a，这部分砂粒内会混有烃类物质，为危险废物，废物类别HW08废矿物油与含矿物油废物，危废代码为900-249-08。在井场产生后装入加盖钢制桶中，由检维修队送采气分公司危险废物储存库内，定期委托有危废处置资质的单位处置。</w:t>
      </w:r>
    </w:p>
    <w:p w14:paraId="298E8958">
      <w:pPr>
        <w:pStyle w:val="2869"/>
        <w:keepNext w:val="0"/>
        <w:keepLines w:val="0"/>
        <w:pageBreakBefore w:val="0"/>
        <w:kinsoku/>
        <w:wordWrap/>
        <w:topLinePunct w:val="0"/>
        <w:bidi w:val="0"/>
        <w:spacing w:line="500" w:lineRule="exact"/>
        <w:ind w:firstLine="480"/>
        <w:rPr>
          <w:rFonts w:hint="eastAsia" w:ascii="Times New Roman" w:hAnsi="Times New Roman" w:eastAsia="宋体" w:cs="Times New Roman"/>
          <w:color w:val="auto"/>
          <w:w w:val="99"/>
          <w:kern w:val="2"/>
          <w:sz w:val="24"/>
          <w:szCs w:val="24"/>
          <w:highlight w:val="none"/>
          <w:lang w:val="en-US" w:eastAsia="zh-CN" w:bidi="ar-SA"/>
        </w:rPr>
      </w:pPr>
      <w:r>
        <w:rPr>
          <w:rFonts w:hint="eastAsia" w:ascii="Times New Roman" w:hAnsi="Times New Roman" w:eastAsia="宋体" w:cs="Times New Roman"/>
          <w:color w:val="auto"/>
          <w:w w:val="99"/>
          <w:kern w:val="2"/>
          <w:sz w:val="24"/>
          <w:szCs w:val="24"/>
          <w:highlight w:val="none"/>
          <w:lang w:val="en-US" w:eastAsia="zh-CN" w:bidi="ar-SA"/>
        </w:rPr>
        <w:t>集气站三甘醇脱水装置内设置活性炭过滤器，活性炭更换频次约1次/年，徐深27区块内1座集气站产生废活性炭1.4t/a，属于危险废物“HW49其他废物”中的“900-041-49含有或沾染毒性、感染性危险废物的废弃包装物、容器、过滤吸附介质”。暂存采气分公司危险废物储存库，定期委托有危废处置资质的单位处置。</w:t>
      </w:r>
    </w:p>
    <w:p w14:paraId="3E3E9DE4">
      <w:pPr>
        <w:pStyle w:val="2869"/>
        <w:keepNext w:val="0"/>
        <w:keepLines w:val="0"/>
        <w:pageBreakBefore w:val="0"/>
        <w:kinsoku/>
        <w:wordWrap/>
        <w:topLinePunct w:val="0"/>
        <w:bidi w:val="0"/>
        <w:spacing w:line="500" w:lineRule="exact"/>
        <w:ind w:firstLine="480"/>
        <w:rPr>
          <w:rFonts w:hint="eastAsia" w:ascii="Times New Roman" w:hAnsi="Times New Roman" w:eastAsia="宋体" w:cs="Times New Roman"/>
          <w:color w:val="auto"/>
          <w:w w:val="99"/>
          <w:kern w:val="2"/>
          <w:sz w:val="24"/>
          <w:szCs w:val="24"/>
          <w:highlight w:val="none"/>
          <w:lang w:val="en-US" w:eastAsia="zh-CN" w:bidi="ar-SA"/>
        </w:rPr>
      </w:pPr>
      <w:r>
        <w:rPr>
          <w:rFonts w:hint="eastAsia" w:ascii="Times New Roman" w:hAnsi="Times New Roman" w:eastAsia="宋体" w:cs="Times New Roman"/>
          <w:color w:val="auto"/>
          <w:w w:val="99"/>
          <w:kern w:val="2"/>
          <w:sz w:val="24"/>
          <w:szCs w:val="24"/>
          <w:highlight w:val="none"/>
          <w:lang w:val="en-US" w:eastAsia="zh-CN" w:bidi="ar-SA"/>
        </w:rPr>
        <w:t>采出气通过三甘醇脱水装置进行脱水，由生产厂家来定期更换三甘醇，更换频次约1次/年，徐深27区块内1座集气站产生废三甘醇约70t</w:t>
      </w:r>
      <w:r>
        <w:rPr>
          <w:rFonts w:hint="eastAsia" w:ascii="Times New Roman" w:hAnsi="Times New Roman" w:cs="Times New Roman"/>
          <w:color w:val="auto"/>
          <w:w w:val="99"/>
          <w:kern w:val="2"/>
          <w:sz w:val="24"/>
          <w:szCs w:val="24"/>
          <w:highlight w:val="none"/>
          <w:lang w:val="en-US" w:eastAsia="zh-CN" w:bidi="ar-SA"/>
        </w:rPr>
        <w:t>/a</w:t>
      </w:r>
      <w:r>
        <w:rPr>
          <w:rFonts w:hint="eastAsia" w:ascii="Times New Roman" w:hAnsi="Times New Roman" w:eastAsia="宋体" w:cs="Times New Roman"/>
          <w:color w:val="auto"/>
          <w:w w:val="99"/>
          <w:kern w:val="2"/>
          <w:sz w:val="24"/>
          <w:szCs w:val="24"/>
          <w:highlight w:val="none"/>
          <w:lang w:val="en-US" w:eastAsia="zh-CN" w:bidi="ar-SA"/>
        </w:rPr>
        <w:t>。更换后产生的废三甘醇属于一般固废，委托相关单位处理。</w:t>
      </w:r>
    </w:p>
    <w:p w14:paraId="5550D6D6">
      <w:pPr>
        <w:widowControl w:val="0"/>
        <w:spacing w:line="440" w:lineRule="exact"/>
        <w:ind w:firstLine="474" w:firstLineChars="200"/>
        <w:jc w:val="both"/>
        <w:rPr>
          <w:rFonts w:ascii="Times New Roman" w:hAnsi="Times New Roman" w:cs="Times New Roman"/>
          <w:color w:val="auto"/>
          <w:w w:val="99"/>
          <w:kern w:val="2"/>
          <w:highlight w:val="none"/>
        </w:rPr>
      </w:pPr>
      <w:bookmarkStart w:id="415" w:name="_Toc85640771"/>
      <w:bookmarkStart w:id="416" w:name="_Toc143099567"/>
      <w:bookmarkStart w:id="417" w:name="_Toc127192329"/>
      <w:bookmarkStart w:id="418" w:name="_Toc86141924"/>
      <w:bookmarkStart w:id="419" w:name="_Toc131167280"/>
      <w:bookmarkStart w:id="420" w:name="_Toc83209491"/>
      <w:bookmarkStart w:id="421" w:name="_Toc84929247"/>
      <w:bookmarkStart w:id="422" w:name="_Toc126863380"/>
      <w:r>
        <w:rPr>
          <w:rFonts w:ascii="Times New Roman" w:hAnsi="Times New Roman" w:cs="Times New Roman"/>
          <w:color w:val="auto"/>
          <w:w w:val="99"/>
          <w:kern w:val="2"/>
          <w:highlight w:val="none"/>
        </w:rPr>
        <w:t>（5）地下水及土壤防护措施及效果</w:t>
      </w:r>
    </w:p>
    <w:p w14:paraId="1D1AE1C7">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现有工程</w:t>
      </w:r>
      <w:r>
        <w:rPr>
          <w:rFonts w:hint="eastAsia" w:ascii="Times New Roman" w:hAnsi="Times New Roman" w:cs="Times New Roman"/>
          <w:color w:val="auto"/>
          <w:w w:val="99"/>
          <w:kern w:val="2"/>
          <w:highlight w:val="none"/>
        </w:rPr>
        <w:t>钻井废水、钻井废液排入泥浆固化池，施工结束后进行固化处理并覆土恢复植被；生活污水排入防渗生活污水池，施工结束后进行卫生填埋。废压裂液由罐车收集后送第八</w:t>
      </w:r>
      <w:r>
        <w:rPr>
          <w:rFonts w:hint="eastAsia" w:ascii="Times New Roman" w:hAnsi="Times New Roman" w:cs="Times New Roman"/>
          <w:color w:val="auto"/>
          <w:w w:val="99"/>
          <w:kern w:val="2"/>
          <w:highlight w:val="none"/>
          <w:lang w:eastAsia="zh-CN"/>
        </w:rPr>
        <w:t>采油</w:t>
      </w:r>
      <w:r>
        <w:rPr>
          <w:rFonts w:hint="eastAsia" w:ascii="Times New Roman" w:hAnsi="Times New Roman" w:cs="Times New Roman"/>
          <w:color w:val="auto"/>
          <w:w w:val="99"/>
          <w:kern w:val="2"/>
          <w:highlight w:val="none"/>
        </w:rPr>
        <w:t>厂压裂废液无害化处理装置处理，分离污水通过管道送至升一联气田污水预处理站处理达标后回注</w:t>
      </w:r>
      <w:r>
        <w:rPr>
          <w:rFonts w:hint="eastAsia" w:ascii="Times New Roman" w:hAnsi="Times New Roman" w:cs="Times New Roman"/>
          <w:color w:val="auto"/>
          <w:w w:val="99"/>
          <w:kern w:val="2"/>
          <w:highlight w:val="none"/>
          <w:lang w:eastAsia="zh-CN"/>
        </w:rPr>
        <w:t>，</w:t>
      </w:r>
      <w:r>
        <w:rPr>
          <w:rFonts w:ascii="Times New Roman" w:hAnsi="Times New Roman" w:cs="Times New Roman"/>
          <w:bCs/>
          <w:color w:val="auto"/>
          <w:w w:val="99"/>
          <w:kern w:val="2"/>
          <w:highlight w:val="none"/>
        </w:rPr>
        <w:t>采取</w:t>
      </w:r>
      <w:r>
        <w:rPr>
          <w:rFonts w:hint="eastAsia" w:ascii="Times New Roman" w:hAnsi="Times New Roman" w:cs="Times New Roman"/>
          <w:bCs/>
          <w:color w:val="auto"/>
          <w:w w:val="99"/>
          <w:kern w:val="2"/>
          <w:highlight w:val="none"/>
          <w:lang w:val="en-US" w:eastAsia="zh-CN"/>
        </w:rPr>
        <w:t>以上</w:t>
      </w:r>
      <w:r>
        <w:rPr>
          <w:rFonts w:ascii="Times New Roman" w:hAnsi="Times New Roman" w:cs="Times New Roman"/>
          <w:bCs/>
          <w:color w:val="auto"/>
          <w:w w:val="99"/>
          <w:kern w:val="2"/>
          <w:highlight w:val="none"/>
        </w:rPr>
        <w:t>地下水防护措施后现有工程对区域地下水无明显影响。</w:t>
      </w:r>
    </w:p>
    <w:p w14:paraId="7B91CF85">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（6）生态环境保护措施及效果</w:t>
      </w:r>
    </w:p>
    <w:p w14:paraId="23925FDC">
      <w:pPr>
        <w:widowControl w:val="0"/>
        <w:spacing w:line="440" w:lineRule="exact"/>
        <w:ind w:firstLine="474" w:firstLineChars="200"/>
        <w:jc w:val="both"/>
        <w:rPr>
          <w:rFonts w:ascii="Times New Roman" w:hAnsi="Times New Roman" w:cs="Times New Roman"/>
          <w:bCs/>
          <w:color w:val="auto"/>
          <w:w w:val="99"/>
          <w:kern w:val="2"/>
          <w:highlight w:val="none"/>
        </w:rPr>
      </w:pPr>
      <w:r>
        <w:rPr>
          <w:rFonts w:ascii="Times New Roman" w:hAnsi="Times New Roman" w:cs="Times New Roman"/>
          <w:bCs/>
          <w:color w:val="auto"/>
          <w:w w:val="99"/>
          <w:kern w:val="2"/>
          <w:highlight w:val="none"/>
        </w:rPr>
        <w:t>为保护区域生态环境，</w:t>
      </w:r>
      <w:r>
        <w:rPr>
          <w:rFonts w:hint="eastAsia" w:ascii="Times New Roman" w:hAnsi="Times New Roman" w:cs="Times New Roman"/>
          <w:bCs/>
          <w:color w:val="auto"/>
          <w:w w:val="99"/>
          <w:kern w:val="2"/>
          <w:highlight w:val="none"/>
          <w:lang w:eastAsia="zh-CN"/>
        </w:rPr>
        <w:t>大庆油田有限责任公司采气分公司</w:t>
      </w:r>
      <w:r>
        <w:rPr>
          <w:rFonts w:ascii="Times New Roman" w:hAnsi="Times New Roman" w:cs="Times New Roman"/>
          <w:bCs/>
          <w:color w:val="auto"/>
          <w:w w:val="99"/>
          <w:kern w:val="2"/>
          <w:highlight w:val="none"/>
        </w:rPr>
        <w:t>在钻井工程时采取了生态保护措施保护区域内耕地、草地生态系统。例如严格控制了井场的临时及永久占地，井场钻井工程施工结束后及时对临时占地进行了生态恢复，最大力度降低了油田开发对区域耕地及草地生态系统的影响。并严格控制了该区域油田作业范围，严格运行期管理，减小了对区域生态系统的扰动，保证了不因油田开发活动加重生态系统的退化、沙化、盐碱化等。针对区块内水土流失重点治理区，</w:t>
      </w:r>
      <w:r>
        <w:rPr>
          <w:rFonts w:hint="eastAsia" w:ascii="Times New Roman" w:hAnsi="Times New Roman" w:cs="Times New Roman"/>
          <w:bCs/>
          <w:color w:val="auto"/>
          <w:w w:val="99"/>
          <w:kern w:val="2"/>
          <w:highlight w:val="none"/>
          <w:lang w:eastAsia="zh-CN"/>
        </w:rPr>
        <w:t>大庆油田有限责任公司采气分公司</w:t>
      </w:r>
      <w:r>
        <w:rPr>
          <w:rFonts w:ascii="Times New Roman" w:hAnsi="Times New Roman" w:cs="Times New Roman"/>
          <w:bCs/>
          <w:color w:val="auto"/>
          <w:w w:val="99"/>
          <w:kern w:val="2"/>
          <w:highlight w:val="none"/>
        </w:rPr>
        <w:t>采取了井场平整、压实，开挖土方已合理利用填埋，施工期间未对占地外的地表植被造成碾压和破坏；在油田道路地势较低，容易汇水形成径流冲刷的路段，设置了钢筋砼板涵，保证了道路两侧洪沟的畅通；生产期已严格作好道路泄洪桥涵洞的疏通、维修工作，保证了各类设施的泄洪能力；管道工程施工期间，划定了施工活动范围，车辆均采用“一”字型作业法，严格避免开辟新路，管沟挖、填方作业做到了互补平衡，未造成弃土方堆积和过多借土，未增加新的水土流失，管沟回填阶段均按层回填，回填后予以平整、压实，施工期间对开发建设施工材料划定了适宜的堆料场，未破坏占地外的植被，未增加裸地面积而新增的水土流失。</w:t>
      </w:r>
    </w:p>
    <w:p w14:paraId="5A8507CF">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根据现场勘查，现有区块内井场永久占地已平整，井场及管线施工时临时占用的耕地及草地均已进行了恢复，且生态恢复良好。</w:t>
      </w:r>
    </w:p>
    <w:tbl>
      <w:tblPr>
        <w:tblStyle w:val="8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41B4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8" w:type="pct"/>
            <w:vAlign w:val="center"/>
          </w:tcPr>
          <w:p w14:paraId="489B6B70">
            <w:pPr>
              <w:pStyle w:val="2"/>
              <w:widowControl w:val="0"/>
              <w:jc w:val="center"/>
              <w:rPr>
                <w:rFonts w:hint="eastAsia" w:ascii="Times New Roman" w:hAnsi="Times New Roman" w:eastAsiaTheme="minorEastAsia"/>
                <w:bCs/>
                <w:color w:val="auto"/>
                <w:w w:val="99"/>
                <w:sz w:val="21"/>
                <w:szCs w:val="21"/>
                <w:highlight w:val="none"/>
                <w:lang w:eastAsia="zh-CN"/>
              </w:rPr>
            </w:pPr>
            <w:r>
              <w:rPr>
                <w:rFonts w:hint="eastAsia" w:ascii="Times New Roman" w:hAnsi="Times New Roman" w:eastAsiaTheme="minorEastAsia"/>
                <w:bCs/>
                <w:color w:val="auto"/>
                <w:w w:val="99"/>
                <w:sz w:val="21"/>
                <w:szCs w:val="21"/>
                <w:highlight w:val="none"/>
                <w:lang w:eastAsia="zh-CN"/>
              </w:rPr>
              <w:drawing>
                <wp:inline distT="0" distB="0" distL="114300" distR="114300">
                  <wp:extent cx="2818765" cy="3757930"/>
                  <wp:effectExtent l="0" t="0" r="635" b="13970"/>
                  <wp:docPr id="117" name="图片 117" descr="微信图片_2025032614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微信图片_20250326140935"/>
                          <pic:cNvPicPr>
                            <a:picLocks noChangeAspect="1"/>
                          </pic:cNvPicPr>
                        </pic:nvPicPr>
                        <pic:blipFill>
                          <a:blip r:embed="rId27"/>
                          <a:stretch>
                            <a:fillRect/>
                          </a:stretch>
                        </pic:blipFill>
                        <pic:spPr>
                          <a:xfrm>
                            <a:off x="0" y="0"/>
                            <a:ext cx="2818765" cy="3757930"/>
                          </a:xfrm>
                          <a:prstGeom prst="rect">
                            <a:avLst/>
                          </a:prstGeom>
                        </pic:spPr>
                      </pic:pic>
                    </a:graphicData>
                  </a:graphic>
                </wp:inline>
              </w:drawing>
            </w:r>
          </w:p>
        </w:tc>
        <w:tc>
          <w:tcPr>
            <w:tcW w:w="2491" w:type="pct"/>
            <w:vAlign w:val="center"/>
          </w:tcPr>
          <w:p w14:paraId="26F117A7">
            <w:pPr>
              <w:pStyle w:val="2"/>
              <w:widowControl w:val="0"/>
              <w:jc w:val="center"/>
              <w:rPr>
                <w:rFonts w:hint="eastAsia" w:ascii="Times New Roman" w:hAnsi="Times New Roman" w:eastAsiaTheme="minorEastAsia"/>
                <w:bCs/>
                <w:color w:val="auto"/>
                <w:w w:val="99"/>
                <w:sz w:val="21"/>
                <w:szCs w:val="21"/>
                <w:highlight w:val="none"/>
                <w:lang w:eastAsia="zh-CN"/>
              </w:rPr>
            </w:pPr>
            <w:r>
              <w:rPr>
                <w:rFonts w:hint="eastAsia" w:ascii="Times New Roman" w:hAnsi="Times New Roman" w:eastAsiaTheme="minorEastAsia"/>
                <w:bCs/>
                <w:color w:val="auto"/>
                <w:w w:val="99"/>
                <w:sz w:val="21"/>
                <w:szCs w:val="21"/>
                <w:highlight w:val="none"/>
                <w:lang w:eastAsia="zh-CN"/>
              </w:rPr>
              <w:drawing>
                <wp:inline distT="0" distB="0" distL="114300" distR="114300">
                  <wp:extent cx="2818130" cy="3758565"/>
                  <wp:effectExtent l="0" t="0" r="1270" b="13335"/>
                  <wp:docPr id="118" name="图片 118" descr="微信图片_2025032614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微信图片_20250326140933"/>
                          <pic:cNvPicPr>
                            <a:picLocks noChangeAspect="1"/>
                          </pic:cNvPicPr>
                        </pic:nvPicPr>
                        <pic:blipFill>
                          <a:blip r:embed="rId28"/>
                          <a:stretch>
                            <a:fillRect/>
                          </a:stretch>
                        </pic:blipFill>
                        <pic:spPr>
                          <a:xfrm>
                            <a:off x="0" y="0"/>
                            <a:ext cx="2818130" cy="3758565"/>
                          </a:xfrm>
                          <a:prstGeom prst="rect">
                            <a:avLst/>
                          </a:prstGeom>
                        </pic:spPr>
                      </pic:pic>
                    </a:graphicData>
                  </a:graphic>
                </wp:inline>
              </w:drawing>
            </w:r>
          </w:p>
        </w:tc>
      </w:tr>
    </w:tbl>
    <w:p w14:paraId="08B94E9D">
      <w:pPr>
        <w:pStyle w:val="101"/>
        <w:rPr>
          <w:rFonts w:eastAsiaTheme="minorEastAsia"/>
          <w:b/>
          <w:bCs/>
          <w:color w:val="auto"/>
          <w:w w:val="99"/>
          <w:kern w:val="2"/>
          <w:szCs w:val="22"/>
          <w:highlight w:val="none"/>
        </w:rPr>
      </w:pPr>
      <w:r>
        <w:rPr>
          <w:rFonts w:eastAsiaTheme="minorEastAsia"/>
          <w:b/>
          <w:bCs/>
          <w:color w:val="auto"/>
          <w:w w:val="99"/>
          <w:kern w:val="2"/>
          <w:szCs w:val="22"/>
          <w:highlight w:val="none"/>
        </w:rPr>
        <w:t>图3.1-</w:t>
      </w:r>
      <w:r>
        <w:rPr>
          <w:rFonts w:hint="eastAsia" w:eastAsiaTheme="minorEastAsia"/>
          <w:b/>
          <w:bCs/>
          <w:color w:val="auto"/>
          <w:w w:val="99"/>
          <w:kern w:val="2"/>
          <w:szCs w:val="22"/>
          <w:highlight w:val="none"/>
          <w:lang w:val="en-US" w:eastAsia="zh-CN"/>
        </w:rPr>
        <w:t>2</w:t>
      </w:r>
      <w:r>
        <w:rPr>
          <w:rFonts w:eastAsiaTheme="minorEastAsia"/>
          <w:b/>
          <w:bCs/>
          <w:color w:val="auto"/>
          <w:w w:val="99"/>
          <w:kern w:val="2"/>
          <w:szCs w:val="22"/>
          <w:highlight w:val="none"/>
        </w:rPr>
        <w:t xml:space="preserve">   现有井场周边生态恢复情况</w:t>
      </w:r>
    </w:p>
    <w:p w14:paraId="4897DEE5">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color w:val="auto"/>
          <w:w w:val="99"/>
          <w:kern w:val="2"/>
          <w:highlight w:val="none"/>
        </w:rPr>
        <w:t>现有工程污染物产排污情况汇总表见表3.1-</w:t>
      </w:r>
      <w:r>
        <w:rPr>
          <w:rFonts w:hint="eastAsia" w:ascii="Times New Roman" w:hAnsi="Times New Roman" w:cs="Times New Roman"/>
          <w:color w:val="auto"/>
          <w:w w:val="99"/>
          <w:kern w:val="2"/>
          <w:highlight w:val="none"/>
          <w:lang w:val="en-US" w:eastAsia="zh-CN"/>
        </w:rPr>
        <w:t>3</w:t>
      </w:r>
      <w:r>
        <w:rPr>
          <w:rFonts w:ascii="Times New Roman" w:hAnsi="Times New Roman" w:cs="Times New Roman"/>
          <w:color w:val="auto"/>
          <w:w w:val="99"/>
          <w:kern w:val="2"/>
          <w:highlight w:val="none"/>
        </w:rPr>
        <w:t>。</w:t>
      </w:r>
    </w:p>
    <w:p w14:paraId="74D40F79">
      <w:pPr>
        <w:pStyle w:val="153"/>
        <w:widowControl w:val="0"/>
        <w:spacing w:line="440" w:lineRule="exact"/>
        <w:ind w:firstLine="476" w:firstLineChars="200"/>
        <w:jc w:val="both"/>
        <w:rPr>
          <w:rFonts w:ascii="Times New Roman" w:hAnsi="Times New Roman"/>
          <w:b/>
          <w:color w:val="auto"/>
          <w:w w:val="99"/>
          <w:kern w:val="2"/>
          <w:highlight w:val="none"/>
        </w:rPr>
      </w:pPr>
      <w:r>
        <w:rPr>
          <w:rFonts w:ascii="Times New Roman" w:hAnsi="Times New Roman"/>
          <w:b/>
          <w:color w:val="auto"/>
          <w:w w:val="99"/>
          <w:kern w:val="2"/>
          <w:highlight w:val="none"/>
        </w:rPr>
        <w:t>表3.1-</w:t>
      </w:r>
      <w:r>
        <w:rPr>
          <w:rFonts w:hint="eastAsia" w:ascii="Times New Roman" w:hAnsi="Times New Roman"/>
          <w:b/>
          <w:color w:val="auto"/>
          <w:w w:val="99"/>
          <w:kern w:val="2"/>
          <w:highlight w:val="none"/>
          <w:lang w:val="en-US" w:eastAsia="zh-CN"/>
        </w:rPr>
        <w:t>3</w:t>
      </w:r>
      <w:r>
        <w:rPr>
          <w:rFonts w:ascii="Times New Roman" w:hAnsi="Times New Roman"/>
          <w:b/>
          <w:color w:val="auto"/>
          <w:w w:val="99"/>
          <w:kern w:val="2"/>
          <w:highlight w:val="none"/>
        </w:rPr>
        <w:t xml:space="preserve">    现有工程污染物产排污情况汇总表</w:t>
      </w:r>
    </w:p>
    <w:tbl>
      <w:tblPr>
        <w:tblStyle w:val="1662"/>
        <w:tblW w:w="50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2"/>
        <w:gridCol w:w="1211"/>
        <w:gridCol w:w="1723"/>
        <w:gridCol w:w="1794"/>
        <w:gridCol w:w="3691"/>
      </w:tblGrid>
      <w:tr w14:paraId="60D8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0" w:type="pct"/>
            <w:vAlign w:val="center"/>
          </w:tcPr>
          <w:p w14:paraId="4ED605FB">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类别</w:t>
            </w:r>
          </w:p>
        </w:tc>
        <w:tc>
          <w:tcPr>
            <w:tcW w:w="1606" w:type="pct"/>
            <w:gridSpan w:val="2"/>
            <w:vAlign w:val="center"/>
          </w:tcPr>
          <w:p w14:paraId="7BDDD526">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污染源</w:t>
            </w:r>
          </w:p>
        </w:tc>
        <w:tc>
          <w:tcPr>
            <w:tcW w:w="982" w:type="pct"/>
            <w:vAlign w:val="center"/>
          </w:tcPr>
          <w:p w14:paraId="21336C61">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排放量</w:t>
            </w:r>
          </w:p>
        </w:tc>
        <w:tc>
          <w:tcPr>
            <w:tcW w:w="2020" w:type="pct"/>
            <w:vAlign w:val="center"/>
          </w:tcPr>
          <w:p w14:paraId="4F5D5B76">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pacing w:val="0"/>
                <w:w w:val="99"/>
                <w:position w:val="0"/>
                <w:sz w:val="21"/>
                <w:szCs w:val="21"/>
                <w:highlight w:val="none"/>
              </w:rPr>
            </w:pPr>
            <w:r>
              <w:rPr>
                <w:color w:val="auto"/>
                <w:spacing w:val="0"/>
                <w:w w:val="99"/>
                <w:position w:val="0"/>
                <w:sz w:val="21"/>
                <w:szCs w:val="21"/>
                <w:highlight w:val="none"/>
              </w:rPr>
              <w:t>处理措施</w:t>
            </w:r>
          </w:p>
        </w:tc>
      </w:tr>
      <w:tr w14:paraId="544B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0" w:type="pct"/>
            <w:vMerge w:val="restart"/>
            <w:vAlign w:val="center"/>
          </w:tcPr>
          <w:p w14:paraId="2B46B53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p w14:paraId="492AACC2">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废气</w:t>
            </w:r>
          </w:p>
        </w:tc>
        <w:tc>
          <w:tcPr>
            <w:tcW w:w="1606" w:type="pct"/>
            <w:gridSpan w:val="2"/>
            <w:vAlign w:val="center"/>
          </w:tcPr>
          <w:p w14:paraId="7C13EE7E">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无组织非甲烷总烃</w:t>
            </w:r>
          </w:p>
        </w:tc>
        <w:tc>
          <w:tcPr>
            <w:tcW w:w="982" w:type="pct"/>
            <w:vAlign w:val="center"/>
          </w:tcPr>
          <w:p w14:paraId="181970F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hint="eastAsia" w:ascii="Times New Roman" w:hAnsi="Times New Roman" w:eastAsia="宋体" w:cs="Times New Roman"/>
                <w:color w:val="auto"/>
                <w:spacing w:val="0"/>
                <w:w w:val="99"/>
                <w:position w:val="0"/>
                <w:sz w:val="21"/>
                <w:szCs w:val="21"/>
                <w:highlight w:val="none"/>
                <w:lang w:val="en-US" w:eastAsia="zh-CN"/>
              </w:rPr>
              <w:t>31.59</w:t>
            </w:r>
            <w:r>
              <w:rPr>
                <w:rFonts w:ascii="Times New Roman" w:hAnsi="Times New Roman" w:eastAsia="Times New Roman" w:cs="Times New Roman"/>
                <w:color w:val="auto"/>
                <w:spacing w:val="0"/>
                <w:w w:val="99"/>
                <w:position w:val="0"/>
                <w:sz w:val="21"/>
                <w:szCs w:val="21"/>
                <w:highlight w:val="none"/>
              </w:rPr>
              <w:t>t/a</w:t>
            </w:r>
          </w:p>
        </w:tc>
        <w:tc>
          <w:tcPr>
            <w:tcW w:w="2020" w:type="pct"/>
            <w:vAlign w:val="center"/>
          </w:tcPr>
          <w:p w14:paraId="6D261971">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pacing w:val="0"/>
                <w:w w:val="99"/>
                <w:position w:val="0"/>
                <w:sz w:val="21"/>
                <w:szCs w:val="21"/>
                <w:highlight w:val="none"/>
              </w:rPr>
            </w:pPr>
            <w:r>
              <w:rPr>
                <w:color w:val="auto"/>
                <w:spacing w:val="0"/>
                <w:w w:val="99"/>
                <w:position w:val="0"/>
                <w:sz w:val="21"/>
                <w:szCs w:val="21"/>
                <w:highlight w:val="none"/>
              </w:rPr>
              <w:t>井口密封设施、采用密闭集输管道输送天然气</w:t>
            </w:r>
          </w:p>
        </w:tc>
      </w:tr>
      <w:tr w14:paraId="4F13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0" w:type="pct"/>
            <w:vMerge w:val="continue"/>
            <w:vAlign w:val="center"/>
          </w:tcPr>
          <w:p w14:paraId="02FC004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tc>
        <w:tc>
          <w:tcPr>
            <w:tcW w:w="663" w:type="pct"/>
            <w:vMerge w:val="restart"/>
            <w:vAlign w:val="center"/>
          </w:tcPr>
          <w:p w14:paraId="20CA35DF">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集气站加</w:t>
            </w:r>
          </w:p>
          <w:p w14:paraId="17D7D185">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热炉排气</w:t>
            </w:r>
          </w:p>
          <w:p w14:paraId="2520F2CF">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筒</w:t>
            </w:r>
          </w:p>
        </w:tc>
        <w:tc>
          <w:tcPr>
            <w:tcW w:w="943" w:type="pct"/>
            <w:vAlign w:val="center"/>
          </w:tcPr>
          <w:p w14:paraId="7134D6F8">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废气量</w:t>
            </w:r>
          </w:p>
        </w:tc>
        <w:tc>
          <w:tcPr>
            <w:tcW w:w="982" w:type="pct"/>
            <w:vAlign w:val="center"/>
          </w:tcPr>
          <w:p w14:paraId="21704969">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hint="eastAsia" w:ascii="Times New Roman" w:hAnsi="Times New Roman" w:eastAsia="宋体" w:cs="Times New Roman"/>
                <w:color w:val="auto"/>
                <w:spacing w:val="0"/>
                <w:w w:val="99"/>
                <w:position w:val="0"/>
                <w:sz w:val="21"/>
                <w:szCs w:val="21"/>
                <w:highlight w:val="none"/>
                <w:lang w:val="en-US" w:eastAsia="zh-CN"/>
              </w:rPr>
              <w:t>280.4</w:t>
            </w:r>
            <w:r>
              <w:rPr>
                <w:color w:val="auto"/>
                <w:spacing w:val="0"/>
                <w:w w:val="99"/>
                <w:position w:val="0"/>
                <w:sz w:val="21"/>
                <w:szCs w:val="21"/>
                <w:highlight w:val="none"/>
              </w:rPr>
              <w:t>万</w:t>
            </w:r>
            <w:r>
              <w:rPr>
                <w:rFonts w:ascii="Times New Roman" w:hAnsi="Times New Roman" w:eastAsia="Times New Roman" w:cs="Times New Roman"/>
                <w:color w:val="auto"/>
                <w:spacing w:val="0"/>
                <w:w w:val="99"/>
                <w:position w:val="0"/>
                <w:sz w:val="21"/>
                <w:szCs w:val="21"/>
                <w:highlight w:val="none"/>
              </w:rPr>
              <w:t>m</w:t>
            </w:r>
            <w:r>
              <w:rPr>
                <w:rFonts w:ascii="Times New Roman" w:hAnsi="Times New Roman" w:eastAsia="Times New Roman" w:cs="Times New Roman"/>
                <w:color w:val="auto"/>
                <w:spacing w:val="0"/>
                <w:w w:val="99"/>
                <w:position w:val="0"/>
                <w:sz w:val="21"/>
                <w:szCs w:val="21"/>
                <w:highlight w:val="none"/>
                <w:vertAlign w:val="superscript"/>
              </w:rPr>
              <w:t>3</w:t>
            </w:r>
            <w:r>
              <w:rPr>
                <w:rFonts w:ascii="Times New Roman" w:hAnsi="Times New Roman" w:eastAsia="Times New Roman" w:cs="Times New Roman"/>
                <w:color w:val="auto"/>
                <w:spacing w:val="0"/>
                <w:w w:val="99"/>
                <w:position w:val="0"/>
                <w:sz w:val="21"/>
                <w:szCs w:val="21"/>
                <w:highlight w:val="none"/>
              </w:rPr>
              <w:t>/a</w:t>
            </w:r>
          </w:p>
        </w:tc>
        <w:tc>
          <w:tcPr>
            <w:tcW w:w="2020" w:type="pct"/>
            <w:vMerge w:val="restart"/>
            <w:vAlign w:val="center"/>
          </w:tcPr>
          <w:p w14:paraId="7DBCA2EB">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pacing w:val="0"/>
                <w:w w:val="99"/>
                <w:position w:val="0"/>
                <w:sz w:val="21"/>
                <w:szCs w:val="21"/>
                <w:highlight w:val="none"/>
              </w:rPr>
            </w:pPr>
            <w:r>
              <w:rPr>
                <w:color w:val="auto"/>
                <w:spacing w:val="0"/>
                <w:w w:val="99"/>
                <w:position w:val="0"/>
                <w:sz w:val="21"/>
                <w:szCs w:val="21"/>
                <w:highlight w:val="none"/>
              </w:rPr>
              <w:t>天然气为燃料，通过</w:t>
            </w:r>
            <w:r>
              <w:rPr>
                <w:rFonts w:ascii="Times New Roman" w:hAnsi="Times New Roman" w:eastAsia="Times New Roman" w:cs="Times New Roman"/>
                <w:color w:val="auto"/>
                <w:spacing w:val="0"/>
                <w:w w:val="99"/>
                <w:position w:val="0"/>
                <w:sz w:val="21"/>
                <w:szCs w:val="21"/>
                <w:highlight w:val="none"/>
              </w:rPr>
              <w:t>8m</w:t>
            </w:r>
            <w:r>
              <w:rPr>
                <w:color w:val="auto"/>
                <w:spacing w:val="0"/>
                <w:w w:val="99"/>
                <w:position w:val="0"/>
                <w:sz w:val="21"/>
                <w:szCs w:val="21"/>
                <w:highlight w:val="none"/>
              </w:rPr>
              <w:t>高排气筒排放</w:t>
            </w:r>
          </w:p>
        </w:tc>
      </w:tr>
      <w:tr w14:paraId="28DC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0" w:type="pct"/>
            <w:vMerge w:val="continue"/>
            <w:vAlign w:val="center"/>
          </w:tcPr>
          <w:p w14:paraId="28359B0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tc>
        <w:tc>
          <w:tcPr>
            <w:tcW w:w="663" w:type="pct"/>
            <w:vMerge w:val="continue"/>
            <w:vAlign w:val="center"/>
          </w:tcPr>
          <w:p w14:paraId="1A4B182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tc>
        <w:tc>
          <w:tcPr>
            <w:tcW w:w="943" w:type="pct"/>
            <w:vAlign w:val="center"/>
          </w:tcPr>
          <w:p w14:paraId="2DB5FE0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ascii="Times New Roman" w:hAnsi="Times New Roman" w:eastAsia="Times New Roman" w:cs="Times New Roman"/>
                <w:color w:val="auto"/>
                <w:spacing w:val="0"/>
                <w:w w:val="99"/>
                <w:position w:val="0"/>
                <w:sz w:val="21"/>
                <w:szCs w:val="21"/>
                <w:highlight w:val="none"/>
              </w:rPr>
              <w:t>SO</w:t>
            </w:r>
            <w:r>
              <w:rPr>
                <w:rFonts w:ascii="Times New Roman" w:hAnsi="Times New Roman" w:eastAsia="Times New Roman" w:cs="Times New Roman"/>
                <w:color w:val="auto"/>
                <w:spacing w:val="0"/>
                <w:w w:val="99"/>
                <w:position w:val="0"/>
                <w:sz w:val="21"/>
                <w:szCs w:val="21"/>
                <w:highlight w:val="none"/>
                <w:vertAlign w:val="subscript"/>
              </w:rPr>
              <w:t>2</w:t>
            </w:r>
          </w:p>
        </w:tc>
        <w:tc>
          <w:tcPr>
            <w:tcW w:w="982" w:type="pct"/>
            <w:vAlign w:val="center"/>
          </w:tcPr>
          <w:p w14:paraId="57345E2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Times New Roman" w:hAnsi="Times New Roman" w:eastAsia="宋体" w:cs="Times New Roman"/>
                <w:color w:val="auto"/>
                <w:spacing w:val="0"/>
                <w:w w:val="99"/>
                <w:position w:val="0"/>
                <w:sz w:val="21"/>
                <w:szCs w:val="21"/>
                <w:highlight w:val="none"/>
                <w:lang w:eastAsia="zh-CN"/>
              </w:rPr>
            </w:pPr>
            <w:r>
              <w:rPr>
                <w:rFonts w:hint="eastAsia" w:ascii="Times New Roman" w:hAnsi="Times New Roman" w:eastAsia="宋体" w:cs="Times New Roman"/>
                <w:color w:val="auto"/>
                <w:spacing w:val="0"/>
                <w:w w:val="99"/>
                <w:position w:val="0"/>
                <w:sz w:val="21"/>
                <w:szCs w:val="21"/>
                <w:highlight w:val="none"/>
                <w:lang w:val="en-US" w:eastAsia="zh-CN"/>
              </w:rPr>
              <w:t>0</w:t>
            </w:r>
          </w:p>
        </w:tc>
        <w:tc>
          <w:tcPr>
            <w:tcW w:w="2020" w:type="pct"/>
            <w:vMerge w:val="continue"/>
            <w:vAlign w:val="center"/>
          </w:tcPr>
          <w:p w14:paraId="0CC4982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ascii="Arial"/>
                <w:color w:val="auto"/>
                <w:spacing w:val="0"/>
                <w:w w:val="99"/>
                <w:position w:val="0"/>
                <w:sz w:val="21"/>
                <w:szCs w:val="21"/>
                <w:highlight w:val="none"/>
              </w:rPr>
            </w:pPr>
          </w:p>
        </w:tc>
      </w:tr>
      <w:tr w14:paraId="792E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0" w:type="pct"/>
            <w:vMerge w:val="continue"/>
            <w:vAlign w:val="center"/>
          </w:tcPr>
          <w:p w14:paraId="3362F57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tc>
        <w:tc>
          <w:tcPr>
            <w:tcW w:w="663" w:type="pct"/>
            <w:vMerge w:val="continue"/>
            <w:vAlign w:val="center"/>
          </w:tcPr>
          <w:p w14:paraId="4F4EF96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tc>
        <w:tc>
          <w:tcPr>
            <w:tcW w:w="943" w:type="pct"/>
            <w:vAlign w:val="center"/>
          </w:tcPr>
          <w:p w14:paraId="561BCF1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ascii="Times New Roman" w:hAnsi="Times New Roman" w:eastAsia="Times New Roman" w:cs="Times New Roman"/>
                <w:color w:val="auto"/>
                <w:spacing w:val="0"/>
                <w:w w:val="99"/>
                <w:position w:val="0"/>
                <w:sz w:val="21"/>
                <w:szCs w:val="21"/>
                <w:highlight w:val="none"/>
              </w:rPr>
              <w:t>NO</w:t>
            </w:r>
            <w:r>
              <w:rPr>
                <w:rFonts w:ascii="Times New Roman" w:hAnsi="Times New Roman" w:eastAsia="Times New Roman" w:cs="Times New Roman"/>
                <w:color w:val="auto"/>
                <w:spacing w:val="0"/>
                <w:w w:val="99"/>
                <w:position w:val="0"/>
                <w:sz w:val="21"/>
                <w:szCs w:val="21"/>
                <w:highlight w:val="none"/>
                <w:vertAlign w:val="subscript"/>
              </w:rPr>
              <w:t>X</w:t>
            </w:r>
          </w:p>
        </w:tc>
        <w:tc>
          <w:tcPr>
            <w:tcW w:w="982" w:type="pct"/>
            <w:vAlign w:val="center"/>
          </w:tcPr>
          <w:p w14:paraId="0B9893A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hint="eastAsia" w:ascii="Times New Roman" w:hAnsi="Times New Roman" w:eastAsia="宋体" w:cs="Times New Roman"/>
                <w:color w:val="auto"/>
                <w:spacing w:val="0"/>
                <w:w w:val="99"/>
                <w:position w:val="0"/>
                <w:sz w:val="21"/>
                <w:szCs w:val="21"/>
                <w:highlight w:val="none"/>
                <w:lang w:val="en-US" w:eastAsia="zh-CN"/>
              </w:rPr>
              <w:t>0.</w:t>
            </w:r>
            <w:r>
              <w:rPr>
                <w:rFonts w:hint="eastAsia" w:ascii="Times New Roman" w:hAnsi="Times New Roman" w:cs="Times New Roman"/>
                <w:color w:val="auto"/>
                <w:spacing w:val="0"/>
                <w:w w:val="99"/>
                <w:position w:val="0"/>
                <w:sz w:val="21"/>
                <w:szCs w:val="21"/>
                <w:highlight w:val="none"/>
                <w:lang w:val="en-US" w:eastAsia="zh-CN"/>
              </w:rPr>
              <w:t>163</w:t>
            </w:r>
            <w:r>
              <w:rPr>
                <w:rFonts w:ascii="Times New Roman" w:hAnsi="Times New Roman" w:eastAsia="Times New Roman" w:cs="Times New Roman"/>
                <w:color w:val="auto"/>
                <w:spacing w:val="0"/>
                <w:w w:val="99"/>
                <w:position w:val="0"/>
                <w:sz w:val="21"/>
                <w:szCs w:val="21"/>
                <w:highlight w:val="none"/>
              </w:rPr>
              <w:t>t/a</w:t>
            </w:r>
          </w:p>
        </w:tc>
        <w:tc>
          <w:tcPr>
            <w:tcW w:w="2020" w:type="pct"/>
            <w:vMerge w:val="continue"/>
            <w:vAlign w:val="center"/>
          </w:tcPr>
          <w:p w14:paraId="55F0068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ascii="Arial"/>
                <w:color w:val="auto"/>
                <w:spacing w:val="0"/>
                <w:w w:val="99"/>
                <w:position w:val="0"/>
                <w:sz w:val="21"/>
                <w:szCs w:val="21"/>
                <w:highlight w:val="none"/>
              </w:rPr>
            </w:pPr>
          </w:p>
        </w:tc>
      </w:tr>
      <w:tr w14:paraId="4D7B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0" w:type="pct"/>
            <w:vMerge w:val="continue"/>
            <w:vAlign w:val="center"/>
          </w:tcPr>
          <w:p w14:paraId="7669CD8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tc>
        <w:tc>
          <w:tcPr>
            <w:tcW w:w="663" w:type="pct"/>
            <w:vMerge w:val="continue"/>
            <w:vAlign w:val="center"/>
          </w:tcPr>
          <w:p w14:paraId="70047B3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tc>
        <w:tc>
          <w:tcPr>
            <w:tcW w:w="943" w:type="pct"/>
            <w:vAlign w:val="center"/>
          </w:tcPr>
          <w:p w14:paraId="363C371C">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颗粒物</w:t>
            </w:r>
          </w:p>
        </w:tc>
        <w:tc>
          <w:tcPr>
            <w:tcW w:w="982" w:type="pct"/>
            <w:vAlign w:val="center"/>
          </w:tcPr>
          <w:p w14:paraId="6A8D954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ascii="Times New Roman" w:hAnsi="Times New Roman" w:eastAsia="Times New Roman" w:cs="Times New Roman"/>
                <w:color w:val="auto"/>
                <w:spacing w:val="0"/>
                <w:w w:val="99"/>
                <w:position w:val="0"/>
                <w:sz w:val="21"/>
                <w:szCs w:val="21"/>
                <w:highlight w:val="none"/>
              </w:rPr>
              <w:t>0</w:t>
            </w:r>
            <w:r>
              <w:rPr>
                <w:rFonts w:hint="eastAsia" w:ascii="Times New Roman" w:hAnsi="Times New Roman" w:eastAsia="宋体" w:cs="Times New Roman"/>
                <w:color w:val="auto"/>
                <w:spacing w:val="0"/>
                <w:w w:val="99"/>
                <w:position w:val="0"/>
                <w:sz w:val="21"/>
                <w:szCs w:val="21"/>
                <w:highlight w:val="none"/>
                <w:lang w:val="en-US" w:eastAsia="zh-CN"/>
              </w:rPr>
              <w:t>.0</w:t>
            </w:r>
            <w:r>
              <w:rPr>
                <w:rFonts w:hint="eastAsia" w:ascii="Times New Roman" w:hAnsi="Times New Roman" w:cs="Times New Roman"/>
                <w:color w:val="auto"/>
                <w:spacing w:val="0"/>
                <w:w w:val="99"/>
                <w:position w:val="0"/>
                <w:sz w:val="21"/>
                <w:szCs w:val="21"/>
                <w:highlight w:val="none"/>
                <w:lang w:val="en-US" w:eastAsia="zh-CN"/>
              </w:rPr>
              <w:t>18</w:t>
            </w:r>
            <w:r>
              <w:rPr>
                <w:rFonts w:ascii="Times New Roman" w:hAnsi="Times New Roman" w:eastAsia="Times New Roman" w:cs="Times New Roman"/>
                <w:color w:val="auto"/>
                <w:spacing w:val="0"/>
                <w:w w:val="99"/>
                <w:position w:val="0"/>
                <w:sz w:val="21"/>
                <w:szCs w:val="21"/>
                <w:highlight w:val="none"/>
              </w:rPr>
              <w:t>t/a</w:t>
            </w:r>
          </w:p>
        </w:tc>
        <w:tc>
          <w:tcPr>
            <w:tcW w:w="2020" w:type="pct"/>
            <w:vMerge w:val="continue"/>
            <w:vAlign w:val="center"/>
          </w:tcPr>
          <w:p w14:paraId="1B1BF49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ascii="Arial"/>
                <w:color w:val="auto"/>
                <w:spacing w:val="0"/>
                <w:w w:val="99"/>
                <w:position w:val="0"/>
                <w:sz w:val="21"/>
                <w:szCs w:val="21"/>
                <w:highlight w:val="none"/>
              </w:rPr>
            </w:pPr>
          </w:p>
        </w:tc>
      </w:tr>
      <w:tr w14:paraId="30A2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0" w:type="pct"/>
            <w:vMerge w:val="restart"/>
            <w:vAlign w:val="center"/>
          </w:tcPr>
          <w:p w14:paraId="361DB9D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p w14:paraId="5C5322D3">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噪声</w:t>
            </w:r>
          </w:p>
        </w:tc>
        <w:tc>
          <w:tcPr>
            <w:tcW w:w="1606" w:type="pct"/>
            <w:gridSpan w:val="2"/>
            <w:vAlign w:val="center"/>
          </w:tcPr>
          <w:p w14:paraId="5224C157">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井场噪声</w:t>
            </w:r>
          </w:p>
        </w:tc>
        <w:tc>
          <w:tcPr>
            <w:tcW w:w="982" w:type="pct"/>
            <w:vAlign w:val="center"/>
          </w:tcPr>
          <w:p w14:paraId="7B653FC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ascii="Times New Roman" w:hAnsi="Times New Roman" w:eastAsia="Times New Roman" w:cs="Times New Roman"/>
                <w:color w:val="auto"/>
                <w:spacing w:val="0"/>
                <w:w w:val="99"/>
                <w:position w:val="0"/>
                <w:sz w:val="21"/>
                <w:szCs w:val="21"/>
                <w:highlight w:val="none"/>
              </w:rPr>
              <w:t>65~80</w:t>
            </w:r>
          </w:p>
        </w:tc>
        <w:tc>
          <w:tcPr>
            <w:tcW w:w="2020" w:type="pct"/>
            <w:vAlign w:val="center"/>
          </w:tcPr>
          <w:p w14:paraId="7F99E72D">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pacing w:val="0"/>
                <w:w w:val="99"/>
                <w:position w:val="0"/>
                <w:sz w:val="21"/>
                <w:szCs w:val="21"/>
                <w:highlight w:val="none"/>
              </w:rPr>
            </w:pPr>
            <w:r>
              <w:rPr>
                <w:color w:val="auto"/>
                <w:spacing w:val="0"/>
                <w:w w:val="99"/>
                <w:position w:val="0"/>
                <w:sz w:val="21"/>
                <w:szCs w:val="21"/>
                <w:highlight w:val="none"/>
              </w:rPr>
              <w:t>低噪声设备</w:t>
            </w:r>
          </w:p>
        </w:tc>
      </w:tr>
      <w:tr w14:paraId="6A23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0" w:type="pct"/>
            <w:vMerge w:val="continue"/>
            <w:vAlign w:val="center"/>
          </w:tcPr>
          <w:p w14:paraId="1FE438F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tc>
        <w:tc>
          <w:tcPr>
            <w:tcW w:w="1606" w:type="pct"/>
            <w:gridSpan w:val="2"/>
            <w:vAlign w:val="center"/>
          </w:tcPr>
          <w:p w14:paraId="3E31A583">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pacing w:val="0"/>
                <w:w w:val="99"/>
                <w:position w:val="0"/>
                <w:sz w:val="21"/>
                <w:szCs w:val="21"/>
                <w:highlight w:val="none"/>
              </w:rPr>
            </w:pPr>
            <w:r>
              <w:rPr>
                <w:color w:val="auto"/>
                <w:spacing w:val="0"/>
                <w:w w:val="99"/>
                <w:position w:val="0"/>
                <w:sz w:val="21"/>
                <w:szCs w:val="21"/>
                <w:highlight w:val="none"/>
              </w:rPr>
              <w:t>集气站内设备、机泵运行噪声</w:t>
            </w:r>
          </w:p>
        </w:tc>
        <w:tc>
          <w:tcPr>
            <w:tcW w:w="982" w:type="pct"/>
            <w:vAlign w:val="center"/>
          </w:tcPr>
          <w:p w14:paraId="6AD1157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ascii="Times New Roman" w:hAnsi="Times New Roman" w:eastAsia="Times New Roman" w:cs="Times New Roman"/>
                <w:color w:val="auto"/>
                <w:spacing w:val="0"/>
                <w:w w:val="99"/>
                <w:position w:val="0"/>
                <w:sz w:val="21"/>
                <w:szCs w:val="21"/>
                <w:highlight w:val="none"/>
              </w:rPr>
              <w:t>75~95</w:t>
            </w:r>
          </w:p>
        </w:tc>
        <w:tc>
          <w:tcPr>
            <w:tcW w:w="2020" w:type="pct"/>
            <w:vAlign w:val="center"/>
          </w:tcPr>
          <w:p w14:paraId="237DAC6E">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pacing w:val="0"/>
                <w:w w:val="99"/>
                <w:position w:val="0"/>
                <w:sz w:val="21"/>
                <w:szCs w:val="21"/>
                <w:highlight w:val="none"/>
              </w:rPr>
            </w:pPr>
            <w:r>
              <w:rPr>
                <w:color w:val="auto"/>
                <w:spacing w:val="0"/>
                <w:w w:val="99"/>
                <w:position w:val="0"/>
                <w:sz w:val="21"/>
                <w:szCs w:val="21"/>
                <w:highlight w:val="none"/>
              </w:rPr>
              <w:t>低噪声设备、机泵等设备安装减震基础等</w:t>
            </w:r>
          </w:p>
        </w:tc>
      </w:tr>
      <w:tr w14:paraId="4796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390" w:type="pct"/>
            <w:vMerge w:val="continue"/>
            <w:vAlign w:val="center"/>
          </w:tcPr>
          <w:p w14:paraId="023C7AF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tc>
        <w:tc>
          <w:tcPr>
            <w:tcW w:w="1606" w:type="pct"/>
            <w:gridSpan w:val="2"/>
            <w:vAlign w:val="center"/>
          </w:tcPr>
          <w:p w14:paraId="3F5BF4CD">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井场放空噪声</w:t>
            </w:r>
          </w:p>
        </w:tc>
        <w:tc>
          <w:tcPr>
            <w:tcW w:w="982" w:type="pct"/>
            <w:vAlign w:val="center"/>
          </w:tcPr>
          <w:p w14:paraId="1A6EF166">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ascii="Times New Roman" w:hAnsi="Times New Roman" w:eastAsia="Times New Roman" w:cs="Times New Roman"/>
                <w:color w:val="auto"/>
                <w:spacing w:val="0"/>
                <w:w w:val="99"/>
                <w:position w:val="0"/>
                <w:sz w:val="21"/>
                <w:szCs w:val="21"/>
                <w:highlight w:val="none"/>
              </w:rPr>
              <w:t>90</w:t>
            </w:r>
            <w:r>
              <w:rPr>
                <w:color w:val="auto"/>
                <w:spacing w:val="0"/>
                <w:w w:val="99"/>
                <w:position w:val="0"/>
                <w:sz w:val="21"/>
                <w:szCs w:val="21"/>
                <w:highlight w:val="none"/>
              </w:rPr>
              <w:t>～</w:t>
            </w:r>
            <w:r>
              <w:rPr>
                <w:rFonts w:ascii="Times New Roman" w:hAnsi="Times New Roman" w:eastAsia="Times New Roman" w:cs="Times New Roman"/>
                <w:color w:val="auto"/>
                <w:spacing w:val="0"/>
                <w:w w:val="99"/>
                <w:position w:val="0"/>
                <w:sz w:val="21"/>
                <w:szCs w:val="21"/>
                <w:highlight w:val="none"/>
              </w:rPr>
              <w:t>105</w:t>
            </w:r>
          </w:p>
        </w:tc>
        <w:tc>
          <w:tcPr>
            <w:tcW w:w="2020" w:type="pct"/>
            <w:vAlign w:val="center"/>
          </w:tcPr>
          <w:p w14:paraId="13574D2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ascii="Times New Roman" w:hAnsi="Times New Roman" w:eastAsia="Times New Roman" w:cs="Times New Roman"/>
                <w:color w:val="auto"/>
                <w:spacing w:val="0"/>
                <w:w w:val="99"/>
                <w:position w:val="0"/>
                <w:sz w:val="21"/>
                <w:szCs w:val="21"/>
                <w:highlight w:val="none"/>
              </w:rPr>
            </w:pPr>
            <w:r>
              <w:rPr>
                <w:rFonts w:ascii="Times New Roman" w:hAnsi="Times New Roman" w:eastAsia="Times New Roman" w:cs="Times New Roman"/>
                <w:color w:val="auto"/>
                <w:spacing w:val="0"/>
                <w:w w:val="99"/>
                <w:position w:val="0"/>
                <w:sz w:val="21"/>
                <w:szCs w:val="21"/>
                <w:highlight w:val="none"/>
              </w:rPr>
              <w:t>/</w:t>
            </w:r>
          </w:p>
        </w:tc>
      </w:tr>
      <w:tr w14:paraId="6897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0" w:type="pct"/>
            <w:vMerge w:val="restart"/>
            <w:vAlign w:val="center"/>
          </w:tcPr>
          <w:p w14:paraId="090A8C11">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19"/>
              <w:jc w:val="center"/>
              <w:textAlignment w:val="baseline"/>
              <w:rPr>
                <w:color w:val="auto"/>
                <w:spacing w:val="0"/>
                <w:w w:val="99"/>
                <w:position w:val="0"/>
                <w:sz w:val="21"/>
                <w:szCs w:val="21"/>
                <w:highlight w:val="none"/>
              </w:rPr>
            </w:pPr>
            <w:r>
              <w:rPr>
                <w:color w:val="auto"/>
                <w:spacing w:val="0"/>
                <w:w w:val="99"/>
                <w:position w:val="0"/>
                <w:sz w:val="21"/>
                <w:szCs w:val="21"/>
                <w:highlight w:val="none"/>
              </w:rPr>
              <w:t>固体废物</w:t>
            </w:r>
          </w:p>
        </w:tc>
        <w:tc>
          <w:tcPr>
            <w:tcW w:w="1606" w:type="pct"/>
            <w:gridSpan w:val="2"/>
            <w:vAlign w:val="center"/>
          </w:tcPr>
          <w:p w14:paraId="7994D776">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井口砂粒</w:t>
            </w:r>
          </w:p>
        </w:tc>
        <w:tc>
          <w:tcPr>
            <w:tcW w:w="982" w:type="pct"/>
            <w:vAlign w:val="center"/>
          </w:tcPr>
          <w:p w14:paraId="603C5B5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ascii="Times New Roman" w:hAnsi="Times New Roman" w:eastAsia="Times New Roman" w:cs="Times New Roman"/>
                <w:color w:val="auto"/>
                <w:spacing w:val="0"/>
                <w:w w:val="99"/>
                <w:position w:val="0"/>
                <w:sz w:val="21"/>
                <w:szCs w:val="21"/>
                <w:highlight w:val="none"/>
              </w:rPr>
              <w:t>0.0</w:t>
            </w:r>
            <w:r>
              <w:rPr>
                <w:rFonts w:hint="eastAsia" w:ascii="Times New Roman" w:hAnsi="Times New Roman" w:eastAsia="宋体" w:cs="Times New Roman"/>
                <w:color w:val="auto"/>
                <w:spacing w:val="0"/>
                <w:w w:val="99"/>
                <w:position w:val="0"/>
                <w:sz w:val="21"/>
                <w:szCs w:val="21"/>
                <w:highlight w:val="none"/>
                <w:lang w:val="en-US" w:eastAsia="zh-CN"/>
              </w:rPr>
              <w:t>03</w:t>
            </w:r>
            <w:r>
              <w:rPr>
                <w:rFonts w:ascii="Times New Roman" w:hAnsi="Times New Roman" w:eastAsia="Times New Roman" w:cs="Times New Roman"/>
                <w:color w:val="auto"/>
                <w:spacing w:val="0"/>
                <w:w w:val="99"/>
                <w:position w:val="0"/>
                <w:sz w:val="21"/>
                <w:szCs w:val="21"/>
                <w:highlight w:val="none"/>
              </w:rPr>
              <w:t>t/a</w:t>
            </w:r>
          </w:p>
        </w:tc>
        <w:tc>
          <w:tcPr>
            <w:tcW w:w="2020" w:type="pct"/>
            <w:vAlign w:val="center"/>
          </w:tcPr>
          <w:p w14:paraId="05B87327">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pacing w:val="0"/>
                <w:w w:val="99"/>
                <w:position w:val="0"/>
                <w:sz w:val="21"/>
                <w:szCs w:val="21"/>
                <w:highlight w:val="none"/>
              </w:rPr>
            </w:pPr>
            <w:r>
              <w:rPr>
                <w:color w:val="auto"/>
                <w:spacing w:val="0"/>
                <w:w w:val="99"/>
                <w:position w:val="0"/>
                <w:sz w:val="21"/>
                <w:szCs w:val="21"/>
                <w:highlight w:val="none"/>
              </w:rPr>
              <w:t>在井场产生后装入加盖钢制桶中，由检维修队送采气分公司危险废物储存库内，定期委托有危废处置资质的单位处置。</w:t>
            </w:r>
          </w:p>
        </w:tc>
      </w:tr>
      <w:tr w14:paraId="5B5D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0" w:type="pct"/>
            <w:vMerge w:val="continue"/>
            <w:vAlign w:val="center"/>
          </w:tcPr>
          <w:p w14:paraId="51A0C69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tc>
        <w:tc>
          <w:tcPr>
            <w:tcW w:w="1606" w:type="pct"/>
            <w:gridSpan w:val="2"/>
            <w:vAlign w:val="center"/>
          </w:tcPr>
          <w:p w14:paraId="5BADFB90">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废活性炭</w:t>
            </w:r>
          </w:p>
        </w:tc>
        <w:tc>
          <w:tcPr>
            <w:tcW w:w="982" w:type="pct"/>
            <w:vAlign w:val="center"/>
          </w:tcPr>
          <w:p w14:paraId="5AA6EC4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hint="eastAsia" w:ascii="Times New Roman" w:hAnsi="Times New Roman" w:eastAsia="宋体" w:cs="Times New Roman"/>
                <w:color w:val="auto"/>
                <w:spacing w:val="0"/>
                <w:w w:val="99"/>
                <w:position w:val="0"/>
                <w:sz w:val="21"/>
                <w:szCs w:val="21"/>
                <w:highlight w:val="none"/>
                <w:lang w:val="en-US" w:eastAsia="zh-CN"/>
              </w:rPr>
              <w:t>1</w:t>
            </w:r>
            <w:r>
              <w:rPr>
                <w:rFonts w:ascii="Times New Roman" w:hAnsi="Times New Roman" w:eastAsia="Times New Roman" w:cs="Times New Roman"/>
                <w:color w:val="auto"/>
                <w:spacing w:val="0"/>
                <w:w w:val="99"/>
                <w:position w:val="0"/>
                <w:sz w:val="21"/>
                <w:szCs w:val="21"/>
                <w:highlight w:val="none"/>
              </w:rPr>
              <w:t>.4t/a</w:t>
            </w:r>
          </w:p>
        </w:tc>
        <w:tc>
          <w:tcPr>
            <w:tcW w:w="2020" w:type="pct"/>
            <w:vAlign w:val="center"/>
          </w:tcPr>
          <w:p w14:paraId="2019B8EB">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pacing w:val="0"/>
                <w:w w:val="99"/>
                <w:position w:val="0"/>
                <w:sz w:val="21"/>
                <w:szCs w:val="21"/>
                <w:highlight w:val="none"/>
              </w:rPr>
            </w:pPr>
            <w:r>
              <w:rPr>
                <w:color w:val="auto"/>
                <w:spacing w:val="0"/>
                <w:w w:val="99"/>
                <w:position w:val="0"/>
                <w:sz w:val="21"/>
                <w:szCs w:val="21"/>
                <w:highlight w:val="none"/>
              </w:rPr>
              <w:t>暂存采气分公司危险废物储存库，定期委托有危废处置资质的单位处置。</w:t>
            </w:r>
          </w:p>
        </w:tc>
      </w:tr>
      <w:tr w14:paraId="0CC2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0" w:type="pct"/>
            <w:vMerge w:val="continue"/>
            <w:vAlign w:val="center"/>
          </w:tcPr>
          <w:p w14:paraId="562ABF5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color w:val="auto"/>
                <w:spacing w:val="0"/>
                <w:w w:val="99"/>
                <w:position w:val="0"/>
                <w:sz w:val="21"/>
                <w:szCs w:val="21"/>
                <w:highlight w:val="none"/>
              </w:rPr>
            </w:pPr>
          </w:p>
        </w:tc>
        <w:tc>
          <w:tcPr>
            <w:tcW w:w="1606" w:type="pct"/>
            <w:gridSpan w:val="2"/>
            <w:vAlign w:val="center"/>
          </w:tcPr>
          <w:p w14:paraId="1204F17B">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color w:val="auto"/>
                <w:spacing w:val="0"/>
                <w:w w:val="99"/>
                <w:position w:val="0"/>
                <w:sz w:val="21"/>
                <w:szCs w:val="21"/>
                <w:highlight w:val="none"/>
              </w:rPr>
            </w:pPr>
            <w:r>
              <w:rPr>
                <w:color w:val="auto"/>
                <w:spacing w:val="0"/>
                <w:w w:val="99"/>
                <w:position w:val="0"/>
                <w:sz w:val="21"/>
                <w:szCs w:val="21"/>
                <w:highlight w:val="none"/>
              </w:rPr>
              <w:t>废三甘醇</w:t>
            </w:r>
          </w:p>
        </w:tc>
        <w:tc>
          <w:tcPr>
            <w:tcW w:w="982" w:type="pct"/>
            <w:vAlign w:val="center"/>
          </w:tcPr>
          <w:p w14:paraId="1CFB04E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Times New Roman" w:hAnsi="Times New Roman" w:eastAsia="Times New Roman" w:cs="Times New Roman"/>
                <w:color w:val="auto"/>
                <w:spacing w:val="0"/>
                <w:w w:val="99"/>
                <w:position w:val="0"/>
                <w:sz w:val="21"/>
                <w:szCs w:val="21"/>
                <w:highlight w:val="none"/>
              </w:rPr>
            </w:pPr>
            <w:r>
              <w:rPr>
                <w:rFonts w:hint="eastAsia" w:ascii="Times New Roman" w:hAnsi="Times New Roman" w:eastAsia="宋体" w:cs="Times New Roman"/>
                <w:color w:val="auto"/>
                <w:spacing w:val="0"/>
                <w:w w:val="99"/>
                <w:position w:val="0"/>
                <w:sz w:val="21"/>
                <w:szCs w:val="21"/>
                <w:highlight w:val="none"/>
                <w:lang w:val="en-US" w:eastAsia="zh-CN"/>
              </w:rPr>
              <w:t>70</w:t>
            </w:r>
            <w:r>
              <w:rPr>
                <w:rFonts w:ascii="Times New Roman" w:hAnsi="Times New Roman" w:eastAsia="Times New Roman" w:cs="Times New Roman"/>
                <w:color w:val="auto"/>
                <w:spacing w:val="0"/>
                <w:w w:val="99"/>
                <w:position w:val="0"/>
                <w:sz w:val="21"/>
                <w:szCs w:val="21"/>
                <w:highlight w:val="none"/>
              </w:rPr>
              <w:t>t/a</w:t>
            </w:r>
          </w:p>
        </w:tc>
        <w:tc>
          <w:tcPr>
            <w:tcW w:w="2020" w:type="pct"/>
            <w:vAlign w:val="center"/>
          </w:tcPr>
          <w:p w14:paraId="0127C9D9">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pacing w:val="0"/>
                <w:w w:val="99"/>
                <w:position w:val="0"/>
                <w:sz w:val="21"/>
                <w:szCs w:val="21"/>
                <w:highlight w:val="none"/>
              </w:rPr>
            </w:pPr>
            <w:r>
              <w:rPr>
                <w:color w:val="auto"/>
                <w:spacing w:val="0"/>
                <w:w w:val="99"/>
                <w:position w:val="0"/>
                <w:sz w:val="21"/>
                <w:szCs w:val="21"/>
                <w:highlight w:val="none"/>
              </w:rPr>
              <w:t>委托相关单位处理。</w:t>
            </w:r>
          </w:p>
        </w:tc>
      </w:tr>
    </w:tbl>
    <w:p w14:paraId="4FDD2968">
      <w:pPr>
        <w:pStyle w:val="7"/>
        <w:widowControl w:val="0"/>
        <w:spacing w:before="60" w:after="60" w:line="440" w:lineRule="exact"/>
        <w:jc w:val="both"/>
        <w:rPr>
          <w:rFonts w:eastAsiaTheme="minorEastAsia"/>
          <w:b/>
          <w:color w:val="auto"/>
          <w:w w:val="99"/>
          <w:kern w:val="2"/>
          <w:sz w:val="24"/>
          <w:szCs w:val="24"/>
          <w:highlight w:val="none"/>
        </w:rPr>
      </w:pPr>
      <w:r>
        <w:rPr>
          <w:rFonts w:eastAsiaTheme="minorEastAsia"/>
          <w:b/>
          <w:color w:val="auto"/>
          <w:w w:val="99"/>
          <w:kern w:val="2"/>
          <w:sz w:val="24"/>
          <w:szCs w:val="24"/>
          <w:highlight w:val="none"/>
        </w:rPr>
        <w:t>3.1.</w:t>
      </w:r>
      <w:r>
        <w:rPr>
          <w:rFonts w:hint="eastAsia" w:eastAsiaTheme="minorEastAsia"/>
          <w:b/>
          <w:color w:val="auto"/>
          <w:w w:val="99"/>
          <w:kern w:val="2"/>
          <w:sz w:val="24"/>
          <w:szCs w:val="24"/>
          <w:highlight w:val="none"/>
          <w:lang w:val="en-US" w:eastAsia="zh-CN"/>
        </w:rPr>
        <w:t>6</w:t>
      </w:r>
      <w:r>
        <w:rPr>
          <w:rFonts w:eastAsiaTheme="minorEastAsia"/>
          <w:b/>
          <w:color w:val="auto"/>
          <w:w w:val="99"/>
          <w:kern w:val="2"/>
          <w:sz w:val="24"/>
          <w:szCs w:val="24"/>
          <w:highlight w:val="none"/>
        </w:rPr>
        <w:t>现有工程存在的环境问题</w:t>
      </w:r>
      <w:bookmarkEnd w:id="415"/>
      <w:bookmarkEnd w:id="416"/>
      <w:bookmarkEnd w:id="417"/>
      <w:bookmarkEnd w:id="418"/>
      <w:bookmarkEnd w:id="419"/>
      <w:bookmarkEnd w:id="420"/>
      <w:bookmarkEnd w:id="421"/>
      <w:bookmarkEnd w:id="422"/>
    </w:p>
    <w:p w14:paraId="63EDE3D2">
      <w:pPr>
        <w:widowControl w:val="0"/>
        <w:spacing w:line="440" w:lineRule="exact"/>
        <w:ind w:firstLine="474" w:firstLineChars="200"/>
        <w:jc w:val="both"/>
        <w:rPr>
          <w:rFonts w:ascii="Times New Roman" w:hAnsi="Times New Roman" w:cs="Times New Roman"/>
          <w:bCs/>
          <w:color w:val="auto"/>
          <w:w w:val="99"/>
          <w:kern w:val="2"/>
          <w:szCs w:val="20"/>
          <w:highlight w:val="none"/>
        </w:rPr>
      </w:pPr>
      <w:r>
        <w:rPr>
          <w:rFonts w:ascii="Times New Roman" w:hAnsi="Times New Roman" w:cs="Times New Roman"/>
          <w:bCs/>
          <w:color w:val="auto"/>
          <w:w w:val="99"/>
          <w:kern w:val="2"/>
          <w:szCs w:val="20"/>
          <w:highlight w:val="none"/>
        </w:rPr>
        <w:t>根据调查可知，现有区块运行至今内无投诉、督查及检查情况。本工程区域内已建井的井场永久性占地面积符合要求，井场地面均进行了平整。站场环境清洁，地面未发现污油，站内道路两侧和厂区院墙内外均已绿化，生态恢复较好。井场永久性占地面积符合设计要求，井场地面均进行了平整，在临时性占地范围内，地表基本进行了平整，并已完成了生态恢复。</w:t>
      </w:r>
    </w:p>
    <w:p w14:paraId="3703AF2C">
      <w:pPr>
        <w:pStyle w:val="2"/>
        <w:widowControl w:val="0"/>
        <w:spacing w:line="44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现有区域内生态环境主要为耕地、草地等。区块内现有工程排放的污染物主要包括废气（无组织挥发的非甲烷总烃、集气站加热炉烟气）、噪声（井场设备噪声、集气站设备、机泵噪声、井场放空噪声）、固体废物（井口砂粒、废活性炭、废三甘醇）等。</w:t>
      </w:r>
    </w:p>
    <w:p w14:paraId="50197CA6">
      <w:pPr>
        <w:pStyle w:val="2"/>
        <w:widowControl w:val="0"/>
        <w:spacing w:line="44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现有区块内井场输气均采取密闭集输工艺，可以有效控制非甲烷总烃逸散，区块内井场无组织排放的非甲烷总烃满足《陆上石油天然气开采工业大气污染物排放标准》（GB39728-2020）中5.9企业边界污染物控制要求限值的要求；现有区块在开发建设过程中，尽可能地选用了低噪声设备，噪声对外界影响较小。大庆油田有限责任公司采气分公司已按照要求取得排污许可证。</w:t>
      </w:r>
      <w:r>
        <w:rPr>
          <w:rFonts w:hint="eastAsia" w:ascii="Times New Roman" w:hAnsi="Times New Roman" w:eastAsia="宋体" w:cs="Times New Roman"/>
          <w:color w:val="auto"/>
          <w:w w:val="99"/>
          <w:kern w:val="2"/>
          <w:sz w:val="24"/>
          <w:szCs w:val="24"/>
          <w:highlight w:val="none"/>
          <w:lang w:val="en-US" w:eastAsia="zh-CN" w:bidi="ar-SA"/>
        </w:rPr>
        <w:t>集气站三甘醇脱水装置内设置活性炭过滤器，活性炭属于危险废物“HW49其他废物”中的“900-041-49含有或沾染毒性、感染性危险废物的废弃包装物、容器、过滤吸附介质”。暂存采气分公司危险废物</w:t>
      </w:r>
      <w:r>
        <w:rPr>
          <w:rFonts w:hint="eastAsia" w:ascii="Times New Roman" w:hAnsi="Times New Roman" w:cs="Times New Roman"/>
          <w:color w:val="auto"/>
          <w:w w:val="99"/>
          <w:kern w:val="2"/>
          <w:sz w:val="24"/>
          <w:szCs w:val="24"/>
          <w:highlight w:val="none"/>
          <w:lang w:val="en-US" w:eastAsia="zh-CN" w:bidi="ar-SA"/>
        </w:rPr>
        <w:t>贮存库</w:t>
      </w:r>
      <w:r>
        <w:rPr>
          <w:rFonts w:hint="eastAsia" w:ascii="Times New Roman" w:hAnsi="Times New Roman" w:eastAsia="宋体" w:cs="Times New Roman"/>
          <w:color w:val="auto"/>
          <w:w w:val="99"/>
          <w:kern w:val="2"/>
          <w:sz w:val="24"/>
          <w:szCs w:val="24"/>
          <w:highlight w:val="none"/>
          <w:lang w:val="en-US" w:eastAsia="zh-CN" w:bidi="ar-SA"/>
        </w:rPr>
        <w:t>，定期委托有危废处置资质的单位处置。</w:t>
      </w:r>
      <w:r>
        <w:rPr>
          <w:rFonts w:ascii="Times New Roman" w:hAnsi="Times New Roman"/>
          <w:bCs/>
          <w:color w:val="auto"/>
          <w:w w:val="99"/>
          <w:szCs w:val="20"/>
          <w:highlight w:val="none"/>
        </w:rPr>
        <w:t>因此，各井场及场站废气、噪声等均达标排放，废水、固废均得到妥善处置，各项污染防治措施完备，运行良好。</w:t>
      </w:r>
    </w:p>
    <w:p w14:paraId="0C34A6EA">
      <w:pPr>
        <w:pStyle w:val="2"/>
        <w:widowControl w:val="0"/>
        <w:spacing w:line="44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根据本次对已建</w:t>
      </w:r>
      <w:r>
        <w:rPr>
          <w:rFonts w:hint="eastAsia" w:ascii="Times New Roman" w:hAnsi="Times New Roman"/>
          <w:bCs/>
          <w:color w:val="auto"/>
          <w:w w:val="99"/>
          <w:szCs w:val="20"/>
          <w:highlight w:val="none"/>
          <w:lang w:eastAsia="zh-CN"/>
        </w:rPr>
        <w:t>徐深27井场</w:t>
      </w:r>
      <w:r>
        <w:rPr>
          <w:rFonts w:ascii="Times New Roman" w:hAnsi="Times New Roman"/>
          <w:bCs/>
          <w:color w:val="auto"/>
          <w:w w:val="99"/>
          <w:szCs w:val="20"/>
          <w:highlight w:val="none"/>
        </w:rPr>
        <w:t>用地范围内土壤监测结果，各项污染物含量均不超过《土壤环境质量建设用地土壤污染风险管控标准（试行）》（GB36600-2018）中筛选值，与占地范围外监测结果数值相差不大，说明气田开发对土壤环境影响较小。</w:t>
      </w:r>
    </w:p>
    <w:p w14:paraId="4F8CFE7F">
      <w:pPr>
        <w:pStyle w:val="2"/>
        <w:widowControl w:val="0"/>
        <w:spacing w:line="44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根据现场调查，本项目所在区域内生态环境主要为农田生态系统、草地生态系统，为传统的气田开发区域；为保护区域生态环境，大庆油田有限责任公司采气分公司在进行气田开发活动时采取了一系列的生态保护措施，例如严格控制井场的临时及永久占地，井场钻井施工结束后及时的进行了土地复垦等生态恢复措施；通过采取了这一系列的生态保护措施后，井场周边环境恢复较好，施工过程临时占地损坏的植被现已恢复，气田的开发对区域生态系统没有造成明显影响。现有工程投产至今未发生环境污染和信访事件。</w:t>
      </w:r>
    </w:p>
    <w:p w14:paraId="1BAFDC18">
      <w:pPr>
        <w:pStyle w:val="2"/>
        <w:widowControl w:val="0"/>
        <w:spacing w:line="44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根据以上分析及现场勘查，现有区块内未发现环境问题。</w:t>
      </w:r>
    </w:p>
    <w:p w14:paraId="51807576">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423" w:name="_Toc24664"/>
      <w:r>
        <w:rPr>
          <w:rFonts w:ascii="Times New Roman" w:hAnsi="Times New Roman" w:eastAsia="宋体"/>
          <w:b/>
          <w:snapToGrid w:val="0"/>
          <w:color w:val="auto"/>
          <w:w w:val="99"/>
          <w:highlight w:val="none"/>
        </w:rPr>
        <w:t>3.2项目概况</w:t>
      </w:r>
      <w:bookmarkEnd w:id="405"/>
      <w:bookmarkEnd w:id="423"/>
    </w:p>
    <w:p w14:paraId="48271CBD">
      <w:pPr>
        <w:pStyle w:val="153"/>
        <w:widowControl w:val="0"/>
        <w:spacing w:line="440" w:lineRule="exact"/>
        <w:ind w:firstLine="473"/>
        <w:rPr>
          <w:rFonts w:ascii="Times New Roman" w:hAnsi="Times New Roman"/>
          <w:snapToGrid w:val="0"/>
          <w:color w:val="auto"/>
          <w:w w:val="99"/>
          <w:highlight w:val="none"/>
        </w:rPr>
      </w:pPr>
      <w:bookmarkStart w:id="424" w:name="_Toc502736466"/>
      <w:r>
        <w:rPr>
          <w:rFonts w:ascii="Times New Roman" w:hAnsi="Times New Roman"/>
          <w:snapToGrid w:val="0"/>
          <w:color w:val="auto"/>
          <w:w w:val="99"/>
          <w:highlight w:val="none"/>
        </w:rPr>
        <w:t>项目名称：</w:t>
      </w:r>
      <w:r>
        <w:rPr>
          <w:rFonts w:hint="eastAsia" w:ascii="Times New Roman" w:hAnsi="Times New Roman" w:eastAsiaTheme="minorEastAsia"/>
          <w:snapToGrid w:val="0"/>
          <w:color w:val="auto"/>
          <w:w w:val="99"/>
          <w:highlight w:val="none"/>
          <w:lang w:eastAsia="zh-CN"/>
        </w:rPr>
        <w:t>徐深27-H1井</w:t>
      </w:r>
      <w:r>
        <w:rPr>
          <w:rFonts w:hint="eastAsia" w:ascii="Times New Roman" w:hAnsi="Times New Roman" w:eastAsiaTheme="minorEastAsia"/>
          <w:snapToGrid w:val="0"/>
          <w:color w:val="auto"/>
          <w:w w:val="99"/>
          <w:highlight w:val="none"/>
          <w:lang w:val="en-US" w:eastAsia="zh-CN"/>
        </w:rPr>
        <w:t>地面</w:t>
      </w:r>
      <w:r>
        <w:rPr>
          <w:rFonts w:hint="eastAsia" w:ascii="Times New Roman" w:hAnsi="Times New Roman" w:eastAsiaTheme="minorEastAsia"/>
          <w:snapToGrid w:val="0"/>
          <w:color w:val="auto"/>
          <w:w w:val="99"/>
          <w:highlight w:val="none"/>
          <w:lang w:eastAsia="zh-CN"/>
        </w:rPr>
        <w:t>工程项目</w:t>
      </w:r>
      <w:r>
        <w:rPr>
          <w:rFonts w:ascii="Times New Roman" w:hAnsi="Times New Roman"/>
          <w:snapToGrid w:val="0"/>
          <w:color w:val="auto"/>
          <w:w w:val="99"/>
          <w:highlight w:val="none"/>
        </w:rPr>
        <w:t>；</w:t>
      </w:r>
    </w:p>
    <w:p w14:paraId="1F865594">
      <w:pPr>
        <w:pStyle w:val="153"/>
        <w:widowControl w:val="0"/>
        <w:spacing w:line="440" w:lineRule="exact"/>
        <w:ind w:firstLine="473"/>
        <w:rPr>
          <w:rFonts w:ascii="Times New Roman" w:hAnsi="Times New Roman"/>
          <w:snapToGrid w:val="0"/>
          <w:color w:val="auto"/>
          <w:w w:val="99"/>
          <w:highlight w:val="none"/>
        </w:rPr>
      </w:pPr>
      <w:r>
        <w:rPr>
          <w:rFonts w:ascii="Times New Roman" w:hAnsi="Times New Roman"/>
          <w:snapToGrid w:val="0"/>
          <w:color w:val="auto"/>
          <w:w w:val="99"/>
          <w:highlight w:val="none"/>
        </w:rPr>
        <w:t>建设单位：</w:t>
      </w:r>
      <w:r>
        <w:rPr>
          <w:rFonts w:hint="eastAsia" w:ascii="Times New Roman" w:hAnsi="Times New Roman"/>
          <w:snapToGrid w:val="0"/>
          <w:color w:val="auto"/>
          <w:w w:val="99"/>
          <w:highlight w:val="none"/>
          <w:lang w:eastAsia="zh-CN"/>
        </w:rPr>
        <w:t xml:space="preserve">大庆油田有限责任公司采气分公司 </w:t>
      </w:r>
      <w:r>
        <w:rPr>
          <w:rFonts w:ascii="Times New Roman" w:hAnsi="Times New Roman"/>
          <w:snapToGrid w:val="0"/>
          <w:color w:val="auto"/>
          <w:w w:val="99"/>
          <w:highlight w:val="none"/>
        </w:rPr>
        <w:t>；</w:t>
      </w:r>
    </w:p>
    <w:p w14:paraId="7F8DDD36">
      <w:pPr>
        <w:pStyle w:val="153"/>
        <w:ind w:firstLine="473"/>
        <w:rPr>
          <w:rFonts w:ascii="Times New Roman" w:hAnsi="Times New Roman"/>
          <w:snapToGrid w:val="0"/>
          <w:color w:val="auto"/>
          <w:w w:val="99"/>
          <w:highlight w:val="none"/>
        </w:rPr>
      </w:pPr>
      <w:bookmarkStart w:id="425" w:name="_Hlk530467800"/>
      <w:r>
        <w:rPr>
          <w:rFonts w:ascii="Times New Roman" w:hAnsi="Times New Roman"/>
          <w:snapToGrid w:val="0"/>
          <w:color w:val="auto"/>
          <w:w w:val="99"/>
          <w:highlight w:val="none"/>
        </w:rPr>
        <w:t>建设性质：改扩建；</w:t>
      </w:r>
    </w:p>
    <w:p w14:paraId="737A6B4B">
      <w:pPr>
        <w:pStyle w:val="153"/>
        <w:widowControl w:val="0"/>
        <w:spacing w:line="440" w:lineRule="exact"/>
        <w:ind w:firstLine="473"/>
        <w:rPr>
          <w:rFonts w:hint="eastAsia" w:ascii="Times New Roman" w:hAnsi="Times New Roman"/>
          <w:snapToGrid w:val="0"/>
          <w:color w:val="auto"/>
          <w:w w:val="99"/>
          <w:highlight w:val="none"/>
          <w:lang w:val="en-US" w:eastAsia="zh-CN"/>
        </w:rPr>
      </w:pPr>
      <w:r>
        <w:rPr>
          <w:rFonts w:ascii="Times New Roman" w:hAnsi="Times New Roman"/>
          <w:snapToGrid w:val="0"/>
          <w:color w:val="auto"/>
          <w:w w:val="99"/>
          <w:highlight w:val="none"/>
        </w:rPr>
        <w:t>建设地点：</w:t>
      </w:r>
      <w:r>
        <w:rPr>
          <w:rFonts w:hint="default" w:ascii="Times New Roman" w:hAnsi="Times New Roman" w:eastAsia="宋体" w:cs="Times New Roman"/>
          <w:bCs/>
          <w:snapToGrid w:val="0"/>
          <w:color w:val="auto"/>
          <w:w w:val="99"/>
          <w:highlight w:val="none"/>
        </w:rPr>
        <w:t>黑龙江省</w:t>
      </w:r>
      <w:r>
        <w:rPr>
          <w:rFonts w:hint="default" w:ascii="Times New Roman" w:hAnsi="Times New Roman" w:eastAsia="宋体" w:cs="Times New Roman"/>
          <w:bCs/>
          <w:snapToGrid w:val="0"/>
          <w:color w:val="auto"/>
          <w:w w:val="99"/>
          <w:highlight w:val="none"/>
          <w:lang w:val="en-US" w:eastAsia="zh-CN"/>
        </w:rPr>
        <w:t>绥化市肇东市跃进乡邢家围子屯西侧300m处</w:t>
      </w:r>
      <w:r>
        <w:rPr>
          <w:rFonts w:hint="default" w:ascii="Times New Roman" w:hAnsi="Times New Roman" w:eastAsia="宋体" w:cs="Times New Roman"/>
          <w:bCs/>
          <w:snapToGrid w:val="0"/>
          <w:color w:val="auto"/>
          <w:w w:val="99"/>
          <w:highlight w:val="none"/>
        </w:rPr>
        <w:t>，其中心坐标：125°30′30.661″</w:t>
      </w:r>
      <w:r>
        <w:rPr>
          <w:rFonts w:hint="default" w:ascii="Times New Roman" w:hAnsi="Times New Roman" w:eastAsia="宋体" w:cs="Times New Roman"/>
          <w:bCs/>
          <w:snapToGrid w:val="0"/>
          <w:color w:val="auto"/>
          <w:w w:val="99"/>
          <w:highlight w:val="none"/>
          <w:lang w:eastAsia="zh-CN"/>
        </w:rPr>
        <w:t>，45°53′35.271″</w:t>
      </w:r>
      <w:r>
        <w:rPr>
          <w:rFonts w:hint="eastAsia" w:ascii="Times New Roman" w:hAnsi="Times New Roman"/>
          <w:snapToGrid w:val="0"/>
          <w:color w:val="auto"/>
          <w:w w:val="99"/>
          <w:highlight w:val="none"/>
          <w:lang w:val="en-US" w:eastAsia="zh-CN"/>
        </w:rPr>
        <w:t>；</w:t>
      </w:r>
    </w:p>
    <w:p w14:paraId="59D0BE57">
      <w:pPr>
        <w:pStyle w:val="153"/>
        <w:widowControl w:val="0"/>
        <w:spacing w:line="440" w:lineRule="exact"/>
        <w:ind w:firstLine="473"/>
        <w:rPr>
          <w:rFonts w:ascii="Times New Roman" w:hAnsi="Times New Roman"/>
          <w:bCs/>
          <w:snapToGrid w:val="0"/>
          <w:color w:val="auto"/>
          <w:w w:val="99"/>
          <w:highlight w:val="none"/>
        </w:rPr>
      </w:pPr>
      <w:r>
        <w:rPr>
          <w:rFonts w:ascii="Times New Roman" w:hAnsi="Times New Roman"/>
          <w:bCs/>
          <w:snapToGrid w:val="0"/>
          <w:color w:val="auto"/>
          <w:w w:val="99"/>
          <w:highlight w:val="none"/>
        </w:rPr>
        <w:t>投资规模：项目总投资</w:t>
      </w:r>
      <w:r>
        <w:rPr>
          <w:rFonts w:hint="eastAsia" w:ascii="Times New Roman" w:hAnsi="Times New Roman"/>
          <w:bCs/>
          <w:snapToGrid w:val="0"/>
          <w:color w:val="auto"/>
          <w:w w:val="99"/>
          <w:highlight w:val="none"/>
          <w:lang w:eastAsia="zh-CN"/>
        </w:rPr>
        <w:t>567</w:t>
      </w:r>
      <w:r>
        <w:rPr>
          <w:rFonts w:ascii="Times New Roman" w:hAnsi="Times New Roman"/>
          <w:bCs/>
          <w:snapToGrid w:val="0"/>
          <w:color w:val="auto"/>
          <w:w w:val="99"/>
          <w:highlight w:val="none"/>
        </w:rPr>
        <w:t>万元，环保投资</w:t>
      </w:r>
      <w:r>
        <w:rPr>
          <w:rFonts w:hint="eastAsia" w:ascii="Times New Roman" w:hAnsi="Times New Roman"/>
          <w:bCs/>
          <w:snapToGrid w:val="0"/>
          <w:color w:val="auto"/>
          <w:w w:val="99"/>
          <w:highlight w:val="none"/>
          <w:lang w:val="en-US" w:eastAsia="zh-CN"/>
        </w:rPr>
        <w:t>25.47</w:t>
      </w:r>
      <w:r>
        <w:rPr>
          <w:rFonts w:ascii="Times New Roman" w:hAnsi="Times New Roman"/>
          <w:bCs/>
          <w:snapToGrid w:val="0"/>
          <w:color w:val="auto"/>
          <w:w w:val="99"/>
          <w:highlight w:val="none"/>
        </w:rPr>
        <w:t>万元，环保投资占比为</w:t>
      </w:r>
      <w:r>
        <w:rPr>
          <w:rFonts w:hint="eastAsia" w:ascii="Times New Roman" w:hAnsi="Times New Roman"/>
          <w:bCs/>
          <w:snapToGrid w:val="0"/>
          <w:color w:val="auto"/>
          <w:w w:val="99"/>
          <w:highlight w:val="none"/>
          <w:lang w:val="en-US" w:eastAsia="zh-CN"/>
        </w:rPr>
        <w:t>4.49</w:t>
      </w:r>
      <w:r>
        <w:rPr>
          <w:rFonts w:ascii="Times New Roman" w:hAnsi="Times New Roman"/>
          <w:bCs/>
          <w:snapToGrid w:val="0"/>
          <w:color w:val="auto"/>
          <w:w w:val="99"/>
          <w:highlight w:val="none"/>
        </w:rPr>
        <w:t>%；</w:t>
      </w:r>
    </w:p>
    <w:p w14:paraId="3822FF8D">
      <w:pPr>
        <w:pStyle w:val="153"/>
        <w:widowControl w:val="0"/>
        <w:spacing w:line="440" w:lineRule="exact"/>
        <w:ind w:firstLine="473"/>
        <w:jc w:val="both"/>
        <w:rPr>
          <w:rFonts w:ascii="Times New Roman" w:hAnsi="Times New Roman"/>
          <w:snapToGrid w:val="0"/>
          <w:color w:val="auto"/>
          <w:w w:val="99"/>
          <w:highlight w:val="none"/>
        </w:rPr>
      </w:pPr>
      <w:r>
        <w:rPr>
          <w:rFonts w:ascii="Times New Roman" w:hAnsi="Times New Roman"/>
          <w:snapToGrid w:val="0"/>
          <w:color w:val="auto"/>
          <w:w w:val="99"/>
          <w:highlight w:val="none"/>
        </w:rPr>
        <w:t>占地面积：本项目</w:t>
      </w:r>
      <w:r>
        <w:rPr>
          <w:rFonts w:hint="eastAsia" w:ascii="Times New Roman" w:hAnsi="Times New Roman"/>
          <w:snapToGrid w:val="0"/>
          <w:color w:val="auto"/>
          <w:w w:val="99"/>
          <w:highlight w:val="none"/>
          <w:lang w:val="en-US" w:eastAsia="zh-CN"/>
        </w:rPr>
        <w:t>不新增占地</w:t>
      </w:r>
      <w:r>
        <w:rPr>
          <w:rFonts w:ascii="Times New Roman" w:hAnsi="Times New Roman"/>
          <w:color w:val="auto"/>
          <w:w w:val="99"/>
          <w:highlight w:val="none"/>
        </w:rPr>
        <w:t>；</w:t>
      </w:r>
    </w:p>
    <w:p w14:paraId="76069A54">
      <w:pPr>
        <w:pStyle w:val="153"/>
        <w:widowControl w:val="0"/>
        <w:ind w:firstLine="473"/>
        <w:jc w:val="both"/>
        <w:rPr>
          <w:rFonts w:hint="default" w:ascii="Times New Roman" w:hAnsi="Times New Roman" w:cs="Times New Roman" w:eastAsiaTheme="minorEastAsia"/>
          <w:snapToGrid w:val="0"/>
          <w:color w:val="auto"/>
          <w:w w:val="99"/>
          <w:highlight w:val="none"/>
          <w:lang w:val="en-US" w:eastAsia="zh-CN"/>
        </w:rPr>
      </w:pPr>
      <w:r>
        <w:rPr>
          <w:rFonts w:ascii="Times New Roman" w:hAnsi="Times New Roman" w:eastAsiaTheme="minorEastAsia"/>
          <w:snapToGrid w:val="0"/>
          <w:color w:val="auto"/>
          <w:w w:val="99"/>
          <w:highlight w:val="none"/>
        </w:rPr>
        <w:t>建设内容：</w:t>
      </w:r>
      <w:r>
        <w:rPr>
          <w:rFonts w:hint="eastAsia" w:ascii="Times New Roman" w:hAnsi="Times New Roman" w:cs="Times New Roman" w:eastAsiaTheme="minorEastAsia"/>
          <w:snapToGrid w:val="0"/>
          <w:color w:val="auto"/>
          <w:w w:val="99"/>
          <w:highlight w:val="none"/>
          <w:lang w:val="en-US" w:eastAsia="zh-CN"/>
        </w:rPr>
        <w:t>基建1口气井，井场设置80kW电磁涡流加热装置1座</w:t>
      </w:r>
      <w:r>
        <w:rPr>
          <w:rFonts w:hint="default" w:ascii="Times New Roman" w:hAnsi="Times New Roman" w:cs="Times New Roman" w:eastAsiaTheme="minorEastAsia"/>
          <w:snapToGrid w:val="0"/>
          <w:color w:val="auto"/>
          <w:w w:val="99"/>
          <w:highlight w:val="none"/>
          <w:lang w:val="en-US" w:eastAsia="zh-CN"/>
        </w:rPr>
        <w:t>；</w:t>
      </w:r>
      <w:r>
        <w:rPr>
          <w:rFonts w:hint="eastAsia" w:ascii="Times New Roman" w:hAnsi="Times New Roman" w:cs="Times New Roman" w:eastAsiaTheme="minorEastAsia"/>
          <w:snapToGrid w:val="0"/>
          <w:color w:val="auto"/>
          <w:w w:val="99"/>
          <w:highlight w:val="none"/>
          <w:lang w:val="en-US" w:eastAsia="zh-CN"/>
        </w:rPr>
        <w:t>新建采气管道1.92km；对徐深27集气站</w:t>
      </w:r>
      <w:r>
        <w:rPr>
          <w:rFonts w:hint="default" w:ascii="Times New Roman" w:hAnsi="Times New Roman" w:cs="Times New Roman" w:eastAsiaTheme="minorEastAsia"/>
          <w:snapToGrid w:val="0"/>
          <w:color w:val="auto"/>
          <w:w w:val="99"/>
          <w:highlight w:val="none"/>
          <w:lang w:val="en-US" w:eastAsia="zh-CN"/>
        </w:rPr>
        <w:t>配套新建1口气井进站阀组和生产阀组，新建低压电力电缆0.2km，敷设至用电设备</w:t>
      </w:r>
      <w:r>
        <w:rPr>
          <w:rFonts w:hint="eastAsia" w:ascii="Times New Roman" w:hAnsi="Times New Roman" w:cs="Times New Roman" w:eastAsiaTheme="minorEastAsia"/>
          <w:snapToGrid w:val="0"/>
          <w:color w:val="auto"/>
          <w:w w:val="99"/>
          <w:highlight w:val="none"/>
          <w:lang w:val="en-US" w:eastAsia="zh-CN"/>
        </w:rPr>
        <w:t>；井口新建柱上变1座，新建10kV线路0.8km；新建沥青砼通井路0.2km，建成产能为</w:t>
      </w:r>
      <w:r>
        <w:rPr>
          <w:rFonts w:hint="eastAsia" w:ascii="Times New Roman" w:hAnsi="Times New Roman" w:cs="Times New Roman" w:eastAsiaTheme="minorEastAsia"/>
          <w:snapToGrid w:val="0"/>
          <w:color w:val="auto"/>
          <w:w w:val="99"/>
          <w:sz w:val="24"/>
          <w:szCs w:val="24"/>
          <w:highlight w:val="none"/>
          <w:lang w:val="en-US" w:eastAsia="zh-CN"/>
        </w:rPr>
        <w:t>9.0</w:t>
      </w:r>
      <w:r>
        <w:rPr>
          <w:rFonts w:hint="default" w:ascii="Times New Roman" w:hAnsi="Times New Roman" w:cs="Times New Roman"/>
          <w:color w:val="auto"/>
          <w:w w:val="99"/>
          <w:sz w:val="24"/>
          <w:szCs w:val="24"/>
          <w:highlight w:val="none"/>
        </w:rPr>
        <w:t>×10</w:t>
      </w:r>
      <w:r>
        <w:rPr>
          <w:rFonts w:hint="eastAsia" w:ascii="Times New Roman" w:hAnsi="Times New Roman" w:cs="Times New Roman"/>
          <w:color w:val="auto"/>
          <w:w w:val="99"/>
          <w:sz w:val="24"/>
          <w:szCs w:val="24"/>
          <w:highlight w:val="none"/>
          <w:vertAlign w:val="superscript"/>
          <w:lang w:val="en-US" w:eastAsia="zh-CN"/>
        </w:rPr>
        <w:t>4</w:t>
      </w:r>
      <w:r>
        <w:rPr>
          <w:rFonts w:hint="default" w:ascii="Times New Roman" w:hAnsi="Times New Roman" w:cs="Times New Roman"/>
          <w:color w:val="auto"/>
          <w:w w:val="99"/>
          <w:sz w:val="24"/>
          <w:szCs w:val="24"/>
          <w:highlight w:val="none"/>
        </w:rPr>
        <w:t>m</w:t>
      </w:r>
      <w:r>
        <w:rPr>
          <w:rFonts w:hint="default" w:ascii="Times New Roman" w:hAnsi="Times New Roman" w:cs="Times New Roman"/>
          <w:color w:val="auto"/>
          <w:w w:val="99"/>
          <w:sz w:val="24"/>
          <w:szCs w:val="24"/>
          <w:highlight w:val="none"/>
          <w:vertAlign w:val="superscript"/>
        </w:rPr>
        <w:t>3</w:t>
      </w:r>
      <w:r>
        <w:rPr>
          <w:rFonts w:hint="default" w:ascii="Times New Roman" w:hAnsi="Times New Roman" w:cs="Times New Roman"/>
          <w:color w:val="auto"/>
          <w:w w:val="99"/>
          <w:sz w:val="24"/>
          <w:szCs w:val="24"/>
          <w:highlight w:val="none"/>
        </w:rPr>
        <w:t>/</w:t>
      </w:r>
      <w:r>
        <w:rPr>
          <w:rFonts w:hint="eastAsia" w:ascii="Times New Roman" w:hAnsi="Times New Roman" w:cs="Times New Roman"/>
          <w:color w:val="auto"/>
          <w:w w:val="99"/>
          <w:sz w:val="24"/>
          <w:szCs w:val="24"/>
          <w:highlight w:val="none"/>
          <w:lang w:val="en-US" w:eastAsia="zh-CN"/>
        </w:rPr>
        <w:t>d</w:t>
      </w:r>
      <w:r>
        <w:rPr>
          <w:rFonts w:hint="default" w:ascii="Times New Roman" w:hAnsi="Times New Roman" w:cs="Times New Roman"/>
          <w:bCs/>
          <w:color w:val="auto"/>
          <w:w w:val="99"/>
          <w:kern w:val="2"/>
          <w:sz w:val="24"/>
          <w:szCs w:val="24"/>
          <w:highlight w:val="none"/>
          <w:lang w:val="en-US" w:eastAsia="zh-CN"/>
        </w:rPr>
        <w:t>。</w:t>
      </w:r>
    </w:p>
    <w:p w14:paraId="318030C1">
      <w:pPr>
        <w:pStyle w:val="153"/>
        <w:widowControl w:val="0"/>
        <w:spacing w:line="440" w:lineRule="exact"/>
        <w:ind w:firstLine="473"/>
        <w:jc w:val="both"/>
        <w:rPr>
          <w:rFonts w:ascii="Times New Roman" w:hAnsi="Times New Roman" w:eastAsiaTheme="minorEastAsia"/>
          <w:bCs/>
          <w:snapToGrid w:val="0"/>
          <w:color w:val="FF0000"/>
          <w:w w:val="99"/>
          <w:highlight w:val="none"/>
        </w:rPr>
      </w:pPr>
      <w:r>
        <w:rPr>
          <w:rFonts w:ascii="Times New Roman" w:hAnsi="Times New Roman" w:eastAsiaTheme="minorEastAsia"/>
          <w:bCs/>
          <w:snapToGrid w:val="0"/>
          <w:color w:val="FF0000"/>
          <w:w w:val="99"/>
          <w:highlight w:val="none"/>
        </w:rPr>
        <w:t>建设周期：本项目计划施工期为202</w:t>
      </w:r>
      <w:r>
        <w:rPr>
          <w:rFonts w:hint="eastAsia" w:ascii="Times New Roman" w:hAnsi="Times New Roman" w:eastAsiaTheme="minorEastAsia"/>
          <w:bCs/>
          <w:snapToGrid w:val="0"/>
          <w:color w:val="FF0000"/>
          <w:w w:val="99"/>
          <w:highlight w:val="none"/>
          <w:lang w:val="en-US" w:eastAsia="zh-CN"/>
        </w:rPr>
        <w:t>6</w:t>
      </w:r>
      <w:r>
        <w:rPr>
          <w:rFonts w:ascii="Times New Roman" w:hAnsi="Times New Roman" w:eastAsiaTheme="minorEastAsia"/>
          <w:bCs/>
          <w:snapToGrid w:val="0"/>
          <w:color w:val="FF0000"/>
          <w:w w:val="99"/>
          <w:highlight w:val="none"/>
        </w:rPr>
        <w:t>年</w:t>
      </w:r>
      <w:r>
        <w:rPr>
          <w:rFonts w:hint="eastAsia" w:ascii="Times New Roman" w:hAnsi="Times New Roman" w:eastAsiaTheme="minorEastAsia"/>
          <w:bCs/>
          <w:snapToGrid w:val="0"/>
          <w:color w:val="FF0000"/>
          <w:w w:val="99"/>
          <w:highlight w:val="none"/>
          <w:lang w:val="en-US" w:eastAsia="zh-CN"/>
        </w:rPr>
        <w:t>11</w:t>
      </w:r>
      <w:r>
        <w:rPr>
          <w:rFonts w:ascii="Times New Roman" w:hAnsi="Times New Roman" w:eastAsiaTheme="minorEastAsia"/>
          <w:bCs/>
          <w:snapToGrid w:val="0"/>
          <w:color w:val="FF0000"/>
          <w:w w:val="99"/>
          <w:highlight w:val="none"/>
        </w:rPr>
        <w:t>月至</w:t>
      </w:r>
      <w:r>
        <w:rPr>
          <w:rFonts w:hint="eastAsia" w:ascii="Times New Roman" w:hAnsi="Times New Roman" w:eastAsiaTheme="minorEastAsia"/>
          <w:bCs/>
          <w:snapToGrid w:val="0"/>
          <w:color w:val="FF0000"/>
          <w:w w:val="99"/>
          <w:highlight w:val="none"/>
          <w:lang w:val="en-US" w:eastAsia="zh-CN"/>
        </w:rPr>
        <w:t>12</w:t>
      </w:r>
      <w:r>
        <w:rPr>
          <w:rFonts w:ascii="Times New Roman" w:hAnsi="Times New Roman" w:eastAsiaTheme="minorEastAsia"/>
          <w:bCs/>
          <w:snapToGrid w:val="0"/>
          <w:color w:val="FF0000"/>
          <w:w w:val="99"/>
          <w:highlight w:val="none"/>
        </w:rPr>
        <w:t>月，</w:t>
      </w:r>
      <w:r>
        <w:rPr>
          <w:rFonts w:hint="eastAsia" w:ascii="Times New Roman" w:hAnsi="Times New Roman" w:eastAsiaTheme="minorEastAsia"/>
          <w:bCs/>
          <w:snapToGrid w:val="0"/>
          <w:color w:val="FF0000"/>
          <w:w w:val="99"/>
          <w:highlight w:val="none"/>
          <w:lang w:val="en-US" w:eastAsia="zh-CN"/>
        </w:rPr>
        <w:t>地面</w:t>
      </w:r>
      <w:r>
        <w:rPr>
          <w:rFonts w:ascii="Times New Roman" w:hAnsi="Times New Roman" w:eastAsiaTheme="minorEastAsia"/>
          <w:bCs/>
          <w:snapToGrid w:val="0"/>
          <w:color w:val="FF0000"/>
          <w:w w:val="99"/>
          <w:highlight w:val="none"/>
        </w:rPr>
        <w:t>施工约</w:t>
      </w:r>
      <w:r>
        <w:rPr>
          <w:rFonts w:hint="eastAsia" w:ascii="Times New Roman" w:hAnsi="Times New Roman" w:eastAsiaTheme="minorEastAsia"/>
          <w:bCs/>
          <w:snapToGrid w:val="0"/>
          <w:color w:val="FF0000"/>
          <w:w w:val="99"/>
          <w:highlight w:val="none"/>
          <w:lang w:val="en-US" w:eastAsia="zh-CN"/>
        </w:rPr>
        <w:t>30</w:t>
      </w:r>
      <w:r>
        <w:rPr>
          <w:rFonts w:ascii="Times New Roman" w:hAnsi="Times New Roman" w:eastAsiaTheme="minorEastAsia"/>
          <w:bCs/>
          <w:snapToGrid w:val="0"/>
          <w:color w:val="FF0000"/>
          <w:w w:val="99"/>
          <w:highlight w:val="none"/>
        </w:rPr>
        <w:t>d；</w:t>
      </w:r>
    </w:p>
    <w:p w14:paraId="501F2E72">
      <w:pPr>
        <w:pStyle w:val="153"/>
        <w:widowControl w:val="0"/>
        <w:ind w:firstLine="473"/>
        <w:jc w:val="both"/>
        <w:rPr>
          <w:rFonts w:hint="default" w:ascii="Times New Roman" w:hAnsi="Times New Roman" w:eastAsia="宋体" w:cs="Times New Roman"/>
          <w:snapToGrid w:val="0"/>
          <w:color w:val="auto"/>
          <w:w w:val="99"/>
          <w:highlight w:val="none"/>
          <w:lang w:val="en-US" w:eastAsia="zh-CN"/>
        </w:rPr>
      </w:pPr>
      <w:r>
        <w:rPr>
          <w:rFonts w:hint="default" w:ascii="Times New Roman" w:hAnsi="Times New Roman" w:eastAsia="宋体" w:cs="Times New Roman"/>
          <w:snapToGrid w:val="0"/>
          <w:color w:val="auto"/>
          <w:w w:val="99"/>
          <w:highlight w:val="none"/>
          <w:lang w:val="en-US" w:eastAsia="zh-CN"/>
        </w:rPr>
        <w:t>劳动定员：</w:t>
      </w:r>
      <w:r>
        <w:rPr>
          <w:rFonts w:hint="eastAsia" w:ascii="Times New Roman" w:hAnsi="Times New Roman" w:eastAsia="宋体" w:cs="Times New Roman"/>
          <w:snapToGrid w:val="0"/>
          <w:color w:val="auto"/>
          <w:w w:val="99"/>
          <w:highlight w:val="none"/>
          <w:lang w:val="en-US" w:eastAsia="zh-CN"/>
        </w:rPr>
        <w:t>地面建设工程施工人数30人，运营期不新增定员</w:t>
      </w:r>
      <w:r>
        <w:rPr>
          <w:rFonts w:hint="default" w:ascii="Times New Roman" w:hAnsi="Times New Roman" w:eastAsia="宋体" w:cs="Times New Roman"/>
          <w:snapToGrid w:val="0"/>
          <w:color w:val="auto"/>
          <w:w w:val="99"/>
          <w:highlight w:val="none"/>
          <w:lang w:val="en-US" w:eastAsia="zh-CN"/>
        </w:rPr>
        <w:t>。</w:t>
      </w:r>
    </w:p>
    <w:p w14:paraId="3F599323">
      <w:pPr>
        <w:pStyle w:val="5"/>
        <w:keepNext w:val="0"/>
        <w:keepLines w:val="0"/>
        <w:widowControl w:val="0"/>
        <w:spacing w:before="120" w:after="120" w:line="440" w:lineRule="exact"/>
        <w:rPr>
          <w:rFonts w:hint="eastAsia" w:ascii="Times New Roman" w:hAnsi="Times New Roman" w:eastAsia="宋体"/>
          <w:b/>
          <w:snapToGrid w:val="0"/>
          <w:color w:val="auto"/>
          <w:w w:val="99"/>
          <w:highlight w:val="none"/>
          <w:lang w:val="en-US" w:eastAsia="zh-CN"/>
        </w:rPr>
      </w:pPr>
      <w:bookmarkStart w:id="426" w:name="_Toc20875"/>
      <w:r>
        <w:rPr>
          <w:rFonts w:ascii="Times New Roman" w:hAnsi="Times New Roman" w:eastAsia="宋体"/>
          <w:b/>
          <w:snapToGrid w:val="0"/>
          <w:color w:val="auto"/>
          <w:w w:val="99"/>
          <w:highlight w:val="none"/>
        </w:rPr>
        <w:t>3.</w:t>
      </w:r>
      <w:r>
        <w:rPr>
          <w:rFonts w:hint="eastAsia" w:ascii="Times New Roman" w:hAnsi="Times New Roman" w:eastAsia="宋体"/>
          <w:b/>
          <w:snapToGrid w:val="0"/>
          <w:color w:val="auto"/>
          <w:w w:val="99"/>
          <w:highlight w:val="none"/>
          <w:lang w:val="en-US" w:eastAsia="zh-CN"/>
        </w:rPr>
        <w:t>3</w:t>
      </w:r>
      <w:r>
        <w:rPr>
          <w:rFonts w:ascii="Times New Roman" w:hAnsi="Times New Roman" w:eastAsia="宋体"/>
          <w:b/>
          <w:snapToGrid w:val="0"/>
          <w:color w:val="auto"/>
          <w:w w:val="99"/>
          <w:highlight w:val="none"/>
        </w:rPr>
        <w:t>工程组成</w:t>
      </w:r>
      <w:bookmarkEnd w:id="426"/>
      <w:r>
        <w:rPr>
          <w:rFonts w:hint="eastAsia" w:ascii="Times New Roman" w:hAnsi="Times New Roman" w:eastAsia="宋体"/>
          <w:b/>
          <w:snapToGrid w:val="0"/>
          <w:color w:val="auto"/>
          <w:w w:val="99"/>
          <w:highlight w:val="none"/>
          <w:lang w:val="en-US" w:eastAsia="zh-CN"/>
        </w:rPr>
        <w:tab/>
      </w:r>
    </w:p>
    <w:bookmarkEnd w:id="424"/>
    <w:bookmarkEnd w:id="425"/>
    <w:p w14:paraId="6A6E6F5E">
      <w:pPr>
        <w:widowControl w:val="0"/>
        <w:spacing w:line="440" w:lineRule="exact"/>
        <w:ind w:firstLine="474" w:firstLineChars="200"/>
        <w:rPr>
          <w:rFonts w:ascii="Times New Roman" w:hAnsi="Times New Roman" w:cs="Times New Roman"/>
          <w:snapToGrid w:val="0"/>
          <w:color w:val="auto"/>
          <w:w w:val="99"/>
          <w:highlight w:val="none"/>
        </w:rPr>
      </w:pPr>
      <w:r>
        <w:rPr>
          <w:rFonts w:ascii="Times New Roman" w:hAnsi="Times New Roman" w:cs="Times New Roman"/>
          <w:snapToGrid w:val="0"/>
          <w:color w:val="auto"/>
          <w:w w:val="99"/>
          <w:highlight w:val="none"/>
        </w:rPr>
        <w:t>本项目工程组成见表3.</w:t>
      </w:r>
      <w:r>
        <w:rPr>
          <w:rFonts w:hint="eastAsia" w:ascii="Times New Roman" w:hAnsi="Times New Roman" w:cs="Times New Roman"/>
          <w:snapToGrid w:val="0"/>
          <w:color w:val="auto"/>
          <w:w w:val="99"/>
          <w:highlight w:val="none"/>
          <w:lang w:val="en-US" w:eastAsia="zh-CN"/>
        </w:rPr>
        <w:t>3</w:t>
      </w:r>
      <w:r>
        <w:rPr>
          <w:rFonts w:ascii="Times New Roman" w:hAnsi="Times New Roman" w:cs="Times New Roman"/>
          <w:snapToGrid w:val="0"/>
          <w:color w:val="auto"/>
          <w:w w:val="99"/>
          <w:highlight w:val="none"/>
        </w:rPr>
        <w:t>-1。</w:t>
      </w:r>
    </w:p>
    <w:p w14:paraId="29B35832">
      <w:pPr>
        <w:widowControl w:val="0"/>
        <w:spacing w:line="440" w:lineRule="exact"/>
        <w:ind w:firstLine="476" w:firstLineChars="200"/>
        <w:rPr>
          <w:rFonts w:ascii="Times New Roman" w:hAnsi="Times New Roman" w:cs="Times New Roman"/>
          <w:b/>
          <w:bCs/>
          <w:snapToGrid w:val="0"/>
          <w:color w:val="auto"/>
          <w:w w:val="99"/>
          <w:highlight w:val="none"/>
        </w:rPr>
      </w:pPr>
      <w:r>
        <w:rPr>
          <w:rFonts w:ascii="Times New Roman" w:hAnsi="Times New Roman" w:cs="Times New Roman"/>
          <w:b/>
          <w:bCs/>
          <w:snapToGrid w:val="0"/>
          <w:color w:val="auto"/>
          <w:w w:val="99"/>
          <w:highlight w:val="none"/>
        </w:rPr>
        <w:t>表3.</w:t>
      </w:r>
      <w:r>
        <w:rPr>
          <w:rFonts w:hint="eastAsia" w:ascii="Times New Roman" w:hAnsi="Times New Roman" w:cs="Times New Roman"/>
          <w:b/>
          <w:bCs/>
          <w:snapToGrid w:val="0"/>
          <w:color w:val="auto"/>
          <w:w w:val="99"/>
          <w:highlight w:val="none"/>
          <w:lang w:val="en-US" w:eastAsia="zh-CN"/>
        </w:rPr>
        <w:t>3</w:t>
      </w:r>
      <w:r>
        <w:rPr>
          <w:rFonts w:ascii="Times New Roman" w:hAnsi="Times New Roman" w:cs="Times New Roman"/>
          <w:b/>
          <w:bCs/>
          <w:snapToGrid w:val="0"/>
          <w:color w:val="auto"/>
          <w:w w:val="99"/>
          <w:highlight w:val="none"/>
        </w:rPr>
        <w:t>-1  工程组成一览表</w:t>
      </w:r>
    </w:p>
    <w:tbl>
      <w:tblPr>
        <w:tblStyle w:val="8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685"/>
        <w:gridCol w:w="63"/>
        <w:gridCol w:w="2"/>
        <w:gridCol w:w="935"/>
        <w:gridCol w:w="6121"/>
        <w:gridCol w:w="815"/>
      </w:tblGrid>
      <w:tr w14:paraId="2F1D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Align w:val="center"/>
          </w:tcPr>
          <w:p w14:paraId="23806823">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工程类别</w:t>
            </w:r>
          </w:p>
        </w:tc>
        <w:tc>
          <w:tcPr>
            <w:tcW w:w="907" w:type="pct"/>
            <w:gridSpan w:val="4"/>
            <w:vAlign w:val="center"/>
          </w:tcPr>
          <w:p w14:paraId="6C90B060">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工程组成</w:t>
            </w:r>
          </w:p>
        </w:tc>
        <w:tc>
          <w:tcPr>
            <w:tcW w:w="3299" w:type="pct"/>
            <w:vAlign w:val="center"/>
          </w:tcPr>
          <w:p w14:paraId="4D129C86">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建设内容及规模</w:t>
            </w:r>
          </w:p>
        </w:tc>
        <w:tc>
          <w:tcPr>
            <w:tcW w:w="439" w:type="pct"/>
            <w:vAlign w:val="center"/>
          </w:tcPr>
          <w:p w14:paraId="3F4561C6">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备注</w:t>
            </w:r>
          </w:p>
        </w:tc>
      </w:tr>
      <w:tr w14:paraId="6226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restart"/>
            <w:vAlign w:val="center"/>
          </w:tcPr>
          <w:p w14:paraId="5DD35C90">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主体工程</w:t>
            </w:r>
          </w:p>
        </w:tc>
        <w:tc>
          <w:tcPr>
            <w:tcW w:w="369" w:type="pct"/>
            <w:vMerge w:val="restart"/>
            <w:shd w:val="clear" w:color="auto" w:fill="auto"/>
            <w:vAlign w:val="center"/>
          </w:tcPr>
          <w:p w14:paraId="7F345CF4">
            <w:pPr>
              <w:spacing w:line="320" w:lineRule="exact"/>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采气</w:t>
            </w:r>
            <w:r>
              <w:rPr>
                <w:rFonts w:ascii="Times New Roman" w:hAnsi="Times New Roman" w:cs="Times New Roman"/>
                <w:color w:val="auto"/>
                <w:w w:val="99"/>
                <w:kern w:val="2"/>
                <w:sz w:val="21"/>
                <w:szCs w:val="21"/>
                <w:highlight w:val="none"/>
              </w:rPr>
              <w:t>集输工程</w:t>
            </w:r>
          </w:p>
        </w:tc>
        <w:tc>
          <w:tcPr>
            <w:tcW w:w="538" w:type="pct"/>
            <w:gridSpan w:val="3"/>
            <w:shd w:val="clear" w:color="auto" w:fill="auto"/>
            <w:vAlign w:val="center"/>
          </w:tcPr>
          <w:p w14:paraId="43C51C4C">
            <w:pPr>
              <w:spacing w:line="320" w:lineRule="exact"/>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气井</w:t>
            </w:r>
          </w:p>
        </w:tc>
        <w:tc>
          <w:tcPr>
            <w:tcW w:w="3299" w:type="pct"/>
            <w:shd w:val="clear" w:color="auto" w:fill="auto"/>
            <w:vAlign w:val="center"/>
          </w:tcPr>
          <w:p w14:paraId="57FB2819">
            <w:pPr>
              <w:keepNext w:val="0"/>
              <w:keepLines w:val="0"/>
              <w:pageBreakBefore w:val="0"/>
              <w:kinsoku/>
              <w:wordWrap/>
              <w:overflowPunct/>
              <w:topLinePunct w:val="0"/>
              <w:autoSpaceDE/>
              <w:autoSpaceDN/>
              <w:bidi w:val="0"/>
              <w:adjustRightInd/>
              <w:snapToGrid/>
              <w:spacing w:line="320" w:lineRule="exact"/>
              <w:ind w:firstLine="414" w:firstLineChars="200"/>
              <w:jc w:val="both"/>
              <w:textAlignment w:val="auto"/>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cs="Times New Roman"/>
                <w:bCs/>
                <w:color w:val="auto"/>
                <w:w w:val="99"/>
                <w:kern w:val="2"/>
                <w:sz w:val="21"/>
                <w:szCs w:val="21"/>
                <w:highlight w:val="none"/>
                <w:lang w:val="en-US" w:eastAsia="zh-CN"/>
              </w:rPr>
              <w:t>本工程共基建井口设施</w:t>
            </w:r>
            <w:r>
              <w:rPr>
                <w:rFonts w:hint="eastAsia" w:ascii="Times New Roman" w:hAnsi="Times New Roman" w:cs="Times New Roman"/>
                <w:bCs/>
                <w:color w:val="auto"/>
                <w:w w:val="99"/>
                <w:kern w:val="2"/>
                <w:sz w:val="21"/>
                <w:szCs w:val="21"/>
                <w:highlight w:val="none"/>
                <w:lang w:val="en-US" w:eastAsia="zh-CN"/>
              </w:rPr>
              <w:t>1</w:t>
            </w:r>
            <w:r>
              <w:rPr>
                <w:rFonts w:hint="default" w:ascii="Times New Roman" w:hAnsi="Times New Roman" w:cs="Times New Roman"/>
                <w:bCs/>
                <w:color w:val="auto"/>
                <w:w w:val="99"/>
                <w:kern w:val="2"/>
                <w:sz w:val="21"/>
                <w:szCs w:val="21"/>
                <w:highlight w:val="none"/>
                <w:lang w:val="en-US" w:eastAsia="zh-CN"/>
              </w:rPr>
              <w:t>套，井口装置包括井口安全设施、井口减压设施、监测设施、井口放空池、井口除砂器</w:t>
            </w:r>
            <w:r>
              <w:rPr>
                <w:rFonts w:hint="eastAsia" w:ascii="Times New Roman" w:hAnsi="Times New Roman" w:cs="Times New Roman"/>
                <w:bCs/>
                <w:color w:val="auto"/>
                <w:w w:val="99"/>
                <w:kern w:val="2"/>
                <w:sz w:val="21"/>
                <w:szCs w:val="21"/>
                <w:highlight w:val="none"/>
                <w:lang w:val="en-US" w:eastAsia="zh-CN"/>
              </w:rPr>
              <w:t>。</w:t>
            </w:r>
            <w:r>
              <w:rPr>
                <w:rFonts w:hint="default" w:ascii="Times New Roman" w:hAnsi="Times New Roman" w:cs="Times New Roman"/>
                <w:bCs/>
                <w:color w:val="auto"/>
                <w:w w:val="99"/>
                <w:kern w:val="2"/>
                <w:sz w:val="21"/>
                <w:szCs w:val="21"/>
                <w:highlight w:val="none"/>
                <w:lang w:val="en-US" w:eastAsia="zh-CN"/>
              </w:rPr>
              <w:t>建成后产能</w:t>
            </w:r>
            <w:r>
              <w:rPr>
                <w:rFonts w:hint="eastAsia" w:ascii="Times New Roman" w:hAnsi="Times New Roman" w:cs="Times New Roman"/>
                <w:color w:val="auto"/>
                <w:w w:val="99"/>
                <w:sz w:val="21"/>
                <w:szCs w:val="21"/>
                <w:highlight w:val="none"/>
                <w:lang w:val="en-US" w:eastAsia="zh-CN"/>
              </w:rPr>
              <w:t>9</w:t>
            </w:r>
            <w:r>
              <w:rPr>
                <w:rFonts w:hint="default" w:ascii="Times New Roman" w:hAnsi="Times New Roman" w:cs="Times New Roman"/>
                <w:color w:val="auto"/>
                <w:w w:val="99"/>
                <w:sz w:val="21"/>
                <w:szCs w:val="21"/>
                <w:highlight w:val="none"/>
              </w:rPr>
              <w:t>×10</w:t>
            </w:r>
            <w:r>
              <w:rPr>
                <w:rFonts w:hint="eastAsia" w:ascii="Times New Roman" w:hAnsi="Times New Roman" w:cs="Times New Roman"/>
                <w:color w:val="auto"/>
                <w:w w:val="99"/>
                <w:sz w:val="21"/>
                <w:szCs w:val="21"/>
                <w:highlight w:val="none"/>
                <w:vertAlign w:val="superscript"/>
                <w:lang w:val="en-US" w:eastAsia="zh-CN"/>
              </w:rPr>
              <w:t>4</w:t>
            </w:r>
            <w:r>
              <w:rPr>
                <w:rFonts w:hint="default" w:ascii="Times New Roman" w:hAnsi="Times New Roman" w:cs="Times New Roman"/>
                <w:color w:val="auto"/>
                <w:w w:val="99"/>
                <w:sz w:val="21"/>
                <w:szCs w:val="21"/>
                <w:highlight w:val="none"/>
              </w:rPr>
              <w:t>m</w:t>
            </w:r>
            <w:r>
              <w:rPr>
                <w:rFonts w:hint="default" w:ascii="Times New Roman" w:hAnsi="Times New Roman" w:cs="Times New Roman"/>
                <w:color w:val="auto"/>
                <w:w w:val="99"/>
                <w:sz w:val="21"/>
                <w:szCs w:val="21"/>
                <w:highlight w:val="none"/>
                <w:vertAlign w:val="superscript"/>
              </w:rPr>
              <w:t>3</w:t>
            </w:r>
            <w:r>
              <w:rPr>
                <w:rFonts w:hint="default" w:ascii="Times New Roman" w:hAnsi="Times New Roman" w:cs="Times New Roman"/>
                <w:color w:val="auto"/>
                <w:w w:val="99"/>
                <w:sz w:val="21"/>
                <w:szCs w:val="21"/>
                <w:highlight w:val="none"/>
              </w:rPr>
              <w:t>/</w:t>
            </w:r>
            <w:r>
              <w:rPr>
                <w:rFonts w:hint="eastAsia" w:ascii="Times New Roman" w:hAnsi="Times New Roman" w:cs="Times New Roman"/>
                <w:color w:val="auto"/>
                <w:w w:val="99"/>
                <w:sz w:val="21"/>
                <w:szCs w:val="21"/>
                <w:highlight w:val="none"/>
                <w:lang w:val="en-US" w:eastAsia="zh-CN"/>
              </w:rPr>
              <w:t>d</w:t>
            </w:r>
            <w:r>
              <w:rPr>
                <w:rFonts w:hint="default" w:ascii="Times New Roman" w:hAnsi="Times New Roman" w:cs="Times New Roman"/>
                <w:bCs/>
                <w:color w:val="auto"/>
                <w:w w:val="99"/>
                <w:kern w:val="2"/>
                <w:sz w:val="21"/>
                <w:szCs w:val="21"/>
                <w:highlight w:val="none"/>
                <w:lang w:val="en-US" w:eastAsia="zh-CN"/>
              </w:rPr>
              <w:t>。</w:t>
            </w:r>
          </w:p>
        </w:tc>
        <w:tc>
          <w:tcPr>
            <w:tcW w:w="439" w:type="pct"/>
            <w:shd w:val="clear" w:color="auto" w:fill="auto"/>
            <w:vAlign w:val="center"/>
          </w:tcPr>
          <w:p w14:paraId="29585A3F">
            <w:pPr>
              <w:spacing w:line="320" w:lineRule="exact"/>
              <w:jc w:val="center"/>
              <w:rPr>
                <w:rFonts w:hint="default"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新建</w:t>
            </w:r>
          </w:p>
        </w:tc>
      </w:tr>
      <w:tr w14:paraId="1148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5333AFCD">
            <w:pPr>
              <w:spacing w:line="340" w:lineRule="exact"/>
              <w:jc w:val="center"/>
              <w:rPr>
                <w:rFonts w:hint="default" w:ascii="Times New Roman" w:hAnsi="Times New Roman" w:eastAsia="宋体" w:cs="Times New Roman"/>
                <w:color w:val="auto"/>
                <w:w w:val="99"/>
                <w:kern w:val="2"/>
                <w:sz w:val="21"/>
                <w:szCs w:val="21"/>
                <w:highlight w:val="none"/>
              </w:rPr>
            </w:pPr>
          </w:p>
        </w:tc>
        <w:tc>
          <w:tcPr>
            <w:tcW w:w="369" w:type="pct"/>
            <w:vMerge w:val="continue"/>
            <w:vAlign w:val="center"/>
          </w:tcPr>
          <w:p w14:paraId="151A0AA2">
            <w:pPr>
              <w:spacing w:line="340" w:lineRule="exact"/>
              <w:jc w:val="center"/>
              <w:rPr>
                <w:rFonts w:hint="default" w:ascii="Times New Roman" w:hAnsi="Times New Roman" w:eastAsia="宋体" w:cs="Times New Roman"/>
                <w:bCs/>
                <w:color w:val="auto"/>
                <w:w w:val="99"/>
                <w:kern w:val="21"/>
                <w:sz w:val="21"/>
                <w:szCs w:val="21"/>
                <w:highlight w:val="none"/>
                <w:lang w:val="en-US" w:eastAsia="zh-CN"/>
              </w:rPr>
            </w:pPr>
          </w:p>
        </w:tc>
        <w:tc>
          <w:tcPr>
            <w:tcW w:w="538" w:type="pct"/>
            <w:gridSpan w:val="3"/>
            <w:shd w:val="clear" w:color="auto" w:fill="auto"/>
            <w:vAlign w:val="center"/>
          </w:tcPr>
          <w:p w14:paraId="171A35AE">
            <w:pPr>
              <w:spacing w:line="320" w:lineRule="exact"/>
              <w:jc w:val="both"/>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采气集输管道</w:t>
            </w:r>
          </w:p>
        </w:tc>
        <w:tc>
          <w:tcPr>
            <w:tcW w:w="3299" w:type="pct"/>
            <w:shd w:val="clear" w:color="auto" w:fill="auto"/>
            <w:vAlign w:val="center"/>
          </w:tcPr>
          <w:p w14:paraId="18133CB8">
            <w:pPr>
              <w:keepNext w:val="0"/>
              <w:keepLines w:val="0"/>
              <w:pageBreakBefore w:val="0"/>
              <w:kinsoku/>
              <w:wordWrap/>
              <w:overflowPunct/>
              <w:topLinePunct w:val="0"/>
              <w:autoSpaceDE/>
              <w:autoSpaceDN/>
              <w:bidi w:val="0"/>
              <w:adjustRightInd/>
              <w:snapToGrid/>
              <w:spacing w:line="320" w:lineRule="exact"/>
              <w:ind w:firstLine="414" w:firstLineChars="200"/>
              <w:jc w:val="both"/>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新建Φ76×（9+2）采气管道</w:t>
            </w:r>
            <w:r>
              <w:rPr>
                <w:rFonts w:hint="eastAsia" w:ascii="Times New Roman" w:hAnsi="Times New Roman" w:cs="Times New Roman"/>
                <w:color w:val="auto"/>
                <w:w w:val="99"/>
                <w:kern w:val="2"/>
                <w:sz w:val="21"/>
                <w:szCs w:val="21"/>
                <w:highlight w:val="none"/>
                <w:lang w:val="en-US" w:eastAsia="zh-CN" w:bidi="ar-SA"/>
              </w:rPr>
              <w:t>1.92</w:t>
            </w:r>
            <w:r>
              <w:rPr>
                <w:rFonts w:hint="eastAsia" w:ascii="Times New Roman" w:hAnsi="Times New Roman" w:eastAsia="宋体" w:cs="Times New Roman"/>
                <w:color w:val="auto"/>
                <w:w w:val="99"/>
                <w:kern w:val="2"/>
                <w:sz w:val="21"/>
                <w:szCs w:val="21"/>
                <w:highlight w:val="none"/>
                <w:lang w:val="en-US" w:eastAsia="zh-CN" w:bidi="ar-SA"/>
              </w:rPr>
              <w:t>km，设计压力均为31MPa，管道材质采</w:t>
            </w:r>
            <w:r>
              <w:rPr>
                <w:rFonts w:hint="eastAsia" w:ascii="Times New Roman" w:hAnsi="Times New Roman" w:cs="Times New Roman"/>
                <w:color w:val="auto"/>
                <w:w w:val="99"/>
                <w:kern w:val="2"/>
                <w:sz w:val="21"/>
                <w:szCs w:val="21"/>
                <w:highlight w:val="none"/>
                <w:lang w:val="en-US" w:eastAsia="zh-CN" w:bidi="ar-SA"/>
              </w:rPr>
              <w:t>用</w:t>
            </w:r>
            <w:r>
              <w:rPr>
                <w:rFonts w:hint="eastAsia" w:ascii="Times New Roman" w:hAnsi="Times New Roman" w:eastAsia="宋体" w:cs="Times New Roman"/>
                <w:color w:val="auto"/>
                <w:w w:val="99"/>
                <w:kern w:val="2"/>
                <w:sz w:val="21"/>
                <w:szCs w:val="21"/>
                <w:highlight w:val="none"/>
                <w:lang w:val="en-US" w:eastAsia="zh-CN" w:bidi="ar-SA"/>
              </w:rPr>
              <w:t>20#+316L内衬不锈钢材质。</w:t>
            </w:r>
            <w:r>
              <w:rPr>
                <w:rFonts w:hint="default" w:ascii="Times New Roman" w:hAnsi="Times New Roman" w:eastAsia="宋体" w:cs="Times New Roman"/>
                <w:color w:val="auto"/>
                <w:w w:val="99"/>
                <w:kern w:val="2"/>
                <w:sz w:val="21"/>
                <w:szCs w:val="21"/>
                <w:highlight w:val="none"/>
                <w:lang w:val="en-US" w:eastAsia="zh-CN" w:bidi="ar-SA"/>
              </w:rPr>
              <w:t>采气管道均采用埋地敷设，管顶标高为-</w:t>
            </w:r>
            <w:r>
              <w:rPr>
                <w:rFonts w:hint="eastAsia" w:ascii="Times New Roman" w:hAnsi="Times New Roman" w:eastAsia="宋体" w:cs="Times New Roman"/>
                <w:color w:val="auto"/>
                <w:w w:val="99"/>
                <w:kern w:val="2"/>
                <w:sz w:val="21"/>
                <w:szCs w:val="21"/>
                <w:highlight w:val="none"/>
                <w:lang w:val="en-US" w:eastAsia="zh-CN" w:bidi="ar-SA"/>
              </w:rPr>
              <w:t>1.8</w:t>
            </w:r>
            <w:r>
              <w:rPr>
                <w:rFonts w:hint="default" w:ascii="Times New Roman" w:hAnsi="Times New Roman" w:eastAsia="宋体" w:cs="Times New Roman"/>
                <w:color w:val="auto"/>
                <w:w w:val="99"/>
                <w:kern w:val="2"/>
                <w:sz w:val="21"/>
                <w:szCs w:val="21"/>
                <w:highlight w:val="none"/>
                <w:lang w:val="en-US" w:eastAsia="zh-CN" w:bidi="ar-SA"/>
              </w:rPr>
              <w:t>m。</w:t>
            </w:r>
            <w:r>
              <w:rPr>
                <w:rFonts w:hint="eastAsia" w:ascii="Times New Roman" w:hAnsi="Times New Roman" w:eastAsia="宋体" w:cs="Times New Roman"/>
                <w:color w:val="auto"/>
                <w:w w:val="99"/>
                <w:kern w:val="2"/>
                <w:sz w:val="21"/>
                <w:szCs w:val="21"/>
                <w:highlight w:val="none"/>
                <w:lang w:val="en-US" w:eastAsia="zh-CN" w:bidi="ar-SA"/>
              </w:rPr>
              <w:t>管沟开挖以机械开挖为主，管线施工涉及</w:t>
            </w:r>
            <w:r>
              <w:rPr>
                <w:rFonts w:hint="eastAsia" w:ascii="Times New Roman" w:hAnsi="Times New Roman" w:cs="Times New Roman"/>
                <w:color w:val="auto"/>
                <w:w w:val="99"/>
                <w:kern w:val="2"/>
                <w:sz w:val="21"/>
                <w:szCs w:val="21"/>
                <w:highlight w:val="none"/>
                <w:lang w:val="en-US" w:eastAsia="zh-CN" w:bidi="ar-SA"/>
              </w:rPr>
              <w:t>钢顶</w:t>
            </w:r>
            <w:r>
              <w:rPr>
                <w:rFonts w:hint="default" w:ascii="Times New Roman" w:hAnsi="Times New Roman" w:eastAsia="宋体" w:cs="Times New Roman"/>
                <w:color w:val="auto"/>
                <w:w w:val="99"/>
                <w:kern w:val="2"/>
                <w:sz w:val="21"/>
                <w:szCs w:val="21"/>
                <w:highlight w:val="none"/>
                <w:lang w:val="en-US" w:eastAsia="zh-CN" w:bidi="ar-SA"/>
              </w:rPr>
              <w:t>穿越</w:t>
            </w:r>
            <w:r>
              <w:rPr>
                <w:rFonts w:hint="eastAsia" w:ascii="Times New Roman" w:hAnsi="Times New Roman" w:cs="Times New Roman"/>
                <w:color w:val="auto"/>
                <w:w w:val="99"/>
                <w:kern w:val="2"/>
                <w:sz w:val="21"/>
                <w:szCs w:val="21"/>
                <w:highlight w:val="none"/>
                <w:lang w:val="en-US" w:eastAsia="zh-CN" w:bidi="ar-SA"/>
              </w:rPr>
              <w:t>4</w:t>
            </w:r>
            <w:r>
              <w:rPr>
                <w:rFonts w:hint="eastAsia" w:ascii="Times New Roman" w:hAnsi="Times New Roman" w:eastAsia="宋体" w:cs="Times New Roman"/>
                <w:color w:val="auto"/>
                <w:w w:val="99"/>
                <w:kern w:val="2"/>
                <w:sz w:val="21"/>
                <w:szCs w:val="21"/>
                <w:highlight w:val="none"/>
                <w:lang w:val="en-US" w:eastAsia="zh-CN" w:bidi="ar-SA"/>
              </w:rPr>
              <w:t>处</w:t>
            </w:r>
            <w:r>
              <w:rPr>
                <w:rFonts w:hint="default" w:ascii="Times New Roman" w:hAnsi="Times New Roman" w:eastAsia="宋体" w:cs="Times New Roman"/>
                <w:color w:val="auto"/>
                <w:w w:val="99"/>
                <w:kern w:val="2"/>
                <w:sz w:val="21"/>
                <w:szCs w:val="21"/>
                <w:highlight w:val="none"/>
                <w:lang w:val="en-US" w:eastAsia="zh-CN" w:bidi="ar-SA"/>
              </w:rPr>
              <w:t>。</w:t>
            </w:r>
          </w:p>
        </w:tc>
        <w:tc>
          <w:tcPr>
            <w:tcW w:w="439" w:type="pct"/>
            <w:shd w:val="clear" w:color="auto" w:fill="auto"/>
            <w:vAlign w:val="center"/>
          </w:tcPr>
          <w:p w14:paraId="4ECB54D6">
            <w:pPr>
              <w:spacing w:line="320" w:lineRule="exact"/>
              <w:jc w:val="center"/>
              <w:rPr>
                <w:rFonts w:hint="eastAsia"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新建</w:t>
            </w:r>
          </w:p>
        </w:tc>
      </w:tr>
      <w:tr w14:paraId="0124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50F0A4CF">
            <w:pPr>
              <w:spacing w:line="340" w:lineRule="exact"/>
              <w:jc w:val="center"/>
              <w:rPr>
                <w:rFonts w:hint="default" w:ascii="Times New Roman" w:hAnsi="Times New Roman" w:eastAsia="宋体" w:cs="Times New Roman"/>
                <w:color w:val="auto"/>
                <w:w w:val="99"/>
                <w:kern w:val="2"/>
                <w:sz w:val="21"/>
                <w:szCs w:val="21"/>
                <w:highlight w:val="none"/>
              </w:rPr>
            </w:pPr>
          </w:p>
        </w:tc>
        <w:tc>
          <w:tcPr>
            <w:tcW w:w="369" w:type="pct"/>
            <w:shd w:val="clear" w:color="auto" w:fill="auto"/>
            <w:vAlign w:val="center"/>
          </w:tcPr>
          <w:p w14:paraId="50DEE8DA">
            <w:pPr>
              <w:spacing w:line="320" w:lineRule="exact"/>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场站改造</w:t>
            </w:r>
          </w:p>
        </w:tc>
        <w:tc>
          <w:tcPr>
            <w:tcW w:w="538" w:type="pct"/>
            <w:gridSpan w:val="3"/>
            <w:shd w:val="clear" w:color="auto" w:fill="auto"/>
            <w:vAlign w:val="center"/>
          </w:tcPr>
          <w:p w14:paraId="18768CB0">
            <w:pPr>
              <w:spacing w:line="320" w:lineRule="exact"/>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徐深27集气站</w:t>
            </w:r>
          </w:p>
        </w:tc>
        <w:tc>
          <w:tcPr>
            <w:tcW w:w="3299" w:type="pct"/>
            <w:shd w:val="clear" w:color="auto" w:fill="auto"/>
            <w:vAlign w:val="center"/>
          </w:tcPr>
          <w:p w14:paraId="1CD426CF">
            <w:pPr>
              <w:keepNext w:val="0"/>
              <w:keepLines w:val="0"/>
              <w:pageBreakBefore w:val="0"/>
              <w:kinsoku/>
              <w:wordWrap/>
              <w:overflowPunct/>
              <w:topLinePunct w:val="0"/>
              <w:autoSpaceDE/>
              <w:autoSpaceDN/>
              <w:bidi w:val="0"/>
              <w:adjustRightInd/>
              <w:snapToGrid/>
              <w:spacing w:line="320" w:lineRule="exact"/>
              <w:ind w:firstLine="414" w:firstLineChars="200"/>
              <w:jc w:val="both"/>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新建进站阀组DN</w:t>
            </w:r>
            <w:r>
              <w:rPr>
                <w:rFonts w:hint="default" w:ascii="Times New Roman" w:hAnsi="Times New Roman" w:eastAsia="宋体" w:cs="Times New Roman"/>
                <w:color w:val="auto"/>
                <w:w w:val="99"/>
                <w:kern w:val="2"/>
                <w:sz w:val="21"/>
                <w:szCs w:val="21"/>
                <w:highlight w:val="none"/>
                <w:lang w:val="en-US" w:eastAsia="zh-CN" w:bidi="ar-SA"/>
              </w:rPr>
              <w:t>65 PN360（316L）</w:t>
            </w:r>
            <w:r>
              <w:rPr>
                <w:rFonts w:hint="eastAsia" w:ascii="Times New Roman" w:hAnsi="Times New Roman" w:eastAsia="宋体" w:cs="Times New Roman"/>
                <w:color w:val="auto"/>
                <w:w w:val="99"/>
                <w:kern w:val="2"/>
                <w:sz w:val="21"/>
                <w:szCs w:val="21"/>
                <w:highlight w:val="none"/>
                <w:lang w:val="en-US" w:eastAsia="zh-CN" w:bidi="ar-SA"/>
              </w:rPr>
              <w:t>、</w:t>
            </w:r>
            <w:r>
              <w:rPr>
                <w:rFonts w:hint="default" w:ascii="Times New Roman" w:hAnsi="Times New Roman" w:eastAsia="宋体" w:cs="Times New Roman"/>
                <w:color w:val="auto"/>
                <w:w w:val="99"/>
                <w:kern w:val="2"/>
                <w:sz w:val="21"/>
                <w:szCs w:val="21"/>
                <w:highlight w:val="none"/>
                <w:lang w:val="en-US" w:eastAsia="zh-CN" w:bidi="ar-SA"/>
              </w:rPr>
              <w:t>生产阀组DN80 PN</w:t>
            </w:r>
            <w:r>
              <w:rPr>
                <w:rFonts w:hint="eastAsia" w:ascii="Times New Roman" w:hAnsi="Times New Roman" w:eastAsia="宋体" w:cs="Times New Roman"/>
                <w:color w:val="auto"/>
                <w:w w:val="99"/>
                <w:kern w:val="2"/>
                <w:sz w:val="21"/>
                <w:szCs w:val="21"/>
                <w:highlight w:val="none"/>
                <w:lang w:val="en-US" w:eastAsia="zh-CN" w:bidi="ar-SA"/>
              </w:rPr>
              <w:t>10</w:t>
            </w:r>
            <w:r>
              <w:rPr>
                <w:rFonts w:hint="default" w:ascii="Times New Roman" w:hAnsi="Times New Roman" w:eastAsia="宋体" w:cs="Times New Roman"/>
                <w:color w:val="auto"/>
                <w:w w:val="99"/>
                <w:kern w:val="2"/>
                <w:sz w:val="21"/>
                <w:szCs w:val="21"/>
                <w:highlight w:val="none"/>
                <w:lang w:val="en-US" w:eastAsia="zh-CN" w:bidi="ar-SA"/>
              </w:rPr>
              <w:t>0（316L）</w:t>
            </w:r>
            <w:r>
              <w:rPr>
                <w:rFonts w:hint="eastAsia" w:ascii="Times New Roman" w:hAnsi="Times New Roman" w:eastAsia="宋体" w:cs="Times New Roman"/>
                <w:color w:val="auto"/>
                <w:w w:val="99"/>
                <w:kern w:val="2"/>
                <w:sz w:val="21"/>
                <w:szCs w:val="21"/>
                <w:highlight w:val="none"/>
                <w:lang w:val="en-US" w:eastAsia="zh-CN" w:bidi="ar-SA"/>
              </w:rPr>
              <w:t>各一套。</w:t>
            </w:r>
          </w:p>
        </w:tc>
        <w:tc>
          <w:tcPr>
            <w:tcW w:w="439" w:type="pct"/>
            <w:shd w:val="clear" w:color="auto" w:fill="auto"/>
            <w:vAlign w:val="center"/>
          </w:tcPr>
          <w:p w14:paraId="6FB1BA85">
            <w:pPr>
              <w:spacing w:line="320" w:lineRule="exact"/>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改建</w:t>
            </w:r>
          </w:p>
        </w:tc>
      </w:tr>
      <w:tr w14:paraId="4E18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restart"/>
            <w:vAlign w:val="center"/>
          </w:tcPr>
          <w:p w14:paraId="7895A1E4">
            <w:pPr>
              <w:spacing w:line="340" w:lineRule="exact"/>
              <w:jc w:val="center"/>
              <w:rPr>
                <w:rFonts w:hint="default" w:ascii="Times New Roman" w:hAnsi="Times New Roman" w:eastAsia="宋体" w:cs="Times New Roman"/>
                <w:color w:val="auto"/>
                <w:w w:val="99"/>
                <w:kern w:val="2"/>
                <w:sz w:val="21"/>
                <w:szCs w:val="21"/>
                <w:highlight w:val="none"/>
              </w:rPr>
            </w:pPr>
            <w:r>
              <w:rPr>
                <w:rFonts w:hint="eastAsia" w:ascii="Times New Roman" w:hAnsi="Times New Roman" w:cs="Times New Roman"/>
                <w:color w:val="auto"/>
                <w:w w:val="99"/>
                <w:kern w:val="2"/>
                <w:sz w:val="21"/>
                <w:szCs w:val="21"/>
                <w:highlight w:val="none"/>
                <w:lang w:val="en-US" w:eastAsia="zh-CN"/>
              </w:rPr>
              <w:t>辅助</w:t>
            </w:r>
            <w:r>
              <w:rPr>
                <w:rFonts w:hint="default" w:ascii="Times New Roman" w:hAnsi="Times New Roman" w:eastAsia="宋体" w:cs="Times New Roman"/>
                <w:color w:val="auto"/>
                <w:w w:val="99"/>
                <w:kern w:val="2"/>
                <w:sz w:val="21"/>
                <w:szCs w:val="21"/>
                <w:highlight w:val="none"/>
              </w:rPr>
              <w:t>工程</w:t>
            </w:r>
          </w:p>
        </w:tc>
        <w:tc>
          <w:tcPr>
            <w:tcW w:w="907" w:type="pct"/>
            <w:gridSpan w:val="4"/>
            <w:vAlign w:val="center"/>
          </w:tcPr>
          <w:p w14:paraId="7ED4E40B">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0"/>
                <w:w w:val="99"/>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自动控制工程</w:t>
            </w:r>
          </w:p>
        </w:tc>
        <w:tc>
          <w:tcPr>
            <w:tcW w:w="3299" w:type="pct"/>
            <w:shd w:val="clear" w:color="auto" w:fill="auto"/>
            <w:vAlign w:val="top"/>
          </w:tcPr>
          <w:p w14:paraId="2269708D">
            <w:pPr>
              <w:keepNext w:val="0"/>
              <w:keepLines w:val="0"/>
              <w:pageBreakBefore w:val="0"/>
              <w:kinsoku/>
              <w:wordWrap/>
              <w:overflowPunct/>
              <w:topLinePunct w:val="0"/>
              <w:autoSpaceDE/>
              <w:autoSpaceDN/>
              <w:bidi w:val="0"/>
              <w:adjustRightInd/>
              <w:snapToGrid/>
              <w:spacing w:line="320" w:lineRule="exact"/>
              <w:ind w:firstLine="414" w:firstLineChars="200"/>
              <w:jc w:val="both"/>
              <w:textAlignment w:val="auto"/>
              <w:rPr>
                <w:rFonts w:hint="default" w:ascii="Times New Roman" w:hAnsi="Times New Roman" w:eastAsia="宋体" w:cs="Times New Roman"/>
                <w:color w:val="auto"/>
                <w:spacing w:val="0"/>
                <w:w w:val="99"/>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设置1台RTU，RTU配置包括控制器、电源、I/O模件、通信接口、控制箱及安装附件和应用软件。RTU工作温度范围-40~60℃。RTU安装在井场的视频监控杆上。</w:t>
            </w:r>
          </w:p>
        </w:tc>
        <w:tc>
          <w:tcPr>
            <w:tcW w:w="439" w:type="pct"/>
            <w:vAlign w:val="center"/>
          </w:tcPr>
          <w:p w14:paraId="6D537B4A">
            <w:pPr>
              <w:spacing w:line="340" w:lineRule="exact"/>
              <w:jc w:val="center"/>
              <w:rPr>
                <w:rFonts w:hint="default" w:ascii="Times New Roman" w:hAnsi="Times New Roman" w:eastAsia="宋体" w:cs="Times New Roman"/>
                <w:color w:val="auto"/>
                <w:w w:val="99"/>
                <w:kern w:val="2"/>
                <w:sz w:val="21"/>
                <w:szCs w:val="21"/>
                <w:highlight w:val="none"/>
              </w:rPr>
            </w:pPr>
            <w:r>
              <w:rPr>
                <w:rFonts w:hint="eastAsia" w:ascii="Times New Roman" w:hAnsi="Times New Roman" w:cs="Times New Roman"/>
                <w:color w:val="auto"/>
                <w:w w:val="99"/>
                <w:kern w:val="2"/>
                <w:sz w:val="21"/>
                <w:szCs w:val="21"/>
                <w:highlight w:val="none"/>
                <w:lang w:val="en-US" w:eastAsia="zh-CN"/>
              </w:rPr>
              <w:t>新建</w:t>
            </w:r>
          </w:p>
        </w:tc>
      </w:tr>
      <w:tr w14:paraId="418F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47B0A9C9">
            <w:pPr>
              <w:spacing w:line="340" w:lineRule="exact"/>
              <w:jc w:val="center"/>
              <w:rPr>
                <w:rFonts w:hint="eastAsia" w:ascii="Times New Roman" w:hAnsi="Times New Roman" w:cs="Times New Roman"/>
                <w:color w:val="auto"/>
                <w:w w:val="99"/>
                <w:kern w:val="2"/>
                <w:sz w:val="21"/>
                <w:szCs w:val="21"/>
                <w:highlight w:val="none"/>
                <w:lang w:val="en-US" w:eastAsia="zh-CN"/>
              </w:rPr>
            </w:pPr>
          </w:p>
        </w:tc>
        <w:tc>
          <w:tcPr>
            <w:tcW w:w="907" w:type="pct"/>
            <w:gridSpan w:val="4"/>
            <w:vAlign w:val="center"/>
          </w:tcPr>
          <w:p w14:paraId="57BDCD9C">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0"/>
                <w:w w:val="99"/>
                <w:sz w:val="21"/>
                <w:szCs w:val="21"/>
                <w:highlight w:val="none"/>
                <w:lang w:val="en-US" w:eastAsia="zh-CN"/>
              </w:rPr>
            </w:pPr>
            <w:r>
              <w:rPr>
                <w:rFonts w:hint="eastAsia" w:ascii="Times New Roman" w:hAnsi="Times New Roman" w:cs="Times New Roman"/>
                <w:color w:val="auto"/>
                <w:spacing w:val="0"/>
                <w:w w:val="99"/>
                <w:sz w:val="21"/>
                <w:szCs w:val="21"/>
                <w:highlight w:val="none"/>
                <w:lang w:val="en-US" w:eastAsia="zh-CN"/>
              </w:rPr>
              <w:t>道路工程</w:t>
            </w:r>
          </w:p>
        </w:tc>
        <w:tc>
          <w:tcPr>
            <w:tcW w:w="3299" w:type="pct"/>
            <w:shd w:val="clear" w:color="auto" w:fill="auto"/>
            <w:vAlign w:val="top"/>
          </w:tcPr>
          <w:p w14:paraId="41BA9DFC">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default" w:ascii="Times New Roman" w:hAnsi="Times New Roman" w:eastAsia="宋体" w:cs="Times New Roman"/>
                <w:color w:val="auto"/>
                <w:spacing w:val="0"/>
                <w:w w:val="99"/>
                <w:sz w:val="21"/>
                <w:szCs w:val="21"/>
                <w:highlight w:val="none"/>
                <w:lang w:val="en-US"/>
              </w:rPr>
            </w:pPr>
            <w:r>
              <w:rPr>
                <w:rFonts w:hint="eastAsia" w:ascii="Times New Roman" w:hAnsi="Times New Roman" w:eastAsia="宋体" w:cs="Times New Roman"/>
                <w:color w:val="auto"/>
                <w:w w:val="99"/>
                <w:kern w:val="2"/>
                <w:sz w:val="21"/>
                <w:szCs w:val="21"/>
                <w:highlight w:val="none"/>
                <w:lang w:val="en-US" w:eastAsia="zh-CN" w:bidi="ar-SA"/>
              </w:rPr>
              <w:t>新建沥青砼通井路200m，挂接至水泥路，</w:t>
            </w:r>
            <w:r>
              <w:rPr>
                <w:rFonts w:hint="default" w:ascii="Times New Roman" w:hAnsi="Times New Roman" w:eastAsia="宋体" w:cs="Times New Roman"/>
                <w:color w:val="auto"/>
                <w:w w:val="99"/>
                <w:kern w:val="2"/>
                <w:sz w:val="21"/>
                <w:szCs w:val="21"/>
                <w:highlight w:val="none"/>
                <w:lang w:val="en-US" w:eastAsia="zh-CN" w:bidi="ar-SA"/>
              </w:rPr>
              <w:t>路面宽3.5m，路基宽4.5m</w:t>
            </w:r>
            <w:r>
              <w:rPr>
                <w:rFonts w:hint="eastAsia" w:ascii="Times New Roman" w:hAnsi="Times New Roman" w:eastAsia="宋体" w:cs="Times New Roman"/>
                <w:color w:val="auto"/>
                <w:w w:val="99"/>
                <w:kern w:val="2"/>
                <w:sz w:val="21"/>
                <w:szCs w:val="21"/>
                <w:highlight w:val="none"/>
                <w:lang w:val="en-US" w:eastAsia="zh-CN" w:bidi="ar-SA"/>
              </w:rPr>
              <w:t>，占地性质为永久占地。</w:t>
            </w:r>
          </w:p>
        </w:tc>
        <w:tc>
          <w:tcPr>
            <w:tcW w:w="439" w:type="pct"/>
            <w:vAlign w:val="center"/>
          </w:tcPr>
          <w:p w14:paraId="00E956F0">
            <w:pPr>
              <w:spacing w:line="340" w:lineRule="exact"/>
              <w:jc w:val="center"/>
              <w:rPr>
                <w:rFonts w:hint="default" w:ascii="Times New Roman" w:hAnsi="Times New Roman" w:eastAsia="宋体" w:cs="Times New Roman"/>
                <w:color w:val="auto"/>
                <w:w w:val="99"/>
                <w:kern w:val="2"/>
                <w:sz w:val="21"/>
                <w:szCs w:val="21"/>
                <w:highlight w:val="none"/>
              </w:rPr>
            </w:pPr>
            <w:r>
              <w:rPr>
                <w:rFonts w:hint="eastAsia" w:ascii="Times New Roman" w:hAnsi="Times New Roman" w:cs="Times New Roman"/>
                <w:color w:val="auto"/>
                <w:w w:val="99"/>
                <w:kern w:val="2"/>
                <w:sz w:val="21"/>
                <w:szCs w:val="21"/>
                <w:highlight w:val="none"/>
                <w:lang w:val="en-US" w:eastAsia="zh-CN"/>
              </w:rPr>
              <w:t>新建</w:t>
            </w:r>
          </w:p>
        </w:tc>
      </w:tr>
      <w:tr w14:paraId="40A9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691D3C2A">
            <w:pPr>
              <w:spacing w:line="340" w:lineRule="exact"/>
              <w:jc w:val="center"/>
              <w:rPr>
                <w:rFonts w:hint="eastAsia" w:ascii="Times New Roman" w:hAnsi="Times New Roman" w:cs="Times New Roman"/>
                <w:color w:val="auto"/>
                <w:w w:val="99"/>
                <w:kern w:val="2"/>
                <w:sz w:val="21"/>
                <w:szCs w:val="21"/>
                <w:highlight w:val="none"/>
                <w:lang w:val="en-US" w:eastAsia="zh-CN"/>
              </w:rPr>
            </w:pPr>
          </w:p>
        </w:tc>
        <w:tc>
          <w:tcPr>
            <w:tcW w:w="907" w:type="pct"/>
            <w:gridSpan w:val="4"/>
            <w:vAlign w:val="center"/>
          </w:tcPr>
          <w:p w14:paraId="43665998">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通信工程</w:t>
            </w:r>
          </w:p>
        </w:tc>
        <w:tc>
          <w:tcPr>
            <w:tcW w:w="3299" w:type="pct"/>
            <w:shd w:val="clear" w:color="auto" w:fill="auto"/>
            <w:vAlign w:val="top"/>
          </w:tcPr>
          <w:p w14:paraId="1C863ACF">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井场设置球型摄像机1台，</w:t>
            </w:r>
            <w:r>
              <w:rPr>
                <w:rFonts w:hint="eastAsia" w:ascii="Times New Roman" w:hAnsi="Times New Roman" w:eastAsia="宋体" w:cs="Times New Roman"/>
                <w:color w:val="auto"/>
                <w:w w:val="99"/>
                <w:kern w:val="2"/>
                <w:sz w:val="21"/>
                <w:szCs w:val="21"/>
                <w:highlight w:val="none"/>
                <w:lang w:val="en-US" w:eastAsia="zh-CN" w:bidi="ar-SA"/>
              </w:rPr>
              <w:t>枪</w:t>
            </w:r>
            <w:r>
              <w:rPr>
                <w:rFonts w:hint="default" w:ascii="Times New Roman" w:hAnsi="Times New Roman" w:eastAsia="宋体" w:cs="Times New Roman"/>
                <w:color w:val="auto"/>
                <w:w w:val="99"/>
                <w:kern w:val="2"/>
                <w:sz w:val="21"/>
                <w:szCs w:val="21"/>
                <w:highlight w:val="none"/>
                <w:lang w:val="en-US" w:eastAsia="zh-CN" w:bidi="ar-SA"/>
              </w:rPr>
              <w:t>型摄像机1台</w:t>
            </w:r>
            <w:r>
              <w:rPr>
                <w:rFonts w:hint="eastAsia" w:ascii="Times New Roman" w:hAnsi="Times New Roman" w:eastAsia="宋体" w:cs="Times New Roman"/>
                <w:color w:val="auto"/>
                <w:w w:val="99"/>
                <w:kern w:val="2"/>
                <w:sz w:val="21"/>
                <w:szCs w:val="21"/>
                <w:highlight w:val="none"/>
                <w:lang w:val="en-US" w:eastAsia="zh-CN" w:bidi="ar-SA"/>
              </w:rPr>
              <w:t>，</w:t>
            </w:r>
            <w:r>
              <w:rPr>
                <w:rFonts w:hint="default" w:ascii="Times New Roman" w:hAnsi="Times New Roman" w:eastAsia="宋体" w:cs="Times New Roman"/>
                <w:color w:val="auto"/>
                <w:w w:val="99"/>
                <w:kern w:val="2"/>
                <w:sz w:val="21"/>
                <w:szCs w:val="21"/>
                <w:highlight w:val="none"/>
                <w:lang w:val="en-US" w:eastAsia="zh-CN" w:bidi="ar-SA"/>
              </w:rPr>
              <w:t>号角扬声器1套。为井场至集气站新建通信光缆线路共计</w:t>
            </w:r>
            <w:r>
              <w:rPr>
                <w:rFonts w:hint="eastAsia" w:ascii="Times New Roman" w:hAnsi="Times New Roman" w:eastAsia="宋体" w:cs="Times New Roman"/>
                <w:color w:val="auto"/>
                <w:w w:val="99"/>
                <w:kern w:val="2"/>
                <w:sz w:val="21"/>
                <w:szCs w:val="21"/>
                <w:highlight w:val="none"/>
                <w:lang w:val="en-US" w:eastAsia="zh-CN" w:bidi="ar-SA"/>
              </w:rPr>
              <w:t>1.9</w:t>
            </w:r>
            <w:r>
              <w:rPr>
                <w:rFonts w:hint="default" w:ascii="Times New Roman" w:hAnsi="Times New Roman" w:eastAsia="宋体" w:cs="Times New Roman"/>
                <w:color w:val="auto"/>
                <w:w w:val="99"/>
                <w:kern w:val="2"/>
                <w:sz w:val="21"/>
                <w:szCs w:val="21"/>
                <w:highlight w:val="none"/>
                <w:lang w:val="en-US" w:eastAsia="zh-CN" w:bidi="ar-SA"/>
              </w:rPr>
              <w:t>km，井场生产数据经工业级交换机光口上传至集气站。</w:t>
            </w:r>
          </w:p>
        </w:tc>
        <w:tc>
          <w:tcPr>
            <w:tcW w:w="439" w:type="pct"/>
            <w:vAlign w:val="center"/>
          </w:tcPr>
          <w:p w14:paraId="144EE7E2">
            <w:pPr>
              <w:spacing w:line="340" w:lineRule="exact"/>
              <w:jc w:val="center"/>
              <w:rPr>
                <w:rFonts w:hint="eastAsia"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新建</w:t>
            </w:r>
          </w:p>
        </w:tc>
      </w:tr>
      <w:tr w14:paraId="10C5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3" w:type="pct"/>
            <w:vMerge w:val="restart"/>
            <w:vAlign w:val="center"/>
          </w:tcPr>
          <w:p w14:paraId="51DE8847">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公用工程</w:t>
            </w:r>
          </w:p>
        </w:tc>
        <w:tc>
          <w:tcPr>
            <w:tcW w:w="907" w:type="pct"/>
            <w:gridSpan w:val="4"/>
            <w:vMerge w:val="restart"/>
            <w:vAlign w:val="center"/>
          </w:tcPr>
          <w:p w14:paraId="3592054F">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给水工程</w:t>
            </w:r>
          </w:p>
        </w:tc>
        <w:tc>
          <w:tcPr>
            <w:tcW w:w="3299" w:type="pct"/>
            <w:vAlign w:val="top"/>
          </w:tcPr>
          <w:p w14:paraId="4FDB779D">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14" w:firstLineChars="200"/>
              <w:jc w:val="both"/>
              <w:textAlignment w:val="auto"/>
              <w:rPr>
                <w:rFonts w:hint="default"/>
                <w:color w:val="auto"/>
                <w:spacing w:val="0"/>
                <w:w w:val="99"/>
                <w:highlight w:val="none"/>
              </w:rPr>
            </w:pPr>
            <w:r>
              <w:rPr>
                <w:rFonts w:hint="eastAsia" w:ascii="Times New Roman" w:hAnsi="Times New Roman" w:eastAsia="宋体" w:cs="Times New Roman"/>
                <w:color w:val="auto"/>
                <w:w w:val="99"/>
                <w:kern w:val="2"/>
                <w:sz w:val="21"/>
                <w:szCs w:val="21"/>
                <w:highlight w:val="none"/>
                <w:lang w:val="en-US" w:eastAsia="zh-CN" w:bidi="ar-SA"/>
              </w:rPr>
              <w:t>施工期：施工期用水主要为施工人员生活用水、管线试压用水。生活用水采用桶装水，管线试压用水由水罐车运送。</w:t>
            </w:r>
          </w:p>
        </w:tc>
        <w:tc>
          <w:tcPr>
            <w:tcW w:w="439" w:type="pct"/>
            <w:vAlign w:val="center"/>
          </w:tcPr>
          <w:p w14:paraId="07BBC18E">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依托</w:t>
            </w:r>
          </w:p>
        </w:tc>
      </w:tr>
      <w:tr w14:paraId="5E69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3" w:type="pct"/>
            <w:vMerge w:val="continue"/>
            <w:vAlign w:val="center"/>
          </w:tcPr>
          <w:p w14:paraId="3D3A80B0">
            <w:pPr>
              <w:spacing w:line="340" w:lineRule="exact"/>
              <w:jc w:val="center"/>
              <w:rPr>
                <w:rFonts w:hint="default" w:ascii="Times New Roman" w:hAnsi="Times New Roman" w:eastAsia="宋体" w:cs="Times New Roman"/>
                <w:color w:val="auto"/>
                <w:w w:val="99"/>
                <w:kern w:val="2"/>
                <w:sz w:val="21"/>
                <w:szCs w:val="21"/>
                <w:highlight w:val="none"/>
              </w:rPr>
            </w:pPr>
          </w:p>
        </w:tc>
        <w:tc>
          <w:tcPr>
            <w:tcW w:w="907" w:type="pct"/>
            <w:gridSpan w:val="4"/>
            <w:vMerge w:val="continue"/>
            <w:vAlign w:val="center"/>
          </w:tcPr>
          <w:p w14:paraId="7D8BE626">
            <w:pPr>
              <w:spacing w:line="340" w:lineRule="exact"/>
              <w:jc w:val="center"/>
              <w:rPr>
                <w:rFonts w:hint="default" w:ascii="Times New Roman" w:hAnsi="Times New Roman" w:eastAsia="宋体" w:cs="Times New Roman"/>
                <w:color w:val="auto"/>
                <w:w w:val="99"/>
                <w:kern w:val="2"/>
                <w:sz w:val="21"/>
                <w:szCs w:val="21"/>
                <w:highlight w:val="none"/>
              </w:rPr>
            </w:pPr>
          </w:p>
        </w:tc>
        <w:tc>
          <w:tcPr>
            <w:tcW w:w="3299" w:type="pct"/>
            <w:vAlign w:val="top"/>
          </w:tcPr>
          <w:p w14:paraId="78C189B0">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14" w:firstLineChars="200"/>
              <w:jc w:val="both"/>
              <w:textAlignment w:val="auto"/>
              <w:rPr>
                <w:rFonts w:hint="default" w:ascii="Times New Roman" w:hAnsi="Times New Roman" w:eastAsia="宋体" w:cs="Times New Roman"/>
                <w:color w:val="auto"/>
                <w:spacing w:val="0"/>
                <w:w w:val="99"/>
                <w:sz w:val="21"/>
                <w:szCs w:val="21"/>
                <w:highlight w:val="none"/>
              </w:rPr>
            </w:pPr>
            <w:r>
              <w:rPr>
                <w:rFonts w:hint="eastAsia" w:ascii="Times New Roman" w:hAnsi="Times New Roman" w:eastAsia="宋体" w:cs="Times New Roman"/>
                <w:color w:val="auto"/>
                <w:w w:val="99"/>
                <w:kern w:val="2"/>
                <w:sz w:val="21"/>
                <w:szCs w:val="21"/>
                <w:highlight w:val="none"/>
                <w:lang w:val="en-US" w:eastAsia="zh-CN" w:bidi="ar-SA"/>
              </w:rPr>
              <w:t>运行期：无新增用水。</w:t>
            </w:r>
          </w:p>
        </w:tc>
        <w:tc>
          <w:tcPr>
            <w:tcW w:w="439" w:type="pct"/>
            <w:vAlign w:val="center"/>
          </w:tcPr>
          <w:p w14:paraId="0514D985">
            <w:pPr>
              <w:spacing w:line="340" w:lineRule="exact"/>
              <w:jc w:val="center"/>
              <w:rPr>
                <w:rFonts w:hint="eastAsia"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w:t>
            </w:r>
          </w:p>
        </w:tc>
      </w:tr>
      <w:tr w14:paraId="7E75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6E7CBB0C">
            <w:pPr>
              <w:spacing w:line="340" w:lineRule="exact"/>
              <w:jc w:val="center"/>
              <w:rPr>
                <w:rFonts w:hint="default" w:ascii="Times New Roman" w:hAnsi="Times New Roman" w:eastAsia="宋体" w:cs="Times New Roman"/>
                <w:color w:val="auto"/>
                <w:w w:val="99"/>
                <w:kern w:val="2"/>
                <w:sz w:val="21"/>
                <w:szCs w:val="21"/>
                <w:highlight w:val="none"/>
              </w:rPr>
            </w:pPr>
          </w:p>
        </w:tc>
        <w:tc>
          <w:tcPr>
            <w:tcW w:w="907" w:type="pct"/>
            <w:gridSpan w:val="4"/>
            <w:vMerge w:val="restart"/>
            <w:vAlign w:val="center"/>
          </w:tcPr>
          <w:p w14:paraId="2F882028">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排水工程</w:t>
            </w:r>
          </w:p>
        </w:tc>
        <w:tc>
          <w:tcPr>
            <w:tcW w:w="3299" w:type="pct"/>
            <w:vAlign w:val="top"/>
          </w:tcPr>
          <w:p w14:paraId="4BB6A5BF">
            <w:pPr>
              <w:pStyle w:val="2857"/>
              <w:keepNext w:val="0"/>
              <w:keepLines w:val="0"/>
              <w:pageBreakBefore w:val="0"/>
              <w:kinsoku w:val="0"/>
              <w:wordWrap/>
              <w:overflowPunct/>
              <w:topLinePunct w:val="0"/>
              <w:autoSpaceDE w:val="0"/>
              <w:autoSpaceDN w:val="0"/>
              <w:bidi w:val="0"/>
              <w:adjustRightInd w:val="0"/>
              <w:snapToGrid w:val="0"/>
              <w:spacing w:line="360" w:lineRule="exact"/>
              <w:ind w:left="0" w:leftChars="0" w:right="0" w:rightChars="0" w:firstLine="414" w:firstLineChars="200"/>
              <w:jc w:val="both"/>
              <w:textAlignment w:val="baseline"/>
              <w:rPr>
                <w:rFonts w:hint="eastAsia" w:eastAsia="宋体"/>
                <w:color w:val="auto"/>
                <w:spacing w:val="0"/>
                <w:w w:val="99"/>
                <w:highlight w:val="none"/>
                <w:lang w:eastAsia="zh-CN"/>
              </w:rPr>
            </w:pPr>
            <w:r>
              <w:rPr>
                <w:rFonts w:hint="eastAsia" w:ascii="Times New Roman" w:hAnsi="Times New Roman" w:eastAsia="宋体" w:cs="Times New Roman"/>
                <w:color w:val="auto"/>
                <w:w w:val="99"/>
                <w:kern w:val="2"/>
                <w:sz w:val="21"/>
                <w:szCs w:val="21"/>
                <w:highlight w:val="none"/>
                <w:lang w:val="en-US" w:eastAsia="zh-CN" w:bidi="ar-SA"/>
              </w:rPr>
              <w:t>本项目施工期管线试压废水拉运至升一联气田污水预处理站处理，处理后的水质执行《大庆油田地面工程建设设计规定》（Q/SYDQ 0639-2015）限值“含油量≤10mg/L 、悬浮固体含量≤5mg/L、粒径中值≤2μm”，同时满足《碎屑岩油藏注水水质指标技术要求及分析方法》(SY/T5329-2022)中标准限值，回注地下。</w:t>
            </w:r>
          </w:p>
        </w:tc>
        <w:tc>
          <w:tcPr>
            <w:tcW w:w="439" w:type="pct"/>
            <w:vAlign w:val="center"/>
          </w:tcPr>
          <w:p w14:paraId="16D7B70B">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依托</w:t>
            </w:r>
          </w:p>
        </w:tc>
      </w:tr>
      <w:tr w14:paraId="0E29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138B9094">
            <w:pPr>
              <w:spacing w:line="340" w:lineRule="exact"/>
              <w:jc w:val="center"/>
              <w:rPr>
                <w:rFonts w:hint="default" w:ascii="Times New Roman" w:hAnsi="Times New Roman" w:eastAsia="宋体" w:cs="Times New Roman"/>
                <w:color w:val="auto"/>
                <w:w w:val="99"/>
                <w:kern w:val="2"/>
                <w:sz w:val="21"/>
                <w:szCs w:val="21"/>
                <w:highlight w:val="none"/>
              </w:rPr>
            </w:pPr>
          </w:p>
        </w:tc>
        <w:tc>
          <w:tcPr>
            <w:tcW w:w="907" w:type="pct"/>
            <w:gridSpan w:val="4"/>
            <w:vMerge w:val="continue"/>
            <w:vAlign w:val="center"/>
          </w:tcPr>
          <w:p w14:paraId="6E2B7967">
            <w:pPr>
              <w:spacing w:line="340" w:lineRule="exact"/>
              <w:jc w:val="center"/>
              <w:rPr>
                <w:rFonts w:hint="default" w:ascii="Times New Roman" w:hAnsi="Times New Roman" w:eastAsia="宋体" w:cs="Times New Roman"/>
                <w:color w:val="auto"/>
                <w:w w:val="99"/>
                <w:kern w:val="2"/>
                <w:sz w:val="21"/>
                <w:szCs w:val="21"/>
                <w:highlight w:val="none"/>
              </w:rPr>
            </w:pPr>
          </w:p>
        </w:tc>
        <w:tc>
          <w:tcPr>
            <w:tcW w:w="3299" w:type="pct"/>
            <w:vAlign w:val="top"/>
          </w:tcPr>
          <w:p w14:paraId="00AE3EAE">
            <w:pPr>
              <w:pStyle w:val="2857"/>
              <w:keepNext w:val="0"/>
              <w:keepLines w:val="0"/>
              <w:pageBreakBefore w:val="0"/>
              <w:kinsoku w:val="0"/>
              <w:wordWrap/>
              <w:overflowPunct/>
              <w:topLinePunct w:val="0"/>
              <w:autoSpaceDE w:val="0"/>
              <w:autoSpaceDN w:val="0"/>
              <w:bidi w:val="0"/>
              <w:adjustRightInd w:val="0"/>
              <w:snapToGrid w:val="0"/>
              <w:spacing w:line="360" w:lineRule="exact"/>
              <w:ind w:left="0" w:leftChars="0" w:right="0" w:rightChars="0" w:firstLine="414" w:firstLineChars="200"/>
              <w:jc w:val="both"/>
              <w:textAlignment w:val="baseline"/>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lang w:val="en-US" w:eastAsia="zh-CN" w:bidi="ar"/>
              </w:rPr>
              <w:t>地面工程生活污水排入本项目附近集气站已建生活污水收集设施，定期由大庆石油管理局有限公司庆南工矿服务公司红岗分公司拉运至大庆红岗区西巷污水回收站，管输至南区污水处理厂进行处理。</w:t>
            </w:r>
          </w:p>
        </w:tc>
        <w:tc>
          <w:tcPr>
            <w:tcW w:w="439" w:type="pct"/>
            <w:vAlign w:val="center"/>
          </w:tcPr>
          <w:p w14:paraId="00893DEA">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依托</w:t>
            </w:r>
          </w:p>
        </w:tc>
      </w:tr>
      <w:tr w14:paraId="6D0E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3CE6C2A5">
            <w:pPr>
              <w:spacing w:line="340" w:lineRule="exact"/>
              <w:jc w:val="center"/>
              <w:rPr>
                <w:rFonts w:hint="default" w:ascii="Times New Roman" w:hAnsi="Times New Roman" w:eastAsia="宋体" w:cs="Times New Roman"/>
                <w:color w:val="auto"/>
                <w:w w:val="99"/>
                <w:kern w:val="2"/>
                <w:sz w:val="21"/>
                <w:szCs w:val="21"/>
                <w:highlight w:val="none"/>
              </w:rPr>
            </w:pPr>
          </w:p>
        </w:tc>
        <w:tc>
          <w:tcPr>
            <w:tcW w:w="907" w:type="pct"/>
            <w:gridSpan w:val="4"/>
            <w:vMerge w:val="continue"/>
            <w:vAlign w:val="center"/>
          </w:tcPr>
          <w:p w14:paraId="1BB39B3E">
            <w:pPr>
              <w:spacing w:line="340" w:lineRule="exact"/>
              <w:jc w:val="center"/>
              <w:rPr>
                <w:rFonts w:hint="default" w:ascii="Times New Roman" w:hAnsi="Times New Roman" w:eastAsia="宋体" w:cs="Times New Roman"/>
                <w:color w:val="auto"/>
                <w:w w:val="99"/>
                <w:kern w:val="2"/>
                <w:sz w:val="21"/>
                <w:szCs w:val="21"/>
                <w:highlight w:val="none"/>
              </w:rPr>
            </w:pPr>
          </w:p>
        </w:tc>
        <w:tc>
          <w:tcPr>
            <w:tcW w:w="3299" w:type="pct"/>
            <w:vAlign w:val="top"/>
          </w:tcPr>
          <w:p w14:paraId="3CC66F22">
            <w:pPr>
              <w:pStyle w:val="2857"/>
              <w:keepNext w:val="0"/>
              <w:keepLines w:val="0"/>
              <w:pageBreakBefore w:val="0"/>
              <w:kinsoku w:val="0"/>
              <w:wordWrap/>
              <w:overflowPunct/>
              <w:topLinePunct w:val="0"/>
              <w:autoSpaceDE w:val="0"/>
              <w:autoSpaceDN w:val="0"/>
              <w:bidi w:val="0"/>
              <w:adjustRightInd w:val="0"/>
              <w:snapToGrid w:val="0"/>
              <w:spacing w:line="360" w:lineRule="exact"/>
              <w:ind w:left="0" w:leftChars="0" w:right="0" w:rightChars="0" w:firstLine="414" w:firstLineChars="200"/>
              <w:jc w:val="both"/>
              <w:textAlignment w:val="baseline"/>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运营期产生的气田采出水暂存于集气站污水罐（污水罐为钢制卧式罐，架空装置，且设置压力监测系统）临时储存，再定期通过外输泵升压外输至气田采出水集输管网，并统一外输至升一联气田污水预处理站处理后的水质执行《大庆油田地面工程建设设计规定》（Q/SYDQ 0639-2015）限值“含油量≤10mg/L、悬浮固体含量≤5mg/L 、粒径中值≤2μm”，同时满足《碎屑岩油藏注水水质指标技术要求及分析方法》</w:t>
            </w:r>
            <w:r>
              <w:rPr>
                <w:rFonts w:ascii="Times New Roman" w:hAnsi="Times New Roman" w:eastAsia="Times New Roman" w:cs="Times New Roman"/>
                <w:color w:val="auto"/>
                <w:highlight w:val="none"/>
              </w:rPr>
              <w:t>(SY/T5329-2022)</w:t>
            </w:r>
            <w:r>
              <w:rPr>
                <w:rFonts w:hint="eastAsia" w:ascii="Times New Roman" w:hAnsi="Times New Roman" w:eastAsia="宋体" w:cs="Times New Roman"/>
                <w:color w:val="auto"/>
                <w:w w:val="99"/>
                <w:kern w:val="2"/>
                <w:sz w:val="21"/>
                <w:szCs w:val="21"/>
                <w:highlight w:val="none"/>
                <w:lang w:val="en-US" w:eastAsia="zh-CN" w:bidi="ar-SA"/>
              </w:rPr>
              <w:t>中标准限值，回注地下。</w:t>
            </w:r>
          </w:p>
        </w:tc>
        <w:tc>
          <w:tcPr>
            <w:tcW w:w="439" w:type="pct"/>
            <w:vAlign w:val="center"/>
          </w:tcPr>
          <w:p w14:paraId="003CF6A7">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依托</w:t>
            </w:r>
          </w:p>
        </w:tc>
      </w:tr>
      <w:tr w14:paraId="743F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6224347D">
            <w:pPr>
              <w:spacing w:line="340" w:lineRule="exact"/>
              <w:jc w:val="center"/>
              <w:rPr>
                <w:rFonts w:hint="default" w:ascii="Times New Roman" w:hAnsi="Times New Roman" w:eastAsia="宋体" w:cs="Times New Roman"/>
                <w:color w:val="auto"/>
                <w:w w:val="99"/>
                <w:kern w:val="2"/>
                <w:sz w:val="21"/>
                <w:szCs w:val="21"/>
                <w:highlight w:val="none"/>
              </w:rPr>
            </w:pPr>
          </w:p>
        </w:tc>
        <w:tc>
          <w:tcPr>
            <w:tcW w:w="907" w:type="pct"/>
            <w:gridSpan w:val="4"/>
            <w:vAlign w:val="center"/>
          </w:tcPr>
          <w:p w14:paraId="179A5633">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供电工程</w:t>
            </w:r>
          </w:p>
        </w:tc>
        <w:tc>
          <w:tcPr>
            <w:tcW w:w="3299" w:type="pct"/>
            <w:vAlign w:val="center"/>
          </w:tcPr>
          <w:p w14:paraId="402D1DCA">
            <w:pPr>
              <w:keepNext w:val="0"/>
              <w:keepLines w:val="0"/>
              <w:pageBreakBefore w:val="0"/>
              <w:widowControl/>
              <w:kinsoku/>
              <w:wordWrap/>
              <w:overflowPunct/>
              <w:topLinePunct w:val="0"/>
              <w:autoSpaceDE/>
              <w:autoSpaceDN/>
              <w:bidi w:val="0"/>
              <w:adjustRightInd/>
              <w:snapToGrid/>
              <w:spacing w:line="360" w:lineRule="exact"/>
              <w:ind w:firstLine="560"/>
              <w:textAlignment w:val="auto"/>
              <w:rPr>
                <w:rFonts w:hint="default" w:ascii="Times New Roman" w:hAnsi="Times New Roman" w:eastAsia="宋体" w:cs="Times New Roman"/>
                <w:color w:val="auto"/>
                <w:w w:val="99"/>
                <w:kern w:val="2"/>
                <w:sz w:val="21"/>
                <w:szCs w:val="21"/>
                <w:highlight w:val="none"/>
                <w:lang w:val="en-US" w:eastAsia="en-US" w:bidi="ar-SA"/>
              </w:rPr>
            </w:pPr>
            <w:r>
              <w:rPr>
                <w:rFonts w:hint="default" w:ascii="Times New Roman" w:hAnsi="Times New Roman" w:eastAsia="宋体" w:cs="Times New Roman"/>
                <w:color w:val="auto"/>
                <w:w w:val="99"/>
                <w:kern w:val="2"/>
                <w:sz w:val="21"/>
                <w:szCs w:val="21"/>
                <w:highlight w:val="none"/>
                <w:lang w:val="en-US" w:eastAsia="en-US" w:bidi="ar-SA"/>
              </w:rPr>
              <w:t>徐深</w:t>
            </w:r>
            <w:r>
              <w:rPr>
                <w:rFonts w:hint="eastAsia" w:ascii="Times New Roman" w:hAnsi="Times New Roman" w:eastAsia="宋体" w:cs="Times New Roman"/>
                <w:color w:val="auto"/>
                <w:w w:val="99"/>
                <w:kern w:val="2"/>
                <w:sz w:val="21"/>
                <w:szCs w:val="21"/>
                <w:highlight w:val="none"/>
                <w:lang w:val="en-US" w:eastAsia="zh-CN" w:bidi="ar-SA"/>
              </w:rPr>
              <w:t>27</w:t>
            </w:r>
            <w:r>
              <w:rPr>
                <w:rFonts w:hint="default" w:ascii="Times New Roman" w:hAnsi="Times New Roman" w:eastAsia="宋体" w:cs="Times New Roman"/>
                <w:color w:val="auto"/>
                <w:w w:val="99"/>
                <w:kern w:val="2"/>
                <w:sz w:val="21"/>
                <w:szCs w:val="21"/>
                <w:highlight w:val="none"/>
                <w:lang w:val="en-US" w:eastAsia="en-US" w:bidi="ar-SA"/>
              </w:rPr>
              <w:t>集气站</w:t>
            </w:r>
            <w:r>
              <w:rPr>
                <w:rFonts w:hint="default" w:ascii="Times New Roman" w:hAnsi="Times New Roman" w:eastAsia="宋体" w:cs="Times New Roman"/>
                <w:color w:val="auto"/>
                <w:w w:val="99"/>
                <w:kern w:val="2"/>
                <w:sz w:val="21"/>
                <w:szCs w:val="21"/>
                <w:highlight w:val="none"/>
                <w:lang w:val="en-US" w:eastAsia="zh-CN" w:bidi="ar-SA"/>
              </w:rPr>
              <w:t>新建低压电力电缆0.</w:t>
            </w:r>
            <w:r>
              <w:rPr>
                <w:rFonts w:hint="eastAsia" w:ascii="Times New Roman" w:hAnsi="Times New Roman" w:eastAsia="宋体" w:cs="Times New Roman"/>
                <w:color w:val="auto"/>
                <w:w w:val="99"/>
                <w:kern w:val="2"/>
                <w:sz w:val="21"/>
                <w:szCs w:val="21"/>
                <w:highlight w:val="none"/>
                <w:lang w:val="en-US" w:eastAsia="zh-CN" w:bidi="ar-SA"/>
              </w:rPr>
              <w:t>2</w:t>
            </w:r>
            <w:r>
              <w:rPr>
                <w:rFonts w:hint="default" w:ascii="Times New Roman" w:hAnsi="Times New Roman" w:eastAsia="宋体" w:cs="Times New Roman"/>
                <w:color w:val="auto"/>
                <w:w w:val="99"/>
                <w:kern w:val="2"/>
                <w:sz w:val="21"/>
                <w:szCs w:val="21"/>
                <w:highlight w:val="none"/>
                <w:lang w:val="en-US" w:eastAsia="zh-CN" w:bidi="ar-SA"/>
              </w:rPr>
              <w:t>km，敷设至用电设备</w:t>
            </w:r>
            <w:r>
              <w:rPr>
                <w:rFonts w:hint="default" w:ascii="Times New Roman" w:hAnsi="Times New Roman" w:eastAsia="宋体" w:cs="Times New Roman"/>
                <w:color w:val="auto"/>
                <w:w w:val="99"/>
                <w:kern w:val="2"/>
                <w:sz w:val="21"/>
                <w:szCs w:val="21"/>
                <w:highlight w:val="none"/>
                <w:lang w:val="en-US" w:eastAsia="en-US" w:bidi="ar-SA"/>
              </w:rPr>
              <w:t>。</w:t>
            </w:r>
          </w:p>
          <w:p w14:paraId="165F6EC4">
            <w:pPr>
              <w:keepNext w:val="0"/>
              <w:keepLines w:val="0"/>
              <w:pageBreakBefore w:val="0"/>
              <w:widowControl/>
              <w:kinsoku/>
              <w:wordWrap/>
              <w:overflowPunct/>
              <w:topLinePunct w:val="0"/>
              <w:autoSpaceDE/>
              <w:autoSpaceDN/>
              <w:bidi w:val="0"/>
              <w:adjustRightInd/>
              <w:snapToGrid/>
              <w:spacing w:line="360" w:lineRule="exact"/>
              <w:ind w:firstLine="414" w:firstLineChars="200"/>
              <w:jc w:val="both"/>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井口新建柱上变1座，</w:t>
            </w:r>
            <w:r>
              <w:rPr>
                <w:rFonts w:hint="default" w:ascii="Times New Roman" w:hAnsi="Times New Roman" w:eastAsia="宋体" w:cs="Times New Roman"/>
                <w:color w:val="auto"/>
                <w:w w:val="99"/>
                <w:kern w:val="2"/>
                <w:sz w:val="21"/>
                <w:szCs w:val="21"/>
                <w:highlight w:val="none"/>
                <w:lang w:val="en-US" w:eastAsia="en-US" w:bidi="ar-SA"/>
              </w:rPr>
              <w:t>新建10kV线路</w:t>
            </w:r>
            <w:r>
              <w:rPr>
                <w:rFonts w:hint="eastAsia" w:ascii="Times New Roman" w:hAnsi="Times New Roman" w:eastAsia="宋体" w:cs="Times New Roman"/>
                <w:color w:val="auto"/>
                <w:w w:val="99"/>
                <w:kern w:val="2"/>
                <w:sz w:val="21"/>
                <w:szCs w:val="21"/>
                <w:highlight w:val="none"/>
                <w:lang w:val="en-US" w:eastAsia="zh-CN" w:bidi="ar-SA"/>
              </w:rPr>
              <w:t>0.8</w:t>
            </w:r>
            <w:r>
              <w:rPr>
                <w:rFonts w:hint="default" w:ascii="Times New Roman" w:hAnsi="Times New Roman" w:eastAsia="宋体" w:cs="Times New Roman"/>
                <w:color w:val="auto"/>
                <w:w w:val="99"/>
                <w:kern w:val="2"/>
                <w:sz w:val="21"/>
                <w:szCs w:val="21"/>
                <w:highlight w:val="none"/>
                <w:lang w:val="en-US" w:eastAsia="en-US" w:bidi="ar-SA"/>
              </w:rPr>
              <w:t>km，导线采用LGJ-</w:t>
            </w:r>
            <w:r>
              <w:rPr>
                <w:rFonts w:hint="default" w:ascii="Times New Roman" w:hAnsi="Times New Roman" w:eastAsia="宋体" w:cs="Times New Roman"/>
                <w:color w:val="auto"/>
                <w:w w:val="99"/>
                <w:kern w:val="2"/>
                <w:sz w:val="21"/>
                <w:szCs w:val="21"/>
                <w:highlight w:val="none"/>
                <w:lang w:val="en-US" w:eastAsia="zh-CN" w:bidi="ar-SA"/>
              </w:rPr>
              <w:t>50</w:t>
            </w:r>
            <w:r>
              <w:rPr>
                <w:rFonts w:hint="default" w:ascii="Times New Roman" w:hAnsi="Times New Roman" w:eastAsia="宋体" w:cs="Times New Roman"/>
                <w:color w:val="auto"/>
                <w:w w:val="99"/>
                <w:kern w:val="2"/>
                <w:sz w:val="21"/>
                <w:szCs w:val="21"/>
                <w:highlight w:val="none"/>
                <w:lang w:val="en-US" w:eastAsia="en-US" w:bidi="ar-SA"/>
              </w:rPr>
              <w:t>型</w:t>
            </w:r>
            <w:r>
              <w:rPr>
                <w:rFonts w:hint="default" w:ascii="Times New Roman" w:hAnsi="Times New Roman" w:eastAsia="宋体" w:cs="Times New Roman"/>
                <w:color w:val="auto"/>
                <w:w w:val="99"/>
                <w:kern w:val="2"/>
                <w:sz w:val="21"/>
                <w:szCs w:val="21"/>
                <w:highlight w:val="none"/>
                <w:lang w:val="en-US" w:eastAsia="zh-CN" w:bidi="ar-SA"/>
              </w:rPr>
              <w:t>。</w:t>
            </w:r>
          </w:p>
        </w:tc>
        <w:tc>
          <w:tcPr>
            <w:tcW w:w="439" w:type="pct"/>
            <w:vAlign w:val="center"/>
          </w:tcPr>
          <w:p w14:paraId="376F36F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新建</w:t>
            </w:r>
          </w:p>
        </w:tc>
      </w:tr>
      <w:tr w14:paraId="1243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restart"/>
            <w:vAlign w:val="center"/>
          </w:tcPr>
          <w:p w14:paraId="0362C443">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环保工程</w:t>
            </w:r>
          </w:p>
        </w:tc>
        <w:tc>
          <w:tcPr>
            <w:tcW w:w="404" w:type="pct"/>
            <w:gridSpan w:val="3"/>
            <w:vMerge w:val="restart"/>
            <w:vAlign w:val="center"/>
          </w:tcPr>
          <w:p w14:paraId="65ADDB7B">
            <w:pPr>
              <w:spacing w:line="340" w:lineRule="exact"/>
              <w:jc w:val="center"/>
              <w:rPr>
                <w:rFonts w:hint="eastAsia"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施工期</w:t>
            </w:r>
          </w:p>
        </w:tc>
        <w:tc>
          <w:tcPr>
            <w:tcW w:w="503" w:type="pct"/>
            <w:vAlign w:val="center"/>
          </w:tcPr>
          <w:p w14:paraId="538F44DE">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废气</w:t>
            </w:r>
            <w:r>
              <w:rPr>
                <w:rFonts w:hint="default" w:ascii="Times New Roman" w:hAnsi="Times New Roman" w:eastAsia="宋体" w:cs="Times New Roman"/>
                <w:color w:val="auto"/>
                <w:w w:val="99"/>
                <w:sz w:val="21"/>
                <w:szCs w:val="21"/>
                <w:highlight w:val="none"/>
                <w:lang w:bidi="ar"/>
              </w:rPr>
              <w:t>治理措施</w:t>
            </w:r>
          </w:p>
        </w:tc>
        <w:tc>
          <w:tcPr>
            <w:tcW w:w="3299" w:type="pct"/>
            <w:vAlign w:val="center"/>
          </w:tcPr>
          <w:p w14:paraId="704F0672">
            <w:pPr>
              <w:keepNext w:val="0"/>
              <w:keepLines w:val="0"/>
              <w:pageBreakBefore w:val="0"/>
              <w:widowControl/>
              <w:kinsoku/>
              <w:wordWrap/>
              <w:overflowPunct/>
              <w:topLinePunct w:val="0"/>
              <w:autoSpaceDE/>
              <w:autoSpaceDN/>
              <w:bidi w:val="0"/>
              <w:adjustRightInd/>
              <w:snapToGrid/>
              <w:spacing w:line="360" w:lineRule="exact"/>
              <w:ind w:firstLine="414" w:firstLineChars="200"/>
              <w:jc w:val="both"/>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井场、管线、道路、站场施工现场洒水抑尘，表土及建材堆放设置挡风板、上覆遮盖材料，施工运输车辆采取密闭措施或加盖防尘布。</w:t>
            </w:r>
          </w:p>
          <w:p w14:paraId="180CCF3E">
            <w:pPr>
              <w:keepNext w:val="0"/>
              <w:keepLines w:val="0"/>
              <w:pageBreakBefore w:val="0"/>
              <w:widowControl/>
              <w:kinsoku/>
              <w:wordWrap/>
              <w:overflowPunct/>
              <w:topLinePunct w:val="0"/>
              <w:autoSpaceDE/>
              <w:autoSpaceDN/>
              <w:bidi w:val="0"/>
              <w:adjustRightInd/>
              <w:snapToGrid/>
              <w:spacing w:line="360" w:lineRule="exact"/>
              <w:ind w:firstLine="414" w:firstLineChars="200"/>
              <w:jc w:val="both"/>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车辆和施工机械选用优质汽油及柴油。</w:t>
            </w:r>
          </w:p>
        </w:tc>
        <w:tc>
          <w:tcPr>
            <w:tcW w:w="439" w:type="pct"/>
            <w:vAlign w:val="center"/>
          </w:tcPr>
          <w:p w14:paraId="4E7FBBB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新建</w:t>
            </w:r>
          </w:p>
        </w:tc>
      </w:tr>
      <w:tr w14:paraId="4C1A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3BC8235C">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461AF829">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restart"/>
            <w:vAlign w:val="center"/>
          </w:tcPr>
          <w:p w14:paraId="661B55A5">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废水</w:t>
            </w:r>
            <w:r>
              <w:rPr>
                <w:rFonts w:hint="default" w:ascii="Times New Roman" w:hAnsi="Times New Roman" w:eastAsia="宋体" w:cs="Times New Roman"/>
                <w:color w:val="auto"/>
                <w:w w:val="99"/>
                <w:sz w:val="21"/>
                <w:szCs w:val="21"/>
                <w:highlight w:val="none"/>
                <w:lang w:bidi="ar"/>
              </w:rPr>
              <w:t>治理措施</w:t>
            </w:r>
          </w:p>
        </w:tc>
        <w:tc>
          <w:tcPr>
            <w:tcW w:w="3299" w:type="pct"/>
            <w:vAlign w:val="center"/>
          </w:tcPr>
          <w:p w14:paraId="6C4855B1">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4" w:firstLineChars="200"/>
              <w:jc w:val="both"/>
              <w:textAlignment w:val="baseline"/>
              <w:rPr>
                <w:rFonts w:hint="default" w:ascii="Times New Roman" w:hAnsi="Times New Roman" w:eastAsia="宋体" w:cs="Times New Roman"/>
                <w:color w:val="auto"/>
                <w:w w:val="99"/>
                <w:kern w:val="0"/>
                <w:sz w:val="21"/>
                <w:szCs w:val="21"/>
                <w:highlight w:val="none"/>
                <w:lang w:val="en-US" w:eastAsia="zh-CN" w:bidi="ar"/>
              </w:rPr>
            </w:pPr>
            <w:r>
              <w:rPr>
                <w:rFonts w:hint="default" w:ascii="Times New Roman" w:hAnsi="Times New Roman" w:eastAsia="宋体" w:cs="Times New Roman"/>
                <w:color w:val="auto"/>
                <w:w w:val="99"/>
                <w:kern w:val="0"/>
                <w:sz w:val="21"/>
                <w:szCs w:val="21"/>
                <w:highlight w:val="none"/>
                <w:lang w:val="en-US" w:eastAsia="zh-CN" w:bidi="ar"/>
              </w:rPr>
              <w:t>地面工程生活污水排入本项目附近集气站已建生活污水收集设施，定期由大庆石油管理局有限公司庆南工矿服务公司红岗分公司拉运至大庆红岗区西巷污水回收站，管输至南区污水处理厂进行处理；</w:t>
            </w:r>
          </w:p>
        </w:tc>
        <w:tc>
          <w:tcPr>
            <w:tcW w:w="439" w:type="pct"/>
            <w:vAlign w:val="center"/>
          </w:tcPr>
          <w:p w14:paraId="7D63C229">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依托</w:t>
            </w:r>
          </w:p>
        </w:tc>
      </w:tr>
      <w:tr w14:paraId="14EF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0ADFE707">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74430BE0">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continue"/>
            <w:vAlign w:val="center"/>
          </w:tcPr>
          <w:p w14:paraId="6FD35F93">
            <w:pPr>
              <w:spacing w:line="340" w:lineRule="exact"/>
              <w:jc w:val="center"/>
              <w:rPr>
                <w:rFonts w:hint="default" w:ascii="Times New Roman" w:hAnsi="Times New Roman" w:eastAsia="宋体" w:cs="Times New Roman"/>
                <w:color w:val="auto"/>
                <w:w w:val="99"/>
                <w:kern w:val="2"/>
                <w:sz w:val="21"/>
                <w:szCs w:val="21"/>
                <w:highlight w:val="none"/>
              </w:rPr>
            </w:pPr>
          </w:p>
        </w:tc>
        <w:tc>
          <w:tcPr>
            <w:tcW w:w="3299" w:type="pct"/>
            <w:vAlign w:val="center"/>
          </w:tcPr>
          <w:p w14:paraId="637A876E">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4" w:firstLineChars="200"/>
              <w:jc w:val="both"/>
              <w:textAlignment w:val="baseline"/>
              <w:rPr>
                <w:rFonts w:hint="default" w:ascii="Times New Roman" w:hAnsi="Times New Roman" w:eastAsia="宋体" w:cs="Times New Roman"/>
                <w:color w:val="auto"/>
                <w:w w:val="99"/>
                <w:kern w:val="0"/>
                <w:sz w:val="21"/>
                <w:szCs w:val="21"/>
                <w:highlight w:val="none"/>
                <w:lang w:val="en-US" w:eastAsia="zh-CN" w:bidi="ar"/>
              </w:rPr>
            </w:pPr>
            <w:r>
              <w:rPr>
                <w:rFonts w:hint="default" w:ascii="Times New Roman" w:hAnsi="Times New Roman" w:eastAsia="宋体" w:cs="Times New Roman"/>
                <w:color w:val="auto"/>
                <w:w w:val="99"/>
                <w:kern w:val="0"/>
                <w:sz w:val="21"/>
                <w:szCs w:val="21"/>
                <w:highlight w:val="none"/>
                <w:lang w:val="en-US" w:eastAsia="zh-CN" w:bidi="ar"/>
              </w:rPr>
              <w:t>管线试压废水由罐车拉运升一联气田污水预处理站处理满足《大庆油田地面工程建设设计规定》（Q/SYDQ0639-2015）及《碎屑岩油藏注水水质指标技术要求及分析方法》（SY/T5329-2022）限值要求后回注油层，不外排。</w:t>
            </w:r>
          </w:p>
        </w:tc>
        <w:tc>
          <w:tcPr>
            <w:tcW w:w="439" w:type="pct"/>
            <w:vAlign w:val="center"/>
          </w:tcPr>
          <w:p w14:paraId="04D6674B">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依托</w:t>
            </w:r>
          </w:p>
        </w:tc>
      </w:tr>
      <w:tr w14:paraId="547E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323DF423">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019EE798">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Align w:val="center"/>
          </w:tcPr>
          <w:p w14:paraId="4EB485C4">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噪声</w:t>
            </w:r>
            <w:r>
              <w:rPr>
                <w:rFonts w:hint="default" w:ascii="Times New Roman" w:hAnsi="Times New Roman" w:eastAsia="宋体" w:cs="Times New Roman"/>
                <w:color w:val="auto"/>
                <w:w w:val="99"/>
                <w:sz w:val="21"/>
                <w:szCs w:val="21"/>
                <w:highlight w:val="none"/>
                <w:lang w:bidi="ar"/>
              </w:rPr>
              <w:t>治理措施</w:t>
            </w:r>
          </w:p>
        </w:tc>
        <w:tc>
          <w:tcPr>
            <w:tcW w:w="3299" w:type="pct"/>
            <w:vAlign w:val="center"/>
          </w:tcPr>
          <w:p w14:paraId="2B7CE215">
            <w:pPr>
              <w:keepNext w:val="0"/>
              <w:keepLines w:val="0"/>
              <w:pageBreakBefore w:val="0"/>
              <w:widowControl/>
              <w:wordWrap/>
              <w:overflowPunct/>
              <w:topLinePunct w:val="0"/>
              <w:bidi w:val="0"/>
              <w:spacing w:line="360" w:lineRule="exact"/>
              <w:ind w:firstLine="414" w:firstLineChars="200"/>
              <w:jc w:val="both"/>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施工期噪声主要是施工设备和运输车辆产生的噪声。施工期选用低噪声设备；定期对施工设备进行保养维护，保证设备保持在最佳运行状态，降低噪声源强度。</w:t>
            </w:r>
          </w:p>
        </w:tc>
        <w:tc>
          <w:tcPr>
            <w:tcW w:w="439" w:type="pct"/>
            <w:vAlign w:val="center"/>
          </w:tcPr>
          <w:p w14:paraId="73724467">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r>
      <w:tr w14:paraId="4AE6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3C361483">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357B3BD5">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restart"/>
            <w:vAlign w:val="center"/>
          </w:tcPr>
          <w:p w14:paraId="760B1DC9">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固体废物</w:t>
            </w:r>
            <w:r>
              <w:rPr>
                <w:rFonts w:hint="default" w:ascii="Times New Roman" w:hAnsi="Times New Roman" w:eastAsia="宋体" w:cs="Times New Roman"/>
                <w:color w:val="auto"/>
                <w:w w:val="99"/>
                <w:sz w:val="21"/>
                <w:szCs w:val="21"/>
                <w:highlight w:val="none"/>
                <w:lang w:bidi="ar"/>
              </w:rPr>
              <w:t>治理措施</w:t>
            </w:r>
          </w:p>
        </w:tc>
        <w:tc>
          <w:tcPr>
            <w:tcW w:w="3299" w:type="pct"/>
            <w:vAlign w:val="center"/>
          </w:tcPr>
          <w:p w14:paraId="5AC38BBC">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4" w:firstLineChars="200"/>
              <w:jc w:val="both"/>
              <w:textAlignment w:val="baseline"/>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rPr>
              <w:t>生活垃圾：每个钻井小队设垃圾箱1个</w:t>
            </w:r>
            <w:r>
              <w:rPr>
                <w:rFonts w:hint="eastAsia" w:ascii="Times New Roman" w:hAnsi="Times New Roman" w:cs="Times New Roman"/>
                <w:color w:val="auto"/>
                <w:w w:val="99"/>
                <w:sz w:val="21"/>
                <w:szCs w:val="21"/>
                <w:highlight w:val="none"/>
                <w:lang w:eastAsia="zh-CN"/>
              </w:rPr>
              <w:t>，</w:t>
            </w:r>
            <w:r>
              <w:rPr>
                <w:rFonts w:hint="default" w:ascii="Times New Roman" w:hAnsi="Times New Roman" w:eastAsia="宋体" w:cs="Times New Roman"/>
                <w:color w:val="auto"/>
                <w:w w:val="99"/>
                <w:sz w:val="21"/>
                <w:szCs w:val="21"/>
                <w:highlight w:val="none"/>
              </w:rPr>
              <w:t>统一收集后拉运至</w:t>
            </w:r>
            <w:r>
              <w:rPr>
                <w:rFonts w:hint="eastAsia" w:ascii="Times New Roman" w:hAnsi="Times New Roman" w:cs="Times New Roman"/>
                <w:color w:val="auto"/>
                <w:w w:val="99"/>
                <w:sz w:val="21"/>
                <w:szCs w:val="21"/>
                <w:highlight w:val="none"/>
                <w:lang w:eastAsia="zh-CN"/>
              </w:rPr>
              <w:t>肇东北控环境再生能源有限公司</w:t>
            </w:r>
            <w:r>
              <w:rPr>
                <w:rFonts w:hint="default" w:ascii="Times New Roman" w:hAnsi="Times New Roman" w:eastAsia="宋体" w:cs="Times New Roman"/>
                <w:color w:val="auto"/>
                <w:w w:val="99"/>
                <w:sz w:val="21"/>
                <w:szCs w:val="21"/>
                <w:highlight w:val="none"/>
              </w:rPr>
              <w:t>处理。</w:t>
            </w:r>
          </w:p>
        </w:tc>
        <w:tc>
          <w:tcPr>
            <w:tcW w:w="439" w:type="pct"/>
            <w:vAlign w:val="center"/>
          </w:tcPr>
          <w:p w14:paraId="72D77D09">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依托</w:t>
            </w:r>
          </w:p>
        </w:tc>
      </w:tr>
      <w:tr w14:paraId="2395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3" w:type="pct"/>
            <w:vMerge w:val="continue"/>
            <w:vAlign w:val="center"/>
          </w:tcPr>
          <w:p w14:paraId="143E8553">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507D7AE3">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continue"/>
            <w:vAlign w:val="center"/>
          </w:tcPr>
          <w:p w14:paraId="17AD2534">
            <w:pPr>
              <w:spacing w:line="340" w:lineRule="exact"/>
              <w:jc w:val="center"/>
              <w:rPr>
                <w:rFonts w:hint="default" w:ascii="Times New Roman" w:hAnsi="Times New Roman" w:eastAsia="宋体" w:cs="Times New Roman"/>
                <w:color w:val="auto"/>
                <w:w w:val="99"/>
                <w:kern w:val="2"/>
                <w:sz w:val="21"/>
                <w:szCs w:val="21"/>
                <w:highlight w:val="none"/>
              </w:rPr>
            </w:pPr>
          </w:p>
        </w:tc>
        <w:tc>
          <w:tcPr>
            <w:tcW w:w="3299" w:type="pct"/>
            <w:shd w:val="clear" w:color="auto" w:fill="auto"/>
            <w:vAlign w:val="center"/>
          </w:tcPr>
          <w:p w14:paraId="380EA12C">
            <w:pPr>
              <w:pStyle w:val="2857"/>
              <w:keepNext w:val="0"/>
              <w:keepLines w:val="0"/>
              <w:pageBreakBefore w:val="0"/>
              <w:kinsoku w:val="0"/>
              <w:wordWrap/>
              <w:overflowPunct/>
              <w:topLinePunct w:val="0"/>
              <w:autoSpaceDE w:val="0"/>
              <w:autoSpaceDN w:val="0"/>
              <w:bidi w:val="0"/>
              <w:adjustRightInd w:val="0"/>
              <w:snapToGrid w:val="0"/>
              <w:spacing w:line="360" w:lineRule="exact"/>
              <w:ind w:left="0" w:leftChars="0" w:right="0" w:rightChars="0" w:firstLine="414" w:firstLineChars="200"/>
              <w:jc w:val="both"/>
              <w:textAlignment w:val="baseline"/>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施工废料：本项目管道焊接、补口时会产生废焊渣、废防腐材料（废聚乙烯热收缩带和废聚乙烯补伤片）等施工废料，</w:t>
            </w:r>
            <w:r>
              <w:rPr>
                <w:rFonts w:hint="default" w:ascii="Times New Roman" w:hAnsi="Times New Roman" w:cs="Times New Roman"/>
                <w:color w:val="auto"/>
                <w:w w:val="99"/>
                <w:kern w:val="2"/>
                <w:highlight w:val="none"/>
                <w:lang w:val="en-US" w:eastAsia="zh-CN"/>
              </w:rPr>
              <w:t>由施工单位</w:t>
            </w:r>
            <w:r>
              <w:rPr>
                <w:rFonts w:hint="eastAsia" w:ascii="Times New Roman" w:hAnsi="Times New Roman" w:eastAsia="宋体" w:cs="Times New Roman"/>
                <w:color w:val="auto"/>
                <w:w w:val="99"/>
                <w:sz w:val="21"/>
                <w:szCs w:val="21"/>
                <w:highlight w:val="none"/>
                <w:lang w:val="en-US" w:eastAsia="zh-CN" w:bidi="ar-SA"/>
              </w:rPr>
              <w:t>拉运至第八采油厂工业固体废物填埋场填埋。</w:t>
            </w:r>
          </w:p>
        </w:tc>
        <w:tc>
          <w:tcPr>
            <w:tcW w:w="439" w:type="pct"/>
            <w:vAlign w:val="center"/>
          </w:tcPr>
          <w:p w14:paraId="486F1FD5">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依托</w:t>
            </w:r>
          </w:p>
        </w:tc>
      </w:tr>
      <w:tr w14:paraId="362F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3" w:type="pct"/>
            <w:vMerge w:val="continue"/>
            <w:vAlign w:val="center"/>
          </w:tcPr>
          <w:p w14:paraId="28055DD3">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107E887A">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continue"/>
            <w:vAlign w:val="center"/>
          </w:tcPr>
          <w:p w14:paraId="128121B8">
            <w:pPr>
              <w:spacing w:line="340" w:lineRule="exact"/>
              <w:jc w:val="center"/>
              <w:rPr>
                <w:rFonts w:hint="default" w:ascii="Times New Roman" w:hAnsi="Times New Roman" w:eastAsia="宋体" w:cs="Times New Roman"/>
                <w:color w:val="auto"/>
                <w:w w:val="99"/>
                <w:kern w:val="2"/>
                <w:sz w:val="21"/>
                <w:szCs w:val="21"/>
                <w:highlight w:val="none"/>
              </w:rPr>
            </w:pPr>
          </w:p>
        </w:tc>
        <w:tc>
          <w:tcPr>
            <w:tcW w:w="3299" w:type="pct"/>
            <w:shd w:val="clear" w:color="auto" w:fill="auto"/>
            <w:vAlign w:val="center"/>
          </w:tcPr>
          <w:p w14:paraId="1CEAF410">
            <w:pPr>
              <w:pStyle w:val="2857"/>
              <w:keepNext w:val="0"/>
              <w:keepLines w:val="0"/>
              <w:pageBreakBefore w:val="0"/>
              <w:kinsoku w:val="0"/>
              <w:wordWrap/>
              <w:overflowPunct/>
              <w:topLinePunct w:val="0"/>
              <w:autoSpaceDE w:val="0"/>
              <w:autoSpaceDN w:val="0"/>
              <w:bidi w:val="0"/>
              <w:adjustRightInd w:val="0"/>
              <w:snapToGrid w:val="0"/>
              <w:spacing w:line="360" w:lineRule="exact"/>
              <w:ind w:left="0" w:leftChars="0" w:right="0" w:rightChars="0" w:firstLine="414" w:firstLineChars="200"/>
              <w:jc w:val="both"/>
              <w:textAlignment w:val="baseline"/>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管线定向钻废弃泥浆由罐车拉运至采油八厂废弃钻井液集中处理站进行处理，</w:t>
            </w:r>
            <w:r>
              <w:rPr>
                <w:rFonts w:hint="eastAsia" w:ascii="Times New Roman" w:hAnsi="Times New Roman" w:eastAsia="宋体" w:cs="Times New Roman"/>
                <w:color w:val="auto"/>
                <w:w w:val="99"/>
                <w:kern w:val="2"/>
                <w:sz w:val="21"/>
                <w:szCs w:val="21"/>
                <w:highlight w:val="none"/>
                <w:lang w:val="en-US" w:eastAsia="zh-CN"/>
              </w:rPr>
              <w:t>处理后的泥饼统一收集后转运至大庆油田采油八厂指定地点，作为油田铺路、铺垫井场、修井间防火墙及回填等综合利用</w:t>
            </w:r>
            <w:r>
              <w:rPr>
                <w:rFonts w:hint="default" w:ascii="Times New Roman" w:hAnsi="Times New Roman" w:eastAsia="宋体" w:cs="Times New Roman"/>
                <w:color w:val="auto"/>
                <w:w w:val="99"/>
                <w:sz w:val="21"/>
                <w:szCs w:val="21"/>
                <w:highlight w:val="none"/>
                <w:lang w:val="en-US" w:eastAsia="zh-CN" w:bidi="ar-SA"/>
              </w:rPr>
              <w:t>。</w:t>
            </w:r>
          </w:p>
        </w:tc>
        <w:tc>
          <w:tcPr>
            <w:tcW w:w="439" w:type="pct"/>
            <w:vAlign w:val="center"/>
          </w:tcPr>
          <w:p w14:paraId="098D3D27">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bCs/>
                <w:color w:val="auto"/>
                <w:w w:val="99"/>
                <w:kern w:val="21"/>
                <w:sz w:val="21"/>
                <w:szCs w:val="21"/>
                <w:highlight w:val="none"/>
              </w:rPr>
              <w:t>依托</w:t>
            </w:r>
          </w:p>
        </w:tc>
      </w:tr>
      <w:tr w14:paraId="2465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44B5375F">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23E97900">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Align w:val="center"/>
          </w:tcPr>
          <w:p w14:paraId="21F434EF">
            <w:pPr>
              <w:spacing w:line="340" w:lineRule="exact"/>
              <w:jc w:val="center"/>
              <w:rPr>
                <w:rFonts w:hint="default" w:ascii="Times New Roman" w:hAnsi="Times New Roman" w:cs="Times New Roman"/>
                <w:color w:val="auto"/>
                <w:w w:val="99"/>
                <w:kern w:val="2"/>
                <w:sz w:val="21"/>
                <w:szCs w:val="21"/>
                <w:highlight w:val="yellow"/>
                <w:lang w:val="en-US" w:eastAsia="zh-CN"/>
              </w:rPr>
            </w:pPr>
            <w:r>
              <w:rPr>
                <w:rFonts w:hint="eastAsia" w:ascii="Times New Roman" w:hAnsi="Times New Roman" w:cs="Times New Roman"/>
                <w:color w:val="auto"/>
                <w:w w:val="99"/>
                <w:kern w:val="2"/>
                <w:sz w:val="21"/>
                <w:szCs w:val="21"/>
                <w:highlight w:val="none"/>
                <w:lang w:val="en-US" w:eastAsia="zh-CN"/>
              </w:rPr>
              <w:t>生态环境保护措施</w:t>
            </w:r>
          </w:p>
        </w:tc>
        <w:tc>
          <w:tcPr>
            <w:tcW w:w="3299" w:type="pct"/>
            <w:vAlign w:val="center"/>
          </w:tcPr>
          <w:p w14:paraId="6775B809">
            <w:pPr>
              <w:pStyle w:val="2857"/>
              <w:keepNext w:val="0"/>
              <w:keepLines w:val="0"/>
              <w:pageBreakBefore w:val="0"/>
              <w:kinsoku w:val="0"/>
              <w:wordWrap/>
              <w:overflowPunct/>
              <w:topLinePunct w:val="0"/>
              <w:autoSpaceDE w:val="0"/>
              <w:autoSpaceDN w:val="0"/>
              <w:bidi w:val="0"/>
              <w:adjustRightInd w:val="0"/>
              <w:snapToGrid w:val="0"/>
              <w:spacing w:line="360" w:lineRule="exact"/>
              <w:ind w:left="0" w:right="0" w:firstLine="0"/>
              <w:jc w:val="both"/>
              <w:textAlignment w:val="baseline"/>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施工期作业带清理、管沟开挖的建设对土壤造成扰动和植被的破坏，项目施工期均在临时占地内进行施工，并且施工结束后及时清理施工现场、对临时占用的土地进行植被恢复</w:t>
            </w:r>
          </w:p>
        </w:tc>
        <w:tc>
          <w:tcPr>
            <w:tcW w:w="439" w:type="pct"/>
            <w:vAlign w:val="center"/>
          </w:tcPr>
          <w:p w14:paraId="65023BF7">
            <w:pPr>
              <w:spacing w:line="340" w:lineRule="exact"/>
              <w:jc w:val="center"/>
              <w:rPr>
                <w:rFonts w:hint="eastAsia" w:ascii="Times New Roman" w:hAnsi="Times New Roman" w:eastAsia="宋体" w:cs="Times New Roman"/>
                <w:bCs/>
                <w:color w:val="auto"/>
                <w:w w:val="99"/>
                <w:kern w:val="21"/>
                <w:sz w:val="21"/>
                <w:szCs w:val="21"/>
                <w:highlight w:val="none"/>
                <w:lang w:val="en-US" w:eastAsia="zh-CN"/>
              </w:rPr>
            </w:pPr>
            <w:r>
              <w:rPr>
                <w:rFonts w:hint="eastAsia" w:ascii="Times New Roman" w:hAnsi="Times New Roman" w:cs="Times New Roman"/>
                <w:bCs/>
                <w:color w:val="auto"/>
                <w:w w:val="99"/>
                <w:kern w:val="21"/>
                <w:sz w:val="21"/>
                <w:szCs w:val="21"/>
                <w:highlight w:val="none"/>
                <w:lang w:val="en-US" w:eastAsia="zh-CN"/>
              </w:rPr>
              <w:t>/</w:t>
            </w:r>
          </w:p>
        </w:tc>
      </w:tr>
      <w:tr w14:paraId="282A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034E4BA5">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restart"/>
            <w:vAlign w:val="center"/>
          </w:tcPr>
          <w:p w14:paraId="74C10BE4">
            <w:pPr>
              <w:spacing w:line="34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运营期</w:t>
            </w:r>
          </w:p>
        </w:tc>
        <w:tc>
          <w:tcPr>
            <w:tcW w:w="504" w:type="pct"/>
            <w:gridSpan w:val="2"/>
            <w:vMerge w:val="restart"/>
            <w:vAlign w:val="center"/>
          </w:tcPr>
          <w:p w14:paraId="4A8F32C5">
            <w:pPr>
              <w:spacing w:line="340" w:lineRule="exact"/>
              <w:jc w:val="center"/>
              <w:rPr>
                <w:rFonts w:hint="default" w:ascii="Times New Roman" w:hAnsi="Times New Roman" w:eastAsia="宋体"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废气处理</w:t>
            </w:r>
            <w:r>
              <w:rPr>
                <w:rFonts w:hint="eastAsia" w:ascii="Times New Roman" w:hAnsi="Times New Roman" w:cs="Times New Roman"/>
                <w:color w:val="auto"/>
                <w:w w:val="99"/>
                <w:kern w:val="2"/>
                <w:sz w:val="21"/>
                <w:szCs w:val="21"/>
                <w:highlight w:val="none"/>
                <w:lang w:val="en-US" w:eastAsia="zh-CN"/>
              </w:rPr>
              <w:t>措施</w:t>
            </w:r>
          </w:p>
        </w:tc>
        <w:tc>
          <w:tcPr>
            <w:tcW w:w="3299" w:type="pct"/>
            <w:shd w:val="clear" w:color="auto" w:fill="auto"/>
            <w:vAlign w:val="center"/>
          </w:tcPr>
          <w:p w14:paraId="02184B6B">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无组织挥发烃类：运行期天然气集输及处理过程无组织挥发的烃类气体（以非甲烷总烃计），通过密闭集输的方式，大量减少气体的无组织挥发。</w:t>
            </w:r>
          </w:p>
        </w:tc>
        <w:tc>
          <w:tcPr>
            <w:tcW w:w="439" w:type="pct"/>
            <w:vAlign w:val="center"/>
          </w:tcPr>
          <w:p w14:paraId="6E228081">
            <w:pPr>
              <w:spacing w:line="340" w:lineRule="exact"/>
              <w:jc w:val="center"/>
              <w:rPr>
                <w:rFonts w:hint="eastAsia" w:ascii="Times New Roman" w:hAnsi="Times New Roman" w:eastAsia="宋体" w:cs="Times New Roman"/>
                <w:bCs/>
                <w:color w:val="auto"/>
                <w:w w:val="99"/>
                <w:kern w:val="21"/>
                <w:sz w:val="21"/>
                <w:szCs w:val="21"/>
                <w:highlight w:val="none"/>
                <w:lang w:val="en-US" w:eastAsia="zh-CN"/>
              </w:rPr>
            </w:pPr>
            <w:r>
              <w:rPr>
                <w:rFonts w:hint="eastAsia" w:ascii="Times New Roman" w:hAnsi="Times New Roman" w:cs="Times New Roman"/>
                <w:bCs/>
                <w:color w:val="auto"/>
                <w:w w:val="99"/>
                <w:kern w:val="21"/>
                <w:sz w:val="21"/>
                <w:szCs w:val="21"/>
                <w:highlight w:val="none"/>
                <w:lang w:val="en-US" w:eastAsia="zh-CN"/>
              </w:rPr>
              <w:t>新建</w:t>
            </w:r>
          </w:p>
        </w:tc>
      </w:tr>
      <w:tr w14:paraId="14B6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336EEA03">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42AA1939">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continue"/>
            <w:vAlign w:val="center"/>
          </w:tcPr>
          <w:p w14:paraId="1A5AAC61">
            <w:pPr>
              <w:spacing w:line="340" w:lineRule="exact"/>
              <w:jc w:val="center"/>
              <w:rPr>
                <w:rFonts w:hint="default" w:ascii="Times New Roman" w:hAnsi="Times New Roman" w:eastAsia="宋体" w:cs="Times New Roman"/>
                <w:color w:val="auto"/>
                <w:w w:val="99"/>
                <w:kern w:val="2"/>
                <w:sz w:val="21"/>
                <w:szCs w:val="21"/>
                <w:highlight w:val="none"/>
              </w:rPr>
            </w:pPr>
          </w:p>
        </w:tc>
        <w:tc>
          <w:tcPr>
            <w:tcW w:w="3299" w:type="pct"/>
            <w:shd w:val="clear" w:color="auto" w:fill="auto"/>
            <w:vAlign w:val="center"/>
          </w:tcPr>
          <w:p w14:paraId="7BFD28EB">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加热炉烟气：依托场站加热炉采用清洁能源天然气，采用低氮燃烧器，产生的燃烧废气经</w:t>
            </w:r>
            <w:r>
              <w:rPr>
                <w:rFonts w:hint="eastAsia" w:ascii="Times New Roman" w:hAnsi="Times New Roman" w:cs="Times New Roman"/>
                <w:color w:val="auto"/>
                <w:w w:val="99"/>
                <w:sz w:val="21"/>
                <w:szCs w:val="21"/>
                <w:highlight w:val="none"/>
                <w:lang w:val="en-US" w:eastAsia="zh-CN" w:bidi="ar-SA"/>
              </w:rPr>
              <w:t>不低于8</w:t>
            </w:r>
            <w:r>
              <w:rPr>
                <w:rFonts w:hint="eastAsia" w:ascii="Times New Roman" w:hAnsi="Times New Roman" w:eastAsia="宋体" w:cs="Times New Roman"/>
                <w:color w:val="auto"/>
                <w:w w:val="99"/>
                <w:sz w:val="21"/>
                <w:szCs w:val="21"/>
                <w:highlight w:val="none"/>
                <w:lang w:val="en-US" w:eastAsia="zh-CN" w:bidi="ar-SA"/>
              </w:rPr>
              <w:t>m 高排气筒排放。</w:t>
            </w:r>
          </w:p>
        </w:tc>
        <w:tc>
          <w:tcPr>
            <w:tcW w:w="439" w:type="pct"/>
            <w:vAlign w:val="center"/>
          </w:tcPr>
          <w:p w14:paraId="5F594AF0">
            <w:pPr>
              <w:spacing w:line="340" w:lineRule="exact"/>
              <w:jc w:val="center"/>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rPr>
              <w:t>依托</w:t>
            </w:r>
          </w:p>
        </w:tc>
      </w:tr>
      <w:tr w14:paraId="18AD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4FD620E9">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69FAFCDB">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continue"/>
            <w:vAlign w:val="center"/>
          </w:tcPr>
          <w:p w14:paraId="3FDFD4E1">
            <w:pPr>
              <w:spacing w:line="340" w:lineRule="exact"/>
              <w:jc w:val="center"/>
              <w:rPr>
                <w:rFonts w:hint="default" w:ascii="Times New Roman" w:hAnsi="Times New Roman" w:eastAsia="宋体" w:cs="Times New Roman"/>
                <w:color w:val="auto"/>
                <w:w w:val="99"/>
                <w:kern w:val="2"/>
                <w:sz w:val="21"/>
                <w:szCs w:val="21"/>
                <w:highlight w:val="none"/>
              </w:rPr>
            </w:pPr>
          </w:p>
        </w:tc>
        <w:tc>
          <w:tcPr>
            <w:tcW w:w="3299" w:type="pct"/>
            <w:shd w:val="clear" w:color="auto" w:fill="auto"/>
            <w:vAlign w:val="center"/>
          </w:tcPr>
          <w:p w14:paraId="09B99D16">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井场、站场放空：非正常工况下井场、站场放空天然气通过 30m 高的火炬燃烧放空。</w:t>
            </w:r>
          </w:p>
        </w:tc>
        <w:tc>
          <w:tcPr>
            <w:tcW w:w="439" w:type="pct"/>
            <w:vAlign w:val="center"/>
          </w:tcPr>
          <w:p w14:paraId="5C1C0EB4">
            <w:pPr>
              <w:spacing w:line="340" w:lineRule="exact"/>
              <w:jc w:val="center"/>
              <w:rPr>
                <w:rFonts w:hint="default" w:ascii="Times New Roman" w:hAnsi="Times New Roman" w:eastAsia="宋体" w:cs="Times New Roman"/>
                <w:bCs/>
                <w:color w:val="auto"/>
                <w:w w:val="99"/>
                <w:kern w:val="21"/>
                <w:sz w:val="21"/>
                <w:szCs w:val="21"/>
                <w:highlight w:val="none"/>
                <w:lang w:val="en-US" w:eastAsia="zh-CN"/>
              </w:rPr>
            </w:pPr>
            <w:r>
              <w:rPr>
                <w:rFonts w:hint="eastAsia" w:ascii="Times New Roman" w:hAnsi="Times New Roman" w:cs="Times New Roman"/>
                <w:bCs/>
                <w:color w:val="auto"/>
                <w:w w:val="99"/>
                <w:kern w:val="21"/>
                <w:sz w:val="21"/>
                <w:szCs w:val="21"/>
                <w:highlight w:val="none"/>
                <w:lang w:val="en-US" w:eastAsia="zh-CN"/>
              </w:rPr>
              <w:t>新建</w:t>
            </w:r>
          </w:p>
        </w:tc>
      </w:tr>
      <w:tr w14:paraId="0D55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72DDC56D">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0A0693A5">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restart"/>
            <w:vAlign w:val="center"/>
          </w:tcPr>
          <w:p w14:paraId="47A8742F">
            <w:pPr>
              <w:spacing w:line="340" w:lineRule="exact"/>
              <w:jc w:val="center"/>
              <w:rPr>
                <w:rFonts w:hint="default" w:ascii="Times New Roman" w:hAnsi="Times New Roman" w:eastAsia="宋体" w:cs="Times New Roman"/>
                <w:color w:val="auto"/>
                <w:w w:val="99"/>
                <w:kern w:val="2"/>
                <w:sz w:val="21"/>
                <w:szCs w:val="21"/>
                <w:highlight w:val="none"/>
              </w:rPr>
            </w:pPr>
            <w:r>
              <w:rPr>
                <w:rFonts w:hint="eastAsia" w:ascii="Times New Roman" w:hAnsi="Times New Roman" w:cs="Times New Roman"/>
                <w:color w:val="auto"/>
                <w:w w:val="99"/>
                <w:kern w:val="2"/>
                <w:sz w:val="21"/>
                <w:szCs w:val="21"/>
                <w:highlight w:val="none"/>
                <w:lang w:val="en-US" w:eastAsia="zh-CN"/>
              </w:rPr>
              <w:t>废水防治措施</w:t>
            </w:r>
          </w:p>
        </w:tc>
        <w:tc>
          <w:tcPr>
            <w:tcW w:w="3299" w:type="pct"/>
            <w:shd w:val="clear" w:color="auto" w:fill="auto"/>
            <w:vAlign w:val="center"/>
          </w:tcPr>
          <w:p w14:paraId="0743B882">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气田采出水：本项目气田采出水暂存于集气站污水储罐临时储存，再定期通过外输泵升压外输至气田采出水集输管网，并统一外输至升一联气田污水预处理站处理，处理后的水质执行《大庆油田地面工程建设设计规定》（Q/SYDQ 0639-2015）限值“含油量≤10mg/L、悬浮固体含量≤5mg/L、粒径中值≤2μm” ，同时满足《碎屑岩油藏注水水质指标技术要求及分析方法》(SY/T5329-2022)中标准限值，回注地下</w:t>
            </w:r>
            <w:r>
              <w:rPr>
                <w:rFonts w:hint="eastAsia" w:ascii="Times New Roman" w:hAnsi="Times New Roman" w:cs="Times New Roman"/>
                <w:color w:val="auto"/>
                <w:w w:val="99"/>
                <w:sz w:val="21"/>
                <w:szCs w:val="21"/>
                <w:highlight w:val="none"/>
                <w:lang w:val="en-US" w:eastAsia="zh-CN" w:bidi="ar-SA"/>
              </w:rPr>
              <w:t>油层</w:t>
            </w:r>
            <w:r>
              <w:rPr>
                <w:rFonts w:hint="eastAsia" w:ascii="Times New Roman" w:hAnsi="Times New Roman" w:eastAsia="宋体" w:cs="Times New Roman"/>
                <w:color w:val="auto"/>
                <w:w w:val="99"/>
                <w:sz w:val="21"/>
                <w:szCs w:val="21"/>
                <w:highlight w:val="none"/>
                <w:lang w:val="en-US" w:eastAsia="zh-CN" w:bidi="ar-SA"/>
              </w:rPr>
              <w:t>。</w:t>
            </w:r>
          </w:p>
        </w:tc>
        <w:tc>
          <w:tcPr>
            <w:tcW w:w="439" w:type="pct"/>
            <w:vAlign w:val="center"/>
          </w:tcPr>
          <w:p w14:paraId="6128527B">
            <w:pPr>
              <w:spacing w:line="340" w:lineRule="exact"/>
              <w:jc w:val="center"/>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rPr>
              <w:t>依托</w:t>
            </w:r>
          </w:p>
        </w:tc>
      </w:tr>
      <w:tr w14:paraId="57FB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3BDBC6D2">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49DB2201">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continue"/>
            <w:vAlign w:val="center"/>
          </w:tcPr>
          <w:p w14:paraId="75C5DEEA">
            <w:pPr>
              <w:spacing w:line="340" w:lineRule="exact"/>
              <w:jc w:val="center"/>
              <w:rPr>
                <w:rFonts w:hint="default" w:ascii="Times New Roman" w:hAnsi="Times New Roman" w:eastAsia="宋体" w:cs="Times New Roman"/>
                <w:color w:val="auto"/>
                <w:w w:val="99"/>
                <w:kern w:val="2"/>
                <w:sz w:val="21"/>
                <w:szCs w:val="21"/>
                <w:highlight w:val="none"/>
              </w:rPr>
            </w:pPr>
          </w:p>
        </w:tc>
        <w:tc>
          <w:tcPr>
            <w:tcW w:w="3299" w:type="pct"/>
            <w:shd w:val="clear" w:color="auto" w:fill="auto"/>
            <w:vAlign w:val="center"/>
          </w:tcPr>
          <w:p w14:paraId="2384DD9B">
            <w:pPr>
              <w:keepNext w:val="0"/>
              <w:keepLines w:val="0"/>
              <w:pageBreakBefore w:val="0"/>
              <w:wordWrap/>
              <w:overflowPunct/>
              <w:topLinePunct w:val="0"/>
              <w:bidi w:val="0"/>
              <w:spacing w:line="320" w:lineRule="exact"/>
              <w:ind w:firstLine="414" w:firstLineChars="200"/>
              <w:jc w:val="both"/>
              <w:rPr>
                <w:rFonts w:hint="eastAsia" w:ascii="Times New Roman" w:hAnsi="Times New Roman" w:eastAsia="宋体" w:cs="Times New Roman"/>
                <w:color w:val="auto"/>
                <w:w w:val="99"/>
                <w:sz w:val="21"/>
                <w:szCs w:val="21"/>
                <w:highlight w:val="none"/>
                <w:lang w:val="en-US" w:eastAsia="zh-CN" w:bidi="ar-SA"/>
              </w:rPr>
            </w:pPr>
            <w:r>
              <w:rPr>
                <w:rFonts w:ascii="Times New Roman" w:hAnsi="Times New Roman" w:cs="Times New Roman"/>
                <w:bCs/>
                <w:color w:val="auto"/>
                <w:w w:val="99"/>
                <w:sz w:val="21"/>
                <w:szCs w:val="21"/>
                <w:highlight w:val="none"/>
                <w:lang w:bidi="ar"/>
              </w:rPr>
              <w:t>运营期不新增人员，不新增生活污水。</w:t>
            </w:r>
          </w:p>
        </w:tc>
        <w:tc>
          <w:tcPr>
            <w:tcW w:w="439" w:type="pct"/>
            <w:vAlign w:val="center"/>
          </w:tcPr>
          <w:p w14:paraId="011A9CDB">
            <w:pPr>
              <w:spacing w:line="340" w:lineRule="exact"/>
              <w:jc w:val="center"/>
              <w:rPr>
                <w:rFonts w:hint="eastAsia" w:ascii="Times New Roman" w:hAnsi="Times New Roman" w:eastAsia="宋体" w:cs="Times New Roman"/>
                <w:bCs/>
                <w:color w:val="auto"/>
                <w:w w:val="99"/>
                <w:kern w:val="21"/>
                <w:sz w:val="21"/>
                <w:szCs w:val="21"/>
                <w:highlight w:val="none"/>
                <w:lang w:val="en-US" w:eastAsia="zh-CN"/>
              </w:rPr>
            </w:pPr>
            <w:r>
              <w:rPr>
                <w:rFonts w:hint="eastAsia" w:ascii="Times New Roman" w:hAnsi="Times New Roman" w:cs="Times New Roman"/>
                <w:bCs/>
                <w:color w:val="auto"/>
                <w:w w:val="99"/>
                <w:kern w:val="21"/>
                <w:sz w:val="21"/>
                <w:szCs w:val="21"/>
                <w:highlight w:val="none"/>
                <w:lang w:val="en-US" w:eastAsia="zh-CN"/>
              </w:rPr>
              <w:t>/</w:t>
            </w:r>
          </w:p>
        </w:tc>
      </w:tr>
      <w:tr w14:paraId="5ECE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2943546D">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62B7EF81">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Align w:val="center"/>
          </w:tcPr>
          <w:p w14:paraId="7A2D912F">
            <w:pPr>
              <w:tabs>
                <w:tab w:val="left" w:pos="585"/>
              </w:tabs>
              <w:spacing w:line="340" w:lineRule="exact"/>
              <w:jc w:val="left"/>
              <w:rPr>
                <w:rFonts w:hint="eastAsia" w:ascii="Times New Roman" w:hAnsi="Times New Roman" w:eastAsia="宋体" w:cs="Times New Roman"/>
                <w:color w:val="auto"/>
                <w:w w:val="99"/>
                <w:kern w:val="2"/>
                <w:sz w:val="21"/>
                <w:szCs w:val="21"/>
                <w:highlight w:val="none"/>
                <w:lang w:eastAsia="zh-CN"/>
              </w:rPr>
            </w:pPr>
            <w:r>
              <w:rPr>
                <w:rFonts w:ascii="Times New Roman" w:hAnsi="Times New Roman" w:cs="Times New Roman"/>
                <w:color w:val="auto"/>
                <w:w w:val="99"/>
                <w:kern w:val="2"/>
                <w:sz w:val="21"/>
                <w:szCs w:val="21"/>
                <w:highlight w:val="none"/>
              </w:rPr>
              <w:t>噪声防治</w:t>
            </w:r>
            <w:r>
              <w:rPr>
                <w:rFonts w:hint="eastAsia" w:ascii="Times New Roman" w:hAnsi="Times New Roman" w:cs="Times New Roman"/>
                <w:color w:val="auto"/>
                <w:w w:val="99"/>
                <w:kern w:val="2"/>
                <w:sz w:val="21"/>
                <w:szCs w:val="21"/>
                <w:highlight w:val="none"/>
                <w:lang w:val="en-US" w:eastAsia="zh-CN"/>
              </w:rPr>
              <w:t>措施</w:t>
            </w:r>
          </w:p>
        </w:tc>
        <w:tc>
          <w:tcPr>
            <w:tcW w:w="3299" w:type="pct"/>
            <w:shd w:val="clear" w:color="auto" w:fill="auto"/>
            <w:vAlign w:val="center"/>
          </w:tcPr>
          <w:p w14:paraId="45C170B5">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ascii="Times New Roman" w:hAnsi="Times New Roman" w:cs="Times New Roman"/>
                <w:color w:val="auto"/>
                <w:w w:val="99"/>
                <w:sz w:val="21"/>
                <w:szCs w:val="21"/>
                <w:highlight w:val="none"/>
              </w:rPr>
              <w:t>项目选用低噪声设备，采用基础减振、隔声等措施；定期进行巡检，发现异常响动及时处理；注意对设备的维护保养。</w:t>
            </w:r>
          </w:p>
        </w:tc>
        <w:tc>
          <w:tcPr>
            <w:tcW w:w="439" w:type="pct"/>
            <w:vAlign w:val="center"/>
          </w:tcPr>
          <w:p w14:paraId="11506138">
            <w:pPr>
              <w:spacing w:line="340" w:lineRule="exact"/>
              <w:jc w:val="center"/>
              <w:rPr>
                <w:rFonts w:hint="default" w:ascii="Times New Roman" w:hAnsi="Times New Roman" w:eastAsia="宋体" w:cs="Times New Roman"/>
                <w:bCs/>
                <w:color w:val="auto"/>
                <w:w w:val="99"/>
                <w:kern w:val="21"/>
                <w:sz w:val="21"/>
                <w:szCs w:val="21"/>
                <w:highlight w:val="none"/>
                <w:lang w:val="en-US" w:eastAsia="zh-CN"/>
              </w:rPr>
            </w:pPr>
            <w:r>
              <w:rPr>
                <w:rFonts w:hint="eastAsia" w:ascii="Times New Roman" w:hAnsi="Times New Roman" w:cs="Times New Roman"/>
                <w:bCs/>
                <w:color w:val="auto"/>
                <w:w w:val="99"/>
                <w:kern w:val="21"/>
                <w:sz w:val="21"/>
                <w:szCs w:val="21"/>
                <w:highlight w:val="none"/>
                <w:lang w:val="en-US" w:eastAsia="zh-CN"/>
              </w:rPr>
              <w:t xml:space="preserve">/ </w:t>
            </w:r>
          </w:p>
        </w:tc>
      </w:tr>
      <w:tr w14:paraId="1BA4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6D8B31AF">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142B197E">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restart"/>
            <w:vAlign w:val="center"/>
          </w:tcPr>
          <w:p w14:paraId="4E86F1C8">
            <w:pPr>
              <w:spacing w:line="340" w:lineRule="exact"/>
              <w:jc w:val="center"/>
              <w:rPr>
                <w:rFonts w:hint="default" w:ascii="Times New Roman" w:hAnsi="Times New Roman" w:eastAsia="宋体"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固体废物</w:t>
            </w:r>
            <w:r>
              <w:rPr>
                <w:rFonts w:hint="eastAsia" w:ascii="Times New Roman" w:hAnsi="Times New Roman" w:cs="Times New Roman"/>
                <w:color w:val="auto"/>
                <w:w w:val="99"/>
                <w:kern w:val="2"/>
                <w:sz w:val="21"/>
                <w:szCs w:val="21"/>
                <w:highlight w:val="none"/>
                <w:lang w:val="en-US" w:eastAsia="zh-CN"/>
              </w:rPr>
              <w:t>处理措施</w:t>
            </w:r>
          </w:p>
        </w:tc>
        <w:tc>
          <w:tcPr>
            <w:tcW w:w="3299" w:type="pct"/>
            <w:shd w:val="clear" w:color="auto" w:fill="auto"/>
            <w:vAlign w:val="center"/>
          </w:tcPr>
          <w:p w14:paraId="60174EEF">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本工程气井井口安装有井口除砂器，投产初会定期检查井口除砂器</w:t>
            </w:r>
            <w:r>
              <w:rPr>
                <w:rFonts w:hint="eastAsia" w:ascii="Times New Roman" w:hAnsi="Times New Roman" w:eastAsia="宋体" w:cs="Times New Roman"/>
                <w:color w:val="auto"/>
                <w:w w:val="99"/>
                <w:sz w:val="21"/>
                <w:szCs w:val="21"/>
                <w:highlight w:val="none"/>
                <w:lang w:val="en-US" w:eastAsia="zh-CN" w:bidi="ar-SA"/>
              </w:rPr>
              <w:t>，</w:t>
            </w:r>
            <w:r>
              <w:rPr>
                <w:rFonts w:hint="default" w:ascii="Times New Roman" w:hAnsi="Times New Roman" w:eastAsia="宋体" w:cs="Times New Roman"/>
                <w:color w:val="auto"/>
                <w:w w:val="99"/>
                <w:sz w:val="21"/>
                <w:szCs w:val="21"/>
                <w:highlight w:val="none"/>
                <w:lang w:val="en-US" w:eastAsia="zh-CN" w:bidi="ar-SA"/>
              </w:rPr>
              <w:t>产生砂粒为危险废物</w:t>
            </w:r>
            <w:r>
              <w:rPr>
                <w:rFonts w:hint="eastAsia" w:ascii="Times New Roman" w:hAnsi="Times New Roman" w:eastAsia="宋体" w:cs="Times New Roman"/>
                <w:color w:val="auto"/>
                <w:w w:val="99"/>
                <w:sz w:val="21"/>
                <w:szCs w:val="21"/>
                <w:highlight w:val="none"/>
                <w:lang w:val="en-US" w:eastAsia="zh-CN" w:bidi="ar-SA"/>
              </w:rPr>
              <w:t xml:space="preserve">HW08 </w:t>
            </w:r>
            <w:r>
              <w:rPr>
                <w:rFonts w:hint="default" w:ascii="Times New Roman" w:hAnsi="Times New Roman" w:eastAsia="宋体" w:cs="Times New Roman"/>
                <w:color w:val="auto"/>
                <w:w w:val="99"/>
                <w:sz w:val="21"/>
                <w:szCs w:val="21"/>
                <w:highlight w:val="none"/>
                <w:lang w:val="en-US" w:eastAsia="zh-CN" w:bidi="ar-SA"/>
              </w:rPr>
              <w:t>900-249-08，委托有资质单位处置</w:t>
            </w:r>
            <w:r>
              <w:rPr>
                <w:rFonts w:hint="eastAsia" w:ascii="Times New Roman" w:hAnsi="Times New Roman" w:eastAsia="宋体" w:cs="Times New Roman"/>
                <w:color w:val="auto"/>
                <w:w w:val="99"/>
                <w:sz w:val="21"/>
                <w:szCs w:val="21"/>
                <w:highlight w:val="none"/>
                <w:lang w:val="en-US" w:eastAsia="zh-CN" w:bidi="ar-SA"/>
              </w:rPr>
              <w:t>。</w:t>
            </w:r>
            <w:r>
              <w:rPr>
                <w:rFonts w:ascii="Times New Roman" w:hAnsi="Times New Roman" w:eastAsia="宋体" w:cs="Times New Roman"/>
                <w:color w:val="auto"/>
                <w:w w:val="99"/>
                <w:sz w:val="21"/>
                <w:szCs w:val="21"/>
                <w:highlight w:val="none"/>
                <w:lang w:val="en-US" w:eastAsia="zh-CN" w:bidi="ar-SA"/>
              </w:rPr>
              <w:t>在井场产生后装入加盖钢制桶中，由检维修队送采气分公司危险废物贮存库内，定期委托有危废处置资质的单位处置。</w:t>
            </w:r>
          </w:p>
        </w:tc>
        <w:tc>
          <w:tcPr>
            <w:tcW w:w="439" w:type="pct"/>
            <w:vAlign w:val="center"/>
          </w:tcPr>
          <w:p w14:paraId="1FB681B4">
            <w:pPr>
              <w:spacing w:line="340" w:lineRule="exact"/>
              <w:jc w:val="center"/>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rPr>
              <w:t>依托</w:t>
            </w:r>
          </w:p>
        </w:tc>
      </w:tr>
      <w:tr w14:paraId="749B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41B7B4C5">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44810A26">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continue"/>
            <w:vAlign w:val="center"/>
          </w:tcPr>
          <w:p w14:paraId="1D419BA2">
            <w:pPr>
              <w:spacing w:line="340" w:lineRule="exact"/>
              <w:jc w:val="center"/>
              <w:rPr>
                <w:rFonts w:ascii="Times New Roman" w:hAnsi="Times New Roman" w:cs="Times New Roman"/>
                <w:color w:val="auto"/>
                <w:w w:val="99"/>
                <w:kern w:val="2"/>
                <w:sz w:val="21"/>
                <w:szCs w:val="21"/>
                <w:highlight w:val="none"/>
              </w:rPr>
            </w:pPr>
          </w:p>
        </w:tc>
        <w:tc>
          <w:tcPr>
            <w:tcW w:w="3299" w:type="pct"/>
            <w:shd w:val="clear" w:color="auto" w:fill="auto"/>
            <w:vAlign w:val="center"/>
          </w:tcPr>
          <w:p w14:paraId="0FF49A13">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井场柱上变电站为湿式变压器，检修时会产生废变压器油，属于危险废物，危险废物类别为HW08废矿物油与含矿物油废物，代码为900-220-08，送采气分公司危险废物贮存库内，定期委托有危废处置资质的单位处置。</w:t>
            </w:r>
          </w:p>
        </w:tc>
        <w:tc>
          <w:tcPr>
            <w:tcW w:w="439" w:type="pct"/>
            <w:vAlign w:val="center"/>
          </w:tcPr>
          <w:p w14:paraId="4AB99C08">
            <w:pPr>
              <w:spacing w:line="340" w:lineRule="exact"/>
              <w:jc w:val="center"/>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rPr>
              <w:t>依托</w:t>
            </w:r>
          </w:p>
        </w:tc>
      </w:tr>
      <w:tr w14:paraId="2D7D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12E0B685">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16680E46">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restart"/>
            <w:vAlign w:val="center"/>
          </w:tcPr>
          <w:p w14:paraId="2C38CBC0">
            <w:pPr>
              <w:spacing w:line="340" w:lineRule="exact"/>
              <w:jc w:val="center"/>
              <w:rPr>
                <w:rFonts w:hint="default" w:ascii="Times New Roman" w:hAnsi="Times New Roman" w:eastAsia="宋体" w:cs="Times New Roman"/>
                <w:color w:val="auto"/>
                <w:w w:val="99"/>
                <w:kern w:val="2"/>
                <w:sz w:val="21"/>
                <w:szCs w:val="21"/>
                <w:highlight w:val="none"/>
              </w:rPr>
            </w:pPr>
            <w:r>
              <w:rPr>
                <w:rFonts w:hint="eastAsia" w:ascii="Times New Roman" w:hAnsi="Times New Roman" w:cs="Times New Roman"/>
                <w:color w:val="auto"/>
                <w:w w:val="99"/>
                <w:kern w:val="2"/>
                <w:sz w:val="21"/>
                <w:szCs w:val="21"/>
                <w:highlight w:val="none"/>
                <w:lang w:val="en-US" w:eastAsia="zh-CN"/>
              </w:rPr>
              <w:t>地下水及土壤防治措施</w:t>
            </w:r>
          </w:p>
        </w:tc>
        <w:tc>
          <w:tcPr>
            <w:tcW w:w="3299" w:type="pct"/>
            <w:shd w:val="clear" w:color="auto" w:fill="auto"/>
            <w:vAlign w:val="center"/>
          </w:tcPr>
          <w:p w14:paraId="1ED1AFF5">
            <w:pPr>
              <w:pStyle w:val="2857"/>
              <w:keepNext w:val="0"/>
              <w:keepLines w:val="0"/>
              <w:pageBreakBefore w:val="0"/>
              <w:widowControl/>
              <w:kinsoku/>
              <w:wordWrap/>
              <w:overflowPunct/>
              <w:topLinePunct w:val="0"/>
              <w:autoSpaceDE/>
              <w:autoSpaceDN/>
              <w:bidi w:val="0"/>
              <w:adjustRightInd/>
              <w:snapToGrid/>
              <w:spacing w:line="360" w:lineRule="exact"/>
              <w:ind w:right="0" w:firstLine="414" w:firstLineChars="200"/>
              <w:jc w:val="both"/>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①采气管道属于重点防渗，管线均采用无缝钢管、管道设计壁厚的腐蚀余量不小于 2mm、采用管道内外防腐，管道的连接方式应采用焊接，管线施工严格按照《油气田集输管道施工规范》GB50819 执行，定期对管道进行巡检，定期进行壁厚检测等措施，防治污染地下水；</w:t>
            </w:r>
          </w:p>
          <w:p w14:paraId="1929F862">
            <w:pPr>
              <w:pStyle w:val="2857"/>
              <w:keepNext w:val="0"/>
              <w:keepLines w:val="0"/>
              <w:pageBreakBefore w:val="0"/>
              <w:widowControl/>
              <w:kinsoku/>
              <w:wordWrap/>
              <w:overflowPunct/>
              <w:topLinePunct w:val="0"/>
              <w:autoSpaceDE/>
              <w:autoSpaceDN/>
              <w:bidi w:val="0"/>
              <w:adjustRightInd/>
              <w:snapToGrid/>
              <w:spacing w:line="360" w:lineRule="exact"/>
              <w:ind w:right="0" w:firstLine="414" w:firstLineChars="200"/>
              <w:jc w:val="both"/>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②</w:t>
            </w:r>
            <w:r>
              <w:rPr>
                <w:rFonts w:ascii="Times New Roman" w:hAnsi="Times New Roman" w:eastAsia="宋体" w:cs="Times New Roman"/>
                <w:color w:val="auto"/>
                <w:w w:val="99"/>
                <w:sz w:val="21"/>
                <w:szCs w:val="21"/>
                <w:highlight w:val="none"/>
                <w:lang w:val="en-US" w:eastAsia="zh-CN" w:bidi="ar-SA"/>
              </w:rPr>
              <w:t>气井井场放空池为一般防渗，分层进行素土夯实，每层厚度不大于300mm，压实系数不小于 0.95 ，</w:t>
            </w:r>
            <w:r>
              <w:rPr>
                <w:rFonts w:hint="default" w:ascii="Times New Roman" w:hAnsi="Times New Roman" w:eastAsia="宋体" w:cs="Times New Roman"/>
                <w:color w:val="auto"/>
                <w:w w:val="99"/>
                <w:sz w:val="21"/>
                <w:szCs w:val="21"/>
                <w:highlight w:val="none"/>
                <w:lang w:val="en-US" w:eastAsia="zh-CN" w:bidi="ar-SA"/>
              </w:rPr>
              <w:t>铺设</w:t>
            </w:r>
            <w:r>
              <w:rPr>
                <w:rFonts w:hint="eastAsia" w:ascii="Times New Roman" w:hAnsi="Times New Roman" w:eastAsia="宋体" w:cs="Times New Roman"/>
                <w:color w:val="auto"/>
                <w:w w:val="99"/>
                <w:sz w:val="21"/>
                <w:szCs w:val="21"/>
                <w:highlight w:val="none"/>
                <w:lang w:val="en-US" w:eastAsia="zh-CN" w:bidi="ar-SA"/>
              </w:rPr>
              <w:t>1.5</w:t>
            </w:r>
            <w:r>
              <w:rPr>
                <w:rFonts w:hint="default" w:ascii="Times New Roman" w:hAnsi="Times New Roman" w:eastAsia="宋体" w:cs="Times New Roman"/>
                <w:color w:val="auto"/>
                <w:w w:val="99"/>
                <w:sz w:val="21"/>
                <w:szCs w:val="21"/>
                <w:highlight w:val="none"/>
                <w:lang w:val="en-US" w:eastAsia="zh-CN" w:bidi="ar-SA"/>
              </w:rPr>
              <w:t>mm厚高密度聚乙烯（HDPE）</w:t>
            </w:r>
            <w:r>
              <w:rPr>
                <w:rFonts w:hint="eastAsia" w:ascii="Times New Roman" w:hAnsi="Times New Roman" w:eastAsia="宋体" w:cs="Times New Roman"/>
                <w:color w:val="auto"/>
                <w:w w:val="99"/>
                <w:sz w:val="21"/>
                <w:szCs w:val="21"/>
                <w:highlight w:val="none"/>
                <w:lang w:val="en-US" w:eastAsia="zh-CN" w:bidi="ar-SA"/>
              </w:rPr>
              <w:t>膜</w:t>
            </w:r>
            <w:r>
              <w:rPr>
                <w:rFonts w:hint="eastAsia" w:ascii="Times New Roman" w:hAnsi="Times New Roman" w:cs="Times New Roman"/>
                <w:color w:val="auto"/>
                <w:w w:val="99"/>
                <w:sz w:val="21"/>
                <w:szCs w:val="21"/>
                <w:highlight w:val="none"/>
                <w:lang w:val="en-US" w:eastAsia="zh-CN" w:bidi="ar-SA"/>
              </w:rPr>
              <w:t>；</w:t>
            </w:r>
            <w:r>
              <w:rPr>
                <w:rFonts w:ascii="Times New Roman" w:hAnsi="Times New Roman" w:eastAsia="宋体" w:cs="Times New Roman"/>
                <w:color w:val="auto"/>
                <w:w w:val="99"/>
                <w:sz w:val="21"/>
                <w:szCs w:val="21"/>
                <w:highlight w:val="none"/>
                <w:lang w:val="en-US" w:eastAsia="zh-CN" w:bidi="ar-SA"/>
              </w:rPr>
              <w:t>徐深</w:t>
            </w:r>
            <w:r>
              <w:rPr>
                <w:rFonts w:hint="eastAsia" w:ascii="Times New Roman" w:hAnsi="Times New Roman" w:cs="Times New Roman"/>
                <w:color w:val="auto"/>
                <w:w w:val="99"/>
                <w:sz w:val="21"/>
                <w:szCs w:val="21"/>
                <w:highlight w:val="none"/>
                <w:lang w:val="en-US" w:eastAsia="zh-CN" w:bidi="ar-SA"/>
              </w:rPr>
              <w:t>27</w:t>
            </w:r>
            <w:r>
              <w:rPr>
                <w:rFonts w:ascii="Times New Roman" w:hAnsi="Times New Roman" w:eastAsia="宋体" w:cs="Times New Roman"/>
                <w:color w:val="auto"/>
                <w:w w:val="99"/>
                <w:sz w:val="21"/>
                <w:szCs w:val="21"/>
                <w:highlight w:val="none"/>
                <w:lang w:val="en-US" w:eastAsia="zh-CN" w:bidi="ar-SA"/>
              </w:rPr>
              <w:t>集气站</w:t>
            </w:r>
            <w:r>
              <w:rPr>
                <w:rFonts w:hint="eastAsia" w:ascii="Times New Roman" w:hAnsi="Times New Roman" w:cs="Times New Roman"/>
                <w:color w:val="auto"/>
                <w:w w:val="99"/>
                <w:sz w:val="21"/>
                <w:szCs w:val="21"/>
                <w:highlight w:val="none"/>
                <w:lang w:val="en-US" w:eastAsia="zh-CN" w:bidi="ar-SA"/>
              </w:rPr>
              <w:t>新建进站阀组、生产阀组处</w:t>
            </w:r>
            <w:r>
              <w:rPr>
                <w:rFonts w:ascii="Times New Roman" w:hAnsi="Times New Roman" w:eastAsia="宋体" w:cs="Times New Roman"/>
                <w:color w:val="auto"/>
                <w:w w:val="99"/>
                <w:sz w:val="21"/>
                <w:szCs w:val="21"/>
                <w:highlight w:val="none"/>
                <w:lang w:val="en-US" w:eastAsia="zh-CN" w:bidi="ar-SA"/>
              </w:rPr>
              <w:t>为一般防渗区</w:t>
            </w:r>
            <w:r>
              <w:rPr>
                <w:rFonts w:hint="eastAsia" w:ascii="Times New Roman" w:hAnsi="Times New Roman" w:cs="Times New Roman"/>
                <w:color w:val="auto"/>
                <w:w w:val="99"/>
                <w:sz w:val="21"/>
                <w:szCs w:val="21"/>
                <w:highlight w:val="none"/>
                <w:lang w:val="en-US" w:eastAsia="zh-CN" w:bidi="ar-SA"/>
              </w:rPr>
              <w:t>：</w:t>
            </w:r>
            <w:r>
              <w:rPr>
                <w:rFonts w:hint="eastAsia" w:ascii="Times New Roman" w:hAnsi="Times New Roman" w:eastAsia="宋体" w:cs="Times New Roman"/>
                <w:color w:val="auto"/>
                <w:w w:val="99"/>
                <w:sz w:val="21"/>
                <w:szCs w:val="21"/>
                <w:highlight w:val="none"/>
                <w:lang w:val="en-US" w:eastAsia="zh-CN" w:bidi="ar-SA"/>
              </w:rPr>
              <w:t>区</w:t>
            </w:r>
            <w:r>
              <w:rPr>
                <w:rFonts w:hint="eastAsia" w:ascii="Times New Roman" w:hAnsi="Times New Roman" w:cs="Times New Roman"/>
                <w:color w:val="auto"/>
                <w:w w:val="99"/>
                <w:sz w:val="21"/>
                <w:szCs w:val="21"/>
                <w:highlight w:val="none"/>
                <w:lang w:val="en-US" w:eastAsia="zh-CN" w:bidi="ar-SA"/>
              </w:rPr>
              <w:t>采用</w:t>
            </w:r>
            <w:r>
              <w:rPr>
                <w:rFonts w:ascii="Times New Roman" w:hAnsi="Times New Roman" w:eastAsia="宋体" w:cs="Times New Roman"/>
                <w:color w:val="auto"/>
                <w:w w:val="99"/>
                <w:sz w:val="21"/>
                <w:szCs w:val="21"/>
                <w:highlight w:val="none"/>
                <w:lang w:val="en-US" w:eastAsia="zh-CN" w:bidi="ar-SA"/>
              </w:rPr>
              <w:t>地面铺设抗渗等级为 P8混凝土层，</w:t>
            </w:r>
            <w:r>
              <w:rPr>
                <w:rFonts w:hint="default" w:ascii="Times New Roman" w:hAnsi="Times New Roman" w:cs="Times New Roman" w:eastAsiaTheme="minorEastAsia"/>
                <w:bCs/>
                <w:color w:val="auto"/>
                <w:w w:val="99"/>
                <w:kern w:val="2"/>
                <w:sz w:val="21"/>
                <w:szCs w:val="21"/>
                <w:highlight w:val="none"/>
                <w:lang w:val="en-US" w:eastAsia="zh-CN"/>
              </w:rPr>
              <w:t>强度为C30</w:t>
            </w:r>
            <w:r>
              <w:rPr>
                <w:rFonts w:hint="eastAsia" w:ascii="Times New Roman" w:hAnsi="Times New Roman" w:cs="Times New Roman" w:eastAsiaTheme="minorEastAsia"/>
                <w:bCs/>
                <w:color w:val="auto"/>
                <w:w w:val="99"/>
                <w:kern w:val="2"/>
                <w:sz w:val="21"/>
                <w:szCs w:val="21"/>
                <w:highlight w:val="none"/>
                <w:lang w:val="en-US" w:eastAsia="zh-CN"/>
              </w:rPr>
              <w:t>，</w:t>
            </w:r>
            <w:r>
              <w:rPr>
                <w:rFonts w:ascii="Times New Roman" w:hAnsi="Times New Roman" w:eastAsia="宋体" w:cs="Times New Roman"/>
                <w:color w:val="auto"/>
                <w:w w:val="99"/>
                <w:sz w:val="21"/>
                <w:szCs w:val="21"/>
                <w:highlight w:val="none"/>
                <w:lang w:val="en-US" w:eastAsia="zh-CN" w:bidi="ar-SA"/>
              </w:rPr>
              <w:t xml:space="preserve">厚度不低于 </w:t>
            </w:r>
            <w:r>
              <w:rPr>
                <w:rFonts w:hint="eastAsia" w:ascii="Times New Roman" w:hAnsi="Times New Roman" w:cs="Times New Roman"/>
                <w:color w:val="auto"/>
                <w:w w:val="99"/>
                <w:sz w:val="21"/>
                <w:szCs w:val="21"/>
                <w:highlight w:val="none"/>
                <w:lang w:val="en-US" w:eastAsia="zh-CN" w:bidi="ar-SA"/>
              </w:rPr>
              <w:t>200</w:t>
            </w:r>
            <w:r>
              <w:rPr>
                <w:rFonts w:ascii="Times New Roman" w:hAnsi="Times New Roman" w:eastAsia="宋体" w:cs="Times New Roman"/>
                <w:color w:val="auto"/>
                <w:w w:val="99"/>
                <w:sz w:val="21"/>
                <w:szCs w:val="21"/>
                <w:highlight w:val="none"/>
                <w:lang w:val="en-US" w:eastAsia="zh-CN" w:bidi="ar-SA"/>
              </w:rPr>
              <w:t>mm，</w:t>
            </w:r>
            <w:r>
              <w:rPr>
                <w:rFonts w:hint="eastAsia" w:ascii="Times New Roman" w:hAnsi="Times New Roman" w:cs="Times New Roman"/>
                <w:color w:val="auto"/>
                <w:w w:val="99"/>
                <w:sz w:val="21"/>
                <w:szCs w:val="21"/>
                <w:highlight w:val="none"/>
                <w:lang w:val="en-US" w:eastAsia="zh-CN" w:bidi="ar-SA"/>
              </w:rPr>
              <w:t>同时</w:t>
            </w:r>
            <w:r>
              <w:rPr>
                <w:rFonts w:hint="default" w:ascii="Times New Roman" w:hAnsi="Times New Roman" w:eastAsia="宋体" w:cs="Times New Roman"/>
                <w:color w:val="auto"/>
                <w:w w:val="99"/>
                <w:sz w:val="21"/>
                <w:szCs w:val="21"/>
                <w:highlight w:val="none"/>
                <w:lang w:val="en-US" w:eastAsia="zh-CN" w:bidi="ar-SA"/>
              </w:rPr>
              <w:t>铺设</w:t>
            </w:r>
            <w:r>
              <w:rPr>
                <w:rFonts w:hint="eastAsia" w:ascii="Times New Roman" w:hAnsi="Times New Roman" w:eastAsia="宋体" w:cs="Times New Roman"/>
                <w:color w:val="auto"/>
                <w:w w:val="99"/>
                <w:sz w:val="21"/>
                <w:szCs w:val="21"/>
                <w:highlight w:val="none"/>
                <w:lang w:val="en-US" w:eastAsia="zh-CN" w:bidi="ar-SA"/>
              </w:rPr>
              <w:t>1.5</w:t>
            </w:r>
            <w:r>
              <w:rPr>
                <w:rFonts w:hint="default" w:ascii="Times New Roman" w:hAnsi="Times New Roman" w:eastAsia="宋体" w:cs="Times New Roman"/>
                <w:color w:val="auto"/>
                <w:w w:val="99"/>
                <w:sz w:val="21"/>
                <w:szCs w:val="21"/>
                <w:highlight w:val="none"/>
                <w:lang w:val="en-US" w:eastAsia="zh-CN" w:bidi="ar-SA"/>
              </w:rPr>
              <w:t>mm厚高密度聚乙烯（HDPE）</w:t>
            </w:r>
            <w:r>
              <w:rPr>
                <w:rFonts w:hint="eastAsia" w:ascii="Times New Roman" w:hAnsi="Times New Roman" w:eastAsia="宋体" w:cs="Times New Roman"/>
                <w:color w:val="auto"/>
                <w:w w:val="99"/>
                <w:sz w:val="21"/>
                <w:szCs w:val="21"/>
                <w:highlight w:val="none"/>
                <w:lang w:val="en-US" w:eastAsia="zh-CN" w:bidi="ar-SA"/>
              </w:rPr>
              <w:t>膜</w:t>
            </w:r>
            <w:r>
              <w:rPr>
                <w:rFonts w:hint="eastAsia" w:ascii="Times New Roman" w:hAnsi="Times New Roman" w:cs="Times New Roman"/>
                <w:color w:val="auto"/>
                <w:w w:val="99"/>
                <w:sz w:val="21"/>
                <w:szCs w:val="21"/>
                <w:highlight w:val="none"/>
                <w:lang w:val="en-US" w:eastAsia="zh-CN" w:bidi="ar-SA"/>
              </w:rPr>
              <w:t>，防渗性能均</w:t>
            </w:r>
            <w:r>
              <w:rPr>
                <w:rFonts w:ascii="Times New Roman" w:hAnsi="Times New Roman" w:eastAsia="宋体" w:cs="Times New Roman"/>
                <w:color w:val="auto"/>
                <w:w w:val="99"/>
                <w:sz w:val="21"/>
                <w:szCs w:val="21"/>
                <w:highlight w:val="none"/>
                <w:lang w:val="en-US" w:eastAsia="zh-CN" w:bidi="ar-SA"/>
              </w:rPr>
              <w:t>满足《环境影响评价技术导则 地下水环境》（HJ610- 2016 ）中一般防渗区防渗技术要求（等效粘土防渗层Mb≥1.5m ，K≤1×10</w:t>
            </w:r>
            <w:r>
              <w:rPr>
                <w:rFonts w:ascii="Times New Roman" w:hAnsi="Times New Roman" w:eastAsia="宋体" w:cs="Times New Roman"/>
                <w:color w:val="auto"/>
                <w:w w:val="99"/>
                <w:sz w:val="21"/>
                <w:szCs w:val="21"/>
                <w:highlight w:val="none"/>
                <w:vertAlign w:val="superscript"/>
                <w:lang w:val="en-US" w:eastAsia="zh-CN" w:bidi="ar-SA"/>
              </w:rPr>
              <w:t>-7</w:t>
            </w:r>
            <w:r>
              <w:rPr>
                <w:rFonts w:ascii="Times New Roman" w:hAnsi="Times New Roman" w:eastAsia="宋体" w:cs="Times New Roman"/>
                <w:color w:val="auto"/>
                <w:w w:val="99"/>
                <w:sz w:val="21"/>
                <w:szCs w:val="21"/>
                <w:highlight w:val="none"/>
                <w:lang w:val="en-US" w:eastAsia="zh-CN" w:bidi="ar-SA"/>
              </w:rPr>
              <w:t>cm/s）；</w:t>
            </w:r>
          </w:p>
          <w:p w14:paraId="4A4FF932">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③</w:t>
            </w:r>
            <w:r>
              <w:rPr>
                <w:rFonts w:ascii="Times New Roman" w:hAnsi="Times New Roman" w:eastAsia="宋体" w:cs="Times New Roman"/>
                <w:color w:val="auto"/>
                <w:w w:val="99"/>
                <w:sz w:val="21"/>
                <w:szCs w:val="21"/>
                <w:highlight w:val="none"/>
                <w:lang w:val="en-US" w:eastAsia="zh-CN" w:bidi="ar-SA"/>
              </w:rPr>
              <w:t>井场其他区域均为简单防渗区，站内采取地面夯实，碾压平整，铺设水泥地面，可满足《环境影响评价技术导则地下水环境》（HJ610-2016）中简单防渗区要求。</w:t>
            </w:r>
          </w:p>
        </w:tc>
        <w:tc>
          <w:tcPr>
            <w:tcW w:w="439" w:type="pct"/>
            <w:vAlign w:val="center"/>
          </w:tcPr>
          <w:p w14:paraId="26ACF365">
            <w:pPr>
              <w:spacing w:line="340" w:lineRule="exact"/>
              <w:jc w:val="center"/>
              <w:rPr>
                <w:rFonts w:hint="default" w:ascii="Times New Roman" w:hAnsi="Times New Roman" w:eastAsia="宋体" w:cs="Times New Roman"/>
                <w:bCs/>
                <w:color w:val="auto"/>
                <w:w w:val="99"/>
                <w:kern w:val="21"/>
                <w:sz w:val="21"/>
                <w:szCs w:val="21"/>
                <w:highlight w:val="none"/>
                <w:lang w:val="en-US" w:eastAsia="zh-CN"/>
              </w:rPr>
            </w:pPr>
            <w:r>
              <w:rPr>
                <w:rFonts w:hint="eastAsia" w:ascii="Times New Roman" w:hAnsi="Times New Roman" w:cs="Times New Roman"/>
                <w:bCs/>
                <w:color w:val="auto"/>
                <w:w w:val="99"/>
                <w:kern w:val="21"/>
                <w:sz w:val="21"/>
                <w:szCs w:val="21"/>
                <w:highlight w:val="none"/>
                <w:lang w:val="en-US" w:eastAsia="zh-CN"/>
              </w:rPr>
              <w:t>新建</w:t>
            </w:r>
          </w:p>
        </w:tc>
      </w:tr>
      <w:tr w14:paraId="762B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25F6530A">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3E0B8395">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continue"/>
            <w:vAlign w:val="center"/>
          </w:tcPr>
          <w:p w14:paraId="17A6C0FB">
            <w:pPr>
              <w:spacing w:line="340" w:lineRule="exact"/>
              <w:jc w:val="center"/>
              <w:rPr>
                <w:rFonts w:hint="eastAsia" w:ascii="Times New Roman" w:hAnsi="Times New Roman" w:cs="Times New Roman"/>
                <w:color w:val="auto"/>
                <w:w w:val="99"/>
                <w:kern w:val="2"/>
                <w:sz w:val="21"/>
                <w:szCs w:val="21"/>
                <w:highlight w:val="none"/>
                <w:lang w:val="en-US" w:eastAsia="zh-CN"/>
              </w:rPr>
            </w:pPr>
          </w:p>
        </w:tc>
        <w:tc>
          <w:tcPr>
            <w:tcW w:w="3299" w:type="pct"/>
            <w:shd w:val="clear" w:color="auto" w:fill="auto"/>
            <w:vAlign w:val="center"/>
          </w:tcPr>
          <w:p w14:paraId="056323AF">
            <w:pPr>
              <w:pStyle w:val="2857"/>
              <w:keepNext w:val="0"/>
              <w:keepLines w:val="0"/>
              <w:pageBreakBefore w:val="0"/>
              <w:widowControl/>
              <w:kinsoku/>
              <w:wordWrap/>
              <w:overflowPunct/>
              <w:topLinePunct w:val="0"/>
              <w:autoSpaceDE/>
              <w:autoSpaceDN/>
              <w:bidi w:val="0"/>
              <w:adjustRightInd/>
              <w:snapToGrid/>
              <w:spacing w:line="360" w:lineRule="exact"/>
              <w:ind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FF0000"/>
                <w:w w:val="99"/>
                <w:sz w:val="21"/>
                <w:szCs w:val="21"/>
                <w:highlight w:val="none"/>
                <w:lang w:val="en-US" w:eastAsia="zh-CN" w:bidi="ar-SA"/>
              </w:rPr>
              <w:t>地下水跟踪监测：</w:t>
            </w:r>
            <w:r>
              <w:rPr>
                <w:rFonts w:hint="default" w:ascii="Times New Roman" w:hAnsi="Times New Roman" w:eastAsia="宋体" w:cs="Times New Roman"/>
                <w:color w:val="FF0000"/>
                <w:w w:val="99"/>
                <w:sz w:val="21"/>
                <w:szCs w:val="21"/>
                <w:highlight w:val="none"/>
                <w:lang w:val="en-US" w:eastAsia="zh-CN" w:bidi="ar-SA"/>
              </w:rPr>
              <w:t>在区块</w:t>
            </w:r>
            <w:r>
              <w:rPr>
                <w:rFonts w:hint="eastAsia" w:ascii="Times New Roman" w:hAnsi="Times New Roman" w:cs="Times New Roman"/>
                <w:color w:val="FF0000"/>
                <w:w w:val="99"/>
                <w:sz w:val="21"/>
                <w:szCs w:val="21"/>
                <w:highlight w:val="none"/>
                <w:lang w:val="en-US" w:eastAsia="zh-CN" w:bidi="ar-SA"/>
              </w:rPr>
              <w:t>、</w:t>
            </w:r>
            <w:r>
              <w:rPr>
                <w:rFonts w:hint="default" w:ascii="Times New Roman" w:hAnsi="Times New Roman" w:eastAsia="宋体" w:cs="Times New Roman"/>
                <w:color w:val="FF0000"/>
                <w:w w:val="99"/>
                <w:sz w:val="21"/>
                <w:szCs w:val="21"/>
                <w:highlight w:val="none"/>
                <w:lang w:val="en-US" w:eastAsia="zh-CN" w:bidi="ar-SA"/>
              </w:rPr>
              <w:t>下游布设</w:t>
            </w:r>
            <w:r>
              <w:rPr>
                <w:rFonts w:hint="eastAsia" w:ascii="Times New Roman" w:hAnsi="Times New Roman" w:cs="Times New Roman"/>
                <w:color w:val="FF0000"/>
                <w:w w:val="99"/>
                <w:sz w:val="21"/>
                <w:szCs w:val="21"/>
                <w:highlight w:val="none"/>
                <w:lang w:val="en-US" w:eastAsia="zh-CN" w:bidi="ar-SA"/>
              </w:rPr>
              <w:t>3</w:t>
            </w:r>
            <w:r>
              <w:rPr>
                <w:rFonts w:hint="default" w:ascii="Times New Roman" w:hAnsi="Times New Roman" w:eastAsia="宋体" w:cs="Times New Roman"/>
                <w:color w:val="FF0000"/>
                <w:w w:val="99"/>
                <w:sz w:val="21"/>
                <w:szCs w:val="21"/>
                <w:highlight w:val="none"/>
                <w:lang w:val="en-US" w:eastAsia="zh-CN" w:bidi="ar-SA"/>
              </w:rPr>
              <w:t>个潜水跟踪监测点，定期对地下水进行跟踪监测</w:t>
            </w:r>
            <w:r>
              <w:rPr>
                <w:rFonts w:hint="eastAsia" w:ascii="Times New Roman" w:hAnsi="Times New Roman" w:eastAsia="宋体" w:cs="Times New Roman"/>
                <w:color w:val="FF0000"/>
                <w:w w:val="99"/>
                <w:sz w:val="21"/>
                <w:szCs w:val="21"/>
                <w:highlight w:val="none"/>
                <w:lang w:val="en-US" w:eastAsia="zh-CN" w:bidi="ar-SA"/>
              </w:rPr>
              <w:t>；</w:t>
            </w:r>
          </w:p>
        </w:tc>
        <w:tc>
          <w:tcPr>
            <w:tcW w:w="439" w:type="pct"/>
            <w:vAlign w:val="center"/>
          </w:tcPr>
          <w:p w14:paraId="66BF5BDE">
            <w:pPr>
              <w:spacing w:line="340" w:lineRule="exact"/>
              <w:jc w:val="center"/>
              <w:rPr>
                <w:rFonts w:hint="default" w:ascii="Times New Roman" w:hAnsi="Times New Roman" w:eastAsia="宋体" w:cs="Times New Roman"/>
                <w:bCs/>
                <w:color w:val="auto"/>
                <w:w w:val="99"/>
                <w:kern w:val="21"/>
                <w:sz w:val="21"/>
                <w:szCs w:val="21"/>
                <w:highlight w:val="none"/>
              </w:rPr>
            </w:pPr>
            <w:r>
              <w:rPr>
                <w:rFonts w:hint="eastAsia" w:ascii="Times New Roman" w:hAnsi="Times New Roman" w:cs="Times New Roman"/>
                <w:bCs/>
                <w:color w:val="auto"/>
                <w:w w:val="99"/>
                <w:kern w:val="21"/>
                <w:sz w:val="21"/>
                <w:szCs w:val="21"/>
                <w:highlight w:val="none"/>
                <w:lang w:val="en-US" w:eastAsia="zh-CN"/>
              </w:rPr>
              <w:t>新建</w:t>
            </w:r>
          </w:p>
        </w:tc>
      </w:tr>
      <w:tr w14:paraId="5A4E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466F03A2">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333C2F9C">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continue"/>
            <w:vAlign w:val="center"/>
          </w:tcPr>
          <w:p w14:paraId="6B9CED24">
            <w:pPr>
              <w:spacing w:line="340" w:lineRule="exact"/>
              <w:jc w:val="center"/>
              <w:rPr>
                <w:rFonts w:hint="eastAsia" w:ascii="Times New Roman" w:hAnsi="Times New Roman" w:cs="Times New Roman"/>
                <w:color w:val="auto"/>
                <w:w w:val="99"/>
                <w:kern w:val="2"/>
                <w:sz w:val="21"/>
                <w:szCs w:val="21"/>
                <w:highlight w:val="none"/>
                <w:lang w:val="en-US" w:eastAsia="zh-CN"/>
              </w:rPr>
            </w:pPr>
          </w:p>
        </w:tc>
        <w:tc>
          <w:tcPr>
            <w:tcW w:w="3299" w:type="pct"/>
            <w:shd w:val="clear" w:color="auto" w:fill="auto"/>
            <w:vAlign w:val="center"/>
          </w:tcPr>
          <w:p w14:paraId="201FED82">
            <w:pPr>
              <w:pStyle w:val="2857"/>
              <w:keepNext w:val="0"/>
              <w:keepLines w:val="0"/>
              <w:pageBreakBefore w:val="0"/>
              <w:widowControl/>
              <w:kinsoku/>
              <w:wordWrap/>
              <w:overflowPunct/>
              <w:topLinePunct w:val="0"/>
              <w:autoSpaceDE/>
              <w:autoSpaceDN/>
              <w:bidi w:val="0"/>
              <w:adjustRightInd/>
              <w:snapToGrid/>
              <w:spacing w:line="360" w:lineRule="exact"/>
              <w:ind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土壤跟踪监测：布设2个监测点，定期监测</w:t>
            </w:r>
          </w:p>
        </w:tc>
        <w:tc>
          <w:tcPr>
            <w:tcW w:w="439" w:type="pct"/>
            <w:vAlign w:val="center"/>
          </w:tcPr>
          <w:p w14:paraId="52A6F052">
            <w:pPr>
              <w:spacing w:line="340" w:lineRule="exact"/>
              <w:jc w:val="center"/>
              <w:rPr>
                <w:rFonts w:hint="default" w:ascii="Times New Roman" w:hAnsi="Times New Roman" w:eastAsia="宋体" w:cs="Times New Roman"/>
                <w:bCs/>
                <w:color w:val="auto"/>
                <w:w w:val="99"/>
                <w:kern w:val="21"/>
                <w:sz w:val="21"/>
                <w:szCs w:val="21"/>
                <w:highlight w:val="none"/>
              </w:rPr>
            </w:pPr>
            <w:r>
              <w:rPr>
                <w:rFonts w:hint="eastAsia" w:ascii="Times New Roman" w:hAnsi="Times New Roman" w:cs="Times New Roman"/>
                <w:bCs/>
                <w:color w:val="auto"/>
                <w:w w:val="99"/>
                <w:kern w:val="21"/>
                <w:sz w:val="21"/>
                <w:szCs w:val="21"/>
                <w:highlight w:val="none"/>
                <w:lang w:val="en-US" w:eastAsia="zh-CN"/>
              </w:rPr>
              <w:t>新建</w:t>
            </w:r>
          </w:p>
        </w:tc>
      </w:tr>
      <w:tr w14:paraId="7EAD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2B5C2D70">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206C9ED5">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restart"/>
            <w:vAlign w:val="center"/>
          </w:tcPr>
          <w:p w14:paraId="1525AF24">
            <w:pPr>
              <w:spacing w:line="340" w:lineRule="exact"/>
              <w:jc w:val="center"/>
              <w:rPr>
                <w:rFonts w:hint="eastAsia" w:ascii="Times New Roman" w:hAnsi="Times New Roman"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生态措施</w:t>
            </w:r>
          </w:p>
        </w:tc>
        <w:tc>
          <w:tcPr>
            <w:tcW w:w="3299" w:type="pct"/>
            <w:shd w:val="clear" w:color="auto" w:fill="auto"/>
            <w:vAlign w:val="center"/>
          </w:tcPr>
          <w:p w14:paraId="02518E76">
            <w:pPr>
              <w:pStyle w:val="2857"/>
              <w:keepNext w:val="0"/>
              <w:keepLines w:val="0"/>
              <w:pageBreakBefore w:val="0"/>
              <w:widowControl/>
              <w:kinsoku/>
              <w:wordWrap/>
              <w:overflowPunct/>
              <w:topLinePunct w:val="0"/>
              <w:autoSpaceDE/>
              <w:autoSpaceDN/>
              <w:bidi w:val="0"/>
              <w:adjustRightInd/>
              <w:snapToGrid/>
              <w:spacing w:line="360" w:lineRule="exact"/>
              <w:ind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永久占地：</w:t>
            </w:r>
            <w:r>
              <w:rPr>
                <w:rFonts w:hint="default" w:ascii="Times New Roman" w:hAnsi="Times New Roman" w:eastAsia="宋体" w:cs="Times New Roman"/>
                <w:color w:val="auto"/>
                <w:w w:val="99"/>
                <w:sz w:val="21"/>
                <w:szCs w:val="21"/>
                <w:highlight w:val="none"/>
                <w:lang w:val="en-US" w:eastAsia="zh-CN" w:bidi="ar-SA"/>
              </w:rPr>
              <w:t>本项目永久占地类型为</w:t>
            </w:r>
            <w:r>
              <w:rPr>
                <w:rFonts w:hint="eastAsia" w:ascii="Times New Roman" w:hAnsi="Times New Roman" w:eastAsia="宋体" w:cs="Times New Roman"/>
                <w:color w:val="auto"/>
                <w:w w:val="99"/>
                <w:sz w:val="21"/>
                <w:szCs w:val="21"/>
                <w:highlight w:val="none"/>
                <w:lang w:val="en-US" w:eastAsia="zh-CN" w:bidi="ar-SA"/>
              </w:rPr>
              <w:t>永久</w:t>
            </w:r>
            <w:r>
              <w:rPr>
                <w:rFonts w:hint="default" w:ascii="Times New Roman" w:hAnsi="Times New Roman" w:eastAsia="宋体" w:cs="Times New Roman"/>
                <w:color w:val="auto"/>
                <w:w w:val="99"/>
                <w:sz w:val="21"/>
                <w:szCs w:val="21"/>
                <w:highlight w:val="none"/>
                <w:lang w:val="en-US" w:eastAsia="zh-CN" w:bidi="ar-SA"/>
              </w:rPr>
              <w:t>基本农田，对永久占用的基本农田按照“占一补一”的要求进行经济补偿或开垦与所占用耕地质量及数量相当的耕地。</w:t>
            </w:r>
          </w:p>
        </w:tc>
        <w:tc>
          <w:tcPr>
            <w:tcW w:w="439" w:type="pct"/>
            <w:vAlign w:val="center"/>
          </w:tcPr>
          <w:p w14:paraId="22B397D6">
            <w:pPr>
              <w:spacing w:line="340" w:lineRule="exact"/>
              <w:jc w:val="center"/>
              <w:rPr>
                <w:rFonts w:hint="default" w:ascii="Times New Roman" w:hAnsi="Times New Roman" w:eastAsia="宋体" w:cs="Times New Roman"/>
                <w:bCs/>
                <w:color w:val="auto"/>
                <w:w w:val="99"/>
                <w:kern w:val="21"/>
                <w:sz w:val="21"/>
                <w:szCs w:val="21"/>
                <w:highlight w:val="none"/>
              </w:rPr>
            </w:pPr>
            <w:r>
              <w:rPr>
                <w:rFonts w:hint="eastAsia" w:ascii="Times New Roman" w:hAnsi="Times New Roman" w:cs="Times New Roman"/>
                <w:bCs/>
                <w:color w:val="auto"/>
                <w:w w:val="99"/>
                <w:kern w:val="21"/>
                <w:sz w:val="21"/>
                <w:szCs w:val="21"/>
                <w:highlight w:val="none"/>
                <w:lang w:val="en-US" w:eastAsia="zh-CN"/>
              </w:rPr>
              <w:t>新建</w:t>
            </w:r>
          </w:p>
        </w:tc>
      </w:tr>
      <w:tr w14:paraId="21FC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7B897B3C">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122FC259">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vMerge w:val="continue"/>
            <w:vAlign w:val="center"/>
          </w:tcPr>
          <w:p w14:paraId="65FFB8E8">
            <w:pPr>
              <w:spacing w:line="340" w:lineRule="exact"/>
              <w:jc w:val="center"/>
              <w:rPr>
                <w:rFonts w:hint="eastAsia" w:ascii="Times New Roman" w:hAnsi="Times New Roman" w:cs="Times New Roman"/>
                <w:color w:val="auto"/>
                <w:w w:val="99"/>
                <w:kern w:val="2"/>
                <w:sz w:val="21"/>
                <w:szCs w:val="21"/>
                <w:highlight w:val="none"/>
                <w:lang w:val="en-US" w:eastAsia="zh-CN"/>
              </w:rPr>
            </w:pPr>
          </w:p>
        </w:tc>
        <w:tc>
          <w:tcPr>
            <w:tcW w:w="3299" w:type="pct"/>
            <w:shd w:val="clear" w:color="auto" w:fill="auto"/>
            <w:vAlign w:val="center"/>
          </w:tcPr>
          <w:p w14:paraId="452DD37F">
            <w:pPr>
              <w:pStyle w:val="2857"/>
              <w:keepNext w:val="0"/>
              <w:keepLines w:val="0"/>
              <w:pageBreakBefore w:val="0"/>
              <w:widowControl/>
              <w:kinsoku/>
              <w:wordWrap/>
              <w:overflowPunct/>
              <w:topLinePunct w:val="0"/>
              <w:autoSpaceDE/>
              <w:autoSpaceDN/>
              <w:bidi w:val="0"/>
              <w:adjustRightInd/>
              <w:snapToGrid/>
              <w:spacing w:line="360" w:lineRule="exact"/>
              <w:ind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本项目临时占地类型为</w:t>
            </w:r>
            <w:r>
              <w:rPr>
                <w:rFonts w:hint="eastAsia" w:ascii="Times New Roman" w:hAnsi="Times New Roman" w:eastAsia="宋体" w:cs="Times New Roman"/>
                <w:color w:val="auto"/>
                <w:w w:val="99"/>
                <w:sz w:val="21"/>
                <w:szCs w:val="21"/>
                <w:highlight w:val="none"/>
                <w:lang w:val="en-US" w:eastAsia="zh-CN" w:bidi="ar-SA"/>
              </w:rPr>
              <w:t>永久</w:t>
            </w:r>
            <w:r>
              <w:rPr>
                <w:rFonts w:hint="default" w:ascii="Times New Roman" w:hAnsi="Times New Roman" w:eastAsia="宋体" w:cs="Times New Roman"/>
                <w:color w:val="auto"/>
                <w:w w:val="99"/>
                <w:sz w:val="21"/>
                <w:szCs w:val="21"/>
                <w:highlight w:val="none"/>
                <w:lang w:val="en-US" w:eastAsia="zh-CN" w:bidi="ar-SA"/>
              </w:rPr>
              <w:t>基本农田，项目施工均在临时占地内进行施工，并且施工结束后及时清理施工现场，对临时占用的基本农田及时进行复耕。</w:t>
            </w:r>
          </w:p>
        </w:tc>
        <w:tc>
          <w:tcPr>
            <w:tcW w:w="439" w:type="pct"/>
            <w:vAlign w:val="center"/>
          </w:tcPr>
          <w:p w14:paraId="6DD447C6">
            <w:pPr>
              <w:spacing w:line="340" w:lineRule="exact"/>
              <w:jc w:val="center"/>
              <w:rPr>
                <w:rFonts w:hint="default" w:ascii="Times New Roman" w:hAnsi="Times New Roman" w:eastAsia="宋体" w:cs="Times New Roman"/>
                <w:bCs/>
                <w:color w:val="auto"/>
                <w:w w:val="99"/>
                <w:kern w:val="21"/>
                <w:sz w:val="21"/>
                <w:szCs w:val="21"/>
                <w:highlight w:val="none"/>
              </w:rPr>
            </w:pPr>
            <w:r>
              <w:rPr>
                <w:rFonts w:hint="eastAsia" w:ascii="Times New Roman" w:hAnsi="Times New Roman" w:cs="Times New Roman"/>
                <w:bCs/>
                <w:color w:val="auto"/>
                <w:w w:val="99"/>
                <w:kern w:val="21"/>
                <w:sz w:val="21"/>
                <w:szCs w:val="21"/>
                <w:highlight w:val="none"/>
                <w:lang w:val="en-US" w:eastAsia="zh-CN"/>
              </w:rPr>
              <w:t>新建</w:t>
            </w:r>
          </w:p>
        </w:tc>
      </w:tr>
      <w:tr w14:paraId="52FF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05EABD0A">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restart"/>
            <w:vAlign w:val="center"/>
          </w:tcPr>
          <w:p w14:paraId="0E39F5CF">
            <w:pPr>
              <w:spacing w:line="340" w:lineRule="exact"/>
              <w:jc w:val="center"/>
              <w:rPr>
                <w:rFonts w:hint="eastAsia"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退役期</w:t>
            </w:r>
          </w:p>
        </w:tc>
        <w:tc>
          <w:tcPr>
            <w:tcW w:w="504" w:type="pct"/>
            <w:gridSpan w:val="2"/>
            <w:shd w:val="clear" w:color="auto" w:fill="auto"/>
            <w:vAlign w:val="center"/>
          </w:tcPr>
          <w:p w14:paraId="24210CD3">
            <w:pPr>
              <w:spacing w:line="320" w:lineRule="exact"/>
              <w:jc w:val="center"/>
              <w:rPr>
                <w:rFonts w:hint="eastAsia"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废气</w:t>
            </w:r>
            <w:r>
              <w:rPr>
                <w:rFonts w:hint="eastAsia" w:ascii="Times New Roman" w:hAnsi="Times New Roman" w:cs="Times New Roman"/>
                <w:color w:val="auto"/>
                <w:w w:val="99"/>
                <w:kern w:val="2"/>
                <w:sz w:val="21"/>
                <w:szCs w:val="21"/>
                <w:highlight w:val="none"/>
                <w:lang w:val="en-US" w:eastAsia="zh-CN"/>
              </w:rPr>
              <w:t>防治措施</w:t>
            </w:r>
          </w:p>
        </w:tc>
        <w:tc>
          <w:tcPr>
            <w:tcW w:w="3299" w:type="pct"/>
            <w:shd w:val="clear" w:color="auto" w:fill="auto"/>
            <w:vAlign w:val="center"/>
          </w:tcPr>
          <w:p w14:paraId="388F471A">
            <w:pPr>
              <w:keepNext w:val="0"/>
              <w:keepLines w:val="0"/>
              <w:pageBreakBefore w:val="0"/>
              <w:wordWrap/>
              <w:overflowPunct/>
              <w:topLinePunct w:val="0"/>
              <w:bidi w:val="0"/>
              <w:spacing w:line="320" w:lineRule="exact"/>
              <w:ind w:firstLine="414" w:firstLineChars="200"/>
              <w:jc w:val="both"/>
              <w:rPr>
                <w:rFonts w:hint="eastAsia"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sz w:val="21"/>
                <w:szCs w:val="21"/>
                <w:highlight w:val="none"/>
              </w:rPr>
              <w:t>施工扬尘采取运输道路及施工场地定时洒水抑尘，</w:t>
            </w:r>
            <w:r>
              <w:rPr>
                <w:rFonts w:ascii="Times New Roman" w:hAnsi="Times New Roman" w:cs="Times New Roman"/>
                <w:bCs/>
                <w:color w:val="auto"/>
                <w:w w:val="99"/>
                <w:sz w:val="21"/>
                <w:szCs w:val="21"/>
                <w:highlight w:val="none"/>
              </w:rPr>
              <w:t>运输</w:t>
            </w:r>
            <w:r>
              <w:rPr>
                <w:rFonts w:ascii="Times New Roman" w:hAnsi="Times New Roman" w:cs="Times New Roman"/>
                <w:color w:val="auto"/>
                <w:w w:val="99"/>
                <w:sz w:val="21"/>
                <w:szCs w:val="21"/>
                <w:highlight w:val="none"/>
              </w:rPr>
              <w:t>车辆采取苫布遮盖措施。</w:t>
            </w:r>
          </w:p>
        </w:tc>
        <w:tc>
          <w:tcPr>
            <w:tcW w:w="439" w:type="pct"/>
            <w:vAlign w:val="center"/>
          </w:tcPr>
          <w:p w14:paraId="5BA64BF7">
            <w:pPr>
              <w:spacing w:line="340" w:lineRule="exact"/>
              <w:jc w:val="center"/>
              <w:rPr>
                <w:rFonts w:hint="default" w:ascii="Times New Roman" w:hAnsi="Times New Roman" w:eastAsia="宋体" w:cs="Times New Roman"/>
                <w:bCs/>
                <w:color w:val="auto"/>
                <w:w w:val="99"/>
                <w:kern w:val="21"/>
                <w:sz w:val="21"/>
                <w:szCs w:val="21"/>
                <w:highlight w:val="none"/>
                <w:lang w:val="en-US" w:eastAsia="zh-CN"/>
              </w:rPr>
            </w:pPr>
            <w:r>
              <w:rPr>
                <w:rFonts w:hint="eastAsia" w:ascii="Times New Roman" w:hAnsi="Times New Roman" w:cs="Times New Roman"/>
                <w:bCs/>
                <w:color w:val="auto"/>
                <w:w w:val="99"/>
                <w:kern w:val="21"/>
                <w:sz w:val="21"/>
                <w:szCs w:val="21"/>
                <w:highlight w:val="none"/>
                <w:lang w:val="en-US" w:eastAsia="zh-CN"/>
              </w:rPr>
              <w:t>新建</w:t>
            </w:r>
          </w:p>
        </w:tc>
      </w:tr>
      <w:tr w14:paraId="2DD9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7CA74D50">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756F115E">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shd w:val="clear" w:color="auto" w:fill="auto"/>
            <w:vAlign w:val="center"/>
          </w:tcPr>
          <w:p w14:paraId="72487412">
            <w:pPr>
              <w:spacing w:line="320" w:lineRule="exact"/>
              <w:jc w:val="center"/>
              <w:rPr>
                <w:rFonts w:hint="eastAsia"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废水</w:t>
            </w:r>
            <w:r>
              <w:rPr>
                <w:rFonts w:hint="eastAsia" w:ascii="Times New Roman" w:hAnsi="Times New Roman" w:cs="Times New Roman"/>
                <w:color w:val="auto"/>
                <w:w w:val="99"/>
                <w:kern w:val="2"/>
                <w:sz w:val="21"/>
                <w:szCs w:val="21"/>
                <w:highlight w:val="none"/>
                <w:lang w:val="en-US" w:eastAsia="zh-CN"/>
              </w:rPr>
              <w:t>防治措施</w:t>
            </w:r>
          </w:p>
        </w:tc>
        <w:tc>
          <w:tcPr>
            <w:tcW w:w="3299" w:type="pct"/>
            <w:shd w:val="clear" w:color="auto" w:fill="auto"/>
            <w:vAlign w:val="center"/>
          </w:tcPr>
          <w:p w14:paraId="44CDA8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14" w:firstLineChars="200"/>
              <w:jc w:val="both"/>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拆除设备清洗废水，由罐车拉运至</w:t>
            </w:r>
            <w:r>
              <w:rPr>
                <w:rFonts w:hint="eastAsia" w:ascii="Times New Roman" w:hAnsi="Times New Roman" w:eastAsia="宋体" w:cs="Times New Roman"/>
                <w:color w:val="auto"/>
                <w:w w:val="99"/>
                <w:sz w:val="21"/>
                <w:szCs w:val="21"/>
                <w:highlight w:val="none"/>
                <w:lang w:val="en-US" w:eastAsia="zh-CN" w:bidi="ar-SA"/>
              </w:rPr>
              <w:t>升一联气田污水预处理站处理满足</w:t>
            </w:r>
            <w:r>
              <w:rPr>
                <w:rFonts w:hint="default" w:ascii="Times New Roman" w:hAnsi="Times New Roman" w:eastAsia="宋体" w:cs="Times New Roman"/>
                <w:color w:val="auto"/>
                <w:w w:val="99"/>
                <w:sz w:val="21"/>
                <w:szCs w:val="21"/>
                <w:highlight w:val="none"/>
                <w:lang w:val="en-US" w:eastAsia="zh-CN" w:bidi="ar-SA"/>
              </w:rPr>
              <w:t>《大庆油田地面工程建设设计规定》（Q/SYDQ0639-2015）、《碎屑岩油藏注水水质指标技术要求及分析方法》（SY/T5329-2022）标准要求，即“含油量≤</w:t>
            </w:r>
            <w:r>
              <w:rPr>
                <w:rFonts w:hint="eastAsia" w:ascii="Times New Roman" w:hAnsi="Times New Roman" w:eastAsia="宋体" w:cs="Times New Roman"/>
                <w:color w:val="auto"/>
                <w:w w:val="99"/>
                <w:sz w:val="21"/>
                <w:szCs w:val="21"/>
                <w:highlight w:val="none"/>
                <w:lang w:val="en-US" w:eastAsia="zh-CN" w:bidi="ar-SA"/>
              </w:rPr>
              <w:t>10</w:t>
            </w:r>
            <w:r>
              <w:rPr>
                <w:rFonts w:hint="default" w:ascii="Times New Roman" w:hAnsi="Times New Roman" w:eastAsia="宋体" w:cs="Times New Roman"/>
                <w:color w:val="auto"/>
                <w:w w:val="99"/>
                <w:sz w:val="21"/>
                <w:szCs w:val="21"/>
                <w:highlight w:val="none"/>
                <w:lang w:val="en-US" w:eastAsia="zh-CN" w:bidi="ar-SA"/>
              </w:rPr>
              <w:t>mg/L、悬浮固体含量≤5mg/L”后回注地下开采油层。</w:t>
            </w:r>
          </w:p>
          <w:p w14:paraId="587654CA">
            <w:pPr>
              <w:keepNext w:val="0"/>
              <w:keepLines w:val="0"/>
              <w:pageBreakBefore w:val="0"/>
              <w:wordWrap/>
              <w:overflowPunct/>
              <w:topLinePunct w:val="0"/>
              <w:bidi w:val="0"/>
              <w:spacing w:line="320" w:lineRule="exact"/>
              <w:ind w:firstLine="414" w:firstLineChars="200"/>
              <w:jc w:val="both"/>
              <w:rPr>
                <w:rFonts w:hint="eastAsia"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退役期拆除工程生活污水排入</w:t>
            </w:r>
            <w:r>
              <w:rPr>
                <w:rFonts w:hint="eastAsia" w:ascii="Times New Roman" w:hAnsi="Times New Roman" w:cs="Times New Roman"/>
                <w:color w:val="auto"/>
                <w:w w:val="99"/>
                <w:sz w:val="21"/>
                <w:szCs w:val="21"/>
                <w:highlight w:val="none"/>
                <w:lang w:val="en-US" w:eastAsia="zh-CN" w:bidi="ar-SA"/>
              </w:rPr>
              <w:t>周边</w:t>
            </w:r>
            <w:r>
              <w:rPr>
                <w:rFonts w:hint="eastAsia" w:ascii="Times New Roman" w:hAnsi="Times New Roman" w:eastAsia="宋体" w:cs="Times New Roman"/>
                <w:color w:val="auto"/>
                <w:w w:val="99"/>
                <w:sz w:val="21"/>
                <w:szCs w:val="21"/>
                <w:highlight w:val="none"/>
                <w:lang w:val="en-US" w:eastAsia="zh-CN" w:bidi="ar-SA"/>
              </w:rPr>
              <w:t>集气站已建生活污水收集设施，均定期由大庆石油管理局有限公司庆南工矿服务公司红岗分公司拉运至大庆红岗区西巷污水回收站，管输至南区污水处理厂进行处理。</w:t>
            </w:r>
          </w:p>
        </w:tc>
        <w:tc>
          <w:tcPr>
            <w:tcW w:w="439" w:type="pct"/>
            <w:vAlign w:val="center"/>
          </w:tcPr>
          <w:p w14:paraId="56B3EFA6">
            <w:pPr>
              <w:spacing w:line="340" w:lineRule="exact"/>
              <w:jc w:val="center"/>
              <w:rPr>
                <w:rFonts w:hint="eastAsia" w:ascii="Times New Roman" w:hAnsi="Times New Roman" w:eastAsia="宋体" w:cs="Times New Roman"/>
                <w:bCs/>
                <w:color w:val="auto"/>
                <w:w w:val="99"/>
                <w:kern w:val="21"/>
                <w:sz w:val="21"/>
                <w:szCs w:val="21"/>
                <w:highlight w:val="none"/>
                <w:lang w:val="en-US" w:eastAsia="zh-CN"/>
              </w:rPr>
            </w:pPr>
            <w:r>
              <w:rPr>
                <w:rFonts w:hint="eastAsia" w:ascii="Times New Roman" w:hAnsi="Times New Roman" w:cs="Times New Roman"/>
                <w:bCs/>
                <w:color w:val="auto"/>
                <w:w w:val="99"/>
                <w:kern w:val="21"/>
                <w:sz w:val="21"/>
                <w:szCs w:val="21"/>
                <w:highlight w:val="none"/>
                <w:lang w:val="en-US" w:eastAsia="zh-CN"/>
              </w:rPr>
              <w:t>依托</w:t>
            </w:r>
          </w:p>
        </w:tc>
      </w:tr>
      <w:tr w14:paraId="0330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32F0FC69">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5093D4C4">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shd w:val="clear" w:color="auto" w:fill="auto"/>
            <w:vAlign w:val="center"/>
          </w:tcPr>
          <w:p w14:paraId="62CF203D">
            <w:pPr>
              <w:spacing w:line="320" w:lineRule="exact"/>
              <w:jc w:val="center"/>
              <w:rPr>
                <w:rFonts w:hint="eastAsia"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噪声</w:t>
            </w:r>
            <w:r>
              <w:rPr>
                <w:rFonts w:hint="eastAsia" w:ascii="Times New Roman" w:hAnsi="Times New Roman" w:cs="Times New Roman"/>
                <w:color w:val="auto"/>
                <w:w w:val="99"/>
                <w:kern w:val="2"/>
                <w:sz w:val="21"/>
                <w:szCs w:val="21"/>
                <w:highlight w:val="none"/>
                <w:lang w:val="en-US" w:eastAsia="zh-CN"/>
              </w:rPr>
              <w:t>防治措施</w:t>
            </w:r>
          </w:p>
        </w:tc>
        <w:tc>
          <w:tcPr>
            <w:tcW w:w="3299" w:type="pct"/>
            <w:shd w:val="clear" w:color="auto" w:fill="auto"/>
            <w:vAlign w:val="center"/>
          </w:tcPr>
          <w:p w14:paraId="5924BECC">
            <w:pPr>
              <w:keepNext w:val="0"/>
              <w:keepLines w:val="0"/>
              <w:pageBreakBefore w:val="0"/>
              <w:wordWrap/>
              <w:overflowPunct/>
              <w:topLinePunct w:val="0"/>
              <w:bidi w:val="0"/>
              <w:spacing w:line="320" w:lineRule="exact"/>
              <w:ind w:firstLine="414" w:firstLineChars="200"/>
              <w:jc w:val="both"/>
              <w:rPr>
                <w:rFonts w:hint="eastAsia"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加强施工管理工作，合理安排施工进度，避免大量高噪声设备同时施工；施工期选用低噪声设备；运输车辆选择避开居民区的路线。</w:t>
            </w:r>
          </w:p>
        </w:tc>
        <w:tc>
          <w:tcPr>
            <w:tcW w:w="439" w:type="pct"/>
            <w:vAlign w:val="center"/>
          </w:tcPr>
          <w:p w14:paraId="2F3AC8BB">
            <w:pPr>
              <w:spacing w:line="340" w:lineRule="exact"/>
              <w:jc w:val="center"/>
              <w:rPr>
                <w:rFonts w:hint="eastAsia" w:ascii="Times New Roman" w:hAnsi="Times New Roman" w:eastAsia="宋体" w:cs="Times New Roman"/>
                <w:bCs/>
                <w:color w:val="auto"/>
                <w:w w:val="99"/>
                <w:kern w:val="21"/>
                <w:sz w:val="21"/>
                <w:szCs w:val="21"/>
                <w:highlight w:val="none"/>
                <w:lang w:eastAsia="zh-CN"/>
              </w:rPr>
            </w:pPr>
            <w:r>
              <w:rPr>
                <w:rFonts w:hint="eastAsia" w:ascii="Times New Roman" w:hAnsi="Times New Roman" w:cs="Times New Roman"/>
                <w:bCs/>
                <w:color w:val="auto"/>
                <w:w w:val="99"/>
                <w:kern w:val="21"/>
                <w:sz w:val="21"/>
                <w:szCs w:val="21"/>
                <w:highlight w:val="none"/>
                <w:lang w:val="en-US" w:eastAsia="zh-CN"/>
              </w:rPr>
              <w:t>/</w:t>
            </w:r>
          </w:p>
        </w:tc>
      </w:tr>
      <w:tr w14:paraId="265B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7336DDFD">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4590B2B8">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shd w:val="clear" w:color="auto" w:fill="auto"/>
            <w:vAlign w:val="center"/>
          </w:tcPr>
          <w:p w14:paraId="2B9B6754">
            <w:pPr>
              <w:spacing w:line="320" w:lineRule="exact"/>
              <w:jc w:val="center"/>
              <w:rPr>
                <w:rFonts w:hint="eastAsia"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固体废物</w:t>
            </w:r>
            <w:r>
              <w:rPr>
                <w:rFonts w:hint="eastAsia" w:ascii="Times New Roman" w:hAnsi="Times New Roman" w:cs="Times New Roman"/>
                <w:color w:val="auto"/>
                <w:w w:val="99"/>
                <w:kern w:val="2"/>
                <w:sz w:val="21"/>
                <w:szCs w:val="21"/>
                <w:highlight w:val="none"/>
                <w:lang w:val="en-US" w:eastAsia="zh-CN"/>
              </w:rPr>
              <w:t>防治措施</w:t>
            </w:r>
          </w:p>
        </w:tc>
        <w:tc>
          <w:tcPr>
            <w:tcW w:w="3299" w:type="pct"/>
            <w:shd w:val="clear" w:color="auto" w:fill="auto"/>
            <w:vAlign w:val="center"/>
          </w:tcPr>
          <w:p w14:paraId="0D955F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14" w:firstLineChars="200"/>
              <w:jc w:val="both"/>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退役期</w:t>
            </w:r>
            <w:r>
              <w:rPr>
                <w:rFonts w:hint="eastAsia" w:ascii="Times New Roman" w:hAnsi="Times New Roman" w:eastAsia="宋体" w:cs="Times New Roman"/>
                <w:color w:val="auto"/>
                <w:w w:val="99"/>
                <w:sz w:val="21"/>
                <w:szCs w:val="21"/>
                <w:highlight w:val="none"/>
                <w:lang w:val="en-US" w:eastAsia="zh-CN" w:bidi="ar-SA"/>
              </w:rPr>
              <w:t>气</w:t>
            </w:r>
            <w:r>
              <w:rPr>
                <w:rFonts w:hint="default" w:ascii="Times New Roman" w:hAnsi="Times New Roman" w:eastAsia="宋体" w:cs="Times New Roman"/>
                <w:color w:val="auto"/>
                <w:w w:val="99"/>
                <w:sz w:val="21"/>
                <w:szCs w:val="21"/>
                <w:highlight w:val="none"/>
                <w:lang w:val="en-US" w:eastAsia="zh-CN" w:bidi="ar-SA"/>
              </w:rPr>
              <w:t>井拆除设备废旧设备回收至</w:t>
            </w:r>
            <w:r>
              <w:rPr>
                <w:rFonts w:hint="eastAsia" w:ascii="Times New Roman" w:hAnsi="Times New Roman" w:eastAsia="宋体" w:cs="Times New Roman"/>
                <w:color w:val="auto"/>
                <w:w w:val="99"/>
                <w:sz w:val="21"/>
                <w:szCs w:val="21"/>
                <w:highlight w:val="none"/>
                <w:lang w:val="en-US" w:eastAsia="zh-CN" w:bidi="ar-SA"/>
              </w:rPr>
              <w:t>采气分公司</w:t>
            </w:r>
            <w:r>
              <w:rPr>
                <w:rFonts w:hint="default" w:ascii="Times New Roman" w:hAnsi="Times New Roman" w:eastAsia="宋体" w:cs="Times New Roman"/>
                <w:color w:val="auto"/>
                <w:w w:val="99"/>
                <w:sz w:val="21"/>
                <w:szCs w:val="21"/>
                <w:highlight w:val="none"/>
                <w:lang w:val="en-US" w:eastAsia="zh-CN" w:bidi="ar-SA"/>
              </w:rPr>
              <w:t>资产回收库</w:t>
            </w:r>
            <w:r>
              <w:rPr>
                <w:rFonts w:hint="eastAsia" w:ascii="Times New Roman" w:hAnsi="Times New Roman" w:cs="Times New Roman"/>
                <w:color w:val="auto"/>
                <w:w w:val="99"/>
                <w:sz w:val="21"/>
                <w:szCs w:val="21"/>
                <w:highlight w:val="none"/>
                <w:lang w:val="en-US" w:eastAsia="zh-CN" w:bidi="ar-SA"/>
              </w:rPr>
              <w:t>；</w:t>
            </w:r>
          </w:p>
          <w:p w14:paraId="0AE33F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14" w:firstLineChars="200"/>
              <w:jc w:val="both"/>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退役期</w:t>
            </w:r>
            <w:r>
              <w:rPr>
                <w:rFonts w:hint="eastAsia" w:ascii="Times New Roman" w:hAnsi="Times New Roman" w:eastAsia="宋体" w:cs="Times New Roman"/>
                <w:color w:val="auto"/>
                <w:w w:val="99"/>
                <w:sz w:val="21"/>
                <w:szCs w:val="21"/>
                <w:highlight w:val="none"/>
                <w:lang w:val="en-US" w:eastAsia="zh-CN" w:bidi="ar-SA"/>
              </w:rPr>
              <w:t>气</w:t>
            </w:r>
            <w:r>
              <w:rPr>
                <w:rFonts w:hint="default" w:ascii="Times New Roman" w:hAnsi="Times New Roman" w:eastAsia="宋体" w:cs="Times New Roman"/>
                <w:color w:val="auto"/>
                <w:w w:val="99"/>
                <w:sz w:val="21"/>
                <w:szCs w:val="21"/>
                <w:highlight w:val="none"/>
                <w:lang w:val="en-US" w:eastAsia="zh-CN" w:bidi="ar-SA"/>
              </w:rPr>
              <w:t>井封井</w:t>
            </w:r>
            <w:r>
              <w:rPr>
                <w:rFonts w:hint="eastAsia" w:ascii="Times New Roman" w:hAnsi="Times New Roman" w:cs="Times New Roman"/>
                <w:color w:val="auto"/>
                <w:w w:val="99"/>
                <w:sz w:val="21"/>
                <w:szCs w:val="21"/>
                <w:highlight w:val="none"/>
                <w:lang w:val="en-US" w:eastAsia="zh-CN" w:bidi="ar-SA"/>
              </w:rPr>
              <w:t>建筑</w:t>
            </w:r>
            <w:r>
              <w:rPr>
                <w:rFonts w:hint="default" w:ascii="Times New Roman" w:hAnsi="Times New Roman" w:eastAsia="宋体" w:cs="Times New Roman"/>
                <w:color w:val="auto"/>
                <w:w w:val="99"/>
                <w:sz w:val="21"/>
                <w:szCs w:val="21"/>
                <w:highlight w:val="none"/>
                <w:lang w:val="en-US" w:eastAsia="zh-CN" w:bidi="ar-SA"/>
              </w:rPr>
              <w:t>垃圾拉运至建筑垃圾调配场处理</w:t>
            </w:r>
            <w:r>
              <w:rPr>
                <w:rFonts w:hint="eastAsia" w:ascii="Times New Roman" w:hAnsi="Times New Roman" w:cs="Times New Roman"/>
                <w:color w:val="auto"/>
                <w:w w:val="99"/>
                <w:sz w:val="21"/>
                <w:szCs w:val="21"/>
                <w:highlight w:val="none"/>
                <w:lang w:val="en-US" w:eastAsia="zh-CN" w:bidi="ar-SA"/>
              </w:rPr>
              <w:t>；</w:t>
            </w:r>
          </w:p>
          <w:p w14:paraId="29E8929D">
            <w:pPr>
              <w:keepNext w:val="0"/>
              <w:keepLines w:val="0"/>
              <w:pageBreakBefore w:val="0"/>
              <w:wordWrap/>
              <w:overflowPunct/>
              <w:topLinePunct w:val="0"/>
              <w:bidi w:val="0"/>
              <w:spacing w:line="320" w:lineRule="exact"/>
              <w:ind w:firstLine="414" w:firstLineChars="200"/>
              <w:jc w:val="both"/>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退役期生活垃圾统一收集后拉运至</w:t>
            </w:r>
            <w:r>
              <w:rPr>
                <w:rFonts w:hint="eastAsia" w:ascii="Times New Roman" w:hAnsi="Times New Roman" w:cs="Times New Roman"/>
                <w:color w:val="auto"/>
                <w:w w:val="99"/>
                <w:sz w:val="21"/>
                <w:szCs w:val="21"/>
                <w:highlight w:val="none"/>
                <w:lang w:val="en-US" w:eastAsia="zh-CN" w:bidi="ar-SA"/>
              </w:rPr>
              <w:t>肇东北控环境再生能源有限公司</w:t>
            </w:r>
            <w:r>
              <w:rPr>
                <w:rFonts w:hint="default" w:ascii="Times New Roman" w:hAnsi="Times New Roman" w:eastAsia="宋体" w:cs="Times New Roman"/>
                <w:color w:val="auto"/>
                <w:w w:val="99"/>
                <w:sz w:val="21"/>
                <w:szCs w:val="21"/>
                <w:highlight w:val="none"/>
                <w:lang w:val="en-US" w:eastAsia="zh-CN" w:bidi="ar-SA"/>
              </w:rPr>
              <w:t>处理。</w:t>
            </w:r>
          </w:p>
          <w:p w14:paraId="3A2EADCF">
            <w:pPr>
              <w:pStyle w:val="101"/>
              <w:keepNext w:val="0"/>
              <w:keepLines w:val="0"/>
              <w:pageBreakBefore w:val="0"/>
              <w:widowControl w:val="0"/>
              <w:kinsoku/>
              <w:wordWrap/>
              <w:overflowPunct/>
              <w:topLinePunct w:val="0"/>
              <w:autoSpaceDE/>
              <w:autoSpaceDN/>
              <w:bidi w:val="0"/>
              <w:adjustRightInd/>
              <w:snapToGrid w:val="0"/>
              <w:ind w:left="0" w:leftChars="0" w:firstLine="414" w:firstLineChars="200"/>
              <w:jc w:val="both"/>
              <w:textAlignment w:val="auto"/>
              <w:rPr>
                <w:rFonts w:hint="eastAsia" w:ascii="Calibri" w:hAnsi="Calibri" w:eastAsia="宋体" w:cs="Times New Roman"/>
                <w:smallCaps/>
                <w:color w:val="auto"/>
                <w:kern w:val="2"/>
                <w:sz w:val="20"/>
                <w:szCs w:val="20"/>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退役期产生</w:t>
            </w:r>
            <w:r>
              <w:rPr>
                <w:rFonts w:hint="default" w:ascii="Times New Roman" w:hAnsi="Times New Roman" w:eastAsia="宋体" w:cs="Times New Roman"/>
                <w:color w:val="auto"/>
                <w:w w:val="99"/>
                <w:sz w:val="21"/>
                <w:szCs w:val="21"/>
                <w:highlight w:val="none"/>
                <w:lang w:val="en-US" w:eastAsia="zh-CN" w:bidi="ar-SA"/>
              </w:rPr>
              <w:t>含油废防渗布在作业结束后，</w:t>
            </w:r>
            <w:r>
              <w:rPr>
                <w:rFonts w:hint="eastAsia" w:ascii="Times New Roman" w:hAnsi="Times New Roman" w:eastAsia="宋体" w:cs="Times New Roman"/>
                <w:color w:val="auto"/>
                <w:w w:val="99"/>
                <w:sz w:val="21"/>
                <w:szCs w:val="21"/>
                <w:highlight w:val="none"/>
                <w:lang w:val="en-US" w:eastAsia="zh-CN" w:bidi="ar-SA"/>
              </w:rPr>
              <w:t>由施工单位运至</w:t>
            </w:r>
            <w:r>
              <w:rPr>
                <w:rFonts w:hint="eastAsia" w:ascii="Times New Roman" w:hAnsi="Times New Roman" w:eastAsia="宋体" w:cs="Times New Roman"/>
                <w:bCs/>
                <w:color w:val="auto"/>
                <w:w w:val="99"/>
                <w:kern w:val="21"/>
                <w:sz w:val="21"/>
                <w:szCs w:val="21"/>
                <w:highlight w:val="none"/>
                <w:lang w:val="en-US" w:eastAsia="zh-CN" w:bidi="ar-SA"/>
              </w:rPr>
              <w:t>采气分公司危险废物贮存库</w:t>
            </w:r>
            <w:r>
              <w:rPr>
                <w:rFonts w:hint="eastAsia" w:ascii="Times New Roman" w:hAnsi="Times New Roman" w:eastAsia="宋体" w:cs="Times New Roman"/>
                <w:color w:val="auto"/>
                <w:w w:val="99"/>
                <w:sz w:val="21"/>
                <w:szCs w:val="21"/>
                <w:highlight w:val="none"/>
                <w:lang w:val="en-US" w:eastAsia="zh-CN" w:bidi="ar-SA"/>
              </w:rPr>
              <w:t>，</w:t>
            </w:r>
            <w:r>
              <w:rPr>
                <w:rFonts w:hint="default" w:ascii="Times New Roman" w:hAnsi="Times New Roman" w:eastAsia="宋体" w:cs="Times New Roman"/>
                <w:color w:val="auto"/>
                <w:w w:val="99"/>
                <w:sz w:val="21"/>
                <w:szCs w:val="21"/>
                <w:highlight w:val="none"/>
                <w:lang w:val="en-US" w:eastAsia="zh-CN" w:bidi="ar-SA"/>
              </w:rPr>
              <w:t>委托</w:t>
            </w:r>
            <w:r>
              <w:rPr>
                <w:rFonts w:hint="eastAsia" w:ascii="Times New Roman" w:hAnsi="Times New Roman" w:eastAsia="宋体" w:cs="Times New Roman"/>
                <w:color w:val="auto"/>
                <w:w w:val="99"/>
                <w:sz w:val="21"/>
                <w:szCs w:val="21"/>
                <w:highlight w:val="none"/>
                <w:lang w:val="en-US" w:eastAsia="zh-CN" w:bidi="ar-SA"/>
              </w:rPr>
              <w:t>有资质单位</w:t>
            </w:r>
            <w:r>
              <w:rPr>
                <w:rFonts w:hint="default" w:ascii="Times New Roman" w:hAnsi="Times New Roman" w:eastAsia="宋体" w:cs="Times New Roman"/>
                <w:color w:val="auto"/>
                <w:w w:val="99"/>
                <w:sz w:val="21"/>
                <w:szCs w:val="21"/>
                <w:highlight w:val="none"/>
                <w:lang w:val="en-US" w:eastAsia="zh-CN" w:bidi="ar-SA"/>
              </w:rPr>
              <w:t>转运处置</w:t>
            </w:r>
            <w:r>
              <w:rPr>
                <w:rFonts w:hint="eastAsia" w:ascii="Times New Roman" w:hAnsi="Times New Roman" w:eastAsia="宋体" w:cs="Times New Roman"/>
                <w:color w:val="auto"/>
                <w:w w:val="99"/>
                <w:sz w:val="21"/>
                <w:szCs w:val="21"/>
                <w:highlight w:val="none"/>
                <w:lang w:val="en-US" w:eastAsia="zh-CN" w:bidi="ar-SA"/>
              </w:rPr>
              <w:t>。</w:t>
            </w:r>
          </w:p>
        </w:tc>
        <w:tc>
          <w:tcPr>
            <w:tcW w:w="439" w:type="pct"/>
            <w:vAlign w:val="center"/>
          </w:tcPr>
          <w:p w14:paraId="20A36958">
            <w:pPr>
              <w:spacing w:line="340" w:lineRule="exact"/>
              <w:jc w:val="center"/>
              <w:rPr>
                <w:rFonts w:hint="default" w:ascii="Times New Roman" w:hAnsi="Times New Roman" w:eastAsia="宋体" w:cs="Times New Roman"/>
                <w:bCs/>
                <w:color w:val="auto"/>
                <w:w w:val="99"/>
                <w:kern w:val="21"/>
                <w:sz w:val="21"/>
                <w:szCs w:val="21"/>
                <w:highlight w:val="none"/>
              </w:rPr>
            </w:pPr>
            <w:r>
              <w:rPr>
                <w:rFonts w:hint="eastAsia" w:ascii="Times New Roman" w:hAnsi="Times New Roman" w:cs="Times New Roman"/>
                <w:bCs/>
                <w:color w:val="auto"/>
                <w:w w:val="99"/>
                <w:kern w:val="21"/>
                <w:sz w:val="21"/>
                <w:szCs w:val="21"/>
                <w:highlight w:val="none"/>
                <w:lang w:val="en-US" w:eastAsia="zh-CN"/>
              </w:rPr>
              <w:t>依托</w:t>
            </w:r>
          </w:p>
        </w:tc>
      </w:tr>
      <w:tr w14:paraId="3440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5C390F6D">
            <w:pPr>
              <w:spacing w:line="340" w:lineRule="exact"/>
              <w:jc w:val="center"/>
              <w:rPr>
                <w:rFonts w:hint="default" w:ascii="Times New Roman" w:hAnsi="Times New Roman" w:eastAsia="宋体" w:cs="Times New Roman"/>
                <w:color w:val="auto"/>
                <w:w w:val="99"/>
                <w:kern w:val="2"/>
                <w:sz w:val="21"/>
                <w:szCs w:val="21"/>
                <w:highlight w:val="none"/>
              </w:rPr>
            </w:pPr>
          </w:p>
        </w:tc>
        <w:tc>
          <w:tcPr>
            <w:tcW w:w="403" w:type="pct"/>
            <w:gridSpan w:val="2"/>
            <w:vMerge w:val="continue"/>
            <w:vAlign w:val="center"/>
          </w:tcPr>
          <w:p w14:paraId="329F96B8">
            <w:pPr>
              <w:spacing w:line="340" w:lineRule="exact"/>
              <w:jc w:val="center"/>
              <w:rPr>
                <w:rFonts w:hint="default" w:ascii="Times New Roman" w:hAnsi="Times New Roman" w:eastAsia="宋体" w:cs="Times New Roman"/>
                <w:color w:val="auto"/>
                <w:w w:val="99"/>
                <w:kern w:val="2"/>
                <w:sz w:val="21"/>
                <w:szCs w:val="21"/>
                <w:highlight w:val="none"/>
              </w:rPr>
            </w:pPr>
          </w:p>
        </w:tc>
        <w:tc>
          <w:tcPr>
            <w:tcW w:w="504" w:type="pct"/>
            <w:gridSpan w:val="2"/>
            <w:shd w:val="clear" w:color="auto" w:fill="auto"/>
            <w:vAlign w:val="center"/>
          </w:tcPr>
          <w:p w14:paraId="71F179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生</w:t>
            </w:r>
            <w:r>
              <w:rPr>
                <w:rFonts w:hint="eastAsia" w:ascii="Times New Roman" w:hAnsi="Times New Roman" w:eastAsia="宋体" w:cs="Times New Roman"/>
                <w:color w:val="auto"/>
                <w:w w:val="99"/>
                <w:sz w:val="21"/>
                <w:szCs w:val="21"/>
                <w:highlight w:val="none"/>
                <w:lang w:val="en-US" w:eastAsia="zh-CN" w:bidi="ar-SA"/>
              </w:rPr>
              <w:t>态</w:t>
            </w:r>
            <w:r>
              <w:rPr>
                <w:rFonts w:hint="default" w:ascii="Times New Roman" w:hAnsi="Times New Roman" w:eastAsia="宋体" w:cs="Times New Roman"/>
                <w:color w:val="auto"/>
                <w:w w:val="99"/>
                <w:sz w:val="21"/>
                <w:szCs w:val="21"/>
                <w:highlight w:val="none"/>
                <w:lang w:val="en-US" w:eastAsia="zh-CN" w:bidi="ar-SA"/>
              </w:rPr>
              <w:t>措施</w:t>
            </w:r>
          </w:p>
        </w:tc>
        <w:tc>
          <w:tcPr>
            <w:tcW w:w="3299" w:type="pct"/>
            <w:shd w:val="clear" w:color="auto" w:fill="auto"/>
            <w:vAlign w:val="center"/>
          </w:tcPr>
          <w:p w14:paraId="4338A1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14" w:firstLineChars="200"/>
              <w:jc w:val="both"/>
              <w:textAlignment w:val="auto"/>
              <w:rPr>
                <w:rFonts w:hint="eastAsia"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退役期</w:t>
            </w:r>
            <w:r>
              <w:rPr>
                <w:rFonts w:hint="eastAsia" w:ascii="Times New Roman" w:hAnsi="Times New Roman" w:eastAsia="宋体" w:cs="Times New Roman"/>
                <w:color w:val="auto"/>
                <w:w w:val="99"/>
                <w:sz w:val="21"/>
                <w:szCs w:val="21"/>
                <w:highlight w:val="none"/>
                <w:lang w:val="en-US" w:eastAsia="zh-CN" w:bidi="ar-SA"/>
              </w:rPr>
              <w:t>气井</w:t>
            </w:r>
            <w:r>
              <w:rPr>
                <w:rFonts w:hint="default" w:ascii="Times New Roman" w:hAnsi="Times New Roman" w:eastAsia="宋体" w:cs="Times New Roman"/>
                <w:color w:val="auto"/>
                <w:w w:val="99"/>
                <w:sz w:val="21"/>
                <w:szCs w:val="21"/>
                <w:highlight w:val="none"/>
                <w:lang w:val="en-US" w:eastAsia="zh-CN" w:bidi="ar-SA"/>
              </w:rPr>
              <w:t>设备拆除、封井处理后，占地进行平整，耕地复垦。</w:t>
            </w:r>
          </w:p>
        </w:tc>
        <w:tc>
          <w:tcPr>
            <w:tcW w:w="439" w:type="pct"/>
            <w:vAlign w:val="center"/>
          </w:tcPr>
          <w:p w14:paraId="37A7CFE1">
            <w:pPr>
              <w:spacing w:line="340" w:lineRule="exact"/>
              <w:jc w:val="center"/>
              <w:rPr>
                <w:rFonts w:hint="default" w:ascii="Times New Roman" w:hAnsi="Times New Roman" w:eastAsia="宋体" w:cs="Times New Roman"/>
                <w:bCs/>
                <w:color w:val="auto"/>
                <w:w w:val="99"/>
                <w:kern w:val="21"/>
                <w:sz w:val="21"/>
                <w:szCs w:val="21"/>
                <w:highlight w:val="none"/>
              </w:rPr>
            </w:pPr>
            <w:r>
              <w:rPr>
                <w:rFonts w:hint="eastAsia" w:ascii="Times New Roman" w:hAnsi="Times New Roman" w:cs="Times New Roman"/>
                <w:bCs/>
                <w:color w:val="auto"/>
                <w:w w:val="99"/>
                <w:kern w:val="21"/>
                <w:sz w:val="21"/>
                <w:szCs w:val="21"/>
                <w:highlight w:val="none"/>
                <w:lang w:val="en-US" w:eastAsia="zh-CN"/>
              </w:rPr>
              <w:t>/</w:t>
            </w:r>
          </w:p>
        </w:tc>
      </w:tr>
      <w:tr w14:paraId="7040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restart"/>
            <w:vAlign w:val="center"/>
          </w:tcPr>
          <w:p w14:paraId="5F185594">
            <w:pPr>
              <w:spacing w:line="34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依托工程</w:t>
            </w:r>
          </w:p>
        </w:tc>
        <w:tc>
          <w:tcPr>
            <w:tcW w:w="907" w:type="pct"/>
            <w:gridSpan w:val="4"/>
            <w:vAlign w:val="center"/>
          </w:tcPr>
          <w:p w14:paraId="756A39E1">
            <w:pPr>
              <w:spacing w:line="34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升一联气田污</w:t>
            </w:r>
          </w:p>
          <w:p w14:paraId="70061A95">
            <w:pPr>
              <w:spacing w:line="34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水预处理站</w:t>
            </w:r>
          </w:p>
        </w:tc>
        <w:tc>
          <w:tcPr>
            <w:tcW w:w="3299" w:type="pct"/>
            <w:vAlign w:val="top"/>
          </w:tcPr>
          <w:p w14:paraId="5AFB7998">
            <w:pPr>
              <w:pStyle w:val="2857"/>
              <w:keepNext w:val="0"/>
              <w:keepLines w:val="0"/>
              <w:pageBreakBefore w:val="0"/>
              <w:kinsoku w:val="0"/>
              <w:wordWrap/>
              <w:overflowPunct/>
              <w:topLinePunct w:val="0"/>
              <w:autoSpaceDE w:val="0"/>
              <w:autoSpaceDN w:val="0"/>
              <w:bidi w:val="0"/>
              <w:adjustRightInd w:val="0"/>
              <w:snapToGrid w:val="0"/>
              <w:spacing w:line="360" w:lineRule="exact"/>
              <w:ind w:left="0" w:right="0" w:firstLine="0"/>
              <w:jc w:val="both"/>
              <w:textAlignment w:val="baseline"/>
              <w:rPr>
                <w:rFonts w:hint="default" w:ascii="Times New Roman" w:hAnsi="Times New Roman" w:eastAsia="宋体" w:cs="Times New Roman"/>
                <w:color w:val="auto"/>
                <w:spacing w:val="0"/>
                <w:w w:val="99"/>
                <w:sz w:val="21"/>
                <w:szCs w:val="21"/>
                <w:highlight w:val="none"/>
                <w:lang w:val="en-US" w:eastAsia="zh-CN" w:bidi="ar-SA"/>
              </w:rPr>
            </w:pPr>
            <w:r>
              <w:rPr>
                <w:rFonts w:hint="default" w:ascii="Times New Roman" w:hAnsi="Times New Roman" w:eastAsia="宋体" w:cs="Times New Roman"/>
                <w:color w:val="auto"/>
                <w:spacing w:val="0"/>
                <w:w w:val="99"/>
                <w:sz w:val="21"/>
                <w:szCs w:val="21"/>
                <w:highlight w:val="none"/>
                <w:lang w:val="en-US" w:eastAsia="zh-CN" w:bidi="ar-SA"/>
              </w:rPr>
              <w:t>升一联气田污水预处理站采用“调储缓冲→气浮→缓冲→两级过滤”处理工艺，水质处理达到《大庆油田地面工程建设设计规定》（Q/SYDQ0639-2015）、《碎屑岩油藏注水水质指标技术要求及分析方法》（SY/T5329-2022）要求（石油类≤10.0mg/L，悬浮固体≤5.0mg/L）后回注地下。</w:t>
            </w:r>
          </w:p>
          <w:p w14:paraId="4B4F0834">
            <w:pPr>
              <w:pStyle w:val="2857"/>
              <w:keepNext w:val="0"/>
              <w:keepLines w:val="0"/>
              <w:pageBreakBefore w:val="0"/>
              <w:kinsoku w:val="0"/>
              <w:wordWrap/>
              <w:overflowPunct/>
              <w:topLinePunct w:val="0"/>
              <w:autoSpaceDE w:val="0"/>
              <w:autoSpaceDN w:val="0"/>
              <w:bidi w:val="0"/>
              <w:adjustRightInd w:val="0"/>
              <w:snapToGrid w:val="0"/>
              <w:spacing w:line="360" w:lineRule="exact"/>
              <w:ind w:left="0" w:right="0" w:firstLine="0"/>
              <w:jc w:val="both"/>
              <w:textAlignment w:val="baseline"/>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spacing w:val="0"/>
                <w:w w:val="99"/>
                <w:sz w:val="21"/>
                <w:szCs w:val="21"/>
                <w:highlight w:val="none"/>
                <w:lang w:val="en-US" w:eastAsia="zh-CN" w:bidi="ar-SA"/>
              </w:rPr>
              <w:t>该站设计的总规模为1400m3/d，目前处理量270m3/d，剩余处理能力为1130m</w:t>
            </w:r>
            <w:r>
              <w:rPr>
                <w:rFonts w:hint="default" w:ascii="Times New Roman" w:hAnsi="Times New Roman" w:eastAsia="宋体" w:cs="Times New Roman"/>
                <w:color w:val="auto"/>
                <w:spacing w:val="0"/>
                <w:w w:val="99"/>
                <w:sz w:val="21"/>
                <w:szCs w:val="21"/>
                <w:highlight w:val="none"/>
                <w:vertAlign w:val="superscript"/>
                <w:lang w:val="en-US" w:eastAsia="zh-CN" w:bidi="ar-SA"/>
              </w:rPr>
              <w:t>3</w:t>
            </w:r>
            <w:r>
              <w:rPr>
                <w:rFonts w:hint="default" w:ascii="Times New Roman" w:hAnsi="Times New Roman" w:eastAsia="宋体" w:cs="Times New Roman"/>
                <w:color w:val="auto"/>
                <w:spacing w:val="0"/>
                <w:w w:val="99"/>
                <w:sz w:val="21"/>
                <w:szCs w:val="21"/>
                <w:highlight w:val="none"/>
                <w:lang w:val="en-US" w:eastAsia="zh-CN" w:bidi="ar-SA"/>
              </w:rPr>
              <w:t>/d，本项目</w:t>
            </w:r>
            <w:r>
              <w:rPr>
                <w:rFonts w:hint="eastAsia" w:ascii="Times New Roman" w:hAnsi="Times New Roman" w:eastAsia="宋体" w:cs="Times New Roman"/>
                <w:color w:val="auto"/>
                <w:spacing w:val="0"/>
                <w:w w:val="99"/>
                <w:sz w:val="21"/>
                <w:szCs w:val="21"/>
                <w:highlight w:val="none"/>
                <w:lang w:val="en-US" w:eastAsia="zh-CN" w:bidi="ar-SA"/>
              </w:rPr>
              <w:t>气田采出暂存水约3</w:t>
            </w:r>
            <w:r>
              <w:rPr>
                <w:rFonts w:hint="default" w:ascii="Times New Roman" w:hAnsi="Times New Roman" w:eastAsia="宋体" w:cs="Times New Roman"/>
                <w:color w:val="auto"/>
                <w:spacing w:val="0"/>
                <w:w w:val="99"/>
                <w:sz w:val="21"/>
                <w:szCs w:val="21"/>
                <w:highlight w:val="none"/>
                <w:lang w:val="en-US" w:eastAsia="zh-CN" w:bidi="ar-SA"/>
              </w:rPr>
              <w:t xml:space="preserve">m3/d </w:t>
            </w:r>
            <w:r>
              <w:rPr>
                <w:rFonts w:hint="eastAsia" w:ascii="Times New Roman" w:hAnsi="Times New Roman" w:eastAsia="宋体" w:cs="Times New Roman"/>
                <w:color w:val="auto"/>
                <w:spacing w:val="0"/>
                <w:w w:val="99"/>
                <w:sz w:val="21"/>
                <w:szCs w:val="21"/>
                <w:highlight w:val="none"/>
                <w:lang w:val="en-US" w:eastAsia="zh-CN" w:bidi="ar-SA"/>
              </w:rPr>
              <w:t>，</w:t>
            </w:r>
            <w:r>
              <w:rPr>
                <w:rFonts w:hint="default" w:ascii="Times New Roman" w:hAnsi="Times New Roman" w:eastAsia="宋体" w:cs="Times New Roman"/>
                <w:color w:val="auto"/>
                <w:spacing w:val="0"/>
                <w:w w:val="99"/>
                <w:sz w:val="21"/>
                <w:szCs w:val="21"/>
                <w:highlight w:val="none"/>
                <w:lang w:val="en-US" w:eastAsia="zh-CN" w:bidi="ar-SA"/>
              </w:rPr>
              <w:t>暂存于集气站污水储罐临时储存，再定期通过外输泵升压外输至气田采出水集输管网，并统一外输至升一联气田污水预处理站处理</w:t>
            </w:r>
            <w:r>
              <w:rPr>
                <w:rFonts w:hint="eastAsia" w:ascii="Times New Roman" w:hAnsi="Times New Roman" w:eastAsia="宋体" w:cs="Times New Roman"/>
                <w:bCs/>
                <w:color w:val="auto"/>
                <w:w w:val="99"/>
                <w:highlight w:val="none"/>
                <w:lang w:eastAsia="zh-CN"/>
              </w:rPr>
              <w:t>，</w:t>
            </w:r>
            <w:r>
              <w:rPr>
                <w:rFonts w:hint="default" w:ascii="Times New Roman" w:hAnsi="Times New Roman" w:eastAsia="宋体" w:cs="Times New Roman"/>
                <w:color w:val="auto"/>
                <w:spacing w:val="0"/>
                <w:w w:val="99"/>
                <w:sz w:val="21"/>
                <w:szCs w:val="21"/>
                <w:highlight w:val="none"/>
              </w:rPr>
              <w:t>升一联气田污水预处理站满足本项目依托需求。</w:t>
            </w:r>
          </w:p>
        </w:tc>
        <w:tc>
          <w:tcPr>
            <w:tcW w:w="439" w:type="pct"/>
            <w:vAlign w:val="center"/>
          </w:tcPr>
          <w:p w14:paraId="5246092D">
            <w:pPr>
              <w:spacing w:line="3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依托</w:t>
            </w:r>
          </w:p>
        </w:tc>
      </w:tr>
      <w:tr w14:paraId="0068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51C3847D">
            <w:pPr>
              <w:spacing w:line="340" w:lineRule="exact"/>
              <w:jc w:val="center"/>
              <w:rPr>
                <w:rFonts w:hint="default" w:ascii="Times New Roman" w:hAnsi="Times New Roman" w:eastAsia="宋体" w:cs="Times New Roman"/>
                <w:color w:val="auto"/>
                <w:w w:val="99"/>
                <w:kern w:val="2"/>
                <w:sz w:val="21"/>
                <w:szCs w:val="21"/>
                <w:highlight w:val="none"/>
              </w:rPr>
            </w:pPr>
          </w:p>
        </w:tc>
        <w:tc>
          <w:tcPr>
            <w:tcW w:w="907" w:type="pct"/>
            <w:gridSpan w:val="4"/>
            <w:vAlign w:val="center"/>
          </w:tcPr>
          <w:p w14:paraId="2E0E310B">
            <w:pPr>
              <w:pStyle w:val="2857"/>
              <w:keepNext w:val="0"/>
              <w:keepLines w:val="0"/>
              <w:pageBreakBefore w:val="0"/>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徐深27集气站</w:t>
            </w:r>
          </w:p>
        </w:tc>
        <w:tc>
          <w:tcPr>
            <w:tcW w:w="3299" w:type="pct"/>
            <w:vAlign w:val="top"/>
          </w:tcPr>
          <w:p w14:paraId="24672A5C">
            <w:pPr>
              <w:keepNext w:val="0"/>
              <w:keepLines w:val="0"/>
              <w:pageBreakBefore w:val="0"/>
              <w:widowControl/>
              <w:kinsoku/>
              <w:wordWrap/>
              <w:overflowPunct/>
              <w:topLinePunct w:val="0"/>
              <w:autoSpaceDE/>
              <w:autoSpaceDN/>
              <w:bidi w:val="0"/>
              <w:adjustRightInd/>
              <w:snapToGrid/>
              <w:spacing w:line="360" w:lineRule="exact"/>
              <w:ind w:firstLine="414" w:firstLineChars="200"/>
              <w:jc w:val="both"/>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徐深</w:t>
            </w:r>
            <w:r>
              <w:rPr>
                <w:rFonts w:hint="eastAsia" w:ascii="Times New Roman" w:hAnsi="Times New Roman" w:eastAsia="宋体" w:cs="Times New Roman"/>
                <w:color w:val="auto"/>
                <w:spacing w:val="0"/>
                <w:w w:val="99"/>
                <w:sz w:val="21"/>
                <w:szCs w:val="21"/>
                <w:highlight w:val="none"/>
                <w:lang w:val="en-US" w:eastAsia="zh-CN" w:bidi="ar-SA"/>
              </w:rPr>
              <w:t>27</w:t>
            </w:r>
            <w:r>
              <w:rPr>
                <w:rFonts w:hint="default" w:ascii="Times New Roman" w:hAnsi="Times New Roman" w:eastAsia="宋体" w:cs="Times New Roman"/>
                <w:color w:val="auto"/>
                <w:spacing w:val="0"/>
                <w:w w:val="99"/>
                <w:sz w:val="21"/>
                <w:szCs w:val="21"/>
                <w:highlight w:val="none"/>
                <w:lang w:val="en-US" w:eastAsia="en-US" w:bidi="ar-SA"/>
              </w:rPr>
              <w:t>集气站始建于20</w:t>
            </w:r>
            <w:r>
              <w:rPr>
                <w:rFonts w:hint="eastAsia" w:ascii="Times New Roman" w:hAnsi="Times New Roman" w:eastAsia="宋体" w:cs="Times New Roman"/>
                <w:color w:val="auto"/>
                <w:spacing w:val="0"/>
                <w:w w:val="99"/>
                <w:sz w:val="21"/>
                <w:szCs w:val="21"/>
                <w:highlight w:val="none"/>
                <w:lang w:val="en-US" w:eastAsia="zh-CN" w:bidi="ar-SA"/>
              </w:rPr>
              <w:t>1</w:t>
            </w:r>
            <w:r>
              <w:rPr>
                <w:rFonts w:hint="default" w:ascii="Times New Roman" w:hAnsi="Times New Roman" w:eastAsia="宋体" w:cs="Times New Roman"/>
                <w:color w:val="auto"/>
                <w:spacing w:val="0"/>
                <w:w w:val="99"/>
                <w:sz w:val="21"/>
                <w:szCs w:val="21"/>
                <w:highlight w:val="none"/>
                <w:lang w:val="en-US" w:eastAsia="en-US" w:bidi="ar-SA"/>
              </w:rPr>
              <w:t>7年，按照“无人值守，有人巡检”模式进行</w:t>
            </w:r>
            <w:r>
              <w:rPr>
                <w:rFonts w:hint="eastAsia" w:ascii="Times New Roman" w:hAnsi="Times New Roman" w:eastAsia="宋体" w:cs="Times New Roman"/>
                <w:color w:val="auto"/>
                <w:spacing w:val="0"/>
                <w:w w:val="99"/>
                <w:sz w:val="21"/>
                <w:szCs w:val="21"/>
                <w:highlight w:val="none"/>
                <w:lang w:val="en-US" w:eastAsia="zh-CN" w:bidi="ar-SA"/>
              </w:rPr>
              <w:t>建设。</w:t>
            </w:r>
            <w:r>
              <w:rPr>
                <w:rFonts w:hint="default" w:ascii="Times New Roman" w:hAnsi="Times New Roman" w:eastAsia="宋体" w:cs="Times New Roman"/>
                <w:color w:val="auto"/>
                <w:spacing w:val="0"/>
                <w:w w:val="99"/>
                <w:sz w:val="21"/>
                <w:szCs w:val="21"/>
                <w:highlight w:val="none"/>
                <w:lang w:val="en-US" w:eastAsia="en-US" w:bidi="ar-SA"/>
              </w:rPr>
              <w:t>建设规模为</w:t>
            </w:r>
            <w:r>
              <w:rPr>
                <w:rFonts w:hint="eastAsia" w:ascii="Times New Roman" w:hAnsi="Times New Roman" w:eastAsia="宋体" w:cs="Times New Roman"/>
                <w:color w:val="auto"/>
                <w:spacing w:val="0"/>
                <w:w w:val="99"/>
                <w:sz w:val="21"/>
                <w:szCs w:val="21"/>
                <w:highlight w:val="none"/>
                <w:lang w:val="en-US" w:eastAsia="zh-CN" w:bidi="ar-SA"/>
              </w:rPr>
              <w:t>30</w:t>
            </w:r>
            <w:r>
              <w:rPr>
                <w:rFonts w:hint="default" w:ascii="Times New Roman" w:hAnsi="Times New Roman" w:eastAsia="宋体" w:cs="Times New Roman"/>
                <w:color w:val="auto"/>
                <w:spacing w:val="0"/>
                <w:w w:val="99"/>
                <w:sz w:val="21"/>
                <w:szCs w:val="21"/>
                <w:highlight w:val="none"/>
                <w:lang w:val="en-US" w:eastAsia="en-US" w:bidi="ar-SA"/>
              </w:rPr>
              <w:t>×10</w:t>
            </w:r>
            <w:r>
              <w:rPr>
                <w:rFonts w:hint="default" w:ascii="Times New Roman" w:hAnsi="Times New Roman" w:eastAsia="宋体" w:cs="Times New Roman"/>
                <w:color w:val="auto"/>
                <w:spacing w:val="0"/>
                <w:w w:val="99"/>
                <w:sz w:val="21"/>
                <w:szCs w:val="21"/>
                <w:highlight w:val="none"/>
                <w:vertAlign w:val="superscript"/>
                <w:lang w:val="en-US" w:eastAsia="en-US" w:bidi="ar-SA"/>
              </w:rPr>
              <w:t>4</w:t>
            </w:r>
            <w:r>
              <w:rPr>
                <w:rFonts w:hint="default" w:ascii="Times New Roman" w:hAnsi="Times New Roman" w:eastAsia="宋体" w:cs="Times New Roman"/>
                <w:color w:val="auto"/>
                <w:spacing w:val="0"/>
                <w:w w:val="99"/>
                <w:sz w:val="21"/>
                <w:szCs w:val="21"/>
                <w:highlight w:val="none"/>
                <w:lang w:val="en-US" w:eastAsia="en-US" w:bidi="ar-SA"/>
              </w:rPr>
              <w:t>m</w:t>
            </w:r>
            <w:r>
              <w:rPr>
                <w:rFonts w:hint="default" w:ascii="Times New Roman" w:hAnsi="Times New Roman" w:eastAsia="宋体" w:cs="Times New Roman"/>
                <w:color w:val="auto"/>
                <w:spacing w:val="0"/>
                <w:w w:val="99"/>
                <w:sz w:val="21"/>
                <w:szCs w:val="21"/>
                <w:highlight w:val="none"/>
                <w:vertAlign w:val="superscript"/>
                <w:lang w:val="en-US" w:eastAsia="en-US" w:bidi="ar-SA"/>
              </w:rPr>
              <w:t>3</w:t>
            </w:r>
            <w:r>
              <w:rPr>
                <w:rFonts w:hint="default" w:ascii="Times New Roman" w:hAnsi="Times New Roman" w:eastAsia="宋体" w:cs="Times New Roman"/>
                <w:color w:val="auto"/>
                <w:spacing w:val="0"/>
                <w:w w:val="99"/>
                <w:sz w:val="21"/>
                <w:szCs w:val="21"/>
                <w:highlight w:val="none"/>
                <w:lang w:val="en-US" w:eastAsia="en-US" w:bidi="ar-SA"/>
              </w:rPr>
              <w:t>/d</w:t>
            </w:r>
            <w:r>
              <w:rPr>
                <w:rFonts w:hint="default" w:ascii="Times New Roman" w:hAnsi="Times New Roman" w:eastAsia="宋体" w:cs="Times New Roman"/>
                <w:color w:val="auto"/>
                <w:spacing w:val="0"/>
                <w:w w:val="99"/>
                <w:sz w:val="21"/>
                <w:szCs w:val="21"/>
                <w:highlight w:val="none"/>
                <w:lang w:val="en-US" w:eastAsia="zh-CN" w:bidi="ar-SA"/>
              </w:rPr>
              <w:t>。</w:t>
            </w:r>
            <w:r>
              <w:rPr>
                <w:rFonts w:hint="eastAsia" w:ascii="Times New Roman" w:hAnsi="Times New Roman" w:eastAsia="宋体" w:cs="Times New Roman"/>
                <w:color w:val="auto"/>
                <w:spacing w:val="0"/>
                <w:w w:val="99"/>
                <w:sz w:val="21"/>
                <w:szCs w:val="21"/>
                <w:highlight w:val="none"/>
                <w:lang w:val="en-US" w:eastAsia="zh-CN" w:bidi="ar-SA"/>
              </w:rPr>
              <w:t>该站</w:t>
            </w:r>
            <w:r>
              <w:rPr>
                <w:rFonts w:hint="default" w:ascii="Times New Roman" w:hAnsi="Times New Roman" w:eastAsia="宋体" w:cs="Times New Roman"/>
                <w:color w:val="auto"/>
                <w:spacing w:val="0"/>
                <w:w w:val="99"/>
                <w:sz w:val="21"/>
                <w:szCs w:val="21"/>
                <w:highlight w:val="none"/>
                <w:lang w:val="en-US" w:eastAsia="en-US" w:bidi="ar-SA"/>
              </w:rPr>
              <w:t>为高含碳集气站，气井气经采气管道电伴热至集气站，在集气站内经加热、节流降压、多井轮换计量、分离和脱水处理，处理后的天然气输送至徐深9净化厂脱碳处理后外输。</w:t>
            </w:r>
          </w:p>
          <w:p w14:paraId="57BC5E11">
            <w:pPr>
              <w:keepNext w:val="0"/>
              <w:keepLines w:val="0"/>
              <w:pageBreakBefore w:val="0"/>
              <w:widowControl/>
              <w:kinsoku/>
              <w:wordWrap/>
              <w:overflowPunct/>
              <w:topLinePunct w:val="0"/>
              <w:autoSpaceDE/>
              <w:autoSpaceDN/>
              <w:bidi w:val="0"/>
              <w:adjustRightInd/>
              <w:snapToGrid/>
              <w:spacing w:line="360" w:lineRule="exact"/>
              <w:ind w:firstLine="414" w:firstLineChars="200"/>
              <w:jc w:val="both"/>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spacing w:val="0"/>
                <w:w w:val="99"/>
                <w:sz w:val="21"/>
                <w:szCs w:val="21"/>
                <w:highlight w:val="none"/>
                <w:lang w:val="en-US" w:eastAsia="zh-CN" w:bidi="ar-SA"/>
              </w:rPr>
              <w:t>截至202</w:t>
            </w:r>
            <w:r>
              <w:rPr>
                <w:rFonts w:hint="eastAsia" w:ascii="Times New Roman" w:hAnsi="Times New Roman" w:eastAsia="宋体" w:cs="Times New Roman"/>
                <w:color w:val="auto"/>
                <w:spacing w:val="0"/>
                <w:w w:val="99"/>
                <w:sz w:val="21"/>
                <w:szCs w:val="21"/>
                <w:highlight w:val="none"/>
                <w:lang w:val="en-US" w:eastAsia="zh-CN" w:bidi="ar-SA"/>
              </w:rPr>
              <w:t>5</w:t>
            </w:r>
            <w:r>
              <w:rPr>
                <w:rFonts w:hint="default" w:ascii="Times New Roman" w:hAnsi="Times New Roman" w:eastAsia="宋体" w:cs="Times New Roman"/>
                <w:color w:val="auto"/>
                <w:spacing w:val="0"/>
                <w:w w:val="99"/>
                <w:sz w:val="21"/>
                <w:szCs w:val="21"/>
                <w:highlight w:val="none"/>
                <w:lang w:val="en-US" w:eastAsia="zh-CN" w:bidi="ar-SA"/>
              </w:rPr>
              <w:t>年底，</w:t>
            </w:r>
            <w:r>
              <w:rPr>
                <w:rFonts w:hint="default" w:ascii="Times New Roman" w:hAnsi="Times New Roman" w:eastAsia="宋体" w:cs="Times New Roman"/>
                <w:color w:val="auto"/>
                <w:spacing w:val="0"/>
                <w:w w:val="99"/>
                <w:sz w:val="21"/>
                <w:szCs w:val="21"/>
                <w:highlight w:val="none"/>
                <w:lang w:val="en-US" w:eastAsia="en-US" w:bidi="ar-SA"/>
              </w:rPr>
              <w:t>徐深</w:t>
            </w:r>
            <w:r>
              <w:rPr>
                <w:rFonts w:hint="eastAsia" w:ascii="Times New Roman" w:hAnsi="Times New Roman" w:eastAsia="宋体" w:cs="Times New Roman"/>
                <w:color w:val="auto"/>
                <w:spacing w:val="0"/>
                <w:w w:val="99"/>
                <w:sz w:val="21"/>
                <w:szCs w:val="21"/>
                <w:highlight w:val="none"/>
                <w:lang w:val="en-US" w:eastAsia="zh-CN" w:bidi="ar-SA"/>
              </w:rPr>
              <w:t>27</w:t>
            </w:r>
            <w:r>
              <w:rPr>
                <w:rFonts w:hint="default" w:ascii="Times New Roman" w:hAnsi="Times New Roman" w:eastAsia="宋体" w:cs="Times New Roman"/>
                <w:color w:val="auto"/>
                <w:spacing w:val="0"/>
                <w:w w:val="99"/>
                <w:sz w:val="21"/>
                <w:szCs w:val="21"/>
                <w:highlight w:val="none"/>
                <w:lang w:val="en-US" w:eastAsia="en-US" w:bidi="ar-SA"/>
              </w:rPr>
              <w:t>集气站</w:t>
            </w:r>
            <w:r>
              <w:rPr>
                <w:rFonts w:hint="eastAsia" w:ascii="Times New Roman" w:hAnsi="Times New Roman" w:eastAsia="宋体" w:cs="Times New Roman"/>
                <w:color w:val="auto"/>
                <w:spacing w:val="0"/>
                <w:w w:val="99"/>
                <w:sz w:val="21"/>
                <w:szCs w:val="21"/>
                <w:highlight w:val="none"/>
                <w:lang w:val="en-US" w:eastAsia="zh-CN" w:bidi="ar-SA"/>
              </w:rPr>
              <w:t>目前共</w:t>
            </w:r>
            <w:r>
              <w:rPr>
                <w:rFonts w:hint="default" w:ascii="Times New Roman" w:hAnsi="Times New Roman" w:eastAsia="宋体" w:cs="Times New Roman"/>
                <w:color w:val="auto"/>
                <w:spacing w:val="0"/>
                <w:w w:val="99"/>
                <w:sz w:val="21"/>
                <w:szCs w:val="21"/>
                <w:highlight w:val="none"/>
                <w:lang w:val="en-US" w:eastAsia="en-US" w:bidi="ar-SA"/>
              </w:rPr>
              <w:t>辖井</w:t>
            </w:r>
            <w:r>
              <w:rPr>
                <w:rFonts w:hint="eastAsia" w:ascii="Times New Roman" w:hAnsi="Times New Roman" w:eastAsia="宋体" w:cs="Times New Roman"/>
                <w:color w:val="auto"/>
                <w:spacing w:val="0"/>
                <w:w w:val="99"/>
                <w:sz w:val="21"/>
                <w:szCs w:val="21"/>
                <w:highlight w:val="none"/>
                <w:lang w:val="en-US" w:eastAsia="zh-CN" w:bidi="ar-SA"/>
              </w:rPr>
              <w:t>3</w:t>
            </w:r>
            <w:r>
              <w:rPr>
                <w:rFonts w:hint="default" w:ascii="Times New Roman" w:hAnsi="Times New Roman" w:eastAsia="宋体" w:cs="Times New Roman"/>
                <w:color w:val="auto"/>
                <w:spacing w:val="0"/>
                <w:w w:val="99"/>
                <w:sz w:val="21"/>
                <w:szCs w:val="21"/>
                <w:highlight w:val="none"/>
                <w:lang w:val="en-US" w:eastAsia="en-US" w:bidi="ar-SA"/>
              </w:rPr>
              <w:t>口，产气量1.51×10</w:t>
            </w:r>
            <w:r>
              <w:rPr>
                <w:rFonts w:hint="default" w:ascii="Times New Roman" w:hAnsi="Times New Roman" w:eastAsia="宋体" w:cs="Times New Roman"/>
                <w:color w:val="auto"/>
                <w:spacing w:val="0"/>
                <w:w w:val="99"/>
                <w:sz w:val="21"/>
                <w:szCs w:val="21"/>
                <w:highlight w:val="none"/>
                <w:vertAlign w:val="superscript"/>
                <w:lang w:val="en-US" w:eastAsia="en-US" w:bidi="ar-SA"/>
              </w:rPr>
              <w:t>4</w:t>
            </w:r>
            <w:r>
              <w:rPr>
                <w:rFonts w:hint="default" w:ascii="Times New Roman" w:hAnsi="Times New Roman" w:eastAsia="宋体" w:cs="Times New Roman"/>
                <w:color w:val="auto"/>
                <w:spacing w:val="0"/>
                <w:w w:val="99"/>
                <w:sz w:val="21"/>
                <w:szCs w:val="21"/>
                <w:highlight w:val="none"/>
                <w:lang w:val="en-US" w:eastAsia="en-US" w:bidi="ar-SA"/>
              </w:rPr>
              <w:t>m</w:t>
            </w:r>
            <w:r>
              <w:rPr>
                <w:rFonts w:hint="default" w:ascii="Times New Roman" w:hAnsi="Times New Roman" w:eastAsia="宋体" w:cs="Times New Roman"/>
                <w:color w:val="auto"/>
                <w:spacing w:val="0"/>
                <w:w w:val="99"/>
                <w:sz w:val="21"/>
                <w:szCs w:val="21"/>
                <w:highlight w:val="none"/>
                <w:vertAlign w:val="superscript"/>
                <w:lang w:val="en-US" w:eastAsia="en-US" w:bidi="ar-SA"/>
              </w:rPr>
              <w:t>3</w:t>
            </w:r>
            <w:r>
              <w:rPr>
                <w:rFonts w:hint="default" w:ascii="Times New Roman" w:hAnsi="Times New Roman" w:eastAsia="宋体" w:cs="Times New Roman"/>
                <w:color w:val="auto"/>
                <w:spacing w:val="0"/>
                <w:w w:val="99"/>
                <w:sz w:val="21"/>
                <w:szCs w:val="21"/>
                <w:highlight w:val="none"/>
                <w:lang w:val="en-US" w:eastAsia="en-US" w:bidi="ar-SA"/>
              </w:rPr>
              <w:t>/d，</w:t>
            </w:r>
            <w:r>
              <w:rPr>
                <w:rFonts w:hint="default" w:ascii="Times New Roman" w:hAnsi="Times New Roman" w:eastAsia="宋体" w:cs="Times New Roman"/>
                <w:color w:val="auto"/>
                <w:spacing w:val="0"/>
                <w:w w:val="99"/>
                <w:sz w:val="21"/>
                <w:szCs w:val="21"/>
                <w:highlight w:val="none"/>
                <w:lang w:val="en-US" w:eastAsia="zh-CN" w:bidi="ar-SA"/>
              </w:rPr>
              <w:t>建成</w:t>
            </w:r>
            <w:r>
              <w:rPr>
                <w:rFonts w:hint="default" w:ascii="Times New Roman" w:hAnsi="Times New Roman" w:eastAsia="宋体" w:cs="Times New Roman"/>
                <w:color w:val="auto"/>
                <w:spacing w:val="0"/>
                <w:w w:val="99"/>
                <w:sz w:val="21"/>
                <w:szCs w:val="21"/>
                <w:highlight w:val="none"/>
                <w:lang w:val="en-US" w:eastAsia="en-US" w:bidi="ar-SA"/>
              </w:rPr>
              <w:t>生产装置1列</w:t>
            </w:r>
            <w:r>
              <w:rPr>
                <w:rFonts w:hint="eastAsia" w:ascii="Times New Roman" w:hAnsi="Times New Roman" w:eastAsia="宋体" w:cs="Times New Roman"/>
                <w:color w:val="auto"/>
                <w:spacing w:val="0"/>
                <w:w w:val="99"/>
                <w:sz w:val="21"/>
                <w:szCs w:val="21"/>
                <w:highlight w:val="none"/>
                <w:lang w:val="en-US" w:eastAsia="zh-CN" w:bidi="ar-SA"/>
              </w:rPr>
              <w:t>。本项目新增后，处理负荷为35.03%，依托可行。</w:t>
            </w:r>
          </w:p>
        </w:tc>
        <w:tc>
          <w:tcPr>
            <w:tcW w:w="439" w:type="pct"/>
            <w:vAlign w:val="center"/>
          </w:tcPr>
          <w:p w14:paraId="54DB1DFD">
            <w:pPr>
              <w:spacing w:line="340" w:lineRule="exact"/>
              <w:jc w:val="center"/>
              <w:rPr>
                <w:rFonts w:hint="default" w:ascii="Times New Roman" w:hAnsi="Times New Roman" w:eastAsia="宋体" w:cs="Times New Roman"/>
                <w:color w:val="auto"/>
                <w:w w:val="99"/>
                <w:sz w:val="21"/>
                <w:szCs w:val="21"/>
                <w:highlight w:val="none"/>
              </w:rPr>
            </w:pPr>
            <w:r>
              <w:rPr>
                <w:rFonts w:hint="eastAsia" w:ascii="Times New Roman" w:hAnsi="Times New Roman" w:cs="Times New Roman"/>
                <w:color w:val="auto"/>
                <w:w w:val="99"/>
                <w:sz w:val="21"/>
                <w:szCs w:val="21"/>
                <w:highlight w:val="none"/>
                <w:lang w:val="en-US" w:eastAsia="zh-CN"/>
              </w:rPr>
              <w:t>依托</w:t>
            </w:r>
          </w:p>
        </w:tc>
      </w:tr>
      <w:tr w14:paraId="3FFA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3670910F">
            <w:pPr>
              <w:spacing w:line="340" w:lineRule="exact"/>
              <w:jc w:val="center"/>
              <w:rPr>
                <w:rFonts w:hint="default" w:ascii="Times New Roman" w:hAnsi="Times New Roman" w:eastAsia="宋体" w:cs="Times New Roman"/>
                <w:color w:val="auto"/>
                <w:w w:val="99"/>
                <w:kern w:val="2"/>
                <w:sz w:val="21"/>
                <w:szCs w:val="21"/>
                <w:highlight w:val="none"/>
              </w:rPr>
            </w:pPr>
          </w:p>
        </w:tc>
        <w:tc>
          <w:tcPr>
            <w:tcW w:w="907" w:type="pct"/>
            <w:gridSpan w:val="4"/>
            <w:shd w:val="clear" w:color="auto" w:fill="auto"/>
            <w:vAlign w:val="center"/>
          </w:tcPr>
          <w:p w14:paraId="265C7743">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Cs/>
                <w:color w:val="auto"/>
                <w:w w:val="99"/>
                <w:kern w:val="21"/>
                <w:sz w:val="21"/>
                <w:szCs w:val="21"/>
                <w:highlight w:val="none"/>
                <w:lang w:val="en-US" w:eastAsia="zh-CN" w:bidi="ar-SA"/>
              </w:rPr>
            </w:pPr>
            <w:r>
              <w:rPr>
                <w:rFonts w:hint="eastAsia" w:ascii="Times New Roman" w:hAnsi="Times New Roman" w:eastAsia="宋体" w:cs="Times New Roman"/>
                <w:bCs/>
                <w:color w:val="auto"/>
                <w:w w:val="99"/>
                <w:kern w:val="21"/>
                <w:sz w:val="21"/>
                <w:szCs w:val="21"/>
                <w:highlight w:val="none"/>
                <w:lang w:val="en-US" w:eastAsia="zh-CN" w:bidi="ar-SA"/>
              </w:rPr>
              <w:t>采气分公司危险废物贮存库</w:t>
            </w:r>
          </w:p>
        </w:tc>
        <w:tc>
          <w:tcPr>
            <w:tcW w:w="3299" w:type="pct"/>
            <w:shd w:val="clear" w:color="auto" w:fill="auto"/>
            <w:vAlign w:val="top"/>
          </w:tcPr>
          <w:p w14:paraId="65BD51C4">
            <w:pPr>
              <w:pStyle w:val="2857"/>
              <w:keepNext w:val="0"/>
              <w:keepLines w:val="0"/>
              <w:pageBreakBefore w:val="0"/>
              <w:kinsoku w:val="0"/>
              <w:wordWrap/>
              <w:overflowPunct/>
              <w:topLinePunct w:val="0"/>
              <w:autoSpaceDE w:val="0"/>
              <w:autoSpaceDN w:val="0"/>
              <w:bidi w:val="0"/>
              <w:adjustRightInd w:val="0"/>
              <w:snapToGrid w:val="0"/>
              <w:spacing w:line="360" w:lineRule="exact"/>
              <w:ind w:left="0" w:leftChars="0" w:right="0" w:rightChars="0" w:firstLine="414" w:firstLineChars="200"/>
              <w:jc w:val="both"/>
              <w:textAlignment w:val="baseline"/>
              <w:rPr>
                <w:rFonts w:hint="default" w:ascii="Times New Roman" w:hAnsi="Times New Roman" w:eastAsia="宋体" w:cs="Times New Roman"/>
                <w:bCs/>
                <w:color w:val="auto"/>
                <w:w w:val="99"/>
                <w:kern w:val="21"/>
                <w:sz w:val="21"/>
                <w:szCs w:val="21"/>
                <w:highlight w:val="none"/>
                <w:lang w:val="en-US" w:eastAsia="zh-CN" w:bidi="ar-SA"/>
              </w:rPr>
            </w:pPr>
            <w:r>
              <w:rPr>
                <w:rFonts w:hint="eastAsia" w:ascii="Times New Roman" w:hAnsi="Times New Roman" w:eastAsia="宋体" w:cs="Times New Roman"/>
                <w:bCs/>
                <w:color w:val="auto"/>
                <w:w w:val="99"/>
                <w:kern w:val="21"/>
                <w:sz w:val="21"/>
                <w:szCs w:val="21"/>
                <w:highlight w:val="none"/>
                <w:lang w:val="en-US" w:eastAsia="zh-CN" w:bidi="ar-SA"/>
              </w:rPr>
              <w:t>采气分公司在安达市升63调压计量站生活区院内南侧建设了规范化的危废贮存库，对危险化学品及危险废物进行分类储存、统一管理。功能区包括：化验废液库、腐蚀品库（酸）、毒害品库、腐蚀品库（盐、碱）、废铅蓄电瓶库、不含液体废物的废分离器滤芯库6个功能房间分区。本工程投产后产生的</w:t>
            </w:r>
            <w:r>
              <w:rPr>
                <w:rFonts w:hint="eastAsia" w:ascii="Times New Roman" w:hAnsi="Times New Roman" w:cs="Times New Roman"/>
                <w:bCs/>
                <w:color w:val="auto"/>
                <w:w w:val="99"/>
                <w:kern w:val="21"/>
                <w:sz w:val="21"/>
                <w:szCs w:val="21"/>
                <w:highlight w:val="none"/>
                <w:lang w:val="en-US" w:eastAsia="zh-CN" w:bidi="ar-SA"/>
              </w:rPr>
              <w:t>井口含油砂砾0.01t/a、废变压器油0.05t/a，</w:t>
            </w:r>
            <w:r>
              <w:rPr>
                <w:rFonts w:hint="eastAsia" w:ascii="Times New Roman" w:hAnsi="Times New Roman" w:eastAsia="宋体" w:cs="Times New Roman"/>
                <w:bCs/>
                <w:color w:val="auto"/>
                <w:w w:val="99"/>
                <w:kern w:val="21"/>
                <w:sz w:val="21"/>
                <w:szCs w:val="21"/>
                <w:highlight w:val="none"/>
                <w:lang w:val="en-US" w:eastAsia="zh-CN" w:bidi="ar-SA"/>
              </w:rPr>
              <w:t>临时存储在危险废物贮存库内。</w:t>
            </w:r>
          </w:p>
        </w:tc>
        <w:tc>
          <w:tcPr>
            <w:tcW w:w="439" w:type="pct"/>
            <w:vAlign w:val="center"/>
          </w:tcPr>
          <w:p w14:paraId="42AC04C5">
            <w:pPr>
              <w:spacing w:line="340" w:lineRule="exact"/>
              <w:jc w:val="center"/>
              <w:rPr>
                <w:rFonts w:hint="default" w:ascii="Times New Roman" w:hAnsi="Times New Roman" w:eastAsia="宋体" w:cs="Times New Roman"/>
                <w:color w:val="auto"/>
                <w:w w:val="99"/>
                <w:sz w:val="21"/>
                <w:szCs w:val="21"/>
                <w:highlight w:val="none"/>
              </w:rPr>
            </w:pPr>
            <w:r>
              <w:rPr>
                <w:rFonts w:hint="eastAsia" w:ascii="Times New Roman" w:hAnsi="Times New Roman" w:cs="Times New Roman"/>
                <w:color w:val="auto"/>
                <w:w w:val="99"/>
                <w:sz w:val="21"/>
                <w:szCs w:val="21"/>
                <w:highlight w:val="none"/>
                <w:lang w:val="en-US" w:eastAsia="zh-CN"/>
              </w:rPr>
              <w:t>依托</w:t>
            </w:r>
          </w:p>
        </w:tc>
      </w:tr>
      <w:tr w14:paraId="773F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vAlign w:val="center"/>
          </w:tcPr>
          <w:p w14:paraId="3CCCEE10">
            <w:pPr>
              <w:spacing w:line="340" w:lineRule="exact"/>
              <w:jc w:val="center"/>
              <w:rPr>
                <w:rFonts w:hint="default" w:ascii="Times New Roman" w:hAnsi="Times New Roman" w:eastAsia="宋体" w:cs="Times New Roman"/>
                <w:color w:val="auto"/>
                <w:w w:val="99"/>
                <w:kern w:val="2"/>
                <w:sz w:val="21"/>
                <w:szCs w:val="21"/>
                <w:highlight w:val="none"/>
              </w:rPr>
            </w:pPr>
          </w:p>
        </w:tc>
        <w:tc>
          <w:tcPr>
            <w:tcW w:w="907" w:type="pct"/>
            <w:gridSpan w:val="4"/>
            <w:vAlign w:val="center"/>
          </w:tcPr>
          <w:p w14:paraId="61AA3537">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eastAsia" w:ascii="Times New Roman" w:hAnsi="Times New Roman" w:eastAsia="宋体" w:cs="Times New Roman"/>
                <w:bCs/>
                <w:color w:val="auto"/>
                <w:w w:val="99"/>
                <w:kern w:val="21"/>
                <w:sz w:val="21"/>
                <w:szCs w:val="21"/>
                <w:highlight w:val="none"/>
                <w:lang w:val="en-US" w:eastAsia="zh-CN" w:bidi="ar-SA"/>
              </w:rPr>
            </w:pPr>
            <w:r>
              <w:rPr>
                <w:rFonts w:hint="eastAsia" w:ascii="Times New Roman" w:hAnsi="Times New Roman" w:eastAsia="宋体" w:cs="Times New Roman"/>
                <w:bCs/>
                <w:color w:val="auto"/>
                <w:w w:val="99"/>
                <w:kern w:val="21"/>
                <w:sz w:val="21"/>
                <w:szCs w:val="21"/>
                <w:highlight w:val="none"/>
                <w:lang w:val="en-US" w:eastAsia="zh-CN" w:bidi="ar-SA"/>
              </w:rPr>
              <w:t>第八采油厂工业固废填埋场</w:t>
            </w:r>
          </w:p>
        </w:tc>
        <w:tc>
          <w:tcPr>
            <w:tcW w:w="3299" w:type="pct"/>
            <w:vAlign w:val="top"/>
          </w:tcPr>
          <w:p w14:paraId="6A3D2E97">
            <w:pPr>
              <w:pStyle w:val="2857"/>
              <w:keepNext w:val="0"/>
              <w:keepLines w:val="0"/>
              <w:pageBreakBefore w:val="0"/>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Times New Roman" w:hAnsi="Times New Roman" w:eastAsia="宋体" w:cs="Times New Roman"/>
                <w:bCs/>
                <w:color w:val="auto"/>
                <w:w w:val="99"/>
                <w:kern w:val="21"/>
                <w:sz w:val="21"/>
                <w:szCs w:val="21"/>
                <w:highlight w:val="none"/>
                <w:lang w:val="en-US" w:eastAsia="zh-CN" w:bidi="ar-SA"/>
              </w:rPr>
            </w:pPr>
            <w:r>
              <w:rPr>
                <w:rFonts w:hint="eastAsia" w:ascii="Times New Roman" w:hAnsi="Times New Roman" w:eastAsia="宋体" w:cs="Times New Roman"/>
                <w:bCs/>
                <w:color w:val="auto"/>
                <w:w w:val="99"/>
                <w:kern w:val="21"/>
                <w:sz w:val="21"/>
                <w:szCs w:val="21"/>
                <w:highlight w:val="none"/>
                <w:lang w:val="en-US" w:eastAsia="zh-CN" w:bidi="ar-SA"/>
              </w:rPr>
              <w:t>第八采油厂工业固废填埋场总容量为11624m</w:t>
            </w:r>
            <w:r>
              <w:rPr>
                <w:rFonts w:hint="eastAsia" w:ascii="Times New Roman" w:hAnsi="Times New Roman" w:eastAsia="宋体" w:cs="Times New Roman"/>
                <w:bCs/>
                <w:color w:val="auto"/>
                <w:w w:val="99"/>
                <w:kern w:val="21"/>
                <w:sz w:val="21"/>
                <w:szCs w:val="21"/>
                <w:highlight w:val="none"/>
                <w:vertAlign w:val="superscript"/>
                <w:lang w:val="en-US" w:eastAsia="zh-CN" w:bidi="ar-SA"/>
              </w:rPr>
              <w:t>3</w:t>
            </w:r>
            <w:r>
              <w:rPr>
                <w:rFonts w:hint="eastAsia" w:ascii="Times New Roman" w:hAnsi="Times New Roman" w:eastAsia="宋体" w:cs="Times New Roman"/>
                <w:bCs/>
                <w:color w:val="auto"/>
                <w:w w:val="99"/>
                <w:kern w:val="21"/>
                <w:sz w:val="21"/>
                <w:szCs w:val="21"/>
                <w:highlight w:val="none"/>
                <w:lang w:val="en-US" w:eastAsia="zh-CN" w:bidi="ar-SA"/>
              </w:rPr>
              <w:t>，目前实际容纳约8800m</w:t>
            </w:r>
            <w:r>
              <w:rPr>
                <w:rFonts w:hint="eastAsia" w:ascii="Times New Roman" w:hAnsi="Times New Roman" w:eastAsia="宋体" w:cs="Times New Roman"/>
                <w:bCs/>
                <w:color w:val="auto"/>
                <w:w w:val="99"/>
                <w:kern w:val="21"/>
                <w:sz w:val="21"/>
                <w:szCs w:val="21"/>
                <w:highlight w:val="none"/>
                <w:vertAlign w:val="superscript"/>
                <w:lang w:val="en-US" w:eastAsia="zh-CN" w:bidi="ar-SA"/>
              </w:rPr>
              <w:t>3</w:t>
            </w:r>
            <w:r>
              <w:rPr>
                <w:rFonts w:hint="eastAsia" w:ascii="Times New Roman" w:hAnsi="Times New Roman" w:eastAsia="宋体" w:cs="Times New Roman"/>
                <w:bCs/>
                <w:color w:val="auto"/>
                <w:w w:val="99"/>
                <w:kern w:val="21"/>
                <w:sz w:val="21"/>
                <w:szCs w:val="21"/>
                <w:highlight w:val="none"/>
                <w:lang w:val="en-US" w:eastAsia="zh-CN" w:bidi="ar-SA"/>
              </w:rPr>
              <w:t>，剩余能力为2824m</w:t>
            </w:r>
            <w:r>
              <w:rPr>
                <w:rFonts w:hint="eastAsia" w:ascii="Times New Roman" w:hAnsi="Times New Roman" w:eastAsia="宋体" w:cs="Times New Roman"/>
                <w:bCs/>
                <w:color w:val="auto"/>
                <w:w w:val="99"/>
                <w:kern w:val="21"/>
                <w:sz w:val="21"/>
                <w:szCs w:val="21"/>
                <w:highlight w:val="none"/>
                <w:vertAlign w:val="superscript"/>
                <w:lang w:val="en-US" w:eastAsia="zh-CN" w:bidi="ar-SA"/>
              </w:rPr>
              <w:t>3</w:t>
            </w:r>
            <w:r>
              <w:rPr>
                <w:rFonts w:hint="eastAsia" w:ascii="Times New Roman" w:hAnsi="Times New Roman" w:eastAsia="宋体" w:cs="Times New Roman"/>
                <w:bCs/>
                <w:color w:val="auto"/>
                <w:w w:val="99"/>
                <w:kern w:val="21"/>
                <w:sz w:val="21"/>
                <w:szCs w:val="21"/>
                <w:highlight w:val="none"/>
                <w:lang w:val="en-US" w:eastAsia="zh-CN" w:bidi="ar-SA"/>
              </w:rPr>
              <w:t>，本项目产生的</w:t>
            </w:r>
            <w:r>
              <w:rPr>
                <w:rFonts w:hint="eastAsia" w:ascii="Times New Roman" w:hAnsi="Times New Roman" w:cs="Times New Roman"/>
                <w:bCs/>
                <w:color w:val="auto"/>
                <w:w w:val="99"/>
                <w:kern w:val="21"/>
                <w:sz w:val="21"/>
                <w:szCs w:val="21"/>
                <w:highlight w:val="none"/>
                <w:lang w:val="en-US" w:eastAsia="zh-CN" w:bidi="ar-SA"/>
              </w:rPr>
              <w:t>施工废料约0.04t，</w:t>
            </w:r>
            <w:r>
              <w:rPr>
                <w:rFonts w:hint="eastAsia" w:ascii="Times New Roman" w:hAnsi="Times New Roman" w:eastAsia="宋体" w:cs="Times New Roman"/>
                <w:bCs/>
                <w:color w:val="auto"/>
                <w:w w:val="99"/>
                <w:kern w:val="21"/>
                <w:sz w:val="21"/>
                <w:szCs w:val="21"/>
                <w:highlight w:val="none"/>
                <w:lang w:val="en-US" w:eastAsia="zh-CN" w:bidi="ar-SA"/>
              </w:rPr>
              <w:t>第八采油厂工业固废填埋剩余能力满足本项目新增固废处理要求。</w:t>
            </w:r>
          </w:p>
        </w:tc>
        <w:tc>
          <w:tcPr>
            <w:tcW w:w="439" w:type="pct"/>
            <w:vAlign w:val="center"/>
          </w:tcPr>
          <w:p w14:paraId="7226AE69">
            <w:pPr>
              <w:spacing w:line="340" w:lineRule="exact"/>
              <w:jc w:val="center"/>
              <w:rPr>
                <w:rFonts w:hint="default" w:ascii="Times New Roman" w:hAnsi="Times New Roman"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依托</w:t>
            </w:r>
          </w:p>
        </w:tc>
      </w:tr>
      <w:tr w14:paraId="5EBC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1" w:type="pct"/>
            <w:gridSpan w:val="5"/>
            <w:vAlign w:val="center"/>
          </w:tcPr>
          <w:p w14:paraId="4F673F4A">
            <w:pPr>
              <w:spacing w:line="340" w:lineRule="exact"/>
              <w:jc w:val="center"/>
              <w:rPr>
                <w:rFonts w:hint="default" w:ascii="Times New Roman" w:hAnsi="Times New Roman" w:eastAsia="宋体" w:cs="Times New Roman"/>
                <w:bCs/>
                <w:color w:val="auto"/>
                <w:w w:val="99"/>
                <w:kern w:val="21"/>
                <w:sz w:val="21"/>
                <w:szCs w:val="21"/>
                <w:highlight w:val="none"/>
                <w:lang w:val="en-US" w:eastAsia="zh-CN" w:bidi="ar-SA"/>
              </w:rPr>
            </w:pPr>
            <w:r>
              <w:rPr>
                <w:rFonts w:hint="default" w:ascii="Times New Roman" w:hAnsi="Times New Roman" w:eastAsia="宋体" w:cs="Times New Roman"/>
                <w:bCs/>
                <w:color w:val="auto"/>
                <w:w w:val="99"/>
                <w:kern w:val="21"/>
                <w:sz w:val="21"/>
                <w:szCs w:val="21"/>
                <w:highlight w:val="none"/>
                <w:lang w:val="en-US" w:eastAsia="zh-CN" w:bidi="ar-SA"/>
              </w:rPr>
              <w:t>临时工程</w:t>
            </w:r>
          </w:p>
        </w:tc>
        <w:tc>
          <w:tcPr>
            <w:tcW w:w="3299" w:type="pct"/>
            <w:vAlign w:val="center"/>
          </w:tcPr>
          <w:p w14:paraId="2CC9A5EC">
            <w:pPr>
              <w:spacing w:line="340" w:lineRule="exact"/>
              <w:jc w:val="both"/>
              <w:rPr>
                <w:rFonts w:hint="default" w:ascii="Times New Roman" w:hAnsi="Times New Roman" w:eastAsia="宋体" w:cs="Times New Roman"/>
                <w:bCs/>
                <w:color w:val="auto"/>
                <w:w w:val="99"/>
                <w:kern w:val="21"/>
                <w:sz w:val="21"/>
                <w:szCs w:val="21"/>
                <w:highlight w:val="none"/>
                <w:lang w:val="en-US" w:eastAsia="zh-CN" w:bidi="ar-SA"/>
              </w:rPr>
            </w:pPr>
            <w:r>
              <w:rPr>
                <w:rFonts w:hint="eastAsia" w:ascii="Times New Roman" w:hAnsi="Times New Roman" w:eastAsia="宋体" w:cs="Times New Roman"/>
                <w:bCs/>
                <w:color w:val="auto"/>
                <w:w w:val="99"/>
                <w:kern w:val="21"/>
                <w:sz w:val="21"/>
                <w:szCs w:val="21"/>
                <w:highlight w:val="none"/>
                <w:lang w:val="en-US" w:eastAsia="zh-CN" w:bidi="ar-SA"/>
              </w:rPr>
              <w:t>本项目施工时不设施工营地及料场，不设置取土场、弃土场、拌合站、施工便道。本项目管线施工直接将管线和筑路材料拉运到施工现场进行施工。管线施工不打乱土层，先挖表土层单独堆放；然后挖心、底土层另外堆放。复原时先填心、底土，后平覆表土，以便尽快恢复土地原貌。</w:t>
            </w:r>
          </w:p>
        </w:tc>
        <w:tc>
          <w:tcPr>
            <w:tcW w:w="439" w:type="pct"/>
            <w:vAlign w:val="center"/>
          </w:tcPr>
          <w:p w14:paraId="02221789">
            <w:pPr>
              <w:spacing w:line="340" w:lineRule="exact"/>
              <w:jc w:val="center"/>
              <w:rPr>
                <w:rFonts w:hint="default" w:ascii="Times New Roman" w:hAnsi="Times New Roman" w:eastAsia="宋体" w:cs="Times New Roman"/>
                <w:bCs/>
                <w:color w:val="0000FF"/>
                <w:w w:val="99"/>
                <w:kern w:val="21"/>
                <w:sz w:val="21"/>
                <w:szCs w:val="21"/>
                <w:highlight w:val="none"/>
              </w:rPr>
            </w:pPr>
            <w:r>
              <w:rPr>
                <w:rFonts w:hint="default" w:ascii="Times New Roman" w:hAnsi="Times New Roman" w:eastAsia="宋体" w:cs="Times New Roman"/>
                <w:bCs/>
                <w:color w:val="auto"/>
                <w:w w:val="99"/>
                <w:kern w:val="21"/>
                <w:sz w:val="21"/>
                <w:szCs w:val="21"/>
                <w:highlight w:val="none"/>
              </w:rPr>
              <w:t>新建</w:t>
            </w:r>
          </w:p>
        </w:tc>
      </w:tr>
    </w:tbl>
    <w:p w14:paraId="0C31AAAC">
      <w:pPr>
        <w:widowControl w:val="0"/>
        <w:spacing w:line="440" w:lineRule="exact"/>
        <w:ind w:firstLine="474" w:firstLineChars="200"/>
        <w:rPr>
          <w:rFonts w:ascii="Times New Roman" w:hAnsi="Times New Roman" w:cs="Times New Roman"/>
          <w:snapToGrid w:val="0"/>
          <w:color w:val="auto"/>
          <w:w w:val="99"/>
          <w:highlight w:val="none"/>
        </w:rPr>
      </w:pPr>
      <w:r>
        <w:rPr>
          <w:rFonts w:ascii="Times New Roman" w:hAnsi="Times New Roman" w:cs="Times New Roman"/>
          <w:snapToGrid w:val="0"/>
          <w:color w:val="auto"/>
          <w:w w:val="99"/>
          <w:highlight w:val="none"/>
        </w:rPr>
        <w:t>本项目主要技术经济指标见表3.</w:t>
      </w:r>
      <w:r>
        <w:rPr>
          <w:rFonts w:hint="eastAsia" w:ascii="Times New Roman" w:hAnsi="Times New Roman" w:cs="Times New Roman"/>
          <w:snapToGrid w:val="0"/>
          <w:color w:val="auto"/>
          <w:w w:val="99"/>
          <w:highlight w:val="none"/>
          <w:lang w:val="en-US" w:eastAsia="zh-CN"/>
        </w:rPr>
        <w:t>3</w:t>
      </w:r>
      <w:r>
        <w:rPr>
          <w:rFonts w:ascii="Times New Roman" w:hAnsi="Times New Roman" w:cs="Times New Roman"/>
          <w:snapToGrid w:val="0"/>
          <w:color w:val="auto"/>
          <w:w w:val="99"/>
          <w:highlight w:val="none"/>
        </w:rPr>
        <w:t>-2。</w:t>
      </w:r>
    </w:p>
    <w:p w14:paraId="43400B6B">
      <w:pPr>
        <w:widowControl w:val="0"/>
        <w:spacing w:line="440" w:lineRule="exact"/>
        <w:ind w:firstLine="476" w:firstLineChars="200"/>
        <w:rPr>
          <w:rFonts w:ascii="Times New Roman" w:hAnsi="Times New Roman" w:cs="Times New Roman"/>
          <w:snapToGrid w:val="0"/>
          <w:color w:val="auto"/>
          <w:w w:val="99"/>
          <w:highlight w:val="none"/>
        </w:rPr>
      </w:pPr>
      <w:r>
        <w:rPr>
          <w:rFonts w:ascii="Times New Roman" w:hAnsi="Times New Roman" w:cs="Times New Roman"/>
          <w:b/>
          <w:snapToGrid w:val="0"/>
          <w:color w:val="auto"/>
          <w:w w:val="99"/>
          <w:highlight w:val="none"/>
        </w:rPr>
        <w:t>表3.</w:t>
      </w:r>
      <w:r>
        <w:rPr>
          <w:rFonts w:hint="eastAsia" w:ascii="Times New Roman" w:hAnsi="Times New Roman" w:cs="Times New Roman"/>
          <w:b/>
          <w:snapToGrid w:val="0"/>
          <w:color w:val="auto"/>
          <w:w w:val="99"/>
          <w:highlight w:val="none"/>
          <w:lang w:val="en-US" w:eastAsia="zh-CN"/>
        </w:rPr>
        <w:t>3</w:t>
      </w:r>
      <w:r>
        <w:rPr>
          <w:rFonts w:ascii="Times New Roman" w:hAnsi="Times New Roman" w:cs="Times New Roman"/>
          <w:b/>
          <w:snapToGrid w:val="0"/>
          <w:color w:val="auto"/>
          <w:w w:val="99"/>
          <w:highlight w:val="none"/>
        </w:rPr>
        <w:t>-2    本项目主要技术经济指标汇总表</w:t>
      </w:r>
    </w:p>
    <w:tbl>
      <w:tblPr>
        <w:tblStyle w:val="80"/>
        <w:tblW w:w="5000" w:type="pct"/>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30"/>
        <w:gridCol w:w="7256"/>
      </w:tblGrid>
      <w:tr w14:paraId="45D67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3" w:type="pct"/>
            <w:vAlign w:val="center"/>
          </w:tcPr>
          <w:p w14:paraId="3501AE11">
            <w:pPr>
              <w:spacing w:line="34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类别</w:t>
            </w:r>
          </w:p>
        </w:tc>
        <w:tc>
          <w:tcPr>
            <w:tcW w:w="3907" w:type="pct"/>
            <w:vAlign w:val="center"/>
          </w:tcPr>
          <w:p w14:paraId="2CF2D139">
            <w:pPr>
              <w:spacing w:line="34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指标</w:t>
            </w:r>
          </w:p>
        </w:tc>
      </w:tr>
      <w:tr w14:paraId="7C495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3" w:type="pct"/>
            <w:vAlign w:val="center"/>
          </w:tcPr>
          <w:p w14:paraId="312C9E4A">
            <w:pPr>
              <w:spacing w:line="34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设计动用资源储量</w:t>
            </w:r>
          </w:p>
        </w:tc>
        <w:tc>
          <w:tcPr>
            <w:tcW w:w="3907" w:type="pct"/>
            <w:vAlign w:val="center"/>
          </w:tcPr>
          <w:p w14:paraId="78B1543C">
            <w:pPr>
              <w:spacing w:line="340" w:lineRule="exact"/>
              <w:jc w:val="both"/>
              <w:rPr>
                <w:rFonts w:ascii="Times New Roman" w:hAnsi="Times New Roman" w:cs="Times New Roman"/>
                <w:color w:val="auto"/>
                <w:w w:val="99"/>
                <w:kern w:val="2"/>
                <w:sz w:val="21"/>
                <w:szCs w:val="21"/>
                <w:highlight w:val="none"/>
              </w:rPr>
            </w:pPr>
            <w:r>
              <w:rPr>
                <w:rFonts w:ascii="Times New Roman" w:hAnsi="Times New Roman" w:cs="Times New Roman"/>
                <w:bCs/>
                <w:color w:val="auto"/>
                <w:w w:val="99"/>
                <w:kern w:val="2"/>
                <w:sz w:val="21"/>
                <w:szCs w:val="21"/>
                <w:highlight w:val="none"/>
                <w:lang w:val="en-US" w:eastAsia="zh-CN"/>
              </w:rPr>
              <w:t>建成产</w:t>
            </w:r>
            <w:r>
              <w:rPr>
                <w:rFonts w:hint="default" w:ascii="Times New Roman" w:hAnsi="Times New Roman" w:cs="Times New Roman"/>
                <w:bCs/>
                <w:color w:val="auto"/>
                <w:w w:val="99"/>
                <w:kern w:val="2"/>
                <w:sz w:val="21"/>
                <w:szCs w:val="21"/>
                <w:highlight w:val="none"/>
                <w:lang w:val="en-US" w:eastAsia="zh-CN"/>
              </w:rPr>
              <w:t xml:space="preserve">能 </w:t>
            </w:r>
            <w:r>
              <w:rPr>
                <w:rFonts w:hint="eastAsia" w:ascii="Times New Roman" w:hAnsi="Times New Roman" w:cs="Times New Roman"/>
                <w:bCs/>
                <w:color w:val="auto"/>
                <w:w w:val="99"/>
                <w:kern w:val="2"/>
                <w:sz w:val="21"/>
                <w:szCs w:val="21"/>
                <w:highlight w:val="none"/>
                <w:lang w:val="en-US" w:eastAsia="zh-CN"/>
              </w:rPr>
              <w:t>9</w:t>
            </w:r>
            <w:r>
              <w:rPr>
                <w:rFonts w:hint="default" w:ascii="Times New Roman" w:hAnsi="Times New Roman" w:cs="Times New Roman"/>
                <w:bCs/>
                <w:color w:val="auto"/>
                <w:w w:val="99"/>
                <w:kern w:val="2"/>
                <w:sz w:val="21"/>
                <w:szCs w:val="21"/>
                <w:highlight w:val="none"/>
                <w:lang w:val="en-US" w:eastAsia="zh-CN"/>
              </w:rPr>
              <w:t>×10</w:t>
            </w:r>
            <w:r>
              <w:rPr>
                <w:rFonts w:hint="eastAsia" w:ascii="Times New Roman" w:hAnsi="Times New Roman" w:cs="Times New Roman"/>
                <w:bCs/>
                <w:color w:val="auto"/>
                <w:w w:val="99"/>
                <w:kern w:val="2"/>
                <w:sz w:val="21"/>
                <w:szCs w:val="21"/>
                <w:highlight w:val="none"/>
                <w:vertAlign w:val="superscript"/>
                <w:lang w:val="en-US" w:eastAsia="zh-CN"/>
              </w:rPr>
              <w:t>4</w:t>
            </w:r>
            <w:r>
              <w:rPr>
                <w:rFonts w:hint="default" w:ascii="Times New Roman" w:hAnsi="Times New Roman" w:cs="Times New Roman"/>
                <w:bCs/>
                <w:color w:val="auto"/>
                <w:w w:val="99"/>
                <w:kern w:val="2"/>
                <w:sz w:val="21"/>
                <w:szCs w:val="21"/>
                <w:highlight w:val="none"/>
                <w:lang w:val="en-US" w:eastAsia="zh-CN"/>
              </w:rPr>
              <w:t>m</w:t>
            </w:r>
            <w:r>
              <w:rPr>
                <w:rFonts w:hint="default" w:ascii="Times New Roman" w:hAnsi="Times New Roman" w:cs="Times New Roman"/>
                <w:bCs/>
                <w:color w:val="auto"/>
                <w:w w:val="99"/>
                <w:kern w:val="2"/>
                <w:sz w:val="21"/>
                <w:szCs w:val="21"/>
                <w:highlight w:val="none"/>
                <w:vertAlign w:val="superscript"/>
                <w:lang w:val="en-US" w:eastAsia="zh-CN"/>
              </w:rPr>
              <w:t>3</w:t>
            </w:r>
            <w:r>
              <w:rPr>
                <w:rFonts w:hint="default" w:ascii="Times New Roman" w:hAnsi="Times New Roman" w:cs="Times New Roman"/>
                <w:bCs/>
                <w:color w:val="auto"/>
                <w:w w:val="99"/>
                <w:kern w:val="2"/>
                <w:sz w:val="21"/>
                <w:szCs w:val="21"/>
                <w:highlight w:val="none"/>
                <w:lang w:val="en-US" w:eastAsia="zh-CN"/>
              </w:rPr>
              <w:t>/</w:t>
            </w:r>
            <w:r>
              <w:rPr>
                <w:rFonts w:hint="eastAsia" w:ascii="Times New Roman" w:hAnsi="Times New Roman" w:cs="Times New Roman"/>
                <w:bCs/>
                <w:color w:val="auto"/>
                <w:w w:val="99"/>
                <w:kern w:val="2"/>
                <w:sz w:val="21"/>
                <w:szCs w:val="21"/>
                <w:highlight w:val="none"/>
                <w:lang w:val="en-US" w:eastAsia="zh-CN"/>
              </w:rPr>
              <w:t>d</w:t>
            </w:r>
            <w:r>
              <w:rPr>
                <w:rFonts w:hint="default" w:ascii="Times New Roman" w:hAnsi="Times New Roman" w:cs="Times New Roman"/>
                <w:bCs/>
                <w:color w:val="auto"/>
                <w:w w:val="99"/>
                <w:kern w:val="2"/>
                <w:sz w:val="21"/>
                <w:szCs w:val="21"/>
                <w:highlight w:val="none"/>
                <w:lang w:val="en-US" w:eastAsia="zh-CN"/>
              </w:rPr>
              <w:t>，设计开采年限20年</w:t>
            </w:r>
            <w:r>
              <w:rPr>
                <w:rFonts w:hint="default" w:ascii="Times New Roman" w:hAnsi="Times New Roman" w:cs="Times New Roman"/>
                <w:bCs/>
                <w:color w:val="0000FF"/>
                <w:w w:val="99"/>
                <w:kern w:val="2"/>
                <w:sz w:val="21"/>
                <w:szCs w:val="21"/>
                <w:highlight w:val="none"/>
                <w:lang w:val="en-US" w:eastAsia="zh-CN"/>
              </w:rPr>
              <w:t>。</w:t>
            </w:r>
          </w:p>
        </w:tc>
      </w:tr>
      <w:tr w14:paraId="3F4FF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3" w:type="pct"/>
            <w:vAlign w:val="center"/>
          </w:tcPr>
          <w:p w14:paraId="1F594276">
            <w:pPr>
              <w:spacing w:line="34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设计井数</w:t>
            </w:r>
          </w:p>
        </w:tc>
        <w:tc>
          <w:tcPr>
            <w:tcW w:w="3907" w:type="pct"/>
            <w:vAlign w:val="center"/>
          </w:tcPr>
          <w:p w14:paraId="61147907">
            <w:pPr>
              <w:spacing w:line="340" w:lineRule="exact"/>
              <w:jc w:val="both"/>
              <w:rPr>
                <w:rFonts w:ascii="Times New Roman" w:hAnsi="Times New Roman" w:cs="Times New Roman"/>
                <w:color w:val="auto"/>
                <w:w w:val="99"/>
                <w:kern w:val="2"/>
                <w:sz w:val="21"/>
                <w:szCs w:val="21"/>
                <w:highlight w:val="none"/>
              </w:rPr>
            </w:pPr>
            <w:r>
              <w:rPr>
                <w:rFonts w:ascii="Times New Roman" w:hAnsi="Times New Roman" w:cs="Times New Roman"/>
                <w:bCs/>
                <w:color w:val="auto"/>
                <w:w w:val="99"/>
                <w:kern w:val="2"/>
                <w:sz w:val="21"/>
                <w:szCs w:val="21"/>
                <w:highlight w:val="none"/>
              </w:rPr>
              <w:t>本项目</w:t>
            </w:r>
            <w:r>
              <w:rPr>
                <w:rFonts w:hint="eastAsia" w:ascii="Times New Roman" w:hAnsi="Times New Roman" w:cs="Times New Roman"/>
                <w:bCs/>
                <w:color w:val="auto"/>
                <w:w w:val="99"/>
                <w:kern w:val="2"/>
                <w:sz w:val="21"/>
                <w:szCs w:val="21"/>
                <w:highlight w:val="none"/>
                <w:lang w:val="en-US" w:eastAsia="zh-CN"/>
              </w:rPr>
              <w:t>基建1</w:t>
            </w:r>
            <w:r>
              <w:rPr>
                <w:rFonts w:ascii="Times New Roman" w:hAnsi="Times New Roman" w:cs="Times New Roman"/>
                <w:bCs/>
                <w:color w:val="auto"/>
                <w:w w:val="99"/>
                <w:kern w:val="2"/>
                <w:sz w:val="21"/>
                <w:szCs w:val="21"/>
                <w:highlight w:val="none"/>
              </w:rPr>
              <w:t>口</w:t>
            </w:r>
            <w:r>
              <w:rPr>
                <w:rFonts w:hint="eastAsia" w:ascii="Times New Roman" w:hAnsi="Times New Roman" w:cs="Times New Roman"/>
                <w:bCs/>
                <w:color w:val="auto"/>
                <w:w w:val="99"/>
                <w:kern w:val="2"/>
                <w:sz w:val="21"/>
                <w:szCs w:val="21"/>
                <w:highlight w:val="none"/>
                <w:lang w:val="en-US" w:eastAsia="zh-CN"/>
              </w:rPr>
              <w:t>气井</w:t>
            </w:r>
            <w:r>
              <w:rPr>
                <w:rFonts w:ascii="Times New Roman" w:hAnsi="Times New Roman" w:cs="Times New Roman"/>
                <w:bCs/>
                <w:color w:val="auto"/>
                <w:w w:val="99"/>
                <w:kern w:val="2"/>
                <w:sz w:val="21"/>
                <w:szCs w:val="21"/>
                <w:highlight w:val="none"/>
              </w:rPr>
              <w:t>。</w:t>
            </w:r>
          </w:p>
        </w:tc>
      </w:tr>
      <w:tr w14:paraId="08DC0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3" w:type="pct"/>
            <w:vAlign w:val="center"/>
          </w:tcPr>
          <w:p w14:paraId="4B8893E6">
            <w:pPr>
              <w:spacing w:line="34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不同规模站场数</w:t>
            </w:r>
          </w:p>
        </w:tc>
        <w:tc>
          <w:tcPr>
            <w:tcW w:w="3907" w:type="pct"/>
            <w:vAlign w:val="center"/>
          </w:tcPr>
          <w:p w14:paraId="5BFA73C9">
            <w:pPr>
              <w:spacing w:line="340" w:lineRule="exact"/>
              <w:jc w:val="both"/>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本项目</w:t>
            </w:r>
            <w:r>
              <w:rPr>
                <w:rFonts w:hint="eastAsia" w:ascii="Times New Roman" w:hAnsi="Times New Roman" w:cs="Times New Roman"/>
                <w:color w:val="auto"/>
                <w:w w:val="99"/>
                <w:kern w:val="2"/>
                <w:sz w:val="21"/>
                <w:szCs w:val="21"/>
                <w:highlight w:val="none"/>
                <w:lang w:val="en-US" w:eastAsia="zh-CN"/>
              </w:rPr>
              <w:t>改造</w:t>
            </w:r>
            <w:r>
              <w:rPr>
                <w:rFonts w:ascii="Times New Roman" w:hAnsi="Times New Roman" w:cs="Times New Roman"/>
                <w:color w:val="auto"/>
                <w:w w:val="99"/>
                <w:kern w:val="2"/>
                <w:sz w:val="21"/>
                <w:szCs w:val="21"/>
                <w:highlight w:val="none"/>
              </w:rPr>
              <w:t>场站</w:t>
            </w:r>
            <w:r>
              <w:rPr>
                <w:rFonts w:hint="eastAsia" w:ascii="Times New Roman" w:hAnsi="Times New Roman" w:cs="Times New Roman"/>
                <w:color w:val="auto"/>
                <w:w w:val="99"/>
                <w:kern w:val="2"/>
                <w:sz w:val="21"/>
                <w:szCs w:val="21"/>
                <w:highlight w:val="none"/>
                <w:lang w:val="en-US" w:eastAsia="zh-CN"/>
              </w:rPr>
              <w:t>1座</w:t>
            </w:r>
            <w:r>
              <w:rPr>
                <w:rFonts w:ascii="Times New Roman" w:hAnsi="Times New Roman" w:cs="Times New Roman"/>
                <w:color w:val="auto"/>
                <w:w w:val="99"/>
                <w:kern w:val="2"/>
                <w:sz w:val="21"/>
                <w:szCs w:val="21"/>
                <w:highlight w:val="none"/>
              </w:rPr>
              <w:t>，依托场站</w:t>
            </w:r>
            <w:r>
              <w:rPr>
                <w:rFonts w:hint="eastAsia" w:ascii="Times New Roman" w:hAnsi="Times New Roman" w:cs="Times New Roman"/>
                <w:color w:val="auto"/>
                <w:w w:val="99"/>
                <w:kern w:val="2"/>
                <w:sz w:val="21"/>
                <w:szCs w:val="21"/>
                <w:highlight w:val="none"/>
                <w:lang w:val="en-US" w:eastAsia="zh-CN"/>
              </w:rPr>
              <w:t>为徐深27集气站</w:t>
            </w:r>
            <w:r>
              <w:rPr>
                <w:rFonts w:ascii="Times New Roman" w:hAnsi="Times New Roman" w:cs="Times New Roman"/>
                <w:color w:val="auto"/>
                <w:w w:val="99"/>
                <w:kern w:val="2"/>
                <w:sz w:val="21"/>
                <w:szCs w:val="21"/>
                <w:highlight w:val="none"/>
              </w:rPr>
              <w:t>。</w:t>
            </w:r>
          </w:p>
        </w:tc>
      </w:tr>
      <w:tr w14:paraId="60C25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3" w:type="pct"/>
            <w:vAlign w:val="center"/>
          </w:tcPr>
          <w:p w14:paraId="3BEDAF08">
            <w:pPr>
              <w:spacing w:line="34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管道长度</w:t>
            </w:r>
          </w:p>
        </w:tc>
        <w:tc>
          <w:tcPr>
            <w:tcW w:w="3907" w:type="pct"/>
            <w:vAlign w:val="center"/>
          </w:tcPr>
          <w:p w14:paraId="210877D9">
            <w:pPr>
              <w:spacing w:line="340" w:lineRule="exact"/>
              <w:jc w:val="both"/>
              <w:rPr>
                <w:rFonts w:ascii="Times New Roman" w:hAnsi="Times New Roman" w:cs="Times New Roman"/>
                <w:color w:val="auto"/>
                <w:w w:val="99"/>
                <w:kern w:val="2"/>
                <w:sz w:val="21"/>
                <w:szCs w:val="21"/>
                <w:highlight w:val="none"/>
              </w:rPr>
            </w:pPr>
            <w:r>
              <w:rPr>
                <w:rFonts w:ascii="Times New Roman" w:hAnsi="Times New Roman" w:cs="Times New Roman"/>
                <w:bCs/>
                <w:color w:val="auto"/>
                <w:w w:val="99"/>
                <w:kern w:val="2"/>
                <w:sz w:val="21"/>
                <w:szCs w:val="21"/>
                <w:highlight w:val="none"/>
              </w:rPr>
              <w:t>新建</w:t>
            </w:r>
            <w:r>
              <w:rPr>
                <w:rFonts w:hint="eastAsia" w:ascii="Times New Roman" w:hAnsi="Times New Roman" w:cs="Times New Roman"/>
                <w:bCs/>
                <w:color w:val="auto"/>
                <w:w w:val="99"/>
                <w:kern w:val="2"/>
                <w:sz w:val="21"/>
                <w:szCs w:val="21"/>
                <w:highlight w:val="none"/>
                <w:lang w:val="en-US" w:eastAsia="zh-CN"/>
              </w:rPr>
              <w:t>采气</w:t>
            </w:r>
            <w:r>
              <w:rPr>
                <w:rFonts w:ascii="Times New Roman" w:hAnsi="Times New Roman" w:cs="Times New Roman"/>
                <w:bCs/>
                <w:color w:val="auto"/>
                <w:w w:val="99"/>
                <w:kern w:val="2"/>
                <w:sz w:val="21"/>
                <w:szCs w:val="21"/>
                <w:highlight w:val="none"/>
              </w:rPr>
              <w:t>管道</w:t>
            </w:r>
            <w:r>
              <w:rPr>
                <w:rFonts w:hint="eastAsia" w:ascii="Times New Roman" w:hAnsi="Times New Roman" w:cs="Times New Roman"/>
                <w:bCs/>
                <w:color w:val="auto"/>
                <w:w w:val="99"/>
                <w:kern w:val="2"/>
                <w:sz w:val="21"/>
                <w:szCs w:val="21"/>
                <w:highlight w:val="none"/>
                <w:lang w:val="en-US" w:eastAsia="zh-CN"/>
              </w:rPr>
              <w:t>1.92</w:t>
            </w:r>
            <w:r>
              <w:rPr>
                <w:rFonts w:ascii="Times New Roman" w:hAnsi="Times New Roman" w:cs="Times New Roman"/>
                <w:bCs/>
                <w:color w:val="auto"/>
                <w:w w:val="99"/>
                <w:kern w:val="2"/>
                <w:sz w:val="21"/>
                <w:szCs w:val="21"/>
                <w:highlight w:val="none"/>
              </w:rPr>
              <w:t>km。</w:t>
            </w:r>
          </w:p>
        </w:tc>
      </w:tr>
      <w:tr w14:paraId="642FE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3" w:type="pct"/>
            <w:vAlign w:val="center"/>
          </w:tcPr>
          <w:p w14:paraId="41F616AF">
            <w:pPr>
              <w:spacing w:line="34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能源消耗情况</w:t>
            </w:r>
          </w:p>
        </w:tc>
        <w:tc>
          <w:tcPr>
            <w:tcW w:w="3907" w:type="pct"/>
            <w:vAlign w:val="center"/>
          </w:tcPr>
          <w:p w14:paraId="4E75343E">
            <w:pPr>
              <w:spacing w:line="340" w:lineRule="exact"/>
              <w:jc w:val="both"/>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本项目新增耗气量</w:t>
            </w:r>
            <w:r>
              <w:rPr>
                <w:rFonts w:hint="eastAsia" w:ascii="Times New Roman" w:hAnsi="Times New Roman" w:cs="Times New Roman"/>
                <w:color w:val="auto"/>
                <w:w w:val="99"/>
                <w:kern w:val="2"/>
                <w:sz w:val="21"/>
                <w:szCs w:val="21"/>
                <w:highlight w:val="none"/>
                <w:lang w:val="en-US" w:eastAsia="zh-CN"/>
              </w:rPr>
              <w:t>7.07</w:t>
            </w:r>
            <w:r>
              <w:rPr>
                <w:rFonts w:ascii="Times New Roman" w:hAnsi="Times New Roman" w:cs="Times New Roman"/>
                <w:color w:val="auto"/>
                <w:w w:val="99"/>
                <w:kern w:val="2"/>
                <w:sz w:val="21"/>
                <w:szCs w:val="21"/>
                <w:highlight w:val="none"/>
              </w:rPr>
              <w:t>万m</w:t>
            </w:r>
            <w:r>
              <w:rPr>
                <w:rFonts w:ascii="Times New Roman" w:hAnsi="Times New Roman" w:cs="Times New Roman"/>
                <w:color w:val="auto"/>
                <w:w w:val="99"/>
                <w:kern w:val="2"/>
                <w:sz w:val="21"/>
                <w:szCs w:val="21"/>
                <w:highlight w:val="none"/>
                <w:vertAlign w:val="superscript"/>
              </w:rPr>
              <w:t>3</w:t>
            </w:r>
            <w:r>
              <w:rPr>
                <w:rFonts w:ascii="Times New Roman" w:hAnsi="Times New Roman" w:cs="Times New Roman"/>
                <w:color w:val="auto"/>
                <w:w w:val="99"/>
                <w:kern w:val="2"/>
                <w:sz w:val="21"/>
                <w:szCs w:val="21"/>
                <w:highlight w:val="none"/>
              </w:rPr>
              <w:t>/a，新增耗电</w:t>
            </w:r>
            <w:r>
              <w:rPr>
                <w:rFonts w:hint="eastAsia" w:ascii="Times New Roman" w:hAnsi="Times New Roman" w:cs="Times New Roman"/>
                <w:color w:val="auto"/>
                <w:w w:val="99"/>
                <w:kern w:val="2"/>
                <w:sz w:val="21"/>
                <w:szCs w:val="21"/>
                <w:highlight w:val="none"/>
                <w:lang w:val="en-US" w:eastAsia="zh-CN"/>
              </w:rPr>
              <w:t>77.09</w:t>
            </w:r>
            <w:r>
              <w:rPr>
                <w:rFonts w:ascii="Times New Roman" w:hAnsi="Times New Roman" w:cs="Times New Roman"/>
                <w:color w:val="auto"/>
                <w:w w:val="99"/>
                <w:kern w:val="2"/>
                <w:sz w:val="21"/>
                <w:szCs w:val="21"/>
                <w:highlight w:val="none"/>
              </w:rPr>
              <w:t>×10</w:t>
            </w:r>
            <w:r>
              <w:rPr>
                <w:rFonts w:ascii="Times New Roman" w:hAnsi="Times New Roman" w:cs="Times New Roman"/>
                <w:color w:val="auto"/>
                <w:w w:val="99"/>
                <w:kern w:val="2"/>
                <w:sz w:val="21"/>
                <w:szCs w:val="21"/>
                <w:highlight w:val="none"/>
                <w:vertAlign w:val="superscript"/>
              </w:rPr>
              <w:t>4</w:t>
            </w:r>
            <w:r>
              <w:rPr>
                <w:rFonts w:ascii="Times New Roman" w:hAnsi="Times New Roman" w:cs="Times New Roman"/>
                <w:color w:val="auto"/>
                <w:w w:val="99"/>
                <w:kern w:val="2"/>
                <w:sz w:val="21"/>
                <w:szCs w:val="21"/>
                <w:highlight w:val="none"/>
              </w:rPr>
              <w:t>kW•h/a。</w:t>
            </w:r>
          </w:p>
        </w:tc>
      </w:tr>
      <w:tr w14:paraId="37A8C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3" w:type="pct"/>
            <w:vAlign w:val="center"/>
          </w:tcPr>
          <w:p w14:paraId="2658F71A">
            <w:pPr>
              <w:spacing w:line="34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工程临时占地及永久占地面积</w:t>
            </w:r>
          </w:p>
        </w:tc>
        <w:tc>
          <w:tcPr>
            <w:tcW w:w="3907" w:type="pct"/>
            <w:vAlign w:val="center"/>
          </w:tcPr>
          <w:p w14:paraId="5CA00CFD">
            <w:pPr>
              <w:spacing w:line="340" w:lineRule="exact"/>
              <w:jc w:val="both"/>
              <w:rPr>
                <w:rFonts w:ascii="Times New Roman" w:hAnsi="Times New Roman" w:cs="Times New Roman"/>
                <w:color w:val="auto"/>
                <w:w w:val="99"/>
                <w:kern w:val="2"/>
                <w:sz w:val="21"/>
                <w:szCs w:val="21"/>
                <w:highlight w:val="none"/>
              </w:rPr>
            </w:pPr>
            <w:r>
              <w:rPr>
                <w:rFonts w:hint="eastAsia" w:ascii="Times New Roman" w:hAnsi="Times New Roman" w:cs="Times New Roman"/>
                <w:color w:val="auto"/>
                <w:w w:val="99"/>
                <w:kern w:val="2"/>
                <w:sz w:val="21"/>
                <w:szCs w:val="21"/>
                <w:highlight w:val="none"/>
                <w:lang w:val="en-US" w:eastAsia="zh-CN"/>
              </w:rPr>
              <w:t>无新增占地</w:t>
            </w:r>
            <w:r>
              <w:rPr>
                <w:rFonts w:ascii="Times New Roman" w:hAnsi="Times New Roman" w:cs="Times New Roman"/>
                <w:bCs/>
                <w:color w:val="auto"/>
                <w:w w:val="99"/>
                <w:kern w:val="2"/>
                <w:sz w:val="21"/>
                <w:szCs w:val="21"/>
                <w:highlight w:val="none"/>
              </w:rPr>
              <w:t>。</w:t>
            </w:r>
          </w:p>
        </w:tc>
      </w:tr>
      <w:tr w14:paraId="1D84B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3" w:type="pct"/>
            <w:vAlign w:val="center"/>
          </w:tcPr>
          <w:p w14:paraId="37A3C61D">
            <w:pPr>
              <w:spacing w:line="34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工作制度</w:t>
            </w:r>
          </w:p>
        </w:tc>
        <w:tc>
          <w:tcPr>
            <w:tcW w:w="3907" w:type="pct"/>
            <w:vAlign w:val="center"/>
          </w:tcPr>
          <w:p w14:paraId="231D344E">
            <w:pPr>
              <w:spacing w:line="340" w:lineRule="exact"/>
              <w:jc w:val="both"/>
              <w:rPr>
                <w:rFonts w:ascii="Times New Roman" w:hAnsi="Times New Roman" w:cs="Times New Roman"/>
                <w:color w:val="auto"/>
                <w:w w:val="99"/>
                <w:kern w:val="2"/>
                <w:sz w:val="21"/>
                <w:szCs w:val="21"/>
                <w:highlight w:val="yellow"/>
              </w:rPr>
            </w:pPr>
            <w:r>
              <w:rPr>
                <w:rFonts w:ascii="Times New Roman" w:hAnsi="Times New Roman" w:cs="Times New Roman"/>
                <w:color w:val="auto"/>
                <w:w w:val="99"/>
                <w:kern w:val="2"/>
                <w:sz w:val="21"/>
                <w:szCs w:val="21"/>
                <w:highlight w:val="none"/>
              </w:rPr>
              <w:t>年生产 365d，每天24小时。</w:t>
            </w:r>
          </w:p>
        </w:tc>
      </w:tr>
      <w:tr w14:paraId="40982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3" w:type="pct"/>
            <w:vAlign w:val="center"/>
          </w:tcPr>
          <w:p w14:paraId="56CDEFDE">
            <w:pPr>
              <w:spacing w:line="34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在册职工人数</w:t>
            </w:r>
          </w:p>
        </w:tc>
        <w:tc>
          <w:tcPr>
            <w:tcW w:w="3907" w:type="pct"/>
            <w:vAlign w:val="center"/>
          </w:tcPr>
          <w:p w14:paraId="24070209">
            <w:pPr>
              <w:spacing w:line="340" w:lineRule="exact"/>
              <w:jc w:val="both"/>
              <w:rPr>
                <w:rFonts w:ascii="Times New Roman" w:hAnsi="Times New Roman" w:cs="Times New Roman"/>
                <w:color w:val="auto"/>
                <w:w w:val="99"/>
                <w:kern w:val="2"/>
                <w:sz w:val="21"/>
                <w:szCs w:val="21"/>
                <w:highlight w:val="yellow"/>
              </w:rPr>
            </w:pPr>
            <w:r>
              <w:rPr>
                <w:rFonts w:hint="eastAsia" w:ascii="Times New Roman" w:hAnsi="Times New Roman" w:cs="Times New Roman"/>
                <w:bCs/>
                <w:color w:val="auto"/>
                <w:w w:val="99"/>
                <w:kern w:val="21"/>
                <w:sz w:val="21"/>
                <w:szCs w:val="21"/>
                <w:highlight w:val="none"/>
                <w:lang w:val="en-US" w:eastAsia="zh-CN" w:bidi="ar-SA"/>
              </w:rPr>
              <w:t>施工期地面工程施工人员约30人</w:t>
            </w:r>
            <w:r>
              <w:rPr>
                <w:rFonts w:ascii="Times New Roman" w:hAnsi="Times New Roman" w:cs="Times New Roman"/>
                <w:bCs/>
                <w:color w:val="auto"/>
                <w:w w:val="99"/>
                <w:kern w:val="2"/>
                <w:sz w:val="21"/>
                <w:szCs w:val="21"/>
                <w:highlight w:val="none"/>
              </w:rPr>
              <w:t>，运营期不新增定员。</w:t>
            </w:r>
          </w:p>
        </w:tc>
      </w:tr>
      <w:tr w14:paraId="57074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3" w:type="pct"/>
            <w:vAlign w:val="center"/>
          </w:tcPr>
          <w:p w14:paraId="20360A6B">
            <w:pPr>
              <w:spacing w:line="34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总投资及环境保护投资</w:t>
            </w:r>
          </w:p>
        </w:tc>
        <w:tc>
          <w:tcPr>
            <w:tcW w:w="3907" w:type="pct"/>
            <w:vAlign w:val="center"/>
          </w:tcPr>
          <w:p w14:paraId="7072BDCF">
            <w:pPr>
              <w:spacing w:line="340" w:lineRule="exact"/>
              <w:jc w:val="both"/>
              <w:rPr>
                <w:rFonts w:ascii="Times New Roman" w:hAnsi="Times New Roman" w:cs="Times New Roman"/>
                <w:color w:val="auto"/>
                <w:w w:val="99"/>
                <w:sz w:val="21"/>
                <w:szCs w:val="21"/>
                <w:highlight w:val="yellow"/>
              </w:rPr>
            </w:pPr>
            <w:r>
              <w:rPr>
                <w:rFonts w:ascii="Times New Roman" w:hAnsi="Times New Roman" w:cs="Times New Roman"/>
                <w:color w:val="auto"/>
                <w:w w:val="99"/>
                <w:sz w:val="21"/>
                <w:szCs w:val="21"/>
                <w:highlight w:val="none"/>
              </w:rPr>
              <w:t>总投资</w:t>
            </w:r>
            <w:r>
              <w:rPr>
                <w:rFonts w:hint="eastAsia" w:ascii="Times New Roman" w:hAnsi="Times New Roman" w:cs="Times New Roman"/>
                <w:bCs/>
                <w:color w:val="auto"/>
                <w:w w:val="99"/>
                <w:sz w:val="21"/>
                <w:szCs w:val="21"/>
                <w:highlight w:val="none"/>
                <w:lang w:eastAsia="zh-CN"/>
              </w:rPr>
              <w:t>567</w:t>
            </w:r>
            <w:r>
              <w:rPr>
                <w:rFonts w:ascii="Times New Roman" w:hAnsi="Times New Roman" w:cs="Times New Roman"/>
                <w:bCs/>
                <w:color w:val="auto"/>
                <w:w w:val="99"/>
                <w:sz w:val="21"/>
                <w:szCs w:val="21"/>
                <w:highlight w:val="none"/>
              </w:rPr>
              <w:t>万元，环保投资</w:t>
            </w:r>
            <w:r>
              <w:rPr>
                <w:rFonts w:hint="eastAsia" w:ascii="Times New Roman" w:hAnsi="Times New Roman" w:cs="Times New Roman"/>
                <w:bCs/>
                <w:color w:val="auto"/>
                <w:w w:val="99"/>
                <w:sz w:val="21"/>
                <w:szCs w:val="21"/>
                <w:highlight w:val="none"/>
                <w:lang w:val="en-US" w:eastAsia="zh-CN"/>
              </w:rPr>
              <w:t>25.47</w:t>
            </w:r>
            <w:r>
              <w:rPr>
                <w:rFonts w:ascii="Times New Roman" w:hAnsi="Times New Roman" w:cs="Times New Roman"/>
                <w:bCs/>
                <w:color w:val="auto"/>
                <w:w w:val="99"/>
                <w:sz w:val="21"/>
                <w:szCs w:val="21"/>
                <w:highlight w:val="none"/>
              </w:rPr>
              <w:t>万元，环保投资占比</w:t>
            </w:r>
            <w:r>
              <w:rPr>
                <w:rFonts w:hint="eastAsia" w:ascii="Times New Roman" w:hAnsi="Times New Roman" w:cs="Times New Roman"/>
                <w:bCs/>
                <w:color w:val="auto"/>
                <w:w w:val="99"/>
                <w:sz w:val="21"/>
                <w:szCs w:val="21"/>
                <w:highlight w:val="none"/>
                <w:lang w:val="en-US" w:eastAsia="zh-CN"/>
              </w:rPr>
              <w:t>4.49</w:t>
            </w:r>
            <w:r>
              <w:rPr>
                <w:rFonts w:ascii="Times New Roman" w:hAnsi="Times New Roman" w:cs="Times New Roman"/>
                <w:bCs/>
                <w:color w:val="auto"/>
                <w:w w:val="99"/>
                <w:sz w:val="21"/>
                <w:szCs w:val="21"/>
                <w:highlight w:val="none"/>
              </w:rPr>
              <w:t>%。</w:t>
            </w:r>
          </w:p>
        </w:tc>
      </w:tr>
    </w:tbl>
    <w:p w14:paraId="7DB5AFF9">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427" w:name="_Toc1417"/>
      <w:r>
        <w:rPr>
          <w:rFonts w:ascii="Times New Roman" w:hAnsi="Times New Roman" w:eastAsia="宋体"/>
          <w:b/>
          <w:snapToGrid w:val="0"/>
          <w:color w:val="auto"/>
          <w:w w:val="99"/>
          <w:highlight w:val="none"/>
        </w:rPr>
        <w:t>3.</w:t>
      </w:r>
      <w:r>
        <w:rPr>
          <w:rFonts w:hint="eastAsia" w:ascii="Times New Roman" w:hAnsi="Times New Roman" w:eastAsia="宋体"/>
          <w:b/>
          <w:snapToGrid w:val="0"/>
          <w:color w:val="auto"/>
          <w:w w:val="99"/>
          <w:highlight w:val="none"/>
          <w:lang w:val="en-US" w:eastAsia="zh-CN"/>
        </w:rPr>
        <w:t>4</w:t>
      </w:r>
      <w:r>
        <w:rPr>
          <w:rFonts w:ascii="Times New Roman" w:hAnsi="Times New Roman" w:eastAsia="宋体"/>
          <w:b/>
          <w:snapToGrid w:val="0"/>
          <w:color w:val="auto"/>
          <w:w w:val="99"/>
          <w:highlight w:val="none"/>
        </w:rPr>
        <w:t>开发方案</w:t>
      </w:r>
      <w:bookmarkEnd w:id="427"/>
    </w:p>
    <w:p w14:paraId="4576F2A4">
      <w:pPr>
        <w:keepNext w:val="0"/>
        <w:keepLines w:val="0"/>
        <w:pageBreakBefore w:val="0"/>
        <w:widowControl w:val="0"/>
        <w:kinsoku/>
        <w:wordWrap/>
        <w:overflowPunct/>
        <w:topLinePunct w:val="0"/>
        <w:autoSpaceDE/>
        <w:autoSpaceDN/>
        <w:bidi w:val="0"/>
        <w:adjustRightInd/>
        <w:snapToGrid/>
        <w:spacing w:line="440" w:lineRule="exact"/>
        <w:ind w:firstLine="476" w:firstLineChars="200"/>
        <w:jc w:val="both"/>
        <w:textAlignment w:val="auto"/>
        <w:outlineLvl w:val="2"/>
        <w:rPr>
          <w:rFonts w:hint="default" w:ascii="Times New Roman" w:hAnsi="Times New Roman" w:eastAsia="宋体" w:cs="Times New Roman"/>
          <w:b/>
          <w:bCs/>
          <w:color w:val="auto"/>
          <w:w w:val="99"/>
          <w:kern w:val="2"/>
          <w:sz w:val="24"/>
          <w:szCs w:val="24"/>
          <w:highlight w:val="none"/>
          <w:lang w:val="en-US" w:eastAsia="zh-CN" w:bidi="ar-SA"/>
        </w:rPr>
      </w:pPr>
      <w:r>
        <w:rPr>
          <w:rFonts w:hint="eastAsia" w:ascii="Times New Roman" w:hAnsi="Times New Roman" w:eastAsia="宋体" w:cs="Times New Roman"/>
          <w:b/>
          <w:bCs/>
          <w:color w:val="auto"/>
          <w:w w:val="99"/>
          <w:kern w:val="2"/>
          <w:sz w:val="24"/>
          <w:szCs w:val="24"/>
          <w:highlight w:val="none"/>
          <w:lang w:val="en-US" w:eastAsia="zh-CN" w:bidi="ar-SA"/>
        </w:rPr>
        <w:t>3.4.1开发指标预测</w:t>
      </w:r>
    </w:p>
    <w:p w14:paraId="1E1AED81">
      <w:pPr>
        <w:widowControl w:val="0"/>
        <w:spacing w:line="440" w:lineRule="exact"/>
        <w:ind w:firstLine="474" w:firstLineChars="200"/>
        <w:rPr>
          <w:rFonts w:ascii="Times New Roman" w:hAnsi="Times New Roman" w:eastAsia="宋体" w:cs="Times New Roman"/>
          <w:snapToGrid w:val="0"/>
          <w:color w:val="auto"/>
          <w:w w:val="99"/>
          <w:highlight w:val="none"/>
        </w:rPr>
      </w:pPr>
      <w:r>
        <w:rPr>
          <w:rFonts w:hint="eastAsia" w:ascii="Times New Roman" w:hAnsi="Times New Roman" w:cs="Times New Roman"/>
          <w:snapToGrid w:val="0"/>
          <w:color w:val="auto"/>
          <w:w w:val="99"/>
          <w:highlight w:val="none"/>
          <w:lang w:val="en-US" w:eastAsia="zh-CN"/>
        </w:rPr>
        <w:t>本次拟基建</w:t>
      </w:r>
      <w:r>
        <w:rPr>
          <w:rFonts w:hint="default" w:ascii="Times New Roman" w:hAnsi="Times New Roman" w:eastAsia="宋体" w:cs="Times New Roman"/>
          <w:snapToGrid w:val="0"/>
          <w:color w:val="auto"/>
          <w:w w:val="99"/>
          <w:highlight w:val="none"/>
        </w:rPr>
        <w:t>气井</w:t>
      </w:r>
      <w:r>
        <w:rPr>
          <w:rFonts w:hint="eastAsia" w:ascii="Times New Roman" w:hAnsi="Times New Roman" w:cs="Times New Roman"/>
          <w:snapToGrid w:val="0"/>
          <w:color w:val="auto"/>
          <w:w w:val="99"/>
          <w:highlight w:val="none"/>
          <w:lang w:val="en-US" w:eastAsia="zh-CN"/>
        </w:rPr>
        <w:t>1</w:t>
      </w:r>
      <w:r>
        <w:rPr>
          <w:rFonts w:hint="default" w:ascii="Times New Roman" w:hAnsi="Times New Roman" w:eastAsia="宋体" w:cs="Times New Roman"/>
          <w:snapToGrid w:val="0"/>
          <w:color w:val="auto"/>
          <w:w w:val="99"/>
          <w:highlight w:val="none"/>
        </w:rPr>
        <w:t>口。气井初期日产气量为</w:t>
      </w:r>
      <w:r>
        <w:rPr>
          <w:rFonts w:hint="eastAsia" w:ascii="Times New Roman" w:hAnsi="Times New Roman" w:cs="Times New Roman"/>
          <w:snapToGrid w:val="0"/>
          <w:color w:val="auto"/>
          <w:w w:val="99"/>
          <w:highlight w:val="none"/>
          <w:lang w:val="en-US" w:eastAsia="zh-CN"/>
        </w:rPr>
        <w:t>9</w:t>
      </w:r>
      <w:r>
        <w:rPr>
          <w:rFonts w:hint="default" w:ascii="Times New Roman" w:hAnsi="Times New Roman" w:eastAsia="宋体" w:cs="Times New Roman"/>
          <w:snapToGrid w:val="0"/>
          <w:color w:val="auto"/>
          <w:w w:val="99"/>
          <w:highlight w:val="none"/>
        </w:rPr>
        <w:t>×10</w:t>
      </w:r>
      <w:r>
        <w:rPr>
          <w:rFonts w:hint="default" w:ascii="Times New Roman" w:hAnsi="Times New Roman" w:eastAsia="宋体" w:cs="Times New Roman"/>
          <w:snapToGrid w:val="0"/>
          <w:color w:val="auto"/>
          <w:w w:val="99"/>
          <w:highlight w:val="none"/>
          <w:vertAlign w:val="superscript"/>
        </w:rPr>
        <w:t>4</w:t>
      </w:r>
      <w:r>
        <w:rPr>
          <w:rFonts w:hint="default" w:ascii="Times New Roman" w:hAnsi="Times New Roman" w:eastAsia="宋体" w:cs="Times New Roman"/>
          <w:snapToGrid w:val="0"/>
          <w:color w:val="auto"/>
          <w:w w:val="99"/>
          <w:highlight w:val="none"/>
        </w:rPr>
        <w:t>m</w:t>
      </w:r>
      <w:r>
        <w:rPr>
          <w:rFonts w:hint="default" w:ascii="Times New Roman" w:hAnsi="Times New Roman" w:eastAsia="宋体" w:cs="Times New Roman"/>
          <w:snapToGrid w:val="0"/>
          <w:color w:val="auto"/>
          <w:w w:val="99"/>
          <w:highlight w:val="none"/>
          <w:vertAlign w:val="superscript"/>
        </w:rPr>
        <w:t>3</w:t>
      </w:r>
      <w:r>
        <w:rPr>
          <w:rFonts w:hint="default" w:ascii="Times New Roman" w:hAnsi="Times New Roman" w:eastAsia="宋体" w:cs="Times New Roman"/>
          <w:snapToGrid w:val="0"/>
          <w:color w:val="auto"/>
          <w:w w:val="99"/>
          <w:highlight w:val="none"/>
        </w:rPr>
        <w:t>/d，产水量</w:t>
      </w:r>
      <w:r>
        <w:rPr>
          <w:rFonts w:hint="eastAsia" w:ascii="Times New Roman" w:hAnsi="Times New Roman" w:cs="Times New Roman"/>
          <w:snapToGrid w:val="0"/>
          <w:color w:val="auto"/>
          <w:w w:val="99"/>
          <w:highlight w:val="none"/>
          <w:lang w:val="en-US" w:eastAsia="zh-CN"/>
        </w:rPr>
        <w:t>3</w:t>
      </w:r>
      <w:r>
        <w:rPr>
          <w:rFonts w:hint="default" w:ascii="Times New Roman" w:hAnsi="Times New Roman" w:eastAsia="宋体" w:cs="Times New Roman"/>
          <w:snapToGrid w:val="0"/>
          <w:color w:val="auto"/>
          <w:w w:val="99"/>
          <w:highlight w:val="none"/>
        </w:rPr>
        <w:t>m</w:t>
      </w:r>
      <w:r>
        <w:rPr>
          <w:rFonts w:hint="default" w:ascii="Times New Roman" w:hAnsi="Times New Roman" w:eastAsia="宋体" w:cs="Times New Roman"/>
          <w:snapToGrid w:val="0"/>
          <w:color w:val="auto"/>
          <w:w w:val="99"/>
          <w:highlight w:val="none"/>
          <w:vertAlign w:val="superscript"/>
        </w:rPr>
        <w:t>3</w:t>
      </w:r>
      <w:r>
        <w:rPr>
          <w:rFonts w:hint="default" w:ascii="Times New Roman" w:hAnsi="Times New Roman" w:eastAsia="宋体" w:cs="Times New Roman"/>
          <w:snapToGrid w:val="0"/>
          <w:color w:val="auto"/>
          <w:w w:val="99"/>
          <w:highlight w:val="none"/>
        </w:rPr>
        <w:t>/d，关井压力在3</w:t>
      </w:r>
      <w:r>
        <w:rPr>
          <w:rFonts w:hint="eastAsia" w:ascii="Times New Roman" w:hAnsi="Times New Roman" w:cs="Times New Roman"/>
          <w:snapToGrid w:val="0"/>
          <w:color w:val="auto"/>
          <w:w w:val="99"/>
          <w:highlight w:val="none"/>
          <w:lang w:val="en-US" w:eastAsia="zh-CN"/>
        </w:rPr>
        <w:t>3</w:t>
      </w:r>
      <w:r>
        <w:rPr>
          <w:rFonts w:hint="default" w:ascii="Times New Roman" w:hAnsi="Times New Roman" w:eastAsia="宋体" w:cs="Times New Roman"/>
          <w:snapToGrid w:val="0"/>
          <w:color w:val="auto"/>
          <w:w w:val="99"/>
          <w:highlight w:val="none"/>
        </w:rPr>
        <w:t>MPa之间</w:t>
      </w:r>
      <w:r>
        <w:rPr>
          <w:rFonts w:ascii="Times New Roman" w:hAnsi="Times New Roman" w:eastAsia="宋体" w:cs="Times New Roman"/>
          <w:snapToGrid w:val="0"/>
          <w:color w:val="auto"/>
          <w:w w:val="99"/>
          <w:highlight w:val="none"/>
        </w:rPr>
        <w:t>。</w:t>
      </w:r>
      <w:r>
        <w:rPr>
          <w:rFonts w:hint="default" w:ascii="Times New Roman" w:hAnsi="Times New Roman" w:eastAsia="宋体" w:cs="Times New Roman"/>
          <w:snapToGrid w:val="0"/>
          <w:color w:val="auto"/>
          <w:w w:val="99"/>
          <w:highlight w:val="none"/>
        </w:rPr>
        <w:t>气井井口参数见表3</w:t>
      </w:r>
      <w:r>
        <w:rPr>
          <w:rFonts w:hint="eastAsia" w:ascii="Times New Roman" w:hAnsi="Times New Roman" w:eastAsia="宋体" w:cs="Times New Roman"/>
          <w:snapToGrid w:val="0"/>
          <w:color w:val="auto"/>
          <w:w w:val="99"/>
          <w:highlight w:val="none"/>
          <w:lang w:val="en-US" w:eastAsia="zh-CN"/>
        </w:rPr>
        <w:t>.</w:t>
      </w:r>
      <w:r>
        <w:rPr>
          <w:rFonts w:hint="eastAsia" w:ascii="Times New Roman" w:hAnsi="Times New Roman" w:cs="Times New Roman"/>
          <w:snapToGrid w:val="0"/>
          <w:color w:val="auto"/>
          <w:w w:val="99"/>
          <w:highlight w:val="none"/>
          <w:lang w:val="en-US" w:eastAsia="zh-CN"/>
        </w:rPr>
        <w:t>4</w:t>
      </w:r>
      <w:r>
        <w:rPr>
          <w:rFonts w:hint="eastAsia" w:ascii="Times New Roman" w:hAnsi="Times New Roman" w:eastAsia="宋体" w:cs="Times New Roman"/>
          <w:snapToGrid w:val="0"/>
          <w:color w:val="auto"/>
          <w:w w:val="99"/>
          <w:highlight w:val="none"/>
          <w:lang w:val="en-US" w:eastAsia="zh-CN"/>
        </w:rPr>
        <w:t>-</w:t>
      </w:r>
      <w:r>
        <w:rPr>
          <w:rFonts w:hint="eastAsia" w:ascii="Times New Roman" w:hAnsi="Times New Roman" w:cs="Times New Roman"/>
          <w:snapToGrid w:val="0"/>
          <w:color w:val="auto"/>
          <w:w w:val="99"/>
          <w:highlight w:val="none"/>
          <w:lang w:val="en-US" w:eastAsia="zh-CN"/>
        </w:rPr>
        <w:t>1</w:t>
      </w:r>
      <w:r>
        <w:rPr>
          <w:rFonts w:hint="default" w:ascii="Times New Roman" w:hAnsi="Times New Roman" w:eastAsia="宋体" w:cs="Times New Roman"/>
          <w:snapToGrid w:val="0"/>
          <w:color w:val="auto"/>
          <w:w w:val="99"/>
          <w:highlight w:val="none"/>
        </w:rPr>
        <w:t>，开发指标预测分别见表3</w:t>
      </w:r>
      <w:r>
        <w:rPr>
          <w:rFonts w:hint="eastAsia" w:ascii="Times New Roman" w:hAnsi="Times New Roman" w:eastAsia="宋体" w:cs="Times New Roman"/>
          <w:snapToGrid w:val="0"/>
          <w:color w:val="auto"/>
          <w:w w:val="99"/>
          <w:highlight w:val="none"/>
          <w:lang w:val="en-US" w:eastAsia="zh-CN"/>
        </w:rPr>
        <w:t>.</w:t>
      </w:r>
      <w:r>
        <w:rPr>
          <w:rFonts w:hint="eastAsia" w:ascii="Times New Roman" w:hAnsi="Times New Roman" w:cs="Times New Roman"/>
          <w:snapToGrid w:val="0"/>
          <w:color w:val="auto"/>
          <w:w w:val="99"/>
          <w:highlight w:val="none"/>
          <w:lang w:val="en-US" w:eastAsia="zh-CN"/>
        </w:rPr>
        <w:t>4</w:t>
      </w:r>
      <w:r>
        <w:rPr>
          <w:rFonts w:hint="eastAsia" w:ascii="Times New Roman" w:hAnsi="Times New Roman" w:eastAsia="宋体" w:cs="Times New Roman"/>
          <w:snapToGrid w:val="0"/>
          <w:color w:val="auto"/>
          <w:w w:val="99"/>
          <w:highlight w:val="none"/>
          <w:lang w:val="en-US" w:eastAsia="zh-CN"/>
        </w:rPr>
        <w:t>-</w:t>
      </w:r>
      <w:r>
        <w:rPr>
          <w:rFonts w:hint="eastAsia" w:ascii="Times New Roman" w:hAnsi="Times New Roman" w:cs="Times New Roman"/>
          <w:snapToGrid w:val="0"/>
          <w:color w:val="auto"/>
          <w:w w:val="99"/>
          <w:highlight w:val="none"/>
          <w:lang w:val="en-US" w:eastAsia="zh-CN"/>
        </w:rPr>
        <w:t>2</w:t>
      </w:r>
      <w:r>
        <w:rPr>
          <w:rFonts w:hint="default" w:ascii="Times New Roman" w:hAnsi="Times New Roman" w:eastAsia="宋体" w:cs="Times New Roman"/>
          <w:snapToGrid w:val="0"/>
          <w:color w:val="auto"/>
          <w:w w:val="99"/>
          <w:highlight w:val="none"/>
        </w:rPr>
        <w:t>至3</w:t>
      </w:r>
      <w:r>
        <w:rPr>
          <w:rFonts w:hint="eastAsia" w:ascii="Times New Roman" w:hAnsi="Times New Roman" w:eastAsia="宋体" w:cs="Times New Roman"/>
          <w:snapToGrid w:val="0"/>
          <w:color w:val="auto"/>
          <w:w w:val="99"/>
          <w:highlight w:val="none"/>
          <w:lang w:val="en-US" w:eastAsia="zh-CN"/>
        </w:rPr>
        <w:t>.</w:t>
      </w:r>
      <w:r>
        <w:rPr>
          <w:rFonts w:hint="eastAsia" w:ascii="Times New Roman" w:hAnsi="Times New Roman" w:cs="Times New Roman"/>
          <w:snapToGrid w:val="0"/>
          <w:color w:val="auto"/>
          <w:w w:val="99"/>
          <w:highlight w:val="none"/>
          <w:lang w:val="en-US" w:eastAsia="zh-CN"/>
        </w:rPr>
        <w:t>4</w:t>
      </w:r>
      <w:r>
        <w:rPr>
          <w:rFonts w:hint="eastAsia" w:ascii="Times New Roman" w:hAnsi="Times New Roman" w:eastAsia="宋体" w:cs="Times New Roman"/>
          <w:snapToGrid w:val="0"/>
          <w:color w:val="auto"/>
          <w:w w:val="99"/>
          <w:highlight w:val="none"/>
          <w:lang w:val="en-US" w:eastAsia="zh-CN"/>
        </w:rPr>
        <w:t>-</w:t>
      </w:r>
      <w:r>
        <w:rPr>
          <w:rFonts w:hint="eastAsia" w:ascii="Times New Roman" w:hAnsi="Times New Roman" w:cs="Times New Roman"/>
          <w:snapToGrid w:val="0"/>
          <w:color w:val="auto"/>
          <w:w w:val="99"/>
          <w:highlight w:val="none"/>
          <w:lang w:val="en-US" w:eastAsia="zh-CN"/>
        </w:rPr>
        <w:t>4</w:t>
      </w:r>
      <w:r>
        <w:rPr>
          <w:rFonts w:ascii="Times New Roman" w:hAnsi="Times New Roman" w:eastAsia="宋体" w:cs="Times New Roman"/>
          <w:snapToGrid w:val="0"/>
          <w:color w:val="auto"/>
          <w:w w:val="99"/>
          <w:highlight w:val="none"/>
          <w:lang w:val="zh-CN"/>
        </w:rPr>
        <w:t>。</w:t>
      </w:r>
    </w:p>
    <w:p w14:paraId="4C345BC7">
      <w:pPr>
        <w:widowControl w:val="0"/>
        <w:spacing w:line="440" w:lineRule="exact"/>
        <w:ind w:firstLine="476" w:firstLineChars="200"/>
        <w:rPr>
          <w:rFonts w:ascii="Times New Roman" w:hAnsi="Times New Roman" w:cs="Times New Roman"/>
          <w:b/>
          <w:bCs/>
          <w:snapToGrid w:val="0"/>
          <w:color w:val="auto"/>
          <w:w w:val="99"/>
          <w:highlight w:val="none"/>
          <w:lang w:val="zh-CN"/>
        </w:rPr>
      </w:pPr>
      <w:r>
        <w:rPr>
          <w:rFonts w:ascii="Times New Roman" w:hAnsi="Times New Roman" w:cs="Times New Roman"/>
          <w:b/>
          <w:bCs/>
          <w:snapToGrid w:val="0"/>
          <w:color w:val="auto"/>
          <w:w w:val="99"/>
          <w:highlight w:val="none"/>
          <w:lang w:val="zh-CN"/>
        </w:rPr>
        <w:t>表3.</w:t>
      </w:r>
      <w:r>
        <w:rPr>
          <w:rFonts w:hint="eastAsia" w:ascii="Times New Roman" w:hAnsi="Times New Roman" w:cs="Times New Roman"/>
          <w:b/>
          <w:bCs/>
          <w:snapToGrid w:val="0"/>
          <w:color w:val="auto"/>
          <w:w w:val="99"/>
          <w:highlight w:val="none"/>
          <w:lang w:val="en-US" w:eastAsia="zh-CN"/>
        </w:rPr>
        <w:t>4</w:t>
      </w:r>
      <w:r>
        <w:rPr>
          <w:rFonts w:ascii="Times New Roman" w:hAnsi="Times New Roman" w:cs="Times New Roman"/>
          <w:b/>
          <w:bCs/>
          <w:snapToGrid w:val="0"/>
          <w:color w:val="auto"/>
          <w:w w:val="99"/>
          <w:highlight w:val="none"/>
          <w:lang w:val="zh-CN"/>
        </w:rPr>
        <w:t>-</w:t>
      </w:r>
      <w:r>
        <w:rPr>
          <w:rFonts w:hint="eastAsia" w:ascii="Times New Roman" w:hAnsi="Times New Roman" w:cs="Times New Roman"/>
          <w:b/>
          <w:bCs/>
          <w:snapToGrid w:val="0"/>
          <w:color w:val="auto"/>
          <w:w w:val="99"/>
          <w:highlight w:val="none"/>
          <w:lang w:val="en-US" w:eastAsia="zh-CN"/>
        </w:rPr>
        <w:t>1</w:t>
      </w:r>
      <w:r>
        <w:rPr>
          <w:rFonts w:ascii="Times New Roman" w:hAnsi="Times New Roman" w:cs="Times New Roman"/>
          <w:b/>
          <w:bCs/>
          <w:snapToGrid w:val="0"/>
          <w:color w:val="auto"/>
          <w:w w:val="99"/>
          <w:highlight w:val="none"/>
          <w:lang w:val="zh-CN"/>
        </w:rPr>
        <w:t xml:space="preserve">  </w:t>
      </w:r>
      <w:r>
        <w:rPr>
          <w:rFonts w:hint="default" w:ascii="Times New Roman" w:hAnsi="Times New Roman" w:eastAsia="宋体" w:cs="Times New Roman"/>
          <w:b/>
          <w:bCs/>
          <w:snapToGrid w:val="0"/>
          <w:color w:val="auto"/>
          <w:w w:val="99"/>
          <w:sz w:val="24"/>
          <w:szCs w:val="24"/>
          <w:highlight w:val="none"/>
          <w:lang w:val="en-US" w:eastAsia="zh-CN" w:bidi="ar-SA"/>
        </w:rPr>
        <w:t>气井井口参数</w:t>
      </w:r>
      <w:r>
        <w:rPr>
          <w:rFonts w:ascii="Times New Roman" w:hAnsi="Times New Roman" w:cs="Times New Roman"/>
          <w:b/>
          <w:bCs/>
          <w:snapToGrid w:val="0"/>
          <w:color w:val="auto"/>
          <w:w w:val="99"/>
          <w:highlight w:val="none"/>
          <w:lang w:val="zh-CN"/>
        </w:rPr>
        <w:t>表</w:t>
      </w: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040"/>
        <w:gridCol w:w="1376"/>
        <w:gridCol w:w="1384"/>
        <w:gridCol w:w="1298"/>
        <w:gridCol w:w="938"/>
        <w:gridCol w:w="982"/>
        <w:gridCol w:w="1017"/>
      </w:tblGrid>
      <w:tr w14:paraId="2C21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70" w:type="pct"/>
            <w:vAlign w:val="center"/>
          </w:tcPr>
          <w:p w14:paraId="11BA05C1">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井 号</w:t>
            </w:r>
          </w:p>
        </w:tc>
        <w:tc>
          <w:tcPr>
            <w:tcW w:w="560" w:type="pct"/>
            <w:vAlign w:val="center"/>
          </w:tcPr>
          <w:p w14:paraId="7D950728">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关井压力（MPa）</w:t>
            </w:r>
          </w:p>
        </w:tc>
        <w:tc>
          <w:tcPr>
            <w:tcW w:w="741" w:type="pct"/>
            <w:vAlign w:val="center"/>
          </w:tcPr>
          <w:p w14:paraId="32D01BE0">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开井瞬时压力（MPa）</w:t>
            </w:r>
          </w:p>
        </w:tc>
        <w:tc>
          <w:tcPr>
            <w:tcW w:w="745" w:type="pct"/>
            <w:vAlign w:val="center"/>
          </w:tcPr>
          <w:p w14:paraId="51BDA994">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正常开井压力（MPa）</w:t>
            </w:r>
          </w:p>
        </w:tc>
        <w:tc>
          <w:tcPr>
            <w:tcW w:w="699" w:type="pct"/>
            <w:vAlign w:val="center"/>
          </w:tcPr>
          <w:p w14:paraId="5C3B30F5">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日产气（10</w:t>
            </w:r>
            <w:r>
              <w:rPr>
                <w:rFonts w:hint="default" w:ascii="Times New Roman" w:hAnsi="Times New Roman" w:cs="Times New Roman" w:eastAsiaTheme="minorEastAsia"/>
                <w:color w:val="auto"/>
                <w:w w:val="99"/>
                <w:sz w:val="21"/>
                <w:szCs w:val="21"/>
                <w:highlight w:val="none"/>
                <w:vertAlign w:val="superscript"/>
                <w:lang w:val="en-US" w:eastAsia="zh-CN"/>
              </w:rPr>
              <w:t>4</w:t>
            </w:r>
            <w:r>
              <w:rPr>
                <w:rFonts w:hint="default" w:ascii="Times New Roman" w:hAnsi="Times New Roman" w:cs="Times New Roman" w:eastAsiaTheme="minorEastAsia"/>
                <w:color w:val="auto"/>
                <w:w w:val="99"/>
                <w:sz w:val="21"/>
                <w:szCs w:val="21"/>
                <w:highlight w:val="none"/>
                <w:lang w:val="en-US" w:eastAsia="zh-CN"/>
              </w:rPr>
              <w:t>m</w:t>
            </w:r>
            <w:r>
              <w:rPr>
                <w:rFonts w:hint="default" w:ascii="Times New Roman" w:hAnsi="Times New Roman" w:cs="Times New Roman" w:eastAsiaTheme="minorEastAsia"/>
                <w:color w:val="auto"/>
                <w:w w:val="99"/>
                <w:sz w:val="21"/>
                <w:szCs w:val="21"/>
                <w:highlight w:val="none"/>
                <w:vertAlign w:val="superscript"/>
                <w:lang w:val="en-US" w:eastAsia="zh-CN"/>
              </w:rPr>
              <w:t>3</w:t>
            </w:r>
            <w:r>
              <w:rPr>
                <w:rFonts w:hint="default" w:ascii="Times New Roman" w:hAnsi="Times New Roman" w:cs="Times New Roman" w:eastAsiaTheme="minorEastAsia"/>
                <w:color w:val="auto"/>
                <w:w w:val="99"/>
                <w:sz w:val="21"/>
                <w:szCs w:val="21"/>
                <w:highlight w:val="none"/>
                <w:lang w:val="en-US" w:eastAsia="zh-CN"/>
              </w:rPr>
              <w:t>/d）</w:t>
            </w:r>
          </w:p>
        </w:tc>
        <w:tc>
          <w:tcPr>
            <w:tcW w:w="505" w:type="pct"/>
          </w:tcPr>
          <w:p w14:paraId="08A3087E">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日产水（m</w:t>
            </w:r>
            <w:r>
              <w:rPr>
                <w:rFonts w:hint="default" w:ascii="Times New Roman" w:hAnsi="Times New Roman" w:cs="Times New Roman" w:eastAsiaTheme="minorEastAsia"/>
                <w:color w:val="auto"/>
                <w:w w:val="99"/>
                <w:sz w:val="21"/>
                <w:szCs w:val="21"/>
                <w:highlight w:val="none"/>
                <w:vertAlign w:val="superscript"/>
                <w:lang w:val="en-US" w:eastAsia="zh-CN"/>
              </w:rPr>
              <w:t>3</w:t>
            </w:r>
            <w:r>
              <w:rPr>
                <w:rFonts w:hint="default" w:ascii="Times New Roman" w:hAnsi="Times New Roman" w:cs="Times New Roman" w:eastAsiaTheme="minorEastAsia"/>
                <w:color w:val="auto"/>
                <w:w w:val="99"/>
                <w:sz w:val="21"/>
                <w:szCs w:val="21"/>
                <w:highlight w:val="none"/>
                <w:lang w:val="en-US" w:eastAsia="zh-CN"/>
              </w:rPr>
              <w:t>）</w:t>
            </w:r>
          </w:p>
        </w:tc>
        <w:tc>
          <w:tcPr>
            <w:tcW w:w="529" w:type="pct"/>
            <w:vAlign w:val="center"/>
          </w:tcPr>
          <w:p w14:paraId="00BE6559">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稳产年限（年）</w:t>
            </w:r>
          </w:p>
        </w:tc>
        <w:tc>
          <w:tcPr>
            <w:tcW w:w="547" w:type="pct"/>
            <w:vAlign w:val="center"/>
          </w:tcPr>
          <w:p w14:paraId="55DAF34F">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初期产气温度（℃）</w:t>
            </w:r>
          </w:p>
        </w:tc>
      </w:tr>
      <w:tr w14:paraId="7DD2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6E588C71">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徐深</w:t>
            </w:r>
            <w:r>
              <w:rPr>
                <w:rFonts w:hint="eastAsia" w:ascii="Times New Roman" w:hAnsi="Times New Roman" w:cs="Times New Roman" w:eastAsiaTheme="minorEastAsia"/>
                <w:color w:val="auto"/>
                <w:w w:val="99"/>
                <w:sz w:val="21"/>
                <w:szCs w:val="21"/>
                <w:highlight w:val="none"/>
                <w:lang w:val="en-US" w:eastAsia="zh-CN" w:bidi="ar-SA"/>
              </w:rPr>
              <w:t>27-H1</w:t>
            </w:r>
          </w:p>
        </w:tc>
        <w:tc>
          <w:tcPr>
            <w:tcW w:w="560" w:type="pct"/>
            <w:vAlign w:val="center"/>
          </w:tcPr>
          <w:p w14:paraId="467510F3">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33</w:t>
            </w:r>
          </w:p>
        </w:tc>
        <w:tc>
          <w:tcPr>
            <w:tcW w:w="741" w:type="pct"/>
            <w:vAlign w:val="center"/>
          </w:tcPr>
          <w:p w14:paraId="1987BCA2">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30</w:t>
            </w:r>
          </w:p>
        </w:tc>
        <w:tc>
          <w:tcPr>
            <w:tcW w:w="745" w:type="pct"/>
            <w:vAlign w:val="center"/>
          </w:tcPr>
          <w:p w14:paraId="0BE17A96">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26</w:t>
            </w:r>
          </w:p>
        </w:tc>
        <w:tc>
          <w:tcPr>
            <w:tcW w:w="699" w:type="pct"/>
            <w:vAlign w:val="center"/>
          </w:tcPr>
          <w:p w14:paraId="7325D244">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9 </w:t>
            </w:r>
          </w:p>
        </w:tc>
        <w:tc>
          <w:tcPr>
            <w:tcW w:w="505" w:type="pct"/>
            <w:vAlign w:val="center"/>
          </w:tcPr>
          <w:p w14:paraId="3EA30F35">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3 </w:t>
            </w:r>
          </w:p>
        </w:tc>
        <w:tc>
          <w:tcPr>
            <w:tcW w:w="529" w:type="pct"/>
            <w:vAlign w:val="center"/>
          </w:tcPr>
          <w:p w14:paraId="7A3BEFE3">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1</w:t>
            </w:r>
          </w:p>
        </w:tc>
        <w:tc>
          <w:tcPr>
            <w:tcW w:w="547" w:type="pct"/>
            <w:vAlign w:val="center"/>
          </w:tcPr>
          <w:p w14:paraId="3C46E30E">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20</w:t>
            </w:r>
          </w:p>
        </w:tc>
      </w:tr>
    </w:tbl>
    <w:p w14:paraId="7E8483F6">
      <w:pPr>
        <w:widowControl w:val="0"/>
        <w:spacing w:line="440" w:lineRule="exact"/>
        <w:ind w:firstLine="476" w:firstLineChars="200"/>
        <w:rPr>
          <w:rFonts w:hint="default" w:ascii="Times New Roman" w:hAnsi="Times New Roman" w:eastAsia="宋体" w:cs="Times New Roman"/>
          <w:b/>
          <w:bCs/>
          <w:snapToGrid w:val="0"/>
          <w:color w:val="auto"/>
          <w:w w:val="99"/>
          <w:highlight w:val="none"/>
          <w:lang w:val="zh-CN"/>
        </w:rPr>
      </w:pPr>
      <w:r>
        <w:rPr>
          <w:rFonts w:hint="default" w:ascii="Times New Roman" w:hAnsi="Times New Roman" w:eastAsia="宋体" w:cs="Times New Roman"/>
          <w:b/>
          <w:bCs/>
          <w:snapToGrid w:val="0"/>
          <w:color w:val="auto"/>
          <w:w w:val="99"/>
          <w:highlight w:val="none"/>
          <w:lang w:val="zh-CN"/>
        </w:rPr>
        <w:t>表3</w:t>
      </w:r>
      <w:r>
        <w:rPr>
          <w:rFonts w:hint="eastAsia" w:ascii="Times New Roman" w:hAnsi="Times New Roman" w:eastAsia="宋体" w:cs="Times New Roman"/>
          <w:b/>
          <w:bCs/>
          <w:snapToGrid w:val="0"/>
          <w:color w:val="auto"/>
          <w:w w:val="99"/>
          <w:highlight w:val="none"/>
          <w:lang w:val="en-US" w:eastAsia="zh-CN"/>
        </w:rPr>
        <w:t>.</w:t>
      </w:r>
      <w:r>
        <w:rPr>
          <w:rFonts w:hint="eastAsia" w:ascii="Times New Roman" w:hAnsi="Times New Roman" w:cs="Times New Roman"/>
          <w:b/>
          <w:bCs/>
          <w:snapToGrid w:val="0"/>
          <w:color w:val="auto"/>
          <w:w w:val="99"/>
          <w:highlight w:val="none"/>
          <w:lang w:val="en-US" w:eastAsia="zh-CN"/>
        </w:rPr>
        <w:t>4-2</w:t>
      </w:r>
      <w:r>
        <w:rPr>
          <w:rFonts w:hint="default" w:ascii="Times New Roman" w:hAnsi="Times New Roman" w:eastAsia="宋体" w:cs="Times New Roman"/>
          <w:b/>
          <w:bCs/>
          <w:snapToGrid w:val="0"/>
          <w:color w:val="auto"/>
          <w:w w:val="99"/>
          <w:highlight w:val="none"/>
          <w:lang w:val="zh-CN"/>
        </w:rPr>
        <w:t xml:space="preserve"> 气井产气量预测表（10</w:t>
      </w:r>
      <w:r>
        <w:rPr>
          <w:rFonts w:hint="default" w:ascii="Times New Roman" w:hAnsi="Times New Roman" w:eastAsia="宋体" w:cs="Times New Roman"/>
          <w:b/>
          <w:bCs/>
          <w:snapToGrid w:val="0"/>
          <w:color w:val="auto"/>
          <w:w w:val="99"/>
          <w:highlight w:val="none"/>
          <w:vertAlign w:val="superscript"/>
          <w:lang w:val="zh-CN"/>
        </w:rPr>
        <w:t>4</w:t>
      </w:r>
      <w:r>
        <w:rPr>
          <w:rFonts w:hint="default" w:ascii="Times New Roman" w:hAnsi="Times New Roman" w:eastAsia="宋体" w:cs="Times New Roman"/>
          <w:b/>
          <w:bCs/>
          <w:snapToGrid w:val="0"/>
          <w:color w:val="auto"/>
          <w:w w:val="99"/>
          <w:highlight w:val="none"/>
          <w:lang w:val="zh-CN"/>
        </w:rPr>
        <w:t>m</w:t>
      </w:r>
      <w:r>
        <w:rPr>
          <w:rFonts w:hint="default" w:ascii="Times New Roman" w:hAnsi="Times New Roman" w:eastAsia="宋体" w:cs="Times New Roman"/>
          <w:b/>
          <w:bCs/>
          <w:snapToGrid w:val="0"/>
          <w:color w:val="auto"/>
          <w:w w:val="99"/>
          <w:highlight w:val="none"/>
          <w:vertAlign w:val="superscript"/>
          <w:lang w:val="zh-CN"/>
        </w:rPr>
        <w:t>3</w:t>
      </w:r>
      <w:r>
        <w:rPr>
          <w:rFonts w:hint="default" w:ascii="Times New Roman" w:hAnsi="Times New Roman" w:eastAsia="宋体" w:cs="Times New Roman"/>
          <w:b/>
          <w:bCs/>
          <w:snapToGrid w:val="0"/>
          <w:color w:val="auto"/>
          <w:w w:val="99"/>
          <w:highlight w:val="none"/>
          <w:lang w:val="zh-CN"/>
        </w:rPr>
        <w:t>/d）</w:t>
      </w: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782"/>
        <w:gridCol w:w="782"/>
        <w:gridCol w:w="782"/>
        <w:gridCol w:w="782"/>
        <w:gridCol w:w="783"/>
        <w:gridCol w:w="783"/>
        <w:gridCol w:w="783"/>
        <w:gridCol w:w="783"/>
        <w:gridCol w:w="783"/>
        <w:gridCol w:w="783"/>
      </w:tblGrid>
      <w:tr w14:paraId="7E7B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82" w:type="pct"/>
            <w:tcBorders>
              <w:bottom w:val="single" w:color="auto" w:sz="4" w:space="0"/>
              <w:right w:val="single" w:color="auto" w:sz="4" w:space="0"/>
            </w:tcBorders>
            <w:vAlign w:val="center"/>
          </w:tcPr>
          <w:p w14:paraId="5F099AFB">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井号                              </w:t>
            </w:r>
          </w:p>
        </w:tc>
        <w:tc>
          <w:tcPr>
            <w:tcW w:w="421" w:type="pct"/>
            <w:tcBorders>
              <w:left w:val="nil"/>
              <w:bottom w:val="single" w:color="auto" w:sz="4" w:space="0"/>
              <w:right w:val="single" w:color="auto" w:sz="4" w:space="0"/>
            </w:tcBorders>
            <w:shd w:val="clear" w:color="auto" w:fill="auto"/>
            <w:vAlign w:val="center"/>
          </w:tcPr>
          <w:p w14:paraId="3AAF780B">
            <w:pPr>
              <w:spacing w:line="320" w:lineRule="exact"/>
              <w:jc w:val="center"/>
              <w:rPr>
                <w:rFonts w:hint="default" w:ascii="Times New Roman" w:hAnsi="Times New Roman" w:cs="Times New Roman" w:eastAsiaTheme="minorEastAsia"/>
                <w:color w:val="auto"/>
                <w:w w:val="99"/>
                <w:sz w:val="21"/>
                <w:szCs w:val="21"/>
                <w:highlight w:val="none"/>
                <w:lang w:val="zh-CN" w:eastAsia="zh-CN"/>
              </w:rPr>
            </w:pPr>
            <w:r>
              <w:rPr>
                <w:rFonts w:hint="default" w:ascii="Times New Roman" w:hAnsi="Times New Roman" w:cs="Times New Roman" w:eastAsiaTheme="minorEastAsia"/>
                <w:color w:val="auto"/>
                <w:w w:val="99"/>
                <w:sz w:val="21"/>
                <w:szCs w:val="21"/>
                <w:highlight w:val="none"/>
                <w:lang w:val="en-US" w:eastAsia="zh-CN"/>
              </w:rPr>
              <w:t>2027</w:t>
            </w:r>
          </w:p>
        </w:tc>
        <w:tc>
          <w:tcPr>
            <w:tcW w:w="421" w:type="pct"/>
            <w:tcBorders>
              <w:left w:val="nil"/>
              <w:bottom w:val="single" w:color="auto" w:sz="4" w:space="0"/>
              <w:right w:val="single" w:color="auto" w:sz="4" w:space="0"/>
            </w:tcBorders>
            <w:shd w:val="clear" w:color="auto" w:fill="auto"/>
            <w:vAlign w:val="center"/>
          </w:tcPr>
          <w:p w14:paraId="5F1FB7C6">
            <w:pPr>
              <w:spacing w:line="320" w:lineRule="exact"/>
              <w:jc w:val="center"/>
              <w:rPr>
                <w:rFonts w:hint="default" w:ascii="Times New Roman" w:hAnsi="Times New Roman" w:cs="Times New Roman" w:eastAsiaTheme="minorEastAsia"/>
                <w:color w:val="auto"/>
                <w:w w:val="99"/>
                <w:sz w:val="21"/>
                <w:szCs w:val="21"/>
                <w:highlight w:val="none"/>
                <w:lang w:val="zh-CN" w:eastAsia="zh-CN"/>
              </w:rPr>
            </w:pPr>
            <w:r>
              <w:rPr>
                <w:rFonts w:hint="default" w:ascii="Times New Roman" w:hAnsi="Times New Roman" w:cs="Times New Roman" w:eastAsiaTheme="minorEastAsia"/>
                <w:color w:val="auto"/>
                <w:w w:val="99"/>
                <w:sz w:val="21"/>
                <w:szCs w:val="21"/>
                <w:highlight w:val="none"/>
                <w:lang w:val="en-US" w:eastAsia="zh-CN"/>
              </w:rPr>
              <w:t>2028</w:t>
            </w:r>
          </w:p>
        </w:tc>
        <w:tc>
          <w:tcPr>
            <w:tcW w:w="421" w:type="pct"/>
            <w:tcBorders>
              <w:left w:val="nil"/>
              <w:bottom w:val="single" w:color="auto" w:sz="4" w:space="0"/>
              <w:right w:val="single" w:color="auto" w:sz="4" w:space="0"/>
            </w:tcBorders>
            <w:shd w:val="clear" w:color="auto" w:fill="auto"/>
            <w:vAlign w:val="center"/>
          </w:tcPr>
          <w:p w14:paraId="7203B2A5">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2029</w:t>
            </w:r>
          </w:p>
        </w:tc>
        <w:tc>
          <w:tcPr>
            <w:tcW w:w="421" w:type="pct"/>
            <w:tcBorders>
              <w:left w:val="nil"/>
              <w:bottom w:val="single" w:color="auto" w:sz="4" w:space="0"/>
              <w:right w:val="single" w:color="auto" w:sz="4" w:space="0"/>
            </w:tcBorders>
            <w:shd w:val="clear" w:color="auto" w:fill="auto"/>
            <w:vAlign w:val="center"/>
          </w:tcPr>
          <w:p w14:paraId="0A022B9B">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2030</w:t>
            </w:r>
          </w:p>
        </w:tc>
        <w:tc>
          <w:tcPr>
            <w:tcW w:w="421" w:type="pct"/>
            <w:tcBorders>
              <w:left w:val="nil"/>
              <w:bottom w:val="single" w:color="auto" w:sz="4" w:space="0"/>
              <w:right w:val="single" w:color="auto" w:sz="4" w:space="0"/>
            </w:tcBorders>
            <w:shd w:val="clear" w:color="auto" w:fill="auto"/>
            <w:vAlign w:val="center"/>
          </w:tcPr>
          <w:p w14:paraId="206C09F3">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2031</w:t>
            </w:r>
          </w:p>
        </w:tc>
        <w:tc>
          <w:tcPr>
            <w:tcW w:w="421" w:type="pct"/>
            <w:tcBorders>
              <w:left w:val="nil"/>
              <w:bottom w:val="single" w:color="auto" w:sz="4" w:space="0"/>
              <w:right w:val="single" w:color="auto" w:sz="4" w:space="0"/>
            </w:tcBorders>
            <w:shd w:val="clear" w:color="auto" w:fill="auto"/>
            <w:vAlign w:val="center"/>
          </w:tcPr>
          <w:p w14:paraId="0AA0462C">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2032</w:t>
            </w:r>
          </w:p>
        </w:tc>
        <w:tc>
          <w:tcPr>
            <w:tcW w:w="421" w:type="pct"/>
            <w:tcBorders>
              <w:left w:val="nil"/>
              <w:bottom w:val="single" w:color="auto" w:sz="4" w:space="0"/>
              <w:right w:val="single" w:color="auto" w:sz="4" w:space="0"/>
            </w:tcBorders>
            <w:shd w:val="clear" w:color="auto" w:fill="auto"/>
            <w:vAlign w:val="center"/>
          </w:tcPr>
          <w:p w14:paraId="7C9BD151">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2033</w:t>
            </w:r>
          </w:p>
        </w:tc>
        <w:tc>
          <w:tcPr>
            <w:tcW w:w="421" w:type="pct"/>
            <w:tcBorders>
              <w:left w:val="nil"/>
              <w:bottom w:val="single" w:color="auto" w:sz="4" w:space="0"/>
              <w:right w:val="single" w:color="auto" w:sz="4" w:space="0"/>
            </w:tcBorders>
            <w:shd w:val="clear" w:color="auto" w:fill="auto"/>
            <w:vAlign w:val="center"/>
          </w:tcPr>
          <w:p w14:paraId="5B782ACF">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2034</w:t>
            </w:r>
          </w:p>
        </w:tc>
        <w:tc>
          <w:tcPr>
            <w:tcW w:w="421" w:type="pct"/>
            <w:tcBorders>
              <w:left w:val="nil"/>
              <w:bottom w:val="single" w:color="auto" w:sz="4" w:space="0"/>
              <w:right w:val="single" w:color="auto" w:sz="4" w:space="0"/>
            </w:tcBorders>
            <w:shd w:val="clear" w:color="auto" w:fill="auto"/>
            <w:vAlign w:val="center"/>
          </w:tcPr>
          <w:p w14:paraId="77E6957F">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2035</w:t>
            </w:r>
          </w:p>
        </w:tc>
        <w:tc>
          <w:tcPr>
            <w:tcW w:w="421" w:type="pct"/>
            <w:tcBorders>
              <w:left w:val="nil"/>
              <w:bottom w:val="single" w:color="auto" w:sz="4" w:space="0"/>
            </w:tcBorders>
            <w:vAlign w:val="center"/>
          </w:tcPr>
          <w:p w14:paraId="205AA86C">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2036</w:t>
            </w:r>
          </w:p>
        </w:tc>
      </w:tr>
      <w:tr w14:paraId="543F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pct"/>
            <w:tcBorders>
              <w:top w:val="single" w:color="auto" w:sz="4" w:space="0"/>
              <w:bottom w:val="single" w:color="auto" w:sz="4" w:space="0"/>
              <w:right w:val="single" w:color="auto" w:sz="4" w:space="0"/>
            </w:tcBorders>
            <w:vAlign w:val="center"/>
          </w:tcPr>
          <w:p w14:paraId="7D046E6F">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徐深27-H1</w:t>
            </w:r>
          </w:p>
        </w:tc>
        <w:tc>
          <w:tcPr>
            <w:tcW w:w="421" w:type="pct"/>
            <w:tcBorders>
              <w:top w:val="single" w:color="auto" w:sz="4" w:space="0"/>
              <w:left w:val="nil"/>
              <w:bottom w:val="single" w:color="auto" w:sz="4" w:space="0"/>
              <w:right w:val="single" w:color="auto" w:sz="4" w:space="0"/>
            </w:tcBorders>
            <w:vAlign w:val="center"/>
          </w:tcPr>
          <w:p w14:paraId="72421405">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9 </w:t>
            </w:r>
          </w:p>
        </w:tc>
        <w:tc>
          <w:tcPr>
            <w:tcW w:w="421" w:type="pct"/>
            <w:tcBorders>
              <w:top w:val="single" w:color="auto" w:sz="4" w:space="0"/>
              <w:left w:val="nil"/>
              <w:bottom w:val="single" w:color="auto" w:sz="4" w:space="0"/>
              <w:right w:val="single" w:color="auto" w:sz="4" w:space="0"/>
            </w:tcBorders>
            <w:vAlign w:val="center"/>
          </w:tcPr>
          <w:p w14:paraId="2AF11045">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8 </w:t>
            </w:r>
          </w:p>
        </w:tc>
        <w:tc>
          <w:tcPr>
            <w:tcW w:w="421" w:type="pct"/>
            <w:tcBorders>
              <w:top w:val="single" w:color="auto" w:sz="4" w:space="0"/>
              <w:left w:val="nil"/>
              <w:bottom w:val="single" w:color="auto" w:sz="4" w:space="0"/>
              <w:right w:val="single" w:color="auto" w:sz="4" w:space="0"/>
            </w:tcBorders>
            <w:vAlign w:val="center"/>
          </w:tcPr>
          <w:p w14:paraId="26C450C9">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7 </w:t>
            </w:r>
          </w:p>
        </w:tc>
        <w:tc>
          <w:tcPr>
            <w:tcW w:w="421" w:type="pct"/>
            <w:tcBorders>
              <w:top w:val="single" w:color="auto" w:sz="4" w:space="0"/>
              <w:left w:val="nil"/>
              <w:bottom w:val="single" w:color="auto" w:sz="4" w:space="0"/>
              <w:right w:val="single" w:color="auto" w:sz="4" w:space="0"/>
            </w:tcBorders>
            <w:vAlign w:val="center"/>
          </w:tcPr>
          <w:p w14:paraId="7647714B">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7 </w:t>
            </w:r>
          </w:p>
        </w:tc>
        <w:tc>
          <w:tcPr>
            <w:tcW w:w="421" w:type="pct"/>
            <w:tcBorders>
              <w:top w:val="single" w:color="auto" w:sz="4" w:space="0"/>
              <w:left w:val="nil"/>
              <w:bottom w:val="single" w:color="auto" w:sz="4" w:space="0"/>
              <w:right w:val="single" w:color="auto" w:sz="4" w:space="0"/>
            </w:tcBorders>
            <w:vAlign w:val="center"/>
          </w:tcPr>
          <w:p w14:paraId="54D81F05">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6 </w:t>
            </w:r>
          </w:p>
        </w:tc>
        <w:tc>
          <w:tcPr>
            <w:tcW w:w="421" w:type="pct"/>
            <w:tcBorders>
              <w:top w:val="single" w:color="auto" w:sz="4" w:space="0"/>
              <w:left w:val="nil"/>
              <w:bottom w:val="single" w:color="auto" w:sz="4" w:space="0"/>
              <w:right w:val="single" w:color="auto" w:sz="4" w:space="0"/>
            </w:tcBorders>
            <w:vAlign w:val="center"/>
          </w:tcPr>
          <w:p w14:paraId="074EB175">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6 </w:t>
            </w:r>
          </w:p>
        </w:tc>
        <w:tc>
          <w:tcPr>
            <w:tcW w:w="421" w:type="pct"/>
            <w:tcBorders>
              <w:top w:val="single" w:color="auto" w:sz="4" w:space="0"/>
              <w:left w:val="nil"/>
              <w:bottom w:val="single" w:color="auto" w:sz="4" w:space="0"/>
              <w:right w:val="single" w:color="auto" w:sz="4" w:space="0"/>
            </w:tcBorders>
            <w:vAlign w:val="center"/>
          </w:tcPr>
          <w:p w14:paraId="1CD42DBA">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5 </w:t>
            </w:r>
          </w:p>
        </w:tc>
        <w:tc>
          <w:tcPr>
            <w:tcW w:w="421" w:type="pct"/>
            <w:tcBorders>
              <w:top w:val="single" w:color="auto" w:sz="4" w:space="0"/>
              <w:left w:val="nil"/>
              <w:bottom w:val="single" w:color="auto" w:sz="4" w:space="0"/>
              <w:right w:val="single" w:color="auto" w:sz="4" w:space="0"/>
            </w:tcBorders>
            <w:vAlign w:val="center"/>
          </w:tcPr>
          <w:p w14:paraId="49D4FE89">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5 </w:t>
            </w:r>
          </w:p>
        </w:tc>
        <w:tc>
          <w:tcPr>
            <w:tcW w:w="421" w:type="pct"/>
            <w:tcBorders>
              <w:top w:val="single" w:color="auto" w:sz="4" w:space="0"/>
              <w:left w:val="nil"/>
              <w:bottom w:val="single" w:color="auto" w:sz="4" w:space="0"/>
              <w:right w:val="single" w:color="auto" w:sz="4" w:space="0"/>
            </w:tcBorders>
            <w:vAlign w:val="center"/>
          </w:tcPr>
          <w:p w14:paraId="5B4D7E9C">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5 </w:t>
            </w:r>
          </w:p>
        </w:tc>
        <w:tc>
          <w:tcPr>
            <w:tcW w:w="421" w:type="pct"/>
            <w:tcBorders>
              <w:top w:val="single" w:color="auto" w:sz="4" w:space="0"/>
              <w:left w:val="nil"/>
              <w:bottom w:val="single" w:color="auto" w:sz="4" w:space="0"/>
            </w:tcBorders>
            <w:vAlign w:val="center"/>
          </w:tcPr>
          <w:p w14:paraId="12B389FA">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4 </w:t>
            </w:r>
          </w:p>
        </w:tc>
      </w:tr>
    </w:tbl>
    <w:p w14:paraId="72C2455C">
      <w:pPr>
        <w:widowControl w:val="0"/>
        <w:spacing w:line="440" w:lineRule="exact"/>
        <w:ind w:firstLine="476" w:firstLineChars="200"/>
        <w:rPr>
          <w:rFonts w:hint="default" w:ascii="Times New Roman" w:hAnsi="Times New Roman" w:eastAsia="宋体" w:cs="Times New Roman"/>
          <w:b/>
          <w:bCs/>
          <w:snapToGrid w:val="0"/>
          <w:color w:val="auto"/>
          <w:w w:val="99"/>
          <w:highlight w:val="none"/>
          <w:lang w:val="zh-CN"/>
        </w:rPr>
      </w:pPr>
      <w:r>
        <w:rPr>
          <w:rFonts w:hint="default" w:ascii="Times New Roman" w:hAnsi="Times New Roman" w:eastAsia="宋体" w:cs="Times New Roman"/>
          <w:b/>
          <w:bCs/>
          <w:snapToGrid w:val="0"/>
          <w:color w:val="auto"/>
          <w:w w:val="99"/>
          <w:highlight w:val="none"/>
          <w:lang w:val="zh-CN"/>
        </w:rPr>
        <w:t>表3</w:t>
      </w:r>
      <w:r>
        <w:rPr>
          <w:rFonts w:hint="eastAsia" w:ascii="Times New Roman" w:hAnsi="Times New Roman" w:eastAsia="宋体" w:cs="Times New Roman"/>
          <w:b/>
          <w:bCs/>
          <w:snapToGrid w:val="0"/>
          <w:color w:val="auto"/>
          <w:w w:val="99"/>
          <w:highlight w:val="none"/>
          <w:lang w:val="en-US" w:eastAsia="zh-CN"/>
        </w:rPr>
        <w:t>.</w:t>
      </w:r>
      <w:r>
        <w:rPr>
          <w:rFonts w:hint="eastAsia" w:ascii="Times New Roman" w:hAnsi="Times New Roman" w:cs="Times New Roman"/>
          <w:b/>
          <w:bCs/>
          <w:snapToGrid w:val="0"/>
          <w:color w:val="auto"/>
          <w:w w:val="99"/>
          <w:highlight w:val="none"/>
          <w:lang w:val="en-US" w:eastAsia="zh-CN"/>
        </w:rPr>
        <w:t>4-3</w:t>
      </w:r>
      <w:r>
        <w:rPr>
          <w:rFonts w:hint="default" w:ascii="Times New Roman" w:hAnsi="Times New Roman" w:eastAsia="宋体" w:cs="Times New Roman"/>
          <w:b/>
          <w:bCs/>
          <w:snapToGrid w:val="0"/>
          <w:color w:val="auto"/>
          <w:w w:val="99"/>
          <w:highlight w:val="none"/>
          <w:lang w:val="zh-CN"/>
        </w:rPr>
        <w:t xml:space="preserve">    气井产水量预测表（m</w:t>
      </w:r>
      <w:r>
        <w:rPr>
          <w:rFonts w:hint="default" w:ascii="Times New Roman" w:hAnsi="Times New Roman" w:eastAsia="宋体" w:cs="Times New Roman"/>
          <w:b/>
          <w:bCs/>
          <w:snapToGrid w:val="0"/>
          <w:color w:val="auto"/>
          <w:w w:val="99"/>
          <w:highlight w:val="none"/>
          <w:vertAlign w:val="superscript"/>
          <w:lang w:val="zh-CN"/>
        </w:rPr>
        <w:t>3</w:t>
      </w:r>
      <w:r>
        <w:rPr>
          <w:rFonts w:hint="default" w:ascii="Times New Roman" w:hAnsi="Times New Roman" w:eastAsia="宋体" w:cs="Times New Roman"/>
          <w:b/>
          <w:bCs/>
          <w:snapToGrid w:val="0"/>
          <w:color w:val="auto"/>
          <w:w w:val="99"/>
          <w:highlight w:val="none"/>
          <w:lang w:val="zh-CN"/>
        </w:rPr>
        <w:t>/d）</w:t>
      </w: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782"/>
        <w:gridCol w:w="782"/>
        <w:gridCol w:w="782"/>
        <w:gridCol w:w="782"/>
        <w:gridCol w:w="783"/>
        <w:gridCol w:w="783"/>
        <w:gridCol w:w="783"/>
        <w:gridCol w:w="783"/>
        <w:gridCol w:w="783"/>
        <w:gridCol w:w="783"/>
      </w:tblGrid>
      <w:tr w14:paraId="115E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82" w:type="pct"/>
            <w:tcBorders>
              <w:bottom w:val="single" w:color="auto" w:sz="4" w:space="0"/>
              <w:right w:val="single" w:color="auto" w:sz="4" w:space="0"/>
            </w:tcBorders>
            <w:vAlign w:val="center"/>
          </w:tcPr>
          <w:p w14:paraId="61737CDC">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井号                              </w:t>
            </w:r>
          </w:p>
        </w:tc>
        <w:tc>
          <w:tcPr>
            <w:tcW w:w="421" w:type="pct"/>
            <w:tcBorders>
              <w:left w:val="nil"/>
              <w:bottom w:val="single" w:color="auto" w:sz="4" w:space="0"/>
              <w:right w:val="single" w:color="auto" w:sz="4" w:space="0"/>
            </w:tcBorders>
            <w:vAlign w:val="center"/>
          </w:tcPr>
          <w:p w14:paraId="2AD355DA">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2027</w:t>
            </w:r>
          </w:p>
        </w:tc>
        <w:tc>
          <w:tcPr>
            <w:tcW w:w="421" w:type="pct"/>
            <w:tcBorders>
              <w:left w:val="nil"/>
              <w:bottom w:val="single" w:color="auto" w:sz="4" w:space="0"/>
              <w:right w:val="single" w:color="auto" w:sz="4" w:space="0"/>
            </w:tcBorders>
            <w:vAlign w:val="center"/>
          </w:tcPr>
          <w:p w14:paraId="02BC9A39">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2028</w:t>
            </w:r>
          </w:p>
        </w:tc>
        <w:tc>
          <w:tcPr>
            <w:tcW w:w="421" w:type="pct"/>
            <w:tcBorders>
              <w:left w:val="nil"/>
              <w:bottom w:val="single" w:color="auto" w:sz="4" w:space="0"/>
              <w:right w:val="single" w:color="auto" w:sz="4" w:space="0"/>
            </w:tcBorders>
            <w:vAlign w:val="center"/>
          </w:tcPr>
          <w:p w14:paraId="055561B8">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2029</w:t>
            </w:r>
          </w:p>
        </w:tc>
        <w:tc>
          <w:tcPr>
            <w:tcW w:w="421" w:type="pct"/>
            <w:tcBorders>
              <w:left w:val="nil"/>
              <w:bottom w:val="single" w:color="auto" w:sz="4" w:space="0"/>
              <w:right w:val="single" w:color="auto" w:sz="4" w:space="0"/>
            </w:tcBorders>
            <w:vAlign w:val="center"/>
          </w:tcPr>
          <w:p w14:paraId="63978E9B">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2030</w:t>
            </w:r>
          </w:p>
        </w:tc>
        <w:tc>
          <w:tcPr>
            <w:tcW w:w="421" w:type="pct"/>
            <w:tcBorders>
              <w:left w:val="nil"/>
              <w:bottom w:val="single" w:color="auto" w:sz="4" w:space="0"/>
              <w:right w:val="single" w:color="auto" w:sz="4" w:space="0"/>
            </w:tcBorders>
            <w:vAlign w:val="center"/>
          </w:tcPr>
          <w:p w14:paraId="56E6E64E">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2031</w:t>
            </w:r>
          </w:p>
        </w:tc>
        <w:tc>
          <w:tcPr>
            <w:tcW w:w="421" w:type="pct"/>
            <w:tcBorders>
              <w:left w:val="nil"/>
              <w:bottom w:val="single" w:color="auto" w:sz="4" w:space="0"/>
              <w:right w:val="single" w:color="auto" w:sz="4" w:space="0"/>
            </w:tcBorders>
            <w:vAlign w:val="center"/>
          </w:tcPr>
          <w:p w14:paraId="63B0F791">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2032</w:t>
            </w:r>
          </w:p>
        </w:tc>
        <w:tc>
          <w:tcPr>
            <w:tcW w:w="421" w:type="pct"/>
            <w:tcBorders>
              <w:left w:val="nil"/>
              <w:bottom w:val="single" w:color="auto" w:sz="4" w:space="0"/>
              <w:right w:val="single" w:color="auto" w:sz="4" w:space="0"/>
            </w:tcBorders>
            <w:vAlign w:val="center"/>
          </w:tcPr>
          <w:p w14:paraId="0D61A7FC">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2033</w:t>
            </w:r>
          </w:p>
        </w:tc>
        <w:tc>
          <w:tcPr>
            <w:tcW w:w="421" w:type="pct"/>
            <w:tcBorders>
              <w:left w:val="nil"/>
              <w:bottom w:val="single" w:color="auto" w:sz="4" w:space="0"/>
              <w:right w:val="single" w:color="auto" w:sz="4" w:space="0"/>
            </w:tcBorders>
            <w:vAlign w:val="center"/>
          </w:tcPr>
          <w:p w14:paraId="1B05E353">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2034</w:t>
            </w:r>
          </w:p>
        </w:tc>
        <w:tc>
          <w:tcPr>
            <w:tcW w:w="421" w:type="pct"/>
            <w:tcBorders>
              <w:left w:val="nil"/>
              <w:bottom w:val="single" w:color="auto" w:sz="4" w:space="0"/>
              <w:right w:val="single" w:color="auto" w:sz="4" w:space="0"/>
            </w:tcBorders>
            <w:vAlign w:val="center"/>
          </w:tcPr>
          <w:p w14:paraId="1525022D">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w w:val="99"/>
                <w:sz w:val="21"/>
                <w:szCs w:val="21"/>
                <w:highlight w:val="none"/>
                <w:lang w:val="en-US" w:eastAsia="zh-CN"/>
              </w:rPr>
              <w:t>2035</w:t>
            </w:r>
          </w:p>
        </w:tc>
        <w:tc>
          <w:tcPr>
            <w:tcW w:w="421" w:type="pct"/>
            <w:tcBorders>
              <w:left w:val="nil"/>
              <w:bottom w:val="single" w:color="auto" w:sz="4" w:space="0"/>
            </w:tcBorders>
            <w:vAlign w:val="center"/>
          </w:tcPr>
          <w:p w14:paraId="37BD6D88">
            <w:pPr>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w w:val="99"/>
                <w:sz w:val="21"/>
                <w:szCs w:val="21"/>
                <w:highlight w:val="none"/>
                <w:lang w:val="en-US" w:eastAsia="zh-CN"/>
              </w:rPr>
              <w:t>2036</w:t>
            </w:r>
          </w:p>
        </w:tc>
      </w:tr>
      <w:tr w14:paraId="7A90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2" w:type="pct"/>
            <w:tcBorders>
              <w:top w:val="single" w:color="auto" w:sz="4" w:space="0"/>
              <w:bottom w:val="single" w:color="auto" w:sz="4" w:space="0"/>
              <w:right w:val="single" w:color="auto" w:sz="4" w:space="0"/>
            </w:tcBorders>
            <w:vAlign w:val="center"/>
          </w:tcPr>
          <w:p w14:paraId="082610A6">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徐深27-H1</w:t>
            </w:r>
          </w:p>
        </w:tc>
        <w:tc>
          <w:tcPr>
            <w:tcW w:w="421" w:type="pct"/>
            <w:tcBorders>
              <w:top w:val="single" w:color="auto" w:sz="4" w:space="0"/>
              <w:left w:val="nil"/>
              <w:bottom w:val="single" w:color="auto" w:sz="4" w:space="0"/>
              <w:right w:val="single" w:color="auto" w:sz="4" w:space="0"/>
            </w:tcBorders>
            <w:vAlign w:val="center"/>
          </w:tcPr>
          <w:p w14:paraId="47CFFE0B">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3 </w:t>
            </w:r>
          </w:p>
        </w:tc>
        <w:tc>
          <w:tcPr>
            <w:tcW w:w="421" w:type="pct"/>
            <w:tcBorders>
              <w:top w:val="single" w:color="auto" w:sz="4" w:space="0"/>
              <w:left w:val="nil"/>
              <w:bottom w:val="single" w:color="auto" w:sz="4" w:space="0"/>
              <w:right w:val="single" w:color="auto" w:sz="4" w:space="0"/>
            </w:tcBorders>
            <w:vAlign w:val="center"/>
          </w:tcPr>
          <w:p w14:paraId="7E71BB47">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3 </w:t>
            </w:r>
          </w:p>
        </w:tc>
        <w:tc>
          <w:tcPr>
            <w:tcW w:w="421" w:type="pct"/>
            <w:tcBorders>
              <w:top w:val="single" w:color="auto" w:sz="4" w:space="0"/>
              <w:left w:val="nil"/>
              <w:bottom w:val="single" w:color="auto" w:sz="4" w:space="0"/>
              <w:right w:val="single" w:color="auto" w:sz="4" w:space="0"/>
            </w:tcBorders>
            <w:vAlign w:val="center"/>
          </w:tcPr>
          <w:p w14:paraId="6F267AE1">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3 </w:t>
            </w:r>
          </w:p>
        </w:tc>
        <w:tc>
          <w:tcPr>
            <w:tcW w:w="421" w:type="pct"/>
            <w:tcBorders>
              <w:top w:val="single" w:color="auto" w:sz="4" w:space="0"/>
              <w:left w:val="nil"/>
              <w:bottom w:val="single" w:color="auto" w:sz="4" w:space="0"/>
              <w:right w:val="single" w:color="auto" w:sz="4" w:space="0"/>
            </w:tcBorders>
            <w:vAlign w:val="center"/>
          </w:tcPr>
          <w:p w14:paraId="6A3F134B">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3 </w:t>
            </w:r>
          </w:p>
        </w:tc>
        <w:tc>
          <w:tcPr>
            <w:tcW w:w="421" w:type="pct"/>
            <w:tcBorders>
              <w:top w:val="single" w:color="auto" w:sz="4" w:space="0"/>
              <w:left w:val="nil"/>
              <w:bottom w:val="single" w:color="auto" w:sz="4" w:space="0"/>
              <w:right w:val="single" w:color="auto" w:sz="4" w:space="0"/>
            </w:tcBorders>
            <w:vAlign w:val="center"/>
          </w:tcPr>
          <w:p w14:paraId="04F6E8B6">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3 </w:t>
            </w:r>
          </w:p>
        </w:tc>
        <w:tc>
          <w:tcPr>
            <w:tcW w:w="421" w:type="pct"/>
            <w:tcBorders>
              <w:top w:val="single" w:color="auto" w:sz="4" w:space="0"/>
              <w:left w:val="nil"/>
              <w:bottom w:val="single" w:color="auto" w:sz="4" w:space="0"/>
              <w:right w:val="single" w:color="auto" w:sz="4" w:space="0"/>
            </w:tcBorders>
            <w:vAlign w:val="center"/>
          </w:tcPr>
          <w:p w14:paraId="65B3EF77">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 </w:t>
            </w:r>
          </w:p>
        </w:tc>
        <w:tc>
          <w:tcPr>
            <w:tcW w:w="421" w:type="pct"/>
            <w:tcBorders>
              <w:top w:val="single" w:color="auto" w:sz="4" w:space="0"/>
              <w:left w:val="nil"/>
              <w:bottom w:val="single" w:color="auto" w:sz="4" w:space="0"/>
              <w:right w:val="single" w:color="auto" w:sz="4" w:space="0"/>
            </w:tcBorders>
            <w:vAlign w:val="center"/>
          </w:tcPr>
          <w:p w14:paraId="08165D7F">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 </w:t>
            </w:r>
          </w:p>
        </w:tc>
        <w:tc>
          <w:tcPr>
            <w:tcW w:w="421" w:type="pct"/>
            <w:tcBorders>
              <w:top w:val="single" w:color="auto" w:sz="4" w:space="0"/>
              <w:left w:val="nil"/>
              <w:bottom w:val="single" w:color="auto" w:sz="4" w:space="0"/>
              <w:right w:val="single" w:color="auto" w:sz="4" w:space="0"/>
            </w:tcBorders>
            <w:vAlign w:val="center"/>
          </w:tcPr>
          <w:p w14:paraId="7705805E">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 </w:t>
            </w:r>
          </w:p>
        </w:tc>
        <w:tc>
          <w:tcPr>
            <w:tcW w:w="421" w:type="pct"/>
            <w:tcBorders>
              <w:top w:val="single" w:color="auto" w:sz="4" w:space="0"/>
              <w:left w:val="nil"/>
              <w:bottom w:val="single" w:color="auto" w:sz="4" w:space="0"/>
              <w:right w:val="single" w:color="auto" w:sz="4" w:space="0"/>
            </w:tcBorders>
            <w:vAlign w:val="center"/>
          </w:tcPr>
          <w:p w14:paraId="2D4A3920">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 </w:t>
            </w:r>
          </w:p>
        </w:tc>
        <w:tc>
          <w:tcPr>
            <w:tcW w:w="421" w:type="pct"/>
            <w:tcBorders>
              <w:top w:val="single" w:color="auto" w:sz="4" w:space="0"/>
              <w:left w:val="nil"/>
              <w:bottom w:val="single" w:color="auto" w:sz="4" w:space="0"/>
            </w:tcBorders>
            <w:vAlign w:val="center"/>
          </w:tcPr>
          <w:p w14:paraId="73923D67">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 </w:t>
            </w:r>
          </w:p>
        </w:tc>
      </w:tr>
    </w:tbl>
    <w:p w14:paraId="29E05ACD">
      <w:pPr>
        <w:widowControl w:val="0"/>
        <w:spacing w:line="440" w:lineRule="exact"/>
        <w:ind w:firstLine="476" w:firstLineChars="200"/>
        <w:rPr>
          <w:rFonts w:hint="default" w:ascii="Times New Roman" w:hAnsi="Times New Roman" w:eastAsia="宋体" w:cs="Times New Roman"/>
          <w:b/>
          <w:bCs/>
          <w:snapToGrid w:val="0"/>
          <w:color w:val="auto"/>
          <w:w w:val="99"/>
          <w:highlight w:val="none"/>
          <w:lang w:val="zh-CN"/>
        </w:rPr>
      </w:pPr>
      <w:r>
        <w:rPr>
          <w:rFonts w:hint="default" w:ascii="Times New Roman" w:hAnsi="Times New Roman" w:eastAsia="宋体" w:cs="Times New Roman"/>
          <w:b/>
          <w:bCs/>
          <w:snapToGrid w:val="0"/>
          <w:color w:val="auto"/>
          <w:w w:val="99"/>
          <w:highlight w:val="none"/>
          <w:lang w:val="zh-CN"/>
        </w:rPr>
        <w:t>表3</w:t>
      </w:r>
      <w:r>
        <w:rPr>
          <w:rFonts w:hint="eastAsia" w:ascii="Times New Roman" w:hAnsi="Times New Roman" w:cs="Times New Roman"/>
          <w:b/>
          <w:bCs/>
          <w:snapToGrid w:val="0"/>
          <w:color w:val="auto"/>
          <w:w w:val="99"/>
          <w:highlight w:val="none"/>
          <w:lang w:val="en-US" w:eastAsia="zh-CN"/>
        </w:rPr>
        <w:t>.4-4</w:t>
      </w:r>
      <w:r>
        <w:rPr>
          <w:rFonts w:hint="default" w:ascii="Times New Roman" w:hAnsi="Times New Roman" w:eastAsia="宋体" w:cs="Times New Roman"/>
          <w:b/>
          <w:bCs/>
          <w:snapToGrid w:val="0"/>
          <w:color w:val="auto"/>
          <w:w w:val="99"/>
          <w:highlight w:val="none"/>
          <w:lang w:val="zh-CN"/>
        </w:rPr>
        <w:t xml:space="preserve">   气井正常开井压力预测表（MPa）</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714"/>
        <w:gridCol w:w="788"/>
        <w:gridCol w:w="788"/>
        <w:gridCol w:w="790"/>
        <w:gridCol w:w="790"/>
        <w:gridCol w:w="790"/>
        <w:gridCol w:w="790"/>
        <w:gridCol w:w="790"/>
        <w:gridCol w:w="790"/>
        <w:gridCol w:w="790"/>
      </w:tblGrid>
      <w:tr w14:paraId="2BEB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86" w:type="pct"/>
            <w:vAlign w:val="center"/>
          </w:tcPr>
          <w:p w14:paraId="3D184E1D">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井号                              </w:t>
            </w:r>
          </w:p>
        </w:tc>
        <w:tc>
          <w:tcPr>
            <w:tcW w:w="385" w:type="pct"/>
            <w:vAlign w:val="center"/>
          </w:tcPr>
          <w:p w14:paraId="1AD85948">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2027</w:t>
            </w:r>
          </w:p>
        </w:tc>
        <w:tc>
          <w:tcPr>
            <w:tcW w:w="424" w:type="pct"/>
            <w:vAlign w:val="center"/>
          </w:tcPr>
          <w:p w14:paraId="36AB58F5">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2028</w:t>
            </w:r>
          </w:p>
        </w:tc>
        <w:tc>
          <w:tcPr>
            <w:tcW w:w="424" w:type="pct"/>
            <w:vAlign w:val="center"/>
          </w:tcPr>
          <w:p w14:paraId="15CD217F">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2029</w:t>
            </w:r>
          </w:p>
        </w:tc>
        <w:tc>
          <w:tcPr>
            <w:tcW w:w="425" w:type="pct"/>
            <w:vAlign w:val="center"/>
          </w:tcPr>
          <w:p w14:paraId="16A34A9E">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2030</w:t>
            </w:r>
          </w:p>
        </w:tc>
        <w:tc>
          <w:tcPr>
            <w:tcW w:w="425" w:type="pct"/>
            <w:vAlign w:val="center"/>
          </w:tcPr>
          <w:p w14:paraId="73016D6B">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2031</w:t>
            </w:r>
          </w:p>
        </w:tc>
        <w:tc>
          <w:tcPr>
            <w:tcW w:w="425" w:type="pct"/>
            <w:vAlign w:val="center"/>
          </w:tcPr>
          <w:p w14:paraId="2169DF30">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2032</w:t>
            </w:r>
          </w:p>
        </w:tc>
        <w:tc>
          <w:tcPr>
            <w:tcW w:w="425" w:type="pct"/>
            <w:vAlign w:val="center"/>
          </w:tcPr>
          <w:p w14:paraId="5A6F56BE">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2033</w:t>
            </w:r>
          </w:p>
        </w:tc>
        <w:tc>
          <w:tcPr>
            <w:tcW w:w="425" w:type="pct"/>
            <w:vAlign w:val="center"/>
          </w:tcPr>
          <w:p w14:paraId="63DE3F5D">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2034</w:t>
            </w:r>
          </w:p>
        </w:tc>
        <w:tc>
          <w:tcPr>
            <w:tcW w:w="425" w:type="pct"/>
            <w:vAlign w:val="center"/>
          </w:tcPr>
          <w:p w14:paraId="7C00FD33">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2035</w:t>
            </w:r>
          </w:p>
        </w:tc>
        <w:tc>
          <w:tcPr>
            <w:tcW w:w="425" w:type="pct"/>
            <w:vAlign w:val="center"/>
          </w:tcPr>
          <w:p w14:paraId="159EC7DE">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2036</w:t>
            </w:r>
          </w:p>
        </w:tc>
      </w:tr>
      <w:tr w14:paraId="4FD4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6" w:type="pct"/>
            <w:vAlign w:val="center"/>
          </w:tcPr>
          <w:p w14:paraId="349CA42B">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徐深27-H1</w:t>
            </w:r>
          </w:p>
        </w:tc>
        <w:tc>
          <w:tcPr>
            <w:tcW w:w="385" w:type="pct"/>
            <w:vAlign w:val="center"/>
          </w:tcPr>
          <w:p w14:paraId="0A3D35EA">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26.0 </w:t>
            </w:r>
          </w:p>
        </w:tc>
        <w:tc>
          <w:tcPr>
            <w:tcW w:w="424" w:type="pct"/>
            <w:vAlign w:val="center"/>
          </w:tcPr>
          <w:p w14:paraId="14CF01E6">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24.9 </w:t>
            </w:r>
          </w:p>
        </w:tc>
        <w:tc>
          <w:tcPr>
            <w:tcW w:w="424" w:type="pct"/>
            <w:vAlign w:val="center"/>
          </w:tcPr>
          <w:p w14:paraId="6215A885">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24.3 </w:t>
            </w:r>
          </w:p>
        </w:tc>
        <w:tc>
          <w:tcPr>
            <w:tcW w:w="425" w:type="pct"/>
            <w:vAlign w:val="center"/>
          </w:tcPr>
          <w:p w14:paraId="0B6BECD3">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23.7 </w:t>
            </w:r>
          </w:p>
        </w:tc>
        <w:tc>
          <w:tcPr>
            <w:tcW w:w="425" w:type="pct"/>
            <w:vAlign w:val="center"/>
          </w:tcPr>
          <w:p w14:paraId="5401682D">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23.2 </w:t>
            </w:r>
          </w:p>
        </w:tc>
        <w:tc>
          <w:tcPr>
            <w:tcW w:w="425" w:type="pct"/>
            <w:vAlign w:val="center"/>
          </w:tcPr>
          <w:p w14:paraId="52D39583">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22.6 </w:t>
            </w:r>
          </w:p>
        </w:tc>
        <w:tc>
          <w:tcPr>
            <w:tcW w:w="425" w:type="pct"/>
            <w:vAlign w:val="center"/>
          </w:tcPr>
          <w:p w14:paraId="12991653">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22.2 </w:t>
            </w:r>
          </w:p>
        </w:tc>
        <w:tc>
          <w:tcPr>
            <w:tcW w:w="425" w:type="pct"/>
            <w:vAlign w:val="center"/>
          </w:tcPr>
          <w:p w14:paraId="3F17F8B2">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21.7 </w:t>
            </w:r>
          </w:p>
        </w:tc>
        <w:tc>
          <w:tcPr>
            <w:tcW w:w="425" w:type="pct"/>
            <w:vAlign w:val="center"/>
          </w:tcPr>
          <w:p w14:paraId="4678E446">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21.4 </w:t>
            </w:r>
          </w:p>
        </w:tc>
        <w:tc>
          <w:tcPr>
            <w:tcW w:w="425" w:type="pct"/>
            <w:vAlign w:val="center"/>
          </w:tcPr>
          <w:p w14:paraId="7CAD456E">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 xml:space="preserve">21.0 </w:t>
            </w:r>
          </w:p>
        </w:tc>
      </w:tr>
    </w:tbl>
    <w:p w14:paraId="20C1A61F">
      <w:pPr>
        <w:pStyle w:val="7"/>
        <w:widowControl w:val="0"/>
        <w:spacing w:before="60" w:after="60" w:line="440" w:lineRule="exact"/>
        <w:jc w:val="both"/>
        <w:rPr>
          <w:rFonts w:eastAsia="宋体"/>
          <w:b/>
          <w:color w:val="auto"/>
          <w:w w:val="99"/>
          <w:kern w:val="2"/>
          <w:sz w:val="24"/>
          <w:szCs w:val="24"/>
          <w:highlight w:val="none"/>
        </w:rPr>
      </w:pPr>
      <w:r>
        <w:rPr>
          <w:rFonts w:eastAsia="宋体"/>
          <w:b/>
          <w:color w:val="auto"/>
          <w:w w:val="99"/>
          <w:kern w:val="2"/>
          <w:sz w:val="24"/>
          <w:szCs w:val="24"/>
          <w:highlight w:val="none"/>
        </w:rPr>
        <w:t>3.</w:t>
      </w:r>
      <w:r>
        <w:rPr>
          <w:rFonts w:hint="eastAsia" w:eastAsia="宋体"/>
          <w:b/>
          <w:color w:val="auto"/>
          <w:w w:val="99"/>
          <w:kern w:val="2"/>
          <w:sz w:val="24"/>
          <w:szCs w:val="24"/>
          <w:highlight w:val="none"/>
          <w:lang w:val="en-US" w:eastAsia="zh-CN"/>
        </w:rPr>
        <w:t>4.2气井气组成及产出水性质</w:t>
      </w:r>
    </w:p>
    <w:p w14:paraId="3B38A675">
      <w:pPr>
        <w:pStyle w:val="102"/>
        <w:keepNext w:val="0"/>
        <w:keepLines w:val="0"/>
        <w:pageBreakBefore w:val="0"/>
        <w:kinsoku/>
        <w:wordWrap/>
        <w:overflowPunct/>
        <w:topLinePunct w:val="0"/>
        <w:autoSpaceDE/>
        <w:autoSpaceDN/>
        <w:bidi w:val="0"/>
        <w:adjustRightInd/>
        <w:spacing w:line="440" w:lineRule="exact"/>
        <w:ind w:left="0" w:firstLine="476" w:firstLineChars="200"/>
        <w:jc w:val="both"/>
        <w:textAlignment w:val="auto"/>
        <w:rPr>
          <w:rFonts w:hint="default" w:ascii="Times New Roman" w:hAnsi="Times New Roman" w:eastAsia="宋体" w:cs="Times New Roman"/>
          <w:b/>
          <w:bCs/>
          <w:snapToGrid w:val="0"/>
          <w:color w:val="auto"/>
          <w:w w:val="99"/>
          <w:sz w:val="24"/>
          <w:szCs w:val="24"/>
          <w:highlight w:val="none"/>
          <w:lang w:val="en-US" w:eastAsia="zh-CN" w:bidi="ar-SA"/>
        </w:rPr>
      </w:pPr>
      <w:r>
        <w:rPr>
          <w:rFonts w:hint="default" w:ascii="Times New Roman" w:hAnsi="Times New Roman" w:eastAsia="宋体" w:cs="Times New Roman"/>
          <w:b/>
          <w:bCs/>
          <w:snapToGrid w:val="0"/>
          <w:color w:val="auto"/>
          <w:w w:val="99"/>
          <w:sz w:val="24"/>
          <w:szCs w:val="24"/>
          <w:highlight w:val="none"/>
          <w:lang w:val="en-US" w:eastAsia="zh-CN" w:bidi="ar-SA"/>
        </w:rPr>
        <w:t>表</w:t>
      </w:r>
      <w:r>
        <w:rPr>
          <w:rFonts w:hint="eastAsia" w:ascii="Times New Roman" w:hAnsi="Times New Roman" w:eastAsia="宋体" w:cs="Times New Roman"/>
          <w:b/>
          <w:bCs/>
          <w:snapToGrid w:val="0"/>
          <w:color w:val="auto"/>
          <w:w w:val="99"/>
          <w:sz w:val="24"/>
          <w:szCs w:val="24"/>
          <w:highlight w:val="none"/>
          <w:lang w:val="en-US" w:eastAsia="zh-CN" w:bidi="ar-SA"/>
        </w:rPr>
        <w:t>3.4-5</w:t>
      </w:r>
      <w:r>
        <w:rPr>
          <w:rFonts w:hint="default" w:ascii="Times New Roman" w:hAnsi="Times New Roman" w:eastAsia="宋体" w:cs="Times New Roman"/>
          <w:b/>
          <w:bCs/>
          <w:snapToGrid w:val="0"/>
          <w:color w:val="auto"/>
          <w:w w:val="99"/>
          <w:sz w:val="24"/>
          <w:szCs w:val="24"/>
          <w:highlight w:val="none"/>
          <w:lang w:val="en-US" w:eastAsia="zh-CN" w:bidi="ar-SA"/>
        </w:rPr>
        <w:t xml:space="preserve">      气井气组分表</w:t>
      </w: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1115"/>
        <w:gridCol w:w="1027"/>
        <w:gridCol w:w="1027"/>
        <w:gridCol w:w="1027"/>
        <w:gridCol w:w="1027"/>
        <w:gridCol w:w="1027"/>
        <w:gridCol w:w="1034"/>
      </w:tblGrid>
      <w:tr w14:paraId="6F20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74" w:type="pct"/>
            <w:tcBorders>
              <w:bottom w:val="single" w:color="auto" w:sz="4" w:space="0"/>
              <w:right w:val="single" w:color="auto" w:sz="4" w:space="0"/>
            </w:tcBorders>
            <w:vAlign w:val="center"/>
          </w:tcPr>
          <w:p w14:paraId="4A0CECB9">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井号</w:t>
            </w:r>
          </w:p>
        </w:tc>
        <w:tc>
          <w:tcPr>
            <w:tcW w:w="600" w:type="pct"/>
            <w:tcBorders>
              <w:left w:val="nil"/>
              <w:bottom w:val="single" w:color="auto" w:sz="4" w:space="0"/>
              <w:right w:val="single" w:color="auto" w:sz="4" w:space="0"/>
            </w:tcBorders>
            <w:vAlign w:val="center"/>
          </w:tcPr>
          <w:p w14:paraId="022F5DBD">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密度</w:t>
            </w:r>
          </w:p>
          <w:p w14:paraId="29B58C4F">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（g/cm</w:t>
            </w:r>
            <w:r>
              <w:rPr>
                <w:rFonts w:hint="default" w:ascii="Times New Roman" w:hAnsi="Times New Roman" w:cs="Times New Roman" w:eastAsiaTheme="minorEastAsia"/>
                <w:color w:val="auto"/>
                <w:w w:val="99"/>
                <w:sz w:val="21"/>
                <w:szCs w:val="21"/>
                <w:highlight w:val="none"/>
                <w:vertAlign w:val="superscript"/>
                <w:lang w:val="en-US" w:eastAsia="zh-CN" w:bidi="ar-SA"/>
              </w:rPr>
              <w:t>3</w:t>
            </w:r>
            <w:r>
              <w:rPr>
                <w:rFonts w:hint="default" w:ascii="Times New Roman" w:hAnsi="Times New Roman" w:cs="Times New Roman" w:eastAsiaTheme="minorEastAsia"/>
                <w:color w:val="auto"/>
                <w:w w:val="99"/>
                <w:sz w:val="21"/>
                <w:szCs w:val="21"/>
                <w:highlight w:val="none"/>
                <w:lang w:val="en-US" w:eastAsia="zh-CN" w:bidi="ar-SA"/>
              </w:rPr>
              <w:t>）</w:t>
            </w:r>
          </w:p>
        </w:tc>
        <w:tc>
          <w:tcPr>
            <w:tcW w:w="553" w:type="pct"/>
            <w:tcBorders>
              <w:left w:val="nil"/>
              <w:bottom w:val="single" w:color="auto" w:sz="4" w:space="0"/>
              <w:right w:val="single" w:color="auto" w:sz="4" w:space="0"/>
            </w:tcBorders>
            <w:vAlign w:val="center"/>
          </w:tcPr>
          <w:p w14:paraId="1C94C7FF">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C1</w:t>
            </w:r>
          </w:p>
          <w:p w14:paraId="7D28BE89">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w:t>
            </w:r>
          </w:p>
        </w:tc>
        <w:tc>
          <w:tcPr>
            <w:tcW w:w="553" w:type="pct"/>
            <w:tcBorders>
              <w:left w:val="nil"/>
              <w:bottom w:val="single" w:color="auto" w:sz="4" w:space="0"/>
              <w:right w:val="single" w:color="auto" w:sz="4" w:space="0"/>
            </w:tcBorders>
            <w:vAlign w:val="center"/>
          </w:tcPr>
          <w:p w14:paraId="4ECA26F7">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C2</w:t>
            </w:r>
          </w:p>
          <w:p w14:paraId="26F8A2C6">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w:t>
            </w:r>
          </w:p>
        </w:tc>
        <w:tc>
          <w:tcPr>
            <w:tcW w:w="553" w:type="pct"/>
            <w:tcBorders>
              <w:left w:val="nil"/>
              <w:bottom w:val="single" w:color="auto" w:sz="4" w:space="0"/>
              <w:right w:val="single" w:color="auto" w:sz="4" w:space="0"/>
            </w:tcBorders>
            <w:vAlign w:val="center"/>
          </w:tcPr>
          <w:p w14:paraId="1E3EE49E">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C3</w:t>
            </w:r>
          </w:p>
          <w:p w14:paraId="5545EB29">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w:t>
            </w:r>
          </w:p>
        </w:tc>
        <w:tc>
          <w:tcPr>
            <w:tcW w:w="553" w:type="pct"/>
            <w:tcBorders>
              <w:left w:val="nil"/>
              <w:bottom w:val="single" w:color="auto" w:sz="4" w:space="0"/>
              <w:right w:val="single" w:color="auto" w:sz="4" w:space="0"/>
            </w:tcBorders>
            <w:vAlign w:val="center"/>
          </w:tcPr>
          <w:p w14:paraId="6A3EF79A">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N</w:t>
            </w:r>
            <w:r>
              <w:rPr>
                <w:rFonts w:hint="default" w:ascii="Times New Roman" w:hAnsi="Times New Roman" w:cs="Times New Roman" w:eastAsiaTheme="minorEastAsia"/>
                <w:color w:val="auto"/>
                <w:w w:val="99"/>
                <w:sz w:val="21"/>
                <w:szCs w:val="21"/>
                <w:highlight w:val="none"/>
                <w:vertAlign w:val="subscript"/>
                <w:lang w:val="en-US" w:eastAsia="zh-CN" w:bidi="ar-SA"/>
              </w:rPr>
              <w:t>2</w:t>
            </w:r>
          </w:p>
          <w:p w14:paraId="75C345BD">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w:t>
            </w:r>
          </w:p>
        </w:tc>
        <w:tc>
          <w:tcPr>
            <w:tcW w:w="553" w:type="pct"/>
            <w:tcBorders>
              <w:left w:val="nil"/>
              <w:bottom w:val="single" w:color="auto" w:sz="4" w:space="0"/>
              <w:right w:val="single" w:color="auto" w:sz="4" w:space="0"/>
            </w:tcBorders>
            <w:vAlign w:val="center"/>
          </w:tcPr>
          <w:p w14:paraId="2D7EFBDB">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CO</w:t>
            </w:r>
            <w:r>
              <w:rPr>
                <w:rFonts w:hint="default" w:ascii="Times New Roman" w:hAnsi="Times New Roman" w:cs="Times New Roman" w:eastAsiaTheme="minorEastAsia"/>
                <w:color w:val="auto"/>
                <w:w w:val="99"/>
                <w:sz w:val="21"/>
                <w:szCs w:val="21"/>
                <w:highlight w:val="none"/>
                <w:vertAlign w:val="subscript"/>
                <w:lang w:val="en-US" w:eastAsia="zh-CN" w:bidi="ar-SA"/>
              </w:rPr>
              <w:t>2</w:t>
            </w:r>
          </w:p>
          <w:p w14:paraId="7AE62374">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w:t>
            </w:r>
          </w:p>
        </w:tc>
        <w:tc>
          <w:tcPr>
            <w:tcW w:w="556" w:type="pct"/>
            <w:tcBorders>
              <w:left w:val="nil"/>
              <w:bottom w:val="single" w:color="auto" w:sz="4" w:space="0"/>
            </w:tcBorders>
            <w:vAlign w:val="center"/>
          </w:tcPr>
          <w:p w14:paraId="487804DB">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color w:val="auto"/>
                <w:sz w:val="21"/>
                <w:szCs w:val="21"/>
                <w:highlight w:val="none"/>
              </w:rPr>
              <w:t>参考</w:t>
            </w:r>
          </w:p>
        </w:tc>
      </w:tr>
      <w:tr w14:paraId="224F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74" w:type="pct"/>
            <w:tcBorders>
              <w:top w:val="single" w:color="auto" w:sz="4" w:space="0"/>
              <w:bottom w:val="single" w:color="auto" w:sz="4" w:space="0"/>
              <w:right w:val="single" w:color="auto" w:sz="4" w:space="0"/>
            </w:tcBorders>
            <w:vAlign w:val="center"/>
          </w:tcPr>
          <w:p w14:paraId="22769F1E">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徐深27-H1</w:t>
            </w:r>
          </w:p>
        </w:tc>
        <w:tc>
          <w:tcPr>
            <w:tcW w:w="600" w:type="pct"/>
            <w:tcBorders>
              <w:top w:val="single" w:color="auto" w:sz="4" w:space="0"/>
              <w:left w:val="nil"/>
              <w:bottom w:val="single" w:color="auto" w:sz="4" w:space="0"/>
              <w:right w:val="single" w:color="auto" w:sz="4" w:space="0"/>
            </w:tcBorders>
            <w:vAlign w:val="center"/>
          </w:tcPr>
          <w:p w14:paraId="43C12D9A">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0.60 </w:t>
            </w:r>
          </w:p>
        </w:tc>
        <w:tc>
          <w:tcPr>
            <w:tcW w:w="553" w:type="pct"/>
            <w:tcBorders>
              <w:top w:val="single" w:color="auto" w:sz="4" w:space="0"/>
              <w:left w:val="nil"/>
              <w:bottom w:val="single" w:color="auto" w:sz="4" w:space="0"/>
              <w:right w:val="single" w:color="auto" w:sz="4" w:space="0"/>
            </w:tcBorders>
            <w:vAlign w:val="center"/>
          </w:tcPr>
          <w:p w14:paraId="736B009E">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91.81 </w:t>
            </w:r>
          </w:p>
        </w:tc>
        <w:tc>
          <w:tcPr>
            <w:tcW w:w="553" w:type="pct"/>
            <w:tcBorders>
              <w:top w:val="single" w:color="auto" w:sz="4" w:space="0"/>
              <w:left w:val="nil"/>
              <w:bottom w:val="single" w:color="auto" w:sz="4" w:space="0"/>
              <w:right w:val="single" w:color="auto" w:sz="4" w:space="0"/>
            </w:tcBorders>
            <w:vAlign w:val="center"/>
          </w:tcPr>
          <w:p w14:paraId="1409932F">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1.26 </w:t>
            </w:r>
          </w:p>
        </w:tc>
        <w:tc>
          <w:tcPr>
            <w:tcW w:w="553" w:type="pct"/>
            <w:tcBorders>
              <w:top w:val="single" w:color="auto" w:sz="4" w:space="0"/>
              <w:left w:val="nil"/>
              <w:bottom w:val="single" w:color="auto" w:sz="4" w:space="0"/>
              <w:right w:val="single" w:color="auto" w:sz="4" w:space="0"/>
            </w:tcBorders>
            <w:vAlign w:val="center"/>
          </w:tcPr>
          <w:p w14:paraId="38AB16A7">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0.38 </w:t>
            </w:r>
          </w:p>
        </w:tc>
        <w:tc>
          <w:tcPr>
            <w:tcW w:w="553" w:type="pct"/>
            <w:tcBorders>
              <w:top w:val="single" w:color="auto" w:sz="4" w:space="0"/>
              <w:left w:val="nil"/>
              <w:bottom w:val="single" w:color="auto" w:sz="4" w:space="0"/>
              <w:right w:val="single" w:color="auto" w:sz="4" w:space="0"/>
            </w:tcBorders>
            <w:vAlign w:val="center"/>
          </w:tcPr>
          <w:p w14:paraId="331B9592">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1.53 </w:t>
            </w:r>
          </w:p>
        </w:tc>
        <w:tc>
          <w:tcPr>
            <w:tcW w:w="553" w:type="pct"/>
            <w:tcBorders>
              <w:top w:val="single" w:color="auto" w:sz="4" w:space="0"/>
              <w:left w:val="nil"/>
              <w:bottom w:val="single" w:color="auto" w:sz="4" w:space="0"/>
              <w:right w:val="single" w:color="auto" w:sz="4" w:space="0"/>
            </w:tcBorders>
            <w:vAlign w:val="center"/>
          </w:tcPr>
          <w:p w14:paraId="607C6172">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4.26 </w:t>
            </w:r>
          </w:p>
        </w:tc>
        <w:tc>
          <w:tcPr>
            <w:tcW w:w="556" w:type="pct"/>
            <w:tcBorders>
              <w:top w:val="single" w:color="auto" w:sz="4" w:space="0"/>
              <w:left w:val="nil"/>
              <w:bottom w:val="single" w:color="auto" w:sz="4" w:space="0"/>
            </w:tcBorders>
            <w:vAlign w:val="center"/>
          </w:tcPr>
          <w:p w14:paraId="7FDD0E94">
            <w:pPr>
              <w:pStyle w:val="173"/>
              <w:keepNext w:val="0"/>
              <w:keepLines w:val="0"/>
              <w:pageBreakBefore w:val="0"/>
              <w:widowControl w:val="0"/>
              <w:tabs>
                <w:tab w:val="left" w:pos="3480"/>
              </w:tabs>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徐深</w:t>
            </w:r>
            <w:r>
              <w:rPr>
                <w:rFonts w:hint="eastAsia" w:ascii="Times New Roman" w:hAnsi="Times New Roman" w:cs="Times New Roman" w:eastAsiaTheme="minorEastAsia"/>
                <w:color w:val="auto"/>
                <w:w w:val="99"/>
                <w:sz w:val="21"/>
                <w:szCs w:val="21"/>
                <w:highlight w:val="none"/>
                <w:lang w:val="en-US" w:eastAsia="zh-CN" w:bidi="ar-SA"/>
              </w:rPr>
              <w:t>27</w:t>
            </w:r>
          </w:p>
        </w:tc>
      </w:tr>
    </w:tbl>
    <w:p w14:paraId="289F3978">
      <w:pPr>
        <w:keepNext w:val="0"/>
        <w:keepLines w:val="0"/>
        <w:pageBreakBefore w:val="0"/>
        <w:widowControl/>
        <w:kinsoku/>
        <w:wordWrap/>
        <w:overflowPunct/>
        <w:topLinePunct w:val="0"/>
        <w:autoSpaceDE/>
        <w:autoSpaceDN/>
        <w:bidi w:val="0"/>
        <w:adjustRightInd/>
        <w:spacing w:line="440" w:lineRule="exact"/>
        <w:ind w:left="0" w:firstLine="474" w:firstLineChars="200"/>
        <w:jc w:val="both"/>
        <w:textAlignment w:val="auto"/>
        <w:rPr>
          <w:rFonts w:hint="default" w:ascii="Times New Roman" w:hAnsi="Times New Roman" w:eastAsia="宋体" w:cs="Times New Roman"/>
          <w:snapToGrid w:val="0"/>
          <w:color w:val="auto"/>
          <w:w w:val="99"/>
          <w:sz w:val="24"/>
          <w:szCs w:val="24"/>
          <w:highlight w:val="none"/>
          <w:lang w:val="en-US" w:eastAsia="zh-CN" w:bidi="ar-SA"/>
        </w:rPr>
      </w:pPr>
      <w:r>
        <w:rPr>
          <w:rFonts w:hint="default" w:ascii="Times New Roman" w:hAnsi="Times New Roman" w:eastAsia="宋体" w:cs="Times New Roman"/>
          <w:snapToGrid w:val="0"/>
          <w:color w:val="auto"/>
          <w:w w:val="99"/>
          <w:sz w:val="24"/>
          <w:szCs w:val="24"/>
          <w:highlight w:val="none"/>
          <w:lang w:val="en-US" w:eastAsia="zh-CN" w:bidi="ar-SA"/>
        </w:rPr>
        <w:t>对于湿天然气，二氧化碳分压小于 0.021MPa 时，为弱腐蚀环境，不需要腐蚀控制；二氧化碳分压在 0.021～0.21MPa 时，为中等腐蚀环境，宜采用腐蚀控制；二氧化碳分压大于 0.21MPa 时，为强腐蚀环境，应采取防腐蚀措施。</w:t>
      </w:r>
    </w:p>
    <w:p w14:paraId="79555E1E">
      <w:pPr>
        <w:keepNext w:val="0"/>
        <w:keepLines w:val="0"/>
        <w:pageBreakBefore w:val="0"/>
        <w:widowControl/>
        <w:kinsoku/>
        <w:wordWrap/>
        <w:overflowPunct/>
        <w:topLinePunct w:val="0"/>
        <w:autoSpaceDE/>
        <w:autoSpaceDN/>
        <w:bidi w:val="0"/>
        <w:adjustRightInd/>
        <w:spacing w:line="440" w:lineRule="exact"/>
        <w:ind w:left="0" w:firstLine="474" w:firstLineChars="200"/>
        <w:jc w:val="both"/>
        <w:textAlignment w:val="auto"/>
        <w:rPr>
          <w:rFonts w:hint="default" w:ascii="Times New Roman" w:hAnsi="Times New Roman" w:eastAsia="宋体" w:cs="Times New Roman"/>
          <w:snapToGrid w:val="0"/>
          <w:color w:val="auto"/>
          <w:w w:val="99"/>
          <w:sz w:val="24"/>
          <w:szCs w:val="24"/>
          <w:highlight w:val="none"/>
          <w:lang w:val="en-US" w:eastAsia="zh-CN" w:bidi="ar-SA"/>
        </w:rPr>
      </w:pPr>
      <w:r>
        <w:rPr>
          <w:rFonts w:hint="default" w:ascii="Times New Roman" w:hAnsi="Times New Roman" w:eastAsia="宋体" w:cs="Times New Roman"/>
          <w:snapToGrid w:val="0"/>
          <w:color w:val="auto"/>
          <w:w w:val="99"/>
          <w:sz w:val="24"/>
          <w:szCs w:val="24"/>
          <w:highlight w:val="none"/>
          <w:lang w:val="en-US" w:eastAsia="zh-CN" w:bidi="ar-SA"/>
        </w:rPr>
        <w:t>本次基建徐深27-H1气井气，按照开井压力计算，属于严重腐蚀情况，见表3</w:t>
      </w:r>
      <w:r>
        <w:rPr>
          <w:rFonts w:hint="eastAsia" w:ascii="Times New Roman" w:hAnsi="Times New Roman" w:eastAsia="宋体" w:cs="Times New Roman"/>
          <w:snapToGrid w:val="0"/>
          <w:color w:val="auto"/>
          <w:w w:val="99"/>
          <w:sz w:val="24"/>
          <w:szCs w:val="24"/>
          <w:highlight w:val="none"/>
          <w:lang w:val="en-US" w:eastAsia="zh-CN" w:bidi="ar-SA"/>
        </w:rPr>
        <w:t>.</w:t>
      </w:r>
      <w:r>
        <w:rPr>
          <w:rFonts w:hint="eastAsia" w:ascii="Times New Roman" w:hAnsi="Times New Roman" w:cs="Times New Roman"/>
          <w:snapToGrid w:val="0"/>
          <w:color w:val="auto"/>
          <w:w w:val="99"/>
          <w:sz w:val="24"/>
          <w:szCs w:val="24"/>
          <w:highlight w:val="none"/>
          <w:lang w:val="en-US" w:eastAsia="zh-CN" w:bidi="ar-SA"/>
        </w:rPr>
        <w:t>4</w:t>
      </w:r>
      <w:r>
        <w:rPr>
          <w:rFonts w:hint="eastAsia" w:ascii="Times New Roman" w:hAnsi="Times New Roman" w:eastAsia="宋体" w:cs="Times New Roman"/>
          <w:snapToGrid w:val="0"/>
          <w:color w:val="auto"/>
          <w:w w:val="99"/>
          <w:sz w:val="24"/>
          <w:szCs w:val="24"/>
          <w:highlight w:val="none"/>
          <w:lang w:val="en-US" w:eastAsia="zh-CN" w:bidi="ar-SA"/>
        </w:rPr>
        <w:t>-</w:t>
      </w:r>
      <w:r>
        <w:rPr>
          <w:rFonts w:hint="eastAsia" w:ascii="Times New Roman" w:hAnsi="Times New Roman" w:cs="Times New Roman"/>
          <w:snapToGrid w:val="0"/>
          <w:color w:val="auto"/>
          <w:w w:val="99"/>
          <w:sz w:val="24"/>
          <w:szCs w:val="24"/>
          <w:highlight w:val="none"/>
          <w:lang w:val="en-US" w:eastAsia="zh-CN" w:bidi="ar-SA"/>
        </w:rPr>
        <w:t>6</w:t>
      </w:r>
      <w:r>
        <w:rPr>
          <w:rFonts w:hint="default" w:ascii="Times New Roman" w:hAnsi="Times New Roman" w:eastAsia="宋体" w:cs="Times New Roman"/>
          <w:snapToGrid w:val="0"/>
          <w:color w:val="auto"/>
          <w:w w:val="99"/>
          <w:sz w:val="24"/>
          <w:szCs w:val="24"/>
          <w:highlight w:val="none"/>
          <w:lang w:val="en-US" w:eastAsia="zh-CN" w:bidi="ar-SA"/>
        </w:rPr>
        <w:t>。</w:t>
      </w:r>
    </w:p>
    <w:p w14:paraId="2B6C567C">
      <w:pPr>
        <w:widowControl w:val="0"/>
        <w:spacing w:line="440" w:lineRule="exact"/>
        <w:ind w:firstLine="476" w:firstLineChars="200"/>
        <w:rPr>
          <w:rFonts w:hint="default" w:ascii="Times New Roman" w:hAnsi="Times New Roman" w:eastAsia="宋体" w:cs="Times New Roman"/>
          <w:b/>
          <w:bCs/>
          <w:snapToGrid w:val="0"/>
          <w:color w:val="auto"/>
          <w:w w:val="99"/>
          <w:highlight w:val="none"/>
          <w:lang w:val="en-US" w:eastAsia="zh-CN"/>
        </w:rPr>
      </w:pPr>
      <w:r>
        <w:rPr>
          <w:rFonts w:hint="default" w:ascii="Times New Roman" w:hAnsi="Times New Roman" w:eastAsia="宋体" w:cs="Times New Roman"/>
          <w:b/>
          <w:bCs/>
          <w:snapToGrid w:val="0"/>
          <w:color w:val="auto"/>
          <w:w w:val="99"/>
          <w:highlight w:val="none"/>
          <w:lang w:val="en-US" w:eastAsia="zh-CN"/>
        </w:rPr>
        <w:t>表3</w:t>
      </w:r>
      <w:r>
        <w:rPr>
          <w:rFonts w:hint="eastAsia" w:ascii="Times New Roman" w:hAnsi="Times New Roman" w:eastAsia="宋体" w:cs="Times New Roman"/>
          <w:b/>
          <w:bCs/>
          <w:snapToGrid w:val="0"/>
          <w:color w:val="auto"/>
          <w:w w:val="99"/>
          <w:highlight w:val="none"/>
          <w:lang w:val="en-US" w:eastAsia="zh-CN"/>
        </w:rPr>
        <w:t>.</w:t>
      </w:r>
      <w:r>
        <w:rPr>
          <w:rFonts w:hint="eastAsia" w:ascii="Times New Roman" w:hAnsi="Times New Roman" w:cs="Times New Roman"/>
          <w:b/>
          <w:bCs/>
          <w:snapToGrid w:val="0"/>
          <w:color w:val="auto"/>
          <w:w w:val="99"/>
          <w:highlight w:val="none"/>
          <w:lang w:val="en-US" w:eastAsia="zh-CN"/>
        </w:rPr>
        <w:t>4</w:t>
      </w:r>
      <w:r>
        <w:rPr>
          <w:rFonts w:hint="eastAsia" w:ascii="Times New Roman" w:hAnsi="Times New Roman" w:eastAsia="宋体" w:cs="Times New Roman"/>
          <w:b/>
          <w:bCs/>
          <w:snapToGrid w:val="0"/>
          <w:color w:val="auto"/>
          <w:w w:val="99"/>
          <w:highlight w:val="none"/>
          <w:lang w:val="en-US" w:eastAsia="zh-CN"/>
        </w:rPr>
        <w:t>-</w:t>
      </w:r>
      <w:r>
        <w:rPr>
          <w:rFonts w:hint="eastAsia" w:ascii="Times New Roman" w:hAnsi="Times New Roman" w:cs="Times New Roman"/>
          <w:b/>
          <w:bCs/>
          <w:snapToGrid w:val="0"/>
          <w:color w:val="auto"/>
          <w:w w:val="99"/>
          <w:highlight w:val="none"/>
          <w:lang w:val="en-US" w:eastAsia="zh-CN"/>
        </w:rPr>
        <w:t>6</w:t>
      </w:r>
      <w:r>
        <w:rPr>
          <w:rFonts w:hint="default" w:ascii="Times New Roman" w:hAnsi="Times New Roman" w:eastAsia="宋体" w:cs="Times New Roman"/>
          <w:b/>
          <w:bCs/>
          <w:snapToGrid w:val="0"/>
          <w:color w:val="auto"/>
          <w:w w:val="99"/>
          <w:highlight w:val="none"/>
          <w:lang w:val="en-US" w:eastAsia="zh-CN"/>
        </w:rPr>
        <w:t xml:space="preserve">      CO</w:t>
      </w:r>
      <w:r>
        <w:rPr>
          <w:rFonts w:hint="default" w:ascii="Times New Roman" w:hAnsi="Times New Roman" w:eastAsia="宋体" w:cs="Times New Roman"/>
          <w:b/>
          <w:bCs/>
          <w:snapToGrid w:val="0"/>
          <w:color w:val="auto"/>
          <w:w w:val="99"/>
          <w:highlight w:val="none"/>
          <w:vertAlign w:val="subscript"/>
          <w:lang w:val="en-US" w:eastAsia="zh-CN"/>
        </w:rPr>
        <w:t>2</w:t>
      </w:r>
      <w:r>
        <w:rPr>
          <w:rFonts w:hint="default" w:ascii="Times New Roman" w:hAnsi="Times New Roman" w:eastAsia="宋体" w:cs="Times New Roman"/>
          <w:b/>
          <w:bCs/>
          <w:snapToGrid w:val="0"/>
          <w:color w:val="auto"/>
          <w:w w:val="99"/>
          <w:highlight w:val="none"/>
          <w:lang w:val="en-US" w:eastAsia="zh-CN"/>
        </w:rPr>
        <w:t>分压计算表（单位：MPa）</w:t>
      </w:r>
    </w:p>
    <w:tbl>
      <w:tblPr>
        <w:tblStyle w:val="80"/>
        <w:tblW w:w="4995"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268"/>
        <w:gridCol w:w="800"/>
        <w:gridCol w:w="801"/>
        <w:gridCol w:w="801"/>
        <w:gridCol w:w="801"/>
        <w:gridCol w:w="801"/>
        <w:gridCol w:w="801"/>
        <w:gridCol w:w="801"/>
        <w:gridCol w:w="801"/>
        <w:gridCol w:w="801"/>
        <w:gridCol w:w="801"/>
      </w:tblGrid>
      <w:tr w14:paraId="194371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83" w:type="pct"/>
            <w:tcBorders>
              <w:bottom w:val="single" w:color="000000" w:sz="8" w:space="0"/>
              <w:right w:val="single" w:color="000000" w:sz="8" w:space="0"/>
            </w:tcBorders>
            <w:shd w:val="clear" w:color="auto" w:fill="auto"/>
            <w:vAlign w:val="center"/>
          </w:tcPr>
          <w:p w14:paraId="51AB623A">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井号</w:t>
            </w:r>
          </w:p>
        </w:tc>
        <w:tc>
          <w:tcPr>
            <w:tcW w:w="431" w:type="pct"/>
            <w:tcBorders>
              <w:left w:val="nil"/>
              <w:bottom w:val="single" w:color="000000" w:sz="8" w:space="0"/>
              <w:right w:val="single" w:color="000000" w:sz="8" w:space="0"/>
            </w:tcBorders>
            <w:shd w:val="clear" w:color="auto" w:fill="auto"/>
            <w:vAlign w:val="center"/>
          </w:tcPr>
          <w:p w14:paraId="244DDE66">
            <w:pP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rPr>
              <w:t>2027</w:t>
            </w:r>
          </w:p>
        </w:tc>
        <w:tc>
          <w:tcPr>
            <w:tcW w:w="431" w:type="pct"/>
            <w:tcBorders>
              <w:left w:val="nil"/>
              <w:bottom w:val="single" w:color="000000" w:sz="8" w:space="0"/>
              <w:right w:val="single" w:color="000000" w:sz="8" w:space="0"/>
            </w:tcBorders>
            <w:shd w:val="clear" w:color="auto" w:fill="auto"/>
            <w:vAlign w:val="center"/>
          </w:tcPr>
          <w:p w14:paraId="31AC4188">
            <w:pP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rPr>
              <w:t>2028</w:t>
            </w:r>
          </w:p>
        </w:tc>
        <w:tc>
          <w:tcPr>
            <w:tcW w:w="431" w:type="pct"/>
            <w:tcBorders>
              <w:left w:val="nil"/>
              <w:bottom w:val="single" w:color="000000" w:sz="8" w:space="0"/>
              <w:right w:val="single" w:color="000000" w:sz="8" w:space="0"/>
            </w:tcBorders>
            <w:shd w:val="clear" w:color="auto" w:fill="auto"/>
            <w:vAlign w:val="center"/>
          </w:tcPr>
          <w:p w14:paraId="05D0E13F">
            <w:pP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rPr>
              <w:t>2029</w:t>
            </w:r>
          </w:p>
        </w:tc>
        <w:tc>
          <w:tcPr>
            <w:tcW w:w="431" w:type="pct"/>
            <w:tcBorders>
              <w:left w:val="nil"/>
              <w:bottom w:val="single" w:color="000000" w:sz="8" w:space="0"/>
              <w:right w:val="single" w:color="000000" w:sz="8" w:space="0"/>
            </w:tcBorders>
            <w:shd w:val="clear" w:color="auto" w:fill="auto"/>
            <w:vAlign w:val="center"/>
          </w:tcPr>
          <w:p w14:paraId="4EAAF659">
            <w:pP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rPr>
              <w:t>2030</w:t>
            </w:r>
          </w:p>
        </w:tc>
        <w:tc>
          <w:tcPr>
            <w:tcW w:w="431" w:type="pct"/>
            <w:tcBorders>
              <w:left w:val="nil"/>
              <w:bottom w:val="single" w:color="000000" w:sz="8" w:space="0"/>
              <w:right w:val="single" w:color="000000" w:sz="8" w:space="0"/>
            </w:tcBorders>
            <w:shd w:val="clear" w:color="auto" w:fill="auto"/>
            <w:vAlign w:val="center"/>
          </w:tcPr>
          <w:p w14:paraId="5C67C4E7">
            <w:pP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rPr>
              <w:t>2031</w:t>
            </w:r>
          </w:p>
        </w:tc>
        <w:tc>
          <w:tcPr>
            <w:tcW w:w="431" w:type="pct"/>
            <w:tcBorders>
              <w:left w:val="nil"/>
              <w:bottom w:val="single" w:color="000000" w:sz="8" w:space="0"/>
              <w:right w:val="single" w:color="000000" w:sz="8" w:space="0"/>
            </w:tcBorders>
            <w:shd w:val="clear" w:color="auto" w:fill="auto"/>
            <w:vAlign w:val="center"/>
          </w:tcPr>
          <w:p w14:paraId="43ABECA0">
            <w:pP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rPr>
              <w:t>2032</w:t>
            </w:r>
          </w:p>
        </w:tc>
        <w:tc>
          <w:tcPr>
            <w:tcW w:w="431" w:type="pct"/>
            <w:tcBorders>
              <w:left w:val="nil"/>
              <w:bottom w:val="single" w:color="000000" w:sz="8" w:space="0"/>
              <w:right w:val="single" w:color="000000" w:sz="8" w:space="0"/>
            </w:tcBorders>
            <w:shd w:val="clear" w:color="auto" w:fill="auto"/>
            <w:vAlign w:val="center"/>
          </w:tcPr>
          <w:p w14:paraId="2B1D5A85">
            <w:pP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rPr>
              <w:t>2033</w:t>
            </w:r>
          </w:p>
        </w:tc>
        <w:tc>
          <w:tcPr>
            <w:tcW w:w="431" w:type="pct"/>
            <w:tcBorders>
              <w:left w:val="nil"/>
              <w:bottom w:val="single" w:color="000000" w:sz="8" w:space="0"/>
              <w:right w:val="single" w:color="000000" w:sz="8" w:space="0"/>
            </w:tcBorders>
            <w:shd w:val="clear" w:color="auto" w:fill="auto"/>
            <w:vAlign w:val="center"/>
          </w:tcPr>
          <w:p w14:paraId="1007BA8F">
            <w:pP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rPr>
              <w:t>2034</w:t>
            </w:r>
          </w:p>
        </w:tc>
        <w:tc>
          <w:tcPr>
            <w:tcW w:w="431" w:type="pct"/>
            <w:tcBorders>
              <w:left w:val="nil"/>
              <w:bottom w:val="single" w:color="000000" w:sz="8" w:space="0"/>
              <w:right w:val="single" w:color="000000" w:sz="8" w:space="0"/>
            </w:tcBorders>
            <w:shd w:val="clear" w:color="auto" w:fill="auto"/>
            <w:vAlign w:val="center"/>
          </w:tcPr>
          <w:p w14:paraId="2D67C001">
            <w:pPr>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rPr>
              <w:t>2035</w:t>
            </w:r>
          </w:p>
        </w:tc>
        <w:tc>
          <w:tcPr>
            <w:tcW w:w="431" w:type="pct"/>
            <w:tcBorders>
              <w:left w:val="nil"/>
              <w:bottom w:val="single" w:color="000000" w:sz="8" w:space="0"/>
            </w:tcBorders>
            <w:shd w:val="clear" w:color="auto" w:fill="auto"/>
            <w:vAlign w:val="center"/>
          </w:tcPr>
          <w:p w14:paraId="6884FF5E">
            <w:pPr>
              <w:spacing w:line="32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rPr>
              <w:t>2036</w:t>
            </w:r>
          </w:p>
        </w:tc>
      </w:tr>
      <w:tr w14:paraId="1F75B4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83" w:type="pct"/>
            <w:tcBorders>
              <w:top w:val="nil"/>
              <w:bottom w:val="single" w:color="000000" w:sz="8" w:space="0"/>
              <w:right w:val="single" w:color="000000" w:sz="8" w:space="0"/>
            </w:tcBorders>
            <w:shd w:val="clear" w:color="auto" w:fill="auto"/>
            <w:vAlign w:val="center"/>
          </w:tcPr>
          <w:p w14:paraId="62A20F4B">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徐深27-H1</w:t>
            </w:r>
          </w:p>
        </w:tc>
        <w:tc>
          <w:tcPr>
            <w:tcW w:w="431" w:type="pct"/>
            <w:tcBorders>
              <w:top w:val="nil"/>
              <w:left w:val="nil"/>
              <w:bottom w:val="single" w:color="000000" w:sz="8" w:space="0"/>
              <w:right w:val="single" w:color="000000" w:sz="8" w:space="0"/>
            </w:tcBorders>
            <w:shd w:val="clear" w:color="auto" w:fill="auto"/>
            <w:vAlign w:val="center"/>
          </w:tcPr>
          <w:p w14:paraId="12116535">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1.11 </w:t>
            </w:r>
          </w:p>
        </w:tc>
        <w:tc>
          <w:tcPr>
            <w:tcW w:w="431" w:type="pct"/>
            <w:tcBorders>
              <w:top w:val="nil"/>
              <w:left w:val="nil"/>
              <w:bottom w:val="single" w:color="000000" w:sz="8" w:space="0"/>
              <w:right w:val="single" w:color="000000" w:sz="8" w:space="0"/>
            </w:tcBorders>
            <w:shd w:val="clear" w:color="auto" w:fill="auto"/>
            <w:vAlign w:val="center"/>
          </w:tcPr>
          <w:p w14:paraId="01162AE2">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1.06 </w:t>
            </w:r>
          </w:p>
        </w:tc>
        <w:tc>
          <w:tcPr>
            <w:tcW w:w="431" w:type="pct"/>
            <w:tcBorders>
              <w:top w:val="nil"/>
              <w:left w:val="nil"/>
              <w:bottom w:val="single" w:color="000000" w:sz="8" w:space="0"/>
              <w:right w:val="single" w:color="000000" w:sz="8" w:space="0"/>
            </w:tcBorders>
            <w:shd w:val="clear" w:color="auto" w:fill="auto"/>
            <w:vAlign w:val="center"/>
          </w:tcPr>
          <w:p w14:paraId="7FBC7289">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1.03 </w:t>
            </w:r>
          </w:p>
        </w:tc>
        <w:tc>
          <w:tcPr>
            <w:tcW w:w="431" w:type="pct"/>
            <w:tcBorders>
              <w:top w:val="nil"/>
              <w:left w:val="nil"/>
              <w:bottom w:val="single" w:color="000000" w:sz="8" w:space="0"/>
              <w:right w:val="single" w:color="000000" w:sz="8" w:space="0"/>
            </w:tcBorders>
            <w:shd w:val="clear" w:color="auto" w:fill="auto"/>
            <w:vAlign w:val="center"/>
          </w:tcPr>
          <w:p w14:paraId="5911F7B6">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1.01 </w:t>
            </w:r>
          </w:p>
        </w:tc>
        <w:tc>
          <w:tcPr>
            <w:tcW w:w="431" w:type="pct"/>
            <w:tcBorders>
              <w:top w:val="nil"/>
              <w:left w:val="nil"/>
              <w:bottom w:val="single" w:color="000000" w:sz="8" w:space="0"/>
              <w:right w:val="single" w:color="000000" w:sz="8" w:space="0"/>
            </w:tcBorders>
            <w:shd w:val="clear" w:color="auto" w:fill="auto"/>
            <w:vAlign w:val="center"/>
          </w:tcPr>
          <w:p w14:paraId="6928BEFD">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0.99 </w:t>
            </w:r>
          </w:p>
        </w:tc>
        <w:tc>
          <w:tcPr>
            <w:tcW w:w="431" w:type="pct"/>
            <w:tcBorders>
              <w:top w:val="nil"/>
              <w:left w:val="nil"/>
              <w:bottom w:val="single" w:color="000000" w:sz="8" w:space="0"/>
              <w:right w:val="single" w:color="000000" w:sz="8" w:space="0"/>
            </w:tcBorders>
            <w:shd w:val="clear" w:color="auto" w:fill="auto"/>
            <w:vAlign w:val="center"/>
          </w:tcPr>
          <w:p w14:paraId="255806E2">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0.96 </w:t>
            </w:r>
          </w:p>
        </w:tc>
        <w:tc>
          <w:tcPr>
            <w:tcW w:w="431" w:type="pct"/>
            <w:tcBorders>
              <w:top w:val="nil"/>
              <w:left w:val="nil"/>
              <w:bottom w:val="single" w:color="000000" w:sz="8" w:space="0"/>
              <w:right w:val="single" w:color="000000" w:sz="8" w:space="0"/>
            </w:tcBorders>
            <w:shd w:val="clear" w:color="auto" w:fill="auto"/>
            <w:vAlign w:val="center"/>
          </w:tcPr>
          <w:p w14:paraId="6EC139F6">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0.94 </w:t>
            </w:r>
          </w:p>
        </w:tc>
        <w:tc>
          <w:tcPr>
            <w:tcW w:w="431" w:type="pct"/>
            <w:tcBorders>
              <w:top w:val="nil"/>
              <w:left w:val="nil"/>
              <w:bottom w:val="single" w:color="000000" w:sz="8" w:space="0"/>
              <w:right w:val="single" w:color="000000" w:sz="8" w:space="0"/>
            </w:tcBorders>
            <w:shd w:val="clear" w:color="auto" w:fill="auto"/>
            <w:vAlign w:val="center"/>
          </w:tcPr>
          <w:p w14:paraId="3D35D33A">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0.93 </w:t>
            </w:r>
          </w:p>
        </w:tc>
        <w:tc>
          <w:tcPr>
            <w:tcW w:w="431" w:type="pct"/>
            <w:tcBorders>
              <w:top w:val="nil"/>
              <w:left w:val="nil"/>
              <w:bottom w:val="single" w:color="000000" w:sz="8" w:space="0"/>
              <w:right w:val="single" w:color="000000" w:sz="8" w:space="0"/>
            </w:tcBorders>
            <w:shd w:val="clear" w:color="auto" w:fill="auto"/>
            <w:vAlign w:val="center"/>
          </w:tcPr>
          <w:p w14:paraId="434D02C1">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0.91 </w:t>
            </w:r>
          </w:p>
        </w:tc>
        <w:tc>
          <w:tcPr>
            <w:tcW w:w="431" w:type="pct"/>
            <w:tcBorders>
              <w:top w:val="nil"/>
              <w:left w:val="nil"/>
              <w:bottom w:val="single" w:color="000000" w:sz="8" w:space="0"/>
            </w:tcBorders>
            <w:shd w:val="clear" w:color="auto" w:fill="auto"/>
            <w:vAlign w:val="center"/>
          </w:tcPr>
          <w:p w14:paraId="5117FA58">
            <w:pPr>
              <w:pStyle w:val="104"/>
              <w:keepNext w:val="0"/>
              <w:keepLines w:val="0"/>
              <w:pageBreakBefore w:val="0"/>
              <w:widowControl w:val="0"/>
              <w:kinsoku/>
              <w:wordWrap/>
              <w:overflowPunct/>
              <w:topLinePunct w:val="0"/>
              <w:autoSpaceDE/>
              <w:autoSpaceDN/>
              <w:bidi w:val="0"/>
              <w:adjustRightInd/>
              <w:snapToGrid w:val="0"/>
              <w:spacing w:line="240" w:lineRule="auto"/>
              <w:ind w:left="0" w:firstLine="0"/>
              <w:jc w:val="center"/>
              <w:textAlignment w:val="auto"/>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 xml:space="preserve">0.89 </w:t>
            </w:r>
          </w:p>
        </w:tc>
      </w:tr>
    </w:tbl>
    <w:p w14:paraId="55520CC0">
      <w:pPr>
        <w:keepNext w:val="0"/>
        <w:keepLines w:val="0"/>
        <w:pageBreakBefore w:val="0"/>
        <w:widowControl/>
        <w:kinsoku/>
        <w:wordWrap/>
        <w:overflowPunct/>
        <w:topLinePunct w:val="0"/>
        <w:autoSpaceDE/>
        <w:autoSpaceDN/>
        <w:bidi w:val="0"/>
        <w:adjustRightInd/>
        <w:spacing w:line="440" w:lineRule="exact"/>
        <w:ind w:left="0" w:firstLine="474" w:firstLineChars="200"/>
        <w:jc w:val="both"/>
        <w:textAlignment w:val="auto"/>
        <w:rPr>
          <w:rFonts w:hint="default" w:ascii="Times New Roman" w:hAnsi="Times New Roman" w:eastAsia="宋体" w:cs="Times New Roman"/>
          <w:snapToGrid w:val="0"/>
          <w:color w:val="auto"/>
          <w:w w:val="99"/>
          <w:sz w:val="24"/>
          <w:szCs w:val="24"/>
          <w:highlight w:val="none"/>
          <w:lang w:val="en-US" w:eastAsia="zh-CN" w:bidi="ar-SA"/>
        </w:rPr>
      </w:pPr>
      <w:r>
        <w:rPr>
          <w:rFonts w:hint="default" w:ascii="Times New Roman" w:hAnsi="Times New Roman" w:eastAsia="宋体" w:cs="Times New Roman"/>
          <w:snapToGrid w:val="0"/>
          <w:color w:val="auto"/>
          <w:w w:val="99"/>
          <w:sz w:val="24"/>
          <w:szCs w:val="24"/>
          <w:highlight w:val="none"/>
          <w:lang w:val="en-US" w:eastAsia="zh-CN" w:bidi="ar-SA"/>
        </w:rPr>
        <w:t>气井产出水性质见表3</w:t>
      </w:r>
      <w:r>
        <w:rPr>
          <w:rFonts w:hint="eastAsia" w:ascii="Times New Roman" w:hAnsi="Times New Roman" w:eastAsia="宋体" w:cs="Times New Roman"/>
          <w:snapToGrid w:val="0"/>
          <w:color w:val="auto"/>
          <w:w w:val="99"/>
          <w:sz w:val="24"/>
          <w:szCs w:val="24"/>
          <w:highlight w:val="none"/>
          <w:lang w:val="en-US" w:eastAsia="zh-CN" w:bidi="ar-SA"/>
        </w:rPr>
        <w:t>.</w:t>
      </w:r>
      <w:r>
        <w:rPr>
          <w:rFonts w:hint="eastAsia" w:ascii="Times New Roman" w:hAnsi="Times New Roman" w:cs="Times New Roman"/>
          <w:snapToGrid w:val="0"/>
          <w:color w:val="auto"/>
          <w:w w:val="99"/>
          <w:sz w:val="24"/>
          <w:szCs w:val="24"/>
          <w:highlight w:val="none"/>
          <w:lang w:val="en-US" w:eastAsia="zh-CN" w:bidi="ar-SA"/>
        </w:rPr>
        <w:t>4</w:t>
      </w:r>
      <w:r>
        <w:rPr>
          <w:rFonts w:hint="eastAsia" w:ascii="Times New Roman" w:hAnsi="Times New Roman" w:eastAsia="宋体" w:cs="Times New Roman"/>
          <w:snapToGrid w:val="0"/>
          <w:color w:val="auto"/>
          <w:w w:val="99"/>
          <w:sz w:val="24"/>
          <w:szCs w:val="24"/>
          <w:highlight w:val="none"/>
          <w:lang w:val="en-US" w:eastAsia="zh-CN" w:bidi="ar-SA"/>
        </w:rPr>
        <w:t>-</w:t>
      </w:r>
      <w:r>
        <w:rPr>
          <w:rFonts w:hint="eastAsia" w:ascii="Times New Roman" w:hAnsi="Times New Roman" w:cs="Times New Roman"/>
          <w:snapToGrid w:val="0"/>
          <w:color w:val="auto"/>
          <w:w w:val="99"/>
          <w:sz w:val="24"/>
          <w:szCs w:val="24"/>
          <w:highlight w:val="none"/>
          <w:lang w:val="en-US" w:eastAsia="zh-CN" w:bidi="ar-SA"/>
        </w:rPr>
        <w:t>7</w:t>
      </w:r>
      <w:r>
        <w:rPr>
          <w:rFonts w:hint="default" w:ascii="Times New Roman" w:hAnsi="Times New Roman" w:eastAsia="宋体" w:cs="Times New Roman"/>
          <w:snapToGrid w:val="0"/>
          <w:color w:val="auto"/>
          <w:w w:val="99"/>
          <w:sz w:val="24"/>
          <w:szCs w:val="24"/>
          <w:highlight w:val="none"/>
          <w:lang w:val="en-US" w:eastAsia="zh-CN" w:bidi="ar-SA"/>
        </w:rPr>
        <w:t>。</w:t>
      </w:r>
    </w:p>
    <w:p w14:paraId="2328AAB7">
      <w:pPr>
        <w:widowControl w:val="0"/>
        <w:spacing w:line="440" w:lineRule="exact"/>
        <w:ind w:firstLine="476" w:firstLineChars="200"/>
        <w:rPr>
          <w:rFonts w:hint="default" w:ascii="Times New Roman" w:hAnsi="Times New Roman" w:eastAsia="宋体" w:cs="Times New Roman"/>
          <w:b/>
          <w:bCs/>
          <w:snapToGrid w:val="0"/>
          <w:color w:val="auto"/>
          <w:w w:val="99"/>
          <w:highlight w:val="none"/>
          <w:lang w:val="en-US" w:eastAsia="zh-CN"/>
        </w:rPr>
      </w:pPr>
      <w:r>
        <w:rPr>
          <w:rFonts w:hint="default" w:ascii="Times New Roman" w:hAnsi="Times New Roman" w:eastAsia="宋体" w:cs="Times New Roman"/>
          <w:b/>
          <w:bCs/>
          <w:snapToGrid w:val="0"/>
          <w:color w:val="auto"/>
          <w:w w:val="99"/>
          <w:highlight w:val="none"/>
          <w:lang w:val="en-US" w:eastAsia="zh-CN"/>
        </w:rPr>
        <w:t>表3</w:t>
      </w:r>
      <w:r>
        <w:rPr>
          <w:rFonts w:hint="eastAsia" w:ascii="Times New Roman" w:hAnsi="Times New Roman" w:eastAsia="宋体" w:cs="Times New Roman"/>
          <w:b/>
          <w:bCs/>
          <w:snapToGrid w:val="0"/>
          <w:color w:val="auto"/>
          <w:w w:val="99"/>
          <w:highlight w:val="none"/>
          <w:lang w:val="en-US" w:eastAsia="zh-CN"/>
        </w:rPr>
        <w:t>.</w:t>
      </w:r>
      <w:r>
        <w:rPr>
          <w:rFonts w:hint="eastAsia" w:ascii="Times New Roman" w:hAnsi="Times New Roman" w:cs="Times New Roman"/>
          <w:b/>
          <w:bCs/>
          <w:snapToGrid w:val="0"/>
          <w:color w:val="auto"/>
          <w:w w:val="99"/>
          <w:highlight w:val="none"/>
          <w:lang w:val="en-US" w:eastAsia="zh-CN"/>
        </w:rPr>
        <w:t>4</w:t>
      </w:r>
      <w:r>
        <w:rPr>
          <w:rFonts w:hint="eastAsia" w:ascii="Times New Roman" w:hAnsi="Times New Roman" w:eastAsia="宋体" w:cs="Times New Roman"/>
          <w:b/>
          <w:bCs/>
          <w:snapToGrid w:val="0"/>
          <w:color w:val="auto"/>
          <w:w w:val="99"/>
          <w:highlight w:val="none"/>
          <w:lang w:val="en-US" w:eastAsia="zh-CN"/>
        </w:rPr>
        <w:t>-</w:t>
      </w:r>
      <w:r>
        <w:rPr>
          <w:rFonts w:hint="eastAsia" w:ascii="Times New Roman" w:hAnsi="Times New Roman" w:cs="Times New Roman"/>
          <w:b/>
          <w:bCs/>
          <w:snapToGrid w:val="0"/>
          <w:color w:val="auto"/>
          <w:w w:val="99"/>
          <w:highlight w:val="none"/>
          <w:lang w:val="en-US" w:eastAsia="zh-CN"/>
        </w:rPr>
        <w:t>7</w:t>
      </w:r>
      <w:r>
        <w:rPr>
          <w:rFonts w:hint="default" w:ascii="Times New Roman" w:hAnsi="Times New Roman" w:eastAsia="宋体" w:cs="Times New Roman"/>
          <w:b/>
          <w:bCs/>
          <w:snapToGrid w:val="0"/>
          <w:color w:val="auto"/>
          <w:w w:val="99"/>
          <w:highlight w:val="none"/>
          <w:lang w:val="en-US" w:eastAsia="zh-CN"/>
        </w:rPr>
        <w:t xml:space="preserve">    产出水性质表</w:t>
      </w: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18"/>
        <w:gridCol w:w="2320"/>
        <w:gridCol w:w="2320"/>
        <w:gridCol w:w="2321"/>
      </w:tblGrid>
      <w:tr w14:paraId="6A80BE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49" w:type="pct"/>
            <w:tcBorders>
              <w:bottom w:val="single" w:color="auto" w:sz="6" w:space="0"/>
              <w:right w:val="single" w:color="auto" w:sz="6" w:space="0"/>
            </w:tcBorders>
            <w:vAlign w:val="center"/>
          </w:tcPr>
          <w:p w14:paraId="67C7FCD9">
            <w:pPr>
              <w:pStyle w:val="104"/>
              <w:spacing w:line="240" w:lineRule="auto"/>
              <w:ind w:left="0" w:leftChars="0" w:firstLine="0" w:firstLineChars="0"/>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井号</w:t>
            </w:r>
          </w:p>
        </w:tc>
        <w:tc>
          <w:tcPr>
            <w:tcW w:w="1250" w:type="pct"/>
            <w:tcBorders>
              <w:left w:val="single" w:color="auto" w:sz="6" w:space="0"/>
              <w:bottom w:val="single" w:color="auto" w:sz="6" w:space="0"/>
              <w:right w:val="single" w:color="auto" w:sz="6" w:space="0"/>
            </w:tcBorders>
            <w:vAlign w:val="center"/>
          </w:tcPr>
          <w:p w14:paraId="35B1F708">
            <w:pPr>
              <w:pStyle w:val="104"/>
              <w:spacing w:line="240" w:lineRule="auto"/>
              <w:ind w:left="0" w:leftChars="0" w:firstLine="0" w:firstLineChars="0"/>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总矿化度（mg/l）</w:t>
            </w:r>
          </w:p>
        </w:tc>
        <w:tc>
          <w:tcPr>
            <w:tcW w:w="1250" w:type="pct"/>
            <w:tcBorders>
              <w:left w:val="single" w:color="auto" w:sz="6" w:space="0"/>
              <w:bottom w:val="single" w:color="auto" w:sz="6" w:space="0"/>
              <w:right w:val="single" w:color="auto" w:sz="6" w:space="0"/>
            </w:tcBorders>
            <w:vAlign w:val="center"/>
          </w:tcPr>
          <w:p w14:paraId="7BC1D07B">
            <w:pPr>
              <w:pStyle w:val="104"/>
              <w:spacing w:line="240" w:lineRule="auto"/>
              <w:ind w:left="0" w:leftChars="0" w:firstLine="0" w:firstLineChars="0"/>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p</w:t>
            </w:r>
            <w:r>
              <w:rPr>
                <w:rFonts w:hint="default" w:ascii="Times New Roman" w:hAnsi="Times New Roman" w:cs="Times New Roman" w:eastAsiaTheme="minorEastAsia"/>
                <w:color w:val="auto"/>
                <w:w w:val="99"/>
                <w:sz w:val="21"/>
                <w:szCs w:val="21"/>
                <w:highlight w:val="none"/>
                <w:lang w:val="en-US" w:eastAsia="zh-CN" w:bidi="ar-SA"/>
              </w:rPr>
              <w:t>H值</w:t>
            </w:r>
          </w:p>
        </w:tc>
        <w:tc>
          <w:tcPr>
            <w:tcW w:w="1250" w:type="pct"/>
            <w:tcBorders>
              <w:left w:val="single" w:color="auto" w:sz="6" w:space="0"/>
              <w:bottom w:val="single" w:color="auto" w:sz="6" w:space="0"/>
            </w:tcBorders>
            <w:vAlign w:val="center"/>
          </w:tcPr>
          <w:p w14:paraId="287682F9">
            <w:pPr>
              <w:pStyle w:val="104"/>
              <w:spacing w:line="240" w:lineRule="auto"/>
              <w:ind w:left="0" w:leftChars="0" w:firstLine="0" w:firstLineChars="0"/>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氯离子（mg/l）</w:t>
            </w:r>
          </w:p>
        </w:tc>
      </w:tr>
      <w:tr w14:paraId="1243C6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49" w:type="pct"/>
            <w:tcBorders>
              <w:top w:val="single" w:color="auto" w:sz="6" w:space="0"/>
              <w:bottom w:val="single" w:color="auto" w:sz="6" w:space="0"/>
              <w:right w:val="single" w:color="auto" w:sz="6" w:space="0"/>
            </w:tcBorders>
            <w:vAlign w:val="center"/>
          </w:tcPr>
          <w:p w14:paraId="260F9A41">
            <w:pPr>
              <w:pStyle w:val="173"/>
              <w:tabs>
                <w:tab w:val="left" w:pos="3480"/>
              </w:tabs>
              <w:spacing w:line="240" w:lineRule="exact"/>
              <w:ind w:left="0" w:leftChars="0" w:firstLine="0" w:firstLineChars="0"/>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kern w:val="2"/>
                <w:sz w:val="21"/>
                <w:szCs w:val="21"/>
                <w:highlight w:val="none"/>
                <w:lang w:val="en-US" w:eastAsia="zh-CN" w:bidi="ar-SA"/>
              </w:rPr>
              <w:t>徐深27-H1</w:t>
            </w:r>
          </w:p>
        </w:tc>
        <w:tc>
          <w:tcPr>
            <w:tcW w:w="1250" w:type="pct"/>
            <w:tcBorders>
              <w:top w:val="single" w:color="auto" w:sz="6" w:space="0"/>
              <w:left w:val="single" w:color="auto" w:sz="6" w:space="0"/>
              <w:bottom w:val="single" w:color="auto" w:sz="6" w:space="0"/>
              <w:right w:val="single" w:color="auto" w:sz="6" w:space="0"/>
            </w:tcBorders>
            <w:vAlign w:val="center"/>
          </w:tcPr>
          <w:p w14:paraId="16EE723B">
            <w:pPr>
              <w:pStyle w:val="173"/>
              <w:tabs>
                <w:tab w:val="left" w:pos="3480"/>
              </w:tabs>
              <w:spacing w:line="240" w:lineRule="exact"/>
              <w:ind w:left="0" w:leftChars="0" w:firstLine="0" w:firstLineChars="0"/>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kern w:val="2"/>
                <w:sz w:val="21"/>
                <w:szCs w:val="21"/>
                <w:highlight w:val="none"/>
                <w:lang w:val="en-US" w:eastAsia="zh-CN" w:bidi="ar-SA"/>
              </w:rPr>
              <w:t>7825</w:t>
            </w:r>
          </w:p>
        </w:tc>
        <w:tc>
          <w:tcPr>
            <w:tcW w:w="1250" w:type="pct"/>
            <w:tcBorders>
              <w:top w:val="single" w:color="auto" w:sz="6" w:space="0"/>
              <w:left w:val="single" w:color="auto" w:sz="6" w:space="0"/>
              <w:bottom w:val="single" w:color="auto" w:sz="6" w:space="0"/>
              <w:right w:val="single" w:color="auto" w:sz="6" w:space="0"/>
            </w:tcBorders>
            <w:vAlign w:val="center"/>
          </w:tcPr>
          <w:p w14:paraId="216EA959">
            <w:pPr>
              <w:pStyle w:val="173"/>
              <w:tabs>
                <w:tab w:val="left" w:pos="3480"/>
              </w:tabs>
              <w:spacing w:line="240" w:lineRule="exact"/>
              <w:ind w:left="0" w:leftChars="0" w:firstLine="0" w:firstLineChars="0"/>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kern w:val="2"/>
                <w:sz w:val="21"/>
                <w:szCs w:val="21"/>
                <w:highlight w:val="none"/>
                <w:lang w:val="en-US" w:eastAsia="zh-CN" w:bidi="ar-SA"/>
              </w:rPr>
              <w:t>7.5</w:t>
            </w:r>
          </w:p>
        </w:tc>
        <w:tc>
          <w:tcPr>
            <w:tcW w:w="1250" w:type="pct"/>
            <w:tcBorders>
              <w:top w:val="single" w:color="auto" w:sz="6" w:space="0"/>
              <w:left w:val="single" w:color="auto" w:sz="6" w:space="0"/>
              <w:bottom w:val="single" w:color="auto" w:sz="6" w:space="0"/>
            </w:tcBorders>
            <w:vAlign w:val="center"/>
          </w:tcPr>
          <w:p w14:paraId="4D350C86">
            <w:pPr>
              <w:pStyle w:val="173"/>
              <w:tabs>
                <w:tab w:val="left" w:pos="3480"/>
              </w:tabs>
              <w:spacing w:line="240" w:lineRule="exact"/>
              <w:ind w:left="0" w:leftChars="0" w:firstLine="0" w:firstLineChars="0"/>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default" w:ascii="Times New Roman" w:hAnsi="Times New Roman" w:cs="Times New Roman" w:eastAsiaTheme="minorEastAsia"/>
                <w:color w:val="auto"/>
                <w:w w:val="99"/>
                <w:kern w:val="2"/>
                <w:sz w:val="21"/>
                <w:szCs w:val="21"/>
                <w:highlight w:val="none"/>
                <w:lang w:val="en-US" w:eastAsia="zh-CN" w:bidi="ar-SA"/>
              </w:rPr>
              <w:t>1087</w:t>
            </w:r>
          </w:p>
        </w:tc>
      </w:tr>
    </w:tbl>
    <w:p w14:paraId="2FDD2C73">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428" w:name="_Toc29048"/>
      <w:r>
        <w:rPr>
          <w:rFonts w:ascii="Times New Roman" w:hAnsi="Times New Roman" w:eastAsia="宋体"/>
          <w:b/>
          <w:snapToGrid w:val="0"/>
          <w:color w:val="auto"/>
          <w:w w:val="99"/>
          <w:highlight w:val="none"/>
        </w:rPr>
        <w:t>3.</w:t>
      </w:r>
      <w:r>
        <w:rPr>
          <w:rFonts w:hint="eastAsia" w:ascii="Times New Roman" w:hAnsi="Times New Roman" w:eastAsia="宋体"/>
          <w:b/>
          <w:snapToGrid w:val="0"/>
          <w:color w:val="auto"/>
          <w:w w:val="99"/>
          <w:highlight w:val="none"/>
          <w:lang w:val="en-US" w:eastAsia="zh-CN"/>
        </w:rPr>
        <w:t>5</w:t>
      </w:r>
      <w:r>
        <w:rPr>
          <w:rFonts w:ascii="Times New Roman" w:hAnsi="Times New Roman" w:eastAsia="宋体"/>
          <w:b/>
          <w:snapToGrid w:val="0"/>
          <w:color w:val="auto"/>
          <w:w w:val="99"/>
          <w:highlight w:val="none"/>
        </w:rPr>
        <w:t>主要建设内容</w:t>
      </w:r>
      <w:bookmarkEnd w:id="428"/>
    </w:p>
    <w:p w14:paraId="06A279DB">
      <w:pPr>
        <w:widowControl w:val="0"/>
        <w:spacing w:line="440" w:lineRule="exact"/>
        <w:ind w:firstLine="474" w:firstLineChars="200"/>
        <w:rPr>
          <w:rFonts w:ascii="Times New Roman" w:hAnsi="Times New Roman" w:cs="Times New Roman"/>
          <w:color w:val="auto"/>
          <w:w w:val="99"/>
          <w:kern w:val="2"/>
          <w:szCs w:val="20"/>
          <w:highlight w:val="none"/>
        </w:rPr>
      </w:pPr>
      <w:bookmarkStart w:id="429" w:name="_Toc74812319"/>
      <w:r>
        <w:rPr>
          <w:rFonts w:ascii="Times New Roman" w:hAnsi="Times New Roman" w:cs="Times New Roman"/>
          <w:color w:val="auto"/>
          <w:w w:val="99"/>
          <w:kern w:val="2"/>
          <w:szCs w:val="20"/>
          <w:highlight w:val="none"/>
        </w:rPr>
        <w:t>地面工程主要建设内容包括</w:t>
      </w:r>
      <w:r>
        <w:rPr>
          <w:rFonts w:hint="eastAsia" w:ascii="Times New Roman" w:hAnsi="Times New Roman" w:cs="Times New Roman"/>
          <w:color w:val="auto"/>
          <w:w w:val="99"/>
          <w:kern w:val="2"/>
          <w:szCs w:val="20"/>
          <w:highlight w:val="none"/>
          <w:lang w:val="en-US" w:eastAsia="zh-CN"/>
        </w:rPr>
        <w:t>天然气</w:t>
      </w:r>
      <w:r>
        <w:rPr>
          <w:rFonts w:ascii="Times New Roman" w:hAnsi="Times New Roman" w:cs="Times New Roman"/>
          <w:color w:val="auto"/>
          <w:w w:val="99"/>
          <w:kern w:val="2"/>
          <w:szCs w:val="20"/>
          <w:highlight w:val="none"/>
        </w:rPr>
        <w:t>集输工程、</w:t>
      </w:r>
      <w:r>
        <w:rPr>
          <w:rFonts w:hint="eastAsia" w:ascii="Times New Roman" w:hAnsi="Times New Roman" w:cs="Times New Roman"/>
          <w:color w:val="auto"/>
          <w:w w:val="99"/>
          <w:kern w:val="2"/>
          <w:szCs w:val="20"/>
          <w:highlight w:val="none"/>
          <w:lang w:val="en-US" w:eastAsia="zh-CN"/>
        </w:rPr>
        <w:t>道路</w:t>
      </w:r>
      <w:r>
        <w:rPr>
          <w:rFonts w:ascii="Times New Roman" w:hAnsi="Times New Roman" w:cs="Times New Roman"/>
          <w:color w:val="auto"/>
          <w:w w:val="99"/>
          <w:kern w:val="2"/>
          <w:szCs w:val="20"/>
          <w:highlight w:val="none"/>
        </w:rPr>
        <w:t>工程等。</w:t>
      </w:r>
    </w:p>
    <w:p w14:paraId="14D4D572">
      <w:pPr>
        <w:keepNext w:val="0"/>
        <w:keepLines w:val="0"/>
        <w:pageBreakBefore w:val="0"/>
        <w:widowControl/>
        <w:kinsoku/>
        <w:wordWrap/>
        <w:overflowPunct/>
        <w:topLinePunct w:val="0"/>
        <w:autoSpaceDE/>
        <w:autoSpaceDN/>
        <w:bidi w:val="0"/>
        <w:adjustRightInd/>
        <w:snapToGrid/>
        <w:spacing w:line="440" w:lineRule="exact"/>
        <w:textAlignment w:val="auto"/>
        <w:outlineLvl w:val="2"/>
        <w:rPr>
          <w:rFonts w:hint="default" w:ascii="Times New Roman" w:hAnsi="Times New Roman" w:cs="Times New Roman"/>
          <w:b/>
          <w:color w:val="auto"/>
          <w:w w:val="99"/>
          <w:szCs w:val="20"/>
          <w:highlight w:val="none"/>
          <w:lang w:val="en-US" w:eastAsia="zh-CN"/>
        </w:rPr>
      </w:pPr>
      <w:r>
        <w:rPr>
          <w:rFonts w:hint="eastAsia" w:ascii="Times New Roman" w:hAnsi="Times New Roman" w:cs="Times New Roman"/>
          <w:b/>
          <w:color w:val="auto"/>
          <w:w w:val="99"/>
          <w:szCs w:val="20"/>
          <w:highlight w:val="none"/>
          <w:lang w:val="en-US" w:eastAsia="zh-CN"/>
        </w:rPr>
        <w:t>3.5.1井场工程</w:t>
      </w:r>
    </w:p>
    <w:p w14:paraId="340294A2">
      <w:pPr>
        <w:spacing w:line="440" w:lineRule="exact"/>
        <w:ind w:firstLine="474" w:firstLineChars="200"/>
        <w:jc w:val="both"/>
        <w:rPr>
          <w:rFonts w:hint="default" w:ascii="Times New Roman" w:hAnsi="Times New Roman" w:eastAsia="宋体" w:cs="Times New Roman"/>
          <w:bCs/>
          <w:color w:val="auto"/>
          <w:w w:val="99"/>
          <w:highlight w:val="none"/>
          <w:lang w:val="en-US" w:eastAsia="zh-CN"/>
        </w:rPr>
      </w:pPr>
      <w:r>
        <w:rPr>
          <w:rFonts w:hint="default" w:ascii="Times New Roman" w:hAnsi="Times New Roman" w:eastAsia="宋体" w:cs="Times New Roman"/>
          <w:bCs/>
          <w:color w:val="auto"/>
          <w:w w:val="99"/>
          <w:highlight w:val="none"/>
          <w:lang w:val="en-US" w:eastAsia="zh-CN"/>
        </w:rPr>
        <w:t>本工程共基建井口设施</w:t>
      </w:r>
      <w:r>
        <w:rPr>
          <w:rFonts w:hint="eastAsia" w:ascii="Times New Roman" w:hAnsi="Times New Roman" w:cs="Times New Roman"/>
          <w:bCs/>
          <w:color w:val="auto"/>
          <w:w w:val="99"/>
          <w:highlight w:val="none"/>
          <w:lang w:val="en-US" w:eastAsia="zh-CN"/>
        </w:rPr>
        <w:t>1</w:t>
      </w:r>
      <w:r>
        <w:rPr>
          <w:rFonts w:hint="default" w:ascii="Times New Roman" w:hAnsi="Times New Roman" w:eastAsia="宋体" w:cs="Times New Roman"/>
          <w:bCs/>
          <w:color w:val="auto"/>
          <w:w w:val="99"/>
          <w:highlight w:val="none"/>
          <w:lang w:val="en-US" w:eastAsia="zh-CN"/>
        </w:rPr>
        <w:t>套，井口装置包括井口安全设施、井口减压设施、监测设施、井口放空池井口除砂器</w:t>
      </w:r>
      <w:r>
        <w:rPr>
          <w:rFonts w:hint="eastAsia" w:ascii="Times New Roman" w:hAnsi="Times New Roman" w:cs="Times New Roman"/>
          <w:bCs/>
          <w:color w:val="auto"/>
          <w:w w:val="99"/>
          <w:highlight w:val="none"/>
          <w:lang w:val="en-US" w:eastAsia="zh-CN"/>
        </w:rPr>
        <w:t>。</w:t>
      </w:r>
      <w:r>
        <w:rPr>
          <w:rFonts w:hint="default" w:ascii="Times New Roman" w:hAnsi="Times New Roman" w:eastAsia="宋体" w:cs="Times New Roman"/>
          <w:bCs/>
          <w:color w:val="auto"/>
          <w:w w:val="99"/>
          <w:highlight w:val="none"/>
          <w:lang w:val="en-US" w:eastAsia="zh-CN"/>
        </w:rPr>
        <w:t>井口除砂器为预防气流将压裂砂携带到采气管道中而采取的气体和砂粒分离的装置，一般情况下不会发生砂粒留存，如有发生，委托有资质单位处理</w:t>
      </w:r>
      <w:r>
        <w:rPr>
          <w:rFonts w:hint="eastAsia" w:ascii="Times New Roman" w:hAnsi="Times New Roman" w:cs="Times New Roman"/>
          <w:bCs/>
          <w:color w:val="auto"/>
          <w:w w:val="99"/>
          <w:highlight w:val="none"/>
          <w:lang w:val="en-US" w:eastAsia="zh-CN"/>
        </w:rPr>
        <w:t>；</w:t>
      </w:r>
      <w:r>
        <w:rPr>
          <w:rFonts w:hint="default" w:ascii="Times New Roman" w:hAnsi="Times New Roman" w:eastAsia="宋体" w:cs="Times New Roman"/>
          <w:bCs/>
          <w:color w:val="auto"/>
          <w:w w:val="99"/>
          <w:highlight w:val="none"/>
          <w:lang w:val="en-US" w:eastAsia="zh-CN"/>
        </w:rPr>
        <w:t>靠井口一侧建有井口放空池，为水泥防渗池，占地为18m×22m，池底为2m深沟壑，主要作用是在开关井、检修以及事故状态下关闭井口后，排出装置及管道内剩余气体，点火放空。具体内容见表</w:t>
      </w:r>
      <w:r>
        <w:rPr>
          <w:rFonts w:hint="eastAsia" w:ascii="Times New Roman" w:hAnsi="Times New Roman" w:eastAsia="宋体" w:cs="Times New Roman"/>
          <w:bCs/>
          <w:color w:val="auto"/>
          <w:w w:val="99"/>
          <w:highlight w:val="none"/>
          <w:lang w:val="en-US" w:eastAsia="zh-CN"/>
        </w:rPr>
        <w:t>3.</w:t>
      </w:r>
      <w:r>
        <w:rPr>
          <w:rFonts w:hint="eastAsia" w:ascii="Times New Roman" w:hAnsi="Times New Roman" w:cs="Times New Roman"/>
          <w:bCs/>
          <w:color w:val="auto"/>
          <w:w w:val="99"/>
          <w:highlight w:val="none"/>
          <w:lang w:val="en-US" w:eastAsia="zh-CN"/>
        </w:rPr>
        <w:t>5</w:t>
      </w:r>
      <w:r>
        <w:rPr>
          <w:rFonts w:hint="eastAsia" w:ascii="Times New Roman" w:hAnsi="Times New Roman" w:eastAsia="宋体" w:cs="Times New Roman"/>
          <w:bCs/>
          <w:color w:val="auto"/>
          <w:w w:val="99"/>
          <w:highlight w:val="none"/>
          <w:lang w:val="en-US" w:eastAsia="zh-CN"/>
        </w:rPr>
        <w:t>-1</w:t>
      </w:r>
      <w:r>
        <w:rPr>
          <w:rFonts w:hint="default" w:ascii="Times New Roman" w:hAnsi="Times New Roman" w:eastAsia="宋体" w:cs="Times New Roman"/>
          <w:bCs/>
          <w:color w:val="auto"/>
          <w:w w:val="99"/>
          <w:highlight w:val="none"/>
          <w:lang w:val="en-US" w:eastAsia="zh-CN"/>
        </w:rPr>
        <w:t>。</w:t>
      </w:r>
    </w:p>
    <w:p w14:paraId="5AB45ED2">
      <w:pPr>
        <w:pStyle w:val="102"/>
        <w:keepNext w:val="0"/>
        <w:keepLines w:val="0"/>
        <w:pageBreakBefore w:val="0"/>
        <w:widowControl w:val="0"/>
        <w:kinsoku/>
        <w:wordWrap/>
        <w:overflowPunct/>
        <w:topLinePunct w:val="0"/>
        <w:autoSpaceDE/>
        <w:autoSpaceDN/>
        <w:bidi w:val="0"/>
        <w:adjustRightInd/>
        <w:snapToGrid w:val="0"/>
        <w:spacing w:line="440" w:lineRule="exact"/>
        <w:ind w:left="210" w:firstLine="238" w:firstLineChars="100"/>
        <w:jc w:val="both"/>
        <w:textAlignment w:val="auto"/>
        <w:rPr>
          <w:rFonts w:hint="default" w:ascii="Times New Roman" w:hAnsi="Times New Roman" w:eastAsia="宋体" w:cs="Times New Roman"/>
          <w:b/>
          <w:bCs w:val="0"/>
          <w:color w:val="auto"/>
          <w:w w:val="99"/>
          <w:sz w:val="24"/>
          <w:szCs w:val="24"/>
          <w:highlight w:val="none"/>
          <w:lang w:val="en-US" w:eastAsia="zh-CN" w:bidi="ar-SA"/>
        </w:rPr>
      </w:pPr>
      <w:r>
        <w:rPr>
          <w:rFonts w:hint="default" w:ascii="Times New Roman" w:hAnsi="Times New Roman" w:eastAsia="宋体" w:cs="Times New Roman"/>
          <w:b/>
          <w:bCs w:val="0"/>
          <w:color w:val="auto"/>
          <w:w w:val="99"/>
          <w:sz w:val="24"/>
          <w:szCs w:val="24"/>
          <w:highlight w:val="none"/>
          <w:lang w:val="en-US" w:eastAsia="zh-CN" w:bidi="ar-SA"/>
        </w:rPr>
        <w:t>表</w:t>
      </w:r>
      <w:r>
        <w:rPr>
          <w:rFonts w:hint="eastAsia" w:ascii="Times New Roman" w:hAnsi="Times New Roman" w:eastAsia="宋体" w:cs="Times New Roman"/>
          <w:b/>
          <w:bCs w:val="0"/>
          <w:color w:val="auto"/>
          <w:w w:val="99"/>
          <w:sz w:val="24"/>
          <w:szCs w:val="24"/>
          <w:highlight w:val="none"/>
          <w:lang w:val="en-US" w:eastAsia="zh-CN" w:bidi="ar-SA"/>
        </w:rPr>
        <w:t>3.5-1</w:t>
      </w:r>
      <w:r>
        <w:rPr>
          <w:rFonts w:hint="default" w:ascii="Times New Roman" w:hAnsi="Times New Roman" w:eastAsia="宋体" w:cs="Times New Roman"/>
          <w:b/>
          <w:bCs w:val="0"/>
          <w:color w:val="auto"/>
          <w:w w:val="99"/>
          <w:sz w:val="24"/>
          <w:szCs w:val="24"/>
          <w:highlight w:val="none"/>
          <w:lang w:val="en-US" w:eastAsia="zh-CN" w:bidi="ar-SA"/>
        </w:rPr>
        <w:t xml:space="preserve">  </w:t>
      </w:r>
      <w:r>
        <w:rPr>
          <w:rFonts w:hint="eastAsia" w:ascii="Times New Roman" w:hAnsi="Times New Roman" w:eastAsia="宋体" w:cs="Times New Roman"/>
          <w:b/>
          <w:bCs w:val="0"/>
          <w:color w:val="auto"/>
          <w:w w:val="99"/>
          <w:sz w:val="24"/>
          <w:szCs w:val="24"/>
          <w:highlight w:val="none"/>
          <w:lang w:val="en-US" w:eastAsia="zh-CN" w:bidi="ar-SA"/>
        </w:rPr>
        <w:t xml:space="preserve">  采气井场</w:t>
      </w:r>
      <w:r>
        <w:rPr>
          <w:rFonts w:hint="default" w:ascii="Times New Roman" w:hAnsi="Times New Roman" w:eastAsia="宋体" w:cs="Times New Roman"/>
          <w:b/>
          <w:bCs w:val="0"/>
          <w:color w:val="auto"/>
          <w:w w:val="99"/>
          <w:sz w:val="24"/>
          <w:szCs w:val="24"/>
          <w:highlight w:val="none"/>
          <w:lang w:val="en-US" w:eastAsia="zh-CN" w:bidi="ar-SA"/>
        </w:rPr>
        <w:t>主要工程内容汇总表</w:t>
      </w:r>
    </w:p>
    <w:tbl>
      <w:tblPr>
        <w:tblStyle w:val="80"/>
        <w:tblW w:w="49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72"/>
        <w:gridCol w:w="5207"/>
        <w:gridCol w:w="1065"/>
        <w:gridCol w:w="1020"/>
        <w:gridCol w:w="1020"/>
      </w:tblGrid>
      <w:tr w14:paraId="2F3DD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25" w:type="pct"/>
            <w:tcBorders>
              <w:top w:val="single" w:color="auto" w:sz="4" w:space="0"/>
              <w:left w:val="single" w:color="auto" w:sz="4" w:space="0"/>
            </w:tcBorders>
            <w:tcMar>
              <w:top w:w="15" w:type="dxa"/>
              <w:left w:w="15" w:type="dxa"/>
              <w:right w:w="15" w:type="dxa"/>
            </w:tcMar>
            <w:vAlign w:val="center"/>
          </w:tcPr>
          <w:p w14:paraId="0BAB2535">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default" w:ascii="Times New Roman" w:hAnsi="Times New Roman" w:eastAsia="宋体" w:cs="Times New Roman"/>
                <w:bCs/>
                <w:color w:val="auto"/>
                <w:w w:val="99"/>
                <w:sz w:val="21"/>
                <w:szCs w:val="21"/>
                <w:highlight w:val="none"/>
                <w:lang w:val="en-US" w:eastAsia="zh-CN" w:bidi="ar-SA"/>
              </w:rPr>
              <w:t>序号</w:t>
            </w:r>
          </w:p>
        </w:tc>
        <w:tc>
          <w:tcPr>
            <w:tcW w:w="2865" w:type="pct"/>
            <w:tcBorders>
              <w:top w:val="single" w:color="auto" w:sz="4" w:space="0"/>
            </w:tcBorders>
            <w:tcMar>
              <w:top w:w="15" w:type="dxa"/>
              <w:left w:w="15" w:type="dxa"/>
              <w:right w:w="15" w:type="dxa"/>
            </w:tcMar>
            <w:vAlign w:val="center"/>
          </w:tcPr>
          <w:p w14:paraId="47A39687">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default" w:ascii="Times New Roman" w:hAnsi="Times New Roman" w:eastAsia="宋体" w:cs="Times New Roman"/>
                <w:bCs/>
                <w:color w:val="auto"/>
                <w:w w:val="99"/>
                <w:sz w:val="21"/>
                <w:szCs w:val="21"/>
                <w:highlight w:val="none"/>
                <w:lang w:val="en-US" w:eastAsia="zh-CN" w:bidi="ar-SA"/>
              </w:rPr>
              <w:t>主要工程内容</w:t>
            </w:r>
          </w:p>
        </w:tc>
        <w:tc>
          <w:tcPr>
            <w:tcW w:w="586" w:type="pct"/>
            <w:tcBorders>
              <w:top w:val="single" w:color="auto" w:sz="4" w:space="0"/>
            </w:tcBorders>
            <w:tcMar>
              <w:top w:w="15" w:type="dxa"/>
              <w:left w:w="15" w:type="dxa"/>
              <w:right w:w="15" w:type="dxa"/>
            </w:tcMar>
            <w:vAlign w:val="center"/>
          </w:tcPr>
          <w:p w14:paraId="30758ECF">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default" w:ascii="Times New Roman" w:hAnsi="Times New Roman" w:eastAsia="宋体" w:cs="Times New Roman"/>
                <w:bCs/>
                <w:color w:val="auto"/>
                <w:w w:val="99"/>
                <w:sz w:val="21"/>
                <w:szCs w:val="21"/>
                <w:highlight w:val="none"/>
                <w:lang w:val="en-US" w:eastAsia="zh-CN" w:bidi="ar-SA"/>
              </w:rPr>
              <w:t>单位</w:t>
            </w:r>
          </w:p>
        </w:tc>
        <w:tc>
          <w:tcPr>
            <w:tcW w:w="561" w:type="pct"/>
            <w:tcBorders>
              <w:top w:val="single" w:color="auto" w:sz="4" w:space="0"/>
            </w:tcBorders>
            <w:tcMar>
              <w:top w:w="15" w:type="dxa"/>
              <w:left w:w="15" w:type="dxa"/>
              <w:right w:w="15" w:type="dxa"/>
            </w:tcMar>
            <w:vAlign w:val="center"/>
          </w:tcPr>
          <w:p w14:paraId="78C7AD26">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default" w:ascii="Times New Roman" w:hAnsi="Times New Roman" w:eastAsia="宋体" w:cs="Times New Roman"/>
                <w:bCs/>
                <w:color w:val="auto"/>
                <w:w w:val="99"/>
                <w:sz w:val="21"/>
                <w:szCs w:val="21"/>
                <w:highlight w:val="none"/>
                <w:lang w:val="en-US" w:eastAsia="zh-CN" w:bidi="ar-SA"/>
              </w:rPr>
              <w:t>数量</w:t>
            </w:r>
          </w:p>
        </w:tc>
        <w:tc>
          <w:tcPr>
            <w:tcW w:w="561" w:type="pct"/>
            <w:tcBorders>
              <w:top w:val="single" w:color="auto" w:sz="4" w:space="0"/>
              <w:right w:val="single" w:color="auto" w:sz="4" w:space="0"/>
            </w:tcBorders>
            <w:tcMar>
              <w:top w:w="15" w:type="dxa"/>
              <w:left w:w="15" w:type="dxa"/>
              <w:right w:w="15" w:type="dxa"/>
            </w:tcMar>
            <w:vAlign w:val="center"/>
          </w:tcPr>
          <w:p w14:paraId="52F4EAA2">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p>
        </w:tc>
      </w:tr>
      <w:tr w14:paraId="119E2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left w:val="single" w:color="auto" w:sz="4" w:space="0"/>
            </w:tcBorders>
            <w:tcMar>
              <w:top w:w="15" w:type="dxa"/>
              <w:left w:w="15" w:type="dxa"/>
              <w:right w:w="15" w:type="dxa"/>
            </w:tcMar>
            <w:vAlign w:val="center"/>
          </w:tcPr>
          <w:p w14:paraId="1813C575">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1</w:t>
            </w:r>
          </w:p>
        </w:tc>
        <w:tc>
          <w:tcPr>
            <w:tcW w:w="2865" w:type="pct"/>
            <w:tcMar>
              <w:top w:w="15" w:type="dxa"/>
              <w:left w:w="15" w:type="dxa"/>
              <w:right w:w="15" w:type="dxa"/>
            </w:tcMar>
            <w:vAlign w:val="center"/>
          </w:tcPr>
          <w:p w14:paraId="3FF1A0A2">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井口紧急切断装置10000psi</w:t>
            </w:r>
          </w:p>
        </w:tc>
        <w:tc>
          <w:tcPr>
            <w:tcW w:w="586" w:type="pct"/>
            <w:tcMar>
              <w:top w:w="15" w:type="dxa"/>
              <w:left w:w="15" w:type="dxa"/>
              <w:right w:w="15" w:type="dxa"/>
            </w:tcMar>
            <w:vAlign w:val="center"/>
          </w:tcPr>
          <w:p w14:paraId="5E120948">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套</w:t>
            </w:r>
          </w:p>
        </w:tc>
        <w:tc>
          <w:tcPr>
            <w:tcW w:w="561" w:type="pct"/>
            <w:tcMar>
              <w:top w:w="15" w:type="dxa"/>
              <w:left w:w="15" w:type="dxa"/>
              <w:right w:w="15" w:type="dxa"/>
            </w:tcMar>
            <w:vAlign w:val="center"/>
          </w:tcPr>
          <w:p w14:paraId="0E22C9F7">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1</w:t>
            </w:r>
          </w:p>
        </w:tc>
        <w:tc>
          <w:tcPr>
            <w:tcW w:w="561" w:type="pct"/>
            <w:tcBorders>
              <w:right w:val="single" w:color="auto" w:sz="4" w:space="0"/>
            </w:tcBorders>
            <w:tcMar>
              <w:top w:w="15" w:type="dxa"/>
              <w:left w:w="15" w:type="dxa"/>
              <w:right w:w="15" w:type="dxa"/>
            </w:tcMar>
            <w:vAlign w:val="center"/>
          </w:tcPr>
          <w:p w14:paraId="79A52576">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p>
        </w:tc>
      </w:tr>
      <w:tr w14:paraId="3F902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left w:val="single" w:color="auto" w:sz="4" w:space="0"/>
            </w:tcBorders>
            <w:tcMar>
              <w:top w:w="15" w:type="dxa"/>
              <w:left w:w="15" w:type="dxa"/>
              <w:right w:w="15" w:type="dxa"/>
            </w:tcMar>
            <w:vAlign w:val="center"/>
          </w:tcPr>
          <w:p w14:paraId="41EDFDF2">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2</w:t>
            </w:r>
          </w:p>
        </w:tc>
        <w:tc>
          <w:tcPr>
            <w:tcW w:w="2865" w:type="pct"/>
            <w:tcMar>
              <w:top w:w="15" w:type="dxa"/>
              <w:left w:w="15" w:type="dxa"/>
              <w:right w:w="15" w:type="dxa"/>
            </w:tcMar>
            <w:vAlign w:val="center"/>
          </w:tcPr>
          <w:p w14:paraId="5E97A26C">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default" w:ascii="Times New Roman" w:hAnsi="Times New Roman" w:eastAsia="宋体" w:cs="Times New Roman"/>
                <w:bCs/>
                <w:color w:val="auto"/>
                <w:w w:val="99"/>
                <w:sz w:val="21"/>
                <w:szCs w:val="21"/>
                <w:highlight w:val="none"/>
                <w:lang w:val="en-US" w:eastAsia="zh-CN" w:bidi="ar-SA"/>
              </w:rPr>
              <w:t>80kW 防爆电磁涡流加热装置</w:t>
            </w:r>
          </w:p>
        </w:tc>
        <w:tc>
          <w:tcPr>
            <w:tcW w:w="586" w:type="pct"/>
            <w:tcMar>
              <w:top w:w="15" w:type="dxa"/>
              <w:left w:w="15" w:type="dxa"/>
              <w:right w:w="15" w:type="dxa"/>
            </w:tcMar>
            <w:vAlign w:val="center"/>
          </w:tcPr>
          <w:p w14:paraId="4ED74D89">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台</w:t>
            </w:r>
          </w:p>
        </w:tc>
        <w:tc>
          <w:tcPr>
            <w:tcW w:w="561" w:type="pct"/>
            <w:tcMar>
              <w:top w:w="15" w:type="dxa"/>
              <w:left w:w="15" w:type="dxa"/>
              <w:right w:w="15" w:type="dxa"/>
            </w:tcMar>
            <w:vAlign w:val="center"/>
          </w:tcPr>
          <w:p w14:paraId="4502852B">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1</w:t>
            </w:r>
          </w:p>
        </w:tc>
        <w:tc>
          <w:tcPr>
            <w:tcW w:w="561" w:type="pct"/>
            <w:tcBorders>
              <w:right w:val="single" w:color="auto" w:sz="4" w:space="0"/>
            </w:tcBorders>
            <w:tcMar>
              <w:top w:w="15" w:type="dxa"/>
              <w:left w:w="15" w:type="dxa"/>
              <w:right w:w="15" w:type="dxa"/>
            </w:tcMar>
            <w:vAlign w:val="center"/>
          </w:tcPr>
          <w:p w14:paraId="0D9DE7CF">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p>
        </w:tc>
      </w:tr>
      <w:tr w14:paraId="03457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left w:val="single" w:color="auto" w:sz="4" w:space="0"/>
            </w:tcBorders>
            <w:tcMar>
              <w:top w:w="15" w:type="dxa"/>
              <w:left w:w="15" w:type="dxa"/>
              <w:right w:w="15" w:type="dxa"/>
            </w:tcMar>
            <w:vAlign w:val="center"/>
          </w:tcPr>
          <w:p w14:paraId="1D35CA78">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3</w:t>
            </w:r>
          </w:p>
        </w:tc>
        <w:tc>
          <w:tcPr>
            <w:tcW w:w="2865" w:type="pct"/>
            <w:shd w:val="clear" w:color="auto" w:fill="auto"/>
            <w:tcMar>
              <w:top w:w="15" w:type="dxa"/>
              <w:left w:w="15" w:type="dxa"/>
              <w:right w:w="15" w:type="dxa"/>
            </w:tcMar>
            <w:vAlign w:val="center"/>
          </w:tcPr>
          <w:p w14:paraId="674D05B8">
            <w:pPr>
              <w:pStyle w:val="104"/>
              <w:spacing w:line="240" w:lineRule="auto"/>
              <w:ind w:left="0" w:leftChars="0" w:firstLine="0" w:firstLineChars="0"/>
              <w:jc w:val="center"/>
              <w:rPr>
                <w:rFonts w:hint="eastAsia"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井口除砂器</w:t>
            </w:r>
          </w:p>
        </w:tc>
        <w:tc>
          <w:tcPr>
            <w:tcW w:w="586" w:type="pct"/>
            <w:shd w:val="clear" w:color="auto" w:fill="auto"/>
            <w:tcMar>
              <w:top w:w="15" w:type="dxa"/>
              <w:left w:w="15" w:type="dxa"/>
              <w:right w:w="15" w:type="dxa"/>
            </w:tcMar>
            <w:vAlign w:val="center"/>
          </w:tcPr>
          <w:p w14:paraId="7EB4851A">
            <w:pPr>
              <w:pStyle w:val="104"/>
              <w:spacing w:line="240" w:lineRule="auto"/>
              <w:ind w:left="0" w:leftChars="0" w:firstLine="0" w:firstLineChars="0"/>
              <w:jc w:val="center"/>
              <w:rPr>
                <w:rFonts w:hint="eastAsia"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座</w:t>
            </w:r>
          </w:p>
        </w:tc>
        <w:tc>
          <w:tcPr>
            <w:tcW w:w="561" w:type="pct"/>
            <w:shd w:val="clear" w:color="auto" w:fill="auto"/>
            <w:tcMar>
              <w:top w:w="15" w:type="dxa"/>
              <w:left w:w="15" w:type="dxa"/>
              <w:right w:w="15" w:type="dxa"/>
            </w:tcMar>
            <w:vAlign w:val="center"/>
          </w:tcPr>
          <w:p w14:paraId="794A81CC">
            <w:pPr>
              <w:pStyle w:val="104"/>
              <w:spacing w:line="240" w:lineRule="auto"/>
              <w:ind w:left="0" w:leftChars="0" w:firstLine="0" w:firstLineChars="0"/>
              <w:jc w:val="center"/>
              <w:rPr>
                <w:rFonts w:hint="eastAsia"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1</w:t>
            </w:r>
          </w:p>
        </w:tc>
        <w:tc>
          <w:tcPr>
            <w:tcW w:w="561" w:type="pct"/>
            <w:tcBorders>
              <w:right w:val="single" w:color="auto" w:sz="4" w:space="0"/>
            </w:tcBorders>
            <w:tcMar>
              <w:top w:w="15" w:type="dxa"/>
              <w:left w:w="15" w:type="dxa"/>
              <w:right w:w="15" w:type="dxa"/>
            </w:tcMar>
            <w:vAlign w:val="center"/>
          </w:tcPr>
          <w:p w14:paraId="6EB9A8AA">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p>
        </w:tc>
      </w:tr>
      <w:tr w14:paraId="14D7E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left w:val="single" w:color="auto" w:sz="4" w:space="0"/>
            </w:tcBorders>
            <w:tcMar>
              <w:top w:w="15" w:type="dxa"/>
              <w:left w:w="15" w:type="dxa"/>
              <w:right w:w="15" w:type="dxa"/>
            </w:tcMar>
            <w:vAlign w:val="center"/>
          </w:tcPr>
          <w:p w14:paraId="19C1E5B9">
            <w:pPr>
              <w:pStyle w:val="104"/>
              <w:spacing w:line="240" w:lineRule="auto"/>
              <w:ind w:left="0" w:leftChars="0" w:firstLine="0" w:firstLineChars="0"/>
              <w:jc w:val="center"/>
              <w:rPr>
                <w:rFonts w:hint="eastAsia"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4</w:t>
            </w:r>
          </w:p>
        </w:tc>
        <w:tc>
          <w:tcPr>
            <w:tcW w:w="2865" w:type="pct"/>
            <w:shd w:val="clear" w:color="auto" w:fill="auto"/>
            <w:tcMar>
              <w:top w:w="15" w:type="dxa"/>
              <w:left w:w="15" w:type="dxa"/>
              <w:right w:w="15" w:type="dxa"/>
            </w:tcMar>
            <w:vAlign w:val="center"/>
          </w:tcPr>
          <w:p w14:paraId="149A1BF5">
            <w:pPr>
              <w:pStyle w:val="104"/>
              <w:spacing w:line="240" w:lineRule="auto"/>
              <w:ind w:left="0" w:leftChars="0" w:firstLine="0" w:firstLineChars="0"/>
              <w:jc w:val="center"/>
              <w:rPr>
                <w:rFonts w:hint="eastAsia"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放空立管DN100</w:t>
            </w:r>
          </w:p>
        </w:tc>
        <w:tc>
          <w:tcPr>
            <w:tcW w:w="586" w:type="pct"/>
            <w:shd w:val="clear" w:color="auto" w:fill="auto"/>
            <w:tcMar>
              <w:top w:w="15" w:type="dxa"/>
              <w:left w:w="15" w:type="dxa"/>
              <w:right w:w="15" w:type="dxa"/>
            </w:tcMar>
            <w:vAlign w:val="center"/>
          </w:tcPr>
          <w:p w14:paraId="64B9382C">
            <w:pPr>
              <w:pStyle w:val="104"/>
              <w:spacing w:line="240" w:lineRule="auto"/>
              <w:ind w:left="0" w:leftChars="0" w:firstLine="0" w:firstLineChars="0"/>
              <w:jc w:val="center"/>
              <w:rPr>
                <w:rFonts w:hint="eastAsia"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套</w:t>
            </w:r>
          </w:p>
        </w:tc>
        <w:tc>
          <w:tcPr>
            <w:tcW w:w="561" w:type="pct"/>
            <w:shd w:val="clear" w:color="auto" w:fill="auto"/>
            <w:tcMar>
              <w:top w:w="15" w:type="dxa"/>
              <w:left w:w="15" w:type="dxa"/>
              <w:right w:w="15" w:type="dxa"/>
            </w:tcMar>
            <w:vAlign w:val="center"/>
          </w:tcPr>
          <w:p w14:paraId="06A16A31">
            <w:pPr>
              <w:pStyle w:val="104"/>
              <w:spacing w:line="240" w:lineRule="auto"/>
              <w:ind w:left="0" w:leftChars="0" w:firstLine="0" w:firstLineChars="0"/>
              <w:jc w:val="center"/>
              <w:rPr>
                <w:rFonts w:hint="eastAsia"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1</w:t>
            </w:r>
          </w:p>
        </w:tc>
        <w:tc>
          <w:tcPr>
            <w:tcW w:w="561" w:type="pct"/>
            <w:tcBorders>
              <w:right w:val="single" w:color="auto" w:sz="4" w:space="0"/>
            </w:tcBorders>
            <w:tcMar>
              <w:top w:w="15" w:type="dxa"/>
              <w:left w:w="15" w:type="dxa"/>
              <w:right w:w="15" w:type="dxa"/>
            </w:tcMar>
            <w:vAlign w:val="center"/>
          </w:tcPr>
          <w:p w14:paraId="238399DA">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p>
        </w:tc>
      </w:tr>
      <w:tr w14:paraId="6CCB4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left w:val="single" w:color="auto" w:sz="4" w:space="0"/>
            </w:tcBorders>
            <w:tcMar>
              <w:top w:w="15" w:type="dxa"/>
              <w:left w:w="15" w:type="dxa"/>
              <w:right w:w="15" w:type="dxa"/>
            </w:tcMar>
            <w:vAlign w:val="center"/>
          </w:tcPr>
          <w:p w14:paraId="50C0B3C3">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5</w:t>
            </w:r>
          </w:p>
        </w:tc>
        <w:tc>
          <w:tcPr>
            <w:tcW w:w="2865" w:type="pct"/>
            <w:shd w:val="clear" w:color="auto" w:fill="auto"/>
            <w:tcMar>
              <w:top w:w="15" w:type="dxa"/>
              <w:left w:w="15" w:type="dxa"/>
              <w:right w:w="15" w:type="dxa"/>
            </w:tcMar>
            <w:vAlign w:val="center"/>
          </w:tcPr>
          <w:p w14:paraId="423468A8">
            <w:pPr>
              <w:pStyle w:val="104"/>
              <w:spacing w:line="240" w:lineRule="auto"/>
              <w:ind w:left="0" w:leftChars="0"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4.2m大门</w:t>
            </w:r>
          </w:p>
        </w:tc>
        <w:tc>
          <w:tcPr>
            <w:tcW w:w="586" w:type="pct"/>
            <w:shd w:val="clear" w:color="auto" w:fill="auto"/>
            <w:tcMar>
              <w:top w:w="15" w:type="dxa"/>
              <w:left w:w="15" w:type="dxa"/>
              <w:right w:w="15" w:type="dxa"/>
            </w:tcMar>
            <w:vAlign w:val="center"/>
          </w:tcPr>
          <w:p w14:paraId="353D9FD4">
            <w:pPr>
              <w:pStyle w:val="104"/>
              <w:spacing w:line="240" w:lineRule="auto"/>
              <w:ind w:left="0" w:leftChars="0" w:firstLine="0" w:firstLineChars="0"/>
              <w:jc w:val="center"/>
              <w:rPr>
                <w:rFonts w:hint="eastAsia"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座</w:t>
            </w:r>
          </w:p>
        </w:tc>
        <w:tc>
          <w:tcPr>
            <w:tcW w:w="561" w:type="pct"/>
            <w:shd w:val="clear" w:color="auto" w:fill="auto"/>
            <w:tcMar>
              <w:top w:w="15" w:type="dxa"/>
              <w:left w:w="15" w:type="dxa"/>
              <w:right w:w="15" w:type="dxa"/>
            </w:tcMar>
            <w:vAlign w:val="center"/>
          </w:tcPr>
          <w:p w14:paraId="3C080522">
            <w:pPr>
              <w:pStyle w:val="104"/>
              <w:spacing w:line="240" w:lineRule="auto"/>
              <w:ind w:left="0" w:leftChars="0" w:firstLine="0" w:firstLineChars="0"/>
              <w:jc w:val="center"/>
              <w:rPr>
                <w:rFonts w:hint="eastAsia"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1</w:t>
            </w:r>
          </w:p>
        </w:tc>
        <w:tc>
          <w:tcPr>
            <w:tcW w:w="561" w:type="pct"/>
            <w:tcBorders>
              <w:right w:val="single" w:color="auto" w:sz="4" w:space="0"/>
            </w:tcBorders>
            <w:tcMar>
              <w:top w:w="15" w:type="dxa"/>
              <w:left w:w="15" w:type="dxa"/>
              <w:right w:w="15" w:type="dxa"/>
            </w:tcMar>
            <w:vAlign w:val="center"/>
          </w:tcPr>
          <w:p w14:paraId="69A3DCFD">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p>
        </w:tc>
      </w:tr>
      <w:tr w14:paraId="1C87C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left w:val="single" w:color="auto" w:sz="4" w:space="0"/>
            </w:tcBorders>
            <w:tcMar>
              <w:top w:w="15" w:type="dxa"/>
              <w:left w:w="15" w:type="dxa"/>
              <w:right w:w="15" w:type="dxa"/>
            </w:tcMar>
            <w:vAlign w:val="center"/>
          </w:tcPr>
          <w:p w14:paraId="6350BE1D">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6</w:t>
            </w:r>
          </w:p>
        </w:tc>
        <w:tc>
          <w:tcPr>
            <w:tcW w:w="2865" w:type="pct"/>
            <w:shd w:val="clear" w:color="auto" w:fill="auto"/>
            <w:tcMar>
              <w:top w:w="15" w:type="dxa"/>
              <w:left w:w="15" w:type="dxa"/>
              <w:right w:w="15" w:type="dxa"/>
            </w:tcMar>
            <w:vAlign w:val="center"/>
          </w:tcPr>
          <w:p w14:paraId="259083A9">
            <w:pPr>
              <w:pStyle w:val="104"/>
              <w:spacing w:line="240" w:lineRule="auto"/>
              <w:ind w:left="0" w:leftChars="0"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井口围栏</w:t>
            </w:r>
          </w:p>
        </w:tc>
        <w:tc>
          <w:tcPr>
            <w:tcW w:w="586" w:type="pct"/>
            <w:shd w:val="clear" w:color="auto" w:fill="auto"/>
            <w:tcMar>
              <w:top w:w="15" w:type="dxa"/>
              <w:left w:w="15" w:type="dxa"/>
              <w:right w:w="15" w:type="dxa"/>
            </w:tcMar>
            <w:vAlign w:val="center"/>
          </w:tcPr>
          <w:p w14:paraId="0A5ADFDD">
            <w:pPr>
              <w:pStyle w:val="104"/>
              <w:spacing w:line="240" w:lineRule="auto"/>
              <w:ind w:left="0" w:leftChars="0"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m</w:t>
            </w:r>
          </w:p>
        </w:tc>
        <w:tc>
          <w:tcPr>
            <w:tcW w:w="561" w:type="pct"/>
            <w:shd w:val="clear" w:color="auto" w:fill="auto"/>
            <w:tcMar>
              <w:top w:w="15" w:type="dxa"/>
              <w:left w:w="15" w:type="dxa"/>
              <w:right w:w="15" w:type="dxa"/>
            </w:tcMar>
            <w:vAlign w:val="center"/>
          </w:tcPr>
          <w:p w14:paraId="05B12579">
            <w:pPr>
              <w:pStyle w:val="104"/>
              <w:spacing w:line="240" w:lineRule="auto"/>
              <w:ind w:left="0" w:leftChars="0"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700</w:t>
            </w:r>
          </w:p>
        </w:tc>
        <w:tc>
          <w:tcPr>
            <w:tcW w:w="561" w:type="pct"/>
            <w:tcBorders>
              <w:right w:val="single" w:color="auto" w:sz="4" w:space="0"/>
            </w:tcBorders>
            <w:tcMar>
              <w:top w:w="15" w:type="dxa"/>
              <w:left w:w="15" w:type="dxa"/>
              <w:right w:w="15" w:type="dxa"/>
            </w:tcMar>
            <w:vAlign w:val="center"/>
          </w:tcPr>
          <w:p w14:paraId="08C60081">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p>
        </w:tc>
      </w:tr>
      <w:tr w14:paraId="6261C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left w:val="single" w:color="auto" w:sz="4" w:space="0"/>
            </w:tcBorders>
            <w:tcMar>
              <w:top w:w="15" w:type="dxa"/>
              <w:left w:w="15" w:type="dxa"/>
              <w:right w:w="15" w:type="dxa"/>
            </w:tcMar>
            <w:vAlign w:val="center"/>
          </w:tcPr>
          <w:p w14:paraId="4098F04E">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7</w:t>
            </w:r>
          </w:p>
        </w:tc>
        <w:tc>
          <w:tcPr>
            <w:tcW w:w="2865" w:type="pct"/>
            <w:shd w:val="clear" w:color="auto" w:fill="auto"/>
            <w:tcMar>
              <w:top w:w="15" w:type="dxa"/>
              <w:left w:w="15" w:type="dxa"/>
              <w:right w:w="15" w:type="dxa"/>
            </w:tcMar>
            <w:vAlign w:val="center"/>
          </w:tcPr>
          <w:p w14:paraId="2D39DA2F">
            <w:pPr>
              <w:pStyle w:val="104"/>
              <w:spacing w:line="240" w:lineRule="auto"/>
              <w:ind w:left="0" w:leftChars="0"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井口放空池</w:t>
            </w:r>
          </w:p>
        </w:tc>
        <w:tc>
          <w:tcPr>
            <w:tcW w:w="586" w:type="pct"/>
            <w:shd w:val="clear" w:color="auto" w:fill="auto"/>
            <w:tcMar>
              <w:top w:w="15" w:type="dxa"/>
              <w:left w:w="15" w:type="dxa"/>
              <w:right w:w="15" w:type="dxa"/>
            </w:tcMar>
            <w:vAlign w:val="center"/>
          </w:tcPr>
          <w:p w14:paraId="67BBB588">
            <w:pPr>
              <w:pStyle w:val="104"/>
              <w:spacing w:line="240" w:lineRule="auto"/>
              <w:ind w:left="0" w:leftChars="0"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座</w:t>
            </w:r>
          </w:p>
        </w:tc>
        <w:tc>
          <w:tcPr>
            <w:tcW w:w="561" w:type="pct"/>
            <w:shd w:val="clear" w:color="auto" w:fill="auto"/>
            <w:tcMar>
              <w:top w:w="15" w:type="dxa"/>
              <w:left w:w="15" w:type="dxa"/>
              <w:right w:w="15" w:type="dxa"/>
            </w:tcMar>
            <w:vAlign w:val="center"/>
          </w:tcPr>
          <w:p w14:paraId="7D24B4E4">
            <w:pPr>
              <w:pStyle w:val="104"/>
              <w:spacing w:line="240" w:lineRule="auto"/>
              <w:ind w:left="0" w:leftChars="0"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1</w:t>
            </w:r>
          </w:p>
        </w:tc>
        <w:tc>
          <w:tcPr>
            <w:tcW w:w="561" w:type="pct"/>
            <w:tcBorders>
              <w:right w:val="single" w:color="auto" w:sz="4" w:space="0"/>
            </w:tcBorders>
            <w:tcMar>
              <w:top w:w="15" w:type="dxa"/>
              <w:left w:w="15" w:type="dxa"/>
              <w:right w:w="15" w:type="dxa"/>
            </w:tcMar>
            <w:vAlign w:val="center"/>
          </w:tcPr>
          <w:p w14:paraId="3A08521B">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p>
        </w:tc>
      </w:tr>
      <w:tr w14:paraId="3FDE6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5" w:type="pct"/>
            <w:tcBorders>
              <w:left w:val="single" w:color="auto" w:sz="4" w:space="0"/>
            </w:tcBorders>
            <w:tcMar>
              <w:top w:w="15" w:type="dxa"/>
              <w:left w:w="15" w:type="dxa"/>
              <w:right w:w="15" w:type="dxa"/>
            </w:tcMar>
            <w:vAlign w:val="center"/>
          </w:tcPr>
          <w:p w14:paraId="66DFBA12">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8</w:t>
            </w:r>
          </w:p>
        </w:tc>
        <w:tc>
          <w:tcPr>
            <w:tcW w:w="2865" w:type="pct"/>
            <w:shd w:val="clear" w:color="auto" w:fill="auto"/>
            <w:tcMar>
              <w:top w:w="15" w:type="dxa"/>
              <w:left w:w="15" w:type="dxa"/>
              <w:right w:w="15" w:type="dxa"/>
            </w:tcMar>
            <w:vAlign w:val="center"/>
          </w:tcPr>
          <w:p w14:paraId="35F3FEF8">
            <w:pPr>
              <w:pStyle w:val="104"/>
              <w:spacing w:line="240" w:lineRule="auto"/>
              <w:ind w:left="0" w:leftChars="0"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防渗污水坑</w:t>
            </w:r>
          </w:p>
        </w:tc>
        <w:tc>
          <w:tcPr>
            <w:tcW w:w="586" w:type="pct"/>
            <w:shd w:val="clear" w:color="auto" w:fill="auto"/>
            <w:tcMar>
              <w:top w:w="15" w:type="dxa"/>
              <w:left w:w="15" w:type="dxa"/>
              <w:right w:w="15" w:type="dxa"/>
            </w:tcMar>
            <w:vAlign w:val="center"/>
          </w:tcPr>
          <w:p w14:paraId="3C511153">
            <w:pPr>
              <w:pStyle w:val="104"/>
              <w:spacing w:line="240" w:lineRule="auto"/>
              <w:ind w:left="0" w:leftChars="0"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套</w:t>
            </w:r>
          </w:p>
        </w:tc>
        <w:tc>
          <w:tcPr>
            <w:tcW w:w="561" w:type="pct"/>
            <w:shd w:val="clear" w:color="auto" w:fill="auto"/>
            <w:tcMar>
              <w:top w:w="15" w:type="dxa"/>
              <w:left w:w="15" w:type="dxa"/>
              <w:right w:w="15" w:type="dxa"/>
            </w:tcMar>
            <w:vAlign w:val="center"/>
          </w:tcPr>
          <w:p w14:paraId="73F40BEC">
            <w:pPr>
              <w:pStyle w:val="104"/>
              <w:spacing w:line="240" w:lineRule="auto"/>
              <w:ind w:left="0" w:leftChars="0"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sz w:val="21"/>
                <w:szCs w:val="21"/>
                <w:highlight w:val="none"/>
                <w:lang w:val="en-US" w:eastAsia="zh-CN" w:bidi="ar-SA"/>
              </w:rPr>
              <w:t>1</w:t>
            </w:r>
          </w:p>
        </w:tc>
        <w:tc>
          <w:tcPr>
            <w:tcW w:w="561" w:type="pct"/>
            <w:tcBorders>
              <w:right w:val="single" w:color="auto" w:sz="4" w:space="0"/>
            </w:tcBorders>
            <w:tcMar>
              <w:top w:w="15" w:type="dxa"/>
              <w:left w:w="15" w:type="dxa"/>
              <w:right w:w="15" w:type="dxa"/>
            </w:tcMar>
            <w:vAlign w:val="center"/>
          </w:tcPr>
          <w:p w14:paraId="58CBBB57">
            <w:pPr>
              <w:pStyle w:val="104"/>
              <w:spacing w:line="240" w:lineRule="auto"/>
              <w:ind w:left="0" w:leftChars="0" w:firstLine="0" w:firstLineChars="0"/>
              <w:jc w:val="center"/>
              <w:rPr>
                <w:rFonts w:hint="default" w:ascii="Times New Roman" w:hAnsi="Times New Roman" w:eastAsia="宋体" w:cs="Times New Roman"/>
                <w:bCs/>
                <w:color w:val="auto"/>
                <w:w w:val="99"/>
                <w:sz w:val="21"/>
                <w:szCs w:val="21"/>
                <w:highlight w:val="none"/>
                <w:lang w:val="en-US" w:eastAsia="zh-CN" w:bidi="ar-SA"/>
              </w:rPr>
            </w:pPr>
          </w:p>
        </w:tc>
      </w:tr>
    </w:tbl>
    <w:p w14:paraId="33789E87">
      <w:pPr>
        <w:keepNext w:val="0"/>
        <w:keepLines w:val="0"/>
        <w:pageBreakBefore w:val="0"/>
        <w:widowControl/>
        <w:kinsoku/>
        <w:wordWrap/>
        <w:overflowPunct/>
        <w:topLinePunct w:val="0"/>
        <w:autoSpaceDE/>
        <w:autoSpaceDN/>
        <w:bidi w:val="0"/>
        <w:adjustRightInd/>
        <w:snapToGrid/>
        <w:spacing w:line="440" w:lineRule="exact"/>
        <w:textAlignment w:val="auto"/>
        <w:outlineLvl w:val="2"/>
        <w:rPr>
          <w:rFonts w:ascii="Times New Roman" w:hAnsi="Times New Roman" w:cs="Times New Roman"/>
          <w:b/>
          <w:color w:val="auto"/>
          <w:w w:val="99"/>
          <w:szCs w:val="20"/>
          <w:highlight w:val="none"/>
        </w:rPr>
      </w:pPr>
      <w:r>
        <w:rPr>
          <w:rFonts w:ascii="Times New Roman" w:hAnsi="Times New Roman" w:cs="Times New Roman"/>
          <w:b/>
          <w:color w:val="auto"/>
          <w:w w:val="99"/>
          <w:szCs w:val="20"/>
          <w:highlight w:val="none"/>
        </w:rPr>
        <w:t>3.</w:t>
      </w:r>
      <w:r>
        <w:rPr>
          <w:rFonts w:hint="eastAsia" w:ascii="Times New Roman" w:hAnsi="Times New Roman" w:cs="Times New Roman"/>
          <w:b/>
          <w:color w:val="auto"/>
          <w:w w:val="99"/>
          <w:szCs w:val="20"/>
          <w:highlight w:val="none"/>
          <w:lang w:val="en-US" w:eastAsia="zh-CN"/>
        </w:rPr>
        <w:t>5</w:t>
      </w:r>
      <w:r>
        <w:rPr>
          <w:rFonts w:ascii="Times New Roman" w:hAnsi="Times New Roman" w:cs="Times New Roman"/>
          <w:b/>
          <w:color w:val="auto"/>
          <w:w w:val="99"/>
          <w:szCs w:val="20"/>
          <w:highlight w:val="none"/>
        </w:rPr>
        <w:t>.</w:t>
      </w:r>
      <w:r>
        <w:rPr>
          <w:rFonts w:hint="eastAsia" w:ascii="Times New Roman" w:hAnsi="Times New Roman" w:cs="Times New Roman"/>
          <w:b/>
          <w:color w:val="auto"/>
          <w:w w:val="99"/>
          <w:szCs w:val="20"/>
          <w:highlight w:val="none"/>
          <w:lang w:val="en-US" w:eastAsia="zh-CN"/>
        </w:rPr>
        <w:t>2天然气</w:t>
      </w:r>
      <w:r>
        <w:rPr>
          <w:rFonts w:ascii="Times New Roman" w:hAnsi="Times New Roman" w:cs="Times New Roman"/>
          <w:b/>
          <w:color w:val="auto"/>
          <w:w w:val="99"/>
          <w:szCs w:val="20"/>
          <w:highlight w:val="none"/>
        </w:rPr>
        <w:t>集输工程</w:t>
      </w:r>
    </w:p>
    <w:bookmarkEnd w:id="429"/>
    <w:p w14:paraId="6B05E934">
      <w:pPr>
        <w:spacing w:line="440" w:lineRule="exact"/>
        <w:ind w:firstLine="474" w:firstLineChars="200"/>
        <w:jc w:val="both"/>
        <w:rPr>
          <w:rFonts w:hint="default" w:ascii="Times New Roman" w:hAnsi="Times New Roman" w:cs="Times New Roman"/>
          <w:bCs/>
          <w:color w:val="auto"/>
          <w:w w:val="99"/>
          <w:highlight w:val="none"/>
        </w:rPr>
      </w:pPr>
      <w:r>
        <w:rPr>
          <w:rFonts w:hint="eastAsia" w:ascii="Times New Roman" w:hAnsi="Times New Roman" w:cs="Times New Roman"/>
          <w:bCs/>
          <w:color w:val="auto"/>
          <w:w w:val="99"/>
          <w:highlight w:val="none"/>
          <w:lang w:val="en-US" w:eastAsia="zh-CN"/>
        </w:rPr>
        <w:t>本项目</w:t>
      </w:r>
      <w:r>
        <w:rPr>
          <w:rFonts w:hint="default" w:ascii="Times New Roman" w:hAnsi="Times New Roman" w:cs="Times New Roman"/>
          <w:bCs/>
          <w:color w:val="auto"/>
          <w:w w:val="99"/>
          <w:highlight w:val="none"/>
        </w:rPr>
        <w:t>基建气井</w:t>
      </w:r>
      <w:r>
        <w:rPr>
          <w:rFonts w:hint="eastAsia" w:ascii="Times New Roman" w:hAnsi="Times New Roman" w:cs="Times New Roman"/>
          <w:bCs/>
          <w:color w:val="auto"/>
          <w:w w:val="99"/>
          <w:highlight w:val="none"/>
          <w:lang w:val="en-US" w:eastAsia="zh-CN"/>
        </w:rPr>
        <w:t>1</w:t>
      </w:r>
      <w:r>
        <w:rPr>
          <w:rFonts w:hint="default" w:ascii="Times New Roman" w:hAnsi="Times New Roman" w:cs="Times New Roman"/>
          <w:bCs/>
          <w:color w:val="auto"/>
          <w:w w:val="99"/>
          <w:highlight w:val="none"/>
        </w:rPr>
        <w:t>口，总产气量为</w:t>
      </w:r>
      <w:r>
        <w:rPr>
          <w:rFonts w:hint="eastAsia" w:ascii="Times New Roman" w:hAnsi="Times New Roman" w:cs="Times New Roman"/>
          <w:bCs/>
          <w:color w:val="auto"/>
          <w:w w:val="99"/>
          <w:highlight w:val="none"/>
          <w:lang w:val="en-US" w:eastAsia="zh-CN"/>
        </w:rPr>
        <w:t>9</w:t>
      </w:r>
      <w:r>
        <w:rPr>
          <w:rFonts w:hint="default" w:ascii="Times New Roman" w:hAnsi="Times New Roman" w:cs="Times New Roman"/>
          <w:bCs/>
          <w:color w:val="auto"/>
          <w:w w:val="99"/>
          <w:highlight w:val="none"/>
        </w:rPr>
        <w:t>×10</w:t>
      </w:r>
      <w:r>
        <w:rPr>
          <w:rFonts w:hint="eastAsia" w:ascii="Times New Roman" w:hAnsi="Times New Roman" w:cs="Times New Roman"/>
          <w:bCs/>
          <w:color w:val="auto"/>
          <w:w w:val="99"/>
          <w:highlight w:val="none"/>
          <w:vertAlign w:val="superscript"/>
          <w:lang w:val="en-US" w:eastAsia="zh-CN"/>
        </w:rPr>
        <w:t>4</w:t>
      </w:r>
      <w:r>
        <w:rPr>
          <w:rFonts w:hint="default" w:ascii="Times New Roman" w:hAnsi="Times New Roman" w:cs="Times New Roman"/>
          <w:bCs/>
          <w:color w:val="auto"/>
          <w:w w:val="99"/>
          <w:highlight w:val="none"/>
        </w:rPr>
        <w:t>m</w:t>
      </w:r>
      <w:r>
        <w:rPr>
          <w:rFonts w:hint="default" w:ascii="Times New Roman" w:hAnsi="Times New Roman" w:cs="Times New Roman"/>
          <w:bCs/>
          <w:color w:val="auto"/>
          <w:w w:val="99"/>
          <w:highlight w:val="none"/>
          <w:vertAlign w:val="superscript"/>
        </w:rPr>
        <w:t>3</w:t>
      </w:r>
      <w:r>
        <w:rPr>
          <w:rFonts w:hint="default" w:ascii="Times New Roman" w:hAnsi="Times New Roman" w:cs="Times New Roman"/>
          <w:bCs/>
          <w:color w:val="auto"/>
          <w:w w:val="99"/>
          <w:highlight w:val="none"/>
        </w:rPr>
        <w:t>/</w:t>
      </w:r>
      <w:r>
        <w:rPr>
          <w:rFonts w:hint="eastAsia" w:ascii="Times New Roman" w:hAnsi="Times New Roman" w:cs="Times New Roman"/>
          <w:bCs/>
          <w:color w:val="auto"/>
          <w:w w:val="99"/>
          <w:highlight w:val="none"/>
          <w:lang w:val="en-US" w:eastAsia="zh-CN"/>
        </w:rPr>
        <w:t>d</w:t>
      </w:r>
      <w:r>
        <w:rPr>
          <w:rFonts w:hint="default" w:ascii="Times New Roman" w:hAnsi="Times New Roman" w:cs="Times New Roman"/>
          <w:bCs/>
          <w:color w:val="auto"/>
          <w:w w:val="99"/>
          <w:highlight w:val="none"/>
        </w:rPr>
        <w:t>。根据井站布局，</w:t>
      </w:r>
      <w:r>
        <w:rPr>
          <w:rFonts w:hint="default" w:ascii="Times New Roman" w:hAnsi="Times New Roman" w:cs="Times New Roman"/>
          <w:bCs/>
          <w:color w:val="auto"/>
          <w:w w:val="99"/>
          <w:highlight w:val="none"/>
          <w:lang w:val="en-US" w:eastAsia="zh-CN"/>
        </w:rPr>
        <w:t>徐深27-H1井</w:t>
      </w:r>
      <w:r>
        <w:rPr>
          <w:rFonts w:hint="default" w:ascii="Times New Roman" w:hAnsi="Times New Roman" w:cs="Times New Roman"/>
          <w:bCs/>
          <w:color w:val="auto"/>
          <w:w w:val="99"/>
          <w:highlight w:val="none"/>
        </w:rPr>
        <w:t>位于徐深</w:t>
      </w:r>
      <w:r>
        <w:rPr>
          <w:rFonts w:hint="default" w:ascii="Times New Roman" w:hAnsi="Times New Roman" w:cs="Times New Roman"/>
          <w:bCs/>
          <w:color w:val="auto"/>
          <w:w w:val="99"/>
          <w:highlight w:val="none"/>
          <w:lang w:val="en-US" w:eastAsia="zh-CN"/>
        </w:rPr>
        <w:t>27</w:t>
      </w:r>
      <w:r>
        <w:rPr>
          <w:rFonts w:hint="default" w:ascii="Times New Roman" w:hAnsi="Times New Roman" w:cs="Times New Roman"/>
          <w:bCs/>
          <w:color w:val="auto"/>
          <w:w w:val="99"/>
          <w:highlight w:val="none"/>
        </w:rPr>
        <w:t>集气站</w:t>
      </w:r>
      <w:r>
        <w:rPr>
          <w:rFonts w:hint="default" w:ascii="Times New Roman" w:hAnsi="Times New Roman" w:cs="Times New Roman"/>
          <w:bCs/>
          <w:color w:val="auto"/>
          <w:w w:val="99"/>
          <w:highlight w:val="none"/>
          <w:lang w:val="en-US" w:eastAsia="zh-CN"/>
        </w:rPr>
        <w:t>南</w:t>
      </w:r>
      <w:r>
        <w:rPr>
          <w:rFonts w:hint="default" w:ascii="Times New Roman" w:hAnsi="Times New Roman" w:cs="Times New Roman"/>
          <w:bCs/>
          <w:color w:val="auto"/>
          <w:w w:val="99"/>
          <w:highlight w:val="none"/>
        </w:rPr>
        <w:t>侧，</w:t>
      </w:r>
      <w:r>
        <w:rPr>
          <w:rFonts w:hint="default" w:ascii="Times New Roman" w:hAnsi="Times New Roman" w:cs="Times New Roman"/>
          <w:bCs/>
          <w:color w:val="auto"/>
          <w:w w:val="99"/>
          <w:highlight w:val="none"/>
          <w:lang w:val="en-US" w:eastAsia="zh-CN"/>
        </w:rPr>
        <w:t>直线距离1.8</w:t>
      </w:r>
      <w:r>
        <w:rPr>
          <w:rFonts w:hint="default" w:ascii="Times New Roman" w:hAnsi="Times New Roman" w:cs="Times New Roman"/>
          <w:bCs/>
          <w:color w:val="auto"/>
          <w:w w:val="99"/>
          <w:highlight w:val="none"/>
        </w:rPr>
        <w:t>km，</w:t>
      </w:r>
      <w:r>
        <w:rPr>
          <w:rFonts w:hint="default" w:ascii="Times New Roman" w:hAnsi="Times New Roman" w:cs="Times New Roman"/>
          <w:bCs/>
          <w:color w:val="auto"/>
          <w:w w:val="99"/>
          <w:highlight w:val="none"/>
          <w:lang w:val="en-US" w:eastAsia="zh-CN"/>
        </w:rPr>
        <w:t>距离徐深3集气站直线距离7.5km，按照就近接入</w:t>
      </w:r>
      <w:r>
        <w:rPr>
          <w:rFonts w:hint="default" w:ascii="Times New Roman" w:hAnsi="Times New Roman" w:cs="Times New Roman"/>
          <w:bCs/>
          <w:color w:val="auto"/>
          <w:w w:val="99"/>
          <w:highlight w:val="none"/>
        </w:rPr>
        <w:t>徐深</w:t>
      </w:r>
      <w:r>
        <w:rPr>
          <w:rFonts w:hint="default" w:ascii="Times New Roman" w:hAnsi="Times New Roman" w:cs="Times New Roman"/>
          <w:bCs/>
          <w:color w:val="auto"/>
          <w:w w:val="99"/>
          <w:highlight w:val="none"/>
          <w:lang w:val="en-US" w:eastAsia="zh-CN"/>
        </w:rPr>
        <w:t>27</w:t>
      </w:r>
      <w:r>
        <w:rPr>
          <w:rFonts w:hint="default" w:ascii="Times New Roman" w:hAnsi="Times New Roman" w:cs="Times New Roman"/>
          <w:bCs/>
          <w:color w:val="auto"/>
          <w:w w:val="99"/>
          <w:highlight w:val="none"/>
        </w:rPr>
        <w:t>集气站。</w:t>
      </w:r>
    </w:p>
    <w:p w14:paraId="39948A4E">
      <w:pPr>
        <w:spacing w:line="440" w:lineRule="exact"/>
        <w:ind w:firstLine="474" w:firstLineChars="200"/>
        <w:jc w:val="both"/>
        <w:rPr>
          <w:rFonts w:hint="default" w:ascii="Times New Roman" w:hAnsi="Times New Roman" w:eastAsia="宋体" w:cs="Times New Roman"/>
          <w:bCs/>
          <w:color w:val="auto"/>
          <w:w w:val="99"/>
          <w:highlight w:val="none"/>
          <w:lang w:val="en-US" w:eastAsia="zh-CN"/>
        </w:rPr>
      </w:pPr>
      <w:r>
        <w:rPr>
          <w:rFonts w:hint="eastAsia" w:ascii="Times New Roman" w:hAnsi="Times New Roman" w:eastAsia="宋体" w:cs="Times New Roman"/>
          <w:bCs/>
          <w:color w:val="auto"/>
          <w:w w:val="99"/>
          <w:highlight w:val="none"/>
          <w:lang w:val="en-US" w:eastAsia="zh-CN"/>
        </w:rPr>
        <w:t>（1）</w:t>
      </w:r>
      <w:r>
        <w:rPr>
          <w:rFonts w:hint="default" w:ascii="Times New Roman" w:hAnsi="Times New Roman" w:eastAsia="宋体" w:cs="Times New Roman"/>
          <w:bCs/>
          <w:color w:val="auto"/>
          <w:w w:val="99"/>
          <w:highlight w:val="none"/>
          <w:lang w:val="en-US" w:eastAsia="zh-CN"/>
        </w:rPr>
        <w:t>走向及敷设方式</w:t>
      </w:r>
    </w:p>
    <w:p w14:paraId="1221D7DF">
      <w:pPr>
        <w:spacing w:line="440" w:lineRule="exact"/>
        <w:ind w:firstLine="474" w:firstLineChars="200"/>
        <w:jc w:val="both"/>
        <w:rPr>
          <w:rFonts w:hint="default" w:ascii="Times New Roman" w:hAnsi="Times New Roman" w:eastAsia="宋体" w:cs="Times New Roman"/>
          <w:bCs/>
          <w:color w:val="auto"/>
          <w:w w:val="99"/>
          <w:highlight w:val="yellow"/>
          <w:lang w:val="en-US" w:eastAsia="zh-CN"/>
        </w:rPr>
      </w:pPr>
      <w:r>
        <w:rPr>
          <w:rFonts w:hint="default" w:ascii="Times New Roman" w:hAnsi="Times New Roman" w:eastAsia="宋体" w:cs="Times New Roman"/>
          <w:bCs/>
          <w:color w:val="auto"/>
          <w:w w:val="99"/>
          <w:highlight w:val="none"/>
          <w:lang w:val="en-US" w:eastAsia="zh-CN"/>
        </w:rPr>
        <w:t>经现场勘查并与采气分公司结合，本次管道走向尽量避免穿越林带，在耕地内应沿耕地垄沟和地头敷设，采气管道沿合理且最短路径敷设至集气站，采气管道均采用埋地敷设，管顶标高为-1.8m，管道走向详见</w:t>
      </w:r>
      <w:r>
        <w:rPr>
          <w:rFonts w:hint="eastAsia" w:ascii="Times New Roman" w:hAnsi="Times New Roman" w:cs="Times New Roman"/>
          <w:bCs/>
          <w:color w:val="auto"/>
          <w:w w:val="99"/>
          <w:highlight w:val="none"/>
          <w:lang w:val="en-US" w:eastAsia="zh-CN"/>
        </w:rPr>
        <w:t>附</w:t>
      </w:r>
      <w:r>
        <w:rPr>
          <w:rFonts w:hint="default" w:ascii="Times New Roman" w:hAnsi="Times New Roman" w:eastAsia="宋体" w:cs="Times New Roman"/>
          <w:bCs/>
          <w:color w:val="auto"/>
          <w:w w:val="99"/>
          <w:highlight w:val="none"/>
          <w:lang w:val="en-US" w:eastAsia="zh-CN"/>
        </w:rPr>
        <w:t>图</w:t>
      </w:r>
      <w:r>
        <w:rPr>
          <w:rFonts w:hint="eastAsia" w:ascii="Times New Roman" w:hAnsi="Times New Roman" w:cs="Times New Roman"/>
          <w:bCs/>
          <w:color w:val="auto"/>
          <w:w w:val="99"/>
          <w:highlight w:val="none"/>
          <w:lang w:val="en-US" w:eastAsia="zh-CN"/>
        </w:rPr>
        <w:t>2</w:t>
      </w:r>
      <w:r>
        <w:rPr>
          <w:rFonts w:hint="default" w:ascii="Times New Roman" w:hAnsi="Times New Roman" w:eastAsia="宋体" w:cs="Times New Roman"/>
          <w:bCs/>
          <w:color w:val="auto"/>
          <w:w w:val="99"/>
          <w:highlight w:val="none"/>
          <w:lang w:val="en-US" w:eastAsia="zh-CN"/>
        </w:rPr>
        <w:t>。</w:t>
      </w:r>
    </w:p>
    <w:p w14:paraId="62661A62">
      <w:pPr>
        <w:spacing w:line="440" w:lineRule="exact"/>
        <w:ind w:firstLine="474" w:firstLineChars="200"/>
        <w:jc w:val="both"/>
        <w:rPr>
          <w:rFonts w:hint="default" w:ascii="Times New Roman" w:hAnsi="Times New Roman" w:eastAsia="宋体" w:cs="Times New Roman"/>
          <w:bCs/>
          <w:color w:val="auto"/>
          <w:w w:val="99"/>
          <w:highlight w:val="none"/>
          <w:lang w:val="en-US" w:eastAsia="zh-CN"/>
        </w:rPr>
      </w:pPr>
      <w:r>
        <w:rPr>
          <w:rFonts w:hint="default" w:ascii="Times New Roman" w:hAnsi="Times New Roman" w:eastAsia="宋体" w:cs="Times New Roman"/>
          <w:bCs/>
          <w:color w:val="auto"/>
          <w:w w:val="99"/>
          <w:highlight w:val="none"/>
          <w:lang w:val="en-US" w:eastAsia="zh-CN"/>
        </w:rPr>
        <w:t>（2）管道材质</w:t>
      </w:r>
    </w:p>
    <w:p w14:paraId="60BDB83D">
      <w:pPr>
        <w:spacing w:line="440" w:lineRule="exact"/>
        <w:ind w:firstLine="474" w:firstLineChars="200"/>
        <w:jc w:val="both"/>
        <w:rPr>
          <w:rFonts w:hint="default" w:ascii="Times New Roman" w:hAnsi="Times New Roman" w:eastAsia="宋体" w:cs="Times New Roman"/>
          <w:bCs/>
          <w:color w:val="auto"/>
          <w:w w:val="99"/>
          <w:highlight w:val="none"/>
          <w:lang w:val="en-US" w:eastAsia="zh-CN"/>
        </w:rPr>
      </w:pPr>
      <w:r>
        <w:rPr>
          <w:rFonts w:hint="default" w:ascii="Times New Roman" w:hAnsi="Times New Roman" w:eastAsia="宋体" w:cs="Times New Roman"/>
          <w:bCs/>
          <w:color w:val="auto"/>
          <w:w w:val="99"/>
          <w:highlight w:val="none"/>
          <w:lang w:val="en-US" w:eastAsia="zh-CN"/>
        </w:rPr>
        <w:t>根据开发资料，本次规划2口气井气，按照开井压力计算，二氧化碳分压在</w:t>
      </w:r>
      <w:r>
        <w:rPr>
          <w:rFonts w:hint="eastAsia" w:ascii="Times New Roman" w:hAnsi="Times New Roman" w:eastAsia="宋体" w:cs="Times New Roman"/>
          <w:bCs/>
          <w:color w:val="auto"/>
          <w:w w:val="99"/>
          <w:highlight w:val="none"/>
          <w:lang w:val="en-US" w:eastAsia="zh-CN"/>
        </w:rPr>
        <w:t>0.89</w:t>
      </w:r>
      <w:r>
        <w:rPr>
          <w:rFonts w:hint="default" w:ascii="Times New Roman" w:hAnsi="Times New Roman" w:eastAsia="宋体" w:cs="Times New Roman"/>
          <w:bCs/>
          <w:color w:val="auto"/>
          <w:w w:val="99"/>
          <w:highlight w:val="none"/>
          <w:lang w:val="en-US" w:eastAsia="zh-CN"/>
        </w:rPr>
        <w:t>~</w:t>
      </w:r>
      <w:r>
        <w:rPr>
          <w:rFonts w:hint="eastAsia" w:ascii="Times New Roman" w:hAnsi="Times New Roman" w:eastAsia="宋体" w:cs="Times New Roman"/>
          <w:bCs/>
          <w:color w:val="auto"/>
          <w:w w:val="99"/>
          <w:highlight w:val="none"/>
          <w:lang w:val="en-US" w:eastAsia="zh-CN"/>
        </w:rPr>
        <w:t>1.51</w:t>
      </w:r>
      <w:r>
        <w:rPr>
          <w:rFonts w:hint="default" w:ascii="Times New Roman" w:hAnsi="Times New Roman" w:eastAsia="宋体" w:cs="Times New Roman"/>
          <w:bCs/>
          <w:color w:val="auto"/>
          <w:w w:val="99"/>
          <w:highlight w:val="none"/>
          <w:lang w:val="en-US" w:eastAsia="zh-CN"/>
        </w:rPr>
        <w:t>MPa之间，均高于0.21MPa，属于严重腐蚀情况，气井采气管道选用20#+316L内衬不锈钢材质。</w:t>
      </w:r>
    </w:p>
    <w:p w14:paraId="5AD3277B">
      <w:pPr>
        <w:spacing w:line="440" w:lineRule="exact"/>
        <w:ind w:firstLine="474" w:firstLineChars="200"/>
        <w:jc w:val="both"/>
        <w:rPr>
          <w:rFonts w:hint="default" w:ascii="Times New Roman" w:hAnsi="Times New Roman" w:eastAsia="宋体" w:cs="Times New Roman"/>
          <w:bCs/>
          <w:color w:val="auto"/>
          <w:w w:val="99"/>
          <w:highlight w:val="none"/>
          <w:lang w:val="en-US" w:eastAsia="zh-CN"/>
        </w:rPr>
      </w:pPr>
      <w:r>
        <w:rPr>
          <w:rFonts w:hint="default" w:ascii="Times New Roman" w:hAnsi="Times New Roman" w:eastAsia="宋体" w:cs="Times New Roman"/>
          <w:bCs/>
          <w:color w:val="auto"/>
          <w:w w:val="99"/>
          <w:highlight w:val="none"/>
          <w:lang w:val="en-US" w:eastAsia="zh-CN"/>
        </w:rPr>
        <w:t>（3）设计压力及壁厚</w:t>
      </w:r>
    </w:p>
    <w:p w14:paraId="04D28CB6">
      <w:pPr>
        <w:spacing w:line="440" w:lineRule="exact"/>
        <w:ind w:firstLine="474" w:firstLineChars="200"/>
        <w:jc w:val="both"/>
        <w:rPr>
          <w:rFonts w:hint="default" w:ascii="Times New Roman" w:hAnsi="Times New Roman" w:eastAsia="宋体" w:cs="Times New Roman"/>
          <w:bCs/>
          <w:color w:val="auto"/>
          <w:w w:val="99"/>
          <w:highlight w:val="none"/>
          <w:lang w:val="en-US" w:eastAsia="zh-CN"/>
        </w:rPr>
      </w:pPr>
      <w:r>
        <w:rPr>
          <w:rFonts w:hint="default" w:ascii="Times New Roman" w:hAnsi="Times New Roman" w:eastAsia="宋体" w:cs="Times New Roman"/>
          <w:bCs/>
          <w:color w:val="auto"/>
          <w:w w:val="99"/>
          <w:highlight w:val="none"/>
          <w:lang w:val="en-US" w:eastAsia="zh-CN"/>
        </w:rPr>
        <w:t>按《气田集输设计规范》GB 50349规定的管线公式进行管径及壁厚计算，管道沿线按二级地区考虑，地区系数取0.6，采气管道按关井压力设计，采气管道的规格，根据配产、合理流速及设计压力，通过计算确定。管道规格见表</w:t>
      </w:r>
      <w:r>
        <w:rPr>
          <w:rFonts w:hint="eastAsia" w:ascii="Times New Roman" w:hAnsi="Times New Roman" w:cs="Times New Roman"/>
          <w:bCs/>
          <w:color w:val="auto"/>
          <w:w w:val="99"/>
          <w:highlight w:val="none"/>
          <w:lang w:val="en-US" w:eastAsia="zh-CN"/>
        </w:rPr>
        <w:t>3.5-2</w:t>
      </w:r>
      <w:r>
        <w:rPr>
          <w:rFonts w:hint="default" w:ascii="Times New Roman" w:hAnsi="Times New Roman" w:eastAsia="宋体" w:cs="Times New Roman"/>
          <w:bCs/>
          <w:color w:val="auto"/>
          <w:w w:val="99"/>
          <w:highlight w:val="none"/>
          <w:lang w:val="en-US" w:eastAsia="zh-CN"/>
        </w:rPr>
        <w:t>。</w:t>
      </w:r>
    </w:p>
    <w:p w14:paraId="165EE7B8">
      <w:pPr>
        <w:spacing w:line="440" w:lineRule="exact"/>
        <w:ind w:firstLine="476" w:firstLineChars="200"/>
        <w:jc w:val="both"/>
        <w:rPr>
          <w:rFonts w:hint="default" w:ascii="Times New Roman" w:hAnsi="Times New Roman" w:eastAsia="宋体" w:cs="Times New Roman"/>
          <w:b/>
          <w:bCs w:val="0"/>
          <w:color w:val="auto"/>
          <w:w w:val="99"/>
          <w:highlight w:val="none"/>
          <w:lang w:val="en-US" w:eastAsia="zh-CN"/>
        </w:rPr>
      </w:pPr>
      <w:r>
        <w:rPr>
          <w:rFonts w:hint="default" w:ascii="Times New Roman" w:hAnsi="Times New Roman" w:eastAsia="宋体" w:cs="Times New Roman"/>
          <w:b/>
          <w:bCs w:val="0"/>
          <w:color w:val="auto"/>
          <w:w w:val="99"/>
          <w:highlight w:val="none"/>
          <w:lang w:val="en-US" w:eastAsia="zh-CN"/>
        </w:rPr>
        <w:t>表</w:t>
      </w:r>
      <w:r>
        <w:rPr>
          <w:rFonts w:hint="eastAsia" w:ascii="Times New Roman" w:hAnsi="Times New Roman" w:cs="Times New Roman"/>
          <w:b/>
          <w:bCs w:val="0"/>
          <w:color w:val="auto"/>
          <w:w w:val="99"/>
          <w:highlight w:val="none"/>
          <w:lang w:val="en-US" w:eastAsia="zh-CN"/>
        </w:rPr>
        <w:t>3.5-2</w:t>
      </w:r>
      <w:r>
        <w:rPr>
          <w:rFonts w:hint="default" w:ascii="Times New Roman" w:hAnsi="Times New Roman" w:eastAsia="宋体" w:cs="Times New Roman"/>
          <w:b/>
          <w:bCs w:val="0"/>
          <w:color w:val="auto"/>
          <w:w w:val="99"/>
          <w:highlight w:val="none"/>
          <w:lang w:val="en-US" w:eastAsia="zh-CN"/>
        </w:rPr>
        <w:t xml:space="preserve">  采气管道管径计算表</w:t>
      </w:r>
    </w:p>
    <w:tbl>
      <w:tblPr>
        <w:tblStyle w:val="80"/>
        <w:tblW w:w="4981"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24"/>
        <w:gridCol w:w="903"/>
        <w:gridCol w:w="957"/>
        <w:gridCol w:w="1057"/>
        <w:gridCol w:w="1057"/>
        <w:gridCol w:w="1057"/>
        <w:gridCol w:w="1042"/>
        <w:gridCol w:w="1026"/>
        <w:gridCol w:w="1028"/>
      </w:tblGrid>
      <w:tr w14:paraId="144091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607" w:type="pct"/>
            <w:tcBorders>
              <w:bottom w:val="single" w:color="auto" w:sz="6" w:space="0"/>
            </w:tcBorders>
            <w:vAlign w:val="center"/>
          </w:tcPr>
          <w:p w14:paraId="5A1838F4">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井号</w:t>
            </w:r>
          </w:p>
        </w:tc>
        <w:tc>
          <w:tcPr>
            <w:tcW w:w="488" w:type="pct"/>
            <w:tcBorders>
              <w:bottom w:val="single" w:color="auto" w:sz="6" w:space="0"/>
            </w:tcBorders>
            <w:vAlign w:val="center"/>
          </w:tcPr>
          <w:p w14:paraId="5B7DDEA5">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终点</w:t>
            </w:r>
          </w:p>
        </w:tc>
        <w:tc>
          <w:tcPr>
            <w:tcW w:w="517" w:type="pct"/>
            <w:tcBorders>
              <w:bottom w:val="single" w:color="auto" w:sz="6" w:space="0"/>
            </w:tcBorders>
            <w:vAlign w:val="center"/>
          </w:tcPr>
          <w:p w14:paraId="6DDE6C51">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产气量</w:t>
            </w:r>
          </w:p>
          <w:p w14:paraId="47F489D6">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10</w:t>
            </w:r>
            <w:r>
              <w:rPr>
                <w:rFonts w:hint="eastAsia" w:ascii="Times New Roman" w:hAnsi="Times New Roman" w:eastAsia="宋体" w:cs="Times New Roman"/>
                <w:color w:val="auto"/>
                <w:w w:val="99"/>
                <w:kern w:val="2"/>
                <w:sz w:val="21"/>
                <w:szCs w:val="21"/>
                <w:highlight w:val="none"/>
                <w:vertAlign w:val="superscript"/>
                <w:lang w:val="en-US" w:eastAsia="zh-CN" w:bidi="ar-SA"/>
              </w:rPr>
              <w:t>4</w:t>
            </w:r>
            <w:r>
              <w:rPr>
                <w:rFonts w:hint="eastAsia" w:ascii="Times New Roman" w:hAnsi="Times New Roman" w:eastAsia="宋体" w:cs="Times New Roman"/>
                <w:color w:val="auto"/>
                <w:w w:val="99"/>
                <w:kern w:val="2"/>
                <w:sz w:val="21"/>
                <w:szCs w:val="21"/>
                <w:highlight w:val="none"/>
                <w:lang w:val="en-US" w:eastAsia="zh-CN" w:bidi="ar-SA"/>
              </w:rPr>
              <w:t>m</w:t>
            </w:r>
            <w:r>
              <w:rPr>
                <w:rFonts w:hint="eastAsia" w:ascii="Times New Roman" w:hAnsi="Times New Roman" w:eastAsia="宋体" w:cs="Times New Roman"/>
                <w:color w:val="auto"/>
                <w:w w:val="99"/>
                <w:kern w:val="2"/>
                <w:sz w:val="21"/>
                <w:szCs w:val="21"/>
                <w:highlight w:val="none"/>
                <w:vertAlign w:val="superscript"/>
                <w:lang w:val="en-US" w:eastAsia="zh-CN" w:bidi="ar-SA"/>
              </w:rPr>
              <w:t>3</w:t>
            </w:r>
            <w:r>
              <w:rPr>
                <w:rFonts w:hint="eastAsia" w:ascii="Times New Roman" w:hAnsi="Times New Roman" w:eastAsia="宋体" w:cs="Times New Roman"/>
                <w:color w:val="auto"/>
                <w:w w:val="99"/>
                <w:kern w:val="2"/>
                <w:sz w:val="21"/>
                <w:szCs w:val="21"/>
                <w:highlight w:val="none"/>
                <w:lang w:val="en-US" w:eastAsia="zh-CN" w:bidi="ar-SA"/>
              </w:rPr>
              <w:t>/d</w:t>
            </w:r>
          </w:p>
        </w:tc>
        <w:tc>
          <w:tcPr>
            <w:tcW w:w="571" w:type="pct"/>
            <w:tcBorders>
              <w:bottom w:val="single" w:color="auto" w:sz="6" w:space="0"/>
            </w:tcBorders>
            <w:vAlign w:val="center"/>
          </w:tcPr>
          <w:p w14:paraId="4CF860EF">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关井压力MPa</w:t>
            </w:r>
          </w:p>
        </w:tc>
        <w:tc>
          <w:tcPr>
            <w:tcW w:w="571" w:type="pct"/>
            <w:tcBorders>
              <w:bottom w:val="single" w:color="auto" w:sz="6" w:space="0"/>
            </w:tcBorders>
            <w:vAlign w:val="center"/>
          </w:tcPr>
          <w:p w14:paraId="750778BE">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起点</w:t>
            </w:r>
            <w:r>
              <w:rPr>
                <w:rFonts w:hint="eastAsia" w:ascii="Times New Roman" w:hAnsi="Times New Roman" w:eastAsia="宋体" w:cs="Times New Roman"/>
                <w:color w:val="auto"/>
                <w:w w:val="99"/>
                <w:kern w:val="2"/>
                <w:sz w:val="21"/>
                <w:szCs w:val="21"/>
                <w:highlight w:val="none"/>
                <w:lang w:val="en-US" w:eastAsia="zh-CN" w:bidi="ar-SA"/>
              </w:rPr>
              <w:t>压力</w:t>
            </w:r>
          </w:p>
          <w:p w14:paraId="38CDE0C6">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MPa</w:t>
            </w:r>
          </w:p>
        </w:tc>
        <w:tc>
          <w:tcPr>
            <w:tcW w:w="571" w:type="pct"/>
            <w:tcBorders>
              <w:bottom w:val="single" w:color="auto" w:sz="6" w:space="0"/>
            </w:tcBorders>
            <w:vAlign w:val="center"/>
          </w:tcPr>
          <w:p w14:paraId="5A3EF715">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末点</w:t>
            </w:r>
            <w:r>
              <w:rPr>
                <w:rFonts w:hint="eastAsia" w:ascii="Times New Roman" w:hAnsi="Times New Roman" w:eastAsia="宋体" w:cs="Times New Roman"/>
                <w:color w:val="auto"/>
                <w:w w:val="99"/>
                <w:kern w:val="2"/>
                <w:sz w:val="21"/>
                <w:szCs w:val="21"/>
                <w:highlight w:val="none"/>
                <w:lang w:val="en-US" w:eastAsia="zh-CN" w:bidi="ar-SA"/>
              </w:rPr>
              <w:t>压力</w:t>
            </w:r>
          </w:p>
          <w:p w14:paraId="73CCDA4E">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MPa</w:t>
            </w:r>
          </w:p>
        </w:tc>
        <w:tc>
          <w:tcPr>
            <w:tcW w:w="563" w:type="pct"/>
            <w:tcBorders>
              <w:bottom w:val="single" w:color="auto" w:sz="6" w:space="0"/>
            </w:tcBorders>
            <w:vAlign w:val="center"/>
          </w:tcPr>
          <w:p w14:paraId="4C70EDDA">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 xml:space="preserve">管道管径mm </w:t>
            </w:r>
          </w:p>
        </w:tc>
        <w:tc>
          <w:tcPr>
            <w:tcW w:w="554" w:type="pct"/>
            <w:tcBorders>
              <w:bottom w:val="single" w:color="auto" w:sz="6" w:space="0"/>
            </w:tcBorders>
            <w:vAlign w:val="center"/>
          </w:tcPr>
          <w:p w14:paraId="46129173">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末点流速m/s</w:t>
            </w:r>
          </w:p>
        </w:tc>
        <w:tc>
          <w:tcPr>
            <w:tcW w:w="555" w:type="pct"/>
            <w:tcBorders>
              <w:bottom w:val="single" w:color="auto" w:sz="6" w:space="0"/>
            </w:tcBorders>
            <w:vAlign w:val="center"/>
          </w:tcPr>
          <w:p w14:paraId="3ADBC573">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管道长度km</w:t>
            </w:r>
          </w:p>
        </w:tc>
      </w:tr>
      <w:tr w14:paraId="716FE0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07" w:type="pct"/>
            <w:tcBorders>
              <w:top w:val="single" w:color="auto" w:sz="6" w:space="0"/>
              <w:bottom w:val="single" w:color="auto" w:sz="6" w:space="0"/>
            </w:tcBorders>
            <w:vAlign w:val="center"/>
          </w:tcPr>
          <w:p w14:paraId="597841E8">
            <w:pPr>
              <w:keepNext w:val="0"/>
              <w:keepLines w:val="0"/>
              <w:pageBreakBefore w:val="0"/>
              <w:kinsoku/>
              <w:wordWrap/>
              <w:overflowPunct/>
              <w:topLinePunct w:val="0"/>
              <w:autoSpaceDE/>
              <w:autoSpaceDN w:val="0"/>
              <w:bidi w:val="0"/>
              <w:adjustRightInd/>
              <w:snapToGrid/>
              <w:spacing w:line="360" w:lineRule="exact"/>
              <w:ind w:firstLine="0" w:firstLineChars="0"/>
              <w:jc w:val="center"/>
              <w:textAlignment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徐深</w:t>
            </w:r>
            <w:r>
              <w:rPr>
                <w:rFonts w:hint="eastAsia" w:ascii="Times New Roman" w:hAnsi="Times New Roman" w:eastAsia="宋体" w:cs="Times New Roman"/>
                <w:color w:val="auto"/>
                <w:w w:val="99"/>
                <w:kern w:val="2"/>
                <w:sz w:val="21"/>
                <w:szCs w:val="21"/>
                <w:highlight w:val="none"/>
                <w:lang w:val="en-US" w:eastAsia="zh-CN" w:bidi="ar-SA"/>
              </w:rPr>
              <w:t>27</w:t>
            </w:r>
            <w:r>
              <w:rPr>
                <w:rFonts w:hint="default" w:ascii="Times New Roman" w:hAnsi="Times New Roman" w:eastAsia="宋体" w:cs="Times New Roman"/>
                <w:color w:val="auto"/>
                <w:w w:val="99"/>
                <w:kern w:val="2"/>
                <w:sz w:val="21"/>
                <w:szCs w:val="21"/>
                <w:highlight w:val="none"/>
                <w:lang w:val="en-US" w:eastAsia="zh-CN" w:bidi="ar-SA"/>
              </w:rPr>
              <w:t>-</w:t>
            </w:r>
            <w:r>
              <w:rPr>
                <w:rFonts w:hint="eastAsia" w:ascii="Times New Roman" w:hAnsi="Times New Roman" w:eastAsia="宋体" w:cs="Times New Roman"/>
                <w:color w:val="auto"/>
                <w:w w:val="99"/>
                <w:kern w:val="2"/>
                <w:sz w:val="21"/>
                <w:szCs w:val="21"/>
                <w:highlight w:val="none"/>
                <w:lang w:val="en-US" w:eastAsia="zh-CN" w:bidi="ar-SA"/>
              </w:rPr>
              <w:t>H1</w:t>
            </w:r>
          </w:p>
        </w:tc>
        <w:tc>
          <w:tcPr>
            <w:tcW w:w="488" w:type="pct"/>
            <w:tcBorders>
              <w:top w:val="single" w:color="auto" w:sz="6" w:space="0"/>
              <w:bottom w:val="single" w:color="auto" w:sz="6" w:space="0"/>
            </w:tcBorders>
            <w:vAlign w:val="center"/>
          </w:tcPr>
          <w:p w14:paraId="20481F43">
            <w:pPr>
              <w:keepNext w:val="0"/>
              <w:keepLines w:val="0"/>
              <w:pageBreakBefore w:val="0"/>
              <w:widowControl/>
              <w:kinsoku/>
              <w:wordWrap/>
              <w:overflowPunct/>
              <w:topLinePunct w:val="0"/>
              <w:autoSpaceDE/>
              <w:bidi w:val="0"/>
              <w:adjustRightInd/>
              <w:snapToGrid/>
              <w:spacing w:line="360" w:lineRule="exact"/>
              <w:ind w:firstLine="0" w:firstLineChars="0"/>
              <w:jc w:val="center"/>
              <w:textAlignment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徐深</w:t>
            </w:r>
            <w:r>
              <w:rPr>
                <w:rFonts w:hint="eastAsia" w:ascii="Times New Roman" w:hAnsi="Times New Roman" w:eastAsia="宋体" w:cs="Times New Roman"/>
                <w:color w:val="auto"/>
                <w:w w:val="99"/>
                <w:kern w:val="2"/>
                <w:sz w:val="21"/>
                <w:szCs w:val="21"/>
                <w:highlight w:val="none"/>
                <w:lang w:val="en-US" w:eastAsia="zh-CN" w:bidi="ar-SA"/>
              </w:rPr>
              <w:t>27</w:t>
            </w:r>
            <w:r>
              <w:rPr>
                <w:rFonts w:hint="eastAsia" w:ascii="Times New Roman" w:hAnsi="Times New Roman" w:cs="Times New Roman"/>
                <w:color w:val="auto"/>
                <w:w w:val="99"/>
                <w:kern w:val="2"/>
                <w:sz w:val="21"/>
                <w:szCs w:val="21"/>
                <w:highlight w:val="none"/>
                <w:lang w:val="en-US" w:eastAsia="zh-CN" w:bidi="ar-SA"/>
              </w:rPr>
              <w:t>集气站</w:t>
            </w:r>
          </w:p>
        </w:tc>
        <w:tc>
          <w:tcPr>
            <w:tcW w:w="517" w:type="pct"/>
            <w:tcBorders>
              <w:top w:val="single" w:color="auto" w:sz="6" w:space="0"/>
              <w:bottom w:val="single" w:color="auto" w:sz="6" w:space="0"/>
            </w:tcBorders>
            <w:vAlign w:val="center"/>
          </w:tcPr>
          <w:p w14:paraId="6ADAA69A">
            <w:pPr>
              <w:keepNext w:val="0"/>
              <w:keepLines w:val="0"/>
              <w:pageBreakBefore w:val="0"/>
              <w:kinsoku/>
              <w:wordWrap/>
              <w:overflowPunct/>
              <w:topLinePunct w:val="0"/>
              <w:autoSpaceDE/>
              <w:autoSpaceDN w:val="0"/>
              <w:bidi w:val="0"/>
              <w:adjustRightInd/>
              <w:snapToGrid/>
              <w:spacing w:line="360" w:lineRule="exact"/>
              <w:ind w:firstLine="0" w:firstLineChars="0"/>
              <w:jc w:val="center"/>
              <w:textAlignment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9</w:t>
            </w:r>
          </w:p>
        </w:tc>
        <w:tc>
          <w:tcPr>
            <w:tcW w:w="571" w:type="pct"/>
            <w:tcBorders>
              <w:top w:val="single" w:color="auto" w:sz="6" w:space="0"/>
              <w:bottom w:val="single" w:color="auto" w:sz="6" w:space="0"/>
            </w:tcBorders>
            <w:vAlign w:val="center"/>
          </w:tcPr>
          <w:p w14:paraId="23257F1D">
            <w:pPr>
              <w:pStyle w:val="173"/>
              <w:keepNext w:val="0"/>
              <w:keepLines w:val="0"/>
              <w:pageBreakBefore w:val="0"/>
              <w:tabs>
                <w:tab w:val="left" w:pos="3480"/>
              </w:tabs>
              <w:kinsoku/>
              <w:wordWrap/>
              <w:overflowPunct/>
              <w:topLinePunct w:val="0"/>
              <w:autoSpaceDE/>
              <w:bidi w:val="0"/>
              <w:adjustRightInd/>
              <w:snapToGrid/>
              <w:spacing w:line="360" w:lineRule="exact"/>
              <w:ind w:left="0" w:leftChars="0" w:firstLine="0" w:firstLineChars="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33</w:t>
            </w:r>
          </w:p>
        </w:tc>
        <w:tc>
          <w:tcPr>
            <w:tcW w:w="571" w:type="pct"/>
            <w:tcBorders>
              <w:top w:val="single" w:color="auto" w:sz="6" w:space="0"/>
              <w:bottom w:val="single" w:color="auto" w:sz="6" w:space="0"/>
            </w:tcBorders>
            <w:vAlign w:val="center"/>
          </w:tcPr>
          <w:p w14:paraId="415D31A2">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21</w:t>
            </w:r>
          </w:p>
        </w:tc>
        <w:tc>
          <w:tcPr>
            <w:tcW w:w="571" w:type="pct"/>
            <w:tcBorders>
              <w:top w:val="single" w:color="auto" w:sz="6" w:space="0"/>
              <w:bottom w:val="single" w:color="auto" w:sz="6" w:space="0"/>
            </w:tcBorders>
            <w:vAlign w:val="center"/>
          </w:tcPr>
          <w:p w14:paraId="03092C64">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20.6</w:t>
            </w:r>
          </w:p>
        </w:tc>
        <w:tc>
          <w:tcPr>
            <w:tcW w:w="563" w:type="pct"/>
            <w:tcBorders>
              <w:top w:val="single" w:color="auto" w:sz="6" w:space="0"/>
              <w:bottom w:val="single" w:color="auto" w:sz="6" w:space="0"/>
            </w:tcBorders>
            <w:vAlign w:val="center"/>
          </w:tcPr>
          <w:p w14:paraId="2C34DA46">
            <w:pPr>
              <w:keepNext w:val="0"/>
              <w:keepLines w:val="0"/>
              <w:pageBreakBefore w:val="0"/>
              <w:kinsoku/>
              <w:wordWrap/>
              <w:overflowPunct/>
              <w:topLinePunct w:val="0"/>
              <w:autoSpaceDE/>
              <w:autoSpaceDN w:val="0"/>
              <w:bidi w:val="0"/>
              <w:adjustRightInd/>
              <w:snapToGrid/>
              <w:spacing w:line="360" w:lineRule="exact"/>
              <w:ind w:firstLine="0" w:firstLineChars="0"/>
              <w:jc w:val="center"/>
              <w:textAlignment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Φ76</w:t>
            </w:r>
          </w:p>
        </w:tc>
        <w:tc>
          <w:tcPr>
            <w:tcW w:w="554" w:type="pct"/>
            <w:tcBorders>
              <w:top w:val="single" w:color="auto" w:sz="6" w:space="0"/>
              <w:bottom w:val="single" w:color="auto" w:sz="6" w:space="0"/>
            </w:tcBorders>
            <w:vAlign w:val="center"/>
          </w:tcPr>
          <w:p w14:paraId="360E12C4">
            <w:pPr>
              <w:keepNext w:val="0"/>
              <w:keepLines w:val="0"/>
              <w:pageBreakBefore w:val="0"/>
              <w:kinsoku/>
              <w:wordWrap/>
              <w:overflowPunct/>
              <w:topLinePunct w:val="0"/>
              <w:autoSpaceDE/>
              <w:autoSpaceDN w:val="0"/>
              <w:bidi w:val="0"/>
              <w:adjustRightInd/>
              <w:snapToGrid/>
              <w:spacing w:line="360" w:lineRule="exact"/>
              <w:ind w:firstLine="0" w:firstLineChars="0"/>
              <w:jc w:val="center"/>
              <w:textAlignment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1.98</w:t>
            </w:r>
          </w:p>
        </w:tc>
        <w:tc>
          <w:tcPr>
            <w:tcW w:w="555" w:type="pct"/>
            <w:tcBorders>
              <w:top w:val="single" w:color="auto" w:sz="6" w:space="0"/>
              <w:bottom w:val="single" w:color="auto" w:sz="6" w:space="0"/>
            </w:tcBorders>
            <w:vAlign w:val="center"/>
          </w:tcPr>
          <w:p w14:paraId="332E35EA">
            <w:pPr>
              <w:keepNext w:val="0"/>
              <w:keepLines w:val="0"/>
              <w:pageBreakBefore w:val="0"/>
              <w:kinsoku/>
              <w:wordWrap/>
              <w:overflowPunct/>
              <w:topLinePunct w:val="0"/>
              <w:autoSpaceDE/>
              <w:autoSpaceDN w:val="0"/>
              <w:bidi w:val="0"/>
              <w:adjustRightInd/>
              <w:snapToGrid/>
              <w:spacing w:line="360" w:lineRule="exact"/>
              <w:ind w:firstLine="0" w:firstLineChars="0"/>
              <w:jc w:val="center"/>
              <w:textAlignment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1.92</w:t>
            </w:r>
          </w:p>
        </w:tc>
      </w:tr>
    </w:tbl>
    <w:p w14:paraId="778E02D6">
      <w:pPr>
        <w:spacing w:line="440" w:lineRule="exact"/>
        <w:ind w:firstLine="476" w:firstLineChars="200"/>
        <w:jc w:val="both"/>
        <w:rPr>
          <w:rFonts w:hint="eastAsia" w:ascii="Times New Roman" w:hAnsi="Times New Roman" w:eastAsia="宋体" w:cs="Times New Roman"/>
          <w:b/>
          <w:bCs w:val="0"/>
          <w:color w:val="auto"/>
          <w:w w:val="99"/>
          <w:highlight w:val="none"/>
          <w:lang w:val="en-US" w:eastAsia="zh-CN"/>
        </w:rPr>
      </w:pPr>
      <w:r>
        <w:rPr>
          <w:rFonts w:hint="eastAsia" w:ascii="Times New Roman" w:hAnsi="Times New Roman" w:eastAsia="宋体" w:cs="Times New Roman"/>
          <w:b/>
          <w:bCs w:val="0"/>
          <w:color w:val="auto"/>
          <w:w w:val="99"/>
          <w:highlight w:val="none"/>
          <w:lang w:val="en-US" w:eastAsia="zh-CN"/>
        </w:rPr>
        <w:t>表3.</w:t>
      </w:r>
      <w:r>
        <w:rPr>
          <w:rFonts w:hint="eastAsia" w:ascii="Times New Roman" w:hAnsi="Times New Roman" w:cs="Times New Roman"/>
          <w:b/>
          <w:bCs w:val="0"/>
          <w:color w:val="auto"/>
          <w:w w:val="99"/>
          <w:highlight w:val="none"/>
          <w:lang w:val="en-US" w:eastAsia="zh-CN"/>
        </w:rPr>
        <w:t>5</w:t>
      </w:r>
      <w:r>
        <w:rPr>
          <w:rFonts w:hint="eastAsia" w:ascii="Times New Roman" w:hAnsi="Times New Roman" w:eastAsia="宋体" w:cs="Times New Roman"/>
          <w:b/>
          <w:bCs w:val="0"/>
          <w:color w:val="auto"/>
          <w:w w:val="99"/>
          <w:highlight w:val="none"/>
          <w:lang w:val="en-US" w:eastAsia="zh-CN"/>
        </w:rPr>
        <w:t>-3  采气管道壁厚计算表</w:t>
      </w: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9"/>
        <w:gridCol w:w="1056"/>
        <w:gridCol w:w="918"/>
        <w:gridCol w:w="1075"/>
        <w:gridCol w:w="505"/>
        <w:gridCol w:w="696"/>
        <w:gridCol w:w="1063"/>
        <w:gridCol w:w="1016"/>
        <w:gridCol w:w="1016"/>
        <w:gridCol w:w="1016"/>
      </w:tblGrid>
      <w:tr w14:paraId="558DBF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495" w:type="pct"/>
            <w:vAlign w:val="center"/>
          </w:tcPr>
          <w:p w14:paraId="1D78C0BF">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井号</w:t>
            </w:r>
          </w:p>
        </w:tc>
        <w:tc>
          <w:tcPr>
            <w:tcW w:w="568" w:type="pct"/>
            <w:vAlign w:val="center"/>
          </w:tcPr>
          <w:p w14:paraId="4AB4D7B4">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设计</w:t>
            </w:r>
          </w:p>
          <w:p w14:paraId="2FD118E5">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压力（M</w:t>
            </w:r>
            <w:r>
              <w:rPr>
                <w:rFonts w:hint="eastAsia" w:ascii="Times New Roman" w:hAnsi="Times New Roman" w:eastAsia="宋体" w:cs="Times New Roman"/>
                <w:color w:val="auto"/>
                <w:w w:val="99"/>
                <w:kern w:val="2"/>
                <w:sz w:val="21"/>
                <w:szCs w:val="21"/>
                <w:highlight w:val="none"/>
                <w:lang w:val="en-US" w:eastAsia="zh-CN" w:bidi="ar-SA"/>
              </w:rPr>
              <w:t>P</w:t>
            </w:r>
            <w:r>
              <w:rPr>
                <w:rFonts w:hint="default" w:ascii="Times New Roman" w:hAnsi="Times New Roman" w:eastAsia="宋体" w:cs="Times New Roman"/>
                <w:color w:val="auto"/>
                <w:w w:val="99"/>
                <w:kern w:val="2"/>
                <w:sz w:val="21"/>
                <w:szCs w:val="21"/>
                <w:highlight w:val="none"/>
                <w:lang w:val="en-US" w:eastAsia="zh-CN" w:bidi="ar-SA"/>
              </w:rPr>
              <w:t>a）</w:t>
            </w:r>
          </w:p>
        </w:tc>
        <w:tc>
          <w:tcPr>
            <w:tcW w:w="494" w:type="pct"/>
            <w:vAlign w:val="center"/>
          </w:tcPr>
          <w:p w14:paraId="15F00F1D">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管道</w:t>
            </w:r>
          </w:p>
          <w:p w14:paraId="71796172">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外径（mm）</w:t>
            </w:r>
          </w:p>
        </w:tc>
        <w:tc>
          <w:tcPr>
            <w:tcW w:w="579" w:type="pct"/>
            <w:vAlign w:val="center"/>
          </w:tcPr>
          <w:p w14:paraId="74631842">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钢管最低屈服强度（M</w:t>
            </w:r>
            <w:r>
              <w:rPr>
                <w:rFonts w:hint="eastAsia" w:ascii="Times New Roman" w:hAnsi="Times New Roman" w:eastAsia="宋体" w:cs="Times New Roman"/>
                <w:color w:val="auto"/>
                <w:w w:val="99"/>
                <w:kern w:val="2"/>
                <w:sz w:val="21"/>
                <w:szCs w:val="21"/>
                <w:highlight w:val="none"/>
                <w:lang w:val="en-US" w:eastAsia="zh-CN" w:bidi="ar-SA"/>
              </w:rPr>
              <w:t>p</w:t>
            </w:r>
            <w:r>
              <w:rPr>
                <w:rFonts w:hint="default" w:ascii="Times New Roman" w:hAnsi="Times New Roman" w:eastAsia="宋体" w:cs="Times New Roman"/>
                <w:color w:val="auto"/>
                <w:w w:val="99"/>
                <w:kern w:val="2"/>
                <w:sz w:val="21"/>
                <w:szCs w:val="21"/>
                <w:highlight w:val="none"/>
                <w:lang w:val="en-US" w:eastAsia="zh-CN" w:bidi="ar-SA"/>
              </w:rPr>
              <w:t>a）</w:t>
            </w:r>
          </w:p>
        </w:tc>
        <w:tc>
          <w:tcPr>
            <w:tcW w:w="272" w:type="pct"/>
            <w:vAlign w:val="center"/>
          </w:tcPr>
          <w:p w14:paraId="1C49049D">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设计系数</w:t>
            </w:r>
          </w:p>
        </w:tc>
        <w:tc>
          <w:tcPr>
            <w:tcW w:w="374" w:type="pct"/>
            <w:vAlign w:val="center"/>
          </w:tcPr>
          <w:p w14:paraId="48076BE2">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钢管焊缝系数</w:t>
            </w:r>
          </w:p>
        </w:tc>
        <w:tc>
          <w:tcPr>
            <w:tcW w:w="572" w:type="pct"/>
            <w:vAlign w:val="center"/>
          </w:tcPr>
          <w:p w14:paraId="6BC85895">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温度折减系数（温度小于120时取1）</w:t>
            </w:r>
          </w:p>
        </w:tc>
        <w:tc>
          <w:tcPr>
            <w:tcW w:w="547" w:type="pct"/>
            <w:vAlign w:val="center"/>
          </w:tcPr>
          <w:p w14:paraId="0C9395CC">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计算</w:t>
            </w:r>
          </w:p>
          <w:p w14:paraId="3FDB956C">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壁厚</w:t>
            </w:r>
          </w:p>
          <w:p w14:paraId="21E4074D">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（mm）</w:t>
            </w:r>
          </w:p>
        </w:tc>
        <w:tc>
          <w:tcPr>
            <w:tcW w:w="547" w:type="pct"/>
            <w:vAlign w:val="center"/>
          </w:tcPr>
          <w:p w14:paraId="692652E4">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内衬</w:t>
            </w:r>
          </w:p>
          <w:p w14:paraId="2A1B60B8">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壁厚</w:t>
            </w:r>
          </w:p>
          <w:p w14:paraId="3ED24308">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（mm）</w:t>
            </w:r>
          </w:p>
        </w:tc>
        <w:tc>
          <w:tcPr>
            <w:tcW w:w="547" w:type="pct"/>
            <w:vAlign w:val="center"/>
          </w:tcPr>
          <w:p w14:paraId="231DEDA0">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确定</w:t>
            </w:r>
          </w:p>
          <w:p w14:paraId="3EFBDB1B">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壁厚</w:t>
            </w:r>
          </w:p>
          <w:p w14:paraId="2CFF56EA">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（mm）</w:t>
            </w:r>
          </w:p>
        </w:tc>
      </w:tr>
      <w:tr w14:paraId="422AE3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95" w:type="pct"/>
            <w:vAlign w:val="center"/>
          </w:tcPr>
          <w:p w14:paraId="09E27F70">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徐深</w:t>
            </w:r>
            <w:r>
              <w:rPr>
                <w:rFonts w:hint="eastAsia" w:ascii="Times New Roman" w:hAnsi="Times New Roman" w:eastAsia="宋体" w:cs="Times New Roman"/>
                <w:color w:val="auto"/>
                <w:w w:val="99"/>
                <w:kern w:val="2"/>
                <w:sz w:val="21"/>
                <w:szCs w:val="21"/>
                <w:highlight w:val="none"/>
                <w:lang w:val="en-US" w:eastAsia="zh-CN" w:bidi="ar-SA"/>
              </w:rPr>
              <w:t>27</w:t>
            </w:r>
            <w:r>
              <w:rPr>
                <w:rFonts w:hint="default" w:ascii="Times New Roman" w:hAnsi="Times New Roman" w:eastAsia="宋体" w:cs="Times New Roman"/>
                <w:color w:val="auto"/>
                <w:w w:val="99"/>
                <w:kern w:val="2"/>
                <w:sz w:val="21"/>
                <w:szCs w:val="21"/>
                <w:highlight w:val="none"/>
                <w:lang w:val="en-US" w:eastAsia="zh-CN" w:bidi="ar-SA"/>
              </w:rPr>
              <w:t>-</w:t>
            </w:r>
            <w:r>
              <w:rPr>
                <w:rFonts w:hint="eastAsia" w:ascii="Times New Roman" w:hAnsi="Times New Roman" w:eastAsia="宋体" w:cs="Times New Roman"/>
                <w:color w:val="auto"/>
                <w:w w:val="99"/>
                <w:kern w:val="2"/>
                <w:sz w:val="21"/>
                <w:szCs w:val="21"/>
                <w:highlight w:val="none"/>
                <w:lang w:val="en-US" w:eastAsia="zh-CN" w:bidi="ar-SA"/>
              </w:rPr>
              <w:t>H1</w:t>
            </w:r>
          </w:p>
        </w:tc>
        <w:tc>
          <w:tcPr>
            <w:tcW w:w="568" w:type="pct"/>
            <w:vAlign w:val="center"/>
          </w:tcPr>
          <w:p w14:paraId="686FF7CF">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33</w:t>
            </w:r>
          </w:p>
        </w:tc>
        <w:tc>
          <w:tcPr>
            <w:tcW w:w="494" w:type="pct"/>
            <w:vAlign w:val="center"/>
          </w:tcPr>
          <w:p w14:paraId="2FB8F34F">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76</w:t>
            </w:r>
          </w:p>
        </w:tc>
        <w:tc>
          <w:tcPr>
            <w:tcW w:w="579" w:type="pct"/>
            <w:vAlign w:val="center"/>
          </w:tcPr>
          <w:p w14:paraId="0E8D2BFD">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245</w:t>
            </w:r>
          </w:p>
        </w:tc>
        <w:tc>
          <w:tcPr>
            <w:tcW w:w="272" w:type="pct"/>
            <w:vAlign w:val="center"/>
          </w:tcPr>
          <w:p w14:paraId="6C472899">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0.6</w:t>
            </w:r>
          </w:p>
        </w:tc>
        <w:tc>
          <w:tcPr>
            <w:tcW w:w="374" w:type="pct"/>
            <w:vAlign w:val="center"/>
          </w:tcPr>
          <w:p w14:paraId="67BB52C8">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w:t>
            </w:r>
          </w:p>
        </w:tc>
        <w:tc>
          <w:tcPr>
            <w:tcW w:w="572" w:type="pct"/>
            <w:vAlign w:val="center"/>
          </w:tcPr>
          <w:p w14:paraId="642BF825">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w:t>
            </w:r>
          </w:p>
        </w:tc>
        <w:tc>
          <w:tcPr>
            <w:tcW w:w="547" w:type="pct"/>
            <w:vAlign w:val="center"/>
          </w:tcPr>
          <w:p w14:paraId="6DA70EC1">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8.53</w:t>
            </w:r>
          </w:p>
        </w:tc>
        <w:tc>
          <w:tcPr>
            <w:tcW w:w="547" w:type="pct"/>
            <w:vAlign w:val="center"/>
          </w:tcPr>
          <w:p w14:paraId="66F143B8">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2.0</w:t>
            </w:r>
          </w:p>
        </w:tc>
        <w:tc>
          <w:tcPr>
            <w:tcW w:w="547" w:type="pct"/>
            <w:vAlign w:val="center"/>
          </w:tcPr>
          <w:p w14:paraId="0DDD5109">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9+2</w:t>
            </w:r>
          </w:p>
        </w:tc>
      </w:tr>
    </w:tbl>
    <w:p w14:paraId="6291552C">
      <w:pPr>
        <w:keepNext w:val="0"/>
        <w:keepLines w:val="0"/>
        <w:pageBreakBefore w:val="0"/>
        <w:widowControl/>
        <w:kinsoku/>
        <w:wordWrap/>
        <w:overflowPunct/>
        <w:topLinePunct w:val="0"/>
        <w:autoSpaceDE/>
        <w:autoSpaceDN/>
        <w:bidi w:val="0"/>
        <w:adjustRightInd/>
        <w:snapToGrid/>
        <w:spacing w:after="0" w:line="500" w:lineRule="exact"/>
        <w:ind w:firstLine="474" w:firstLineChars="200"/>
        <w:jc w:val="both"/>
        <w:textAlignment w:val="auto"/>
        <w:outlineLvl w:val="9"/>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（4）防冻设施</w:t>
      </w:r>
    </w:p>
    <w:p w14:paraId="48EDCCF3">
      <w:pPr>
        <w:keepNext w:val="0"/>
        <w:keepLines w:val="0"/>
        <w:pageBreakBefore w:val="0"/>
        <w:widowControl/>
        <w:kinsoku/>
        <w:wordWrap/>
        <w:overflowPunct/>
        <w:topLinePunct w:val="0"/>
        <w:autoSpaceDE/>
        <w:autoSpaceDN/>
        <w:bidi w:val="0"/>
        <w:adjustRightInd/>
        <w:snapToGrid/>
        <w:spacing w:line="500" w:lineRule="exact"/>
        <w:ind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eastAsia" w:ascii="Times New Roman" w:hAnsi="Times New Roman" w:eastAsia="宋体" w:cs="Times New Roman"/>
          <w:bCs/>
          <w:color w:val="auto"/>
          <w:w w:val="99"/>
          <w:sz w:val="24"/>
          <w:szCs w:val="24"/>
          <w:highlight w:val="none"/>
          <w:lang w:val="en-US" w:eastAsia="zh-CN" w:bidi="ar-SA"/>
        </w:rPr>
        <w:t>徐深27-H1井在开井压力下，水合物形成温度为23.47℃，而该井产气温度仅20℃，电伴热防冻工艺已不能满足防冻需求，需要采用在井口提高自身温度</w:t>
      </w:r>
      <w:r>
        <w:rPr>
          <w:rFonts w:hint="default" w:ascii="Times New Roman" w:hAnsi="Times New Roman" w:eastAsia="宋体" w:cs="Times New Roman"/>
          <w:bCs/>
          <w:color w:val="auto"/>
          <w:w w:val="99"/>
          <w:sz w:val="24"/>
          <w:szCs w:val="24"/>
          <w:highlight w:val="none"/>
          <w:lang w:val="en-US" w:eastAsia="zh-CN" w:bidi="ar-SA"/>
        </w:rPr>
        <w:t>的</w:t>
      </w:r>
      <w:r>
        <w:rPr>
          <w:rFonts w:hint="eastAsia" w:ascii="Times New Roman" w:hAnsi="Times New Roman" w:eastAsia="宋体" w:cs="Times New Roman"/>
          <w:bCs/>
          <w:color w:val="auto"/>
          <w:w w:val="99"/>
          <w:sz w:val="24"/>
          <w:szCs w:val="24"/>
          <w:highlight w:val="none"/>
          <w:lang w:val="en-US" w:eastAsia="zh-CN" w:bidi="ar-SA"/>
        </w:rPr>
        <w:t>方式</w:t>
      </w:r>
      <w:r>
        <w:rPr>
          <w:rFonts w:hint="default" w:ascii="Times New Roman" w:hAnsi="Times New Roman" w:eastAsia="宋体" w:cs="Times New Roman"/>
          <w:bCs/>
          <w:color w:val="auto"/>
          <w:w w:val="99"/>
          <w:sz w:val="24"/>
          <w:szCs w:val="24"/>
          <w:highlight w:val="none"/>
          <w:lang w:val="en-US" w:eastAsia="zh-CN" w:bidi="ar-SA"/>
        </w:rPr>
        <w:t>集输</w:t>
      </w:r>
      <w:r>
        <w:rPr>
          <w:rFonts w:hint="eastAsia" w:ascii="Times New Roman" w:hAnsi="Times New Roman" w:eastAsia="宋体" w:cs="Times New Roman"/>
          <w:bCs/>
          <w:color w:val="auto"/>
          <w:w w:val="99"/>
          <w:sz w:val="24"/>
          <w:szCs w:val="24"/>
          <w:highlight w:val="none"/>
          <w:lang w:val="en-US" w:eastAsia="zh-CN" w:bidi="ar-SA"/>
        </w:rPr>
        <w:t>进站。本次在徐深27-H1井口</w:t>
      </w:r>
      <w:r>
        <w:rPr>
          <w:rFonts w:hint="default" w:ascii="Times New Roman" w:hAnsi="Times New Roman" w:eastAsia="宋体" w:cs="Times New Roman"/>
          <w:bCs/>
          <w:color w:val="auto"/>
          <w:w w:val="99"/>
          <w:sz w:val="24"/>
          <w:szCs w:val="24"/>
          <w:highlight w:val="none"/>
          <w:lang w:val="en-US" w:eastAsia="zh-CN" w:bidi="ar-SA"/>
        </w:rPr>
        <w:t>将气井气</w:t>
      </w:r>
      <w:r>
        <w:rPr>
          <w:rFonts w:hint="eastAsia" w:ascii="Times New Roman" w:hAnsi="Times New Roman" w:eastAsia="宋体" w:cs="Times New Roman"/>
          <w:bCs/>
          <w:color w:val="auto"/>
          <w:w w:val="99"/>
          <w:sz w:val="24"/>
          <w:szCs w:val="24"/>
          <w:highlight w:val="none"/>
          <w:lang w:val="en-US" w:eastAsia="zh-CN" w:bidi="ar-SA"/>
        </w:rPr>
        <w:t>加热至42</w:t>
      </w:r>
      <w:r>
        <w:rPr>
          <w:rFonts w:hint="default" w:ascii="Times New Roman" w:hAnsi="Times New Roman" w:eastAsia="宋体" w:cs="Times New Roman"/>
          <w:bCs/>
          <w:color w:val="auto"/>
          <w:w w:val="99"/>
          <w:sz w:val="24"/>
          <w:szCs w:val="24"/>
          <w:highlight w:val="none"/>
          <w:lang w:val="en-US" w:eastAsia="zh-CN" w:bidi="ar-SA"/>
        </w:rPr>
        <w:t>℃</w:t>
      </w:r>
      <w:r>
        <w:rPr>
          <w:rFonts w:hint="eastAsia" w:ascii="Times New Roman" w:hAnsi="Times New Roman" w:eastAsia="宋体" w:cs="Times New Roman"/>
          <w:bCs/>
          <w:color w:val="auto"/>
          <w:w w:val="99"/>
          <w:sz w:val="24"/>
          <w:szCs w:val="24"/>
          <w:highlight w:val="none"/>
          <w:lang w:val="en-US" w:eastAsia="zh-CN" w:bidi="ar-SA"/>
        </w:rPr>
        <w:t>，</w:t>
      </w:r>
      <w:r>
        <w:rPr>
          <w:rFonts w:hint="default" w:ascii="Times New Roman" w:hAnsi="Times New Roman" w:eastAsia="宋体" w:cs="Times New Roman"/>
          <w:bCs/>
          <w:color w:val="auto"/>
          <w:w w:val="99"/>
          <w:sz w:val="24"/>
          <w:szCs w:val="24"/>
          <w:highlight w:val="none"/>
          <w:lang w:val="en-US" w:eastAsia="zh-CN" w:bidi="ar-SA"/>
        </w:rPr>
        <w:t>需</w:t>
      </w:r>
      <w:r>
        <w:rPr>
          <w:rFonts w:hint="eastAsia" w:ascii="Times New Roman" w:hAnsi="Times New Roman" w:eastAsia="宋体" w:cs="Times New Roman"/>
          <w:bCs/>
          <w:color w:val="auto"/>
          <w:w w:val="99"/>
          <w:sz w:val="24"/>
          <w:szCs w:val="24"/>
          <w:highlight w:val="none"/>
          <w:lang w:val="en-US" w:eastAsia="zh-CN" w:bidi="ar-SA"/>
        </w:rPr>
        <w:t>加热负荷77.4kW。而后将气井气节流降压至21MPa（</w:t>
      </w:r>
      <w:r>
        <w:rPr>
          <w:rFonts w:hint="default" w:ascii="Times New Roman" w:hAnsi="Times New Roman" w:eastAsia="宋体" w:cs="Times New Roman"/>
          <w:bCs/>
          <w:color w:val="auto"/>
          <w:w w:val="99"/>
          <w:sz w:val="24"/>
          <w:szCs w:val="24"/>
          <w:highlight w:val="none"/>
          <w:lang w:val="en-US" w:eastAsia="zh-CN" w:bidi="ar-SA"/>
        </w:rPr>
        <w:t>此时气井气</w:t>
      </w:r>
      <w:r>
        <w:rPr>
          <w:rFonts w:hint="eastAsia" w:ascii="Times New Roman" w:hAnsi="Times New Roman" w:eastAsia="宋体" w:cs="Times New Roman"/>
          <w:bCs/>
          <w:color w:val="auto"/>
          <w:w w:val="99"/>
          <w:sz w:val="24"/>
          <w:szCs w:val="24"/>
          <w:highlight w:val="none"/>
          <w:lang w:val="en-US" w:eastAsia="zh-CN" w:bidi="ar-SA"/>
        </w:rPr>
        <w:t>温度36.25</w:t>
      </w:r>
      <w:r>
        <w:rPr>
          <w:rFonts w:hint="default" w:ascii="Times New Roman" w:hAnsi="Times New Roman" w:eastAsia="宋体" w:cs="Times New Roman"/>
          <w:bCs/>
          <w:color w:val="auto"/>
          <w:w w:val="99"/>
          <w:sz w:val="24"/>
          <w:szCs w:val="24"/>
          <w:highlight w:val="none"/>
          <w:lang w:val="en-US" w:eastAsia="zh-CN" w:bidi="ar-SA"/>
        </w:rPr>
        <w:t>℃</w:t>
      </w:r>
      <w:r>
        <w:rPr>
          <w:rFonts w:hint="eastAsia" w:ascii="Times New Roman" w:hAnsi="Times New Roman" w:eastAsia="宋体" w:cs="Times New Roman"/>
          <w:bCs/>
          <w:color w:val="auto"/>
          <w:w w:val="99"/>
          <w:sz w:val="24"/>
          <w:szCs w:val="24"/>
          <w:highlight w:val="none"/>
          <w:lang w:val="en-US" w:eastAsia="zh-CN" w:bidi="ar-SA"/>
        </w:rPr>
        <w:t>，</w:t>
      </w:r>
      <w:r>
        <w:rPr>
          <w:rFonts w:hint="default" w:ascii="Times New Roman" w:hAnsi="Times New Roman" w:eastAsia="宋体" w:cs="Times New Roman"/>
          <w:bCs/>
          <w:color w:val="auto"/>
          <w:w w:val="99"/>
          <w:sz w:val="24"/>
          <w:szCs w:val="24"/>
          <w:highlight w:val="none"/>
          <w:lang w:val="en-US" w:eastAsia="zh-CN" w:bidi="ar-SA"/>
        </w:rPr>
        <w:t>水合物形成温度</w:t>
      </w:r>
      <w:r>
        <w:rPr>
          <w:rFonts w:hint="eastAsia" w:ascii="Times New Roman" w:hAnsi="Times New Roman" w:eastAsia="宋体" w:cs="Times New Roman"/>
          <w:bCs/>
          <w:color w:val="auto"/>
          <w:w w:val="99"/>
          <w:sz w:val="24"/>
          <w:szCs w:val="24"/>
          <w:highlight w:val="none"/>
          <w:lang w:val="en-US" w:eastAsia="zh-CN" w:bidi="ar-SA"/>
        </w:rPr>
        <w:t>21.99</w:t>
      </w:r>
      <w:r>
        <w:rPr>
          <w:rFonts w:hint="default" w:ascii="Times New Roman" w:hAnsi="Times New Roman" w:eastAsia="宋体" w:cs="Times New Roman"/>
          <w:bCs/>
          <w:color w:val="auto"/>
          <w:w w:val="99"/>
          <w:sz w:val="24"/>
          <w:szCs w:val="24"/>
          <w:highlight w:val="none"/>
          <w:lang w:val="en-US" w:eastAsia="zh-CN" w:bidi="ar-SA"/>
        </w:rPr>
        <w:t>℃</w:t>
      </w:r>
      <w:r>
        <w:rPr>
          <w:rFonts w:hint="eastAsia" w:ascii="Times New Roman" w:hAnsi="Times New Roman" w:eastAsia="宋体" w:cs="Times New Roman"/>
          <w:bCs/>
          <w:color w:val="auto"/>
          <w:w w:val="99"/>
          <w:sz w:val="24"/>
          <w:szCs w:val="24"/>
          <w:highlight w:val="none"/>
          <w:lang w:val="en-US" w:eastAsia="zh-CN" w:bidi="ar-SA"/>
        </w:rPr>
        <w:t>）后进入采气管道，采气管道在无伴热的情况下将气井气输送至集气站，气井进站温度32.44</w:t>
      </w:r>
      <w:r>
        <w:rPr>
          <w:rFonts w:hint="default" w:ascii="Times New Roman" w:hAnsi="Times New Roman" w:eastAsia="宋体" w:cs="Times New Roman"/>
          <w:bCs/>
          <w:color w:val="auto"/>
          <w:w w:val="99"/>
          <w:sz w:val="24"/>
          <w:szCs w:val="24"/>
          <w:highlight w:val="none"/>
          <w:lang w:val="en-US" w:eastAsia="zh-CN" w:bidi="ar-SA"/>
        </w:rPr>
        <w:t>℃</w:t>
      </w:r>
      <w:r>
        <w:rPr>
          <w:rFonts w:hint="eastAsia" w:ascii="Times New Roman" w:hAnsi="Times New Roman" w:eastAsia="宋体" w:cs="Times New Roman"/>
          <w:bCs/>
          <w:color w:val="auto"/>
          <w:w w:val="99"/>
          <w:sz w:val="24"/>
          <w:szCs w:val="24"/>
          <w:highlight w:val="none"/>
          <w:lang w:val="en-US" w:eastAsia="zh-CN" w:bidi="ar-SA"/>
        </w:rPr>
        <w:t>，压力20.6MPa。本次在徐深27-H1井井场设置80kW电磁涡流加热装置1座</w:t>
      </w:r>
      <w:r>
        <w:rPr>
          <w:rFonts w:hint="default" w:ascii="Times New Roman" w:hAnsi="Times New Roman" w:eastAsia="宋体" w:cs="Times New Roman"/>
          <w:bCs/>
          <w:color w:val="auto"/>
          <w:w w:val="99"/>
          <w:sz w:val="24"/>
          <w:szCs w:val="24"/>
          <w:highlight w:val="none"/>
          <w:lang w:val="en-US" w:eastAsia="zh-CN" w:bidi="ar-SA"/>
        </w:rPr>
        <w:t>。</w:t>
      </w:r>
    </w:p>
    <w:p w14:paraId="28BA5703">
      <w:pPr>
        <w:pStyle w:val="102"/>
        <w:keepNext w:val="0"/>
        <w:keepLines w:val="0"/>
        <w:pageBreakBefore w:val="0"/>
        <w:widowControl w:val="0"/>
        <w:kinsoku/>
        <w:wordWrap/>
        <w:overflowPunct/>
        <w:topLinePunct w:val="0"/>
        <w:autoSpaceDE/>
        <w:autoSpaceDN/>
        <w:bidi w:val="0"/>
        <w:adjustRightInd/>
        <w:snapToGrid w:val="0"/>
        <w:spacing w:line="440" w:lineRule="exact"/>
        <w:ind w:left="0" w:leftChars="0" w:firstLine="476" w:firstLineChars="200"/>
        <w:jc w:val="both"/>
        <w:textAlignment w:val="auto"/>
        <w:rPr>
          <w:rFonts w:hint="default" w:ascii="Times New Roman" w:hAnsi="Times New Roman" w:eastAsia="宋体" w:cs="Times New Roman"/>
          <w:b/>
          <w:bCs w:val="0"/>
          <w:color w:val="auto"/>
          <w:w w:val="99"/>
          <w:sz w:val="24"/>
          <w:szCs w:val="24"/>
          <w:highlight w:val="none"/>
          <w:lang w:val="en-US" w:eastAsia="zh-CN" w:bidi="ar-SA"/>
        </w:rPr>
      </w:pPr>
      <w:r>
        <w:rPr>
          <w:rFonts w:hint="default" w:ascii="Times New Roman" w:hAnsi="Times New Roman" w:eastAsia="宋体" w:cs="Times New Roman"/>
          <w:b/>
          <w:bCs w:val="0"/>
          <w:color w:val="auto"/>
          <w:w w:val="99"/>
          <w:sz w:val="24"/>
          <w:szCs w:val="24"/>
          <w:highlight w:val="none"/>
          <w:lang w:val="en-US" w:eastAsia="zh-CN" w:bidi="ar-SA"/>
        </w:rPr>
        <w:t>表</w:t>
      </w:r>
      <w:r>
        <w:rPr>
          <w:rFonts w:hint="eastAsia" w:ascii="Times New Roman" w:hAnsi="Times New Roman" w:eastAsia="宋体" w:cs="Times New Roman"/>
          <w:b/>
          <w:bCs w:val="0"/>
          <w:color w:val="auto"/>
          <w:w w:val="99"/>
          <w:sz w:val="24"/>
          <w:szCs w:val="24"/>
          <w:highlight w:val="none"/>
          <w:lang w:val="en-US" w:eastAsia="zh-CN" w:bidi="ar-SA"/>
        </w:rPr>
        <w:t>3.5-4</w:t>
      </w:r>
      <w:r>
        <w:rPr>
          <w:rFonts w:hint="default" w:ascii="Times New Roman" w:hAnsi="Times New Roman" w:eastAsia="宋体" w:cs="Times New Roman"/>
          <w:b/>
          <w:bCs w:val="0"/>
          <w:color w:val="auto"/>
          <w:w w:val="99"/>
          <w:sz w:val="24"/>
          <w:szCs w:val="24"/>
          <w:highlight w:val="none"/>
          <w:lang w:val="en-US" w:eastAsia="zh-CN" w:bidi="ar-SA"/>
        </w:rPr>
        <w:t xml:space="preserve">  </w:t>
      </w:r>
      <w:r>
        <w:rPr>
          <w:rFonts w:hint="eastAsia" w:ascii="Times New Roman" w:hAnsi="Times New Roman" w:eastAsia="宋体" w:cs="Times New Roman"/>
          <w:b/>
          <w:bCs w:val="0"/>
          <w:color w:val="auto"/>
          <w:w w:val="99"/>
          <w:sz w:val="24"/>
          <w:szCs w:val="24"/>
          <w:highlight w:val="none"/>
          <w:lang w:val="en-US" w:eastAsia="zh-CN" w:bidi="ar-SA"/>
        </w:rPr>
        <w:t>防冻工艺参数</w:t>
      </w:r>
      <w:r>
        <w:rPr>
          <w:rFonts w:hint="default" w:ascii="Times New Roman" w:hAnsi="Times New Roman" w:eastAsia="宋体" w:cs="Times New Roman"/>
          <w:b/>
          <w:bCs w:val="0"/>
          <w:color w:val="auto"/>
          <w:w w:val="99"/>
          <w:sz w:val="24"/>
          <w:szCs w:val="24"/>
          <w:highlight w:val="none"/>
          <w:lang w:val="en-US" w:eastAsia="zh-CN" w:bidi="ar-SA"/>
        </w:rPr>
        <w:t>计算表</w:t>
      </w:r>
    </w:p>
    <w:tbl>
      <w:tblPr>
        <w:tblStyle w:val="80"/>
        <w:tblW w:w="517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48"/>
        <w:gridCol w:w="882"/>
        <w:gridCol w:w="790"/>
        <w:gridCol w:w="796"/>
        <w:gridCol w:w="792"/>
        <w:gridCol w:w="792"/>
        <w:gridCol w:w="795"/>
        <w:gridCol w:w="795"/>
        <w:gridCol w:w="795"/>
        <w:gridCol w:w="816"/>
        <w:gridCol w:w="795"/>
        <w:gridCol w:w="806"/>
      </w:tblGrid>
      <w:tr w14:paraId="1D0AD2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361" w:type="pct"/>
            <w:vMerge w:val="restart"/>
            <w:vAlign w:val="center"/>
          </w:tcPr>
          <w:p w14:paraId="00CB4AF3">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井号</w:t>
            </w:r>
          </w:p>
        </w:tc>
        <w:tc>
          <w:tcPr>
            <w:tcW w:w="1238" w:type="pct"/>
            <w:gridSpan w:val="3"/>
            <w:vAlign w:val="center"/>
          </w:tcPr>
          <w:p w14:paraId="05D23205">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气井参数</w:t>
            </w:r>
          </w:p>
        </w:tc>
        <w:tc>
          <w:tcPr>
            <w:tcW w:w="2547" w:type="pct"/>
            <w:gridSpan w:val="6"/>
            <w:vAlign w:val="center"/>
          </w:tcPr>
          <w:p w14:paraId="6CA37015">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井口</w:t>
            </w:r>
          </w:p>
        </w:tc>
        <w:tc>
          <w:tcPr>
            <w:tcW w:w="852" w:type="pct"/>
            <w:gridSpan w:val="2"/>
            <w:vAlign w:val="center"/>
          </w:tcPr>
          <w:p w14:paraId="7EF9A061">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集气站</w:t>
            </w:r>
          </w:p>
        </w:tc>
      </w:tr>
      <w:tr w14:paraId="7FC7E8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1" w:type="pct"/>
            <w:vMerge w:val="continue"/>
            <w:vAlign w:val="center"/>
          </w:tcPr>
          <w:p w14:paraId="33706EC8">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p>
        </w:tc>
        <w:tc>
          <w:tcPr>
            <w:tcW w:w="393" w:type="pct"/>
            <w:vAlign w:val="center"/>
          </w:tcPr>
          <w:p w14:paraId="36D616F6">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气量</w:t>
            </w:r>
          </w:p>
        </w:tc>
        <w:tc>
          <w:tcPr>
            <w:tcW w:w="421" w:type="pct"/>
            <w:vAlign w:val="center"/>
          </w:tcPr>
          <w:p w14:paraId="739A8C61">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温度</w:t>
            </w:r>
          </w:p>
        </w:tc>
        <w:tc>
          <w:tcPr>
            <w:tcW w:w="422" w:type="pct"/>
            <w:vAlign w:val="center"/>
          </w:tcPr>
          <w:p w14:paraId="6A2201A1">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压力</w:t>
            </w:r>
          </w:p>
        </w:tc>
        <w:tc>
          <w:tcPr>
            <w:tcW w:w="422" w:type="pct"/>
            <w:vAlign w:val="center"/>
          </w:tcPr>
          <w:p w14:paraId="6233F203">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节流前水合物形成温度</w:t>
            </w:r>
          </w:p>
        </w:tc>
        <w:tc>
          <w:tcPr>
            <w:tcW w:w="422" w:type="pct"/>
            <w:vAlign w:val="center"/>
          </w:tcPr>
          <w:p w14:paraId="5BA0DA98">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加热温度</w:t>
            </w:r>
          </w:p>
        </w:tc>
        <w:tc>
          <w:tcPr>
            <w:tcW w:w="423" w:type="pct"/>
            <w:vAlign w:val="center"/>
          </w:tcPr>
          <w:p w14:paraId="6F73C0FD">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节流后压力</w:t>
            </w:r>
          </w:p>
        </w:tc>
        <w:tc>
          <w:tcPr>
            <w:tcW w:w="423" w:type="pct"/>
            <w:vAlign w:val="center"/>
          </w:tcPr>
          <w:p w14:paraId="189EF46C">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节流后温度</w:t>
            </w:r>
          </w:p>
        </w:tc>
        <w:tc>
          <w:tcPr>
            <w:tcW w:w="423" w:type="pct"/>
            <w:vAlign w:val="center"/>
          </w:tcPr>
          <w:p w14:paraId="4A58B0C8">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井口加热负荷</w:t>
            </w:r>
          </w:p>
        </w:tc>
        <w:tc>
          <w:tcPr>
            <w:tcW w:w="432" w:type="pct"/>
            <w:vAlign w:val="center"/>
          </w:tcPr>
          <w:p w14:paraId="3A7CEE46">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节流后水合物形成温度</w:t>
            </w:r>
          </w:p>
        </w:tc>
        <w:tc>
          <w:tcPr>
            <w:tcW w:w="423" w:type="pct"/>
            <w:vAlign w:val="center"/>
          </w:tcPr>
          <w:p w14:paraId="0FA78C79">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进站温度</w:t>
            </w:r>
          </w:p>
        </w:tc>
        <w:tc>
          <w:tcPr>
            <w:tcW w:w="429" w:type="pct"/>
            <w:vAlign w:val="center"/>
          </w:tcPr>
          <w:p w14:paraId="204AA2B9">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进站压力</w:t>
            </w:r>
          </w:p>
        </w:tc>
      </w:tr>
      <w:tr w14:paraId="77D89D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1" w:type="pct"/>
            <w:vMerge w:val="continue"/>
            <w:vAlign w:val="center"/>
          </w:tcPr>
          <w:p w14:paraId="64347240">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p>
        </w:tc>
        <w:tc>
          <w:tcPr>
            <w:tcW w:w="393" w:type="pct"/>
            <w:vAlign w:val="center"/>
          </w:tcPr>
          <w:p w14:paraId="5DD26300">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10</w:t>
            </w:r>
            <w:r>
              <w:rPr>
                <w:rFonts w:hint="default" w:ascii="Times New Roman" w:hAnsi="Times New Roman" w:eastAsia="宋体" w:cs="Times New Roman"/>
                <w:color w:val="auto"/>
                <w:w w:val="99"/>
                <w:kern w:val="2"/>
                <w:sz w:val="21"/>
                <w:szCs w:val="21"/>
                <w:highlight w:val="none"/>
                <w:vertAlign w:val="superscript"/>
                <w:lang w:val="en-US" w:eastAsia="zh-CN" w:bidi="ar-SA"/>
              </w:rPr>
              <w:t>4</w:t>
            </w:r>
            <w:r>
              <w:rPr>
                <w:rFonts w:hint="default" w:ascii="Times New Roman" w:hAnsi="Times New Roman" w:eastAsia="宋体" w:cs="Times New Roman"/>
                <w:color w:val="auto"/>
                <w:w w:val="99"/>
                <w:kern w:val="2"/>
                <w:sz w:val="21"/>
                <w:szCs w:val="21"/>
                <w:highlight w:val="none"/>
                <w:lang w:val="en-US" w:eastAsia="zh-CN" w:bidi="ar-SA"/>
              </w:rPr>
              <w:t>m</w:t>
            </w:r>
            <w:r>
              <w:rPr>
                <w:rFonts w:hint="default" w:ascii="Times New Roman" w:hAnsi="Times New Roman" w:eastAsia="宋体" w:cs="Times New Roman"/>
                <w:color w:val="auto"/>
                <w:w w:val="99"/>
                <w:kern w:val="2"/>
                <w:sz w:val="21"/>
                <w:szCs w:val="21"/>
                <w:highlight w:val="none"/>
                <w:vertAlign w:val="superscript"/>
                <w:lang w:val="en-US" w:eastAsia="zh-CN" w:bidi="ar-SA"/>
              </w:rPr>
              <w:t>3</w:t>
            </w:r>
            <w:r>
              <w:rPr>
                <w:rFonts w:hint="default" w:ascii="Times New Roman" w:hAnsi="Times New Roman" w:eastAsia="宋体" w:cs="Times New Roman"/>
                <w:color w:val="auto"/>
                <w:w w:val="99"/>
                <w:kern w:val="2"/>
                <w:sz w:val="21"/>
                <w:szCs w:val="21"/>
                <w:highlight w:val="none"/>
                <w:lang w:val="en-US" w:eastAsia="zh-CN" w:bidi="ar-SA"/>
              </w:rPr>
              <w:t>/d</w:t>
            </w:r>
          </w:p>
        </w:tc>
        <w:tc>
          <w:tcPr>
            <w:tcW w:w="421" w:type="pct"/>
            <w:vAlign w:val="center"/>
          </w:tcPr>
          <w:p w14:paraId="7BE991AC">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w:t>
            </w:r>
          </w:p>
        </w:tc>
        <w:tc>
          <w:tcPr>
            <w:tcW w:w="422" w:type="pct"/>
            <w:vAlign w:val="center"/>
          </w:tcPr>
          <w:p w14:paraId="0ED4F287">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MPa</w:t>
            </w:r>
          </w:p>
        </w:tc>
        <w:tc>
          <w:tcPr>
            <w:tcW w:w="422" w:type="pct"/>
            <w:vAlign w:val="center"/>
          </w:tcPr>
          <w:p w14:paraId="5AD08999">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w:t>
            </w:r>
          </w:p>
        </w:tc>
        <w:tc>
          <w:tcPr>
            <w:tcW w:w="422" w:type="pct"/>
            <w:vAlign w:val="center"/>
          </w:tcPr>
          <w:p w14:paraId="00362D6F">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w:t>
            </w:r>
          </w:p>
        </w:tc>
        <w:tc>
          <w:tcPr>
            <w:tcW w:w="423" w:type="pct"/>
            <w:vAlign w:val="center"/>
          </w:tcPr>
          <w:p w14:paraId="6C9DC58C">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MPa</w:t>
            </w:r>
          </w:p>
        </w:tc>
        <w:tc>
          <w:tcPr>
            <w:tcW w:w="423" w:type="pct"/>
            <w:vAlign w:val="center"/>
          </w:tcPr>
          <w:p w14:paraId="67B73451">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w:t>
            </w:r>
          </w:p>
        </w:tc>
        <w:tc>
          <w:tcPr>
            <w:tcW w:w="423" w:type="pct"/>
            <w:vAlign w:val="center"/>
          </w:tcPr>
          <w:p w14:paraId="2483E973">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kW</w:t>
            </w:r>
          </w:p>
        </w:tc>
        <w:tc>
          <w:tcPr>
            <w:tcW w:w="432" w:type="pct"/>
            <w:vAlign w:val="center"/>
          </w:tcPr>
          <w:p w14:paraId="47FDD076">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w:t>
            </w:r>
          </w:p>
        </w:tc>
        <w:tc>
          <w:tcPr>
            <w:tcW w:w="423" w:type="pct"/>
            <w:vAlign w:val="center"/>
          </w:tcPr>
          <w:p w14:paraId="38235F73">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w:t>
            </w:r>
          </w:p>
        </w:tc>
        <w:tc>
          <w:tcPr>
            <w:tcW w:w="429" w:type="pct"/>
            <w:vAlign w:val="center"/>
          </w:tcPr>
          <w:p w14:paraId="3893049D">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MPa</w:t>
            </w:r>
          </w:p>
        </w:tc>
      </w:tr>
      <w:tr w14:paraId="5DD878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61" w:type="pct"/>
            <w:vAlign w:val="center"/>
          </w:tcPr>
          <w:p w14:paraId="1D4C2DF0">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徐深27-H1</w:t>
            </w:r>
          </w:p>
        </w:tc>
        <w:tc>
          <w:tcPr>
            <w:tcW w:w="393" w:type="pct"/>
            <w:vAlign w:val="center"/>
          </w:tcPr>
          <w:p w14:paraId="2EBA4B4F">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9</w:t>
            </w:r>
          </w:p>
        </w:tc>
        <w:tc>
          <w:tcPr>
            <w:tcW w:w="421" w:type="pct"/>
            <w:vAlign w:val="center"/>
          </w:tcPr>
          <w:p w14:paraId="52342A7B">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20</w:t>
            </w:r>
          </w:p>
        </w:tc>
        <w:tc>
          <w:tcPr>
            <w:tcW w:w="422" w:type="pct"/>
            <w:vAlign w:val="center"/>
          </w:tcPr>
          <w:p w14:paraId="58646609">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26</w:t>
            </w:r>
          </w:p>
        </w:tc>
        <w:tc>
          <w:tcPr>
            <w:tcW w:w="422" w:type="pct"/>
            <w:vAlign w:val="center"/>
          </w:tcPr>
          <w:p w14:paraId="4041F40A">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23.47</w:t>
            </w:r>
          </w:p>
        </w:tc>
        <w:tc>
          <w:tcPr>
            <w:tcW w:w="422" w:type="pct"/>
            <w:vAlign w:val="center"/>
          </w:tcPr>
          <w:p w14:paraId="577E7AB9">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42</w:t>
            </w:r>
          </w:p>
        </w:tc>
        <w:tc>
          <w:tcPr>
            <w:tcW w:w="423" w:type="pct"/>
            <w:vAlign w:val="center"/>
          </w:tcPr>
          <w:p w14:paraId="7E96FA29">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21</w:t>
            </w:r>
          </w:p>
        </w:tc>
        <w:tc>
          <w:tcPr>
            <w:tcW w:w="423" w:type="pct"/>
            <w:vAlign w:val="center"/>
          </w:tcPr>
          <w:p w14:paraId="21AD11EB">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31.65</w:t>
            </w:r>
          </w:p>
        </w:tc>
        <w:tc>
          <w:tcPr>
            <w:tcW w:w="423" w:type="pct"/>
            <w:vAlign w:val="center"/>
          </w:tcPr>
          <w:p w14:paraId="3593BF6A">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77.41</w:t>
            </w:r>
          </w:p>
        </w:tc>
        <w:tc>
          <w:tcPr>
            <w:tcW w:w="432" w:type="pct"/>
            <w:vAlign w:val="center"/>
          </w:tcPr>
          <w:p w14:paraId="0DB1C149">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21.99</w:t>
            </w:r>
          </w:p>
        </w:tc>
        <w:tc>
          <w:tcPr>
            <w:tcW w:w="423" w:type="pct"/>
            <w:vAlign w:val="center"/>
          </w:tcPr>
          <w:p w14:paraId="4A0678B7">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32.44</w:t>
            </w:r>
          </w:p>
        </w:tc>
        <w:tc>
          <w:tcPr>
            <w:tcW w:w="429" w:type="pct"/>
            <w:vAlign w:val="center"/>
          </w:tcPr>
          <w:p w14:paraId="39A10651">
            <w:pPr>
              <w:pStyle w:val="173"/>
              <w:keepNext w:val="0"/>
              <w:keepLines w:val="0"/>
              <w:pageBreakBefore w:val="0"/>
              <w:tabs>
                <w:tab w:val="left" w:pos="3480"/>
              </w:tabs>
              <w:kinsoku/>
              <w:wordWrap/>
              <w:overflowPunct/>
              <w:topLinePunct w:val="0"/>
              <w:autoSpaceDE/>
              <w:bidi w:val="0"/>
              <w:adjustRightInd/>
              <w:snapToGrid/>
              <w:spacing w:line="360" w:lineRule="exact"/>
              <w:ind w:left="0" w:firstLine="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20.6</w:t>
            </w:r>
          </w:p>
        </w:tc>
      </w:tr>
    </w:tbl>
    <w:p w14:paraId="211CD007">
      <w:pPr>
        <w:keepNext w:val="0"/>
        <w:keepLines w:val="0"/>
        <w:pageBreakBefore w:val="0"/>
        <w:widowControl/>
        <w:kinsoku/>
        <w:wordWrap/>
        <w:overflowPunct/>
        <w:topLinePunct w:val="0"/>
        <w:autoSpaceDE/>
        <w:autoSpaceDN/>
        <w:bidi w:val="0"/>
        <w:adjustRightInd/>
        <w:snapToGrid/>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同时，为防止开井初期井口及管道冻堵问题，在井场预留注醇工艺接头。</w:t>
      </w:r>
    </w:p>
    <w:p w14:paraId="68F6CC70">
      <w:pPr>
        <w:keepNext w:val="0"/>
        <w:keepLines w:val="0"/>
        <w:pageBreakBefore w:val="0"/>
        <w:widowControl/>
        <w:kinsoku/>
        <w:wordWrap/>
        <w:overflowPunct/>
        <w:topLinePunct w:val="0"/>
        <w:autoSpaceDE/>
        <w:autoSpaceDN/>
        <w:bidi w:val="0"/>
        <w:adjustRightInd/>
        <w:snapToGrid/>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eastAsia" w:ascii="Times New Roman" w:hAnsi="Times New Roman" w:eastAsia="宋体" w:cs="Times New Roman"/>
          <w:bCs/>
          <w:color w:val="auto"/>
          <w:w w:val="99"/>
          <w:sz w:val="24"/>
          <w:szCs w:val="24"/>
          <w:highlight w:val="none"/>
          <w:lang w:val="en-US" w:eastAsia="zh-CN" w:bidi="ar-SA"/>
        </w:rPr>
        <w:t>（5</w:t>
      </w:r>
      <w:r>
        <w:rPr>
          <w:rFonts w:hint="default" w:ascii="Times New Roman" w:hAnsi="Times New Roman" w:eastAsia="宋体" w:cs="Times New Roman"/>
          <w:bCs/>
          <w:color w:val="auto"/>
          <w:w w:val="99"/>
          <w:sz w:val="24"/>
          <w:szCs w:val="24"/>
          <w:highlight w:val="none"/>
          <w:lang w:val="en-US" w:eastAsia="zh-CN" w:bidi="ar-SA"/>
        </w:rPr>
        <w:t>）电磁加热节流装置介绍</w:t>
      </w:r>
    </w:p>
    <w:p w14:paraId="0333E865">
      <w:pPr>
        <w:keepNext w:val="0"/>
        <w:keepLines w:val="0"/>
        <w:pageBreakBefore w:val="0"/>
        <w:widowControl/>
        <w:kinsoku/>
        <w:wordWrap/>
        <w:overflowPunct/>
        <w:topLinePunct w:val="0"/>
        <w:autoSpaceDE/>
        <w:autoSpaceDN/>
        <w:bidi w:val="0"/>
        <w:adjustRightInd/>
        <w:snapToGrid/>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eastAsia" w:ascii="Times New Roman" w:hAnsi="Times New Roman" w:eastAsia="宋体" w:cs="Times New Roman"/>
          <w:bCs/>
          <w:color w:val="auto"/>
          <w:w w:val="99"/>
          <w:sz w:val="24"/>
          <w:szCs w:val="24"/>
          <w:highlight w:val="none"/>
          <w:lang w:val="en-US" w:eastAsia="zh-CN" w:bidi="ar-SA"/>
        </w:rPr>
        <w:t>1）</w:t>
      </w:r>
      <w:r>
        <w:rPr>
          <w:rFonts w:hint="default" w:ascii="Times New Roman" w:hAnsi="Times New Roman" w:eastAsia="宋体" w:cs="Times New Roman"/>
          <w:bCs/>
          <w:color w:val="auto"/>
          <w:w w:val="99"/>
          <w:sz w:val="24"/>
          <w:szCs w:val="24"/>
          <w:highlight w:val="none"/>
          <w:lang w:val="en-US" w:eastAsia="zh-CN" w:bidi="ar-SA"/>
        </w:rPr>
        <w:t>电磁加热工作原理</w:t>
      </w:r>
    </w:p>
    <w:p w14:paraId="4B536B36">
      <w:pPr>
        <w:keepNext w:val="0"/>
        <w:keepLines w:val="0"/>
        <w:pageBreakBefore w:val="0"/>
        <w:widowControl/>
        <w:kinsoku/>
        <w:wordWrap/>
        <w:overflowPunct/>
        <w:topLinePunct w:val="0"/>
        <w:autoSpaceDE/>
        <w:autoSpaceDN/>
        <w:bidi w:val="0"/>
        <w:adjustRightInd/>
        <w:snapToGrid/>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该装置主要由感应毯和设备主机两部分构成，感应毯包袱在阀门和管道上，设备主机把工频电变成15-25kHz的高频电源，不断变换的高频磁场通过感应毯作用到阀门、管道金属体上产生涡流，使金属自身发热，热能可以深入到阀口冰堵处，破坏天然气形成冰堵的温度条件。</w:t>
      </w:r>
    </w:p>
    <w:p w14:paraId="66139AB6">
      <w:pPr>
        <w:keepNext w:val="0"/>
        <w:keepLines w:val="0"/>
        <w:pageBreakBefore w:val="0"/>
        <w:widowControl/>
        <w:kinsoku/>
        <w:wordWrap/>
        <w:overflowPunct/>
        <w:topLinePunct w:val="0"/>
        <w:autoSpaceDE/>
        <w:autoSpaceDN/>
        <w:bidi w:val="0"/>
        <w:adjustRightInd/>
        <w:snapToGrid/>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同时，在特殊磁场的作用下，产生一个类似变压器轻微径向频振，结合天然气通过管道的轴向频振形成一个类似高频相互抖动的效果，更有效的防止水合物与阀门、管道等金属粘连。</w:t>
      </w:r>
    </w:p>
    <w:p w14:paraId="6B6719C5">
      <w:pPr>
        <w:pStyle w:val="104"/>
        <w:keepNext w:val="0"/>
        <w:keepLines w:val="0"/>
        <w:pageBreakBefore w:val="0"/>
        <w:widowControl w:val="0"/>
        <w:tabs>
          <w:tab w:val="left" w:pos="3480"/>
        </w:tabs>
        <w:kinsoku/>
        <w:wordWrap/>
        <w:overflowPunct/>
        <w:topLinePunct w:val="0"/>
        <w:autoSpaceDE/>
        <w:autoSpaceDN/>
        <w:bidi w:val="0"/>
        <w:adjustRightInd w:val="0"/>
        <w:snapToGrid w:val="0"/>
        <w:spacing w:line="240" w:lineRule="auto"/>
        <w:ind w:left="0" w:firstLine="420" w:firstLineChars="200"/>
        <w:jc w:val="center"/>
        <w:textAlignment w:val="auto"/>
        <w:rPr>
          <w:color w:val="auto"/>
          <w:highlight w:val="none"/>
        </w:rPr>
      </w:pPr>
      <w:r>
        <w:rPr>
          <w:color w:val="auto"/>
          <w:highlight w:val="none"/>
        </w:rPr>
        <w:drawing>
          <wp:inline distT="0" distB="0" distL="114300" distR="114300">
            <wp:extent cx="3910965" cy="3242945"/>
            <wp:effectExtent l="9525" t="9525" r="22860" b="2413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9"/>
                    <a:srcRect t="23174" b="16889"/>
                    <a:stretch>
                      <a:fillRect/>
                    </a:stretch>
                  </pic:blipFill>
                  <pic:spPr>
                    <a:xfrm>
                      <a:off x="0" y="0"/>
                      <a:ext cx="3910965" cy="3242945"/>
                    </a:xfrm>
                    <a:prstGeom prst="rect">
                      <a:avLst/>
                    </a:prstGeom>
                    <a:ln w="6350">
                      <a:solidFill>
                        <a:schemeClr val="tx1"/>
                      </a:solidFill>
                    </a:ln>
                  </pic:spPr>
                </pic:pic>
              </a:graphicData>
            </a:graphic>
          </wp:inline>
        </w:drawing>
      </w:r>
    </w:p>
    <w:p w14:paraId="4BD981C2">
      <w:pPr>
        <w:pStyle w:val="102"/>
        <w:keepNext w:val="0"/>
        <w:keepLines w:val="0"/>
        <w:pageBreakBefore w:val="0"/>
        <w:widowControl w:val="0"/>
        <w:kinsoku/>
        <w:wordWrap/>
        <w:overflowPunct/>
        <w:topLinePunct w:val="0"/>
        <w:autoSpaceDE/>
        <w:autoSpaceDN/>
        <w:bidi w:val="0"/>
        <w:adjustRightInd/>
        <w:snapToGrid w:val="0"/>
        <w:spacing w:line="440" w:lineRule="exact"/>
        <w:ind w:left="0" w:leftChars="0" w:firstLine="476" w:firstLineChars="200"/>
        <w:jc w:val="center"/>
        <w:textAlignment w:val="auto"/>
        <w:rPr>
          <w:rFonts w:hint="eastAsia" w:ascii="Times New Roman" w:hAnsi="Times New Roman" w:eastAsia="宋体" w:cs="Times New Roman"/>
          <w:b/>
          <w:bCs w:val="0"/>
          <w:color w:val="auto"/>
          <w:w w:val="99"/>
          <w:sz w:val="24"/>
          <w:szCs w:val="24"/>
          <w:highlight w:val="none"/>
          <w:lang w:val="en-US" w:eastAsia="zh-CN" w:bidi="ar-SA"/>
        </w:rPr>
      </w:pPr>
      <w:r>
        <w:rPr>
          <w:rFonts w:hint="default" w:ascii="Times New Roman" w:hAnsi="Times New Roman" w:eastAsia="宋体" w:cs="Times New Roman"/>
          <w:b/>
          <w:bCs w:val="0"/>
          <w:color w:val="auto"/>
          <w:w w:val="99"/>
          <w:sz w:val="24"/>
          <w:szCs w:val="24"/>
          <w:highlight w:val="none"/>
          <w:lang w:val="en-US" w:eastAsia="zh-CN" w:bidi="ar-SA"/>
        </w:rPr>
        <w:t>图</w:t>
      </w:r>
      <w:r>
        <w:rPr>
          <w:rFonts w:hint="eastAsia" w:ascii="Times New Roman" w:hAnsi="Times New Roman" w:eastAsia="宋体" w:cs="Times New Roman"/>
          <w:b/>
          <w:bCs w:val="0"/>
          <w:color w:val="auto"/>
          <w:w w:val="99"/>
          <w:sz w:val="24"/>
          <w:szCs w:val="24"/>
          <w:highlight w:val="none"/>
          <w:lang w:val="en-US" w:eastAsia="zh-CN" w:bidi="ar-SA"/>
        </w:rPr>
        <w:t>3.5-1</w:t>
      </w:r>
      <w:r>
        <w:rPr>
          <w:rFonts w:hint="default" w:ascii="Times New Roman" w:hAnsi="Times New Roman" w:eastAsia="宋体" w:cs="Times New Roman"/>
          <w:b/>
          <w:bCs w:val="0"/>
          <w:color w:val="auto"/>
          <w:w w:val="99"/>
          <w:sz w:val="24"/>
          <w:szCs w:val="24"/>
          <w:highlight w:val="none"/>
          <w:lang w:val="en-US" w:eastAsia="zh-CN" w:bidi="ar-SA"/>
        </w:rPr>
        <w:t xml:space="preserve">  加热感应毯</w:t>
      </w:r>
      <w:r>
        <w:rPr>
          <w:rFonts w:hint="eastAsia" w:ascii="Times New Roman" w:hAnsi="Times New Roman" w:eastAsia="宋体" w:cs="Times New Roman"/>
          <w:b/>
          <w:bCs w:val="0"/>
          <w:color w:val="auto"/>
          <w:w w:val="99"/>
          <w:sz w:val="24"/>
          <w:szCs w:val="24"/>
          <w:highlight w:val="none"/>
          <w:lang w:val="en-US" w:eastAsia="zh-CN" w:bidi="ar-SA"/>
        </w:rPr>
        <w:t>组成示意图</w:t>
      </w:r>
    </w:p>
    <w:p w14:paraId="66653540">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eastAsia" w:ascii="Times New Roman" w:hAnsi="Times New Roman" w:eastAsia="宋体" w:cs="Times New Roman"/>
          <w:bCs/>
          <w:color w:val="auto"/>
          <w:w w:val="99"/>
          <w:sz w:val="24"/>
          <w:szCs w:val="24"/>
          <w:highlight w:val="none"/>
          <w:lang w:val="en-US" w:eastAsia="zh-CN" w:bidi="ar-SA"/>
        </w:rPr>
        <w:t>2）</w:t>
      </w:r>
      <w:r>
        <w:rPr>
          <w:rFonts w:hint="default" w:ascii="Times New Roman" w:hAnsi="Times New Roman" w:eastAsia="宋体" w:cs="Times New Roman"/>
          <w:bCs/>
          <w:color w:val="auto"/>
          <w:w w:val="99"/>
          <w:sz w:val="24"/>
          <w:szCs w:val="24"/>
          <w:highlight w:val="none"/>
          <w:lang w:val="en-US" w:eastAsia="zh-CN" w:bidi="ar-SA"/>
        </w:rPr>
        <w:t>功能</w:t>
      </w:r>
    </w:p>
    <w:p w14:paraId="674ACFCA">
      <w:pPr>
        <w:pStyle w:val="104"/>
        <w:keepNext w:val="0"/>
        <w:keepLines w:val="0"/>
        <w:pageBreakBefore w:val="0"/>
        <w:widowControl w:val="0"/>
        <w:tabs>
          <w:tab w:val="left" w:pos="3480"/>
        </w:tabs>
        <w:kinsoku/>
        <w:wordWrap/>
        <w:overflowPunct/>
        <w:topLinePunct w:val="0"/>
        <w:autoSpaceDE/>
        <w:autoSpaceDN/>
        <w:bidi w:val="0"/>
        <w:adjustRightInd/>
        <w:snapToGrid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可对气井气进行加热处理，气井气接入电磁加热节流装置后，利用感应毯对气井气加热。</w:t>
      </w:r>
    </w:p>
    <w:p w14:paraId="1DFAC1EA">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eastAsia" w:ascii="Times New Roman" w:hAnsi="Times New Roman" w:eastAsia="宋体" w:cs="Times New Roman"/>
          <w:bCs/>
          <w:color w:val="auto"/>
          <w:w w:val="99"/>
          <w:sz w:val="24"/>
          <w:szCs w:val="24"/>
          <w:highlight w:val="none"/>
          <w:lang w:val="en-US" w:eastAsia="zh-CN" w:bidi="ar-SA"/>
        </w:rPr>
        <w:t>3）</w:t>
      </w:r>
      <w:r>
        <w:rPr>
          <w:rFonts w:hint="default" w:ascii="Times New Roman" w:hAnsi="Times New Roman" w:eastAsia="宋体" w:cs="Times New Roman"/>
          <w:bCs/>
          <w:color w:val="auto"/>
          <w:w w:val="99"/>
          <w:sz w:val="24"/>
          <w:szCs w:val="24"/>
          <w:highlight w:val="none"/>
          <w:lang w:val="en-US" w:eastAsia="zh-CN" w:bidi="ar-SA"/>
        </w:rPr>
        <w:t>工艺参数</w:t>
      </w:r>
    </w:p>
    <w:p w14:paraId="2642108E">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 xml:space="preserve">功率范围：5~500KW   </w:t>
      </w:r>
    </w:p>
    <w:p w14:paraId="177637AF">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 xml:space="preserve">电压：220V/380V   </w:t>
      </w:r>
    </w:p>
    <w:p w14:paraId="50812BE0">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频率范围：15KHz-25KHz</w:t>
      </w:r>
    </w:p>
    <w:p w14:paraId="39B69744">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 xml:space="preserve">防爆等级：EXdbⅡBT4Gb   </w:t>
      </w:r>
    </w:p>
    <w:p w14:paraId="4B8C4A5C">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防护等级: 主机IP65  感应毯IP67</w:t>
      </w:r>
    </w:p>
    <w:p w14:paraId="06B0BADC">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 xml:space="preserve">感应毯特性：防水、防酸碱、耐高温 300℃ </w:t>
      </w:r>
    </w:p>
    <w:p w14:paraId="030A8A1B">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 xml:space="preserve">调压器、管道加热温度：10-90℃  (可设定)  </w:t>
      </w:r>
    </w:p>
    <w:p w14:paraId="1CE8C9F5">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油气升温：1-100℃ (可设定)</w:t>
      </w:r>
    </w:p>
    <w:p w14:paraId="1C78894D">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安装方式：采用橇装化设计，可根据加热物流的流股数量立体化布置</w:t>
      </w:r>
      <w:r>
        <w:rPr>
          <w:rFonts w:hint="eastAsia" w:ascii="Times New Roman" w:hAnsi="Times New Roman" w:eastAsia="宋体" w:cs="Times New Roman"/>
          <w:bCs/>
          <w:color w:val="auto"/>
          <w:w w:val="99"/>
          <w:sz w:val="24"/>
          <w:szCs w:val="24"/>
          <w:highlight w:val="none"/>
          <w:lang w:val="en-US" w:eastAsia="zh-CN" w:bidi="ar-SA"/>
        </w:rPr>
        <w:t>。</w:t>
      </w:r>
    </w:p>
    <w:p w14:paraId="4A7FE177">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eastAsia" w:ascii="Times New Roman" w:hAnsi="Times New Roman" w:eastAsia="宋体" w:cs="Times New Roman"/>
          <w:bCs/>
          <w:color w:val="auto"/>
          <w:w w:val="99"/>
          <w:sz w:val="24"/>
          <w:szCs w:val="24"/>
          <w:highlight w:val="none"/>
          <w:lang w:val="en-US" w:eastAsia="zh-CN" w:bidi="ar-SA"/>
        </w:rPr>
        <w:t>4）</w:t>
      </w:r>
      <w:r>
        <w:rPr>
          <w:rFonts w:hint="default" w:ascii="Times New Roman" w:hAnsi="Times New Roman" w:eastAsia="宋体" w:cs="Times New Roman"/>
          <w:bCs/>
          <w:color w:val="auto"/>
          <w:w w:val="99"/>
          <w:sz w:val="24"/>
          <w:szCs w:val="24"/>
          <w:highlight w:val="none"/>
          <w:lang w:val="en-US" w:eastAsia="zh-CN" w:bidi="ar-SA"/>
        </w:rPr>
        <w:t>应用情况</w:t>
      </w:r>
    </w:p>
    <w:p w14:paraId="1A079098">
      <w:pPr>
        <w:pStyle w:val="104"/>
        <w:keepNext w:val="0"/>
        <w:keepLines w:val="0"/>
        <w:pageBreakBefore w:val="0"/>
        <w:tabs>
          <w:tab w:val="left" w:pos="3480"/>
        </w:tabs>
        <w:kinsoku/>
        <w:wordWrap/>
        <w:overflowPunct/>
        <w:topLinePunct w:val="0"/>
        <w:autoSpaceDE/>
        <w:autoSpaceDN/>
        <w:bidi w:val="0"/>
        <w:spacing w:line="500" w:lineRule="exact"/>
        <w:ind w:left="0" w:firstLine="474" w:firstLineChars="200"/>
        <w:jc w:val="both"/>
        <w:textAlignment w:val="auto"/>
        <w:rPr>
          <w:rFonts w:hint="default" w:ascii="Times New Roman" w:hAnsi="Times New Roman" w:eastAsia="宋体" w:cs="Times New Roman"/>
          <w:bCs/>
          <w:color w:val="auto"/>
          <w:w w:val="99"/>
          <w:sz w:val="24"/>
          <w:szCs w:val="24"/>
          <w:highlight w:val="none"/>
          <w:lang w:val="en-US" w:eastAsia="zh-CN" w:bidi="ar-SA"/>
        </w:rPr>
      </w:pPr>
      <w:r>
        <w:rPr>
          <w:rFonts w:hint="default" w:ascii="Times New Roman" w:hAnsi="Times New Roman" w:eastAsia="宋体" w:cs="Times New Roman"/>
          <w:bCs/>
          <w:color w:val="auto"/>
          <w:w w:val="99"/>
          <w:sz w:val="24"/>
          <w:szCs w:val="24"/>
          <w:highlight w:val="none"/>
          <w:lang w:val="en-US" w:eastAsia="zh-CN" w:bidi="ar-SA"/>
        </w:rPr>
        <w:t>该装置目前在西南油气田、国家管网等单位已应用实践，多用于井场和管道伴热，以及站场上替代加热炉对油气加热。</w:t>
      </w:r>
    </w:p>
    <w:tbl>
      <w:tblPr>
        <w:tblStyle w:val="8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51"/>
        <w:gridCol w:w="4935"/>
      </w:tblGrid>
      <w:tr w14:paraId="19043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70" w:type="dxa"/>
            <w:noWrap w:val="0"/>
            <w:vAlign w:val="center"/>
          </w:tcPr>
          <w:p w14:paraId="0BCAC33D">
            <w:pPr>
              <w:pStyle w:val="104"/>
              <w:keepNext w:val="0"/>
              <w:keepLines w:val="0"/>
              <w:suppressLineNumbers w:val="0"/>
              <w:tabs>
                <w:tab w:val="left" w:pos="3480"/>
              </w:tabs>
              <w:adjustRightInd/>
              <w:snapToGrid/>
              <w:spacing w:before="0" w:beforeAutospacing="0" w:after="0" w:afterAutospacing="0" w:line="240" w:lineRule="auto"/>
              <w:ind w:right="0"/>
              <w:rPr>
                <w:rFonts w:hint="default" w:ascii="Times New Roman" w:hAnsi="Times New Roman" w:cs="Times New Roman"/>
                <w:color w:val="auto"/>
                <w:sz w:val="28"/>
                <w:szCs w:val="28"/>
                <w:highlight w:val="none"/>
                <w:lang w:val="en-US" w:bidi="ar"/>
              </w:rPr>
            </w:pPr>
            <w:r>
              <w:rPr>
                <w:rFonts w:hint="default" w:ascii="Times New Roman" w:hAnsi="Times New Roman" w:cs="Times New Roman"/>
                <w:color w:val="auto"/>
                <w:highlight w:val="none"/>
              </w:rPr>
              <w:drawing>
                <wp:inline distT="0" distB="0" distL="114300" distR="114300">
                  <wp:extent cx="2967355" cy="4083685"/>
                  <wp:effectExtent l="0" t="0" r="4445" b="1206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0"/>
                          <a:srcRect t="5586" r="9805" b="5247"/>
                          <a:stretch>
                            <a:fillRect/>
                          </a:stretch>
                        </pic:blipFill>
                        <pic:spPr>
                          <a:xfrm>
                            <a:off x="0" y="0"/>
                            <a:ext cx="2967355" cy="4083685"/>
                          </a:xfrm>
                          <a:prstGeom prst="rect">
                            <a:avLst/>
                          </a:prstGeom>
                          <a:noFill/>
                          <a:ln>
                            <a:noFill/>
                          </a:ln>
                        </pic:spPr>
                      </pic:pic>
                    </a:graphicData>
                  </a:graphic>
                </wp:inline>
              </w:drawing>
            </w:r>
          </w:p>
        </w:tc>
        <w:tc>
          <w:tcPr>
            <w:tcW w:w="4871" w:type="dxa"/>
            <w:noWrap w:val="0"/>
            <w:vAlign w:val="center"/>
          </w:tcPr>
          <w:p w14:paraId="45D6AF49">
            <w:pPr>
              <w:pStyle w:val="104"/>
              <w:keepNext w:val="0"/>
              <w:keepLines w:val="0"/>
              <w:suppressLineNumbers w:val="0"/>
              <w:tabs>
                <w:tab w:val="left" w:pos="3480"/>
              </w:tabs>
              <w:adjustRightInd/>
              <w:snapToGrid/>
              <w:spacing w:before="0" w:beforeAutospacing="0" w:after="0" w:afterAutospacing="0" w:line="240" w:lineRule="auto"/>
              <w:ind w:right="0"/>
              <w:rPr>
                <w:rFonts w:hint="default" w:ascii="Times New Roman" w:hAnsi="Times New Roman" w:cs="Times New Roman"/>
                <w:color w:val="auto"/>
                <w:sz w:val="28"/>
                <w:szCs w:val="28"/>
                <w:highlight w:val="none"/>
                <w:lang w:val="en-US" w:bidi="ar"/>
              </w:rPr>
            </w:pPr>
            <w:r>
              <w:rPr>
                <w:rFonts w:hint="default" w:ascii="Times New Roman" w:hAnsi="Times New Roman" w:cs="Times New Roman"/>
                <w:color w:val="auto"/>
                <w:highlight w:val="none"/>
              </w:rPr>
              <w:drawing>
                <wp:inline distT="0" distB="0" distL="114300" distR="114300">
                  <wp:extent cx="3379470" cy="4169410"/>
                  <wp:effectExtent l="0" t="0" r="11430" b="2540"/>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pic:cNvPicPr>
                            <a:picLocks noChangeAspect="1"/>
                          </pic:cNvPicPr>
                        </pic:nvPicPr>
                        <pic:blipFill>
                          <a:blip r:embed="rId31"/>
                          <a:stretch>
                            <a:fillRect/>
                          </a:stretch>
                        </pic:blipFill>
                        <pic:spPr>
                          <a:xfrm>
                            <a:off x="0" y="0"/>
                            <a:ext cx="3379470" cy="4169410"/>
                          </a:xfrm>
                          <a:prstGeom prst="rect">
                            <a:avLst/>
                          </a:prstGeom>
                          <a:noFill/>
                          <a:ln>
                            <a:noFill/>
                          </a:ln>
                        </pic:spPr>
                      </pic:pic>
                    </a:graphicData>
                  </a:graphic>
                </wp:inline>
              </w:drawing>
            </w:r>
          </w:p>
        </w:tc>
      </w:tr>
    </w:tbl>
    <w:p w14:paraId="33B2EDF7">
      <w:pPr>
        <w:pStyle w:val="102"/>
        <w:keepNext w:val="0"/>
        <w:keepLines w:val="0"/>
        <w:pageBreakBefore w:val="0"/>
        <w:widowControl w:val="0"/>
        <w:kinsoku/>
        <w:wordWrap/>
        <w:overflowPunct/>
        <w:topLinePunct w:val="0"/>
        <w:autoSpaceDE/>
        <w:autoSpaceDN/>
        <w:bidi w:val="0"/>
        <w:adjustRightInd/>
        <w:snapToGrid w:val="0"/>
        <w:spacing w:line="440" w:lineRule="exact"/>
        <w:ind w:left="0" w:leftChars="0" w:firstLine="476" w:firstLineChars="200"/>
        <w:jc w:val="center"/>
        <w:textAlignment w:val="auto"/>
        <w:rPr>
          <w:rFonts w:hint="default" w:ascii="Times New Roman" w:hAnsi="Times New Roman" w:eastAsia="宋体" w:cs="Times New Roman"/>
          <w:b/>
          <w:bCs w:val="0"/>
          <w:color w:val="auto"/>
          <w:w w:val="99"/>
          <w:sz w:val="24"/>
          <w:szCs w:val="24"/>
          <w:highlight w:val="none"/>
          <w:lang w:val="en-US" w:eastAsia="zh-CN" w:bidi="ar-SA"/>
        </w:rPr>
      </w:pPr>
      <w:r>
        <w:rPr>
          <w:rFonts w:hint="default" w:ascii="Times New Roman" w:hAnsi="Times New Roman" w:eastAsia="宋体" w:cs="Times New Roman"/>
          <w:b/>
          <w:bCs w:val="0"/>
          <w:color w:val="auto"/>
          <w:w w:val="99"/>
          <w:sz w:val="24"/>
          <w:szCs w:val="24"/>
          <w:highlight w:val="none"/>
          <w:lang w:val="en-US" w:eastAsia="zh-CN" w:bidi="ar-SA"/>
        </w:rPr>
        <w:t>图</w:t>
      </w:r>
      <w:r>
        <w:rPr>
          <w:rFonts w:hint="eastAsia" w:ascii="Times New Roman" w:hAnsi="Times New Roman" w:eastAsia="宋体" w:cs="Times New Roman"/>
          <w:b/>
          <w:bCs w:val="0"/>
          <w:color w:val="auto"/>
          <w:w w:val="99"/>
          <w:sz w:val="24"/>
          <w:szCs w:val="24"/>
          <w:highlight w:val="none"/>
          <w:lang w:val="en-US" w:eastAsia="zh-CN" w:bidi="ar-SA"/>
        </w:rPr>
        <w:t>3.5-2</w:t>
      </w:r>
      <w:r>
        <w:rPr>
          <w:rFonts w:hint="default" w:ascii="Times New Roman" w:hAnsi="Times New Roman" w:eastAsia="宋体" w:cs="Times New Roman"/>
          <w:b/>
          <w:bCs w:val="0"/>
          <w:color w:val="auto"/>
          <w:w w:val="99"/>
          <w:sz w:val="24"/>
          <w:szCs w:val="24"/>
          <w:highlight w:val="none"/>
          <w:lang w:val="en-US" w:eastAsia="zh-CN" w:bidi="ar-SA"/>
        </w:rPr>
        <w:t xml:space="preserve">  加热感应毯实物照片</w:t>
      </w:r>
    </w:p>
    <w:p w14:paraId="44385A08">
      <w:pPr>
        <w:rPr>
          <w:rFonts w:hint="eastAsia"/>
          <w:color w:val="auto"/>
          <w:highlight w:val="none"/>
          <w:lang w:val="en-US" w:eastAsia="zh-CN"/>
        </w:rPr>
      </w:pPr>
    </w:p>
    <w:p w14:paraId="30518476">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4"/>
          <w:highlight w:val="none"/>
          <w:lang w:val="en-US"/>
        </w:rPr>
      </w:pPr>
      <w:r>
        <w:rPr>
          <w:color w:val="auto"/>
          <w:highlight w:val="none"/>
        </w:rPr>
        <w:drawing>
          <wp:inline distT="0" distB="0" distL="114300" distR="114300">
            <wp:extent cx="3249930" cy="2663825"/>
            <wp:effectExtent l="9525" t="9525" r="17145" b="1270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2"/>
                    <a:srcRect b="10593"/>
                    <a:stretch>
                      <a:fillRect/>
                    </a:stretch>
                  </pic:blipFill>
                  <pic:spPr>
                    <a:xfrm>
                      <a:off x="0" y="0"/>
                      <a:ext cx="3249930" cy="2663825"/>
                    </a:xfrm>
                    <a:prstGeom prst="rect">
                      <a:avLst/>
                    </a:prstGeom>
                    <a:ln w="6350">
                      <a:solidFill>
                        <a:schemeClr val="tx1"/>
                      </a:solidFill>
                    </a:ln>
                  </pic:spPr>
                </pic:pic>
              </a:graphicData>
            </a:graphic>
          </wp:inline>
        </w:drawing>
      </w:r>
    </w:p>
    <w:p w14:paraId="0AD6D8FA">
      <w:pPr>
        <w:pStyle w:val="102"/>
        <w:keepNext w:val="0"/>
        <w:keepLines w:val="0"/>
        <w:pageBreakBefore w:val="0"/>
        <w:widowControl w:val="0"/>
        <w:kinsoku/>
        <w:wordWrap/>
        <w:overflowPunct/>
        <w:topLinePunct w:val="0"/>
        <w:autoSpaceDE/>
        <w:autoSpaceDN/>
        <w:bidi w:val="0"/>
        <w:adjustRightInd/>
        <w:snapToGrid w:val="0"/>
        <w:spacing w:line="440" w:lineRule="exact"/>
        <w:ind w:left="0" w:leftChars="0" w:firstLine="476" w:firstLineChars="200"/>
        <w:jc w:val="center"/>
        <w:textAlignment w:val="auto"/>
        <w:rPr>
          <w:rFonts w:hint="default" w:ascii="Times New Roman" w:hAnsi="Times New Roman" w:eastAsia="宋体" w:cs="Times New Roman"/>
          <w:b/>
          <w:bCs w:val="0"/>
          <w:color w:val="auto"/>
          <w:w w:val="99"/>
          <w:sz w:val="24"/>
          <w:szCs w:val="24"/>
          <w:highlight w:val="none"/>
          <w:lang w:val="en-US" w:eastAsia="zh-CN" w:bidi="ar-SA"/>
        </w:rPr>
      </w:pPr>
      <w:r>
        <w:rPr>
          <w:rFonts w:hint="default" w:ascii="Times New Roman" w:hAnsi="Times New Roman" w:eastAsia="宋体" w:cs="Times New Roman"/>
          <w:b/>
          <w:bCs w:val="0"/>
          <w:color w:val="auto"/>
          <w:w w:val="99"/>
          <w:sz w:val="24"/>
          <w:szCs w:val="24"/>
          <w:highlight w:val="none"/>
          <w:lang w:val="en-US" w:eastAsia="zh-CN" w:bidi="ar-SA"/>
        </w:rPr>
        <w:t>图</w:t>
      </w:r>
      <w:r>
        <w:rPr>
          <w:rFonts w:hint="eastAsia" w:ascii="Times New Roman" w:hAnsi="Times New Roman" w:eastAsia="宋体" w:cs="Times New Roman"/>
          <w:b/>
          <w:bCs w:val="0"/>
          <w:color w:val="auto"/>
          <w:w w:val="99"/>
          <w:sz w:val="24"/>
          <w:szCs w:val="24"/>
          <w:highlight w:val="none"/>
          <w:lang w:val="en-US" w:eastAsia="zh-CN" w:bidi="ar-SA"/>
        </w:rPr>
        <w:t>3.6-3</w:t>
      </w:r>
      <w:r>
        <w:rPr>
          <w:rFonts w:hint="default" w:ascii="Times New Roman" w:hAnsi="Times New Roman" w:eastAsia="宋体" w:cs="Times New Roman"/>
          <w:b/>
          <w:bCs w:val="0"/>
          <w:color w:val="auto"/>
          <w:w w:val="99"/>
          <w:sz w:val="24"/>
          <w:szCs w:val="24"/>
          <w:highlight w:val="none"/>
          <w:lang w:val="en-US" w:eastAsia="zh-CN" w:bidi="ar-SA"/>
        </w:rPr>
        <w:t xml:space="preserve"> </w:t>
      </w:r>
      <w:r>
        <w:rPr>
          <w:rFonts w:hint="eastAsia" w:ascii="Times New Roman" w:hAnsi="Times New Roman" w:eastAsia="宋体" w:cs="Times New Roman"/>
          <w:b/>
          <w:bCs w:val="0"/>
          <w:color w:val="auto"/>
          <w:w w:val="99"/>
          <w:sz w:val="24"/>
          <w:szCs w:val="24"/>
          <w:highlight w:val="none"/>
          <w:lang w:val="en-US" w:eastAsia="zh-CN" w:bidi="ar-SA"/>
        </w:rPr>
        <w:t>电磁</w:t>
      </w:r>
      <w:r>
        <w:rPr>
          <w:rFonts w:hint="default" w:ascii="Times New Roman" w:hAnsi="Times New Roman" w:eastAsia="宋体" w:cs="Times New Roman"/>
          <w:b/>
          <w:bCs w:val="0"/>
          <w:color w:val="auto"/>
          <w:w w:val="99"/>
          <w:sz w:val="24"/>
          <w:szCs w:val="24"/>
          <w:highlight w:val="none"/>
          <w:lang w:val="en-US" w:eastAsia="zh-CN" w:bidi="ar-SA"/>
        </w:rPr>
        <w:t>加热</w:t>
      </w:r>
      <w:r>
        <w:rPr>
          <w:rFonts w:hint="eastAsia" w:ascii="Times New Roman" w:hAnsi="Times New Roman" w:eastAsia="宋体" w:cs="Times New Roman"/>
          <w:b/>
          <w:bCs w:val="0"/>
          <w:color w:val="auto"/>
          <w:w w:val="99"/>
          <w:sz w:val="24"/>
          <w:szCs w:val="24"/>
          <w:highlight w:val="none"/>
          <w:lang w:val="en-US" w:eastAsia="zh-CN" w:bidi="ar-SA"/>
        </w:rPr>
        <w:t>装置</w:t>
      </w:r>
      <w:r>
        <w:rPr>
          <w:rFonts w:hint="default" w:ascii="Times New Roman" w:hAnsi="Times New Roman" w:eastAsia="宋体" w:cs="Times New Roman"/>
          <w:b/>
          <w:bCs w:val="0"/>
          <w:color w:val="auto"/>
          <w:w w:val="99"/>
          <w:sz w:val="24"/>
          <w:szCs w:val="24"/>
          <w:highlight w:val="none"/>
          <w:lang w:val="en-US" w:eastAsia="zh-CN" w:bidi="ar-SA"/>
        </w:rPr>
        <w:t>实物照片</w:t>
      </w:r>
    </w:p>
    <w:p w14:paraId="007CF189">
      <w:pPr>
        <w:numPr>
          <w:ilvl w:val="0"/>
          <w:numId w:val="0"/>
        </w:numPr>
        <w:spacing w:line="440" w:lineRule="exact"/>
        <w:ind w:firstLine="474" w:firstLineChars="200"/>
        <w:jc w:val="both"/>
        <w:rPr>
          <w:rFonts w:hint="eastAsia" w:ascii="Times New Roman" w:hAnsi="Times New Roman" w:cs="Times New Roman"/>
          <w:bCs/>
          <w:color w:val="auto"/>
          <w:w w:val="99"/>
          <w:highlight w:val="none"/>
          <w:lang w:val="en-US" w:eastAsia="zh-CN"/>
        </w:rPr>
      </w:pPr>
      <w:r>
        <w:rPr>
          <w:rFonts w:hint="default" w:ascii="Times New Roman" w:hAnsi="Times New Roman" w:cs="Times New Roman"/>
          <w:bCs/>
          <w:color w:val="auto"/>
          <w:w w:val="99"/>
          <w:highlight w:val="none"/>
          <w:lang w:val="en-US" w:eastAsia="zh-CN"/>
        </w:rPr>
        <w:t>（</w:t>
      </w:r>
      <w:r>
        <w:rPr>
          <w:rFonts w:hint="eastAsia" w:ascii="Times New Roman" w:hAnsi="Times New Roman" w:cs="Times New Roman"/>
          <w:bCs/>
          <w:color w:val="auto"/>
          <w:w w:val="99"/>
          <w:highlight w:val="none"/>
          <w:lang w:val="en-US" w:eastAsia="zh-CN"/>
        </w:rPr>
        <w:t>6</w:t>
      </w:r>
      <w:r>
        <w:rPr>
          <w:rFonts w:hint="default" w:ascii="Times New Roman" w:hAnsi="Times New Roman" w:cs="Times New Roman"/>
          <w:bCs/>
          <w:color w:val="auto"/>
          <w:w w:val="99"/>
          <w:highlight w:val="none"/>
          <w:lang w:val="en-US" w:eastAsia="zh-CN"/>
        </w:rPr>
        <w:t>）站外系统主要工程内容</w:t>
      </w:r>
    </w:p>
    <w:p w14:paraId="595A35A1">
      <w:pPr>
        <w:numPr>
          <w:ilvl w:val="0"/>
          <w:numId w:val="0"/>
        </w:numPr>
        <w:spacing w:line="440" w:lineRule="exact"/>
        <w:ind w:firstLine="474" w:firstLineChars="200"/>
        <w:jc w:val="both"/>
        <w:rPr>
          <w:rFonts w:hint="eastAsia" w:ascii="Times New Roman" w:hAnsi="Times New Roman" w:cs="Times New Roman"/>
          <w:bCs/>
          <w:color w:val="auto"/>
          <w:w w:val="99"/>
          <w:highlight w:val="none"/>
          <w:lang w:val="en-US" w:eastAsia="zh-CN"/>
        </w:rPr>
      </w:pPr>
      <w:r>
        <w:rPr>
          <w:rFonts w:hint="eastAsia" w:ascii="Times New Roman" w:hAnsi="Times New Roman" w:cs="Times New Roman"/>
          <w:bCs/>
          <w:color w:val="auto"/>
          <w:w w:val="99"/>
          <w:highlight w:val="none"/>
          <w:lang w:val="en-US" w:eastAsia="zh-CN"/>
        </w:rPr>
        <w:t>站外系统主要工程内容见表3.5-5。</w:t>
      </w:r>
    </w:p>
    <w:p w14:paraId="5E61128E">
      <w:pPr>
        <w:numPr>
          <w:ilvl w:val="0"/>
          <w:numId w:val="0"/>
        </w:numPr>
        <w:spacing w:line="440" w:lineRule="exact"/>
        <w:ind w:firstLine="476" w:firstLineChars="200"/>
        <w:jc w:val="both"/>
        <w:rPr>
          <w:rFonts w:hint="eastAsia" w:ascii="Times New Roman" w:hAnsi="Times New Roman" w:cs="Times New Roman"/>
          <w:b/>
          <w:bCs w:val="0"/>
          <w:color w:val="auto"/>
          <w:w w:val="99"/>
          <w:highlight w:val="none"/>
          <w:lang w:val="en-US" w:eastAsia="zh-CN"/>
        </w:rPr>
      </w:pPr>
      <w:r>
        <w:rPr>
          <w:rFonts w:hint="eastAsia" w:ascii="Times New Roman" w:hAnsi="Times New Roman" w:cs="Times New Roman"/>
          <w:b/>
          <w:bCs w:val="0"/>
          <w:color w:val="auto"/>
          <w:w w:val="99"/>
          <w:highlight w:val="none"/>
          <w:lang w:val="en-US" w:eastAsia="zh-CN"/>
        </w:rPr>
        <w:t>表3.5-5  站外系统主要工程内容汇总表</w:t>
      </w:r>
    </w:p>
    <w:tbl>
      <w:tblPr>
        <w:tblStyle w:val="8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881"/>
        <w:gridCol w:w="5865"/>
        <w:gridCol w:w="1200"/>
        <w:gridCol w:w="1154"/>
      </w:tblGrid>
      <w:tr w14:paraId="67860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exact"/>
          <w:tblHeader/>
          <w:jc w:val="center"/>
        </w:trPr>
        <w:tc>
          <w:tcPr>
            <w:tcW w:w="484" w:type="pct"/>
            <w:tcMar>
              <w:top w:w="15" w:type="dxa"/>
              <w:left w:w="15" w:type="dxa"/>
              <w:right w:w="15" w:type="dxa"/>
            </w:tcMar>
            <w:vAlign w:val="center"/>
          </w:tcPr>
          <w:p w14:paraId="37A30C09">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序号</w:t>
            </w:r>
          </w:p>
        </w:tc>
        <w:tc>
          <w:tcPr>
            <w:tcW w:w="3222" w:type="pct"/>
            <w:tcMar>
              <w:top w:w="15" w:type="dxa"/>
              <w:left w:w="15" w:type="dxa"/>
              <w:right w:w="15" w:type="dxa"/>
            </w:tcMar>
            <w:vAlign w:val="center"/>
          </w:tcPr>
          <w:p w14:paraId="68226FBE">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主要工程内容</w:t>
            </w:r>
          </w:p>
        </w:tc>
        <w:tc>
          <w:tcPr>
            <w:tcW w:w="659" w:type="pct"/>
            <w:tcMar>
              <w:top w:w="15" w:type="dxa"/>
              <w:left w:w="15" w:type="dxa"/>
              <w:right w:w="15" w:type="dxa"/>
            </w:tcMar>
            <w:vAlign w:val="center"/>
          </w:tcPr>
          <w:p w14:paraId="4E947BF7">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单位</w:t>
            </w:r>
          </w:p>
        </w:tc>
        <w:tc>
          <w:tcPr>
            <w:tcW w:w="634" w:type="pct"/>
            <w:tcMar>
              <w:top w:w="15" w:type="dxa"/>
              <w:left w:w="15" w:type="dxa"/>
              <w:right w:w="15" w:type="dxa"/>
            </w:tcMar>
            <w:vAlign w:val="center"/>
          </w:tcPr>
          <w:p w14:paraId="0D54D2C7">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数量</w:t>
            </w:r>
          </w:p>
        </w:tc>
      </w:tr>
      <w:tr w14:paraId="5DF6D3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84" w:type="pct"/>
            <w:vAlign w:val="center"/>
          </w:tcPr>
          <w:p w14:paraId="1D00A2C3">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一</w:t>
            </w:r>
          </w:p>
        </w:tc>
        <w:tc>
          <w:tcPr>
            <w:tcW w:w="3222" w:type="pct"/>
            <w:vAlign w:val="center"/>
          </w:tcPr>
          <w:p w14:paraId="48ED7708">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采气井场</w:t>
            </w:r>
          </w:p>
        </w:tc>
        <w:tc>
          <w:tcPr>
            <w:tcW w:w="659" w:type="pct"/>
            <w:vAlign w:val="center"/>
          </w:tcPr>
          <w:p w14:paraId="18A2DF38">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p>
        </w:tc>
        <w:tc>
          <w:tcPr>
            <w:tcW w:w="634" w:type="pct"/>
            <w:vAlign w:val="center"/>
          </w:tcPr>
          <w:p w14:paraId="2DAC795E">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p>
        </w:tc>
      </w:tr>
      <w:tr w14:paraId="060E1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84" w:type="pct"/>
            <w:vAlign w:val="center"/>
          </w:tcPr>
          <w:p w14:paraId="1A653727">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1</w:t>
            </w:r>
          </w:p>
        </w:tc>
        <w:tc>
          <w:tcPr>
            <w:tcW w:w="3222" w:type="pct"/>
            <w:vAlign w:val="center"/>
          </w:tcPr>
          <w:p w14:paraId="664EDE31">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单井井场（高含碳-36MPa-DN65）</w:t>
            </w:r>
          </w:p>
        </w:tc>
        <w:tc>
          <w:tcPr>
            <w:tcW w:w="659" w:type="pct"/>
            <w:vAlign w:val="center"/>
          </w:tcPr>
          <w:p w14:paraId="438CA847">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座</w:t>
            </w:r>
          </w:p>
        </w:tc>
        <w:tc>
          <w:tcPr>
            <w:tcW w:w="634" w:type="pct"/>
            <w:vAlign w:val="center"/>
          </w:tcPr>
          <w:p w14:paraId="78F28FF3">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kern w:val="2"/>
                <w:sz w:val="21"/>
                <w:szCs w:val="21"/>
                <w:highlight w:val="none"/>
                <w:lang w:val="en-US" w:eastAsia="zh-CN" w:bidi="ar-SA"/>
              </w:rPr>
              <w:t>1</w:t>
            </w:r>
          </w:p>
        </w:tc>
      </w:tr>
      <w:tr w14:paraId="1A599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84" w:type="pct"/>
            <w:vAlign w:val="center"/>
          </w:tcPr>
          <w:p w14:paraId="68AB4AA5">
            <w:pPr>
              <w:widowControl/>
              <w:spacing w:line="240" w:lineRule="auto"/>
              <w:ind w:firstLine="0" w:firstLineChars="0"/>
              <w:jc w:val="center"/>
              <w:rPr>
                <w:rFonts w:hint="eastAsia"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kern w:val="2"/>
                <w:sz w:val="21"/>
                <w:szCs w:val="21"/>
                <w:highlight w:val="none"/>
                <w:lang w:val="en-US" w:eastAsia="zh-CN" w:bidi="ar-SA"/>
              </w:rPr>
              <w:t>2</w:t>
            </w:r>
          </w:p>
        </w:tc>
        <w:tc>
          <w:tcPr>
            <w:tcW w:w="3222" w:type="pct"/>
            <w:vAlign w:val="center"/>
          </w:tcPr>
          <w:p w14:paraId="07321075">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80kW 防爆电磁涡流加热装置</w:t>
            </w:r>
          </w:p>
        </w:tc>
        <w:tc>
          <w:tcPr>
            <w:tcW w:w="659" w:type="pct"/>
            <w:vAlign w:val="center"/>
          </w:tcPr>
          <w:p w14:paraId="57E5A087">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kern w:val="2"/>
                <w:sz w:val="21"/>
                <w:szCs w:val="21"/>
                <w:highlight w:val="none"/>
                <w:lang w:val="en-US" w:eastAsia="zh-CN" w:bidi="ar-SA"/>
              </w:rPr>
              <w:t>座</w:t>
            </w:r>
          </w:p>
        </w:tc>
        <w:tc>
          <w:tcPr>
            <w:tcW w:w="634" w:type="pct"/>
            <w:vAlign w:val="center"/>
          </w:tcPr>
          <w:p w14:paraId="54642CFC">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kern w:val="2"/>
                <w:sz w:val="21"/>
                <w:szCs w:val="21"/>
                <w:highlight w:val="none"/>
                <w:lang w:val="en-US" w:eastAsia="zh-CN" w:bidi="ar-SA"/>
              </w:rPr>
              <w:t>1</w:t>
            </w:r>
          </w:p>
        </w:tc>
      </w:tr>
      <w:tr w14:paraId="1A38D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84" w:type="pct"/>
            <w:vAlign w:val="center"/>
          </w:tcPr>
          <w:p w14:paraId="52B11854">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二</w:t>
            </w:r>
          </w:p>
        </w:tc>
        <w:tc>
          <w:tcPr>
            <w:tcW w:w="3222" w:type="pct"/>
            <w:vAlign w:val="center"/>
          </w:tcPr>
          <w:p w14:paraId="78ACC728">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采气管道</w:t>
            </w:r>
          </w:p>
        </w:tc>
        <w:tc>
          <w:tcPr>
            <w:tcW w:w="659" w:type="pct"/>
            <w:vAlign w:val="center"/>
          </w:tcPr>
          <w:p w14:paraId="7EDD675B">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p>
        </w:tc>
        <w:tc>
          <w:tcPr>
            <w:tcW w:w="634" w:type="pct"/>
            <w:vAlign w:val="center"/>
          </w:tcPr>
          <w:p w14:paraId="2912BC59">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p>
        </w:tc>
      </w:tr>
      <w:tr w14:paraId="30A28D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84" w:type="pct"/>
            <w:vAlign w:val="center"/>
          </w:tcPr>
          <w:p w14:paraId="7FF6B726">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1</w:t>
            </w:r>
          </w:p>
        </w:tc>
        <w:tc>
          <w:tcPr>
            <w:tcW w:w="3222" w:type="pct"/>
            <w:vAlign w:val="center"/>
          </w:tcPr>
          <w:p w14:paraId="6DCE2429">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20#+316L内衬不锈钢双金属复合管 Φ76×（9+2）</w:t>
            </w:r>
          </w:p>
        </w:tc>
        <w:tc>
          <w:tcPr>
            <w:tcW w:w="659" w:type="pct"/>
            <w:vAlign w:val="center"/>
          </w:tcPr>
          <w:p w14:paraId="14812ED9">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km</w:t>
            </w:r>
          </w:p>
        </w:tc>
        <w:tc>
          <w:tcPr>
            <w:tcW w:w="634" w:type="pct"/>
            <w:vAlign w:val="center"/>
          </w:tcPr>
          <w:p w14:paraId="4E550120">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kern w:val="2"/>
                <w:sz w:val="21"/>
                <w:szCs w:val="21"/>
                <w:highlight w:val="none"/>
                <w:lang w:val="en-US" w:eastAsia="zh-CN" w:bidi="ar-SA"/>
              </w:rPr>
              <w:t>1.92</w:t>
            </w:r>
          </w:p>
        </w:tc>
      </w:tr>
      <w:tr w14:paraId="40424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84" w:type="pct"/>
            <w:vAlign w:val="center"/>
          </w:tcPr>
          <w:p w14:paraId="2C4A0244">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2</w:t>
            </w:r>
          </w:p>
        </w:tc>
        <w:tc>
          <w:tcPr>
            <w:tcW w:w="3222" w:type="pct"/>
            <w:shd w:val="clear" w:color="auto" w:fill="auto"/>
            <w:vAlign w:val="center"/>
          </w:tcPr>
          <w:p w14:paraId="1F5A266C">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绝缘接头PN360  DN65 （316L材质）</w:t>
            </w:r>
          </w:p>
        </w:tc>
        <w:tc>
          <w:tcPr>
            <w:tcW w:w="659" w:type="pct"/>
            <w:shd w:val="clear" w:color="auto" w:fill="auto"/>
            <w:vAlign w:val="center"/>
          </w:tcPr>
          <w:p w14:paraId="479124D1">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个</w:t>
            </w:r>
          </w:p>
        </w:tc>
        <w:tc>
          <w:tcPr>
            <w:tcW w:w="634" w:type="pct"/>
            <w:shd w:val="clear" w:color="auto" w:fill="auto"/>
            <w:vAlign w:val="center"/>
          </w:tcPr>
          <w:p w14:paraId="2CB84D45">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kern w:val="2"/>
                <w:sz w:val="21"/>
                <w:szCs w:val="21"/>
                <w:highlight w:val="none"/>
                <w:lang w:val="en-US" w:eastAsia="zh-CN" w:bidi="ar-SA"/>
              </w:rPr>
              <w:t>2</w:t>
            </w:r>
          </w:p>
        </w:tc>
      </w:tr>
      <w:tr w14:paraId="677C0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84" w:type="pct"/>
            <w:vAlign w:val="center"/>
          </w:tcPr>
          <w:p w14:paraId="4C6278D7">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三</w:t>
            </w:r>
          </w:p>
        </w:tc>
        <w:tc>
          <w:tcPr>
            <w:tcW w:w="3222" w:type="pct"/>
            <w:shd w:val="clear" w:color="auto" w:fill="auto"/>
            <w:vAlign w:val="center"/>
          </w:tcPr>
          <w:p w14:paraId="1C8B045D">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穿跨越</w:t>
            </w:r>
          </w:p>
        </w:tc>
        <w:tc>
          <w:tcPr>
            <w:tcW w:w="659" w:type="pct"/>
            <w:shd w:val="clear" w:color="auto" w:fill="auto"/>
            <w:vAlign w:val="center"/>
          </w:tcPr>
          <w:p w14:paraId="2D721D54">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p>
        </w:tc>
        <w:tc>
          <w:tcPr>
            <w:tcW w:w="634" w:type="pct"/>
            <w:shd w:val="clear" w:color="auto" w:fill="auto"/>
            <w:vAlign w:val="center"/>
          </w:tcPr>
          <w:p w14:paraId="14E4B01C">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p>
        </w:tc>
      </w:tr>
      <w:tr w14:paraId="6605F7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84" w:type="pct"/>
            <w:vAlign w:val="center"/>
          </w:tcPr>
          <w:p w14:paraId="163FD1AE">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1</w:t>
            </w:r>
          </w:p>
        </w:tc>
        <w:tc>
          <w:tcPr>
            <w:tcW w:w="3222" w:type="pct"/>
            <w:shd w:val="clear" w:color="auto" w:fill="auto"/>
            <w:vAlign w:val="center"/>
          </w:tcPr>
          <w:p w14:paraId="334FDED3">
            <w:pPr>
              <w:widowControl/>
              <w:spacing w:line="240" w:lineRule="auto"/>
              <w:ind w:firstLine="0" w:firstLineChars="0"/>
              <w:jc w:val="center"/>
              <w:rPr>
                <w:rFonts w:hint="eastAsia" w:ascii="Times New Roman" w:hAnsi="Times New Roman" w:eastAsia="宋体" w:cs="Times New Roman"/>
                <w:bCs/>
                <w:color w:val="auto"/>
                <w:w w:val="99"/>
                <w:kern w:val="2"/>
                <w:sz w:val="21"/>
                <w:szCs w:val="21"/>
                <w:highlight w:val="none"/>
                <w:lang w:val="zh-CN" w:eastAsia="zh-CN" w:bidi="ar-SA"/>
              </w:rPr>
            </w:pPr>
            <w:r>
              <w:rPr>
                <w:rFonts w:hint="default" w:ascii="Times New Roman" w:hAnsi="Times New Roman" w:eastAsia="宋体" w:cs="Times New Roman"/>
                <w:bCs/>
                <w:color w:val="auto"/>
                <w:w w:val="99"/>
                <w:kern w:val="2"/>
                <w:sz w:val="21"/>
                <w:szCs w:val="21"/>
                <w:highlight w:val="none"/>
                <w:lang w:val="en-US" w:eastAsia="zh-CN" w:bidi="ar-SA"/>
              </w:rPr>
              <w:t>公路穿越钢顶 L=15m 套管DN150</w:t>
            </w:r>
          </w:p>
        </w:tc>
        <w:tc>
          <w:tcPr>
            <w:tcW w:w="659" w:type="pct"/>
            <w:shd w:val="clear" w:color="auto" w:fill="auto"/>
            <w:vAlign w:val="center"/>
          </w:tcPr>
          <w:p w14:paraId="484F2D15">
            <w:pPr>
              <w:widowControl/>
              <w:spacing w:line="240" w:lineRule="auto"/>
              <w:ind w:firstLine="0" w:firstLineChars="0"/>
              <w:jc w:val="center"/>
              <w:rPr>
                <w:rFonts w:hint="eastAsia" w:ascii="Times New Roman" w:hAnsi="Times New Roman" w:eastAsia="宋体" w:cs="Times New Roman"/>
                <w:bCs/>
                <w:color w:val="auto"/>
                <w:w w:val="99"/>
                <w:kern w:val="2"/>
                <w:sz w:val="21"/>
                <w:szCs w:val="21"/>
                <w:highlight w:val="none"/>
                <w:lang w:val="zh-CN" w:eastAsia="zh-CN" w:bidi="ar-SA"/>
              </w:rPr>
            </w:pPr>
            <w:r>
              <w:rPr>
                <w:rFonts w:hint="default" w:ascii="Times New Roman" w:hAnsi="Times New Roman" w:eastAsia="宋体" w:cs="Times New Roman"/>
                <w:bCs/>
                <w:color w:val="auto"/>
                <w:w w:val="99"/>
                <w:kern w:val="2"/>
                <w:sz w:val="21"/>
                <w:szCs w:val="21"/>
                <w:highlight w:val="none"/>
                <w:lang w:val="en-US" w:eastAsia="zh-CN" w:bidi="ar-SA"/>
              </w:rPr>
              <w:t>处</w:t>
            </w:r>
          </w:p>
        </w:tc>
        <w:tc>
          <w:tcPr>
            <w:tcW w:w="634" w:type="pct"/>
            <w:shd w:val="clear" w:color="auto" w:fill="auto"/>
            <w:vAlign w:val="center"/>
          </w:tcPr>
          <w:p w14:paraId="5758A99C">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eastAsia" w:ascii="Times New Roman" w:hAnsi="Times New Roman" w:eastAsia="宋体" w:cs="Times New Roman"/>
                <w:bCs/>
                <w:color w:val="auto"/>
                <w:w w:val="99"/>
                <w:kern w:val="2"/>
                <w:sz w:val="21"/>
                <w:szCs w:val="21"/>
                <w:highlight w:val="none"/>
                <w:lang w:val="en-US" w:eastAsia="zh-CN" w:bidi="ar-SA"/>
              </w:rPr>
              <w:t>4</w:t>
            </w:r>
          </w:p>
        </w:tc>
      </w:tr>
      <w:tr w14:paraId="7F097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84" w:type="pct"/>
            <w:shd w:val="clear" w:color="auto" w:fill="auto"/>
            <w:vAlign w:val="center"/>
          </w:tcPr>
          <w:p w14:paraId="1DE2F63B">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2</w:t>
            </w:r>
          </w:p>
        </w:tc>
        <w:tc>
          <w:tcPr>
            <w:tcW w:w="3222" w:type="pct"/>
            <w:shd w:val="clear" w:color="auto" w:fill="auto"/>
            <w:vAlign w:val="center"/>
          </w:tcPr>
          <w:p w14:paraId="79E7C055">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zh-CN" w:eastAsia="zh-CN" w:bidi="ar-SA"/>
              </w:rPr>
            </w:pPr>
          </w:p>
        </w:tc>
        <w:tc>
          <w:tcPr>
            <w:tcW w:w="659" w:type="pct"/>
            <w:shd w:val="clear" w:color="auto" w:fill="auto"/>
            <w:vAlign w:val="center"/>
          </w:tcPr>
          <w:p w14:paraId="3B84E16B">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p>
        </w:tc>
        <w:tc>
          <w:tcPr>
            <w:tcW w:w="634" w:type="pct"/>
            <w:shd w:val="clear" w:color="auto" w:fill="auto"/>
            <w:vAlign w:val="center"/>
          </w:tcPr>
          <w:p w14:paraId="3647B0E2">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p>
        </w:tc>
      </w:tr>
    </w:tbl>
    <w:p w14:paraId="7F379900">
      <w:pPr>
        <w:keepNext w:val="0"/>
        <w:keepLines w:val="0"/>
        <w:pageBreakBefore w:val="0"/>
        <w:widowControl/>
        <w:kinsoku/>
        <w:wordWrap/>
        <w:overflowPunct/>
        <w:topLinePunct w:val="0"/>
        <w:autoSpaceDE/>
        <w:autoSpaceDN/>
        <w:bidi w:val="0"/>
        <w:adjustRightInd/>
        <w:snapToGrid/>
        <w:spacing w:line="440" w:lineRule="exact"/>
        <w:textAlignment w:val="auto"/>
        <w:outlineLvl w:val="2"/>
        <w:rPr>
          <w:rFonts w:hint="default" w:ascii="Times New Roman" w:hAnsi="Times New Roman" w:eastAsia="宋体" w:cs="Times New Roman"/>
          <w:b/>
          <w:color w:val="auto"/>
          <w:w w:val="99"/>
          <w:szCs w:val="20"/>
          <w:highlight w:val="none"/>
          <w:lang w:val="en-US" w:eastAsia="zh-CN"/>
        </w:rPr>
      </w:pPr>
      <w:bookmarkStart w:id="430" w:name="_Toc70050178"/>
      <w:bookmarkStart w:id="431" w:name="_Toc61597221"/>
      <w:bookmarkStart w:id="432" w:name="_Toc67860131"/>
      <w:r>
        <w:rPr>
          <w:rFonts w:hint="eastAsia" w:ascii="Times New Roman" w:hAnsi="Times New Roman" w:eastAsia="宋体" w:cs="Times New Roman"/>
          <w:b/>
          <w:color w:val="auto"/>
          <w:w w:val="99"/>
          <w:szCs w:val="20"/>
          <w:highlight w:val="none"/>
          <w:lang w:val="en-US" w:eastAsia="zh-CN"/>
        </w:rPr>
        <w:t>3.</w:t>
      </w:r>
      <w:r>
        <w:rPr>
          <w:rFonts w:hint="eastAsia" w:ascii="Times New Roman" w:hAnsi="Times New Roman" w:cs="Times New Roman"/>
          <w:b/>
          <w:color w:val="auto"/>
          <w:w w:val="99"/>
          <w:szCs w:val="20"/>
          <w:highlight w:val="none"/>
          <w:lang w:val="en-US" w:eastAsia="zh-CN"/>
        </w:rPr>
        <w:t>5</w:t>
      </w:r>
      <w:r>
        <w:rPr>
          <w:rFonts w:hint="eastAsia" w:ascii="Times New Roman" w:hAnsi="Times New Roman" w:eastAsia="宋体" w:cs="Times New Roman"/>
          <w:b/>
          <w:color w:val="auto"/>
          <w:w w:val="99"/>
          <w:szCs w:val="20"/>
          <w:highlight w:val="none"/>
          <w:lang w:val="en-US" w:eastAsia="zh-CN"/>
        </w:rPr>
        <w:t>.3场站工程</w:t>
      </w:r>
    </w:p>
    <w:p w14:paraId="5B5FB874">
      <w:pPr>
        <w:numPr>
          <w:ilvl w:val="0"/>
          <w:numId w:val="0"/>
        </w:numPr>
        <w:spacing w:line="440" w:lineRule="exact"/>
        <w:ind w:firstLine="474" w:firstLineChars="200"/>
        <w:jc w:val="both"/>
        <w:rPr>
          <w:rFonts w:hint="default" w:ascii="Times New Roman" w:hAnsi="Times New Roman" w:cs="Times New Roman"/>
          <w:bCs/>
          <w:color w:val="auto"/>
          <w:w w:val="99"/>
          <w:highlight w:val="none"/>
          <w:lang w:val="en-US" w:eastAsia="zh-CN"/>
        </w:rPr>
      </w:pPr>
      <w:r>
        <w:rPr>
          <w:rFonts w:hint="eastAsia" w:ascii="Times New Roman" w:hAnsi="Times New Roman" w:cs="Times New Roman"/>
          <w:bCs/>
          <w:color w:val="auto"/>
          <w:w w:val="99"/>
          <w:highlight w:val="none"/>
          <w:lang w:val="en-US" w:eastAsia="zh-CN"/>
        </w:rPr>
        <w:t>本次对徐深27集气站进行改造。</w:t>
      </w:r>
    </w:p>
    <w:p w14:paraId="2F7CFFD4">
      <w:pPr>
        <w:numPr>
          <w:ilvl w:val="0"/>
          <w:numId w:val="0"/>
        </w:numPr>
        <w:spacing w:line="440" w:lineRule="exact"/>
        <w:ind w:firstLine="474" w:firstLineChars="200"/>
        <w:jc w:val="both"/>
        <w:rPr>
          <w:rFonts w:hint="eastAsia" w:ascii="Times New Roman" w:hAnsi="Times New Roman" w:eastAsia="宋体" w:cs="Times New Roman"/>
          <w:bCs/>
          <w:color w:val="auto"/>
          <w:w w:val="99"/>
          <w:highlight w:val="none"/>
          <w:lang w:val="en-US" w:eastAsia="zh-CN"/>
        </w:rPr>
      </w:pPr>
      <w:r>
        <w:rPr>
          <w:rFonts w:hint="eastAsia" w:ascii="Times New Roman" w:hAnsi="Times New Roman" w:eastAsia="宋体" w:cs="Times New Roman"/>
          <w:bCs/>
          <w:color w:val="auto"/>
          <w:w w:val="99"/>
          <w:highlight w:val="none"/>
          <w:lang w:val="en-US" w:eastAsia="zh-CN"/>
        </w:rPr>
        <w:t>①</w:t>
      </w:r>
      <w:r>
        <w:rPr>
          <w:rFonts w:hint="default" w:ascii="Times New Roman" w:hAnsi="Times New Roman" w:eastAsia="宋体" w:cs="Times New Roman"/>
          <w:bCs/>
          <w:color w:val="auto"/>
          <w:w w:val="99"/>
          <w:highlight w:val="none"/>
          <w:lang w:val="en-US" w:eastAsia="zh-CN"/>
        </w:rPr>
        <w:t>工艺装置</w:t>
      </w:r>
    </w:p>
    <w:p w14:paraId="17C3DCF2">
      <w:pPr>
        <w:numPr>
          <w:ilvl w:val="0"/>
          <w:numId w:val="0"/>
        </w:numPr>
        <w:spacing w:line="440" w:lineRule="exact"/>
        <w:ind w:firstLine="474" w:firstLineChars="200"/>
        <w:jc w:val="both"/>
        <w:rPr>
          <w:rFonts w:hint="eastAsia" w:ascii="Times New Roman" w:hAnsi="Times New Roman" w:eastAsia="宋体" w:cs="Times New Roman"/>
          <w:bCs/>
          <w:color w:val="auto"/>
          <w:w w:val="99"/>
          <w:highlight w:val="none"/>
          <w:lang w:val="en-US" w:eastAsia="zh-CN"/>
        </w:rPr>
      </w:pPr>
      <w:r>
        <w:rPr>
          <w:rFonts w:hint="default" w:ascii="Times New Roman" w:hAnsi="Times New Roman" w:eastAsia="宋体" w:cs="Times New Roman"/>
          <w:bCs/>
          <w:color w:val="auto"/>
          <w:w w:val="99"/>
          <w:highlight w:val="none"/>
          <w:lang w:val="en-US" w:eastAsia="zh-CN"/>
        </w:rPr>
        <w:t>根据能力核实，工艺装置上，站内已建加热炉、分离器、脱水装置、放空系统能力均满足新井处理需求，本次仅配套新建1口气井进站阀组和生产阀组，新建阀组采用316L不锈钢材质。</w:t>
      </w:r>
    </w:p>
    <w:p w14:paraId="18DB938D">
      <w:pPr>
        <w:numPr>
          <w:ilvl w:val="0"/>
          <w:numId w:val="0"/>
        </w:numPr>
        <w:spacing w:line="440" w:lineRule="exact"/>
        <w:ind w:firstLine="474" w:firstLineChars="200"/>
        <w:jc w:val="both"/>
        <w:rPr>
          <w:rFonts w:hint="eastAsia" w:ascii="Times New Roman" w:hAnsi="Times New Roman" w:eastAsia="宋体" w:cs="Times New Roman"/>
          <w:bCs/>
          <w:color w:val="auto"/>
          <w:w w:val="99"/>
          <w:highlight w:val="none"/>
          <w:lang w:val="en-US" w:eastAsia="zh-CN"/>
        </w:rPr>
      </w:pPr>
      <w:r>
        <w:rPr>
          <w:rFonts w:hint="eastAsia" w:ascii="Times New Roman" w:hAnsi="Times New Roman" w:eastAsia="宋体" w:cs="Times New Roman"/>
          <w:bCs/>
          <w:color w:val="auto"/>
          <w:w w:val="99"/>
          <w:highlight w:val="none"/>
          <w:lang w:val="en-US" w:eastAsia="zh-CN"/>
        </w:rPr>
        <w:t>②</w:t>
      </w:r>
      <w:r>
        <w:rPr>
          <w:rFonts w:hint="default" w:ascii="Times New Roman" w:hAnsi="Times New Roman" w:eastAsia="宋体" w:cs="Times New Roman"/>
          <w:bCs/>
          <w:color w:val="auto"/>
          <w:w w:val="99"/>
          <w:highlight w:val="none"/>
          <w:lang w:val="en-US" w:eastAsia="zh-CN"/>
        </w:rPr>
        <w:t>平面布局</w:t>
      </w:r>
    </w:p>
    <w:p w14:paraId="6C4949A6">
      <w:pPr>
        <w:numPr>
          <w:ilvl w:val="0"/>
          <w:numId w:val="0"/>
        </w:numPr>
        <w:spacing w:line="440" w:lineRule="exact"/>
        <w:ind w:firstLine="474" w:firstLineChars="200"/>
        <w:jc w:val="both"/>
        <w:rPr>
          <w:rFonts w:hint="default" w:ascii="Times New Roman" w:hAnsi="Times New Roman" w:eastAsia="宋体" w:cs="Times New Roman"/>
          <w:bCs/>
          <w:color w:val="auto"/>
          <w:w w:val="99"/>
          <w:highlight w:val="none"/>
          <w:lang w:val="en-US" w:eastAsia="zh-CN"/>
        </w:rPr>
      </w:pPr>
      <w:r>
        <w:rPr>
          <w:rFonts w:hint="default" w:ascii="Times New Roman" w:hAnsi="Times New Roman" w:eastAsia="宋体" w:cs="Times New Roman"/>
          <w:bCs/>
          <w:color w:val="auto"/>
          <w:w w:val="99"/>
          <w:highlight w:val="none"/>
          <w:lang w:val="en-US" w:eastAsia="zh-CN"/>
        </w:rPr>
        <w:t>平面布局上，新建阀组均在已建进站和生产阀组区</w:t>
      </w:r>
      <w:r>
        <w:rPr>
          <w:rFonts w:hint="eastAsia" w:ascii="Times New Roman" w:hAnsi="Times New Roman" w:eastAsia="宋体" w:cs="Times New Roman"/>
          <w:bCs/>
          <w:color w:val="auto"/>
          <w:w w:val="99"/>
          <w:highlight w:val="none"/>
          <w:lang w:val="en-US" w:eastAsia="zh-CN"/>
        </w:rPr>
        <w:t>预留位置</w:t>
      </w:r>
      <w:r>
        <w:rPr>
          <w:rFonts w:hint="default" w:ascii="Times New Roman" w:hAnsi="Times New Roman" w:eastAsia="宋体" w:cs="Times New Roman"/>
          <w:bCs/>
          <w:color w:val="auto"/>
          <w:w w:val="99"/>
          <w:highlight w:val="none"/>
          <w:lang w:val="en-US" w:eastAsia="zh-CN"/>
        </w:rPr>
        <w:t>扩建，平面布局不发生变化。</w:t>
      </w:r>
    </w:p>
    <w:p w14:paraId="42CD2A5A">
      <w:pPr>
        <w:numPr>
          <w:ilvl w:val="0"/>
          <w:numId w:val="0"/>
        </w:numPr>
        <w:spacing w:line="240" w:lineRule="auto"/>
        <w:ind w:firstLine="480" w:firstLineChars="200"/>
        <w:jc w:val="both"/>
        <w:rPr>
          <w:rFonts w:hint="default" w:ascii="Times New Roman" w:hAnsi="Times New Roman" w:eastAsia="宋体" w:cs="Times New Roman"/>
          <w:bCs/>
          <w:color w:val="auto"/>
          <w:w w:val="99"/>
          <w:highlight w:val="none"/>
          <w:lang w:val="en-US" w:eastAsia="zh-CN"/>
        </w:rPr>
      </w:pPr>
      <w:r>
        <w:rPr>
          <w:color w:val="auto"/>
        </w:rPr>
        <w:drawing>
          <wp:inline distT="0" distB="0" distL="114300" distR="114300">
            <wp:extent cx="5070475" cy="3878580"/>
            <wp:effectExtent l="9525" t="9525" r="2540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5070475" cy="3878580"/>
                    </a:xfrm>
                    <a:prstGeom prst="rect">
                      <a:avLst/>
                    </a:prstGeom>
                    <a:noFill/>
                    <a:ln>
                      <a:solidFill>
                        <a:schemeClr val="tx1"/>
                      </a:solidFill>
                    </a:ln>
                  </pic:spPr>
                </pic:pic>
              </a:graphicData>
            </a:graphic>
          </wp:inline>
        </w:drawing>
      </w:r>
      <w:r>
        <w:rPr>
          <w:rFonts w:hint="eastAsia" w:ascii="Times New Roman" w:hAnsi="Times New Roman" w:cs="Times New Roman"/>
          <w:bCs/>
          <w:color w:val="auto"/>
          <w:w w:val="99"/>
          <w:highlight w:val="none"/>
          <w:lang w:val="en-US" w:eastAsia="zh-CN"/>
        </w:rPr>
        <w:t>。</w:t>
      </w:r>
    </w:p>
    <w:p w14:paraId="7833453F">
      <w:pPr>
        <w:pStyle w:val="102"/>
        <w:keepNext w:val="0"/>
        <w:keepLines w:val="0"/>
        <w:pageBreakBefore w:val="0"/>
        <w:widowControl w:val="0"/>
        <w:kinsoku/>
        <w:wordWrap/>
        <w:overflowPunct/>
        <w:topLinePunct w:val="0"/>
        <w:autoSpaceDE/>
        <w:autoSpaceDN/>
        <w:bidi w:val="0"/>
        <w:adjustRightInd/>
        <w:snapToGrid w:val="0"/>
        <w:spacing w:line="440" w:lineRule="exact"/>
        <w:ind w:left="0" w:leftChars="0" w:firstLine="476" w:firstLineChars="200"/>
        <w:jc w:val="center"/>
        <w:textAlignment w:val="auto"/>
        <w:rPr>
          <w:rFonts w:hint="default" w:ascii="Times New Roman" w:hAnsi="Times New Roman" w:eastAsia="宋体" w:cs="Times New Roman"/>
          <w:b/>
          <w:bCs w:val="0"/>
          <w:color w:val="auto"/>
          <w:w w:val="99"/>
          <w:sz w:val="24"/>
          <w:szCs w:val="24"/>
          <w:highlight w:val="none"/>
          <w:lang w:val="en-US" w:eastAsia="zh-CN" w:bidi="ar-SA"/>
        </w:rPr>
      </w:pPr>
      <w:r>
        <w:rPr>
          <w:rFonts w:hint="default" w:ascii="Times New Roman" w:hAnsi="Times New Roman" w:eastAsia="宋体" w:cs="Times New Roman"/>
          <w:b/>
          <w:bCs w:val="0"/>
          <w:color w:val="auto"/>
          <w:w w:val="99"/>
          <w:sz w:val="24"/>
          <w:szCs w:val="24"/>
          <w:highlight w:val="none"/>
          <w:lang w:val="en-US" w:eastAsia="zh-CN" w:bidi="ar-SA"/>
        </w:rPr>
        <w:t>图</w:t>
      </w:r>
      <w:r>
        <w:rPr>
          <w:rFonts w:hint="eastAsia" w:ascii="Times New Roman" w:hAnsi="Times New Roman" w:eastAsia="宋体" w:cs="Times New Roman"/>
          <w:b/>
          <w:bCs w:val="0"/>
          <w:color w:val="auto"/>
          <w:w w:val="99"/>
          <w:sz w:val="24"/>
          <w:szCs w:val="24"/>
          <w:highlight w:val="none"/>
          <w:lang w:val="en-US" w:eastAsia="zh-CN" w:bidi="ar-SA"/>
        </w:rPr>
        <w:t>3.5-4</w:t>
      </w:r>
      <w:r>
        <w:rPr>
          <w:rFonts w:hint="default" w:ascii="Times New Roman" w:hAnsi="Times New Roman" w:eastAsia="宋体" w:cs="Times New Roman"/>
          <w:b/>
          <w:bCs w:val="0"/>
          <w:color w:val="auto"/>
          <w:w w:val="99"/>
          <w:sz w:val="24"/>
          <w:szCs w:val="24"/>
          <w:highlight w:val="none"/>
          <w:lang w:val="en-US" w:eastAsia="zh-CN" w:bidi="ar-SA"/>
        </w:rPr>
        <w:t xml:space="preserve">     徐深</w:t>
      </w:r>
      <w:r>
        <w:rPr>
          <w:rFonts w:hint="eastAsia" w:ascii="Times New Roman" w:hAnsi="Times New Roman" w:eastAsia="宋体" w:cs="Times New Roman"/>
          <w:b/>
          <w:bCs w:val="0"/>
          <w:color w:val="auto"/>
          <w:w w:val="99"/>
          <w:sz w:val="24"/>
          <w:szCs w:val="24"/>
          <w:highlight w:val="none"/>
          <w:lang w:val="en-US" w:eastAsia="zh-CN" w:bidi="ar-SA"/>
        </w:rPr>
        <w:t>27</w:t>
      </w:r>
      <w:r>
        <w:rPr>
          <w:rFonts w:hint="default" w:ascii="Times New Roman" w:hAnsi="Times New Roman" w:eastAsia="宋体" w:cs="Times New Roman"/>
          <w:b/>
          <w:bCs w:val="0"/>
          <w:color w:val="auto"/>
          <w:w w:val="99"/>
          <w:sz w:val="24"/>
          <w:szCs w:val="24"/>
          <w:highlight w:val="none"/>
          <w:lang w:val="en-US" w:eastAsia="zh-CN" w:bidi="ar-SA"/>
        </w:rPr>
        <w:t>集气站平面布局示意图</w:t>
      </w:r>
    </w:p>
    <w:p w14:paraId="401A75E2">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highlight w:val="none"/>
          <w:lang w:val="en-US" w:eastAsia="zh-CN"/>
        </w:rPr>
      </w:pPr>
      <w:r>
        <w:rPr>
          <w:rFonts w:hint="default" w:ascii="Times New Roman" w:hAnsi="Times New Roman" w:eastAsia="宋体" w:cs="Times New Roman"/>
          <w:bCs/>
          <w:color w:val="auto"/>
          <w:w w:val="99"/>
          <w:highlight w:val="none"/>
          <w:lang w:val="en-US" w:eastAsia="zh-CN"/>
        </w:rPr>
        <w:t>徐深</w:t>
      </w:r>
      <w:r>
        <w:rPr>
          <w:rFonts w:hint="eastAsia" w:ascii="Times New Roman" w:hAnsi="Times New Roman" w:cs="Times New Roman"/>
          <w:bCs/>
          <w:color w:val="auto"/>
          <w:w w:val="99"/>
          <w:highlight w:val="none"/>
          <w:lang w:val="en-US" w:eastAsia="zh-CN"/>
        </w:rPr>
        <w:t>27</w:t>
      </w:r>
      <w:r>
        <w:rPr>
          <w:rFonts w:hint="default" w:ascii="Times New Roman" w:hAnsi="Times New Roman" w:eastAsia="宋体" w:cs="Times New Roman"/>
          <w:bCs/>
          <w:color w:val="auto"/>
          <w:w w:val="99"/>
          <w:highlight w:val="none"/>
          <w:lang w:val="en-US" w:eastAsia="zh-CN"/>
        </w:rPr>
        <w:t>集气站主要扩建工程内容见表</w:t>
      </w:r>
      <w:r>
        <w:rPr>
          <w:rFonts w:hint="eastAsia" w:ascii="Times New Roman" w:hAnsi="Times New Roman" w:eastAsia="宋体" w:cs="Times New Roman"/>
          <w:bCs/>
          <w:color w:val="auto"/>
          <w:w w:val="99"/>
          <w:highlight w:val="none"/>
          <w:lang w:val="en-US" w:eastAsia="zh-CN"/>
        </w:rPr>
        <w:t>3.</w:t>
      </w:r>
      <w:r>
        <w:rPr>
          <w:rFonts w:hint="eastAsia" w:ascii="Times New Roman" w:hAnsi="Times New Roman" w:cs="Times New Roman"/>
          <w:bCs/>
          <w:color w:val="auto"/>
          <w:w w:val="99"/>
          <w:highlight w:val="none"/>
          <w:lang w:val="en-US" w:eastAsia="zh-CN"/>
        </w:rPr>
        <w:t>5</w:t>
      </w:r>
      <w:r>
        <w:rPr>
          <w:rFonts w:hint="eastAsia" w:ascii="Times New Roman" w:hAnsi="Times New Roman" w:eastAsia="宋体" w:cs="Times New Roman"/>
          <w:bCs/>
          <w:color w:val="auto"/>
          <w:w w:val="99"/>
          <w:highlight w:val="none"/>
          <w:lang w:val="en-US" w:eastAsia="zh-CN"/>
        </w:rPr>
        <w:t>-</w:t>
      </w:r>
      <w:r>
        <w:rPr>
          <w:rFonts w:hint="eastAsia" w:ascii="Times New Roman" w:hAnsi="Times New Roman" w:cs="Times New Roman"/>
          <w:bCs/>
          <w:color w:val="auto"/>
          <w:w w:val="99"/>
          <w:highlight w:val="none"/>
          <w:lang w:val="en-US" w:eastAsia="zh-CN"/>
        </w:rPr>
        <w:t>6</w:t>
      </w:r>
      <w:r>
        <w:rPr>
          <w:rFonts w:hint="default" w:ascii="Times New Roman" w:hAnsi="Times New Roman" w:eastAsia="宋体" w:cs="Times New Roman"/>
          <w:bCs/>
          <w:color w:val="auto"/>
          <w:w w:val="99"/>
          <w:highlight w:val="none"/>
          <w:lang w:val="en-US" w:eastAsia="zh-CN"/>
        </w:rPr>
        <w:t>。</w:t>
      </w:r>
    </w:p>
    <w:p w14:paraId="3AD96B93">
      <w:pPr>
        <w:keepNext w:val="0"/>
        <w:keepLines w:val="0"/>
        <w:pageBreakBefore w:val="0"/>
        <w:widowControl/>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eastAsia="宋体" w:cs="Times New Roman"/>
          <w:b/>
          <w:bCs w:val="0"/>
          <w:color w:val="auto"/>
          <w:w w:val="99"/>
          <w:highlight w:val="none"/>
          <w:lang w:val="en-US" w:eastAsia="zh-CN"/>
        </w:rPr>
      </w:pPr>
      <w:r>
        <w:rPr>
          <w:rFonts w:hint="default" w:ascii="Times New Roman" w:hAnsi="Times New Roman" w:eastAsia="宋体" w:cs="Times New Roman"/>
          <w:b/>
          <w:bCs w:val="0"/>
          <w:color w:val="auto"/>
          <w:w w:val="99"/>
          <w:highlight w:val="none"/>
          <w:lang w:val="en-US" w:eastAsia="zh-CN"/>
        </w:rPr>
        <w:t>表</w:t>
      </w:r>
      <w:r>
        <w:rPr>
          <w:rFonts w:hint="eastAsia" w:ascii="Times New Roman" w:hAnsi="Times New Roman" w:eastAsia="宋体" w:cs="Times New Roman"/>
          <w:b/>
          <w:bCs w:val="0"/>
          <w:color w:val="auto"/>
          <w:w w:val="99"/>
          <w:highlight w:val="none"/>
          <w:lang w:val="en-US" w:eastAsia="zh-CN"/>
        </w:rPr>
        <w:t>3.</w:t>
      </w:r>
      <w:r>
        <w:rPr>
          <w:rFonts w:hint="eastAsia" w:ascii="Times New Roman" w:hAnsi="Times New Roman" w:cs="Times New Roman"/>
          <w:b/>
          <w:bCs w:val="0"/>
          <w:color w:val="auto"/>
          <w:w w:val="99"/>
          <w:highlight w:val="none"/>
          <w:lang w:val="en-US" w:eastAsia="zh-CN"/>
        </w:rPr>
        <w:t>5</w:t>
      </w:r>
      <w:r>
        <w:rPr>
          <w:rFonts w:hint="eastAsia" w:ascii="Times New Roman" w:hAnsi="Times New Roman" w:eastAsia="宋体" w:cs="Times New Roman"/>
          <w:b/>
          <w:bCs w:val="0"/>
          <w:color w:val="auto"/>
          <w:w w:val="99"/>
          <w:highlight w:val="none"/>
          <w:lang w:val="en-US" w:eastAsia="zh-CN"/>
        </w:rPr>
        <w:t>-</w:t>
      </w:r>
      <w:r>
        <w:rPr>
          <w:rFonts w:hint="eastAsia" w:ascii="Times New Roman" w:hAnsi="Times New Roman" w:cs="Times New Roman"/>
          <w:b/>
          <w:bCs w:val="0"/>
          <w:color w:val="auto"/>
          <w:w w:val="99"/>
          <w:highlight w:val="none"/>
          <w:lang w:val="en-US" w:eastAsia="zh-CN"/>
        </w:rPr>
        <w:t>6</w:t>
      </w:r>
      <w:r>
        <w:rPr>
          <w:rFonts w:hint="default" w:ascii="Times New Roman" w:hAnsi="Times New Roman" w:eastAsia="宋体" w:cs="Times New Roman"/>
          <w:b/>
          <w:bCs w:val="0"/>
          <w:color w:val="auto"/>
          <w:w w:val="99"/>
          <w:highlight w:val="none"/>
          <w:lang w:val="en-US" w:eastAsia="zh-CN"/>
        </w:rPr>
        <w:t xml:space="preserve">    主要工程内容表</w:t>
      </w:r>
    </w:p>
    <w:tbl>
      <w:tblPr>
        <w:tblStyle w:val="80"/>
        <w:tblW w:w="4982"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0" w:type="dxa"/>
          <w:bottom w:w="0" w:type="dxa"/>
          <w:right w:w="0" w:type="dxa"/>
        </w:tblCellMar>
      </w:tblPr>
      <w:tblGrid>
        <w:gridCol w:w="1203"/>
        <w:gridCol w:w="4255"/>
        <w:gridCol w:w="1729"/>
        <w:gridCol w:w="1870"/>
      </w:tblGrid>
      <w:tr w14:paraId="4DC9973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blHeader/>
        </w:trPr>
        <w:tc>
          <w:tcPr>
            <w:tcW w:w="664" w:type="pct"/>
            <w:tcBorders>
              <w:tl2br w:val="nil"/>
              <w:tr2bl w:val="nil"/>
            </w:tcBorders>
            <w:noWrap w:val="0"/>
            <w:tcMar>
              <w:top w:w="15" w:type="dxa"/>
              <w:left w:w="15" w:type="dxa"/>
              <w:right w:w="15" w:type="dxa"/>
            </w:tcMar>
            <w:vAlign w:val="center"/>
          </w:tcPr>
          <w:p w14:paraId="31EB37EB">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序号</w:t>
            </w:r>
          </w:p>
        </w:tc>
        <w:tc>
          <w:tcPr>
            <w:tcW w:w="2348" w:type="pct"/>
            <w:tcBorders>
              <w:tl2br w:val="nil"/>
              <w:tr2bl w:val="nil"/>
            </w:tcBorders>
            <w:noWrap w:val="0"/>
            <w:tcMar>
              <w:top w:w="15" w:type="dxa"/>
              <w:left w:w="15" w:type="dxa"/>
              <w:right w:w="15" w:type="dxa"/>
            </w:tcMar>
            <w:vAlign w:val="center"/>
          </w:tcPr>
          <w:p w14:paraId="6A4D6FA5">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主要工程内容</w:t>
            </w:r>
          </w:p>
        </w:tc>
        <w:tc>
          <w:tcPr>
            <w:tcW w:w="954" w:type="pct"/>
            <w:tcBorders>
              <w:tl2br w:val="nil"/>
              <w:tr2bl w:val="nil"/>
            </w:tcBorders>
            <w:noWrap w:val="0"/>
            <w:tcMar>
              <w:top w:w="15" w:type="dxa"/>
              <w:left w:w="15" w:type="dxa"/>
              <w:right w:w="15" w:type="dxa"/>
            </w:tcMar>
            <w:vAlign w:val="center"/>
          </w:tcPr>
          <w:p w14:paraId="188C57E6">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单位</w:t>
            </w:r>
          </w:p>
        </w:tc>
        <w:tc>
          <w:tcPr>
            <w:tcW w:w="1032" w:type="pct"/>
            <w:tcBorders>
              <w:tl2br w:val="nil"/>
              <w:tr2bl w:val="nil"/>
            </w:tcBorders>
            <w:noWrap w:val="0"/>
            <w:vAlign w:val="center"/>
          </w:tcPr>
          <w:p w14:paraId="5ABBE96A">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数量</w:t>
            </w:r>
          </w:p>
        </w:tc>
      </w:tr>
      <w:tr w14:paraId="2003F93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64" w:type="pct"/>
            <w:tcBorders>
              <w:tl2br w:val="nil"/>
              <w:tr2bl w:val="nil"/>
            </w:tcBorders>
            <w:noWrap w:val="0"/>
            <w:tcMar>
              <w:top w:w="15" w:type="dxa"/>
              <w:left w:w="15" w:type="dxa"/>
              <w:right w:w="15" w:type="dxa"/>
            </w:tcMar>
            <w:vAlign w:val="center"/>
          </w:tcPr>
          <w:p w14:paraId="35714E8B">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1</w:t>
            </w:r>
          </w:p>
        </w:tc>
        <w:tc>
          <w:tcPr>
            <w:tcW w:w="2348" w:type="pct"/>
            <w:tcBorders>
              <w:tl2br w:val="nil"/>
              <w:tr2bl w:val="nil"/>
            </w:tcBorders>
            <w:noWrap w:val="0"/>
            <w:tcMar>
              <w:top w:w="15" w:type="dxa"/>
              <w:left w:w="15" w:type="dxa"/>
              <w:right w:w="15" w:type="dxa"/>
            </w:tcMar>
            <w:vAlign w:val="center"/>
          </w:tcPr>
          <w:p w14:paraId="49826047">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进站阀组DN65 PN360（316L）</w:t>
            </w:r>
          </w:p>
        </w:tc>
        <w:tc>
          <w:tcPr>
            <w:tcW w:w="954" w:type="pct"/>
            <w:tcBorders>
              <w:tl2br w:val="nil"/>
              <w:tr2bl w:val="nil"/>
            </w:tcBorders>
            <w:noWrap w:val="0"/>
            <w:tcMar>
              <w:top w:w="15" w:type="dxa"/>
              <w:left w:w="15" w:type="dxa"/>
              <w:right w:w="15" w:type="dxa"/>
            </w:tcMar>
            <w:vAlign w:val="center"/>
          </w:tcPr>
          <w:p w14:paraId="46B8C91B">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套</w:t>
            </w:r>
          </w:p>
        </w:tc>
        <w:tc>
          <w:tcPr>
            <w:tcW w:w="1032" w:type="pct"/>
            <w:tcBorders>
              <w:tl2br w:val="nil"/>
              <w:tr2bl w:val="nil"/>
            </w:tcBorders>
            <w:noWrap w:val="0"/>
            <w:vAlign w:val="center"/>
          </w:tcPr>
          <w:p w14:paraId="184D1EE1">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1</w:t>
            </w:r>
          </w:p>
        </w:tc>
      </w:tr>
      <w:tr w14:paraId="517098D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64" w:type="pct"/>
            <w:tcBorders>
              <w:tl2br w:val="nil"/>
              <w:tr2bl w:val="nil"/>
            </w:tcBorders>
            <w:noWrap w:val="0"/>
            <w:tcMar>
              <w:top w:w="15" w:type="dxa"/>
              <w:left w:w="15" w:type="dxa"/>
              <w:right w:w="15" w:type="dxa"/>
            </w:tcMar>
            <w:vAlign w:val="center"/>
          </w:tcPr>
          <w:p w14:paraId="3C911592">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2</w:t>
            </w:r>
          </w:p>
        </w:tc>
        <w:tc>
          <w:tcPr>
            <w:tcW w:w="2348" w:type="pct"/>
            <w:tcBorders>
              <w:tl2br w:val="nil"/>
              <w:tr2bl w:val="nil"/>
            </w:tcBorders>
            <w:shd w:val="clear" w:color="auto" w:fill="auto"/>
            <w:noWrap w:val="0"/>
            <w:tcMar>
              <w:top w:w="15" w:type="dxa"/>
              <w:left w:w="15" w:type="dxa"/>
              <w:right w:w="15" w:type="dxa"/>
            </w:tcMar>
            <w:vAlign w:val="center"/>
          </w:tcPr>
          <w:p w14:paraId="28AF53CC">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生产阀组DN80 PN</w:t>
            </w:r>
            <w:r>
              <w:rPr>
                <w:rFonts w:hint="eastAsia" w:ascii="Times New Roman" w:hAnsi="Times New Roman" w:eastAsia="宋体" w:cs="Times New Roman"/>
                <w:bCs/>
                <w:color w:val="auto"/>
                <w:w w:val="99"/>
                <w:kern w:val="2"/>
                <w:sz w:val="21"/>
                <w:szCs w:val="21"/>
                <w:highlight w:val="none"/>
                <w:lang w:val="en-US" w:eastAsia="zh-CN" w:bidi="ar-SA"/>
              </w:rPr>
              <w:t>10</w:t>
            </w:r>
            <w:r>
              <w:rPr>
                <w:rFonts w:hint="default" w:ascii="Times New Roman" w:hAnsi="Times New Roman" w:eastAsia="宋体" w:cs="Times New Roman"/>
                <w:bCs/>
                <w:color w:val="auto"/>
                <w:w w:val="99"/>
                <w:kern w:val="2"/>
                <w:sz w:val="21"/>
                <w:szCs w:val="21"/>
                <w:highlight w:val="none"/>
                <w:lang w:val="en-US" w:eastAsia="zh-CN" w:bidi="ar-SA"/>
              </w:rPr>
              <w:t>0（316L）</w:t>
            </w:r>
          </w:p>
        </w:tc>
        <w:tc>
          <w:tcPr>
            <w:tcW w:w="954" w:type="pct"/>
            <w:tcBorders>
              <w:tl2br w:val="nil"/>
              <w:tr2bl w:val="nil"/>
            </w:tcBorders>
            <w:shd w:val="clear" w:color="auto" w:fill="auto"/>
            <w:noWrap w:val="0"/>
            <w:tcMar>
              <w:top w:w="15" w:type="dxa"/>
              <w:left w:w="15" w:type="dxa"/>
              <w:right w:w="15" w:type="dxa"/>
            </w:tcMar>
            <w:vAlign w:val="center"/>
          </w:tcPr>
          <w:p w14:paraId="0E77F55C">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套</w:t>
            </w:r>
          </w:p>
        </w:tc>
        <w:tc>
          <w:tcPr>
            <w:tcW w:w="1032" w:type="pct"/>
            <w:tcBorders>
              <w:tl2br w:val="nil"/>
              <w:tr2bl w:val="nil"/>
            </w:tcBorders>
            <w:shd w:val="clear" w:color="auto" w:fill="auto"/>
            <w:noWrap w:val="0"/>
            <w:vAlign w:val="center"/>
          </w:tcPr>
          <w:p w14:paraId="56066732">
            <w:pPr>
              <w:widowControl/>
              <w:spacing w:line="240" w:lineRule="auto"/>
              <w:ind w:firstLine="0" w:firstLineChars="0"/>
              <w:jc w:val="center"/>
              <w:rPr>
                <w:rFonts w:hint="default" w:ascii="Times New Roman" w:hAnsi="Times New Roman" w:eastAsia="宋体" w:cs="Times New Roman"/>
                <w:bCs/>
                <w:color w:val="auto"/>
                <w:w w:val="99"/>
                <w:kern w:val="2"/>
                <w:sz w:val="21"/>
                <w:szCs w:val="21"/>
                <w:highlight w:val="none"/>
                <w:lang w:val="en-US" w:eastAsia="zh-CN" w:bidi="ar-SA"/>
              </w:rPr>
            </w:pPr>
            <w:r>
              <w:rPr>
                <w:rFonts w:hint="default" w:ascii="Times New Roman" w:hAnsi="Times New Roman" w:eastAsia="宋体" w:cs="Times New Roman"/>
                <w:bCs/>
                <w:color w:val="auto"/>
                <w:w w:val="99"/>
                <w:kern w:val="2"/>
                <w:sz w:val="21"/>
                <w:szCs w:val="21"/>
                <w:highlight w:val="none"/>
                <w:lang w:val="en-US" w:eastAsia="zh-CN" w:bidi="ar-SA"/>
              </w:rPr>
              <w:t>1</w:t>
            </w:r>
          </w:p>
        </w:tc>
      </w:tr>
    </w:tbl>
    <w:p w14:paraId="2C7C75D6">
      <w:pPr>
        <w:keepNext w:val="0"/>
        <w:keepLines w:val="0"/>
        <w:pageBreakBefore w:val="0"/>
        <w:widowControl/>
        <w:kinsoku/>
        <w:wordWrap/>
        <w:overflowPunct/>
        <w:topLinePunct w:val="0"/>
        <w:autoSpaceDE/>
        <w:autoSpaceDN/>
        <w:bidi w:val="0"/>
        <w:adjustRightInd/>
        <w:snapToGrid/>
        <w:spacing w:line="440" w:lineRule="exact"/>
        <w:textAlignment w:val="auto"/>
        <w:outlineLvl w:val="2"/>
        <w:rPr>
          <w:rFonts w:ascii="Times New Roman" w:hAnsi="Times New Roman" w:cs="Times New Roman"/>
          <w:b/>
          <w:color w:val="auto"/>
          <w:w w:val="99"/>
          <w:szCs w:val="20"/>
          <w:highlight w:val="none"/>
        </w:rPr>
      </w:pPr>
      <w:r>
        <w:rPr>
          <w:rFonts w:ascii="Times New Roman" w:hAnsi="Times New Roman" w:cs="Times New Roman"/>
          <w:b/>
          <w:color w:val="auto"/>
          <w:w w:val="99"/>
          <w:szCs w:val="20"/>
          <w:highlight w:val="none"/>
        </w:rPr>
        <w:t>3.</w:t>
      </w:r>
      <w:r>
        <w:rPr>
          <w:rFonts w:hint="eastAsia" w:ascii="Times New Roman" w:hAnsi="Times New Roman" w:cs="Times New Roman"/>
          <w:b/>
          <w:color w:val="auto"/>
          <w:w w:val="99"/>
          <w:szCs w:val="20"/>
          <w:highlight w:val="none"/>
          <w:lang w:val="en-US" w:eastAsia="zh-CN"/>
        </w:rPr>
        <w:t>5</w:t>
      </w:r>
      <w:r>
        <w:rPr>
          <w:rFonts w:ascii="Times New Roman" w:hAnsi="Times New Roman" w:cs="Times New Roman"/>
          <w:b/>
          <w:color w:val="auto"/>
          <w:w w:val="99"/>
          <w:szCs w:val="20"/>
          <w:highlight w:val="none"/>
        </w:rPr>
        <w:t>.</w:t>
      </w:r>
      <w:r>
        <w:rPr>
          <w:rFonts w:hint="eastAsia" w:ascii="Times New Roman" w:hAnsi="Times New Roman" w:cs="Times New Roman"/>
          <w:b/>
          <w:color w:val="auto"/>
          <w:w w:val="99"/>
          <w:szCs w:val="20"/>
          <w:highlight w:val="none"/>
          <w:lang w:val="en-US" w:eastAsia="zh-CN"/>
        </w:rPr>
        <w:t>4</w:t>
      </w:r>
      <w:r>
        <w:rPr>
          <w:rFonts w:ascii="Times New Roman" w:hAnsi="Times New Roman" w:cs="Times New Roman"/>
          <w:b/>
          <w:color w:val="auto"/>
          <w:w w:val="99"/>
          <w:szCs w:val="20"/>
          <w:highlight w:val="none"/>
        </w:rPr>
        <w:t>道路工程</w:t>
      </w:r>
    </w:p>
    <w:p w14:paraId="54E11ECD">
      <w:pPr>
        <w:widowControl w:val="0"/>
        <w:spacing w:line="440" w:lineRule="exact"/>
        <w:ind w:firstLine="474" w:firstLineChars="200"/>
        <w:jc w:val="both"/>
        <w:rPr>
          <w:rFonts w:ascii="Times New Roman" w:hAnsi="Times New Roman" w:cs="Times New Roman" w:eastAsiaTheme="minorEastAsia"/>
          <w:color w:val="auto"/>
          <w:w w:val="99"/>
          <w:kern w:val="21"/>
          <w:highlight w:val="yellow"/>
        </w:rPr>
      </w:pPr>
      <w:r>
        <w:rPr>
          <w:rFonts w:hint="default" w:ascii="Times New Roman" w:hAnsi="Times New Roman" w:cs="Times New Roman" w:eastAsiaTheme="minorEastAsia"/>
          <w:bCs/>
          <w:color w:val="auto"/>
          <w:w w:val="99"/>
          <w:highlight w:val="none"/>
          <w:lang w:val="en-US" w:eastAsia="zh-CN"/>
        </w:rPr>
        <w:t>徐深27-H1井南侧就有可直接利用的水泥路，</w:t>
      </w:r>
      <w:r>
        <w:rPr>
          <w:rFonts w:hint="eastAsia" w:ascii="Times New Roman" w:hAnsi="Times New Roman" w:cs="Times New Roman" w:eastAsiaTheme="minorEastAsia"/>
          <w:bCs/>
          <w:color w:val="auto"/>
          <w:w w:val="99"/>
          <w:highlight w:val="none"/>
          <w:lang w:val="en-US" w:eastAsia="zh-CN"/>
        </w:rPr>
        <w:t>本次</w:t>
      </w:r>
      <w:r>
        <w:rPr>
          <w:rFonts w:hint="default" w:ascii="Times New Roman" w:hAnsi="Times New Roman" w:cs="Times New Roman" w:eastAsiaTheme="minorEastAsia"/>
          <w:bCs/>
          <w:color w:val="auto"/>
          <w:w w:val="99"/>
          <w:highlight w:val="none"/>
          <w:lang w:val="en-US" w:eastAsia="zh-CN"/>
        </w:rPr>
        <w:t>在二者之间新建沥青砼通井路200m</w:t>
      </w:r>
      <w:r>
        <w:rPr>
          <w:rFonts w:hint="default" w:ascii="Times New Roman" w:hAnsi="Times New Roman" w:cs="Times New Roman" w:eastAsiaTheme="minorEastAsia"/>
          <w:bCs/>
          <w:color w:val="auto"/>
          <w:w w:val="99"/>
          <w:highlight w:val="none"/>
        </w:rPr>
        <w:t>，</w:t>
      </w:r>
      <w:r>
        <w:rPr>
          <w:rFonts w:hint="eastAsia" w:ascii="Times New Roman" w:hAnsi="Times New Roman" w:cs="Times New Roman" w:eastAsiaTheme="minorEastAsia"/>
          <w:bCs/>
          <w:color w:val="auto"/>
          <w:w w:val="99"/>
          <w:highlight w:val="none"/>
          <w:lang w:val="en-US" w:eastAsia="zh-CN"/>
        </w:rPr>
        <w:t>路基宽4.5m，路面宽3.5m，</w:t>
      </w:r>
      <w:r>
        <w:rPr>
          <w:rFonts w:ascii="Times New Roman" w:hAnsi="Times New Roman" w:cs="Times New Roman" w:eastAsiaTheme="minorEastAsia"/>
          <w:bCs/>
          <w:color w:val="auto"/>
          <w:w w:val="99"/>
          <w:highlight w:val="none"/>
        </w:rPr>
        <w:t>道路路由走向图见附图</w:t>
      </w:r>
      <w:r>
        <w:rPr>
          <w:rFonts w:hint="eastAsia" w:ascii="Times New Roman" w:hAnsi="Times New Roman" w:cs="Times New Roman" w:eastAsiaTheme="minorEastAsia"/>
          <w:bCs/>
          <w:color w:val="auto"/>
          <w:w w:val="99"/>
          <w:highlight w:val="none"/>
          <w:lang w:val="en-US" w:eastAsia="zh-CN"/>
        </w:rPr>
        <w:t>2</w:t>
      </w:r>
      <w:r>
        <w:rPr>
          <w:rFonts w:ascii="Times New Roman" w:hAnsi="Times New Roman" w:cs="Times New Roman" w:eastAsiaTheme="minorEastAsia"/>
          <w:bCs/>
          <w:color w:val="auto"/>
          <w:w w:val="99"/>
          <w:highlight w:val="none"/>
        </w:rPr>
        <w:t>。</w:t>
      </w:r>
    </w:p>
    <w:bookmarkEnd w:id="430"/>
    <w:bookmarkEnd w:id="431"/>
    <w:bookmarkEnd w:id="432"/>
    <w:p w14:paraId="44354017">
      <w:pPr>
        <w:pStyle w:val="7"/>
        <w:widowControl w:val="0"/>
        <w:spacing w:before="60" w:after="60" w:line="440" w:lineRule="exact"/>
        <w:jc w:val="both"/>
        <w:rPr>
          <w:rFonts w:eastAsia="宋体"/>
          <w:b/>
          <w:color w:val="auto"/>
          <w:w w:val="99"/>
          <w:kern w:val="2"/>
          <w:sz w:val="24"/>
          <w:szCs w:val="24"/>
          <w:highlight w:val="none"/>
        </w:rPr>
      </w:pPr>
      <w:bookmarkStart w:id="433" w:name="_Toc83209474"/>
      <w:bookmarkStart w:id="434" w:name="_Toc77067661"/>
      <w:bookmarkStart w:id="435" w:name="_Toc76976245"/>
      <w:bookmarkStart w:id="436" w:name="_Toc186444282"/>
      <w:bookmarkStart w:id="437" w:name="_Toc80971379"/>
      <w:bookmarkStart w:id="438" w:name="_Toc80588257"/>
      <w:bookmarkStart w:id="439" w:name="_Toc78816462"/>
      <w:r>
        <w:rPr>
          <w:rFonts w:eastAsia="宋体"/>
          <w:b/>
          <w:color w:val="auto"/>
          <w:w w:val="99"/>
          <w:kern w:val="2"/>
          <w:sz w:val="24"/>
          <w:szCs w:val="24"/>
          <w:highlight w:val="none"/>
        </w:rPr>
        <w:t>3.</w:t>
      </w:r>
      <w:r>
        <w:rPr>
          <w:rFonts w:hint="eastAsia" w:eastAsia="宋体"/>
          <w:b/>
          <w:color w:val="auto"/>
          <w:w w:val="99"/>
          <w:kern w:val="2"/>
          <w:sz w:val="24"/>
          <w:szCs w:val="24"/>
          <w:highlight w:val="none"/>
          <w:lang w:val="en-US" w:eastAsia="zh-CN"/>
        </w:rPr>
        <w:t>5</w:t>
      </w:r>
      <w:r>
        <w:rPr>
          <w:rFonts w:eastAsia="宋体"/>
          <w:b/>
          <w:color w:val="auto"/>
          <w:w w:val="99"/>
          <w:kern w:val="2"/>
          <w:sz w:val="24"/>
          <w:szCs w:val="24"/>
          <w:highlight w:val="none"/>
        </w:rPr>
        <w:t>.</w:t>
      </w:r>
      <w:r>
        <w:rPr>
          <w:rFonts w:hint="eastAsia" w:eastAsia="宋体"/>
          <w:b/>
          <w:color w:val="auto"/>
          <w:w w:val="99"/>
          <w:kern w:val="2"/>
          <w:sz w:val="24"/>
          <w:szCs w:val="24"/>
          <w:highlight w:val="none"/>
          <w:lang w:val="en-US" w:eastAsia="zh-CN"/>
        </w:rPr>
        <w:t>5</w:t>
      </w:r>
      <w:r>
        <w:rPr>
          <w:rFonts w:eastAsia="宋体"/>
          <w:b/>
          <w:color w:val="auto"/>
          <w:w w:val="99"/>
          <w:kern w:val="2"/>
          <w:sz w:val="24"/>
          <w:szCs w:val="24"/>
          <w:highlight w:val="none"/>
        </w:rPr>
        <w:t>公用工程</w:t>
      </w:r>
      <w:bookmarkEnd w:id="433"/>
      <w:bookmarkEnd w:id="434"/>
      <w:bookmarkEnd w:id="435"/>
      <w:bookmarkEnd w:id="436"/>
      <w:bookmarkEnd w:id="437"/>
      <w:bookmarkEnd w:id="438"/>
      <w:bookmarkEnd w:id="439"/>
    </w:p>
    <w:p w14:paraId="49E8915D">
      <w:pPr>
        <w:spacing w:line="440" w:lineRule="exact"/>
        <w:ind w:firstLine="420" w:firstLineChars="0"/>
        <w:outlineLvl w:val="3"/>
        <w:rPr>
          <w:rFonts w:ascii="Times New Roman" w:hAnsi="Times New Roman" w:cs="Times New Roman"/>
          <w:b/>
          <w:color w:val="auto"/>
          <w:w w:val="99"/>
          <w:szCs w:val="20"/>
          <w:highlight w:val="none"/>
        </w:rPr>
      </w:pPr>
      <w:r>
        <w:rPr>
          <w:rFonts w:hint="eastAsia" w:ascii="Times New Roman" w:hAnsi="Times New Roman" w:cs="Times New Roman"/>
          <w:b/>
          <w:color w:val="auto"/>
          <w:w w:val="99"/>
          <w:szCs w:val="20"/>
          <w:highlight w:val="none"/>
          <w:lang w:eastAsia="zh-CN"/>
        </w:rPr>
        <w:t>3.</w:t>
      </w:r>
      <w:r>
        <w:rPr>
          <w:rFonts w:hint="eastAsia" w:ascii="Times New Roman" w:hAnsi="Times New Roman" w:cs="Times New Roman"/>
          <w:b/>
          <w:color w:val="auto"/>
          <w:w w:val="99"/>
          <w:szCs w:val="20"/>
          <w:highlight w:val="none"/>
          <w:lang w:val="en-US" w:eastAsia="zh-CN"/>
        </w:rPr>
        <w:t>5</w:t>
      </w:r>
      <w:r>
        <w:rPr>
          <w:rFonts w:hint="eastAsia" w:ascii="Times New Roman" w:hAnsi="Times New Roman" w:cs="Times New Roman"/>
          <w:b/>
          <w:color w:val="auto"/>
          <w:w w:val="99"/>
          <w:szCs w:val="20"/>
          <w:highlight w:val="none"/>
          <w:lang w:eastAsia="zh-CN"/>
        </w:rPr>
        <w:t>.5</w:t>
      </w:r>
      <w:r>
        <w:rPr>
          <w:rFonts w:ascii="Times New Roman" w:hAnsi="Times New Roman" w:cs="Times New Roman"/>
          <w:b/>
          <w:color w:val="auto"/>
          <w:w w:val="99"/>
          <w:szCs w:val="20"/>
          <w:highlight w:val="none"/>
        </w:rPr>
        <w:t>.1供水、排水系统</w:t>
      </w:r>
    </w:p>
    <w:p w14:paraId="7A1D82E9">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bookmarkStart w:id="440" w:name="_Toc11047792"/>
      <w:r>
        <w:rPr>
          <w:rFonts w:ascii="Times New Roman" w:hAnsi="Times New Roman" w:cs="Times New Roman" w:eastAsiaTheme="minorEastAsia"/>
          <w:color w:val="auto"/>
          <w:w w:val="99"/>
          <w:kern w:val="21"/>
          <w:highlight w:val="none"/>
        </w:rPr>
        <w:t>（1）施工期</w:t>
      </w:r>
    </w:p>
    <w:p w14:paraId="5D90BAF5">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lang w:val="en-US" w:eastAsia="zh-CN"/>
        </w:rPr>
        <w:t>施工期用水主要为施工人员生活用水。生活用水采用桶装水，钻井用水由水罐车运送。施工期废水为施工人员生活污水。</w:t>
      </w:r>
    </w:p>
    <w:p w14:paraId="3E06A6B8">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hint="eastAsia"/>
          <w:color w:val="auto"/>
          <w:w w:val="99"/>
          <w:kern w:val="21"/>
          <w:highlight w:val="none"/>
        </w:rPr>
        <w:t>①</w:t>
      </w:r>
      <w:r>
        <w:rPr>
          <w:rFonts w:ascii="Times New Roman" w:hAnsi="Times New Roman" w:cs="Times New Roman" w:eastAsiaTheme="minorEastAsia"/>
          <w:color w:val="auto"/>
          <w:w w:val="99"/>
          <w:kern w:val="21"/>
          <w:highlight w:val="none"/>
        </w:rPr>
        <w:t>生活用水及生活污水</w:t>
      </w:r>
    </w:p>
    <w:p w14:paraId="7534BC7C">
      <w:pPr>
        <w:widowControl w:val="0"/>
        <w:spacing w:line="440" w:lineRule="exact"/>
        <w:ind w:firstLine="474" w:firstLineChars="200"/>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cs="Times New Roman" w:eastAsiaTheme="minorEastAsia"/>
          <w:color w:val="auto"/>
          <w:w w:val="99"/>
          <w:kern w:val="21"/>
          <w:highlight w:val="none"/>
          <w:lang w:val="en-US" w:eastAsia="zh-CN"/>
        </w:rPr>
        <w:t>地面工程施工时间约30d，施工人数30人，根据《用水定额》（</w:t>
      </w:r>
      <w:r>
        <w:rPr>
          <w:rFonts w:hint="default" w:ascii="Times New Roman" w:hAnsi="Times New Roman" w:cs="Times New Roman" w:eastAsiaTheme="minorEastAsia"/>
          <w:color w:val="auto"/>
          <w:w w:val="99"/>
          <w:kern w:val="21"/>
          <w:highlight w:val="none"/>
          <w:lang w:val="en-US" w:eastAsia="zh-CN"/>
        </w:rPr>
        <w:t>DB23/T727-202</w:t>
      </w:r>
      <w:r>
        <w:rPr>
          <w:rFonts w:hint="eastAsia" w:ascii="Times New Roman" w:hAnsi="Times New Roman" w:cs="Times New Roman" w:eastAsiaTheme="minorEastAsia"/>
          <w:color w:val="auto"/>
          <w:w w:val="99"/>
          <w:kern w:val="21"/>
          <w:highlight w:val="none"/>
          <w:lang w:val="en-US" w:eastAsia="zh-CN"/>
        </w:rPr>
        <w:t>5）项目施工期生活用水量按</w:t>
      </w:r>
      <w:r>
        <w:rPr>
          <w:rFonts w:hint="default" w:ascii="Times New Roman" w:hAnsi="Times New Roman" w:cs="Times New Roman" w:eastAsiaTheme="minorEastAsia"/>
          <w:color w:val="auto"/>
          <w:w w:val="99"/>
          <w:kern w:val="21"/>
          <w:highlight w:val="none"/>
          <w:lang w:val="en-US" w:eastAsia="zh-CN"/>
        </w:rPr>
        <w:t>80L/</w:t>
      </w:r>
      <w:r>
        <w:rPr>
          <w:rFonts w:hint="eastAsia" w:ascii="Times New Roman" w:hAnsi="Times New Roman" w:cs="Times New Roman" w:eastAsiaTheme="minorEastAsia"/>
          <w:color w:val="auto"/>
          <w:w w:val="99"/>
          <w:kern w:val="21"/>
          <w:highlight w:val="none"/>
          <w:lang w:val="en-US" w:eastAsia="zh-CN"/>
        </w:rPr>
        <w:t>人</w:t>
      </w:r>
      <w:r>
        <w:rPr>
          <w:rFonts w:hint="default" w:ascii="Times New Roman" w:hAnsi="Times New Roman" w:cs="Times New Roman" w:eastAsiaTheme="minorEastAsia"/>
          <w:color w:val="auto"/>
          <w:w w:val="99"/>
          <w:kern w:val="21"/>
          <w:highlight w:val="none"/>
          <w:lang w:val="en-US" w:eastAsia="zh-CN"/>
        </w:rPr>
        <w:t xml:space="preserve">·d </w:t>
      </w:r>
      <w:r>
        <w:rPr>
          <w:rFonts w:hint="eastAsia" w:ascii="Times New Roman" w:hAnsi="Times New Roman" w:cs="Times New Roman" w:eastAsiaTheme="minorEastAsia"/>
          <w:color w:val="auto"/>
          <w:w w:val="99"/>
          <w:kern w:val="21"/>
          <w:highlight w:val="none"/>
          <w:lang w:val="en-US" w:eastAsia="zh-CN"/>
        </w:rPr>
        <w:t>计，则施工期间施工人员生活用水量为720</w:t>
      </w:r>
      <w:r>
        <w:rPr>
          <w:rFonts w:hint="default" w:ascii="Times New Roman" w:hAnsi="Times New Roman" w:cs="Times New Roman" w:eastAsiaTheme="minorEastAsia"/>
          <w:color w:val="auto"/>
          <w:w w:val="99"/>
          <w:kern w:val="21"/>
          <w:highlight w:val="none"/>
          <w:lang w:val="en-US" w:eastAsia="zh-CN"/>
        </w:rPr>
        <w:t>m</w:t>
      </w:r>
      <w:r>
        <w:rPr>
          <w:rFonts w:hint="default" w:ascii="Times New Roman" w:hAnsi="Times New Roman" w:cs="Times New Roman" w:eastAsiaTheme="minorEastAsia"/>
          <w:color w:val="auto"/>
          <w:w w:val="99"/>
          <w:kern w:val="21"/>
          <w:highlight w:val="none"/>
          <w:vertAlign w:val="superscript"/>
          <w:lang w:val="en-US" w:eastAsia="zh-CN"/>
        </w:rPr>
        <w:t>3</w:t>
      </w:r>
      <w:r>
        <w:rPr>
          <w:rFonts w:hint="eastAsia" w:ascii="Times New Roman" w:hAnsi="Times New Roman" w:cs="Times New Roman" w:eastAsiaTheme="minorEastAsia"/>
          <w:color w:val="auto"/>
          <w:w w:val="99"/>
          <w:kern w:val="21"/>
          <w:highlight w:val="none"/>
          <w:lang w:val="en-US" w:eastAsia="zh-CN"/>
        </w:rPr>
        <w:t>（30</w:t>
      </w:r>
      <w:r>
        <w:rPr>
          <w:rFonts w:hint="default" w:ascii="Times New Roman" w:hAnsi="Times New Roman" w:cs="Times New Roman" w:eastAsiaTheme="minorEastAsia"/>
          <w:color w:val="auto"/>
          <w:w w:val="99"/>
          <w:kern w:val="21"/>
          <w:highlight w:val="none"/>
          <w:lang w:val="en-US" w:eastAsia="zh-CN"/>
        </w:rPr>
        <w:t>×</w:t>
      </w:r>
      <w:r>
        <w:rPr>
          <w:rFonts w:hint="eastAsia" w:ascii="Times New Roman" w:hAnsi="Times New Roman" w:cs="Times New Roman" w:eastAsiaTheme="minorEastAsia"/>
          <w:color w:val="auto"/>
          <w:w w:val="99"/>
          <w:kern w:val="21"/>
          <w:highlight w:val="none"/>
          <w:lang w:val="en-US" w:eastAsia="zh-CN"/>
        </w:rPr>
        <w:t>3</w:t>
      </w:r>
      <w:r>
        <w:rPr>
          <w:rFonts w:hint="default" w:ascii="Times New Roman" w:hAnsi="Times New Roman" w:cs="Times New Roman" w:eastAsiaTheme="minorEastAsia"/>
          <w:color w:val="auto"/>
          <w:w w:val="99"/>
          <w:kern w:val="21"/>
          <w:highlight w:val="none"/>
          <w:lang w:val="en-US" w:eastAsia="zh-CN"/>
        </w:rPr>
        <w:t>0×80×10</w:t>
      </w:r>
      <w:r>
        <w:rPr>
          <w:rFonts w:hint="default" w:ascii="Times New Roman" w:hAnsi="Times New Roman" w:cs="Times New Roman" w:eastAsiaTheme="minorEastAsia"/>
          <w:color w:val="auto"/>
          <w:w w:val="99"/>
          <w:kern w:val="21"/>
          <w:highlight w:val="none"/>
          <w:vertAlign w:val="superscript"/>
          <w:lang w:val="en-US" w:eastAsia="zh-CN"/>
        </w:rPr>
        <w:t>-3</w:t>
      </w:r>
      <w:r>
        <w:rPr>
          <w:rFonts w:hint="default" w:ascii="Times New Roman" w:hAnsi="Times New Roman" w:cs="Times New Roman" w:eastAsiaTheme="minorEastAsia"/>
          <w:color w:val="auto"/>
          <w:w w:val="99"/>
          <w:kern w:val="21"/>
          <w:highlight w:val="none"/>
          <w:lang w:val="en-US" w:eastAsia="zh-CN"/>
        </w:rPr>
        <w:t>=</w:t>
      </w:r>
      <w:r>
        <w:rPr>
          <w:rFonts w:hint="eastAsia" w:ascii="Times New Roman" w:hAnsi="Times New Roman" w:cs="Times New Roman" w:eastAsiaTheme="minorEastAsia"/>
          <w:color w:val="auto"/>
          <w:w w:val="99"/>
          <w:kern w:val="21"/>
          <w:highlight w:val="none"/>
          <w:lang w:val="en-US" w:eastAsia="zh-CN"/>
        </w:rPr>
        <w:t>720），生活污水按生活用水量的</w:t>
      </w:r>
      <w:r>
        <w:rPr>
          <w:rFonts w:hint="default" w:ascii="Times New Roman" w:hAnsi="Times New Roman" w:cs="Times New Roman" w:eastAsiaTheme="minorEastAsia"/>
          <w:color w:val="auto"/>
          <w:w w:val="99"/>
          <w:kern w:val="21"/>
          <w:highlight w:val="none"/>
          <w:lang w:val="en-US" w:eastAsia="zh-CN"/>
        </w:rPr>
        <w:t>80%</w:t>
      </w:r>
      <w:r>
        <w:rPr>
          <w:rFonts w:hint="eastAsia" w:ascii="Times New Roman" w:hAnsi="Times New Roman" w:cs="Times New Roman" w:eastAsiaTheme="minorEastAsia"/>
          <w:color w:val="auto"/>
          <w:w w:val="99"/>
          <w:kern w:val="21"/>
          <w:highlight w:val="none"/>
          <w:lang w:val="en-US" w:eastAsia="zh-CN"/>
        </w:rPr>
        <w:t>计，则施工期间施工人员生活污水产生量为576</w:t>
      </w:r>
      <w:r>
        <w:rPr>
          <w:rFonts w:hint="default" w:ascii="Times New Roman" w:hAnsi="Times New Roman" w:cs="Times New Roman" w:eastAsiaTheme="minorEastAsia"/>
          <w:color w:val="auto"/>
          <w:w w:val="99"/>
          <w:kern w:val="21"/>
          <w:highlight w:val="none"/>
          <w:lang w:val="en-US" w:eastAsia="zh-CN"/>
        </w:rPr>
        <w:t>m</w:t>
      </w:r>
      <w:r>
        <w:rPr>
          <w:rFonts w:hint="default" w:ascii="Times New Roman" w:hAnsi="Times New Roman" w:cs="Times New Roman" w:eastAsiaTheme="minorEastAsia"/>
          <w:color w:val="auto"/>
          <w:w w:val="99"/>
          <w:kern w:val="21"/>
          <w:highlight w:val="none"/>
          <w:vertAlign w:val="superscript"/>
          <w:lang w:val="en-US" w:eastAsia="zh-CN"/>
        </w:rPr>
        <w:t>3</w:t>
      </w:r>
      <w:r>
        <w:rPr>
          <w:rFonts w:hint="eastAsia" w:ascii="Times New Roman" w:hAnsi="Times New Roman" w:cs="Times New Roman" w:eastAsiaTheme="minorEastAsia"/>
          <w:color w:val="auto"/>
          <w:w w:val="99"/>
          <w:kern w:val="21"/>
          <w:highlight w:val="none"/>
          <w:lang w:val="en-US" w:eastAsia="zh-CN"/>
        </w:rPr>
        <w:t>。施工期地面生活污水排入附近场站已建生活污水收集设施，</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p>
    <w:p w14:paraId="10C265F1">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hint="eastAsia"/>
          <w:color w:val="auto"/>
          <w:w w:val="99"/>
          <w:kern w:val="21"/>
          <w:highlight w:val="none"/>
          <w:lang w:val="en-US" w:eastAsia="zh-CN"/>
        </w:rPr>
        <w:t>②</w:t>
      </w:r>
      <w:r>
        <w:rPr>
          <w:rFonts w:ascii="Times New Roman" w:hAnsi="Times New Roman" w:cs="Times New Roman"/>
          <w:color w:val="auto"/>
          <w:w w:val="99"/>
          <w:kern w:val="21"/>
          <w:highlight w:val="none"/>
        </w:rPr>
        <w:t>管线</w:t>
      </w:r>
      <w:r>
        <w:rPr>
          <w:rFonts w:ascii="Times New Roman" w:hAnsi="Times New Roman" w:cs="Times New Roman" w:eastAsiaTheme="minorEastAsia"/>
          <w:color w:val="auto"/>
          <w:w w:val="99"/>
          <w:kern w:val="21"/>
          <w:highlight w:val="none"/>
        </w:rPr>
        <w:t>试压用水及管线试压废水</w:t>
      </w:r>
    </w:p>
    <w:p w14:paraId="0CCD95BC">
      <w:pPr>
        <w:widowControl w:val="0"/>
        <w:spacing w:line="440" w:lineRule="exact"/>
        <w:ind w:firstLine="474" w:firstLineChars="200"/>
        <w:jc w:val="both"/>
        <w:rPr>
          <w:rFonts w:ascii="Times New Roman" w:hAnsi="Times New Roman" w:cs="Times New Roman"/>
          <w:bCs/>
          <w:color w:val="auto"/>
          <w:w w:val="99"/>
          <w:highlight w:val="none"/>
        </w:rPr>
      </w:pPr>
      <w:r>
        <w:rPr>
          <w:rFonts w:ascii="Times New Roman" w:hAnsi="Times New Roman" w:cs="Times New Roman"/>
          <w:bCs/>
          <w:color w:val="auto"/>
          <w:w w:val="99"/>
          <w:highlight w:val="none"/>
        </w:rPr>
        <w:t>本工程新建管线采取清水试压的方式，本项目新建</w:t>
      </w:r>
      <w:r>
        <w:rPr>
          <w:rFonts w:hint="default" w:ascii="Times New Roman" w:hAnsi="Times New Roman" w:cs="Times New Roman"/>
          <w:bCs/>
          <w:color w:val="auto"/>
          <w:w w:val="99"/>
          <w:highlight w:val="none"/>
          <w:lang w:val="en-US" w:eastAsia="zh-CN"/>
        </w:rPr>
        <w:t>Φ</w:t>
      </w:r>
      <w:r>
        <w:rPr>
          <w:rFonts w:hint="eastAsia" w:ascii="Times New Roman" w:hAnsi="Times New Roman" w:cs="Times New Roman"/>
          <w:bCs/>
          <w:color w:val="auto"/>
          <w:w w:val="99"/>
          <w:highlight w:val="none"/>
          <w:lang w:val="en-US" w:eastAsia="zh-CN"/>
        </w:rPr>
        <w:t>76</w:t>
      </w:r>
      <w:r>
        <w:rPr>
          <w:rFonts w:hint="default" w:ascii="Times New Roman" w:hAnsi="Times New Roman" w:cs="Times New Roman"/>
          <w:bCs/>
          <w:color w:val="auto"/>
          <w:w w:val="99"/>
          <w:highlight w:val="none"/>
          <w:lang w:val="en-US" w:eastAsia="zh-CN"/>
        </w:rPr>
        <w:t>×（9+2）</w:t>
      </w:r>
      <w:r>
        <w:rPr>
          <w:rFonts w:ascii="Times New Roman" w:hAnsi="Times New Roman" w:cs="Times New Roman"/>
          <w:bCs/>
          <w:color w:val="auto"/>
          <w:w w:val="99"/>
          <w:highlight w:val="none"/>
        </w:rPr>
        <w:t>集</w:t>
      </w:r>
      <w:r>
        <w:rPr>
          <w:rFonts w:hint="eastAsia" w:ascii="Times New Roman" w:hAnsi="Times New Roman" w:cs="Times New Roman"/>
          <w:bCs/>
          <w:color w:val="auto"/>
          <w:w w:val="99"/>
          <w:highlight w:val="none"/>
          <w:lang w:val="en-US" w:eastAsia="zh-CN"/>
        </w:rPr>
        <w:t>气</w:t>
      </w:r>
      <w:r>
        <w:rPr>
          <w:rFonts w:ascii="Times New Roman" w:hAnsi="Times New Roman" w:cs="Times New Roman"/>
          <w:bCs/>
          <w:color w:val="auto"/>
          <w:w w:val="99"/>
          <w:highlight w:val="none"/>
        </w:rPr>
        <w:t>管道</w:t>
      </w:r>
      <w:r>
        <w:rPr>
          <w:rFonts w:hint="eastAsia" w:ascii="Times New Roman" w:hAnsi="Times New Roman" w:cs="Times New Roman"/>
          <w:bCs/>
          <w:color w:val="auto"/>
          <w:w w:val="99"/>
          <w:highlight w:val="none"/>
          <w:lang w:val="en-US" w:eastAsia="zh-CN"/>
        </w:rPr>
        <w:t>1.92</w:t>
      </w:r>
      <w:r>
        <w:rPr>
          <w:rFonts w:ascii="Times New Roman" w:hAnsi="Times New Roman" w:cs="Times New Roman"/>
          <w:bCs/>
          <w:color w:val="auto"/>
          <w:w w:val="99"/>
          <w:highlight w:val="none"/>
        </w:rPr>
        <w:t>km，根据新建管线截面面积及长度，管线试压用水总量为</w:t>
      </w:r>
      <w:r>
        <w:rPr>
          <w:rFonts w:hint="eastAsia" w:ascii="Times New Roman" w:hAnsi="Times New Roman" w:cs="Times New Roman"/>
          <w:bCs/>
          <w:color w:val="auto"/>
          <w:w w:val="99"/>
          <w:highlight w:val="none"/>
          <w:lang w:val="en-US" w:eastAsia="zh-CN"/>
        </w:rPr>
        <w:t>4.39m</w:t>
      </w:r>
      <w:r>
        <w:rPr>
          <w:rFonts w:hint="eastAsia" w:ascii="Times New Roman" w:hAnsi="Times New Roman" w:cs="Times New Roman"/>
          <w:bCs/>
          <w:color w:val="auto"/>
          <w:w w:val="99"/>
          <w:highlight w:val="none"/>
          <w:vertAlign w:val="superscript"/>
          <w:lang w:val="en-US" w:eastAsia="zh-CN"/>
        </w:rPr>
        <w:t>3</w:t>
      </w:r>
      <w:r>
        <w:rPr>
          <w:rFonts w:ascii="Times New Roman" w:hAnsi="Times New Roman" w:cs="Times New Roman"/>
          <w:bCs/>
          <w:color w:val="auto"/>
          <w:w w:val="99"/>
          <w:highlight w:val="none"/>
        </w:rPr>
        <w:t>，试压废水按用水量的95%计算，试压废水产生量为</w:t>
      </w:r>
      <w:r>
        <w:rPr>
          <w:rFonts w:hint="eastAsia" w:ascii="Times New Roman" w:hAnsi="Times New Roman" w:cs="Times New Roman"/>
          <w:bCs/>
          <w:color w:val="auto"/>
          <w:w w:val="99"/>
          <w:highlight w:val="none"/>
          <w:lang w:val="en-US" w:eastAsia="zh-CN"/>
        </w:rPr>
        <w:t>4.17</w:t>
      </w:r>
      <w:r>
        <w:rPr>
          <w:rFonts w:ascii="Times New Roman" w:hAnsi="Times New Roman" w:cs="Times New Roman"/>
          <w:bCs/>
          <w:color w:val="auto"/>
          <w:w w:val="99"/>
          <w:highlight w:val="none"/>
        </w:rPr>
        <w:t>m</w:t>
      </w:r>
      <w:r>
        <w:rPr>
          <w:rFonts w:ascii="Times New Roman" w:hAnsi="Times New Roman" w:cs="Times New Roman"/>
          <w:bCs/>
          <w:color w:val="auto"/>
          <w:w w:val="99"/>
          <w:highlight w:val="none"/>
          <w:vertAlign w:val="superscript"/>
        </w:rPr>
        <w:t>3</w:t>
      </w:r>
      <w:r>
        <w:rPr>
          <w:rFonts w:ascii="Times New Roman" w:hAnsi="Times New Roman" w:cs="Times New Roman"/>
          <w:bCs/>
          <w:color w:val="auto"/>
          <w:w w:val="99"/>
          <w:highlight w:val="none"/>
        </w:rPr>
        <w:t>。管线试压废水由罐车拉运升一联气田污水预处理站处理满足《大庆油田地面工程建设设计规定》（Q/SYDQ0639-2015）及《碎屑岩油藏注水水质指标技术要求及分析方法》（SY/T5329-2022）限值要求后回注油层，不外排。</w:t>
      </w:r>
    </w:p>
    <w:p w14:paraId="45F61634">
      <w:pPr>
        <w:widowControl w:val="0"/>
        <w:spacing w:line="440" w:lineRule="exact"/>
        <w:ind w:firstLine="474" w:firstLineChars="200"/>
        <w:rPr>
          <w:rFonts w:ascii="Times New Roman" w:hAnsi="Times New Roman" w:cs="Times New Roman"/>
          <w:color w:val="auto"/>
          <w:w w:val="99"/>
          <w:kern w:val="21"/>
          <w:highlight w:val="none"/>
        </w:rPr>
      </w:pPr>
      <w:r>
        <w:rPr>
          <w:rFonts w:ascii="Times New Roman" w:hAnsi="Times New Roman" w:cs="Times New Roman"/>
          <w:color w:val="auto"/>
          <w:w w:val="99"/>
          <w:kern w:val="21"/>
          <w:highlight w:val="none"/>
        </w:rPr>
        <w:t>（2）运营期</w:t>
      </w:r>
    </w:p>
    <w:p w14:paraId="6E9B7F95">
      <w:pPr>
        <w:widowControl w:val="0"/>
        <w:spacing w:line="440" w:lineRule="exact"/>
        <w:ind w:firstLine="474" w:firstLineChars="200"/>
        <w:jc w:val="both"/>
        <w:rPr>
          <w:rFonts w:ascii="Times New Roman" w:hAnsi="Times New Roman" w:eastAsia="宋体" w:cs="Times New Roman"/>
          <w:bCs/>
          <w:color w:val="auto"/>
          <w:w w:val="99"/>
          <w:highlight w:val="none"/>
        </w:rPr>
      </w:pPr>
      <w:r>
        <w:rPr>
          <w:rFonts w:ascii="Times New Roman" w:hAnsi="Times New Roman" w:eastAsia="宋体" w:cs="Times New Roman"/>
          <w:bCs/>
          <w:color w:val="auto"/>
          <w:w w:val="99"/>
          <w:highlight w:val="none"/>
        </w:rPr>
        <w:t>本项目运营期不新增人员，不新增生活用水。</w:t>
      </w:r>
    </w:p>
    <w:p w14:paraId="75F6C3EA">
      <w:pPr>
        <w:widowControl w:val="0"/>
        <w:spacing w:line="440" w:lineRule="exact"/>
        <w:ind w:firstLine="474" w:firstLineChars="200"/>
        <w:jc w:val="both"/>
        <w:rPr>
          <w:rFonts w:ascii="Times New Roman" w:hAnsi="Times New Roman" w:eastAsia="宋体" w:cs="Times New Roman"/>
          <w:bCs/>
          <w:color w:val="auto"/>
          <w:w w:val="99"/>
          <w:highlight w:val="none"/>
        </w:rPr>
      </w:pPr>
      <w:r>
        <w:rPr>
          <w:rFonts w:ascii="Times New Roman" w:hAnsi="Times New Roman" w:eastAsia="宋体" w:cs="Times New Roman"/>
          <w:bCs/>
          <w:color w:val="auto"/>
          <w:w w:val="99"/>
          <w:highlight w:val="none"/>
        </w:rPr>
        <w:t>根据产能开发方案，本项目气田采出水最大产生量为</w:t>
      </w:r>
      <w:r>
        <w:rPr>
          <w:rFonts w:hint="eastAsia" w:ascii="Times New Roman" w:hAnsi="Times New Roman" w:cs="Times New Roman"/>
          <w:bCs/>
          <w:color w:val="auto"/>
          <w:w w:val="99"/>
          <w:highlight w:val="none"/>
          <w:lang w:val="en-US" w:eastAsia="zh-CN"/>
        </w:rPr>
        <w:t>3</w:t>
      </w:r>
      <w:r>
        <w:rPr>
          <w:rFonts w:ascii="Times New Roman" w:hAnsi="Times New Roman" w:eastAsia="宋体" w:cs="Times New Roman"/>
          <w:bCs/>
          <w:color w:val="auto"/>
          <w:w w:val="99"/>
          <w:highlight w:val="none"/>
        </w:rPr>
        <w:t>m</w:t>
      </w:r>
      <w:r>
        <w:rPr>
          <w:rFonts w:ascii="Times New Roman" w:hAnsi="Times New Roman" w:eastAsia="宋体" w:cs="Times New Roman"/>
          <w:bCs/>
          <w:color w:val="auto"/>
          <w:w w:val="99"/>
          <w:highlight w:val="none"/>
          <w:vertAlign w:val="superscript"/>
        </w:rPr>
        <w:t>3</w:t>
      </w:r>
      <w:r>
        <w:rPr>
          <w:rFonts w:ascii="Times New Roman" w:hAnsi="Times New Roman" w:eastAsia="宋体" w:cs="Times New Roman"/>
          <w:bCs/>
          <w:color w:val="auto"/>
          <w:w w:val="99"/>
          <w:highlight w:val="none"/>
        </w:rPr>
        <w:t>/d ，运营期产生的气田采出水暂存于集气站污水储罐临时储存，再定期通过外输泵升压外输至气田采出水集输管网，并统一外输至升一联气田污水预处理站处理后的水质执行《大庆油田地面工程建设设计规定》（Q/SYDQ 0639-2015） 限值“含油量≤10mg/L 、悬浮固体含量≤5mg/L 、粒径中值≤2μm” ，同时满足《碎屑岩油藏注水水质指标技术要求及分析方法》(SY/T5329-2022)中标准限值，回注地下。</w:t>
      </w:r>
    </w:p>
    <w:bookmarkEnd w:id="440"/>
    <w:p w14:paraId="52BF304D">
      <w:pPr>
        <w:spacing w:line="500" w:lineRule="exact"/>
        <w:jc w:val="center"/>
        <w:rPr>
          <w:rFonts w:ascii="Times New Roman" w:hAnsi="Times New Roman" w:cs="Times New Roman"/>
          <w:b/>
          <w:bCs/>
          <w:color w:val="auto"/>
          <w:w w:val="99"/>
          <w:szCs w:val="20"/>
          <w:highlight w:val="none"/>
        </w:rPr>
      </w:pPr>
      <w:bookmarkStart w:id="441" w:name="_Toc61597234"/>
      <w:bookmarkStart w:id="442" w:name="_Toc13059819"/>
      <w:bookmarkStart w:id="443" w:name="_Toc67523606"/>
      <w:bookmarkStart w:id="444" w:name="_Toc69690824"/>
      <w:bookmarkStart w:id="445" w:name="_Toc71371957"/>
      <w:bookmarkStart w:id="446" w:name="_Toc5710034"/>
      <w:bookmarkStart w:id="447" w:name="_Toc74812328"/>
    </w:p>
    <w:p w14:paraId="694B893D">
      <w:pPr>
        <w:spacing w:line="500" w:lineRule="exact"/>
        <w:jc w:val="center"/>
        <w:rPr>
          <w:rFonts w:ascii="Times New Roman" w:hAnsi="Times New Roman" w:cs="Times New Roman"/>
          <w:b/>
          <w:bCs/>
          <w:color w:val="auto"/>
          <w:w w:val="99"/>
          <w:szCs w:val="20"/>
          <w:highlight w:val="none"/>
        </w:rPr>
      </w:pPr>
    </w:p>
    <w:p w14:paraId="22CD7769">
      <w:pPr>
        <w:spacing w:line="500" w:lineRule="exact"/>
        <w:jc w:val="center"/>
        <w:rPr>
          <w:rFonts w:ascii="Times New Roman" w:hAnsi="Times New Roman" w:cs="Times New Roman"/>
          <w:b/>
          <w:bCs/>
          <w:color w:val="auto"/>
          <w:w w:val="99"/>
          <w:szCs w:val="20"/>
          <w:highlight w:val="none"/>
        </w:rPr>
      </w:pPr>
    </w:p>
    <w:p w14:paraId="74B819DF">
      <w:pPr>
        <w:spacing w:line="500" w:lineRule="exact"/>
        <w:jc w:val="center"/>
        <w:rPr>
          <w:rFonts w:ascii="Times New Roman" w:hAnsi="Times New Roman" w:cs="Times New Roman"/>
          <w:b/>
          <w:bCs/>
          <w:color w:val="auto"/>
          <w:w w:val="99"/>
          <w:szCs w:val="20"/>
          <w:highlight w:val="none"/>
        </w:rPr>
      </w:pPr>
      <w:r>
        <mc:AlternateContent>
          <mc:Choice Requires="wps">
            <w:drawing>
              <wp:anchor distT="0" distB="0" distL="114300" distR="114300" simplePos="0" relativeHeight="251671552" behindDoc="0" locked="0" layoutInCell="1" allowOverlap="1">
                <wp:simplePos x="0" y="0"/>
                <wp:positionH relativeFrom="column">
                  <wp:posOffset>3422015</wp:posOffset>
                </wp:positionH>
                <wp:positionV relativeFrom="paragraph">
                  <wp:posOffset>247015</wp:posOffset>
                </wp:positionV>
                <wp:extent cx="723265" cy="2984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723265"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B12C6">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4.17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45pt;margin-top:19.45pt;height:23.5pt;width:56.95pt;z-index:251671552;mso-width-relative:page;mso-height-relative:page;" filled="f" stroked="f" coordsize="21600,21600" o:gfxdata="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DNBC9oAAAAJAQAADwAAAAAAAAABACAAAAAiAAAAZHJz&#10;L2Rvd25yZXYueG1sUEsBAhQAFAAAAAgAh07iQJ0fVjc7AgAAZQQAAA4AAAAAAAAAAQAgAAAAKQEA&#10;AGRycy9lMm9Eb2MueG1sUEsFBgAAAAAGAAYAWQEAANYFAAAAAA==&#10;">
                <v:fill on="f" focussize="0,0"/>
                <v:stroke on="f" weight="0.5pt"/>
                <v:imagedata o:title=""/>
                <o:lock v:ext="edit" aspectratio="f"/>
                <v:textbox>
                  <w:txbxContent>
                    <w:p w14:paraId="273B12C6">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4.17</w:t>
                      </w:r>
                    </w:p>
                  </w:txbxContent>
                </v:textbox>
              </v:shape>
            </w:pict>
          </mc:Fallback>
        </mc:AlternateContent>
      </w:r>
    </w:p>
    <w:p w14:paraId="6CAB3B23">
      <w:pPr>
        <w:spacing w:line="500" w:lineRule="exact"/>
        <w:jc w:val="center"/>
        <w:rPr>
          <w:rFonts w:ascii="Times New Roman" w:hAnsi="Times New Roman" w:cs="Times New Roman"/>
          <w:b/>
          <w:bCs/>
          <w:color w:val="auto"/>
          <w:w w:val="99"/>
          <w:szCs w:val="20"/>
          <w:highlight w:val="none"/>
        </w:rPr>
      </w:pPr>
    </w:p>
    <w:p w14:paraId="4904D380">
      <w:pPr>
        <w:spacing w:line="500" w:lineRule="exact"/>
        <w:jc w:val="center"/>
        <w:rPr>
          <w:rFonts w:ascii="Times New Roman" w:hAnsi="Times New Roman" w:cs="Times New Roman"/>
          <w:b/>
          <w:bCs/>
          <w:color w:val="auto"/>
          <w:w w:val="99"/>
          <w:szCs w:val="20"/>
          <w:highlight w:val="none"/>
        </w:rPr>
      </w:pPr>
      <w:r>
        <w:rPr>
          <w:color w:val="auto"/>
          <w:sz w:val="24"/>
          <w:highlight w:val="none"/>
        </w:rPr>
        <mc:AlternateContent>
          <mc:Choice Requires="wpg">
            <w:drawing>
              <wp:inline distT="0" distB="0" distL="114300" distR="114300">
                <wp:extent cx="5524500" cy="1683385"/>
                <wp:effectExtent l="0" t="0" r="0" b="0"/>
                <wp:docPr id="9" name="组合 9"/>
                <wp:cNvGraphicFramePr/>
                <a:graphic xmlns:a="http://schemas.openxmlformats.org/drawingml/2006/main">
                  <a:graphicData uri="http://schemas.microsoft.com/office/word/2010/wordprocessingGroup">
                    <wpg:wgp>
                      <wpg:cNvGrpSpPr/>
                      <wpg:grpSpPr>
                        <a:xfrm>
                          <a:off x="0" y="0"/>
                          <a:ext cx="5524500" cy="1683385"/>
                          <a:chOff x="2186" y="2590703"/>
                          <a:chExt cx="8700" cy="2651"/>
                        </a:xfrm>
                      </wpg:grpSpPr>
                      <wps:wsp>
                        <wps:cNvPr id="101" name="直接箭头连接符 101"/>
                        <wps:cNvCnPr/>
                        <wps:spPr>
                          <a:xfrm>
                            <a:off x="2361" y="2592120"/>
                            <a:ext cx="906"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6" name="文本框 106"/>
                        <wps:cNvSpPr txBox="1"/>
                        <wps:spPr>
                          <a:xfrm>
                            <a:off x="4170" y="2591248"/>
                            <a:ext cx="1139" cy="4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240228">
                              <w:pPr>
                                <w:rPr>
                                  <w:rFonts w:hint="default"/>
                                  <w:w w:val="99"/>
                                  <w:sz w:val="21"/>
                                  <w:szCs w:val="21"/>
                                  <w:lang w:val="en-US" w:eastAsia="zh-CN"/>
                                </w:rPr>
                              </w:pPr>
                              <w:r>
                                <w:rPr>
                                  <w:rFonts w:hint="eastAsia"/>
                                  <w:w w:val="99"/>
                                  <w:sz w:val="21"/>
                                  <w:szCs w:val="21"/>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4144" y="2592519"/>
                            <a:ext cx="1139" cy="4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4BC560">
                              <w:pPr>
                                <w:rPr>
                                  <w:rFonts w:hint="default"/>
                                  <w:w w:val="99"/>
                                  <w:sz w:val="21"/>
                                  <w:szCs w:val="21"/>
                                  <w:lang w:val="en-US" w:eastAsia="zh-CN"/>
                                </w:rPr>
                              </w:pPr>
                              <w:r>
                                <w:rPr>
                                  <w:rFonts w:hint="eastAsia"/>
                                  <w:w w:val="99"/>
                                  <w:sz w:val="21"/>
                                  <w:szCs w:val="21"/>
                                  <w:lang w:val="en-US" w:eastAsia="zh-CN"/>
                                </w:rPr>
                                <w:t>试压用水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直接箭头连接符 112"/>
                        <wps:cNvCnPr/>
                        <wps:spPr>
                          <a:xfrm>
                            <a:off x="3283" y="2591488"/>
                            <a:ext cx="906"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5" name="直接箭头连接符 125"/>
                        <wps:cNvCnPr/>
                        <wps:spPr>
                          <a:xfrm>
                            <a:off x="3220" y="2592692"/>
                            <a:ext cx="906"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7" name="直接连接符 127"/>
                        <wps:cNvCnPr/>
                        <wps:spPr>
                          <a:xfrm>
                            <a:off x="3275" y="2591474"/>
                            <a:ext cx="3" cy="119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32" name="直接箭头连接符 132"/>
                        <wps:cNvCnPr/>
                        <wps:spPr>
                          <a:xfrm>
                            <a:off x="5358" y="2591485"/>
                            <a:ext cx="906" cy="0"/>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33" name="直接箭头连接符 133"/>
                        <wps:cNvCnPr/>
                        <wps:spPr>
                          <a:xfrm>
                            <a:off x="5326" y="2592750"/>
                            <a:ext cx="906" cy="0"/>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34" name="文本框 134"/>
                        <wps:cNvSpPr txBox="1"/>
                        <wps:spPr>
                          <a:xfrm>
                            <a:off x="6309" y="2591279"/>
                            <a:ext cx="1139" cy="4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365EE7">
                              <w:pPr>
                                <w:rPr>
                                  <w:rFonts w:hint="default"/>
                                  <w:w w:val="99"/>
                                  <w:sz w:val="21"/>
                                  <w:szCs w:val="21"/>
                                  <w:lang w:val="en-US" w:eastAsia="zh-CN"/>
                                </w:rPr>
                              </w:pPr>
                              <w:r>
                                <w:rPr>
                                  <w:rFonts w:hint="eastAsia"/>
                                  <w:w w:val="99"/>
                                  <w:sz w:val="21"/>
                                  <w:szCs w:val="21"/>
                                  <w:lang w:val="en-US" w:eastAsia="zh-CN"/>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135"/>
                        <wps:cNvSpPr txBox="1"/>
                        <wps:spPr>
                          <a:xfrm>
                            <a:off x="6252" y="2592534"/>
                            <a:ext cx="1139" cy="4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441552">
                              <w:pPr>
                                <w:rPr>
                                  <w:rFonts w:hint="default"/>
                                  <w:w w:val="99"/>
                                  <w:sz w:val="21"/>
                                  <w:szCs w:val="21"/>
                                  <w:lang w:val="en-US" w:eastAsia="zh-CN"/>
                                </w:rPr>
                              </w:pPr>
                              <w:r>
                                <w:rPr>
                                  <w:rFonts w:hint="eastAsia"/>
                                  <w:w w:val="99"/>
                                  <w:sz w:val="21"/>
                                  <w:szCs w:val="21"/>
                                  <w:lang w:val="en-US" w:eastAsia="zh-CN"/>
                                </w:rPr>
                                <w:t>试压废水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直接箭头连接符 144"/>
                        <wps:cNvCnPr/>
                        <wps:spPr>
                          <a:xfrm>
                            <a:off x="7489" y="2591521"/>
                            <a:ext cx="906" cy="0"/>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58" name="直接箭头连接符 158"/>
                        <wps:cNvCnPr/>
                        <wps:spPr>
                          <a:xfrm>
                            <a:off x="7411" y="2592772"/>
                            <a:ext cx="906" cy="0"/>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62" name="文本框 162"/>
                        <wps:cNvSpPr txBox="1"/>
                        <wps:spPr>
                          <a:xfrm>
                            <a:off x="3300" y="2591050"/>
                            <a:ext cx="1139"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9D8C4">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720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163"/>
                        <wps:cNvSpPr txBox="1"/>
                        <wps:spPr>
                          <a:xfrm>
                            <a:off x="3300" y="2592254"/>
                            <a:ext cx="1139"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5E0304">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4.39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曲线连接符 170"/>
                        <wps:cNvCnPr/>
                        <wps:spPr>
                          <a:xfrm rot="16200000">
                            <a:off x="4769" y="2590926"/>
                            <a:ext cx="194" cy="430"/>
                          </a:xfrm>
                          <a:prstGeom prst="curved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2" name="曲线连接符 172"/>
                        <wps:cNvCnPr/>
                        <wps:spPr>
                          <a:xfrm rot="16200000">
                            <a:off x="4769" y="2592192"/>
                            <a:ext cx="194" cy="430"/>
                          </a:xfrm>
                          <a:prstGeom prst="curved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9" name="文本框 179"/>
                        <wps:cNvSpPr txBox="1"/>
                        <wps:spPr>
                          <a:xfrm>
                            <a:off x="5384" y="2591102"/>
                            <a:ext cx="1139"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4535E">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576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文本框 180"/>
                        <wps:cNvSpPr txBox="1"/>
                        <wps:spPr>
                          <a:xfrm>
                            <a:off x="5045" y="2590703"/>
                            <a:ext cx="1733"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9040F">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消耗144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6" name="文本框 186"/>
                        <wps:cNvSpPr txBox="1"/>
                        <wps:spPr>
                          <a:xfrm>
                            <a:off x="8348" y="2590793"/>
                            <a:ext cx="2538" cy="153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27FCB">
                              <w:pPr>
                                <w:rPr>
                                  <w:rFonts w:hint="default"/>
                                  <w:w w:val="99"/>
                                  <w:sz w:val="21"/>
                                  <w:szCs w:val="21"/>
                                  <w:lang w:val="en-US" w:eastAsia="zh-CN"/>
                                </w:rPr>
                              </w:pPr>
                              <w:r>
                                <w:rPr>
                                  <w:rFonts w:hint="eastAsia" w:ascii="Times New Roman" w:hAnsi="Times New Roman" w:eastAsia="宋体" w:cs="Times New Roman"/>
                                  <w:color w:val="auto"/>
                                  <w:w w:val="99"/>
                                  <w:sz w:val="21"/>
                                  <w:szCs w:val="21"/>
                                  <w:highlight w:val="none"/>
                                  <w:lang w:val="en-US" w:eastAsia="zh-CN" w:bidi="ar-SA"/>
                                </w:rPr>
                                <w:t>由大庆石油管理局有限公司庆南工矿服务公司红岗分公司拉运至大庆红岗区西巷污水回收站，管输至南区污水处理厂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文本框 181"/>
                        <wps:cNvSpPr txBox="1"/>
                        <wps:spPr>
                          <a:xfrm>
                            <a:off x="7467" y="2591201"/>
                            <a:ext cx="1139"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A13B47">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576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文本框 182"/>
                        <wps:cNvSpPr txBox="1"/>
                        <wps:spPr>
                          <a:xfrm>
                            <a:off x="5337" y="2592337"/>
                            <a:ext cx="1139"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C8B7A">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4.17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 name="文本框 193"/>
                        <wps:cNvSpPr txBox="1"/>
                        <wps:spPr>
                          <a:xfrm>
                            <a:off x="2224" y="2591576"/>
                            <a:ext cx="1139"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D34BF0">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724.39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文本框 183"/>
                        <wps:cNvSpPr txBox="1"/>
                        <wps:spPr>
                          <a:xfrm>
                            <a:off x="5077" y="2592030"/>
                            <a:ext cx="1530"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547E6">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消耗0.22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文本框 189"/>
                        <wps:cNvSpPr txBox="1"/>
                        <wps:spPr>
                          <a:xfrm>
                            <a:off x="8383" y="2592257"/>
                            <a:ext cx="1890" cy="10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9E687">
                              <w:pPr>
                                <w:rPr>
                                  <w:rFonts w:hint="default"/>
                                  <w:w w:val="99"/>
                                  <w:sz w:val="21"/>
                                  <w:szCs w:val="21"/>
                                  <w:lang w:val="en-US" w:eastAsia="zh-CN"/>
                                </w:rPr>
                              </w:pPr>
                              <w:r>
                                <w:rPr>
                                  <w:rFonts w:hint="default"/>
                                  <w:w w:val="99"/>
                                  <w:sz w:val="21"/>
                                  <w:szCs w:val="21"/>
                                  <w:lang w:val="en-US" w:eastAsia="zh-CN"/>
                                </w:rPr>
                                <w:t>由罐车拉运升一联气田污水预处理站处理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4" name="文本框 194"/>
                        <wps:cNvSpPr txBox="1"/>
                        <wps:spPr>
                          <a:xfrm>
                            <a:off x="2186" y="2592199"/>
                            <a:ext cx="1139"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12FAB">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132.55pt;width:435pt;" coordorigin="2186,2590703" coordsize="8700,2651" o:gfxdata="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">
                <o:lock v:ext="edit" aspectratio="f"/>
                <v:shape id="_x0000_s1026" o:spid="_x0000_s1026" o:spt="32" type="#_x0000_t32" style="position:absolute;left:2361;top:2592120;height:0;width:906;" filled="f" stroked="t" coordsize="21600,21600" o:gfxdata="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7fpO6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_x0000_s1026" o:spid="_x0000_s1026" o:spt="202" type="#_x0000_t202" style="position:absolute;left:4170;top:2591248;height:470;width:1139;" filled="f" stroked="t" coordsize="21600,21600" o:gfxdata="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h2I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13240228">
                        <w:pPr>
                          <w:rPr>
                            <w:rFonts w:hint="default"/>
                            <w:w w:val="99"/>
                            <w:sz w:val="21"/>
                            <w:szCs w:val="21"/>
                            <w:lang w:val="en-US" w:eastAsia="zh-CN"/>
                          </w:rPr>
                        </w:pPr>
                        <w:r>
                          <w:rPr>
                            <w:rFonts w:hint="eastAsia"/>
                            <w:w w:val="99"/>
                            <w:sz w:val="21"/>
                            <w:szCs w:val="21"/>
                            <w:lang w:val="en-US" w:eastAsia="zh-CN"/>
                          </w:rPr>
                          <w:t>生活用水</w:t>
                        </w:r>
                      </w:p>
                    </w:txbxContent>
                  </v:textbox>
                </v:shape>
                <v:shape id="_x0000_s1026" o:spid="_x0000_s1026" o:spt="202" type="#_x0000_t202" style="position:absolute;left:4144;top:2592519;height:470;width:1139;" filled="f" stroked="t" coordsize="21600,21600" o:gfxdata="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WrgT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1F4BC560">
                        <w:pPr>
                          <w:rPr>
                            <w:rFonts w:hint="default"/>
                            <w:w w:val="99"/>
                            <w:sz w:val="21"/>
                            <w:szCs w:val="21"/>
                            <w:lang w:val="en-US" w:eastAsia="zh-CN"/>
                          </w:rPr>
                        </w:pPr>
                        <w:r>
                          <w:rPr>
                            <w:rFonts w:hint="eastAsia"/>
                            <w:w w:val="99"/>
                            <w:sz w:val="21"/>
                            <w:szCs w:val="21"/>
                            <w:lang w:val="en-US" w:eastAsia="zh-CN"/>
                          </w:rPr>
                          <w:t>试压用水</w:t>
                        </w:r>
                      </w:p>
                    </w:txbxContent>
                  </v:textbox>
                </v:shape>
                <v:shape id="_x0000_s1026" o:spid="_x0000_s1026" o:spt="32" type="#_x0000_t32" style="position:absolute;left:3283;top:2591488;height:0;width:906;" filled="f" stroked="t" coordsize="21600,21600" o:gfxdata="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UrES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_x0000_s1026" o:spid="_x0000_s1026" o:spt="32" type="#_x0000_t32" style="position:absolute;left:3220;top:2592692;height:0;width:906;" filled="f" stroked="t" coordsize="21600,21600" o:gfxdata="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R/o2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line id="_x0000_s1026" o:spid="_x0000_s1026" o:spt="20" style="position:absolute;left:3275;top:2591474;height:1197;width:3;" filled="f" stroked="t" coordsize="21600,21600" o:gfxdata="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YstN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_x0000_s1026" o:spid="_x0000_s1026" o:spt="32" type="#_x0000_t32" style="position:absolute;left:5358;top:2591485;height:0;width:906;" filled="f" stroked="t" coordsize="21600,21600" o:gfxdata="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8D8UbsAAADc&#10;AAAADwAAAAAAAAABACAAAAAiAAAAZHJzL2Rvd25yZXYueG1sUEsBAhQAFAAAAAgAh07iQDMvBZ47&#10;AAAAOQAAABAAAAAAAAAAAQAgAAAACgEAAGRycy9zaGFwZXhtbC54bWxQSwUGAAAAAAYABgBbAQAA&#10;tAMAAAAA&#10;">
                  <v:fill on="f" focussize="0,0"/>
                  <v:stroke weight="1pt" color="#000000 [3213]" miterlimit="8" joinstyle="miter" dashstyle="dash" endarrow="open"/>
                  <v:imagedata o:title=""/>
                  <o:lock v:ext="edit" aspectratio="f"/>
                </v:shape>
                <v:shape id="_x0000_s1026" o:spid="_x0000_s1026" o:spt="32" type="#_x0000_t32" style="position:absolute;left:5326;top:2592750;height:0;width:906;" filled="f" stroked="t" coordsize="21600,21600" o:gfxdata="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MWcq8AAAA&#10;3AAAAA8AAAAAAAAAAQAgAAAAIgAAAGRycy9kb3ducmV2LnhtbFBLAQIUABQAAAAIAIdO4kAzLwWe&#10;OwAAADkAAAAQAAAAAAAAAAEAIAAAAAsBAABkcnMvc2hhcGV4bWwueG1sUEsFBgAAAAAGAAYAWwEA&#10;ALUDAAAAAA==&#10;">
                  <v:fill on="f" focussize="0,0"/>
                  <v:stroke weight="1pt" color="#000000 [3213]" miterlimit="8" joinstyle="miter" dashstyle="dash" endarrow="open"/>
                  <v:imagedata o:title=""/>
                  <o:lock v:ext="edit" aspectratio="f"/>
                </v:shape>
                <v:shape id="_x0000_s1026" o:spid="_x0000_s1026" o:spt="202" type="#_x0000_t202" style="position:absolute;left:6309;top:2591279;height:470;width:1139;" filled="f" stroked="t" coordsize="21600,21600" o:gfxdata="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Ts2b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14:paraId="46365EE7">
                        <w:pPr>
                          <w:rPr>
                            <w:rFonts w:hint="default"/>
                            <w:w w:val="99"/>
                            <w:sz w:val="21"/>
                            <w:szCs w:val="21"/>
                            <w:lang w:val="en-US" w:eastAsia="zh-CN"/>
                          </w:rPr>
                        </w:pPr>
                        <w:r>
                          <w:rPr>
                            <w:rFonts w:hint="eastAsia"/>
                            <w:w w:val="99"/>
                            <w:sz w:val="21"/>
                            <w:szCs w:val="21"/>
                            <w:lang w:val="en-US" w:eastAsia="zh-CN"/>
                          </w:rPr>
                          <w:t>生活污水</w:t>
                        </w:r>
                      </w:p>
                    </w:txbxContent>
                  </v:textbox>
                </v:shape>
                <v:shape id="_x0000_s1026" o:spid="_x0000_s1026" o:spt="202" type="#_x0000_t202" style="position:absolute;left:6252;top:2592534;height:470;width:1139;" filled="f" stroked="t" coordsize="21600,21600" o:gfxdata="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hJQr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14:paraId="0F441552">
                        <w:pPr>
                          <w:rPr>
                            <w:rFonts w:hint="default"/>
                            <w:w w:val="99"/>
                            <w:sz w:val="21"/>
                            <w:szCs w:val="21"/>
                            <w:lang w:val="en-US" w:eastAsia="zh-CN"/>
                          </w:rPr>
                        </w:pPr>
                        <w:r>
                          <w:rPr>
                            <w:rFonts w:hint="eastAsia"/>
                            <w:w w:val="99"/>
                            <w:sz w:val="21"/>
                            <w:szCs w:val="21"/>
                            <w:lang w:val="en-US" w:eastAsia="zh-CN"/>
                          </w:rPr>
                          <w:t>试压废水</w:t>
                        </w:r>
                      </w:p>
                    </w:txbxContent>
                  </v:textbox>
                </v:shape>
                <v:shape id="_x0000_s1026" o:spid="_x0000_s1026" o:spt="32" type="#_x0000_t32" style="position:absolute;left:7489;top:2591521;height:0;width:906;" filled="f" stroked="t" coordsize="21600,21600" o:gfxdata="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jssO8AAAA&#10;3AAAAA8AAAAAAAAAAQAgAAAAIgAAAGRycy9kb3ducmV2LnhtbFBLAQIUABQAAAAIAIdO4kAzLwWe&#10;OwAAADkAAAAQAAAAAAAAAAEAIAAAAAsBAABkcnMvc2hhcGV4bWwueG1sUEsFBgAAAAAGAAYAWwEA&#10;ALUDAAAAAA==&#10;">
                  <v:fill on="f" focussize="0,0"/>
                  <v:stroke weight="1pt" color="#000000 [3213]" miterlimit="8" joinstyle="miter" dashstyle="dash" endarrow="open"/>
                  <v:imagedata o:title=""/>
                  <o:lock v:ext="edit" aspectratio="f"/>
                </v:shape>
                <v:shape id="_x0000_s1026" o:spid="_x0000_s1026" o:spt="32" type="#_x0000_t32" style="position:absolute;left:7411;top:2592772;height:0;width:906;" filled="f" stroked="t" coordsize="21600,21600" o:gfxdata="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uG74A&#10;AADcAAAADwAAAAAAAAABACAAAAAiAAAAZHJzL2Rvd25yZXYueG1sUEsBAhQAFAAAAAgAh07iQDMv&#10;BZ47AAAAOQAAABAAAAAAAAAAAQAgAAAADQEAAGRycy9zaGFwZXhtbC54bWxQSwUGAAAAAAYABgBb&#10;AQAAtwMAAAAA&#10;">
                  <v:fill on="f" focussize="0,0"/>
                  <v:stroke weight="1pt" color="#000000 [3213]" miterlimit="8" joinstyle="miter" dashstyle="dash" endarrow="open"/>
                  <v:imagedata o:title=""/>
                  <o:lock v:ext="edit" aspectratio="f"/>
                </v:shape>
                <v:shape id="_x0000_s1026" o:spid="_x0000_s1026" o:spt="202" type="#_x0000_t202" style="position:absolute;left:3300;top:2591050;height:470;width:1139;" filled="f" stroked="f" coordsize="21600,21600" o:gfxdata="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vTw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AD9D8C4">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720</w:t>
                        </w:r>
                      </w:p>
                    </w:txbxContent>
                  </v:textbox>
                </v:shape>
                <v:shape id="_x0000_s1026" o:spid="_x0000_s1026" o:spt="202" type="#_x0000_t202" style="position:absolute;left:3300;top:2592254;height:470;width:1139;" filled="f" stroked="f" coordsize="21600,21600" o:gfxdata="UEsDBAoAAAAAAIdO4kAAAAAAAAAAAAAAAAAEAAAAZHJzL1BLAwQUAAAACACHTuJAgsd2WbwAAADc&#10;AAAADwAAAGRycy9kb3ducmV2LnhtbEVPS4vCMBC+C/6HMAt701RF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dl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D5E0304">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4.39</w:t>
                        </w:r>
                      </w:p>
                    </w:txbxContent>
                  </v:textbox>
                </v:shape>
                <v:shape id="_x0000_s1026" o:spid="_x0000_s1026" o:spt="37" type="#_x0000_t37" style="position:absolute;left:4769;top:2590926;height:430;width:194;rotation:-5898240f;" filled="f" stroked="t" coordsize="21600,21600" o:gfxdata="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pt1O/&#10;AAAA3A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_x0000_s1026" o:spid="_x0000_s1026" o:spt="37" type="#_x0000_t37" style="position:absolute;left:4769;top:2592192;height:430;width:194;rotation:-5898240f;" filled="f" stroked="t" coordsize="21600,21600" o:gfxdata="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3jL+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_x0000_s1026" o:spid="_x0000_s1026" o:spt="202" type="#_x0000_t202" style="position:absolute;left:5384;top:2591102;height:470;width:1139;" filled="f" stroked="f" coordsize="21600,21600" o:gfxdata="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bXb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B04535E">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576</w:t>
                        </w:r>
                      </w:p>
                    </w:txbxContent>
                  </v:textbox>
                </v:shape>
                <v:shape id="_x0000_s1026" o:spid="_x0000_s1026" o:spt="202" type="#_x0000_t202" style="position:absolute;left:5045;top:2590703;height:470;width:1733;" filled="f" stroked="f" coordsize="21600,21600" o:gfxdata="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GQ7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AA9040F">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消耗144</w:t>
                        </w:r>
                      </w:p>
                    </w:txbxContent>
                  </v:textbox>
                </v:shape>
                <v:shape id="_x0000_s1026" o:spid="_x0000_s1026" o:spt="202" type="#_x0000_t202" style="position:absolute;left:8348;top:2590793;height:1531;width:2538;" filled="f" stroked="f" coordsize="21600,21600" o:gfxdata="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wz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E627FCB">
                        <w:pPr>
                          <w:rPr>
                            <w:rFonts w:hint="default"/>
                            <w:w w:val="99"/>
                            <w:sz w:val="21"/>
                            <w:szCs w:val="21"/>
                            <w:lang w:val="en-US" w:eastAsia="zh-CN"/>
                          </w:rPr>
                        </w:pPr>
                        <w:r>
                          <w:rPr>
                            <w:rFonts w:hint="eastAsia" w:ascii="Times New Roman" w:hAnsi="Times New Roman" w:eastAsia="宋体" w:cs="Times New Roman"/>
                            <w:color w:val="auto"/>
                            <w:w w:val="99"/>
                            <w:sz w:val="21"/>
                            <w:szCs w:val="21"/>
                            <w:highlight w:val="none"/>
                            <w:lang w:val="en-US" w:eastAsia="zh-CN" w:bidi="ar-SA"/>
                          </w:rPr>
                          <w:t>由大庆石油管理局有限公司庆南工矿服务公司红岗分公司拉运至大庆红岗区西巷污水回收站，管输至南区污水处理厂</w:t>
                        </w:r>
                      </w:p>
                    </w:txbxContent>
                  </v:textbox>
                </v:shape>
                <v:shape id="_x0000_s1026" o:spid="_x0000_s1026" o:spt="202" type="#_x0000_t202" style="position:absolute;left:7467;top:2591201;height:470;width:1139;" filled="f" stroked="f" coordsize="21600,21600"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1A13B47">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576</w:t>
                        </w:r>
                      </w:p>
                    </w:txbxContent>
                  </v:textbox>
                </v:shape>
                <v:shape id="_x0000_s1026" o:spid="_x0000_s1026" o:spt="202" type="#_x0000_t202" style="position:absolute;left:5337;top:2592337;height:470;width:1139;" filled="f" stroked="f" coordsize="21600,21600" o:gfxdata="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HNT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14C8B7A">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4.17</w:t>
                        </w:r>
                      </w:p>
                    </w:txbxContent>
                  </v:textbox>
                </v:shape>
                <v:shape id="_x0000_s1026" o:spid="_x0000_s1026" o:spt="202" type="#_x0000_t202" style="position:absolute;left:2224;top:2591576;height:470;width:1139;" filled="f" stroked="f" coordsize="21600,21600" o:gfxdata="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IGf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CD34BF0">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724.39</w:t>
                        </w:r>
                      </w:p>
                    </w:txbxContent>
                  </v:textbox>
                </v:shape>
                <v:shape id="_x0000_s1026" o:spid="_x0000_s1026" o:spt="202" type="#_x0000_t202" style="position:absolute;left:5077;top:2592030;height:470;width:1530;" filled="f" stroked="f" coordsize="21600,21600" o:gfxdata="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uQ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FF547E6">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消耗0.22</w:t>
                        </w:r>
                      </w:p>
                    </w:txbxContent>
                  </v:textbox>
                </v:shape>
                <v:shape id="_x0000_s1026" o:spid="_x0000_s1026" o:spt="202" type="#_x0000_t202" style="position:absolute;left:8383;top:2592257;height:1097;width:1890;" filled="f" stroked="f" coordsize="21600,21600" o:gfxdata="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OnS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4F9E687">
                        <w:pPr>
                          <w:rPr>
                            <w:rFonts w:hint="default"/>
                            <w:w w:val="99"/>
                            <w:sz w:val="21"/>
                            <w:szCs w:val="21"/>
                            <w:lang w:val="en-US" w:eastAsia="zh-CN"/>
                          </w:rPr>
                        </w:pPr>
                        <w:r>
                          <w:rPr>
                            <w:rFonts w:hint="default"/>
                            <w:w w:val="99"/>
                            <w:sz w:val="21"/>
                            <w:szCs w:val="21"/>
                            <w:lang w:val="en-US" w:eastAsia="zh-CN"/>
                          </w:rPr>
                          <w:t>由罐车拉运升一联气田污水预处理站处理</w:t>
                        </w:r>
                      </w:p>
                    </w:txbxContent>
                  </v:textbox>
                </v:shape>
                <v:shape id="_x0000_s1026" o:spid="_x0000_s1026" o:spt="202" type="#_x0000_t202" style="position:absolute;left:2186;top:2592199;height:470;width:1139;" filled="f" stroked="f" coordsize="21600,21600" o:gfxdata="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ueC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5112FAB">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新鲜水</w:t>
                        </w:r>
                      </w:p>
                    </w:txbxContent>
                  </v:textbox>
                </v:shape>
                <w10:wrap type="none"/>
                <w10:anchorlock/>
              </v:group>
            </w:pict>
          </mc:Fallback>
        </mc:AlternateContent>
      </w:r>
    </w:p>
    <w:p w14:paraId="54A50646">
      <w:pPr>
        <w:spacing w:line="500" w:lineRule="exact"/>
        <w:jc w:val="center"/>
        <w:rPr>
          <w:rFonts w:hint="eastAsia" w:ascii="Times New Roman" w:hAnsi="Times New Roman" w:eastAsia="宋体" w:cs="Times New Roman"/>
          <w:b/>
          <w:bCs/>
          <w:color w:val="auto"/>
          <w:w w:val="99"/>
          <w:szCs w:val="20"/>
          <w:highlight w:val="none"/>
          <w:lang w:eastAsia="zh-CN"/>
        </w:rPr>
      </w:pPr>
      <w:r>
        <w:rPr>
          <w:rFonts w:ascii="Times New Roman" w:hAnsi="Times New Roman" w:cs="Times New Roman"/>
          <w:b/>
          <w:bCs/>
          <w:color w:val="auto"/>
          <w:w w:val="99"/>
          <w:szCs w:val="20"/>
          <w:highlight w:val="none"/>
        </w:rPr>
        <w:t>图3.</w:t>
      </w:r>
      <w:r>
        <w:rPr>
          <w:rFonts w:hint="eastAsia" w:ascii="Times New Roman" w:hAnsi="Times New Roman" w:cs="Times New Roman"/>
          <w:b/>
          <w:bCs/>
          <w:color w:val="auto"/>
          <w:w w:val="99"/>
          <w:szCs w:val="20"/>
          <w:highlight w:val="none"/>
          <w:lang w:val="en-US" w:eastAsia="zh-CN"/>
        </w:rPr>
        <w:t>5</w:t>
      </w:r>
      <w:r>
        <w:rPr>
          <w:rFonts w:ascii="Times New Roman" w:hAnsi="Times New Roman" w:cs="Times New Roman"/>
          <w:b/>
          <w:bCs/>
          <w:color w:val="auto"/>
          <w:w w:val="99"/>
          <w:szCs w:val="20"/>
          <w:highlight w:val="none"/>
        </w:rPr>
        <w:t>-</w:t>
      </w:r>
      <w:r>
        <w:rPr>
          <w:rFonts w:hint="eastAsia" w:ascii="Times New Roman" w:hAnsi="Times New Roman" w:cs="Times New Roman"/>
          <w:b/>
          <w:bCs/>
          <w:color w:val="auto"/>
          <w:w w:val="99"/>
          <w:szCs w:val="20"/>
          <w:highlight w:val="none"/>
          <w:lang w:val="en-US" w:eastAsia="zh-CN"/>
        </w:rPr>
        <w:t>5</w:t>
      </w:r>
      <w:r>
        <w:rPr>
          <w:rFonts w:ascii="Times New Roman" w:hAnsi="Times New Roman" w:cs="Times New Roman"/>
          <w:b/>
          <w:bCs/>
          <w:color w:val="auto"/>
          <w:w w:val="99"/>
          <w:szCs w:val="20"/>
          <w:highlight w:val="none"/>
        </w:rPr>
        <w:t xml:space="preserve">    施工期水平衡图</w:t>
      </w:r>
      <w:r>
        <w:rPr>
          <w:rFonts w:hint="eastAsia" w:ascii="Times New Roman" w:hAnsi="Times New Roman" w:cs="Times New Roman"/>
          <w:b/>
          <w:bCs/>
          <w:color w:val="auto"/>
          <w:w w:val="99"/>
          <w:szCs w:val="20"/>
          <w:highlight w:val="none"/>
          <w:lang w:eastAsia="zh-CN"/>
        </w:rPr>
        <w:t>（</w:t>
      </w:r>
      <w:r>
        <w:rPr>
          <w:rFonts w:hint="eastAsia" w:ascii="Times New Roman" w:hAnsi="Times New Roman" w:cs="Times New Roman"/>
          <w:b/>
          <w:bCs/>
          <w:color w:val="auto"/>
          <w:w w:val="99"/>
          <w:szCs w:val="20"/>
          <w:highlight w:val="none"/>
          <w:lang w:val="en-US" w:eastAsia="zh-CN"/>
        </w:rPr>
        <w:t>单位：m</w:t>
      </w:r>
      <w:r>
        <w:rPr>
          <w:rFonts w:hint="eastAsia" w:ascii="Times New Roman" w:hAnsi="Times New Roman" w:cs="Times New Roman"/>
          <w:b/>
          <w:bCs/>
          <w:color w:val="auto"/>
          <w:w w:val="99"/>
          <w:szCs w:val="20"/>
          <w:highlight w:val="none"/>
          <w:vertAlign w:val="superscript"/>
          <w:lang w:val="en-US" w:eastAsia="zh-CN"/>
        </w:rPr>
        <w:t>3</w:t>
      </w:r>
      <w:r>
        <w:rPr>
          <w:rFonts w:hint="eastAsia" w:ascii="Times New Roman" w:hAnsi="Times New Roman" w:cs="Times New Roman"/>
          <w:b/>
          <w:bCs/>
          <w:color w:val="auto"/>
          <w:w w:val="99"/>
          <w:szCs w:val="20"/>
          <w:highlight w:val="none"/>
          <w:lang w:eastAsia="zh-CN"/>
        </w:rPr>
        <w:t>）</w:t>
      </w:r>
    </w:p>
    <w:p w14:paraId="59EE851E">
      <w:pPr>
        <w:jc w:val="center"/>
        <w:rPr>
          <w:rFonts w:ascii="Times New Roman" w:hAnsi="Times New Roman" w:cs="Times New Roman"/>
          <w:b/>
          <w:color w:val="auto"/>
          <w:w w:val="99"/>
          <w:szCs w:val="20"/>
          <w:highlight w:val="none"/>
        </w:rPr>
      </w:pPr>
      <w:r>
        <w:rPr>
          <w:color w:val="auto"/>
          <w:sz w:val="24"/>
          <w:highlight w:val="none"/>
        </w:rPr>
        <mc:AlternateContent>
          <mc:Choice Requires="wpg">
            <w:drawing>
              <wp:anchor distT="0" distB="0" distL="114300" distR="114300" simplePos="0" relativeHeight="251669504" behindDoc="0" locked="0" layoutInCell="1" allowOverlap="1">
                <wp:simplePos x="0" y="0"/>
                <wp:positionH relativeFrom="column">
                  <wp:posOffset>464820</wp:posOffset>
                </wp:positionH>
                <wp:positionV relativeFrom="paragraph">
                  <wp:posOffset>25400</wp:posOffset>
                </wp:positionV>
                <wp:extent cx="4768850" cy="595630"/>
                <wp:effectExtent l="4445" t="0" r="0" b="0"/>
                <wp:wrapNone/>
                <wp:docPr id="211" name="组合 211"/>
                <wp:cNvGraphicFramePr/>
                <a:graphic xmlns:a="http://schemas.openxmlformats.org/drawingml/2006/main">
                  <a:graphicData uri="http://schemas.microsoft.com/office/word/2010/wordprocessingGroup">
                    <wpg:wgp>
                      <wpg:cNvGrpSpPr/>
                      <wpg:grpSpPr>
                        <a:xfrm>
                          <a:off x="0" y="0"/>
                          <a:ext cx="4768850" cy="595630"/>
                          <a:chOff x="2374" y="2596150"/>
                          <a:chExt cx="7510" cy="938"/>
                        </a:xfrm>
                      </wpg:grpSpPr>
                      <wps:wsp>
                        <wps:cNvPr id="204" name="文本框 204"/>
                        <wps:cNvSpPr txBox="1"/>
                        <wps:spPr>
                          <a:xfrm>
                            <a:off x="2374" y="2596358"/>
                            <a:ext cx="826" cy="4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B7EBF6">
                              <w:pPr>
                                <w:rPr>
                                  <w:rFonts w:hint="default"/>
                                  <w:w w:val="99"/>
                                  <w:sz w:val="21"/>
                                  <w:szCs w:val="21"/>
                                  <w:lang w:val="en-US" w:eastAsia="zh-CN"/>
                                </w:rPr>
                              </w:pPr>
                              <w:r>
                                <w:rPr>
                                  <w:rFonts w:hint="eastAsia"/>
                                  <w:w w:val="99"/>
                                  <w:sz w:val="21"/>
                                  <w:szCs w:val="21"/>
                                  <w:lang w:val="en-US" w:eastAsia="zh-CN"/>
                                </w:rPr>
                                <w:t>气井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 name="文本框 205"/>
                        <wps:cNvSpPr txBox="1"/>
                        <wps:spPr>
                          <a:xfrm>
                            <a:off x="4114" y="2596410"/>
                            <a:ext cx="1529" cy="4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D23A03">
                              <w:pPr>
                                <w:rPr>
                                  <w:rFonts w:hint="default"/>
                                  <w:w w:val="99"/>
                                  <w:sz w:val="21"/>
                                  <w:szCs w:val="21"/>
                                  <w:lang w:val="en-US" w:eastAsia="zh-CN"/>
                                </w:rPr>
                              </w:pPr>
                              <w:r>
                                <w:rPr>
                                  <w:rFonts w:hint="eastAsia"/>
                                  <w:w w:val="99"/>
                                  <w:sz w:val="21"/>
                                  <w:szCs w:val="21"/>
                                  <w:lang w:val="en-US" w:eastAsia="zh-CN"/>
                                </w:rPr>
                                <w:t>气田采出水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直接箭头连接符 208"/>
                        <wps:cNvCnPr/>
                        <wps:spPr>
                          <a:xfrm>
                            <a:off x="3204" y="2596596"/>
                            <a:ext cx="906" cy="0"/>
                          </a:xfrm>
                          <a:prstGeom prst="straightConnector1">
                            <a:avLst/>
                          </a:prstGeom>
                          <a:ln w="6350">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210" name="文本框 210"/>
                        <wps:cNvSpPr txBox="1"/>
                        <wps:spPr>
                          <a:xfrm>
                            <a:off x="5781" y="2596221"/>
                            <a:ext cx="1031"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42236">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 name="文本框 206"/>
                        <wps:cNvSpPr txBox="1"/>
                        <wps:spPr>
                          <a:xfrm>
                            <a:off x="6714" y="2596150"/>
                            <a:ext cx="3170" cy="9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114F44">
                              <w:pPr>
                                <w:rPr>
                                  <w:rFonts w:hint="eastAsia"/>
                                  <w:w w:val="99"/>
                                  <w:sz w:val="21"/>
                                  <w:szCs w:val="21"/>
                                  <w:lang w:val="en-US" w:eastAsia="zh-CN"/>
                                </w:rPr>
                              </w:pPr>
                              <w:r>
                                <w:rPr>
                                  <w:rFonts w:hint="eastAsia"/>
                                  <w:w w:val="99"/>
                                  <w:sz w:val="21"/>
                                  <w:szCs w:val="21"/>
                                  <w:lang w:val="en-US" w:eastAsia="zh-CN"/>
                                </w:rPr>
                                <w:t>暂存于集气站污水罐，定期管输至升一联气田污水预处理站，处理达标后回注地下</w:t>
                              </w:r>
                            </w:p>
                            <w:p w14:paraId="2DE3132C">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7" name="直接箭头连接符 207"/>
                        <wps:cNvCnPr/>
                        <wps:spPr>
                          <a:xfrm>
                            <a:off x="5714" y="2596668"/>
                            <a:ext cx="906" cy="0"/>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209" name="文本框 209"/>
                        <wps:cNvSpPr txBox="1"/>
                        <wps:spPr>
                          <a:xfrm>
                            <a:off x="3307" y="2596184"/>
                            <a:ext cx="1031"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D6905">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6pt;margin-top:2pt;height:46.9pt;width:375.5pt;z-index:251669504;mso-width-relative:page;mso-height-relative:page;" coordorigin="2374,2596150" coordsize="7510,938" o:gfxdata="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PtEXc/XAAAABwEA&#10;AA8AAAAAAAAAAQAgAAAAIgAAAGRycy9kb3ducmV2LnhtbFBLAQIUABQAAAAIAIdO4kB6LhT5VQQA&#10;AEAUAAAOAAAAAAAAAAEAIAAAACYBAABkcnMvZTJvRG9jLnhtbFBLBQYAAAAABgAGAFkBAADtBwAA&#10;AAA=&#10;">
                <o:lock v:ext="edit" aspectratio="f"/>
                <v:shape id="_x0000_s1026" o:spid="_x0000_s1026" o:spt="202" type="#_x0000_t202" style="position:absolute;left:2374;top:2596358;height:470;width:826;" filled="f" stroked="t" coordsize="21600,21600" o:gfxdata="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tRxi/&#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14:paraId="19B7EBF6">
                        <w:pPr>
                          <w:rPr>
                            <w:rFonts w:hint="default"/>
                            <w:w w:val="99"/>
                            <w:sz w:val="21"/>
                            <w:szCs w:val="21"/>
                            <w:lang w:val="en-US" w:eastAsia="zh-CN"/>
                          </w:rPr>
                        </w:pPr>
                        <w:r>
                          <w:rPr>
                            <w:rFonts w:hint="eastAsia"/>
                            <w:w w:val="99"/>
                            <w:sz w:val="21"/>
                            <w:szCs w:val="21"/>
                            <w:lang w:val="en-US" w:eastAsia="zh-CN"/>
                          </w:rPr>
                          <w:t>气井</w:t>
                        </w:r>
                      </w:p>
                    </w:txbxContent>
                  </v:textbox>
                </v:shape>
                <v:shape id="_x0000_s1026" o:spid="_x0000_s1026" o:spt="202" type="#_x0000_t202" style="position:absolute;left:4114;top:2596410;height:470;width:1529;" filled="f" stroked="t" coordsize="21600,21600" o:gfxdata="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h4oO/&#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14:paraId="74D23A03">
                        <w:pPr>
                          <w:rPr>
                            <w:rFonts w:hint="default"/>
                            <w:w w:val="99"/>
                            <w:sz w:val="21"/>
                            <w:szCs w:val="21"/>
                            <w:lang w:val="en-US" w:eastAsia="zh-CN"/>
                          </w:rPr>
                        </w:pPr>
                        <w:r>
                          <w:rPr>
                            <w:rFonts w:hint="eastAsia"/>
                            <w:w w:val="99"/>
                            <w:sz w:val="21"/>
                            <w:szCs w:val="21"/>
                            <w:lang w:val="en-US" w:eastAsia="zh-CN"/>
                          </w:rPr>
                          <w:t>气田采出水</w:t>
                        </w:r>
                      </w:p>
                    </w:txbxContent>
                  </v:textbox>
                </v:shape>
                <v:shape id="_x0000_s1026" o:spid="_x0000_s1026" o:spt="32" type="#_x0000_t32" style="position:absolute;left:3204;top:2596596;height:0;width:906;" filled="f" stroked="t" coordsize="21600,21600" o:gfxdata="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YT5b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202" type="#_x0000_t202" style="position:absolute;left:5781;top:2596221;height:470;width:1031;" filled="f" stroked="f" coordsize="21600,21600" o:gfxdata="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2+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1D42236">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3</w:t>
                        </w:r>
                      </w:p>
                    </w:txbxContent>
                  </v:textbox>
                </v:shape>
                <v:shape id="_x0000_s1026" o:spid="_x0000_s1026" o:spt="202" type="#_x0000_t202" style="position:absolute;left:6714;top:2596150;height:938;width:3170;" filled="f" stroked="f" coordsize="21600,21600" o:gfxdata="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KUR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1114F44">
                        <w:pPr>
                          <w:rPr>
                            <w:rFonts w:hint="eastAsia"/>
                            <w:w w:val="99"/>
                            <w:sz w:val="21"/>
                            <w:szCs w:val="21"/>
                            <w:lang w:val="en-US" w:eastAsia="zh-CN"/>
                          </w:rPr>
                        </w:pPr>
                        <w:r>
                          <w:rPr>
                            <w:rFonts w:hint="eastAsia"/>
                            <w:w w:val="99"/>
                            <w:sz w:val="21"/>
                            <w:szCs w:val="21"/>
                            <w:lang w:val="en-US" w:eastAsia="zh-CN"/>
                          </w:rPr>
                          <w:t>暂存于集气站污水罐，定期管输至升一联气田污水预处理站，处理达标后回注地下</w:t>
                        </w:r>
                      </w:p>
                      <w:p w14:paraId="2DE3132C">
                        <w:pPr>
                          <w:rPr>
                            <w:rFonts w:hint="default"/>
                            <w:lang w:val="en-US" w:eastAsia="zh-CN"/>
                          </w:rPr>
                        </w:pPr>
                      </w:p>
                    </w:txbxContent>
                  </v:textbox>
                </v:shape>
                <v:shape id="_x0000_s1026" o:spid="_x0000_s1026" o:spt="32" type="#_x0000_t32" style="position:absolute;left:5714;top:2596668;height:0;width:906;" filled="f" stroked="t" coordsize="21600,21600" o:gfxdata="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70CL4A&#10;AADcAAAADwAAAAAAAAABACAAAAAiAAAAZHJzL2Rvd25yZXYueG1sUEsBAhQAFAAAAAgAh07iQDMv&#10;BZ47AAAAOQAAABAAAAAAAAAAAQAgAAAADQEAAGRycy9zaGFwZXhtbC54bWxQSwUGAAAAAAYABgBb&#10;AQAAtwMAAAAA&#10;">
                  <v:fill on="f" focussize="0,0"/>
                  <v:stroke weight="1pt" color="#000000 [3213]" miterlimit="8" joinstyle="miter" dashstyle="dash" endarrow="open"/>
                  <v:imagedata o:title=""/>
                  <o:lock v:ext="edit" aspectratio="f"/>
                </v:shape>
                <v:shape id="_x0000_s1026" o:spid="_x0000_s1026" o:spt="202" type="#_x0000_t202" style="position:absolute;left:3307;top:2596184;height:470;width:1031;" filled="f" stroked="f" coordsize="21600,21600" o:gfxdata="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1cV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8ED6905">
                        <w:pP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3</w:t>
                        </w:r>
                      </w:p>
                    </w:txbxContent>
                  </v:textbox>
                </v:shape>
              </v:group>
            </w:pict>
          </mc:Fallback>
        </mc:AlternateContent>
      </w:r>
    </w:p>
    <w:p w14:paraId="30EDB923">
      <w:pPr>
        <w:jc w:val="center"/>
        <w:rPr>
          <w:rFonts w:ascii="Times New Roman" w:hAnsi="Times New Roman" w:cs="Times New Roman"/>
          <w:b/>
          <w:color w:val="auto"/>
          <w:w w:val="99"/>
          <w:szCs w:val="20"/>
          <w:highlight w:val="none"/>
        </w:rPr>
      </w:pPr>
    </w:p>
    <w:p w14:paraId="2800B994">
      <w:pPr>
        <w:jc w:val="center"/>
        <w:rPr>
          <w:rFonts w:ascii="Times New Roman" w:hAnsi="Times New Roman" w:cs="Times New Roman"/>
          <w:b/>
          <w:color w:val="auto"/>
          <w:w w:val="99"/>
          <w:szCs w:val="20"/>
          <w:highlight w:val="none"/>
        </w:rPr>
      </w:pPr>
    </w:p>
    <w:p w14:paraId="4FADF3D7">
      <w:pPr>
        <w:jc w:val="center"/>
        <w:rPr>
          <w:rFonts w:ascii="Times New Roman" w:hAnsi="Times New Roman" w:cs="Times New Roman"/>
          <w:b/>
          <w:color w:val="auto"/>
          <w:w w:val="99"/>
          <w:szCs w:val="20"/>
          <w:highlight w:val="none"/>
        </w:rPr>
      </w:pPr>
    </w:p>
    <w:p w14:paraId="2E75BA00">
      <w:pPr>
        <w:jc w:val="center"/>
        <w:rPr>
          <w:rFonts w:ascii="Times New Roman" w:hAnsi="Times New Roman" w:cs="Times New Roman"/>
          <w:b/>
          <w:bCs/>
          <w:color w:val="auto"/>
          <w:w w:val="99"/>
          <w:szCs w:val="20"/>
          <w:highlight w:val="none"/>
        </w:rPr>
      </w:pPr>
      <w:r>
        <w:rPr>
          <w:rFonts w:ascii="Times New Roman" w:hAnsi="Times New Roman" w:cs="Times New Roman"/>
          <w:b/>
          <w:bCs/>
          <w:color w:val="auto"/>
          <w:w w:val="99"/>
          <w:szCs w:val="20"/>
          <w:highlight w:val="none"/>
        </w:rPr>
        <w:t>图3.</w:t>
      </w:r>
      <w:r>
        <w:rPr>
          <w:rFonts w:hint="eastAsia" w:ascii="Times New Roman" w:hAnsi="Times New Roman" w:cs="Times New Roman"/>
          <w:b/>
          <w:bCs/>
          <w:color w:val="auto"/>
          <w:w w:val="99"/>
          <w:szCs w:val="20"/>
          <w:highlight w:val="none"/>
          <w:lang w:val="en-US" w:eastAsia="zh-CN"/>
        </w:rPr>
        <w:t>5</w:t>
      </w:r>
      <w:r>
        <w:rPr>
          <w:rFonts w:ascii="Times New Roman" w:hAnsi="Times New Roman" w:cs="Times New Roman"/>
          <w:b/>
          <w:bCs/>
          <w:color w:val="auto"/>
          <w:w w:val="99"/>
          <w:szCs w:val="20"/>
          <w:highlight w:val="none"/>
        </w:rPr>
        <w:t>-</w:t>
      </w:r>
      <w:r>
        <w:rPr>
          <w:rFonts w:hint="eastAsia" w:ascii="Times New Roman" w:hAnsi="Times New Roman" w:cs="Times New Roman"/>
          <w:b/>
          <w:bCs/>
          <w:color w:val="auto"/>
          <w:w w:val="99"/>
          <w:szCs w:val="20"/>
          <w:highlight w:val="none"/>
          <w:lang w:val="en-US" w:eastAsia="zh-CN"/>
        </w:rPr>
        <w:t>6</w:t>
      </w:r>
      <w:r>
        <w:rPr>
          <w:rFonts w:ascii="Times New Roman" w:hAnsi="Times New Roman" w:cs="Times New Roman"/>
          <w:b/>
          <w:bCs/>
          <w:color w:val="auto"/>
          <w:w w:val="99"/>
          <w:szCs w:val="20"/>
          <w:highlight w:val="none"/>
        </w:rPr>
        <w:t xml:space="preserve">  运营期水平衡图</w:t>
      </w:r>
      <w:r>
        <w:rPr>
          <w:rFonts w:hint="eastAsia" w:ascii="Times New Roman" w:hAnsi="Times New Roman" w:cs="Times New Roman"/>
          <w:b/>
          <w:bCs/>
          <w:color w:val="auto"/>
          <w:w w:val="99"/>
          <w:szCs w:val="20"/>
          <w:highlight w:val="none"/>
          <w:lang w:eastAsia="zh-CN"/>
        </w:rPr>
        <w:t>（</w:t>
      </w:r>
      <w:r>
        <w:rPr>
          <w:rFonts w:hint="eastAsia" w:ascii="Times New Roman" w:hAnsi="Times New Roman" w:cs="Times New Roman"/>
          <w:b/>
          <w:bCs/>
          <w:color w:val="auto"/>
          <w:w w:val="99"/>
          <w:szCs w:val="20"/>
          <w:highlight w:val="none"/>
          <w:lang w:val="en-US" w:eastAsia="zh-CN"/>
        </w:rPr>
        <w:t>单位：m</w:t>
      </w:r>
      <w:r>
        <w:rPr>
          <w:rFonts w:hint="eastAsia" w:ascii="Times New Roman" w:hAnsi="Times New Roman" w:cs="Times New Roman"/>
          <w:b/>
          <w:bCs/>
          <w:color w:val="auto"/>
          <w:w w:val="99"/>
          <w:szCs w:val="20"/>
          <w:highlight w:val="none"/>
          <w:vertAlign w:val="superscript"/>
          <w:lang w:val="en-US" w:eastAsia="zh-CN"/>
        </w:rPr>
        <w:t>3</w:t>
      </w:r>
      <w:r>
        <w:rPr>
          <w:rFonts w:hint="eastAsia" w:ascii="Times New Roman" w:hAnsi="Times New Roman" w:cs="Times New Roman"/>
          <w:b/>
          <w:bCs/>
          <w:color w:val="auto"/>
          <w:w w:val="99"/>
          <w:szCs w:val="20"/>
          <w:highlight w:val="none"/>
          <w:vertAlign w:val="baseline"/>
          <w:lang w:val="en-US" w:eastAsia="zh-CN"/>
        </w:rPr>
        <w:t>/d</w:t>
      </w:r>
      <w:r>
        <w:rPr>
          <w:rFonts w:hint="eastAsia" w:ascii="Times New Roman" w:hAnsi="Times New Roman" w:cs="Times New Roman"/>
          <w:b/>
          <w:bCs/>
          <w:color w:val="auto"/>
          <w:w w:val="99"/>
          <w:szCs w:val="20"/>
          <w:highlight w:val="none"/>
          <w:lang w:eastAsia="zh-CN"/>
        </w:rPr>
        <w:t>）</w:t>
      </w:r>
    </w:p>
    <w:p w14:paraId="756D4D44">
      <w:pPr>
        <w:spacing w:line="440" w:lineRule="exact"/>
        <w:outlineLvl w:val="3"/>
        <w:rPr>
          <w:rFonts w:ascii="Times New Roman" w:hAnsi="Times New Roman" w:cs="Times New Roman"/>
          <w:b/>
          <w:color w:val="auto"/>
          <w:w w:val="99"/>
          <w:szCs w:val="20"/>
          <w:highlight w:val="none"/>
        </w:rPr>
      </w:pPr>
      <w:r>
        <w:rPr>
          <w:rFonts w:hint="eastAsia" w:ascii="Times New Roman" w:hAnsi="Times New Roman" w:cs="Times New Roman"/>
          <w:b/>
          <w:color w:val="auto"/>
          <w:w w:val="99"/>
          <w:szCs w:val="20"/>
          <w:highlight w:val="none"/>
          <w:lang w:eastAsia="zh-CN"/>
        </w:rPr>
        <w:t>3.</w:t>
      </w:r>
      <w:r>
        <w:rPr>
          <w:rFonts w:hint="eastAsia" w:ascii="Times New Roman" w:hAnsi="Times New Roman" w:cs="Times New Roman"/>
          <w:b/>
          <w:color w:val="auto"/>
          <w:w w:val="99"/>
          <w:szCs w:val="20"/>
          <w:highlight w:val="none"/>
          <w:lang w:val="en-US" w:eastAsia="zh-CN"/>
        </w:rPr>
        <w:t>5</w:t>
      </w:r>
      <w:r>
        <w:rPr>
          <w:rFonts w:hint="eastAsia" w:ascii="Times New Roman" w:hAnsi="Times New Roman" w:cs="Times New Roman"/>
          <w:b/>
          <w:color w:val="auto"/>
          <w:w w:val="99"/>
          <w:szCs w:val="20"/>
          <w:highlight w:val="none"/>
          <w:lang w:eastAsia="zh-CN"/>
        </w:rPr>
        <w:t>.5</w:t>
      </w:r>
      <w:r>
        <w:rPr>
          <w:rFonts w:ascii="Times New Roman" w:hAnsi="Times New Roman" w:cs="Times New Roman"/>
          <w:b/>
          <w:color w:val="auto"/>
          <w:w w:val="99"/>
          <w:szCs w:val="20"/>
          <w:highlight w:val="none"/>
        </w:rPr>
        <w:t>.</w:t>
      </w:r>
      <w:bookmarkEnd w:id="441"/>
      <w:bookmarkEnd w:id="442"/>
      <w:bookmarkEnd w:id="443"/>
      <w:bookmarkEnd w:id="444"/>
      <w:bookmarkEnd w:id="445"/>
      <w:bookmarkEnd w:id="446"/>
      <w:bookmarkEnd w:id="447"/>
      <w:r>
        <w:rPr>
          <w:rFonts w:ascii="Times New Roman" w:hAnsi="Times New Roman" w:cs="Times New Roman"/>
          <w:b/>
          <w:color w:val="auto"/>
          <w:w w:val="99"/>
          <w:szCs w:val="20"/>
          <w:highlight w:val="none"/>
        </w:rPr>
        <w:t>2供电系统</w:t>
      </w:r>
    </w:p>
    <w:p w14:paraId="7D3A1D8A">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bookmarkStart w:id="448" w:name="_Toc13059820"/>
      <w:bookmarkStart w:id="449" w:name="_Toc5710035"/>
      <w:r>
        <w:rPr>
          <w:rFonts w:ascii="Times New Roman" w:hAnsi="Times New Roman" w:cs="Times New Roman" w:eastAsiaTheme="minorEastAsia"/>
          <w:color w:val="auto"/>
          <w:w w:val="99"/>
          <w:kern w:val="2"/>
          <w:highlight w:val="none"/>
        </w:rPr>
        <w:t>（1）施工期</w:t>
      </w:r>
    </w:p>
    <w:p w14:paraId="398C3071">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本项目施工期用电由柴油发电机供给。</w:t>
      </w:r>
    </w:p>
    <w:p w14:paraId="522B3BE3">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（2）运营期</w:t>
      </w:r>
    </w:p>
    <w:p w14:paraId="4C034379">
      <w:pPr>
        <w:spacing w:line="440" w:lineRule="exact"/>
        <w:ind w:firstLine="474" w:firstLineChars="200"/>
        <w:jc w:val="both"/>
        <w:rPr>
          <w:rFonts w:hint="eastAsia" w:ascii="Times New Roman" w:hAnsi="Times New Roman" w:cs="Times New Roman"/>
          <w:bCs/>
          <w:color w:val="auto"/>
          <w:w w:val="99"/>
          <w:highlight w:val="yellow"/>
          <w:lang w:val="en-US" w:eastAsia="zh-CN"/>
        </w:rPr>
      </w:pPr>
      <w:r>
        <w:rPr>
          <w:rFonts w:hint="eastAsia" w:ascii="Times New Roman" w:hAnsi="Times New Roman" w:eastAsia="宋体" w:cs="Times New Roman"/>
          <w:bCs/>
          <w:color w:val="auto"/>
          <w:w w:val="99"/>
          <w:highlight w:val="none"/>
          <w:lang w:val="en-US" w:eastAsia="zh-CN"/>
        </w:rPr>
        <w:t>运营期项目用电</w:t>
      </w:r>
      <w:r>
        <w:rPr>
          <w:rFonts w:hint="eastAsia" w:ascii="Times New Roman" w:hAnsi="Times New Roman" w:cs="Times New Roman"/>
          <w:bCs/>
          <w:color w:val="auto"/>
          <w:w w:val="99"/>
          <w:highlight w:val="none"/>
          <w:lang w:val="en-US" w:eastAsia="zh-CN"/>
        </w:rPr>
        <w:t>依托</w:t>
      </w:r>
      <w:r>
        <w:rPr>
          <w:rFonts w:hint="eastAsia" w:ascii="Times New Roman" w:hAnsi="Times New Roman" w:eastAsia="宋体" w:cs="Times New Roman"/>
          <w:bCs/>
          <w:color w:val="auto"/>
          <w:w w:val="99"/>
          <w:highlight w:val="none"/>
          <w:lang w:val="en-US" w:eastAsia="zh-CN"/>
        </w:rPr>
        <w:t>区域已建变电站供电</w:t>
      </w:r>
      <w:r>
        <w:rPr>
          <w:rFonts w:hint="eastAsia" w:ascii="Times New Roman" w:hAnsi="Times New Roman" w:cs="Times New Roman"/>
          <w:bCs/>
          <w:color w:val="auto"/>
          <w:w w:val="99"/>
          <w:highlight w:val="none"/>
          <w:lang w:val="en-US" w:eastAsia="zh-CN"/>
        </w:rPr>
        <w:t>，</w:t>
      </w:r>
      <w:r>
        <w:rPr>
          <w:rFonts w:hint="eastAsia" w:ascii="Times New Roman" w:hAnsi="Times New Roman" w:eastAsia="宋体" w:cs="Times New Roman"/>
          <w:bCs/>
          <w:color w:val="auto"/>
          <w:w w:val="99"/>
          <w:highlight w:val="none"/>
          <w:lang w:val="en-US" w:eastAsia="zh-CN"/>
        </w:rPr>
        <w:t>新增总负荷</w:t>
      </w:r>
      <w:r>
        <w:rPr>
          <w:rFonts w:hint="eastAsia" w:ascii="Times New Roman" w:hAnsi="Times New Roman" w:cs="Times New Roman"/>
          <w:bCs/>
          <w:color w:val="auto"/>
          <w:w w:val="99"/>
          <w:highlight w:val="none"/>
          <w:lang w:val="en-US" w:eastAsia="zh-CN"/>
        </w:rPr>
        <w:t>100.65</w:t>
      </w:r>
      <w:r>
        <w:rPr>
          <w:rFonts w:hint="eastAsia" w:ascii="Times New Roman" w:hAnsi="Times New Roman" w:eastAsia="宋体" w:cs="Times New Roman"/>
          <w:bCs/>
          <w:color w:val="auto"/>
          <w:w w:val="99"/>
          <w:highlight w:val="none"/>
          <w:lang w:val="en-US" w:eastAsia="zh-CN"/>
        </w:rPr>
        <w:t>kW</w:t>
      </w:r>
      <w:r>
        <w:rPr>
          <w:rFonts w:hint="eastAsia" w:ascii="Times New Roman" w:hAnsi="Times New Roman" w:cs="Times New Roman"/>
          <w:bCs/>
          <w:color w:val="auto"/>
          <w:w w:val="99"/>
          <w:highlight w:val="none"/>
          <w:lang w:val="en-US" w:eastAsia="zh-CN"/>
        </w:rPr>
        <w:t>。</w:t>
      </w:r>
    </w:p>
    <w:p w14:paraId="19CD69B8">
      <w:pPr>
        <w:spacing w:line="440" w:lineRule="exact"/>
        <w:ind w:firstLine="474" w:firstLineChars="200"/>
        <w:jc w:val="both"/>
        <w:rPr>
          <w:rFonts w:hint="eastAsia" w:ascii="Times New Roman" w:hAnsi="Times New Roman" w:cs="Times New Roman"/>
          <w:bCs/>
          <w:color w:val="auto"/>
          <w:w w:val="99"/>
          <w:highlight w:val="none"/>
          <w:lang w:val="en-US" w:eastAsia="zh-CN"/>
        </w:rPr>
      </w:pPr>
      <w:r>
        <w:rPr>
          <w:rFonts w:hint="eastAsia" w:ascii="Times New Roman" w:hAnsi="Times New Roman" w:cs="Times New Roman"/>
          <w:bCs/>
          <w:color w:val="auto"/>
          <w:w w:val="99"/>
          <w:highlight w:val="none"/>
          <w:lang w:val="en-US" w:eastAsia="zh-CN"/>
        </w:rPr>
        <w:t xml:space="preserve">徐深27集气站现有变压器1台，容量为800kVA，本次新增用电负荷10kW，为三级负荷，变压器剩余能力满足新增负荷要求，新建低压电力电缆0.2km，敷设至用电设备。 </w:t>
      </w:r>
    </w:p>
    <w:p w14:paraId="2E770F8A">
      <w:pPr>
        <w:spacing w:line="440" w:lineRule="exact"/>
        <w:ind w:firstLine="474" w:firstLineChars="200"/>
        <w:jc w:val="both"/>
        <w:rPr>
          <w:rFonts w:hint="eastAsia" w:ascii="Times New Roman" w:hAnsi="Times New Roman" w:eastAsia="宋体" w:cs="Times New Roman"/>
          <w:bCs/>
          <w:color w:val="auto"/>
          <w:w w:val="99"/>
          <w:highlight w:val="none"/>
          <w:lang w:val="en-US" w:eastAsia="zh-CN"/>
        </w:rPr>
      </w:pPr>
      <w:r>
        <w:rPr>
          <w:rFonts w:hint="eastAsia" w:ascii="Times New Roman" w:hAnsi="Times New Roman" w:eastAsia="宋体" w:cs="Times New Roman"/>
          <w:bCs/>
          <w:color w:val="auto"/>
          <w:w w:val="99"/>
          <w:highlight w:val="none"/>
          <w:lang w:val="en-US" w:eastAsia="zh-CN"/>
        </w:rPr>
        <w:t>采气井口用电（管道伴热负荷</w:t>
      </w:r>
      <w:r>
        <w:rPr>
          <w:rFonts w:hint="eastAsia" w:ascii="Times New Roman" w:hAnsi="Times New Roman" w:cs="Times New Roman"/>
          <w:bCs/>
          <w:color w:val="auto"/>
          <w:w w:val="99"/>
          <w:highlight w:val="none"/>
          <w:lang w:val="en-US" w:eastAsia="zh-CN"/>
        </w:rPr>
        <w:t>、自控通信负荷以及采气树、放空管线电热带负荷</w:t>
      </w:r>
      <w:r>
        <w:rPr>
          <w:rFonts w:hint="eastAsia" w:ascii="Times New Roman" w:hAnsi="Times New Roman" w:eastAsia="宋体" w:cs="Times New Roman"/>
          <w:bCs/>
          <w:color w:val="auto"/>
          <w:w w:val="99"/>
          <w:highlight w:val="none"/>
          <w:lang w:val="en-US" w:eastAsia="zh-CN"/>
        </w:rPr>
        <w:t>）负荷为</w:t>
      </w:r>
      <w:r>
        <w:rPr>
          <w:rFonts w:hint="eastAsia" w:ascii="Times New Roman" w:hAnsi="Times New Roman" w:cs="Times New Roman"/>
          <w:bCs/>
          <w:color w:val="auto"/>
          <w:w w:val="99"/>
          <w:highlight w:val="none"/>
          <w:lang w:val="en-US" w:eastAsia="zh-CN"/>
        </w:rPr>
        <w:t>90.65</w:t>
      </w:r>
      <w:r>
        <w:rPr>
          <w:rFonts w:hint="eastAsia" w:ascii="Times New Roman" w:hAnsi="Times New Roman" w:eastAsia="宋体" w:cs="Times New Roman"/>
          <w:bCs/>
          <w:color w:val="auto"/>
          <w:w w:val="99"/>
          <w:highlight w:val="none"/>
          <w:lang w:val="en-US" w:eastAsia="zh-CN"/>
        </w:rPr>
        <w:t>kW。本次气井井场新建柱上变</w:t>
      </w:r>
      <w:r>
        <w:rPr>
          <w:rFonts w:hint="eastAsia" w:ascii="Times New Roman" w:hAnsi="Times New Roman" w:cs="Times New Roman"/>
          <w:bCs/>
          <w:color w:val="auto"/>
          <w:w w:val="99"/>
          <w:highlight w:val="none"/>
          <w:lang w:val="en-US" w:eastAsia="zh-CN"/>
        </w:rPr>
        <w:t>1</w:t>
      </w:r>
      <w:r>
        <w:rPr>
          <w:rFonts w:hint="eastAsia" w:ascii="Times New Roman" w:hAnsi="Times New Roman" w:eastAsia="宋体" w:cs="Times New Roman"/>
          <w:bCs/>
          <w:color w:val="auto"/>
          <w:w w:val="99"/>
          <w:highlight w:val="none"/>
          <w:lang w:val="en-US" w:eastAsia="zh-CN"/>
        </w:rPr>
        <w:t>座，新建柱上变电站电源由附近已建的10kV线路引接，新建10kV线路</w:t>
      </w:r>
      <w:r>
        <w:rPr>
          <w:rFonts w:hint="eastAsia" w:ascii="Times New Roman" w:hAnsi="Times New Roman" w:cs="Times New Roman"/>
          <w:bCs/>
          <w:color w:val="auto"/>
          <w:w w:val="99"/>
          <w:highlight w:val="none"/>
          <w:lang w:val="en-US" w:eastAsia="zh-CN"/>
        </w:rPr>
        <w:t>0.8</w:t>
      </w:r>
      <w:r>
        <w:rPr>
          <w:rFonts w:hint="eastAsia" w:ascii="Times New Roman" w:hAnsi="Times New Roman" w:eastAsia="宋体" w:cs="Times New Roman"/>
          <w:bCs/>
          <w:color w:val="auto"/>
          <w:w w:val="99"/>
          <w:highlight w:val="none"/>
          <w:lang w:val="en-US" w:eastAsia="zh-CN"/>
        </w:rPr>
        <w:t>km，导线采用LGJ-50型。</w:t>
      </w:r>
    </w:p>
    <w:p w14:paraId="7C46FEC6">
      <w:pPr>
        <w:spacing w:line="440" w:lineRule="exact"/>
        <w:ind w:firstLine="476" w:firstLineChars="200"/>
        <w:jc w:val="both"/>
        <w:rPr>
          <w:rFonts w:hint="default" w:ascii="Times New Roman" w:hAnsi="Times New Roman" w:eastAsia="宋体" w:cs="Times New Roman"/>
          <w:b/>
          <w:bCs w:val="0"/>
          <w:color w:val="auto"/>
          <w:w w:val="99"/>
          <w:highlight w:val="none"/>
          <w:lang w:val="en-US" w:eastAsia="zh-CN"/>
        </w:rPr>
      </w:pPr>
      <w:r>
        <w:rPr>
          <w:rFonts w:hint="default" w:ascii="Times New Roman" w:hAnsi="Times New Roman" w:eastAsia="宋体" w:cs="Times New Roman"/>
          <w:b/>
          <w:bCs w:val="0"/>
          <w:color w:val="auto"/>
          <w:w w:val="99"/>
          <w:highlight w:val="none"/>
          <w:lang w:val="en-US" w:eastAsia="zh-CN"/>
        </w:rPr>
        <w:t>表</w:t>
      </w:r>
      <w:r>
        <w:rPr>
          <w:rFonts w:hint="eastAsia" w:ascii="Times New Roman" w:hAnsi="Times New Roman" w:cs="Times New Roman"/>
          <w:b/>
          <w:bCs w:val="0"/>
          <w:color w:val="auto"/>
          <w:w w:val="99"/>
          <w:highlight w:val="none"/>
          <w:lang w:val="en-US" w:eastAsia="zh-CN"/>
        </w:rPr>
        <w:t>3</w:t>
      </w:r>
      <w:r>
        <w:rPr>
          <w:rFonts w:hint="default" w:ascii="Times New Roman" w:hAnsi="Times New Roman" w:eastAsia="宋体" w:cs="Times New Roman"/>
          <w:b/>
          <w:bCs w:val="0"/>
          <w:color w:val="auto"/>
          <w:w w:val="99"/>
          <w:highlight w:val="none"/>
          <w:lang w:val="en-US" w:eastAsia="zh-CN"/>
        </w:rPr>
        <w:t>.</w:t>
      </w:r>
      <w:r>
        <w:rPr>
          <w:rFonts w:hint="eastAsia" w:ascii="Times New Roman" w:hAnsi="Times New Roman" w:cs="Times New Roman"/>
          <w:b/>
          <w:bCs w:val="0"/>
          <w:color w:val="auto"/>
          <w:w w:val="99"/>
          <w:highlight w:val="none"/>
          <w:lang w:val="en-US" w:eastAsia="zh-CN"/>
        </w:rPr>
        <w:t>5</w:t>
      </w:r>
      <w:r>
        <w:rPr>
          <w:rFonts w:hint="default" w:ascii="Times New Roman" w:hAnsi="Times New Roman" w:eastAsia="宋体" w:cs="Times New Roman"/>
          <w:b/>
          <w:bCs w:val="0"/>
          <w:color w:val="auto"/>
          <w:w w:val="99"/>
          <w:highlight w:val="none"/>
          <w:lang w:val="en-US" w:eastAsia="zh-CN"/>
        </w:rPr>
        <w:t>-</w:t>
      </w:r>
      <w:r>
        <w:rPr>
          <w:rFonts w:hint="eastAsia" w:ascii="Times New Roman" w:hAnsi="Times New Roman" w:cs="Times New Roman"/>
          <w:b/>
          <w:bCs w:val="0"/>
          <w:color w:val="auto"/>
          <w:w w:val="99"/>
          <w:highlight w:val="none"/>
          <w:lang w:val="en-US" w:eastAsia="zh-CN"/>
        </w:rPr>
        <w:t>7</w:t>
      </w:r>
      <w:r>
        <w:rPr>
          <w:rFonts w:hint="default" w:ascii="Times New Roman" w:hAnsi="Times New Roman" w:eastAsia="宋体" w:cs="Times New Roman"/>
          <w:b/>
          <w:bCs w:val="0"/>
          <w:color w:val="auto"/>
          <w:w w:val="99"/>
          <w:highlight w:val="none"/>
          <w:lang w:val="en-US" w:eastAsia="zh-CN"/>
        </w:rPr>
        <w:t xml:space="preserve">  供电工程主要工程量汇总表</w:t>
      </w:r>
    </w:p>
    <w:tbl>
      <w:tblPr>
        <w:tblStyle w:val="8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30" w:type="dxa"/>
          <w:bottom w:w="0" w:type="dxa"/>
          <w:right w:w="30" w:type="dxa"/>
        </w:tblCellMar>
      </w:tblPr>
      <w:tblGrid>
        <w:gridCol w:w="1372"/>
        <w:gridCol w:w="3420"/>
        <w:gridCol w:w="2372"/>
        <w:gridCol w:w="1961"/>
      </w:tblGrid>
      <w:tr w14:paraId="09410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40" w:hRule="atLeast"/>
          <w:tblHeader/>
          <w:jc w:val="center"/>
        </w:trPr>
        <w:tc>
          <w:tcPr>
            <w:tcW w:w="752" w:type="pct"/>
            <w:tcBorders>
              <w:top w:val="single" w:color="000000" w:sz="4" w:space="0"/>
              <w:left w:val="single" w:color="000000" w:sz="4" w:space="0"/>
            </w:tcBorders>
            <w:vAlign w:val="center"/>
          </w:tcPr>
          <w:p w14:paraId="5FEBDD37">
            <w:pPr>
              <w:pStyle w:val="173"/>
              <w:tabs>
                <w:tab w:val="left" w:pos="3480"/>
              </w:tabs>
              <w:spacing w:line="240" w:lineRule="exact"/>
              <w:ind w:left="0" w:leftChars="0"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序号</w:t>
            </w:r>
          </w:p>
        </w:tc>
        <w:tc>
          <w:tcPr>
            <w:tcW w:w="1873" w:type="pct"/>
            <w:tcBorders>
              <w:top w:val="single" w:color="000000" w:sz="4" w:space="0"/>
            </w:tcBorders>
            <w:vAlign w:val="center"/>
          </w:tcPr>
          <w:p w14:paraId="065F39AC">
            <w:pPr>
              <w:pStyle w:val="173"/>
              <w:tabs>
                <w:tab w:val="left" w:pos="3480"/>
              </w:tabs>
              <w:spacing w:line="240" w:lineRule="exact"/>
              <w:ind w:left="0" w:leftChars="0"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名 称</w:t>
            </w:r>
          </w:p>
        </w:tc>
        <w:tc>
          <w:tcPr>
            <w:tcW w:w="1299" w:type="pct"/>
            <w:tcBorders>
              <w:top w:val="single" w:color="000000" w:sz="4" w:space="0"/>
            </w:tcBorders>
            <w:vAlign w:val="center"/>
          </w:tcPr>
          <w:p w14:paraId="1A884211">
            <w:pPr>
              <w:pStyle w:val="173"/>
              <w:tabs>
                <w:tab w:val="left" w:pos="3480"/>
              </w:tabs>
              <w:spacing w:line="240" w:lineRule="exact"/>
              <w:ind w:left="0" w:leftChars="0"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单位</w:t>
            </w:r>
          </w:p>
        </w:tc>
        <w:tc>
          <w:tcPr>
            <w:tcW w:w="1074" w:type="pct"/>
            <w:tcBorders>
              <w:top w:val="single" w:color="000000" w:sz="4" w:space="0"/>
              <w:right w:val="single" w:color="000000" w:sz="4" w:space="0"/>
            </w:tcBorders>
            <w:vAlign w:val="center"/>
          </w:tcPr>
          <w:p w14:paraId="05DF4816">
            <w:pPr>
              <w:pStyle w:val="173"/>
              <w:tabs>
                <w:tab w:val="left" w:pos="3480"/>
              </w:tabs>
              <w:spacing w:line="240" w:lineRule="exact"/>
              <w:ind w:left="0" w:leftChars="0" w:firstLine="0" w:firstLineChars="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数量</w:t>
            </w:r>
          </w:p>
        </w:tc>
      </w:tr>
      <w:tr w14:paraId="0D9C0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52" w:type="pct"/>
            <w:tcBorders>
              <w:left w:val="single" w:color="000000" w:sz="4" w:space="0"/>
            </w:tcBorders>
            <w:vAlign w:val="center"/>
          </w:tcPr>
          <w:p w14:paraId="6B1F6806">
            <w:pPr>
              <w:pStyle w:val="173"/>
              <w:tabs>
                <w:tab w:val="left" w:pos="3480"/>
              </w:tabs>
              <w:spacing w:line="240" w:lineRule="exact"/>
              <w:ind w:left="0" w:leftChars="0"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1</w:t>
            </w:r>
          </w:p>
        </w:tc>
        <w:tc>
          <w:tcPr>
            <w:tcW w:w="1873" w:type="pct"/>
            <w:vAlign w:val="center"/>
          </w:tcPr>
          <w:p w14:paraId="5F66C06F">
            <w:pPr>
              <w:spacing w:line="320" w:lineRule="exact"/>
              <w:ind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井场柱上变电站</w:t>
            </w:r>
          </w:p>
        </w:tc>
        <w:tc>
          <w:tcPr>
            <w:tcW w:w="1299" w:type="pct"/>
            <w:vAlign w:val="center"/>
          </w:tcPr>
          <w:p w14:paraId="20C676D7">
            <w:pPr>
              <w:spacing w:line="320" w:lineRule="exact"/>
              <w:ind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座</w:t>
            </w:r>
          </w:p>
        </w:tc>
        <w:tc>
          <w:tcPr>
            <w:tcW w:w="1074" w:type="pct"/>
            <w:tcBorders>
              <w:right w:val="single" w:color="000000" w:sz="4" w:space="0"/>
            </w:tcBorders>
            <w:vAlign w:val="center"/>
          </w:tcPr>
          <w:p w14:paraId="7E92EC37">
            <w:pPr>
              <w:spacing w:line="320" w:lineRule="exact"/>
              <w:ind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1</w:t>
            </w:r>
          </w:p>
        </w:tc>
      </w:tr>
      <w:tr w14:paraId="6A0F8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52" w:type="pct"/>
            <w:tcBorders>
              <w:left w:val="single" w:color="000000" w:sz="4" w:space="0"/>
            </w:tcBorders>
            <w:vAlign w:val="center"/>
          </w:tcPr>
          <w:p w14:paraId="03174BF9">
            <w:pPr>
              <w:pStyle w:val="173"/>
              <w:tabs>
                <w:tab w:val="left" w:pos="3480"/>
              </w:tabs>
              <w:spacing w:line="240" w:lineRule="exact"/>
              <w:ind w:left="0" w:leftChars="0"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2</w:t>
            </w:r>
          </w:p>
        </w:tc>
        <w:tc>
          <w:tcPr>
            <w:tcW w:w="1873" w:type="pct"/>
            <w:shd w:val="clear" w:color="auto" w:fill="auto"/>
            <w:vAlign w:val="center"/>
          </w:tcPr>
          <w:p w14:paraId="261623E9">
            <w:pPr>
              <w:spacing w:line="320" w:lineRule="exact"/>
              <w:ind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10kV线路(导线:3×LGJ-50)</w:t>
            </w:r>
          </w:p>
        </w:tc>
        <w:tc>
          <w:tcPr>
            <w:tcW w:w="1299" w:type="pct"/>
            <w:shd w:val="clear" w:color="auto" w:fill="auto"/>
            <w:vAlign w:val="center"/>
          </w:tcPr>
          <w:p w14:paraId="72AFBCDF">
            <w:pPr>
              <w:spacing w:line="320" w:lineRule="exact"/>
              <w:ind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km</w:t>
            </w:r>
          </w:p>
        </w:tc>
        <w:tc>
          <w:tcPr>
            <w:tcW w:w="1074" w:type="pct"/>
            <w:tcBorders>
              <w:right w:val="single" w:color="000000" w:sz="4" w:space="0"/>
            </w:tcBorders>
            <w:shd w:val="clear" w:color="auto" w:fill="auto"/>
            <w:vAlign w:val="center"/>
          </w:tcPr>
          <w:p w14:paraId="55C4F986">
            <w:pPr>
              <w:spacing w:line="320" w:lineRule="exact"/>
              <w:ind w:firstLine="0" w:firstLineChars="0"/>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0.8</w:t>
            </w:r>
          </w:p>
        </w:tc>
      </w:tr>
      <w:tr w14:paraId="3E670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40" w:hRule="atLeast"/>
          <w:jc w:val="center"/>
        </w:trPr>
        <w:tc>
          <w:tcPr>
            <w:tcW w:w="752" w:type="pct"/>
            <w:tcBorders>
              <w:left w:val="single" w:color="000000" w:sz="4" w:space="0"/>
            </w:tcBorders>
            <w:vAlign w:val="center"/>
          </w:tcPr>
          <w:p w14:paraId="6BB201A0">
            <w:pPr>
              <w:pStyle w:val="173"/>
              <w:tabs>
                <w:tab w:val="left" w:pos="3480"/>
              </w:tabs>
              <w:spacing w:line="240" w:lineRule="exact"/>
              <w:ind w:left="0" w:leftChars="0"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3</w:t>
            </w:r>
          </w:p>
        </w:tc>
        <w:tc>
          <w:tcPr>
            <w:tcW w:w="1873" w:type="pct"/>
            <w:shd w:val="clear" w:color="auto" w:fill="auto"/>
            <w:vAlign w:val="center"/>
          </w:tcPr>
          <w:p w14:paraId="4FF1F6B7">
            <w:pPr>
              <w:spacing w:line="320" w:lineRule="exact"/>
              <w:ind w:firstLine="0" w:firstLineChars="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集气站改造：低压电力电缆</w:t>
            </w:r>
          </w:p>
        </w:tc>
        <w:tc>
          <w:tcPr>
            <w:tcW w:w="1299" w:type="pct"/>
            <w:shd w:val="clear" w:color="auto" w:fill="auto"/>
            <w:vAlign w:val="center"/>
          </w:tcPr>
          <w:p w14:paraId="1C06BA50">
            <w:pPr>
              <w:spacing w:line="320" w:lineRule="exact"/>
              <w:ind w:firstLine="0" w:firstLineChars="0"/>
              <w:jc w:val="center"/>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km</w:t>
            </w:r>
          </w:p>
        </w:tc>
        <w:tc>
          <w:tcPr>
            <w:tcW w:w="1074" w:type="pct"/>
            <w:tcBorders>
              <w:right w:val="single" w:color="000000" w:sz="4" w:space="0"/>
            </w:tcBorders>
            <w:shd w:val="clear" w:color="auto" w:fill="auto"/>
            <w:vAlign w:val="center"/>
          </w:tcPr>
          <w:p w14:paraId="5F9DBDF3">
            <w:pPr>
              <w:spacing w:line="320" w:lineRule="exact"/>
              <w:ind w:firstLine="0" w:firstLineChars="0"/>
              <w:jc w:val="center"/>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0.</w:t>
            </w:r>
            <w:r>
              <w:rPr>
                <w:rFonts w:hint="eastAsia" w:ascii="Times New Roman" w:hAnsi="Times New Roman" w:eastAsia="宋体" w:cs="Times New Roman"/>
                <w:color w:val="auto"/>
                <w:w w:val="99"/>
                <w:kern w:val="2"/>
                <w:sz w:val="21"/>
                <w:szCs w:val="21"/>
                <w:highlight w:val="none"/>
                <w:lang w:val="en-US" w:eastAsia="zh-CN" w:bidi="ar-SA"/>
              </w:rPr>
              <w:t>2</w:t>
            </w:r>
          </w:p>
        </w:tc>
      </w:tr>
      <w:bookmarkEnd w:id="448"/>
      <w:bookmarkEnd w:id="449"/>
    </w:tbl>
    <w:p w14:paraId="0CD303CE">
      <w:pPr>
        <w:spacing w:line="440" w:lineRule="exact"/>
        <w:outlineLvl w:val="3"/>
        <w:rPr>
          <w:rFonts w:ascii="Times New Roman" w:hAnsi="Times New Roman" w:cs="Times New Roman"/>
          <w:b/>
          <w:color w:val="auto"/>
          <w:w w:val="99"/>
          <w:szCs w:val="20"/>
          <w:highlight w:val="none"/>
        </w:rPr>
      </w:pPr>
      <w:r>
        <w:rPr>
          <w:rFonts w:hint="eastAsia" w:ascii="Times New Roman" w:hAnsi="Times New Roman" w:cs="Times New Roman"/>
          <w:b/>
          <w:color w:val="auto"/>
          <w:w w:val="99"/>
          <w:szCs w:val="20"/>
          <w:highlight w:val="none"/>
          <w:lang w:eastAsia="zh-CN"/>
        </w:rPr>
        <w:t>3.</w:t>
      </w:r>
      <w:r>
        <w:rPr>
          <w:rFonts w:hint="eastAsia" w:ascii="Times New Roman" w:hAnsi="Times New Roman" w:cs="Times New Roman"/>
          <w:b/>
          <w:color w:val="auto"/>
          <w:w w:val="99"/>
          <w:szCs w:val="20"/>
          <w:highlight w:val="none"/>
          <w:lang w:val="en-US" w:eastAsia="zh-CN"/>
        </w:rPr>
        <w:t>5</w:t>
      </w:r>
      <w:r>
        <w:rPr>
          <w:rFonts w:hint="eastAsia" w:ascii="Times New Roman" w:hAnsi="Times New Roman" w:cs="Times New Roman"/>
          <w:b/>
          <w:color w:val="auto"/>
          <w:w w:val="99"/>
          <w:szCs w:val="20"/>
          <w:highlight w:val="none"/>
          <w:lang w:eastAsia="zh-CN"/>
        </w:rPr>
        <w:t>.5</w:t>
      </w:r>
      <w:r>
        <w:rPr>
          <w:rFonts w:ascii="Times New Roman" w:hAnsi="Times New Roman" w:cs="Times New Roman"/>
          <w:b/>
          <w:color w:val="auto"/>
          <w:w w:val="99"/>
          <w:szCs w:val="20"/>
          <w:highlight w:val="none"/>
        </w:rPr>
        <w:t>.</w:t>
      </w:r>
      <w:r>
        <w:rPr>
          <w:rFonts w:hint="eastAsia" w:ascii="Times New Roman" w:hAnsi="Times New Roman" w:cs="Times New Roman"/>
          <w:b/>
          <w:color w:val="auto"/>
          <w:w w:val="99"/>
          <w:szCs w:val="20"/>
          <w:highlight w:val="none"/>
          <w:lang w:val="en-US" w:eastAsia="zh-CN"/>
        </w:rPr>
        <w:t>3</w:t>
      </w:r>
      <w:r>
        <w:rPr>
          <w:rFonts w:ascii="Times New Roman" w:hAnsi="Times New Roman" w:cs="Times New Roman"/>
          <w:b/>
          <w:color w:val="auto"/>
          <w:w w:val="99"/>
          <w:szCs w:val="20"/>
          <w:highlight w:val="none"/>
        </w:rPr>
        <w:t>自控工程</w:t>
      </w:r>
    </w:p>
    <w:p w14:paraId="3689C783">
      <w:pPr>
        <w:widowControl w:val="0"/>
        <w:spacing w:line="440" w:lineRule="exact"/>
        <w:ind w:firstLine="474" w:firstLineChars="200"/>
        <w:rPr>
          <w:rFonts w:hint="default" w:ascii="Times New Roman" w:hAnsi="Times New Roman" w:cs="Times New Roman"/>
          <w:color w:val="auto"/>
          <w:w w:val="99"/>
          <w:kern w:val="21"/>
          <w:highlight w:val="none"/>
          <w:lang w:val="en-US" w:eastAsia="zh-CN"/>
        </w:rPr>
      </w:pPr>
      <w:r>
        <w:rPr>
          <w:rFonts w:hint="default" w:ascii="Times New Roman" w:hAnsi="Times New Roman" w:cs="Times New Roman"/>
          <w:color w:val="auto"/>
          <w:w w:val="99"/>
          <w:kern w:val="21"/>
          <w:highlight w:val="none"/>
          <w:lang w:val="en-US" w:eastAsia="zh-CN"/>
        </w:rPr>
        <w:t>本工程新建</w:t>
      </w:r>
      <w:r>
        <w:rPr>
          <w:rFonts w:hint="eastAsia" w:ascii="Times New Roman" w:hAnsi="Times New Roman" w:cs="Times New Roman"/>
          <w:color w:val="auto"/>
          <w:w w:val="99"/>
          <w:kern w:val="21"/>
          <w:highlight w:val="none"/>
          <w:lang w:val="en-US" w:eastAsia="zh-CN"/>
        </w:rPr>
        <w:t>徐深27-H1</w:t>
      </w:r>
      <w:r>
        <w:rPr>
          <w:rFonts w:hint="default" w:ascii="Times New Roman" w:hAnsi="Times New Roman" w:cs="Times New Roman"/>
          <w:color w:val="auto"/>
          <w:w w:val="99"/>
          <w:kern w:val="21"/>
          <w:highlight w:val="none"/>
          <w:lang w:val="en-US" w:eastAsia="zh-CN"/>
        </w:rPr>
        <w:t>气井接入徐深</w:t>
      </w:r>
      <w:r>
        <w:rPr>
          <w:rFonts w:hint="eastAsia" w:ascii="Times New Roman" w:hAnsi="Times New Roman" w:cs="Times New Roman"/>
          <w:color w:val="auto"/>
          <w:w w:val="99"/>
          <w:kern w:val="21"/>
          <w:highlight w:val="none"/>
          <w:lang w:val="en-US" w:eastAsia="zh-CN"/>
        </w:rPr>
        <w:t>27</w:t>
      </w:r>
      <w:r>
        <w:rPr>
          <w:rFonts w:hint="default" w:ascii="Times New Roman" w:hAnsi="Times New Roman" w:cs="Times New Roman"/>
          <w:color w:val="auto"/>
          <w:w w:val="99"/>
          <w:kern w:val="21"/>
          <w:highlight w:val="none"/>
          <w:lang w:val="en-US" w:eastAsia="zh-CN"/>
        </w:rPr>
        <w:t>集气站，井口按无人值守数字化模式进行建设。对徐深</w:t>
      </w:r>
      <w:r>
        <w:rPr>
          <w:rFonts w:hint="eastAsia" w:ascii="Times New Roman" w:hAnsi="Times New Roman" w:cs="Times New Roman"/>
          <w:color w:val="auto"/>
          <w:w w:val="99"/>
          <w:kern w:val="21"/>
          <w:highlight w:val="none"/>
          <w:lang w:val="en-US" w:eastAsia="zh-CN"/>
        </w:rPr>
        <w:t>27</w:t>
      </w:r>
      <w:r>
        <w:rPr>
          <w:rFonts w:hint="default" w:ascii="Times New Roman" w:hAnsi="Times New Roman" w:cs="Times New Roman"/>
          <w:color w:val="auto"/>
          <w:w w:val="99"/>
          <w:kern w:val="21"/>
          <w:highlight w:val="none"/>
          <w:lang w:val="en-US" w:eastAsia="zh-CN"/>
        </w:rPr>
        <w:t>集气站进行改造，补充相应检测参数，并对已建站控系统进行扩容调整，将改造后数据上传生产调度中心/生产维护中心，由生产管理中心/生产调度中心直接对井口、集气站进行远程集中监控。</w:t>
      </w:r>
    </w:p>
    <w:p w14:paraId="248AC5AB">
      <w:pPr>
        <w:widowControl w:val="0"/>
        <w:spacing w:line="440" w:lineRule="exact"/>
        <w:ind w:firstLine="474" w:firstLineChars="200"/>
        <w:rPr>
          <w:rFonts w:hint="eastAsia" w:ascii="Times New Roman" w:hAnsi="Times New Roman" w:eastAsia="宋体" w:cs="Times New Roman"/>
          <w:color w:val="auto"/>
          <w:w w:val="99"/>
          <w:kern w:val="21"/>
          <w:highlight w:val="none"/>
          <w:lang w:val="en-US" w:eastAsia="zh-CN"/>
        </w:rPr>
      </w:pPr>
      <w:r>
        <w:rPr>
          <w:rFonts w:hint="eastAsia" w:ascii="Times New Roman" w:hAnsi="Times New Roman" w:eastAsia="宋体" w:cs="Times New Roman"/>
          <w:color w:val="auto"/>
          <w:w w:val="99"/>
          <w:kern w:val="21"/>
          <w:highlight w:val="none"/>
          <w:lang w:val="en-US" w:eastAsia="zh-CN"/>
        </w:rPr>
        <w:t>自控专业主要工程量见表</w:t>
      </w:r>
      <w:r>
        <w:rPr>
          <w:rFonts w:hint="eastAsia" w:ascii="Times New Roman" w:hAnsi="Times New Roman" w:cs="Times New Roman"/>
          <w:color w:val="auto"/>
          <w:w w:val="99"/>
          <w:kern w:val="21"/>
          <w:highlight w:val="none"/>
          <w:lang w:val="en-US" w:eastAsia="zh-CN"/>
        </w:rPr>
        <w:t>3</w:t>
      </w:r>
      <w:r>
        <w:rPr>
          <w:rFonts w:hint="eastAsia" w:ascii="Times New Roman" w:hAnsi="Times New Roman" w:eastAsia="宋体" w:cs="Times New Roman"/>
          <w:color w:val="auto"/>
          <w:w w:val="99"/>
          <w:kern w:val="21"/>
          <w:highlight w:val="none"/>
          <w:lang w:val="en-US" w:eastAsia="zh-CN"/>
        </w:rPr>
        <w:t>.</w:t>
      </w:r>
      <w:r>
        <w:rPr>
          <w:rFonts w:hint="eastAsia" w:ascii="Times New Roman" w:hAnsi="Times New Roman" w:cs="Times New Roman"/>
          <w:color w:val="auto"/>
          <w:w w:val="99"/>
          <w:kern w:val="21"/>
          <w:highlight w:val="none"/>
          <w:lang w:val="en-US" w:eastAsia="zh-CN"/>
        </w:rPr>
        <w:t>5</w:t>
      </w:r>
      <w:r>
        <w:rPr>
          <w:rFonts w:hint="eastAsia" w:ascii="Times New Roman" w:hAnsi="Times New Roman" w:eastAsia="宋体" w:cs="Times New Roman"/>
          <w:color w:val="auto"/>
          <w:w w:val="99"/>
          <w:kern w:val="21"/>
          <w:highlight w:val="none"/>
          <w:lang w:val="en-US" w:eastAsia="zh-CN"/>
        </w:rPr>
        <w:t>-</w:t>
      </w:r>
      <w:r>
        <w:rPr>
          <w:rFonts w:hint="eastAsia" w:ascii="Times New Roman" w:hAnsi="Times New Roman" w:cs="Times New Roman"/>
          <w:color w:val="auto"/>
          <w:w w:val="99"/>
          <w:kern w:val="21"/>
          <w:highlight w:val="none"/>
          <w:lang w:val="en-US" w:eastAsia="zh-CN"/>
        </w:rPr>
        <w:t>8</w:t>
      </w:r>
      <w:r>
        <w:rPr>
          <w:rFonts w:hint="eastAsia" w:ascii="Times New Roman" w:hAnsi="Times New Roman" w:eastAsia="宋体" w:cs="Times New Roman"/>
          <w:color w:val="auto"/>
          <w:w w:val="99"/>
          <w:kern w:val="21"/>
          <w:highlight w:val="none"/>
          <w:lang w:val="en-US" w:eastAsia="zh-CN"/>
        </w:rPr>
        <w:t>。</w:t>
      </w:r>
    </w:p>
    <w:p w14:paraId="78AE0DDF">
      <w:pPr>
        <w:widowControl w:val="0"/>
        <w:spacing w:line="440" w:lineRule="exact"/>
        <w:ind w:firstLine="476" w:firstLineChars="200"/>
        <w:jc w:val="both"/>
        <w:rPr>
          <w:rFonts w:hint="default" w:ascii="Times New Roman" w:hAnsi="Times New Roman" w:eastAsia="黑体" w:cs="Times New Roman"/>
          <w:b/>
          <w:bCs/>
          <w:color w:val="auto"/>
          <w:sz w:val="24"/>
          <w:szCs w:val="22"/>
          <w:highlight w:val="none"/>
        </w:rPr>
      </w:pPr>
      <w:r>
        <w:rPr>
          <w:rFonts w:hint="default" w:ascii="Times New Roman" w:hAnsi="Times New Roman" w:eastAsia="宋体" w:cs="Times New Roman"/>
          <w:b/>
          <w:bCs/>
          <w:color w:val="auto"/>
          <w:w w:val="99"/>
          <w:kern w:val="21"/>
          <w:highlight w:val="none"/>
          <w:lang w:val="en-US" w:eastAsia="zh-CN"/>
        </w:rPr>
        <w:t>表</w:t>
      </w:r>
      <w:r>
        <w:rPr>
          <w:rFonts w:hint="eastAsia" w:ascii="Times New Roman" w:hAnsi="Times New Roman" w:cs="Times New Roman"/>
          <w:b/>
          <w:bCs/>
          <w:color w:val="auto"/>
          <w:w w:val="99"/>
          <w:kern w:val="21"/>
          <w:highlight w:val="none"/>
          <w:lang w:val="en-US" w:eastAsia="zh-CN"/>
        </w:rPr>
        <w:t>3</w:t>
      </w:r>
      <w:r>
        <w:rPr>
          <w:rFonts w:hint="eastAsia" w:ascii="Times New Roman" w:hAnsi="Times New Roman" w:eastAsia="宋体" w:cs="Times New Roman"/>
          <w:b/>
          <w:bCs/>
          <w:color w:val="auto"/>
          <w:w w:val="99"/>
          <w:kern w:val="21"/>
          <w:highlight w:val="none"/>
          <w:lang w:val="en-US" w:eastAsia="zh-CN"/>
        </w:rPr>
        <w:t>.</w:t>
      </w:r>
      <w:r>
        <w:rPr>
          <w:rFonts w:hint="eastAsia" w:ascii="Times New Roman" w:hAnsi="Times New Roman" w:cs="Times New Roman"/>
          <w:b/>
          <w:bCs/>
          <w:color w:val="auto"/>
          <w:w w:val="99"/>
          <w:kern w:val="21"/>
          <w:highlight w:val="none"/>
          <w:lang w:val="en-US" w:eastAsia="zh-CN"/>
        </w:rPr>
        <w:t>5</w:t>
      </w:r>
      <w:r>
        <w:rPr>
          <w:rFonts w:hint="eastAsia" w:ascii="Times New Roman" w:hAnsi="Times New Roman" w:eastAsia="宋体" w:cs="Times New Roman"/>
          <w:b/>
          <w:bCs/>
          <w:color w:val="auto"/>
          <w:w w:val="99"/>
          <w:kern w:val="21"/>
          <w:highlight w:val="none"/>
          <w:lang w:val="en-US" w:eastAsia="zh-CN"/>
        </w:rPr>
        <w:t>-</w:t>
      </w:r>
      <w:r>
        <w:rPr>
          <w:rFonts w:hint="eastAsia" w:ascii="Times New Roman" w:hAnsi="Times New Roman" w:cs="Times New Roman"/>
          <w:b/>
          <w:bCs/>
          <w:color w:val="auto"/>
          <w:w w:val="99"/>
          <w:kern w:val="21"/>
          <w:highlight w:val="none"/>
          <w:lang w:val="en-US" w:eastAsia="zh-CN"/>
        </w:rPr>
        <w:t>8</w:t>
      </w:r>
      <w:r>
        <w:rPr>
          <w:rFonts w:hint="default" w:ascii="Times New Roman" w:hAnsi="Times New Roman" w:eastAsia="宋体" w:cs="Times New Roman"/>
          <w:b/>
          <w:bCs/>
          <w:color w:val="auto"/>
          <w:w w:val="99"/>
          <w:kern w:val="21"/>
          <w:highlight w:val="none"/>
          <w:lang w:val="en-US" w:eastAsia="zh-CN"/>
        </w:rPr>
        <w:t xml:space="preserve">   自控部分主要工程量表</w:t>
      </w:r>
    </w:p>
    <w:tbl>
      <w:tblPr>
        <w:tblStyle w:val="80"/>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30" w:type="dxa"/>
          <w:bottom w:w="0" w:type="dxa"/>
          <w:right w:w="30" w:type="dxa"/>
        </w:tblCellMar>
      </w:tblPr>
      <w:tblGrid>
        <w:gridCol w:w="1116"/>
        <w:gridCol w:w="4236"/>
        <w:gridCol w:w="2100"/>
        <w:gridCol w:w="1673"/>
      </w:tblGrid>
      <w:tr w14:paraId="4AA9C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tblHeader/>
          <w:jc w:val="center"/>
        </w:trPr>
        <w:tc>
          <w:tcPr>
            <w:tcW w:w="611" w:type="pct"/>
            <w:tcBorders>
              <w:top w:val="single" w:color="000000" w:sz="4" w:space="0"/>
              <w:left w:val="single" w:color="000000" w:sz="4" w:space="0"/>
              <w:bottom w:val="single" w:color="auto" w:sz="6" w:space="0"/>
              <w:right w:val="single" w:color="auto" w:sz="6" w:space="0"/>
            </w:tcBorders>
            <w:vAlign w:val="center"/>
          </w:tcPr>
          <w:p w14:paraId="75A7713C">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序号</w:t>
            </w:r>
          </w:p>
        </w:tc>
        <w:tc>
          <w:tcPr>
            <w:tcW w:w="2320" w:type="pct"/>
            <w:tcBorders>
              <w:top w:val="single" w:color="000000" w:sz="4" w:space="0"/>
              <w:left w:val="single" w:color="auto" w:sz="6" w:space="0"/>
              <w:bottom w:val="single" w:color="auto" w:sz="6" w:space="0"/>
              <w:right w:val="single" w:color="auto" w:sz="6" w:space="0"/>
            </w:tcBorders>
            <w:vAlign w:val="center"/>
          </w:tcPr>
          <w:p w14:paraId="4AEF0636">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名 称</w:t>
            </w:r>
          </w:p>
        </w:tc>
        <w:tc>
          <w:tcPr>
            <w:tcW w:w="1150" w:type="pct"/>
            <w:tcBorders>
              <w:top w:val="single" w:color="000000" w:sz="4" w:space="0"/>
              <w:left w:val="single" w:color="auto" w:sz="6" w:space="0"/>
              <w:bottom w:val="single" w:color="auto" w:sz="6" w:space="0"/>
              <w:right w:val="single" w:color="auto" w:sz="6" w:space="0"/>
            </w:tcBorders>
            <w:vAlign w:val="center"/>
          </w:tcPr>
          <w:p w14:paraId="02598CCC">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单位</w:t>
            </w:r>
          </w:p>
        </w:tc>
        <w:tc>
          <w:tcPr>
            <w:tcW w:w="916" w:type="pct"/>
            <w:tcBorders>
              <w:top w:val="single" w:color="000000" w:sz="4" w:space="0"/>
              <w:left w:val="single" w:color="auto" w:sz="6" w:space="0"/>
              <w:bottom w:val="single" w:color="auto" w:sz="6" w:space="0"/>
              <w:right w:val="single" w:color="000000" w:sz="4" w:space="0"/>
            </w:tcBorders>
            <w:vAlign w:val="center"/>
          </w:tcPr>
          <w:p w14:paraId="0C64D2DB">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数量</w:t>
            </w:r>
          </w:p>
        </w:tc>
      </w:tr>
      <w:tr w14:paraId="73BA0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auto" w:sz="6" w:space="0"/>
              <w:right w:val="single" w:color="auto" w:sz="6" w:space="0"/>
            </w:tcBorders>
            <w:vAlign w:val="center"/>
          </w:tcPr>
          <w:p w14:paraId="5728CAAC">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一</w:t>
            </w:r>
          </w:p>
        </w:tc>
        <w:tc>
          <w:tcPr>
            <w:tcW w:w="2320" w:type="pct"/>
            <w:tcBorders>
              <w:top w:val="single" w:color="auto" w:sz="6" w:space="0"/>
              <w:left w:val="single" w:color="auto" w:sz="6" w:space="0"/>
              <w:bottom w:val="single" w:color="auto" w:sz="6" w:space="0"/>
              <w:right w:val="single" w:color="auto" w:sz="6" w:space="0"/>
            </w:tcBorders>
            <w:vAlign w:val="center"/>
          </w:tcPr>
          <w:p w14:paraId="395CF848">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井场</w:t>
            </w:r>
          </w:p>
        </w:tc>
        <w:tc>
          <w:tcPr>
            <w:tcW w:w="1150" w:type="pct"/>
            <w:tcBorders>
              <w:top w:val="single" w:color="auto" w:sz="6" w:space="0"/>
              <w:left w:val="single" w:color="auto" w:sz="6" w:space="0"/>
              <w:bottom w:val="single" w:color="auto" w:sz="6" w:space="0"/>
              <w:right w:val="single" w:color="auto" w:sz="6" w:space="0"/>
            </w:tcBorders>
            <w:vAlign w:val="center"/>
          </w:tcPr>
          <w:p w14:paraId="4AAB70F3">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座</w:t>
            </w:r>
          </w:p>
        </w:tc>
        <w:tc>
          <w:tcPr>
            <w:tcW w:w="916" w:type="pct"/>
            <w:tcBorders>
              <w:top w:val="single" w:color="auto" w:sz="6" w:space="0"/>
              <w:left w:val="single" w:color="auto" w:sz="6" w:space="0"/>
              <w:bottom w:val="single" w:color="auto" w:sz="6" w:space="0"/>
              <w:right w:val="single" w:color="000000" w:sz="4" w:space="0"/>
            </w:tcBorders>
            <w:vAlign w:val="center"/>
          </w:tcPr>
          <w:p w14:paraId="08602068">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1</w:t>
            </w:r>
          </w:p>
        </w:tc>
      </w:tr>
      <w:tr w14:paraId="28606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auto" w:sz="6" w:space="0"/>
              <w:right w:val="single" w:color="auto" w:sz="6" w:space="0"/>
            </w:tcBorders>
            <w:vAlign w:val="center"/>
          </w:tcPr>
          <w:p w14:paraId="034F5342">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c>
          <w:tcPr>
            <w:tcW w:w="4236" w:type="dxa"/>
            <w:tcBorders>
              <w:top w:val="single" w:color="auto" w:sz="6" w:space="0"/>
              <w:left w:val="single" w:color="auto" w:sz="6" w:space="0"/>
              <w:bottom w:val="single" w:color="auto" w:sz="6" w:space="0"/>
              <w:right w:val="single" w:color="auto" w:sz="6" w:space="0"/>
            </w:tcBorders>
            <w:vAlign w:val="center"/>
          </w:tcPr>
          <w:p w14:paraId="58231FB1">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压力变送器</w:t>
            </w:r>
          </w:p>
        </w:tc>
        <w:tc>
          <w:tcPr>
            <w:tcW w:w="1150" w:type="pct"/>
            <w:tcBorders>
              <w:top w:val="single" w:color="auto" w:sz="6" w:space="0"/>
              <w:left w:val="single" w:color="auto" w:sz="6" w:space="0"/>
              <w:bottom w:val="single" w:color="auto" w:sz="6" w:space="0"/>
              <w:right w:val="single" w:color="auto" w:sz="6" w:space="0"/>
            </w:tcBorders>
            <w:vAlign w:val="center"/>
          </w:tcPr>
          <w:p w14:paraId="50365C06">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台</w:t>
            </w:r>
          </w:p>
        </w:tc>
        <w:tc>
          <w:tcPr>
            <w:tcW w:w="916" w:type="pct"/>
            <w:tcBorders>
              <w:top w:val="single" w:color="auto" w:sz="6" w:space="0"/>
              <w:left w:val="single" w:color="auto" w:sz="6" w:space="0"/>
              <w:bottom w:val="single" w:color="auto" w:sz="6" w:space="0"/>
              <w:right w:val="single" w:color="000000" w:sz="4" w:space="0"/>
            </w:tcBorders>
            <w:vAlign w:val="center"/>
          </w:tcPr>
          <w:p w14:paraId="7344A18D">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2</w:t>
            </w:r>
          </w:p>
        </w:tc>
      </w:tr>
      <w:tr w14:paraId="62DB4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auto" w:sz="6" w:space="0"/>
              <w:right w:val="single" w:color="auto" w:sz="6" w:space="0"/>
            </w:tcBorders>
            <w:vAlign w:val="center"/>
          </w:tcPr>
          <w:p w14:paraId="443660B2">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2</w:t>
            </w:r>
          </w:p>
        </w:tc>
        <w:tc>
          <w:tcPr>
            <w:tcW w:w="4236" w:type="dxa"/>
            <w:tcBorders>
              <w:top w:val="single" w:color="auto" w:sz="6" w:space="0"/>
              <w:left w:val="single" w:color="auto" w:sz="6" w:space="0"/>
              <w:bottom w:val="single" w:color="auto" w:sz="6" w:space="0"/>
              <w:right w:val="single" w:color="auto" w:sz="6" w:space="0"/>
            </w:tcBorders>
            <w:vAlign w:val="center"/>
          </w:tcPr>
          <w:p w14:paraId="2E2B49F8">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温度变送器</w:t>
            </w:r>
          </w:p>
        </w:tc>
        <w:tc>
          <w:tcPr>
            <w:tcW w:w="1150" w:type="pct"/>
            <w:tcBorders>
              <w:top w:val="single" w:color="auto" w:sz="6" w:space="0"/>
              <w:left w:val="single" w:color="auto" w:sz="6" w:space="0"/>
              <w:bottom w:val="single" w:color="auto" w:sz="6" w:space="0"/>
              <w:right w:val="single" w:color="auto" w:sz="6" w:space="0"/>
            </w:tcBorders>
            <w:vAlign w:val="center"/>
          </w:tcPr>
          <w:p w14:paraId="66F15350">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台</w:t>
            </w:r>
          </w:p>
        </w:tc>
        <w:tc>
          <w:tcPr>
            <w:tcW w:w="916" w:type="pct"/>
            <w:tcBorders>
              <w:top w:val="single" w:color="auto" w:sz="6" w:space="0"/>
              <w:left w:val="single" w:color="auto" w:sz="6" w:space="0"/>
              <w:bottom w:val="single" w:color="auto" w:sz="6" w:space="0"/>
              <w:right w:val="single" w:color="000000" w:sz="4" w:space="0"/>
            </w:tcBorders>
            <w:vAlign w:val="center"/>
          </w:tcPr>
          <w:p w14:paraId="0E26CBDC">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r>
      <w:tr w14:paraId="20222C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auto" w:sz="6" w:space="0"/>
              <w:right w:val="single" w:color="auto" w:sz="6" w:space="0"/>
            </w:tcBorders>
            <w:vAlign w:val="center"/>
          </w:tcPr>
          <w:p w14:paraId="3ED991CA">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3</w:t>
            </w:r>
          </w:p>
        </w:tc>
        <w:tc>
          <w:tcPr>
            <w:tcW w:w="4236" w:type="dxa"/>
            <w:tcBorders>
              <w:top w:val="single" w:color="auto" w:sz="6" w:space="0"/>
              <w:left w:val="single" w:color="auto" w:sz="6" w:space="0"/>
              <w:bottom w:val="single" w:color="auto" w:sz="6" w:space="0"/>
              <w:right w:val="single" w:color="auto" w:sz="6" w:space="0"/>
            </w:tcBorders>
            <w:vAlign w:val="center"/>
          </w:tcPr>
          <w:p w14:paraId="46CA584D">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RTU控制系统</w:t>
            </w:r>
          </w:p>
        </w:tc>
        <w:tc>
          <w:tcPr>
            <w:tcW w:w="1150" w:type="pct"/>
            <w:tcBorders>
              <w:top w:val="single" w:color="auto" w:sz="6" w:space="0"/>
              <w:left w:val="single" w:color="auto" w:sz="6" w:space="0"/>
              <w:bottom w:val="single" w:color="auto" w:sz="6" w:space="0"/>
              <w:right w:val="single" w:color="auto" w:sz="6" w:space="0"/>
            </w:tcBorders>
            <w:vAlign w:val="center"/>
          </w:tcPr>
          <w:p w14:paraId="6F245CAE">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套</w:t>
            </w:r>
          </w:p>
        </w:tc>
        <w:tc>
          <w:tcPr>
            <w:tcW w:w="916" w:type="pct"/>
            <w:tcBorders>
              <w:top w:val="single" w:color="auto" w:sz="6" w:space="0"/>
              <w:left w:val="single" w:color="auto" w:sz="6" w:space="0"/>
              <w:bottom w:val="single" w:color="auto" w:sz="6" w:space="0"/>
              <w:right w:val="single" w:color="000000" w:sz="4" w:space="0"/>
            </w:tcBorders>
            <w:vAlign w:val="center"/>
          </w:tcPr>
          <w:p w14:paraId="77B1008C">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r>
      <w:tr w14:paraId="5FC212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auto" w:sz="6" w:space="0"/>
              <w:right w:val="single" w:color="auto" w:sz="6" w:space="0"/>
            </w:tcBorders>
            <w:vAlign w:val="center"/>
          </w:tcPr>
          <w:p w14:paraId="2269A040">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二</w:t>
            </w:r>
          </w:p>
        </w:tc>
        <w:tc>
          <w:tcPr>
            <w:tcW w:w="2320" w:type="pct"/>
            <w:tcBorders>
              <w:top w:val="single" w:color="auto" w:sz="6" w:space="0"/>
              <w:left w:val="single" w:color="auto" w:sz="6" w:space="0"/>
              <w:bottom w:val="single" w:color="auto" w:sz="6" w:space="0"/>
              <w:right w:val="single" w:color="auto" w:sz="6" w:space="0"/>
            </w:tcBorders>
            <w:vAlign w:val="center"/>
          </w:tcPr>
          <w:p w14:paraId="1A390AA2">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徐深</w:t>
            </w:r>
            <w:r>
              <w:rPr>
                <w:rFonts w:hint="eastAsia" w:ascii="Times New Roman" w:hAnsi="Times New Roman" w:eastAsia="宋体" w:cs="Times New Roman"/>
                <w:color w:val="auto"/>
                <w:w w:val="99"/>
                <w:kern w:val="2"/>
                <w:sz w:val="21"/>
                <w:szCs w:val="21"/>
                <w:highlight w:val="none"/>
                <w:lang w:val="en-US" w:eastAsia="zh-CN"/>
              </w:rPr>
              <w:t>27</w:t>
            </w:r>
            <w:r>
              <w:rPr>
                <w:rFonts w:hint="default" w:ascii="Times New Roman" w:hAnsi="Times New Roman" w:eastAsia="宋体" w:cs="Times New Roman"/>
                <w:color w:val="auto"/>
                <w:w w:val="99"/>
                <w:kern w:val="2"/>
                <w:sz w:val="21"/>
                <w:szCs w:val="21"/>
                <w:highlight w:val="none"/>
                <w:lang w:val="en-US" w:eastAsia="zh-CN"/>
              </w:rPr>
              <w:t>集气站</w:t>
            </w:r>
          </w:p>
        </w:tc>
        <w:tc>
          <w:tcPr>
            <w:tcW w:w="1150" w:type="pct"/>
            <w:tcBorders>
              <w:top w:val="single" w:color="auto" w:sz="6" w:space="0"/>
              <w:left w:val="single" w:color="auto" w:sz="6" w:space="0"/>
              <w:bottom w:val="single" w:color="auto" w:sz="6" w:space="0"/>
              <w:right w:val="single" w:color="auto" w:sz="6" w:space="0"/>
            </w:tcBorders>
            <w:vAlign w:val="center"/>
          </w:tcPr>
          <w:p w14:paraId="255B1F1B">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p>
        </w:tc>
        <w:tc>
          <w:tcPr>
            <w:tcW w:w="916" w:type="pct"/>
            <w:tcBorders>
              <w:top w:val="single" w:color="auto" w:sz="6" w:space="0"/>
              <w:left w:val="single" w:color="auto" w:sz="6" w:space="0"/>
              <w:bottom w:val="single" w:color="auto" w:sz="6" w:space="0"/>
              <w:right w:val="single" w:color="000000" w:sz="4" w:space="0"/>
            </w:tcBorders>
            <w:vAlign w:val="center"/>
          </w:tcPr>
          <w:p w14:paraId="38ED5DB1">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p>
        </w:tc>
      </w:tr>
      <w:tr w14:paraId="0C97D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auto" w:sz="6" w:space="0"/>
              <w:right w:val="single" w:color="auto" w:sz="6" w:space="0"/>
            </w:tcBorders>
            <w:vAlign w:val="center"/>
          </w:tcPr>
          <w:p w14:paraId="58E1B8E3">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c>
          <w:tcPr>
            <w:tcW w:w="4236" w:type="dxa"/>
            <w:tcBorders>
              <w:top w:val="single" w:color="auto" w:sz="6" w:space="0"/>
              <w:left w:val="single" w:color="auto" w:sz="6" w:space="0"/>
              <w:bottom w:val="single" w:color="auto" w:sz="6" w:space="0"/>
              <w:right w:val="single" w:color="auto" w:sz="6" w:space="0"/>
            </w:tcBorders>
            <w:vAlign w:val="center"/>
          </w:tcPr>
          <w:p w14:paraId="67D998A5">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压力变送器</w:t>
            </w:r>
          </w:p>
        </w:tc>
        <w:tc>
          <w:tcPr>
            <w:tcW w:w="2100" w:type="dxa"/>
            <w:tcBorders>
              <w:top w:val="single" w:color="auto" w:sz="6" w:space="0"/>
              <w:left w:val="single" w:color="auto" w:sz="6" w:space="0"/>
              <w:bottom w:val="single" w:color="auto" w:sz="6" w:space="0"/>
              <w:right w:val="single" w:color="auto" w:sz="6" w:space="0"/>
            </w:tcBorders>
            <w:vAlign w:val="center"/>
          </w:tcPr>
          <w:p w14:paraId="64002329">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台</w:t>
            </w:r>
          </w:p>
        </w:tc>
        <w:tc>
          <w:tcPr>
            <w:tcW w:w="916" w:type="pct"/>
            <w:tcBorders>
              <w:top w:val="single" w:color="auto" w:sz="6" w:space="0"/>
              <w:left w:val="single" w:color="auto" w:sz="6" w:space="0"/>
              <w:bottom w:val="single" w:color="auto" w:sz="6" w:space="0"/>
              <w:right w:val="single" w:color="000000" w:sz="4" w:space="0"/>
            </w:tcBorders>
            <w:vAlign w:val="center"/>
          </w:tcPr>
          <w:p w14:paraId="2B04EAF1">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r>
      <w:tr w14:paraId="639EC4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auto" w:sz="6" w:space="0"/>
              <w:right w:val="single" w:color="auto" w:sz="6" w:space="0"/>
            </w:tcBorders>
            <w:vAlign w:val="center"/>
          </w:tcPr>
          <w:p w14:paraId="259FF92E">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2</w:t>
            </w:r>
          </w:p>
        </w:tc>
        <w:tc>
          <w:tcPr>
            <w:tcW w:w="4236" w:type="dxa"/>
            <w:tcBorders>
              <w:top w:val="single" w:color="auto" w:sz="6" w:space="0"/>
              <w:left w:val="single" w:color="auto" w:sz="6" w:space="0"/>
              <w:bottom w:val="single" w:color="auto" w:sz="6" w:space="0"/>
              <w:right w:val="single" w:color="auto" w:sz="6" w:space="0"/>
            </w:tcBorders>
            <w:vAlign w:val="center"/>
          </w:tcPr>
          <w:p w14:paraId="1111BD4F">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一体化温度变送器</w:t>
            </w:r>
          </w:p>
        </w:tc>
        <w:tc>
          <w:tcPr>
            <w:tcW w:w="2100" w:type="dxa"/>
            <w:tcBorders>
              <w:top w:val="single" w:color="auto" w:sz="6" w:space="0"/>
              <w:left w:val="single" w:color="auto" w:sz="6" w:space="0"/>
              <w:bottom w:val="single" w:color="auto" w:sz="6" w:space="0"/>
              <w:right w:val="single" w:color="auto" w:sz="6" w:space="0"/>
            </w:tcBorders>
            <w:vAlign w:val="center"/>
          </w:tcPr>
          <w:p w14:paraId="490394C1">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台</w:t>
            </w:r>
          </w:p>
        </w:tc>
        <w:tc>
          <w:tcPr>
            <w:tcW w:w="916" w:type="pct"/>
            <w:tcBorders>
              <w:top w:val="single" w:color="auto" w:sz="6" w:space="0"/>
              <w:left w:val="single" w:color="auto" w:sz="6" w:space="0"/>
              <w:bottom w:val="single" w:color="auto" w:sz="6" w:space="0"/>
              <w:right w:val="single" w:color="000000" w:sz="4" w:space="0"/>
            </w:tcBorders>
            <w:vAlign w:val="center"/>
          </w:tcPr>
          <w:p w14:paraId="3CFB16E0">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r>
      <w:tr w14:paraId="3164A7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auto" w:sz="6" w:space="0"/>
              <w:right w:val="single" w:color="auto" w:sz="6" w:space="0"/>
            </w:tcBorders>
            <w:vAlign w:val="center"/>
          </w:tcPr>
          <w:p w14:paraId="5BDE2420">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3</w:t>
            </w:r>
          </w:p>
        </w:tc>
        <w:tc>
          <w:tcPr>
            <w:tcW w:w="4236" w:type="dxa"/>
            <w:tcBorders>
              <w:top w:val="single" w:color="auto" w:sz="6" w:space="0"/>
              <w:left w:val="single" w:color="auto" w:sz="6" w:space="0"/>
              <w:bottom w:val="single" w:color="auto" w:sz="6" w:space="0"/>
              <w:right w:val="single" w:color="auto" w:sz="6" w:space="0"/>
            </w:tcBorders>
            <w:vAlign w:val="center"/>
          </w:tcPr>
          <w:p w14:paraId="7A7C9548">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电动开关球阀  DN80  CL600</w:t>
            </w:r>
          </w:p>
        </w:tc>
        <w:tc>
          <w:tcPr>
            <w:tcW w:w="2100" w:type="dxa"/>
            <w:tcBorders>
              <w:top w:val="single" w:color="auto" w:sz="6" w:space="0"/>
              <w:left w:val="single" w:color="auto" w:sz="6" w:space="0"/>
              <w:bottom w:val="single" w:color="auto" w:sz="6" w:space="0"/>
              <w:right w:val="single" w:color="auto" w:sz="6" w:space="0"/>
            </w:tcBorders>
            <w:vAlign w:val="center"/>
          </w:tcPr>
          <w:p w14:paraId="455C150E">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台</w:t>
            </w:r>
          </w:p>
        </w:tc>
        <w:tc>
          <w:tcPr>
            <w:tcW w:w="916" w:type="pct"/>
            <w:tcBorders>
              <w:top w:val="single" w:color="auto" w:sz="6" w:space="0"/>
              <w:left w:val="single" w:color="auto" w:sz="6" w:space="0"/>
              <w:bottom w:val="single" w:color="auto" w:sz="6" w:space="0"/>
              <w:right w:val="single" w:color="000000" w:sz="4" w:space="0"/>
            </w:tcBorders>
            <w:vAlign w:val="center"/>
          </w:tcPr>
          <w:p w14:paraId="3714F2E4">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r>
      <w:tr w14:paraId="319C1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auto" w:sz="6" w:space="0"/>
              <w:right w:val="single" w:color="auto" w:sz="6" w:space="0"/>
            </w:tcBorders>
            <w:vAlign w:val="center"/>
          </w:tcPr>
          <w:p w14:paraId="6553BB59">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4</w:t>
            </w:r>
          </w:p>
        </w:tc>
        <w:tc>
          <w:tcPr>
            <w:tcW w:w="4236" w:type="dxa"/>
            <w:tcBorders>
              <w:top w:val="single" w:color="auto" w:sz="6" w:space="0"/>
              <w:left w:val="single" w:color="auto" w:sz="6" w:space="0"/>
              <w:bottom w:val="single" w:color="auto" w:sz="6" w:space="0"/>
              <w:right w:val="single" w:color="auto" w:sz="6" w:space="0"/>
            </w:tcBorders>
            <w:vAlign w:val="center"/>
          </w:tcPr>
          <w:p w14:paraId="512FE9B5">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电动开关球阀  DN65  CL2500</w:t>
            </w:r>
          </w:p>
        </w:tc>
        <w:tc>
          <w:tcPr>
            <w:tcW w:w="2100" w:type="dxa"/>
            <w:tcBorders>
              <w:top w:val="single" w:color="auto" w:sz="6" w:space="0"/>
              <w:left w:val="single" w:color="auto" w:sz="6" w:space="0"/>
              <w:bottom w:val="single" w:color="auto" w:sz="6" w:space="0"/>
              <w:right w:val="single" w:color="auto" w:sz="6" w:space="0"/>
            </w:tcBorders>
            <w:vAlign w:val="center"/>
          </w:tcPr>
          <w:p w14:paraId="160C335A">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台</w:t>
            </w:r>
          </w:p>
        </w:tc>
        <w:tc>
          <w:tcPr>
            <w:tcW w:w="916" w:type="pct"/>
            <w:tcBorders>
              <w:top w:val="single" w:color="auto" w:sz="6" w:space="0"/>
              <w:left w:val="single" w:color="auto" w:sz="6" w:space="0"/>
              <w:bottom w:val="single" w:color="auto" w:sz="6" w:space="0"/>
              <w:right w:val="single" w:color="000000" w:sz="4" w:space="0"/>
            </w:tcBorders>
            <w:vAlign w:val="center"/>
          </w:tcPr>
          <w:p w14:paraId="0EE2AAB9">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r>
      <w:tr w14:paraId="355C2A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auto" w:sz="6" w:space="0"/>
              <w:right w:val="single" w:color="auto" w:sz="6" w:space="0"/>
            </w:tcBorders>
            <w:vAlign w:val="center"/>
          </w:tcPr>
          <w:p w14:paraId="3D989778">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5</w:t>
            </w:r>
          </w:p>
        </w:tc>
        <w:tc>
          <w:tcPr>
            <w:tcW w:w="4236" w:type="dxa"/>
            <w:tcBorders>
              <w:top w:val="single" w:color="auto" w:sz="6" w:space="0"/>
              <w:left w:val="single" w:color="auto" w:sz="6" w:space="0"/>
              <w:bottom w:val="single" w:color="auto" w:sz="6" w:space="0"/>
              <w:right w:val="single" w:color="auto" w:sz="6" w:space="0"/>
            </w:tcBorders>
            <w:vAlign w:val="center"/>
          </w:tcPr>
          <w:p w14:paraId="3671E461">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过程控制系统扩容</w:t>
            </w:r>
          </w:p>
        </w:tc>
        <w:tc>
          <w:tcPr>
            <w:tcW w:w="2100" w:type="dxa"/>
            <w:tcBorders>
              <w:top w:val="single" w:color="auto" w:sz="6" w:space="0"/>
              <w:left w:val="single" w:color="auto" w:sz="6" w:space="0"/>
              <w:bottom w:val="single" w:color="auto" w:sz="6" w:space="0"/>
              <w:right w:val="single" w:color="auto" w:sz="6" w:space="0"/>
            </w:tcBorders>
            <w:vAlign w:val="center"/>
          </w:tcPr>
          <w:p w14:paraId="0D8A62E7">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项</w:t>
            </w:r>
          </w:p>
        </w:tc>
        <w:tc>
          <w:tcPr>
            <w:tcW w:w="916" w:type="pct"/>
            <w:tcBorders>
              <w:top w:val="single" w:color="auto" w:sz="6" w:space="0"/>
              <w:left w:val="single" w:color="auto" w:sz="6" w:space="0"/>
              <w:bottom w:val="single" w:color="auto" w:sz="6" w:space="0"/>
              <w:right w:val="single" w:color="000000" w:sz="4" w:space="0"/>
            </w:tcBorders>
            <w:vAlign w:val="center"/>
          </w:tcPr>
          <w:p w14:paraId="67D981B1">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r>
      <w:tr w14:paraId="3FCA9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auto" w:sz="6" w:space="0"/>
              <w:right w:val="single" w:color="auto" w:sz="6" w:space="0"/>
            </w:tcBorders>
            <w:vAlign w:val="center"/>
          </w:tcPr>
          <w:p w14:paraId="0E532BE7">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6</w:t>
            </w:r>
          </w:p>
        </w:tc>
        <w:tc>
          <w:tcPr>
            <w:tcW w:w="4236" w:type="dxa"/>
            <w:tcBorders>
              <w:top w:val="single" w:color="auto" w:sz="6" w:space="0"/>
              <w:left w:val="single" w:color="auto" w:sz="6" w:space="0"/>
              <w:bottom w:val="single" w:color="auto" w:sz="6" w:space="0"/>
              <w:right w:val="single" w:color="auto" w:sz="6" w:space="0"/>
            </w:tcBorders>
            <w:vAlign w:val="center"/>
          </w:tcPr>
          <w:p w14:paraId="4140C790">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采气分公司生产调度中心监控系统软件调整</w:t>
            </w:r>
          </w:p>
        </w:tc>
        <w:tc>
          <w:tcPr>
            <w:tcW w:w="2100" w:type="dxa"/>
            <w:tcBorders>
              <w:top w:val="single" w:color="auto" w:sz="6" w:space="0"/>
              <w:left w:val="single" w:color="auto" w:sz="6" w:space="0"/>
              <w:bottom w:val="single" w:color="auto" w:sz="6" w:space="0"/>
              <w:right w:val="single" w:color="auto" w:sz="6" w:space="0"/>
            </w:tcBorders>
            <w:vAlign w:val="center"/>
          </w:tcPr>
          <w:p w14:paraId="29AC0D56">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套</w:t>
            </w:r>
          </w:p>
        </w:tc>
        <w:tc>
          <w:tcPr>
            <w:tcW w:w="916" w:type="pct"/>
            <w:tcBorders>
              <w:top w:val="single" w:color="auto" w:sz="6" w:space="0"/>
              <w:left w:val="single" w:color="auto" w:sz="6" w:space="0"/>
              <w:bottom w:val="single" w:color="auto" w:sz="6" w:space="0"/>
              <w:right w:val="single" w:color="000000" w:sz="4" w:space="0"/>
            </w:tcBorders>
            <w:vAlign w:val="center"/>
          </w:tcPr>
          <w:p w14:paraId="704E0E09">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r>
      <w:tr w14:paraId="5BA77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611" w:type="pct"/>
            <w:tcBorders>
              <w:top w:val="single" w:color="auto" w:sz="6" w:space="0"/>
              <w:left w:val="single" w:color="000000" w:sz="4" w:space="0"/>
              <w:bottom w:val="single" w:color="000000" w:sz="4" w:space="0"/>
              <w:right w:val="single" w:color="auto" w:sz="6" w:space="0"/>
            </w:tcBorders>
            <w:vAlign w:val="center"/>
          </w:tcPr>
          <w:p w14:paraId="3851AB18">
            <w:pPr>
              <w:spacing w:line="320" w:lineRule="exact"/>
              <w:jc w:val="center"/>
              <w:rPr>
                <w:rFonts w:hint="default" w:ascii="Times New Roman" w:hAnsi="Times New Roman"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7</w:t>
            </w:r>
          </w:p>
        </w:tc>
        <w:tc>
          <w:tcPr>
            <w:tcW w:w="4236" w:type="dxa"/>
            <w:tcBorders>
              <w:top w:val="single" w:color="auto" w:sz="6" w:space="0"/>
              <w:left w:val="single" w:color="auto" w:sz="6" w:space="0"/>
              <w:bottom w:val="single" w:color="000000" w:sz="4" w:space="0"/>
              <w:right w:val="single" w:color="auto" w:sz="6" w:space="0"/>
            </w:tcBorders>
            <w:vAlign w:val="center"/>
          </w:tcPr>
          <w:p w14:paraId="2A19C5E1">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采气分公司巡检维护中心监控系统软件调整</w:t>
            </w:r>
          </w:p>
        </w:tc>
        <w:tc>
          <w:tcPr>
            <w:tcW w:w="2100" w:type="dxa"/>
            <w:tcBorders>
              <w:top w:val="single" w:color="auto" w:sz="6" w:space="0"/>
              <w:left w:val="single" w:color="auto" w:sz="6" w:space="0"/>
              <w:bottom w:val="single" w:color="000000" w:sz="4" w:space="0"/>
              <w:right w:val="single" w:color="auto" w:sz="6" w:space="0"/>
            </w:tcBorders>
            <w:vAlign w:val="center"/>
          </w:tcPr>
          <w:p w14:paraId="22456114">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套</w:t>
            </w:r>
          </w:p>
        </w:tc>
        <w:tc>
          <w:tcPr>
            <w:tcW w:w="916" w:type="pct"/>
            <w:tcBorders>
              <w:top w:val="single" w:color="auto" w:sz="6" w:space="0"/>
              <w:left w:val="single" w:color="auto" w:sz="6" w:space="0"/>
              <w:bottom w:val="single" w:color="000000" w:sz="4" w:space="0"/>
              <w:right w:val="single" w:color="000000" w:sz="4" w:space="0"/>
            </w:tcBorders>
            <w:vAlign w:val="center"/>
          </w:tcPr>
          <w:p w14:paraId="118608F2">
            <w:pPr>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r>
    </w:tbl>
    <w:p w14:paraId="3622E598">
      <w:pPr>
        <w:widowControl w:val="0"/>
        <w:spacing w:line="440" w:lineRule="exact"/>
        <w:outlineLvl w:val="3"/>
        <w:rPr>
          <w:rFonts w:ascii="Times New Roman" w:hAnsi="Times New Roman" w:cs="Times New Roman" w:eastAsiaTheme="minorEastAsia"/>
          <w:b/>
          <w:color w:val="auto"/>
          <w:w w:val="99"/>
          <w:szCs w:val="20"/>
          <w:highlight w:val="none"/>
        </w:rPr>
      </w:pPr>
      <w:r>
        <w:rPr>
          <w:rFonts w:hint="eastAsia" w:ascii="Times New Roman" w:hAnsi="Times New Roman" w:cs="Times New Roman" w:eastAsiaTheme="minorEastAsia"/>
          <w:b/>
          <w:color w:val="auto"/>
          <w:w w:val="99"/>
          <w:szCs w:val="20"/>
          <w:highlight w:val="none"/>
          <w:lang w:eastAsia="zh-CN"/>
        </w:rPr>
        <w:t>3.</w:t>
      </w:r>
      <w:r>
        <w:rPr>
          <w:rFonts w:hint="eastAsia" w:ascii="Times New Roman" w:hAnsi="Times New Roman" w:cs="Times New Roman" w:eastAsiaTheme="minorEastAsia"/>
          <w:b/>
          <w:color w:val="auto"/>
          <w:w w:val="99"/>
          <w:szCs w:val="20"/>
          <w:highlight w:val="none"/>
          <w:lang w:val="en-US" w:eastAsia="zh-CN"/>
        </w:rPr>
        <w:t>5</w:t>
      </w:r>
      <w:r>
        <w:rPr>
          <w:rFonts w:hint="eastAsia" w:ascii="Times New Roman" w:hAnsi="Times New Roman" w:cs="Times New Roman" w:eastAsiaTheme="minorEastAsia"/>
          <w:b/>
          <w:color w:val="auto"/>
          <w:w w:val="99"/>
          <w:szCs w:val="20"/>
          <w:highlight w:val="none"/>
          <w:lang w:eastAsia="zh-CN"/>
        </w:rPr>
        <w:t>.5</w:t>
      </w:r>
      <w:r>
        <w:rPr>
          <w:rFonts w:ascii="Times New Roman" w:hAnsi="Times New Roman" w:cs="Times New Roman" w:eastAsiaTheme="minorEastAsia"/>
          <w:b/>
          <w:color w:val="auto"/>
          <w:w w:val="99"/>
          <w:szCs w:val="20"/>
          <w:highlight w:val="none"/>
        </w:rPr>
        <w:t>.</w:t>
      </w:r>
      <w:r>
        <w:rPr>
          <w:rFonts w:hint="eastAsia" w:ascii="Times New Roman" w:hAnsi="Times New Roman" w:cs="Times New Roman" w:eastAsiaTheme="minorEastAsia"/>
          <w:b/>
          <w:color w:val="auto"/>
          <w:w w:val="99"/>
          <w:szCs w:val="20"/>
          <w:highlight w:val="none"/>
          <w:lang w:val="en-US" w:eastAsia="zh-CN"/>
        </w:rPr>
        <w:t>4通信</w:t>
      </w:r>
      <w:r>
        <w:rPr>
          <w:rFonts w:ascii="Times New Roman" w:hAnsi="Times New Roman" w:cs="Times New Roman" w:eastAsiaTheme="minorEastAsia"/>
          <w:b/>
          <w:color w:val="auto"/>
          <w:w w:val="99"/>
          <w:szCs w:val="20"/>
          <w:highlight w:val="none"/>
        </w:rPr>
        <w:t>工程</w:t>
      </w:r>
    </w:p>
    <w:p w14:paraId="3CA2D3EB">
      <w:pPr>
        <w:widowControl w:val="0"/>
        <w:spacing w:line="440" w:lineRule="exact"/>
        <w:ind w:firstLine="474" w:firstLineChars="200"/>
        <w:rPr>
          <w:rFonts w:hint="default" w:ascii="Times New Roman" w:hAnsi="Times New Roman" w:cs="Times New Roman" w:eastAsiaTheme="minorEastAsia"/>
          <w:color w:val="auto"/>
          <w:w w:val="99"/>
          <w:kern w:val="21"/>
          <w:highlight w:val="none"/>
          <w:lang w:val="en-US" w:eastAsia="zh-CN"/>
        </w:rPr>
      </w:pPr>
      <w:r>
        <w:rPr>
          <w:rFonts w:hint="default" w:ascii="Times New Roman" w:hAnsi="Times New Roman" w:cs="Times New Roman" w:eastAsiaTheme="minorEastAsia"/>
          <w:color w:val="auto"/>
          <w:w w:val="99"/>
          <w:kern w:val="21"/>
          <w:highlight w:val="none"/>
        </w:rPr>
        <w:t>本工程通信与安防系统设计主要包括数据传输系统、安防系统、通信电源及供电接地防系统等共3部分。</w:t>
      </w:r>
      <w:r>
        <w:rPr>
          <w:rFonts w:hint="eastAsia" w:ascii="Times New Roman" w:hAnsi="Times New Roman" w:cs="Times New Roman" w:eastAsiaTheme="minorEastAsia"/>
          <w:color w:val="auto"/>
          <w:w w:val="99"/>
          <w:kern w:val="21"/>
          <w:highlight w:val="none"/>
          <w:lang w:val="en-US" w:eastAsia="zh-CN"/>
        </w:rPr>
        <w:t>主要工程量见表3.5-9。</w:t>
      </w:r>
    </w:p>
    <w:p w14:paraId="2555BFAF">
      <w:pPr>
        <w:widowControl w:val="0"/>
        <w:spacing w:line="440" w:lineRule="exact"/>
        <w:ind w:firstLine="476" w:firstLineChars="200"/>
        <w:jc w:val="both"/>
        <w:rPr>
          <w:rFonts w:hint="default" w:ascii="Times New Roman" w:hAnsi="Times New Roman" w:eastAsia="宋体" w:cs="Times New Roman"/>
          <w:b/>
          <w:bCs/>
          <w:color w:val="auto"/>
          <w:w w:val="99"/>
          <w:kern w:val="21"/>
          <w:highlight w:val="none"/>
          <w:lang w:val="en-US" w:eastAsia="zh-CN"/>
        </w:rPr>
      </w:pPr>
      <w:r>
        <w:rPr>
          <w:rFonts w:hint="default" w:ascii="Times New Roman" w:hAnsi="Times New Roman" w:eastAsia="宋体" w:cs="Times New Roman"/>
          <w:b/>
          <w:bCs/>
          <w:color w:val="auto"/>
          <w:w w:val="99"/>
          <w:kern w:val="21"/>
          <w:highlight w:val="none"/>
          <w:lang w:val="en-US" w:eastAsia="zh-CN"/>
        </w:rPr>
        <w:t>表</w:t>
      </w:r>
      <w:r>
        <w:rPr>
          <w:rFonts w:hint="eastAsia" w:ascii="Times New Roman" w:hAnsi="Times New Roman" w:cs="Times New Roman"/>
          <w:b/>
          <w:bCs/>
          <w:color w:val="auto"/>
          <w:w w:val="99"/>
          <w:kern w:val="21"/>
          <w:highlight w:val="none"/>
          <w:lang w:val="en-US" w:eastAsia="zh-CN"/>
        </w:rPr>
        <w:t>3</w:t>
      </w:r>
      <w:r>
        <w:rPr>
          <w:rFonts w:hint="eastAsia" w:ascii="Times New Roman" w:hAnsi="Times New Roman" w:eastAsia="宋体" w:cs="Times New Roman"/>
          <w:b/>
          <w:bCs/>
          <w:color w:val="auto"/>
          <w:w w:val="99"/>
          <w:kern w:val="21"/>
          <w:highlight w:val="none"/>
          <w:lang w:val="en-US" w:eastAsia="zh-CN"/>
        </w:rPr>
        <w:t>.</w:t>
      </w:r>
      <w:r>
        <w:rPr>
          <w:rFonts w:hint="eastAsia" w:ascii="Times New Roman" w:hAnsi="Times New Roman" w:cs="Times New Roman"/>
          <w:b/>
          <w:bCs/>
          <w:color w:val="auto"/>
          <w:w w:val="99"/>
          <w:kern w:val="21"/>
          <w:highlight w:val="none"/>
          <w:lang w:val="en-US" w:eastAsia="zh-CN"/>
        </w:rPr>
        <w:t>5</w:t>
      </w:r>
      <w:r>
        <w:rPr>
          <w:rFonts w:hint="default" w:ascii="Times New Roman" w:hAnsi="Times New Roman" w:eastAsia="宋体" w:cs="Times New Roman"/>
          <w:b/>
          <w:bCs/>
          <w:color w:val="auto"/>
          <w:w w:val="99"/>
          <w:kern w:val="21"/>
          <w:highlight w:val="none"/>
          <w:lang w:val="en-US" w:eastAsia="zh-CN"/>
        </w:rPr>
        <w:t>-</w:t>
      </w:r>
      <w:r>
        <w:rPr>
          <w:rFonts w:hint="eastAsia" w:ascii="Times New Roman" w:hAnsi="Times New Roman" w:cs="Times New Roman"/>
          <w:b/>
          <w:bCs/>
          <w:color w:val="auto"/>
          <w:w w:val="99"/>
          <w:kern w:val="21"/>
          <w:highlight w:val="none"/>
          <w:lang w:val="en-US" w:eastAsia="zh-CN"/>
        </w:rPr>
        <w:t>9</w:t>
      </w:r>
      <w:r>
        <w:rPr>
          <w:rFonts w:hint="default" w:ascii="Times New Roman" w:hAnsi="Times New Roman" w:eastAsia="宋体" w:cs="Times New Roman"/>
          <w:b/>
          <w:bCs/>
          <w:color w:val="auto"/>
          <w:w w:val="99"/>
          <w:kern w:val="21"/>
          <w:highlight w:val="none"/>
          <w:lang w:val="en-US" w:eastAsia="zh-CN"/>
        </w:rPr>
        <w:t xml:space="preserve"> 主要工程量表</w:t>
      </w:r>
    </w:p>
    <w:tbl>
      <w:tblPr>
        <w:tblStyle w:val="80"/>
        <w:tblW w:w="501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74"/>
        <w:gridCol w:w="5842"/>
        <w:gridCol w:w="575"/>
        <w:gridCol w:w="575"/>
        <w:gridCol w:w="1361"/>
      </w:tblGrid>
      <w:tr w14:paraId="5762E5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424" w:type="pct"/>
            <w:vAlign w:val="center"/>
          </w:tcPr>
          <w:p w14:paraId="75EC78A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序号</w:t>
            </w:r>
          </w:p>
        </w:tc>
        <w:tc>
          <w:tcPr>
            <w:tcW w:w="3199" w:type="pct"/>
            <w:vAlign w:val="center"/>
          </w:tcPr>
          <w:p w14:paraId="6B52E3F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主要工程内容</w:t>
            </w:r>
          </w:p>
        </w:tc>
        <w:tc>
          <w:tcPr>
            <w:tcW w:w="315" w:type="pct"/>
            <w:vAlign w:val="center"/>
          </w:tcPr>
          <w:p w14:paraId="63FD746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单位</w:t>
            </w:r>
          </w:p>
        </w:tc>
        <w:tc>
          <w:tcPr>
            <w:tcW w:w="315" w:type="pct"/>
            <w:vAlign w:val="center"/>
          </w:tcPr>
          <w:p w14:paraId="3E8ABCC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数量</w:t>
            </w:r>
          </w:p>
        </w:tc>
        <w:tc>
          <w:tcPr>
            <w:tcW w:w="745" w:type="pct"/>
            <w:vAlign w:val="center"/>
          </w:tcPr>
          <w:p w14:paraId="6DBEAE9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备注</w:t>
            </w:r>
          </w:p>
        </w:tc>
      </w:tr>
      <w:tr w14:paraId="023B87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1D5E161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（一）</w:t>
            </w:r>
          </w:p>
        </w:tc>
        <w:tc>
          <w:tcPr>
            <w:tcW w:w="3199" w:type="pct"/>
            <w:vAlign w:val="center"/>
          </w:tcPr>
          <w:p w14:paraId="7E3BAD3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数据传输系统</w:t>
            </w:r>
          </w:p>
        </w:tc>
        <w:tc>
          <w:tcPr>
            <w:tcW w:w="315" w:type="pct"/>
            <w:vAlign w:val="center"/>
          </w:tcPr>
          <w:p w14:paraId="258677D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c>
          <w:tcPr>
            <w:tcW w:w="315" w:type="pct"/>
            <w:vAlign w:val="center"/>
          </w:tcPr>
          <w:p w14:paraId="32392ED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c>
          <w:tcPr>
            <w:tcW w:w="745" w:type="pct"/>
            <w:vAlign w:val="center"/>
          </w:tcPr>
          <w:p w14:paraId="20CCAF7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r w14:paraId="20C37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30AEB6D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1</w:t>
            </w:r>
            <w:r>
              <w:rPr>
                <w:rFonts w:hint="default" w:ascii="Times New Roman" w:hAnsi="Times New Roman" w:eastAsia="宋体" w:cs="Times New Roman"/>
                <w:color w:val="auto"/>
                <w:w w:val="99"/>
                <w:kern w:val="2"/>
                <w:sz w:val="21"/>
                <w:szCs w:val="21"/>
                <w:highlight w:val="none"/>
                <w:lang w:val="en-US" w:eastAsia="zh-CN"/>
              </w:rPr>
              <w:t>）</w:t>
            </w:r>
          </w:p>
        </w:tc>
        <w:tc>
          <w:tcPr>
            <w:tcW w:w="3199" w:type="pct"/>
            <w:vAlign w:val="center"/>
          </w:tcPr>
          <w:p w14:paraId="0F6F667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徐深27-H1井-徐深27井</w:t>
            </w:r>
          </w:p>
        </w:tc>
        <w:tc>
          <w:tcPr>
            <w:tcW w:w="315" w:type="pct"/>
            <w:vAlign w:val="center"/>
          </w:tcPr>
          <w:p w14:paraId="76954D2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c>
          <w:tcPr>
            <w:tcW w:w="315" w:type="pct"/>
            <w:vAlign w:val="center"/>
          </w:tcPr>
          <w:p w14:paraId="04E46A8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c>
          <w:tcPr>
            <w:tcW w:w="745" w:type="pct"/>
            <w:vAlign w:val="center"/>
          </w:tcPr>
          <w:p w14:paraId="2C30AAA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r w14:paraId="23A35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637C5CE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c>
          <w:tcPr>
            <w:tcW w:w="3199" w:type="pct"/>
            <w:vAlign w:val="center"/>
          </w:tcPr>
          <w:p w14:paraId="2EC5175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卡轨网管工业以太网交换机，（2*100/1000M光+6*100/1000M电）</w:t>
            </w:r>
          </w:p>
        </w:tc>
        <w:tc>
          <w:tcPr>
            <w:tcW w:w="315" w:type="pct"/>
            <w:vAlign w:val="center"/>
          </w:tcPr>
          <w:p w14:paraId="5EF1B9D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台</w:t>
            </w:r>
          </w:p>
        </w:tc>
        <w:tc>
          <w:tcPr>
            <w:tcW w:w="315" w:type="pct"/>
            <w:vAlign w:val="center"/>
          </w:tcPr>
          <w:p w14:paraId="257F5E0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c>
          <w:tcPr>
            <w:tcW w:w="745" w:type="pct"/>
            <w:vAlign w:val="center"/>
          </w:tcPr>
          <w:p w14:paraId="69EE847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r w14:paraId="2F763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50B2C08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2</w:t>
            </w:r>
          </w:p>
        </w:tc>
        <w:tc>
          <w:tcPr>
            <w:tcW w:w="3199" w:type="pct"/>
            <w:vAlign w:val="center"/>
          </w:tcPr>
          <w:p w14:paraId="12D85E2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百兆光模块，10km</w:t>
            </w:r>
          </w:p>
        </w:tc>
        <w:tc>
          <w:tcPr>
            <w:tcW w:w="315" w:type="pct"/>
            <w:vAlign w:val="center"/>
          </w:tcPr>
          <w:p w14:paraId="02597D5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块</w:t>
            </w:r>
          </w:p>
        </w:tc>
        <w:tc>
          <w:tcPr>
            <w:tcW w:w="315" w:type="pct"/>
            <w:vAlign w:val="center"/>
          </w:tcPr>
          <w:p w14:paraId="7A88B76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2</w:t>
            </w:r>
          </w:p>
        </w:tc>
        <w:tc>
          <w:tcPr>
            <w:tcW w:w="745" w:type="pct"/>
            <w:vAlign w:val="center"/>
          </w:tcPr>
          <w:p w14:paraId="7CA9D75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r w14:paraId="703A2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72E8077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3</w:t>
            </w:r>
          </w:p>
        </w:tc>
        <w:tc>
          <w:tcPr>
            <w:tcW w:w="3199" w:type="pct"/>
            <w:vAlign w:val="center"/>
          </w:tcPr>
          <w:p w14:paraId="2766D24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光缆ADSS-PE-6B1.3</w:t>
            </w:r>
          </w:p>
        </w:tc>
        <w:tc>
          <w:tcPr>
            <w:tcW w:w="315" w:type="pct"/>
            <w:vAlign w:val="center"/>
          </w:tcPr>
          <w:p w14:paraId="3197E80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km</w:t>
            </w:r>
          </w:p>
        </w:tc>
        <w:tc>
          <w:tcPr>
            <w:tcW w:w="315" w:type="pct"/>
            <w:vAlign w:val="center"/>
          </w:tcPr>
          <w:p w14:paraId="7A9C3E8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0.9</w:t>
            </w:r>
          </w:p>
        </w:tc>
        <w:tc>
          <w:tcPr>
            <w:tcW w:w="745" w:type="pct"/>
            <w:vAlign w:val="center"/>
          </w:tcPr>
          <w:p w14:paraId="37FEACF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r w14:paraId="282FA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1C5B5A5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4</w:t>
            </w:r>
          </w:p>
        </w:tc>
        <w:tc>
          <w:tcPr>
            <w:tcW w:w="3199" w:type="pct"/>
            <w:vAlign w:val="center"/>
          </w:tcPr>
          <w:p w14:paraId="2CA4F36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光缆GYTA53-6B1.3</w:t>
            </w:r>
          </w:p>
        </w:tc>
        <w:tc>
          <w:tcPr>
            <w:tcW w:w="315" w:type="pct"/>
            <w:vAlign w:val="center"/>
          </w:tcPr>
          <w:p w14:paraId="63D7A92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km</w:t>
            </w:r>
          </w:p>
        </w:tc>
        <w:tc>
          <w:tcPr>
            <w:tcW w:w="315" w:type="pct"/>
            <w:vAlign w:val="center"/>
          </w:tcPr>
          <w:p w14:paraId="7F9656B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0.</w:t>
            </w:r>
            <w:r>
              <w:rPr>
                <w:rFonts w:hint="eastAsia" w:ascii="Times New Roman" w:hAnsi="Times New Roman" w:eastAsia="宋体" w:cs="Times New Roman"/>
                <w:color w:val="auto"/>
                <w:w w:val="99"/>
                <w:kern w:val="2"/>
                <w:sz w:val="21"/>
                <w:szCs w:val="21"/>
                <w:highlight w:val="none"/>
                <w:lang w:val="en-US" w:eastAsia="zh-CN"/>
              </w:rPr>
              <w:t>1</w:t>
            </w:r>
          </w:p>
        </w:tc>
        <w:tc>
          <w:tcPr>
            <w:tcW w:w="745" w:type="pct"/>
            <w:vAlign w:val="center"/>
          </w:tcPr>
          <w:p w14:paraId="06259FF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r w14:paraId="775CC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2727A44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（二）</w:t>
            </w:r>
          </w:p>
        </w:tc>
        <w:tc>
          <w:tcPr>
            <w:tcW w:w="3199" w:type="pct"/>
            <w:vAlign w:val="center"/>
          </w:tcPr>
          <w:p w14:paraId="0BD763B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井场安防监控</w:t>
            </w:r>
          </w:p>
        </w:tc>
        <w:tc>
          <w:tcPr>
            <w:tcW w:w="315" w:type="pct"/>
            <w:vAlign w:val="center"/>
          </w:tcPr>
          <w:p w14:paraId="01BB759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c>
          <w:tcPr>
            <w:tcW w:w="315" w:type="pct"/>
            <w:vAlign w:val="center"/>
          </w:tcPr>
          <w:p w14:paraId="24ED870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c>
          <w:tcPr>
            <w:tcW w:w="745" w:type="pct"/>
            <w:vAlign w:val="center"/>
          </w:tcPr>
          <w:p w14:paraId="46FFBE9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r w14:paraId="5AB86E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7EC237B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w:t>
            </w:r>
          </w:p>
        </w:tc>
        <w:tc>
          <w:tcPr>
            <w:tcW w:w="3199" w:type="pct"/>
            <w:vAlign w:val="center"/>
          </w:tcPr>
          <w:p w14:paraId="2ED0683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200万像素室外红外网络球型摄像机</w:t>
            </w:r>
          </w:p>
        </w:tc>
        <w:tc>
          <w:tcPr>
            <w:tcW w:w="315" w:type="pct"/>
            <w:vAlign w:val="center"/>
          </w:tcPr>
          <w:p w14:paraId="67C9483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套</w:t>
            </w:r>
          </w:p>
        </w:tc>
        <w:tc>
          <w:tcPr>
            <w:tcW w:w="315" w:type="pct"/>
            <w:vAlign w:val="center"/>
          </w:tcPr>
          <w:p w14:paraId="610041A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1</w:t>
            </w:r>
          </w:p>
        </w:tc>
        <w:tc>
          <w:tcPr>
            <w:tcW w:w="745" w:type="pct"/>
            <w:vAlign w:val="center"/>
          </w:tcPr>
          <w:p w14:paraId="36FC688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r w14:paraId="3F12F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3444DE5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2</w:t>
            </w:r>
          </w:p>
        </w:tc>
        <w:tc>
          <w:tcPr>
            <w:tcW w:w="3199" w:type="pct"/>
            <w:vAlign w:val="center"/>
          </w:tcPr>
          <w:p w14:paraId="70FF654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200万像素室外红外网络枪型摄像机</w:t>
            </w:r>
          </w:p>
        </w:tc>
        <w:tc>
          <w:tcPr>
            <w:tcW w:w="315" w:type="pct"/>
            <w:vAlign w:val="center"/>
          </w:tcPr>
          <w:p w14:paraId="5FA2967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套</w:t>
            </w:r>
          </w:p>
        </w:tc>
        <w:tc>
          <w:tcPr>
            <w:tcW w:w="315" w:type="pct"/>
            <w:vAlign w:val="center"/>
          </w:tcPr>
          <w:p w14:paraId="1F1BFF2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1</w:t>
            </w:r>
          </w:p>
        </w:tc>
        <w:tc>
          <w:tcPr>
            <w:tcW w:w="745" w:type="pct"/>
            <w:vAlign w:val="center"/>
          </w:tcPr>
          <w:p w14:paraId="527E3D2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r w14:paraId="082049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7707C1C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3</w:t>
            </w:r>
          </w:p>
        </w:tc>
        <w:tc>
          <w:tcPr>
            <w:tcW w:w="3199" w:type="pct"/>
            <w:vAlign w:val="center"/>
          </w:tcPr>
          <w:p w14:paraId="1AB2494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号角式扬声器，30W</w:t>
            </w:r>
          </w:p>
        </w:tc>
        <w:tc>
          <w:tcPr>
            <w:tcW w:w="315" w:type="pct"/>
            <w:vAlign w:val="center"/>
          </w:tcPr>
          <w:p w14:paraId="4776CED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个</w:t>
            </w:r>
          </w:p>
        </w:tc>
        <w:tc>
          <w:tcPr>
            <w:tcW w:w="315" w:type="pct"/>
            <w:vAlign w:val="center"/>
          </w:tcPr>
          <w:p w14:paraId="547D7E2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1</w:t>
            </w:r>
          </w:p>
        </w:tc>
        <w:tc>
          <w:tcPr>
            <w:tcW w:w="745" w:type="pct"/>
            <w:vAlign w:val="center"/>
          </w:tcPr>
          <w:p w14:paraId="4EC2E7C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r w14:paraId="60E77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177B857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4</w:t>
            </w:r>
          </w:p>
        </w:tc>
        <w:tc>
          <w:tcPr>
            <w:tcW w:w="3199" w:type="pct"/>
            <w:vAlign w:val="center"/>
          </w:tcPr>
          <w:p w14:paraId="67F1564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监控杆，H=6m，含基础、避雷针及预埋件</w:t>
            </w:r>
          </w:p>
        </w:tc>
        <w:tc>
          <w:tcPr>
            <w:tcW w:w="315" w:type="pct"/>
            <w:vAlign w:val="center"/>
          </w:tcPr>
          <w:p w14:paraId="49DD2F7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套</w:t>
            </w:r>
          </w:p>
        </w:tc>
        <w:tc>
          <w:tcPr>
            <w:tcW w:w="315" w:type="pct"/>
            <w:vAlign w:val="center"/>
          </w:tcPr>
          <w:p w14:paraId="343D9DC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1</w:t>
            </w:r>
          </w:p>
        </w:tc>
        <w:tc>
          <w:tcPr>
            <w:tcW w:w="745" w:type="pct"/>
            <w:vAlign w:val="center"/>
          </w:tcPr>
          <w:p w14:paraId="29C40D6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r w14:paraId="5F0AB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24" w:type="pct"/>
            <w:vAlign w:val="center"/>
          </w:tcPr>
          <w:p w14:paraId="5A80CD5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5</w:t>
            </w:r>
          </w:p>
        </w:tc>
        <w:tc>
          <w:tcPr>
            <w:tcW w:w="3199" w:type="pct"/>
            <w:vAlign w:val="center"/>
          </w:tcPr>
          <w:p w14:paraId="40B3189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128G SD存储卡</w:t>
            </w:r>
          </w:p>
        </w:tc>
        <w:tc>
          <w:tcPr>
            <w:tcW w:w="315" w:type="pct"/>
            <w:vAlign w:val="center"/>
          </w:tcPr>
          <w:p w14:paraId="6B5E063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default" w:ascii="Times New Roman" w:hAnsi="Times New Roman" w:eastAsia="宋体" w:cs="Times New Roman"/>
                <w:color w:val="auto"/>
                <w:w w:val="99"/>
                <w:kern w:val="2"/>
                <w:sz w:val="21"/>
                <w:szCs w:val="21"/>
                <w:highlight w:val="none"/>
                <w:lang w:val="en-US" w:eastAsia="zh-CN"/>
              </w:rPr>
              <w:t>个</w:t>
            </w:r>
          </w:p>
        </w:tc>
        <w:tc>
          <w:tcPr>
            <w:tcW w:w="315" w:type="pct"/>
            <w:vAlign w:val="center"/>
          </w:tcPr>
          <w:p w14:paraId="336C06F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2</w:t>
            </w:r>
          </w:p>
        </w:tc>
        <w:tc>
          <w:tcPr>
            <w:tcW w:w="745" w:type="pct"/>
            <w:vAlign w:val="center"/>
          </w:tcPr>
          <w:p w14:paraId="00FF7E7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rPr>
            </w:pPr>
          </w:p>
        </w:tc>
      </w:tr>
    </w:tbl>
    <w:p w14:paraId="07B1486E">
      <w:pPr>
        <w:pStyle w:val="5"/>
        <w:keepNext w:val="0"/>
        <w:keepLines w:val="0"/>
        <w:widowControl w:val="0"/>
        <w:spacing w:before="120" w:after="120" w:line="440" w:lineRule="exact"/>
        <w:rPr>
          <w:rFonts w:hint="default" w:ascii="Times New Roman" w:hAnsi="Times New Roman" w:eastAsia="宋体"/>
          <w:b/>
          <w:snapToGrid w:val="0"/>
          <w:color w:val="auto"/>
          <w:w w:val="99"/>
          <w:highlight w:val="none"/>
          <w:lang w:val="en-US" w:eastAsia="zh-CN"/>
        </w:rPr>
      </w:pPr>
      <w:bookmarkStart w:id="450" w:name="_Toc31204"/>
      <w:r>
        <w:rPr>
          <w:rFonts w:ascii="Times New Roman" w:hAnsi="Times New Roman" w:eastAsia="宋体"/>
          <w:b/>
          <w:snapToGrid w:val="0"/>
          <w:color w:val="auto"/>
          <w:w w:val="99"/>
          <w:highlight w:val="none"/>
        </w:rPr>
        <w:t>3.</w:t>
      </w:r>
      <w:r>
        <w:rPr>
          <w:rFonts w:hint="eastAsia" w:ascii="Times New Roman" w:hAnsi="Times New Roman" w:eastAsia="宋体"/>
          <w:b/>
          <w:snapToGrid w:val="0"/>
          <w:color w:val="auto"/>
          <w:w w:val="99"/>
          <w:highlight w:val="none"/>
          <w:lang w:val="en-US" w:eastAsia="zh-CN"/>
        </w:rPr>
        <w:t>6工程占地及土石方平衡</w:t>
      </w:r>
      <w:bookmarkEnd w:id="450"/>
    </w:p>
    <w:p w14:paraId="48A6A31D">
      <w:pPr>
        <w:pStyle w:val="7"/>
        <w:widowControl w:val="0"/>
        <w:spacing w:before="60" w:after="60" w:line="440" w:lineRule="exact"/>
        <w:jc w:val="both"/>
        <w:rPr>
          <w:rFonts w:eastAsia="宋体"/>
          <w:b/>
          <w:color w:val="auto"/>
          <w:w w:val="99"/>
          <w:kern w:val="2"/>
          <w:sz w:val="24"/>
          <w:szCs w:val="24"/>
          <w:highlight w:val="none"/>
        </w:rPr>
      </w:pPr>
      <w:bookmarkStart w:id="451" w:name="_Toc78816464"/>
      <w:bookmarkStart w:id="452" w:name="_Toc186444284"/>
      <w:bookmarkStart w:id="453" w:name="_Toc83209476"/>
      <w:bookmarkStart w:id="454" w:name="_Toc80588259"/>
      <w:bookmarkStart w:id="455" w:name="_Toc80971381"/>
      <w:bookmarkStart w:id="456" w:name="_Toc61597227"/>
      <w:bookmarkStart w:id="457" w:name="_Toc70050182"/>
      <w:bookmarkStart w:id="458" w:name="_Toc76976247"/>
      <w:bookmarkStart w:id="459" w:name="_Toc67860135"/>
      <w:bookmarkStart w:id="460" w:name="_Toc77067663"/>
      <w:r>
        <w:rPr>
          <w:rFonts w:eastAsia="宋体"/>
          <w:b/>
          <w:color w:val="auto"/>
          <w:w w:val="99"/>
          <w:kern w:val="2"/>
          <w:sz w:val="24"/>
          <w:szCs w:val="24"/>
          <w:highlight w:val="none"/>
        </w:rPr>
        <w:t>3.</w:t>
      </w:r>
      <w:r>
        <w:rPr>
          <w:rFonts w:hint="eastAsia" w:eastAsia="宋体"/>
          <w:b/>
          <w:color w:val="auto"/>
          <w:w w:val="99"/>
          <w:kern w:val="2"/>
          <w:sz w:val="24"/>
          <w:szCs w:val="24"/>
          <w:highlight w:val="none"/>
          <w:lang w:val="en-US" w:eastAsia="zh-CN"/>
        </w:rPr>
        <w:t>6</w:t>
      </w:r>
      <w:r>
        <w:rPr>
          <w:rFonts w:eastAsia="宋体"/>
          <w:b/>
          <w:color w:val="auto"/>
          <w:w w:val="99"/>
          <w:kern w:val="2"/>
          <w:sz w:val="24"/>
          <w:szCs w:val="24"/>
          <w:highlight w:val="none"/>
        </w:rPr>
        <w:t>.1</w:t>
      </w:r>
      <w:bookmarkEnd w:id="451"/>
      <w:bookmarkEnd w:id="452"/>
      <w:bookmarkEnd w:id="453"/>
      <w:bookmarkEnd w:id="454"/>
      <w:bookmarkEnd w:id="455"/>
      <w:bookmarkEnd w:id="456"/>
      <w:bookmarkStart w:id="461" w:name="_Toc186444285"/>
      <w:bookmarkStart w:id="462" w:name="_Toc78816465"/>
      <w:bookmarkStart w:id="463" w:name="_Toc80971382"/>
      <w:bookmarkStart w:id="464" w:name="_Toc80588260"/>
      <w:bookmarkStart w:id="465" w:name="_Toc83209477"/>
      <w:r>
        <w:rPr>
          <w:rFonts w:eastAsia="宋体"/>
          <w:b/>
          <w:color w:val="auto"/>
          <w:w w:val="99"/>
          <w:kern w:val="2"/>
          <w:sz w:val="24"/>
          <w:szCs w:val="24"/>
          <w:highlight w:val="none"/>
        </w:rPr>
        <w:t>工程占地情况</w:t>
      </w:r>
      <w:bookmarkEnd w:id="457"/>
      <w:bookmarkEnd w:id="458"/>
      <w:bookmarkEnd w:id="459"/>
      <w:bookmarkEnd w:id="460"/>
      <w:bookmarkEnd w:id="461"/>
      <w:bookmarkEnd w:id="462"/>
      <w:bookmarkEnd w:id="463"/>
      <w:bookmarkEnd w:id="464"/>
      <w:bookmarkEnd w:id="465"/>
    </w:p>
    <w:p w14:paraId="6C27BEFF">
      <w:pPr>
        <w:widowControl w:val="0"/>
        <w:autoSpaceDE w:val="0"/>
        <w:autoSpaceDN w:val="0"/>
        <w:spacing w:line="440" w:lineRule="exact"/>
        <w:ind w:firstLine="474" w:firstLineChars="200"/>
        <w:jc w:val="both"/>
        <w:rPr>
          <w:rFonts w:hint="default" w:ascii="Times New Roman" w:hAnsi="Times New Roman" w:eastAsia="宋体" w:cs="Times New Roman"/>
          <w:color w:val="auto"/>
          <w:w w:val="99"/>
          <w:highlight w:val="none"/>
          <w:lang w:val="en-US" w:eastAsia="zh-CN"/>
        </w:rPr>
      </w:pPr>
      <w:r>
        <w:rPr>
          <w:rFonts w:hint="default" w:ascii="Times New Roman" w:hAnsi="Times New Roman" w:eastAsia="宋体" w:cs="Times New Roman"/>
          <w:color w:val="auto"/>
          <w:w w:val="99"/>
          <w:highlight w:val="none"/>
          <w:lang w:val="en-US" w:eastAsia="zh-CN"/>
        </w:rPr>
        <w:t>本项目占地主要为施工期采气管线施工发生的临时占地，</w:t>
      </w:r>
      <w:r>
        <w:rPr>
          <w:rFonts w:hint="eastAsia" w:ascii="Times New Roman" w:hAnsi="Times New Roman" w:cs="Times New Roman"/>
          <w:color w:val="auto"/>
          <w:w w:val="99"/>
          <w:highlight w:val="none"/>
          <w:lang w:val="en-US" w:eastAsia="zh-CN"/>
        </w:rPr>
        <w:t>柱上变施工产生的永久占地及临时占地；</w:t>
      </w:r>
      <w:r>
        <w:rPr>
          <w:rFonts w:hint="default" w:ascii="Times New Roman" w:hAnsi="Times New Roman" w:eastAsia="宋体" w:cs="Times New Roman"/>
          <w:color w:val="auto"/>
          <w:w w:val="99"/>
          <w:highlight w:val="none"/>
          <w:lang w:val="en-US" w:eastAsia="zh-CN"/>
        </w:rPr>
        <w:t>徐深</w:t>
      </w:r>
      <w:r>
        <w:rPr>
          <w:rFonts w:hint="eastAsia" w:ascii="Times New Roman" w:hAnsi="Times New Roman" w:cs="Times New Roman"/>
          <w:color w:val="auto"/>
          <w:w w:val="99"/>
          <w:highlight w:val="none"/>
          <w:lang w:val="en-US" w:eastAsia="zh-CN"/>
        </w:rPr>
        <w:t>27</w:t>
      </w:r>
      <w:r>
        <w:rPr>
          <w:rFonts w:hint="default" w:ascii="Times New Roman" w:hAnsi="Times New Roman" w:eastAsia="宋体" w:cs="Times New Roman"/>
          <w:color w:val="auto"/>
          <w:w w:val="99"/>
          <w:highlight w:val="none"/>
          <w:lang w:val="en-US" w:eastAsia="zh-CN"/>
        </w:rPr>
        <w:t>集气站</w:t>
      </w:r>
      <w:r>
        <w:rPr>
          <w:rFonts w:hint="eastAsia" w:ascii="Times New Roman" w:hAnsi="Times New Roman" w:cs="Times New Roman"/>
          <w:color w:val="auto"/>
          <w:w w:val="99"/>
          <w:highlight w:val="none"/>
          <w:lang w:val="en-US" w:eastAsia="zh-CN"/>
        </w:rPr>
        <w:t>改造不新增占地</w:t>
      </w:r>
      <w:r>
        <w:rPr>
          <w:rFonts w:hint="default" w:ascii="Times New Roman" w:hAnsi="Times New Roman" w:eastAsia="宋体" w:cs="Times New Roman"/>
          <w:color w:val="auto"/>
          <w:w w:val="99"/>
          <w:highlight w:val="none"/>
          <w:lang w:val="en-US" w:eastAsia="zh-CN"/>
        </w:rPr>
        <w:t>。</w:t>
      </w:r>
    </w:p>
    <w:p w14:paraId="7376D05A">
      <w:pPr>
        <w:widowControl w:val="0"/>
        <w:autoSpaceDE w:val="0"/>
        <w:autoSpaceDN w:val="0"/>
        <w:spacing w:line="440" w:lineRule="exact"/>
        <w:ind w:firstLine="474" w:firstLineChars="200"/>
        <w:jc w:val="both"/>
        <w:rPr>
          <w:rFonts w:hint="default" w:ascii="Times New Roman" w:hAnsi="Times New Roman" w:eastAsia="宋体" w:cs="Times New Roman"/>
          <w:color w:val="auto"/>
          <w:w w:val="99"/>
          <w:highlight w:val="none"/>
          <w:lang w:val="en-US" w:eastAsia="zh-CN"/>
        </w:rPr>
      </w:pPr>
      <w:r>
        <w:rPr>
          <w:rFonts w:hint="default" w:ascii="Times New Roman" w:hAnsi="Times New Roman" w:eastAsia="宋体" w:cs="Times New Roman"/>
          <w:color w:val="auto"/>
          <w:w w:val="99"/>
          <w:highlight w:val="none"/>
          <w:lang w:val="en-US" w:eastAsia="zh-CN"/>
        </w:rPr>
        <w:t>（1）井场</w:t>
      </w:r>
      <w:r>
        <w:rPr>
          <w:rFonts w:hint="eastAsia" w:ascii="Times New Roman" w:hAnsi="Times New Roman" w:cs="Times New Roman"/>
          <w:color w:val="auto"/>
          <w:w w:val="99"/>
          <w:highlight w:val="none"/>
          <w:lang w:val="en-US" w:eastAsia="zh-CN"/>
        </w:rPr>
        <w:t>：</w:t>
      </w:r>
      <w:r>
        <w:rPr>
          <w:rFonts w:hint="default" w:ascii="Times New Roman" w:hAnsi="Times New Roman" w:eastAsia="宋体" w:cs="Times New Roman"/>
          <w:color w:val="auto"/>
          <w:w w:val="99"/>
          <w:highlight w:val="none"/>
          <w:lang w:val="en-US" w:eastAsia="zh-CN"/>
        </w:rPr>
        <w:t>本项目</w:t>
      </w:r>
      <w:r>
        <w:rPr>
          <w:rFonts w:hint="eastAsia" w:ascii="Times New Roman" w:hAnsi="Times New Roman" w:cs="Times New Roman"/>
          <w:color w:val="auto"/>
          <w:w w:val="99"/>
          <w:highlight w:val="none"/>
          <w:lang w:val="en-US" w:eastAsia="zh-CN"/>
        </w:rPr>
        <w:t>1</w:t>
      </w:r>
      <w:r>
        <w:rPr>
          <w:rFonts w:hint="default" w:ascii="Times New Roman" w:hAnsi="Times New Roman" w:eastAsia="宋体" w:cs="Times New Roman"/>
          <w:color w:val="auto"/>
          <w:w w:val="99"/>
          <w:highlight w:val="none"/>
          <w:lang w:val="en-US" w:eastAsia="zh-CN"/>
        </w:rPr>
        <w:t xml:space="preserve"> 座井场、放空池永久占地总计</w:t>
      </w:r>
      <w:r>
        <w:rPr>
          <w:rFonts w:hint="eastAsia" w:ascii="Times New Roman" w:hAnsi="Times New Roman" w:cs="Times New Roman"/>
          <w:color w:val="auto"/>
          <w:w w:val="99"/>
          <w:highlight w:val="none"/>
          <w:lang w:val="en-US" w:eastAsia="zh-CN"/>
        </w:rPr>
        <w:t>1596</w:t>
      </w:r>
      <w:r>
        <w:rPr>
          <w:rFonts w:hint="default" w:ascii="Times New Roman" w:hAnsi="Times New Roman" w:eastAsia="宋体" w:cs="Times New Roman"/>
          <w:color w:val="auto"/>
          <w:w w:val="99"/>
          <w:highlight w:val="none"/>
          <w:lang w:val="en-US" w:eastAsia="zh-CN"/>
        </w:rPr>
        <w:t>m</w:t>
      </w:r>
      <w:r>
        <w:rPr>
          <w:rFonts w:hint="default" w:ascii="Times New Roman" w:hAnsi="Times New Roman" w:eastAsia="宋体" w:cs="Times New Roman"/>
          <w:color w:val="auto"/>
          <w:w w:val="99"/>
          <w:highlight w:val="none"/>
          <w:vertAlign w:val="superscript"/>
          <w:lang w:val="en-US" w:eastAsia="zh-CN"/>
        </w:rPr>
        <w:t>2</w:t>
      </w:r>
      <w:r>
        <w:rPr>
          <w:rFonts w:hint="default" w:ascii="Times New Roman" w:hAnsi="Times New Roman" w:eastAsia="宋体" w:cs="Times New Roman"/>
          <w:color w:val="auto"/>
          <w:w w:val="99"/>
          <w:highlight w:val="none"/>
          <w:lang w:val="en-US" w:eastAsia="zh-CN"/>
        </w:rPr>
        <w:t xml:space="preserve"> </w:t>
      </w:r>
      <w:r>
        <w:rPr>
          <w:rFonts w:hint="eastAsia" w:ascii="Times New Roman" w:hAnsi="Times New Roman" w:cs="Times New Roman"/>
          <w:color w:val="auto"/>
          <w:w w:val="99"/>
          <w:highlight w:val="none"/>
          <w:lang w:val="en-US" w:eastAsia="zh-CN"/>
        </w:rPr>
        <w:t>，</w:t>
      </w:r>
      <w:r>
        <w:rPr>
          <w:rFonts w:hint="default" w:ascii="Times New Roman" w:hAnsi="Times New Roman" w:eastAsia="宋体" w:cs="Times New Roman"/>
          <w:color w:val="auto"/>
          <w:w w:val="99"/>
          <w:highlight w:val="none"/>
          <w:lang w:val="en-US" w:eastAsia="zh-CN"/>
        </w:rPr>
        <w:t>该部分临时占地和永久占地已在《徐深</w:t>
      </w:r>
      <w:r>
        <w:rPr>
          <w:rFonts w:hint="eastAsia" w:ascii="Times New Roman" w:hAnsi="Times New Roman" w:cs="Times New Roman"/>
          <w:color w:val="auto"/>
          <w:w w:val="99"/>
          <w:highlight w:val="none"/>
          <w:lang w:val="en-US" w:eastAsia="zh-CN"/>
        </w:rPr>
        <w:t>27-H1</w:t>
      </w:r>
      <w:r>
        <w:rPr>
          <w:rFonts w:hint="default" w:ascii="Times New Roman" w:hAnsi="Times New Roman" w:eastAsia="宋体" w:cs="Times New Roman"/>
          <w:color w:val="auto"/>
          <w:w w:val="99"/>
          <w:highlight w:val="none"/>
          <w:lang w:val="en-US" w:eastAsia="zh-CN"/>
        </w:rPr>
        <w:t>钻井工程环境影响报告书》（批复：绥环审〔2025〕67号）中评价，本次不再重复核算。</w:t>
      </w:r>
    </w:p>
    <w:p w14:paraId="255DC9FF">
      <w:pPr>
        <w:widowControl w:val="0"/>
        <w:autoSpaceDE w:val="0"/>
        <w:autoSpaceDN w:val="0"/>
        <w:spacing w:line="440" w:lineRule="exact"/>
        <w:ind w:firstLine="474" w:firstLineChars="200"/>
        <w:jc w:val="both"/>
        <w:rPr>
          <w:rFonts w:hint="eastAsia" w:ascii="Times New Roman" w:hAnsi="Times New Roman" w:eastAsia="宋体" w:cs="Times New Roman"/>
          <w:color w:val="auto"/>
          <w:w w:val="99"/>
          <w:highlight w:val="none"/>
          <w:lang w:val="en-US" w:eastAsia="zh-CN"/>
        </w:rPr>
      </w:pPr>
      <w:r>
        <w:rPr>
          <w:rFonts w:hint="eastAsia" w:ascii="Times New Roman" w:hAnsi="Times New Roman" w:cs="Times New Roman"/>
          <w:color w:val="auto"/>
          <w:w w:val="99"/>
          <w:highlight w:val="none"/>
          <w:lang w:val="en-US" w:eastAsia="zh-CN"/>
        </w:rPr>
        <w:t>（2）</w:t>
      </w:r>
      <w:r>
        <w:rPr>
          <w:rFonts w:hint="eastAsia" w:ascii="Times New Roman" w:hAnsi="Times New Roman" w:eastAsia="宋体" w:cs="Times New Roman"/>
          <w:color w:val="auto"/>
          <w:w w:val="99"/>
          <w:highlight w:val="none"/>
          <w:lang w:val="en-US" w:eastAsia="zh-CN"/>
        </w:rPr>
        <w:t>道路工程</w:t>
      </w:r>
      <w:r>
        <w:rPr>
          <w:rFonts w:hint="eastAsia" w:ascii="Times New Roman" w:hAnsi="Times New Roman" w:cs="Times New Roman"/>
          <w:color w:val="auto"/>
          <w:w w:val="99"/>
          <w:highlight w:val="none"/>
          <w:lang w:val="en-US" w:eastAsia="zh-CN"/>
        </w:rPr>
        <w:t>：</w:t>
      </w:r>
      <w:r>
        <w:rPr>
          <w:rFonts w:hint="default" w:ascii="Times New Roman" w:hAnsi="Times New Roman" w:eastAsia="宋体" w:cs="Times New Roman"/>
          <w:color w:val="auto"/>
          <w:w w:val="99"/>
          <w:highlight w:val="none"/>
          <w:lang w:val="en-US" w:eastAsia="zh-CN"/>
        </w:rPr>
        <w:t>项目道路</w:t>
      </w:r>
      <w:r>
        <w:rPr>
          <w:rFonts w:hint="eastAsia" w:ascii="Times New Roman" w:hAnsi="Times New Roman" w:eastAsia="宋体" w:cs="Times New Roman"/>
          <w:color w:val="auto"/>
          <w:w w:val="99"/>
          <w:highlight w:val="none"/>
          <w:lang w:val="en-US" w:eastAsia="zh-CN"/>
        </w:rPr>
        <w:t>工程</w:t>
      </w:r>
      <w:r>
        <w:rPr>
          <w:rFonts w:hint="default" w:ascii="Times New Roman" w:hAnsi="Times New Roman" w:eastAsia="宋体" w:cs="Times New Roman"/>
          <w:color w:val="auto"/>
          <w:w w:val="99"/>
          <w:highlight w:val="none"/>
          <w:lang w:val="en-US" w:eastAsia="zh-CN"/>
        </w:rPr>
        <w:t>永久占地按道路长度×路基宽度计算，</w:t>
      </w:r>
      <w:r>
        <w:rPr>
          <w:rFonts w:hint="eastAsia" w:ascii="Times New Roman" w:hAnsi="Times New Roman" w:cs="Times New Roman"/>
          <w:color w:val="auto"/>
          <w:w w:val="99"/>
          <w:highlight w:val="none"/>
          <w:lang w:val="en-US" w:eastAsia="zh-CN"/>
        </w:rPr>
        <w:t xml:space="preserve"> 本项目规划</w:t>
      </w:r>
      <w:r>
        <w:rPr>
          <w:rFonts w:hint="default" w:ascii="Times New Roman" w:hAnsi="Times New Roman" w:cs="Times New Roman" w:eastAsiaTheme="minorEastAsia"/>
          <w:bCs/>
          <w:color w:val="auto"/>
          <w:w w:val="99"/>
          <w:highlight w:val="none"/>
        </w:rPr>
        <w:t>建设路面宽3.5m、路基宽4.5m的沥青砼通井路</w:t>
      </w:r>
      <w:r>
        <w:rPr>
          <w:rFonts w:hint="eastAsia" w:ascii="Times New Roman" w:hAnsi="Times New Roman" w:cs="Times New Roman" w:eastAsiaTheme="minorEastAsia"/>
          <w:bCs/>
          <w:color w:val="auto"/>
          <w:w w:val="99"/>
          <w:highlight w:val="none"/>
          <w:lang w:val="en-US" w:eastAsia="zh-CN"/>
        </w:rPr>
        <w:t>0.2</w:t>
      </w:r>
      <w:r>
        <w:rPr>
          <w:rFonts w:hint="default" w:ascii="Times New Roman" w:hAnsi="Times New Roman" w:cs="Times New Roman" w:eastAsiaTheme="minorEastAsia"/>
          <w:bCs/>
          <w:color w:val="auto"/>
          <w:w w:val="99"/>
          <w:highlight w:val="none"/>
        </w:rPr>
        <w:t>km</w:t>
      </w:r>
      <w:r>
        <w:rPr>
          <w:rFonts w:hint="eastAsia" w:ascii="Times New Roman" w:hAnsi="Times New Roman" w:eastAsia="宋体" w:cs="Times New Roman"/>
          <w:color w:val="auto"/>
          <w:w w:val="99"/>
          <w:highlight w:val="none"/>
          <w:lang w:val="en-US" w:eastAsia="zh-CN"/>
        </w:rPr>
        <w:t>，</w:t>
      </w:r>
      <w:r>
        <w:rPr>
          <w:rFonts w:hint="default" w:ascii="Times New Roman" w:hAnsi="Times New Roman" w:eastAsia="宋体" w:cs="Times New Roman"/>
          <w:color w:val="auto"/>
          <w:w w:val="99"/>
          <w:highlight w:val="none"/>
          <w:lang w:val="en-US" w:eastAsia="zh-CN"/>
        </w:rPr>
        <w:t>则道路</w:t>
      </w:r>
      <w:r>
        <w:rPr>
          <w:rFonts w:hint="eastAsia" w:ascii="Times New Roman" w:hAnsi="Times New Roman" w:eastAsia="宋体" w:cs="Times New Roman"/>
          <w:color w:val="auto"/>
          <w:w w:val="99"/>
          <w:highlight w:val="none"/>
          <w:lang w:val="en-US" w:eastAsia="zh-CN"/>
        </w:rPr>
        <w:t>工程</w:t>
      </w:r>
      <w:r>
        <w:rPr>
          <w:rFonts w:hint="default" w:ascii="Times New Roman" w:hAnsi="Times New Roman" w:eastAsia="宋体" w:cs="Times New Roman"/>
          <w:color w:val="auto"/>
          <w:w w:val="99"/>
          <w:highlight w:val="none"/>
          <w:lang w:val="en-US" w:eastAsia="zh-CN"/>
        </w:rPr>
        <w:t>永久占</w:t>
      </w:r>
      <w:r>
        <w:rPr>
          <w:rFonts w:hint="eastAsia" w:ascii="Times New Roman" w:hAnsi="Times New Roman" w:eastAsia="宋体" w:cs="Times New Roman"/>
          <w:color w:val="auto"/>
          <w:w w:val="99"/>
          <w:highlight w:val="none"/>
          <w:lang w:val="en-US" w:eastAsia="zh-CN"/>
        </w:rPr>
        <w:t>地共计</w:t>
      </w:r>
      <w:r>
        <w:rPr>
          <w:rFonts w:hint="eastAsia" w:ascii="Times New Roman" w:hAnsi="Times New Roman" w:cs="Times New Roman"/>
          <w:color w:val="auto"/>
          <w:w w:val="99"/>
          <w:highlight w:val="none"/>
          <w:lang w:val="en-US" w:eastAsia="zh-CN"/>
        </w:rPr>
        <w:t>0.09h</w:t>
      </w:r>
      <w:r>
        <w:rPr>
          <w:rFonts w:hint="default" w:ascii="Times New Roman" w:hAnsi="Times New Roman" w:eastAsia="宋体" w:cs="Times New Roman"/>
          <w:color w:val="auto"/>
          <w:w w:val="99"/>
          <w:highlight w:val="none"/>
          <w:lang w:val="en-US" w:eastAsia="zh-CN"/>
        </w:rPr>
        <w:t>m</w:t>
      </w:r>
      <w:r>
        <w:rPr>
          <w:rFonts w:hint="default" w:ascii="Times New Roman" w:hAnsi="Times New Roman" w:eastAsia="宋体" w:cs="Times New Roman"/>
          <w:color w:val="auto"/>
          <w:w w:val="99"/>
          <w:highlight w:val="none"/>
          <w:vertAlign w:val="superscript"/>
          <w:lang w:val="en-US" w:eastAsia="zh-CN"/>
        </w:rPr>
        <w:t>2</w:t>
      </w:r>
      <w:r>
        <w:rPr>
          <w:rFonts w:hint="eastAsia" w:ascii="Times New Roman" w:hAnsi="Times New Roman" w:eastAsia="宋体" w:cs="Times New Roman"/>
          <w:color w:val="auto"/>
          <w:w w:val="99"/>
          <w:highlight w:val="none"/>
          <w:lang w:val="en-US" w:eastAsia="zh-CN"/>
        </w:rPr>
        <w:t>。</w:t>
      </w:r>
    </w:p>
    <w:p w14:paraId="6A9CA985">
      <w:pPr>
        <w:widowControl w:val="0"/>
        <w:autoSpaceDE w:val="0"/>
        <w:autoSpaceDN w:val="0"/>
        <w:spacing w:line="440" w:lineRule="exact"/>
        <w:ind w:firstLine="474" w:firstLineChars="200"/>
        <w:jc w:val="both"/>
        <w:rPr>
          <w:rFonts w:hint="default" w:ascii="Times New Roman" w:hAnsi="Times New Roman" w:eastAsia="宋体" w:cs="Times New Roman"/>
          <w:color w:val="auto"/>
          <w:w w:val="99"/>
          <w:highlight w:val="none"/>
          <w:lang w:val="en-US" w:eastAsia="zh-CN"/>
        </w:rPr>
      </w:pPr>
      <w:r>
        <w:rPr>
          <w:rFonts w:hint="eastAsia" w:ascii="Times New Roman" w:hAnsi="Times New Roman" w:cs="Times New Roman"/>
          <w:color w:val="auto"/>
          <w:w w:val="99"/>
          <w:highlight w:val="none"/>
          <w:lang w:val="en-US" w:eastAsia="zh-CN"/>
        </w:rPr>
        <w:t>（3）</w:t>
      </w:r>
      <w:r>
        <w:rPr>
          <w:rFonts w:hint="default" w:ascii="Times New Roman" w:hAnsi="Times New Roman" w:eastAsia="宋体" w:cs="Times New Roman"/>
          <w:color w:val="auto"/>
          <w:w w:val="99"/>
          <w:highlight w:val="none"/>
          <w:lang w:val="en-US" w:eastAsia="zh-CN"/>
        </w:rPr>
        <w:t>柱上变电站</w:t>
      </w:r>
      <w:r>
        <w:rPr>
          <w:rFonts w:hint="eastAsia" w:ascii="Times New Roman" w:hAnsi="Times New Roman" w:cs="Times New Roman"/>
          <w:color w:val="auto"/>
          <w:w w:val="99"/>
          <w:highlight w:val="none"/>
          <w:lang w:val="en-US" w:eastAsia="zh-CN"/>
        </w:rPr>
        <w:t>：</w:t>
      </w:r>
      <w:r>
        <w:rPr>
          <w:rFonts w:hint="default" w:ascii="Times New Roman" w:hAnsi="Times New Roman" w:eastAsia="宋体" w:cs="Times New Roman"/>
          <w:color w:val="auto"/>
          <w:w w:val="99"/>
          <w:highlight w:val="none"/>
          <w:lang w:val="en-US" w:eastAsia="zh-CN"/>
        </w:rPr>
        <w:t>单座柱上变电站</w:t>
      </w:r>
      <w:r>
        <w:rPr>
          <w:rFonts w:hint="eastAsia" w:ascii="Times New Roman" w:hAnsi="Times New Roman" w:cs="Times New Roman"/>
          <w:color w:val="auto"/>
          <w:w w:val="99"/>
          <w:highlight w:val="none"/>
          <w:lang w:val="en-US" w:eastAsia="zh-CN"/>
        </w:rPr>
        <w:t>临时</w:t>
      </w:r>
      <w:r>
        <w:rPr>
          <w:rFonts w:hint="default" w:ascii="Times New Roman" w:hAnsi="Times New Roman" w:eastAsia="宋体" w:cs="Times New Roman"/>
          <w:color w:val="auto"/>
          <w:w w:val="99"/>
          <w:highlight w:val="none"/>
          <w:lang w:val="en-US" w:eastAsia="zh-CN"/>
        </w:rPr>
        <w:t>占地面积按30m</w:t>
      </w:r>
      <w:r>
        <w:rPr>
          <w:rFonts w:hint="default" w:ascii="Times New Roman" w:hAnsi="Times New Roman" w:eastAsia="宋体" w:cs="Times New Roman"/>
          <w:color w:val="auto"/>
          <w:w w:val="99"/>
          <w:highlight w:val="none"/>
          <w:vertAlign w:val="superscript"/>
          <w:lang w:val="en-US" w:eastAsia="zh-CN"/>
        </w:rPr>
        <w:t>2</w:t>
      </w:r>
      <w:r>
        <w:rPr>
          <w:rFonts w:hint="default" w:ascii="Times New Roman" w:hAnsi="Times New Roman" w:eastAsia="宋体" w:cs="Times New Roman"/>
          <w:color w:val="auto"/>
          <w:w w:val="99"/>
          <w:highlight w:val="none"/>
          <w:lang w:val="en-US" w:eastAsia="zh-CN"/>
        </w:rPr>
        <w:t>计算，</w:t>
      </w:r>
      <w:r>
        <w:rPr>
          <w:rFonts w:hint="eastAsia" w:ascii="Times New Roman" w:hAnsi="Times New Roman" w:cs="Times New Roman"/>
          <w:color w:val="auto"/>
          <w:w w:val="99"/>
          <w:highlight w:val="none"/>
          <w:lang w:val="en-US" w:eastAsia="zh-CN"/>
        </w:rPr>
        <w:t>永久占地按照1</w:t>
      </w:r>
      <w:r>
        <w:rPr>
          <w:rFonts w:hint="default" w:ascii="Times New Roman" w:hAnsi="Times New Roman" w:eastAsia="宋体" w:cs="Times New Roman"/>
          <w:color w:val="auto"/>
          <w:w w:val="99"/>
          <w:highlight w:val="none"/>
          <w:lang w:val="en-US" w:eastAsia="zh-CN"/>
        </w:rPr>
        <w:t>m</w:t>
      </w:r>
      <w:r>
        <w:rPr>
          <w:rFonts w:hint="default" w:ascii="Times New Roman" w:hAnsi="Times New Roman" w:eastAsia="宋体" w:cs="Times New Roman"/>
          <w:color w:val="auto"/>
          <w:w w:val="99"/>
          <w:highlight w:val="none"/>
          <w:vertAlign w:val="superscript"/>
          <w:lang w:val="en-US" w:eastAsia="zh-CN"/>
        </w:rPr>
        <w:t>2</w:t>
      </w:r>
      <w:r>
        <w:rPr>
          <w:rFonts w:hint="eastAsia" w:ascii="Times New Roman" w:hAnsi="Times New Roman" w:cs="Times New Roman"/>
          <w:color w:val="auto"/>
          <w:w w:val="99"/>
          <w:highlight w:val="none"/>
          <w:vertAlign w:val="baseline"/>
          <w:lang w:val="en-US" w:eastAsia="zh-CN"/>
        </w:rPr>
        <w:t>计算，</w:t>
      </w:r>
      <w:r>
        <w:rPr>
          <w:rFonts w:hint="default" w:ascii="Times New Roman" w:hAnsi="Times New Roman" w:eastAsia="宋体" w:cs="Times New Roman"/>
          <w:color w:val="auto"/>
          <w:w w:val="99"/>
          <w:highlight w:val="none"/>
          <w:lang w:val="en-US" w:eastAsia="zh-CN"/>
        </w:rPr>
        <w:t>则</w:t>
      </w:r>
      <w:r>
        <w:rPr>
          <w:rFonts w:hint="eastAsia" w:ascii="Times New Roman" w:hAnsi="Times New Roman" w:cs="Times New Roman"/>
          <w:color w:val="auto"/>
          <w:w w:val="99"/>
          <w:highlight w:val="none"/>
          <w:lang w:val="en-US" w:eastAsia="zh-CN"/>
        </w:rPr>
        <w:t>本项目</w:t>
      </w:r>
      <w:r>
        <w:rPr>
          <w:rFonts w:hint="default" w:ascii="Times New Roman" w:hAnsi="Times New Roman" w:eastAsia="宋体" w:cs="Times New Roman"/>
          <w:color w:val="auto"/>
          <w:w w:val="99"/>
          <w:highlight w:val="none"/>
        </w:rPr>
        <w:t>柱上变电站</w:t>
      </w:r>
      <w:r>
        <w:rPr>
          <w:rFonts w:hint="default" w:ascii="Times New Roman" w:hAnsi="Times New Roman" w:eastAsia="宋体" w:cs="Times New Roman"/>
          <w:color w:val="auto"/>
          <w:w w:val="99"/>
          <w:highlight w:val="none"/>
          <w:lang w:val="en-US" w:eastAsia="zh-CN"/>
        </w:rPr>
        <w:t>永久占用耕地</w:t>
      </w:r>
      <w:r>
        <w:rPr>
          <w:rFonts w:hint="eastAsia" w:ascii="Times New Roman" w:hAnsi="Times New Roman" w:cs="Times New Roman"/>
          <w:color w:val="auto"/>
          <w:w w:val="99"/>
          <w:highlight w:val="none"/>
          <w:lang w:val="en-US" w:eastAsia="zh-CN"/>
        </w:rPr>
        <w:t>1</w:t>
      </w:r>
      <w:r>
        <w:rPr>
          <w:rFonts w:hint="default" w:ascii="Times New Roman" w:hAnsi="Times New Roman" w:eastAsia="宋体" w:cs="Times New Roman"/>
          <w:color w:val="auto"/>
          <w:w w:val="99"/>
          <w:highlight w:val="none"/>
          <w:lang w:val="en-US" w:eastAsia="zh-CN"/>
        </w:rPr>
        <w:t>m</w:t>
      </w:r>
      <w:r>
        <w:rPr>
          <w:rFonts w:hint="default" w:ascii="Times New Roman" w:hAnsi="Times New Roman" w:eastAsia="宋体" w:cs="Times New Roman"/>
          <w:color w:val="auto"/>
          <w:w w:val="99"/>
          <w:highlight w:val="none"/>
          <w:vertAlign w:val="superscript"/>
          <w:lang w:val="en-US" w:eastAsia="zh-CN"/>
        </w:rPr>
        <w:t>2</w:t>
      </w:r>
      <w:r>
        <w:rPr>
          <w:rFonts w:hint="eastAsia" w:ascii="Times New Roman" w:hAnsi="Times New Roman" w:cs="Times New Roman"/>
          <w:color w:val="auto"/>
          <w:w w:val="99"/>
          <w:highlight w:val="none"/>
          <w:vertAlign w:val="baseline"/>
          <w:lang w:val="en-US" w:eastAsia="zh-CN"/>
        </w:rPr>
        <w:t>，临时占地29m</w:t>
      </w:r>
      <w:r>
        <w:rPr>
          <w:rFonts w:hint="eastAsia" w:ascii="Times New Roman" w:hAnsi="Times New Roman" w:cs="Times New Roman"/>
          <w:color w:val="auto"/>
          <w:w w:val="99"/>
          <w:highlight w:val="none"/>
          <w:vertAlign w:val="superscript"/>
          <w:lang w:val="en-US" w:eastAsia="zh-CN"/>
        </w:rPr>
        <w:t>2</w:t>
      </w:r>
      <w:r>
        <w:rPr>
          <w:rFonts w:hint="default" w:ascii="Times New Roman" w:hAnsi="Times New Roman" w:eastAsia="宋体" w:cs="Times New Roman"/>
          <w:color w:val="auto"/>
          <w:w w:val="99"/>
          <w:highlight w:val="none"/>
          <w:lang w:val="en-US" w:eastAsia="zh-CN"/>
        </w:rPr>
        <w:t>。</w:t>
      </w:r>
    </w:p>
    <w:p w14:paraId="39A11E99">
      <w:pPr>
        <w:widowControl w:val="0"/>
        <w:autoSpaceDE w:val="0"/>
        <w:autoSpaceDN w:val="0"/>
        <w:spacing w:line="440" w:lineRule="exact"/>
        <w:ind w:firstLine="474" w:firstLineChars="200"/>
        <w:jc w:val="both"/>
        <w:rPr>
          <w:rFonts w:hint="default" w:ascii="Times New Roman" w:hAnsi="Times New Roman" w:eastAsia="宋体" w:cs="Times New Roman"/>
          <w:color w:val="auto"/>
          <w:w w:val="99"/>
          <w:highlight w:val="none"/>
          <w:lang w:val="en-US" w:eastAsia="zh-CN"/>
        </w:rPr>
      </w:pPr>
      <w:r>
        <w:rPr>
          <w:rFonts w:hint="eastAsia" w:ascii="Times New Roman" w:hAnsi="Times New Roman" w:cs="Times New Roman"/>
          <w:color w:val="auto"/>
          <w:w w:val="99"/>
          <w:highlight w:val="none"/>
          <w:lang w:val="en-US" w:eastAsia="zh-CN"/>
        </w:rPr>
        <w:t>（4）管线工程：</w:t>
      </w:r>
      <w:r>
        <w:rPr>
          <w:rFonts w:hint="default" w:ascii="Times New Roman" w:hAnsi="Times New Roman" w:eastAsia="宋体" w:cs="Times New Roman"/>
          <w:color w:val="auto"/>
          <w:w w:val="99"/>
          <w:highlight w:val="none"/>
          <w:lang w:val="en-US" w:eastAsia="zh-CN"/>
        </w:rPr>
        <w:t>新建站外单井采气</w:t>
      </w:r>
      <w:r>
        <w:rPr>
          <w:rFonts w:hint="eastAsia" w:ascii="Times New Roman" w:hAnsi="Times New Roman" w:eastAsia="宋体" w:cs="Times New Roman"/>
          <w:color w:val="auto"/>
          <w:w w:val="99"/>
          <w:highlight w:val="none"/>
          <w:lang w:val="en-US" w:eastAsia="zh-CN"/>
        </w:rPr>
        <w:t>管线</w:t>
      </w:r>
      <w:r>
        <w:rPr>
          <w:rFonts w:hint="eastAsia" w:ascii="Times New Roman" w:hAnsi="Times New Roman" w:cs="Times New Roman"/>
          <w:color w:val="auto"/>
          <w:w w:val="99"/>
          <w:highlight w:val="none"/>
          <w:lang w:val="en-US" w:eastAsia="zh-CN"/>
        </w:rPr>
        <w:t>1.92</w:t>
      </w:r>
      <w:r>
        <w:rPr>
          <w:rFonts w:hint="default" w:ascii="Times New Roman" w:hAnsi="Times New Roman" w:eastAsia="宋体" w:cs="Times New Roman"/>
          <w:color w:val="auto"/>
          <w:w w:val="99"/>
          <w:highlight w:val="none"/>
          <w:lang w:val="en-US" w:eastAsia="zh-CN"/>
        </w:rPr>
        <w:t>km</w:t>
      </w:r>
      <w:r>
        <w:rPr>
          <w:rFonts w:hint="eastAsia" w:ascii="Times New Roman" w:hAnsi="Times New Roman" w:eastAsia="宋体" w:cs="Times New Roman"/>
          <w:color w:val="auto"/>
          <w:w w:val="99"/>
          <w:highlight w:val="none"/>
          <w:lang w:val="en-US" w:eastAsia="zh-CN"/>
        </w:rPr>
        <w:t>，</w:t>
      </w:r>
      <w:r>
        <w:rPr>
          <w:rFonts w:hint="eastAsia" w:ascii="Times New Roman" w:hAnsi="Times New Roman" w:cs="Times New Roman"/>
          <w:color w:val="auto"/>
          <w:w w:val="99"/>
          <w:highlight w:val="none"/>
          <w:lang w:val="en-US" w:eastAsia="zh-CN"/>
        </w:rPr>
        <w:t>占地类型为永久基本农田，</w:t>
      </w:r>
      <w:r>
        <w:rPr>
          <w:rFonts w:hint="eastAsia" w:ascii="Times New Roman" w:hAnsi="Times New Roman" w:eastAsia="宋体" w:cs="Times New Roman"/>
          <w:color w:val="auto"/>
          <w:w w:val="99"/>
          <w:highlight w:val="none"/>
          <w:lang w:val="en-US" w:eastAsia="zh-CN"/>
        </w:rPr>
        <w:t>管线</w:t>
      </w:r>
      <w:r>
        <w:rPr>
          <w:rFonts w:hint="default" w:ascii="Times New Roman" w:hAnsi="Times New Roman" w:eastAsia="宋体" w:cs="Times New Roman"/>
          <w:color w:val="auto"/>
          <w:w w:val="99"/>
          <w:highlight w:val="none"/>
          <w:lang w:val="en-US" w:eastAsia="zh-CN"/>
        </w:rPr>
        <w:t>施工作业面宽度为10m</w:t>
      </w:r>
      <w:r>
        <w:rPr>
          <w:rFonts w:hint="eastAsia" w:ascii="Times New Roman" w:hAnsi="Times New Roman" w:eastAsia="宋体" w:cs="Times New Roman"/>
          <w:color w:val="auto"/>
          <w:w w:val="99"/>
          <w:highlight w:val="none"/>
          <w:lang w:val="en-US" w:eastAsia="zh-CN"/>
        </w:rPr>
        <w:t>（</w:t>
      </w:r>
      <w:r>
        <w:rPr>
          <w:rFonts w:hint="default" w:ascii="Times New Roman" w:hAnsi="Times New Roman" w:eastAsia="宋体" w:cs="Times New Roman"/>
          <w:color w:val="auto"/>
          <w:w w:val="99"/>
          <w:highlight w:val="none"/>
          <w:lang w:val="en-US" w:eastAsia="zh-CN"/>
        </w:rPr>
        <w:t>其中施工便道宽4m，管沟带宽2m，置土带4m</w:t>
      </w:r>
      <w:r>
        <w:rPr>
          <w:rFonts w:hint="eastAsia" w:ascii="Times New Roman" w:hAnsi="Times New Roman" w:eastAsia="宋体" w:cs="Times New Roman"/>
          <w:color w:val="auto"/>
          <w:w w:val="99"/>
          <w:highlight w:val="none"/>
          <w:lang w:val="en-US" w:eastAsia="zh-CN"/>
        </w:rPr>
        <w:t>）</w:t>
      </w:r>
      <w:r>
        <w:rPr>
          <w:rFonts w:hint="default" w:ascii="Times New Roman" w:hAnsi="Times New Roman" w:eastAsia="宋体" w:cs="Times New Roman"/>
          <w:color w:val="auto"/>
          <w:w w:val="99"/>
          <w:highlight w:val="none"/>
          <w:lang w:val="en-US" w:eastAsia="zh-CN"/>
        </w:rPr>
        <w:t>，</w:t>
      </w:r>
      <w:r>
        <w:rPr>
          <w:rFonts w:hint="eastAsia" w:ascii="Times New Roman" w:hAnsi="Times New Roman" w:cs="Times New Roman"/>
          <w:color w:val="auto"/>
          <w:w w:val="99"/>
          <w:highlight w:val="none"/>
          <w:lang w:val="en-US" w:eastAsia="zh-CN"/>
        </w:rPr>
        <w:t>则</w:t>
      </w:r>
      <w:r>
        <w:rPr>
          <w:rFonts w:hint="default" w:ascii="Times New Roman" w:hAnsi="Times New Roman" w:eastAsia="宋体" w:cs="Times New Roman"/>
          <w:color w:val="auto"/>
          <w:w w:val="99"/>
          <w:highlight w:val="none"/>
          <w:lang w:val="en-US" w:eastAsia="zh-CN"/>
        </w:rPr>
        <w:t>管道施工临时占用</w:t>
      </w:r>
      <w:r>
        <w:rPr>
          <w:rFonts w:hint="eastAsia" w:ascii="Times New Roman" w:hAnsi="Times New Roman" w:cs="Times New Roman"/>
          <w:color w:val="auto"/>
          <w:w w:val="99"/>
          <w:highlight w:val="none"/>
          <w:lang w:val="en-US" w:eastAsia="zh-CN"/>
        </w:rPr>
        <w:t>永久</w:t>
      </w:r>
      <w:r>
        <w:rPr>
          <w:rFonts w:hint="eastAsia" w:ascii="Times New Roman" w:hAnsi="Times New Roman" w:eastAsia="宋体" w:cs="Times New Roman"/>
          <w:color w:val="auto"/>
          <w:w w:val="99"/>
          <w:highlight w:val="none"/>
          <w:lang w:val="en-US" w:eastAsia="zh-CN"/>
        </w:rPr>
        <w:t>基本农田</w:t>
      </w:r>
      <w:r>
        <w:rPr>
          <w:rFonts w:hint="eastAsia" w:ascii="Times New Roman" w:hAnsi="Times New Roman" w:cs="Times New Roman"/>
          <w:color w:val="auto"/>
          <w:w w:val="99"/>
          <w:highlight w:val="none"/>
          <w:lang w:val="en-US" w:eastAsia="zh-CN"/>
        </w:rPr>
        <w:t>1.92h</w:t>
      </w:r>
      <w:r>
        <w:rPr>
          <w:rFonts w:hint="default" w:ascii="Times New Roman" w:hAnsi="Times New Roman" w:eastAsia="宋体" w:cs="Times New Roman"/>
          <w:color w:val="auto"/>
          <w:w w:val="99"/>
          <w:highlight w:val="none"/>
          <w:lang w:val="en-US" w:eastAsia="zh-CN"/>
        </w:rPr>
        <w:t>m</w:t>
      </w:r>
      <w:r>
        <w:rPr>
          <w:rFonts w:hint="default" w:ascii="Times New Roman" w:hAnsi="Times New Roman" w:eastAsia="宋体" w:cs="Times New Roman"/>
          <w:color w:val="auto"/>
          <w:w w:val="99"/>
          <w:highlight w:val="none"/>
          <w:vertAlign w:val="superscript"/>
          <w:lang w:val="en-US" w:eastAsia="zh-CN"/>
        </w:rPr>
        <w:t>2</w:t>
      </w:r>
      <w:r>
        <w:rPr>
          <w:rFonts w:hint="default" w:ascii="Times New Roman" w:hAnsi="Times New Roman" w:eastAsia="宋体" w:cs="Times New Roman"/>
          <w:color w:val="auto"/>
          <w:w w:val="99"/>
          <w:highlight w:val="none"/>
          <w:lang w:val="en-US" w:eastAsia="zh-CN"/>
        </w:rPr>
        <w:t>。</w:t>
      </w:r>
    </w:p>
    <w:p w14:paraId="25AF82B4">
      <w:pPr>
        <w:keepNext w:val="0"/>
        <w:keepLines w:val="0"/>
        <w:pageBreakBefore w:val="0"/>
        <w:widowControl w:val="0"/>
        <w:kinsoku/>
        <w:wordWrap/>
        <w:overflowPunct/>
        <w:topLinePunct w:val="0"/>
        <w:autoSpaceDE w:val="0"/>
        <w:autoSpaceDN w:val="0"/>
        <w:bidi w:val="0"/>
        <w:spacing w:line="440" w:lineRule="exact"/>
        <w:ind w:firstLine="474" w:firstLineChars="200"/>
        <w:jc w:val="both"/>
        <w:textAlignment w:val="auto"/>
        <w:rPr>
          <w:rFonts w:hint="default" w:ascii="Times New Roman" w:hAnsi="Times New Roman" w:eastAsia="宋体" w:cs="Times New Roman"/>
          <w:color w:val="auto"/>
          <w:w w:val="99"/>
          <w:highlight w:val="none"/>
          <w:lang w:val="en-US" w:eastAsia="zh-CN"/>
        </w:rPr>
      </w:pPr>
      <w:r>
        <w:rPr>
          <w:rFonts w:hint="default" w:ascii="Times New Roman" w:hAnsi="Times New Roman" w:eastAsia="宋体" w:cs="Times New Roman"/>
          <w:color w:val="auto"/>
          <w:w w:val="99"/>
          <w:highlight w:val="none"/>
          <w:lang w:val="en-US" w:eastAsia="zh-CN"/>
        </w:rPr>
        <w:t>工程占地情况一览表见表</w:t>
      </w:r>
      <w:r>
        <w:rPr>
          <w:rFonts w:hint="eastAsia" w:ascii="Times New Roman" w:hAnsi="Times New Roman" w:eastAsia="宋体" w:cs="Times New Roman"/>
          <w:color w:val="auto"/>
          <w:w w:val="99"/>
          <w:highlight w:val="none"/>
          <w:lang w:val="en-US" w:eastAsia="zh-CN"/>
        </w:rPr>
        <w:t>3.</w:t>
      </w:r>
      <w:r>
        <w:rPr>
          <w:rFonts w:hint="eastAsia" w:ascii="Times New Roman" w:hAnsi="Times New Roman" w:cs="Times New Roman"/>
          <w:color w:val="auto"/>
          <w:w w:val="99"/>
          <w:highlight w:val="none"/>
          <w:lang w:val="en-US" w:eastAsia="zh-CN"/>
        </w:rPr>
        <w:t>6-1</w:t>
      </w:r>
      <w:r>
        <w:rPr>
          <w:rFonts w:hint="default" w:ascii="Times New Roman" w:hAnsi="Times New Roman" w:eastAsia="宋体" w:cs="Times New Roman"/>
          <w:color w:val="auto"/>
          <w:w w:val="99"/>
          <w:highlight w:val="none"/>
          <w:lang w:val="en-US" w:eastAsia="zh-CN"/>
        </w:rPr>
        <w:t>。</w:t>
      </w:r>
    </w:p>
    <w:p w14:paraId="309419AC">
      <w:pPr>
        <w:keepNext w:val="0"/>
        <w:keepLines w:val="0"/>
        <w:pageBreakBefore w:val="0"/>
        <w:widowControl w:val="0"/>
        <w:kinsoku/>
        <w:wordWrap/>
        <w:overflowPunct/>
        <w:topLinePunct w:val="0"/>
        <w:bidi w:val="0"/>
        <w:adjustRightInd w:val="0"/>
        <w:snapToGrid w:val="0"/>
        <w:spacing w:after="0" w:line="440" w:lineRule="exact"/>
        <w:ind w:left="0" w:leftChars="0" w:firstLine="476" w:firstLineChars="200"/>
        <w:jc w:val="both"/>
        <w:textAlignment w:val="auto"/>
        <w:rPr>
          <w:rFonts w:hint="default" w:ascii="Times New Roman" w:hAnsi="Times New Roman" w:eastAsia="宋体" w:cs="Times New Roman"/>
          <w:b/>
          <w:color w:val="auto"/>
          <w:sz w:val="24"/>
          <w:szCs w:val="22"/>
          <w:highlight w:val="none"/>
          <w:lang w:val="en-US" w:eastAsia="zh-CN" w:bidi="ar-SA"/>
        </w:rPr>
      </w:pPr>
      <w:r>
        <w:rPr>
          <w:rFonts w:hint="default" w:ascii="Times New Roman" w:hAnsi="Times New Roman" w:eastAsia="宋体" w:cs="Times New Roman"/>
          <w:b/>
          <w:bCs/>
          <w:color w:val="auto"/>
          <w:w w:val="99"/>
          <w:highlight w:val="none"/>
          <w:lang w:val="en-US" w:eastAsia="zh-CN"/>
        </w:rPr>
        <w:t>表</w:t>
      </w:r>
      <w:r>
        <w:rPr>
          <w:rFonts w:hint="eastAsia" w:ascii="Times New Roman" w:hAnsi="Times New Roman" w:eastAsia="宋体" w:cs="Times New Roman"/>
          <w:b/>
          <w:bCs/>
          <w:color w:val="auto"/>
          <w:w w:val="99"/>
          <w:highlight w:val="none"/>
          <w:lang w:val="en-US" w:eastAsia="zh-CN"/>
        </w:rPr>
        <w:t>3.</w:t>
      </w:r>
      <w:r>
        <w:rPr>
          <w:rFonts w:hint="eastAsia" w:ascii="Times New Roman" w:hAnsi="Times New Roman" w:cs="Times New Roman"/>
          <w:b/>
          <w:bCs/>
          <w:color w:val="auto"/>
          <w:w w:val="99"/>
          <w:highlight w:val="none"/>
          <w:lang w:val="en-US" w:eastAsia="zh-CN"/>
        </w:rPr>
        <w:t>6</w:t>
      </w:r>
      <w:r>
        <w:rPr>
          <w:rFonts w:hint="eastAsia" w:ascii="Times New Roman" w:hAnsi="Times New Roman" w:eastAsia="宋体" w:cs="Times New Roman"/>
          <w:b/>
          <w:bCs/>
          <w:color w:val="auto"/>
          <w:w w:val="99"/>
          <w:highlight w:val="none"/>
          <w:lang w:val="en-US" w:eastAsia="zh-CN"/>
        </w:rPr>
        <w:t>-1</w:t>
      </w:r>
      <w:r>
        <w:rPr>
          <w:rFonts w:hint="default" w:ascii="Times New Roman" w:hAnsi="Times New Roman" w:eastAsia="宋体" w:cs="Times New Roman"/>
          <w:b/>
          <w:bCs/>
          <w:color w:val="auto"/>
          <w:w w:val="99"/>
          <w:highlight w:val="none"/>
          <w:lang w:val="en-US" w:eastAsia="zh-CN"/>
        </w:rPr>
        <w:t xml:space="preserve"> 工程占地面积和类型  </w:t>
      </w:r>
      <w:r>
        <w:rPr>
          <w:rFonts w:hint="eastAsia" w:ascii="Times New Roman" w:hAnsi="Times New Roman" w:eastAsia="宋体" w:cs="Times New Roman"/>
          <w:b/>
          <w:bCs/>
          <w:color w:val="auto"/>
          <w:w w:val="99"/>
          <w:highlight w:val="none"/>
          <w:lang w:val="en-US" w:eastAsia="zh-CN"/>
        </w:rPr>
        <w:t xml:space="preserve"> </w:t>
      </w:r>
      <w:r>
        <w:rPr>
          <w:rFonts w:hint="default" w:ascii="Times New Roman" w:hAnsi="Times New Roman" w:eastAsia="宋体" w:cs="Times New Roman"/>
          <w:b/>
          <w:bCs/>
          <w:color w:val="auto"/>
          <w:w w:val="99"/>
          <w:highlight w:val="none"/>
          <w:lang w:val="en-US" w:eastAsia="zh-CN"/>
        </w:rPr>
        <w:t>单位：hm</w:t>
      </w:r>
      <w:r>
        <w:rPr>
          <w:rFonts w:hint="default" w:ascii="Times New Roman" w:hAnsi="Times New Roman" w:eastAsia="宋体" w:cs="Times New Roman"/>
          <w:b/>
          <w:bCs/>
          <w:color w:val="auto"/>
          <w:w w:val="99"/>
          <w:highlight w:val="none"/>
          <w:vertAlign w:val="superscript"/>
          <w:lang w:val="en-US" w:eastAsia="zh-CN"/>
        </w:rPr>
        <w:t>2</w:t>
      </w:r>
    </w:p>
    <w:tbl>
      <w:tblPr>
        <w:tblStyle w:val="8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2616"/>
        <w:gridCol w:w="2820"/>
        <w:gridCol w:w="2749"/>
      </w:tblGrid>
      <w:tr w14:paraId="6309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 w:type="pct"/>
            <w:vMerge w:val="restart"/>
            <w:tcBorders>
              <w:tl2br w:val="nil"/>
              <w:tr2bl w:val="nil"/>
            </w:tcBorders>
            <w:noWrap w:val="0"/>
            <w:tcMar>
              <w:top w:w="15" w:type="dxa"/>
              <w:left w:w="15" w:type="dxa"/>
              <w:bottom w:w="0" w:type="dxa"/>
              <w:right w:w="15" w:type="dxa"/>
            </w:tcMar>
            <w:vAlign w:val="center"/>
          </w:tcPr>
          <w:p w14:paraId="35BF61EB">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default" w:ascii="Times New Roman" w:hAnsi="Times New Roman" w:cs="Times New Roman" w:eastAsiaTheme="minorEastAsia"/>
                <w:color w:val="auto"/>
                <w:w w:val="99"/>
                <w:sz w:val="21"/>
                <w:szCs w:val="21"/>
                <w:highlight w:val="none"/>
                <w:lang w:val="en-US" w:eastAsia="zh-CN" w:bidi="ar"/>
              </w:rPr>
              <w:t>序号</w:t>
            </w:r>
          </w:p>
        </w:tc>
        <w:tc>
          <w:tcPr>
            <w:tcW w:w="1438" w:type="pct"/>
            <w:vMerge w:val="restart"/>
            <w:tcBorders>
              <w:tl2br w:val="nil"/>
              <w:tr2bl w:val="nil"/>
            </w:tcBorders>
            <w:noWrap w:val="0"/>
            <w:tcMar>
              <w:top w:w="15" w:type="dxa"/>
              <w:left w:w="15" w:type="dxa"/>
              <w:bottom w:w="0" w:type="dxa"/>
              <w:right w:w="15" w:type="dxa"/>
            </w:tcMar>
            <w:vAlign w:val="center"/>
          </w:tcPr>
          <w:p w14:paraId="385E564E">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default" w:ascii="Times New Roman" w:hAnsi="Times New Roman" w:cs="Times New Roman" w:eastAsiaTheme="minorEastAsia"/>
                <w:color w:val="auto"/>
                <w:w w:val="99"/>
                <w:sz w:val="21"/>
                <w:szCs w:val="21"/>
                <w:highlight w:val="none"/>
                <w:lang w:val="en-US" w:eastAsia="zh-CN" w:bidi="ar"/>
              </w:rPr>
              <w:t>建设项目</w:t>
            </w:r>
          </w:p>
        </w:tc>
        <w:tc>
          <w:tcPr>
            <w:tcW w:w="1550" w:type="pct"/>
            <w:tcBorders>
              <w:tl2br w:val="nil"/>
              <w:tr2bl w:val="nil"/>
            </w:tcBorders>
            <w:noWrap w:val="0"/>
            <w:tcMar>
              <w:top w:w="15" w:type="dxa"/>
              <w:left w:w="15" w:type="dxa"/>
              <w:bottom w:w="0" w:type="dxa"/>
              <w:right w:w="15" w:type="dxa"/>
            </w:tcMar>
            <w:vAlign w:val="center"/>
          </w:tcPr>
          <w:p w14:paraId="5E49E43B">
            <w:pPr>
              <w:widowControl w:val="0"/>
              <w:spacing w:line="300" w:lineRule="exact"/>
              <w:jc w:val="center"/>
              <w:rPr>
                <w:rFonts w:hint="default" w:ascii="Times New Roman" w:hAnsi="Times New Roman" w:cs="Times New Roman" w:eastAsiaTheme="minorEastAsia"/>
                <w:color w:val="auto"/>
                <w:w w:val="99"/>
                <w:sz w:val="21"/>
                <w:szCs w:val="21"/>
                <w:highlight w:val="none"/>
                <w:lang w:bidi="ar"/>
              </w:rPr>
            </w:pPr>
            <w:r>
              <w:rPr>
                <w:rFonts w:hint="default" w:ascii="Times New Roman" w:hAnsi="Times New Roman" w:cs="Times New Roman" w:eastAsiaTheme="minorEastAsia"/>
                <w:color w:val="auto"/>
                <w:w w:val="99"/>
                <w:sz w:val="21"/>
                <w:szCs w:val="21"/>
                <w:highlight w:val="none"/>
                <w:lang w:bidi="ar"/>
              </w:rPr>
              <w:t>永久占地</w:t>
            </w:r>
          </w:p>
        </w:tc>
        <w:tc>
          <w:tcPr>
            <w:tcW w:w="1511" w:type="pct"/>
            <w:tcBorders>
              <w:tl2br w:val="nil"/>
              <w:tr2bl w:val="nil"/>
            </w:tcBorders>
            <w:noWrap w:val="0"/>
            <w:tcMar>
              <w:top w:w="15" w:type="dxa"/>
              <w:left w:w="15" w:type="dxa"/>
              <w:bottom w:w="0" w:type="dxa"/>
              <w:right w:w="15" w:type="dxa"/>
            </w:tcMar>
            <w:vAlign w:val="center"/>
          </w:tcPr>
          <w:p w14:paraId="540B5342">
            <w:pPr>
              <w:widowControl w:val="0"/>
              <w:spacing w:line="300" w:lineRule="exact"/>
              <w:jc w:val="center"/>
              <w:rPr>
                <w:rFonts w:hint="default" w:ascii="Times New Roman" w:hAnsi="Times New Roman" w:cs="Times New Roman" w:eastAsiaTheme="minorEastAsia"/>
                <w:color w:val="auto"/>
                <w:w w:val="99"/>
                <w:sz w:val="21"/>
                <w:szCs w:val="21"/>
                <w:highlight w:val="none"/>
                <w:lang w:bidi="ar"/>
              </w:rPr>
            </w:pPr>
            <w:r>
              <w:rPr>
                <w:rFonts w:hint="default" w:ascii="Times New Roman" w:hAnsi="Times New Roman" w:cs="Times New Roman" w:eastAsiaTheme="minorEastAsia"/>
                <w:color w:val="auto"/>
                <w:w w:val="99"/>
                <w:sz w:val="21"/>
                <w:szCs w:val="21"/>
                <w:highlight w:val="none"/>
                <w:lang w:bidi="ar"/>
              </w:rPr>
              <w:t>临时占地</w:t>
            </w:r>
          </w:p>
        </w:tc>
      </w:tr>
      <w:tr w14:paraId="55F5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 w:type="pct"/>
            <w:vMerge w:val="continue"/>
            <w:tcBorders>
              <w:tl2br w:val="nil"/>
              <w:tr2bl w:val="nil"/>
            </w:tcBorders>
            <w:noWrap w:val="0"/>
            <w:vAlign w:val="center"/>
          </w:tcPr>
          <w:p w14:paraId="7C5BEA32">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p>
        </w:tc>
        <w:tc>
          <w:tcPr>
            <w:tcW w:w="1438" w:type="pct"/>
            <w:vMerge w:val="continue"/>
            <w:tcBorders>
              <w:tl2br w:val="nil"/>
              <w:tr2bl w:val="nil"/>
            </w:tcBorders>
            <w:noWrap w:val="0"/>
            <w:vAlign w:val="center"/>
          </w:tcPr>
          <w:p w14:paraId="3B71C8CF">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p>
        </w:tc>
        <w:tc>
          <w:tcPr>
            <w:tcW w:w="1550" w:type="pct"/>
            <w:tcBorders>
              <w:tl2br w:val="nil"/>
              <w:tr2bl w:val="nil"/>
            </w:tcBorders>
            <w:noWrap w:val="0"/>
            <w:tcMar>
              <w:top w:w="15" w:type="dxa"/>
              <w:left w:w="15" w:type="dxa"/>
              <w:bottom w:w="0" w:type="dxa"/>
              <w:right w:w="15" w:type="dxa"/>
            </w:tcMar>
            <w:vAlign w:val="center"/>
          </w:tcPr>
          <w:p w14:paraId="0DB3B7A8">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耕地（永久基本农田）</w:t>
            </w:r>
          </w:p>
        </w:tc>
        <w:tc>
          <w:tcPr>
            <w:tcW w:w="1511" w:type="pct"/>
            <w:tcBorders>
              <w:left w:val="single" w:color="000000" w:sz="2" w:space="0"/>
              <w:tl2br w:val="nil"/>
              <w:tr2bl w:val="nil"/>
            </w:tcBorders>
            <w:noWrap w:val="0"/>
            <w:tcMar>
              <w:top w:w="15" w:type="dxa"/>
              <w:left w:w="15" w:type="dxa"/>
              <w:bottom w:w="0" w:type="dxa"/>
              <w:right w:w="15" w:type="dxa"/>
            </w:tcMar>
            <w:vAlign w:val="center"/>
          </w:tcPr>
          <w:p w14:paraId="50DFECB6">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耕地（永久基本农田）</w:t>
            </w:r>
          </w:p>
        </w:tc>
      </w:tr>
      <w:tr w14:paraId="3028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 w:type="pct"/>
            <w:tcBorders>
              <w:tl2br w:val="nil"/>
              <w:tr2bl w:val="nil"/>
            </w:tcBorders>
            <w:noWrap w:val="0"/>
            <w:vAlign w:val="center"/>
          </w:tcPr>
          <w:p w14:paraId="59F00335">
            <w:pPr>
              <w:widowControl w:val="0"/>
              <w:spacing w:line="30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1</w:t>
            </w:r>
          </w:p>
        </w:tc>
        <w:tc>
          <w:tcPr>
            <w:tcW w:w="1438" w:type="pct"/>
            <w:tcBorders>
              <w:tl2br w:val="nil"/>
              <w:tr2bl w:val="nil"/>
            </w:tcBorders>
            <w:shd w:val="clear" w:color="auto" w:fill="auto"/>
            <w:noWrap w:val="0"/>
            <w:vAlign w:val="center"/>
          </w:tcPr>
          <w:p w14:paraId="686A0D62">
            <w:pPr>
              <w:widowControl w:val="0"/>
              <w:spacing w:line="30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道路</w:t>
            </w:r>
          </w:p>
        </w:tc>
        <w:tc>
          <w:tcPr>
            <w:tcW w:w="1550" w:type="pct"/>
            <w:tcBorders>
              <w:tl2br w:val="nil"/>
              <w:tr2bl w:val="nil"/>
            </w:tcBorders>
            <w:shd w:val="clear" w:color="auto" w:fill="auto"/>
            <w:noWrap w:val="0"/>
            <w:tcMar>
              <w:top w:w="15" w:type="dxa"/>
              <w:left w:w="15" w:type="dxa"/>
              <w:bottom w:w="0" w:type="dxa"/>
              <w:right w:w="15" w:type="dxa"/>
            </w:tcMar>
            <w:vAlign w:val="center"/>
          </w:tcPr>
          <w:p w14:paraId="7F150C20">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0.09</w:t>
            </w:r>
          </w:p>
        </w:tc>
        <w:tc>
          <w:tcPr>
            <w:tcW w:w="1511" w:type="pct"/>
            <w:tcBorders>
              <w:left w:val="single" w:color="000000" w:sz="2" w:space="0"/>
              <w:tl2br w:val="nil"/>
              <w:tr2bl w:val="nil"/>
            </w:tcBorders>
            <w:shd w:val="clear" w:color="auto" w:fill="auto"/>
            <w:noWrap w:val="0"/>
            <w:tcMar>
              <w:top w:w="15" w:type="dxa"/>
              <w:left w:w="15" w:type="dxa"/>
              <w:bottom w:w="0" w:type="dxa"/>
              <w:right w:w="15" w:type="dxa"/>
            </w:tcMar>
            <w:vAlign w:val="center"/>
          </w:tcPr>
          <w:p w14:paraId="53EE8091">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w:t>
            </w:r>
          </w:p>
        </w:tc>
      </w:tr>
      <w:tr w14:paraId="52ED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 w:type="pct"/>
            <w:tcBorders>
              <w:tl2br w:val="nil"/>
              <w:tr2bl w:val="nil"/>
            </w:tcBorders>
            <w:noWrap w:val="0"/>
            <w:vAlign w:val="center"/>
          </w:tcPr>
          <w:p w14:paraId="4792B43B">
            <w:pPr>
              <w:widowControl w:val="0"/>
              <w:spacing w:line="30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2</w:t>
            </w:r>
          </w:p>
        </w:tc>
        <w:tc>
          <w:tcPr>
            <w:tcW w:w="1438" w:type="pct"/>
            <w:tcBorders>
              <w:tl2br w:val="nil"/>
              <w:tr2bl w:val="nil"/>
            </w:tcBorders>
            <w:shd w:val="clear" w:color="auto" w:fill="auto"/>
            <w:noWrap w:val="0"/>
            <w:vAlign w:val="center"/>
          </w:tcPr>
          <w:p w14:paraId="73547370">
            <w:pPr>
              <w:widowControl w:val="0"/>
              <w:spacing w:line="30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管线</w:t>
            </w:r>
          </w:p>
        </w:tc>
        <w:tc>
          <w:tcPr>
            <w:tcW w:w="1550" w:type="pct"/>
            <w:tcBorders>
              <w:tl2br w:val="nil"/>
              <w:tr2bl w:val="nil"/>
            </w:tcBorders>
            <w:shd w:val="clear" w:color="auto" w:fill="auto"/>
            <w:noWrap w:val="0"/>
            <w:tcMar>
              <w:top w:w="15" w:type="dxa"/>
              <w:left w:w="15" w:type="dxa"/>
              <w:bottom w:w="0" w:type="dxa"/>
              <w:right w:w="15" w:type="dxa"/>
            </w:tcMar>
            <w:vAlign w:val="center"/>
          </w:tcPr>
          <w:p w14:paraId="298050D1">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w:t>
            </w:r>
          </w:p>
        </w:tc>
        <w:tc>
          <w:tcPr>
            <w:tcW w:w="1511" w:type="pct"/>
            <w:tcBorders>
              <w:left w:val="single" w:color="000000" w:sz="2" w:space="0"/>
              <w:tl2br w:val="nil"/>
              <w:tr2bl w:val="nil"/>
            </w:tcBorders>
            <w:shd w:val="clear" w:color="auto" w:fill="auto"/>
            <w:noWrap w:val="0"/>
            <w:tcMar>
              <w:top w:w="15" w:type="dxa"/>
              <w:left w:w="15" w:type="dxa"/>
              <w:bottom w:w="0" w:type="dxa"/>
              <w:right w:w="15" w:type="dxa"/>
            </w:tcMar>
            <w:vAlign w:val="center"/>
          </w:tcPr>
          <w:p w14:paraId="6D081757">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1.92</w:t>
            </w:r>
          </w:p>
        </w:tc>
      </w:tr>
      <w:tr w14:paraId="6781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 w:type="pct"/>
            <w:tcBorders>
              <w:tl2br w:val="nil"/>
              <w:tr2bl w:val="nil"/>
            </w:tcBorders>
            <w:noWrap w:val="0"/>
            <w:vAlign w:val="center"/>
          </w:tcPr>
          <w:p w14:paraId="79A9EFB1">
            <w:pPr>
              <w:widowControl w:val="0"/>
              <w:spacing w:line="30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3</w:t>
            </w:r>
          </w:p>
        </w:tc>
        <w:tc>
          <w:tcPr>
            <w:tcW w:w="1438" w:type="pct"/>
            <w:tcBorders>
              <w:tl2br w:val="nil"/>
              <w:tr2bl w:val="nil"/>
            </w:tcBorders>
            <w:shd w:val="clear" w:color="auto" w:fill="auto"/>
            <w:noWrap w:val="0"/>
            <w:vAlign w:val="center"/>
          </w:tcPr>
          <w:p w14:paraId="55540422">
            <w:pPr>
              <w:widowControl w:val="0"/>
              <w:spacing w:line="30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柱上变电站</w:t>
            </w:r>
          </w:p>
        </w:tc>
        <w:tc>
          <w:tcPr>
            <w:tcW w:w="1550" w:type="pct"/>
            <w:tcBorders>
              <w:tl2br w:val="nil"/>
              <w:tr2bl w:val="nil"/>
            </w:tcBorders>
            <w:shd w:val="clear" w:color="auto" w:fill="auto"/>
            <w:noWrap w:val="0"/>
            <w:tcMar>
              <w:top w:w="15" w:type="dxa"/>
              <w:left w:w="15" w:type="dxa"/>
              <w:bottom w:w="0" w:type="dxa"/>
              <w:right w:w="15" w:type="dxa"/>
            </w:tcMar>
            <w:vAlign w:val="center"/>
          </w:tcPr>
          <w:p w14:paraId="1527E1C5">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0.0001</w:t>
            </w:r>
          </w:p>
        </w:tc>
        <w:tc>
          <w:tcPr>
            <w:tcW w:w="1511" w:type="pct"/>
            <w:tcBorders>
              <w:left w:val="single" w:color="000000" w:sz="2" w:space="0"/>
              <w:tl2br w:val="nil"/>
              <w:tr2bl w:val="nil"/>
            </w:tcBorders>
            <w:shd w:val="clear" w:color="auto" w:fill="auto"/>
            <w:noWrap w:val="0"/>
            <w:tcMar>
              <w:top w:w="15" w:type="dxa"/>
              <w:left w:w="15" w:type="dxa"/>
              <w:bottom w:w="0" w:type="dxa"/>
              <w:right w:w="15" w:type="dxa"/>
            </w:tcMar>
            <w:vAlign w:val="center"/>
          </w:tcPr>
          <w:p w14:paraId="1916594B">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0.0029</w:t>
            </w:r>
          </w:p>
        </w:tc>
      </w:tr>
      <w:tr w14:paraId="6E08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38" w:type="pct"/>
            <w:gridSpan w:val="2"/>
            <w:tcBorders>
              <w:tl2br w:val="nil"/>
              <w:tr2bl w:val="nil"/>
            </w:tcBorders>
            <w:noWrap w:val="0"/>
            <w:vAlign w:val="center"/>
          </w:tcPr>
          <w:p w14:paraId="644BFD54">
            <w:pPr>
              <w:widowControl w:val="0"/>
              <w:spacing w:line="30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小计</w:t>
            </w:r>
          </w:p>
        </w:tc>
        <w:tc>
          <w:tcPr>
            <w:tcW w:w="1550" w:type="pct"/>
            <w:tcBorders>
              <w:tl2br w:val="nil"/>
              <w:tr2bl w:val="nil"/>
            </w:tcBorders>
            <w:shd w:val="clear" w:color="auto" w:fill="auto"/>
            <w:noWrap w:val="0"/>
            <w:tcMar>
              <w:top w:w="15" w:type="dxa"/>
              <w:left w:w="15" w:type="dxa"/>
              <w:bottom w:w="0" w:type="dxa"/>
              <w:right w:w="15" w:type="dxa"/>
            </w:tcMar>
            <w:vAlign w:val="center"/>
          </w:tcPr>
          <w:p w14:paraId="4CFC3414">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0.0901</w:t>
            </w:r>
          </w:p>
        </w:tc>
        <w:tc>
          <w:tcPr>
            <w:tcW w:w="1511" w:type="pct"/>
            <w:tcBorders>
              <w:left w:val="single" w:color="000000" w:sz="2" w:space="0"/>
              <w:tl2br w:val="nil"/>
              <w:tr2bl w:val="nil"/>
            </w:tcBorders>
            <w:noWrap w:val="0"/>
            <w:tcMar>
              <w:top w:w="15" w:type="dxa"/>
              <w:left w:w="15" w:type="dxa"/>
              <w:bottom w:w="0" w:type="dxa"/>
              <w:right w:w="15" w:type="dxa"/>
            </w:tcMar>
            <w:vAlign w:val="center"/>
          </w:tcPr>
          <w:p w14:paraId="257902D9">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1.9229</w:t>
            </w:r>
          </w:p>
        </w:tc>
      </w:tr>
      <w:tr w14:paraId="30D9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38" w:type="pct"/>
            <w:gridSpan w:val="2"/>
            <w:tcBorders>
              <w:tl2br w:val="nil"/>
              <w:tr2bl w:val="nil"/>
            </w:tcBorders>
            <w:noWrap w:val="0"/>
            <w:vAlign w:val="center"/>
          </w:tcPr>
          <w:p w14:paraId="3A4FAF67">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合计</w:t>
            </w:r>
          </w:p>
        </w:tc>
        <w:tc>
          <w:tcPr>
            <w:tcW w:w="3061" w:type="pct"/>
            <w:gridSpan w:val="2"/>
            <w:tcBorders>
              <w:tl2br w:val="nil"/>
              <w:tr2bl w:val="nil"/>
            </w:tcBorders>
            <w:noWrap w:val="0"/>
            <w:tcMar>
              <w:top w:w="15" w:type="dxa"/>
              <w:left w:w="15" w:type="dxa"/>
              <w:bottom w:w="0" w:type="dxa"/>
              <w:right w:w="15" w:type="dxa"/>
            </w:tcMar>
            <w:vAlign w:val="center"/>
          </w:tcPr>
          <w:p w14:paraId="2AB6E733">
            <w:pPr>
              <w:widowControl w:val="0"/>
              <w:spacing w:line="30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2.013</w:t>
            </w:r>
          </w:p>
        </w:tc>
      </w:tr>
    </w:tbl>
    <w:p w14:paraId="5079DBBB">
      <w:pPr>
        <w:pStyle w:val="7"/>
        <w:widowControl w:val="0"/>
        <w:spacing w:before="60" w:after="60" w:line="440" w:lineRule="exact"/>
        <w:jc w:val="both"/>
        <w:rPr>
          <w:rFonts w:eastAsia="宋体"/>
          <w:b/>
          <w:color w:val="auto"/>
          <w:w w:val="99"/>
          <w:kern w:val="2"/>
          <w:sz w:val="24"/>
          <w:szCs w:val="24"/>
          <w:highlight w:val="none"/>
        </w:rPr>
      </w:pPr>
      <w:bookmarkStart w:id="466" w:name="_Toc83209478"/>
      <w:bookmarkStart w:id="467" w:name="_Toc67860136"/>
      <w:bookmarkStart w:id="468" w:name="_Toc76976248"/>
      <w:bookmarkStart w:id="469" w:name="_Toc70050183"/>
      <w:bookmarkStart w:id="470" w:name="_Toc77067664"/>
      <w:bookmarkStart w:id="471" w:name="_Toc61597228"/>
      <w:bookmarkStart w:id="472" w:name="_Toc80588261"/>
      <w:bookmarkStart w:id="473" w:name="_Toc78816466"/>
      <w:bookmarkStart w:id="474" w:name="_Toc186444286"/>
      <w:bookmarkStart w:id="475" w:name="_Toc80971383"/>
      <w:r>
        <w:rPr>
          <w:rFonts w:eastAsia="宋体"/>
          <w:b/>
          <w:color w:val="auto"/>
          <w:w w:val="99"/>
          <w:kern w:val="2"/>
          <w:sz w:val="24"/>
          <w:szCs w:val="24"/>
          <w:highlight w:val="none"/>
        </w:rPr>
        <w:t>3.7.</w:t>
      </w:r>
      <w:r>
        <w:rPr>
          <w:rFonts w:hint="eastAsia" w:eastAsia="宋体"/>
          <w:b/>
          <w:color w:val="auto"/>
          <w:w w:val="99"/>
          <w:kern w:val="2"/>
          <w:sz w:val="24"/>
          <w:szCs w:val="24"/>
          <w:highlight w:val="none"/>
          <w:lang w:val="en-US" w:eastAsia="zh-CN"/>
        </w:rPr>
        <w:t>2</w:t>
      </w:r>
      <w:r>
        <w:rPr>
          <w:rFonts w:eastAsia="宋体"/>
          <w:b/>
          <w:color w:val="auto"/>
          <w:w w:val="99"/>
          <w:kern w:val="2"/>
          <w:sz w:val="24"/>
          <w:szCs w:val="24"/>
          <w:highlight w:val="none"/>
        </w:rPr>
        <w:t>土石方平衡</w:t>
      </w:r>
      <w:bookmarkEnd w:id="466"/>
      <w:bookmarkEnd w:id="467"/>
      <w:bookmarkEnd w:id="468"/>
      <w:bookmarkEnd w:id="469"/>
      <w:bookmarkEnd w:id="470"/>
      <w:bookmarkEnd w:id="471"/>
      <w:bookmarkEnd w:id="472"/>
      <w:bookmarkEnd w:id="473"/>
      <w:bookmarkEnd w:id="474"/>
      <w:bookmarkEnd w:id="475"/>
    </w:p>
    <w:p w14:paraId="4B941A51">
      <w:pPr>
        <w:widowControl w:val="0"/>
        <w:spacing w:line="440" w:lineRule="exact"/>
        <w:ind w:firstLine="482"/>
        <w:jc w:val="both"/>
        <w:rPr>
          <w:rFonts w:hint="eastAsia"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本项目涉及土石方的工程主要包括管道开挖、道路</w:t>
      </w:r>
      <w:r>
        <w:rPr>
          <w:rFonts w:hint="eastAsia" w:ascii="Times New Roman" w:hAnsi="Times New Roman" w:cs="Times New Roman" w:eastAsiaTheme="minorEastAsia"/>
          <w:color w:val="auto"/>
          <w:w w:val="99"/>
          <w:highlight w:val="none"/>
          <w:lang w:eastAsia="zh-CN"/>
        </w:rPr>
        <w:t>、</w:t>
      </w:r>
      <w:r>
        <w:rPr>
          <w:rFonts w:hint="eastAsia" w:ascii="Times New Roman" w:hAnsi="Times New Roman" w:cs="Times New Roman" w:eastAsiaTheme="minorEastAsia"/>
          <w:color w:val="auto"/>
          <w:w w:val="99"/>
          <w:highlight w:val="none"/>
          <w:lang w:val="en-US" w:eastAsia="zh-CN"/>
        </w:rPr>
        <w:t>柱上变</w:t>
      </w:r>
      <w:r>
        <w:rPr>
          <w:rFonts w:hint="eastAsia" w:ascii="Times New Roman" w:hAnsi="Times New Roman" w:cs="Times New Roman" w:eastAsiaTheme="minorEastAsia"/>
          <w:color w:val="auto"/>
          <w:w w:val="99"/>
          <w:highlight w:val="none"/>
        </w:rPr>
        <w:t>施工等。井场施工土方核算已在</w:t>
      </w:r>
      <w:r>
        <w:rPr>
          <w:rFonts w:hint="default" w:ascii="Times New Roman" w:hAnsi="Times New Roman" w:eastAsia="宋体" w:cs="Times New Roman"/>
          <w:color w:val="auto"/>
          <w:w w:val="99"/>
          <w:highlight w:val="none"/>
          <w:lang w:val="en-US" w:eastAsia="zh-CN"/>
        </w:rPr>
        <w:t>《徐深</w:t>
      </w:r>
      <w:r>
        <w:rPr>
          <w:rFonts w:hint="eastAsia" w:ascii="Times New Roman" w:hAnsi="Times New Roman" w:cs="Times New Roman"/>
          <w:color w:val="auto"/>
          <w:w w:val="99"/>
          <w:highlight w:val="none"/>
          <w:lang w:val="en-US" w:eastAsia="zh-CN"/>
        </w:rPr>
        <w:t>27-H1</w:t>
      </w:r>
      <w:r>
        <w:rPr>
          <w:rFonts w:hint="default" w:ascii="Times New Roman" w:hAnsi="Times New Roman" w:eastAsia="宋体" w:cs="Times New Roman"/>
          <w:color w:val="auto"/>
          <w:w w:val="99"/>
          <w:highlight w:val="none"/>
          <w:lang w:val="en-US" w:eastAsia="zh-CN"/>
        </w:rPr>
        <w:t>钻井工程环境影响报告书》（批复：绥环审〔2025〕67号）</w:t>
      </w:r>
      <w:r>
        <w:rPr>
          <w:rFonts w:hint="eastAsia" w:ascii="Times New Roman" w:hAnsi="Times New Roman" w:cs="Times New Roman" w:eastAsiaTheme="minorEastAsia"/>
          <w:color w:val="auto"/>
          <w:w w:val="99"/>
          <w:highlight w:val="none"/>
        </w:rPr>
        <w:t>中评价，本次不再重复核算。</w:t>
      </w:r>
    </w:p>
    <w:p w14:paraId="17907CFE">
      <w:pPr>
        <w:widowControl w:val="0"/>
        <w:spacing w:line="440" w:lineRule="exact"/>
        <w:ind w:firstLine="482"/>
        <w:jc w:val="both"/>
        <w:rPr>
          <w:rFonts w:hint="eastAsia"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本项目开工前编制表土剥离方案，对新增永久占地和临时占地需进行表土进行剥离，耕地剥离厚度0.3m。采用分层开挖，分层堆放，暂存于临时占地内的表土剥离临时堆放区，并采取苫布遮盖，定期采取洒水抑尘措施，临时占地剥离的表土在施工结束后分层回填，并及时恢复地表植被，永久占地剥离的表土按照 “占一补一，质量相等”的要求用于易地补充耕地的表土、劣质地或者其他耕地的土壤改良。</w:t>
      </w:r>
    </w:p>
    <w:p w14:paraId="12378E04">
      <w:pPr>
        <w:widowControl w:val="0"/>
        <w:spacing w:line="440" w:lineRule="exact"/>
        <w:ind w:firstLine="482"/>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本项目不产生弃方，不设置取弃土场。本项目土石方情况见表3.7-2，土石方平衡图见图3.</w:t>
      </w:r>
      <w:r>
        <w:rPr>
          <w:rFonts w:hint="eastAsia" w:ascii="Times New Roman" w:hAnsi="Times New Roman" w:cs="Times New Roman" w:eastAsiaTheme="minorEastAsia"/>
          <w:color w:val="auto"/>
          <w:w w:val="99"/>
          <w:highlight w:val="none"/>
          <w:lang w:val="en-US" w:eastAsia="zh-CN"/>
        </w:rPr>
        <w:t>6</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lang w:val="en-US" w:eastAsia="zh-CN"/>
        </w:rPr>
        <w:t>1</w:t>
      </w:r>
      <w:r>
        <w:rPr>
          <w:rFonts w:ascii="Times New Roman" w:hAnsi="Times New Roman" w:cs="Times New Roman" w:eastAsiaTheme="minorEastAsia"/>
          <w:color w:val="auto"/>
          <w:w w:val="99"/>
          <w:highlight w:val="none"/>
        </w:rPr>
        <w:t>。</w:t>
      </w:r>
    </w:p>
    <w:p w14:paraId="2A745D25">
      <w:pPr>
        <w:pStyle w:val="153"/>
        <w:widowControl w:val="0"/>
        <w:spacing w:line="440" w:lineRule="exact"/>
        <w:ind w:firstLine="478"/>
        <w:rPr>
          <w:rFonts w:ascii="Times New Roman" w:hAnsi="Times New Roman" w:eastAsiaTheme="minorEastAsia"/>
          <w:b/>
          <w:color w:val="auto"/>
          <w:w w:val="99"/>
          <w:highlight w:val="none"/>
          <w:vertAlign w:val="superscript"/>
        </w:rPr>
      </w:pPr>
      <w:r>
        <w:rPr>
          <w:rFonts w:ascii="Times New Roman" w:hAnsi="Times New Roman" w:eastAsiaTheme="minorEastAsia"/>
          <w:b/>
          <w:color w:val="auto"/>
          <w:w w:val="99"/>
          <w:kern w:val="2"/>
          <w:highlight w:val="none"/>
        </w:rPr>
        <w:t>表3.</w:t>
      </w:r>
      <w:r>
        <w:rPr>
          <w:rFonts w:hint="eastAsia" w:ascii="Times New Roman" w:hAnsi="Times New Roman" w:eastAsiaTheme="minorEastAsia"/>
          <w:b/>
          <w:color w:val="auto"/>
          <w:w w:val="99"/>
          <w:kern w:val="2"/>
          <w:highlight w:val="none"/>
          <w:lang w:val="en-US" w:eastAsia="zh-CN"/>
        </w:rPr>
        <w:t>6</w:t>
      </w:r>
      <w:r>
        <w:rPr>
          <w:rFonts w:ascii="Times New Roman" w:hAnsi="Times New Roman" w:eastAsiaTheme="minorEastAsia"/>
          <w:b/>
          <w:color w:val="auto"/>
          <w:w w:val="99"/>
          <w:kern w:val="2"/>
          <w:highlight w:val="none"/>
        </w:rPr>
        <w:t xml:space="preserve">-2    </w:t>
      </w:r>
      <w:r>
        <w:rPr>
          <w:rFonts w:ascii="Times New Roman" w:hAnsi="Times New Roman" w:eastAsiaTheme="minorEastAsia"/>
          <w:b/>
          <w:color w:val="auto"/>
          <w:w w:val="99"/>
          <w:highlight w:val="none"/>
        </w:rPr>
        <w:t>本项目土石方情况    单位：m</w:t>
      </w:r>
      <w:r>
        <w:rPr>
          <w:rFonts w:ascii="Times New Roman" w:hAnsi="Times New Roman" w:eastAsiaTheme="minorEastAsia"/>
          <w:b/>
          <w:color w:val="auto"/>
          <w:w w:val="99"/>
          <w:highlight w:val="none"/>
          <w:vertAlign w:val="superscript"/>
        </w:rPr>
        <w:t>3</w:t>
      </w:r>
    </w:p>
    <w:tbl>
      <w:tblPr>
        <w:tblStyle w:val="80"/>
        <w:tblW w:w="49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2"/>
        <w:gridCol w:w="723"/>
        <w:gridCol w:w="740"/>
        <w:gridCol w:w="891"/>
        <w:gridCol w:w="1041"/>
        <w:gridCol w:w="742"/>
        <w:gridCol w:w="756"/>
        <w:gridCol w:w="765"/>
        <w:gridCol w:w="803"/>
        <w:gridCol w:w="2391"/>
      </w:tblGrid>
      <w:tr w14:paraId="4C98B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27" w:type="pct"/>
            <w:vMerge w:val="restart"/>
            <w:vAlign w:val="center"/>
          </w:tcPr>
          <w:p w14:paraId="5AE21686">
            <w:pPr>
              <w:spacing w:line="32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序号</w:t>
            </w:r>
          </w:p>
        </w:tc>
        <w:tc>
          <w:tcPr>
            <w:tcW w:w="389" w:type="pct"/>
            <w:vMerge w:val="restart"/>
            <w:vAlign w:val="center"/>
          </w:tcPr>
          <w:p w14:paraId="6E4FDDF7">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类型</w:t>
            </w:r>
          </w:p>
        </w:tc>
        <w:tc>
          <w:tcPr>
            <w:tcW w:w="398" w:type="pct"/>
            <w:vMerge w:val="restart"/>
            <w:vAlign w:val="center"/>
          </w:tcPr>
          <w:p w14:paraId="3FD176EA">
            <w:pPr>
              <w:spacing w:line="320" w:lineRule="exact"/>
              <w:jc w:val="center"/>
              <w:rPr>
                <w:rFonts w:hint="eastAsia" w:ascii="Times New Roman" w:hAnsi="Times New Roman" w:cs="Times New Roman" w:eastAsiaTheme="minorEastAsia"/>
                <w:color w:val="auto"/>
                <w:w w:val="99"/>
                <w:sz w:val="21"/>
                <w:szCs w:val="21"/>
                <w:highlight w:val="none"/>
                <w:lang w:eastAsia="zh-CN" w:bidi="ar"/>
              </w:rPr>
            </w:pPr>
            <w:r>
              <w:rPr>
                <w:rFonts w:hint="eastAsia" w:ascii="Times New Roman" w:hAnsi="Times New Roman" w:cs="Times New Roman" w:eastAsiaTheme="minorEastAsia"/>
                <w:color w:val="auto"/>
                <w:w w:val="99"/>
                <w:sz w:val="21"/>
                <w:szCs w:val="21"/>
                <w:highlight w:val="none"/>
                <w:lang w:val="en-US" w:eastAsia="zh-CN" w:bidi="ar"/>
              </w:rPr>
              <w:t>项目</w:t>
            </w:r>
          </w:p>
        </w:tc>
        <w:tc>
          <w:tcPr>
            <w:tcW w:w="1041" w:type="pct"/>
            <w:gridSpan w:val="2"/>
            <w:vAlign w:val="center"/>
          </w:tcPr>
          <w:p w14:paraId="5C0C39AB">
            <w:pPr>
              <w:spacing w:line="32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挖方量</w:t>
            </w:r>
          </w:p>
        </w:tc>
        <w:tc>
          <w:tcPr>
            <w:tcW w:w="400" w:type="pct"/>
            <w:vMerge w:val="restart"/>
            <w:vAlign w:val="center"/>
          </w:tcPr>
          <w:p w14:paraId="44993BC5">
            <w:pPr>
              <w:spacing w:line="32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填方量</w:t>
            </w:r>
          </w:p>
        </w:tc>
        <w:tc>
          <w:tcPr>
            <w:tcW w:w="407" w:type="pct"/>
            <w:vMerge w:val="restart"/>
            <w:vAlign w:val="center"/>
          </w:tcPr>
          <w:p w14:paraId="019803FC">
            <w:pPr>
              <w:spacing w:line="32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利用方量</w:t>
            </w:r>
          </w:p>
        </w:tc>
        <w:tc>
          <w:tcPr>
            <w:tcW w:w="412" w:type="pct"/>
            <w:vMerge w:val="restart"/>
            <w:vAlign w:val="center"/>
          </w:tcPr>
          <w:p w14:paraId="0D6844DF">
            <w:pPr>
              <w:spacing w:line="32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借方量</w:t>
            </w:r>
          </w:p>
        </w:tc>
        <w:tc>
          <w:tcPr>
            <w:tcW w:w="432" w:type="pct"/>
            <w:vMerge w:val="restart"/>
            <w:vAlign w:val="center"/>
          </w:tcPr>
          <w:p w14:paraId="4D681E57">
            <w:pPr>
              <w:spacing w:line="32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弃方量</w:t>
            </w:r>
          </w:p>
        </w:tc>
        <w:tc>
          <w:tcPr>
            <w:tcW w:w="1289" w:type="pct"/>
            <w:vMerge w:val="restart"/>
            <w:vAlign w:val="center"/>
          </w:tcPr>
          <w:p w14:paraId="49EB2516">
            <w:pPr>
              <w:spacing w:line="32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备注</w:t>
            </w:r>
          </w:p>
        </w:tc>
      </w:tr>
      <w:tr w14:paraId="6466A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27" w:type="pct"/>
            <w:vMerge w:val="continue"/>
            <w:vAlign w:val="center"/>
          </w:tcPr>
          <w:p w14:paraId="12041904">
            <w:pPr>
              <w:spacing w:line="320" w:lineRule="exact"/>
              <w:jc w:val="center"/>
              <w:rPr>
                <w:rFonts w:ascii="Times New Roman" w:hAnsi="Times New Roman" w:cs="Times New Roman" w:eastAsiaTheme="minorEastAsia"/>
                <w:color w:val="auto"/>
                <w:w w:val="99"/>
                <w:sz w:val="21"/>
                <w:szCs w:val="21"/>
                <w:highlight w:val="none"/>
                <w:lang w:bidi="ar"/>
              </w:rPr>
            </w:pPr>
          </w:p>
        </w:tc>
        <w:tc>
          <w:tcPr>
            <w:tcW w:w="389" w:type="pct"/>
            <w:vMerge w:val="continue"/>
            <w:vAlign w:val="center"/>
          </w:tcPr>
          <w:p w14:paraId="1E5A5C3D">
            <w:pPr>
              <w:spacing w:line="320" w:lineRule="exact"/>
              <w:jc w:val="center"/>
              <w:rPr>
                <w:rFonts w:ascii="Times New Roman" w:hAnsi="Times New Roman" w:cs="Times New Roman" w:eastAsiaTheme="minorEastAsia"/>
                <w:color w:val="auto"/>
                <w:w w:val="99"/>
                <w:sz w:val="21"/>
                <w:szCs w:val="21"/>
                <w:highlight w:val="none"/>
                <w:lang w:bidi="ar"/>
              </w:rPr>
            </w:pPr>
          </w:p>
        </w:tc>
        <w:tc>
          <w:tcPr>
            <w:tcW w:w="398" w:type="pct"/>
            <w:vMerge w:val="continue"/>
            <w:vAlign w:val="center"/>
          </w:tcPr>
          <w:p w14:paraId="2EAFC084">
            <w:pPr>
              <w:spacing w:line="320" w:lineRule="exact"/>
              <w:jc w:val="center"/>
              <w:rPr>
                <w:rFonts w:ascii="Times New Roman" w:hAnsi="Times New Roman" w:cs="Times New Roman" w:eastAsiaTheme="minorEastAsia"/>
                <w:color w:val="auto"/>
                <w:w w:val="99"/>
                <w:sz w:val="21"/>
                <w:szCs w:val="21"/>
                <w:highlight w:val="none"/>
                <w:lang w:bidi="ar"/>
              </w:rPr>
            </w:pPr>
          </w:p>
        </w:tc>
        <w:tc>
          <w:tcPr>
            <w:tcW w:w="480" w:type="pct"/>
            <w:vAlign w:val="center"/>
          </w:tcPr>
          <w:p w14:paraId="0538E07F">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基础挖方</w:t>
            </w:r>
          </w:p>
        </w:tc>
        <w:tc>
          <w:tcPr>
            <w:tcW w:w="561" w:type="pct"/>
            <w:vAlign w:val="center"/>
          </w:tcPr>
          <w:p w14:paraId="7C357501">
            <w:pPr>
              <w:spacing w:line="320" w:lineRule="exact"/>
              <w:jc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val="en-US" w:eastAsia="zh-CN" w:bidi="ar"/>
              </w:rPr>
              <w:t>表土剥离</w:t>
            </w:r>
          </w:p>
        </w:tc>
        <w:tc>
          <w:tcPr>
            <w:tcW w:w="400" w:type="pct"/>
            <w:vMerge w:val="continue"/>
            <w:vAlign w:val="center"/>
          </w:tcPr>
          <w:p w14:paraId="5F378694">
            <w:pPr>
              <w:spacing w:line="320" w:lineRule="exact"/>
              <w:jc w:val="center"/>
              <w:rPr>
                <w:rFonts w:ascii="Times New Roman" w:hAnsi="Times New Roman" w:cs="Times New Roman" w:eastAsiaTheme="minorEastAsia"/>
                <w:color w:val="auto"/>
                <w:w w:val="99"/>
                <w:sz w:val="21"/>
                <w:szCs w:val="21"/>
                <w:highlight w:val="none"/>
                <w:lang w:bidi="ar"/>
              </w:rPr>
            </w:pPr>
          </w:p>
        </w:tc>
        <w:tc>
          <w:tcPr>
            <w:tcW w:w="407" w:type="pct"/>
            <w:vMerge w:val="continue"/>
            <w:vAlign w:val="center"/>
          </w:tcPr>
          <w:p w14:paraId="792B6D6F">
            <w:pPr>
              <w:spacing w:line="320" w:lineRule="exact"/>
              <w:jc w:val="center"/>
              <w:rPr>
                <w:rFonts w:ascii="Times New Roman" w:hAnsi="Times New Roman" w:cs="Times New Roman" w:eastAsiaTheme="minorEastAsia"/>
                <w:color w:val="auto"/>
                <w:w w:val="99"/>
                <w:sz w:val="21"/>
                <w:szCs w:val="21"/>
                <w:highlight w:val="none"/>
                <w:lang w:bidi="ar"/>
              </w:rPr>
            </w:pPr>
          </w:p>
        </w:tc>
        <w:tc>
          <w:tcPr>
            <w:tcW w:w="412" w:type="pct"/>
            <w:vMerge w:val="continue"/>
            <w:vAlign w:val="center"/>
          </w:tcPr>
          <w:p w14:paraId="363C6FFB">
            <w:pPr>
              <w:spacing w:line="320" w:lineRule="exact"/>
              <w:jc w:val="center"/>
              <w:rPr>
                <w:rFonts w:ascii="Times New Roman" w:hAnsi="Times New Roman" w:cs="Times New Roman" w:eastAsiaTheme="minorEastAsia"/>
                <w:color w:val="auto"/>
                <w:w w:val="99"/>
                <w:sz w:val="21"/>
                <w:szCs w:val="21"/>
                <w:highlight w:val="none"/>
                <w:lang w:bidi="ar"/>
              </w:rPr>
            </w:pPr>
          </w:p>
        </w:tc>
        <w:tc>
          <w:tcPr>
            <w:tcW w:w="432" w:type="pct"/>
            <w:vMerge w:val="continue"/>
            <w:vAlign w:val="center"/>
          </w:tcPr>
          <w:p w14:paraId="10AC9DEE">
            <w:pPr>
              <w:spacing w:line="320" w:lineRule="exact"/>
              <w:jc w:val="center"/>
              <w:rPr>
                <w:rFonts w:ascii="Times New Roman" w:hAnsi="Times New Roman" w:cs="Times New Roman" w:eastAsiaTheme="minorEastAsia"/>
                <w:color w:val="auto"/>
                <w:w w:val="99"/>
                <w:sz w:val="21"/>
                <w:szCs w:val="21"/>
                <w:highlight w:val="none"/>
                <w:lang w:bidi="ar"/>
              </w:rPr>
            </w:pPr>
          </w:p>
        </w:tc>
        <w:tc>
          <w:tcPr>
            <w:tcW w:w="1289" w:type="pct"/>
            <w:vMerge w:val="continue"/>
            <w:vAlign w:val="center"/>
          </w:tcPr>
          <w:p w14:paraId="1B891212">
            <w:pPr>
              <w:spacing w:line="320" w:lineRule="exact"/>
              <w:jc w:val="center"/>
              <w:rPr>
                <w:rFonts w:ascii="Times New Roman" w:hAnsi="Times New Roman" w:cs="Times New Roman" w:eastAsiaTheme="minorEastAsia"/>
                <w:color w:val="auto"/>
                <w:w w:val="99"/>
                <w:sz w:val="21"/>
                <w:szCs w:val="21"/>
                <w:highlight w:val="none"/>
                <w:lang w:bidi="ar"/>
              </w:rPr>
            </w:pPr>
          </w:p>
        </w:tc>
      </w:tr>
      <w:tr w14:paraId="6CA8F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7" w:type="pct"/>
            <w:vAlign w:val="center"/>
          </w:tcPr>
          <w:p w14:paraId="0F79CFD5">
            <w:pPr>
              <w:spacing w:line="320" w:lineRule="exact"/>
              <w:jc w:val="center"/>
              <w:rPr>
                <w:rFonts w:hint="eastAsia" w:ascii="Times New Roman" w:hAnsi="Times New Roman" w:cs="Times New Roman" w:eastAsiaTheme="minorEastAsia"/>
                <w:color w:val="auto"/>
                <w:w w:val="99"/>
                <w:sz w:val="21"/>
                <w:szCs w:val="21"/>
                <w:highlight w:val="none"/>
                <w:lang w:eastAsia="zh-CN" w:bidi="ar"/>
              </w:rPr>
            </w:pPr>
            <w:r>
              <w:rPr>
                <w:rFonts w:hint="eastAsia" w:ascii="Times New Roman" w:hAnsi="Times New Roman" w:cs="Times New Roman" w:eastAsiaTheme="minorEastAsia"/>
                <w:color w:val="auto"/>
                <w:w w:val="99"/>
                <w:sz w:val="21"/>
                <w:szCs w:val="21"/>
                <w:highlight w:val="none"/>
                <w:lang w:val="en-US" w:eastAsia="zh-CN" w:bidi="ar"/>
              </w:rPr>
              <w:t>1</w:t>
            </w:r>
          </w:p>
        </w:tc>
        <w:tc>
          <w:tcPr>
            <w:tcW w:w="389" w:type="pct"/>
            <w:vMerge w:val="restart"/>
            <w:vAlign w:val="center"/>
          </w:tcPr>
          <w:p w14:paraId="35BB409B">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永久占地</w:t>
            </w:r>
          </w:p>
        </w:tc>
        <w:tc>
          <w:tcPr>
            <w:tcW w:w="398" w:type="pct"/>
            <w:shd w:val="clear" w:color="auto" w:fill="auto"/>
            <w:vAlign w:val="center"/>
          </w:tcPr>
          <w:p w14:paraId="75068A3B">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柱上变</w:t>
            </w:r>
          </w:p>
        </w:tc>
        <w:tc>
          <w:tcPr>
            <w:tcW w:w="480" w:type="pct"/>
            <w:shd w:val="clear" w:color="auto" w:fill="auto"/>
            <w:vAlign w:val="center"/>
          </w:tcPr>
          <w:p w14:paraId="77F0963A">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w:t>
            </w:r>
          </w:p>
        </w:tc>
        <w:tc>
          <w:tcPr>
            <w:tcW w:w="561" w:type="pct"/>
            <w:shd w:val="clear" w:color="auto" w:fill="auto"/>
            <w:vAlign w:val="center"/>
          </w:tcPr>
          <w:p w14:paraId="6BD8BBF4">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0.3</w:t>
            </w:r>
          </w:p>
        </w:tc>
        <w:tc>
          <w:tcPr>
            <w:tcW w:w="400" w:type="pct"/>
            <w:shd w:val="clear" w:color="auto" w:fill="auto"/>
            <w:vAlign w:val="center"/>
          </w:tcPr>
          <w:p w14:paraId="58B5A1A7">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w:t>
            </w:r>
          </w:p>
        </w:tc>
        <w:tc>
          <w:tcPr>
            <w:tcW w:w="407" w:type="pct"/>
            <w:shd w:val="clear" w:color="auto" w:fill="auto"/>
            <w:vAlign w:val="center"/>
          </w:tcPr>
          <w:p w14:paraId="2AFEEB9D">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w:t>
            </w:r>
          </w:p>
        </w:tc>
        <w:tc>
          <w:tcPr>
            <w:tcW w:w="412" w:type="pct"/>
            <w:shd w:val="clear" w:color="auto" w:fill="auto"/>
            <w:vAlign w:val="center"/>
          </w:tcPr>
          <w:p w14:paraId="2AFB9D9C">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w:t>
            </w:r>
          </w:p>
        </w:tc>
        <w:tc>
          <w:tcPr>
            <w:tcW w:w="432" w:type="pct"/>
            <w:shd w:val="clear" w:color="auto" w:fill="auto"/>
            <w:vAlign w:val="center"/>
          </w:tcPr>
          <w:p w14:paraId="6013B129">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0.3</w:t>
            </w:r>
          </w:p>
        </w:tc>
        <w:tc>
          <w:tcPr>
            <w:tcW w:w="1289" w:type="pct"/>
            <w:shd w:val="clear" w:color="auto" w:fill="auto"/>
            <w:vAlign w:val="center"/>
          </w:tcPr>
          <w:p w14:paraId="3249972E">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default" w:ascii="Times New Roman" w:hAnsi="Times New Roman" w:cs="Times New Roman" w:eastAsiaTheme="minorEastAsia"/>
                <w:color w:val="auto"/>
                <w:w w:val="99"/>
                <w:sz w:val="21"/>
                <w:szCs w:val="21"/>
                <w:highlight w:val="none"/>
                <w:lang w:val="en-US" w:eastAsia="zh-CN" w:bidi="ar"/>
              </w:rPr>
              <w:t>永久占地内剥离的表土</w:t>
            </w:r>
            <w:r>
              <w:rPr>
                <w:rFonts w:hint="eastAsia" w:ascii="Times New Roman" w:hAnsi="Times New Roman" w:cs="Times New Roman" w:eastAsiaTheme="minorEastAsia"/>
                <w:color w:val="auto"/>
                <w:w w:val="99"/>
                <w:sz w:val="21"/>
                <w:szCs w:val="21"/>
                <w:highlight w:val="none"/>
                <w:lang w:val="en-US" w:eastAsia="zh-CN" w:bidi="ar"/>
              </w:rPr>
              <w:t>0.3</w:t>
            </w:r>
            <w:r>
              <w:rPr>
                <w:rFonts w:hint="default" w:ascii="Times New Roman" w:hAnsi="Times New Roman" w:cs="Times New Roman" w:eastAsiaTheme="minorEastAsia"/>
                <w:color w:val="auto"/>
                <w:w w:val="99"/>
                <w:sz w:val="21"/>
                <w:szCs w:val="21"/>
                <w:highlight w:val="none"/>
                <w:lang w:val="en-US" w:eastAsia="zh-CN" w:bidi="ar"/>
              </w:rPr>
              <w:t>m</w:t>
            </w:r>
            <w:r>
              <w:rPr>
                <w:rFonts w:hint="default" w:ascii="Times New Roman" w:hAnsi="Times New Roman" w:cs="Times New Roman" w:eastAsiaTheme="minorEastAsia"/>
                <w:color w:val="auto"/>
                <w:w w:val="99"/>
                <w:sz w:val="21"/>
                <w:szCs w:val="21"/>
                <w:highlight w:val="none"/>
                <w:vertAlign w:val="superscript"/>
                <w:lang w:val="en-US" w:eastAsia="zh-CN" w:bidi="ar"/>
              </w:rPr>
              <w:t>3</w:t>
            </w:r>
            <w:r>
              <w:rPr>
                <w:rFonts w:hint="default" w:ascii="Times New Roman" w:hAnsi="Times New Roman" w:cs="Times New Roman" w:eastAsiaTheme="minorEastAsia"/>
                <w:color w:val="auto"/>
                <w:w w:val="99"/>
                <w:sz w:val="21"/>
                <w:szCs w:val="21"/>
                <w:highlight w:val="none"/>
                <w:lang w:val="en-US" w:eastAsia="zh-CN" w:bidi="ar"/>
              </w:rPr>
              <w:t>施工结束后，用于周围区域土地复垦、土壤治理等用途。</w:t>
            </w:r>
          </w:p>
        </w:tc>
      </w:tr>
      <w:tr w14:paraId="6ADF3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7" w:type="pct"/>
            <w:vAlign w:val="center"/>
          </w:tcPr>
          <w:p w14:paraId="680D4E16">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2</w:t>
            </w:r>
          </w:p>
        </w:tc>
        <w:tc>
          <w:tcPr>
            <w:tcW w:w="389" w:type="pct"/>
            <w:vMerge w:val="continue"/>
            <w:vAlign w:val="center"/>
          </w:tcPr>
          <w:p w14:paraId="6A9E9173">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p>
        </w:tc>
        <w:tc>
          <w:tcPr>
            <w:tcW w:w="398" w:type="pct"/>
            <w:shd w:val="clear" w:color="auto" w:fill="auto"/>
            <w:vAlign w:val="center"/>
          </w:tcPr>
          <w:p w14:paraId="37B88E7B">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新建通井路</w:t>
            </w:r>
          </w:p>
        </w:tc>
        <w:tc>
          <w:tcPr>
            <w:tcW w:w="480" w:type="pct"/>
            <w:shd w:val="clear" w:color="auto" w:fill="auto"/>
            <w:vAlign w:val="center"/>
          </w:tcPr>
          <w:p w14:paraId="0B1F9F74">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w:t>
            </w:r>
          </w:p>
        </w:tc>
        <w:tc>
          <w:tcPr>
            <w:tcW w:w="561" w:type="pct"/>
            <w:shd w:val="clear" w:color="auto" w:fill="auto"/>
            <w:vAlign w:val="center"/>
          </w:tcPr>
          <w:p w14:paraId="04BFB06B">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270</w:t>
            </w:r>
          </w:p>
        </w:tc>
        <w:tc>
          <w:tcPr>
            <w:tcW w:w="400" w:type="pct"/>
            <w:shd w:val="clear" w:color="auto" w:fill="auto"/>
            <w:vAlign w:val="center"/>
          </w:tcPr>
          <w:p w14:paraId="0785F638">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720</w:t>
            </w:r>
          </w:p>
        </w:tc>
        <w:tc>
          <w:tcPr>
            <w:tcW w:w="407" w:type="pct"/>
            <w:shd w:val="clear" w:color="auto" w:fill="auto"/>
            <w:vAlign w:val="center"/>
          </w:tcPr>
          <w:p w14:paraId="50E6377B">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w:t>
            </w:r>
          </w:p>
        </w:tc>
        <w:tc>
          <w:tcPr>
            <w:tcW w:w="412" w:type="pct"/>
            <w:shd w:val="clear" w:color="auto" w:fill="auto"/>
            <w:vAlign w:val="center"/>
          </w:tcPr>
          <w:p w14:paraId="5748D18F">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720</w:t>
            </w:r>
          </w:p>
        </w:tc>
        <w:tc>
          <w:tcPr>
            <w:tcW w:w="432" w:type="pct"/>
            <w:shd w:val="clear" w:color="auto" w:fill="auto"/>
            <w:vAlign w:val="center"/>
          </w:tcPr>
          <w:p w14:paraId="2A0EB2D0">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270</w:t>
            </w:r>
          </w:p>
        </w:tc>
        <w:tc>
          <w:tcPr>
            <w:tcW w:w="1289" w:type="pct"/>
            <w:shd w:val="clear" w:color="auto" w:fill="auto"/>
            <w:vAlign w:val="center"/>
          </w:tcPr>
          <w:p w14:paraId="07866D51">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通井路路基宽4.5m，长度0.2km，平均填高0.5m。</w:t>
            </w:r>
          </w:p>
        </w:tc>
      </w:tr>
      <w:tr w14:paraId="6249D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7" w:type="pct"/>
            <w:vAlign w:val="center"/>
          </w:tcPr>
          <w:p w14:paraId="7D72F491">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4</w:t>
            </w:r>
          </w:p>
        </w:tc>
        <w:tc>
          <w:tcPr>
            <w:tcW w:w="389" w:type="pct"/>
            <w:vMerge w:val="restart"/>
            <w:vAlign w:val="center"/>
          </w:tcPr>
          <w:p w14:paraId="66568731">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临时占地</w:t>
            </w:r>
          </w:p>
        </w:tc>
        <w:tc>
          <w:tcPr>
            <w:tcW w:w="398" w:type="pct"/>
            <w:shd w:val="clear" w:color="auto" w:fill="auto"/>
            <w:vAlign w:val="center"/>
          </w:tcPr>
          <w:p w14:paraId="579D23E5">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管道</w:t>
            </w:r>
          </w:p>
        </w:tc>
        <w:tc>
          <w:tcPr>
            <w:tcW w:w="480" w:type="pct"/>
            <w:shd w:val="clear" w:color="auto" w:fill="auto"/>
            <w:vAlign w:val="center"/>
          </w:tcPr>
          <w:p w14:paraId="4B417FB3">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5760</w:t>
            </w:r>
          </w:p>
        </w:tc>
        <w:tc>
          <w:tcPr>
            <w:tcW w:w="561" w:type="pct"/>
            <w:shd w:val="clear" w:color="auto" w:fill="auto"/>
            <w:vAlign w:val="center"/>
          </w:tcPr>
          <w:p w14:paraId="70FF24EB">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5760</w:t>
            </w:r>
          </w:p>
        </w:tc>
        <w:tc>
          <w:tcPr>
            <w:tcW w:w="400" w:type="pct"/>
            <w:shd w:val="clear" w:color="auto" w:fill="auto"/>
            <w:vAlign w:val="center"/>
          </w:tcPr>
          <w:p w14:paraId="00C39A77">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11520</w:t>
            </w:r>
          </w:p>
        </w:tc>
        <w:tc>
          <w:tcPr>
            <w:tcW w:w="407" w:type="pct"/>
            <w:shd w:val="clear" w:color="auto" w:fill="auto"/>
            <w:vAlign w:val="center"/>
          </w:tcPr>
          <w:p w14:paraId="5ED02893">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11520</w:t>
            </w:r>
          </w:p>
        </w:tc>
        <w:tc>
          <w:tcPr>
            <w:tcW w:w="412" w:type="pct"/>
            <w:shd w:val="clear" w:color="auto" w:fill="auto"/>
            <w:vAlign w:val="center"/>
          </w:tcPr>
          <w:p w14:paraId="77B104C5">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w:t>
            </w:r>
          </w:p>
        </w:tc>
        <w:tc>
          <w:tcPr>
            <w:tcW w:w="432" w:type="pct"/>
            <w:shd w:val="clear" w:color="auto" w:fill="auto"/>
            <w:vAlign w:val="center"/>
          </w:tcPr>
          <w:p w14:paraId="0F7F861C">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w:t>
            </w:r>
          </w:p>
        </w:tc>
        <w:tc>
          <w:tcPr>
            <w:tcW w:w="1289" w:type="pct"/>
            <w:shd w:val="clear" w:color="auto" w:fill="auto"/>
            <w:vAlign w:val="center"/>
          </w:tcPr>
          <w:p w14:paraId="14D99CA9">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管沟开挖深度为2m，上宽度2m，下宽1m，管沟长度1.92km。临时占地剥离的表土5760m</w:t>
            </w:r>
            <w:r>
              <w:rPr>
                <w:rFonts w:hint="eastAsia" w:ascii="Times New Roman" w:hAnsi="Times New Roman" w:cs="Times New Roman" w:eastAsiaTheme="minorEastAsia"/>
                <w:color w:val="auto"/>
                <w:w w:val="99"/>
                <w:sz w:val="21"/>
                <w:szCs w:val="21"/>
                <w:highlight w:val="none"/>
                <w:vertAlign w:val="superscript"/>
                <w:lang w:val="en-US" w:eastAsia="zh-CN" w:bidi="ar"/>
              </w:rPr>
              <w:t xml:space="preserve">3 </w:t>
            </w:r>
            <w:r>
              <w:rPr>
                <w:rFonts w:hint="eastAsia" w:ascii="Times New Roman" w:hAnsi="Times New Roman" w:cs="Times New Roman" w:eastAsiaTheme="minorEastAsia"/>
                <w:color w:val="auto"/>
                <w:w w:val="99"/>
                <w:sz w:val="21"/>
                <w:szCs w:val="21"/>
                <w:highlight w:val="none"/>
                <w:lang w:val="en-US" w:eastAsia="zh-CN" w:bidi="ar"/>
              </w:rPr>
              <w:t>待施工结束后覆土回填。</w:t>
            </w:r>
          </w:p>
        </w:tc>
      </w:tr>
      <w:tr w14:paraId="79B91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7" w:type="pct"/>
            <w:vAlign w:val="center"/>
          </w:tcPr>
          <w:p w14:paraId="3510B791">
            <w:pPr>
              <w:spacing w:line="320" w:lineRule="exact"/>
              <w:jc w:val="center"/>
              <w:rPr>
                <w:rFonts w:hint="eastAsia" w:ascii="Times New Roman" w:hAnsi="Times New Roman" w:cs="Times New Roman" w:eastAsiaTheme="minorEastAsia"/>
                <w:color w:val="auto"/>
                <w:w w:val="99"/>
                <w:sz w:val="21"/>
                <w:szCs w:val="21"/>
                <w:highlight w:val="none"/>
                <w:lang w:eastAsia="zh-CN" w:bidi="ar"/>
              </w:rPr>
            </w:pPr>
            <w:r>
              <w:rPr>
                <w:rFonts w:hint="eastAsia" w:ascii="Times New Roman" w:hAnsi="Times New Roman" w:cs="Times New Roman" w:eastAsiaTheme="minorEastAsia"/>
                <w:color w:val="auto"/>
                <w:w w:val="99"/>
                <w:sz w:val="21"/>
                <w:szCs w:val="21"/>
                <w:highlight w:val="none"/>
                <w:lang w:val="en-US" w:eastAsia="zh-CN" w:bidi="ar"/>
              </w:rPr>
              <w:t>5</w:t>
            </w:r>
          </w:p>
        </w:tc>
        <w:tc>
          <w:tcPr>
            <w:tcW w:w="389" w:type="pct"/>
            <w:vMerge w:val="continue"/>
            <w:vAlign w:val="center"/>
          </w:tcPr>
          <w:p w14:paraId="7769D430">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p>
        </w:tc>
        <w:tc>
          <w:tcPr>
            <w:tcW w:w="398" w:type="pct"/>
            <w:shd w:val="clear" w:color="auto" w:fill="auto"/>
            <w:vAlign w:val="center"/>
          </w:tcPr>
          <w:p w14:paraId="22380A27">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柱上变</w:t>
            </w:r>
          </w:p>
        </w:tc>
        <w:tc>
          <w:tcPr>
            <w:tcW w:w="480" w:type="pct"/>
            <w:shd w:val="clear" w:color="auto" w:fill="auto"/>
            <w:vAlign w:val="center"/>
          </w:tcPr>
          <w:p w14:paraId="4B7ECDA3">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w:t>
            </w:r>
          </w:p>
        </w:tc>
        <w:tc>
          <w:tcPr>
            <w:tcW w:w="561" w:type="pct"/>
            <w:shd w:val="clear" w:color="auto" w:fill="auto"/>
            <w:vAlign w:val="center"/>
          </w:tcPr>
          <w:p w14:paraId="2470F78B">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8.7</w:t>
            </w:r>
          </w:p>
        </w:tc>
        <w:tc>
          <w:tcPr>
            <w:tcW w:w="400" w:type="pct"/>
            <w:shd w:val="clear" w:color="auto" w:fill="auto"/>
            <w:vAlign w:val="center"/>
          </w:tcPr>
          <w:p w14:paraId="3E6B823F">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8.7</w:t>
            </w:r>
          </w:p>
        </w:tc>
        <w:tc>
          <w:tcPr>
            <w:tcW w:w="407" w:type="pct"/>
            <w:shd w:val="clear" w:color="auto" w:fill="auto"/>
            <w:vAlign w:val="center"/>
          </w:tcPr>
          <w:p w14:paraId="293473DA">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8.7</w:t>
            </w:r>
          </w:p>
        </w:tc>
        <w:tc>
          <w:tcPr>
            <w:tcW w:w="412" w:type="pct"/>
            <w:shd w:val="clear" w:color="auto" w:fill="auto"/>
            <w:vAlign w:val="center"/>
          </w:tcPr>
          <w:p w14:paraId="6280AF89">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w:t>
            </w:r>
          </w:p>
        </w:tc>
        <w:tc>
          <w:tcPr>
            <w:tcW w:w="432" w:type="pct"/>
            <w:shd w:val="clear" w:color="auto" w:fill="auto"/>
            <w:vAlign w:val="center"/>
          </w:tcPr>
          <w:p w14:paraId="3130FFF2">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0</w:t>
            </w:r>
          </w:p>
        </w:tc>
        <w:tc>
          <w:tcPr>
            <w:tcW w:w="1289" w:type="pct"/>
            <w:shd w:val="clear" w:color="auto" w:fill="auto"/>
            <w:vAlign w:val="center"/>
          </w:tcPr>
          <w:p w14:paraId="16210C52">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剥离的表土8.7m</w:t>
            </w:r>
            <w:r>
              <w:rPr>
                <w:rFonts w:hint="eastAsia" w:ascii="Times New Roman" w:hAnsi="Times New Roman" w:cs="Times New Roman" w:eastAsiaTheme="minorEastAsia"/>
                <w:color w:val="auto"/>
                <w:w w:val="99"/>
                <w:sz w:val="21"/>
                <w:szCs w:val="21"/>
                <w:highlight w:val="none"/>
                <w:vertAlign w:val="superscript"/>
                <w:lang w:val="en-US" w:eastAsia="zh-CN" w:bidi="ar"/>
              </w:rPr>
              <w:t xml:space="preserve">3 </w:t>
            </w:r>
            <w:r>
              <w:rPr>
                <w:rFonts w:hint="eastAsia" w:ascii="Times New Roman" w:hAnsi="Times New Roman" w:cs="Times New Roman" w:eastAsiaTheme="minorEastAsia"/>
                <w:color w:val="auto"/>
                <w:w w:val="99"/>
                <w:sz w:val="21"/>
                <w:szCs w:val="21"/>
                <w:highlight w:val="none"/>
                <w:lang w:val="en-US" w:eastAsia="zh-CN" w:bidi="ar"/>
              </w:rPr>
              <w:t>待施工结束后覆土回填。</w:t>
            </w:r>
          </w:p>
        </w:tc>
      </w:tr>
      <w:tr w14:paraId="66C43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6" w:type="pct"/>
            <w:gridSpan w:val="3"/>
            <w:vAlign w:val="center"/>
          </w:tcPr>
          <w:p w14:paraId="22C8DAEF">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合计</w:t>
            </w:r>
          </w:p>
        </w:tc>
        <w:tc>
          <w:tcPr>
            <w:tcW w:w="891" w:type="dxa"/>
            <w:vAlign w:val="center"/>
          </w:tcPr>
          <w:p w14:paraId="65BE2B6D">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5760</w:t>
            </w:r>
          </w:p>
        </w:tc>
        <w:tc>
          <w:tcPr>
            <w:tcW w:w="1041" w:type="dxa"/>
            <w:vAlign w:val="center"/>
          </w:tcPr>
          <w:p w14:paraId="72DF9779">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6039</w:t>
            </w:r>
          </w:p>
        </w:tc>
        <w:tc>
          <w:tcPr>
            <w:tcW w:w="742" w:type="dxa"/>
            <w:vAlign w:val="center"/>
          </w:tcPr>
          <w:p w14:paraId="52AEF2B2">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12248.7</w:t>
            </w:r>
          </w:p>
        </w:tc>
        <w:tc>
          <w:tcPr>
            <w:tcW w:w="756" w:type="dxa"/>
            <w:vAlign w:val="center"/>
          </w:tcPr>
          <w:p w14:paraId="75E6DE40">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11528.7</w:t>
            </w:r>
          </w:p>
        </w:tc>
        <w:tc>
          <w:tcPr>
            <w:tcW w:w="765" w:type="dxa"/>
            <w:vAlign w:val="center"/>
          </w:tcPr>
          <w:p w14:paraId="2D2BF2BF">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720</w:t>
            </w:r>
          </w:p>
        </w:tc>
        <w:tc>
          <w:tcPr>
            <w:tcW w:w="803" w:type="dxa"/>
            <w:vAlign w:val="center"/>
          </w:tcPr>
          <w:p w14:paraId="7336F89B">
            <w:pPr>
              <w:spacing w:line="320" w:lineRule="exact"/>
              <w:jc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270.3</w:t>
            </w:r>
          </w:p>
        </w:tc>
        <w:tc>
          <w:tcPr>
            <w:tcW w:w="1289" w:type="pct"/>
            <w:vAlign w:val="center"/>
          </w:tcPr>
          <w:p w14:paraId="7B7B04AB">
            <w:pPr>
              <w:spacing w:line="320" w:lineRule="exact"/>
              <w:jc w:val="center"/>
              <w:rPr>
                <w:rFonts w:hint="eastAsia"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w:t>
            </w:r>
          </w:p>
        </w:tc>
      </w:tr>
    </w:tbl>
    <w:p w14:paraId="31DA7A3B">
      <w:pPr>
        <w:rPr>
          <w:rFonts w:ascii="Times New Roman" w:hAnsi="Times New Roman" w:eastAsiaTheme="minorEastAsia"/>
          <w:b/>
          <w:color w:val="auto"/>
          <w:w w:val="99"/>
          <w:highlight w:val="none"/>
          <w:vertAlign w:val="superscript"/>
        </w:rPr>
      </w:pPr>
    </w:p>
    <w:p w14:paraId="322D8507">
      <w:pPr>
        <w:jc w:val="center"/>
        <w:rPr>
          <w:rFonts w:ascii="Times New Roman" w:hAnsi="Times New Roman" w:eastAsiaTheme="minorEastAsia"/>
          <w:b/>
          <w:color w:val="auto"/>
          <w:w w:val="99"/>
          <w:highlight w:val="none"/>
          <w:vertAlign w:val="superscript"/>
        </w:rPr>
      </w:pPr>
      <w:r>
        <w:drawing>
          <wp:inline distT="0" distB="0" distL="114300" distR="114300">
            <wp:extent cx="3743325" cy="2124075"/>
            <wp:effectExtent l="0" t="0" r="952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4"/>
                    <a:stretch>
                      <a:fillRect/>
                    </a:stretch>
                  </pic:blipFill>
                  <pic:spPr>
                    <a:xfrm>
                      <a:off x="0" y="0"/>
                      <a:ext cx="3743325" cy="2124075"/>
                    </a:xfrm>
                    <a:prstGeom prst="rect">
                      <a:avLst/>
                    </a:prstGeom>
                    <a:noFill/>
                    <a:ln>
                      <a:noFill/>
                    </a:ln>
                  </pic:spPr>
                </pic:pic>
              </a:graphicData>
            </a:graphic>
          </wp:inline>
        </w:drawing>
      </w:r>
    </w:p>
    <w:p w14:paraId="6FF49498">
      <w:pPr>
        <w:rPr>
          <w:rFonts w:ascii="Times New Roman" w:hAnsi="Times New Roman" w:eastAsiaTheme="minorEastAsia"/>
          <w:b/>
          <w:color w:val="auto"/>
          <w:w w:val="99"/>
          <w:highlight w:val="none"/>
          <w:vertAlign w:val="superscript"/>
        </w:rPr>
      </w:pPr>
    </w:p>
    <w:p w14:paraId="38671783">
      <w:pPr>
        <w:widowControl w:val="0"/>
        <w:spacing w:line="440" w:lineRule="exact"/>
        <w:ind w:firstLine="476" w:firstLineChars="200"/>
        <w:jc w:val="center"/>
        <w:rPr>
          <w:rFonts w:ascii="Times New Roman" w:hAnsi="Times New Roman" w:cs="Times New Roman" w:eastAsiaTheme="minorEastAsia"/>
          <w:b/>
          <w:color w:val="auto"/>
          <w:w w:val="99"/>
          <w:highlight w:val="none"/>
        </w:rPr>
      </w:pPr>
      <w:r>
        <w:rPr>
          <w:rFonts w:ascii="Times New Roman" w:hAnsi="Times New Roman" w:cs="Times New Roman" w:eastAsiaTheme="minorEastAsia"/>
          <w:b/>
          <w:color w:val="auto"/>
          <w:w w:val="99"/>
          <w:highlight w:val="none"/>
        </w:rPr>
        <w:t>图3.</w:t>
      </w:r>
      <w:r>
        <w:rPr>
          <w:rFonts w:hint="eastAsia" w:ascii="Times New Roman" w:hAnsi="Times New Roman" w:cs="Times New Roman" w:eastAsiaTheme="minorEastAsia"/>
          <w:b/>
          <w:color w:val="auto"/>
          <w:w w:val="99"/>
          <w:highlight w:val="none"/>
          <w:lang w:val="en-US" w:eastAsia="zh-CN"/>
        </w:rPr>
        <w:t>6</w:t>
      </w:r>
      <w:r>
        <w:rPr>
          <w:rFonts w:ascii="Times New Roman" w:hAnsi="Times New Roman" w:cs="Times New Roman" w:eastAsiaTheme="minorEastAsia"/>
          <w:b/>
          <w:color w:val="auto"/>
          <w:w w:val="99"/>
          <w:highlight w:val="none"/>
        </w:rPr>
        <w:t>-</w:t>
      </w:r>
      <w:r>
        <w:rPr>
          <w:rFonts w:hint="eastAsia" w:ascii="Times New Roman" w:hAnsi="Times New Roman" w:cs="Times New Roman" w:eastAsiaTheme="minorEastAsia"/>
          <w:b/>
          <w:color w:val="auto"/>
          <w:w w:val="99"/>
          <w:highlight w:val="none"/>
          <w:lang w:val="en-US" w:eastAsia="zh-CN"/>
        </w:rPr>
        <w:t>1</w:t>
      </w:r>
      <w:r>
        <w:rPr>
          <w:rFonts w:ascii="Times New Roman" w:hAnsi="Times New Roman" w:cs="Times New Roman" w:eastAsiaTheme="minorEastAsia"/>
          <w:b/>
          <w:color w:val="auto"/>
          <w:w w:val="99"/>
          <w:highlight w:val="none"/>
        </w:rPr>
        <w:t xml:space="preserve">    土石方平衡图（单位：m</w:t>
      </w:r>
      <w:r>
        <w:rPr>
          <w:rFonts w:ascii="Times New Roman" w:hAnsi="Times New Roman" w:cs="Times New Roman" w:eastAsiaTheme="minorEastAsia"/>
          <w:b/>
          <w:color w:val="auto"/>
          <w:w w:val="99"/>
          <w:highlight w:val="none"/>
          <w:vertAlign w:val="superscript"/>
        </w:rPr>
        <w:t>3</w:t>
      </w:r>
      <w:r>
        <w:rPr>
          <w:rFonts w:ascii="Times New Roman" w:hAnsi="Times New Roman" w:cs="Times New Roman" w:eastAsiaTheme="minorEastAsia"/>
          <w:b/>
          <w:color w:val="auto"/>
          <w:w w:val="99"/>
          <w:highlight w:val="none"/>
        </w:rPr>
        <w:t>）</w:t>
      </w:r>
    </w:p>
    <w:p w14:paraId="65FDC651">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476" w:name="_Toc4136"/>
      <w:r>
        <w:rPr>
          <w:rFonts w:ascii="Times New Roman" w:hAnsi="Times New Roman" w:eastAsia="宋体"/>
          <w:b/>
          <w:snapToGrid w:val="0"/>
          <w:color w:val="auto"/>
          <w:w w:val="99"/>
          <w:highlight w:val="none"/>
        </w:rPr>
        <w:t>3.</w:t>
      </w:r>
      <w:r>
        <w:rPr>
          <w:rFonts w:hint="eastAsia" w:ascii="Times New Roman" w:hAnsi="Times New Roman" w:eastAsia="宋体"/>
          <w:b/>
          <w:snapToGrid w:val="0"/>
          <w:color w:val="auto"/>
          <w:w w:val="99"/>
          <w:highlight w:val="none"/>
          <w:lang w:val="en-US" w:eastAsia="zh-CN"/>
        </w:rPr>
        <w:t>7</w:t>
      </w:r>
      <w:r>
        <w:rPr>
          <w:rFonts w:ascii="Times New Roman" w:hAnsi="Times New Roman" w:eastAsia="宋体"/>
          <w:b/>
          <w:snapToGrid w:val="0"/>
          <w:color w:val="auto"/>
          <w:w w:val="99"/>
          <w:highlight w:val="none"/>
        </w:rPr>
        <w:t>施工方式</w:t>
      </w:r>
      <w:bookmarkEnd w:id="476"/>
    </w:p>
    <w:p w14:paraId="53AE0770">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477" w:name="_Toc67860138"/>
      <w:bookmarkStart w:id="478" w:name="_Toc186444288"/>
      <w:bookmarkStart w:id="479" w:name="_Toc80971385"/>
      <w:bookmarkStart w:id="480" w:name="_Toc78816468"/>
      <w:bookmarkStart w:id="481" w:name="_Toc77067666"/>
      <w:bookmarkStart w:id="482" w:name="_Toc80588263"/>
      <w:bookmarkStart w:id="483" w:name="_Toc76976250"/>
      <w:bookmarkStart w:id="484" w:name="_Toc83209480"/>
      <w:bookmarkStart w:id="485" w:name="_Toc70050185"/>
      <w:r>
        <w:rPr>
          <w:rFonts w:eastAsia="宋体"/>
          <w:b/>
          <w:color w:val="auto"/>
          <w:w w:val="99"/>
          <w:kern w:val="2"/>
          <w:sz w:val="24"/>
          <w:szCs w:val="24"/>
          <w:highlight w:val="none"/>
        </w:rPr>
        <w:t>3.</w:t>
      </w:r>
      <w:r>
        <w:rPr>
          <w:rFonts w:hint="eastAsia" w:eastAsia="宋体"/>
          <w:b/>
          <w:color w:val="auto"/>
          <w:w w:val="99"/>
          <w:kern w:val="2"/>
          <w:sz w:val="24"/>
          <w:szCs w:val="24"/>
          <w:highlight w:val="none"/>
          <w:lang w:val="en-US" w:eastAsia="zh-CN"/>
        </w:rPr>
        <w:t>7</w:t>
      </w:r>
      <w:r>
        <w:rPr>
          <w:rFonts w:eastAsia="宋体"/>
          <w:b/>
          <w:color w:val="auto"/>
          <w:w w:val="99"/>
          <w:kern w:val="2"/>
          <w:sz w:val="24"/>
          <w:szCs w:val="24"/>
          <w:highlight w:val="none"/>
        </w:rPr>
        <w:t>.1管道施工</w:t>
      </w:r>
      <w:bookmarkEnd w:id="477"/>
      <w:bookmarkEnd w:id="478"/>
      <w:bookmarkEnd w:id="479"/>
      <w:bookmarkEnd w:id="480"/>
      <w:bookmarkEnd w:id="481"/>
      <w:bookmarkEnd w:id="482"/>
      <w:bookmarkEnd w:id="483"/>
      <w:bookmarkEnd w:id="484"/>
      <w:bookmarkEnd w:id="485"/>
    </w:p>
    <w:p w14:paraId="566030BF">
      <w:pPr>
        <w:widowControl w:val="0"/>
        <w:spacing w:line="440" w:lineRule="exact"/>
        <w:outlineLvl w:val="3"/>
        <w:rPr>
          <w:rFonts w:ascii="Times New Roman" w:hAnsi="Times New Roman" w:cs="Times New Roman"/>
          <w:b/>
          <w:color w:val="auto"/>
          <w:w w:val="99"/>
          <w:szCs w:val="20"/>
          <w:highlight w:val="none"/>
        </w:rPr>
      </w:pPr>
      <w:r>
        <w:rPr>
          <w:rFonts w:ascii="Times New Roman" w:hAnsi="Times New Roman" w:cs="Times New Roman"/>
          <w:b/>
          <w:color w:val="auto"/>
          <w:w w:val="99"/>
          <w:szCs w:val="20"/>
          <w:highlight w:val="none"/>
        </w:rPr>
        <w:t>3.</w:t>
      </w:r>
      <w:r>
        <w:rPr>
          <w:rFonts w:hint="eastAsia" w:ascii="Times New Roman" w:hAnsi="Times New Roman" w:cs="Times New Roman"/>
          <w:b/>
          <w:color w:val="auto"/>
          <w:w w:val="99"/>
          <w:szCs w:val="20"/>
          <w:highlight w:val="none"/>
          <w:lang w:val="en-US" w:eastAsia="zh-CN"/>
        </w:rPr>
        <w:t>7</w:t>
      </w:r>
      <w:r>
        <w:rPr>
          <w:rFonts w:ascii="Times New Roman" w:hAnsi="Times New Roman" w:cs="Times New Roman"/>
          <w:b/>
          <w:color w:val="auto"/>
          <w:w w:val="99"/>
          <w:szCs w:val="20"/>
          <w:highlight w:val="none"/>
        </w:rPr>
        <w:t>.1.</w:t>
      </w:r>
      <w:r>
        <w:rPr>
          <w:rFonts w:hint="eastAsia" w:ascii="Times New Roman" w:hAnsi="Times New Roman" w:cs="Times New Roman"/>
          <w:b/>
          <w:color w:val="auto"/>
          <w:w w:val="99"/>
          <w:szCs w:val="20"/>
          <w:highlight w:val="none"/>
          <w:lang w:val="en-US" w:eastAsia="zh-CN"/>
        </w:rPr>
        <w:t>1</w:t>
      </w:r>
      <w:r>
        <w:rPr>
          <w:rFonts w:ascii="Times New Roman" w:hAnsi="Times New Roman" w:cs="Times New Roman"/>
          <w:b/>
          <w:color w:val="auto"/>
          <w:w w:val="99"/>
          <w:szCs w:val="20"/>
          <w:highlight w:val="none"/>
        </w:rPr>
        <w:t>一般管道施工</w:t>
      </w:r>
    </w:p>
    <w:p w14:paraId="433B0027">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管道施工过程为先清理作业线路场地，然后开挖管沟，再组焊管道、下沟管道，特殊地段根据实际情况合理穿插各工序。管沟开挖以机械开挖为主，施工作业面宽10m。施工完毕清理现场、恢复地貌。管道施工建设过程见图3.8-2。</w:t>
      </w:r>
    </w:p>
    <w:p w14:paraId="4981C02B">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一般地段作业带宽度为10m，其中管沟深度按2m计，边坡坡度为1:0.3。施工作业带清理采用挖沟机、推土机扫线，人工配合清理。防腐管由工厂预制，采用专用管拖车拉运现场连接。管沟开挖采用挖掘机等机械及人工辅助清理完成。回填完的管沟进行压实、整形。管道安装完成后，经检验合格，应进行压力和严密性试验，本工程试压采用清水进行试压。</w:t>
      </w:r>
    </w:p>
    <w:p w14:paraId="11B60FF5">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工艺管线施工技术要求及验收均按国家标准《</w:t>
      </w:r>
      <w:r>
        <w:rPr>
          <w:rFonts w:hint="eastAsia" w:ascii="Times New Roman" w:hAnsi="Times New Roman" w:cs="Times New Roman" w:eastAsiaTheme="minorEastAsia"/>
          <w:color w:val="auto"/>
          <w:w w:val="99"/>
          <w:highlight w:val="none"/>
        </w:rPr>
        <w:t>工业金属管道工程施工规范</w:t>
      </w:r>
      <w:r>
        <w:rPr>
          <w:rFonts w:ascii="Times New Roman" w:hAnsi="Times New Roman" w:cs="Times New Roman" w:eastAsiaTheme="minorEastAsia"/>
          <w:color w:val="auto"/>
          <w:w w:val="99"/>
          <w:highlight w:val="none"/>
        </w:rPr>
        <w:t>》(GB50235-2010)、</w:t>
      </w:r>
      <w:r>
        <w:rPr>
          <w:rFonts w:hint="eastAsia" w:ascii="Times New Roman" w:hAnsi="Times New Roman" w:cs="Times New Roman" w:eastAsiaTheme="minorEastAsia"/>
          <w:color w:val="auto"/>
          <w:w w:val="99"/>
          <w:highlight w:val="none"/>
        </w:rPr>
        <w:t>《现场设备、工业管道焊接工程施工规范》（</w:t>
      </w:r>
      <w:r>
        <w:rPr>
          <w:rFonts w:ascii="Times New Roman" w:hAnsi="Times New Roman" w:cs="Times New Roman" w:eastAsiaTheme="minorEastAsia"/>
          <w:color w:val="auto"/>
          <w:w w:val="99"/>
          <w:highlight w:val="none"/>
        </w:rPr>
        <w:t>GB 50236-2011）、《</w:t>
      </w:r>
      <w:bookmarkStart w:id="486" w:name="OLE_LINK173"/>
      <w:bookmarkStart w:id="487" w:name="OLE_LINK172"/>
      <w:r>
        <w:rPr>
          <w:rFonts w:ascii="Times New Roman" w:hAnsi="Times New Roman" w:cs="Times New Roman" w:eastAsiaTheme="minorEastAsia"/>
          <w:color w:val="auto"/>
          <w:w w:val="99"/>
          <w:highlight w:val="none"/>
        </w:rPr>
        <w:t>油气田集输管道施工规范</w:t>
      </w:r>
      <w:bookmarkEnd w:id="486"/>
      <w:bookmarkEnd w:id="487"/>
      <w:r>
        <w:rPr>
          <w:rFonts w:ascii="Times New Roman" w:hAnsi="Times New Roman" w:cs="Times New Roman" w:eastAsiaTheme="minorEastAsia"/>
          <w:color w:val="auto"/>
          <w:w w:val="99"/>
          <w:highlight w:val="none"/>
        </w:rPr>
        <w:t>》（GB50819-2013）以及有关国家及行业标准执行。</w:t>
      </w:r>
    </w:p>
    <w:p w14:paraId="108EF7C8">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管道施工作业断面见图3.8-</w:t>
      </w:r>
      <w:r>
        <w:rPr>
          <w:rFonts w:hint="eastAsia" w:ascii="Times New Roman" w:hAnsi="Times New Roman" w:cs="Times New Roman" w:eastAsiaTheme="minorEastAsia"/>
          <w:color w:val="auto"/>
          <w:w w:val="99"/>
          <w:highlight w:val="none"/>
          <w:lang w:val="en-US" w:eastAsia="zh-CN"/>
        </w:rPr>
        <w:t>1</w:t>
      </w:r>
      <w:r>
        <w:rPr>
          <w:rFonts w:ascii="Times New Roman" w:hAnsi="Times New Roman" w:cs="Times New Roman" w:eastAsiaTheme="minorEastAsia"/>
          <w:color w:val="auto"/>
          <w:w w:val="99"/>
          <w:highlight w:val="none"/>
        </w:rPr>
        <w:t>，管道开挖施工平面布置示意图见图3.8-</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w:t>
      </w:r>
    </w:p>
    <w:p w14:paraId="57C47BF6">
      <w:pPr>
        <w:widowControl w:val="0"/>
        <w:autoSpaceDE w:val="0"/>
        <w:autoSpaceDN w:val="0"/>
        <w:jc w:val="center"/>
        <w:rPr>
          <w:rFonts w:ascii="Times New Roman" w:hAnsi="Times New Roman" w:cs="Times New Roman"/>
          <w:color w:val="auto"/>
          <w:w w:val="99"/>
          <w:highlight w:val="none"/>
        </w:rPr>
      </w:pPr>
      <w:r>
        <w:rPr>
          <w:rFonts w:ascii="Times New Roman" w:hAnsi="Times New Roman" w:cs="Times New Roman" w:eastAsiaTheme="minorEastAsia"/>
          <w:color w:val="auto"/>
          <w:w w:val="99"/>
          <w:highlight w:val="none"/>
        </w:rPr>
        <w:drawing>
          <wp:inline distT="0" distB="0" distL="0" distR="0">
            <wp:extent cx="3006090" cy="2355215"/>
            <wp:effectExtent l="0" t="0" r="3810"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5"/>
                    <a:stretch>
                      <a:fillRect/>
                    </a:stretch>
                  </pic:blipFill>
                  <pic:spPr>
                    <a:xfrm>
                      <a:off x="0" y="0"/>
                      <a:ext cx="3042386" cy="2383725"/>
                    </a:xfrm>
                    <a:prstGeom prst="rect">
                      <a:avLst/>
                    </a:prstGeom>
                  </pic:spPr>
                </pic:pic>
              </a:graphicData>
            </a:graphic>
          </wp:inline>
        </w:drawing>
      </w:r>
    </w:p>
    <w:p w14:paraId="27D47113">
      <w:pPr>
        <w:spacing w:line="440" w:lineRule="exact"/>
        <w:jc w:val="center"/>
        <w:rPr>
          <w:rFonts w:ascii="Times New Roman" w:hAnsi="Times New Roman" w:cs="Times New Roman"/>
          <w:b/>
          <w:bCs/>
          <w:color w:val="auto"/>
          <w:w w:val="99"/>
          <w:kern w:val="2"/>
          <w:highlight w:val="none"/>
        </w:rPr>
      </w:pPr>
      <w:r>
        <w:rPr>
          <w:rFonts w:ascii="Times New Roman" w:hAnsi="Times New Roman" w:cs="Times New Roman"/>
          <w:b/>
          <w:bCs/>
          <w:color w:val="auto"/>
          <w:w w:val="99"/>
          <w:kern w:val="2"/>
          <w:highlight w:val="none"/>
        </w:rPr>
        <w:t>图3.</w:t>
      </w:r>
      <w:r>
        <w:rPr>
          <w:rFonts w:hint="eastAsia" w:ascii="Times New Roman" w:hAnsi="Times New Roman" w:cs="Times New Roman"/>
          <w:b/>
          <w:bCs/>
          <w:color w:val="auto"/>
          <w:w w:val="99"/>
          <w:kern w:val="2"/>
          <w:highlight w:val="none"/>
          <w:lang w:val="en-US" w:eastAsia="zh-CN"/>
        </w:rPr>
        <w:t>7</w:t>
      </w:r>
      <w:r>
        <w:rPr>
          <w:rFonts w:ascii="Times New Roman" w:hAnsi="Times New Roman" w:cs="Times New Roman"/>
          <w:b/>
          <w:bCs/>
          <w:color w:val="auto"/>
          <w:w w:val="99"/>
          <w:kern w:val="2"/>
          <w:highlight w:val="none"/>
        </w:rPr>
        <w:t>-</w:t>
      </w:r>
      <w:r>
        <w:rPr>
          <w:rFonts w:hint="eastAsia" w:ascii="Times New Roman" w:hAnsi="Times New Roman" w:cs="Times New Roman"/>
          <w:b/>
          <w:bCs/>
          <w:color w:val="auto"/>
          <w:w w:val="99"/>
          <w:kern w:val="2"/>
          <w:highlight w:val="none"/>
          <w:lang w:val="en-US" w:eastAsia="zh-CN"/>
        </w:rPr>
        <w:t>1</w:t>
      </w:r>
      <w:r>
        <w:rPr>
          <w:rFonts w:ascii="Times New Roman" w:hAnsi="Times New Roman" w:cs="Times New Roman"/>
          <w:b/>
          <w:bCs/>
          <w:color w:val="auto"/>
          <w:w w:val="99"/>
          <w:kern w:val="2"/>
          <w:highlight w:val="none"/>
        </w:rPr>
        <w:t xml:space="preserve">    管道施工建设过程</w:t>
      </w:r>
    </w:p>
    <w:p w14:paraId="1C029E2D">
      <w:pPr>
        <w:pStyle w:val="101"/>
        <w:rPr>
          <w:rFonts w:ascii="Times New Roman" w:hAnsi="Times New Roman"/>
          <w:color w:val="auto"/>
          <w:w w:val="99"/>
          <w:highlight w:val="none"/>
        </w:rPr>
      </w:pPr>
      <w:r>
        <w:rPr>
          <w:rFonts w:ascii="Times New Roman" w:hAnsi="Times New Roman" w:eastAsiaTheme="minorEastAsia"/>
          <w:color w:val="auto"/>
          <w:w w:val="99"/>
          <w:highlight w:val="none"/>
        </w:rPr>
        <w:drawing>
          <wp:inline distT="0" distB="0" distL="0" distR="0">
            <wp:extent cx="5417185" cy="15576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33904" cy="1562913"/>
                    </a:xfrm>
                    <a:prstGeom prst="rect">
                      <a:avLst/>
                    </a:prstGeom>
                    <a:noFill/>
                    <a:ln>
                      <a:noFill/>
                    </a:ln>
                  </pic:spPr>
                </pic:pic>
              </a:graphicData>
            </a:graphic>
          </wp:inline>
        </w:drawing>
      </w:r>
    </w:p>
    <w:p w14:paraId="2B7AE7A3">
      <w:pPr>
        <w:spacing w:line="440" w:lineRule="exact"/>
        <w:jc w:val="center"/>
        <w:rPr>
          <w:rFonts w:ascii="Times New Roman" w:hAnsi="Times New Roman" w:cs="Times New Roman"/>
          <w:b/>
          <w:bCs/>
          <w:color w:val="auto"/>
          <w:w w:val="99"/>
          <w:kern w:val="2"/>
          <w:highlight w:val="none"/>
        </w:rPr>
      </w:pPr>
      <w:r>
        <w:rPr>
          <w:rFonts w:ascii="Times New Roman" w:hAnsi="Times New Roman" w:cs="Times New Roman"/>
          <w:b/>
          <w:bCs/>
          <w:color w:val="auto"/>
          <w:w w:val="99"/>
          <w:kern w:val="2"/>
          <w:highlight w:val="none"/>
        </w:rPr>
        <w:t>图3.</w:t>
      </w:r>
      <w:r>
        <w:rPr>
          <w:rFonts w:hint="eastAsia" w:ascii="Times New Roman" w:hAnsi="Times New Roman" w:cs="Times New Roman"/>
          <w:b/>
          <w:bCs/>
          <w:color w:val="auto"/>
          <w:w w:val="99"/>
          <w:kern w:val="2"/>
          <w:highlight w:val="none"/>
          <w:lang w:val="en-US" w:eastAsia="zh-CN"/>
        </w:rPr>
        <w:t>7</w:t>
      </w:r>
      <w:r>
        <w:rPr>
          <w:rFonts w:ascii="Times New Roman" w:hAnsi="Times New Roman" w:cs="Times New Roman"/>
          <w:b/>
          <w:bCs/>
          <w:color w:val="auto"/>
          <w:w w:val="99"/>
          <w:kern w:val="2"/>
          <w:highlight w:val="none"/>
        </w:rPr>
        <w:t>-</w:t>
      </w:r>
      <w:r>
        <w:rPr>
          <w:rFonts w:hint="eastAsia" w:ascii="Times New Roman" w:hAnsi="Times New Roman" w:cs="Times New Roman"/>
          <w:b/>
          <w:bCs/>
          <w:color w:val="auto"/>
          <w:w w:val="99"/>
          <w:kern w:val="2"/>
          <w:highlight w:val="none"/>
          <w:lang w:val="en-US" w:eastAsia="zh-CN"/>
        </w:rPr>
        <w:t>2</w:t>
      </w:r>
      <w:r>
        <w:rPr>
          <w:rFonts w:ascii="Times New Roman" w:hAnsi="Times New Roman" w:cs="Times New Roman"/>
          <w:b/>
          <w:bCs/>
          <w:color w:val="auto"/>
          <w:w w:val="99"/>
          <w:kern w:val="2"/>
          <w:highlight w:val="none"/>
        </w:rPr>
        <w:t xml:space="preserve">    管道施工作业断面图</w:t>
      </w:r>
    </w:p>
    <w:p w14:paraId="2515100A">
      <w:pPr>
        <w:pStyle w:val="101"/>
        <w:rPr>
          <w:rFonts w:ascii="Times New Roman" w:hAnsi="Times New Roman"/>
          <w:color w:val="auto"/>
          <w:w w:val="99"/>
          <w:highlight w:val="none"/>
        </w:rPr>
      </w:pPr>
      <w:r>
        <w:rPr>
          <w:rFonts w:ascii="Times New Roman" w:hAnsi="Times New Roman" w:eastAsiaTheme="minorEastAsia"/>
          <w:color w:val="auto"/>
          <w:w w:val="99"/>
          <w:highlight w:val="none"/>
        </w:rPr>
        <w:drawing>
          <wp:inline distT="0" distB="0" distL="0" distR="0">
            <wp:extent cx="4297680" cy="1692910"/>
            <wp:effectExtent l="0" t="0" r="7620" b="2540"/>
            <wp:docPr id="840"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840"/>
                    <pic:cNvPicPr>
                      <a:picLocks noChangeAspect="1"/>
                    </pic:cNvPicPr>
                  </pic:nvPicPr>
                  <pic:blipFill>
                    <a:blip r:embed="rId37"/>
                    <a:stretch>
                      <a:fillRect/>
                    </a:stretch>
                  </pic:blipFill>
                  <pic:spPr>
                    <a:xfrm>
                      <a:off x="0" y="0"/>
                      <a:ext cx="4326138" cy="1704323"/>
                    </a:xfrm>
                    <a:prstGeom prst="rect">
                      <a:avLst/>
                    </a:prstGeom>
                  </pic:spPr>
                </pic:pic>
              </a:graphicData>
            </a:graphic>
          </wp:inline>
        </w:drawing>
      </w:r>
    </w:p>
    <w:p w14:paraId="34150F79">
      <w:pPr>
        <w:spacing w:line="440" w:lineRule="exact"/>
        <w:jc w:val="center"/>
        <w:rPr>
          <w:rFonts w:ascii="Times New Roman" w:hAnsi="Times New Roman" w:cs="Times New Roman"/>
          <w:b/>
          <w:bCs/>
          <w:color w:val="auto"/>
          <w:w w:val="99"/>
          <w:kern w:val="2"/>
          <w:highlight w:val="none"/>
        </w:rPr>
      </w:pPr>
      <w:r>
        <w:rPr>
          <w:rFonts w:ascii="Times New Roman" w:hAnsi="Times New Roman" w:cs="Times New Roman"/>
          <w:b/>
          <w:bCs/>
          <w:color w:val="auto"/>
          <w:w w:val="99"/>
          <w:kern w:val="2"/>
          <w:highlight w:val="none"/>
        </w:rPr>
        <w:t>图3.</w:t>
      </w:r>
      <w:r>
        <w:rPr>
          <w:rFonts w:hint="eastAsia" w:ascii="Times New Roman" w:hAnsi="Times New Roman" w:cs="Times New Roman"/>
          <w:b/>
          <w:bCs/>
          <w:color w:val="auto"/>
          <w:w w:val="99"/>
          <w:kern w:val="2"/>
          <w:highlight w:val="none"/>
          <w:lang w:val="en-US" w:eastAsia="zh-CN"/>
        </w:rPr>
        <w:t>7</w:t>
      </w:r>
      <w:r>
        <w:rPr>
          <w:rFonts w:ascii="Times New Roman" w:hAnsi="Times New Roman" w:cs="Times New Roman"/>
          <w:b/>
          <w:bCs/>
          <w:color w:val="auto"/>
          <w:w w:val="99"/>
          <w:kern w:val="2"/>
          <w:highlight w:val="none"/>
        </w:rPr>
        <w:t>-</w:t>
      </w:r>
      <w:r>
        <w:rPr>
          <w:rFonts w:hint="eastAsia" w:ascii="Times New Roman" w:hAnsi="Times New Roman" w:cs="Times New Roman"/>
          <w:b/>
          <w:bCs/>
          <w:color w:val="auto"/>
          <w:w w:val="99"/>
          <w:kern w:val="2"/>
          <w:highlight w:val="none"/>
          <w:lang w:val="en-US" w:eastAsia="zh-CN"/>
        </w:rPr>
        <w:t>3</w:t>
      </w:r>
      <w:r>
        <w:rPr>
          <w:rFonts w:ascii="Times New Roman" w:hAnsi="Times New Roman" w:cs="Times New Roman"/>
          <w:b/>
          <w:bCs/>
          <w:color w:val="auto"/>
          <w:w w:val="99"/>
          <w:kern w:val="2"/>
          <w:highlight w:val="none"/>
        </w:rPr>
        <w:t xml:space="preserve"> 管道开挖施工平面布置示意图</w:t>
      </w:r>
    </w:p>
    <w:p w14:paraId="18CE2E7B">
      <w:pPr>
        <w:spacing w:line="440" w:lineRule="exact"/>
        <w:outlineLvl w:val="3"/>
        <w:rPr>
          <w:rFonts w:ascii="Times New Roman" w:hAnsi="Times New Roman" w:cs="Times New Roman"/>
          <w:b/>
          <w:color w:val="000000" w:themeColor="text1"/>
          <w:w w:val="99"/>
          <w:szCs w:val="20"/>
          <w14:textFill>
            <w14:solidFill>
              <w14:schemeClr w14:val="tx1"/>
            </w14:solidFill>
          </w14:textFill>
        </w:rPr>
      </w:pPr>
      <w:r>
        <w:rPr>
          <w:rFonts w:ascii="Times New Roman" w:hAnsi="Times New Roman" w:cs="Times New Roman"/>
          <w:b/>
          <w:color w:val="auto"/>
          <w:w w:val="99"/>
          <w:szCs w:val="20"/>
          <w:highlight w:val="none"/>
        </w:rPr>
        <w:t>3.</w:t>
      </w:r>
      <w:r>
        <w:rPr>
          <w:rFonts w:hint="eastAsia" w:ascii="Times New Roman" w:hAnsi="Times New Roman" w:cs="Times New Roman"/>
          <w:b/>
          <w:color w:val="auto"/>
          <w:w w:val="99"/>
          <w:szCs w:val="20"/>
          <w:highlight w:val="none"/>
          <w:lang w:val="en-US" w:eastAsia="zh-CN"/>
        </w:rPr>
        <w:t>7</w:t>
      </w:r>
      <w:r>
        <w:rPr>
          <w:rFonts w:ascii="Times New Roman" w:hAnsi="Times New Roman" w:cs="Times New Roman"/>
          <w:b/>
          <w:color w:val="auto"/>
          <w:w w:val="99"/>
          <w:szCs w:val="20"/>
          <w:highlight w:val="none"/>
        </w:rPr>
        <w:t>.1.</w:t>
      </w:r>
      <w:r>
        <w:rPr>
          <w:rFonts w:hint="eastAsia" w:ascii="Times New Roman" w:hAnsi="Times New Roman" w:cs="Times New Roman"/>
          <w:b/>
          <w:color w:val="auto"/>
          <w:w w:val="99"/>
          <w:szCs w:val="20"/>
          <w:highlight w:val="none"/>
          <w:lang w:val="en-US" w:eastAsia="zh-CN"/>
        </w:rPr>
        <w:t>2</w:t>
      </w:r>
      <w:r>
        <w:rPr>
          <w:rFonts w:ascii="Times New Roman" w:hAnsi="Times New Roman" w:cs="Times New Roman"/>
          <w:b/>
          <w:color w:val="000000" w:themeColor="text1"/>
          <w:w w:val="99"/>
          <w:szCs w:val="20"/>
          <w14:textFill>
            <w14:solidFill>
              <w14:schemeClr w14:val="tx1"/>
            </w14:solidFill>
          </w14:textFill>
        </w:rPr>
        <w:t>管道顶管穿越施工</w:t>
      </w:r>
    </w:p>
    <w:p w14:paraId="2EE5E9D2">
      <w:pPr>
        <w:widowControl w:val="0"/>
        <w:autoSpaceDE w:val="0"/>
        <w:autoSpaceDN w:val="0"/>
        <w:spacing w:line="440" w:lineRule="exact"/>
        <w:ind w:firstLine="474" w:firstLineChars="200"/>
        <w:jc w:val="both"/>
        <w:rPr>
          <w:rFonts w:ascii="Times New Roman" w:hAnsi="Times New Roman" w:cs="Times New Roman"/>
          <w:color w:val="000000" w:themeColor="text1"/>
          <w:w w:val="99"/>
          <w14:textFill>
            <w14:solidFill>
              <w14:schemeClr w14:val="tx1"/>
            </w14:solidFill>
          </w14:textFill>
        </w:rPr>
      </w:pPr>
      <w:r>
        <w:rPr>
          <w:rFonts w:ascii="Times New Roman" w:hAnsi="Times New Roman" w:cs="Times New Roman"/>
          <w:color w:val="000000" w:themeColor="text1"/>
          <w:w w:val="99"/>
          <w14:textFill>
            <w14:solidFill>
              <w14:schemeClr w14:val="tx1"/>
            </w14:solidFill>
          </w14:textFill>
        </w:rPr>
        <w:t>本项目</w:t>
      </w:r>
      <w:r>
        <w:rPr>
          <w:rFonts w:hint="eastAsia" w:ascii="Times New Roman" w:hAnsi="Times New Roman" w:cs="Times New Roman"/>
          <w:color w:val="000000" w:themeColor="text1"/>
          <w:w w:val="99"/>
          <w:lang w:val="en-US" w:eastAsia="zh-CN"/>
          <w14:textFill>
            <w14:solidFill>
              <w14:schemeClr w14:val="tx1"/>
            </w14:solidFill>
          </w14:textFill>
        </w:rPr>
        <w:t>4</w:t>
      </w:r>
      <w:r>
        <w:rPr>
          <w:rFonts w:ascii="Times New Roman" w:hAnsi="Times New Roman" w:cs="Times New Roman"/>
          <w:color w:val="000000" w:themeColor="text1"/>
          <w:w w:val="99"/>
          <w14:textFill>
            <w14:solidFill>
              <w14:schemeClr w14:val="tx1"/>
            </w14:solidFill>
          </w14:textFill>
        </w:rPr>
        <w:t>处管道穿越井排路/公路，穿越采用顶管施工方案。顶管施工是不开挖或少开挖的一种管道施工方式，其主要利用顶管设备产生前进的力度，平衡管道与土体之间的摩擦力，管道前进同时将管道内占用的土体置换出来，最终在土体中形成管道。施工中置换出的土体，最终用于该处的土地平整。</w:t>
      </w:r>
    </w:p>
    <w:p w14:paraId="4547DC9A">
      <w:pPr>
        <w:widowControl w:val="0"/>
        <w:autoSpaceDE w:val="0"/>
        <w:autoSpaceDN w:val="0"/>
        <w:spacing w:line="440" w:lineRule="exact"/>
        <w:ind w:firstLine="474" w:firstLineChars="200"/>
        <w:jc w:val="both"/>
        <w:rPr>
          <w:rFonts w:ascii="Times New Roman" w:hAnsi="Times New Roman" w:cs="Times New Roman"/>
          <w:color w:val="000000" w:themeColor="text1"/>
          <w:w w:val="99"/>
          <w14:textFill>
            <w14:solidFill>
              <w14:schemeClr w14:val="tx1"/>
            </w14:solidFill>
          </w14:textFill>
        </w:rPr>
      </w:pPr>
      <w:r>
        <w:rPr>
          <w:rFonts w:ascii="Times New Roman" w:hAnsi="Times New Roman" w:cs="Times New Roman"/>
          <w:color w:val="000000" w:themeColor="text1"/>
          <w:w w:val="99"/>
          <w14:textFill>
            <w14:solidFill>
              <w14:schemeClr w14:val="tx1"/>
            </w14:solidFill>
          </w14:textFill>
        </w:rPr>
        <w:t>顶管施工方式：确定顶管穿越进出口位置，在一端挖操作坑，另一端挖接收坑。在操作坑放置穿越套管和顶管设备，由人工先在套管前端掏土，再顶进套管，循环作业直至穿过道路为止。顶管施工示意图见图3.</w:t>
      </w:r>
      <w:r>
        <w:rPr>
          <w:rFonts w:hint="eastAsia" w:ascii="Times New Roman" w:hAnsi="Times New Roman" w:cs="Times New Roman"/>
          <w:color w:val="000000" w:themeColor="text1"/>
          <w:w w:val="99"/>
          <w:lang w:val="en-US" w:eastAsia="zh-CN"/>
          <w14:textFill>
            <w14:solidFill>
              <w14:schemeClr w14:val="tx1"/>
            </w14:solidFill>
          </w14:textFill>
        </w:rPr>
        <w:t>7</w:t>
      </w:r>
      <w:r>
        <w:rPr>
          <w:rFonts w:ascii="Times New Roman" w:hAnsi="Times New Roman" w:cs="Times New Roman"/>
          <w:color w:val="000000" w:themeColor="text1"/>
          <w:w w:val="99"/>
          <w14:textFill>
            <w14:solidFill>
              <w14:schemeClr w14:val="tx1"/>
            </w14:solidFill>
          </w14:textFill>
        </w:rPr>
        <w:t>-5。</w:t>
      </w:r>
    </w:p>
    <w:p w14:paraId="70E6EC70">
      <w:pPr>
        <w:pStyle w:val="2"/>
        <w:jc w:val="center"/>
        <w:rPr>
          <w:rFonts w:ascii="Times New Roman" w:hAnsi="Times New Roman"/>
          <w:color w:val="000000" w:themeColor="text1"/>
          <w:w w:val="99"/>
          <w14:textFill>
            <w14:solidFill>
              <w14:schemeClr w14:val="tx1"/>
            </w14:solidFill>
          </w14:textFill>
        </w:rPr>
      </w:pPr>
      <w:r>
        <w:rPr>
          <w:rFonts w:ascii="Times New Roman" w:hAnsi="Times New Roman"/>
          <w:color w:val="000000" w:themeColor="text1"/>
          <w:w w:val="99"/>
          <w14:textFill>
            <w14:solidFill>
              <w14:schemeClr w14:val="tx1"/>
            </w14:solidFill>
          </w14:textFill>
        </w:rPr>
        <w:drawing>
          <wp:inline distT="0" distB="0" distL="0" distR="0">
            <wp:extent cx="4648200" cy="1228725"/>
            <wp:effectExtent l="0" t="0" r="0" b="9525"/>
            <wp:docPr id="5"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48200" cy="1228725"/>
                    </a:xfrm>
                    <a:prstGeom prst="rect">
                      <a:avLst/>
                    </a:prstGeom>
                    <a:noFill/>
                    <a:ln>
                      <a:noFill/>
                    </a:ln>
                  </pic:spPr>
                </pic:pic>
              </a:graphicData>
            </a:graphic>
          </wp:inline>
        </w:drawing>
      </w:r>
    </w:p>
    <w:p w14:paraId="6609857D">
      <w:pPr>
        <w:spacing w:line="440" w:lineRule="exact"/>
        <w:jc w:val="center"/>
        <w:rPr>
          <w:rFonts w:ascii="Times New Roman" w:hAnsi="Times New Roman" w:cs="Times New Roman"/>
          <w:b/>
          <w:bCs/>
          <w:color w:val="000000" w:themeColor="text1"/>
          <w:w w:val="99"/>
          <w:kern w:val="2"/>
          <w14:textFill>
            <w14:solidFill>
              <w14:schemeClr w14:val="tx1"/>
            </w14:solidFill>
          </w14:textFill>
        </w:rPr>
      </w:pPr>
      <w:r>
        <w:rPr>
          <w:rFonts w:ascii="Times New Roman" w:hAnsi="Times New Roman" w:cs="Times New Roman"/>
          <w:b/>
          <w:bCs/>
          <w:color w:val="000000" w:themeColor="text1"/>
          <w:w w:val="99"/>
          <w:kern w:val="2"/>
          <w14:textFill>
            <w14:solidFill>
              <w14:schemeClr w14:val="tx1"/>
            </w14:solidFill>
          </w14:textFill>
        </w:rPr>
        <w:t>图3.</w:t>
      </w:r>
      <w:r>
        <w:rPr>
          <w:rFonts w:hint="eastAsia" w:ascii="Times New Roman" w:hAnsi="Times New Roman" w:cs="Times New Roman"/>
          <w:b/>
          <w:bCs/>
          <w:color w:val="000000" w:themeColor="text1"/>
          <w:w w:val="99"/>
          <w:kern w:val="2"/>
          <w:lang w:val="en-US" w:eastAsia="zh-CN"/>
          <w14:textFill>
            <w14:solidFill>
              <w14:schemeClr w14:val="tx1"/>
            </w14:solidFill>
          </w14:textFill>
        </w:rPr>
        <w:t>7</w:t>
      </w:r>
      <w:r>
        <w:rPr>
          <w:rFonts w:ascii="Times New Roman" w:hAnsi="Times New Roman" w:cs="Times New Roman"/>
          <w:b/>
          <w:bCs/>
          <w:color w:val="000000" w:themeColor="text1"/>
          <w:w w:val="99"/>
          <w:kern w:val="2"/>
          <w14:textFill>
            <w14:solidFill>
              <w14:schemeClr w14:val="tx1"/>
            </w14:solidFill>
          </w14:textFill>
        </w:rPr>
        <w:t>-5    顶管施工示意图</w:t>
      </w:r>
    </w:p>
    <w:p w14:paraId="1652EF8B">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488" w:name="_Toc80588264"/>
      <w:bookmarkStart w:id="489" w:name="_Toc83209481"/>
      <w:bookmarkStart w:id="490" w:name="_Toc186444289"/>
      <w:bookmarkStart w:id="491" w:name="_Toc80971386"/>
      <w:bookmarkStart w:id="492" w:name="_Toc70050186"/>
      <w:bookmarkStart w:id="493" w:name="_Toc78816469"/>
      <w:bookmarkStart w:id="494" w:name="_Toc76976251"/>
      <w:bookmarkStart w:id="495" w:name="_Toc67860139"/>
      <w:bookmarkStart w:id="496" w:name="_Toc77067667"/>
      <w:r>
        <w:rPr>
          <w:rFonts w:eastAsia="宋体"/>
          <w:b/>
          <w:color w:val="auto"/>
          <w:w w:val="99"/>
          <w:kern w:val="2"/>
          <w:sz w:val="24"/>
          <w:szCs w:val="24"/>
          <w:highlight w:val="none"/>
        </w:rPr>
        <w:t>3.</w:t>
      </w:r>
      <w:r>
        <w:rPr>
          <w:rFonts w:hint="eastAsia" w:eastAsia="宋体"/>
          <w:b/>
          <w:color w:val="auto"/>
          <w:w w:val="99"/>
          <w:kern w:val="2"/>
          <w:sz w:val="24"/>
          <w:szCs w:val="24"/>
          <w:highlight w:val="none"/>
          <w:lang w:val="en-US" w:eastAsia="zh-CN"/>
        </w:rPr>
        <w:t>7</w:t>
      </w:r>
      <w:r>
        <w:rPr>
          <w:rFonts w:eastAsia="宋体"/>
          <w:b/>
          <w:color w:val="auto"/>
          <w:w w:val="99"/>
          <w:kern w:val="2"/>
          <w:sz w:val="24"/>
          <w:szCs w:val="24"/>
          <w:highlight w:val="none"/>
        </w:rPr>
        <w:t>.2道路施工</w:t>
      </w:r>
      <w:bookmarkEnd w:id="488"/>
      <w:bookmarkEnd w:id="489"/>
      <w:bookmarkEnd w:id="490"/>
      <w:bookmarkEnd w:id="491"/>
      <w:bookmarkEnd w:id="492"/>
      <w:bookmarkEnd w:id="493"/>
      <w:bookmarkEnd w:id="494"/>
      <w:bookmarkEnd w:id="495"/>
      <w:bookmarkEnd w:id="496"/>
    </w:p>
    <w:p w14:paraId="04C3DF92">
      <w:pPr>
        <w:keepNext w:val="0"/>
        <w:keepLines w:val="0"/>
        <w:pageBreakBefore w:val="0"/>
        <w:widowControl w:val="0"/>
        <w:kinsoku/>
        <w:wordWrap/>
        <w:overflowPunct/>
        <w:topLinePunct w:val="0"/>
        <w:autoSpaceDE/>
        <w:autoSpaceDN/>
        <w:bidi w:val="0"/>
        <w:adjustRightInd/>
        <w:snapToGrid/>
        <w:spacing w:after="0" w:line="440" w:lineRule="exact"/>
        <w:ind w:firstLine="474" w:firstLineChars="200"/>
        <w:jc w:val="both"/>
        <w:textAlignment w:val="auto"/>
        <w:rPr>
          <w:rFonts w:hint="default" w:ascii="Times New Roman" w:hAnsi="Times New Roman" w:eastAsia="宋体" w:cs="Times New Roman"/>
          <w:color w:val="auto"/>
          <w:w w:val="99"/>
          <w:sz w:val="24"/>
          <w:szCs w:val="24"/>
          <w:highlight w:val="none"/>
          <w:lang w:val="zh-CN" w:eastAsia="zh-CN" w:bidi="ar-SA"/>
        </w:rPr>
      </w:pPr>
      <w:r>
        <w:rPr>
          <w:rFonts w:hint="default" w:ascii="Times New Roman" w:hAnsi="Times New Roman" w:eastAsia="宋体" w:cs="Times New Roman"/>
          <w:color w:val="auto"/>
          <w:w w:val="99"/>
          <w:sz w:val="24"/>
          <w:szCs w:val="24"/>
          <w:highlight w:val="none"/>
          <w:lang w:val="zh-CN" w:eastAsia="zh-CN" w:bidi="ar-SA"/>
        </w:rPr>
        <w:t>本项目新建道路类型为</w:t>
      </w:r>
      <w:r>
        <w:rPr>
          <w:rFonts w:hint="eastAsia" w:ascii="Times New Roman" w:hAnsi="Times New Roman" w:eastAsia="宋体" w:cs="Times New Roman"/>
          <w:color w:val="auto"/>
          <w:w w:val="99"/>
          <w:sz w:val="24"/>
          <w:szCs w:val="24"/>
          <w:highlight w:val="none"/>
          <w:lang w:val="en-US" w:eastAsia="zh-CN" w:bidi="ar-SA"/>
        </w:rPr>
        <w:t>沥青</w:t>
      </w:r>
      <w:r>
        <w:rPr>
          <w:rFonts w:hint="default" w:ascii="Times New Roman" w:hAnsi="Times New Roman" w:eastAsia="宋体" w:cs="Times New Roman"/>
          <w:color w:val="auto"/>
          <w:w w:val="99"/>
          <w:sz w:val="24"/>
          <w:szCs w:val="24"/>
          <w:highlight w:val="none"/>
          <w:lang w:val="zh-CN" w:eastAsia="zh-CN" w:bidi="ar-SA"/>
        </w:rPr>
        <w:t>砼通井路。首先对线路进行清理平整，清除表土、杂物等，然后对路基进行施工，路基采取分层填筑并压实，最后对面层进行施工，</w:t>
      </w:r>
      <w:r>
        <w:rPr>
          <w:rFonts w:hint="default" w:ascii="Times New Roman" w:hAnsi="Times New Roman" w:eastAsia="宋体" w:cs="Times New Roman"/>
          <w:color w:val="auto"/>
          <w:w w:val="99"/>
          <w:sz w:val="24"/>
          <w:szCs w:val="24"/>
          <w:highlight w:val="none"/>
          <w:lang w:val="en-US" w:eastAsia="zh-CN" w:bidi="ar-SA"/>
        </w:rPr>
        <w:t>敷设外购垫土或砂石并压实</w:t>
      </w:r>
      <w:r>
        <w:rPr>
          <w:rFonts w:hint="eastAsia" w:ascii="Times New Roman" w:hAnsi="Times New Roman" w:eastAsia="宋体" w:cs="Times New Roman"/>
          <w:color w:val="auto"/>
          <w:w w:val="99"/>
          <w:sz w:val="24"/>
          <w:szCs w:val="24"/>
          <w:highlight w:val="none"/>
          <w:lang w:val="en-US" w:eastAsia="zh-CN" w:bidi="ar-SA"/>
        </w:rPr>
        <w:t>，敷设沥青碎石，摊铺碾压成型</w:t>
      </w:r>
      <w:r>
        <w:rPr>
          <w:rFonts w:hint="default" w:ascii="Times New Roman" w:hAnsi="Times New Roman" w:eastAsia="宋体" w:cs="Times New Roman"/>
          <w:color w:val="auto"/>
          <w:w w:val="99"/>
          <w:sz w:val="24"/>
          <w:szCs w:val="24"/>
          <w:highlight w:val="none"/>
          <w:lang w:val="en-US" w:eastAsia="zh-CN" w:bidi="ar-SA"/>
        </w:rPr>
        <w:t>。</w:t>
      </w:r>
      <w:r>
        <w:rPr>
          <w:rFonts w:hint="default" w:ascii="Times New Roman" w:hAnsi="Times New Roman" w:eastAsia="宋体" w:cs="Times New Roman"/>
          <w:color w:val="auto"/>
          <w:w w:val="99"/>
          <w:sz w:val="24"/>
          <w:szCs w:val="24"/>
          <w:highlight w:val="none"/>
          <w:lang w:val="zh-CN" w:eastAsia="zh-CN" w:bidi="ar-SA"/>
        </w:rPr>
        <w:t>道路施工建设过程及断面示意图见图3.</w:t>
      </w:r>
      <w:r>
        <w:rPr>
          <w:rFonts w:hint="eastAsia" w:ascii="Times New Roman" w:hAnsi="Times New Roman" w:cs="Times New Roman"/>
          <w:color w:val="auto"/>
          <w:w w:val="99"/>
          <w:sz w:val="24"/>
          <w:szCs w:val="24"/>
          <w:highlight w:val="none"/>
          <w:lang w:val="en-US" w:eastAsia="zh-CN" w:bidi="ar-SA"/>
        </w:rPr>
        <w:t>7</w:t>
      </w:r>
      <w:r>
        <w:rPr>
          <w:rFonts w:hint="default" w:ascii="Times New Roman" w:hAnsi="Times New Roman" w:eastAsia="宋体" w:cs="Times New Roman"/>
          <w:color w:val="auto"/>
          <w:w w:val="99"/>
          <w:sz w:val="24"/>
          <w:szCs w:val="24"/>
          <w:highlight w:val="none"/>
          <w:lang w:val="zh-CN" w:eastAsia="zh-CN" w:bidi="ar-SA"/>
        </w:rPr>
        <w:t>-</w:t>
      </w:r>
      <w:r>
        <w:rPr>
          <w:rFonts w:hint="eastAsia" w:ascii="Times New Roman" w:hAnsi="Times New Roman" w:eastAsia="宋体" w:cs="Times New Roman"/>
          <w:color w:val="auto"/>
          <w:w w:val="99"/>
          <w:sz w:val="24"/>
          <w:szCs w:val="24"/>
          <w:highlight w:val="none"/>
          <w:lang w:val="en-US" w:eastAsia="zh-CN" w:bidi="ar-SA"/>
        </w:rPr>
        <w:t>5</w:t>
      </w:r>
      <w:r>
        <w:rPr>
          <w:rFonts w:hint="default" w:ascii="Times New Roman" w:hAnsi="Times New Roman" w:eastAsia="宋体" w:cs="Times New Roman"/>
          <w:color w:val="auto"/>
          <w:w w:val="99"/>
          <w:sz w:val="24"/>
          <w:szCs w:val="24"/>
          <w:highlight w:val="none"/>
          <w:lang w:val="zh-CN" w:eastAsia="zh-CN" w:bidi="ar-SA"/>
        </w:rPr>
        <w:t>、图3.</w:t>
      </w:r>
      <w:r>
        <w:rPr>
          <w:rFonts w:hint="eastAsia" w:ascii="Times New Roman" w:hAnsi="Times New Roman" w:cs="Times New Roman"/>
          <w:color w:val="auto"/>
          <w:w w:val="99"/>
          <w:sz w:val="24"/>
          <w:szCs w:val="24"/>
          <w:highlight w:val="none"/>
          <w:lang w:val="en-US" w:eastAsia="zh-CN" w:bidi="ar-SA"/>
        </w:rPr>
        <w:t>7</w:t>
      </w:r>
      <w:r>
        <w:rPr>
          <w:rFonts w:hint="default" w:ascii="Times New Roman" w:hAnsi="Times New Roman" w:eastAsia="宋体" w:cs="Times New Roman"/>
          <w:color w:val="auto"/>
          <w:w w:val="99"/>
          <w:sz w:val="24"/>
          <w:szCs w:val="24"/>
          <w:highlight w:val="none"/>
          <w:lang w:val="zh-CN" w:eastAsia="zh-CN" w:bidi="ar-SA"/>
        </w:rPr>
        <w:t>-</w:t>
      </w:r>
      <w:r>
        <w:rPr>
          <w:rFonts w:hint="eastAsia" w:ascii="Times New Roman" w:hAnsi="Times New Roman" w:eastAsia="宋体" w:cs="Times New Roman"/>
          <w:color w:val="auto"/>
          <w:w w:val="99"/>
          <w:sz w:val="24"/>
          <w:szCs w:val="24"/>
          <w:highlight w:val="none"/>
          <w:lang w:val="en-US" w:eastAsia="zh-CN" w:bidi="ar-SA"/>
        </w:rPr>
        <w:t>6</w:t>
      </w:r>
      <w:r>
        <w:rPr>
          <w:rFonts w:hint="default" w:ascii="Times New Roman" w:hAnsi="Times New Roman" w:eastAsia="宋体" w:cs="Times New Roman"/>
          <w:color w:val="auto"/>
          <w:w w:val="99"/>
          <w:sz w:val="24"/>
          <w:szCs w:val="24"/>
          <w:highlight w:val="none"/>
          <w:lang w:val="zh-CN" w:eastAsia="zh-CN" w:bidi="ar-SA"/>
        </w:rPr>
        <w:t>。</w:t>
      </w:r>
    </w:p>
    <w:p w14:paraId="696493FE">
      <w:pPr>
        <w:widowControl w:val="0"/>
        <w:autoSpaceDE w:val="0"/>
        <w:autoSpaceDN w:val="0"/>
        <w:spacing w:before="120" w:beforeLines="50"/>
        <w:jc w:val="center"/>
        <w:rPr>
          <w:rFonts w:ascii="Times New Roman" w:hAnsi="Times New Roman" w:cs="Times New Roman"/>
          <w:color w:val="auto"/>
          <w:w w:val="99"/>
          <w:highlight w:val="none"/>
        </w:rPr>
      </w:pPr>
      <w:r>
        <w:rPr>
          <w:rFonts w:ascii="Times New Roman" w:hAnsi="Times New Roman" w:cs="Times New Roman" w:eastAsiaTheme="minorEastAsia"/>
          <w:color w:val="auto"/>
          <w:w w:val="99"/>
          <w:highlight w:val="none"/>
        </w:rPr>
        <w:drawing>
          <wp:inline distT="0" distB="0" distL="0" distR="0">
            <wp:extent cx="4302125" cy="481965"/>
            <wp:effectExtent l="0" t="0" r="3175" b="0"/>
            <wp:docPr id="843" name="图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图片 843"/>
                    <pic:cNvPicPr>
                      <a:picLocks noChangeAspect="1"/>
                    </pic:cNvPicPr>
                  </pic:nvPicPr>
                  <pic:blipFill>
                    <a:blip r:embed="rId39"/>
                    <a:stretch>
                      <a:fillRect/>
                    </a:stretch>
                  </pic:blipFill>
                  <pic:spPr>
                    <a:xfrm>
                      <a:off x="0" y="0"/>
                      <a:ext cx="4387465" cy="491699"/>
                    </a:xfrm>
                    <a:prstGeom prst="rect">
                      <a:avLst/>
                    </a:prstGeom>
                  </pic:spPr>
                </pic:pic>
              </a:graphicData>
            </a:graphic>
          </wp:inline>
        </w:drawing>
      </w:r>
    </w:p>
    <w:p w14:paraId="528E5AB4">
      <w:pPr>
        <w:widowControl w:val="0"/>
        <w:autoSpaceDE w:val="0"/>
        <w:autoSpaceDN w:val="0"/>
        <w:spacing w:line="440" w:lineRule="exact"/>
        <w:jc w:val="center"/>
        <w:rPr>
          <w:rFonts w:ascii="Times New Roman" w:hAnsi="Times New Roman" w:cs="Times New Roman"/>
          <w:b/>
          <w:bCs/>
          <w:color w:val="auto"/>
          <w:w w:val="99"/>
          <w:szCs w:val="20"/>
          <w:highlight w:val="none"/>
        </w:rPr>
      </w:pPr>
      <w:r>
        <w:rPr>
          <w:rFonts w:ascii="Times New Roman" w:hAnsi="Times New Roman" w:cs="Times New Roman"/>
          <w:b/>
          <w:bCs/>
          <w:color w:val="auto"/>
          <w:w w:val="99"/>
          <w:szCs w:val="20"/>
          <w:highlight w:val="none"/>
        </w:rPr>
        <w:t>图3.</w:t>
      </w:r>
      <w:r>
        <w:rPr>
          <w:rFonts w:hint="eastAsia" w:ascii="Times New Roman" w:hAnsi="Times New Roman" w:cs="Times New Roman"/>
          <w:b/>
          <w:bCs/>
          <w:color w:val="auto"/>
          <w:w w:val="99"/>
          <w:szCs w:val="20"/>
          <w:highlight w:val="none"/>
          <w:lang w:val="en-US" w:eastAsia="zh-CN"/>
        </w:rPr>
        <w:t>7</w:t>
      </w:r>
      <w:r>
        <w:rPr>
          <w:rFonts w:ascii="Times New Roman" w:hAnsi="Times New Roman" w:cs="Times New Roman"/>
          <w:b/>
          <w:bCs/>
          <w:color w:val="auto"/>
          <w:w w:val="99"/>
          <w:szCs w:val="20"/>
          <w:highlight w:val="none"/>
        </w:rPr>
        <w:t>-</w:t>
      </w:r>
      <w:r>
        <w:rPr>
          <w:rFonts w:hint="eastAsia" w:ascii="Times New Roman" w:hAnsi="Times New Roman" w:cs="Times New Roman"/>
          <w:b/>
          <w:bCs/>
          <w:color w:val="auto"/>
          <w:w w:val="99"/>
          <w:szCs w:val="20"/>
          <w:highlight w:val="none"/>
          <w:lang w:val="en-US" w:eastAsia="zh-CN"/>
        </w:rPr>
        <w:t>5</w:t>
      </w:r>
      <w:r>
        <w:rPr>
          <w:rFonts w:ascii="Times New Roman" w:hAnsi="Times New Roman" w:cs="Times New Roman"/>
          <w:b/>
          <w:bCs/>
          <w:color w:val="auto"/>
          <w:w w:val="99"/>
          <w:szCs w:val="20"/>
          <w:highlight w:val="none"/>
        </w:rPr>
        <w:t xml:space="preserve">    通井路施工建设过程</w:t>
      </w:r>
    </w:p>
    <w:p w14:paraId="3A3A86A7">
      <w:pPr>
        <w:widowControl w:val="0"/>
        <w:autoSpaceDE w:val="0"/>
        <w:autoSpaceDN w:val="0"/>
        <w:spacing w:before="120" w:beforeLines="50"/>
        <w:jc w:val="center"/>
        <w:rPr>
          <w:rFonts w:ascii="Times New Roman" w:hAnsi="Times New Roman" w:cs="Times New Roman"/>
          <w:color w:val="auto"/>
          <w:w w:val="99"/>
          <w:highlight w:val="none"/>
        </w:rPr>
      </w:pPr>
      <w:r>
        <w:rPr>
          <w:rFonts w:ascii="Times New Roman" w:hAnsi="Times New Roman" w:cs="Times New Roman"/>
          <w:color w:val="auto"/>
          <w:w w:val="99"/>
          <w:highlight w:val="none"/>
        </w:rPr>
        <w:pict>
          <v:shape id="_x0000_i1025" o:spt="75" type="#_x0000_t75" style="height:149.45pt;width:373.6pt;" filled="f" o:preferrelative="t" stroked="f" coordsize="21600,21600">
            <v:path/>
            <v:fill on="f" focussize="0,0"/>
            <v:stroke on="f" joinstyle="miter"/>
            <v:imagedata r:id="rId40" croptop="18212f" o:title="通井路横断面图（改）"/>
            <o:lock v:ext="edit" aspectratio="t"/>
            <w10:wrap type="none"/>
            <w10:anchorlock/>
          </v:shape>
        </w:pict>
      </w:r>
    </w:p>
    <w:p w14:paraId="724C97A5">
      <w:pPr>
        <w:widowControl w:val="0"/>
        <w:autoSpaceDE w:val="0"/>
        <w:autoSpaceDN w:val="0"/>
        <w:spacing w:line="440" w:lineRule="exact"/>
        <w:ind w:firstLine="505"/>
        <w:jc w:val="center"/>
        <w:textAlignment w:val="baseline"/>
        <w:rPr>
          <w:rFonts w:ascii="Times New Roman" w:hAnsi="Times New Roman" w:cs="Times New Roman"/>
          <w:b/>
          <w:color w:val="auto"/>
          <w:w w:val="99"/>
          <w:szCs w:val="20"/>
          <w:highlight w:val="none"/>
        </w:rPr>
      </w:pPr>
      <w:r>
        <w:rPr>
          <w:rFonts w:ascii="Times New Roman" w:hAnsi="Times New Roman" w:cs="Times New Roman"/>
          <w:b/>
          <w:color w:val="auto"/>
          <w:w w:val="99"/>
          <w:szCs w:val="20"/>
          <w:highlight w:val="none"/>
        </w:rPr>
        <w:t>图3.</w:t>
      </w:r>
      <w:r>
        <w:rPr>
          <w:rFonts w:hint="eastAsia" w:ascii="Times New Roman" w:hAnsi="Times New Roman" w:cs="Times New Roman"/>
          <w:b/>
          <w:color w:val="auto"/>
          <w:w w:val="99"/>
          <w:szCs w:val="20"/>
          <w:highlight w:val="none"/>
          <w:lang w:val="en-US" w:eastAsia="zh-CN"/>
        </w:rPr>
        <w:t>7</w:t>
      </w:r>
      <w:r>
        <w:rPr>
          <w:rFonts w:ascii="Times New Roman" w:hAnsi="Times New Roman" w:cs="Times New Roman"/>
          <w:b/>
          <w:color w:val="auto"/>
          <w:w w:val="99"/>
          <w:szCs w:val="20"/>
          <w:highlight w:val="none"/>
        </w:rPr>
        <w:t>-</w:t>
      </w:r>
      <w:r>
        <w:rPr>
          <w:rFonts w:hint="eastAsia" w:ascii="Times New Roman" w:hAnsi="Times New Roman" w:cs="Times New Roman"/>
          <w:b/>
          <w:color w:val="auto"/>
          <w:w w:val="99"/>
          <w:szCs w:val="20"/>
          <w:highlight w:val="none"/>
          <w:lang w:val="en-US" w:eastAsia="zh-CN"/>
        </w:rPr>
        <w:t>6</w:t>
      </w:r>
      <w:r>
        <w:rPr>
          <w:rFonts w:ascii="Times New Roman" w:hAnsi="Times New Roman" w:cs="Times New Roman"/>
          <w:b/>
          <w:color w:val="auto"/>
          <w:w w:val="99"/>
          <w:szCs w:val="20"/>
          <w:highlight w:val="none"/>
        </w:rPr>
        <w:t xml:space="preserve">    通井路横断面示意图</w:t>
      </w:r>
    </w:p>
    <w:p w14:paraId="51865EE2">
      <w:pPr>
        <w:pStyle w:val="7"/>
        <w:keepNext w:val="0"/>
        <w:keepLines w:val="0"/>
        <w:pageBreakBefore w:val="0"/>
        <w:widowControl w:val="0"/>
        <w:kinsoku/>
        <w:wordWrap/>
        <w:overflowPunct/>
        <w:topLinePunct w:val="0"/>
        <w:autoSpaceDE/>
        <w:autoSpaceDN/>
        <w:bidi w:val="0"/>
        <w:adjustRightInd/>
        <w:snapToGrid/>
        <w:spacing w:before="60" w:after="60" w:line="440" w:lineRule="exact"/>
        <w:jc w:val="both"/>
        <w:textAlignment w:val="auto"/>
        <w:rPr>
          <w:rFonts w:eastAsia="宋体"/>
          <w:b/>
          <w:color w:val="auto"/>
          <w:w w:val="99"/>
          <w:kern w:val="2"/>
          <w:sz w:val="24"/>
          <w:szCs w:val="24"/>
          <w:highlight w:val="none"/>
        </w:rPr>
      </w:pPr>
      <w:bookmarkStart w:id="497" w:name="_Toc67860140"/>
      <w:bookmarkStart w:id="498" w:name="_Toc83209482"/>
      <w:bookmarkStart w:id="499" w:name="_Toc70050187"/>
      <w:bookmarkStart w:id="500" w:name="_Toc80588265"/>
      <w:bookmarkStart w:id="501" w:name="_Toc80971387"/>
      <w:bookmarkStart w:id="502" w:name="_Toc186444291"/>
      <w:bookmarkStart w:id="503" w:name="_Toc77067668"/>
      <w:bookmarkStart w:id="504" w:name="_Toc78816470"/>
      <w:bookmarkStart w:id="505" w:name="_Toc76976252"/>
      <w:r>
        <w:rPr>
          <w:rFonts w:eastAsia="宋体"/>
          <w:b/>
          <w:color w:val="auto"/>
          <w:w w:val="99"/>
          <w:kern w:val="2"/>
          <w:sz w:val="24"/>
          <w:szCs w:val="24"/>
          <w:highlight w:val="none"/>
        </w:rPr>
        <w:t>3.</w:t>
      </w:r>
      <w:r>
        <w:rPr>
          <w:rFonts w:hint="eastAsia" w:eastAsia="宋体"/>
          <w:b/>
          <w:color w:val="auto"/>
          <w:w w:val="99"/>
          <w:kern w:val="2"/>
          <w:sz w:val="24"/>
          <w:szCs w:val="24"/>
          <w:highlight w:val="none"/>
          <w:lang w:val="en-US" w:eastAsia="zh-CN"/>
        </w:rPr>
        <w:t>7</w:t>
      </w:r>
      <w:r>
        <w:rPr>
          <w:rFonts w:eastAsia="宋体"/>
          <w:b/>
          <w:color w:val="auto"/>
          <w:w w:val="99"/>
          <w:kern w:val="2"/>
          <w:sz w:val="24"/>
          <w:szCs w:val="24"/>
          <w:highlight w:val="none"/>
        </w:rPr>
        <w:t>.3典型井场施工</w:t>
      </w:r>
      <w:bookmarkEnd w:id="497"/>
      <w:bookmarkEnd w:id="498"/>
      <w:bookmarkEnd w:id="499"/>
      <w:bookmarkEnd w:id="500"/>
      <w:bookmarkEnd w:id="501"/>
      <w:bookmarkEnd w:id="502"/>
      <w:bookmarkEnd w:id="503"/>
      <w:bookmarkEnd w:id="504"/>
      <w:bookmarkEnd w:id="505"/>
    </w:p>
    <w:p w14:paraId="031B35CD">
      <w:pPr>
        <w:keepNext w:val="0"/>
        <w:keepLines w:val="0"/>
        <w:pageBreakBefore w:val="0"/>
        <w:widowControl w:val="0"/>
        <w:kinsoku/>
        <w:wordWrap/>
        <w:overflowPunct/>
        <w:topLinePunct w:val="0"/>
        <w:autoSpaceDE/>
        <w:autoSpaceDN/>
        <w:bidi w:val="0"/>
        <w:adjustRightInd/>
        <w:snapToGrid/>
        <w:spacing w:after="0" w:line="440" w:lineRule="exact"/>
        <w:ind w:firstLine="474" w:firstLineChars="200"/>
        <w:jc w:val="both"/>
        <w:textAlignment w:val="auto"/>
        <w:rPr>
          <w:rFonts w:hint="default" w:ascii="Times New Roman" w:hAnsi="Times New Roman" w:eastAsia="宋体" w:cs="Times New Roman"/>
          <w:color w:val="auto"/>
          <w:w w:val="99"/>
          <w:sz w:val="24"/>
          <w:szCs w:val="24"/>
          <w:highlight w:val="none"/>
          <w:lang w:val="en-US" w:eastAsia="zh-CN" w:bidi="ar-SA"/>
        </w:rPr>
      </w:pPr>
      <w:r>
        <w:rPr>
          <w:rFonts w:hint="default" w:ascii="Times New Roman" w:hAnsi="Times New Roman" w:eastAsia="宋体" w:cs="Times New Roman"/>
          <w:color w:val="auto"/>
          <w:w w:val="99"/>
          <w:sz w:val="24"/>
          <w:szCs w:val="24"/>
          <w:highlight w:val="none"/>
          <w:lang w:val="en-US" w:eastAsia="zh-CN" w:bidi="ar-SA"/>
        </w:rPr>
        <w:t>本工程新建</w:t>
      </w:r>
      <w:r>
        <w:rPr>
          <w:rFonts w:hint="eastAsia" w:ascii="Times New Roman" w:hAnsi="Times New Roman" w:cs="Times New Roman"/>
          <w:color w:val="auto"/>
          <w:w w:val="99"/>
          <w:sz w:val="24"/>
          <w:szCs w:val="24"/>
          <w:highlight w:val="none"/>
          <w:lang w:val="en-US" w:eastAsia="zh-CN" w:bidi="ar-SA"/>
        </w:rPr>
        <w:t>1</w:t>
      </w:r>
      <w:r>
        <w:rPr>
          <w:rFonts w:hint="eastAsia" w:ascii="Times New Roman" w:hAnsi="Times New Roman" w:eastAsia="宋体" w:cs="Times New Roman"/>
          <w:color w:val="auto"/>
          <w:w w:val="99"/>
          <w:sz w:val="24"/>
          <w:szCs w:val="24"/>
          <w:highlight w:val="none"/>
          <w:lang w:val="en-US" w:eastAsia="zh-CN" w:bidi="ar-SA"/>
        </w:rPr>
        <w:t>座</w:t>
      </w:r>
      <w:r>
        <w:rPr>
          <w:rFonts w:hint="default" w:ascii="Times New Roman" w:hAnsi="Times New Roman" w:eastAsia="宋体" w:cs="Times New Roman"/>
          <w:color w:val="auto"/>
          <w:w w:val="99"/>
          <w:sz w:val="24"/>
          <w:szCs w:val="24"/>
          <w:highlight w:val="none"/>
          <w:lang w:val="en-US" w:eastAsia="zh-CN" w:bidi="ar-SA"/>
        </w:rPr>
        <w:t>采气井场，施工主要包括对新征占地范围内土地进行清理、测量放线，建设设备间等土建部分，然后安装设备等。</w:t>
      </w:r>
    </w:p>
    <w:p w14:paraId="166372A2">
      <w:pPr>
        <w:pStyle w:val="5"/>
        <w:keepNext w:val="0"/>
        <w:keepLines w:val="0"/>
        <w:widowControl w:val="0"/>
        <w:spacing w:line="440" w:lineRule="exact"/>
        <w:rPr>
          <w:rFonts w:ascii="Times New Roman" w:hAnsi="Times New Roman" w:eastAsia="宋体"/>
          <w:b/>
          <w:snapToGrid w:val="0"/>
          <w:color w:val="auto"/>
          <w:w w:val="99"/>
          <w:highlight w:val="none"/>
        </w:rPr>
      </w:pPr>
      <w:bookmarkStart w:id="506" w:name="_Toc74812330"/>
      <w:bookmarkStart w:id="507" w:name="_Toc16942"/>
      <w:r>
        <w:rPr>
          <w:rFonts w:ascii="Times New Roman" w:hAnsi="Times New Roman" w:eastAsia="宋体"/>
          <w:b/>
          <w:snapToGrid w:val="0"/>
          <w:color w:val="auto"/>
          <w:w w:val="99"/>
          <w:highlight w:val="none"/>
        </w:rPr>
        <w:t>3.</w:t>
      </w:r>
      <w:bookmarkEnd w:id="506"/>
      <w:r>
        <w:rPr>
          <w:rFonts w:hint="eastAsia" w:ascii="Times New Roman" w:hAnsi="Times New Roman" w:eastAsia="宋体"/>
          <w:b/>
          <w:snapToGrid w:val="0"/>
          <w:color w:val="auto"/>
          <w:w w:val="99"/>
          <w:highlight w:val="none"/>
          <w:lang w:val="en-US" w:eastAsia="zh-CN"/>
        </w:rPr>
        <w:t>8</w:t>
      </w:r>
      <w:r>
        <w:rPr>
          <w:rFonts w:ascii="Times New Roman" w:hAnsi="Times New Roman" w:eastAsia="宋体"/>
          <w:b/>
          <w:snapToGrid w:val="0"/>
          <w:color w:val="auto"/>
          <w:w w:val="99"/>
          <w:highlight w:val="none"/>
        </w:rPr>
        <w:t>物料消耗</w:t>
      </w:r>
      <w:bookmarkEnd w:id="507"/>
    </w:p>
    <w:p w14:paraId="6063C881">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（1）施工期</w:t>
      </w:r>
    </w:p>
    <w:p w14:paraId="350F97B2">
      <w:pPr>
        <w:keepNext w:val="0"/>
        <w:keepLines w:val="0"/>
        <w:pageBreakBefore w:val="0"/>
        <w:widowControl w:val="0"/>
        <w:kinsoku/>
        <w:wordWrap/>
        <w:overflowPunct/>
        <w:topLinePunct w:val="0"/>
        <w:autoSpaceDE/>
        <w:autoSpaceDN/>
        <w:bidi w:val="0"/>
        <w:adjustRightInd/>
        <w:spacing w:line="440" w:lineRule="exact"/>
        <w:ind w:left="0" w:leftChars="0" w:firstLine="474" w:firstLineChars="200"/>
        <w:jc w:val="both"/>
        <w:textAlignment w:val="auto"/>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 xml:space="preserve">生活用水：本项目施工期 </w:t>
      </w:r>
      <w:r>
        <w:rPr>
          <w:rFonts w:hint="eastAsia" w:ascii="Times New Roman" w:hAnsi="Times New Roman" w:cs="Times New Roman" w:eastAsiaTheme="minorEastAsia"/>
          <w:color w:val="auto"/>
          <w:w w:val="99"/>
          <w:kern w:val="21"/>
          <w:highlight w:val="none"/>
          <w:lang w:val="en-US" w:eastAsia="zh-CN"/>
        </w:rPr>
        <w:t>30</w:t>
      </w:r>
      <w:r>
        <w:rPr>
          <w:rFonts w:ascii="Times New Roman" w:hAnsi="Times New Roman" w:cs="Times New Roman" w:eastAsiaTheme="minorEastAsia"/>
          <w:color w:val="auto"/>
          <w:w w:val="99"/>
          <w:kern w:val="21"/>
          <w:highlight w:val="none"/>
        </w:rPr>
        <w:t>d ，施工人数</w:t>
      </w:r>
      <w:r>
        <w:rPr>
          <w:rFonts w:hint="eastAsia" w:ascii="Times New Roman" w:hAnsi="Times New Roman" w:cs="Times New Roman" w:eastAsiaTheme="minorEastAsia"/>
          <w:color w:val="auto"/>
          <w:w w:val="99"/>
          <w:kern w:val="21"/>
          <w:highlight w:val="none"/>
          <w:lang w:val="en-US" w:eastAsia="zh-CN"/>
        </w:rPr>
        <w:t>30</w:t>
      </w:r>
      <w:r>
        <w:rPr>
          <w:rFonts w:ascii="Times New Roman" w:hAnsi="Times New Roman" w:cs="Times New Roman" w:eastAsiaTheme="minorEastAsia"/>
          <w:color w:val="auto"/>
          <w:w w:val="99"/>
          <w:kern w:val="21"/>
          <w:highlight w:val="none"/>
        </w:rPr>
        <w:t>人，根据《用水定额》（DB23/T727-202</w:t>
      </w:r>
      <w:r>
        <w:rPr>
          <w:rFonts w:hint="eastAsia" w:ascii="Times New Roman" w:hAnsi="Times New Roman" w:cs="Times New Roman" w:eastAsiaTheme="minorEastAsia"/>
          <w:color w:val="auto"/>
          <w:w w:val="99"/>
          <w:kern w:val="21"/>
          <w:highlight w:val="none"/>
          <w:lang w:val="en-US" w:eastAsia="zh-CN"/>
        </w:rPr>
        <w:t>5</w:t>
      </w:r>
      <w:r>
        <w:rPr>
          <w:rFonts w:ascii="Times New Roman" w:hAnsi="Times New Roman" w:cs="Times New Roman" w:eastAsiaTheme="minorEastAsia"/>
          <w:color w:val="auto"/>
          <w:w w:val="99"/>
          <w:kern w:val="21"/>
          <w:highlight w:val="none"/>
        </w:rPr>
        <w:t xml:space="preserve">）项目施工期生活用水量按 80L/人·d 计，施工期生活用水量为 </w:t>
      </w:r>
      <w:r>
        <w:rPr>
          <w:rFonts w:hint="eastAsia" w:ascii="Times New Roman" w:hAnsi="Times New Roman" w:cs="Times New Roman" w:eastAsiaTheme="minorEastAsia"/>
          <w:color w:val="auto"/>
          <w:w w:val="99"/>
          <w:kern w:val="21"/>
          <w:highlight w:val="none"/>
          <w:lang w:val="en-US" w:eastAsia="zh-CN"/>
        </w:rPr>
        <w:t>720</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 xml:space="preserve"> ，生活用水采用桶装水。</w:t>
      </w:r>
    </w:p>
    <w:p w14:paraId="3FE8514F">
      <w:pPr>
        <w:keepNext w:val="0"/>
        <w:keepLines w:val="0"/>
        <w:pageBreakBefore w:val="0"/>
        <w:widowControl w:val="0"/>
        <w:kinsoku/>
        <w:wordWrap/>
        <w:overflowPunct/>
        <w:topLinePunct w:val="0"/>
        <w:autoSpaceDE/>
        <w:autoSpaceDN/>
        <w:bidi w:val="0"/>
        <w:adjustRightInd/>
        <w:spacing w:line="440" w:lineRule="exact"/>
        <w:ind w:left="0" w:leftChars="0" w:firstLine="474" w:firstLineChars="200"/>
        <w:jc w:val="both"/>
        <w:textAlignment w:val="auto"/>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sz w:val="24"/>
          <w:szCs w:val="24"/>
          <w:highlight w:val="none"/>
          <w:lang w:val="en-US" w:eastAsia="zh-CN" w:bidi="ar-SA"/>
        </w:rPr>
        <w:t>试压用水：</w:t>
      </w:r>
      <w:r>
        <w:rPr>
          <w:rFonts w:ascii="Times New Roman" w:hAnsi="Times New Roman" w:cs="Times New Roman" w:eastAsiaTheme="minorEastAsia"/>
          <w:color w:val="auto"/>
          <w:w w:val="99"/>
          <w:kern w:val="21"/>
          <w:highlight w:val="none"/>
        </w:rPr>
        <w:t>本项目管道敷设完成后进行试压，管线试压用水量为</w:t>
      </w:r>
      <w:r>
        <w:rPr>
          <w:rFonts w:hint="eastAsia" w:ascii="Times New Roman" w:hAnsi="Times New Roman" w:cs="Times New Roman" w:eastAsiaTheme="minorEastAsia"/>
          <w:color w:val="auto"/>
          <w:w w:val="99"/>
          <w:kern w:val="21"/>
          <w:highlight w:val="none"/>
          <w:lang w:val="en-US" w:eastAsia="zh-CN"/>
        </w:rPr>
        <w:t>4.39</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 xml:space="preserve"> ，试压用水由水罐车运送。</w:t>
      </w:r>
    </w:p>
    <w:p w14:paraId="05B44B04">
      <w:pPr>
        <w:keepNext w:val="0"/>
        <w:keepLines w:val="0"/>
        <w:pageBreakBefore w:val="0"/>
        <w:widowControl w:val="0"/>
        <w:kinsoku/>
        <w:wordWrap/>
        <w:overflowPunct/>
        <w:topLinePunct w:val="0"/>
        <w:autoSpaceDE/>
        <w:autoSpaceDN/>
        <w:bidi w:val="0"/>
        <w:adjustRightInd/>
        <w:spacing w:line="440" w:lineRule="exact"/>
        <w:ind w:left="0" w:leftChars="0" w:firstLine="474" w:firstLineChars="200"/>
        <w:jc w:val="both"/>
        <w:textAlignment w:val="auto"/>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（3）甲醇：考虑到本工程井口温度较高，正常运行不进行注醇，仅在井口设置甲醇加注预留头，必要时（井筒冻堵等情况）采用移动罐车方式加注甲醇，单井加注量一般不超过 0.1 吨/次，每口井约 3 年加注 1 次。甲醇来源集气站内现有密闭甲醇储罐内。</w:t>
      </w:r>
    </w:p>
    <w:p w14:paraId="334BE715">
      <w:pPr>
        <w:keepNext w:val="0"/>
        <w:keepLines w:val="0"/>
        <w:pageBreakBefore w:val="0"/>
        <w:widowControl w:val="0"/>
        <w:kinsoku/>
        <w:wordWrap/>
        <w:overflowPunct/>
        <w:topLinePunct w:val="0"/>
        <w:autoSpaceDE/>
        <w:autoSpaceDN/>
        <w:bidi w:val="0"/>
        <w:adjustRightInd/>
        <w:spacing w:line="440" w:lineRule="exact"/>
        <w:ind w:left="0" w:leftChars="0" w:firstLine="474" w:firstLineChars="200"/>
        <w:jc w:val="both"/>
        <w:textAlignment w:val="auto"/>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（2）运营期</w:t>
      </w:r>
    </w:p>
    <w:p w14:paraId="2AE91ADE">
      <w:pPr>
        <w:widowControl w:val="0"/>
        <w:spacing w:line="440" w:lineRule="exact"/>
        <w:ind w:firstLine="474" w:firstLineChars="200"/>
        <w:jc w:val="both"/>
        <w:rPr>
          <w:rFonts w:hint="eastAsia" w:ascii="Times New Roman" w:hAnsi="Times New Roman" w:cs="Times New Roman" w:eastAsiaTheme="minorEastAsia"/>
          <w:color w:val="auto"/>
          <w:w w:val="99"/>
          <w:highlight w:val="none"/>
          <w:lang w:val="en-US" w:eastAsia="zh-CN"/>
        </w:rPr>
      </w:pPr>
      <w:r>
        <w:rPr>
          <w:rFonts w:hint="eastAsia" w:ascii="Times New Roman" w:hAnsi="Times New Roman" w:cs="Times New Roman" w:eastAsiaTheme="minorEastAsia"/>
          <w:color w:val="auto"/>
          <w:w w:val="99"/>
          <w:highlight w:val="none"/>
          <w:lang w:val="en-US" w:eastAsia="zh-CN"/>
        </w:rPr>
        <w:t>用电：本工程投产后，新增用电负荷77.09×10</w:t>
      </w:r>
      <w:r>
        <w:rPr>
          <w:rFonts w:hint="eastAsia" w:ascii="Times New Roman" w:hAnsi="Times New Roman" w:cs="Times New Roman" w:eastAsiaTheme="minorEastAsia"/>
          <w:color w:val="auto"/>
          <w:w w:val="99"/>
          <w:highlight w:val="none"/>
          <w:vertAlign w:val="superscript"/>
          <w:lang w:val="en-US" w:eastAsia="zh-CN"/>
        </w:rPr>
        <w:t>4</w:t>
      </w:r>
      <w:r>
        <w:rPr>
          <w:rFonts w:hint="eastAsia" w:ascii="Times New Roman" w:hAnsi="Times New Roman" w:cs="Times New Roman" w:eastAsiaTheme="minorEastAsia"/>
          <w:color w:val="auto"/>
          <w:w w:val="99"/>
          <w:highlight w:val="none"/>
          <w:lang w:val="en-US" w:eastAsia="zh-CN"/>
        </w:rPr>
        <w:t>kW•h/a。</w:t>
      </w:r>
    </w:p>
    <w:p w14:paraId="418D4120">
      <w:pPr>
        <w:widowControl w:val="0"/>
        <w:spacing w:line="440" w:lineRule="exact"/>
        <w:ind w:firstLine="474" w:firstLineChars="200"/>
        <w:jc w:val="both"/>
        <w:rPr>
          <w:rFonts w:hint="eastAsia" w:ascii="Times New Roman" w:hAnsi="Times New Roman" w:cs="Times New Roman" w:eastAsiaTheme="minorEastAsia"/>
          <w:color w:val="auto"/>
          <w:w w:val="99"/>
          <w:highlight w:val="none"/>
          <w:lang w:val="en-US" w:eastAsia="zh-CN"/>
        </w:rPr>
      </w:pPr>
      <w:r>
        <w:rPr>
          <w:rFonts w:hint="eastAsia" w:ascii="Times New Roman" w:hAnsi="Times New Roman" w:cs="Times New Roman" w:eastAsiaTheme="minorEastAsia"/>
          <w:color w:val="auto"/>
          <w:w w:val="99"/>
          <w:highlight w:val="none"/>
          <w:lang w:val="en-US" w:eastAsia="zh-CN"/>
        </w:rPr>
        <w:t>耗气：本工程新增耗气量7.07万m</w:t>
      </w:r>
      <w:r>
        <w:rPr>
          <w:rFonts w:hint="eastAsia" w:ascii="Times New Roman" w:hAnsi="Times New Roman" w:cs="Times New Roman" w:eastAsiaTheme="minorEastAsia"/>
          <w:color w:val="auto"/>
          <w:w w:val="99"/>
          <w:highlight w:val="none"/>
          <w:vertAlign w:val="superscript"/>
          <w:lang w:val="en-US" w:eastAsia="zh-CN"/>
        </w:rPr>
        <w:t>3</w:t>
      </w:r>
      <w:r>
        <w:rPr>
          <w:rFonts w:hint="eastAsia" w:ascii="Times New Roman" w:hAnsi="Times New Roman" w:cs="Times New Roman" w:eastAsiaTheme="minorEastAsia"/>
          <w:color w:val="auto"/>
          <w:w w:val="99"/>
          <w:highlight w:val="none"/>
          <w:lang w:val="en-US" w:eastAsia="zh-CN"/>
        </w:rPr>
        <w:t>/a。</w:t>
      </w:r>
    </w:p>
    <w:p w14:paraId="5E1E0426">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本工程主要消耗物料具体见下表：</w:t>
      </w:r>
    </w:p>
    <w:p w14:paraId="0786D9D2">
      <w:pPr>
        <w:widowControl w:val="0"/>
        <w:spacing w:line="44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color w:val="auto"/>
          <w:w w:val="99"/>
          <w:highlight w:val="none"/>
        </w:rPr>
        <w:t>表3.</w:t>
      </w:r>
      <w:r>
        <w:rPr>
          <w:rFonts w:hint="eastAsia" w:ascii="Times New Roman" w:hAnsi="Times New Roman" w:cs="Times New Roman" w:eastAsiaTheme="minorEastAsia"/>
          <w:b/>
          <w:color w:val="auto"/>
          <w:w w:val="99"/>
          <w:highlight w:val="none"/>
          <w:lang w:val="en-US" w:eastAsia="zh-CN"/>
        </w:rPr>
        <w:t>8</w:t>
      </w:r>
      <w:r>
        <w:rPr>
          <w:rFonts w:ascii="Times New Roman" w:hAnsi="Times New Roman" w:cs="Times New Roman" w:eastAsiaTheme="minorEastAsia"/>
          <w:b/>
          <w:color w:val="auto"/>
          <w:w w:val="99"/>
          <w:highlight w:val="none"/>
        </w:rPr>
        <w:t>-</w:t>
      </w:r>
      <w:r>
        <w:rPr>
          <w:rFonts w:hint="eastAsia" w:ascii="Times New Roman" w:hAnsi="Times New Roman" w:cs="Times New Roman" w:eastAsiaTheme="minorEastAsia"/>
          <w:b/>
          <w:color w:val="auto"/>
          <w:w w:val="99"/>
          <w:highlight w:val="none"/>
          <w:lang w:val="en-US" w:eastAsia="zh-CN"/>
        </w:rPr>
        <w:t>1</w:t>
      </w:r>
      <w:r>
        <w:rPr>
          <w:rFonts w:ascii="Times New Roman" w:hAnsi="Times New Roman" w:cs="Times New Roman" w:eastAsiaTheme="minorEastAsia"/>
          <w:b/>
          <w:color w:val="auto"/>
          <w:w w:val="99"/>
          <w:highlight w:val="none"/>
        </w:rPr>
        <w:t xml:space="preserve">    本工程主要物料消耗</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9"/>
        <w:gridCol w:w="1134"/>
        <w:gridCol w:w="2111"/>
        <w:gridCol w:w="3012"/>
        <w:gridCol w:w="2070"/>
      </w:tblGrid>
      <w:tr w14:paraId="68FB0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516" w:type="pct"/>
            <w:vMerge w:val="restart"/>
            <w:vAlign w:val="center"/>
          </w:tcPr>
          <w:p w14:paraId="5B5EF48D">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610" w:type="pct"/>
            <w:vMerge w:val="restart"/>
            <w:vAlign w:val="center"/>
          </w:tcPr>
          <w:p w14:paraId="64D8A5F4">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时期</w:t>
            </w:r>
          </w:p>
        </w:tc>
        <w:tc>
          <w:tcPr>
            <w:tcW w:w="1136" w:type="pct"/>
            <w:vMerge w:val="restart"/>
            <w:vAlign w:val="center"/>
          </w:tcPr>
          <w:p w14:paraId="66636E9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w:t>
            </w:r>
          </w:p>
        </w:tc>
        <w:tc>
          <w:tcPr>
            <w:tcW w:w="1621" w:type="pct"/>
            <w:vMerge w:val="restart"/>
            <w:vAlign w:val="center"/>
          </w:tcPr>
          <w:p w14:paraId="0F964E61">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原辅材料</w:t>
            </w:r>
          </w:p>
        </w:tc>
        <w:tc>
          <w:tcPr>
            <w:tcW w:w="1114" w:type="pct"/>
            <w:vMerge w:val="restart"/>
            <w:vAlign w:val="center"/>
          </w:tcPr>
          <w:p w14:paraId="1449A992">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用量</w:t>
            </w:r>
          </w:p>
        </w:tc>
      </w:tr>
      <w:tr w14:paraId="053C1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516" w:type="pct"/>
            <w:vMerge w:val="continue"/>
            <w:vAlign w:val="center"/>
          </w:tcPr>
          <w:p w14:paraId="00570237">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610" w:type="pct"/>
            <w:vMerge w:val="continue"/>
            <w:vAlign w:val="center"/>
          </w:tcPr>
          <w:p w14:paraId="24FC9F05">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1136" w:type="pct"/>
            <w:vMerge w:val="continue"/>
            <w:vAlign w:val="center"/>
          </w:tcPr>
          <w:p w14:paraId="0A6D4EA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1621" w:type="pct"/>
            <w:vMerge w:val="continue"/>
            <w:vAlign w:val="center"/>
          </w:tcPr>
          <w:p w14:paraId="1E6EF147">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1114" w:type="pct"/>
            <w:vMerge w:val="continue"/>
            <w:vAlign w:val="center"/>
          </w:tcPr>
          <w:p w14:paraId="212AE26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r>
      <w:tr w14:paraId="2D305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6" w:type="pct"/>
            <w:vAlign w:val="center"/>
          </w:tcPr>
          <w:p w14:paraId="6EA360C8">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610" w:type="pct"/>
            <w:vMerge w:val="restart"/>
            <w:vAlign w:val="center"/>
          </w:tcPr>
          <w:p w14:paraId="0CC4C3E2">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施工期</w:t>
            </w:r>
          </w:p>
        </w:tc>
        <w:tc>
          <w:tcPr>
            <w:tcW w:w="1136" w:type="pct"/>
            <w:shd w:val="clear" w:color="auto" w:fill="auto"/>
            <w:vAlign w:val="center"/>
          </w:tcPr>
          <w:p w14:paraId="739B65E1">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cs="Times New Roman" w:eastAsiaTheme="minorEastAsia"/>
                <w:color w:val="auto"/>
                <w:w w:val="99"/>
                <w:kern w:val="2"/>
                <w:sz w:val="21"/>
                <w:szCs w:val="21"/>
                <w:highlight w:val="none"/>
              </w:rPr>
              <w:t>生活</w:t>
            </w:r>
          </w:p>
        </w:tc>
        <w:tc>
          <w:tcPr>
            <w:tcW w:w="1621" w:type="pct"/>
            <w:shd w:val="clear" w:color="auto" w:fill="auto"/>
            <w:vAlign w:val="center"/>
          </w:tcPr>
          <w:p w14:paraId="2BA04C18">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cs="Times New Roman" w:eastAsiaTheme="minorEastAsia"/>
                <w:color w:val="auto"/>
                <w:w w:val="99"/>
                <w:kern w:val="2"/>
                <w:sz w:val="21"/>
                <w:szCs w:val="21"/>
                <w:highlight w:val="none"/>
              </w:rPr>
              <w:t>生活用水</w:t>
            </w:r>
            <w:r>
              <w:rPr>
                <w:rFonts w:ascii="Times New Roman" w:hAnsi="Times New Roman" w:cs="Times New Roman" w:eastAsiaTheme="minorEastAsia"/>
                <w:color w:val="auto"/>
                <w:w w:val="99"/>
                <w:sz w:val="21"/>
                <w:szCs w:val="21"/>
                <w:highlight w:val="none"/>
              </w:rPr>
              <w:t>（m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w:t>
            </w:r>
          </w:p>
        </w:tc>
        <w:tc>
          <w:tcPr>
            <w:tcW w:w="1114" w:type="pct"/>
            <w:shd w:val="clear" w:color="auto" w:fill="auto"/>
            <w:vAlign w:val="center"/>
          </w:tcPr>
          <w:p w14:paraId="3F94092A">
            <w:pPr>
              <w:widowControl w:val="0"/>
              <w:adjustRightInd w:val="0"/>
              <w:snapToGrid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rPr>
              <w:t>720</w:t>
            </w:r>
          </w:p>
        </w:tc>
      </w:tr>
      <w:tr w14:paraId="53AAD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6" w:type="pct"/>
            <w:vAlign w:val="center"/>
          </w:tcPr>
          <w:p w14:paraId="33B6C606">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610" w:type="pct"/>
            <w:vMerge w:val="continue"/>
            <w:vAlign w:val="center"/>
          </w:tcPr>
          <w:p w14:paraId="05D7ADCC">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1136" w:type="pct"/>
            <w:shd w:val="clear" w:color="auto" w:fill="auto"/>
            <w:vAlign w:val="center"/>
          </w:tcPr>
          <w:p w14:paraId="3E3327E0">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cs="Times New Roman" w:eastAsiaTheme="minorEastAsia"/>
                <w:color w:val="auto"/>
                <w:w w:val="99"/>
                <w:kern w:val="2"/>
                <w:sz w:val="21"/>
                <w:szCs w:val="21"/>
                <w:highlight w:val="none"/>
              </w:rPr>
              <w:t>管线试压</w:t>
            </w:r>
          </w:p>
        </w:tc>
        <w:tc>
          <w:tcPr>
            <w:tcW w:w="1621" w:type="pct"/>
            <w:shd w:val="clear" w:color="auto" w:fill="auto"/>
            <w:vAlign w:val="center"/>
          </w:tcPr>
          <w:p w14:paraId="4B8DA221">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cs="Times New Roman" w:eastAsiaTheme="minorEastAsia"/>
                <w:color w:val="auto"/>
                <w:w w:val="99"/>
                <w:kern w:val="2"/>
                <w:sz w:val="21"/>
                <w:szCs w:val="21"/>
                <w:highlight w:val="none"/>
              </w:rPr>
              <w:t>试压用水（m</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w:t>
            </w:r>
          </w:p>
        </w:tc>
        <w:tc>
          <w:tcPr>
            <w:tcW w:w="1114" w:type="pct"/>
            <w:shd w:val="clear" w:color="auto" w:fill="auto"/>
            <w:vAlign w:val="center"/>
          </w:tcPr>
          <w:p w14:paraId="13919918">
            <w:pPr>
              <w:widowControl w:val="0"/>
              <w:adjustRightInd w:val="0"/>
              <w:snapToGrid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4.39</w:t>
            </w:r>
          </w:p>
        </w:tc>
      </w:tr>
      <w:tr w14:paraId="1751B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6" w:type="pct"/>
            <w:vAlign w:val="center"/>
          </w:tcPr>
          <w:p w14:paraId="0DBAB63B">
            <w:pPr>
              <w:widowControl w:val="0"/>
              <w:adjustRightInd w:val="0"/>
              <w:snapToGrid w:val="0"/>
              <w:spacing w:line="32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3</w:t>
            </w:r>
          </w:p>
        </w:tc>
        <w:tc>
          <w:tcPr>
            <w:tcW w:w="610" w:type="pct"/>
            <w:vMerge w:val="continue"/>
            <w:vAlign w:val="center"/>
          </w:tcPr>
          <w:p w14:paraId="4EEDAEAE">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1136" w:type="pct"/>
            <w:vAlign w:val="center"/>
          </w:tcPr>
          <w:p w14:paraId="0F531A5D">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焊接</w:t>
            </w:r>
          </w:p>
        </w:tc>
        <w:tc>
          <w:tcPr>
            <w:tcW w:w="1621" w:type="pct"/>
            <w:vAlign w:val="center"/>
          </w:tcPr>
          <w:p w14:paraId="02270A67">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焊丝（t）</w:t>
            </w:r>
          </w:p>
        </w:tc>
        <w:tc>
          <w:tcPr>
            <w:tcW w:w="1114" w:type="pct"/>
            <w:vAlign w:val="center"/>
          </w:tcPr>
          <w:p w14:paraId="2EC6AFC4">
            <w:pPr>
              <w:widowControl w:val="0"/>
              <w:adjustRightInd w:val="0"/>
              <w:snapToGrid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0.08</w:t>
            </w:r>
          </w:p>
        </w:tc>
      </w:tr>
      <w:tr w14:paraId="5451C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6" w:type="pct"/>
            <w:vAlign w:val="center"/>
          </w:tcPr>
          <w:p w14:paraId="518CDAC5">
            <w:pPr>
              <w:adjustRightInd w:val="0"/>
              <w:snapToGrid w:val="0"/>
              <w:spacing w:line="32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4</w:t>
            </w:r>
          </w:p>
        </w:tc>
        <w:tc>
          <w:tcPr>
            <w:tcW w:w="610" w:type="pct"/>
            <w:vMerge w:val="restart"/>
            <w:vAlign w:val="center"/>
          </w:tcPr>
          <w:p w14:paraId="23B18E7C">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运营期</w:t>
            </w:r>
          </w:p>
        </w:tc>
        <w:tc>
          <w:tcPr>
            <w:tcW w:w="1136" w:type="pct"/>
            <w:vAlign w:val="center"/>
          </w:tcPr>
          <w:p w14:paraId="6DB3F97F">
            <w:pPr>
              <w:widowControl w:val="0"/>
              <w:adjustRightInd w:val="0"/>
              <w:snapToGrid w:val="0"/>
              <w:spacing w:line="320" w:lineRule="exact"/>
              <w:jc w:val="center"/>
              <w:rPr>
                <w:rFonts w:hint="eastAsia" w:ascii="Times New Roman" w:hAnsi="Times New Roman" w:cs="Times New Roman" w:eastAsiaTheme="minorEastAsia"/>
                <w:bCs/>
                <w:color w:val="auto"/>
                <w:w w:val="99"/>
                <w:kern w:val="2"/>
                <w:sz w:val="21"/>
                <w:szCs w:val="21"/>
                <w:highlight w:val="none"/>
                <w:lang w:eastAsia="zh-CN"/>
              </w:rPr>
            </w:pPr>
            <w:r>
              <w:rPr>
                <w:rFonts w:hint="eastAsia" w:ascii="Times New Roman" w:hAnsi="Times New Roman" w:cs="Times New Roman" w:eastAsiaTheme="minorEastAsia"/>
                <w:bCs/>
                <w:color w:val="auto"/>
                <w:w w:val="99"/>
                <w:kern w:val="2"/>
                <w:sz w:val="21"/>
                <w:szCs w:val="21"/>
                <w:highlight w:val="none"/>
                <w:lang w:val="en-US" w:eastAsia="zh-CN"/>
              </w:rPr>
              <w:t>用电</w:t>
            </w:r>
          </w:p>
        </w:tc>
        <w:tc>
          <w:tcPr>
            <w:tcW w:w="1621" w:type="pct"/>
            <w:vAlign w:val="center"/>
          </w:tcPr>
          <w:p w14:paraId="2C775DCC">
            <w:pPr>
              <w:widowControl w:val="0"/>
              <w:adjustRightInd w:val="0"/>
              <w:snapToGrid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电能（10</w:t>
            </w:r>
            <w:r>
              <w:rPr>
                <w:rFonts w:hint="eastAsia" w:ascii="Times New Roman" w:hAnsi="Times New Roman" w:cs="Times New Roman" w:eastAsiaTheme="minorEastAsia"/>
                <w:bCs/>
                <w:color w:val="auto"/>
                <w:w w:val="99"/>
                <w:kern w:val="2"/>
                <w:sz w:val="21"/>
                <w:szCs w:val="21"/>
                <w:highlight w:val="none"/>
                <w:vertAlign w:val="superscript"/>
                <w:lang w:val="en-US" w:eastAsia="zh-CN"/>
              </w:rPr>
              <w:t>4</w:t>
            </w:r>
            <w:r>
              <w:rPr>
                <w:rFonts w:hint="eastAsia" w:ascii="Times New Roman" w:hAnsi="Times New Roman" w:cs="Times New Roman" w:eastAsiaTheme="minorEastAsia"/>
                <w:bCs/>
                <w:color w:val="auto"/>
                <w:w w:val="99"/>
                <w:kern w:val="2"/>
                <w:sz w:val="21"/>
                <w:szCs w:val="21"/>
                <w:highlight w:val="none"/>
                <w:lang w:val="en-US" w:eastAsia="zh-CN"/>
              </w:rPr>
              <w:t>kW•h/a）</w:t>
            </w:r>
          </w:p>
        </w:tc>
        <w:tc>
          <w:tcPr>
            <w:tcW w:w="1114" w:type="pct"/>
            <w:vAlign w:val="center"/>
          </w:tcPr>
          <w:p w14:paraId="7A561ADF">
            <w:pPr>
              <w:widowControl w:val="0"/>
              <w:adjustRightInd w:val="0"/>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77.09</w:t>
            </w:r>
          </w:p>
        </w:tc>
      </w:tr>
      <w:tr w14:paraId="20523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6" w:type="pct"/>
            <w:vAlign w:val="center"/>
          </w:tcPr>
          <w:p w14:paraId="50D303BE">
            <w:pPr>
              <w:adjustRightInd w:val="0"/>
              <w:snapToGrid w:val="0"/>
              <w:spacing w:line="32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5</w:t>
            </w:r>
          </w:p>
        </w:tc>
        <w:tc>
          <w:tcPr>
            <w:tcW w:w="610" w:type="pct"/>
            <w:vMerge w:val="continue"/>
            <w:vAlign w:val="center"/>
          </w:tcPr>
          <w:p w14:paraId="4A436F42">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1136" w:type="pct"/>
            <w:vAlign w:val="center"/>
          </w:tcPr>
          <w:p w14:paraId="18100BA6">
            <w:pPr>
              <w:widowControl w:val="0"/>
              <w:adjustRightInd w:val="0"/>
              <w:snapToGrid w:val="0"/>
              <w:spacing w:line="32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bCs/>
                <w:color w:val="auto"/>
                <w:w w:val="99"/>
                <w:kern w:val="2"/>
                <w:sz w:val="21"/>
                <w:szCs w:val="21"/>
                <w:highlight w:val="none"/>
                <w:lang w:val="en-US" w:eastAsia="zh-CN"/>
              </w:rPr>
              <w:t>耗气</w:t>
            </w:r>
          </w:p>
        </w:tc>
        <w:tc>
          <w:tcPr>
            <w:tcW w:w="1621" w:type="pct"/>
            <w:vAlign w:val="center"/>
          </w:tcPr>
          <w:p w14:paraId="3A9B9C86">
            <w:pPr>
              <w:widowControl w:val="0"/>
              <w:adjustRightInd w:val="0"/>
              <w:snapToGrid w:val="0"/>
              <w:spacing w:line="32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天然气（</w:t>
            </w:r>
            <w:r>
              <w:rPr>
                <w:rFonts w:hint="eastAsia" w:ascii="Times New Roman" w:hAnsi="Times New Roman" w:cs="Times New Roman" w:eastAsiaTheme="minorEastAsia"/>
                <w:color w:val="auto"/>
                <w:w w:val="99"/>
                <w:sz w:val="21"/>
                <w:szCs w:val="21"/>
                <w:highlight w:val="none"/>
                <w:lang w:val="en-US" w:eastAsia="zh-CN"/>
              </w:rPr>
              <w:t>万m</w:t>
            </w:r>
            <w:r>
              <w:rPr>
                <w:rFonts w:hint="eastAsia" w:ascii="Times New Roman" w:hAnsi="Times New Roman" w:cs="Times New Roman" w:eastAsiaTheme="minorEastAsia"/>
                <w:color w:val="auto"/>
                <w:w w:val="99"/>
                <w:sz w:val="21"/>
                <w:szCs w:val="21"/>
                <w:highlight w:val="none"/>
                <w:vertAlign w:val="superscript"/>
                <w:lang w:val="en-US" w:eastAsia="zh-CN"/>
              </w:rPr>
              <w:t>3</w:t>
            </w:r>
            <w:r>
              <w:rPr>
                <w:rFonts w:hint="eastAsia" w:ascii="Times New Roman" w:hAnsi="Times New Roman" w:cs="Times New Roman" w:eastAsiaTheme="minorEastAsia"/>
                <w:color w:val="auto"/>
                <w:w w:val="99"/>
                <w:sz w:val="21"/>
                <w:szCs w:val="21"/>
                <w:highlight w:val="none"/>
                <w:lang w:val="en-US" w:eastAsia="zh-CN"/>
              </w:rPr>
              <w:t>/a</w:t>
            </w:r>
            <w:r>
              <w:rPr>
                <w:rFonts w:hint="eastAsia" w:ascii="Times New Roman" w:hAnsi="Times New Roman" w:cs="Times New Roman" w:eastAsiaTheme="minorEastAsia"/>
                <w:color w:val="auto"/>
                <w:w w:val="99"/>
                <w:kern w:val="2"/>
                <w:sz w:val="21"/>
                <w:szCs w:val="21"/>
                <w:highlight w:val="none"/>
                <w:lang w:val="en-US" w:eastAsia="zh-CN"/>
              </w:rPr>
              <w:t>）</w:t>
            </w:r>
          </w:p>
        </w:tc>
        <w:tc>
          <w:tcPr>
            <w:tcW w:w="1114" w:type="pct"/>
            <w:vAlign w:val="center"/>
          </w:tcPr>
          <w:p w14:paraId="7ED08383">
            <w:pPr>
              <w:widowControl w:val="0"/>
              <w:adjustRightInd w:val="0"/>
              <w:snapToGrid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7.07</w:t>
            </w:r>
          </w:p>
        </w:tc>
      </w:tr>
      <w:tr w14:paraId="26A37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6" w:type="pct"/>
            <w:vAlign w:val="center"/>
          </w:tcPr>
          <w:p w14:paraId="636D4786">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w:t>
            </w:r>
          </w:p>
        </w:tc>
        <w:tc>
          <w:tcPr>
            <w:tcW w:w="610" w:type="pct"/>
            <w:vMerge w:val="continue"/>
            <w:vAlign w:val="center"/>
          </w:tcPr>
          <w:p w14:paraId="5C539801">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1136" w:type="pct"/>
            <w:vAlign w:val="center"/>
          </w:tcPr>
          <w:p w14:paraId="27BF26CD">
            <w:pPr>
              <w:widowControl w:val="0"/>
              <w:adjustRightInd w:val="0"/>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井口非正常工况注醇</w:t>
            </w:r>
          </w:p>
        </w:tc>
        <w:tc>
          <w:tcPr>
            <w:tcW w:w="1621" w:type="pct"/>
            <w:vAlign w:val="center"/>
          </w:tcPr>
          <w:p w14:paraId="754349A8">
            <w:pPr>
              <w:widowControl w:val="0"/>
              <w:adjustRightInd w:val="0"/>
              <w:snapToGrid w:val="0"/>
              <w:spacing w:line="32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甲醇</w:t>
            </w:r>
            <w:r>
              <w:rPr>
                <w:rFonts w:ascii="Times New Roman" w:hAnsi="Times New Roman" w:cs="Times New Roman" w:eastAsiaTheme="minorEastAsia"/>
                <w:color w:val="auto"/>
                <w:w w:val="99"/>
                <w:kern w:val="2"/>
                <w:sz w:val="21"/>
                <w:szCs w:val="21"/>
                <w:highlight w:val="none"/>
              </w:rPr>
              <w:t>（t）</w:t>
            </w:r>
          </w:p>
        </w:tc>
        <w:tc>
          <w:tcPr>
            <w:tcW w:w="1114" w:type="pct"/>
            <w:vAlign w:val="center"/>
          </w:tcPr>
          <w:p w14:paraId="0DC7FA4F">
            <w:pPr>
              <w:widowControl w:val="0"/>
              <w:adjustRightInd w:val="0"/>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0.03</w:t>
            </w:r>
          </w:p>
        </w:tc>
      </w:tr>
    </w:tbl>
    <w:p w14:paraId="352900B7">
      <w:pPr>
        <w:pStyle w:val="5"/>
        <w:keepNext w:val="0"/>
        <w:keepLines w:val="0"/>
        <w:widowControl w:val="0"/>
        <w:spacing w:line="440" w:lineRule="exact"/>
        <w:rPr>
          <w:rFonts w:ascii="Times New Roman" w:hAnsi="Times New Roman" w:eastAsia="宋体"/>
          <w:b/>
          <w:snapToGrid w:val="0"/>
          <w:color w:val="auto"/>
          <w:w w:val="99"/>
          <w:highlight w:val="none"/>
        </w:rPr>
      </w:pPr>
      <w:bookmarkStart w:id="508" w:name="_Toc855"/>
      <w:r>
        <w:rPr>
          <w:rFonts w:ascii="Times New Roman" w:hAnsi="Times New Roman" w:eastAsia="宋体"/>
          <w:b/>
          <w:snapToGrid w:val="0"/>
          <w:color w:val="auto"/>
          <w:w w:val="99"/>
          <w:highlight w:val="none"/>
        </w:rPr>
        <w:t>3.</w:t>
      </w:r>
      <w:r>
        <w:rPr>
          <w:rFonts w:hint="eastAsia" w:ascii="Times New Roman" w:hAnsi="Times New Roman" w:eastAsia="宋体"/>
          <w:b/>
          <w:snapToGrid w:val="0"/>
          <w:color w:val="auto"/>
          <w:w w:val="99"/>
          <w:highlight w:val="none"/>
          <w:lang w:val="en-US" w:eastAsia="zh-CN"/>
        </w:rPr>
        <w:t>9</w:t>
      </w:r>
      <w:r>
        <w:rPr>
          <w:rFonts w:ascii="Times New Roman" w:hAnsi="Times New Roman" w:eastAsia="宋体"/>
          <w:b/>
          <w:snapToGrid w:val="0"/>
          <w:color w:val="auto"/>
          <w:w w:val="99"/>
          <w:highlight w:val="none"/>
        </w:rPr>
        <w:t>依托工程分析</w:t>
      </w:r>
      <w:bookmarkEnd w:id="508"/>
    </w:p>
    <w:p w14:paraId="53B85353">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509" w:name="_Toc83209486"/>
      <w:bookmarkStart w:id="510" w:name="_Toc186444297"/>
      <w:r>
        <w:rPr>
          <w:rFonts w:eastAsia="宋体"/>
          <w:b/>
          <w:color w:val="auto"/>
          <w:w w:val="99"/>
          <w:kern w:val="2"/>
          <w:sz w:val="24"/>
          <w:szCs w:val="24"/>
          <w:highlight w:val="none"/>
        </w:rPr>
        <w:t>3.</w:t>
      </w:r>
      <w:r>
        <w:rPr>
          <w:rFonts w:hint="eastAsia" w:eastAsia="宋体"/>
          <w:b/>
          <w:color w:val="auto"/>
          <w:w w:val="99"/>
          <w:kern w:val="2"/>
          <w:sz w:val="24"/>
          <w:szCs w:val="24"/>
          <w:highlight w:val="none"/>
          <w:lang w:val="en-US" w:eastAsia="zh-CN"/>
        </w:rPr>
        <w:t>9</w:t>
      </w:r>
      <w:r>
        <w:rPr>
          <w:rFonts w:eastAsia="宋体"/>
          <w:b/>
          <w:color w:val="auto"/>
          <w:w w:val="99"/>
          <w:kern w:val="2"/>
          <w:sz w:val="24"/>
          <w:szCs w:val="24"/>
          <w:highlight w:val="none"/>
        </w:rPr>
        <w:t>.1依托工程环保手续</w:t>
      </w:r>
    </w:p>
    <w:p w14:paraId="0D933800">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position w:val="0"/>
          <w:sz w:val="24"/>
          <w:szCs w:val="24"/>
          <w:highlight w:val="none"/>
          <w:lang w:val="en-US" w:eastAsia="zh-CN"/>
        </w:rPr>
      </w:pPr>
      <w:r>
        <w:rPr>
          <w:rFonts w:hint="default" w:ascii="Times New Roman" w:hAnsi="Times New Roman" w:eastAsia="宋体" w:cs="Times New Roman"/>
          <w:color w:val="auto"/>
          <w:spacing w:val="0"/>
          <w:w w:val="99"/>
          <w:position w:val="0"/>
          <w:sz w:val="24"/>
          <w:szCs w:val="24"/>
          <w:highlight w:val="none"/>
          <w:lang w:val="en-US" w:eastAsia="zh-CN"/>
        </w:rPr>
        <w:t xml:space="preserve">本项目依托工程环保手续情况见表 </w:t>
      </w:r>
      <w:r>
        <w:rPr>
          <w:rFonts w:hint="eastAsia" w:ascii="Times New Roman" w:hAnsi="Times New Roman" w:cs="Times New Roman"/>
          <w:color w:val="auto"/>
          <w:spacing w:val="0"/>
          <w:w w:val="99"/>
          <w:position w:val="0"/>
          <w:sz w:val="24"/>
          <w:szCs w:val="24"/>
          <w:highlight w:val="none"/>
          <w:lang w:val="en-US" w:eastAsia="zh-CN"/>
        </w:rPr>
        <w:t>3.9</w:t>
      </w:r>
      <w:r>
        <w:rPr>
          <w:rFonts w:hint="default" w:ascii="Times New Roman" w:hAnsi="Times New Roman" w:eastAsia="宋体" w:cs="Times New Roman"/>
          <w:color w:val="auto"/>
          <w:spacing w:val="0"/>
          <w:w w:val="99"/>
          <w:position w:val="0"/>
          <w:sz w:val="24"/>
          <w:szCs w:val="24"/>
          <w:highlight w:val="none"/>
          <w:lang w:val="en-US" w:eastAsia="zh-CN"/>
        </w:rPr>
        <w:t>-</w:t>
      </w:r>
      <w:r>
        <w:rPr>
          <w:rFonts w:hint="eastAsia" w:ascii="Times New Roman" w:hAnsi="Times New Roman" w:eastAsia="宋体" w:cs="Times New Roman"/>
          <w:color w:val="auto"/>
          <w:spacing w:val="0"/>
          <w:w w:val="99"/>
          <w:position w:val="0"/>
          <w:sz w:val="24"/>
          <w:szCs w:val="24"/>
          <w:highlight w:val="none"/>
          <w:lang w:val="en-US" w:eastAsia="zh-CN"/>
        </w:rPr>
        <w:t>1</w:t>
      </w:r>
      <w:r>
        <w:rPr>
          <w:rFonts w:hint="default" w:ascii="Times New Roman" w:hAnsi="Times New Roman" w:eastAsia="宋体" w:cs="Times New Roman"/>
          <w:color w:val="auto"/>
          <w:spacing w:val="0"/>
          <w:w w:val="99"/>
          <w:position w:val="0"/>
          <w:sz w:val="24"/>
          <w:szCs w:val="24"/>
          <w:highlight w:val="none"/>
          <w:lang w:val="en-US" w:eastAsia="zh-CN"/>
        </w:rPr>
        <w:t>。</w:t>
      </w:r>
    </w:p>
    <w:p w14:paraId="1575500C">
      <w:pPr>
        <w:pStyle w:val="2"/>
        <w:spacing w:before="213" w:line="222" w:lineRule="auto"/>
        <w:ind w:firstLine="476" w:firstLineChars="200"/>
        <w:rPr>
          <w:rFonts w:hint="default" w:ascii="Times New Roman" w:hAnsi="Times New Roman" w:eastAsia="宋体" w:cs="Times New Roman"/>
          <w:b/>
          <w:snapToGrid w:val="0"/>
          <w:color w:val="auto"/>
          <w:w w:val="99"/>
          <w:kern w:val="0"/>
          <w:sz w:val="24"/>
          <w:szCs w:val="24"/>
          <w:highlight w:val="none"/>
          <w:lang w:val="en-US" w:eastAsia="zh-CN" w:bidi="ar-SA"/>
        </w:rPr>
      </w:pPr>
      <w:r>
        <w:rPr>
          <w:rFonts w:hint="default" w:ascii="Times New Roman" w:hAnsi="Times New Roman" w:eastAsia="宋体" w:cs="Times New Roman"/>
          <w:b/>
          <w:snapToGrid w:val="0"/>
          <w:color w:val="auto"/>
          <w:w w:val="99"/>
          <w:kern w:val="0"/>
          <w:sz w:val="24"/>
          <w:szCs w:val="24"/>
          <w:highlight w:val="none"/>
          <w:lang w:val="en-US" w:eastAsia="zh-CN" w:bidi="ar-SA"/>
        </w:rPr>
        <w:t xml:space="preserve">表 </w:t>
      </w:r>
      <w:r>
        <w:rPr>
          <w:rFonts w:hint="eastAsia" w:ascii="Times New Roman" w:hAnsi="Times New Roman" w:cs="Times New Roman"/>
          <w:b/>
          <w:snapToGrid w:val="0"/>
          <w:color w:val="auto"/>
          <w:w w:val="99"/>
          <w:kern w:val="0"/>
          <w:sz w:val="24"/>
          <w:szCs w:val="24"/>
          <w:highlight w:val="none"/>
          <w:lang w:val="en-US" w:eastAsia="zh-CN" w:bidi="ar-SA"/>
        </w:rPr>
        <w:t>3.9</w:t>
      </w:r>
      <w:r>
        <w:rPr>
          <w:rFonts w:hint="default" w:ascii="Times New Roman" w:hAnsi="Times New Roman" w:eastAsia="宋体" w:cs="Times New Roman"/>
          <w:b/>
          <w:snapToGrid w:val="0"/>
          <w:color w:val="auto"/>
          <w:w w:val="99"/>
          <w:kern w:val="0"/>
          <w:sz w:val="24"/>
          <w:szCs w:val="24"/>
          <w:highlight w:val="none"/>
          <w:lang w:val="en-US" w:eastAsia="zh-CN" w:bidi="ar-SA"/>
        </w:rPr>
        <w:t>-1  项目依托场站环保手续一览表</w:t>
      </w:r>
    </w:p>
    <w:p w14:paraId="77C9041A">
      <w:pPr>
        <w:spacing w:line="76" w:lineRule="exact"/>
        <w:rPr>
          <w:color w:val="auto"/>
          <w:highlight w:val="none"/>
        </w:rPr>
      </w:pPr>
    </w:p>
    <w:tbl>
      <w:tblPr>
        <w:tblStyle w:val="8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359"/>
        <w:gridCol w:w="2598"/>
        <w:gridCol w:w="1829"/>
        <w:gridCol w:w="1730"/>
        <w:gridCol w:w="1223"/>
      </w:tblGrid>
      <w:tr w14:paraId="5432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Align w:val="center"/>
          </w:tcPr>
          <w:p w14:paraId="0E320DA4">
            <w:pPr>
              <w:pStyle w:val="10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firstLine="0"/>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序号</w:t>
            </w:r>
          </w:p>
        </w:tc>
        <w:tc>
          <w:tcPr>
            <w:tcW w:w="732" w:type="pct"/>
            <w:vAlign w:val="center"/>
          </w:tcPr>
          <w:p w14:paraId="565CF71A">
            <w:pPr>
              <w:pStyle w:val="10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firstLine="0"/>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名称</w:t>
            </w:r>
          </w:p>
        </w:tc>
        <w:tc>
          <w:tcPr>
            <w:tcW w:w="1399" w:type="pct"/>
            <w:vAlign w:val="center"/>
          </w:tcPr>
          <w:p w14:paraId="623B4B36">
            <w:pPr>
              <w:pStyle w:val="10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firstLine="0"/>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环评文件名称</w:t>
            </w:r>
          </w:p>
        </w:tc>
        <w:tc>
          <w:tcPr>
            <w:tcW w:w="985" w:type="pct"/>
            <w:vAlign w:val="center"/>
          </w:tcPr>
          <w:p w14:paraId="535726AC">
            <w:pPr>
              <w:pStyle w:val="10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firstLine="0"/>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环评批复</w:t>
            </w:r>
          </w:p>
        </w:tc>
        <w:tc>
          <w:tcPr>
            <w:tcW w:w="932" w:type="pct"/>
            <w:vAlign w:val="center"/>
          </w:tcPr>
          <w:p w14:paraId="3DEF3338">
            <w:pPr>
              <w:pStyle w:val="10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firstLine="0"/>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竣工环保</w:t>
            </w:r>
          </w:p>
          <w:p w14:paraId="75510942">
            <w:pPr>
              <w:pStyle w:val="10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firstLine="0"/>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验收</w:t>
            </w:r>
          </w:p>
        </w:tc>
        <w:tc>
          <w:tcPr>
            <w:tcW w:w="659" w:type="pct"/>
            <w:vAlign w:val="center"/>
          </w:tcPr>
          <w:p w14:paraId="1E8776CD">
            <w:pPr>
              <w:pStyle w:val="10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firstLine="0"/>
              <w:textAlignment w:val="auto"/>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排污许可</w:t>
            </w:r>
          </w:p>
          <w:p w14:paraId="14B0BB88">
            <w:pPr>
              <w:pStyle w:val="10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firstLine="0"/>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情况</w:t>
            </w:r>
          </w:p>
        </w:tc>
      </w:tr>
      <w:tr w14:paraId="6620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shd w:val="clear" w:color="auto" w:fill="auto"/>
            <w:vAlign w:val="center"/>
          </w:tcPr>
          <w:p w14:paraId="23BAA0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1</w:t>
            </w:r>
          </w:p>
        </w:tc>
        <w:tc>
          <w:tcPr>
            <w:tcW w:w="732" w:type="pct"/>
            <w:shd w:val="clear" w:color="auto" w:fill="auto"/>
            <w:vAlign w:val="center"/>
          </w:tcPr>
          <w:p w14:paraId="4DBDE80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徐深27集气站</w:t>
            </w:r>
          </w:p>
        </w:tc>
        <w:tc>
          <w:tcPr>
            <w:tcW w:w="2598" w:type="dxa"/>
            <w:shd w:val="clear" w:color="auto" w:fill="auto"/>
            <w:vAlign w:val="top"/>
          </w:tcPr>
          <w:p w14:paraId="7DF8022A">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《2017年徐深气田徐深27井区产能建设工程环境影响报告书》</w:t>
            </w:r>
          </w:p>
        </w:tc>
        <w:tc>
          <w:tcPr>
            <w:tcW w:w="1829" w:type="dxa"/>
            <w:shd w:val="clear" w:color="auto" w:fill="auto"/>
            <w:vAlign w:val="center"/>
          </w:tcPr>
          <w:p w14:paraId="4524CBCE">
            <w:pPr>
              <w:pStyle w:val="2857"/>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黑环审〔2017〕51号</w:t>
            </w:r>
          </w:p>
        </w:tc>
        <w:tc>
          <w:tcPr>
            <w:tcW w:w="932" w:type="pct"/>
            <w:shd w:val="clear" w:color="auto" w:fill="auto"/>
            <w:vAlign w:val="center"/>
          </w:tcPr>
          <w:p w14:paraId="35BF8C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2019年11月16日完成自主验收</w:t>
            </w:r>
          </w:p>
        </w:tc>
        <w:tc>
          <w:tcPr>
            <w:tcW w:w="659" w:type="pct"/>
            <w:vMerge w:val="restart"/>
            <w:vAlign w:val="center"/>
          </w:tcPr>
          <w:p w14:paraId="1BE60A99">
            <w:pPr>
              <w:pStyle w:val="10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firstLine="0"/>
              <w:textAlignment w:val="auto"/>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91230607716675409L007W</w:t>
            </w:r>
          </w:p>
        </w:tc>
      </w:tr>
      <w:tr w14:paraId="24C8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shd w:val="clear" w:color="auto" w:fill="auto"/>
            <w:vAlign w:val="center"/>
          </w:tcPr>
          <w:p w14:paraId="0C2A91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2</w:t>
            </w:r>
          </w:p>
        </w:tc>
        <w:tc>
          <w:tcPr>
            <w:tcW w:w="732" w:type="pct"/>
            <w:shd w:val="clear" w:color="auto" w:fill="auto"/>
            <w:vAlign w:val="center"/>
          </w:tcPr>
          <w:p w14:paraId="7AF3CE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采气分公司危险废物贮存库</w:t>
            </w:r>
          </w:p>
        </w:tc>
        <w:tc>
          <w:tcPr>
            <w:tcW w:w="1399" w:type="pct"/>
            <w:shd w:val="clear" w:color="auto" w:fill="auto"/>
            <w:vAlign w:val="center"/>
          </w:tcPr>
          <w:p w14:paraId="1F6F4F2D">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《采气分公司危险废物规范化暂存工程环境影响报告表》</w:t>
            </w:r>
          </w:p>
        </w:tc>
        <w:tc>
          <w:tcPr>
            <w:tcW w:w="985" w:type="pct"/>
            <w:shd w:val="clear" w:color="auto" w:fill="auto"/>
            <w:vAlign w:val="center"/>
          </w:tcPr>
          <w:p w14:paraId="77B93F41">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安环发〔2020〕53 号</w:t>
            </w:r>
          </w:p>
        </w:tc>
        <w:tc>
          <w:tcPr>
            <w:tcW w:w="932" w:type="pct"/>
            <w:shd w:val="clear" w:color="auto" w:fill="auto"/>
            <w:vAlign w:val="center"/>
          </w:tcPr>
          <w:p w14:paraId="414598C7">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2023年4月完成自主验收</w:t>
            </w:r>
          </w:p>
        </w:tc>
        <w:tc>
          <w:tcPr>
            <w:tcW w:w="659" w:type="pct"/>
            <w:vMerge w:val="continue"/>
            <w:vAlign w:val="center"/>
          </w:tcPr>
          <w:p w14:paraId="659399A2">
            <w:pPr>
              <w:pStyle w:val="10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firstLine="0"/>
              <w:textAlignment w:val="auto"/>
              <w:rPr>
                <w:rFonts w:hint="eastAsia" w:ascii="Times New Roman" w:hAnsi="Times New Roman" w:eastAsia="宋体" w:cs="Times New Roman"/>
                <w:color w:val="auto"/>
                <w:w w:val="99"/>
                <w:kern w:val="2"/>
                <w:sz w:val="21"/>
                <w:szCs w:val="21"/>
                <w:highlight w:val="none"/>
                <w:lang w:val="en-US" w:eastAsia="zh-CN" w:bidi="ar-SA"/>
              </w:rPr>
            </w:pPr>
          </w:p>
        </w:tc>
      </w:tr>
      <w:tr w14:paraId="3D8B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shd w:val="clear" w:color="auto" w:fill="auto"/>
            <w:vAlign w:val="center"/>
          </w:tcPr>
          <w:p w14:paraId="2E90F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bidi="ar-SA"/>
              </w:rPr>
              <w:t>3</w:t>
            </w:r>
          </w:p>
        </w:tc>
        <w:tc>
          <w:tcPr>
            <w:tcW w:w="732" w:type="pct"/>
            <w:vAlign w:val="center"/>
          </w:tcPr>
          <w:p w14:paraId="226358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第八采油厂工业固废填埋场</w:t>
            </w:r>
          </w:p>
        </w:tc>
        <w:tc>
          <w:tcPr>
            <w:tcW w:w="1399" w:type="pct"/>
            <w:vAlign w:val="center"/>
          </w:tcPr>
          <w:p w14:paraId="64068A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《第八采油厂工业固废填埋场工程环境影响报告表》</w:t>
            </w:r>
          </w:p>
        </w:tc>
        <w:tc>
          <w:tcPr>
            <w:tcW w:w="985" w:type="pct"/>
            <w:vAlign w:val="center"/>
          </w:tcPr>
          <w:p w14:paraId="43399A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庆环建〔2011〕171号</w:t>
            </w:r>
          </w:p>
        </w:tc>
        <w:tc>
          <w:tcPr>
            <w:tcW w:w="932" w:type="pct"/>
            <w:vAlign w:val="center"/>
          </w:tcPr>
          <w:p w14:paraId="40E95E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en-US" w:eastAsia="zh-CN" w:bidi="ar-SA"/>
              </w:rPr>
              <w:t>庆环验〔2014〕38号</w:t>
            </w:r>
          </w:p>
        </w:tc>
        <w:tc>
          <w:tcPr>
            <w:tcW w:w="659" w:type="pct"/>
            <w:vMerge w:val="restart"/>
            <w:vAlign w:val="center"/>
          </w:tcPr>
          <w:p w14:paraId="765BA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91230607716675409L011X</w:t>
            </w:r>
          </w:p>
        </w:tc>
      </w:tr>
      <w:tr w14:paraId="7389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shd w:val="clear" w:color="auto" w:fill="auto"/>
            <w:vAlign w:val="center"/>
          </w:tcPr>
          <w:p w14:paraId="17143E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bidi="ar-SA"/>
              </w:rPr>
              <w:t>4</w:t>
            </w:r>
          </w:p>
        </w:tc>
        <w:tc>
          <w:tcPr>
            <w:tcW w:w="732" w:type="pct"/>
            <w:vAlign w:val="center"/>
          </w:tcPr>
          <w:p w14:paraId="0AE41B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zh-CN" w:eastAsia="zh-CN" w:bidi="ar-SA"/>
              </w:rPr>
              <w:t>升一联</w:t>
            </w:r>
            <w:r>
              <w:rPr>
                <w:rFonts w:hint="eastAsia" w:ascii="Times New Roman" w:hAnsi="Times New Roman" w:eastAsia="宋体" w:cs="Times New Roman"/>
                <w:color w:val="auto"/>
                <w:w w:val="99"/>
                <w:kern w:val="2"/>
                <w:sz w:val="21"/>
                <w:szCs w:val="21"/>
                <w:highlight w:val="none"/>
                <w:lang w:val="zh-CN" w:eastAsia="zh-CN" w:bidi="ar-SA"/>
              </w:rPr>
              <w:t>气田污水预处理站</w:t>
            </w:r>
          </w:p>
        </w:tc>
        <w:tc>
          <w:tcPr>
            <w:tcW w:w="1399" w:type="pct"/>
            <w:vAlign w:val="center"/>
          </w:tcPr>
          <w:p w14:paraId="3D72D4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eastAsia="宋体" w:cs="Times New Roman"/>
                <w:color w:val="auto"/>
                <w:w w:val="99"/>
                <w:kern w:val="2"/>
                <w:sz w:val="21"/>
                <w:szCs w:val="21"/>
                <w:highlight w:val="none"/>
                <w:lang w:val="zh-CN" w:eastAsia="zh-CN" w:bidi="ar-SA"/>
              </w:rPr>
              <w:t>《气田污水预处理站</w:t>
            </w:r>
            <w:r>
              <w:rPr>
                <w:rFonts w:hint="default" w:ascii="Times New Roman" w:hAnsi="Times New Roman" w:eastAsia="宋体" w:cs="Times New Roman"/>
                <w:color w:val="auto"/>
                <w:w w:val="99"/>
                <w:kern w:val="2"/>
                <w:sz w:val="21"/>
                <w:szCs w:val="21"/>
                <w:highlight w:val="none"/>
                <w:lang w:val="zh-CN" w:eastAsia="zh-CN" w:bidi="ar-SA"/>
              </w:rPr>
              <w:t>改造工程环境影响报告表</w:t>
            </w:r>
            <w:r>
              <w:rPr>
                <w:rFonts w:hint="eastAsia" w:ascii="Times New Roman" w:hAnsi="Times New Roman" w:eastAsia="宋体" w:cs="Times New Roman"/>
                <w:color w:val="auto"/>
                <w:w w:val="99"/>
                <w:kern w:val="2"/>
                <w:sz w:val="21"/>
                <w:szCs w:val="21"/>
                <w:highlight w:val="none"/>
                <w:lang w:val="zh-CN" w:eastAsia="zh-CN" w:bidi="ar-SA"/>
              </w:rPr>
              <w:t>》</w:t>
            </w:r>
          </w:p>
        </w:tc>
        <w:tc>
          <w:tcPr>
            <w:tcW w:w="985" w:type="pct"/>
            <w:vAlign w:val="center"/>
          </w:tcPr>
          <w:p w14:paraId="6EAB43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zh-CN" w:eastAsia="zh-CN" w:bidi="ar-SA"/>
              </w:rPr>
              <w:t>绥环函〔2015〕423 号</w:t>
            </w:r>
          </w:p>
        </w:tc>
        <w:tc>
          <w:tcPr>
            <w:tcW w:w="932" w:type="pct"/>
            <w:vAlign w:val="center"/>
          </w:tcPr>
          <w:p w14:paraId="33EF9C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zh-CN" w:eastAsia="zh-CN" w:bidi="ar-SA"/>
              </w:rPr>
              <w:t>2019年</w:t>
            </w:r>
            <w:r>
              <w:rPr>
                <w:rFonts w:hint="default" w:ascii="Times New Roman" w:hAnsi="Times New Roman" w:eastAsia="宋体" w:cs="Times New Roman"/>
                <w:color w:val="auto"/>
                <w:w w:val="99"/>
                <w:kern w:val="2"/>
                <w:sz w:val="21"/>
                <w:szCs w:val="21"/>
                <w:highlight w:val="none"/>
                <w:lang w:val="en-US" w:eastAsia="zh-CN" w:bidi="ar-SA"/>
              </w:rPr>
              <w:t>9</w:t>
            </w:r>
            <w:r>
              <w:rPr>
                <w:rFonts w:hint="default" w:ascii="Times New Roman" w:hAnsi="Times New Roman" w:eastAsia="宋体" w:cs="Times New Roman"/>
                <w:color w:val="auto"/>
                <w:w w:val="99"/>
                <w:kern w:val="2"/>
                <w:sz w:val="21"/>
                <w:szCs w:val="21"/>
                <w:highlight w:val="none"/>
                <w:lang w:val="zh-CN" w:eastAsia="zh-CN" w:bidi="ar-SA"/>
              </w:rPr>
              <w:t>月完成自主验收</w:t>
            </w:r>
          </w:p>
        </w:tc>
        <w:tc>
          <w:tcPr>
            <w:tcW w:w="659" w:type="pct"/>
            <w:vMerge w:val="continue"/>
            <w:vAlign w:val="center"/>
          </w:tcPr>
          <w:p w14:paraId="38294B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w w:val="99"/>
                <w:kern w:val="2"/>
                <w:sz w:val="21"/>
                <w:szCs w:val="21"/>
                <w:highlight w:val="none"/>
                <w:lang w:val="en-US" w:eastAsia="zh-CN" w:bidi="ar-SA"/>
              </w:rPr>
            </w:pPr>
          </w:p>
        </w:tc>
      </w:tr>
    </w:tbl>
    <w:p w14:paraId="2BDF68E6">
      <w:pPr>
        <w:spacing w:line="95" w:lineRule="exact"/>
        <w:rPr>
          <w:rFonts w:ascii="Arial"/>
          <w:color w:val="auto"/>
          <w:sz w:val="8"/>
          <w:highlight w:val="none"/>
        </w:rPr>
      </w:pPr>
    </w:p>
    <w:p w14:paraId="010D42CD">
      <w:pPr>
        <w:pStyle w:val="7"/>
        <w:keepNext w:val="0"/>
        <w:keepLines w:val="0"/>
        <w:widowControl w:val="0"/>
        <w:spacing w:before="60" w:after="60" w:line="440" w:lineRule="exact"/>
        <w:jc w:val="both"/>
        <w:rPr>
          <w:rFonts w:eastAsia="宋体"/>
          <w:b/>
          <w:color w:val="auto"/>
          <w:w w:val="99"/>
          <w:kern w:val="2"/>
          <w:sz w:val="24"/>
          <w:szCs w:val="24"/>
          <w:highlight w:val="none"/>
        </w:rPr>
      </w:pPr>
      <w:r>
        <w:rPr>
          <w:rFonts w:hint="eastAsia" w:eastAsia="宋体" w:cs="Times New Roman"/>
          <w:b/>
          <w:bCs/>
          <w:color w:val="auto"/>
          <w:w w:val="99"/>
          <w:kern w:val="2"/>
          <w:sz w:val="24"/>
          <w:szCs w:val="24"/>
          <w:highlight w:val="none"/>
          <w:lang w:val="en-US" w:eastAsia="zh-CN" w:bidi="ar-SA"/>
        </w:rPr>
        <w:t>3.9</w:t>
      </w:r>
      <w:r>
        <w:rPr>
          <w:rFonts w:ascii="Times New Roman" w:hAnsi="Times New Roman" w:eastAsia="宋体" w:cs="Times New Roman"/>
          <w:b/>
          <w:bCs/>
          <w:color w:val="auto"/>
          <w:w w:val="99"/>
          <w:kern w:val="2"/>
          <w:sz w:val="24"/>
          <w:szCs w:val="24"/>
          <w:highlight w:val="none"/>
          <w:lang w:val="en-US" w:eastAsia="zh-CN" w:bidi="ar-SA"/>
        </w:rPr>
        <w:t>.2</w:t>
      </w:r>
      <w:r>
        <w:rPr>
          <w:rFonts w:eastAsia="宋体"/>
          <w:b/>
          <w:color w:val="auto"/>
          <w:w w:val="99"/>
          <w:kern w:val="2"/>
          <w:sz w:val="24"/>
          <w:szCs w:val="24"/>
          <w:highlight w:val="none"/>
        </w:rPr>
        <w:t>依托工程能力核实及运行现状分析</w:t>
      </w:r>
      <w:bookmarkEnd w:id="509"/>
      <w:bookmarkEnd w:id="510"/>
    </w:p>
    <w:p w14:paraId="4CFDAEEB">
      <w:pPr>
        <w:keepNext w:val="0"/>
        <w:keepLines w:val="0"/>
        <w:pageBreakBefore w:val="0"/>
        <w:widowControl/>
        <w:kinsoku/>
        <w:wordWrap/>
        <w:overflowPunct/>
        <w:topLinePunct w:val="0"/>
        <w:autoSpaceDE/>
        <w:autoSpaceDN/>
        <w:bidi w:val="0"/>
        <w:adjustRightInd/>
        <w:snapToGrid/>
        <w:spacing w:line="440" w:lineRule="exact"/>
        <w:ind w:left="0" w:right="0" w:firstLine="476" w:firstLineChars="200"/>
        <w:jc w:val="both"/>
        <w:textAlignment w:val="auto"/>
        <w:rPr>
          <w:rFonts w:hint="default" w:ascii="Times New Roman" w:hAnsi="Times New Roman" w:eastAsia="宋体" w:cs="Times New Roman"/>
          <w:b/>
          <w:bCs/>
          <w:color w:val="auto"/>
          <w:spacing w:val="0"/>
          <w:w w:val="99"/>
          <w:position w:val="0"/>
          <w:sz w:val="24"/>
          <w:szCs w:val="24"/>
          <w:highlight w:val="none"/>
          <w:lang w:val="en-US" w:eastAsia="zh-CN"/>
        </w:rPr>
      </w:pPr>
      <w:r>
        <w:rPr>
          <w:rFonts w:hint="default" w:ascii="Times New Roman" w:hAnsi="Times New Roman" w:eastAsia="宋体" w:cs="Times New Roman"/>
          <w:b/>
          <w:bCs/>
          <w:color w:val="auto"/>
          <w:spacing w:val="0"/>
          <w:w w:val="99"/>
          <w:position w:val="0"/>
          <w:sz w:val="24"/>
          <w:szCs w:val="24"/>
          <w:highlight w:val="none"/>
          <w:lang w:val="en-US" w:eastAsia="zh-CN"/>
        </w:rPr>
        <w:t>（1）徐深</w:t>
      </w:r>
      <w:r>
        <w:rPr>
          <w:rFonts w:hint="eastAsia" w:ascii="Times New Roman" w:hAnsi="Times New Roman" w:cs="Times New Roman"/>
          <w:b/>
          <w:bCs/>
          <w:color w:val="auto"/>
          <w:spacing w:val="0"/>
          <w:w w:val="99"/>
          <w:position w:val="0"/>
          <w:sz w:val="24"/>
          <w:szCs w:val="24"/>
          <w:highlight w:val="none"/>
          <w:lang w:val="en-US" w:eastAsia="zh-CN"/>
        </w:rPr>
        <w:t>27</w:t>
      </w:r>
      <w:r>
        <w:rPr>
          <w:rFonts w:hint="default" w:ascii="Times New Roman" w:hAnsi="Times New Roman" w:eastAsia="宋体" w:cs="Times New Roman"/>
          <w:b/>
          <w:bCs/>
          <w:color w:val="auto"/>
          <w:spacing w:val="0"/>
          <w:w w:val="99"/>
          <w:position w:val="0"/>
          <w:sz w:val="24"/>
          <w:szCs w:val="24"/>
          <w:highlight w:val="none"/>
          <w:lang w:val="en-US" w:eastAsia="zh-CN"/>
        </w:rPr>
        <w:t>集气站</w:t>
      </w:r>
    </w:p>
    <w:p w14:paraId="29530477">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outlineLvl w:val="9"/>
        <w:rPr>
          <w:rFonts w:hint="default" w:ascii="Times New Roman" w:hAnsi="Times New Roman" w:eastAsia="宋体" w:cs="Times New Roman"/>
          <w:color w:val="auto"/>
          <w:spacing w:val="0"/>
          <w:w w:val="99"/>
          <w:position w:val="0"/>
          <w:sz w:val="24"/>
          <w:szCs w:val="24"/>
          <w:highlight w:val="none"/>
          <w:lang w:val="en-US" w:eastAsia="zh-CN"/>
        </w:rPr>
      </w:pPr>
      <w:r>
        <w:rPr>
          <w:rFonts w:hint="default" w:ascii="Times New Roman" w:hAnsi="Times New Roman" w:eastAsia="宋体" w:cs="Times New Roman"/>
          <w:color w:val="auto"/>
          <w:spacing w:val="0"/>
          <w:w w:val="99"/>
          <w:position w:val="0"/>
          <w:sz w:val="24"/>
          <w:szCs w:val="24"/>
          <w:highlight w:val="none"/>
          <w:lang w:val="en-US" w:eastAsia="zh-CN"/>
        </w:rPr>
        <w:t>徐深27集气站始建于2017年，按照“无人值守，有人巡检”模式进行建设。截至2025年底，徐深27集气站目前共辖井3口，建成生产装置1列。建设规模为30×10</w:t>
      </w:r>
      <w:r>
        <w:rPr>
          <w:rFonts w:hint="default" w:ascii="Times New Roman" w:hAnsi="Times New Roman" w:eastAsia="宋体" w:cs="Times New Roman"/>
          <w:color w:val="auto"/>
          <w:spacing w:val="0"/>
          <w:w w:val="99"/>
          <w:position w:val="0"/>
          <w:sz w:val="24"/>
          <w:szCs w:val="24"/>
          <w:highlight w:val="none"/>
          <w:vertAlign w:val="superscript"/>
          <w:lang w:val="en-US" w:eastAsia="zh-CN"/>
        </w:rPr>
        <w:t>4</w:t>
      </w:r>
      <w:r>
        <w:rPr>
          <w:rFonts w:hint="default" w:ascii="Times New Roman" w:hAnsi="Times New Roman" w:eastAsia="宋体" w:cs="Times New Roman"/>
          <w:color w:val="auto"/>
          <w:spacing w:val="0"/>
          <w:w w:val="99"/>
          <w:position w:val="0"/>
          <w:sz w:val="24"/>
          <w:szCs w:val="24"/>
          <w:highlight w:val="none"/>
          <w:lang w:val="en-US" w:eastAsia="zh-CN"/>
        </w:rPr>
        <w:t>m</w:t>
      </w:r>
      <w:r>
        <w:rPr>
          <w:rFonts w:hint="default" w:ascii="Times New Roman" w:hAnsi="Times New Roman" w:eastAsia="宋体" w:cs="Times New Roman"/>
          <w:color w:val="auto"/>
          <w:spacing w:val="0"/>
          <w:w w:val="99"/>
          <w:position w:val="0"/>
          <w:sz w:val="24"/>
          <w:szCs w:val="24"/>
          <w:highlight w:val="none"/>
          <w:vertAlign w:val="superscript"/>
          <w:lang w:val="en-US" w:eastAsia="zh-CN"/>
        </w:rPr>
        <w:t>3</w:t>
      </w:r>
      <w:r>
        <w:rPr>
          <w:rFonts w:hint="default" w:ascii="Times New Roman" w:hAnsi="Times New Roman" w:eastAsia="宋体" w:cs="Times New Roman"/>
          <w:color w:val="auto"/>
          <w:spacing w:val="0"/>
          <w:w w:val="99"/>
          <w:position w:val="0"/>
          <w:sz w:val="24"/>
          <w:szCs w:val="24"/>
          <w:highlight w:val="none"/>
          <w:lang w:val="en-US" w:eastAsia="zh-CN"/>
        </w:rPr>
        <w:t>/d。徐深27集气站为高含碳集气站，气井气经采气管道电伴热至集气站，在集气站内经加热、节流降压、多井轮换计量、分离和脱水处理，处理后的天然气输送至徐深9净化厂脱碳处理后外输。</w:t>
      </w:r>
    </w:p>
    <w:p w14:paraId="51474D60">
      <w:pPr>
        <w:keepNext w:val="0"/>
        <w:keepLines w:val="0"/>
        <w:pageBreakBefore w:val="0"/>
        <w:widowControl/>
        <w:kinsoku/>
        <w:wordWrap/>
        <w:overflowPunct/>
        <w:topLinePunct w:val="0"/>
        <w:autoSpaceDE/>
        <w:autoSpaceDN/>
        <w:bidi w:val="0"/>
        <w:adjustRightInd/>
        <w:snapToGrid/>
        <w:spacing w:after="190" w:afterLines="50" w:line="500" w:lineRule="exact"/>
        <w:ind w:firstLine="474" w:firstLineChars="200"/>
        <w:jc w:val="both"/>
        <w:textAlignment w:val="auto"/>
        <w:rPr>
          <w:rFonts w:hint="default" w:ascii="Times New Roman" w:hAnsi="Times New Roman" w:eastAsia="宋体" w:cs="Times New Roman"/>
          <w:color w:val="auto"/>
          <w:spacing w:val="0"/>
          <w:w w:val="99"/>
          <w:position w:val="0"/>
          <w:sz w:val="24"/>
          <w:szCs w:val="24"/>
          <w:highlight w:val="none"/>
          <w:lang w:val="en-US" w:eastAsia="zh-CN"/>
        </w:rPr>
      </w:pPr>
      <w:r>
        <w:rPr>
          <w:rFonts w:hint="eastAsia" w:ascii="Times New Roman" w:hAnsi="Times New Roman" w:cs="Times New Roman"/>
          <w:color w:val="auto"/>
          <w:spacing w:val="0"/>
          <w:w w:val="99"/>
          <w:position w:val="0"/>
          <w:sz w:val="24"/>
          <w:szCs w:val="24"/>
          <w:highlight w:val="none"/>
          <w:lang w:val="en-US" w:eastAsia="zh-CN"/>
        </w:rPr>
        <w:t>目前该站处理气量为1.51×10</w:t>
      </w:r>
      <w:r>
        <w:rPr>
          <w:rFonts w:hint="eastAsia" w:ascii="Times New Roman" w:hAnsi="Times New Roman" w:cs="Times New Roman"/>
          <w:color w:val="auto"/>
          <w:spacing w:val="0"/>
          <w:w w:val="99"/>
          <w:position w:val="0"/>
          <w:sz w:val="24"/>
          <w:szCs w:val="24"/>
          <w:highlight w:val="none"/>
          <w:vertAlign w:val="superscript"/>
          <w:lang w:val="en-US" w:eastAsia="zh-CN"/>
        </w:rPr>
        <w:t>4</w:t>
      </w:r>
      <w:r>
        <w:rPr>
          <w:rFonts w:hint="eastAsia" w:ascii="Times New Roman" w:hAnsi="Times New Roman" w:cs="Times New Roman"/>
          <w:color w:val="auto"/>
          <w:spacing w:val="0"/>
          <w:w w:val="99"/>
          <w:position w:val="0"/>
          <w:sz w:val="24"/>
          <w:szCs w:val="24"/>
          <w:highlight w:val="none"/>
          <w:lang w:val="en-US" w:eastAsia="zh-CN"/>
        </w:rPr>
        <w:t>m</w:t>
      </w:r>
      <w:r>
        <w:rPr>
          <w:rFonts w:hint="eastAsia" w:ascii="Times New Roman" w:hAnsi="Times New Roman" w:cs="Times New Roman"/>
          <w:color w:val="auto"/>
          <w:spacing w:val="0"/>
          <w:w w:val="99"/>
          <w:position w:val="0"/>
          <w:sz w:val="24"/>
          <w:szCs w:val="24"/>
          <w:highlight w:val="none"/>
          <w:vertAlign w:val="superscript"/>
          <w:lang w:val="en-US" w:eastAsia="zh-CN"/>
        </w:rPr>
        <w:t>3</w:t>
      </w:r>
      <w:r>
        <w:rPr>
          <w:rFonts w:hint="eastAsia" w:ascii="Times New Roman" w:hAnsi="Times New Roman" w:cs="Times New Roman"/>
          <w:color w:val="auto"/>
          <w:spacing w:val="0"/>
          <w:w w:val="99"/>
          <w:position w:val="0"/>
          <w:sz w:val="24"/>
          <w:szCs w:val="24"/>
          <w:highlight w:val="none"/>
          <w:lang w:val="en-US" w:eastAsia="zh-CN"/>
        </w:rPr>
        <w:t>/d，本项目新增产气量为9.0×10</w:t>
      </w:r>
      <w:r>
        <w:rPr>
          <w:rFonts w:hint="eastAsia" w:ascii="Times New Roman" w:hAnsi="Times New Roman" w:cs="Times New Roman"/>
          <w:color w:val="auto"/>
          <w:spacing w:val="0"/>
          <w:w w:val="99"/>
          <w:position w:val="0"/>
          <w:sz w:val="24"/>
          <w:szCs w:val="24"/>
          <w:highlight w:val="none"/>
          <w:vertAlign w:val="superscript"/>
          <w:lang w:val="en-US" w:eastAsia="zh-CN"/>
        </w:rPr>
        <w:t>4</w:t>
      </w:r>
      <w:r>
        <w:rPr>
          <w:rFonts w:hint="eastAsia" w:ascii="Times New Roman" w:hAnsi="Times New Roman" w:cs="Times New Roman"/>
          <w:color w:val="auto"/>
          <w:spacing w:val="0"/>
          <w:w w:val="99"/>
          <w:position w:val="0"/>
          <w:sz w:val="24"/>
          <w:szCs w:val="24"/>
          <w:highlight w:val="none"/>
          <w:lang w:val="en-US" w:eastAsia="zh-CN"/>
        </w:rPr>
        <w:t>m</w:t>
      </w:r>
      <w:r>
        <w:rPr>
          <w:rFonts w:hint="eastAsia" w:ascii="Times New Roman" w:hAnsi="Times New Roman" w:cs="Times New Roman"/>
          <w:color w:val="auto"/>
          <w:spacing w:val="0"/>
          <w:w w:val="99"/>
          <w:position w:val="0"/>
          <w:sz w:val="24"/>
          <w:szCs w:val="24"/>
          <w:highlight w:val="none"/>
          <w:vertAlign w:val="superscript"/>
          <w:lang w:val="en-US" w:eastAsia="zh-CN"/>
        </w:rPr>
        <w:t>3</w:t>
      </w:r>
      <w:r>
        <w:rPr>
          <w:rFonts w:hint="eastAsia" w:ascii="Times New Roman" w:hAnsi="Times New Roman" w:cs="Times New Roman"/>
          <w:color w:val="auto"/>
          <w:spacing w:val="0"/>
          <w:w w:val="99"/>
          <w:position w:val="0"/>
          <w:sz w:val="24"/>
          <w:szCs w:val="24"/>
          <w:highlight w:val="none"/>
          <w:lang w:val="en-US" w:eastAsia="zh-CN"/>
        </w:rPr>
        <w:t>/d，则新增后处理负荷为35.03%，处理负荷满足依托要求</w:t>
      </w:r>
      <w:r>
        <w:rPr>
          <w:rFonts w:hint="default" w:ascii="Times New Roman" w:hAnsi="Times New Roman" w:eastAsia="宋体" w:cs="Times New Roman"/>
          <w:color w:val="auto"/>
          <w:spacing w:val="0"/>
          <w:w w:val="99"/>
          <w:position w:val="0"/>
          <w:sz w:val="24"/>
          <w:szCs w:val="24"/>
          <w:highlight w:val="none"/>
          <w:lang w:val="en-US" w:eastAsia="zh-CN"/>
        </w:rPr>
        <w:t>。</w:t>
      </w:r>
      <w:r>
        <w:rPr>
          <w:rFonts w:hint="eastAsia" w:ascii="Times New Roman" w:hAnsi="Times New Roman" w:eastAsia="宋体" w:cs="Times New Roman"/>
          <w:color w:val="auto"/>
          <w:spacing w:val="0"/>
          <w:w w:val="99"/>
          <w:position w:val="0"/>
          <w:sz w:val="24"/>
          <w:szCs w:val="24"/>
          <w:highlight w:val="none"/>
          <w:lang w:val="en-US" w:eastAsia="zh-CN"/>
        </w:rPr>
        <w:t>场站各设备能力核实如下：</w:t>
      </w:r>
    </w:p>
    <w:p w14:paraId="1014E7F3">
      <w:pPr>
        <w:keepLines w:val="0"/>
        <w:pageBreakBefore w:val="0"/>
        <w:kinsoku/>
        <w:wordWrap/>
        <w:overflowPunct/>
        <w:topLinePunct w:val="0"/>
        <w:autoSpaceDE/>
        <w:autoSpaceDN/>
        <w:bidi w:val="0"/>
        <w:adjustRightInd/>
        <w:snapToGrid/>
        <w:spacing w:line="500" w:lineRule="exact"/>
        <w:ind w:left="0" w:firstLine="474" w:firstLineChars="200"/>
        <w:jc w:val="both"/>
        <w:textAlignment w:val="auto"/>
        <w:outlineLvl w:val="9"/>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pP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（1）加热炉能力核实</w:t>
      </w:r>
    </w:p>
    <w:p w14:paraId="0193B6AB">
      <w:pPr>
        <w:keepNext w:val="0"/>
        <w:keepLines w:val="0"/>
        <w:pageBreakBefore w:val="0"/>
        <w:widowControl/>
        <w:kinsoku/>
        <w:wordWrap/>
        <w:overflowPunct/>
        <w:topLinePunct w:val="0"/>
        <w:autoSpaceDE/>
        <w:autoSpaceDN/>
        <w:bidi w:val="0"/>
        <w:adjustRightInd/>
        <w:snapToGrid/>
        <w:spacing w:line="500" w:lineRule="exact"/>
        <w:ind w:left="0" w:firstLine="474" w:firstLineChars="200"/>
        <w:jc w:val="both"/>
        <w:textAlignment w:val="auto"/>
        <w:outlineLvl w:val="9"/>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pP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站内已建真空加热炉</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1</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台，剩余</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2</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处预留盘管，设计加热负荷</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分别</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为</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130</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kW</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、30kW</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。经计算，本次接入的徐深</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27</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H1</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井加热负荷需求为</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111.3</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kW，已建预留盘管能力满足处理需求</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w:t>
      </w:r>
    </w:p>
    <w:p w14:paraId="3EAF6778">
      <w:pPr>
        <w:keepLines w:val="0"/>
        <w:pageBreakBefore w:val="0"/>
        <w:kinsoku/>
        <w:wordWrap/>
        <w:overflowPunct/>
        <w:topLinePunct w:val="0"/>
        <w:autoSpaceDE/>
        <w:autoSpaceDN/>
        <w:bidi w:val="0"/>
        <w:adjustRightInd/>
        <w:snapToGrid/>
        <w:spacing w:line="500" w:lineRule="exact"/>
        <w:ind w:left="0" w:firstLine="474" w:firstLineChars="200"/>
        <w:jc w:val="both"/>
        <w:textAlignment w:val="auto"/>
        <w:outlineLvl w:val="9"/>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pP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（2）分离器能力核实</w:t>
      </w:r>
    </w:p>
    <w:p w14:paraId="2790F2A3">
      <w:pPr>
        <w:keepLines w:val="0"/>
        <w:pageBreakBefore w:val="0"/>
        <w:kinsoku/>
        <w:wordWrap/>
        <w:overflowPunct/>
        <w:topLinePunct w:val="0"/>
        <w:autoSpaceDE/>
        <w:autoSpaceDN/>
        <w:bidi w:val="0"/>
        <w:adjustRightInd/>
        <w:snapToGrid/>
        <w:spacing w:line="500" w:lineRule="exact"/>
        <w:ind w:left="0" w:firstLine="474" w:firstLineChars="200"/>
        <w:jc w:val="both"/>
        <w:textAlignment w:val="auto"/>
        <w:outlineLvl w:val="9"/>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pP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计量分离器和生产分离器规格型号均为 Φ1200×4</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6</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12（设计压力 8.0MPa）</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过滤分离器型号为 Φ450×2200/Φ400×2200（设计压力 8.0MPa），处理能力</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均</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 xml:space="preserve">为 </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3</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0×10</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4</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m</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3</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 xml:space="preserve"> /d。本次新增产能后，总处理气量</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10.51</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×10</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4</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m</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3</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/d，已建分离器能够满足处理需求。</w:t>
      </w:r>
    </w:p>
    <w:p w14:paraId="6A19045C">
      <w:pPr>
        <w:keepLines w:val="0"/>
        <w:pageBreakBefore w:val="0"/>
        <w:kinsoku/>
        <w:wordWrap/>
        <w:overflowPunct/>
        <w:topLinePunct w:val="0"/>
        <w:autoSpaceDE/>
        <w:autoSpaceDN/>
        <w:bidi w:val="0"/>
        <w:adjustRightInd/>
        <w:snapToGrid/>
        <w:spacing w:line="500" w:lineRule="exact"/>
        <w:ind w:left="0" w:firstLine="474" w:firstLineChars="200"/>
        <w:jc w:val="both"/>
        <w:textAlignment w:val="auto"/>
        <w:outlineLvl w:val="9"/>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pP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（3）脱水装置</w:t>
      </w:r>
    </w:p>
    <w:p w14:paraId="31198F34">
      <w:pPr>
        <w:keepNext w:val="0"/>
        <w:keepLines w:val="0"/>
        <w:pageBreakBefore w:val="0"/>
        <w:widowControl/>
        <w:kinsoku/>
        <w:wordWrap/>
        <w:overflowPunct/>
        <w:topLinePunct w:val="0"/>
        <w:autoSpaceDE/>
        <w:autoSpaceDN/>
        <w:bidi w:val="0"/>
        <w:adjustRightInd/>
        <w:snapToGrid/>
        <w:spacing w:line="500" w:lineRule="exact"/>
        <w:ind w:left="0" w:firstLine="474" w:firstLineChars="200"/>
        <w:jc w:val="both"/>
        <w:textAlignment w:val="auto"/>
        <w:outlineLvl w:val="9"/>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pP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站内已建三甘醇脱水装置</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1</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套，处理规模为</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3</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0×10</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4</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m</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3</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/d，接入新井后，最大气量为10</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.51</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×10</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4</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m</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3</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/d，运行负荷率为</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5</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33</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w:t>
      </w:r>
    </w:p>
    <w:p w14:paraId="5FFD9C4F">
      <w:pPr>
        <w:keepLines w:val="0"/>
        <w:pageBreakBefore w:val="0"/>
        <w:kinsoku/>
        <w:wordWrap/>
        <w:overflowPunct/>
        <w:topLinePunct w:val="0"/>
        <w:autoSpaceDE/>
        <w:autoSpaceDN/>
        <w:bidi w:val="0"/>
        <w:adjustRightInd/>
        <w:snapToGrid/>
        <w:spacing w:line="500" w:lineRule="exact"/>
        <w:ind w:left="0" w:firstLine="474" w:firstLineChars="200"/>
        <w:jc w:val="both"/>
        <w:textAlignment w:val="auto"/>
        <w:outlineLvl w:val="9"/>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pP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（4）放空火炬能力核实</w:t>
      </w:r>
    </w:p>
    <w:p w14:paraId="71B0448F">
      <w:pPr>
        <w:keepLines w:val="0"/>
        <w:pageBreakBefore w:val="0"/>
        <w:kinsoku/>
        <w:wordWrap/>
        <w:overflowPunct/>
        <w:topLinePunct w:val="0"/>
        <w:autoSpaceDE/>
        <w:autoSpaceDN/>
        <w:bidi w:val="0"/>
        <w:adjustRightInd/>
        <w:snapToGrid/>
        <w:spacing w:line="500" w:lineRule="exact"/>
        <w:ind w:left="0" w:firstLine="474" w:firstLineChars="200"/>
        <w:jc w:val="both"/>
        <w:textAlignment w:val="auto"/>
        <w:outlineLvl w:val="9"/>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pP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徐深</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27</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集气站已建火炬设计规模</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2</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0×10</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4</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m</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3</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/d（DN400/DN</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250</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 xml:space="preserve">  H=3</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0</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m），新井进站后，本站最大产气量为</w:t>
      </w:r>
      <w:r>
        <w:rPr>
          <w:rFonts w:hint="eastAsia" w:ascii="Times New Roman" w:hAnsi="Times New Roman" w:eastAsia="宋体" w:cs="Times New Roman"/>
          <w:b w:val="0"/>
          <w:bCs w:val="0"/>
          <w:color w:val="auto"/>
          <w:spacing w:val="0"/>
          <w:w w:val="99"/>
          <w:kern w:val="0"/>
          <w:position w:val="0"/>
          <w:sz w:val="24"/>
          <w:szCs w:val="24"/>
          <w:highlight w:val="none"/>
          <w:lang w:val="en-US" w:eastAsia="zh-CN" w:bidi="ar-SA"/>
        </w:rPr>
        <w:t>10.51</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×10</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4</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m</w:t>
      </w:r>
      <w:r>
        <w:rPr>
          <w:rFonts w:hint="default" w:ascii="Times New Roman" w:hAnsi="Times New Roman" w:eastAsia="宋体" w:cs="Times New Roman"/>
          <w:b w:val="0"/>
          <w:bCs w:val="0"/>
          <w:color w:val="auto"/>
          <w:spacing w:val="0"/>
          <w:w w:val="99"/>
          <w:kern w:val="0"/>
          <w:position w:val="0"/>
          <w:sz w:val="24"/>
          <w:szCs w:val="24"/>
          <w:highlight w:val="none"/>
          <w:vertAlign w:val="superscript"/>
          <w:lang w:val="en-US" w:eastAsia="zh-CN" w:bidi="ar-SA"/>
        </w:rPr>
        <w:t>3</w:t>
      </w:r>
      <w:r>
        <w:rPr>
          <w:rFonts w:hint="default" w:ascii="Times New Roman" w:hAnsi="Times New Roman" w:eastAsia="宋体" w:cs="Times New Roman"/>
          <w:b w:val="0"/>
          <w:bCs w:val="0"/>
          <w:color w:val="auto"/>
          <w:spacing w:val="0"/>
          <w:w w:val="99"/>
          <w:kern w:val="0"/>
          <w:position w:val="0"/>
          <w:sz w:val="24"/>
          <w:szCs w:val="24"/>
          <w:highlight w:val="none"/>
          <w:lang w:val="en-US" w:eastAsia="zh-CN" w:bidi="ar-SA"/>
        </w:rPr>
        <w:t>/d，本次按照站内装置最大泄放气量计算，已建火炬系统满足放空需求。</w:t>
      </w:r>
    </w:p>
    <w:p w14:paraId="5E2C9669">
      <w:pPr>
        <w:jc w:val="center"/>
        <w:rPr>
          <w:rFonts w:eastAsia="宋体"/>
          <w:b/>
          <w:color w:val="auto"/>
          <w:w w:val="99"/>
          <w:kern w:val="2"/>
          <w:sz w:val="24"/>
          <w:szCs w:val="24"/>
          <w:highlight w:val="none"/>
        </w:rPr>
      </w:pPr>
      <w:r>
        <w:rPr>
          <w:rFonts w:ascii="Times New Roman" w:hAnsi="Times New Roman"/>
          <w:color w:val="auto"/>
          <w:highlight w:val="none"/>
        </w:rPr>
        <w:drawing>
          <wp:inline distT="0" distB="0" distL="114300" distR="114300">
            <wp:extent cx="5566410" cy="2255520"/>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1"/>
                    <a:stretch>
                      <a:fillRect/>
                    </a:stretch>
                  </pic:blipFill>
                  <pic:spPr>
                    <a:xfrm>
                      <a:off x="0" y="0"/>
                      <a:ext cx="5566410" cy="2255520"/>
                    </a:xfrm>
                    <a:prstGeom prst="rect">
                      <a:avLst/>
                    </a:prstGeom>
                  </pic:spPr>
                </pic:pic>
              </a:graphicData>
            </a:graphic>
          </wp:inline>
        </w:drawing>
      </w:r>
    </w:p>
    <w:p w14:paraId="3768E4DF">
      <w:pPr>
        <w:pStyle w:val="102"/>
        <w:keepNext w:val="0"/>
        <w:keepLines w:val="0"/>
        <w:pageBreakBefore w:val="0"/>
        <w:widowControl w:val="0"/>
        <w:kinsoku/>
        <w:wordWrap/>
        <w:overflowPunct/>
        <w:topLinePunct w:val="0"/>
        <w:autoSpaceDE/>
        <w:autoSpaceDN/>
        <w:bidi w:val="0"/>
        <w:adjustRightInd/>
        <w:snapToGrid w:val="0"/>
        <w:spacing w:line="440" w:lineRule="exact"/>
        <w:ind w:left="210" w:firstLine="476" w:firstLineChars="200"/>
        <w:jc w:val="center"/>
        <w:textAlignment w:val="auto"/>
        <w:rPr>
          <w:rFonts w:hint="eastAsia" w:ascii="Times New Roman" w:hAnsi="Times New Roman" w:eastAsia="宋体" w:cs="Times New Roman"/>
          <w:b/>
          <w:bCs/>
          <w:color w:val="auto"/>
          <w:spacing w:val="0"/>
          <w:w w:val="99"/>
          <w:position w:val="0"/>
          <w:sz w:val="24"/>
          <w:szCs w:val="24"/>
          <w:highlight w:val="none"/>
          <w:lang w:val="en-US" w:eastAsia="zh-CN" w:bidi="ar-SA"/>
        </w:rPr>
      </w:pPr>
      <w:r>
        <w:rPr>
          <w:rFonts w:hint="default" w:ascii="Times New Roman" w:hAnsi="Times New Roman" w:eastAsia="宋体" w:cs="Times New Roman"/>
          <w:b/>
          <w:bCs/>
          <w:color w:val="auto"/>
          <w:spacing w:val="0"/>
          <w:w w:val="99"/>
          <w:position w:val="0"/>
          <w:sz w:val="24"/>
          <w:szCs w:val="24"/>
          <w:highlight w:val="none"/>
          <w:lang w:val="en-US" w:eastAsia="zh-CN" w:bidi="ar-SA"/>
        </w:rPr>
        <w:t>图</w:t>
      </w:r>
      <w:r>
        <w:rPr>
          <w:rFonts w:hint="eastAsia" w:ascii="Times New Roman" w:hAnsi="Times New Roman" w:eastAsia="宋体" w:cs="Times New Roman"/>
          <w:b/>
          <w:bCs/>
          <w:color w:val="auto"/>
          <w:spacing w:val="0"/>
          <w:w w:val="99"/>
          <w:position w:val="0"/>
          <w:sz w:val="24"/>
          <w:szCs w:val="24"/>
          <w:highlight w:val="none"/>
          <w:lang w:val="en-US" w:eastAsia="zh-CN" w:bidi="ar-SA"/>
        </w:rPr>
        <w:t>3.9-1徐深27集气站工艺流程</w:t>
      </w:r>
      <w:r>
        <w:rPr>
          <w:rFonts w:hint="default" w:ascii="Times New Roman" w:hAnsi="Times New Roman" w:eastAsia="宋体" w:cs="Times New Roman"/>
          <w:b/>
          <w:bCs/>
          <w:color w:val="auto"/>
          <w:spacing w:val="0"/>
          <w:w w:val="99"/>
          <w:position w:val="0"/>
          <w:sz w:val="24"/>
          <w:szCs w:val="24"/>
          <w:highlight w:val="none"/>
          <w:lang w:val="en-US" w:eastAsia="zh-CN" w:bidi="ar-SA"/>
        </w:rPr>
        <w:t>示意图</w:t>
      </w:r>
    </w:p>
    <w:p w14:paraId="01D889A2">
      <w:pPr>
        <w:pStyle w:val="153"/>
        <w:keepNext w:val="0"/>
        <w:keepLines w:val="0"/>
        <w:pageBreakBefore w:val="0"/>
        <w:widowControl/>
        <w:kinsoku/>
        <w:wordWrap/>
        <w:overflowPunct/>
        <w:topLinePunct w:val="0"/>
        <w:autoSpaceDE/>
        <w:autoSpaceDN/>
        <w:bidi w:val="0"/>
        <w:adjustRightInd/>
        <w:snapToGrid/>
        <w:spacing w:line="440" w:lineRule="exact"/>
        <w:ind w:left="0" w:right="0" w:firstLine="476" w:firstLineChars="200"/>
        <w:jc w:val="both"/>
        <w:textAlignment w:val="auto"/>
        <w:rPr>
          <w:rFonts w:hint="default" w:ascii="Times New Roman" w:hAnsi="Times New Roman" w:eastAsia="宋体" w:cs="Times New Roman"/>
          <w:b/>
          <w:bCs/>
          <w:snapToGrid w:val="0"/>
          <w:color w:val="auto"/>
          <w:spacing w:val="0"/>
          <w:w w:val="99"/>
          <w:position w:val="0"/>
          <w:sz w:val="24"/>
          <w:szCs w:val="24"/>
          <w:highlight w:val="none"/>
          <w:lang w:val="en-US" w:eastAsia="zh-CN" w:bidi="ar-SA"/>
        </w:rPr>
      </w:pPr>
      <w:r>
        <w:rPr>
          <w:rFonts w:hint="default" w:ascii="Times New Roman" w:hAnsi="Times New Roman" w:eastAsia="宋体" w:cs="Times New Roman"/>
          <w:b/>
          <w:bCs/>
          <w:snapToGrid w:val="0"/>
          <w:color w:val="auto"/>
          <w:spacing w:val="0"/>
          <w:w w:val="99"/>
          <w:position w:val="0"/>
          <w:sz w:val="24"/>
          <w:szCs w:val="24"/>
          <w:highlight w:val="none"/>
          <w:lang w:val="en-US" w:eastAsia="zh-CN" w:bidi="ar-SA"/>
        </w:rPr>
        <w:t>（</w:t>
      </w:r>
      <w:r>
        <w:rPr>
          <w:rFonts w:hint="eastAsia" w:ascii="Times New Roman" w:hAnsi="Times New Roman" w:cs="Times New Roman"/>
          <w:b/>
          <w:bCs/>
          <w:snapToGrid w:val="0"/>
          <w:color w:val="auto"/>
          <w:spacing w:val="0"/>
          <w:w w:val="99"/>
          <w:position w:val="0"/>
          <w:sz w:val="24"/>
          <w:szCs w:val="24"/>
          <w:highlight w:val="none"/>
          <w:lang w:val="en-US" w:eastAsia="zh-CN" w:bidi="ar-SA"/>
        </w:rPr>
        <w:t>2</w:t>
      </w:r>
      <w:r>
        <w:rPr>
          <w:rFonts w:hint="default" w:ascii="Times New Roman" w:hAnsi="Times New Roman" w:eastAsia="宋体" w:cs="Times New Roman"/>
          <w:b/>
          <w:bCs/>
          <w:snapToGrid w:val="0"/>
          <w:color w:val="auto"/>
          <w:spacing w:val="0"/>
          <w:w w:val="99"/>
          <w:position w:val="0"/>
          <w:sz w:val="24"/>
          <w:szCs w:val="24"/>
          <w:highlight w:val="none"/>
          <w:lang w:val="en-US" w:eastAsia="zh-CN" w:bidi="ar-SA"/>
        </w:rPr>
        <w:t>）第八采油厂工业固废填埋场</w:t>
      </w:r>
    </w:p>
    <w:p w14:paraId="76E050CC">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position w:val="0"/>
          <w:sz w:val="24"/>
          <w:szCs w:val="24"/>
          <w:highlight w:val="none"/>
        </w:rPr>
      </w:pPr>
      <w:r>
        <w:rPr>
          <w:rFonts w:hint="default" w:ascii="Times New Roman" w:hAnsi="Times New Roman" w:eastAsia="宋体" w:cs="Times New Roman"/>
          <w:color w:val="auto"/>
          <w:spacing w:val="0"/>
          <w:w w:val="99"/>
          <w:position w:val="0"/>
          <w:sz w:val="24"/>
          <w:szCs w:val="24"/>
          <w:highlight w:val="none"/>
        </w:rPr>
        <w:t>本项目施工期产生的施工废料（废焊渣、废防腐材料）等一般工业固废依托第八采油厂工业固废填埋场处理。第八采油厂工业固废填埋场位于大庆市肇州县新福乡双龙山村北侧1.8km，乐业村东南1.05km，占地1.91hm</w:t>
      </w:r>
      <w:r>
        <w:rPr>
          <w:rFonts w:hint="default" w:ascii="Times New Roman" w:hAnsi="Times New Roman" w:eastAsia="宋体" w:cs="Times New Roman"/>
          <w:color w:val="auto"/>
          <w:spacing w:val="0"/>
          <w:w w:val="99"/>
          <w:position w:val="0"/>
          <w:sz w:val="24"/>
          <w:szCs w:val="24"/>
          <w:highlight w:val="none"/>
          <w:vertAlign w:val="superscript"/>
        </w:rPr>
        <w:t>2</w:t>
      </w:r>
      <w:r>
        <w:rPr>
          <w:rFonts w:hint="default" w:ascii="Times New Roman" w:hAnsi="Times New Roman" w:eastAsia="宋体" w:cs="Times New Roman"/>
          <w:color w:val="auto"/>
          <w:spacing w:val="0"/>
          <w:w w:val="99"/>
          <w:position w:val="0"/>
          <w:sz w:val="24"/>
          <w:szCs w:val="24"/>
          <w:highlight w:val="none"/>
        </w:rPr>
        <w:t>，由大庆油田有限责任公司第八采油厂负责运营管理。</w:t>
      </w:r>
    </w:p>
    <w:p w14:paraId="175A154F">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spacing w:val="0"/>
          <w:w w:val="99"/>
          <w:position w:val="0"/>
          <w:sz w:val="24"/>
          <w:szCs w:val="24"/>
          <w:highlight w:val="none"/>
        </w:rPr>
      </w:pPr>
      <w:r>
        <w:rPr>
          <w:rFonts w:hint="default" w:ascii="Times New Roman" w:hAnsi="Times New Roman" w:eastAsia="宋体" w:cs="Times New Roman"/>
          <w:color w:val="auto"/>
          <w:spacing w:val="0"/>
          <w:w w:val="99"/>
          <w:position w:val="0"/>
          <w:sz w:val="24"/>
          <w:szCs w:val="24"/>
          <w:highlight w:val="none"/>
        </w:rPr>
        <w:t>第八采油厂工业固废填埋场总容量为11624m</w:t>
      </w:r>
      <w:r>
        <w:rPr>
          <w:rFonts w:hint="default" w:ascii="Times New Roman" w:hAnsi="Times New Roman" w:eastAsia="宋体" w:cs="Times New Roman"/>
          <w:color w:val="auto"/>
          <w:spacing w:val="0"/>
          <w:w w:val="99"/>
          <w:position w:val="0"/>
          <w:sz w:val="24"/>
          <w:szCs w:val="24"/>
          <w:highlight w:val="none"/>
          <w:vertAlign w:val="superscript"/>
        </w:rPr>
        <w:t>3</w:t>
      </w:r>
      <w:r>
        <w:rPr>
          <w:rFonts w:hint="default" w:ascii="Times New Roman" w:hAnsi="Times New Roman" w:eastAsia="宋体" w:cs="Times New Roman"/>
          <w:color w:val="auto"/>
          <w:spacing w:val="0"/>
          <w:w w:val="99"/>
          <w:position w:val="0"/>
          <w:sz w:val="24"/>
          <w:szCs w:val="24"/>
          <w:highlight w:val="none"/>
        </w:rPr>
        <w:t>，目前实际容纳约8800m</w:t>
      </w:r>
      <w:r>
        <w:rPr>
          <w:rFonts w:hint="default" w:ascii="Times New Roman" w:hAnsi="Times New Roman" w:eastAsia="宋体" w:cs="Times New Roman"/>
          <w:color w:val="auto"/>
          <w:spacing w:val="0"/>
          <w:w w:val="99"/>
          <w:position w:val="0"/>
          <w:sz w:val="24"/>
          <w:szCs w:val="24"/>
          <w:highlight w:val="none"/>
          <w:vertAlign w:val="superscript"/>
        </w:rPr>
        <w:t>3</w:t>
      </w:r>
      <w:r>
        <w:rPr>
          <w:rFonts w:hint="default" w:ascii="Times New Roman" w:hAnsi="Times New Roman" w:eastAsia="宋体" w:cs="Times New Roman"/>
          <w:color w:val="auto"/>
          <w:spacing w:val="0"/>
          <w:w w:val="99"/>
          <w:position w:val="0"/>
          <w:sz w:val="24"/>
          <w:szCs w:val="24"/>
          <w:highlight w:val="none"/>
        </w:rPr>
        <w:t>，剩余能力为2824m</w:t>
      </w:r>
      <w:r>
        <w:rPr>
          <w:rFonts w:hint="default" w:ascii="Times New Roman" w:hAnsi="Times New Roman" w:eastAsia="宋体" w:cs="Times New Roman"/>
          <w:color w:val="auto"/>
          <w:spacing w:val="0"/>
          <w:w w:val="99"/>
          <w:position w:val="0"/>
          <w:sz w:val="24"/>
          <w:szCs w:val="24"/>
          <w:highlight w:val="none"/>
          <w:vertAlign w:val="superscript"/>
        </w:rPr>
        <w:t>3</w:t>
      </w:r>
      <w:r>
        <w:rPr>
          <w:rFonts w:hint="default" w:ascii="Times New Roman" w:hAnsi="Times New Roman" w:eastAsia="宋体" w:cs="Times New Roman"/>
          <w:color w:val="auto"/>
          <w:spacing w:val="0"/>
          <w:w w:val="99"/>
          <w:position w:val="0"/>
          <w:sz w:val="24"/>
          <w:szCs w:val="24"/>
          <w:highlight w:val="none"/>
        </w:rPr>
        <w:t>，施工废料（废焊渣、废防腐材料）共为</w:t>
      </w:r>
      <w:r>
        <w:rPr>
          <w:rFonts w:hint="eastAsia" w:ascii="Times New Roman" w:hAnsi="Times New Roman" w:cs="Times New Roman"/>
          <w:color w:val="auto"/>
          <w:spacing w:val="0"/>
          <w:w w:val="99"/>
          <w:position w:val="0"/>
          <w:sz w:val="24"/>
          <w:szCs w:val="24"/>
          <w:highlight w:val="none"/>
          <w:lang w:val="en-US" w:eastAsia="zh-CN"/>
        </w:rPr>
        <w:t>0.04</w:t>
      </w:r>
      <w:r>
        <w:rPr>
          <w:rFonts w:hint="default" w:ascii="Times New Roman" w:hAnsi="Times New Roman" w:eastAsia="宋体" w:cs="Times New Roman"/>
          <w:color w:val="auto"/>
          <w:spacing w:val="0"/>
          <w:w w:val="99"/>
          <w:position w:val="0"/>
          <w:sz w:val="24"/>
          <w:szCs w:val="24"/>
          <w:highlight w:val="none"/>
        </w:rPr>
        <w:t>t，第八采油厂工业固废填埋剩余能力满足本项目新增固废处理要求。</w:t>
      </w:r>
    </w:p>
    <w:p w14:paraId="0A53CFA1">
      <w:pPr>
        <w:keepNext w:val="0"/>
        <w:keepLines w:val="0"/>
        <w:pageBreakBefore w:val="0"/>
        <w:widowControl/>
        <w:kinsoku/>
        <w:wordWrap/>
        <w:overflowPunct/>
        <w:topLinePunct w:val="0"/>
        <w:autoSpaceDE/>
        <w:autoSpaceDN/>
        <w:bidi w:val="0"/>
        <w:adjustRightInd/>
        <w:snapToGrid/>
        <w:spacing w:line="440" w:lineRule="exact"/>
        <w:ind w:left="0" w:right="0" w:firstLine="476" w:firstLineChars="200"/>
        <w:jc w:val="both"/>
        <w:textAlignment w:val="auto"/>
        <w:rPr>
          <w:rFonts w:hint="default" w:ascii="Times New Roman" w:hAnsi="Times New Roman" w:eastAsia="宋体" w:cs="Times New Roman"/>
          <w:b/>
          <w:bCs/>
          <w:snapToGrid w:val="0"/>
          <w:color w:val="auto"/>
          <w:spacing w:val="0"/>
          <w:w w:val="99"/>
          <w:kern w:val="0"/>
          <w:sz w:val="24"/>
          <w:szCs w:val="24"/>
          <w:highlight w:val="none"/>
          <w:lang w:val="en-US" w:eastAsia="zh-CN" w:bidi="ar-SA"/>
        </w:rPr>
      </w:pPr>
      <w:r>
        <w:rPr>
          <w:rFonts w:hint="default" w:ascii="Times New Roman" w:hAnsi="Times New Roman" w:eastAsia="宋体" w:cs="Times New Roman"/>
          <w:b/>
          <w:bCs/>
          <w:snapToGrid w:val="0"/>
          <w:color w:val="auto"/>
          <w:spacing w:val="0"/>
          <w:w w:val="99"/>
          <w:kern w:val="0"/>
          <w:sz w:val="24"/>
          <w:szCs w:val="24"/>
          <w:highlight w:val="none"/>
          <w:lang w:val="en-US" w:eastAsia="zh-CN" w:bidi="ar-SA"/>
        </w:rPr>
        <w:t>（</w:t>
      </w:r>
      <w:r>
        <w:rPr>
          <w:rFonts w:hint="eastAsia" w:ascii="Times New Roman" w:hAnsi="Times New Roman" w:cs="Times New Roman"/>
          <w:b/>
          <w:bCs/>
          <w:snapToGrid w:val="0"/>
          <w:color w:val="auto"/>
          <w:spacing w:val="0"/>
          <w:w w:val="99"/>
          <w:kern w:val="0"/>
          <w:sz w:val="24"/>
          <w:szCs w:val="24"/>
          <w:highlight w:val="none"/>
          <w:lang w:val="en-US" w:eastAsia="zh-CN" w:bidi="ar-SA"/>
        </w:rPr>
        <w:t>3</w:t>
      </w:r>
      <w:r>
        <w:rPr>
          <w:rFonts w:hint="default" w:ascii="Times New Roman" w:hAnsi="Times New Roman" w:eastAsia="宋体" w:cs="Times New Roman"/>
          <w:b/>
          <w:bCs/>
          <w:snapToGrid w:val="0"/>
          <w:color w:val="auto"/>
          <w:spacing w:val="0"/>
          <w:w w:val="99"/>
          <w:kern w:val="0"/>
          <w:sz w:val="24"/>
          <w:szCs w:val="24"/>
          <w:highlight w:val="none"/>
          <w:lang w:val="en-US" w:eastAsia="zh-CN" w:bidi="ar-SA"/>
        </w:rPr>
        <w:t>）升一联气田污水预处理站</w:t>
      </w:r>
    </w:p>
    <w:p w14:paraId="0A0E861E">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snapToGrid w:val="0"/>
          <w:color w:val="auto"/>
          <w:spacing w:val="0"/>
          <w:w w:val="99"/>
          <w:kern w:val="0"/>
          <w:sz w:val="24"/>
          <w:szCs w:val="24"/>
          <w:highlight w:val="yellow"/>
          <w:lang w:val="en-US" w:eastAsia="zh-CN" w:bidi="ar-SA"/>
        </w:rPr>
      </w:pPr>
      <w:r>
        <w:rPr>
          <w:rFonts w:hint="default" w:ascii="Times New Roman" w:hAnsi="Times New Roman" w:eastAsia="宋体" w:cs="Times New Roman"/>
          <w:snapToGrid w:val="0"/>
          <w:color w:val="auto"/>
          <w:spacing w:val="0"/>
          <w:w w:val="99"/>
          <w:kern w:val="0"/>
          <w:sz w:val="24"/>
          <w:szCs w:val="24"/>
          <w:highlight w:val="none"/>
          <w:lang w:val="en-US" w:eastAsia="zh-CN" w:bidi="ar-SA"/>
        </w:rPr>
        <w:t>本项目气田采出水暂存于</w:t>
      </w:r>
      <w:r>
        <w:rPr>
          <w:rFonts w:hint="eastAsia" w:ascii="Times New Roman" w:hAnsi="Times New Roman" w:eastAsia="宋体" w:cs="Times New Roman"/>
          <w:snapToGrid w:val="0"/>
          <w:color w:val="auto"/>
          <w:spacing w:val="0"/>
          <w:w w:val="99"/>
          <w:kern w:val="0"/>
          <w:sz w:val="24"/>
          <w:szCs w:val="24"/>
          <w:highlight w:val="none"/>
          <w:lang w:val="en-US" w:eastAsia="zh-CN" w:bidi="ar-SA"/>
        </w:rPr>
        <w:t>徐深</w:t>
      </w:r>
      <w:r>
        <w:rPr>
          <w:rFonts w:hint="eastAsia" w:ascii="Times New Roman" w:hAnsi="Times New Roman" w:cs="Times New Roman"/>
          <w:snapToGrid w:val="0"/>
          <w:color w:val="auto"/>
          <w:spacing w:val="0"/>
          <w:w w:val="99"/>
          <w:kern w:val="0"/>
          <w:sz w:val="24"/>
          <w:szCs w:val="24"/>
          <w:highlight w:val="none"/>
          <w:lang w:val="en-US" w:eastAsia="zh-CN" w:bidi="ar-SA"/>
        </w:rPr>
        <w:t>27</w:t>
      </w:r>
      <w:r>
        <w:rPr>
          <w:rFonts w:hint="default" w:ascii="Times New Roman" w:hAnsi="Times New Roman" w:eastAsia="宋体" w:cs="Times New Roman"/>
          <w:snapToGrid w:val="0"/>
          <w:color w:val="auto"/>
          <w:spacing w:val="0"/>
          <w:w w:val="99"/>
          <w:kern w:val="0"/>
          <w:sz w:val="24"/>
          <w:szCs w:val="24"/>
          <w:highlight w:val="none"/>
          <w:lang w:val="en-US" w:eastAsia="zh-CN" w:bidi="ar-SA"/>
        </w:rPr>
        <w:t>集气站污水储罐临时储存，再定期通过外输泵升压外输至气田采出水集输管网，并统一管输至升一联气田污水预处理站处理达标后回注，本项目气田采出水最大产生量为</w:t>
      </w:r>
      <w:r>
        <w:rPr>
          <w:rFonts w:hint="eastAsia" w:ascii="Times New Roman" w:hAnsi="Times New Roman" w:cs="Times New Roman"/>
          <w:snapToGrid w:val="0"/>
          <w:color w:val="auto"/>
          <w:spacing w:val="0"/>
          <w:w w:val="99"/>
          <w:kern w:val="0"/>
          <w:sz w:val="24"/>
          <w:szCs w:val="24"/>
          <w:highlight w:val="none"/>
          <w:lang w:val="en-US" w:eastAsia="zh-CN" w:bidi="ar-SA"/>
        </w:rPr>
        <w:t>3.0</w:t>
      </w:r>
      <w:r>
        <w:rPr>
          <w:rFonts w:hint="default" w:ascii="Times New Roman" w:hAnsi="Times New Roman" w:eastAsia="宋体" w:cs="Times New Roman"/>
          <w:snapToGrid w:val="0"/>
          <w:color w:val="auto"/>
          <w:spacing w:val="0"/>
          <w:w w:val="99"/>
          <w:kern w:val="0"/>
          <w:sz w:val="24"/>
          <w:szCs w:val="24"/>
          <w:highlight w:val="none"/>
          <w:lang w:val="en-US" w:eastAsia="zh-CN" w:bidi="ar-SA"/>
        </w:rPr>
        <w:t>m</w:t>
      </w:r>
      <w:r>
        <w:rPr>
          <w:rFonts w:hint="default" w:ascii="Times New Roman" w:hAnsi="Times New Roman" w:eastAsia="宋体" w:cs="Times New Roman"/>
          <w:snapToGrid w:val="0"/>
          <w:color w:val="auto"/>
          <w:spacing w:val="0"/>
          <w:w w:val="99"/>
          <w:kern w:val="0"/>
          <w:sz w:val="24"/>
          <w:szCs w:val="24"/>
          <w:highlight w:val="none"/>
          <w:vertAlign w:val="superscript"/>
          <w:lang w:val="en-US" w:eastAsia="zh-CN" w:bidi="ar-SA"/>
        </w:rPr>
        <w:t>3</w:t>
      </w:r>
      <w:r>
        <w:rPr>
          <w:rFonts w:hint="default" w:ascii="Times New Roman" w:hAnsi="Times New Roman" w:eastAsia="宋体" w:cs="Times New Roman"/>
          <w:snapToGrid w:val="0"/>
          <w:color w:val="auto"/>
          <w:spacing w:val="0"/>
          <w:w w:val="99"/>
          <w:kern w:val="0"/>
          <w:sz w:val="24"/>
          <w:szCs w:val="24"/>
          <w:highlight w:val="none"/>
          <w:lang w:val="en-US" w:eastAsia="zh-CN" w:bidi="ar-SA"/>
        </w:rPr>
        <w:t>/d。</w:t>
      </w:r>
    </w:p>
    <w:p w14:paraId="34B95279">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snapToGrid w:val="0"/>
          <w:color w:val="auto"/>
          <w:spacing w:val="0"/>
          <w:w w:val="99"/>
          <w:kern w:val="0"/>
          <w:sz w:val="24"/>
          <w:szCs w:val="24"/>
          <w:highlight w:val="none"/>
          <w:lang w:val="en-US" w:eastAsia="zh-CN" w:bidi="ar-SA"/>
        </w:rPr>
      </w:pPr>
      <w:r>
        <w:rPr>
          <w:rFonts w:hint="default" w:ascii="Times New Roman" w:hAnsi="Times New Roman" w:eastAsia="宋体" w:cs="Times New Roman"/>
          <w:snapToGrid w:val="0"/>
          <w:color w:val="auto"/>
          <w:spacing w:val="0"/>
          <w:w w:val="99"/>
          <w:kern w:val="0"/>
          <w:sz w:val="24"/>
          <w:szCs w:val="24"/>
          <w:highlight w:val="none"/>
          <w:lang w:val="en-US" w:eastAsia="zh-CN" w:bidi="ar-SA"/>
        </w:rPr>
        <w:t>升一联气田污水预处理站建于黑龙江省安达市升一联合站院内， 由大庆油田有限责任公司第八采油厂负责生产管理，该站</w:t>
      </w:r>
      <w:r>
        <w:rPr>
          <w:rFonts w:hint="eastAsia" w:ascii="Times New Roman" w:hAnsi="Times New Roman" w:cs="Times New Roman"/>
          <w:snapToGrid w:val="0"/>
          <w:color w:val="auto"/>
          <w:spacing w:val="0"/>
          <w:w w:val="99"/>
          <w:kern w:val="0"/>
          <w:sz w:val="24"/>
          <w:szCs w:val="24"/>
          <w:highlight w:val="none"/>
          <w:lang w:val="en-US" w:eastAsia="zh-CN" w:bidi="ar-SA"/>
        </w:rPr>
        <w:t>于</w:t>
      </w:r>
      <w:r>
        <w:rPr>
          <w:rFonts w:hint="default" w:ascii="Times New Roman" w:hAnsi="Times New Roman" w:eastAsia="宋体" w:cs="Times New Roman"/>
          <w:snapToGrid w:val="0"/>
          <w:color w:val="auto"/>
          <w:spacing w:val="0"/>
          <w:w w:val="99"/>
          <w:kern w:val="0"/>
          <w:sz w:val="24"/>
          <w:szCs w:val="24"/>
          <w:highlight w:val="none"/>
          <w:lang w:val="en-US" w:eastAsia="zh-CN" w:bidi="ar-SA"/>
        </w:rPr>
        <w:t xml:space="preserve"> 2015 年进行了改造，2019年完成了自主验收，根据验收结论，升一联气田污水预处理站环保手续完备，技术资料齐全，执行了环境影响评价和“三同时”管理制度，落实了环评报告表及其批复所规定的各项环境污染防治措施，外排污染物达标排放，达到竣工环保验收要求。</w:t>
      </w:r>
    </w:p>
    <w:p w14:paraId="79B237DD">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snapToGrid w:val="0"/>
          <w:color w:val="auto"/>
          <w:spacing w:val="0"/>
          <w:w w:val="99"/>
          <w:kern w:val="0"/>
          <w:sz w:val="24"/>
          <w:szCs w:val="24"/>
          <w:highlight w:val="none"/>
          <w:lang w:val="en-US" w:eastAsia="zh-CN" w:bidi="ar-SA"/>
        </w:rPr>
      </w:pPr>
      <w:r>
        <w:rPr>
          <w:rFonts w:hint="default" w:ascii="Times New Roman" w:hAnsi="Times New Roman" w:eastAsia="宋体" w:cs="Times New Roman"/>
          <w:snapToGrid w:val="0"/>
          <w:color w:val="auto"/>
          <w:spacing w:val="0"/>
          <w:w w:val="99"/>
          <w:kern w:val="0"/>
          <w:sz w:val="24"/>
          <w:szCs w:val="24"/>
          <w:highlight w:val="none"/>
          <w:lang w:val="en-US" w:eastAsia="zh-CN" w:bidi="ar-SA"/>
        </w:rPr>
        <w:t>升一联气田污水预处理站采用“调储缓冲→ 气浮→ 缓冲→ 两级过滤”处理工艺。处理后的水质执行《大庆油田地面工程建设设计规定》（Q/SYDQ 0639- 2015）限值“含油量≤10mg/L 、悬浮固体含量≤5mg/L 、粒径中值≤2μm” ，同时满足《碎屑岩油藏注水水质指标技术要求及分析方法》(SY/T5329-2022)中标准限值，回注地下。</w:t>
      </w:r>
    </w:p>
    <w:p w14:paraId="19331B06">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snapToGrid w:val="0"/>
          <w:color w:val="auto"/>
          <w:spacing w:val="0"/>
          <w:w w:val="99"/>
          <w:kern w:val="0"/>
          <w:sz w:val="24"/>
          <w:szCs w:val="24"/>
          <w:highlight w:val="none"/>
          <w:lang w:val="en-US" w:eastAsia="zh-CN" w:bidi="ar-SA"/>
        </w:rPr>
      </w:pPr>
      <w:r>
        <w:rPr>
          <w:rFonts w:hint="default" w:ascii="Times New Roman" w:hAnsi="Times New Roman" w:eastAsia="宋体" w:cs="Times New Roman"/>
          <w:snapToGrid w:val="0"/>
          <w:color w:val="auto"/>
          <w:spacing w:val="0"/>
          <w:w w:val="99"/>
          <w:kern w:val="0"/>
          <w:sz w:val="24"/>
          <w:szCs w:val="24"/>
          <w:highlight w:val="none"/>
          <w:lang w:val="en-US" w:eastAsia="zh-CN" w:bidi="ar-SA"/>
        </w:rPr>
        <w:t>升一联气田污水预处理站主工艺流程见图</w:t>
      </w:r>
      <w:r>
        <w:rPr>
          <w:rFonts w:hint="eastAsia" w:ascii="Times New Roman" w:hAnsi="Times New Roman" w:cs="Times New Roman"/>
          <w:snapToGrid w:val="0"/>
          <w:color w:val="auto"/>
          <w:spacing w:val="0"/>
          <w:w w:val="99"/>
          <w:kern w:val="0"/>
          <w:sz w:val="24"/>
          <w:szCs w:val="24"/>
          <w:highlight w:val="none"/>
          <w:lang w:val="en-US" w:eastAsia="zh-CN" w:bidi="ar-SA"/>
        </w:rPr>
        <w:t>3.10-2</w:t>
      </w:r>
      <w:r>
        <w:rPr>
          <w:rFonts w:hint="default" w:ascii="Times New Roman" w:hAnsi="Times New Roman" w:eastAsia="宋体" w:cs="Times New Roman"/>
          <w:snapToGrid w:val="0"/>
          <w:color w:val="auto"/>
          <w:spacing w:val="0"/>
          <w:w w:val="99"/>
          <w:kern w:val="0"/>
          <w:sz w:val="24"/>
          <w:szCs w:val="24"/>
          <w:highlight w:val="none"/>
          <w:lang w:val="en-US" w:eastAsia="zh-CN" w:bidi="ar-SA"/>
        </w:rPr>
        <w:t>。</w:t>
      </w:r>
    </w:p>
    <w:p w14:paraId="53189DCA">
      <w:pPr>
        <w:spacing w:line="3243" w:lineRule="exact"/>
        <w:ind w:firstLine="108"/>
        <w:rPr>
          <w:color w:val="auto"/>
          <w:highlight w:val="none"/>
        </w:rPr>
      </w:pPr>
      <w:r>
        <w:rPr>
          <w:color w:val="auto"/>
          <w:position w:val="-64"/>
          <w:highlight w:val="none"/>
        </w:rPr>
        <w:drawing>
          <wp:inline distT="0" distB="0" distL="0" distR="0">
            <wp:extent cx="5172075" cy="2058670"/>
            <wp:effectExtent l="0" t="0" r="9525" b="1778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42"/>
                    <a:stretch>
                      <a:fillRect/>
                    </a:stretch>
                  </pic:blipFill>
                  <pic:spPr>
                    <a:xfrm>
                      <a:off x="0" y="0"/>
                      <a:ext cx="5172455" cy="2058923"/>
                    </a:xfrm>
                    <a:prstGeom prst="rect">
                      <a:avLst/>
                    </a:prstGeom>
                  </pic:spPr>
                </pic:pic>
              </a:graphicData>
            </a:graphic>
          </wp:inline>
        </w:drawing>
      </w:r>
    </w:p>
    <w:p w14:paraId="0B4E00B8">
      <w:pPr>
        <w:pStyle w:val="2"/>
        <w:keepNext w:val="0"/>
        <w:keepLines w:val="0"/>
        <w:pageBreakBefore w:val="0"/>
        <w:widowControl/>
        <w:kinsoku/>
        <w:wordWrap/>
        <w:overflowPunct/>
        <w:topLinePunct w:val="0"/>
        <w:autoSpaceDE/>
        <w:autoSpaceDN/>
        <w:bidi w:val="0"/>
        <w:adjustRightInd/>
        <w:snapToGrid/>
        <w:spacing w:line="440" w:lineRule="exact"/>
        <w:ind w:left="0" w:right="0" w:firstLine="476" w:firstLineChars="200"/>
        <w:jc w:val="center"/>
        <w:textAlignment w:val="auto"/>
        <w:rPr>
          <w:rFonts w:hint="default" w:ascii="Times New Roman" w:hAnsi="Times New Roman" w:eastAsia="宋体" w:cs="Times New Roman"/>
          <w:b/>
          <w:bCs/>
          <w:snapToGrid w:val="0"/>
          <w:color w:val="auto"/>
          <w:spacing w:val="0"/>
          <w:w w:val="99"/>
          <w:kern w:val="0"/>
          <w:sz w:val="24"/>
          <w:szCs w:val="24"/>
          <w:highlight w:val="none"/>
          <w:lang w:val="en-US" w:eastAsia="zh-CN" w:bidi="ar-SA"/>
        </w:rPr>
      </w:pPr>
      <w:r>
        <w:rPr>
          <w:rFonts w:hint="default" w:ascii="Times New Roman" w:hAnsi="Times New Roman" w:eastAsia="宋体" w:cs="Times New Roman"/>
          <w:b/>
          <w:bCs/>
          <w:snapToGrid w:val="0"/>
          <w:color w:val="auto"/>
          <w:spacing w:val="0"/>
          <w:w w:val="99"/>
          <w:kern w:val="0"/>
          <w:sz w:val="24"/>
          <w:szCs w:val="24"/>
          <w:highlight w:val="none"/>
          <w:lang w:val="en-US" w:eastAsia="zh-CN" w:bidi="ar-SA"/>
        </w:rPr>
        <w:t xml:space="preserve">图 </w:t>
      </w:r>
      <w:r>
        <w:rPr>
          <w:rFonts w:hint="eastAsia" w:ascii="Times New Roman" w:hAnsi="Times New Roman" w:cs="Times New Roman"/>
          <w:b/>
          <w:bCs/>
          <w:snapToGrid w:val="0"/>
          <w:color w:val="auto"/>
          <w:spacing w:val="0"/>
          <w:w w:val="99"/>
          <w:kern w:val="0"/>
          <w:sz w:val="24"/>
          <w:szCs w:val="24"/>
          <w:highlight w:val="none"/>
          <w:lang w:val="en-US" w:eastAsia="zh-CN" w:bidi="ar-SA"/>
        </w:rPr>
        <w:t>3.9-2</w:t>
      </w:r>
      <w:r>
        <w:rPr>
          <w:rFonts w:hint="default" w:ascii="Times New Roman" w:hAnsi="Times New Roman" w:eastAsia="宋体" w:cs="Times New Roman"/>
          <w:b/>
          <w:bCs/>
          <w:snapToGrid w:val="0"/>
          <w:color w:val="auto"/>
          <w:spacing w:val="0"/>
          <w:w w:val="99"/>
          <w:kern w:val="0"/>
          <w:sz w:val="24"/>
          <w:szCs w:val="24"/>
          <w:highlight w:val="none"/>
          <w:lang w:val="en-US" w:eastAsia="zh-CN" w:bidi="ar-SA"/>
        </w:rPr>
        <w:t xml:space="preserve">  升一联气田污水预处理站工艺流程</w:t>
      </w:r>
    </w:p>
    <w:p w14:paraId="3FB497F1">
      <w:pPr>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snapToGrid w:val="0"/>
          <w:color w:val="auto"/>
          <w:spacing w:val="0"/>
          <w:w w:val="99"/>
          <w:kern w:val="0"/>
          <w:sz w:val="24"/>
          <w:szCs w:val="24"/>
          <w:highlight w:val="none"/>
          <w:lang w:val="en-US" w:eastAsia="zh-CN" w:bidi="ar-SA"/>
        </w:rPr>
      </w:pPr>
      <w:r>
        <w:rPr>
          <w:rFonts w:hint="default" w:ascii="Times New Roman" w:hAnsi="Times New Roman" w:eastAsia="宋体" w:cs="Times New Roman"/>
          <w:snapToGrid w:val="0"/>
          <w:color w:val="auto"/>
          <w:spacing w:val="0"/>
          <w:w w:val="99"/>
          <w:kern w:val="0"/>
          <w:sz w:val="24"/>
          <w:szCs w:val="24"/>
          <w:highlight w:val="none"/>
          <w:lang w:val="en-US" w:eastAsia="zh-CN" w:bidi="ar-SA"/>
        </w:rPr>
        <w:t>升一联气田污水预处理站设计的总规模为1400m</w:t>
      </w:r>
      <w:r>
        <w:rPr>
          <w:rFonts w:hint="default" w:ascii="Times New Roman" w:hAnsi="Times New Roman" w:eastAsia="宋体" w:cs="Times New Roman"/>
          <w:snapToGrid w:val="0"/>
          <w:color w:val="auto"/>
          <w:spacing w:val="0"/>
          <w:w w:val="99"/>
          <w:kern w:val="0"/>
          <w:sz w:val="24"/>
          <w:szCs w:val="24"/>
          <w:highlight w:val="none"/>
          <w:vertAlign w:val="superscript"/>
          <w:lang w:val="en-US" w:eastAsia="zh-CN" w:bidi="ar-SA"/>
        </w:rPr>
        <w:t>3</w:t>
      </w:r>
      <w:r>
        <w:rPr>
          <w:rFonts w:hint="default" w:ascii="Times New Roman" w:hAnsi="Times New Roman" w:eastAsia="宋体" w:cs="Times New Roman"/>
          <w:snapToGrid w:val="0"/>
          <w:color w:val="auto"/>
          <w:spacing w:val="0"/>
          <w:w w:val="99"/>
          <w:kern w:val="0"/>
          <w:sz w:val="24"/>
          <w:szCs w:val="24"/>
          <w:highlight w:val="none"/>
          <w:lang w:val="en-US" w:eastAsia="zh-CN" w:bidi="ar-SA"/>
        </w:rPr>
        <w:t>/d ，根据企业核实目前处理量 390m</w:t>
      </w:r>
      <w:r>
        <w:rPr>
          <w:rFonts w:hint="default" w:ascii="Times New Roman" w:hAnsi="Times New Roman" w:eastAsia="宋体" w:cs="Times New Roman"/>
          <w:snapToGrid w:val="0"/>
          <w:color w:val="auto"/>
          <w:spacing w:val="0"/>
          <w:w w:val="99"/>
          <w:kern w:val="0"/>
          <w:sz w:val="24"/>
          <w:szCs w:val="24"/>
          <w:highlight w:val="none"/>
          <w:vertAlign w:val="superscript"/>
          <w:lang w:val="en-US" w:eastAsia="zh-CN" w:bidi="ar-SA"/>
        </w:rPr>
        <w:t>3</w:t>
      </w:r>
      <w:r>
        <w:rPr>
          <w:rFonts w:hint="default" w:ascii="Times New Roman" w:hAnsi="Times New Roman" w:eastAsia="宋体" w:cs="Times New Roman"/>
          <w:snapToGrid w:val="0"/>
          <w:color w:val="auto"/>
          <w:spacing w:val="0"/>
          <w:w w:val="99"/>
          <w:kern w:val="0"/>
          <w:sz w:val="24"/>
          <w:szCs w:val="24"/>
          <w:highlight w:val="none"/>
          <w:lang w:val="en-US" w:eastAsia="zh-CN" w:bidi="ar-SA"/>
        </w:rPr>
        <w:t>/d，剩余处理能力为1010m</w:t>
      </w:r>
      <w:r>
        <w:rPr>
          <w:rFonts w:hint="default" w:ascii="Times New Roman" w:hAnsi="Times New Roman" w:eastAsia="宋体" w:cs="Times New Roman"/>
          <w:snapToGrid w:val="0"/>
          <w:color w:val="auto"/>
          <w:spacing w:val="0"/>
          <w:w w:val="99"/>
          <w:kern w:val="0"/>
          <w:sz w:val="24"/>
          <w:szCs w:val="24"/>
          <w:highlight w:val="none"/>
          <w:vertAlign w:val="superscript"/>
          <w:lang w:val="en-US" w:eastAsia="zh-CN" w:bidi="ar-SA"/>
        </w:rPr>
        <w:t>3</w:t>
      </w:r>
      <w:r>
        <w:rPr>
          <w:rFonts w:hint="default" w:ascii="Times New Roman" w:hAnsi="Times New Roman" w:eastAsia="宋体" w:cs="Times New Roman"/>
          <w:snapToGrid w:val="0"/>
          <w:color w:val="auto"/>
          <w:spacing w:val="0"/>
          <w:w w:val="99"/>
          <w:kern w:val="0"/>
          <w:sz w:val="24"/>
          <w:szCs w:val="24"/>
          <w:highlight w:val="none"/>
          <w:lang w:val="en-US" w:eastAsia="zh-CN" w:bidi="ar-SA"/>
        </w:rPr>
        <w:t>/d。本项目气田采出水最大产生量为</w:t>
      </w:r>
      <w:r>
        <w:rPr>
          <w:rFonts w:hint="eastAsia" w:ascii="Times New Roman" w:hAnsi="Times New Roman" w:cs="Times New Roman"/>
          <w:snapToGrid w:val="0"/>
          <w:color w:val="auto"/>
          <w:spacing w:val="0"/>
          <w:w w:val="99"/>
          <w:kern w:val="0"/>
          <w:sz w:val="24"/>
          <w:szCs w:val="24"/>
          <w:highlight w:val="none"/>
          <w:lang w:val="en-US" w:eastAsia="zh-CN" w:bidi="ar-SA"/>
        </w:rPr>
        <w:t>3.0</w:t>
      </w:r>
      <w:r>
        <w:rPr>
          <w:rFonts w:hint="default" w:ascii="Times New Roman" w:hAnsi="Times New Roman" w:eastAsia="宋体" w:cs="Times New Roman"/>
          <w:snapToGrid w:val="0"/>
          <w:color w:val="auto"/>
          <w:spacing w:val="0"/>
          <w:w w:val="99"/>
          <w:kern w:val="0"/>
          <w:sz w:val="24"/>
          <w:szCs w:val="24"/>
          <w:highlight w:val="none"/>
          <w:lang w:val="en-US" w:eastAsia="zh-CN" w:bidi="ar-SA"/>
        </w:rPr>
        <w:t>m</w:t>
      </w:r>
      <w:r>
        <w:rPr>
          <w:rFonts w:hint="default" w:ascii="Times New Roman" w:hAnsi="Times New Roman" w:eastAsia="宋体" w:cs="Times New Roman"/>
          <w:snapToGrid w:val="0"/>
          <w:color w:val="auto"/>
          <w:spacing w:val="0"/>
          <w:w w:val="99"/>
          <w:kern w:val="0"/>
          <w:sz w:val="24"/>
          <w:szCs w:val="24"/>
          <w:highlight w:val="none"/>
          <w:vertAlign w:val="superscript"/>
          <w:lang w:val="en-US" w:eastAsia="zh-CN" w:bidi="ar-SA"/>
        </w:rPr>
        <w:t>3</w:t>
      </w:r>
      <w:r>
        <w:rPr>
          <w:rFonts w:hint="default" w:ascii="Times New Roman" w:hAnsi="Times New Roman" w:eastAsia="宋体" w:cs="Times New Roman"/>
          <w:snapToGrid w:val="0"/>
          <w:color w:val="auto"/>
          <w:spacing w:val="0"/>
          <w:w w:val="99"/>
          <w:kern w:val="0"/>
          <w:sz w:val="24"/>
          <w:szCs w:val="24"/>
          <w:highlight w:val="none"/>
          <w:lang w:val="en-US" w:eastAsia="zh-CN" w:bidi="ar-SA"/>
        </w:rPr>
        <w:t>/d，满足本项目依托需求。</w:t>
      </w:r>
    </w:p>
    <w:p w14:paraId="1B2ADC7E">
      <w:pPr>
        <w:pStyle w:val="104"/>
        <w:keepNext w:val="0"/>
        <w:keepLines w:val="0"/>
        <w:pageBreakBefore w:val="0"/>
        <w:numPr>
          <w:ilvl w:val="0"/>
          <w:numId w:val="0"/>
        </w:numPr>
        <w:kinsoku/>
        <w:wordWrap/>
        <w:overflowPunct/>
        <w:topLinePunct w:val="0"/>
        <w:autoSpaceDE/>
        <w:autoSpaceDN/>
        <w:bidi w:val="0"/>
        <w:adjustRightInd/>
        <w:spacing w:line="440" w:lineRule="exact"/>
        <w:ind w:firstLine="476" w:firstLineChars="200"/>
        <w:jc w:val="both"/>
        <w:textAlignment w:val="auto"/>
        <w:rPr>
          <w:rFonts w:hint="eastAsia" w:ascii="Times New Roman" w:hAnsi="Times New Roman" w:eastAsia="宋体" w:cs="Times New Roman"/>
          <w:b/>
          <w:bCs/>
          <w:snapToGrid w:val="0"/>
          <w:color w:val="auto"/>
          <w:spacing w:val="0"/>
          <w:w w:val="99"/>
          <w:kern w:val="0"/>
          <w:sz w:val="24"/>
          <w:szCs w:val="24"/>
          <w:highlight w:val="none"/>
          <w:lang w:val="en-US" w:eastAsia="zh-CN" w:bidi="ar-SA"/>
        </w:rPr>
      </w:pPr>
      <w:r>
        <w:rPr>
          <w:rFonts w:hint="eastAsia" w:ascii="Times New Roman" w:hAnsi="Times New Roman" w:eastAsia="宋体" w:cs="Times New Roman"/>
          <w:b/>
          <w:bCs/>
          <w:snapToGrid w:val="0"/>
          <w:color w:val="auto"/>
          <w:spacing w:val="0"/>
          <w:w w:val="99"/>
          <w:kern w:val="0"/>
          <w:sz w:val="24"/>
          <w:szCs w:val="24"/>
          <w:highlight w:val="none"/>
          <w:lang w:val="en-US" w:eastAsia="zh-CN" w:bidi="ar-SA"/>
        </w:rPr>
        <w:t>（4）采气分公司危险废物贮存库</w:t>
      </w:r>
    </w:p>
    <w:p w14:paraId="002E2BC4">
      <w:pPr>
        <w:keepNext w:val="0"/>
        <w:keepLines w:val="0"/>
        <w:pageBreakBefore w:val="0"/>
        <w:kinsoku/>
        <w:wordWrap/>
        <w:overflowPunct/>
        <w:topLinePunct w:val="0"/>
        <w:autoSpaceDE/>
        <w:autoSpaceDN/>
        <w:bidi w:val="0"/>
        <w:adjustRightInd/>
        <w:spacing w:line="440" w:lineRule="exact"/>
        <w:ind w:left="0" w:firstLine="474" w:firstLineChars="200"/>
        <w:jc w:val="both"/>
        <w:textAlignment w:val="auto"/>
        <w:rPr>
          <w:rFonts w:hint="default" w:ascii="Times New Roman" w:hAnsi="Times New Roman" w:eastAsia="宋体" w:cs="Times New Roman"/>
          <w:snapToGrid w:val="0"/>
          <w:color w:val="auto"/>
          <w:spacing w:val="0"/>
          <w:w w:val="99"/>
          <w:kern w:val="0"/>
          <w:sz w:val="24"/>
          <w:szCs w:val="24"/>
          <w:highlight w:val="none"/>
          <w:lang w:val="en-US" w:eastAsia="zh-CN" w:bidi="ar-SA"/>
        </w:rPr>
      </w:pPr>
      <w:r>
        <w:rPr>
          <w:rFonts w:hint="default" w:ascii="Times New Roman" w:hAnsi="Times New Roman" w:eastAsia="宋体" w:cs="Times New Roman"/>
          <w:snapToGrid w:val="0"/>
          <w:color w:val="auto"/>
          <w:spacing w:val="0"/>
          <w:w w:val="99"/>
          <w:kern w:val="0"/>
          <w:sz w:val="24"/>
          <w:szCs w:val="24"/>
          <w:highlight w:val="none"/>
          <w:lang w:val="en-US" w:eastAsia="zh-CN" w:bidi="ar-SA"/>
        </w:rPr>
        <w:t>采气分公司在安达市升63调压计量站生活区院内南侧建设了规范化的危废贮存库，对危险化学品及危险废物进行分类储存、统一管理。建筑面积170.19m</w:t>
      </w:r>
      <w:r>
        <w:rPr>
          <w:rFonts w:hint="default" w:ascii="Times New Roman" w:hAnsi="Times New Roman" w:eastAsia="宋体" w:cs="Times New Roman"/>
          <w:snapToGrid w:val="0"/>
          <w:color w:val="auto"/>
          <w:spacing w:val="0"/>
          <w:w w:val="99"/>
          <w:kern w:val="0"/>
          <w:sz w:val="24"/>
          <w:szCs w:val="24"/>
          <w:highlight w:val="none"/>
          <w:vertAlign w:val="superscript"/>
          <w:lang w:val="en-US" w:eastAsia="zh-CN" w:bidi="ar-SA"/>
        </w:rPr>
        <w:t>2</w:t>
      </w:r>
      <w:r>
        <w:rPr>
          <w:rFonts w:hint="default" w:ascii="Times New Roman" w:hAnsi="Times New Roman" w:eastAsia="宋体" w:cs="Times New Roman"/>
          <w:snapToGrid w:val="0"/>
          <w:color w:val="auto"/>
          <w:spacing w:val="0"/>
          <w:w w:val="99"/>
          <w:kern w:val="0"/>
          <w:sz w:val="24"/>
          <w:szCs w:val="24"/>
          <w:highlight w:val="none"/>
          <w:lang w:val="en-US" w:eastAsia="zh-CN" w:bidi="ar-SA"/>
        </w:rPr>
        <w:t>，单层砌体结构，建筑高度4.55m。功能区包括：化验废液库、腐蚀品库（酸）、毒害品库、腐蚀品库（盐、碱）、废铅蓄电瓶库、不含液体废物的废分离器滤芯库6个功能房间分区。该库整体为钢结构，建设有遮雨棚，按照《石油化工工程防渗技术规范》(GB/T50934-2013)进行了防渗，可以做到防风、防晒、防雨、防漏防渗、防腐。库内进行了分区设置，各分区之前设置0.3m高水泥围堰，可避免不相容的危险废物接触、混合。该库存储的危废均进行密封包装后再存储，不会产生粉尘、VOCs、酸雾、有毒有害大气污染物和刺激性气味气体。该贮存库设置了危险废物识别标志，并建立危险废物管理台账，定期委托有危废处置资质的单位处置，并规范填写危险废物转移联单。</w:t>
      </w:r>
    </w:p>
    <w:p w14:paraId="0BE28EE1">
      <w:pPr>
        <w:keepNext w:val="0"/>
        <w:keepLines w:val="0"/>
        <w:pageBreakBefore w:val="0"/>
        <w:numPr>
          <w:ilvl w:val="0"/>
          <w:numId w:val="0"/>
        </w:numPr>
        <w:kinsoku/>
        <w:wordWrap/>
        <w:overflowPunct/>
        <w:topLinePunct w:val="0"/>
        <w:autoSpaceDE/>
        <w:autoSpaceDN/>
        <w:bidi w:val="0"/>
        <w:adjustRightInd/>
        <w:spacing w:line="440" w:lineRule="exact"/>
        <w:ind w:left="0" w:firstLine="474" w:firstLineChars="200"/>
        <w:jc w:val="both"/>
        <w:textAlignment w:val="auto"/>
        <w:rPr>
          <w:rFonts w:hint="default" w:ascii="Times New Roman" w:hAnsi="Times New Roman" w:eastAsia="宋体" w:cs="Times New Roman"/>
          <w:snapToGrid w:val="0"/>
          <w:color w:val="auto"/>
          <w:spacing w:val="0"/>
          <w:w w:val="99"/>
          <w:kern w:val="0"/>
          <w:sz w:val="24"/>
          <w:szCs w:val="24"/>
          <w:highlight w:val="none"/>
          <w:lang w:val="en-US" w:eastAsia="zh-CN" w:bidi="ar-SA"/>
        </w:rPr>
      </w:pPr>
      <w:r>
        <w:rPr>
          <w:rFonts w:hint="default" w:ascii="Times New Roman" w:hAnsi="Times New Roman" w:eastAsia="宋体" w:cs="Times New Roman"/>
          <w:snapToGrid w:val="0"/>
          <w:color w:val="auto"/>
          <w:spacing w:val="0"/>
          <w:w w:val="99"/>
          <w:kern w:val="0"/>
          <w:sz w:val="24"/>
          <w:szCs w:val="24"/>
          <w:highlight w:val="none"/>
          <w:lang w:val="en-US" w:eastAsia="zh-CN" w:bidi="ar-SA"/>
        </w:rPr>
        <w:t>本工程投产后产生的</w:t>
      </w:r>
      <w:r>
        <w:rPr>
          <w:rFonts w:hint="eastAsia" w:ascii="Times New Roman" w:hAnsi="Times New Roman" w:cs="Times New Roman"/>
          <w:snapToGrid w:val="0"/>
          <w:color w:val="auto"/>
          <w:spacing w:val="0"/>
          <w:w w:val="99"/>
          <w:kern w:val="0"/>
          <w:sz w:val="24"/>
          <w:szCs w:val="24"/>
          <w:highlight w:val="none"/>
          <w:lang w:val="en-US" w:eastAsia="zh-CN" w:bidi="ar-SA"/>
        </w:rPr>
        <w:t>井口含油砂砾约0.01t/a，废变压器油0.05t/a，</w:t>
      </w:r>
      <w:r>
        <w:rPr>
          <w:rFonts w:hint="default" w:ascii="Times New Roman" w:hAnsi="Times New Roman" w:eastAsia="宋体" w:cs="Times New Roman"/>
          <w:snapToGrid w:val="0"/>
          <w:color w:val="auto"/>
          <w:spacing w:val="0"/>
          <w:w w:val="99"/>
          <w:kern w:val="0"/>
          <w:sz w:val="24"/>
          <w:szCs w:val="24"/>
          <w:highlight w:val="none"/>
          <w:lang w:val="en-US" w:eastAsia="zh-CN" w:bidi="ar-SA"/>
        </w:rPr>
        <w:t>临时存储在危险废物储存库内，采气分公司定期对存储的危险废物进行清运，委托有危废处置资质的单位进行处置，并填写危险废物转移联单，根据上述分析本项目依托可行。</w:t>
      </w:r>
    </w:p>
    <w:p w14:paraId="29413A8B">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511" w:name="_Toc22813"/>
      <w:r>
        <w:rPr>
          <w:rFonts w:hint="eastAsia" w:ascii="Times New Roman" w:hAnsi="Times New Roman" w:eastAsia="宋体"/>
          <w:b/>
          <w:snapToGrid w:val="0"/>
          <w:color w:val="auto"/>
          <w:w w:val="99"/>
          <w:highlight w:val="none"/>
          <w:lang w:eastAsia="zh-CN"/>
        </w:rPr>
        <w:t>3.1</w:t>
      </w:r>
      <w:r>
        <w:rPr>
          <w:rFonts w:hint="eastAsia" w:ascii="Times New Roman" w:hAnsi="Times New Roman" w:eastAsia="宋体"/>
          <w:b/>
          <w:snapToGrid w:val="0"/>
          <w:color w:val="auto"/>
          <w:w w:val="99"/>
          <w:highlight w:val="none"/>
          <w:lang w:val="en-US" w:eastAsia="zh-CN"/>
        </w:rPr>
        <w:t>0</w:t>
      </w:r>
      <w:r>
        <w:rPr>
          <w:rFonts w:ascii="Times New Roman" w:hAnsi="Times New Roman" w:eastAsia="宋体"/>
          <w:b/>
          <w:snapToGrid w:val="0"/>
          <w:color w:val="auto"/>
          <w:w w:val="99"/>
          <w:highlight w:val="none"/>
        </w:rPr>
        <w:t>建设项目工程分析</w:t>
      </w:r>
      <w:bookmarkEnd w:id="511"/>
    </w:p>
    <w:p w14:paraId="466FA819">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512" w:name="_Toc61597243"/>
      <w:bookmarkStart w:id="513" w:name="_Toc80971394"/>
      <w:bookmarkStart w:id="514" w:name="_Toc83209494"/>
      <w:bookmarkStart w:id="515" w:name="_Toc186444300"/>
      <w:bookmarkStart w:id="516" w:name="_Toc80588272"/>
      <w:bookmarkStart w:id="517" w:name="_Toc76976263"/>
      <w:bookmarkStart w:id="518" w:name="_Toc67860152"/>
      <w:bookmarkStart w:id="519" w:name="_Toc78816477"/>
      <w:bookmarkStart w:id="520" w:name="_Toc77067675"/>
      <w:bookmarkStart w:id="521" w:name="_Toc70050201"/>
      <w:bookmarkStart w:id="522" w:name="_Toc19619"/>
      <w:r>
        <w:rPr>
          <w:rFonts w:hint="eastAsia" w:eastAsia="宋体"/>
          <w:b/>
          <w:color w:val="auto"/>
          <w:w w:val="99"/>
          <w:kern w:val="2"/>
          <w:sz w:val="24"/>
          <w:szCs w:val="24"/>
          <w:highlight w:val="none"/>
          <w:lang w:eastAsia="zh-CN"/>
        </w:rPr>
        <w:t>3.1</w:t>
      </w:r>
      <w:r>
        <w:rPr>
          <w:rFonts w:hint="eastAsia" w:eastAsia="宋体"/>
          <w:b/>
          <w:color w:val="auto"/>
          <w:w w:val="99"/>
          <w:kern w:val="2"/>
          <w:sz w:val="24"/>
          <w:szCs w:val="24"/>
          <w:highlight w:val="none"/>
          <w:lang w:val="en-US" w:eastAsia="zh-CN"/>
        </w:rPr>
        <w:t>0</w:t>
      </w:r>
      <w:r>
        <w:rPr>
          <w:rFonts w:eastAsia="宋体"/>
          <w:b/>
          <w:color w:val="auto"/>
          <w:w w:val="99"/>
          <w:kern w:val="2"/>
          <w:sz w:val="24"/>
          <w:szCs w:val="24"/>
          <w:highlight w:val="none"/>
        </w:rPr>
        <w:t>.1</w:t>
      </w:r>
      <w:bookmarkEnd w:id="512"/>
      <w:r>
        <w:rPr>
          <w:rFonts w:eastAsia="宋体"/>
          <w:b/>
          <w:color w:val="auto"/>
          <w:w w:val="99"/>
          <w:kern w:val="2"/>
          <w:sz w:val="24"/>
          <w:szCs w:val="24"/>
          <w:highlight w:val="none"/>
        </w:rPr>
        <w:t>污染影响因素分析</w:t>
      </w:r>
      <w:bookmarkEnd w:id="513"/>
      <w:bookmarkEnd w:id="514"/>
      <w:bookmarkEnd w:id="515"/>
      <w:bookmarkEnd w:id="516"/>
      <w:bookmarkEnd w:id="517"/>
      <w:bookmarkEnd w:id="518"/>
      <w:bookmarkEnd w:id="519"/>
      <w:bookmarkEnd w:id="520"/>
      <w:bookmarkEnd w:id="521"/>
    </w:p>
    <w:p w14:paraId="44908EC0">
      <w:pPr>
        <w:spacing w:line="440" w:lineRule="exact"/>
        <w:outlineLvl w:val="3"/>
        <w:rPr>
          <w:rFonts w:ascii="Times New Roman" w:hAnsi="Times New Roman" w:cs="Times New Roman"/>
          <w:b/>
          <w:color w:val="auto"/>
          <w:w w:val="99"/>
          <w:szCs w:val="20"/>
          <w:highlight w:val="none"/>
        </w:rPr>
      </w:pPr>
      <w:r>
        <w:rPr>
          <w:rFonts w:hint="eastAsia" w:ascii="Times New Roman" w:hAnsi="Times New Roman" w:cs="Times New Roman"/>
          <w:b/>
          <w:color w:val="auto"/>
          <w:w w:val="99"/>
          <w:szCs w:val="20"/>
          <w:highlight w:val="none"/>
          <w:lang w:eastAsia="zh-CN"/>
        </w:rPr>
        <w:t>3.1</w:t>
      </w:r>
      <w:r>
        <w:rPr>
          <w:rFonts w:hint="eastAsia" w:ascii="Times New Roman" w:hAnsi="Times New Roman" w:cs="Times New Roman"/>
          <w:b/>
          <w:color w:val="auto"/>
          <w:w w:val="99"/>
          <w:szCs w:val="20"/>
          <w:highlight w:val="none"/>
          <w:lang w:val="en-US" w:eastAsia="zh-CN"/>
        </w:rPr>
        <w:t>0</w:t>
      </w:r>
      <w:r>
        <w:rPr>
          <w:rFonts w:ascii="Times New Roman" w:hAnsi="Times New Roman" w:cs="Times New Roman"/>
          <w:b/>
          <w:color w:val="auto"/>
          <w:w w:val="99"/>
          <w:szCs w:val="20"/>
          <w:highlight w:val="none"/>
        </w:rPr>
        <w:t>.1.1施工期</w:t>
      </w:r>
    </w:p>
    <w:p w14:paraId="78C13ECD">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项目施工期主要内容为</w:t>
      </w:r>
      <w:r>
        <w:rPr>
          <w:rFonts w:hint="eastAsia" w:ascii="Times New Roman" w:hAnsi="Times New Roman" w:cs="Times New Roman" w:eastAsiaTheme="minorEastAsia"/>
          <w:color w:val="auto"/>
          <w:w w:val="99"/>
          <w:kern w:val="2"/>
          <w:szCs w:val="20"/>
          <w:highlight w:val="none"/>
          <w:lang w:val="en-US" w:eastAsia="zh-CN"/>
        </w:rPr>
        <w:t>地面工程</w:t>
      </w:r>
      <w:r>
        <w:rPr>
          <w:rFonts w:ascii="Times New Roman" w:hAnsi="Times New Roman" w:cs="Times New Roman" w:eastAsiaTheme="minorEastAsia"/>
          <w:color w:val="auto"/>
          <w:w w:val="99"/>
          <w:kern w:val="2"/>
          <w:szCs w:val="20"/>
          <w:highlight w:val="none"/>
        </w:rPr>
        <w:t>。</w:t>
      </w:r>
    </w:p>
    <w:p w14:paraId="235B5707">
      <w:pPr>
        <w:widowControl w:val="0"/>
        <w:spacing w:line="440" w:lineRule="exact"/>
        <w:ind w:firstLine="474" w:firstLineChars="200"/>
        <w:jc w:val="both"/>
        <w:rPr>
          <w:rFonts w:hint="default" w:ascii="Times New Roman" w:hAnsi="Times New Roman" w:cs="Times New Roman"/>
          <w:color w:val="auto"/>
          <w:w w:val="99"/>
          <w:kern w:val="2"/>
          <w:szCs w:val="20"/>
          <w:highlight w:val="none"/>
          <w:lang w:val="en-US" w:eastAsia="zh-CN"/>
        </w:rPr>
      </w:pPr>
      <w:r>
        <w:rPr>
          <w:rFonts w:hint="default" w:ascii="Times New Roman" w:hAnsi="Times New Roman" w:cs="Times New Roman"/>
          <w:color w:val="auto"/>
          <w:w w:val="99"/>
          <w:kern w:val="2"/>
          <w:szCs w:val="20"/>
          <w:highlight w:val="none"/>
        </w:rPr>
        <w:t>①</w:t>
      </w:r>
      <w:r>
        <w:rPr>
          <w:rFonts w:hint="default" w:ascii="Times New Roman" w:hAnsi="Times New Roman" w:cs="Times New Roman"/>
          <w:color w:val="auto"/>
          <w:w w:val="99"/>
          <w:kern w:val="2"/>
          <w:szCs w:val="20"/>
          <w:highlight w:val="none"/>
          <w:lang w:val="en-US" w:eastAsia="zh-CN"/>
        </w:rPr>
        <w:t>井场施工</w:t>
      </w:r>
    </w:p>
    <w:p w14:paraId="54474985">
      <w:pPr>
        <w:widowControl w:val="0"/>
        <w:spacing w:line="440" w:lineRule="exact"/>
        <w:ind w:firstLine="474" w:firstLineChars="200"/>
        <w:jc w:val="both"/>
        <w:rPr>
          <w:rFonts w:hint="default" w:ascii="Times New Roman" w:hAnsi="Times New Roman" w:cs="Times New Roman"/>
          <w:color w:val="auto"/>
          <w:w w:val="99"/>
          <w:kern w:val="2"/>
          <w:szCs w:val="20"/>
          <w:highlight w:val="none"/>
          <w:lang w:val="en-US" w:eastAsia="zh-CN"/>
        </w:rPr>
      </w:pPr>
      <w:r>
        <w:rPr>
          <w:rFonts w:hint="default" w:ascii="Times New Roman" w:hAnsi="Times New Roman" w:cs="Times New Roman"/>
          <w:color w:val="auto"/>
          <w:w w:val="99"/>
          <w:kern w:val="2"/>
          <w:szCs w:val="20"/>
          <w:highlight w:val="none"/>
          <w:lang w:val="en-US" w:eastAsia="zh-CN"/>
        </w:rPr>
        <w:t>本工程新建</w:t>
      </w:r>
      <w:r>
        <w:rPr>
          <w:rFonts w:hint="eastAsia" w:ascii="Times New Roman" w:hAnsi="Times New Roman" w:cs="Times New Roman"/>
          <w:color w:val="auto"/>
          <w:w w:val="99"/>
          <w:kern w:val="2"/>
          <w:szCs w:val="20"/>
          <w:highlight w:val="none"/>
          <w:lang w:val="en-US" w:eastAsia="zh-CN"/>
        </w:rPr>
        <w:t>1</w:t>
      </w:r>
      <w:r>
        <w:rPr>
          <w:rFonts w:hint="default" w:ascii="Times New Roman" w:hAnsi="Times New Roman" w:cs="Times New Roman"/>
          <w:color w:val="auto"/>
          <w:w w:val="99"/>
          <w:kern w:val="2"/>
          <w:szCs w:val="20"/>
          <w:highlight w:val="none"/>
          <w:lang w:val="en-US" w:eastAsia="zh-CN"/>
        </w:rPr>
        <w:t>座采气井场，施工主要包括对新征占地范围内土地进行清理、测量放线，建设设备间等土建部分，然后安装设备等。</w:t>
      </w:r>
    </w:p>
    <w:p w14:paraId="78FC4841">
      <w:pPr>
        <w:widowControl w:val="0"/>
        <w:spacing w:line="440" w:lineRule="exact"/>
        <w:ind w:firstLine="474" w:firstLineChars="200"/>
        <w:jc w:val="both"/>
        <w:rPr>
          <w:rFonts w:hint="default"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②</w:t>
      </w:r>
      <w:r>
        <w:rPr>
          <w:rFonts w:hint="default" w:ascii="Times New Roman" w:hAnsi="Times New Roman" w:cs="Times New Roman"/>
          <w:color w:val="auto"/>
          <w:w w:val="99"/>
          <w:kern w:val="2"/>
          <w:szCs w:val="20"/>
          <w:highlight w:val="none"/>
          <w:lang w:val="en-US" w:eastAsia="zh-CN"/>
        </w:rPr>
        <w:t>管道施工</w:t>
      </w:r>
    </w:p>
    <w:p w14:paraId="45CA8B80">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管线施工程序为：测量定线，施工作业带清理，清除障碍物，平整工作带，成品防腐钢管运输，布管、组装焊接，无损探伤，补口及防腐检漏，管沟开挖、下沟，分段清水试压，站间连接，通球扫线，阴极保护，工程验收。</w:t>
      </w:r>
    </w:p>
    <w:p w14:paraId="06568B2A">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A.施工作业带清理</w:t>
      </w:r>
    </w:p>
    <w:p w14:paraId="41257FAF">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管道施工采用人工开挖和机械开挖相结合的方式施工，施工初期，首先要对施工作业带进行清理和平整，进行布管、开挖管沟及焊接等施工作业。在场地清理过程中，施工带范围内的土壤、植被和农作物都将受到扰动和破坏，不过其造成的影响仅局限在施工带宽度的范围内。</w:t>
      </w:r>
    </w:p>
    <w:p w14:paraId="56A0239B">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B.管沟敷设</w:t>
      </w:r>
    </w:p>
    <w:p w14:paraId="5882D2A4">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管道采用沟埋方式敷设。开挖后，将运到现场的管道进行焊接、补口、补伤，然后下到管沟内。</w:t>
      </w:r>
    </w:p>
    <w:p w14:paraId="2DD7B58C">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C.防腐及阴极保护</w:t>
      </w:r>
    </w:p>
    <w:p w14:paraId="475C78C7">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提高管道的防腐等级，采用熔结环氧粉末内防腐钢管；管道接头采用一次成型涂料新技术，使用寿命可达30年以上，并采用强制电流阴极保护法。</w:t>
      </w:r>
    </w:p>
    <w:p w14:paraId="79407298">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D.试压</w:t>
      </w:r>
    </w:p>
    <w:p w14:paraId="1CA5955A">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bCs/>
          <w:color w:val="auto"/>
          <w:w w:val="99"/>
          <w:kern w:val="2"/>
          <w:szCs w:val="20"/>
          <w:highlight w:val="none"/>
        </w:rPr>
        <w:t>用清水进行试压，严密性实验合格后，试压废水由罐车拉运至含油污水处理站处理达标后回注</w:t>
      </w:r>
      <w:r>
        <w:rPr>
          <w:rFonts w:ascii="Times New Roman" w:hAnsi="Times New Roman" w:cs="Times New Roman" w:eastAsiaTheme="minorEastAsia"/>
          <w:color w:val="auto"/>
          <w:w w:val="99"/>
          <w:kern w:val="2"/>
          <w:szCs w:val="20"/>
          <w:highlight w:val="none"/>
        </w:rPr>
        <w:t>。</w:t>
      </w:r>
    </w:p>
    <w:p w14:paraId="4192379F">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E.管沟回填</w:t>
      </w:r>
    </w:p>
    <w:p w14:paraId="216C939F">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开挖管沟时在耕植地开挖，将表层耕植土和下层土分别堆放。在可耕植地回填时，需先回填下层土，后回填表层耕植土。管道出土端及弯头两侧分层回填夯实；管沟回填后立即恢复地貌。</w:t>
      </w:r>
    </w:p>
    <w:p w14:paraId="215150D4">
      <w:pPr>
        <w:widowControl w:val="0"/>
        <w:spacing w:line="440" w:lineRule="exact"/>
        <w:ind w:firstLine="474" w:firstLineChars="200"/>
        <w:jc w:val="both"/>
        <w:rPr>
          <w:rFonts w:hint="default" w:ascii="Times New Roman" w:hAnsi="Times New Roman" w:cs="Times New Roman"/>
          <w:color w:val="auto"/>
          <w:w w:val="99"/>
          <w:kern w:val="2"/>
          <w:szCs w:val="20"/>
          <w:highlight w:val="none"/>
          <w:lang w:val="en-US" w:eastAsia="zh-CN"/>
        </w:rPr>
      </w:pPr>
      <w:r>
        <w:rPr>
          <w:rFonts w:hint="default" w:ascii="Times New Roman" w:hAnsi="Times New Roman" w:cs="Times New Roman"/>
          <w:color w:val="auto"/>
          <w:w w:val="99"/>
          <w:kern w:val="2"/>
          <w:szCs w:val="20"/>
          <w:highlight w:val="none"/>
          <w:lang w:val="en-US" w:eastAsia="zh-CN"/>
        </w:rPr>
        <w:t>管道施工产污节点图见图</w:t>
      </w:r>
      <w:r>
        <w:rPr>
          <w:rFonts w:hint="eastAsia" w:ascii="Times New Roman" w:hAnsi="Times New Roman" w:cs="Times New Roman"/>
          <w:color w:val="auto"/>
          <w:w w:val="99"/>
          <w:kern w:val="2"/>
          <w:szCs w:val="20"/>
          <w:highlight w:val="none"/>
          <w:lang w:val="en-US" w:eastAsia="zh-CN"/>
        </w:rPr>
        <w:t>3.10</w:t>
      </w:r>
      <w:r>
        <w:rPr>
          <w:rFonts w:hint="default" w:ascii="Times New Roman" w:hAnsi="Times New Roman" w:cs="Times New Roman"/>
          <w:color w:val="auto"/>
          <w:w w:val="99"/>
          <w:kern w:val="2"/>
          <w:szCs w:val="20"/>
          <w:highlight w:val="none"/>
          <w:lang w:val="en-US" w:eastAsia="zh-CN"/>
        </w:rPr>
        <w:t>-</w:t>
      </w:r>
      <w:r>
        <w:rPr>
          <w:rFonts w:hint="eastAsia" w:ascii="Times New Roman" w:hAnsi="Times New Roman" w:cs="Times New Roman"/>
          <w:color w:val="auto"/>
          <w:w w:val="99"/>
          <w:kern w:val="2"/>
          <w:szCs w:val="20"/>
          <w:highlight w:val="none"/>
          <w:lang w:val="en-US" w:eastAsia="zh-CN"/>
        </w:rPr>
        <w:t>1</w:t>
      </w:r>
      <w:r>
        <w:rPr>
          <w:rFonts w:hint="default" w:ascii="Times New Roman" w:hAnsi="Times New Roman" w:cs="Times New Roman"/>
          <w:color w:val="auto"/>
          <w:w w:val="99"/>
          <w:kern w:val="2"/>
          <w:szCs w:val="20"/>
          <w:highlight w:val="none"/>
          <w:lang w:val="en-US" w:eastAsia="zh-CN"/>
        </w:rPr>
        <w:t>。</w:t>
      </w:r>
    </w:p>
    <w:p w14:paraId="247A44F5">
      <w:pPr>
        <w:widowControl w:val="0"/>
        <w:spacing w:line="240" w:lineRule="auto"/>
        <w:ind w:firstLine="480" w:firstLineChars="200"/>
        <w:jc w:val="center"/>
        <w:rPr>
          <w:rFonts w:hint="eastAsia"/>
          <w:color w:val="auto"/>
          <w:w w:val="99"/>
          <w:kern w:val="2"/>
          <w:szCs w:val="20"/>
          <w:highlight w:val="none"/>
          <w:lang w:eastAsia="zh-CN"/>
        </w:rPr>
      </w:pPr>
      <w:r>
        <w:rPr>
          <w:color w:val="auto"/>
          <w:highlight w:val="none"/>
        </w:rPr>
        <w:drawing>
          <wp:inline distT="0" distB="0" distL="114300" distR="114300">
            <wp:extent cx="2876550" cy="3571875"/>
            <wp:effectExtent l="0" t="0" r="0" b="952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43"/>
                    <a:stretch>
                      <a:fillRect/>
                    </a:stretch>
                  </pic:blipFill>
                  <pic:spPr>
                    <a:xfrm>
                      <a:off x="0" y="0"/>
                      <a:ext cx="2876550" cy="3571875"/>
                    </a:xfrm>
                    <a:prstGeom prst="rect">
                      <a:avLst/>
                    </a:prstGeom>
                    <a:noFill/>
                    <a:ln>
                      <a:noFill/>
                    </a:ln>
                  </pic:spPr>
                </pic:pic>
              </a:graphicData>
            </a:graphic>
          </wp:inline>
        </w:drawing>
      </w:r>
    </w:p>
    <w:p w14:paraId="3084CF29">
      <w:pPr>
        <w:widowControl w:val="0"/>
        <w:spacing w:line="440" w:lineRule="exact"/>
        <w:ind w:firstLine="476" w:firstLineChars="200"/>
        <w:jc w:val="center"/>
        <w:rPr>
          <w:rFonts w:hint="default" w:ascii="Times New Roman" w:hAnsi="Times New Roman" w:cs="Times New Roman"/>
          <w:b/>
          <w:bCs/>
          <w:color w:val="auto"/>
          <w:w w:val="99"/>
          <w:kern w:val="2"/>
          <w:szCs w:val="20"/>
          <w:highlight w:val="none"/>
          <w:lang w:val="en-US"/>
        </w:rPr>
      </w:pPr>
      <w:r>
        <w:rPr>
          <w:rFonts w:hint="default" w:ascii="Times New Roman" w:hAnsi="Times New Roman" w:cs="Times New Roman"/>
          <w:b/>
          <w:bCs/>
          <w:color w:val="auto"/>
          <w:w w:val="99"/>
          <w:kern w:val="2"/>
          <w:szCs w:val="20"/>
          <w:highlight w:val="none"/>
          <w:lang w:val="en-US" w:eastAsia="zh-CN"/>
        </w:rPr>
        <w:t>图</w:t>
      </w:r>
      <w:r>
        <w:rPr>
          <w:rFonts w:hint="eastAsia" w:ascii="Times New Roman" w:hAnsi="Times New Roman" w:cs="Times New Roman"/>
          <w:b/>
          <w:bCs/>
          <w:color w:val="auto"/>
          <w:w w:val="99"/>
          <w:kern w:val="2"/>
          <w:szCs w:val="20"/>
          <w:highlight w:val="none"/>
          <w:lang w:val="en-US" w:eastAsia="zh-CN"/>
        </w:rPr>
        <w:t>3.10</w:t>
      </w:r>
      <w:r>
        <w:rPr>
          <w:rFonts w:hint="default" w:ascii="Times New Roman" w:hAnsi="Times New Roman" w:cs="Times New Roman"/>
          <w:b/>
          <w:bCs/>
          <w:color w:val="auto"/>
          <w:w w:val="99"/>
          <w:kern w:val="2"/>
          <w:szCs w:val="20"/>
          <w:highlight w:val="none"/>
          <w:lang w:val="en-US" w:eastAsia="zh-CN"/>
        </w:rPr>
        <w:t>-</w:t>
      </w:r>
      <w:r>
        <w:rPr>
          <w:rFonts w:hint="eastAsia" w:ascii="Times New Roman" w:hAnsi="Times New Roman" w:cs="Times New Roman"/>
          <w:b/>
          <w:bCs/>
          <w:color w:val="auto"/>
          <w:w w:val="99"/>
          <w:kern w:val="2"/>
          <w:szCs w:val="20"/>
          <w:highlight w:val="none"/>
          <w:lang w:val="en-US" w:eastAsia="zh-CN"/>
        </w:rPr>
        <w:t>1</w:t>
      </w:r>
      <w:r>
        <w:rPr>
          <w:rFonts w:hint="default" w:ascii="Times New Roman" w:hAnsi="Times New Roman" w:cs="Times New Roman"/>
          <w:b/>
          <w:bCs/>
          <w:color w:val="auto"/>
          <w:w w:val="99"/>
          <w:kern w:val="2"/>
          <w:szCs w:val="20"/>
          <w:highlight w:val="none"/>
          <w:lang w:val="en-US" w:eastAsia="zh-CN"/>
        </w:rPr>
        <w:t xml:space="preserve">  管道施工产污节点图</w:t>
      </w:r>
    </w:p>
    <w:p w14:paraId="7B23F01B">
      <w:pPr>
        <w:widowControl w:val="0"/>
        <w:spacing w:line="440" w:lineRule="exact"/>
        <w:ind w:firstLine="474" w:firstLineChars="200"/>
        <w:jc w:val="both"/>
        <w:rPr>
          <w:rFonts w:hint="eastAsia"/>
          <w:color w:val="auto"/>
          <w:w w:val="99"/>
          <w:kern w:val="2"/>
          <w:szCs w:val="20"/>
          <w:highlight w:val="none"/>
          <w:lang w:val="en-US" w:eastAsia="zh-CN"/>
        </w:rPr>
      </w:pPr>
      <w:r>
        <w:rPr>
          <w:rFonts w:hint="eastAsia"/>
          <w:color w:val="auto"/>
          <w:w w:val="99"/>
          <w:kern w:val="2"/>
          <w:szCs w:val="20"/>
          <w:highlight w:val="none"/>
          <w:lang w:val="en-US" w:eastAsia="zh-CN"/>
        </w:rPr>
        <w:t>①施工作业带清理</w:t>
      </w:r>
    </w:p>
    <w:p w14:paraId="346964F6">
      <w:pPr>
        <w:widowControl w:val="0"/>
        <w:spacing w:line="440" w:lineRule="exact"/>
        <w:ind w:firstLine="474" w:firstLineChars="200"/>
        <w:jc w:val="both"/>
        <w:rPr>
          <w:rFonts w:hint="default" w:ascii="Times New Roman" w:hAnsi="Times New Roman" w:cs="Times New Roman"/>
          <w:color w:val="auto"/>
          <w:w w:val="99"/>
          <w:kern w:val="2"/>
          <w:szCs w:val="20"/>
          <w:highlight w:val="none"/>
          <w:lang w:val="en-US" w:eastAsia="zh-CN"/>
        </w:rPr>
      </w:pPr>
      <w:r>
        <w:rPr>
          <w:rFonts w:hint="default" w:ascii="Times New Roman" w:hAnsi="Times New Roman" w:cs="Times New Roman"/>
          <w:color w:val="auto"/>
          <w:w w:val="99"/>
          <w:kern w:val="2"/>
          <w:szCs w:val="20"/>
          <w:highlight w:val="none"/>
          <w:lang w:val="en-US" w:eastAsia="zh-CN"/>
        </w:rPr>
        <w:t>管沟开挖以机械开挖为主，施工初期，首先要对施工作业带进行清理和平整，进行布管、开挖管沟及焊接等施工作业。在场地清理过程中，施工带范围内的土壤、植被和农作物都将受到扰动和破坏，不过其造成的影响仅局限在施工带宽度的范围内，管道施工平面布置图见图</w:t>
      </w:r>
      <w:r>
        <w:rPr>
          <w:rFonts w:hint="eastAsia" w:ascii="Times New Roman" w:hAnsi="Times New Roman" w:cs="Times New Roman"/>
          <w:color w:val="auto"/>
          <w:w w:val="99"/>
          <w:kern w:val="2"/>
          <w:szCs w:val="20"/>
          <w:highlight w:val="none"/>
          <w:lang w:val="en-US" w:eastAsia="zh-CN"/>
        </w:rPr>
        <w:t>3.11</w:t>
      </w:r>
      <w:r>
        <w:rPr>
          <w:rFonts w:hint="default" w:ascii="Times New Roman" w:hAnsi="Times New Roman" w:cs="Times New Roman"/>
          <w:color w:val="auto"/>
          <w:w w:val="99"/>
          <w:kern w:val="2"/>
          <w:szCs w:val="20"/>
          <w:highlight w:val="none"/>
          <w:lang w:val="en-US" w:eastAsia="zh-CN"/>
        </w:rPr>
        <w:t>-</w:t>
      </w:r>
      <w:r>
        <w:rPr>
          <w:rFonts w:hint="eastAsia" w:ascii="Times New Roman" w:hAnsi="Times New Roman" w:cs="Times New Roman"/>
          <w:color w:val="auto"/>
          <w:w w:val="99"/>
          <w:kern w:val="2"/>
          <w:szCs w:val="20"/>
          <w:highlight w:val="none"/>
          <w:lang w:val="en-US" w:eastAsia="zh-CN"/>
        </w:rPr>
        <w:t>2</w:t>
      </w:r>
      <w:r>
        <w:rPr>
          <w:rFonts w:hint="default" w:ascii="Times New Roman" w:hAnsi="Times New Roman" w:cs="Times New Roman"/>
          <w:color w:val="auto"/>
          <w:w w:val="99"/>
          <w:kern w:val="2"/>
          <w:szCs w:val="20"/>
          <w:highlight w:val="none"/>
          <w:lang w:val="en-US" w:eastAsia="zh-CN"/>
        </w:rPr>
        <w:t>。施工作业面宽10m，其中施工便道宽4m，管沟带宽2m，置土带4m。</w:t>
      </w:r>
    </w:p>
    <w:p w14:paraId="6169A6F8">
      <w:pPr>
        <w:widowControl w:val="0"/>
        <w:spacing w:line="240" w:lineRule="auto"/>
        <w:ind w:firstLine="474" w:firstLineChars="200"/>
        <w:jc w:val="center"/>
        <w:rPr>
          <w:rFonts w:hint="eastAsia"/>
          <w:color w:val="auto"/>
          <w:w w:val="99"/>
          <w:kern w:val="2"/>
          <w:szCs w:val="20"/>
          <w:highlight w:val="none"/>
          <w:lang w:val="en-US" w:eastAsia="zh-CN"/>
        </w:rPr>
      </w:pPr>
      <w:r>
        <w:rPr>
          <w:rFonts w:hint="eastAsia"/>
          <w:color w:val="auto"/>
          <w:w w:val="99"/>
          <w:kern w:val="2"/>
          <w:szCs w:val="20"/>
          <w:highlight w:val="none"/>
          <w:lang w:val="en-US" w:eastAsia="zh-CN"/>
        </w:rPr>
        <w:drawing>
          <wp:inline distT="0" distB="0" distL="114300" distR="114300">
            <wp:extent cx="4261485" cy="1266190"/>
            <wp:effectExtent l="0" t="0" r="5715" b="10160"/>
            <wp:docPr id="1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8"/>
                    <pic:cNvPicPr>
                      <a:picLocks noChangeAspect="1"/>
                    </pic:cNvPicPr>
                  </pic:nvPicPr>
                  <pic:blipFill>
                    <a:blip r:embed="rId44"/>
                    <a:stretch>
                      <a:fillRect/>
                    </a:stretch>
                  </pic:blipFill>
                  <pic:spPr>
                    <a:xfrm>
                      <a:off x="0" y="0"/>
                      <a:ext cx="4261485" cy="1266190"/>
                    </a:xfrm>
                    <a:prstGeom prst="rect">
                      <a:avLst/>
                    </a:prstGeom>
                    <a:noFill/>
                    <a:ln>
                      <a:noFill/>
                    </a:ln>
                  </pic:spPr>
                </pic:pic>
              </a:graphicData>
            </a:graphic>
          </wp:inline>
        </w:drawing>
      </w:r>
    </w:p>
    <w:p w14:paraId="498EEEF5">
      <w:pPr>
        <w:widowControl w:val="0"/>
        <w:spacing w:line="440" w:lineRule="exact"/>
        <w:ind w:firstLine="476" w:firstLineChars="200"/>
        <w:jc w:val="center"/>
        <w:rPr>
          <w:rFonts w:hint="default" w:ascii="Times New Roman" w:hAnsi="Times New Roman" w:eastAsia="宋体" w:cs="Times New Roman"/>
          <w:b/>
          <w:bCs/>
          <w:color w:val="auto"/>
          <w:w w:val="99"/>
          <w:kern w:val="2"/>
          <w:szCs w:val="20"/>
          <w:highlight w:val="none"/>
          <w:lang w:val="en-US" w:eastAsia="zh-CN"/>
        </w:rPr>
      </w:pPr>
      <w:r>
        <w:rPr>
          <w:rFonts w:hint="default" w:ascii="Times New Roman" w:hAnsi="Times New Roman" w:eastAsia="宋体" w:cs="Times New Roman"/>
          <w:b/>
          <w:bCs/>
          <w:color w:val="auto"/>
          <w:w w:val="99"/>
          <w:kern w:val="2"/>
          <w:szCs w:val="20"/>
          <w:highlight w:val="none"/>
          <w:lang w:val="en-US" w:eastAsia="zh-CN"/>
        </w:rPr>
        <w:t>图</w:t>
      </w:r>
      <w:r>
        <w:rPr>
          <w:rFonts w:hint="eastAsia" w:ascii="Times New Roman" w:hAnsi="Times New Roman" w:cs="Times New Roman"/>
          <w:b/>
          <w:bCs/>
          <w:color w:val="auto"/>
          <w:w w:val="99"/>
          <w:kern w:val="2"/>
          <w:szCs w:val="20"/>
          <w:highlight w:val="none"/>
          <w:lang w:val="en-US" w:eastAsia="zh-CN"/>
        </w:rPr>
        <w:t>3.10</w:t>
      </w:r>
      <w:r>
        <w:rPr>
          <w:rFonts w:hint="default" w:ascii="Times New Roman" w:hAnsi="Times New Roman" w:eastAsia="宋体" w:cs="Times New Roman"/>
          <w:b/>
          <w:bCs/>
          <w:color w:val="auto"/>
          <w:w w:val="99"/>
          <w:kern w:val="2"/>
          <w:szCs w:val="20"/>
          <w:highlight w:val="none"/>
          <w:lang w:val="en-US" w:eastAsia="zh-CN"/>
        </w:rPr>
        <w:t>-</w:t>
      </w:r>
      <w:r>
        <w:rPr>
          <w:rFonts w:hint="eastAsia" w:ascii="Times New Roman" w:hAnsi="Times New Roman" w:cs="Times New Roman"/>
          <w:b/>
          <w:bCs/>
          <w:color w:val="auto"/>
          <w:w w:val="99"/>
          <w:kern w:val="2"/>
          <w:szCs w:val="20"/>
          <w:highlight w:val="none"/>
          <w:lang w:val="en-US" w:eastAsia="zh-CN"/>
        </w:rPr>
        <w:t>2</w:t>
      </w:r>
      <w:r>
        <w:rPr>
          <w:rFonts w:hint="default" w:ascii="Times New Roman" w:hAnsi="Times New Roman" w:eastAsia="宋体" w:cs="Times New Roman"/>
          <w:b/>
          <w:bCs/>
          <w:color w:val="auto"/>
          <w:w w:val="99"/>
          <w:kern w:val="2"/>
          <w:szCs w:val="20"/>
          <w:highlight w:val="none"/>
          <w:lang w:val="en-US" w:eastAsia="zh-CN"/>
        </w:rPr>
        <w:t xml:space="preserve">  管道施工平面布置图</w:t>
      </w:r>
    </w:p>
    <w:p w14:paraId="3A07946D">
      <w:pPr>
        <w:widowControl w:val="0"/>
        <w:spacing w:line="440" w:lineRule="exact"/>
        <w:ind w:firstLine="474" w:firstLineChars="200"/>
        <w:jc w:val="both"/>
        <w:rPr>
          <w:rFonts w:hint="default" w:ascii="Times New Roman" w:hAnsi="Times New Roman" w:cs="Times New Roman"/>
          <w:color w:val="auto"/>
          <w:w w:val="99"/>
          <w:kern w:val="2"/>
          <w:szCs w:val="20"/>
          <w:highlight w:val="none"/>
        </w:rPr>
      </w:pPr>
      <w:r>
        <w:rPr>
          <w:rFonts w:hint="default" w:ascii="Times New Roman" w:hAnsi="Times New Roman" w:cs="Times New Roman"/>
          <w:color w:val="auto"/>
          <w:w w:val="99"/>
          <w:kern w:val="2"/>
          <w:szCs w:val="20"/>
          <w:highlight w:val="none"/>
          <w:lang w:val="en-US" w:eastAsia="zh-CN"/>
        </w:rPr>
        <w:t>②</w:t>
      </w:r>
      <w:r>
        <w:rPr>
          <w:rFonts w:hint="default" w:ascii="Times New Roman" w:hAnsi="Times New Roman" w:cs="Times New Roman"/>
          <w:color w:val="auto"/>
          <w:w w:val="99"/>
          <w:kern w:val="2"/>
          <w:szCs w:val="20"/>
          <w:highlight w:val="none"/>
        </w:rPr>
        <w:t>管沟开挖、穿越工程</w:t>
      </w:r>
    </w:p>
    <w:p w14:paraId="132C6B7F">
      <w:pPr>
        <w:widowControl w:val="0"/>
        <w:spacing w:line="440" w:lineRule="exact"/>
        <w:ind w:firstLine="474" w:firstLineChars="200"/>
        <w:jc w:val="both"/>
        <w:rPr>
          <w:rFonts w:hint="eastAsia"/>
          <w:color w:val="auto"/>
          <w:w w:val="99"/>
          <w:kern w:val="2"/>
          <w:szCs w:val="20"/>
          <w:highlight w:val="none"/>
          <w:lang w:val="en-US" w:eastAsia="zh-CN"/>
        </w:rPr>
      </w:pPr>
      <w:r>
        <w:rPr>
          <w:rFonts w:hint="default" w:ascii="Times New Roman" w:hAnsi="Times New Roman" w:cs="Times New Roman"/>
          <w:color w:val="auto"/>
          <w:w w:val="99"/>
          <w:kern w:val="2"/>
          <w:szCs w:val="20"/>
          <w:highlight w:val="none"/>
        </w:rPr>
        <w:t>管道采用沟埋方式敷设，一般</w:t>
      </w:r>
      <w:r>
        <w:rPr>
          <w:rFonts w:hint="eastAsia"/>
          <w:color w:val="auto"/>
          <w:w w:val="99"/>
          <w:kern w:val="2"/>
          <w:szCs w:val="20"/>
          <w:highlight w:val="none"/>
        </w:rPr>
        <w:t>路段施工采用开挖方式施工，特殊地段根据实际情况，施工采用钢顶</w:t>
      </w:r>
      <w:r>
        <w:rPr>
          <w:rFonts w:hint="eastAsia"/>
          <w:color w:val="auto"/>
          <w:w w:val="99"/>
          <w:kern w:val="2"/>
          <w:szCs w:val="20"/>
          <w:highlight w:val="none"/>
          <w:lang w:val="en-US" w:eastAsia="zh-CN"/>
        </w:rPr>
        <w:t>的</w:t>
      </w:r>
      <w:r>
        <w:rPr>
          <w:rFonts w:hint="eastAsia"/>
          <w:color w:val="auto"/>
          <w:w w:val="99"/>
          <w:kern w:val="2"/>
          <w:szCs w:val="20"/>
          <w:highlight w:val="none"/>
        </w:rPr>
        <w:t>施工方式</w:t>
      </w:r>
      <w:r>
        <w:rPr>
          <w:rFonts w:hint="eastAsia"/>
          <w:color w:val="auto"/>
          <w:w w:val="99"/>
          <w:kern w:val="2"/>
          <w:szCs w:val="20"/>
          <w:highlight w:val="none"/>
          <w:lang w:val="en-US" w:eastAsia="zh-CN"/>
        </w:rPr>
        <w:t>。</w:t>
      </w:r>
    </w:p>
    <w:p w14:paraId="3B3DA5A0">
      <w:pPr>
        <w:widowControl w:val="0"/>
        <w:spacing w:line="440" w:lineRule="exact"/>
        <w:ind w:firstLine="474" w:firstLineChars="200"/>
        <w:jc w:val="both"/>
        <w:rPr>
          <w:rFonts w:hint="eastAsia"/>
          <w:color w:val="auto"/>
          <w:w w:val="99"/>
          <w:kern w:val="2"/>
          <w:szCs w:val="20"/>
          <w:highlight w:val="none"/>
          <w:lang w:val="en-US" w:eastAsia="zh-CN"/>
        </w:rPr>
      </w:pPr>
      <w:r>
        <w:rPr>
          <w:rFonts w:hint="eastAsia"/>
          <w:color w:val="auto"/>
          <w:w w:val="99"/>
          <w:kern w:val="2"/>
          <w:szCs w:val="20"/>
          <w:highlight w:val="none"/>
          <w:lang w:val="en-US" w:eastAsia="zh-CN"/>
        </w:rPr>
        <w:t>③</w:t>
      </w:r>
      <w:r>
        <w:rPr>
          <w:rFonts w:hint="eastAsia"/>
          <w:color w:val="auto"/>
          <w:w w:val="99"/>
          <w:kern w:val="2"/>
          <w:szCs w:val="20"/>
          <w:highlight w:val="none"/>
        </w:rPr>
        <w:t>焊接、防腐及阴极保护</w:t>
      </w:r>
    </w:p>
    <w:p w14:paraId="0DE80983">
      <w:pPr>
        <w:widowControl w:val="0"/>
        <w:spacing w:line="440" w:lineRule="exact"/>
        <w:ind w:firstLine="474" w:firstLineChars="200"/>
        <w:jc w:val="both"/>
        <w:rPr>
          <w:rFonts w:hint="eastAsia"/>
          <w:color w:val="auto"/>
          <w:w w:val="99"/>
          <w:kern w:val="2"/>
          <w:szCs w:val="20"/>
          <w:highlight w:val="none"/>
          <w:lang w:val="en-US" w:eastAsia="zh-CN"/>
        </w:rPr>
      </w:pPr>
      <w:r>
        <w:rPr>
          <w:rFonts w:hint="eastAsia"/>
          <w:color w:val="auto"/>
          <w:w w:val="99"/>
          <w:kern w:val="2"/>
          <w:szCs w:val="20"/>
          <w:highlight w:val="none"/>
        </w:rPr>
        <w:t>将运到现场的管道进行焊接、补口、补伤、防腐检漏，然后下到管沟内。 提高管道的防腐等级，采用熔结环氧粉末内防腐钢管；管道接头采用一次成型涂料新技术，使用寿命可</w:t>
      </w:r>
      <w:r>
        <w:rPr>
          <w:rFonts w:hint="eastAsia" w:ascii="Times New Roman" w:hAnsi="Times New Roman" w:cs="Times New Roman"/>
          <w:color w:val="auto"/>
          <w:w w:val="99"/>
          <w:kern w:val="2"/>
          <w:szCs w:val="20"/>
          <w:highlight w:val="none"/>
          <w:lang w:val="en-US" w:eastAsia="zh-CN"/>
        </w:rPr>
        <w:t>达30</w:t>
      </w:r>
      <w:r>
        <w:rPr>
          <w:rFonts w:hint="eastAsia"/>
          <w:color w:val="auto"/>
          <w:w w:val="99"/>
          <w:kern w:val="2"/>
          <w:szCs w:val="20"/>
          <w:highlight w:val="none"/>
        </w:rPr>
        <w:t>年以上，并采用强制电流阴极保护法</w:t>
      </w:r>
      <w:r>
        <w:rPr>
          <w:rFonts w:hint="eastAsia"/>
          <w:color w:val="auto"/>
          <w:w w:val="99"/>
          <w:kern w:val="2"/>
          <w:szCs w:val="20"/>
          <w:highlight w:val="none"/>
          <w:lang w:val="en-US" w:eastAsia="zh-CN"/>
        </w:rPr>
        <w:t>。</w:t>
      </w:r>
    </w:p>
    <w:p w14:paraId="7A64E492">
      <w:pPr>
        <w:widowControl w:val="0"/>
        <w:spacing w:line="440" w:lineRule="exact"/>
        <w:ind w:firstLine="474" w:firstLineChars="200"/>
        <w:jc w:val="both"/>
        <w:rPr>
          <w:rFonts w:hint="eastAsia"/>
          <w:color w:val="auto"/>
          <w:w w:val="99"/>
          <w:kern w:val="2"/>
          <w:szCs w:val="20"/>
          <w:highlight w:val="none"/>
          <w:lang w:val="en-US" w:eastAsia="zh-CN"/>
        </w:rPr>
      </w:pPr>
      <w:r>
        <w:rPr>
          <w:rFonts w:hint="eastAsia"/>
          <w:color w:val="auto"/>
          <w:w w:val="99"/>
          <w:kern w:val="2"/>
          <w:szCs w:val="20"/>
          <w:highlight w:val="none"/>
          <w:lang w:val="en-US" w:eastAsia="zh-CN"/>
        </w:rPr>
        <w:t>④清管试压、干燥</w:t>
      </w:r>
    </w:p>
    <w:p w14:paraId="136737C2">
      <w:pPr>
        <w:widowControl w:val="0"/>
        <w:spacing w:line="440" w:lineRule="exact"/>
        <w:ind w:firstLine="474" w:firstLineChars="200"/>
        <w:jc w:val="both"/>
        <w:rPr>
          <w:rFonts w:hint="eastAsia"/>
          <w:color w:val="auto"/>
          <w:w w:val="99"/>
          <w:kern w:val="2"/>
          <w:szCs w:val="20"/>
          <w:highlight w:val="none"/>
          <w:lang w:val="en-US" w:eastAsia="zh-CN"/>
        </w:rPr>
      </w:pPr>
      <w:r>
        <w:rPr>
          <w:rFonts w:hint="eastAsia"/>
          <w:color w:val="auto"/>
          <w:w w:val="99"/>
          <w:kern w:val="2"/>
          <w:szCs w:val="20"/>
          <w:highlight w:val="none"/>
          <w:lang w:val="en-US" w:eastAsia="zh-CN"/>
        </w:rPr>
        <w:t>管道在下沟回填后应试压。采用清水进行试压，管道试压时，由水罐车在管道一端注水，管道另一端接入另一台水罐车，同时管道与罐车接口处设有截断阀，注水时关闭截断阀，试压结束后，注水端水罐车停止注水，打开截断阀，起点处水罐车配套基本压力推送，将管道内残余水量推送至终点水罐车，并由罐车拉运至升一联气田预处理站处理。</w:t>
      </w:r>
    </w:p>
    <w:p w14:paraId="2392DD52">
      <w:pPr>
        <w:widowControl w:val="0"/>
        <w:spacing w:line="440" w:lineRule="exact"/>
        <w:ind w:firstLine="474" w:firstLineChars="200"/>
        <w:jc w:val="both"/>
        <w:rPr>
          <w:rFonts w:hint="eastAsia"/>
          <w:color w:val="auto"/>
          <w:w w:val="99"/>
          <w:kern w:val="2"/>
          <w:szCs w:val="20"/>
          <w:highlight w:val="none"/>
          <w:lang w:val="en-US" w:eastAsia="zh-CN"/>
        </w:rPr>
      </w:pPr>
      <w:r>
        <w:rPr>
          <w:rFonts w:hint="eastAsia"/>
          <w:color w:val="auto"/>
          <w:w w:val="99"/>
          <w:kern w:val="2"/>
          <w:szCs w:val="20"/>
          <w:highlight w:val="none"/>
          <w:lang w:val="en-US" w:eastAsia="zh-CN"/>
        </w:rPr>
        <w:t>⑤管沟回填</w:t>
      </w:r>
    </w:p>
    <w:p w14:paraId="6E503CE9">
      <w:pPr>
        <w:widowControl w:val="0"/>
        <w:spacing w:line="440" w:lineRule="exact"/>
        <w:ind w:firstLine="474" w:firstLineChars="200"/>
        <w:jc w:val="both"/>
        <w:rPr>
          <w:rFonts w:hint="eastAsia"/>
          <w:color w:val="auto"/>
          <w:w w:val="99"/>
          <w:kern w:val="2"/>
          <w:szCs w:val="20"/>
          <w:highlight w:val="none"/>
          <w:lang w:val="en-US" w:eastAsia="zh-CN"/>
        </w:rPr>
      </w:pPr>
      <w:r>
        <w:rPr>
          <w:rFonts w:hint="eastAsia"/>
          <w:color w:val="auto"/>
          <w:w w:val="99"/>
          <w:kern w:val="2"/>
          <w:szCs w:val="20"/>
          <w:highlight w:val="none"/>
          <w:lang w:val="en-US" w:eastAsia="zh-CN"/>
        </w:rPr>
        <w:t>开挖管沟时在耕植地开挖，将表层耕植土和下层土分别堆放。在可耕植地回填时，需先回填下层土，后回填表层耕植土。管道出土端及弯头两侧分层回填夯实；管沟回填后立即恢复地貌。</w:t>
      </w:r>
    </w:p>
    <w:p w14:paraId="62E11AF8">
      <w:pPr>
        <w:widowControl w:val="0"/>
        <w:spacing w:line="440" w:lineRule="exact"/>
        <w:ind w:firstLine="474" w:firstLineChars="200"/>
        <w:jc w:val="both"/>
        <w:rPr>
          <w:rFonts w:hint="default" w:ascii="Times New Roman" w:hAnsi="Times New Roman" w:cs="Times New Roman"/>
          <w:color w:val="auto"/>
          <w:w w:val="99"/>
          <w:kern w:val="2"/>
          <w:szCs w:val="20"/>
          <w:highlight w:val="none"/>
        </w:rPr>
      </w:pPr>
      <w:r>
        <w:rPr>
          <w:rFonts w:hint="default" w:ascii="Times New Roman" w:hAnsi="Times New Roman" w:cs="Times New Roman"/>
          <w:color w:val="auto"/>
          <w:w w:val="99"/>
          <w:kern w:val="2"/>
          <w:szCs w:val="20"/>
          <w:highlight w:val="none"/>
        </w:rPr>
        <w:t>本项目管线施工过程主要污染源为施工时管沟开挖、土方堆填、车辆运输、恢复原有地貌等过程中产生的施工扬尘，管道焊接过程产生的焊接烟尘、管道防腐废气，以及施工机械设备和运输车辆尾气；管线试压废水以及施工人员生活污水；施工机械设备和运输车辆运行产生的噪声；管线施工废料（废焊渣、废防腐材料等）、定向钻废弃泥浆和生活垃圾等。</w:t>
      </w:r>
    </w:p>
    <w:p w14:paraId="07DC8FA1">
      <w:pPr>
        <w:widowControl w:val="0"/>
        <w:spacing w:line="440" w:lineRule="exact"/>
        <w:ind w:firstLine="474" w:firstLineChars="200"/>
        <w:jc w:val="both"/>
        <w:rPr>
          <w:rFonts w:hint="default" w:ascii="Times New Roman" w:hAnsi="Times New Roman" w:cs="Times New Roman"/>
          <w:color w:val="auto"/>
          <w:w w:val="99"/>
          <w:kern w:val="2"/>
          <w:szCs w:val="20"/>
          <w:highlight w:val="none"/>
          <w:lang w:val="zh-CN" w:eastAsia="zh-CN"/>
        </w:rPr>
      </w:pPr>
      <w:r>
        <w:rPr>
          <w:rFonts w:hint="default" w:ascii="Times New Roman" w:hAnsi="Times New Roman" w:cs="Times New Roman"/>
          <w:color w:val="auto"/>
          <w:w w:val="99"/>
          <w:kern w:val="2"/>
          <w:szCs w:val="20"/>
          <w:highlight w:val="none"/>
          <w:lang w:val="zh-CN" w:eastAsia="zh-CN"/>
        </w:rPr>
        <w:t>工艺管线施工技术要求及验收均按国家标准《工业金属管道工程施工及验收标准》(GB50235-2010)、《现场设备、工业管道焊接工程施工及验收规范》 (GB50236-9</w:t>
      </w:r>
      <w:r>
        <w:rPr>
          <w:rFonts w:hint="eastAsia" w:ascii="Times New Roman" w:hAnsi="Times New Roman" w:cs="Times New Roman"/>
          <w:color w:val="auto"/>
          <w:w w:val="99"/>
          <w:kern w:val="2"/>
          <w:szCs w:val="20"/>
          <w:highlight w:val="none"/>
          <w:lang w:val="en-US" w:eastAsia="zh-CN"/>
        </w:rPr>
        <w:t>2011</w:t>
      </w:r>
      <w:r>
        <w:rPr>
          <w:rFonts w:hint="default" w:ascii="Times New Roman" w:hAnsi="Times New Roman" w:cs="Times New Roman"/>
          <w:color w:val="auto"/>
          <w:w w:val="99"/>
          <w:kern w:val="2"/>
          <w:szCs w:val="20"/>
          <w:highlight w:val="none"/>
          <w:lang w:val="zh-CN" w:eastAsia="zh-CN"/>
        </w:rPr>
        <w:t>)、《油田集输管道施工及验收规范》 (SY/T0422-2010)以及有关国家及行业标准执行。</w:t>
      </w:r>
    </w:p>
    <w:p w14:paraId="22FB843E">
      <w:pPr>
        <w:widowControl w:val="0"/>
        <w:spacing w:line="440" w:lineRule="exact"/>
        <w:ind w:firstLine="474" w:firstLineChars="200"/>
        <w:jc w:val="both"/>
        <w:rPr>
          <w:rFonts w:hint="default" w:ascii="Times New Roman" w:hAnsi="Times New Roman" w:cs="Times New Roman"/>
          <w:color w:val="auto"/>
          <w:w w:val="99"/>
          <w:kern w:val="2"/>
          <w:szCs w:val="20"/>
          <w:highlight w:val="none"/>
          <w:lang w:eastAsia="zh-CN"/>
        </w:rPr>
      </w:pPr>
      <w:r>
        <w:rPr>
          <w:rFonts w:hint="default" w:ascii="Times New Roman" w:hAnsi="Times New Roman" w:cs="Times New Roman"/>
          <w:color w:val="auto"/>
          <w:w w:val="99"/>
          <w:kern w:val="2"/>
          <w:szCs w:val="20"/>
          <w:highlight w:val="none"/>
          <w:lang w:eastAsia="zh-CN"/>
        </w:rPr>
        <w:t>（</w:t>
      </w:r>
      <w:r>
        <w:rPr>
          <w:rFonts w:hint="default" w:ascii="Times New Roman" w:hAnsi="Times New Roman" w:cs="Times New Roman"/>
          <w:color w:val="auto"/>
          <w:w w:val="99"/>
          <w:kern w:val="2"/>
          <w:szCs w:val="20"/>
          <w:highlight w:val="none"/>
          <w:lang w:val="en-US" w:eastAsia="zh-CN"/>
        </w:rPr>
        <w:t>3</w:t>
      </w:r>
      <w:r>
        <w:rPr>
          <w:rFonts w:hint="default" w:ascii="Times New Roman" w:hAnsi="Times New Roman" w:cs="Times New Roman"/>
          <w:color w:val="auto"/>
          <w:w w:val="99"/>
          <w:kern w:val="2"/>
          <w:szCs w:val="20"/>
          <w:highlight w:val="none"/>
          <w:lang w:eastAsia="zh-CN"/>
        </w:rPr>
        <w:t>）道路施工</w:t>
      </w:r>
    </w:p>
    <w:p w14:paraId="05695FA8">
      <w:pPr>
        <w:widowControl w:val="0"/>
        <w:spacing w:line="440" w:lineRule="exact"/>
        <w:ind w:firstLine="474" w:firstLineChars="200"/>
        <w:jc w:val="both"/>
        <w:rPr>
          <w:rFonts w:hint="default" w:ascii="Times New Roman" w:hAnsi="Times New Roman" w:cs="Times New Roman"/>
          <w:color w:val="auto"/>
          <w:w w:val="99"/>
          <w:kern w:val="2"/>
          <w:szCs w:val="20"/>
          <w:highlight w:val="none"/>
          <w:lang w:val="en-US" w:eastAsia="zh-CN"/>
        </w:rPr>
      </w:pPr>
      <w:r>
        <w:rPr>
          <w:rFonts w:hint="default" w:ascii="Times New Roman" w:hAnsi="Times New Roman" w:cs="Times New Roman"/>
          <w:color w:val="auto"/>
          <w:w w:val="99"/>
          <w:kern w:val="2"/>
          <w:szCs w:val="20"/>
          <w:highlight w:val="none"/>
          <w:lang w:val="en-US" w:eastAsia="zh-CN"/>
        </w:rPr>
        <w:t>施工范围内的表层土、杂草、树根等用人工或推土机予以清除并且将道路进行平整，敷设外购垫土或砂石并压实，敷设沥青碎石，摊铺碾压成型。</w:t>
      </w:r>
    </w:p>
    <w:p w14:paraId="33A35D74">
      <w:pPr>
        <w:widowControl w:val="0"/>
        <w:spacing w:line="440" w:lineRule="exact"/>
        <w:ind w:firstLine="474" w:firstLineChars="200"/>
        <w:jc w:val="both"/>
        <w:rPr>
          <w:rFonts w:hint="default" w:ascii="Times New Roman" w:hAnsi="Times New Roman" w:cs="Times New Roman"/>
          <w:color w:val="auto"/>
          <w:w w:val="99"/>
          <w:kern w:val="2"/>
          <w:szCs w:val="20"/>
          <w:highlight w:val="none"/>
          <w:lang w:val="en-US" w:eastAsia="zh-CN"/>
        </w:rPr>
      </w:pPr>
      <w:r>
        <w:rPr>
          <w:rFonts w:hint="default" w:ascii="Times New Roman" w:hAnsi="Times New Roman" w:cs="Times New Roman"/>
          <w:color w:val="auto"/>
          <w:w w:val="99"/>
          <w:kern w:val="2"/>
          <w:szCs w:val="20"/>
          <w:highlight w:val="none"/>
          <w:lang w:val="en-US" w:eastAsia="zh-CN"/>
        </w:rPr>
        <w:t>（4）站场施工</w:t>
      </w:r>
    </w:p>
    <w:p w14:paraId="679E27C0">
      <w:pPr>
        <w:widowControl w:val="0"/>
        <w:spacing w:line="440" w:lineRule="exact"/>
        <w:ind w:firstLine="474" w:firstLineChars="200"/>
        <w:jc w:val="both"/>
        <w:rPr>
          <w:rFonts w:hint="default" w:ascii="Times New Roman" w:hAnsi="Times New Roman" w:cs="Times New Roman"/>
          <w:color w:val="auto"/>
          <w:w w:val="99"/>
          <w:kern w:val="2"/>
          <w:szCs w:val="20"/>
          <w:highlight w:val="none"/>
          <w:lang w:val="en-US" w:eastAsia="zh-CN"/>
        </w:rPr>
      </w:pPr>
      <w:r>
        <w:rPr>
          <w:rFonts w:hint="default" w:ascii="Times New Roman" w:hAnsi="Times New Roman" w:cs="Times New Roman"/>
          <w:color w:val="auto"/>
          <w:w w:val="99"/>
          <w:kern w:val="2"/>
          <w:szCs w:val="20"/>
          <w:highlight w:val="none"/>
          <w:lang w:val="en-US" w:eastAsia="zh-CN"/>
        </w:rPr>
        <w:t>本项目场站改造主要为设备安装。</w:t>
      </w:r>
    </w:p>
    <w:p w14:paraId="3C23ECE9">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default" w:ascii="Times New Roman" w:hAnsi="Times New Roman" w:eastAsia="宋体" w:cs="Times New Roman"/>
          <w:color w:val="auto"/>
          <w:w w:val="99"/>
          <w:kern w:val="2"/>
          <w:szCs w:val="20"/>
          <w:highlight w:val="none"/>
          <w:lang w:val="en-US" w:eastAsia="zh-CN"/>
        </w:rPr>
        <w:t>（5）表土剥离方案</w:t>
      </w:r>
    </w:p>
    <w:p w14:paraId="3FF903B2">
      <w:pPr>
        <w:widowControl w:val="0"/>
        <w:spacing w:line="440" w:lineRule="exact"/>
        <w:ind w:firstLine="474" w:firstLineChars="200"/>
        <w:jc w:val="both"/>
        <w:rPr>
          <w:rFonts w:hint="default" w:ascii="宋体" w:hAnsi="宋体" w:eastAsia="宋体" w:cs="宋体"/>
          <w:color w:val="auto"/>
          <w:w w:val="99"/>
          <w:kern w:val="2"/>
          <w:szCs w:val="20"/>
          <w:highlight w:val="none"/>
          <w:lang w:val="en-US" w:eastAsia="zh-CN"/>
        </w:rPr>
      </w:pPr>
      <w:r>
        <w:rPr>
          <w:rFonts w:hint="default" w:ascii="Times New Roman" w:hAnsi="Times New Roman" w:eastAsia="宋体" w:cs="Times New Roman"/>
          <w:color w:val="auto"/>
          <w:w w:val="99"/>
          <w:kern w:val="2"/>
          <w:szCs w:val="20"/>
          <w:highlight w:val="none"/>
          <w:lang w:val="en-US" w:eastAsia="zh-CN"/>
        </w:rPr>
        <w:t>施工前对施工扰动区进行表土（耕作层）剥离，剥离厚度0.3m，采用分层开挖，分层堆放，剥离的表土推放在井场占地范围内的存储区，堆土表面设纱网或草栅覆盖，防</w:t>
      </w:r>
      <w:r>
        <w:rPr>
          <w:rFonts w:hint="default" w:ascii="宋体" w:hAnsi="宋体" w:eastAsia="宋体" w:cs="宋体"/>
          <w:color w:val="auto"/>
          <w:w w:val="99"/>
          <w:kern w:val="2"/>
          <w:szCs w:val="20"/>
          <w:highlight w:val="none"/>
          <w:lang w:val="en-US" w:eastAsia="zh-CN"/>
        </w:rPr>
        <w:t>止出现水土流失，并定期采取洒水抑尘措施，待本工程施工结束后用于其它劣质地改良。管道施工前，对施工扰动区进行表土（耕作层）剥离，</w:t>
      </w:r>
      <w:r>
        <w:rPr>
          <w:rFonts w:hint="default" w:ascii="Times New Roman" w:hAnsi="Times New Roman" w:eastAsia="宋体" w:cs="Times New Roman"/>
          <w:color w:val="auto"/>
          <w:w w:val="99"/>
          <w:kern w:val="2"/>
          <w:szCs w:val="20"/>
          <w:highlight w:val="none"/>
          <w:lang w:val="en-US" w:eastAsia="zh-CN"/>
        </w:rPr>
        <w:t>剥离厚度0.3m，采用分层开挖，分层堆放，道路管线施工剥离的表土推放在管道、道路占地范围内的存储</w:t>
      </w:r>
      <w:r>
        <w:rPr>
          <w:rFonts w:hint="default" w:ascii="宋体" w:hAnsi="宋体" w:eastAsia="宋体" w:cs="宋体"/>
          <w:color w:val="auto"/>
          <w:w w:val="99"/>
          <w:kern w:val="2"/>
          <w:szCs w:val="20"/>
          <w:highlight w:val="none"/>
          <w:lang w:val="en-US" w:eastAsia="zh-CN"/>
        </w:rPr>
        <w:t>区，井场施工剥离的表土</w:t>
      </w:r>
      <w:r>
        <w:rPr>
          <w:rFonts w:hint="eastAsia" w:cs="宋体"/>
          <w:color w:val="auto"/>
          <w:w w:val="99"/>
          <w:kern w:val="2"/>
          <w:szCs w:val="20"/>
          <w:highlight w:val="none"/>
          <w:lang w:val="en-US" w:eastAsia="zh-CN"/>
        </w:rPr>
        <w:t>堆</w:t>
      </w:r>
      <w:r>
        <w:rPr>
          <w:rFonts w:hint="default" w:ascii="宋体" w:hAnsi="宋体" w:eastAsia="宋体" w:cs="宋体"/>
          <w:color w:val="auto"/>
          <w:w w:val="99"/>
          <w:kern w:val="2"/>
          <w:szCs w:val="20"/>
          <w:highlight w:val="none"/>
          <w:lang w:val="en-US" w:eastAsia="zh-CN"/>
        </w:rPr>
        <w:t>放在钻井井场占地范围内的表土堆场，存储区堆土表面设纱网或草栅覆盖，防止出现水土流失，并定期采取洒水抑尘措施，待本工程施工结束后运回原位分层回填，并及时恢复地表植被</w:t>
      </w:r>
      <w:r>
        <w:rPr>
          <w:rFonts w:hint="eastAsia" w:ascii="宋体" w:hAnsi="宋体" w:eastAsia="宋体" w:cs="宋体"/>
          <w:color w:val="auto"/>
          <w:w w:val="99"/>
          <w:kern w:val="2"/>
          <w:szCs w:val="20"/>
          <w:highlight w:val="none"/>
          <w:lang w:val="en-US" w:eastAsia="zh-CN"/>
        </w:rPr>
        <w:t>。</w:t>
      </w:r>
    </w:p>
    <w:p w14:paraId="0913519D">
      <w:pPr>
        <w:spacing w:line="440" w:lineRule="exact"/>
        <w:outlineLvl w:val="3"/>
        <w:rPr>
          <w:rFonts w:ascii="Times New Roman" w:hAnsi="Times New Roman" w:cs="Times New Roman"/>
          <w:b/>
          <w:color w:val="auto"/>
          <w:w w:val="99"/>
          <w:highlight w:val="none"/>
        </w:rPr>
      </w:pPr>
      <w:r>
        <w:rPr>
          <w:rFonts w:hint="eastAsia" w:ascii="Times New Roman" w:hAnsi="Times New Roman" w:cs="Times New Roman"/>
          <w:b/>
          <w:color w:val="auto"/>
          <w:w w:val="99"/>
          <w:highlight w:val="none"/>
          <w:lang w:eastAsia="zh-CN"/>
        </w:rPr>
        <w:t>3.11</w:t>
      </w:r>
      <w:r>
        <w:rPr>
          <w:rFonts w:ascii="Times New Roman" w:hAnsi="Times New Roman" w:cs="Times New Roman"/>
          <w:b/>
          <w:color w:val="auto"/>
          <w:w w:val="99"/>
          <w:highlight w:val="none"/>
        </w:rPr>
        <w:t>.1.2运营期</w:t>
      </w:r>
    </w:p>
    <w:p w14:paraId="7F895EF1">
      <w:pPr>
        <w:snapToGrid w:val="0"/>
        <w:spacing w:line="440" w:lineRule="exact"/>
        <w:ind w:firstLine="474" w:firstLineChars="200"/>
        <w:jc w:val="both"/>
        <w:rPr>
          <w:rFonts w:hint="default" w:ascii="Times New Roman" w:hAnsi="Times New Roman" w:eastAsia="宋体" w:cs="Times New Roman"/>
          <w:bCs/>
          <w:color w:val="auto"/>
          <w:w w:val="99"/>
          <w:kern w:val="2"/>
          <w:highlight w:val="none"/>
          <w:lang w:val="en-US" w:eastAsia="zh-CN"/>
        </w:rPr>
      </w:pPr>
      <w:r>
        <w:rPr>
          <w:rFonts w:hint="eastAsia" w:ascii="Times New Roman" w:hAnsi="Times New Roman" w:eastAsia="宋体" w:cs="Times New Roman"/>
          <w:bCs/>
          <w:color w:val="auto"/>
          <w:w w:val="99"/>
          <w:kern w:val="2"/>
          <w:highlight w:val="none"/>
          <w:lang w:val="en-US" w:eastAsia="zh-CN"/>
        </w:rPr>
        <w:t>（1）正常工况</w:t>
      </w:r>
    </w:p>
    <w:p w14:paraId="20F84AAF">
      <w:pPr>
        <w:snapToGrid w:val="0"/>
        <w:spacing w:line="440" w:lineRule="exact"/>
        <w:ind w:firstLine="474" w:firstLineChars="200"/>
        <w:jc w:val="both"/>
        <w:rPr>
          <w:rFonts w:hint="default" w:ascii="Times New Roman" w:hAnsi="Times New Roman" w:eastAsia="宋体" w:cs="Times New Roman"/>
          <w:bCs/>
          <w:color w:val="auto"/>
          <w:w w:val="99"/>
          <w:kern w:val="2"/>
          <w:highlight w:val="none"/>
          <w:lang w:val="en-US" w:eastAsia="zh-CN"/>
        </w:rPr>
      </w:pPr>
      <w:r>
        <w:rPr>
          <w:rFonts w:hint="eastAsia" w:ascii="Times New Roman" w:hAnsi="Times New Roman" w:eastAsia="宋体" w:cs="Times New Roman"/>
          <w:bCs/>
          <w:color w:val="auto"/>
          <w:w w:val="99"/>
          <w:kern w:val="2"/>
          <w:highlight w:val="none"/>
          <w:lang w:val="en-US" w:eastAsia="zh-CN"/>
        </w:rPr>
        <w:t>①产能建设工程</w:t>
      </w:r>
    </w:p>
    <w:p w14:paraId="3E48C8FD">
      <w:pPr>
        <w:snapToGrid w:val="0"/>
        <w:spacing w:line="440" w:lineRule="exact"/>
        <w:ind w:firstLine="474" w:firstLineChars="200"/>
        <w:jc w:val="both"/>
        <w:rPr>
          <w:rFonts w:hint="eastAsia" w:ascii="Times New Roman" w:hAnsi="Times New Roman" w:eastAsia="宋体" w:cs="Times New Roman"/>
          <w:bCs/>
          <w:color w:val="auto"/>
          <w:w w:val="99"/>
          <w:kern w:val="2"/>
          <w:highlight w:val="none"/>
          <w:lang w:val="en-US" w:eastAsia="zh-CN"/>
        </w:rPr>
      </w:pPr>
      <w:r>
        <w:rPr>
          <w:rFonts w:hint="eastAsia" w:ascii="Times New Roman" w:hAnsi="Times New Roman" w:eastAsia="宋体" w:cs="Times New Roman"/>
          <w:bCs/>
          <w:color w:val="auto"/>
          <w:w w:val="99"/>
          <w:kern w:val="2"/>
          <w:highlight w:val="none"/>
          <w:lang w:val="en-US" w:eastAsia="zh-CN"/>
        </w:rPr>
        <w:t>本项目采气系统采用简易井口，高压集气工艺，井场工艺流程为：井口来气井气→电磁加热节流装置加热、节流阀降压至10.0MPa→外输截断阀→采气管道。</w:t>
      </w:r>
    </w:p>
    <w:p w14:paraId="62E5F913">
      <w:pPr>
        <w:snapToGrid w:val="0"/>
        <w:spacing w:line="440" w:lineRule="exact"/>
        <w:ind w:firstLine="474" w:firstLineChars="200"/>
        <w:jc w:val="both"/>
        <w:rPr>
          <w:rFonts w:hint="default" w:ascii="Times New Roman" w:hAnsi="Times New Roman" w:eastAsia="宋体" w:cs="Times New Roman"/>
          <w:bCs/>
          <w:color w:val="auto"/>
          <w:w w:val="99"/>
          <w:kern w:val="2"/>
          <w:highlight w:val="none"/>
          <w:lang w:val="en-US" w:eastAsia="zh-CN"/>
        </w:rPr>
      </w:pPr>
      <w:r>
        <w:rPr>
          <w:rFonts w:hint="eastAsia" w:ascii="Times New Roman" w:hAnsi="Times New Roman" w:eastAsia="宋体" w:cs="Times New Roman"/>
          <w:bCs/>
          <w:color w:val="auto"/>
          <w:w w:val="99"/>
          <w:kern w:val="2"/>
          <w:highlight w:val="none"/>
          <w:lang w:val="en-US" w:eastAsia="zh-CN"/>
        </w:rPr>
        <w:t>本项目气井具备生产条件后，</w:t>
      </w:r>
      <w:r>
        <w:rPr>
          <w:rFonts w:hint="default" w:ascii="Times New Roman" w:hAnsi="Times New Roman" w:eastAsia="宋体" w:cs="Times New Roman"/>
          <w:bCs/>
          <w:color w:val="auto"/>
          <w:w w:val="99"/>
          <w:kern w:val="2"/>
          <w:highlight w:val="none"/>
          <w:lang w:val="en-US" w:eastAsia="zh-CN"/>
        </w:rPr>
        <w:t>气井气经采气管道至集气站，</w:t>
      </w:r>
      <w:r>
        <w:rPr>
          <w:rFonts w:hint="eastAsia" w:ascii="Times New Roman" w:hAnsi="Times New Roman" w:eastAsia="宋体" w:cs="Times New Roman"/>
          <w:bCs/>
          <w:color w:val="auto"/>
          <w:w w:val="99"/>
          <w:kern w:val="2"/>
          <w:highlight w:val="none"/>
          <w:lang w:val="en-US" w:eastAsia="zh-CN"/>
        </w:rPr>
        <w:t>先进入电磁加热节流装置加热、节流降压，而后利用已建计量</w:t>
      </w:r>
      <w:r>
        <w:rPr>
          <w:rFonts w:hint="default" w:ascii="Times New Roman" w:hAnsi="Times New Roman" w:eastAsia="宋体" w:cs="Times New Roman"/>
          <w:bCs/>
          <w:color w:val="auto"/>
          <w:w w:val="99"/>
          <w:kern w:val="2"/>
          <w:highlight w:val="none"/>
          <w:lang w:val="en-US" w:eastAsia="zh-CN"/>
        </w:rPr>
        <w:t>分离器</w:t>
      </w:r>
      <w:r>
        <w:rPr>
          <w:rFonts w:hint="eastAsia" w:ascii="Times New Roman" w:hAnsi="Times New Roman" w:eastAsia="宋体" w:cs="Times New Roman"/>
          <w:bCs/>
          <w:color w:val="auto"/>
          <w:w w:val="99"/>
          <w:kern w:val="2"/>
          <w:highlight w:val="none"/>
          <w:lang w:val="en-US" w:eastAsia="zh-CN"/>
        </w:rPr>
        <w:t>和生产分离器轮换计量、分离出游离水，再</w:t>
      </w:r>
      <w:r>
        <w:rPr>
          <w:rFonts w:hint="default" w:ascii="Times New Roman" w:hAnsi="Times New Roman" w:eastAsia="宋体" w:cs="Times New Roman"/>
          <w:bCs/>
          <w:color w:val="auto"/>
          <w:w w:val="99"/>
          <w:kern w:val="2"/>
          <w:highlight w:val="none"/>
          <w:lang w:val="en-US" w:eastAsia="zh-CN"/>
        </w:rPr>
        <w:t>接入</w:t>
      </w:r>
      <w:r>
        <w:rPr>
          <w:rFonts w:hint="eastAsia" w:ascii="Times New Roman" w:hAnsi="Times New Roman" w:eastAsia="宋体" w:cs="Times New Roman"/>
          <w:bCs/>
          <w:color w:val="auto"/>
          <w:w w:val="99"/>
          <w:kern w:val="2"/>
          <w:highlight w:val="none"/>
          <w:lang w:val="en-US" w:eastAsia="zh-CN"/>
        </w:rPr>
        <w:t>已建</w:t>
      </w:r>
      <w:r>
        <w:rPr>
          <w:rFonts w:hint="default" w:ascii="Times New Roman" w:hAnsi="Times New Roman" w:eastAsia="宋体" w:cs="Times New Roman"/>
          <w:bCs/>
          <w:color w:val="auto"/>
          <w:w w:val="99"/>
          <w:kern w:val="2"/>
          <w:highlight w:val="none"/>
          <w:lang w:val="en-US" w:eastAsia="zh-CN"/>
        </w:rPr>
        <w:t>过滤分离器</w:t>
      </w:r>
      <w:r>
        <w:rPr>
          <w:rFonts w:hint="eastAsia" w:ascii="Times New Roman" w:hAnsi="Times New Roman" w:eastAsia="宋体" w:cs="Times New Roman"/>
          <w:bCs/>
          <w:color w:val="auto"/>
          <w:w w:val="99"/>
          <w:kern w:val="2"/>
          <w:highlight w:val="none"/>
          <w:lang w:val="en-US" w:eastAsia="zh-CN"/>
        </w:rPr>
        <w:t>分离出水和杂质</w:t>
      </w:r>
      <w:r>
        <w:rPr>
          <w:rFonts w:hint="eastAsia" w:ascii="Times New Roman" w:hAnsi="Times New Roman" w:eastAsia="宋体" w:cs="Times New Roman"/>
          <w:bCs/>
          <w:color w:val="auto"/>
          <w:w w:val="99"/>
          <w:kern w:val="2"/>
          <w:highlight w:val="yellow"/>
          <w:lang w:val="en-US" w:eastAsia="zh-CN"/>
        </w:rPr>
        <w:t>，最后计量外输至徐深</w:t>
      </w:r>
      <w:r>
        <w:rPr>
          <w:rFonts w:hint="eastAsia" w:ascii="Times New Roman" w:hAnsi="Times New Roman" w:cs="Times New Roman"/>
          <w:bCs/>
          <w:color w:val="auto"/>
          <w:w w:val="99"/>
          <w:kern w:val="2"/>
          <w:highlight w:val="yellow"/>
          <w:lang w:val="en-US" w:eastAsia="zh-CN"/>
        </w:rPr>
        <w:t>27</w:t>
      </w:r>
      <w:r>
        <w:rPr>
          <w:rFonts w:hint="eastAsia" w:ascii="Times New Roman" w:hAnsi="Times New Roman" w:eastAsia="宋体" w:cs="Times New Roman"/>
          <w:bCs/>
          <w:color w:val="auto"/>
          <w:w w:val="99"/>
          <w:kern w:val="2"/>
          <w:highlight w:val="yellow"/>
          <w:lang w:val="en-US" w:eastAsia="zh-CN"/>
        </w:rPr>
        <w:t>集气站。</w:t>
      </w:r>
    </w:p>
    <w:p w14:paraId="1FC29507">
      <w:pPr>
        <w:snapToGrid w:val="0"/>
        <w:spacing w:line="440" w:lineRule="exact"/>
        <w:ind w:firstLine="474" w:firstLineChars="200"/>
        <w:jc w:val="both"/>
        <w:rPr>
          <w:rFonts w:hint="default" w:ascii="Times New Roman" w:hAnsi="Times New Roman" w:eastAsia="宋体" w:cs="Times New Roman"/>
          <w:bCs/>
          <w:color w:val="auto"/>
          <w:w w:val="99"/>
          <w:kern w:val="2"/>
          <w:highlight w:val="none"/>
          <w:lang w:val="en-US" w:eastAsia="zh-CN"/>
        </w:rPr>
      </w:pPr>
      <w:r>
        <w:rPr>
          <w:rFonts w:hint="default" w:ascii="Times New Roman" w:hAnsi="Times New Roman" w:eastAsia="宋体" w:cs="Times New Roman"/>
          <w:bCs/>
          <w:color w:val="auto"/>
          <w:w w:val="99"/>
          <w:kern w:val="2"/>
          <w:highlight w:val="none"/>
          <w:lang w:val="en-US" w:eastAsia="zh-CN"/>
        </w:rPr>
        <w:t>生产污水进入已建污水罐集中外输，放空天然气进入新建火炬。</w:t>
      </w:r>
    </w:p>
    <w:p w14:paraId="5802FA8A">
      <w:pPr>
        <w:snapToGrid w:val="0"/>
        <w:spacing w:line="440" w:lineRule="exact"/>
        <w:ind w:firstLine="474" w:firstLineChars="200"/>
        <w:jc w:val="both"/>
        <w:rPr>
          <w:rFonts w:hint="eastAsia" w:ascii="Times New Roman" w:hAnsi="Times New Roman" w:eastAsia="宋体" w:cs="Times New Roman"/>
          <w:bCs/>
          <w:color w:val="auto"/>
          <w:w w:val="99"/>
          <w:kern w:val="2"/>
          <w:highlight w:val="none"/>
          <w:lang w:val="en-US" w:eastAsia="zh-CN"/>
        </w:rPr>
      </w:pPr>
      <w:r>
        <w:rPr>
          <w:rFonts w:hint="eastAsia" w:ascii="Times New Roman" w:hAnsi="Times New Roman" w:eastAsia="宋体" w:cs="Times New Roman"/>
          <w:bCs/>
          <w:color w:val="auto"/>
          <w:w w:val="99"/>
          <w:kern w:val="2"/>
          <w:highlight w:val="none"/>
          <w:lang w:val="en-US" w:eastAsia="zh-CN"/>
        </w:rPr>
        <w:t>具体工艺流程及产污环节详见图</w:t>
      </w:r>
      <w:r>
        <w:rPr>
          <w:rFonts w:hint="eastAsia" w:ascii="Times New Roman" w:hAnsi="Times New Roman" w:cs="Times New Roman"/>
          <w:bCs/>
          <w:color w:val="auto"/>
          <w:w w:val="99"/>
          <w:kern w:val="2"/>
          <w:highlight w:val="none"/>
          <w:lang w:val="en-US" w:eastAsia="zh-CN"/>
        </w:rPr>
        <w:t>3.11-6</w:t>
      </w:r>
      <w:r>
        <w:rPr>
          <w:rFonts w:hint="eastAsia" w:ascii="Times New Roman" w:hAnsi="Times New Roman" w:eastAsia="宋体" w:cs="Times New Roman"/>
          <w:bCs/>
          <w:color w:val="auto"/>
          <w:w w:val="99"/>
          <w:kern w:val="2"/>
          <w:highlight w:val="none"/>
          <w:lang w:val="en-US" w:eastAsia="zh-CN"/>
        </w:rPr>
        <w:t>。</w:t>
      </w:r>
    </w:p>
    <w:p w14:paraId="4D72442E">
      <w:pPr>
        <w:keepNext/>
        <w:keepLines/>
        <w:pageBreakBefore w:val="0"/>
        <w:widowControl/>
        <w:kinsoku/>
        <w:wordWrap/>
        <w:overflowPunct/>
        <w:topLinePunct w:val="0"/>
        <w:autoSpaceDE/>
        <w:autoSpaceDN/>
        <w:bidi w:val="0"/>
        <w:adjustRightInd/>
        <w:snapToGrid/>
        <w:textAlignment w:val="auto"/>
        <w:outlineLvl w:val="9"/>
        <w:rPr>
          <w:rFonts w:hint="eastAsia" w:ascii="Times New Roman" w:hAnsi="Times New Roman" w:eastAsia="宋体" w:cs="Times New Roman"/>
          <w:bCs/>
          <w:color w:val="auto"/>
          <w:w w:val="99"/>
          <w:kern w:val="2"/>
          <w:highlight w:val="none"/>
          <w:lang w:val="en-US" w:eastAsia="zh-CN"/>
        </w:rPr>
      </w:pPr>
      <w:r>
        <w:rPr>
          <w:color w:val="auto"/>
          <w:sz w:val="24"/>
          <w:highlight w:val="none"/>
        </w:rPr>
        <mc:AlternateContent>
          <mc:Choice Requires="wpg">
            <w:drawing>
              <wp:anchor distT="0" distB="0" distL="114300" distR="114300" simplePos="0" relativeHeight="251668480" behindDoc="0" locked="0" layoutInCell="1" allowOverlap="1">
                <wp:simplePos x="0" y="0"/>
                <wp:positionH relativeFrom="column">
                  <wp:posOffset>168275</wp:posOffset>
                </wp:positionH>
                <wp:positionV relativeFrom="paragraph">
                  <wp:posOffset>208280</wp:posOffset>
                </wp:positionV>
                <wp:extent cx="4834255" cy="1632585"/>
                <wp:effectExtent l="0" t="4445" r="0" b="0"/>
                <wp:wrapNone/>
                <wp:docPr id="74" name="组合 74"/>
                <wp:cNvGraphicFramePr/>
                <a:graphic xmlns:a="http://schemas.openxmlformats.org/drawingml/2006/main">
                  <a:graphicData uri="http://schemas.microsoft.com/office/word/2010/wordprocessingGroup">
                    <wpg:wgp>
                      <wpg:cNvGrpSpPr/>
                      <wpg:grpSpPr>
                        <a:xfrm>
                          <a:off x="0" y="0"/>
                          <a:ext cx="4834255" cy="1632585"/>
                          <a:chOff x="1966" y="3357905"/>
                          <a:chExt cx="7613" cy="2571"/>
                        </a:xfrm>
                      </wpg:grpSpPr>
                      <wps:wsp>
                        <wps:cNvPr id="136" name="文本框 136"/>
                        <wps:cNvSpPr txBox="1"/>
                        <wps:spPr>
                          <a:xfrm>
                            <a:off x="5017" y="3357905"/>
                            <a:ext cx="1347" cy="4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4F2F18">
                              <w:pPr>
                                <w:rPr>
                                  <w:rFonts w:hint="default" w:eastAsia="宋体"/>
                                  <w:w w:val="99"/>
                                  <w:lang w:val="en-US" w:eastAsia="zh-CN"/>
                                </w:rPr>
                              </w:pPr>
                              <w:r>
                                <w:rPr>
                                  <w:rFonts w:hint="eastAsia"/>
                                  <w:w w:val="99"/>
                                  <w:lang w:val="en-US" w:eastAsia="zh-CN"/>
                                </w:rPr>
                                <w:t xml:space="preserve"> </w:t>
                              </w:r>
                              <w:r>
                                <w:rPr>
                                  <w:rFonts w:hint="eastAsia"/>
                                  <w:w w:val="99"/>
                                  <w:sz w:val="21"/>
                                  <w:szCs w:val="21"/>
                                  <w:lang w:val="en-US" w:eastAsia="zh-CN"/>
                                </w:rPr>
                                <w:t>采气井场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文本框 137"/>
                        <wps:cNvSpPr txBox="1"/>
                        <wps:spPr>
                          <a:xfrm>
                            <a:off x="5186" y="3358973"/>
                            <a:ext cx="1083" cy="41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52479C">
                              <w:pPr>
                                <w:rPr>
                                  <w:rFonts w:hint="default" w:eastAsia="宋体"/>
                                  <w:w w:val="99"/>
                                  <w:lang w:val="en-US" w:eastAsia="zh-CN"/>
                                </w:rPr>
                              </w:pPr>
                              <w:r>
                                <w:rPr>
                                  <w:rFonts w:hint="eastAsia"/>
                                  <w:w w:val="99"/>
                                  <w:sz w:val="21"/>
                                  <w:szCs w:val="21"/>
                                  <w:lang w:val="en-US" w:eastAsia="zh-CN"/>
                                </w:rPr>
                                <w:t>集气站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文本框 138"/>
                        <wps:cNvSpPr txBox="1"/>
                        <wps:spPr>
                          <a:xfrm>
                            <a:off x="3309" y="3360031"/>
                            <a:ext cx="4679"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7D6BF">
                              <w:pPr>
                                <w:rPr>
                                  <w:rFonts w:hint="default" w:ascii="宋体" w:hAnsi="宋体" w:eastAsia="宋体" w:cs="宋体"/>
                                  <w:w w:val="99"/>
                                  <w:sz w:val="21"/>
                                  <w:szCs w:val="21"/>
                                  <w:lang w:val="en-US" w:eastAsia="zh-CN"/>
                                </w:rPr>
                              </w:pPr>
                              <w:r>
                                <w:rPr>
                                  <w:rFonts w:hint="eastAsia" w:ascii="宋体" w:hAnsi="宋体" w:eastAsia="宋体" w:cs="宋体"/>
                                  <w:w w:val="99"/>
                                  <w:sz w:val="21"/>
                                  <w:szCs w:val="21"/>
                                  <w:lang w:val="en-US" w:eastAsia="zh-CN"/>
                                </w:rPr>
                                <w:t>升一联污水预处理站</w:t>
                              </w:r>
                              <w:r>
                                <w:rPr>
                                  <w:rFonts w:hint="eastAsia" w:cs="宋体"/>
                                  <w:w w:val="99"/>
                                  <w:sz w:val="21"/>
                                  <w:szCs w:val="21"/>
                                  <w:lang w:val="en-US" w:eastAsia="zh-CN"/>
                                </w:rPr>
                                <w:t>处理达标后回注地下油层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直接箭头连接符 140"/>
                        <wps:cNvCnPr>
                          <a:stCxn id="136" idx="2"/>
                        </wps:cNvCnPr>
                        <wps:spPr>
                          <a:xfrm>
                            <a:off x="5691" y="3358351"/>
                            <a:ext cx="0" cy="605"/>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1" name="直接箭头连接符 141"/>
                        <wps:cNvCnPr/>
                        <wps:spPr>
                          <a:xfrm>
                            <a:off x="5721" y="3359404"/>
                            <a:ext cx="0" cy="605"/>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2" name="直接箭头连接符 142"/>
                        <wps:cNvCnPr>
                          <a:stCxn id="136" idx="1"/>
                        </wps:cNvCnPr>
                        <wps:spPr>
                          <a:xfrm flipH="1">
                            <a:off x="3842" y="3358129"/>
                            <a:ext cx="1175" cy="0"/>
                          </a:xfrm>
                          <a:prstGeom prst="straightConnector1">
                            <a:avLst/>
                          </a:prstGeom>
                          <a:ln w="635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43" name="直接箭头连接符 143"/>
                        <wps:cNvCnPr/>
                        <wps:spPr>
                          <a:xfrm>
                            <a:off x="6420" y="3358172"/>
                            <a:ext cx="1053" cy="0"/>
                          </a:xfrm>
                          <a:prstGeom prst="straightConnector1">
                            <a:avLst/>
                          </a:prstGeom>
                          <a:ln w="635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45" name="文本框 145"/>
                        <wps:cNvSpPr txBox="1"/>
                        <wps:spPr>
                          <a:xfrm>
                            <a:off x="2018" y="3357935"/>
                            <a:ext cx="1782" cy="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CD2C9">
                              <w:pPr>
                                <w:rPr>
                                  <w:rFonts w:hint="default" w:eastAsia="宋体"/>
                                  <w:w w:val="99"/>
                                  <w:sz w:val="21"/>
                                  <w:szCs w:val="21"/>
                                  <w:lang w:val="en-US" w:eastAsia="zh-CN"/>
                                </w:rPr>
                              </w:pPr>
                              <w:r>
                                <w:rPr>
                                  <w:rFonts w:hint="eastAsia"/>
                                  <w:w w:val="99"/>
                                  <w:sz w:val="21"/>
                                  <w:szCs w:val="21"/>
                                  <w:lang w:val="en-US" w:eastAsia="zh-CN"/>
                                </w:rPr>
                                <w:t>放空噪声、放空燃烧废气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146"/>
                        <wps:cNvSpPr txBox="1"/>
                        <wps:spPr>
                          <a:xfrm>
                            <a:off x="7502" y="3357908"/>
                            <a:ext cx="2077"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94BF5">
                              <w:pPr>
                                <w:rPr>
                                  <w:rFonts w:hint="default" w:eastAsia="宋体"/>
                                  <w:w w:val="99"/>
                                  <w:sz w:val="21"/>
                                  <w:szCs w:val="21"/>
                                  <w:lang w:val="en-US" w:eastAsia="zh-CN"/>
                                </w:rPr>
                              </w:pPr>
                              <w:r>
                                <w:rPr>
                                  <w:rFonts w:hint="eastAsia"/>
                                  <w:w w:val="99"/>
                                  <w:sz w:val="21"/>
                                  <w:szCs w:val="21"/>
                                  <w:lang w:val="en-US" w:eastAsia="zh-CN"/>
                                </w:rPr>
                                <w:t>废气、井口含油砂砾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147"/>
                        <wps:cNvSpPr txBox="1"/>
                        <wps:spPr>
                          <a:xfrm>
                            <a:off x="5779" y="3358429"/>
                            <a:ext cx="1249"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AB43B">
                              <w:pPr>
                                <w:rPr>
                                  <w:rFonts w:hint="default" w:eastAsia="宋体"/>
                                  <w:w w:val="99"/>
                                  <w:sz w:val="21"/>
                                  <w:szCs w:val="21"/>
                                  <w:lang w:val="en-US" w:eastAsia="zh-CN"/>
                                </w:rPr>
                              </w:pPr>
                              <w:r>
                                <w:rPr>
                                  <w:rFonts w:hint="eastAsia"/>
                                  <w:w w:val="99"/>
                                  <w:sz w:val="21"/>
                                  <w:szCs w:val="21"/>
                                  <w:lang w:val="en-US" w:eastAsia="zh-CN"/>
                                </w:rPr>
                                <w:t>管道集输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直接箭头连接符 148"/>
                        <wps:cNvCnPr/>
                        <wps:spPr>
                          <a:xfrm flipH="1">
                            <a:off x="3816" y="3359211"/>
                            <a:ext cx="1263" cy="0"/>
                          </a:xfrm>
                          <a:prstGeom prst="straightConnector1">
                            <a:avLst/>
                          </a:prstGeom>
                          <a:ln w="635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49" name="文本框 149"/>
                        <wps:cNvSpPr txBox="1"/>
                        <wps:spPr>
                          <a:xfrm>
                            <a:off x="1966" y="3358582"/>
                            <a:ext cx="1976" cy="13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CEA81">
                              <w:pPr>
                                <w:rPr>
                                  <w:rFonts w:hint="default" w:eastAsia="宋体"/>
                                  <w:w w:val="99"/>
                                  <w:sz w:val="21"/>
                                  <w:szCs w:val="21"/>
                                  <w:lang w:val="en-US" w:eastAsia="zh-CN"/>
                                </w:rPr>
                              </w:pPr>
                              <w:r>
                                <w:rPr>
                                  <w:rFonts w:hint="eastAsia" w:eastAsia="宋体"/>
                                  <w:w w:val="99"/>
                                  <w:sz w:val="21"/>
                                  <w:szCs w:val="21"/>
                                  <w:lang w:val="en-US" w:eastAsia="zh-CN"/>
                                </w:rPr>
                                <w:t>加热炉燃烧烟气、无组织烃类、放空燃烧废气、噪声</w:t>
                              </w:r>
                              <w:r>
                                <w:rPr>
                                  <w:rFonts w:hint="eastAsia"/>
                                  <w:w w:val="99"/>
                                  <w:sz w:val="21"/>
                                  <w:szCs w:val="21"/>
                                  <w:lang w:val="en-US" w:eastAsia="zh-CN"/>
                                </w:rPr>
                                <w:t>、甲醇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文本框 151"/>
                        <wps:cNvSpPr txBox="1"/>
                        <wps:spPr>
                          <a:xfrm>
                            <a:off x="7451" y="3359014"/>
                            <a:ext cx="1935"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D2AE1">
                              <w:pPr>
                                <w:rPr>
                                  <w:rFonts w:hint="default" w:eastAsia="宋体"/>
                                  <w:w w:val="99"/>
                                  <w:sz w:val="21"/>
                                  <w:szCs w:val="21"/>
                                  <w:lang w:val="en-US" w:eastAsia="zh-CN"/>
                                </w:rPr>
                              </w:pPr>
                              <w:r>
                                <w:rPr>
                                  <w:rFonts w:hint="eastAsia" w:eastAsia="宋体"/>
                                  <w:w w:val="99"/>
                                  <w:sz w:val="21"/>
                                  <w:szCs w:val="21"/>
                                  <w:lang w:val="en-US" w:eastAsia="zh-CN"/>
                                </w:rPr>
                                <w:t>外输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直接箭头连接符 152"/>
                        <wps:cNvCnPr/>
                        <wps:spPr>
                          <a:xfrm>
                            <a:off x="6401" y="3359213"/>
                            <a:ext cx="1053" cy="0"/>
                          </a:xfrm>
                          <a:prstGeom prst="straightConnector1">
                            <a:avLst/>
                          </a:prstGeom>
                          <a:ln w="6350">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3.25pt;margin-top:16.4pt;height:128.55pt;width:380.65pt;z-index:251668480;mso-width-relative:page;mso-height-relative:page;" coordorigin="1966,3357905" coordsize="7613,2571" o:gfxdata="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h+CfttkAAAAJAQAADwAAAAAAAAABACAAAAAiAAAA&#10;ZHJzL2Rvd25yZXYueG1sUEsBAhQAFAAAAAgAh07iQOd1GQWWBQAAeCQAAA4AAAAAAAAAAQAgAAAA&#10;KAEAAGRycy9lMm9Eb2MueG1sUEsFBgAAAAAGAAYAWQEAADAJAAAAAA==&#10;">
                <o:lock v:ext="edit" aspectratio="f"/>
                <v:shape id="_x0000_s1026" o:spid="_x0000_s1026" o:spt="202" type="#_x0000_t202" style="position:absolute;left:5017;top:3357905;height:445;width:1347;" filled="f" stroked="t" coordsize="21600,21600" o:gfxdata="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etc1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4C4F2F18">
                        <w:pPr>
                          <w:rPr>
                            <w:rFonts w:hint="default" w:eastAsia="宋体"/>
                            <w:w w:val="99"/>
                            <w:lang w:val="en-US" w:eastAsia="zh-CN"/>
                          </w:rPr>
                        </w:pPr>
                        <w:r>
                          <w:rPr>
                            <w:rFonts w:hint="eastAsia"/>
                            <w:w w:val="99"/>
                            <w:lang w:val="en-US" w:eastAsia="zh-CN"/>
                          </w:rPr>
                          <w:t xml:space="preserve"> </w:t>
                        </w:r>
                        <w:r>
                          <w:rPr>
                            <w:rFonts w:hint="eastAsia"/>
                            <w:w w:val="99"/>
                            <w:sz w:val="21"/>
                            <w:szCs w:val="21"/>
                            <w:lang w:val="en-US" w:eastAsia="zh-CN"/>
                          </w:rPr>
                          <w:t>采气井场</w:t>
                        </w:r>
                      </w:p>
                    </w:txbxContent>
                  </v:textbox>
                </v:shape>
                <v:shape id="_x0000_s1026" o:spid="_x0000_s1026" o:spt="202" type="#_x0000_t202" style="position:absolute;left:5186;top:3358973;height:417;width:1083;" filled="f" stroked="t" coordsize="21600,21600" o:gfxdata="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Zyrr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14:paraId="7352479C">
                        <w:pPr>
                          <w:rPr>
                            <w:rFonts w:hint="default" w:eastAsia="宋体"/>
                            <w:w w:val="99"/>
                            <w:lang w:val="en-US" w:eastAsia="zh-CN"/>
                          </w:rPr>
                        </w:pPr>
                        <w:r>
                          <w:rPr>
                            <w:rFonts w:hint="eastAsia"/>
                            <w:w w:val="99"/>
                            <w:sz w:val="21"/>
                            <w:szCs w:val="21"/>
                            <w:lang w:val="en-US" w:eastAsia="zh-CN"/>
                          </w:rPr>
                          <w:t>集气站</w:t>
                        </w:r>
                      </w:p>
                    </w:txbxContent>
                  </v:textbox>
                </v:shape>
                <v:shape id="_x0000_s1026" o:spid="_x0000_s1026" o:spt="202" type="#_x0000_t202" style="position:absolute;left:3309;top:3360031;height:445;width:4679;" filled="f" stroked="f" coordsize="21600,21600" o:gfxdata="UEsDBAoAAAAAAIdO4kAAAAAAAAAAAAAAAAAEAAAAZHJzL1BLAwQUAAAACACHTuJAn9DLNc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EVp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0Ms1&#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E27D6BF">
                        <w:pPr>
                          <w:rPr>
                            <w:rFonts w:hint="default" w:ascii="宋体" w:hAnsi="宋体" w:eastAsia="宋体" w:cs="宋体"/>
                            <w:w w:val="99"/>
                            <w:sz w:val="21"/>
                            <w:szCs w:val="21"/>
                            <w:lang w:val="en-US" w:eastAsia="zh-CN"/>
                          </w:rPr>
                        </w:pPr>
                        <w:r>
                          <w:rPr>
                            <w:rFonts w:hint="eastAsia" w:ascii="宋体" w:hAnsi="宋体" w:eastAsia="宋体" w:cs="宋体"/>
                            <w:w w:val="99"/>
                            <w:sz w:val="21"/>
                            <w:szCs w:val="21"/>
                            <w:lang w:val="en-US" w:eastAsia="zh-CN"/>
                          </w:rPr>
                          <w:t>升一联污水预处理站</w:t>
                        </w:r>
                        <w:r>
                          <w:rPr>
                            <w:rFonts w:hint="eastAsia" w:cs="宋体"/>
                            <w:w w:val="99"/>
                            <w:sz w:val="21"/>
                            <w:szCs w:val="21"/>
                            <w:lang w:val="en-US" w:eastAsia="zh-CN"/>
                          </w:rPr>
                          <w:t>处理达标后回注地下油层</w:t>
                        </w:r>
                      </w:p>
                    </w:txbxContent>
                  </v:textbox>
                </v:shape>
                <v:shape id="_x0000_s1026" o:spid="_x0000_s1026" o:spt="32" type="#_x0000_t32" style="position:absolute;left:5691;top:3358351;height:605;width:0;" filled="f" stroked="t" coordsize="21600,21600" o:gfxdata="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H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32" type="#_x0000_t32" style="position:absolute;left:5721;top:3359404;height:605;width:0;" filled="f" stroked="t" coordsize="21600,21600" o:gfxdata="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Q2LE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_x0000_s1026" o:spid="_x0000_s1026" o:spt="32" type="#_x0000_t32" style="position:absolute;left:3842;top:3358129;flip:x;height:0;width:1175;" filled="f" stroked="t" coordsize="21600,21600" o:gfxdata="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Iw5rsAAADc&#10;AAAADwAAAAAAAAABACAAAAAiAAAAZHJzL2Rvd25yZXYueG1sUEsBAhQAFAAAAAgAh07iQDMvBZ47&#10;AAAAOQAAABAAAAAAAAAAAQAgAAAACgEAAGRycy9zaGFwZXhtbC54bWxQSwUGAAAAAAYABgBbAQAA&#10;tAMAAAAA&#10;">
                  <v:fill on="f" focussize="0,0"/>
                  <v:stroke weight="0.5pt" color="#000000 [3213]" miterlimit="8" joinstyle="miter" dashstyle="dash" endarrow="open"/>
                  <v:imagedata o:title=""/>
                  <o:lock v:ext="edit" aspectratio="f"/>
                </v:shape>
                <v:shape id="_x0000_s1026" o:spid="_x0000_s1026" o:spt="32" type="#_x0000_t32" style="position:absolute;left:6420;top:3358172;height:0;width:1053;" filled="f" stroked="t" coordsize="21600,21600" o:gfxdata="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pfEqvQAA&#10;ANwAAAAPAAAAAAAAAAEAIAAAACIAAABkcnMvZG93bnJldi54bWxQSwECFAAUAAAACACHTuJAMy8F&#10;njsAAAA5AAAAEAAAAAAAAAABACAAAAAMAQAAZHJzL3NoYXBleG1sLnhtbFBLBQYAAAAABgAGAFsB&#10;AAC2AwAAAAA=&#10;">
                  <v:fill on="f" focussize="0,0"/>
                  <v:stroke weight="0.5pt" color="#000000 [3213]" miterlimit="8" joinstyle="miter" dashstyle="dash" endarrow="open"/>
                  <v:imagedata o:title=""/>
                  <o:lock v:ext="edit" aspectratio="f"/>
                </v:shape>
                <v:shape id="_x0000_s1026" o:spid="_x0000_s1026" o:spt="202" type="#_x0000_t202" style="position:absolute;left:2018;top:3357935;height:850;width:1782;" filled="f" stroked="f" coordsize="21600,21600" o:gfxdata="UEsDBAoAAAAAAIdO4kAAAAAAAAAAAAAAAAAEAAAAZHJzL1BLAwQUAAAACACHTuJAKdcX1rwAAADc&#10;AAAADwAAAGRycy9kb3ducmV2LnhtbEVPS4vCMBC+C/6HMAt701RR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F9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D9CD2C9">
                        <w:pPr>
                          <w:rPr>
                            <w:rFonts w:hint="default" w:eastAsia="宋体"/>
                            <w:w w:val="99"/>
                            <w:sz w:val="21"/>
                            <w:szCs w:val="21"/>
                            <w:lang w:val="en-US" w:eastAsia="zh-CN"/>
                          </w:rPr>
                        </w:pPr>
                        <w:r>
                          <w:rPr>
                            <w:rFonts w:hint="eastAsia"/>
                            <w:w w:val="99"/>
                            <w:sz w:val="21"/>
                            <w:szCs w:val="21"/>
                            <w:lang w:val="en-US" w:eastAsia="zh-CN"/>
                          </w:rPr>
                          <w:t>放空噪声、放空燃烧废气</w:t>
                        </w:r>
                      </w:p>
                    </w:txbxContent>
                  </v:textbox>
                </v:shape>
                <v:shape id="_x0000_s1026" o:spid="_x0000_s1026" o:spt="202" type="#_x0000_t202" style="position:absolute;left:7502;top:3357908;height:461;width:2077;" filled="f" stroked="f" coordsize="21600,21600" o:gfxdata="UEsDBAoAAAAAAIdO4kAAAAAAAAAAAAAAAAAEAAAAZHJzL1BLAwQUAAAACACHTuJA2QWJobwAAADc&#10;AAAADwAAAGRycy9kb3ducmV2LnhtbEVPS4vCMBC+C/6HMAt701RR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ia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0C94BF5">
                        <w:pPr>
                          <w:rPr>
                            <w:rFonts w:hint="default" w:eastAsia="宋体"/>
                            <w:w w:val="99"/>
                            <w:sz w:val="21"/>
                            <w:szCs w:val="21"/>
                            <w:lang w:val="en-US" w:eastAsia="zh-CN"/>
                          </w:rPr>
                        </w:pPr>
                        <w:r>
                          <w:rPr>
                            <w:rFonts w:hint="eastAsia"/>
                            <w:w w:val="99"/>
                            <w:sz w:val="21"/>
                            <w:szCs w:val="21"/>
                            <w:lang w:val="en-US" w:eastAsia="zh-CN"/>
                          </w:rPr>
                          <w:t>废气、井口含油砂砾</w:t>
                        </w:r>
                      </w:p>
                    </w:txbxContent>
                  </v:textbox>
                </v:shape>
                <v:shape id="_x0000_s1026" o:spid="_x0000_s1026" o:spt="202" type="#_x0000_t202" style="position:absolute;left:5779;top:3358429;height:445;width:1249;" filled="f" stroked="f" coordsize="21600,21600" o:gfxdata="UEsDBAoAAAAAAIdO4kAAAAAAAAAAAAAAAAAEAAAAZHJzL1BLAwQUAAAACACHTuJAtkksOr0AAADc&#10;AAAADwAAAGRycy9kb3ducmV2LnhtbEVPS4vCMBC+C/sfwix401RR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Sw6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43AB43B">
                        <w:pPr>
                          <w:rPr>
                            <w:rFonts w:hint="default" w:eastAsia="宋体"/>
                            <w:w w:val="99"/>
                            <w:sz w:val="21"/>
                            <w:szCs w:val="21"/>
                            <w:lang w:val="en-US" w:eastAsia="zh-CN"/>
                          </w:rPr>
                        </w:pPr>
                        <w:r>
                          <w:rPr>
                            <w:rFonts w:hint="eastAsia"/>
                            <w:w w:val="99"/>
                            <w:sz w:val="21"/>
                            <w:szCs w:val="21"/>
                            <w:lang w:val="en-US" w:eastAsia="zh-CN"/>
                          </w:rPr>
                          <w:t>管道集输</w:t>
                        </w:r>
                      </w:p>
                    </w:txbxContent>
                  </v:textbox>
                </v:shape>
                <v:shape id="_x0000_s1026" o:spid="_x0000_s1026" o:spt="32" type="#_x0000_t32" style="position:absolute;left:3816;top:3359211;flip:x;height:0;width:1263;" filled="f" stroked="t" coordsize="21600,21600" o:gfxdata="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oHDL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open"/>
                  <v:imagedata o:title=""/>
                  <o:lock v:ext="edit" aspectratio="f"/>
                </v:shape>
                <v:shape id="_x0000_s1026" o:spid="_x0000_s1026" o:spt="202" type="#_x0000_t202" style="position:absolute;left:1966;top:3358582;height:1344;width:1976;" filled="f" stroked="f" coordsize="21600,21600" o:gfxdata="UEsDBAoAAAAAAIdO4kAAAAAAAAAAAAAAAAAEAAAAZHJzL1BLAwQUAAAACACHTuJAqJod074AAADc&#10;AAAADwAAAGRycy9kb3ducmV2LnhtbEVPTWvCQBC9C/0PyxS8mY1S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od0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BACEA81">
                        <w:pPr>
                          <w:rPr>
                            <w:rFonts w:hint="default" w:eastAsia="宋体"/>
                            <w:w w:val="99"/>
                            <w:sz w:val="21"/>
                            <w:szCs w:val="21"/>
                            <w:lang w:val="en-US" w:eastAsia="zh-CN"/>
                          </w:rPr>
                        </w:pPr>
                        <w:r>
                          <w:rPr>
                            <w:rFonts w:hint="eastAsia" w:eastAsia="宋体"/>
                            <w:w w:val="99"/>
                            <w:sz w:val="21"/>
                            <w:szCs w:val="21"/>
                            <w:lang w:val="en-US" w:eastAsia="zh-CN"/>
                          </w:rPr>
                          <w:t>加热炉燃烧烟气、无组织烃类、放空燃烧废气、噪声</w:t>
                        </w:r>
                        <w:r>
                          <w:rPr>
                            <w:rFonts w:hint="eastAsia"/>
                            <w:w w:val="99"/>
                            <w:sz w:val="21"/>
                            <w:szCs w:val="21"/>
                            <w:lang w:val="en-US" w:eastAsia="zh-CN"/>
                          </w:rPr>
                          <w:t>、甲醇</w:t>
                        </w:r>
                      </w:p>
                    </w:txbxContent>
                  </v:textbox>
                </v:shape>
                <v:shape id="_x0000_s1026" o:spid="_x0000_s1026" o:spt="202" type="#_x0000_t202" style="position:absolute;left:7451;top:3359014;height:445;width:1935;" filled="f" stroked="f" coordsize="21600,21600" o:gfxdata="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WHC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7DBD2AE1">
                        <w:pPr>
                          <w:rPr>
                            <w:rFonts w:hint="default" w:eastAsia="宋体"/>
                            <w:w w:val="99"/>
                            <w:sz w:val="21"/>
                            <w:szCs w:val="21"/>
                            <w:lang w:val="en-US" w:eastAsia="zh-CN"/>
                          </w:rPr>
                        </w:pPr>
                        <w:r>
                          <w:rPr>
                            <w:rFonts w:hint="eastAsia" w:eastAsia="宋体"/>
                            <w:w w:val="99"/>
                            <w:sz w:val="21"/>
                            <w:szCs w:val="21"/>
                            <w:lang w:val="en-US" w:eastAsia="zh-CN"/>
                          </w:rPr>
                          <w:t>外输</w:t>
                        </w:r>
                      </w:p>
                    </w:txbxContent>
                  </v:textbox>
                </v:shape>
                <v:shape id="_x0000_s1026" o:spid="_x0000_s1026" o:spt="32" type="#_x0000_t32" style="position:absolute;left:6401;top:3359213;height:0;width:1053;" filled="f" stroked="t" coordsize="21600,21600" o:gfxdata="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0hqbr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group>
            </w:pict>
          </mc:Fallback>
        </mc:AlternateContent>
      </w:r>
    </w:p>
    <w:p w14:paraId="375B1B5A">
      <w:pPr>
        <w:rPr>
          <w:rFonts w:hint="eastAsia" w:ascii="Times New Roman" w:hAnsi="Times New Roman" w:eastAsia="宋体" w:cs="Times New Roman"/>
          <w:bCs/>
          <w:color w:val="auto"/>
          <w:w w:val="99"/>
          <w:kern w:val="2"/>
          <w:highlight w:val="none"/>
          <w:lang w:val="en-US" w:eastAsia="zh-CN"/>
        </w:rPr>
      </w:pPr>
    </w:p>
    <w:p w14:paraId="1F0D359B">
      <w:pPr>
        <w:keepNext/>
        <w:keepLines/>
        <w:pageBreakBefore w:val="0"/>
        <w:widowControl/>
        <w:kinsoku/>
        <w:wordWrap/>
        <w:overflowPunct/>
        <w:topLinePunct w:val="0"/>
        <w:autoSpaceDE/>
        <w:autoSpaceDN/>
        <w:bidi w:val="0"/>
        <w:adjustRightInd/>
        <w:snapToGrid/>
        <w:textAlignment w:val="auto"/>
        <w:outlineLvl w:val="9"/>
        <w:rPr>
          <w:rFonts w:hint="default"/>
          <w:color w:val="auto"/>
          <w:highlight w:val="none"/>
          <w:lang w:val="en-US" w:eastAsia="zh-CN"/>
        </w:rPr>
      </w:pPr>
    </w:p>
    <w:p w14:paraId="2D290FAF">
      <w:pPr>
        <w:snapToGrid w:val="0"/>
        <w:spacing w:line="440" w:lineRule="exact"/>
        <w:ind w:firstLine="474" w:firstLineChars="200"/>
        <w:jc w:val="both"/>
        <w:rPr>
          <w:rFonts w:hint="eastAsia" w:ascii="Times New Roman" w:hAnsi="Times New Roman" w:eastAsia="宋体" w:cs="Times New Roman"/>
          <w:bCs/>
          <w:color w:val="auto"/>
          <w:w w:val="99"/>
          <w:kern w:val="2"/>
          <w:highlight w:val="none"/>
          <w:lang w:val="en-US" w:eastAsia="zh-CN"/>
        </w:rPr>
      </w:pPr>
    </w:p>
    <w:p w14:paraId="1734EB2A">
      <w:pPr>
        <w:snapToGrid w:val="0"/>
        <w:spacing w:line="440" w:lineRule="exact"/>
        <w:ind w:firstLine="474" w:firstLineChars="200"/>
        <w:jc w:val="both"/>
        <w:rPr>
          <w:rFonts w:hint="eastAsia" w:ascii="Times New Roman" w:hAnsi="Times New Roman" w:eastAsia="宋体" w:cs="Times New Roman"/>
          <w:bCs/>
          <w:color w:val="auto"/>
          <w:w w:val="99"/>
          <w:kern w:val="2"/>
          <w:highlight w:val="none"/>
          <w:lang w:val="en-US" w:eastAsia="zh-CN"/>
        </w:rPr>
      </w:pPr>
    </w:p>
    <w:p w14:paraId="6177127A">
      <w:pPr>
        <w:snapToGrid w:val="0"/>
        <w:spacing w:line="440" w:lineRule="exact"/>
        <w:ind w:firstLine="474" w:firstLineChars="200"/>
        <w:jc w:val="both"/>
        <w:rPr>
          <w:rFonts w:ascii="Times New Roman" w:hAnsi="Times New Roman" w:cs="Times New Roman"/>
          <w:bCs/>
          <w:color w:val="auto"/>
          <w:w w:val="99"/>
          <w:kern w:val="2"/>
          <w:highlight w:val="none"/>
        </w:rPr>
      </w:pPr>
    </w:p>
    <w:p w14:paraId="0E0FE87B">
      <w:pPr>
        <w:snapToGrid w:val="0"/>
        <w:spacing w:line="440" w:lineRule="exact"/>
        <w:ind w:firstLine="474" w:firstLineChars="200"/>
        <w:jc w:val="both"/>
        <w:rPr>
          <w:rFonts w:ascii="Times New Roman" w:hAnsi="Times New Roman" w:cs="Times New Roman"/>
          <w:bCs/>
          <w:color w:val="auto"/>
          <w:w w:val="99"/>
          <w:kern w:val="2"/>
          <w:highlight w:val="none"/>
        </w:rPr>
      </w:pPr>
    </w:p>
    <w:p w14:paraId="5F912590">
      <w:pPr>
        <w:snapToGrid w:val="0"/>
        <w:spacing w:line="440" w:lineRule="exact"/>
        <w:ind w:firstLine="474" w:firstLineChars="200"/>
        <w:jc w:val="both"/>
        <w:rPr>
          <w:rFonts w:ascii="Times New Roman" w:hAnsi="Times New Roman" w:cs="Times New Roman"/>
          <w:bCs/>
          <w:color w:val="auto"/>
          <w:w w:val="99"/>
          <w:kern w:val="2"/>
          <w:highlight w:val="none"/>
        </w:rPr>
      </w:pPr>
    </w:p>
    <w:p w14:paraId="087E1A1A">
      <w:pPr>
        <w:keepNext/>
        <w:keepLines/>
        <w:pageBreakBefore w:val="0"/>
        <w:widowControl/>
        <w:kinsoku/>
        <w:wordWrap/>
        <w:overflowPunct/>
        <w:topLinePunct w:val="0"/>
        <w:autoSpaceDE/>
        <w:autoSpaceDN/>
        <w:bidi w:val="0"/>
        <w:adjustRightInd/>
        <w:snapToGrid/>
        <w:spacing w:line="440" w:lineRule="exact"/>
        <w:jc w:val="center"/>
        <w:textAlignment w:val="auto"/>
        <w:outlineLvl w:val="9"/>
        <w:rPr>
          <w:rFonts w:ascii="Times New Roman" w:hAnsi="Times New Roman" w:eastAsia="宋体" w:cs="Times New Roman"/>
          <w:b/>
          <w:bCs w:val="0"/>
          <w:color w:val="auto"/>
          <w:w w:val="99"/>
          <w:kern w:val="2"/>
          <w:sz w:val="24"/>
          <w:szCs w:val="24"/>
          <w:highlight w:val="none"/>
          <w:lang w:val="en-US" w:eastAsia="zh-CN" w:bidi="ar-SA"/>
        </w:rPr>
      </w:pPr>
      <w:r>
        <w:rPr>
          <w:rFonts w:ascii="Times New Roman" w:hAnsi="Times New Roman" w:eastAsia="宋体" w:cs="Times New Roman"/>
          <w:b/>
          <w:bCs w:val="0"/>
          <w:color w:val="auto"/>
          <w:w w:val="99"/>
          <w:kern w:val="2"/>
          <w:sz w:val="24"/>
          <w:szCs w:val="24"/>
          <w:highlight w:val="none"/>
          <w:lang w:val="en-US" w:eastAsia="zh-CN" w:bidi="ar-SA"/>
        </w:rPr>
        <w:t>图</w:t>
      </w:r>
      <w:r>
        <w:rPr>
          <w:rFonts w:hint="eastAsia" w:ascii="Times New Roman" w:hAnsi="Times New Roman" w:cs="Times New Roman"/>
          <w:b/>
          <w:bCs w:val="0"/>
          <w:color w:val="auto"/>
          <w:w w:val="99"/>
          <w:kern w:val="2"/>
          <w:sz w:val="24"/>
          <w:szCs w:val="24"/>
          <w:highlight w:val="none"/>
          <w:lang w:val="en-US" w:eastAsia="zh-CN" w:bidi="ar-SA"/>
        </w:rPr>
        <w:t>3.10-3</w:t>
      </w:r>
      <w:r>
        <w:rPr>
          <w:rFonts w:ascii="Times New Roman" w:hAnsi="Times New Roman" w:eastAsia="宋体" w:cs="Times New Roman"/>
          <w:b/>
          <w:bCs w:val="0"/>
          <w:color w:val="auto"/>
          <w:w w:val="99"/>
          <w:kern w:val="2"/>
          <w:sz w:val="24"/>
          <w:szCs w:val="24"/>
          <w:highlight w:val="none"/>
          <w:lang w:val="en-US" w:eastAsia="zh-CN" w:bidi="ar-SA"/>
        </w:rPr>
        <w:t xml:space="preserve"> 本项目运营期工艺流程及产污环节图</w:t>
      </w:r>
    </w:p>
    <w:p w14:paraId="470A3519">
      <w:pPr>
        <w:snapToGrid w:val="0"/>
        <w:spacing w:line="440" w:lineRule="exact"/>
        <w:ind w:firstLine="474" w:firstLineChars="200"/>
        <w:jc w:val="both"/>
        <w:rPr>
          <w:rFonts w:ascii="Times New Roman" w:hAnsi="Times New Roman" w:cs="Times New Roman"/>
          <w:bCs/>
          <w:color w:val="auto"/>
          <w:w w:val="99"/>
          <w:kern w:val="2"/>
          <w:highlight w:val="none"/>
        </w:rPr>
      </w:pPr>
      <w:r>
        <w:rPr>
          <w:rFonts w:ascii="Times New Roman" w:hAnsi="Times New Roman" w:cs="Times New Roman"/>
          <w:bCs/>
          <w:color w:val="auto"/>
          <w:w w:val="99"/>
          <w:kern w:val="2"/>
          <w:highlight w:val="none"/>
        </w:rPr>
        <w:t>正常工况下，本项目运营期主要新增污染源为井场、场站无组织挥发烃类气体（非甲烷总烃）、气田采出水、</w:t>
      </w:r>
      <w:r>
        <w:rPr>
          <w:rFonts w:hint="eastAsia" w:ascii="Times New Roman" w:hAnsi="Times New Roman" w:cs="Times New Roman"/>
          <w:bCs/>
          <w:color w:val="auto"/>
          <w:w w:val="99"/>
          <w:kern w:val="2"/>
          <w:highlight w:val="none"/>
          <w:lang w:val="en-US" w:eastAsia="zh-CN"/>
        </w:rPr>
        <w:t>井场放空</w:t>
      </w:r>
      <w:r>
        <w:rPr>
          <w:rFonts w:ascii="Times New Roman" w:hAnsi="Times New Roman" w:cs="Times New Roman"/>
          <w:bCs/>
          <w:color w:val="auto"/>
          <w:w w:val="99"/>
          <w:kern w:val="2"/>
          <w:highlight w:val="none"/>
        </w:rPr>
        <w:t>噪声。</w:t>
      </w:r>
    </w:p>
    <w:p w14:paraId="7DD6132B">
      <w:pPr>
        <w:snapToGrid w:val="0"/>
        <w:spacing w:line="440" w:lineRule="exact"/>
        <w:ind w:firstLine="474" w:firstLineChars="200"/>
        <w:jc w:val="both"/>
        <w:rPr>
          <w:rFonts w:ascii="Times New Roman" w:hAnsi="Times New Roman" w:eastAsia="宋体" w:cs="Times New Roman"/>
          <w:bCs/>
          <w:color w:val="auto"/>
          <w:w w:val="99"/>
          <w:kern w:val="2"/>
          <w:highlight w:val="none"/>
        </w:rPr>
      </w:pPr>
      <w:r>
        <w:rPr>
          <w:rFonts w:hint="eastAsia" w:ascii="Times New Roman" w:hAnsi="Times New Roman" w:eastAsia="宋体" w:cs="Times New Roman"/>
          <w:bCs/>
          <w:color w:val="auto"/>
          <w:w w:val="99"/>
          <w:kern w:val="2"/>
          <w:highlight w:val="none"/>
          <w:lang w:eastAsia="zh-CN"/>
        </w:rPr>
        <w:t>（</w:t>
      </w:r>
      <w:r>
        <w:rPr>
          <w:rFonts w:hint="eastAsia" w:ascii="Times New Roman" w:hAnsi="Times New Roman" w:eastAsia="宋体" w:cs="Times New Roman"/>
          <w:bCs/>
          <w:color w:val="auto"/>
          <w:w w:val="99"/>
          <w:kern w:val="2"/>
          <w:highlight w:val="none"/>
          <w:lang w:val="en-US" w:eastAsia="zh-CN"/>
        </w:rPr>
        <w:t>2</w:t>
      </w:r>
      <w:r>
        <w:rPr>
          <w:rFonts w:hint="eastAsia" w:ascii="Times New Roman" w:hAnsi="Times New Roman" w:eastAsia="宋体" w:cs="Times New Roman"/>
          <w:bCs/>
          <w:color w:val="auto"/>
          <w:w w:val="99"/>
          <w:kern w:val="2"/>
          <w:highlight w:val="none"/>
          <w:lang w:eastAsia="zh-CN"/>
        </w:rPr>
        <w:t>）</w:t>
      </w:r>
      <w:r>
        <w:rPr>
          <w:rFonts w:ascii="Times New Roman" w:hAnsi="Times New Roman" w:eastAsia="宋体" w:cs="Times New Roman"/>
          <w:bCs/>
          <w:color w:val="auto"/>
          <w:w w:val="99"/>
          <w:kern w:val="2"/>
          <w:highlight w:val="none"/>
        </w:rPr>
        <w:t xml:space="preserve"> 非正常工况 </w:t>
      </w:r>
    </w:p>
    <w:p w14:paraId="0CE6B43A">
      <w:pPr>
        <w:snapToGrid w:val="0"/>
        <w:spacing w:line="440" w:lineRule="exact"/>
        <w:ind w:firstLine="474" w:firstLineChars="200"/>
        <w:jc w:val="both"/>
        <w:rPr>
          <w:rFonts w:hint="eastAsia" w:ascii="Times New Roman" w:hAnsi="Times New Roman" w:cs="Times New Roman"/>
          <w:bCs/>
          <w:color w:val="auto"/>
          <w:w w:val="99"/>
          <w:kern w:val="2"/>
          <w:highlight w:val="none"/>
          <w:lang w:val="en-US" w:eastAsia="zh-CN"/>
        </w:rPr>
      </w:pPr>
      <w:r>
        <w:rPr>
          <w:rFonts w:hint="eastAsia" w:ascii="Times New Roman" w:hAnsi="Times New Roman" w:cs="Times New Roman"/>
          <w:bCs/>
          <w:color w:val="auto"/>
          <w:w w:val="99"/>
          <w:kern w:val="2"/>
          <w:highlight w:val="none"/>
          <w:lang w:val="en-US" w:eastAsia="zh-CN"/>
        </w:rPr>
        <w:t>本项目非正常工况下，主要是气井井场检修过程中放空燃烧废气、放空噪声等，井口除砂器产生少量井口砂粒。井口砂粒属于危险废物，由检维修队送采气分公司危险废物贮存库内，定期委托有危废处置资质的单位处置。</w:t>
      </w:r>
    </w:p>
    <w:p w14:paraId="3F612DD2">
      <w:pPr>
        <w:widowControl w:val="0"/>
        <w:spacing w:line="440" w:lineRule="exact"/>
        <w:jc w:val="both"/>
        <w:outlineLvl w:val="3"/>
        <w:rPr>
          <w:rFonts w:ascii="Times New Roman" w:hAnsi="Times New Roman" w:cs="Times New Roman"/>
          <w:b/>
          <w:color w:val="auto"/>
          <w:w w:val="99"/>
          <w:highlight w:val="none"/>
        </w:rPr>
      </w:pPr>
      <w:r>
        <w:rPr>
          <w:rFonts w:hint="eastAsia" w:ascii="Times New Roman" w:hAnsi="Times New Roman" w:cs="Times New Roman"/>
          <w:b/>
          <w:color w:val="auto"/>
          <w:w w:val="99"/>
          <w:highlight w:val="none"/>
          <w:lang w:eastAsia="zh-CN"/>
        </w:rPr>
        <w:t>3.1</w:t>
      </w:r>
      <w:r>
        <w:rPr>
          <w:rFonts w:hint="eastAsia" w:ascii="Times New Roman" w:hAnsi="Times New Roman" w:cs="Times New Roman"/>
          <w:b/>
          <w:color w:val="auto"/>
          <w:w w:val="99"/>
          <w:highlight w:val="none"/>
          <w:lang w:val="en-US" w:eastAsia="zh-CN"/>
        </w:rPr>
        <w:t>0.</w:t>
      </w:r>
      <w:r>
        <w:rPr>
          <w:rFonts w:ascii="Times New Roman" w:hAnsi="Times New Roman" w:cs="Times New Roman"/>
          <w:b/>
          <w:color w:val="auto"/>
          <w:w w:val="99"/>
          <w:highlight w:val="none"/>
        </w:rPr>
        <w:t>1.3退役期</w:t>
      </w:r>
    </w:p>
    <w:p w14:paraId="3BB1F7A9">
      <w:pPr>
        <w:snapToGrid w:val="0"/>
        <w:spacing w:line="440" w:lineRule="exact"/>
        <w:ind w:firstLine="474" w:firstLineChars="200"/>
        <w:jc w:val="both"/>
        <w:rPr>
          <w:rFonts w:ascii="Times New Roman" w:hAnsi="Times New Roman" w:eastAsia="宋体" w:cs="Times New Roman"/>
          <w:bCs/>
          <w:color w:val="auto"/>
          <w:w w:val="99"/>
          <w:kern w:val="2"/>
          <w:highlight w:val="none"/>
        </w:rPr>
      </w:pPr>
      <w:r>
        <w:rPr>
          <w:rFonts w:ascii="Times New Roman" w:hAnsi="Times New Roman" w:eastAsia="宋体" w:cs="Times New Roman"/>
          <w:bCs/>
          <w:color w:val="auto"/>
          <w:w w:val="99"/>
          <w:kern w:val="2"/>
          <w:highlight w:val="none"/>
        </w:rPr>
        <w:t>本项目退役期是建设项目气井产能逐年递减，至最后气井关停、站场关停、管线停用，站场设备、井场设备、光伏发电设备拆除。该时段主要是气井的陆续停运、关闭和恢复土地使用功能时段。项目退役期作业主要包括井筒试压、打底塞试压、储气层挤堵、打水泥塞并加压候凝等气井封堵作业、拆除井场、拆除光伏发电设备、站场地面的采气设施、平整场地对井场等占地进行生态恢复、管线两端用混凝土封堵后埋地等。项目气井封堵作业应严格执行中华人民共和国天然气行业标准《废弃井及长停井处置指南》（SY/T6646-2017）的要求。闭井应采用注水泥塞封堵作业来保护淡水层，同时阻止地层流体在井内运移。封堵和闭井作业一般自下而上进行，封隔从井底到地面的各个层段，最终达到闭井作业的目的。正确的封堵方式能够保证封堵效果，包括在裸眼井注水泥塞；在套管被割断位置注水泥塞或坐封桥塞；在注采层位的射孔井段以上注水泥塞或坐封桥塞；最深淡水层的底部注水泥塞或坐封桥塞等。管道退役后，采用混凝土对两端管口进行封堵埋地。退役期将产生的固体废物（建筑垃圾等）集中进行收集，拉运至建筑垃圾</w:t>
      </w:r>
      <w:r>
        <w:rPr>
          <w:rFonts w:hint="eastAsia" w:ascii="Times New Roman" w:hAnsi="Times New Roman" w:eastAsia="宋体" w:cs="Times New Roman"/>
          <w:bCs/>
          <w:color w:val="auto"/>
          <w:w w:val="99"/>
          <w:kern w:val="2"/>
          <w:highlight w:val="none"/>
          <w:lang w:val="en-US" w:eastAsia="zh-CN"/>
        </w:rPr>
        <w:t>调配场</w:t>
      </w:r>
      <w:r>
        <w:rPr>
          <w:rFonts w:ascii="Times New Roman" w:hAnsi="Times New Roman" w:eastAsia="宋体" w:cs="Times New Roman"/>
          <w:bCs/>
          <w:color w:val="auto"/>
          <w:w w:val="99"/>
          <w:kern w:val="2"/>
          <w:highlight w:val="none"/>
        </w:rPr>
        <w:t>处理；产生的废旧设备由财务资产库进行回收。</w:t>
      </w:r>
    </w:p>
    <w:p w14:paraId="36950D81">
      <w:pPr>
        <w:keepNext w:val="0"/>
        <w:keepLines w:val="0"/>
        <w:pageBreakBefore w:val="0"/>
        <w:widowControl w:val="0"/>
        <w:kinsoku/>
        <w:wordWrap/>
        <w:overflowPunct/>
        <w:topLinePunct w:val="0"/>
        <w:autoSpaceDE/>
        <w:autoSpaceDN/>
        <w:bidi w:val="0"/>
        <w:adjustRightInd/>
        <w:snapToGrid/>
        <w:spacing w:before="60" w:after="60" w:line="240" w:lineRule="auto"/>
        <w:jc w:val="center"/>
        <w:textAlignment w:val="auto"/>
        <w:outlineLvl w:val="9"/>
        <w:rPr>
          <w:rFonts w:ascii="宋体" w:hAnsi="宋体" w:eastAsia="宋体" w:cs="宋体"/>
          <w:color w:val="auto"/>
          <w:kern w:val="0"/>
          <w:sz w:val="24"/>
          <w:szCs w:val="24"/>
          <w:highlight w:val="none"/>
          <w:lang w:val="en-US" w:eastAsia="zh-CN" w:bidi="ar"/>
        </w:rPr>
      </w:pPr>
      <w:bookmarkStart w:id="523" w:name="_Toc80588273"/>
      <w:bookmarkStart w:id="524" w:name="_Toc77067676"/>
      <w:bookmarkStart w:id="525" w:name="_Toc186444301"/>
      <w:bookmarkStart w:id="526" w:name="_Toc83209495"/>
      <w:bookmarkStart w:id="527" w:name="_Toc67860153"/>
      <w:bookmarkStart w:id="528" w:name="_Toc78816478"/>
      <w:bookmarkStart w:id="529" w:name="_Toc76976264"/>
      <w:bookmarkStart w:id="530" w:name="_Toc80971395"/>
      <w:bookmarkStart w:id="531" w:name="_Toc70050202"/>
      <w:r>
        <w:rPr>
          <w:rFonts w:ascii="宋体" w:hAnsi="宋体" w:eastAsia="宋体" w:cs="宋体"/>
          <w:color w:val="auto"/>
          <w:kern w:val="0"/>
          <w:sz w:val="24"/>
          <w:szCs w:val="24"/>
          <w:highlight w:val="none"/>
          <w:lang w:val="en-US" w:eastAsia="zh-CN" w:bidi="ar"/>
        </w:rPr>
        <w:drawing>
          <wp:inline distT="0" distB="0" distL="114300" distR="114300">
            <wp:extent cx="3590925" cy="3400425"/>
            <wp:effectExtent l="0" t="0" r="9525" b="9525"/>
            <wp:docPr id="15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 descr="IMG_256"/>
                    <pic:cNvPicPr>
                      <a:picLocks noChangeAspect="1"/>
                    </pic:cNvPicPr>
                  </pic:nvPicPr>
                  <pic:blipFill>
                    <a:blip r:embed="rId45"/>
                    <a:stretch>
                      <a:fillRect/>
                    </a:stretch>
                  </pic:blipFill>
                  <pic:spPr>
                    <a:xfrm>
                      <a:off x="0" y="0"/>
                      <a:ext cx="3590925" cy="3400425"/>
                    </a:xfrm>
                    <a:prstGeom prst="rect">
                      <a:avLst/>
                    </a:prstGeom>
                    <a:noFill/>
                    <a:ln w="9525">
                      <a:noFill/>
                    </a:ln>
                  </pic:spPr>
                </pic:pic>
              </a:graphicData>
            </a:graphic>
          </wp:inline>
        </w:drawing>
      </w:r>
    </w:p>
    <w:p w14:paraId="12067774">
      <w:pPr>
        <w:keepNext/>
        <w:keepLines/>
        <w:pageBreakBefore w:val="0"/>
        <w:widowControl/>
        <w:kinsoku/>
        <w:wordWrap/>
        <w:overflowPunct/>
        <w:topLinePunct w:val="0"/>
        <w:autoSpaceDE/>
        <w:autoSpaceDN/>
        <w:bidi w:val="0"/>
        <w:adjustRightInd/>
        <w:snapToGrid/>
        <w:spacing w:line="440" w:lineRule="exact"/>
        <w:jc w:val="center"/>
        <w:textAlignment w:val="auto"/>
        <w:outlineLvl w:val="9"/>
        <w:rPr>
          <w:rFonts w:hint="default" w:ascii="Times New Roman" w:hAnsi="Times New Roman" w:eastAsia="宋体" w:cs="Times New Roman"/>
          <w:b/>
          <w:bCs w:val="0"/>
          <w:color w:val="auto"/>
          <w:w w:val="99"/>
          <w:kern w:val="2"/>
          <w:sz w:val="24"/>
          <w:szCs w:val="24"/>
          <w:highlight w:val="none"/>
          <w:lang w:val="en-US" w:eastAsia="zh-CN" w:bidi="ar-SA"/>
        </w:rPr>
      </w:pPr>
      <w:r>
        <w:rPr>
          <w:rFonts w:hint="eastAsia" w:ascii="Times New Roman" w:hAnsi="Times New Roman" w:eastAsia="宋体" w:cs="Times New Roman"/>
          <w:b/>
          <w:bCs w:val="0"/>
          <w:color w:val="auto"/>
          <w:w w:val="99"/>
          <w:kern w:val="2"/>
          <w:sz w:val="24"/>
          <w:szCs w:val="24"/>
          <w:highlight w:val="none"/>
          <w:lang w:val="en-US" w:eastAsia="zh-CN" w:bidi="ar-SA"/>
        </w:rPr>
        <w:t>图3.1</w:t>
      </w:r>
      <w:r>
        <w:rPr>
          <w:rFonts w:hint="eastAsia" w:ascii="Times New Roman" w:hAnsi="Times New Roman" w:cs="Times New Roman"/>
          <w:b/>
          <w:bCs w:val="0"/>
          <w:color w:val="auto"/>
          <w:w w:val="99"/>
          <w:kern w:val="2"/>
          <w:sz w:val="24"/>
          <w:szCs w:val="24"/>
          <w:highlight w:val="none"/>
          <w:lang w:val="en-US" w:eastAsia="zh-CN" w:bidi="ar-SA"/>
        </w:rPr>
        <w:t>0</w:t>
      </w:r>
      <w:r>
        <w:rPr>
          <w:rFonts w:hint="eastAsia" w:ascii="Times New Roman" w:hAnsi="Times New Roman" w:eastAsia="宋体" w:cs="Times New Roman"/>
          <w:b/>
          <w:bCs w:val="0"/>
          <w:color w:val="auto"/>
          <w:w w:val="99"/>
          <w:kern w:val="2"/>
          <w:sz w:val="24"/>
          <w:szCs w:val="24"/>
          <w:highlight w:val="none"/>
          <w:lang w:val="en-US" w:eastAsia="zh-CN" w:bidi="ar-SA"/>
        </w:rPr>
        <w:t>-4   退役期工艺流程及产污节点图</w:t>
      </w:r>
    </w:p>
    <w:p w14:paraId="0FF5F5E4">
      <w:pPr>
        <w:pStyle w:val="7"/>
        <w:keepNext w:val="0"/>
        <w:keepLines w:val="0"/>
        <w:widowControl w:val="0"/>
        <w:spacing w:before="60" w:after="60" w:line="440" w:lineRule="exact"/>
        <w:jc w:val="both"/>
        <w:rPr>
          <w:rFonts w:eastAsia="宋体"/>
          <w:b/>
          <w:color w:val="auto"/>
          <w:w w:val="99"/>
          <w:kern w:val="2"/>
          <w:sz w:val="24"/>
          <w:szCs w:val="24"/>
          <w:highlight w:val="none"/>
        </w:rPr>
      </w:pPr>
      <w:r>
        <w:rPr>
          <w:rFonts w:hint="eastAsia" w:eastAsia="宋体"/>
          <w:b/>
          <w:color w:val="auto"/>
          <w:w w:val="99"/>
          <w:kern w:val="2"/>
          <w:sz w:val="24"/>
          <w:szCs w:val="24"/>
          <w:highlight w:val="none"/>
          <w:lang w:eastAsia="zh-CN"/>
        </w:rPr>
        <w:t>3.1</w:t>
      </w:r>
      <w:r>
        <w:rPr>
          <w:rFonts w:hint="eastAsia" w:eastAsia="宋体"/>
          <w:b/>
          <w:color w:val="auto"/>
          <w:w w:val="99"/>
          <w:kern w:val="2"/>
          <w:sz w:val="24"/>
          <w:szCs w:val="24"/>
          <w:highlight w:val="none"/>
          <w:lang w:val="en-US" w:eastAsia="zh-CN"/>
        </w:rPr>
        <w:t>0</w:t>
      </w:r>
      <w:r>
        <w:rPr>
          <w:rFonts w:eastAsia="宋体"/>
          <w:b/>
          <w:color w:val="auto"/>
          <w:w w:val="99"/>
          <w:kern w:val="2"/>
          <w:sz w:val="24"/>
          <w:szCs w:val="24"/>
          <w:highlight w:val="none"/>
        </w:rPr>
        <w:t>.2生态影响因素分析</w:t>
      </w:r>
      <w:bookmarkEnd w:id="523"/>
      <w:bookmarkEnd w:id="524"/>
      <w:bookmarkEnd w:id="525"/>
      <w:bookmarkEnd w:id="526"/>
      <w:bookmarkEnd w:id="527"/>
      <w:bookmarkEnd w:id="528"/>
      <w:bookmarkEnd w:id="529"/>
      <w:bookmarkEnd w:id="530"/>
      <w:bookmarkEnd w:id="531"/>
    </w:p>
    <w:p w14:paraId="4B9B27A2">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（1）施工期</w:t>
      </w:r>
    </w:p>
    <w:p w14:paraId="0B3322F1">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本项目施工期生态影响主要来自施工土壤扰动、地表植被破坏、土地占用导致的土地类型利用改变与对原有动植物的侵扰，以及道路、管线等线性工程导致的区域整体景观破碎化程度上升等。</w:t>
      </w:r>
    </w:p>
    <w:p w14:paraId="1DED4A66">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①占用土地</w:t>
      </w:r>
    </w:p>
    <w:p w14:paraId="1C379589">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本工程</w:t>
      </w:r>
      <w:r>
        <w:rPr>
          <w:rFonts w:hint="default" w:ascii="Times New Roman" w:hAnsi="Times New Roman" w:cs="Times New Roman"/>
          <w:color w:val="auto"/>
          <w:w w:val="99"/>
          <w:kern w:val="2"/>
          <w:szCs w:val="20"/>
          <w:highlight w:val="none"/>
          <w:lang w:val="en-US" w:eastAsia="zh-CN"/>
        </w:rPr>
        <w:t>基建</w:t>
      </w:r>
      <w:r>
        <w:rPr>
          <w:rFonts w:hint="eastAsia" w:ascii="Times New Roman" w:hAnsi="Times New Roman" w:cs="Times New Roman"/>
          <w:color w:val="auto"/>
          <w:w w:val="99"/>
          <w:kern w:val="2"/>
          <w:szCs w:val="20"/>
          <w:highlight w:val="none"/>
          <w:lang w:val="en-US" w:eastAsia="zh-CN"/>
        </w:rPr>
        <w:t>1</w:t>
      </w:r>
      <w:r>
        <w:rPr>
          <w:rFonts w:hint="default" w:ascii="Times New Roman" w:hAnsi="Times New Roman" w:cs="Times New Roman"/>
          <w:color w:val="auto"/>
          <w:w w:val="99"/>
          <w:kern w:val="2"/>
          <w:szCs w:val="20"/>
          <w:highlight w:val="none"/>
          <w:lang w:val="en-US" w:eastAsia="zh-CN"/>
        </w:rPr>
        <w:t>口</w:t>
      </w:r>
      <w:r>
        <w:rPr>
          <w:rFonts w:hint="eastAsia" w:ascii="Times New Roman" w:hAnsi="Times New Roman" w:cs="Times New Roman"/>
          <w:color w:val="auto"/>
          <w:w w:val="99"/>
          <w:kern w:val="2"/>
          <w:szCs w:val="20"/>
          <w:highlight w:val="none"/>
          <w:lang w:val="en-US" w:eastAsia="zh-CN"/>
        </w:rPr>
        <w:t>气井、1座徐深27集气站改建，</w:t>
      </w:r>
      <w:r>
        <w:rPr>
          <w:rFonts w:hint="eastAsia" w:ascii="Times New Roman" w:hAnsi="Times New Roman" w:eastAsia="宋体" w:cs="Times New Roman"/>
          <w:snapToGrid w:val="0"/>
          <w:color w:val="auto"/>
          <w:w w:val="99"/>
          <w:highlight w:val="none"/>
          <w:lang w:val="en-US" w:eastAsia="zh-CN"/>
        </w:rPr>
        <w:t>配套建设道路工程、供配电工程、自动控制、通信工程等</w:t>
      </w:r>
      <w:r>
        <w:rPr>
          <w:rFonts w:hint="default" w:ascii="Times New Roman" w:hAnsi="Times New Roman" w:cs="Times New Roman"/>
          <w:color w:val="auto"/>
          <w:w w:val="99"/>
          <w:kern w:val="2"/>
          <w:szCs w:val="20"/>
          <w:highlight w:val="none"/>
          <w:lang w:val="en-US" w:eastAsia="zh-CN"/>
        </w:rPr>
        <w:t>。</w:t>
      </w:r>
      <w:r>
        <w:rPr>
          <w:rFonts w:hint="eastAsia" w:ascii="Times New Roman" w:hAnsi="Times New Roman" w:cs="Times New Roman"/>
          <w:color w:val="auto"/>
          <w:w w:val="99"/>
          <w:kern w:val="2"/>
          <w:szCs w:val="20"/>
          <w:highlight w:val="none"/>
          <w:lang w:val="en-US" w:eastAsia="zh-CN"/>
        </w:rPr>
        <w:t>新增总占地面积为2.013</w:t>
      </w:r>
      <w:r>
        <w:rPr>
          <w:rFonts w:hint="default" w:ascii="Times New Roman" w:hAnsi="Times New Roman" w:cs="Times New Roman"/>
          <w:color w:val="auto"/>
          <w:w w:val="99"/>
          <w:kern w:val="2"/>
          <w:szCs w:val="20"/>
          <w:highlight w:val="none"/>
          <w:lang w:val="en-US" w:eastAsia="zh-CN"/>
        </w:rPr>
        <w:t>hm</w:t>
      </w:r>
      <w:r>
        <w:rPr>
          <w:rFonts w:hint="default" w:ascii="Times New Roman" w:hAnsi="Times New Roman" w:cs="Times New Roman"/>
          <w:color w:val="auto"/>
          <w:w w:val="99"/>
          <w:kern w:val="2"/>
          <w:szCs w:val="20"/>
          <w:highlight w:val="none"/>
          <w:vertAlign w:val="superscript"/>
          <w:lang w:val="en-US" w:eastAsia="zh-CN"/>
        </w:rPr>
        <w:t>2</w:t>
      </w:r>
      <w:r>
        <w:rPr>
          <w:rFonts w:hint="default" w:ascii="Times New Roman" w:hAnsi="Times New Roman" w:cs="Times New Roman"/>
          <w:color w:val="auto"/>
          <w:w w:val="99"/>
          <w:kern w:val="2"/>
          <w:szCs w:val="20"/>
          <w:highlight w:val="none"/>
          <w:lang w:val="en-US" w:eastAsia="zh-CN"/>
        </w:rPr>
        <w:t>，</w:t>
      </w:r>
      <w:r>
        <w:rPr>
          <w:rFonts w:hint="eastAsia" w:ascii="Times New Roman" w:hAnsi="Times New Roman" w:cs="Times New Roman"/>
          <w:color w:val="auto"/>
          <w:w w:val="99"/>
          <w:kern w:val="2"/>
          <w:szCs w:val="20"/>
          <w:highlight w:val="none"/>
          <w:lang w:val="en-US" w:eastAsia="zh-CN"/>
        </w:rPr>
        <w:t>其中</w:t>
      </w:r>
      <w:r>
        <w:rPr>
          <w:rFonts w:hint="default" w:ascii="Times New Roman" w:hAnsi="Times New Roman" w:cs="Times New Roman"/>
          <w:color w:val="auto"/>
          <w:w w:val="99"/>
          <w:kern w:val="2"/>
          <w:szCs w:val="20"/>
          <w:highlight w:val="none"/>
          <w:lang w:val="en-US" w:eastAsia="zh-CN"/>
        </w:rPr>
        <w:t>永久</w:t>
      </w:r>
      <w:r>
        <w:rPr>
          <w:rFonts w:hint="eastAsia" w:ascii="Times New Roman" w:hAnsi="Times New Roman" w:cs="Times New Roman"/>
          <w:color w:val="auto"/>
          <w:w w:val="99"/>
          <w:kern w:val="2"/>
          <w:szCs w:val="20"/>
          <w:highlight w:val="none"/>
          <w:lang w:val="en-US" w:eastAsia="zh-CN"/>
        </w:rPr>
        <w:t>占地0.0901</w:t>
      </w:r>
      <w:r>
        <w:rPr>
          <w:rFonts w:hint="default" w:ascii="Times New Roman" w:hAnsi="Times New Roman" w:cs="Times New Roman"/>
          <w:color w:val="auto"/>
          <w:w w:val="99"/>
          <w:kern w:val="2"/>
          <w:szCs w:val="20"/>
          <w:highlight w:val="none"/>
          <w:lang w:val="en-US" w:eastAsia="zh-CN"/>
        </w:rPr>
        <w:t>hm</w:t>
      </w:r>
      <w:r>
        <w:rPr>
          <w:rFonts w:hint="default" w:ascii="Times New Roman" w:hAnsi="Times New Roman" w:cs="Times New Roman"/>
          <w:color w:val="auto"/>
          <w:w w:val="99"/>
          <w:kern w:val="2"/>
          <w:szCs w:val="20"/>
          <w:highlight w:val="none"/>
          <w:vertAlign w:val="superscript"/>
          <w:lang w:val="en-US" w:eastAsia="zh-CN"/>
        </w:rPr>
        <w:t>2</w:t>
      </w:r>
      <w:r>
        <w:rPr>
          <w:rFonts w:hint="eastAsia" w:ascii="Times New Roman" w:hAnsi="Times New Roman" w:cs="Times New Roman"/>
          <w:color w:val="auto"/>
          <w:w w:val="99"/>
          <w:kern w:val="2"/>
          <w:szCs w:val="20"/>
          <w:highlight w:val="none"/>
          <w:lang w:val="en-US" w:eastAsia="zh-CN"/>
        </w:rPr>
        <w:t>（基本农田）；临时占地1.9229</w:t>
      </w:r>
      <w:r>
        <w:rPr>
          <w:rFonts w:hint="default" w:ascii="Times New Roman" w:hAnsi="Times New Roman" w:cs="Times New Roman"/>
          <w:color w:val="auto"/>
          <w:w w:val="99"/>
          <w:kern w:val="2"/>
          <w:szCs w:val="20"/>
          <w:highlight w:val="none"/>
          <w:lang w:val="en-US" w:eastAsia="zh-CN"/>
        </w:rPr>
        <w:t>hm</w:t>
      </w:r>
      <w:r>
        <w:rPr>
          <w:rFonts w:hint="default" w:ascii="Times New Roman" w:hAnsi="Times New Roman" w:cs="Times New Roman"/>
          <w:color w:val="auto"/>
          <w:w w:val="99"/>
          <w:kern w:val="2"/>
          <w:szCs w:val="20"/>
          <w:highlight w:val="none"/>
          <w:vertAlign w:val="superscript"/>
          <w:lang w:val="en-US" w:eastAsia="zh-CN"/>
        </w:rPr>
        <w:t>2</w:t>
      </w:r>
      <w:r>
        <w:rPr>
          <w:rFonts w:hint="eastAsia" w:ascii="Times New Roman" w:hAnsi="Times New Roman" w:cs="Times New Roman"/>
          <w:color w:val="auto"/>
          <w:w w:val="99"/>
          <w:kern w:val="2"/>
          <w:szCs w:val="20"/>
          <w:highlight w:val="none"/>
          <w:lang w:val="en-US" w:eastAsia="zh-CN"/>
        </w:rPr>
        <w:t>。</w:t>
      </w:r>
    </w:p>
    <w:p w14:paraId="29BCFDEF">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永久占用的土地将永久性的改变土地利用结构和功能；临时占地将在短期改变土地利用的结构和功能，但施工结束后可恢复原有使用功能。</w:t>
      </w:r>
    </w:p>
    <w:p w14:paraId="4D7BBC19">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②破坏植被</w:t>
      </w:r>
    </w:p>
    <w:p w14:paraId="5C786A87">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施工期对植物的影响主要表现在对永久占地和临时占地范围内地表植被的清理、占压及施工人群的干扰。项目施工不但造成直接破坏区的植被剥离，还将对间接破坏区的植被造成压占，将导致局部区域生物量的减少。</w:t>
      </w:r>
    </w:p>
    <w:p w14:paraId="6F855BAE">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③破坏、污染土壤</w:t>
      </w:r>
    </w:p>
    <w:p w14:paraId="7F689143">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本项目对土壤的影响主要表现为对土壤性质、土壤肥力和土壤污染的影响三个方面。项目土方的开挖和回填，将造成土壤结构的改变，进而导致土壤肥力的降低，对当地农作物等植被的生长和产量造成一定影响。</w:t>
      </w:r>
    </w:p>
    <w:p w14:paraId="729B4B1C">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④破坏景观</w:t>
      </w:r>
    </w:p>
    <w:p w14:paraId="2EE19FE6">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项目建设对原有景观的连通性造成一定程度的破坏影响，同时在施工期形成点状、线状工程建设景观。项目建设对景观格局和功能产生临时性的影响。</w:t>
      </w:r>
    </w:p>
    <w:p w14:paraId="06A0EA95">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⑤破坏干扰生态系统</w:t>
      </w:r>
    </w:p>
    <w:p w14:paraId="52DEEFF4">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项目建设将对评价区内的农田生态系统产生一定的不利影响，使局部生态系统受到一定程度的破坏干扰。</w:t>
      </w:r>
    </w:p>
    <w:p w14:paraId="64ACECBF">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⑥水土流失</w:t>
      </w:r>
    </w:p>
    <w:p w14:paraId="711CECB8">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项目井场、站场及管线施工扰动，将使施工区域周围的土壤结构和地表植被遭到破坏，打破了地表的原有平衡状态，使得土壤结构变松，加剧区域的水土流失。</w:t>
      </w:r>
    </w:p>
    <w:p w14:paraId="279E550E">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（2）运行期</w:t>
      </w:r>
    </w:p>
    <w:p w14:paraId="1EE35354">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本项目建成后，临时占地得到有效的填充平整、恢复植被，道路两侧及站场周围植被得到恢复，以降低土地沙漠化，减少水土流失。</w:t>
      </w:r>
    </w:p>
    <w:p w14:paraId="355A5096">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本项目生产运营期对生态环境的影响较小，主要为事故状态下污水管线破裂对周边植被、土壤等生态要素的影响；以及采气管道发生破裂后，在空气中形成爆炸性气体，遇火源发生火灾爆炸事故时，对生态环境带来的危害。</w:t>
      </w:r>
    </w:p>
    <w:p w14:paraId="7D8B3115">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（3）退役期</w:t>
      </w:r>
    </w:p>
    <w:p w14:paraId="2AAC9A4B">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退役期主要是井场采气井的陆续停运、关闭、恢复土地使用功能时段。退役期作业主要包括拆除井场的采油设备、设施，封闭井口，对井场和道路等占地进行生态恢复等。设备拆除时将对地表植被产生破坏和干扰，同时也可能引起新的水土流失。</w:t>
      </w:r>
    </w:p>
    <w:p w14:paraId="663B4520">
      <w:pPr>
        <w:pStyle w:val="7"/>
        <w:keepNext w:val="0"/>
        <w:keepLines w:val="0"/>
        <w:widowControl w:val="0"/>
        <w:spacing w:before="60" w:after="60" w:line="440" w:lineRule="exact"/>
        <w:jc w:val="both"/>
        <w:rPr>
          <w:rFonts w:hint="default" w:ascii="Times New Roman" w:hAnsi="Times New Roman" w:eastAsia="宋体" w:cs="Times New Roman"/>
          <w:b/>
          <w:color w:val="auto"/>
          <w:w w:val="99"/>
          <w:kern w:val="2"/>
          <w:sz w:val="24"/>
          <w:szCs w:val="24"/>
          <w:highlight w:val="none"/>
          <w:lang w:val="en-US" w:eastAsia="zh-CN"/>
        </w:rPr>
      </w:pPr>
      <w:r>
        <w:rPr>
          <w:rFonts w:hint="eastAsia" w:eastAsia="宋体" w:cs="Times New Roman"/>
          <w:b/>
          <w:color w:val="auto"/>
          <w:w w:val="99"/>
          <w:kern w:val="2"/>
          <w:sz w:val="24"/>
          <w:szCs w:val="24"/>
          <w:highlight w:val="none"/>
          <w:lang w:val="en-US" w:eastAsia="zh-CN"/>
        </w:rPr>
        <w:t>3.10</w:t>
      </w:r>
      <w:r>
        <w:rPr>
          <w:rFonts w:hint="eastAsia" w:ascii="Times New Roman" w:hAnsi="Times New Roman" w:eastAsia="宋体" w:cs="Times New Roman"/>
          <w:b/>
          <w:color w:val="auto"/>
          <w:w w:val="99"/>
          <w:kern w:val="2"/>
          <w:sz w:val="24"/>
          <w:szCs w:val="24"/>
          <w:highlight w:val="none"/>
          <w:lang w:val="en-US" w:eastAsia="zh-CN"/>
        </w:rPr>
        <w:t>.3环境风险</w:t>
      </w:r>
      <w:r>
        <w:rPr>
          <w:rFonts w:hint="default" w:ascii="Times New Roman" w:hAnsi="Times New Roman" w:eastAsia="宋体" w:cs="Times New Roman"/>
          <w:b/>
          <w:color w:val="auto"/>
          <w:w w:val="99"/>
          <w:kern w:val="2"/>
          <w:sz w:val="24"/>
          <w:szCs w:val="24"/>
          <w:highlight w:val="none"/>
          <w:lang w:val="en-US" w:eastAsia="zh-CN"/>
        </w:rPr>
        <w:t>分析</w:t>
      </w:r>
    </w:p>
    <w:p w14:paraId="54E3367E">
      <w:pPr>
        <w:widowControl w:val="0"/>
        <w:spacing w:line="440" w:lineRule="exact"/>
        <w:ind w:firstLine="474" w:firstLineChars="200"/>
        <w:jc w:val="both"/>
        <w:rPr>
          <w:rFonts w:hint="eastAsia" w:ascii="Times New Roman" w:hAnsi="Times New Roman" w:eastAsia="宋体" w:cs="Times New Roman"/>
          <w:color w:val="auto"/>
          <w:w w:val="99"/>
          <w:kern w:val="2"/>
          <w:szCs w:val="20"/>
          <w:highlight w:val="none"/>
          <w:lang w:val="en-US" w:eastAsia="zh-CN"/>
        </w:rPr>
      </w:pPr>
      <w:r>
        <w:rPr>
          <w:rFonts w:hint="eastAsia" w:ascii="Times New Roman" w:hAnsi="Times New Roman" w:eastAsia="宋体" w:cs="Times New Roman"/>
          <w:color w:val="auto"/>
          <w:w w:val="99"/>
          <w:kern w:val="2"/>
          <w:szCs w:val="20"/>
          <w:highlight w:val="none"/>
          <w:lang w:val="en-US" w:eastAsia="zh-CN"/>
        </w:rPr>
        <w:t>本项目气田开发过程中，可能发生井喷事故，井场、采气管道天然气、采出水发生泄漏事故，甚至引发火灾、爆炸等。在运行过程中，由于操作失误、设备或阀门失控、采气管道破裂等原因会导致天然气排入大气环境，其中的非甲烷总烃会污染环境空气；天然气泄漏可能引发火灾爆炸，则会产生CO等次生污染物，从而污染事故附近的环境空气，并对附近的人群造成伤害。</w:t>
      </w:r>
    </w:p>
    <w:p w14:paraId="0017A4B1">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532" w:name="_Toc70050203"/>
      <w:bookmarkStart w:id="533" w:name="_Toc186444302"/>
      <w:bookmarkStart w:id="534" w:name="_Toc78816479"/>
      <w:bookmarkStart w:id="535" w:name="_Toc67860154"/>
      <w:bookmarkStart w:id="536" w:name="_Toc76976265"/>
      <w:bookmarkStart w:id="537" w:name="_Toc83209496"/>
      <w:bookmarkStart w:id="538" w:name="_Toc77067677"/>
      <w:bookmarkStart w:id="539" w:name="_Toc80971396"/>
      <w:bookmarkStart w:id="540" w:name="_Toc80588274"/>
      <w:r>
        <w:rPr>
          <w:rFonts w:hint="eastAsia" w:eastAsia="宋体"/>
          <w:b/>
          <w:color w:val="auto"/>
          <w:w w:val="99"/>
          <w:kern w:val="2"/>
          <w:sz w:val="24"/>
          <w:szCs w:val="24"/>
          <w:highlight w:val="none"/>
          <w:lang w:eastAsia="zh-CN"/>
        </w:rPr>
        <w:t>3.1</w:t>
      </w:r>
      <w:r>
        <w:rPr>
          <w:rFonts w:hint="eastAsia" w:eastAsia="宋体"/>
          <w:b/>
          <w:color w:val="auto"/>
          <w:w w:val="99"/>
          <w:kern w:val="2"/>
          <w:sz w:val="24"/>
          <w:szCs w:val="24"/>
          <w:highlight w:val="none"/>
          <w:lang w:val="en-US" w:eastAsia="zh-CN"/>
        </w:rPr>
        <w:t>0</w:t>
      </w:r>
      <w:r>
        <w:rPr>
          <w:rFonts w:eastAsia="宋体"/>
          <w:b/>
          <w:color w:val="auto"/>
          <w:w w:val="99"/>
          <w:kern w:val="2"/>
          <w:sz w:val="24"/>
          <w:szCs w:val="24"/>
          <w:highlight w:val="none"/>
        </w:rPr>
        <w:t>.</w:t>
      </w:r>
      <w:r>
        <w:rPr>
          <w:rFonts w:hint="eastAsia" w:eastAsia="宋体"/>
          <w:b/>
          <w:color w:val="auto"/>
          <w:w w:val="99"/>
          <w:kern w:val="2"/>
          <w:sz w:val="24"/>
          <w:szCs w:val="24"/>
          <w:highlight w:val="none"/>
          <w:lang w:val="en-US" w:eastAsia="zh-CN"/>
        </w:rPr>
        <w:t>4</w:t>
      </w:r>
      <w:r>
        <w:rPr>
          <w:rFonts w:eastAsia="宋体"/>
          <w:b/>
          <w:color w:val="auto"/>
          <w:w w:val="99"/>
          <w:kern w:val="2"/>
          <w:sz w:val="24"/>
          <w:szCs w:val="24"/>
          <w:highlight w:val="none"/>
        </w:rPr>
        <w:t>污染源源强核算</w:t>
      </w:r>
      <w:bookmarkEnd w:id="532"/>
      <w:bookmarkEnd w:id="533"/>
      <w:bookmarkEnd w:id="534"/>
      <w:bookmarkEnd w:id="535"/>
      <w:bookmarkEnd w:id="536"/>
      <w:bookmarkEnd w:id="537"/>
      <w:bookmarkEnd w:id="538"/>
      <w:bookmarkEnd w:id="539"/>
      <w:bookmarkEnd w:id="540"/>
    </w:p>
    <w:p w14:paraId="2615D280">
      <w:pPr>
        <w:spacing w:line="440" w:lineRule="exact"/>
        <w:outlineLvl w:val="3"/>
        <w:rPr>
          <w:rFonts w:ascii="Times New Roman" w:hAnsi="Times New Roman" w:cs="Times New Roman"/>
          <w:b/>
          <w:color w:val="auto"/>
          <w:w w:val="99"/>
          <w:highlight w:val="none"/>
        </w:rPr>
      </w:pPr>
      <w:r>
        <w:rPr>
          <w:rFonts w:hint="eastAsia" w:ascii="Times New Roman" w:hAnsi="Times New Roman" w:cs="Times New Roman"/>
          <w:b/>
          <w:color w:val="auto"/>
          <w:w w:val="99"/>
          <w:highlight w:val="none"/>
          <w:lang w:eastAsia="zh-CN"/>
        </w:rPr>
        <w:t>3.1</w:t>
      </w:r>
      <w:r>
        <w:rPr>
          <w:rFonts w:hint="eastAsia" w:ascii="Times New Roman" w:hAnsi="Times New Roman" w:cs="Times New Roman"/>
          <w:b/>
          <w:color w:val="auto"/>
          <w:w w:val="99"/>
          <w:highlight w:val="none"/>
          <w:lang w:val="en-US" w:eastAsia="zh-CN"/>
        </w:rPr>
        <w:t>0</w:t>
      </w:r>
      <w:r>
        <w:rPr>
          <w:rFonts w:ascii="Times New Roman" w:hAnsi="Times New Roman" w:cs="Times New Roman"/>
          <w:b/>
          <w:color w:val="auto"/>
          <w:w w:val="99"/>
          <w:highlight w:val="none"/>
        </w:rPr>
        <w:t>.</w:t>
      </w:r>
      <w:r>
        <w:rPr>
          <w:rFonts w:hint="eastAsia" w:ascii="Times New Roman" w:hAnsi="Times New Roman" w:cs="Times New Roman"/>
          <w:b/>
          <w:color w:val="auto"/>
          <w:w w:val="99"/>
          <w:highlight w:val="none"/>
          <w:lang w:val="en-US" w:eastAsia="zh-CN"/>
        </w:rPr>
        <w:t>4</w:t>
      </w:r>
      <w:r>
        <w:rPr>
          <w:rFonts w:ascii="Times New Roman" w:hAnsi="Times New Roman" w:cs="Times New Roman"/>
          <w:b/>
          <w:color w:val="auto"/>
          <w:w w:val="99"/>
          <w:highlight w:val="none"/>
        </w:rPr>
        <w:t>.1施工期</w:t>
      </w:r>
      <w:bookmarkStart w:id="541" w:name="OLE_LINK17"/>
      <w:bookmarkStart w:id="542" w:name="OLE_LINK21"/>
      <w:r>
        <w:rPr>
          <w:rFonts w:ascii="Times New Roman" w:hAnsi="Times New Roman" w:cs="Times New Roman"/>
          <w:b/>
          <w:color w:val="auto"/>
          <w:w w:val="99"/>
          <w:highlight w:val="none"/>
        </w:rPr>
        <w:t>污染源源强核算</w:t>
      </w:r>
      <w:bookmarkEnd w:id="541"/>
      <w:bookmarkEnd w:id="542"/>
    </w:p>
    <w:p w14:paraId="2E3934D2">
      <w:pPr>
        <w:widowControl w:val="0"/>
        <w:snapToGrid w:val="0"/>
        <w:spacing w:line="440" w:lineRule="exact"/>
        <w:ind w:firstLine="474" w:firstLineChars="200"/>
        <w:jc w:val="both"/>
        <w:rPr>
          <w:rFonts w:ascii="Times New Roman" w:hAnsi="Times New Roman" w:cs="Times New Roman"/>
          <w:color w:val="auto"/>
          <w:w w:val="99"/>
          <w:highlight w:val="none"/>
          <w:lang w:val="zh-CN"/>
        </w:rPr>
      </w:pPr>
      <w:r>
        <w:rPr>
          <w:rFonts w:ascii="Times New Roman" w:hAnsi="Times New Roman" w:cs="Times New Roman"/>
          <w:color w:val="auto"/>
          <w:w w:val="99"/>
          <w:highlight w:val="none"/>
          <w:lang w:val="zh-CN"/>
        </w:rPr>
        <w:t>（1）废气</w:t>
      </w:r>
    </w:p>
    <w:p w14:paraId="7027A45B">
      <w:pPr>
        <w:widowControl w:val="0"/>
        <w:snapToGrid w:val="0"/>
        <w:spacing w:line="440" w:lineRule="exact"/>
        <w:ind w:firstLine="474" w:firstLineChars="200"/>
        <w:jc w:val="both"/>
        <w:rPr>
          <w:rFonts w:hint="default" w:ascii="Times New Roman" w:hAnsi="Times New Roman" w:cs="Times New Roman"/>
          <w:color w:val="auto"/>
          <w:w w:val="99"/>
          <w:kern w:val="2"/>
          <w:highlight w:val="none"/>
          <w:lang w:val="en-US" w:eastAsia="zh-CN"/>
        </w:rPr>
      </w:pPr>
      <w:r>
        <w:rPr>
          <w:rFonts w:hint="default" w:ascii="Times New Roman" w:hAnsi="Times New Roman" w:cs="Times New Roman"/>
          <w:color w:val="auto"/>
          <w:w w:val="99"/>
          <w:kern w:val="2"/>
          <w:highlight w:val="none"/>
          <w:lang w:val="en-US" w:eastAsia="zh-CN"/>
        </w:rPr>
        <w:t>施工期废气主要为地面工程施工时管沟开挖、道路敷设、土方堆填</w:t>
      </w:r>
      <w:r>
        <w:rPr>
          <w:rFonts w:hint="eastAsia" w:ascii="Times New Roman" w:hAnsi="Times New Roman" w:cs="Times New Roman"/>
          <w:color w:val="auto"/>
          <w:w w:val="99"/>
          <w:kern w:val="2"/>
          <w:highlight w:val="none"/>
          <w:lang w:val="en-US" w:eastAsia="zh-CN"/>
        </w:rPr>
        <w:t>，站场工程地面施工</w:t>
      </w:r>
      <w:r>
        <w:rPr>
          <w:rFonts w:hint="default" w:ascii="Times New Roman" w:hAnsi="Times New Roman" w:cs="Times New Roman"/>
          <w:color w:val="auto"/>
          <w:w w:val="99"/>
          <w:kern w:val="2"/>
          <w:highlight w:val="none"/>
          <w:lang w:val="en-US" w:eastAsia="zh-CN"/>
        </w:rPr>
        <w:t>、车辆运输、恢复原有地面等过程中产生的粉尘、二次扬尘，管道焊接过程产生的焊接烟尘，施工设备和运输车辆尾气</w:t>
      </w:r>
      <w:r>
        <w:rPr>
          <w:rFonts w:hint="eastAsia" w:ascii="Times New Roman" w:hAnsi="Times New Roman" w:cs="Times New Roman"/>
          <w:color w:val="auto"/>
          <w:w w:val="99"/>
          <w:kern w:val="2"/>
          <w:highlight w:val="none"/>
          <w:lang w:val="en-US" w:eastAsia="zh-CN"/>
        </w:rPr>
        <w:t>，以及试过过程产生的燃烧废气</w:t>
      </w:r>
      <w:r>
        <w:rPr>
          <w:rFonts w:hint="default" w:ascii="Times New Roman" w:hAnsi="Times New Roman" w:cs="Times New Roman"/>
          <w:color w:val="auto"/>
          <w:w w:val="99"/>
          <w:kern w:val="2"/>
          <w:highlight w:val="none"/>
          <w:lang w:val="en-US" w:eastAsia="zh-CN"/>
        </w:rPr>
        <w:t>。</w:t>
      </w:r>
    </w:p>
    <w:p w14:paraId="0E976414">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①</w:t>
      </w:r>
      <w:r>
        <w:rPr>
          <w:rFonts w:hint="default" w:ascii="Times New Roman" w:hAnsi="Times New Roman" w:eastAsia="宋体" w:cs="Times New Roman"/>
          <w:color w:val="auto"/>
          <w:w w:val="99"/>
          <w:kern w:val="2"/>
          <w:szCs w:val="20"/>
          <w:highlight w:val="none"/>
          <w:lang w:val="en-US" w:eastAsia="zh-CN"/>
        </w:rPr>
        <w:t>施工扬尘</w:t>
      </w:r>
    </w:p>
    <w:p w14:paraId="6517427C">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default" w:ascii="Times New Roman" w:hAnsi="Times New Roman" w:eastAsia="宋体" w:cs="Times New Roman"/>
          <w:color w:val="auto"/>
          <w:w w:val="99"/>
          <w:kern w:val="2"/>
          <w:szCs w:val="20"/>
          <w:highlight w:val="none"/>
          <w:lang w:val="en-US" w:eastAsia="zh-CN"/>
        </w:rPr>
        <w:t>本项目施工扬尘主要来自平整土地、开挖土方、材料运输、装卸等过程，其污染范围和程度与施工工艺、施工管理、土方含水率、气象条件、土方工程量等多种因素有关。本项目所在区域平坦空旷，大气扩散条件好。管线敷设、各种施工材料的运输给道路沿线带来扬尘污染，运输车辆行驶扬尘与车辆行驶速度、风速、路面积尘量和积尘湿度等因素有关。</w:t>
      </w:r>
    </w:p>
    <w:p w14:paraId="6420B460">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1）</w:t>
      </w:r>
      <w:r>
        <w:rPr>
          <w:rFonts w:hint="default" w:ascii="Times New Roman" w:hAnsi="Times New Roman" w:eastAsia="宋体" w:cs="Times New Roman"/>
          <w:color w:val="auto"/>
          <w:w w:val="99"/>
          <w:kern w:val="2"/>
          <w:szCs w:val="20"/>
          <w:highlight w:val="none"/>
          <w:lang w:val="en-US" w:eastAsia="zh-CN"/>
        </w:rPr>
        <w:t>施工产生的施工扬尘</w:t>
      </w:r>
    </w:p>
    <w:p w14:paraId="07F045DF">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default" w:ascii="Times New Roman" w:hAnsi="Times New Roman" w:eastAsia="宋体" w:cs="Times New Roman"/>
          <w:color w:val="auto"/>
          <w:w w:val="99"/>
          <w:kern w:val="2"/>
          <w:szCs w:val="20"/>
          <w:highlight w:val="none"/>
          <w:lang w:val="en-US" w:eastAsia="zh-CN"/>
        </w:rPr>
        <w:t>根据《大气环境影响评价实用技术》（中国环境出版社）中北京市环境保护科学研究院对多个建筑施工场地的施工扬尘情况（包括清理渣土、土方挖掘、现场堆放、车辆往来）进行现场监测的数据</w:t>
      </w:r>
      <w:r>
        <w:rPr>
          <w:rFonts w:hint="eastAsia" w:ascii="Times New Roman" w:hAnsi="Times New Roman" w:eastAsia="宋体" w:cs="Times New Roman"/>
          <w:color w:val="auto"/>
          <w:w w:val="99"/>
          <w:kern w:val="2"/>
          <w:szCs w:val="20"/>
          <w:highlight w:val="none"/>
          <w:lang w:val="en-US" w:eastAsia="zh-CN"/>
        </w:rPr>
        <w:t>，具体见表</w:t>
      </w:r>
      <w:r>
        <w:rPr>
          <w:rFonts w:hint="eastAsia" w:ascii="Times New Roman" w:hAnsi="Times New Roman" w:cs="Times New Roman"/>
          <w:color w:val="auto"/>
          <w:w w:val="99"/>
          <w:kern w:val="2"/>
          <w:szCs w:val="20"/>
          <w:highlight w:val="none"/>
          <w:lang w:val="en-US" w:eastAsia="zh-CN"/>
        </w:rPr>
        <w:t>3.10-1</w:t>
      </w:r>
      <w:r>
        <w:rPr>
          <w:rFonts w:hint="eastAsia" w:ascii="Times New Roman" w:hAnsi="Times New Roman" w:eastAsia="宋体" w:cs="Times New Roman"/>
          <w:color w:val="auto"/>
          <w:w w:val="99"/>
          <w:kern w:val="2"/>
          <w:szCs w:val="20"/>
          <w:highlight w:val="none"/>
          <w:lang w:val="en-US" w:eastAsia="zh-CN"/>
        </w:rPr>
        <w:t>。</w:t>
      </w:r>
    </w:p>
    <w:p w14:paraId="292F46C5">
      <w:pPr>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76" w:firstLineChars="200"/>
        <w:jc w:val="both"/>
        <w:textAlignment w:val="auto"/>
        <w:rPr>
          <w:rFonts w:hint="default" w:ascii="Times New Roman" w:hAnsi="Times New Roman" w:eastAsia="宋体" w:cs="Times New Roman"/>
          <w:b/>
          <w:color w:val="auto"/>
          <w:sz w:val="24"/>
          <w:szCs w:val="22"/>
          <w:highlight w:val="none"/>
          <w:lang w:val="en-US" w:eastAsia="zh-CN" w:bidi="ar-SA"/>
        </w:rPr>
      </w:pPr>
      <w:r>
        <w:rPr>
          <w:rFonts w:hint="default" w:ascii="Times New Roman" w:hAnsi="Times New Roman" w:cs="Times New Roman" w:eastAsiaTheme="minorEastAsia"/>
          <w:b/>
          <w:color w:val="auto"/>
          <w:w w:val="99"/>
          <w:highlight w:val="none"/>
          <w:lang w:val="en-US" w:eastAsia="zh-CN"/>
        </w:rPr>
        <w:t>表</w:t>
      </w:r>
      <w:r>
        <w:rPr>
          <w:rFonts w:hint="eastAsia" w:ascii="Times New Roman" w:hAnsi="Times New Roman" w:cs="Times New Roman" w:eastAsiaTheme="minorEastAsia"/>
          <w:b/>
          <w:color w:val="auto"/>
          <w:w w:val="99"/>
          <w:highlight w:val="none"/>
          <w:lang w:val="en-US" w:eastAsia="zh-CN"/>
        </w:rPr>
        <w:t>3.10</w:t>
      </w:r>
      <w:r>
        <w:rPr>
          <w:rFonts w:hint="default" w:ascii="Times New Roman" w:hAnsi="Times New Roman" w:cs="Times New Roman" w:eastAsiaTheme="minorEastAsia"/>
          <w:b/>
          <w:color w:val="auto"/>
          <w:w w:val="99"/>
          <w:highlight w:val="none"/>
          <w:lang w:val="en-US" w:eastAsia="zh-CN"/>
        </w:rPr>
        <w:t>-</w:t>
      </w:r>
      <w:r>
        <w:rPr>
          <w:rFonts w:hint="eastAsia" w:ascii="Times New Roman" w:hAnsi="Times New Roman" w:cs="Times New Roman" w:eastAsiaTheme="minorEastAsia"/>
          <w:b/>
          <w:color w:val="auto"/>
          <w:w w:val="99"/>
          <w:highlight w:val="none"/>
          <w:lang w:val="en-US" w:eastAsia="zh-CN"/>
        </w:rPr>
        <w:t>1</w:t>
      </w:r>
      <w:r>
        <w:rPr>
          <w:rFonts w:hint="default" w:ascii="Times New Roman" w:hAnsi="Times New Roman" w:cs="Times New Roman" w:eastAsiaTheme="minorEastAsia"/>
          <w:b/>
          <w:color w:val="auto"/>
          <w:w w:val="99"/>
          <w:highlight w:val="none"/>
          <w:lang w:val="en-US" w:eastAsia="zh-CN"/>
        </w:rPr>
        <w:t xml:space="preserve">  </w:t>
      </w:r>
      <w:r>
        <w:rPr>
          <w:rFonts w:hint="eastAsia" w:ascii="Times New Roman" w:hAnsi="Times New Roman" w:cs="Times New Roman" w:eastAsiaTheme="minorEastAsia"/>
          <w:b/>
          <w:color w:val="auto"/>
          <w:w w:val="99"/>
          <w:highlight w:val="none"/>
          <w:lang w:val="en-US" w:eastAsia="zh-CN"/>
        </w:rPr>
        <w:t>施工场地扬尘污染的颗粒物浓度值</w:t>
      </w:r>
      <w:r>
        <w:rPr>
          <w:rFonts w:hint="default" w:ascii="Times New Roman" w:hAnsi="Times New Roman" w:cs="Times New Roman" w:eastAsiaTheme="minorEastAsia"/>
          <w:b/>
          <w:color w:val="auto"/>
          <w:w w:val="99"/>
          <w:highlight w:val="none"/>
          <w:lang w:val="en-US" w:eastAsia="zh-CN"/>
        </w:rPr>
        <w:t xml:space="preserve">  单位：</w:t>
      </w:r>
      <w:r>
        <w:rPr>
          <w:rFonts w:hint="eastAsia" w:ascii="Times New Roman" w:hAnsi="Times New Roman" w:cs="Times New Roman" w:eastAsiaTheme="minorEastAsia"/>
          <w:b/>
          <w:color w:val="auto"/>
          <w:w w:val="99"/>
          <w:highlight w:val="none"/>
          <w:lang w:val="en-US" w:eastAsia="zh-CN"/>
        </w:rPr>
        <w:t>mg/</w:t>
      </w:r>
      <w:r>
        <w:rPr>
          <w:rFonts w:hint="eastAsia" w:ascii="Times New Roman" w:hAnsi="Times New Roman" w:eastAsia="宋体" w:cs="Times New Roman"/>
          <w:b/>
          <w:color w:val="auto"/>
          <w:sz w:val="24"/>
          <w:szCs w:val="22"/>
          <w:highlight w:val="none"/>
          <w:lang w:val="en-US" w:eastAsia="zh-CN" w:bidi="ar-SA"/>
        </w:rPr>
        <w:t>m</w:t>
      </w:r>
      <w:r>
        <w:rPr>
          <w:rFonts w:hint="eastAsia" w:ascii="Times New Roman" w:hAnsi="Times New Roman" w:eastAsia="宋体" w:cs="Times New Roman"/>
          <w:b/>
          <w:color w:val="auto"/>
          <w:sz w:val="24"/>
          <w:szCs w:val="22"/>
          <w:highlight w:val="none"/>
          <w:vertAlign w:val="superscript"/>
          <w:lang w:val="en-US" w:eastAsia="zh-CN" w:bidi="ar-SA"/>
        </w:rPr>
        <w:t>3</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1"/>
        <w:gridCol w:w="1499"/>
        <w:gridCol w:w="1650"/>
        <w:gridCol w:w="1275"/>
        <w:gridCol w:w="1289"/>
        <w:gridCol w:w="1362"/>
      </w:tblGrid>
      <w:tr w14:paraId="2E93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vMerge w:val="restart"/>
            <w:tcBorders>
              <w:tl2br w:val="nil"/>
              <w:tr2bl w:val="nil"/>
            </w:tcBorders>
            <w:vAlign w:val="center"/>
          </w:tcPr>
          <w:p w14:paraId="7340EB33">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工程名称</w:t>
            </w:r>
          </w:p>
        </w:tc>
        <w:tc>
          <w:tcPr>
            <w:tcW w:w="807" w:type="pct"/>
            <w:vMerge w:val="restart"/>
            <w:tcBorders>
              <w:tl2br w:val="nil"/>
              <w:tr2bl w:val="nil"/>
            </w:tcBorders>
            <w:vAlign w:val="center"/>
          </w:tcPr>
          <w:p w14:paraId="4418F2D1">
            <w:pPr>
              <w:widowControl w:val="0"/>
              <w:spacing w:line="360" w:lineRule="exact"/>
              <w:jc w:val="center"/>
              <w:rPr>
                <w:rFonts w:hint="eastAsia"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工地内</w:t>
            </w:r>
          </w:p>
        </w:tc>
        <w:tc>
          <w:tcPr>
            <w:tcW w:w="888" w:type="pct"/>
            <w:tcBorders>
              <w:tl2br w:val="nil"/>
              <w:tr2bl w:val="nil"/>
            </w:tcBorders>
            <w:vAlign w:val="top"/>
          </w:tcPr>
          <w:p w14:paraId="7AB2D82E">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工地上风向</w:t>
            </w:r>
          </w:p>
        </w:tc>
        <w:tc>
          <w:tcPr>
            <w:tcW w:w="2113" w:type="pct"/>
            <w:gridSpan w:val="3"/>
            <w:tcBorders>
              <w:tl2br w:val="nil"/>
              <w:tr2bl w:val="nil"/>
            </w:tcBorders>
            <w:vAlign w:val="top"/>
          </w:tcPr>
          <w:p w14:paraId="7BDB6C38">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工地下风向</w:t>
            </w:r>
          </w:p>
        </w:tc>
      </w:tr>
      <w:tr w14:paraId="43B2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vMerge w:val="continue"/>
            <w:tcBorders>
              <w:tl2br w:val="nil"/>
              <w:tr2bl w:val="nil"/>
            </w:tcBorders>
            <w:vAlign w:val="top"/>
          </w:tcPr>
          <w:p w14:paraId="2917B4AE">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p>
        </w:tc>
        <w:tc>
          <w:tcPr>
            <w:tcW w:w="807" w:type="pct"/>
            <w:vMerge w:val="continue"/>
            <w:tcBorders>
              <w:tl2br w:val="nil"/>
              <w:tr2bl w:val="nil"/>
            </w:tcBorders>
            <w:vAlign w:val="top"/>
          </w:tcPr>
          <w:p w14:paraId="63FBFBF5">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p>
        </w:tc>
        <w:tc>
          <w:tcPr>
            <w:tcW w:w="888" w:type="pct"/>
            <w:tcBorders>
              <w:tl2br w:val="nil"/>
              <w:tr2bl w:val="nil"/>
            </w:tcBorders>
            <w:vAlign w:val="top"/>
          </w:tcPr>
          <w:p w14:paraId="384B5490">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50m</w:t>
            </w:r>
          </w:p>
        </w:tc>
        <w:tc>
          <w:tcPr>
            <w:tcW w:w="686" w:type="pct"/>
            <w:tcBorders>
              <w:tl2br w:val="nil"/>
              <w:tr2bl w:val="nil"/>
            </w:tcBorders>
            <w:vAlign w:val="top"/>
          </w:tcPr>
          <w:p w14:paraId="5271F5E2">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50m</w:t>
            </w:r>
          </w:p>
        </w:tc>
        <w:tc>
          <w:tcPr>
            <w:tcW w:w="694" w:type="pct"/>
            <w:tcBorders>
              <w:tl2br w:val="nil"/>
              <w:tr2bl w:val="nil"/>
            </w:tcBorders>
            <w:vAlign w:val="top"/>
          </w:tcPr>
          <w:p w14:paraId="7249CC79">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100m</w:t>
            </w:r>
          </w:p>
        </w:tc>
        <w:tc>
          <w:tcPr>
            <w:tcW w:w="732" w:type="pct"/>
            <w:tcBorders>
              <w:tl2br w:val="nil"/>
              <w:tr2bl w:val="nil"/>
            </w:tcBorders>
            <w:vAlign w:val="top"/>
          </w:tcPr>
          <w:p w14:paraId="020F738F">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150m</w:t>
            </w:r>
          </w:p>
        </w:tc>
      </w:tr>
      <w:tr w14:paraId="1FBC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tcBorders>
              <w:tl2br w:val="nil"/>
              <w:tr2bl w:val="nil"/>
            </w:tcBorders>
            <w:vAlign w:val="top"/>
          </w:tcPr>
          <w:p w14:paraId="52E78CCE">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侨办工地</w:t>
            </w:r>
          </w:p>
        </w:tc>
        <w:tc>
          <w:tcPr>
            <w:tcW w:w="807" w:type="pct"/>
            <w:tcBorders>
              <w:tl2br w:val="nil"/>
              <w:tr2bl w:val="nil"/>
            </w:tcBorders>
            <w:vAlign w:val="top"/>
          </w:tcPr>
          <w:p w14:paraId="610F9D50">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0.759</w:t>
            </w:r>
          </w:p>
        </w:tc>
        <w:tc>
          <w:tcPr>
            <w:tcW w:w="888" w:type="pct"/>
            <w:tcBorders>
              <w:tl2br w:val="nil"/>
              <w:tr2bl w:val="nil"/>
            </w:tcBorders>
            <w:vAlign w:val="top"/>
          </w:tcPr>
          <w:p w14:paraId="12E6F832">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0.328</w:t>
            </w:r>
          </w:p>
        </w:tc>
        <w:tc>
          <w:tcPr>
            <w:tcW w:w="686" w:type="pct"/>
            <w:tcBorders>
              <w:tl2br w:val="nil"/>
              <w:tr2bl w:val="nil"/>
            </w:tcBorders>
            <w:vAlign w:val="top"/>
          </w:tcPr>
          <w:p w14:paraId="28E5FF8D">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0.502</w:t>
            </w:r>
          </w:p>
        </w:tc>
        <w:tc>
          <w:tcPr>
            <w:tcW w:w="694" w:type="pct"/>
            <w:tcBorders>
              <w:tl2br w:val="nil"/>
              <w:tr2bl w:val="nil"/>
            </w:tcBorders>
            <w:vAlign w:val="top"/>
          </w:tcPr>
          <w:p w14:paraId="05641963">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0.367</w:t>
            </w:r>
          </w:p>
        </w:tc>
        <w:tc>
          <w:tcPr>
            <w:tcW w:w="732" w:type="pct"/>
            <w:tcBorders>
              <w:tl2br w:val="nil"/>
              <w:tr2bl w:val="nil"/>
            </w:tcBorders>
            <w:vAlign w:val="top"/>
          </w:tcPr>
          <w:p w14:paraId="4777F3BD">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0.336</w:t>
            </w:r>
          </w:p>
        </w:tc>
      </w:tr>
      <w:tr w14:paraId="419A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tcBorders>
              <w:tl2br w:val="nil"/>
              <w:tr2bl w:val="nil"/>
            </w:tcBorders>
            <w:vAlign w:val="top"/>
          </w:tcPr>
          <w:p w14:paraId="359E025C">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金属材料总公司工地</w:t>
            </w:r>
          </w:p>
        </w:tc>
        <w:tc>
          <w:tcPr>
            <w:tcW w:w="807" w:type="pct"/>
            <w:tcBorders>
              <w:tl2br w:val="nil"/>
              <w:tr2bl w:val="nil"/>
            </w:tcBorders>
            <w:vAlign w:val="top"/>
          </w:tcPr>
          <w:p w14:paraId="14558AE7">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0.618</w:t>
            </w:r>
          </w:p>
        </w:tc>
        <w:tc>
          <w:tcPr>
            <w:tcW w:w="888" w:type="pct"/>
            <w:tcBorders>
              <w:tl2br w:val="nil"/>
              <w:tr2bl w:val="nil"/>
            </w:tcBorders>
            <w:vAlign w:val="top"/>
          </w:tcPr>
          <w:p w14:paraId="3FB386D9">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0.325</w:t>
            </w:r>
          </w:p>
        </w:tc>
        <w:tc>
          <w:tcPr>
            <w:tcW w:w="686" w:type="pct"/>
            <w:tcBorders>
              <w:tl2br w:val="nil"/>
              <w:tr2bl w:val="nil"/>
            </w:tcBorders>
            <w:vAlign w:val="top"/>
          </w:tcPr>
          <w:p w14:paraId="47842800">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0.472</w:t>
            </w:r>
          </w:p>
        </w:tc>
        <w:tc>
          <w:tcPr>
            <w:tcW w:w="694" w:type="pct"/>
            <w:tcBorders>
              <w:tl2br w:val="nil"/>
              <w:tr2bl w:val="nil"/>
            </w:tcBorders>
            <w:vAlign w:val="top"/>
          </w:tcPr>
          <w:p w14:paraId="77D4D288">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0.356</w:t>
            </w:r>
          </w:p>
        </w:tc>
        <w:tc>
          <w:tcPr>
            <w:tcW w:w="732" w:type="pct"/>
            <w:tcBorders>
              <w:tl2br w:val="nil"/>
              <w:tr2bl w:val="nil"/>
            </w:tcBorders>
            <w:vAlign w:val="top"/>
          </w:tcPr>
          <w:p w14:paraId="0D1B9488">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0.332</w:t>
            </w:r>
          </w:p>
        </w:tc>
      </w:tr>
      <w:tr w14:paraId="56AE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tcBorders>
              <w:tl2br w:val="nil"/>
              <w:tr2bl w:val="nil"/>
            </w:tcBorders>
            <w:vAlign w:val="top"/>
          </w:tcPr>
          <w:p w14:paraId="29DF90E6">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广播电视部工地</w:t>
            </w:r>
          </w:p>
        </w:tc>
        <w:tc>
          <w:tcPr>
            <w:tcW w:w="807" w:type="pct"/>
            <w:tcBorders>
              <w:tl2br w:val="nil"/>
              <w:tr2bl w:val="nil"/>
            </w:tcBorders>
            <w:vAlign w:val="top"/>
          </w:tcPr>
          <w:p w14:paraId="1C739A19">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0.596</w:t>
            </w:r>
          </w:p>
        </w:tc>
        <w:tc>
          <w:tcPr>
            <w:tcW w:w="888" w:type="pct"/>
            <w:tcBorders>
              <w:tl2br w:val="nil"/>
              <w:tr2bl w:val="nil"/>
            </w:tcBorders>
            <w:vAlign w:val="top"/>
          </w:tcPr>
          <w:p w14:paraId="7AC3843D">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0.311</w:t>
            </w:r>
          </w:p>
        </w:tc>
        <w:tc>
          <w:tcPr>
            <w:tcW w:w="686" w:type="pct"/>
            <w:tcBorders>
              <w:tl2br w:val="nil"/>
              <w:tr2bl w:val="nil"/>
            </w:tcBorders>
            <w:vAlign w:val="top"/>
          </w:tcPr>
          <w:p w14:paraId="38C29B54">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0.434</w:t>
            </w:r>
          </w:p>
        </w:tc>
        <w:tc>
          <w:tcPr>
            <w:tcW w:w="694" w:type="pct"/>
            <w:tcBorders>
              <w:tl2br w:val="nil"/>
              <w:tr2bl w:val="nil"/>
            </w:tcBorders>
            <w:vAlign w:val="top"/>
          </w:tcPr>
          <w:p w14:paraId="73001D84">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0.376</w:t>
            </w:r>
          </w:p>
        </w:tc>
        <w:tc>
          <w:tcPr>
            <w:tcW w:w="732" w:type="pct"/>
            <w:tcBorders>
              <w:tl2br w:val="nil"/>
              <w:tr2bl w:val="nil"/>
            </w:tcBorders>
            <w:vAlign w:val="top"/>
          </w:tcPr>
          <w:p w14:paraId="688D2999">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0.309</w:t>
            </w:r>
          </w:p>
        </w:tc>
      </w:tr>
      <w:tr w14:paraId="56D3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tcBorders>
              <w:tl2br w:val="nil"/>
              <w:tr2bl w:val="nil"/>
            </w:tcBorders>
            <w:vAlign w:val="top"/>
          </w:tcPr>
          <w:p w14:paraId="064B3CCE">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劲松小区工地</w:t>
            </w:r>
          </w:p>
        </w:tc>
        <w:tc>
          <w:tcPr>
            <w:tcW w:w="807" w:type="pct"/>
            <w:tcBorders>
              <w:tl2br w:val="nil"/>
              <w:tr2bl w:val="nil"/>
            </w:tcBorders>
            <w:vAlign w:val="top"/>
          </w:tcPr>
          <w:p w14:paraId="149D0557">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0.509</w:t>
            </w:r>
          </w:p>
        </w:tc>
        <w:tc>
          <w:tcPr>
            <w:tcW w:w="888" w:type="pct"/>
            <w:tcBorders>
              <w:tl2br w:val="nil"/>
              <w:tr2bl w:val="nil"/>
            </w:tcBorders>
            <w:vAlign w:val="top"/>
          </w:tcPr>
          <w:p w14:paraId="51A05D02">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0.303</w:t>
            </w:r>
          </w:p>
        </w:tc>
        <w:tc>
          <w:tcPr>
            <w:tcW w:w="686" w:type="pct"/>
            <w:tcBorders>
              <w:tl2br w:val="nil"/>
              <w:tr2bl w:val="nil"/>
            </w:tcBorders>
            <w:vAlign w:val="top"/>
          </w:tcPr>
          <w:p w14:paraId="70054A7E">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0.538</w:t>
            </w:r>
          </w:p>
        </w:tc>
        <w:tc>
          <w:tcPr>
            <w:tcW w:w="694" w:type="pct"/>
            <w:tcBorders>
              <w:tl2br w:val="nil"/>
              <w:tr2bl w:val="nil"/>
            </w:tcBorders>
            <w:vAlign w:val="top"/>
          </w:tcPr>
          <w:p w14:paraId="30568D10">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0.465</w:t>
            </w:r>
          </w:p>
        </w:tc>
        <w:tc>
          <w:tcPr>
            <w:tcW w:w="732" w:type="pct"/>
            <w:tcBorders>
              <w:tl2br w:val="nil"/>
              <w:tr2bl w:val="nil"/>
            </w:tcBorders>
            <w:vAlign w:val="top"/>
          </w:tcPr>
          <w:p w14:paraId="3EB1470B">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0.314</w:t>
            </w:r>
          </w:p>
        </w:tc>
      </w:tr>
      <w:tr w14:paraId="20DF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0" w:type="pct"/>
            <w:tcBorders>
              <w:tl2br w:val="nil"/>
              <w:tr2bl w:val="nil"/>
            </w:tcBorders>
            <w:vAlign w:val="top"/>
          </w:tcPr>
          <w:p w14:paraId="62C88A38">
            <w:pPr>
              <w:widowControl w:val="0"/>
              <w:spacing w:line="360" w:lineRule="exact"/>
              <w:jc w:val="center"/>
              <w:rPr>
                <w:rFonts w:hint="eastAsia"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平均值</w:t>
            </w:r>
          </w:p>
        </w:tc>
        <w:tc>
          <w:tcPr>
            <w:tcW w:w="807" w:type="pct"/>
            <w:tcBorders>
              <w:tl2br w:val="nil"/>
              <w:tr2bl w:val="nil"/>
            </w:tcBorders>
            <w:vAlign w:val="top"/>
          </w:tcPr>
          <w:p w14:paraId="368D9906">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0.6205</w:t>
            </w:r>
          </w:p>
        </w:tc>
        <w:tc>
          <w:tcPr>
            <w:tcW w:w="888" w:type="pct"/>
            <w:tcBorders>
              <w:tl2br w:val="nil"/>
              <w:tr2bl w:val="nil"/>
            </w:tcBorders>
            <w:vAlign w:val="top"/>
          </w:tcPr>
          <w:p w14:paraId="2874D23B">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0.3167</w:t>
            </w:r>
          </w:p>
        </w:tc>
        <w:tc>
          <w:tcPr>
            <w:tcW w:w="686" w:type="pct"/>
            <w:tcBorders>
              <w:tl2br w:val="nil"/>
              <w:tr2bl w:val="nil"/>
            </w:tcBorders>
            <w:vAlign w:val="top"/>
          </w:tcPr>
          <w:p w14:paraId="2D097C4E">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0.4865</w:t>
            </w:r>
          </w:p>
        </w:tc>
        <w:tc>
          <w:tcPr>
            <w:tcW w:w="694" w:type="pct"/>
            <w:tcBorders>
              <w:tl2br w:val="nil"/>
              <w:tr2bl w:val="nil"/>
            </w:tcBorders>
            <w:vAlign w:val="top"/>
          </w:tcPr>
          <w:p w14:paraId="68CE68B4">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0.390</w:t>
            </w:r>
          </w:p>
        </w:tc>
        <w:tc>
          <w:tcPr>
            <w:tcW w:w="732" w:type="pct"/>
            <w:tcBorders>
              <w:tl2br w:val="nil"/>
              <w:tr2bl w:val="nil"/>
            </w:tcBorders>
            <w:vAlign w:val="top"/>
          </w:tcPr>
          <w:p w14:paraId="305CA1C4">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0.322</w:t>
            </w:r>
          </w:p>
        </w:tc>
      </w:tr>
    </w:tbl>
    <w:p w14:paraId="0A4CFD04">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default" w:ascii="Times New Roman" w:hAnsi="Times New Roman" w:eastAsia="宋体" w:cs="Times New Roman"/>
          <w:color w:val="auto"/>
          <w:w w:val="99"/>
          <w:kern w:val="2"/>
          <w:szCs w:val="20"/>
          <w:highlight w:val="none"/>
          <w:lang w:val="en-US" w:eastAsia="zh-CN"/>
        </w:rPr>
        <w:t>项目施工工地的扬尘主要来自运输车辆的行驶、土方开挖、回填使用的材料的露</w:t>
      </w:r>
      <w:r>
        <w:rPr>
          <w:rFonts w:hint="eastAsia" w:ascii="Times New Roman" w:hAnsi="Times New Roman" w:eastAsia="宋体" w:cs="Times New Roman"/>
          <w:color w:val="auto"/>
          <w:w w:val="99"/>
          <w:kern w:val="2"/>
          <w:szCs w:val="20"/>
          <w:highlight w:val="none"/>
          <w:lang w:val="en-US" w:eastAsia="zh-CN"/>
        </w:rPr>
        <w:t>天</w:t>
      </w:r>
      <w:r>
        <w:rPr>
          <w:rFonts w:hint="default" w:ascii="Times New Roman" w:hAnsi="Times New Roman" w:eastAsia="宋体" w:cs="Times New Roman"/>
          <w:color w:val="auto"/>
          <w:w w:val="99"/>
          <w:kern w:val="2"/>
          <w:szCs w:val="20"/>
          <w:highlight w:val="none"/>
          <w:lang w:val="en-US" w:eastAsia="zh-CN"/>
        </w:rPr>
        <w:t>堆放产生，</w:t>
      </w:r>
      <w:r>
        <w:rPr>
          <w:rFonts w:hint="eastAsia" w:ascii="Times New Roman" w:hAnsi="Times New Roman" w:eastAsia="宋体" w:cs="Times New Roman"/>
          <w:color w:val="auto"/>
          <w:w w:val="99"/>
          <w:kern w:val="2"/>
          <w:szCs w:val="20"/>
          <w:highlight w:val="none"/>
          <w:lang w:val="en-US" w:eastAsia="zh-CN"/>
        </w:rPr>
        <w:t>工地内的扬尘浓度在1mg/m</w:t>
      </w:r>
      <w:r>
        <w:rPr>
          <w:rFonts w:hint="eastAsia" w:ascii="Times New Roman" w:hAnsi="Times New Roman" w:eastAsia="宋体" w:cs="Times New Roman"/>
          <w:color w:val="auto"/>
          <w:w w:val="99"/>
          <w:kern w:val="2"/>
          <w:szCs w:val="20"/>
          <w:highlight w:val="none"/>
          <w:vertAlign w:val="superscript"/>
          <w:lang w:val="en-US" w:eastAsia="zh-CN"/>
        </w:rPr>
        <w:t>3</w:t>
      </w:r>
      <w:r>
        <w:rPr>
          <w:rFonts w:hint="eastAsia" w:ascii="Times New Roman" w:hAnsi="Times New Roman" w:eastAsia="宋体" w:cs="Times New Roman"/>
          <w:color w:val="auto"/>
          <w:w w:val="99"/>
          <w:kern w:val="2"/>
          <w:szCs w:val="20"/>
          <w:highlight w:val="none"/>
          <w:lang w:val="en-US" w:eastAsia="zh-CN"/>
        </w:rPr>
        <w:t>以内。</w:t>
      </w:r>
    </w:p>
    <w:p w14:paraId="3F3C382B">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default" w:ascii="Times New Roman" w:hAnsi="Times New Roman" w:eastAsia="宋体" w:cs="Times New Roman"/>
          <w:color w:val="auto"/>
          <w:w w:val="99"/>
          <w:kern w:val="2"/>
          <w:szCs w:val="20"/>
          <w:highlight w:val="none"/>
          <w:lang w:val="en-US" w:eastAsia="zh-CN"/>
        </w:rPr>
        <w:t>本项目</w:t>
      </w:r>
      <w:r>
        <w:rPr>
          <w:rFonts w:hint="eastAsia" w:ascii="Times New Roman" w:hAnsi="Times New Roman" w:eastAsia="宋体" w:cs="Times New Roman"/>
          <w:color w:val="auto"/>
          <w:w w:val="99"/>
          <w:kern w:val="2"/>
          <w:szCs w:val="20"/>
          <w:highlight w:val="none"/>
          <w:lang w:val="en-US" w:eastAsia="zh-CN"/>
        </w:rPr>
        <w:t>管道</w:t>
      </w:r>
      <w:r>
        <w:rPr>
          <w:rFonts w:hint="default" w:ascii="Times New Roman" w:hAnsi="Times New Roman" w:eastAsia="宋体" w:cs="Times New Roman"/>
          <w:color w:val="auto"/>
          <w:w w:val="99"/>
          <w:kern w:val="2"/>
          <w:szCs w:val="20"/>
          <w:highlight w:val="none"/>
          <w:lang w:val="en-US" w:eastAsia="zh-CN"/>
        </w:rPr>
        <w:t>、道路</w:t>
      </w:r>
      <w:r>
        <w:rPr>
          <w:rFonts w:hint="eastAsia" w:ascii="Times New Roman" w:hAnsi="Times New Roman" w:cs="Times New Roman"/>
          <w:color w:val="auto"/>
          <w:w w:val="99"/>
          <w:kern w:val="2"/>
          <w:szCs w:val="20"/>
          <w:highlight w:val="none"/>
          <w:lang w:val="en-US" w:eastAsia="zh-CN"/>
        </w:rPr>
        <w:t>等扰动</w:t>
      </w:r>
      <w:r>
        <w:rPr>
          <w:rFonts w:hint="default" w:ascii="Times New Roman" w:hAnsi="Times New Roman" w:eastAsia="宋体" w:cs="Times New Roman"/>
          <w:color w:val="auto"/>
          <w:w w:val="99"/>
          <w:kern w:val="2"/>
          <w:szCs w:val="20"/>
          <w:highlight w:val="none"/>
          <w:lang w:val="en-US" w:eastAsia="zh-CN"/>
        </w:rPr>
        <w:t>面</w:t>
      </w:r>
      <w:r>
        <w:rPr>
          <w:rFonts w:hint="eastAsia" w:ascii="Times New Roman" w:hAnsi="Times New Roman" w:cs="Times New Roman"/>
          <w:color w:val="auto"/>
          <w:w w:val="99"/>
          <w:kern w:val="2"/>
          <w:szCs w:val="20"/>
          <w:highlight w:val="none"/>
          <w:lang w:val="en-US" w:eastAsia="zh-CN"/>
        </w:rPr>
        <w:t>等</w:t>
      </w:r>
      <w:r>
        <w:rPr>
          <w:rFonts w:hint="default" w:ascii="Times New Roman" w:hAnsi="Times New Roman" w:eastAsia="宋体" w:cs="Times New Roman"/>
          <w:color w:val="auto"/>
          <w:w w:val="99"/>
          <w:kern w:val="2"/>
          <w:szCs w:val="20"/>
          <w:highlight w:val="none"/>
          <w:lang w:val="en-US" w:eastAsia="zh-CN"/>
        </w:rPr>
        <w:t>积约为</w:t>
      </w:r>
      <w:r>
        <w:rPr>
          <w:rFonts w:hint="eastAsia" w:ascii="Times New Roman" w:hAnsi="Times New Roman" w:cs="Times New Roman"/>
          <w:color w:val="auto"/>
          <w:w w:val="99"/>
          <w:kern w:val="2"/>
          <w:szCs w:val="20"/>
          <w:highlight w:val="none"/>
          <w:lang w:val="en-US" w:eastAsia="zh-CN"/>
        </w:rPr>
        <w:t>2.013</w:t>
      </w:r>
      <w:r>
        <w:rPr>
          <w:rFonts w:hint="default" w:ascii="Times New Roman" w:hAnsi="Times New Roman" w:eastAsia="宋体" w:cs="Times New Roman"/>
          <w:color w:val="auto"/>
          <w:w w:val="99"/>
          <w:kern w:val="2"/>
          <w:szCs w:val="20"/>
          <w:highlight w:val="none"/>
          <w:lang w:val="en-US" w:eastAsia="zh-CN"/>
        </w:rPr>
        <w:t>hm</w:t>
      </w:r>
      <w:r>
        <w:rPr>
          <w:rFonts w:hint="default" w:ascii="Times New Roman" w:hAnsi="Times New Roman" w:eastAsia="宋体" w:cs="Times New Roman"/>
          <w:color w:val="auto"/>
          <w:w w:val="99"/>
          <w:kern w:val="2"/>
          <w:szCs w:val="20"/>
          <w:highlight w:val="none"/>
          <w:vertAlign w:val="superscript"/>
          <w:lang w:val="en-US" w:eastAsia="zh-CN"/>
        </w:rPr>
        <w:t>2</w:t>
      </w:r>
      <w:r>
        <w:rPr>
          <w:rFonts w:hint="default" w:ascii="Times New Roman" w:hAnsi="Times New Roman" w:eastAsia="宋体" w:cs="Times New Roman"/>
          <w:color w:val="auto"/>
          <w:w w:val="99"/>
          <w:kern w:val="2"/>
          <w:szCs w:val="20"/>
          <w:highlight w:val="none"/>
          <w:lang w:val="en-US" w:eastAsia="zh-CN"/>
        </w:rPr>
        <w:t>。参考土建工程现场扬尘实地监测结果，TSP产生系数为 0.01-0.05mg/m</w:t>
      </w:r>
      <w:r>
        <w:rPr>
          <w:rFonts w:hint="default" w:ascii="Times New Roman" w:hAnsi="Times New Roman" w:eastAsia="宋体" w:cs="Times New Roman"/>
          <w:color w:val="auto"/>
          <w:w w:val="99"/>
          <w:kern w:val="2"/>
          <w:szCs w:val="20"/>
          <w:highlight w:val="none"/>
          <w:vertAlign w:val="superscript"/>
          <w:lang w:val="en-US" w:eastAsia="zh-CN"/>
        </w:rPr>
        <w:t>2</w:t>
      </w:r>
      <w:r>
        <w:rPr>
          <w:rFonts w:hint="default" w:ascii="Times New Roman" w:hAnsi="Times New Roman" w:eastAsia="宋体" w:cs="Times New Roman"/>
          <w:color w:val="auto"/>
          <w:w w:val="99"/>
          <w:kern w:val="2"/>
          <w:szCs w:val="20"/>
          <w:highlight w:val="none"/>
          <w:lang w:val="en-US" w:eastAsia="zh-CN"/>
        </w:rPr>
        <w:t>·s，考虑最不利情况，TSP产生系数取0.05mg/m</w:t>
      </w:r>
      <w:r>
        <w:rPr>
          <w:rFonts w:hint="default" w:ascii="Times New Roman" w:hAnsi="Times New Roman" w:eastAsia="宋体" w:cs="Times New Roman"/>
          <w:color w:val="auto"/>
          <w:w w:val="99"/>
          <w:kern w:val="2"/>
          <w:szCs w:val="20"/>
          <w:highlight w:val="none"/>
          <w:vertAlign w:val="superscript"/>
          <w:lang w:val="en-US" w:eastAsia="zh-CN"/>
        </w:rPr>
        <w:t>2</w:t>
      </w:r>
      <w:r>
        <w:rPr>
          <w:rFonts w:hint="default" w:ascii="Times New Roman" w:hAnsi="Times New Roman" w:eastAsia="宋体" w:cs="Times New Roman"/>
          <w:color w:val="auto"/>
          <w:w w:val="99"/>
          <w:kern w:val="2"/>
          <w:szCs w:val="20"/>
          <w:highlight w:val="none"/>
          <w:lang w:val="en-US" w:eastAsia="zh-CN"/>
        </w:rPr>
        <w:t>·s，取施工现场的扰动面积为70%，按每天施工时间8h计算，施工扬尘产生量为</w:t>
      </w:r>
      <w:r>
        <w:rPr>
          <w:rFonts w:hint="eastAsia" w:ascii="Times New Roman" w:hAnsi="Times New Roman" w:cs="Times New Roman"/>
          <w:color w:val="auto"/>
          <w:w w:val="99"/>
          <w:kern w:val="2"/>
          <w:szCs w:val="20"/>
          <w:highlight w:val="none"/>
          <w:lang w:val="en-US" w:eastAsia="zh-CN"/>
        </w:rPr>
        <w:t>20.29</w:t>
      </w:r>
      <w:r>
        <w:rPr>
          <w:rFonts w:hint="default" w:ascii="Times New Roman" w:hAnsi="Times New Roman" w:eastAsia="宋体" w:cs="Times New Roman"/>
          <w:color w:val="auto"/>
          <w:w w:val="99"/>
          <w:kern w:val="2"/>
          <w:szCs w:val="20"/>
          <w:highlight w:val="none"/>
          <w:lang w:val="en-US" w:eastAsia="zh-CN"/>
        </w:rPr>
        <w:t>kg/d</w:t>
      </w:r>
      <w:r>
        <w:rPr>
          <w:rFonts w:hint="eastAsia" w:ascii="Times New Roman" w:hAnsi="Times New Roman" w:eastAsia="宋体" w:cs="Times New Roman"/>
          <w:color w:val="auto"/>
          <w:w w:val="99"/>
          <w:kern w:val="2"/>
          <w:szCs w:val="20"/>
          <w:highlight w:val="none"/>
          <w:lang w:val="en-US" w:eastAsia="zh-CN"/>
        </w:rPr>
        <w:t>（</w:t>
      </w:r>
      <w:r>
        <w:rPr>
          <w:rFonts w:hint="eastAsia" w:ascii="Times New Roman" w:hAnsi="Times New Roman" w:cs="Times New Roman"/>
          <w:color w:val="auto"/>
          <w:w w:val="99"/>
          <w:kern w:val="2"/>
          <w:szCs w:val="20"/>
          <w:highlight w:val="none"/>
          <w:lang w:val="en-US" w:eastAsia="zh-CN"/>
        </w:rPr>
        <w:t>2.54</w:t>
      </w:r>
      <w:r>
        <w:rPr>
          <w:rFonts w:hint="eastAsia" w:ascii="Times New Roman" w:hAnsi="Times New Roman" w:eastAsia="宋体" w:cs="Times New Roman"/>
          <w:color w:val="auto"/>
          <w:w w:val="99"/>
          <w:kern w:val="2"/>
          <w:szCs w:val="20"/>
          <w:highlight w:val="none"/>
          <w:lang w:val="en-US" w:eastAsia="zh-CN"/>
        </w:rPr>
        <w:t>kg/h）</w:t>
      </w:r>
      <w:r>
        <w:rPr>
          <w:rFonts w:hint="default" w:ascii="Times New Roman" w:hAnsi="Times New Roman" w:eastAsia="宋体" w:cs="Times New Roman"/>
          <w:color w:val="auto"/>
          <w:w w:val="99"/>
          <w:kern w:val="2"/>
          <w:szCs w:val="20"/>
          <w:highlight w:val="none"/>
          <w:lang w:val="en-US" w:eastAsia="zh-CN"/>
        </w:rPr>
        <w:t>。</w:t>
      </w:r>
    </w:p>
    <w:p w14:paraId="42C7032E">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2）</w:t>
      </w:r>
      <w:r>
        <w:rPr>
          <w:rFonts w:hint="default" w:ascii="Times New Roman" w:hAnsi="Times New Roman" w:eastAsia="宋体" w:cs="Times New Roman"/>
          <w:color w:val="auto"/>
          <w:w w:val="99"/>
          <w:kern w:val="2"/>
          <w:szCs w:val="20"/>
          <w:highlight w:val="none"/>
          <w:lang w:val="en-US" w:eastAsia="zh-CN"/>
        </w:rPr>
        <w:t>运输车辆产生的扬尘</w:t>
      </w:r>
    </w:p>
    <w:p w14:paraId="45AADADA">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default" w:ascii="Times New Roman" w:hAnsi="Times New Roman" w:eastAsia="宋体" w:cs="Times New Roman"/>
          <w:color w:val="auto"/>
          <w:w w:val="99"/>
          <w:kern w:val="2"/>
          <w:szCs w:val="20"/>
          <w:highlight w:val="none"/>
          <w:lang w:val="en-US" w:eastAsia="zh-CN"/>
        </w:rPr>
        <w:t>油</w:t>
      </w:r>
      <w:r>
        <w:rPr>
          <w:rFonts w:hint="eastAsia" w:ascii="Times New Roman" w:hAnsi="Times New Roman" w:cs="Times New Roman"/>
          <w:color w:val="auto"/>
          <w:w w:val="99"/>
          <w:kern w:val="2"/>
          <w:szCs w:val="20"/>
          <w:highlight w:val="none"/>
          <w:lang w:val="en-US" w:eastAsia="zh-CN"/>
        </w:rPr>
        <w:t>气</w:t>
      </w:r>
      <w:r>
        <w:rPr>
          <w:rFonts w:hint="default" w:ascii="Times New Roman" w:hAnsi="Times New Roman" w:eastAsia="宋体" w:cs="Times New Roman"/>
          <w:color w:val="auto"/>
          <w:w w:val="99"/>
          <w:kern w:val="2"/>
          <w:szCs w:val="20"/>
          <w:highlight w:val="none"/>
          <w:lang w:val="en-US" w:eastAsia="zh-CN"/>
        </w:rPr>
        <w:t>田开发时各类运输车辆较多，排放的尾气会对大气环境造成一定污染。但由于车辆数量与每辆车行驶里程不易确定，因此本次评价仅简单分析。</w:t>
      </w:r>
    </w:p>
    <w:p w14:paraId="209BBB07">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③</w:t>
      </w:r>
      <w:r>
        <w:rPr>
          <w:rFonts w:hint="default" w:ascii="Times New Roman" w:hAnsi="Times New Roman" w:eastAsia="宋体" w:cs="Times New Roman"/>
          <w:color w:val="auto"/>
          <w:w w:val="99"/>
          <w:kern w:val="2"/>
          <w:szCs w:val="20"/>
          <w:highlight w:val="none"/>
          <w:lang w:val="en-US" w:eastAsia="zh-CN"/>
        </w:rPr>
        <w:t>焊接烟尘</w:t>
      </w:r>
    </w:p>
    <w:p w14:paraId="016F6A08">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default" w:ascii="Times New Roman" w:hAnsi="Times New Roman" w:eastAsia="宋体" w:cs="Times New Roman"/>
          <w:color w:val="auto"/>
          <w:w w:val="99"/>
          <w:kern w:val="2"/>
          <w:szCs w:val="20"/>
          <w:highlight w:val="none"/>
          <w:lang w:val="en-US" w:eastAsia="zh-CN"/>
        </w:rPr>
        <w:t>本项目在管道接口处进行焊接时，采用二氧化碳气体保护焊技术，使用药芯焊丝焊接，利用二氧化碳气体做为保护气体，焊接过程中，在高温电弧作用下，焊丝端部及其母材被熔化，溶液表面剧烈喷射由药皮焊芯产生的高温高压蒸汽并向四周扩散。当蒸汽进入周围空气中时，被冷却并氧化，部分结成固体微粒，形成由气体和固体微粒组成的焊接烟尘。焊接烟尘中的主要成分是金属氧化物。</w:t>
      </w:r>
    </w:p>
    <w:p w14:paraId="31A1B6A4">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default" w:ascii="Times New Roman" w:hAnsi="Times New Roman" w:eastAsia="宋体" w:cs="Times New Roman"/>
          <w:color w:val="auto"/>
          <w:w w:val="99"/>
          <w:kern w:val="2"/>
          <w:szCs w:val="20"/>
          <w:highlight w:val="none"/>
          <w:lang w:val="en-US" w:eastAsia="zh-CN"/>
        </w:rPr>
        <w:t>根据《排放源统计调查产排污核算方法和系数手册》中机械行业系数手册，药芯焊丝颗粒物产生量为20.5kg/t原料，本项目焊丝使用总量约为</w:t>
      </w:r>
      <w:r>
        <w:rPr>
          <w:rFonts w:hint="eastAsia" w:ascii="Times New Roman" w:hAnsi="Times New Roman" w:cs="Times New Roman"/>
          <w:color w:val="auto"/>
          <w:w w:val="99"/>
          <w:kern w:val="2"/>
          <w:szCs w:val="20"/>
          <w:highlight w:val="none"/>
          <w:lang w:val="en-US" w:eastAsia="zh-CN"/>
        </w:rPr>
        <w:t>80</w:t>
      </w:r>
      <w:r>
        <w:rPr>
          <w:rFonts w:hint="default" w:ascii="Times New Roman" w:hAnsi="Times New Roman" w:eastAsia="宋体" w:cs="Times New Roman"/>
          <w:color w:val="auto"/>
          <w:w w:val="99"/>
          <w:kern w:val="2"/>
          <w:szCs w:val="20"/>
          <w:highlight w:val="none"/>
          <w:lang w:val="en-US" w:eastAsia="zh-CN"/>
        </w:rPr>
        <w:t>kg，焊接烟尘（颗粒物）的产生最大量为</w:t>
      </w:r>
      <w:r>
        <w:rPr>
          <w:rFonts w:hint="eastAsia" w:ascii="Times New Roman" w:hAnsi="Times New Roman" w:cs="Times New Roman"/>
          <w:color w:val="auto"/>
          <w:w w:val="99"/>
          <w:kern w:val="2"/>
          <w:szCs w:val="20"/>
          <w:highlight w:val="none"/>
          <w:lang w:val="en-US" w:eastAsia="zh-CN"/>
        </w:rPr>
        <w:t>0.002</w:t>
      </w:r>
      <w:r>
        <w:rPr>
          <w:rFonts w:hint="default" w:ascii="Times New Roman" w:hAnsi="Times New Roman" w:eastAsia="宋体" w:cs="Times New Roman"/>
          <w:color w:val="auto"/>
          <w:w w:val="99"/>
          <w:kern w:val="2"/>
          <w:szCs w:val="20"/>
          <w:highlight w:val="none"/>
          <w:lang w:val="en-US" w:eastAsia="zh-CN"/>
        </w:rPr>
        <w:t>t。</w:t>
      </w:r>
    </w:p>
    <w:p w14:paraId="2754A47F">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④</w:t>
      </w:r>
      <w:r>
        <w:rPr>
          <w:rFonts w:hint="default" w:ascii="Times New Roman" w:hAnsi="Times New Roman" w:eastAsia="宋体" w:cs="Times New Roman"/>
          <w:color w:val="auto"/>
          <w:w w:val="99"/>
          <w:kern w:val="2"/>
          <w:szCs w:val="20"/>
          <w:highlight w:val="none"/>
          <w:lang w:val="en-US" w:eastAsia="zh-CN"/>
        </w:rPr>
        <w:t>施工机械、运输车辆排放的废气</w:t>
      </w:r>
    </w:p>
    <w:p w14:paraId="0CE8B747">
      <w:pPr>
        <w:widowControl w:val="0"/>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default" w:ascii="Times New Roman" w:hAnsi="Times New Roman" w:eastAsia="宋体" w:cs="Times New Roman"/>
          <w:color w:val="auto"/>
          <w:w w:val="99"/>
          <w:kern w:val="2"/>
          <w:szCs w:val="20"/>
          <w:highlight w:val="none"/>
          <w:lang w:val="en-US" w:eastAsia="zh-CN"/>
        </w:rPr>
        <w:t>油田开发时各类运输车辆较多，排放的尾气会对大气环境造成一定污染。但由于车辆数量与每辆车行驶里程不易确定，因此，本次评价仅简单分析。</w:t>
      </w:r>
    </w:p>
    <w:p w14:paraId="560A27D1">
      <w:pPr>
        <w:snapToGrid w:val="0"/>
        <w:spacing w:line="440" w:lineRule="exact"/>
        <w:ind w:firstLine="474" w:firstLineChars="200"/>
        <w:jc w:val="both"/>
        <w:rPr>
          <w:rFonts w:ascii="Times New Roman" w:hAnsi="Times New Roman" w:cs="Times New Roman"/>
          <w:color w:val="auto"/>
          <w:w w:val="99"/>
          <w:highlight w:val="none"/>
          <w:lang w:val="zh-CN"/>
        </w:rPr>
      </w:pPr>
      <w:r>
        <w:rPr>
          <w:rFonts w:ascii="Times New Roman" w:hAnsi="Times New Roman" w:cs="Times New Roman"/>
          <w:color w:val="auto"/>
          <w:w w:val="99"/>
          <w:highlight w:val="none"/>
          <w:lang w:val="zh-CN"/>
        </w:rPr>
        <w:t>（2）废水</w:t>
      </w:r>
    </w:p>
    <w:p w14:paraId="22E207F0">
      <w:pPr>
        <w:widowControl w:val="0"/>
        <w:spacing w:line="440" w:lineRule="exact"/>
        <w:ind w:firstLine="474" w:firstLineChars="200"/>
        <w:jc w:val="both"/>
        <w:rPr>
          <w:rFonts w:hint="eastAsia"/>
          <w:color w:val="auto"/>
          <w:w w:val="99"/>
          <w:kern w:val="2"/>
          <w:highlight w:val="none"/>
        </w:rPr>
      </w:pPr>
      <w:r>
        <w:rPr>
          <w:rFonts w:hint="eastAsia"/>
          <w:color w:val="auto"/>
          <w:w w:val="99"/>
          <w:kern w:val="2"/>
          <w:highlight w:val="none"/>
        </w:rPr>
        <w:t>施工期废水主要为</w:t>
      </w:r>
      <w:r>
        <w:rPr>
          <w:rFonts w:hint="eastAsia"/>
          <w:color w:val="auto"/>
          <w:w w:val="99"/>
          <w:kern w:val="2"/>
          <w:highlight w:val="none"/>
          <w:lang w:val="en-US" w:eastAsia="zh-CN"/>
        </w:rPr>
        <w:t>管线试压废水及</w:t>
      </w:r>
      <w:r>
        <w:rPr>
          <w:rFonts w:hint="eastAsia"/>
          <w:color w:val="auto"/>
          <w:w w:val="99"/>
          <w:kern w:val="2"/>
          <w:highlight w:val="none"/>
        </w:rPr>
        <w:t>施工人员</w:t>
      </w:r>
      <w:r>
        <w:rPr>
          <w:rFonts w:hint="eastAsia"/>
          <w:color w:val="auto"/>
          <w:w w:val="99"/>
          <w:kern w:val="2"/>
          <w:highlight w:val="none"/>
          <w:lang w:val="en-US" w:eastAsia="zh-CN"/>
        </w:rPr>
        <w:t>产生的</w:t>
      </w:r>
      <w:r>
        <w:rPr>
          <w:rFonts w:hint="eastAsia"/>
          <w:color w:val="auto"/>
          <w:w w:val="99"/>
          <w:kern w:val="2"/>
          <w:highlight w:val="none"/>
        </w:rPr>
        <w:t>生活污水。</w:t>
      </w:r>
    </w:p>
    <w:p w14:paraId="1A7EF938">
      <w:pPr>
        <w:widowControl w:val="0"/>
        <w:spacing w:line="440" w:lineRule="exact"/>
        <w:ind w:firstLine="474" w:firstLineChars="200"/>
        <w:jc w:val="both"/>
        <w:rPr>
          <w:rFonts w:hint="eastAsia" w:ascii="Times New Roman" w:hAnsi="Times New Roman" w:cs="Times New Roman"/>
          <w:color w:val="auto"/>
          <w:w w:val="99"/>
          <w:kern w:val="2"/>
          <w:highlight w:val="none"/>
          <w:lang w:eastAsia="zh-CN"/>
        </w:rPr>
      </w:pPr>
      <w:r>
        <w:rPr>
          <w:rFonts w:hint="eastAsia" w:ascii="Times New Roman" w:hAnsi="Times New Roman" w:cs="Times New Roman"/>
          <w:color w:val="auto"/>
          <w:w w:val="99"/>
          <w:kern w:val="2"/>
          <w:highlight w:val="none"/>
          <w:lang w:val="en-US" w:eastAsia="zh-CN"/>
        </w:rPr>
        <w:t>①</w:t>
      </w:r>
      <w:r>
        <w:rPr>
          <w:rFonts w:hint="eastAsia" w:ascii="Times New Roman" w:hAnsi="Times New Roman" w:cs="Times New Roman"/>
          <w:color w:val="auto"/>
          <w:w w:val="99"/>
          <w:kern w:val="2"/>
          <w:highlight w:val="none"/>
          <w:lang w:eastAsia="zh-CN"/>
        </w:rPr>
        <w:t>试压废水</w:t>
      </w:r>
    </w:p>
    <w:p w14:paraId="0CAE15E6">
      <w:pPr>
        <w:widowControl w:val="0"/>
        <w:spacing w:line="440" w:lineRule="exact"/>
        <w:ind w:firstLine="474" w:firstLineChars="200"/>
        <w:jc w:val="both"/>
        <w:rPr>
          <w:rFonts w:hint="eastAsia" w:ascii="Times New Roman" w:hAnsi="Times New Roman" w:cs="Times New Roman"/>
          <w:color w:val="auto"/>
          <w:w w:val="99"/>
          <w:kern w:val="2"/>
          <w:highlight w:val="none"/>
          <w:lang w:eastAsia="zh-CN"/>
        </w:rPr>
      </w:pPr>
      <w:r>
        <w:rPr>
          <w:rFonts w:hint="eastAsia" w:ascii="Times New Roman" w:hAnsi="Times New Roman" w:cs="Times New Roman"/>
          <w:color w:val="auto"/>
          <w:w w:val="99"/>
          <w:kern w:val="2"/>
          <w:highlight w:val="none"/>
          <w:lang w:eastAsia="zh-CN"/>
        </w:rPr>
        <w:t>本项目管道敷设完成后进行试压，</w:t>
      </w:r>
      <w:r>
        <w:rPr>
          <w:rFonts w:hint="eastAsia" w:ascii="Times New Roman" w:hAnsi="Times New Roman" w:cs="Times New Roman"/>
          <w:color w:val="auto"/>
          <w:w w:val="99"/>
          <w:kern w:val="2"/>
          <w:highlight w:val="none"/>
          <w:lang w:val="en-US" w:eastAsia="zh-CN"/>
        </w:rPr>
        <w:t>本项目新建Φ76×（9+2）集气管道1.92km，</w:t>
      </w:r>
      <w:r>
        <w:rPr>
          <w:rFonts w:hint="eastAsia" w:ascii="Times New Roman" w:hAnsi="Times New Roman" w:cs="Times New Roman"/>
          <w:color w:val="auto"/>
          <w:w w:val="99"/>
          <w:kern w:val="2"/>
          <w:highlight w:val="none"/>
          <w:lang w:eastAsia="zh-CN"/>
        </w:rPr>
        <w:t xml:space="preserve">管线试压用水量为 </w:t>
      </w:r>
      <w:r>
        <w:rPr>
          <w:rFonts w:hint="eastAsia" w:ascii="Times New Roman" w:hAnsi="Times New Roman" w:cs="Times New Roman"/>
          <w:color w:val="auto"/>
          <w:w w:val="99"/>
          <w:kern w:val="2"/>
          <w:highlight w:val="none"/>
          <w:lang w:val="en-US" w:eastAsia="zh-CN"/>
        </w:rPr>
        <w:t>4.39</w:t>
      </w:r>
      <w:r>
        <w:rPr>
          <w:rFonts w:hint="eastAsia" w:ascii="Times New Roman" w:hAnsi="Times New Roman" w:cs="Times New Roman"/>
          <w:color w:val="auto"/>
          <w:w w:val="99"/>
          <w:kern w:val="2"/>
          <w:highlight w:val="none"/>
          <w:lang w:eastAsia="zh-CN"/>
        </w:rPr>
        <w:t>m</w:t>
      </w:r>
      <w:r>
        <w:rPr>
          <w:rFonts w:hint="eastAsia" w:ascii="Times New Roman" w:hAnsi="Times New Roman" w:cs="Times New Roman"/>
          <w:color w:val="auto"/>
          <w:w w:val="99"/>
          <w:kern w:val="2"/>
          <w:highlight w:val="none"/>
          <w:vertAlign w:val="superscript"/>
          <w:lang w:eastAsia="zh-CN"/>
        </w:rPr>
        <w:t>3</w:t>
      </w:r>
      <w:r>
        <w:rPr>
          <w:rFonts w:hint="eastAsia" w:ascii="Times New Roman" w:hAnsi="Times New Roman" w:cs="Times New Roman"/>
          <w:color w:val="auto"/>
          <w:w w:val="99"/>
          <w:kern w:val="2"/>
          <w:highlight w:val="none"/>
          <w:lang w:eastAsia="zh-CN"/>
        </w:rPr>
        <w:t>。管线试压废水按试压用水量的 95%计，则试压废水产生量为</w:t>
      </w:r>
      <w:r>
        <w:rPr>
          <w:rFonts w:hint="eastAsia" w:ascii="Times New Roman" w:hAnsi="Times New Roman" w:cs="Times New Roman"/>
          <w:color w:val="auto"/>
          <w:w w:val="99"/>
          <w:kern w:val="2"/>
          <w:highlight w:val="none"/>
          <w:lang w:val="en-US" w:eastAsia="zh-CN"/>
        </w:rPr>
        <w:t>4.17</w:t>
      </w:r>
      <w:r>
        <w:rPr>
          <w:rFonts w:hint="eastAsia" w:ascii="Times New Roman" w:hAnsi="Times New Roman" w:cs="Times New Roman"/>
          <w:color w:val="auto"/>
          <w:w w:val="99"/>
          <w:kern w:val="2"/>
          <w:highlight w:val="none"/>
          <w:lang w:eastAsia="zh-CN"/>
        </w:rPr>
        <w:t>m</w:t>
      </w:r>
      <w:r>
        <w:rPr>
          <w:rFonts w:hint="eastAsia" w:ascii="Times New Roman" w:hAnsi="Times New Roman" w:cs="Times New Roman"/>
          <w:color w:val="auto"/>
          <w:w w:val="99"/>
          <w:kern w:val="2"/>
          <w:highlight w:val="none"/>
          <w:vertAlign w:val="superscript"/>
          <w:lang w:eastAsia="zh-CN"/>
        </w:rPr>
        <w:t>3</w:t>
      </w:r>
      <w:r>
        <w:rPr>
          <w:rFonts w:hint="eastAsia" w:ascii="Times New Roman" w:hAnsi="Times New Roman" w:cs="Times New Roman"/>
          <w:color w:val="auto"/>
          <w:w w:val="99"/>
          <w:kern w:val="2"/>
          <w:highlight w:val="none"/>
          <w:lang w:eastAsia="zh-CN"/>
        </w:rPr>
        <w:t>。项目管线试压废水通过罐车拉运至升一联气田污水预处理站处理，满足《大庆油田地面工程建 设设计规定》（Q/SYDQ0639-2015）限值“含油量≤10mg/L、悬浮固体含量 ≤5mg/L、粒径中值≤2μm”后回注地下，回注到现役油气藏层位。</w:t>
      </w:r>
    </w:p>
    <w:p w14:paraId="66785DF1">
      <w:pPr>
        <w:widowControl w:val="0"/>
        <w:spacing w:line="440" w:lineRule="exact"/>
        <w:ind w:firstLine="474" w:firstLineChars="200"/>
        <w:jc w:val="both"/>
        <w:rPr>
          <w:rFonts w:hint="eastAsia" w:ascii="Times New Roman" w:hAnsi="Times New Roman" w:cs="Times New Roman"/>
          <w:color w:val="auto"/>
          <w:w w:val="99"/>
          <w:kern w:val="2"/>
          <w:highlight w:val="none"/>
          <w:lang w:eastAsia="zh-CN"/>
        </w:rPr>
      </w:pPr>
      <w:r>
        <w:rPr>
          <w:rFonts w:hint="eastAsia" w:ascii="Times New Roman" w:hAnsi="Times New Roman" w:cs="Times New Roman"/>
          <w:color w:val="auto"/>
          <w:w w:val="99"/>
          <w:kern w:val="2"/>
          <w:highlight w:val="none"/>
          <w:lang w:val="en-US" w:eastAsia="zh-CN"/>
        </w:rPr>
        <w:t>②</w:t>
      </w:r>
      <w:r>
        <w:rPr>
          <w:rFonts w:hint="eastAsia" w:ascii="Times New Roman" w:hAnsi="Times New Roman" w:cs="Times New Roman"/>
          <w:color w:val="auto"/>
          <w:w w:val="99"/>
          <w:kern w:val="2"/>
          <w:highlight w:val="none"/>
          <w:lang w:eastAsia="zh-CN"/>
        </w:rPr>
        <w:t>生活污水</w:t>
      </w:r>
    </w:p>
    <w:p w14:paraId="100BC806">
      <w:pPr>
        <w:widowControl w:val="0"/>
        <w:spacing w:line="440" w:lineRule="exact"/>
        <w:ind w:firstLine="474" w:firstLineChars="200"/>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cs="Times New Roman" w:eastAsiaTheme="minorEastAsia"/>
          <w:color w:val="auto"/>
          <w:w w:val="99"/>
          <w:kern w:val="21"/>
          <w:highlight w:val="none"/>
          <w:lang w:val="en-US" w:eastAsia="zh-CN"/>
        </w:rPr>
        <w:t>地面工程施工时间约30d，施工人数30人，根据《用水定额》（</w:t>
      </w:r>
      <w:r>
        <w:rPr>
          <w:rFonts w:hint="default" w:ascii="Times New Roman" w:hAnsi="Times New Roman" w:cs="Times New Roman" w:eastAsiaTheme="minorEastAsia"/>
          <w:color w:val="auto"/>
          <w:w w:val="99"/>
          <w:kern w:val="21"/>
          <w:highlight w:val="none"/>
          <w:lang w:val="en-US" w:eastAsia="zh-CN"/>
        </w:rPr>
        <w:t>DB23/T727-202</w:t>
      </w:r>
      <w:r>
        <w:rPr>
          <w:rFonts w:hint="eastAsia" w:ascii="Times New Roman" w:hAnsi="Times New Roman" w:cs="Times New Roman" w:eastAsiaTheme="minorEastAsia"/>
          <w:color w:val="auto"/>
          <w:w w:val="99"/>
          <w:kern w:val="21"/>
          <w:highlight w:val="none"/>
          <w:lang w:val="en-US" w:eastAsia="zh-CN"/>
        </w:rPr>
        <w:t>5）项目施工期生活用水量按</w:t>
      </w:r>
      <w:r>
        <w:rPr>
          <w:rFonts w:hint="default" w:ascii="Times New Roman" w:hAnsi="Times New Roman" w:cs="Times New Roman" w:eastAsiaTheme="minorEastAsia"/>
          <w:color w:val="auto"/>
          <w:w w:val="99"/>
          <w:kern w:val="21"/>
          <w:highlight w:val="none"/>
          <w:lang w:val="en-US" w:eastAsia="zh-CN"/>
        </w:rPr>
        <w:t>80L/</w:t>
      </w:r>
      <w:r>
        <w:rPr>
          <w:rFonts w:hint="eastAsia" w:ascii="Times New Roman" w:hAnsi="Times New Roman" w:cs="Times New Roman" w:eastAsiaTheme="minorEastAsia"/>
          <w:color w:val="auto"/>
          <w:w w:val="99"/>
          <w:kern w:val="21"/>
          <w:highlight w:val="none"/>
          <w:lang w:val="en-US" w:eastAsia="zh-CN"/>
        </w:rPr>
        <w:t>人</w:t>
      </w:r>
      <w:r>
        <w:rPr>
          <w:rFonts w:hint="default" w:ascii="Times New Roman" w:hAnsi="Times New Roman" w:cs="Times New Roman" w:eastAsiaTheme="minorEastAsia"/>
          <w:color w:val="auto"/>
          <w:w w:val="99"/>
          <w:kern w:val="21"/>
          <w:highlight w:val="none"/>
          <w:lang w:val="en-US" w:eastAsia="zh-CN"/>
        </w:rPr>
        <w:t xml:space="preserve">·d </w:t>
      </w:r>
      <w:r>
        <w:rPr>
          <w:rFonts w:hint="eastAsia" w:ascii="Times New Roman" w:hAnsi="Times New Roman" w:cs="Times New Roman" w:eastAsiaTheme="minorEastAsia"/>
          <w:color w:val="auto"/>
          <w:w w:val="99"/>
          <w:kern w:val="21"/>
          <w:highlight w:val="none"/>
          <w:lang w:val="en-US" w:eastAsia="zh-CN"/>
        </w:rPr>
        <w:t>计，则施工期间施工人员生活用水量为720</w:t>
      </w:r>
      <w:r>
        <w:rPr>
          <w:rFonts w:hint="default" w:ascii="Times New Roman" w:hAnsi="Times New Roman" w:cs="Times New Roman" w:eastAsiaTheme="minorEastAsia"/>
          <w:color w:val="auto"/>
          <w:w w:val="99"/>
          <w:kern w:val="21"/>
          <w:highlight w:val="none"/>
          <w:lang w:val="en-US" w:eastAsia="zh-CN"/>
        </w:rPr>
        <w:t>m</w:t>
      </w:r>
      <w:r>
        <w:rPr>
          <w:rFonts w:hint="default" w:ascii="Times New Roman" w:hAnsi="Times New Roman" w:cs="Times New Roman" w:eastAsiaTheme="minorEastAsia"/>
          <w:color w:val="auto"/>
          <w:w w:val="99"/>
          <w:kern w:val="21"/>
          <w:highlight w:val="none"/>
          <w:vertAlign w:val="superscript"/>
          <w:lang w:val="en-US" w:eastAsia="zh-CN"/>
        </w:rPr>
        <w:t>3</w:t>
      </w:r>
      <w:r>
        <w:rPr>
          <w:rFonts w:hint="eastAsia" w:ascii="Times New Roman" w:hAnsi="Times New Roman" w:cs="Times New Roman" w:eastAsiaTheme="minorEastAsia"/>
          <w:color w:val="auto"/>
          <w:w w:val="99"/>
          <w:kern w:val="21"/>
          <w:highlight w:val="none"/>
          <w:lang w:val="en-US" w:eastAsia="zh-CN"/>
        </w:rPr>
        <w:t>（30</w:t>
      </w:r>
      <w:r>
        <w:rPr>
          <w:rFonts w:hint="default" w:ascii="Times New Roman" w:hAnsi="Times New Roman" w:cs="Times New Roman" w:eastAsiaTheme="minorEastAsia"/>
          <w:color w:val="auto"/>
          <w:w w:val="99"/>
          <w:kern w:val="21"/>
          <w:highlight w:val="none"/>
          <w:lang w:val="en-US" w:eastAsia="zh-CN"/>
        </w:rPr>
        <w:t>×</w:t>
      </w:r>
      <w:r>
        <w:rPr>
          <w:rFonts w:hint="eastAsia" w:ascii="Times New Roman" w:hAnsi="Times New Roman" w:cs="Times New Roman" w:eastAsiaTheme="minorEastAsia"/>
          <w:color w:val="auto"/>
          <w:w w:val="99"/>
          <w:kern w:val="21"/>
          <w:highlight w:val="none"/>
          <w:lang w:val="en-US" w:eastAsia="zh-CN"/>
        </w:rPr>
        <w:t>3</w:t>
      </w:r>
      <w:r>
        <w:rPr>
          <w:rFonts w:hint="default" w:ascii="Times New Roman" w:hAnsi="Times New Roman" w:cs="Times New Roman" w:eastAsiaTheme="minorEastAsia"/>
          <w:color w:val="auto"/>
          <w:w w:val="99"/>
          <w:kern w:val="21"/>
          <w:highlight w:val="none"/>
          <w:lang w:val="en-US" w:eastAsia="zh-CN"/>
        </w:rPr>
        <w:t>0×80×10</w:t>
      </w:r>
      <w:r>
        <w:rPr>
          <w:rFonts w:hint="default" w:ascii="Times New Roman" w:hAnsi="Times New Roman" w:cs="Times New Roman" w:eastAsiaTheme="minorEastAsia"/>
          <w:color w:val="auto"/>
          <w:w w:val="99"/>
          <w:kern w:val="21"/>
          <w:highlight w:val="none"/>
          <w:vertAlign w:val="superscript"/>
          <w:lang w:val="en-US" w:eastAsia="zh-CN"/>
        </w:rPr>
        <w:t>-3</w:t>
      </w:r>
      <w:r>
        <w:rPr>
          <w:rFonts w:hint="default" w:ascii="Times New Roman" w:hAnsi="Times New Roman" w:cs="Times New Roman" w:eastAsiaTheme="minorEastAsia"/>
          <w:color w:val="auto"/>
          <w:w w:val="99"/>
          <w:kern w:val="21"/>
          <w:highlight w:val="none"/>
          <w:lang w:val="en-US" w:eastAsia="zh-CN"/>
        </w:rPr>
        <w:t>=</w:t>
      </w:r>
      <w:r>
        <w:rPr>
          <w:rFonts w:hint="eastAsia" w:ascii="Times New Roman" w:hAnsi="Times New Roman" w:cs="Times New Roman" w:eastAsiaTheme="minorEastAsia"/>
          <w:color w:val="auto"/>
          <w:w w:val="99"/>
          <w:kern w:val="21"/>
          <w:highlight w:val="none"/>
          <w:lang w:val="en-US" w:eastAsia="zh-CN"/>
        </w:rPr>
        <w:t>720），生活污水按生活用水量的</w:t>
      </w:r>
      <w:r>
        <w:rPr>
          <w:rFonts w:hint="default" w:ascii="Times New Roman" w:hAnsi="Times New Roman" w:cs="Times New Roman" w:eastAsiaTheme="minorEastAsia"/>
          <w:color w:val="auto"/>
          <w:w w:val="99"/>
          <w:kern w:val="21"/>
          <w:highlight w:val="none"/>
          <w:lang w:val="en-US" w:eastAsia="zh-CN"/>
        </w:rPr>
        <w:t>80%</w:t>
      </w:r>
      <w:r>
        <w:rPr>
          <w:rFonts w:hint="eastAsia" w:ascii="Times New Roman" w:hAnsi="Times New Roman" w:cs="Times New Roman" w:eastAsiaTheme="minorEastAsia"/>
          <w:color w:val="auto"/>
          <w:w w:val="99"/>
          <w:kern w:val="21"/>
          <w:highlight w:val="none"/>
          <w:lang w:val="en-US" w:eastAsia="zh-CN"/>
        </w:rPr>
        <w:t>计，则施工期间施工人员生活污水产生量为576</w:t>
      </w:r>
      <w:r>
        <w:rPr>
          <w:rFonts w:hint="default" w:ascii="Times New Roman" w:hAnsi="Times New Roman" w:cs="Times New Roman" w:eastAsiaTheme="minorEastAsia"/>
          <w:color w:val="auto"/>
          <w:w w:val="99"/>
          <w:kern w:val="21"/>
          <w:highlight w:val="none"/>
          <w:lang w:val="en-US" w:eastAsia="zh-CN"/>
        </w:rPr>
        <w:t>m</w:t>
      </w:r>
      <w:r>
        <w:rPr>
          <w:rFonts w:hint="default" w:ascii="Times New Roman" w:hAnsi="Times New Roman" w:cs="Times New Roman" w:eastAsiaTheme="minorEastAsia"/>
          <w:color w:val="auto"/>
          <w:w w:val="99"/>
          <w:kern w:val="21"/>
          <w:highlight w:val="none"/>
          <w:vertAlign w:val="superscript"/>
          <w:lang w:val="en-US" w:eastAsia="zh-CN"/>
        </w:rPr>
        <w:t>3</w:t>
      </w:r>
      <w:r>
        <w:rPr>
          <w:rFonts w:hint="eastAsia" w:ascii="Times New Roman" w:hAnsi="Times New Roman" w:cs="Times New Roman" w:eastAsiaTheme="minorEastAsia"/>
          <w:color w:val="auto"/>
          <w:w w:val="99"/>
          <w:kern w:val="21"/>
          <w:highlight w:val="none"/>
          <w:lang w:val="en-US" w:eastAsia="zh-CN"/>
        </w:rPr>
        <w:t>。施工期地面生活污水排入附近场站已建生活污水收集设施，</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p>
    <w:p w14:paraId="769C7845">
      <w:pPr>
        <w:adjustRightInd w:val="0"/>
        <w:snapToGrid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项目施工期废水产生及排放情况详见表</w:t>
      </w:r>
      <w:r>
        <w:rPr>
          <w:rFonts w:hint="eastAsia" w:ascii="Times New Roman" w:hAnsi="Times New Roman" w:cs="Times New Roman"/>
          <w:color w:val="auto"/>
          <w:w w:val="99"/>
          <w:kern w:val="2"/>
          <w:highlight w:val="none"/>
          <w:lang w:eastAsia="zh-CN"/>
        </w:rPr>
        <w:t>3.1</w:t>
      </w:r>
      <w:r>
        <w:rPr>
          <w:rFonts w:hint="eastAsia" w:ascii="Times New Roman" w:hAnsi="Times New Roman" w:cs="Times New Roman"/>
          <w:color w:val="auto"/>
          <w:w w:val="99"/>
          <w:kern w:val="2"/>
          <w:highlight w:val="none"/>
          <w:lang w:val="en-US" w:eastAsia="zh-CN"/>
        </w:rPr>
        <w:t>0</w:t>
      </w:r>
      <w:r>
        <w:rPr>
          <w:rFonts w:ascii="Times New Roman" w:hAnsi="Times New Roman" w:cs="Times New Roman"/>
          <w:color w:val="auto"/>
          <w:w w:val="99"/>
          <w:kern w:val="2"/>
          <w:highlight w:val="none"/>
        </w:rPr>
        <w:t>-</w:t>
      </w:r>
      <w:r>
        <w:rPr>
          <w:rFonts w:hint="eastAsia" w:ascii="Times New Roman" w:hAnsi="Times New Roman" w:cs="Times New Roman"/>
          <w:color w:val="auto"/>
          <w:w w:val="99"/>
          <w:kern w:val="2"/>
          <w:highlight w:val="none"/>
          <w:lang w:val="en-US" w:eastAsia="zh-CN"/>
        </w:rPr>
        <w:t>2</w:t>
      </w:r>
      <w:r>
        <w:rPr>
          <w:rFonts w:ascii="Times New Roman" w:hAnsi="Times New Roman" w:cs="Times New Roman"/>
          <w:color w:val="auto"/>
          <w:w w:val="99"/>
          <w:kern w:val="2"/>
          <w:highlight w:val="none"/>
        </w:rPr>
        <w:t>。</w:t>
      </w:r>
    </w:p>
    <w:p w14:paraId="6BBEED05">
      <w:pPr>
        <w:adjustRightInd w:val="0"/>
        <w:snapToGrid w:val="0"/>
        <w:spacing w:line="440" w:lineRule="exact"/>
        <w:ind w:firstLine="476" w:firstLineChars="200"/>
        <w:jc w:val="both"/>
        <w:rPr>
          <w:rFonts w:ascii="Times New Roman" w:hAnsi="Times New Roman" w:cs="Times New Roman"/>
          <w:b/>
          <w:bCs/>
          <w:color w:val="auto"/>
          <w:w w:val="99"/>
          <w:kern w:val="2"/>
          <w:highlight w:val="none"/>
        </w:rPr>
      </w:pPr>
      <w:r>
        <w:rPr>
          <w:rFonts w:ascii="Times New Roman" w:hAnsi="Times New Roman" w:cs="Times New Roman"/>
          <w:b/>
          <w:bCs/>
          <w:color w:val="auto"/>
          <w:w w:val="99"/>
          <w:kern w:val="2"/>
          <w:highlight w:val="none"/>
        </w:rPr>
        <w:t>表</w:t>
      </w:r>
      <w:r>
        <w:rPr>
          <w:rFonts w:hint="eastAsia" w:ascii="Times New Roman" w:hAnsi="Times New Roman" w:cs="Times New Roman"/>
          <w:b/>
          <w:bCs/>
          <w:color w:val="auto"/>
          <w:w w:val="99"/>
          <w:kern w:val="2"/>
          <w:highlight w:val="none"/>
          <w:lang w:eastAsia="zh-CN"/>
        </w:rPr>
        <w:t>3.1</w:t>
      </w:r>
      <w:r>
        <w:rPr>
          <w:rFonts w:hint="eastAsia" w:ascii="Times New Roman" w:hAnsi="Times New Roman" w:cs="Times New Roman"/>
          <w:b/>
          <w:bCs/>
          <w:color w:val="auto"/>
          <w:w w:val="99"/>
          <w:kern w:val="2"/>
          <w:highlight w:val="none"/>
          <w:lang w:val="en-US" w:eastAsia="zh-CN"/>
        </w:rPr>
        <w:t>0</w:t>
      </w:r>
      <w:r>
        <w:rPr>
          <w:rFonts w:ascii="Times New Roman" w:hAnsi="Times New Roman" w:cs="Times New Roman"/>
          <w:b/>
          <w:bCs/>
          <w:color w:val="auto"/>
          <w:w w:val="99"/>
          <w:kern w:val="2"/>
          <w:highlight w:val="none"/>
        </w:rPr>
        <w:t>-</w:t>
      </w:r>
      <w:r>
        <w:rPr>
          <w:rFonts w:hint="eastAsia" w:ascii="Times New Roman" w:hAnsi="Times New Roman" w:cs="Times New Roman"/>
          <w:b/>
          <w:bCs/>
          <w:color w:val="auto"/>
          <w:w w:val="99"/>
          <w:kern w:val="2"/>
          <w:highlight w:val="none"/>
          <w:lang w:val="en-US" w:eastAsia="zh-CN"/>
        </w:rPr>
        <w:t>2</w:t>
      </w:r>
      <w:r>
        <w:rPr>
          <w:rFonts w:ascii="Times New Roman" w:hAnsi="Times New Roman" w:cs="Times New Roman"/>
          <w:b/>
          <w:bCs/>
          <w:color w:val="auto"/>
          <w:w w:val="99"/>
          <w:kern w:val="2"/>
          <w:highlight w:val="none"/>
        </w:rPr>
        <w:t xml:space="preserve">    施工期废水污染物排放量表</w:t>
      </w:r>
    </w:p>
    <w:tbl>
      <w:tblPr>
        <w:tblStyle w:val="80"/>
        <w:tblW w:w="92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851"/>
        <w:gridCol w:w="992"/>
        <w:gridCol w:w="1134"/>
        <w:gridCol w:w="5693"/>
      </w:tblGrid>
      <w:tr w14:paraId="01520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Mar>
              <w:left w:w="57" w:type="dxa"/>
              <w:right w:w="57" w:type="dxa"/>
            </w:tcMar>
            <w:vAlign w:val="center"/>
          </w:tcPr>
          <w:p w14:paraId="1697BFB2">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序号</w:t>
            </w:r>
          </w:p>
        </w:tc>
        <w:tc>
          <w:tcPr>
            <w:tcW w:w="851" w:type="dxa"/>
            <w:tcMar>
              <w:left w:w="57" w:type="dxa"/>
              <w:right w:w="57" w:type="dxa"/>
            </w:tcMar>
            <w:vAlign w:val="center"/>
          </w:tcPr>
          <w:p w14:paraId="56A1D246">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污染物名称</w:t>
            </w:r>
          </w:p>
        </w:tc>
        <w:tc>
          <w:tcPr>
            <w:tcW w:w="992" w:type="dxa"/>
            <w:tcMar>
              <w:left w:w="57" w:type="dxa"/>
              <w:right w:w="57" w:type="dxa"/>
            </w:tcMar>
            <w:vAlign w:val="center"/>
          </w:tcPr>
          <w:p w14:paraId="190CB3A1">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产生量</w:t>
            </w:r>
          </w:p>
        </w:tc>
        <w:tc>
          <w:tcPr>
            <w:tcW w:w="1134" w:type="dxa"/>
            <w:tcMar>
              <w:left w:w="57" w:type="dxa"/>
              <w:right w:w="57" w:type="dxa"/>
            </w:tcMar>
            <w:vAlign w:val="center"/>
          </w:tcPr>
          <w:p w14:paraId="1753E60E">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主要污染物</w:t>
            </w:r>
          </w:p>
        </w:tc>
        <w:tc>
          <w:tcPr>
            <w:tcW w:w="5693" w:type="dxa"/>
            <w:vAlign w:val="center"/>
          </w:tcPr>
          <w:p w14:paraId="08AD7444">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去向及措施</w:t>
            </w:r>
          </w:p>
        </w:tc>
      </w:tr>
      <w:tr w14:paraId="71BD6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Mar>
              <w:left w:w="57" w:type="dxa"/>
              <w:right w:w="57" w:type="dxa"/>
            </w:tcMar>
            <w:vAlign w:val="center"/>
          </w:tcPr>
          <w:p w14:paraId="4394D86F">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1</w:t>
            </w:r>
          </w:p>
        </w:tc>
        <w:tc>
          <w:tcPr>
            <w:tcW w:w="851" w:type="dxa"/>
            <w:shd w:val="clear" w:color="auto" w:fill="auto"/>
            <w:tcMar>
              <w:left w:w="57" w:type="dxa"/>
              <w:right w:w="57" w:type="dxa"/>
            </w:tcMar>
            <w:vAlign w:val="center"/>
          </w:tcPr>
          <w:p w14:paraId="403FF5F7">
            <w:pPr>
              <w:adjustRightInd w:val="0"/>
              <w:snapToGrid w:val="0"/>
              <w:spacing w:line="360" w:lineRule="exact"/>
              <w:jc w:val="center"/>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试压废水</w:t>
            </w:r>
          </w:p>
        </w:tc>
        <w:tc>
          <w:tcPr>
            <w:tcW w:w="992" w:type="dxa"/>
            <w:shd w:val="clear" w:color="auto" w:fill="auto"/>
            <w:tcMar>
              <w:left w:w="57" w:type="dxa"/>
              <w:right w:w="57" w:type="dxa"/>
            </w:tcMar>
            <w:vAlign w:val="center"/>
          </w:tcPr>
          <w:p w14:paraId="70CBC94A">
            <w:pPr>
              <w:adjustRightInd w:val="0"/>
              <w:snapToGrid w:val="0"/>
              <w:spacing w:line="360" w:lineRule="exact"/>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4.17m</w:t>
            </w:r>
            <w:r>
              <w:rPr>
                <w:rFonts w:hint="eastAsia" w:ascii="Times New Roman" w:hAnsi="Times New Roman" w:cs="Times New Roman"/>
                <w:color w:val="auto"/>
                <w:w w:val="99"/>
                <w:kern w:val="2"/>
                <w:sz w:val="21"/>
                <w:szCs w:val="21"/>
                <w:highlight w:val="none"/>
                <w:vertAlign w:val="superscript"/>
                <w:lang w:val="en-US" w:eastAsia="zh-CN"/>
              </w:rPr>
              <w:t>3</w:t>
            </w:r>
          </w:p>
        </w:tc>
        <w:tc>
          <w:tcPr>
            <w:tcW w:w="1134" w:type="dxa"/>
            <w:shd w:val="clear" w:color="auto" w:fill="auto"/>
            <w:tcMar>
              <w:left w:w="57" w:type="dxa"/>
              <w:right w:w="57" w:type="dxa"/>
            </w:tcMar>
            <w:vAlign w:val="center"/>
          </w:tcPr>
          <w:p w14:paraId="54F5FD70">
            <w:pPr>
              <w:adjustRightInd w:val="0"/>
              <w:snapToGrid w:val="0"/>
              <w:spacing w:line="360" w:lineRule="exact"/>
              <w:jc w:val="center"/>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SS</w:t>
            </w:r>
          </w:p>
        </w:tc>
        <w:tc>
          <w:tcPr>
            <w:tcW w:w="5693" w:type="dxa"/>
            <w:shd w:val="clear" w:color="auto" w:fill="auto"/>
            <w:vAlign w:val="center"/>
          </w:tcPr>
          <w:p w14:paraId="7C089EB4">
            <w:pPr>
              <w:adjustRightInd w:val="0"/>
              <w:snapToGrid w:val="0"/>
              <w:spacing w:line="360" w:lineRule="exact"/>
              <w:jc w:val="both"/>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bCs/>
                <w:color w:val="auto"/>
                <w:w w:val="99"/>
                <w:kern w:val="2"/>
                <w:sz w:val="21"/>
                <w:szCs w:val="21"/>
                <w:highlight w:val="none"/>
              </w:rPr>
              <w:t>由罐车拉运至升一联气田污水预处理站处理后满足《大庆油田地面工程建设设计规定》（Q/SYDQ0639-2015）</w:t>
            </w:r>
            <w:r>
              <w:rPr>
                <w:rFonts w:hint="eastAsia" w:ascii="Times New Roman" w:hAnsi="Times New Roman" w:cs="Times New Roman"/>
                <w:bCs/>
                <w:color w:val="auto"/>
                <w:w w:val="99"/>
                <w:kern w:val="2"/>
                <w:sz w:val="21"/>
                <w:szCs w:val="21"/>
                <w:highlight w:val="none"/>
                <w:lang w:val="en-US" w:eastAsia="zh-CN"/>
              </w:rPr>
              <w:t>、《碎屑岩油藏注水水质指标技术要求及分析方法》（SY/T5329-2022）</w:t>
            </w:r>
            <w:r>
              <w:rPr>
                <w:rFonts w:ascii="Times New Roman" w:hAnsi="Times New Roman" w:cs="Times New Roman"/>
                <w:bCs/>
                <w:color w:val="auto"/>
                <w:w w:val="99"/>
                <w:kern w:val="2"/>
                <w:sz w:val="21"/>
                <w:szCs w:val="21"/>
                <w:highlight w:val="none"/>
              </w:rPr>
              <w:t>限值“含油量≤10mg/L、悬浮固体含量≤5mg/L、粒径中值≤2μm”，回注地下，不外排。</w:t>
            </w:r>
          </w:p>
        </w:tc>
      </w:tr>
      <w:tr w14:paraId="154AF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tcMar>
              <w:left w:w="57" w:type="dxa"/>
              <w:right w:w="57" w:type="dxa"/>
            </w:tcMar>
            <w:vAlign w:val="center"/>
          </w:tcPr>
          <w:p w14:paraId="6A81525B">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2</w:t>
            </w:r>
          </w:p>
        </w:tc>
        <w:tc>
          <w:tcPr>
            <w:tcW w:w="851" w:type="dxa"/>
            <w:shd w:val="clear" w:color="auto" w:fill="auto"/>
            <w:tcMar>
              <w:left w:w="57" w:type="dxa"/>
              <w:right w:w="57" w:type="dxa"/>
            </w:tcMar>
            <w:vAlign w:val="center"/>
          </w:tcPr>
          <w:p w14:paraId="7E41634B">
            <w:pPr>
              <w:adjustRightInd w:val="0"/>
              <w:snapToGrid w:val="0"/>
              <w:spacing w:line="360" w:lineRule="exact"/>
              <w:jc w:val="center"/>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生活污水</w:t>
            </w:r>
          </w:p>
        </w:tc>
        <w:tc>
          <w:tcPr>
            <w:tcW w:w="992" w:type="dxa"/>
            <w:shd w:val="clear" w:color="auto" w:fill="auto"/>
            <w:tcMar>
              <w:left w:w="57" w:type="dxa"/>
              <w:right w:w="57" w:type="dxa"/>
            </w:tcMar>
            <w:vAlign w:val="center"/>
          </w:tcPr>
          <w:p w14:paraId="2D8B2637">
            <w:pPr>
              <w:adjustRightInd w:val="0"/>
              <w:snapToGrid w:val="0"/>
              <w:spacing w:line="360" w:lineRule="exact"/>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576m</w:t>
            </w:r>
            <w:r>
              <w:rPr>
                <w:rFonts w:hint="eastAsia" w:ascii="Times New Roman" w:hAnsi="Times New Roman" w:cs="Times New Roman"/>
                <w:color w:val="auto"/>
                <w:w w:val="99"/>
                <w:kern w:val="2"/>
                <w:sz w:val="21"/>
                <w:szCs w:val="21"/>
                <w:highlight w:val="none"/>
                <w:vertAlign w:val="superscript"/>
                <w:lang w:val="en-US" w:eastAsia="zh-CN"/>
              </w:rPr>
              <w:t>3</w:t>
            </w:r>
          </w:p>
        </w:tc>
        <w:tc>
          <w:tcPr>
            <w:tcW w:w="1134" w:type="dxa"/>
            <w:shd w:val="clear" w:color="auto" w:fill="auto"/>
            <w:tcMar>
              <w:left w:w="57" w:type="dxa"/>
              <w:right w:w="57" w:type="dxa"/>
            </w:tcMar>
            <w:vAlign w:val="center"/>
          </w:tcPr>
          <w:p w14:paraId="4E45CA18">
            <w:pPr>
              <w:adjustRightInd w:val="0"/>
              <w:snapToGrid w:val="0"/>
              <w:spacing w:line="360" w:lineRule="exact"/>
              <w:jc w:val="center"/>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COD、NH</w:t>
            </w:r>
            <w:r>
              <w:rPr>
                <w:rFonts w:ascii="Times New Roman" w:hAnsi="Times New Roman" w:cs="Times New Roman"/>
                <w:color w:val="auto"/>
                <w:w w:val="99"/>
                <w:kern w:val="2"/>
                <w:sz w:val="21"/>
                <w:szCs w:val="21"/>
                <w:highlight w:val="none"/>
                <w:vertAlign w:val="subscript"/>
              </w:rPr>
              <w:t>3</w:t>
            </w:r>
            <w:r>
              <w:rPr>
                <w:rFonts w:ascii="Times New Roman" w:hAnsi="Times New Roman" w:cs="Times New Roman"/>
                <w:color w:val="auto"/>
                <w:w w:val="99"/>
                <w:kern w:val="2"/>
                <w:sz w:val="21"/>
                <w:szCs w:val="21"/>
                <w:highlight w:val="none"/>
              </w:rPr>
              <w:t>-N</w:t>
            </w:r>
          </w:p>
        </w:tc>
        <w:tc>
          <w:tcPr>
            <w:tcW w:w="5693" w:type="dxa"/>
            <w:shd w:val="clear" w:color="auto" w:fill="auto"/>
            <w:vAlign w:val="center"/>
          </w:tcPr>
          <w:p w14:paraId="6666EACF">
            <w:pPr>
              <w:pStyle w:val="153"/>
              <w:widowControl w:val="0"/>
              <w:spacing w:line="440" w:lineRule="exact"/>
              <w:ind w:left="0" w:leftChars="0" w:firstLine="0" w:firstLineChars="0"/>
              <w:jc w:val="both"/>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施工期施工人员产生的</w:t>
            </w:r>
            <w:r>
              <w:rPr>
                <w:rFonts w:hint="eastAsia" w:ascii="Times New Roman" w:hAnsi="Times New Roman" w:cs="Times New Roman"/>
                <w:color w:val="auto"/>
                <w:w w:val="99"/>
                <w:kern w:val="2"/>
                <w:sz w:val="21"/>
                <w:szCs w:val="21"/>
                <w:highlight w:val="none"/>
                <w:lang w:val="en-US" w:eastAsia="zh-CN"/>
              </w:rPr>
              <w:t>生活污水排入</w:t>
            </w:r>
            <w:r>
              <w:rPr>
                <w:rFonts w:hint="eastAsia" w:ascii="Times New Roman" w:hAnsi="Times New Roman" w:cs="Times New Roman"/>
                <w:color w:val="auto"/>
                <w:w w:val="99"/>
                <w:sz w:val="21"/>
                <w:szCs w:val="21"/>
                <w:highlight w:val="none"/>
                <w:lang w:val="en-US" w:eastAsia="zh-CN" w:bidi="ar-SA"/>
              </w:rPr>
              <w:t>周边</w:t>
            </w:r>
            <w:r>
              <w:rPr>
                <w:rFonts w:hint="eastAsia" w:ascii="Times New Roman" w:hAnsi="Times New Roman" w:eastAsia="宋体" w:cs="Times New Roman"/>
                <w:color w:val="auto"/>
                <w:w w:val="99"/>
                <w:sz w:val="21"/>
                <w:szCs w:val="21"/>
                <w:highlight w:val="none"/>
                <w:lang w:val="en-US" w:eastAsia="zh-CN" w:bidi="ar-SA"/>
              </w:rPr>
              <w:t>集气站已建生活污水收集设施，均定期由大庆石油管理局有限公司庆南工矿服务公司红岗分公司拉运至大庆红岗区西巷污水回收站，管输至南区污水处理厂进行处理。</w:t>
            </w:r>
          </w:p>
        </w:tc>
      </w:tr>
    </w:tbl>
    <w:p w14:paraId="18746A53">
      <w:pPr>
        <w:widowControl w:val="0"/>
        <w:spacing w:line="440" w:lineRule="exact"/>
        <w:ind w:firstLine="474" w:firstLineChars="200"/>
        <w:jc w:val="both"/>
        <w:rPr>
          <w:rFonts w:hint="eastAsia" w:ascii="Times New Roman" w:hAnsi="Times New Roman" w:cs="Times New Roman"/>
          <w:color w:val="auto"/>
          <w:w w:val="99"/>
          <w:kern w:val="2"/>
          <w:highlight w:val="none"/>
          <w:lang w:val="zh-CN" w:eastAsia="zh-CN"/>
        </w:rPr>
      </w:pPr>
      <w:r>
        <w:rPr>
          <w:rFonts w:hint="eastAsia" w:ascii="Times New Roman" w:hAnsi="Times New Roman" w:cs="Times New Roman"/>
          <w:color w:val="auto"/>
          <w:w w:val="99"/>
          <w:kern w:val="2"/>
          <w:highlight w:val="none"/>
          <w:lang w:val="zh-CN" w:eastAsia="zh-CN"/>
        </w:rPr>
        <w:t>（3）噪声污染源项分析</w:t>
      </w:r>
    </w:p>
    <w:p w14:paraId="043125E3">
      <w:pPr>
        <w:widowControl w:val="0"/>
        <w:spacing w:line="440" w:lineRule="exact"/>
        <w:ind w:firstLine="474" w:firstLineChars="200"/>
        <w:jc w:val="both"/>
        <w:rPr>
          <w:rFonts w:hint="default" w:ascii="Times New Roman" w:hAnsi="Times New Roman" w:cs="Times New Roman"/>
          <w:color w:val="auto"/>
          <w:w w:val="99"/>
          <w:kern w:val="2"/>
          <w:highlight w:val="none"/>
          <w:lang w:val="en-US" w:eastAsia="zh-CN"/>
        </w:rPr>
      </w:pPr>
      <w:r>
        <w:rPr>
          <w:rFonts w:hint="eastAsia" w:ascii="Times New Roman" w:hAnsi="Times New Roman" w:cs="Times New Roman"/>
          <w:color w:val="auto"/>
          <w:w w:val="99"/>
          <w:kern w:val="2"/>
          <w:highlight w:val="none"/>
          <w:lang w:val="en-US" w:eastAsia="zh-CN"/>
        </w:rPr>
        <w:t>施工期产生的噪声主要施工机械和车辆运营噪声，参考《环境噪声与振动控制工程技术导则》（HJ 2034-2013）附录A中的噪声源强数据，本项目噪声源具体排放情况</w:t>
      </w:r>
      <w:r>
        <w:rPr>
          <w:rFonts w:hint="default" w:ascii="Times New Roman" w:hAnsi="Times New Roman" w:cs="Times New Roman"/>
          <w:color w:val="auto"/>
          <w:w w:val="99"/>
          <w:kern w:val="2"/>
          <w:highlight w:val="none"/>
          <w:lang w:val="en-US" w:eastAsia="zh-CN"/>
        </w:rPr>
        <w:t>详见表</w:t>
      </w:r>
      <w:r>
        <w:rPr>
          <w:rFonts w:hint="eastAsia" w:ascii="Times New Roman" w:hAnsi="Times New Roman" w:cs="Times New Roman"/>
          <w:color w:val="auto"/>
          <w:w w:val="99"/>
          <w:kern w:val="2"/>
          <w:highlight w:val="none"/>
          <w:lang w:val="en-US" w:eastAsia="zh-CN"/>
        </w:rPr>
        <w:t>3.10-3</w:t>
      </w:r>
      <w:r>
        <w:rPr>
          <w:rFonts w:hint="default" w:ascii="Times New Roman" w:hAnsi="Times New Roman" w:cs="Times New Roman"/>
          <w:color w:val="auto"/>
          <w:w w:val="99"/>
          <w:kern w:val="2"/>
          <w:highlight w:val="none"/>
          <w:lang w:val="en-US" w:eastAsia="zh-CN"/>
        </w:rPr>
        <w:t>。</w:t>
      </w:r>
    </w:p>
    <w:p w14:paraId="5111B70B">
      <w:pPr>
        <w:keepNext w:val="0"/>
        <w:keepLines w:val="0"/>
        <w:pageBreakBefore w:val="0"/>
        <w:widowControl w:val="0"/>
        <w:shd w:val="clear"/>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cs="Times New Roman" w:eastAsiaTheme="minorEastAsia"/>
          <w:b/>
          <w:color w:val="auto"/>
          <w:w w:val="99"/>
          <w:kern w:val="2"/>
          <w:szCs w:val="20"/>
          <w:highlight w:val="none"/>
          <w:lang w:val="en-US" w:eastAsia="zh-CN"/>
        </w:rPr>
      </w:pPr>
      <w:r>
        <w:rPr>
          <w:rFonts w:hint="default" w:ascii="Times New Roman" w:hAnsi="Times New Roman" w:cs="Times New Roman" w:eastAsiaTheme="minorEastAsia"/>
          <w:b/>
          <w:color w:val="auto"/>
          <w:w w:val="99"/>
          <w:kern w:val="2"/>
          <w:szCs w:val="20"/>
          <w:highlight w:val="none"/>
          <w:lang w:val="en-US" w:eastAsia="zh-CN"/>
        </w:rPr>
        <w:t>表</w:t>
      </w:r>
      <w:r>
        <w:rPr>
          <w:rFonts w:hint="eastAsia" w:ascii="Times New Roman" w:hAnsi="Times New Roman" w:cs="Times New Roman" w:eastAsiaTheme="minorEastAsia"/>
          <w:b/>
          <w:color w:val="auto"/>
          <w:w w:val="99"/>
          <w:kern w:val="2"/>
          <w:szCs w:val="20"/>
          <w:highlight w:val="none"/>
          <w:lang w:val="en-US" w:eastAsia="zh-CN"/>
        </w:rPr>
        <w:t xml:space="preserve">3.10-3    </w:t>
      </w:r>
      <w:r>
        <w:rPr>
          <w:rFonts w:hint="default" w:ascii="Times New Roman" w:hAnsi="Times New Roman" w:cs="Times New Roman" w:eastAsiaTheme="minorEastAsia"/>
          <w:b/>
          <w:color w:val="auto"/>
          <w:w w:val="99"/>
          <w:kern w:val="2"/>
          <w:szCs w:val="20"/>
          <w:highlight w:val="none"/>
          <w:lang w:val="en-US" w:eastAsia="zh-CN"/>
        </w:rPr>
        <w:t>施工机械噪声统计表  单位：dB（A）</w:t>
      </w:r>
    </w:p>
    <w:tbl>
      <w:tblPr>
        <w:tblStyle w:val="1662"/>
        <w:tblW w:w="50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0"/>
        <w:gridCol w:w="1660"/>
        <w:gridCol w:w="1660"/>
        <w:gridCol w:w="1711"/>
        <w:gridCol w:w="3174"/>
      </w:tblGrid>
      <w:tr w14:paraId="29C1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484" w:type="pct"/>
            <w:vAlign w:val="center"/>
          </w:tcPr>
          <w:p w14:paraId="5B92959C">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序号</w:t>
            </w:r>
          </w:p>
        </w:tc>
        <w:tc>
          <w:tcPr>
            <w:tcW w:w="913" w:type="pct"/>
            <w:vAlign w:val="center"/>
          </w:tcPr>
          <w:p w14:paraId="1A338B1E">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噪声源</w:t>
            </w:r>
          </w:p>
        </w:tc>
        <w:tc>
          <w:tcPr>
            <w:tcW w:w="913" w:type="pct"/>
            <w:vAlign w:val="center"/>
          </w:tcPr>
          <w:p w14:paraId="2406B373">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噪声级 dB(A)</w:t>
            </w:r>
          </w:p>
        </w:tc>
        <w:tc>
          <w:tcPr>
            <w:tcW w:w="941" w:type="pct"/>
            <w:vAlign w:val="center"/>
          </w:tcPr>
          <w:p w14:paraId="4F37F8FF">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测量距离</w:t>
            </w:r>
          </w:p>
        </w:tc>
        <w:tc>
          <w:tcPr>
            <w:tcW w:w="1745" w:type="pct"/>
            <w:vAlign w:val="center"/>
          </w:tcPr>
          <w:p w14:paraId="28B38F6C">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来源依据</w:t>
            </w:r>
          </w:p>
        </w:tc>
      </w:tr>
      <w:tr w14:paraId="2DDB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84" w:type="pct"/>
            <w:vAlign w:val="center"/>
          </w:tcPr>
          <w:p w14:paraId="02325EDC">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1</w:t>
            </w:r>
          </w:p>
        </w:tc>
        <w:tc>
          <w:tcPr>
            <w:tcW w:w="913" w:type="pct"/>
            <w:vAlign w:val="center"/>
          </w:tcPr>
          <w:p w14:paraId="46DA484B">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挖掘机</w:t>
            </w:r>
          </w:p>
        </w:tc>
        <w:tc>
          <w:tcPr>
            <w:tcW w:w="913" w:type="pct"/>
            <w:vAlign w:val="center"/>
          </w:tcPr>
          <w:p w14:paraId="7CFEAA2A">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90</w:t>
            </w:r>
          </w:p>
        </w:tc>
        <w:tc>
          <w:tcPr>
            <w:tcW w:w="941" w:type="pct"/>
            <w:vAlign w:val="center"/>
          </w:tcPr>
          <w:p w14:paraId="0252DEF2">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5m 处</w:t>
            </w:r>
          </w:p>
        </w:tc>
        <w:tc>
          <w:tcPr>
            <w:tcW w:w="1745" w:type="pct"/>
            <w:vMerge w:val="restart"/>
            <w:vAlign w:val="center"/>
          </w:tcPr>
          <w:p w14:paraId="1BD5A800">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《环境噪声与振动控制工程技术导则》（HJ2034-2013）表 A.2 常见施工设备噪声源不同距离声压级，全部取最大值。</w:t>
            </w:r>
          </w:p>
        </w:tc>
      </w:tr>
      <w:tr w14:paraId="2431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84" w:type="pct"/>
            <w:vAlign w:val="center"/>
          </w:tcPr>
          <w:p w14:paraId="022E7F83">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2</w:t>
            </w:r>
          </w:p>
        </w:tc>
        <w:tc>
          <w:tcPr>
            <w:tcW w:w="913" w:type="pct"/>
            <w:vAlign w:val="center"/>
          </w:tcPr>
          <w:p w14:paraId="003C22E7">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推土机</w:t>
            </w:r>
          </w:p>
        </w:tc>
        <w:tc>
          <w:tcPr>
            <w:tcW w:w="913" w:type="pct"/>
            <w:vAlign w:val="center"/>
          </w:tcPr>
          <w:p w14:paraId="1A42ACE7">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88</w:t>
            </w:r>
          </w:p>
        </w:tc>
        <w:tc>
          <w:tcPr>
            <w:tcW w:w="941" w:type="pct"/>
            <w:vAlign w:val="center"/>
          </w:tcPr>
          <w:p w14:paraId="3E79D4B1">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5m 处</w:t>
            </w:r>
          </w:p>
        </w:tc>
        <w:tc>
          <w:tcPr>
            <w:tcW w:w="1745" w:type="pct"/>
            <w:vMerge w:val="continue"/>
            <w:vAlign w:val="center"/>
          </w:tcPr>
          <w:p w14:paraId="42209B5C">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p>
        </w:tc>
      </w:tr>
      <w:tr w14:paraId="37BF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84" w:type="pct"/>
            <w:vAlign w:val="center"/>
          </w:tcPr>
          <w:p w14:paraId="6C57B0DC">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3</w:t>
            </w:r>
          </w:p>
        </w:tc>
        <w:tc>
          <w:tcPr>
            <w:tcW w:w="913" w:type="pct"/>
            <w:vAlign w:val="center"/>
          </w:tcPr>
          <w:p w14:paraId="60D04317">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压路机</w:t>
            </w:r>
          </w:p>
        </w:tc>
        <w:tc>
          <w:tcPr>
            <w:tcW w:w="913" w:type="pct"/>
            <w:vAlign w:val="center"/>
          </w:tcPr>
          <w:p w14:paraId="15CB3012">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90</w:t>
            </w:r>
          </w:p>
        </w:tc>
        <w:tc>
          <w:tcPr>
            <w:tcW w:w="941" w:type="pct"/>
            <w:vAlign w:val="center"/>
          </w:tcPr>
          <w:p w14:paraId="73257510">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5m 处</w:t>
            </w:r>
          </w:p>
        </w:tc>
        <w:tc>
          <w:tcPr>
            <w:tcW w:w="1745" w:type="pct"/>
            <w:vMerge w:val="continue"/>
            <w:vAlign w:val="center"/>
          </w:tcPr>
          <w:p w14:paraId="50DE7A6F">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p>
        </w:tc>
      </w:tr>
      <w:tr w14:paraId="5D9E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84" w:type="pct"/>
            <w:vAlign w:val="center"/>
          </w:tcPr>
          <w:p w14:paraId="6A04742D">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4</w:t>
            </w:r>
          </w:p>
        </w:tc>
        <w:tc>
          <w:tcPr>
            <w:tcW w:w="913" w:type="pct"/>
            <w:vAlign w:val="center"/>
          </w:tcPr>
          <w:p w14:paraId="52A532CF">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运输车辆</w:t>
            </w:r>
          </w:p>
        </w:tc>
        <w:tc>
          <w:tcPr>
            <w:tcW w:w="913" w:type="pct"/>
            <w:vAlign w:val="center"/>
          </w:tcPr>
          <w:p w14:paraId="061CD301">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90</w:t>
            </w:r>
          </w:p>
        </w:tc>
        <w:tc>
          <w:tcPr>
            <w:tcW w:w="941" w:type="pct"/>
            <w:vAlign w:val="center"/>
          </w:tcPr>
          <w:p w14:paraId="2F746EEA">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5m 处</w:t>
            </w:r>
          </w:p>
        </w:tc>
        <w:tc>
          <w:tcPr>
            <w:tcW w:w="1745" w:type="pct"/>
            <w:vMerge w:val="continue"/>
            <w:vAlign w:val="center"/>
          </w:tcPr>
          <w:p w14:paraId="25B12CA8">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p>
        </w:tc>
      </w:tr>
      <w:tr w14:paraId="5AF5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84" w:type="pct"/>
            <w:vAlign w:val="center"/>
          </w:tcPr>
          <w:p w14:paraId="034B0083">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5</w:t>
            </w:r>
          </w:p>
        </w:tc>
        <w:tc>
          <w:tcPr>
            <w:tcW w:w="913" w:type="pct"/>
            <w:vAlign w:val="center"/>
          </w:tcPr>
          <w:p w14:paraId="4F80BF4E">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电焊机</w:t>
            </w:r>
          </w:p>
        </w:tc>
        <w:tc>
          <w:tcPr>
            <w:tcW w:w="913" w:type="pct"/>
            <w:vAlign w:val="center"/>
          </w:tcPr>
          <w:p w14:paraId="3E1BDD2A">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95</w:t>
            </w:r>
          </w:p>
        </w:tc>
        <w:tc>
          <w:tcPr>
            <w:tcW w:w="941" w:type="pct"/>
            <w:vAlign w:val="center"/>
          </w:tcPr>
          <w:p w14:paraId="39B2303F">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1m 处</w:t>
            </w:r>
          </w:p>
        </w:tc>
        <w:tc>
          <w:tcPr>
            <w:tcW w:w="1745" w:type="pct"/>
            <w:vAlign w:val="center"/>
          </w:tcPr>
          <w:p w14:paraId="6CD099D9">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厂家提供参数</w:t>
            </w:r>
          </w:p>
        </w:tc>
      </w:tr>
      <w:tr w14:paraId="6C51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trPr>
        <w:tc>
          <w:tcPr>
            <w:tcW w:w="484" w:type="pct"/>
            <w:vAlign w:val="center"/>
          </w:tcPr>
          <w:p w14:paraId="410BFF9E">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6</w:t>
            </w:r>
          </w:p>
        </w:tc>
        <w:tc>
          <w:tcPr>
            <w:tcW w:w="913" w:type="pct"/>
            <w:vAlign w:val="center"/>
          </w:tcPr>
          <w:p w14:paraId="4F1C7E00">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吊管机</w:t>
            </w:r>
          </w:p>
        </w:tc>
        <w:tc>
          <w:tcPr>
            <w:tcW w:w="913" w:type="pct"/>
            <w:vAlign w:val="center"/>
          </w:tcPr>
          <w:p w14:paraId="00C10A3B">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75</w:t>
            </w:r>
          </w:p>
        </w:tc>
        <w:tc>
          <w:tcPr>
            <w:tcW w:w="941" w:type="pct"/>
            <w:vAlign w:val="center"/>
          </w:tcPr>
          <w:p w14:paraId="408AC7A9">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1m 处</w:t>
            </w:r>
          </w:p>
        </w:tc>
        <w:tc>
          <w:tcPr>
            <w:tcW w:w="1745" w:type="pct"/>
            <w:vAlign w:val="center"/>
          </w:tcPr>
          <w:p w14:paraId="1D4EAB26">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厂家提供参数</w:t>
            </w:r>
          </w:p>
        </w:tc>
      </w:tr>
      <w:tr w14:paraId="58D5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84" w:type="pct"/>
            <w:vAlign w:val="center"/>
          </w:tcPr>
          <w:p w14:paraId="7BC9E828">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7</w:t>
            </w:r>
          </w:p>
        </w:tc>
        <w:tc>
          <w:tcPr>
            <w:tcW w:w="913" w:type="pct"/>
            <w:vAlign w:val="center"/>
          </w:tcPr>
          <w:p w14:paraId="65313221">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定向钻机</w:t>
            </w:r>
          </w:p>
        </w:tc>
        <w:tc>
          <w:tcPr>
            <w:tcW w:w="913" w:type="pct"/>
            <w:vAlign w:val="center"/>
          </w:tcPr>
          <w:p w14:paraId="3EF7E184">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100</w:t>
            </w:r>
          </w:p>
        </w:tc>
        <w:tc>
          <w:tcPr>
            <w:tcW w:w="941" w:type="pct"/>
            <w:vAlign w:val="center"/>
          </w:tcPr>
          <w:p w14:paraId="5C368131">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1m 处</w:t>
            </w:r>
          </w:p>
        </w:tc>
        <w:tc>
          <w:tcPr>
            <w:tcW w:w="1745" w:type="pct"/>
            <w:vAlign w:val="center"/>
          </w:tcPr>
          <w:p w14:paraId="58D57F0A">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厂家提供参数</w:t>
            </w:r>
          </w:p>
        </w:tc>
      </w:tr>
      <w:tr w14:paraId="2824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484" w:type="pct"/>
            <w:vAlign w:val="center"/>
          </w:tcPr>
          <w:p w14:paraId="16C44169">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8</w:t>
            </w:r>
          </w:p>
        </w:tc>
        <w:tc>
          <w:tcPr>
            <w:tcW w:w="913" w:type="pct"/>
            <w:vAlign w:val="center"/>
          </w:tcPr>
          <w:p w14:paraId="4867AB0A">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混凝土搅拌罐车</w:t>
            </w:r>
          </w:p>
        </w:tc>
        <w:tc>
          <w:tcPr>
            <w:tcW w:w="913" w:type="pct"/>
            <w:vAlign w:val="center"/>
          </w:tcPr>
          <w:p w14:paraId="6F7D129F">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95</w:t>
            </w:r>
          </w:p>
        </w:tc>
        <w:tc>
          <w:tcPr>
            <w:tcW w:w="941" w:type="pct"/>
            <w:vAlign w:val="center"/>
          </w:tcPr>
          <w:p w14:paraId="19FB11B3">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1m 处</w:t>
            </w:r>
          </w:p>
        </w:tc>
        <w:tc>
          <w:tcPr>
            <w:tcW w:w="1745" w:type="pct"/>
            <w:vAlign w:val="center"/>
          </w:tcPr>
          <w:p w14:paraId="52BB25A5">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eastAsia="宋体" w:cs="Times New Roman"/>
                <w:color w:val="auto"/>
                <w:w w:val="99"/>
                <w:kern w:val="2"/>
                <w:sz w:val="21"/>
                <w:szCs w:val="21"/>
                <w:highlight w:val="none"/>
                <w:lang w:val="en-US" w:eastAsia="zh-CN" w:bidi="ar-SA"/>
              </w:rPr>
              <w:t>厂家提供参数</w:t>
            </w:r>
          </w:p>
        </w:tc>
      </w:tr>
    </w:tbl>
    <w:p w14:paraId="5A38884B">
      <w:pPr>
        <w:widowControl w:val="0"/>
        <w:spacing w:line="440" w:lineRule="exact"/>
        <w:ind w:firstLine="474" w:firstLineChars="200"/>
        <w:jc w:val="both"/>
        <w:rPr>
          <w:rFonts w:hint="default" w:ascii="Times New Roman" w:hAnsi="Times New Roman" w:cs="Times New Roman"/>
          <w:color w:val="auto"/>
          <w:w w:val="99"/>
          <w:kern w:val="2"/>
          <w:highlight w:val="none"/>
          <w:lang w:val="zh-CN" w:eastAsia="zh-CN"/>
        </w:rPr>
      </w:pPr>
      <w:r>
        <w:rPr>
          <w:rFonts w:hint="default" w:ascii="Times New Roman" w:hAnsi="Times New Roman" w:cs="Times New Roman"/>
          <w:color w:val="auto"/>
          <w:w w:val="99"/>
          <w:kern w:val="2"/>
          <w:highlight w:val="none"/>
          <w:lang w:val="zh-CN" w:eastAsia="zh-CN"/>
        </w:rPr>
        <w:t>（4）固体废物</w:t>
      </w:r>
    </w:p>
    <w:p w14:paraId="5FA638FA">
      <w:pPr>
        <w:widowControl w:val="0"/>
        <w:spacing w:line="440" w:lineRule="exact"/>
        <w:ind w:firstLine="474" w:firstLineChars="200"/>
        <w:jc w:val="both"/>
        <w:rPr>
          <w:rFonts w:hint="default" w:ascii="Times New Roman" w:hAnsi="Times New Roman" w:cs="Times New Roman"/>
          <w:color w:val="auto"/>
          <w:w w:val="99"/>
          <w:kern w:val="2"/>
          <w:highlight w:val="none"/>
          <w:lang w:val="en-US" w:eastAsia="zh-CN"/>
        </w:rPr>
      </w:pPr>
      <w:r>
        <w:rPr>
          <w:rFonts w:hint="eastAsia" w:ascii="Times New Roman" w:hAnsi="Times New Roman" w:cs="Times New Roman"/>
          <w:color w:val="auto"/>
          <w:w w:val="99"/>
          <w:kern w:val="2"/>
          <w:highlight w:val="none"/>
          <w:lang w:val="en-US" w:eastAsia="zh-CN"/>
        </w:rPr>
        <w:t>施工期固体废物</w:t>
      </w:r>
      <w:r>
        <w:rPr>
          <w:rFonts w:hint="default" w:ascii="Times New Roman" w:hAnsi="Times New Roman" w:cs="Times New Roman"/>
          <w:color w:val="auto"/>
          <w:w w:val="99"/>
          <w:kern w:val="2"/>
          <w:highlight w:val="none"/>
          <w:lang w:val="en-US" w:eastAsia="zh-CN"/>
        </w:rPr>
        <w:t>主要为管道施工废料</w:t>
      </w:r>
      <w:r>
        <w:rPr>
          <w:rFonts w:hint="eastAsia" w:ascii="Times New Roman" w:hAnsi="Times New Roman" w:cs="Times New Roman"/>
          <w:color w:val="auto"/>
          <w:w w:val="99"/>
          <w:kern w:val="2"/>
          <w:highlight w:val="none"/>
          <w:lang w:val="en-US" w:eastAsia="zh-CN"/>
        </w:rPr>
        <w:t>、</w:t>
      </w:r>
      <w:r>
        <w:rPr>
          <w:rFonts w:hint="default" w:ascii="Times New Roman" w:hAnsi="Times New Roman" w:cs="Times New Roman"/>
          <w:color w:val="auto"/>
          <w:w w:val="99"/>
          <w:kern w:val="2"/>
          <w:highlight w:val="none"/>
          <w:lang w:val="en-US" w:eastAsia="zh-CN"/>
        </w:rPr>
        <w:t>施工人员生活垃圾。</w:t>
      </w:r>
    </w:p>
    <w:p w14:paraId="4D73463E">
      <w:pPr>
        <w:widowControl w:val="0"/>
        <w:spacing w:line="440" w:lineRule="exact"/>
        <w:ind w:firstLine="474" w:firstLineChars="200"/>
        <w:jc w:val="both"/>
        <w:rPr>
          <w:rFonts w:hint="default" w:ascii="Times New Roman" w:hAnsi="Times New Roman" w:cs="Times New Roman"/>
          <w:color w:val="auto"/>
          <w:w w:val="99"/>
          <w:kern w:val="2"/>
          <w:highlight w:val="none"/>
          <w:lang w:val="en-US" w:eastAsia="zh-CN"/>
        </w:rPr>
      </w:pPr>
      <w:r>
        <w:rPr>
          <w:rFonts w:hint="eastAsia" w:ascii="Times New Roman" w:hAnsi="Times New Roman" w:cs="Times New Roman"/>
          <w:color w:val="auto"/>
          <w:w w:val="99"/>
          <w:kern w:val="2"/>
          <w:highlight w:val="none"/>
          <w:lang w:val="en-US" w:eastAsia="zh-CN"/>
        </w:rPr>
        <w:t>①</w:t>
      </w:r>
      <w:r>
        <w:rPr>
          <w:rFonts w:hint="default" w:ascii="Times New Roman" w:hAnsi="Times New Roman" w:cs="Times New Roman"/>
          <w:color w:val="auto"/>
          <w:w w:val="99"/>
          <w:kern w:val="2"/>
          <w:highlight w:val="none"/>
          <w:lang w:val="en-US" w:eastAsia="zh-CN"/>
        </w:rPr>
        <w:t>施工废料</w:t>
      </w:r>
    </w:p>
    <w:p w14:paraId="015CB594">
      <w:pPr>
        <w:widowControl w:val="0"/>
        <w:spacing w:line="440" w:lineRule="exact"/>
        <w:ind w:firstLine="474" w:firstLineChars="200"/>
        <w:jc w:val="both"/>
        <w:rPr>
          <w:rFonts w:hint="default" w:ascii="Times New Roman" w:hAnsi="Times New Roman" w:cs="Times New Roman"/>
          <w:color w:val="auto"/>
          <w:w w:val="99"/>
          <w:kern w:val="2"/>
          <w:highlight w:val="none"/>
          <w:lang w:val="en-US" w:eastAsia="zh-CN"/>
        </w:rPr>
      </w:pPr>
      <w:bookmarkStart w:id="543" w:name="OLE_LINK152"/>
      <w:bookmarkStart w:id="544" w:name="OLE_LINK146"/>
      <w:r>
        <w:rPr>
          <w:rFonts w:hint="default" w:ascii="Times New Roman" w:hAnsi="Times New Roman" w:cs="Times New Roman"/>
          <w:color w:val="auto"/>
          <w:w w:val="99"/>
          <w:kern w:val="2"/>
          <w:highlight w:val="none"/>
          <w:lang w:val="en-US" w:eastAsia="zh-CN"/>
        </w:rPr>
        <w:t>本项目施工废料主要为焊接施工中产生废焊条和管道防腐施工过程中产生的废防腐材料，属于一般工业固体废物，根据《固体废物分类与代码目录》（</w:t>
      </w:r>
      <w:r>
        <w:rPr>
          <w:rFonts w:hint="eastAsia" w:ascii="Times New Roman" w:hAnsi="Times New Roman" w:cs="Times New Roman"/>
          <w:color w:val="auto"/>
          <w:w w:val="99"/>
          <w:kern w:val="2"/>
          <w:highlight w:val="none"/>
          <w:lang w:val="en-US" w:eastAsia="zh-CN"/>
        </w:rPr>
        <w:t>环境部公告〔</w:t>
      </w:r>
      <w:r>
        <w:rPr>
          <w:rFonts w:hint="default" w:ascii="Times New Roman" w:hAnsi="Times New Roman" w:cs="Times New Roman"/>
          <w:color w:val="auto"/>
          <w:w w:val="99"/>
          <w:kern w:val="2"/>
          <w:highlight w:val="none"/>
          <w:lang w:val="en-US" w:eastAsia="zh-CN"/>
        </w:rPr>
        <w:t>2024〕4号），施工废料的分类代码为900-099-S59。</w:t>
      </w:r>
      <w:r>
        <w:rPr>
          <w:rFonts w:hint="eastAsia" w:ascii="Times New Roman" w:hAnsi="Times New Roman" w:cs="Times New Roman"/>
          <w:color w:val="auto"/>
          <w:w w:val="99"/>
          <w:kern w:val="2"/>
          <w:highlight w:val="none"/>
          <w:lang w:val="en-US" w:eastAsia="zh-CN"/>
        </w:rPr>
        <w:t>根据</w:t>
      </w:r>
      <w:r>
        <w:rPr>
          <w:rFonts w:hint="eastAsia" w:ascii="Times New Roman" w:hAnsi="Times New Roman" w:eastAsia="宋体" w:cs="Times New Roman"/>
          <w:color w:val="auto"/>
          <w:w w:val="99"/>
          <w:kern w:val="2"/>
          <w:highlight w:val="none"/>
          <w:lang w:val="en-US" w:eastAsia="zh-CN"/>
        </w:rPr>
        <w:t>油气/长输管道环评领域长期沿用的类比经验系数，</w:t>
      </w:r>
      <w:r>
        <w:rPr>
          <w:rFonts w:hint="default" w:ascii="Times New Roman" w:hAnsi="Times New Roman" w:eastAsia="宋体" w:cs="Times New Roman"/>
          <w:color w:val="auto"/>
          <w:w w:val="99"/>
          <w:kern w:val="2"/>
          <w:highlight w:val="none"/>
          <w:lang w:val="en-US" w:eastAsia="zh-CN"/>
        </w:rPr>
        <w:t>管</w:t>
      </w:r>
      <w:r>
        <w:rPr>
          <w:rFonts w:hint="default" w:ascii="Times New Roman" w:hAnsi="Times New Roman" w:cs="Times New Roman"/>
          <w:color w:val="auto"/>
          <w:w w:val="99"/>
          <w:kern w:val="2"/>
          <w:highlight w:val="none"/>
          <w:lang w:val="en-US" w:eastAsia="zh-CN"/>
        </w:rPr>
        <w:t>道施工废料产生量以20kg/km管道计，本项目新建</w:t>
      </w:r>
      <w:r>
        <w:rPr>
          <w:rFonts w:hint="eastAsia" w:ascii="Times New Roman" w:hAnsi="Times New Roman" w:cs="Times New Roman"/>
          <w:color w:val="auto"/>
          <w:w w:val="99"/>
          <w:kern w:val="2"/>
          <w:highlight w:val="none"/>
          <w:lang w:val="en-US" w:eastAsia="zh-CN"/>
        </w:rPr>
        <w:t>采气</w:t>
      </w:r>
      <w:r>
        <w:rPr>
          <w:rFonts w:hint="default" w:ascii="Times New Roman" w:hAnsi="Times New Roman" w:cs="Times New Roman"/>
          <w:color w:val="auto"/>
          <w:w w:val="99"/>
          <w:kern w:val="2"/>
          <w:highlight w:val="none"/>
          <w:lang w:val="en-US" w:eastAsia="zh-CN"/>
        </w:rPr>
        <w:t>管道合计</w:t>
      </w:r>
      <w:r>
        <w:rPr>
          <w:rFonts w:hint="eastAsia" w:ascii="Times New Roman" w:hAnsi="Times New Roman" w:cs="Times New Roman"/>
          <w:color w:val="auto"/>
          <w:w w:val="99"/>
          <w:kern w:val="2"/>
          <w:highlight w:val="none"/>
          <w:lang w:val="en-US" w:eastAsia="zh-CN"/>
        </w:rPr>
        <w:t>1.92</w:t>
      </w:r>
      <w:r>
        <w:rPr>
          <w:rFonts w:hint="default" w:ascii="Times New Roman" w:hAnsi="Times New Roman" w:cs="Times New Roman"/>
          <w:color w:val="auto"/>
          <w:w w:val="99"/>
          <w:kern w:val="2"/>
          <w:highlight w:val="none"/>
          <w:lang w:val="en-US" w:eastAsia="zh-CN"/>
        </w:rPr>
        <w:t>km，因此，施工废料产生量约为0.</w:t>
      </w:r>
      <w:r>
        <w:rPr>
          <w:rFonts w:hint="eastAsia" w:ascii="Times New Roman" w:hAnsi="Times New Roman" w:cs="Times New Roman"/>
          <w:color w:val="auto"/>
          <w:w w:val="99"/>
          <w:kern w:val="2"/>
          <w:highlight w:val="none"/>
          <w:lang w:val="en-US" w:eastAsia="zh-CN"/>
        </w:rPr>
        <w:t>04</w:t>
      </w:r>
      <w:r>
        <w:rPr>
          <w:rFonts w:hint="default" w:ascii="Times New Roman" w:hAnsi="Times New Roman" w:cs="Times New Roman"/>
          <w:color w:val="auto"/>
          <w:w w:val="99"/>
          <w:kern w:val="2"/>
          <w:highlight w:val="none"/>
          <w:lang w:val="en-US" w:eastAsia="zh-CN"/>
        </w:rPr>
        <w:t>t。施工废料由施工单位拉运至第八采油厂工业固废填埋场处理。</w:t>
      </w:r>
    </w:p>
    <w:bookmarkEnd w:id="543"/>
    <w:bookmarkEnd w:id="544"/>
    <w:p w14:paraId="6EBBA0A1">
      <w:pPr>
        <w:widowControl w:val="0"/>
        <w:spacing w:line="440" w:lineRule="exact"/>
        <w:ind w:firstLine="474" w:firstLineChars="200"/>
        <w:jc w:val="both"/>
        <w:rPr>
          <w:rFonts w:hint="default" w:ascii="Times New Roman" w:hAnsi="Times New Roman" w:cs="Times New Roman"/>
          <w:color w:val="auto"/>
          <w:w w:val="99"/>
          <w:kern w:val="2"/>
          <w:highlight w:val="none"/>
          <w:lang w:val="en-US" w:eastAsia="zh-CN"/>
        </w:rPr>
      </w:pPr>
      <w:r>
        <w:rPr>
          <w:rFonts w:hint="eastAsia" w:ascii="Times New Roman" w:hAnsi="Times New Roman" w:cs="Times New Roman"/>
          <w:color w:val="auto"/>
          <w:w w:val="99"/>
          <w:kern w:val="2"/>
          <w:highlight w:val="none"/>
          <w:lang w:val="en-US" w:eastAsia="zh-CN"/>
        </w:rPr>
        <w:t>②</w:t>
      </w:r>
      <w:r>
        <w:rPr>
          <w:rFonts w:hint="default" w:ascii="Times New Roman" w:hAnsi="Times New Roman" w:cs="Times New Roman"/>
          <w:color w:val="auto"/>
          <w:w w:val="99"/>
          <w:kern w:val="2"/>
          <w:highlight w:val="none"/>
          <w:lang w:val="en-US" w:eastAsia="zh-CN"/>
        </w:rPr>
        <w:t>生活垃圾</w:t>
      </w:r>
    </w:p>
    <w:p w14:paraId="2A4E9F90">
      <w:pPr>
        <w:widowControl w:val="0"/>
        <w:spacing w:line="440" w:lineRule="exact"/>
        <w:ind w:firstLine="474" w:firstLineChars="200"/>
        <w:jc w:val="both"/>
        <w:rPr>
          <w:rFonts w:hint="default" w:ascii="Times New Roman" w:hAnsi="Times New Roman" w:cs="Times New Roman"/>
          <w:color w:val="auto"/>
          <w:w w:val="99"/>
          <w:kern w:val="2"/>
          <w:highlight w:val="none"/>
          <w:lang w:val="en-US" w:eastAsia="zh-CN"/>
        </w:rPr>
      </w:pPr>
      <w:r>
        <w:rPr>
          <w:rFonts w:hint="default" w:ascii="Times New Roman" w:hAnsi="Times New Roman" w:cs="Times New Roman"/>
          <w:color w:val="auto"/>
          <w:w w:val="99"/>
          <w:kern w:val="2"/>
          <w:highlight w:val="none"/>
          <w:lang w:val="en-US" w:eastAsia="zh-CN"/>
        </w:rPr>
        <w:t>本项目</w:t>
      </w:r>
      <w:r>
        <w:rPr>
          <w:rFonts w:hint="eastAsia" w:ascii="Times New Roman" w:hAnsi="Times New Roman" w:cs="Times New Roman"/>
          <w:color w:val="auto"/>
          <w:w w:val="99"/>
          <w:kern w:val="2"/>
          <w:highlight w:val="none"/>
          <w:lang w:val="en-US" w:eastAsia="zh-CN"/>
        </w:rPr>
        <w:t>地面工程施工时间约30d，施工人数30人，每人产生生活垃圾按 0.5kg/d 计，</w:t>
      </w:r>
      <w:r>
        <w:rPr>
          <w:rFonts w:hint="default" w:ascii="Times New Roman" w:hAnsi="Times New Roman" w:cs="Times New Roman"/>
          <w:color w:val="auto"/>
          <w:w w:val="99"/>
          <w:kern w:val="2"/>
          <w:highlight w:val="none"/>
          <w:lang w:val="en-US" w:eastAsia="zh-CN"/>
        </w:rPr>
        <w:t>则</w:t>
      </w:r>
      <w:r>
        <w:rPr>
          <w:rFonts w:hint="eastAsia" w:ascii="Times New Roman" w:hAnsi="Times New Roman" w:cs="Times New Roman"/>
          <w:color w:val="auto"/>
          <w:w w:val="99"/>
          <w:kern w:val="2"/>
          <w:highlight w:val="none"/>
          <w:lang w:val="en-US" w:eastAsia="zh-CN"/>
        </w:rPr>
        <w:t>地面工程</w:t>
      </w:r>
      <w:r>
        <w:rPr>
          <w:rFonts w:hint="default" w:ascii="Times New Roman" w:hAnsi="Times New Roman" w:cs="Times New Roman"/>
          <w:color w:val="auto"/>
          <w:w w:val="99"/>
          <w:kern w:val="2"/>
          <w:highlight w:val="none"/>
          <w:lang w:val="en-US" w:eastAsia="zh-CN"/>
        </w:rPr>
        <w:t>施工人员生活垃圾产生量为</w:t>
      </w:r>
      <w:r>
        <w:rPr>
          <w:rFonts w:hint="eastAsia" w:ascii="Times New Roman" w:hAnsi="Times New Roman" w:cs="Times New Roman"/>
          <w:color w:val="auto"/>
          <w:w w:val="99"/>
          <w:kern w:val="2"/>
          <w:highlight w:val="none"/>
          <w:lang w:val="en-US" w:eastAsia="zh-CN"/>
        </w:rPr>
        <w:t>0.45</w:t>
      </w:r>
      <w:r>
        <w:rPr>
          <w:rFonts w:hint="default" w:ascii="Times New Roman" w:hAnsi="Times New Roman" w:cs="Times New Roman"/>
          <w:color w:val="auto"/>
          <w:w w:val="99"/>
          <w:kern w:val="2"/>
          <w:highlight w:val="none"/>
          <w:lang w:val="en-US" w:eastAsia="zh-CN"/>
        </w:rPr>
        <w:t>t（</w:t>
      </w:r>
      <w:r>
        <w:rPr>
          <w:rFonts w:hint="eastAsia" w:ascii="Times New Roman" w:hAnsi="Times New Roman" w:cs="Times New Roman"/>
          <w:color w:val="auto"/>
          <w:w w:val="99"/>
          <w:kern w:val="2"/>
          <w:highlight w:val="none"/>
          <w:lang w:val="en-US" w:eastAsia="zh-CN"/>
        </w:rPr>
        <w:t>30</w:t>
      </w:r>
      <w:r>
        <w:rPr>
          <w:rFonts w:hint="default" w:ascii="Times New Roman" w:hAnsi="Times New Roman" w:cs="Times New Roman"/>
          <w:color w:val="auto"/>
          <w:w w:val="99"/>
          <w:kern w:val="2"/>
          <w:highlight w:val="none"/>
          <w:lang w:val="en-US" w:eastAsia="zh-CN"/>
        </w:rPr>
        <w:t>×</w:t>
      </w:r>
      <w:r>
        <w:rPr>
          <w:rFonts w:hint="eastAsia" w:ascii="Times New Roman" w:hAnsi="Times New Roman" w:cs="Times New Roman"/>
          <w:color w:val="auto"/>
          <w:w w:val="99"/>
          <w:kern w:val="2"/>
          <w:highlight w:val="none"/>
          <w:lang w:val="en-US" w:eastAsia="zh-CN"/>
        </w:rPr>
        <w:t>30</w:t>
      </w:r>
      <w:r>
        <w:rPr>
          <w:rFonts w:hint="default" w:ascii="Times New Roman" w:hAnsi="Times New Roman" w:cs="Times New Roman"/>
          <w:color w:val="auto"/>
          <w:w w:val="99"/>
          <w:kern w:val="2"/>
          <w:highlight w:val="none"/>
          <w:lang w:val="en-US" w:eastAsia="zh-CN"/>
        </w:rPr>
        <w:t>×0.5×10</w:t>
      </w:r>
      <w:r>
        <w:rPr>
          <w:rFonts w:hint="default" w:ascii="Times New Roman" w:hAnsi="Times New Roman" w:cs="Times New Roman"/>
          <w:color w:val="auto"/>
          <w:w w:val="99"/>
          <w:kern w:val="2"/>
          <w:highlight w:val="none"/>
          <w:vertAlign w:val="superscript"/>
          <w:lang w:val="en-US" w:eastAsia="zh-CN"/>
        </w:rPr>
        <w:t>-3</w:t>
      </w:r>
      <w:r>
        <w:rPr>
          <w:rFonts w:hint="default" w:ascii="Times New Roman" w:hAnsi="Times New Roman" w:cs="Times New Roman"/>
          <w:color w:val="auto"/>
          <w:w w:val="99"/>
          <w:kern w:val="2"/>
          <w:highlight w:val="none"/>
          <w:lang w:val="en-US" w:eastAsia="zh-CN"/>
        </w:rPr>
        <w:t>=</w:t>
      </w:r>
      <w:r>
        <w:rPr>
          <w:rFonts w:hint="eastAsia" w:ascii="Times New Roman" w:hAnsi="Times New Roman" w:cs="Times New Roman"/>
          <w:color w:val="auto"/>
          <w:w w:val="99"/>
          <w:kern w:val="2"/>
          <w:highlight w:val="none"/>
          <w:lang w:val="en-US" w:eastAsia="zh-CN"/>
        </w:rPr>
        <w:t>0.45</w:t>
      </w:r>
      <w:r>
        <w:rPr>
          <w:rFonts w:hint="default" w:ascii="Times New Roman" w:hAnsi="Times New Roman" w:cs="Times New Roman"/>
          <w:color w:val="auto"/>
          <w:w w:val="99"/>
          <w:kern w:val="2"/>
          <w:highlight w:val="none"/>
          <w:lang w:val="en-US" w:eastAsia="zh-CN"/>
        </w:rPr>
        <w:t>），生活垃圾统一收集后拉运至</w:t>
      </w:r>
      <w:r>
        <w:rPr>
          <w:rFonts w:hint="eastAsia" w:ascii="Times New Roman" w:hAnsi="Times New Roman" w:cs="Times New Roman"/>
          <w:color w:val="auto"/>
          <w:w w:val="99"/>
          <w:kern w:val="2"/>
          <w:highlight w:val="none"/>
          <w:lang w:val="en-US" w:eastAsia="zh-CN"/>
        </w:rPr>
        <w:t>肇东北控环境再生能源有限公司</w:t>
      </w:r>
      <w:r>
        <w:rPr>
          <w:rFonts w:hint="default" w:ascii="Times New Roman" w:hAnsi="Times New Roman" w:cs="Times New Roman"/>
          <w:color w:val="auto"/>
          <w:w w:val="99"/>
          <w:kern w:val="2"/>
          <w:highlight w:val="none"/>
          <w:lang w:val="en-US" w:eastAsia="zh-CN"/>
        </w:rPr>
        <w:t>处理。</w:t>
      </w:r>
    </w:p>
    <w:p w14:paraId="35C5A675">
      <w:pPr>
        <w:pStyle w:val="153"/>
        <w:widowControl w:val="0"/>
        <w:spacing w:line="440" w:lineRule="exact"/>
        <w:ind w:firstLine="478"/>
        <w:rPr>
          <w:rFonts w:ascii="Times New Roman" w:hAnsi="Times New Roman"/>
          <w:b/>
          <w:color w:val="auto"/>
          <w:w w:val="99"/>
          <w:kern w:val="2"/>
          <w:highlight w:val="none"/>
        </w:rPr>
      </w:pPr>
      <w:r>
        <w:rPr>
          <w:rFonts w:ascii="Times New Roman" w:hAnsi="Times New Roman"/>
          <w:b/>
          <w:color w:val="auto"/>
          <w:w w:val="99"/>
          <w:kern w:val="2"/>
          <w:highlight w:val="none"/>
        </w:rPr>
        <w:t>表</w:t>
      </w:r>
      <w:r>
        <w:rPr>
          <w:rFonts w:hint="eastAsia" w:ascii="Times New Roman" w:hAnsi="Times New Roman"/>
          <w:b/>
          <w:color w:val="auto"/>
          <w:w w:val="99"/>
          <w:kern w:val="2"/>
          <w:highlight w:val="none"/>
          <w:lang w:eastAsia="zh-CN"/>
        </w:rPr>
        <w:t>3.1</w:t>
      </w:r>
      <w:r>
        <w:rPr>
          <w:rFonts w:hint="eastAsia" w:ascii="Times New Roman" w:hAnsi="Times New Roman"/>
          <w:b/>
          <w:color w:val="auto"/>
          <w:w w:val="99"/>
          <w:kern w:val="2"/>
          <w:highlight w:val="none"/>
          <w:lang w:val="en-US" w:eastAsia="zh-CN"/>
        </w:rPr>
        <w:t>0</w:t>
      </w:r>
      <w:r>
        <w:rPr>
          <w:rFonts w:ascii="Times New Roman" w:hAnsi="Times New Roman"/>
          <w:b/>
          <w:color w:val="auto"/>
          <w:w w:val="99"/>
          <w:kern w:val="2"/>
          <w:highlight w:val="none"/>
        </w:rPr>
        <w:t>-</w:t>
      </w:r>
      <w:r>
        <w:rPr>
          <w:rFonts w:hint="eastAsia" w:ascii="Times New Roman" w:hAnsi="Times New Roman"/>
          <w:b/>
          <w:color w:val="auto"/>
          <w:w w:val="99"/>
          <w:kern w:val="2"/>
          <w:highlight w:val="none"/>
          <w:lang w:val="en-US" w:eastAsia="zh-CN"/>
        </w:rPr>
        <w:t>4</w:t>
      </w:r>
      <w:r>
        <w:rPr>
          <w:rFonts w:ascii="Times New Roman" w:hAnsi="Times New Roman"/>
          <w:b/>
          <w:color w:val="auto"/>
          <w:w w:val="99"/>
          <w:kern w:val="2"/>
          <w:highlight w:val="none"/>
        </w:rPr>
        <w:t xml:space="preserve">    本工程施工期固体废物产生量统计表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2033"/>
        <w:gridCol w:w="1306"/>
        <w:gridCol w:w="5224"/>
      </w:tblGrid>
      <w:tr w14:paraId="325A0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pct"/>
            <w:vAlign w:val="center"/>
          </w:tcPr>
          <w:p w14:paraId="7A8FB2AA">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序号</w:t>
            </w:r>
          </w:p>
        </w:tc>
        <w:tc>
          <w:tcPr>
            <w:tcW w:w="1094" w:type="pct"/>
            <w:vAlign w:val="center"/>
          </w:tcPr>
          <w:p w14:paraId="75C60DA1">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污染物名称</w:t>
            </w:r>
          </w:p>
        </w:tc>
        <w:tc>
          <w:tcPr>
            <w:tcW w:w="703" w:type="pct"/>
            <w:vAlign w:val="center"/>
          </w:tcPr>
          <w:p w14:paraId="4A05CCA7">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产生量</w:t>
            </w:r>
          </w:p>
        </w:tc>
        <w:tc>
          <w:tcPr>
            <w:tcW w:w="2812" w:type="pct"/>
            <w:vAlign w:val="center"/>
          </w:tcPr>
          <w:p w14:paraId="5B89038D">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处置去向</w:t>
            </w:r>
          </w:p>
        </w:tc>
      </w:tr>
      <w:tr w14:paraId="3C6EC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pct"/>
            <w:shd w:val="clear" w:color="auto" w:fill="auto"/>
            <w:vAlign w:val="center"/>
          </w:tcPr>
          <w:p w14:paraId="56795630">
            <w:pPr>
              <w:widowControl w:val="0"/>
              <w:adjustRightInd w:val="0"/>
              <w:snapToGrid w:val="0"/>
              <w:spacing w:line="320" w:lineRule="exact"/>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1</w:t>
            </w:r>
          </w:p>
        </w:tc>
        <w:tc>
          <w:tcPr>
            <w:tcW w:w="1094" w:type="pct"/>
            <w:shd w:val="clear" w:color="auto" w:fill="auto"/>
            <w:vAlign w:val="center"/>
          </w:tcPr>
          <w:p w14:paraId="07EC65E7">
            <w:pPr>
              <w:widowControl w:val="0"/>
              <w:adjustRightInd w:val="0"/>
              <w:snapToGrid w:val="0"/>
              <w:spacing w:line="320" w:lineRule="exact"/>
              <w:jc w:val="center"/>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施工废料</w:t>
            </w:r>
          </w:p>
        </w:tc>
        <w:tc>
          <w:tcPr>
            <w:tcW w:w="703" w:type="pct"/>
            <w:shd w:val="clear" w:color="auto" w:fill="auto"/>
            <w:vAlign w:val="center"/>
          </w:tcPr>
          <w:p w14:paraId="130E0911">
            <w:pPr>
              <w:widowControl w:val="0"/>
              <w:adjustRightInd w:val="0"/>
              <w:snapToGrid w:val="0"/>
              <w:spacing w:line="320" w:lineRule="exact"/>
              <w:jc w:val="center"/>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0.</w:t>
            </w:r>
            <w:r>
              <w:rPr>
                <w:rFonts w:hint="eastAsia" w:ascii="Times New Roman" w:hAnsi="Times New Roman" w:cs="Times New Roman"/>
                <w:color w:val="auto"/>
                <w:w w:val="99"/>
                <w:kern w:val="2"/>
                <w:sz w:val="21"/>
                <w:szCs w:val="21"/>
                <w:highlight w:val="none"/>
                <w:lang w:val="en-US" w:eastAsia="zh-CN"/>
              </w:rPr>
              <w:t>04</w:t>
            </w:r>
            <w:r>
              <w:rPr>
                <w:rFonts w:ascii="Times New Roman" w:hAnsi="Times New Roman" w:cs="Times New Roman"/>
                <w:color w:val="auto"/>
                <w:w w:val="99"/>
                <w:kern w:val="2"/>
                <w:sz w:val="21"/>
                <w:szCs w:val="21"/>
                <w:highlight w:val="none"/>
              </w:rPr>
              <w:t>t</w:t>
            </w:r>
          </w:p>
        </w:tc>
        <w:tc>
          <w:tcPr>
            <w:tcW w:w="2812" w:type="pct"/>
            <w:vAlign w:val="center"/>
          </w:tcPr>
          <w:p w14:paraId="1C7E82DB">
            <w:pPr>
              <w:widowControl w:val="0"/>
              <w:adjustRightInd w:val="0"/>
              <w:snapToGrid w:val="0"/>
              <w:spacing w:line="320" w:lineRule="exact"/>
              <w:rPr>
                <w:rFonts w:ascii="Times New Roman" w:hAnsi="Times New Roman" w:cs="Times New Roman"/>
                <w:color w:val="auto"/>
                <w:w w:val="99"/>
                <w:kern w:val="2"/>
                <w:sz w:val="21"/>
                <w:szCs w:val="21"/>
                <w:highlight w:val="none"/>
              </w:rPr>
            </w:pPr>
            <w:r>
              <w:rPr>
                <w:rFonts w:hint="default" w:ascii="Times New Roman" w:hAnsi="Times New Roman" w:cs="Times New Roman"/>
                <w:color w:val="auto"/>
                <w:w w:val="99"/>
                <w:kern w:val="2"/>
                <w:sz w:val="21"/>
                <w:szCs w:val="21"/>
                <w:highlight w:val="none"/>
                <w:lang w:val="en-US" w:eastAsia="zh-CN"/>
              </w:rPr>
              <w:t>施工结束后由施工单位拉运至第八采油厂工业固废填埋场处理。</w:t>
            </w:r>
          </w:p>
        </w:tc>
      </w:tr>
      <w:tr w14:paraId="6BA68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9" w:type="pct"/>
            <w:shd w:val="clear" w:color="auto" w:fill="auto"/>
            <w:vAlign w:val="center"/>
          </w:tcPr>
          <w:p w14:paraId="5274A2C0">
            <w:pPr>
              <w:widowControl w:val="0"/>
              <w:adjustRightInd w:val="0"/>
              <w:snapToGrid w:val="0"/>
              <w:spacing w:line="320" w:lineRule="exact"/>
              <w:jc w:val="center"/>
              <w:rPr>
                <w:rFonts w:hint="eastAsia"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2</w:t>
            </w:r>
          </w:p>
        </w:tc>
        <w:tc>
          <w:tcPr>
            <w:tcW w:w="1094" w:type="pct"/>
            <w:shd w:val="clear" w:color="auto" w:fill="auto"/>
            <w:vAlign w:val="center"/>
          </w:tcPr>
          <w:p w14:paraId="4372EC89">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生活垃圾</w:t>
            </w:r>
          </w:p>
        </w:tc>
        <w:tc>
          <w:tcPr>
            <w:tcW w:w="703" w:type="pct"/>
            <w:shd w:val="clear" w:color="auto" w:fill="auto"/>
            <w:vAlign w:val="center"/>
          </w:tcPr>
          <w:p w14:paraId="2228117D">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bidi="ar-SA"/>
              </w:rPr>
              <w:t>0.45</w:t>
            </w:r>
            <w:r>
              <w:rPr>
                <w:rFonts w:hint="eastAsia" w:ascii="Times New Roman" w:hAnsi="Times New Roman" w:cs="Times New Roman"/>
                <w:color w:val="auto"/>
                <w:w w:val="99"/>
                <w:kern w:val="2"/>
                <w:sz w:val="21"/>
                <w:szCs w:val="21"/>
                <w:highlight w:val="none"/>
                <w:lang w:val="en-US" w:eastAsia="zh-CN"/>
              </w:rPr>
              <w:t>t</w:t>
            </w:r>
          </w:p>
        </w:tc>
        <w:tc>
          <w:tcPr>
            <w:tcW w:w="2812" w:type="pct"/>
            <w:shd w:val="clear" w:color="auto" w:fill="auto"/>
            <w:vAlign w:val="center"/>
          </w:tcPr>
          <w:p w14:paraId="0FB01B08">
            <w:pPr>
              <w:widowControl w:val="0"/>
              <w:adjustRightInd w:val="0"/>
              <w:snapToGrid w:val="0"/>
              <w:spacing w:line="320" w:lineRule="exact"/>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统一收集后拉运至</w:t>
            </w:r>
            <w:r>
              <w:rPr>
                <w:rFonts w:hint="eastAsia" w:ascii="Times New Roman" w:hAnsi="Times New Roman" w:cs="Times New Roman"/>
                <w:color w:val="auto"/>
                <w:w w:val="99"/>
                <w:kern w:val="2"/>
                <w:sz w:val="21"/>
                <w:szCs w:val="21"/>
                <w:highlight w:val="none"/>
                <w:lang w:eastAsia="zh-CN"/>
              </w:rPr>
              <w:t>肇东北控环境再生能源有限公司</w:t>
            </w:r>
            <w:r>
              <w:rPr>
                <w:rFonts w:ascii="Times New Roman" w:hAnsi="Times New Roman" w:cs="Times New Roman"/>
                <w:color w:val="auto"/>
                <w:w w:val="99"/>
                <w:kern w:val="2"/>
                <w:sz w:val="21"/>
                <w:szCs w:val="21"/>
                <w:highlight w:val="none"/>
              </w:rPr>
              <w:t>处理</w:t>
            </w:r>
          </w:p>
        </w:tc>
      </w:tr>
    </w:tbl>
    <w:p w14:paraId="648E20D7">
      <w:pPr>
        <w:widowControl w:val="0"/>
        <w:numPr>
          <w:ilvl w:val="0"/>
          <w:numId w:val="0"/>
        </w:numPr>
        <w:spacing w:line="440" w:lineRule="exact"/>
        <w:ind w:firstLine="474" w:firstLineChars="200"/>
        <w:jc w:val="both"/>
        <w:rPr>
          <w:rFonts w:hint="default" w:ascii="Times New Roman" w:hAnsi="Times New Roman" w:eastAsia="宋体" w:cs="Times New Roman"/>
          <w:color w:val="auto"/>
          <w:w w:val="99"/>
          <w:kern w:val="2"/>
          <w:szCs w:val="20"/>
          <w:highlight w:val="none"/>
        </w:rPr>
      </w:pPr>
    </w:p>
    <w:p w14:paraId="52469B7D">
      <w:pPr>
        <w:spacing w:line="440" w:lineRule="exact"/>
        <w:outlineLvl w:val="3"/>
        <w:rPr>
          <w:rFonts w:ascii="Times New Roman" w:hAnsi="Times New Roman" w:cs="Times New Roman"/>
          <w:b/>
          <w:color w:val="auto"/>
          <w:w w:val="99"/>
          <w:highlight w:val="none"/>
        </w:rPr>
      </w:pPr>
      <w:r>
        <w:rPr>
          <w:rFonts w:hint="eastAsia" w:ascii="Times New Roman" w:hAnsi="Times New Roman" w:cs="Times New Roman"/>
          <w:b/>
          <w:color w:val="auto"/>
          <w:w w:val="99"/>
          <w:highlight w:val="none"/>
          <w:lang w:eastAsia="zh-CN"/>
        </w:rPr>
        <w:t>3.1</w:t>
      </w:r>
      <w:r>
        <w:rPr>
          <w:rFonts w:hint="eastAsia" w:ascii="Times New Roman" w:hAnsi="Times New Roman" w:cs="Times New Roman"/>
          <w:b/>
          <w:color w:val="auto"/>
          <w:w w:val="99"/>
          <w:highlight w:val="none"/>
          <w:lang w:val="en-US" w:eastAsia="zh-CN"/>
        </w:rPr>
        <w:t>0</w:t>
      </w:r>
      <w:r>
        <w:rPr>
          <w:rFonts w:ascii="Times New Roman" w:hAnsi="Times New Roman" w:cs="Times New Roman"/>
          <w:b/>
          <w:color w:val="auto"/>
          <w:w w:val="99"/>
          <w:highlight w:val="none"/>
        </w:rPr>
        <w:t>.</w:t>
      </w:r>
      <w:r>
        <w:rPr>
          <w:rFonts w:hint="eastAsia" w:ascii="Times New Roman" w:hAnsi="Times New Roman" w:cs="Times New Roman"/>
          <w:b/>
          <w:color w:val="auto"/>
          <w:w w:val="99"/>
          <w:highlight w:val="none"/>
          <w:lang w:val="en-US" w:eastAsia="zh-CN"/>
        </w:rPr>
        <w:t>4</w:t>
      </w:r>
      <w:r>
        <w:rPr>
          <w:rFonts w:ascii="Times New Roman" w:hAnsi="Times New Roman" w:cs="Times New Roman"/>
          <w:b/>
          <w:color w:val="auto"/>
          <w:w w:val="99"/>
          <w:highlight w:val="none"/>
        </w:rPr>
        <w:t>.2运营期污染源源强核算</w:t>
      </w:r>
    </w:p>
    <w:p w14:paraId="08A1B847">
      <w:pPr>
        <w:numPr>
          <w:ilvl w:val="0"/>
          <w:numId w:val="10"/>
        </w:numPr>
        <w:snapToGrid w:val="0"/>
        <w:spacing w:line="440" w:lineRule="exact"/>
        <w:ind w:firstLine="474" w:firstLineChars="200"/>
        <w:jc w:val="both"/>
        <w:rPr>
          <w:rFonts w:hint="eastAsia" w:ascii="Times New Roman" w:hAnsi="Times New Roman" w:cs="Times New Roman"/>
          <w:color w:val="auto"/>
          <w:w w:val="99"/>
          <w:highlight w:val="none"/>
          <w:lang w:val="en-US" w:eastAsia="zh-CN"/>
        </w:rPr>
      </w:pPr>
      <w:r>
        <w:rPr>
          <w:rFonts w:hint="eastAsia" w:ascii="Times New Roman" w:hAnsi="Times New Roman" w:cs="Times New Roman"/>
          <w:color w:val="auto"/>
          <w:w w:val="99"/>
          <w:highlight w:val="none"/>
          <w:lang w:val="en-US" w:eastAsia="zh-CN"/>
        </w:rPr>
        <w:t>正常工况</w:t>
      </w:r>
    </w:p>
    <w:p w14:paraId="79C7F4E1">
      <w:pPr>
        <w:widowControl w:val="0"/>
        <w:spacing w:line="440" w:lineRule="exact"/>
        <w:ind w:firstLine="474" w:firstLineChars="200"/>
        <w:jc w:val="both"/>
        <w:rPr>
          <w:rFonts w:hint="default" w:ascii="Times New Roman" w:hAnsi="Times New Roman" w:cs="Times New Roman"/>
          <w:color w:val="auto"/>
          <w:w w:val="99"/>
          <w:kern w:val="2"/>
          <w:highlight w:val="none"/>
          <w:lang w:val="zh-CN" w:eastAsia="zh-CN"/>
        </w:rPr>
      </w:pPr>
      <w:r>
        <w:rPr>
          <w:rFonts w:hint="eastAsia" w:ascii="Times New Roman" w:hAnsi="Times New Roman" w:cs="Times New Roman"/>
          <w:color w:val="auto"/>
          <w:w w:val="99"/>
          <w:kern w:val="2"/>
          <w:highlight w:val="none"/>
          <w:lang w:val="en-US" w:eastAsia="zh-CN"/>
        </w:rPr>
        <w:t>①</w:t>
      </w:r>
      <w:r>
        <w:rPr>
          <w:rFonts w:hint="default" w:ascii="Times New Roman" w:hAnsi="Times New Roman" w:cs="Times New Roman"/>
          <w:color w:val="auto"/>
          <w:w w:val="99"/>
          <w:kern w:val="2"/>
          <w:highlight w:val="none"/>
          <w:lang w:val="zh-CN" w:eastAsia="zh-CN"/>
        </w:rPr>
        <w:t>废气</w:t>
      </w:r>
    </w:p>
    <w:p w14:paraId="68AD1E14">
      <w:pPr>
        <w:widowControl w:val="0"/>
        <w:spacing w:line="440" w:lineRule="exact"/>
        <w:ind w:firstLine="474" w:firstLineChars="200"/>
        <w:jc w:val="both"/>
        <w:rPr>
          <w:rFonts w:hint="eastAsia" w:ascii="Times New Roman" w:hAnsi="Times New Roman" w:cs="Times New Roman"/>
          <w:color w:val="auto"/>
          <w:w w:val="99"/>
          <w:kern w:val="2"/>
          <w:highlight w:val="none"/>
          <w:lang w:val="zh-CN" w:eastAsia="zh-CN"/>
        </w:rPr>
      </w:pPr>
      <w:r>
        <w:rPr>
          <w:rFonts w:hint="default" w:ascii="Times New Roman" w:hAnsi="Times New Roman" w:cs="Times New Roman"/>
          <w:color w:val="auto"/>
          <w:w w:val="99"/>
          <w:kern w:val="2"/>
          <w:highlight w:val="none"/>
          <w:lang w:val="zh-CN" w:eastAsia="zh-CN"/>
        </w:rPr>
        <w:t>正常工况下，井场、站场工艺设备会有少量天然气以无组织形式进行排放，天然气加热炉燃烧排放烟气；项目运营期天然气均由管线运输，因此本项目不涉及新增的交通运输移动源。</w:t>
      </w:r>
    </w:p>
    <w:p w14:paraId="6B602090">
      <w:pPr>
        <w:widowControl w:val="0"/>
        <w:spacing w:line="440" w:lineRule="exact"/>
        <w:ind w:firstLine="474" w:firstLineChars="200"/>
        <w:jc w:val="both"/>
        <w:rPr>
          <w:rFonts w:hint="eastAsia" w:ascii="Times New Roman" w:hAnsi="Times New Roman" w:cs="Times New Roman"/>
          <w:color w:val="auto"/>
          <w:w w:val="99"/>
          <w:kern w:val="2"/>
          <w:highlight w:val="none"/>
          <w:lang w:val="zh-CN" w:eastAsia="zh-CN"/>
        </w:rPr>
      </w:pPr>
      <w:r>
        <w:rPr>
          <w:rFonts w:hint="default" w:ascii="Times New Roman" w:hAnsi="Times New Roman" w:cs="Times New Roman"/>
          <w:color w:val="auto"/>
          <w:w w:val="99"/>
          <w:kern w:val="2"/>
          <w:highlight w:val="none"/>
          <w:lang w:val="zh-CN" w:eastAsia="zh-CN"/>
        </w:rPr>
        <w:t>集气站脱水再生尾气属于现有装置，尾气回收装置（水引射增压回收工 艺）对尾气进行回收处理，尾气从收集到处理直至回收整个过程为全封闭态，回收的气体作为三甘醇装置燃料气利用，整个工艺过程无尾气排放口，即尾气回收率100%，因此本次不进行尾气定量核算。</w:t>
      </w:r>
    </w:p>
    <w:p w14:paraId="42BBD01C">
      <w:pPr>
        <w:widowControl w:val="0"/>
        <w:spacing w:line="440" w:lineRule="exact"/>
        <w:ind w:firstLine="474" w:firstLineChars="200"/>
        <w:jc w:val="both"/>
        <w:rPr>
          <w:rFonts w:hint="default" w:ascii="Times New Roman" w:hAnsi="Times New Roman" w:cs="Times New Roman"/>
          <w:color w:val="auto"/>
          <w:w w:val="99"/>
          <w:kern w:val="2"/>
          <w:highlight w:val="none"/>
          <w:lang w:val="zh-CN" w:eastAsia="zh-CN"/>
        </w:rPr>
      </w:pPr>
      <w:r>
        <w:rPr>
          <w:rFonts w:hint="eastAsia" w:ascii="Times New Roman" w:hAnsi="Times New Roman" w:cs="Times New Roman"/>
          <w:color w:val="auto"/>
          <w:w w:val="99"/>
          <w:kern w:val="2"/>
          <w:highlight w:val="none"/>
          <w:lang w:val="en-US" w:eastAsia="zh-CN"/>
        </w:rPr>
        <w:t>1）</w:t>
      </w:r>
      <w:r>
        <w:rPr>
          <w:rFonts w:hint="default" w:ascii="Times New Roman" w:hAnsi="Times New Roman" w:cs="Times New Roman"/>
          <w:color w:val="auto"/>
          <w:w w:val="99"/>
          <w:kern w:val="2"/>
          <w:highlight w:val="none"/>
          <w:lang w:val="zh-CN" w:eastAsia="zh-CN"/>
        </w:rPr>
        <w:t xml:space="preserve">无组织挥发非甲烷总烃 </w:t>
      </w:r>
    </w:p>
    <w:p w14:paraId="39447933">
      <w:pPr>
        <w:widowControl w:val="0"/>
        <w:spacing w:line="440" w:lineRule="exact"/>
        <w:ind w:firstLine="474" w:firstLineChars="200"/>
        <w:jc w:val="both"/>
        <w:rPr>
          <w:rFonts w:hint="default" w:ascii="Times New Roman" w:hAnsi="Times New Roman" w:cs="Times New Roman"/>
          <w:color w:val="auto"/>
          <w:w w:val="99"/>
          <w:kern w:val="2"/>
          <w:highlight w:val="none"/>
          <w:lang w:val="zh-CN" w:eastAsia="zh-CN"/>
        </w:rPr>
      </w:pPr>
      <w:r>
        <w:rPr>
          <w:rFonts w:hint="default" w:ascii="Times New Roman" w:hAnsi="Times New Roman" w:eastAsia="宋体" w:cs="Times New Roman"/>
          <w:bCs/>
          <w:color w:val="auto"/>
          <w:w w:val="99"/>
          <w:kern w:val="2"/>
          <w:sz w:val="24"/>
          <w:szCs w:val="20"/>
          <w:highlight w:val="none"/>
          <w:lang w:val="en-US" w:eastAsia="zh-CN" w:bidi="ar-SA"/>
        </w:rPr>
        <w:t>本项目</w:t>
      </w:r>
      <w:r>
        <w:rPr>
          <w:rFonts w:hint="eastAsia" w:ascii="Times New Roman" w:hAnsi="Times New Roman" w:eastAsia="宋体" w:cs="Times New Roman"/>
          <w:bCs/>
          <w:color w:val="auto"/>
          <w:w w:val="99"/>
          <w:kern w:val="2"/>
          <w:sz w:val="24"/>
          <w:szCs w:val="20"/>
          <w:highlight w:val="none"/>
          <w:lang w:val="en-US" w:eastAsia="zh-CN" w:bidi="ar-SA"/>
        </w:rPr>
        <w:t>建成产能</w:t>
      </w:r>
      <w:r>
        <w:rPr>
          <w:rFonts w:hint="default" w:ascii="Times New Roman" w:hAnsi="Times New Roman" w:eastAsia="宋体" w:cs="Times New Roman"/>
          <w:bCs/>
          <w:color w:val="auto"/>
          <w:w w:val="99"/>
          <w:kern w:val="2"/>
          <w:sz w:val="24"/>
          <w:szCs w:val="20"/>
          <w:highlight w:val="none"/>
          <w:lang w:val="en-US" w:eastAsia="zh-CN" w:bidi="ar-SA"/>
        </w:rPr>
        <w:t>约</w:t>
      </w:r>
      <w:r>
        <w:rPr>
          <w:rFonts w:hint="eastAsia" w:ascii="Times New Roman" w:hAnsi="Times New Roman" w:cs="Times New Roman"/>
          <w:bCs/>
          <w:color w:val="auto"/>
          <w:w w:val="99"/>
          <w:kern w:val="2"/>
          <w:sz w:val="24"/>
          <w:szCs w:val="20"/>
          <w:highlight w:val="none"/>
          <w:lang w:val="en-US" w:eastAsia="zh-CN" w:bidi="ar-SA"/>
        </w:rPr>
        <w:t>9.0</w:t>
      </w:r>
      <w:r>
        <w:rPr>
          <w:rFonts w:hint="default" w:ascii="Times New Roman" w:hAnsi="Times New Roman" w:eastAsia="宋体" w:cs="Times New Roman"/>
          <w:bCs/>
          <w:color w:val="auto"/>
          <w:w w:val="99"/>
          <w:kern w:val="2"/>
          <w:sz w:val="24"/>
          <w:szCs w:val="20"/>
          <w:highlight w:val="none"/>
          <w:lang w:val="en-US" w:eastAsia="zh-CN" w:bidi="ar-SA"/>
        </w:rPr>
        <w:t>×10</w:t>
      </w:r>
      <w:r>
        <w:rPr>
          <w:rFonts w:hint="eastAsia" w:ascii="Times New Roman" w:hAnsi="Times New Roman" w:eastAsia="宋体" w:cs="Times New Roman"/>
          <w:bCs/>
          <w:color w:val="auto"/>
          <w:w w:val="99"/>
          <w:kern w:val="2"/>
          <w:sz w:val="24"/>
          <w:szCs w:val="20"/>
          <w:highlight w:val="none"/>
          <w:vertAlign w:val="superscript"/>
          <w:lang w:val="en-US" w:eastAsia="zh-CN" w:bidi="ar-SA"/>
        </w:rPr>
        <w:t>4</w:t>
      </w:r>
      <w:r>
        <w:rPr>
          <w:rFonts w:hint="default" w:ascii="Times New Roman" w:hAnsi="Times New Roman" w:eastAsia="宋体" w:cs="Times New Roman"/>
          <w:bCs/>
          <w:color w:val="auto"/>
          <w:w w:val="99"/>
          <w:kern w:val="2"/>
          <w:sz w:val="24"/>
          <w:szCs w:val="20"/>
          <w:highlight w:val="none"/>
          <w:lang w:val="en-US" w:eastAsia="zh-CN" w:bidi="ar-SA"/>
        </w:rPr>
        <w:t>m</w:t>
      </w:r>
      <w:r>
        <w:rPr>
          <w:rFonts w:hint="default" w:ascii="Times New Roman" w:hAnsi="Times New Roman" w:eastAsia="宋体" w:cs="Times New Roman"/>
          <w:bCs/>
          <w:color w:val="auto"/>
          <w:w w:val="99"/>
          <w:kern w:val="2"/>
          <w:sz w:val="24"/>
          <w:szCs w:val="20"/>
          <w:highlight w:val="none"/>
          <w:vertAlign w:val="superscript"/>
          <w:lang w:val="en-US" w:eastAsia="zh-CN" w:bidi="ar-SA"/>
        </w:rPr>
        <w:t>3</w:t>
      </w:r>
      <w:r>
        <w:rPr>
          <w:rFonts w:hint="default" w:ascii="Times New Roman" w:hAnsi="Times New Roman" w:eastAsia="宋体" w:cs="Times New Roman"/>
          <w:bCs/>
          <w:color w:val="auto"/>
          <w:w w:val="99"/>
          <w:kern w:val="2"/>
          <w:sz w:val="24"/>
          <w:szCs w:val="20"/>
          <w:highlight w:val="none"/>
          <w:lang w:val="en-US" w:eastAsia="zh-CN" w:bidi="ar-SA"/>
        </w:rPr>
        <w:t>/</w:t>
      </w:r>
      <w:r>
        <w:rPr>
          <w:rFonts w:hint="eastAsia" w:ascii="Times New Roman" w:hAnsi="Times New Roman" w:eastAsia="宋体" w:cs="Times New Roman"/>
          <w:bCs/>
          <w:color w:val="auto"/>
          <w:w w:val="99"/>
          <w:kern w:val="2"/>
          <w:sz w:val="24"/>
          <w:szCs w:val="20"/>
          <w:highlight w:val="none"/>
          <w:lang w:val="en-US" w:eastAsia="zh-CN" w:bidi="ar-SA"/>
        </w:rPr>
        <w:t>d</w:t>
      </w:r>
      <w:r>
        <w:rPr>
          <w:rFonts w:hint="default" w:ascii="Times New Roman" w:hAnsi="Times New Roman" w:eastAsia="宋体" w:cs="Times New Roman"/>
          <w:bCs/>
          <w:color w:val="auto"/>
          <w:w w:val="99"/>
          <w:kern w:val="2"/>
          <w:sz w:val="24"/>
          <w:szCs w:val="20"/>
          <w:highlight w:val="none"/>
          <w:lang w:val="en-US" w:eastAsia="zh-CN" w:bidi="ar-SA"/>
        </w:rPr>
        <w:t>。根据《大气挥发性有机物源排放清单编制技术指南（试行）》中石油化工业天然原油和天然气开采，其中天然气开采挥发性有机物排放系数推荐值为0.5</w:t>
      </w:r>
      <w:r>
        <w:rPr>
          <w:rFonts w:hint="eastAsia" w:ascii="Times New Roman" w:hAnsi="Times New Roman" w:cs="Times New Roman"/>
          <w:bCs/>
          <w:color w:val="auto"/>
          <w:w w:val="99"/>
          <w:kern w:val="2"/>
          <w:sz w:val="24"/>
          <w:szCs w:val="20"/>
          <w:highlight w:val="none"/>
          <w:lang w:val="en-US" w:eastAsia="zh-CN" w:bidi="ar-SA"/>
        </w:rPr>
        <w:t>g/kg</w:t>
      </w:r>
      <w:r>
        <w:rPr>
          <w:rFonts w:hint="default" w:ascii="Times New Roman" w:hAnsi="Times New Roman" w:eastAsia="宋体" w:cs="Times New Roman"/>
          <w:bCs/>
          <w:color w:val="auto"/>
          <w:w w:val="99"/>
          <w:kern w:val="2"/>
          <w:sz w:val="24"/>
          <w:szCs w:val="20"/>
          <w:highlight w:val="none"/>
          <w:lang w:val="en-US" w:eastAsia="zh-CN" w:bidi="ar-SA"/>
        </w:rPr>
        <w:t>，天然气密度按0.71kg/m</w:t>
      </w:r>
      <w:r>
        <w:rPr>
          <w:rFonts w:hint="default" w:ascii="Times New Roman" w:hAnsi="Times New Roman" w:eastAsia="宋体" w:cs="Times New Roman"/>
          <w:bCs/>
          <w:color w:val="auto"/>
          <w:w w:val="99"/>
          <w:kern w:val="2"/>
          <w:sz w:val="24"/>
          <w:szCs w:val="20"/>
          <w:highlight w:val="none"/>
          <w:vertAlign w:val="superscript"/>
          <w:lang w:val="en-US" w:eastAsia="zh-CN" w:bidi="ar-SA"/>
        </w:rPr>
        <w:t>3</w:t>
      </w:r>
      <w:r>
        <w:rPr>
          <w:rFonts w:hint="default" w:ascii="Times New Roman" w:hAnsi="Times New Roman" w:eastAsia="宋体" w:cs="Times New Roman"/>
          <w:bCs/>
          <w:color w:val="auto"/>
          <w:w w:val="99"/>
          <w:kern w:val="2"/>
          <w:sz w:val="24"/>
          <w:szCs w:val="20"/>
          <w:highlight w:val="none"/>
          <w:lang w:val="en-US" w:eastAsia="zh-CN" w:bidi="ar-SA"/>
        </w:rPr>
        <w:t>计，则非甲烷总烃挥发量为</w:t>
      </w:r>
      <w:r>
        <w:rPr>
          <w:rFonts w:hint="eastAsia" w:ascii="Times New Roman" w:hAnsi="Times New Roman" w:cs="Times New Roman"/>
          <w:bCs/>
          <w:color w:val="auto"/>
          <w:w w:val="99"/>
          <w:kern w:val="2"/>
          <w:sz w:val="24"/>
          <w:szCs w:val="20"/>
          <w:highlight w:val="none"/>
          <w:lang w:val="en-US" w:eastAsia="zh-CN" w:bidi="ar-SA"/>
        </w:rPr>
        <w:t>11.66</w:t>
      </w:r>
      <w:r>
        <w:rPr>
          <w:rFonts w:hint="default" w:ascii="Times New Roman" w:hAnsi="Times New Roman" w:eastAsia="宋体" w:cs="Times New Roman"/>
          <w:bCs/>
          <w:color w:val="auto"/>
          <w:w w:val="99"/>
          <w:kern w:val="2"/>
          <w:sz w:val="24"/>
          <w:szCs w:val="20"/>
          <w:highlight w:val="none"/>
          <w:lang w:val="en-US" w:eastAsia="zh-CN" w:bidi="ar-SA"/>
        </w:rPr>
        <w:t>t/a。气井在运行期间非正常工况包括气井开井、关井、检修以及事故时紧急切断阀门后，气井内剩余气通向井口房外放空池放空。</w:t>
      </w:r>
    </w:p>
    <w:p w14:paraId="7318D1A0">
      <w:pPr>
        <w:widowControl w:val="0"/>
        <w:spacing w:line="440" w:lineRule="exact"/>
        <w:ind w:firstLine="474" w:firstLineChars="200"/>
        <w:jc w:val="both"/>
        <w:rPr>
          <w:rFonts w:hint="eastAsia" w:ascii="Times New Roman" w:hAnsi="Times New Roman" w:cs="Times New Roman"/>
          <w:color w:val="auto"/>
          <w:w w:val="99"/>
          <w:kern w:val="2"/>
          <w:highlight w:val="none"/>
          <w:lang w:val="en-US" w:eastAsia="zh-CN"/>
        </w:rPr>
      </w:pPr>
      <w:r>
        <w:rPr>
          <w:rFonts w:hint="eastAsia" w:ascii="Times New Roman" w:hAnsi="Times New Roman" w:cs="Times New Roman"/>
          <w:color w:val="auto"/>
          <w:w w:val="99"/>
          <w:kern w:val="2"/>
          <w:highlight w:val="none"/>
          <w:lang w:val="en-US" w:eastAsia="zh-CN"/>
        </w:rPr>
        <w:t>2）加热炉烟气</w:t>
      </w:r>
    </w:p>
    <w:p w14:paraId="69832BF5">
      <w:pPr>
        <w:widowControl w:val="0"/>
        <w:spacing w:line="440" w:lineRule="exact"/>
        <w:ind w:firstLine="474" w:firstLineChars="200"/>
        <w:jc w:val="both"/>
        <w:rPr>
          <w:rFonts w:hint="eastAsia" w:ascii="Times New Roman" w:hAnsi="Times New Roman" w:cs="Times New Roman"/>
          <w:color w:val="auto"/>
          <w:w w:val="99"/>
          <w:kern w:val="2"/>
          <w:highlight w:val="none"/>
          <w:lang w:val="en-US" w:eastAsia="zh-CN"/>
        </w:rPr>
      </w:pPr>
      <w:r>
        <w:rPr>
          <w:rFonts w:hint="eastAsia" w:ascii="Times New Roman" w:hAnsi="Times New Roman" w:cs="Times New Roman"/>
          <w:color w:val="auto"/>
          <w:w w:val="99"/>
          <w:kern w:val="2"/>
          <w:highlight w:val="none"/>
          <w:lang w:val="en-US" w:eastAsia="zh-CN"/>
        </w:rPr>
        <w:t>本工程运行期产生的废气主要来自依托的集气站加热炉产生的烟气，燃料为天然气，产生的烟气较为清洁，并采用了低氮燃烧器。由于本工程未新建加热炉，依托场站加热炉均满足相应的负荷状态下运行，且大气污染物总量在原申请总量范围内，因此本项目仅计算污染物分担量。</w:t>
      </w:r>
    </w:p>
    <w:p w14:paraId="41ACF664">
      <w:pPr>
        <w:widowControl w:val="0"/>
        <w:spacing w:line="440" w:lineRule="exact"/>
        <w:ind w:firstLine="474" w:firstLineChars="200"/>
        <w:jc w:val="both"/>
        <w:rPr>
          <w:rFonts w:hint="default" w:ascii="Times New Roman" w:hAnsi="Times New Roman" w:cs="Times New Roman"/>
          <w:color w:val="auto"/>
          <w:w w:val="99"/>
          <w:kern w:val="2"/>
          <w:highlight w:val="none"/>
          <w:lang w:val="en-US" w:eastAsia="zh-CN"/>
        </w:rPr>
      </w:pPr>
      <w:r>
        <w:rPr>
          <w:rFonts w:hint="default" w:ascii="Times New Roman" w:hAnsi="Times New Roman" w:cs="Times New Roman"/>
          <w:color w:val="auto"/>
          <w:w w:val="99"/>
          <w:kern w:val="2"/>
          <w:highlight w:val="none"/>
          <w:lang w:val="en-US" w:eastAsia="zh-CN"/>
        </w:rPr>
        <w:t>本工程运行期产生的废气主要来自</w:t>
      </w:r>
      <w:r>
        <w:rPr>
          <w:rFonts w:hint="eastAsia" w:ascii="Times New Roman" w:hAnsi="Times New Roman" w:cs="Times New Roman"/>
          <w:color w:val="auto"/>
          <w:w w:val="99"/>
          <w:kern w:val="2"/>
          <w:highlight w:val="none"/>
          <w:lang w:val="en-US" w:eastAsia="zh-CN"/>
        </w:rPr>
        <w:t>徐深27集气站5井式真空加热炉及三甘醇脱水装置</w:t>
      </w:r>
      <w:r>
        <w:rPr>
          <w:rFonts w:hint="default" w:ascii="Times New Roman" w:hAnsi="Times New Roman" w:cs="Times New Roman"/>
          <w:color w:val="auto"/>
          <w:w w:val="99"/>
          <w:kern w:val="2"/>
          <w:highlight w:val="none"/>
          <w:lang w:val="en-US" w:eastAsia="zh-CN"/>
        </w:rPr>
        <w:t>排放的</w:t>
      </w:r>
      <w:r>
        <w:rPr>
          <w:rFonts w:hint="eastAsia" w:ascii="Times New Roman" w:hAnsi="Times New Roman" w:cs="Times New Roman"/>
          <w:color w:val="auto"/>
          <w:w w:val="99"/>
          <w:kern w:val="2"/>
          <w:highlight w:val="none"/>
          <w:lang w:val="en-US" w:eastAsia="zh-CN"/>
        </w:rPr>
        <w:t>燃烧</w:t>
      </w:r>
      <w:r>
        <w:rPr>
          <w:rFonts w:hint="default" w:ascii="Times New Roman" w:hAnsi="Times New Roman" w:cs="Times New Roman"/>
          <w:color w:val="auto"/>
          <w:w w:val="99"/>
          <w:kern w:val="2"/>
          <w:highlight w:val="none"/>
          <w:lang w:val="en-US" w:eastAsia="zh-CN"/>
        </w:rPr>
        <w:t>烟气。</w:t>
      </w:r>
    </w:p>
    <w:p w14:paraId="38EE23D1">
      <w:pPr>
        <w:widowControl w:val="0"/>
        <w:spacing w:line="440" w:lineRule="exact"/>
        <w:ind w:firstLine="474" w:firstLineChars="200"/>
        <w:jc w:val="both"/>
        <w:rPr>
          <w:rFonts w:hint="default" w:ascii="Times New Roman" w:hAnsi="Times New Roman" w:cs="Times New Roman"/>
          <w:color w:val="auto"/>
          <w:w w:val="99"/>
          <w:kern w:val="2"/>
          <w:highlight w:val="none"/>
          <w:lang w:val="en-US" w:eastAsia="zh-CN"/>
        </w:rPr>
      </w:pPr>
      <w:r>
        <w:rPr>
          <w:rFonts w:hint="eastAsia" w:ascii="Times New Roman" w:hAnsi="Times New Roman" w:cs="Times New Roman"/>
          <w:color w:val="auto"/>
          <w:w w:val="99"/>
          <w:kern w:val="2"/>
          <w:highlight w:val="none"/>
          <w:lang w:val="en-US" w:eastAsia="zh-CN"/>
        </w:rPr>
        <w:t>徐深27集气站</w:t>
      </w:r>
      <w:r>
        <w:rPr>
          <w:rFonts w:hint="default" w:ascii="Times New Roman" w:hAnsi="Times New Roman" w:cs="Times New Roman"/>
          <w:color w:val="auto"/>
          <w:w w:val="99"/>
          <w:kern w:val="2"/>
          <w:highlight w:val="none"/>
          <w:lang w:val="en-US" w:eastAsia="zh-CN"/>
        </w:rPr>
        <w:t>加热</w:t>
      </w:r>
      <w:r>
        <w:rPr>
          <w:rFonts w:hint="eastAsia" w:ascii="Times New Roman" w:hAnsi="Times New Roman" w:cs="Times New Roman"/>
          <w:color w:val="auto"/>
          <w:w w:val="99"/>
          <w:kern w:val="2"/>
          <w:highlight w:val="none"/>
          <w:lang w:val="en-US" w:eastAsia="zh-CN"/>
        </w:rPr>
        <w:t>装置均</w:t>
      </w:r>
      <w:r>
        <w:rPr>
          <w:rFonts w:hint="default" w:ascii="Times New Roman" w:hAnsi="Times New Roman" w:cs="Times New Roman"/>
          <w:color w:val="auto"/>
          <w:w w:val="99"/>
          <w:kern w:val="2"/>
          <w:highlight w:val="none"/>
          <w:lang w:val="en-US" w:eastAsia="zh-CN"/>
        </w:rPr>
        <w:t>为燃气炉，</w:t>
      </w:r>
      <w:r>
        <w:rPr>
          <w:rFonts w:hint="eastAsia" w:ascii="Times New Roman" w:hAnsi="Times New Roman" w:cs="Times New Roman"/>
          <w:color w:val="auto"/>
          <w:w w:val="99"/>
          <w:kern w:val="2"/>
          <w:highlight w:val="none"/>
          <w:lang w:val="en-US" w:eastAsia="zh-CN"/>
        </w:rPr>
        <w:t>燃烧天然气为本项目气井采出气，燃烧</w:t>
      </w:r>
      <w:r>
        <w:rPr>
          <w:rFonts w:hint="default" w:ascii="Times New Roman" w:hAnsi="Times New Roman" w:cs="Times New Roman"/>
          <w:color w:val="auto"/>
          <w:w w:val="99"/>
          <w:kern w:val="2"/>
          <w:highlight w:val="none"/>
          <w:lang w:val="en-US" w:eastAsia="zh-CN"/>
        </w:rPr>
        <w:t>产生的烟气较为清洁，经</w:t>
      </w:r>
      <w:r>
        <w:rPr>
          <w:rFonts w:hint="eastAsia" w:ascii="Times New Roman" w:hAnsi="Times New Roman" w:cs="Times New Roman"/>
          <w:color w:val="auto"/>
          <w:w w:val="99"/>
          <w:kern w:val="2"/>
          <w:highlight w:val="none"/>
          <w:lang w:val="en-US" w:eastAsia="zh-CN"/>
        </w:rPr>
        <w:t>8m高</w:t>
      </w:r>
      <w:r>
        <w:rPr>
          <w:rFonts w:hint="default" w:ascii="Times New Roman" w:hAnsi="Times New Roman" w:cs="Times New Roman"/>
          <w:color w:val="auto"/>
          <w:w w:val="99"/>
          <w:kern w:val="2"/>
          <w:highlight w:val="none"/>
          <w:lang w:val="en-US" w:eastAsia="zh-CN"/>
        </w:rPr>
        <w:t>烟囱排放</w:t>
      </w:r>
      <w:r>
        <w:rPr>
          <w:rFonts w:hint="eastAsia" w:ascii="Times New Roman" w:hAnsi="Times New Roman" w:cs="Times New Roman"/>
          <w:color w:val="auto"/>
          <w:w w:val="99"/>
          <w:kern w:val="2"/>
          <w:highlight w:val="none"/>
          <w:lang w:val="en-US" w:eastAsia="zh-CN"/>
        </w:rPr>
        <w:t>（高于周围200m建筑物高度3m以上）。</w:t>
      </w:r>
    </w:p>
    <w:p w14:paraId="7B60CFF7">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根据</w:t>
      </w:r>
      <w:r>
        <w:rPr>
          <w:rFonts w:hint="eastAsia" w:ascii="Times New Roman" w:hAnsi="Times New Roman" w:cs="Times New Roman"/>
          <w:bCs/>
          <w:color w:val="auto"/>
          <w:w w:val="99"/>
          <w:szCs w:val="20"/>
          <w:highlight w:val="none"/>
          <w:lang w:val="en-US" w:eastAsia="zh-CN"/>
        </w:rPr>
        <w:t>大庆石油管理局环境监测中心站2025年12月20日</w:t>
      </w:r>
      <w:r>
        <w:rPr>
          <w:rFonts w:hint="eastAsia" w:ascii="Times New Roman" w:hAnsi="Times New Roman" w:cs="Times New Roman"/>
          <w:bCs/>
          <w:color w:val="auto"/>
          <w:w w:val="99"/>
          <w:kern w:val="2"/>
          <w:sz w:val="24"/>
          <w:szCs w:val="20"/>
          <w:highlight w:val="none"/>
          <w:vertAlign w:val="baseline"/>
          <w:lang w:val="en-US" w:eastAsia="zh-CN" w:bidi="ar-SA"/>
        </w:rPr>
        <w:t>对已建徐深27集气站1号加热炉的监测报告（报告编号DQWE-RE2-2512-399，附件6），</w:t>
      </w:r>
      <w:r>
        <w:rPr>
          <w:rFonts w:hint="eastAsia" w:ascii="Times New Roman" w:hAnsi="Times New Roman" w:cs="Times New Roman" w:eastAsiaTheme="minorEastAsia"/>
          <w:color w:val="auto"/>
          <w:w w:val="99"/>
          <w:kern w:val="2"/>
          <w:szCs w:val="20"/>
          <w:highlight w:val="none"/>
        </w:rPr>
        <w:t>徐深</w:t>
      </w:r>
      <w:r>
        <w:rPr>
          <w:rFonts w:ascii="Times New Roman" w:hAnsi="Times New Roman" w:cs="Times New Roman" w:eastAsiaTheme="minorEastAsia"/>
          <w:color w:val="auto"/>
          <w:w w:val="99"/>
          <w:kern w:val="2"/>
          <w:szCs w:val="20"/>
          <w:highlight w:val="none"/>
        </w:rPr>
        <w:t>27</w:t>
      </w:r>
      <w:r>
        <w:rPr>
          <w:rFonts w:hint="eastAsia" w:ascii="Times New Roman" w:hAnsi="Times New Roman" w:cs="Times New Roman" w:eastAsiaTheme="minorEastAsia"/>
          <w:color w:val="auto"/>
          <w:w w:val="99"/>
          <w:kern w:val="2"/>
          <w:szCs w:val="20"/>
          <w:highlight w:val="none"/>
        </w:rPr>
        <w:t>集气站</w:t>
      </w:r>
      <w:r>
        <w:rPr>
          <w:rFonts w:ascii="Times New Roman" w:hAnsi="Times New Roman" w:cs="Times New Roman" w:eastAsiaTheme="minorEastAsia"/>
          <w:color w:val="auto"/>
          <w:w w:val="99"/>
          <w:kern w:val="2"/>
          <w:szCs w:val="20"/>
          <w:highlight w:val="none"/>
        </w:rPr>
        <w:t>加热炉烟气中</w:t>
      </w:r>
      <w:r>
        <w:rPr>
          <w:rFonts w:ascii="Times New Roman" w:hAnsi="Times New Roman" w:cs="Times New Roman" w:eastAsiaTheme="minorEastAsia"/>
          <w:color w:val="auto"/>
          <w:w w:val="99"/>
          <w:kern w:val="2"/>
          <w:szCs w:val="20"/>
          <w:highlight w:val="none"/>
          <w:lang w:val="zh-CN"/>
        </w:rPr>
        <w:t>SO</w:t>
      </w:r>
      <w:r>
        <w:rPr>
          <w:rFonts w:ascii="Times New Roman" w:hAnsi="Times New Roman" w:cs="Times New Roman" w:eastAsiaTheme="minorEastAsia"/>
          <w:color w:val="auto"/>
          <w:w w:val="99"/>
          <w:kern w:val="2"/>
          <w:szCs w:val="20"/>
          <w:highlight w:val="none"/>
          <w:vertAlign w:val="subscript"/>
          <w:lang w:val="zh-CN"/>
        </w:rPr>
        <w:t>2</w:t>
      </w:r>
      <w:r>
        <w:rPr>
          <w:rFonts w:ascii="Times New Roman" w:hAnsi="Times New Roman" w:cs="Times New Roman" w:eastAsiaTheme="minorEastAsia"/>
          <w:color w:val="auto"/>
          <w:w w:val="99"/>
          <w:kern w:val="2"/>
          <w:szCs w:val="20"/>
          <w:highlight w:val="none"/>
          <w:lang w:val="zh-CN"/>
        </w:rPr>
        <w:t>、NO</w:t>
      </w:r>
      <w:r>
        <w:rPr>
          <w:rFonts w:ascii="Times New Roman" w:hAnsi="Times New Roman" w:cs="Times New Roman" w:eastAsiaTheme="minorEastAsia"/>
          <w:color w:val="auto"/>
          <w:w w:val="99"/>
          <w:kern w:val="2"/>
          <w:szCs w:val="20"/>
          <w:highlight w:val="none"/>
          <w:vertAlign w:val="subscript"/>
          <w:lang w:val="zh-CN"/>
        </w:rPr>
        <w:t>x</w:t>
      </w:r>
      <w:r>
        <w:rPr>
          <w:rFonts w:ascii="Times New Roman" w:hAnsi="Times New Roman" w:cs="Times New Roman" w:eastAsiaTheme="minorEastAsia"/>
          <w:color w:val="auto"/>
          <w:w w:val="99"/>
          <w:kern w:val="2"/>
          <w:szCs w:val="20"/>
          <w:highlight w:val="none"/>
          <w:lang w:val="zh-CN"/>
        </w:rPr>
        <w:t>、</w:t>
      </w:r>
      <w:r>
        <w:rPr>
          <w:rFonts w:hint="eastAsia" w:ascii="Times New Roman" w:hAnsi="Times New Roman" w:cs="Times New Roman" w:eastAsiaTheme="minorEastAsia"/>
          <w:color w:val="auto"/>
          <w:w w:val="99"/>
          <w:kern w:val="2"/>
          <w:szCs w:val="20"/>
          <w:highlight w:val="none"/>
          <w:lang w:val="en-US" w:eastAsia="zh-CN"/>
        </w:rPr>
        <w:t>颗粒物的排放浓度分别为0mg/m</w:t>
      </w:r>
      <w:r>
        <w:rPr>
          <w:rFonts w:hint="eastAsia" w:ascii="Times New Roman" w:hAnsi="Times New Roman" w:cs="Times New Roman" w:eastAsiaTheme="minorEastAsia"/>
          <w:color w:val="auto"/>
          <w:w w:val="99"/>
          <w:kern w:val="2"/>
          <w:szCs w:val="20"/>
          <w:highlight w:val="none"/>
          <w:vertAlign w:val="superscript"/>
          <w:lang w:val="en-US" w:eastAsia="zh-CN"/>
        </w:rPr>
        <w:t>3</w:t>
      </w:r>
      <w:r>
        <w:rPr>
          <w:rFonts w:hint="eastAsia" w:ascii="Times New Roman" w:hAnsi="Times New Roman" w:cs="Times New Roman" w:eastAsiaTheme="minorEastAsia"/>
          <w:color w:val="auto"/>
          <w:w w:val="99"/>
          <w:kern w:val="2"/>
          <w:szCs w:val="20"/>
          <w:highlight w:val="none"/>
          <w:vertAlign w:val="baseline"/>
          <w:lang w:val="en-US" w:eastAsia="zh-CN"/>
        </w:rPr>
        <w:t>，</w:t>
      </w:r>
      <w:r>
        <w:rPr>
          <w:rFonts w:hint="eastAsia" w:ascii="Times New Roman" w:hAnsi="Times New Roman" w:cs="Times New Roman" w:eastAsiaTheme="minorEastAsia"/>
          <w:color w:val="auto"/>
          <w:w w:val="99"/>
          <w:kern w:val="2"/>
          <w:szCs w:val="20"/>
          <w:highlight w:val="none"/>
          <w:lang w:val="en-US" w:eastAsia="zh-CN"/>
        </w:rPr>
        <w:t>53~61mg/m</w:t>
      </w:r>
      <w:r>
        <w:rPr>
          <w:rFonts w:hint="eastAsia" w:ascii="Times New Roman" w:hAnsi="Times New Roman" w:cs="Times New Roman" w:eastAsiaTheme="minorEastAsia"/>
          <w:color w:val="auto"/>
          <w:w w:val="99"/>
          <w:kern w:val="2"/>
          <w:szCs w:val="20"/>
          <w:highlight w:val="none"/>
          <w:vertAlign w:val="superscript"/>
          <w:lang w:val="en-US" w:eastAsia="zh-CN"/>
        </w:rPr>
        <w:t>3</w:t>
      </w:r>
      <w:r>
        <w:rPr>
          <w:rFonts w:hint="eastAsia" w:ascii="Times New Roman" w:hAnsi="Times New Roman" w:cs="Times New Roman" w:eastAsiaTheme="minorEastAsia"/>
          <w:color w:val="auto"/>
          <w:w w:val="99"/>
          <w:kern w:val="2"/>
          <w:szCs w:val="20"/>
          <w:highlight w:val="none"/>
          <w:vertAlign w:val="baseline"/>
          <w:lang w:val="en-US" w:eastAsia="zh-CN"/>
        </w:rPr>
        <w:t>，6.2~6.7</w:t>
      </w:r>
      <w:r>
        <w:rPr>
          <w:rFonts w:hint="eastAsia" w:ascii="Times New Roman" w:hAnsi="Times New Roman" w:cs="Times New Roman" w:eastAsiaTheme="minorEastAsia"/>
          <w:color w:val="auto"/>
          <w:w w:val="99"/>
          <w:kern w:val="2"/>
          <w:szCs w:val="20"/>
          <w:highlight w:val="none"/>
          <w:lang w:val="en-US" w:eastAsia="zh-CN"/>
        </w:rPr>
        <w:t>mg/m</w:t>
      </w:r>
      <w:r>
        <w:rPr>
          <w:rFonts w:hint="eastAsia" w:ascii="Times New Roman" w:hAnsi="Times New Roman" w:cs="Times New Roman" w:eastAsiaTheme="minorEastAsia"/>
          <w:color w:val="auto"/>
          <w:w w:val="99"/>
          <w:kern w:val="2"/>
          <w:szCs w:val="20"/>
          <w:highlight w:val="none"/>
          <w:vertAlign w:val="superscript"/>
          <w:lang w:val="en-US" w:eastAsia="zh-CN"/>
        </w:rPr>
        <w:t>3</w:t>
      </w:r>
      <w:r>
        <w:rPr>
          <w:rFonts w:hint="eastAsia" w:ascii="Times New Roman" w:hAnsi="Times New Roman" w:cs="Times New Roman" w:eastAsiaTheme="minorEastAsia"/>
          <w:color w:val="auto"/>
          <w:w w:val="99"/>
          <w:kern w:val="2"/>
          <w:szCs w:val="20"/>
          <w:highlight w:val="none"/>
          <w:vertAlign w:val="baseline"/>
          <w:lang w:val="en-US" w:eastAsia="zh-CN"/>
        </w:rPr>
        <w:t>，</w:t>
      </w:r>
      <w:r>
        <w:rPr>
          <w:rFonts w:ascii="Times New Roman" w:hAnsi="Times New Roman" w:cs="Times New Roman" w:eastAsiaTheme="minorEastAsia"/>
          <w:color w:val="auto"/>
          <w:w w:val="99"/>
          <w:kern w:val="2"/>
          <w:szCs w:val="20"/>
          <w:highlight w:val="none"/>
          <w:lang w:val="zh-CN"/>
        </w:rPr>
        <w:t>均</w:t>
      </w:r>
      <w:r>
        <w:rPr>
          <w:rFonts w:ascii="Times New Roman" w:hAnsi="Times New Roman" w:cs="Times New Roman" w:eastAsiaTheme="minorEastAsia"/>
          <w:color w:val="auto"/>
          <w:w w:val="99"/>
          <w:kern w:val="2"/>
          <w:szCs w:val="20"/>
          <w:highlight w:val="none"/>
        </w:rPr>
        <w:t>满足《锅炉大气污染物排放标准》（GB13271-2014）中表2</w:t>
      </w:r>
      <w:r>
        <w:rPr>
          <w:rFonts w:hint="eastAsia" w:ascii="Times New Roman" w:hAnsi="Times New Roman" w:cs="Times New Roman" w:eastAsiaTheme="minorEastAsia"/>
          <w:color w:val="auto"/>
          <w:w w:val="99"/>
          <w:kern w:val="2"/>
          <w:szCs w:val="20"/>
          <w:highlight w:val="none"/>
        </w:rPr>
        <w:t>新建</w:t>
      </w:r>
      <w:r>
        <w:rPr>
          <w:rFonts w:ascii="Times New Roman" w:hAnsi="Times New Roman" w:cs="Times New Roman" w:eastAsiaTheme="minorEastAsia"/>
          <w:color w:val="auto"/>
          <w:w w:val="99"/>
          <w:kern w:val="2"/>
          <w:szCs w:val="20"/>
          <w:highlight w:val="none"/>
        </w:rPr>
        <w:t>燃气锅炉标准，且排气筒高度满足《锅炉大气污染物排放标准》（GB13271-2014）中对燃气锅炉烟囱不低于8m的要求。</w:t>
      </w:r>
    </w:p>
    <w:p w14:paraId="3C7B3560">
      <w:pPr>
        <w:widowControl w:val="0"/>
        <w:spacing w:line="440" w:lineRule="exact"/>
        <w:ind w:firstLine="474" w:firstLineChars="200"/>
        <w:jc w:val="both"/>
        <w:rPr>
          <w:rFonts w:hint="default" w:ascii="Times New Roman" w:hAnsi="Times New Roman" w:cs="Times New Roman"/>
          <w:color w:val="auto"/>
          <w:w w:val="99"/>
          <w:kern w:val="2"/>
          <w:highlight w:val="none"/>
          <w:lang w:val="en-US" w:eastAsia="zh-CN"/>
        </w:rPr>
      </w:pPr>
      <w:r>
        <w:rPr>
          <w:rFonts w:hint="default" w:ascii="Times New Roman" w:hAnsi="Times New Roman" w:cs="Times New Roman"/>
          <w:color w:val="auto"/>
          <w:w w:val="99"/>
          <w:kern w:val="2"/>
          <w:highlight w:val="none"/>
          <w:lang w:val="en-US" w:eastAsia="zh-CN"/>
        </w:rPr>
        <w:t>根据《纳入排污许可管理的火电等17个行业污染物实际排放量计算方法（含排污系数、物料衡算方法）》表B.5中燃气锅炉的废气产排污系数（139854.28m</w:t>
      </w:r>
      <w:r>
        <w:rPr>
          <w:rFonts w:hint="default" w:ascii="Times New Roman" w:hAnsi="Times New Roman" w:cs="Times New Roman"/>
          <w:color w:val="auto"/>
          <w:w w:val="99"/>
          <w:kern w:val="2"/>
          <w:highlight w:val="none"/>
          <w:vertAlign w:val="superscript"/>
          <w:lang w:val="en-US" w:eastAsia="zh-CN"/>
        </w:rPr>
        <w:t>3</w:t>
      </w:r>
      <w:r>
        <w:rPr>
          <w:rFonts w:hint="default" w:ascii="Times New Roman" w:hAnsi="Times New Roman" w:cs="Times New Roman"/>
          <w:color w:val="auto"/>
          <w:w w:val="99"/>
          <w:kern w:val="2"/>
          <w:highlight w:val="none"/>
          <w:lang w:val="en-US" w:eastAsia="zh-CN"/>
        </w:rPr>
        <w:t>/万m</w:t>
      </w:r>
      <w:r>
        <w:rPr>
          <w:rFonts w:hint="default" w:ascii="Times New Roman" w:hAnsi="Times New Roman" w:cs="Times New Roman"/>
          <w:color w:val="auto"/>
          <w:w w:val="99"/>
          <w:kern w:val="2"/>
          <w:highlight w:val="none"/>
          <w:vertAlign w:val="superscript"/>
          <w:lang w:val="en-US" w:eastAsia="zh-CN"/>
        </w:rPr>
        <w:t>3</w:t>
      </w:r>
      <w:r>
        <w:rPr>
          <w:rFonts w:hint="default" w:ascii="Times New Roman" w:hAnsi="Times New Roman" w:cs="Times New Roman"/>
          <w:color w:val="auto"/>
          <w:w w:val="99"/>
          <w:kern w:val="2"/>
          <w:highlight w:val="none"/>
          <w:lang w:val="en-US" w:eastAsia="zh-CN"/>
        </w:rPr>
        <w:t>-原料）</w:t>
      </w:r>
      <w:r>
        <w:rPr>
          <w:rFonts w:hint="eastAsia" w:ascii="Times New Roman" w:hAnsi="Times New Roman" w:cs="Times New Roman"/>
          <w:color w:val="auto"/>
          <w:w w:val="99"/>
          <w:kern w:val="2"/>
          <w:highlight w:val="none"/>
          <w:lang w:val="en-US" w:eastAsia="zh-CN"/>
        </w:rPr>
        <w:t>。根据设计方案，本项目新增耗气量7.07万m</w:t>
      </w:r>
      <w:r>
        <w:rPr>
          <w:rFonts w:hint="eastAsia" w:ascii="Times New Roman" w:hAnsi="Times New Roman" w:cs="Times New Roman"/>
          <w:color w:val="auto"/>
          <w:w w:val="99"/>
          <w:kern w:val="2"/>
          <w:highlight w:val="none"/>
          <w:vertAlign w:val="superscript"/>
          <w:lang w:val="en-US" w:eastAsia="zh-CN"/>
        </w:rPr>
        <w:t>3</w:t>
      </w:r>
      <w:r>
        <w:rPr>
          <w:rFonts w:hint="eastAsia" w:ascii="Times New Roman" w:hAnsi="Times New Roman" w:cs="Times New Roman"/>
          <w:color w:val="auto"/>
          <w:w w:val="99"/>
          <w:kern w:val="2"/>
          <w:highlight w:val="none"/>
          <w:lang w:val="en-US" w:eastAsia="zh-CN"/>
        </w:rPr>
        <w:t>/a，则烟气量约98.88万m</w:t>
      </w:r>
      <w:r>
        <w:rPr>
          <w:rFonts w:hint="eastAsia" w:ascii="Times New Roman" w:hAnsi="Times New Roman" w:cs="Times New Roman"/>
          <w:color w:val="auto"/>
          <w:w w:val="99"/>
          <w:kern w:val="2"/>
          <w:highlight w:val="none"/>
          <w:vertAlign w:val="superscript"/>
          <w:lang w:val="en-US" w:eastAsia="zh-CN"/>
        </w:rPr>
        <w:t>3</w:t>
      </w:r>
      <w:r>
        <w:rPr>
          <w:rFonts w:hint="eastAsia" w:ascii="Times New Roman" w:hAnsi="Times New Roman" w:cs="Times New Roman"/>
          <w:color w:val="auto"/>
          <w:w w:val="99"/>
          <w:kern w:val="2"/>
          <w:highlight w:val="none"/>
          <w:lang w:val="en-US" w:eastAsia="zh-CN"/>
        </w:rPr>
        <w:t>/a。</w:t>
      </w:r>
    </w:p>
    <w:p w14:paraId="5D921465">
      <w:pPr>
        <w:widowControl w:val="0"/>
        <w:spacing w:line="440" w:lineRule="exact"/>
        <w:ind w:firstLine="474" w:firstLineChars="200"/>
        <w:jc w:val="both"/>
        <w:rPr>
          <w:rFonts w:hint="default" w:ascii="Times New Roman" w:hAnsi="Times New Roman" w:cs="Times New Roman"/>
          <w:color w:val="auto"/>
          <w:w w:val="99"/>
          <w:kern w:val="2"/>
          <w:highlight w:val="none"/>
          <w:lang w:val="en-US" w:eastAsia="zh-CN"/>
        </w:rPr>
      </w:pPr>
      <w:r>
        <w:rPr>
          <w:rFonts w:hint="eastAsia" w:ascii="Times New Roman" w:hAnsi="Times New Roman" w:cs="Times New Roman"/>
          <w:color w:val="auto"/>
          <w:w w:val="99"/>
          <w:kern w:val="2"/>
          <w:highlight w:val="none"/>
          <w:lang w:val="en-US" w:eastAsia="zh-CN"/>
        </w:rPr>
        <w:t>本项目</w:t>
      </w:r>
      <w:r>
        <w:rPr>
          <w:rFonts w:hint="default" w:ascii="Times New Roman" w:hAnsi="Times New Roman" w:cs="Times New Roman"/>
          <w:color w:val="auto"/>
          <w:w w:val="99"/>
          <w:kern w:val="2"/>
          <w:highlight w:val="none"/>
          <w:lang w:val="en-US" w:eastAsia="zh-CN"/>
        </w:rPr>
        <w:t>新增加的大气污染物排放情况详见表</w:t>
      </w:r>
      <w:r>
        <w:rPr>
          <w:rFonts w:hint="eastAsia" w:ascii="Times New Roman" w:hAnsi="Times New Roman" w:cs="Times New Roman"/>
          <w:color w:val="auto"/>
          <w:w w:val="99"/>
          <w:kern w:val="2"/>
          <w:highlight w:val="none"/>
          <w:lang w:val="en-US" w:eastAsia="zh-CN"/>
        </w:rPr>
        <w:t>3.10-5</w:t>
      </w:r>
      <w:r>
        <w:rPr>
          <w:rFonts w:hint="default" w:ascii="Times New Roman" w:hAnsi="Times New Roman" w:cs="Times New Roman"/>
          <w:color w:val="auto"/>
          <w:w w:val="99"/>
          <w:kern w:val="2"/>
          <w:highlight w:val="none"/>
          <w:lang w:val="en-US" w:eastAsia="zh-CN"/>
        </w:rPr>
        <w:t>。</w:t>
      </w:r>
    </w:p>
    <w:p w14:paraId="00CFCB4D">
      <w:pPr>
        <w:widowControl w:val="0"/>
        <w:spacing w:line="440" w:lineRule="exact"/>
        <w:ind w:firstLine="476" w:firstLineChars="200"/>
        <w:jc w:val="both"/>
        <w:rPr>
          <w:rFonts w:hint="default" w:ascii="Times New Roman" w:hAnsi="Times New Roman" w:cs="Times New Roman"/>
          <w:b/>
          <w:bCs/>
          <w:color w:val="auto"/>
          <w:w w:val="99"/>
          <w:kern w:val="2"/>
          <w:highlight w:val="none"/>
          <w:lang w:val="en-US" w:eastAsia="zh-CN"/>
        </w:rPr>
      </w:pPr>
      <w:r>
        <w:rPr>
          <w:rFonts w:hint="default" w:ascii="Times New Roman" w:hAnsi="Times New Roman" w:cs="Times New Roman"/>
          <w:b/>
          <w:bCs/>
          <w:color w:val="auto"/>
          <w:w w:val="99"/>
          <w:kern w:val="2"/>
          <w:highlight w:val="none"/>
          <w:lang w:val="en-US" w:eastAsia="zh-CN"/>
        </w:rPr>
        <w:t>表</w:t>
      </w:r>
      <w:r>
        <w:rPr>
          <w:rFonts w:hint="eastAsia" w:ascii="Times New Roman" w:hAnsi="Times New Roman" w:cs="Times New Roman"/>
          <w:b/>
          <w:bCs/>
          <w:color w:val="auto"/>
          <w:w w:val="99"/>
          <w:kern w:val="2"/>
          <w:highlight w:val="none"/>
          <w:lang w:val="en-US" w:eastAsia="zh-CN"/>
        </w:rPr>
        <w:t>3.10</w:t>
      </w:r>
      <w:r>
        <w:rPr>
          <w:rFonts w:hint="default" w:ascii="Times New Roman" w:hAnsi="Times New Roman" w:cs="Times New Roman"/>
          <w:b/>
          <w:bCs/>
          <w:color w:val="auto"/>
          <w:w w:val="99"/>
          <w:kern w:val="2"/>
          <w:highlight w:val="none"/>
          <w:lang w:val="en-US" w:eastAsia="zh-CN"/>
        </w:rPr>
        <w:t>-</w:t>
      </w:r>
      <w:r>
        <w:rPr>
          <w:rFonts w:hint="eastAsia" w:ascii="Times New Roman" w:hAnsi="Times New Roman" w:cs="Times New Roman"/>
          <w:b/>
          <w:bCs/>
          <w:color w:val="auto"/>
          <w:w w:val="99"/>
          <w:kern w:val="2"/>
          <w:highlight w:val="none"/>
          <w:lang w:val="en-US" w:eastAsia="zh-CN"/>
        </w:rPr>
        <w:t xml:space="preserve">5 </w:t>
      </w:r>
      <w:r>
        <w:rPr>
          <w:rFonts w:hint="default" w:ascii="Times New Roman" w:hAnsi="Times New Roman" w:cs="Times New Roman"/>
          <w:b/>
          <w:bCs/>
          <w:color w:val="auto"/>
          <w:w w:val="99"/>
          <w:kern w:val="2"/>
          <w:highlight w:val="none"/>
          <w:lang w:val="en-US" w:eastAsia="zh-CN"/>
        </w:rPr>
        <w:t xml:space="preserve"> </w:t>
      </w:r>
      <w:r>
        <w:rPr>
          <w:rFonts w:hint="eastAsia" w:ascii="Times New Roman" w:hAnsi="Times New Roman" w:cs="Times New Roman"/>
          <w:b/>
          <w:bCs/>
          <w:color w:val="auto"/>
          <w:w w:val="99"/>
          <w:kern w:val="2"/>
          <w:highlight w:val="none"/>
          <w:lang w:val="en-US" w:eastAsia="zh-CN"/>
        </w:rPr>
        <w:t>本项目涉及加热装置大气污染物排放</w:t>
      </w:r>
      <w:r>
        <w:rPr>
          <w:rFonts w:hint="default" w:ascii="Times New Roman" w:hAnsi="Times New Roman" w:cs="Times New Roman"/>
          <w:b/>
          <w:bCs/>
          <w:color w:val="auto"/>
          <w:w w:val="99"/>
          <w:kern w:val="2"/>
          <w:highlight w:val="none"/>
          <w:lang w:val="en-US" w:eastAsia="zh-CN"/>
        </w:rPr>
        <w:t>情况</w:t>
      </w:r>
      <w:r>
        <w:rPr>
          <w:rFonts w:hint="eastAsia" w:ascii="Times New Roman" w:hAnsi="Times New Roman" w:cs="Times New Roman"/>
          <w:b/>
          <w:bCs/>
          <w:color w:val="auto"/>
          <w:w w:val="99"/>
          <w:kern w:val="2"/>
          <w:highlight w:val="none"/>
          <w:lang w:val="en-US" w:eastAsia="zh-CN"/>
        </w:rPr>
        <w:t>（分担量）</w:t>
      </w:r>
    </w:p>
    <w:tbl>
      <w:tblPr>
        <w:tblStyle w:val="1662"/>
        <w:tblW w:w="4823"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637"/>
        <w:gridCol w:w="1253"/>
        <w:gridCol w:w="1283"/>
        <w:gridCol w:w="925"/>
        <w:gridCol w:w="925"/>
        <w:gridCol w:w="1094"/>
        <w:gridCol w:w="777"/>
        <w:gridCol w:w="879"/>
        <w:gridCol w:w="986"/>
      </w:tblGrid>
      <w:tr w14:paraId="304AEAA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PrEx>
        <w:trPr>
          <w:trHeight w:val="20" w:hRule="atLeast"/>
          <w:jc w:val="center"/>
        </w:trPr>
        <w:tc>
          <w:tcPr>
            <w:tcW w:w="363" w:type="pct"/>
            <w:vMerge w:val="restart"/>
            <w:vAlign w:val="center"/>
          </w:tcPr>
          <w:p w14:paraId="15A942EA">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eastAsia"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序号</w:t>
            </w:r>
          </w:p>
        </w:tc>
        <w:tc>
          <w:tcPr>
            <w:tcW w:w="715" w:type="pct"/>
            <w:vMerge w:val="restart"/>
            <w:vAlign w:val="center"/>
          </w:tcPr>
          <w:p w14:paraId="0813E117">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场站</w:t>
            </w:r>
          </w:p>
        </w:tc>
        <w:tc>
          <w:tcPr>
            <w:tcW w:w="732" w:type="pct"/>
            <w:vMerge w:val="restart"/>
            <w:vAlign w:val="center"/>
          </w:tcPr>
          <w:p w14:paraId="3E8AC280">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污染源名称</w:t>
            </w:r>
          </w:p>
        </w:tc>
        <w:tc>
          <w:tcPr>
            <w:tcW w:w="528" w:type="pct"/>
            <w:vMerge w:val="restart"/>
            <w:vAlign w:val="center"/>
          </w:tcPr>
          <w:p w14:paraId="5B59DC15">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烟囱高度</w:t>
            </w:r>
          </w:p>
        </w:tc>
        <w:tc>
          <w:tcPr>
            <w:tcW w:w="528" w:type="pct"/>
            <w:vMerge w:val="restart"/>
            <w:vAlign w:val="center"/>
          </w:tcPr>
          <w:p w14:paraId="54261AF9">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燃气量10</w:t>
            </w:r>
            <w:r>
              <w:rPr>
                <w:rFonts w:hint="eastAsia" w:ascii="Times New Roman" w:hAnsi="Times New Roman" w:cs="Times New Roman"/>
                <w:strike w:val="0"/>
                <w:dstrike w:val="0"/>
                <w:color w:val="auto"/>
                <w:spacing w:val="0"/>
                <w:w w:val="99"/>
                <w:position w:val="0"/>
                <w:sz w:val="21"/>
                <w:szCs w:val="21"/>
                <w:highlight w:val="none"/>
                <w:vertAlign w:val="superscript"/>
                <w:lang w:val="en-US" w:eastAsia="zh-CN" w:bidi="ar-SA"/>
              </w:rPr>
              <w:t>4</w:t>
            </w:r>
            <w:r>
              <w:rPr>
                <w:rFonts w:hint="eastAsia" w:ascii="Times New Roman" w:hAnsi="Times New Roman" w:cs="Times New Roman"/>
                <w:color w:val="auto"/>
                <w:spacing w:val="0"/>
                <w:w w:val="99"/>
                <w:position w:val="0"/>
                <w:sz w:val="21"/>
                <w:szCs w:val="21"/>
                <w:highlight w:val="none"/>
                <w:lang w:val="en-US" w:eastAsia="zh-CN" w:bidi="ar-SA"/>
              </w:rPr>
              <w:t>m</w:t>
            </w:r>
            <w:r>
              <w:rPr>
                <w:rFonts w:hint="eastAsia" w:ascii="Times New Roman" w:hAnsi="Times New Roman" w:cs="Times New Roman"/>
                <w:color w:val="auto"/>
                <w:spacing w:val="0"/>
                <w:w w:val="99"/>
                <w:position w:val="0"/>
                <w:sz w:val="21"/>
                <w:szCs w:val="21"/>
                <w:highlight w:val="none"/>
                <w:vertAlign w:val="superscript"/>
                <w:lang w:val="en-US" w:eastAsia="zh-CN" w:bidi="ar-SA"/>
              </w:rPr>
              <w:t>3</w:t>
            </w:r>
          </w:p>
        </w:tc>
        <w:tc>
          <w:tcPr>
            <w:tcW w:w="624" w:type="pct"/>
            <w:vMerge w:val="restart"/>
            <w:vAlign w:val="center"/>
          </w:tcPr>
          <w:p w14:paraId="7D5874BF">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烟气排放量10</w:t>
            </w:r>
            <w:r>
              <w:rPr>
                <w:rFonts w:hint="eastAsia" w:ascii="Times New Roman" w:hAnsi="Times New Roman" w:cs="Times New Roman"/>
                <w:color w:val="auto"/>
                <w:spacing w:val="0"/>
                <w:w w:val="99"/>
                <w:position w:val="0"/>
                <w:sz w:val="21"/>
                <w:szCs w:val="21"/>
                <w:highlight w:val="none"/>
                <w:vertAlign w:val="superscript"/>
                <w:lang w:val="en-US" w:eastAsia="zh-CN" w:bidi="ar-SA"/>
              </w:rPr>
              <w:t>4</w:t>
            </w:r>
            <w:r>
              <w:rPr>
                <w:rFonts w:hint="eastAsia" w:ascii="Times New Roman" w:hAnsi="Times New Roman" w:cs="Times New Roman"/>
                <w:color w:val="auto"/>
                <w:spacing w:val="0"/>
                <w:w w:val="99"/>
                <w:position w:val="0"/>
                <w:sz w:val="21"/>
                <w:szCs w:val="21"/>
                <w:highlight w:val="none"/>
                <w:lang w:val="en-US" w:eastAsia="zh-CN" w:bidi="ar-SA"/>
              </w:rPr>
              <w:t>m</w:t>
            </w:r>
            <w:r>
              <w:rPr>
                <w:rFonts w:hint="eastAsia" w:ascii="Times New Roman" w:hAnsi="Times New Roman" w:cs="Times New Roman"/>
                <w:color w:val="auto"/>
                <w:spacing w:val="0"/>
                <w:w w:val="99"/>
                <w:position w:val="0"/>
                <w:sz w:val="21"/>
                <w:szCs w:val="21"/>
                <w:highlight w:val="none"/>
                <w:vertAlign w:val="superscript"/>
                <w:lang w:val="en-US" w:eastAsia="zh-CN" w:bidi="ar-SA"/>
              </w:rPr>
              <w:t>3</w:t>
            </w:r>
          </w:p>
        </w:tc>
        <w:tc>
          <w:tcPr>
            <w:tcW w:w="1508" w:type="pct"/>
            <w:gridSpan w:val="3"/>
            <w:vAlign w:val="center"/>
          </w:tcPr>
          <w:p w14:paraId="2581E918">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污染物排放总量</w:t>
            </w:r>
          </w:p>
        </w:tc>
      </w:tr>
      <w:tr w14:paraId="5FB66E8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63" w:type="pct"/>
            <w:vMerge w:val="continue"/>
            <w:vAlign w:val="center"/>
          </w:tcPr>
          <w:p w14:paraId="339DD341">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p>
        </w:tc>
        <w:tc>
          <w:tcPr>
            <w:tcW w:w="715" w:type="pct"/>
            <w:vMerge w:val="continue"/>
            <w:vAlign w:val="center"/>
          </w:tcPr>
          <w:p w14:paraId="756BDE81">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p>
        </w:tc>
        <w:tc>
          <w:tcPr>
            <w:tcW w:w="732" w:type="pct"/>
            <w:vMerge w:val="continue"/>
            <w:vAlign w:val="center"/>
          </w:tcPr>
          <w:p w14:paraId="00095D8A">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p>
        </w:tc>
        <w:tc>
          <w:tcPr>
            <w:tcW w:w="528" w:type="pct"/>
            <w:vMerge w:val="continue"/>
            <w:vAlign w:val="center"/>
          </w:tcPr>
          <w:p w14:paraId="34681EC3">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p>
        </w:tc>
        <w:tc>
          <w:tcPr>
            <w:tcW w:w="528" w:type="pct"/>
            <w:vMerge w:val="continue"/>
            <w:vAlign w:val="center"/>
          </w:tcPr>
          <w:p w14:paraId="759BA9A2">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p>
        </w:tc>
        <w:tc>
          <w:tcPr>
            <w:tcW w:w="624" w:type="pct"/>
            <w:vMerge w:val="continue"/>
            <w:vAlign w:val="center"/>
          </w:tcPr>
          <w:p w14:paraId="34CA26BB">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p>
        </w:tc>
        <w:tc>
          <w:tcPr>
            <w:tcW w:w="456" w:type="pct"/>
            <w:vAlign w:val="center"/>
          </w:tcPr>
          <w:p w14:paraId="0D9103D4">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eastAsia" w:ascii="Times New Roman" w:hAnsi="Times New Roman" w:cs="Times New Roman"/>
                <w:color w:val="auto"/>
                <w:spacing w:val="0"/>
                <w:w w:val="99"/>
                <w:position w:val="0"/>
                <w:sz w:val="21"/>
                <w:szCs w:val="21"/>
                <w:highlight w:val="none"/>
                <w:lang w:val="en-US" w:eastAsia="zh-CN" w:bidi="ar-SA"/>
              </w:rPr>
            </w:pPr>
            <w:r>
              <w:rPr>
                <w:rFonts w:hint="default" w:ascii="Times New Roman" w:hAnsi="Times New Roman" w:cs="Times New Roman"/>
                <w:color w:val="auto"/>
                <w:spacing w:val="0"/>
                <w:w w:val="99"/>
                <w:position w:val="0"/>
                <w:sz w:val="21"/>
                <w:szCs w:val="21"/>
                <w:highlight w:val="none"/>
                <w:lang w:val="en-US" w:eastAsia="zh-CN" w:bidi="ar-SA"/>
              </w:rPr>
              <w:t>SO</w:t>
            </w:r>
            <w:r>
              <w:rPr>
                <w:rFonts w:hint="default" w:ascii="Times New Roman" w:hAnsi="Times New Roman" w:cs="Times New Roman"/>
                <w:color w:val="auto"/>
                <w:spacing w:val="0"/>
                <w:w w:val="99"/>
                <w:position w:val="0"/>
                <w:sz w:val="21"/>
                <w:szCs w:val="21"/>
                <w:highlight w:val="none"/>
                <w:vertAlign w:val="subscript"/>
                <w:lang w:val="en-US" w:eastAsia="zh-CN" w:bidi="ar-SA"/>
              </w:rPr>
              <w:t>2</w:t>
            </w:r>
          </w:p>
        </w:tc>
        <w:tc>
          <w:tcPr>
            <w:tcW w:w="503" w:type="pct"/>
            <w:vAlign w:val="center"/>
          </w:tcPr>
          <w:p w14:paraId="08CD647A">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eastAsia" w:ascii="Times New Roman" w:hAnsi="Times New Roman" w:cs="Times New Roman"/>
                <w:color w:val="auto"/>
                <w:spacing w:val="0"/>
                <w:w w:val="99"/>
                <w:position w:val="0"/>
                <w:sz w:val="21"/>
                <w:szCs w:val="21"/>
                <w:highlight w:val="none"/>
                <w:lang w:val="en-US" w:eastAsia="zh-CN" w:bidi="ar-SA"/>
              </w:rPr>
            </w:pPr>
            <w:r>
              <w:rPr>
                <w:rFonts w:hint="default" w:ascii="Times New Roman" w:hAnsi="Times New Roman" w:cs="Times New Roman"/>
                <w:color w:val="auto"/>
                <w:spacing w:val="0"/>
                <w:w w:val="99"/>
                <w:position w:val="0"/>
                <w:sz w:val="21"/>
                <w:szCs w:val="21"/>
                <w:highlight w:val="none"/>
                <w:lang w:val="en-US" w:eastAsia="zh-CN" w:bidi="ar-SA"/>
              </w:rPr>
              <w:t>NOx</w:t>
            </w:r>
          </w:p>
        </w:tc>
        <w:tc>
          <w:tcPr>
            <w:tcW w:w="548" w:type="pct"/>
            <w:vAlign w:val="center"/>
          </w:tcPr>
          <w:p w14:paraId="775D5EEB">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颗粒物</w:t>
            </w:r>
          </w:p>
        </w:tc>
      </w:tr>
      <w:tr w14:paraId="6CB640C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63" w:type="pct"/>
            <w:vAlign w:val="center"/>
          </w:tcPr>
          <w:p w14:paraId="0E2D4E86">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eastAsia"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1</w:t>
            </w:r>
          </w:p>
        </w:tc>
        <w:tc>
          <w:tcPr>
            <w:tcW w:w="715" w:type="pct"/>
            <w:shd w:val="clear" w:color="auto" w:fill="auto"/>
            <w:vAlign w:val="center"/>
          </w:tcPr>
          <w:p w14:paraId="6E535E91">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徐深27集气站</w:t>
            </w:r>
          </w:p>
        </w:tc>
        <w:tc>
          <w:tcPr>
            <w:tcW w:w="732" w:type="pct"/>
            <w:shd w:val="clear" w:color="auto" w:fill="auto"/>
            <w:vAlign w:val="center"/>
          </w:tcPr>
          <w:p w14:paraId="055610FB">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加热装置</w:t>
            </w:r>
          </w:p>
        </w:tc>
        <w:tc>
          <w:tcPr>
            <w:tcW w:w="528" w:type="pct"/>
            <w:shd w:val="clear" w:color="auto" w:fill="auto"/>
            <w:vAlign w:val="center"/>
          </w:tcPr>
          <w:p w14:paraId="1B5B499D">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eastAsia"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8</w:t>
            </w:r>
          </w:p>
        </w:tc>
        <w:tc>
          <w:tcPr>
            <w:tcW w:w="528" w:type="pct"/>
            <w:shd w:val="clear" w:color="auto" w:fill="auto"/>
            <w:vAlign w:val="center"/>
          </w:tcPr>
          <w:p w14:paraId="5F6E200B">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7.07</w:t>
            </w:r>
          </w:p>
        </w:tc>
        <w:tc>
          <w:tcPr>
            <w:tcW w:w="624" w:type="pct"/>
            <w:shd w:val="clear" w:color="auto" w:fill="auto"/>
            <w:vAlign w:val="center"/>
          </w:tcPr>
          <w:p w14:paraId="7F1DD863">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98.88</w:t>
            </w:r>
          </w:p>
        </w:tc>
        <w:tc>
          <w:tcPr>
            <w:tcW w:w="456" w:type="pct"/>
            <w:shd w:val="clear" w:color="auto" w:fill="auto"/>
            <w:vAlign w:val="center"/>
          </w:tcPr>
          <w:p w14:paraId="2B902E36">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0</w:t>
            </w:r>
          </w:p>
        </w:tc>
        <w:tc>
          <w:tcPr>
            <w:tcW w:w="503" w:type="pct"/>
            <w:shd w:val="clear" w:color="auto" w:fill="auto"/>
            <w:vAlign w:val="center"/>
          </w:tcPr>
          <w:p w14:paraId="13FCF58B">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0.057</w:t>
            </w:r>
          </w:p>
        </w:tc>
        <w:tc>
          <w:tcPr>
            <w:tcW w:w="548" w:type="pct"/>
            <w:shd w:val="clear" w:color="auto" w:fill="auto"/>
            <w:vAlign w:val="center"/>
          </w:tcPr>
          <w:p w14:paraId="4A5EE3CE">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0.006</w:t>
            </w:r>
          </w:p>
        </w:tc>
      </w:tr>
    </w:tbl>
    <w:p w14:paraId="7255615D">
      <w:pPr>
        <w:snapToGrid w:val="0"/>
        <w:spacing w:line="440" w:lineRule="exact"/>
        <w:ind w:firstLine="474" w:firstLineChars="200"/>
        <w:jc w:val="both"/>
        <w:rPr>
          <w:rFonts w:hint="default" w:ascii="Times New Roman" w:hAnsi="Times New Roman" w:cs="Times New Roman"/>
          <w:color w:val="auto"/>
          <w:w w:val="99"/>
          <w:kern w:val="2"/>
          <w:highlight w:val="none"/>
        </w:rPr>
      </w:pPr>
      <w:r>
        <w:rPr>
          <w:rFonts w:hint="default" w:ascii="Times New Roman" w:hAnsi="Times New Roman" w:cs="Times New Roman"/>
          <w:color w:val="auto"/>
          <w:w w:val="99"/>
          <w:kern w:val="2"/>
          <w:highlight w:val="none"/>
          <w:lang w:val="en-US" w:eastAsia="zh-CN"/>
        </w:rPr>
        <w:t>3）</w:t>
      </w:r>
      <w:r>
        <w:rPr>
          <w:rFonts w:hint="default" w:ascii="Times New Roman" w:hAnsi="Times New Roman" w:cs="Times New Roman"/>
          <w:color w:val="auto"/>
          <w:w w:val="99"/>
          <w:kern w:val="2"/>
          <w:highlight w:val="none"/>
        </w:rPr>
        <w:t>温室气体</w:t>
      </w:r>
    </w:p>
    <w:p w14:paraId="5085165C">
      <w:pPr>
        <w:snapToGrid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本项目温室气体排放涉及到运营期新建井场到</w:t>
      </w:r>
      <w:r>
        <w:rPr>
          <w:rFonts w:hint="eastAsia" w:ascii="Times New Roman" w:hAnsi="Times New Roman" w:cs="Times New Roman"/>
          <w:color w:val="auto"/>
          <w:w w:val="99"/>
          <w:kern w:val="2"/>
          <w:highlight w:val="none"/>
          <w:lang w:val="en-US" w:eastAsia="zh-CN"/>
        </w:rPr>
        <w:t>集气站</w:t>
      </w:r>
      <w:r>
        <w:rPr>
          <w:rFonts w:ascii="Times New Roman" w:hAnsi="Times New Roman" w:cs="Times New Roman"/>
          <w:color w:val="auto"/>
          <w:w w:val="99"/>
          <w:kern w:val="2"/>
          <w:highlight w:val="none"/>
        </w:rPr>
        <w:t>等运输处理环节，逸散排放主要为井口装置、接转站以及</w:t>
      </w:r>
      <w:r>
        <w:rPr>
          <w:rFonts w:hint="eastAsia" w:ascii="Times New Roman" w:hAnsi="Times New Roman" w:cs="Times New Roman"/>
          <w:color w:val="auto"/>
          <w:w w:val="99"/>
          <w:kern w:val="2"/>
          <w:highlight w:val="none"/>
          <w:lang w:val="en-US" w:eastAsia="zh-CN"/>
        </w:rPr>
        <w:t>天然气</w:t>
      </w:r>
      <w:r>
        <w:rPr>
          <w:rFonts w:ascii="Times New Roman" w:hAnsi="Times New Roman" w:cs="Times New Roman"/>
          <w:color w:val="auto"/>
          <w:w w:val="99"/>
          <w:kern w:val="2"/>
          <w:highlight w:val="none"/>
        </w:rPr>
        <w:t>输送管道，产生的温室气体主要为油田伴生气中含有的甲烷，本项目产生的烃类气体与甲烷协同控制，采取在井口装置安装密封垫，</w:t>
      </w:r>
      <w:r>
        <w:rPr>
          <w:rFonts w:hint="eastAsia" w:ascii="Times New Roman" w:hAnsi="Times New Roman" w:cs="Times New Roman"/>
          <w:color w:val="auto"/>
          <w:w w:val="99"/>
          <w:kern w:val="2"/>
          <w:highlight w:val="none"/>
          <w:lang w:val="en-US" w:eastAsia="zh-CN"/>
        </w:rPr>
        <w:t>天然气</w:t>
      </w:r>
      <w:r>
        <w:rPr>
          <w:rFonts w:ascii="Times New Roman" w:hAnsi="Times New Roman" w:cs="Times New Roman"/>
          <w:color w:val="auto"/>
          <w:w w:val="99"/>
          <w:kern w:val="2"/>
          <w:highlight w:val="none"/>
        </w:rPr>
        <w:t>集输采用密闭管道集输流程，最大限度减少温室气体的逸散。黑龙江省不属于大气污染重点管控区域，因此，不做定量分析。</w:t>
      </w:r>
    </w:p>
    <w:p w14:paraId="1CB79EB7">
      <w:pPr>
        <w:snapToGrid w:val="0"/>
        <w:spacing w:line="440" w:lineRule="exact"/>
        <w:ind w:firstLine="474" w:firstLineChars="200"/>
        <w:jc w:val="both"/>
        <w:rPr>
          <w:rFonts w:ascii="Times New Roman" w:hAnsi="Times New Roman" w:cs="Times New Roman"/>
          <w:color w:val="auto"/>
          <w:w w:val="99"/>
          <w:kern w:val="2"/>
          <w:highlight w:val="none"/>
        </w:rPr>
      </w:pPr>
      <w:r>
        <w:rPr>
          <w:rFonts w:hint="eastAsia" w:ascii="Times New Roman" w:hAnsi="Times New Roman" w:cs="Times New Roman"/>
          <w:color w:val="auto"/>
          <w:w w:val="99"/>
          <w:kern w:val="2"/>
          <w:highlight w:val="none"/>
          <w:lang w:val="en-US" w:eastAsia="zh-CN"/>
        </w:rPr>
        <w:t>②</w:t>
      </w:r>
      <w:r>
        <w:rPr>
          <w:rFonts w:ascii="Times New Roman" w:hAnsi="Times New Roman" w:cs="Times New Roman"/>
          <w:color w:val="auto"/>
          <w:w w:val="99"/>
          <w:kern w:val="2"/>
          <w:highlight w:val="none"/>
        </w:rPr>
        <w:t>废水</w:t>
      </w:r>
    </w:p>
    <w:p w14:paraId="4B509D69">
      <w:pPr>
        <w:snapToGrid w:val="0"/>
        <w:spacing w:line="440" w:lineRule="exact"/>
        <w:ind w:firstLine="474" w:firstLineChars="200"/>
        <w:jc w:val="both"/>
        <w:rPr>
          <w:rFonts w:ascii="Times New Roman" w:hAnsi="Times New Roman" w:eastAsia="宋体" w:cs="Times New Roman"/>
          <w:color w:val="auto"/>
          <w:w w:val="99"/>
          <w:kern w:val="2"/>
          <w:highlight w:val="none"/>
        </w:rPr>
      </w:pPr>
      <w:r>
        <w:rPr>
          <w:rFonts w:ascii="Times New Roman" w:hAnsi="Times New Roman" w:eastAsia="宋体" w:cs="Times New Roman"/>
          <w:color w:val="auto"/>
          <w:w w:val="99"/>
          <w:kern w:val="2"/>
          <w:highlight w:val="none"/>
        </w:rPr>
        <w:t>本工程运行期废水主要为气田采出水，根据产能开发方案，本项目气田采出水最大产生量为</w:t>
      </w:r>
      <w:r>
        <w:rPr>
          <w:rFonts w:hint="eastAsia" w:ascii="Times New Roman" w:hAnsi="Times New Roman" w:cs="Times New Roman"/>
          <w:color w:val="auto"/>
          <w:w w:val="99"/>
          <w:kern w:val="2"/>
          <w:highlight w:val="none"/>
          <w:lang w:val="en-US" w:eastAsia="zh-CN"/>
        </w:rPr>
        <w:t>3.0</w:t>
      </w:r>
      <w:r>
        <w:rPr>
          <w:rFonts w:ascii="Times New Roman" w:hAnsi="Times New Roman" w:eastAsia="宋体" w:cs="Times New Roman"/>
          <w:color w:val="auto"/>
          <w:w w:val="99"/>
          <w:kern w:val="2"/>
          <w:highlight w:val="none"/>
        </w:rPr>
        <w:t>m</w:t>
      </w:r>
      <w:r>
        <w:rPr>
          <w:rFonts w:ascii="Times New Roman" w:hAnsi="Times New Roman" w:eastAsia="宋体" w:cs="Times New Roman"/>
          <w:color w:val="auto"/>
          <w:w w:val="99"/>
          <w:kern w:val="2"/>
          <w:highlight w:val="none"/>
          <w:vertAlign w:val="superscript"/>
        </w:rPr>
        <w:t>3</w:t>
      </w:r>
      <w:r>
        <w:rPr>
          <w:rFonts w:ascii="Times New Roman" w:hAnsi="Times New Roman" w:eastAsia="宋体" w:cs="Times New Roman"/>
          <w:color w:val="auto"/>
          <w:w w:val="99"/>
          <w:kern w:val="2"/>
          <w:highlight w:val="none"/>
        </w:rPr>
        <w:t>/d，一年按365天计算，则产生废水</w:t>
      </w:r>
      <w:r>
        <w:rPr>
          <w:rFonts w:hint="eastAsia" w:ascii="Times New Roman" w:hAnsi="Times New Roman" w:cs="Times New Roman"/>
          <w:color w:val="auto"/>
          <w:w w:val="99"/>
          <w:kern w:val="2"/>
          <w:highlight w:val="none"/>
          <w:lang w:val="en-US" w:eastAsia="zh-CN"/>
        </w:rPr>
        <w:t>1095</w:t>
      </w:r>
      <w:r>
        <w:rPr>
          <w:rFonts w:ascii="Times New Roman" w:hAnsi="Times New Roman" w:eastAsia="宋体" w:cs="Times New Roman"/>
          <w:color w:val="auto"/>
          <w:w w:val="99"/>
          <w:kern w:val="2"/>
          <w:highlight w:val="none"/>
        </w:rPr>
        <w:t>m</w:t>
      </w:r>
      <w:r>
        <w:rPr>
          <w:rFonts w:ascii="Times New Roman" w:hAnsi="Times New Roman" w:eastAsia="宋体" w:cs="Times New Roman"/>
          <w:color w:val="auto"/>
          <w:w w:val="99"/>
          <w:kern w:val="2"/>
          <w:highlight w:val="none"/>
          <w:vertAlign w:val="superscript"/>
        </w:rPr>
        <w:t>3</w:t>
      </w:r>
      <w:r>
        <w:rPr>
          <w:rFonts w:ascii="Times New Roman" w:hAnsi="Times New Roman" w:eastAsia="宋体" w:cs="Times New Roman"/>
          <w:color w:val="auto"/>
          <w:w w:val="99"/>
          <w:kern w:val="2"/>
          <w:highlight w:val="none"/>
        </w:rPr>
        <w:t>/a。气田采出水暂存于</w:t>
      </w:r>
      <w:r>
        <w:rPr>
          <w:rFonts w:hint="eastAsia" w:ascii="Times New Roman" w:hAnsi="Times New Roman" w:cs="Times New Roman"/>
          <w:color w:val="auto"/>
          <w:w w:val="99"/>
          <w:kern w:val="2"/>
          <w:highlight w:val="none"/>
          <w:lang w:val="en-US" w:eastAsia="zh-CN"/>
        </w:rPr>
        <w:t>徐深27</w:t>
      </w:r>
      <w:r>
        <w:rPr>
          <w:rFonts w:ascii="Times New Roman" w:hAnsi="Times New Roman" w:eastAsia="宋体" w:cs="Times New Roman"/>
          <w:color w:val="auto"/>
          <w:w w:val="99"/>
          <w:kern w:val="2"/>
          <w:highlight w:val="none"/>
        </w:rPr>
        <w:t>集气站污水储罐，再定期通过外输泵升压外输至气田采出水集输管网，并统一外输至升一联气田污水预处理站处理满足《大庆油田地面工程建设设计规定》（Q/SYDQ 0639-2015）限值“含油量≤10mg/L、悬浮固体含量≤5mg/L、粒径中值≤2μm”后回注地下。</w:t>
      </w:r>
    </w:p>
    <w:p w14:paraId="31A61E59">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hint="eastAsia" w:ascii="Times New Roman" w:hAnsi="Times New Roman" w:cs="Times New Roman"/>
          <w:color w:val="auto"/>
          <w:w w:val="99"/>
          <w:kern w:val="2"/>
          <w:szCs w:val="20"/>
          <w:highlight w:val="none"/>
          <w:lang w:val="en-US" w:eastAsia="zh-CN"/>
        </w:rPr>
        <w:t>③</w:t>
      </w:r>
      <w:r>
        <w:rPr>
          <w:rFonts w:ascii="Times New Roman" w:hAnsi="Times New Roman" w:cs="Times New Roman"/>
          <w:color w:val="auto"/>
          <w:w w:val="99"/>
          <w:kern w:val="2"/>
          <w:szCs w:val="20"/>
          <w:highlight w:val="none"/>
        </w:rPr>
        <w:t>噪声</w:t>
      </w:r>
    </w:p>
    <w:p w14:paraId="7D9447DC">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ascii="Times New Roman" w:hAnsi="Times New Roman" w:eastAsia="宋体" w:cs="Times New Roman"/>
          <w:color w:val="auto"/>
          <w:w w:val="99"/>
          <w:kern w:val="2"/>
          <w:highlight w:val="none"/>
        </w:rPr>
      </w:pPr>
      <w:r>
        <w:rPr>
          <w:rFonts w:ascii="Times New Roman" w:hAnsi="Times New Roman" w:eastAsia="宋体" w:cs="Times New Roman"/>
          <w:color w:val="auto"/>
          <w:w w:val="99"/>
          <w:kern w:val="2"/>
          <w:highlight w:val="none"/>
        </w:rPr>
        <w:t xml:space="preserve">本项目噪声源主要为井场放空。主要噪声源强见表 </w:t>
      </w:r>
      <w:r>
        <w:rPr>
          <w:rFonts w:hint="eastAsia" w:ascii="Times New Roman" w:hAnsi="Times New Roman" w:cs="Times New Roman"/>
          <w:color w:val="auto"/>
          <w:w w:val="99"/>
          <w:kern w:val="2"/>
          <w:highlight w:val="none"/>
          <w:lang w:eastAsia="zh-CN"/>
        </w:rPr>
        <w:t>3.1</w:t>
      </w:r>
      <w:r>
        <w:rPr>
          <w:rFonts w:hint="eastAsia" w:ascii="Times New Roman" w:hAnsi="Times New Roman" w:cs="Times New Roman"/>
          <w:color w:val="auto"/>
          <w:w w:val="99"/>
          <w:kern w:val="2"/>
          <w:highlight w:val="none"/>
          <w:lang w:val="en-US" w:eastAsia="zh-CN"/>
        </w:rPr>
        <w:t>0</w:t>
      </w:r>
      <w:r>
        <w:rPr>
          <w:rFonts w:ascii="Times New Roman" w:hAnsi="Times New Roman" w:eastAsia="宋体" w:cs="Times New Roman"/>
          <w:color w:val="auto"/>
          <w:w w:val="99"/>
          <w:kern w:val="2"/>
          <w:highlight w:val="none"/>
        </w:rPr>
        <w:t>-</w:t>
      </w:r>
      <w:r>
        <w:rPr>
          <w:rFonts w:hint="eastAsia" w:ascii="Times New Roman" w:hAnsi="Times New Roman" w:cs="Times New Roman"/>
          <w:color w:val="auto"/>
          <w:w w:val="99"/>
          <w:kern w:val="2"/>
          <w:highlight w:val="none"/>
          <w:lang w:val="en-US" w:eastAsia="zh-CN"/>
        </w:rPr>
        <w:t>6</w:t>
      </w:r>
      <w:r>
        <w:rPr>
          <w:rFonts w:ascii="Times New Roman" w:hAnsi="Times New Roman" w:eastAsia="宋体" w:cs="Times New Roman"/>
          <w:color w:val="auto"/>
          <w:w w:val="99"/>
          <w:kern w:val="2"/>
          <w:highlight w:val="none"/>
        </w:rPr>
        <w:t>。</w:t>
      </w:r>
    </w:p>
    <w:p w14:paraId="6C43BA9F">
      <w:pPr>
        <w:pStyle w:val="2"/>
        <w:keepNext w:val="0"/>
        <w:keepLines w:val="0"/>
        <w:pageBreakBefore w:val="0"/>
        <w:widowControl/>
        <w:kinsoku/>
        <w:wordWrap/>
        <w:overflowPunct/>
        <w:topLinePunct w:val="0"/>
        <w:autoSpaceDE/>
        <w:autoSpaceDN/>
        <w:bidi w:val="0"/>
        <w:adjustRightInd/>
        <w:spacing w:before="1" w:line="440" w:lineRule="exact"/>
        <w:ind w:firstLine="476" w:firstLineChars="200"/>
        <w:textAlignment w:val="auto"/>
        <w:rPr>
          <w:rFonts w:ascii="Times New Roman" w:hAnsi="Times New Roman" w:eastAsia="宋体" w:cs="Times New Roman"/>
          <w:b/>
          <w:bCs/>
          <w:color w:val="auto"/>
          <w:w w:val="99"/>
          <w:kern w:val="2"/>
          <w:sz w:val="24"/>
          <w:szCs w:val="24"/>
          <w:highlight w:val="none"/>
          <w:lang w:val="en-US" w:eastAsia="zh-CN" w:bidi="ar-SA"/>
        </w:rPr>
      </w:pPr>
      <w:r>
        <w:rPr>
          <w:rFonts w:ascii="Times New Roman" w:hAnsi="Times New Roman" w:eastAsia="宋体" w:cs="Times New Roman"/>
          <w:b/>
          <w:bCs/>
          <w:color w:val="auto"/>
          <w:w w:val="99"/>
          <w:kern w:val="2"/>
          <w:sz w:val="24"/>
          <w:szCs w:val="24"/>
          <w:highlight w:val="none"/>
          <w:lang w:val="en-US" w:eastAsia="zh-CN" w:bidi="ar-SA"/>
        </w:rPr>
        <w:t xml:space="preserve">表 </w:t>
      </w:r>
      <w:r>
        <w:rPr>
          <w:rFonts w:hint="eastAsia" w:ascii="Times New Roman" w:hAnsi="Times New Roman" w:cs="Times New Roman"/>
          <w:b/>
          <w:bCs/>
          <w:color w:val="auto"/>
          <w:w w:val="99"/>
          <w:kern w:val="2"/>
          <w:sz w:val="24"/>
          <w:szCs w:val="24"/>
          <w:highlight w:val="none"/>
          <w:lang w:val="en-US" w:eastAsia="zh-CN" w:bidi="ar-SA"/>
        </w:rPr>
        <w:t>3.10</w:t>
      </w:r>
      <w:r>
        <w:rPr>
          <w:rFonts w:ascii="Times New Roman" w:hAnsi="Times New Roman" w:eastAsia="宋体" w:cs="Times New Roman"/>
          <w:b/>
          <w:bCs/>
          <w:color w:val="auto"/>
          <w:w w:val="99"/>
          <w:kern w:val="2"/>
          <w:sz w:val="24"/>
          <w:szCs w:val="24"/>
          <w:highlight w:val="none"/>
          <w:lang w:val="en-US" w:eastAsia="zh-CN" w:bidi="ar-SA"/>
        </w:rPr>
        <w:t>-</w:t>
      </w:r>
      <w:r>
        <w:rPr>
          <w:rFonts w:hint="eastAsia" w:ascii="Times New Roman" w:hAnsi="Times New Roman" w:cs="Times New Roman"/>
          <w:b/>
          <w:bCs/>
          <w:color w:val="auto"/>
          <w:w w:val="99"/>
          <w:kern w:val="2"/>
          <w:sz w:val="24"/>
          <w:szCs w:val="24"/>
          <w:highlight w:val="none"/>
          <w:lang w:val="en-US" w:eastAsia="zh-CN" w:bidi="ar-SA"/>
        </w:rPr>
        <w:t>6</w:t>
      </w:r>
      <w:r>
        <w:rPr>
          <w:rFonts w:ascii="Times New Roman" w:hAnsi="Times New Roman" w:eastAsia="宋体" w:cs="Times New Roman"/>
          <w:b/>
          <w:bCs/>
          <w:color w:val="auto"/>
          <w:w w:val="99"/>
          <w:kern w:val="2"/>
          <w:sz w:val="24"/>
          <w:szCs w:val="24"/>
          <w:highlight w:val="none"/>
          <w:lang w:val="en-US" w:eastAsia="zh-CN" w:bidi="ar-SA"/>
        </w:rPr>
        <w:t xml:space="preserve">  运行期站场主要噪声源强</w:t>
      </w:r>
    </w:p>
    <w:p w14:paraId="66746D8F">
      <w:pPr>
        <w:spacing w:line="77" w:lineRule="exact"/>
        <w:rPr>
          <w:color w:val="auto"/>
          <w:highlight w:val="none"/>
        </w:rPr>
      </w:pPr>
    </w:p>
    <w:tbl>
      <w:tblPr>
        <w:tblStyle w:val="1662"/>
        <w:tblW w:w="500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1"/>
        <w:gridCol w:w="1809"/>
        <w:gridCol w:w="2241"/>
        <w:gridCol w:w="2441"/>
        <w:gridCol w:w="1903"/>
      </w:tblGrid>
      <w:tr w14:paraId="0983E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0" w:type="pct"/>
            <w:tcBorders>
              <w:top w:val="single" w:color="auto" w:sz="4" w:space="0"/>
              <w:left w:val="single" w:color="auto" w:sz="4" w:space="0"/>
            </w:tcBorders>
            <w:vAlign w:val="center"/>
          </w:tcPr>
          <w:p w14:paraId="71A27A2F">
            <w:pPr>
              <w:pStyle w:val="2857"/>
              <w:keepNext w:val="0"/>
              <w:keepLines w:val="0"/>
              <w:pageBreakBefore w:val="0"/>
              <w:widowControl w:val="0"/>
              <w:kinsoku/>
              <w:wordWrap/>
              <w:overflowPunct/>
              <w:topLinePunct w:val="0"/>
              <w:autoSpaceDE/>
              <w:autoSpaceDN/>
              <w:bidi w:val="0"/>
              <w:adjustRightInd/>
              <w:snapToGrid/>
              <w:spacing w:line="360" w:lineRule="exact"/>
              <w:ind w:left="129"/>
              <w:jc w:val="center"/>
              <w:textAlignment w:val="auto"/>
              <w:rPr>
                <w:rFonts w:ascii="Times New Roman" w:hAnsi="Times New Roman" w:cs="Times New Roman" w:eastAsiaTheme="minorEastAsia"/>
                <w:snapToGrid w:val="0"/>
                <w:color w:val="auto"/>
                <w:w w:val="99"/>
                <w:sz w:val="21"/>
                <w:szCs w:val="21"/>
                <w:highlight w:val="none"/>
                <w:lang w:val="en-US" w:eastAsia="zh-CN" w:bidi="ar-SA"/>
              </w:rPr>
            </w:pPr>
            <w:r>
              <w:rPr>
                <w:rFonts w:ascii="Times New Roman" w:hAnsi="Times New Roman" w:cs="Times New Roman" w:eastAsiaTheme="minorEastAsia"/>
                <w:snapToGrid w:val="0"/>
                <w:color w:val="auto"/>
                <w:w w:val="99"/>
                <w:sz w:val="21"/>
                <w:szCs w:val="21"/>
                <w:highlight w:val="none"/>
                <w:lang w:val="en-US" w:eastAsia="zh-CN" w:bidi="ar-SA"/>
              </w:rPr>
              <w:t>序号</w:t>
            </w:r>
          </w:p>
        </w:tc>
        <w:tc>
          <w:tcPr>
            <w:tcW w:w="995" w:type="pct"/>
            <w:tcBorders>
              <w:top w:val="single" w:color="auto" w:sz="4" w:space="0"/>
            </w:tcBorders>
            <w:vAlign w:val="center"/>
          </w:tcPr>
          <w:p w14:paraId="3582E3EE">
            <w:pPr>
              <w:pStyle w:val="2857"/>
              <w:keepNext w:val="0"/>
              <w:keepLines w:val="0"/>
              <w:pageBreakBefore w:val="0"/>
              <w:widowControl w:val="0"/>
              <w:kinsoku/>
              <w:wordWrap/>
              <w:overflowPunct/>
              <w:topLinePunct w:val="0"/>
              <w:autoSpaceDE/>
              <w:autoSpaceDN/>
              <w:bidi w:val="0"/>
              <w:adjustRightInd/>
              <w:snapToGrid/>
              <w:spacing w:line="360" w:lineRule="exact"/>
              <w:ind w:left="644"/>
              <w:jc w:val="both"/>
              <w:textAlignment w:val="auto"/>
              <w:rPr>
                <w:rFonts w:ascii="Times New Roman" w:hAnsi="Times New Roman" w:cs="Times New Roman" w:eastAsiaTheme="minorEastAsia"/>
                <w:snapToGrid w:val="0"/>
                <w:color w:val="auto"/>
                <w:w w:val="99"/>
                <w:sz w:val="21"/>
                <w:szCs w:val="21"/>
                <w:highlight w:val="none"/>
                <w:lang w:val="en-US" w:eastAsia="zh-CN" w:bidi="ar-SA"/>
              </w:rPr>
            </w:pPr>
            <w:r>
              <w:rPr>
                <w:rFonts w:ascii="Times New Roman" w:hAnsi="Times New Roman" w:cs="Times New Roman" w:eastAsiaTheme="minorEastAsia"/>
                <w:snapToGrid w:val="0"/>
                <w:color w:val="auto"/>
                <w:w w:val="99"/>
                <w:sz w:val="21"/>
                <w:szCs w:val="21"/>
                <w:highlight w:val="none"/>
                <w:lang w:val="en-US" w:eastAsia="zh-CN" w:bidi="ar-SA"/>
              </w:rPr>
              <w:t>位置</w:t>
            </w:r>
          </w:p>
        </w:tc>
        <w:tc>
          <w:tcPr>
            <w:tcW w:w="1233" w:type="pct"/>
            <w:tcBorders>
              <w:top w:val="single" w:color="auto" w:sz="4" w:space="0"/>
            </w:tcBorders>
            <w:vAlign w:val="center"/>
          </w:tcPr>
          <w:p w14:paraId="22D31561">
            <w:pPr>
              <w:pStyle w:val="2857"/>
              <w:keepNext w:val="0"/>
              <w:keepLines w:val="0"/>
              <w:pageBreakBefore w:val="0"/>
              <w:widowControl w:val="0"/>
              <w:kinsoku/>
              <w:wordWrap/>
              <w:overflowPunct/>
              <w:topLinePunct w:val="0"/>
              <w:autoSpaceDE/>
              <w:autoSpaceDN/>
              <w:bidi w:val="0"/>
              <w:adjustRightInd/>
              <w:snapToGrid/>
              <w:spacing w:line="360" w:lineRule="exact"/>
              <w:ind w:left="640"/>
              <w:jc w:val="both"/>
              <w:textAlignment w:val="auto"/>
              <w:rPr>
                <w:rFonts w:ascii="Times New Roman" w:hAnsi="Times New Roman" w:cs="Times New Roman" w:eastAsiaTheme="minorEastAsia"/>
                <w:snapToGrid w:val="0"/>
                <w:color w:val="auto"/>
                <w:w w:val="99"/>
                <w:sz w:val="21"/>
                <w:szCs w:val="21"/>
                <w:highlight w:val="none"/>
                <w:lang w:val="en-US" w:eastAsia="zh-CN" w:bidi="ar-SA"/>
              </w:rPr>
            </w:pPr>
            <w:r>
              <w:rPr>
                <w:rFonts w:ascii="Times New Roman" w:hAnsi="Times New Roman" w:cs="Times New Roman" w:eastAsiaTheme="minorEastAsia"/>
                <w:snapToGrid w:val="0"/>
                <w:color w:val="auto"/>
                <w:w w:val="99"/>
                <w:sz w:val="21"/>
                <w:szCs w:val="21"/>
                <w:highlight w:val="none"/>
                <w:lang w:val="en-US" w:eastAsia="zh-CN" w:bidi="ar-SA"/>
              </w:rPr>
              <w:t>设备名称</w:t>
            </w:r>
          </w:p>
        </w:tc>
        <w:tc>
          <w:tcPr>
            <w:tcW w:w="1343" w:type="pct"/>
            <w:tcBorders>
              <w:top w:val="single" w:color="auto" w:sz="4" w:space="0"/>
            </w:tcBorders>
            <w:vAlign w:val="center"/>
          </w:tcPr>
          <w:p w14:paraId="5F9AA5E6">
            <w:pPr>
              <w:pStyle w:val="2857"/>
              <w:keepNext w:val="0"/>
              <w:keepLines w:val="0"/>
              <w:pageBreakBefore w:val="0"/>
              <w:widowControl w:val="0"/>
              <w:kinsoku/>
              <w:wordWrap/>
              <w:overflowPunct/>
              <w:topLinePunct w:val="0"/>
              <w:autoSpaceDE/>
              <w:autoSpaceDN/>
              <w:bidi w:val="0"/>
              <w:adjustRightInd/>
              <w:snapToGrid/>
              <w:spacing w:line="360" w:lineRule="exact"/>
              <w:ind w:left="124"/>
              <w:jc w:val="center"/>
              <w:textAlignment w:val="auto"/>
              <w:rPr>
                <w:rFonts w:ascii="Times New Roman" w:hAnsi="Times New Roman" w:cs="Times New Roman" w:eastAsiaTheme="minorEastAsia"/>
                <w:snapToGrid w:val="0"/>
                <w:color w:val="auto"/>
                <w:w w:val="99"/>
                <w:sz w:val="21"/>
                <w:szCs w:val="21"/>
                <w:highlight w:val="none"/>
                <w:lang w:val="en-US" w:eastAsia="zh-CN" w:bidi="ar-SA"/>
              </w:rPr>
            </w:pPr>
            <w:r>
              <w:rPr>
                <w:rFonts w:ascii="Times New Roman" w:hAnsi="Times New Roman" w:cs="Times New Roman" w:eastAsiaTheme="minorEastAsia"/>
                <w:snapToGrid w:val="0"/>
                <w:color w:val="auto"/>
                <w:w w:val="99"/>
                <w:sz w:val="21"/>
                <w:szCs w:val="21"/>
                <w:highlight w:val="none"/>
                <w:lang w:val="en-US" w:eastAsia="zh-CN" w:bidi="ar-SA"/>
              </w:rPr>
              <w:t>噪声强度范围（dB(A))</w:t>
            </w:r>
          </w:p>
        </w:tc>
        <w:tc>
          <w:tcPr>
            <w:tcW w:w="1047" w:type="pct"/>
            <w:tcBorders>
              <w:top w:val="single" w:color="auto" w:sz="4" w:space="0"/>
              <w:right w:val="single" w:color="auto" w:sz="4" w:space="0"/>
            </w:tcBorders>
            <w:vAlign w:val="center"/>
          </w:tcPr>
          <w:p w14:paraId="350F5C6C">
            <w:pPr>
              <w:pStyle w:val="2857"/>
              <w:keepNext w:val="0"/>
              <w:keepLines w:val="0"/>
              <w:pageBreakBefore w:val="0"/>
              <w:widowControl w:val="0"/>
              <w:kinsoku/>
              <w:wordWrap/>
              <w:overflowPunct/>
              <w:topLinePunct w:val="0"/>
              <w:autoSpaceDE/>
              <w:autoSpaceDN/>
              <w:bidi w:val="0"/>
              <w:adjustRightInd/>
              <w:snapToGrid/>
              <w:spacing w:line="360" w:lineRule="exact"/>
              <w:ind w:left="693"/>
              <w:jc w:val="both"/>
              <w:textAlignment w:val="auto"/>
              <w:rPr>
                <w:rFonts w:ascii="Times New Roman" w:hAnsi="Times New Roman" w:cs="Times New Roman" w:eastAsiaTheme="minorEastAsia"/>
                <w:snapToGrid w:val="0"/>
                <w:color w:val="auto"/>
                <w:w w:val="99"/>
                <w:sz w:val="21"/>
                <w:szCs w:val="21"/>
                <w:highlight w:val="none"/>
                <w:lang w:val="en-US" w:eastAsia="zh-CN" w:bidi="ar-SA"/>
              </w:rPr>
            </w:pPr>
            <w:r>
              <w:rPr>
                <w:rFonts w:ascii="Times New Roman" w:hAnsi="Times New Roman" w:cs="Times New Roman" w:eastAsiaTheme="minorEastAsia"/>
                <w:snapToGrid w:val="0"/>
                <w:color w:val="auto"/>
                <w:w w:val="99"/>
                <w:sz w:val="21"/>
                <w:szCs w:val="21"/>
                <w:highlight w:val="none"/>
                <w:lang w:val="en-US" w:eastAsia="zh-CN" w:bidi="ar-SA"/>
              </w:rPr>
              <w:t>备注</w:t>
            </w:r>
          </w:p>
        </w:tc>
      </w:tr>
      <w:tr w14:paraId="30208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0" w:type="pct"/>
            <w:tcBorders>
              <w:left w:val="single" w:color="auto" w:sz="4" w:space="0"/>
              <w:bottom w:val="single" w:color="auto" w:sz="4" w:space="0"/>
            </w:tcBorders>
            <w:vAlign w:val="center"/>
          </w:tcPr>
          <w:p w14:paraId="15A50A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val="0"/>
                <w:color w:val="auto"/>
                <w:w w:val="99"/>
                <w:sz w:val="21"/>
                <w:szCs w:val="21"/>
                <w:highlight w:val="none"/>
                <w:lang w:eastAsia="zh-CN"/>
              </w:rPr>
            </w:pPr>
            <w:r>
              <w:rPr>
                <w:rFonts w:hint="eastAsia" w:ascii="Times New Roman" w:hAnsi="Times New Roman" w:cs="Times New Roman" w:eastAsiaTheme="minorEastAsia"/>
                <w:snapToGrid w:val="0"/>
                <w:color w:val="auto"/>
                <w:w w:val="99"/>
                <w:sz w:val="21"/>
                <w:szCs w:val="21"/>
                <w:highlight w:val="none"/>
                <w:lang w:val="en-US" w:eastAsia="zh-CN"/>
              </w:rPr>
              <w:t>1</w:t>
            </w:r>
          </w:p>
        </w:tc>
        <w:tc>
          <w:tcPr>
            <w:tcW w:w="995" w:type="pct"/>
            <w:tcBorders>
              <w:bottom w:val="single" w:color="auto" w:sz="4" w:space="0"/>
            </w:tcBorders>
            <w:vAlign w:val="center"/>
          </w:tcPr>
          <w:p w14:paraId="64F680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井场</w:t>
            </w:r>
          </w:p>
        </w:tc>
        <w:tc>
          <w:tcPr>
            <w:tcW w:w="1233" w:type="pct"/>
            <w:tcBorders>
              <w:bottom w:val="single" w:color="auto" w:sz="4" w:space="0"/>
            </w:tcBorders>
            <w:vAlign w:val="center"/>
          </w:tcPr>
          <w:p w14:paraId="23CBA3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井场放空</w:t>
            </w:r>
          </w:p>
        </w:tc>
        <w:tc>
          <w:tcPr>
            <w:tcW w:w="1343" w:type="pct"/>
            <w:tcBorders>
              <w:bottom w:val="single" w:color="auto" w:sz="4" w:space="0"/>
            </w:tcBorders>
            <w:vAlign w:val="center"/>
          </w:tcPr>
          <w:p w14:paraId="54C943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95～105</w:t>
            </w:r>
          </w:p>
        </w:tc>
        <w:tc>
          <w:tcPr>
            <w:tcW w:w="1047" w:type="pct"/>
            <w:tcBorders>
              <w:bottom w:val="single" w:color="auto" w:sz="4" w:space="0"/>
              <w:right w:val="single" w:color="auto" w:sz="4" w:space="0"/>
            </w:tcBorders>
            <w:vAlign w:val="center"/>
          </w:tcPr>
          <w:p w14:paraId="6F2276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突发</w:t>
            </w:r>
          </w:p>
        </w:tc>
      </w:tr>
    </w:tbl>
    <w:p w14:paraId="7C4C1866">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hint="eastAsia" w:ascii="Times New Roman" w:hAnsi="Times New Roman" w:cs="Times New Roman"/>
          <w:color w:val="auto"/>
          <w:w w:val="99"/>
          <w:kern w:val="2"/>
          <w:szCs w:val="20"/>
          <w:highlight w:val="none"/>
          <w:lang w:eastAsia="zh-CN"/>
        </w:rPr>
        <w:t>④</w:t>
      </w:r>
      <w:r>
        <w:rPr>
          <w:rFonts w:ascii="Times New Roman" w:hAnsi="Times New Roman" w:cs="Times New Roman"/>
          <w:color w:val="auto"/>
          <w:w w:val="99"/>
          <w:highlight w:val="none"/>
        </w:rPr>
        <w:t>固体废物</w:t>
      </w:r>
    </w:p>
    <w:p w14:paraId="4C967DC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jc w:val="both"/>
        <w:textAlignment w:val="auto"/>
        <w:outlineLvl w:val="9"/>
        <w:rPr>
          <w:rFonts w:hint="eastAsia" w:ascii="Times New Roman" w:hAnsi="Times New Roman" w:cs="Times New Roman" w:eastAsiaTheme="minorEastAsia"/>
          <w:b/>
          <w:color w:val="auto"/>
          <w:w w:val="99"/>
          <w:highlight w:val="none"/>
          <w:lang w:val="en-US" w:eastAsia="zh-CN"/>
        </w:rPr>
      </w:pPr>
      <w:r>
        <w:rPr>
          <w:rFonts w:ascii="Times New Roman" w:hAnsi="Times New Roman" w:cs="Times New Roman"/>
          <w:color w:val="auto"/>
          <w:w w:val="99"/>
          <w:kern w:val="2"/>
          <w:szCs w:val="20"/>
          <w:highlight w:val="none"/>
        </w:rPr>
        <w:t>本项目运营期</w:t>
      </w:r>
      <w:r>
        <w:rPr>
          <w:rFonts w:hint="eastAsia" w:ascii="Times New Roman" w:hAnsi="Times New Roman" w:cs="Times New Roman"/>
          <w:color w:val="auto"/>
          <w:w w:val="99"/>
          <w:kern w:val="2"/>
          <w:szCs w:val="20"/>
          <w:highlight w:val="none"/>
          <w:lang w:val="en-US" w:eastAsia="zh-CN"/>
        </w:rPr>
        <w:t>正常工况下，无固体废物产生。</w:t>
      </w:r>
    </w:p>
    <w:p w14:paraId="1EB75639">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476" w:firstLineChars="200"/>
        <w:jc w:val="both"/>
        <w:textAlignment w:val="auto"/>
        <w:outlineLvl w:val="9"/>
        <w:rPr>
          <w:rFonts w:hint="eastAsia" w:ascii="Times New Roman" w:hAnsi="Times New Roman" w:cs="Times New Roman" w:eastAsiaTheme="minorEastAsia"/>
          <w:b/>
          <w:color w:val="auto"/>
          <w:w w:val="99"/>
          <w:highlight w:val="none"/>
          <w:lang w:val="en-US" w:eastAsia="zh-CN"/>
        </w:rPr>
      </w:pPr>
      <w:r>
        <w:rPr>
          <w:rFonts w:hint="eastAsia" w:ascii="Times New Roman" w:hAnsi="Times New Roman" w:cs="Times New Roman" w:eastAsiaTheme="minorEastAsia"/>
          <w:b/>
          <w:color w:val="auto"/>
          <w:w w:val="99"/>
          <w:highlight w:val="none"/>
          <w:lang w:val="en-US" w:eastAsia="zh-CN"/>
        </w:rPr>
        <w:t>非正常工况</w:t>
      </w:r>
    </w:p>
    <w:p w14:paraId="56F23D9F">
      <w:pPr>
        <w:widowControl w:val="0"/>
        <w:numPr>
          <w:ilvl w:val="0"/>
          <w:numId w:val="0"/>
        </w:numPr>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①废气</w:t>
      </w:r>
    </w:p>
    <w:p w14:paraId="32B45B00">
      <w:pPr>
        <w:widowControl w:val="0"/>
        <w:numPr>
          <w:ilvl w:val="0"/>
          <w:numId w:val="0"/>
        </w:numPr>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ascii="Times New Roman" w:hAnsi="Times New Roman" w:eastAsia="宋体" w:cs="Times New Roman"/>
          <w:color w:val="auto"/>
          <w:w w:val="99"/>
          <w:kern w:val="2"/>
          <w:szCs w:val="20"/>
          <w:highlight w:val="none"/>
        </w:rPr>
        <w:t>本项目在运营期间非正常工况下，井场气井开井、关井、检修以及事故时紧急切断阀门后，气井内剩余气通向井口房外放空池放空。每口气井放空频次每口气井约3~5次/年，每次放空约 10min，放空量约 500m</w:t>
      </w:r>
      <w:r>
        <w:rPr>
          <w:rFonts w:ascii="Times New Roman" w:hAnsi="Times New Roman" w:eastAsia="宋体" w:cs="Times New Roman"/>
          <w:color w:val="auto"/>
          <w:w w:val="99"/>
          <w:kern w:val="2"/>
          <w:szCs w:val="20"/>
          <w:highlight w:val="none"/>
          <w:vertAlign w:val="superscript"/>
        </w:rPr>
        <w:t>3</w:t>
      </w:r>
      <w:r>
        <w:rPr>
          <w:rFonts w:ascii="Times New Roman" w:hAnsi="Times New Roman" w:eastAsia="宋体" w:cs="Times New Roman"/>
          <w:color w:val="auto"/>
          <w:w w:val="99"/>
          <w:kern w:val="2"/>
          <w:szCs w:val="20"/>
          <w:highlight w:val="none"/>
        </w:rPr>
        <w:t>。按最大放空频次及放空量考虑，本项目</w:t>
      </w:r>
      <w:r>
        <w:rPr>
          <w:rFonts w:hint="eastAsia" w:ascii="Times New Roman" w:hAnsi="Times New Roman" w:cs="Times New Roman"/>
          <w:color w:val="auto"/>
          <w:w w:val="99"/>
          <w:kern w:val="2"/>
          <w:szCs w:val="20"/>
          <w:highlight w:val="none"/>
          <w:lang w:val="en-US" w:eastAsia="zh-CN"/>
        </w:rPr>
        <w:t>1</w:t>
      </w:r>
      <w:r>
        <w:rPr>
          <w:rFonts w:ascii="Times New Roman" w:hAnsi="Times New Roman" w:eastAsia="宋体" w:cs="Times New Roman"/>
          <w:color w:val="auto"/>
          <w:w w:val="99"/>
          <w:kern w:val="2"/>
          <w:szCs w:val="20"/>
          <w:highlight w:val="none"/>
        </w:rPr>
        <w:t>口气井井场的放空气量为</w:t>
      </w:r>
      <w:r>
        <w:rPr>
          <w:rFonts w:hint="eastAsia" w:ascii="Times New Roman" w:hAnsi="Times New Roman" w:cs="Times New Roman"/>
          <w:color w:val="auto"/>
          <w:w w:val="99"/>
          <w:kern w:val="2"/>
          <w:szCs w:val="20"/>
          <w:highlight w:val="none"/>
          <w:lang w:val="en-US" w:eastAsia="zh-CN"/>
        </w:rPr>
        <w:t>2</w:t>
      </w:r>
      <w:r>
        <w:rPr>
          <w:rFonts w:hint="eastAsia" w:ascii="Times New Roman" w:hAnsi="Times New Roman" w:eastAsia="宋体" w:cs="Times New Roman"/>
          <w:color w:val="auto"/>
          <w:w w:val="99"/>
          <w:kern w:val="2"/>
          <w:szCs w:val="20"/>
          <w:highlight w:val="none"/>
          <w:lang w:val="en-US" w:eastAsia="zh-CN"/>
        </w:rPr>
        <w:t>5</w:t>
      </w:r>
      <w:r>
        <w:rPr>
          <w:rFonts w:ascii="Times New Roman" w:hAnsi="Times New Roman" w:eastAsia="宋体" w:cs="Times New Roman"/>
          <w:color w:val="auto"/>
          <w:w w:val="99"/>
          <w:kern w:val="2"/>
          <w:szCs w:val="20"/>
          <w:highlight w:val="none"/>
        </w:rPr>
        <w:t>00m</w:t>
      </w:r>
      <w:r>
        <w:rPr>
          <w:rFonts w:ascii="Times New Roman" w:hAnsi="Times New Roman" w:eastAsia="宋体" w:cs="Times New Roman"/>
          <w:color w:val="auto"/>
          <w:w w:val="99"/>
          <w:kern w:val="2"/>
          <w:szCs w:val="20"/>
          <w:highlight w:val="none"/>
          <w:vertAlign w:val="superscript"/>
        </w:rPr>
        <w:t>3</w:t>
      </w:r>
      <w:r>
        <w:rPr>
          <w:rFonts w:ascii="Times New Roman" w:hAnsi="Times New Roman" w:eastAsia="宋体" w:cs="Times New Roman"/>
          <w:color w:val="auto"/>
          <w:w w:val="99"/>
          <w:kern w:val="2"/>
          <w:szCs w:val="20"/>
          <w:highlight w:val="none"/>
        </w:rPr>
        <w:t xml:space="preserve">/a。根据环境保护部环境工程评估中心发布的《社会区域类环境影响评价》，天然气燃烧产生的污染排放因子排放率为 </w:t>
      </w:r>
      <w:r>
        <w:rPr>
          <w:rFonts w:hint="eastAsia" w:ascii="Times New Roman" w:hAnsi="Times New Roman" w:cs="Times New Roman"/>
          <w:color w:val="auto"/>
          <w:w w:val="99"/>
          <w:kern w:val="2"/>
          <w:szCs w:val="20"/>
          <w:highlight w:val="none"/>
          <w:lang w:val="en-US" w:eastAsia="zh-CN"/>
        </w:rPr>
        <w:t>PM</w:t>
      </w:r>
      <w:r>
        <w:rPr>
          <w:rFonts w:hint="eastAsia" w:ascii="Times New Roman" w:hAnsi="Times New Roman" w:cs="Times New Roman"/>
          <w:color w:val="auto"/>
          <w:w w:val="99"/>
          <w:kern w:val="2"/>
          <w:szCs w:val="20"/>
          <w:highlight w:val="none"/>
          <w:vertAlign w:val="subscript"/>
          <w:lang w:val="en-US" w:eastAsia="zh-CN"/>
        </w:rPr>
        <w:t>10</w:t>
      </w:r>
      <w:r>
        <w:rPr>
          <w:rFonts w:ascii="Times New Roman" w:hAnsi="Times New Roman" w:eastAsia="宋体" w:cs="Times New Roman"/>
          <w:color w:val="auto"/>
          <w:w w:val="99"/>
          <w:kern w:val="2"/>
          <w:szCs w:val="20"/>
          <w:highlight w:val="none"/>
        </w:rPr>
        <w:t>：0.14kg/km</w:t>
      </w:r>
      <w:r>
        <w:rPr>
          <w:rFonts w:ascii="Times New Roman" w:hAnsi="Times New Roman" w:eastAsia="宋体" w:cs="Times New Roman"/>
          <w:color w:val="auto"/>
          <w:w w:val="99"/>
          <w:kern w:val="2"/>
          <w:szCs w:val="20"/>
          <w:highlight w:val="none"/>
          <w:vertAlign w:val="superscript"/>
        </w:rPr>
        <w:t>3</w:t>
      </w:r>
      <w:r>
        <w:rPr>
          <w:rFonts w:ascii="Times New Roman" w:hAnsi="Times New Roman" w:eastAsia="宋体" w:cs="Times New Roman"/>
          <w:color w:val="auto"/>
          <w:w w:val="99"/>
          <w:kern w:val="2"/>
          <w:szCs w:val="20"/>
          <w:highlight w:val="none"/>
        </w:rPr>
        <w:t>，SO</w:t>
      </w:r>
      <w:r>
        <w:rPr>
          <w:rFonts w:ascii="Times New Roman" w:hAnsi="Times New Roman" w:eastAsia="宋体" w:cs="Times New Roman"/>
          <w:color w:val="auto"/>
          <w:w w:val="99"/>
          <w:kern w:val="2"/>
          <w:szCs w:val="20"/>
          <w:highlight w:val="none"/>
          <w:vertAlign w:val="subscript"/>
        </w:rPr>
        <w:t>2</w:t>
      </w:r>
      <w:r>
        <w:rPr>
          <w:rFonts w:ascii="Times New Roman" w:hAnsi="Times New Roman" w:eastAsia="宋体" w:cs="Times New Roman"/>
          <w:color w:val="auto"/>
          <w:w w:val="99"/>
          <w:kern w:val="2"/>
          <w:szCs w:val="20"/>
          <w:highlight w:val="none"/>
        </w:rPr>
        <w:t>：0.18kg/km</w:t>
      </w:r>
      <w:r>
        <w:rPr>
          <w:rFonts w:ascii="Times New Roman" w:hAnsi="Times New Roman" w:eastAsia="宋体" w:cs="Times New Roman"/>
          <w:color w:val="auto"/>
          <w:w w:val="99"/>
          <w:kern w:val="2"/>
          <w:szCs w:val="20"/>
          <w:highlight w:val="none"/>
          <w:vertAlign w:val="superscript"/>
        </w:rPr>
        <w:t>3</w:t>
      </w:r>
      <w:r>
        <w:rPr>
          <w:rFonts w:ascii="Times New Roman" w:hAnsi="Times New Roman" w:eastAsia="宋体" w:cs="Times New Roman"/>
          <w:color w:val="auto"/>
          <w:w w:val="99"/>
          <w:kern w:val="2"/>
          <w:szCs w:val="20"/>
          <w:highlight w:val="none"/>
        </w:rPr>
        <w:t>，NO</w:t>
      </w:r>
      <w:r>
        <w:rPr>
          <w:rFonts w:ascii="Times New Roman" w:hAnsi="Times New Roman" w:eastAsia="宋体" w:cs="Times New Roman"/>
          <w:color w:val="auto"/>
          <w:w w:val="99"/>
          <w:kern w:val="2"/>
          <w:szCs w:val="20"/>
          <w:highlight w:val="none"/>
          <w:vertAlign w:val="subscript"/>
        </w:rPr>
        <w:t>X</w:t>
      </w:r>
      <w:r>
        <w:rPr>
          <w:rFonts w:ascii="Times New Roman" w:hAnsi="Times New Roman" w:eastAsia="宋体" w:cs="Times New Roman"/>
          <w:color w:val="auto"/>
          <w:w w:val="99"/>
          <w:kern w:val="2"/>
          <w:szCs w:val="20"/>
          <w:highlight w:val="none"/>
        </w:rPr>
        <w:t>：1.76kg/km</w:t>
      </w:r>
      <w:r>
        <w:rPr>
          <w:rFonts w:ascii="Times New Roman" w:hAnsi="Times New Roman" w:eastAsia="宋体" w:cs="Times New Roman"/>
          <w:color w:val="auto"/>
          <w:w w:val="99"/>
          <w:kern w:val="2"/>
          <w:szCs w:val="20"/>
          <w:highlight w:val="none"/>
          <w:vertAlign w:val="superscript"/>
        </w:rPr>
        <w:t>3</w:t>
      </w:r>
      <w:r>
        <w:rPr>
          <w:rFonts w:ascii="Times New Roman" w:hAnsi="Times New Roman" w:eastAsia="宋体" w:cs="Times New Roman"/>
          <w:color w:val="auto"/>
          <w:w w:val="99"/>
          <w:kern w:val="2"/>
          <w:szCs w:val="20"/>
          <w:highlight w:val="none"/>
        </w:rPr>
        <w:t>。 则本项目气井放空排放</w:t>
      </w:r>
      <w:r>
        <w:rPr>
          <w:rFonts w:hint="eastAsia" w:ascii="Times New Roman" w:hAnsi="Times New Roman" w:cs="Times New Roman"/>
          <w:color w:val="auto"/>
          <w:w w:val="99"/>
          <w:kern w:val="2"/>
          <w:szCs w:val="20"/>
          <w:highlight w:val="none"/>
          <w:lang w:val="en-US" w:eastAsia="zh-CN"/>
        </w:rPr>
        <w:t>PM</w:t>
      </w:r>
      <w:r>
        <w:rPr>
          <w:rFonts w:hint="eastAsia" w:ascii="Times New Roman" w:hAnsi="Times New Roman" w:cs="Times New Roman"/>
          <w:color w:val="auto"/>
          <w:w w:val="99"/>
          <w:kern w:val="2"/>
          <w:szCs w:val="20"/>
          <w:highlight w:val="none"/>
          <w:vertAlign w:val="subscript"/>
          <w:lang w:val="en-US" w:eastAsia="zh-CN"/>
        </w:rPr>
        <w:t>10</w:t>
      </w:r>
      <w:r>
        <w:rPr>
          <w:rFonts w:ascii="Times New Roman" w:hAnsi="Times New Roman" w:eastAsia="宋体" w:cs="Times New Roman"/>
          <w:color w:val="auto"/>
          <w:w w:val="99"/>
          <w:kern w:val="2"/>
          <w:szCs w:val="20"/>
          <w:highlight w:val="none"/>
        </w:rPr>
        <w:t>：0.00</w:t>
      </w:r>
      <w:r>
        <w:rPr>
          <w:rFonts w:hint="eastAsia" w:ascii="Times New Roman" w:hAnsi="Times New Roman" w:cs="Times New Roman"/>
          <w:color w:val="auto"/>
          <w:w w:val="99"/>
          <w:kern w:val="2"/>
          <w:szCs w:val="20"/>
          <w:highlight w:val="none"/>
          <w:lang w:val="en-US" w:eastAsia="zh-CN"/>
        </w:rPr>
        <w:t>03</w:t>
      </w:r>
      <w:r>
        <w:rPr>
          <w:rFonts w:ascii="Times New Roman" w:hAnsi="Times New Roman" w:eastAsia="宋体" w:cs="Times New Roman"/>
          <w:color w:val="auto"/>
          <w:w w:val="99"/>
          <w:kern w:val="2"/>
          <w:szCs w:val="20"/>
          <w:highlight w:val="none"/>
        </w:rPr>
        <w:t>t/a，SO</w:t>
      </w:r>
      <w:r>
        <w:rPr>
          <w:rFonts w:ascii="Times New Roman" w:hAnsi="Times New Roman" w:eastAsia="宋体" w:cs="Times New Roman"/>
          <w:color w:val="auto"/>
          <w:w w:val="99"/>
          <w:kern w:val="2"/>
          <w:szCs w:val="20"/>
          <w:highlight w:val="none"/>
          <w:vertAlign w:val="subscript"/>
        </w:rPr>
        <w:t>2</w:t>
      </w:r>
      <w:r>
        <w:rPr>
          <w:rFonts w:ascii="Times New Roman" w:hAnsi="Times New Roman" w:eastAsia="宋体" w:cs="Times New Roman"/>
          <w:color w:val="auto"/>
          <w:w w:val="99"/>
          <w:kern w:val="2"/>
          <w:szCs w:val="20"/>
          <w:highlight w:val="none"/>
        </w:rPr>
        <w:t>：0.00</w:t>
      </w:r>
      <w:r>
        <w:rPr>
          <w:rFonts w:hint="eastAsia" w:ascii="Times New Roman" w:hAnsi="Times New Roman" w:cs="Times New Roman"/>
          <w:color w:val="auto"/>
          <w:w w:val="99"/>
          <w:kern w:val="2"/>
          <w:szCs w:val="20"/>
          <w:highlight w:val="none"/>
          <w:lang w:val="en-US" w:eastAsia="zh-CN"/>
        </w:rPr>
        <w:t>04</w:t>
      </w:r>
      <w:r>
        <w:rPr>
          <w:rFonts w:ascii="Times New Roman" w:hAnsi="Times New Roman" w:eastAsia="宋体" w:cs="Times New Roman"/>
          <w:color w:val="auto"/>
          <w:w w:val="99"/>
          <w:kern w:val="2"/>
          <w:szCs w:val="20"/>
          <w:highlight w:val="none"/>
        </w:rPr>
        <w:t>t/a，NO</w:t>
      </w:r>
      <w:r>
        <w:rPr>
          <w:rFonts w:ascii="Times New Roman" w:hAnsi="Times New Roman" w:eastAsia="宋体" w:cs="Times New Roman"/>
          <w:color w:val="auto"/>
          <w:w w:val="99"/>
          <w:kern w:val="2"/>
          <w:szCs w:val="20"/>
          <w:highlight w:val="none"/>
          <w:vertAlign w:val="subscript"/>
        </w:rPr>
        <w:t>X</w:t>
      </w:r>
      <w:r>
        <w:rPr>
          <w:rFonts w:ascii="Times New Roman" w:hAnsi="Times New Roman" w:eastAsia="宋体" w:cs="Times New Roman"/>
          <w:color w:val="auto"/>
          <w:w w:val="99"/>
          <w:kern w:val="2"/>
          <w:szCs w:val="20"/>
          <w:highlight w:val="none"/>
        </w:rPr>
        <w:t>：0.0</w:t>
      </w:r>
      <w:r>
        <w:rPr>
          <w:rFonts w:hint="eastAsia" w:ascii="Times New Roman" w:hAnsi="Times New Roman" w:cs="Times New Roman"/>
          <w:color w:val="auto"/>
          <w:w w:val="99"/>
          <w:kern w:val="2"/>
          <w:szCs w:val="20"/>
          <w:highlight w:val="none"/>
          <w:lang w:val="en-US" w:eastAsia="zh-CN"/>
        </w:rPr>
        <w:t>044</w:t>
      </w:r>
      <w:r>
        <w:rPr>
          <w:rFonts w:ascii="Times New Roman" w:hAnsi="Times New Roman" w:eastAsia="宋体" w:cs="Times New Roman"/>
          <w:color w:val="auto"/>
          <w:w w:val="99"/>
          <w:kern w:val="2"/>
          <w:szCs w:val="20"/>
          <w:highlight w:val="none"/>
        </w:rPr>
        <w:t>t/a。</w:t>
      </w:r>
    </w:p>
    <w:p w14:paraId="05378A65">
      <w:pPr>
        <w:widowControl w:val="0"/>
        <w:numPr>
          <w:ilvl w:val="0"/>
          <w:numId w:val="0"/>
        </w:numPr>
        <w:spacing w:line="440" w:lineRule="exact"/>
        <w:ind w:firstLine="474" w:firstLineChars="200"/>
        <w:jc w:val="both"/>
        <w:rPr>
          <w:rFonts w:hint="default" w:ascii="Times New Roman" w:hAnsi="Times New Roman" w:eastAsia="宋体"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②</w:t>
      </w:r>
      <w:r>
        <w:rPr>
          <w:rFonts w:hint="eastAsia" w:ascii="Times New Roman" w:hAnsi="Times New Roman" w:eastAsia="宋体" w:cs="Times New Roman"/>
          <w:color w:val="auto"/>
          <w:w w:val="99"/>
          <w:kern w:val="2"/>
          <w:szCs w:val="20"/>
          <w:highlight w:val="none"/>
          <w:lang w:val="en-US" w:eastAsia="zh-CN"/>
        </w:rPr>
        <w:t>噪声</w:t>
      </w:r>
    </w:p>
    <w:p w14:paraId="7DC1296F">
      <w:pPr>
        <w:widowControl w:val="0"/>
        <w:numPr>
          <w:ilvl w:val="0"/>
          <w:numId w:val="0"/>
        </w:numPr>
        <w:spacing w:line="440" w:lineRule="exact"/>
        <w:ind w:firstLine="474" w:firstLineChars="200"/>
        <w:jc w:val="both"/>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非正常工况噪声源主要为井场、站场放空系统噪声</w:t>
      </w:r>
      <w:r>
        <w:rPr>
          <w:rFonts w:hint="eastAsia" w:ascii="Times New Roman" w:hAnsi="Times New Roman" w:cs="Times New Roman"/>
          <w:color w:val="auto"/>
          <w:w w:val="99"/>
          <w:kern w:val="2"/>
          <w:szCs w:val="20"/>
          <w:highlight w:val="none"/>
          <w:lang w:val="en-US" w:eastAsia="zh-CN"/>
        </w:rPr>
        <w:t>等</w:t>
      </w:r>
      <w:r>
        <w:rPr>
          <w:rFonts w:ascii="Times New Roman" w:hAnsi="Times New Roman" w:eastAsia="宋体" w:cs="Times New Roman"/>
          <w:color w:val="auto"/>
          <w:w w:val="99"/>
          <w:kern w:val="2"/>
          <w:szCs w:val="20"/>
          <w:highlight w:val="none"/>
        </w:rPr>
        <w:t xml:space="preserve">。主要噪声源强见表 </w:t>
      </w:r>
      <w:r>
        <w:rPr>
          <w:rFonts w:hint="eastAsia" w:ascii="Times New Roman" w:hAnsi="Times New Roman" w:cs="Times New Roman"/>
          <w:color w:val="auto"/>
          <w:w w:val="99"/>
          <w:kern w:val="2"/>
          <w:szCs w:val="20"/>
          <w:highlight w:val="none"/>
          <w:lang w:eastAsia="zh-CN"/>
        </w:rPr>
        <w:t>3.1</w:t>
      </w:r>
      <w:r>
        <w:rPr>
          <w:rFonts w:hint="eastAsia" w:ascii="Times New Roman" w:hAnsi="Times New Roman" w:cs="Times New Roman"/>
          <w:color w:val="auto"/>
          <w:w w:val="99"/>
          <w:kern w:val="2"/>
          <w:szCs w:val="20"/>
          <w:highlight w:val="none"/>
          <w:lang w:val="en-US" w:eastAsia="zh-CN"/>
        </w:rPr>
        <w:t>0</w:t>
      </w:r>
      <w:r>
        <w:rPr>
          <w:rFonts w:ascii="Times New Roman" w:hAnsi="Times New Roman" w:eastAsia="宋体" w:cs="Times New Roman"/>
          <w:color w:val="auto"/>
          <w:w w:val="99"/>
          <w:kern w:val="2"/>
          <w:szCs w:val="20"/>
          <w:highlight w:val="none"/>
        </w:rPr>
        <w:t>-</w:t>
      </w:r>
      <w:r>
        <w:rPr>
          <w:rFonts w:hint="eastAsia" w:ascii="Times New Roman" w:hAnsi="Times New Roman" w:cs="Times New Roman"/>
          <w:color w:val="auto"/>
          <w:w w:val="99"/>
          <w:kern w:val="2"/>
          <w:szCs w:val="20"/>
          <w:highlight w:val="none"/>
          <w:lang w:val="en-US" w:eastAsia="zh-CN"/>
        </w:rPr>
        <w:t>7</w:t>
      </w:r>
      <w:r>
        <w:rPr>
          <w:rFonts w:ascii="Times New Roman" w:hAnsi="Times New Roman" w:eastAsia="宋体" w:cs="Times New Roman"/>
          <w:color w:val="auto"/>
          <w:w w:val="99"/>
          <w:kern w:val="2"/>
          <w:szCs w:val="20"/>
          <w:highlight w:val="none"/>
        </w:rPr>
        <w:t>。</w:t>
      </w:r>
    </w:p>
    <w:p w14:paraId="733E9246">
      <w:pPr>
        <w:widowControl w:val="0"/>
        <w:numPr>
          <w:ilvl w:val="0"/>
          <w:numId w:val="0"/>
        </w:numPr>
        <w:spacing w:line="440" w:lineRule="exact"/>
        <w:ind w:firstLine="476" w:firstLineChars="200"/>
        <w:jc w:val="both"/>
        <w:rPr>
          <w:rFonts w:ascii="Times New Roman" w:hAnsi="Times New Roman" w:eastAsia="宋体" w:cs="Times New Roman"/>
          <w:b/>
          <w:bCs/>
          <w:color w:val="auto"/>
          <w:w w:val="99"/>
          <w:kern w:val="2"/>
          <w:szCs w:val="20"/>
          <w:highlight w:val="none"/>
        </w:rPr>
      </w:pPr>
      <w:r>
        <w:rPr>
          <w:rFonts w:ascii="Times New Roman" w:hAnsi="Times New Roman" w:eastAsia="宋体" w:cs="Times New Roman"/>
          <w:b/>
          <w:bCs/>
          <w:color w:val="auto"/>
          <w:w w:val="99"/>
          <w:kern w:val="2"/>
          <w:szCs w:val="20"/>
          <w:highlight w:val="none"/>
        </w:rPr>
        <w:t xml:space="preserve">表 </w:t>
      </w:r>
      <w:r>
        <w:rPr>
          <w:rFonts w:hint="eastAsia" w:ascii="Times New Roman" w:hAnsi="Times New Roman" w:cs="Times New Roman"/>
          <w:b/>
          <w:bCs/>
          <w:color w:val="auto"/>
          <w:w w:val="99"/>
          <w:kern w:val="2"/>
          <w:szCs w:val="20"/>
          <w:highlight w:val="none"/>
          <w:lang w:eastAsia="zh-CN"/>
        </w:rPr>
        <w:t>3.1</w:t>
      </w:r>
      <w:r>
        <w:rPr>
          <w:rFonts w:hint="eastAsia" w:ascii="Times New Roman" w:hAnsi="Times New Roman" w:cs="Times New Roman"/>
          <w:b/>
          <w:bCs/>
          <w:color w:val="auto"/>
          <w:w w:val="99"/>
          <w:kern w:val="2"/>
          <w:szCs w:val="20"/>
          <w:highlight w:val="none"/>
          <w:lang w:val="en-US" w:eastAsia="zh-CN"/>
        </w:rPr>
        <w:t>0</w:t>
      </w:r>
      <w:r>
        <w:rPr>
          <w:rFonts w:ascii="Times New Roman" w:hAnsi="Times New Roman" w:eastAsia="宋体" w:cs="Times New Roman"/>
          <w:b/>
          <w:bCs/>
          <w:color w:val="auto"/>
          <w:w w:val="99"/>
          <w:kern w:val="2"/>
          <w:szCs w:val="20"/>
          <w:highlight w:val="none"/>
        </w:rPr>
        <w:t>-</w:t>
      </w:r>
      <w:r>
        <w:rPr>
          <w:rFonts w:hint="eastAsia" w:ascii="Times New Roman" w:hAnsi="Times New Roman" w:cs="Times New Roman"/>
          <w:b/>
          <w:bCs/>
          <w:color w:val="auto"/>
          <w:w w:val="99"/>
          <w:kern w:val="2"/>
          <w:szCs w:val="20"/>
          <w:highlight w:val="none"/>
          <w:lang w:val="en-US" w:eastAsia="zh-CN"/>
        </w:rPr>
        <w:t xml:space="preserve">7 </w:t>
      </w:r>
      <w:r>
        <w:rPr>
          <w:rFonts w:ascii="Times New Roman" w:hAnsi="Times New Roman" w:eastAsia="宋体" w:cs="Times New Roman"/>
          <w:b/>
          <w:bCs/>
          <w:color w:val="auto"/>
          <w:w w:val="99"/>
          <w:kern w:val="2"/>
          <w:szCs w:val="20"/>
          <w:highlight w:val="none"/>
        </w:rPr>
        <w:t xml:space="preserve"> 运行期站场主要噪声源强</w:t>
      </w:r>
    </w:p>
    <w:p w14:paraId="06775EF2">
      <w:pPr>
        <w:spacing w:line="80" w:lineRule="exact"/>
        <w:rPr>
          <w:color w:val="auto"/>
          <w:highlight w:val="none"/>
        </w:rPr>
      </w:pPr>
    </w:p>
    <w:tbl>
      <w:tblPr>
        <w:tblStyle w:val="1662"/>
        <w:tblW w:w="4998"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859"/>
        <w:gridCol w:w="2697"/>
        <w:gridCol w:w="3163"/>
        <w:gridCol w:w="2357"/>
      </w:tblGrid>
      <w:tr w14:paraId="5D92D32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91" w:hRule="atLeast"/>
          <w:jc w:val="center"/>
        </w:trPr>
        <w:tc>
          <w:tcPr>
            <w:tcW w:w="473" w:type="pct"/>
            <w:vAlign w:val="center"/>
          </w:tcPr>
          <w:p w14:paraId="496ED825">
            <w:pPr>
              <w:pStyle w:val="2857"/>
              <w:keepNext w:val="0"/>
              <w:keepLines w:val="0"/>
              <w:pageBreakBefore w:val="0"/>
              <w:widowControl w:val="0"/>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序号</w:t>
            </w:r>
          </w:p>
        </w:tc>
        <w:tc>
          <w:tcPr>
            <w:tcW w:w="1485" w:type="pct"/>
            <w:vAlign w:val="center"/>
          </w:tcPr>
          <w:p w14:paraId="7EE02184">
            <w:pPr>
              <w:pStyle w:val="2857"/>
              <w:keepNext w:val="0"/>
              <w:keepLines w:val="0"/>
              <w:pageBreakBefore w:val="0"/>
              <w:widowControl w:val="0"/>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设备名称</w:t>
            </w:r>
          </w:p>
        </w:tc>
        <w:tc>
          <w:tcPr>
            <w:tcW w:w="1742" w:type="pct"/>
            <w:vAlign w:val="center"/>
          </w:tcPr>
          <w:p w14:paraId="58FE904F">
            <w:pPr>
              <w:pStyle w:val="2857"/>
              <w:keepNext w:val="0"/>
              <w:keepLines w:val="0"/>
              <w:pageBreakBefore w:val="0"/>
              <w:widowControl w:val="0"/>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噪声强度范围（dB(A))</w:t>
            </w:r>
          </w:p>
        </w:tc>
        <w:tc>
          <w:tcPr>
            <w:tcW w:w="1298" w:type="pct"/>
            <w:vAlign w:val="center"/>
          </w:tcPr>
          <w:p w14:paraId="2FF846A3">
            <w:pPr>
              <w:pStyle w:val="2857"/>
              <w:keepNext w:val="0"/>
              <w:keepLines w:val="0"/>
              <w:pageBreakBefore w:val="0"/>
              <w:widowControl w:val="0"/>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备注</w:t>
            </w:r>
          </w:p>
        </w:tc>
      </w:tr>
      <w:tr w14:paraId="595380F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7" w:hRule="atLeast"/>
          <w:jc w:val="center"/>
        </w:trPr>
        <w:tc>
          <w:tcPr>
            <w:tcW w:w="473" w:type="pct"/>
            <w:vAlign w:val="center"/>
          </w:tcPr>
          <w:p w14:paraId="5EA37C7E">
            <w:pPr>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1</w:t>
            </w:r>
          </w:p>
        </w:tc>
        <w:tc>
          <w:tcPr>
            <w:tcW w:w="1485" w:type="pct"/>
            <w:vAlign w:val="center"/>
          </w:tcPr>
          <w:p w14:paraId="6698A951">
            <w:pPr>
              <w:pStyle w:val="2857"/>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集气站放空系统</w:t>
            </w:r>
          </w:p>
        </w:tc>
        <w:tc>
          <w:tcPr>
            <w:tcW w:w="1742" w:type="pct"/>
            <w:vAlign w:val="center"/>
          </w:tcPr>
          <w:p w14:paraId="7F8EE824">
            <w:pPr>
              <w:pStyle w:val="2857"/>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95～105</w:t>
            </w:r>
          </w:p>
        </w:tc>
        <w:tc>
          <w:tcPr>
            <w:tcW w:w="1298" w:type="pct"/>
            <w:vAlign w:val="center"/>
          </w:tcPr>
          <w:p w14:paraId="7D80699B">
            <w:pPr>
              <w:pStyle w:val="2857"/>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突发</w:t>
            </w:r>
          </w:p>
        </w:tc>
      </w:tr>
      <w:tr w14:paraId="62C07FD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7" w:hRule="atLeast"/>
          <w:jc w:val="center"/>
        </w:trPr>
        <w:tc>
          <w:tcPr>
            <w:tcW w:w="473" w:type="pct"/>
            <w:vAlign w:val="center"/>
          </w:tcPr>
          <w:p w14:paraId="5E31BC95">
            <w:pPr>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2</w:t>
            </w:r>
          </w:p>
        </w:tc>
        <w:tc>
          <w:tcPr>
            <w:tcW w:w="1485" w:type="pct"/>
            <w:vAlign w:val="center"/>
          </w:tcPr>
          <w:p w14:paraId="1857DF86">
            <w:pPr>
              <w:pStyle w:val="2857"/>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井场放空</w:t>
            </w:r>
          </w:p>
        </w:tc>
        <w:tc>
          <w:tcPr>
            <w:tcW w:w="1742" w:type="pct"/>
            <w:vAlign w:val="center"/>
          </w:tcPr>
          <w:p w14:paraId="4E30EA36">
            <w:pPr>
              <w:pStyle w:val="2857"/>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95～105</w:t>
            </w:r>
          </w:p>
        </w:tc>
        <w:tc>
          <w:tcPr>
            <w:tcW w:w="1298" w:type="pct"/>
            <w:vAlign w:val="center"/>
          </w:tcPr>
          <w:p w14:paraId="17E0130F">
            <w:pPr>
              <w:pStyle w:val="2857"/>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突发</w:t>
            </w:r>
          </w:p>
        </w:tc>
      </w:tr>
      <w:tr w14:paraId="2043F16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7" w:hRule="atLeast"/>
          <w:jc w:val="center"/>
        </w:trPr>
        <w:tc>
          <w:tcPr>
            <w:tcW w:w="473" w:type="pct"/>
            <w:vAlign w:val="center"/>
          </w:tcPr>
          <w:p w14:paraId="11CB0C37">
            <w:pPr>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3</w:t>
            </w:r>
          </w:p>
        </w:tc>
        <w:tc>
          <w:tcPr>
            <w:tcW w:w="1485" w:type="pct"/>
            <w:vAlign w:val="center"/>
          </w:tcPr>
          <w:p w14:paraId="03BFB2D3">
            <w:pPr>
              <w:pStyle w:val="2857"/>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作业施工噪声</w:t>
            </w:r>
          </w:p>
        </w:tc>
        <w:tc>
          <w:tcPr>
            <w:tcW w:w="1742" w:type="pct"/>
            <w:vAlign w:val="center"/>
          </w:tcPr>
          <w:p w14:paraId="556BF32E">
            <w:pPr>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75~95</w:t>
            </w:r>
          </w:p>
        </w:tc>
        <w:tc>
          <w:tcPr>
            <w:tcW w:w="1298" w:type="pct"/>
            <w:vMerge w:val="restart"/>
            <w:tcBorders>
              <w:bottom w:val="nil"/>
            </w:tcBorders>
            <w:vAlign w:val="center"/>
          </w:tcPr>
          <w:p w14:paraId="5280D8AB">
            <w:pPr>
              <w:pStyle w:val="2857"/>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作业时产生</w:t>
            </w:r>
          </w:p>
        </w:tc>
      </w:tr>
      <w:tr w14:paraId="7151F19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91" w:hRule="atLeast"/>
          <w:jc w:val="center"/>
        </w:trPr>
        <w:tc>
          <w:tcPr>
            <w:tcW w:w="473" w:type="pct"/>
            <w:vAlign w:val="center"/>
          </w:tcPr>
          <w:p w14:paraId="7D5F4168">
            <w:pPr>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4</w:t>
            </w:r>
          </w:p>
        </w:tc>
        <w:tc>
          <w:tcPr>
            <w:tcW w:w="1485" w:type="pct"/>
            <w:vAlign w:val="center"/>
          </w:tcPr>
          <w:p w14:paraId="2F697246">
            <w:pPr>
              <w:pStyle w:val="2857"/>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放喷噪声</w:t>
            </w:r>
          </w:p>
        </w:tc>
        <w:tc>
          <w:tcPr>
            <w:tcW w:w="1742" w:type="pct"/>
            <w:vAlign w:val="center"/>
          </w:tcPr>
          <w:p w14:paraId="3A02F773">
            <w:pPr>
              <w:pStyle w:val="2857"/>
              <w:keepNext w:val="0"/>
              <w:keepLines w:val="0"/>
              <w:pageBreakBefore w:val="0"/>
              <w:widowControl w:val="0"/>
              <w:wordWrap/>
              <w:overflowPunct/>
              <w:topLinePunct w:val="0"/>
              <w:bidi w:val="0"/>
              <w:spacing w:line="360" w:lineRule="exact"/>
              <w:ind w:left="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95～105</w:t>
            </w:r>
          </w:p>
        </w:tc>
        <w:tc>
          <w:tcPr>
            <w:tcW w:w="1298" w:type="pct"/>
            <w:vMerge w:val="continue"/>
            <w:tcBorders>
              <w:top w:val="nil"/>
            </w:tcBorders>
            <w:vAlign w:val="center"/>
          </w:tcPr>
          <w:p w14:paraId="4693DA2A">
            <w:pPr>
              <w:keepNext w:val="0"/>
              <w:keepLines w:val="0"/>
              <w:pageBreakBefore w:val="0"/>
              <w:widowControl w:val="0"/>
              <w:wordWrap/>
              <w:overflowPunct/>
              <w:topLinePunct w:val="0"/>
              <w:bidi w:val="0"/>
              <w:spacing w:line="360" w:lineRule="exact"/>
              <w:ind w:left="0"/>
              <w:jc w:val="center"/>
              <w:rPr>
                <w:rFonts w:ascii="Arial"/>
                <w:color w:val="auto"/>
                <w:sz w:val="21"/>
                <w:highlight w:val="none"/>
              </w:rPr>
            </w:pPr>
          </w:p>
        </w:tc>
      </w:tr>
    </w:tbl>
    <w:p w14:paraId="57C3FF87">
      <w:pPr>
        <w:widowControl w:val="0"/>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③固体废物</w:t>
      </w:r>
    </w:p>
    <w:p w14:paraId="5D87BA68">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hint="eastAsia" w:ascii="Times New Roman" w:hAnsi="Times New Roman" w:cs="Times New Roman"/>
          <w:color w:val="auto"/>
          <w:w w:val="99"/>
          <w:kern w:val="2"/>
          <w:szCs w:val="20"/>
          <w:highlight w:val="none"/>
          <w:lang w:val="en-US" w:eastAsia="zh-CN"/>
        </w:rPr>
        <w:t>项目非正常工况下，产生的固体废物主要为</w:t>
      </w:r>
      <w:r>
        <w:rPr>
          <w:rFonts w:ascii="Times New Roman" w:hAnsi="Times New Roman" w:cs="Times New Roman"/>
          <w:color w:val="auto"/>
          <w:w w:val="99"/>
          <w:kern w:val="2"/>
          <w:szCs w:val="20"/>
          <w:highlight w:val="none"/>
        </w:rPr>
        <w:t>井口除砂器产生少量</w:t>
      </w:r>
      <w:r>
        <w:rPr>
          <w:rFonts w:hint="eastAsia" w:ascii="Times New Roman" w:hAnsi="Times New Roman" w:cs="Times New Roman"/>
          <w:color w:val="auto"/>
          <w:w w:val="99"/>
          <w:kern w:val="2"/>
          <w:szCs w:val="20"/>
          <w:highlight w:val="none"/>
          <w:lang w:eastAsia="zh-CN"/>
        </w:rPr>
        <w:t>井口含油砂砾、</w:t>
      </w:r>
      <w:r>
        <w:rPr>
          <w:rFonts w:hint="eastAsia" w:ascii="Times New Roman" w:hAnsi="Times New Roman" w:cs="Times New Roman"/>
          <w:color w:val="auto"/>
          <w:w w:val="99"/>
          <w:kern w:val="2"/>
          <w:szCs w:val="20"/>
          <w:highlight w:val="none"/>
          <w:lang w:val="en-US" w:eastAsia="zh-CN"/>
        </w:rPr>
        <w:t>废变压器油</w:t>
      </w:r>
      <w:r>
        <w:rPr>
          <w:rFonts w:ascii="Times New Roman" w:hAnsi="Times New Roman" w:cs="Times New Roman"/>
          <w:color w:val="auto"/>
          <w:w w:val="99"/>
          <w:kern w:val="2"/>
          <w:szCs w:val="20"/>
          <w:highlight w:val="none"/>
        </w:rPr>
        <w:t>。</w:t>
      </w:r>
    </w:p>
    <w:p w14:paraId="0F7BB05F">
      <w:pPr>
        <w:widowControl w:val="0"/>
        <w:numPr>
          <w:ilvl w:val="0"/>
          <w:numId w:val="0"/>
        </w:numPr>
        <w:spacing w:line="440" w:lineRule="exact"/>
        <w:ind w:firstLine="474" w:firstLineChars="20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1）井口含油砂砾</w:t>
      </w:r>
    </w:p>
    <w:p w14:paraId="703FFD67">
      <w:pPr>
        <w:widowControl w:val="0"/>
        <w:numPr>
          <w:ilvl w:val="0"/>
          <w:numId w:val="0"/>
        </w:numPr>
        <w:spacing w:line="440" w:lineRule="exact"/>
        <w:ind w:firstLine="474" w:firstLineChars="200"/>
        <w:jc w:val="both"/>
        <w:rPr>
          <w:rFonts w:hint="eastAsia" w:ascii="Times New Roman" w:hAnsi="Times New Roman" w:eastAsia="宋体" w:cs="Times New Roman"/>
          <w:color w:val="auto"/>
          <w:w w:val="99"/>
          <w:kern w:val="2"/>
          <w:szCs w:val="20"/>
          <w:highlight w:val="none"/>
          <w:lang w:val="en-US" w:eastAsia="zh-CN"/>
        </w:rPr>
      </w:pPr>
      <w:r>
        <w:rPr>
          <w:rFonts w:hint="eastAsia" w:ascii="Times New Roman" w:hAnsi="Times New Roman" w:eastAsia="宋体" w:cs="Times New Roman"/>
          <w:color w:val="auto"/>
          <w:w w:val="99"/>
          <w:kern w:val="2"/>
          <w:szCs w:val="20"/>
          <w:highlight w:val="none"/>
          <w:lang w:val="en-US" w:eastAsia="zh-CN"/>
        </w:rPr>
        <w:t>由于气井投产后地层未完全闭合原因，导致偶有气井在投产初出现地层压裂砂、地层砂被采出气气流带到地面的现象，为避免这部分砂粒对场站设备造成损伤，本工程气井井口安装有井口除砂器，投产初会定期检查井口除砂器，如有砂粒，委托有资质单位处置。气井如产生这部分砂粒，单井产生量约为0.01t/a，本项目</w:t>
      </w:r>
      <w:r>
        <w:rPr>
          <w:rFonts w:hint="eastAsia" w:ascii="Times New Roman" w:hAnsi="Times New Roman" w:cs="Times New Roman"/>
          <w:color w:val="auto"/>
          <w:w w:val="99"/>
          <w:kern w:val="2"/>
          <w:szCs w:val="20"/>
          <w:highlight w:val="none"/>
          <w:lang w:val="en-US" w:eastAsia="zh-CN"/>
        </w:rPr>
        <w:t>1</w:t>
      </w:r>
      <w:r>
        <w:rPr>
          <w:rFonts w:hint="eastAsia" w:ascii="Times New Roman" w:hAnsi="Times New Roman" w:eastAsia="宋体" w:cs="Times New Roman"/>
          <w:color w:val="auto"/>
          <w:w w:val="99"/>
          <w:kern w:val="2"/>
          <w:szCs w:val="20"/>
          <w:highlight w:val="none"/>
          <w:lang w:val="en-US" w:eastAsia="zh-CN"/>
        </w:rPr>
        <w:t>口井产生量约为0.0</w:t>
      </w:r>
      <w:r>
        <w:rPr>
          <w:rFonts w:hint="eastAsia" w:ascii="Times New Roman" w:hAnsi="Times New Roman" w:cs="Times New Roman"/>
          <w:color w:val="auto"/>
          <w:w w:val="99"/>
          <w:kern w:val="2"/>
          <w:szCs w:val="20"/>
          <w:highlight w:val="none"/>
          <w:lang w:val="en-US" w:eastAsia="zh-CN"/>
        </w:rPr>
        <w:t>1</w:t>
      </w:r>
      <w:r>
        <w:rPr>
          <w:rFonts w:hint="eastAsia" w:ascii="Times New Roman" w:hAnsi="Times New Roman" w:eastAsia="宋体" w:cs="Times New Roman"/>
          <w:color w:val="auto"/>
          <w:w w:val="99"/>
          <w:kern w:val="2"/>
          <w:szCs w:val="20"/>
          <w:highlight w:val="none"/>
          <w:lang w:val="en-US" w:eastAsia="zh-CN"/>
        </w:rPr>
        <w:t>t/a，这部分砂粒内会混有烃类物质，</w:t>
      </w:r>
      <w:r>
        <w:rPr>
          <w:rFonts w:hint="eastAsia" w:ascii="Times New Roman" w:hAnsi="Times New Roman" w:cs="Times New Roman"/>
          <w:color w:val="auto"/>
          <w:w w:val="99"/>
          <w:kern w:val="2"/>
          <w:szCs w:val="20"/>
          <w:highlight w:val="none"/>
          <w:lang w:val="en-US" w:eastAsia="zh-CN"/>
        </w:rPr>
        <w:t>井口含油砂砾</w:t>
      </w:r>
      <w:r>
        <w:rPr>
          <w:rFonts w:hint="eastAsia" w:ascii="Times New Roman" w:hAnsi="Times New Roman" w:eastAsia="宋体" w:cs="Times New Roman"/>
          <w:color w:val="auto"/>
          <w:w w:val="99"/>
          <w:kern w:val="2"/>
          <w:szCs w:val="20"/>
          <w:highlight w:val="none"/>
          <w:lang w:val="en-US" w:eastAsia="zh-CN"/>
        </w:rPr>
        <w:t>属于危险废物“HW08 废矿物油与含矿物油废物”中的“900-249-08 其他生产、销售、使用过程中产生的废矿物油及沾染矿物油的废弃包装物”。在井场产生后装入加盖钢制桶中，由检维修队送采气分公司危险废物贮存库内，定期委托有危废处置资质的单位处置。</w:t>
      </w:r>
    </w:p>
    <w:p w14:paraId="3BCC1D43">
      <w:pPr>
        <w:widowControl w:val="0"/>
        <w:numPr>
          <w:ilvl w:val="0"/>
          <w:numId w:val="0"/>
        </w:numPr>
        <w:spacing w:line="440" w:lineRule="exact"/>
        <w:ind w:left="480" w:leftChars="0"/>
        <w:jc w:val="both"/>
        <w:rPr>
          <w:rFonts w:hint="eastAsia" w:ascii="Times New Roman" w:hAnsi="Times New Roman"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val="en-US" w:eastAsia="zh-CN"/>
        </w:rPr>
        <w:t>2）废变压器油</w:t>
      </w:r>
    </w:p>
    <w:p w14:paraId="625AFD7C">
      <w:pPr>
        <w:widowControl w:val="0"/>
        <w:numPr>
          <w:ilvl w:val="0"/>
          <w:numId w:val="0"/>
        </w:numPr>
        <w:spacing w:line="440" w:lineRule="exact"/>
        <w:ind w:firstLine="474" w:firstLineChars="200"/>
        <w:jc w:val="both"/>
        <w:rPr>
          <w:rFonts w:hint="eastAsia" w:ascii="Times New Roman" w:hAnsi="Times New Roman" w:eastAsia="宋体" w:cs="Times New Roman"/>
          <w:color w:val="auto"/>
          <w:w w:val="99"/>
          <w:kern w:val="2"/>
          <w:szCs w:val="20"/>
          <w:highlight w:val="none"/>
          <w:lang w:val="en-US" w:eastAsia="zh-CN"/>
        </w:rPr>
      </w:pPr>
      <w:r>
        <w:rPr>
          <w:rFonts w:hint="eastAsia" w:ascii="Times New Roman" w:hAnsi="Times New Roman" w:eastAsia="宋体" w:cs="Times New Roman"/>
          <w:color w:val="auto"/>
          <w:w w:val="99"/>
          <w:kern w:val="2"/>
          <w:szCs w:val="20"/>
          <w:highlight w:val="none"/>
          <w:lang w:val="en-US" w:eastAsia="zh-CN"/>
        </w:rPr>
        <w:t>运营期井场柱上变电站</w:t>
      </w:r>
      <w:r>
        <w:rPr>
          <w:rFonts w:hint="eastAsia" w:ascii="Times New Roman" w:hAnsi="Times New Roman" w:cs="Times New Roman"/>
          <w:color w:val="auto"/>
          <w:w w:val="99"/>
          <w:kern w:val="2"/>
          <w:szCs w:val="20"/>
          <w:highlight w:val="none"/>
          <w:lang w:val="en-US" w:eastAsia="zh-CN"/>
        </w:rPr>
        <w:t>为湿式变压器，</w:t>
      </w:r>
      <w:r>
        <w:rPr>
          <w:rFonts w:hint="eastAsia" w:ascii="Times New Roman" w:hAnsi="Times New Roman" w:eastAsia="宋体" w:cs="Times New Roman"/>
          <w:color w:val="auto"/>
          <w:w w:val="99"/>
          <w:kern w:val="2"/>
          <w:szCs w:val="20"/>
          <w:highlight w:val="none"/>
          <w:lang w:val="en-US" w:eastAsia="zh-CN"/>
        </w:rPr>
        <w:t>检修时会产生废变压器油，按照单座柱上变电站产生废变压器油0.05t/a计算，项目共新建</w:t>
      </w:r>
      <w:r>
        <w:rPr>
          <w:rFonts w:hint="eastAsia" w:ascii="Times New Roman" w:hAnsi="Times New Roman" w:cs="Times New Roman"/>
          <w:color w:val="auto"/>
          <w:w w:val="99"/>
          <w:kern w:val="2"/>
          <w:szCs w:val="20"/>
          <w:highlight w:val="none"/>
          <w:lang w:val="en-US" w:eastAsia="zh-CN"/>
        </w:rPr>
        <w:t>1</w:t>
      </w:r>
      <w:r>
        <w:rPr>
          <w:rFonts w:hint="eastAsia" w:ascii="Times New Roman" w:hAnsi="Times New Roman" w:eastAsia="宋体" w:cs="Times New Roman"/>
          <w:color w:val="auto"/>
          <w:w w:val="99"/>
          <w:kern w:val="2"/>
          <w:szCs w:val="20"/>
          <w:highlight w:val="none"/>
          <w:lang w:val="en-US" w:eastAsia="zh-CN"/>
        </w:rPr>
        <w:t>座柱上变电站，则本项目废变压器油产生量为0.</w:t>
      </w:r>
      <w:r>
        <w:rPr>
          <w:rFonts w:hint="eastAsia" w:ascii="Times New Roman" w:hAnsi="Times New Roman" w:cs="Times New Roman"/>
          <w:color w:val="auto"/>
          <w:w w:val="99"/>
          <w:kern w:val="2"/>
          <w:szCs w:val="20"/>
          <w:highlight w:val="none"/>
          <w:lang w:val="en-US" w:eastAsia="zh-CN"/>
        </w:rPr>
        <w:t>0</w:t>
      </w:r>
      <w:r>
        <w:rPr>
          <w:rFonts w:hint="eastAsia" w:ascii="Times New Roman" w:hAnsi="Times New Roman" w:eastAsia="宋体" w:cs="Times New Roman"/>
          <w:color w:val="auto"/>
          <w:w w:val="99"/>
          <w:kern w:val="2"/>
          <w:szCs w:val="20"/>
          <w:highlight w:val="none"/>
          <w:lang w:val="en-US" w:eastAsia="zh-CN"/>
        </w:rPr>
        <w:t>5t/a，根据《国家危险废物名录（2025年）》废变压器油属于危险废物，危险废物类别为HW08废矿物油与含矿物油废物，代码为900-220-08，送采气分公司危险废物贮存库内，定期委托有危废处置资质的单位处置。</w:t>
      </w:r>
    </w:p>
    <w:p w14:paraId="7BFF814E">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本项目</w:t>
      </w:r>
      <w:r>
        <w:rPr>
          <w:rFonts w:ascii="Times New Roman" w:hAnsi="Times New Roman" w:cs="Times New Roman" w:eastAsiaTheme="minorEastAsia"/>
          <w:color w:val="auto"/>
          <w:w w:val="99"/>
          <w:kern w:val="2"/>
          <w:highlight w:val="none"/>
        </w:rPr>
        <w:t>运营期</w:t>
      </w:r>
      <w:r>
        <w:rPr>
          <w:rFonts w:ascii="Times New Roman" w:hAnsi="Times New Roman" w:cs="Times New Roman"/>
          <w:color w:val="auto"/>
          <w:w w:val="99"/>
          <w:kern w:val="2"/>
          <w:szCs w:val="20"/>
          <w:highlight w:val="none"/>
        </w:rPr>
        <w:t>危险废物具体情况见表</w:t>
      </w:r>
      <w:r>
        <w:rPr>
          <w:rFonts w:hint="eastAsia" w:ascii="Times New Roman" w:hAnsi="Times New Roman" w:cs="Times New Roman"/>
          <w:color w:val="auto"/>
          <w:w w:val="99"/>
          <w:highlight w:val="none"/>
          <w:lang w:eastAsia="zh-CN"/>
        </w:rPr>
        <w:t>3.1</w:t>
      </w:r>
      <w:r>
        <w:rPr>
          <w:rFonts w:hint="eastAsia" w:ascii="Times New Roman" w:hAnsi="Times New Roman" w:cs="Times New Roman"/>
          <w:color w:val="auto"/>
          <w:w w:val="99"/>
          <w:highlight w:val="none"/>
          <w:lang w:val="en-US" w:eastAsia="zh-CN"/>
        </w:rPr>
        <w:t>0</w:t>
      </w:r>
      <w:r>
        <w:rPr>
          <w:rFonts w:ascii="Times New Roman" w:hAnsi="Times New Roman" w:cs="Times New Roman"/>
          <w:color w:val="auto"/>
          <w:w w:val="99"/>
          <w:highlight w:val="none"/>
        </w:rPr>
        <w:t>-</w:t>
      </w:r>
      <w:r>
        <w:rPr>
          <w:rFonts w:hint="eastAsia" w:ascii="Times New Roman" w:hAnsi="Times New Roman" w:cs="Times New Roman"/>
          <w:color w:val="auto"/>
          <w:w w:val="99"/>
          <w:highlight w:val="none"/>
          <w:lang w:val="en-US" w:eastAsia="zh-CN"/>
        </w:rPr>
        <w:t>8</w:t>
      </w:r>
      <w:r>
        <w:rPr>
          <w:rFonts w:ascii="Times New Roman" w:hAnsi="Times New Roman" w:cs="Times New Roman"/>
          <w:color w:val="auto"/>
          <w:w w:val="99"/>
          <w:kern w:val="2"/>
          <w:szCs w:val="20"/>
          <w:highlight w:val="none"/>
        </w:rPr>
        <w:t>。</w:t>
      </w:r>
    </w:p>
    <w:p w14:paraId="4C6E062A">
      <w:pPr>
        <w:widowControl w:val="0"/>
        <w:spacing w:line="440" w:lineRule="exact"/>
        <w:ind w:firstLine="476" w:firstLineChars="200"/>
        <w:rPr>
          <w:rFonts w:ascii="Times New Roman" w:hAnsi="Times New Roman" w:cs="Times New Roman"/>
          <w:b/>
          <w:bCs/>
          <w:color w:val="auto"/>
          <w:w w:val="99"/>
          <w:kern w:val="2"/>
          <w:highlight w:val="none"/>
        </w:rPr>
      </w:pPr>
      <w:r>
        <w:rPr>
          <w:rFonts w:ascii="Times New Roman" w:hAnsi="Times New Roman" w:cs="Times New Roman"/>
          <w:b/>
          <w:bCs/>
          <w:color w:val="auto"/>
          <w:w w:val="99"/>
          <w:kern w:val="2"/>
          <w:highlight w:val="none"/>
        </w:rPr>
        <w:t>表</w:t>
      </w:r>
      <w:r>
        <w:rPr>
          <w:rFonts w:hint="eastAsia" w:ascii="Times New Roman" w:hAnsi="Times New Roman" w:cs="Times New Roman"/>
          <w:b/>
          <w:bCs/>
          <w:color w:val="auto"/>
          <w:w w:val="99"/>
          <w:kern w:val="2"/>
          <w:highlight w:val="none"/>
          <w:lang w:eastAsia="zh-CN"/>
        </w:rPr>
        <w:t>3.1</w:t>
      </w:r>
      <w:r>
        <w:rPr>
          <w:rFonts w:hint="eastAsia" w:ascii="Times New Roman" w:hAnsi="Times New Roman" w:cs="Times New Roman"/>
          <w:b/>
          <w:bCs/>
          <w:color w:val="auto"/>
          <w:w w:val="99"/>
          <w:kern w:val="2"/>
          <w:highlight w:val="none"/>
          <w:lang w:val="en-US" w:eastAsia="zh-CN"/>
        </w:rPr>
        <w:t>0</w:t>
      </w:r>
      <w:r>
        <w:rPr>
          <w:rFonts w:ascii="Times New Roman" w:hAnsi="Times New Roman" w:cs="Times New Roman"/>
          <w:b/>
          <w:bCs/>
          <w:color w:val="auto"/>
          <w:w w:val="99"/>
          <w:kern w:val="2"/>
          <w:highlight w:val="none"/>
        </w:rPr>
        <w:t>-</w:t>
      </w:r>
      <w:r>
        <w:rPr>
          <w:rFonts w:hint="eastAsia" w:ascii="Times New Roman" w:hAnsi="Times New Roman" w:cs="Times New Roman"/>
          <w:b/>
          <w:bCs/>
          <w:color w:val="auto"/>
          <w:w w:val="99"/>
          <w:kern w:val="2"/>
          <w:highlight w:val="none"/>
          <w:lang w:val="en-US" w:eastAsia="zh-CN"/>
        </w:rPr>
        <w:t>8</w:t>
      </w:r>
      <w:r>
        <w:rPr>
          <w:rFonts w:ascii="Times New Roman" w:hAnsi="Times New Roman" w:cs="Times New Roman"/>
          <w:b/>
          <w:bCs/>
          <w:color w:val="auto"/>
          <w:w w:val="99"/>
          <w:kern w:val="2"/>
          <w:highlight w:val="none"/>
        </w:rPr>
        <w:t xml:space="preserve">    危险废物情况一览表</w:t>
      </w:r>
    </w:p>
    <w:tbl>
      <w:tblPr>
        <w:tblStyle w:val="80"/>
        <w:tblW w:w="500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2"/>
        <w:gridCol w:w="655"/>
        <w:gridCol w:w="1018"/>
        <w:gridCol w:w="726"/>
        <w:gridCol w:w="727"/>
        <w:gridCol w:w="727"/>
        <w:gridCol w:w="727"/>
        <w:gridCol w:w="726"/>
        <w:gridCol w:w="581"/>
        <w:gridCol w:w="1021"/>
        <w:gridCol w:w="583"/>
        <w:gridCol w:w="1295"/>
      </w:tblGrid>
      <w:tr w14:paraId="641B2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Align w:val="center"/>
          </w:tcPr>
          <w:p w14:paraId="721521A6">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655" w:type="dxa"/>
            <w:vAlign w:val="center"/>
          </w:tcPr>
          <w:p w14:paraId="34A8D425">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危险废物名称</w:t>
            </w:r>
          </w:p>
        </w:tc>
        <w:tc>
          <w:tcPr>
            <w:tcW w:w="1018" w:type="dxa"/>
            <w:vAlign w:val="center"/>
          </w:tcPr>
          <w:p w14:paraId="6858A45E">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危险废物类别</w:t>
            </w:r>
          </w:p>
        </w:tc>
        <w:tc>
          <w:tcPr>
            <w:tcW w:w="726" w:type="dxa"/>
            <w:vAlign w:val="center"/>
          </w:tcPr>
          <w:p w14:paraId="33D1777F">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危险废物代码</w:t>
            </w:r>
          </w:p>
        </w:tc>
        <w:tc>
          <w:tcPr>
            <w:tcW w:w="727" w:type="dxa"/>
            <w:vAlign w:val="center"/>
          </w:tcPr>
          <w:p w14:paraId="09A16F22">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产生量</w:t>
            </w:r>
          </w:p>
        </w:tc>
        <w:tc>
          <w:tcPr>
            <w:tcW w:w="727" w:type="dxa"/>
            <w:vAlign w:val="center"/>
          </w:tcPr>
          <w:p w14:paraId="7170050C">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产生工序</w:t>
            </w:r>
          </w:p>
        </w:tc>
        <w:tc>
          <w:tcPr>
            <w:tcW w:w="727" w:type="dxa"/>
            <w:vAlign w:val="center"/>
          </w:tcPr>
          <w:p w14:paraId="489F21CA">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形态</w:t>
            </w:r>
          </w:p>
        </w:tc>
        <w:tc>
          <w:tcPr>
            <w:tcW w:w="726" w:type="dxa"/>
            <w:vAlign w:val="center"/>
          </w:tcPr>
          <w:p w14:paraId="3D1611A1">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主要成分</w:t>
            </w:r>
          </w:p>
        </w:tc>
        <w:tc>
          <w:tcPr>
            <w:tcW w:w="581" w:type="dxa"/>
            <w:vAlign w:val="center"/>
          </w:tcPr>
          <w:p w14:paraId="0E0030AF">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有害成分</w:t>
            </w:r>
          </w:p>
        </w:tc>
        <w:tc>
          <w:tcPr>
            <w:tcW w:w="1021" w:type="dxa"/>
            <w:vAlign w:val="center"/>
          </w:tcPr>
          <w:p w14:paraId="079A52D2">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产废周期</w:t>
            </w:r>
          </w:p>
        </w:tc>
        <w:tc>
          <w:tcPr>
            <w:tcW w:w="583" w:type="dxa"/>
            <w:vAlign w:val="center"/>
          </w:tcPr>
          <w:p w14:paraId="0C38D750">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w:t>
            </w:r>
          </w:p>
          <w:p w14:paraId="3F9A4247">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特性</w:t>
            </w:r>
          </w:p>
        </w:tc>
        <w:tc>
          <w:tcPr>
            <w:tcW w:w="1295" w:type="dxa"/>
            <w:vAlign w:val="center"/>
          </w:tcPr>
          <w:p w14:paraId="377274F1">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污染防治措施</w:t>
            </w:r>
          </w:p>
        </w:tc>
      </w:tr>
      <w:tr w14:paraId="249EA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Align w:val="center"/>
          </w:tcPr>
          <w:p w14:paraId="2427780F">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655" w:type="dxa"/>
            <w:vAlign w:val="center"/>
          </w:tcPr>
          <w:p w14:paraId="54C98E50">
            <w:pPr>
              <w:topLinePunct/>
              <w:snapToGrid w:val="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color w:val="auto"/>
                <w:w w:val="99"/>
                <w:kern w:val="2"/>
                <w:sz w:val="21"/>
                <w:szCs w:val="21"/>
                <w:highlight w:val="none"/>
                <w:lang w:val="en-US" w:eastAsia="zh-CN"/>
              </w:rPr>
              <w:t>井口含油砂砾</w:t>
            </w:r>
          </w:p>
        </w:tc>
        <w:tc>
          <w:tcPr>
            <w:tcW w:w="1018" w:type="dxa"/>
            <w:vAlign w:val="center"/>
          </w:tcPr>
          <w:p w14:paraId="1BD6F8D3">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HW08废矿物油与含矿物油废物</w:t>
            </w:r>
          </w:p>
        </w:tc>
        <w:tc>
          <w:tcPr>
            <w:tcW w:w="726" w:type="dxa"/>
            <w:vAlign w:val="center"/>
          </w:tcPr>
          <w:p w14:paraId="5780409D">
            <w:pPr>
              <w:topLinePunct/>
              <w:snapToGrid w:val="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900-249-08</w:t>
            </w:r>
            <w:r>
              <w:rPr>
                <w:rFonts w:ascii="Times New Roman" w:hAnsi="Times New Roman" w:cs="Times New Roman" w:eastAsiaTheme="minorEastAsia"/>
                <w:color w:val="auto"/>
                <w:w w:val="99"/>
                <w:sz w:val="21"/>
                <w:szCs w:val="21"/>
                <w:highlight w:val="none"/>
              </w:rPr>
              <w:t>8</w:t>
            </w:r>
          </w:p>
        </w:tc>
        <w:tc>
          <w:tcPr>
            <w:tcW w:w="727" w:type="dxa"/>
            <w:vAlign w:val="center"/>
          </w:tcPr>
          <w:p w14:paraId="4F3F6B2F">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01</w:t>
            </w:r>
            <w:r>
              <w:rPr>
                <w:rFonts w:ascii="Times New Roman" w:hAnsi="Times New Roman" w:cs="Times New Roman" w:eastAsiaTheme="minorEastAsia"/>
                <w:color w:val="auto"/>
                <w:w w:val="99"/>
                <w:sz w:val="21"/>
                <w:szCs w:val="21"/>
                <w:highlight w:val="none"/>
              </w:rPr>
              <w:t>t/a</w:t>
            </w:r>
          </w:p>
        </w:tc>
        <w:tc>
          <w:tcPr>
            <w:tcW w:w="727" w:type="dxa"/>
            <w:vAlign w:val="center"/>
          </w:tcPr>
          <w:p w14:paraId="08468FA5">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集输</w:t>
            </w:r>
          </w:p>
          <w:p w14:paraId="58C65731">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与处理环节</w:t>
            </w:r>
          </w:p>
        </w:tc>
        <w:tc>
          <w:tcPr>
            <w:tcW w:w="727" w:type="dxa"/>
            <w:vAlign w:val="center"/>
          </w:tcPr>
          <w:p w14:paraId="58FFA7F2">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固体</w:t>
            </w:r>
          </w:p>
        </w:tc>
        <w:tc>
          <w:tcPr>
            <w:tcW w:w="726" w:type="dxa"/>
            <w:vAlign w:val="center"/>
          </w:tcPr>
          <w:p w14:paraId="142770AE">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废矿物油</w:t>
            </w:r>
          </w:p>
        </w:tc>
        <w:tc>
          <w:tcPr>
            <w:tcW w:w="581" w:type="dxa"/>
            <w:vAlign w:val="center"/>
          </w:tcPr>
          <w:p w14:paraId="116C4735">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废矿物油</w:t>
            </w:r>
          </w:p>
        </w:tc>
        <w:tc>
          <w:tcPr>
            <w:tcW w:w="1021" w:type="dxa"/>
            <w:vAlign w:val="center"/>
          </w:tcPr>
          <w:p w14:paraId="0A4AC1FB">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设备清淤每年一次</w:t>
            </w:r>
          </w:p>
        </w:tc>
        <w:tc>
          <w:tcPr>
            <w:tcW w:w="583" w:type="dxa"/>
            <w:vAlign w:val="center"/>
          </w:tcPr>
          <w:p w14:paraId="5E4A77C5">
            <w:pPr>
              <w:topLinePunct/>
              <w:snapToGrid w:val="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T、I</w:t>
            </w:r>
          </w:p>
        </w:tc>
        <w:tc>
          <w:tcPr>
            <w:tcW w:w="1295" w:type="dxa"/>
            <w:vMerge w:val="restart"/>
            <w:vAlign w:val="center"/>
          </w:tcPr>
          <w:p w14:paraId="13C69ABE">
            <w:pPr>
              <w:topLinePunct/>
              <w:snapToGrid w:val="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暂存于采气分公司危险废物贮存库内，定期委托有危废处置资质的单位处置</w:t>
            </w:r>
          </w:p>
        </w:tc>
      </w:tr>
      <w:tr w14:paraId="49AD1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Align w:val="center"/>
          </w:tcPr>
          <w:p w14:paraId="2818954B">
            <w:pPr>
              <w:topLinePunct/>
              <w:snapToGrid w:val="0"/>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w:t>
            </w:r>
          </w:p>
        </w:tc>
        <w:tc>
          <w:tcPr>
            <w:tcW w:w="655" w:type="dxa"/>
            <w:shd w:val="clear" w:color="auto" w:fill="auto"/>
            <w:vAlign w:val="center"/>
          </w:tcPr>
          <w:p w14:paraId="3E129AF7">
            <w:pPr>
              <w:topLinePunct/>
              <w:snapToGrid w:val="0"/>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eastAsia="zh-CN"/>
              </w:rPr>
              <w:t>废变压器油</w:t>
            </w:r>
          </w:p>
        </w:tc>
        <w:tc>
          <w:tcPr>
            <w:tcW w:w="1018" w:type="dxa"/>
            <w:shd w:val="clear" w:color="auto" w:fill="auto"/>
            <w:vAlign w:val="center"/>
          </w:tcPr>
          <w:p w14:paraId="7EFB07FD">
            <w:pPr>
              <w:topLinePunct/>
              <w:snapToGrid w:val="0"/>
              <w:jc w:val="center"/>
              <w:rPr>
                <w:rFonts w:hint="eastAsia"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HW08废矿物油与含矿物油废物</w:t>
            </w:r>
          </w:p>
        </w:tc>
        <w:tc>
          <w:tcPr>
            <w:tcW w:w="726" w:type="dxa"/>
            <w:shd w:val="clear" w:color="auto" w:fill="auto"/>
            <w:vAlign w:val="center"/>
          </w:tcPr>
          <w:p w14:paraId="192A652C">
            <w:pPr>
              <w:topLinePunct/>
              <w:snapToGrid w:val="0"/>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eastAsia="zh-CN"/>
              </w:rPr>
              <w:t>900-220-08</w:t>
            </w:r>
          </w:p>
        </w:tc>
        <w:tc>
          <w:tcPr>
            <w:tcW w:w="727" w:type="dxa"/>
            <w:shd w:val="clear" w:color="auto" w:fill="auto"/>
            <w:vAlign w:val="center"/>
          </w:tcPr>
          <w:p w14:paraId="07A66F36">
            <w:pPr>
              <w:topLinePunct/>
              <w:snapToGrid w:val="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0.05</w:t>
            </w:r>
            <w:r>
              <w:rPr>
                <w:rFonts w:ascii="Times New Roman" w:hAnsi="Times New Roman" w:cs="Times New Roman" w:eastAsiaTheme="minorEastAsia"/>
                <w:color w:val="auto"/>
                <w:w w:val="99"/>
                <w:sz w:val="21"/>
                <w:szCs w:val="21"/>
                <w:highlight w:val="none"/>
              </w:rPr>
              <w:t>t/a</w:t>
            </w:r>
          </w:p>
        </w:tc>
        <w:tc>
          <w:tcPr>
            <w:tcW w:w="727" w:type="dxa"/>
            <w:shd w:val="clear" w:color="auto" w:fill="auto"/>
            <w:vAlign w:val="center"/>
          </w:tcPr>
          <w:p w14:paraId="30C7D1FC">
            <w:pPr>
              <w:topLinePunct/>
              <w:snapToGrid w:val="0"/>
              <w:jc w:val="center"/>
              <w:rPr>
                <w:rFonts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设备检修</w:t>
            </w:r>
          </w:p>
        </w:tc>
        <w:tc>
          <w:tcPr>
            <w:tcW w:w="727" w:type="dxa"/>
            <w:shd w:val="clear" w:color="auto" w:fill="auto"/>
            <w:vAlign w:val="center"/>
          </w:tcPr>
          <w:p w14:paraId="1E7DC022">
            <w:pPr>
              <w:topLinePunct/>
              <w:snapToGrid w:val="0"/>
              <w:jc w:val="center"/>
              <w:rPr>
                <w:rFonts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液态</w:t>
            </w:r>
          </w:p>
        </w:tc>
        <w:tc>
          <w:tcPr>
            <w:tcW w:w="726" w:type="dxa"/>
            <w:shd w:val="clear" w:color="auto" w:fill="auto"/>
            <w:vAlign w:val="center"/>
          </w:tcPr>
          <w:p w14:paraId="1BF2CCE3">
            <w:pPr>
              <w:topLinePunct/>
              <w:snapToGrid w:val="0"/>
              <w:jc w:val="center"/>
              <w:rPr>
                <w:rFonts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润滑油</w:t>
            </w:r>
          </w:p>
        </w:tc>
        <w:tc>
          <w:tcPr>
            <w:tcW w:w="581" w:type="dxa"/>
            <w:shd w:val="clear" w:color="auto" w:fill="auto"/>
            <w:vAlign w:val="center"/>
          </w:tcPr>
          <w:p w14:paraId="71428CBE">
            <w:pPr>
              <w:topLinePunct/>
              <w:snapToGrid w:val="0"/>
              <w:jc w:val="center"/>
              <w:rPr>
                <w:rFonts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石油类</w:t>
            </w:r>
          </w:p>
        </w:tc>
        <w:tc>
          <w:tcPr>
            <w:tcW w:w="1021" w:type="dxa"/>
            <w:shd w:val="clear" w:color="auto" w:fill="auto"/>
            <w:vAlign w:val="center"/>
          </w:tcPr>
          <w:p w14:paraId="3BBD0A08">
            <w:pPr>
              <w:topLinePunct/>
              <w:snapToGrid w:val="0"/>
              <w:jc w:val="center"/>
              <w:rPr>
                <w:rFonts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设备检修每年一次</w:t>
            </w:r>
          </w:p>
        </w:tc>
        <w:tc>
          <w:tcPr>
            <w:tcW w:w="583" w:type="dxa"/>
            <w:shd w:val="clear" w:color="auto" w:fill="auto"/>
            <w:vAlign w:val="center"/>
          </w:tcPr>
          <w:p w14:paraId="522D882B">
            <w:pPr>
              <w:topLinePunct/>
              <w:snapToGrid w:val="0"/>
              <w:jc w:val="center"/>
              <w:rPr>
                <w:rFonts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T、I</w:t>
            </w:r>
          </w:p>
        </w:tc>
        <w:tc>
          <w:tcPr>
            <w:tcW w:w="1295" w:type="dxa"/>
            <w:vMerge w:val="continue"/>
            <w:shd w:val="clear" w:color="auto" w:fill="auto"/>
            <w:vAlign w:val="center"/>
          </w:tcPr>
          <w:p w14:paraId="5F41C318">
            <w:pPr>
              <w:topLinePunct/>
              <w:snapToGrid w:val="0"/>
              <w:jc w:val="center"/>
              <w:rPr>
                <w:rFonts w:hint="eastAsia" w:ascii="Times New Roman" w:hAnsi="Times New Roman" w:cs="Times New Roman" w:eastAsiaTheme="minorEastAsia"/>
                <w:color w:val="auto"/>
                <w:w w:val="99"/>
                <w:sz w:val="21"/>
                <w:szCs w:val="21"/>
                <w:highlight w:val="none"/>
                <w:lang w:val="en-US" w:eastAsia="zh-CN"/>
              </w:rPr>
            </w:pPr>
          </w:p>
        </w:tc>
      </w:tr>
    </w:tbl>
    <w:p w14:paraId="2792BA9A">
      <w:pPr>
        <w:widowControl w:val="0"/>
        <w:spacing w:line="440" w:lineRule="exact"/>
        <w:jc w:val="both"/>
        <w:outlineLvl w:val="3"/>
        <w:rPr>
          <w:rFonts w:ascii="Times New Roman" w:hAnsi="Times New Roman" w:cs="Times New Roman" w:eastAsiaTheme="minorEastAsia"/>
          <w:b/>
          <w:color w:val="auto"/>
          <w:w w:val="99"/>
          <w:highlight w:val="none"/>
        </w:rPr>
      </w:pPr>
      <w:r>
        <w:rPr>
          <w:rFonts w:hint="eastAsia" w:ascii="Times New Roman" w:hAnsi="Times New Roman" w:cs="Times New Roman" w:eastAsiaTheme="minorEastAsia"/>
          <w:b/>
          <w:color w:val="auto"/>
          <w:w w:val="99"/>
          <w:highlight w:val="none"/>
          <w:lang w:eastAsia="zh-CN"/>
        </w:rPr>
        <w:t>3.1</w:t>
      </w:r>
      <w:r>
        <w:rPr>
          <w:rFonts w:hint="eastAsia" w:ascii="Times New Roman" w:hAnsi="Times New Roman" w:cs="Times New Roman" w:eastAsiaTheme="minorEastAsia"/>
          <w:b/>
          <w:color w:val="auto"/>
          <w:w w:val="99"/>
          <w:highlight w:val="none"/>
          <w:lang w:val="en-US" w:eastAsia="zh-CN"/>
        </w:rPr>
        <w:t>0</w:t>
      </w:r>
      <w:r>
        <w:rPr>
          <w:rFonts w:ascii="Times New Roman" w:hAnsi="Times New Roman" w:cs="Times New Roman" w:eastAsiaTheme="minorEastAsia"/>
          <w:b/>
          <w:color w:val="auto"/>
          <w:w w:val="99"/>
          <w:highlight w:val="none"/>
        </w:rPr>
        <w:t>.</w:t>
      </w:r>
      <w:r>
        <w:rPr>
          <w:rFonts w:hint="eastAsia" w:ascii="Times New Roman" w:hAnsi="Times New Roman" w:cs="Times New Roman" w:eastAsiaTheme="minorEastAsia"/>
          <w:b/>
          <w:color w:val="auto"/>
          <w:w w:val="99"/>
          <w:highlight w:val="none"/>
          <w:lang w:val="en-US" w:eastAsia="zh-CN"/>
        </w:rPr>
        <w:t>4</w:t>
      </w:r>
      <w:r>
        <w:rPr>
          <w:rFonts w:ascii="Times New Roman" w:hAnsi="Times New Roman" w:cs="Times New Roman" w:eastAsiaTheme="minorEastAsia"/>
          <w:b/>
          <w:color w:val="auto"/>
          <w:w w:val="99"/>
          <w:highlight w:val="none"/>
        </w:rPr>
        <w:t>.3退役期污染源源强核算</w:t>
      </w:r>
    </w:p>
    <w:p w14:paraId="430D6004">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zh-CN" w:eastAsia="zh-CN"/>
        </w:rPr>
      </w:pPr>
      <w:r>
        <w:rPr>
          <w:rFonts w:hint="default" w:ascii="Times New Roman" w:hAnsi="Times New Roman" w:eastAsia="宋体" w:cs="Times New Roman"/>
          <w:color w:val="auto"/>
          <w:w w:val="99"/>
          <w:kern w:val="2"/>
          <w:highlight w:val="none"/>
          <w:lang w:val="zh-CN" w:eastAsia="zh-CN"/>
        </w:rPr>
        <w:t>（1）废气</w:t>
      </w:r>
    </w:p>
    <w:p w14:paraId="73294A86">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退役期废气主要为场地清理平整过程中产生的粉尘、二次扬尘，以及施工设备和运输车辆尾气。</w:t>
      </w:r>
    </w:p>
    <w:p w14:paraId="121CE50D">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①</w:t>
      </w:r>
      <w:r>
        <w:rPr>
          <w:rFonts w:hint="default" w:ascii="Times New Roman" w:hAnsi="Times New Roman" w:eastAsia="宋体" w:cs="Times New Roman"/>
          <w:color w:val="auto"/>
          <w:w w:val="99"/>
          <w:kern w:val="2"/>
          <w:highlight w:val="none"/>
          <w:lang w:val="en-US" w:eastAsia="zh-CN"/>
        </w:rPr>
        <w:t>施工扬尘</w:t>
      </w:r>
    </w:p>
    <w:p w14:paraId="798BECA0">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zh-CN" w:eastAsia="zh-CN"/>
        </w:rPr>
      </w:pPr>
      <w:r>
        <w:rPr>
          <w:rFonts w:hint="default" w:ascii="Times New Roman" w:hAnsi="Times New Roman" w:eastAsia="宋体" w:cs="Times New Roman"/>
          <w:color w:val="auto"/>
          <w:w w:val="99"/>
          <w:kern w:val="2"/>
          <w:highlight w:val="none"/>
          <w:lang w:val="en-US" w:eastAsia="zh-CN"/>
        </w:rPr>
        <w:t>本项目退役期施工扬尘主要来自平整土地、材料运输、装卸等过程。本项目所在区域平坦空旷，大气扩散条件好。井场相对分散，且施工时间较短，在采取车辆密闭运输、洒水抑尘等措施后，退役期施工扬尘影响较小。</w:t>
      </w:r>
    </w:p>
    <w:p w14:paraId="0801AC37">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zh-CN" w:eastAsia="zh-CN"/>
        </w:rPr>
      </w:pPr>
      <w:r>
        <w:rPr>
          <w:rFonts w:hint="eastAsia" w:ascii="Times New Roman" w:hAnsi="Times New Roman" w:eastAsia="宋体" w:cs="Times New Roman"/>
          <w:color w:val="auto"/>
          <w:w w:val="99"/>
          <w:kern w:val="2"/>
          <w:highlight w:val="none"/>
          <w:lang w:val="zh-CN" w:eastAsia="zh-CN"/>
        </w:rPr>
        <w:t>②</w:t>
      </w:r>
      <w:r>
        <w:rPr>
          <w:rFonts w:hint="default" w:ascii="Times New Roman" w:hAnsi="Times New Roman" w:eastAsia="宋体" w:cs="Times New Roman"/>
          <w:color w:val="auto"/>
          <w:w w:val="99"/>
          <w:kern w:val="2"/>
          <w:highlight w:val="none"/>
          <w:lang w:val="zh-CN" w:eastAsia="zh-CN"/>
        </w:rPr>
        <w:t>车辆尾气</w:t>
      </w:r>
    </w:p>
    <w:p w14:paraId="433877A6">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zh-CN" w:eastAsia="zh-CN"/>
        </w:rPr>
      </w:pPr>
      <w:r>
        <w:rPr>
          <w:rFonts w:hint="default" w:ascii="Times New Roman" w:hAnsi="Times New Roman" w:eastAsia="宋体" w:cs="Times New Roman"/>
          <w:color w:val="auto"/>
          <w:w w:val="99"/>
          <w:kern w:val="2"/>
          <w:highlight w:val="none"/>
          <w:lang w:val="zh-CN" w:eastAsia="zh-CN"/>
        </w:rPr>
        <w:t>在</w:t>
      </w:r>
      <w:r>
        <w:rPr>
          <w:rFonts w:hint="default" w:ascii="Times New Roman" w:hAnsi="Times New Roman" w:eastAsia="宋体" w:cs="Times New Roman"/>
          <w:color w:val="auto"/>
          <w:w w:val="99"/>
          <w:kern w:val="2"/>
          <w:highlight w:val="none"/>
          <w:lang w:val="en-US" w:eastAsia="zh-CN"/>
        </w:rPr>
        <w:t>退役期</w:t>
      </w:r>
      <w:r>
        <w:rPr>
          <w:rFonts w:hint="default" w:ascii="Times New Roman" w:hAnsi="Times New Roman" w:eastAsia="宋体" w:cs="Times New Roman"/>
          <w:color w:val="auto"/>
          <w:w w:val="99"/>
          <w:kern w:val="2"/>
          <w:highlight w:val="none"/>
          <w:lang w:val="zh-CN" w:eastAsia="zh-CN"/>
        </w:rPr>
        <w:t>施工期间，使用液体燃料的施工机械及运输车辆的发动机排放的尾气在含有NO</w:t>
      </w:r>
      <w:r>
        <w:rPr>
          <w:rFonts w:hint="default" w:ascii="Times New Roman" w:hAnsi="Times New Roman" w:eastAsia="宋体" w:cs="Times New Roman"/>
          <w:color w:val="auto"/>
          <w:w w:val="99"/>
          <w:kern w:val="2"/>
          <w:highlight w:val="none"/>
          <w:vertAlign w:val="subscript"/>
          <w:lang w:val="zh-CN" w:eastAsia="zh-CN"/>
        </w:rPr>
        <w:t>2</w:t>
      </w:r>
      <w:r>
        <w:rPr>
          <w:rFonts w:hint="default" w:ascii="Times New Roman" w:hAnsi="Times New Roman" w:eastAsia="宋体" w:cs="Times New Roman"/>
          <w:color w:val="auto"/>
          <w:w w:val="99"/>
          <w:kern w:val="2"/>
          <w:highlight w:val="none"/>
          <w:lang w:val="zh-CN" w:eastAsia="zh-CN"/>
        </w:rPr>
        <w:t>、CO、HC等污染物，一般情况下，</w:t>
      </w:r>
      <w:r>
        <w:rPr>
          <w:rFonts w:hint="default" w:ascii="Times New Roman" w:hAnsi="Times New Roman" w:eastAsia="宋体" w:cs="Times New Roman"/>
          <w:color w:val="auto"/>
          <w:w w:val="99"/>
          <w:kern w:val="2"/>
          <w:highlight w:val="none"/>
          <w:lang w:val="en-US" w:eastAsia="zh-CN"/>
        </w:rPr>
        <w:t>施工车辆选用高标号汽柴油，</w:t>
      </w:r>
      <w:r>
        <w:rPr>
          <w:rFonts w:hint="default" w:ascii="Times New Roman" w:hAnsi="Times New Roman" w:eastAsia="宋体" w:cs="Times New Roman"/>
          <w:color w:val="auto"/>
          <w:w w:val="99"/>
          <w:kern w:val="2"/>
          <w:highlight w:val="none"/>
          <w:lang w:val="zh-CN" w:eastAsia="zh-CN"/>
        </w:rPr>
        <w:t>各种污染物的排放量不大，对周围环境的影响较小。</w:t>
      </w:r>
    </w:p>
    <w:p w14:paraId="6852E196">
      <w:pPr>
        <w:widowControl w:val="0"/>
        <w:spacing w:line="440" w:lineRule="exact"/>
        <w:ind w:firstLine="474" w:firstLineChars="200"/>
        <w:jc w:val="both"/>
        <w:rPr>
          <w:rFonts w:ascii="Times New Roman" w:hAnsi="Times New Roman" w:cs="Times New Roman" w:eastAsiaTheme="minorEastAsia"/>
          <w:color w:val="auto"/>
          <w:w w:val="99"/>
          <w:highlight w:val="none"/>
          <w:lang w:val="zh-CN"/>
        </w:rPr>
      </w:pPr>
      <w:r>
        <w:rPr>
          <w:rFonts w:ascii="Times New Roman" w:hAnsi="Times New Roman" w:cs="Times New Roman" w:eastAsiaTheme="minorEastAsia"/>
          <w:color w:val="auto"/>
          <w:w w:val="99"/>
          <w:highlight w:val="none"/>
          <w:lang w:val="zh-CN"/>
        </w:rPr>
        <w:t>（2）废水</w:t>
      </w:r>
    </w:p>
    <w:p w14:paraId="4FFE5EED">
      <w:pPr>
        <w:widowControl w:val="0"/>
        <w:spacing w:line="440" w:lineRule="exact"/>
        <w:ind w:firstLine="474" w:firstLineChars="200"/>
        <w:jc w:val="both"/>
        <w:rPr>
          <w:rFonts w:hint="default" w:ascii="Times New Roman" w:hAnsi="Times New Roman" w:cs="Times New Roman"/>
          <w:color w:val="auto"/>
          <w:w w:val="99"/>
          <w:kern w:val="2"/>
          <w:highlight w:val="none"/>
          <w:lang w:val="en-US" w:eastAsia="zh-CN"/>
        </w:rPr>
      </w:pPr>
      <w:r>
        <w:rPr>
          <w:rFonts w:hint="eastAsia" w:ascii="Times New Roman" w:hAnsi="Times New Roman" w:cs="Times New Roman"/>
          <w:color w:val="auto"/>
          <w:w w:val="99"/>
          <w:kern w:val="2"/>
          <w:highlight w:val="none"/>
          <w:lang w:val="en-US" w:eastAsia="zh-CN"/>
        </w:rPr>
        <w:t>退役期管线采用氮气扫线，</w:t>
      </w:r>
      <w:r>
        <w:rPr>
          <w:rFonts w:hint="default" w:ascii="Times New Roman" w:hAnsi="Times New Roman" w:cs="Times New Roman"/>
          <w:color w:val="auto"/>
          <w:w w:val="99"/>
          <w:kern w:val="2"/>
          <w:highlight w:val="none"/>
          <w:lang w:val="en-US" w:eastAsia="zh-CN"/>
        </w:rPr>
        <w:t>废水主要为设备清洗废水及生活污水。</w:t>
      </w:r>
    </w:p>
    <w:p w14:paraId="45C1B1BE">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①</w:t>
      </w:r>
      <w:r>
        <w:rPr>
          <w:rFonts w:hint="default" w:ascii="Times New Roman" w:hAnsi="Times New Roman" w:eastAsia="宋体" w:cs="Times New Roman"/>
          <w:color w:val="auto"/>
          <w:w w:val="99"/>
          <w:kern w:val="2"/>
          <w:highlight w:val="none"/>
          <w:lang w:val="en-US" w:eastAsia="zh-CN"/>
        </w:rPr>
        <w:t>设备清洗废水</w:t>
      </w:r>
    </w:p>
    <w:p w14:paraId="24096A49">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参考大庆油</w:t>
      </w:r>
      <w:r>
        <w:rPr>
          <w:rFonts w:hint="eastAsia" w:ascii="Times New Roman" w:hAnsi="Times New Roman" w:cs="Times New Roman"/>
          <w:color w:val="auto"/>
          <w:w w:val="99"/>
          <w:kern w:val="2"/>
          <w:highlight w:val="none"/>
          <w:lang w:val="en-US" w:eastAsia="zh-CN"/>
        </w:rPr>
        <w:t>气</w:t>
      </w:r>
      <w:r>
        <w:rPr>
          <w:rFonts w:hint="default" w:ascii="Times New Roman" w:hAnsi="Times New Roman" w:eastAsia="宋体" w:cs="Times New Roman"/>
          <w:color w:val="auto"/>
          <w:w w:val="99"/>
          <w:kern w:val="2"/>
          <w:highlight w:val="none"/>
          <w:lang w:val="en-US" w:eastAsia="zh-CN"/>
        </w:rPr>
        <w:t>田已有生产经验，清洗废水产生量为0.52m</w:t>
      </w:r>
      <w:r>
        <w:rPr>
          <w:rFonts w:hint="default" w:ascii="Times New Roman" w:hAnsi="Times New Roman" w:eastAsia="宋体" w:cs="Times New Roman"/>
          <w:color w:val="auto"/>
          <w:w w:val="99"/>
          <w:kern w:val="2"/>
          <w:highlight w:val="none"/>
          <w:vertAlign w:val="superscript"/>
          <w:lang w:val="en-US" w:eastAsia="zh-CN"/>
        </w:rPr>
        <w:t>3</w:t>
      </w:r>
      <w:r>
        <w:rPr>
          <w:rFonts w:hint="default" w:ascii="Times New Roman" w:hAnsi="Times New Roman" w:eastAsia="宋体" w:cs="Times New Roman"/>
          <w:color w:val="auto"/>
          <w:w w:val="99"/>
          <w:kern w:val="2"/>
          <w:highlight w:val="none"/>
          <w:lang w:val="en-US" w:eastAsia="zh-CN"/>
        </w:rPr>
        <w:t>/井次，</w:t>
      </w:r>
      <w:r>
        <w:rPr>
          <w:rFonts w:hint="eastAsia" w:ascii="Times New Roman" w:hAnsi="Times New Roman" w:eastAsia="宋体" w:cs="Times New Roman"/>
          <w:color w:val="auto"/>
          <w:w w:val="99"/>
          <w:kern w:val="2"/>
          <w:highlight w:val="none"/>
          <w:lang w:val="en-US" w:eastAsia="zh-CN"/>
        </w:rPr>
        <w:t>若本次投产的</w:t>
      </w:r>
      <w:r>
        <w:rPr>
          <w:rFonts w:hint="eastAsia" w:ascii="Times New Roman" w:hAnsi="Times New Roman" w:cs="Times New Roman"/>
          <w:color w:val="auto"/>
          <w:w w:val="99"/>
          <w:kern w:val="2"/>
          <w:highlight w:val="none"/>
          <w:lang w:val="en-US" w:eastAsia="zh-CN"/>
        </w:rPr>
        <w:t>1</w:t>
      </w:r>
      <w:r>
        <w:rPr>
          <w:rFonts w:hint="eastAsia" w:ascii="Times New Roman" w:hAnsi="Times New Roman" w:eastAsia="宋体" w:cs="Times New Roman"/>
          <w:color w:val="auto"/>
          <w:w w:val="99"/>
          <w:kern w:val="2"/>
          <w:highlight w:val="none"/>
          <w:lang w:val="en-US" w:eastAsia="zh-CN"/>
        </w:rPr>
        <w:t>口气井全部退役，</w:t>
      </w:r>
      <w:r>
        <w:rPr>
          <w:rFonts w:hint="default" w:ascii="Times New Roman" w:hAnsi="Times New Roman" w:eastAsia="宋体" w:cs="Times New Roman"/>
          <w:color w:val="auto"/>
          <w:w w:val="99"/>
          <w:kern w:val="2"/>
          <w:highlight w:val="none"/>
          <w:lang w:val="en-US" w:eastAsia="zh-CN"/>
        </w:rPr>
        <w:t>则清洗废水约为</w:t>
      </w:r>
      <w:r>
        <w:rPr>
          <w:rFonts w:hint="eastAsia" w:ascii="Times New Roman" w:hAnsi="Times New Roman" w:cs="Times New Roman"/>
          <w:color w:val="auto"/>
          <w:w w:val="99"/>
          <w:kern w:val="2"/>
          <w:highlight w:val="none"/>
          <w:lang w:val="en-US" w:eastAsia="zh-CN"/>
        </w:rPr>
        <w:t>0.52</w:t>
      </w:r>
      <w:r>
        <w:rPr>
          <w:rFonts w:hint="default" w:ascii="Times New Roman" w:hAnsi="Times New Roman" w:eastAsia="宋体" w:cs="Times New Roman"/>
          <w:color w:val="auto"/>
          <w:w w:val="99"/>
          <w:kern w:val="2"/>
          <w:highlight w:val="none"/>
          <w:lang w:val="en-US" w:eastAsia="zh-CN"/>
        </w:rPr>
        <w:t>m</w:t>
      </w:r>
      <w:r>
        <w:rPr>
          <w:rFonts w:hint="default" w:ascii="Times New Roman" w:hAnsi="Times New Roman" w:eastAsia="宋体" w:cs="Times New Roman"/>
          <w:color w:val="auto"/>
          <w:w w:val="99"/>
          <w:kern w:val="2"/>
          <w:highlight w:val="none"/>
          <w:vertAlign w:val="superscript"/>
          <w:lang w:val="en-US" w:eastAsia="zh-CN"/>
        </w:rPr>
        <w:t>3</w:t>
      </w:r>
      <w:r>
        <w:rPr>
          <w:rFonts w:hint="default" w:ascii="Times New Roman" w:hAnsi="Times New Roman" w:eastAsia="宋体" w:cs="Times New Roman"/>
          <w:color w:val="auto"/>
          <w:w w:val="99"/>
          <w:kern w:val="2"/>
          <w:highlight w:val="none"/>
          <w:lang w:val="en-US" w:eastAsia="zh-CN"/>
        </w:rPr>
        <w:t>，主要污染因子为石油类、SS，清洗过程中在现场钢槽中进行，清洗废水收集后由罐车拉运至</w:t>
      </w:r>
      <w:r>
        <w:rPr>
          <w:rFonts w:hint="eastAsia" w:ascii="Times New Roman" w:hAnsi="Times New Roman" w:eastAsia="宋体" w:cs="Times New Roman"/>
          <w:color w:val="auto"/>
          <w:w w:val="99"/>
          <w:kern w:val="2"/>
          <w:highlight w:val="none"/>
          <w:lang w:val="en-US" w:eastAsia="zh-CN"/>
        </w:rPr>
        <w:t>升一联气田</w:t>
      </w:r>
      <w:r>
        <w:rPr>
          <w:rFonts w:hint="default" w:ascii="Times New Roman" w:hAnsi="Times New Roman" w:eastAsia="宋体" w:cs="Times New Roman"/>
          <w:color w:val="auto"/>
          <w:w w:val="99"/>
          <w:kern w:val="2"/>
          <w:highlight w:val="none"/>
          <w:lang w:val="en-US" w:eastAsia="zh-CN"/>
        </w:rPr>
        <w:t>污水</w:t>
      </w:r>
      <w:r>
        <w:rPr>
          <w:rFonts w:hint="eastAsia" w:ascii="Times New Roman" w:hAnsi="Times New Roman" w:eastAsia="宋体" w:cs="Times New Roman"/>
          <w:color w:val="auto"/>
          <w:w w:val="99"/>
          <w:kern w:val="2"/>
          <w:highlight w:val="none"/>
          <w:lang w:val="en-US" w:eastAsia="zh-CN"/>
        </w:rPr>
        <w:t>预</w:t>
      </w:r>
      <w:r>
        <w:rPr>
          <w:rFonts w:hint="default" w:ascii="Times New Roman" w:hAnsi="Times New Roman" w:eastAsia="宋体" w:cs="Times New Roman"/>
          <w:color w:val="auto"/>
          <w:w w:val="99"/>
          <w:kern w:val="2"/>
          <w:highlight w:val="none"/>
          <w:lang w:val="en-US" w:eastAsia="zh-CN"/>
        </w:rPr>
        <w:t>处理站处理。</w:t>
      </w:r>
    </w:p>
    <w:p w14:paraId="7E91CE6C">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②</w:t>
      </w:r>
      <w:r>
        <w:rPr>
          <w:rFonts w:hint="default" w:ascii="Times New Roman" w:hAnsi="Times New Roman" w:eastAsia="宋体" w:cs="Times New Roman"/>
          <w:color w:val="auto"/>
          <w:w w:val="99"/>
          <w:kern w:val="2"/>
          <w:highlight w:val="none"/>
          <w:lang w:val="en-US" w:eastAsia="zh-CN"/>
        </w:rPr>
        <w:t>生活污水</w:t>
      </w:r>
    </w:p>
    <w:p w14:paraId="7937A231">
      <w:pPr>
        <w:widowControl w:val="0"/>
        <w:spacing w:line="440" w:lineRule="exact"/>
        <w:ind w:firstLine="474" w:firstLineChars="200"/>
        <w:jc w:val="both"/>
        <w:rPr>
          <w:rFonts w:hint="eastAsia"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退役期施工人员约20人，施工期约5d，根据《用水定额》（</w:t>
      </w:r>
      <w:r>
        <w:rPr>
          <w:rFonts w:hint="default" w:ascii="Times New Roman" w:hAnsi="Times New Roman" w:eastAsia="宋体" w:cs="Times New Roman"/>
          <w:color w:val="auto"/>
          <w:w w:val="99"/>
          <w:kern w:val="2"/>
          <w:highlight w:val="none"/>
          <w:lang w:val="en-US" w:eastAsia="zh-CN"/>
        </w:rPr>
        <w:t>DB23/T727-202</w:t>
      </w:r>
      <w:r>
        <w:rPr>
          <w:rFonts w:hint="eastAsia" w:ascii="Times New Roman" w:hAnsi="Times New Roman" w:cs="Times New Roman"/>
          <w:color w:val="auto"/>
          <w:w w:val="99"/>
          <w:kern w:val="2"/>
          <w:highlight w:val="none"/>
          <w:lang w:val="en-US" w:eastAsia="zh-CN"/>
        </w:rPr>
        <w:t>5</w:t>
      </w:r>
      <w:r>
        <w:rPr>
          <w:rFonts w:hint="eastAsia" w:ascii="Times New Roman" w:hAnsi="Times New Roman" w:eastAsia="宋体" w:cs="Times New Roman"/>
          <w:color w:val="auto"/>
          <w:w w:val="99"/>
          <w:kern w:val="2"/>
          <w:highlight w:val="none"/>
          <w:lang w:val="en-US" w:eastAsia="zh-CN"/>
        </w:rPr>
        <w:t>）项目施工期生活用水量按</w:t>
      </w:r>
      <w:r>
        <w:rPr>
          <w:rFonts w:hint="default" w:ascii="Times New Roman" w:hAnsi="Times New Roman" w:eastAsia="宋体" w:cs="Times New Roman"/>
          <w:color w:val="auto"/>
          <w:w w:val="99"/>
          <w:kern w:val="2"/>
          <w:highlight w:val="none"/>
          <w:lang w:val="en-US" w:eastAsia="zh-CN"/>
        </w:rPr>
        <w:t>80L/</w:t>
      </w:r>
      <w:r>
        <w:rPr>
          <w:rFonts w:hint="eastAsia" w:ascii="Times New Roman" w:hAnsi="Times New Roman" w:eastAsia="宋体" w:cs="Times New Roman"/>
          <w:color w:val="auto"/>
          <w:w w:val="99"/>
          <w:kern w:val="2"/>
          <w:highlight w:val="none"/>
          <w:lang w:val="en-US" w:eastAsia="zh-CN"/>
        </w:rPr>
        <w:t>人</w:t>
      </w:r>
      <w:r>
        <w:rPr>
          <w:rFonts w:hint="default" w:ascii="Times New Roman" w:hAnsi="Times New Roman" w:eastAsia="宋体" w:cs="Times New Roman"/>
          <w:color w:val="auto"/>
          <w:w w:val="99"/>
          <w:kern w:val="2"/>
          <w:highlight w:val="none"/>
          <w:lang w:val="en-US" w:eastAsia="zh-CN"/>
        </w:rPr>
        <w:t xml:space="preserve">·d </w:t>
      </w:r>
      <w:r>
        <w:rPr>
          <w:rFonts w:hint="eastAsia" w:ascii="Times New Roman" w:hAnsi="Times New Roman" w:eastAsia="宋体" w:cs="Times New Roman"/>
          <w:color w:val="auto"/>
          <w:w w:val="99"/>
          <w:kern w:val="2"/>
          <w:highlight w:val="none"/>
          <w:lang w:val="en-US" w:eastAsia="zh-CN"/>
        </w:rPr>
        <w:t>计，则退役期施工人员生活用水量为</w:t>
      </w:r>
      <w:r>
        <w:rPr>
          <w:rFonts w:hint="eastAsia" w:ascii="Times New Roman" w:hAnsi="Times New Roman" w:cs="Times New Roman"/>
          <w:color w:val="auto"/>
          <w:w w:val="99"/>
          <w:kern w:val="2"/>
          <w:highlight w:val="none"/>
          <w:lang w:val="en-US" w:eastAsia="zh-CN"/>
        </w:rPr>
        <w:t>8</w:t>
      </w:r>
      <w:r>
        <w:rPr>
          <w:rFonts w:hint="default" w:ascii="Times New Roman" w:hAnsi="Times New Roman" w:eastAsia="宋体" w:cs="Times New Roman"/>
          <w:color w:val="auto"/>
          <w:w w:val="99"/>
          <w:kern w:val="2"/>
          <w:highlight w:val="none"/>
          <w:lang w:val="en-US" w:eastAsia="zh-CN"/>
        </w:rPr>
        <w:t>m</w:t>
      </w:r>
      <w:r>
        <w:rPr>
          <w:rFonts w:hint="default" w:ascii="Times New Roman" w:hAnsi="Times New Roman" w:eastAsia="宋体" w:cs="Times New Roman"/>
          <w:color w:val="auto"/>
          <w:w w:val="99"/>
          <w:kern w:val="2"/>
          <w:highlight w:val="none"/>
          <w:vertAlign w:val="superscript"/>
          <w:lang w:val="en-US" w:eastAsia="zh-CN"/>
        </w:rPr>
        <w:t>3</w:t>
      </w:r>
      <w:r>
        <w:rPr>
          <w:rFonts w:hint="eastAsia" w:ascii="Times New Roman" w:hAnsi="Times New Roman" w:eastAsia="宋体" w:cs="Times New Roman"/>
          <w:color w:val="auto"/>
          <w:w w:val="99"/>
          <w:kern w:val="2"/>
          <w:highlight w:val="none"/>
          <w:lang w:val="en-US" w:eastAsia="zh-CN"/>
        </w:rPr>
        <w:t>，生活污水按生活用水量的</w:t>
      </w:r>
      <w:r>
        <w:rPr>
          <w:rFonts w:hint="default" w:ascii="Times New Roman" w:hAnsi="Times New Roman" w:eastAsia="宋体" w:cs="Times New Roman"/>
          <w:color w:val="auto"/>
          <w:w w:val="99"/>
          <w:kern w:val="2"/>
          <w:highlight w:val="none"/>
          <w:lang w:val="en-US" w:eastAsia="zh-CN"/>
        </w:rPr>
        <w:t>80%</w:t>
      </w:r>
      <w:r>
        <w:rPr>
          <w:rFonts w:hint="eastAsia" w:ascii="Times New Roman" w:hAnsi="Times New Roman" w:eastAsia="宋体" w:cs="Times New Roman"/>
          <w:color w:val="auto"/>
          <w:w w:val="99"/>
          <w:kern w:val="2"/>
          <w:highlight w:val="none"/>
          <w:lang w:val="en-US" w:eastAsia="zh-CN"/>
        </w:rPr>
        <w:t>计，则钻井期间施工人员生活污水产生量为</w:t>
      </w:r>
      <w:r>
        <w:rPr>
          <w:rFonts w:hint="eastAsia" w:ascii="Times New Roman" w:hAnsi="Times New Roman" w:cs="Times New Roman"/>
          <w:color w:val="auto"/>
          <w:w w:val="99"/>
          <w:kern w:val="2"/>
          <w:highlight w:val="none"/>
          <w:lang w:val="en-US" w:eastAsia="zh-CN"/>
        </w:rPr>
        <w:t>6.4</w:t>
      </w:r>
      <w:r>
        <w:rPr>
          <w:rFonts w:hint="default" w:ascii="Times New Roman" w:hAnsi="Times New Roman" w:eastAsia="宋体" w:cs="Times New Roman"/>
          <w:color w:val="auto"/>
          <w:w w:val="99"/>
          <w:kern w:val="2"/>
          <w:highlight w:val="none"/>
          <w:lang w:val="en-US" w:eastAsia="zh-CN"/>
        </w:rPr>
        <w:t>m</w:t>
      </w:r>
      <w:r>
        <w:rPr>
          <w:rFonts w:hint="default" w:ascii="Times New Roman" w:hAnsi="Times New Roman" w:eastAsia="宋体" w:cs="Times New Roman"/>
          <w:color w:val="auto"/>
          <w:w w:val="99"/>
          <w:kern w:val="2"/>
          <w:highlight w:val="none"/>
          <w:vertAlign w:val="superscript"/>
          <w:lang w:val="en-US" w:eastAsia="zh-CN"/>
        </w:rPr>
        <w:t>3</w:t>
      </w:r>
      <w:r>
        <w:rPr>
          <w:rFonts w:hint="eastAsia" w:ascii="Times New Roman" w:hAnsi="Times New Roman" w:eastAsia="宋体" w:cs="Times New Roman"/>
          <w:color w:val="auto"/>
          <w:w w:val="99"/>
          <w:kern w:val="2"/>
          <w:highlight w:val="none"/>
          <w:lang w:val="en-US" w:eastAsia="zh-CN"/>
        </w:rPr>
        <w:t>。</w:t>
      </w:r>
    </w:p>
    <w:p w14:paraId="0F980964">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w w:val="99"/>
          <w:kern w:val="2"/>
          <w:highlight w:val="none"/>
          <w:lang w:val="en-US" w:eastAsia="zh-CN"/>
        </w:rPr>
        <w:t>生活污水排入周边集气站已建生活污水收集设施，均</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p>
    <w:p w14:paraId="5E4C3278">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（3）</w:t>
      </w:r>
      <w:r>
        <w:rPr>
          <w:rFonts w:hint="default" w:ascii="Times New Roman" w:hAnsi="Times New Roman" w:eastAsia="宋体" w:cs="Times New Roman"/>
          <w:color w:val="auto"/>
          <w:w w:val="99"/>
          <w:kern w:val="2"/>
          <w:highlight w:val="none"/>
          <w:lang w:val="en-US" w:eastAsia="zh-CN"/>
        </w:rPr>
        <w:t>噪声</w:t>
      </w:r>
    </w:p>
    <w:p w14:paraId="242528EE">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参照《环境噪声与振动控制工程技术导则》（HJ2034-2013）中表A.2常见施工设备噪声源不同距离声压级，</w:t>
      </w:r>
      <w:r>
        <w:rPr>
          <w:rFonts w:hint="eastAsia" w:ascii="Times New Roman" w:hAnsi="Times New Roman" w:eastAsia="宋体" w:cs="Times New Roman"/>
          <w:color w:val="auto"/>
          <w:w w:val="99"/>
          <w:kern w:val="2"/>
          <w:highlight w:val="none"/>
          <w:lang w:val="en-US" w:eastAsia="zh-CN"/>
        </w:rPr>
        <w:t>退役期施工机械</w:t>
      </w:r>
      <w:r>
        <w:rPr>
          <w:rFonts w:hint="default" w:ascii="Times New Roman" w:hAnsi="Times New Roman" w:eastAsia="宋体" w:cs="Times New Roman"/>
          <w:color w:val="auto"/>
          <w:w w:val="99"/>
          <w:kern w:val="2"/>
          <w:highlight w:val="none"/>
          <w:lang w:val="en-US" w:eastAsia="zh-CN"/>
        </w:rPr>
        <w:t>噪声源详见表</w:t>
      </w:r>
      <w:r>
        <w:rPr>
          <w:rFonts w:hint="eastAsia" w:ascii="Times New Roman" w:hAnsi="Times New Roman" w:cs="Times New Roman"/>
          <w:color w:val="auto"/>
          <w:w w:val="99"/>
          <w:kern w:val="2"/>
          <w:highlight w:val="none"/>
          <w:lang w:val="en-US" w:eastAsia="zh-CN"/>
        </w:rPr>
        <w:t>3.10</w:t>
      </w:r>
      <w:r>
        <w:rPr>
          <w:rFonts w:hint="default" w:ascii="Times New Roman" w:hAnsi="Times New Roman" w:eastAsia="宋体" w:cs="Times New Roman"/>
          <w:color w:val="auto"/>
          <w:w w:val="99"/>
          <w:kern w:val="2"/>
          <w:highlight w:val="none"/>
          <w:lang w:val="en-US" w:eastAsia="zh-CN"/>
        </w:rPr>
        <w:t>-</w:t>
      </w:r>
      <w:r>
        <w:rPr>
          <w:rFonts w:hint="eastAsia" w:ascii="Times New Roman" w:hAnsi="Times New Roman" w:cs="Times New Roman"/>
          <w:color w:val="auto"/>
          <w:w w:val="99"/>
          <w:kern w:val="2"/>
          <w:highlight w:val="none"/>
          <w:lang w:val="en-US" w:eastAsia="zh-CN"/>
        </w:rPr>
        <w:t>9</w:t>
      </w:r>
      <w:r>
        <w:rPr>
          <w:rFonts w:hint="default" w:ascii="Times New Roman" w:hAnsi="Times New Roman" w:eastAsia="宋体" w:cs="Times New Roman"/>
          <w:color w:val="auto"/>
          <w:w w:val="99"/>
          <w:kern w:val="2"/>
          <w:highlight w:val="none"/>
          <w:lang w:val="en-US" w:eastAsia="zh-CN"/>
        </w:rPr>
        <w:t>。</w:t>
      </w:r>
    </w:p>
    <w:p w14:paraId="4D85803B">
      <w:pPr>
        <w:widowControl w:val="0"/>
        <w:spacing w:line="440" w:lineRule="exact"/>
        <w:ind w:firstLine="476" w:firstLineChars="200"/>
        <w:jc w:val="both"/>
        <w:rPr>
          <w:rFonts w:hint="default" w:ascii="Times New Roman" w:hAnsi="Times New Roman" w:eastAsia="宋体" w:cs="Times New Roman"/>
          <w:b/>
          <w:bCs/>
          <w:color w:val="auto"/>
          <w:w w:val="99"/>
          <w:kern w:val="2"/>
          <w:highlight w:val="none"/>
          <w:lang w:val="en-US" w:eastAsia="zh-CN"/>
        </w:rPr>
      </w:pPr>
      <w:r>
        <w:rPr>
          <w:rFonts w:hint="default" w:ascii="Times New Roman" w:hAnsi="Times New Roman" w:eastAsia="宋体" w:cs="Times New Roman"/>
          <w:b/>
          <w:bCs/>
          <w:color w:val="auto"/>
          <w:w w:val="99"/>
          <w:kern w:val="2"/>
          <w:highlight w:val="none"/>
          <w:lang w:val="en-US" w:eastAsia="zh-CN"/>
        </w:rPr>
        <w:t>表</w:t>
      </w:r>
      <w:r>
        <w:rPr>
          <w:rFonts w:hint="eastAsia" w:ascii="Times New Roman" w:hAnsi="Times New Roman" w:cs="Times New Roman"/>
          <w:b/>
          <w:bCs/>
          <w:color w:val="auto"/>
          <w:w w:val="99"/>
          <w:kern w:val="2"/>
          <w:highlight w:val="none"/>
          <w:lang w:val="en-US" w:eastAsia="zh-CN"/>
        </w:rPr>
        <w:t>3.10</w:t>
      </w:r>
      <w:r>
        <w:rPr>
          <w:rFonts w:hint="default" w:ascii="Times New Roman" w:hAnsi="Times New Roman" w:eastAsia="宋体" w:cs="Times New Roman"/>
          <w:b/>
          <w:bCs/>
          <w:color w:val="auto"/>
          <w:w w:val="99"/>
          <w:kern w:val="2"/>
          <w:highlight w:val="none"/>
          <w:lang w:val="en-US" w:eastAsia="zh-CN"/>
        </w:rPr>
        <w:t>-</w:t>
      </w:r>
      <w:r>
        <w:rPr>
          <w:rFonts w:hint="eastAsia" w:ascii="Times New Roman" w:hAnsi="Times New Roman" w:cs="Times New Roman"/>
          <w:b/>
          <w:bCs/>
          <w:color w:val="auto"/>
          <w:w w:val="99"/>
          <w:kern w:val="2"/>
          <w:highlight w:val="none"/>
          <w:lang w:val="en-US" w:eastAsia="zh-CN"/>
        </w:rPr>
        <w:t>9</w:t>
      </w:r>
      <w:r>
        <w:rPr>
          <w:rFonts w:hint="default" w:ascii="Times New Roman" w:hAnsi="Times New Roman" w:eastAsia="宋体" w:cs="Times New Roman"/>
          <w:b/>
          <w:bCs/>
          <w:color w:val="auto"/>
          <w:w w:val="99"/>
          <w:kern w:val="2"/>
          <w:highlight w:val="none"/>
          <w:lang w:val="en-US" w:eastAsia="zh-CN"/>
        </w:rPr>
        <w:t xml:space="preserve">  </w:t>
      </w:r>
      <w:r>
        <w:rPr>
          <w:rFonts w:hint="eastAsia" w:ascii="Times New Roman" w:hAnsi="Times New Roman" w:eastAsia="宋体" w:cs="Times New Roman"/>
          <w:b/>
          <w:bCs/>
          <w:color w:val="auto"/>
          <w:w w:val="99"/>
          <w:kern w:val="2"/>
          <w:highlight w:val="none"/>
          <w:lang w:val="en-US" w:eastAsia="zh-CN"/>
        </w:rPr>
        <w:t>退役期</w:t>
      </w:r>
      <w:r>
        <w:rPr>
          <w:rFonts w:hint="default" w:ascii="Times New Roman" w:hAnsi="Times New Roman" w:eastAsia="宋体" w:cs="Times New Roman"/>
          <w:b/>
          <w:bCs/>
          <w:color w:val="auto"/>
          <w:w w:val="99"/>
          <w:kern w:val="2"/>
          <w:highlight w:val="none"/>
          <w:lang w:val="en-US" w:eastAsia="zh-CN"/>
        </w:rPr>
        <w:t>施工机械噪声统计表  单位：dB（A）</w:t>
      </w:r>
    </w:p>
    <w:tbl>
      <w:tblPr>
        <w:tblStyle w:val="80"/>
        <w:tblW w:w="4996"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3509"/>
        <w:gridCol w:w="2885"/>
        <w:gridCol w:w="2885"/>
      </w:tblGrid>
      <w:tr w14:paraId="1A0FAAC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1" w:type="pct"/>
            <w:vAlign w:val="center"/>
          </w:tcPr>
          <w:p w14:paraId="0192DE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设备名称</w:t>
            </w:r>
          </w:p>
        </w:tc>
        <w:tc>
          <w:tcPr>
            <w:tcW w:w="1554" w:type="pct"/>
            <w:vAlign w:val="center"/>
          </w:tcPr>
          <w:p w14:paraId="32850A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距声源（m）</w:t>
            </w:r>
          </w:p>
        </w:tc>
        <w:tc>
          <w:tcPr>
            <w:tcW w:w="1554" w:type="pct"/>
            <w:vAlign w:val="center"/>
          </w:tcPr>
          <w:p w14:paraId="10A3D9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噪声值dB（A）</w:t>
            </w:r>
          </w:p>
        </w:tc>
      </w:tr>
      <w:tr w14:paraId="04EE55B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891" w:type="pct"/>
            <w:vAlign w:val="center"/>
          </w:tcPr>
          <w:p w14:paraId="48E7E7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挖掘机</w:t>
            </w:r>
          </w:p>
        </w:tc>
        <w:tc>
          <w:tcPr>
            <w:tcW w:w="1554" w:type="pct"/>
            <w:vAlign w:val="center"/>
          </w:tcPr>
          <w:p w14:paraId="3501E8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w:t>
            </w:r>
          </w:p>
        </w:tc>
        <w:tc>
          <w:tcPr>
            <w:tcW w:w="1554" w:type="pct"/>
            <w:vAlign w:val="center"/>
          </w:tcPr>
          <w:p w14:paraId="6587FD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82-90</w:t>
            </w:r>
          </w:p>
        </w:tc>
      </w:tr>
      <w:tr w14:paraId="4C8BC8F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52" w:hRule="atLeast"/>
          <w:jc w:val="center"/>
        </w:trPr>
        <w:tc>
          <w:tcPr>
            <w:tcW w:w="1891" w:type="pct"/>
            <w:vAlign w:val="center"/>
          </w:tcPr>
          <w:p w14:paraId="0E51C5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吊装机</w:t>
            </w:r>
          </w:p>
        </w:tc>
        <w:tc>
          <w:tcPr>
            <w:tcW w:w="1554" w:type="pct"/>
            <w:vAlign w:val="center"/>
          </w:tcPr>
          <w:p w14:paraId="370E51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w:t>
            </w:r>
          </w:p>
        </w:tc>
        <w:tc>
          <w:tcPr>
            <w:tcW w:w="1554" w:type="pct"/>
            <w:vAlign w:val="center"/>
          </w:tcPr>
          <w:p w14:paraId="4D530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80-86</w:t>
            </w:r>
          </w:p>
        </w:tc>
      </w:tr>
      <w:tr w14:paraId="7C02DA5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52" w:hRule="atLeast"/>
          <w:jc w:val="center"/>
        </w:trPr>
        <w:tc>
          <w:tcPr>
            <w:tcW w:w="1891" w:type="pct"/>
            <w:vAlign w:val="center"/>
          </w:tcPr>
          <w:p w14:paraId="50BDFD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推土机</w:t>
            </w:r>
          </w:p>
        </w:tc>
        <w:tc>
          <w:tcPr>
            <w:tcW w:w="1554" w:type="pct"/>
            <w:vAlign w:val="center"/>
          </w:tcPr>
          <w:p w14:paraId="005A68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w:t>
            </w:r>
          </w:p>
        </w:tc>
        <w:tc>
          <w:tcPr>
            <w:tcW w:w="1554" w:type="pct"/>
            <w:vAlign w:val="center"/>
          </w:tcPr>
          <w:p w14:paraId="7F68DE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83-88</w:t>
            </w:r>
          </w:p>
        </w:tc>
      </w:tr>
      <w:tr w14:paraId="4B843D8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52" w:hRule="atLeast"/>
          <w:jc w:val="center"/>
        </w:trPr>
        <w:tc>
          <w:tcPr>
            <w:tcW w:w="1891" w:type="pct"/>
            <w:vAlign w:val="center"/>
          </w:tcPr>
          <w:p w14:paraId="53E980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重型运输车</w:t>
            </w:r>
          </w:p>
        </w:tc>
        <w:tc>
          <w:tcPr>
            <w:tcW w:w="1554" w:type="pct"/>
            <w:vAlign w:val="center"/>
          </w:tcPr>
          <w:p w14:paraId="1E056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w:t>
            </w:r>
          </w:p>
        </w:tc>
        <w:tc>
          <w:tcPr>
            <w:tcW w:w="1554" w:type="pct"/>
            <w:vAlign w:val="center"/>
          </w:tcPr>
          <w:p w14:paraId="187A70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82-90</w:t>
            </w:r>
          </w:p>
        </w:tc>
      </w:tr>
    </w:tbl>
    <w:p w14:paraId="0D757711">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（4）</w:t>
      </w:r>
      <w:r>
        <w:rPr>
          <w:rFonts w:hint="default" w:ascii="Times New Roman" w:hAnsi="Times New Roman" w:eastAsia="宋体" w:cs="Times New Roman"/>
          <w:color w:val="auto"/>
          <w:w w:val="99"/>
          <w:kern w:val="2"/>
          <w:highlight w:val="none"/>
          <w:lang w:val="en-US" w:eastAsia="zh-CN"/>
        </w:rPr>
        <w:t>固体废物</w:t>
      </w:r>
    </w:p>
    <w:p w14:paraId="0617AA1E">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退役期</w:t>
      </w:r>
      <w:r>
        <w:rPr>
          <w:rFonts w:hint="default" w:ascii="Times New Roman" w:hAnsi="Times New Roman" w:eastAsia="宋体" w:cs="Times New Roman"/>
          <w:color w:val="auto"/>
          <w:w w:val="99"/>
          <w:kern w:val="2"/>
          <w:highlight w:val="none"/>
          <w:lang w:val="en-US" w:eastAsia="zh-CN"/>
        </w:rPr>
        <w:t>固体废物主要为</w:t>
      </w:r>
      <w:r>
        <w:rPr>
          <w:rFonts w:hint="eastAsia" w:ascii="Times New Roman" w:hAnsi="Times New Roman" w:eastAsia="宋体" w:cs="Times New Roman"/>
          <w:color w:val="auto"/>
          <w:w w:val="99"/>
          <w:kern w:val="2"/>
          <w:highlight w:val="none"/>
          <w:lang w:val="en-US" w:eastAsia="zh-CN"/>
        </w:rPr>
        <w:t>封井垃圾、拆除废旧设备、含油废防渗布、生活垃圾。</w:t>
      </w:r>
    </w:p>
    <w:p w14:paraId="53AEF92E">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①拆除废旧设备</w:t>
      </w:r>
    </w:p>
    <w:p w14:paraId="1C50A512">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若本次投产的</w:t>
      </w:r>
      <w:r>
        <w:rPr>
          <w:rFonts w:hint="eastAsia" w:ascii="Times New Roman" w:hAnsi="Times New Roman" w:cs="Times New Roman"/>
          <w:color w:val="auto"/>
          <w:w w:val="99"/>
          <w:kern w:val="2"/>
          <w:highlight w:val="none"/>
          <w:lang w:val="en-US" w:eastAsia="zh-CN"/>
        </w:rPr>
        <w:t>1</w:t>
      </w:r>
      <w:r>
        <w:rPr>
          <w:rFonts w:hint="eastAsia" w:ascii="Times New Roman" w:hAnsi="Times New Roman" w:eastAsia="宋体" w:cs="Times New Roman"/>
          <w:color w:val="auto"/>
          <w:w w:val="99"/>
          <w:kern w:val="2"/>
          <w:highlight w:val="none"/>
          <w:lang w:val="en-US" w:eastAsia="zh-CN"/>
        </w:rPr>
        <w:t>口气井全部退役，则拆除的气井装置等回收至采气分公司</w:t>
      </w:r>
      <w:r>
        <w:rPr>
          <w:rFonts w:hint="default" w:ascii="Times New Roman" w:hAnsi="Times New Roman" w:eastAsia="宋体" w:cs="Times New Roman"/>
          <w:color w:val="auto"/>
          <w:w w:val="99"/>
          <w:kern w:val="2"/>
          <w:highlight w:val="none"/>
          <w:lang w:val="en-US" w:eastAsia="zh-CN"/>
        </w:rPr>
        <w:t>资产回收库</w:t>
      </w:r>
      <w:r>
        <w:rPr>
          <w:rFonts w:hint="eastAsia" w:ascii="Times New Roman" w:hAnsi="Times New Roman" w:eastAsia="宋体" w:cs="Times New Roman"/>
          <w:color w:val="auto"/>
          <w:w w:val="99"/>
          <w:kern w:val="2"/>
          <w:highlight w:val="none"/>
          <w:lang w:val="en-US" w:eastAsia="zh-CN"/>
        </w:rPr>
        <w:t>。</w:t>
      </w:r>
    </w:p>
    <w:p w14:paraId="68D621DE">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②含油废防渗布</w:t>
      </w:r>
    </w:p>
    <w:p w14:paraId="67728C46">
      <w:pPr>
        <w:widowControl w:val="0"/>
        <w:spacing w:line="440" w:lineRule="exact"/>
        <w:ind w:firstLine="474" w:firstLineChars="200"/>
        <w:jc w:val="both"/>
        <w:rPr>
          <w:rFonts w:hint="eastAsia"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拆除施工时井场铺设防渗布，</w:t>
      </w:r>
      <w:r>
        <w:rPr>
          <w:rFonts w:hint="default" w:ascii="Times New Roman" w:hAnsi="Times New Roman" w:eastAsia="宋体" w:cs="Times New Roman"/>
          <w:color w:val="auto"/>
          <w:w w:val="99"/>
          <w:kern w:val="2"/>
          <w:highlight w:val="none"/>
          <w:lang w:val="en-US" w:eastAsia="zh-CN"/>
        </w:rPr>
        <w:t>根据大庆油</w:t>
      </w:r>
      <w:r>
        <w:rPr>
          <w:rFonts w:hint="eastAsia" w:ascii="Times New Roman" w:hAnsi="Times New Roman" w:cs="Times New Roman"/>
          <w:color w:val="auto"/>
          <w:w w:val="99"/>
          <w:kern w:val="2"/>
          <w:highlight w:val="none"/>
          <w:lang w:val="en-US" w:eastAsia="zh-CN"/>
        </w:rPr>
        <w:t>气</w:t>
      </w:r>
      <w:r>
        <w:rPr>
          <w:rFonts w:hint="default" w:ascii="Times New Roman" w:hAnsi="Times New Roman" w:eastAsia="宋体" w:cs="Times New Roman"/>
          <w:color w:val="auto"/>
          <w:w w:val="99"/>
          <w:kern w:val="2"/>
          <w:highlight w:val="none"/>
          <w:lang w:val="en-US" w:eastAsia="zh-CN"/>
        </w:rPr>
        <w:t>田已有生产经验，单块防渗布重量按250kg（12m×12m）计，平均每口井作业用</w:t>
      </w:r>
      <w:r>
        <w:rPr>
          <w:rFonts w:hint="eastAsia" w:ascii="Times New Roman" w:hAnsi="Times New Roman" w:eastAsia="宋体" w:cs="Times New Roman"/>
          <w:color w:val="auto"/>
          <w:w w:val="99"/>
          <w:kern w:val="2"/>
          <w:highlight w:val="none"/>
          <w:lang w:val="en-US" w:eastAsia="zh-CN"/>
        </w:rPr>
        <w:t>3</w:t>
      </w:r>
      <w:r>
        <w:rPr>
          <w:rFonts w:hint="default" w:ascii="Times New Roman" w:hAnsi="Times New Roman" w:eastAsia="宋体" w:cs="Times New Roman"/>
          <w:color w:val="auto"/>
          <w:w w:val="99"/>
          <w:kern w:val="2"/>
          <w:highlight w:val="none"/>
          <w:lang w:val="en-US" w:eastAsia="zh-CN"/>
        </w:rPr>
        <w:t>块，</w:t>
      </w:r>
      <w:r>
        <w:rPr>
          <w:rFonts w:hint="eastAsia" w:ascii="Times New Roman" w:hAnsi="Times New Roman" w:eastAsia="宋体" w:cs="Times New Roman"/>
          <w:color w:val="auto"/>
          <w:w w:val="99"/>
          <w:kern w:val="2"/>
          <w:highlight w:val="none"/>
          <w:lang w:val="en-US" w:eastAsia="zh-CN"/>
        </w:rPr>
        <w:t>防渗布可能滴落含烃废水，退役期含油废防渗布最大产生量约</w:t>
      </w:r>
      <w:r>
        <w:rPr>
          <w:rFonts w:hint="eastAsia" w:ascii="Times New Roman" w:hAnsi="Times New Roman" w:cs="Times New Roman"/>
          <w:color w:val="auto"/>
          <w:w w:val="99"/>
          <w:kern w:val="2"/>
          <w:highlight w:val="none"/>
          <w:lang w:val="en-US" w:eastAsia="zh-CN"/>
        </w:rPr>
        <w:t>0</w:t>
      </w:r>
      <w:r>
        <w:rPr>
          <w:rFonts w:hint="eastAsia" w:ascii="Times New Roman" w:hAnsi="Times New Roman" w:eastAsia="宋体" w:cs="Times New Roman"/>
          <w:color w:val="auto"/>
          <w:w w:val="99"/>
          <w:kern w:val="2"/>
          <w:highlight w:val="none"/>
          <w:lang w:val="en-US" w:eastAsia="zh-CN"/>
        </w:rPr>
        <w:t>.75t。</w:t>
      </w:r>
    </w:p>
    <w:p w14:paraId="06A68900">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根据《国家危险废物名录（202</w:t>
      </w:r>
      <w:r>
        <w:rPr>
          <w:rFonts w:hint="eastAsia" w:ascii="Times New Roman" w:hAnsi="Times New Roman" w:eastAsia="宋体" w:cs="Times New Roman"/>
          <w:color w:val="auto"/>
          <w:w w:val="99"/>
          <w:kern w:val="2"/>
          <w:highlight w:val="none"/>
          <w:lang w:val="en-US" w:eastAsia="zh-CN"/>
        </w:rPr>
        <w:t>5</w:t>
      </w:r>
      <w:r>
        <w:rPr>
          <w:rFonts w:hint="default" w:ascii="Times New Roman" w:hAnsi="Times New Roman" w:eastAsia="宋体" w:cs="Times New Roman"/>
          <w:color w:val="auto"/>
          <w:w w:val="99"/>
          <w:kern w:val="2"/>
          <w:highlight w:val="none"/>
          <w:lang w:val="en-US" w:eastAsia="zh-CN"/>
        </w:rPr>
        <w:t>年版）》，含油废弃防渗布为危险废物，类别为HW08废矿物油与含矿物油废物，危废代码为900-249-08其他生产、销售、使用过程中产生的废矿物油及沾染矿物油的废弃包装物。含油废防渗布在作业结束后，由施工单位运至采气分公司危险废物贮存库，委托</w:t>
      </w:r>
      <w:r>
        <w:rPr>
          <w:rFonts w:hint="eastAsia" w:ascii="Times New Roman" w:hAnsi="Times New Roman" w:eastAsia="宋体" w:cs="Times New Roman"/>
          <w:color w:val="auto"/>
          <w:w w:val="99"/>
          <w:kern w:val="2"/>
          <w:highlight w:val="none"/>
          <w:lang w:val="en-US" w:eastAsia="zh-CN"/>
        </w:rPr>
        <w:t>有资质单位</w:t>
      </w:r>
      <w:r>
        <w:rPr>
          <w:rFonts w:hint="default" w:ascii="Times New Roman" w:hAnsi="Times New Roman" w:eastAsia="宋体" w:cs="Times New Roman"/>
          <w:color w:val="auto"/>
          <w:w w:val="99"/>
          <w:kern w:val="2"/>
          <w:highlight w:val="none"/>
          <w:lang w:val="en-US" w:eastAsia="zh-CN"/>
        </w:rPr>
        <w:t>转运处置</w:t>
      </w:r>
      <w:r>
        <w:rPr>
          <w:rFonts w:hint="eastAsia" w:ascii="Times New Roman" w:hAnsi="Times New Roman" w:eastAsia="宋体" w:cs="Times New Roman"/>
          <w:color w:val="auto"/>
          <w:w w:val="99"/>
          <w:kern w:val="2"/>
          <w:highlight w:val="none"/>
          <w:lang w:val="en-US" w:eastAsia="zh-CN"/>
        </w:rPr>
        <w:t>。</w:t>
      </w:r>
    </w:p>
    <w:p w14:paraId="55BD6262">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③封井垃圾</w:t>
      </w:r>
    </w:p>
    <w:p w14:paraId="1F67A0F5">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本</w:t>
      </w:r>
      <w:r>
        <w:rPr>
          <w:rFonts w:hint="default" w:ascii="Times New Roman" w:hAnsi="Times New Roman" w:eastAsia="宋体" w:cs="Times New Roman"/>
          <w:color w:val="auto"/>
          <w:w w:val="99"/>
          <w:kern w:val="2"/>
          <w:highlight w:val="none"/>
          <w:lang w:val="en-US" w:eastAsia="zh-CN"/>
        </w:rPr>
        <w:t>项目</w:t>
      </w:r>
      <w:r>
        <w:rPr>
          <w:rFonts w:hint="eastAsia" w:ascii="Times New Roman" w:hAnsi="Times New Roman" w:eastAsia="宋体" w:cs="Times New Roman"/>
          <w:color w:val="auto"/>
          <w:w w:val="99"/>
          <w:kern w:val="2"/>
          <w:highlight w:val="none"/>
          <w:lang w:val="en-US" w:eastAsia="zh-CN"/>
        </w:rPr>
        <w:t>退役期</w:t>
      </w:r>
      <w:r>
        <w:rPr>
          <w:rFonts w:hint="default" w:ascii="Times New Roman" w:hAnsi="Times New Roman" w:eastAsia="宋体" w:cs="Times New Roman"/>
          <w:color w:val="auto"/>
          <w:w w:val="99"/>
          <w:kern w:val="2"/>
          <w:highlight w:val="none"/>
          <w:lang w:val="en-US" w:eastAsia="zh-CN"/>
        </w:rPr>
        <w:t>井场地面设施拆除、场地清理过程会产生少量</w:t>
      </w:r>
      <w:r>
        <w:rPr>
          <w:rFonts w:hint="eastAsia" w:ascii="Times New Roman" w:hAnsi="Times New Roman" w:eastAsia="宋体" w:cs="Times New Roman"/>
          <w:color w:val="auto"/>
          <w:w w:val="99"/>
          <w:kern w:val="2"/>
          <w:highlight w:val="none"/>
          <w:lang w:val="en-US" w:eastAsia="zh-CN"/>
        </w:rPr>
        <w:t>固废</w:t>
      </w:r>
      <w:r>
        <w:rPr>
          <w:rFonts w:hint="default" w:ascii="Times New Roman" w:hAnsi="Times New Roman" w:eastAsia="宋体" w:cs="Times New Roman"/>
          <w:color w:val="auto"/>
          <w:w w:val="99"/>
          <w:kern w:val="2"/>
          <w:highlight w:val="none"/>
          <w:lang w:val="en-US" w:eastAsia="zh-CN"/>
        </w:rPr>
        <w:t>，根据大庆油</w:t>
      </w:r>
      <w:r>
        <w:rPr>
          <w:rFonts w:hint="eastAsia" w:ascii="Times New Roman" w:hAnsi="Times New Roman" w:cs="Times New Roman"/>
          <w:color w:val="auto"/>
          <w:w w:val="99"/>
          <w:kern w:val="2"/>
          <w:highlight w:val="none"/>
          <w:lang w:val="en-US" w:eastAsia="zh-CN"/>
        </w:rPr>
        <w:t>气</w:t>
      </w:r>
      <w:r>
        <w:rPr>
          <w:rFonts w:hint="default" w:ascii="Times New Roman" w:hAnsi="Times New Roman" w:eastAsia="宋体" w:cs="Times New Roman"/>
          <w:color w:val="auto"/>
          <w:w w:val="99"/>
          <w:kern w:val="2"/>
          <w:highlight w:val="none"/>
          <w:lang w:val="en-US" w:eastAsia="zh-CN"/>
        </w:rPr>
        <w:t>田已有生产经验，</w:t>
      </w:r>
      <w:r>
        <w:rPr>
          <w:rFonts w:hint="eastAsia" w:ascii="Times New Roman" w:hAnsi="Times New Roman" w:eastAsia="宋体" w:cs="Times New Roman"/>
          <w:color w:val="auto"/>
          <w:w w:val="99"/>
          <w:kern w:val="2"/>
          <w:highlight w:val="none"/>
          <w:lang w:val="en-US" w:eastAsia="zh-CN"/>
        </w:rPr>
        <w:t>单井封井垃圾产生量为</w:t>
      </w:r>
      <w:r>
        <w:rPr>
          <w:rFonts w:hint="default" w:ascii="Times New Roman" w:hAnsi="Times New Roman" w:eastAsia="宋体" w:cs="Times New Roman"/>
          <w:color w:val="auto"/>
          <w:w w:val="99"/>
          <w:kern w:val="2"/>
          <w:highlight w:val="none"/>
          <w:lang w:val="en-US" w:eastAsia="zh-CN"/>
        </w:rPr>
        <w:t>0.2t</w:t>
      </w:r>
      <w:r>
        <w:rPr>
          <w:rFonts w:hint="eastAsia" w:ascii="Times New Roman" w:hAnsi="Times New Roman" w:eastAsia="宋体" w:cs="Times New Roman"/>
          <w:color w:val="auto"/>
          <w:w w:val="99"/>
          <w:kern w:val="2"/>
          <w:highlight w:val="none"/>
          <w:lang w:val="en-US" w:eastAsia="zh-CN"/>
        </w:rPr>
        <w:t>，若本次投产的</w:t>
      </w:r>
      <w:r>
        <w:rPr>
          <w:rFonts w:hint="eastAsia" w:ascii="Times New Roman" w:hAnsi="Times New Roman" w:cs="Times New Roman"/>
          <w:color w:val="auto"/>
          <w:w w:val="99"/>
          <w:kern w:val="2"/>
          <w:highlight w:val="none"/>
          <w:lang w:val="en-US" w:eastAsia="zh-CN"/>
        </w:rPr>
        <w:t>1</w:t>
      </w:r>
      <w:r>
        <w:rPr>
          <w:rFonts w:hint="eastAsia" w:ascii="Times New Roman" w:hAnsi="Times New Roman" w:eastAsia="宋体" w:cs="Times New Roman"/>
          <w:color w:val="auto"/>
          <w:w w:val="99"/>
          <w:kern w:val="2"/>
          <w:highlight w:val="none"/>
          <w:lang w:val="en-US" w:eastAsia="zh-CN"/>
        </w:rPr>
        <w:t>口气井退役，则封井垃圾</w:t>
      </w:r>
      <w:r>
        <w:rPr>
          <w:rFonts w:hint="default" w:ascii="Times New Roman" w:hAnsi="Times New Roman" w:eastAsia="宋体" w:cs="Times New Roman"/>
          <w:color w:val="auto"/>
          <w:w w:val="99"/>
          <w:kern w:val="2"/>
          <w:highlight w:val="none"/>
          <w:lang w:val="en-US" w:eastAsia="zh-CN"/>
        </w:rPr>
        <w:t>产生量约为</w:t>
      </w:r>
      <w:r>
        <w:rPr>
          <w:rFonts w:hint="eastAsia" w:ascii="Times New Roman" w:hAnsi="Times New Roman" w:cs="Times New Roman"/>
          <w:color w:val="auto"/>
          <w:w w:val="99"/>
          <w:kern w:val="2"/>
          <w:highlight w:val="none"/>
          <w:lang w:val="en-US" w:eastAsia="zh-CN"/>
        </w:rPr>
        <w:t>0.2</w:t>
      </w:r>
      <w:r>
        <w:rPr>
          <w:rFonts w:hint="default" w:ascii="Times New Roman" w:hAnsi="Times New Roman" w:eastAsia="宋体" w:cs="Times New Roman"/>
          <w:color w:val="auto"/>
          <w:w w:val="99"/>
          <w:kern w:val="2"/>
          <w:highlight w:val="none"/>
          <w:lang w:val="en-US" w:eastAsia="zh-CN"/>
        </w:rPr>
        <w:t>t</w:t>
      </w:r>
      <w:r>
        <w:rPr>
          <w:rFonts w:hint="eastAsia" w:ascii="Times New Roman" w:hAnsi="Times New Roman" w:cs="Times New Roman"/>
          <w:color w:val="auto"/>
          <w:w w:val="99"/>
          <w:kern w:val="2"/>
          <w:highlight w:val="none"/>
          <w:lang w:val="en-US" w:eastAsia="zh-CN"/>
        </w:rPr>
        <w:t>，</w:t>
      </w:r>
      <w:r>
        <w:rPr>
          <w:rFonts w:hint="eastAsia" w:ascii="Times New Roman" w:hAnsi="Times New Roman" w:eastAsia="宋体" w:cs="Times New Roman"/>
          <w:color w:val="auto"/>
          <w:w w:val="99"/>
          <w:kern w:val="2"/>
          <w:highlight w:val="none"/>
          <w:lang w:val="en-US" w:eastAsia="zh-CN"/>
        </w:rPr>
        <w:t>收集后由施工单位清运至建筑垃圾调配场处理</w:t>
      </w:r>
      <w:r>
        <w:rPr>
          <w:rFonts w:hint="default" w:ascii="Times New Roman" w:hAnsi="Times New Roman" w:eastAsia="宋体" w:cs="Times New Roman"/>
          <w:color w:val="auto"/>
          <w:w w:val="99"/>
          <w:kern w:val="2"/>
          <w:highlight w:val="none"/>
          <w:lang w:val="en-US" w:eastAsia="zh-CN"/>
        </w:rPr>
        <w:t>。</w:t>
      </w:r>
    </w:p>
    <w:p w14:paraId="42070465">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④</w:t>
      </w:r>
      <w:r>
        <w:rPr>
          <w:rFonts w:hint="default" w:ascii="Times New Roman" w:hAnsi="Times New Roman" w:eastAsia="宋体" w:cs="Times New Roman"/>
          <w:color w:val="auto"/>
          <w:w w:val="99"/>
          <w:kern w:val="2"/>
          <w:highlight w:val="none"/>
          <w:lang w:val="en-US" w:eastAsia="zh-CN"/>
        </w:rPr>
        <w:t>生活垃圾</w:t>
      </w:r>
    </w:p>
    <w:p w14:paraId="64B36C17">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退役期施工人员约20人，施工期约</w:t>
      </w:r>
      <w:r>
        <w:rPr>
          <w:rFonts w:hint="eastAsia" w:ascii="Times New Roman" w:hAnsi="Times New Roman" w:cs="Times New Roman"/>
          <w:color w:val="auto"/>
          <w:w w:val="99"/>
          <w:kern w:val="2"/>
          <w:highlight w:val="none"/>
          <w:lang w:val="en-US" w:eastAsia="zh-CN"/>
        </w:rPr>
        <w:t>5</w:t>
      </w:r>
      <w:r>
        <w:rPr>
          <w:rFonts w:hint="eastAsia" w:ascii="Times New Roman" w:hAnsi="Times New Roman" w:eastAsia="宋体" w:cs="Times New Roman"/>
          <w:color w:val="auto"/>
          <w:w w:val="99"/>
          <w:kern w:val="2"/>
          <w:highlight w:val="none"/>
          <w:lang w:val="en-US" w:eastAsia="zh-CN"/>
        </w:rPr>
        <w:t>d，每人产生生活垃圾按0.5kg/d计，则退役期间施工人员产生的生活垃圾为0.</w:t>
      </w:r>
      <w:r>
        <w:rPr>
          <w:rFonts w:hint="eastAsia" w:ascii="Times New Roman" w:hAnsi="Times New Roman" w:cs="Times New Roman"/>
          <w:color w:val="auto"/>
          <w:w w:val="99"/>
          <w:kern w:val="2"/>
          <w:highlight w:val="none"/>
          <w:lang w:val="en-US" w:eastAsia="zh-CN"/>
        </w:rPr>
        <w:t>0</w:t>
      </w:r>
      <w:r>
        <w:rPr>
          <w:rFonts w:hint="eastAsia" w:ascii="Times New Roman" w:hAnsi="Times New Roman" w:eastAsia="宋体" w:cs="Times New Roman"/>
          <w:color w:val="auto"/>
          <w:w w:val="99"/>
          <w:kern w:val="2"/>
          <w:highlight w:val="none"/>
          <w:lang w:val="en-US" w:eastAsia="zh-CN"/>
        </w:rPr>
        <w:t>5t（20×</w:t>
      </w:r>
      <w:r>
        <w:rPr>
          <w:rFonts w:hint="eastAsia" w:ascii="Times New Roman" w:hAnsi="Times New Roman" w:cs="Times New Roman"/>
          <w:color w:val="auto"/>
          <w:w w:val="99"/>
          <w:kern w:val="2"/>
          <w:highlight w:val="none"/>
          <w:lang w:val="en-US" w:eastAsia="zh-CN"/>
        </w:rPr>
        <w:t>5</w:t>
      </w:r>
      <w:r>
        <w:rPr>
          <w:rFonts w:hint="eastAsia" w:ascii="Times New Roman" w:hAnsi="Times New Roman" w:eastAsia="宋体" w:cs="Times New Roman"/>
          <w:color w:val="auto"/>
          <w:w w:val="99"/>
          <w:kern w:val="2"/>
          <w:highlight w:val="none"/>
          <w:lang w:val="en-US" w:eastAsia="zh-CN"/>
        </w:rPr>
        <w:t>×0.5×10</w:t>
      </w:r>
      <w:r>
        <w:rPr>
          <w:rFonts w:hint="eastAsia" w:ascii="Times New Roman" w:hAnsi="Times New Roman" w:eastAsia="宋体" w:cs="Times New Roman"/>
          <w:color w:val="auto"/>
          <w:w w:val="99"/>
          <w:kern w:val="2"/>
          <w:highlight w:val="none"/>
          <w:vertAlign w:val="superscript"/>
          <w:lang w:val="en-US" w:eastAsia="zh-CN"/>
        </w:rPr>
        <w:t>-3</w:t>
      </w:r>
      <w:r>
        <w:rPr>
          <w:rFonts w:hint="eastAsia" w:ascii="Times New Roman" w:hAnsi="Times New Roman" w:eastAsia="宋体" w:cs="Times New Roman"/>
          <w:color w:val="auto"/>
          <w:w w:val="99"/>
          <w:kern w:val="2"/>
          <w:highlight w:val="none"/>
          <w:lang w:val="en-US" w:eastAsia="zh-CN"/>
        </w:rPr>
        <w:t>=0.</w:t>
      </w:r>
      <w:r>
        <w:rPr>
          <w:rFonts w:hint="eastAsia" w:ascii="Times New Roman" w:hAnsi="Times New Roman" w:cs="Times New Roman"/>
          <w:color w:val="auto"/>
          <w:w w:val="99"/>
          <w:kern w:val="2"/>
          <w:highlight w:val="none"/>
          <w:lang w:val="en-US" w:eastAsia="zh-CN"/>
        </w:rPr>
        <w:t>0</w:t>
      </w:r>
      <w:r>
        <w:rPr>
          <w:rFonts w:hint="eastAsia" w:ascii="Times New Roman" w:hAnsi="Times New Roman" w:eastAsia="宋体" w:cs="Times New Roman"/>
          <w:color w:val="auto"/>
          <w:w w:val="99"/>
          <w:kern w:val="2"/>
          <w:highlight w:val="none"/>
          <w:lang w:val="en-US" w:eastAsia="zh-CN"/>
        </w:rPr>
        <w:t>5）；</w:t>
      </w:r>
      <w:r>
        <w:rPr>
          <w:rFonts w:hint="default" w:ascii="Times New Roman" w:hAnsi="Times New Roman" w:eastAsia="宋体" w:cs="Times New Roman"/>
          <w:color w:val="auto"/>
          <w:w w:val="99"/>
          <w:kern w:val="2"/>
          <w:highlight w:val="none"/>
          <w:lang w:val="en-US" w:eastAsia="zh-CN"/>
        </w:rPr>
        <w:t>生活垃圾统一收集后拉运至</w:t>
      </w:r>
      <w:r>
        <w:rPr>
          <w:rFonts w:hint="eastAsia" w:ascii="Times New Roman" w:hAnsi="Times New Roman" w:cs="Times New Roman"/>
          <w:color w:val="auto"/>
          <w:w w:val="99"/>
          <w:kern w:val="2"/>
          <w:highlight w:val="none"/>
          <w:lang w:val="en-US" w:eastAsia="zh-CN"/>
        </w:rPr>
        <w:t>肇东北控环境再生能源有限公司</w:t>
      </w:r>
      <w:r>
        <w:rPr>
          <w:rFonts w:hint="default" w:ascii="Times New Roman" w:hAnsi="Times New Roman" w:eastAsia="宋体" w:cs="Times New Roman"/>
          <w:color w:val="auto"/>
          <w:w w:val="99"/>
          <w:kern w:val="2"/>
          <w:highlight w:val="none"/>
          <w:lang w:val="en-US" w:eastAsia="zh-CN"/>
        </w:rPr>
        <w:t>处理</w:t>
      </w:r>
      <w:r>
        <w:rPr>
          <w:rFonts w:hint="eastAsia" w:ascii="Times New Roman" w:hAnsi="Times New Roman" w:eastAsia="宋体" w:cs="Times New Roman"/>
          <w:color w:val="auto"/>
          <w:w w:val="99"/>
          <w:kern w:val="2"/>
          <w:highlight w:val="none"/>
          <w:lang w:val="en-US" w:eastAsia="zh-CN"/>
        </w:rPr>
        <w:t>。</w:t>
      </w:r>
    </w:p>
    <w:p w14:paraId="76AE6B35">
      <w:pPr>
        <w:widowControl w:val="0"/>
        <w:spacing w:line="440" w:lineRule="exact"/>
        <w:ind w:firstLine="476" w:firstLineChars="200"/>
        <w:jc w:val="both"/>
        <w:rPr>
          <w:rFonts w:ascii="Times New Roman" w:hAnsi="Times New Roman" w:cs="Times New Roman"/>
          <w:color w:val="auto"/>
          <w:w w:val="99"/>
          <w:kern w:val="2"/>
          <w:highlight w:val="none"/>
        </w:rPr>
      </w:pPr>
      <w:r>
        <w:rPr>
          <w:rFonts w:ascii="Times New Roman" w:hAnsi="Times New Roman" w:cs="Times New Roman"/>
          <w:b/>
          <w:color w:val="auto"/>
          <w:w w:val="99"/>
          <w:kern w:val="2"/>
          <w:highlight w:val="none"/>
        </w:rPr>
        <w:t>表</w:t>
      </w:r>
      <w:r>
        <w:rPr>
          <w:rFonts w:hint="eastAsia" w:ascii="Times New Roman" w:hAnsi="Times New Roman" w:cs="Times New Roman"/>
          <w:b/>
          <w:color w:val="auto"/>
          <w:w w:val="99"/>
          <w:kern w:val="2"/>
          <w:highlight w:val="none"/>
          <w:lang w:eastAsia="zh-CN"/>
        </w:rPr>
        <w:t>3.1</w:t>
      </w:r>
      <w:r>
        <w:rPr>
          <w:rFonts w:hint="eastAsia" w:ascii="Times New Roman" w:hAnsi="Times New Roman" w:cs="Times New Roman"/>
          <w:b/>
          <w:color w:val="auto"/>
          <w:w w:val="99"/>
          <w:kern w:val="2"/>
          <w:highlight w:val="none"/>
          <w:lang w:val="en-US" w:eastAsia="zh-CN"/>
        </w:rPr>
        <w:t>0</w:t>
      </w:r>
      <w:r>
        <w:rPr>
          <w:rFonts w:ascii="Times New Roman" w:hAnsi="Times New Roman" w:cs="Times New Roman"/>
          <w:b/>
          <w:color w:val="auto"/>
          <w:w w:val="99"/>
          <w:kern w:val="2"/>
          <w:highlight w:val="none"/>
        </w:rPr>
        <w:t>-1</w:t>
      </w:r>
      <w:r>
        <w:rPr>
          <w:rFonts w:hint="eastAsia" w:ascii="Times New Roman" w:hAnsi="Times New Roman" w:cs="Times New Roman"/>
          <w:b/>
          <w:color w:val="auto"/>
          <w:w w:val="99"/>
          <w:kern w:val="2"/>
          <w:highlight w:val="none"/>
          <w:lang w:val="en-US" w:eastAsia="zh-CN"/>
        </w:rPr>
        <w:t>0</w:t>
      </w:r>
      <w:r>
        <w:rPr>
          <w:rFonts w:ascii="Times New Roman" w:hAnsi="Times New Roman" w:cs="Times New Roman"/>
          <w:b/>
          <w:color w:val="auto"/>
          <w:w w:val="99"/>
          <w:kern w:val="2"/>
          <w:highlight w:val="none"/>
        </w:rPr>
        <w:t xml:space="preserve">    本项目退役期固体废物产生量统计表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6"/>
        <w:gridCol w:w="1389"/>
        <w:gridCol w:w="1190"/>
        <w:gridCol w:w="1135"/>
        <w:gridCol w:w="5076"/>
      </w:tblGrid>
      <w:tr w14:paraId="3DC15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7" w:type="pct"/>
            <w:vAlign w:val="center"/>
          </w:tcPr>
          <w:p w14:paraId="1C53BB2E">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序号</w:t>
            </w:r>
          </w:p>
        </w:tc>
        <w:tc>
          <w:tcPr>
            <w:tcW w:w="748" w:type="pct"/>
            <w:vAlign w:val="center"/>
          </w:tcPr>
          <w:p w14:paraId="53408EFA">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污染物名称</w:t>
            </w:r>
          </w:p>
        </w:tc>
        <w:tc>
          <w:tcPr>
            <w:tcW w:w="641" w:type="pct"/>
            <w:vAlign w:val="center"/>
          </w:tcPr>
          <w:p w14:paraId="6EBA00A8">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产生量</w:t>
            </w:r>
          </w:p>
        </w:tc>
        <w:tc>
          <w:tcPr>
            <w:tcW w:w="611" w:type="pct"/>
            <w:vAlign w:val="center"/>
          </w:tcPr>
          <w:p w14:paraId="70B82630">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废物类型</w:t>
            </w:r>
          </w:p>
        </w:tc>
        <w:tc>
          <w:tcPr>
            <w:tcW w:w="2734" w:type="pct"/>
            <w:vAlign w:val="center"/>
          </w:tcPr>
          <w:p w14:paraId="639DF4B3">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处置去向</w:t>
            </w:r>
          </w:p>
        </w:tc>
      </w:tr>
      <w:tr w14:paraId="09EDE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Align w:val="center"/>
          </w:tcPr>
          <w:p w14:paraId="3DD4D479">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1</w:t>
            </w:r>
          </w:p>
        </w:tc>
        <w:tc>
          <w:tcPr>
            <w:tcW w:w="748" w:type="pct"/>
            <w:vAlign w:val="center"/>
          </w:tcPr>
          <w:p w14:paraId="28E80617">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废旧设备</w:t>
            </w:r>
          </w:p>
        </w:tc>
        <w:tc>
          <w:tcPr>
            <w:tcW w:w="641" w:type="pct"/>
            <w:vAlign w:val="center"/>
          </w:tcPr>
          <w:p w14:paraId="683E7BEA">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hint="eastAsia" w:ascii="Times New Roman" w:hAnsi="Times New Roman" w:cs="Times New Roman"/>
                <w:color w:val="auto"/>
                <w:w w:val="99"/>
                <w:kern w:val="2"/>
                <w:sz w:val="21"/>
                <w:szCs w:val="21"/>
                <w:highlight w:val="none"/>
                <w:lang w:val="en-US" w:eastAsia="zh-CN"/>
              </w:rPr>
              <w:t>1</w:t>
            </w:r>
            <w:r>
              <w:rPr>
                <w:rFonts w:ascii="Times New Roman" w:hAnsi="Times New Roman" w:cs="Times New Roman"/>
                <w:color w:val="auto"/>
                <w:w w:val="99"/>
                <w:kern w:val="2"/>
                <w:sz w:val="21"/>
                <w:szCs w:val="21"/>
                <w:highlight w:val="none"/>
              </w:rPr>
              <w:t>台套</w:t>
            </w:r>
          </w:p>
        </w:tc>
        <w:tc>
          <w:tcPr>
            <w:tcW w:w="611" w:type="pct"/>
            <w:vAlign w:val="center"/>
          </w:tcPr>
          <w:p w14:paraId="4024BEDD">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一般废物</w:t>
            </w:r>
          </w:p>
        </w:tc>
        <w:tc>
          <w:tcPr>
            <w:tcW w:w="2734" w:type="pct"/>
            <w:vAlign w:val="center"/>
          </w:tcPr>
          <w:p w14:paraId="5CBAEB9E">
            <w:pPr>
              <w:widowControl w:val="0"/>
              <w:adjustRightInd w:val="0"/>
              <w:snapToGrid w:val="0"/>
              <w:spacing w:line="320" w:lineRule="exact"/>
              <w:jc w:val="both"/>
              <w:rPr>
                <w:rFonts w:ascii="Times New Roman" w:hAnsi="Times New Roman" w:cs="Times New Roman"/>
                <w:color w:val="auto"/>
                <w:w w:val="99"/>
                <w:kern w:val="2"/>
                <w:sz w:val="21"/>
                <w:szCs w:val="21"/>
                <w:highlight w:val="none"/>
              </w:rPr>
            </w:pPr>
            <w:r>
              <w:rPr>
                <w:rFonts w:ascii="Times New Roman" w:hAnsi="Times New Roman" w:cs="Times New Roman"/>
                <w:bCs/>
                <w:color w:val="auto"/>
                <w:w w:val="99"/>
                <w:kern w:val="2"/>
                <w:sz w:val="21"/>
                <w:szCs w:val="21"/>
                <w:highlight w:val="none"/>
              </w:rPr>
              <w:t>全部</w:t>
            </w:r>
            <w:r>
              <w:rPr>
                <w:rFonts w:ascii="Times New Roman" w:hAnsi="Times New Roman" w:cs="Times New Roman"/>
                <w:color w:val="auto"/>
                <w:w w:val="99"/>
                <w:kern w:val="2"/>
                <w:sz w:val="21"/>
                <w:szCs w:val="21"/>
                <w:highlight w:val="none"/>
              </w:rPr>
              <w:t>回收至</w:t>
            </w:r>
            <w:r>
              <w:rPr>
                <w:rFonts w:hint="eastAsia" w:ascii="Times New Roman" w:hAnsi="Times New Roman" w:cs="Times New Roman"/>
                <w:color w:val="auto"/>
                <w:w w:val="99"/>
                <w:kern w:val="2"/>
                <w:sz w:val="21"/>
                <w:szCs w:val="21"/>
                <w:highlight w:val="none"/>
                <w:lang w:val="en-US" w:eastAsia="zh-CN"/>
              </w:rPr>
              <w:t>采气分公司</w:t>
            </w:r>
            <w:r>
              <w:rPr>
                <w:rFonts w:ascii="Times New Roman" w:hAnsi="Times New Roman" w:cs="Times New Roman"/>
                <w:color w:val="auto"/>
                <w:w w:val="99"/>
                <w:kern w:val="2"/>
                <w:sz w:val="21"/>
                <w:szCs w:val="21"/>
                <w:highlight w:val="none"/>
              </w:rPr>
              <w:t>物资库</w:t>
            </w:r>
          </w:p>
        </w:tc>
      </w:tr>
      <w:tr w14:paraId="71054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Align w:val="center"/>
          </w:tcPr>
          <w:p w14:paraId="06338902">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2</w:t>
            </w:r>
          </w:p>
        </w:tc>
        <w:tc>
          <w:tcPr>
            <w:tcW w:w="748" w:type="pct"/>
            <w:vAlign w:val="center"/>
          </w:tcPr>
          <w:p w14:paraId="021BD025">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封井建筑垃圾</w:t>
            </w:r>
          </w:p>
        </w:tc>
        <w:tc>
          <w:tcPr>
            <w:tcW w:w="641" w:type="pct"/>
            <w:vAlign w:val="center"/>
          </w:tcPr>
          <w:p w14:paraId="000CDAAF">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hint="eastAsia" w:ascii="Times New Roman" w:hAnsi="Times New Roman" w:cs="Times New Roman"/>
                <w:color w:val="auto"/>
                <w:w w:val="99"/>
                <w:kern w:val="2"/>
                <w:sz w:val="21"/>
                <w:szCs w:val="21"/>
                <w:highlight w:val="none"/>
                <w:lang w:val="en-US" w:eastAsia="zh-CN"/>
              </w:rPr>
              <w:t>0.2</w:t>
            </w:r>
            <w:r>
              <w:rPr>
                <w:rFonts w:ascii="Times New Roman" w:hAnsi="Times New Roman" w:cs="Times New Roman"/>
                <w:color w:val="auto"/>
                <w:w w:val="99"/>
                <w:kern w:val="2"/>
                <w:sz w:val="21"/>
                <w:szCs w:val="21"/>
                <w:highlight w:val="none"/>
              </w:rPr>
              <w:t>t</w:t>
            </w:r>
          </w:p>
        </w:tc>
        <w:tc>
          <w:tcPr>
            <w:tcW w:w="611" w:type="pct"/>
            <w:vAlign w:val="center"/>
          </w:tcPr>
          <w:p w14:paraId="082E2ABF">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w:t>
            </w:r>
          </w:p>
        </w:tc>
        <w:tc>
          <w:tcPr>
            <w:tcW w:w="2734" w:type="pct"/>
            <w:vAlign w:val="center"/>
          </w:tcPr>
          <w:p w14:paraId="6E2A8A37">
            <w:pPr>
              <w:widowControl w:val="0"/>
              <w:adjustRightInd w:val="0"/>
              <w:snapToGrid w:val="0"/>
              <w:spacing w:line="320" w:lineRule="exact"/>
              <w:jc w:val="both"/>
              <w:rPr>
                <w:rFonts w:ascii="Times New Roman" w:hAnsi="Times New Roman" w:cs="Times New Roman"/>
                <w:color w:val="auto"/>
                <w:w w:val="99"/>
                <w:kern w:val="2"/>
                <w:sz w:val="21"/>
                <w:szCs w:val="21"/>
                <w:highlight w:val="none"/>
              </w:rPr>
            </w:pPr>
            <w:r>
              <w:rPr>
                <w:rFonts w:ascii="Times New Roman" w:hAnsi="Times New Roman" w:cs="Times New Roman"/>
                <w:bCs/>
                <w:color w:val="auto"/>
                <w:w w:val="99"/>
                <w:kern w:val="2"/>
                <w:sz w:val="21"/>
                <w:szCs w:val="21"/>
                <w:highlight w:val="none"/>
              </w:rPr>
              <w:t>统一收集后由施工单位清运至建筑垃圾调配场处理</w:t>
            </w:r>
          </w:p>
        </w:tc>
      </w:tr>
      <w:tr w14:paraId="56F0A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Align w:val="center"/>
          </w:tcPr>
          <w:p w14:paraId="73B40A76">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3</w:t>
            </w:r>
          </w:p>
        </w:tc>
        <w:tc>
          <w:tcPr>
            <w:tcW w:w="748" w:type="pct"/>
            <w:vAlign w:val="center"/>
          </w:tcPr>
          <w:p w14:paraId="5D0246E1">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生活垃圾</w:t>
            </w:r>
          </w:p>
        </w:tc>
        <w:tc>
          <w:tcPr>
            <w:tcW w:w="641" w:type="pct"/>
            <w:vAlign w:val="center"/>
          </w:tcPr>
          <w:p w14:paraId="3B6602E0">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0.</w:t>
            </w:r>
            <w:r>
              <w:rPr>
                <w:rFonts w:hint="eastAsia" w:ascii="Times New Roman" w:hAnsi="Times New Roman" w:cs="Times New Roman"/>
                <w:color w:val="auto"/>
                <w:w w:val="99"/>
                <w:kern w:val="2"/>
                <w:sz w:val="21"/>
                <w:szCs w:val="21"/>
                <w:highlight w:val="none"/>
                <w:lang w:val="en-US" w:eastAsia="zh-CN"/>
              </w:rPr>
              <w:t>05</w:t>
            </w:r>
            <w:r>
              <w:rPr>
                <w:rFonts w:ascii="Times New Roman" w:hAnsi="Times New Roman" w:cs="Times New Roman"/>
                <w:color w:val="auto"/>
                <w:w w:val="99"/>
                <w:kern w:val="2"/>
                <w:sz w:val="21"/>
                <w:szCs w:val="21"/>
                <w:highlight w:val="none"/>
              </w:rPr>
              <w:t>t</w:t>
            </w:r>
          </w:p>
        </w:tc>
        <w:tc>
          <w:tcPr>
            <w:tcW w:w="611" w:type="pct"/>
            <w:vAlign w:val="center"/>
          </w:tcPr>
          <w:p w14:paraId="53891CBF">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w:t>
            </w:r>
          </w:p>
        </w:tc>
        <w:tc>
          <w:tcPr>
            <w:tcW w:w="2734" w:type="pct"/>
            <w:vAlign w:val="center"/>
          </w:tcPr>
          <w:p w14:paraId="4E20AF44">
            <w:pPr>
              <w:widowControl w:val="0"/>
              <w:adjustRightInd w:val="0"/>
              <w:snapToGrid w:val="0"/>
              <w:spacing w:line="320" w:lineRule="exact"/>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统一收集后拉运至</w:t>
            </w:r>
            <w:r>
              <w:rPr>
                <w:rFonts w:hint="eastAsia" w:ascii="Times New Roman" w:hAnsi="Times New Roman" w:cs="Times New Roman"/>
                <w:color w:val="auto"/>
                <w:w w:val="99"/>
                <w:kern w:val="2"/>
                <w:sz w:val="21"/>
                <w:szCs w:val="21"/>
                <w:highlight w:val="none"/>
                <w:lang w:eastAsia="zh-CN"/>
              </w:rPr>
              <w:t>肇东北控环境再生能源有限公司</w:t>
            </w:r>
            <w:r>
              <w:rPr>
                <w:rFonts w:ascii="Times New Roman" w:hAnsi="Times New Roman" w:cs="Times New Roman"/>
                <w:color w:val="auto"/>
                <w:w w:val="99"/>
                <w:kern w:val="2"/>
                <w:sz w:val="21"/>
                <w:szCs w:val="21"/>
                <w:highlight w:val="none"/>
              </w:rPr>
              <w:t>处理</w:t>
            </w:r>
          </w:p>
        </w:tc>
      </w:tr>
      <w:tr w14:paraId="604E2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vAlign w:val="center"/>
          </w:tcPr>
          <w:p w14:paraId="01A31057">
            <w:pPr>
              <w:widowControl w:val="0"/>
              <w:adjustRightInd w:val="0"/>
              <w:snapToGrid w:val="0"/>
              <w:spacing w:line="320" w:lineRule="exact"/>
              <w:jc w:val="center"/>
              <w:rPr>
                <w:rFonts w:hint="eastAsia"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4</w:t>
            </w:r>
          </w:p>
        </w:tc>
        <w:tc>
          <w:tcPr>
            <w:tcW w:w="748" w:type="pct"/>
            <w:vAlign w:val="center"/>
          </w:tcPr>
          <w:p w14:paraId="6F73A01D">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hint="eastAsia" w:ascii="Times New Roman" w:hAnsi="Times New Roman" w:eastAsia="宋体" w:cs="Times New Roman"/>
                <w:color w:val="auto"/>
                <w:w w:val="99"/>
                <w:kern w:val="2"/>
                <w:sz w:val="21"/>
                <w:szCs w:val="21"/>
                <w:highlight w:val="none"/>
                <w:lang w:val="en-US" w:eastAsia="zh-CN"/>
              </w:rPr>
              <w:t>含油废防渗布</w:t>
            </w:r>
          </w:p>
        </w:tc>
        <w:tc>
          <w:tcPr>
            <w:tcW w:w="641" w:type="pct"/>
            <w:vAlign w:val="center"/>
          </w:tcPr>
          <w:p w14:paraId="05D53050">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0.75</w:t>
            </w:r>
          </w:p>
        </w:tc>
        <w:tc>
          <w:tcPr>
            <w:tcW w:w="611" w:type="pct"/>
            <w:vAlign w:val="center"/>
          </w:tcPr>
          <w:p w14:paraId="75CF598C">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危险废物</w:t>
            </w:r>
          </w:p>
        </w:tc>
        <w:tc>
          <w:tcPr>
            <w:tcW w:w="2734" w:type="pct"/>
            <w:vAlign w:val="center"/>
          </w:tcPr>
          <w:p w14:paraId="1D5EE185">
            <w:pPr>
              <w:widowControl w:val="0"/>
              <w:adjustRightInd w:val="0"/>
              <w:snapToGrid w:val="0"/>
              <w:spacing w:line="320" w:lineRule="exact"/>
              <w:rPr>
                <w:rFonts w:ascii="Times New Roman" w:hAnsi="Times New Roman" w:cs="Times New Roman"/>
                <w:color w:val="auto"/>
                <w:w w:val="99"/>
                <w:kern w:val="2"/>
                <w:sz w:val="21"/>
                <w:szCs w:val="21"/>
                <w:highlight w:val="none"/>
              </w:rPr>
            </w:pPr>
            <w:r>
              <w:rPr>
                <w:rFonts w:hint="default" w:ascii="Times New Roman" w:hAnsi="Times New Roman" w:cs="Times New Roman"/>
                <w:color w:val="auto"/>
                <w:w w:val="99"/>
                <w:kern w:val="2"/>
                <w:sz w:val="21"/>
                <w:szCs w:val="21"/>
                <w:highlight w:val="none"/>
                <w:lang w:val="en-US" w:eastAsia="zh-CN"/>
              </w:rPr>
              <w:t>在作业结束后，</w:t>
            </w:r>
            <w:r>
              <w:rPr>
                <w:rFonts w:hint="eastAsia" w:ascii="Times New Roman" w:hAnsi="Times New Roman" w:cs="Times New Roman"/>
                <w:color w:val="auto"/>
                <w:w w:val="99"/>
                <w:kern w:val="2"/>
                <w:sz w:val="21"/>
                <w:szCs w:val="21"/>
                <w:highlight w:val="none"/>
                <w:lang w:val="en-US" w:eastAsia="zh-CN"/>
              </w:rPr>
              <w:t>由施工单位运至采气分公司危险废物贮存库，</w:t>
            </w:r>
            <w:r>
              <w:rPr>
                <w:rFonts w:hint="default" w:ascii="Times New Roman" w:hAnsi="Times New Roman" w:cs="Times New Roman"/>
                <w:color w:val="auto"/>
                <w:w w:val="99"/>
                <w:kern w:val="2"/>
                <w:sz w:val="21"/>
                <w:szCs w:val="21"/>
                <w:highlight w:val="none"/>
                <w:lang w:val="en-US" w:eastAsia="zh-CN"/>
              </w:rPr>
              <w:t>委托</w:t>
            </w:r>
            <w:r>
              <w:rPr>
                <w:rFonts w:hint="eastAsia" w:ascii="Times New Roman" w:hAnsi="Times New Roman" w:cs="Times New Roman"/>
                <w:color w:val="auto"/>
                <w:w w:val="99"/>
                <w:kern w:val="2"/>
                <w:sz w:val="21"/>
                <w:szCs w:val="21"/>
                <w:highlight w:val="none"/>
                <w:lang w:val="en-US" w:eastAsia="zh-CN"/>
              </w:rPr>
              <w:t>有资质单位</w:t>
            </w:r>
            <w:r>
              <w:rPr>
                <w:rFonts w:hint="default" w:ascii="Times New Roman" w:hAnsi="Times New Roman" w:cs="Times New Roman"/>
                <w:color w:val="auto"/>
                <w:w w:val="99"/>
                <w:kern w:val="2"/>
                <w:sz w:val="21"/>
                <w:szCs w:val="21"/>
                <w:highlight w:val="none"/>
                <w:lang w:val="en-US" w:eastAsia="zh-CN"/>
              </w:rPr>
              <w:t>转运处置</w:t>
            </w:r>
          </w:p>
        </w:tc>
      </w:tr>
    </w:tbl>
    <w:p w14:paraId="689386C2">
      <w:pPr>
        <w:pStyle w:val="46"/>
        <w:spacing w:after="0" w:line="440" w:lineRule="exact"/>
        <w:ind w:left="0" w:leftChars="0" w:firstLine="474" w:firstLineChars="200"/>
        <w:rPr>
          <w:rFonts w:hint="eastAsia" w:ascii="Times New Roman" w:hAnsi="Times New Roman" w:eastAsia="宋体" w:cs="Times New Roman"/>
          <w:color w:val="auto"/>
          <w:w w:val="99"/>
          <w:kern w:val="2"/>
          <w:sz w:val="24"/>
          <w:szCs w:val="24"/>
          <w:highlight w:val="none"/>
          <w:lang w:val="en-US" w:eastAsia="zh-CN" w:bidi="ar-SA"/>
        </w:rPr>
        <w:sectPr>
          <w:headerReference r:id="rId7" w:type="default"/>
          <w:footerReference r:id="rId8"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color w:val="auto"/>
          <w:w w:val="99"/>
          <w:kern w:val="2"/>
          <w:sz w:val="24"/>
          <w:szCs w:val="24"/>
          <w:highlight w:val="none"/>
          <w:lang w:val="en-US" w:eastAsia="zh-CN" w:bidi="ar-SA"/>
        </w:rPr>
        <w:t>本项目施工期污染源源强核算结果及相关参数汇总见表</w:t>
      </w:r>
      <w:r>
        <w:rPr>
          <w:rFonts w:hint="eastAsia" w:cs="Times New Roman"/>
          <w:color w:val="auto"/>
          <w:w w:val="99"/>
          <w:kern w:val="2"/>
          <w:sz w:val="24"/>
          <w:szCs w:val="24"/>
          <w:highlight w:val="none"/>
          <w:lang w:val="en-US" w:eastAsia="zh-CN" w:bidi="ar-SA"/>
        </w:rPr>
        <w:t>3.10</w:t>
      </w:r>
      <w:r>
        <w:rPr>
          <w:rFonts w:hint="eastAsia" w:ascii="Times New Roman" w:hAnsi="Times New Roman" w:eastAsia="宋体" w:cs="Times New Roman"/>
          <w:color w:val="auto"/>
          <w:w w:val="99"/>
          <w:kern w:val="2"/>
          <w:sz w:val="24"/>
          <w:szCs w:val="24"/>
          <w:highlight w:val="none"/>
          <w:lang w:val="en-US" w:eastAsia="zh-CN" w:bidi="ar-SA"/>
        </w:rPr>
        <w:t>-1</w:t>
      </w:r>
      <w:r>
        <w:rPr>
          <w:rFonts w:hint="eastAsia" w:cs="Times New Roman"/>
          <w:color w:val="auto"/>
          <w:w w:val="99"/>
          <w:kern w:val="2"/>
          <w:sz w:val="24"/>
          <w:szCs w:val="24"/>
          <w:highlight w:val="none"/>
          <w:lang w:val="en-US" w:eastAsia="zh-CN" w:bidi="ar-SA"/>
        </w:rPr>
        <w:t>1</w:t>
      </w:r>
      <w:r>
        <w:rPr>
          <w:rFonts w:hint="eastAsia" w:ascii="Times New Roman" w:hAnsi="Times New Roman" w:eastAsia="宋体" w:cs="Times New Roman"/>
          <w:color w:val="auto"/>
          <w:w w:val="99"/>
          <w:kern w:val="2"/>
          <w:sz w:val="24"/>
          <w:szCs w:val="24"/>
          <w:highlight w:val="none"/>
          <w:lang w:val="en-US" w:eastAsia="zh-CN" w:bidi="ar-SA"/>
        </w:rPr>
        <w:t>~表</w:t>
      </w:r>
      <w:r>
        <w:rPr>
          <w:rFonts w:hint="eastAsia" w:cs="Times New Roman"/>
          <w:color w:val="auto"/>
          <w:w w:val="99"/>
          <w:kern w:val="2"/>
          <w:sz w:val="24"/>
          <w:szCs w:val="24"/>
          <w:highlight w:val="none"/>
          <w:lang w:val="en-US" w:eastAsia="zh-CN" w:bidi="ar-SA"/>
        </w:rPr>
        <w:t>3.10</w:t>
      </w:r>
      <w:r>
        <w:rPr>
          <w:rFonts w:hint="eastAsia" w:ascii="Times New Roman" w:hAnsi="Times New Roman" w:eastAsia="宋体" w:cs="Times New Roman"/>
          <w:color w:val="auto"/>
          <w:w w:val="99"/>
          <w:kern w:val="2"/>
          <w:sz w:val="24"/>
          <w:szCs w:val="24"/>
          <w:highlight w:val="none"/>
          <w:lang w:val="en-US" w:eastAsia="zh-CN" w:bidi="ar-SA"/>
        </w:rPr>
        <w:t>-1</w:t>
      </w:r>
      <w:r>
        <w:rPr>
          <w:rFonts w:hint="eastAsia" w:cs="Times New Roman"/>
          <w:color w:val="auto"/>
          <w:w w:val="99"/>
          <w:kern w:val="2"/>
          <w:sz w:val="24"/>
          <w:szCs w:val="24"/>
          <w:highlight w:val="none"/>
          <w:lang w:val="en-US" w:eastAsia="zh-CN" w:bidi="ar-SA"/>
        </w:rPr>
        <w:t>4</w:t>
      </w:r>
      <w:r>
        <w:rPr>
          <w:rFonts w:hint="eastAsia" w:ascii="Times New Roman" w:hAnsi="Times New Roman" w:eastAsia="宋体" w:cs="Times New Roman"/>
          <w:color w:val="auto"/>
          <w:w w:val="99"/>
          <w:kern w:val="2"/>
          <w:sz w:val="24"/>
          <w:szCs w:val="24"/>
          <w:highlight w:val="none"/>
          <w:lang w:val="en-US" w:eastAsia="zh-CN" w:bidi="ar-SA"/>
        </w:rPr>
        <w:t>，运营期污染源源强核算结果及相关参数汇总见表</w:t>
      </w:r>
      <w:r>
        <w:rPr>
          <w:rFonts w:hint="eastAsia" w:cs="Times New Roman"/>
          <w:color w:val="auto"/>
          <w:w w:val="99"/>
          <w:kern w:val="2"/>
          <w:sz w:val="24"/>
          <w:szCs w:val="24"/>
          <w:highlight w:val="none"/>
          <w:lang w:val="en-US" w:eastAsia="zh-CN" w:bidi="ar-SA"/>
        </w:rPr>
        <w:t>3.10</w:t>
      </w:r>
      <w:r>
        <w:rPr>
          <w:rFonts w:hint="eastAsia" w:ascii="Times New Roman" w:hAnsi="Times New Roman" w:eastAsia="宋体" w:cs="Times New Roman"/>
          <w:color w:val="auto"/>
          <w:w w:val="99"/>
          <w:kern w:val="2"/>
          <w:sz w:val="24"/>
          <w:szCs w:val="24"/>
          <w:highlight w:val="none"/>
          <w:lang w:val="en-US" w:eastAsia="zh-CN" w:bidi="ar-SA"/>
        </w:rPr>
        <w:t>-1</w:t>
      </w:r>
      <w:r>
        <w:rPr>
          <w:rFonts w:hint="eastAsia" w:cs="Times New Roman"/>
          <w:color w:val="auto"/>
          <w:w w:val="99"/>
          <w:kern w:val="2"/>
          <w:sz w:val="24"/>
          <w:szCs w:val="24"/>
          <w:highlight w:val="none"/>
          <w:lang w:val="en-US" w:eastAsia="zh-CN" w:bidi="ar-SA"/>
        </w:rPr>
        <w:t>5</w:t>
      </w:r>
      <w:r>
        <w:rPr>
          <w:rFonts w:hint="eastAsia" w:ascii="Times New Roman" w:hAnsi="Times New Roman" w:eastAsia="宋体" w:cs="Times New Roman"/>
          <w:color w:val="auto"/>
          <w:w w:val="99"/>
          <w:kern w:val="2"/>
          <w:sz w:val="24"/>
          <w:szCs w:val="24"/>
          <w:highlight w:val="none"/>
          <w:lang w:val="en-US" w:eastAsia="zh-CN" w:bidi="ar-SA"/>
        </w:rPr>
        <w:t>~表</w:t>
      </w:r>
      <w:r>
        <w:rPr>
          <w:rFonts w:hint="eastAsia" w:cs="Times New Roman"/>
          <w:color w:val="auto"/>
          <w:w w:val="99"/>
          <w:kern w:val="2"/>
          <w:sz w:val="24"/>
          <w:szCs w:val="24"/>
          <w:highlight w:val="none"/>
          <w:lang w:val="en-US" w:eastAsia="zh-CN" w:bidi="ar-SA"/>
        </w:rPr>
        <w:t>3.10</w:t>
      </w:r>
      <w:r>
        <w:rPr>
          <w:rFonts w:hint="eastAsia" w:ascii="Times New Roman" w:hAnsi="Times New Roman" w:eastAsia="宋体" w:cs="Times New Roman"/>
          <w:color w:val="auto"/>
          <w:w w:val="99"/>
          <w:kern w:val="2"/>
          <w:sz w:val="24"/>
          <w:szCs w:val="24"/>
          <w:highlight w:val="none"/>
          <w:lang w:val="en-US" w:eastAsia="zh-CN" w:bidi="ar-SA"/>
        </w:rPr>
        <w:t>-</w:t>
      </w:r>
      <w:r>
        <w:rPr>
          <w:rFonts w:hint="eastAsia" w:cs="Times New Roman"/>
          <w:color w:val="auto"/>
          <w:w w:val="99"/>
          <w:kern w:val="2"/>
          <w:sz w:val="24"/>
          <w:szCs w:val="24"/>
          <w:highlight w:val="none"/>
          <w:lang w:val="en-US" w:eastAsia="zh-CN" w:bidi="ar-SA"/>
        </w:rPr>
        <w:t>18</w:t>
      </w:r>
      <w:r>
        <w:rPr>
          <w:rFonts w:hint="eastAsia" w:ascii="Times New Roman" w:hAnsi="Times New Roman" w:eastAsia="宋体" w:cs="Times New Roman"/>
          <w:color w:val="auto"/>
          <w:w w:val="99"/>
          <w:kern w:val="2"/>
          <w:sz w:val="24"/>
          <w:szCs w:val="24"/>
          <w:highlight w:val="none"/>
          <w:lang w:val="en-US" w:eastAsia="zh-CN" w:bidi="ar-SA"/>
        </w:rPr>
        <w:t>，退役期污染源源强核算结果及相关参数汇总见表</w:t>
      </w:r>
      <w:r>
        <w:rPr>
          <w:rFonts w:hint="eastAsia" w:cs="Times New Roman"/>
          <w:color w:val="auto"/>
          <w:w w:val="99"/>
          <w:kern w:val="2"/>
          <w:sz w:val="24"/>
          <w:szCs w:val="24"/>
          <w:highlight w:val="none"/>
          <w:lang w:val="en-US" w:eastAsia="zh-CN" w:bidi="ar-SA"/>
        </w:rPr>
        <w:t>3.10</w:t>
      </w:r>
      <w:r>
        <w:rPr>
          <w:rFonts w:hint="eastAsia" w:ascii="Times New Roman" w:hAnsi="Times New Roman" w:eastAsia="宋体" w:cs="Times New Roman"/>
          <w:color w:val="auto"/>
          <w:w w:val="99"/>
          <w:kern w:val="2"/>
          <w:sz w:val="24"/>
          <w:szCs w:val="24"/>
          <w:highlight w:val="none"/>
          <w:lang w:val="en-US" w:eastAsia="zh-CN" w:bidi="ar-SA"/>
        </w:rPr>
        <w:t>-</w:t>
      </w:r>
      <w:r>
        <w:rPr>
          <w:rFonts w:hint="eastAsia" w:cs="Times New Roman"/>
          <w:color w:val="auto"/>
          <w:w w:val="99"/>
          <w:kern w:val="2"/>
          <w:sz w:val="24"/>
          <w:szCs w:val="24"/>
          <w:highlight w:val="none"/>
          <w:lang w:val="en-US" w:eastAsia="zh-CN" w:bidi="ar-SA"/>
        </w:rPr>
        <w:t>19</w:t>
      </w:r>
      <w:r>
        <w:rPr>
          <w:rFonts w:hint="eastAsia" w:ascii="Times New Roman" w:hAnsi="Times New Roman" w:eastAsia="宋体" w:cs="Times New Roman"/>
          <w:color w:val="auto"/>
          <w:w w:val="99"/>
          <w:kern w:val="2"/>
          <w:sz w:val="24"/>
          <w:szCs w:val="24"/>
          <w:highlight w:val="none"/>
          <w:lang w:val="en-US" w:eastAsia="zh-CN" w:bidi="ar-SA"/>
        </w:rPr>
        <w:t>~表</w:t>
      </w:r>
      <w:r>
        <w:rPr>
          <w:rFonts w:hint="eastAsia" w:cs="Times New Roman"/>
          <w:color w:val="auto"/>
          <w:w w:val="99"/>
          <w:kern w:val="2"/>
          <w:sz w:val="24"/>
          <w:szCs w:val="24"/>
          <w:highlight w:val="none"/>
          <w:lang w:val="en-US" w:eastAsia="zh-CN" w:bidi="ar-SA"/>
        </w:rPr>
        <w:t>3.10</w:t>
      </w:r>
      <w:r>
        <w:rPr>
          <w:rFonts w:hint="eastAsia" w:ascii="Times New Roman" w:hAnsi="Times New Roman" w:eastAsia="宋体" w:cs="Times New Roman"/>
          <w:color w:val="auto"/>
          <w:w w:val="99"/>
          <w:kern w:val="2"/>
          <w:sz w:val="24"/>
          <w:szCs w:val="24"/>
          <w:highlight w:val="none"/>
          <w:lang w:val="en-US" w:eastAsia="zh-CN" w:bidi="ar-SA"/>
        </w:rPr>
        <w:t>-2</w:t>
      </w:r>
      <w:r>
        <w:rPr>
          <w:rFonts w:hint="eastAsia" w:cs="Times New Roman"/>
          <w:color w:val="auto"/>
          <w:w w:val="99"/>
          <w:kern w:val="2"/>
          <w:sz w:val="24"/>
          <w:szCs w:val="24"/>
          <w:highlight w:val="none"/>
          <w:lang w:val="en-US" w:eastAsia="zh-CN" w:bidi="ar-SA"/>
        </w:rPr>
        <w:t>2</w:t>
      </w:r>
      <w:r>
        <w:rPr>
          <w:rFonts w:hint="eastAsia" w:ascii="Times New Roman" w:hAnsi="Times New Roman" w:eastAsia="宋体" w:cs="Times New Roman"/>
          <w:color w:val="auto"/>
          <w:w w:val="99"/>
          <w:kern w:val="2"/>
          <w:sz w:val="24"/>
          <w:szCs w:val="24"/>
          <w:highlight w:val="none"/>
          <w:lang w:val="en-US" w:eastAsia="zh-CN" w:bidi="ar-SA"/>
        </w:rPr>
        <w:t>。</w:t>
      </w:r>
    </w:p>
    <w:p w14:paraId="7EA5C0E6">
      <w:pPr>
        <w:pStyle w:val="153"/>
        <w:widowControl w:val="0"/>
        <w:spacing w:line="440" w:lineRule="exact"/>
        <w:ind w:firstLine="478"/>
        <w:rPr>
          <w:rFonts w:ascii="Times New Roman" w:hAnsi="Times New Roman" w:eastAsiaTheme="minorEastAsia"/>
          <w:b/>
          <w:bCs/>
          <w:color w:val="auto"/>
          <w:w w:val="99"/>
          <w:highlight w:val="none"/>
        </w:rPr>
      </w:pPr>
      <w:r>
        <w:rPr>
          <w:rFonts w:ascii="Times New Roman" w:hAnsi="Times New Roman" w:eastAsiaTheme="minorEastAsia"/>
          <w:b/>
          <w:bCs/>
          <w:color w:val="auto"/>
          <w:w w:val="99"/>
          <w:highlight w:val="none"/>
        </w:rPr>
        <w:t>表</w:t>
      </w:r>
      <w:r>
        <w:rPr>
          <w:rFonts w:hint="eastAsia" w:ascii="Times New Roman" w:hAnsi="Times New Roman" w:eastAsiaTheme="minorEastAsia"/>
          <w:b/>
          <w:color w:val="auto"/>
          <w:w w:val="99"/>
          <w:highlight w:val="none"/>
          <w:lang w:eastAsia="zh-CN"/>
        </w:rPr>
        <w:t>3.1</w:t>
      </w:r>
      <w:r>
        <w:rPr>
          <w:rFonts w:hint="eastAsia" w:ascii="Times New Roman" w:hAnsi="Times New Roman" w:eastAsiaTheme="minorEastAsia"/>
          <w:b/>
          <w:color w:val="auto"/>
          <w:w w:val="99"/>
          <w:highlight w:val="none"/>
          <w:lang w:val="en-US" w:eastAsia="zh-CN"/>
        </w:rPr>
        <w:t>0</w:t>
      </w:r>
      <w:r>
        <w:rPr>
          <w:rFonts w:ascii="Times New Roman" w:hAnsi="Times New Roman" w:eastAsiaTheme="minorEastAsia"/>
          <w:b/>
          <w:color w:val="auto"/>
          <w:w w:val="99"/>
          <w:highlight w:val="none"/>
        </w:rPr>
        <w:t>-1</w:t>
      </w:r>
      <w:r>
        <w:rPr>
          <w:rFonts w:hint="eastAsia" w:ascii="Times New Roman" w:hAnsi="Times New Roman" w:eastAsiaTheme="minorEastAsia"/>
          <w:b/>
          <w:color w:val="auto"/>
          <w:w w:val="99"/>
          <w:highlight w:val="none"/>
          <w:lang w:val="en-US" w:eastAsia="zh-CN"/>
        </w:rPr>
        <w:t>1</w:t>
      </w:r>
      <w:r>
        <w:rPr>
          <w:rFonts w:ascii="Times New Roman" w:hAnsi="Times New Roman" w:eastAsiaTheme="minorEastAsia"/>
          <w:b/>
          <w:bCs/>
          <w:color w:val="auto"/>
          <w:w w:val="99"/>
          <w:highlight w:val="none"/>
        </w:rPr>
        <w:t xml:space="preserve">    </w:t>
      </w:r>
      <w:r>
        <w:rPr>
          <w:rFonts w:ascii="Times New Roman" w:hAnsi="Times New Roman"/>
          <w:b/>
          <w:color w:val="auto"/>
          <w:w w:val="99"/>
          <w:kern w:val="2"/>
          <w:highlight w:val="none"/>
        </w:rPr>
        <w:t>施工期</w:t>
      </w:r>
      <w:r>
        <w:rPr>
          <w:rFonts w:ascii="Times New Roman" w:hAnsi="Times New Roman" w:eastAsiaTheme="minorEastAsia"/>
          <w:b/>
          <w:bCs/>
          <w:color w:val="auto"/>
          <w:w w:val="99"/>
          <w:highlight w:val="none"/>
        </w:rPr>
        <w:t>废气污染源源强核算结果及相关参数一览表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57"/>
        <w:gridCol w:w="657"/>
        <w:gridCol w:w="842"/>
        <w:gridCol w:w="1297"/>
        <w:gridCol w:w="717"/>
        <w:gridCol w:w="43"/>
        <w:gridCol w:w="1064"/>
        <w:gridCol w:w="23"/>
        <w:gridCol w:w="1158"/>
        <w:gridCol w:w="23"/>
        <w:gridCol w:w="1166"/>
        <w:gridCol w:w="657"/>
        <w:gridCol w:w="1058"/>
        <w:gridCol w:w="717"/>
        <w:gridCol w:w="1007"/>
        <w:gridCol w:w="1078"/>
        <w:gridCol w:w="1166"/>
        <w:gridCol w:w="888"/>
      </w:tblGrid>
      <w:tr w14:paraId="34B02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restart"/>
            <w:vAlign w:val="center"/>
          </w:tcPr>
          <w:p w14:paraId="37E6447F">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工序</w:t>
            </w:r>
          </w:p>
        </w:tc>
        <w:tc>
          <w:tcPr>
            <w:tcW w:w="231" w:type="pct"/>
            <w:vMerge w:val="restart"/>
            <w:vAlign w:val="center"/>
          </w:tcPr>
          <w:p w14:paraId="17DE893E">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装置</w:t>
            </w:r>
          </w:p>
        </w:tc>
        <w:tc>
          <w:tcPr>
            <w:tcW w:w="296" w:type="pct"/>
            <w:vMerge w:val="restart"/>
            <w:vAlign w:val="center"/>
          </w:tcPr>
          <w:p w14:paraId="4F43BF7A">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污染源</w:t>
            </w:r>
          </w:p>
        </w:tc>
        <w:tc>
          <w:tcPr>
            <w:tcW w:w="456" w:type="pct"/>
            <w:vMerge w:val="restart"/>
            <w:vAlign w:val="center"/>
          </w:tcPr>
          <w:p w14:paraId="75158EBF">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1474" w:type="pct"/>
            <w:gridSpan w:val="7"/>
            <w:vAlign w:val="center"/>
          </w:tcPr>
          <w:p w14:paraId="57123703">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污染物产生</w:t>
            </w:r>
          </w:p>
        </w:tc>
        <w:tc>
          <w:tcPr>
            <w:tcW w:w="603" w:type="pct"/>
            <w:gridSpan w:val="2"/>
            <w:vAlign w:val="center"/>
          </w:tcPr>
          <w:p w14:paraId="70D55138">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治理措施</w:t>
            </w:r>
          </w:p>
        </w:tc>
        <w:tc>
          <w:tcPr>
            <w:tcW w:w="1395" w:type="pct"/>
            <w:gridSpan w:val="4"/>
            <w:vAlign w:val="center"/>
          </w:tcPr>
          <w:p w14:paraId="4299B719">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污染物排放</w:t>
            </w:r>
          </w:p>
        </w:tc>
        <w:tc>
          <w:tcPr>
            <w:tcW w:w="312" w:type="pct"/>
            <w:vMerge w:val="restart"/>
            <w:vAlign w:val="center"/>
          </w:tcPr>
          <w:p w14:paraId="1E120756">
            <w:pPr>
              <w:keepNext/>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排放时间</w:t>
            </w:r>
          </w:p>
        </w:tc>
      </w:tr>
      <w:tr w14:paraId="6A78F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continue"/>
            <w:vAlign w:val="center"/>
          </w:tcPr>
          <w:p w14:paraId="6599EF8A">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c>
          <w:tcPr>
            <w:tcW w:w="231" w:type="pct"/>
            <w:vMerge w:val="continue"/>
            <w:vAlign w:val="center"/>
          </w:tcPr>
          <w:p w14:paraId="5D875D25">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c>
          <w:tcPr>
            <w:tcW w:w="296" w:type="pct"/>
            <w:vMerge w:val="continue"/>
            <w:vAlign w:val="center"/>
          </w:tcPr>
          <w:p w14:paraId="2D0D3061">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c>
          <w:tcPr>
            <w:tcW w:w="456" w:type="pct"/>
            <w:vMerge w:val="continue"/>
            <w:vAlign w:val="center"/>
          </w:tcPr>
          <w:p w14:paraId="6E05CE34">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c>
          <w:tcPr>
            <w:tcW w:w="267" w:type="pct"/>
            <w:gridSpan w:val="2"/>
            <w:vAlign w:val="center"/>
          </w:tcPr>
          <w:p w14:paraId="6FC4A057">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核算方法</w:t>
            </w:r>
          </w:p>
        </w:tc>
        <w:tc>
          <w:tcPr>
            <w:tcW w:w="374" w:type="pct"/>
            <w:vAlign w:val="center"/>
          </w:tcPr>
          <w:p w14:paraId="654828C2">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废气产生量m</w:t>
            </w:r>
            <w:r>
              <w:rPr>
                <w:rFonts w:ascii="Times New Roman" w:hAnsi="Times New Roman" w:cs="Times New Roman" w:eastAsiaTheme="minorEastAsia"/>
                <w:color w:val="auto"/>
                <w:w w:val="99"/>
                <w:kern w:val="2"/>
                <w:sz w:val="21"/>
                <w:szCs w:val="21"/>
                <w:highlight w:val="none"/>
                <w:vertAlign w:val="superscript"/>
              </w:rPr>
              <w:t>3</w:t>
            </w:r>
          </w:p>
        </w:tc>
        <w:tc>
          <w:tcPr>
            <w:tcW w:w="423" w:type="pct"/>
            <w:gridSpan w:val="3"/>
            <w:vAlign w:val="center"/>
          </w:tcPr>
          <w:p w14:paraId="1C507DC2">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w:t>
            </w:r>
          </w:p>
          <w:p w14:paraId="56F548CD">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浓度mg/m</w:t>
            </w:r>
            <w:r>
              <w:rPr>
                <w:rFonts w:ascii="Times New Roman" w:hAnsi="Times New Roman" w:cs="Times New Roman" w:eastAsiaTheme="minorEastAsia"/>
                <w:color w:val="auto"/>
                <w:w w:val="99"/>
                <w:kern w:val="2"/>
                <w:sz w:val="21"/>
                <w:szCs w:val="21"/>
                <w:highlight w:val="none"/>
                <w:vertAlign w:val="superscript"/>
              </w:rPr>
              <w:t>3</w:t>
            </w:r>
          </w:p>
        </w:tc>
        <w:tc>
          <w:tcPr>
            <w:tcW w:w="410" w:type="pct"/>
            <w:vAlign w:val="center"/>
          </w:tcPr>
          <w:p w14:paraId="1AF6CBB3">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产生量t</w:t>
            </w:r>
          </w:p>
        </w:tc>
        <w:tc>
          <w:tcPr>
            <w:tcW w:w="231" w:type="pct"/>
            <w:vAlign w:val="center"/>
          </w:tcPr>
          <w:p w14:paraId="08F142BC">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工艺</w:t>
            </w:r>
          </w:p>
        </w:tc>
        <w:tc>
          <w:tcPr>
            <w:tcW w:w="372" w:type="pct"/>
            <w:vAlign w:val="center"/>
          </w:tcPr>
          <w:p w14:paraId="2A99DC52">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效率%</w:t>
            </w:r>
          </w:p>
        </w:tc>
        <w:tc>
          <w:tcPr>
            <w:tcW w:w="252" w:type="pct"/>
            <w:vAlign w:val="center"/>
          </w:tcPr>
          <w:p w14:paraId="6BA60E34">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核算方法</w:t>
            </w:r>
          </w:p>
        </w:tc>
        <w:tc>
          <w:tcPr>
            <w:tcW w:w="354" w:type="pct"/>
            <w:vAlign w:val="center"/>
          </w:tcPr>
          <w:p w14:paraId="5C7BC79E">
            <w:pPr>
              <w:widowControl w:val="0"/>
              <w:adjustRightInd w:val="0"/>
              <w:spacing w:line="360" w:lineRule="exact"/>
              <w:jc w:val="center"/>
              <w:rPr>
                <w:rFonts w:ascii="Times New Roman" w:hAnsi="Times New Roman" w:cs="Times New Roman"/>
                <w:color w:val="auto"/>
                <w:w w:val="99"/>
                <w:highlight w:val="none"/>
                <w:vertAlign w:val="superscript"/>
              </w:rPr>
            </w:pPr>
            <w:r>
              <w:rPr>
                <w:rFonts w:ascii="Times New Roman" w:hAnsi="Times New Roman" w:cs="Times New Roman" w:eastAsiaTheme="minorEastAsia"/>
                <w:color w:val="auto"/>
                <w:w w:val="99"/>
                <w:kern w:val="2"/>
                <w:sz w:val="21"/>
                <w:szCs w:val="21"/>
                <w:highlight w:val="none"/>
              </w:rPr>
              <w:t>废气排放量m</w:t>
            </w:r>
            <w:r>
              <w:rPr>
                <w:rFonts w:ascii="Times New Roman" w:hAnsi="Times New Roman" w:cs="Times New Roman"/>
                <w:color w:val="auto"/>
                <w:w w:val="99"/>
                <w:highlight w:val="none"/>
                <w:vertAlign w:val="superscript"/>
              </w:rPr>
              <w:t>3</w:t>
            </w:r>
          </w:p>
        </w:tc>
        <w:tc>
          <w:tcPr>
            <w:tcW w:w="379" w:type="pct"/>
            <w:vAlign w:val="center"/>
          </w:tcPr>
          <w:p w14:paraId="13A5D370">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排放浓度mg/m</w:t>
            </w:r>
            <w:r>
              <w:rPr>
                <w:rFonts w:ascii="Times New Roman" w:hAnsi="Times New Roman" w:cs="Times New Roman" w:eastAsiaTheme="minorEastAsia"/>
                <w:color w:val="auto"/>
                <w:w w:val="99"/>
                <w:kern w:val="2"/>
                <w:sz w:val="21"/>
                <w:szCs w:val="21"/>
                <w:highlight w:val="none"/>
                <w:vertAlign w:val="superscript"/>
              </w:rPr>
              <w:t>3</w:t>
            </w:r>
          </w:p>
        </w:tc>
        <w:tc>
          <w:tcPr>
            <w:tcW w:w="410" w:type="pct"/>
            <w:vAlign w:val="center"/>
          </w:tcPr>
          <w:p w14:paraId="5BAD3DC3">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排放量</w:t>
            </w:r>
          </w:p>
          <w:p w14:paraId="20274605">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w:t>
            </w:r>
          </w:p>
        </w:tc>
        <w:tc>
          <w:tcPr>
            <w:tcW w:w="312" w:type="pct"/>
            <w:vMerge w:val="continue"/>
            <w:vAlign w:val="center"/>
          </w:tcPr>
          <w:p w14:paraId="1DB6020A">
            <w:pPr>
              <w:keepNext/>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r>
      <w:tr w14:paraId="4B4B3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restart"/>
            <w:vAlign w:val="center"/>
          </w:tcPr>
          <w:p w14:paraId="3D1E91FB">
            <w:pPr>
              <w:widowControl w:val="0"/>
              <w:adjustRightIn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施工</w:t>
            </w:r>
          </w:p>
        </w:tc>
        <w:tc>
          <w:tcPr>
            <w:tcW w:w="231" w:type="pct"/>
            <w:vAlign w:val="center"/>
          </w:tcPr>
          <w:p w14:paraId="58D322AC">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场地</w:t>
            </w:r>
          </w:p>
        </w:tc>
        <w:tc>
          <w:tcPr>
            <w:tcW w:w="296" w:type="pct"/>
            <w:vAlign w:val="center"/>
          </w:tcPr>
          <w:p w14:paraId="36E60E2E">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施工扬尘</w:t>
            </w:r>
          </w:p>
        </w:tc>
        <w:tc>
          <w:tcPr>
            <w:tcW w:w="456" w:type="pct"/>
            <w:vAlign w:val="center"/>
          </w:tcPr>
          <w:p w14:paraId="32BAD18E">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颗粒物</w:t>
            </w:r>
          </w:p>
        </w:tc>
        <w:tc>
          <w:tcPr>
            <w:tcW w:w="267" w:type="pct"/>
            <w:gridSpan w:val="2"/>
            <w:vAlign w:val="center"/>
          </w:tcPr>
          <w:p w14:paraId="4405FC11">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74" w:type="pct"/>
            <w:vAlign w:val="center"/>
          </w:tcPr>
          <w:p w14:paraId="34A3FCF5">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23" w:type="pct"/>
            <w:gridSpan w:val="3"/>
            <w:vAlign w:val="center"/>
          </w:tcPr>
          <w:p w14:paraId="122C023F">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10" w:type="pct"/>
            <w:vAlign w:val="center"/>
          </w:tcPr>
          <w:p w14:paraId="3D5EEA0D">
            <w:pPr>
              <w:widowControl w:val="0"/>
              <w:adjustRightIn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0.069</w:t>
            </w:r>
          </w:p>
        </w:tc>
        <w:tc>
          <w:tcPr>
            <w:tcW w:w="603" w:type="pct"/>
            <w:gridSpan w:val="2"/>
            <w:vAlign w:val="center"/>
          </w:tcPr>
          <w:p w14:paraId="7D45D347">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采取洒水抑尘，</w:t>
            </w:r>
            <w:r>
              <w:rPr>
                <w:rFonts w:ascii="Times New Roman" w:hAnsi="Times New Roman" w:cs="Times New Roman" w:eastAsiaTheme="minorEastAsia"/>
                <w:color w:val="auto"/>
                <w:w w:val="99"/>
                <w:kern w:val="2"/>
                <w:sz w:val="21"/>
                <w:szCs w:val="21"/>
                <w:highlight w:val="none"/>
              </w:rPr>
              <w:t>去除效率96%</w:t>
            </w:r>
          </w:p>
        </w:tc>
        <w:tc>
          <w:tcPr>
            <w:tcW w:w="252" w:type="pct"/>
            <w:vAlign w:val="center"/>
          </w:tcPr>
          <w:p w14:paraId="7AC753D5">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54" w:type="pct"/>
            <w:vAlign w:val="center"/>
          </w:tcPr>
          <w:p w14:paraId="4BE81B1F">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79" w:type="pct"/>
            <w:vAlign w:val="center"/>
          </w:tcPr>
          <w:p w14:paraId="22656122">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10" w:type="pct"/>
            <w:vAlign w:val="center"/>
          </w:tcPr>
          <w:p w14:paraId="264C2C45">
            <w:pPr>
              <w:widowControl w:val="0"/>
              <w:adjustRightIn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0.069</w:t>
            </w:r>
          </w:p>
        </w:tc>
        <w:tc>
          <w:tcPr>
            <w:tcW w:w="312" w:type="pct"/>
            <w:vAlign w:val="center"/>
          </w:tcPr>
          <w:p w14:paraId="534B2184">
            <w:pPr>
              <w:keepNext/>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w:t>
            </w:r>
          </w:p>
          <w:p w14:paraId="0451A59D">
            <w:pPr>
              <w:keepNext/>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期</w:t>
            </w:r>
          </w:p>
        </w:tc>
      </w:tr>
      <w:tr w14:paraId="45349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continue"/>
            <w:vAlign w:val="center"/>
          </w:tcPr>
          <w:p w14:paraId="2E7063FD">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c>
          <w:tcPr>
            <w:tcW w:w="231" w:type="pct"/>
            <w:vAlign w:val="center"/>
          </w:tcPr>
          <w:p w14:paraId="28F93050">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w:t>
            </w:r>
          </w:p>
        </w:tc>
        <w:tc>
          <w:tcPr>
            <w:tcW w:w="296" w:type="pct"/>
            <w:vAlign w:val="center"/>
          </w:tcPr>
          <w:p w14:paraId="7ABF3C7C">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车辆尾气</w:t>
            </w:r>
          </w:p>
        </w:tc>
        <w:tc>
          <w:tcPr>
            <w:tcW w:w="456" w:type="pct"/>
            <w:vAlign w:val="center"/>
          </w:tcPr>
          <w:p w14:paraId="15804F92">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r>
              <w:rPr>
                <w:rFonts w:ascii="Times New Roman" w:hAnsi="Times New Roman" w:cs="Times New Roman" w:eastAsiaTheme="minorEastAsia"/>
                <w:color w:val="auto"/>
                <w:w w:val="99"/>
                <w:kern w:val="2"/>
                <w:sz w:val="21"/>
                <w:szCs w:val="21"/>
                <w:highlight w:val="none"/>
              </w:rPr>
              <w:t>、TSP</w:t>
            </w:r>
          </w:p>
        </w:tc>
        <w:tc>
          <w:tcPr>
            <w:tcW w:w="1474" w:type="pct"/>
            <w:gridSpan w:val="7"/>
            <w:vAlign w:val="center"/>
          </w:tcPr>
          <w:p w14:paraId="76794484">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由于车辆数量和每辆车行驶的公里数不易确定，</w:t>
            </w:r>
            <w:r>
              <w:rPr>
                <w:rFonts w:hint="eastAsia" w:ascii="Times New Roman" w:hAnsi="Times New Roman" w:cs="Times New Roman" w:eastAsiaTheme="minorEastAsia"/>
                <w:color w:val="auto"/>
                <w:w w:val="99"/>
                <w:kern w:val="2"/>
                <w:sz w:val="21"/>
                <w:szCs w:val="21"/>
                <w:highlight w:val="none"/>
                <w:lang w:val="en-US" w:eastAsia="zh-CN"/>
              </w:rPr>
              <w:t>故</w:t>
            </w:r>
            <w:r>
              <w:rPr>
                <w:rFonts w:ascii="Times New Roman" w:hAnsi="Times New Roman" w:cs="Times New Roman" w:eastAsiaTheme="minorEastAsia"/>
                <w:color w:val="auto"/>
                <w:w w:val="99"/>
                <w:kern w:val="2"/>
                <w:sz w:val="21"/>
                <w:szCs w:val="21"/>
                <w:highlight w:val="none"/>
              </w:rPr>
              <w:t>不对其进行定量计算</w:t>
            </w:r>
          </w:p>
        </w:tc>
        <w:tc>
          <w:tcPr>
            <w:tcW w:w="603" w:type="pct"/>
            <w:gridSpan w:val="2"/>
            <w:vAlign w:val="center"/>
          </w:tcPr>
          <w:p w14:paraId="254669CD">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施工车辆选用高标号汽柴油，尾气达标排放</w:t>
            </w:r>
          </w:p>
        </w:tc>
        <w:tc>
          <w:tcPr>
            <w:tcW w:w="252" w:type="pct"/>
            <w:vAlign w:val="center"/>
          </w:tcPr>
          <w:p w14:paraId="19559C0A">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54" w:type="pct"/>
            <w:vAlign w:val="center"/>
          </w:tcPr>
          <w:p w14:paraId="044FF8D0">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79" w:type="pct"/>
            <w:vAlign w:val="center"/>
          </w:tcPr>
          <w:p w14:paraId="0B08FA7D">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10" w:type="pct"/>
            <w:vAlign w:val="center"/>
          </w:tcPr>
          <w:p w14:paraId="727E465A">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12" w:type="pct"/>
            <w:vAlign w:val="center"/>
          </w:tcPr>
          <w:p w14:paraId="715DECB1">
            <w:pPr>
              <w:keepNext/>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w:t>
            </w:r>
          </w:p>
          <w:p w14:paraId="3B4E4833">
            <w:pPr>
              <w:keepNext/>
              <w:widowControl w:val="0"/>
              <w:adjustRightIn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期</w:t>
            </w:r>
          </w:p>
        </w:tc>
      </w:tr>
      <w:tr w14:paraId="48EBC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continue"/>
            <w:vAlign w:val="center"/>
          </w:tcPr>
          <w:p w14:paraId="0D8950B9">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c>
          <w:tcPr>
            <w:tcW w:w="231" w:type="pct"/>
            <w:vAlign w:val="center"/>
          </w:tcPr>
          <w:p w14:paraId="67EA896B">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电焊机</w:t>
            </w:r>
          </w:p>
        </w:tc>
        <w:tc>
          <w:tcPr>
            <w:tcW w:w="296" w:type="pct"/>
            <w:vAlign w:val="center"/>
          </w:tcPr>
          <w:p w14:paraId="2BA6C143">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焊接烟尘</w:t>
            </w:r>
          </w:p>
        </w:tc>
        <w:tc>
          <w:tcPr>
            <w:tcW w:w="456" w:type="pct"/>
            <w:vAlign w:val="center"/>
          </w:tcPr>
          <w:p w14:paraId="3750F6B1">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颗粒物</w:t>
            </w:r>
          </w:p>
        </w:tc>
        <w:tc>
          <w:tcPr>
            <w:tcW w:w="252" w:type="pct"/>
            <w:tcBorders>
              <w:right w:val="single" w:color="auto" w:sz="4" w:space="0"/>
            </w:tcBorders>
            <w:vAlign w:val="center"/>
          </w:tcPr>
          <w:p w14:paraId="3814A57D">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排污系数</w:t>
            </w:r>
          </w:p>
        </w:tc>
        <w:tc>
          <w:tcPr>
            <w:tcW w:w="397" w:type="pct"/>
            <w:gridSpan w:val="3"/>
            <w:tcBorders>
              <w:left w:val="single" w:color="auto" w:sz="4" w:space="0"/>
              <w:right w:val="single" w:color="auto" w:sz="4" w:space="0"/>
            </w:tcBorders>
            <w:vAlign w:val="center"/>
          </w:tcPr>
          <w:p w14:paraId="7B183EBE">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07" w:type="pct"/>
            <w:tcBorders>
              <w:left w:val="single" w:color="auto" w:sz="4" w:space="0"/>
              <w:right w:val="single" w:color="auto" w:sz="4" w:space="0"/>
            </w:tcBorders>
            <w:vAlign w:val="center"/>
          </w:tcPr>
          <w:p w14:paraId="1E175F43">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18" w:type="pct"/>
            <w:gridSpan w:val="2"/>
            <w:tcBorders>
              <w:left w:val="single" w:color="auto" w:sz="4" w:space="0"/>
            </w:tcBorders>
            <w:vAlign w:val="center"/>
          </w:tcPr>
          <w:p w14:paraId="5A2ACB00">
            <w:pPr>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ascii="Times New Roman" w:hAnsi="Times New Roman" w:cs="Times New Roman" w:eastAsiaTheme="minorEastAsia"/>
                <w:bCs/>
                <w:color w:val="auto"/>
                <w:w w:val="99"/>
                <w:kern w:val="2"/>
                <w:sz w:val="21"/>
                <w:szCs w:val="21"/>
                <w:highlight w:val="none"/>
              </w:rPr>
              <w:t>0.00</w:t>
            </w:r>
            <w:r>
              <w:rPr>
                <w:rFonts w:hint="eastAsia" w:ascii="Times New Roman" w:hAnsi="Times New Roman" w:cs="Times New Roman" w:eastAsiaTheme="minorEastAsia"/>
                <w:bCs/>
                <w:color w:val="auto"/>
                <w:w w:val="99"/>
                <w:kern w:val="2"/>
                <w:sz w:val="21"/>
                <w:szCs w:val="21"/>
                <w:highlight w:val="none"/>
                <w:lang w:val="en-US" w:eastAsia="zh-CN"/>
              </w:rPr>
              <w:t>2</w:t>
            </w:r>
          </w:p>
        </w:tc>
        <w:tc>
          <w:tcPr>
            <w:tcW w:w="603" w:type="pct"/>
            <w:gridSpan w:val="2"/>
            <w:vAlign w:val="center"/>
          </w:tcPr>
          <w:p w14:paraId="0B1D874D">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252" w:type="pct"/>
            <w:vAlign w:val="center"/>
          </w:tcPr>
          <w:p w14:paraId="06DC551D">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排污系数</w:t>
            </w:r>
          </w:p>
        </w:tc>
        <w:tc>
          <w:tcPr>
            <w:tcW w:w="354" w:type="pct"/>
            <w:vAlign w:val="center"/>
          </w:tcPr>
          <w:p w14:paraId="4DB9FF98">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79" w:type="pct"/>
            <w:vAlign w:val="center"/>
          </w:tcPr>
          <w:p w14:paraId="738F3DB0">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10" w:type="pct"/>
            <w:vAlign w:val="center"/>
          </w:tcPr>
          <w:p w14:paraId="593E701D">
            <w:pPr>
              <w:widowControl w:val="0"/>
              <w:adjustRightIn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ascii="Times New Roman" w:hAnsi="Times New Roman" w:cs="Times New Roman" w:eastAsiaTheme="minorEastAsia"/>
                <w:bCs/>
                <w:color w:val="auto"/>
                <w:w w:val="99"/>
                <w:kern w:val="2"/>
                <w:sz w:val="21"/>
                <w:szCs w:val="21"/>
                <w:highlight w:val="none"/>
              </w:rPr>
              <w:t>0.00</w:t>
            </w:r>
            <w:r>
              <w:rPr>
                <w:rFonts w:hint="eastAsia" w:ascii="Times New Roman" w:hAnsi="Times New Roman" w:cs="Times New Roman" w:eastAsiaTheme="minorEastAsia"/>
                <w:bCs/>
                <w:color w:val="auto"/>
                <w:w w:val="99"/>
                <w:kern w:val="2"/>
                <w:sz w:val="21"/>
                <w:szCs w:val="21"/>
                <w:highlight w:val="none"/>
                <w:lang w:val="en-US" w:eastAsia="zh-CN"/>
              </w:rPr>
              <w:t>2</w:t>
            </w:r>
          </w:p>
        </w:tc>
        <w:tc>
          <w:tcPr>
            <w:tcW w:w="312" w:type="pct"/>
            <w:vAlign w:val="center"/>
          </w:tcPr>
          <w:p w14:paraId="0D293728">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w:t>
            </w:r>
          </w:p>
          <w:p w14:paraId="392E8688">
            <w:pPr>
              <w:keepNext/>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期</w:t>
            </w:r>
          </w:p>
        </w:tc>
      </w:tr>
    </w:tbl>
    <w:p w14:paraId="6C6A0FD2">
      <w:pPr>
        <w:pStyle w:val="153"/>
        <w:widowControl w:val="0"/>
        <w:spacing w:line="440" w:lineRule="exact"/>
        <w:ind w:firstLine="478"/>
        <w:rPr>
          <w:rFonts w:ascii="Times New Roman" w:hAnsi="Times New Roman" w:eastAsiaTheme="minorEastAsia"/>
          <w:b/>
          <w:color w:val="auto"/>
          <w:w w:val="99"/>
          <w:kern w:val="21"/>
          <w:highlight w:val="none"/>
        </w:rPr>
      </w:pPr>
      <w:r>
        <w:rPr>
          <w:rFonts w:ascii="Times New Roman" w:hAnsi="Times New Roman" w:eastAsiaTheme="minorEastAsia"/>
          <w:b/>
          <w:color w:val="auto"/>
          <w:w w:val="99"/>
          <w:kern w:val="21"/>
          <w:highlight w:val="none"/>
        </w:rPr>
        <w:t>表</w:t>
      </w:r>
      <w:r>
        <w:rPr>
          <w:rFonts w:hint="eastAsia" w:ascii="Times New Roman" w:hAnsi="Times New Roman" w:eastAsiaTheme="minorEastAsia"/>
          <w:b/>
          <w:color w:val="auto"/>
          <w:w w:val="99"/>
          <w:highlight w:val="none"/>
          <w:lang w:eastAsia="zh-CN"/>
        </w:rPr>
        <w:t>3.1</w:t>
      </w:r>
      <w:r>
        <w:rPr>
          <w:rFonts w:hint="eastAsia" w:ascii="Times New Roman" w:hAnsi="Times New Roman" w:eastAsiaTheme="minorEastAsia"/>
          <w:b/>
          <w:color w:val="auto"/>
          <w:w w:val="99"/>
          <w:highlight w:val="none"/>
          <w:lang w:val="en-US" w:eastAsia="zh-CN"/>
        </w:rPr>
        <w:t>0</w:t>
      </w:r>
      <w:r>
        <w:rPr>
          <w:rFonts w:ascii="Times New Roman" w:hAnsi="Times New Roman" w:eastAsiaTheme="minorEastAsia"/>
          <w:b/>
          <w:color w:val="auto"/>
          <w:w w:val="99"/>
          <w:highlight w:val="none"/>
        </w:rPr>
        <w:t>-1</w:t>
      </w:r>
      <w:r>
        <w:rPr>
          <w:rFonts w:hint="eastAsia" w:ascii="Times New Roman" w:hAnsi="Times New Roman" w:eastAsiaTheme="minorEastAsia"/>
          <w:b/>
          <w:color w:val="auto"/>
          <w:w w:val="99"/>
          <w:highlight w:val="none"/>
          <w:lang w:val="en-US" w:eastAsia="zh-CN"/>
        </w:rPr>
        <w:t>2</w:t>
      </w:r>
      <w:r>
        <w:rPr>
          <w:rFonts w:ascii="Times New Roman" w:hAnsi="Times New Roman" w:eastAsiaTheme="minorEastAsia"/>
          <w:b/>
          <w:color w:val="auto"/>
          <w:w w:val="99"/>
          <w:kern w:val="21"/>
          <w:highlight w:val="none"/>
        </w:rPr>
        <w:t xml:space="preserve">    施工期废水污染源源强核算结果及相关参数一览表</w:t>
      </w:r>
    </w:p>
    <w:tbl>
      <w:tblPr>
        <w:tblStyle w:val="8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6"/>
        <w:gridCol w:w="871"/>
        <w:gridCol w:w="703"/>
        <w:gridCol w:w="800"/>
        <w:gridCol w:w="719"/>
        <w:gridCol w:w="722"/>
        <w:gridCol w:w="719"/>
        <w:gridCol w:w="574"/>
        <w:gridCol w:w="4035"/>
        <w:gridCol w:w="719"/>
        <w:gridCol w:w="773"/>
        <w:gridCol w:w="802"/>
        <w:gridCol w:w="784"/>
        <w:gridCol w:w="666"/>
        <w:gridCol w:w="683"/>
      </w:tblGrid>
      <w:tr w14:paraId="6890D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27" w:type="pct"/>
            <w:vMerge w:val="restart"/>
            <w:vAlign w:val="center"/>
          </w:tcPr>
          <w:p w14:paraId="3BEDD8D6">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工序</w:t>
            </w:r>
          </w:p>
        </w:tc>
        <w:tc>
          <w:tcPr>
            <w:tcW w:w="306" w:type="pct"/>
            <w:vMerge w:val="restart"/>
            <w:vAlign w:val="center"/>
          </w:tcPr>
          <w:p w14:paraId="2EA452CC">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装置</w:t>
            </w:r>
          </w:p>
        </w:tc>
        <w:tc>
          <w:tcPr>
            <w:tcW w:w="247" w:type="pct"/>
            <w:vMerge w:val="restart"/>
            <w:vAlign w:val="center"/>
          </w:tcPr>
          <w:p w14:paraId="710939C4">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污染源</w:t>
            </w:r>
          </w:p>
        </w:tc>
        <w:tc>
          <w:tcPr>
            <w:tcW w:w="281" w:type="pct"/>
            <w:vMerge w:val="restart"/>
            <w:vAlign w:val="center"/>
          </w:tcPr>
          <w:p w14:paraId="09FA165B">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w:t>
            </w:r>
          </w:p>
        </w:tc>
        <w:tc>
          <w:tcPr>
            <w:tcW w:w="961" w:type="pct"/>
            <w:gridSpan w:val="4"/>
            <w:vAlign w:val="center"/>
          </w:tcPr>
          <w:p w14:paraId="5A38682A">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污染物产生</w:t>
            </w:r>
          </w:p>
        </w:tc>
        <w:tc>
          <w:tcPr>
            <w:tcW w:w="1672" w:type="pct"/>
            <w:gridSpan w:val="2"/>
            <w:vAlign w:val="center"/>
          </w:tcPr>
          <w:p w14:paraId="4100FB8F">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治理措施</w:t>
            </w:r>
          </w:p>
        </w:tc>
        <w:tc>
          <w:tcPr>
            <w:tcW w:w="1063" w:type="pct"/>
            <w:gridSpan w:val="4"/>
            <w:vAlign w:val="center"/>
          </w:tcPr>
          <w:p w14:paraId="5DBF70CB">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污染物排放</w:t>
            </w:r>
          </w:p>
        </w:tc>
        <w:tc>
          <w:tcPr>
            <w:tcW w:w="240" w:type="pct"/>
            <w:vMerge w:val="restart"/>
            <w:vAlign w:val="center"/>
          </w:tcPr>
          <w:p w14:paraId="1456FF67">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排放时间</w:t>
            </w:r>
          </w:p>
        </w:tc>
      </w:tr>
      <w:tr w14:paraId="1931D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27" w:type="pct"/>
            <w:vMerge w:val="continue"/>
            <w:vAlign w:val="center"/>
          </w:tcPr>
          <w:p w14:paraId="185D4D54">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06" w:type="pct"/>
            <w:vMerge w:val="continue"/>
            <w:vAlign w:val="center"/>
          </w:tcPr>
          <w:p w14:paraId="4E6C4217">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47" w:type="pct"/>
            <w:vMerge w:val="continue"/>
            <w:vAlign w:val="center"/>
          </w:tcPr>
          <w:p w14:paraId="2A305D80">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81" w:type="pct"/>
            <w:vMerge w:val="continue"/>
            <w:vAlign w:val="center"/>
          </w:tcPr>
          <w:p w14:paraId="1C7FB59E">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52" w:type="pct"/>
            <w:vAlign w:val="center"/>
          </w:tcPr>
          <w:p w14:paraId="6A673820">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253" w:type="pct"/>
            <w:vAlign w:val="center"/>
          </w:tcPr>
          <w:p w14:paraId="14E119A4">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废水产生量m</w:t>
            </w:r>
            <w:r>
              <w:rPr>
                <w:rFonts w:ascii="Times New Roman" w:hAnsi="Times New Roman" w:cs="Times New Roman" w:eastAsiaTheme="minorEastAsia"/>
                <w:color w:val="auto"/>
                <w:w w:val="99"/>
                <w:sz w:val="21"/>
                <w:szCs w:val="21"/>
                <w:highlight w:val="none"/>
                <w:vertAlign w:val="superscript"/>
              </w:rPr>
              <w:t>3</w:t>
            </w:r>
          </w:p>
        </w:tc>
        <w:tc>
          <w:tcPr>
            <w:tcW w:w="252" w:type="pct"/>
            <w:vAlign w:val="center"/>
          </w:tcPr>
          <w:p w14:paraId="1AA15F47">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产生浓度mg/L</w:t>
            </w:r>
          </w:p>
        </w:tc>
        <w:tc>
          <w:tcPr>
            <w:tcW w:w="201" w:type="pct"/>
            <w:vAlign w:val="center"/>
          </w:tcPr>
          <w:p w14:paraId="3BD0F133">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产生量t</w:t>
            </w:r>
          </w:p>
        </w:tc>
        <w:tc>
          <w:tcPr>
            <w:tcW w:w="1419" w:type="pct"/>
            <w:vAlign w:val="center"/>
          </w:tcPr>
          <w:p w14:paraId="59C1F32A">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工艺</w:t>
            </w:r>
          </w:p>
        </w:tc>
        <w:tc>
          <w:tcPr>
            <w:tcW w:w="252" w:type="pct"/>
            <w:vAlign w:val="center"/>
          </w:tcPr>
          <w:p w14:paraId="009A7099">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效率/%</w:t>
            </w:r>
          </w:p>
        </w:tc>
        <w:tc>
          <w:tcPr>
            <w:tcW w:w="271" w:type="pct"/>
            <w:vAlign w:val="center"/>
          </w:tcPr>
          <w:p w14:paraId="3FDE44FF">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282" w:type="pct"/>
            <w:vAlign w:val="center"/>
          </w:tcPr>
          <w:p w14:paraId="4D09B2F1">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废水排放量m</w:t>
            </w:r>
            <w:r>
              <w:rPr>
                <w:rFonts w:ascii="Times New Roman" w:hAnsi="Times New Roman" w:cs="Times New Roman" w:eastAsiaTheme="minorEastAsia"/>
                <w:color w:val="auto"/>
                <w:w w:val="99"/>
                <w:sz w:val="21"/>
                <w:szCs w:val="21"/>
                <w:highlight w:val="none"/>
                <w:vertAlign w:val="superscript"/>
              </w:rPr>
              <w:t>3</w:t>
            </w:r>
          </w:p>
        </w:tc>
        <w:tc>
          <w:tcPr>
            <w:tcW w:w="275" w:type="pct"/>
            <w:vAlign w:val="center"/>
          </w:tcPr>
          <w:p w14:paraId="0822B7B9">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排放浓度mg/L</w:t>
            </w:r>
          </w:p>
        </w:tc>
        <w:tc>
          <w:tcPr>
            <w:tcW w:w="234" w:type="pct"/>
            <w:vAlign w:val="center"/>
          </w:tcPr>
          <w:p w14:paraId="36EEE476">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排放量t</w:t>
            </w:r>
          </w:p>
        </w:tc>
        <w:tc>
          <w:tcPr>
            <w:tcW w:w="240" w:type="pct"/>
            <w:vMerge w:val="continue"/>
            <w:vAlign w:val="center"/>
          </w:tcPr>
          <w:p w14:paraId="05BF5BD0">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14:paraId="4AE50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54" w:hRule="atLeast"/>
          <w:jc w:val="center"/>
        </w:trPr>
        <w:tc>
          <w:tcPr>
            <w:tcW w:w="227" w:type="pct"/>
            <w:vAlign w:val="center"/>
          </w:tcPr>
          <w:p w14:paraId="6384CA4F">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管线试压</w:t>
            </w:r>
          </w:p>
        </w:tc>
        <w:tc>
          <w:tcPr>
            <w:tcW w:w="306" w:type="pct"/>
            <w:vAlign w:val="center"/>
          </w:tcPr>
          <w:p w14:paraId="78522411">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试压</w:t>
            </w:r>
          </w:p>
        </w:tc>
        <w:tc>
          <w:tcPr>
            <w:tcW w:w="247" w:type="pct"/>
            <w:vAlign w:val="center"/>
          </w:tcPr>
          <w:p w14:paraId="023EAB8C">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试压废水</w:t>
            </w:r>
          </w:p>
        </w:tc>
        <w:tc>
          <w:tcPr>
            <w:tcW w:w="281" w:type="pct"/>
            <w:vAlign w:val="center"/>
          </w:tcPr>
          <w:p w14:paraId="3947C7A4">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SS</w:t>
            </w:r>
          </w:p>
        </w:tc>
        <w:tc>
          <w:tcPr>
            <w:tcW w:w="252" w:type="pct"/>
            <w:vMerge w:val="restart"/>
            <w:vAlign w:val="center"/>
          </w:tcPr>
          <w:p w14:paraId="11C2B7C0">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253" w:type="pct"/>
            <w:vAlign w:val="center"/>
          </w:tcPr>
          <w:p w14:paraId="760FEAB5">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bCs/>
                <w:color w:val="auto"/>
                <w:w w:val="99"/>
                <w:kern w:val="21"/>
                <w:sz w:val="21"/>
                <w:szCs w:val="21"/>
                <w:highlight w:val="none"/>
                <w:lang w:val="en-US" w:eastAsia="zh-CN"/>
              </w:rPr>
              <w:t>4.17</w:t>
            </w:r>
          </w:p>
        </w:tc>
        <w:tc>
          <w:tcPr>
            <w:tcW w:w="252" w:type="pct"/>
            <w:vAlign w:val="center"/>
          </w:tcPr>
          <w:p w14:paraId="5BAC172A">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w:t>
            </w:r>
          </w:p>
        </w:tc>
        <w:tc>
          <w:tcPr>
            <w:tcW w:w="201" w:type="pct"/>
            <w:vAlign w:val="center"/>
          </w:tcPr>
          <w:p w14:paraId="7401985F">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bCs/>
                <w:snapToGrid w:val="0"/>
                <w:color w:val="auto"/>
                <w:w w:val="99"/>
                <w:sz w:val="21"/>
                <w:szCs w:val="21"/>
                <w:highlight w:val="none"/>
              </w:rPr>
              <w:t>/</w:t>
            </w:r>
          </w:p>
        </w:tc>
        <w:tc>
          <w:tcPr>
            <w:tcW w:w="1419" w:type="pct"/>
            <w:vAlign w:val="center"/>
          </w:tcPr>
          <w:p w14:paraId="7C3F66D9">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bCs/>
                <w:snapToGrid w:val="0"/>
                <w:color w:val="auto"/>
                <w:w w:val="99"/>
                <w:sz w:val="21"/>
                <w:szCs w:val="21"/>
                <w:highlight w:val="none"/>
              </w:rPr>
              <w:t>由罐车拉运至升一联气田污水预处理站处理达标后回注油层</w:t>
            </w:r>
          </w:p>
        </w:tc>
        <w:tc>
          <w:tcPr>
            <w:tcW w:w="252" w:type="pct"/>
            <w:vAlign w:val="center"/>
          </w:tcPr>
          <w:p w14:paraId="27599A3B">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100</w:t>
            </w:r>
          </w:p>
        </w:tc>
        <w:tc>
          <w:tcPr>
            <w:tcW w:w="271" w:type="pct"/>
            <w:vMerge w:val="restart"/>
            <w:vAlign w:val="center"/>
          </w:tcPr>
          <w:p w14:paraId="337E859A">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282" w:type="pct"/>
            <w:vAlign w:val="center"/>
          </w:tcPr>
          <w:p w14:paraId="17D83951">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75" w:type="pct"/>
            <w:vAlign w:val="center"/>
          </w:tcPr>
          <w:p w14:paraId="5D1BA021">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34" w:type="pct"/>
            <w:vAlign w:val="center"/>
          </w:tcPr>
          <w:p w14:paraId="07DB0BAD">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40" w:type="pct"/>
            <w:vAlign w:val="center"/>
          </w:tcPr>
          <w:p w14:paraId="795B9EB9">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管线试压期间</w:t>
            </w:r>
          </w:p>
        </w:tc>
      </w:tr>
      <w:tr w14:paraId="4586E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07" w:hRule="atLeast"/>
          <w:jc w:val="center"/>
        </w:trPr>
        <w:tc>
          <w:tcPr>
            <w:tcW w:w="227" w:type="pct"/>
            <w:vMerge w:val="restart"/>
            <w:vAlign w:val="center"/>
          </w:tcPr>
          <w:p w14:paraId="4F1E9D11">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施工</w:t>
            </w:r>
          </w:p>
        </w:tc>
        <w:tc>
          <w:tcPr>
            <w:tcW w:w="306" w:type="pct"/>
            <w:vMerge w:val="restart"/>
            <w:vAlign w:val="center"/>
          </w:tcPr>
          <w:p w14:paraId="647C6E57">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w:t>
            </w:r>
          </w:p>
        </w:tc>
        <w:tc>
          <w:tcPr>
            <w:tcW w:w="247" w:type="pct"/>
            <w:vMerge w:val="restart"/>
            <w:vAlign w:val="center"/>
          </w:tcPr>
          <w:p w14:paraId="14A1DF4B">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生活污水</w:t>
            </w:r>
          </w:p>
        </w:tc>
        <w:tc>
          <w:tcPr>
            <w:tcW w:w="281" w:type="pct"/>
            <w:vAlign w:val="center"/>
          </w:tcPr>
          <w:p w14:paraId="20FFF200">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COD</w:t>
            </w:r>
          </w:p>
        </w:tc>
        <w:tc>
          <w:tcPr>
            <w:tcW w:w="252" w:type="pct"/>
            <w:vMerge w:val="continue"/>
            <w:vAlign w:val="center"/>
          </w:tcPr>
          <w:p w14:paraId="15F3B4DB">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253" w:type="pct"/>
            <w:vMerge w:val="restart"/>
            <w:vAlign w:val="center"/>
          </w:tcPr>
          <w:p w14:paraId="416DFAA5">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576</w:t>
            </w:r>
          </w:p>
        </w:tc>
        <w:tc>
          <w:tcPr>
            <w:tcW w:w="252" w:type="pct"/>
            <w:vAlign w:val="center"/>
          </w:tcPr>
          <w:p w14:paraId="3335518D">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300</w:t>
            </w:r>
          </w:p>
        </w:tc>
        <w:tc>
          <w:tcPr>
            <w:tcW w:w="201" w:type="pct"/>
            <w:vAlign w:val="center"/>
          </w:tcPr>
          <w:p w14:paraId="1F865E40">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ascii="Times New Roman" w:hAnsi="Times New Roman" w:cs="Times New Roman" w:eastAsiaTheme="minorEastAsia"/>
                <w:snapToGrid w:val="0"/>
                <w:color w:val="auto"/>
                <w:w w:val="99"/>
                <w:sz w:val="21"/>
                <w:szCs w:val="21"/>
                <w:highlight w:val="none"/>
              </w:rPr>
              <w:t>0.</w:t>
            </w:r>
            <w:r>
              <w:rPr>
                <w:rFonts w:hint="eastAsia" w:ascii="Times New Roman" w:hAnsi="Times New Roman" w:cs="Times New Roman" w:eastAsiaTheme="minorEastAsia"/>
                <w:snapToGrid w:val="0"/>
                <w:color w:val="auto"/>
                <w:w w:val="99"/>
                <w:sz w:val="21"/>
                <w:szCs w:val="21"/>
                <w:highlight w:val="none"/>
                <w:lang w:val="en-US" w:eastAsia="zh-CN"/>
              </w:rPr>
              <w:t>173</w:t>
            </w:r>
          </w:p>
        </w:tc>
        <w:tc>
          <w:tcPr>
            <w:tcW w:w="1419" w:type="pct"/>
            <w:vMerge w:val="restart"/>
            <w:vAlign w:val="center"/>
          </w:tcPr>
          <w:p w14:paraId="00DA706E">
            <w:pPr>
              <w:pStyle w:val="153"/>
              <w:keepNext w:val="0"/>
              <w:keepLines w:val="0"/>
              <w:pageBreakBefore w:val="0"/>
              <w:widowControl w:val="0"/>
              <w:kinsoku/>
              <w:wordWrap/>
              <w:overflowPunct/>
              <w:topLinePunct w:val="0"/>
              <w:autoSpaceDE/>
              <w:autoSpaceDN/>
              <w:bidi w:val="0"/>
              <w:spacing w:line="360" w:lineRule="exact"/>
              <w:ind w:firstLine="473"/>
              <w:jc w:val="both"/>
              <w:textAlignment w:val="auto"/>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lang w:val="en-US" w:eastAsia="zh-CN"/>
              </w:rPr>
              <w:t>排入附近场站已建生活污水收集设施，</w:t>
            </w:r>
            <w:r>
              <w:rPr>
                <w:rFonts w:hint="eastAsia" w:ascii="Times New Roman" w:hAnsi="Times New Roman" w:eastAsia="宋体" w:cs="Times New Roman"/>
                <w:color w:val="auto"/>
                <w:spacing w:val="0"/>
                <w:w w:val="99"/>
                <w:position w:val="0"/>
                <w:sz w:val="21"/>
                <w:szCs w:val="21"/>
                <w:highlight w:val="none"/>
                <w:lang w:val="en-US" w:eastAsia="zh-CN" w:bidi="ar-SA"/>
              </w:rPr>
              <w:t>定期由</w:t>
            </w:r>
            <w:r>
              <w:rPr>
                <w:rFonts w:hint="eastAsia" w:ascii="Times New Roman" w:hAnsi="Times New Roman" w:cs="Times New Roman"/>
                <w:color w:val="auto"/>
                <w:spacing w:val="0"/>
                <w:w w:val="99"/>
                <w:position w:val="0"/>
                <w:sz w:val="21"/>
                <w:szCs w:val="21"/>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1"/>
                <w:szCs w:val="21"/>
                <w:highlight w:val="none"/>
                <w:lang w:val="en-US" w:eastAsia="zh-CN" w:bidi="ar-SA"/>
              </w:rPr>
              <w:t>拉运至大庆红岗区西巷污水回收站</w:t>
            </w:r>
            <w:r>
              <w:rPr>
                <w:rFonts w:hint="eastAsia" w:ascii="Times New Roman" w:hAnsi="Times New Roman" w:cs="Times New Roman"/>
                <w:color w:val="auto"/>
                <w:spacing w:val="0"/>
                <w:w w:val="99"/>
                <w:position w:val="0"/>
                <w:sz w:val="21"/>
                <w:szCs w:val="21"/>
                <w:highlight w:val="none"/>
                <w:lang w:val="en-US" w:eastAsia="zh-CN" w:bidi="ar-SA"/>
              </w:rPr>
              <w:t>，管输至南区污水处理厂</w:t>
            </w:r>
            <w:r>
              <w:rPr>
                <w:rFonts w:hint="eastAsia" w:ascii="Times New Roman" w:hAnsi="Times New Roman" w:eastAsia="宋体" w:cs="Times New Roman"/>
                <w:color w:val="auto"/>
                <w:spacing w:val="0"/>
                <w:w w:val="99"/>
                <w:position w:val="0"/>
                <w:sz w:val="21"/>
                <w:szCs w:val="21"/>
                <w:highlight w:val="none"/>
                <w:lang w:val="en-US" w:eastAsia="zh-CN" w:bidi="ar-SA"/>
              </w:rPr>
              <w:t>进行处理。</w:t>
            </w:r>
          </w:p>
        </w:tc>
        <w:tc>
          <w:tcPr>
            <w:tcW w:w="252" w:type="pct"/>
            <w:tcBorders>
              <w:bottom w:val="single" w:color="auto" w:sz="4" w:space="0"/>
            </w:tcBorders>
            <w:vAlign w:val="center"/>
          </w:tcPr>
          <w:p w14:paraId="5717E1C2">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w:t>
            </w:r>
          </w:p>
        </w:tc>
        <w:tc>
          <w:tcPr>
            <w:tcW w:w="271" w:type="pct"/>
            <w:vMerge w:val="continue"/>
            <w:vAlign w:val="center"/>
          </w:tcPr>
          <w:p w14:paraId="4A3CB95A">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282" w:type="pct"/>
            <w:vMerge w:val="restart"/>
            <w:vAlign w:val="center"/>
          </w:tcPr>
          <w:p w14:paraId="169F89E4">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rPr>
            </w:pPr>
            <w:r>
              <w:rPr>
                <w:rFonts w:hint="eastAsia" w:ascii="Times New Roman" w:hAnsi="Times New Roman" w:cs="Times New Roman" w:eastAsiaTheme="minorEastAsia"/>
                <w:snapToGrid w:val="0"/>
                <w:color w:val="auto"/>
                <w:w w:val="99"/>
                <w:sz w:val="21"/>
                <w:szCs w:val="21"/>
                <w:highlight w:val="none"/>
                <w:lang w:val="en-US" w:eastAsia="zh-CN"/>
              </w:rPr>
              <w:t>576</w:t>
            </w:r>
          </w:p>
        </w:tc>
        <w:tc>
          <w:tcPr>
            <w:tcW w:w="275" w:type="pct"/>
            <w:tcBorders>
              <w:bottom w:val="single" w:color="auto" w:sz="4" w:space="0"/>
            </w:tcBorders>
            <w:vAlign w:val="center"/>
          </w:tcPr>
          <w:p w14:paraId="01799B4A">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300</w:t>
            </w:r>
          </w:p>
        </w:tc>
        <w:tc>
          <w:tcPr>
            <w:tcW w:w="234" w:type="pct"/>
            <w:tcBorders>
              <w:bottom w:val="single" w:color="auto" w:sz="4" w:space="0"/>
            </w:tcBorders>
            <w:vAlign w:val="center"/>
          </w:tcPr>
          <w:p w14:paraId="314726D9">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rPr>
            </w:pPr>
            <w:r>
              <w:rPr>
                <w:rFonts w:ascii="Times New Roman" w:hAnsi="Times New Roman" w:cs="Times New Roman" w:eastAsiaTheme="minorEastAsia"/>
                <w:snapToGrid w:val="0"/>
                <w:color w:val="auto"/>
                <w:w w:val="99"/>
                <w:sz w:val="21"/>
                <w:szCs w:val="21"/>
                <w:highlight w:val="none"/>
              </w:rPr>
              <w:t>0.</w:t>
            </w:r>
            <w:r>
              <w:rPr>
                <w:rFonts w:hint="eastAsia" w:ascii="Times New Roman" w:hAnsi="Times New Roman" w:cs="Times New Roman" w:eastAsiaTheme="minorEastAsia"/>
                <w:snapToGrid w:val="0"/>
                <w:color w:val="auto"/>
                <w:w w:val="99"/>
                <w:sz w:val="21"/>
                <w:szCs w:val="21"/>
                <w:highlight w:val="none"/>
                <w:lang w:val="en-US" w:eastAsia="zh-CN"/>
              </w:rPr>
              <w:t>173</w:t>
            </w:r>
          </w:p>
        </w:tc>
        <w:tc>
          <w:tcPr>
            <w:tcW w:w="240" w:type="pct"/>
            <w:vMerge w:val="restart"/>
            <w:vAlign w:val="center"/>
          </w:tcPr>
          <w:p w14:paraId="11AA18D2">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施工期</w:t>
            </w:r>
          </w:p>
        </w:tc>
      </w:tr>
      <w:tr w14:paraId="23DEF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27" w:type="pct"/>
            <w:vMerge w:val="continue"/>
            <w:vAlign w:val="center"/>
          </w:tcPr>
          <w:p w14:paraId="62963B0B">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06" w:type="pct"/>
            <w:vMerge w:val="continue"/>
            <w:vAlign w:val="center"/>
          </w:tcPr>
          <w:p w14:paraId="3863F368">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47" w:type="pct"/>
            <w:vMerge w:val="continue"/>
            <w:vAlign w:val="center"/>
          </w:tcPr>
          <w:p w14:paraId="6D7DB186">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81" w:type="pct"/>
            <w:vAlign w:val="center"/>
          </w:tcPr>
          <w:p w14:paraId="0A104C3B">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氨氮</w:t>
            </w:r>
          </w:p>
        </w:tc>
        <w:tc>
          <w:tcPr>
            <w:tcW w:w="252" w:type="pct"/>
            <w:vMerge w:val="continue"/>
            <w:vAlign w:val="center"/>
          </w:tcPr>
          <w:p w14:paraId="2E49324D">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53" w:type="pct"/>
            <w:vMerge w:val="continue"/>
            <w:vAlign w:val="center"/>
          </w:tcPr>
          <w:p w14:paraId="491B76A9">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52" w:type="pct"/>
            <w:vAlign w:val="center"/>
          </w:tcPr>
          <w:p w14:paraId="3DA3FE32">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c>
          <w:tcPr>
            <w:tcW w:w="201" w:type="pct"/>
            <w:vAlign w:val="center"/>
          </w:tcPr>
          <w:p w14:paraId="575BA4F8">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17</w:t>
            </w:r>
          </w:p>
        </w:tc>
        <w:tc>
          <w:tcPr>
            <w:tcW w:w="1419" w:type="pct"/>
            <w:vMerge w:val="continue"/>
            <w:vAlign w:val="center"/>
          </w:tcPr>
          <w:p w14:paraId="71D4B20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p>
        </w:tc>
        <w:tc>
          <w:tcPr>
            <w:tcW w:w="252" w:type="pct"/>
            <w:tcBorders>
              <w:top w:val="single" w:color="auto" w:sz="4" w:space="0"/>
              <w:bottom w:val="single" w:color="auto" w:sz="4" w:space="0"/>
            </w:tcBorders>
            <w:vAlign w:val="center"/>
          </w:tcPr>
          <w:p w14:paraId="07BDD07F">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271" w:type="pct"/>
            <w:vMerge w:val="continue"/>
            <w:vAlign w:val="center"/>
          </w:tcPr>
          <w:p w14:paraId="17F43CA1">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82" w:type="pct"/>
            <w:vMerge w:val="continue"/>
            <w:vAlign w:val="center"/>
          </w:tcPr>
          <w:p w14:paraId="0FC6B193">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75" w:type="pct"/>
            <w:tcBorders>
              <w:top w:val="single" w:color="auto" w:sz="4" w:space="0"/>
              <w:bottom w:val="single" w:color="auto" w:sz="4" w:space="0"/>
            </w:tcBorders>
            <w:vAlign w:val="center"/>
          </w:tcPr>
          <w:p w14:paraId="54971A03">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c>
          <w:tcPr>
            <w:tcW w:w="234" w:type="pct"/>
            <w:tcBorders>
              <w:top w:val="single" w:color="auto" w:sz="4" w:space="0"/>
              <w:bottom w:val="single" w:color="auto" w:sz="4" w:space="0"/>
            </w:tcBorders>
            <w:vAlign w:val="center"/>
          </w:tcPr>
          <w:p w14:paraId="43CDB51D">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rPr>
            </w:pPr>
            <w:r>
              <w:rPr>
                <w:rFonts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17</w:t>
            </w:r>
          </w:p>
        </w:tc>
        <w:tc>
          <w:tcPr>
            <w:tcW w:w="240" w:type="pct"/>
            <w:vMerge w:val="continue"/>
            <w:vAlign w:val="center"/>
          </w:tcPr>
          <w:p w14:paraId="45A9F313">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bl>
    <w:p w14:paraId="627C4298">
      <w:pPr>
        <w:pStyle w:val="153"/>
        <w:widowControl w:val="0"/>
        <w:spacing w:line="440" w:lineRule="exact"/>
        <w:ind w:firstLine="478"/>
        <w:jc w:val="both"/>
        <w:rPr>
          <w:rFonts w:ascii="Times New Roman" w:hAnsi="Times New Roman" w:eastAsiaTheme="minorEastAsia"/>
          <w:b/>
          <w:color w:val="auto"/>
          <w:w w:val="99"/>
          <w:kern w:val="2"/>
          <w:szCs w:val="20"/>
          <w:highlight w:val="none"/>
        </w:rPr>
      </w:pPr>
      <w:r>
        <w:rPr>
          <w:rFonts w:ascii="Times New Roman" w:hAnsi="Times New Roman" w:eastAsiaTheme="minorEastAsia"/>
          <w:b/>
          <w:color w:val="auto"/>
          <w:w w:val="99"/>
          <w:kern w:val="2"/>
          <w:szCs w:val="20"/>
          <w:highlight w:val="none"/>
        </w:rPr>
        <w:t>表</w:t>
      </w:r>
      <w:r>
        <w:rPr>
          <w:rFonts w:hint="eastAsia" w:ascii="Times New Roman" w:hAnsi="Times New Roman" w:eastAsiaTheme="minorEastAsia"/>
          <w:b/>
          <w:color w:val="auto"/>
          <w:w w:val="99"/>
          <w:highlight w:val="none"/>
          <w:lang w:eastAsia="zh-CN"/>
        </w:rPr>
        <w:t>3.1</w:t>
      </w:r>
      <w:r>
        <w:rPr>
          <w:rFonts w:hint="eastAsia" w:ascii="Times New Roman" w:hAnsi="Times New Roman" w:eastAsiaTheme="minorEastAsia"/>
          <w:b/>
          <w:color w:val="auto"/>
          <w:w w:val="99"/>
          <w:highlight w:val="none"/>
          <w:lang w:val="en-US" w:eastAsia="zh-CN"/>
        </w:rPr>
        <w:t>0</w:t>
      </w:r>
      <w:r>
        <w:rPr>
          <w:rFonts w:ascii="Times New Roman" w:hAnsi="Times New Roman" w:eastAsiaTheme="minorEastAsia"/>
          <w:b/>
          <w:color w:val="auto"/>
          <w:w w:val="99"/>
          <w:highlight w:val="none"/>
        </w:rPr>
        <w:t>-1</w:t>
      </w:r>
      <w:r>
        <w:rPr>
          <w:rFonts w:hint="eastAsia" w:ascii="Times New Roman" w:hAnsi="Times New Roman" w:eastAsiaTheme="minorEastAsia"/>
          <w:b/>
          <w:color w:val="auto"/>
          <w:w w:val="99"/>
          <w:highlight w:val="none"/>
          <w:lang w:val="en-US" w:eastAsia="zh-CN"/>
        </w:rPr>
        <w:t>3</w:t>
      </w:r>
      <w:r>
        <w:rPr>
          <w:rFonts w:ascii="Times New Roman" w:hAnsi="Times New Roman" w:eastAsiaTheme="minorEastAsia"/>
          <w:b/>
          <w:color w:val="auto"/>
          <w:w w:val="99"/>
          <w:kern w:val="2"/>
          <w:szCs w:val="20"/>
          <w:highlight w:val="none"/>
        </w:rPr>
        <w:t xml:space="preserve">    施工期</w:t>
      </w:r>
      <w:r>
        <w:rPr>
          <w:rFonts w:ascii="Times New Roman" w:hAnsi="Times New Roman" w:eastAsiaTheme="minorEastAsia"/>
          <w:b/>
          <w:color w:val="auto"/>
          <w:w w:val="99"/>
          <w:kern w:val="21"/>
          <w:highlight w:val="none"/>
        </w:rPr>
        <w:t>噪声污染</w:t>
      </w:r>
      <w:r>
        <w:rPr>
          <w:rFonts w:ascii="Times New Roman" w:hAnsi="Times New Roman" w:eastAsiaTheme="minorEastAsia"/>
          <w:b/>
          <w:color w:val="auto"/>
          <w:w w:val="99"/>
          <w:kern w:val="2"/>
          <w:szCs w:val="20"/>
          <w:highlight w:val="none"/>
        </w:rPr>
        <w:t>源源强核算结果及相关参数一览表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4"/>
        <w:gridCol w:w="1190"/>
        <w:gridCol w:w="1283"/>
        <w:gridCol w:w="1725"/>
        <w:gridCol w:w="734"/>
        <w:gridCol w:w="1588"/>
        <w:gridCol w:w="1719"/>
        <w:gridCol w:w="1110"/>
        <w:gridCol w:w="1204"/>
        <w:gridCol w:w="1457"/>
        <w:gridCol w:w="1104"/>
      </w:tblGrid>
      <w:tr w14:paraId="5E65D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restart"/>
            <w:vAlign w:val="center"/>
          </w:tcPr>
          <w:p w14:paraId="67AE0EF7">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工序</w:t>
            </w:r>
          </w:p>
        </w:tc>
        <w:tc>
          <w:tcPr>
            <w:tcW w:w="418" w:type="pct"/>
            <w:vMerge w:val="restart"/>
            <w:vAlign w:val="center"/>
          </w:tcPr>
          <w:p w14:paraId="5A8A7472">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装置</w:t>
            </w:r>
          </w:p>
        </w:tc>
        <w:tc>
          <w:tcPr>
            <w:tcW w:w="451" w:type="pct"/>
            <w:vMerge w:val="restart"/>
            <w:vAlign w:val="center"/>
          </w:tcPr>
          <w:p w14:paraId="73D0F28A">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噪声源</w:t>
            </w:r>
          </w:p>
        </w:tc>
        <w:tc>
          <w:tcPr>
            <w:tcW w:w="606" w:type="pct"/>
            <w:vMerge w:val="restart"/>
            <w:vAlign w:val="center"/>
          </w:tcPr>
          <w:p w14:paraId="6AEAD199">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声源类型（频发、偶发等）</w:t>
            </w:r>
          </w:p>
        </w:tc>
        <w:tc>
          <w:tcPr>
            <w:tcW w:w="816" w:type="pct"/>
            <w:gridSpan w:val="2"/>
            <w:vAlign w:val="center"/>
          </w:tcPr>
          <w:p w14:paraId="109D5113">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噪声源强</w:t>
            </w:r>
          </w:p>
        </w:tc>
        <w:tc>
          <w:tcPr>
            <w:tcW w:w="994" w:type="pct"/>
            <w:gridSpan w:val="2"/>
            <w:vAlign w:val="center"/>
          </w:tcPr>
          <w:p w14:paraId="4AA7E765">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降噪措施</w:t>
            </w:r>
          </w:p>
        </w:tc>
        <w:tc>
          <w:tcPr>
            <w:tcW w:w="935" w:type="pct"/>
            <w:gridSpan w:val="2"/>
            <w:vAlign w:val="center"/>
          </w:tcPr>
          <w:p w14:paraId="059ACFF6">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噪声值排放</w:t>
            </w:r>
          </w:p>
        </w:tc>
        <w:tc>
          <w:tcPr>
            <w:tcW w:w="388" w:type="pct"/>
            <w:vMerge w:val="restart"/>
            <w:vAlign w:val="center"/>
          </w:tcPr>
          <w:p w14:paraId="393D0FF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持续时间</w:t>
            </w:r>
          </w:p>
        </w:tc>
      </w:tr>
      <w:tr w14:paraId="3B3DA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606B4D40">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18" w:type="pct"/>
            <w:vMerge w:val="continue"/>
            <w:vAlign w:val="center"/>
          </w:tcPr>
          <w:p w14:paraId="4CBDB88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51" w:type="pct"/>
            <w:vMerge w:val="continue"/>
            <w:vAlign w:val="center"/>
          </w:tcPr>
          <w:p w14:paraId="63E10C55">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606" w:type="pct"/>
            <w:vMerge w:val="continue"/>
            <w:vAlign w:val="center"/>
          </w:tcPr>
          <w:p w14:paraId="486C027C">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258" w:type="pct"/>
            <w:vAlign w:val="center"/>
          </w:tcPr>
          <w:p w14:paraId="237F524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核算方法</w:t>
            </w:r>
          </w:p>
        </w:tc>
        <w:tc>
          <w:tcPr>
            <w:tcW w:w="558" w:type="pct"/>
            <w:vAlign w:val="center"/>
          </w:tcPr>
          <w:p w14:paraId="4F0548E9">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w:t>
            </w:r>
          </w:p>
        </w:tc>
        <w:tc>
          <w:tcPr>
            <w:tcW w:w="604" w:type="pct"/>
            <w:vAlign w:val="center"/>
          </w:tcPr>
          <w:p w14:paraId="00AC7322">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工艺</w:t>
            </w:r>
          </w:p>
        </w:tc>
        <w:tc>
          <w:tcPr>
            <w:tcW w:w="390" w:type="pct"/>
            <w:tcBorders>
              <w:left w:val="single" w:color="auto" w:sz="4" w:space="0"/>
            </w:tcBorders>
            <w:vAlign w:val="center"/>
          </w:tcPr>
          <w:p w14:paraId="6B70DBF5">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降噪效果/dB（A）</w:t>
            </w:r>
          </w:p>
        </w:tc>
        <w:tc>
          <w:tcPr>
            <w:tcW w:w="423" w:type="pct"/>
            <w:vAlign w:val="center"/>
          </w:tcPr>
          <w:p w14:paraId="45F23F7A">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核算方法</w:t>
            </w:r>
          </w:p>
        </w:tc>
        <w:tc>
          <w:tcPr>
            <w:tcW w:w="512" w:type="pct"/>
            <w:vAlign w:val="center"/>
          </w:tcPr>
          <w:p w14:paraId="726F69D0">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w:t>
            </w:r>
          </w:p>
        </w:tc>
        <w:tc>
          <w:tcPr>
            <w:tcW w:w="388" w:type="pct"/>
            <w:vMerge w:val="continue"/>
            <w:vAlign w:val="center"/>
          </w:tcPr>
          <w:p w14:paraId="6DFAB00A">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14:paraId="33B9D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restart"/>
            <w:vAlign w:val="center"/>
          </w:tcPr>
          <w:p w14:paraId="720FBDB9">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hint="eastAsia" w:ascii="Times New Roman" w:hAnsi="Times New Roman" w:cs="Times New Roman" w:eastAsiaTheme="minorEastAsia"/>
                <w:color w:val="auto"/>
                <w:w w:val="99"/>
                <w:kern w:val="2"/>
                <w:sz w:val="20"/>
                <w:szCs w:val="15"/>
                <w:highlight w:val="none"/>
                <w:lang w:val="en-US" w:eastAsia="zh-CN"/>
              </w:rPr>
              <w:t>井场、</w:t>
            </w:r>
            <w:r>
              <w:rPr>
                <w:rFonts w:ascii="Times New Roman" w:hAnsi="Times New Roman" w:cs="Times New Roman" w:eastAsiaTheme="minorEastAsia"/>
                <w:color w:val="auto"/>
                <w:w w:val="99"/>
                <w:kern w:val="2"/>
                <w:sz w:val="20"/>
                <w:szCs w:val="15"/>
                <w:highlight w:val="none"/>
              </w:rPr>
              <w:t>管线施工</w:t>
            </w:r>
          </w:p>
        </w:tc>
        <w:tc>
          <w:tcPr>
            <w:tcW w:w="418" w:type="pct"/>
            <w:vMerge w:val="restart"/>
            <w:vAlign w:val="center"/>
          </w:tcPr>
          <w:p w14:paraId="6B530F16">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施工机械</w:t>
            </w:r>
          </w:p>
        </w:tc>
        <w:tc>
          <w:tcPr>
            <w:tcW w:w="451" w:type="pct"/>
            <w:shd w:val="clear" w:color="auto" w:fill="auto"/>
            <w:vAlign w:val="top"/>
          </w:tcPr>
          <w:p w14:paraId="6A8EE500">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挖掘机</w:t>
            </w:r>
          </w:p>
        </w:tc>
        <w:tc>
          <w:tcPr>
            <w:tcW w:w="606" w:type="pct"/>
            <w:shd w:val="clear" w:color="auto" w:fill="auto"/>
            <w:vAlign w:val="top"/>
          </w:tcPr>
          <w:p w14:paraId="44A96287">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固定声源</w:t>
            </w:r>
          </w:p>
        </w:tc>
        <w:tc>
          <w:tcPr>
            <w:tcW w:w="258" w:type="pct"/>
            <w:vMerge w:val="restart"/>
            <w:vAlign w:val="center"/>
          </w:tcPr>
          <w:p w14:paraId="0C33CB19">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类比法</w:t>
            </w:r>
          </w:p>
        </w:tc>
        <w:tc>
          <w:tcPr>
            <w:tcW w:w="558" w:type="pct"/>
            <w:vAlign w:val="top"/>
          </w:tcPr>
          <w:p w14:paraId="32DB671B">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90</w:t>
            </w:r>
          </w:p>
        </w:tc>
        <w:tc>
          <w:tcPr>
            <w:tcW w:w="604" w:type="pct"/>
            <w:vMerge w:val="restart"/>
            <w:vAlign w:val="center"/>
          </w:tcPr>
          <w:p w14:paraId="357C9FE0">
            <w:pPr>
              <w:pStyle w:val="2857"/>
              <w:keepNext w:val="0"/>
              <w:keepLines w:val="0"/>
              <w:pageBreakBefore w:val="0"/>
              <w:kinsoku/>
              <w:wordWrap/>
              <w:overflowPunct/>
              <w:topLinePunct w:val="0"/>
              <w:autoSpaceDE/>
              <w:autoSpaceDN/>
              <w:bidi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选用低噪音设</w:t>
            </w:r>
          </w:p>
          <w:p w14:paraId="74872799">
            <w:pPr>
              <w:pStyle w:val="2857"/>
              <w:keepNext w:val="0"/>
              <w:keepLines w:val="0"/>
              <w:pageBreakBefore w:val="0"/>
              <w:kinsoku/>
              <w:wordWrap/>
              <w:overflowPunct/>
              <w:topLinePunct w:val="0"/>
              <w:autoSpaceDE/>
              <w:autoSpaceDN/>
              <w:bidi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备，并采取减</w:t>
            </w:r>
          </w:p>
          <w:p w14:paraId="70229D53">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振、隔声等降噪措施</w:t>
            </w:r>
          </w:p>
        </w:tc>
        <w:tc>
          <w:tcPr>
            <w:tcW w:w="390" w:type="pct"/>
            <w:vAlign w:val="center"/>
          </w:tcPr>
          <w:p w14:paraId="7433EB06">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w:t>
            </w:r>
          </w:p>
        </w:tc>
        <w:tc>
          <w:tcPr>
            <w:tcW w:w="423" w:type="pct"/>
            <w:vAlign w:val="center"/>
          </w:tcPr>
          <w:p w14:paraId="66021377">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类比法</w:t>
            </w:r>
          </w:p>
        </w:tc>
        <w:tc>
          <w:tcPr>
            <w:tcW w:w="512" w:type="pct"/>
            <w:vAlign w:val="top"/>
          </w:tcPr>
          <w:p w14:paraId="718DD126">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90</w:t>
            </w:r>
          </w:p>
        </w:tc>
        <w:tc>
          <w:tcPr>
            <w:tcW w:w="388" w:type="pct"/>
            <w:vMerge w:val="restart"/>
            <w:vAlign w:val="center"/>
          </w:tcPr>
          <w:p w14:paraId="7FE45149">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施工期</w:t>
            </w:r>
          </w:p>
        </w:tc>
      </w:tr>
      <w:tr w14:paraId="240AC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620F5715">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18" w:type="pct"/>
            <w:vMerge w:val="continue"/>
            <w:vAlign w:val="center"/>
          </w:tcPr>
          <w:p w14:paraId="4A8E422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51" w:type="pct"/>
            <w:shd w:val="clear" w:color="auto" w:fill="auto"/>
            <w:vAlign w:val="top"/>
          </w:tcPr>
          <w:p w14:paraId="0F7DF418">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推土机</w:t>
            </w:r>
          </w:p>
        </w:tc>
        <w:tc>
          <w:tcPr>
            <w:tcW w:w="606" w:type="pct"/>
            <w:shd w:val="clear" w:color="auto" w:fill="auto"/>
            <w:vAlign w:val="top"/>
          </w:tcPr>
          <w:p w14:paraId="396B8CFA">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固定声源</w:t>
            </w:r>
          </w:p>
        </w:tc>
        <w:tc>
          <w:tcPr>
            <w:tcW w:w="258" w:type="pct"/>
            <w:vMerge w:val="continue"/>
            <w:vAlign w:val="center"/>
          </w:tcPr>
          <w:p w14:paraId="342271F7">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558" w:type="pct"/>
            <w:vAlign w:val="top"/>
          </w:tcPr>
          <w:p w14:paraId="79D0FDF3">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88</w:t>
            </w:r>
          </w:p>
        </w:tc>
        <w:tc>
          <w:tcPr>
            <w:tcW w:w="604" w:type="pct"/>
            <w:vMerge w:val="continue"/>
            <w:vAlign w:val="center"/>
          </w:tcPr>
          <w:p w14:paraId="47182E23">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390" w:type="pct"/>
            <w:vAlign w:val="center"/>
          </w:tcPr>
          <w:p w14:paraId="54870F12">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w:t>
            </w:r>
          </w:p>
        </w:tc>
        <w:tc>
          <w:tcPr>
            <w:tcW w:w="423" w:type="pct"/>
            <w:vAlign w:val="center"/>
          </w:tcPr>
          <w:p w14:paraId="77A25258">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类比法</w:t>
            </w:r>
          </w:p>
        </w:tc>
        <w:tc>
          <w:tcPr>
            <w:tcW w:w="512" w:type="pct"/>
            <w:vAlign w:val="top"/>
          </w:tcPr>
          <w:p w14:paraId="015BB711">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88</w:t>
            </w:r>
          </w:p>
        </w:tc>
        <w:tc>
          <w:tcPr>
            <w:tcW w:w="388" w:type="pct"/>
            <w:vMerge w:val="continue"/>
            <w:vAlign w:val="center"/>
          </w:tcPr>
          <w:p w14:paraId="254DF52E">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14:paraId="1D854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3286CD92">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18" w:type="pct"/>
            <w:vMerge w:val="continue"/>
            <w:vAlign w:val="center"/>
          </w:tcPr>
          <w:p w14:paraId="5E0DF9A8">
            <w:pPr>
              <w:widowControl w:val="0"/>
              <w:spacing w:line="360" w:lineRule="exact"/>
              <w:jc w:val="center"/>
              <w:rPr>
                <w:rFonts w:ascii="Times New Roman" w:hAnsi="Times New Roman" w:cs="Times New Roman" w:eastAsiaTheme="minorEastAsia"/>
                <w:color w:val="auto"/>
                <w:w w:val="99"/>
                <w:kern w:val="2"/>
                <w:sz w:val="20"/>
                <w:szCs w:val="15"/>
                <w:highlight w:val="none"/>
              </w:rPr>
            </w:pPr>
          </w:p>
        </w:tc>
        <w:tc>
          <w:tcPr>
            <w:tcW w:w="451" w:type="pct"/>
            <w:shd w:val="clear" w:color="auto" w:fill="auto"/>
            <w:vAlign w:val="top"/>
          </w:tcPr>
          <w:p w14:paraId="362A633F">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压路机</w:t>
            </w:r>
          </w:p>
        </w:tc>
        <w:tc>
          <w:tcPr>
            <w:tcW w:w="606" w:type="pct"/>
            <w:shd w:val="clear" w:color="auto" w:fill="auto"/>
            <w:vAlign w:val="top"/>
          </w:tcPr>
          <w:p w14:paraId="502480BE">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流动声源</w:t>
            </w:r>
          </w:p>
        </w:tc>
        <w:tc>
          <w:tcPr>
            <w:tcW w:w="258" w:type="pct"/>
            <w:vMerge w:val="continue"/>
            <w:vAlign w:val="center"/>
          </w:tcPr>
          <w:p w14:paraId="00154D5A">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558" w:type="pct"/>
            <w:vAlign w:val="top"/>
          </w:tcPr>
          <w:p w14:paraId="52AB5748">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90</w:t>
            </w:r>
          </w:p>
        </w:tc>
        <w:tc>
          <w:tcPr>
            <w:tcW w:w="604" w:type="pct"/>
            <w:vMerge w:val="continue"/>
            <w:vAlign w:val="center"/>
          </w:tcPr>
          <w:p w14:paraId="2AADA762">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390" w:type="pct"/>
            <w:vAlign w:val="center"/>
          </w:tcPr>
          <w:p w14:paraId="241D9C98">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w:t>
            </w:r>
          </w:p>
        </w:tc>
        <w:tc>
          <w:tcPr>
            <w:tcW w:w="423" w:type="pct"/>
            <w:vAlign w:val="center"/>
          </w:tcPr>
          <w:p w14:paraId="6EA5F9B1">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类比法</w:t>
            </w:r>
          </w:p>
        </w:tc>
        <w:tc>
          <w:tcPr>
            <w:tcW w:w="512" w:type="pct"/>
            <w:vAlign w:val="top"/>
          </w:tcPr>
          <w:p w14:paraId="45FBC02B">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90</w:t>
            </w:r>
          </w:p>
        </w:tc>
        <w:tc>
          <w:tcPr>
            <w:tcW w:w="388" w:type="pct"/>
            <w:vMerge w:val="continue"/>
            <w:vAlign w:val="center"/>
          </w:tcPr>
          <w:p w14:paraId="60242AB2">
            <w:pPr>
              <w:widowControl w:val="0"/>
              <w:adjustRightInd w:val="0"/>
              <w:spacing w:line="360" w:lineRule="exact"/>
              <w:ind w:firstLine="482"/>
              <w:jc w:val="center"/>
              <w:rPr>
                <w:rFonts w:ascii="Times New Roman" w:hAnsi="Times New Roman" w:cs="Times New Roman" w:eastAsiaTheme="minorEastAsia"/>
                <w:color w:val="auto"/>
                <w:w w:val="99"/>
                <w:kern w:val="2"/>
                <w:sz w:val="20"/>
                <w:szCs w:val="15"/>
                <w:highlight w:val="none"/>
              </w:rPr>
            </w:pPr>
          </w:p>
        </w:tc>
      </w:tr>
      <w:tr w14:paraId="69A46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7698D4E7">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18" w:type="pct"/>
            <w:vMerge w:val="continue"/>
            <w:vAlign w:val="center"/>
          </w:tcPr>
          <w:p w14:paraId="16F69903">
            <w:pPr>
              <w:widowControl w:val="0"/>
              <w:spacing w:line="360" w:lineRule="exact"/>
              <w:jc w:val="center"/>
              <w:rPr>
                <w:rFonts w:ascii="Times New Roman" w:hAnsi="Times New Roman" w:cs="Times New Roman" w:eastAsiaTheme="minorEastAsia"/>
                <w:color w:val="auto"/>
                <w:w w:val="99"/>
                <w:kern w:val="2"/>
                <w:sz w:val="20"/>
                <w:szCs w:val="15"/>
                <w:highlight w:val="none"/>
              </w:rPr>
            </w:pPr>
          </w:p>
        </w:tc>
        <w:tc>
          <w:tcPr>
            <w:tcW w:w="451" w:type="pct"/>
            <w:shd w:val="clear" w:color="auto" w:fill="auto"/>
            <w:vAlign w:val="top"/>
          </w:tcPr>
          <w:p w14:paraId="5CB630B7">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运输车辆</w:t>
            </w:r>
          </w:p>
        </w:tc>
        <w:tc>
          <w:tcPr>
            <w:tcW w:w="606" w:type="pct"/>
            <w:shd w:val="clear" w:color="auto" w:fill="auto"/>
            <w:vAlign w:val="top"/>
          </w:tcPr>
          <w:p w14:paraId="2332CCE1">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流动声源</w:t>
            </w:r>
          </w:p>
        </w:tc>
        <w:tc>
          <w:tcPr>
            <w:tcW w:w="258" w:type="pct"/>
            <w:vMerge w:val="continue"/>
            <w:vAlign w:val="center"/>
          </w:tcPr>
          <w:p w14:paraId="70235C72">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558" w:type="pct"/>
            <w:vAlign w:val="top"/>
          </w:tcPr>
          <w:p w14:paraId="04B8A557">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90</w:t>
            </w:r>
          </w:p>
        </w:tc>
        <w:tc>
          <w:tcPr>
            <w:tcW w:w="604" w:type="pct"/>
            <w:vMerge w:val="continue"/>
            <w:vAlign w:val="center"/>
          </w:tcPr>
          <w:p w14:paraId="7D84F618">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390" w:type="pct"/>
            <w:vAlign w:val="center"/>
          </w:tcPr>
          <w:p w14:paraId="756E956A">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w:t>
            </w:r>
          </w:p>
        </w:tc>
        <w:tc>
          <w:tcPr>
            <w:tcW w:w="423" w:type="pct"/>
            <w:vAlign w:val="center"/>
          </w:tcPr>
          <w:p w14:paraId="1F973899">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类比法</w:t>
            </w:r>
          </w:p>
        </w:tc>
        <w:tc>
          <w:tcPr>
            <w:tcW w:w="512" w:type="pct"/>
            <w:vAlign w:val="top"/>
          </w:tcPr>
          <w:p w14:paraId="7B7DA32F">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90</w:t>
            </w:r>
          </w:p>
        </w:tc>
        <w:tc>
          <w:tcPr>
            <w:tcW w:w="388" w:type="pct"/>
            <w:vMerge w:val="continue"/>
            <w:vAlign w:val="center"/>
          </w:tcPr>
          <w:p w14:paraId="4316CB97">
            <w:pPr>
              <w:widowControl w:val="0"/>
              <w:adjustRightInd w:val="0"/>
              <w:spacing w:line="360" w:lineRule="exact"/>
              <w:ind w:firstLine="482"/>
              <w:jc w:val="center"/>
              <w:rPr>
                <w:rFonts w:ascii="Times New Roman" w:hAnsi="Times New Roman" w:cs="Times New Roman" w:eastAsiaTheme="minorEastAsia"/>
                <w:color w:val="auto"/>
                <w:w w:val="99"/>
                <w:kern w:val="2"/>
                <w:sz w:val="20"/>
                <w:szCs w:val="15"/>
                <w:highlight w:val="none"/>
              </w:rPr>
            </w:pPr>
          </w:p>
        </w:tc>
      </w:tr>
      <w:tr w14:paraId="6E37A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62C9ECFC">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18" w:type="pct"/>
            <w:vMerge w:val="continue"/>
            <w:vAlign w:val="center"/>
          </w:tcPr>
          <w:p w14:paraId="10C4C3E2">
            <w:pPr>
              <w:widowControl w:val="0"/>
              <w:spacing w:line="360" w:lineRule="exact"/>
              <w:jc w:val="center"/>
              <w:rPr>
                <w:rFonts w:ascii="Times New Roman" w:hAnsi="Times New Roman" w:cs="Times New Roman" w:eastAsiaTheme="minorEastAsia"/>
                <w:color w:val="auto"/>
                <w:w w:val="99"/>
                <w:kern w:val="2"/>
                <w:sz w:val="20"/>
                <w:szCs w:val="15"/>
                <w:highlight w:val="none"/>
              </w:rPr>
            </w:pPr>
          </w:p>
        </w:tc>
        <w:tc>
          <w:tcPr>
            <w:tcW w:w="451" w:type="pct"/>
            <w:shd w:val="clear" w:color="auto" w:fill="auto"/>
            <w:vAlign w:val="top"/>
          </w:tcPr>
          <w:p w14:paraId="1128B3F0">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电焊机</w:t>
            </w:r>
          </w:p>
        </w:tc>
        <w:tc>
          <w:tcPr>
            <w:tcW w:w="606" w:type="pct"/>
            <w:shd w:val="clear" w:color="auto" w:fill="auto"/>
            <w:vAlign w:val="top"/>
          </w:tcPr>
          <w:p w14:paraId="60B3B48F">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固定声源</w:t>
            </w:r>
          </w:p>
        </w:tc>
        <w:tc>
          <w:tcPr>
            <w:tcW w:w="258" w:type="pct"/>
            <w:vMerge w:val="continue"/>
            <w:vAlign w:val="center"/>
          </w:tcPr>
          <w:p w14:paraId="30E8B761">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558" w:type="pct"/>
            <w:vAlign w:val="top"/>
          </w:tcPr>
          <w:p w14:paraId="1F3F4088">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95</w:t>
            </w:r>
          </w:p>
        </w:tc>
        <w:tc>
          <w:tcPr>
            <w:tcW w:w="604" w:type="pct"/>
            <w:vMerge w:val="continue"/>
            <w:vAlign w:val="center"/>
          </w:tcPr>
          <w:p w14:paraId="50097219">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390" w:type="pct"/>
            <w:vAlign w:val="center"/>
          </w:tcPr>
          <w:p w14:paraId="6A62EC99">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w:t>
            </w:r>
          </w:p>
        </w:tc>
        <w:tc>
          <w:tcPr>
            <w:tcW w:w="423" w:type="pct"/>
            <w:vAlign w:val="center"/>
          </w:tcPr>
          <w:p w14:paraId="4D392AD0">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类比法</w:t>
            </w:r>
          </w:p>
        </w:tc>
        <w:tc>
          <w:tcPr>
            <w:tcW w:w="512" w:type="pct"/>
            <w:vAlign w:val="top"/>
          </w:tcPr>
          <w:p w14:paraId="1F1FA6E9">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95</w:t>
            </w:r>
          </w:p>
        </w:tc>
        <w:tc>
          <w:tcPr>
            <w:tcW w:w="388" w:type="pct"/>
            <w:vMerge w:val="continue"/>
            <w:vAlign w:val="center"/>
          </w:tcPr>
          <w:p w14:paraId="72020AFE">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14:paraId="1596D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63175400">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18" w:type="pct"/>
            <w:vMerge w:val="continue"/>
            <w:vAlign w:val="center"/>
          </w:tcPr>
          <w:p w14:paraId="483DAFF6">
            <w:pPr>
              <w:widowControl w:val="0"/>
              <w:spacing w:line="360" w:lineRule="exact"/>
              <w:jc w:val="center"/>
              <w:rPr>
                <w:rFonts w:ascii="Times New Roman" w:hAnsi="Times New Roman" w:cs="Times New Roman" w:eastAsiaTheme="minorEastAsia"/>
                <w:color w:val="auto"/>
                <w:w w:val="99"/>
                <w:kern w:val="2"/>
                <w:sz w:val="20"/>
                <w:szCs w:val="15"/>
                <w:highlight w:val="none"/>
              </w:rPr>
            </w:pPr>
          </w:p>
        </w:tc>
        <w:tc>
          <w:tcPr>
            <w:tcW w:w="451" w:type="pct"/>
            <w:shd w:val="clear" w:color="auto" w:fill="auto"/>
            <w:vAlign w:val="top"/>
          </w:tcPr>
          <w:p w14:paraId="5CE4C680">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吊管机</w:t>
            </w:r>
          </w:p>
        </w:tc>
        <w:tc>
          <w:tcPr>
            <w:tcW w:w="606" w:type="pct"/>
            <w:shd w:val="clear" w:color="auto" w:fill="auto"/>
            <w:vAlign w:val="top"/>
          </w:tcPr>
          <w:p w14:paraId="40E1B448">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固定声源</w:t>
            </w:r>
          </w:p>
        </w:tc>
        <w:tc>
          <w:tcPr>
            <w:tcW w:w="258" w:type="pct"/>
            <w:vMerge w:val="continue"/>
            <w:vAlign w:val="center"/>
          </w:tcPr>
          <w:p w14:paraId="00229EBC">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558" w:type="pct"/>
            <w:vAlign w:val="top"/>
          </w:tcPr>
          <w:p w14:paraId="0632A594">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75</w:t>
            </w:r>
          </w:p>
        </w:tc>
        <w:tc>
          <w:tcPr>
            <w:tcW w:w="604" w:type="pct"/>
            <w:vMerge w:val="continue"/>
            <w:vAlign w:val="center"/>
          </w:tcPr>
          <w:p w14:paraId="242A6345">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390" w:type="pct"/>
            <w:vAlign w:val="center"/>
          </w:tcPr>
          <w:p w14:paraId="25790E1B">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w:t>
            </w:r>
          </w:p>
        </w:tc>
        <w:tc>
          <w:tcPr>
            <w:tcW w:w="423" w:type="pct"/>
            <w:vAlign w:val="center"/>
          </w:tcPr>
          <w:p w14:paraId="123B6360">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类比法</w:t>
            </w:r>
          </w:p>
        </w:tc>
        <w:tc>
          <w:tcPr>
            <w:tcW w:w="512" w:type="pct"/>
            <w:vAlign w:val="top"/>
          </w:tcPr>
          <w:p w14:paraId="4A56C7EB">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75</w:t>
            </w:r>
          </w:p>
        </w:tc>
        <w:tc>
          <w:tcPr>
            <w:tcW w:w="388" w:type="pct"/>
            <w:vMerge w:val="continue"/>
            <w:vAlign w:val="center"/>
          </w:tcPr>
          <w:p w14:paraId="53BAC54E">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14:paraId="244BD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51F04199">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18" w:type="pct"/>
            <w:vMerge w:val="continue"/>
            <w:vAlign w:val="center"/>
          </w:tcPr>
          <w:p w14:paraId="22236B8D">
            <w:pPr>
              <w:widowControl w:val="0"/>
              <w:spacing w:line="360" w:lineRule="exact"/>
              <w:jc w:val="center"/>
              <w:rPr>
                <w:rFonts w:ascii="Times New Roman" w:hAnsi="Times New Roman" w:cs="Times New Roman" w:eastAsiaTheme="minorEastAsia"/>
                <w:color w:val="auto"/>
                <w:w w:val="99"/>
                <w:kern w:val="2"/>
                <w:sz w:val="20"/>
                <w:szCs w:val="15"/>
                <w:highlight w:val="none"/>
              </w:rPr>
            </w:pPr>
          </w:p>
        </w:tc>
        <w:tc>
          <w:tcPr>
            <w:tcW w:w="451" w:type="pct"/>
            <w:shd w:val="clear" w:color="auto" w:fill="auto"/>
            <w:vAlign w:val="top"/>
          </w:tcPr>
          <w:p w14:paraId="2432FFDB">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定向钻机</w:t>
            </w:r>
          </w:p>
        </w:tc>
        <w:tc>
          <w:tcPr>
            <w:tcW w:w="606" w:type="pct"/>
            <w:shd w:val="clear" w:color="auto" w:fill="auto"/>
            <w:vAlign w:val="top"/>
          </w:tcPr>
          <w:p w14:paraId="7A634B3A">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固定声源</w:t>
            </w:r>
          </w:p>
        </w:tc>
        <w:tc>
          <w:tcPr>
            <w:tcW w:w="258" w:type="pct"/>
            <w:vMerge w:val="continue"/>
            <w:vAlign w:val="center"/>
          </w:tcPr>
          <w:p w14:paraId="76D010AC">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558" w:type="pct"/>
            <w:vAlign w:val="top"/>
          </w:tcPr>
          <w:p w14:paraId="172B9B13">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100</w:t>
            </w:r>
          </w:p>
        </w:tc>
        <w:tc>
          <w:tcPr>
            <w:tcW w:w="604" w:type="pct"/>
            <w:vMerge w:val="continue"/>
            <w:vAlign w:val="center"/>
          </w:tcPr>
          <w:p w14:paraId="49646B0B">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390" w:type="pct"/>
            <w:vAlign w:val="center"/>
          </w:tcPr>
          <w:p w14:paraId="6BA68DCB">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w:t>
            </w:r>
          </w:p>
        </w:tc>
        <w:tc>
          <w:tcPr>
            <w:tcW w:w="423" w:type="pct"/>
            <w:vAlign w:val="center"/>
          </w:tcPr>
          <w:p w14:paraId="37430573">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类比法</w:t>
            </w:r>
          </w:p>
        </w:tc>
        <w:tc>
          <w:tcPr>
            <w:tcW w:w="512" w:type="pct"/>
            <w:vAlign w:val="top"/>
          </w:tcPr>
          <w:p w14:paraId="76D2ECCC">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100</w:t>
            </w:r>
          </w:p>
        </w:tc>
        <w:tc>
          <w:tcPr>
            <w:tcW w:w="388" w:type="pct"/>
            <w:vMerge w:val="continue"/>
            <w:vAlign w:val="center"/>
          </w:tcPr>
          <w:p w14:paraId="1D6FCCA7">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14:paraId="6D06A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2BB7156D">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18" w:type="pct"/>
            <w:vMerge w:val="continue"/>
            <w:vAlign w:val="center"/>
          </w:tcPr>
          <w:p w14:paraId="72A6BA6A">
            <w:pPr>
              <w:widowControl w:val="0"/>
              <w:spacing w:line="360" w:lineRule="exact"/>
              <w:jc w:val="center"/>
              <w:rPr>
                <w:rFonts w:ascii="Times New Roman" w:hAnsi="Times New Roman" w:cs="Times New Roman" w:eastAsiaTheme="minorEastAsia"/>
                <w:color w:val="auto"/>
                <w:w w:val="99"/>
                <w:kern w:val="2"/>
                <w:sz w:val="20"/>
                <w:szCs w:val="15"/>
                <w:highlight w:val="none"/>
              </w:rPr>
            </w:pPr>
          </w:p>
        </w:tc>
        <w:tc>
          <w:tcPr>
            <w:tcW w:w="451" w:type="pct"/>
            <w:shd w:val="clear" w:color="auto" w:fill="auto"/>
            <w:vAlign w:val="top"/>
          </w:tcPr>
          <w:p w14:paraId="1A6D2F4D">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混凝土搅拌罐车</w:t>
            </w:r>
          </w:p>
        </w:tc>
        <w:tc>
          <w:tcPr>
            <w:tcW w:w="606" w:type="pct"/>
            <w:shd w:val="clear" w:color="auto" w:fill="auto"/>
            <w:vAlign w:val="top"/>
          </w:tcPr>
          <w:p w14:paraId="536565B8">
            <w:pPr>
              <w:pStyle w:val="2857"/>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en-US" w:bidi="ar-SA"/>
              </w:rPr>
            </w:pPr>
            <w:r>
              <w:rPr>
                <w:rFonts w:ascii="Times New Roman" w:hAnsi="Times New Roman" w:cs="Times New Roman" w:eastAsiaTheme="minorEastAsia"/>
                <w:color w:val="auto"/>
                <w:w w:val="99"/>
                <w:kern w:val="2"/>
                <w:sz w:val="20"/>
                <w:szCs w:val="15"/>
                <w:highlight w:val="none"/>
                <w:lang w:val="en-US" w:eastAsia="zh-CN" w:bidi="ar-SA"/>
              </w:rPr>
              <w:t>流动声源</w:t>
            </w:r>
          </w:p>
        </w:tc>
        <w:tc>
          <w:tcPr>
            <w:tcW w:w="258" w:type="pct"/>
            <w:vMerge w:val="continue"/>
            <w:vAlign w:val="center"/>
          </w:tcPr>
          <w:p w14:paraId="30AD0CB3">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558" w:type="pct"/>
            <w:vAlign w:val="top"/>
          </w:tcPr>
          <w:p w14:paraId="0B29EE79">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95</w:t>
            </w:r>
          </w:p>
        </w:tc>
        <w:tc>
          <w:tcPr>
            <w:tcW w:w="604" w:type="pct"/>
            <w:vMerge w:val="continue"/>
            <w:vAlign w:val="center"/>
          </w:tcPr>
          <w:p w14:paraId="07BF7BFA">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p>
        </w:tc>
        <w:tc>
          <w:tcPr>
            <w:tcW w:w="390" w:type="pct"/>
            <w:vAlign w:val="center"/>
          </w:tcPr>
          <w:p w14:paraId="6131F25D">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w:t>
            </w:r>
          </w:p>
        </w:tc>
        <w:tc>
          <w:tcPr>
            <w:tcW w:w="423" w:type="pct"/>
            <w:vAlign w:val="center"/>
          </w:tcPr>
          <w:p w14:paraId="7F73AC54">
            <w:pPr>
              <w:keepNext w:val="0"/>
              <w:keepLines w:val="0"/>
              <w:pageBreakBefore w:val="0"/>
              <w:widowControl w:val="0"/>
              <w:kinsoku/>
              <w:wordWrap/>
              <w:overflowPunct/>
              <w:topLinePunct w:val="0"/>
              <w:autoSpaceDE/>
              <w:autoSpaceDN/>
              <w:bidi w:val="0"/>
              <w:adjustRightInd w:val="0"/>
              <w:snapToGrid/>
              <w:spacing w:line="360" w:lineRule="exact"/>
              <w:ind w:left="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类比法</w:t>
            </w:r>
          </w:p>
        </w:tc>
        <w:tc>
          <w:tcPr>
            <w:tcW w:w="512" w:type="pct"/>
            <w:vAlign w:val="top"/>
          </w:tcPr>
          <w:p w14:paraId="4B65C308">
            <w:pPr>
              <w:keepNext w:val="0"/>
              <w:keepLines w:val="0"/>
              <w:pageBreakBefore w:val="0"/>
              <w:kinsoku/>
              <w:wordWrap/>
              <w:overflowPunct/>
              <w:topLinePunct w:val="0"/>
              <w:autoSpaceDE/>
              <w:autoSpaceDN/>
              <w:bidi w:val="0"/>
              <w:snapToGrid/>
              <w:spacing w:line="360" w:lineRule="exact"/>
              <w:ind w:left="0" w:leftChars="0"/>
              <w:jc w:val="center"/>
              <w:textAlignment w:val="auto"/>
              <w:rPr>
                <w:rFonts w:ascii="Times New Roman" w:hAnsi="Times New Roman" w:cs="Times New Roman" w:eastAsiaTheme="minorEastAsia"/>
                <w:color w:val="auto"/>
                <w:w w:val="99"/>
                <w:kern w:val="2"/>
                <w:sz w:val="20"/>
                <w:szCs w:val="15"/>
                <w:highlight w:val="none"/>
                <w:lang w:val="en-US" w:eastAsia="zh-CN" w:bidi="ar-SA"/>
              </w:rPr>
            </w:pPr>
            <w:r>
              <w:rPr>
                <w:rFonts w:ascii="Times New Roman" w:hAnsi="Times New Roman" w:cs="Times New Roman" w:eastAsiaTheme="minorEastAsia"/>
                <w:color w:val="auto"/>
                <w:w w:val="99"/>
                <w:kern w:val="2"/>
                <w:sz w:val="20"/>
                <w:szCs w:val="15"/>
                <w:highlight w:val="none"/>
                <w:lang w:val="en-US" w:eastAsia="zh-CN" w:bidi="ar-SA"/>
              </w:rPr>
              <w:t>95</w:t>
            </w:r>
          </w:p>
        </w:tc>
        <w:tc>
          <w:tcPr>
            <w:tcW w:w="388" w:type="pct"/>
            <w:vMerge w:val="continue"/>
            <w:vAlign w:val="center"/>
          </w:tcPr>
          <w:p w14:paraId="1843A7EB">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bl>
    <w:p w14:paraId="0CEAF174">
      <w:pPr>
        <w:pStyle w:val="153"/>
        <w:widowControl w:val="0"/>
        <w:spacing w:line="440" w:lineRule="exact"/>
        <w:ind w:firstLine="478"/>
        <w:jc w:val="both"/>
        <w:rPr>
          <w:rFonts w:ascii="Times New Roman" w:hAnsi="Times New Roman" w:eastAsiaTheme="minorEastAsia"/>
          <w:b/>
          <w:color w:val="auto"/>
          <w:w w:val="99"/>
          <w:kern w:val="2"/>
          <w:highlight w:val="none"/>
        </w:rPr>
      </w:pPr>
      <w:r>
        <w:rPr>
          <w:rFonts w:ascii="Times New Roman" w:hAnsi="Times New Roman" w:eastAsiaTheme="minorEastAsia"/>
          <w:b/>
          <w:color w:val="auto"/>
          <w:w w:val="99"/>
          <w:kern w:val="2"/>
          <w:highlight w:val="none"/>
        </w:rPr>
        <w:t>表</w:t>
      </w:r>
      <w:r>
        <w:rPr>
          <w:rFonts w:hint="eastAsia" w:ascii="Times New Roman" w:hAnsi="Times New Roman" w:eastAsiaTheme="minorEastAsia"/>
          <w:b/>
          <w:color w:val="auto"/>
          <w:w w:val="99"/>
          <w:highlight w:val="none"/>
          <w:lang w:eastAsia="zh-CN"/>
        </w:rPr>
        <w:t>3.1</w:t>
      </w:r>
      <w:r>
        <w:rPr>
          <w:rFonts w:hint="eastAsia" w:ascii="Times New Roman" w:hAnsi="Times New Roman" w:eastAsiaTheme="minorEastAsia"/>
          <w:b/>
          <w:color w:val="auto"/>
          <w:w w:val="99"/>
          <w:highlight w:val="none"/>
          <w:lang w:val="en-US" w:eastAsia="zh-CN"/>
        </w:rPr>
        <w:t>0</w:t>
      </w:r>
      <w:r>
        <w:rPr>
          <w:rFonts w:ascii="Times New Roman" w:hAnsi="Times New Roman" w:eastAsiaTheme="minorEastAsia"/>
          <w:b/>
          <w:color w:val="auto"/>
          <w:w w:val="99"/>
          <w:highlight w:val="none"/>
        </w:rPr>
        <w:t>-1</w:t>
      </w:r>
      <w:r>
        <w:rPr>
          <w:rFonts w:hint="eastAsia" w:ascii="Times New Roman" w:hAnsi="Times New Roman" w:eastAsiaTheme="minorEastAsia"/>
          <w:b/>
          <w:color w:val="auto"/>
          <w:w w:val="99"/>
          <w:highlight w:val="none"/>
          <w:lang w:val="en-US" w:eastAsia="zh-CN"/>
        </w:rPr>
        <w:t>4</w:t>
      </w:r>
      <w:r>
        <w:rPr>
          <w:rFonts w:ascii="Times New Roman" w:hAnsi="Times New Roman" w:eastAsiaTheme="minorEastAsia"/>
          <w:b/>
          <w:color w:val="auto"/>
          <w:w w:val="99"/>
          <w:kern w:val="2"/>
          <w:highlight w:val="none"/>
        </w:rPr>
        <w:t xml:space="preserve">    </w:t>
      </w:r>
      <w:r>
        <w:rPr>
          <w:rFonts w:ascii="Times New Roman" w:hAnsi="Times New Roman" w:eastAsiaTheme="minorEastAsia"/>
          <w:b/>
          <w:color w:val="auto"/>
          <w:w w:val="99"/>
          <w:kern w:val="21"/>
          <w:highlight w:val="none"/>
        </w:rPr>
        <w:t>施工期</w:t>
      </w:r>
      <w:r>
        <w:rPr>
          <w:rFonts w:ascii="Times New Roman" w:hAnsi="Times New Roman" w:eastAsiaTheme="minorEastAsia"/>
          <w:b/>
          <w:color w:val="auto"/>
          <w:w w:val="99"/>
          <w:kern w:val="2"/>
          <w:highlight w:val="none"/>
        </w:rPr>
        <w:t>固体废物污染源强核算结果表</w:t>
      </w:r>
    </w:p>
    <w:tbl>
      <w:tblPr>
        <w:tblStyle w:val="80"/>
        <w:tblW w:w="140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2095"/>
        <w:gridCol w:w="1134"/>
        <w:gridCol w:w="997"/>
        <w:gridCol w:w="1276"/>
        <w:gridCol w:w="992"/>
        <w:gridCol w:w="6631"/>
      </w:tblGrid>
      <w:tr w14:paraId="6E895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restart"/>
            <w:vAlign w:val="center"/>
          </w:tcPr>
          <w:p w14:paraId="2C3D943B">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工序</w:t>
            </w:r>
          </w:p>
        </w:tc>
        <w:tc>
          <w:tcPr>
            <w:tcW w:w="2095" w:type="dxa"/>
            <w:vMerge w:val="restart"/>
            <w:vAlign w:val="center"/>
          </w:tcPr>
          <w:p w14:paraId="516C71E6">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固体废物名称</w:t>
            </w:r>
          </w:p>
        </w:tc>
        <w:tc>
          <w:tcPr>
            <w:tcW w:w="2131" w:type="dxa"/>
            <w:gridSpan w:val="2"/>
            <w:vAlign w:val="center"/>
          </w:tcPr>
          <w:p w14:paraId="485A75EC">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产生情况</w:t>
            </w:r>
          </w:p>
        </w:tc>
        <w:tc>
          <w:tcPr>
            <w:tcW w:w="2268" w:type="dxa"/>
            <w:gridSpan w:val="2"/>
            <w:vAlign w:val="center"/>
          </w:tcPr>
          <w:p w14:paraId="516AB1C1">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处置措施</w:t>
            </w:r>
          </w:p>
        </w:tc>
        <w:tc>
          <w:tcPr>
            <w:tcW w:w="6631" w:type="dxa"/>
            <w:vMerge w:val="restart"/>
            <w:vAlign w:val="center"/>
          </w:tcPr>
          <w:p w14:paraId="05321CD9">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最终排放去向</w:t>
            </w:r>
          </w:p>
        </w:tc>
      </w:tr>
      <w:tr w14:paraId="46B8A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267E2C05">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2095" w:type="dxa"/>
            <w:vMerge w:val="continue"/>
            <w:vAlign w:val="center"/>
          </w:tcPr>
          <w:p w14:paraId="516B9535">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1134" w:type="dxa"/>
            <w:vAlign w:val="center"/>
          </w:tcPr>
          <w:p w14:paraId="2747E07B">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核算方法</w:t>
            </w:r>
          </w:p>
        </w:tc>
        <w:tc>
          <w:tcPr>
            <w:tcW w:w="997" w:type="dxa"/>
            <w:vAlign w:val="center"/>
          </w:tcPr>
          <w:p w14:paraId="0B7B9A71">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产生量</w:t>
            </w:r>
          </w:p>
        </w:tc>
        <w:tc>
          <w:tcPr>
            <w:tcW w:w="1276" w:type="dxa"/>
            <w:vAlign w:val="center"/>
          </w:tcPr>
          <w:p w14:paraId="1FE086AB">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工艺</w:t>
            </w:r>
          </w:p>
        </w:tc>
        <w:tc>
          <w:tcPr>
            <w:tcW w:w="992" w:type="dxa"/>
            <w:vAlign w:val="center"/>
          </w:tcPr>
          <w:p w14:paraId="039B08A5">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处置量</w:t>
            </w:r>
          </w:p>
        </w:tc>
        <w:tc>
          <w:tcPr>
            <w:tcW w:w="6631" w:type="dxa"/>
            <w:vMerge w:val="continue"/>
            <w:vAlign w:val="center"/>
          </w:tcPr>
          <w:p w14:paraId="6DA75018">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14:paraId="058E1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restart"/>
            <w:tcBorders>
              <w:top w:val="single" w:color="auto" w:sz="4" w:space="0"/>
            </w:tcBorders>
            <w:vAlign w:val="center"/>
          </w:tcPr>
          <w:p w14:paraId="30B15E70">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地面建设</w:t>
            </w:r>
          </w:p>
        </w:tc>
        <w:tc>
          <w:tcPr>
            <w:tcW w:w="2095" w:type="dxa"/>
            <w:tcBorders>
              <w:top w:val="single" w:color="auto" w:sz="4" w:space="0"/>
            </w:tcBorders>
            <w:vAlign w:val="center"/>
          </w:tcPr>
          <w:p w14:paraId="1F80AFA7">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生活垃圾</w:t>
            </w:r>
          </w:p>
        </w:tc>
        <w:tc>
          <w:tcPr>
            <w:tcW w:w="1134" w:type="dxa"/>
            <w:vAlign w:val="center"/>
          </w:tcPr>
          <w:p w14:paraId="26DF5FA7">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997" w:type="dxa"/>
            <w:vAlign w:val="center"/>
          </w:tcPr>
          <w:p w14:paraId="6265562B">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0.45</w:t>
            </w:r>
            <w:r>
              <w:rPr>
                <w:rFonts w:ascii="Times New Roman" w:hAnsi="Times New Roman" w:cs="Times New Roman" w:eastAsiaTheme="minorEastAsia"/>
                <w:color w:val="auto"/>
                <w:w w:val="99"/>
                <w:sz w:val="21"/>
                <w:szCs w:val="21"/>
                <w:highlight w:val="none"/>
              </w:rPr>
              <w:t>t</w:t>
            </w:r>
          </w:p>
        </w:tc>
        <w:tc>
          <w:tcPr>
            <w:tcW w:w="1276" w:type="dxa"/>
            <w:vAlign w:val="center"/>
          </w:tcPr>
          <w:p w14:paraId="64A79AEB">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992" w:type="dxa"/>
            <w:vAlign w:val="center"/>
          </w:tcPr>
          <w:p w14:paraId="0CEF0769">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0.45</w:t>
            </w:r>
            <w:r>
              <w:rPr>
                <w:rFonts w:ascii="Times New Roman" w:hAnsi="Times New Roman" w:cs="Times New Roman" w:eastAsiaTheme="minorEastAsia"/>
                <w:color w:val="auto"/>
                <w:w w:val="99"/>
                <w:sz w:val="21"/>
                <w:szCs w:val="21"/>
                <w:highlight w:val="none"/>
              </w:rPr>
              <w:t>t</w:t>
            </w:r>
          </w:p>
        </w:tc>
        <w:tc>
          <w:tcPr>
            <w:tcW w:w="6631" w:type="dxa"/>
            <w:vAlign w:val="center"/>
          </w:tcPr>
          <w:p w14:paraId="48FBF90C">
            <w:pPr>
              <w:widowControl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统一收集后拉运至</w:t>
            </w:r>
            <w:r>
              <w:rPr>
                <w:rFonts w:hint="eastAsia" w:ascii="Times New Roman" w:hAnsi="Times New Roman" w:cs="Times New Roman" w:eastAsiaTheme="minorEastAsia"/>
                <w:snapToGrid w:val="0"/>
                <w:color w:val="auto"/>
                <w:w w:val="99"/>
                <w:sz w:val="21"/>
                <w:szCs w:val="21"/>
                <w:highlight w:val="none"/>
                <w:lang w:eastAsia="zh-CN"/>
              </w:rPr>
              <w:t>肇东北控环境再生能源有限公司</w:t>
            </w:r>
            <w:r>
              <w:rPr>
                <w:rFonts w:ascii="Times New Roman" w:hAnsi="Times New Roman" w:cs="Times New Roman" w:eastAsiaTheme="minorEastAsia"/>
                <w:snapToGrid w:val="0"/>
                <w:color w:val="auto"/>
                <w:w w:val="99"/>
                <w:sz w:val="21"/>
                <w:szCs w:val="21"/>
                <w:highlight w:val="none"/>
              </w:rPr>
              <w:t>处理</w:t>
            </w:r>
          </w:p>
        </w:tc>
      </w:tr>
      <w:tr w14:paraId="20035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378E0703">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2095" w:type="dxa"/>
            <w:shd w:val="clear" w:color="auto" w:fill="auto"/>
            <w:vAlign w:val="center"/>
          </w:tcPr>
          <w:p w14:paraId="5EAFC472">
            <w:pPr>
              <w:widowControl w:val="0"/>
              <w:spacing w:line="360" w:lineRule="exact"/>
              <w:jc w:val="center"/>
              <w:rPr>
                <w:rFonts w:ascii="Times New Roman" w:hAnsi="Times New Roman" w:cs="Times New Roman" w:eastAsiaTheme="minorEastAsia"/>
                <w:snapToGrid w:val="0"/>
                <w:color w:val="auto"/>
                <w:w w:val="99"/>
                <w:sz w:val="21"/>
                <w:szCs w:val="21"/>
                <w:highlight w:val="none"/>
                <w:lang w:val="en-US" w:eastAsia="zh-CN" w:bidi="ar-SA"/>
              </w:rPr>
            </w:pPr>
            <w:r>
              <w:rPr>
                <w:rFonts w:ascii="Times New Roman" w:hAnsi="Times New Roman" w:cs="Times New Roman" w:eastAsiaTheme="minorEastAsia"/>
                <w:snapToGrid w:val="0"/>
                <w:color w:val="auto"/>
                <w:w w:val="99"/>
                <w:sz w:val="21"/>
                <w:szCs w:val="21"/>
                <w:highlight w:val="none"/>
              </w:rPr>
              <w:t>施工废料</w:t>
            </w:r>
          </w:p>
        </w:tc>
        <w:tc>
          <w:tcPr>
            <w:tcW w:w="1134" w:type="dxa"/>
            <w:shd w:val="clear" w:color="auto" w:fill="auto"/>
            <w:vAlign w:val="center"/>
          </w:tcPr>
          <w:p w14:paraId="181038C3">
            <w:pPr>
              <w:widowControl w:val="0"/>
              <w:spacing w:line="360" w:lineRule="exact"/>
              <w:jc w:val="center"/>
              <w:rPr>
                <w:rFonts w:ascii="Times New Roman" w:hAnsi="Times New Roman" w:cs="Times New Roman" w:eastAsiaTheme="minorEastAsia"/>
                <w:snapToGrid w:val="0"/>
                <w:color w:val="auto"/>
                <w:w w:val="99"/>
                <w:sz w:val="21"/>
                <w:szCs w:val="21"/>
                <w:highlight w:val="none"/>
                <w:lang w:val="en-US" w:eastAsia="zh-CN" w:bidi="ar-SA"/>
              </w:rPr>
            </w:pPr>
            <w:r>
              <w:rPr>
                <w:rFonts w:ascii="Times New Roman" w:hAnsi="Times New Roman" w:cs="Times New Roman" w:eastAsiaTheme="minorEastAsia"/>
                <w:snapToGrid w:val="0"/>
                <w:color w:val="auto"/>
                <w:w w:val="99"/>
                <w:sz w:val="21"/>
                <w:szCs w:val="21"/>
                <w:highlight w:val="none"/>
              </w:rPr>
              <w:t>类比法</w:t>
            </w:r>
          </w:p>
        </w:tc>
        <w:tc>
          <w:tcPr>
            <w:tcW w:w="997" w:type="dxa"/>
            <w:shd w:val="clear" w:color="auto" w:fill="auto"/>
            <w:vAlign w:val="center"/>
          </w:tcPr>
          <w:p w14:paraId="415E412B">
            <w:pPr>
              <w:widowControl w:val="0"/>
              <w:spacing w:line="360" w:lineRule="exact"/>
              <w:jc w:val="center"/>
              <w:rPr>
                <w:rFonts w:ascii="Times New Roman" w:hAnsi="Times New Roman" w:cs="Times New Roman" w:eastAsiaTheme="minorEastAsia"/>
                <w:color w:val="auto"/>
                <w:w w:val="99"/>
                <w:sz w:val="21"/>
                <w:szCs w:val="21"/>
                <w:highlight w:val="none"/>
                <w:lang w:val="zh-CN" w:eastAsia="zh-CN" w:bidi="ar-SA"/>
              </w:rPr>
            </w:pPr>
            <w:r>
              <w:rPr>
                <w:rFonts w:hint="eastAsia" w:ascii="Times New Roman" w:hAnsi="Times New Roman" w:cs="Times New Roman" w:eastAsiaTheme="minorEastAsia"/>
                <w:color w:val="auto"/>
                <w:w w:val="99"/>
                <w:sz w:val="21"/>
                <w:szCs w:val="21"/>
                <w:highlight w:val="none"/>
                <w:lang w:val="en-US" w:eastAsia="zh-CN"/>
              </w:rPr>
              <w:t>0.04</w:t>
            </w:r>
            <w:r>
              <w:rPr>
                <w:rFonts w:ascii="Times New Roman" w:hAnsi="Times New Roman" w:cs="Times New Roman" w:eastAsiaTheme="minorEastAsia"/>
                <w:color w:val="auto"/>
                <w:w w:val="99"/>
                <w:sz w:val="21"/>
                <w:szCs w:val="21"/>
                <w:highlight w:val="none"/>
              </w:rPr>
              <w:t>t</w:t>
            </w:r>
          </w:p>
        </w:tc>
        <w:tc>
          <w:tcPr>
            <w:tcW w:w="1276" w:type="dxa"/>
            <w:shd w:val="clear" w:color="auto" w:fill="auto"/>
            <w:vAlign w:val="center"/>
          </w:tcPr>
          <w:p w14:paraId="57F6EE87">
            <w:pPr>
              <w:widowControl w:val="0"/>
              <w:spacing w:line="360" w:lineRule="exact"/>
              <w:jc w:val="center"/>
              <w:rPr>
                <w:rFonts w:ascii="Times New Roman" w:hAnsi="Times New Roman" w:cs="Times New Roman" w:eastAsiaTheme="minorEastAsia"/>
                <w:snapToGrid w:val="0"/>
                <w:color w:val="auto"/>
                <w:w w:val="99"/>
                <w:sz w:val="21"/>
                <w:szCs w:val="21"/>
                <w:highlight w:val="none"/>
                <w:lang w:val="en-US" w:eastAsia="zh-CN" w:bidi="ar-SA"/>
              </w:rPr>
            </w:pPr>
            <w:r>
              <w:rPr>
                <w:rFonts w:ascii="Times New Roman" w:hAnsi="Times New Roman" w:cs="Times New Roman" w:eastAsiaTheme="minorEastAsia"/>
                <w:snapToGrid w:val="0"/>
                <w:color w:val="auto"/>
                <w:w w:val="99"/>
                <w:sz w:val="21"/>
                <w:szCs w:val="21"/>
                <w:highlight w:val="none"/>
              </w:rPr>
              <w:t>填埋处理</w:t>
            </w:r>
          </w:p>
        </w:tc>
        <w:tc>
          <w:tcPr>
            <w:tcW w:w="992" w:type="dxa"/>
            <w:shd w:val="clear" w:color="auto" w:fill="auto"/>
            <w:vAlign w:val="center"/>
          </w:tcPr>
          <w:p w14:paraId="37299E11">
            <w:pPr>
              <w:widowControl w:val="0"/>
              <w:spacing w:line="360" w:lineRule="exact"/>
              <w:jc w:val="center"/>
              <w:rPr>
                <w:rFonts w:ascii="Times New Roman" w:hAnsi="Times New Roman" w:cs="Times New Roman" w:eastAsiaTheme="minorEastAsia"/>
                <w:color w:val="auto"/>
                <w:w w:val="99"/>
                <w:sz w:val="21"/>
                <w:szCs w:val="21"/>
                <w:highlight w:val="none"/>
                <w:lang w:val="zh-CN" w:eastAsia="zh-CN" w:bidi="ar-SA"/>
              </w:rPr>
            </w:pPr>
            <w:r>
              <w:rPr>
                <w:rFonts w:hint="eastAsia" w:ascii="Times New Roman" w:hAnsi="Times New Roman" w:cs="Times New Roman" w:eastAsiaTheme="minorEastAsia"/>
                <w:color w:val="auto"/>
                <w:w w:val="99"/>
                <w:sz w:val="21"/>
                <w:szCs w:val="21"/>
                <w:highlight w:val="none"/>
                <w:lang w:val="en-US" w:eastAsia="zh-CN"/>
              </w:rPr>
              <w:t>0.04</w:t>
            </w:r>
            <w:r>
              <w:rPr>
                <w:rFonts w:ascii="Times New Roman" w:hAnsi="Times New Roman" w:cs="Times New Roman" w:eastAsiaTheme="minorEastAsia"/>
                <w:color w:val="auto"/>
                <w:w w:val="99"/>
                <w:sz w:val="21"/>
                <w:szCs w:val="21"/>
                <w:highlight w:val="none"/>
              </w:rPr>
              <w:t>t</w:t>
            </w:r>
          </w:p>
        </w:tc>
        <w:tc>
          <w:tcPr>
            <w:tcW w:w="6631" w:type="dxa"/>
            <w:vAlign w:val="center"/>
          </w:tcPr>
          <w:p w14:paraId="52A1B0AA">
            <w:pPr>
              <w:widowControl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kern w:val="2"/>
                <w:sz w:val="21"/>
                <w:highlight w:val="none"/>
              </w:rPr>
              <w:t>由施工单位</w:t>
            </w:r>
            <w:r>
              <w:rPr>
                <w:rFonts w:ascii="Times New Roman" w:hAnsi="Times New Roman" w:cs="Times New Roman" w:eastAsiaTheme="minorEastAsia"/>
                <w:bCs/>
                <w:color w:val="auto"/>
                <w:w w:val="99"/>
                <w:kern w:val="2"/>
                <w:sz w:val="21"/>
                <w:highlight w:val="none"/>
              </w:rPr>
              <w:t>拉运至第八采油厂工业固废填埋场处理</w:t>
            </w:r>
          </w:p>
        </w:tc>
      </w:tr>
    </w:tbl>
    <w:p w14:paraId="53C5808A">
      <w:pPr>
        <w:pStyle w:val="153"/>
        <w:widowControl w:val="0"/>
        <w:spacing w:line="440" w:lineRule="exact"/>
        <w:ind w:firstLine="478"/>
        <w:jc w:val="both"/>
        <w:rPr>
          <w:rFonts w:ascii="Times New Roman" w:hAnsi="Times New Roman" w:eastAsiaTheme="minorEastAsia"/>
          <w:b/>
          <w:color w:val="auto"/>
          <w:w w:val="99"/>
          <w:highlight w:val="none"/>
        </w:rPr>
      </w:pPr>
      <w:r>
        <w:rPr>
          <w:rFonts w:ascii="Times New Roman" w:hAnsi="Times New Roman" w:eastAsiaTheme="minorEastAsia"/>
          <w:b/>
          <w:color w:val="auto"/>
          <w:w w:val="99"/>
          <w:kern w:val="2"/>
          <w:szCs w:val="20"/>
          <w:highlight w:val="none"/>
        </w:rPr>
        <w:t>表</w:t>
      </w:r>
      <w:r>
        <w:rPr>
          <w:rFonts w:hint="eastAsia" w:ascii="Times New Roman" w:hAnsi="Times New Roman" w:eastAsiaTheme="minorEastAsia"/>
          <w:b/>
          <w:color w:val="auto"/>
          <w:w w:val="99"/>
          <w:kern w:val="2"/>
          <w:szCs w:val="20"/>
          <w:highlight w:val="none"/>
          <w:lang w:eastAsia="zh-CN"/>
        </w:rPr>
        <w:t>3.1</w:t>
      </w:r>
      <w:r>
        <w:rPr>
          <w:rFonts w:hint="eastAsia" w:ascii="Times New Roman" w:hAnsi="Times New Roman" w:eastAsiaTheme="minorEastAsia"/>
          <w:b/>
          <w:color w:val="auto"/>
          <w:w w:val="99"/>
          <w:kern w:val="2"/>
          <w:szCs w:val="20"/>
          <w:highlight w:val="none"/>
          <w:lang w:val="en-US" w:eastAsia="zh-CN"/>
        </w:rPr>
        <w:t>0</w:t>
      </w:r>
      <w:r>
        <w:rPr>
          <w:rFonts w:ascii="Times New Roman" w:hAnsi="Times New Roman" w:eastAsiaTheme="minorEastAsia"/>
          <w:b/>
          <w:color w:val="auto"/>
          <w:w w:val="99"/>
          <w:kern w:val="2"/>
          <w:szCs w:val="20"/>
          <w:highlight w:val="none"/>
        </w:rPr>
        <w:t>-</w:t>
      </w:r>
      <w:r>
        <w:rPr>
          <w:rFonts w:ascii="Times New Roman" w:hAnsi="Times New Roman" w:eastAsiaTheme="minorEastAsia"/>
          <w:b/>
          <w:color w:val="auto"/>
          <w:w w:val="99"/>
          <w:highlight w:val="none"/>
        </w:rPr>
        <w:t>1</w:t>
      </w:r>
      <w:r>
        <w:rPr>
          <w:rFonts w:hint="eastAsia" w:ascii="Times New Roman" w:hAnsi="Times New Roman" w:eastAsiaTheme="minorEastAsia"/>
          <w:b/>
          <w:color w:val="auto"/>
          <w:w w:val="99"/>
          <w:highlight w:val="none"/>
          <w:lang w:val="en-US" w:eastAsia="zh-CN"/>
        </w:rPr>
        <w:t>5</w:t>
      </w:r>
      <w:r>
        <w:rPr>
          <w:rFonts w:ascii="Times New Roman" w:hAnsi="Times New Roman" w:eastAsiaTheme="minorEastAsia"/>
          <w:b/>
          <w:color w:val="auto"/>
          <w:w w:val="99"/>
          <w:highlight w:val="none"/>
        </w:rPr>
        <w:t xml:space="preserve">    运营期</w:t>
      </w:r>
      <w:r>
        <w:rPr>
          <w:rFonts w:ascii="Times New Roman" w:hAnsi="Times New Roman" w:eastAsiaTheme="minorEastAsia"/>
          <w:b/>
          <w:color w:val="auto"/>
          <w:w w:val="99"/>
          <w:kern w:val="21"/>
          <w:highlight w:val="none"/>
        </w:rPr>
        <w:t>废气</w:t>
      </w:r>
      <w:r>
        <w:rPr>
          <w:rFonts w:ascii="Times New Roman" w:hAnsi="Times New Roman" w:eastAsiaTheme="minorEastAsia"/>
          <w:b/>
          <w:color w:val="auto"/>
          <w:w w:val="99"/>
          <w:highlight w:val="none"/>
        </w:rPr>
        <w:t>污染源源强核算结果及相关参数一览表</w:t>
      </w:r>
    </w:p>
    <w:tbl>
      <w:tblPr>
        <w:tblStyle w:val="80"/>
        <w:tblW w:w="140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9"/>
        <w:gridCol w:w="1560"/>
        <w:gridCol w:w="992"/>
        <w:gridCol w:w="850"/>
        <w:gridCol w:w="1271"/>
        <w:gridCol w:w="861"/>
        <w:gridCol w:w="708"/>
        <w:gridCol w:w="988"/>
        <w:gridCol w:w="567"/>
        <w:gridCol w:w="567"/>
        <w:gridCol w:w="1275"/>
        <w:gridCol w:w="814"/>
        <w:gridCol w:w="746"/>
        <w:gridCol w:w="992"/>
        <w:gridCol w:w="682"/>
      </w:tblGrid>
      <w:tr w14:paraId="031EF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dxa"/>
            <w:vMerge w:val="restart"/>
            <w:vAlign w:val="center"/>
          </w:tcPr>
          <w:p w14:paraId="5AE11B87">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工序</w:t>
            </w:r>
          </w:p>
        </w:tc>
        <w:tc>
          <w:tcPr>
            <w:tcW w:w="1560" w:type="dxa"/>
            <w:vMerge w:val="restart"/>
            <w:vAlign w:val="center"/>
          </w:tcPr>
          <w:p w14:paraId="08E9EB61">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装置</w:t>
            </w:r>
          </w:p>
        </w:tc>
        <w:tc>
          <w:tcPr>
            <w:tcW w:w="992" w:type="dxa"/>
            <w:vMerge w:val="restart"/>
            <w:vAlign w:val="center"/>
          </w:tcPr>
          <w:p w14:paraId="71DC934A">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污染源</w:t>
            </w:r>
          </w:p>
        </w:tc>
        <w:tc>
          <w:tcPr>
            <w:tcW w:w="850" w:type="dxa"/>
            <w:vMerge w:val="restart"/>
            <w:vAlign w:val="center"/>
          </w:tcPr>
          <w:p w14:paraId="360B691B">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w:t>
            </w:r>
          </w:p>
        </w:tc>
        <w:tc>
          <w:tcPr>
            <w:tcW w:w="3828" w:type="dxa"/>
            <w:gridSpan w:val="4"/>
            <w:vAlign w:val="center"/>
          </w:tcPr>
          <w:p w14:paraId="6ECC07F3">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污染物产生</w:t>
            </w:r>
          </w:p>
        </w:tc>
        <w:tc>
          <w:tcPr>
            <w:tcW w:w="1134" w:type="dxa"/>
            <w:gridSpan w:val="2"/>
            <w:vAlign w:val="center"/>
          </w:tcPr>
          <w:p w14:paraId="2459D8A2">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治理措施</w:t>
            </w:r>
          </w:p>
        </w:tc>
        <w:tc>
          <w:tcPr>
            <w:tcW w:w="3827" w:type="dxa"/>
            <w:gridSpan w:val="4"/>
            <w:vAlign w:val="center"/>
          </w:tcPr>
          <w:p w14:paraId="25D8934C">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污染物排放</w:t>
            </w:r>
          </w:p>
        </w:tc>
        <w:tc>
          <w:tcPr>
            <w:tcW w:w="682" w:type="dxa"/>
            <w:vMerge w:val="restart"/>
            <w:vAlign w:val="center"/>
          </w:tcPr>
          <w:p w14:paraId="0097994A">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w:t>
            </w:r>
          </w:p>
          <w:p w14:paraId="52E054B8">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时间/h</w:t>
            </w:r>
          </w:p>
        </w:tc>
      </w:tr>
      <w:tr w14:paraId="29893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dxa"/>
            <w:vMerge w:val="continue"/>
            <w:vAlign w:val="center"/>
          </w:tcPr>
          <w:p w14:paraId="54FBA719">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1560" w:type="dxa"/>
            <w:vMerge w:val="continue"/>
            <w:vAlign w:val="center"/>
          </w:tcPr>
          <w:p w14:paraId="554647D2">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992" w:type="dxa"/>
            <w:vMerge w:val="continue"/>
            <w:vAlign w:val="center"/>
          </w:tcPr>
          <w:p w14:paraId="043E16B0">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850" w:type="dxa"/>
            <w:vMerge w:val="continue"/>
            <w:vAlign w:val="center"/>
          </w:tcPr>
          <w:p w14:paraId="5CF917C8">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1271" w:type="dxa"/>
            <w:vAlign w:val="center"/>
          </w:tcPr>
          <w:p w14:paraId="5B123630">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861" w:type="dxa"/>
            <w:vAlign w:val="center"/>
          </w:tcPr>
          <w:p w14:paraId="64B5A3CE">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废气产生量万m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/a</w:t>
            </w:r>
          </w:p>
        </w:tc>
        <w:tc>
          <w:tcPr>
            <w:tcW w:w="708" w:type="dxa"/>
            <w:vAlign w:val="center"/>
          </w:tcPr>
          <w:p w14:paraId="275A03E8">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产生浓度mg/m</w:t>
            </w:r>
            <w:r>
              <w:rPr>
                <w:rFonts w:ascii="Times New Roman" w:hAnsi="Times New Roman" w:cs="Times New Roman" w:eastAsiaTheme="minorEastAsia"/>
                <w:color w:val="auto"/>
                <w:w w:val="99"/>
                <w:sz w:val="21"/>
                <w:szCs w:val="21"/>
                <w:highlight w:val="none"/>
                <w:vertAlign w:val="superscript"/>
              </w:rPr>
              <w:t>3</w:t>
            </w:r>
          </w:p>
        </w:tc>
        <w:tc>
          <w:tcPr>
            <w:tcW w:w="988" w:type="dxa"/>
            <w:vAlign w:val="center"/>
          </w:tcPr>
          <w:p w14:paraId="4354AE9A">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产生量</w:t>
            </w:r>
          </w:p>
          <w:p w14:paraId="22BB2330">
            <w:pPr>
              <w:widowControl w:val="0"/>
              <w:autoSpaceDE w:val="0"/>
              <w:autoSpaceDN w:val="0"/>
              <w:adjustRightInd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t/a</w:t>
            </w:r>
          </w:p>
        </w:tc>
        <w:tc>
          <w:tcPr>
            <w:tcW w:w="567" w:type="dxa"/>
            <w:vAlign w:val="center"/>
          </w:tcPr>
          <w:p w14:paraId="0041A8BB">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工艺</w:t>
            </w:r>
          </w:p>
        </w:tc>
        <w:tc>
          <w:tcPr>
            <w:tcW w:w="567" w:type="dxa"/>
            <w:vAlign w:val="center"/>
          </w:tcPr>
          <w:p w14:paraId="71F2BB90">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效率/%</w:t>
            </w:r>
          </w:p>
        </w:tc>
        <w:tc>
          <w:tcPr>
            <w:tcW w:w="1275" w:type="dxa"/>
            <w:vAlign w:val="center"/>
          </w:tcPr>
          <w:p w14:paraId="081274E9">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814" w:type="dxa"/>
            <w:vAlign w:val="center"/>
          </w:tcPr>
          <w:p w14:paraId="471BB83B">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废气排放量万m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/a</w:t>
            </w:r>
          </w:p>
        </w:tc>
        <w:tc>
          <w:tcPr>
            <w:tcW w:w="746" w:type="dxa"/>
            <w:vAlign w:val="center"/>
          </w:tcPr>
          <w:p w14:paraId="0D778202">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排放浓度mg/m</w:t>
            </w:r>
            <w:r>
              <w:rPr>
                <w:rFonts w:ascii="Times New Roman" w:hAnsi="Times New Roman" w:cs="Times New Roman" w:eastAsiaTheme="minorEastAsia"/>
                <w:color w:val="auto"/>
                <w:w w:val="99"/>
                <w:sz w:val="21"/>
                <w:szCs w:val="21"/>
                <w:highlight w:val="none"/>
                <w:vertAlign w:val="superscript"/>
              </w:rPr>
              <w:t>3</w:t>
            </w:r>
          </w:p>
        </w:tc>
        <w:tc>
          <w:tcPr>
            <w:tcW w:w="992" w:type="dxa"/>
            <w:vAlign w:val="center"/>
          </w:tcPr>
          <w:p w14:paraId="3CC340A6">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排放量t/a</w:t>
            </w:r>
          </w:p>
        </w:tc>
        <w:tc>
          <w:tcPr>
            <w:tcW w:w="682" w:type="dxa"/>
            <w:vMerge w:val="continue"/>
            <w:vAlign w:val="center"/>
          </w:tcPr>
          <w:p w14:paraId="2993E371">
            <w:pPr>
              <w:widowControl w:val="0"/>
              <w:spacing w:line="280" w:lineRule="exact"/>
              <w:jc w:val="center"/>
              <w:rPr>
                <w:rFonts w:ascii="Times New Roman" w:hAnsi="Times New Roman" w:cs="Times New Roman" w:eastAsiaTheme="minorEastAsia"/>
                <w:color w:val="auto"/>
                <w:w w:val="99"/>
                <w:sz w:val="21"/>
                <w:szCs w:val="21"/>
                <w:highlight w:val="none"/>
              </w:rPr>
            </w:pPr>
          </w:p>
        </w:tc>
      </w:tr>
      <w:tr w14:paraId="395F5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dxa"/>
            <w:vAlign w:val="center"/>
          </w:tcPr>
          <w:p w14:paraId="0FF4F00F">
            <w:pPr>
              <w:widowControl w:val="0"/>
              <w:spacing w:line="28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天然气</w:t>
            </w:r>
            <w:r>
              <w:rPr>
                <w:rFonts w:ascii="Times New Roman" w:hAnsi="Times New Roman" w:cs="Times New Roman" w:eastAsiaTheme="minorEastAsia"/>
                <w:color w:val="auto"/>
                <w:w w:val="99"/>
                <w:sz w:val="21"/>
                <w:szCs w:val="21"/>
                <w:highlight w:val="none"/>
              </w:rPr>
              <w:t>开采</w:t>
            </w:r>
          </w:p>
        </w:tc>
        <w:tc>
          <w:tcPr>
            <w:tcW w:w="1560" w:type="dxa"/>
            <w:vAlign w:val="center"/>
          </w:tcPr>
          <w:p w14:paraId="42AA18E2">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井场、场站</w:t>
            </w:r>
          </w:p>
        </w:tc>
        <w:tc>
          <w:tcPr>
            <w:tcW w:w="992" w:type="dxa"/>
            <w:vAlign w:val="center"/>
          </w:tcPr>
          <w:p w14:paraId="1289811A">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井场无组织排放</w:t>
            </w:r>
          </w:p>
        </w:tc>
        <w:tc>
          <w:tcPr>
            <w:tcW w:w="850" w:type="dxa"/>
            <w:vAlign w:val="center"/>
          </w:tcPr>
          <w:p w14:paraId="402A849B">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非甲烷总烃</w:t>
            </w:r>
          </w:p>
        </w:tc>
        <w:tc>
          <w:tcPr>
            <w:tcW w:w="1271" w:type="dxa"/>
            <w:vAlign w:val="center"/>
          </w:tcPr>
          <w:p w14:paraId="3A2E170F">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产污系数法</w:t>
            </w:r>
          </w:p>
        </w:tc>
        <w:tc>
          <w:tcPr>
            <w:tcW w:w="861" w:type="dxa"/>
            <w:vAlign w:val="center"/>
          </w:tcPr>
          <w:p w14:paraId="153771BE">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708" w:type="dxa"/>
            <w:vAlign w:val="center"/>
          </w:tcPr>
          <w:p w14:paraId="0B1350F5">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988" w:type="dxa"/>
            <w:vAlign w:val="center"/>
          </w:tcPr>
          <w:p w14:paraId="7F156CB0">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11.66</w:t>
            </w:r>
          </w:p>
        </w:tc>
        <w:tc>
          <w:tcPr>
            <w:tcW w:w="567" w:type="dxa"/>
            <w:vAlign w:val="center"/>
          </w:tcPr>
          <w:p w14:paraId="73F7AA26">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w:t>
            </w:r>
          </w:p>
        </w:tc>
        <w:tc>
          <w:tcPr>
            <w:tcW w:w="567" w:type="dxa"/>
            <w:vAlign w:val="center"/>
          </w:tcPr>
          <w:p w14:paraId="7F476AB6">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1275" w:type="dxa"/>
            <w:vAlign w:val="center"/>
          </w:tcPr>
          <w:p w14:paraId="71D5D282">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产污系数法</w:t>
            </w:r>
          </w:p>
        </w:tc>
        <w:tc>
          <w:tcPr>
            <w:tcW w:w="814" w:type="dxa"/>
            <w:vAlign w:val="center"/>
          </w:tcPr>
          <w:p w14:paraId="32F9B1F3">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746" w:type="dxa"/>
            <w:vAlign w:val="center"/>
          </w:tcPr>
          <w:p w14:paraId="302C8055">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992" w:type="dxa"/>
            <w:vAlign w:val="center"/>
          </w:tcPr>
          <w:p w14:paraId="36441A8A">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rPr>
            </w:pPr>
            <w:r>
              <w:rPr>
                <w:rFonts w:hint="eastAsia" w:ascii="Times New Roman" w:hAnsi="Times New Roman" w:cs="Times New Roman" w:eastAsiaTheme="minorEastAsia"/>
                <w:snapToGrid w:val="0"/>
                <w:color w:val="auto"/>
                <w:w w:val="99"/>
                <w:sz w:val="21"/>
                <w:szCs w:val="21"/>
                <w:highlight w:val="none"/>
                <w:lang w:val="en-US" w:eastAsia="zh-CN"/>
              </w:rPr>
              <w:t>11.66</w:t>
            </w:r>
          </w:p>
        </w:tc>
        <w:tc>
          <w:tcPr>
            <w:tcW w:w="682" w:type="dxa"/>
            <w:vAlign w:val="center"/>
          </w:tcPr>
          <w:p w14:paraId="6DBAFBEB">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8760</w:t>
            </w:r>
          </w:p>
        </w:tc>
      </w:tr>
      <w:tr w14:paraId="01C64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dxa"/>
            <w:vAlign w:val="center"/>
          </w:tcPr>
          <w:p w14:paraId="4D1E8B65">
            <w:pPr>
              <w:widowControl w:val="0"/>
              <w:spacing w:line="28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天然气</w:t>
            </w:r>
            <w:r>
              <w:rPr>
                <w:rFonts w:ascii="Times New Roman" w:hAnsi="Times New Roman" w:cs="Times New Roman" w:eastAsiaTheme="minorEastAsia"/>
                <w:color w:val="auto"/>
                <w:w w:val="99"/>
                <w:sz w:val="21"/>
                <w:szCs w:val="21"/>
                <w:highlight w:val="none"/>
              </w:rPr>
              <w:t>集输、油气处理</w:t>
            </w:r>
          </w:p>
        </w:tc>
        <w:tc>
          <w:tcPr>
            <w:tcW w:w="1560" w:type="dxa"/>
            <w:vAlign w:val="center"/>
          </w:tcPr>
          <w:p w14:paraId="27D67BFB">
            <w:pPr>
              <w:widowControl w:val="0"/>
              <w:spacing w:line="28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spacing w:val="-20"/>
                <w:w w:val="99"/>
                <w:sz w:val="21"/>
                <w:szCs w:val="21"/>
                <w:highlight w:val="none"/>
              </w:rPr>
              <w:t>井场及场站</w:t>
            </w:r>
          </w:p>
        </w:tc>
        <w:tc>
          <w:tcPr>
            <w:tcW w:w="992" w:type="dxa"/>
            <w:vAlign w:val="center"/>
          </w:tcPr>
          <w:p w14:paraId="6A5F214D">
            <w:pPr>
              <w:widowControl w:val="0"/>
              <w:spacing w:line="28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spacing w:val="-20"/>
                <w:w w:val="99"/>
                <w:sz w:val="21"/>
                <w:szCs w:val="21"/>
                <w:highlight w:val="none"/>
              </w:rPr>
              <w:t>井场及场站无组织排放</w:t>
            </w:r>
          </w:p>
        </w:tc>
        <w:tc>
          <w:tcPr>
            <w:tcW w:w="850" w:type="dxa"/>
            <w:vAlign w:val="center"/>
          </w:tcPr>
          <w:p w14:paraId="5E8D6DFF">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温室气体</w:t>
            </w:r>
          </w:p>
        </w:tc>
        <w:tc>
          <w:tcPr>
            <w:tcW w:w="3828" w:type="dxa"/>
            <w:gridSpan w:val="4"/>
            <w:vAlign w:val="center"/>
          </w:tcPr>
          <w:p w14:paraId="72C1C678">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少量</w:t>
            </w:r>
          </w:p>
        </w:tc>
        <w:tc>
          <w:tcPr>
            <w:tcW w:w="567" w:type="dxa"/>
            <w:vAlign w:val="center"/>
          </w:tcPr>
          <w:p w14:paraId="0EE7ECF2">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密闭集输</w:t>
            </w:r>
          </w:p>
        </w:tc>
        <w:tc>
          <w:tcPr>
            <w:tcW w:w="567" w:type="dxa"/>
            <w:vAlign w:val="center"/>
          </w:tcPr>
          <w:p w14:paraId="7279C36C">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75" w:type="dxa"/>
            <w:vAlign w:val="center"/>
          </w:tcPr>
          <w:p w14:paraId="444AF953">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814" w:type="dxa"/>
            <w:vAlign w:val="center"/>
          </w:tcPr>
          <w:p w14:paraId="0B4BBEFF">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746" w:type="dxa"/>
            <w:vAlign w:val="center"/>
          </w:tcPr>
          <w:p w14:paraId="73EAE7F1">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992" w:type="dxa"/>
            <w:vAlign w:val="center"/>
          </w:tcPr>
          <w:p w14:paraId="15D1084E">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682" w:type="dxa"/>
            <w:vAlign w:val="center"/>
          </w:tcPr>
          <w:p w14:paraId="0F3866A4">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r>
      <w:tr w14:paraId="78CCB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dxa"/>
            <w:vMerge w:val="restart"/>
            <w:vAlign w:val="center"/>
          </w:tcPr>
          <w:p w14:paraId="2FA8B80C">
            <w:pPr>
              <w:widowControl w:val="0"/>
              <w:spacing w:line="28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天然气</w:t>
            </w:r>
            <w:r>
              <w:rPr>
                <w:rFonts w:ascii="Times New Roman" w:hAnsi="Times New Roman" w:cs="Times New Roman" w:eastAsiaTheme="minorEastAsia"/>
                <w:color w:val="auto"/>
                <w:w w:val="99"/>
                <w:sz w:val="21"/>
                <w:szCs w:val="21"/>
                <w:highlight w:val="none"/>
              </w:rPr>
              <w:t>处理</w:t>
            </w:r>
          </w:p>
        </w:tc>
        <w:tc>
          <w:tcPr>
            <w:tcW w:w="1560" w:type="dxa"/>
            <w:vMerge w:val="restart"/>
            <w:vAlign w:val="center"/>
          </w:tcPr>
          <w:p w14:paraId="76A95F41">
            <w:pPr>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eastAsia="宋体" w:cs="Times New Roman"/>
                <w:color w:val="auto"/>
                <w:w w:val="99"/>
                <w:kern w:val="2"/>
                <w:sz w:val="21"/>
                <w:szCs w:val="21"/>
                <w:highlight w:val="none"/>
                <w:lang w:val="en-US" w:eastAsia="zh-CN" w:bidi="ar-SA"/>
              </w:rPr>
              <w:t>徐深</w:t>
            </w:r>
            <w:r>
              <w:rPr>
                <w:rFonts w:hint="eastAsia" w:ascii="Times New Roman" w:hAnsi="Times New Roman" w:cs="Times New Roman"/>
                <w:color w:val="auto"/>
                <w:w w:val="99"/>
                <w:kern w:val="2"/>
                <w:sz w:val="21"/>
                <w:szCs w:val="21"/>
                <w:highlight w:val="none"/>
                <w:lang w:val="en-US" w:eastAsia="zh-CN" w:bidi="ar-SA"/>
              </w:rPr>
              <w:t>27</w:t>
            </w:r>
            <w:r>
              <w:rPr>
                <w:rFonts w:ascii="Times New Roman" w:hAnsi="Times New Roman" w:eastAsia="宋体" w:cs="Times New Roman"/>
                <w:color w:val="auto"/>
                <w:w w:val="99"/>
                <w:kern w:val="2"/>
                <w:sz w:val="21"/>
                <w:szCs w:val="21"/>
                <w:highlight w:val="none"/>
                <w:lang w:val="en-US" w:eastAsia="zh-CN" w:bidi="ar-SA"/>
              </w:rPr>
              <w:t>集气站</w:t>
            </w:r>
          </w:p>
        </w:tc>
        <w:tc>
          <w:tcPr>
            <w:tcW w:w="992" w:type="dxa"/>
            <w:vMerge w:val="restart"/>
            <w:vAlign w:val="center"/>
          </w:tcPr>
          <w:p w14:paraId="5AB8289D">
            <w:pPr>
              <w:widowControl w:val="0"/>
              <w:spacing w:line="28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spacing w:val="-20"/>
                <w:w w:val="99"/>
                <w:sz w:val="21"/>
                <w:szCs w:val="21"/>
                <w:highlight w:val="none"/>
              </w:rPr>
              <w:t>加热炉</w:t>
            </w:r>
          </w:p>
        </w:tc>
        <w:tc>
          <w:tcPr>
            <w:tcW w:w="850" w:type="dxa"/>
            <w:vAlign w:val="center"/>
          </w:tcPr>
          <w:p w14:paraId="65FAED5E">
            <w:pPr>
              <w:pStyle w:val="103"/>
              <w:spacing w:line="28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2</w:t>
            </w:r>
          </w:p>
        </w:tc>
        <w:tc>
          <w:tcPr>
            <w:tcW w:w="1271" w:type="dxa"/>
            <w:vMerge w:val="restart"/>
            <w:tcBorders>
              <w:right w:val="single" w:color="auto" w:sz="4" w:space="0"/>
            </w:tcBorders>
            <w:vAlign w:val="center"/>
          </w:tcPr>
          <w:p w14:paraId="66712349">
            <w:pPr>
              <w:widowControl w:val="0"/>
              <w:spacing w:line="28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color w:val="auto"/>
                <w:spacing w:val="-20"/>
                <w:w w:val="99"/>
                <w:kern w:val="2"/>
                <w:sz w:val="21"/>
                <w:szCs w:val="21"/>
                <w:highlight w:val="none"/>
              </w:rPr>
              <w:t>类比法</w:t>
            </w:r>
          </w:p>
        </w:tc>
        <w:tc>
          <w:tcPr>
            <w:tcW w:w="861" w:type="dxa"/>
            <w:vMerge w:val="restart"/>
            <w:tcBorders>
              <w:left w:val="single" w:color="auto" w:sz="4" w:space="0"/>
              <w:right w:val="single" w:color="auto" w:sz="4" w:space="0"/>
            </w:tcBorders>
            <w:vAlign w:val="center"/>
          </w:tcPr>
          <w:p w14:paraId="1D639631">
            <w:pPr>
              <w:widowControl w:val="0"/>
              <w:spacing w:line="28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98.88</w:t>
            </w:r>
          </w:p>
        </w:tc>
        <w:tc>
          <w:tcPr>
            <w:tcW w:w="708" w:type="dxa"/>
            <w:tcBorders>
              <w:left w:val="single" w:color="auto" w:sz="4" w:space="0"/>
              <w:right w:val="single" w:color="auto" w:sz="4" w:space="0"/>
            </w:tcBorders>
            <w:vAlign w:val="center"/>
          </w:tcPr>
          <w:p w14:paraId="10859425">
            <w:pPr>
              <w:pStyle w:val="103"/>
              <w:spacing w:line="28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w:t>
            </w:r>
          </w:p>
        </w:tc>
        <w:tc>
          <w:tcPr>
            <w:tcW w:w="988" w:type="dxa"/>
            <w:tcBorders>
              <w:left w:val="single" w:color="auto" w:sz="4" w:space="0"/>
            </w:tcBorders>
            <w:vAlign w:val="center"/>
          </w:tcPr>
          <w:p w14:paraId="6F9107B6">
            <w:pPr>
              <w:pStyle w:val="103"/>
              <w:spacing w:line="28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w:t>
            </w:r>
          </w:p>
        </w:tc>
        <w:tc>
          <w:tcPr>
            <w:tcW w:w="567" w:type="dxa"/>
            <w:vAlign w:val="center"/>
          </w:tcPr>
          <w:p w14:paraId="29E1BAC5">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567" w:type="dxa"/>
            <w:vAlign w:val="center"/>
          </w:tcPr>
          <w:p w14:paraId="53C6CF89">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75" w:type="dxa"/>
            <w:vMerge w:val="restart"/>
            <w:vAlign w:val="center"/>
          </w:tcPr>
          <w:p w14:paraId="0D14AEE9">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color w:val="auto"/>
                <w:spacing w:val="-20"/>
                <w:w w:val="99"/>
                <w:kern w:val="2"/>
                <w:sz w:val="21"/>
                <w:szCs w:val="21"/>
                <w:highlight w:val="none"/>
              </w:rPr>
              <w:t>类比法</w:t>
            </w:r>
          </w:p>
        </w:tc>
        <w:tc>
          <w:tcPr>
            <w:tcW w:w="814" w:type="dxa"/>
            <w:vMerge w:val="restart"/>
            <w:vAlign w:val="center"/>
          </w:tcPr>
          <w:p w14:paraId="6D86E8F3">
            <w:pPr>
              <w:widowControl w:val="0"/>
              <w:spacing w:line="28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98.88</w:t>
            </w:r>
          </w:p>
        </w:tc>
        <w:tc>
          <w:tcPr>
            <w:tcW w:w="746" w:type="dxa"/>
            <w:vAlign w:val="center"/>
          </w:tcPr>
          <w:p w14:paraId="6BA396FB">
            <w:pPr>
              <w:pStyle w:val="103"/>
              <w:spacing w:line="280" w:lineRule="exact"/>
              <w:ind w:firstLine="0" w:firstLineChars="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w:t>
            </w:r>
          </w:p>
        </w:tc>
        <w:tc>
          <w:tcPr>
            <w:tcW w:w="992" w:type="dxa"/>
            <w:vAlign w:val="center"/>
          </w:tcPr>
          <w:p w14:paraId="7DE3F9D1">
            <w:pPr>
              <w:pStyle w:val="103"/>
              <w:spacing w:line="280" w:lineRule="exact"/>
              <w:ind w:firstLine="0" w:firstLineChars="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w:t>
            </w:r>
          </w:p>
        </w:tc>
        <w:tc>
          <w:tcPr>
            <w:tcW w:w="682" w:type="dxa"/>
            <w:vMerge w:val="restart"/>
            <w:vAlign w:val="center"/>
          </w:tcPr>
          <w:p w14:paraId="2DF3B0A7">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8760</w:t>
            </w:r>
          </w:p>
        </w:tc>
      </w:tr>
      <w:tr w14:paraId="4D78A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dxa"/>
            <w:vMerge w:val="continue"/>
            <w:vAlign w:val="center"/>
          </w:tcPr>
          <w:p w14:paraId="605D0B74">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1560" w:type="dxa"/>
            <w:vMerge w:val="continue"/>
            <w:vAlign w:val="center"/>
          </w:tcPr>
          <w:p w14:paraId="6C8D5474">
            <w:pPr>
              <w:spacing w:line="280" w:lineRule="exact"/>
              <w:jc w:val="center"/>
              <w:rPr>
                <w:rFonts w:ascii="Times New Roman" w:hAnsi="Times New Roman" w:cs="Times New Roman" w:eastAsiaTheme="minorEastAsia"/>
                <w:color w:val="auto"/>
                <w:w w:val="99"/>
                <w:sz w:val="21"/>
                <w:szCs w:val="21"/>
                <w:highlight w:val="none"/>
              </w:rPr>
            </w:pPr>
          </w:p>
        </w:tc>
        <w:tc>
          <w:tcPr>
            <w:tcW w:w="992" w:type="dxa"/>
            <w:vMerge w:val="continue"/>
            <w:vAlign w:val="center"/>
          </w:tcPr>
          <w:p w14:paraId="04EDD4E3">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850" w:type="dxa"/>
            <w:vAlign w:val="center"/>
          </w:tcPr>
          <w:p w14:paraId="330CCDED">
            <w:pPr>
              <w:pStyle w:val="103"/>
              <w:spacing w:line="28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NO</w:t>
            </w:r>
            <w:r>
              <w:rPr>
                <w:rFonts w:ascii="Times New Roman" w:hAnsi="Times New Roman" w:cs="Times New Roman" w:eastAsiaTheme="minorEastAsia"/>
                <w:color w:val="auto"/>
                <w:w w:val="99"/>
                <w:sz w:val="21"/>
                <w:szCs w:val="21"/>
                <w:highlight w:val="none"/>
                <w:vertAlign w:val="subscript"/>
              </w:rPr>
              <w:t>x</w:t>
            </w:r>
            <w:r>
              <w:rPr>
                <w:rFonts w:ascii="Times New Roman" w:hAnsi="Times New Roman" w:cs="Times New Roman" w:eastAsiaTheme="minorEastAsia"/>
                <w:color w:val="auto"/>
                <w:w w:val="99"/>
                <w:sz w:val="21"/>
                <w:szCs w:val="21"/>
                <w:highlight w:val="none"/>
              </w:rPr>
              <w:t xml:space="preserve"> </w:t>
            </w:r>
          </w:p>
        </w:tc>
        <w:tc>
          <w:tcPr>
            <w:tcW w:w="1271" w:type="dxa"/>
            <w:vMerge w:val="continue"/>
            <w:vAlign w:val="center"/>
          </w:tcPr>
          <w:p w14:paraId="0D44BF30">
            <w:pPr>
              <w:widowControl w:val="0"/>
              <w:spacing w:line="280" w:lineRule="exact"/>
              <w:jc w:val="center"/>
              <w:rPr>
                <w:rFonts w:ascii="Times New Roman" w:hAnsi="Times New Roman" w:cs="Times New Roman" w:eastAsiaTheme="minorEastAsia"/>
                <w:color w:val="auto"/>
                <w:spacing w:val="-20"/>
                <w:w w:val="99"/>
                <w:sz w:val="21"/>
                <w:szCs w:val="21"/>
                <w:highlight w:val="none"/>
              </w:rPr>
            </w:pPr>
          </w:p>
        </w:tc>
        <w:tc>
          <w:tcPr>
            <w:tcW w:w="861" w:type="dxa"/>
            <w:vMerge w:val="continue"/>
            <w:tcBorders>
              <w:left w:val="single" w:color="auto" w:sz="4" w:space="0"/>
              <w:right w:val="single" w:color="auto" w:sz="4" w:space="0"/>
            </w:tcBorders>
            <w:vAlign w:val="center"/>
          </w:tcPr>
          <w:p w14:paraId="3535C3D6">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708" w:type="dxa"/>
            <w:vAlign w:val="center"/>
          </w:tcPr>
          <w:p w14:paraId="136F5FF9">
            <w:pPr>
              <w:pStyle w:val="103"/>
              <w:spacing w:line="28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58</w:t>
            </w:r>
          </w:p>
        </w:tc>
        <w:tc>
          <w:tcPr>
            <w:tcW w:w="988" w:type="dxa"/>
            <w:vAlign w:val="center"/>
          </w:tcPr>
          <w:p w14:paraId="32C19E03">
            <w:pPr>
              <w:pStyle w:val="103"/>
              <w:spacing w:line="280" w:lineRule="exact"/>
              <w:ind w:firstLine="0"/>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0.057</w:t>
            </w:r>
          </w:p>
        </w:tc>
        <w:tc>
          <w:tcPr>
            <w:tcW w:w="567" w:type="dxa"/>
            <w:vAlign w:val="center"/>
          </w:tcPr>
          <w:p w14:paraId="48D7A8AA">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567" w:type="dxa"/>
            <w:vAlign w:val="center"/>
          </w:tcPr>
          <w:p w14:paraId="146E57DA">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75" w:type="dxa"/>
            <w:vMerge w:val="continue"/>
            <w:vAlign w:val="center"/>
          </w:tcPr>
          <w:p w14:paraId="682D14B8">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814" w:type="dxa"/>
            <w:vMerge w:val="continue"/>
            <w:vAlign w:val="center"/>
          </w:tcPr>
          <w:p w14:paraId="2480BE79">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746" w:type="dxa"/>
            <w:vAlign w:val="center"/>
          </w:tcPr>
          <w:p w14:paraId="7A17E372">
            <w:pPr>
              <w:pStyle w:val="103"/>
              <w:spacing w:line="280" w:lineRule="exact"/>
              <w:ind w:firstLine="0" w:firstLineChars="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58</w:t>
            </w:r>
          </w:p>
        </w:tc>
        <w:tc>
          <w:tcPr>
            <w:tcW w:w="992" w:type="dxa"/>
            <w:vAlign w:val="center"/>
          </w:tcPr>
          <w:p w14:paraId="017D952A">
            <w:pPr>
              <w:pStyle w:val="103"/>
              <w:spacing w:line="280" w:lineRule="exact"/>
              <w:ind w:firstLine="0" w:firstLineChars="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color w:val="auto"/>
                <w:w w:val="99"/>
                <w:sz w:val="21"/>
                <w:szCs w:val="21"/>
                <w:highlight w:val="none"/>
                <w:lang w:val="en-US" w:eastAsia="zh-CN"/>
              </w:rPr>
              <w:t>0.057</w:t>
            </w:r>
          </w:p>
        </w:tc>
        <w:tc>
          <w:tcPr>
            <w:tcW w:w="682" w:type="dxa"/>
            <w:vMerge w:val="continue"/>
            <w:vAlign w:val="center"/>
          </w:tcPr>
          <w:p w14:paraId="49D00C67">
            <w:pPr>
              <w:widowControl w:val="0"/>
              <w:spacing w:line="280" w:lineRule="exact"/>
              <w:jc w:val="center"/>
              <w:rPr>
                <w:rFonts w:ascii="Times New Roman" w:hAnsi="Times New Roman" w:cs="Times New Roman" w:eastAsiaTheme="minorEastAsia"/>
                <w:color w:val="auto"/>
                <w:w w:val="99"/>
                <w:sz w:val="21"/>
                <w:szCs w:val="21"/>
                <w:highlight w:val="none"/>
              </w:rPr>
            </w:pPr>
          </w:p>
        </w:tc>
      </w:tr>
      <w:tr w14:paraId="6729F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dxa"/>
            <w:vMerge w:val="continue"/>
            <w:vAlign w:val="center"/>
          </w:tcPr>
          <w:p w14:paraId="27F89728">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1560" w:type="dxa"/>
            <w:vMerge w:val="continue"/>
            <w:vAlign w:val="center"/>
          </w:tcPr>
          <w:p w14:paraId="06CBB22D">
            <w:pPr>
              <w:spacing w:line="280" w:lineRule="exact"/>
              <w:jc w:val="center"/>
              <w:rPr>
                <w:rFonts w:ascii="Times New Roman" w:hAnsi="Times New Roman" w:cs="Times New Roman" w:eastAsiaTheme="minorEastAsia"/>
                <w:color w:val="auto"/>
                <w:w w:val="99"/>
                <w:sz w:val="21"/>
                <w:szCs w:val="21"/>
                <w:highlight w:val="none"/>
              </w:rPr>
            </w:pPr>
          </w:p>
        </w:tc>
        <w:tc>
          <w:tcPr>
            <w:tcW w:w="992" w:type="dxa"/>
            <w:vMerge w:val="continue"/>
            <w:vAlign w:val="center"/>
          </w:tcPr>
          <w:p w14:paraId="4F7F1741">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850" w:type="dxa"/>
            <w:vAlign w:val="center"/>
          </w:tcPr>
          <w:p w14:paraId="59ABE736">
            <w:pPr>
              <w:pStyle w:val="103"/>
              <w:spacing w:line="28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颗粒物</w:t>
            </w:r>
          </w:p>
        </w:tc>
        <w:tc>
          <w:tcPr>
            <w:tcW w:w="1271" w:type="dxa"/>
            <w:vMerge w:val="continue"/>
            <w:vAlign w:val="center"/>
          </w:tcPr>
          <w:p w14:paraId="32D1F136">
            <w:pPr>
              <w:widowControl w:val="0"/>
              <w:spacing w:line="280" w:lineRule="exact"/>
              <w:jc w:val="center"/>
              <w:rPr>
                <w:rFonts w:ascii="Times New Roman" w:hAnsi="Times New Roman" w:cs="Times New Roman" w:eastAsiaTheme="minorEastAsia"/>
                <w:color w:val="auto"/>
                <w:spacing w:val="-20"/>
                <w:w w:val="99"/>
                <w:sz w:val="21"/>
                <w:szCs w:val="21"/>
                <w:highlight w:val="none"/>
              </w:rPr>
            </w:pPr>
          </w:p>
        </w:tc>
        <w:tc>
          <w:tcPr>
            <w:tcW w:w="861" w:type="dxa"/>
            <w:vMerge w:val="continue"/>
            <w:tcBorders>
              <w:left w:val="single" w:color="auto" w:sz="4" w:space="0"/>
              <w:right w:val="single" w:color="auto" w:sz="4" w:space="0"/>
            </w:tcBorders>
            <w:vAlign w:val="center"/>
          </w:tcPr>
          <w:p w14:paraId="3B1F825A">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708" w:type="dxa"/>
            <w:vAlign w:val="center"/>
          </w:tcPr>
          <w:p w14:paraId="42D89973">
            <w:pPr>
              <w:pStyle w:val="103"/>
              <w:spacing w:line="28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6.4</w:t>
            </w:r>
          </w:p>
        </w:tc>
        <w:tc>
          <w:tcPr>
            <w:tcW w:w="988" w:type="dxa"/>
            <w:vAlign w:val="center"/>
          </w:tcPr>
          <w:p w14:paraId="0A83BA0E">
            <w:pPr>
              <w:pStyle w:val="103"/>
              <w:spacing w:line="280" w:lineRule="exact"/>
              <w:ind w:firstLine="0"/>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0.006</w:t>
            </w:r>
          </w:p>
        </w:tc>
        <w:tc>
          <w:tcPr>
            <w:tcW w:w="567" w:type="dxa"/>
            <w:vAlign w:val="center"/>
          </w:tcPr>
          <w:p w14:paraId="7A85666D">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567" w:type="dxa"/>
            <w:vAlign w:val="center"/>
          </w:tcPr>
          <w:p w14:paraId="6AB75E67">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75" w:type="dxa"/>
            <w:vMerge w:val="continue"/>
            <w:vAlign w:val="center"/>
          </w:tcPr>
          <w:p w14:paraId="17AD8A89">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814" w:type="dxa"/>
            <w:vMerge w:val="continue"/>
            <w:vAlign w:val="center"/>
          </w:tcPr>
          <w:p w14:paraId="77A85992">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746" w:type="dxa"/>
            <w:vAlign w:val="center"/>
          </w:tcPr>
          <w:p w14:paraId="108131E6">
            <w:pPr>
              <w:pStyle w:val="103"/>
              <w:spacing w:line="280" w:lineRule="exact"/>
              <w:ind w:firstLine="0" w:firstLineChars="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6.4</w:t>
            </w:r>
          </w:p>
        </w:tc>
        <w:tc>
          <w:tcPr>
            <w:tcW w:w="992" w:type="dxa"/>
            <w:vAlign w:val="center"/>
          </w:tcPr>
          <w:p w14:paraId="476401C5">
            <w:pPr>
              <w:pStyle w:val="103"/>
              <w:spacing w:line="280" w:lineRule="exact"/>
              <w:ind w:firstLine="0" w:firstLineChars="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color w:val="auto"/>
                <w:w w:val="99"/>
                <w:sz w:val="21"/>
                <w:szCs w:val="21"/>
                <w:highlight w:val="none"/>
                <w:lang w:val="en-US" w:eastAsia="zh-CN"/>
              </w:rPr>
              <w:t>0.006</w:t>
            </w:r>
          </w:p>
        </w:tc>
        <w:tc>
          <w:tcPr>
            <w:tcW w:w="682" w:type="dxa"/>
            <w:vMerge w:val="continue"/>
            <w:vAlign w:val="center"/>
          </w:tcPr>
          <w:p w14:paraId="62A4CBC4">
            <w:pPr>
              <w:widowControl w:val="0"/>
              <w:spacing w:line="280" w:lineRule="exact"/>
              <w:jc w:val="center"/>
              <w:rPr>
                <w:rFonts w:ascii="Times New Roman" w:hAnsi="Times New Roman" w:cs="Times New Roman" w:eastAsiaTheme="minorEastAsia"/>
                <w:color w:val="auto"/>
                <w:w w:val="99"/>
                <w:sz w:val="21"/>
                <w:szCs w:val="21"/>
                <w:highlight w:val="none"/>
              </w:rPr>
            </w:pPr>
          </w:p>
        </w:tc>
      </w:tr>
      <w:tr w14:paraId="786C4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dxa"/>
            <w:vMerge w:val="restart"/>
            <w:vAlign w:val="center"/>
          </w:tcPr>
          <w:p w14:paraId="0546778E">
            <w:pPr>
              <w:widowControl w:val="0"/>
              <w:spacing w:line="28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井场放空</w:t>
            </w:r>
          </w:p>
        </w:tc>
        <w:tc>
          <w:tcPr>
            <w:tcW w:w="1560" w:type="dxa"/>
            <w:vMerge w:val="restart"/>
            <w:vAlign w:val="center"/>
          </w:tcPr>
          <w:p w14:paraId="67C34ADC">
            <w:pPr>
              <w:spacing w:line="28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井场</w:t>
            </w:r>
          </w:p>
        </w:tc>
        <w:tc>
          <w:tcPr>
            <w:tcW w:w="992" w:type="dxa"/>
            <w:vMerge w:val="restart"/>
            <w:vAlign w:val="center"/>
          </w:tcPr>
          <w:p w14:paraId="5F90144D">
            <w:pPr>
              <w:widowControl w:val="0"/>
              <w:spacing w:line="28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放空池</w:t>
            </w:r>
          </w:p>
        </w:tc>
        <w:tc>
          <w:tcPr>
            <w:tcW w:w="850" w:type="dxa"/>
            <w:vAlign w:val="center"/>
          </w:tcPr>
          <w:p w14:paraId="14D5E434">
            <w:pPr>
              <w:pStyle w:val="103"/>
              <w:spacing w:line="280" w:lineRule="exact"/>
              <w:ind w:firstLine="0" w:firstLineChars="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颗粒物</w:t>
            </w:r>
          </w:p>
        </w:tc>
        <w:tc>
          <w:tcPr>
            <w:tcW w:w="1271" w:type="dxa"/>
            <w:vMerge w:val="restart"/>
            <w:vAlign w:val="center"/>
          </w:tcPr>
          <w:p w14:paraId="150EAFB1">
            <w:pPr>
              <w:widowControl w:val="0"/>
              <w:spacing w:line="28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color w:val="auto"/>
                <w:w w:val="99"/>
                <w:kern w:val="2"/>
                <w:sz w:val="21"/>
                <w:szCs w:val="21"/>
                <w:highlight w:val="none"/>
              </w:rPr>
              <w:t>产污系数法</w:t>
            </w:r>
          </w:p>
        </w:tc>
        <w:tc>
          <w:tcPr>
            <w:tcW w:w="861" w:type="dxa"/>
            <w:vMerge w:val="restart"/>
            <w:vAlign w:val="center"/>
          </w:tcPr>
          <w:p w14:paraId="5AB8A360">
            <w:pPr>
              <w:widowControl w:val="0"/>
              <w:spacing w:line="28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2500</w:t>
            </w:r>
          </w:p>
        </w:tc>
        <w:tc>
          <w:tcPr>
            <w:tcW w:w="708" w:type="dxa"/>
            <w:vAlign w:val="center"/>
          </w:tcPr>
          <w:p w14:paraId="56D38E5B">
            <w:pPr>
              <w:spacing w:line="280" w:lineRule="exact"/>
              <w:ind w:firstLine="0"/>
              <w:jc w:val="center"/>
              <w:rPr>
                <w:rFonts w:hint="eastAsia" w:ascii="Times New Roman" w:hAnsi="Times New Roman" w:eastAsia="宋体" w:cs="Times New Roman"/>
                <w:color w:val="auto"/>
                <w:w w:val="99"/>
                <w:sz w:val="21"/>
                <w:szCs w:val="21"/>
                <w:highlight w:val="none"/>
                <w:lang w:val="en-US" w:eastAsia="zh-CN"/>
              </w:rPr>
            </w:pPr>
            <w:r>
              <w:rPr>
                <w:rFonts w:ascii="Times New Roman" w:hAnsi="Times New Roman" w:cs="Times New Roman" w:eastAsiaTheme="minorEastAsia"/>
                <w:color w:val="auto"/>
                <w:w w:val="99"/>
                <w:kern w:val="2"/>
                <w:sz w:val="20"/>
                <w:szCs w:val="15"/>
                <w:highlight w:val="none"/>
                <w:lang w:val="en-US" w:eastAsia="zh-CN" w:bidi="ar-SA"/>
              </w:rPr>
              <w:t>/</w:t>
            </w:r>
          </w:p>
        </w:tc>
        <w:tc>
          <w:tcPr>
            <w:tcW w:w="988" w:type="dxa"/>
            <w:vAlign w:val="center"/>
          </w:tcPr>
          <w:p w14:paraId="15907958">
            <w:pPr>
              <w:pStyle w:val="103"/>
              <w:spacing w:line="280" w:lineRule="exact"/>
              <w:ind w:firstLine="0"/>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0.0003</w:t>
            </w:r>
          </w:p>
        </w:tc>
        <w:tc>
          <w:tcPr>
            <w:tcW w:w="567" w:type="dxa"/>
            <w:vAlign w:val="center"/>
          </w:tcPr>
          <w:p w14:paraId="744D7310">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567" w:type="dxa"/>
            <w:vAlign w:val="center"/>
          </w:tcPr>
          <w:p w14:paraId="2C2A35E3">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75" w:type="dxa"/>
            <w:vMerge w:val="restart"/>
            <w:vAlign w:val="center"/>
          </w:tcPr>
          <w:p w14:paraId="586B3DF9">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color w:val="auto"/>
                <w:w w:val="99"/>
                <w:kern w:val="2"/>
                <w:sz w:val="21"/>
                <w:szCs w:val="21"/>
                <w:highlight w:val="none"/>
              </w:rPr>
              <w:t>产污系数法</w:t>
            </w:r>
          </w:p>
        </w:tc>
        <w:tc>
          <w:tcPr>
            <w:tcW w:w="814" w:type="dxa"/>
            <w:vMerge w:val="restart"/>
            <w:vAlign w:val="center"/>
          </w:tcPr>
          <w:p w14:paraId="1FBE67A4">
            <w:pPr>
              <w:widowControl w:val="0"/>
              <w:spacing w:line="28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2500</w:t>
            </w:r>
          </w:p>
        </w:tc>
        <w:tc>
          <w:tcPr>
            <w:tcW w:w="746" w:type="dxa"/>
            <w:vAlign w:val="center"/>
          </w:tcPr>
          <w:p w14:paraId="24CB3CDC">
            <w:pPr>
              <w:spacing w:line="280" w:lineRule="exact"/>
              <w:ind w:firstLine="0" w:firstLineChars="0"/>
              <w:jc w:val="center"/>
              <w:rPr>
                <w:rFonts w:ascii="Times New Roman" w:hAnsi="Times New Roman" w:cs="Times New Roman"/>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992" w:type="dxa"/>
            <w:vAlign w:val="center"/>
          </w:tcPr>
          <w:p w14:paraId="7062289A">
            <w:pPr>
              <w:pStyle w:val="103"/>
              <w:spacing w:line="280" w:lineRule="exact"/>
              <w:ind w:firstLine="0" w:firstLineChars="0"/>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val="en-US" w:eastAsia="zh-CN"/>
              </w:rPr>
              <w:t>0.0003</w:t>
            </w:r>
          </w:p>
        </w:tc>
        <w:tc>
          <w:tcPr>
            <w:tcW w:w="682" w:type="dxa"/>
            <w:vMerge w:val="restart"/>
            <w:vAlign w:val="center"/>
          </w:tcPr>
          <w:p w14:paraId="412A30B4">
            <w:pPr>
              <w:widowControl w:val="0"/>
              <w:spacing w:line="28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突发</w:t>
            </w:r>
          </w:p>
        </w:tc>
      </w:tr>
      <w:tr w14:paraId="138F0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dxa"/>
            <w:vMerge w:val="continue"/>
            <w:vAlign w:val="center"/>
          </w:tcPr>
          <w:p w14:paraId="6806FC16">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1560" w:type="dxa"/>
            <w:vMerge w:val="continue"/>
            <w:vAlign w:val="center"/>
          </w:tcPr>
          <w:p w14:paraId="5BE7A50F">
            <w:pPr>
              <w:spacing w:line="280" w:lineRule="exact"/>
              <w:jc w:val="center"/>
              <w:rPr>
                <w:rFonts w:ascii="Times New Roman" w:hAnsi="Times New Roman" w:cs="Times New Roman" w:eastAsiaTheme="minorEastAsia"/>
                <w:color w:val="auto"/>
                <w:w w:val="99"/>
                <w:sz w:val="21"/>
                <w:szCs w:val="21"/>
                <w:highlight w:val="none"/>
              </w:rPr>
            </w:pPr>
          </w:p>
        </w:tc>
        <w:tc>
          <w:tcPr>
            <w:tcW w:w="992" w:type="dxa"/>
            <w:vMerge w:val="continue"/>
            <w:vAlign w:val="center"/>
          </w:tcPr>
          <w:p w14:paraId="6B35414C">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850" w:type="dxa"/>
            <w:vAlign w:val="center"/>
          </w:tcPr>
          <w:p w14:paraId="2366A66F">
            <w:pPr>
              <w:pStyle w:val="103"/>
              <w:spacing w:line="280" w:lineRule="exact"/>
              <w:ind w:firstLine="0" w:firstLineChars="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NO</w:t>
            </w:r>
            <w:r>
              <w:rPr>
                <w:rFonts w:ascii="Times New Roman" w:hAnsi="Times New Roman" w:cs="Times New Roman" w:eastAsiaTheme="minorEastAsia"/>
                <w:color w:val="auto"/>
                <w:w w:val="99"/>
                <w:sz w:val="21"/>
                <w:szCs w:val="21"/>
                <w:highlight w:val="none"/>
                <w:vertAlign w:val="subscript"/>
              </w:rPr>
              <w:t>x</w:t>
            </w:r>
            <w:r>
              <w:rPr>
                <w:rFonts w:ascii="Times New Roman" w:hAnsi="Times New Roman" w:cs="Times New Roman" w:eastAsiaTheme="minorEastAsia"/>
                <w:color w:val="auto"/>
                <w:w w:val="99"/>
                <w:sz w:val="21"/>
                <w:szCs w:val="21"/>
                <w:highlight w:val="none"/>
              </w:rPr>
              <w:t xml:space="preserve"> </w:t>
            </w:r>
          </w:p>
        </w:tc>
        <w:tc>
          <w:tcPr>
            <w:tcW w:w="1271" w:type="dxa"/>
            <w:vMerge w:val="continue"/>
            <w:vAlign w:val="center"/>
          </w:tcPr>
          <w:p w14:paraId="7A80AD3C">
            <w:pPr>
              <w:widowControl w:val="0"/>
              <w:spacing w:line="280" w:lineRule="exact"/>
              <w:jc w:val="center"/>
              <w:rPr>
                <w:rFonts w:ascii="Times New Roman" w:hAnsi="Times New Roman" w:cs="Times New Roman" w:eastAsiaTheme="minorEastAsia"/>
                <w:color w:val="auto"/>
                <w:spacing w:val="-20"/>
                <w:w w:val="99"/>
                <w:sz w:val="21"/>
                <w:szCs w:val="21"/>
                <w:highlight w:val="none"/>
              </w:rPr>
            </w:pPr>
          </w:p>
        </w:tc>
        <w:tc>
          <w:tcPr>
            <w:tcW w:w="861" w:type="dxa"/>
            <w:vMerge w:val="continue"/>
            <w:vAlign w:val="center"/>
          </w:tcPr>
          <w:p w14:paraId="21877BFC">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708" w:type="dxa"/>
            <w:vAlign w:val="center"/>
          </w:tcPr>
          <w:p w14:paraId="20A71632">
            <w:pPr>
              <w:spacing w:line="280" w:lineRule="exact"/>
              <w:ind w:firstLine="0"/>
              <w:jc w:val="center"/>
              <w:rPr>
                <w:rFonts w:ascii="Times New Roman" w:hAnsi="Times New Roman" w:cs="Times New Roman"/>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988" w:type="dxa"/>
            <w:vAlign w:val="center"/>
          </w:tcPr>
          <w:p w14:paraId="6BA4E1DD">
            <w:pPr>
              <w:pStyle w:val="103"/>
              <w:spacing w:line="280" w:lineRule="exact"/>
              <w:ind w:firstLine="0"/>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0.0044</w:t>
            </w:r>
          </w:p>
        </w:tc>
        <w:tc>
          <w:tcPr>
            <w:tcW w:w="567" w:type="dxa"/>
            <w:vAlign w:val="center"/>
          </w:tcPr>
          <w:p w14:paraId="34F693F5">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567" w:type="dxa"/>
            <w:vAlign w:val="center"/>
          </w:tcPr>
          <w:p w14:paraId="5C7D9C75">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75" w:type="dxa"/>
            <w:vMerge w:val="continue"/>
            <w:vAlign w:val="center"/>
          </w:tcPr>
          <w:p w14:paraId="6E40DBEE">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814" w:type="dxa"/>
            <w:vMerge w:val="continue"/>
            <w:vAlign w:val="center"/>
          </w:tcPr>
          <w:p w14:paraId="0DC38991">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746" w:type="dxa"/>
            <w:vAlign w:val="center"/>
          </w:tcPr>
          <w:p w14:paraId="29609A4C">
            <w:pPr>
              <w:spacing w:line="280" w:lineRule="exact"/>
              <w:ind w:firstLine="0" w:firstLineChars="0"/>
              <w:jc w:val="center"/>
              <w:rPr>
                <w:rFonts w:ascii="Times New Roman" w:hAnsi="Times New Roman" w:cs="Times New Roman"/>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992" w:type="dxa"/>
            <w:vAlign w:val="center"/>
          </w:tcPr>
          <w:p w14:paraId="03726A3D">
            <w:pPr>
              <w:pStyle w:val="103"/>
              <w:spacing w:line="280" w:lineRule="exact"/>
              <w:ind w:firstLine="0" w:firstLineChars="0"/>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val="en-US" w:eastAsia="zh-CN"/>
              </w:rPr>
              <w:t>0.0044</w:t>
            </w:r>
          </w:p>
        </w:tc>
        <w:tc>
          <w:tcPr>
            <w:tcW w:w="682" w:type="dxa"/>
            <w:vMerge w:val="continue"/>
            <w:vAlign w:val="center"/>
          </w:tcPr>
          <w:p w14:paraId="7F8E142D">
            <w:pPr>
              <w:widowControl w:val="0"/>
              <w:spacing w:line="280" w:lineRule="exact"/>
              <w:jc w:val="center"/>
              <w:rPr>
                <w:rFonts w:ascii="Times New Roman" w:hAnsi="Times New Roman" w:cs="Times New Roman" w:eastAsiaTheme="minorEastAsia"/>
                <w:color w:val="auto"/>
                <w:w w:val="99"/>
                <w:sz w:val="21"/>
                <w:szCs w:val="21"/>
                <w:highlight w:val="none"/>
              </w:rPr>
            </w:pPr>
          </w:p>
        </w:tc>
      </w:tr>
      <w:tr w14:paraId="39D16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dxa"/>
            <w:vMerge w:val="continue"/>
            <w:vAlign w:val="center"/>
          </w:tcPr>
          <w:p w14:paraId="1971F9AF">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1560" w:type="dxa"/>
            <w:vMerge w:val="continue"/>
            <w:vAlign w:val="center"/>
          </w:tcPr>
          <w:p w14:paraId="47DD6878">
            <w:pPr>
              <w:spacing w:line="280" w:lineRule="exact"/>
              <w:jc w:val="center"/>
              <w:rPr>
                <w:rFonts w:ascii="Times New Roman" w:hAnsi="Times New Roman" w:cs="Times New Roman" w:eastAsiaTheme="minorEastAsia"/>
                <w:color w:val="auto"/>
                <w:w w:val="99"/>
                <w:sz w:val="21"/>
                <w:szCs w:val="21"/>
                <w:highlight w:val="none"/>
              </w:rPr>
            </w:pPr>
          </w:p>
        </w:tc>
        <w:tc>
          <w:tcPr>
            <w:tcW w:w="992" w:type="dxa"/>
            <w:vMerge w:val="continue"/>
            <w:vAlign w:val="center"/>
          </w:tcPr>
          <w:p w14:paraId="77A3DD79">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850" w:type="dxa"/>
            <w:vAlign w:val="center"/>
          </w:tcPr>
          <w:p w14:paraId="79CDACAD">
            <w:pPr>
              <w:pStyle w:val="103"/>
              <w:spacing w:line="280" w:lineRule="exact"/>
              <w:ind w:firstLine="0" w:firstLineChars="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2</w:t>
            </w:r>
          </w:p>
        </w:tc>
        <w:tc>
          <w:tcPr>
            <w:tcW w:w="1271" w:type="dxa"/>
            <w:vMerge w:val="continue"/>
            <w:vAlign w:val="center"/>
          </w:tcPr>
          <w:p w14:paraId="6E1981FD">
            <w:pPr>
              <w:widowControl w:val="0"/>
              <w:spacing w:line="280" w:lineRule="exact"/>
              <w:jc w:val="center"/>
              <w:rPr>
                <w:rFonts w:ascii="Times New Roman" w:hAnsi="Times New Roman" w:cs="Times New Roman" w:eastAsiaTheme="minorEastAsia"/>
                <w:color w:val="auto"/>
                <w:spacing w:val="-20"/>
                <w:w w:val="99"/>
                <w:sz w:val="21"/>
                <w:szCs w:val="21"/>
                <w:highlight w:val="none"/>
              </w:rPr>
            </w:pPr>
          </w:p>
        </w:tc>
        <w:tc>
          <w:tcPr>
            <w:tcW w:w="861" w:type="dxa"/>
            <w:vMerge w:val="continue"/>
            <w:vAlign w:val="center"/>
          </w:tcPr>
          <w:p w14:paraId="674FE108">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708" w:type="dxa"/>
            <w:vAlign w:val="center"/>
          </w:tcPr>
          <w:p w14:paraId="2E67FC23">
            <w:pPr>
              <w:spacing w:line="280" w:lineRule="exact"/>
              <w:ind w:firstLine="0"/>
              <w:jc w:val="center"/>
              <w:rPr>
                <w:rFonts w:ascii="Times New Roman" w:hAnsi="Times New Roman" w:cs="Times New Roman"/>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988" w:type="dxa"/>
            <w:vAlign w:val="center"/>
          </w:tcPr>
          <w:p w14:paraId="6EFC1CC2">
            <w:pPr>
              <w:pStyle w:val="103"/>
              <w:spacing w:line="280" w:lineRule="exact"/>
              <w:ind w:firstLine="0"/>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0.0004</w:t>
            </w:r>
          </w:p>
        </w:tc>
        <w:tc>
          <w:tcPr>
            <w:tcW w:w="567" w:type="dxa"/>
            <w:vAlign w:val="center"/>
          </w:tcPr>
          <w:p w14:paraId="4D5E7E0B">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567" w:type="dxa"/>
            <w:vAlign w:val="center"/>
          </w:tcPr>
          <w:p w14:paraId="30DDCCA7">
            <w:pPr>
              <w:widowControl w:val="0"/>
              <w:spacing w:line="28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75" w:type="dxa"/>
            <w:vMerge w:val="continue"/>
            <w:vAlign w:val="center"/>
          </w:tcPr>
          <w:p w14:paraId="39F12995">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814" w:type="dxa"/>
            <w:vMerge w:val="continue"/>
            <w:vAlign w:val="center"/>
          </w:tcPr>
          <w:p w14:paraId="2DAF5560">
            <w:pPr>
              <w:widowControl w:val="0"/>
              <w:spacing w:line="280" w:lineRule="exact"/>
              <w:jc w:val="center"/>
              <w:rPr>
                <w:rFonts w:ascii="Times New Roman" w:hAnsi="Times New Roman" w:cs="Times New Roman" w:eastAsiaTheme="minorEastAsia"/>
                <w:color w:val="auto"/>
                <w:w w:val="99"/>
                <w:sz w:val="21"/>
                <w:szCs w:val="21"/>
                <w:highlight w:val="none"/>
              </w:rPr>
            </w:pPr>
          </w:p>
        </w:tc>
        <w:tc>
          <w:tcPr>
            <w:tcW w:w="746" w:type="dxa"/>
            <w:vAlign w:val="center"/>
          </w:tcPr>
          <w:p w14:paraId="5227DDE8">
            <w:pPr>
              <w:spacing w:line="280" w:lineRule="exact"/>
              <w:ind w:firstLine="0" w:firstLineChars="0"/>
              <w:jc w:val="center"/>
              <w:rPr>
                <w:rFonts w:ascii="Times New Roman" w:hAnsi="Times New Roman" w:cs="Times New Roman"/>
                <w:color w:val="auto"/>
                <w:w w:val="99"/>
                <w:sz w:val="21"/>
                <w:szCs w:val="21"/>
                <w:highlight w:val="none"/>
              </w:rPr>
            </w:pPr>
            <w:r>
              <w:rPr>
                <w:rFonts w:ascii="Times New Roman" w:hAnsi="Times New Roman" w:cs="Times New Roman" w:eastAsiaTheme="minorEastAsia"/>
                <w:color w:val="auto"/>
                <w:w w:val="99"/>
                <w:kern w:val="2"/>
                <w:sz w:val="20"/>
                <w:szCs w:val="15"/>
                <w:highlight w:val="none"/>
                <w:lang w:val="en-US" w:eastAsia="zh-CN" w:bidi="ar-SA"/>
              </w:rPr>
              <w:t>/</w:t>
            </w:r>
          </w:p>
        </w:tc>
        <w:tc>
          <w:tcPr>
            <w:tcW w:w="992" w:type="dxa"/>
            <w:vAlign w:val="center"/>
          </w:tcPr>
          <w:p w14:paraId="0C58C72F">
            <w:pPr>
              <w:pStyle w:val="103"/>
              <w:spacing w:line="280" w:lineRule="exact"/>
              <w:ind w:firstLine="0" w:firstLineChars="0"/>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val="en-US" w:eastAsia="zh-CN"/>
              </w:rPr>
              <w:t>0.0004</w:t>
            </w:r>
          </w:p>
        </w:tc>
        <w:tc>
          <w:tcPr>
            <w:tcW w:w="682" w:type="dxa"/>
            <w:vMerge w:val="continue"/>
            <w:vAlign w:val="center"/>
          </w:tcPr>
          <w:p w14:paraId="3BC2537B">
            <w:pPr>
              <w:widowControl w:val="0"/>
              <w:spacing w:line="280" w:lineRule="exact"/>
              <w:jc w:val="center"/>
              <w:rPr>
                <w:rFonts w:ascii="Times New Roman" w:hAnsi="Times New Roman" w:cs="Times New Roman" w:eastAsiaTheme="minorEastAsia"/>
                <w:color w:val="auto"/>
                <w:w w:val="99"/>
                <w:sz w:val="21"/>
                <w:szCs w:val="21"/>
                <w:highlight w:val="none"/>
              </w:rPr>
            </w:pPr>
          </w:p>
        </w:tc>
      </w:tr>
    </w:tbl>
    <w:p w14:paraId="5CD01CDD">
      <w:pPr>
        <w:pStyle w:val="153"/>
        <w:widowControl w:val="0"/>
        <w:spacing w:line="440" w:lineRule="exact"/>
        <w:ind w:firstLine="478"/>
        <w:jc w:val="both"/>
        <w:rPr>
          <w:rFonts w:ascii="Times New Roman" w:hAnsi="Times New Roman" w:eastAsiaTheme="minorEastAsia"/>
          <w:b/>
          <w:color w:val="auto"/>
          <w:w w:val="99"/>
          <w:highlight w:val="none"/>
        </w:rPr>
      </w:pPr>
      <w:r>
        <w:rPr>
          <w:rFonts w:ascii="Times New Roman" w:hAnsi="Times New Roman" w:eastAsiaTheme="minorEastAsia"/>
          <w:b/>
          <w:color w:val="auto"/>
          <w:w w:val="99"/>
          <w:kern w:val="2"/>
          <w:szCs w:val="20"/>
          <w:highlight w:val="none"/>
        </w:rPr>
        <w:t>表</w:t>
      </w:r>
      <w:r>
        <w:rPr>
          <w:rFonts w:hint="eastAsia" w:ascii="Times New Roman" w:hAnsi="Times New Roman" w:eastAsiaTheme="minorEastAsia"/>
          <w:b/>
          <w:color w:val="auto"/>
          <w:w w:val="99"/>
          <w:kern w:val="2"/>
          <w:szCs w:val="20"/>
          <w:highlight w:val="none"/>
          <w:lang w:eastAsia="zh-CN"/>
        </w:rPr>
        <w:t>3.1</w:t>
      </w:r>
      <w:r>
        <w:rPr>
          <w:rFonts w:hint="eastAsia" w:ascii="Times New Roman" w:hAnsi="Times New Roman" w:eastAsiaTheme="minorEastAsia"/>
          <w:b/>
          <w:color w:val="auto"/>
          <w:w w:val="99"/>
          <w:kern w:val="2"/>
          <w:szCs w:val="20"/>
          <w:highlight w:val="none"/>
          <w:lang w:val="en-US" w:eastAsia="zh-CN"/>
        </w:rPr>
        <w:t>0</w:t>
      </w:r>
      <w:r>
        <w:rPr>
          <w:rFonts w:ascii="Times New Roman" w:hAnsi="Times New Roman" w:eastAsiaTheme="minorEastAsia"/>
          <w:b/>
          <w:color w:val="auto"/>
          <w:w w:val="99"/>
          <w:kern w:val="2"/>
          <w:szCs w:val="20"/>
          <w:highlight w:val="none"/>
        </w:rPr>
        <w:t>-1</w:t>
      </w:r>
      <w:r>
        <w:rPr>
          <w:rFonts w:hint="eastAsia" w:ascii="Times New Roman" w:hAnsi="Times New Roman" w:eastAsiaTheme="minorEastAsia"/>
          <w:b/>
          <w:color w:val="auto"/>
          <w:w w:val="99"/>
          <w:kern w:val="2"/>
          <w:szCs w:val="20"/>
          <w:highlight w:val="none"/>
          <w:lang w:val="en-US" w:eastAsia="zh-CN"/>
        </w:rPr>
        <w:t>6</w:t>
      </w:r>
      <w:r>
        <w:rPr>
          <w:rFonts w:ascii="Times New Roman" w:hAnsi="Times New Roman" w:eastAsiaTheme="minorEastAsia"/>
          <w:b/>
          <w:color w:val="auto"/>
          <w:w w:val="99"/>
          <w:highlight w:val="none"/>
        </w:rPr>
        <w:t xml:space="preserve">    运营期废水污染源源强核算结果及相关参数一览表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5"/>
        <w:gridCol w:w="1078"/>
        <w:gridCol w:w="777"/>
        <w:gridCol w:w="731"/>
        <w:gridCol w:w="782"/>
        <w:gridCol w:w="1087"/>
        <w:gridCol w:w="1098"/>
        <w:gridCol w:w="1212"/>
        <w:gridCol w:w="2214"/>
        <w:gridCol w:w="711"/>
        <w:gridCol w:w="848"/>
        <w:gridCol w:w="1098"/>
        <w:gridCol w:w="860"/>
        <w:gridCol w:w="857"/>
      </w:tblGrid>
      <w:tr w14:paraId="3EF0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4" w:type="pct"/>
            <w:vMerge w:val="restart"/>
            <w:vAlign w:val="center"/>
          </w:tcPr>
          <w:p w14:paraId="36F03FD9">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工序</w:t>
            </w:r>
          </w:p>
        </w:tc>
        <w:tc>
          <w:tcPr>
            <w:tcW w:w="379" w:type="pct"/>
            <w:vMerge w:val="restart"/>
            <w:vAlign w:val="center"/>
          </w:tcPr>
          <w:p w14:paraId="39CE4172">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装置</w:t>
            </w:r>
          </w:p>
        </w:tc>
        <w:tc>
          <w:tcPr>
            <w:tcW w:w="273" w:type="pct"/>
            <w:vMerge w:val="restart"/>
            <w:vAlign w:val="center"/>
          </w:tcPr>
          <w:p w14:paraId="38B1958C">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污染源</w:t>
            </w:r>
          </w:p>
        </w:tc>
        <w:tc>
          <w:tcPr>
            <w:tcW w:w="257" w:type="pct"/>
            <w:vMerge w:val="restart"/>
            <w:vAlign w:val="center"/>
          </w:tcPr>
          <w:p w14:paraId="0FC2DB41">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w:t>
            </w:r>
          </w:p>
        </w:tc>
        <w:tc>
          <w:tcPr>
            <w:tcW w:w="1469" w:type="pct"/>
            <w:gridSpan w:val="4"/>
            <w:vAlign w:val="center"/>
          </w:tcPr>
          <w:p w14:paraId="4161F35A">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污染物产生</w:t>
            </w:r>
          </w:p>
        </w:tc>
        <w:tc>
          <w:tcPr>
            <w:tcW w:w="778" w:type="pct"/>
            <w:vMerge w:val="restart"/>
            <w:vAlign w:val="center"/>
          </w:tcPr>
          <w:p w14:paraId="65C19A03">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治理措施</w:t>
            </w:r>
          </w:p>
        </w:tc>
        <w:tc>
          <w:tcPr>
            <w:tcW w:w="1236" w:type="pct"/>
            <w:gridSpan w:val="4"/>
            <w:vAlign w:val="center"/>
          </w:tcPr>
          <w:p w14:paraId="4F3E4885">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污染物排放</w:t>
            </w:r>
          </w:p>
        </w:tc>
        <w:tc>
          <w:tcPr>
            <w:tcW w:w="301" w:type="pct"/>
            <w:vMerge w:val="restart"/>
            <w:vAlign w:val="center"/>
          </w:tcPr>
          <w:p w14:paraId="2370F195">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排放时间（h）</w:t>
            </w:r>
          </w:p>
        </w:tc>
      </w:tr>
      <w:tr w14:paraId="31A37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4" w:type="pct"/>
            <w:vMerge w:val="continue"/>
            <w:vAlign w:val="center"/>
          </w:tcPr>
          <w:p w14:paraId="2FE08034">
            <w:pPr>
              <w:rPr>
                <w:rFonts w:ascii="Times New Roman" w:hAnsi="Times New Roman" w:cs="Times New Roman" w:eastAsiaTheme="minorEastAsia"/>
                <w:color w:val="auto"/>
                <w:w w:val="99"/>
                <w:sz w:val="21"/>
                <w:szCs w:val="21"/>
                <w:highlight w:val="none"/>
              </w:rPr>
            </w:pPr>
          </w:p>
        </w:tc>
        <w:tc>
          <w:tcPr>
            <w:tcW w:w="379" w:type="pct"/>
            <w:vMerge w:val="continue"/>
            <w:vAlign w:val="center"/>
          </w:tcPr>
          <w:p w14:paraId="52A3203C">
            <w:pPr>
              <w:rPr>
                <w:rFonts w:ascii="Times New Roman" w:hAnsi="Times New Roman" w:cs="Times New Roman" w:eastAsiaTheme="minorEastAsia"/>
                <w:color w:val="auto"/>
                <w:w w:val="99"/>
                <w:sz w:val="21"/>
                <w:szCs w:val="21"/>
                <w:highlight w:val="none"/>
              </w:rPr>
            </w:pPr>
          </w:p>
        </w:tc>
        <w:tc>
          <w:tcPr>
            <w:tcW w:w="273" w:type="pct"/>
            <w:vMerge w:val="continue"/>
            <w:vAlign w:val="center"/>
          </w:tcPr>
          <w:p w14:paraId="5718735D">
            <w:pPr>
              <w:rPr>
                <w:rFonts w:ascii="Times New Roman" w:hAnsi="Times New Roman" w:cs="Times New Roman" w:eastAsiaTheme="minorEastAsia"/>
                <w:color w:val="auto"/>
                <w:w w:val="99"/>
                <w:sz w:val="21"/>
                <w:szCs w:val="21"/>
                <w:highlight w:val="none"/>
              </w:rPr>
            </w:pPr>
          </w:p>
        </w:tc>
        <w:tc>
          <w:tcPr>
            <w:tcW w:w="257" w:type="pct"/>
            <w:vMerge w:val="continue"/>
            <w:vAlign w:val="center"/>
          </w:tcPr>
          <w:p w14:paraId="600EA142">
            <w:pPr>
              <w:rPr>
                <w:rFonts w:ascii="Times New Roman" w:hAnsi="Times New Roman" w:cs="Times New Roman" w:eastAsiaTheme="minorEastAsia"/>
                <w:color w:val="auto"/>
                <w:w w:val="99"/>
                <w:sz w:val="21"/>
                <w:szCs w:val="21"/>
                <w:highlight w:val="none"/>
              </w:rPr>
            </w:pPr>
          </w:p>
        </w:tc>
        <w:tc>
          <w:tcPr>
            <w:tcW w:w="275" w:type="pct"/>
            <w:vAlign w:val="center"/>
          </w:tcPr>
          <w:p w14:paraId="2C4D3F17">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w:t>
            </w:r>
          </w:p>
          <w:p w14:paraId="2A7A0E3A">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方法</w:t>
            </w:r>
          </w:p>
        </w:tc>
        <w:tc>
          <w:tcPr>
            <w:tcW w:w="382" w:type="pct"/>
            <w:vAlign w:val="center"/>
          </w:tcPr>
          <w:p w14:paraId="27809BBE">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产生废水量（t/a）</w:t>
            </w:r>
          </w:p>
        </w:tc>
        <w:tc>
          <w:tcPr>
            <w:tcW w:w="386" w:type="pct"/>
            <w:vAlign w:val="center"/>
          </w:tcPr>
          <w:p w14:paraId="0BE3853E">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产生浓度（mg/L）</w:t>
            </w:r>
          </w:p>
        </w:tc>
        <w:tc>
          <w:tcPr>
            <w:tcW w:w="426" w:type="pct"/>
            <w:vAlign w:val="center"/>
          </w:tcPr>
          <w:p w14:paraId="327B5E5C">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w:t>
            </w:r>
          </w:p>
          <w:p w14:paraId="41DFCA29">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量（t/a）</w:t>
            </w:r>
          </w:p>
        </w:tc>
        <w:tc>
          <w:tcPr>
            <w:tcW w:w="778" w:type="pct"/>
            <w:vMerge w:val="continue"/>
            <w:vAlign w:val="center"/>
          </w:tcPr>
          <w:p w14:paraId="415B5F76">
            <w:pPr>
              <w:rPr>
                <w:rFonts w:ascii="Times New Roman" w:hAnsi="Times New Roman" w:cs="Times New Roman" w:eastAsiaTheme="minorEastAsia"/>
                <w:color w:val="auto"/>
                <w:w w:val="99"/>
                <w:sz w:val="21"/>
                <w:szCs w:val="21"/>
                <w:highlight w:val="none"/>
              </w:rPr>
            </w:pPr>
          </w:p>
        </w:tc>
        <w:tc>
          <w:tcPr>
            <w:tcW w:w="250" w:type="pct"/>
            <w:vAlign w:val="center"/>
          </w:tcPr>
          <w:p w14:paraId="696A002A">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298" w:type="pct"/>
            <w:vAlign w:val="center"/>
          </w:tcPr>
          <w:p w14:paraId="22954458">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排放废水量（t/a）</w:t>
            </w:r>
          </w:p>
        </w:tc>
        <w:tc>
          <w:tcPr>
            <w:tcW w:w="386" w:type="pct"/>
            <w:vAlign w:val="center"/>
          </w:tcPr>
          <w:p w14:paraId="536BABD3">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排放浓度（mg/L）</w:t>
            </w:r>
          </w:p>
        </w:tc>
        <w:tc>
          <w:tcPr>
            <w:tcW w:w="302" w:type="pct"/>
            <w:vAlign w:val="center"/>
          </w:tcPr>
          <w:p w14:paraId="64AB9EE8">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排放量（t/a）</w:t>
            </w:r>
          </w:p>
        </w:tc>
        <w:tc>
          <w:tcPr>
            <w:tcW w:w="301" w:type="pct"/>
            <w:vMerge w:val="continue"/>
            <w:vAlign w:val="center"/>
          </w:tcPr>
          <w:p w14:paraId="26FC21A5">
            <w:pPr>
              <w:rPr>
                <w:rFonts w:ascii="Times New Roman" w:hAnsi="Times New Roman" w:cs="Times New Roman" w:eastAsiaTheme="minorEastAsia"/>
                <w:color w:val="auto"/>
                <w:w w:val="99"/>
                <w:sz w:val="21"/>
                <w:szCs w:val="21"/>
                <w:highlight w:val="none"/>
              </w:rPr>
            </w:pPr>
          </w:p>
        </w:tc>
      </w:tr>
      <w:tr w14:paraId="5955B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4" w:type="pct"/>
            <w:vMerge w:val="restart"/>
            <w:vAlign w:val="center"/>
          </w:tcPr>
          <w:p w14:paraId="4F1C7C2A">
            <w:pPr>
              <w:spacing w:line="240" w:lineRule="atLeas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天然气</w:t>
            </w:r>
            <w:r>
              <w:rPr>
                <w:rFonts w:ascii="Times New Roman" w:hAnsi="Times New Roman" w:cs="Times New Roman" w:eastAsiaTheme="minorEastAsia"/>
                <w:color w:val="auto"/>
                <w:w w:val="99"/>
                <w:sz w:val="21"/>
                <w:szCs w:val="21"/>
                <w:highlight w:val="none"/>
              </w:rPr>
              <w:t>集输</w:t>
            </w:r>
          </w:p>
        </w:tc>
        <w:tc>
          <w:tcPr>
            <w:tcW w:w="379" w:type="pct"/>
            <w:vMerge w:val="restart"/>
            <w:vAlign w:val="center"/>
          </w:tcPr>
          <w:p w14:paraId="12D43166">
            <w:pPr>
              <w:spacing w:line="240" w:lineRule="atLeas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天然气</w:t>
            </w:r>
            <w:r>
              <w:rPr>
                <w:rFonts w:ascii="Times New Roman" w:hAnsi="Times New Roman" w:cs="Times New Roman" w:eastAsiaTheme="minorEastAsia"/>
                <w:color w:val="auto"/>
                <w:w w:val="99"/>
                <w:sz w:val="21"/>
                <w:szCs w:val="21"/>
                <w:highlight w:val="none"/>
              </w:rPr>
              <w:t>处理装置</w:t>
            </w:r>
          </w:p>
        </w:tc>
        <w:tc>
          <w:tcPr>
            <w:tcW w:w="273" w:type="pct"/>
            <w:vMerge w:val="restart"/>
            <w:vAlign w:val="center"/>
          </w:tcPr>
          <w:p w14:paraId="7177DD3C">
            <w:pPr>
              <w:spacing w:line="240" w:lineRule="atLeas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气田</w:t>
            </w:r>
            <w:r>
              <w:rPr>
                <w:rFonts w:ascii="Times New Roman" w:hAnsi="Times New Roman" w:cs="Times New Roman" w:eastAsiaTheme="minorEastAsia"/>
                <w:color w:val="auto"/>
                <w:w w:val="99"/>
                <w:sz w:val="21"/>
                <w:szCs w:val="21"/>
                <w:highlight w:val="none"/>
              </w:rPr>
              <w:t>采出水</w:t>
            </w:r>
          </w:p>
        </w:tc>
        <w:tc>
          <w:tcPr>
            <w:tcW w:w="257" w:type="pct"/>
            <w:vAlign w:val="center"/>
          </w:tcPr>
          <w:p w14:paraId="1E6F3611">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275" w:type="pct"/>
            <w:vMerge w:val="restart"/>
            <w:vAlign w:val="center"/>
          </w:tcPr>
          <w:p w14:paraId="0177B075">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类比法</w:t>
            </w:r>
          </w:p>
        </w:tc>
        <w:tc>
          <w:tcPr>
            <w:tcW w:w="382" w:type="pct"/>
            <w:vMerge w:val="restart"/>
            <w:vAlign w:val="center"/>
          </w:tcPr>
          <w:p w14:paraId="67B93AAA">
            <w:pPr>
              <w:spacing w:line="240" w:lineRule="atLeas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1095</w:t>
            </w:r>
          </w:p>
        </w:tc>
        <w:tc>
          <w:tcPr>
            <w:tcW w:w="386" w:type="pct"/>
            <w:vAlign w:val="center"/>
          </w:tcPr>
          <w:p w14:paraId="480C7482">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1000</w:t>
            </w:r>
          </w:p>
        </w:tc>
        <w:tc>
          <w:tcPr>
            <w:tcW w:w="426" w:type="pct"/>
            <w:vAlign w:val="center"/>
          </w:tcPr>
          <w:p w14:paraId="20DE81FC">
            <w:pPr>
              <w:spacing w:line="240" w:lineRule="atLeas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1.095</w:t>
            </w:r>
          </w:p>
        </w:tc>
        <w:tc>
          <w:tcPr>
            <w:tcW w:w="778" w:type="pct"/>
            <w:vMerge w:val="restart"/>
            <w:vAlign w:val="center"/>
          </w:tcPr>
          <w:p w14:paraId="132D6376">
            <w:pPr>
              <w:spacing w:line="240" w:lineRule="atLeas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暂存于</w:t>
            </w:r>
            <w:r>
              <w:rPr>
                <w:rFonts w:hint="eastAsia" w:ascii="Times New Roman" w:hAnsi="Times New Roman" w:cs="Times New Roman" w:eastAsiaTheme="minorEastAsia"/>
                <w:bCs/>
                <w:color w:val="auto"/>
                <w:w w:val="99"/>
                <w:sz w:val="21"/>
                <w:szCs w:val="21"/>
                <w:highlight w:val="none"/>
                <w:lang w:val="en-US" w:eastAsia="zh-CN"/>
              </w:rPr>
              <w:t>徐深27</w:t>
            </w:r>
            <w:r>
              <w:rPr>
                <w:rFonts w:ascii="Times New Roman" w:hAnsi="Times New Roman" w:cs="Times New Roman" w:eastAsiaTheme="minorEastAsia"/>
                <w:bCs/>
                <w:color w:val="auto"/>
                <w:w w:val="99"/>
                <w:sz w:val="21"/>
                <w:szCs w:val="21"/>
                <w:highlight w:val="none"/>
              </w:rPr>
              <w:t>集气站污水储罐，再定期通过外输泵升压外输至气田采出水集输管网，并统一外输至升一联气田污水预处理站处理达标后回注油层</w:t>
            </w:r>
          </w:p>
        </w:tc>
        <w:tc>
          <w:tcPr>
            <w:tcW w:w="250" w:type="pct"/>
            <w:vMerge w:val="restart"/>
            <w:vAlign w:val="center"/>
          </w:tcPr>
          <w:p w14:paraId="4F4D6136">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298" w:type="pct"/>
            <w:vMerge w:val="restart"/>
            <w:vAlign w:val="center"/>
          </w:tcPr>
          <w:p w14:paraId="6697290F">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386" w:type="pct"/>
            <w:vAlign w:val="center"/>
          </w:tcPr>
          <w:p w14:paraId="500F197D">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302" w:type="pct"/>
            <w:vAlign w:val="center"/>
          </w:tcPr>
          <w:p w14:paraId="6E519F9B">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301" w:type="pct"/>
            <w:vMerge w:val="restart"/>
            <w:vAlign w:val="center"/>
          </w:tcPr>
          <w:p w14:paraId="4C64FD49">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8760</w:t>
            </w:r>
          </w:p>
        </w:tc>
      </w:tr>
      <w:tr w14:paraId="63FCE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4" w:type="pct"/>
            <w:vMerge w:val="continue"/>
            <w:vAlign w:val="center"/>
          </w:tcPr>
          <w:p w14:paraId="4BB31B6B">
            <w:pPr>
              <w:spacing w:line="240" w:lineRule="atLeast"/>
              <w:jc w:val="center"/>
              <w:rPr>
                <w:rFonts w:ascii="Times New Roman" w:hAnsi="Times New Roman" w:cs="Times New Roman" w:eastAsiaTheme="minorEastAsia"/>
                <w:color w:val="auto"/>
                <w:w w:val="99"/>
                <w:sz w:val="21"/>
                <w:szCs w:val="21"/>
                <w:highlight w:val="none"/>
              </w:rPr>
            </w:pPr>
          </w:p>
        </w:tc>
        <w:tc>
          <w:tcPr>
            <w:tcW w:w="379" w:type="pct"/>
            <w:vMerge w:val="continue"/>
            <w:vAlign w:val="center"/>
          </w:tcPr>
          <w:p w14:paraId="312FB83B">
            <w:pPr>
              <w:spacing w:line="240" w:lineRule="atLeast"/>
              <w:jc w:val="center"/>
              <w:rPr>
                <w:rFonts w:ascii="Times New Roman" w:hAnsi="Times New Roman" w:cs="Times New Roman" w:eastAsiaTheme="minorEastAsia"/>
                <w:color w:val="auto"/>
                <w:w w:val="99"/>
                <w:sz w:val="21"/>
                <w:szCs w:val="21"/>
                <w:highlight w:val="none"/>
              </w:rPr>
            </w:pPr>
          </w:p>
        </w:tc>
        <w:tc>
          <w:tcPr>
            <w:tcW w:w="273" w:type="pct"/>
            <w:vMerge w:val="continue"/>
            <w:vAlign w:val="center"/>
          </w:tcPr>
          <w:p w14:paraId="0EBB798A">
            <w:pPr>
              <w:spacing w:line="240" w:lineRule="atLeast"/>
              <w:jc w:val="center"/>
              <w:rPr>
                <w:rFonts w:ascii="Times New Roman" w:hAnsi="Times New Roman" w:cs="Times New Roman" w:eastAsiaTheme="minorEastAsia"/>
                <w:color w:val="auto"/>
                <w:w w:val="99"/>
                <w:sz w:val="21"/>
                <w:szCs w:val="21"/>
                <w:highlight w:val="none"/>
              </w:rPr>
            </w:pPr>
          </w:p>
        </w:tc>
        <w:tc>
          <w:tcPr>
            <w:tcW w:w="257" w:type="pct"/>
            <w:vAlign w:val="center"/>
          </w:tcPr>
          <w:p w14:paraId="49326F42">
            <w:pPr>
              <w:spacing w:line="240" w:lineRule="atLeas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COD</w:t>
            </w:r>
          </w:p>
        </w:tc>
        <w:tc>
          <w:tcPr>
            <w:tcW w:w="275" w:type="pct"/>
            <w:vMerge w:val="continue"/>
            <w:vAlign w:val="center"/>
          </w:tcPr>
          <w:p w14:paraId="2EE325CC">
            <w:pPr>
              <w:spacing w:line="240" w:lineRule="atLeast"/>
              <w:jc w:val="center"/>
              <w:rPr>
                <w:rFonts w:ascii="Times New Roman" w:hAnsi="Times New Roman" w:cs="Times New Roman" w:eastAsiaTheme="minorEastAsia"/>
                <w:color w:val="auto"/>
                <w:w w:val="99"/>
                <w:sz w:val="21"/>
                <w:szCs w:val="21"/>
                <w:highlight w:val="none"/>
              </w:rPr>
            </w:pPr>
          </w:p>
        </w:tc>
        <w:tc>
          <w:tcPr>
            <w:tcW w:w="382" w:type="pct"/>
            <w:vMerge w:val="continue"/>
            <w:vAlign w:val="center"/>
          </w:tcPr>
          <w:p w14:paraId="5B2DCF63">
            <w:pPr>
              <w:spacing w:line="240" w:lineRule="atLeast"/>
              <w:jc w:val="center"/>
              <w:rPr>
                <w:rFonts w:ascii="Times New Roman" w:hAnsi="Times New Roman" w:cs="Times New Roman" w:eastAsiaTheme="minorEastAsia"/>
                <w:snapToGrid w:val="0"/>
                <w:color w:val="auto"/>
                <w:w w:val="99"/>
                <w:sz w:val="21"/>
                <w:szCs w:val="21"/>
                <w:highlight w:val="none"/>
              </w:rPr>
            </w:pPr>
          </w:p>
        </w:tc>
        <w:tc>
          <w:tcPr>
            <w:tcW w:w="386" w:type="pct"/>
            <w:vAlign w:val="center"/>
          </w:tcPr>
          <w:p w14:paraId="0779DF5C">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w:t>
            </w:r>
          </w:p>
        </w:tc>
        <w:tc>
          <w:tcPr>
            <w:tcW w:w="426" w:type="pct"/>
            <w:vAlign w:val="center"/>
          </w:tcPr>
          <w:p w14:paraId="697A9074">
            <w:pPr>
              <w:spacing w:line="240" w:lineRule="atLeas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0.055</w:t>
            </w:r>
          </w:p>
        </w:tc>
        <w:tc>
          <w:tcPr>
            <w:tcW w:w="778" w:type="pct"/>
            <w:vMerge w:val="continue"/>
            <w:vAlign w:val="center"/>
          </w:tcPr>
          <w:p w14:paraId="1E04AFA6">
            <w:pPr>
              <w:spacing w:line="240" w:lineRule="atLeast"/>
              <w:jc w:val="both"/>
              <w:rPr>
                <w:rFonts w:ascii="Times New Roman" w:hAnsi="Times New Roman" w:cs="Times New Roman" w:eastAsiaTheme="minorEastAsia"/>
                <w:color w:val="auto"/>
                <w:w w:val="99"/>
                <w:sz w:val="21"/>
                <w:szCs w:val="21"/>
                <w:highlight w:val="none"/>
              </w:rPr>
            </w:pPr>
          </w:p>
        </w:tc>
        <w:tc>
          <w:tcPr>
            <w:tcW w:w="250" w:type="pct"/>
            <w:vMerge w:val="continue"/>
            <w:vAlign w:val="center"/>
          </w:tcPr>
          <w:p w14:paraId="34D3304C">
            <w:pPr>
              <w:spacing w:line="240" w:lineRule="atLeast"/>
              <w:jc w:val="center"/>
              <w:rPr>
                <w:rFonts w:ascii="Times New Roman" w:hAnsi="Times New Roman" w:cs="Times New Roman" w:eastAsiaTheme="minorEastAsia"/>
                <w:color w:val="auto"/>
                <w:w w:val="99"/>
                <w:sz w:val="21"/>
                <w:szCs w:val="21"/>
                <w:highlight w:val="none"/>
              </w:rPr>
            </w:pPr>
          </w:p>
        </w:tc>
        <w:tc>
          <w:tcPr>
            <w:tcW w:w="298" w:type="pct"/>
            <w:vMerge w:val="continue"/>
            <w:vAlign w:val="center"/>
          </w:tcPr>
          <w:p w14:paraId="24F0A7E8">
            <w:pPr>
              <w:spacing w:line="240" w:lineRule="atLeast"/>
              <w:jc w:val="center"/>
              <w:rPr>
                <w:rFonts w:ascii="Times New Roman" w:hAnsi="Times New Roman" w:cs="Times New Roman" w:eastAsiaTheme="minorEastAsia"/>
                <w:color w:val="auto"/>
                <w:w w:val="99"/>
                <w:sz w:val="21"/>
                <w:szCs w:val="21"/>
                <w:highlight w:val="none"/>
              </w:rPr>
            </w:pPr>
          </w:p>
        </w:tc>
        <w:tc>
          <w:tcPr>
            <w:tcW w:w="386" w:type="pct"/>
            <w:vAlign w:val="center"/>
          </w:tcPr>
          <w:p w14:paraId="3F663005">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302" w:type="pct"/>
            <w:vAlign w:val="center"/>
          </w:tcPr>
          <w:p w14:paraId="4E4D0742">
            <w:pPr>
              <w:spacing w:line="240" w:lineRule="atLeas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301" w:type="pct"/>
            <w:vMerge w:val="continue"/>
            <w:vAlign w:val="center"/>
          </w:tcPr>
          <w:p w14:paraId="7C1C47D7">
            <w:pPr>
              <w:spacing w:line="240" w:lineRule="atLeast"/>
              <w:jc w:val="center"/>
              <w:rPr>
                <w:rFonts w:ascii="Times New Roman" w:hAnsi="Times New Roman" w:cs="Times New Roman" w:eastAsiaTheme="minorEastAsia"/>
                <w:color w:val="auto"/>
                <w:w w:val="99"/>
                <w:sz w:val="21"/>
                <w:szCs w:val="21"/>
                <w:highlight w:val="none"/>
              </w:rPr>
            </w:pPr>
          </w:p>
        </w:tc>
      </w:tr>
    </w:tbl>
    <w:p w14:paraId="262903D3">
      <w:pPr>
        <w:pStyle w:val="153"/>
        <w:widowControl w:val="0"/>
        <w:spacing w:line="440" w:lineRule="exact"/>
        <w:ind w:firstLine="478"/>
        <w:jc w:val="both"/>
        <w:rPr>
          <w:rFonts w:ascii="Times New Roman" w:hAnsi="Times New Roman" w:eastAsiaTheme="minorEastAsia"/>
          <w:b/>
          <w:color w:val="auto"/>
          <w:w w:val="99"/>
          <w:highlight w:val="none"/>
        </w:rPr>
      </w:pPr>
      <w:r>
        <w:rPr>
          <w:rFonts w:ascii="Times New Roman" w:hAnsi="Times New Roman" w:eastAsiaTheme="minorEastAsia"/>
          <w:b/>
          <w:color w:val="auto"/>
          <w:w w:val="99"/>
          <w:kern w:val="2"/>
          <w:szCs w:val="20"/>
          <w:highlight w:val="none"/>
        </w:rPr>
        <w:t>表</w:t>
      </w:r>
      <w:r>
        <w:rPr>
          <w:rFonts w:hint="eastAsia" w:ascii="Times New Roman" w:hAnsi="Times New Roman" w:eastAsiaTheme="minorEastAsia"/>
          <w:b/>
          <w:color w:val="auto"/>
          <w:w w:val="99"/>
          <w:kern w:val="2"/>
          <w:szCs w:val="20"/>
          <w:highlight w:val="none"/>
          <w:lang w:eastAsia="zh-CN"/>
        </w:rPr>
        <w:t>3.1</w:t>
      </w:r>
      <w:r>
        <w:rPr>
          <w:rFonts w:hint="eastAsia" w:ascii="Times New Roman" w:hAnsi="Times New Roman" w:eastAsiaTheme="minorEastAsia"/>
          <w:b/>
          <w:color w:val="auto"/>
          <w:w w:val="99"/>
          <w:kern w:val="2"/>
          <w:szCs w:val="20"/>
          <w:highlight w:val="none"/>
          <w:lang w:val="en-US" w:eastAsia="zh-CN"/>
        </w:rPr>
        <w:t>0</w:t>
      </w:r>
      <w:r>
        <w:rPr>
          <w:rFonts w:ascii="Times New Roman" w:hAnsi="Times New Roman" w:eastAsiaTheme="minorEastAsia"/>
          <w:b/>
          <w:color w:val="auto"/>
          <w:w w:val="99"/>
          <w:kern w:val="2"/>
          <w:szCs w:val="20"/>
          <w:highlight w:val="none"/>
        </w:rPr>
        <w:t>-</w:t>
      </w:r>
      <w:r>
        <w:rPr>
          <w:rFonts w:hint="eastAsia" w:ascii="Times New Roman" w:hAnsi="Times New Roman" w:eastAsiaTheme="minorEastAsia"/>
          <w:b/>
          <w:color w:val="auto"/>
          <w:w w:val="99"/>
          <w:kern w:val="2"/>
          <w:szCs w:val="20"/>
          <w:highlight w:val="none"/>
          <w:lang w:val="en-US" w:eastAsia="zh-CN"/>
        </w:rPr>
        <w:t>17</w:t>
      </w:r>
      <w:r>
        <w:rPr>
          <w:rFonts w:ascii="Times New Roman" w:hAnsi="Times New Roman" w:eastAsiaTheme="minorEastAsia"/>
          <w:b/>
          <w:color w:val="auto"/>
          <w:w w:val="99"/>
          <w:highlight w:val="none"/>
        </w:rPr>
        <w:t xml:space="preserve">    运营期噪声污染源源强核算结果及相关参数表</w:t>
      </w:r>
    </w:p>
    <w:tbl>
      <w:tblPr>
        <w:tblStyle w:val="80"/>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23"/>
        <w:gridCol w:w="1536"/>
        <w:gridCol w:w="1143"/>
        <w:gridCol w:w="1530"/>
        <w:gridCol w:w="1408"/>
        <w:gridCol w:w="1669"/>
        <w:gridCol w:w="1197"/>
        <w:gridCol w:w="1200"/>
        <w:gridCol w:w="1263"/>
        <w:gridCol w:w="1538"/>
      </w:tblGrid>
      <w:tr w14:paraId="3D84D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06" w:type="pct"/>
            <w:vMerge w:val="restart"/>
            <w:vAlign w:val="center"/>
          </w:tcPr>
          <w:p w14:paraId="0E84786B">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工序/生产线</w:t>
            </w:r>
          </w:p>
        </w:tc>
        <w:tc>
          <w:tcPr>
            <w:tcW w:w="540" w:type="pct"/>
            <w:vMerge w:val="restart"/>
            <w:vAlign w:val="center"/>
          </w:tcPr>
          <w:p w14:paraId="0B0C4E48">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装置</w:t>
            </w:r>
          </w:p>
        </w:tc>
        <w:tc>
          <w:tcPr>
            <w:tcW w:w="402" w:type="pct"/>
            <w:vMerge w:val="restart"/>
            <w:vAlign w:val="center"/>
          </w:tcPr>
          <w:p w14:paraId="63E7FA9B">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声源类型</w:t>
            </w:r>
          </w:p>
        </w:tc>
        <w:tc>
          <w:tcPr>
            <w:tcW w:w="1033" w:type="pct"/>
            <w:gridSpan w:val="2"/>
            <w:vAlign w:val="center"/>
          </w:tcPr>
          <w:p w14:paraId="558608EA">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噪声声源</w:t>
            </w:r>
          </w:p>
        </w:tc>
        <w:tc>
          <w:tcPr>
            <w:tcW w:w="1008" w:type="pct"/>
            <w:gridSpan w:val="2"/>
            <w:vAlign w:val="center"/>
          </w:tcPr>
          <w:p w14:paraId="1210D579">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降噪措施</w:t>
            </w:r>
          </w:p>
        </w:tc>
        <w:tc>
          <w:tcPr>
            <w:tcW w:w="866" w:type="pct"/>
            <w:gridSpan w:val="2"/>
            <w:vAlign w:val="center"/>
          </w:tcPr>
          <w:p w14:paraId="2ADA3BFB">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噪声排放值</w:t>
            </w:r>
          </w:p>
        </w:tc>
        <w:tc>
          <w:tcPr>
            <w:tcW w:w="541" w:type="pct"/>
            <w:vMerge w:val="restart"/>
            <w:vAlign w:val="center"/>
          </w:tcPr>
          <w:p w14:paraId="113BC86E">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持续时间（h）</w:t>
            </w:r>
          </w:p>
        </w:tc>
      </w:tr>
      <w:tr w14:paraId="7A328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2C8332C6">
            <w:pPr>
              <w:jc w:val="center"/>
              <w:rPr>
                <w:rFonts w:ascii="Times New Roman" w:hAnsi="Times New Roman" w:cs="Times New Roman" w:eastAsiaTheme="minorEastAsia"/>
                <w:color w:val="auto"/>
                <w:w w:val="99"/>
                <w:sz w:val="21"/>
                <w:szCs w:val="21"/>
                <w:highlight w:val="none"/>
              </w:rPr>
            </w:pPr>
          </w:p>
        </w:tc>
        <w:tc>
          <w:tcPr>
            <w:tcW w:w="540" w:type="pct"/>
            <w:vMerge w:val="continue"/>
            <w:vAlign w:val="center"/>
          </w:tcPr>
          <w:p w14:paraId="403FA9A0">
            <w:pPr>
              <w:jc w:val="center"/>
              <w:rPr>
                <w:rFonts w:ascii="Times New Roman" w:hAnsi="Times New Roman" w:cs="Times New Roman" w:eastAsiaTheme="minorEastAsia"/>
                <w:color w:val="auto"/>
                <w:w w:val="99"/>
                <w:sz w:val="21"/>
                <w:szCs w:val="21"/>
                <w:highlight w:val="none"/>
              </w:rPr>
            </w:pPr>
          </w:p>
        </w:tc>
        <w:tc>
          <w:tcPr>
            <w:tcW w:w="402" w:type="pct"/>
            <w:vMerge w:val="continue"/>
            <w:vAlign w:val="center"/>
          </w:tcPr>
          <w:p w14:paraId="77071483">
            <w:pPr>
              <w:jc w:val="center"/>
              <w:rPr>
                <w:rFonts w:ascii="Times New Roman" w:hAnsi="Times New Roman" w:cs="Times New Roman" w:eastAsiaTheme="minorEastAsia"/>
                <w:color w:val="auto"/>
                <w:w w:val="99"/>
                <w:sz w:val="21"/>
                <w:szCs w:val="21"/>
                <w:highlight w:val="none"/>
              </w:rPr>
            </w:pPr>
          </w:p>
        </w:tc>
        <w:tc>
          <w:tcPr>
            <w:tcW w:w="538" w:type="pct"/>
            <w:vAlign w:val="center"/>
          </w:tcPr>
          <w:p w14:paraId="65AAE1D2">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495" w:type="pct"/>
            <w:vAlign w:val="center"/>
          </w:tcPr>
          <w:p w14:paraId="67A6156C">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噪声值</w:t>
            </w:r>
          </w:p>
          <w:p w14:paraId="6990ABCB">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dB（A）</w:t>
            </w:r>
          </w:p>
        </w:tc>
        <w:tc>
          <w:tcPr>
            <w:tcW w:w="587" w:type="pct"/>
            <w:vAlign w:val="center"/>
          </w:tcPr>
          <w:p w14:paraId="6E1B8999">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工艺</w:t>
            </w:r>
          </w:p>
        </w:tc>
        <w:tc>
          <w:tcPr>
            <w:tcW w:w="421" w:type="pct"/>
            <w:vAlign w:val="center"/>
          </w:tcPr>
          <w:p w14:paraId="317AA047">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降噪效果</w:t>
            </w:r>
          </w:p>
        </w:tc>
        <w:tc>
          <w:tcPr>
            <w:tcW w:w="422" w:type="pct"/>
            <w:vAlign w:val="center"/>
          </w:tcPr>
          <w:p w14:paraId="48639AA2">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444" w:type="pct"/>
            <w:vAlign w:val="center"/>
          </w:tcPr>
          <w:p w14:paraId="303026B3">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噪声值</w:t>
            </w:r>
          </w:p>
          <w:p w14:paraId="42495F71">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dB（A）</w:t>
            </w:r>
          </w:p>
        </w:tc>
        <w:tc>
          <w:tcPr>
            <w:tcW w:w="541" w:type="pct"/>
            <w:vMerge w:val="continue"/>
            <w:vAlign w:val="center"/>
          </w:tcPr>
          <w:p w14:paraId="13DF57A8">
            <w:pPr>
              <w:jc w:val="center"/>
              <w:rPr>
                <w:rFonts w:ascii="Times New Roman" w:hAnsi="Times New Roman" w:cs="Times New Roman" w:eastAsiaTheme="minorEastAsia"/>
                <w:color w:val="auto"/>
                <w:w w:val="99"/>
                <w:sz w:val="21"/>
                <w:szCs w:val="21"/>
                <w:highlight w:val="none"/>
              </w:rPr>
            </w:pPr>
          </w:p>
        </w:tc>
      </w:tr>
      <w:tr w14:paraId="4CB54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06" w:type="pct"/>
            <w:shd w:val="clear" w:color="auto" w:fill="auto"/>
            <w:vAlign w:val="center"/>
          </w:tcPr>
          <w:p w14:paraId="4C3399C7">
            <w:pPr>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井场放空</w:t>
            </w:r>
          </w:p>
        </w:tc>
        <w:tc>
          <w:tcPr>
            <w:tcW w:w="540" w:type="pct"/>
            <w:shd w:val="clear" w:color="auto" w:fill="auto"/>
            <w:vAlign w:val="center"/>
          </w:tcPr>
          <w:p w14:paraId="6A9B16CB">
            <w:pPr>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火炬</w:t>
            </w:r>
          </w:p>
        </w:tc>
        <w:tc>
          <w:tcPr>
            <w:tcW w:w="402" w:type="pct"/>
            <w:shd w:val="clear" w:color="auto" w:fill="auto"/>
            <w:vAlign w:val="center"/>
          </w:tcPr>
          <w:p w14:paraId="61C51F58">
            <w:pPr>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突发</w:t>
            </w:r>
          </w:p>
        </w:tc>
        <w:tc>
          <w:tcPr>
            <w:tcW w:w="538" w:type="pct"/>
            <w:shd w:val="clear" w:color="auto" w:fill="auto"/>
            <w:vAlign w:val="center"/>
          </w:tcPr>
          <w:p w14:paraId="6326EB2D">
            <w:pPr>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类比法</w:t>
            </w:r>
          </w:p>
        </w:tc>
        <w:tc>
          <w:tcPr>
            <w:tcW w:w="495" w:type="pct"/>
            <w:tcBorders>
              <w:top w:val="single" w:color="auto" w:sz="4" w:space="0"/>
            </w:tcBorders>
            <w:shd w:val="clear" w:color="auto" w:fill="auto"/>
            <w:vAlign w:val="center"/>
          </w:tcPr>
          <w:p w14:paraId="5A1CC412">
            <w:pPr>
              <w:pStyle w:val="2857"/>
              <w:keepNext w:val="0"/>
              <w:keepLines w:val="0"/>
              <w:pageBreakBefore w:val="0"/>
              <w:widowControl w:val="0"/>
              <w:wordWrap/>
              <w:overflowPunct/>
              <w:topLinePunct w:val="0"/>
              <w:bidi w:val="0"/>
              <w:spacing w:line="360" w:lineRule="exact"/>
              <w:ind w:left="0" w:leftChars="0"/>
              <w:jc w:val="center"/>
              <w:rPr>
                <w:rFonts w:hint="eastAsia"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en-US" w:bidi="ar-SA"/>
              </w:rPr>
              <w:t>95～105</w:t>
            </w:r>
          </w:p>
        </w:tc>
        <w:tc>
          <w:tcPr>
            <w:tcW w:w="587" w:type="pct"/>
            <w:vMerge w:val="restart"/>
            <w:tcBorders>
              <w:top w:val="single" w:color="auto" w:sz="4" w:space="0"/>
            </w:tcBorders>
            <w:vAlign w:val="center"/>
          </w:tcPr>
          <w:p w14:paraId="57414A0B">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选用低噪声设备，采取隔声、基础减振等措</w:t>
            </w:r>
          </w:p>
        </w:tc>
        <w:tc>
          <w:tcPr>
            <w:tcW w:w="421" w:type="pct"/>
            <w:shd w:val="clear" w:color="auto" w:fill="auto"/>
            <w:vAlign w:val="center"/>
          </w:tcPr>
          <w:p w14:paraId="1A809AA9">
            <w:pPr>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0</w:t>
            </w:r>
          </w:p>
        </w:tc>
        <w:tc>
          <w:tcPr>
            <w:tcW w:w="422" w:type="pct"/>
            <w:shd w:val="clear" w:color="auto" w:fill="auto"/>
            <w:vAlign w:val="center"/>
          </w:tcPr>
          <w:p w14:paraId="3F8AE18A">
            <w:pPr>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类比法</w:t>
            </w:r>
          </w:p>
        </w:tc>
        <w:tc>
          <w:tcPr>
            <w:tcW w:w="444" w:type="pct"/>
            <w:shd w:val="clear" w:color="auto" w:fill="auto"/>
            <w:vAlign w:val="center"/>
          </w:tcPr>
          <w:p w14:paraId="282FA1B2">
            <w:pPr>
              <w:pStyle w:val="2857"/>
              <w:keepNext w:val="0"/>
              <w:keepLines w:val="0"/>
              <w:pageBreakBefore w:val="0"/>
              <w:widowControl w:val="0"/>
              <w:wordWrap/>
              <w:overflowPunct/>
              <w:topLinePunct w:val="0"/>
              <w:bidi w:val="0"/>
              <w:spacing w:line="360" w:lineRule="exact"/>
              <w:ind w:left="0" w:leftChars="0"/>
              <w:jc w:val="center"/>
              <w:rPr>
                <w:rFonts w:hint="eastAsia"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en-US" w:bidi="ar-SA"/>
              </w:rPr>
              <w:t>95～105</w:t>
            </w:r>
          </w:p>
        </w:tc>
        <w:tc>
          <w:tcPr>
            <w:tcW w:w="541" w:type="pct"/>
            <w:shd w:val="clear" w:color="auto" w:fill="auto"/>
            <w:vAlign w:val="center"/>
          </w:tcPr>
          <w:p w14:paraId="2408A4AF">
            <w:pPr>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突发</w:t>
            </w:r>
          </w:p>
        </w:tc>
      </w:tr>
      <w:tr w14:paraId="1CC55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06" w:type="pct"/>
            <w:vAlign w:val="center"/>
          </w:tcPr>
          <w:p w14:paraId="69C7407F">
            <w:pPr>
              <w:jc w:val="center"/>
              <w:rPr>
                <w:rFonts w:ascii="Times New Roman" w:hAnsi="Times New Roman" w:cs="Times New Roman" w:eastAsiaTheme="minorEastAsia"/>
                <w:snapToGrid w:val="0"/>
                <w:color w:val="auto"/>
                <w:w w:val="99"/>
                <w:sz w:val="21"/>
                <w:szCs w:val="21"/>
                <w:highlight w:val="none"/>
              </w:rPr>
            </w:pPr>
            <w:r>
              <w:rPr>
                <w:rFonts w:hint="default" w:ascii="Times New Roman" w:hAnsi="Times New Roman" w:eastAsia="宋体" w:cs="Times New Roman"/>
                <w:color w:val="auto"/>
                <w:spacing w:val="0"/>
                <w:w w:val="99"/>
                <w:position w:val="0"/>
                <w:sz w:val="21"/>
                <w:szCs w:val="21"/>
                <w:highlight w:val="none"/>
                <w:lang w:val="en-US" w:eastAsia="en-US" w:bidi="ar-SA"/>
              </w:rPr>
              <w:t>集气站放空系统</w:t>
            </w:r>
          </w:p>
        </w:tc>
        <w:tc>
          <w:tcPr>
            <w:tcW w:w="540" w:type="pct"/>
            <w:vAlign w:val="center"/>
          </w:tcPr>
          <w:p w14:paraId="3E344E51">
            <w:pPr>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火炬</w:t>
            </w:r>
          </w:p>
        </w:tc>
        <w:tc>
          <w:tcPr>
            <w:tcW w:w="402" w:type="pct"/>
            <w:vAlign w:val="center"/>
          </w:tcPr>
          <w:p w14:paraId="0396BFB0">
            <w:pPr>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突发</w:t>
            </w:r>
          </w:p>
        </w:tc>
        <w:tc>
          <w:tcPr>
            <w:tcW w:w="538" w:type="pct"/>
            <w:vAlign w:val="center"/>
          </w:tcPr>
          <w:p w14:paraId="12B1A8D7">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类比法</w:t>
            </w:r>
          </w:p>
        </w:tc>
        <w:tc>
          <w:tcPr>
            <w:tcW w:w="495" w:type="pct"/>
            <w:shd w:val="clear" w:color="auto" w:fill="auto"/>
            <w:vAlign w:val="center"/>
          </w:tcPr>
          <w:p w14:paraId="1C3B88D9">
            <w:pPr>
              <w:pStyle w:val="2857"/>
              <w:keepNext w:val="0"/>
              <w:keepLines w:val="0"/>
              <w:pageBreakBefore w:val="0"/>
              <w:widowControl w:val="0"/>
              <w:wordWrap/>
              <w:overflowPunct/>
              <w:topLinePunct w:val="0"/>
              <w:bidi w:val="0"/>
              <w:spacing w:line="360" w:lineRule="exact"/>
              <w:ind w:left="0" w:leftChars="0"/>
              <w:jc w:val="center"/>
              <w:rPr>
                <w:rFonts w:hint="eastAsia"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en-US" w:bidi="ar-SA"/>
              </w:rPr>
              <w:t>95～105</w:t>
            </w:r>
          </w:p>
        </w:tc>
        <w:tc>
          <w:tcPr>
            <w:tcW w:w="587" w:type="pct"/>
            <w:vMerge w:val="continue"/>
            <w:vAlign w:val="center"/>
          </w:tcPr>
          <w:p w14:paraId="090EFB35">
            <w:pPr>
              <w:jc w:val="center"/>
              <w:rPr>
                <w:rFonts w:ascii="Times New Roman" w:hAnsi="Times New Roman" w:cs="Times New Roman" w:eastAsiaTheme="minorEastAsia"/>
                <w:color w:val="auto"/>
                <w:w w:val="99"/>
                <w:sz w:val="21"/>
                <w:szCs w:val="21"/>
                <w:highlight w:val="none"/>
              </w:rPr>
            </w:pPr>
          </w:p>
        </w:tc>
        <w:tc>
          <w:tcPr>
            <w:tcW w:w="421" w:type="pct"/>
            <w:vAlign w:val="center"/>
          </w:tcPr>
          <w:p w14:paraId="32800F20">
            <w:pPr>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w:t>
            </w:r>
          </w:p>
        </w:tc>
        <w:tc>
          <w:tcPr>
            <w:tcW w:w="422" w:type="pct"/>
            <w:vAlign w:val="center"/>
          </w:tcPr>
          <w:p w14:paraId="0C36FEC6">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类比法</w:t>
            </w:r>
          </w:p>
        </w:tc>
        <w:tc>
          <w:tcPr>
            <w:tcW w:w="444" w:type="pct"/>
            <w:vAlign w:val="center"/>
          </w:tcPr>
          <w:p w14:paraId="1615C24E">
            <w:pPr>
              <w:pStyle w:val="2857"/>
              <w:keepNext w:val="0"/>
              <w:keepLines w:val="0"/>
              <w:pageBreakBefore w:val="0"/>
              <w:widowControl w:val="0"/>
              <w:wordWrap/>
              <w:overflowPunct/>
              <w:topLinePunct w:val="0"/>
              <w:bidi w:val="0"/>
              <w:spacing w:line="360" w:lineRule="exact"/>
              <w:ind w:left="0" w:leftChars="0"/>
              <w:jc w:val="center"/>
              <w:rPr>
                <w:rFonts w:hint="eastAsia" w:ascii="Times New Roman" w:hAnsi="Times New Roman" w:cs="Times New Roman" w:eastAsiaTheme="minorEastAsia"/>
                <w:color w:val="auto"/>
                <w:w w:val="99"/>
                <w:sz w:val="21"/>
                <w:szCs w:val="21"/>
                <w:highlight w:val="none"/>
                <w:lang w:val="en-US" w:eastAsia="zh-CN"/>
              </w:rPr>
            </w:pPr>
            <w:r>
              <w:rPr>
                <w:rFonts w:hint="default" w:ascii="Times New Roman" w:hAnsi="Times New Roman" w:eastAsia="宋体" w:cs="Times New Roman"/>
                <w:color w:val="auto"/>
                <w:spacing w:val="0"/>
                <w:w w:val="99"/>
                <w:position w:val="0"/>
                <w:sz w:val="21"/>
                <w:szCs w:val="21"/>
                <w:highlight w:val="none"/>
                <w:lang w:val="en-US" w:eastAsia="en-US" w:bidi="ar-SA"/>
              </w:rPr>
              <w:t>95～105</w:t>
            </w:r>
          </w:p>
        </w:tc>
        <w:tc>
          <w:tcPr>
            <w:tcW w:w="541" w:type="pct"/>
            <w:vAlign w:val="center"/>
          </w:tcPr>
          <w:p w14:paraId="6448D47D">
            <w:pPr>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突发</w:t>
            </w:r>
          </w:p>
        </w:tc>
      </w:tr>
      <w:tr w14:paraId="0C462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2" w:hRule="atLeast"/>
          <w:jc w:val="center"/>
        </w:trPr>
        <w:tc>
          <w:tcPr>
            <w:tcW w:w="606" w:type="pct"/>
            <w:vAlign w:val="center"/>
          </w:tcPr>
          <w:p w14:paraId="6A194F4B">
            <w:pPr>
              <w:pStyle w:val="2857"/>
              <w:keepNext w:val="0"/>
              <w:keepLines w:val="0"/>
              <w:pageBreakBefore w:val="0"/>
              <w:widowControl w:val="0"/>
              <w:wordWrap/>
              <w:overflowPunct/>
              <w:topLinePunct w:val="0"/>
              <w:bidi w:val="0"/>
              <w:spacing w:line="360" w:lineRule="exact"/>
              <w:ind w:left="0" w:leftChars="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作业施工噪声</w:t>
            </w:r>
          </w:p>
        </w:tc>
        <w:tc>
          <w:tcPr>
            <w:tcW w:w="540" w:type="pct"/>
            <w:vAlign w:val="center"/>
          </w:tcPr>
          <w:p w14:paraId="0EEFE83A">
            <w:pPr>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施工机械</w:t>
            </w:r>
          </w:p>
        </w:tc>
        <w:tc>
          <w:tcPr>
            <w:tcW w:w="402" w:type="pct"/>
            <w:vAlign w:val="center"/>
          </w:tcPr>
          <w:p w14:paraId="61292E04">
            <w:pPr>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突发</w:t>
            </w:r>
          </w:p>
        </w:tc>
        <w:tc>
          <w:tcPr>
            <w:tcW w:w="538" w:type="pct"/>
            <w:vAlign w:val="center"/>
          </w:tcPr>
          <w:p w14:paraId="0E32302F">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类比法</w:t>
            </w:r>
          </w:p>
        </w:tc>
        <w:tc>
          <w:tcPr>
            <w:tcW w:w="495" w:type="pct"/>
            <w:shd w:val="clear" w:color="auto" w:fill="auto"/>
            <w:vAlign w:val="center"/>
          </w:tcPr>
          <w:p w14:paraId="5D1ABF21">
            <w:pPr>
              <w:keepNext w:val="0"/>
              <w:keepLines w:val="0"/>
              <w:pageBreakBefore w:val="0"/>
              <w:widowControl w:val="0"/>
              <w:wordWrap/>
              <w:overflowPunct/>
              <w:topLinePunct w:val="0"/>
              <w:bidi w:val="0"/>
              <w:spacing w:line="360" w:lineRule="exact"/>
              <w:ind w:left="0" w:leftChars="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75~95</w:t>
            </w:r>
          </w:p>
        </w:tc>
        <w:tc>
          <w:tcPr>
            <w:tcW w:w="587" w:type="pct"/>
            <w:vMerge w:val="continue"/>
            <w:vAlign w:val="center"/>
          </w:tcPr>
          <w:p w14:paraId="136BC9ED">
            <w:pPr>
              <w:jc w:val="center"/>
              <w:rPr>
                <w:rFonts w:ascii="Times New Roman" w:hAnsi="Times New Roman" w:cs="Times New Roman" w:eastAsiaTheme="minorEastAsia"/>
                <w:color w:val="auto"/>
                <w:w w:val="99"/>
                <w:sz w:val="21"/>
                <w:szCs w:val="21"/>
                <w:highlight w:val="none"/>
              </w:rPr>
            </w:pPr>
          </w:p>
        </w:tc>
        <w:tc>
          <w:tcPr>
            <w:tcW w:w="421" w:type="pct"/>
            <w:vAlign w:val="center"/>
          </w:tcPr>
          <w:p w14:paraId="3F736FDA">
            <w:pPr>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w:t>
            </w:r>
          </w:p>
        </w:tc>
        <w:tc>
          <w:tcPr>
            <w:tcW w:w="422" w:type="pct"/>
            <w:vAlign w:val="center"/>
          </w:tcPr>
          <w:p w14:paraId="1D531A69">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类比法</w:t>
            </w:r>
          </w:p>
        </w:tc>
        <w:tc>
          <w:tcPr>
            <w:tcW w:w="444" w:type="pct"/>
            <w:vAlign w:val="center"/>
          </w:tcPr>
          <w:p w14:paraId="452B825A">
            <w:pPr>
              <w:keepNext w:val="0"/>
              <w:keepLines w:val="0"/>
              <w:pageBreakBefore w:val="0"/>
              <w:widowControl w:val="0"/>
              <w:wordWrap/>
              <w:overflowPunct/>
              <w:topLinePunct w:val="0"/>
              <w:bidi w:val="0"/>
              <w:spacing w:line="360" w:lineRule="exact"/>
              <w:ind w:left="0" w:leftChars="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75~95</w:t>
            </w:r>
          </w:p>
        </w:tc>
        <w:tc>
          <w:tcPr>
            <w:tcW w:w="541" w:type="pct"/>
            <w:vAlign w:val="center"/>
          </w:tcPr>
          <w:p w14:paraId="7F1A68BB">
            <w:pPr>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突发</w:t>
            </w:r>
          </w:p>
        </w:tc>
      </w:tr>
      <w:tr w14:paraId="5CEB9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06" w:type="pct"/>
            <w:vAlign w:val="center"/>
          </w:tcPr>
          <w:p w14:paraId="09A06146">
            <w:pPr>
              <w:pStyle w:val="2857"/>
              <w:keepNext w:val="0"/>
              <w:keepLines w:val="0"/>
              <w:pageBreakBefore w:val="0"/>
              <w:widowControl w:val="0"/>
              <w:wordWrap/>
              <w:overflowPunct/>
              <w:topLinePunct w:val="0"/>
              <w:bidi w:val="0"/>
              <w:spacing w:line="360" w:lineRule="exact"/>
              <w:ind w:left="0" w:leftChars="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放喷噪声</w:t>
            </w:r>
          </w:p>
        </w:tc>
        <w:tc>
          <w:tcPr>
            <w:tcW w:w="540" w:type="pct"/>
            <w:vAlign w:val="center"/>
          </w:tcPr>
          <w:p w14:paraId="6140D314">
            <w:pPr>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井场放喷</w:t>
            </w:r>
          </w:p>
        </w:tc>
        <w:tc>
          <w:tcPr>
            <w:tcW w:w="402" w:type="pct"/>
            <w:vAlign w:val="center"/>
          </w:tcPr>
          <w:p w14:paraId="67961F4F">
            <w:pPr>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突发</w:t>
            </w:r>
          </w:p>
        </w:tc>
        <w:tc>
          <w:tcPr>
            <w:tcW w:w="538" w:type="pct"/>
            <w:vAlign w:val="center"/>
          </w:tcPr>
          <w:p w14:paraId="358C2DAC">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类比法</w:t>
            </w:r>
          </w:p>
        </w:tc>
        <w:tc>
          <w:tcPr>
            <w:tcW w:w="495" w:type="pct"/>
            <w:shd w:val="clear" w:color="auto" w:fill="auto"/>
            <w:vAlign w:val="center"/>
          </w:tcPr>
          <w:p w14:paraId="23D3DE68">
            <w:pPr>
              <w:pStyle w:val="2857"/>
              <w:keepNext w:val="0"/>
              <w:keepLines w:val="0"/>
              <w:pageBreakBefore w:val="0"/>
              <w:widowControl w:val="0"/>
              <w:wordWrap/>
              <w:overflowPunct/>
              <w:topLinePunct w:val="0"/>
              <w:bidi w:val="0"/>
              <w:spacing w:line="360" w:lineRule="exact"/>
              <w:ind w:left="0" w:leftChars="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95～105</w:t>
            </w:r>
          </w:p>
        </w:tc>
        <w:tc>
          <w:tcPr>
            <w:tcW w:w="587" w:type="pct"/>
            <w:vMerge w:val="continue"/>
            <w:vAlign w:val="center"/>
          </w:tcPr>
          <w:p w14:paraId="079F165A">
            <w:pPr>
              <w:jc w:val="center"/>
              <w:rPr>
                <w:rFonts w:ascii="Times New Roman" w:hAnsi="Times New Roman" w:cs="Times New Roman" w:eastAsiaTheme="minorEastAsia"/>
                <w:color w:val="auto"/>
                <w:w w:val="99"/>
                <w:sz w:val="21"/>
                <w:szCs w:val="21"/>
                <w:highlight w:val="none"/>
              </w:rPr>
            </w:pPr>
          </w:p>
        </w:tc>
        <w:tc>
          <w:tcPr>
            <w:tcW w:w="421" w:type="pct"/>
            <w:vAlign w:val="center"/>
          </w:tcPr>
          <w:p w14:paraId="1F02023D">
            <w:pPr>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w:t>
            </w:r>
          </w:p>
        </w:tc>
        <w:tc>
          <w:tcPr>
            <w:tcW w:w="422" w:type="pct"/>
            <w:vAlign w:val="center"/>
          </w:tcPr>
          <w:p w14:paraId="3B905C16">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类比法</w:t>
            </w:r>
          </w:p>
        </w:tc>
        <w:tc>
          <w:tcPr>
            <w:tcW w:w="444" w:type="pct"/>
            <w:vAlign w:val="center"/>
          </w:tcPr>
          <w:p w14:paraId="1C5DA855">
            <w:pPr>
              <w:pStyle w:val="2857"/>
              <w:keepNext w:val="0"/>
              <w:keepLines w:val="0"/>
              <w:pageBreakBefore w:val="0"/>
              <w:widowControl w:val="0"/>
              <w:wordWrap/>
              <w:overflowPunct/>
              <w:topLinePunct w:val="0"/>
              <w:bidi w:val="0"/>
              <w:spacing w:line="360" w:lineRule="exact"/>
              <w:ind w:left="0" w:leftChars="0"/>
              <w:jc w:val="center"/>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95～105</w:t>
            </w:r>
          </w:p>
        </w:tc>
        <w:tc>
          <w:tcPr>
            <w:tcW w:w="541" w:type="pct"/>
            <w:vAlign w:val="center"/>
          </w:tcPr>
          <w:p w14:paraId="073D98E3">
            <w:pPr>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突发</w:t>
            </w:r>
          </w:p>
        </w:tc>
      </w:tr>
    </w:tbl>
    <w:p w14:paraId="02DA776F">
      <w:pPr>
        <w:pStyle w:val="153"/>
        <w:widowControl w:val="0"/>
        <w:spacing w:line="440" w:lineRule="exact"/>
        <w:ind w:firstLine="478"/>
        <w:jc w:val="both"/>
        <w:rPr>
          <w:rFonts w:ascii="Times New Roman" w:hAnsi="Times New Roman" w:eastAsiaTheme="minorEastAsia"/>
          <w:b/>
          <w:color w:val="auto"/>
          <w:w w:val="99"/>
          <w:kern w:val="2"/>
          <w:highlight w:val="none"/>
        </w:rPr>
      </w:pPr>
      <w:r>
        <w:rPr>
          <w:rFonts w:ascii="Times New Roman" w:hAnsi="Times New Roman" w:eastAsiaTheme="minorEastAsia"/>
          <w:b/>
          <w:color w:val="auto"/>
          <w:w w:val="99"/>
          <w:kern w:val="2"/>
          <w:highlight w:val="none"/>
        </w:rPr>
        <w:t>表</w:t>
      </w:r>
      <w:r>
        <w:rPr>
          <w:rFonts w:hint="eastAsia" w:ascii="Times New Roman" w:hAnsi="Times New Roman" w:eastAsiaTheme="minorEastAsia"/>
          <w:b/>
          <w:color w:val="auto"/>
          <w:w w:val="99"/>
          <w:kern w:val="2"/>
          <w:highlight w:val="none"/>
          <w:lang w:eastAsia="zh-CN"/>
        </w:rPr>
        <w:t>3.1</w:t>
      </w:r>
      <w:r>
        <w:rPr>
          <w:rFonts w:hint="eastAsia" w:ascii="Times New Roman" w:hAnsi="Times New Roman" w:eastAsiaTheme="minorEastAsia"/>
          <w:b/>
          <w:color w:val="auto"/>
          <w:w w:val="99"/>
          <w:kern w:val="2"/>
          <w:highlight w:val="none"/>
          <w:lang w:val="en-US" w:eastAsia="zh-CN"/>
        </w:rPr>
        <w:t>0</w:t>
      </w:r>
      <w:r>
        <w:rPr>
          <w:rFonts w:ascii="Times New Roman" w:hAnsi="Times New Roman" w:eastAsiaTheme="minorEastAsia"/>
          <w:b/>
          <w:color w:val="auto"/>
          <w:w w:val="99"/>
          <w:kern w:val="2"/>
          <w:highlight w:val="none"/>
        </w:rPr>
        <w:t>-</w:t>
      </w:r>
      <w:r>
        <w:rPr>
          <w:rFonts w:hint="eastAsia" w:ascii="Times New Roman" w:hAnsi="Times New Roman" w:eastAsiaTheme="minorEastAsia"/>
          <w:b/>
          <w:color w:val="auto"/>
          <w:w w:val="99"/>
          <w:kern w:val="2"/>
          <w:highlight w:val="none"/>
          <w:lang w:val="en-US" w:eastAsia="zh-CN"/>
        </w:rPr>
        <w:t>18</w:t>
      </w:r>
      <w:r>
        <w:rPr>
          <w:rFonts w:ascii="Times New Roman" w:hAnsi="Times New Roman" w:eastAsiaTheme="minorEastAsia"/>
          <w:b/>
          <w:color w:val="auto"/>
          <w:w w:val="99"/>
          <w:kern w:val="2"/>
          <w:highlight w:val="none"/>
        </w:rPr>
        <w:t xml:space="preserve">    运营期</w:t>
      </w:r>
      <w:r>
        <w:rPr>
          <w:rFonts w:ascii="Times New Roman" w:hAnsi="Times New Roman" w:eastAsiaTheme="minorEastAsia"/>
          <w:b/>
          <w:color w:val="auto"/>
          <w:w w:val="99"/>
          <w:highlight w:val="none"/>
        </w:rPr>
        <w:t>固体废物</w:t>
      </w:r>
      <w:r>
        <w:rPr>
          <w:rFonts w:ascii="Times New Roman" w:hAnsi="Times New Roman" w:eastAsiaTheme="minorEastAsia"/>
          <w:b/>
          <w:color w:val="auto"/>
          <w:w w:val="99"/>
          <w:kern w:val="2"/>
          <w:highlight w:val="none"/>
        </w:rPr>
        <w:t>污染源源强核算结果及相关参数一览表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1"/>
        <w:gridCol w:w="1295"/>
        <w:gridCol w:w="1155"/>
        <w:gridCol w:w="1152"/>
        <w:gridCol w:w="1152"/>
        <w:gridCol w:w="1585"/>
        <w:gridCol w:w="2020"/>
        <w:gridCol w:w="1386"/>
        <w:gridCol w:w="3332"/>
      </w:tblGrid>
      <w:tr w14:paraId="0182F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1" w:type="pct"/>
            <w:vMerge w:val="restart"/>
            <w:vAlign w:val="center"/>
          </w:tcPr>
          <w:p w14:paraId="12249081">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工序/生产线</w:t>
            </w:r>
          </w:p>
        </w:tc>
        <w:tc>
          <w:tcPr>
            <w:tcW w:w="455" w:type="pct"/>
            <w:vMerge w:val="restart"/>
            <w:vAlign w:val="center"/>
          </w:tcPr>
          <w:p w14:paraId="1FC85AAB">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装置</w:t>
            </w:r>
          </w:p>
        </w:tc>
        <w:tc>
          <w:tcPr>
            <w:tcW w:w="406" w:type="pct"/>
            <w:vMerge w:val="restart"/>
            <w:vAlign w:val="center"/>
          </w:tcPr>
          <w:p w14:paraId="644B0645">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固体废物名称</w:t>
            </w:r>
          </w:p>
        </w:tc>
        <w:tc>
          <w:tcPr>
            <w:tcW w:w="405" w:type="pct"/>
            <w:vMerge w:val="restart"/>
            <w:vAlign w:val="center"/>
          </w:tcPr>
          <w:p w14:paraId="2D3C6F17">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固废属性</w:t>
            </w:r>
          </w:p>
        </w:tc>
        <w:tc>
          <w:tcPr>
            <w:tcW w:w="962" w:type="pct"/>
            <w:gridSpan w:val="2"/>
            <w:vAlign w:val="center"/>
          </w:tcPr>
          <w:p w14:paraId="027EA006">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产生情况</w:t>
            </w:r>
          </w:p>
        </w:tc>
        <w:tc>
          <w:tcPr>
            <w:tcW w:w="1197" w:type="pct"/>
            <w:gridSpan w:val="2"/>
            <w:vAlign w:val="center"/>
          </w:tcPr>
          <w:p w14:paraId="4ECDB16A">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处置措施</w:t>
            </w:r>
          </w:p>
        </w:tc>
        <w:tc>
          <w:tcPr>
            <w:tcW w:w="1171" w:type="pct"/>
            <w:vMerge w:val="restart"/>
            <w:vAlign w:val="center"/>
          </w:tcPr>
          <w:p w14:paraId="441C01EE">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最终去向</w:t>
            </w:r>
          </w:p>
        </w:tc>
      </w:tr>
      <w:tr w14:paraId="39DB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1" w:type="pct"/>
            <w:vMerge w:val="continue"/>
            <w:vAlign w:val="center"/>
          </w:tcPr>
          <w:p w14:paraId="175D1DE0">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p>
        </w:tc>
        <w:tc>
          <w:tcPr>
            <w:tcW w:w="455" w:type="pct"/>
            <w:vMerge w:val="continue"/>
            <w:vAlign w:val="center"/>
          </w:tcPr>
          <w:p w14:paraId="6A4FEAB2">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p>
        </w:tc>
        <w:tc>
          <w:tcPr>
            <w:tcW w:w="406" w:type="pct"/>
            <w:vMerge w:val="continue"/>
            <w:vAlign w:val="center"/>
          </w:tcPr>
          <w:p w14:paraId="16EBAF95">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p>
        </w:tc>
        <w:tc>
          <w:tcPr>
            <w:tcW w:w="405" w:type="pct"/>
            <w:vMerge w:val="continue"/>
            <w:vAlign w:val="center"/>
          </w:tcPr>
          <w:p w14:paraId="6ABB9B20">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p>
        </w:tc>
        <w:tc>
          <w:tcPr>
            <w:tcW w:w="405" w:type="pct"/>
            <w:vAlign w:val="center"/>
          </w:tcPr>
          <w:p w14:paraId="3A3B1D13">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核算方法</w:t>
            </w:r>
          </w:p>
        </w:tc>
        <w:tc>
          <w:tcPr>
            <w:tcW w:w="557" w:type="pct"/>
            <w:vAlign w:val="center"/>
          </w:tcPr>
          <w:p w14:paraId="08D744D0">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产生量（t/a）</w:t>
            </w:r>
          </w:p>
        </w:tc>
        <w:tc>
          <w:tcPr>
            <w:tcW w:w="710" w:type="pct"/>
            <w:vAlign w:val="center"/>
          </w:tcPr>
          <w:p w14:paraId="45778A0C">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工艺</w:t>
            </w:r>
          </w:p>
        </w:tc>
        <w:tc>
          <w:tcPr>
            <w:tcW w:w="487" w:type="pct"/>
            <w:vAlign w:val="center"/>
          </w:tcPr>
          <w:p w14:paraId="15F7C7D4">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处置量（t/a）</w:t>
            </w:r>
          </w:p>
        </w:tc>
        <w:tc>
          <w:tcPr>
            <w:tcW w:w="1171" w:type="pct"/>
            <w:vMerge w:val="continue"/>
            <w:vAlign w:val="center"/>
          </w:tcPr>
          <w:p w14:paraId="5DB9BED8">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p>
        </w:tc>
      </w:tr>
      <w:tr w14:paraId="632FB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1" w:type="pct"/>
            <w:vAlign w:val="center"/>
          </w:tcPr>
          <w:p w14:paraId="2DF76B95">
            <w:pPr>
              <w:tabs>
                <w:tab w:val="center" w:pos="4153"/>
                <w:tab w:val="right" w:pos="8306"/>
              </w:tabs>
              <w:spacing w:line="320" w:lineRule="exact"/>
              <w:jc w:val="center"/>
              <w:rPr>
                <w:rFonts w:hint="eastAsia" w:ascii="Times New Roman" w:hAnsi="Times New Roman" w:cs="Times New Roman" w:eastAsiaTheme="minorEastAsia"/>
                <w:snapToGrid w:val="0"/>
                <w:color w:val="auto"/>
                <w:w w:val="99"/>
                <w:sz w:val="21"/>
                <w:szCs w:val="21"/>
                <w:highlight w:val="none"/>
                <w:lang w:eastAsia="zh-CN"/>
              </w:rPr>
            </w:pPr>
            <w:r>
              <w:rPr>
                <w:rFonts w:hint="eastAsia" w:ascii="Times New Roman" w:hAnsi="Times New Roman" w:cs="Times New Roman" w:eastAsiaTheme="minorEastAsia"/>
                <w:snapToGrid w:val="0"/>
                <w:color w:val="auto"/>
                <w:w w:val="99"/>
                <w:sz w:val="21"/>
                <w:szCs w:val="21"/>
                <w:highlight w:val="none"/>
                <w:lang w:val="en-US" w:eastAsia="zh-CN"/>
              </w:rPr>
              <w:t>采气</w:t>
            </w:r>
          </w:p>
        </w:tc>
        <w:tc>
          <w:tcPr>
            <w:tcW w:w="455" w:type="pct"/>
            <w:vAlign w:val="center"/>
          </w:tcPr>
          <w:p w14:paraId="07E7107E">
            <w:pPr>
              <w:tabs>
                <w:tab w:val="center" w:pos="4153"/>
                <w:tab w:val="right" w:pos="8306"/>
              </w:tabs>
              <w:spacing w:line="320" w:lineRule="exact"/>
              <w:jc w:val="center"/>
              <w:rPr>
                <w:rFonts w:hint="eastAsia" w:ascii="Times New Roman" w:hAnsi="Times New Roman" w:cs="Times New Roman" w:eastAsiaTheme="minorEastAsia"/>
                <w:snapToGrid w:val="0"/>
                <w:color w:val="auto"/>
                <w:w w:val="99"/>
                <w:sz w:val="21"/>
                <w:szCs w:val="21"/>
                <w:highlight w:val="none"/>
                <w:lang w:eastAsia="zh-CN"/>
              </w:rPr>
            </w:pPr>
            <w:r>
              <w:rPr>
                <w:rFonts w:hint="eastAsia" w:ascii="Times New Roman" w:hAnsi="Times New Roman" w:cs="Times New Roman" w:eastAsiaTheme="minorEastAsia"/>
                <w:snapToGrid w:val="0"/>
                <w:color w:val="auto"/>
                <w:w w:val="99"/>
                <w:sz w:val="21"/>
                <w:szCs w:val="21"/>
                <w:highlight w:val="none"/>
                <w:lang w:val="en-US" w:eastAsia="zh-CN"/>
              </w:rPr>
              <w:t>井场</w:t>
            </w:r>
          </w:p>
        </w:tc>
        <w:tc>
          <w:tcPr>
            <w:tcW w:w="406" w:type="pct"/>
            <w:vAlign w:val="center"/>
          </w:tcPr>
          <w:p w14:paraId="467071B0">
            <w:pPr>
              <w:tabs>
                <w:tab w:val="center" w:pos="4153"/>
                <w:tab w:val="right" w:pos="8306"/>
              </w:tabs>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井口含油砂砾</w:t>
            </w:r>
          </w:p>
        </w:tc>
        <w:tc>
          <w:tcPr>
            <w:tcW w:w="405" w:type="pct"/>
            <w:vAlign w:val="center"/>
          </w:tcPr>
          <w:p w14:paraId="62C64474">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危险废物</w:t>
            </w:r>
          </w:p>
        </w:tc>
        <w:tc>
          <w:tcPr>
            <w:tcW w:w="405" w:type="pct"/>
            <w:vAlign w:val="center"/>
          </w:tcPr>
          <w:p w14:paraId="6B3CF5F9">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557" w:type="pct"/>
            <w:vAlign w:val="center"/>
          </w:tcPr>
          <w:p w14:paraId="1CB53783">
            <w:pPr>
              <w:tabs>
                <w:tab w:val="center" w:pos="4153"/>
                <w:tab w:val="right" w:pos="8306"/>
              </w:tabs>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0.01</w:t>
            </w:r>
          </w:p>
        </w:tc>
        <w:tc>
          <w:tcPr>
            <w:tcW w:w="710" w:type="pct"/>
            <w:vAlign w:val="center"/>
          </w:tcPr>
          <w:p w14:paraId="6F1F5F59">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委托有资质单位处理</w:t>
            </w:r>
          </w:p>
        </w:tc>
        <w:tc>
          <w:tcPr>
            <w:tcW w:w="1386" w:type="dxa"/>
            <w:vAlign w:val="center"/>
          </w:tcPr>
          <w:p w14:paraId="2199D378">
            <w:pPr>
              <w:tabs>
                <w:tab w:val="center" w:pos="4153"/>
                <w:tab w:val="right" w:pos="8306"/>
              </w:tabs>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0.01</w:t>
            </w:r>
          </w:p>
        </w:tc>
        <w:tc>
          <w:tcPr>
            <w:tcW w:w="1171" w:type="pct"/>
            <w:vAlign w:val="center"/>
          </w:tcPr>
          <w:p w14:paraId="0950475C">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送采气分公司危险废物贮存库内，定期委托有危废处置资质的单位处置</w:t>
            </w:r>
          </w:p>
        </w:tc>
      </w:tr>
      <w:tr w14:paraId="61015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1" w:type="pct"/>
            <w:vAlign w:val="center"/>
          </w:tcPr>
          <w:p w14:paraId="0F5762AA">
            <w:pPr>
              <w:tabs>
                <w:tab w:val="center" w:pos="4153"/>
                <w:tab w:val="right" w:pos="8306"/>
              </w:tabs>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变压器检修</w:t>
            </w:r>
          </w:p>
        </w:tc>
        <w:tc>
          <w:tcPr>
            <w:tcW w:w="455" w:type="pct"/>
            <w:vAlign w:val="center"/>
          </w:tcPr>
          <w:p w14:paraId="5BDE2215">
            <w:pPr>
              <w:tabs>
                <w:tab w:val="center" w:pos="4153"/>
                <w:tab w:val="right" w:pos="8306"/>
              </w:tabs>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柱上变</w:t>
            </w:r>
          </w:p>
        </w:tc>
        <w:tc>
          <w:tcPr>
            <w:tcW w:w="406" w:type="pct"/>
            <w:vAlign w:val="center"/>
          </w:tcPr>
          <w:p w14:paraId="2B13DEA1">
            <w:pPr>
              <w:tabs>
                <w:tab w:val="center" w:pos="4153"/>
                <w:tab w:val="right" w:pos="8306"/>
              </w:tabs>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废变压器油</w:t>
            </w:r>
          </w:p>
        </w:tc>
        <w:tc>
          <w:tcPr>
            <w:tcW w:w="405" w:type="pct"/>
            <w:vAlign w:val="center"/>
          </w:tcPr>
          <w:p w14:paraId="5FFEFB30">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危险废物</w:t>
            </w:r>
          </w:p>
        </w:tc>
        <w:tc>
          <w:tcPr>
            <w:tcW w:w="405" w:type="pct"/>
            <w:vAlign w:val="center"/>
          </w:tcPr>
          <w:p w14:paraId="3D61B0C7">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557" w:type="pct"/>
            <w:vAlign w:val="center"/>
          </w:tcPr>
          <w:p w14:paraId="7355853C">
            <w:pPr>
              <w:tabs>
                <w:tab w:val="center" w:pos="4153"/>
                <w:tab w:val="right" w:pos="8306"/>
              </w:tabs>
              <w:spacing w:line="32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0.05</w:t>
            </w:r>
          </w:p>
        </w:tc>
        <w:tc>
          <w:tcPr>
            <w:tcW w:w="710" w:type="pct"/>
            <w:vAlign w:val="center"/>
          </w:tcPr>
          <w:p w14:paraId="1B844314">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委托有资质单位处理</w:t>
            </w:r>
          </w:p>
        </w:tc>
        <w:tc>
          <w:tcPr>
            <w:tcW w:w="1386" w:type="dxa"/>
            <w:vAlign w:val="center"/>
          </w:tcPr>
          <w:p w14:paraId="3F8E0150">
            <w:pPr>
              <w:tabs>
                <w:tab w:val="center" w:pos="4153"/>
                <w:tab w:val="right" w:pos="8306"/>
              </w:tabs>
              <w:spacing w:line="32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0.05</w:t>
            </w:r>
          </w:p>
        </w:tc>
        <w:tc>
          <w:tcPr>
            <w:tcW w:w="1171" w:type="pct"/>
            <w:vAlign w:val="center"/>
          </w:tcPr>
          <w:p w14:paraId="0B010B20">
            <w:pPr>
              <w:tabs>
                <w:tab w:val="center" w:pos="4153"/>
                <w:tab w:val="right" w:pos="8306"/>
              </w:tabs>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由检维修队送采气分公司危险废物贮存库内，定期委托有危废处置资质的单位处置</w:t>
            </w:r>
          </w:p>
        </w:tc>
      </w:tr>
    </w:tbl>
    <w:p w14:paraId="6DF2C5F9">
      <w:pPr>
        <w:pStyle w:val="153"/>
        <w:widowControl w:val="0"/>
        <w:spacing w:line="440" w:lineRule="exact"/>
        <w:ind w:firstLine="478"/>
        <w:jc w:val="both"/>
        <w:rPr>
          <w:rFonts w:ascii="Times New Roman" w:hAnsi="Times New Roman" w:eastAsiaTheme="minorEastAsia"/>
          <w:b/>
          <w:bCs/>
          <w:color w:val="auto"/>
          <w:w w:val="99"/>
          <w:highlight w:val="none"/>
        </w:rPr>
      </w:pPr>
      <w:r>
        <w:rPr>
          <w:rFonts w:ascii="Times New Roman" w:hAnsi="Times New Roman" w:eastAsiaTheme="minorEastAsia"/>
          <w:b/>
          <w:bCs/>
          <w:color w:val="auto"/>
          <w:w w:val="99"/>
          <w:highlight w:val="none"/>
        </w:rPr>
        <w:t>表</w:t>
      </w:r>
      <w:r>
        <w:rPr>
          <w:rFonts w:hint="eastAsia" w:ascii="Times New Roman" w:hAnsi="Times New Roman" w:eastAsiaTheme="minorEastAsia"/>
          <w:b/>
          <w:color w:val="auto"/>
          <w:w w:val="99"/>
          <w:highlight w:val="none"/>
          <w:lang w:eastAsia="zh-CN"/>
        </w:rPr>
        <w:t>3.1</w:t>
      </w:r>
      <w:r>
        <w:rPr>
          <w:rFonts w:hint="eastAsia" w:ascii="Times New Roman" w:hAnsi="Times New Roman" w:eastAsiaTheme="minorEastAsia"/>
          <w:b/>
          <w:color w:val="auto"/>
          <w:w w:val="99"/>
          <w:highlight w:val="none"/>
          <w:lang w:val="en-US" w:eastAsia="zh-CN"/>
        </w:rPr>
        <w:t>0</w:t>
      </w:r>
      <w:r>
        <w:rPr>
          <w:rFonts w:ascii="Times New Roman" w:hAnsi="Times New Roman" w:eastAsiaTheme="minorEastAsia"/>
          <w:b/>
          <w:color w:val="auto"/>
          <w:w w:val="99"/>
          <w:highlight w:val="none"/>
        </w:rPr>
        <w:t>-</w:t>
      </w:r>
      <w:r>
        <w:rPr>
          <w:rFonts w:hint="eastAsia" w:ascii="Times New Roman" w:hAnsi="Times New Roman" w:eastAsiaTheme="minorEastAsia"/>
          <w:b/>
          <w:color w:val="auto"/>
          <w:w w:val="99"/>
          <w:highlight w:val="none"/>
          <w:lang w:val="en-US" w:eastAsia="zh-CN"/>
        </w:rPr>
        <w:t>19</w:t>
      </w:r>
      <w:r>
        <w:rPr>
          <w:rFonts w:ascii="Times New Roman" w:hAnsi="Times New Roman" w:eastAsiaTheme="minorEastAsia"/>
          <w:b/>
          <w:bCs/>
          <w:color w:val="auto"/>
          <w:w w:val="99"/>
          <w:highlight w:val="none"/>
        </w:rPr>
        <w:t xml:space="preserve">    退役期废气污染源源强核算结果及相关参数一览表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53"/>
        <w:gridCol w:w="657"/>
        <w:gridCol w:w="697"/>
        <w:gridCol w:w="1271"/>
        <w:gridCol w:w="930"/>
        <w:gridCol w:w="1069"/>
        <w:gridCol w:w="1203"/>
        <w:gridCol w:w="6"/>
        <w:gridCol w:w="708"/>
        <w:gridCol w:w="1104"/>
        <w:gridCol w:w="1058"/>
        <w:gridCol w:w="720"/>
        <w:gridCol w:w="885"/>
        <w:gridCol w:w="1337"/>
        <w:gridCol w:w="1030"/>
        <w:gridCol w:w="890"/>
      </w:tblGrid>
      <w:tr w14:paraId="479EF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 w:type="pct"/>
            <w:vMerge w:val="restart"/>
            <w:vAlign w:val="center"/>
          </w:tcPr>
          <w:p w14:paraId="15A1D8BF">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工序</w:t>
            </w:r>
          </w:p>
        </w:tc>
        <w:tc>
          <w:tcPr>
            <w:tcW w:w="231" w:type="pct"/>
            <w:vMerge w:val="restart"/>
            <w:vAlign w:val="center"/>
          </w:tcPr>
          <w:p w14:paraId="7D04D174">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装置</w:t>
            </w:r>
          </w:p>
        </w:tc>
        <w:tc>
          <w:tcPr>
            <w:tcW w:w="245" w:type="pct"/>
            <w:vMerge w:val="restart"/>
            <w:vAlign w:val="center"/>
          </w:tcPr>
          <w:p w14:paraId="3CE44694">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污染源</w:t>
            </w:r>
          </w:p>
        </w:tc>
        <w:tc>
          <w:tcPr>
            <w:tcW w:w="447" w:type="pct"/>
            <w:vMerge w:val="restart"/>
            <w:vAlign w:val="center"/>
          </w:tcPr>
          <w:p w14:paraId="1C7463ED">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1377" w:type="pct"/>
            <w:gridSpan w:val="5"/>
            <w:vAlign w:val="center"/>
          </w:tcPr>
          <w:p w14:paraId="382A2B81">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污染物产生</w:t>
            </w:r>
          </w:p>
        </w:tc>
        <w:tc>
          <w:tcPr>
            <w:tcW w:w="760" w:type="pct"/>
            <w:gridSpan w:val="2"/>
            <w:vAlign w:val="center"/>
          </w:tcPr>
          <w:p w14:paraId="44D3B460">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治理措施</w:t>
            </w:r>
          </w:p>
        </w:tc>
        <w:tc>
          <w:tcPr>
            <w:tcW w:w="1396" w:type="pct"/>
            <w:gridSpan w:val="4"/>
            <w:vAlign w:val="center"/>
          </w:tcPr>
          <w:p w14:paraId="08BBAFC7">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污染物排放</w:t>
            </w:r>
          </w:p>
        </w:tc>
        <w:tc>
          <w:tcPr>
            <w:tcW w:w="313" w:type="pct"/>
            <w:vMerge w:val="restart"/>
            <w:vAlign w:val="center"/>
          </w:tcPr>
          <w:p w14:paraId="23532429">
            <w:pPr>
              <w:keepNext/>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排放时间d</w:t>
            </w:r>
          </w:p>
        </w:tc>
      </w:tr>
      <w:tr w14:paraId="4D1F2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 w:type="pct"/>
            <w:vMerge w:val="continue"/>
            <w:vAlign w:val="center"/>
          </w:tcPr>
          <w:p w14:paraId="39264FEE">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c>
          <w:tcPr>
            <w:tcW w:w="231" w:type="pct"/>
            <w:vMerge w:val="continue"/>
            <w:vAlign w:val="center"/>
          </w:tcPr>
          <w:p w14:paraId="0DD53E46">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c>
          <w:tcPr>
            <w:tcW w:w="245" w:type="pct"/>
            <w:vMerge w:val="continue"/>
            <w:vAlign w:val="center"/>
          </w:tcPr>
          <w:p w14:paraId="48C2AA9E">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c>
          <w:tcPr>
            <w:tcW w:w="447" w:type="pct"/>
            <w:vMerge w:val="continue"/>
            <w:vAlign w:val="center"/>
          </w:tcPr>
          <w:p w14:paraId="6F184929">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c>
          <w:tcPr>
            <w:tcW w:w="327" w:type="pct"/>
            <w:vAlign w:val="center"/>
          </w:tcPr>
          <w:p w14:paraId="11BB9AF7">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核算方法</w:t>
            </w:r>
          </w:p>
        </w:tc>
        <w:tc>
          <w:tcPr>
            <w:tcW w:w="376" w:type="pct"/>
            <w:vAlign w:val="center"/>
          </w:tcPr>
          <w:p w14:paraId="6534ACF3">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废气产生量m</w:t>
            </w:r>
            <w:r>
              <w:rPr>
                <w:rFonts w:ascii="Times New Roman" w:hAnsi="Times New Roman" w:cs="Times New Roman" w:eastAsiaTheme="minorEastAsia"/>
                <w:color w:val="auto"/>
                <w:w w:val="99"/>
                <w:kern w:val="2"/>
                <w:sz w:val="21"/>
                <w:szCs w:val="21"/>
                <w:highlight w:val="none"/>
                <w:vertAlign w:val="superscript"/>
              </w:rPr>
              <w:t>3</w:t>
            </w:r>
          </w:p>
        </w:tc>
        <w:tc>
          <w:tcPr>
            <w:tcW w:w="423" w:type="pct"/>
            <w:vAlign w:val="center"/>
          </w:tcPr>
          <w:p w14:paraId="30DBE176">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产生浓度mg/m</w:t>
            </w:r>
            <w:r>
              <w:rPr>
                <w:rFonts w:ascii="Times New Roman" w:hAnsi="Times New Roman" w:cs="Times New Roman" w:eastAsiaTheme="minorEastAsia"/>
                <w:color w:val="auto"/>
                <w:w w:val="99"/>
                <w:kern w:val="2"/>
                <w:sz w:val="21"/>
                <w:szCs w:val="21"/>
                <w:highlight w:val="none"/>
                <w:vertAlign w:val="superscript"/>
              </w:rPr>
              <w:t>3</w:t>
            </w:r>
          </w:p>
        </w:tc>
        <w:tc>
          <w:tcPr>
            <w:tcW w:w="251" w:type="pct"/>
            <w:gridSpan w:val="2"/>
            <w:vAlign w:val="center"/>
          </w:tcPr>
          <w:p w14:paraId="7E653704">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产生量t</w:t>
            </w:r>
          </w:p>
        </w:tc>
        <w:tc>
          <w:tcPr>
            <w:tcW w:w="388" w:type="pct"/>
            <w:vAlign w:val="center"/>
          </w:tcPr>
          <w:p w14:paraId="0BFC9BC7">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工艺</w:t>
            </w:r>
          </w:p>
        </w:tc>
        <w:tc>
          <w:tcPr>
            <w:tcW w:w="372" w:type="pct"/>
            <w:vAlign w:val="center"/>
          </w:tcPr>
          <w:p w14:paraId="74F0D690">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效率%</w:t>
            </w:r>
          </w:p>
        </w:tc>
        <w:tc>
          <w:tcPr>
            <w:tcW w:w="253" w:type="pct"/>
            <w:vAlign w:val="center"/>
          </w:tcPr>
          <w:p w14:paraId="56645822">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核算方法</w:t>
            </w:r>
          </w:p>
        </w:tc>
        <w:tc>
          <w:tcPr>
            <w:tcW w:w="311" w:type="pct"/>
            <w:vAlign w:val="center"/>
          </w:tcPr>
          <w:p w14:paraId="6295FA13">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废气排放量</w:t>
            </w:r>
          </w:p>
        </w:tc>
        <w:tc>
          <w:tcPr>
            <w:tcW w:w="470" w:type="pct"/>
            <w:vAlign w:val="center"/>
          </w:tcPr>
          <w:p w14:paraId="2EA7900F">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排放浓度mg/m</w:t>
            </w:r>
            <w:r>
              <w:rPr>
                <w:rFonts w:ascii="Times New Roman" w:hAnsi="Times New Roman" w:cs="Times New Roman" w:eastAsiaTheme="minorEastAsia"/>
                <w:color w:val="auto"/>
                <w:w w:val="99"/>
                <w:kern w:val="2"/>
                <w:sz w:val="21"/>
                <w:szCs w:val="21"/>
                <w:highlight w:val="none"/>
                <w:vertAlign w:val="superscript"/>
              </w:rPr>
              <w:t>3</w:t>
            </w:r>
          </w:p>
        </w:tc>
        <w:tc>
          <w:tcPr>
            <w:tcW w:w="362" w:type="pct"/>
            <w:vAlign w:val="center"/>
          </w:tcPr>
          <w:p w14:paraId="6D4E4B2A">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排放量</w:t>
            </w:r>
          </w:p>
          <w:p w14:paraId="6FA6818B">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w:t>
            </w:r>
          </w:p>
        </w:tc>
        <w:tc>
          <w:tcPr>
            <w:tcW w:w="313" w:type="pct"/>
            <w:vMerge w:val="continue"/>
            <w:vAlign w:val="center"/>
          </w:tcPr>
          <w:p w14:paraId="61C491ED">
            <w:pPr>
              <w:keepNext/>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r>
      <w:tr w14:paraId="7220D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 w:type="pct"/>
            <w:vMerge w:val="restart"/>
            <w:vAlign w:val="center"/>
          </w:tcPr>
          <w:p w14:paraId="3F65B7A6">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w:t>
            </w:r>
          </w:p>
        </w:tc>
        <w:tc>
          <w:tcPr>
            <w:tcW w:w="231" w:type="pct"/>
            <w:vAlign w:val="center"/>
          </w:tcPr>
          <w:p w14:paraId="3C432004">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施工场地</w:t>
            </w:r>
          </w:p>
        </w:tc>
        <w:tc>
          <w:tcPr>
            <w:tcW w:w="245" w:type="pct"/>
            <w:vAlign w:val="center"/>
          </w:tcPr>
          <w:p w14:paraId="76300295">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施工扬尘</w:t>
            </w:r>
          </w:p>
        </w:tc>
        <w:tc>
          <w:tcPr>
            <w:tcW w:w="447" w:type="pct"/>
            <w:vAlign w:val="center"/>
          </w:tcPr>
          <w:p w14:paraId="2ADFF2C2">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颗粒物</w:t>
            </w:r>
          </w:p>
        </w:tc>
        <w:tc>
          <w:tcPr>
            <w:tcW w:w="327" w:type="pct"/>
            <w:tcBorders>
              <w:right w:val="single" w:color="auto" w:sz="4" w:space="0"/>
            </w:tcBorders>
            <w:vAlign w:val="center"/>
          </w:tcPr>
          <w:p w14:paraId="6C70D437">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76" w:type="pct"/>
            <w:tcBorders>
              <w:left w:val="single" w:color="auto" w:sz="4" w:space="0"/>
              <w:right w:val="single" w:color="auto" w:sz="4" w:space="0"/>
            </w:tcBorders>
            <w:vAlign w:val="center"/>
          </w:tcPr>
          <w:p w14:paraId="3F8A36B8">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23" w:type="pct"/>
            <w:tcBorders>
              <w:left w:val="single" w:color="auto" w:sz="4" w:space="0"/>
              <w:right w:val="single" w:color="auto" w:sz="4" w:space="0"/>
            </w:tcBorders>
            <w:vAlign w:val="center"/>
          </w:tcPr>
          <w:p w14:paraId="34620AAF">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251" w:type="pct"/>
            <w:gridSpan w:val="2"/>
            <w:tcBorders>
              <w:left w:val="single" w:color="auto" w:sz="4" w:space="0"/>
            </w:tcBorders>
            <w:vAlign w:val="center"/>
          </w:tcPr>
          <w:p w14:paraId="3040AD3F">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少量</w:t>
            </w:r>
          </w:p>
        </w:tc>
        <w:tc>
          <w:tcPr>
            <w:tcW w:w="760" w:type="pct"/>
            <w:gridSpan w:val="2"/>
            <w:vAlign w:val="center"/>
          </w:tcPr>
          <w:p w14:paraId="3C432347">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车辆密闭运输、施工材料覆盖、洒水抑尘</w:t>
            </w:r>
          </w:p>
        </w:tc>
        <w:tc>
          <w:tcPr>
            <w:tcW w:w="253" w:type="pct"/>
            <w:vAlign w:val="center"/>
          </w:tcPr>
          <w:p w14:paraId="76AD2904">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11" w:type="pct"/>
            <w:vAlign w:val="center"/>
          </w:tcPr>
          <w:p w14:paraId="6C0B7091">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70" w:type="pct"/>
            <w:vAlign w:val="center"/>
          </w:tcPr>
          <w:p w14:paraId="0DEA5D18">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62" w:type="pct"/>
            <w:vAlign w:val="center"/>
          </w:tcPr>
          <w:p w14:paraId="73022347">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少量</w:t>
            </w:r>
          </w:p>
        </w:tc>
        <w:tc>
          <w:tcPr>
            <w:tcW w:w="313" w:type="pct"/>
            <w:vAlign w:val="center"/>
          </w:tcPr>
          <w:p w14:paraId="34105886">
            <w:pPr>
              <w:keepNext/>
              <w:widowControl w:val="0"/>
              <w:adjustRightIn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5</w:t>
            </w:r>
          </w:p>
        </w:tc>
      </w:tr>
      <w:tr w14:paraId="144FB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0" w:type="pct"/>
            <w:vMerge w:val="continue"/>
            <w:vAlign w:val="center"/>
          </w:tcPr>
          <w:p w14:paraId="720D5B6F">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p>
        </w:tc>
        <w:tc>
          <w:tcPr>
            <w:tcW w:w="231" w:type="pct"/>
            <w:vAlign w:val="center"/>
          </w:tcPr>
          <w:p w14:paraId="0579B7D3">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w:t>
            </w:r>
          </w:p>
        </w:tc>
        <w:tc>
          <w:tcPr>
            <w:tcW w:w="245" w:type="pct"/>
            <w:vAlign w:val="center"/>
          </w:tcPr>
          <w:p w14:paraId="298DCEEE">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车辆尾气</w:t>
            </w:r>
          </w:p>
        </w:tc>
        <w:tc>
          <w:tcPr>
            <w:tcW w:w="447" w:type="pct"/>
            <w:vAlign w:val="center"/>
          </w:tcPr>
          <w:p w14:paraId="4048398E">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lang w:val="zh-CN"/>
              </w:rPr>
              <w:t>NO</w:t>
            </w:r>
            <w:r>
              <w:rPr>
                <w:rFonts w:ascii="Times New Roman" w:hAnsi="Times New Roman" w:cs="Times New Roman" w:eastAsiaTheme="minorEastAsia"/>
                <w:color w:val="auto"/>
                <w:w w:val="99"/>
                <w:kern w:val="2"/>
                <w:sz w:val="21"/>
                <w:szCs w:val="21"/>
                <w:highlight w:val="none"/>
                <w:vertAlign w:val="subscript"/>
                <w:lang w:val="zh-CN"/>
              </w:rPr>
              <w:t>2</w:t>
            </w:r>
            <w:r>
              <w:rPr>
                <w:rFonts w:ascii="Times New Roman" w:hAnsi="Times New Roman" w:cs="Times New Roman" w:eastAsiaTheme="minorEastAsia"/>
                <w:color w:val="auto"/>
                <w:w w:val="99"/>
                <w:kern w:val="2"/>
                <w:sz w:val="21"/>
                <w:szCs w:val="21"/>
                <w:highlight w:val="none"/>
                <w:lang w:val="zh-CN"/>
              </w:rPr>
              <w:t>、CO、HC</w:t>
            </w:r>
          </w:p>
        </w:tc>
        <w:tc>
          <w:tcPr>
            <w:tcW w:w="327" w:type="pct"/>
            <w:tcBorders>
              <w:right w:val="single" w:color="auto" w:sz="4" w:space="0"/>
            </w:tcBorders>
            <w:vAlign w:val="center"/>
          </w:tcPr>
          <w:p w14:paraId="2DD4E629">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76" w:type="pct"/>
            <w:tcBorders>
              <w:left w:val="single" w:color="auto" w:sz="4" w:space="0"/>
              <w:right w:val="single" w:color="auto" w:sz="4" w:space="0"/>
            </w:tcBorders>
            <w:vAlign w:val="center"/>
          </w:tcPr>
          <w:p w14:paraId="5B8E8A1C">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25" w:type="pct"/>
            <w:gridSpan w:val="2"/>
            <w:tcBorders>
              <w:left w:val="single" w:color="auto" w:sz="4" w:space="0"/>
              <w:right w:val="single" w:color="auto" w:sz="4" w:space="0"/>
            </w:tcBorders>
            <w:vAlign w:val="center"/>
          </w:tcPr>
          <w:p w14:paraId="06553E80">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249" w:type="pct"/>
            <w:tcBorders>
              <w:left w:val="single" w:color="auto" w:sz="4" w:space="0"/>
            </w:tcBorders>
            <w:vAlign w:val="center"/>
          </w:tcPr>
          <w:p w14:paraId="0F4B5E50">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少量</w:t>
            </w:r>
          </w:p>
        </w:tc>
        <w:tc>
          <w:tcPr>
            <w:tcW w:w="760" w:type="pct"/>
            <w:gridSpan w:val="2"/>
            <w:vAlign w:val="center"/>
          </w:tcPr>
          <w:p w14:paraId="596DE42D">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施工车辆选用高标号汽柴油，尾气达标排放</w:t>
            </w:r>
          </w:p>
        </w:tc>
        <w:tc>
          <w:tcPr>
            <w:tcW w:w="253" w:type="pct"/>
            <w:vAlign w:val="center"/>
          </w:tcPr>
          <w:p w14:paraId="67D76644">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11" w:type="pct"/>
            <w:vAlign w:val="center"/>
          </w:tcPr>
          <w:p w14:paraId="4D7B2953">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70" w:type="pct"/>
            <w:vAlign w:val="center"/>
          </w:tcPr>
          <w:p w14:paraId="08ED4134">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62" w:type="pct"/>
            <w:vAlign w:val="center"/>
          </w:tcPr>
          <w:p w14:paraId="10EB1886">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13" w:type="pct"/>
            <w:vAlign w:val="center"/>
          </w:tcPr>
          <w:p w14:paraId="26187BBD">
            <w:pPr>
              <w:keepNext/>
              <w:widowControl w:val="0"/>
              <w:adjustRightIn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5</w:t>
            </w:r>
          </w:p>
        </w:tc>
      </w:tr>
    </w:tbl>
    <w:p w14:paraId="514C4CBB">
      <w:pPr>
        <w:pStyle w:val="153"/>
        <w:widowControl w:val="0"/>
        <w:spacing w:line="440" w:lineRule="exact"/>
        <w:ind w:firstLine="478"/>
        <w:jc w:val="both"/>
        <w:rPr>
          <w:rFonts w:ascii="Times New Roman" w:hAnsi="Times New Roman" w:eastAsiaTheme="minorEastAsia"/>
          <w:b/>
          <w:color w:val="auto"/>
          <w:w w:val="99"/>
          <w:kern w:val="21"/>
          <w:highlight w:val="none"/>
        </w:rPr>
      </w:pPr>
      <w:r>
        <w:rPr>
          <w:rFonts w:ascii="Times New Roman" w:hAnsi="Times New Roman" w:eastAsiaTheme="minorEastAsia"/>
          <w:b/>
          <w:color w:val="auto"/>
          <w:w w:val="99"/>
          <w:kern w:val="21"/>
          <w:highlight w:val="none"/>
        </w:rPr>
        <w:t>表</w:t>
      </w:r>
      <w:r>
        <w:rPr>
          <w:rFonts w:hint="eastAsia" w:ascii="Times New Roman" w:hAnsi="Times New Roman" w:eastAsiaTheme="minorEastAsia"/>
          <w:b/>
          <w:color w:val="auto"/>
          <w:w w:val="99"/>
          <w:highlight w:val="none"/>
          <w:lang w:eastAsia="zh-CN"/>
        </w:rPr>
        <w:t>3.1</w:t>
      </w:r>
      <w:r>
        <w:rPr>
          <w:rFonts w:hint="eastAsia" w:ascii="Times New Roman" w:hAnsi="Times New Roman" w:eastAsiaTheme="minorEastAsia"/>
          <w:b/>
          <w:color w:val="auto"/>
          <w:w w:val="99"/>
          <w:highlight w:val="none"/>
          <w:lang w:val="en-US" w:eastAsia="zh-CN"/>
        </w:rPr>
        <w:t>0</w:t>
      </w:r>
      <w:r>
        <w:rPr>
          <w:rFonts w:ascii="Times New Roman" w:hAnsi="Times New Roman" w:eastAsiaTheme="minorEastAsia"/>
          <w:b/>
          <w:color w:val="auto"/>
          <w:w w:val="99"/>
          <w:highlight w:val="none"/>
        </w:rPr>
        <w:t>-2</w:t>
      </w:r>
      <w:r>
        <w:rPr>
          <w:rFonts w:hint="eastAsia" w:ascii="Times New Roman" w:hAnsi="Times New Roman" w:eastAsiaTheme="minorEastAsia"/>
          <w:b/>
          <w:color w:val="auto"/>
          <w:w w:val="99"/>
          <w:highlight w:val="none"/>
          <w:lang w:val="en-US" w:eastAsia="zh-CN"/>
        </w:rPr>
        <w:t>0</w:t>
      </w:r>
      <w:r>
        <w:rPr>
          <w:rFonts w:ascii="Times New Roman" w:hAnsi="Times New Roman" w:eastAsiaTheme="minorEastAsia"/>
          <w:b/>
          <w:color w:val="auto"/>
          <w:w w:val="99"/>
          <w:kern w:val="21"/>
          <w:highlight w:val="none"/>
        </w:rPr>
        <w:t xml:space="preserve">   </w:t>
      </w:r>
      <w:r>
        <w:rPr>
          <w:rFonts w:ascii="Times New Roman" w:hAnsi="Times New Roman" w:eastAsiaTheme="minorEastAsia"/>
          <w:b/>
          <w:bCs/>
          <w:color w:val="auto"/>
          <w:w w:val="99"/>
          <w:kern w:val="21"/>
          <w:highlight w:val="none"/>
        </w:rPr>
        <w:t>退役</w:t>
      </w:r>
      <w:r>
        <w:rPr>
          <w:rFonts w:ascii="Times New Roman" w:hAnsi="Times New Roman" w:eastAsiaTheme="minorEastAsia"/>
          <w:b/>
          <w:color w:val="auto"/>
          <w:w w:val="99"/>
          <w:kern w:val="21"/>
          <w:highlight w:val="none"/>
        </w:rPr>
        <w:t>期</w:t>
      </w:r>
      <w:r>
        <w:rPr>
          <w:rFonts w:ascii="Times New Roman" w:hAnsi="Times New Roman" w:eastAsiaTheme="minorEastAsia"/>
          <w:b/>
          <w:bCs/>
          <w:color w:val="auto"/>
          <w:w w:val="99"/>
          <w:highlight w:val="none"/>
        </w:rPr>
        <w:t>废水</w:t>
      </w:r>
      <w:r>
        <w:rPr>
          <w:rFonts w:ascii="Times New Roman" w:hAnsi="Times New Roman" w:eastAsiaTheme="minorEastAsia"/>
          <w:b/>
          <w:color w:val="auto"/>
          <w:w w:val="99"/>
          <w:kern w:val="21"/>
          <w:highlight w:val="none"/>
        </w:rPr>
        <w:t>污染源源强核算结果及相关参数一览表</w:t>
      </w:r>
    </w:p>
    <w:tbl>
      <w:tblPr>
        <w:tblStyle w:val="8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2"/>
        <w:gridCol w:w="578"/>
        <w:gridCol w:w="720"/>
        <w:gridCol w:w="719"/>
        <w:gridCol w:w="719"/>
        <w:gridCol w:w="1009"/>
        <w:gridCol w:w="1007"/>
        <w:gridCol w:w="722"/>
        <w:gridCol w:w="3168"/>
        <w:gridCol w:w="719"/>
        <w:gridCol w:w="865"/>
        <w:gridCol w:w="1007"/>
        <w:gridCol w:w="1009"/>
        <w:gridCol w:w="719"/>
        <w:gridCol w:w="683"/>
      </w:tblGrid>
      <w:tr w14:paraId="6F455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1" w:type="pct"/>
            <w:vMerge w:val="restart"/>
            <w:vAlign w:val="center"/>
          </w:tcPr>
          <w:p w14:paraId="7728806A">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工序</w:t>
            </w:r>
          </w:p>
        </w:tc>
        <w:tc>
          <w:tcPr>
            <w:tcW w:w="203" w:type="pct"/>
            <w:vMerge w:val="restart"/>
            <w:vAlign w:val="center"/>
          </w:tcPr>
          <w:p w14:paraId="67D36495">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装置</w:t>
            </w:r>
          </w:p>
        </w:tc>
        <w:tc>
          <w:tcPr>
            <w:tcW w:w="253" w:type="pct"/>
            <w:vMerge w:val="restart"/>
            <w:vAlign w:val="center"/>
          </w:tcPr>
          <w:p w14:paraId="33C68E8F">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污染源</w:t>
            </w:r>
          </w:p>
        </w:tc>
        <w:tc>
          <w:tcPr>
            <w:tcW w:w="252" w:type="pct"/>
            <w:vMerge w:val="restart"/>
            <w:vAlign w:val="center"/>
          </w:tcPr>
          <w:p w14:paraId="6357C309">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w:t>
            </w:r>
          </w:p>
        </w:tc>
        <w:tc>
          <w:tcPr>
            <w:tcW w:w="1215" w:type="pct"/>
            <w:gridSpan w:val="4"/>
            <w:vAlign w:val="center"/>
          </w:tcPr>
          <w:p w14:paraId="38E22E3A">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污染物产生</w:t>
            </w:r>
          </w:p>
        </w:tc>
        <w:tc>
          <w:tcPr>
            <w:tcW w:w="1367" w:type="pct"/>
            <w:gridSpan w:val="2"/>
            <w:vAlign w:val="center"/>
          </w:tcPr>
          <w:p w14:paraId="58142782">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治理措施</w:t>
            </w:r>
          </w:p>
        </w:tc>
        <w:tc>
          <w:tcPr>
            <w:tcW w:w="1266" w:type="pct"/>
            <w:gridSpan w:val="4"/>
            <w:vAlign w:val="center"/>
          </w:tcPr>
          <w:p w14:paraId="183C8829">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污染物排放</w:t>
            </w:r>
          </w:p>
        </w:tc>
        <w:tc>
          <w:tcPr>
            <w:tcW w:w="240" w:type="pct"/>
            <w:vMerge w:val="restart"/>
            <w:vAlign w:val="center"/>
          </w:tcPr>
          <w:p w14:paraId="65404FE1">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排放时间d</w:t>
            </w:r>
          </w:p>
        </w:tc>
      </w:tr>
      <w:tr w14:paraId="24C4E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1" w:type="pct"/>
            <w:vMerge w:val="continue"/>
            <w:vAlign w:val="center"/>
          </w:tcPr>
          <w:p w14:paraId="519DD9D5">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03" w:type="pct"/>
            <w:vMerge w:val="continue"/>
            <w:vAlign w:val="center"/>
          </w:tcPr>
          <w:p w14:paraId="2FBA8F6E">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53" w:type="pct"/>
            <w:vMerge w:val="continue"/>
            <w:vAlign w:val="center"/>
          </w:tcPr>
          <w:p w14:paraId="231D3AA4">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52" w:type="pct"/>
            <w:vMerge w:val="continue"/>
            <w:vAlign w:val="center"/>
          </w:tcPr>
          <w:p w14:paraId="335F6A97">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52" w:type="pct"/>
            <w:vAlign w:val="center"/>
          </w:tcPr>
          <w:p w14:paraId="6E88E17E">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354" w:type="pct"/>
            <w:vAlign w:val="center"/>
          </w:tcPr>
          <w:p w14:paraId="143F9949">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废水产生量m</w:t>
            </w:r>
            <w:r>
              <w:rPr>
                <w:rFonts w:ascii="Times New Roman" w:hAnsi="Times New Roman" w:cs="Times New Roman" w:eastAsiaTheme="minorEastAsia"/>
                <w:color w:val="auto"/>
                <w:w w:val="99"/>
                <w:sz w:val="21"/>
                <w:szCs w:val="21"/>
                <w:highlight w:val="none"/>
                <w:vertAlign w:val="superscript"/>
              </w:rPr>
              <w:t>3</w:t>
            </w:r>
          </w:p>
        </w:tc>
        <w:tc>
          <w:tcPr>
            <w:tcW w:w="354" w:type="pct"/>
            <w:vAlign w:val="center"/>
          </w:tcPr>
          <w:p w14:paraId="66E83865">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产生浓度mg/L</w:t>
            </w:r>
          </w:p>
        </w:tc>
        <w:tc>
          <w:tcPr>
            <w:tcW w:w="253" w:type="pct"/>
            <w:vAlign w:val="center"/>
          </w:tcPr>
          <w:p w14:paraId="75C86157">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产生量t</w:t>
            </w:r>
          </w:p>
        </w:tc>
        <w:tc>
          <w:tcPr>
            <w:tcW w:w="1114" w:type="pct"/>
            <w:vAlign w:val="center"/>
          </w:tcPr>
          <w:p w14:paraId="234B40F7">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工艺</w:t>
            </w:r>
          </w:p>
        </w:tc>
        <w:tc>
          <w:tcPr>
            <w:tcW w:w="252" w:type="pct"/>
            <w:vAlign w:val="center"/>
          </w:tcPr>
          <w:p w14:paraId="19080F09">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效率/%</w:t>
            </w:r>
          </w:p>
        </w:tc>
        <w:tc>
          <w:tcPr>
            <w:tcW w:w="304" w:type="pct"/>
            <w:vAlign w:val="center"/>
          </w:tcPr>
          <w:p w14:paraId="653594CC">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354" w:type="pct"/>
            <w:vAlign w:val="center"/>
          </w:tcPr>
          <w:p w14:paraId="539A4FB8">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废水排放量m</w:t>
            </w:r>
            <w:r>
              <w:rPr>
                <w:rFonts w:ascii="Times New Roman" w:hAnsi="Times New Roman" w:cs="Times New Roman" w:eastAsiaTheme="minorEastAsia"/>
                <w:color w:val="auto"/>
                <w:w w:val="99"/>
                <w:sz w:val="21"/>
                <w:szCs w:val="21"/>
                <w:highlight w:val="none"/>
                <w:vertAlign w:val="superscript"/>
              </w:rPr>
              <w:t>3</w:t>
            </w:r>
          </w:p>
        </w:tc>
        <w:tc>
          <w:tcPr>
            <w:tcW w:w="354" w:type="pct"/>
            <w:vAlign w:val="center"/>
          </w:tcPr>
          <w:p w14:paraId="61F1181D">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排放浓度mg/L</w:t>
            </w:r>
          </w:p>
        </w:tc>
        <w:tc>
          <w:tcPr>
            <w:tcW w:w="252" w:type="pct"/>
            <w:vAlign w:val="center"/>
          </w:tcPr>
          <w:p w14:paraId="7936FB4E">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排放量t</w:t>
            </w:r>
          </w:p>
        </w:tc>
        <w:tc>
          <w:tcPr>
            <w:tcW w:w="240" w:type="pct"/>
            <w:vMerge w:val="continue"/>
            <w:vAlign w:val="center"/>
          </w:tcPr>
          <w:p w14:paraId="4D53D952">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14:paraId="6FEDE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jc w:val="center"/>
        </w:trPr>
        <w:tc>
          <w:tcPr>
            <w:tcW w:w="201" w:type="pct"/>
            <w:vMerge w:val="restart"/>
            <w:vAlign w:val="center"/>
          </w:tcPr>
          <w:p w14:paraId="31D99D4D">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施工</w:t>
            </w:r>
          </w:p>
        </w:tc>
        <w:tc>
          <w:tcPr>
            <w:tcW w:w="203" w:type="pct"/>
            <w:vMerge w:val="restart"/>
            <w:vAlign w:val="center"/>
          </w:tcPr>
          <w:p w14:paraId="04746878">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w:t>
            </w:r>
          </w:p>
        </w:tc>
        <w:tc>
          <w:tcPr>
            <w:tcW w:w="253" w:type="pct"/>
            <w:vMerge w:val="restart"/>
            <w:vAlign w:val="center"/>
          </w:tcPr>
          <w:p w14:paraId="00D880BD">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生活污水</w:t>
            </w:r>
          </w:p>
        </w:tc>
        <w:tc>
          <w:tcPr>
            <w:tcW w:w="252" w:type="pct"/>
            <w:vAlign w:val="center"/>
          </w:tcPr>
          <w:p w14:paraId="0CCF8E88">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COD</w:t>
            </w:r>
          </w:p>
        </w:tc>
        <w:tc>
          <w:tcPr>
            <w:tcW w:w="252" w:type="pct"/>
            <w:vMerge w:val="restart"/>
            <w:vAlign w:val="center"/>
          </w:tcPr>
          <w:p w14:paraId="119BAFE8">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354" w:type="pct"/>
            <w:vMerge w:val="restart"/>
            <w:vAlign w:val="center"/>
          </w:tcPr>
          <w:p w14:paraId="1CB8149D">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6.4</w:t>
            </w:r>
          </w:p>
        </w:tc>
        <w:tc>
          <w:tcPr>
            <w:tcW w:w="354" w:type="pct"/>
            <w:vAlign w:val="center"/>
          </w:tcPr>
          <w:p w14:paraId="5CFB8524">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300</w:t>
            </w:r>
          </w:p>
        </w:tc>
        <w:tc>
          <w:tcPr>
            <w:tcW w:w="253" w:type="pct"/>
            <w:vAlign w:val="center"/>
          </w:tcPr>
          <w:p w14:paraId="382F9DD1">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ascii="Times New Roman" w:hAnsi="Times New Roman" w:cs="Times New Roman" w:eastAsiaTheme="minorEastAsia"/>
                <w:snapToGrid w:val="0"/>
                <w:color w:val="auto"/>
                <w:w w:val="99"/>
                <w:sz w:val="21"/>
                <w:szCs w:val="21"/>
                <w:highlight w:val="none"/>
              </w:rPr>
              <w:t>0.0</w:t>
            </w:r>
            <w:r>
              <w:rPr>
                <w:rFonts w:hint="eastAsia" w:ascii="Times New Roman" w:hAnsi="Times New Roman" w:cs="Times New Roman" w:eastAsiaTheme="minorEastAsia"/>
                <w:snapToGrid w:val="0"/>
                <w:color w:val="auto"/>
                <w:w w:val="99"/>
                <w:sz w:val="21"/>
                <w:szCs w:val="21"/>
                <w:highlight w:val="none"/>
                <w:lang w:val="en-US" w:eastAsia="zh-CN"/>
              </w:rPr>
              <w:t>019</w:t>
            </w:r>
          </w:p>
        </w:tc>
        <w:tc>
          <w:tcPr>
            <w:tcW w:w="1114" w:type="pct"/>
            <w:vMerge w:val="restart"/>
            <w:vAlign w:val="center"/>
          </w:tcPr>
          <w:p w14:paraId="15C63418">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bCs/>
                <w:snapToGrid w:val="0"/>
                <w:color w:val="auto"/>
                <w:w w:val="99"/>
                <w:sz w:val="21"/>
                <w:szCs w:val="21"/>
                <w:highlight w:val="none"/>
              </w:rPr>
              <w:t>排入</w:t>
            </w:r>
            <w:r>
              <w:rPr>
                <w:rFonts w:hint="eastAsia" w:ascii="Times New Roman" w:hAnsi="Times New Roman" w:cs="Times New Roman" w:eastAsiaTheme="minorEastAsia"/>
                <w:snapToGrid w:val="0"/>
                <w:color w:val="auto"/>
                <w:w w:val="99"/>
                <w:sz w:val="21"/>
                <w:szCs w:val="21"/>
                <w:highlight w:val="none"/>
                <w:lang w:val="en-US" w:eastAsia="zh-CN"/>
              </w:rPr>
              <w:t>附近场站已建生活污水收集设施，定期由大庆石油管理局有限公司庆南工矿服务公司红岗分公司拉运至大庆红岗区西巷污水回收站，管输至南区污水处理厂进行处理。</w:t>
            </w:r>
          </w:p>
        </w:tc>
        <w:tc>
          <w:tcPr>
            <w:tcW w:w="252" w:type="pct"/>
            <w:tcBorders>
              <w:bottom w:val="single" w:color="auto" w:sz="4" w:space="0"/>
            </w:tcBorders>
            <w:vAlign w:val="center"/>
          </w:tcPr>
          <w:p w14:paraId="6FC93609">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w:t>
            </w:r>
          </w:p>
        </w:tc>
        <w:tc>
          <w:tcPr>
            <w:tcW w:w="304" w:type="pct"/>
            <w:vMerge w:val="restart"/>
            <w:vAlign w:val="center"/>
          </w:tcPr>
          <w:p w14:paraId="152AF5C0">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354" w:type="pct"/>
            <w:vMerge w:val="restart"/>
            <w:vAlign w:val="center"/>
          </w:tcPr>
          <w:p w14:paraId="2C22919B">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6.4</w:t>
            </w:r>
          </w:p>
        </w:tc>
        <w:tc>
          <w:tcPr>
            <w:tcW w:w="354" w:type="pct"/>
            <w:tcBorders>
              <w:bottom w:val="single" w:color="auto" w:sz="4" w:space="0"/>
            </w:tcBorders>
            <w:vAlign w:val="center"/>
          </w:tcPr>
          <w:p w14:paraId="4538AC64">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300</w:t>
            </w:r>
          </w:p>
        </w:tc>
        <w:tc>
          <w:tcPr>
            <w:tcW w:w="719" w:type="dxa"/>
            <w:tcBorders>
              <w:bottom w:val="single" w:color="auto" w:sz="4" w:space="0"/>
            </w:tcBorders>
            <w:vAlign w:val="center"/>
          </w:tcPr>
          <w:p w14:paraId="2A3A644D">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ascii="Times New Roman" w:hAnsi="Times New Roman" w:cs="Times New Roman" w:eastAsiaTheme="minorEastAsia"/>
                <w:snapToGrid w:val="0"/>
                <w:color w:val="auto"/>
                <w:w w:val="99"/>
                <w:sz w:val="21"/>
                <w:szCs w:val="21"/>
                <w:highlight w:val="none"/>
              </w:rPr>
              <w:t>0.0</w:t>
            </w:r>
            <w:r>
              <w:rPr>
                <w:rFonts w:hint="eastAsia" w:ascii="Times New Roman" w:hAnsi="Times New Roman" w:cs="Times New Roman" w:eastAsiaTheme="minorEastAsia"/>
                <w:snapToGrid w:val="0"/>
                <w:color w:val="auto"/>
                <w:w w:val="99"/>
                <w:sz w:val="21"/>
                <w:szCs w:val="21"/>
                <w:highlight w:val="none"/>
                <w:lang w:val="en-US" w:eastAsia="zh-CN"/>
              </w:rPr>
              <w:t>019</w:t>
            </w:r>
          </w:p>
        </w:tc>
        <w:tc>
          <w:tcPr>
            <w:tcW w:w="240" w:type="pct"/>
            <w:vMerge w:val="restart"/>
            <w:vAlign w:val="center"/>
          </w:tcPr>
          <w:p w14:paraId="1D26AE00">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5</w:t>
            </w:r>
          </w:p>
        </w:tc>
      </w:tr>
      <w:tr w14:paraId="6DC41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1" w:type="pct"/>
            <w:vMerge w:val="continue"/>
            <w:vAlign w:val="center"/>
          </w:tcPr>
          <w:p w14:paraId="15173F83">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03" w:type="pct"/>
            <w:vMerge w:val="continue"/>
            <w:vAlign w:val="center"/>
          </w:tcPr>
          <w:p w14:paraId="37EC4840">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53" w:type="pct"/>
            <w:vMerge w:val="continue"/>
            <w:vAlign w:val="center"/>
          </w:tcPr>
          <w:p w14:paraId="7E9C99E9">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52" w:type="pct"/>
            <w:vAlign w:val="center"/>
          </w:tcPr>
          <w:p w14:paraId="58C9779B">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氨氮</w:t>
            </w:r>
          </w:p>
        </w:tc>
        <w:tc>
          <w:tcPr>
            <w:tcW w:w="252" w:type="pct"/>
            <w:vMerge w:val="continue"/>
            <w:vAlign w:val="center"/>
          </w:tcPr>
          <w:p w14:paraId="43FE47CE">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54" w:type="pct"/>
            <w:vMerge w:val="continue"/>
            <w:vAlign w:val="center"/>
          </w:tcPr>
          <w:p w14:paraId="0D158327">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54" w:type="pct"/>
            <w:vAlign w:val="center"/>
          </w:tcPr>
          <w:p w14:paraId="0D55366E">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c>
          <w:tcPr>
            <w:tcW w:w="253" w:type="pct"/>
            <w:vAlign w:val="center"/>
          </w:tcPr>
          <w:p w14:paraId="1915C379">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0.00</w:t>
            </w:r>
            <w:r>
              <w:rPr>
                <w:rFonts w:hint="eastAsia" w:ascii="Times New Roman" w:hAnsi="Times New Roman" w:cs="Times New Roman" w:eastAsiaTheme="minorEastAsia"/>
                <w:color w:val="auto"/>
                <w:w w:val="99"/>
                <w:sz w:val="21"/>
                <w:szCs w:val="21"/>
                <w:highlight w:val="none"/>
                <w:lang w:val="en-US" w:eastAsia="zh-CN"/>
              </w:rPr>
              <w:t>02</w:t>
            </w:r>
          </w:p>
        </w:tc>
        <w:tc>
          <w:tcPr>
            <w:tcW w:w="1114" w:type="pct"/>
            <w:vMerge w:val="continue"/>
            <w:vAlign w:val="center"/>
          </w:tcPr>
          <w:p w14:paraId="72F8C48F">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252" w:type="pct"/>
            <w:tcBorders>
              <w:top w:val="single" w:color="auto" w:sz="4" w:space="0"/>
              <w:bottom w:val="single" w:color="auto" w:sz="4" w:space="0"/>
            </w:tcBorders>
            <w:vAlign w:val="center"/>
          </w:tcPr>
          <w:p w14:paraId="4C99865A">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304" w:type="pct"/>
            <w:vMerge w:val="continue"/>
            <w:vAlign w:val="center"/>
          </w:tcPr>
          <w:p w14:paraId="38C413D2">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354" w:type="pct"/>
            <w:vMerge w:val="continue"/>
            <w:vAlign w:val="center"/>
          </w:tcPr>
          <w:p w14:paraId="5539330F">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354" w:type="pct"/>
            <w:tcBorders>
              <w:top w:val="single" w:color="auto" w:sz="4" w:space="0"/>
              <w:bottom w:val="single" w:color="auto" w:sz="4" w:space="0"/>
            </w:tcBorders>
            <w:vAlign w:val="center"/>
          </w:tcPr>
          <w:p w14:paraId="0E68A324">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c>
          <w:tcPr>
            <w:tcW w:w="719" w:type="dxa"/>
            <w:tcBorders>
              <w:top w:val="single" w:color="auto" w:sz="4" w:space="0"/>
              <w:bottom w:val="single" w:color="auto" w:sz="4" w:space="0"/>
            </w:tcBorders>
            <w:vAlign w:val="center"/>
          </w:tcPr>
          <w:p w14:paraId="5F4743A4">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0.00</w:t>
            </w:r>
            <w:r>
              <w:rPr>
                <w:rFonts w:hint="eastAsia" w:ascii="Times New Roman" w:hAnsi="Times New Roman" w:cs="Times New Roman" w:eastAsiaTheme="minorEastAsia"/>
                <w:color w:val="auto"/>
                <w:w w:val="99"/>
                <w:sz w:val="21"/>
                <w:szCs w:val="21"/>
                <w:highlight w:val="none"/>
                <w:lang w:val="en-US" w:eastAsia="zh-CN"/>
              </w:rPr>
              <w:t>02</w:t>
            </w:r>
          </w:p>
        </w:tc>
        <w:tc>
          <w:tcPr>
            <w:tcW w:w="240" w:type="pct"/>
            <w:vMerge w:val="continue"/>
            <w:vAlign w:val="center"/>
          </w:tcPr>
          <w:p w14:paraId="4BFAC0D2">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14:paraId="3F90B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1" w:type="pct"/>
            <w:vAlign w:val="center"/>
          </w:tcPr>
          <w:p w14:paraId="1AB66ACC">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施工</w:t>
            </w:r>
          </w:p>
        </w:tc>
        <w:tc>
          <w:tcPr>
            <w:tcW w:w="203" w:type="pct"/>
            <w:vAlign w:val="center"/>
          </w:tcPr>
          <w:p w14:paraId="438772FB">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设备清洗</w:t>
            </w:r>
          </w:p>
        </w:tc>
        <w:tc>
          <w:tcPr>
            <w:tcW w:w="253" w:type="pct"/>
            <w:vAlign w:val="center"/>
          </w:tcPr>
          <w:p w14:paraId="3D0A1612">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设备清洗废水</w:t>
            </w:r>
          </w:p>
        </w:tc>
        <w:tc>
          <w:tcPr>
            <w:tcW w:w="252" w:type="pct"/>
            <w:vAlign w:val="center"/>
          </w:tcPr>
          <w:p w14:paraId="057C5355">
            <w:pPr>
              <w:widowControl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snapToGrid w:val="0"/>
                <w:color w:val="auto"/>
                <w:w w:val="99"/>
                <w:sz w:val="21"/>
                <w:szCs w:val="21"/>
                <w:highlight w:val="none"/>
                <w:lang w:val="en-US" w:eastAsia="zh-CN"/>
              </w:rPr>
              <w:t>石油类、SS</w:t>
            </w:r>
          </w:p>
        </w:tc>
        <w:tc>
          <w:tcPr>
            <w:tcW w:w="252" w:type="pct"/>
            <w:vAlign w:val="center"/>
          </w:tcPr>
          <w:p w14:paraId="106FDC7C">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354" w:type="pct"/>
            <w:vAlign w:val="center"/>
          </w:tcPr>
          <w:p w14:paraId="75BBB6B4">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0.52</w:t>
            </w:r>
          </w:p>
        </w:tc>
        <w:tc>
          <w:tcPr>
            <w:tcW w:w="354" w:type="pct"/>
            <w:vAlign w:val="center"/>
          </w:tcPr>
          <w:p w14:paraId="11D6526A">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253" w:type="pct"/>
            <w:vAlign w:val="center"/>
          </w:tcPr>
          <w:p w14:paraId="64C0D89B">
            <w:pPr>
              <w:widowControl w:val="0"/>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1114" w:type="pct"/>
            <w:vAlign w:val="center"/>
          </w:tcPr>
          <w:p w14:paraId="7AEF9C9A">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lang w:val="en-US" w:eastAsia="zh-CN"/>
              </w:rPr>
              <w:t>由罐车拉运至</w:t>
            </w:r>
            <w:r>
              <w:rPr>
                <w:rFonts w:hint="eastAsia" w:ascii="Times New Roman" w:hAnsi="Times New Roman" w:cs="Times New Roman" w:eastAsiaTheme="minorEastAsia"/>
                <w:color w:val="auto"/>
                <w:w w:val="99"/>
                <w:sz w:val="21"/>
                <w:szCs w:val="21"/>
                <w:highlight w:val="none"/>
                <w:lang w:val="en-US" w:eastAsia="zh-CN"/>
              </w:rPr>
              <w:t>升一联气田</w:t>
            </w:r>
            <w:r>
              <w:rPr>
                <w:rFonts w:hint="default" w:ascii="Times New Roman" w:hAnsi="Times New Roman" w:cs="Times New Roman" w:eastAsiaTheme="minorEastAsia"/>
                <w:color w:val="auto"/>
                <w:w w:val="99"/>
                <w:sz w:val="21"/>
                <w:szCs w:val="21"/>
                <w:highlight w:val="none"/>
                <w:lang w:val="en-US" w:eastAsia="zh-CN"/>
              </w:rPr>
              <w:t>污水</w:t>
            </w:r>
            <w:r>
              <w:rPr>
                <w:rFonts w:hint="eastAsia" w:ascii="Times New Roman" w:hAnsi="Times New Roman" w:cs="Times New Roman" w:eastAsiaTheme="minorEastAsia"/>
                <w:color w:val="auto"/>
                <w:w w:val="99"/>
                <w:sz w:val="21"/>
                <w:szCs w:val="21"/>
                <w:highlight w:val="none"/>
                <w:lang w:val="en-US" w:eastAsia="zh-CN"/>
              </w:rPr>
              <w:t>预</w:t>
            </w:r>
            <w:r>
              <w:rPr>
                <w:rFonts w:hint="default" w:ascii="Times New Roman" w:hAnsi="Times New Roman" w:cs="Times New Roman" w:eastAsiaTheme="minorEastAsia"/>
                <w:color w:val="auto"/>
                <w:w w:val="99"/>
                <w:sz w:val="21"/>
                <w:szCs w:val="21"/>
                <w:highlight w:val="none"/>
                <w:lang w:val="en-US" w:eastAsia="zh-CN"/>
              </w:rPr>
              <w:t>处理站处理</w:t>
            </w:r>
          </w:p>
        </w:tc>
        <w:tc>
          <w:tcPr>
            <w:tcW w:w="252" w:type="pct"/>
            <w:tcBorders>
              <w:top w:val="single" w:color="auto" w:sz="4" w:space="0"/>
              <w:bottom w:val="single" w:color="auto" w:sz="4" w:space="0"/>
            </w:tcBorders>
            <w:vAlign w:val="center"/>
          </w:tcPr>
          <w:p w14:paraId="1DB67A42">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304" w:type="pct"/>
            <w:vAlign w:val="center"/>
          </w:tcPr>
          <w:p w14:paraId="788CD086">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354" w:type="pct"/>
            <w:vAlign w:val="center"/>
          </w:tcPr>
          <w:p w14:paraId="67C796DD">
            <w:pPr>
              <w:widowControl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0.52</w:t>
            </w:r>
          </w:p>
        </w:tc>
        <w:tc>
          <w:tcPr>
            <w:tcW w:w="354" w:type="pct"/>
            <w:tcBorders>
              <w:top w:val="single" w:color="auto" w:sz="4" w:space="0"/>
              <w:bottom w:val="single" w:color="auto" w:sz="4" w:space="0"/>
            </w:tcBorders>
            <w:vAlign w:val="center"/>
          </w:tcPr>
          <w:p w14:paraId="2FBFD1B7">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252" w:type="pct"/>
            <w:tcBorders>
              <w:top w:val="single" w:color="auto" w:sz="4" w:space="0"/>
              <w:bottom w:val="single" w:color="auto" w:sz="4" w:space="0"/>
            </w:tcBorders>
            <w:vAlign w:val="center"/>
          </w:tcPr>
          <w:p w14:paraId="1A576885">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240" w:type="pct"/>
            <w:vAlign w:val="center"/>
          </w:tcPr>
          <w:p w14:paraId="0410F51B">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lang w:val="en-US" w:eastAsia="zh-CN"/>
              </w:rPr>
              <w:t>5</w:t>
            </w:r>
          </w:p>
        </w:tc>
      </w:tr>
    </w:tbl>
    <w:p w14:paraId="444FBA3E">
      <w:pPr>
        <w:pStyle w:val="153"/>
        <w:widowControl w:val="0"/>
        <w:spacing w:line="440" w:lineRule="exact"/>
        <w:ind w:firstLine="478"/>
        <w:jc w:val="both"/>
        <w:rPr>
          <w:rFonts w:ascii="Times New Roman" w:hAnsi="Times New Roman" w:eastAsiaTheme="minorEastAsia"/>
          <w:b/>
          <w:color w:val="auto"/>
          <w:w w:val="99"/>
          <w:kern w:val="2"/>
          <w:szCs w:val="20"/>
          <w:highlight w:val="none"/>
        </w:rPr>
      </w:pPr>
      <w:r>
        <w:rPr>
          <w:rFonts w:ascii="Times New Roman" w:hAnsi="Times New Roman" w:eastAsiaTheme="minorEastAsia"/>
          <w:b/>
          <w:color w:val="auto"/>
          <w:w w:val="99"/>
          <w:kern w:val="2"/>
          <w:szCs w:val="20"/>
          <w:highlight w:val="none"/>
        </w:rPr>
        <w:t>表</w:t>
      </w:r>
      <w:r>
        <w:rPr>
          <w:rFonts w:hint="eastAsia" w:ascii="Times New Roman" w:hAnsi="Times New Roman" w:eastAsiaTheme="minorEastAsia"/>
          <w:b/>
          <w:color w:val="auto"/>
          <w:w w:val="99"/>
          <w:highlight w:val="none"/>
          <w:lang w:eastAsia="zh-CN"/>
        </w:rPr>
        <w:t>3.1</w:t>
      </w:r>
      <w:r>
        <w:rPr>
          <w:rFonts w:hint="eastAsia" w:ascii="Times New Roman" w:hAnsi="Times New Roman" w:eastAsiaTheme="minorEastAsia"/>
          <w:b/>
          <w:color w:val="auto"/>
          <w:w w:val="99"/>
          <w:highlight w:val="none"/>
          <w:lang w:val="en-US" w:eastAsia="zh-CN"/>
        </w:rPr>
        <w:t>0</w:t>
      </w:r>
      <w:r>
        <w:rPr>
          <w:rFonts w:ascii="Times New Roman" w:hAnsi="Times New Roman" w:eastAsiaTheme="minorEastAsia"/>
          <w:b/>
          <w:color w:val="auto"/>
          <w:w w:val="99"/>
          <w:highlight w:val="none"/>
        </w:rPr>
        <w:t>-2</w:t>
      </w:r>
      <w:r>
        <w:rPr>
          <w:rFonts w:hint="eastAsia" w:ascii="Times New Roman" w:hAnsi="Times New Roman" w:eastAsiaTheme="minorEastAsia"/>
          <w:b/>
          <w:color w:val="auto"/>
          <w:w w:val="99"/>
          <w:highlight w:val="none"/>
          <w:lang w:val="en-US" w:eastAsia="zh-CN"/>
        </w:rPr>
        <w:t>1</w:t>
      </w:r>
      <w:r>
        <w:rPr>
          <w:rFonts w:ascii="Times New Roman" w:hAnsi="Times New Roman" w:eastAsiaTheme="minorEastAsia"/>
          <w:b/>
          <w:color w:val="auto"/>
          <w:w w:val="99"/>
          <w:kern w:val="2"/>
          <w:szCs w:val="20"/>
          <w:highlight w:val="none"/>
        </w:rPr>
        <w:t xml:space="preserve">   </w:t>
      </w:r>
      <w:r>
        <w:rPr>
          <w:rFonts w:ascii="Times New Roman" w:hAnsi="Times New Roman" w:eastAsiaTheme="minorEastAsia"/>
          <w:b/>
          <w:bCs/>
          <w:color w:val="auto"/>
          <w:w w:val="99"/>
          <w:kern w:val="2"/>
          <w:szCs w:val="20"/>
          <w:highlight w:val="none"/>
        </w:rPr>
        <w:t>退役</w:t>
      </w:r>
      <w:r>
        <w:rPr>
          <w:rFonts w:ascii="Times New Roman" w:hAnsi="Times New Roman" w:eastAsiaTheme="minorEastAsia"/>
          <w:b/>
          <w:color w:val="auto"/>
          <w:w w:val="99"/>
          <w:kern w:val="2"/>
          <w:szCs w:val="20"/>
          <w:highlight w:val="none"/>
        </w:rPr>
        <w:t>期</w:t>
      </w:r>
      <w:r>
        <w:rPr>
          <w:rFonts w:ascii="Times New Roman" w:hAnsi="Times New Roman" w:eastAsiaTheme="minorEastAsia"/>
          <w:b/>
          <w:bCs/>
          <w:color w:val="auto"/>
          <w:w w:val="99"/>
          <w:highlight w:val="none"/>
        </w:rPr>
        <w:t>噪声污染</w:t>
      </w:r>
      <w:r>
        <w:rPr>
          <w:rFonts w:ascii="Times New Roman" w:hAnsi="Times New Roman" w:eastAsiaTheme="minorEastAsia"/>
          <w:b/>
          <w:color w:val="auto"/>
          <w:w w:val="99"/>
          <w:kern w:val="2"/>
          <w:szCs w:val="20"/>
          <w:highlight w:val="none"/>
        </w:rPr>
        <w:t>源源强核算结果及相关参数一览表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1"/>
        <w:gridCol w:w="1043"/>
        <w:gridCol w:w="1152"/>
        <w:gridCol w:w="1729"/>
        <w:gridCol w:w="1439"/>
        <w:gridCol w:w="1729"/>
        <w:gridCol w:w="1129"/>
        <w:gridCol w:w="1112"/>
        <w:gridCol w:w="1075"/>
        <w:gridCol w:w="1729"/>
        <w:gridCol w:w="970"/>
      </w:tblGrid>
      <w:tr w14:paraId="577E9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restart"/>
            <w:vAlign w:val="center"/>
          </w:tcPr>
          <w:p w14:paraId="41A8C05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工序</w:t>
            </w:r>
          </w:p>
        </w:tc>
        <w:tc>
          <w:tcPr>
            <w:tcW w:w="367" w:type="pct"/>
            <w:vMerge w:val="restart"/>
            <w:vAlign w:val="center"/>
          </w:tcPr>
          <w:p w14:paraId="01E72E43">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装置</w:t>
            </w:r>
          </w:p>
        </w:tc>
        <w:tc>
          <w:tcPr>
            <w:tcW w:w="405" w:type="pct"/>
            <w:vMerge w:val="restart"/>
            <w:vAlign w:val="center"/>
          </w:tcPr>
          <w:p w14:paraId="1CE6685B">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噪声源</w:t>
            </w:r>
          </w:p>
        </w:tc>
        <w:tc>
          <w:tcPr>
            <w:tcW w:w="608" w:type="pct"/>
            <w:vMerge w:val="restart"/>
            <w:vAlign w:val="center"/>
          </w:tcPr>
          <w:p w14:paraId="4E3E1E63">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声源类型（频发、偶发等）</w:t>
            </w:r>
          </w:p>
        </w:tc>
        <w:tc>
          <w:tcPr>
            <w:tcW w:w="1114" w:type="pct"/>
            <w:gridSpan w:val="2"/>
            <w:vAlign w:val="center"/>
          </w:tcPr>
          <w:p w14:paraId="402096B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噪声源强</w:t>
            </w:r>
          </w:p>
        </w:tc>
        <w:tc>
          <w:tcPr>
            <w:tcW w:w="788" w:type="pct"/>
            <w:gridSpan w:val="2"/>
            <w:vAlign w:val="center"/>
          </w:tcPr>
          <w:p w14:paraId="3D424FF5">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降噪措施</w:t>
            </w:r>
          </w:p>
        </w:tc>
        <w:tc>
          <w:tcPr>
            <w:tcW w:w="986" w:type="pct"/>
            <w:gridSpan w:val="2"/>
            <w:vAlign w:val="center"/>
          </w:tcPr>
          <w:p w14:paraId="3402384E">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噪声值排放</w:t>
            </w:r>
          </w:p>
        </w:tc>
        <w:tc>
          <w:tcPr>
            <w:tcW w:w="341" w:type="pct"/>
            <w:vMerge w:val="restart"/>
            <w:vAlign w:val="center"/>
          </w:tcPr>
          <w:p w14:paraId="5436DB0E">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持续时间d</w:t>
            </w:r>
          </w:p>
        </w:tc>
      </w:tr>
      <w:tr w14:paraId="3A971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continue"/>
            <w:vAlign w:val="center"/>
          </w:tcPr>
          <w:p w14:paraId="2E590F98">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367" w:type="pct"/>
            <w:vMerge w:val="continue"/>
            <w:vAlign w:val="center"/>
          </w:tcPr>
          <w:p w14:paraId="29B80B38">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5" w:type="pct"/>
            <w:vMerge w:val="continue"/>
            <w:vAlign w:val="center"/>
          </w:tcPr>
          <w:p w14:paraId="14932462">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608" w:type="pct"/>
            <w:vMerge w:val="continue"/>
            <w:vAlign w:val="center"/>
          </w:tcPr>
          <w:p w14:paraId="6BE7908D">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506" w:type="pct"/>
            <w:vAlign w:val="center"/>
          </w:tcPr>
          <w:p w14:paraId="2DA15FF8">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核算方法</w:t>
            </w:r>
          </w:p>
        </w:tc>
        <w:tc>
          <w:tcPr>
            <w:tcW w:w="608" w:type="pct"/>
            <w:vAlign w:val="center"/>
          </w:tcPr>
          <w:p w14:paraId="22EB728E">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噪声值/dB（A）</w:t>
            </w:r>
          </w:p>
        </w:tc>
        <w:tc>
          <w:tcPr>
            <w:tcW w:w="397" w:type="pct"/>
            <w:vAlign w:val="center"/>
          </w:tcPr>
          <w:p w14:paraId="3D9673AC">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工艺</w:t>
            </w:r>
          </w:p>
        </w:tc>
        <w:tc>
          <w:tcPr>
            <w:tcW w:w="391" w:type="pct"/>
            <w:vAlign w:val="center"/>
          </w:tcPr>
          <w:p w14:paraId="4FE06F4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降噪效果</w:t>
            </w:r>
          </w:p>
        </w:tc>
        <w:tc>
          <w:tcPr>
            <w:tcW w:w="378" w:type="pct"/>
            <w:vAlign w:val="center"/>
          </w:tcPr>
          <w:p w14:paraId="70195F1D">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核算方法</w:t>
            </w:r>
          </w:p>
        </w:tc>
        <w:tc>
          <w:tcPr>
            <w:tcW w:w="608" w:type="pct"/>
            <w:vAlign w:val="center"/>
          </w:tcPr>
          <w:p w14:paraId="1862CC7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噪声值/dB（A）</w:t>
            </w:r>
          </w:p>
        </w:tc>
        <w:tc>
          <w:tcPr>
            <w:tcW w:w="341" w:type="pct"/>
            <w:vMerge w:val="continue"/>
            <w:vAlign w:val="center"/>
          </w:tcPr>
          <w:p w14:paraId="214A4DCB">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14:paraId="5D4C2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391" w:type="pct"/>
            <w:vMerge w:val="restart"/>
            <w:vAlign w:val="center"/>
          </w:tcPr>
          <w:p w14:paraId="5204AED1">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退役井场、管线施工</w:t>
            </w:r>
          </w:p>
        </w:tc>
        <w:tc>
          <w:tcPr>
            <w:tcW w:w="367" w:type="pct"/>
            <w:vMerge w:val="restart"/>
            <w:vAlign w:val="center"/>
          </w:tcPr>
          <w:p w14:paraId="18B36FEE">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施工机械</w:t>
            </w:r>
          </w:p>
        </w:tc>
        <w:tc>
          <w:tcPr>
            <w:tcW w:w="405" w:type="pct"/>
            <w:vAlign w:val="center"/>
          </w:tcPr>
          <w:p w14:paraId="36D9B56F">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挖掘机</w:t>
            </w:r>
          </w:p>
        </w:tc>
        <w:tc>
          <w:tcPr>
            <w:tcW w:w="608" w:type="pct"/>
            <w:vAlign w:val="center"/>
          </w:tcPr>
          <w:p w14:paraId="59123119">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506" w:type="pct"/>
            <w:vMerge w:val="restart"/>
            <w:vAlign w:val="center"/>
          </w:tcPr>
          <w:p w14:paraId="29F27AC1">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608" w:type="pct"/>
            <w:vAlign w:val="center"/>
          </w:tcPr>
          <w:p w14:paraId="565BFC74">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82～90</w:t>
            </w:r>
          </w:p>
        </w:tc>
        <w:tc>
          <w:tcPr>
            <w:tcW w:w="397" w:type="pct"/>
            <w:vMerge w:val="restart"/>
            <w:vAlign w:val="center"/>
          </w:tcPr>
          <w:p w14:paraId="21F0CCC7">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 xml:space="preserve">定期维护和保养 </w:t>
            </w:r>
          </w:p>
        </w:tc>
        <w:tc>
          <w:tcPr>
            <w:tcW w:w="391" w:type="pct"/>
            <w:vAlign w:val="center"/>
          </w:tcPr>
          <w:p w14:paraId="2DECB19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78" w:type="pct"/>
            <w:vAlign w:val="center"/>
          </w:tcPr>
          <w:p w14:paraId="6C6558F3">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608" w:type="pct"/>
            <w:vAlign w:val="center"/>
          </w:tcPr>
          <w:p w14:paraId="0712487C">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82～90</w:t>
            </w:r>
          </w:p>
        </w:tc>
        <w:tc>
          <w:tcPr>
            <w:tcW w:w="341" w:type="pct"/>
            <w:vMerge w:val="restart"/>
            <w:vAlign w:val="center"/>
          </w:tcPr>
          <w:p w14:paraId="6373673B">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60</w:t>
            </w:r>
          </w:p>
        </w:tc>
      </w:tr>
      <w:tr w14:paraId="68A71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continue"/>
            <w:vAlign w:val="center"/>
          </w:tcPr>
          <w:p w14:paraId="4D6989A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367" w:type="pct"/>
            <w:vMerge w:val="continue"/>
            <w:vAlign w:val="center"/>
          </w:tcPr>
          <w:p w14:paraId="64D24513">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5" w:type="pct"/>
            <w:vAlign w:val="center"/>
          </w:tcPr>
          <w:p w14:paraId="71B0C457">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吊装机</w:t>
            </w:r>
          </w:p>
        </w:tc>
        <w:tc>
          <w:tcPr>
            <w:tcW w:w="608" w:type="pct"/>
            <w:vAlign w:val="center"/>
          </w:tcPr>
          <w:p w14:paraId="256920AA">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连续稳态声源</w:t>
            </w:r>
          </w:p>
        </w:tc>
        <w:tc>
          <w:tcPr>
            <w:tcW w:w="506" w:type="pct"/>
            <w:vMerge w:val="continue"/>
            <w:vAlign w:val="center"/>
          </w:tcPr>
          <w:p w14:paraId="4D16D25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608" w:type="pct"/>
            <w:vAlign w:val="center"/>
          </w:tcPr>
          <w:p w14:paraId="7F8FBFAC">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73～81</w:t>
            </w:r>
          </w:p>
        </w:tc>
        <w:tc>
          <w:tcPr>
            <w:tcW w:w="397" w:type="pct"/>
            <w:vMerge w:val="continue"/>
            <w:vAlign w:val="center"/>
          </w:tcPr>
          <w:p w14:paraId="48B91D8C">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391" w:type="pct"/>
            <w:vAlign w:val="center"/>
          </w:tcPr>
          <w:p w14:paraId="00AF6BA4">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78" w:type="pct"/>
            <w:vAlign w:val="center"/>
          </w:tcPr>
          <w:p w14:paraId="64C115A5">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608" w:type="pct"/>
            <w:vAlign w:val="center"/>
          </w:tcPr>
          <w:p w14:paraId="5E683514">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73～81</w:t>
            </w:r>
          </w:p>
        </w:tc>
        <w:tc>
          <w:tcPr>
            <w:tcW w:w="341" w:type="pct"/>
            <w:vMerge w:val="continue"/>
            <w:vAlign w:val="center"/>
          </w:tcPr>
          <w:p w14:paraId="5EC93946">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14:paraId="19269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continue"/>
            <w:vAlign w:val="center"/>
          </w:tcPr>
          <w:p w14:paraId="6D910D96">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367" w:type="pct"/>
            <w:vMerge w:val="continue"/>
            <w:vAlign w:val="center"/>
          </w:tcPr>
          <w:p w14:paraId="70C32A7A">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5" w:type="pct"/>
            <w:vAlign w:val="center"/>
          </w:tcPr>
          <w:p w14:paraId="0A41753F">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推土机</w:t>
            </w:r>
          </w:p>
        </w:tc>
        <w:tc>
          <w:tcPr>
            <w:tcW w:w="608" w:type="pct"/>
            <w:vAlign w:val="center"/>
          </w:tcPr>
          <w:p w14:paraId="0C3BAD29">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506" w:type="pct"/>
            <w:vMerge w:val="continue"/>
            <w:vAlign w:val="center"/>
          </w:tcPr>
          <w:p w14:paraId="686EA501">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608" w:type="pct"/>
            <w:vAlign w:val="center"/>
          </w:tcPr>
          <w:p w14:paraId="77BD1085">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83～88</w:t>
            </w:r>
          </w:p>
        </w:tc>
        <w:tc>
          <w:tcPr>
            <w:tcW w:w="397" w:type="pct"/>
            <w:vMerge w:val="continue"/>
            <w:vAlign w:val="center"/>
          </w:tcPr>
          <w:p w14:paraId="2B2FB381">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391" w:type="pct"/>
            <w:vAlign w:val="center"/>
          </w:tcPr>
          <w:p w14:paraId="600638FF">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78" w:type="pct"/>
            <w:vAlign w:val="center"/>
          </w:tcPr>
          <w:p w14:paraId="69C5865F">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608" w:type="pct"/>
            <w:vAlign w:val="center"/>
          </w:tcPr>
          <w:p w14:paraId="59C0CE64">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83～88</w:t>
            </w:r>
          </w:p>
        </w:tc>
        <w:tc>
          <w:tcPr>
            <w:tcW w:w="341" w:type="pct"/>
            <w:vMerge w:val="continue"/>
            <w:vAlign w:val="center"/>
          </w:tcPr>
          <w:p w14:paraId="54BAB109">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14:paraId="41AF2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continue"/>
            <w:vAlign w:val="center"/>
          </w:tcPr>
          <w:p w14:paraId="78775C87">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367" w:type="pct"/>
            <w:vMerge w:val="continue"/>
            <w:vAlign w:val="center"/>
          </w:tcPr>
          <w:p w14:paraId="16258D9F">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405" w:type="pct"/>
            <w:vAlign w:val="center"/>
          </w:tcPr>
          <w:p w14:paraId="39B6D9DD">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运输车辆</w:t>
            </w:r>
          </w:p>
        </w:tc>
        <w:tc>
          <w:tcPr>
            <w:tcW w:w="608" w:type="pct"/>
            <w:vAlign w:val="center"/>
          </w:tcPr>
          <w:p w14:paraId="36D0C99A">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506" w:type="pct"/>
            <w:vMerge w:val="continue"/>
            <w:vAlign w:val="center"/>
          </w:tcPr>
          <w:p w14:paraId="02D2FC61">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608" w:type="pct"/>
            <w:vAlign w:val="center"/>
          </w:tcPr>
          <w:p w14:paraId="7328CA23">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82～90</w:t>
            </w:r>
          </w:p>
        </w:tc>
        <w:tc>
          <w:tcPr>
            <w:tcW w:w="397" w:type="pct"/>
            <w:vMerge w:val="continue"/>
            <w:vAlign w:val="center"/>
          </w:tcPr>
          <w:p w14:paraId="7EDF83B2">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391" w:type="pct"/>
            <w:vAlign w:val="center"/>
          </w:tcPr>
          <w:p w14:paraId="5FCC327B">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78" w:type="pct"/>
            <w:vAlign w:val="center"/>
          </w:tcPr>
          <w:p w14:paraId="37B98B66">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608" w:type="pct"/>
            <w:vAlign w:val="center"/>
          </w:tcPr>
          <w:p w14:paraId="6425A56A">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82～90</w:t>
            </w:r>
          </w:p>
        </w:tc>
        <w:tc>
          <w:tcPr>
            <w:tcW w:w="341" w:type="pct"/>
            <w:vMerge w:val="continue"/>
            <w:vAlign w:val="center"/>
          </w:tcPr>
          <w:p w14:paraId="1347B9CA">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bl>
    <w:p w14:paraId="7826069A">
      <w:pPr>
        <w:pStyle w:val="153"/>
        <w:widowControl w:val="0"/>
        <w:spacing w:line="440" w:lineRule="exact"/>
        <w:ind w:firstLine="478"/>
        <w:jc w:val="both"/>
        <w:rPr>
          <w:rFonts w:ascii="Times New Roman" w:hAnsi="Times New Roman" w:eastAsiaTheme="minorEastAsia"/>
          <w:b/>
          <w:color w:val="auto"/>
          <w:w w:val="99"/>
          <w:kern w:val="2"/>
          <w:highlight w:val="none"/>
        </w:rPr>
      </w:pPr>
      <w:r>
        <w:rPr>
          <w:rFonts w:ascii="Times New Roman" w:hAnsi="Times New Roman" w:eastAsiaTheme="minorEastAsia"/>
          <w:b/>
          <w:color w:val="auto"/>
          <w:w w:val="99"/>
          <w:kern w:val="2"/>
          <w:highlight w:val="none"/>
        </w:rPr>
        <w:t>表</w:t>
      </w:r>
      <w:r>
        <w:rPr>
          <w:rFonts w:hint="eastAsia" w:ascii="Times New Roman" w:hAnsi="Times New Roman" w:eastAsiaTheme="minorEastAsia"/>
          <w:b/>
          <w:color w:val="auto"/>
          <w:w w:val="99"/>
          <w:highlight w:val="none"/>
          <w:lang w:eastAsia="zh-CN"/>
        </w:rPr>
        <w:t>3.1</w:t>
      </w:r>
      <w:r>
        <w:rPr>
          <w:rFonts w:hint="eastAsia" w:ascii="Times New Roman" w:hAnsi="Times New Roman" w:eastAsiaTheme="minorEastAsia"/>
          <w:b/>
          <w:color w:val="auto"/>
          <w:w w:val="99"/>
          <w:highlight w:val="none"/>
          <w:lang w:val="en-US" w:eastAsia="zh-CN"/>
        </w:rPr>
        <w:t>0</w:t>
      </w:r>
      <w:r>
        <w:rPr>
          <w:rFonts w:ascii="Times New Roman" w:hAnsi="Times New Roman" w:eastAsiaTheme="minorEastAsia"/>
          <w:b/>
          <w:color w:val="auto"/>
          <w:w w:val="99"/>
          <w:highlight w:val="none"/>
        </w:rPr>
        <w:t>-2</w:t>
      </w:r>
      <w:r>
        <w:rPr>
          <w:rFonts w:hint="eastAsia" w:ascii="Times New Roman" w:hAnsi="Times New Roman" w:eastAsiaTheme="minorEastAsia"/>
          <w:b/>
          <w:color w:val="auto"/>
          <w:w w:val="99"/>
          <w:highlight w:val="none"/>
          <w:lang w:val="en-US" w:eastAsia="zh-CN"/>
        </w:rPr>
        <w:t>2</w:t>
      </w:r>
      <w:r>
        <w:rPr>
          <w:rFonts w:ascii="Times New Roman" w:hAnsi="Times New Roman" w:eastAsiaTheme="minorEastAsia"/>
          <w:b/>
          <w:color w:val="auto"/>
          <w:w w:val="99"/>
          <w:kern w:val="2"/>
          <w:highlight w:val="none"/>
        </w:rPr>
        <w:t xml:space="preserve">    </w:t>
      </w:r>
      <w:r>
        <w:rPr>
          <w:rFonts w:ascii="Times New Roman" w:hAnsi="Times New Roman" w:eastAsiaTheme="minorEastAsia"/>
          <w:b/>
          <w:bCs/>
          <w:color w:val="auto"/>
          <w:w w:val="99"/>
          <w:highlight w:val="none"/>
        </w:rPr>
        <w:t>退役</w:t>
      </w:r>
      <w:r>
        <w:rPr>
          <w:rFonts w:ascii="Times New Roman" w:hAnsi="Times New Roman" w:eastAsiaTheme="minorEastAsia"/>
          <w:b/>
          <w:color w:val="auto"/>
          <w:w w:val="99"/>
          <w:kern w:val="2"/>
          <w:highlight w:val="none"/>
        </w:rPr>
        <w:t>期固体废物污染源强核算结果表</w:t>
      </w:r>
    </w:p>
    <w:tbl>
      <w:tblPr>
        <w:tblStyle w:val="80"/>
        <w:tblW w:w="140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528"/>
        <w:gridCol w:w="1134"/>
        <w:gridCol w:w="1276"/>
        <w:gridCol w:w="1276"/>
        <w:gridCol w:w="1280"/>
        <w:gridCol w:w="6631"/>
      </w:tblGrid>
      <w:tr w14:paraId="6CD19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restart"/>
            <w:vAlign w:val="center"/>
          </w:tcPr>
          <w:p w14:paraId="65D827FF">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工序</w:t>
            </w:r>
          </w:p>
        </w:tc>
        <w:tc>
          <w:tcPr>
            <w:tcW w:w="1528" w:type="dxa"/>
            <w:vMerge w:val="restart"/>
            <w:vAlign w:val="center"/>
          </w:tcPr>
          <w:p w14:paraId="30834AC3">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固体废物名称</w:t>
            </w:r>
          </w:p>
        </w:tc>
        <w:tc>
          <w:tcPr>
            <w:tcW w:w="2410" w:type="dxa"/>
            <w:gridSpan w:val="2"/>
            <w:vAlign w:val="center"/>
          </w:tcPr>
          <w:p w14:paraId="37D7EE9C">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产生情况</w:t>
            </w:r>
          </w:p>
        </w:tc>
        <w:tc>
          <w:tcPr>
            <w:tcW w:w="2556" w:type="dxa"/>
            <w:gridSpan w:val="2"/>
            <w:vAlign w:val="center"/>
          </w:tcPr>
          <w:p w14:paraId="71E9B35B">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处置措施</w:t>
            </w:r>
          </w:p>
        </w:tc>
        <w:tc>
          <w:tcPr>
            <w:tcW w:w="6631" w:type="dxa"/>
            <w:vMerge w:val="restart"/>
            <w:vAlign w:val="center"/>
          </w:tcPr>
          <w:p w14:paraId="2D929E59">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最终排放去向</w:t>
            </w:r>
          </w:p>
        </w:tc>
      </w:tr>
      <w:tr w14:paraId="25E61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tcBorders>
              <w:bottom w:val="single" w:color="auto" w:sz="4" w:space="0"/>
            </w:tcBorders>
            <w:vAlign w:val="center"/>
          </w:tcPr>
          <w:p w14:paraId="3EF0EDDD">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1528" w:type="dxa"/>
            <w:vMerge w:val="continue"/>
            <w:vAlign w:val="center"/>
          </w:tcPr>
          <w:p w14:paraId="3BE216D2">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1134" w:type="dxa"/>
            <w:vAlign w:val="center"/>
          </w:tcPr>
          <w:p w14:paraId="6B924077">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核算方法</w:t>
            </w:r>
          </w:p>
        </w:tc>
        <w:tc>
          <w:tcPr>
            <w:tcW w:w="1276" w:type="dxa"/>
            <w:vAlign w:val="center"/>
          </w:tcPr>
          <w:p w14:paraId="64C00EB0">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产生量</w:t>
            </w:r>
          </w:p>
        </w:tc>
        <w:tc>
          <w:tcPr>
            <w:tcW w:w="1276" w:type="dxa"/>
            <w:vAlign w:val="center"/>
          </w:tcPr>
          <w:p w14:paraId="370060B6">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工艺</w:t>
            </w:r>
          </w:p>
        </w:tc>
        <w:tc>
          <w:tcPr>
            <w:tcW w:w="1280" w:type="dxa"/>
            <w:vAlign w:val="center"/>
          </w:tcPr>
          <w:p w14:paraId="248AF9BD">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处置量</w:t>
            </w:r>
          </w:p>
        </w:tc>
        <w:tc>
          <w:tcPr>
            <w:tcW w:w="6631" w:type="dxa"/>
            <w:vMerge w:val="continue"/>
            <w:vAlign w:val="center"/>
          </w:tcPr>
          <w:p w14:paraId="029B966A">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14:paraId="4E9CB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restart"/>
            <w:tcBorders>
              <w:top w:val="single" w:color="auto" w:sz="4" w:space="0"/>
            </w:tcBorders>
            <w:vAlign w:val="center"/>
          </w:tcPr>
          <w:p w14:paraId="060CA290">
            <w:pPr>
              <w:widowControl w:val="0"/>
              <w:spacing w:line="360" w:lineRule="exact"/>
              <w:jc w:val="center"/>
              <w:rPr>
                <w:rFonts w:hint="eastAsia"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施工</w:t>
            </w:r>
          </w:p>
        </w:tc>
        <w:tc>
          <w:tcPr>
            <w:tcW w:w="1528" w:type="dxa"/>
            <w:vAlign w:val="center"/>
          </w:tcPr>
          <w:p w14:paraId="2DC51C18">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生活垃圾</w:t>
            </w:r>
          </w:p>
        </w:tc>
        <w:tc>
          <w:tcPr>
            <w:tcW w:w="1134" w:type="dxa"/>
            <w:vAlign w:val="center"/>
          </w:tcPr>
          <w:p w14:paraId="7DD39DE1">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1276" w:type="dxa"/>
            <w:vAlign w:val="center"/>
          </w:tcPr>
          <w:p w14:paraId="3A5CC6C9">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0.05</w:t>
            </w:r>
            <w:r>
              <w:rPr>
                <w:rFonts w:ascii="Times New Roman" w:hAnsi="Times New Roman" w:cs="Times New Roman" w:eastAsiaTheme="minorEastAsia"/>
                <w:color w:val="auto"/>
                <w:w w:val="99"/>
                <w:sz w:val="21"/>
                <w:szCs w:val="21"/>
                <w:highlight w:val="none"/>
              </w:rPr>
              <w:t>t</w:t>
            </w:r>
          </w:p>
        </w:tc>
        <w:tc>
          <w:tcPr>
            <w:tcW w:w="1276" w:type="dxa"/>
            <w:vAlign w:val="center"/>
          </w:tcPr>
          <w:p w14:paraId="1442E537">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280" w:type="dxa"/>
            <w:vAlign w:val="center"/>
          </w:tcPr>
          <w:p w14:paraId="65601A70">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0.05</w:t>
            </w:r>
            <w:r>
              <w:rPr>
                <w:rFonts w:ascii="Times New Roman" w:hAnsi="Times New Roman" w:cs="Times New Roman" w:eastAsiaTheme="minorEastAsia"/>
                <w:color w:val="auto"/>
                <w:w w:val="99"/>
                <w:sz w:val="21"/>
                <w:szCs w:val="21"/>
                <w:highlight w:val="none"/>
              </w:rPr>
              <w:t>t</w:t>
            </w:r>
          </w:p>
        </w:tc>
        <w:tc>
          <w:tcPr>
            <w:tcW w:w="6631" w:type="dxa"/>
            <w:vAlign w:val="center"/>
          </w:tcPr>
          <w:p w14:paraId="32E32204">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统一收集后拉运至</w:t>
            </w:r>
            <w:r>
              <w:rPr>
                <w:rFonts w:hint="eastAsia" w:ascii="Times New Roman" w:hAnsi="Times New Roman" w:cs="Times New Roman" w:eastAsiaTheme="minorEastAsia"/>
                <w:snapToGrid w:val="0"/>
                <w:color w:val="auto"/>
                <w:w w:val="99"/>
                <w:sz w:val="21"/>
                <w:szCs w:val="21"/>
                <w:highlight w:val="none"/>
                <w:lang w:eastAsia="zh-CN"/>
              </w:rPr>
              <w:t>肇东北控环境再生能源有限公司</w:t>
            </w:r>
            <w:r>
              <w:rPr>
                <w:rFonts w:ascii="Times New Roman" w:hAnsi="Times New Roman" w:cs="Times New Roman" w:eastAsiaTheme="minorEastAsia"/>
                <w:snapToGrid w:val="0"/>
                <w:color w:val="auto"/>
                <w:w w:val="99"/>
                <w:sz w:val="21"/>
                <w:szCs w:val="21"/>
                <w:highlight w:val="none"/>
              </w:rPr>
              <w:t>处理</w:t>
            </w:r>
          </w:p>
        </w:tc>
      </w:tr>
      <w:tr w14:paraId="67C84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6D82CA30">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1528" w:type="dxa"/>
            <w:vAlign w:val="center"/>
          </w:tcPr>
          <w:p w14:paraId="4D937EBC">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封井建筑垃圾</w:t>
            </w:r>
          </w:p>
        </w:tc>
        <w:tc>
          <w:tcPr>
            <w:tcW w:w="1134" w:type="dxa"/>
            <w:vAlign w:val="center"/>
          </w:tcPr>
          <w:p w14:paraId="2E71D055">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1276" w:type="dxa"/>
            <w:vAlign w:val="center"/>
          </w:tcPr>
          <w:p w14:paraId="5F522525">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bCs/>
                <w:color w:val="auto"/>
                <w:w w:val="99"/>
                <w:sz w:val="21"/>
                <w:szCs w:val="21"/>
                <w:highlight w:val="none"/>
                <w:lang w:val="en-US" w:eastAsia="zh-CN"/>
              </w:rPr>
              <w:t>0.2</w:t>
            </w:r>
            <w:r>
              <w:rPr>
                <w:rFonts w:ascii="Times New Roman" w:hAnsi="Times New Roman" w:cs="Times New Roman" w:eastAsiaTheme="minorEastAsia"/>
                <w:bCs/>
                <w:color w:val="auto"/>
                <w:w w:val="99"/>
                <w:sz w:val="21"/>
                <w:szCs w:val="21"/>
                <w:highlight w:val="none"/>
              </w:rPr>
              <w:t>t</w:t>
            </w:r>
          </w:p>
        </w:tc>
        <w:tc>
          <w:tcPr>
            <w:tcW w:w="1276" w:type="dxa"/>
            <w:vAlign w:val="center"/>
          </w:tcPr>
          <w:p w14:paraId="6D67D53B">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填埋处理</w:t>
            </w:r>
          </w:p>
        </w:tc>
        <w:tc>
          <w:tcPr>
            <w:tcW w:w="1280" w:type="dxa"/>
            <w:vAlign w:val="center"/>
          </w:tcPr>
          <w:p w14:paraId="436C1BA4">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bCs/>
                <w:color w:val="auto"/>
                <w:w w:val="99"/>
                <w:sz w:val="21"/>
                <w:szCs w:val="21"/>
                <w:highlight w:val="none"/>
                <w:lang w:val="en-US" w:eastAsia="zh-CN"/>
              </w:rPr>
              <w:t>0.2</w:t>
            </w:r>
            <w:r>
              <w:rPr>
                <w:rFonts w:ascii="Times New Roman" w:hAnsi="Times New Roman" w:cs="Times New Roman" w:eastAsiaTheme="minorEastAsia"/>
                <w:bCs/>
                <w:color w:val="auto"/>
                <w:w w:val="99"/>
                <w:sz w:val="21"/>
                <w:szCs w:val="21"/>
                <w:highlight w:val="none"/>
              </w:rPr>
              <w:t>t</w:t>
            </w:r>
          </w:p>
        </w:tc>
        <w:tc>
          <w:tcPr>
            <w:tcW w:w="6631" w:type="dxa"/>
            <w:vAlign w:val="center"/>
          </w:tcPr>
          <w:p w14:paraId="256D28F0">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bCs/>
                <w:snapToGrid w:val="0"/>
                <w:color w:val="auto"/>
                <w:w w:val="99"/>
                <w:sz w:val="21"/>
                <w:szCs w:val="21"/>
                <w:highlight w:val="none"/>
              </w:rPr>
              <w:t>统一收集后由施工单位清运至建筑垃圾调配场处理</w:t>
            </w:r>
          </w:p>
        </w:tc>
      </w:tr>
      <w:tr w14:paraId="0F381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09857051">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1528" w:type="dxa"/>
            <w:vAlign w:val="center"/>
          </w:tcPr>
          <w:p w14:paraId="5F328CF8">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废旧设备</w:t>
            </w:r>
          </w:p>
        </w:tc>
        <w:tc>
          <w:tcPr>
            <w:tcW w:w="1134" w:type="dxa"/>
            <w:vAlign w:val="center"/>
          </w:tcPr>
          <w:p w14:paraId="3156F31E">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1276" w:type="dxa"/>
            <w:vAlign w:val="center"/>
          </w:tcPr>
          <w:p w14:paraId="6FB98463">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1</w:t>
            </w:r>
            <w:r>
              <w:rPr>
                <w:rFonts w:ascii="Times New Roman" w:hAnsi="Times New Roman" w:cs="Times New Roman" w:eastAsiaTheme="minorEastAsia"/>
                <w:color w:val="auto"/>
                <w:w w:val="99"/>
                <w:sz w:val="21"/>
                <w:szCs w:val="21"/>
                <w:highlight w:val="none"/>
              </w:rPr>
              <w:t>台套</w:t>
            </w:r>
          </w:p>
        </w:tc>
        <w:tc>
          <w:tcPr>
            <w:tcW w:w="1276" w:type="dxa"/>
            <w:vAlign w:val="center"/>
          </w:tcPr>
          <w:p w14:paraId="3B18B689">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回收再利用</w:t>
            </w:r>
          </w:p>
        </w:tc>
        <w:tc>
          <w:tcPr>
            <w:tcW w:w="1280" w:type="dxa"/>
            <w:vAlign w:val="center"/>
          </w:tcPr>
          <w:p w14:paraId="3E1F8740">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1</w:t>
            </w:r>
            <w:r>
              <w:rPr>
                <w:rFonts w:ascii="Times New Roman" w:hAnsi="Times New Roman" w:cs="Times New Roman" w:eastAsiaTheme="minorEastAsia"/>
                <w:color w:val="auto"/>
                <w:w w:val="99"/>
                <w:sz w:val="21"/>
                <w:szCs w:val="21"/>
                <w:highlight w:val="none"/>
              </w:rPr>
              <w:t>台套</w:t>
            </w:r>
          </w:p>
        </w:tc>
        <w:tc>
          <w:tcPr>
            <w:tcW w:w="6631" w:type="dxa"/>
            <w:vAlign w:val="center"/>
          </w:tcPr>
          <w:p w14:paraId="5A948827">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bCs/>
                <w:color w:val="auto"/>
                <w:w w:val="99"/>
                <w:kern w:val="2"/>
                <w:sz w:val="21"/>
                <w:highlight w:val="none"/>
              </w:rPr>
              <w:t>全部</w:t>
            </w:r>
            <w:r>
              <w:rPr>
                <w:rFonts w:ascii="Times New Roman" w:hAnsi="Times New Roman" w:cs="Times New Roman" w:eastAsiaTheme="minorEastAsia"/>
                <w:color w:val="auto"/>
                <w:w w:val="99"/>
                <w:kern w:val="2"/>
                <w:sz w:val="21"/>
                <w:highlight w:val="none"/>
              </w:rPr>
              <w:t>回收至</w:t>
            </w:r>
            <w:r>
              <w:rPr>
                <w:rFonts w:hint="eastAsia" w:ascii="Times New Roman" w:hAnsi="Times New Roman" w:cs="Times New Roman" w:eastAsiaTheme="minorEastAsia"/>
                <w:color w:val="auto"/>
                <w:w w:val="99"/>
                <w:kern w:val="2"/>
                <w:sz w:val="21"/>
                <w:highlight w:val="none"/>
                <w:lang w:val="en-US" w:eastAsia="zh-CN"/>
              </w:rPr>
              <w:t>采气分公司</w:t>
            </w:r>
            <w:r>
              <w:rPr>
                <w:rFonts w:ascii="Times New Roman" w:hAnsi="Times New Roman" w:cs="Times New Roman" w:eastAsiaTheme="minorEastAsia"/>
                <w:color w:val="auto"/>
                <w:w w:val="99"/>
                <w:kern w:val="2"/>
                <w:sz w:val="21"/>
                <w:highlight w:val="none"/>
              </w:rPr>
              <w:t>物资库</w:t>
            </w:r>
          </w:p>
        </w:tc>
      </w:tr>
      <w:tr w14:paraId="59B45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04D52F1F">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1528" w:type="dxa"/>
            <w:vAlign w:val="center"/>
          </w:tcPr>
          <w:p w14:paraId="7AE6A87D">
            <w:pPr>
              <w:widowControl w:val="0"/>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含油防渗布</w:t>
            </w:r>
          </w:p>
        </w:tc>
        <w:tc>
          <w:tcPr>
            <w:tcW w:w="1134" w:type="dxa"/>
            <w:vAlign w:val="center"/>
          </w:tcPr>
          <w:p w14:paraId="56FD4685">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1276" w:type="dxa"/>
            <w:vAlign w:val="center"/>
          </w:tcPr>
          <w:p w14:paraId="11C8B860">
            <w:pPr>
              <w:widowControl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0.75t</w:t>
            </w:r>
          </w:p>
        </w:tc>
        <w:tc>
          <w:tcPr>
            <w:tcW w:w="1276" w:type="dxa"/>
            <w:vAlign w:val="center"/>
          </w:tcPr>
          <w:p w14:paraId="144438B1">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280" w:type="dxa"/>
            <w:vAlign w:val="center"/>
          </w:tcPr>
          <w:p w14:paraId="09005841">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0.75t</w:t>
            </w:r>
          </w:p>
        </w:tc>
        <w:tc>
          <w:tcPr>
            <w:tcW w:w="6631" w:type="dxa"/>
            <w:vAlign w:val="center"/>
          </w:tcPr>
          <w:p w14:paraId="4BAFD447">
            <w:pPr>
              <w:widowControl w:val="0"/>
              <w:spacing w:line="360" w:lineRule="exact"/>
              <w:jc w:val="center"/>
              <w:rPr>
                <w:rFonts w:ascii="Times New Roman" w:hAnsi="Times New Roman" w:cs="Times New Roman" w:eastAsiaTheme="minorEastAsia"/>
                <w:bCs/>
                <w:color w:val="auto"/>
                <w:w w:val="99"/>
                <w:kern w:val="2"/>
                <w:sz w:val="21"/>
                <w:highlight w:val="none"/>
              </w:rPr>
            </w:pPr>
            <w:r>
              <w:rPr>
                <w:rFonts w:hint="default" w:ascii="Times New Roman" w:hAnsi="Times New Roman" w:cs="Times New Roman" w:eastAsiaTheme="minorEastAsia"/>
                <w:bCs/>
                <w:color w:val="auto"/>
                <w:w w:val="99"/>
                <w:kern w:val="2"/>
                <w:sz w:val="21"/>
                <w:highlight w:val="none"/>
                <w:lang w:val="en-US" w:eastAsia="zh-CN"/>
              </w:rPr>
              <w:t>作业结束后，由施工单位运至采气分公司危险废物贮存库，委托</w:t>
            </w:r>
            <w:r>
              <w:rPr>
                <w:rFonts w:hint="eastAsia" w:ascii="Times New Roman" w:hAnsi="Times New Roman" w:cs="Times New Roman" w:eastAsiaTheme="minorEastAsia"/>
                <w:bCs/>
                <w:color w:val="auto"/>
                <w:w w:val="99"/>
                <w:kern w:val="2"/>
                <w:sz w:val="21"/>
                <w:highlight w:val="none"/>
                <w:lang w:val="en-US" w:eastAsia="zh-CN"/>
              </w:rPr>
              <w:t>有资质单位</w:t>
            </w:r>
            <w:r>
              <w:rPr>
                <w:rFonts w:hint="default" w:ascii="Times New Roman" w:hAnsi="Times New Roman" w:cs="Times New Roman" w:eastAsiaTheme="minorEastAsia"/>
                <w:bCs/>
                <w:color w:val="auto"/>
                <w:w w:val="99"/>
                <w:kern w:val="2"/>
                <w:sz w:val="21"/>
                <w:highlight w:val="none"/>
                <w:lang w:val="en-US" w:eastAsia="zh-CN"/>
              </w:rPr>
              <w:t>转运处置</w:t>
            </w:r>
          </w:p>
        </w:tc>
      </w:tr>
    </w:tbl>
    <w:p w14:paraId="4C7E9C25">
      <w:pPr>
        <w:rPr>
          <w:rFonts w:ascii="Times New Roman" w:hAnsi="Times New Roman" w:cs="Times New Roman" w:eastAsiaTheme="minorEastAsia"/>
          <w:color w:val="auto"/>
          <w:w w:val="99"/>
          <w:szCs w:val="20"/>
          <w:highlight w:val="none"/>
        </w:rPr>
        <w:sectPr>
          <w:type w:val="nextColumn"/>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26" w:charSpace="0"/>
        </w:sectPr>
      </w:pPr>
    </w:p>
    <w:p w14:paraId="09F910B3">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545" w:name="_Toc161040854"/>
      <w:bookmarkStart w:id="546" w:name="_Toc161042136"/>
      <w:bookmarkStart w:id="547" w:name="_Toc70050204"/>
      <w:bookmarkStart w:id="548" w:name="_Toc80971397"/>
      <w:bookmarkStart w:id="549" w:name="_Toc187769962"/>
      <w:bookmarkStart w:id="550" w:name="_Toc77067678"/>
      <w:bookmarkStart w:id="551" w:name="_Toc196569738"/>
      <w:bookmarkStart w:id="552" w:name="_Toc306198592"/>
      <w:bookmarkStart w:id="553" w:name="_Toc76976266"/>
      <w:bookmarkStart w:id="554" w:name="_Toc186444303"/>
      <w:bookmarkStart w:id="555" w:name="_Toc80588275"/>
      <w:bookmarkStart w:id="556" w:name="_Toc401560716"/>
      <w:bookmarkStart w:id="557" w:name="_Toc298419504"/>
      <w:bookmarkStart w:id="558" w:name="_Toc83209497"/>
      <w:bookmarkStart w:id="559" w:name="_Toc303693581"/>
      <w:bookmarkStart w:id="560" w:name="_Toc326934136"/>
      <w:bookmarkStart w:id="561" w:name="_Toc67860155"/>
      <w:bookmarkStart w:id="562" w:name="_Toc78816480"/>
      <w:r>
        <w:rPr>
          <w:rFonts w:hint="eastAsia" w:eastAsia="宋体"/>
          <w:b/>
          <w:color w:val="auto"/>
          <w:w w:val="99"/>
          <w:kern w:val="2"/>
          <w:sz w:val="24"/>
          <w:szCs w:val="24"/>
          <w:highlight w:val="none"/>
          <w:lang w:eastAsia="zh-CN"/>
        </w:rPr>
        <w:t>3.1</w:t>
      </w:r>
      <w:r>
        <w:rPr>
          <w:rFonts w:hint="eastAsia" w:eastAsia="宋体"/>
          <w:b/>
          <w:color w:val="auto"/>
          <w:w w:val="99"/>
          <w:kern w:val="2"/>
          <w:sz w:val="24"/>
          <w:szCs w:val="24"/>
          <w:highlight w:val="none"/>
          <w:lang w:val="en-US" w:eastAsia="zh-CN"/>
        </w:rPr>
        <w:t>0</w:t>
      </w:r>
      <w:r>
        <w:rPr>
          <w:rFonts w:eastAsia="宋体"/>
          <w:b/>
          <w:color w:val="auto"/>
          <w:w w:val="99"/>
          <w:kern w:val="2"/>
          <w:sz w:val="24"/>
          <w:szCs w:val="24"/>
          <w:highlight w:val="none"/>
        </w:rPr>
        <w:t>.</w:t>
      </w:r>
      <w:r>
        <w:rPr>
          <w:rFonts w:hint="eastAsia" w:eastAsia="宋体"/>
          <w:b/>
          <w:color w:val="auto"/>
          <w:w w:val="99"/>
          <w:kern w:val="2"/>
          <w:sz w:val="24"/>
          <w:szCs w:val="24"/>
          <w:highlight w:val="none"/>
          <w:lang w:val="en-US" w:eastAsia="zh-CN"/>
        </w:rPr>
        <w:t>5</w:t>
      </w:r>
      <w:r>
        <w:rPr>
          <w:rFonts w:eastAsia="宋体"/>
          <w:b/>
          <w:color w:val="auto"/>
          <w:w w:val="99"/>
          <w:kern w:val="2"/>
          <w:sz w:val="24"/>
          <w:szCs w:val="24"/>
          <w:highlight w:val="none"/>
        </w:rPr>
        <w:t>污染物“三本帐”汇总</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330250F6">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由于本项目施工期、退役期产生的各种污染物将随施工活动的结束而消失，本项目运营期废水、固体废物不排入外环境，因此，本次评价只对本项目运营期大气污染物排放情况进行核定，污染物“三本帐”汇总见表</w:t>
      </w:r>
      <w:r>
        <w:rPr>
          <w:rFonts w:hint="eastAsia" w:ascii="Times New Roman" w:hAnsi="Times New Roman" w:cs="Times New Roman" w:eastAsiaTheme="minorEastAsia"/>
          <w:color w:val="auto"/>
          <w:w w:val="99"/>
          <w:kern w:val="2"/>
          <w:szCs w:val="20"/>
          <w:highlight w:val="none"/>
          <w:lang w:eastAsia="zh-CN"/>
        </w:rPr>
        <w:t>3.1</w:t>
      </w:r>
      <w:r>
        <w:rPr>
          <w:rFonts w:hint="eastAsia" w:ascii="Times New Roman" w:hAnsi="Times New Roman" w:cs="Times New Roman" w:eastAsiaTheme="minorEastAsia"/>
          <w:color w:val="auto"/>
          <w:w w:val="99"/>
          <w:kern w:val="2"/>
          <w:szCs w:val="20"/>
          <w:highlight w:val="none"/>
          <w:lang w:val="en-US" w:eastAsia="zh-CN"/>
        </w:rPr>
        <w:t>0</w:t>
      </w:r>
      <w:r>
        <w:rPr>
          <w:rFonts w:ascii="Times New Roman" w:hAnsi="Times New Roman" w:cs="Times New Roman" w:eastAsiaTheme="minorEastAsia"/>
          <w:color w:val="auto"/>
          <w:w w:val="99"/>
          <w:kern w:val="2"/>
          <w:szCs w:val="20"/>
          <w:highlight w:val="none"/>
        </w:rPr>
        <w:t>-2</w:t>
      </w:r>
      <w:r>
        <w:rPr>
          <w:rFonts w:hint="eastAsia" w:ascii="Times New Roman" w:hAnsi="Times New Roman" w:cs="Times New Roman" w:eastAsiaTheme="minorEastAsia"/>
          <w:color w:val="auto"/>
          <w:w w:val="99"/>
          <w:kern w:val="2"/>
          <w:szCs w:val="20"/>
          <w:highlight w:val="none"/>
          <w:lang w:val="en-US" w:eastAsia="zh-CN"/>
        </w:rPr>
        <w:t>3</w:t>
      </w:r>
      <w:r>
        <w:rPr>
          <w:rFonts w:ascii="Times New Roman" w:hAnsi="Times New Roman" w:cs="Times New Roman"/>
          <w:color w:val="auto"/>
          <w:w w:val="99"/>
          <w:kern w:val="2"/>
          <w:szCs w:val="20"/>
          <w:highlight w:val="none"/>
        </w:rPr>
        <w:t>。</w:t>
      </w:r>
    </w:p>
    <w:p w14:paraId="7AE8AE1A">
      <w:pPr>
        <w:widowControl w:val="0"/>
        <w:spacing w:line="440" w:lineRule="exact"/>
        <w:ind w:firstLine="476" w:firstLineChars="200"/>
        <w:jc w:val="both"/>
        <w:rPr>
          <w:rFonts w:ascii="Times New Roman" w:hAnsi="Times New Roman" w:cs="Times New Roman"/>
          <w:color w:val="auto"/>
          <w:w w:val="99"/>
          <w:kern w:val="2"/>
          <w:szCs w:val="20"/>
          <w:highlight w:val="none"/>
        </w:rPr>
      </w:pPr>
      <w:r>
        <w:rPr>
          <w:rFonts w:ascii="Times New Roman" w:hAnsi="Times New Roman" w:cs="Times New Roman" w:eastAsiaTheme="minorEastAsia"/>
          <w:b/>
          <w:color w:val="auto"/>
          <w:w w:val="99"/>
          <w:kern w:val="2"/>
          <w:szCs w:val="20"/>
          <w:highlight w:val="none"/>
        </w:rPr>
        <w:t>表</w:t>
      </w:r>
      <w:r>
        <w:rPr>
          <w:rFonts w:hint="eastAsia" w:ascii="Times New Roman" w:hAnsi="Times New Roman" w:cs="Times New Roman" w:eastAsiaTheme="minorEastAsia"/>
          <w:b/>
          <w:color w:val="auto"/>
          <w:w w:val="99"/>
          <w:kern w:val="2"/>
          <w:szCs w:val="20"/>
          <w:highlight w:val="none"/>
          <w:lang w:eastAsia="zh-CN"/>
        </w:rPr>
        <w:t>3.1</w:t>
      </w:r>
      <w:r>
        <w:rPr>
          <w:rFonts w:hint="eastAsia" w:ascii="Times New Roman" w:hAnsi="Times New Roman" w:cs="Times New Roman" w:eastAsiaTheme="minorEastAsia"/>
          <w:b/>
          <w:color w:val="auto"/>
          <w:w w:val="99"/>
          <w:kern w:val="2"/>
          <w:szCs w:val="20"/>
          <w:highlight w:val="none"/>
          <w:lang w:val="en-US" w:eastAsia="zh-CN"/>
        </w:rPr>
        <w:t>0</w:t>
      </w:r>
      <w:r>
        <w:rPr>
          <w:rFonts w:ascii="Times New Roman" w:hAnsi="Times New Roman" w:cs="Times New Roman" w:eastAsiaTheme="minorEastAsia"/>
          <w:b/>
          <w:color w:val="auto"/>
          <w:w w:val="99"/>
          <w:kern w:val="2"/>
          <w:szCs w:val="20"/>
          <w:highlight w:val="none"/>
        </w:rPr>
        <w:t>-</w:t>
      </w:r>
      <w:r>
        <w:rPr>
          <w:rFonts w:hint="eastAsia" w:ascii="Times New Roman" w:hAnsi="Times New Roman" w:cs="Times New Roman" w:eastAsiaTheme="minorEastAsia"/>
          <w:b/>
          <w:color w:val="auto"/>
          <w:w w:val="99"/>
          <w:kern w:val="2"/>
          <w:szCs w:val="20"/>
          <w:highlight w:val="none"/>
          <w:lang w:val="en-US" w:eastAsia="zh-CN"/>
        </w:rPr>
        <w:t>23</w:t>
      </w:r>
      <w:r>
        <w:rPr>
          <w:rFonts w:ascii="Times New Roman" w:hAnsi="Times New Roman" w:cs="Times New Roman"/>
          <w:b/>
          <w:color w:val="auto"/>
          <w:w w:val="99"/>
          <w:kern w:val="2"/>
          <w:szCs w:val="20"/>
          <w:highlight w:val="none"/>
        </w:rPr>
        <w:t xml:space="preserve">    </w:t>
      </w:r>
      <w:r>
        <w:rPr>
          <w:rFonts w:ascii="Times New Roman" w:hAnsi="Times New Roman" w:cs="Times New Roman" w:eastAsiaTheme="minorEastAsia"/>
          <w:b/>
          <w:bCs/>
          <w:color w:val="auto"/>
          <w:w w:val="99"/>
          <w:highlight w:val="none"/>
        </w:rPr>
        <w:t>污染物</w:t>
      </w:r>
      <w:r>
        <w:rPr>
          <w:rFonts w:ascii="Times New Roman" w:hAnsi="Times New Roman" w:cs="Times New Roman"/>
          <w:b/>
          <w:color w:val="auto"/>
          <w:w w:val="99"/>
          <w:kern w:val="2"/>
          <w:szCs w:val="20"/>
          <w:highlight w:val="none"/>
        </w:rPr>
        <w:t>“三本账”汇总一览表</w:t>
      </w:r>
    </w:p>
    <w:tbl>
      <w:tblPr>
        <w:tblStyle w:val="80"/>
        <w:tblW w:w="502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01"/>
        <w:gridCol w:w="1310"/>
        <w:gridCol w:w="938"/>
        <w:gridCol w:w="1235"/>
        <w:gridCol w:w="1038"/>
        <w:gridCol w:w="1038"/>
        <w:gridCol w:w="1038"/>
        <w:gridCol w:w="1219"/>
      </w:tblGrid>
      <w:tr w14:paraId="6BC21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32" w:type="pct"/>
            <w:gridSpan w:val="2"/>
            <w:vAlign w:val="center"/>
          </w:tcPr>
          <w:p w14:paraId="4B6C1940">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污染物名称</w:t>
            </w:r>
          </w:p>
        </w:tc>
        <w:tc>
          <w:tcPr>
            <w:tcW w:w="514" w:type="pct"/>
            <w:vAlign w:val="center"/>
          </w:tcPr>
          <w:p w14:paraId="0D118531">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单位</w:t>
            </w:r>
          </w:p>
        </w:tc>
        <w:tc>
          <w:tcPr>
            <w:tcW w:w="677" w:type="pct"/>
            <w:vAlign w:val="center"/>
          </w:tcPr>
          <w:p w14:paraId="742F7394">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现有工程排放量</w:t>
            </w:r>
          </w:p>
        </w:tc>
        <w:tc>
          <w:tcPr>
            <w:tcW w:w="569" w:type="pct"/>
            <w:vAlign w:val="center"/>
          </w:tcPr>
          <w:p w14:paraId="5B71D93E">
            <w:pPr>
              <w:pStyle w:val="178"/>
              <w:spacing w:line="360" w:lineRule="exact"/>
              <w:ind w:firstLine="0"/>
              <w:jc w:val="center"/>
              <w:rPr>
                <w:rFonts w:ascii="Times New Roman" w:hAnsi="Times New Roman" w:cs="Times New Roman" w:eastAsiaTheme="minorEastAsia"/>
                <w:color w:val="auto"/>
                <w:w w:val="99"/>
                <w:sz w:val="21"/>
                <w:szCs w:val="21"/>
                <w:highlight w:val="none"/>
                <w:lang w:eastAsia="zh-CN"/>
              </w:rPr>
            </w:pPr>
            <w:r>
              <w:rPr>
                <w:rFonts w:ascii="Times New Roman" w:hAnsi="Times New Roman" w:cs="Times New Roman" w:eastAsiaTheme="minorEastAsia"/>
                <w:color w:val="auto"/>
                <w:w w:val="99"/>
                <w:sz w:val="21"/>
                <w:szCs w:val="21"/>
                <w:highlight w:val="none"/>
                <w:lang w:eastAsia="zh-CN"/>
              </w:rPr>
              <w:t>以新代老消减量</w:t>
            </w:r>
          </w:p>
        </w:tc>
        <w:tc>
          <w:tcPr>
            <w:tcW w:w="569" w:type="pct"/>
            <w:vAlign w:val="center"/>
          </w:tcPr>
          <w:p w14:paraId="39A80FB1">
            <w:pPr>
              <w:pStyle w:val="178"/>
              <w:spacing w:line="360" w:lineRule="exact"/>
              <w:ind w:firstLine="0"/>
              <w:jc w:val="center"/>
              <w:rPr>
                <w:rFonts w:ascii="Times New Roman" w:hAnsi="Times New Roman" w:cs="Times New Roman" w:eastAsiaTheme="minorEastAsia"/>
                <w:color w:val="auto"/>
                <w:w w:val="99"/>
                <w:sz w:val="21"/>
                <w:szCs w:val="21"/>
                <w:highlight w:val="none"/>
                <w:lang w:eastAsia="zh-CN"/>
              </w:rPr>
            </w:pPr>
            <w:r>
              <w:rPr>
                <w:rFonts w:ascii="Times New Roman" w:hAnsi="Times New Roman" w:cs="Times New Roman" w:eastAsiaTheme="minorEastAsia"/>
                <w:color w:val="auto"/>
                <w:w w:val="99"/>
                <w:sz w:val="21"/>
                <w:szCs w:val="21"/>
                <w:highlight w:val="none"/>
              </w:rPr>
              <w:t>本工程</w:t>
            </w:r>
            <w:r>
              <w:rPr>
                <w:rFonts w:ascii="Times New Roman" w:hAnsi="Times New Roman" w:cs="Times New Roman" w:eastAsiaTheme="minorEastAsia"/>
                <w:color w:val="auto"/>
                <w:w w:val="99"/>
                <w:sz w:val="21"/>
                <w:szCs w:val="21"/>
                <w:highlight w:val="none"/>
                <w:lang w:eastAsia="zh-CN"/>
              </w:rPr>
              <w:t>排放量</w:t>
            </w:r>
          </w:p>
        </w:tc>
        <w:tc>
          <w:tcPr>
            <w:tcW w:w="569" w:type="pct"/>
            <w:vAlign w:val="center"/>
          </w:tcPr>
          <w:p w14:paraId="7F6ECFEA">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总排放量</w:t>
            </w:r>
          </w:p>
        </w:tc>
        <w:tc>
          <w:tcPr>
            <w:tcW w:w="668" w:type="pct"/>
            <w:vAlign w:val="center"/>
          </w:tcPr>
          <w:p w14:paraId="592B434F">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排放增减量</w:t>
            </w:r>
          </w:p>
        </w:tc>
      </w:tr>
      <w:tr w14:paraId="7EC48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14" w:type="pct"/>
            <w:vMerge w:val="restart"/>
            <w:vAlign w:val="center"/>
          </w:tcPr>
          <w:p w14:paraId="1128E275">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废气</w:t>
            </w:r>
          </w:p>
        </w:tc>
        <w:tc>
          <w:tcPr>
            <w:tcW w:w="717" w:type="pct"/>
            <w:vAlign w:val="center"/>
          </w:tcPr>
          <w:p w14:paraId="68846843">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烟气量</w:t>
            </w:r>
          </w:p>
        </w:tc>
        <w:tc>
          <w:tcPr>
            <w:tcW w:w="514" w:type="pct"/>
            <w:vAlign w:val="center"/>
          </w:tcPr>
          <w:p w14:paraId="3AA0B04D">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r>
              <w:rPr>
                <w:rFonts w:ascii="Times New Roman" w:hAnsi="Times New Roman" w:cs="Times New Roman" w:eastAsiaTheme="minorEastAsia"/>
                <w:color w:val="auto"/>
                <w:w w:val="99"/>
                <w:sz w:val="21"/>
                <w:szCs w:val="21"/>
                <w:highlight w:val="none"/>
                <w:vertAlign w:val="superscript"/>
              </w:rPr>
              <w:t>4</w:t>
            </w:r>
            <w:r>
              <w:rPr>
                <w:rFonts w:ascii="Times New Roman" w:hAnsi="Times New Roman" w:cs="Times New Roman" w:eastAsiaTheme="minorEastAsia"/>
                <w:color w:val="auto"/>
                <w:w w:val="99"/>
                <w:sz w:val="21"/>
                <w:szCs w:val="21"/>
                <w:highlight w:val="none"/>
              </w:rPr>
              <w:t>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/a</w:t>
            </w:r>
          </w:p>
        </w:tc>
        <w:tc>
          <w:tcPr>
            <w:tcW w:w="677" w:type="pct"/>
            <w:vAlign w:val="center"/>
          </w:tcPr>
          <w:p w14:paraId="41984B45">
            <w:pPr>
              <w:pStyle w:val="178"/>
              <w:spacing w:line="36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280.4</w:t>
            </w:r>
          </w:p>
        </w:tc>
        <w:tc>
          <w:tcPr>
            <w:tcW w:w="569" w:type="pct"/>
            <w:vAlign w:val="center"/>
          </w:tcPr>
          <w:p w14:paraId="0A8C72FB">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569" w:type="pct"/>
            <w:vAlign w:val="center"/>
          </w:tcPr>
          <w:p w14:paraId="4923C3A7">
            <w:pPr>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569" w:type="pct"/>
            <w:shd w:val="clear" w:color="auto" w:fill="auto"/>
            <w:vAlign w:val="center"/>
          </w:tcPr>
          <w:p w14:paraId="7C15A78B">
            <w:pPr>
              <w:pStyle w:val="178"/>
              <w:spacing w:line="360" w:lineRule="exact"/>
              <w:ind w:firstLine="0"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280.4</w:t>
            </w:r>
          </w:p>
        </w:tc>
        <w:tc>
          <w:tcPr>
            <w:tcW w:w="668" w:type="pct"/>
            <w:vAlign w:val="center"/>
          </w:tcPr>
          <w:p w14:paraId="65C98371">
            <w:pPr>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r>
      <w:tr w14:paraId="0B0FE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14" w:type="pct"/>
            <w:vMerge w:val="continue"/>
            <w:vAlign w:val="center"/>
          </w:tcPr>
          <w:p w14:paraId="53A185D2">
            <w:pPr>
              <w:pStyle w:val="178"/>
              <w:spacing w:line="360" w:lineRule="exact"/>
              <w:ind w:firstLine="0"/>
              <w:jc w:val="center"/>
              <w:rPr>
                <w:rFonts w:ascii="Times New Roman" w:hAnsi="Times New Roman" w:cs="Times New Roman" w:eastAsiaTheme="minorEastAsia"/>
                <w:color w:val="auto"/>
                <w:w w:val="99"/>
                <w:sz w:val="21"/>
                <w:szCs w:val="21"/>
                <w:highlight w:val="none"/>
              </w:rPr>
            </w:pPr>
          </w:p>
        </w:tc>
        <w:tc>
          <w:tcPr>
            <w:tcW w:w="717" w:type="pct"/>
            <w:vAlign w:val="center"/>
          </w:tcPr>
          <w:p w14:paraId="7697A61F">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颗粒物</w:t>
            </w:r>
          </w:p>
        </w:tc>
        <w:tc>
          <w:tcPr>
            <w:tcW w:w="514" w:type="pct"/>
            <w:vAlign w:val="center"/>
          </w:tcPr>
          <w:p w14:paraId="32CCF57D">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t/a</w:t>
            </w:r>
          </w:p>
        </w:tc>
        <w:tc>
          <w:tcPr>
            <w:tcW w:w="677" w:type="pct"/>
            <w:vAlign w:val="center"/>
          </w:tcPr>
          <w:p w14:paraId="7BF28A8F">
            <w:pPr>
              <w:pStyle w:val="178"/>
              <w:spacing w:line="36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0.018</w:t>
            </w:r>
          </w:p>
        </w:tc>
        <w:tc>
          <w:tcPr>
            <w:tcW w:w="569" w:type="pct"/>
            <w:vAlign w:val="center"/>
          </w:tcPr>
          <w:p w14:paraId="22BA7B19">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569" w:type="pct"/>
            <w:vAlign w:val="center"/>
          </w:tcPr>
          <w:p w14:paraId="67113E54">
            <w:pPr>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569" w:type="pct"/>
            <w:shd w:val="clear" w:color="auto" w:fill="auto"/>
            <w:vAlign w:val="center"/>
          </w:tcPr>
          <w:p w14:paraId="1B910AF6">
            <w:pPr>
              <w:pStyle w:val="178"/>
              <w:spacing w:line="360" w:lineRule="exact"/>
              <w:ind w:firstLine="0"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0.018</w:t>
            </w:r>
          </w:p>
        </w:tc>
        <w:tc>
          <w:tcPr>
            <w:tcW w:w="668" w:type="pct"/>
            <w:vAlign w:val="center"/>
          </w:tcPr>
          <w:p w14:paraId="265E4F2B">
            <w:pPr>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r>
      <w:tr w14:paraId="73C6F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14" w:type="pct"/>
            <w:vMerge w:val="continue"/>
            <w:vAlign w:val="center"/>
          </w:tcPr>
          <w:p w14:paraId="7C744B23">
            <w:pPr>
              <w:pStyle w:val="178"/>
              <w:spacing w:line="360" w:lineRule="exact"/>
              <w:ind w:firstLine="0"/>
              <w:jc w:val="center"/>
              <w:rPr>
                <w:rFonts w:ascii="Times New Roman" w:hAnsi="Times New Roman" w:cs="Times New Roman" w:eastAsiaTheme="minorEastAsia"/>
                <w:color w:val="auto"/>
                <w:w w:val="99"/>
                <w:sz w:val="21"/>
                <w:szCs w:val="21"/>
                <w:highlight w:val="none"/>
              </w:rPr>
            </w:pPr>
          </w:p>
        </w:tc>
        <w:tc>
          <w:tcPr>
            <w:tcW w:w="717" w:type="pct"/>
            <w:vAlign w:val="center"/>
          </w:tcPr>
          <w:p w14:paraId="14736678">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2</w:t>
            </w:r>
          </w:p>
        </w:tc>
        <w:tc>
          <w:tcPr>
            <w:tcW w:w="514" w:type="pct"/>
            <w:vAlign w:val="center"/>
          </w:tcPr>
          <w:p w14:paraId="2A2EBAAC">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t/a</w:t>
            </w:r>
          </w:p>
        </w:tc>
        <w:tc>
          <w:tcPr>
            <w:tcW w:w="677" w:type="pct"/>
            <w:vAlign w:val="center"/>
          </w:tcPr>
          <w:p w14:paraId="5DBC3159">
            <w:pPr>
              <w:pStyle w:val="178"/>
              <w:spacing w:line="36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w:t>
            </w:r>
          </w:p>
        </w:tc>
        <w:tc>
          <w:tcPr>
            <w:tcW w:w="569" w:type="pct"/>
            <w:vAlign w:val="center"/>
          </w:tcPr>
          <w:p w14:paraId="17BE0D82">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569" w:type="pct"/>
            <w:vAlign w:val="center"/>
          </w:tcPr>
          <w:p w14:paraId="7118F676">
            <w:pPr>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569" w:type="pct"/>
            <w:shd w:val="clear" w:color="auto" w:fill="auto"/>
            <w:vAlign w:val="center"/>
          </w:tcPr>
          <w:p w14:paraId="65B3FC95">
            <w:pPr>
              <w:pStyle w:val="178"/>
              <w:spacing w:line="360" w:lineRule="exact"/>
              <w:ind w:firstLine="0"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0</w:t>
            </w:r>
          </w:p>
        </w:tc>
        <w:tc>
          <w:tcPr>
            <w:tcW w:w="668" w:type="pct"/>
            <w:vAlign w:val="center"/>
          </w:tcPr>
          <w:p w14:paraId="44EDD9BD">
            <w:pPr>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r>
      <w:tr w14:paraId="30EE5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14" w:type="pct"/>
            <w:vMerge w:val="continue"/>
            <w:vAlign w:val="center"/>
          </w:tcPr>
          <w:p w14:paraId="336F0A3C">
            <w:pPr>
              <w:pStyle w:val="178"/>
              <w:spacing w:line="360" w:lineRule="exact"/>
              <w:ind w:firstLine="0"/>
              <w:jc w:val="center"/>
              <w:rPr>
                <w:rFonts w:ascii="Times New Roman" w:hAnsi="Times New Roman" w:cs="Times New Roman" w:eastAsiaTheme="minorEastAsia"/>
                <w:color w:val="auto"/>
                <w:w w:val="99"/>
                <w:sz w:val="21"/>
                <w:szCs w:val="21"/>
                <w:highlight w:val="none"/>
              </w:rPr>
            </w:pPr>
          </w:p>
        </w:tc>
        <w:tc>
          <w:tcPr>
            <w:tcW w:w="717" w:type="pct"/>
            <w:vAlign w:val="center"/>
          </w:tcPr>
          <w:p w14:paraId="45E8737E">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NO</w:t>
            </w:r>
            <w:r>
              <w:rPr>
                <w:rFonts w:ascii="Times New Roman" w:hAnsi="Times New Roman" w:cs="Times New Roman" w:eastAsiaTheme="minorEastAsia"/>
                <w:color w:val="auto"/>
                <w:w w:val="99"/>
                <w:sz w:val="21"/>
                <w:szCs w:val="21"/>
                <w:highlight w:val="none"/>
                <w:vertAlign w:val="subscript"/>
              </w:rPr>
              <w:t>x</w:t>
            </w:r>
          </w:p>
        </w:tc>
        <w:tc>
          <w:tcPr>
            <w:tcW w:w="514" w:type="pct"/>
            <w:vAlign w:val="center"/>
          </w:tcPr>
          <w:p w14:paraId="01A37E7F">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t/a</w:t>
            </w:r>
          </w:p>
        </w:tc>
        <w:tc>
          <w:tcPr>
            <w:tcW w:w="677" w:type="pct"/>
            <w:vAlign w:val="center"/>
          </w:tcPr>
          <w:p w14:paraId="783879D1">
            <w:pPr>
              <w:pStyle w:val="178"/>
              <w:spacing w:line="36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0.163</w:t>
            </w:r>
          </w:p>
        </w:tc>
        <w:tc>
          <w:tcPr>
            <w:tcW w:w="569" w:type="pct"/>
            <w:vAlign w:val="center"/>
          </w:tcPr>
          <w:p w14:paraId="29A64329">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569" w:type="pct"/>
            <w:vAlign w:val="center"/>
          </w:tcPr>
          <w:p w14:paraId="6A6B410D">
            <w:pPr>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569" w:type="pct"/>
            <w:shd w:val="clear" w:color="auto" w:fill="auto"/>
            <w:vAlign w:val="center"/>
          </w:tcPr>
          <w:p w14:paraId="2FAB82AA">
            <w:pPr>
              <w:pStyle w:val="178"/>
              <w:spacing w:line="360" w:lineRule="exact"/>
              <w:ind w:firstLine="0" w:firstLineChars="0"/>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0.163</w:t>
            </w:r>
          </w:p>
        </w:tc>
        <w:tc>
          <w:tcPr>
            <w:tcW w:w="668" w:type="pct"/>
            <w:vAlign w:val="center"/>
          </w:tcPr>
          <w:p w14:paraId="61C07FA9">
            <w:pPr>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r>
      <w:tr w14:paraId="318EE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14" w:type="pct"/>
            <w:vMerge w:val="continue"/>
            <w:vAlign w:val="center"/>
          </w:tcPr>
          <w:p w14:paraId="418BBF57">
            <w:pPr>
              <w:pStyle w:val="178"/>
              <w:spacing w:line="360" w:lineRule="exact"/>
              <w:ind w:firstLine="0"/>
              <w:jc w:val="center"/>
              <w:rPr>
                <w:rFonts w:ascii="Times New Roman" w:hAnsi="Times New Roman" w:cs="Times New Roman" w:eastAsiaTheme="minorEastAsia"/>
                <w:color w:val="auto"/>
                <w:w w:val="99"/>
                <w:sz w:val="21"/>
                <w:szCs w:val="21"/>
                <w:highlight w:val="none"/>
              </w:rPr>
            </w:pPr>
          </w:p>
        </w:tc>
        <w:tc>
          <w:tcPr>
            <w:tcW w:w="717" w:type="pct"/>
            <w:vAlign w:val="center"/>
          </w:tcPr>
          <w:p w14:paraId="293841E0">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非甲烷总烃</w:t>
            </w:r>
          </w:p>
        </w:tc>
        <w:tc>
          <w:tcPr>
            <w:tcW w:w="514" w:type="pct"/>
            <w:vAlign w:val="center"/>
          </w:tcPr>
          <w:p w14:paraId="6E43FCF9">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t/a</w:t>
            </w:r>
          </w:p>
        </w:tc>
        <w:tc>
          <w:tcPr>
            <w:tcW w:w="677" w:type="pct"/>
            <w:vAlign w:val="center"/>
          </w:tcPr>
          <w:p w14:paraId="414CCB0D">
            <w:pPr>
              <w:pStyle w:val="178"/>
              <w:spacing w:line="36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31.95</w:t>
            </w:r>
          </w:p>
        </w:tc>
        <w:tc>
          <w:tcPr>
            <w:tcW w:w="569" w:type="pct"/>
            <w:vAlign w:val="center"/>
          </w:tcPr>
          <w:p w14:paraId="3A168F75">
            <w:pPr>
              <w:pStyle w:val="178"/>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569" w:type="pct"/>
            <w:vAlign w:val="center"/>
          </w:tcPr>
          <w:p w14:paraId="0E8A5E43">
            <w:pPr>
              <w:pStyle w:val="178"/>
              <w:spacing w:line="36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11.66</w:t>
            </w:r>
          </w:p>
        </w:tc>
        <w:tc>
          <w:tcPr>
            <w:tcW w:w="569" w:type="pct"/>
            <w:vAlign w:val="center"/>
          </w:tcPr>
          <w:p w14:paraId="6D4EF340">
            <w:pPr>
              <w:pStyle w:val="178"/>
              <w:spacing w:line="36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43.61</w:t>
            </w:r>
          </w:p>
        </w:tc>
        <w:tc>
          <w:tcPr>
            <w:tcW w:w="668" w:type="pct"/>
            <w:vAlign w:val="center"/>
          </w:tcPr>
          <w:p w14:paraId="08D6BFF6">
            <w:pPr>
              <w:pStyle w:val="178"/>
              <w:spacing w:line="36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+11.66</w:t>
            </w:r>
          </w:p>
        </w:tc>
      </w:tr>
    </w:tbl>
    <w:p w14:paraId="14FEE78A">
      <w:pPr>
        <w:pStyle w:val="5"/>
        <w:keepNext w:val="0"/>
        <w:keepLines w:val="0"/>
        <w:widowControl w:val="0"/>
        <w:spacing w:line="440" w:lineRule="exact"/>
        <w:jc w:val="both"/>
        <w:rPr>
          <w:rFonts w:ascii="Times New Roman" w:hAnsi="Times New Roman" w:eastAsia="宋体"/>
          <w:b/>
          <w:snapToGrid w:val="0"/>
          <w:color w:val="auto"/>
          <w:w w:val="99"/>
          <w:highlight w:val="none"/>
        </w:rPr>
      </w:pPr>
      <w:bookmarkStart w:id="563" w:name="_Toc28477"/>
      <w:bookmarkStart w:id="564" w:name="_Toc62550103"/>
      <w:bookmarkStart w:id="565" w:name="_Toc74812351"/>
      <w:r>
        <w:rPr>
          <w:rFonts w:hint="eastAsia" w:ascii="Times New Roman" w:hAnsi="Times New Roman" w:eastAsia="宋体"/>
          <w:b/>
          <w:snapToGrid w:val="0"/>
          <w:color w:val="auto"/>
          <w:w w:val="99"/>
          <w:highlight w:val="none"/>
          <w:lang w:eastAsia="zh-CN"/>
        </w:rPr>
        <w:t>3.1</w:t>
      </w:r>
      <w:r>
        <w:rPr>
          <w:rFonts w:hint="eastAsia" w:ascii="Times New Roman" w:hAnsi="Times New Roman" w:eastAsia="宋体"/>
          <w:b/>
          <w:snapToGrid w:val="0"/>
          <w:color w:val="auto"/>
          <w:w w:val="99"/>
          <w:highlight w:val="none"/>
          <w:lang w:val="en-US" w:eastAsia="zh-CN"/>
        </w:rPr>
        <w:t>1</w:t>
      </w:r>
      <w:r>
        <w:rPr>
          <w:rFonts w:ascii="Times New Roman" w:hAnsi="Times New Roman" w:eastAsia="宋体"/>
          <w:b/>
          <w:snapToGrid w:val="0"/>
          <w:color w:val="auto"/>
          <w:w w:val="99"/>
          <w:highlight w:val="none"/>
        </w:rPr>
        <w:t>清洁生产分析</w:t>
      </w:r>
      <w:bookmarkEnd w:id="563"/>
      <w:bookmarkEnd w:id="564"/>
      <w:bookmarkEnd w:id="565"/>
    </w:p>
    <w:p w14:paraId="231C4500">
      <w:pPr>
        <w:pStyle w:val="7"/>
        <w:keepNext w:val="0"/>
        <w:keepLines w:val="0"/>
        <w:widowControl w:val="0"/>
        <w:spacing w:line="440" w:lineRule="exact"/>
        <w:jc w:val="both"/>
        <w:rPr>
          <w:rFonts w:hint="default" w:ascii="Times New Roman" w:hAnsi="Times New Roman" w:eastAsia="宋体" w:cs="Times New Roman"/>
          <w:b/>
          <w:color w:val="auto"/>
          <w:w w:val="99"/>
          <w:kern w:val="2"/>
          <w:sz w:val="24"/>
          <w:szCs w:val="24"/>
          <w:highlight w:val="none"/>
          <w:lang w:val="en-US" w:eastAsia="zh-CN"/>
        </w:rPr>
      </w:pPr>
      <w:r>
        <w:rPr>
          <w:rFonts w:hint="eastAsia" w:eastAsia="宋体" w:cs="Times New Roman"/>
          <w:b/>
          <w:color w:val="auto"/>
          <w:w w:val="99"/>
          <w:kern w:val="2"/>
          <w:sz w:val="24"/>
          <w:szCs w:val="24"/>
          <w:highlight w:val="none"/>
          <w:lang w:val="en-US" w:eastAsia="zh-CN"/>
        </w:rPr>
        <w:t>3.11</w:t>
      </w:r>
      <w:r>
        <w:rPr>
          <w:rFonts w:hint="default" w:ascii="Times New Roman" w:hAnsi="Times New Roman" w:eastAsia="宋体" w:cs="Times New Roman"/>
          <w:b/>
          <w:color w:val="auto"/>
          <w:w w:val="99"/>
          <w:kern w:val="2"/>
          <w:sz w:val="24"/>
          <w:szCs w:val="24"/>
          <w:highlight w:val="none"/>
          <w:lang w:val="en-US" w:eastAsia="zh-CN"/>
        </w:rPr>
        <w:t>.1</w:t>
      </w:r>
      <w:r>
        <w:rPr>
          <w:rFonts w:hint="eastAsia" w:ascii="Times New Roman" w:hAnsi="Times New Roman" w:eastAsia="宋体" w:cs="Times New Roman"/>
          <w:b/>
          <w:color w:val="auto"/>
          <w:w w:val="99"/>
          <w:kern w:val="2"/>
          <w:sz w:val="24"/>
          <w:szCs w:val="24"/>
          <w:highlight w:val="none"/>
          <w:lang w:val="en-US" w:eastAsia="zh-CN"/>
        </w:rPr>
        <w:t>清洁生产概述</w:t>
      </w:r>
    </w:p>
    <w:p w14:paraId="42A4B889">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《中华人民共和国清洁生产促进法》中规定</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清洁生产是指不断采取改进设计、使用清洁生产的能源和原料、用先进的工艺技术与设备、改善管理、综合利用等措施，从源头削减污染，提高资源利用率，减少或者避免生产、服务和产品使用过程中污染物的产生和排放，以减轻或者消除对人类健康和环境的危害。</w:t>
      </w:r>
    </w:p>
    <w:p w14:paraId="634E70A8">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本工程实行清洁生产，通过生产全过程控制和资源能源的合理配置，最大限度地把原料转化为产品，把污染消灭在生产过程中，达到节能、降耗、减污、增效的目的。按照清洁生产的要求，本评价将从工艺设备的先进性、资源综合利用和环境保护等方面进行论述。</w:t>
      </w:r>
    </w:p>
    <w:p w14:paraId="57696A2F">
      <w:pPr>
        <w:pStyle w:val="7"/>
        <w:keepNext w:val="0"/>
        <w:keepLines w:val="0"/>
        <w:widowControl w:val="0"/>
        <w:spacing w:line="440" w:lineRule="exact"/>
        <w:jc w:val="both"/>
        <w:rPr>
          <w:rFonts w:hint="default" w:ascii="Times New Roman" w:hAnsi="Times New Roman" w:eastAsia="宋体" w:cs="Times New Roman"/>
          <w:b/>
          <w:color w:val="auto"/>
          <w:w w:val="99"/>
          <w:kern w:val="2"/>
          <w:sz w:val="24"/>
          <w:szCs w:val="24"/>
          <w:highlight w:val="none"/>
          <w:lang w:val="en-US" w:eastAsia="zh-CN"/>
        </w:rPr>
      </w:pPr>
      <w:r>
        <w:rPr>
          <w:rFonts w:hint="eastAsia" w:eastAsia="宋体" w:cs="Times New Roman"/>
          <w:b/>
          <w:color w:val="auto"/>
          <w:w w:val="99"/>
          <w:kern w:val="2"/>
          <w:sz w:val="24"/>
          <w:szCs w:val="24"/>
          <w:highlight w:val="none"/>
          <w:lang w:val="en-US" w:eastAsia="zh-CN"/>
        </w:rPr>
        <w:t>3.11</w:t>
      </w:r>
      <w:r>
        <w:rPr>
          <w:rFonts w:hint="eastAsia" w:ascii="Times New Roman" w:hAnsi="Times New Roman" w:eastAsia="宋体" w:cs="Times New Roman"/>
          <w:b/>
          <w:color w:val="auto"/>
          <w:w w:val="99"/>
          <w:kern w:val="2"/>
          <w:sz w:val="24"/>
          <w:szCs w:val="24"/>
          <w:highlight w:val="none"/>
          <w:lang w:val="en-US" w:eastAsia="zh-CN"/>
        </w:rPr>
        <w:t>.2生产工艺与装备水平</w:t>
      </w:r>
    </w:p>
    <w:p w14:paraId="2B8145B2">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1）加强气井井口的密闭集输</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减少井口天然气的无组织挥发，控制站场分离器压力，减少放空，并对设备的选型设计充分考虑其承压能力。</w:t>
      </w:r>
    </w:p>
    <w:p w14:paraId="1E9462B7">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2）由于采气井口及进站阀组的切换阀采用开关无磨损的轨道球阀，该阀采用硬密封，耐冲蚀，能达到零泄漏，避免天然气挥发。</w:t>
      </w:r>
    </w:p>
    <w:p w14:paraId="1B436CFB">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（3）</w:t>
      </w:r>
      <w:r>
        <w:rPr>
          <w:rFonts w:hint="default" w:ascii="Times New Roman" w:hAnsi="Times New Roman" w:eastAsia="宋体" w:cs="Times New Roman"/>
          <w:color w:val="auto"/>
          <w:w w:val="99"/>
          <w:kern w:val="2"/>
          <w:highlight w:val="none"/>
          <w:lang w:val="en-US" w:eastAsia="zh-CN"/>
        </w:rPr>
        <w:t>天然气开采和集输采用全密闭工艺流程，提高天然气输送量，降低天然气损耗，从而节约能源，降低对大气环境的污染。</w:t>
      </w:r>
    </w:p>
    <w:p w14:paraId="3DE24D26">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（4）</w:t>
      </w:r>
      <w:r>
        <w:rPr>
          <w:rFonts w:hint="default" w:ascii="Times New Roman" w:hAnsi="Times New Roman" w:eastAsia="宋体" w:cs="Times New Roman"/>
          <w:color w:val="auto"/>
          <w:w w:val="99"/>
          <w:kern w:val="2"/>
          <w:highlight w:val="none"/>
          <w:lang w:val="en-US" w:eastAsia="zh-CN"/>
        </w:rPr>
        <w:t>在天然气可能发生泄漏危险事故的地点设置可燃气体浓度报警器。</w:t>
      </w:r>
    </w:p>
    <w:p w14:paraId="76343DDB">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（5）</w:t>
      </w:r>
      <w:r>
        <w:rPr>
          <w:rFonts w:hint="default" w:ascii="Times New Roman" w:hAnsi="Times New Roman" w:eastAsia="宋体" w:cs="Times New Roman"/>
          <w:color w:val="auto"/>
          <w:w w:val="99"/>
          <w:kern w:val="2"/>
          <w:highlight w:val="none"/>
          <w:lang w:val="en-US" w:eastAsia="zh-CN"/>
        </w:rPr>
        <w:t>本工程选用高质量节流阀，减小站内管道流速，选用高质量低分贝的机泵，将噪声较大的发电机等布置在隔声房间内。</w:t>
      </w:r>
    </w:p>
    <w:p w14:paraId="5AA5E3CB">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以上措施，从生产工艺技术和设备选型上充分体现了清洁生产的原则。</w:t>
      </w:r>
    </w:p>
    <w:p w14:paraId="045AF2A6">
      <w:pPr>
        <w:pStyle w:val="7"/>
        <w:keepNext w:val="0"/>
        <w:keepLines w:val="0"/>
        <w:widowControl w:val="0"/>
        <w:spacing w:line="440" w:lineRule="exact"/>
        <w:jc w:val="both"/>
        <w:rPr>
          <w:rFonts w:hint="default" w:ascii="Times New Roman" w:hAnsi="Times New Roman" w:eastAsia="宋体" w:cs="Times New Roman"/>
          <w:b/>
          <w:color w:val="auto"/>
          <w:w w:val="99"/>
          <w:kern w:val="2"/>
          <w:sz w:val="24"/>
          <w:szCs w:val="24"/>
          <w:highlight w:val="none"/>
          <w:lang w:val="en-US" w:eastAsia="zh-CN"/>
        </w:rPr>
      </w:pPr>
      <w:r>
        <w:rPr>
          <w:rFonts w:hint="eastAsia" w:eastAsia="宋体" w:cs="Times New Roman"/>
          <w:b/>
          <w:color w:val="auto"/>
          <w:w w:val="99"/>
          <w:kern w:val="2"/>
          <w:sz w:val="24"/>
          <w:szCs w:val="24"/>
          <w:highlight w:val="none"/>
          <w:lang w:val="en-US" w:eastAsia="zh-CN"/>
        </w:rPr>
        <w:t>3.11</w:t>
      </w:r>
      <w:r>
        <w:rPr>
          <w:rFonts w:hint="eastAsia" w:ascii="Times New Roman" w:hAnsi="Times New Roman" w:eastAsia="宋体" w:cs="Times New Roman"/>
          <w:b/>
          <w:color w:val="auto"/>
          <w:w w:val="99"/>
          <w:kern w:val="2"/>
          <w:sz w:val="24"/>
          <w:szCs w:val="24"/>
          <w:highlight w:val="none"/>
          <w:lang w:val="en-US" w:eastAsia="zh-CN"/>
        </w:rPr>
        <w:t>.3节能和减排措施</w:t>
      </w:r>
    </w:p>
    <w:p w14:paraId="4D7E7DAE">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（1）</w:t>
      </w:r>
      <w:r>
        <w:rPr>
          <w:rFonts w:hint="default" w:ascii="Times New Roman" w:hAnsi="Times New Roman" w:eastAsia="宋体" w:cs="Times New Roman"/>
          <w:color w:val="auto"/>
          <w:w w:val="99"/>
          <w:kern w:val="2"/>
          <w:highlight w:val="none"/>
          <w:lang w:val="en-US" w:eastAsia="zh-CN"/>
        </w:rPr>
        <w:t>工艺流程全部选用高自动化程度的密闭流程</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确保生产安全的前提下，实现天然气“零排放”。</w:t>
      </w:r>
    </w:p>
    <w:p w14:paraId="26BA630E">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（2）</w:t>
      </w:r>
      <w:r>
        <w:rPr>
          <w:rFonts w:hint="default" w:ascii="Times New Roman" w:hAnsi="Times New Roman" w:eastAsia="宋体" w:cs="Times New Roman"/>
          <w:color w:val="auto"/>
          <w:w w:val="99"/>
          <w:kern w:val="2"/>
          <w:highlight w:val="none"/>
          <w:lang w:val="en-US" w:eastAsia="zh-CN"/>
        </w:rPr>
        <w:t>选用新型、高效低能耗的机电设备。</w:t>
      </w:r>
    </w:p>
    <w:p w14:paraId="006F8026">
      <w:pPr>
        <w:pStyle w:val="7"/>
        <w:keepNext w:val="0"/>
        <w:keepLines w:val="0"/>
        <w:widowControl w:val="0"/>
        <w:spacing w:line="440" w:lineRule="exact"/>
        <w:jc w:val="both"/>
        <w:rPr>
          <w:rFonts w:hint="default" w:ascii="Times New Roman" w:hAnsi="Times New Roman" w:eastAsia="宋体" w:cs="Times New Roman"/>
          <w:b/>
          <w:color w:val="auto"/>
          <w:w w:val="99"/>
          <w:kern w:val="2"/>
          <w:sz w:val="24"/>
          <w:szCs w:val="24"/>
          <w:highlight w:val="none"/>
          <w:lang w:val="en-US" w:eastAsia="zh-CN"/>
        </w:rPr>
      </w:pPr>
      <w:r>
        <w:rPr>
          <w:rFonts w:hint="eastAsia" w:eastAsia="宋体" w:cs="Times New Roman"/>
          <w:b/>
          <w:color w:val="auto"/>
          <w:w w:val="99"/>
          <w:kern w:val="2"/>
          <w:sz w:val="24"/>
          <w:szCs w:val="24"/>
          <w:highlight w:val="none"/>
          <w:lang w:val="en-US" w:eastAsia="zh-CN"/>
        </w:rPr>
        <w:t>3.11</w:t>
      </w:r>
      <w:r>
        <w:rPr>
          <w:rFonts w:hint="default" w:ascii="Times New Roman" w:hAnsi="Times New Roman" w:eastAsia="宋体" w:cs="Times New Roman"/>
          <w:b/>
          <w:color w:val="auto"/>
          <w:w w:val="99"/>
          <w:kern w:val="2"/>
          <w:sz w:val="24"/>
          <w:szCs w:val="24"/>
          <w:highlight w:val="none"/>
          <w:lang w:val="en-US" w:eastAsia="zh-CN"/>
        </w:rPr>
        <w:t>.4环境管理制度</w:t>
      </w:r>
    </w:p>
    <w:p w14:paraId="2D6DD941">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在建设和生产过程中，积极推行QHSE管理体系，对全体员工进行相应的QHSE培训，使公司的员工自觉遵守QHSE管理体系以保护其人身安全和周围环境，尽量减少直至杜绝环境污染事故的发生。</w:t>
      </w:r>
    </w:p>
    <w:p w14:paraId="5B7F5485">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建立健全各项规章制度，以法规、行政、经济等手段，规范开发建设行为，对施工方案、作业工序等方面提出明确的污染防治措施和规定，使施工队伍、作业队伍实施清洁生产有法可依、有章可循，规范了企业及职工的生产行为。推行清洁生产，重视环保宣传教育和培训，依靠广大职工搞好污染防治、清洁生产工作。</w:t>
      </w:r>
    </w:p>
    <w:p w14:paraId="6F67AF79">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综上所述，本工程在</w:t>
      </w:r>
      <w:r>
        <w:rPr>
          <w:rFonts w:hint="eastAsia" w:ascii="Times New Roman" w:hAnsi="Times New Roman" w:cs="Times New Roman"/>
          <w:color w:val="auto"/>
          <w:w w:val="99"/>
          <w:kern w:val="2"/>
          <w:highlight w:val="none"/>
          <w:lang w:val="en-US" w:eastAsia="zh-CN"/>
        </w:rPr>
        <w:t>生产</w:t>
      </w:r>
      <w:r>
        <w:rPr>
          <w:rFonts w:hint="default" w:ascii="Times New Roman" w:hAnsi="Times New Roman" w:eastAsia="宋体" w:cs="Times New Roman"/>
          <w:color w:val="auto"/>
          <w:w w:val="99"/>
          <w:kern w:val="2"/>
          <w:highlight w:val="none"/>
          <w:lang w:val="en-US" w:eastAsia="zh-CN"/>
        </w:rPr>
        <w:t>工艺、</w:t>
      </w:r>
      <w:r>
        <w:rPr>
          <w:rFonts w:hint="eastAsia" w:ascii="Times New Roman" w:hAnsi="Times New Roman" w:cs="Times New Roman"/>
          <w:color w:val="auto"/>
          <w:w w:val="99"/>
          <w:kern w:val="2"/>
          <w:highlight w:val="none"/>
          <w:lang w:val="en-US" w:eastAsia="zh-CN"/>
        </w:rPr>
        <w:t>装备水平</w:t>
      </w:r>
      <w:r>
        <w:rPr>
          <w:rFonts w:hint="default" w:ascii="Times New Roman" w:hAnsi="Times New Roman" w:eastAsia="宋体" w:cs="Times New Roman"/>
          <w:color w:val="auto"/>
          <w:w w:val="99"/>
          <w:kern w:val="2"/>
          <w:highlight w:val="none"/>
          <w:lang w:val="en-US" w:eastAsia="zh-CN"/>
        </w:rPr>
        <w:t>、</w:t>
      </w:r>
      <w:r>
        <w:rPr>
          <w:rFonts w:hint="eastAsia" w:ascii="Times New Roman" w:hAnsi="Times New Roman" w:cs="Times New Roman"/>
          <w:color w:val="auto"/>
          <w:w w:val="99"/>
          <w:kern w:val="2"/>
          <w:highlight w:val="none"/>
          <w:lang w:val="en-US" w:eastAsia="zh-CN"/>
        </w:rPr>
        <w:t>节能减排</w:t>
      </w:r>
      <w:r>
        <w:rPr>
          <w:rFonts w:hint="default" w:ascii="Times New Roman" w:hAnsi="Times New Roman" w:eastAsia="宋体" w:cs="Times New Roman"/>
          <w:color w:val="auto"/>
          <w:w w:val="99"/>
          <w:kern w:val="2"/>
          <w:highlight w:val="none"/>
          <w:lang w:val="en-US" w:eastAsia="zh-CN"/>
        </w:rPr>
        <w:t>、</w:t>
      </w:r>
      <w:r>
        <w:rPr>
          <w:rFonts w:hint="eastAsia" w:ascii="Times New Roman" w:hAnsi="Times New Roman" w:cs="Times New Roman"/>
          <w:color w:val="auto"/>
          <w:w w:val="99"/>
          <w:kern w:val="2"/>
          <w:highlight w:val="none"/>
          <w:lang w:val="en-US" w:eastAsia="zh-CN"/>
        </w:rPr>
        <w:t>环境管理</w:t>
      </w:r>
      <w:r>
        <w:rPr>
          <w:rFonts w:hint="default" w:ascii="Times New Roman" w:hAnsi="Times New Roman" w:eastAsia="宋体" w:cs="Times New Roman"/>
          <w:color w:val="auto"/>
          <w:w w:val="99"/>
          <w:kern w:val="2"/>
          <w:highlight w:val="none"/>
          <w:lang w:val="en-US" w:eastAsia="zh-CN"/>
        </w:rPr>
        <w:t>等方面均采取一定有效措施，清洁生产达到了国内先进水平。</w:t>
      </w:r>
    </w:p>
    <w:p w14:paraId="79B6FDFA">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23788745">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620B3E09">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4F98BF22">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1616BE75">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47649E71">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030F35DF">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63D74C81">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2A292148">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4613FD6F">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70666C60">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0174BBD2">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7EC018A8">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1FAE2652">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72D92B70">
      <w:pPr>
        <w:widowControl w:val="0"/>
        <w:tabs>
          <w:tab w:val="left" w:pos="5262"/>
        </w:tabs>
        <w:spacing w:line="440" w:lineRule="exact"/>
        <w:ind w:firstLine="474" w:firstLineChars="200"/>
        <w:jc w:val="both"/>
        <w:rPr>
          <w:rFonts w:ascii="Times New Roman" w:hAnsi="Times New Roman" w:cs="Times New Roman"/>
          <w:color w:val="auto"/>
          <w:w w:val="99"/>
          <w:kern w:val="2"/>
          <w:highlight w:val="none"/>
        </w:rPr>
      </w:pPr>
    </w:p>
    <w:p w14:paraId="1DC4D3C1">
      <w:pPr>
        <w:pStyle w:val="104"/>
        <w:rPr>
          <w:color w:val="auto"/>
          <w:highlight w:val="none"/>
        </w:rPr>
      </w:pPr>
    </w:p>
    <w:bookmarkEnd w:id="522"/>
    <w:p w14:paraId="08A4D260">
      <w:pPr>
        <w:spacing w:before="180" w:after="180" w:line="440" w:lineRule="exact"/>
        <w:outlineLvl w:val="0"/>
        <w:rPr>
          <w:rFonts w:ascii="Times New Roman" w:hAnsi="Times New Roman" w:cs="Times New Roman"/>
          <w:b/>
          <w:bCs/>
          <w:color w:val="auto"/>
          <w:w w:val="99"/>
          <w:sz w:val="30"/>
          <w:szCs w:val="30"/>
          <w:highlight w:val="none"/>
        </w:rPr>
      </w:pPr>
      <w:bookmarkStart w:id="566" w:name="_Toc502736485"/>
      <w:bookmarkStart w:id="567" w:name="_Toc31988"/>
      <w:r>
        <w:rPr>
          <w:rFonts w:ascii="Times New Roman" w:hAnsi="Times New Roman" w:cs="Times New Roman"/>
          <w:b/>
          <w:bCs/>
          <w:color w:val="auto"/>
          <w:w w:val="99"/>
          <w:sz w:val="30"/>
          <w:szCs w:val="30"/>
          <w:highlight w:val="none"/>
        </w:rPr>
        <w:t>4环境现状调查与评价</w:t>
      </w:r>
      <w:bookmarkEnd w:id="566"/>
      <w:bookmarkEnd w:id="567"/>
    </w:p>
    <w:p w14:paraId="362759E8">
      <w:pPr>
        <w:pStyle w:val="5"/>
        <w:keepNext w:val="0"/>
        <w:keepLines w:val="0"/>
        <w:widowControl w:val="0"/>
        <w:spacing w:before="120" w:after="120" w:line="440" w:lineRule="exact"/>
        <w:jc w:val="both"/>
        <w:rPr>
          <w:rFonts w:ascii="Times New Roman" w:hAnsi="Times New Roman" w:eastAsia="宋体"/>
          <w:b/>
          <w:snapToGrid w:val="0"/>
          <w:color w:val="auto"/>
          <w:w w:val="99"/>
          <w:highlight w:val="none"/>
        </w:rPr>
      </w:pPr>
      <w:bookmarkStart w:id="568" w:name="_Toc502736486"/>
      <w:bookmarkStart w:id="569" w:name="_Toc475378598"/>
      <w:bookmarkStart w:id="570" w:name="_Toc24635"/>
      <w:bookmarkStart w:id="571" w:name="_Toc449393546"/>
      <w:bookmarkStart w:id="572" w:name="_Toc296952023"/>
      <w:bookmarkStart w:id="573" w:name="_Toc255391947"/>
      <w:bookmarkStart w:id="574" w:name="_Toc472590896"/>
      <w:bookmarkStart w:id="575" w:name="_Toc472585619"/>
      <w:bookmarkStart w:id="576" w:name="_Toc127950100"/>
      <w:bookmarkStart w:id="577" w:name="_Toc101092159"/>
      <w:r>
        <w:rPr>
          <w:rFonts w:ascii="Times New Roman" w:hAnsi="Times New Roman" w:eastAsia="宋体"/>
          <w:b/>
          <w:snapToGrid w:val="0"/>
          <w:color w:val="auto"/>
          <w:w w:val="99"/>
          <w:highlight w:val="none"/>
        </w:rPr>
        <w:t>4.1自然环境</w:t>
      </w:r>
      <w:bookmarkEnd w:id="568"/>
      <w:bookmarkEnd w:id="569"/>
      <w:r>
        <w:rPr>
          <w:rFonts w:ascii="Times New Roman" w:hAnsi="Times New Roman" w:eastAsia="宋体"/>
          <w:b/>
          <w:snapToGrid w:val="0"/>
          <w:color w:val="auto"/>
          <w:w w:val="99"/>
          <w:highlight w:val="none"/>
        </w:rPr>
        <w:t>状况</w:t>
      </w:r>
      <w:bookmarkEnd w:id="570"/>
    </w:p>
    <w:bookmarkEnd w:id="571"/>
    <w:bookmarkEnd w:id="572"/>
    <w:bookmarkEnd w:id="573"/>
    <w:bookmarkEnd w:id="574"/>
    <w:bookmarkEnd w:id="575"/>
    <w:bookmarkEnd w:id="576"/>
    <w:bookmarkEnd w:id="577"/>
    <w:p w14:paraId="1EB0F97E">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578" w:name="_Toc67860158"/>
      <w:bookmarkStart w:id="579" w:name="_Toc422224741"/>
      <w:bookmarkStart w:id="580" w:name="_Toc70050207"/>
      <w:bookmarkStart w:id="581" w:name="_Toc244329286"/>
      <w:bookmarkStart w:id="582" w:name="_Toc244330526"/>
      <w:bookmarkStart w:id="583" w:name="_Toc76976274"/>
      <w:bookmarkStart w:id="584" w:name="_Toc77067686"/>
      <w:bookmarkStart w:id="585" w:name="_Toc244330360"/>
      <w:bookmarkStart w:id="586" w:name="_Toc57707943"/>
      <w:bookmarkStart w:id="587" w:name="_Toc57203273"/>
      <w:bookmarkStart w:id="588" w:name="_Toc80588283"/>
      <w:bookmarkStart w:id="589" w:name="_Toc61597257"/>
      <w:bookmarkStart w:id="590" w:name="_Toc186444311"/>
      <w:bookmarkStart w:id="591" w:name="_Toc17898192"/>
      <w:bookmarkStart w:id="592" w:name="_Toc83209505"/>
      <w:bookmarkStart w:id="593" w:name="_Toc78816488"/>
      <w:bookmarkStart w:id="594" w:name="_Toc80971405"/>
      <w:bookmarkStart w:id="595" w:name="_Toc402352943"/>
      <w:bookmarkStart w:id="596" w:name="_Toc57976695"/>
      <w:r>
        <w:rPr>
          <w:rFonts w:eastAsia="宋体"/>
          <w:b/>
          <w:color w:val="auto"/>
          <w:w w:val="99"/>
          <w:kern w:val="2"/>
          <w:sz w:val="24"/>
          <w:szCs w:val="24"/>
          <w:highlight w:val="none"/>
        </w:rPr>
        <w:t>4.1.1地理位置</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458D5EBA">
      <w:pPr>
        <w:widowControl w:val="0"/>
        <w:spacing w:line="440" w:lineRule="exact"/>
        <w:ind w:firstLine="474" w:firstLineChars="200"/>
        <w:jc w:val="both"/>
        <w:rPr>
          <w:rFonts w:ascii="Times New Roman" w:hAnsi="Times New Roman" w:cs="Times New Roman" w:eastAsiaTheme="minorEastAsia"/>
          <w:color w:val="auto"/>
          <w:w w:val="99"/>
          <w:highlight w:val="none"/>
        </w:rPr>
      </w:pPr>
      <w:bookmarkStart w:id="597" w:name="_Toc61597258"/>
      <w:bookmarkStart w:id="598" w:name="_Toc70050208"/>
      <w:bookmarkStart w:id="599" w:name="_Toc76976275"/>
      <w:bookmarkStart w:id="600" w:name="_Toc77067687"/>
      <w:bookmarkStart w:id="601" w:name="_Toc17898193"/>
      <w:bookmarkStart w:id="602" w:name="_Toc80971406"/>
      <w:bookmarkStart w:id="603" w:name="_Toc80588284"/>
      <w:bookmarkStart w:id="604" w:name="_Toc57707944"/>
      <w:bookmarkStart w:id="605" w:name="_Toc67860159"/>
      <w:bookmarkStart w:id="606" w:name="_Toc83209506"/>
      <w:bookmarkStart w:id="607" w:name="_Toc57203274"/>
      <w:bookmarkStart w:id="608" w:name="_Toc57976696"/>
      <w:bookmarkStart w:id="609" w:name="_Toc78816489"/>
      <w:bookmarkStart w:id="610" w:name="_Toc244330528"/>
      <w:bookmarkStart w:id="611" w:name="_Toc244329288"/>
      <w:bookmarkStart w:id="612" w:name="_Toc422224744"/>
      <w:bookmarkStart w:id="613" w:name="_Toc402352946"/>
      <w:bookmarkStart w:id="614" w:name="_Toc244330362"/>
      <w:bookmarkStart w:id="615" w:name="_Toc502736490"/>
      <w:r>
        <w:rPr>
          <w:rFonts w:hint="eastAsia" w:ascii="Times New Roman" w:hAnsi="Times New Roman" w:cs="Times New Roman" w:eastAsiaTheme="minorEastAsia"/>
          <w:color w:val="auto"/>
          <w:w w:val="99"/>
          <w:highlight w:val="none"/>
          <w:lang w:val="en-US" w:eastAsia="zh-CN"/>
        </w:rPr>
        <w:t>本</w:t>
      </w:r>
      <w:r>
        <w:rPr>
          <w:rFonts w:hint="eastAsia" w:ascii="Times New Roman" w:hAnsi="Times New Roman" w:cs="Times New Roman" w:eastAsiaTheme="minorEastAsia"/>
          <w:color w:val="auto"/>
          <w:w w:val="99"/>
          <w:highlight w:val="none"/>
          <w:lang w:eastAsia="zh-CN"/>
        </w:rPr>
        <w:t>项目</w:t>
      </w:r>
      <w:r>
        <w:rPr>
          <w:rFonts w:hint="default" w:ascii="Times New Roman" w:hAnsi="Times New Roman" w:cs="Times New Roman" w:eastAsiaTheme="minorEastAsia"/>
          <w:color w:val="auto"/>
          <w:w w:val="99"/>
          <w:highlight w:val="none"/>
          <w:lang w:val="en-US" w:eastAsia="zh-CN"/>
        </w:rPr>
        <w:t>位于黑龙江省绥化市肇东市跃进乡邢家围子屯西侧300m处，其中心坐标：125°30′30.661″，45°53′35.271″；区内油</w:t>
      </w:r>
      <w:r>
        <w:rPr>
          <w:rFonts w:hint="eastAsia" w:ascii="Times New Roman" w:hAnsi="Times New Roman" w:cs="Times New Roman" w:eastAsiaTheme="minorEastAsia"/>
          <w:color w:val="auto"/>
          <w:w w:val="99"/>
          <w:highlight w:val="none"/>
          <w:lang w:val="en-US" w:eastAsia="zh-CN"/>
        </w:rPr>
        <w:t>气</w:t>
      </w:r>
      <w:r>
        <w:rPr>
          <w:rFonts w:hint="default" w:ascii="Times New Roman" w:hAnsi="Times New Roman" w:cs="Times New Roman" w:eastAsiaTheme="minorEastAsia"/>
          <w:color w:val="auto"/>
          <w:w w:val="99"/>
          <w:highlight w:val="none"/>
          <w:lang w:val="en-US" w:eastAsia="zh-CN"/>
        </w:rPr>
        <w:t>田公路四通八达，交通便利，移动、联通网络均覆盖该地区，通讯发达。区块周围分布有村屯、农田等</w:t>
      </w:r>
      <w:r>
        <w:rPr>
          <w:rFonts w:ascii="Times New Roman" w:hAnsi="Times New Roman" w:cs="Times New Roman" w:eastAsiaTheme="minorEastAsia"/>
          <w:color w:val="auto"/>
          <w:w w:val="99"/>
          <w:highlight w:val="none"/>
        </w:rPr>
        <w:t>。具体地理位置见附图1。</w:t>
      </w:r>
    </w:p>
    <w:p w14:paraId="2EC37BEC">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616" w:name="_Toc186444312"/>
      <w:r>
        <w:rPr>
          <w:rFonts w:eastAsia="宋体"/>
          <w:b/>
          <w:color w:val="auto"/>
          <w:w w:val="99"/>
          <w:kern w:val="2"/>
          <w:sz w:val="24"/>
          <w:szCs w:val="24"/>
          <w:highlight w:val="none"/>
        </w:rPr>
        <w:t>4.1.2地形地貌</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6"/>
    </w:p>
    <w:p w14:paraId="72D49341">
      <w:pPr>
        <w:spacing w:line="440" w:lineRule="exact"/>
        <w:ind w:firstLine="474" w:firstLineChars="200"/>
        <w:rPr>
          <w:rFonts w:ascii="Times New Roman" w:hAnsi="Times New Roman" w:cs="Times New Roman"/>
          <w:bCs/>
          <w:color w:val="auto"/>
          <w:w w:val="99"/>
          <w:highlight w:val="none"/>
        </w:rPr>
      </w:pPr>
      <w:r>
        <w:rPr>
          <w:rFonts w:hint="eastAsia" w:ascii="Times New Roman" w:hAnsi="Times New Roman" w:cs="Times New Roman" w:eastAsiaTheme="minorEastAsia"/>
          <w:bCs/>
          <w:color w:val="auto"/>
          <w:w w:val="99"/>
          <w:highlight w:val="none"/>
          <w:lang w:val="en-US" w:eastAsia="zh-CN"/>
        </w:rPr>
        <w:t>评价区处于松花江及嫩江冲积平原北部，地形呈北高南低的广阔波状平原。评价区位于绥化市南部跃进乡西南部，和肇州县永胜乡的东部接壤。区域地势平坦低洼，地面绝对标高在165.0～227.0m之间，东部高西部低，地表径流条件较好。地貌成因类型及形态特征为冲湖积微波状起伏低平原，其上湖泊、沼泽湿地及盐碱低地较为发育</w:t>
      </w:r>
      <w:r>
        <w:rPr>
          <w:rFonts w:ascii="Times New Roman" w:hAnsi="Times New Roman" w:cs="Times New Roman" w:eastAsiaTheme="minorEastAsia"/>
          <w:bCs/>
          <w:color w:val="auto"/>
          <w:w w:val="99"/>
          <w:highlight w:val="none"/>
        </w:rPr>
        <w:t>。</w:t>
      </w:r>
    </w:p>
    <w:p w14:paraId="6F63C65E">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617" w:name="_Toc61597259"/>
      <w:bookmarkStart w:id="618" w:name="_Toc57707945"/>
      <w:bookmarkStart w:id="619" w:name="_Toc77067688"/>
      <w:bookmarkStart w:id="620" w:name="_Toc78816490"/>
      <w:bookmarkStart w:id="621" w:name="_Toc80588285"/>
      <w:bookmarkStart w:id="622" w:name="_Toc70050209"/>
      <w:bookmarkStart w:id="623" w:name="_Toc80971407"/>
      <w:bookmarkStart w:id="624" w:name="_Toc83209507"/>
      <w:bookmarkStart w:id="625" w:name="_Toc57203275"/>
      <w:bookmarkStart w:id="626" w:name="_Toc57976697"/>
      <w:bookmarkStart w:id="627" w:name="_Toc76976276"/>
      <w:bookmarkStart w:id="628" w:name="_Toc186444313"/>
      <w:bookmarkStart w:id="629" w:name="_Toc67860160"/>
      <w:r>
        <w:rPr>
          <w:rFonts w:eastAsia="宋体"/>
          <w:b/>
          <w:color w:val="auto"/>
          <w:w w:val="99"/>
          <w:kern w:val="2"/>
          <w:sz w:val="24"/>
          <w:szCs w:val="24"/>
          <w:highlight w:val="none"/>
        </w:rPr>
        <w:t>4.1.3 气象特征</w:t>
      </w:r>
      <w:bookmarkEnd w:id="617"/>
      <w:bookmarkEnd w:id="618"/>
      <w:bookmarkEnd w:id="619"/>
      <w:bookmarkEnd w:id="620"/>
      <w:bookmarkEnd w:id="621"/>
      <w:bookmarkEnd w:id="622"/>
      <w:bookmarkEnd w:id="623"/>
      <w:bookmarkEnd w:id="624"/>
      <w:bookmarkEnd w:id="625"/>
      <w:bookmarkEnd w:id="626"/>
      <w:bookmarkEnd w:id="627"/>
      <w:bookmarkEnd w:id="628"/>
      <w:bookmarkEnd w:id="629"/>
    </w:p>
    <w:p w14:paraId="32DD279E">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bookmarkStart w:id="630" w:name="_Toc143099605"/>
      <w:bookmarkStart w:id="631" w:name="_Toc186444314"/>
      <w:r>
        <w:rPr>
          <w:rFonts w:hint="default" w:ascii="Times New Roman" w:hAnsi="Times New Roman" w:eastAsia="宋体" w:cs="Times New Roman"/>
          <w:color w:val="auto"/>
          <w:w w:val="99"/>
          <w:kern w:val="2"/>
          <w:highlight w:val="none"/>
          <w:lang w:val="en-US" w:eastAsia="zh-CN"/>
        </w:rPr>
        <w:t>该地区属北温带大陆性季风气候，四季分明，受蒙古内陆冷空气和海洋暖流季风影响较大，冬季漫长而寒冷干燥，夏季短暂而温湿多雨，春秋季风交替，气温变化大，冰封期长，无霜期短，冻土深达2-2.2m。</w:t>
      </w:r>
    </w:p>
    <w:p w14:paraId="6945A1D3">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气温：年平均气温</w:t>
      </w:r>
      <w:r>
        <w:rPr>
          <w:rFonts w:hint="eastAsia" w:ascii="Times New Roman" w:hAnsi="Times New Roman" w:cs="Times New Roman"/>
          <w:color w:val="auto"/>
          <w:w w:val="99"/>
          <w:kern w:val="2"/>
          <w:highlight w:val="none"/>
          <w:lang w:val="en-US" w:eastAsia="zh-CN"/>
        </w:rPr>
        <w:t>5.3</w:t>
      </w:r>
      <w:r>
        <w:rPr>
          <w:rFonts w:hint="default" w:ascii="Times New Roman" w:hAnsi="Times New Roman" w:eastAsia="宋体" w:cs="Times New Roman"/>
          <w:color w:val="auto"/>
          <w:w w:val="99"/>
          <w:kern w:val="2"/>
          <w:highlight w:val="none"/>
          <w:lang w:val="en-US" w:eastAsia="zh-CN"/>
        </w:rPr>
        <w:t>℃，年极端最高气温38.</w:t>
      </w:r>
      <w:r>
        <w:rPr>
          <w:rFonts w:hint="eastAsia" w:ascii="Times New Roman" w:hAnsi="Times New Roman" w:cs="Times New Roman"/>
          <w:color w:val="auto"/>
          <w:w w:val="99"/>
          <w:kern w:val="2"/>
          <w:highlight w:val="none"/>
          <w:lang w:val="en-US" w:eastAsia="zh-CN"/>
        </w:rPr>
        <w:t>8</w:t>
      </w:r>
      <w:r>
        <w:rPr>
          <w:rFonts w:hint="default" w:ascii="Times New Roman" w:hAnsi="Times New Roman" w:eastAsia="宋体" w:cs="Times New Roman"/>
          <w:color w:val="auto"/>
          <w:w w:val="99"/>
          <w:kern w:val="2"/>
          <w:highlight w:val="none"/>
          <w:lang w:val="en-US" w:eastAsia="zh-CN"/>
        </w:rPr>
        <w:t>℃，年极端最低气温-3</w:t>
      </w:r>
      <w:r>
        <w:rPr>
          <w:rFonts w:hint="eastAsia" w:ascii="Times New Roman" w:hAnsi="Times New Roman" w:cs="Times New Roman"/>
          <w:color w:val="auto"/>
          <w:w w:val="99"/>
          <w:kern w:val="2"/>
          <w:highlight w:val="none"/>
          <w:lang w:val="en-US" w:eastAsia="zh-CN"/>
        </w:rPr>
        <w:t>1.9</w:t>
      </w:r>
      <w:r>
        <w:rPr>
          <w:rFonts w:hint="default" w:ascii="Times New Roman" w:hAnsi="Times New Roman" w:eastAsia="宋体" w:cs="Times New Roman"/>
          <w:color w:val="auto"/>
          <w:w w:val="99"/>
          <w:kern w:val="2"/>
          <w:highlight w:val="none"/>
          <w:lang w:val="en-US" w:eastAsia="zh-CN"/>
        </w:rPr>
        <w:t>℃。</w:t>
      </w:r>
    </w:p>
    <w:p w14:paraId="2F5E1C28">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风速：平均风速</w:t>
      </w:r>
      <w:r>
        <w:rPr>
          <w:rFonts w:hint="eastAsia" w:ascii="Times New Roman" w:hAnsi="Times New Roman" w:cs="Times New Roman"/>
          <w:color w:val="auto"/>
          <w:w w:val="99"/>
          <w:kern w:val="2"/>
          <w:highlight w:val="none"/>
          <w:lang w:val="en-US" w:eastAsia="zh-CN"/>
        </w:rPr>
        <w:t>2.3</w:t>
      </w:r>
      <w:r>
        <w:rPr>
          <w:rFonts w:hint="default" w:ascii="Times New Roman" w:hAnsi="Times New Roman" w:eastAsia="宋体" w:cs="Times New Roman"/>
          <w:color w:val="auto"/>
          <w:w w:val="99"/>
          <w:kern w:val="2"/>
          <w:highlight w:val="none"/>
          <w:lang w:val="en-US" w:eastAsia="zh-CN"/>
        </w:rPr>
        <w:t xml:space="preserve"> m/s，年最大风速为</w:t>
      </w:r>
      <w:r>
        <w:rPr>
          <w:rFonts w:hint="eastAsia" w:ascii="Times New Roman" w:hAnsi="Times New Roman" w:cs="Times New Roman"/>
          <w:color w:val="auto"/>
          <w:w w:val="99"/>
          <w:kern w:val="2"/>
          <w:highlight w:val="none"/>
          <w:lang w:val="en-US" w:eastAsia="zh-CN"/>
        </w:rPr>
        <w:t>26.2</w:t>
      </w:r>
      <w:r>
        <w:rPr>
          <w:rFonts w:hint="default" w:ascii="Times New Roman" w:hAnsi="Times New Roman" w:eastAsia="宋体" w:cs="Times New Roman"/>
          <w:color w:val="auto"/>
          <w:w w:val="99"/>
          <w:kern w:val="2"/>
          <w:highlight w:val="none"/>
          <w:lang w:val="en-US" w:eastAsia="zh-CN"/>
        </w:rPr>
        <w:t>m/s。</w:t>
      </w:r>
    </w:p>
    <w:p w14:paraId="486AF1B7">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降水量：年平均</w:t>
      </w:r>
      <w:r>
        <w:rPr>
          <w:rFonts w:hint="eastAsia" w:ascii="Times New Roman" w:hAnsi="Times New Roman" w:cs="Times New Roman"/>
          <w:color w:val="auto"/>
          <w:w w:val="99"/>
          <w:kern w:val="2"/>
          <w:highlight w:val="none"/>
          <w:lang w:val="en-US" w:eastAsia="zh-CN"/>
        </w:rPr>
        <w:t>501.4</w:t>
      </w:r>
      <w:r>
        <w:rPr>
          <w:rFonts w:hint="default" w:ascii="Times New Roman" w:hAnsi="Times New Roman" w:eastAsia="宋体" w:cs="Times New Roman"/>
          <w:color w:val="auto"/>
          <w:w w:val="99"/>
          <w:kern w:val="2"/>
          <w:highlight w:val="none"/>
          <w:lang w:val="en-US" w:eastAsia="zh-CN"/>
        </w:rPr>
        <w:t>mm，年最大降水量651.2 mm。</w:t>
      </w:r>
    </w:p>
    <w:p w14:paraId="34C186F8">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湿度：年平均相对湿度为</w:t>
      </w:r>
      <w:r>
        <w:rPr>
          <w:rFonts w:hint="eastAsia" w:ascii="Times New Roman" w:hAnsi="Times New Roman" w:cs="Times New Roman"/>
          <w:color w:val="auto"/>
          <w:w w:val="99"/>
          <w:kern w:val="2"/>
          <w:highlight w:val="none"/>
          <w:lang w:val="en-US" w:eastAsia="zh-CN"/>
        </w:rPr>
        <w:t>60.8</w:t>
      </w:r>
      <w:r>
        <w:rPr>
          <w:rFonts w:hint="default" w:ascii="Times New Roman" w:hAnsi="Times New Roman" w:eastAsia="宋体" w:cs="Times New Roman"/>
          <w:color w:val="auto"/>
          <w:w w:val="99"/>
          <w:kern w:val="2"/>
          <w:highlight w:val="none"/>
          <w:lang w:val="en-US" w:eastAsia="zh-CN"/>
        </w:rPr>
        <w:t>%。</w:t>
      </w:r>
    </w:p>
    <w:p w14:paraId="7F639E5F">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年日照时数：</w:t>
      </w:r>
      <w:r>
        <w:rPr>
          <w:rFonts w:hint="eastAsia" w:ascii="Times New Roman" w:hAnsi="Times New Roman" w:cs="Times New Roman"/>
          <w:color w:val="auto"/>
          <w:w w:val="99"/>
          <w:kern w:val="2"/>
          <w:highlight w:val="none"/>
          <w:lang w:val="en-US" w:eastAsia="zh-CN"/>
        </w:rPr>
        <w:t>2515.2</w:t>
      </w:r>
      <w:r>
        <w:rPr>
          <w:rFonts w:hint="default" w:ascii="Times New Roman" w:hAnsi="Times New Roman" w:eastAsia="宋体" w:cs="Times New Roman"/>
          <w:color w:val="auto"/>
          <w:w w:val="99"/>
          <w:kern w:val="2"/>
          <w:highlight w:val="none"/>
          <w:lang w:val="en-US" w:eastAsia="zh-CN"/>
        </w:rPr>
        <w:t>小时。</w:t>
      </w:r>
    </w:p>
    <w:p w14:paraId="324DA6E2">
      <w:pPr>
        <w:keepNext/>
        <w:keepLines/>
        <w:widowControl w:val="0"/>
        <w:spacing w:before="60" w:after="60" w:line="440" w:lineRule="exact"/>
        <w:jc w:val="both"/>
        <w:outlineLvl w:val="2"/>
        <w:rPr>
          <w:rFonts w:ascii="Times New Roman" w:hAnsi="Times New Roman" w:eastAsia="黑体" w:cs="Times New Roman"/>
          <w:b/>
          <w:bCs/>
          <w:color w:val="auto"/>
          <w:w w:val="99"/>
          <w:kern w:val="2"/>
          <w:highlight w:val="none"/>
        </w:rPr>
      </w:pPr>
      <w:r>
        <w:rPr>
          <w:rFonts w:ascii="Times New Roman" w:hAnsi="Times New Roman" w:eastAsia="黑体" w:cs="Times New Roman"/>
          <w:b/>
          <w:bCs/>
          <w:color w:val="auto"/>
          <w:w w:val="99"/>
          <w:kern w:val="2"/>
          <w:highlight w:val="none"/>
        </w:rPr>
        <w:t>4.1.4 地表水</w:t>
      </w:r>
      <w:bookmarkEnd w:id="630"/>
      <w:r>
        <w:rPr>
          <w:rFonts w:ascii="Times New Roman" w:hAnsi="Times New Roman" w:eastAsia="黑体" w:cs="Times New Roman"/>
          <w:b/>
          <w:bCs/>
          <w:color w:val="auto"/>
          <w:w w:val="99"/>
          <w:kern w:val="2"/>
          <w:highlight w:val="none"/>
        </w:rPr>
        <w:t>体</w:t>
      </w:r>
      <w:bookmarkEnd w:id="631"/>
    </w:p>
    <w:p w14:paraId="7EA18C50">
      <w:pPr>
        <w:widowControl w:val="0"/>
        <w:spacing w:line="500" w:lineRule="exact"/>
        <w:ind w:firstLine="480"/>
        <w:jc w:val="both"/>
        <w:rPr>
          <w:rFonts w:ascii="Times New Roman" w:hAnsi="Times New Roman" w:cs="Times New Roman" w:eastAsiaTheme="minorEastAsia"/>
          <w:color w:val="auto"/>
          <w:w w:val="99"/>
          <w:szCs w:val="20"/>
          <w:highlight w:val="none"/>
        </w:rPr>
      </w:pPr>
      <w:r>
        <w:rPr>
          <w:rFonts w:ascii="Times New Roman" w:hAnsi="Times New Roman" w:cs="Times New Roman"/>
          <w:color w:val="auto"/>
          <w:w w:val="99"/>
          <w:highlight w:val="none"/>
        </w:rPr>
        <w:t>区域内主要降水类型为大气降水，主要降水分布在6月～8月末，最高水位出现在8月上旬～9月下旬，最低水位出现在3月下旬～4月上旬。区块内地势总体上较平坦，起伏不大，地表径流排泄条件一般。</w:t>
      </w:r>
      <w:r>
        <w:rPr>
          <w:rFonts w:hint="eastAsia" w:ascii="Times New Roman" w:hAnsi="Times New Roman" w:cs="Times New Roman" w:eastAsiaTheme="minorEastAsia"/>
          <w:color w:val="auto"/>
          <w:w w:val="99"/>
          <w:szCs w:val="20"/>
          <w:highlight w:val="none"/>
          <w:lang w:val="en-US" w:eastAsia="zh-CN"/>
        </w:rPr>
        <w:t>评价范围内涉及地表水体主要为北大干渠，位于徐深27集气站项目西北侧300m</w:t>
      </w:r>
      <w:r>
        <w:rPr>
          <w:rFonts w:ascii="Times New Roman" w:hAnsi="Times New Roman" w:cs="Times New Roman" w:eastAsiaTheme="minorEastAsia"/>
          <w:color w:val="auto"/>
          <w:w w:val="99"/>
          <w:szCs w:val="20"/>
          <w:highlight w:val="none"/>
        </w:rPr>
        <w:t>。</w:t>
      </w:r>
    </w:p>
    <w:p w14:paraId="56CB23A6">
      <w:pPr>
        <w:keepNext/>
        <w:keepLines/>
        <w:widowControl w:val="0"/>
        <w:spacing w:before="60" w:after="60" w:line="440" w:lineRule="exact"/>
        <w:jc w:val="both"/>
        <w:outlineLvl w:val="2"/>
        <w:rPr>
          <w:rFonts w:ascii="Times New Roman" w:hAnsi="Times New Roman" w:eastAsia="黑体" w:cs="Times New Roman"/>
          <w:b/>
          <w:bCs/>
          <w:color w:val="auto"/>
          <w:w w:val="99"/>
          <w:kern w:val="2"/>
          <w:highlight w:val="none"/>
        </w:rPr>
      </w:pPr>
      <w:bookmarkStart w:id="632" w:name="_Toc186444315"/>
      <w:r>
        <w:rPr>
          <w:rFonts w:ascii="Times New Roman" w:hAnsi="Times New Roman" w:eastAsia="黑体" w:cs="Times New Roman"/>
          <w:b/>
          <w:bCs/>
          <w:color w:val="auto"/>
          <w:w w:val="99"/>
          <w:kern w:val="2"/>
          <w:highlight w:val="none"/>
        </w:rPr>
        <w:t>4.1.5</w:t>
      </w:r>
      <w:r>
        <w:rPr>
          <w:rFonts w:hint="eastAsia" w:ascii="Times New Roman" w:hAnsi="Times New Roman" w:eastAsia="黑体" w:cs="Times New Roman"/>
          <w:b/>
          <w:bCs/>
          <w:color w:val="auto"/>
          <w:w w:val="99"/>
          <w:kern w:val="2"/>
          <w:highlight w:val="none"/>
          <w:lang w:val="en-US" w:eastAsia="zh-CN"/>
        </w:rPr>
        <w:t>区域</w:t>
      </w:r>
      <w:r>
        <w:rPr>
          <w:rFonts w:hint="eastAsia" w:ascii="Times New Roman" w:hAnsi="Times New Roman" w:eastAsia="黑体" w:cs="Times New Roman"/>
          <w:b/>
          <w:bCs/>
          <w:color w:val="auto"/>
          <w:w w:val="99"/>
          <w:kern w:val="2"/>
          <w:highlight w:val="none"/>
        </w:rPr>
        <w:t>地质条件</w:t>
      </w:r>
    </w:p>
    <w:p w14:paraId="0DA70A90">
      <w:pPr>
        <w:widowControl w:val="0"/>
        <w:spacing w:line="440" w:lineRule="exact"/>
        <w:outlineLvl w:val="3"/>
        <w:rPr>
          <w:rFonts w:hint="eastAsia" w:ascii="Times New Roman" w:hAnsi="Times New Roman" w:eastAsia="宋体" w:cs="Times New Roman"/>
          <w:b/>
          <w:color w:val="auto"/>
          <w:w w:val="99"/>
          <w:highlight w:val="none"/>
          <w:lang w:eastAsia="zh-CN"/>
        </w:rPr>
      </w:pPr>
      <w:r>
        <w:rPr>
          <w:rFonts w:hint="eastAsia" w:ascii="Times New Roman" w:hAnsi="Times New Roman" w:eastAsia="宋体" w:cs="Times New Roman"/>
          <w:b/>
          <w:color w:val="auto"/>
          <w:w w:val="99"/>
          <w:highlight w:val="none"/>
          <w:lang w:val="en-US" w:eastAsia="zh-CN"/>
        </w:rPr>
        <w:t>4</w:t>
      </w:r>
      <w:r>
        <w:rPr>
          <w:rFonts w:ascii="Times New Roman" w:hAnsi="Times New Roman" w:eastAsia="宋体" w:cs="Times New Roman"/>
          <w:b/>
          <w:color w:val="auto"/>
          <w:w w:val="99"/>
          <w:highlight w:val="none"/>
        </w:rPr>
        <w:t>.1.5.1 地质</w:t>
      </w:r>
      <w:r>
        <w:rPr>
          <w:rFonts w:hint="eastAsia" w:ascii="Times New Roman" w:hAnsi="Times New Roman" w:cs="Times New Roman"/>
          <w:b/>
          <w:color w:val="auto"/>
          <w:w w:val="99"/>
          <w:highlight w:val="none"/>
          <w:lang w:val="en-US" w:eastAsia="zh-CN"/>
        </w:rPr>
        <w:t>概况</w:t>
      </w:r>
    </w:p>
    <w:p w14:paraId="1FD1099D">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区域地质构造属于徐家围子向斜构造的一部分，位于向斜构造的南部一部分，由于白垩系晚期以来，白垩系明水组没有接受沉积</w:t>
      </w:r>
      <w:r>
        <w:rPr>
          <w:rFonts w:hint="eastAsia" w:ascii="Times New Roman" w:hAnsi="Times New Roman" w:cs="Times New Roman"/>
          <w:color w:val="auto"/>
          <w:w w:val="99"/>
          <w:highlight w:val="none"/>
          <w:lang w:val="en-US" w:eastAsia="zh-CN"/>
        </w:rPr>
        <w:t>遭</w:t>
      </w:r>
      <w:r>
        <w:rPr>
          <w:rFonts w:hint="eastAsia" w:ascii="Times New Roman" w:hAnsi="Times New Roman" w:cs="Times New Roman"/>
          <w:color w:val="auto"/>
          <w:w w:val="99"/>
          <w:highlight w:val="none"/>
          <w:lang w:eastAsia="zh-CN"/>
        </w:rPr>
        <w:t>受剥蚀</w:t>
      </w:r>
      <w:r>
        <w:rPr>
          <w:rFonts w:hint="eastAsia" w:ascii="Times New Roman" w:hAnsi="Times New Roman" w:cs="Times New Roman"/>
          <w:color w:val="auto"/>
          <w:w w:val="99"/>
          <w:highlight w:val="none"/>
        </w:rPr>
        <w:t>，第三系受地质运动影响，沉积大安组地层，第四系以来长期处于上升阶段，第四系地层沉积较薄，形成了多级阶地。根据地质钻探资料分析，区域浅部地层从上到下依次为第四系、第三系大安组，白垩系明水组地层。</w:t>
      </w:r>
    </w:p>
    <w:p w14:paraId="09F110C7">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（1）白垩系明水组（K2m）</w:t>
      </w:r>
    </w:p>
    <w:p w14:paraId="4CD41614">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1）明水组一段（K2m1）</w:t>
      </w:r>
    </w:p>
    <w:p w14:paraId="21D55A4A">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明水组一段由灰绿色砂岩、泥质砂岩夹厚度为15.0～40.0m的两层灰黑色、灰色泥岩组成的两个明显正旋回沉积物组成。明水组一段在区内的厚度变化较大，局部地区相差较大，一般为120.0～163.5m，局部地区厚度大于200.0m。</w:t>
      </w:r>
    </w:p>
    <w:p w14:paraId="679F0DDF">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2）明水组二段（K</w:t>
      </w:r>
      <w:r>
        <w:rPr>
          <w:rFonts w:ascii="Times New Roman" w:hAnsi="Times New Roman" w:cs="Times New Roman"/>
          <w:color w:val="auto"/>
          <w:w w:val="99"/>
          <w:highlight w:val="none"/>
          <w:vertAlign w:val="subscript"/>
        </w:rPr>
        <w:t>2</w:t>
      </w:r>
      <w:r>
        <w:rPr>
          <w:rFonts w:ascii="Times New Roman" w:hAnsi="Times New Roman" w:cs="Times New Roman"/>
          <w:color w:val="auto"/>
          <w:w w:val="99"/>
          <w:highlight w:val="none"/>
        </w:rPr>
        <w:t>m</w:t>
      </w:r>
      <w:r>
        <w:rPr>
          <w:rFonts w:ascii="Times New Roman" w:hAnsi="Times New Roman" w:cs="Times New Roman"/>
          <w:color w:val="auto"/>
          <w:w w:val="99"/>
          <w:highlight w:val="none"/>
          <w:vertAlign w:val="subscript"/>
        </w:rPr>
        <w:t>2</w:t>
      </w:r>
      <w:r>
        <w:rPr>
          <w:rFonts w:ascii="Times New Roman" w:hAnsi="Times New Roman" w:cs="Times New Roman"/>
          <w:color w:val="auto"/>
          <w:w w:val="99"/>
          <w:highlight w:val="none"/>
        </w:rPr>
        <w:t>）</w:t>
      </w:r>
    </w:p>
    <w:p w14:paraId="56011DE2">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明水组二段为棕红色、砖红、灰及灰绿色泥岩，泥质粉砂岩与灰、灰绿、灰白色细砂岩、中粗砂岩及含砾中粗砂岩组成的湖相沉积或以湖相为主的湖相冲积层。顶部砖红色泥岩分布较为稳定。明水组二段的主要特点是多种颜色混杂，以棕红色为主。明水组二段区域分布特征与明水组一段基本相同，只是分布范围略小。南向北逐渐增厚，一般120.0～220.0m。明水组二段与下伏明水组一段呈整合接触。</w:t>
      </w:r>
    </w:p>
    <w:p w14:paraId="1000E7D0">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（2）第四系（Q）</w:t>
      </w:r>
    </w:p>
    <w:p w14:paraId="3690B453">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1）全新统冲积层（Q</w:t>
      </w:r>
      <w:r>
        <w:rPr>
          <w:rFonts w:ascii="Times New Roman" w:hAnsi="Times New Roman" w:cs="Times New Roman"/>
          <w:color w:val="auto"/>
          <w:w w:val="99"/>
          <w:highlight w:val="none"/>
          <w:vertAlign w:val="subscript"/>
        </w:rPr>
        <w:t>4</w:t>
      </w:r>
      <w:r>
        <w:rPr>
          <w:rFonts w:ascii="Times New Roman" w:hAnsi="Times New Roman" w:cs="Times New Roman"/>
          <w:color w:val="auto"/>
          <w:w w:val="99"/>
          <w:highlight w:val="none"/>
        </w:rPr>
        <w:t>）</w:t>
      </w:r>
    </w:p>
    <w:p w14:paraId="2C9CA58E">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主要分布在河漫滩冲积层、低平原内残留湖泡的沉积层及近代风砂层等。厚度不等，只有数米，分布不稳定。</w:t>
      </w:r>
    </w:p>
    <w:p w14:paraId="64B42EFD">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2）上更新统哈尔滨组（Q</w:t>
      </w:r>
      <w:r>
        <w:rPr>
          <w:rFonts w:ascii="Times New Roman" w:hAnsi="Times New Roman" w:cs="Times New Roman"/>
          <w:color w:val="auto"/>
          <w:w w:val="99"/>
          <w:highlight w:val="none"/>
          <w:vertAlign w:val="subscript"/>
        </w:rPr>
        <w:t>3</w:t>
      </w:r>
      <w:r>
        <w:rPr>
          <w:rFonts w:ascii="Times New Roman" w:hAnsi="Times New Roman" w:cs="Times New Roman"/>
          <w:color w:val="auto"/>
          <w:w w:val="99"/>
          <w:highlight w:val="none"/>
        </w:rPr>
        <w:t>）</w:t>
      </w:r>
    </w:p>
    <w:p w14:paraId="4A74841D">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广泛分布于区域，岩性为粉质粘土和粉细砂。粉质粘土：黄褐色-褐黄色，软塑~可塑，土质不均匀，局部夹有粉土，手捻有砂粒感，含氧化铁斑点，中压缩性，干强度中等，韧性中等，稍有光滑，无摇振反应，地层厚度为5～10.5m。局部夹粉土、粉细砂层，微显层理，裂隙较发育，具有大的孔隙。分布于评价区表层。</w:t>
      </w:r>
    </w:p>
    <w:p w14:paraId="0B46E101">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3）中更新统荒山组（Q</w:t>
      </w:r>
      <w:r>
        <w:rPr>
          <w:rFonts w:ascii="Times New Roman" w:hAnsi="Times New Roman" w:cs="Times New Roman"/>
          <w:color w:val="auto"/>
          <w:w w:val="99"/>
          <w:highlight w:val="none"/>
          <w:vertAlign w:val="subscript"/>
        </w:rPr>
        <w:t>2</w:t>
      </w:r>
      <w:r>
        <w:rPr>
          <w:rFonts w:ascii="Times New Roman" w:hAnsi="Times New Roman" w:cs="Times New Roman"/>
          <w:color w:val="auto"/>
          <w:w w:val="99"/>
          <w:highlight w:val="none"/>
        </w:rPr>
        <w:t>）</w:t>
      </w:r>
    </w:p>
    <w:p w14:paraId="0AFB27C8">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广泛分布区域，岩性为河湖相沉积的灰黑色粘土，地层厚度较为均匀，微显层理，局部夹有粉细砂层，致密坚硬，局部由铁质浸染，地层厚度为25.0～30.5m。土质致密，渗透性较差，渗透系数一般在1.0×10</w:t>
      </w:r>
      <w:r>
        <w:rPr>
          <w:rFonts w:ascii="Times New Roman" w:hAnsi="Times New Roman" w:cs="Times New Roman"/>
          <w:color w:val="auto"/>
          <w:w w:val="99"/>
          <w:highlight w:val="none"/>
          <w:vertAlign w:val="superscript"/>
        </w:rPr>
        <w:t>-6</w:t>
      </w:r>
      <w:r>
        <w:rPr>
          <w:rFonts w:ascii="Times New Roman" w:hAnsi="Times New Roman" w:cs="Times New Roman"/>
          <w:color w:val="auto"/>
          <w:w w:val="99"/>
          <w:highlight w:val="none"/>
        </w:rPr>
        <w:t>～1.0×10</w:t>
      </w:r>
      <w:r>
        <w:rPr>
          <w:rFonts w:ascii="Times New Roman" w:hAnsi="Times New Roman" w:cs="Times New Roman"/>
          <w:color w:val="auto"/>
          <w:w w:val="99"/>
          <w:highlight w:val="none"/>
          <w:vertAlign w:val="superscript"/>
        </w:rPr>
        <w:t>-7</w:t>
      </w:r>
      <w:r>
        <w:rPr>
          <w:rFonts w:ascii="Times New Roman" w:hAnsi="Times New Roman" w:cs="Times New Roman"/>
          <w:color w:val="auto"/>
          <w:w w:val="99"/>
          <w:highlight w:val="none"/>
        </w:rPr>
        <w:t>cm/s，为区域弱透水层，由铁质浸染的斑点条带，含铁钙质结核及白色钙质斑点；</w:t>
      </w:r>
    </w:p>
    <w:p w14:paraId="02A09791">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第四系与下伏第三系泰康组地层为不整合接触。</w:t>
      </w:r>
    </w:p>
    <w:p w14:paraId="348FD290">
      <w:pPr>
        <w:widowControl w:val="0"/>
        <w:spacing w:line="440" w:lineRule="exact"/>
        <w:outlineLvl w:val="3"/>
        <w:rPr>
          <w:rFonts w:hint="eastAsia" w:ascii="Times New Roman" w:hAnsi="Times New Roman" w:eastAsia="宋体" w:cs="Times New Roman"/>
          <w:b/>
          <w:color w:val="auto"/>
          <w:w w:val="99"/>
          <w:highlight w:val="none"/>
          <w:lang w:eastAsia="zh-CN"/>
        </w:rPr>
      </w:pPr>
      <w:r>
        <w:rPr>
          <w:rFonts w:hint="eastAsia" w:ascii="Times New Roman" w:hAnsi="Times New Roman" w:eastAsia="宋体" w:cs="Times New Roman"/>
          <w:b/>
          <w:color w:val="auto"/>
          <w:w w:val="99"/>
          <w:highlight w:val="none"/>
          <w:lang w:val="en-US" w:eastAsia="zh-CN"/>
        </w:rPr>
        <w:t>4</w:t>
      </w:r>
      <w:r>
        <w:rPr>
          <w:rFonts w:ascii="Times New Roman" w:hAnsi="Times New Roman" w:eastAsia="宋体" w:cs="Times New Roman"/>
          <w:b/>
          <w:color w:val="auto"/>
          <w:w w:val="99"/>
          <w:highlight w:val="none"/>
        </w:rPr>
        <w:t>.1.5.</w:t>
      </w:r>
      <w:r>
        <w:rPr>
          <w:rFonts w:hint="eastAsia" w:ascii="Times New Roman" w:hAnsi="Times New Roman" w:eastAsia="宋体" w:cs="Times New Roman"/>
          <w:b/>
          <w:color w:val="auto"/>
          <w:w w:val="99"/>
          <w:highlight w:val="none"/>
        </w:rPr>
        <w:t>2</w:t>
      </w:r>
      <w:r>
        <w:rPr>
          <w:rFonts w:ascii="Times New Roman" w:hAnsi="Times New Roman" w:eastAsia="宋体" w:cs="Times New Roman"/>
          <w:b/>
          <w:color w:val="auto"/>
          <w:w w:val="99"/>
          <w:highlight w:val="none"/>
        </w:rPr>
        <w:t xml:space="preserve"> 地质</w:t>
      </w:r>
      <w:r>
        <w:rPr>
          <w:rFonts w:hint="eastAsia" w:ascii="Times New Roman" w:hAnsi="Times New Roman" w:cs="Times New Roman"/>
          <w:b/>
          <w:color w:val="auto"/>
          <w:w w:val="99"/>
          <w:highlight w:val="none"/>
          <w:lang w:val="en-US" w:eastAsia="zh-CN"/>
        </w:rPr>
        <w:t>构造</w:t>
      </w:r>
    </w:p>
    <w:p w14:paraId="315486C8">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项目区位于松辽盆地北部区。松辽盆地是中、新生代形成的一北北东向菱形断拗盆地。沉积岩厚度最大可达6000m以上，区域地质构造位置属于徐家围子向斜构造一部分，位于向斜构造的南端。区内上部由第四系松散堆积物所覆盖，未发现断裂构造分布。</w:t>
      </w:r>
    </w:p>
    <w:p w14:paraId="62FEB5EF">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根据《中国地震动参数区划图》(GB18306—20</w:t>
      </w:r>
      <w:r>
        <w:rPr>
          <w:rFonts w:hint="eastAsia" w:ascii="Times New Roman" w:hAnsi="Times New Roman" w:cs="Times New Roman"/>
          <w:color w:val="auto"/>
          <w:w w:val="99"/>
          <w:highlight w:val="none"/>
          <w:lang w:val="en-US" w:eastAsia="zh-CN"/>
        </w:rPr>
        <w:t>15</w:t>
      </w:r>
      <w:r>
        <w:rPr>
          <w:rFonts w:ascii="Times New Roman" w:hAnsi="Times New Roman" w:cs="Times New Roman"/>
          <w:color w:val="auto"/>
          <w:w w:val="99"/>
          <w:highlight w:val="none"/>
        </w:rPr>
        <w:t>)，本区地震动峰值加。速度为0.05g，相应的地震基本烈度为Ⅵ度。</w:t>
      </w:r>
    </w:p>
    <w:p w14:paraId="7002B762">
      <w:pPr>
        <w:keepNext/>
        <w:keepLines/>
        <w:widowControl w:val="0"/>
        <w:spacing w:before="60" w:after="60" w:line="440" w:lineRule="exact"/>
        <w:jc w:val="both"/>
        <w:outlineLvl w:val="2"/>
        <w:rPr>
          <w:rFonts w:ascii="Times New Roman" w:hAnsi="Times New Roman" w:eastAsia="黑体" w:cs="Times New Roman"/>
          <w:b/>
          <w:bCs/>
          <w:color w:val="auto"/>
          <w:w w:val="99"/>
          <w:kern w:val="2"/>
          <w:highlight w:val="none"/>
          <w:lang w:val="zh-CN"/>
        </w:rPr>
      </w:pPr>
      <w:r>
        <w:rPr>
          <w:rFonts w:hint="eastAsia" w:ascii="Times New Roman" w:hAnsi="Times New Roman" w:eastAsia="黑体" w:cs="Times New Roman"/>
          <w:b/>
          <w:bCs/>
          <w:color w:val="auto"/>
          <w:w w:val="99"/>
          <w:kern w:val="2"/>
          <w:highlight w:val="none"/>
          <w:lang w:val="en-US" w:eastAsia="zh-CN"/>
        </w:rPr>
        <w:t>4.1.6</w:t>
      </w:r>
      <w:r>
        <w:rPr>
          <w:rFonts w:hint="eastAsia" w:ascii="Times New Roman" w:hAnsi="Times New Roman" w:eastAsia="黑体" w:cs="Times New Roman"/>
          <w:b/>
          <w:bCs/>
          <w:color w:val="auto"/>
          <w:w w:val="99"/>
          <w:kern w:val="2"/>
          <w:highlight w:val="none"/>
          <w:lang w:val="zh-CN"/>
        </w:rPr>
        <w:t>区域水文地质条件</w:t>
      </w:r>
    </w:p>
    <w:p w14:paraId="2547F254">
      <w:pPr>
        <w:widowControl w:val="0"/>
        <w:spacing w:line="440" w:lineRule="exact"/>
        <w:outlineLvl w:val="3"/>
        <w:rPr>
          <w:rFonts w:ascii="Times New Roman" w:hAnsi="Times New Roman" w:eastAsia="宋体" w:cs="Times New Roman"/>
          <w:b/>
          <w:color w:val="auto"/>
          <w:w w:val="99"/>
          <w:highlight w:val="none"/>
        </w:rPr>
      </w:pPr>
      <w:r>
        <w:rPr>
          <w:rFonts w:hint="eastAsia" w:ascii="Times New Roman" w:hAnsi="Times New Roman" w:eastAsia="宋体" w:cs="Times New Roman"/>
          <w:b/>
          <w:color w:val="auto"/>
          <w:w w:val="99"/>
          <w:highlight w:val="none"/>
          <w:lang w:val="en-US" w:eastAsia="zh-CN"/>
        </w:rPr>
        <w:t>4.1.6</w:t>
      </w:r>
      <w:r>
        <w:rPr>
          <w:rFonts w:ascii="Times New Roman" w:hAnsi="Times New Roman" w:eastAsia="宋体" w:cs="Times New Roman"/>
          <w:b/>
          <w:color w:val="auto"/>
          <w:w w:val="99"/>
          <w:highlight w:val="none"/>
        </w:rPr>
        <w:t>.</w:t>
      </w:r>
      <w:r>
        <w:rPr>
          <w:rFonts w:hint="eastAsia" w:ascii="Times New Roman" w:hAnsi="Times New Roman" w:eastAsia="宋体" w:cs="Times New Roman"/>
          <w:b/>
          <w:color w:val="auto"/>
          <w:w w:val="99"/>
          <w:highlight w:val="none"/>
        </w:rPr>
        <w:t>1</w:t>
      </w:r>
      <w:r>
        <w:rPr>
          <w:rFonts w:ascii="Times New Roman" w:hAnsi="Times New Roman" w:eastAsia="宋体" w:cs="Times New Roman"/>
          <w:b/>
          <w:color w:val="auto"/>
          <w:w w:val="99"/>
          <w:highlight w:val="none"/>
        </w:rPr>
        <w:t xml:space="preserve"> </w:t>
      </w:r>
      <w:r>
        <w:rPr>
          <w:rFonts w:hint="eastAsia" w:ascii="Times New Roman" w:hAnsi="Times New Roman" w:eastAsia="宋体" w:cs="Times New Roman"/>
          <w:b/>
          <w:color w:val="auto"/>
          <w:w w:val="99"/>
          <w:highlight w:val="none"/>
        </w:rPr>
        <w:t>地下水类型及赋存条件</w:t>
      </w:r>
    </w:p>
    <w:p w14:paraId="29497449">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（1）地下水的形成条件</w:t>
      </w:r>
    </w:p>
    <w:p w14:paraId="55CD1E37">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评价区位于松辽盆地的北部，区域地质构造位置属于徐家围子向斜构造一部分，位于向斜构造的南端。中生界白垩系沉积了巨厚的碎屑岩，第四系则覆盖全区，不整合于白垩系地层之上。在各组岩层中沉积有厚薄不均的砂、砂砾石层及砂岩、砂砾岩层，为地下水的赋存提供了良好的条件。</w:t>
      </w:r>
    </w:p>
    <w:p w14:paraId="5813AC30">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lang w:val="en-US" w:eastAsia="zh-CN"/>
        </w:rPr>
      </w:pPr>
      <w:r>
        <w:rPr>
          <w:rFonts w:ascii="Times New Roman" w:hAnsi="Times New Roman" w:cs="Times New Roman"/>
          <w:color w:val="auto"/>
          <w:w w:val="99"/>
          <w:highlight w:val="none"/>
        </w:rPr>
        <w:t>根据地下水的埋藏条件及含水层介质、水力性质等，区内地下水类型可划分为第四系上更新统松散层孔隙潜水、白垩系上统明水组孔隙裂隙承压水。详见区域综合水文地质图及水文地质剖面图、区域水文地质柱状图。评价区综合水文地质图</w:t>
      </w:r>
      <w:r>
        <w:rPr>
          <w:rFonts w:hint="eastAsia" w:ascii="Times New Roman" w:hAnsi="Times New Roman" w:cs="Times New Roman"/>
          <w:color w:val="auto"/>
          <w:w w:val="99"/>
          <w:highlight w:val="none"/>
          <w:lang w:val="en-US" w:eastAsia="zh-CN"/>
        </w:rPr>
        <w:t>见附图16-1，</w:t>
      </w:r>
      <w:r>
        <w:rPr>
          <w:rFonts w:ascii="Times New Roman" w:hAnsi="Times New Roman" w:cs="Times New Roman"/>
          <w:color w:val="auto"/>
          <w:w w:val="99"/>
          <w:highlight w:val="none"/>
        </w:rPr>
        <w:t>水文地质剖面图</w:t>
      </w:r>
      <w:r>
        <w:rPr>
          <w:rFonts w:hint="eastAsia" w:ascii="Times New Roman" w:hAnsi="Times New Roman" w:cs="Times New Roman"/>
          <w:color w:val="auto"/>
          <w:w w:val="99"/>
          <w:highlight w:val="none"/>
          <w:lang w:val="en-US" w:eastAsia="zh-CN"/>
        </w:rPr>
        <w:t>附图16-2</w:t>
      </w:r>
      <w:r>
        <w:rPr>
          <w:rFonts w:hint="eastAsia" w:ascii="Times New Roman" w:hAnsi="Times New Roman" w:cs="Times New Roman"/>
          <w:color w:val="auto"/>
          <w:w w:val="99"/>
          <w:highlight w:val="none"/>
          <w:lang w:eastAsia="zh-CN"/>
        </w:rPr>
        <w:t>，</w:t>
      </w:r>
      <w:r>
        <w:rPr>
          <w:rFonts w:ascii="Times New Roman" w:hAnsi="Times New Roman" w:cs="Times New Roman"/>
          <w:color w:val="auto"/>
          <w:w w:val="99"/>
          <w:highlight w:val="none"/>
        </w:rPr>
        <w:t>水文地质柱状图</w:t>
      </w:r>
      <w:r>
        <w:rPr>
          <w:rFonts w:hint="eastAsia" w:ascii="Times New Roman" w:hAnsi="Times New Roman" w:cs="Times New Roman"/>
          <w:color w:val="auto"/>
          <w:w w:val="99"/>
          <w:highlight w:val="none"/>
          <w:lang w:val="en-US" w:eastAsia="zh-CN"/>
        </w:rPr>
        <w:t>见附图16-3。</w:t>
      </w:r>
    </w:p>
    <w:p w14:paraId="0CBECCBD">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（2）地下水含水岩组特征</w:t>
      </w:r>
    </w:p>
    <w:p w14:paraId="20ED0403">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1）第四系上更新统松散层孔隙潜水</w:t>
      </w:r>
    </w:p>
    <w:p w14:paraId="3F308EC7">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eastAsia" w:ascii="Times New Roman" w:hAnsi="Times New Roman" w:cs="Times New Roman"/>
          <w:color w:val="auto"/>
          <w:w w:val="99"/>
          <w:highlight w:val="none"/>
          <w:lang w:eastAsia="zh-CN"/>
        </w:rPr>
      </w:pPr>
      <w:r>
        <w:rPr>
          <w:rFonts w:hint="eastAsia" w:ascii="Times New Roman" w:hAnsi="Times New Roman" w:cs="Times New Roman"/>
          <w:color w:val="auto"/>
          <w:w w:val="99"/>
          <w:highlight w:val="none"/>
          <w:lang w:eastAsia="zh-CN"/>
        </w:rPr>
        <w:t>分布于全区，含水层岩性为上更新统哈尔滨组粉细砂组成，厚度0.5～3.5m。地下水水位埋深3.2～</w:t>
      </w:r>
      <w:r>
        <w:rPr>
          <w:rFonts w:hint="eastAsia" w:ascii="Times New Roman" w:hAnsi="Times New Roman" w:cs="Times New Roman"/>
          <w:color w:val="auto"/>
          <w:w w:val="99"/>
          <w:highlight w:val="none"/>
          <w:lang w:val="en-US" w:eastAsia="zh-CN"/>
        </w:rPr>
        <w:t>6.7</w:t>
      </w:r>
      <w:r>
        <w:rPr>
          <w:rFonts w:hint="eastAsia" w:ascii="Times New Roman" w:hAnsi="Times New Roman" w:cs="Times New Roman"/>
          <w:color w:val="auto"/>
          <w:w w:val="99"/>
          <w:highlight w:val="none"/>
          <w:lang w:eastAsia="zh-CN"/>
        </w:rPr>
        <w:t>m，弱富水性，单井涌水量在500～100m3/d，地下水化学类型以HCO3—Na、HCO3—Na·Ca型水为主。该层水为大气降水的垂直入渗补给，无开采供水条件。</w:t>
      </w:r>
    </w:p>
    <w:p w14:paraId="59346250">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eastAsia" w:ascii="Times New Roman" w:hAnsi="Times New Roman" w:cs="Times New Roman"/>
          <w:color w:val="auto"/>
          <w:w w:val="99"/>
          <w:highlight w:val="none"/>
          <w:lang w:eastAsia="zh-CN"/>
        </w:rPr>
      </w:pPr>
      <w:r>
        <w:rPr>
          <w:rFonts w:hint="eastAsia" w:ascii="Times New Roman" w:hAnsi="Times New Roman" w:cs="Times New Roman"/>
          <w:color w:val="auto"/>
          <w:w w:val="99"/>
          <w:highlight w:val="none"/>
          <w:lang w:eastAsia="zh-CN"/>
        </w:rPr>
        <w:t>2）第三系大安组孔隙裂隙承压水含水层</w:t>
      </w:r>
    </w:p>
    <w:p w14:paraId="60F7F352">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eastAsia" w:ascii="Times New Roman" w:hAnsi="Times New Roman" w:cs="Times New Roman"/>
          <w:color w:val="auto"/>
          <w:w w:val="99"/>
          <w:highlight w:val="none"/>
          <w:lang w:eastAsia="zh-CN"/>
        </w:rPr>
      </w:pPr>
      <w:r>
        <w:rPr>
          <w:rFonts w:hint="eastAsia" w:ascii="Times New Roman" w:hAnsi="Times New Roman" w:cs="Times New Roman"/>
          <w:color w:val="auto"/>
          <w:w w:val="99"/>
          <w:highlight w:val="none"/>
          <w:lang w:eastAsia="zh-CN"/>
        </w:rPr>
        <w:t>上部灰白色绿色粉砂岩和灰绿色青灰色泥岩，中部深灰色页岩和泥岩。下部灰白色含砾砂岩和砂砾岩。</w:t>
      </w:r>
    </w:p>
    <w:p w14:paraId="20D8D94B">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eastAsia" w:ascii="Times New Roman" w:hAnsi="Times New Roman" w:cs="Times New Roman"/>
          <w:color w:val="auto"/>
          <w:w w:val="99"/>
          <w:highlight w:val="none"/>
          <w:lang w:eastAsia="zh-CN"/>
        </w:rPr>
      </w:pPr>
      <w:r>
        <w:rPr>
          <w:rFonts w:hint="eastAsia" w:ascii="Times New Roman" w:hAnsi="Times New Roman" w:cs="Times New Roman"/>
          <w:color w:val="auto"/>
          <w:w w:val="99"/>
          <w:highlight w:val="none"/>
          <w:lang w:eastAsia="zh-CN"/>
        </w:rPr>
        <w:t>主要分布在区域东南部，含水层为砂岩和粉砂岩。含水层厚度一般为10-20米，顶板埋深15-3</w:t>
      </w:r>
      <w:r>
        <w:rPr>
          <w:rFonts w:hint="eastAsia" w:ascii="Times New Roman" w:hAnsi="Times New Roman" w:cs="Times New Roman"/>
          <w:color w:val="auto"/>
          <w:w w:val="99"/>
          <w:highlight w:val="none"/>
          <w:lang w:val="en-US" w:eastAsia="zh-CN"/>
        </w:rPr>
        <w:t>5</w:t>
      </w:r>
      <w:r>
        <w:rPr>
          <w:rFonts w:hint="eastAsia" w:ascii="Times New Roman" w:hAnsi="Times New Roman" w:cs="Times New Roman"/>
          <w:color w:val="auto"/>
          <w:w w:val="99"/>
          <w:highlight w:val="none"/>
          <w:lang w:eastAsia="zh-CN"/>
        </w:rPr>
        <w:t>m，单井涌水量860-1250t/d。</w:t>
      </w:r>
    </w:p>
    <w:p w14:paraId="22560F1D">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eastAsia" w:ascii="Times New Roman" w:hAnsi="Times New Roman" w:cs="Times New Roman"/>
          <w:color w:val="auto"/>
          <w:w w:val="99"/>
          <w:highlight w:val="none"/>
          <w:lang w:eastAsia="zh-CN"/>
        </w:rPr>
      </w:pPr>
      <w:r>
        <w:rPr>
          <w:rFonts w:hint="eastAsia" w:ascii="Times New Roman" w:hAnsi="Times New Roman" w:cs="Times New Roman"/>
          <w:color w:val="auto"/>
          <w:w w:val="99"/>
          <w:highlight w:val="none"/>
          <w:lang w:eastAsia="zh-CN"/>
        </w:rPr>
        <w:t>地下水化学类型以HCO3—Na、HCO3—Na·Ca型水为主。</w:t>
      </w:r>
    </w:p>
    <w:p w14:paraId="733791B4">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eastAsia" w:ascii="Times New Roman" w:hAnsi="Times New Roman" w:cs="Times New Roman"/>
          <w:color w:val="auto"/>
          <w:w w:val="99"/>
          <w:highlight w:val="none"/>
          <w:lang w:eastAsia="zh-CN"/>
        </w:rPr>
      </w:pPr>
      <w:r>
        <w:rPr>
          <w:rFonts w:hint="eastAsia" w:ascii="Times New Roman" w:hAnsi="Times New Roman" w:cs="Times New Roman"/>
          <w:color w:val="auto"/>
          <w:w w:val="99"/>
          <w:highlight w:val="none"/>
          <w:lang w:eastAsia="zh-CN"/>
        </w:rPr>
        <w:t>3）白垩系上统明水组孔隙裂隙承压水含水层</w:t>
      </w:r>
    </w:p>
    <w:p w14:paraId="63668529">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eastAsia" w:ascii="Times New Roman" w:hAnsi="Times New Roman" w:cs="Times New Roman"/>
          <w:color w:val="auto"/>
          <w:w w:val="99"/>
          <w:highlight w:val="none"/>
          <w:lang w:eastAsia="zh-CN"/>
        </w:rPr>
      </w:pPr>
      <w:r>
        <w:rPr>
          <w:rFonts w:hint="eastAsia" w:ascii="Times New Roman" w:hAnsi="Times New Roman" w:cs="Times New Roman"/>
          <w:color w:val="auto"/>
          <w:w w:val="99"/>
          <w:highlight w:val="none"/>
          <w:lang w:eastAsia="zh-CN"/>
        </w:rPr>
        <w:t>明水组二段：岩性主要是含中粗砂岩组成，质软，成岩性较差，含水层分布不均，连续性较差，透水性一般、富水性一般，含砾砂岩含水层单层厚度较薄，层数较多，一般由4-6个层组成，单层厚度3.0～20.0m，含水层顶板埋深50～70m，二段含水层组单井涌水量一般可达800～1200m</w:t>
      </w:r>
      <w:r>
        <w:rPr>
          <w:rFonts w:hint="eastAsia" w:ascii="Times New Roman" w:hAnsi="Times New Roman" w:cs="Times New Roman"/>
          <w:color w:val="auto"/>
          <w:w w:val="99"/>
          <w:highlight w:val="none"/>
          <w:vertAlign w:val="superscript"/>
          <w:lang w:eastAsia="zh-CN"/>
        </w:rPr>
        <w:t>3</w:t>
      </w:r>
      <w:r>
        <w:rPr>
          <w:rFonts w:hint="eastAsia" w:ascii="Times New Roman" w:hAnsi="Times New Roman" w:cs="Times New Roman"/>
          <w:color w:val="auto"/>
          <w:w w:val="99"/>
          <w:highlight w:val="none"/>
          <w:lang w:eastAsia="zh-CN"/>
        </w:rPr>
        <w:t>/d（273mm）。</w:t>
      </w:r>
    </w:p>
    <w:p w14:paraId="7814C108">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eastAsia" w:ascii="Times New Roman" w:hAnsi="Times New Roman" w:cs="Times New Roman"/>
          <w:color w:val="auto"/>
          <w:w w:val="99"/>
          <w:highlight w:val="none"/>
          <w:lang w:eastAsia="zh-CN"/>
        </w:rPr>
      </w:pPr>
      <w:r>
        <w:rPr>
          <w:rFonts w:hint="eastAsia" w:ascii="Times New Roman" w:hAnsi="Times New Roman" w:cs="Times New Roman"/>
          <w:color w:val="auto"/>
          <w:w w:val="99"/>
          <w:highlight w:val="none"/>
          <w:lang w:eastAsia="zh-CN"/>
        </w:rPr>
        <w:t>明水组一段：岩性主要是含砾砂岩和砂砾岩组成，质软，成岩性较差，含水层分布稳定性较好，透水性一般、富水性一般，一段含砾砂岩含水层单层厚度较薄，层数一般3－5层，单层厚度3.0～29.0m，累计含水层厚度10.0～45.0m，含水层顶板埋深60～120m。单井涌水量（237mm井管）一般都能达到1000～1500m</w:t>
      </w:r>
      <w:r>
        <w:rPr>
          <w:rFonts w:hint="eastAsia" w:ascii="Times New Roman" w:hAnsi="Times New Roman" w:cs="Times New Roman"/>
          <w:color w:val="auto"/>
          <w:w w:val="99"/>
          <w:highlight w:val="none"/>
          <w:vertAlign w:val="superscript"/>
          <w:lang w:eastAsia="zh-CN"/>
        </w:rPr>
        <w:t>3</w:t>
      </w:r>
      <w:r>
        <w:rPr>
          <w:rFonts w:hint="eastAsia" w:ascii="Times New Roman" w:hAnsi="Times New Roman" w:cs="Times New Roman"/>
          <w:color w:val="auto"/>
          <w:w w:val="99"/>
          <w:highlight w:val="none"/>
          <w:lang w:eastAsia="zh-CN"/>
        </w:rPr>
        <w:t>/d，水质为重碳酸钠型水。</w:t>
      </w:r>
    </w:p>
    <w:p w14:paraId="1B8E38E0">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eastAsia" w:ascii="Times New Roman" w:hAnsi="Times New Roman" w:cs="Times New Roman"/>
          <w:color w:val="auto"/>
          <w:w w:val="99"/>
          <w:highlight w:val="none"/>
          <w:lang w:eastAsia="zh-CN"/>
        </w:rPr>
      </w:pPr>
      <w:r>
        <w:rPr>
          <w:rFonts w:hint="eastAsia" w:ascii="Times New Roman" w:hAnsi="Times New Roman" w:cs="Times New Roman"/>
          <w:color w:val="auto"/>
          <w:w w:val="99"/>
          <w:highlight w:val="none"/>
          <w:lang w:eastAsia="zh-CN"/>
        </w:rPr>
        <w:t>明水组含水层的矿化度为480—860g/L，总硬度为66-95mg/L（以CaCO</w:t>
      </w:r>
      <w:r>
        <w:rPr>
          <w:rFonts w:hint="eastAsia" w:ascii="Times New Roman" w:hAnsi="Times New Roman" w:cs="Times New Roman"/>
          <w:color w:val="auto"/>
          <w:w w:val="99"/>
          <w:highlight w:val="none"/>
          <w:vertAlign w:val="subscript"/>
          <w:lang w:eastAsia="zh-CN"/>
        </w:rPr>
        <w:t>3</w:t>
      </w:r>
      <w:r>
        <w:rPr>
          <w:rFonts w:hint="eastAsia" w:ascii="Times New Roman" w:hAnsi="Times New Roman" w:cs="Times New Roman"/>
          <w:color w:val="auto"/>
          <w:w w:val="99"/>
          <w:highlight w:val="none"/>
          <w:lang w:eastAsia="zh-CN"/>
        </w:rPr>
        <w:t>计），水质类型为重碳酸钠型水。</w:t>
      </w:r>
    </w:p>
    <w:p w14:paraId="7F2EE410">
      <w:pPr>
        <w:widowControl w:val="0"/>
        <w:spacing w:line="440" w:lineRule="exact"/>
        <w:outlineLvl w:val="3"/>
        <w:rPr>
          <w:rFonts w:ascii="Times New Roman" w:hAnsi="Times New Roman" w:eastAsia="宋体" w:cs="Times New Roman"/>
          <w:b/>
          <w:color w:val="auto"/>
          <w:w w:val="99"/>
          <w:highlight w:val="none"/>
        </w:rPr>
      </w:pPr>
      <w:r>
        <w:rPr>
          <w:rFonts w:hint="eastAsia" w:ascii="Times New Roman" w:hAnsi="Times New Roman" w:eastAsia="宋体" w:cs="Times New Roman"/>
          <w:b/>
          <w:color w:val="auto"/>
          <w:w w:val="99"/>
          <w:highlight w:val="none"/>
          <w:lang w:val="en-US" w:eastAsia="zh-CN"/>
        </w:rPr>
        <w:t>4.1.6</w:t>
      </w:r>
      <w:r>
        <w:rPr>
          <w:rFonts w:ascii="Times New Roman" w:hAnsi="Times New Roman" w:eastAsia="宋体" w:cs="Times New Roman"/>
          <w:b/>
          <w:color w:val="auto"/>
          <w:w w:val="99"/>
          <w:highlight w:val="none"/>
        </w:rPr>
        <w:t>.2 地下水补给、径流、排泄特征</w:t>
      </w:r>
    </w:p>
    <w:p w14:paraId="3B91AED6">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地质环境决定了地下水的补给、径流、排泄规律。而其补给、径流和排泄构成了含水层地下水流系统的形成条件。</w:t>
      </w:r>
    </w:p>
    <w:p w14:paraId="1260F2BB">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（1）地下水补给</w:t>
      </w:r>
    </w:p>
    <w:p w14:paraId="0B27B9F0">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1）大气降雨补给</w:t>
      </w:r>
    </w:p>
    <w:p w14:paraId="2438C06B">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lang w:eastAsia="zh-CN"/>
        </w:rPr>
      </w:pPr>
      <w:r>
        <w:rPr>
          <w:rFonts w:hint="default" w:ascii="Times New Roman" w:hAnsi="Times New Roman" w:cs="Times New Roman"/>
          <w:color w:val="auto"/>
          <w:w w:val="99"/>
          <w:highlight w:val="none"/>
          <w:lang w:eastAsia="zh-CN"/>
        </w:rPr>
        <w:t>从区域主要含水层分布可以看出，含水层的补给主要地表水补给和降雨垂向补给上部第四系孔隙潜水含水层，潜水通过透水层越流补给下部的大安组、明水组含水层。</w:t>
      </w:r>
    </w:p>
    <w:p w14:paraId="7307783F">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2）地表水体的入渗补给</w:t>
      </w:r>
    </w:p>
    <w:p w14:paraId="67473EB6">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项目区内分布的湖泡水的入渗水量构成了第四系潜水补给的主要来源。</w:t>
      </w:r>
    </w:p>
    <w:p w14:paraId="44CA61DD">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3）侧向补给</w:t>
      </w:r>
    </w:p>
    <w:p w14:paraId="16F05EF2">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在天然条件下，主要来自区域以外广泛连续分布的同一含水层中的地下水，地下水在水动力驱动下，通过水平方向径流补给区域内地下水，根据水文地质分布特征，项目区地下水侧向主要接受东北向西南方向都有一定量的地下水侧向补给。</w:t>
      </w:r>
    </w:p>
    <w:p w14:paraId="1B05A0AA">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（2）地下水径流规律</w:t>
      </w:r>
    </w:p>
    <w:p w14:paraId="2C933897">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项目区内地下水的径流方向在不同层位有所不同。上部潜水含水层主要由粉细砂组成，颗粒较细，分布不连续，透水性较差，且受地形影响，地下水径流滞缓，项目区范围内地下水流向不明显，区域上总体流向随地势由东北向西南流。而承压含水层是该区供水的主要来源，地下水开采量较大而且相对集中，区域水位下降较大，由于人工流场的形成，改变了地下水的天然径流状态，地下水位是东北高西南低，地下水的径流方向则为北东向西南。</w:t>
      </w:r>
    </w:p>
    <w:p w14:paraId="272F0F24">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（3）地下水排泄</w:t>
      </w:r>
    </w:p>
    <w:p w14:paraId="343F6E59">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在人为活动影响条件下，项目区地下水的排泄主要有三种类型，即蒸发排泄、侧向径流排泄、人工开采。</w:t>
      </w:r>
    </w:p>
    <w:p w14:paraId="388CC82B">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1）潜水蒸发排泄</w:t>
      </w:r>
    </w:p>
    <w:p w14:paraId="4CA5FAAF">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该区属干旱、半干旱季风气候区，区内水面和沼泽湿地较为发育，由于气候干燥，尤其是在多风少雨的春末初夏，降水量小</w:t>
      </w:r>
      <w:r>
        <w:rPr>
          <w:rFonts w:hint="eastAsia" w:ascii="Times New Roman" w:hAnsi="Times New Roman" w:cs="Times New Roman"/>
          <w:color w:val="auto"/>
          <w:w w:val="99"/>
          <w:highlight w:val="none"/>
          <w:lang w:val="en-US" w:eastAsia="zh-CN"/>
        </w:rPr>
        <w:t>于</w:t>
      </w:r>
      <w:r>
        <w:rPr>
          <w:rFonts w:hint="default" w:ascii="Times New Roman" w:hAnsi="Times New Roman" w:cs="Times New Roman"/>
          <w:color w:val="auto"/>
          <w:w w:val="99"/>
          <w:highlight w:val="none"/>
        </w:rPr>
        <w:t>220mm，蒸发强度大（1100-1600mm），因此蒸发是潜水的主要排泄方式。</w:t>
      </w:r>
    </w:p>
    <w:p w14:paraId="16FDC63D">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2）侧向径流排泄</w:t>
      </w:r>
    </w:p>
    <w:p w14:paraId="2E6D8FF8">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地下水通过同一含水层向区域西南部径流流出区域。</w:t>
      </w:r>
    </w:p>
    <w:p w14:paraId="502445C1">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3）人工开采</w:t>
      </w:r>
    </w:p>
    <w:p w14:paraId="1046C4D7">
      <w:pPr>
        <w:spacing w:line="434" w:lineRule="exact"/>
        <w:ind w:firstLine="474" w:firstLineChars="200"/>
        <w:jc w:val="both"/>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区域是地下水人工开采主要地区。根据统计资料，目前区域已建成分散及集中地下水水井20多眼。区域地下现状年总开采量为75.00×10</w:t>
      </w:r>
      <w:r>
        <w:rPr>
          <w:rFonts w:hint="default" w:ascii="Times New Roman" w:hAnsi="Times New Roman" w:cs="Times New Roman"/>
          <w:color w:val="auto"/>
          <w:w w:val="99"/>
          <w:highlight w:val="none"/>
          <w:vertAlign w:val="superscript"/>
        </w:rPr>
        <w:t>4</w:t>
      </w:r>
      <w:r>
        <w:rPr>
          <w:rFonts w:hint="default" w:ascii="Times New Roman" w:hAnsi="Times New Roman" w:cs="Times New Roman"/>
          <w:color w:val="auto"/>
          <w:w w:val="99"/>
          <w:highlight w:val="none"/>
        </w:rPr>
        <w:t>m</w:t>
      </w:r>
      <w:r>
        <w:rPr>
          <w:rFonts w:hint="default" w:ascii="Times New Roman" w:hAnsi="Times New Roman" w:cs="Times New Roman"/>
          <w:color w:val="auto"/>
          <w:w w:val="99"/>
          <w:highlight w:val="none"/>
          <w:vertAlign w:val="superscript"/>
        </w:rPr>
        <w:t>3</w:t>
      </w:r>
      <w:r>
        <w:rPr>
          <w:rFonts w:hint="default" w:ascii="Times New Roman" w:hAnsi="Times New Roman" w:cs="Times New Roman"/>
          <w:color w:val="auto"/>
          <w:w w:val="99"/>
          <w:highlight w:val="none"/>
        </w:rPr>
        <w:t>/a。</w:t>
      </w:r>
    </w:p>
    <w:p w14:paraId="080CD397">
      <w:pPr>
        <w:widowControl w:val="0"/>
        <w:spacing w:line="440" w:lineRule="exact"/>
        <w:outlineLvl w:val="3"/>
        <w:rPr>
          <w:rFonts w:ascii="Times New Roman" w:hAnsi="Times New Roman" w:eastAsia="宋体" w:cs="Times New Roman"/>
          <w:b/>
          <w:color w:val="auto"/>
          <w:w w:val="99"/>
          <w:highlight w:val="none"/>
        </w:rPr>
      </w:pPr>
      <w:r>
        <w:rPr>
          <w:rFonts w:hint="eastAsia" w:ascii="Times New Roman" w:hAnsi="Times New Roman" w:eastAsia="宋体" w:cs="Times New Roman"/>
          <w:b/>
          <w:color w:val="auto"/>
          <w:w w:val="99"/>
          <w:highlight w:val="none"/>
          <w:lang w:val="en-US" w:eastAsia="zh-CN"/>
        </w:rPr>
        <w:t>4.1.6</w:t>
      </w:r>
      <w:r>
        <w:rPr>
          <w:rFonts w:ascii="Times New Roman" w:hAnsi="Times New Roman" w:eastAsia="宋体" w:cs="Times New Roman"/>
          <w:b/>
          <w:color w:val="auto"/>
          <w:w w:val="99"/>
          <w:highlight w:val="none"/>
        </w:rPr>
        <w:t>.3 地下水的动态变化</w:t>
      </w:r>
    </w:p>
    <w:p w14:paraId="5A70C713">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1、潜水地下水水位动态变化特征</w:t>
      </w:r>
    </w:p>
    <w:p w14:paraId="695EEBD8">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lang w:eastAsia="zh-CN"/>
        </w:rPr>
      </w:pPr>
      <w:r>
        <w:rPr>
          <w:rFonts w:hint="default" w:ascii="Times New Roman" w:hAnsi="Times New Roman" w:cs="Times New Roman"/>
          <w:color w:val="auto"/>
          <w:w w:val="99"/>
          <w:highlight w:val="none"/>
          <w:lang w:eastAsia="zh-CN"/>
        </w:rPr>
        <w:t>区域潜水含水层埋深较浅，含水层岩性为粉细砂，水位变化主要受大气降水补给和人工开采影响较大，根据水位监测结果表明，区域潜水水位埋深4.</w:t>
      </w:r>
      <w:r>
        <w:rPr>
          <w:rFonts w:hint="default" w:ascii="Times New Roman" w:hAnsi="Times New Roman" w:cs="Times New Roman"/>
          <w:color w:val="auto"/>
          <w:w w:val="99"/>
          <w:highlight w:val="none"/>
          <w:lang w:val="en-US" w:eastAsia="zh-CN"/>
        </w:rPr>
        <w:t>9</w:t>
      </w:r>
      <w:r>
        <w:rPr>
          <w:rFonts w:hint="default" w:ascii="Times New Roman" w:hAnsi="Times New Roman" w:cs="Times New Roman"/>
          <w:color w:val="auto"/>
          <w:w w:val="99"/>
          <w:highlight w:val="none"/>
          <w:lang w:eastAsia="zh-CN"/>
        </w:rPr>
        <w:t>～5.</w:t>
      </w:r>
      <w:r>
        <w:rPr>
          <w:rFonts w:hint="default" w:ascii="Times New Roman" w:hAnsi="Times New Roman" w:cs="Times New Roman"/>
          <w:color w:val="auto"/>
          <w:w w:val="99"/>
          <w:highlight w:val="none"/>
          <w:lang w:val="en-US" w:eastAsia="zh-CN"/>
        </w:rPr>
        <w:t>3</w:t>
      </w:r>
      <w:r>
        <w:rPr>
          <w:rFonts w:hint="default" w:ascii="Times New Roman" w:hAnsi="Times New Roman" w:cs="Times New Roman"/>
          <w:color w:val="auto"/>
          <w:w w:val="99"/>
          <w:highlight w:val="none"/>
          <w:lang w:eastAsia="zh-CN"/>
        </w:rPr>
        <w:t>m之间，区域潜水埋深变化较小，水位变化差</w:t>
      </w:r>
      <w:r>
        <w:rPr>
          <w:rFonts w:hint="default" w:ascii="Times New Roman" w:hAnsi="Times New Roman" w:cs="Times New Roman"/>
          <w:color w:val="auto"/>
          <w:w w:val="99"/>
          <w:highlight w:val="none"/>
          <w:lang w:val="en-US" w:eastAsia="zh-CN"/>
        </w:rPr>
        <w:t>0.4</w:t>
      </w:r>
      <w:r>
        <w:rPr>
          <w:rFonts w:hint="default" w:ascii="Times New Roman" w:hAnsi="Times New Roman" w:cs="Times New Roman"/>
          <w:color w:val="auto"/>
          <w:w w:val="99"/>
          <w:highlight w:val="none"/>
          <w:lang w:eastAsia="zh-CN"/>
        </w:rPr>
        <w:t>m左右。</w:t>
      </w:r>
    </w:p>
    <w:p w14:paraId="03AEF4C2">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2、承压水地下水水位动态变化特征</w:t>
      </w:r>
    </w:p>
    <w:p w14:paraId="64051F0E">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lang w:eastAsia="zh-CN"/>
        </w:rPr>
        <w:t>区域承压水主要含水层为明水组砂岩裂隙孔隙承压含水层，承压水受多年地下水开采，承压水地下水位总的趋势呈下降趋势。根据近年区域地下水动态监测井水位监测分析，地下水水位变化主要受开采量的影响，水位埋深由开采初期为</w:t>
      </w:r>
      <w:r>
        <w:rPr>
          <w:rFonts w:hint="default" w:ascii="Times New Roman" w:hAnsi="Times New Roman" w:cs="Times New Roman"/>
          <w:color w:val="auto"/>
          <w:w w:val="99"/>
          <w:highlight w:val="none"/>
          <w:lang w:val="en-US" w:eastAsia="zh-CN"/>
        </w:rPr>
        <w:t>5.8</w:t>
      </w:r>
      <w:r>
        <w:rPr>
          <w:rFonts w:hint="default" w:ascii="Times New Roman" w:hAnsi="Times New Roman" w:cs="Times New Roman"/>
          <w:color w:val="auto"/>
          <w:w w:val="99"/>
          <w:highlight w:val="none"/>
          <w:lang w:eastAsia="zh-CN"/>
        </w:rPr>
        <w:t>m，到2016年水位下降到</w:t>
      </w:r>
      <w:r>
        <w:rPr>
          <w:rFonts w:hint="default" w:ascii="Times New Roman" w:hAnsi="Times New Roman" w:cs="Times New Roman"/>
          <w:color w:val="auto"/>
          <w:w w:val="99"/>
          <w:highlight w:val="none"/>
          <w:lang w:val="en-US" w:eastAsia="zh-CN"/>
        </w:rPr>
        <w:t>6.5</w:t>
      </w:r>
      <w:r>
        <w:rPr>
          <w:rFonts w:hint="default" w:ascii="Times New Roman" w:hAnsi="Times New Roman" w:cs="Times New Roman"/>
          <w:color w:val="auto"/>
          <w:w w:val="99"/>
          <w:highlight w:val="none"/>
          <w:lang w:eastAsia="zh-CN"/>
        </w:rPr>
        <w:t>m。目前基本处于稳定状态</w:t>
      </w:r>
      <w:r>
        <w:rPr>
          <w:rFonts w:hint="default" w:ascii="Times New Roman" w:hAnsi="Times New Roman" w:cs="Times New Roman"/>
          <w:color w:val="auto"/>
          <w:w w:val="99"/>
          <w:highlight w:val="none"/>
        </w:rPr>
        <w:t>。</w:t>
      </w:r>
    </w:p>
    <w:p w14:paraId="2187A6FE">
      <w:pPr>
        <w:keepNext w:val="0"/>
        <w:keepLines w:val="0"/>
        <w:pageBreakBefore w:val="0"/>
        <w:widowControl/>
        <w:kinsoku/>
        <w:wordWrap/>
        <w:overflowPunct/>
        <w:topLinePunct w:val="0"/>
        <w:autoSpaceDE/>
        <w:autoSpaceDN/>
        <w:bidi w:val="0"/>
        <w:adjustRightInd/>
        <w:snapToGrid/>
        <w:spacing w:line="440" w:lineRule="exact"/>
        <w:jc w:val="both"/>
        <w:textAlignment w:val="auto"/>
        <w:outlineLvl w:val="3"/>
        <w:rPr>
          <w:rFonts w:ascii="宋体" w:hAnsi="宋体" w:eastAsia="宋体" w:cs="宋体"/>
          <w:color w:val="auto"/>
          <w:sz w:val="24"/>
          <w:szCs w:val="24"/>
          <w:highlight w:val="none"/>
        </w:rPr>
      </w:pPr>
      <w:r>
        <w:rPr>
          <w:rFonts w:hint="eastAsia" w:ascii="Times New Roman" w:hAnsi="Times New Roman" w:cs="Times New Roman"/>
          <w:b/>
          <w:color w:val="auto"/>
          <w:w w:val="99"/>
          <w:highlight w:val="none"/>
          <w:lang w:val="en-US" w:eastAsia="zh-CN"/>
        </w:rPr>
        <w:fldChar w:fldCharType="begin"/>
      </w:r>
      <w:r>
        <w:rPr>
          <w:rFonts w:hint="eastAsia" w:ascii="Times New Roman" w:hAnsi="Times New Roman" w:cs="Times New Roman"/>
          <w:b/>
          <w:color w:val="auto"/>
          <w:w w:val="99"/>
          <w:highlight w:val="none"/>
          <w:lang w:val="en-US" w:eastAsia="zh-CN"/>
        </w:rPr>
        <w:instrText xml:space="preserve"> HYPERLINK "4.1.4.3" </w:instrText>
      </w:r>
      <w:r>
        <w:rPr>
          <w:rFonts w:hint="eastAsia" w:ascii="Times New Roman" w:hAnsi="Times New Roman" w:cs="Times New Roman"/>
          <w:b/>
          <w:color w:val="auto"/>
          <w:w w:val="99"/>
          <w:highlight w:val="none"/>
          <w:lang w:val="en-US" w:eastAsia="zh-CN"/>
        </w:rPr>
        <w:fldChar w:fldCharType="separate"/>
      </w:r>
      <w:r>
        <w:rPr>
          <w:rFonts w:hint="eastAsia" w:ascii="Times New Roman" w:hAnsi="Times New Roman" w:cs="Times New Roman"/>
          <w:b/>
          <w:color w:val="auto"/>
          <w:w w:val="99"/>
          <w:highlight w:val="none"/>
          <w:lang w:val="en-US" w:eastAsia="zh-CN"/>
        </w:rPr>
        <w:t>4.1.6.4</w:t>
      </w:r>
      <w:r>
        <w:rPr>
          <w:rFonts w:hint="eastAsia" w:ascii="Times New Roman" w:hAnsi="Times New Roman" w:cs="Times New Roman"/>
          <w:b/>
          <w:color w:val="auto"/>
          <w:w w:val="99"/>
          <w:highlight w:val="none"/>
          <w:lang w:val="en-US" w:eastAsia="zh-CN"/>
        </w:rPr>
        <w:fldChar w:fldCharType="end"/>
      </w:r>
      <w:r>
        <w:rPr>
          <w:rFonts w:hint="eastAsia" w:ascii="Times New Roman" w:hAnsi="Times New Roman" w:cs="Times New Roman"/>
          <w:b/>
          <w:color w:val="auto"/>
          <w:w w:val="99"/>
          <w:highlight w:val="none"/>
          <w:lang w:val="en-US" w:eastAsia="zh-CN"/>
        </w:rPr>
        <w:t>现状地下水流场</w:t>
      </w:r>
    </w:p>
    <w:p w14:paraId="013F8DE0">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color w:val="auto"/>
          <w:w w:val="99"/>
          <w:highlight w:val="none"/>
        </w:rPr>
      </w:pPr>
      <w:r>
        <w:rPr>
          <w:rFonts w:ascii="Times New Roman" w:hAnsi="Times New Roman" w:cs="Times New Roman"/>
          <w:color w:val="auto"/>
          <w:w w:val="99"/>
          <w:highlight w:val="none"/>
        </w:rPr>
        <w:t>1、白垩系上统明水组孔隙裂隙承压水</w:t>
      </w:r>
    </w:p>
    <w:p w14:paraId="619533EC">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color w:val="auto"/>
          <w:w w:val="99"/>
          <w:highlight w:val="none"/>
        </w:rPr>
      </w:pPr>
      <w:r>
        <w:rPr>
          <w:rFonts w:hint="default" w:ascii="Times New Roman" w:hAnsi="Times New Roman" w:cs="Times New Roman"/>
          <w:color w:val="auto"/>
          <w:w w:val="99"/>
          <w:highlight w:val="none"/>
        </w:rPr>
        <w:t>地下水等水压线图见</w:t>
      </w:r>
      <w:r>
        <w:rPr>
          <w:rFonts w:hint="eastAsia" w:ascii="Times New Roman" w:hAnsi="Times New Roman" w:cs="Times New Roman"/>
          <w:color w:val="auto"/>
          <w:w w:val="99"/>
          <w:highlight w:val="none"/>
          <w:lang w:val="en-US" w:eastAsia="zh-CN"/>
        </w:rPr>
        <w:t>附图17</w:t>
      </w:r>
      <w:r>
        <w:rPr>
          <w:rFonts w:hint="default" w:ascii="Times New Roman" w:hAnsi="Times New Roman" w:cs="Times New Roman"/>
          <w:color w:val="auto"/>
          <w:w w:val="99"/>
          <w:highlight w:val="none"/>
        </w:rPr>
        <w:t>。项目区内地下水流由东北向西南。</w:t>
      </w:r>
    </w:p>
    <w:p w14:paraId="1E176221">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b w:val="0"/>
          <w:bCs w:val="0"/>
          <w:color w:val="auto"/>
          <w:w w:val="99"/>
          <w:highlight w:val="none"/>
        </w:rPr>
      </w:pPr>
      <w:r>
        <w:rPr>
          <w:rFonts w:ascii="Times New Roman" w:hAnsi="Times New Roman" w:cs="Times New Roman"/>
          <w:b w:val="0"/>
          <w:bCs w:val="0"/>
          <w:color w:val="auto"/>
          <w:w w:val="99"/>
          <w:highlight w:val="none"/>
        </w:rPr>
        <w:t>2、第四系上更新统松散层孔隙潜水</w:t>
      </w:r>
    </w:p>
    <w:p w14:paraId="7AE865C8">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b w:val="0"/>
          <w:bCs w:val="0"/>
          <w:color w:val="auto"/>
          <w:w w:val="99"/>
          <w:highlight w:val="none"/>
        </w:rPr>
      </w:pPr>
      <w:r>
        <w:rPr>
          <w:rFonts w:hint="default" w:ascii="Times New Roman" w:hAnsi="Times New Roman" w:cs="Times New Roman"/>
          <w:b w:val="0"/>
          <w:bCs w:val="0"/>
          <w:color w:val="auto"/>
          <w:w w:val="99"/>
          <w:highlight w:val="none"/>
        </w:rPr>
        <w:t>第四系上更新统松散层孔隙潜水水位监测孔为利用农村潜水井，地下水等水位线图见</w:t>
      </w:r>
      <w:r>
        <w:rPr>
          <w:rFonts w:hint="eastAsia" w:ascii="Times New Roman" w:hAnsi="Times New Roman" w:cs="Times New Roman"/>
          <w:b w:val="0"/>
          <w:bCs w:val="0"/>
          <w:color w:val="auto"/>
          <w:w w:val="99"/>
          <w:highlight w:val="none"/>
          <w:lang w:val="en-US" w:eastAsia="zh-CN"/>
        </w:rPr>
        <w:t>附图17</w:t>
      </w:r>
      <w:r>
        <w:rPr>
          <w:rFonts w:hint="default" w:ascii="Times New Roman" w:hAnsi="Times New Roman" w:cs="Times New Roman"/>
          <w:b w:val="0"/>
          <w:bCs w:val="0"/>
          <w:color w:val="auto"/>
          <w:w w:val="99"/>
          <w:highlight w:val="none"/>
        </w:rPr>
        <w:t>。项目区内地下水流由偏北东向西南。</w:t>
      </w:r>
    </w:p>
    <w:p w14:paraId="2B53254A">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cs="Times New Roman"/>
          <w:b w:val="0"/>
          <w:bCs w:val="0"/>
          <w:color w:val="auto"/>
          <w:w w:val="99"/>
          <w:highlight w:val="none"/>
        </w:rPr>
      </w:pPr>
      <w:r>
        <w:rPr>
          <w:rFonts w:hint="default" w:ascii="Times New Roman" w:hAnsi="Times New Roman" w:cs="Times New Roman"/>
          <w:b w:val="0"/>
          <w:bCs w:val="0"/>
          <w:color w:val="auto"/>
          <w:w w:val="99"/>
          <w:highlight w:val="none"/>
        </w:rPr>
        <w:t>第四系上更新统松散层孔隙潜水含水层为粉细砂，地下水水平径流滞缓，以垂直交替作用为主，地下水流场随地形起伏而变化。</w:t>
      </w:r>
    </w:p>
    <w:p w14:paraId="16BE7E39">
      <w:pPr>
        <w:widowControl w:val="0"/>
        <w:spacing w:line="440" w:lineRule="exact"/>
        <w:outlineLvl w:val="3"/>
        <w:rPr>
          <w:rFonts w:ascii="Times New Roman" w:hAnsi="Times New Roman" w:eastAsia="宋体" w:cs="Times New Roman"/>
          <w:b/>
          <w:color w:val="auto"/>
          <w:w w:val="99"/>
          <w:highlight w:val="none"/>
        </w:rPr>
      </w:pPr>
      <w:r>
        <w:rPr>
          <w:rFonts w:hint="eastAsia" w:ascii="Times New Roman" w:hAnsi="Times New Roman" w:eastAsia="宋体" w:cs="Times New Roman"/>
          <w:b/>
          <w:color w:val="auto"/>
          <w:w w:val="99"/>
          <w:highlight w:val="none"/>
          <w:lang w:val="en-US" w:eastAsia="zh-CN"/>
        </w:rPr>
        <w:t>4.1.6</w:t>
      </w:r>
      <w:r>
        <w:rPr>
          <w:rFonts w:ascii="Times New Roman" w:hAnsi="Times New Roman" w:eastAsia="宋体" w:cs="Times New Roman"/>
          <w:b/>
          <w:color w:val="auto"/>
          <w:w w:val="99"/>
          <w:highlight w:val="none"/>
        </w:rPr>
        <w:t>.</w:t>
      </w:r>
      <w:r>
        <w:rPr>
          <w:rFonts w:hint="eastAsia" w:ascii="Times New Roman" w:hAnsi="Times New Roman" w:cs="Times New Roman"/>
          <w:b/>
          <w:color w:val="auto"/>
          <w:w w:val="99"/>
          <w:highlight w:val="none"/>
          <w:lang w:val="en-US" w:eastAsia="zh-CN"/>
        </w:rPr>
        <w:t>5</w:t>
      </w:r>
      <w:r>
        <w:rPr>
          <w:rFonts w:ascii="Times New Roman" w:hAnsi="Times New Roman" w:eastAsia="宋体" w:cs="Times New Roman"/>
          <w:b/>
          <w:color w:val="auto"/>
          <w:w w:val="99"/>
          <w:highlight w:val="none"/>
        </w:rPr>
        <w:t xml:space="preserve"> 包气带现状</w:t>
      </w:r>
      <w:r>
        <w:rPr>
          <w:rFonts w:hint="eastAsia" w:ascii="Times New Roman" w:hAnsi="Times New Roman" w:eastAsia="宋体" w:cs="Times New Roman"/>
          <w:b/>
          <w:color w:val="auto"/>
          <w:w w:val="99"/>
          <w:highlight w:val="none"/>
        </w:rPr>
        <w:t>调查</w:t>
      </w:r>
    </w:p>
    <w:p w14:paraId="7CBB0618">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项目区内包气带均为第四系松散堆积层，堆积厚度大，分布范围广。按地貌成因形态类型主要为冲积低平原沉积地层。</w:t>
      </w:r>
    </w:p>
    <w:p w14:paraId="0AC691AB">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根据项目区潜水地下水埋深特征，包气带厚度2.3m-3.1m。包气带地层成因及岩性。第四系包气带地层特征：</w:t>
      </w:r>
    </w:p>
    <w:p w14:paraId="458F199F">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（1）粉质粘土：黄褐色-褐黄色，可塑，土质不均匀，局部夹有粉土，手捻有砂粒感，含氧化铁斑点，中压缩性，干强度中等，韧性中等，稍有光滑，无摇振反应，地层厚度3.10-4.50m。</w:t>
      </w:r>
    </w:p>
    <w:p w14:paraId="363FAD30">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（2）粉细砂：黄色，稍密，饱和，颗粒均一，级配差，主要矿物成</w:t>
      </w:r>
      <w:r>
        <w:rPr>
          <w:rFonts w:hint="eastAsia" w:ascii="Times New Roman" w:hAnsi="Times New Roman" w:cs="Times New Roman" w:eastAsiaTheme="minorEastAsia"/>
          <w:color w:val="auto"/>
          <w:w w:val="99"/>
          <w:highlight w:val="none"/>
          <w:lang w:val="en-US" w:eastAsia="zh-CN"/>
        </w:rPr>
        <w:t>分</w:t>
      </w:r>
      <w:r>
        <w:rPr>
          <w:rFonts w:ascii="Times New Roman" w:hAnsi="Times New Roman" w:cs="Times New Roman" w:eastAsiaTheme="minorEastAsia"/>
          <w:color w:val="auto"/>
          <w:w w:val="99"/>
          <w:highlight w:val="none"/>
        </w:rPr>
        <w:t>由石英、长石组成，含少量暗色矿物。土层分布不连续，地层厚度2.10-2.30m。</w:t>
      </w:r>
    </w:p>
    <w:p w14:paraId="4007D107">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（3）粘土：黄褐色-灰色，可塑，土质较均匀，粘性较强，含氧化铁斑点，中压缩性，干强度中等，韧性中等，该层未钻穿。</w:t>
      </w:r>
    </w:p>
    <w:p w14:paraId="17651D07">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w:t>
      </w:r>
      <w:r>
        <w:rPr>
          <w:rFonts w:hint="eastAsia" w:ascii="Times New Roman" w:hAnsi="Times New Roman" w:cs="Times New Roman"/>
          <w:color w:val="auto"/>
          <w:w w:val="99"/>
          <w:kern w:val="2"/>
          <w:highlight w:val="none"/>
          <w:lang w:val="en-US" w:eastAsia="zh-CN"/>
        </w:rPr>
        <w:t>4</w:t>
      </w:r>
      <w:r>
        <w:rPr>
          <w:rFonts w:hint="default" w:ascii="Times New Roman" w:hAnsi="Times New Roman" w:eastAsia="宋体" w:cs="Times New Roman"/>
          <w:color w:val="auto"/>
          <w:w w:val="99"/>
          <w:kern w:val="2"/>
          <w:highlight w:val="none"/>
          <w:lang w:val="en-US" w:eastAsia="zh-CN"/>
        </w:rPr>
        <w:t>）建设场地包气带防污性能</w:t>
      </w:r>
    </w:p>
    <w:p w14:paraId="1D174C18">
      <w:pPr>
        <w:widowControl w:val="0"/>
        <w:tabs>
          <w:tab w:val="left" w:pos="5262"/>
        </w:tabs>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根据《环境影响评价技术导则地下水环境》（HJ610-2016）天然包气带防污性能分级参照表，本项目建设场地区包气带防污性能分级见表4.1-2。</w:t>
      </w:r>
    </w:p>
    <w:p w14:paraId="21CEF130">
      <w:pPr>
        <w:pStyle w:val="153"/>
        <w:widowControl w:val="0"/>
        <w:spacing w:line="440" w:lineRule="exact"/>
        <w:ind w:firstLine="476" w:firstLineChars="200"/>
        <w:jc w:val="both"/>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 xml:space="preserve">表 4.1-2    </w:t>
      </w:r>
      <w:r>
        <w:rPr>
          <w:rFonts w:ascii="Times New Roman" w:hAnsi="Times New Roman" w:eastAsiaTheme="minorEastAsia"/>
          <w:b/>
          <w:bCs/>
          <w:color w:val="auto"/>
          <w:w w:val="99"/>
          <w:highlight w:val="none"/>
        </w:rPr>
        <w:t>包气带</w:t>
      </w:r>
      <w:r>
        <w:rPr>
          <w:rFonts w:ascii="Times New Roman" w:hAnsi="Times New Roman" w:eastAsiaTheme="minorEastAsia"/>
          <w:b/>
          <w:color w:val="auto"/>
          <w:w w:val="99"/>
          <w:highlight w:val="none"/>
        </w:rPr>
        <w:t>防污性能分级</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8566"/>
      </w:tblGrid>
      <w:tr w14:paraId="699A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1B07885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分级</w:t>
            </w:r>
          </w:p>
        </w:tc>
        <w:tc>
          <w:tcPr>
            <w:tcW w:w="4612" w:type="pct"/>
            <w:vAlign w:val="center"/>
          </w:tcPr>
          <w:p w14:paraId="0B056904">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包气带岩土的渗透性能</w:t>
            </w:r>
          </w:p>
        </w:tc>
      </w:tr>
      <w:tr w14:paraId="4164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6450F1CC">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强</w:t>
            </w:r>
          </w:p>
        </w:tc>
        <w:tc>
          <w:tcPr>
            <w:tcW w:w="4612" w:type="pct"/>
            <w:vAlign w:val="center"/>
          </w:tcPr>
          <w:p w14:paraId="10590012">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岩（土）层单层厚度Mb≥1.0m，渗透系数K≤10</w:t>
            </w:r>
            <w:r>
              <w:rPr>
                <w:rFonts w:ascii="Times New Roman" w:hAnsi="Times New Roman" w:cs="Times New Roman" w:eastAsiaTheme="minorEastAsia"/>
                <w:color w:val="auto"/>
                <w:w w:val="99"/>
                <w:kern w:val="2"/>
                <w:sz w:val="21"/>
                <w:szCs w:val="21"/>
                <w:highlight w:val="none"/>
                <w:vertAlign w:val="superscript"/>
              </w:rPr>
              <w:t>-6</w:t>
            </w:r>
            <w:r>
              <w:rPr>
                <w:rFonts w:ascii="Times New Roman" w:hAnsi="Times New Roman" w:cs="Times New Roman" w:eastAsiaTheme="minorEastAsia"/>
                <w:color w:val="auto"/>
                <w:w w:val="99"/>
                <w:kern w:val="2"/>
                <w:sz w:val="21"/>
                <w:szCs w:val="21"/>
                <w:highlight w:val="none"/>
              </w:rPr>
              <w:t>cm/s，且分布连续、稳定。</w:t>
            </w:r>
          </w:p>
        </w:tc>
      </w:tr>
      <w:tr w14:paraId="1AB1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43E9B648">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中</w:t>
            </w:r>
          </w:p>
        </w:tc>
        <w:tc>
          <w:tcPr>
            <w:tcW w:w="4612" w:type="pct"/>
            <w:vAlign w:val="center"/>
          </w:tcPr>
          <w:p w14:paraId="7802B39B">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岩（土）层单层厚度0.5m≤Mb＜1.0m，渗透系数K≤10</w:t>
            </w:r>
            <w:r>
              <w:rPr>
                <w:rFonts w:ascii="Times New Roman" w:hAnsi="Times New Roman" w:cs="Times New Roman" w:eastAsiaTheme="minorEastAsia"/>
                <w:color w:val="auto"/>
                <w:w w:val="99"/>
                <w:kern w:val="2"/>
                <w:sz w:val="21"/>
                <w:szCs w:val="21"/>
                <w:highlight w:val="none"/>
                <w:vertAlign w:val="superscript"/>
              </w:rPr>
              <w:t>-6</w:t>
            </w:r>
            <w:r>
              <w:rPr>
                <w:rFonts w:ascii="Times New Roman" w:hAnsi="Times New Roman" w:cs="Times New Roman" w:eastAsiaTheme="minorEastAsia"/>
                <w:color w:val="auto"/>
                <w:w w:val="99"/>
                <w:kern w:val="2"/>
                <w:sz w:val="21"/>
                <w:szCs w:val="21"/>
                <w:highlight w:val="none"/>
              </w:rPr>
              <w:t>cm/s，且分布连续、稳定。岩（土）层单层厚度Mb≥1.0m，渗透系数</w:t>
            </w:r>
            <w:bookmarkStart w:id="633" w:name="OLE_LINK23"/>
            <w:r>
              <w:rPr>
                <w:rFonts w:ascii="Times New Roman" w:hAnsi="Times New Roman" w:cs="Times New Roman" w:eastAsiaTheme="minorEastAsia"/>
                <w:color w:val="auto"/>
                <w:w w:val="99"/>
                <w:kern w:val="2"/>
                <w:sz w:val="21"/>
                <w:szCs w:val="21"/>
                <w:highlight w:val="none"/>
              </w:rPr>
              <w:t>1×10</w:t>
            </w:r>
            <w:r>
              <w:rPr>
                <w:rFonts w:ascii="Times New Roman" w:hAnsi="Times New Roman" w:cs="Times New Roman" w:eastAsiaTheme="minorEastAsia"/>
                <w:color w:val="auto"/>
                <w:w w:val="99"/>
                <w:kern w:val="2"/>
                <w:sz w:val="21"/>
                <w:szCs w:val="21"/>
                <w:highlight w:val="none"/>
                <w:vertAlign w:val="superscript"/>
              </w:rPr>
              <w:t>-6</w:t>
            </w:r>
            <w:r>
              <w:rPr>
                <w:rFonts w:ascii="Times New Roman" w:hAnsi="Times New Roman" w:cs="Times New Roman" w:eastAsiaTheme="minorEastAsia"/>
                <w:color w:val="auto"/>
                <w:w w:val="99"/>
                <w:kern w:val="2"/>
                <w:sz w:val="21"/>
                <w:szCs w:val="21"/>
                <w:highlight w:val="none"/>
              </w:rPr>
              <w:t>cm/s＜K≤1×10</w:t>
            </w:r>
            <w:r>
              <w:rPr>
                <w:rFonts w:ascii="Times New Roman" w:hAnsi="Times New Roman" w:cs="Times New Roman" w:eastAsiaTheme="minorEastAsia"/>
                <w:color w:val="auto"/>
                <w:w w:val="99"/>
                <w:kern w:val="2"/>
                <w:sz w:val="21"/>
                <w:szCs w:val="21"/>
                <w:highlight w:val="none"/>
                <w:vertAlign w:val="superscript"/>
              </w:rPr>
              <w:t>-4</w:t>
            </w:r>
            <w:r>
              <w:rPr>
                <w:rFonts w:ascii="Times New Roman" w:hAnsi="Times New Roman" w:cs="Times New Roman" w:eastAsiaTheme="minorEastAsia"/>
                <w:color w:val="auto"/>
                <w:w w:val="99"/>
                <w:kern w:val="2"/>
                <w:sz w:val="21"/>
                <w:szCs w:val="21"/>
                <w:highlight w:val="none"/>
              </w:rPr>
              <w:t>cm/s，且分布连续、稳定</w:t>
            </w:r>
            <w:bookmarkEnd w:id="633"/>
            <w:r>
              <w:rPr>
                <w:rFonts w:ascii="Times New Roman" w:hAnsi="Times New Roman" w:cs="Times New Roman" w:eastAsiaTheme="minorEastAsia"/>
                <w:color w:val="auto"/>
                <w:w w:val="99"/>
                <w:kern w:val="2"/>
                <w:sz w:val="21"/>
                <w:szCs w:val="21"/>
                <w:highlight w:val="none"/>
              </w:rPr>
              <w:t>。</w:t>
            </w:r>
          </w:p>
        </w:tc>
      </w:tr>
      <w:tr w14:paraId="41ED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1CA9B63C">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弱</w:t>
            </w:r>
          </w:p>
        </w:tc>
        <w:tc>
          <w:tcPr>
            <w:tcW w:w="4612" w:type="pct"/>
            <w:vAlign w:val="center"/>
          </w:tcPr>
          <w:p w14:paraId="35C0D664">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岩（土）层不满足上述“强”和“中”条件。</w:t>
            </w:r>
          </w:p>
        </w:tc>
      </w:tr>
    </w:tbl>
    <w:p w14:paraId="6F9D50C7">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本区域包气带厚度</w:t>
      </w:r>
      <w:r>
        <w:rPr>
          <w:rFonts w:hint="eastAsia" w:ascii="Times New Roman" w:hAnsi="Times New Roman" w:cs="Times New Roman" w:eastAsiaTheme="minorEastAsia"/>
          <w:color w:val="auto"/>
          <w:w w:val="99"/>
          <w:highlight w:val="none"/>
          <w:lang w:val="en-US" w:eastAsia="zh-CN"/>
        </w:rPr>
        <w:t>2.3</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lang w:val="en-US" w:eastAsia="zh-CN"/>
        </w:rPr>
        <w:t>3.1</w:t>
      </w:r>
      <w:r>
        <w:rPr>
          <w:rFonts w:ascii="Times New Roman" w:hAnsi="Times New Roman" w:cs="Times New Roman" w:eastAsiaTheme="minorEastAsia"/>
          <w:color w:val="auto"/>
          <w:w w:val="99"/>
          <w:highlight w:val="none"/>
        </w:rPr>
        <w:t>m（大于1.0m），根据地质资料，项目包气带岩性主要为粘土、细砂，参照水文地质参数表，黏土、细砂渗透系数5.79×10</w:t>
      </w:r>
      <w:r>
        <w:rPr>
          <w:rFonts w:ascii="Times New Roman" w:hAnsi="Times New Roman" w:cs="Times New Roman" w:eastAsiaTheme="minorEastAsia"/>
          <w:color w:val="auto"/>
          <w:w w:val="99"/>
          <w:highlight w:val="none"/>
          <w:vertAlign w:val="superscript"/>
        </w:rPr>
        <w:t>-5</w:t>
      </w:r>
      <w:r>
        <w:rPr>
          <w:rFonts w:ascii="Times New Roman" w:hAnsi="Times New Roman" w:cs="Times New Roman" w:eastAsiaTheme="minorEastAsia"/>
          <w:color w:val="auto"/>
          <w:w w:val="99"/>
          <w:highlight w:val="none"/>
        </w:rPr>
        <w:t>-2.89×10</w:t>
      </w:r>
      <w:r>
        <w:rPr>
          <w:rFonts w:ascii="Times New Roman" w:hAnsi="Times New Roman" w:cs="Times New Roman" w:eastAsiaTheme="minorEastAsia"/>
          <w:color w:val="auto"/>
          <w:w w:val="99"/>
          <w:highlight w:val="none"/>
          <w:vertAlign w:val="superscript"/>
        </w:rPr>
        <w:t>-4</w:t>
      </w:r>
      <w:r>
        <w:rPr>
          <w:rFonts w:ascii="Times New Roman" w:hAnsi="Times New Roman" w:cs="Times New Roman" w:eastAsiaTheme="minorEastAsia"/>
          <w:color w:val="auto"/>
          <w:w w:val="99"/>
          <w:highlight w:val="none"/>
        </w:rPr>
        <w:t>cm/s（&gt;1×10</w:t>
      </w:r>
      <w:r>
        <w:rPr>
          <w:rFonts w:ascii="Times New Roman" w:hAnsi="Times New Roman" w:cs="Times New Roman" w:eastAsiaTheme="minorEastAsia"/>
          <w:color w:val="auto"/>
          <w:w w:val="99"/>
          <w:highlight w:val="none"/>
          <w:vertAlign w:val="superscript"/>
        </w:rPr>
        <w:t>-6</w:t>
      </w:r>
      <w:r>
        <w:rPr>
          <w:rFonts w:ascii="Times New Roman" w:hAnsi="Times New Roman" w:cs="Times New Roman" w:eastAsiaTheme="minorEastAsia"/>
          <w:color w:val="auto"/>
          <w:w w:val="99"/>
          <w:highlight w:val="none"/>
        </w:rPr>
        <w:t>cm/s，&lt;1×10</w:t>
      </w:r>
      <w:r>
        <w:rPr>
          <w:rFonts w:ascii="Times New Roman" w:hAnsi="Times New Roman" w:cs="Times New Roman" w:eastAsiaTheme="minorEastAsia"/>
          <w:color w:val="auto"/>
          <w:w w:val="99"/>
          <w:highlight w:val="none"/>
          <w:vertAlign w:val="superscript"/>
        </w:rPr>
        <w:t>-4</w:t>
      </w:r>
      <w:r>
        <w:rPr>
          <w:rFonts w:ascii="Times New Roman" w:hAnsi="Times New Roman" w:cs="Times New Roman" w:eastAsiaTheme="minorEastAsia"/>
          <w:color w:val="auto"/>
          <w:w w:val="99"/>
          <w:highlight w:val="none"/>
        </w:rPr>
        <w:t>cm/s），由此可知，项目区域包气带防污性能为中。</w:t>
      </w:r>
    </w:p>
    <w:p w14:paraId="36A6B4C2">
      <w:pPr>
        <w:keepNext/>
        <w:keepLines/>
        <w:widowControl w:val="0"/>
        <w:spacing w:before="60" w:after="60" w:line="440" w:lineRule="exact"/>
        <w:jc w:val="both"/>
        <w:outlineLvl w:val="2"/>
        <w:rPr>
          <w:rFonts w:ascii="Times New Roman" w:hAnsi="Times New Roman" w:eastAsia="黑体" w:cs="Times New Roman"/>
          <w:b/>
          <w:bCs/>
          <w:color w:val="auto"/>
          <w:w w:val="99"/>
          <w:kern w:val="2"/>
          <w:highlight w:val="none"/>
        </w:rPr>
      </w:pPr>
      <w:r>
        <w:rPr>
          <w:rFonts w:ascii="Times New Roman" w:hAnsi="Times New Roman" w:eastAsia="黑体" w:cs="Times New Roman"/>
          <w:b/>
          <w:bCs/>
          <w:color w:val="auto"/>
          <w:w w:val="99"/>
          <w:kern w:val="2"/>
          <w:highlight w:val="none"/>
        </w:rPr>
        <w:t>4.1.</w:t>
      </w:r>
      <w:r>
        <w:rPr>
          <w:rFonts w:hint="eastAsia" w:ascii="Times New Roman" w:hAnsi="Times New Roman" w:eastAsia="黑体" w:cs="Times New Roman"/>
          <w:b/>
          <w:bCs/>
          <w:color w:val="auto"/>
          <w:w w:val="99"/>
          <w:kern w:val="2"/>
          <w:highlight w:val="none"/>
          <w:lang w:val="en-US" w:eastAsia="zh-CN"/>
        </w:rPr>
        <w:t>7</w:t>
      </w:r>
      <w:r>
        <w:rPr>
          <w:rFonts w:ascii="Times New Roman" w:hAnsi="Times New Roman" w:eastAsia="黑体" w:cs="Times New Roman"/>
          <w:b/>
          <w:bCs/>
          <w:color w:val="auto"/>
          <w:w w:val="99"/>
          <w:kern w:val="2"/>
          <w:highlight w:val="none"/>
        </w:rPr>
        <w:t>土壤与植被情况</w:t>
      </w:r>
    </w:p>
    <w:p w14:paraId="5F462F27">
      <w:pPr>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评价区地处松嫩平原，根据现场踏勘及国家土壤信息服务平台（http://www.soilinfo.cn/map/）资料显示，本项目评价范围内土壤种类主要有</w:t>
      </w:r>
      <w:r>
        <w:rPr>
          <w:rFonts w:hint="eastAsia" w:ascii="Times New Roman" w:hAnsi="Times New Roman" w:cs="Times New Roman"/>
          <w:color w:val="auto"/>
          <w:w w:val="99"/>
          <w:highlight w:val="none"/>
          <w:lang w:val="en-US" w:eastAsia="zh-CN"/>
        </w:rPr>
        <w:t>黑钙</w:t>
      </w:r>
      <w:r>
        <w:rPr>
          <w:rFonts w:ascii="Times New Roman" w:hAnsi="Times New Roman" w:cs="Times New Roman"/>
          <w:color w:val="auto"/>
          <w:w w:val="99"/>
          <w:highlight w:val="none"/>
        </w:rPr>
        <w:t>土。区域土壤类型分布图见附图</w:t>
      </w:r>
      <w:r>
        <w:rPr>
          <w:rFonts w:hint="eastAsia" w:ascii="Times New Roman" w:hAnsi="Times New Roman" w:cs="Times New Roman"/>
          <w:color w:val="auto"/>
          <w:w w:val="99"/>
          <w:highlight w:val="none"/>
          <w:lang w:val="en-US" w:eastAsia="zh-CN"/>
        </w:rPr>
        <w:t>8</w:t>
      </w:r>
      <w:r>
        <w:rPr>
          <w:rFonts w:ascii="Times New Roman" w:hAnsi="Times New Roman" w:cs="Times New Roman"/>
          <w:color w:val="auto"/>
          <w:w w:val="99"/>
          <w:highlight w:val="none"/>
        </w:rPr>
        <w:t>。</w:t>
      </w:r>
    </w:p>
    <w:p w14:paraId="06D28B80">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草甸土是形成农田和草原的主要土壤类型。草甸土主要是在草甸植被下变化而成。因为分布地形较低，地下水较高和气候因素，多数附加有盐化过程，部分附加有潜育化过程。草甸子肥力较高，一般黑土层20~40cm，有机质含量在3~4%，全氮在0.1~0.2%，全磷在0.09~0.12%。土浆粘重，冷浆，耕性不好，通透性差，该类土壤适宜发展水稻、向日葵、甜菜等作物。</w:t>
      </w:r>
    </w:p>
    <w:p w14:paraId="4F8DB3D8">
      <w:pPr>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本评价区域内植被类型以农田植被为主。</w:t>
      </w:r>
    </w:p>
    <w:p w14:paraId="65D9C3FF">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评价区属于松嫩平原区，农耕历史悠久，栽培植被是最重要的植被类型，为人工种植的各种农作物。区域中农作物主要以玉米为主。玉米是一年生禾本科植物，是喜温作物，全生育期要求较高的温度，产量约为650kg/亩。经济作物主要有甜菜、芝麻、向日葵等。蔬菜类主要有茄子、豆角和白菜等。</w:t>
      </w:r>
    </w:p>
    <w:p w14:paraId="600AC82F">
      <w:pPr>
        <w:keepNext/>
        <w:keepLines/>
        <w:widowControl w:val="0"/>
        <w:spacing w:before="60" w:after="60" w:line="440" w:lineRule="exact"/>
        <w:jc w:val="both"/>
        <w:outlineLvl w:val="2"/>
        <w:rPr>
          <w:rFonts w:ascii="Times New Roman" w:hAnsi="Times New Roman" w:eastAsia="黑体" w:cs="Times New Roman"/>
          <w:b/>
          <w:bCs/>
          <w:color w:val="auto"/>
          <w:w w:val="99"/>
          <w:kern w:val="2"/>
          <w:highlight w:val="none"/>
        </w:rPr>
      </w:pPr>
      <w:r>
        <w:rPr>
          <w:rFonts w:ascii="Times New Roman" w:hAnsi="Times New Roman" w:eastAsia="黑体" w:cs="Times New Roman"/>
          <w:b/>
          <w:bCs/>
          <w:color w:val="auto"/>
          <w:w w:val="99"/>
          <w:kern w:val="2"/>
          <w:highlight w:val="none"/>
        </w:rPr>
        <w:t>4.1.8</w:t>
      </w:r>
      <w:r>
        <w:rPr>
          <w:rFonts w:hint="eastAsia" w:ascii="Times New Roman" w:hAnsi="Times New Roman" w:eastAsia="黑体" w:cs="Times New Roman"/>
          <w:b/>
          <w:bCs/>
          <w:color w:val="auto"/>
          <w:w w:val="99"/>
          <w:kern w:val="2"/>
          <w:highlight w:val="none"/>
          <w:lang w:val="en-US" w:eastAsia="zh-CN"/>
        </w:rPr>
        <w:t>动物分布</w:t>
      </w:r>
      <w:r>
        <w:rPr>
          <w:rFonts w:ascii="Times New Roman" w:hAnsi="Times New Roman" w:eastAsia="黑体" w:cs="Times New Roman"/>
          <w:b/>
          <w:bCs/>
          <w:color w:val="auto"/>
          <w:w w:val="99"/>
          <w:kern w:val="2"/>
          <w:highlight w:val="none"/>
        </w:rPr>
        <w:t>情况</w:t>
      </w:r>
    </w:p>
    <w:p w14:paraId="485F1843">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（1）陆生哺乳动物</w:t>
      </w:r>
    </w:p>
    <w:p w14:paraId="60D288F0">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评价区为典型农区，其动物的组成与分布具有明显的村栖型特点。主要分布有小家鼠（MusmusculusL.）、大仓鼠（Cricetulustriton）、普通田鼠（Microtusarvalis）等啮齿目动物。由于人类活动的干扰，较大型哺乳类动物基本绝迹，但小型哺乳类特别是鼠类仍为常见种。</w:t>
      </w:r>
    </w:p>
    <w:p w14:paraId="36130950">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（2）鸟类</w:t>
      </w:r>
    </w:p>
    <w:p w14:paraId="1DD82C3D">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区人类生产活动频繁，因此鸟类的种类和分布亦较少。经调查，本区无国家和地方受保护的珍稀濒危野生动物，常见鸟类主要为喜鹊（P.picasericeaGould）、小嘴乌鸦（C.coroneorientalisEvers）、麻雀（P.montanusmontanus）、家燕（H.rusticagutturalisScopoli）等村栖型鸟类。</w:t>
      </w:r>
    </w:p>
    <w:p w14:paraId="7BC01815">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项目工程占地区无国家重点保护野生动物、无《中国生物多样性红色名录》中珍稀濒危野生动物，无国家列入拯救保护的极小种群、特有种等动物资源的主要的天然集中分布区和繁殖区。</w:t>
      </w:r>
    </w:p>
    <w:bookmarkEnd w:id="632"/>
    <w:p w14:paraId="474E5F9E">
      <w:pPr>
        <w:pStyle w:val="5"/>
        <w:keepNext w:val="0"/>
        <w:keepLines w:val="0"/>
        <w:widowControl w:val="0"/>
        <w:spacing w:before="120" w:after="120" w:line="440" w:lineRule="exact"/>
        <w:jc w:val="both"/>
        <w:rPr>
          <w:rFonts w:ascii="Times New Roman" w:hAnsi="Times New Roman" w:eastAsia="宋体"/>
          <w:b/>
          <w:snapToGrid w:val="0"/>
          <w:color w:val="auto"/>
          <w:w w:val="99"/>
          <w:highlight w:val="none"/>
        </w:rPr>
      </w:pPr>
      <w:bookmarkStart w:id="634" w:name="_Toc23320"/>
      <w:bookmarkStart w:id="635" w:name="_Toc15781"/>
      <w:r>
        <w:rPr>
          <w:rFonts w:ascii="Times New Roman" w:hAnsi="Times New Roman" w:eastAsia="宋体"/>
          <w:b/>
          <w:snapToGrid w:val="0"/>
          <w:color w:val="auto"/>
          <w:w w:val="99"/>
          <w:highlight w:val="none"/>
        </w:rPr>
        <w:t>4.2环境保护目标调查</w:t>
      </w:r>
      <w:bookmarkEnd w:id="634"/>
    </w:p>
    <w:p w14:paraId="0E384002">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区域范围内不涉及国家公园、自然保护区、风景名胜区、世界文化和自然遗产地、海洋特别保护区、饮用水水源保护区，不涉及基本草原、自然公园（森林公园、地质公园、海洋公园等）、重要湿地、天然林、重点保护野生动物栖息地、重点保护野生植物生长繁殖地、重要水生生物的自然产卵场、索饵场、越冬场和洄游通道、天然渔场、水土流失重点预防区、</w:t>
      </w:r>
      <w:r>
        <w:rPr>
          <w:rFonts w:ascii="Times New Roman" w:hAnsi="Times New Roman" w:cs="Times New Roman" w:eastAsiaTheme="minorEastAsia"/>
          <w:bCs/>
          <w:color w:val="auto"/>
          <w:w w:val="99"/>
          <w:kern w:val="2"/>
          <w:highlight w:val="none"/>
        </w:rPr>
        <w:t>水土流失重点治理区</w:t>
      </w:r>
      <w:r>
        <w:rPr>
          <w:rFonts w:hint="eastAsia" w:ascii="Times New Roman" w:hAnsi="Times New Roman" w:cs="Times New Roman" w:eastAsiaTheme="minorEastAsia"/>
          <w:bCs/>
          <w:color w:val="auto"/>
          <w:w w:val="99"/>
          <w:kern w:val="2"/>
          <w:highlight w:val="none"/>
          <w:lang w:eastAsia="zh-CN"/>
        </w:rPr>
        <w:t>、</w:t>
      </w:r>
      <w:r>
        <w:rPr>
          <w:rFonts w:ascii="Times New Roman" w:hAnsi="Times New Roman" w:cs="Times New Roman" w:eastAsiaTheme="minorEastAsia"/>
          <w:color w:val="auto"/>
          <w:w w:val="99"/>
          <w:kern w:val="2"/>
          <w:highlight w:val="none"/>
        </w:rPr>
        <w:t>沙化土地封禁保护区、封闭及半封闭海域，不涉及以医疗卫生、文化教育、科研、行政办公为主要功能的区域，以及文物保护单位等环境敏感区，也不在生态保护红线范围内。项目占地类型为</w:t>
      </w:r>
      <w:r>
        <w:rPr>
          <w:rFonts w:hint="eastAsia" w:ascii="Times New Roman" w:hAnsi="Times New Roman" w:cs="Times New Roman" w:eastAsiaTheme="minorEastAsia"/>
          <w:color w:val="auto"/>
          <w:w w:val="99"/>
          <w:kern w:val="2"/>
          <w:highlight w:val="none"/>
          <w:lang w:val="en-US" w:eastAsia="zh-CN"/>
        </w:rPr>
        <w:t>永久基本农田</w:t>
      </w:r>
      <w:r>
        <w:rPr>
          <w:rFonts w:ascii="Times New Roman" w:hAnsi="Times New Roman" w:cs="Times New Roman" w:eastAsiaTheme="minorEastAsia"/>
          <w:color w:val="auto"/>
          <w:w w:val="99"/>
          <w:kern w:val="2"/>
          <w:highlight w:val="none"/>
        </w:rPr>
        <w:t>，开发区域不涉及地下水水源井</w:t>
      </w:r>
      <w:r>
        <w:rPr>
          <w:rFonts w:ascii="Times New Roman" w:hAnsi="Times New Roman" w:cs="Times New Roman" w:eastAsiaTheme="minorEastAsia"/>
          <w:bCs/>
          <w:color w:val="auto"/>
          <w:w w:val="99"/>
          <w:kern w:val="2"/>
          <w:highlight w:val="none"/>
        </w:rPr>
        <w:t>。</w:t>
      </w:r>
      <w:r>
        <w:rPr>
          <w:rFonts w:ascii="Times New Roman" w:hAnsi="Times New Roman" w:cs="Times New Roman" w:eastAsiaTheme="minorEastAsia"/>
          <w:color w:val="auto"/>
          <w:w w:val="99"/>
          <w:kern w:val="2"/>
          <w:highlight w:val="none"/>
        </w:rPr>
        <w:t>项目</w:t>
      </w:r>
      <w:r>
        <w:rPr>
          <w:rFonts w:hint="eastAsia" w:ascii="Times New Roman" w:hAnsi="Times New Roman" w:cs="Times New Roman" w:eastAsiaTheme="minorEastAsia"/>
          <w:color w:val="auto"/>
          <w:w w:val="99"/>
          <w:kern w:val="2"/>
          <w:highlight w:val="none"/>
          <w:lang w:val="en-US" w:eastAsia="zh-CN"/>
        </w:rPr>
        <w:t>主要</w:t>
      </w:r>
      <w:r>
        <w:rPr>
          <w:rFonts w:ascii="Times New Roman" w:hAnsi="Times New Roman" w:cs="Times New Roman" w:eastAsiaTheme="minorEastAsia"/>
          <w:color w:val="auto"/>
          <w:w w:val="99"/>
          <w:kern w:val="2"/>
          <w:highlight w:val="none"/>
        </w:rPr>
        <w:t>涉及以居住为主要功能的区域</w:t>
      </w:r>
      <w:r>
        <w:rPr>
          <w:rFonts w:hint="eastAsia" w:ascii="Times New Roman" w:hAnsi="Times New Roman" w:cs="Times New Roman" w:eastAsiaTheme="minorEastAsia"/>
          <w:color w:val="auto"/>
          <w:w w:val="99"/>
          <w:kern w:val="2"/>
          <w:highlight w:val="none"/>
          <w:lang w:val="en-US" w:eastAsia="zh-CN"/>
        </w:rPr>
        <w:t>及永久基本农田</w:t>
      </w:r>
      <w:r>
        <w:rPr>
          <w:rFonts w:ascii="Times New Roman" w:hAnsi="Times New Roman" w:cs="Times New Roman" w:eastAsiaTheme="minorEastAsia"/>
          <w:color w:val="auto"/>
          <w:w w:val="99"/>
          <w:kern w:val="2"/>
          <w:highlight w:val="none"/>
        </w:rPr>
        <w:t>。</w:t>
      </w:r>
    </w:p>
    <w:p w14:paraId="55E39CD5">
      <w:pPr>
        <w:widowControl w:val="0"/>
        <w:spacing w:line="440" w:lineRule="exact"/>
        <w:ind w:firstLine="474" w:firstLineChars="200"/>
        <w:jc w:val="both"/>
        <w:rPr>
          <w:rFonts w:hint="default" w:ascii="Times New Roman" w:hAnsi="Times New Roman" w:cs="Times New Roman" w:eastAsiaTheme="minorEastAsia"/>
          <w:bCs/>
          <w:color w:val="auto"/>
          <w:w w:val="99"/>
          <w:kern w:val="2"/>
          <w:highlight w:val="none"/>
          <w:lang w:val="en-US" w:eastAsia="zh-CN"/>
        </w:rPr>
      </w:pPr>
      <w:r>
        <w:rPr>
          <w:rFonts w:ascii="Times New Roman" w:hAnsi="Times New Roman" w:cs="Times New Roman" w:eastAsiaTheme="minorEastAsia"/>
          <w:bCs/>
          <w:color w:val="auto"/>
          <w:w w:val="99"/>
          <w:kern w:val="2"/>
          <w:highlight w:val="none"/>
        </w:rPr>
        <w:t>（1）</w:t>
      </w:r>
      <w:r>
        <w:rPr>
          <w:rFonts w:hint="eastAsia" w:ascii="Times New Roman" w:hAnsi="Times New Roman" w:cs="Times New Roman" w:eastAsiaTheme="minorEastAsia"/>
          <w:bCs/>
          <w:color w:val="auto"/>
          <w:w w:val="99"/>
          <w:kern w:val="2"/>
          <w:highlight w:val="none"/>
          <w:lang w:val="en-US" w:eastAsia="zh-CN"/>
        </w:rPr>
        <w:t>永久基本农田</w:t>
      </w:r>
    </w:p>
    <w:p w14:paraId="68DB7170">
      <w:pPr>
        <w:widowControl w:val="0"/>
        <w:spacing w:line="440" w:lineRule="exact"/>
        <w:ind w:firstLine="474" w:firstLineChars="200"/>
        <w:jc w:val="both"/>
        <w:rPr>
          <w:rFonts w:hint="eastAsia" w:ascii="Times New Roman" w:hAnsi="Times New Roman" w:eastAsia="宋体" w:cs="Times New Roman"/>
          <w:color w:val="auto"/>
          <w:w w:val="99"/>
          <w:sz w:val="24"/>
          <w:szCs w:val="24"/>
          <w:highlight w:val="none"/>
          <w:lang w:val="en-US" w:eastAsia="zh-CN" w:bidi="ar-SA"/>
        </w:rPr>
      </w:pPr>
      <w:r>
        <w:rPr>
          <w:rFonts w:ascii="Times New Roman" w:hAnsi="Times New Roman" w:cs="Times New Roman" w:eastAsiaTheme="minorEastAsia"/>
          <w:bCs/>
          <w:color w:val="auto"/>
          <w:w w:val="99"/>
          <w:kern w:val="2"/>
          <w:highlight w:val="none"/>
        </w:rPr>
        <w:t>本项目建设地点位于</w:t>
      </w:r>
      <w:r>
        <w:rPr>
          <w:rFonts w:hint="eastAsia" w:ascii="Times New Roman" w:hAnsi="Times New Roman" w:eastAsiaTheme="minorEastAsia"/>
          <w:color w:val="auto"/>
          <w:w w:val="99"/>
          <w:highlight w:val="none"/>
          <w:lang w:val="en-US" w:eastAsia="zh-CN"/>
        </w:rPr>
        <w:t>绥化</w:t>
      </w:r>
      <w:r>
        <w:rPr>
          <w:rFonts w:ascii="Times New Roman" w:hAnsi="Times New Roman" w:eastAsiaTheme="minorEastAsia"/>
          <w:color w:val="auto"/>
          <w:w w:val="99"/>
          <w:highlight w:val="none"/>
          <w:lang w:val="en"/>
        </w:rPr>
        <w:t>市</w:t>
      </w:r>
      <w:r>
        <w:rPr>
          <w:rFonts w:hint="eastAsia" w:ascii="Times New Roman" w:hAnsi="Times New Roman" w:eastAsiaTheme="minorEastAsia"/>
          <w:color w:val="auto"/>
          <w:w w:val="99"/>
          <w:highlight w:val="none"/>
          <w:lang w:val="en-US" w:eastAsia="zh-CN"/>
        </w:rPr>
        <w:t>肇东市</w:t>
      </w:r>
      <w:r>
        <w:rPr>
          <w:rFonts w:hint="eastAsia" w:ascii="Times New Roman" w:hAnsi="Times New Roman" w:cs="Times New Roman" w:eastAsiaTheme="minorEastAsia"/>
          <w:bCs/>
          <w:snapToGrid w:val="0"/>
          <w:color w:val="auto"/>
          <w:w w:val="99"/>
          <w:highlight w:val="none"/>
          <w:lang w:eastAsia="zh-CN"/>
        </w:rPr>
        <w:t>境内</w:t>
      </w:r>
      <w:r>
        <w:rPr>
          <w:rFonts w:ascii="Times New Roman" w:hAnsi="Times New Roman" w:cs="Times New Roman" w:eastAsiaTheme="minorEastAsia"/>
          <w:bCs/>
          <w:color w:val="auto"/>
          <w:w w:val="99"/>
          <w:kern w:val="2"/>
          <w:highlight w:val="none"/>
        </w:rPr>
        <w:t>，</w:t>
      </w:r>
      <w:r>
        <w:rPr>
          <w:rFonts w:hint="eastAsia" w:ascii="Times New Roman" w:hAnsi="Times New Roman" w:cs="Times New Roman" w:eastAsiaTheme="minorEastAsia"/>
          <w:bCs/>
          <w:color w:val="auto"/>
          <w:w w:val="99"/>
          <w:kern w:val="2"/>
          <w:highlight w:val="none"/>
          <w:lang w:val="en-US" w:eastAsia="zh-CN"/>
        </w:rPr>
        <w:t>占地类型为永久基本农田。油田采取了一系列生态保护和恢复措施，没有改变项目区的生态系统结构与功能，项目区的生态组分及生物多样性未受影响，生态格局变化不大；临时占地进行了恢复，临时占用的耕地进行了复垦，对永久占用的耕地执行了占一补一的措施。</w:t>
      </w:r>
    </w:p>
    <w:p w14:paraId="7940B919">
      <w:pPr>
        <w:widowControl w:val="0"/>
        <w:spacing w:line="440" w:lineRule="exact"/>
        <w:ind w:firstLine="474" w:firstLineChars="200"/>
        <w:jc w:val="both"/>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（2）居住区</w:t>
      </w:r>
    </w:p>
    <w:p w14:paraId="1B685904">
      <w:pPr>
        <w:widowControl w:val="0"/>
        <w:spacing w:line="440" w:lineRule="exact"/>
        <w:ind w:firstLine="474" w:firstLineChars="200"/>
        <w:jc w:val="both"/>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本项目周边2.5km范围内主要分布有</w:t>
      </w:r>
      <w:r>
        <w:rPr>
          <w:rFonts w:hint="eastAsia" w:ascii="Times New Roman" w:hAnsi="Times New Roman" w:cs="Times New Roman" w:eastAsiaTheme="minorEastAsia"/>
          <w:bCs/>
          <w:color w:val="auto"/>
          <w:w w:val="99"/>
          <w:kern w:val="2"/>
          <w:highlight w:val="none"/>
          <w:lang w:val="en-US" w:eastAsia="zh-CN"/>
        </w:rPr>
        <w:t>福龙村、邢家围子屯、杨家</w:t>
      </w:r>
      <w:r>
        <w:rPr>
          <w:rFonts w:ascii="Times New Roman" w:hAnsi="Times New Roman" w:cs="Times New Roman" w:eastAsiaTheme="minorEastAsia"/>
          <w:bCs/>
          <w:color w:val="auto"/>
          <w:w w:val="99"/>
          <w:kern w:val="2"/>
          <w:highlight w:val="none"/>
        </w:rPr>
        <w:t>屯</w:t>
      </w:r>
      <w:r>
        <w:rPr>
          <w:rFonts w:hint="eastAsia" w:ascii="Times New Roman" w:hAnsi="Times New Roman" w:cs="Times New Roman" w:eastAsiaTheme="minorEastAsia"/>
          <w:bCs/>
          <w:color w:val="auto"/>
          <w:w w:val="99"/>
          <w:kern w:val="2"/>
          <w:highlight w:val="none"/>
          <w:lang w:val="en-US" w:eastAsia="zh-CN"/>
        </w:rPr>
        <w:t>等村屯</w:t>
      </w:r>
      <w:r>
        <w:rPr>
          <w:rFonts w:ascii="Times New Roman" w:hAnsi="Times New Roman" w:cs="Times New Roman" w:eastAsiaTheme="minorEastAsia"/>
          <w:bCs/>
          <w:color w:val="auto"/>
          <w:w w:val="99"/>
          <w:kern w:val="2"/>
          <w:highlight w:val="none"/>
        </w:rPr>
        <w:t>，区域内环境空气质量执行《环境空气质量标准》（GB3095-20</w:t>
      </w:r>
      <w:r>
        <w:rPr>
          <w:rFonts w:hint="eastAsia" w:ascii="Times New Roman" w:hAnsi="Times New Roman" w:cs="Times New Roman" w:eastAsiaTheme="minorEastAsia"/>
          <w:bCs/>
          <w:color w:val="auto"/>
          <w:w w:val="99"/>
          <w:kern w:val="2"/>
          <w:highlight w:val="none"/>
          <w:lang w:val="en-US" w:eastAsia="zh-CN"/>
        </w:rPr>
        <w:t>26</w:t>
      </w:r>
      <w:r>
        <w:rPr>
          <w:rFonts w:ascii="Times New Roman" w:hAnsi="Times New Roman" w:cs="Times New Roman" w:eastAsiaTheme="minorEastAsia"/>
          <w:bCs/>
          <w:color w:val="auto"/>
          <w:w w:val="99"/>
          <w:kern w:val="2"/>
          <w:highlight w:val="none"/>
        </w:rPr>
        <w:t>）二级标准，项目所在区域声环境执行《声环境质量标准》（GB3096-2008）中2类区标准，项目区域周边居住区声环境执行《声环境质量标准》（GB3096-2008）中1类区标准。</w:t>
      </w:r>
    </w:p>
    <w:p w14:paraId="534D2966">
      <w:pPr>
        <w:widowControl w:val="0"/>
        <w:spacing w:line="440" w:lineRule="exact"/>
        <w:ind w:firstLine="474" w:firstLineChars="200"/>
        <w:jc w:val="both"/>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（3）占地类型</w:t>
      </w:r>
    </w:p>
    <w:p w14:paraId="6482088A">
      <w:pPr>
        <w:widowControl w:val="0"/>
        <w:spacing w:line="440" w:lineRule="exact"/>
        <w:ind w:firstLine="474" w:firstLineChars="200"/>
        <w:jc w:val="both"/>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根据工程占地统计情况，</w:t>
      </w:r>
      <w:r>
        <w:rPr>
          <w:rFonts w:ascii="Times New Roman" w:hAnsi="Times New Roman" w:cs="Times New Roman" w:eastAsiaTheme="minorEastAsia"/>
          <w:bCs/>
          <w:color w:val="auto"/>
          <w:w w:val="99"/>
          <w:kern w:val="2"/>
          <w:sz w:val="24"/>
          <w:szCs w:val="24"/>
          <w:highlight w:val="none"/>
        </w:rPr>
        <w:t>本项目总占地</w:t>
      </w:r>
      <w:r>
        <w:rPr>
          <w:rFonts w:hint="eastAsia" w:ascii="Times New Roman" w:hAnsi="Times New Roman" w:cs="Times New Roman" w:eastAsiaTheme="minorEastAsia"/>
          <w:color w:val="auto"/>
          <w:w w:val="99"/>
          <w:sz w:val="24"/>
          <w:szCs w:val="24"/>
          <w:highlight w:val="none"/>
          <w:lang w:val="en-US" w:eastAsia="zh-CN" w:bidi="ar"/>
        </w:rPr>
        <w:t>1.108</w:t>
      </w:r>
      <w:r>
        <w:rPr>
          <w:rFonts w:ascii="Times New Roman" w:hAnsi="Times New Roman" w:cs="Times New Roman" w:eastAsiaTheme="minorEastAsia"/>
          <w:bCs/>
          <w:color w:val="auto"/>
          <w:w w:val="99"/>
          <w:kern w:val="2"/>
          <w:sz w:val="24"/>
          <w:szCs w:val="24"/>
          <w:highlight w:val="none"/>
        </w:rPr>
        <w:t>hm</w:t>
      </w:r>
      <w:r>
        <w:rPr>
          <w:rFonts w:ascii="Times New Roman" w:hAnsi="Times New Roman" w:cs="Times New Roman" w:eastAsiaTheme="minorEastAsia"/>
          <w:bCs/>
          <w:color w:val="auto"/>
          <w:w w:val="99"/>
          <w:kern w:val="2"/>
          <w:sz w:val="24"/>
          <w:szCs w:val="24"/>
          <w:highlight w:val="none"/>
          <w:vertAlign w:val="superscript"/>
        </w:rPr>
        <w:t>2</w:t>
      </w:r>
      <w:r>
        <w:rPr>
          <w:rFonts w:ascii="Times New Roman" w:hAnsi="Times New Roman" w:cs="Times New Roman" w:eastAsiaTheme="minorEastAsia"/>
          <w:bCs/>
          <w:color w:val="auto"/>
          <w:w w:val="99"/>
          <w:kern w:val="2"/>
          <w:sz w:val="24"/>
          <w:szCs w:val="24"/>
          <w:highlight w:val="none"/>
        </w:rPr>
        <w:t>，其中永久占地</w:t>
      </w:r>
      <w:r>
        <w:rPr>
          <w:rFonts w:hint="eastAsia" w:ascii="Times New Roman" w:hAnsi="Times New Roman" w:eastAsiaTheme="minorEastAsia"/>
          <w:bCs/>
          <w:snapToGrid w:val="0"/>
          <w:color w:val="auto"/>
          <w:w w:val="99"/>
          <w:sz w:val="24"/>
          <w:szCs w:val="24"/>
          <w:highlight w:val="none"/>
          <w:lang w:val="en-US" w:eastAsia="zh-CN"/>
        </w:rPr>
        <w:t>0.2676</w:t>
      </w:r>
      <w:r>
        <w:rPr>
          <w:rFonts w:ascii="Times New Roman" w:hAnsi="Times New Roman" w:cs="Times New Roman" w:eastAsiaTheme="minorEastAsia"/>
          <w:bCs/>
          <w:color w:val="auto"/>
          <w:w w:val="99"/>
          <w:kern w:val="2"/>
          <w:sz w:val="24"/>
          <w:szCs w:val="24"/>
          <w:highlight w:val="none"/>
        </w:rPr>
        <w:t>hm</w:t>
      </w:r>
      <w:r>
        <w:rPr>
          <w:rFonts w:ascii="Times New Roman" w:hAnsi="Times New Roman" w:cs="Times New Roman" w:eastAsiaTheme="minorEastAsia"/>
          <w:bCs/>
          <w:color w:val="auto"/>
          <w:w w:val="99"/>
          <w:kern w:val="2"/>
          <w:sz w:val="24"/>
          <w:szCs w:val="24"/>
          <w:highlight w:val="none"/>
          <w:vertAlign w:val="superscript"/>
        </w:rPr>
        <w:t>2</w:t>
      </w:r>
      <w:r>
        <w:rPr>
          <w:rFonts w:ascii="Times New Roman" w:hAnsi="Times New Roman" w:cs="Times New Roman" w:eastAsiaTheme="minorEastAsia"/>
          <w:bCs/>
          <w:color w:val="auto"/>
          <w:w w:val="99"/>
          <w:kern w:val="2"/>
          <w:sz w:val="24"/>
          <w:szCs w:val="24"/>
          <w:highlight w:val="none"/>
        </w:rPr>
        <w:t>，临时占地</w:t>
      </w:r>
      <w:r>
        <w:rPr>
          <w:rFonts w:hint="eastAsia" w:ascii="Times New Roman" w:hAnsi="Times New Roman" w:eastAsiaTheme="minorEastAsia"/>
          <w:bCs/>
          <w:snapToGrid w:val="0"/>
          <w:color w:val="auto"/>
          <w:w w:val="99"/>
          <w:sz w:val="24"/>
          <w:szCs w:val="24"/>
          <w:highlight w:val="none"/>
          <w:lang w:val="en-US" w:eastAsia="zh-CN"/>
        </w:rPr>
        <w:t>0.8404</w:t>
      </w:r>
      <w:r>
        <w:rPr>
          <w:rFonts w:ascii="Times New Roman" w:hAnsi="Times New Roman" w:cs="Times New Roman" w:eastAsiaTheme="minorEastAsia"/>
          <w:bCs/>
          <w:color w:val="auto"/>
          <w:w w:val="99"/>
          <w:kern w:val="2"/>
          <w:sz w:val="24"/>
          <w:szCs w:val="24"/>
          <w:highlight w:val="none"/>
        </w:rPr>
        <w:t>hm</w:t>
      </w:r>
      <w:r>
        <w:rPr>
          <w:rFonts w:ascii="Times New Roman" w:hAnsi="Times New Roman" w:cs="Times New Roman" w:eastAsiaTheme="minorEastAsia"/>
          <w:bCs/>
          <w:color w:val="auto"/>
          <w:w w:val="99"/>
          <w:kern w:val="2"/>
          <w:sz w:val="24"/>
          <w:szCs w:val="24"/>
          <w:highlight w:val="none"/>
          <w:vertAlign w:val="superscript"/>
        </w:rPr>
        <w:t>2</w:t>
      </w:r>
      <w:r>
        <w:rPr>
          <w:rFonts w:ascii="Times New Roman" w:hAnsi="Times New Roman" w:cs="Times New Roman" w:eastAsiaTheme="minorEastAsia"/>
          <w:bCs/>
          <w:color w:val="auto"/>
          <w:w w:val="99"/>
          <w:kern w:val="2"/>
          <w:sz w:val="24"/>
          <w:szCs w:val="24"/>
          <w:highlight w:val="none"/>
        </w:rPr>
        <w:t>，根据《</w:t>
      </w:r>
      <w:r>
        <w:rPr>
          <w:rFonts w:hint="eastAsia" w:ascii="Times New Roman" w:hAnsi="Times New Roman" w:cs="Times New Roman" w:eastAsiaTheme="minorEastAsia"/>
          <w:bCs/>
          <w:color w:val="auto"/>
          <w:w w:val="99"/>
          <w:kern w:val="2"/>
          <w:sz w:val="24"/>
          <w:szCs w:val="24"/>
          <w:highlight w:val="none"/>
          <w:lang w:val="en-US" w:eastAsia="zh-CN"/>
        </w:rPr>
        <w:t>绥化</w:t>
      </w:r>
      <w:r>
        <w:rPr>
          <w:rFonts w:ascii="Times New Roman" w:hAnsi="Times New Roman" w:cs="Times New Roman" w:eastAsiaTheme="minorEastAsia"/>
          <w:bCs/>
          <w:color w:val="auto"/>
          <w:w w:val="99"/>
          <w:kern w:val="2"/>
          <w:sz w:val="24"/>
          <w:szCs w:val="24"/>
          <w:highlight w:val="none"/>
        </w:rPr>
        <w:t>市土地利用总体规划》（2006-2020）及现场勘查，项目占地类型为</w:t>
      </w:r>
      <w:r>
        <w:rPr>
          <w:rFonts w:hint="eastAsia" w:ascii="Times New Roman" w:hAnsi="Times New Roman" w:cs="Times New Roman" w:eastAsiaTheme="minorEastAsia"/>
          <w:bCs/>
          <w:color w:val="auto"/>
          <w:w w:val="99"/>
          <w:kern w:val="2"/>
          <w:sz w:val="24"/>
          <w:szCs w:val="24"/>
          <w:highlight w:val="none"/>
          <w:lang w:val="en-US" w:eastAsia="zh-CN"/>
        </w:rPr>
        <w:t>永久基本农</w:t>
      </w:r>
      <w:r>
        <w:rPr>
          <w:rFonts w:hint="eastAsia" w:ascii="Times New Roman" w:hAnsi="Times New Roman" w:cs="Times New Roman" w:eastAsiaTheme="minorEastAsia"/>
          <w:bCs/>
          <w:color w:val="auto"/>
          <w:w w:val="99"/>
          <w:kern w:val="2"/>
          <w:highlight w:val="none"/>
          <w:lang w:val="en-US" w:eastAsia="zh-CN"/>
        </w:rPr>
        <w:t>田</w:t>
      </w:r>
      <w:r>
        <w:rPr>
          <w:rFonts w:ascii="Times New Roman" w:hAnsi="Times New Roman" w:cs="Times New Roman" w:eastAsiaTheme="minorEastAsia"/>
          <w:bCs/>
          <w:color w:val="auto"/>
          <w:w w:val="99"/>
          <w:kern w:val="2"/>
          <w:highlight w:val="none"/>
        </w:rPr>
        <w:t>。</w:t>
      </w:r>
    </w:p>
    <w:p w14:paraId="63F8C125">
      <w:pPr>
        <w:widowControl w:val="0"/>
        <w:spacing w:line="440" w:lineRule="exact"/>
        <w:ind w:firstLine="474" w:firstLineChars="200"/>
        <w:jc w:val="both"/>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（4）地表水体</w:t>
      </w:r>
    </w:p>
    <w:p w14:paraId="6C86AB38">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cs="Times New Roman" w:eastAsiaTheme="minorEastAsia"/>
          <w:bCs/>
          <w:color w:val="auto"/>
          <w:w w:val="99"/>
          <w:kern w:val="2"/>
          <w:highlight w:val="none"/>
        </w:rPr>
        <w:t>本项目</w:t>
      </w:r>
      <w:r>
        <w:rPr>
          <w:rFonts w:hint="eastAsia" w:ascii="Times New Roman" w:hAnsi="Times New Roman" w:cs="Times New Roman"/>
          <w:color w:val="auto"/>
          <w:w w:val="99"/>
          <w:szCs w:val="20"/>
          <w:highlight w:val="none"/>
          <w:lang w:val="en-US" w:eastAsia="zh-CN"/>
        </w:rPr>
        <w:t>距离最近的北大干渠位于徐深27集气站西北侧300m，</w:t>
      </w:r>
      <w:r>
        <w:rPr>
          <w:rFonts w:hint="eastAsia" w:ascii="Times New Roman" w:hAnsi="Times New Roman" w:cs="Times New Roman"/>
          <w:snapToGrid w:val="0"/>
          <w:color w:val="auto"/>
          <w:w w:val="99"/>
          <w:highlight w:val="none"/>
          <w:lang w:val="en-US" w:eastAsia="zh-CN"/>
        </w:rPr>
        <w:t>根据现场调查，目前北大</w:t>
      </w:r>
      <w:r>
        <w:rPr>
          <w:rFonts w:hint="eastAsia" w:ascii="Times New Roman" w:hAnsi="Times New Roman" w:eastAsia="宋体" w:cs="Times New Roman"/>
          <w:snapToGrid w:val="0"/>
          <w:color w:val="auto"/>
          <w:w w:val="99"/>
          <w:highlight w:val="none"/>
          <w:lang w:val="en-US"/>
        </w:rPr>
        <w:t>干渠</w:t>
      </w:r>
      <w:r>
        <w:rPr>
          <w:rFonts w:hint="eastAsia" w:ascii="Times New Roman" w:hAnsi="Times New Roman" w:eastAsia="宋体" w:cs="Times New Roman"/>
          <w:snapToGrid w:val="0"/>
          <w:color w:val="auto"/>
          <w:w w:val="99"/>
          <w:highlight w:val="none"/>
          <w:lang w:val="en-US" w:eastAsia="zh-CN"/>
        </w:rPr>
        <w:t>为干涸状态，未对其进行监测</w:t>
      </w:r>
      <w:r>
        <w:rPr>
          <w:rFonts w:ascii="Times New Roman" w:hAnsi="Times New Roman" w:eastAsia="宋体" w:cs="Times New Roman"/>
          <w:snapToGrid w:val="0"/>
          <w:color w:val="auto"/>
          <w:w w:val="99"/>
          <w:highlight w:val="none"/>
        </w:rPr>
        <w:t>。</w:t>
      </w:r>
    </w:p>
    <w:p w14:paraId="672695C2">
      <w:pPr>
        <w:widowControl w:val="0"/>
        <w:spacing w:line="440" w:lineRule="exact"/>
        <w:ind w:firstLine="474" w:firstLineChars="200"/>
        <w:jc w:val="both"/>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（5）地下饮用水源保护区</w:t>
      </w:r>
    </w:p>
    <w:p w14:paraId="192128F1">
      <w:pPr>
        <w:widowControl w:val="0"/>
        <w:spacing w:line="440" w:lineRule="exact"/>
        <w:ind w:firstLine="474" w:firstLineChars="200"/>
        <w:jc w:val="both"/>
        <w:rPr>
          <w:rFonts w:hint="default" w:ascii="Times New Roman" w:hAnsi="Times New Roman" w:cs="Times New Roman" w:eastAsiaTheme="minorEastAsia"/>
          <w:bCs/>
          <w:color w:val="auto"/>
          <w:w w:val="99"/>
          <w:kern w:val="2"/>
          <w:highlight w:val="none"/>
          <w:lang w:val="en-US" w:eastAsia="zh-CN"/>
        </w:rPr>
      </w:pPr>
      <w:r>
        <w:rPr>
          <w:rFonts w:ascii="Times New Roman" w:hAnsi="Times New Roman" w:cs="Times New Roman" w:eastAsiaTheme="minorEastAsia"/>
          <w:bCs/>
          <w:color w:val="auto"/>
          <w:w w:val="99"/>
          <w:kern w:val="2"/>
          <w:highlight w:val="none"/>
        </w:rPr>
        <w:t>根据《全省地市级饮用水水源保护区基础信息名录（2022年）》、《全省县区级饮用水水源保护区基础信息名录（2022年）》《黑龙江省人民政府关于调整撤销新建哈尔滨等11个地市384个集中式饮用水水源保护区》（黑政函〔2019〕118号）和《黑龙江省人民政府关于调整撤销新建哈尔滨市等市（地）197个集中式饮用水水源保护区》（黑政函〔2020〕97号））以及现场实际勘察，评价区域内无集中式饮用水水源，根据《全省在用饮用水水源保护区基础信息名录》（2020年），调查区域内分布有邢家围子地下饮用水井、</w:t>
      </w:r>
      <w:r>
        <w:rPr>
          <w:rFonts w:hint="eastAsia" w:ascii="Times New Roman" w:hAnsi="Times New Roman" w:cs="Times New Roman" w:eastAsiaTheme="minorEastAsia"/>
          <w:bCs/>
          <w:color w:val="auto"/>
          <w:w w:val="99"/>
          <w:kern w:val="2"/>
          <w:highlight w:val="none"/>
          <w:lang w:val="en-US" w:eastAsia="zh-CN"/>
        </w:rPr>
        <w:t>福龙村</w:t>
      </w:r>
      <w:r>
        <w:rPr>
          <w:rFonts w:ascii="Times New Roman" w:hAnsi="Times New Roman" w:cs="Times New Roman" w:eastAsiaTheme="minorEastAsia"/>
          <w:bCs/>
          <w:color w:val="auto"/>
          <w:w w:val="99"/>
          <w:kern w:val="2"/>
          <w:highlight w:val="none"/>
        </w:rPr>
        <w:t>地下饮用水井</w:t>
      </w:r>
      <w:r>
        <w:rPr>
          <w:rFonts w:hint="eastAsia" w:ascii="Times New Roman" w:hAnsi="Times New Roman" w:cs="Times New Roman" w:eastAsiaTheme="minorEastAsia"/>
          <w:bCs/>
          <w:color w:val="auto"/>
          <w:w w:val="99"/>
          <w:kern w:val="2"/>
          <w:highlight w:val="none"/>
          <w:lang w:eastAsia="zh-CN"/>
        </w:rPr>
        <w:t>、</w:t>
      </w:r>
      <w:r>
        <w:rPr>
          <w:rFonts w:hint="eastAsia" w:ascii="Times New Roman" w:hAnsi="Times New Roman" w:cs="Times New Roman" w:eastAsiaTheme="minorEastAsia"/>
          <w:bCs/>
          <w:color w:val="auto"/>
          <w:w w:val="99"/>
          <w:kern w:val="2"/>
          <w:highlight w:val="none"/>
          <w:lang w:val="en-US" w:eastAsia="zh-CN"/>
        </w:rPr>
        <w:t>后柜屯</w:t>
      </w:r>
      <w:r>
        <w:rPr>
          <w:rFonts w:ascii="Times New Roman" w:hAnsi="Times New Roman" w:cs="Times New Roman" w:eastAsiaTheme="minorEastAsia"/>
          <w:bCs/>
          <w:color w:val="auto"/>
          <w:w w:val="99"/>
          <w:kern w:val="2"/>
          <w:highlight w:val="none"/>
        </w:rPr>
        <w:t>饮用</w:t>
      </w:r>
      <w:r>
        <w:rPr>
          <w:rFonts w:hint="eastAsia" w:ascii="Times New Roman" w:hAnsi="Times New Roman" w:cs="Times New Roman" w:eastAsiaTheme="minorEastAsia"/>
          <w:bCs/>
          <w:color w:val="auto"/>
          <w:w w:val="99"/>
          <w:kern w:val="2"/>
          <w:highlight w:val="none"/>
          <w:lang w:val="en-US" w:eastAsia="zh-CN"/>
        </w:rPr>
        <w:t>井水</w:t>
      </w:r>
      <w:r>
        <w:rPr>
          <w:rFonts w:ascii="Times New Roman" w:hAnsi="Times New Roman" w:cs="Times New Roman" w:eastAsiaTheme="minorEastAsia"/>
          <w:bCs/>
          <w:color w:val="auto"/>
          <w:w w:val="99"/>
          <w:kern w:val="2"/>
          <w:highlight w:val="none"/>
        </w:rPr>
        <w:t>等，</w:t>
      </w:r>
      <w:r>
        <w:rPr>
          <w:rFonts w:hint="eastAsia" w:ascii="Times New Roman" w:hAnsi="Times New Roman" w:cs="Times New Roman"/>
          <w:color w:val="auto"/>
          <w:w w:val="99"/>
          <w:highlight w:val="none"/>
        </w:rPr>
        <w:t>开采层位均为承压含水层，地下水开采规模均小于5万m</w:t>
      </w:r>
      <w:r>
        <w:rPr>
          <w:rFonts w:hint="eastAsia" w:ascii="Times New Roman" w:hAnsi="Times New Roman" w:cs="Times New Roman"/>
          <w:color w:val="auto"/>
          <w:w w:val="99"/>
          <w:highlight w:val="none"/>
          <w:vertAlign w:val="superscript"/>
        </w:rPr>
        <w:t>3</w:t>
      </w:r>
      <w:r>
        <w:rPr>
          <w:rFonts w:hint="eastAsia" w:ascii="Times New Roman" w:hAnsi="Times New Roman" w:cs="Times New Roman"/>
          <w:color w:val="auto"/>
          <w:w w:val="99"/>
          <w:highlight w:val="none"/>
        </w:rPr>
        <w:t>/d，且分散式饮用水源井</w:t>
      </w:r>
      <w:r>
        <w:rPr>
          <w:rFonts w:hint="eastAsia" w:ascii="Times New Roman" w:hAnsi="Times New Roman" w:cs="Times New Roman"/>
          <w:color w:val="auto"/>
          <w:w w:val="99"/>
          <w:highlight w:val="none"/>
          <w:lang w:eastAsia="zh-CN"/>
        </w:rPr>
        <w:t>，</w:t>
      </w:r>
      <w:r>
        <w:rPr>
          <w:rFonts w:hint="eastAsia" w:ascii="Times New Roman" w:hAnsi="Times New Roman" w:cs="Times New Roman"/>
          <w:color w:val="auto"/>
          <w:w w:val="99"/>
          <w:highlight w:val="none"/>
        </w:rPr>
        <w:t>均未划定</w:t>
      </w:r>
      <w:r>
        <w:rPr>
          <w:rFonts w:hint="eastAsia" w:ascii="Times New Roman" w:hAnsi="Times New Roman" w:cs="Times New Roman"/>
          <w:color w:val="auto"/>
          <w:w w:val="99"/>
          <w:highlight w:val="none"/>
          <w:lang w:val="en-US" w:eastAsia="zh-CN"/>
        </w:rPr>
        <w:t>一级</w:t>
      </w:r>
      <w:r>
        <w:rPr>
          <w:rFonts w:hint="eastAsia" w:ascii="Times New Roman" w:hAnsi="Times New Roman" w:cs="Times New Roman"/>
          <w:color w:val="auto"/>
          <w:w w:val="99"/>
          <w:highlight w:val="none"/>
        </w:rPr>
        <w:t>保护区</w:t>
      </w:r>
      <w:r>
        <w:rPr>
          <w:rFonts w:hint="eastAsia" w:ascii="Times New Roman" w:hAnsi="Times New Roman" w:cs="Times New Roman"/>
          <w:color w:val="auto"/>
          <w:w w:val="99"/>
          <w:highlight w:val="none"/>
          <w:lang w:eastAsia="zh-CN"/>
        </w:rPr>
        <w:t>，</w:t>
      </w:r>
      <w:r>
        <w:rPr>
          <w:rFonts w:hint="eastAsia" w:ascii="Times New Roman" w:hAnsi="Times New Roman" w:cs="Times New Roman"/>
          <w:color w:val="auto"/>
          <w:w w:val="99"/>
          <w:highlight w:val="none"/>
          <w:lang w:val="en-US" w:eastAsia="zh-CN"/>
        </w:rPr>
        <w:t>未划定二级保护区，保护范围为以井口为圆心30m</w:t>
      </w:r>
      <w:r>
        <w:rPr>
          <w:rFonts w:ascii="Times New Roman" w:hAnsi="Times New Roman" w:cs="Times New Roman" w:eastAsiaTheme="minorEastAsia"/>
          <w:bCs/>
          <w:color w:val="auto"/>
          <w:w w:val="99"/>
          <w:kern w:val="2"/>
          <w:highlight w:val="none"/>
        </w:rPr>
        <w:t>。</w:t>
      </w:r>
      <w:r>
        <w:rPr>
          <w:rFonts w:hint="eastAsia" w:ascii="Times New Roman" w:hAnsi="Times New Roman" w:cs="Times New Roman" w:eastAsiaTheme="minorEastAsia"/>
          <w:bCs/>
          <w:color w:val="auto"/>
          <w:w w:val="99"/>
          <w:kern w:val="2"/>
          <w:highlight w:val="none"/>
          <w:lang w:val="en-US" w:eastAsia="zh-CN"/>
        </w:rPr>
        <w:t>具体见表2.7-7。</w:t>
      </w:r>
    </w:p>
    <w:p w14:paraId="254A4ADA">
      <w:pPr>
        <w:pStyle w:val="5"/>
        <w:keepNext w:val="0"/>
        <w:keepLines w:val="0"/>
        <w:widowControl w:val="0"/>
        <w:spacing w:before="120" w:after="120" w:line="440" w:lineRule="exact"/>
        <w:jc w:val="both"/>
        <w:rPr>
          <w:rFonts w:ascii="Times New Roman" w:hAnsi="Times New Roman" w:eastAsia="宋体"/>
          <w:b/>
          <w:snapToGrid w:val="0"/>
          <w:color w:val="auto"/>
          <w:w w:val="99"/>
          <w:highlight w:val="none"/>
        </w:rPr>
      </w:pPr>
      <w:bookmarkStart w:id="636" w:name="_Toc24215"/>
      <w:r>
        <w:rPr>
          <w:rFonts w:ascii="Times New Roman" w:hAnsi="Times New Roman" w:eastAsia="宋体"/>
          <w:b/>
          <w:snapToGrid w:val="0"/>
          <w:color w:val="auto"/>
          <w:w w:val="99"/>
          <w:highlight w:val="none"/>
        </w:rPr>
        <w:t>4.3环境质量现状调查与评价</w:t>
      </w:r>
      <w:bookmarkEnd w:id="635"/>
      <w:bookmarkEnd w:id="636"/>
      <w:bookmarkStart w:id="637" w:name="_Toc430692059"/>
      <w:bookmarkStart w:id="638" w:name="_Toc438540824"/>
      <w:bookmarkStart w:id="639" w:name="_Toc430689874"/>
    </w:p>
    <w:p w14:paraId="7CD5A768">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委托大庆中环评价检测有限公司于</w:t>
      </w:r>
      <w:r>
        <w:rPr>
          <w:rFonts w:ascii="Times New Roman" w:hAnsi="Times New Roman" w:cs="Times New Roman"/>
          <w:bCs/>
          <w:color w:val="auto"/>
          <w:w w:val="99"/>
          <w:kern w:val="2"/>
          <w:highlight w:val="none"/>
        </w:rPr>
        <w:t>202</w:t>
      </w:r>
      <w:r>
        <w:rPr>
          <w:rFonts w:hint="eastAsia" w:ascii="Times New Roman" w:hAnsi="Times New Roman" w:cs="Times New Roman"/>
          <w:bCs/>
          <w:color w:val="auto"/>
          <w:w w:val="99"/>
          <w:kern w:val="2"/>
          <w:highlight w:val="none"/>
          <w:lang w:val="en-US" w:eastAsia="zh-CN"/>
        </w:rPr>
        <w:t>6</w:t>
      </w:r>
      <w:r>
        <w:rPr>
          <w:rFonts w:ascii="Times New Roman" w:hAnsi="Times New Roman" w:cs="Times New Roman"/>
          <w:bCs/>
          <w:color w:val="auto"/>
          <w:w w:val="99"/>
          <w:kern w:val="2"/>
          <w:highlight w:val="none"/>
        </w:rPr>
        <w:t>年</w:t>
      </w:r>
      <w:r>
        <w:rPr>
          <w:rFonts w:hint="eastAsia" w:ascii="Times New Roman" w:hAnsi="Times New Roman" w:cs="Times New Roman"/>
          <w:bCs/>
          <w:color w:val="auto"/>
          <w:w w:val="99"/>
          <w:kern w:val="2"/>
          <w:highlight w:val="none"/>
          <w:lang w:val="en-US" w:eastAsia="zh-CN"/>
        </w:rPr>
        <w:t>06</w:t>
      </w:r>
      <w:r>
        <w:rPr>
          <w:rFonts w:ascii="Times New Roman" w:hAnsi="Times New Roman" w:cs="Times New Roman"/>
          <w:bCs/>
          <w:color w:val="auto"/>
          <w:w w:val="99"/>
          <w:kern w:val="2"/>
          <w:highlight w:val="none"/>
        </w:rPr>
        <w:t>月</w:t>
      </w:r>
      <w:r>
        <w:rPr>
          <w:rFonts w:hint="eastAsia" w:ascii="Times New Roman" w:hAnsi="Times New Roman" w:cs="Times New Roman"/>
          <w:bCs/>
          <w:color w:val="auto"/>
          <w:w w:val="99"/>
          <w:kern w:val="2"/>
          <w:highlight w:val="none"/>
          <w:lang w:val="en-US" w:eastAsia="zh-CN"/>
        </w:rPr>
        <w:t>01</w:t>
      </w:r>
      <w:r>
        <w:rPr>
          <w:rFonts w:ascii="Times New Roman" w:hAnsi="Times New Roman" w:cs="Times New Roman"/>
          <w:bCs/>
          <w:color w:val="auto"/>
          <w:w w:val="99"/>
          <w:kern w:val="2"/>
          <w:highlight w:val="none"/>
        </w:rPr>
        <w:t>日-</w:t>
      </w:r>
      <w:r>
        <w:rPr>
          <w:rFonts w:hint="eastAsia" w:ascii="Times New Roman" w:hAnsi="Times New Roman" w:cs="Times New Roman"/>
          <w:bCs/>
          <w:color w:val="auto"/>
          <w:w w:val="99"/>
          <w:kern w:val="2"/>
          <w:highlight w:val="none"/>
          <w:lang w:val="en-US" w:eastAsia="zh-CN"/>
        </w:rPr>
        <w:t>06月07</w:t>
      </w:r>
      <w:r>
        <w:rPr>
          <w:rFonts w:ascii="Times New Roman" w:hAnsi="Times New Roman" w:cs="Times New Roman"/>
          <w:bCs/>
          <w:color w:val="auto"/>
          <w:w w:val="99"/>
          <w:kern w:val="2"/>
          <w:highlight w:val="none"/>
        </w:rPr>
        <w:t>日</w:t>
      </w:r>
      <w:r>
        <w:rPr>
          <w:rFonts w:ascii="Times New Roman" w:hAnsi="Times New Roman" w:cs="Times New Roman"/>
          <w:color w:val="auto"/>
          <w:w w:val="99"/>
          <w:kern w:val="2"/>
          <w:highlight w:val="none"/>
        </w:rPr>
        <w:t>对评价范围内环境空气、地表水环境、地下水环境、包气带、声环境、土壤环境质量现状进行了监测。</w:t>
      </w:r>
    </w:p>
    <w:p w14:paraId="2B8444A8">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640" w:name="_Toc83209516"/>
      <w:bookmarkStart w:id="641" w:name="_Toc57976706"/>
      <w:bookmarkStart w:id="642" w:name="_Toc29643949"/>
      <w:bookmarkStart w:id="643" w:name="_Toc29644701"/>
      <w:bookmarkStart w:id="644" w:name="_Toc57707954"/>
      <w:bookmarkStart w:id="645" w:name="_Toc29642917"/>
      <w:bookmarkStart w:id="646" w:name="_Toc34124483"/>
      <w:bookmarkStart w:id="647" w:name="_Toc80588294"/>
      <w:bookmarkStart w:id="648" w:name="_Toc61597270"/>
      <w:bookmarkStart w:id="649" w:name="_Toc77067697"/>
      <w:bookmarkStart w:id="650" w:name="_Toc186444321"/>
      <w:bookmarkStart w:id="651" w:name="_Toc78816499"/>
      <w:bookmarkStart w:id="652" w:name="_Toc76976285"/>
      <w:bookmarkStart w:id="653" w:name="_Toc41655198"/>
      <w:bookmarkStart w:id="654" w:name="_Toc31473"/>
      <w:bookmarkStart w:id="655" w:name="_Toc38296421"/>
      <w:bookmarkStart w:id="656" w:name="_Toc38545054"/>
      <w:bookmarkStart w:id="657" w:name="_Toc70050220"/>
      <w:bookmarkStart w:id="658" w:name="_Toc57203284"/>
      <w:bookmarkStart w:id="659" w:name="_Toc67860171"/>
      <w:bookmarkStart w:id="660" w:name="_Toc80971416"/>
      <w:r>
        <w:rPr>
          <w:rFonts w:eastAsia="宋体"/>
          <w:b/>
          <w:color w:val="auto"/>
          <w:w w:val="99"/>
          <w:kern w:val="2"/>
          <w:sz w:val="24"/>
          <w:szCs w:val="24"/>
          <w:highlight w:val="none"/>
        </w:rPr>
        <w:t>4.3.1环境空气质量现状监测与评价</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0C4AAEE3">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4.3.1.1环境空气质量达标判定</w:t>
      </w:r>
    </w:p>
    <w:p w14:paraId="7771AFB4">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本项目区域环境空气质量引用</w:t>
      </w:r>
      <w:r>
        <w:rPr>
          <w:rFonts w:hint="default" w:ascii="Times New Roman" w:hAnsi="Times New Roman" w:cs="Times New Roman" w:eastAsiaTheme="minorEastAsia"/>
          <w:color w:val="auto"/>
          <w:w w:val="99"/>
          <w:kern w:val="2"/>
          <w:sz w:val="24"/>
          <w:szCs w:val="20"/>
          <w:highlight w:val="none"/>
          <w:lang w:val="en-GB" w:eastAsia="zh-CN" w:bidi="ar-SA"/>
        </w:rPr>
        <w:t>《绥化市环境质量年报》（202</w:t>
      </w:r>
      <w:r>
        <w:rPr>
          <w:rFonts w:hint="eastAsia" w:ascii="Times New Roman" w:hAnsi="Times New Roman" w:cs="Times New Roman" w:eastAsiaTheme="minorEastAsia"/>
          <w:color w:val="auto"/>
          <w:w w:val="99"/>
          <w:kern w:val="2"/>
          <w:sz w:val="24"/>
          <w:szCs w:val="20"/>
          <w:highlight w:val="none"/>
          <w:lang w:val="en-GB" w:eastAsia="zh-CN" w:bidi="ar-SA"/>
        </w:rPr>
        <w:t>4</w:t>
      </w:r>
      <w:r>
        <w:rPr>
          <w:rFonts w:hint="default" w:ascii="Times New Roman" w:hAnsi="Times New Roman" w:cs="Times New Roman" w:eastAsiaTheme="minorEastAsia"/>
          <w:color w:val="auto"/>
          <w:w w:val="99"/>
          <w:kern w:val="2"/>
          <w:sz w:val="24"/>
          <w:szCs w:val="20"/>
          <w:highlight w:val="none"/>
          <w:lang w:val="en-GB" w:eastAsia="zh-CN" w:bidi="ar-SA"/>
        </w:rPr>
        <w:t>年度）</w:t>
      </w:r>
      <w:r>
        <w:rPr>
          <w:rFonts w:ascii="Times New Roman" w:hAnsi="Times New Roman" w:cs="Times New Roman" w:eastAsiaTheme="minorEastAsia"/>
          <w:color w:val="auto"/>
          <w:w w:val="99"/>
          <w:kern w:val="2"/>
          <w:szCs w:val="20"/>
          <w:highlight w:val="none"/>
        </w:rPr>
        <w:t>结论：202</w:t>
      </w:r>
      <w:r>
        <w:rPr>
          <w:rFonts w:hint="eastAsia" w:ascii="Times New Roman" w:hAnsi="Times New Roman" w:cs="Times New Roman" w:eastAsiaTheme="minorEastAsia"/>
          <w:color w:val="auto"/>
          <w:w w:val="99"/>
          <w:kern w:val="2"/>
          <w:szCs w:val="20"/>
          <w:highlight w:val="none"/>
          <w:lang w:val="en-US" w:eastAsia="zh-CN"/>
        </w:rPr>
        <w:t>4</w:t>
      </w:r>
      <w:r>
        <w:rPr>
          <w:rFonts w:ascii="Times New Roman" w:hAnsi="Times New Roman" w:cs="Times New Roman" w:eastAsiaTheme="minorEastAsia"/>
          <w:color w:val="auto"/>
          <w:w w:val="99"/>
          <w:kern w:val="2"/>
          <w:szCs w:val="20"/>
          <w:highlight w:val="none"/>
        </w:rPr>
        <w:t>年，</w:t>
      </w:r>
      <w:r>
        <w:rPr>
          <w:rFonts w:hint="eastAsia" w:ascii="Times New Roman" w:hAnsi="Times New Roman" w:cs="Times New Roman" w:eastAsiaTheme="minorEastAsia"/>
          <w:color w:val="auto"/>
          <w:w w:val="99"/>
          <w:kern w:val="2"/>
          <w:szCs w:val="20"/>
          <w:highlight w:val="none"/>
          <w:lang w:val="en-US" w:eastAsia="zh-CN"/>
        </w:rPr>
        <w:t>绥化</w:t>
      </w:r>
      <w:r>
        <w:rPr>
          <w:rFonts w:ascii="Times New Roman" w:hAnsi="Times New Roman" w:cs="Times New Roman" w:eastAsiaTheme="minorEastAsia"/>
          <w:color w:val="auto"/>
          <w:w w:val="99"/>
          <w:kern w:val="2"/>
          <w:szCs w:val="20"/>
          <w:highlight w:val="none"/>
        </w:rPr>
        <w:t>市共进行了36</w:t>
      </w:r>
      <w:r>
        <w:rPr>
          <w:rFonts w:hint="eastAsia" w:ascii="Times New Roman" w:hAnsi="Times New Roman" w:cs="Times New Roman" w:eastAsiaTheme="minorEastAsia"/>
          <w:color w:val="auto"/>
          <w:w w:val="99"/>
          <w:kern w:val="2"/>
          <w:szCs w:val="20"/>
          <w:highlight w:val="none"/>
          <w:lang w:val="en-US" w:eastAsia="zh-CN"/>
        </w:rPr>
        <w:t>6</w:t>
      </w:r>
      <w:r>
        <w:rPr>
          <w:rFonts w:ascii="Times New Roman" w:hAnsi="Times New Roman" w:cs="Times New Roman" w:eastAsiaTheme="minorEastAsia"/>
          <w:color w:val="auto"/>
          <w:w w:val="99"/>
          <w:kern w:val="2"/>
          <w:szCs w:val="20"/>
          <w:highlight w:val="none"/>
        </w:rPr>
        <w:t>天有效环境空气质量自动监测，</w:t>
      </w:r>
      <w:r>
        <w:rPr>
          <w:rFonts w:hint="eastAsia" w:ascii="Times New Roman" w:hAnsi="Times New Roman" w:cs="Times New Roman" w:eastAsiaTheme="minorEastAsia"/>
          <w:color w:val="auto"/>
          <w:w w:val="99"/>
          <w:kern w:val="2"/>
          <w:szCs w:val="20"/>
          <w:highlight w:val="none"/>
        </w:rPr>
        <w:t>达标天数为305天，达标率为83.3%，同比升高0.6个百分点。重度及以上污染天数共17天，同比增加5天，重污染天数比例为4.6%，同比升高1.3个百分点</w:t>
      </w:r>
      <w:r>
        <w:rPr>
          <w:rFonts w:ascii="Times New Roman" w:hAnsi="Times New Roman" w:cs="Times New Roman" w:eastAsiaTheme="minorEastAsia"/>
          <w:color w:val="auto"/>
          <w:w w:val="99"/>
          <w:kern w:val="2"/>
          <w:szCs w:val="20"/>
          <w:highlight w:val="none"/>
        </w:rPr>
        <w:t>。</w:t>
      </w:r>
    </w:p>
    <w:p w14:paraId="59BB2B19">
      <w:pPr>
        <w:widowControl w:val="0"/>
        <w:spacing w:line="440" w:lineRule="exact"/>
        <w:ind w:firstLine="474" w:firstLineChars="200"/>
        <w:jc w:val="both"/>
        <w:rPr>
          <w:rFonts w:hint="default" w:ascii="Times New Roman" w:hAnsi="Times New Roman" w:cs="Times New Roman" w:eastAsiaTheme="minorEastAsia"/>
          <w:color w:val="auto"/>
          <w:w w:val="99"/>
          <w:kern w:val="2"/>
          <w:szCs w:val="20"/>
          <w:highlight w:val="none"/>
          <w:lang w:val="en-US" w:eastAsia="zh-CN"/>
        </w:rPr>
      </w:pPr>
      <w:r>
        <w:rPr>
          <w:rFonts w:hint="default" w:ascii="Times New Roman" w:hAnsi="Times New Roman" w:cs="Times New Roman" w:eastAsiaTheme="minorEastAsia"/>
          <w:color w:val="auto"/>
          <w:w w:val="99"/>
          <w:kern w:val="2"/>
          <w:szCs w:val="20"/>
          <w:highlight w:val="none"/>
          <w:lang w:val="en-US" w:eastAsia="zh-CN"/>
        </w:rPr>
        <w:t>202</w:t>
      </w:r>
      <w:r>
        <w:rPr>
          <w:rFonts w:hint="eastAsia" w:ascii="Times New Roman" w:hAnsi="Times New Roman" w:cs="Times New Roman" w:eastAsiaTheme="minorEastAsia"/>
          <w:color w:val="auto"/>
          <w:w w:val="99"/>
          <w:kern w:val="2"/>
          <w:szCs w:val="20"/>
          <w:highlight w:val="none"/>
          <w:lang w:val="en-US" w:eastAsia="zh-CN"/>
        </w:rPr>
        <w:t>4</w:t>
      </w:r>
      <w:r>
        <w:rPr>
          <w:rFonts w:hint="default" w:ascii="Times New Roman" w:hAnsi="Times New Roman" w:cs="Times New Roman" w:eastAsiaTheme="minorEastAsia"/>
          <w:color w:val="auto"/>
          <w:w w:val="99"/>
          <w:kern w:val="2"/>
          <w:szCs w:val="20"/>
          <w:highlight w:val="none"/>
        </w:rPr>
        <w:t>年，环境空气中细颗粒物（PM</w:t>
      </w:r>
      <w:r>
        <w:rPr>
          <w:rFonts w:hint="default" w:ascii="Times New Roman" w:hAnsi="Times New Roman" w:cs="Times New Roman" w:eastAsiaTheme="minorEastAsia"/>
          <w:color w:val="auto"/>
          <w:w w:val="99"/>
          <w:kern w:val="2"/>
          <w:szCs w:val="20"/>
          <w:highlight w:val="none"/>
          <w:vertAlign w:val="subscript"/>
        </w:rPr>
        <w:t>2.5</w:t>
      </w:r>
      <w:r>
        <w:rPr>
          <w:rFonts w:hint="default" w:ascii="Times New Roman" w:hAnsi="Times New Roman" w:cs="Times New Roman" w:eastAsiaTheme="minorEastAsia"/>
          <w:color w:val="auto"/>
          <w:w w:val="99"/>
          <w:kern w:val="2"/>
          <w:szCs w:val="20"/>
          <w:highlight w:val="none"/>
        </w:rPr>
        <w:t>）年均值为</w:t>
      </w:r>
      <w:r>
        <w:rPr>
          <w:rFonts w:hint="eastAsia" w:ascii="Times New Roman" w:hAnsi="Times New Roman" w:cs="Times New Roman" w:eastAsiaTheme="minorEastAsia"/>
          <w:color w:val="auto"/>
          <w:w w:val="99"/>
          <w:kern w:val="2"/>
          <w:szCs w:val="20"/>
          <w:highlight w:val="none"/>
          <w:lang w:val="en-US" w:eastAsia="zh-CN"/>
        </w:rPr>
        <w:t>43</w:t>
      </w:r>
      <w:r>
        <w:rPr>
          <w:rFonts w:hint="default" w:ascii="Times New Roman" w:hAnsi="Times New Roman" w:cs="Times New Roman" w:eastAsiaTheme="minorEastAsia"/>
          <w:color w:val="auto"/>
          <w:w w:val="99"/>
          <w:kern w:val="2"/>
          <w:szCs w:val="20"/>
          <w:highlight w:val="none"/>
        </w:rPr>
        <w:t>μg/m</w:t>
      </w:r>
      <w:r>
        <w:rPr>
          <w:rFonts w:hint="default" w:ascii="Times New Roman" w:hAnsi="Times New Roman" w:cs="Times New Roman" w:eastAsiaTheme="minorEastAsia"/>
          <w:color w:val="auto"/>
          <w:w w:val="99"/>
          <w:kern w:val="2"/>
          <w:szCs w:val="20"/>
          <w:highlight w:val="none"/>
          <w:vertAlign w:val="superscript"/>
        </w:rPr>
        <w:t>3</w:t>
      </w:r>
      <w:r>
        <w:rPr>
          <w:rFonts w:hint="default" w:ascii="Times New Roman" w:hAnsi="Times New Roman" w:cs="Times New Roman" w:eastAsiaTheme="minorEastAsia"/>
          <w:color w:val="auto"/>
          <w:w w:val="99"/>
          <w:kern w:val="2"/>
          <w:szCs w:val="20"/>
          <w:highlight w:val="none"/>
        </w:rPr>
        <w:t>；可吸入颗粒物（PM10）年均值为</w:t>
      </w:r>
      <w:r>
        <w:rPr>
          <w:rFonts w:hint="eastAsia" w:ascii="Times New Roman" w:hAnsi="Times New Roman" w:cs="Times New Roman" w:eastAsiaTheme="minorEastAsia"/>
          <w:color w:val="auto"/>
          <w:w w:val="99"/>
          <w:kern w:val="2"/>
          <w:szCs w:val="20"/>
          <w:highlight w:val="none"/>
          <w:lang w:val="en-US" w:eastAsia="zh-CN"/>
        </w:rPr>
        <w:t>57</w:t>
      </w:r>
      <w:r>
        <w:rPr>
          <w:rFonts w:hint="default" w:ascii="Times New Roman" w:hAnsi="Times New Roman" w:cs="Times New Roman" w:eastAsiaTheme="minorEastAsia"/>
          <w:color w:val="auto"/>
          <w:w w:val="99"/>
          <w:kern w:val="2"/>
          <w:szCs w:val="20"/>
          <w:highlight w:val="none"/>
        </w:rPr>
        <w:t>μg/m</w:t>
      </w:r>
      <w:r>
        <w:rPr>
          <w:rFonts w:hint="default" w:ascii="Times New Roman" w:hAnsi="Times New Roman" w:cs="Times New Roman" w:eastAsiaTheme="minorEastAsia"/>
          <w:color w:val="auto"/>
          <w:w w:val="99"/>
          <w:kern w:val="2"/>
          <w:szCs w:val="20"/>
          <w:highlight w:val="none"/>
          <w:vertAlign w:val="superscript"/>
        </w:rPr>
        <w:t>3</w:t>
      </w:r>
      <w:r>
        <w:rPr>
          <w:rFonts w:hint="default" w:ascii="Times New Roman" w:hAnsi="Times New Roman" w:cs="Times New Roman" w:eastAsiaTheme="minorEastAsia"/>
          <w:color w:val="auto"/>
          <w:w w:val="99"/>
          <w:kern w:val="2"/>
          <w:szCs w:val="20"/>
          <w:highlight w:val="none"/>
        </w:rPr>
        <w:t>；二氧化硫年均值为</w:t>
      </w:r>
      <w:r>
        <w:rPr>
          <w:rFonts w:hint="eastAsia" w:ascii="Times New Roman" w:hAnsi="Times New Roman" w:cs="Times New Roman" w:eastAsiaTheme="minorEastAsia"/>
          <w:color w:val="auto"/>
          <w:w w:val="99"/>
          <w:kern w:val="2"/>
          <w:szCs w:val="20"/>
          <w:highlight w:val="none"/>
          <w:lang w:val="en-US" w:eastAsia="zh-CN"/>
        </w:rPr>
        <w:t>7</w:t>
      </w:r>
      <w:r>
        <w:rPr>
          <w:rFonts w:hint="default" w:ascii="Times New Roman" w:hAnsi="Times New Roman" w:cs="Times New Roman" w:eastAsiaTheme="minorEastAsia"/>
          <w:color w:val="auto"/>
          <w:w w:val="99"/>
          <w:kern w:val="2"/>
          <w:szCs w:val="20"/>
          <w:highlight w:val="none"/>
        </w:rPr>
        <w:t>μg/m</w:t>
      </w:r>
      <w:r>
        <w:rPr>
          <w:rFonts w:hint="default" w:ascii="Times New Roman" w:hAnsi="Times New Roman" w:cs="Times New Roman" w:eastAsiaTheme="minorEastAsia"/>
          <w:color w:val="auto"/>
          <w:w w:val="99"/>
          <w:kern w:val="2"/>
          <w:szCs w:val="20"/>
          <w:highlight w:val="none"/>
          <w:vertAlign w:val="superscript"/>
        </w:rPr>
        <w:t>3</w:t>
      </w:r>
      <w:r>
        <w:rPr>
          <w:rFonts w:hint="default" w:ascii="Times New Roman" w:hAnsi="Times New Roman" w:cs="Times New Roman" w:eastAsiaTheme="minorEastAsia"/>
          <w:color w:val="auto"/>
          <w:w w:val="99"/>
          <w:kern w:val="2"/>
          <w:szCs w:val="20"/>
          <w:highlight w:val="none"/>
        </w:rPr>
        <w:t>；二氧化氮年均值为1</w:t>
      </w:r>
      <w:r>
        <w:rPr>
          <w:rFonts w:hint="eastAsia" w:ascii="Times New Roman" w:hAnsi="Times New Roman" w:cs="Times New Roman" w:eastAsiaTheme="minorEastAsia"/>
          <w:color w:val="auto"/>
          <w:w w:val="99"/>
          <w:kern w:val="2"/>
          <w:szCs w:val="20"/>
          <w:highlight w:val="none"/>
          <w:lang w:val="en-US" w:eastAsia="zh-CN"/>
        </w:rPr>
        <w:t>9</w:t>
      </w:r>
      <w:r>
        <w:rPr>
          <w:rFonts w:hint="default" w:ascii="Times New Roman" w:hAnsi="Times New Roman" w:cs="Times New Roman" w:eastAsiaTheme="minorEastAsia"/>
          <w:color w:val="auto"/>
          <w:w w:val="99"/>
          <w:kern w:val="2"/>
          <w:szCs w:val="20"/>
          <w:highlight w:val="none"/>
        </w:rPr>
        <w:t>μg/</w:t>
      </w:r>
      <w:r>
        <w:rPr>
          <w:rFonts w:hint="default" w:ascii="Times New Roman" w:hAnsi="Times New Roman" w:cs="Times New Roman" w:eastAsiaTheme="minorEastAsia"/>
          <w:color w:val="auto"/>
          <w:w w:val="99"/>
          <w:kern w:val="2"/>
          <w:szCs w:val="20"/>
          <w:highlight w:val="none"/>
          <w:vertAlign w:val="baseline"/>
        </w:rPr>
        <w:t>m</w:t>
      </w:r>
      <w:r>
        <w:rPr>
          <w:rFonts w:hint="default" w:ascii="Times New Roman" w:hAnsi="Times New Roman" w:cs="Times New Roman" w:eastAsiaTheme="minorEastAsia"/>
          <w:color w:val="auto"/>
          <w:w w:val="99"/>
          <w:kern w:val="2"/>
          <w:szCs w:val="20"/>
          <w:highlight w:val="none"/>
          <w:vertAlign w:val="superscript"/>
        </w:rPr>
        <w:t>3</w:t>
      </w:r>
      <w:r>
        <w:rPr>
          <w:rFonts w:hint="default" w:ascii="Times New Roman" w:hAnsi="Times New Roman" w:cs="Times New Roman" w:eastAsiaTheme="minorEastAsia"/>
          <w:color w:val="auto"/>
          <w:w w:val="99"/>
          <w:kern w:val="2"/>
          <w:szCs w:val="20"/>
          <w:highlight w:val="none"/>
        </w:rPr>
        <w:t>；CO24小时平均第95百分位数为</w:t>
      </w:r>
      <w:r>
        <w:rPr>
          <w:rFonts w:hint="default" w:ascii="Times New Roman" w:hAnsi="Times New Roman" w:cs="Times New Roman" w:eastAsiaTheme="minorEastAsia"/>
          <w:color w:val="auto"/>
          <w:w w:val="99"/>
          <w:kern w:val="2"/>
          <w:szCs w:val="20"/>
          <w:highlight w:val="none"/>
          <w:lang w:val="en-US" w:eastAsia="zh-CN"/>
        </w:rPr>
        <w:t>1.0</w:t>
      </w:r>
      <w:r>
        <w:rPr>
          <w:rFonts w:hint="default" w:ascii="Times New Roman" w:hAnsi="Times New Roman" w:cs="Times New Roman" w:eastAsiaTheme="minorEastAsia"/>
          <w:color w:val="auto"/>
          <w:w w:val="99"/>
          <w:kern w:val="2"/>
          <w:szCs w:val="20"/>
          <w:highlight w:val="none"/>
        </w:rPr>
        <w:t>mg/m</w:t>
      </w:r>
      <w:r>
        <w:rPr>
          <w:rFonts w:hint="default" w:ascii="Times New Roman" w:hAnsi="Times New Roman" w:cs="Times New Roman" w:eastAsiaTheme="minorEastAsia"/>
          <w:color w:val="auto"/>
          <w:w w:val="99"/>
          <w:kern w:val="2"/>
          <w:szCs w:val="20"/>
          <w:highlight w:val="none"/>
          <w:vertAlign w:val="superscript"/>
        </w:rPr>
        <w:t>3</w:t>
      </w:r>
      <w:r>
        <w:rPr>
          <w:rFonts w:hint="default" w:ascii="Times New Roman" w:hAnsi="Times New Roman" w:cs="Times New Roman" w:eastAsiaTheme="minorEastAsia"/>
          <w:color w:val="auto"/>
          <w:w w:val="99"/>
          <w:kern w:val="2"/>
          <w:szCs w:val="20"/>
          <w:highlight w:val="none"/>
        </w:rPr>
        <w:t>；O</w:t>
      </w:r>
      <w:r>
        <w:rPr>
          <w:rFonts w:hint="default" w:ascii="Times New Roman" w:hAnsi="Times New Roman" w:cs="Times New Roman" w:eastAsiaTheme="minorEastAsia"/>
          <w:color w:val="auto"/>
          <w:w w:val="99"/>
          <w:kern w:val="2"/>
          <w:szCs w:val="20"/>
          <w:highlight w:val="none"/>
          <w:vertAlign w:val="subscript"/>
        </w:rPr>
        <w:t>3</w:t>
      </w:r>
      <w:r>
        <w:rPr>
          <w:rFonts w:hint="default" w:ascii="Times New Roman" w:hAnsi="Times New Roman" w:cs="Times New Roman" w:eastAsiaTheme="minorEastAsia"/>
          <w:color w:val="auto"/>
          <w:w w:val="99"/>
          <w:kern w:val="2"/>
          <w:szCs w:val="20"/>
          <w:highlight w:val="none"/>
        </w:rPr>
        <w:t>日最大8小时平均第90百分位数为</w:t>
      </w:r>
      <w:r>
        <w:rPr>
          <w:rFonts w:hint="default" w:ascii="Times New Roman" w:hAnsi="Times New Roman" w:cs="Times New Roman" w:eastAsiaTheme="minorEastAsia"/>
          <w:color w:val="auto"/>
          <w:w w:val="99"/>
          <w:kern w:val="2"/>
          <w:szCs w:val="20"/>
          <w:highlight w:val="none"/>
          <w:lang w:val="en-US" w:eastAsia="zh-CN"/>
        </w:rPr>
        <w:t>12</w:t>
      </w:r>
      <w:r>
        <w:rPr>
          <w:rFonts w:hint="eastAsia" w:ascii="Times New Roman" w:hAnsi="Times New Roman" w:cs="Times New Roman" w:eastAsiaTheme="minorEastAsia"/>
          <w:color w:val="auto"/>
          <w:w w:val="99"/>
          <w:kern w:val="2"/>
          <w:szCs w:val="20"/>
          <w:highlight w:val="none"/>
          <w:lang w:val="en-US" w:eastAsia="zh-CN"/>
        </w:rPr>
        <w:t>0</w:t>
      </w:r>
      <w:r>
        <w:rPr>
          <w:rFonts w:hint="default" w:ascii="Times New Roman" w:hAnsi="Times New Roman" w:cs="Times New Roman" w:eastAsiaTheme="minorEastAsia"/>
          <w:color w:val="auto"/>
          <w:w w:val="99"/>
          <w:kern w:val="2"/>
          <w:szCs w:val="20"/>
          <w:highlight w:val="none"/>
        </w:rPr>
        <w:t>μg/m</w:t>
      </w:r>
      <w:r>
        <w:rPr>
          <w:rFonts w:hint="default"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lang w:val="en-US" w:eastAsia="zh-CN"/>
        </w:rPr>
        <w:t>；PM</w:t>
      </w:r>
      <w:r>
        <w:rPr>
          <w:rFonts w:hint="eastAsia" w:ascii="Times New Roman" w:hAnsi="Times New Roman" w:cs="Times New Roman" w:eastAsiaTheme="minorEastAsia"/>
          <w:color w:val="auto"/>
          <w:w w:val="99"/>
          <w:kern w:val="2"/>
          <w:szCs w:val="20"/>
          <w:highlight w:val="none"/>
          <w:vertAlign w:val="subscript"/>
          <w:lang w:val="en-US" w:eastAsia="zh-CN"/>
        </w:rPr>
        <w:t>2.5</w:t>
      </w:r>
      <w:r>
        <w:rPr>
          <w:rFonts w:hint="eastAsia" w:ascii="Times New Roman" w:hAnsi="Times New Roman" w:cs="Times New Roman" w:eastAsiaTheme="minorEastAsia"/>
          <w:color w:val="auto"/>
          <w:w w:val="99"/>
          <w:kern w:val="2"/>
          <w:szCs w:val="20"/>
          <w:highlight w:val="none"/>
          <w:lang w:val="en-US" w:eastAsia="zh-CN"/>
        </w:rPr>
        <w:t>超过《环境空气质量标准》(GB3095-2026)中过渡阶段二级标准限值。绥化地区为非达标区。</w:t>
      </w:r>
    </w:p>
    <w:p w14:paraId="5E679AC9">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本项目区域空气质量现状评价见表4.3-1。</w:t>
      </w:r>
    </w:p>
    <w:p w14:paraId="47A9FA72">
      <w:pPr>
        <w:widowControl w:val="0"/>
        <w:spacing w:line="440" w:lineRule="exact"/>
        <w:ind w:firstLine="476" w:firstLineChars="200"/>
        <w:rPr>
          <w:rFonts w:ascii="Times New Roman" w:hAnsi="Times New Roman" w:cs="Times New Roman"/>
          <w:b/>
          <w:color w:val="auto"/>
          <w:w w:val="99"/>
          <w:kern w:val="2"/>
          <w:highlight w:val="none"/>
        </w:rPr>
      </w:pPr>
      <w:r>
        <w:rPr>
          <w:rFonts w:ascii="Times New Roman" w:hAnsi="Times New Roman" w:cs="Times New Roman"/>
          <w:b/>
          <w:color w:val="auto"/>
          <w:w w:val="99"/>
          <w:kern w:val="2"/>
          <w:highlight w:val="none"/>
        </w:rPr>
        <w:t xml:space="preserve">表4.3-1   </w:t>
      </w:r>
      <w:r>
        <w:rPr>
          <w:rFonts w:ascii="Times New Roman" w:hAnsi="Times New Roman" w:cs="Times New Roman"/>
          <w:b/>
          <w:bCs/>
          <w:color w:val="auto"/>
          <w:w w:val="99"/>
          <w:highlight w:val="none"/>
        </w:rPr>
        <w:t>区域</w:t>
      </w:r>
      <w:r>
        <w:rPr>
          <w:rFonts w:ascii="Times New Roman" w:hAnsi="Times New Roman" w:cs="Times New Roman"/>
          <w:b/>
          <w:color w:val="auto"/>
          <w:w w:val="99"/>
          <w:kern w:val="2"/>
          <w:highlight w:val="none"/>
        </w:rPr>
        <w:t>空气质量现状评价表</w:t>
      </w:r>
    </w:p>
    <w:tbl>
      <w:tblPr>
        <w:tblStyle w:val="80"/>
        <w:tblW w:w="4996" w:type="pct"/>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190"/>
        <w:gridCol w:w="1051"/>
        <w:gridCol w:w="1051"/>
        <w:gridCol w:w="1051"/>
        <w:gridCol w:w="1053"/>
        <w:gridCol w:w="1054"/>
        <w:gridCol w:w="1054"/>
      </w:tblGrid>
      <w:tr w14:paraId="7A2B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noWrap w:val="0"/>
            <w:vAlign w:val="center"/>
          </w:tcPr>
          <w:p w14:paraId="740AD6A0">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1179" w:type="pct"/>
            <w:noWrap w:val="0"/>
            <w:vAlign w:val="center"/>
          </w:tcPr>
          <w:p w14:paraId="1EE6A9B6">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年评价指标</w:t>
            </w:r>
          </w:p>
        </w:tc>
        <w:tc>
          <w:tcPr>
            <w:tcW w:w="566" w:type="pct"/>
            <w:noWrap w:val="0"/>
            <w:vAlign w:val="center"/>
          </w:tcPr>
          <w:p w14:paraId="51B8FE88">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单位</w:t>
            </w:r>
          </w:p>
        </w:tc>
        <w:tc>
          <w:tcPr>
            <w:tcW w:w="566" w:type="pct"/>
            <w:noWrap w:val="0"/>
            <w:vAlign w:val="center"/>
          </w:tcPr>
          <w:p w14:paraId="02A5011D">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现状</w:t>
            </w:r>
            <w:r>
              <w:rPr>
                <w:rFonts w:hint="default" w:ascii="Times New Roman" w:hAnsi="Times New Roman" w:cs="Times New Roman" w:eastAsiaTheme="minorEastAsia"/>
                <w:color w:val="auto"/>
                <w:w w:val="99"/>
                <w:kern w:val="2"/>
                <w:sz w:val="21"/>
                <w:szCs w:val="21"/>
                <w:highlight w:val="none"/>
              </w:rPr>
              <w:t>浓度</w:t>
            </w:r>
          </w:p>
        </w:tc>
        <w:tc>
          <w:tcPr>
            <w:tcW w:w="566" w:type="pct"/>
            <w:noWrap w:val="0"/>
            <w:vAlign w:val="center"/>
          </w:tcPr>
          <w:p w14:paraId="1A13CFF2">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标准限值</w:t>
            </w:r>
          </w:p>
        </w:tc>
        <w:tc>
          <w:tcPr>
            <w:tcW w:w="567" w:type="pct"/>
            <w:noWrap w:val="0"/>
            <w:vAlign w:val="center"/>
          </w:tcPr>
          <w:p w14:paraId="71A9AE8E">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占标率%</w:t>
            </w:r>
          </w:p>
        </w:tc>
        <w:tc>
          <w:tcPr>
            <w:tcW w:w="567" w:type="pct"/>
            <w:noWrap w:val="0"/>
            <w:vAlign w:val="center"/>
          </w:tcPr>
          <w:p w14:paraId="77FC8158">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达标情况</w:t>
            </w:r>
          </w:p>
        </w:tc>
        <w:tc>
          <w:tcPr>
            <w:tcW w:w="567" w:type="pct"/>
            <w:noWrap w:val="0"/>
            <w:vAlign w:val="center"/>
          </w:tcPr>
          <w:p w14:paraId="03EC3EC5">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超标倍数</w:t>
            </w:r>
          </w:p>
        </w:tc>
      </w:tr>
      <w:tr w14:paraId="1DC0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noWrap w:val="0"/>
            <w:vAlign w:val="center"/>
          </w:tcPr>
          <w:p w14:paraId="6F9C5DC1">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SO</w:t>
            </w:r>
            <w:r>
              <w:rPr>
                <w:rFonts w:hint="default" w:ascii="Times New Roman" w:hAnsi="Times New Roman" w:cs="Times New Roman" w:eastAsiaTheme="minorEastAsia"/>
                <w:color w:val="auto"/>
                <w:w w:val="99"/>
                <w:kern w:val="2"/>
                <w:sz w:val="21"/>
                <w:szCs w:val="21"/>
                <w:highlight w:val="none"/>
                <w:vertAlign w:val="subscript"/>
              </w:rPr>
              <w:t>2</w:t>
            </w:r>
          </w:p>
        </w:tc>
        <w:tc>
          <w:tcPr>
            <w:tcW w:w="1179" w:type="pct"/>
            <w:noWrap w:val="0"/>
            <w:vAlign w:val="center"/>
          </w:tcPr>
          <w:p w14:paraId="0D972124">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年平均</w:t>
            </w:r>
          </w:p>
        </w:tc>
        <w:tc>
          <w:tcPr>
            <w:tcW w:w="566" w:type="pct"/>
            <w:vMerge w:val="restart"/>
            <w:noWrap w:val="0"/>
            <w:vAlign w:val="center"/>
          </w:tcPr>
          <w:p w14:paraId="069E548A">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μg/m</w:t>
            </w:r>
            <w:r>
              <w:rPr>
                <w:rFonts w:hint="default" w:ascii="Times New Roman" w:hAnsi="Times New Roman" w:cs="Times New Roman" w:eastAsiaTheme="minorEastAsia"/>
                <w:color w:val="auto"/>
                <w:w w:val="99"/>
                <w:kern w:val="2"/>
                <w:sz w:val="21"/>
                <w:szCs w:val="21"/>
                <w:highlight w:val="none"/>
                <w:vertAlign w:val="superscript"/>
              </w:rPr>
              <w:t>3</w:t>
            </w:r>
          </w:p>
        </w:tc>
        <w:tc>
          <w:tcPr>
            <w:tcW w:w="566" w:type="pct"/>
            <w:noWrap w:val="0"/>
            <w:vAlign w:val="center"/>
          </w:tcPr>
          <w:p w14:paraId="31BCB78D">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7</w:t>
            </w:r>
          </w:p>
        </w:tc>
        <w:tc>
          <w:tcPr>
            <w:tcW w:w="566" w:type="pct"/>
            <w:noWrap w:val="0"/>
            <w:vAlign w:val="center"/>
          </w:tcPr>
          <w:p w14:paraId="28E8FE87">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60</w:t>
            </w:r>
          </w:p>
        </w:tc>
        <w:tc>
          <w:tcPr>
            <w:tcW w:w="567" w:type="pct"/>
            <w:noWrap w:val="0"/>
            <w:vAlign w:val="center"/>
          </w:tcPr>
          <w:p w14:paraId="46F23227">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11.67</w:t>
            </w:r>
          </w:p>
        </w:tc>
        <w:tc>
          <w:tcPr>
            <w:tcW w:w="567" w:type="pct"/>
            <w:noWrap w:val="0"/>
            <w:vAlign w:val="center"/>
          </w:tcPr>
          <w:p w14:paraId="32FE63DC">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达标</w:t>
            </w:r>
          </w:p>
        </w:tc>
        <w:tc>
          <w:tcPr>
            <w:tcW w:w="567" w:type="pct"/>
            <w:noWrap w:val="0"/>
            <w:vAlign w:val="center"/>
          </w:tcPr>
          <w:p w14:paraId="44C6CF6D">
            <w:pPr>
              <w:widowControl w:val="0"/>
              <w:spacing w:line="32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w:t>
            </w:r>
          </w:p>
        </w:tc>
      </w:tr>
      <w:tr w14:paraId="0182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noWrap w:val="0"/>
            <w:vAlign w:val="center"/>
          </w:tcPr>
          <w:p w14:paraId="4C5584F7">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NO</w:t>
            </w:r>
            <w:r>
              <w:rPr>
                <w:rFonts w:hint="default" w:ascii="Times New Roman" w:hAnsi="Times New Roman" w:cs="Times New Roman" w:eastAsiaTheme="minorEastAsia"/>
                <w:color w:val="auto"/>
                <w:w w:val="99"/>
                <w:kern w:val="2"/>
                <w:sz w:val="21"/>
                <w:szCs w:val="21"/>
                <w:highlight w:val="none"/>
                <w:vertAlign w:val="subscript"/>
              </w:rPr>
              <w:t>2</w:t>
            </w:r>
          </w:p>
        </w:tc>
        <w:tc>
          <w:tcPr>
            <w:tcW w:w="1179" w:type="pct"/>
            <w:noWrap w:val="0"/>
            <w:vAlign w:val="center"/>
          </w:tcPr>
          <w:p w14:paraId="7CB35B43">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年平均</w:t>
            </w:r>
          </w:p>
        </w:tc>
        <w:tc>
          <w:tcPr>
            <w:tcW w:w="566" w:type="pct"/>
            <w:vMerge w:val="continue"/>
            <w:noWrap w:val="0"/>
            <w:vAlign w:val="center"/>
          </w:tcPr>
          <w:p w14:paraId="33C757BF">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p>
        </w:tc>
        <w:tc>
          <w:tcPr>
            <w:tcW w:w="566" w:type="pct"/>
            <w:noWrap w:val="0"/>
            <w:vAlign w:val="center"/>
          </w:tcPr>
          <w:p w14:paraId="65336544">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19</w:t>
            </w:r>
          </w:p>
        </w:tc>
        <w:tc>
          <w:tcPr>
            <w:tcW w:w="566" w:type="pct"/>
            <w:noWrap w:val="0"/>
            <w:vAlign w:val="center"/>
          </w:tcPr>
          <w:p w14:paraId="2AD3D7CA">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40</w:t>
            </w:r>
          </w:p>
        </w:tc>
        <w:tc>
          <w:tcPr>
            <w:tcW w:w="567" w:type="pct"/>
            <w:noWrap w:val="0"/>
            <w:vAlign w:val="center"/>
          </w:tcPr>
          <w:p w14:paraId="4426C40D">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47.50</w:t>
            </w:r>
          </w:p>
        </w:tc>
        <w:tc>
          <w:tcPr>
            <w:tcW w:w="567" w:type="pct"/>
            <w:noWrap w:val="0"/>
            <w:vAlign w:val="center"/>
          </w:tcPr>
          <w:p w14:paraId="682918CD">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达标</w:t>
            </w:r>
          </w:p>
        </w:tc>
        <w:tc>
          <w:tcPr>
            <w:tcW w:w="567" w:type="pct"/>
            <w:noWrap w:val="0"/>
            <w:vAlign w:val="center"/>
          </w:tcPr>
          <w:p w14:paraId="3BD00C43">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w:t>
            </w:r>
          </w:p>
        </w:tc>
      </w:tr>
      <w:tr w14:paraId="49EC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noWrap w:val="0"/>
            <w:vAlign w:val="center"/>
          </w:tcPr>
          <w:p w14:paraId="7D90D565">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PM</w:t>
            </w:r>
            <w:r>
              <w:rPr>
                <w:rFonts w:hint="default" w:ascii="Times New Roman" w:hAnsi="Times New Roman" w:cs="Times New Roman" w:eastAsiaTheme="minorEastAsia"/>
                <w:color w:val="auto"/>
                <w:w w:val="99"/>
                <w:kern w:val="2"/>
                <w:sz w:val="21"/>
                <w:szCs w:val="21"/>
                <w:highlight w:val="none"/>
                <w:vertAlign w:val="subscript"/>
              </w:rPr>
              <w:t>10</w:t>
            </w:r>
          </w:p>
        </w:tc>
        <w:tc>
          <w:tcPr>
            <w:tcW w:w="1179" w:type="pct"/>
            <w:noWrap w:val="0"/>
            <w:vAlign w:val="center"/>
          </w:tcPr>
          <w:p w14:paraId="48E559B7">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年平均</w:t>
            </w:r>
          </w:p>
        </w:tc>
        <w:tc>
          <w:tcPr>
            <w:tcW w:w="566" w:type="pct"/>
            <w:vMerge w:val="continue"/>
            <w:noWrap w:val="0"/>
            <w:vAlign w:val="center"/>
          </w:tcPr>
          <w:p w14:paraId="43F30F5E">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p>
        </w:tc>
        <w:tc>
          <w:tcPr>
            <w:tcW w:w="566" w:type="pct"/>
            <w:noWrap w:val="0"/>
            <w:vAlign w:val="center"/>
          </w:tcPr>
          <w:p w14:paraId="53277759">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57</w:t>
            </w:r>
          </w:p>
        </w:tc>
        <w:tc>
          <w:tcPr>
            <w:tcW w:w="566" w:type="pct"/>
            <w:noWrap w:val="0"/>
            <w:vAlign w:val="center"/>
          </w:tcPr>
          <w:p w14:paraId="1FB737D9">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60</w:t>
            </w:r>
          </w:p>
        </w:tc>
        <w:tc>
          <w:tcPr>
            <w:tcW w:w="567" w:type="pct"/>
            <w:noWrap w:val="0"/>
            <w:vAlign w:val="center"/>
          </w:tcPr>
          <w:p w14:paraId="7C68CC33">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95.00</w:t>
            </w:r>
          </w:p>
        </w:tc>
        <w:tc>
          <w:tcPr>
            <w:tcW w:w="567" w:type="pct"/>
            <w:noWrap w:val="0"/>
            <w:vAlign w:val="center"/>
          </w:tcPr>
          <w:p w14:paraId="7A129C7C">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达标</w:t>
            </w:r>
          </w:p>
        </w:tc>
        <w:tc>
          <w:tcPr>
            <w:tcW w:w="567" w:type="pct"/>
            <w:noWrap w:val="0"/>
            <w:vAlign w:val="center"/>
          </w:tcPr>
          <w:p w14:paraId="5A046E6E">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w:t>
            </w:r>
          </w:p>
        </w:tc>
      </w:tr>
      <w:tr w14:paraId="486B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noWrap w:val="0"/>
            <w:vAlign w:val="center"/>
          </w:tcPr>
          <w:p w14:paraId="1DAA1889">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PM</w:t>
            </w:r>
            <w:r>
              <w:rPr>
                <w:rFonts w:hint="default" w:ascii="Times New Roman" w:hAnsi="Times New Roman" w:cs="Times New Roman" w:eastAsiaTheme="minorEastAsia"/>
                <w:color w:val="auto"/>
                <w:w w:val="99"/>
                <w:kern w:val="2"/>
                <w:sz w:val="21"/>
                <w:szCs w:val="21"/>
                <w:highlight w:val="none"/>
                <w:vertAlign w:val="subscript"/>
              </w:rPr>
              <w:t>2.5</w:t>
            </w:r>
          </w:p>
        </w:tc>
        <w:tc>
          <w:tcPr>
            <w:tcW w:w="1179" w:type="pct"/>
            <w:noWrap w:val="0"/>
            <w:vAlign w:val="center"/>
          </w:tcPr>
          <w:p w14:paraId="5729908E">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年平均</w:t>
            </w:r>
          </w:p>
        </w:tc>
        <w:tc>
          <w:tcPr>
            <w:tcW w:w="566" w:type="pct"/>
            <w:vMerge w:val="continue"/>
            <w:noWrap w:val="0"/>
            <w:vAlign w:val="center"/>
          </w:tcPr>
          <w:p w14:paraId="2DEA7B2C">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p>
        </w:tc>
        <w:tc>
          <w:tcPr>
            <w:tcW w:w="566" w:type="pct"/>
            <w:noWrap w:val="0"/>
            <w:vAlign w:val="center"/>
          </w:tcPr>
          <w:p w14:paraId="3E8C36F8">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43</w:t>
            </w:r>
          </w:p>
        </w:tc>
        <w:tc>
          <w:tcPr>
            <w:tcW w:w="566" w:type="pct"/>
            <w:noWrap w:val="0"/>
            <w:vAlign w:val="center"/>
          </w:tcPr>
          <w:p w14:paraId="44DAED39">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30</w:t>
            </w:r>
          </w:p>
        </w:tc>
        <w:tc>
          <w:tcPr>
            <w:tcW w:w="567" w:type="pct"/>
            <w:noWrap w:val="0"/>
            <w:vAlign w:val="center"/>
          </w:tcPr>
          <w:p w14:paraId="7F48C170">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143.33</w:t>
            </w:r>
          </w:p>
        </w:tc>
        <w:tc>
          <w:tcPr>
            <w:tcW w:w="567" w:type="pct"/>
            <w:noWrap w:val="0"/>
            <w:vAlign w:val="center"/>
          </w:tcPr>
          <w:p w14:paraId="3227AA72">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lang w:val="en-US" w:eastAsia="zh-CN"/>
              </w:rPr>
              <w:t>不</w:t>
            </w:r>
            <w:r>
              <w:rPr>
                <w:rFonts w:hint="default" w:ascii="Times New Roman" w:hAnsi="Times New Roman" w:cs="Times New Roman" w:eastAsiaTheme="minorEastAsia"/>
                <w:color w:val="auto"/>
                <w:w w:val="99"/>
                <w:kern w:val="2"/>
                <w:sz w:val="21"/>
                <w:szCs w:val="21"/>
                <w:highlight w:val="none"/>
              </w:rPr>
              <w:t>达标</w:t>
            </w:r>
          </w:p>
        </w:tc>
        <w:tc>
          <w:tcPr>
            <w:tcW w:w="567" w:type="pct"/>
            <w:noWrap w:val="0"/>
            <w:vAlign w:val="center"/>
          </w:tcPr>
          <w:p w14:paraId="72D9006E">
            <w:pPr>
              <w:widowControl w:val="0"/>
              <w:spacing w:line="32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w:t>
            </w:r>
          </w:p>
        </w:tc>
      </w:tr>
      <w:tr w14:paraId="099C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noWrap w:val="0"/>
            <w:vAlign w:val="center"/>
          </w:tcPr>
          <w:p w14:paraId="5E977CA2">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O</w:t>
            </w:r>
            <w:r>
              <w:rPr>
                <w:rFonts w:hint="default" w:ascii="Times New Roman" w:hAnsi="Times New Roman" w:cs="Times New Roman" w:eastAsiaTheme="minorEastAsia"/>
                <w:color w:val="auto"/>
                <w:w w:val="99"/>
                <w:kern w:val="2"/>
                <w:sz w:val="21"/>
                <w:szCs w:val="21"/>
                <w:highlight w:val="none"/>
                <w:vertAlign w:val="subscript"/>
              </w:rPr>
              <w:t>3</w:t>
            </w:r>
          </w:p>
        </w:tc>
        <w:tc>
          <w:tcPr>
            <w:tcW w:w="1179" w:type="pct"/>
            <w:noWrap w:val="0"/>
            <w:vAlign w:val="center"/>
          </w:tcPr>
          <w:p w14:paraId="01F9D3D8">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8小时最大平均第90百分位数</w:t>
            </w:r>
          </w:p>
        </w:tc>
        <w:tc>
          <w:tcPr>
            <w:tcW w:w="566" w:type="pct"/>
            <w:vMerge w:val="continue"/>
            <w:noWrap w:val="0"/>
            <w:vAlign w:val="center"/>
          </w:tcPr>
          <w:p w14:paraId="1A666FB2">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p>
        </w:tc>
        <w:tc>
          <w:tcPr>
            <w:tcW w:w="566" w:type="pct"/>
            <w:noWrap w:val="0"/>
            <w:vAlign w:val="center"/>
          </w:tcPr>
          <w:p w14:paraId="2B8B4CB7">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120</w:t>
            </w:r>
          </w:p>
        </w:tc>
        <w:tc>
          <w:tcPr>
            <w:tcW w:w="566" w:type="pct"/>
            <w:noWrap w:val="0"/>
            <w:vAlign w:val="center"/>
          </w:tcPr>
          <w:p w14:paraId="206B7484">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160</w:t>
            </w:r>
          </w:p>
        </w:tc>
        <w:tc>
          <w:tcPr>
            <w:tcW w:w="567" w:type="pct"/>
            <w:noWrap w:val="0"/>
            <w:vAlign w:val="center"/>
          </w:tcPr>
          <w:p w14:paraId="1FDD19BD">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75.00</w:t>
            </w:r>
          </w:p>
        </w:tc>
        <w:tc>
          <w:tcPr>
            <w:tcW w:w="567" w:type="pct"/>
            <w:noWrap w:val="0"/>
            <w:vAlign w:val="center"/>
          </w:tcPr>
          <w:p w14:paraId="50030348">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达标</w:t>
            </w:r>
          </w:p>
        </w:tc>
        <w:tc>
          <w:tcPr>
            <w:tcW w:w="567" w:type="pct"/>
            <w:noWrap w:val="0"/>
            <w:vAlign w:val="center"/>
          </w:tcPr>
          <w:p w14:paraId="0BE87223">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w:t>
            </w:r>
          </w:p>
        </w:tc>
      </w:tr>
      <w:tr w14:paraId="5344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8" w:type="pct"/>
            <w:noWrap w:val="0"/>
            <w:vAlign w:val="center"/>
          </w:tcPr>
          <w:p w14:paraId="22AEB0FE">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CO</w:t>
            </w:r>
          </w:p>
        </w:tc>
        <w:tc>
          <w:tcPr>
            <w:tcW w:w="1179" w:type="pct"/>
            <w:noWrap w:val="0"/>
            <w:vAlign w:val="center"/>
          </w:tcPr>
          <w:p w14:paraId="60AB346E">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24小时平均第95百分位数</w:t>
            </w:r>
          </w:p>
        </w:tc>
        <w:tc>
          <w:tcPr>
            <w:tcW w:w="566" w:type="pct"/>
            <w:noWrap w:val="0"/>
            <w:vAlign w:val="center"/>
          </w:tcPr>
          <w:p w14:paraId="25A25BF8">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mg/m</w:t>
            </w:r>
            <w:r>
              <w:rPr>
                <w:rFonts w:hint="default" w:ascii="Times New Roman" w:hAnsi="Times New Roman" w:cs="Times New Roman" w:eastAsiaTheme="minorEastAsia"/>
                <w:color w:val="auto"/>
                <w:w w:val="99"/>
                <w:kern w:val="2"/>
                <w:sz w:val="21"/>
                <w:szCs w:val="21"/>
                <w:highlight w:val="none"/>
                <w:vertAlign w:val="superscript"/>
              </w:rPr>
              <w:t>3</w:t>
            </w:r>
          </w:p>
        </w:tc>
        <w:tc>
          <w:tcPr>
            <w:tcW w:w="566" w:type="pct"/>
            <w:noWrap w:val="0"/>
            <w:vAlign w:val="center"/>
          </w:tcPr>
          <w:p w14:paraId="7D2C53DB">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1.0</w:t>
            </w:r>
          </w:p>
        </w:tc>
        <w:tc>
          <w:tcPr>
            <w:tcW w:w="566" w:type="pct"/>
            <w:noWrap w:val="0"/>
            <w:vAlign w:val="center"/>
          </w:tcPr>
          <w:p w14:paraId="6C2B1727">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4</w:t>
            </w:r>
          </w:p>
        </w:tc>
        <w:tc>
          <w:tcPr>
            <w:tcW w:w="567" w:type="pct"/>
            <w:noWrap w:val="0"/>
            <w:vAlign w:val="center"/>
          </w:tcPr>
          <w:p w14:paraId="1D9F2C8E">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25.00</w:t>
            </w:r>
          </w:p>
        </w:tc>
        <w:tc>
          <w:tcPr>
            <w:tcW w:w="567" w:type="pct"/>
            <w:noWrap w:val="0"/>
            <w:vAlign w:val="center"/>
          </w:tcPr>
          <w:p w14:paraId="7BFAEDAC">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达标</w:t>
            </w:r>
          </w:p>
        </w:tc>
        <w:tc>
          <w:tcPr>
            <w:tcW w:w="567" w:type="pct"/>
            <w:noWrap w:val="0"/>
            <w:vAlign w:val="center"/>
          </w:tcPr>
          <w:p w14:paraId="3F93C816">
            <w:pPr>
              <w:widowControl w:val="0"/>
              <w:spacing w:line="320" w:lineRule="exact"/>
              <w:jc w:val="center"/>
              <w:rPr>
                <w:rFonts w:hint="default"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w:t>
            </w:r>
          </w:p>
        </w:tc>
      </w:tr>
    </w:tbl>
    <w:p w14:paraId="67A5CE36">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4.3.1.2环境空气质量现状补充监测</w:t>
      </w:r>
    </w:p>
    <w:p w14:paraId="5EE4E31A">
      <w:pPr>
        <w:widowControl w:val="0"/>
        <w:tabs>
          <w:tab w:val="left" w:pos="5262"/>
        </w:tabs>
        <w:spacing w:line="440" w:lineRule="exact"/>
        <w:ind w:firstLine="474" w:firstLineChars="200"/>
        <w:jc w:val="both"/>
        <w:rPr>
          <w:rFonts w:ascii="Times New Roman" w:hAnsi="Times New Roman" w:cs="Times New Roman"/>
          <w:bCs/>
          <w:color w:val="auto"/>
          <w:w w:val="99"/>
          <w:kern w:val="21"/>
          <w:highlight w:val="none"/>
        </w:rPr>
      </w:pPr>
      <w:r>
        <w:rPr>
          <w:rFonts w:ascii="Times New Roman" w:hAnsi="Times New Roman" w:cs="Times New Roman"/>
          <w:bCs/>
          <w:color w:val="auto"/>
          <w:w w:val="99"/>
          <w:kern w:val="21"/>
          <w:highlight w:val="none"/>
        </w:rPr>
        <w:t>（1）监测点位布设</w:t>
      </w:r>
    </w:p>
    <w:p w14:paraId="0DE95575">
      <w:pPr>
        <w:widowControl w:val="0"/>
        <w:tabs>
          <w:tab w:val="left" w:pos="5262"/>
        </w:tabs>
        <w:spacing w:line="440" w:lineRule="exact"/>
        <w:ind w:firstLine="474" w:firstLineChars="200"/>
        <w:jc w:val="both"/>
        <w:rPr>
          <w:rFonts w:ascii="Times New Roman" w:hAnsi="Times New Roman" w:cs="Times New Roman"/>
          <w:bCs/>
          <w:color w:val="auto"/>
          <w:w w:val="99"/>
          <w:kern w:val="21"/>
          <w:highlight w:val="none"/>
        </w:rPr>
      </w:pPr>
      <w:r>
        <w:rPr>
          <w:rFonts w:ascii="Times New Roman" w:hAnsi="Times New Roman" w:cs="Times New Roman"/>
          <w:bCs/>
          <w:color w:val="auto"/>
          <w:w w:val="99"/>
          <w:kern w:val="21"/>
          <w:highlight w:val="none"/>
        </w:rPr>
        <w:t>根据《环境影响评价技术导则 大气环境》（HJ2.2-2018），以</w:t>
      </w:r>
      <w:r>
        <w:rPr>
          <w:rFonts w:hint="eastAsia" w:ascii="Times New Roman" w:hAnsi="Times New Roman" w:cs="Times New Roman"/>
          <w:bCs/>
          <w:color w:val="auto"/>
          <w:w w:val="99"/>
          <w:kern w:val="21"/>
          <w:highlight w:val="none"/>
          <w:lang w:eastAsia="zh-CN"/>
        </w:rPr>
        <w:t>近二十年</w:t>
      </w:r>
      <w:r>
        <w:rPr>
          <w:rFonts w:ascii="Times New Roman" w:hAnsi="Times New Roman" w:cs="Times New Roman"/>
          <w:bCs/>
          <w:color w:val="auto"/>
          <w:w w:val="99"/>
          <w:kern w:val="21"/>
          <w:highlight w:val="none"/>
        </w:rPr>
        <w:t>统计的当地主导风向为轴向，在厂址及主导风向下风向5 km范围内设置 1～2 个监测点。本项目井位多，因此根据区域井位分布特点，本项目共布设8个环境空气监测点位。</w:t>
      </w:r>
    </w:p>
    <w:p w14:paraId="70942447">
      <w:pPr>
        <w:widowControl w:val="0"/>
        <w:tabs>
          <w:tab w:val="left" w:pos="5262"/>
        </w:tabs>
        <w:spacing w:line="440" w:lineRule="exact"/>
        <w:ind w:firstLine="474" w:firstLineChars="200"/>
        <w:jc w:val="both"/>
        <w:rPr>
          <w:rFonts w:ascii="Times New Roman" w:hAnsi="Times New Roman" w:cs="Times New Roman"/>
          <w:bCs/>
          <w:color w:val="auto"/>
          <w:w w:val="99"/>
          <w:kern w:val="21"/>
          <w:highlight w:val="none"/>
        </w:rPr>
      </w:pPr>
      <w:r>
        <w:rPr>
          <w:rFonts w:ascii="Times New Roman" w:hAnsi="Times New Roman" w:cs="Times New Roman"/>
          <w:bCs/>
          <w:color w:val="auto"/>
          <w:w w:val="99"/>
          <w:kern w:val="21"/>
          <w:highlight w:val="none"/>
        </w:rPr>
        <w:t>本项目委托大庆中环评价检测有限公司于</w:t>
      </w:r>
      <w:r>
        <w:rPr>
          <w:rFonts w:ascii="Times New Roman" w:hAnsi="Times New Roman" w:cs="Times New Roman"/>
          <w:bCs/>
          <w:color w:val="auto"/>
          <w:w w:val="99"/>
          <w:kern w:val="2"/>
          <w:highlight w:val="none"/>
        </w:rPr>
        <w:t>202</w:t>
      </w:r>
      <w:r>
        <w:rPr>
          <w:rFonts w:hint="eastAsia" w:ascii="Times New Roman" w:hAnsi="Times New Roman" w:cs="Times New Roman"/>
          <w:bCs/>
          <w:color w:val="auto"/>
          <w:w w:val="99"/>
          <w:kern w:val="2"/>
          <w:highlight w:val="none"/>
          <w:lang w:val="en-US" w:eastAsia="zh-CN"/>
        </w:rPr>
        <w:t>6</w:t>
      </w:r>
      <w:r>
        <w:rPr>
          <w:rFonts w:ascii="Times New Roman" w:hAnsi="Times New Roman" w:cs="Times New Roman"/>
          <w:bCs/>
          <w:color w:val="auto"/>
          <w:w w:val="99"/>
          <w:kern w:val="2"/>
          <w:highlight w:val="none"/>
        </w:rPr>
        <w:t>年</w:t>
      </w:r>
      <w:r>
        <w:rPr>
          <w:rFonts w:hint="eastAsia" w:ascii="Times New Roman" w:hAnsi="Times New Roman" w:cs="Times New Roman"/>
          <w:bCs/>
          <w:color w:val="auto"/>
          <w:w w:val="99"/>
          <w:kern w:val="2"/>
          <w:highlight w:val="none"/>
          <w:lang w:val="en-US" w:eastAsia="zh-CN"/>
        </w:rPr>
        <w:t>06</w:t>
      </w:r>
      <w:r>
        <w:rPr>
          <w:rFonts w:ascii="Times New Roman" w:hAnsi="Times New Roman" w:cs="Times New Roman"/>
          <w:bCs/>
          <w:color w:val="auto"/>
          <w:w w:val="99"/>
          <w:kern w:val="2"/>
          <w:highlight w:val="none"/>
        </w:rPr>
        <w:t>月</w:t>
      </w:r>
      <w:r>
        <w:rPr>
          <w:rFonts w:hint="eastAsia" w:ascii="Times New Roman" w:hAnsi="Times New Roman" w:cs="Times New Roman"/>
          <w:bCs/>
          <w:color w:val="auto"/>
          <w:w w:val="99"/>
          <w:kern w:val="2"/>
          <w:highlight w:val="none"/>
          <w:lang w:val="en-US" w:eastAsia="zh-CN"/>
        </w:rPr>
        <w:t>01</w:t>
      </w:r>
      <w:r>
        <w:rPr>
          <w:rFonts w:ascii="Times New Roman" w:hAnsi="Times New Roman" w:cs="Times New Roman"/>
          <w:bCs/>
          <w:color w:val="auto"/>
          <w:w w:val="99"/>
          <w:kern w:val="2"/>
          <w:highlight w:val="none"/>
        </w:rPr>
        <w:t>日-</w:t>
      </w:r>
      <w:r>
        <w:rPr>
          <w:rFonts w:hint="eastAsia" w:ascii="Times New Roman" w:hAnsi="Times New Roman" w:cs="Times New Roman"/>
          <w:bCs/>
          <w:color w:val="auto"/>
          <w:w w:val="99"/>
          <w:kern w:val="2"/>
          <w:highlight w:val="none"/>
          <w:lang w:val="en-US" w:eastAsia="zh-CN"/>
        </w:rPr>
        <w:t>06月07</w:t>
      </w:r>
      <w:r>
        <w:rPr>
          <w:rFonts w:ascii="Times New Roman" w:hAnsi="Times New Roman" w:cs="Times New Roman"/>
          <w:bCs/>
          <w:color w:val="auto"/>
          <w:w w:val="99"/>
          <w:kern w:val="2"/>
          <w:highlight w:val="none"/>
        </w:rPr>
        <w:t>日</w:t>
      </w:r>
      <w:r>
        <w:rPr>
          <w:rFonts w:ascii="Times New Roman" w:hAnsi="Times New Roman" w:cs="Times New Roman"/>
          <w:bCs/>
          <w:color w:val="auto"/>
          <w:w w:val="99"/>
          <w:kern w:val="21"/>
          <w:highlight w:val="none"/>
        </w:rPr>
        <w:t>对评价区域特征污染物进行环境质量现状监测，区域特征污染物为非甲烷总烃、</w:t>
      </w:r>
      <w:r>
        <w:rPr>
          <w:rFonts w:hint="eastAsia" w:ascii="Times New Roman" w:hAnsi="Times New Roman" w:cs="Times New Roman"/>
          <w:bCs/>
          <w:color w:val="auto"/>
          <w:w w:val="99"/>
          <w:kern w:val="21"/>
          <w:highlight w:val="none"/>
          <w:lang w:val="en-US" w:eastAsia="zh-CN"/>
        </w:rPr>
        <w:t>甲醇</w:t>
      </w:r>
      <w:r>
        <w:rPr>
          <w:rFonts w:ascii="Times New Roman" w:hAnsi="Times New Roman" w:cs="Times New Roman"/>
          <w:bCs/>
          <w:color w:val="auto"/>
          <w:w w:val="99"/>
          <w:kern w:val="21"/>
          <w:highlight w:val="none"/>
        </w:rPr>
        <w:t>，具体点位见表</w:t>
      </w:r>
      <w:r>
        <w:rPr>
          <w:rFonts w:ascii="Times New Roman" w:hAnsi="Times New Roman" w:cs="Times New Roman"/>
          <w:color w:val="auto"/>
          <w:w w:val="99"/>
          <w:kern w:val="2"/>
          <w:szCs w:val="20"/>
          <w:highlight w:val="none"/>
        </w:rPr>
        <w:t>4.3-</w:t>
      </w:r>
      <w:r>
        <w:rPr>
          <w:rFonts w:ascii="Times New Roman" w:hAnsi="Times New Roman" w:cs="Times New Roman"/>
          <w:bCs/>
          <w:color w:val="auto"/>
          <w:w w:val="99"/>
          <w:kern w:val="21"/>
          <w:highlight w:val="none"/>
        </w:rPr>
        <w:t>2，现状监测布点见附图</w:t>
      </w:r>
      <w:r>
        <w:rPr>
          <w:rFonts w:hint="eastAsia" w:ascii="Times New Roman" w:hAnsi="Times New Roman" w:cs="Times New Roman"/>
          <w:bCs/>
          <w:color w:val="auto"/>
          <w:w w:val="99"/>
          <w:kern w:val="21"/>
          <w:highlight w:val="none"/>
          <w:lang w:val="en-US" w:eastAsia="zh-CN"/>
        </w:rPr>
        <w:t>6-1</w:t>
      </w:r>
      <w:r>
        <w:rPr>
          <w:rFonts w:ascii="Times New Roman" w:hAnsi="Times New Roman" w:cs="Times New Roman"/>
          <w:bCs/>
          <w:color w:val="auto"/>
          <w:w w:val="99"/>
          <w:kern w:val="21"/>
          <w:highlight w:val="none"/>
        </w:rPr>
        <w:t>。</w:t>
      </w:r>
    </w:p>
    <w:p w14:paraId="0EE723B6">
      <w:pPr>
        <w:widowControl w:val="0"/>
        <w:tabs>
          <w:tab w:val="left" w:pos="5262"/>
        </w:tabs>
        <w:spacing w:line="440" w:lineRule="exact"/>
        <w:ind w:firstLine="476" w:firstLineChars="200"/>
        <w:jc w:val="both"/>
        <w:rPr>
          <w:rFonts w:ascii="Times New Roman" w:hAnsi="Times New Roman" w:cs="Times New Roman"/>
          <w:b/>
          <w:color w:val="auto"/>
          <w:w w:val="99"/>
          <w:kern w:val="21"/>
          <w:highlight w:val="none"/>
        </w:rPr>
      </w:pPr>
      <w:r>
        <w:rPr>
          <w:rFonts w:ascii="Times New Roman" w:hAnsi="Times New Roman" w:cs="Times New Roman"/>
          <w:b/>
          <w:color w:val="auto"/>
          <w:w w:val="99"/>
          <w:kern w:val="21"/>
          <w:highlight w:val="none"/>
        </w:rPr>
        <w:t>表</w:t>
      </w:r>
      <w:r>
        <w:rPr>
          <w:rFonts w:ascii="Times New Roman" w:hAnsi="Times New Roman" w:cs="Times New Roman"/>
          <w:b/>
          <w:color w:val="auto"/>
          <w:w w:val="99"/>
          <w:kern w:val="2"/>
          <w:szCs w:val="20"/>
          <w:highlight w:val="none"/>
        </w:rPr>
        <w:t>4.3-</w:t>
      </w:r>
      <w:r>
        <w:rPr>
          <w:rFonts w:ascii="Times New Roman" w:hAnsi="Times New Roman" w:cs="Times New Roman"/>
          <w:b/>
          <w:color w:val="auto"/>
          <w:w w:val="99"/>
          <w:kern w:val="21"/>
          <w:highlight w:val="none"/>
        </w:rPr>
        <w:t>2    环境空气现状监测点位</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1"/>
        <w:gridCol w:w="1701"/>
        <w:gridCol w:w="1134"/>
        <w:gridCol w:w="997"/>
        <w:gridCol w:w="845"/>
        <w:gridCol w:w="1134"/>
        <w:gridCol w:w="1418"/>
        <w:gridCol w:w="1410"/>
      </w:tblGrid>
      <w:tr w14:paraId="3457E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1" w:type="dxa"/>
            <w:vMerge w:val="restart"/>
            <w:vAlign w:val="center"/>
          </w:tcPr>
          <w:p w14:paraId="3E5E5601">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序号</w:t>
            </w:r>
          </w:p>
        </w:tc>
        <w:tc>
          <w:tcPr>
            <w:tcW w:w="1701" w:type="dxa"/>
            <w:vMerge w:val="restart"/>
            <w:vAlign w:val="center"/>
          </w:tcPr>
          <w:p w14:paraId="1AB1EBFD">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监测点名称</w:t>
            </w:r>
          </w:p>
        </w:tc>
        <w:tc>
          <w:tcPr>
            <w:tcW w:w="2131" w:type="dxa"/>
            <w:gridSpan w:val="2"/>
            <w:vAlign w:val="center"/>
          </w:tcPr>
          <w:p w14:paraId="37021361">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监测点坐标</w:t>
            </w:r>
          </w:p>
        </w:tc>
        <w:tc>
          <w:tcPr>
            <w:tcW w:w="845" w:type="dxa"/>
            <w:vMerge w:val="restart"/>
            <w:vAlign w:val="center"/>
          </w:tcPr>
          <w:p w14:paraId="5BCFCF14">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监测因子</w:t>
            </w:r>
          </w:p>
        </w:tc>
        <w:tc>
          <w:tcPr>
            <w:tcW w:w="1134" w:type="dxa"/>
            <w:vMerge w:val="restart"/>
            <w:vAlign w:val="center"/>
          </w:tcPr>
          <w:p w14:paraId="70138F79">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监测时段</w:t>
            </w:r>
          </w:p>
        </w:tc>
        <w:tc>
          <w:tcPr>
            <w:tcW w:w="1418" w:type="dxa"/>
            <w:vMerge w:val="restart"/>
            <w:vAlign w:val="center"/>
          </w:tcPr>
          <w:p w14:paraId="73CF94DE">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相对厂址方位</w:t>
            </w:r>
          </w:p>
        </w:tc>
        <w:tc>
          <w:tcPr>
            <w:tcW w:w="1410" w:type="dxa"/>
            <w:vMerge w:val="restart"/>
            <w:vAlign w:val="center"/>
          </w:tcPr>
          <w:p w14:paraId="6067E3DE">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相对厂界距离（m）</w:t>
            </w:r>
          </w:p>
        </w:tc>
      </w:tr>
      <w:tr w14:paraId="091AB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21" w:type="dxa"/>
            <w:vMerge w:val="continue"/>
            <w:vAlign w:val="center"/>
          </w:tcPr>
          <w:p w14:paraId="721FD9BB">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1701" w:type="dxa"/>
            <w:vMerge w:val="continue"/>
            <w:vAlign w:val="center"/>
          </w:tcPr>
          <w:p w14:paraId="3782811A">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1134" w:type="dxa"/>
            <w:vAlign w:val="center"/>
          </w:tcPr>
          <w:p w14:paraId="6AA215C6">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经度</w:t>
            </w:r>
          </w:p>
        </w:tc>
        <w:tc>
          <w:tcPr>
            <w:tcW w:w="997" w:type="dxa"/>
            <w:vAlign w:val="center"/>
          </w:tcPr>
          <w:p w14:paraId="0B350584">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纬度</w:t>
            </w:r>
          </w:p>
        </w:tc>
        <w:tc>
          <w:tcPr>
            <w:tcW w:w="845" w:type="dxa"/>
            <w:vMerge w:val="continue"/>
            <w:vAlign w:val="center"/>
          </w:tcPr>
          <w:p w14:paraId="504BC940">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1134" w:type="dxa"/>
            <w:vMerge w:val="continue"/>
            <w:vAlign w:val="center"/>
          </w:tcPr>
          <w:p w14:paraId="18548FEC">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1418" w:type="dxa"/>
            <w:vMerge w:val="continue"/>
            <w:vAlign w:val="center"/>
          </w:tcPr>
          <w:p w14:paraId="72C15F28">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1410" w:type="dxa"/>
            <w:vMerge w:val="continue"/>
            <w:vAlign w:val="center"/>
          </w:tcPr>
          <w:p w14:paraId="4ADA56BB">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r>
      <w:tr w14:paraId="1265C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1" w:type="dxa"/>
            <w:noWrap/>
            <w:vAlign w:val="center"/>
          </w:tcPr>
          <w:p w14:paraId="2F28DC50">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w:t>
            </w:r>
          </w:p>
        </w:tc>
        <w:tc>
          <w:tcPr>
            <w:tcW w:w="1701" w:type="dxa"/>
            <w:noWrap/>
            <w:vAlign w:val="center"/>
          </w:tcPr>
          <w:p w14:paraId="6C1AE5D8">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拟建徐深27-H1井井场</w:t>
            </w:r>
          </w:p>
        </w:tc>
        <w:tc>
          <w:tcPr>
            <w:tcW w:w="1134" w:type="dxa"/>
            <w:vAlign w:val="center"/>
          </w:tcPr>
          <w:p w14:paraId="64FEBE2B">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125.50852</w:t>
            </w:r>
          </w:p>
        </w:tc>
        <w:tc>
          <w:tcPr>
            <w:tcW w:w="997" w:type="dxa"/>
            <w:vAlign w:val="center"/>
          </w:tcPr>
          <w:p w14:paraId="096AF7FA">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45.89313</w:t>
            </w:r>
          </w:p>
        </w:tc>
        <w:tc>
          <w:tcPr>
            <w:tcW w:w="845" w:type="dxa"/>
            <w:vMerge w:val="restart"/>
            <w:noWrap/>
            <w:vAlign w:val="center"/>
          </w:tcPr>
          <w:p w14:paraId="65CB4F37">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 xml:space="preserve">非甲烷总烃、甲醇 </w:t>
            </w:r>
          </w:p>
        </w:tc>
        <w:tc>
          <w:tcPr>
            <w:tcW w:w="1134" w:type="dxa"/>
            <w:vMerge w:val="restart"/>
            <w:noWrap/>
            <w:vAlign w:val="center"/>
          </w:tcPr>
          <w:p w14:paraId="1E6F7889">
            <w:pPr>
              <w:widowControl w:val="0"/>
              <w:spacing w:line="360" w:lineRule="exact"/>
              <w:jc w:val="center"/>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2026.06.01-2026.06.07</w:t>
            </w:r>
          </w:p>
        </w:tc>
        <w:tc>
          <w:tcPr>
            <w:tcW w:w="1418" w:type="dxa"/>
            <w:noWrap/>
            <w:vAlign w:val="center"/>
          </w:tcPr>
          <w:p w14:paraId="29E57964">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拟建井场</w:t>
            </w:r>
          </w:p>
        </w:tc>
        <w:tc>
          <w:tcPr>
            <w:tcW w:w="1410" w:type="dxa"/>
            <w:noWrap/>
            <w:vAlign w:val="center"/>
          </w:tcPr>
          <w:p w14:paraId="59E8180E">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w:t>
            </w:r>
          </w:p>
        </w:tc>
      </w:tr>
      <w:tr w14:paraId="3C964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1" w:type="dxa"/>
            <w:noWrap/>
            <w:vAlign w:val="center"/>
          </w:tcPr>
          <w:p w14:paraId="03BB1DE6">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w:t>
            </w:r>
          </w:p>
        </w:tc>
        <w:tc>
          <w:tcPr>
            <w:tcW w:w="1701" w:type="dxa"/>
            <w:noWrap/>
            <w:vAlign w:val="center"/>
          </w:tcPr>
          <w:p w14:paraId="72E6F716">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邢家围子屯</w:t>
            </w:r>
          </w:p>
        </w:tc>
        <w:tc>
          <w:tcPr>
            <w:tcW w:w="1134" w:type="dxa"/>
            <w:vAlign w:val="center"/>
          </w:tcPr>
          <w:p w14:paraId="769D3541">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125.51307</w:t>
            </w:r>
          </w:p>
        </w:tc>
        <w:tc>
          <w:tcPr>
            <w:tcW w:w="997" w:type="dxa"/>
            <w:vAlign w:val="center"/>
          </w:tcPr>
          <w:p w14:paraId="7180118F">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45.89453</w:t>
            </w:r>
          </w:p>
        </w:tc>
        <w:tc>
          <w:tcPr>
            <w:tcW w:w="845" w:type="dxa"/>
            <w:vMerge w:val="continue"/>
            <w:noWrap/>
            <w:vAlign w:val="center"/>
          </w:tcPr>
          <w:p w14:paraId="0984376F">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p>
        </w:tc>
        <w:tc>
          <w:tcPr>
            <w:tcW w:w="1134" w:type="dxa"/>
            <w:vMerge w:val="continue"/>
            <w:noWrap/>
            <w:vAlign w:val="center"/>
          </w:tcPr>
          <w:p w14:paraId="018D9FCB">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p>
        </w:tc>
        <w:tc>
          <w:tcPr>
            <w:tcW w:w="1418" w:type="dxa"/>
            <w:noWrap/>
            <w:vAlign w:val="center"/>
          </w:tcPr>
          <w:p w14:paraId="16ACF72C">
            <w:pPr>
              <w:widowControl w:val="0"/>
              <w:spacing w:line="360" w:lineRule="exact"/>
              <w:jc w:val="center"/>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徐深27-H1井东南</w:t>
            </w:r>
          </w:p>
        </w:tc>
        <w:tc>
          <w:tcPr>
            <w:tcW w:w="1410" w:type="dxa"/>
            <w:noWrap/>
            <w:vAlign w:val="center"/>
          </w:tcPr>
          <w:p w14:paraId="3B77C51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450</w:t>
            </w:r>
          </w:p>
        </w:tc>
      </w:tr>
    </w:tbl>
    <w:p w14:paraId="567B310D">
      <w:pPr>
        <w:widowControl w:val="0"/>
        <w:spacing w:line="440" w:lineRule="exact"/>
        <w:ind w:firstLine="474" w:firstLineChars="200"/>
        <w:jc w:val="both"/>
        <w:rPr>
          <w:rFonts w:ascii="Times New Roman" w:hAnsi="Times New Roman" w:cs="Times New Roman"/>
          <w:color w:val="auto"/>
          <w:w w:val="99"/>
          <w:szCs w:val="28"/>
          <w:highlight w:val="none"/>
        </w:rPr>
      </w:pPr>
      <w:r>
        <w:rPr>
          <w:rFonts w:ascii="Times New Roman" w:hAnsi="Times New Roman" w:cs="Times New Roman"/>
          <w:color w:val="auto"/>
          <w:w w:val="99"/>
          <w:szCs w:val="28"/>
          <w:highlight w:val="none"/>
        </w:rPr>
        <w:t>（2）监测项目</w:t>
      </w:r>
    </w:p>
    <w:p w14:paraId="4F15A600">
      <w:pPr>
        <w:widowControl w:val="0"/>
        <w:spacing w:line="440" w:lineRule="exact"/>
        <w:ind w:firstLine="474" w:firstLineChars="200"/>
        <w:jc w:val="both"/>
        <w:rPr>
          <w:rFonts w:ascii="Times New Roman" w:hAnsi="Times New Roman" w:cs="Times New Roman"/>
          <w:color w:val="auto"/>
          <w:w w:val="99"/>
          <w:szCs w:val="28"/>
          <w:highlight w:val="none"/>
        </w:rPr>
      </w:pPr>
      <w:r>
        <w:rPr>
          <w:rFonts w:ascii="Times New Roman" w:hAnsi="Times New Roman" w:cs="Times New Roman"/>
          <w:color w:val="auto"/>
          <w:w w:val="99"/>
          <w:szCs w:val="28"/>
          <w:highlight w:val="none"/>
        </w:rPr>
        <w:t>根据当地的环境空气质量特征，结合本项目大气污染物排放特点，确定环境空气质量监测因子为</w:t>
      </w:r>
      <w:r>
        <w:rPr>
          <w:rFonts w:ascii="Times New Roman" w:hAnsi="Times New Roman" w:cs="Times New Roman"/>
          <w:bCs/>
          <w:color w:val="auto"/>
          <w:w w:val="99"/>
          <w:szCs w:val="28"/>
          <w:highlight w:val="none"/>
        </w:rPr>
        <w:t>非甲烷总烃、</w:t>
      </w:r>
      <w:r>
        <w:rPr>
          <w:rFonts w:hint="eastAsia" w:ascii="Times New Roman" w:hAnsi="Times New Roman" w:cs="Times New Roman"/>
          <w:bCs/>
          <w:color w:val="auto"/>
          <w:w w:val="99"/>
          <w:szCs w:val="28"/>
          <w:highlight w:val="none"/>
          <w:lang w:val="en-US" w:eastAsia="zh-CN"/>
        </w:rPr>
        <w:t>甲醇</w:t>
      </w:r>
      <w:r>
        <w:rPr>
          <w:rFonts w:ascii="Times New Roman" w:hAnsi="Times New Roman" w:cs="Times New Roman"/>
          <w:color w:val="auto"/>
          <w:w w:val="99"/>
          <w:szCs w:val="28"/>
          <w:highlight w:val="none"/>
        </w:rPr>
        <w:t>。</w:t>
      </w:r>
    </w:p>
    <w:p w14:paraId="0C8E2585">
      <w:pPr>
        <w:widowControl w:val="0"/>
        <w:spacing w:line="440" w:lineRule="exact"/>
        <w:ind w:firstLine="474" w:firstLineChars="200"/>
        <w:jc w:val="both"/>
        <w:rPr>
          <w:rFonts w:ascii="Times New Roman" w:hAnsi="Times New Roman" w:cs="Times New Roman"/>
          <w:color w:val="auto"/>
          <w:w w:val="99"/>
          <w:szCs w:val="28"/>
          <w:highlight w:val="none"/>
        </w:rPr>
      </w:pPr>
      <w:r>
        <w:rPr>
          <w:rFonts w:ascii="Times New Roman" w:hAnsi="Times New Roman" w:cs="Times New Roman"/>
          <w:color w:val="auto"/>
          <w:w w:val="99"/>
          <w:szCs w:val="28"/>
          <w:highlight w:val="none"/>
        </w:rPr>
        <w:t>（3）监测频次</w:t>
      </w:r>
    </w:p>
    <w:p w14:paraId="484858AF">
      <w:pPr>
        <w:widowControl w:val="0"/>
        <w:spacing w:line="440" w:lineRule="exact"/>
        <w:ind w:firstLine="474" w:firstLineChars="200"/>
        <w:jc w:val="both"/>
        <w:rPr>
          <w:rFonts w:ascii="Times New Roman" w:hAnsi="Times New Roman" w:cs="Times New Roman"/>
          <w:bCs/>
          <w:color w:val="auto"/>
          <w:w w:val="99"/>
          <w:szCs w:val="28"/>
          <w:highlight w:val="none"/>
        </w:rPr>
      </w:pPr>
      <w:r>
        <w:rPr>
          <w:rFonts w:ascii="Times New Roman" w:hAnsi="Times New Roman" w:cs="Times New Roman"/>
          <w:bCs/>
          <w:color w:val="auto"/>
          <w:w w:val="99"/>
          <w:szCs w:val="28"/>
          <w:highlight w:val="none"/>
        </w:rPr>
        <w:t>连续监测七天</w:t>
      </w:r>
      <w:r>
        <w:rPr>
          <w:rFonts w:hint="eastAsia" w:ascii="Times New Roman" w:hAnsi="Times New Roman" w:cs="Times New Roman"/>
          <w:bCs/>
          <w:color w:val="auto"/>
          <w:w w:val="99"/>
          <w:szCs w:val="28"/>
          <w:highlight w:val="none"/>
          <w:lang w:eastAsia="zh-CN"/>
        </w:rPr>
        <w:t>，</w:t>
      </w:r>
      <w:r>
        <w:rPr>
          <w:rFonts w:hint="eastAsia" w:ascii="Times New Roman" w:hAnsi="Times New Roman" w:cs="Times New Roman"/>
          <w:bCs/>
          <w:color w:val="auto"/>
          <w:w w:val="99"/>
          <w:szCs w:val="28"/>
          <w:highlight w:val="none"/>
          <w:lang w:val="en-US" w:eastAsia="zh-CN"/>
        </w:rPr>
        <w:t>非甲烷总烃</w:t>
      </w:r>
      <w:r>
        <w:rPr>
          <w:rFonts w:ascii="Times New Roman" w:hAnsi="Times New Roman" w:cs="Times New Roman"/>
          <w:bCs/>
          <w:color w:val="auto"/>
          <w:w w:val="99"/>
          <w:szCs w:val="28"/>
          <w:highlight w:val="none"/>
        </w:rPr>
        <w:t>每天取4次小时浓度值</w:t>
      </w:r>
      <w:r>
        <w:rPr>
          <w:rFonts w:hint="eastAsia" w:ascii="Times New Roman" w:hAnsi="Times New Roman" w:cs="Times New Roman"/>
          <w:bCs/>
          <w:color w:val="auto"/>
          <w:w w:val="99"/>
          <w:szCs w:val="28"/>
          <w:highlight w:val="none"/>
          <w:lang w:eastAsia="zh-CN"/>
        </w:rPr>
        <w:t>，</w:t>
      </w:r>
      <w:r>
        <w:rPr>
          <w:rFonts w:hint="eastAsia" w:ascii="Times New Roman" w:hAnsi="Times New Roman" w:cs="Times New Roman"/>
          <w:bCs/>
          <w:color w:val="auto"/>
          <w:w w:val="99"/>
          <w:szCs w:val="28"/>
          <w:highlight w:val="none"/>
          <w:lang w:val="en-US" w:eastAsia="zh-CN"/>
        </w:rPr>
        <w:t>甲醇取</w:t>
      </w:r>
      <w:r>
        <w:rPr>
          <w:rFonts w:ascii="Times New Roman" w:hAnsi="Times New Roman" w:cs="Times New Roman"/>
          <w:bCs/>
          <w:color w:val="auto"/>
          <w:w w:val="99"/>
          <w:szCs w:val="28"/>
          <w:highlight w:val="none"/>
        </w:rPr>
        <w:t>4次</w:t>
      </w:r>
      <w:r>
        <w:rPr>
          <w:rFonts w:hint="eastAsia" w:ascii="Times New Roman" w:hAnsi="Times New Roman" w:cs="Times New Roman"/>
          <w:bCs/>
          <w:color w:val="auto"/>
          <w:w w:val="99"/>
          <w:szCs w:val="28"/>
          <w:highlight w:val="none"/>
          <w:lang w:val="en-US" w:eastAsia="zh-CN"/>
        </w:rPr>
        <w:t>小时值</w:t>
      </w:r>
      <w:r>
        <w:rPr>
          <w:rFonts w:ascii="Times New Roman" w:hAnsi="Times New Roman" w:cs="Times New Roman"/>
          <w:bCs/>
          <w:color w:val="auto"/>
          <w:w w:val="99"/>
          <w:szCs w:val="28"/>
          <w:highlight w:val="none"/>
        </w:rPr>
        <w:t>。</w:t>
      </w:r>
    </w:p>
    <w:p w14:paraId="36BDBD13">
      <w:pPr>
        <w:widowControl w:val="0"/>
        <w:spacing w:line="44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（4）评价方法</w:t>
      </w:r>
    </w:p>
    <w:p w14:paraId="280B4484">
      <w:pPr>
        <w:widowControl w:val="0"/>
        <w:spacing w:line="44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评价采用最大浓度占标率法，利用各监测点监测数据，统计各类污染物浓度范围、最大浓度占标率、最大超标倍数。数学表达式如下：</w:t>
      </w:r>
    </w:p>
    <w:p w14:paraId="535041C9">
      <w:pPr>
        <w:widowControl w:val="0"/>
        <w:spacing w:line="440" w:lineRule="exact"/>
        <w:ind w:firstLine="474" w:firstLineChars="200"/>
        <w:jc w:val="center"/>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＝C</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/C</w:t>
      </w:r>
      <w:r>
        <w:rPr>
          <w:rFonts w:ascii="Times New Roman" w:hAnsi="Times New Roman" w:cs="Times New Roman" w:eastAsiaTheme="minorEastAsia"/>
          <w:color w:val="auto"/>
          <w:w w:val="99"/>
          <w:szCs w:val="28"/>
          <w:highlight w:val="none"/>
          <w:vertAlign w:val="subscript"/>
        </w:rPr>
        <w:t>oi</w:t>
      </w:r>
      <w:r>
        <w:rPr>
          <w:rFonts w:ascii="Times New Roman" w:hAnsi="Times New Roman" w:cs="Times New Roman" w:eastAsiaTheme="minorEastAsia"/>
          <w:color w:val="auto"/>
          <w:w w:val="99"/>
          <w:szCs w:val="28"/>
          <w:highlight w:val="none"/>
        </w:rPr>
        <w:t>×100%</w:t>
      </w:r>
    </w:p>
    <w:p w14:paraId="48F8A0F3">
      <w:pPr>
        <w:widowControl w:val="0"/>
        <w:spacing w:line="44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式中：I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—第i种污染物的最大浓度占标率，%；</w:t>
      </w:r>
    </w:p>
    <w:p w14:paraId="05435775">
      <w:pPr>
        <w:widowControl w:val="0"/>
        <w:spacing w:line="44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 xml:space="preserve">      C</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—第i种污染物平均浓度，mg/m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w:t>
      </w:r>
    </w:p>
    <w:p w14:paraId="037EDA6E">
      <w:pPr>
        <w:widowControl w:val="0"/>
        <w:spacing w:line="44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 xml:space="preserve">      C</w:t>
      </w:r>
      <w:r>
        <w:rPr>
          <w:rFonts w:ascii="Times New Roman" w:hAnsi="Times New Roman" w:cs="Times New Roman" w:eastAsiaTheme="minorEastAsia"/>
          <w:color w:val="auto"/>
          <w:w w:val="99"/>
          <w:szCs w:val="28"/>
          <w:highlight w:val="none"/>
          <w:vertAlign w:val="subscript"/>
        </w:rPr>
        <w:t>0i</w:t>
      </w:r>
      <w:r>
        <w:rPr>
          <w:rFonts w:ascii="Times New Roman" w:hAnsi="Times New Roman" w:cs="Times New Roman" w:eastAsiaTheme="minorEastAsia"/>
          <w:color w:val="auto"/>
          <w:w w:val="99"/>
          <w:szCs w:val="28"/>
          <w:highlight w:val="none"/>
        </w:rPr>
        <w:t>—第i种污染物环境质量标准，mg/m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w:t>
      </w:r>
    </w:p>
    <w:p w14:paraId="348E66E8">
      <w:pPr>
        <w:widowControl w:val="0"/>
        <w:spacing w:line="44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若I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≥100%，表明该项指标超过了相应的环境空气质量标准，不能满足使用功能要求。若I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＜100%，则该指标满足环境空气质量标准，可以满足使用功能要求。</w:t>
      </w:r>
    </w:p>
    <w:p w14:paraId="560EADEB">
      <w:pPr>
        <w:widowControl w:val="0"/>
        <w:spacing w:line="44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（5）评价标准</w:t>
      </w:r>
    </w:p>
    <w:p w14:paraId="18D321DD">
      <w:pPr>
        <w:widowControl w:val="0"/>
        <w:spacing w:line="44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非甲烷总烃执行《大气污染物综合排放标准详解》中的2.0mg/m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标准限值，甲醇执行标准《环境影响评价技术导则 大气环境》(HJ2.2-2018）附录 D 中甲醇 1h平均浓度参考限值 3.0mg/m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w:t>
      </w:r>
    </w:p>
    <w:p w14:paraId="19278198">
      <w:pPr>
        <w:widowControl w:val="0"/>
        <w:spacing w:line="440" w:lineRule="exact"/>
        <w:ind w:firstLine="474" w:firstLineChars="200"/>
        <w:jc w:val="both"/>
        <w:rPr>
          <w:rFonts w:ascii="Times New Roman" w:hAnsi="Times New Roman" w:cs="Times New Roman"/>
          <w:color w:val="auto"/>
          <w:w w:val="99"/>
          <w:szCs w:val="28"/>
          <w:highlight w:val="none"/>
        </w:rPr>
      </w:pPr>
      <w:r>
        <w:rPr>
          <w:rFonts w:ascii="Times New Roman" w:hAnsi="Times New Roman" w:cs="Times New Roman"/>
          <w:color w:val="auto"/>
          <w:w w:val="99"/>
          <w:szCs w:val="28"/>
          <w:highlight w:val="none"/>
        </w:rPr>
        <w:t>（6）监测及评价结果</w:t>
      </w:r>
    </w:p>
    <w:p w14:paraId="1BA35513">
      <w:pPr>
        <w:widowControl w:val="0"/>
        <w:tabs>
          <w:tab w:val="left" w:pos="5262"/>
        </w:tabs>
        <w:spacing w:line="440" w:lineRule="exact"/>
        <w:ind w:firstLine="474" w:firstLineChars="200"/>
        <w:jc w:val="both"/>
        <w:rPr>
          <w:rFonts w:ascii="Times New Roman" w:hAnsi="Times New Roman" w:cs="Times New Roman"/>
          <w:bCs/>
          <w:color w:val="auto"/>
          <w:w w:val="99"/>
          <w:kern w:val="21"/>
          <w:highlight w:val="none"/>
        </w:rPr>
      </w:pPr>
      <w:r>
        <w:rPr>
          <w:rFonts w:ascii="Times New Roman" w:hAnsi="Times New Roman" w:cs="Times New Roman"/>
          <w:color w:val="auto"/>
          <w:w w:val="99"/>
          <w:szCs w:val="28"/>
          <w:highlight w:val="none"/>
        </w:rPr>
        <w:t>特征污染物现状监测及评价结果详见表</w:t>
      </w:r>
      <w:r>
        <w:rPr>
          <w:rFonts w:ascii="Times New Roman" w:hAnsi="Times New Roman" w:cs="Times New Roman"/>
          <w:color w:val="auto"/>
          <w:w w:val="99"/>
          <w:kern w:val="2"/>
          <w:szCs w:val="20"/>
          <w:highlight w:val="none"/>
        </w:rPr>
        <w:t>4.3-</w:t>
      </w:r>
      <w:r>
        <w:rPr>
          <w:rFonts w:ascii="Times New Roman" w:hAnsi="Times New Roman" w:cs="Times New Roman"/>
          <w:color w:val="auto"/>
          <w:w w:val="99"/>
          <w:szCs w:val="28"/>
          <w:highlight w:val="none"/>
        </w:rPr>
        <w:t>3。</w:t>
      </w:r>
    </w:p>
    <w:p w14:paraId="64037DDC">
      <w:pPr>
        <w:widowControl w:val="0"/>
        <w:tabs>
          <w:tab w:val="left" w:pos="5262"/>
        </w:tabs>
        <w:spacing w:line="440" w:lineRule="exact"/>
        <w:ind w:firstLine="476" w:firstLineChars="200"/>
        <w:jc w:val="both"/>
        <w:rPr>
          <w:rFonts w:ascii="Times New Roman" w:hAnsi="Times New Roman" w:cs="Times New Roman"/>
          <w:b/>
          <w:color w:val="auto"/>
          <w:w w:val="99"/>
          <w:kern w:val="21"/>
          <w:highlight w:val="none"/>
          <w:vertAlign w:val="superscript"/>
        </w:rPr>
      </w:pPr>
      <w:r>
        <w:rPr>
          <w:rFonts w:ascii="Times New Roman" w:hAnsi="Times New Roman" w:cs="Times New Roman"/>
          <w:b/>
          <w:color w:val="auto"/>
          <w:w w:val="99"/>
          <w:kern w:val="21"/>
          <w:highlight w:val="none"/>
        </w:rPr>
        <w:t>表</w:t>
      </w:r>
      <w:r>
        <w:rPr>
          <w:rFonts w:ascii="Times New Roman" w:hAnsi="Times New Roman" w:cs="Times New Roman"/>
          <w:b/>
          <w:color w:val="auto"/>
          <w:w w:val="99"/>
          <w:kern w:val="2"/>
          <w:szCs w:val="20"/>
          <w:highlight w:val="none"/>
        </w:rPr>
        <w:t>4.3-</w:t>
      </w:r>
      <w:r>
        <w:rPr>
          <w:rFonts w:ascii="Times New Roman" w:hAnsi="Times New Roman" w:cs="Times New Roman"/>
          <w:b/>
          <w:color w:val="auto"/>
          <w:w w:val="99"/>
          <w:kern w:val="21"/>
          <w:highlight w:val="none"/>
        </w:rPr>
        <w:t xml:space="preserve">3  </w:t>
      </w:r>
      <w:r>
        <w:rPr>
          <w:rFonts w:ascii="Times New Roman" w:hAnsi="Times New Roman" w:cs="Times New Roman"/>
          <w:b/>
          <w:color w:val="auto"/>
          <w:w w:val="99"/>
          <w:szCs w:val="28"/>
          <w:highlight w:val="none"/>
        </w:rPr>
        <w:t>特征污染物现状监测及评价结果</w:t>
      </w:r>
      <w:r>
        <w:rPr>
          <w:rFonts w:ascii="Times New Roman" w:hAnsi="Times New Roman" w:cs="Times New Roman"/>
          <w:b/>
          <w:color w:val="auto"/>
          <w:w w:val="99"/>
          <w:kern w:val="21"/>
          <w:highlight w:val="none"/>
        </w:rPr>
        <w:t xml:space="preserve">    单位：mg/m</w:t>
      </w:r>
      <w:r>
        <w:rPr>
          <w:rFonts w:ascii="Times New Roman" w:hAnsi="Times New Roman" w:cs="Times New Roman"/>
          <w:b/>
          <w:color w:val="auto"/>
          <w:w w:val="99"/>
          <w:kern w:val="21"/>
          <w:highlight w:val="none"/>
          <w:vertAlign w:val="superscript"/>
        </w:rPr>
        <w:t>3</w:t>
      </w:r>
    </w:p>
    <w:tbl>
      <w:tblPr>
        <w:tblStyle w:val="80"/>
        <w:tblW w:w="90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276"/>
        <w:gridCol w:w="1134"/>
        <w:gridCol w:w="425"/>
        <w:gridCol w:w="567"/>
        <w:gridCol w:w="851"/>
        <w:gridCol w:w="1134"/>
        <w:gridCol w:w="709"/>
        <w:gridCol w:w="567"/>
        <w:gridCol w:w="715"/>
      </w:tblGrid>
      <w:tr w14:paraId="73DED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6" w:type="dxa"/>
            <w:vMerge w:val="restart"/>
            <w:vAlign w:val="center"/>
          </w:tcPr>
          <w:p w14:paraId="631EDB6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w:t>
            </w:r>
          </w:p>
        </w:tc>
        <w:tc>
          <w:tcPr>
            <w:tcW w:w="2410" w:type="dxa"/>
            <w:gridSpan w:val="2"/>
            <w:vAlign w:val="center"/>
          </w:tcPr>
          <w:p w14:paraId="490E6661">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监测点坐标</w:t>
            </w:r>
          </w:p>
        </w:tc>
        <w:tc>
          <w:tcPr>
            <w:tcW w:w="425" w:type="dxa"/>
            <w:vMerge w:val="restart"/>
            <w:vAlign w:val="center"/>
          </w:tcPr>
          <w:p w14:paraId="4FE87C4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w:t>
            </w:r>
          </w:p>
        </w:tc>
        <w:tc>
          <w:tcPr>
            <w:tcW w:w="567" w:type="dxa"/>
            <w:vMerge w:val="restart"/>
            <w:vAlign w:val="center"/>
          </w:tcPr>
          <w:p w14:paraId="009FCAE9">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平均时间</w:t>
            </w:r>
          </w:p>
        </w:tc>
        <w:tc>
          <w:tcPr>
            <w:tcW w:w="851" w:type="dxa"/>
            <w:vMerge w:val="restart"/>
            <w:vAlign w:val="center"/>
          </w:tcPr>
          <w:p w14:paraId="56C5E71C">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w:t>
            </w:r>
          </w:p>
          <w:p w14:paraId="6C8FB67B">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标准</w:t>
            </w:r>
          </w:p>
        </w:tc>
        <w:tc>
          <w:tcPr>
            <w:tcW w:w="1134" w:type="dxa"/>
            <w:vMerge w:val="restart"/>
            <w:vAlign w:val="center"/>
          </w:tcPr>
          <w:p w14:paraId="45E3F264">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监测浓度范围</w:t>
            </w:r>
          </w:p>
        </w:tc>
        <w:tc>
          <w:tcPr>
            <w:tcW w:w="709" w:type="dxa"/>
            <w:vMerge w:val="restart"/>
            <w:vAlign w:val="center"/>
          </w:tcPr>
          <w:p w14:paraId="4481D9D9">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最大浓度占标率%</w:t>
            </w:r>
          </w:p>
        </w:tc>
        <w:tc>
          <w:tcPr>
            <w:tcW w:w="567" w:type="dxa"/>
            <w:vMerge w:val="restart"/>
            <w:vAlign w:val="center"/>
          </w:tcPr>
          <w:p w14:paraId="2FC22DB4">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超标率%</w:t>
            </w:r>
          </w:p>
        </w:tc>
        <w:tc>
          <w:tcPr>
            <w:tcW w:w="715" w:type="dxa"/>
            <w:vMerge w:val="restart"/>
            <w:vAlign w:val="center"/>
          </w:tcPr>
          <w:p w14:paraId="226BD3B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达标情况</w:t>
            </w:r>
          </w:p>
        </w:tc>
      </w:tr>
      <w:tr w14:paraId="55E76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6" w:type="dxa"/>
            <w:vMerge w:val="continue"/>
            <w:vAlign w:val="center"/>
          </w:tcPr>
          <w:p w14:paraId="3513EA30">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1276" w:type="dxa"/>
            <w:vAlign w:val="center"/>
          </w:tcPr>
          <w:p w14:paraId="4D25ACC8">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经度</w:t>
            </w:r>
          </w:p>
        </w:tc>
        <w:tc>
          <w:tcPr>
            <w:tcW w:w="1134" w:type="dxa"/>
            <w:vAlign w:val="center"/>
          </w:tcPr>
          <w:p w14:paraId="5EA96BC7">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纬度</w:t>
            </w:r>
          </w:p>
        </w:tc>
        <w:tc>
          <w:tcPr>
            <w:tcW w:w="425" w:type="dxa"/>
            <w:vMerge w:val="continue"/>
            <w:vAlign w:val="center"/>
          </w:tcPr>
          <w:p w14:paraId="537B3B4A">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567" w:type="dxa"/>
            <w:vMerge w:val="continue"/>
            <w:vAlign w:val="center"/>
          </w:tcPr>
          <w:p w14:paraId="3312A86B">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851" w:type="dxa"/>
            <w:vMerge w:val="continue"/>
            <w:vAlign w:val="center"/>
          </w:tcPr>
          <w:p w14:paraId="384F9A6C">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1134" w:type="dxa"/>
            <w:vMerge w:val="continue"/>
            <w:vAlign w:val="center"/>
          </w:tcPr>
          <w:p w14:paraId="256A73B7">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709" w:type="dxa"/>
            <w:vMerge w:val="continue"/>
            <w:vAlign w:val="center"/>
          </w:tcPr>
          <w:p w14:paraId="57B3575C">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567" w:type="dxa"/>
            <w:vMerge w:val="continue"/>
            <w:vAlign w:val="center"/>
          </w:tcPr>
          <w:p w14:paraId="3C61846A">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715" w:type="dxa"/>
            <w:vMerge w:val="continue"/>
            <w:vAlign w:val="center"/>
          </w:tcPr>
          <w:p w14:paraId="391C7610">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r>
      <w:tr w14:paraId="25A35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6" w:type="dxa"/>
            <w:vAlign w:val="center"/>
          </w:tcPr>
          <w:p w14:paraId="6DFC4625">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拟建徐深27-H1井井场</w:t>
            </w:r>
          </w:p>
        </w:tc>
        <w:tc>
          <w:tcPr>
            <w:tcW w:w="1276" w:type="dxa"/>
            <w:vAlign w:val="center"/>
          </w:tcPr>
          <w:p w14:paraId="2424D37A">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125.50852</w:t>
            </w:r>
          </w:p>
        </w:tc>
        <w:tc>
          <w:tcPr>
            <w:tcW w:w="1134" w:type="dxa"/>
            <w:vAlign w:val="center"/>
          </w:tcPr>
          <w:p w14:paraId="705EC923">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45.89313</w:t>
            </w:r>
          </w:p>
        </w:tc>
        <w:tc>
          <w:tcPr>
            <w:tcW w:w="425" w:type="dxa"/>
            <w:vMerge w:val="restart"/>
            <w:vAlign w:val="center"/>
          </w:tcPr>
          <w:p w14:paraId="0B6E88EE">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非甲烷总烃</w:t>
            </w:r>
          </w:p>
        </w:tc>
        <w:tc>
          <w:tcPr>
            <w:tcW w:w="567" w:type="dxa"/>
            <w:vMerge w:val="restart"/>
            <w:vAlign w:val="center"/>
          </w:tcPr>
          <w:p w14:paraId="543304EC">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1h</w:t>
            </w:r>
          </w:p>
        </w:tc>
        <w:tc>
          <w:tcPr>
            <w:tcW w:w="851" w:type="dxa"/>
            <w:vAlign w:val="center"/>
          </w:tcPr>
          <w:p w14:paraId="193D87A3">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2.0</w:t>
            </w:r>
          </w:p>
        </w:tc>
        <w:tc>
          <w:tcPr>
            <w:tcW w:w="1134" w:type="dxa"/>
            <w:vAlign w:val="center"/>
          </w:tcPr>
          <w:p w14:paraId="1C9011F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0.41-0.60</w:t>
            </w:r>
          </w:p>
        </w:tc>
        <w:tc>
          <w:tcPr>
            <w:tcW w:w="709" w:type="dxa"/>
            <w:vAlign w:val="center"/>
          </w:tcPr>
          <w:p w14:paraId="060BB5E5">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30.0</w:t>
            </w:r>
          </w:p>
        </w:tc>
        <w:tc>
          <w:tcPr>
            <w:tcW w:w="567" w:type="dxa"/>
            <w:vAlign w:val="center"/>
          </w:tcPr>
          <w:p w14:paraId="4D95ED12">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715" w:type="dxa"/>
            <w:vAlign w:val="center"/>
          </w:tcPr>
          <w:p w14:paraId="48685761">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14:paraId="29CDD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6" w:type="dxa"/>
            <w:vAlign w:val="center"/>
          </w:tcPr>
          <w:p w14:paraId="127CCE05">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邢家围子屯</w:t>
            </w:r>
          </w:p>
        </w:tc>
        <w:tc>
          <w:tcPr>
            <w:tcW w:w="1276" w:type="dxa"/>
            <w:vAlign w:val="center"/>
          </w:tcPr>
          <w:p w14:paraId="4F3BFFE6">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125.51307</w:t>
            </w:r>
          </w:p>
        </w:tc>
        <w:tc>
          <w:tcPr>
            <w:tcW w:w="1134" w:type="dxa"/>
            <w:vAlign w:val="center"/>
          </w:tcPr>
          <w:p w14:paraId="3D46B370">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45.89453</w:t>
            </w:r>
          </w:p>
        </w:tc>
        <w:tc>
          <w:tcPr>
            <w:tcW w:w="425" w:type="dxa"/>
            <w:vMerge w:val="continue"/>
            <w:vAlign w:val="center"/>
          </w:tcPr>
          <w:p w14:paraId="3FFD7B95">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567" w:type="dxa"/>
            <w:vMerge w:val="continue"/>
            <w:vAlign w:val="center"/>
          </w:tcPr>
          <w:p w14:paraId="2E933BFA">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851" w:type="dxa"/>
            <w:vAlign w:val="center"/>
          </w:tcPr>
          <w:p w14:paraId="2E53ED41">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2.0</w:t>
            </w:r>
          </w:p>
        </w:tc>
        <w:tc>
          <w:tcPr>
            <w:tcW w:w="1134" w:type="dxa"/>
            <w:vAlign w:val="center"/>
          </w:tcPr>
          <w:p w14:paraId="33C99EF4">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0.40</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lang w:val="en-US" w:eastAsia="zh-CN"/>
              </w:rPr>
              <w:t>0.61</w:t>
            </w:r>
          </w:p>
        </w:tc>
        <w:tc>
          <w:tcPr>
            <w:tcW w:w="709" w:type="dxa"/>
            <w:vAlign w:val="center"/>
          </w:tcPr>
          <w:p w14:paraId="7549D4F0">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30.5</w:t>
            </w:r>
          </w:p>
        </w:tc>
        <w:tc>
          <w:tcPr>
            <w:tcW w:w="567" w:type="dxa"/>
            <w:vAlign w:val="center"/>
          </w:tcPr>
          <w:p w14:paraId="1CCFCDBA">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715" w:type="dxa"/>
            <w:vAlign w:val="center"/>
          </w:tcPr>
          <w:p w14:paraId="1E8F77BF">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14:paraId="103EC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6" w:type="dxa"/>
            <w:shd w:val="clear" w:color="auto" w:fill="auto"/>
            <w:vAlign w:val="center"/>
          </w:tcPr>
          <w:p w14:paraId="72F217F1">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bidi="ar-SA"/>
              </w:rPr>
            </w:pPr>
            <w:r>
              <w:rPr>
                <w:rFonts w:hint="eastAsia" w:ascii="Times New Roman" w:hAnsi="Times New Roman" w:cs="Times New Roman" w:eastAsiaTheme="minorEastAsia"/>
                <w:color w:val="auto"/>
                <w:w w:val="99"/>
                <w:kern w:val="21"/>
                <w:sz w:val="21"/>
                <w:szCs w:val="21"/>
                <w:highlight w:val="none"/>
                <w:lang w:val="en-US" w:eastAsia="zh-CN"/>
              </w:rPr>
              <w:t>拟建徐深27-H1井井场</w:t>
            </w:r>
          </w:p>
        </w:tc>
        <w:tc>
          <w:tcPr>
            <w:tcW w:w="1276" w:type="dxa"/>
            <w:shd w:val="clear" w:color="auto" w:fill="auto"/>
            <w:vAlign w:val="center"/>
          </w:tcPr>
          <w:p w14:paraId="3324A083">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bidi="ar-SA"/>
              </w:rPr>
            </w:pPr>
            <w:r>
              <w:rPr>
                <w:rFonts w:hint="eastAsia" w:ascii="Times New Roman" w:hAnsi="Times New Roman" w:cs="Times New Roman" w:eastAsiaTheme="minorEastAsia"/>
                <w:color w:val="auto"/>
                <w:w w:val="99"/>
                <w:kern w:val="21"/>
                <w:sz w:val="21"/>
                <w:szCs w:val="21"/>
                <w:highlight w:val="none"/>
                <w:lang w:val="en-US" w:eastAsia="zh-CN"/>
              </w:rPr>
              <w:t>125.50852</w:t>
            </w:r>
          </w:p>
        </w:tc>
        <w:tc>
          <w:tcPr>
            <w:tcW w:w="1134" w:type="dxa"/>
            <w:shd w:val="clear" w:color="auto" w:fill="auto"/>
            <w:vAlign w:val="center"/>
          </w:tcPr>
          <w:p w14:paraId="1E5FA00B">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bidi="ar-SA"/>
              </w:rPr>
            </w:pPr>
            <w:r>
              <w:rPr>
                <w:rFonts w:hint="eastAsia" w:ascii="Times New Roman" w:hAnsi="Times New Roman" w:cs="Times New Roman" w:eastAsiaTheme="minorEastAsia"/>
                <w:color w:val="auto"/>
                <w:w w:val="99"/>
                <w:kern w:val="21"/>
                <w:sz w:val="21"/>
                <w:szCs w:val="21"/>
                <w:highlight w:val="none"/>
                <w:lang w:val="en-US" w:eastAsia="zh-CN"/>
              </w:rPr>
              <w:t>45.89313</w:t>
            </w:r>
          </w:p>
        </w:tc>
        <w:tc>
          <w:tcPr>
            <w:tcW w:w="425" w:type="dxa"/>
            <w:vMerge w:val="restart"/>
            <w:vAlign w:val="center"/>
          </w:tcPr>
          <w:p w14:paraId="0A1A34E9">
            <w:pPr>
              <w:adjustRightInd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甲醇</w:t>
            </w:r>
          </w:p>
        </w:tc>
        <w:tc>
          <w:tcPr>
            <w:tcW w:w="567" w:type="dxa"/>
            <w:vMerge w:val="restart"/>
            <w:vAlign w:val="center"/>
          </w:tcPr>
          <w:p w14:paraId="2F8B2163">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1h</w:t>
            </w:r>
          </w:p>
        </w:tc>
        <w:tc>
          <w:tcPr>
            <w:tcW w:w="851" w:type="dxa"/>
            <w:vAlign w:val="center"/>
          </w:tcPr>
          <w:p w14:paraId="11BAB76C">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3.0</w:t>
            </w:r>
          </w:p>
        </w:tc>
        <w:tc>
          <w:tcPr>
            <w:tcW w:w="1134" w:type="dxa"/>
            <w:vAlign w:val="center"/>
          </w:tcPr>
          <w:p w14:paraId="372339A3">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0.3L</w:t>
            </w:r>
          </w:p>
        </w:tc>
        <w:tc>
          <w:tcPr>
            <w:tcW w:w="709" w:type="dxa"/>
            <w:vAlign w:val="center"/>
          </w:tcPr>
          <w:p w14:paraId="1F569A84">
            <w:pPr>
              <w:adjustRightInd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567" w:type="dxa"/>
            <w:vAlign w:val="center"/>
          </w:tcPr>
          <w:p w14:paraId="21471B26">
            <w:pPr>
              <w:adjustRightInd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w:t>
            </w:r>
          </w:p>
        </w:tc>
        <w:tc>
          <w:tcPr>
            <w:tcW w:w="715" w:type="dxa"/>
            <w:vAlign w:val="center"/>
          </w:tcPr>
          <w:p w14:paraId="7B9AB135">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14:paraId="3B197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96" w:type="dxa"/>
            <w:shd w:val="clear" w:color="auto" w:fill="auto"/>
            <w:vAlign w:val="center"/>
          </w:tcPr>
          <w:p w14:paraId="0CEBB4FF">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bidi="ar-SA"/>
              </w:rPr>
            </w:pPr>
            <w:r>
              <w:rPr>
                <w:rFonts w:hint="eastAsia" w:ascii="Times New Roman" w:hAnsi="Times New Roman" w:cs="Times New Roman" w:eastAsiaTheme="minorEastAsia"/>
                <w:color w:val="auto"/>
                <w:w w:val="99"/>
                <w:kern w:val="21"/>
                <w:sz w:val="21"/>
                <w:szCs w:val="21"/>
                <w:highlight w:val="none"/>
                <w:lang w:val="en-US" w:eastAsia="zh-CN"/>
              </w:rPr>
              <w:t>邢家围子屯</w:t>
            </w:r>
          </w:p>
        </w:tc>
        <w:tc>
          <w:tcPr>
            <w:tcW w:w="1276" w:type="dxa"/>
            <w:shd w:val="clear" w:color="auto" w:fill="auto"/>
            <w:vAlign w:val="center"/>
          </w:tcPr>
          <w:p w14:paraId="14DA6E0A">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bidi="ar-SA"/>
              </w:rPr>
            </w:pPr>
            <w:r>
              <w:rPr>
                <w:rFonts w:hint="eastAsia" w:ascii="Times New Roman" w:hAnsi="Times New Roman" w:cs="Times New Roman" w:eastAsiaTheme="minorEastAsia"/>
                <w:color w:val="auto"/>
                <w:w w:val="99"/>
                <w:kern w:val="21"/>
                <w:sz w:val="21"/>
                <w:szCs w:val="21"/>
                <w:highlight w:val="none"/>
                <w:lang w:val="en-US" w:eastAsia="zh-CN"/>
              </w:rPr>
              <w:t>125.51307</w:t>
            </w:r>
          </w:p>
        </w:tc>
        <w:tc>
          <w:tcPr>
            <w:tcW w:w="1134" w:type="dxa"/>
            <w:shd w:val="clear" w:color="auto" w:fill="auto"/>
            <w:vAlign w:val="center"/>
          </w:tcPr>
          <w:p w14:paraId="6ED47B68">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bidi="ar-SA"/>
              </w:rPr>
            </w:pPr>
            <w:r>
              <w:rPr>
                <w:rFonts w:hint="eastAsia" w:ascii="Times New Roman" w:hAnsi="Times New Roman" w:cs="Times New Roman" w:eastAsiaTheme="minorEastAsia"/>
                <w:color w:val="auto"/>
                <w:w w:val="99"/>
                <w:kern w:val="21"/>
                <w:sz w:val="21"/>
                <w:szCs w:val="21"/>
                <w:highlight w:val="none"/>
                <w:lang w:val="en-US" w:eastAsia="zh-CN"/>
              </w:rPr>
              <w:t>45.89453</w:t>
            </w:r>
          </w:p>
        </w:tc>
        <w:tc>
          <w:tcPr>
            <w:tcW w:w="425" w:type="dxa"/>
            <w:vMerge w:val="continue"/>
            <w:vAlign w:val="center"/>
          </w:tcPr>
          <w:p w14:paraId="5350B2C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567" w:type="dxa"/>
            <w:vMerge w:val="continue"/>
            <w:vAlign w:val="center"/>
          </w:tcPr>
          <w:p w14:paraId="1AD05EE2">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851" w:type="dxa"/>
            <w:vAlign w:val="center"/>
          </w:tcPr>
          <w:p w14:paraId="0B1BEB5D">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3.0</w:t>
            </w:r>
          </w:p>
        </w:tc>
        <w:tc>
          <w:tcPr>
            <w:tcW w:w="1134" w:type="dxa"/>
            <w:vAlign w:val="center"/>
          </w:tcPr>
          <w:p w14:paraId="2BCBDE87">
            <w:pPr>
              <w:adjustRightInd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0.3L</w:t>
            </w:r>
          </w:p>
        </w:tc>
        <w:tc>
          <w:tcPr>
            <w:tcW w:w="709" w:type="dxa"/>
            <w:vAlign w:val="center"/>
          </w:tcPr>
          <w:p w14:paraId="2F81B397">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w:t>
            </w:r>
          </w:p>
        </w:tc>
        <w:tc>
          <w:tcPr>
            <w:tcW w:w="567" w:type="dxa"/>
            <w:vAlign w:val="center"/>
          </w:tcPr>
          <w:p w14:paraId="3E84750E">
            <w:pPr>
              <w:adjustRightInd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w:t>
            </w:r>
          </w:p>
        </w:tc>
        <w:tc>
          <w:tcPr>
            <w:tcW w:w="715" w:type="dxa"/>
            <w:vAlign w:val="center"/>
          </w:tcPr>
          <w:p w14:paraId="5C63FE4C">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bl>
    <w:p w14:paraId="33CA4787">
      <w:pPr>
        <w:widowControl w:val="0"/>
        <w:spacing w:line="44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评价结果表明，评价区域特征污染物非甲烷总烃满足《大气污染物综合排放标准详解》中的2.0mg/m</w:t>
      </w:r>
      <w:r>
        <w:rPr>
          <w:rFonts w:ascii="Times New Roman" w:hAnsi="Times New Roman" w:cs="Times New Roman" w:eastAsiaTheme="minorEastAsia"/>
          <w:bCs/>
          <w:color w:val="auto"/>
          <w:w w:val="99"/>
          <w:kern w:val="21"/>
          <w:highlight w:val="none"/>
          <w:vertAlign w:val="superscript"/>
        </w:rPr>
        <w:t>3</w:t>
      </w:r>
      <w:r>
        <w:rPr>
          <w:rFonts w:ascii="Times New Roman" w:hAnsi="Times New Roman" w:cs="Times New Roman" w:eastAsiaTheme="minorEastAsia"/>
          <w:bCs/>
          <w:color w:val="auto"/>
          <w:w w:val="99"/>
          <w:kern w:val="21"/>
          <w:highlight w:val="none"/>
        </w:rPr>
        <w:t>标准限值，</w:t>
      </w:r>
      <w:r>
        <w:rPr>
          <w:rFonts w:ascii="Times New Roman" w:hAnsi="Times New Roman" w:cs="Times New Roman" w:eastAsiaTheme="minorEastAsia"/>
          <w:color w:val="auto"/>
          <w:w w:val="99"/>
          <w:szCs w:val="28"/>
          <w:highlight w:val="none"/>
        </w:rPr>
        <w:t>甲醇</w:t>
      </w:r>
      <w:r>
        <w:rPr>
          <w:rFonts w:hint="eastAsia" w:ascii="Times New Roman" w:hAnsi="Times New Roman" w:cs="Times New Roman" w:eastAsiaTheme="minorEastAsia"/>
          <w:color w:val="auto"/>
          <w:w w:val="99"/>
          <w:szCs w:val="28"/>
          <w:highlight w:val="none"/>
          <w:lang w:val="en-US" w:eastAsia="zh-CN"/>
        </w:rPr>
        <w:t>满足</w:t>
      </w:r>
      <w:r>
        <w:rPr>
          <w:rFonts w:ascii="Times New Roman" w:hAnsi="Times New Roman" w:cs="Times New Roman" w:eastAsiaTheme="minorEastAsia"/>
          <w:color w:val="auto"/>
          <w:w w:val="99"/>
          <w:szCs w:val="28"/>
          <w:highlight w:val="none"/>
        </w:rPr>
        <w:t>标准《环境影响评价技术导则 大气环境》(HJ2.2-2018）附录 D 中甲醇 1h平均浓度参考限值3.0mg/m</w:t>
      </w:r>
      <w:r>
        <w:rPr>
          <w:rFonts w:ascii="Times New Roman" w:hAnsi="Times New Roman" w:cs="Times New Roman" w:eastAsiaTheme="minorEastAsia"/>
          <w:color w:val="auto"/>
          <w:w w:val="99"/>
          <w:szCs w:val="28"/>
          <w:highlight w:val="none"/>
          <w:vertAlign w:val="superscript"/>
        </w:rPr>
        <w:t>3</w:t>
      </w:r>
      <w:r>
        <w:rPr>
          <w:rFonts w:hint="eastAsia" w:ascii="Times New Roman" w:hAnsi="Times New Roman" w:cs="Times New Roman" w:eastAsiaTheme="minorEastAsia"/>
          <w:color w:val="auto"/>
          <w:w w:val="99"/>
          <w:szCs w:val="28"/>
          <w:highlight w:val="none"/>
          <w:vertAlign w:val="baseline"/>
          <w:lang w:eastAsia="zh-CN"/>
        </w:rPr>
        <w:t>。</w:t>
      </w:r>
      <w:r>
        <w:rPr>
          <w:rFonts w:ascii="Times New Roman" w:hAnsi="Times New Roman" w:cs="Times New Roman" w:eastAsiaTheme="minorEastAsia"/>
          <w:bCs/>
          <w:color w:val="auto"/>
          <w:w w:val="99"/>
          <w:kern w:val="21"/>
          <w:highlight w:val="none"/>
        </w:rPr>
        <w:t>说明评价区域内大气环境质量较好。</w:t>
      </w:r>
    </w:p>
    <w:p w14:paraId="5DC26906">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661" w:name="_Toc8019"/>
      <w:bookmarkStart w:id="662" w:name="_Toc57707955"/>
      <w:bookmarkStart w:id="663" w:name="_Toc34124484"/>
      <w:bookmarkStart w:id="664" w:name="_Toc76976286"/>
      <w:bookmarkStart w:id="665" w:name="_Toc61597271"/>
      <w:bookmarkStart w:id="666" w:name="_Toc80588295"/>
      <w:bookmarkStart w:id="667" w:name="_Toc38545055"/>
      <w:bookmarkStart w:id="668" w:name="_Toc70050221"/>
      <w:bookmarkStart w:id="669" w:name="_Toc67860172"/>
      <w:bookmarkStart w:id="670" w:name="_Toc186444322"/>
      <w:bookmarkStart w:id="671" w:name="_Toc78816500"/>
      <w:bookmarkStart w:id="672" w:name="_Toc29643950"/>
      <w:bookmarkStart w:id="673" w:name="_Toc438540826"/>
      <w:bookmarkStart w:id="674" w:name="_Toc430689876"/>
      <w:bookmarkStart w:id="675" w:name="_Toc41655199"/>
      <w:bookmarkStart w:id="676" w:name="_Toc38296422"/>
      <w:bookmarkStart w:id="677" w:name="_Toc29642918"/>
      <w:bookmarkStart w:id="678" w:name="_Toc83209517"/>
      <w:bookmarkStart w:id="679" w:name="_Toc57203285"/>
      <w:bookmarkStart w:id="680" w:name="_Toc77067698"/>
      <w:bookmarkStart w:id="681" w:name="_Toc80971417"/>
      <w:bookmarkStart w:id="682" w:name="_Toc29644702"/>
      <w:bookmarkStart w:id="683" w:name="_Toc430692061"/>
      <w:bookmarkStart w:id="684" w:name="_Toc57976707"/>
      <w:r>
        <w:rPr>
          <w:rFonts w:eastAsia="宋体"/>
          <w:b/>
          <w:color w:val="auto"/>
          <w:w w:val="99"/>
          <w:kern w:val="2"/>
          <w:sz w:val="24"/>
          <w:szCs w:val="24"/>
          <w:highlight w:val="none"/>
        </w:rPr>
        <w:t>4.3.2地下水环境质量现状评价</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0643FB20">
      <w:pPr>
        <w:widowControl w:val="0"/>
        <w:spacing w:line="440" w:lineRule="exact"/>
        <w:ind w:firstLine="474" w:firstLineChars="200"/>
        <w:jc w:val="both"/>
        <w:rPr>
          <w:rFonts w:ascii="Times New Roman" w:hAnsi="Times New Roman" w:cs="Times New Roman"/>
          <w:bCs/>
          <w:color w:val="auto"/>
          <w:w w:val="99"/>
          <w:kern w:val="21"/>
          <w:szCs w:val="20"/>
          <w:highlight w:val="none"/>
        </w:rPr>
      </w:pPr>
      <w:r>
        <w:rPr>
          <w:rFonts w:ascii="Times New Roman" w:hAnsi="Times New Roman" w:cs="Times New Roman"/>
          <w:bCs/>
          <w:color w:val="auto"/>
          <w:w w:val="99"/>
          <w:kern w:val="21"/>
          <w:szCs w:val="20"/>
          <w:highlight w:val="none"/>
        </w:rPr>
        <w:t>根据本项目地层特征，以及地下水含水层特点和区域水资源开发利用情况，参照《环境影响评价技术导则 地下水环境》（HJ 610-2016），详见下表。</w:t>
      </w:r>
    </w:p>
    <w:p w14:paraId="7905BC55">
      <w:pPr>
        <w:widowControl w:val="0"/>
        <w:spacing w:line="440" w:lineRule="exact"/>
        <w:ind w:firstLine="476" w:firstLineChars="200"/>
        <w:jc w:val="both"/>
        <w:rPr>
          <w:rFonts w:ascii="Times New Roman" w:hAnsi="Times New Roman" w:cs="Times New Roman"/>
          <w:b/>
          <w:color w:val="auto"/>
          <w:w w:val="99"/>
          <w:kern w:val="21"/>
          <w:szCs w:val="20"/>
          <w:highlight w:val="none"/>
        </w:rPr>
      </w:pPr>
      <w:r>
        <w:rPr>
          <w:rFonts w:ascii="Times New Roman" w:hAnsi="Times New Roman" w:cs="Times New Roman"/>
          <w:b/>
          <w:color w:val="auto"/>
          <w:w w:val="99"/>
          <w:kern w:val="21"/>
          <w:szCs w:val="20"/>
          <w:highlight w:val="none"/>
        </w:rPr>
        <w:t>表</w:t>
      </w:r>
      <w:r>
        <w:rPr>
          <w:rFonts w:ascii="Times New Roman" w:hAnsi="Times New Roman" w:cs="Times New Roman"/>
          <w:b/>
          <w:color w:val="auto"/>
          <w:w w:val="99"/>
          <w:kern w:val="2"/>
          <w:szCs w:val="20"/>
          <w:highlight w:val="none"/>
        </w:rPr>
        <w:t>4.3-5</w:t>
      </w:r>
      <w:r>
        <w:rPr>
          <w:rFonts w:ascii="Times New Roman" w:hAnsi="Times New Roman" w:cs="Times New Roman"/>
          <w:b/>
          <w:color w:val="auto"/>
          <w:w w:val="99"/>
          <w:kern w:val="21"/>
          <w:szCs w:val="20"/>
          <w:highlight w:val="none"/>
        </w:rPr>
        <w:t xml:space="preserve">    地下水环境现状监测频率参照表</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103"/>
        <w:gridCol w:w="1421"/>
        <w:gridCol w:w="1111"/>
        <w:gridCol w:w="1263"/>
        <w:gridCol w:w="1421"/>
        <w:gridCol w:w="958"/>
      </w:tblGrid>
      <w:tr w14:paraId="62A6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82" w:type="pct"/>
            <w:vAlign w:val="center"/>
          </w:tcPr>
          <w:p w14:paraId="6C17148B">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评价等级</w:t>
            </w:r>
          </w:p>
        </w:tc>
        <w:tc>
          <w:tcPr>
            <w:tcW w:w="1957" w:type="pct"/>
            <w:gridSpan w:val="3"/>
            <w:vAlign w:val="center"/>
          </w:tcPr>
          <w:p w14:paraId="4C7C0883">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水位监测频率</w:t>
            </w:r>
          </w:p>
        </w:tc>
        <w:tc>
          <w:tcPr>
            <w:tcW w:w="1961" w:type="pct"/>
            <w:gridSpan w:val="3"/>
            <w:vAlign w:val="center"/>
          </w:tcPr>
          <w:p w14:paraId="4D5F78B5">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水质监测频率</w:t>
            </w:r>
          </w:p>
        </w:tc>
      </w:tr>
      <w:tr w14:paraId="3D64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2" w:type="pct"/>
            <w:vAlign w:val="center"/>
          </w:tcPr>
          <w:p w14:paraId="2D514D31">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分布区</w:t>
            </w:r>
          </w:p>
        </w:tc>
        <w:tc>
          <w:tcPr>
            <w:tcW w:w="594" w:type="pct"/>
            <w:vAlign w:val="center"/>
          </w:tcPr>
          <w:p w14:paraId="230B1656">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一级</w:t>
            </w:r>
          </w:p>
        </w:tc>
        <w:tc>
          <w:tcPr>
            <w:tcW w:w="765" w:type="pct"/>
            <w:vAlign w:val="center"/>
          </w:tcPr>
          <w:p w14:paraId="7B64AA4B">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二级（√）</w:t>
            </w:r>
          </w:p>
        </w:tc>
        <w:tc>
          <w:tcPr>
            <w:tcW w:w="598" w:type="pct"/>
            <w:vAlign w:val="center"/>
          </w:tcPr>
          <w:p w14:paraId="5FE60345">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三级</w:t>
            </w:r>
          </w:p>
        </w:tc>
        <w:tc>
          <w:tcPr>
            <w:tcW w:w="680" w:type="pct"/>
            <w:vAlign w:val="center"/>
          </w:tcPr>
          <w:p w14:paraId="16184A02">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一级</w:t>
            </w:r>
          </w:p>
        </w:tc>
        <w:tc>
          <w:tcPr>
            <w:tcW w:w="765" w:type="pct"/>
            <w:vAlign w:val="center"/>
          </w:tcPr>
          <w:p w14:paraId="3CDBDD55">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二级（√）</w:t>
            </w:r>
          </w:p>
        </w:tc>
        <w:tc>
          <w:tcPr>
            <w:tcW w:w="515" w:type="pct"/>
            <w:vAlign w:val="center"/>
          </w:tcPr>
          <w:p w14:paraId="59C6DEF8">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三级</w:t>
            </w:r>
          </w:p>
        </w:tc>
      </w:tr>
      <w:tr w14:paraId="7FA7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2" w:type="pct"/>
            <w:vAlign w:val="center"/>
          </w:tcPr>
          <w:p w14:paraId="59ACE96F">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山前冲（洪）积</w:t>
            </w:r>
          </w:p>
        </w:tc>
        <w:tc>
          <w:tcPr>
            <w:tcW w:w="594" w:type="pct"/>
            <w:vAlign w:val="center"/>
          </w:tcPr>
          <w:p w14:paraId="5984382A">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枯平丰</w:t>
            </w:r>
          </w:p>
        </w:tc>
        <w:tc>
          <w:tcPr>
            <w:tcW w:w="765" w:type="pct"/>
            <w:vAlign w:val="center"/>
          </w:tcPr>
          <w:p w14:paraId="406B923A">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枯丰</w:t>
            </w:r>
          </w:p>
        </w:tc>
        <w:tc>
          <w:tcPr>
            <w:tcW w:w="598" w:type="pct"/>
            <w:vAlign w:val="center"/>
          </w:tcPr>
          <w:p w14:paraId="79D59548">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680" w:type="pct"/>
            <w:vAlign w:val="center"/>
          </w:tcPr>
          <w:p w14:paraId="11CCDFAC">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枯平丰</w:t>
            </w:r>
          </w:p>
        </w:tc>
        <w:tc>
          <w:tcPr>
            <w:tcW w:w="765" w:type="pct"/>
            <w:vAlign w:val="center"/>
          </w:tcPr>
          <w:p w14:paraId="7BAD8E57">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枯丰</w:t>
            </w:r>
          </w:p>
        </w:tc>
        <w:tc>
          <w:tcPr>
            <w:tcW w:w="515" w:type="pct"/>
            <w:vAlign w:val="center"/>
          </w:tcPr>
          <w:p w14:paraId="4C3A9D09">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r>
      <w:tr w14:paraId="0B26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82" w:type="pct"/>
            <w:vAlign w:val="center"/>
          </w:tcPr>
          <w:p w14:paraId="4E214B30">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滨海（含填海区）</w:t>
            </w:r>
          </w:p>
        </w:tc>
        <w:tc>
          <w:tcPr>
            <w:tcW w:w="594" w:type="pct"/>
            <w:vAlign w:val="center"/>
          </w:tcPr>
          <w:p w14:paraId="6E4E4F12">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二期a</w:t>
            </w:r>
          </w:p>
        </w:tc>
        <w:tc>
          <w:tcPr>
            <w:tcW w:w="765" w:type="pct"/>
            <w:vAlign w:val="center"/>
          </w:tcPr>
          <w:p w14:paraId="4D3C4F30">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98" w:type="pct"/>
            <w:vAlign w:val="center"/>
          </w:tcPr>
          <w:p w14:paraId="1DB6C2C6">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680" w:type="pct"/>
            <w:vAlign w:val="center"/>
          </w:tcPr>
          <w:p w14:paraId="075AF3B6">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765" w:type="pct"/>
            <w:vAlign w:val="center"/>
          </w:tcPr>
          <w:p w14:paraId="47442F0F">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15" w:type="pct"/>
            <w:vAlign w:val="center"/>
          </w:tcPr>
          <w:p w14:paraId="1DCE3728">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r>
      <w:tr w14:paraId="0E42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2" w:type="pct"/>
            <w:vAlign w:val="center"/>
          </w:tcPr>
          <w:p w14:paraId="667FEF1F">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其他平原区（√）</w:t>
            </w:r>
          </w:p>
        </w:tc>
        <w:tc>
          <w:tcPr>
            <w:tcW w:w="594" w:type="pct"/>
            <w:vAlign w:val="center"/>
          </w:tcPr>
          <w:p w14:paraId="55055672">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枯丰</w:t>
            </w:r>
          </w:p>
        </w:tc>
        <w:tc>
          <w:tcPr>
            <w:tcW w:w="765" w:type="pct"/>
            <w:vAlign w:val="center"/>
          </w:tcPr>
          <w:p w14:paraId="48D2399E">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98" w:type="pct"/>
            <w:vAlign w:val="center"/>
          </w:tcPr>
          <w:p w14:paraId="43F932F2">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680" w:type="pct"/>
            <w:vAlign w:val="center"/>
          </w:tcPr>
          <w:p w14:paraId="4A2451DE">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枯</w:t>
            </w:r>
          </w:p>
        </w:tc>
        <w:tc>
          <w:tcPr>
            <w:tcW w:w="765" w:type="pct"/>
            <w:vAlign w:val="center"/>
          </w:tcPr>
          <w:p w14:paraId="6E659753">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15" w:type="pct"/>
            <w:vAlign w:val="center"/>
          </w:tcPr>
          <w:p w14:paraId="4A6B37A6">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r>
      <w:tr w14:paraId="4326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2" w:type="pct"/>
            <w:vAlign w:val="center"/>
          </w:tcPr>
          <w:p w14:paraId="30431D14">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黄土地区</w:t>
            </w:r>
          </w:p>
        </w:tc>
        <w:tc>
          <w:tcPr>
            <w:tcW w:w="594" w:type="pct"/>
            <w:vAlign w:val="center"/>
          </w:tcPr>
          <w:p w14:paraId="19BF670D">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枯平丰</w:t>
            </w:r>
          </w:p>
        </w:tc>
        <w:tc>
          <w:tcPr>
            <w:tcW w:w="765" w:type="pct"/>
            <w:vAlign w:val="center"/>
          </w:tcPr>
          <w:p w14:paraId="5EE12EF2">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98" w:type="pct"/>
            <w:vAlign w:val="center"/>
          </w:tcPr>
          <w:p w14:paraId="7FD2CFDA">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680" w:type="pct"/>
            <w:vAlign w:val="center"/>
          </w:tcPr>
          <w:p w14:paraId="557CEB82">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二期</w:t>
            </w:r>
          </w:p>
        </w:tc>
        <w:tc>
          <w:tcPr>
            <w:tcW w:w="765" w:type="pct"/>
            <w:vAlign w:val="center"/>
          </w:tcPr>
          <w:p w14:paraId="3463CA3F">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15" w:type="pct"/>
            <w:vAlign w:val="center"/>
          </w:tcPr>
          <w:p w14:paraId="73529B90">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r>
      <w:tr w14:paraId="3399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2" w:type="pct"/>
            <w:vAlign w:val="center"/>
          </w:tcPr>
          <w:p w14:paraId="470CC407">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沙漠地区</w:t>
            </w:r>
          </w:p>
        </w:tc>
        <w:tc>
          <w:tcPr>
            <w:tcW w:w="594" w:type="pct"/>
            <w:vAlign w:val="center"/>
          </w:tcPr>
          <w:p w14:paraId="4FC90CAB">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枯丰</w:t>
            </w:r>
          </w:p>
        </w:tc>
        <w:tc>
          <w:tcPr>
            <w:tcW w:w="765" w:type="pct"/>
            <w:vAlign w:val="center"/>
          </w:tcPr>
          <w:p w14:paraId="6EF7EAF0">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98" w:type="pct"/>
            <w:vAlign w:val="center"/>
          </w:tcPr>
          <w:p w14:paraId="37FCEBD4">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680" w:type="pct"/>
            <w:vAlign w:val="center"/>
          </w:tcPr>
          <w:p w14:paraId="7CEFFA8E">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765" w:type="pct"/>
            <w:vAlign w:val="center"/>
          </w:tcPr>
          <w:p w14:paraId="1D6C11EC">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15" w:type="pct"/>
            <w:vAlign w:val="center"/>
          </w:tcPr>
          <w:p w14:paraId="55F859C8">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r>
      <w:tr w14:paraId="6572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2" w:type="pct"/>
            <w:vAlign w:val="center"/>
          </w:tcPr>
          <w:p w14:paraId="192D7B0A">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丘陵山区</w:t>
            </w:r>
          </w:p>
        </w:tc>
        <w:tc>
          <w:tcPr>
            <w:tcW w:w="594" w:type="pct"/>
            <w:vAlign w:val="center"/>
          </w:tcPr>
          <w:p w14:paraId="00D5ED47">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枯丰</w:t>
            </w:r>
          </w:p>
        </w:tc>
        <w:tc>
          <w:tcPr>
            <w:tcW w:w="765" w:type="pct"/>
            <w:vAlign w:val="center"/>
          </w:tcPr>
          <w:p w14:paraId="29FC6A93">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98" w:type="pct"/>
            <w:vAlign w:val="center"/>
          </w:tcPr>
          <w:p w14:paraId="53916291">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680" w:type="pct"/>
            <w:vAlign w:val="center"/>
          </w:tcPr>
          <w:p w14:paraId="0B7F3FDD">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765" w:type="pct"/>
            <w:vAlign w:val="center"/>
          </w:tcPr>
          <w:p w14:paraId="2BC1C1BA">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15" w:type="pct"/>
            <w:vAlign w:val="center"/>
          </w:tcPr>
          <w:p w14:paraId="4331B823">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r>
      <w:tr w14:paraId="6ABF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2" w:type="pct"/>
            <w:vAlign w:val="center"/>
          </w:tcPr>
          <w:p w14:paraId="61794E7C">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岩溶裂隙</w:t>
            </w:r>
          </w:p>
        </w:tc>
        <w:tc>
          <w:tcPr>
            <w:tcW w:w="594" w:type="pct"/>
            <w:vAlign w:val="center"/>
          </w:tcPr>
          <w:p w14:paraId="05C4E1BD">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枯丰</w:t>
            </w:r>
          </w:p>
        </w:tc>
        <w:tc>
          <w:tcPr>
            <w:tcW w:w="765" w:type="pct"/>
            <w:vAlign w:val="center"/>
          </w:tcPr>
          <w:p w14:paraId="6D14B858">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98" w:type="pct"/>
            <w:vAlign w:val="center"/>
          </w:tcPr>
          <w:p w14:paraId="4EF0FA02">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680" w:type="pct"/>
            <w:vAlign w:val="center"/>
          </w:tcPr>
          <w:p w14:paraId="0DB40A41">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枯丰</w:t>
            </w:r>
          </w:p>
        </w:tc>
        <w:tc>
          <w:tcPr>
            <w:tcW w:w="765" w:type="pct"/>
            <w:vAlign w:val="center"/>
          </w:tcPr>
          <w:p w14:paraId="4EFA05D3">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15" w:type="pct"/>
            <w:vAlign w:val="center"/>
          </w:tcPr>
          <w:p w14:paraId="68BE61EA">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r>
      <w:tr w14:paraId="4D7B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2" w:type="pct"/>
            <w:vAlign w:val="center"/>
          </w:tcPr>
          <w:p w14:paraId="482B1F29">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岩溶管道</w:t>
            </w:r>
          </w:p>
        </w:tc>
        <w:tc>
          <w:tcPr>
            <w:tcW w:w="594" w:type="pct"/>
            <w:vAlign w:val="center"/>
          </w:tcPr>
          <w:p w14:paraId="39573D2A">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二期</w:t>
            </w:r>
          </w:p>
        </w:tc>
        <w:tc>
          <w:tcPr>
            <w:tcW w:w="765" w:type="pct"/>
            <w:vAlign w:val="center"/>
          </w:tcPr>
          <w:p w14:paraId="62D242DB">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98" w:type="pct"/>
            <w:vAlign w:val="center"/>
          </w:tcPr>
          <w:p w14:paraId="375BBA27">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680" w:type="pct"/>
            <w:vAlign w:val="center"/>
          </w:tcPr>
          <w:p w14:paraId="550147E7">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二期</w:t>
            </w:r>
          </w:p>
        </w:tc>
        <w:tc>
          <w:tcPr>
            <w:tcW w:w="765" w:type="pct"/>
            <w:vAlign w:val="center"/>
          </w:tcPr>
          <w:p w14:paraId="2D304BAD">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c>
          <w:tcPr>
            <w:tcW w:w="515" w:type="pct"/>
            <w:vAlign w:val="center"/>
          </w:tcPr>
          <w:p w14:paraId="30D3EEC3">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一期</w:t>
            </w:r>
          </w:p>
        </w:tc>
      </w:tr>
      <w:tr w14:paraId="6D9A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000" w:type="pct"/>
            <w:gridSpan w:val="7"/>
            <w:vAlign w:val="center"/>
          </w:tcPr>
          <w:p w14:paraId="12A56186">
            <w:pPr>
              <w:widowControl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a “二期”的间隔有明显水位变化，其变化幅度接近年内变幅。</w:t>
            </w:r>
          </w:p>
        </w:tc>
      </w:tr>
    </w:tbl>
    <w:p w14:paraId="6247B0C4">
      <w:pPr>
        <w:widowControl w:val="0"/>
        <w:spacing w:line="440" w:lineRule="exact"/>
        <w:ind w:firstLine="474" w:firstLineChars="200"/>
        <w:jc w:val="both"/>
        <w:rPr>
          <w:rFonts w:hint="eastAsia" w:ascii="Times New Roman" w:hAnsi="Times New Roman" w:cs="Times New Roman" w:eastAsiaTheme="minorEastAsia"/>
          <w:color w:val="auto"/>
          <w:w w:val="99"/>
          <w:highlight w:val="none"/>
          <w:lang w:val="en-US" w:eastAsia="zh-CN"/>
        </w:rPr>
      </w:pPr>
      <w:r>
        <w:rPr>
          <w:rFonts w:ascii="Times New Roman" w:hAnsi="Times New Roman" w:cs="Times New Roman" w:eastAsiaTheme="minorEastAsia"/>
          <w:color w:val="auto"/>
          <w:w w:val="99"/>
          <w:highlight w:val="none"/>
        </w:rPr>
        <w:t>根据《环境影响评价技术导则 地下水环境》（HJ610- 2016），本项目地下水评价等级为三级，三级评价项目潜水含水层水质监测点应不少于3个，可能受建设项目影响且具有饮用水开发利用价值的含水层1~2个。原则上建设项目场地上游及下游影响区的地下水水质监测点各不得少于1个；一般情况下，地下水水位监测点数以不小于相应评价级别地下水水质监测点数的 2 倍为宜。本项目监测点位满足要求</w:t>
      </w:r>
      <w:r>
        <w:rPr>
          <w:rFonts w:hint="eastAsia" w:ascii="Times New Roman" w:hAnsi="Times New Roman" w:cs="Times New Roman" w:eastAsiaTheme="minorEastAsia"/>
          <w:color w:val="auto"/>
          <w:w w:val="99"/>
          <w:highlight w:val="none"/>
          <w:lang w:val="en-US" w:eastAsia="zh-CN"/>
        </w:rPr>
        <w:t>。</w:t>
      </w:r>
    </w:p>
    <w:p w14:paraId="6D755478">
      <w:pPr>
        <w:widowControl w:val="0"/>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本项目</w:t>
      </w:r>
      <w:r>
        <w:rPr>
          <w:rFonts w:hint="eastAsia" w:ascii="Times New Roman" w:hAnsi="Times New Roman" w:cs="Times New Roman"/>
          <w:color w:val="auto"/>
          <w:w w:val="99"/>
          <w:highlight w:val="none"/>
          <w:lang w:val="en-US" w:eastAsia="zh-CN"/>
        </w:rPr>
        <w:t>布设4个水质监测点，5个水位监测点，同时引用《徐深气田徐深27-H1钻井工程项目监测报告》中地下水水位及水质监测点位数据。</w:t>
      </w:r>
    </w:p>
    <w:p w14:paraId="49367FA5">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4.3.2.1地下水位监测</w:t>
      </w:r>
    </w:p>
    <w:p w14:paraId="4A5E7BFE">
      <w:pPr>
        <w:widowControl w:val="0"/>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（1）监测点位</w:t>
      </w:r>
    </w:p>
    <w:p w14:paraId="4ACBC71D">
      <w:pPr>
        <w:widowControl w:val="0"/>
        <w:spacing w:line="440" w:lineRule="exact"/>
        <w:ind w:firstLine="474" w:firstLineChars="200"/>
        <w:jc w:val="both"/>
        <w:rPr>
          <w:rFonts w:hint="eastAsia" w:ascii="Times New Roman" w:hAnsi="Times New Roman" w:eastAsia="宋体" w:cs="Times New Roman"/>
          <w:color w:val="auto"/>
          <w:w w:val="99"/>
          <w:highlight w:val="none"/>
          <w:lang w:eastAsia="zh-CN"/>
        </w:rPr>
      </w:pPr>
      <w:r>
        <w:rPr>
          <w:rFonts w:ascii="Times New Roman" w:hAnsi="Times New Roman" w:cs="Times New Roman"/>
          <w:color w:val="auto"/>
          <w:w w:val="99"/>
          <w:highlight w:val="none"/>
        </w:rPr>
        <w:t>根据本项目地层特征，以及地下水含水层特点和区域水资源开发利用情况，参照《环境影响评价技术导则 地下水环境》（HJ 610-2016），项目区域内共布设</w:t>
      </w:r>
      <w:r>
        <w:rPr>
          <w:rFonts w:hint="eastAsia" w:ascii="Times New Roman" w:hAnsi="Times New Roman" w:cs="Times New Roman"/>
          <w:color w:val="auto"/>
          <w:w w:val="99"/>
          <w:highlight w:val="none"/>
          <w:lang w:val="en-US" w:eastAsia="zh-CN"/>
        </w:rPr>
        <w:t>15</w:t>
      </w:r>
      <w:r>
        <w:rPr>
          <w:rFonts w:ascii="Times New Roman" w:hAnsi="Times New Roman" w:cs="Times New Roman"/>
          <w:color w:val="auto"/>
          <w:w w:val="99"/>
          <w:highlight w:val="none"/>
        </w:rPr>
        <w:t>个地下水水位监测点，</w:t>
      </w:r>
      <w:r>
        <w:rPr>
          <w:rFonts w:ascii="Times New Roman" w:hAnsi="Times New Roman" w:cs="Times New Roman" w:eastAsiaTheme="minorEastAsia"/>
          <w:color w:val="auto"/>
          <w:w w:val="99"/>
          <w:highlight w:val="none"/>
        </w:rPr>
        <w:t>其中，潜水水位监测点</w:t>
      </w:r>
      <w:r>
        <w:rPr>
          <w:rFonts w:hint="eastAsia" w:ascii="Times New Roman" w:hAnsi="Times New Roman" w:cs="Times New Roman" w:eastAsiaTheme="minorEastAsia"/>
          <w:color w:val="auto"/>
          <w:w w:val="99"/>
          <w:highlight w:val="none"/>
          <w:lang w:val="en-US" w:eastAsia="zh-CN"/>
        </w:rPr>
        <w:t>11</w:t>
      </w:r>
      <w:r>
        <w:rPr>
          <w:rFonts w:ascii="Times New Roman" w:hAnsi="Times New Roman" w:cs="Times New Roman" w:eastAsiaTheme="minorEastAsia"/>
          <w:color w:val="auto"/>
          <w:w w:val="99"/>
          <w:highlight w:val="none"/>
        </w:rPr>
        <w:t>个，承压水水位监测点</w:t>
      </w:r>
      <w:r>
        <w:rPr>
          <w:rFonts w:hint="eastAsia" w:ascii="Times New Roman" w:hAnsi="Times New Roman" w:cs="Times New Roman" w:eastAsiaTheme="minorEastAsia"/>
          <w:color w:val="auto"/>
          <w:w w:val="99"/>
          <w:highlight w:val="none"/>
          <w:lang w:val="en-US" w:eastAsia="zh-CN"/>
        </w:rPr>
        <w:t>4</w:t>
      </w:r>
      <w:r>
        <w:rPr>
          <w:rFonts w:ascii="Times New Roman" w:hAnsi="Times New Roman" w:cs="Times New Roman" w:eastAsiaTheme="minorEastAsia"/>
          <w:color w:val="auto"/>
          <w:w w:val="99"/>
          <w:highlight w:val="none"/>
        </w:rPr>
        <w:t>个，地下水水位监测具体</w:t>
      </w:r>
      <w:r>
        <w:rPr>
          <w:rFonts w:ascii="Times New Roman" w:hAnsi="Times New Roman" w:cs="Times New Roman"/>
          <w:color w:val="auto"/>
          <w:w w:val="99"/>
          <w:highlight w:val="none"/>
        </w:rPr>
        <w:t>见下表。</w:t>
      </w:r>
    </w:p>
    <w:p w14:paraId="06A28C24">
      <w:pPr>
        <w:widowControl w:val="0"/>
        <w:spacing w:line="440" w:lineRule="exact"/>
        <w:ind w:firstLine="476" w:firstLineChars="200"/>
        <w:jc w:val="both"/>
        <w:rPr>
          <w:rFonts w:ascii="Times New Roman" w:hAnsi="Times New Roman" w:cs="Times New Roman"/>
          <w:b/>
          <w:color w:val="auto"/>
          <w:w w:val="99"/>
          <w:kern w:val="21"/>
          <w:szCs w:val="20"/>
          <w:highlight w:val="none"/>
        </w:rPr>
      </w:pPr>
      <w:r>
        <w:rPr>
          <w:rFonts w:ascii="Times New Roman" w:hAnsi="Times New Roman" w:cs="Times New Roman"/>
          <w:b/>
          <w:color w:val="auto"/>
          <w:w w:val="99"/>
          <w:kern w:val="21"/>
          <w:szCs w:val="20"/>
          <w:highlight w:val="none"/>
        </w:rPr>
        <w:t>表4.3-6    地下水水位监测点基本情况表</w:t>
      </w:r>
    </w:p>
    <w:tbl>
      <w:tblPr>
        <w:tblStyle w:val="8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1"/>
        <w:gridCol w:w="2181"/>
        <w:gridCol w:w="1349"/>
        <w:gridCol w:w="1092"/>
        <w:gridCol w:w="1092"/>
        <w:gridCol w:w="1339"/>
        <w:gridCol w:w="1429"/>
      </w:tblGrid>
      <w:tr w14:paraId="7F375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259AA276">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编号</w:t>
            </w:r>
          </w:p>
        </w:tc>
        <w:tc>
          <w:tcPr>
            <w:tcW w:w="1174" w:type="pct"/>
            <w:vAlign w:val="center"/>
          </w:tcPr>
          <w:p w14:paraId="5EC3BF4F">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监测点位置</w:t>
            </w:r>
          </w:p>
        </w:tc>
        <w:tc>
          <w:tcPr>
            <w:tcW w:w="726" w:type="pct"/>
            <w:vAlign w:val="center"/>
          </w:tcPr>
          <w:p w14:paraId="4AD40817">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与项目方位关系</w:t>
            </w:r>
          </w:p>
        </w:tc>
        <w:tc>
          <w:tcPr>
            <w:tcW w:w="588" w:type="pct"/>
            <w:vAlign w:val="center"/>
          </w:tcPr>
          <w:p w14:paraId="18CAE64E">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监测层位</w:t>
            </w:r>
          </w:p>
        </w:tc>
        <w:tc>
          <w:tcPr>
            <w:tcW w:w="588" w:type="pct"/>
            <w:vAlign w:val="center"/>
          </w:tcPr>
          <w:p w14:paraId="246221EB">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井深m</w:t>
            </w:r>
          </w:p>
        </w:tc>
        <w:tc>
          <w:tcPr>
            <w:tcW w:w="721" w:type="pct"/>
            <w:vAlign w:val="center"/>
          </w:tcPr>
          <w:p w14:paraId="451D469E">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水位（m）</w:t>
            </w:r>
          </w:p>
        </w:tc>
        <w:tc>
          <w:tcPr>
            <w:tcW w:w="769" w:type="pct"/>
            <w:vAlign w:val="center"/>
          </w:tcPr>
          <w:p w14:paraId="1F09A18D">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水井功能</w:t>
            </w:r>
          </w:p>
        </w:tc>
      </w:tr>
      <w:tr w14:paraId="4852D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6AEDA628">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1174" w:type="pct"/>
            <w:tcBorders>
              <w:bottom w:val="single" w:color="auto" w:sz="4" w:space="0"/>
            </w:tcBorders>
            <w:vAlign w:val="center"/>
          </w:tcPr>
          <w:p w14:paraId="34298438">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尚家围子</w:t>
            </w:r>
            <w:r>
              <w:rPr>
                <w:rFonts w:hint="eastAsia" w:ascii="Times New Roman" w:hAnsi="Times New Roman" w:cs="Times New Roman" w:eastAsiaTheme="minorEastAsia"/>
                <w:color w:val="auto"/>
                <w:w w:val="99"/>
                <w:sz w:val="21"/>
                <w:szCs w:val="21"/>
                <w:highlight w:val="none"/>
              </w:rPr>
              <w:t>屯</w:t>
            </w:r>
            <w:r>
              <w:rPr>
                <w:rFonts w:hint="eastAsia" w:ascii="Times New Roman" w:hAnsi="Times New Roman" w:cs="Times New Roman" w:eastAsiaTheme="minorEastAsia"/>
                <w:color w:val="auto"/>
                <w:w w:val="99"/>
                <w:sz w:val="21"/>
                <w:szCs w:val="21"/>
                <w:highlight w:val="none"/>
                <w:lang w:eastAsia="zh-CN"/>
              </w:rPr>
              <w:t>吕家</w:t>
            </w:r>
            <w:r>
              <w:rPr>
                <w:rFonts w:hint="eastAsia" w:ascii="Times New Roman" w:hAnsi="Times New Roman" w:cs="Times New Roman" w:eastAsiaTheme="minorEastAsia"/>
                <w:color w:val="auto"/>
                <w:w w:val="99"/>
                <w:sz w:val="21"/>
                <w:szCs w:val="21"/>
                <w:highlight w:val="none"/>
                <w:lang w:val="en-US" w:eastAsia="zh-CN"/>
              </w:rPr>
              <w:t>水</w:t>
            </w:r>
            <w:r>
              <w:rPr>
                <w:rFonts w:hint="eastAsia" w:ascii="Times New Roman" w:hAnsi="Times New Roman" w:cs="Times New Roman" w:eastAsiaTheme="minorEastAsia"/>
                <w:color w:val="auto"/>
                <w:w w:val="99"/>
                <w:sz w:val="21"/>
                <w:szCs w:val="21"/>
                <w:highlight w:val="none"/>
              </w:rPr>
              <w:t>井</w:t>
            </w:r>
          </w:p>
        </w:tc>
        <w:tc>
          <w:tcPr>
            <w:tcW w:w="726" w:type="pct"/>
            <w:tcBorders>
              <w:bottom w:val="single" w:color="auto" w:sz="4" w:space="0"/>
            </w:tcBorders>
            <w:vAlign w:val="center"/>
          </w:tcPr>
          <w:p w14:paraId="0EDDD7E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侧向</w:t>
            </w:r>
          </w:p>
        </w:tc>
        <w:tc>
          <w:tcPr>
            <w:tcW w:w="588" w:type="pct"/>
            <w:tcBorders>
              <w:bottom w:val="single" w:color="auto" w:sz="4" w:space="0"/>
            </w:tcBorders>
            <w:vAlign w:val="center"/>
          </w:tcPr>
          <w:p w14:paraId="1755885E">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c>
          <w:tcPr>
            <w:tcW w:w="588" w:type="pct"/>
            <w:vAlign w:val="center"/>
          </w:tcPr>
          <w:p w14:paraId="525C0CCE">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w:t>
            </w:r>
          </w:p>
        </w:tc>
        <w:tc>
          <w:tcPr>
            <w:tcW w:w="721" w:type="pct"/>
            <w:shd w:val="clear" w:color="auto" w:fill="auto"/>
            <w:vAlign w:val="center"/>
          </w:tcPr>
          <w:p w14:paraId="1940E442">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171.2</w:t>
            </w:r>
          </w:p>
        </w:tc>
        <w:tc>
          <w:tcPr>
            <w:tcW w:w="769" w:type="pct"/>
            <w:vAlign w:val="center"/>
          </w:tcPr>
          <w:p w14:paraId="233304B3">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33967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29A7F332">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1174" w:type="pct"/>
            <w:tcBorders>
              <w:top w:val="single" w:color="auto" w:sz="4" w:space="0"/>
            </w:tcBorders>
            <w:vAlign w:val="center"/>
          </w:tcPr>
          <w:p w14:paraId="0316D379">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邢家围子屯周家水</w:t>
            </w:r>
            <w:r>
              <w:rPr>
                <w:rFonts w:hint="eastAsia" w:ascii="Times New Roman" w:hAnsi="Times New Roman" w:cs="Times New Roman" w:eastAsiaTheme="minorEastAsia"/>
                <w:color w:val="auto"/>
                <w:w w:val="99"/>
                <w:sz w:val="21"/>
                <w:szCs w:val="21"/>
                <w:highlight w:val="none"/>
              </w:rPr>
              <w:t>井</w:t>
            </w:r>
          </w:p>
        </w:tc>
        <w:tc>
          <w:tcPr>
            <w:tcW w:w="726" w:type="pct"/>
            <w:tcBorders>
              <w:top w:val="single" w:color="auto" w:sz="4" w:space="0"/>
            </w:tcBorders>
            <w:vAlign w:val="center"/>
          </w:tcPr>
          <w:p w14:paraId="653D847A">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侧向</w:t>
            </w:r>
          </w:p>
        </w:tc>
        <w:tc>
          <w:tcPr>
            <w:tcW w:w="588" w:type="pct"/>
            <w:tcBorders>
              <w:top w:val="single" w:color="auto" w:sz="4" w:space="0"/>
            </w:tcBorders>
            <w:vAlign w:val="center"/>
          </w:tcPr>
          <w:p w14:paraId="0B5695B8">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c>
          <w:tcPr>
            <w:tcW w:w="588" w:type="pct"/>
            <w:vAlign w:val="center"/>
          </w:tcPr>
          <w:p w14:paraId="4431CDC4">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20</w:t>
            </w:r>
          </w:p>
        </w:tc>
        <w:tc>
          <w:tcPr>
            <w:tcW w:w="721" w:type="pct"/>
            <w:shd w:val="clear" w:color="auto" w:fill="auto"/>
            <w:vAlign w:val="center"/>
          </w:tcPr>
          <w:p w14:paraId="469BAB90">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171.0</w:t>
            </w:r>
          </w:p>
        </w:tc>
        <w:tc>
          <w:tcPr>
            <w:tcW w:w="769" w:type="pct"/>
            <w:vAlign w:val="center"/>
          </w:tcPr>
          <w:p w14:paraId="16EF13E4">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051DA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08C88274">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1174" w:type="pct"/>
            <w:tcBorders>
              <w:bottom w:val="single" w:color="auto" w:sz="4" w:space="0"/>
            </w:tcBorders>
            <w:vAlign w:val="center"/>
          </w:tcPr>
          <w:p w14:paraId="7983328C">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王家围子屯王家水</w:t>
            </w:r>
            <w:r>
              <w:rPr>
                <w:rFonts w:hint="eastAsia" w:ascii="Times New Roman" w:hAnsi="Times New Roman" w:cs="Times New Roman" w:eastAsiaTheme="minorEastAsia"/>
                <w:color w:val="auto"/>
                <w:w w:val="99"/>
                <w:sz w:val="21"/>
                <w:szCs w:val="21"/>
                <w:highlight w:val="none"/>
              </w:rPr>
              <w:t>井</w:t>
            </w:r>
          </w:p>
        </w:tc>
        <w:tc>
          <w:tcPr>
            <w:tcW w:w="726" w:type="pct"/>
            <w:tcBorders>
              <w:bottom w:val="single" w:color="auto" w:sz="4" w:space="0"/>
            </w:tcBorders>
            <w:vAlign w:val="center"/>
          </w:tcPr>
          <w:p w14:paraId="14E7BEB3">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上游</w:t>
            </w:r>
          </w:p>
        </w:tc>
        <w:tc>
          <w:tcPr>
            <w:tcW w:w="588" w:type="pct"/>
            <w:tcBorders>
              <w:bottom w:val="single" w:color="auto" w:sz="4" w:space="0"/>
            </w:tcBorders>
            <w:vAlign w:val="center"/>
          </w:tcPr>
          <w:p w14:paraId="181F8265">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c>
          <w:tcPr>
            <w:tcW w:w="588" w:type="pct"/>
            <w:vAlign w:val="center"/>
          </w:tcPr>
          <w:p w14:paraId="34336723">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w:t>
            </w:r>
          </w:p>
        </w:tc>
        <w:tc>
          <w:tcPr>
            <w:tcW w:w="721" w:type="pct"/>
            <w:shd w:val="clear" w:color="auto" w:fill="auto"/>
            <w:vAlign w:val="center"/>
          </w:tcPr>
          <w:p w14:paraId="265779E9">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172.3</w:t>
            </w:r>
          </w:p>
        </w:tc>
        <w:tc>
          <w:tcPr>
            <w:tcW w:w="769" w:type="pct"/>
            <w:vAlign w:val="center"/>
          </w:tcPr>
          <w:p w14:paraId="4017759F">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0A1F1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435B4ACE">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w:t>
            </w:r>
          </w:p>
        </w:tc>
        <w:tc>
          <w:tcPr>
            <w:tcW w:w="1174" w:type="pct"/>
            <w:tcBorders>
              <w:top w:val="single" w:color="auto" w:sz="4" w:space="0"/>
            </w:tcBorders>
            <w:vAlign w:val="center"/>
          </w:tcPr>
          <w:p w14:paraId="1442DAF3">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杨家</w:t>
            </w:r>
            <w:r>
              <w:rPr>
                <w:rFonts w:hint="eastAsia" w:ascii="Times New Roman" w:hAnsi="Times New Roman" w:cs="Times New Roman" w:eastAsiaTheme="minorEastAsia"/>
                <w:color w:val="auto"/>
                <w:w w:val="99"/>
                <w:sz w:val="21"/>
                <w:szCs w:val="21"/>
                <w:highlight w:val="none"/>
              </w:rPr>
              <w:t>屯</w:t>
            </w:r>
            <w:r>
              <w:rPr>
                <w:rFonts w:hint="eastAsia" w:ascii="Times New Roman" w:hAnsi="Times New Roman" w:cs="Times New Roman" w:eastAsiaTheme="minorEastAsia"/>
                <w:color w:val="auto"/>
                <w:w w:val="99"/>
                <w:sz w:val="21"/>
                <w:szCs w:val="21"/>
                <w:highlight w:val="none"/>
                <w:lang w:val="en-US" w:eastAsia="zh-CN"/>
              </w:rPr>
              <w:t>陈家水</w:t>
            </w:r>
            <w:r>
              <w:rPr>
                <w:rFonts w:hint="eastAsia" w:ascii="Times New Roman" w:hAnsi="Times New Roman" w:cs="Times New Roman" w:eastAsiaTheme="minorEastAsia"/>
                <w:color w:val="auto"/>
                <w:w w:val="99"/>
                <w:sz w:val="21"/>
                <w:szCs w:val="21"/>
                <w:highlight w:val="none"/>
              </w:rPr>
              <w:t>井</w:t>
            </w:r>
          </w:p>
        </w:tc>
        <w:tc>
          <w:tcPr>
            <w:tcW w:w="726" w:type="pct"/>
            <w:tcBorders>
              <w:top w:val="single" w:color="auto" w:sz="4" w:space="0"/>
            </w:tcBorders>
            <w:vAlign w:val="center"/>
          </w:tcPr>
          <w:p w14:paraId="2729FBD2">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下游</w:t>
            </w:r>
          </w:p>
        </w:tc>
        <w:tc>
          <w:tcPr>
            <w:tcW w:w="588" w:type="pct"/>
            <w:tcBorders>
              <w:top w:val="single" w:color="auto" w:sz="4" w:space="0"/>
            </w:tcBorders>
            <w:vAlign w:val="center"/>
          </w:tcPr>
          <w:p w14:paraId="22636795">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c>
          <w:tcPr>
            <w:tcW w:w="588" w:type="pct"/>
            <w:vAlign w:val="center"/>
          </w:tcPr>
          <w:p w14:paraId="50993095">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w:t>
            </w:r>
          </w:p>
        </w:tc>
        <w:tc>
          <w:tcPr>
            <w:tcW w:w="721" w:type="pct"/>
            <w:shd w:val="clear" w:color="auto" w:fill="auto"/>
            <w:vAlign w:val="center"/>
          </w:tcPr>
          <w:p w14:paraId="370B007F">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169.8</w:t>
            </w:r>
          </w:p>
        </w:tc>
        <w:tc>
          <w:tcPr>
            <w:tcW w:w="769" w:type="pct"/>
            <w:vAlign w:val="center"/>
          </w:tcPr>
          <w:p w14:paraId="25B8F6C6">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3E202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7155817A">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w:t>
            </w:r>
          </w:p>
        </w:tc>
        <w:tc>
          <w:tcPr>
            <w:tcW w:w="1174" w:type="pct"/>
            <w:tcBorders>
              <w:bottom w:val="single" w:color="auto" w:sz="4" w:space="0"/>
            </w:tcBorders>
            <w:vAlign w:val="center"/>
          </w:tcPr>
          <w:p w14:paraId="50E941C9">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大太平川</w:t>
            </w:r>
            <w:r>
              <w:rPr>
                <w:rFonts w:hint="eastAsia" w:ascii="Times New Roman" w:hAnsi="Times New Roman" w:cs="Times New Roman" w:eastAsiaTheme="minorEastAsia"/>
                <w:color w:val="auto"/>
                <w:w w:val="99"/>
                <w:sz w:val="21"/>
                <w:szCs w:val="21"/>
                <w:highlight w:val="none"/>
                <w:lang w:val="en-US" w:eastAsia="zh-CN"/>
              </w:rPr>
              <w:t>张家水</w:t>
            </w:r>
            <w:r>
              <w:rPr>
                <w:rFonts w:hint="eastAsia" w:ascii="Times New Roman" w:hAnsi="Times New Roman" w:cs="Times New Roman" w:eastAsiaTheme="minorEastAsia"/>
                <w:color w:val="auto"/>
                <w:w w:val="99"/>
                <w:sz w:val="21"/>
                <w:szCs w:val="21"/>
                <w:highlight w:val="none"/>
              </w:rPr>
              <w:t>井</w:t>
            </w:r>
          </w:p>
        </w:tc>
        <w:tc>
          <w:tcPr>
            <w:tcW w:w="726" w:type="pct"/>
            <w:tcBorders>
              <w:bottom w:val="single" w:color="auto" w:sz="4" w:space="0"/>
            </w:tcBorders>
            <w:vAlign w:val="center"/>
          </w:tcPr>
          <w:p w14:paraId="29C8702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上游</w:t>
            </w:r>
          </w:p>
        </w:tc>
        <w:tc>
          <w:tcPr>
            <w:tcW w:w="588" w:type="pct"/>
            <w:tcBorders>
              <w:bottom w:val="single" w:color="auto" w:sz="4" w:space="0"/>
            </w:tcBorders>
            <w:vAlign w:val="center"/>
          </w:tcPr>
          <w:p w14:paraId="52C6732A">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c>
          <w:tcPr>
            <w:tcW w:w="588" w:type="pct"/>
            <w:vAlign w:val="center"/>
          </w:tcPr>
          <w:p w14:paraId="46067B24">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w:t>
            </w:r>
          </w:p>
        </w:tc>
        <w:tc>
          <w:tcPr>
            <w:tcW w:w="721" w:type="pct"/>
            <w:shd w:val="clear" w:color="auto" w:fill="auto"/>
            <w:vAlign w:val="center"/>
          </w:tcPr>
          <w:p w14:paraId="2591D090">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172.5</w:t>
            </w:r>
          </w:p>
        </w:tc>
        <w:tc>
          <w:tcPr>
            <w:tcW w:w="769" w:type="pct"/>
            <w:vAlign w:val="center"/>
          </w:tcPr>
          <w:p w14:paraId="38A5A3F9">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54CA1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4397E063">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w:t>
            </w:r>
          </w:p>
        </w:tc>
        <w:tc>
          <w:tcPr>
            <w:tcW w:w="1174" w:type="pct"/>
            <w:tcBorders>
              <w:top w:val="single" w:color="auto" w:sz="4" w:space="0"/>
            </w:tcBorders>
            <w:vAlign w:val="center"/>
          </w:tcPr>
          <w:p w14:paraId="029BBDF3">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后柜屯</w:t>
            </w:r>
            <w:r>
              <w:rPr>
                <w:rFonts w:hint="eastAsia" w:ascii="Times New Roman" w:hAnsi="Times New Roman" w:cs="Times New Roman" w:eastAsiaTheme="minorEastAsia"/>
                <w:color w:val="auto"/>
                <w:w w:val="99"/>
                <w:sz w:val="21"/>
                <w:szCs w:val="21"/>
                <w:highlight w:val="none"/>
                <w:lang w:val="en-US" w:eastAsia="zh-CN"/>
              </w:rPr>
              <w:t>赵家水</w:t>
            </w:r>
            <w:r>
              <w:rPr>
                <w:rFonts w:hint="eastAsia" w:ascii="Times New Roman" w:hAnsi="Times New Roman" w:cs="Times New Roman" w:eastAsiaTheme="minorEastAsia"/>
                <w:color w:val="auto"/>
                <w:w w:val="99"/>
                <w:sz w:val="21"/>
                <w:szCs w:val="21"/>
                <w:highlight w:val="none"/>
              </w:rPr>
              <w:t>井</w:t>
            </w:r>
          </w:p>
        </w:tc>
        <w:tc>
          <w:tcPr>
            <w:tcW w:w="726" w:type="pct"/>
            <w:tcBorders>
              <w:top w:val="single" w:color="auto" w:sz="4" w:space="0"/>
            </w:tcBorders>
            <w:vAlign w:val="center"/>
          </w:tcPr>
          <w:p w14:paraId="10429350">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侧向</w:t>
            </w:r>
          </w:p>
        </w:tc>
        <w:tc>
          <w:tcPr>
            <w:tcW w:w="588" w:type="pct"/>
            <w:tcBorders>
              <w:top w:val="single" w:color="auto" w:sz="4" w:space="0"/>
            </w:tcBorders>
            <w:vAlign w:val="center"/>
          </w:tcPr>
          <w:p w14:paraId="33059DCF">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c>
          <w:tcPr>
            <w:tcW w:w="588" w:type="pct"/>
            <w:vAlign w:val="center"/>
          </w:tcPr>
          <w:p w14:paraId="13138EFE">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w:t>
            </w:r>
          </w:p>
        </w:tc>
        <w:tc>
          <w:tcPr>
            <w:tcW w:w="721" w:type="pct"/>
            <w:shd w:val="clear" w:color="auto" w:fill="auto"/>
            <w:vAlign w:val="center"/>
          </w:tcPr>
          <w:p w14:paraId="3E42A609">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171.4</w:t>
            </w:r>
          </w:p>
        </w:tc>
        <w:tc>
          <w:tcPr>
            <w:tcW w:w="769" w:type="pct"/>
            <w:vAlign w:val="center"/>
          </w:tcPr>
          <w:p w14:paraId="4596AE14">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10AC1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431" w:type="pct"/>
            <w:vAlign w:val="center"/>
          </w:tcPr>
          <w:p w14:paraId="1644130C">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7#</w:t>
            </w:r>
          </w:p>
        </w:tc>
        <w:tc>
          <w:tcPr>
            <w:tcW w:w="1174" w:type="pct"/>
            <w:tcBorders>
              <w:bottom w:val="single" w:color="auto" w:sz="4" w:space="0"/>
            </w:tcBorders>
            <w:vAlign w:val="center"/>
          </w:tcPr>
          <w:p w14:paraId="7FE56B02">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崔永宝屯</w:t>
            </w:r>
            <w:r>
              <w:rPr>
                <w:rFonts w:hint="eastAsia" w:ascii="Times New Roman" w:hAnsi="Times New Roman" w:cs="Times New Roman" w:eastAsiaTheme="minorEastAsia"/>
                <w:color w:val="auto"/>
                <w:w w:val="99"/>
                <w:sz w:val="21"/>
                <w:szCs w:val="21"/>
                <w:highlight w:val="none"/>
                <w:lang w:val="en-US" w:eastAsia="zh-CN"/>
              </w:rPr>
              <w:t>李家水</w:t>
            </w:r>
            <w:r>
              <w:rPr>
                <w:rFonts w:hint="eastAsia" w:ascii="Times New Roman" w:hAnsi="Times New Roman" w:cs="Times New Roman" w:eastAsiaTheme="minorEastAsia"/>
                <w:color w:val="auto"/>
                <w:w w:val="99"/>
                <w:sz w:val="21"/>
                <w:szCs w:val="21"/>
                <w:highlight w:val="none"/>
              </w:rPr>
              <w:t>井</w:t>
            </w:r>
          </w:p>
        </w:tc>
        <w:tc>
          <w:tcPr>
            <w:tcW w:w="726" w:type="pct"/>
            <w:tcBorders>
              <w:bottom w:val="single" w:color="auto" w:sz="4" w:space="0"/>
            </w:tcBorders>
            <w:vAlign w:val="center"/>
          </w:tcPr>
          <w:p w14:paraId="677D52C4">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下游</w:t>
            </w:r>
          </w:p>
        </w:tc>
        <w:tc>
          <w:tcPr>
            <w:tcW w:w="588" w:type="pct"/>
            <w:tcBorders>
              <w:bottom w:val="single" w:color="auto" w:sz="4" w:space="0"/>
            </w:tcBorders>
            <w:vAlign w:val="center"/>
          </w:tcPr>
          <w:p w14:paraId="0564776D">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c>
          <w:tcPr>
            <w:tcW w:w="588" w:type="pct"/>
            <w:vAlign w:val="center"/>
          </w:tcPr>
          <w:p w14:paraId="4CF7E3A6">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20</w:t>
            </w:r>
          </w:p>
        </w:tc>
        <w:tc>
          <w:tcPr>
            <w:tcW w:w="721" w:type="pct"/>
            <w:shd w:val="clear" w:color="auto" w:fill="auto"/>
            <w:vAlign w:val="center"/>
          </w:tcPr>
          <w:p w14:paraId="0E2DA934">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170.2</w:t>
            </w:r>
          </w:p>
        </w:tc>
        <w:tc>
          <w:tcPr>
            <w:tcW w:w="769" w:type="pct"/>
            <w:vAlign w:val="center"/>
          </w:tcPr>
          <w:p w14:paraId="240CD0F1">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6B42E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0ADFA463">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8#</w:t>
            </w:r>
          </w:p>
        </w:tc>
        <w:tc>
          <w:tcPr>
            <w:tcW w:w="1174" w:type="pct"/>
            <w:tcBorders>
              <w:top w:val="single" w:color="auto" w:sz="4" w:space="0"/>
            </w:tcBorders>
            <w:vAlign w:val="center"/>
          </w:tcPr>
          <w:p w14:paraId="575FB928">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新发屯</w:t>
            </w:r>
            <w:r>
              <w:rPr>
                <w:rFonts w:hint="eastAsia" w:ascii="Times New Roman" w:hAnsi="Times New Roman" w:cs="Times New Roman" w:eastAsiaTheme="minorEastAsia"/>
                <w:color w:val="auto"/>
                <w:w w:val="99"/>
                <w:sz w:val="21"/>
                <w:szCs w:val="21"/>
                <w:highlight w:val="none"/>
                <w:lang w:val="en-US" w:eastAsia="zh-CN"/>
              </w:rPr>
              <w:t>冯家水</w:t>
            </w:r>
            <w:r>
              <w:rPr>
                <w:rFonts w:hint="eastAsia" w:ascii="Times New Roman" w:hAnsi="Times New Roman" w:cs="Times New Roman" w:eastAsiaTheme="minorEastAsia"/>
                <w:color w:val="auto"/>
                <w:w w:val="99"/>
                <w:sz w:val="21"/>
                <w:szCs w:val="21"/>
                <w:highlight w:val="none"/>
              </w:rPr>
              <w:t>井</w:t>
            </w:r>
          </w:p>
        </w:tc>
        <w:tc>
          <w:tcPr>
            <w:tcW w:w="726" w:type="pct"/>
            <w:tcBorders>
              <w:top w:val="single" w:color="auto" w:sz="4" w:space="0"/>
            </w:tcBorders>
            <w:vAlign w:val="center"/>
          </w:tcPr>
          <w:p w14:paraId="70274BE3">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下游</w:t>
            </w:r>
          </w:p>
        </w:tc>
        <w:tc>
          <w:tcPr>
            <w:tcW w:w="588" w:type="pct"/>
            <w:tcBorders>
              <w:top w:val="single" w:color="auto" w:sz="4" w:space="0"/>
            </w:tcBorders>
            <w:vAlign w:val="center"/>
          </w:tcPr>
          <w:p w14:paraId="2BE4094C">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潜水</w:t>
            </w:r>
          </w:p>
        </w:tc>
        <w:tc>
          <w:tcPr>
            <w:tcW w:w="588" w:type="pct"/>
            <w:vAlign w:val="center"/>
          </w:tcPr>
          <w:p w14:paraId="720FB837">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22</w:t>
            </w:r>
          </w:p>
        </w:tc>
        <w:tc>
          <w:tcPr>
            <w:tcW w:w="721" w:type="pct"/>
            <w:shd w:val="clear" w:color="auto" w:fill="auto"/>
            <w:vAlign w:val="center"/>
          </w:tcPr>
          <w:p w14:paraId="35DF088E">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170.8</w:t>
            </w:r>
          </w:p>
        </w:tc>
        <w:tc>
          <w:tcPr>
            <w:tcW w:w="769" w:type="pct"/>
            <w:vAlign w:val="center"/>
          </w:tcPr>
          <w:p w14:paraId="10E1F395">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26B7E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33CF6385">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9#</w:t>
            </w:r>
          </w:p>
        </w:tc>
        <w:tc>
          <w:tcPr>
            <w:tcW w:w="1174" w:type="pct"/>
            <w:tcBorders>
              <w:bottom w:val="single" w:color="auto" w:sz="4" w:space="0"/>
            </w:tcBorders>
            <w:vAlign w:val="center"/>
          </w:tcPr>
          <w:p w14:paraId="6F3A39D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尚家围子</w:t>
            </w:r>
            <w:r>
              <w:rPr>
                <w:rFonts w:hint="eastAsia" w:ascii="Times New Roman" w:hAnsi="Times New Roman" w:cs="Times New Roman" w:eastAsiaTheme="minorEastAsia"/>
                <w:color w:val="auto"/>
                <w:w w:val="99"/>
                <w:sz w:val="21"/>
                <w:szCs w:val="21"/>
                <w:highlight w:val="none"/>
              </w:rPr>
              <w:t>屯</w:t>
            </w:r>
            <w:r>
              <w:rPr>
                <w:rFonts w:hint="eastAsia" w:ascii="Times New Roman" w:hAnsi="Times New Roman" w:cs="Times New Roman" w:eastAsiaTheme="minorEastAsia"/>
                <w:color w:val="auto"/>
                <w:w w:val="99"/>
                <w:sz w:val="21"/>
                <w:szCs w:val="21"/>
                <w:highlight w:val="none"/>
                <w:lang w:val="en-US" w:eastAsia="zh-CN"/>
              </w:rPr>
              <w:t>孙家水</w:t>
            </w:r>
            <w:r>
              <w:rPr>
                <w:rFonts w:hint="eastAsia" w:ascii="Times New Roman" w:hAnsi="Times New Roman" w:cs="Times New Roman" w:eastAsiaTheme="minorEastAsia"/>
                <w:color w:val="auto"/>
                <w:w w:val="99"/>
                <w:sz w:val="21"/>
                <w:szCs w:val="21"/>
                <w:highlight w:val="none"/>
              </w:rPr>
              <w:t>井</w:t>
            </w:r>
          </w:p>
        </w:tc>
        <w:tc>
          <w:tcPr>
            <w:tcW w:w="726" w:type="pct"/>
            <w:tcBorders>
              <w:bottom w:val="single" w:color="auto" w:sz="4" w:space="0"/>
            </w:tcBorders>
            <w:vAlign w:val="center"/>
          </w:tcPr>
          <w:p w14:paraId="3D61B76B">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侧向</w:t>
            </w:r>
          </w:p>
        </w:tc>
        <w:tc>
          <w:tcPr>
            <w:tcW w:w="588" w:type="pct"/>
            <w:tcBorders>
              <w:bottom w:val="single" w:color="auto" w:sz="4" w:space="0"/>
            </w:tcBorders>
            <w:vAlign w:val="center"/>
          </w:tcPr>
          <w:p w14:paraId="1D3A3171">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承压水</w:t>
            </w:r>
          </w:p>
        </w:tc>
        <w:tc>
          <w:tcPr>
            <w:tcW w:w="588" w:type="pct"/>
            <w:vAlign w:val="center"/>
          </w:tcPr>
          <w:p w14:paraId="050D71D8">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65</w:t>
            </w:r>
          </w:p>
        </w:tc>
        <w:tc>
          <w:tcPr>
            <w:tcW w:w="721" w:type="pct"/>
            <w:shd w:val="clear" w:color="auto" w:fill="auto"/>
            <w:vAlign w:val="center"/>
          </w:tcPr>
          <w:p w14:paraId="3AC1E15D">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184.5</w:t>
            </w:r>
          </w:p>
        </w:tc>
        <w:tc>
          <w:tcPr>
            <w:tcW w:w="769" w:type="pct"/>
            <w:vAlign w:val="center"/>
          </w:tcPr>
          <w:p w14:paraId="1A9E54BC">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17D69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04696044">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c>
          <w:tcPr>
            <w:tcW w:w="1174" w:type="pct"/>
            <w:tcBorders>
              <w:top w:val="single" w:color="auto" w:sz="4" w:space="0"/>
              <w:bottom w:val="single" w:color="auto" w:sz="4" w:space="0"/>
            </w:tcBorders>
            <w:vAlign w:val="center"/>
          </w:tcPr>
          <w:p w14:paraId="0CA3723C">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崔永宝屯</w:t>
            </w:r>
            <w:r>
              <w:rPr>
                <w:rFonts w:hint="eastAsia" w:ascii="Times New Roman" w:hAnsi="Times New Roman" w:cs="Times New Roman" w:eastAsiaTheme="minorEastAsia"/>
                <w:color w:val="auto"/>
                <w:w w:val="99"/>
                <w:sz w:val="21"/>
                <w:szCs w:val="21"/>
                <w:highlight w:val="none"/>
                <w:lang w:val="en-US" w:eastAsia="zh-CN"/>
              </w:rPr>
              <w:t>任家水</w:t>
            </w:r>
            <w:r>
              <w:rPr>
                <w:rFonts w:hint="eastAsia" w:ascii="Times New Roman" w:hAnsi="Times New Roman" w:cs="Times New Roman" w:eastAsiaTheme="minorEastAsia"/>
                <w:color w:val="auto"/>
                <w:w w:val="99"/>
                <w:sz w:val="21"/>
                <w:szCs w:val="21"/>
                <w:highlight w:val="none"/>
              </w:rPr>
              <w:t>井</w:t>
            </w:r>
          </w:p>
        </w:tc>
        <w:tc>
          <w:tcPr>
            <w:tcW w:w="726" w:type="pct"/>
            <w:tcBorders>
              <w:top w:val="single" w:color="auto" w:sz="4" w:space="0"/>
              <w:bottom w:val="single" w:color="auto" w:sz="4" w:space="0"/>
            </w:tcBorders>
            <w:vAlign w:val="center"/>
          </w:tcPr>
          <w:p w14:paraId="60F178F9">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下游</w:t>
            </w:r>
          </w:p>
        </w:tc>
        <w:tc>
          <w:tcPr>
            <w:tcW w:w="588" w:type="pct"/>
            <w:tcBorders>
              <w:top w:val="single" w:color="auto" w:sz="4" w:space="0"/>
              <w:bottom w:val="single" w:color="auto" w:sz="4" w:space="0"/>
            </w:tcBorders>
            <w:vAlign w:val="center"/>
          </w:tcPr>
          <w:p w14:paraId="207E6451">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承压水</w:t>
            </w:r>
          </w:p>
        </w:tc>
        <w:tc>
          <w:tcPr>
            <w:tcW w:w="588" w:type="pct"/>
            <w:vAlign w:val="center"/>
          </w:tcPr>
          <w:p w14:paraId="6EBBA29C">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65</w:t>
            </w:r>
          </w:p>
        </w:tc>
        <w:tc>
          <w:tcPr>
            <w:tcW w:w="721" w:type="pct"/>
            <w:shd w:val="clear" w:color="auto" w:fill="auto"/>
            <w:vAlign w:val="center"/>
          </w:tcPr>
          <w:p w14:paraId="5B60386A">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182.6</w:t>
            </w:r>
          </w:p>
        </w:tc>
        <w:tc>
          <w:tcPr>
            <w:tcW w:w="769" w:type="pct"/>
            <w:vAlign w:val="center"/>
          </w:tcPr>
          <w:p w14:paraId="34F8DD68">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347A5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126802D5">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1</w:t>
            </w:r>
            <w:r>
              <w:rPr>
                <w:rFonts w:ascii="Times New Roman" w:hAnsi="Times New Roman" w:cs="Times New Roman" w:eastAsiaTheme="minorEastAsia"/>
                <w:color w:val="auto"/>
                <w:w w:val="99"/>
                <w:sz w:val="21"/>
                <w:szCs w:val="21"/>
                <w:highlight w:val="none"/>
              </w:rPr>
              <w:t>#</w:t>
            </w:r>
          </w:p>
        </w:tc>
        <w:tc>
          <w:tcPr>
            <w:tcW w:w="1174" w:type="pct"/>
            <w:tcBorders>
              <w:top w:val="single" w:color="auto" w:sz="4" w:space="0"/>
              <w:bottom w:val="single" w:color="auto" w:sz="4" w:space="0"/>
            </w:tcBorders>
            <w:shd w:val="clear" w:color="auto" w:fill="auto"/>
            <w:vAlign w:val="center"/>
          </w:tcPr>
          <w:p w14:paraId="1AA408FB">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于洼子屯陈家水井</w:t>
            </w:r>
          </w:p>
        </w:tc>
        <w:tc>
          <w:tcPr>
            <w:tcW w:w="726" w:type="pct"/>
            <w:tcBorders>
              <w:top w:val="single" w:color="auto" w:sz="4" w:space="0"/>
              <w:bottom w:val="single" w:color="auto" w:sz="4" w:space="0"/>
            </w:tcBorders>
            <w:vAlign w:val="center"/>
          </w:tcPr>
          <w:p w14:paraId="5057DDA4">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侧向</w:t>
            </w:r>
          </w:p>
        </w:tc>
        <w:tc>
          <w:tcPr>
            <w:tcW w:w="588" w:type="pct"/>
            <w:tcBorders>
              <w:top w:val="single" w:color="auto" w:sz="4" w:space="0"/>
              <w:bottom w:val="single" w:color="auto" w:sz="4" w:space="0"/>
            </w:tcBorders>
            <w:shd w:val="clear" w:color="auto" w:fill="auto"/>
            <w:vAlign w:val="center"/>
          </w:tcPr>
          <w:p w14:paraId="200F9DFA">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潜水</w:t>
            </w:r>
          </w:p>
        </w:tc>
        <w:tc>
          <w:tcPr>
            <w:tcW w:w="588" w:type="pct"/>
            <w:vAlign w:val="center"/>
          </w:tcPr>
          <w:p w14:paraId="1B4B7757">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w:t>
            </w:r>
          </w:p>
        </w:tc>
        <w:tc>
          <w:tcPr>
            <w:tcW w:w="721" w:type="pct"/>
            <w:shd w:val="clear" w:color="auto" w:fill="auto"/>
            <w:vAlign w:val="center"/>
          </w:tcPr>
          <w:p w14:paraId="244BE509">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173.4</w:t>
            </w:r>
          </w:p>
        </w:tc>
        <w:tc>
          <w:tcPr>
            <w:tcW w:w="769" w:type="pct"/>
            <w:vAlign w:val="center"/>
          </w:tcPr>
          <w:p w14:paraId="146C616A">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0255A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1D962FD9">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2</w:t>
            </w:r>
            <w:r>
              <w:rPr>
                <w:rFonts w:ascii="Times New Roman" w:hAnsi="Times New Roman" w:cs="Times New Roman" w:eastAsiaTheme="minorEastAsia"/>
                <w:color w:val="auto"/>
                <w:w w:val="99"/>
                <w:sz w:val="21"/>
                <w:szCs w:val="21"/>
                <w:highlight w:val="none"/>
              </w:rPr>
              <w:t>#</w:t>
            </w:r>
          </w:p>
        </w:tc>
        <w:tc>
          <w:tcPr>
            <w:tcW w:w="1174" w:type="pct"/>
            <w:tcBorders>
              <w:top w:val="single" w:color="auto" w:sz="4" w:space="0"/>
              <w:bottom w:val="single" w:color="auto" w:sz="4" w:space="0"/>
            </w:tcBorders>
            <w:shd w:val="clear" w:color="auto" w:fill="auto"/>
            <w:vAlign w:val="center"/>
          </w:tcPr>
          <w:p w14:paraId="6C406734">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东双山屯孙家水井</w:t>
            </w:r>
          </w:p>
        </w:tc>
        <w:tc>
          <w:tcPr>
            <w:tcW w:w="726" w:type="pct"/>
            <w:tcBorders>
              <w:top w:val="single" w:color="auto" w:sz="4" w:space="0"/>
              <w:bottom w:val="single" w:color="auto" w:sz="4" w:space="0"/>
            </w:tcBorders>
            <w:vAlign w:val="center"/>
          </w:tcPr>
          <w:p w14:paraId="44F4EC6A">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侧向</w:t>
            </w:r>
          </w:p>
        </w:tc>
        <w:tc>
          <w:tcPr>
            <w:tcW w:w="588" w:type="pct"/>
            <w:tcBorders>
              <w:top w:val="single" w:color="auto" w:sz="4" w:space="0"/>
              <w:bottom w:val="single" w:color="auto" w:sz="4" w:space="0"/>
            </w:tcBorders>
            <w:shd w:val="clear" w:color="auto" w:fill="auto"/>
            <w:vAlign w:val="center"/>
          </w:tcPr>
          <w:p w14:paraId="3DC72F04">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潜水</w:t>
            </w:r>
          </w:p>
        </w:tc>
        <w:tc>
          <w:tcPr>
            <w:tcW w:w="588" w:type="pct"/>
            <w:vAlign w:val="center"/>
          </w:tcPr>
          <w:p w14:paraId="622A58D4">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w:t>
            </w:r>
          </w:p>
        </w:tc>
        <w:tc>
          <w:tcPr>
            <w:tcW w:w="721" w:type="pct"/>
            <w:shd w:val="clear" w:color="auto" w:fill="auto"/>
            <w:vAlign w:val="center"/>
          </w:tcPr>
          <w:p w14:paraId="26BB1A33">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171.8</w:t>
            </w:r>
          </w:p>
        </w:tc>
        <w:tc>
          <w:tcPr>
            <w:tcW w:w="769" w:type="pct"/>
            <w:vAlign w:val="center"/>
          </w:tcPr>
          <w:p w14:paraId="0F0936F8">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231BF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27A20D31">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3</w:t>
            </w:r>
            <w:r>
              <w:rPr>
                <w:rFonts w:ascii="Times New Roman" w:hAnsi="Times New Roman" w:cs="Times New Roman" w:eastAsiaTheme="minorEastAsia"/>
                <w:color w:val="auto"/>
                <w:w w:val="99"/>
                <w:sz w:val="21"/>
                <w:szCs w:val="21"/>
                <w:highlight w:val="none"/>
              </w:rPr>
              <w:t>#</w:t>
            </w:r>
          </w:p>
        </w:tc>
        <w:tc>
          <w:tcPr>
            <w:tcW w:w="1174" w:type="pct"/>
            <w:tcBorders>
              <w:top w:val="single" w:color="auto" w:sz="4" w:space="0"/>
              <w:bottom w:val="single" w:color="auto" w:sz="4" w:space="0"/>
            </w:tcBorders>
            <w:shd w:val="clear" w:color="auto" w:fill="auto"/>
            <w:vAlign w:val="center"/>
          </w:tcPr>
          <w:p w14:paraId="1A2404D3">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西双山屯房家水井</w:t>
            </w:r>
          </w:p>
        </w:tc>
        <w:tc>
          <w:tcPr>
            <w:tcW w:w="726" w:type="pct"/>
            <w:tcBorders>
              <w:top w:val="single" w:color="auto" w:sz="4" w:space="0"/>
              <w:bottom w:val="single" w:color="auto" w:sz="4" w:space="0"/>
            </w:tcBorders>
            <w:vAlign w:val="center"/>
          </w:tcPr>
          <w:p w14:paraId="34F96139">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侧向</w:t>
            </w:r>
          </w:p>
        </w:tc>
        <w:tc>
          <w:tcPr>
            <w:tcW w:w="588" w:type="pct"/>
            <w:tcBorders>
              <w:top w:val="single" w:color="auto" w:sz="4" w:space="0"/>
              <w:bottom w:val="single" w:color="auto" w:sz="4" w:space="0"/>
            </w:tcBorders>
            <w:shd w:val="clear" w:color="auto" w:fill="auto"/>
            <w:vAlign w:val="center"/>
          </w:tcPr>
          <w:p w14:paraId="47519654">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潜水</w:t>
            </w:r>
          </w:p>
        </w:tc>
        <w:tc>
          <w:tcPr>
            <w:tcW w:w="588" w:type="pct"/>
            <w:vAlign w:val="center"/>
          </w:tcPr>
          <w:p w14:paraId="16ABB868">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w:t>
            </w:r>
          </w:p>
        </w:tc>
        <w:tc>
          <w:tcPr>
            <w:tcW w:w="721" w:type="pct"/>
            <w:shd w:val="clear" w:color="auto" w:fill="auto"/>
            <w:vAlign w:val="center"/>
          </w:tcPr>
          <w:p w14:paraId="5E9099BB">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170.9</w:t>
            </w:r>
          </w:p>
        </w:tc>
        <w:tc>
          <w:tcPr>
            <w:tcW w:w="769" w:type="pct"/>
            <w:vAlign w:val="center"/>
          </w:tcPr>
          <w:p w14:paraId="041ACB6C">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56220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583FCBB0">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4</w:t>
            </w:r>
            <w:r>
              <w:rPr>
                <w:rFonts w:ascii="Times New Roman" w:hAnsi="Times New Roman" w:cs="Times New Roman" w:eastAsiaTheme="minorEastAsia"/>
                <w:color w:val="auto"/>
                <w:w w:val="99"/>
                <w:sz w:val="21"/>
                <w:szCs w:val="21"/>
                <w:highlight w:val="none"/>
              </w:rPr>
              <w:t>#</w:t>
            </w:r>
          </w:p>
        </w:tc>
        <w:tc>
          <w:tcPr>
            <w:tcW w:w="1174" w:type="pct"/>
            <w:tcBorders>
              <w:top w:val="single" w:color="auto" w:sz="4" w:space="0"/>
              <w:bottom w:val="single" w:color="auto" w:sz="4" w:space="0"/>
            </w:tcBorders>
            <w:shd w:val="clear" w:color="auto" w:fill="auto"/>
            <w:vAlign w:val="center"/>
          </w:tcPr>
          <w:p w14:paraId="2F9F75BA">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东双山屯王家水井</w:t>
            </w:r>
          </w:p>
        </w:tc>
        <w:tc>
          <w:tcPr>
            <w:tcW w:w="726" w:type="pct"/>
            <w:tcBorders>
              <w:top w:val="single" w:color="auto" w:sz="4" w:space="0"/>
              <w:bottom w:val="single" w:color="auto" w:sz="4" w:space="0"/>
            </w:tcBorders>
            <w:vAlign w:val="center"/>
          </w:tcPr>
          <w:p w14:paraId="6648726E">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侧向</w:t>
            </w:r>
          </w:p>
        </w:tc>
        <w:tc>
          <w:tcPr>
            <w:tcW w:w="588" w:type="pct"/>
            <w:tcBorders>
              <w:top w:val="single" w:color="auto" w:sz="4" w:space="0"/>
              <w:bottom w:val="single" w:color="auto" w:sz="4" w:space="0"/>
            </w:tcBorders>
            <w:shd w:val="clear" w:color="auto" w:fill="auto"/>
            <w:vAlign w:val="center"/>
          </w:tcPr>
          <w:p w14:paraId="5482AF96">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承压水</w:t>
            </w:r>
          </w:p>
        </w:tc>
        <w:tc>
          <w:tcPr>
            <w:tcW w:w="588" w:type="pct"/>
            <w:vAlign w:val="center"/>
          </w:tcPr>
          <w:p w14:paraId="13798BF6">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80</w:t>
            </w:r>
          </w:p>
        </w:tc>
        <w:tc>
          <w:tcPr>
            <w:tcW w:w="721" w:type="pct"/>
            <w:shd w:val="clear" w:color="auto" w:fill="auto"/>
            <w:vAlign w:val="center"/>
          </w:tcPr>
          <w:p w14:paraId="5104E378">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187.2</w:t>
            </w:r>
          </w:p>
        </w:tc>
        <w:tc>
          <w:tcPr>
            <w:tcW w:w="769" w:type="pct"/>
            <w:vAlign w:val="center"/>
          </w:tcPr>
          <w:p w14:paraId="3F808F94">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r w14:paraId="6CEA8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vAlign w:val="center"/>
          </w:tcPr>
          <w:p w14:paraId="3A1649F2">
            <w:pPr>
              <w:widowControl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5</w:t>
            </w:r>
            <w:r>
              <w:rPr>
                <w:rFonts w:ascii="Times New Roman" w:hAnsi="Times New Roman" w:cs="Times New Roman" w:eastAsiaTheme="minorEastAsia"/>
                <w:color w:val="auto"/>
                <w:w w:val="99"/>
                <w:sz w:val="21"/>
                <w:szCs w:val="21"/>
                <w:highlight w:val="none"/>
              </w:rPr>
              <w:t>#</w:t>
            </w:r>
          </w:p>
        </w:tc>
        <w:tc>
          <w:tcPr>
            <w:tcW w:w="1174" w:type="pct"/>
            <w:tcBorders>
              <w:top w:val="single" w:color="auto" w:sz="4" w:space="0"/>
              <w:bottom w:val="single" w:color="auto" w:sz="4" w:space="0"/>
            </w:tcBorders>
            <w:shd w:val="clear" w:color="auto" w:fill="auto"/>
            <w:vAlign w:val="center"/>
          </w:tcPr>
          <w:p w14:paraId="0F03150F">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王家围子屯周家水井</w:t>
            </w:r>
          </w:p>
        </w:tc>
        <w:tc>
          <w:tcPr>
            <w:tcW w:w="726" w:type="pct"/>
            <w:tcBorders>
              <w:top w:val="single" w:color="auto" w:sz="4" w:space="0"/>
              <w:bottom w:val="single" w:color="auto" w:sz="4" w:space="0"/>
            </w:tcBorders>
            <w:vAlign w:val="center"/>
          </w:tcPr>
          <w:p w14:paraId="7C5A511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上游</w:t>
            </w:r>
          </w:p>
        </w:tc>
        <w:tc>
          <w:tcPr>
            <w:tcW w:w="588" w:type="pct"/>
            <w:tcBorders>
              <w:top w:val="single" w:color="auto" w:sz="4" w:space="0"/>
              <w:bottom w:val="single" w:color="auto" w:sz="4" w:space="0"/>
            </w:tcBorders>
            <w:shd w:val="clear" w:color="auto" w:fill="auto"/>
            <w:vAlign w:val="center"/>
          </w:tcPr>
          <w:p w14:paraId="2BA79ED8">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承压水</w:t>
            </w:r>
          </w:p>
        </w:tc>
        <w:tc>
          <w:tcPr>
            <w:tcW w:w="588" w:type="pct"/>
            <w:vAlign w:val="center"/>
          </w:tcPr>
          <w:p w14:paraId="084151D3">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65</w:t>
            </w:r>
          </w:p>
        </w:tc>
        <w:tc>
          <w:tcPr>
            <w:tcW w:w="721" w:type="pct"/>
            <w:shd w:val="clear" w:color="auto" w:fill="auto"/>
            <w:vAlign w:val="center"/>
          </w:tcPr>
          <w:p w14:paraId="75DD3D37">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188.4</w:t>
            </w:r>
          </w:p>
        </w:tc>
        <w:tc>
          <w:tcPr>
            <w:tcW w:w="769" w:type="pct"/>
            <w:vAlign w:val="center"/>
          </w:tcPr>
          <w:p w14:paraId="578513BA">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农业</w:t>
            </w:r>
            <w:r>
              <w:rPr>
                <w:rFonts w:ascii="Times New Roman" w:hAnsi="Times New Roman" w:cs="Times New Roman" w:eastAsiaTheme="minorEastAsia"/>
                <w:color w:val="auto"/>
                <w:w w:val="99"/>
                <w:sz w:val="21"/>
                <w:szCs w:val="21"/>
                <w:highlight w:val="none"/>
              </w:rPr>
              <w:t>灌溉</w:t>
            </w:r>
            <w:r>
              <w:rPr>
                <w:rFonts w:hint="eastAsia" w:ascii="Times New Roman" w:hAnsi="Times New Roman" w:cs="Times New Roman" w:eastAsiaTheme="minorEastAsia"/>
                <w:color w:val="auto"/>
                <w:w w:val="99"/>
                <w:sz w:val="21"/>
                <w:szCs w:val="21"/>
                <w:highlight w:val="none"/>
                <w:lang w:eastAsia="zh-CN"/>
              </w:rPr>
              <w:t>、</w:t>
            </w:r>
            <w:r>
              <w:rPr>
                <w:rFonts w:hint="eastAsia" w:ascii="Times New Roman" w:hAnsi="Times New Roman" w:cs="Times New Roman" w:eastAsiaTheme="minorEastAsia"/>
                <w:color w:val="auto"/>
                <w:w w:val="99"/>
                <w:sz w:val="21"/>
                <w:szCs w:val="21"/>
                <w:highlight w:val="none"/>
                <w:lang w:val="en-US" w:eastAsia="zh-CN"/>
              </w:rPr>
              <w:t>畜牧养殖</w:t>
            </w:r>
          </w:p>
        </w:tc>
      </w:tr>
    </w:tbl>
    <w:p w14:paraId="3F4438EF">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（2）监测频率</w:t>
      </w:r>
    </w:p>
    <w:p w14:paraId="3749092F">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本项目位于松嫩平原区低平原区，依据《环境影响评价技术导则 地下水环境》（HJ 610-2016）中表4中的要求，本次地下水位监测频率为一期。</w:t>
      </w:r>
    </w:p>
    <w:p w14:paraId="00C42254">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4.3.2.2地下水水质监测</w:t>
      </w:r>
    </w:p>
    <w:p w14:paraId="7F65AF9A">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（1）地下水质监测因子</w:t>
      </w:r>
    </w:p>
    <w:p w14:paraId="7B0EA4E6">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监测因子：</w:t>
      </w:r>
      <w:r>
        <w:rPr>
          <w:rFonts w:ascii="Times New Roman" w:hAnsi="Times New Roman" w:cs="Times New Roman" w:eastAsiaTheme="minorEastAsia"/>
          <w:color w:val="auto"/>
          <w:w w:val="99"/>
          <w:highlight w:val="none"/>
        </w:rPr>
        <w:t>K</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、Na</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、Ca</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、Mg</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、Cl</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、SO</w:t>
      </w:r>
      <w:r>
        <w:rPr>
          <w:rFonts w:ascii="Times New Roman" w:hAnsi="Times New Roman" w:cs="Times New Roman" w:eastAsiaTheme="minorEastAsia"/>
          <w:color w:val="auto"/>
          <w:w w:val="99"/>
          <w:highlight w:val="none"/>
          <w:vertAlign w:val="subscript"/>
        </w:rPr>
        <w:t>4</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、pH、氨氮、硝酸盐、亚硝酸盐、挥发性酚类、氰化物、砷、汞、铬（六价）、总硬度、铅、氟化物、镉、铁、锰、溶解性总固体、耗氧量、总大肠菌群、菌落总数、石油类、硫化物、钡</w:t>
      </w:r>
      <w:r>
        <w:rPr>
          <w:rFonts w:ascii="Times New Roman" w:hAnsi="Times New Roman" w:cs="Times New Roman"/>
          <w:color w:val="auto"/>
          <w:w w:val="99"/>
          <w:highlight w:val="none"/>
        </w:rPr>
        <w:t>。</w:t>
      </w:r>
    </w:p>
    <w:p w14:paraId="7BD8FDF8">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（2）水质监测布点</w:t>
      </w:r>
    </w:p>
    <w:p w14:paraId="4E93FB05">
      <w:pPr>
        <w:widowControl w:val="0"/>
        <w:spacing w:line="440" w:lineRule="exact"/>
        <w:ind w:firstLine="474" w:firstLineChars="200"/>
        <w:rPr>
          <w:rFonts w:ascii="Times New Roman" w:hAnsi="Times New Roman" w:cs="Times New Roman"/>
          <w:bCs/>
          <w:color w:val="auto"/>
          <w:w w:val="99"/>
          <w:kern w:val="21"/>
          <w:szCs w:val="20"/>
          <w:highlight w:val="none"/>
        </w:rPr>
      </w:pPr>
      <w:r>
        <w:rPr>
          <w:rFonts w:ascii="Times New Roman" w:hAnsi="Times New Roman" w:cs="Times New Roman"/>
          <w:bCs/>
          <w:color w:val="auto"/>
          <w:w w:val="99"/>
          <w:kern w:val="21"/>
          <w:szCs w:val="20"/>
          <w:highlight w:val="none"/>
        </w:rPr>
        <w:t>根据本项目地层特征，以及地下水含水层特点和区域水资源开发利用情况，参照《环境影响评价技术导则 地下水环境》（HJ610-2016），本次共布设</w:t>
      </w:r>
      <w:r>
        <w:rPr>
          <w:rFonts w:hint="eastAsia" w:ascii="Times New Roman" w:hAnsi="Times New Roman" w:cs="Times New Roman"/>
          <w:bCs/>
          <w:color w:val="auto"/>
          <w:w w:val="99"/>
          <w:kern w:val="21"/>
          <w:szCs w:val="20"/>
          <w:highlight w:val="none"/>
          <w:lang w:val="en-US" w:eastAsia="zh-CN"/>
        </w:rPr>
        <w:t>5</w:t>
      </w:r>
      <w:r>
        <w:rPr>
          <w:rFonts w:ascii="Times New Roman" w:hAnsi="Times New Roman" w:cs="Times New Roman"/>
          <w:bCs/>
          <w:color w:val="auto"/>
          <w:w w:val="99"/>
          <w:kern w:val="21"/>
          <w:szCs w:val="20"/>
          <w:highlight w:val="none"/>
        </w:rPr>
        <w:t>个水质监测点。</w:t>
      </w:r>
      <w:r>
        <w:rPr>
          <w:rFonts w:ascii="Times New Roman" w:hAnsi="Times New Roman" w:cs="Times New Roman"/>
          <w:color w:val="auto"/>
          <w:w w:val="99"/>
          <w:highlight w:val="none"/>
        </w:rPr>
        <w:t>地下水水质监测布点见附图</w:t>
      </w:r>
      <w:r>
        <w:rPr>
          <w:rFonts w:hint="eastAsia" w:ascii="Times New Roman" w:hAnsi="Times New Roman" w:cs="Times New Roman"/>
          <w:color w:val="auto"/>
          <w:w w:val="99"/>
          <w:highlight w:val="none"/>
          <w:lang w:val="en-US" w:eastAsia="zh-CN"/>
        </w:rPr>
        <w:t>6-2</w:t>
      </w:r>
      <w:r>
        <w:rPr>
          <w:rFonts w:ascii="Times New Roman" w:hAnsi="Times New Roman" w:cs="Times New Roman"/>
          <w:color w:val="auto"/>
          <w:w w:val="99"/>
          <w:highlight w:val="none"/>
        </w:rPr>
        <w:t>。</w:t>
      </w:r>
    </w:p>
    <w:p w14:paraId="1E11C643">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地下水水质监测布点信息见表4.3-7。</w:t>
      </w:r>
    </w:p>
    <w:p w14:paraId="2AEFAAD8">
      <w:pPr>
        <w:widowControl w:val="0"/>
        <w:spacing w:line="440" w:lineRule="exact"/>
        <w:ind w:firstLine="476" w:firstLineChars="200"/>
        <w:rPr>
          <w:rFonts w:ascii="Times New Roman" w:hAnsi="Times New Roman" w:cs="Times New Roman"/>
          <w:b/>
          <w:bCs/>
          <w:color w:val="auto"/>
          <w:w w:val="99"/>
          <w:highlight w:val="none"/>
        </w:rPr>
      </w:pPr>
      <w:r>
        <w:rPr>
          <w:rFonts w:ascii="Times New Roman" w:hAnsi="Times New Roman" w:cs="Times New Roman"/>
          <w:b/>
          <w:bCs/>
          <w:color w:val="auto"/>
          <w:w w:val="99"/>
          <w:highlight w:val="none"/>
        </w:rPr>
        <w:t>表4.3-7  地下水水质监测布点信息表</w:t>
      </w:r>
    </w:p>
    <w:tbl>
      <w:tblPr>
        <w:tblStyle w:val="8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8"/>
        <w:gridCol w:w="1352"/>
        <w:gridCol w:w="913"/>
        <w:gridCol w:w="1268"/>
        <w:gridCol w:w="1637"/>
        <w:gridCol w:w="1009"/>
        <w:gridCol w:w="1282"/>
        <w:gridCol w:w="1336"/>
      </w:tblGrid>
      <w:tr w14:paraId="1DFA3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2" w:type="pct"/>
            <w:vAlign w:val="center"/>
          </w:tcPr>
          <w:p w14:paraId="28DAC290">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编号</w:t>
            </w:r>
          </w:p>
        </w:tc>
        <w:tc>
          <w:tcPr>
            <w:tcW w:w="728" w:type="pct"/>
            <w:vAlign w:val="center"/>
          </w:tcPr>
          <w:p w14:paraId="55A65D53">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监测点位</w:t>
            </w:r>
          </w:p>
        </w:tc>
        <w:tc>
          <w:tcPr>
            <w:tcW w:w="491" w:type="pct"/>
            <w:vAlign w:val="center"/>
          </w:tcPr>
          <w:p w14:paraId="0B8CBAA5">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监测层位</w:t>
            </w:r>
          </w:p>
        </w:tc>
        <w:tc>
          <w:tcPr>
            <w:tcW w:w="682" w:type="pct"/>
            <w:vAlign w:val="center"/>
          </w:tcPr>
          <w:p w14:paraId="5D664745">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坐标</w:t>
            </w:r>
          </w:p>
        </w:tc>
        <w:tc>
          <w:tcPr>
            <w:tcW w:w="881" w:type="pct"/>
            <w:vAlign w:val="center"/>
          </w:tcPr>
          <w:p w14:paraId="46160C41">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相对位置</w:t>
            </w:r>
          </w:p>
        </w:tc>
        <w:tc>
          <w:tcPr>
            <w:tcW w:w="543" w:type="pct"/>
            <w:vAlign w:val="center"/>
          </w:tcPr>
          <w:p w14:paraId="296D75F4">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井深（m）</w:t>
            </w:r>
          </w:p>
        </w:tc>
        <w:tc>
          <w:tcPr>
            <w:tcW w:w="690" w:type="pct"/>
            <w:vAlign w:val="center"/>
          </w:tcPr>
          <w:p w14:paraId="7AADC232">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与地下水流向关系</w:t>
            </w:r>
          </w:p>
        </w:tc>
        <w:tc>
          <w:tcPr>
            <w:tcW w:w="719" w:type="pct"/>
            <w:vAlign w:val="center"/>
          </w:tcPr>
          <w:p w14:paraId="58318C34">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水井功能</w:t>
            </w:r>
          </w:p>
        </w:tc>
      </w:tr>
      <w:tr w14:paraId="652EA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2" w:type="pct"/>
            <w:vAlign w:val="center"/>
          </w:tcPr>
          <w:p w14:paraId="4B24B178">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p>
        </w:tc>
        <w:tc>
          <w:tcPr>
            <w:tcW w:w="728" w:type="pct"/>
            <w:vAlign w:val="center"/>
          </w:tcPr>
          <w:p w14:paraId="2A34DBDA">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尚家围子屯吕家潜水井</w:t>
            </w:r>
          </w:p>
        </w:tc>
        <w:tc>
          <w:tcPr>
            <w:tcW w:w="491" w:type="pct"/>
            <w:vAlign w:val="center"/>
          </w:tcPr>
          <w:p w14:paraId="604EC847">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潜水</w:t>
            </w:r>
          </w:p>
        </w:tc>
        <w:tc>
          <w:tcPr>
            <w:tcW w:w="682" w:type="pct"/>
            <w:vAlign w:val="center"/>
          </w:tcPr>
          <w:p w14:paraId="69F1FAB0">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125.50070</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45.89536</w:t>
            </w:r>
          </w:p>
        </w:tc>
        <w:tc>
          <w:tcPr>
            <w:tcW w:w="881" w:type="pct"/>
            <w:vAlign w:val="center"/>
          </w:tcPr>
          <w:p w14:paraId="62ED233C">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拟建徐深27-H1井NW660m</w:t>
            </w:r>
          </w:p>
        </w:tc>
        <w:tc>
          <w:tcPr>
            <w:tcW w:w="543" w:type="pct"/>
            <w:vAlign w:val="center"/>
          </w:tcPr>
          <w:p w14:paraId="598B7BEB">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15</w:t>
            </w:r>
          </w:p>
        </w:tc>
        <w:tc>
          <w:tcPr>
            <w:tcW w:w="690" w:type="pct"/>
            <w:vAlign w:val="center"/>
          </w:tcPr>
          <w:p w14:paraId="4B1E3959">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上游水井</w:t>
            </w:r>
          </w:p>
        </w:tc>
        <w:tc>
          <w:tcPr>
            <w:tcW w:w="719" w:type="pct"/>
            <w:vAlign w:val="center"/>
          </w:tcPr>
          <w:p w14:paraId="47653EDD">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牲畜饮用</w:t>
            </w:r>
            <w:r>
              <w:rPr>
                <w:rFonts w:hint="eastAsia" w:ascii="Times New Roman" w:hAnsi="Times New Roman" w:cs="Times New Roman" w:eastAsiaTheme="minorEastAsia"/>
                <w:color w:val="auto"/>
                <w:w w:val="99"/>
                <w:kern w:val="2"/>
                <w:sz w:val="21"/>
                <w:szCs w:val="21"/>
                <w:highlight w:val="none"/>
                <w:lang w:val="en-US" w:eastAsia="zh-CN"/>
              </w:rPr>
              <w:t>、</w:t>
            </w:r>
            <w:r>
              <w:rPr>
                <w:rFonts w:hint="default" w:ascii="Times New Roman" w:hAnsi="Times New Roman" w:cs="Times New Roman" w:eastAsiaTheme="minorEastAsia"/>
                <w:color w:val="auto"/>
                <w:w w:val="99"/>
                <w:kern w:val="2"/>
                <w:sz w:val="21"/>
                <w:szCs w:val="21"/>
                <w:highlight w:val="none"/>
                <w:lang w:val="en-US" w:eastAsia="zh-CN"/>
              </w:rPr>
              <w:t>灌溉</w:t>
            </w:r>
          </w:p>
        </w:tc>
      </w:tr>
      <w:tr w14:paraId="7DD5D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2" w:type="pct"/>
            <w:vAlign w:val="center"/>
          </w:tcPr>
          <w:p w14:paraId="70296D06">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w:t>
            </w:r>
          </w:p>
        </w:tc>
        <w:tc>
          <w:tcPr>
            <w:tcW w:w="728" w:type="pct"/>
            <w:vAlign w:val="center"/>
          </w:tcPr>
          <w:p w14:paraId="4E6070C7">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邢家围子屯周家潜水井</w:t>
            </w:r>
          </w:p>
        </w:tc>
        <w:tc>
          <w:tcPr>
            <w:tcW w:w="491" w:type="pct"/>
            <w:vAlign w:val="center"/>
          </w:tcPr>
          <w:p w14:paraId="00D6E127">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潜水</w:t>
            </w:r>
          </w:p>
        </w:tc>
        <w:tc>
          <w:tcPr>
            <w:tcW w:w="682" w:type="pct"/>
            <w:vAlign w:val="center"/>
          </w:tcPr>
          <w:p w14:paraId="26B8D256">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125.51419</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45.89325</w:t>
            </w:r>
          </w:p>
        </w:tc>
        <w:tc>
          <w:tcPr>
            <w:tcW w:w="881" w:type="pct"/>
            <w:vAlign w:val="center"/>
          </w:tcPr>
          <w:p w14:paraId="5636E052">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拟建徐深27-H1井E400m</w:t>
            </w:r>
          </w:p>
        </w:tc>
        <w:tc>
          <w:tcPr>
            <w:tcW w:w="543" w:type="pct"/>
            <w:vAlign w:val="center"/>
          </w:tcPr>
          <w:p w14:paraId="7B4B7A18">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20</w:t>
            </w:r>
          </w:p>
        </w:tc>
        <w:tc>
          <w:tcPr>
            <w:tcW w:w="690" w:type="pct"/>
            <w:vAlign w:val="center"/>
          </w:tcPr>
          <w:p w14:paraId="4B3A1597">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侧向水井</w:t>
            </w:r>
          </w:p>
        </w:tc>
        <w:tc>
          <w:tcPr>
            <w:tcW w:w="719" w:type="pct"/>
            <w:vAlign w:val="center"/>
          </w:tcPr>
          <w:p w14:paraId="0905FE92">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牲畜饮用</w:t>
            </w:r>
            <w:r>
              <w:rPr>
                <w:rFonts w:hint="eastAsia" w:ascii="Times New Roman" w:hAnsi="Times New Roman" w:cs="Times New Roman" w:eastAsiaTheme="minorEastAsia"/>
                <w:color w:val="auto"/>
                <w:w w:val="99"/>
                <w:kern w:val="2"/>
                <w:sz w:val="21"/>
                <w:szCs w:val="21"/>
                <w:highlight w:val="none"/>
                <w:lang w:val="en-US" w:eastAsia="zh-CN"/>
              </w:rPr>
              <w:t>、</w:t>
            </w:r>
            <w:r>
              <w:rPr>
                <w:rFonts w:hint="default" w:ascii="Times New Roman" w:hAnsi="Times New Roman" w:cs="Times New Roman" w:eastAsiaTheme="minorEastAsia"/>
                <w:color w:val="auto"/>
                <w:w w:val="99"/>
                <w:kern w:val="2"/>
                <w:sz w:val="21"/>
                <w:szCs w:val="21"/>
                <w:highlight w:val="none"/>
                <w:lang w:val="en-US" w:eastAsia="zh-CN"/>
              </w:rPr>
              <w:t>灌溉</w:t>
            </w:r>
          </w:p>
        </w:tc>
      </w:tr>
      <w:tr w14:paraId="57C65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2" w:type="pct"/>
            <w:vAlign w:val="center"/>
          </w:tcPr>
          <w:p w14:paraId="7BC7EB41">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w:t>
            </w:r>
          </w:p>
        </w:tc>
        <w:tc>
          <w:tcPr>
            <w:tcW w:w="728" w:type="pct"/>
            <w:vAlign w:val="center"/>
          </w:tcPr>
          <w:p w14:paraId="7EF446C0">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王家围子屯王家潜水井</w:t>
            </w:r>
          </w:p>
        </w:tc>
        <w:tc>
          <w:tcPr>
            <w:tcW w:w="491" w:type="pct"/>
            <w:vAlign w:val="center"/>
          </w:tcPr>
          <w:p w14:paraId="334A7942">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潜水</w:t>
            </w:r>
          </w:p>
        </w:tc>
        <w:tc>
          <w:tcPr>
            <w:tcW w:w="682" w:type="pct"/>
            <w:vAlign w:val="center"/>
          </w:tcPr>
          <w:p w14:paraId="78D8D894">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125.51605</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45.90625</w:t>
            </w:r>
          </w:p>
        </w:tc>
        <w:tc>
          <w:tcPr>
            <w:tcW w:w="881" w:type="pct"/>
            <w:vAlign w:val="center"/>
          </w:tcPr>
          <w:p w14:paraId="53B613B5">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拟建徐深27-H1井N1600m</w:t>
            </w:r>
          </w:p>
        </w:tc>
        <w:tc>
          <w:tcPr>
            <w:tcW w:w="543" w:type="pct"/>
            <w:vAlign w:val="center"/>
          </w:tcPr>
          <w:p w14:paraId="6719AFEE">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13</w:t>
            </w:r>
          </w:p>
        </w:tc>
        <w:tc>
          <w:tcPr>
            <w:tcW w:w="690" w:type="pct"/>
            <w:vAlign w:val="center"/>
          </w:tcPr>
          <w:p w14:paraId="248949E7">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侧向水井</w:t>
            </w:r>
          </w:p>
        </w:tc>
        <w:tc>
          <w:tcPr>
            <w:tcW w:w="719" w:type="pct"/>
            <w:vAlign w:val="center"/>
          </w:tcPr>
          <w:p w14:paraId="64F0F337">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牲畜饮用</w:t>
            </w:r>
            <w:r>
              <w:rPr>
                <w:rFonts w:hint="eastAsia" w:ascii="Times New Roman" w:hAnsi="Times New Roman" w:cs="Times New Roman" w:eastAsiaTheme="minorEastAsia"/>
                <w:color w:val="auto"/>
                <w:w w:val="99"/>
                <w:kern w:val="2"/>
                <w:sz w:val="21"/>
                <w:szCs w:val="21"/>
                <w:highlight w:val="none"/>
                <w:lang w:val="en-US" w:eastAsia="zh-CN"/>
              </w:rPr>
              <w:t>、</w:t>
            </w:r>
            <w:r>
              <w:rPr>
                <w:rFonts w:hint="default" w:ascii="Times New Roman" w:hAnsi="Times New Roman" w:cs="Times New Roman" w:eastAsiaTheme="minorEastAsia"/>
                <w:color w:val="auto"/>
                <w:w w:val="99"/>
                <w:kern w:val="2"/>
                <w:sz w:val="21"/>
                <w:szCs w:val="21"/>
                <w:highlight w:val="none"/>
                <w:lang w:val="en-US" w:eastAsia="zh-CN"/>
              </w:rPr>
              <w:t>灌溉</w:t>
            </w:r>
          </w:p>
        </w:tc>
      </w:tr>
      <w:tr w14:paraId="14674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2" w:type="pct"/>
            <w:vAlign w:val="center"/>
          </w:tcPr>
          <w:p w14:paraId="6032C70E">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w:t>
            </w:r>
          </w:p>
        </w:tc>
        <w:tc>
          <w:tcPr>
            <w:tcW w:w="728" w:type="pct"/>
            <w:vAlign w:val="center"/>
          </w:tcPr>
          <w:p w14:paraId="63FA5BA2">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杨家屯陈家潜水井</w:t>
            </w:r>
          </w:p>
        </w:tc>
        <w:tc>
          <w:tcPr>
            <w:tcW w:w="491" w:type="pct"/>
            <w:vAlign w:val="center"/>
          </w:tcPr>
          <w:p w14:paraId="32C9045A">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潜水</w:t>
            </w:r>
          </w:p>
        </w:tc>
        <w:tc>
          <w:tcPr>
            <w:tcW w:w="682" w:type="pct"/>
            <w:vAlign w:val="center"/>
          </w:tcPr>
          <w:p w14:paraId="72866BFA">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125.50195</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45.88141</w:t>
            </w:r>
          </w:p>
        </w:tc>
        <w:tc>
          <w:tcPr>
            <w:tcW w:w="881" w:type="pct"/>
            <w:vAlign w:val="center"/>
          </w:tcPr>
          <w:p w14:paraId="7F84B3D4">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拟建徐深27-H1井WS1400m</w:t>
            </w:r>
          </w:p>
        </w:tc>
        <w:tc>
          <w:tcPr>
            <w:tcW w:w="543" w:type="pct"/>
            <w:vAlign w:val="center"/>
          </w:tcPr>
          <w:p w14:paraId="56381223">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18</w:t>
            </w:r>
          </w:p>
        </w:tc>
        <w:tc>
          <w:tcPr>
            <w:tcW w:w="690" w:type="pct"/>
            <w:vAlign w:val="center"/>
          </w:tcPr>
          <w:p w14:paraId="132D28EA">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下游水井</w:t>
            </w:r>
          </w:p>
        </w:tc>
        <w:tc>
          <w:tcPr>
            <w:tcW w:w="719" w:type="pct"/>
            <w:vAlign w:val="center"/>
          </w:tcPr>
          <w:p w14:paraId="7AC80F49">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牲畜饮用</w:t>
            </w:r>
            <w:r>
              <w:rPr>
                <w:rFonts w:hint="eastAsia" w:ascii="Times New Roman" w:hAnsi="Times New Roman" w:cs="Times New Roman" w:eastAsiaTheme="minorEastAsia"/>
                <w:color w:val="auto"/>
                <w:w w:val="99"/>
                <w:kern w:val="2"/>
                <w:sz w:val="21"/>
                <w:szCs w:val="21"/>
                <w:highlight w:val="none"/>
                <w:lang w:val="en-US" w:eastAsia="zh-CN"/>
              </w:rPr>
              <w:t>、</w:t>
            </w:r>
            <w:r>
              <w:rPr>
                <w:rFonts w:hint="default" w:ascii="Times New Roman" w:hAnsi="Times New Roman" w:cs="Times New Roman" w:eastAsiaTheme="minorEastAsia"/>
                <w:color w:val="auto"/>
                <w:w w:val="99"/>
                <w:kern w:val="2"/>
                <w:sz w:val="21"/>
                <w:szCs w:val="21"/>
                <w:highlight w:val="none"/>
                <w:lang w:val="en-US" w:eastAsia="zh-CN"/>
              </w:rPr>
              <w:t>灌溉</w:t>
            </w:r>
          </w:p>
        </w:tc>
      </w:tr>
      <w:tr w14:paraId="0C63E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2" w:type="pct"/>
            <w:vAlign w:val="center"/>
          </w:tcPr>
          <w:p w14:paraId="50892A3D">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w:t>
            </w:r>
          </w:p>
        </w:tc>
        <w:tc>
          <w:tcPr>
            <w:tcW w:w="728" w:type="pct"/>
            <w:vAlign w:val="center"/>
          </w:tcPr>
          <w:p w14:paraId="455EFF29">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尚家围子屯孙家承压水井</w:t>
            </w:r>
          </w:p>
        </w:tc>
        <w:tc>
          <w:tcPr>
            <w:tcW w:w="491" w:type="pct"/>
            <w:vAlign w:val="center"/>
          </w:tcPr>
          <w:p w14:paraId="777D7899">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承压水</w:t>
            </w:r>
          </w:p>
        </w:tc>
        <w:tc>
          <w:tcPr>
            <w:tcW w:w="682" w:type="pct"/>
            <w:vAlign w:val="center"/>
          </w:tcPr>
          <w:p w14:paraId="47A888C9">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125.50178</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45.89513</w:t>
            </w:r>
          </w:p>
        </w:tc>
        <w:tc>
          <w:tcPr>
            <w:tcW w:w="881" w:type="pct"/>
            <w:vAlign w:val="center"/>
          </w:tcPr>
          <w:p w14:paraId="52D4C7B1">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rPr>
            </w:pPr>
            <w:r>
              <w:rPr>
                <w:rFonts w:hint="eastAsia" w:ascii="Times New Roman" w:hAnsi="Times New Roman" w:cs="Times New Roman" w:eastAsiaTheme="minorEastAsia"/>
                <w:color w:val="auto"/>
                <w:w w:val="99"/>
                <w:kern w:val="2"/>
                <w:sz w:val="21"/>
                <w:szCs w:val="21"/>
                <w:highlight w:val="none"/>
                <w:lang w:val="en-US" w:eastAsia="zh-CN"/>
              </w:rPr>
              <w:t>拟建徐深27-H1井NW600m</w:t>
            </w:r>
          </w:p>
        </w:tc>
        <w:tc>
          <w:tcPr>
            <w:tcW w:w="543" w:type="pct"/>
            <w:vAlign w:val="center"/>
          </w:tcPr>
          <w:p w14:paraId="6183A98E">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65</w:t>
            </w:r>
          </w:p>
        </w:tc>
        <w:tc>
          <w:tcPr>
            <w:tcW w:w="690" w:type="pct"/>
            <w:vAlign w:val="center"/>
          </w:tcPr>
          <w:p w14:paraId="7491B5CF">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侧向水井</w:t>
            </w:r>
          </w:p>
        </w:tc>
        <w:tc>
          <w:tcPr>
            <w:tcW w:w="719" w:type="pct"/>
            <w:vAlign w:val="center"/>
          </w:tcPr>
          <w:p w14:paraId="0C4076D1">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牲畜饮用</w:t>
            </w:r>
            <w:r>
              <w:rPr>
                <w:rFonts w:hint="eastAsia" w:ascii="Times New Roman" w:hAnsi="Times New Roman" w:cs="Times New Roman" w:eastAsiaTheme="minorEastAsia"/>
                <w:color w:val="auto"/>
                <w:w w:val="99"/>
                <w:kern w:val="2"/>
                <w:sz w:val="21"/>
                <w:szCs w:val="21"/>
                <w:highlight w:val="none"/>
                <w:lang w:val="en-US" w:eastAsia="zh-CN"/>
              </w:rPr>
              <w:t>、</w:t>
            </w:r>
            <w:r>
              <w:rPr>
                <w:rFonts w:hint="default" w:ascii="Times New Roman" w:hAnsi="Times New Roman" w:cs="Times New Roman" w:eastAsiaTheme="minorEastAsia"/>
                <w:color w:val="auto"/>
                <w:w w:val="99"/>
                <w:kern w:val="2"/>
                <w:sz w:val="21"/>
                <w:szCs w:val="21"/>
                <w:highlight w:val="none"/>
                <w:lang w:val="en-US" w:eastAsia="zh-CN"/>
              </w:rPr>
              <w:t>灌溉</w:t>
            </w:r>
          </w:p>
        </w:tc>
      </w:tr>
      <w:tr w14:paraId="4C0B2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2" w:type="pct"/>
            <w:vAlign w:val="center"/>
          </w:tcPr>
          <w:p w14:paraId="696A6213">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6</w:t>
            </w:r>
          </w:p>
        </w:tc>
        <w:tc>
          <w:tcPr>
            <w:tcW w:w="728" w:type="pct"/>
            <w:shd w:val="clear" w:color="auto" w:fill="auto"/>
            <w:vAlign w:val="center"/>
          </w:tcPr>
          <w:p w14:paraId="7F471A97">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于洼子屯陈家潜水水井</w:t>
            </w:r>
          </w:p>
        </w:tc>
        <w:tc>
          <w:tcPr>
            <w:tcW w:w="491" w:type="pct"/>
            <w:shd w:val="clear" w:color="auto" w:fill="auto"/>
            <w:vAlign w:val="center"/>
          </w:tcPr>
          <w:p w14:paraId="3C4CBEFB">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潜水</w:t>
            </w:r>
          </w:p>
        </w:tc>
        <w:tc>
          <w:tcPr>
            <w:tcW w:w="682" w:type="pct"/>
            <w:vAlign w:val="center"/>
          </w:tcPr>
          <w:p w14:paraId="3D5E8669">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125.50934</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45.91835</w:t>
            </w:r>
          </w:p>
        </w:tc>
        <w:tc>
          <w:tcPr>
            <w:tcW w:w="881" w:type="pct"/>
            <w:vAlign w:val="center"/>
          </w:tcPr>
          <w:p w14:paraId="550A3F3A">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徐深27集气站EN1000m</w:t>
            </w:r>
          </w:p>
        </w:tc>
        <w:tc>
          <w:tcPr>
            <w:tcW w:w="543" w:type="pct"/>
            <w:shd w:val="clear" w:color="auto" w:fill="auto"/>
            <w:vAlign w:val="center"/>
          </w:tcPr>
          <w:p w14:paraId="7D255B9C">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12</w:t>
            </w:r>
          </w:p>
        </w:tc>
        <w:tc>
          <w:tcPr>
            <w:tcW w:w="690" w:type="pct"/>
            <w:shd w:val="clear" w:color="auto" w:fill="auto"/>
            <w:vAlign w:val="center"/>
          </w:tcPr>
          <w:p w14:paraId="2A07EED2">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侧向</w:t>
            </w:r>
            <w:r>
              <w:rPr>
                <w:rFonts w:ascii="Times New Roman" w:hAnsi="Times New Roman" w:cs="Times New Roman" w:eastAsiaTheme="minorEastAsia"/>
                <w:color w:val="auto"/>
                <w:w w:val="99"/>
                <w:kern w:val="2"/>
                <w:sz w:val="21"/>
                <w:szCs w:val="21"/>
                <w:highlight w:val="none"/>
              </w:rPr>
              <w:t>水井</w:t>
            </w:r>
          </w:p>
        </w:tc>
        <w:tc>
          <w:tcPr>
            <w:tcW w:w="719" w:type="pct"/>
            <w:vAlign w:val="center"/>
          </w:tcPr>
          <w:p w14:paraId="1611442C">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牲畜饮用</w:t>
            </w:r>
            <w:r>
              <w:rPr>
                <w:rFonts w:hint="eastAsia" w:ascii="Times New Roman" w:hAnsi="Times New Roman" w:cs="Times New Roman" w:eastAsiaTheme="minorEastAsia"/>
                <w:color w:val="auto"/>
                <w:w w:val="99"/>
                <w:kern w:val="2"/>
                <w:sz w:val="21"/>
                <w:szCs w:val="21"/>
                <w:highlight w:val="none"/>
                <w:lang w:val="en-US" w:eastAsia="zh-CN"/>
              </w:rPr>
              <w:t>、</w:t>
            </w:r>
            <w:r>
              <w:rPr>
                <w:rFonts w:hint="default" w:ascii="Times New Roman" w:hAnsi="Times New Roman" w:cs="Times New Roman" w:eastAsiaTheme="minorEastAsia"/>
                <w:color w:val="auto"/>
                <w:w w:val="99"/>
                <w:kern w:val="2"/>
                <w:sz w:val="21"/>
                <w:szCs w:val="21"/>
                <w:highlight w:val="none"/>
                <w:lang w:val="en-US" w:eastAsia="zh-CN"/>
              </w:rPr>
              <w:t>灌溉</w:t>
            </w:r>
          </w:p>
        </w:tc>
      </w:tr>
      <w:tr w14:paraId="6B0FD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2" w:type="pct"/>
            <w:vAlign w:val="center"/>
          </w:tcPr>
          <w:p w14:paraId="152519AC">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7</w:t>
            </w:r>
          </w:p>
        </w:tc>
        <w:tc>
          <w:tcPr>
            <w:tcW w:w="728" w:type="pct"/>
            <w:shd w:val="clear" w:color="auto" w:fill="auto"/>
            <w:vAlign w:val="center"/>
          </w:tcPr>
          <w:p w14:paraId="6A1E67D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东双山屯孙家潜水水井</w:t>
            </w:r>
          </w:p>
        </w:tc>
        <w:tc>
          <w:tcPr>
            <w:tcW w:w="491" w:type="pct"/>
            <w:shd w:val="clear" w:color="auto" w:fill="auto"/>
            <w:vAlign w:val="center"/>
          </w:tcPr>
          <w:p w14:paraId="1F23FDD1">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潜水</w:t>
            </w:r>
          </w:p>
        </w:tc>
        <w:tc>
          <w:tcPr>
            <w:tcW w:w="682" w:type="pct"/>
            <w:vAlign w:val="center"/>
          </w:tcPr>
          <w:p w14:paraId="0DA5A971">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125.48984</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45.91275</w:t>
            </w:r>
          </w:p>
        </w:tc>
        <w:tc>
          <w:tcPr>
            <w:tcW w:w="881" w:type="pct"/>
            <w:vAlign w:val="center"/>
          </w:tcPr>
          <w:p w14:paraId="45ED2332">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徐深27集气站WN1100m</w:t>
            </w:r>
          </w:p>
        </w:tc>
        <w:tc>
          <w:tcPr>
            <w:tcW w:w="543" w:type="pct"/>
            <w:shd w:val="clear" w:color="auto" w:fill="auto"/>
            <w:vAlign w:val="center"/>
          </w:tcPr>
          <w:p w14:paraId="0AF24AEA">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15</w:t>
            </w:r>
          </w:p>
        </w:tc>
        <w:tc>
          <w:tcPr>
            <w:tcW w:w="690" w:type="pct"/>
            <w:shd w:val="clear" w:color="auto" w:fill="auto"/>
            <w:vAlign w:val="center"/>
          </w:tcPr>
          <w:p w14:paraId="7181FC79">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侧向</w:t>
            </w:r>
            <w:r>
              <w:rPr>
                <w:rFonts w:ascii="Times New Roman" w:hAnsi="Times New Roman" w:cs="Times New Roman" w:eastAsiaTheme="minorEastAsia"/>
                <w:color w:val="auto"/>
                <w:w w:val="99"/>
                <w:kern w:val="2"/>
                <w:sz w:val="21"/>
                <w:szCs w:val="21"/>
                <w:highlight w:val="none"/>
              </w:rPr>
              <w:t>水井</w:t>
            </w:r>
          </w:p>
        </w:tc>
        <w:tc>
          <w:tcPr>
            <w:tcW w:w="719" w:type="pct"/>
            <w:vAlign w:val="center"/>
          </w:tcPr>
          <w:p w14:paraId="0295B50B">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牲畜饮用</w:t>
            </w:r>
            <w:r>
              <w:rPr>
                <w:rFonts w:hint="eastAsia" w:ascii="Times New Roman" w:hAnsi="Times New Roman" w:cs="Times New Roman" w:eastAsiaTheme="minorEastAsia"/>
                <w:color w:val="auto"/>
                <w:w w:val="99"/>
                <w:kern w:val="2"/>
                <w:sz w:val="21"/>
                <w:szCs w:val="21"/>
                <w:highlight w:val="none"/>
                <w:lang w:val="en-US" w:eastAsia="zh-CN"/>
              </w:rPr>
              <w:t>、</w:t>
            </w:r>
            <w:r>
              <w:rPr>
                <w:rFonts w:hint="default" w:ascii="Times New Roman" w:hAnsi="Times New Roman" w:cs="Times New Roman" w:eastAsiaTheme="minorEastAsia"/>
                <w:color w:val="auto"/>
                <w:w w:val="99"/>
                <w:kern w:val="2"/>
                <w:sz w:val="21"/>
                <w:szCs w:val="21"/>
                <w:highlight w:val="none"/>
                <w:lang w:val="en-US" w:eastAsia="zh-CN"/>
              </w:rPr>
              <w:t>灌溉</w:t>
            </w:r>
          </w:p>
        </w:tc>
      </w:tr>
      <w:tr w14:paraId="2DB30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2" w:type="pct"/>
            <w:vAlign w:val="center"/>
          </w:tcPr>
          <w:p w14:paraId="74DF980B">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8</w:t>
            </w:r>
          </w:p>
        </w:tc>
        <w:tc>
          <w:tcPr>
            <w:tcW w:w="728" w:type="pct"/>
            <w:shd w:val="clear" w:color="auto" w:fill="auto"/>
            <w:vAlign w:val="center"/>
          </w:tcPr>
          <w:p w14:paraId="021272E3">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西双山屯房家潜水水井</w:t>
            </w:r>
          </w:p>
        </w:tc>
        <w:tc>
          <w:tcPr>
            <w:tcW w:w="491" w:type="pct"/>
            <w:shd w:val="clear" w:color="auto" w:fill="auto"/>
            <w:vAlign w:val="center"/>
          </w:tcPr>
          <w:p w14:paraId="6ABA8322">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潜水</w:t>
            </w:r>
          </w:p>
        </w:tc>
        <w:tc>
          <w:tcPr>
            <w:tcW w:w="682" w:type="pct"/>
            <w:vAlign w:val="center"/>
          </w:tcPr>
          <w:p w14:paraId="42A4E06D">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125.48238</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45.90947</w:t>
            </w:r>
          </w:p>
        </w:tc>
        <w:tc>
          <w:tcPr>
            <w:tcW w:w="881" w:type="pct"/>
            <w:vAlign w:val="center"/>
          </w:tcPr>
          <w:p w14:paraId="356461CD">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徐深27集气站WN1700m</w:t>
            </w:r>
          </w:p>
        </w:tc>
        <w:tc>
          <w:tcPr>
            <w:tcW w:w="543" w:type="pct"/>
            <w:shd w:val="clear" w:color="auto" w:fill="auto"/>
            <w:vAlign w:val="center"/>
          </w:tcPr>
          <w:p w14:paraId="5D5F4383">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18</w:t>
            </w:r>
          </w:p>
        </w:tc>
        <w:tc>
          <w:tcPr>
            <w:tcW w:w="690" w:type="pct"/>
            <w:shd w:val="clear" w:color="auto" w:fill="auto"/>
            <w:vAlign w:val="center"/>
          </w:tcPr>
          <w:p w14:paraId="714E0D66">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侧向</w:t>
            </w:r>
            <w:r>
              <w:rPr>
                <w:rFonts w:ascii="Times New Roman" w:hAnsi="Times New Roman" w:cs="Times New Roman" w:eastAsiaTheme="minorEastAsia"/>
                <w:color w:val="auto"/>
                <w:w w:val="99"/>
                <w:kern w:val="2"/>
                <w:sz w:val="21"/>
                <w:szCs w:val="21"/>
                <w:highlight w:val="none"/>
              </w:rPr>
              <w:t>水井</w:t>
            </w:r>
          </w:p>
        </w:tc>
        <w:tc>
          <w:tcPr>
            <w:tcW w:w="719" w:type="pct"/>
            <w:vAlign w:val="center"/>
          </w:tcPr>
          <w:p w14:paraId="756D036F">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牲畜饮用</w:t>
            </w:r>
            <w:r>
              <w:rPr>
                <w:rFonts w:hint="eastAsia" w:ascii="Times New Roman" w:hAnsi="Times New Roman" w:cs="Times New Roman" w:eastAsiaTheme="minorEastAsia"/>
                <w:color w:val="auto"/>
                <w:w w:val="99"/>
                <w:kern w:val="2"/>
                <w:sz w:val="21"/>
                <w:szCs w:val="21"/>
                <w:highlight w:val="none"/>
                <w:lang w:val="en-US" w:eastAsia="zh-CN"/>
              </w:rPr>
              <w:t>、</w:t>
            </w:r>
            <w:r>
              <w:rPr>
                <w:rFonts w:hint="default" w:ascii="Times New Roman" w:hAnsi="Times New Roman" w:cs="Times New Roman" w:eastAsiaTheme="minorEastAsia"/>
                <w:color w:val="auto"/>
                <w:w w:val="99"/>
                <w:kern w:val="2"/>
                <w:sz w:val="21"/>
                <w:szCs w:val="21"/>
                <w:highlight w:val="none"/>
                <w:lang w:val="en-US" w:eastAsia="zh-CN"/>
              </w:rPr>
              <w:t>灌溉</w:t>
            </w:r>
          </w:p>
        </w:tc>
      </w:tr>
      <w:tr w14:paraId="66219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2" w:type="pct"/>
            <w:vAlign w:val="center"/>
          </w:tcPr>
          <w:p w14:paraId="51EEE227">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9</w:t>
            </w:r>
          </w:p>
        </w:tc>
        <w:tc>
          <w:tcPr>
            <w:tcW w:w="728" w:type="pct"/>
            <w:shd w:val="clear" w:color="auto" w:fill="auto"/>
            <w:vAlign w:val="center"/>
          </w:tcPr>
          <w:p w14:paraId="4A100C9A">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东双山屯王家承压水井</w:t>
            </w:r>
          </w:p>
        </w:tc>
        <w:tc>
          <w:tcPr>
            <w:tcW w:w="491" w:type="pct"/>
            <w:shd w:val="clear" w:color="auto" w:fill="auto"/>
            <w:vAlign w:val="center"/>
          </w:tcPr>
          <w:p w14:paraId="7A43C0CC">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承压水</w:t>
            </w:r>
          </w:p>
        </w:tc>
        <w:tc>
          <w:tcPr>
            <w:tcW w:w="682" w:type="pct"/>
            <w:vAlign w:val="center"/>
          </w:tcPr>
          <w:p w14:paraId="0F5BED05">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125.49285</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45.91320</w:t>
            </w:r>
          </w:p>
        </w:tc>
        <w:tc>
          <w:tcPr>
            <w:tcW w:w="881" w:type="pct"/>
            <w:vAlign w:val="center"/>
          </w:tcPr>
          <w:p w14:paraId="7389F0E7">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徐深27集气站WN1200m</w:t>
            </w:r>
          </w:p>
        </w:tc>
        <w:tc>
          <w:tcPr>
            <w:tcW w:w="543" w:type="pct"/>
            <w:shd w:val="clear" w:color="auto" w:fill="auto"/>
            <w:vAlign w:val="center"/>
          </w:tcPr>
          <w:p w14:paraId="4C12BECE">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80</w:t>
            </w:r>
          </w:p>
        </w:tc>
        <w:tc>
          <w:tcPr>
            <w:tcW w:w="690" w:type="pct"/>
            <w:shd w:val="clear" w:color="auto" w:fill="auto"/>
            <w:vAlign w:val="center"/>
          </w:tcPr>
          <w:p w14:paraId="06474428">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侧向</w:t>
            </w:r>
            <w:r>
              <w:rPr>
                <w:rFonts w:ascii="Times New Roman" w:hAnsi="Times New Roman" w:cs="Times New Roman" w:eastAsiaTheme="minorEastAsia"/>
                <w:color w:val="auto"/>
                <w:w w:val="99"/>
                <w:kern w:val="2"/>
                <w:sz w:val="21"/>
                <w:szCs w:val="21"/>
                <w:highlight w:val="none"/>
              </w:rPr>
              <w:t>水井</w:t>
            </w:r>
          </w:p>
        </w:tc>
        <w:tc>
          <w:tcPr>
            <w:tcW w:w="719" w:type="pct"/>
            <w:vAlign w:val="center"/>
          </w:tcPr>
          <w:p w14:paraId="45D5AC8F">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牲畜饮用</w:t>
            </w:r>
            <w:r>
              <w:rPr>
                <w:rFonts w:hint="eastAsia" w:ascii="Times New Roman" w:hAnsi="Times New Roman" w:cs="Times New Roman" w:eastAsiaTheme="minorEastAsia"/>
                <w:color w:val="auto"/>
                <w:w w:val="99"/>
                <w:kern w:val="2"/>
                <w:sz w:val="21"/>
                <w:szCs w:val="21"/>
                <w:highlight w:val="none"/>
                <w:lang w:val="en-US" w:eastAsia="zh-CN"/>
              </w:rPr>
              <w:t>、</w:t>
            </w:r>
            <w:r>
              <w:rPr>
                <w:rFonts w:hint="default" w:ascii="Times New Roman" w:hAnsi="Times New Roman" w:cs="Times New Roman" w:eastAsiaTheme="minorEastAsia"/>
                <w:color w:val="auto"/>
                <w:w w:val="99"/>
                <w:kern w:val="2"/>
                <w:sz w:val="21"/>
                <w:szCs w:val="21"/>
                <w:highlight w:val="none"/>
                <w:lang w:val="en-US" w:eastAsia="zh-CN"/>
              </w:rPr>
              <w:t>灌溉</w:t>
            </w:r>
          </w:p>
        </w:tc>
      </w:tr>
      <w:tr w14:paraId="6B0EC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2" w:type="pct"/>
            <w:vAlign w:val="center"/>
          </w:tcPr>
          <w:p w14:paraId="4FCAFB18">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10</w:t>
            </w:r>
          </w:p>
        </w:tc>
        <w:tc>
          <w:tcPr>
            <w:tcW w:w="728" w:type="pct"/>
            <w:shd w:val="clear" w:color="auto" w:fill="auto"/>
            <w:vAlign w:val="center"/>
          </w:tcPr>
          <w:p w14:paraId="10A3F726">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王家围子屯周家承压水井</w:t>
            </w:r>
          </w:p>
        </w:tc>
        <w:tc>
          <w:tcPr>
            <w:tcW w:w="491" w:type="pct"/>
            <w:shd w:val="clear" w:color="auto" w:fill="auto"/>
            <w:vAlign w:val="center"/>
          </w:tcPr>
          <w:p w14:paraId="16B455C8">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承压水</w:t>
            </w:r>
          </w:p>
        </w:tc>
        <w:tc>
          <w:tcPr>
            <w:tcW w:w="682" w:type="pct"/>
            <w:vAlign w:val="center"/>
          </w:tcPr>
          <w:p w14:paraId="42708298">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125.51837</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45.90704</w:t>
            </w:r>
          </w:p>
        </w:tc>
        <w:tc>
          <w:tcPr>
            <w:tcW w:w="881" w:type="pct"/>
            <w:vAlign w:val="center"/>
          </w:tcPr>
          <w:p w14:paraId="26C2B09F">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拟建徐深27-H1井EN970m</w:t>
            </w:r>
          </w:p>
        </w:tc>
        <w:tc>
          <w:tcPr>
            <w:tcW w:w="543" w:type="pct"/>
            <w:shd w:val="clear" w:color="auto" w:fill="auto"/>
            <w:vAlign w:val="center"/>
          </w:tcPr>
          <w:p w14:paraId="194169CD">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65</w:t>
            </w:r>
          </w:p>
        </w:tc>
        <w:tc>
          <w:tcPr>
            <w:tcW w:w="690" w:type="pct"/>
            <w:shd w:val="clear" w:color="auto" w:fill="auto"/>
            <w:vAlign w:val="center"/>
          </w:tcPr>
          <w:p w14:paraId="6F6ED745">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上游</w:t>
            </w:r>
            <w:r>
              <w:rPr>
                <w:rFonts w:ascii="Times New Roman" w:hAnsi="Times New Roman" w:cs="Times New Roman" w:eastAsiaTheme="minorEastAsia"/>
                <w:color w:val="auto"/>
                <w:w w:val="99"/>
                <w:kern w:val="2"/>
                <w:sz w:val="21"/>
                <w:szCs w:val="21"/>
                <w:highlight w:val="none"/>
              </w:rPr>
              <w:t>水井</w:t>
            </w:r>
          </w:p>
        </w:tc>
        <w:tc>
          <w:tcPr>
            <w:tcW w:w="719" w:type="pct"/>
            <w:vAlign w:val="center"/>
          </w:tcPr>
          <w:p w14:paraId="560651D5">
            <w:pPr>
              <w:widowControl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牲畜饮用</w:t>
            </w:r>
            <w:r>
              <w:rPr>
                <w:rFonts w:hint="eastAsia" w:ascii="Times New Roman" w:hAnsi="Times New Roman" w:cs="Times New Roman" w:eastAsiaTheme="minorEastAsia"/>
                <w:color w:val="auto"/>
                <w:w w:val="99"/>
                <w:kern w:val="2"/>
                <w:sz w:val="21"/>
                <w:szCs w:val="21"/>
                <w:highlight w:val="none"/>
                <w:lang w:val="en-US" w:eastAsia="zh-CN"/>
              </w:rPr>
              <w:t>、</w:t>
            </w:r>
            <w:r>
              <w:rPr>
                <w:rFonts w:hint="default" w:ascii="Times New Roman" w:hAnsi="Times New Roman" w:cs="Times New Roman" w:eastAsiaTheme="minorEastAsia"/>
                <w:color w:val="auto"/>
                <w:w w:val="99"/>
                <w:kern w:val="2"/>
                <w:sz w:val="21"/>
                <w:szCs w:val="21"/>
                <w:highlight w:val="none"/>
                <w:lang w:val="en-US" w:eastAsia="zh-CN"/>
              </w:rPr>
              <w:t>灌溉</w:t>
            </w:r>
          </w:p>
        </w:tc>
      </w:tr>
    </w:tbl>
    <w:p w14:paraId="38519C94">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（3）监测时间及频次</w:t>
      </w:r>
    </w:p>
    <w:p w14:paraId="42BB39F6">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于</w:t>
      </w:r>
      <w:r>
        <w:rPr>
          <w:rFonts w:ascii="Times New Roman" w:hAnsi="Times New Roman" w:cs="Times New Roman" w:eastAsiaTheme="minorEastAsia"/>
          <w:color w:val="auto"/>
          <w:w w:val="99"/>
          <w:highlight w:val="none"/>
        </w:rPr>
        <w:t>202</w:t>
      </w:r>
      <w:r>
        <w:rPr>
          <w:rFonts w:hint="eastAsia" w:ascii="Times New Roman" w:hAnsi="Times New Roman" w:cs="Times New Roman" w:eastAsiaTheme="minorEastAsia"/>
          <w:color w:val="auto"/>
          <w:w w:val="99"/>
          <w:highlight w:val="none"/>
          <w:lang w:val="en-US" w:eastAsia="zh-CN"/>
        </w:rPr>
        <w:t>5</w:t>
      </w:r>
      <w:r>
        <w:rPr>
          <w:rFonts w:ascii="Times New Roman" w:hAnsi="Times New Roman" w:cs="Times New Roman" w:eastAsiaTheme="minorEastAsia"/>
          <w:color w:val="auto"/>
          <w:w w:val="99"/>
          <w:highlight w:val="none"/>
        </w:rPr>
        <w:t>年</w:t>
      </w:r>
      <w:r>
        <w:rPr>
          <w:rFonts w:hint="eastAsia" w:ascii="Times New Roman" w:hAnsi="Times New Roman" w:cs="Times New Roman" w:eastAsiaTheme="minorEastAsia"/>
          <w:color w:val="auto"/>
          <w:w w:val="99"/>
          <w:highlight w:val="none"/>
          <w:lang w:val="en-US" w:eastAsia="zh-CN"/>
        </w:rPr>
        <w:t>3</w:t>
      </w:r>
      <w:r>
        <w:rPr>
          <w:rFonts w:ascii="Times New Roman" w:hAnsi="Times New Roman" w:cs="Times New Roman" w:eastAsiaTheme="minorEastAsia"/>
          <w:color w:val="auto"/>
          <w:w w:val="99"/>
          <w:highlight w:val="none"/>
        </w:rPr>
        <w:t>月</w:t>
      </w:r>
      <w:r>
        <w:rPr>
          <w:rFonts w:hint="eastAsia" w:ascii="Times New Roman" w:hAnsi="Times New Roman" w:cs="Times New Roman" w:eastAsiaTheme="minorEastAsia"/>
          <w:color w:val="auto"/>
          <w:w w:val="99"/>
          <w:highlight w:val="none"/>
          <w:lang w:val="en-US" w:eastAsia="zh-CN"/>
        </w:rPr>
        <w:t>26</w:t>
      </w:r>
      <w:r>
        <w:rPr>
          <w:rFonts w:ascii="Times New Roman" w:hAnsi="Times New Roman" w:cs="Times New Roman" w:eastAsiaTheme="minorEastAsia"/>
          <w:color w:val="auto"/>
          <w:w w:val="99"/>
          <w:highlight w:val="none"/>
        </w:rPr>
        <w:t>日</w:t>
      </w:r>
      <w:r>
        <w:rPr>
          <w:rFonts w:hint="eastAsia" w:ascii="Times New Roman" w:hAnsi="Times New Roman" w:cs="Times New Roman" w:eastAsiaTheme="minorEastAsia"/>
          <w:color w:val="auto"/>
          <w:w w:val="99"/>
          <w:highlight w:val="none"/>
          <w:lang w:eastAsia="zh-CN"/>
        </w:rPr>
        <w:t>（</w:t>
      </w:r>
      <w:r>
        <w:rPr>
          <w:rFonts w:hint="eastAsia" w:ascii="Times New Roman" w:hAnsi="Times New Roman" w:cs="Times New Roman" w:eastAsiaTheme="minorEastAsia"/>
          <w:color w:val="auto"/>
          <w:w w:val="99"/>
          <w:highlight w:val="none"/>
          <w:lang w:val="en-US" w:eastAsia="zh-CN"/>
        </w:rPr>
        <w:t>引用</w:t>
      </w:r>
      <w:r>
        <w:rPr>
          <w:rFonts w:hint="eastAsia" w:ascii="Times New Roman" w:hAnsi="Times New Roman" w:cs="Times New Roman" w:eastAsiaTheme="minorEastAsia"/>
          <w:color w:val="auto"/>
          <w:w w:val="99"/>
          <w:highlight w:val="none"/>
          <w:lang w:eastAsia="zh-CN"/>
        </w:rPr>
        <w:t>）、</w:t>
      </w:r>
      <w:r>
        <w:rPr>
          <w:rFonts w:ascii="Times New Roman" w:hAnsi="Times New Roman" w:cs="Times New Roman"/>
          <w:color w:val="auto"/>
          <w:w w:val="99"/>
          <w:highlight w:val="none"/>
        </w:rPr>
        <w:t>202</w:t>
      </w:r>
      <w:r>
        <w:rPr>
          <w:rFonts w:hint="eastAsia" w:ascii="Times New Roman" w:hAnsi="Times New Roman" w:cs="Times New Roman"/>
          <w:color w:val="auto"/>
          <w:w w:val="99"/>
          <w:highlight w:val="none"/>
          <w:lang w:val="en-US" w:eastAsia="zh-CN"/>
        </w:rPr>
        <w:t>6</w:t>
      </w:r>
      <w:r>
        <w:rPr>
          <w:rFonts w:ascii="Times New Roman" w:hAnsi="Times New Roman" w:cs="Times New Roman"/>
          <w:color w:val="auto"/>
          <w:w w:val="99"/>
          <w:highlight w:val="none"/>
        </w:rPr>
        <w:t>年</w:t>
      </w:r>
      <w:r>
        <w:rPr>
          <w:rFonts w:hint="eastAsia" w:ascii="Times New Roman" w:hAnsi="Times New Roman" w:cs="Times New Roman"/>
          <w:color w:val="auto"/>
          <w:w w:val="99"/>
          <w:highlight w:val="none"/>
          <w:lang w:val="en-US" w:eastAsia="zh-CN"/>
        </w:rPr>
        <w:t>6</w:t>
      </w:r>
      <w:r>
        <w:rPr>
          <w:rFonts w:ascii="Times New Roman" w:hAnsi="Times New Roman" w:cs="Times New Roman"/>
          <w:color w:val="auto"/>
          <w:w w:val="99"/>
          <w:highlight w:val="none"/>
        </w:rPr>
        <w:t>月</w:t>
      </w:r>
      <w:r>
        <w:rPr>
          <w:rFonts w:hint="eastAsia" w:ascii="Times New Roman" w:hAnsi="Times New Roman" w:cs="Times New Roman"/>
          <w:color w:val="auto"/>
          <w:w w:val="99"/>
          <w:highlight w:val="none"/>
          <w:lang w:val="en-US" w:eastAsia="zh-CN"/>
        </w:rPr>
        <w:t>1</w:t>
      </w:r>
      <w:r>
        <w:rPr>
          <w:rFonts w:ascii="Times New Roman" w:hAnsi="Times New Roman" w:cs="Times New Roman"/>
          <w:color w:val="auto"/>
          <w:w w:val="99"/>
          <w:highlight w:val="none"/>
        </w:rPr>
        <w:t>日监测，均取样1次，并进行水质分析。</w:t>
      </w:r>
    </w:p>
    <w:p w14:paraId="074C45CB">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（4）分析方法</w:t>
      </w:r>
    </w:p>
    <w:p w14:paraId="141E316C">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地下水各监测因子分析方法见表4.3-8。</w:t>
      </w:r>
    </w:p>
    <w:p w14:paraId="655ACA4F">
      <w:pPr>
        <w:pStyle w:val="2736"/>
        <w:keepNext w:val="0"/>
        <w:keepLines w:val="0"/>
        <w:widowControl w:val="0"/>
        <w:kinsoku w:val="0"/>
        <w:overflowPunct w:val="0"/>
        <w:spacing w:line="440" w:lineRule="exact"/>
        <w:ind w:left="480" w:leftChars="200" w:firstLine="0" w:firstLineChars="0"/>
        <w:outlineLvl w:val="9"/>
        <w:rPr>
          <w:rFonts w:ascii="Times New Roman" w:hAnsi="Times New Roman" w:eastAsia="宋体"/>
          <w:b/>
          <w:color w:val="auto"/>
          <w:w w:val="99"/>
          <w:sz w:val="24"/>
          <w:szCs w:val="24"/>
          <w:highlight w:val="none"/>
        </w:rPr>
      </w:pPr>
      <w:bookmarkStart w:id="685" w:name="_Toc19563"/>
      <w:bookmarkStart w:id="686" w:name="_Toc22902"/>
      <w:bookmarkStart w:id="687" w:name="_Toc18042"/>
      <w:bookmarkStart w:id="688" w:name="_Toc7544"/>
      <w:bookmarkStart w:id="689" w:name="_Toc9096"/>
      <w:bookmarkStart w:id="690" w:name="_Toc31911"/>
      <w:bookmarkStart w:id="691" w:name="_Toc25506"/>
      <w:bookmarkStart w:id="692" w:name="_Toc21808"/>
      <w:r>
        <w:rPr>
          <w:rFonts w:ascii="Times New Roman" w:hAnsi="Times New Roman" w:eastAsia="宋体"/>
          <w:b/>
          <w:color w:val="auto"/>
          <w:w w:val="99"/>
          <w:sz w:val="24"/>
          <w:szCs w:val="24"/>
          <w:highlight w:val="none"/>
        </w:rPr>
        <w:t>表4.3-8  地下水监测分析方法</w:t>
      </w:r>
      <w:bookmarkEnd w:id="685"/>
      <w:bookmarkEnd w:id="686"/>
      <w:bookmarkEnd w:id="687"/>
      <w:bookmarkEnd w:id="688"/>
      <w:bookmarkEnd w:id="689"/>
      <w:bookmarkEnd w:id="690"/>
      <w:bookmarkEnd w:id="691"/>
      <w:bookmarkEnd w:id="692"/>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765"/>
        <w:gridCol w:w="1598"/>
        <w:gridCol w:w="1742"/>
        <w:gridCol w:w="1306"/>
        <w:gridCol w:w="1014"/>
      </w:tblGrid>
      <w:tr w14:paraId="7C9B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67101CE0">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w:t>
            </w:r>
          </w:p>
          <w:p w14:paraId="7030B7F4">
            <w:pPr>
              <w:widowControl w:val="0"/>
              <w:kinsoku w:val="0"/>
              <w:overflowPunct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1489" w:type="pct"/>
            <w:vAlign w:val="center"/>
          </w:tcPr>
          <w:p w14:paraId="180E1224">
            <w:pPr>
              <w:widowControl w:val="0"/>
              <w:kinsoku w:val="0"/>
              <w:overflowPunct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分析方法名称</w:t>
            </w:r>
          </w:p>
        </w:tc>
        <w:tc>
          <w:tcPr>
            <w:tcW w:w="860" w:type="pct"/>
            <w:vAlign w:val="center"/>
          </w:tcPr>
          <w:p w14:paraId="6EDAA45A">
            <w:pPr>
              <w:widowControl w:val="0"/>
              <w:kinsoku w:val="0"/>
              <w:overflowPunct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方法来源及标准号</w:t>
            </w:r>
          </w:p>
        </w:tc>
        <w:tc>
          <w:tcPr>
            <w:tcW w:w="938" w:type="pct"/>
            <w:vAlign w:val="center"/>
          </w:tcPr>
          <w:p w14:paraId="54DFF027">
            <w:pPr>
              <w:widowControl w:val="0"/>
              <w:kinsoku w:val="0"/>
              <w:overflowPunct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分析仪器及型号</w:t>
            </w:r>
          </w:p>
        </w:tc>
        <w:tc>
          <w:tcPr>
            <w:tcW w:w="703" w:type="pct"/>
            <w:vAlign w:val="center"/>
          </w:tcPr>
          <w:p w14:paraId="2E0CF1E5">
            <w:pPr>
              <w:widowControl w:val="0"/>
              <w:kinsoku w:val="0"/>
              <w:overflowPunct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仪器编号</w:t>
            </w:r>
          </w:p>
        </w:tc>
        <w:tc>
          <w:tcPr>
            <w:tcW w:w="546" w:type="pct"/>
            <w:vAlign w:val="center"/>
          </w:tcPr>
          <w:p w14:paraId="41A89CFB">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方法检出限</w:t>
            </w:r>
          </w:p>
        </w:tc>
      </w:tr>
      <w:tr w14:paraId="2C35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67D7A0A0">
            <w:pPr>
              <w:widowControl w:val="0"/>
              <w:kinsoku w:val="0"/>
              <w:overflowPunct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4"/>
                <w:sz w:val="21"/>
                <w:szCs w:val="21"/>
                <w:highlight w:val="none"/>
                <w:lang w:bidi="ar"/>
              </w:rPr>
              <w:t>K</w:t>
            </w:r>
            <w:r>
              <w:rPr>
                <w:rFonts w:ascii="Times New Roman" w:hAnsi="Times New Roman" w:cs="Times New Roman" w:eastAsiaTheme="minorEastAsia"/>
                <w:color w:val="auto"/>
                <w:w w:val="99"/>
                <w:kern w:val="24"/>
                <w:sz w:val="21"/>
                <w:szCs w:val="21"/>
                <w:highlight w:val="none"/>
                <w:vertAlign w:val="superscript"/>
                <w:lang w:bidi="ar"/>
              </w:rPr>
              <w:t>+</w:t>
            </w:r>
          </w:p>
        </w:tc>
        <w:tc>
          <w:tcPr>
            <w:tcW w:w="1489" w:type="pct"/>
            <w:vAlign w:val="center"/>
          </w:tcPr>
          <w:p w14:paraId="5639FA8F">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lang w:val="zh-CN"/>
              </w:rPr>
              <w:t>水质 钾和钠的测定</w:t>
            </w:r>
            <w:r>
              <w:rPr>
                <w:rFonts w:ascii="Times New Roman" w:hAnsi="Times New Roman" w:cs="Times New Roman" w:eastAsiaTheme="minorEastAsia"/>
                <w:color w:val="auto"/>
                <w:w w:val="99"/>
                <w:kern w:val="2"/>
                <w:sz w:val="21"/>
                <w:szCs w:val="21"/>
                <w:highlight w:val="none"/>
              </w:rPr>
              <w:t xml:space="preserve">                  </w:t>
            </w:r>
            <w:r>
              <w:rPr>
                <w:rFonts w:ascii="Times New Roman" w:hAnsi="Times New Roman" w:cs="Times New Roman" w:eastAsiaTheme="minorEastAsia"/>
                <w:color w:val="auto"/>
                <w:w w:val="99"/>
                <w:kern w:val="2"/>
                <w:sz w:val="21"/>
                <w:szCs w:val="21"/>
                <w:highlight w:val="none"/>
                <w:lang w:val="zh-CN"/>
              </w:rPr>
              <w:t>火焰原子吸收分光光度法</w:t>
            </w:r>
          </w:p>
        </w:tc>
        <w:tc>
          <w:tcPr>
            <w:tcW w:w="860" w:type="pct"/>
            <w:vAlign w:val="center"/>
          </w:tcPr>
          <w:p w14:paraId="094E1106">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lang w:val="zh-CN"/>
              </w:rPr>
              <w:t>GB</w:t>
            </w:r>
            <w:r>
              <w:rPr>
                <w:rFonts w:ascii="Times New Roman" w:hAnsi="Times New Roman" w:cs="Times New Roman" w:eastAsiaTheme="minorEastAsia"/>
                <w:color w:val="auto"/>
                <w:w w:val="99"/>
                <w:kern w:val="2"/>
                <w:sz w:val="21"/>
                <w:szCs w:val="21"/>
                <w:highlight w:val="none"/>
              </w:rPr>
              <w:t xml:space="preserve">/T </w:t>
            </w:r>
            <w:r>
              <w:rPr>
                <w:rFonts w:ascii="Times New Roman" w:hAnsi="Times New Roman" w:cs="Times New Roman" w:eastAsiaTheme="minorEastAsia"/>
                <w:color w:val="auto"/>
                <w:w w:val="99"/>
                <w:kern w:val="2"/>
                <w:sz w:val="21"/>
                <w:szCs w:val="21"/>
                <w:highlight w:val="none"/>
                <w:lang w:val="zh-CN"/>
              </w:rPr>
              <w:t>11904-1989</w:t>
            </w:r>
          </w:p>
        </w:tc>
        <w:tc>
          <w:tcPr>
            <w:tcW w:w="938" w:type="pct"/>
            <w:vAlign w:val="center"/>
          </w:tcPr>
          <w:p w14:paraId="12EFDB30">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1"/>
                <w:sz w:val="21"/>
                <w:szCs w:val="21"/>
                <w:highlight w:val="none"/>
              </w:rPr>
              <w:t>原子吸收分光光度计 AA320N</w:t>
            </w:r>
          </w:p>
        </w:tc>
        <w:tc>
          <w:tcPr>
            <w:tcW w:w="703" w:type="pct"/>
            <w:vAlign w:val="center"/>
          </w:tcPr>
          <w:p w14:paraId="16B88945">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030916020216050002</w:t>
            </w:r>
          </w:p>
        </w:tc>
        <w:tc>
          <w:tcPr>
            <w:tcW w:w="546" w:type="pct"/>
            <w:vAlign w:val="center"/>
          </w:tcPr>
          <w:p w14:paraId="4076E4D2">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1"/>
                <w:sz w:val="21"/>
                <w:szCs w:val="21"/>
                <w:highlight w:val="none"/>
              </w:rPr>
              <w:t>0.03mg/L</w:t>
            </w:r>
          </w:p>
        </w:tc>
      </w:tr>
      <w:tr w14:paraId="6FB2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102998F6">
            <w:pPr>
              <w:widowControl w:val="0"/>
              <w:kinsoku w:val="0"/>
              <w:overflowPunct w:val="0"/>
              <w:spacing w:line="320" w:lineRule="exact"/>
              <w:jc w:val="center"/>
              <w:textAlignment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4"/>
                <w:sz w:val="21"/>
                <w:szCs w:val="21"/>
                <w:highlight w:val="none"/>
                <w:lang w:bidi="ar"/>
              </w:rPr>
              <w:t>Na</w:t>
            </w:r>
            <w:r>
              <w:rPr>
                <w:rFonts w:ascii="Times New Roman" w:hAnsi="Times New Roman" w:cs="Times New Roman" w:eastAsiaTheme="minorEastAsia"/>
                <w:color w:val="auto"/>
                <w:w w:val="99"/>
                <w:kern w:val="24"/>
                <w:sz w:val="21"/>
                <w:szCs w:val="21"/>
                <w:highlight w:val="none"/>
                <w:vertAlign w:val="superscript"/>
                <w:lang w:bidi="ar"/>
              </w:rPr>
              <w:t>+</w:t>
            </w:r>
          </w:p>
        </w:tc>
        <w:tc>
          <w:tcPr>
            <w:tcW w:w="1489" w:type="pct"/>
            <w:vAlign w:val="center"/>
          </w:tcPr>
          <w:p w14:paraId="26DDDAE7">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水质 钾和钠的测定</w:t>
            </w:r>
          </w:p>
          <w:p w14:paraId="282398FA">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sz w:val="21"/>
                <w:szCs w:val="21"/>
                <w:highlight w:val="none"/>
              </w:rPr>
              <w:t>火焰原子吸收分光光度法</w:t>
            </w:r>
          </w:p>
        </w:tc>
        <w:tc>
          <w:tcPr>
            <w:tcW w:w="860" w:type="pct"/>
            <w:vAlign w:val="center"/>
          </w:tcPr>
          <w:p w14:paraId="78B0661D">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sz w:val="21"/>
                <w:szCs w:val="21"/>
                <w:highlight w:val="none"/>
              </w:rPr>
              <w:t>GB/T 11904-1989</w:t>
            </w:r>
          </w:p>
        </w:tc>
        <w:tc>
          <w:tcPr>
            <w:tcW w:w="938" w:type="pct"/>
            <w:vAlign w:val="center"/>
          </w:tcPr>
          <w:p w14:paraId="224A68B0">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1"/>
                <w:sz w:val="21"/>
                <w:szCs w:val="21"/>
                <w:highlight w:val="none"/>
              </w:rPr>
              <w:t>原子吸收分光光度计 AA320N</w:t>
            </w:r>
          </w:p>
        </w:tc>
        <w:tc>
          <w:tcPr>
            <w:tcW w:w="703" w:type="pct"/>
            <w:vAlign w:val="center"/>
          </w:tcPr>
          <w:p w14:paraId="1B9EEF0C">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030916020216050002</w:t>
            </w:r>
          </w:p>
        </w:tc>
        <w:tc>
          <w:tcPr>
            <w:tcW w:w="546" w:type="pct"/>
            <w:vAlign w:val="center"/>
          </w:tcPr>
          <w:p w14:paraId="3B45614C">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0.010</w:t>
            </w:r>
            <w:r>
              <w:rPr>
                <w:rFonts w:ascii="Times New Roman" w:hAnsi="Times New Roman" w:cs="Times New Roman" w:eastAsiaTheme="minorEastAsia"/>
                <w:color w:val="auto"/>
                <w:w w:val="99"/>
                <w:kern w:val="21"/>
                <w:sz w:val="21"/>
                <w:szCs w:val="21"/>
                <w:highlight w:val="none"/>
              </w:rPr>
              <w:t>mg/L</w:t>
            </w:r>
          </w:p>
        </w:tc>
      </w:tr>
      <w:tr w14:paraId="29F9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2C2A69CC">
            <w:pPr>
              <w:widowControl w:val="0"/>
              <w:kinsoku w:val="0"/>
              <w:overflowPunct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4"/>
                <w:sz w:val="21"/>
                <w:szCs w:val="21"/>
                <w:highlight w:val="none"/>
                <w:lang w:bidi="ar"/>
              </w:rPr>
              <w:t>Ca</w:t>
            </w:r>
            <w:r>
              <w:rPr>
                <w:rFonts w:ascii="Times New Roman" w:hAnsi="Times New Roman" w:cs="Times New Roman" w:eastAsiaTheme="minorEastAsia"/>
                <w:color w:val="auto"/>
                <w:w w:val="99"/>
                <w:kern w:val="24"/>
                <w:sz w:val="21"/>
                <w:szCs w:val="21"/>
                <w:highlight w:val="none"/>
                <w:vertAlign w:val="superscript"/>
                <w:lang w:bidi="ar"/>
              </w:rPr>
              <w:t>2+</w:t>
            </w:r>
          </w:p>
        </w:tc>
        <w:tc>
          <w:tcPr>
            <w:tcW w:w="1489" w:type="pct"/>
            <w:vAlign w:val="center"/>
          </w:tcPr>
          <w:p w14:paraId="72298110">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lang w:val="zh-CN"/>
              </w:rPr>
            </w:pPr>
            <w:r>
              <w:rPr>
                <w:rFonts w:ascii="Times New Roman" w:hAnsi="Times New Roman" w:cs="Times New Roman" w:eastAsiaTheme="minorEastAsia"/>
                <w:color w:val="auto"/>
                <w:w w:val="99"/>
                <w:kern w:val="2"/>
                <w:sz w:val="21"/>
                <w:szCs w:val="21"/>
                <w:highlight w:val="none"/>
                <w:lang w:val="zh-CN"/>
              </w:rPr>
              <w:t>水质 钙和镁的测定</w:t>
            </w:r>
          </w:p>
          <w:p w14:paraId="3D49275E">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lang w:val="zh-CN"/>
              </w:rPr>
              <w:t>原子吸收分光光度法</w:t>
            </w:r>
          </w:p>
        </w:tc>
        <w:tc>
          <w:tcPr>
            <w:tcW w:w="860" w:type="pct"/>
            <w:vAlign w:val="center"/>
          </w:tcPr>
          <w:p w14:paraId="3A7811FF">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lang w:val="zh-CN"/>
              </w:rPr>
              <w:t>GB</w:t>
            </w:r>
            <w:r>
              <w:rPr>
                <w:rFonts w:ascii="Times New Roman" w:hAnsi="Times New Roman" w:cs="Times New Roman" w:eastAsiaTheme="minorEastAsia"/>
                <w:color w:val="auto"/>
                <w:w w:val="99"/>
                <w:kern w:val="2"/>
                <w:sz w:val="21"/>
                <w:szCs w:val="21"/>
                <w:highlight w:val="none"/>
              </w:rPr>
              <w:t>/T</w:t>
            </w:r>
            <w:r>
              <w:rPr>
                <w:rFonts w:ascii="Times New Roman" w:hAnsi="Times New Roman" w:cs="Times New Roman" w:eastAsiaTheme="minorEastAsia"/>
                <w:color w:val="auto"/>
                <w:w w:val="99"/>
                <w:kern w:val="2"/>
                <w:sz w:val="21"/>
                <w:szCs w:val="21"/>
                <w:highlight w:val="none"/>
                <w:lang w:val="zh-CN"/>
              </w:rPr>
              <w:t xml:space="preserve"> 11905-1989</w:t>
            </w:r>
          </w:p>
        </w:tc>
        <w:tc>
          <w:tcPr>
            <w:tcW w:w="938" w:type="pct"/>
            <w:vAlign w:val="center"/>
          </w:tcPr>
          <w:p w14:paraId="2B573D1A">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1"/>
                <w:sz w:val="21"/>
                <w:szCs w:val="21"/>
                <w:highlight w:val="none"/>
              </w:rPr>
              <w:t>原子吸收分光光度计 AA320N</w:t>
            </w:r>
          </w:p>
        </w:tc>
        <w:tc>
          <w:tcPr>
            <w:tcW w:w="703" w:type="pct"/>
            <w:vAlign w:val="center"/>
          </w:tcPr>
          <w:p w14:paraId="4CCFE3A3">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030916020216050002</w:t>
            </w:r>
          </w:p>
        </w:tc>
        <w:tc>
          <w:tcPr>
            <w:tcW w:w="546" w:type="pct"/>
            <w:vAlign w:val="center"/>
          </w:tcPr>
          <w:p w14:paraId="5E5CD235">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0.02mg/L</w:t>
            </w:r>
          </w:p>
        </w:tc>
      </w:tr>
      <w:tr w14:paraId="5352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57656074">
            <w:pPr>
              <w:widowControl w:val="0"/>
              <w:kinsoku w:val="0"/>
              <w:overflowPunct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4"/>
                <w:sz w:val="21"/>
                <w:szCs w:val="21"/>
                <w:highlight w:val="none"/>
                <w:lang w:bidi="ar"/>
              </w:rPr>
              <w:t>Mg</w:t>
            </w:r>
            <w:r>
              <w:rPr>
                <w:rFonts w:ascii="Times New Roman" w:hAnsi="Times New Roman" w:cs="Times New Roman" w:eastAsiaTheme="minorEastAsia"/>
                <w:color w:val="auto"/>
                <w:w w:val="99"/>
                <w:kern w:val="24"/>
                <w:sz w:val="21"/>
                <w:szCs w:val="21"/>
                <w:highlight w:val="none"/>
                <w:vertAlign w:val="superscript"/>
                <w:lang w:bidi="ar"/>
              </w:rPr>
              <w:t>2+</w:t>
            </w:r>
          </w:p>
        </w:tc>
        <w:tc>
          <w:tcPr>
            <w:tcW w:w="1489" w:type="pct"/>
            <w:vAlign w:val="center"/>
          </w:tcPr>
          <w:p w14:paraId="6732286A">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lang w:val="zh-CN"/>
              </w:rPr>
            </w:pPr>
            <w:r>
              <w:rPr>
                <w:rFonts w:ascii="Times New Roman" w:hAnsi="Times New Roman" w:cs="Times New Roman" w:eastAsiaTheme="minorEastAsia"/>
                <w:color w:val="auto"/>
                <w:w w:val="99"/>
                <w:kern w:val="2"/>
                <w:sz w:val="21"/>
                <w:szCs w:val="21"/>
                <w:highlight w:val="none"/>
                <w:lang w:val="zh-CN"/>
              </w:rPr>
              <w:t>水质 钙和镁的测定</w:t>
            </w:r>
          </w:p>
          <w:p w14:paraId="0A456864">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lang w:val="zh-CN"/>
              </w:rPr>
              <w:t>原子吸收分光光度法</w:t>
            </w:r>
          </w:p>
        </w:tc>
        <w:tc>
          <w:tcPr>
            <w:tcW w:w="860" w:type="pct"/>
            <w:vAlign w:val="center"/>
          </w:tcPr>
          <w:p w14:paraId="23C27DCD">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lang w:val="zh-CN"/>
              </w:rPr>
              <w:t>GB</w:t>
            </w:r>
            <w:r>
              <w:rPr>
                <w:rFonts w:ascii="Times New Roman" w:hAnsi="Times New Roman" w:cs="Times New Roman" w:eastAsiaTheme="minorEastAsia"/>
                <w:color w:val="auto"/>
                <w:w w:val="99"/>
                <w:kern w:val="2"/>
                <w:sz w:val="21"/>
                <w:szCs w:val="21"/>
                <w:highlight w:val="none"/>
              </w:rPr>
              <w:t>/T</w:t>
            </w:r>
            <w:r>
              <w:rPr>
                <w:rFonts w:ascii="Times New Roman" w:hAnsi="Times New Roman" w:cs="Times New Roman" w:eastAsiaTheme="minorEastAsia"/>
                <w:color w:val="auto"/>
                <w:w w:val="99"/>
                <w:kern w:val="2"/>
                <w:sz w:val="21"/>
                <w:szCs w:val="21"/>
                <w:highlight w:val="none"/>
                <w:lang w:val="zh-CN"/>
              </w:rPr>
              <w:t xml:space="preserve"> 11905-1989</w:t>
            </w:r>
          </w:p>
        </w:tc>
        <w:tc>
          <w:tcPr>
            <w:tcW w:w="938" w:type="pct"/>
            <w:vAlign w:val="center"/>
          </w:tcPr>
          <w:p w14:paraId="7760E129">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1"/>
                <w:sz w:val="21"/>
                <w:szCs w:val="21"/>
                <w:highlight w:val="none"/>
              </w:rPr>
              <w:t>原子吸收分光光度计 AA320N</w:t>
            </w:r>
          </w:p>
        </w:tc>
        <w:tc>
          <w:tcPr>
            <w:tcW w:w="703" w:type="pct"/>
            <w:vAlign w:val="center"/>
          </w:tcPr>
          <w:p w14:paraId="5AAACADE">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030916020216050002</w:t>
            </w:r>
          </w:p>
        </w:tc>
        <w:tc>
          <w:tcPr>
            <w:tcW w:w="546" w:type="pct"/>
            <w:vAlign w:val="center"/>
          </w:tcPr>
          <w:p w14:paraId="653592EB">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0.002mg/L</w:t>
            </w:r>
          </w:p>
        </w:tc>
      </w:tr>
      <w:tr w14:paraId="70D6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129F7920">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vertAlign w:val="superscript"/>
              </w:rPr>
              <w:t>2-</w:t>
            </w:r>
          </w:p>
        </w:tc>
        <w:tc>
          <w:tcPr>
            <w:tcW w:w="1489" w:type="pct"/>
            <w:vAlign w:val="center"/>
          </w:tcPr>
          <w:p w14:paraId="0AF677ED">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rPr>
              <w:t>地下水质分析方法 第49部分：碳酸根、重碳酸根和氢氧根离子的测定 滴定法</w:t>
            </w:r>
          </w:p>
        </w:tc>
        <w:tc>
          <w:tcPr>
            <w:tcW w:w="860" w:type="pct"/>
            <w:vAlign w:val="center"/>
          </w:tcPr>
          <w:p w14:paraId="2C637486">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rPr>
              <w:t xml:space="preserve">DZ/T 0064.49-2021 </w:t>
            </w:r>
          </w:p>
        </w:tc>
        <w:tc>
          <w:tcPr>
            <w:tcW w:w="938" w:type="pct"/>
            <w:vAlign w:val="center"/>
          </w:tcPr>
          <w:p w14:paraId="7E79FFB5">
            <w:pPr>
              <w:widowControl w:val="0"/>
              <w:kinsoku w:val="0"/>
              <w:overflowPunct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滴定管</w:t>
            </w:r>
          </w:p>
        </w:tc>
        <w:tc>
          <w:tcPr>
            <w:tcW w:w="703" w:type="pct"/>
            <w:vAlign w:val="center"/>
          </w:tcPr>
          <w:p w14:paraId="2953CA73">
            <w:pPr>
              <w:widowControl w:val="0"/>
              <w:kinsoku w:val="0"/>
              <w:overflowPunct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T011</w:t>
            </w:r>
          </w:p>
        </w:tc>
        <w:tc>
          <w:tcPr>
            <w:tcW w:w="546" w:type="pct"/>
            <w:vAlign w:val="center"/>
          </w:tcPr>
          <w:p w14:paraId="0E8A75D2">
            <w:pPr>
              <w:widowControl w:val="0"/>
              <w:kinsoku w:val="0"/>
              <w:overflowPunct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
                <w:sz w:val="21"/>
                <w:szCs w:val="21"/>
                <w:highlight w:val="none"/>
              </w:rPr>
              <w:t>5mg/L</w:t>
            </w:r>
          </w:p>
        </w:tc>
      </w:tr>
      <w:tr w14:paraId="2999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7924308D">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HCO</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vertAlign w:val="superscript"/>
              </w:rPr>
              <w:t>-</w:t>
            </w:r>
          </w:p>
        </w:tc>
        <w:tc>
          <w:tcPr>
            <w:tcW w:w="1489" w:type="pct"/>
            <w:vAlign w:val="center"/>
          </w:tcPr>
          <w:p w14:paraId="7C677CE4">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rPr>
              <w:t>地下水质分析方法 第49部分：碳酸根、重碳酸根和氢氧根离子的测定 滴定法</w:t>
            </w:r>
          </w:p>
        </w:tc>
        <w:tc>
          <w:tcPr>
            <w:tcW w:w="860" w:type="pct"/>
            <w:vAlign w:val="center"/>
          </w:tcPr>
          <w:p w14:paraId="292F37C8">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rPr>
              <w:t xml:space="preserve">DZ/T 0064.49-2021 </w:t>
            </w:r>
          </w:p>
        </w:tc>
        <w:tc>
          <w:tcPr>
            <w:tcW w:w="938" w:type="pct"/>
            <w:vAlign w:val="center"/>
          </w:tcPr>
          <w:p w14:paraId="137BBE5D">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滴定管</w:t>
            </w:r>
          </w:p>
        </w:tc>
        <w:tc>
          <w:tcPr>
            <w:tcW w:w="703" w:type="pct"/>
            <w:vAlign w:val="center"/>
          </w:tcPr>
          <w:p w14:paraId="0D42ACF0">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T011</w:t>
            </w:r>
          </w:p>
        </w:tc>
        <w:tc>
          <w:tcPr>
            <w:tcW w:w="546" w:type="pct"/>
            <w:vAlign w:val="center"/>
          </w:tcPr>
          <w:p w14:paraId="51F11AAD">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5mg/L</w:t>
            </w:r>
          </w:p>
        </w:tc>
      </w:tr>
      <w:tr w14:paraId="29E8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748B3BD7">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4</w:t>
            </w:r>
            <w:r>
              <w:rPr>
                <w:rFonts w:ascii="Times New Roman" w:hAnsi="Times New Roman" w:cs="Times New Roman" w:eastAsiaTheme="minorEastAsia"/>
                <w:color w:val="auto"/>
                <w:w w:val="99"/>
                <w:kern w:val="2"/>
                <w:sz w:val="21"/>
                <w:szCs w:val="21"/>
                <w:highlight w:val="none"/>
                <w:vertAlign w:val="superscript"/>
              </w:rPr>
              <w:t>2-</w:t>
            </w:r>
          </w:p>
        </w:tc>
        <w:tc>
          <w:tcPr>
            <w:tcW w:w="1489" w:type="pct"/>
            <w:vAlign w:val="center"/>
          </w:tcPr>
          <w:p w14:paraId="1C83AC7B">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sz w:val="21"/>
                <w:szCs w:val="21"/>
                <w:highlight w:val="none"/>
              </w:rPr>
              <w:t>水质 无机阴离子（F</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、Cl</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、Br</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、PO</w:t>
            </w:r>
            <w:r>
              <w:rPr>
                <w:rFonts w:ascii="Times New Roman" w:hAnsi="Times New Roman" w:cs="Times New Roman" w:eastAsiaTheme="minorEastAsia"/>
                <w:color w:val="auto"/>
                <w:w w:val="99"/>
                <w:kern w:val="2"/>
                <w:sz w:val="21"/>
                <w:szCs w:val="21"/>
                <w:highlight w:val="none"/>
                <w:vertAlign w:val="subscript"/>
              </w:rPr>
              <w:t>4</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4</w:t>
            </w:r>
            <w:r>
              <w:rPr>
                <w:rFonts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）的测定 离子色谱法</w:t>
            </w:r>
          </w:p>
        </w:tc>
        <w:tc>
          <w:tcPr>
            <w:tcW w:w="860" w:type="pct"/>
            <w:vAlign w:val="center"/>
          </w:tcPr>
          <w:p w14:paraId="027CAA74">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sz w:val="21"/>
                <w:szCs w:val="21"/>
                <w:highlight w:val="none"/>
              </w:rPr>
              <w:t>HJ 84-2016</w:t>
            </w:r>
          </w:p>
        </w:tc>
        <w:tc>
          <w:tcPr>
            <w:tcW w:w="938" w:type="pct"/>
            <w:vAlign w:val="center"/>
          </w:tcPr>
          <w:p w14:paraId="03A3C75C">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离子色谱仪</w:t>
            </w:r>
          </w:p>
          <w:p w14:paraId="3D23D623">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CIC-200</w:t>
            </w:r>
          </w:p>
        </w:tc>
        <w:tc>
          <w:tcPr>
            <w:tcW w:w="703" w:type="pct"/>
            <w:vAlign w:val="center"/>
          </w:tcPr>
          <w:p w14:paraId="22DAD2A6">
            <w:pPr>
              <w:widowControl w:val="0"/>
              <w:spacing w:line="320" w:lineRule="exact"/>
              <w:jc w:val="center"/>
              <w:textAlignment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lang w:bidi="ar"/>
              </w:rPr>
              <w:t>12185</w:t>
            </w:r>
          </w:p>
        </w:tc>
        <w:tc>
          <w:tcPr>
            <w:tcW w:w="546" w:type="pct"/>
            <w:vAlign w:val="center"/>
          </w:tcPr>
          <w:p w14:paraId="3FD001F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1"/>
                <w:sz w:val="21"/>
                <w:szCs w:val="21"/>
                <w:highlight w:val="none"/>
              </w:rPr>
              <w:t>0.018mg/L</w:t>
            </w:r>
          </w:p>
        </w:tc>
      </w:tr>
      <w:tr w14:paraId="4F97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55D82018">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Cl</w:t>
            </w:r>
            <w:r>
              <w:rPr>
                <w:rFonts w:ascii="Times New Roman" w:hAnsi="Times New Roman" w:cs="Times New Roman" w:eastAsiaTheme="minorEastAsia"/>
                <w:color w:val="auto"/>
                <w:w w:val="99"/>
                <w:kern w:val="2"/>
                <w:sz w:val="21"/>
                <w:szCs w:val="21"/>
                <w:highlight w:val="none"/>
                <w:vertAlign w:val="superscript"/>
              </w:rPr>
              <w:t>-</w:t>
            </w:r>
          </w:p>
        </w:tc>
        <w:tc>
          <w:tcPr>
            <w:tcW w:w="1489" w:type="pct"/>
            <w:vAlign w:val="center"/>
          </w:tcPr>
          <w:p w14:paraId="5F542271">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sz w:val="21"/>
                <w:szCs w:val="21"/>
                <w:highlight w:val="none"/>
              </w:rPr>
              <w:t>水质 无机阴离子（F</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、Cl</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、Br</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、PO</w:t>
            </w:r>
            <w:r>
              <w:rPr>
                <w:rFonts w:ascii="Times New Roman" w:hAnsi="Times New Roman" w:cs="Times New Roman" w:eastAsiaTheme="minorEastAsia"/>
                <w:color w:val="auto"/>
                <w:w w:val="99"/>
                <w:kern w:val="2"/>
                <w:sz w:val="21"/>
                <w:szCs w:val="21"/>
                <w:highlight w:val="none"/>
                <w:vertAlign w:val="subscript"/>
              </w:rPr>
              <w:t>4</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4</w:t>
            </w:r>
            <w:r>
              <w:rPr>
                <w:rFonts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）的测定 离子色谱法</w:t>
            </w:r>
          </w:p>
        </w:tc>
        <w:tc>
          <w:tcPr>
            <w:tcW w:w="860" w:type="pct"/>
            <w:vAlign w:val="center"/>
          </w:tcPr>
          <w:p w14:paraId="39BA2E34">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sz w:val="21"/>
                <w:szCs w:val="21"/>
                <w:highlight w:val="none"/>
              </w:rPr>
              <w:t>HJ 84-2016</w:t>
            </w:r>
          </w:p>
        </w:tc>
        <w:tc>
          <w:tcPr>
            <w:tcW w:w="938" w:type="pct"/>
            <w:vAlign w:val="center"/>
          </w:tcPr>
          <w:p w14:paraId="368B62F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离子色谱仪</w:t>
            </w:r>
          </w:p>
          <w:p w14:paraId="1C60BB62">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CIC-200</w:t>
            </w:r>
          </w:p>
        </w:tc>
        <w:tc>
          <w:tcPr>
            <w:tcW w:w="703" w:type="pct"/>
            <w:vAlign w:val="center"/>
          </w:tcPr>
          <w:p w14:paraId="460158AC">
            <w:pPr>
              <w:widowControl w:val="0"/>
              <w:spacing w:line="320" w:lineRule="exact"/>
              <w:jc w:val="center"/>
              <w:textAlignment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lang w:bidi="ar"/>
              </w:rPr>
              <w:t>12185</w:t>
            </w:r>
          </w:p>
        </w:tc>
        <w:tc>
          <w:tcPr>
            <w:tcW w:w="546" w:type="pct"/>
            <w:vAlign w:val="center"/>
          </w:tcPr>
          <w:p w14:paraId="3CB38F8F">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0.007</w:t>
            </w:r>
            <w:r>
              <w:rPr>
                <w:rFonts w:ascii="Times New Roman" w:hAnsi="Times New Roman" w:cs="Times New Roman" w:eastAsiaTheme="minorEastAsia"/>
                <w:color w:val="auto"/>
                <w:w w:val="99"/>
                <w:kern w:val="21"/>
                <w:sz w:val="21"/>
                <w:szCs w:val="21"/>
                <w:highlight w:val="none"/>
              </w:rPr>
              <w:t>mg/L</w:t>
            </w:r>
          </w:p>
        </w:tc>
      </w:tr>
      <w:tr w14:paraId="0C4D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750B07D5">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pH</w:t>
            </w:r>
          </w:p>
        </w:tc>
        <w:tc>
          <w:tcPr>
            <w:tcW w:w="1489" w:type="pct"/>
            <w:vAlign w:val="center"/>
          </w:tcPr>
          <w:p w14:paraId="4338657F">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shd w:val="clear" w:color="auto" w:fill="FFFFFF"/>
              </w:rPr>
              <w:t>水质 pH的测定</w:t>
            </w:r>
          </w:p>
          <w:p w14:paraId="659AA15C">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shd w:val="clear" w:color="auto" w:fill="FFFFFF"/>
              </w:rPr>
              <w:t xml:space="preserve"> 电极法</w:t>
            </w:r>
          </w:p>
        </w:tc>
        <w:tc>
          <w:tcPr>
            <w:tcW w:w="860" w:type="pct"/>
            <w:vAlign w:val="center"/>
          </w:tcPr>
          <w:p w14:paraId="782D39A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shd w:val="clear" w:color="auto" w:fill="FFFFFF"/>
              </w:rPr>
              <w:t>HJ 1147-2020</w:t>
            </w:r>
          </w:p>
        </w:tc>
        <w:tc>
          <w:tcPr>
            <w:tcW w:w="938" w:type="pct"/>
            <w:vAlign w:val="center"/>
          </w:tcPr>
          <w:p w14:paraId="7A09F02B">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便携式水质检测仪 pH-03/618/K13</w:t>
            </w:r>
          </w:p>
        </w:tc>
        <w:tc>
          <w:tcPr>
            <w:tcW w:w="703" w:type="pct"/>
            <w:vAlign w:val="center"/>
          </w:tcPr>
          <w:p w14:paraId="6A4F917D">
            <w:pPr>
              <w:widowControl w:val="0"/>
              <w:spacing w:line="320" w:lineRule="exact"/>
              <w:jc w:val="center"/>
              <w:textAlignment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546" w:type="pct"/>
            <w:vAlign w:val="center"/>
          </w:tcPr>
          <w:p w14:paraId="098D499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r>
      <w:tr w14:paraId="3B9A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045B5A6A">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总硬度</w:t>
            </w:r>
          </w:p>
        </w:tc>
        <w:tc>
          <w:tcPr>
            <w:tcW w:w="1489" w:type="pct"/>
            <w:vAlign w:val="center"/>
          </w:tcPr>
          <w:p w14:paraId="3FA83AB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shd w:val="clear" w:color="auto" w:fill="FFFFFF"/>
              </w:rPr>
              <w:t>水质钙和镁的总量的测定EDTA滴定法</w:t>
            </w:r>
          </w:p>
        </w:tc>
        <w:tc>
          <w:tcPr>
            <w:tcW w:w="860" w:type="pct"/>
            <w:vAlign w:val="center"/>
          </w:tcPr>
          <w:p w14:paraId="33E1971C">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shd w:val="clear" w:color="auto" w:fill="FFFFFF"/>
              </w:rPr>
              <w:t>GB/T 7477-1987</w:t>
            </w:r>
          </w:p>
        </w:tc>
        <w:tc>
          <w:tcPr>
            <w:tcW w:w="938" w:type="pct"/>
            <w:vAlign w:val="center"/>
          </w:tcPr>
          <w:p w14:paraId="706EE715">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滴定管</w:t>
            </w:r>
          </w:p>
        </w:tc>
        <w:tc>
          <w:tcPr>
            <w:tcW w:w="703" w:type="pct"/>
            <w:vAlign w:val="center"/>
          </w:tcPr>
          <w:p w14:paraId="69A40FA1">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T015</w:t>
            </w:r>
          </w:p>
        </w:tc>
        <w:tc>
          <w:tcPr>
            <w:tcW w:w="546" w:type="pct"/>
            <w:vAlign w:val="center"/>
          </w:tcPr>
          <w:p w14:paraId="55F88F32">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5.00</w:t>
            </w:r>
            <w:r>
              <w:rPr>
                <w:rFonts w:ascii="Times New Roman" w:hAnsi="Times New Roman" w:cs="Times New Roman" w:eastAsiaTheme="minorEastAsia"/>
                <w:color w:val="auto"/>
                <w:w w:val="99"/>
                <w:kern w:val="21"/>
                <w:sz w:val="21"/>
                <w:szCs w:val="21"/>
                <w:highlight w:val="none"/>
              </w:rPr>
              <w:t>mg/L</w:t>
            </w:r>
          </w:p>
        </w:tc>
      </w:tr>
      <w:tr w14:paraId="510C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28985E6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溶解性总固体</w:t>
            </w:r>
          </w:p>
        </w:tc>
        <w:tc>
          <w:tcPr>
            <w:tcW w:w="1489" w:type="pct"/>
            <w:vAlign w:val="center"/>
          </w:tcPr>
          <w:p w14:paraId="786A99E3">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sz w:val="21"/>
                <w:szCs w:val="21"/>
                <w:highlight w:val="none"/>
              </w:rPr>
              <w:t>地下水质分析方法第 9 部分：溶解性固体总量的测定  重量法</w:t>
            </w:r>
          </w:p>
        </w:tc>
        <w:tc>
          <w:tcPr>
            <w:tcW w:w="860" w:type="pct"/>
            <w:vAlign w:val="center"/>
          </w:tcPr>
          <w:p w14:paraId="2C9E9F10">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sz w:val="21"/>
                <w:szCs w:val="21"/>
                <w:highlight w:val="none"/>
              </w:rPr>
              <w:t>DZ/T 0064.9-2021</w:t>
            </w:r>
          </w:p>
        </w:tc>
        <w:tc>
          <w:tcPr>
            <w:tcW w:w="938" w:type="pct"/>
            <w:vAlign w:val="center"/>
          </w:tcPr>
          <w:p w14:paraId="5C48FD8E">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精密电子天平FA2004</w:t>
            </w:r>
          </w:p>
        </w:tc>
        <w:tc>
          <w:tcPr>
            <w:tcW w:w="703" w:type="pct"/>
            <w:vAlign w:val="center"/>
          </w:tcPr>
          <w:p w14:paraId="77341B22">
            <w:pPr>
              <w:widowControl w:val="0"/>
              <w:spacing w:line="320" w:lineRule="exact"/>
              <w:jc w:val="center"/>
              <w:textAlignment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lang w:bidi="ar"/>
              </w:rPr>
              <w:t>12011164</w:t>
            </w:r>
          </w:p>
        </w:tc>
        <w:tc>
          <w:tcPr>
            <w:tcW w:w="546" w:type="pct"/>
            <w:vAlign w:val="center"/>
          </w:tcPr>
          <w:p w14:paraId="2501CC6F">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4mg/L</w:t>
            </w:r>
          </w:p>
        </w:tc>
      </w:tr>
      <w:tr w14:paraId="00B0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65AA54D1">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p>
          <w:p w14:paraId="5284B1DD">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（高锰酸盐指数）</w:t>
            </w:r>
          </w:p>
        </w:tc>
        <w:tc>
          <w:tcPr>
            <w:tcW w:w="1489" w:type="pct"/>
            <w:vAlign w:val="center"/>
          </w:tcPr>
          <w:p w14:paraId="47A84041">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shd w:val="clear" w:color="auto" w:fill="FFFFFF"/>
              </w:rPr>
              <w:t>水质 高锰酸盐指数测定</w:t>
            </w:r>
          </w:p>
        </w:tc>
        <w:tc>
          <w:tcPr>
            <w:tcW w:w="860" w:type="pct"/>
            <w:vAlign w:val="center"/>
          </w:tcPr>
          <w:p w14:paraId="1CB5D6B5">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shd w:val="clear" w:color="auto" w:fill="FFFFFF"/>
              </w:rPr>
              <w:t>GB/T 11892-1989</w:t>
            </w:r>
          </w:p>
        </w:tc>
        <w:tc>
          <w:tcPr>
            <w:tcW w:w="938" w:type="pct"/>
            <w:vAlign w:val="center"/>
          </w:tcPr>
          <w:p w14:paraId="06FA901C">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滴定管</w:t>
            </w:r>
          </w:p>
        </w:tc>
        <w:tc>
          <w:tcPr>
            <w:tcW w:w="703" w:type="pct"/>
            <w:vAlign w:val="center"/>
          </w:tcPr>
          <w:p w14:paraId="5577380B">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T005</w:t>
            </w:r>
          </w:p>
        </w:tc>
        <w:tc>
          <w:tcPr>
            <w:tcW w:w="546" w:type="pct"/>
            <w:vAlign w:val="center"/>
          </w:tcPr>
          <w:p w14:paraId="59ADEED6">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0.5</w:t>
            </w:r>
            <w:r>
              <w:rPr>
                <w:rFonts w:ascii="Times New Roman" w:hAnsi="Times New Roman" w:cs="Times New Roman" w:eastAsiaTheme="minorEastAsia"/>
                <w:color w:val="auto"/>
                <w:w w:val="99"/>
                <w:kern w:val="21"/>
                <w:sz w:val="21"/>
                <w:szCs w:val="21"/>
                <w:highlight w:val="none"/>
              </w:rPr>
              <w:t>mg/L</w:t>
            </w:r>
          </w:p>
        </w:tc>
      </w:tr>
      <w:tr w14:paraId="51B7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0CC6FE56">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p>
        </w:tc>
        <w:tc>
          <w:tcPr>
            <w:tcW w:w="1489" w:type="pct"/>
            <w:vAlign w:val="center"/>
          </w:tcPr>
          <w:p w14:paraId="4917D108">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水质 挥发酚的测定</w:t>
            </w:r>
          </w:p>
          <w:p w14:paraId="31BAF031">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4-氨基安替比林分光光度法（方法1萃取分光光度法）</w:t>
            </w:r>
          </w:p>
        </w:tc>
        <w:tc>
          <w:tcPr>
            <w:tcW w:w="860" w:type="pct"/>
            <w:vAlign w:val="center"/>
          </w:tcPr>
          <w:p w14:paraId="6B9D6682">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HJ 503-2009</w:t>
            </w:r>
          </w:p>
        </w:tc>
        <w:tc>
          <w:tcPr>
            <w:tcW w:w="938" w:type="pct"/>
            <w:vAlign w:val="center"/>
          </w:tcPr>
          <w:p w14:paraId="107279D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1"/>
                <w:sz w:val="21"/>
                <w:szCs w:val="21"/>
                <w:highlight w:val="none"/>
              </w:rPr>
              <w:t xml:space="preserve">可见分光光度计   </w:t>
            </w:r>
            <w:r>
              <w:rPr>
                <w:rFonts w:ascii="Times New Roman" w:hAnsi="Times New Roman" w:cs="Times New Roman" w:eastAsiaTheme="minorEastAsia"/>
                <w:color w:val="auto"/>
                <w:w w:val="99"/>
                <w:kern w:val="2"/>
                <w:sz w:val="21"/>
                <w:szCs w:val="21"/>
                <w:highlight w:val="none"/>
              </w:rPr>
              <w:t>722N</w:t>
            </w:r>
          </w:p>
        </w:tc>
        <w:tc>
          <w:tcPr>
            <w:tcW w:w="703" w:type="pct"/>
            <w:vAlign w:val="center"/>
          </w:tcPr>
          <w:p w14:paraId="12B92D9C">
            <w:pPr>
              <w:widowControl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bidi="ar"/>
              </w:rPr>
              <w:t>070722020222020043</w:t>
            </w:r>
          </w:p>
        </w:tc>
        <w:tc>
          <w:tcPr>
            <w:tcW w:w="546" w:type="pct"/>
            <w:vAlign w:val="center"/>
          </w:tcPr>
          <w:p w14:paraId="651780DA">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0.0003</w:t>
            </w:r>
            <w:r>
              <w:rPr>
                <w:rFonts w:ascii="Times New Roman" w:hAnsi="Times New Roman" w:cs="Times New Roman" w:eastAsiaTheme="minorEastAsia"/>
                <w:color w:val="auto"/>
                <w:w w:val="99"/>
                <w:kern w:val="21"/>
                <w:sz w:val="21"/>
                <w:szCs w:val="21"/>
                <w:highlight w:val="none"/>
              </w:rPr>
              <w:t>mg/L</w:t>
            </w:r>
          </w:p>
        </w:tc>
      </w:tr>
      <w:tr w14:paraId="15B4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787F16F3">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p>
        </w:tc>
        <w:tc>
          <w:tcPr>
            <w:tcW w:w="1489" w:type="pct"/>
            <w:vAlign w:val="center"/>
          </w:tcPr>
          <w:p w14:paraId="3EA072AC">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水质 无机阴离子（F</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、Cl</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、Br</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、PO</w:t>
            </w:r>
            <w:r>
              <w:rPr>
                <w:rFonts w:ascii="Times New Roman" w:hAnsi="Times New Roman" w:cs="Times New Roman" w:eastAsiaTheme="minorEastAsia"/>
                <w:color w:val="auto"/>
                <w:w w:val="99"/>
                <w:kern w:val="2"/>
                <w:sz w:val="21"/>
                <w:szCs w:val="21"/>
                <w:highlight w:val="none"/>
                <w:vertAlign w:val="subscript"/>
              </w:rPr>
              <w:t>4</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4</w:t>
            </w:r>
            <w:r>
              <w:rPr>
                <w:rFonts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 xml:space="preserve">）的测定 </w:t>
            </w:r>
            <w:r>
              <w:rPr>
                <w:rFonts w:ascii="Times New Roman" w:hAnsi="Times New Roman" w:cs="Times New Roman" w:eastAsiaTheme="minorEastAsia"/>
                <w:color w:val="auto"/>
                <w:w w:val="99"/>
                <w:sz w:val="21"/>
                <w:szCs w:val="21"/>
                <w:highlight w:val="none"/>
              </w:rPr>
              <w:t>离子色谱法</w:t>
            </w:r>
          </w:p>
        </w:tc>
        <w:tc>
          <w:tcPr>
            <w:tcW w:w="860" w:type="pct"/>
            <w:vAlign w:val="center"/>
          </w:tcPr>
          <w:p w14:paraId="2C5BF6D8">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HJ 84-2016</w:t>
            </w:r>
          </w:p>
        </w:tc>
        <w:tc>
          <w:tcPr>
            <w:tcW w:w="938" w:type="pct"/>
            <w:vAlign w:val="center"/>
          </w:tcPr>
          <w:p w14:paraId="5F198573">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离子色谱仪</w:t>
            </w:r>
          </w:p>
          <w:p w14:paraId="71216377">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CIC-200</w:t>
            </w:r>
          </w:p>
        </w:tc>
        <w:tc>
          <w:tcPr>
            <w:tcW w:w="703" w:type="pct"/>
            <w:vAlign w:val="center"/>
          </w:tcPr>
          <w:p w14:paraId="28F1D281">
            <w:pPr>
              <w:widowControl w:val="0"/>
              <w:spacing w:line="320" w:lineRule="exact"/>
              <w:jc w:val="center"/>
              <w:textAlignment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lang w:bidi="ar"/>
              </w:rPr>
              <w:t>12185</w:t>
            </w:r>
          </w:p>
        </w:tc>
        <w:tc>
          <w:tcPr>
            <w:tcW w:w="546" w:type="pct"/>
            <w:vAlign w:val="center"/>
          </w:tcPr>
          <w:p w14:paraId="60256585">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
                <w:sz w:val="21"/>
                <w:szCs w:val="21"/>
                <w:highlight w:val="none"/>
              </w:rPr>
              <w:t>0.006</w:t>
            </w:r>
            <w:r>
              <w:rPr>
                <w:rFonts w:ascii="Times New Roman" w:hAnsi="Times New Roman" w:cs="Times New Roman" w:eastAsiaTheme="minorEastAsia"/>
                <w:color w:val="auto"/>
                <w:w w:val="99"/>
                <w:kern w:val="21"/>
                <w:sz w:val="21"/>
                <w:szCs w:val="21"/>
                <w:highlight w:val="none"/>
              </w:rPr>
              <w:t>mg/L</w:t>
            </w:r>
          </w:p>
        </w:tc>
      </w:tr>
      <w:tr w14:paraId="4F04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493F5231">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硝酸盐氮</w:t>
            </w:r>
          </w:p>
        </w:tc>
        <w:tc>
          <w:tcPr>
            <w:tcW w:w="1489" w:type="pct"/>
            <w:vAlign w:val="center"/>
          </w:tcPr>
          <w:p w14:paraId="1D410336">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水质 无机阴离子（F</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、Cl</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、Br</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vertAlign w:val="superscript"/>
              </w:rPr>
              <w:t>-</w:t>
            </w:r>
            <w:r>
              <w:rPr>
                <w:rFonts w:ascii="Times New Roman" w:hAnsi="Times New Roman" w:cs="Times New Roman" w:eastAsiaTheme="minorEastAsia"/>
                <w:color w:val="auto"/>
                <w:w w:val="99"/>
                <w:kern w:val="2"/>
                <w:sz w:val="21"/>
                <w:szCs w:val="21"/>
                <w:highlight w:val="none"/>
              </w:rPr>
              <w:t>、PO</w:t>
            </w:r>
            <w:r>
              <w:rPr>
                <w:rFonts w:ascii="Times New Roman" w:hAnsi="Times New Roman" w:cs="Times New Roman" w:eastAsiaTheme="minorEastAsia"/>
                <w:color w:val="auto"/>
                <w:w w:val="99"/>
                <w:kern w:val="2"/>
                <w:sz w:val="21"/>
                <w:szCs w:val="21"/>
                <w:highlight w:val="none"/>
                <w:vertAlign w:val="subscript"/>
              </w:rPr>
              <w:t>4</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4</w:t>
            </w:r>
            <w:r>
              <w:rPr>
                <w:rFonts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 xml:space="preserve">）的测定 </w:t>
            </w:r>
            <w:r>
              <w:rPr>
                <w:rFonts w:ascii="Times New Roman" w:hAnsi="Times New Roman" w:cs="Times New Roman" w:eastAsiaTheme="minorEastAsia"/>
                <w:color w:val="auto"/>
                <w:w w:val="99"/>
                <w:sz w:val="21"/>
                <w:szCs w:val="21"/>
                <w:highlight w:val="none"/>
              </w:rPr>
              <w:t>离子色谱法</w:t>
            </w:r>
          </w:p>
        </w:tc>
        <w:tc>
          <w:tcPr>
            <w:tcW w:w="860" w:type="pct"/>
            <w:vAlign w:val="center"/>
          </w:tcPr>
          <w:p w14:paraId="6224E730">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HJ 84-2016</w:t>
            </w:r>
          </w:p>
        </w:tc>
        <w:tc>
          <w:tcPr>
            <w:tcW w:w="938" w:type="pct"/>
            <w:vAlign w:val="center"/>
          </w:tcPr>
          <w:p w14:paraId="3CC5FB9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离子色谱仪</w:t>
            </w:r>
          </w:p>
          <w:p w14:paraId="1251EA4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CIC-200</w:t>
            </w:r>
          </w:p>
        </w:tc>
        <w:tc>
          <w:tcPr>
            <w:tcW w:w="703" w:type="pct"/>
            <w:vAlign w:val="center"/>
          </w:tcPr>
          <w:p w14:paraId="6B95B3DB">
            <w:pPr>
              <w:widowControl w:val="0"/>
              <w:spacing w:line="320" w:lineRule="exact"/>
              <w:jc w:val="center"/>
              <w:textAlignment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lang w:bidi="ar"/>
              </w:rPr>
              <w:t>12185</w:t>
            </w:r>
          </w:p>
        </w:tc>
        <w:tc>
          <w:tcPr>
            <w:tcW w:w="546" w:type="pct"/>
            <w:vAlign w:val="center"/>
          </w:tcPr>
          <w:p w14:paraId="6921C162">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
                <w:sz w:val="21"/>
                <w:szCs w:val="21"/>
                <w:highlight w:val="none"/>
              </w:rPr>
              <w:t>0.004</w:t>
            </w:r>
            <w:r>
              <w:rPr>
                <w:rFonts w:ascii="Times New Roman" w:hAnsi="Times New Roman" w:cs="Times New Roman" w:eastAsiaTheme="minorEastAsia"/>
                <w:color w:val="auto"/>
                <w:w w:val="99"/>
                <w:kern w:val="21"/>
                <w:sz w:val="21"/>
                <w:szCs w:val="21"/>
                <w:highlight w:val="none"/>
              </w:rPr>
              <w:t>mg/L</w:t>
            </w:r>
          </w:p>
        </w:tc>
      </w:tr>
      <w:tr w14:paraId="098C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011E86F8">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亚硝酸盐（氮）</w:t>
            </w:r>
          </w:p>
        </w:tc>
        <w:tc>
          <w:tcPr>
            <w:tcW w:w="1489" w:type="pct"/>
            <w:vAlign w:val="center"/>
          </w:tcPr>
          <w:p w14:paraId="0B2C7A0A">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水质 亚硝酸盐氮的测定</w:t>
            </w:r>
          </w:p>
          <w:p w14:paraId="44528FF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分光光度法</w:t>
            </w:r>
          </w:p>
        </w:tc>
        <w:tc>
          <w:tcPr>
            <w:tcW w:w="860" w:type="pct"/>
            <w:vAlign w:val="center"/>
          </w:tcPr>
          <w:p w14:paraId="2E6A2D98">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GB/T 7493-1987</w:t>
            </w:r>
          </w:p>
        </w:tc>
        <w:tc>
          <w:tcPr>
            <w:tcW w:w="938" w:type="pct"/>
            <w:vAlign w:val="center"/>
          </w:tcPr>
          <w:p w14:paraId="3A63F231">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1"/>
                <w:sz w:val="21"/>
                <w:szCs w:val="21"/>
                <w:highlight w:val="none"/>
              </w:rPr>
              <w:t>紫外可见分光光度752N</w:t>
            </w:r>
          </w:p>
        </w:tc>
        <w:tc>
          <w:tcPr>
            <w:tcW w:w="703" w:type="pct"/>
            <w:vAlign w:val="center"/>
          </w:tcPr>
          <w:p w14:paraId="274F10B4">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7521712023N</w:t>
            </w:r>
          </w:p>
        </w:tc>
        <w:tc>
          <w:tcPr>
            <w:tcW w:w="546" w:type="pct"/>
            <w:vAlign w:val="center"/>
          </w:tcPr>
          <w:p w14:paraId="1F408722">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0.003</w:t>
            </w:r>
            <w:r>
              <w:rPr>
                <w:rFonts w:ascii="Times New Roman" w:hAnsi="Times New Roman" w:cs="Times New Roman" w:eastAsiaTheme="minorEastAsia"/>
                <w:color w:val="auto"/>
                <w:w w:val="99"/>
                <w:kern w:val="21"/>
                <w:sz w:val="21"/>
                <w:szCs w:val="21"/>
                <w:highlight w:val="none"/>
              </w:rPr>
              <w:t>mg/L</w:t>
            </w:r>
          </w:p>
        </w:tc>
      </w:tr>
      <w:tr w14:paraId="2FBC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7EF72832">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氨氮</w:t>
            </w:r>
          </w:p>
        </w:tc>
        <w:tc>
          <w:tcPr>
            <w:tcW w:w="1489" w:type="pct"/>
            <w:vAlign w:val="center"/>
          </w:tcPr>
          <w:p w14:paraId="6ACE07B6">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shd w:val="clear" w:color="auto" w:fill="FFFFFF"/>
              </w:rPr>
              <w:t>水质 氨</w:t>
            </w:r>
            <w:r>
              <w:rPr>
                <w:rFonts w:ascii="Times New Roman" w:hAnsi="Times New Roman" w:cs="Times New Roman" w:eastAsiaTheme="minorEastAsia"/>
                <w:color w:val="auto"/>
                <w:w w:val="99"/>
                <w:kern w:val="2"/>
                <w:sz w:val="21"/>
                <w:szCs w:val="21"/>
                <w:highlight w:val="none"/>
              </w:rPr>
              <w:t>氮</w:t>
            </w:r>
            <w:r>
              <w:rPr>
                <w:rFonts w:ascii="Times New Roman" w:hAnsi="Times New Roman" w:cs="Times New Roman" w:eastAsiaTheme="minorEastAsia"/>
                <w:color w:val="auto"/>
                <w:w w:val="99"/>
                <w:kern w:val="2"/>
                <w:sz w:val="21"/>
                <w:szCs w:val="21"/>
                <w:highlight w:val="none"/>
                <w:shd w:val="clear" w:color="auto" w:fill="FFFFFF"/>
              </w:rPr>
              <w:t xml:space="preserve">的测定    </w:t>
            </w:r>
          </w:p>
          <w:p w14:paraId="7D0AD390">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 xml:space="preserve">纳氏试剂分光光度法 </w:t>
            </w:r>
          </w:p>
        </w:tc>
        <w:tc>
          <w:tcPr>
            <w:tcW w:w="860" w:type="pct"/>
            <w:vAlign w:val="center"/>
          </w:tcPr>
          <w:p w14:paraId="236344A8">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 xml:space="preserve">HJ 535-2009 </w:t>
            </w:r>
          </w:p>
        </w:tc>
        <w:tc>
          <w:tcPr>
            <w:tcW w:w="938" w:type="pct"/>
            <w:vAlign w:val="center"/>
          </w:tcPr>
          <w:p w14:paraId="324DB8EC">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可见分光光度计722N</w:t>
            </w:r>
          </w:p>
        </w:tc>
        <w:tc>
          <w:tcPr>
            <w:tcW w:w="703" w:type="pct"/>
            <w:vAlign w:val="center"/>
          </w:tcPr>
          <w:p w14:paraId="6ABC120B">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lang w:bidi="ar"/>
              </w:rPr>
              <w:t>070722020222020043</w:t>
            </w:r>
          </w:p>
        </w:tc>
        <w:tc>
          <w:tcPr>
            <w:tcW w:w="546" w:type="pct"/>
            <w:vAlign w:val="center"/>
          </w:tcPr>
          <w:p w14:paraId="4C0D27CE">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
                <w:sz w:val="21"/>
                <w:szCs w:val="21"/>
                <w:highlight w:val="none"/>
              </w:rPr>
              <w:t>0.025</w:t>
            </w:r>
            <w:r>
              <w:rPr>
                <w:rFonts w:ascii="Times New Roman" w:hAnsi="Times New Roman" w:cs="Times New Roman" w:eastAsiaTheme="minorEastAsia"/>
                <w:color w:val="auto"/>
                <w:w w:val="99"/>
                <w:kern w:val="21"/>
                <w:sz w:val="21"/>
                <w:szCs w:val="21"/>
                <w:highlight w:val="none"/>
              </w:rPr>
              <w:t>mg/L</w:t>
            </w:r>
          </w:p>
        </w:tc>
      </w:tr>
      <w:tr w14:paraId="76BB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7F03B82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六价铬</w:t>
            </w:r>
          </w:p>
        </w:tc>
        <w:tc>
          <w:tcPr>
            <w:tcW w:w="1489" w:type="pct"/>
            <w:vAlign w:val="center"/>
          </w:tcPr>
          <w:p w14:paraId="4CBCEDE3">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水质 六价铬的测定</w:t>
            </w:r>
          </w:p>
          <w:p w14:paraId="06FEF403">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二苯碳酰二肼分光光度法</w:t>
            </w:r>
          </w:p>
        </w:tc>
        <w:tc>
          <w:tcPr>
            <w:tcW w:w="860" w:type="pct"/>
            <w:vAlign w:val="center"/>
          </w:tcPr>
          <w:p w14:paraId="7DE3C2B2">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GB/T 7467-1987</w:t>
            </w:r>
          </w:p>
        </w:tc>
        <w:tc>
          <w:tcPr>
            <w:tcW w:w="938" w:type="pct"/>
            <w:vAlign w:val="center"/>
          </w:tcPr>
          <w:p w14:paraId="25B11BEE">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1"/>
                <w:sz w:val="21"/>
                <w:szCs w:val="21"/>
                <w:highlight w:val="none"/>
              </w:rPr>
              <w:t xml:space="preserve">可见分光光度计   </w:t>
            </w:r>
            <w:r>
              <w:rPr>
                <w:rFonts w:ascii="Times New Roman" w:hAnsi="Times New Roman" w:cs="Times New Roman" w:eastAsiaTheme="minorEastAsia"/>
                <w:color w:val="auto"/>
                <w:w w:val="99"/>
                <w:kern w:val="2"/>
                <w:sz w:val="21"/>
                <w:szCs w:val="21"/>
                <w:highlight w:val="none"/>
              </w:rPr>
              <w:t>722N</w:t>
            </w:r>
          </w:p>
        </w:tc>
        <w:tc>
          <w:tcPr>
            <w:tcW w:w="703" w:type="pct"/>
            <w:vAlign w:val="center"/>
          </w:tcPr>
          <w:p w14:paraId="16893748">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070722020222020043</w:t>
            </w:r>
          </w:p>
        </w:tc>
        <w:tc>
          <w:tcPr>
            <w:tcW w:w="546" w:type="pct"/>
            <w:vAlign w:val="center"/>
          </w:tcPr>
          <w:p w14:paraId="291A7304">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0.004</w:t>
            </w:r>
            <w:r>
              <w:rPr>
                <w:rFonts w:ascii="Times New Roman" w:hAnsi="Times New Roman" w:cs="Times New Roman" w:eastAsiaTheme="minorEastAsia"/>
                <w:color w:val="auto"/>
                <w:w w:val="99"/>
                <w:kern w:val="21"/>
                <w:sz w:val="21"/>
                <w:szCs w:val="21"/>
                <w:highlight w:val="none"/>
              </w:rPr>
              <w:t>mg/L</w:t>
            </w:r>
          </w:p>
        </w:tc>
      </w:tr>
      <w:tr w14:paraId="0DE4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02E9D846">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kern w:val="2"/>
                <w:sz w:val="21"/>
                <w:szCs w:val="21"/>
                <w:highlight w:val="none"/>
              </w:rPr>
              <w:t>砷</w:t>
            </w:r>
          </w:p>
        </w:tc>
        <w:tc>
          <w:tcPr>
            <w:tcW w:w="1489" w:type="pct"/>
            <w:vAlign w:val="center"/>
          </w:tcPr>
          <w:p w14:paraId="601AA7B4">
            <w:pPr>
              <w:widowControl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水质 汞、砷、硒、铋和锑的测定 原子荧光法</w:t>
            </w:r>
          </w:p>
        </w:tc>
        <w:tc>
          <w:tcPr>
            <w:tcW w:w="860" w:type="pct"/>
            <w:vAlign w:val="center"/>
          </w:tcPr>
          <w:p w14:paraId="79A0A005">
            <w:pPr>
              <w:widowControl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HJ 694-2014</w:t>
            </w:r>
          </w:p>
        </w:tc>
        <w:tc>
          <w:tcPr>
            <w:tcW w:w="938" w:type="pct"/>
            <w:vAlign w:val="center"/>
          </w:tcPr>
          <w:p w14:paraId="2227EBC9">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双道原子荧光光度计 AFS-230E</w:t>
            </w:r>
          </w:p>
        </w:tc>
        <w:tc>
          <w:tcPr>
            <w:tcW w:w="703" w:type="pct"/>
            <w:vAlign w:val="center"/>
          </w:tcPr>
          <w:p w14:paraId="708D3D2E">
            <w:pPr>
              <w:widowControl w:val="0"/>
              <w:spacing w:line="32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230E/2111565</w:t>
            </w:r>
          </w:p>
        </w:tc>
        <w:tc>
          <w:tcPr>
            <w:tcW w:w="546" w:type="pct"/>
            <w:vAlign w:val="center"/>
          </w:tcPr>
          <w:p w14:paraId="757112A1">
            <w:pPr>
              <w:widowControl w:val="0"/>
              <w:spacing w:line="320" w:lineRule="exact"/>
              <w:jc w:val="center"/>
              <w:textAlignment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sz w:val="21"/>
                <w:szCs w:val="21"/>
                <w:highlight w:val="none"/>
              </w:rPr>
              <w:t>0.0003</w:t>
            </w:r>
            <w:r>
              <w:rPr>
                <w:rFonts w:ascii="Times New Roman" w:hAnsi="Times New Roman" w:cs="Times New Roman" w:eastAsiaTheme="minorEastAsia"/>
                <w:bCs/>
                <w:color w:val="auto"/>
                <w:w w:val="99"/>
                <w:kern w:val="2"/>
                <w:sz w:val="21"/>
                <w:szCs w:val="21"/>
                <w:highlight w:val="none"/>
              </w:rPr>
              <w:t>mg/L</w:t>
            </w:r>
          </w:p>
        </w:tc>
      </w:tr>
      <w:tr w14:paraId="1803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19CE0A88">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铅</w:t>
            </w:r>
          </w:p>
        </w:tc>
        <w:tc>
          <w:tcPr>
            <w:tcW w:w="1489" w:type="pct"/>
            <w:vAlign w:val="center"/>
          </w:tcPr>
          <w:p w14:paraId="1076C19A">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 xml:space="preserve">铜、铅、镉 </w:t>
            </w:r>
            <w:r>
              <w:rPr>
                <w:rFonts w:ascii="Times New Roman" w:hAnsi="Times New Roman" w:cs="Times New Roman" w:eastAsiaTheme="minorEastAsia"/>
                <w:color w:val="auto"/>
                <w:w w:val="99"/>
                <w:kern w:val="2"/>
                <w:sz w:val="21"/>
                <w:szCs w:val="21"/>
                <w:highlight w:val="none"/>
                <w:shd w:val="clear" w:color="auto" w:fill="FFFFFF"/>
                <w:lang w:bidi="ar"/>
              </w:rPr>
              <w:t xml:space="preserve">石墨炉原子吸收法 </w:t>
            </w:r>
          </w:p>
        </w:tc>
        <w:tc>
          <w:tcPr>
            <w:tcW w:w="860" w:type="pct"/>
            <w:vAlign w:val="center"/>
          </w:tcPr>
          <w:p w14:paraId="36EDDB48">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《水和废水监测分析方法》（第四版）国家环境保护总（2002年）</w:t>
            </w:r>
          </w:p>
        </w:tc>
        <w:tc>
          <w:tcPr>
            <w:tcW w:w="938" w:type="pct"/>
            <w:vAlign w:val="center"/>
          </w:tcPr>
          <w:p w14:paraId="5E0224AF">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
                <w:sz w:val="21"/>
                <w:szCs w:val="21"/>
                <w:highlight w:val="none"/>
                <w:shd w:val="clear" w:color="auto" w:fill="FFFFFF"/>
                <w:lang w:bidi="ar"/>
              </w:rPr>
              <w:t>石墨炉</w:t>
            </w:r>
            <w:r>
              <w:rPr>
                <w:rFonts w:ascii="Times New Roman" w:hAnsi="Times New Roman" w:cs="Times New Roman" w:eastAsiaTheme="minorEastAsia"/>
                <w:color w:val="auto"/>
                <w:w w:val="99"/>
                <w:kern w:val="21"/>
                <w:sz w:val="21"/>
                <w:szCs w:val="21"/>
                <w:highlight w:val="none"/>
              </w:rPr>
              <w:t xml:space="preserve">原子吸收分光光度计 </w:t>
            </w:r>
          </w:p>
          <w:p w14:paraId="13462B03">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GA3202</w:t>
            </w:r>
          </w:p>
        </w:tc>
        <w:tc>
          <w:tcPr>
            <w:tcW w:w="703" w:type="pct"/>
            <w:vAlign w:val="center"/>
          </w:tcPr>
          <w:p w14:paraId="05ECD8FA">
            <w:pPr>
              <w:widowControl w:val="0"/>
              <w:spacing w:line="32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030716010116050008</w:t>
            </w:r>
          </w:p>
        </w:tc>
        <w:tc>
          <w:tcPr>
            <w:tcW w:w="546" w:type="pct"/>
            <w:vAlign w:val="center"/>
          </w:tcPr>
          <w:p w14:paraId="6A4C9BDA">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1.0</w:t>
            </w:r>
            <w:r>
              <w:rPr>
                <w:rFonts w:ascii="Times New Roman" w:hAnsi="Times New Roman" w:cs="Times New Roman" w:eastAsiaTheme="minorEastAsia"/>
                <w:color w:val="auto"/>
                <w:w w:val="99"/>
                <w:kern w:val="2"/>
                <w:sz w:val="21"/>
                <w:szCs w:val="21"/>
                <w:highlight w:val="none"/>
              </w:rPr>
              <w:t>μg/L</w:t>
            </w:r>
          </w:p>
        </w:tc>
      </w:tr>
      <w:tr w14:paraId="19B9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66DE83F2">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p>
        </w:tc>
        <w:tc>
          <w:tcPr>
            <w:tcW w:w="1489" w:type="pct"/>
            <w:vAlign w:val="center"/>
          </w:tcPr>
          <w:p w14:paraId="0178D5A7">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水质 铁、锰的测定</w:t>
            </w:r>
          </w:p>
          <w:p w14:paraId="13A90904">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火焰原子吸收分光光度法</w:t>
            </w:r>
          </w:p>
        </w:tc>
        <w:tc>
          <w:tcPr>
            <w:tcW w:w="860" w:type="pct"/>
            <w:vAlign w:val="center"/>
          </w:tcPr>
          <w:p w14:paraId="56CB8B69">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GB/T 11911-1989</w:t>
            </w:r>
          </w:p>
        </w:tc>
        <w:tc>
          <w:tcPr>
            <w:tcW w:w="938" w:type="pct"/>
            <w:vAlign w:val="center"/>
          </w:tcPr>
          <w:p w14:paraId="59B01FE2">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原子吸收分光光度计 AA320N</w:t>
            </w:r>
          </w:p>
        </w:tc>
        <w:tc>
          <w:tcPr>
            <w:tcW w:w="703" w:type="pct"/>
            <w:vAlign w:val="center"/>
          </w:tcPr>
          <w:p w14:paraId="54C41670">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
                <w:sz w:val="21"/>
                <w:szCs w:val="21"/>
                <w:highlight w:val="none"/>
                <w:shd w:val="clear" w:color="auto" w:fill="FFFFFF"/>
              </w:rPr>
              <w:t>030916020216050002</w:t>
            </w:r>
          </w:p>
        </w:tc>
        <w:tc>
          <w:tcPr>
            <w:tcW w:w="546" w:type="pct"/>
            <w:vAlign w:val="center"/>
          </w:tcPr>
          <w:p w14:paraId="019DB1C4">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0.03</w:t>
            </w:r>
            <w:r>
              <w:rPr>
                <w:rFonts w:ascii="Times New Roman" w:hAnsi="Times New Roman" w:cs="Times New Roman" w:eastAsiaTheme="minorEastAsia"/>
                <w:color w:val="auto"/>
                <w:w w:val="99"/>
                <w:kern w:val="21"/>
                <w:sz w:val="21"/>
                <w:szCs w:val="21"/>
                <w:highlight w:val="none"/>
              </w:rPr>
              <w:t>mg/L</w:t>
            </w:r>
          </w:p>
        </w:tc>
      </w:tr>
      <w:tr w14:paraId="1210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751764B8">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p>
        </w:tc>
        <w:tc>
          <w:tcPr>
            <w:tcW w:w="1489" w:type="pct"/>
            <w:vAlign w:val="center"/>
          </w:tcPr>
          <w:p w14:paraId="1D7FF061">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水质 铁、锰的测定</w:t>
            </w:r>
          </w:p>
          <w:p w14:paraId="503568F8">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火焰原子吸收分光光度法</w:t>
            </w:r>
          </w:p>
        </w:tc>
        <w:tc>
          <w:tcPr>
            <w:tcW w:w="860" w:type="pct"/>
            <w:vAlign w:val="center"/>
          </w:tcPr>
          <w:p w14:paraId="2C08C09F">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GB/T 11911-1989</w:t>
            </w:r>
          </w:p>
        </w:tc>
        <w:tc>
          <w:tcPr>
            <w:tcW w:w="938" w:type="pct"/>
            <w:vAlign w:val="center"/>
          </w:tcPr>
          <w:p w14:paraId="66D25506">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原子吸收分光光度计 AA320N</w:t>
            </w:r>
          </w:p>
        </w:tc>
        <w:tc>
          <w:tcPr>
            <w:tcW w:w="703" w:type="pct"/>
            <w:vAlign w:val="center"/>
          </w:tcPr>
          <w:p w14:paraId="2E14A90A">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30916020216050002</w:t>
            </w:r>
          </w:p>
        </w:tc>
        <w:tc>
          <w:tcPr>
            <w:tcW w:w="546" w:type="pct"/>
            <w:vAlign w:val="center"/>
          </w:tcPr>
          <w:p w14:paraId="69A5A0A6">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0.01</w:t>
            </w:r>
            <w:r>
              <w:rPr>
                <w:rFonts w:ascii="Times New Roman" w:hAnsi="Times New Roman" w:cs="Times New Roman" w:eastAsiaTheme="minorEastAsia"/>
                <w:color w:val="auto"/>
                <w:w w:val="99"/>
                <w:kern w:val="21"/>
                <w:sz w:val="21"/>
                <w:szCs w:val="21"/>
                <w:highlight w:val="none"/>
              </w:rPr>
              <w:t>mg/L</w:t>
            </w:r>
          </w:p>
        </w:tc>
      </w:tr>
      <w:tr w14:paraId="39ED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2E64CE65">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kern w:val="2"/>
                <w:sz w:val="21"/>
                <w:szCs w:val="21"/>
                <w:highlight w:val="none"/>
              </w:rPr>
              <w:t>汞</w:t>
            </w:r>
          </w:p>
        </w:tc>
        <w:tc>
          <w:tcPr>
            <w:tcW w:w="1489" w:type="pct"/>
            <w:vAlign w:val="center"/>
          </w:tcPr>
          <w:p w14:paraId="6C4ECB43">
            <w:pPr>
              <w:widowControl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水质 汞、砷、硒、铋和锑的测定 原子荧光法</w:t>
            </w:r>
          </w:p>
        </w:tc>
        <w:tc>
          <w:tcPr>
            <w:tcW w:w="860" w:type="pct"/>
            <w:vAlign w:val="center"/>
          </w:tcPr>
          <w:p w14:paraId="25D8A9A0">
            <w:pPr>
              <w:widowControl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HJ 694-2014</w:t>
            </w:r>
          </w:p>
        </w:tc>
        <w:tc>
          <w:tcPr>
            <w:tcW w:w="938" w:type="pct"/>
            <w:vAlign w:val="center"/>
          </w:tcPr>
          <w:p w14:paraId="03F02257">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双道原子荧光光度计 AFS-230E</w:t>
            </w:r>
          </w:p>
        </w:tc>
        <w:tc>
          <w:tcPr>
            <w:tcW w:w="703" w:type="pct"/>
            <w:vAlign w:val="center"/>
          </w:tcPr>
          <w:p w14:paraId="2E621476">
            <w:pPr>
              <w:widowControl w:val="0"/>
              <w:spacing w:line="32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230E/2111565</w:t>
            </w:r>
          </w:p>
        </w:tc>
        <w:tc>
          <w:tcPr>
            <w:tcW w:w="546" w:type="pct"/>
            <w:vAlign w:val="center"/>
          </w:tcPr>
          <w:p w14:paraId="03B7B6D5">
            <w:pPr>
              <w:widowControl w:val="0"/>
              <w:spacing w:line="320" w:lineRule="exact"/>
              <w:jc w:val="center"/>
              <w:textAlignment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sz w:val="21"/>
                <w:szCs w:val="21"/>
                <w:highlight w:val="none"/>
              </w:rPr>
              <w:t>0.00004</w:t>
            </w:r>
            <w:r>
              <w:rPr>
                <w:rFonts w:ascii="Times New Roman" w:hAnsi="Times New Roman" w:cs="Times New Roman" w:eastAsiaTheme="minorEastAsia"/>
                <w:bCs/>
                <w:color w:val="auto"/>
                <w:w w:val="99"/>
                <w:kern w:val="2"/>
                <w:sz w:val="21"/>
                <w:szCs w:val="21"/>
                <w:highlight w:val="none"/>
              </w:rPr>
              <w:t>mg/L</w:t>
            </w:r>
          </w:p>
        </w:tc>
      </w:tr>
      <w:tr w14:paraId="16E4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6F001FE9">
            <w:pPr>
              <w:widowControl w:val="0"/>
              <w:adjustRightInd w:val="0"/>
              <w:snapToGrid w:val="0"/>
              <w:spacing w:line="32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color w:val="auto"/>
                <w:w w:val="99"/>
                <w:sz w:val="21"/>
                <w:szCs w:val="21"/>
                <w:highlight w:val="none"/>
              </w:rPr>
              <w:t>菌落总数</w:t>
            </w:r>
          </w:p>
        </w:tc>
        <w:tc>
          <w:tcPr>
            <w:tcW w:w="1489" w:type="pct"/>
            <w:vAlign w:val="center"/>
          </w:tcPr>
          <w:p w14:paraId="72D527ED">
            <w:pPr>
              <w:widowControl w:val="0"/>
              <w:adjustRightInd w:val="0"/>
              <w:snapToGrid w:val="0"/>
              <w:spacing w:line="320" w:lineRule="exact"/>
              <w:jc w:val="center"/>
              <w:rPr>
                <w:rFonts w:ascii="Times New Roman" w:hAnsi="Times New Roman" w:cs="Times New Roman" w:eastAsiaTheme="minorEastAsia"/>
                <w:bCs/>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rPr>
              <w:t xml:space="preserve"> 生活饮用水标准检验方法 微生物指标（4.1平皿计数法）</w:t>
            </w:r>
          </w:p>
        </w:tc>
        <w:tc>
          <w:tcPr>
            <w:tcW w:w="860" w:type="pct"/>
            <w:vAlign w:val="center"/>
          </w:tcPr>
          <w:p w14:paraId="766999B8">
            <w:pPr>
              <w:widowControl w:val="0"/>
              <w:adjustRightInd w:val="0"/>
              <w:snapToGrid w:val="0"/>
              <w:spacing w:line="320" w:lineRule="exact"/>
              <w:jc w:val="center"/>
              <w:rPr>
                <w:rFonts w:ascii="Times New Roman" w:hAnsi="Times New Roman" w:cs="Times New Roman" w:eastAsiaTheme="minorEastAsia"/>
                <w:bCs/>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rPr>
              <w:t>GB/T5750.12-2023</w:t>
            </w:r>
          </w:p>
        </w:tc>
        <w:tc>
          <w:tcPr>
            <w:tcW w:w="938" w:type="pct"/>
            <w:vAlign w:val="center"/>
          </w:tcPr>
          <w:p w14:paraId="4C3B13F7">
            <w:pPr>
              <w:widowControl w:val="0"/>
              <w:adjustRightInd w:val="0"/>
              <w:snapToGrid w:val="0"/>
              <w:spacing w:line="320" w:lineRule="exact"/>
              <w:jc w:val="center"/>
              <w:rPr>
                <w:rFonts w:ascii="Times New Roman" w:hAnsi="Times New Roman" w:cs="Times New Roman" w:eastAsiaTheme="minorEastAsia"/>
                <w:bCs/>
                <w:color w:val="auto"/>
                <w:w w:val="99"/>
                <w:kern w:val="2"/>
                <w:sz w:val="21"/>
                <w:szCs w:val="21"/>
                <w:highlight w:val="none"/>
                <w:shd w:val="clear" w:color="auto" w:fill="FFFFFF"/>
              </w:rPr>
            </w:pPr>
            <w:r>
              <w:rPr>
                <w:rFonts w:ascii="Times New Roman" w:hAnsi="Times New Roman" w:cs="Times New Roman" w:eastAsiaTheme="minorEastAsia"/>
                <w:color w:val="auto"/>
                <w:w w:val="99"/>
                <w:kern w:val="2"/>
                <w:sz w:val="21"/>
                <w:szCs w:val="21"/>
                <w:highlight w:val="none"/>
                <w:shd w:val="clear" w:color="auto" w:fill="FFFFFF"/>
              </w:rPr>
              <w:t xml:space="preserve">电热恒温培养箱 </w:t>
            </w:r>
            <w:r>
              <w:rPr>
                <w:rFonts w:ascii="Times New Roman" w:hAnsi="Times New Roman" w:cs="Times New Roman" w:eastAsiaTheme="minorEastAsia"/>
                <w:color w:val="auto"/>
                <w:w w:val="99"/>
                <w:kern w:val="2"/>
                <w:sz w:val="21"/>
                <w:szCs w:val="21"/>
                <w:highlight w:val="none"/>
              </w:rPr>
              <w:t>DH-250A</w:t>
            </w:r>
          </w:p>
        </w:tc>
        <w:tc>
          <w:tcPr>
            <w:tcW w:w="703" w:type="pct"/>
            <w:vAlign w:val="center"/>
          </w:tcPr>
          <w:p w14:paraId="1179C8C5">
            <w:pPr>
              <w:widowControl w:val="0"/>
              <w:spacing w:line="320" w:lineRule="exact"/>
              <w:jc w:val="center"/>
              <w:textAlignment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lang w:bidi="ar"/>
              </w:rPr>
              <w:t>GL-278</w:t>
            </w:r>
          </w:p>
        </w:tc>
        <w:tc>
          <w:tcPr>
            <w:tcW w:w="546" w:type="pct"/>
            <w:vAlign w:val="center"/>
          </w:tcPr>
          <w:p w14:paraId="0817DF79">
            <w:pPr>
              <w:widowControl w:val="0"/>
              <w:spacing w:line="32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color w:val="auto"/>
                <w:w w:val="99"/>
                <w:kern w:val="21"/>
                <w:sz w:val="21"/>
                <w:szCs w:val="21"/>
                <w:highlight w:val="none"/>
              </w:rPr>
              <w:t xml:space="preserve">-  </w:t>
            </w:r>
          </w:p>
        </w:tc>
      </w:tr>
      <w:tr w14:paraId="2B6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6427ADCE">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总大肠菌群</w:t>
            </w:r>
          </w:p>
        </w:tc>
        <w:tc>
          <w:tcPr>
            <w:tcW w:w="1489" w:type="pct"/>
            <w:vAlign w:val="center"/>
          </w:tcPr>
          <w:p w14:paraId="6143A48E">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多管发酵法</w:t>
            </w:r>
          </w:p>
        </w:tc>
        <w:tc>
          <w:tcPr>
            <w:tcW w:w="860" w:type="pct"/>
            <w:vAlign w:val="center"/>
          </w:tcPr>
          <w:p w14:paraId="7B0CCAED">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《水和废水监测分析方法》（第四版）国家环境保护总局（2002年）</w:t>
            </w:r>
          </w:p>
        </w:tc>
        <w:tc>
          <w:tcPr>
            <w:tcW w:w="938" w:type="pct"/>
            <w:vAlign w:val="center"/>
          </w:tcPr>
          <w:p w14:paraId="34D1E327">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电热恒温培养箱 DH-250A</w:t>
            </w:r>
          </w:p>
        </w:tc>
        <w:tc>
          <w:tcPr>
            <w:tcW w:w="703" w:type="pct"/>
            <w:vAlign w:val="center"/>
          </w:tcPr>
          <w:p w14:paraId="73042F26">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lang w:bidi="ar"/>
              </w:rPr>
              <w:t>GL-278</w:t>
            </w:r>
          </w:p>
        </w:tc>
        <w:tc>
          <w:tcPr>
            <w:tcW w:w="546" w:type="pct"/>
            <w:vAlign w:val="center"/>
          </w:tcPr>
          <w:p w14:paraId="0291B8CC">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2MPN/100mL</w:t>
            </w:r>
          </w:p>
        </w:tc>
      </w:tr>
      <w:tr w14:paraId="7262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48634945">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石油类</w:t>
            </w:r>
          </w:p>
        </w:tc>
        <w:tc>
          <w:tcPr>
            <w:tcW w:w="1489" w:type="pct"/>
            <w:vAlign w:val="center"/>
          </w:tcPr>
          <w:p w14:paraId="23FEAA98">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水质 石油类的测定 </w:t>
            </w:r>
          </w:p>
          <w:p w14:paraId="7BE34A7A">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紫外分光光度法（试行）</w:t>
            </w:r>
          </w:p>
        </w:tc>
        <w:tc>
          <w:tcPr>
            <w:tcW w:w="860" w:type="pct"/>
            <w:vAlign w:val="center"/>
          </w:tcPr>
          <w:p w14:paraId="59AD328A">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 HJ 970-2018</w:t>
            </w:r>
          </w:p>
        </w:tc>
        <w:tc>
          <w:tcPr>
            <w:tcW w:w="938" w:type="pct"/>
            <w:vAlign w:val="center"/>
          </w:tcPr>
          <w:p w14:paraId="6478BAA9">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紫外可见分光光度计UV752</w:t>
            </w:r>
          </w:p>
        </w:tc>
        <w:tc>
          <w:tcPr>
            <w:tcW w:w="703" w:type="pct"/>
            <w:vAlign w:val="center"/>
          </w:tcPr>
          <w:p w14:paraId="069DE022">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AE1104016</w:t>
            </w:r>
          </w:p>
        </w:tc>
        <w:tc>
          <w:tcPr>
            <w:tcW w:w="546" w:type="pct"/>
            <w:vAlign w:val="center"/>
          </w:tcPr>
          <w:p w14:paraId="71AC19B1">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0.01</w:t>
            </w:r>
            <w:r>
              <w:rPr>
                <w:rFonts w:ascii="Times New Roman" w:hAnsi="Times New Roman" w:cs="Times New Roman" w:eastAsiaTheme="minorEastAsia"/>
                <w:color w:val="auto"/>
                <w:w w:val="99"/>
                <w:kern w:val="21"/>
                <w:sz w:val="21"/>
                <w:szCs w:val="21"/>
                <w:highlight w:val="none"/>
              </w:rPr>
              <w:t>mg/L</w:t>
            </w:r>
          </w:p>
        </w:tc>
      </w:tr>
      <w:tr w14:paraId="1807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4AFA60C9">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p>
        </w:tc>
        <w:tc>
          <w:tcPr>
            <w:tcW w:w="1489" w:type="pct"/>
            <w:vAlign w:val="center"/>
          </w:tcPr>
          <w:p w14:paraId="025FE5C0">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水质 氰化物的测定 容量法和分光光度法</w:t>
            </w:r>
            <w:r>
              <w:rPr>
                <w:rFonts w:ascii="Times New Roman" w:hAnsi="Times New Roman" w:cs="Times New Roman" w:eastAsiaTheme="minorEastAsia"/>
                <w:color w:val="auto"/>
                <w:w w:val="99"/>
                <w:kern w:val="2"/>
                <w:sz w:val="21"/>
                <w:szCs w:val="21"/>
                <w:highlight w:val="none"/>
                <w:shd w:val="clear" w:color="auto" w:fill="FFFFFF"/>
              </w:rPr>
              <w:t>（方法2异烟酸-吡唑啉酮分光光度法）</w:t>
            </w:r>
          </w:p>
        </w:tc>
        <w:tc>
          <w:tcPr>
            <w:tcW w:w="860" w:type="pct"/>
            <w:vAlign w:val="center"/>
          </w:tcPr>
          <w:p w14:paraId="33FDAB5A">
            <w:pPr>
              <w:widowControl w:val="0"/>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HJ 484-2009 </w:t>
            </w:r>
          </w:p>
        </w:tc>
        <w:tc>
          <w:tcPr>
            <w:tcW w:w="938" w:type="pct"/>
            <w:vAlign w:val="center"/>
          </w:tcPr>
          <w:p w14:paraId="25A362CE">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可见分光光度722N</w:t>
            </w:r>
          </w:p>
        </w:tc>
        <w:tc>
          <w:tcPr>
            <w:tcW w:w="703" w:type="pct"/>
            <w:vAlign w:val="center"/>
          </w:tcPr>
          <w:p w14:paraId="081251C8">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070722020222020043</w:t>
            </w:r>
          </w:p>
        </w:tc>
        <w:tc>
          <w:tcPr>
            <w:tcW w:w="546" w:type="pct"/>
            <w:vAlign w:val="center"/>
          </w:tcPr>
          <w:p w14:paraId="41D80A12">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0.004</w:t>
            </w:r>
            <w:r>
              <w:rPr>
                <w:rFonts w:ascii="Times New Roman" w:hAnsi="Times New Roman" w:cs="Times New Roman" w:eastAsiaTheme="minorEastAsia"/>
                <w:color w:val="auto"/>
                <w:w w:val="99"/>
                <w:kern w:val="21"/>
                <w:sz w:val="21"/>
                <w:szCs w:val="21"/>
                <w:highlight w:val="none"/>
              </w:rPr>
              <w:t>mg/L</w:t>
            </w:r>
          </w:p>
        </w:tc>
      </w:tr>
      <w:tr w14:paraId="7BF1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68233E8B">
            <w:pPr>
              <w:widowControl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shd w:val="clear" w:color="auto" w:fill="FFFFFF"/>
                <w:lang w:bidi="ar"/>
              </w:rPr>
              <w:t>镉</w:t>
            </w:r>
          </w:p>
        </w:tc>
        <w:tc>
          <w:tcPr>
            <w:tcW w:w="1489" w:type="pct"/>
            <w:vAlign w:val="center"/>
          </w:tcPr>
          <w:p w14:paraId="2B235082">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 xml:space="preserve">铜、铅、镉 </w:t>
            </w:r>
            <w:r>
              <w:rPr>
                <w:rFonts w:ascii="Times New Roman" w:hAnsi="Times New Roman" w:cs="Times New Roman" w:eastAsiaTheme="minorEastAsia"/>
                <w:color w:val="auto"/>
                <w:w w:val="99"/>
                <w:kern w:val="2"/>
                <w:sz w:val="21"/>
                <w:szCs w:val="21"/>
                <w:highlight w:val="none"/>
                <w:shd w:val="clear" w:color="auto" w:fill="FFFFFF"/>
                <w:lang w:bidi="ar"/>
              </w:rPr>
              <w:t xml:space="preserve">石墨炉原子吸收法 </w:t>
            </w:r>
          </w:p>
        </w:tc>
        <w:tc>
          <w:tcPr>
            <w:tcW w:w="860" w:type="pct"/>
            <w:vAlign w:val="center"/>
          </w:tcPr>
          <w:p w14:paraId="04D4684B">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《水和废水监测分析方法》（第四版）国家环境保护总（2002年）</w:t>
            </w:r>
          </w:p>
        </w:tc>
        <w:tc>
          <w:tcPr>
            <w:tcW w:w="938" w:type="pct"/>
            <w:vAlign w:val="center"/>
          </w:tcPr>
          <w:p w14:paraId="63B1A949">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
                <w:sz w:val="21"/>
                <w:szCs w:val="21"/>
                <w:highlight w:val="none"/>
                <w:shd w:val="clear" w:color="auto" w:fill="FFFFFF"/>
                <w:lang w:bidi="ar"/>
              </w:rPr>
              <w:t>石墨炉</w:t>
            </w:r>
            <w:r>
              <w:rPr>
                <w:rFonts w:ascii="Times New Roman" w:hAnsi="Times New Roman" w:cs="Times New Roman" w:eastAsiaTheme="minorEastAsia"/>
                <w:color w:val="auto"/>
                <w:w w:val="99"/>
                <w:kern w:val="21"/>
                <w:sz w:val="21"/>
                <w:szCs w:val="21"/>
                <w:highlight w:val="none"/>
              </w:rPr>
              <w:t xml:space="preserve">原子吸收分光光度计 </w:t>
            </w:r>
          </w:p>
          <w:p w14:paraId="31B83D85">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GA3202</w:t>
            </w:r>
          </w:p>
        </w:tc>
        <w:tc>
          <w:tcPr>
            <w:tcW w:w="703" w:type="pct"/>
            <w:vAlign w:val="center"/>
          </w:tcPr>
          <w:p w14:paraId="041CF5A8">
            <w:pPr>
              <w:widowControl w:val="0"/>
              <w:spacing w:line="32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030716010116050008</w:t>
            </w:r>
          </w:p>
        </w:tc>
        <w:tc>
          <w:tcPr>
            <w:tcW w:w="546" w:type="pct"/>
            <w:vAlign w:val="center"/>
          </w:tcPr>
          <w:p w14:paraId="6608D571">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0.10</w:t>
            </w:r>
            <w:r>
              <w:rPr>
                <w:rFonts w:ascii="Times New Roman" w:hAnsi="Times New Roman" w:cs="Times New Roman" w:eastAsiaTheme="minorEastAsia"/>
                <w:color w:val="auto"/>
                <w:w w:val="99"/>
                <w:kern w:val="2"/>
                <w:sz w:val="21"/>
                <w:szCs w:val="21"/>
                <w:highlight w:val="none"/>
              </w:rPr>
              <w:t>μg/L</w:t>
            </w:r>
          </w:p>
        </w:tc>
      </w:tr>
      <w:tr w14:paraId="4C32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70FFFD8B">
            <w:pPr>
              <w:widowControl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lang w:bidi="ar"/>
              </w:rPr>
            </w:pPr>
            <w:r>
              <w:rPr>
                <w:rFonts w:ascii="Times New Roman" w:hAnsi="Times New Roman" w:cs="Times New Roman" w:eastAsiaTheme="minorEastAsia"/>
                <w:bCs/>
                <w:color w:val="auto"/>
                <w:w w:val="99"/>
                <w:kern w:val="2"/>
                <w:sz w:val="21"/>
                <w:szCs w:val="21"/>
                <w:highlight w:val="none"/>
              </w:rPr>
              <w:t>硫化物</w:t>
            </w:r>
          </w:p>
        </w:tc>
        <w:tc>
          <w:tcPr>
            <w:tcW w:w="1489" w:type="pct"/>
            <w:vAlign w:val="center"/>
          </w:tcPr>
          <w:p w14:paraId="27AEC27F">
            <w:pPr>
              <w:widowControl w:val="0"/>
              <w:spacing w:line="320" w:lineRule="exact"/>
              <w:jc w:val="center"/>
              <w:rPr>
                <w:rFonts w:ascii="Times New Roman" w:hAnsi="Times New Roman" w:cs="Times New Roman" w:eastAsiaTheme="minorEastAsia"/>
                <w:bCs/>
                <w:color w:val="auto"/>
                <w:w w:val="99"/>
                <w:kern w:val="2"/>
                <w:sz w:val="21"/>
                <w:szCs w:val="21"/>
                <w:highlight w:val="none"/>
                <w:shd w:val="clear" w:color="auto" w:fill="FFFFFF"/>
              </w:rPr>
            </w:pPr>
            <w:r>
              <w:rPr>
                <w:rFonts w:ascii="Times New Roman" w:hAnsi="Times New Roman" w:cs="Times New Roman" w:eastAsiaTheme="minorEastAsia"/>
                <w:bCs/>
                <w:color w:val="auto"/>
                <w:w w:val="99"/>
                <w:kern w:val="2"/>
                <w:sz w:val="21"/>
                <w:szCs w:val="21"/>
                <w:highlight w:val="none"/>
                <w:shd w:val="clear" w:color="auto" w:fill="FFFFFF"/>
              </w:rPr>
              <w:t>水质 硫化物的测定</w:t>
            </w:r>
          </w:p>
          <w:p w14:paraId="7668457F">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shd w:val="clear" w:color="auto" w:fill="FFFFFF"/>
              </w:rPr>
              <w:t>亚甲基蓝分光光度法</w:t>
            </w:r>
          </w:p>
        </w:tc>
        <w:tc>
          <w:tcPr>
            <w:tcW w:w="860" w:type="pct"/>
            <w:vAlign w:val="center"/>
          </w:tcPr>
          <w:p w14:paraId="193EFE4B">
            <w:pPr>
              <w:widowControl w:val="0"/>
              <w:spacing w:line="320" w:lineRule="exact"/>
              <w:jc w:val="center"/>
              <w:textAlignment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shd w:val="clear" w:color="auto" w:fill="FFFFFF"/>
              </w:rPr>
              <w:t>HJ1226-2021</w:t>
            </w:r>
          </w:p>
        </w:tc>
        <w:tc>
          <w:tcPr>
            <w:tcW w:w="938" w:type="pct"/>
            <w:vAlign w:val="center"/>
          </w:tcPr>
          <w:p w14:paraId="20AE3F1E">
            <w:pPr>
              <w:widowControl w:val="0"/>
              <w:spacing w:line="32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bCs/>
                <w:color w:val="auto"/>
                <w:w w:val="99"/>
                <w:kern w:val="21"/>
                <w:sz w:val="21"/>
                <w:szCs w:val="21"/>
                <w:highlight w:val="none"/>
              </w:rPr>
              <w:t xml:space="preserve">可见分光光度计  </w:t>
            </w:r>
            <w:r>
              <w:rPr>
                <w:rFonts w:ascii="Times New Roman" w:hAnsi="Times New Roman" w:cs="Times New Roman" w:eastAsiaTheme="minorEastAsia"/>
                <w:bCs/>
                <w:color w:val="auto"/>
                <w:w w:val="99"/>
                <w:kern w:val="2"/>
                <w:sz w:val="21"/>
                <w:szCs w:val="21"/>
                <w:highlight w:val="none"/>
              </w:rPr>
              <w:t>722N</w:t>
            </w:r>
          </w:p>
        </w:tc>
        <w:tc>
          <w:tcPr>
            <w:tcW w:w="703" w:type="pct"/>
            <w:vAlign w:val="center"/>
          </w:tcPr>
          <w:p w14:paraId="57B81A65">
            <w:pPr>
              <w:widowControl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bCs/>
                <w:color w:val="auto"/>
                <w:w w:val="99"/>
                <w:sz w:val="21"/>
                <w:szCs w:val="21"/>
                <w:highlight w:val="none"/>
                <w:lang w:bidi="ar"/>
              </w:rPr>
              <w:t>070722020222020043</w:t>
            </w:r>
          </w:p>
        </w:tc>
        <w:tc>
          <w:tcPr>
            <w:tcW w:w="546" w:type="pct"/>
            <w:vAlign w:val="center"/>
          </w:tcPr>
          <w:p w14:paraId="4CD96CE2">
            <w:pPr>
              <w:widowControl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0.01</w:t>
            </w:r>
            <w:r>
              <w:rPr>
                <w:rFonts w:ascii="Times New Roman" w:hAnsi="Times New Roman" w:cs="Times New Roman" w:eastAsiaTheme="minorEastAsia"/>
                <w:bCs/>
                <w:color w:val="auto"/>
                <w:w w:val="99"/>
                <w:kern w:val="2"/>
                <w:sz w:val="21"/>
                <w:szCs w:val="21"/>
                <w:highlight w:val="none"/>
              </w:rPr>
              <w:t>mg/L</w:t>
            </w:r>
          </w:p>
        </w:tc>
      </w:tr>
      <w:tr w14:paraId="0558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3" w:type="pct"/>
            <w:vAlign w:val="center"/>
          </w:tcPr>
          <w:p w14:paraId="5891A40F">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钡</w:t>
            </w:r>
          </w:p>
        </w:tc>
        <w:tc>
          <w:tcPr>
            <w:tcW w:w="1489" w:type="pct"/>
            <w:vAlign w:val="center"/>
          </w:tcPr>
          <w:p w14:paraId="664FBFCB">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sz w:val="21"/>
                <w:szCs w:val="21"/>
                <w:highlight w:val="none"/>
                <w:shd w:val="clear" w:color="auto" w:fill="FFFFFF"/>
              </w:rPr>
              <w:t>水质 32种元素的测定 电感耦合等离子体发射光谱法</w:t>
            </w:r>
          </w:p>
        </w:tc>
        <w:tc>
          <w:tcPr>
            <w:tcW w:w="860" w:type="pct"/>
            <w:vAlign w:val="center"/>
          </w:tcPr>
          <w:p w14:paraId="1C7DC19D">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shd w:val="clear" w:color="auto" w:fill="FFFFFF"/>
              </w:rPr>
            </w:pPr>
            <w:r>
              <w:rPr>
                <w:rFonts w:ascii="Times New Roman" w:hAnsi="Times New Roman" w:cs="Times New Roman" w:eastAsiaTheme="minorEastAsia"/>
                <w:color w:val="auto"/>
                <w:w w:val="99"/>
                <w:sz w:val="21"/>
                <w:szCs w:val="21"/>
                <w:highlight w:val="none"/>
                <w:shd w:val="clear" w:color="auto" w:fill="FFFFFF"/>
              </w:rPr>
              <w:t>HJ 776-2015 </w:t>
            </w:r>
          </w:p>
        </w:tc>
        <w:tc>
          <w:tcPr>
            <w:tcW w:w="938" w:type="pct"/>
            <w:vAlign w:val="center"/>
          </w:tcPr>
          <w:p w14:paraId="1F7968F9">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电感耦合等离子体发射光谱仪</w:t>
            </w:r>
            <w:r>
              <w:rPr>
                <w:rFonts w:ascii="Times New Roman" w:hAnsi="Times New Roman" w:cs="Times New Roman" w:eastAsiaTheme="minorEastAsia"/>
                <w:color w:val="auto"/>
                <w:w w:val="99"/>
                <w:sz w:val="21"/>
                <w:szCs w:val="21"/>
                <w:highlight w:val="none"/>
                <w:lang w:bidi="ar"/>
              </w:rPr>
              <w:t>ICP2100DV</w:t>
            </w:r>
          </w:p>
        </w:tc>
        <w:tc>
          <w:tcPr>
            <w:tcW w:w="703" w:type="pct"/>
            <w:vAlign w:val="center"/>
          </w:tcPr>
          <w:p w14:paraId="0FBCD022">
            <w:pPr>
              <w:widowControl w:val="0"/>
              <w:adjustRightInd w:val="0"/>
              <w:snapToGrid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lang w:bidi="ar"/>
              </w:rPr>
              <w:t>N0800540</w:t>
            </w:r>
          </w:p>
        </w:tc>
        <w:tc>
          <w:tcPr>
            <w:tcW w:w="546" w:type="pct"/>
            <w:vAlign w:val="center"/>
          </w:tcPr>
          <w:p w14:paraId="59895A41">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1"/>
                <w:sz w:val="21"/>
                <w:szCs w:val="21"/>
                <w:highlight w:val="none"/>
              </w:rPr>
              <w:t>0.01mg/L</w:t>
            </w:r>
          </w:p>
        </w:tc>
      </w:tr>
    </w:tbl>
    <w:p w14:paraId="26DE7AA0">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（5）监测结果</w:t>
      </w:r>
    </w:p>
    <w:p w14:paraId="4013127C">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地下水水质现状监测结果见表4.3-9。</w:t>
      </w:r>
    </w:p>
    <w:p w14:paraId="36B8E807">
      <w:pPr>
        <w:widowControl w:val="0"/>
        <w:spacing w:line="440" w:lineRule="exact"/>
        <w:ind w:firstLine="476" w:firstLineChars="200"/>
        <w:rPr>
          <w:rFonts w:ascii="Times New Roman" w:hAnsi="Times New Roman" w:cs="Times New Roman"/>
          <w:color w:val="auto"/>
          <w:w w:val="99"/>
          <w:highlight w:val="none"/>
        </w:rPr>
      </w:pPr>
      <w:r>
        <w:rPr>
          <w:rFonts w:ascii="Times New Roman" w:hAnsi="Times New Roman" w:cs="Times New Roman" w:eastAsiaTheme="minorEastAsia"/>
          <w:b/>
          <w:color w:val="auto"/>
          <w:w w:val="99"/>
          <w:highlight w:val="none"/>
        </w:rPr>
        <w:t xml:space="preserve">表4.3-9   </w:t>
      </w:r>
      <w:r>
        <w:rPr>
          <w:rFonts w:ascii="Times New Roman" w:hAnsi="Times New Roman" w:cs="Times New Roman" w:eastAsiaTheme="minorEastAsia"/>
          <w:b/>
          <w:color w:val="auto"/>
          <w:w w:val="99"/>
          <w:szCs w:val="28"/>
          <w:highlight w:val="none"/>
        </w:rPr>
        <w:t>地下水</w:t>
      </w:r>
      <w:r>
        <w:rPr>
          <w:rFonts w:ascii="Times New Roman" w:hAnsi="Times New Roman" w:cs="Times New Roman" w:eastAsiaTheme="minorEastAsia"/>
          <w:b/>
          <w:color w:val="auto"/>
          <w:w w:val="99"/>
          <w:highlight w:val="none"/>
        </w:rPr>
        <w:t>水质现状监测结果</w:t>
      </w:r>
    </w:p>
    <w:tbl>
      <w:tblPr>
        <w:tblStyle w:val="8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90"/>
        <w:gridCol w:w="1179"/>
        <w:gridCol w:w="1183"/>
        <w:gridCol w:w="1179"/>
        <w:gridCol w:w="1201"/>
        <w:gridCol w:w="1196"/>
        <w:gridCol w:w="1053"/>
      </w:tblGrid>
      <w:tr w14:paraId="54C82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3C87A8E5">
            <w:pPr>
              <w:spacing w:line="32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198" w:type="pct"/>
            <w:gridSpan w:val="5"/>
            <w:tcBorders>
              <w:right w:val="single" w:color="auto" w:sz="4" w:space="0"/>
            </w:tcBorders>
            <w:vAlign w:val="center"/>
          </w:tcPr>
          <w:p w14:paraId="715DE900">
            <w:pPr>
              <w:spacing w:line="320" w:lineRule="exact"/>
              <w:jc w:val="center"/>
              <w:rPr>
                <w:rFonts w:ascii="Times New Roman" w:hAnsi="Times New Roman" w:cs="Times New Roman" w:eastAsiaTheme="minorEastAsia"/>
                <w:color w:val="auto"/>
                <w:w w:val="99"/>
                <w:sz w:val="21"/>
                <w:szCs w:val="21"/>
                <w:highlight w:val="none"/>
                <w:lang w:val="zh-CN"/>
              </w:rPr>
            </w:pPr>
            <w:r>
              <w:rPr>
                <w:rFonts w:hint="default" w:ascii="Times New Roman" w:hAnsi="Times New Roman" w:cs="Times New Roman" w:eastAsiaTheme="minorEastAsia"/>
                <w:color w:val="auto"/>
                <w:w w:val="99"/>
                <w:sz w:val="21"/>
                <w:szCs w:val="21"/>
                <w:highlight w:val="none"/>
                <w:lang w:val="zh-CN" w:eastAsia="zh-CN"/>
              </w:rPr>
              <w:t>2025.03.26</w:t>
            </w:r>
          </w:p>
        </w:tc>
        <w:tc>
          <w:tcPr>
            <w:tcW w:w="567" w:type="pct"/>
            <w:vMerge w:val="restart"/>
            <w:tcBorders>
              <w:left w:val="single" w:color="auto" w:sz="4" w:space="0"/>
            </w:tcBorders>
            <w:vAlign w:val="center"/>
          </w:tcPr>
          <w:p w14:paraId="2A7AD6D8">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zh-CN"/>
              </w:rPr>
              <w:t>标准限值</w:t>
            </w:r>
          </w:p>
        </w:tc>
      </w:tr>
      <w:tr w14:paraId="3014E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7550289E">
            <w:pPr>
              <w:spacing w:line="32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179" w:type="dxa"/>
            <w:vAlign w:val="center"/>
          </w:tcPr>
          <w:p w14:paraId="63B3CDC4">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default" w:ascii="Times New Roman" w:hAnsi="Times New Roman" w:eastAsia="宋体" w:cs="Times New Roman"/>
                <w:i w:val="0"/>
                <w:iCs w:val="0"/>
                <w:color w:val="auto"/>
                <w:w w:val="99"/>
                <w:kern w:val="0"/>
                <w:sz w:val="21"/>
                <w:szCs w:val="21"/>
                <w:highlight w:val="none"/>
                <w:u w:val="none"/>
                <w:lang w:val="en-US" w:eastAsia="zh-CN" w:bidi="ar"/>
              </w:rPr>
              <w:t>尚家围子屯吕家潜水井</w:t>
            </w:r>
          </w:p>
        </w:tc>
        <w:tc>
          <w:tcPr>
            <w:tcW w:w="1183" w:type="dxa"/>
            <w:vAlign w:val="center"/>
          </w:tcPr>
          <w:p w14:paraId="1E7884F8">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default" w:ascii="Times New Roman" w:hAnsi="Times New Roman" w:eastAsia="宋体" w:cs="Times New Roman"/>
                <w:i w:val="0"/>
                <w:iCs w:val="0"/>
                <w:color w:val="auto"/>
                <w:w w:val="99"/>
                <w:kern w:val="0"/>
                <w:sz w:val="21"/>
                <w:szCs w:val="21"/>
                <w:highlight w:val="none"/>
                <w:u w:val="none"/>
                <w:lang w:val="en-US" w:eastAsia="zh-CN" w:bidi="ar"/>
              </w:rPr>
              <w:t>邢家围子屯周家潜水井</w:t>
            </w:r>
          </w:p>
        </w:tc>
        <w:tc>
          <w:tcPr>
            <w:tcW w:w="1179" w:type="dxa"/>
            <w:vAlign w:val="center"/>
          </w:tcPr>
          <w:p w14:paraId="2D48D3AB">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default" w:ascii="Times New Roman" w:hAnsi="Times New Roman" w:eastAsia="宋体" w:cs="Times New Roman"/>
                <w:i w:val="0"/>
                <w:iCs w:val="0"/>
                <w:color w:val="auto"/>
                <w:w w:val="99"/>
                <w:kern w:val="0"/>
                <w:sz w:val="21"/>
                <w:szCs w:val="21"/>
                <w:highlight w:val="none"/>
                <w:u w:val="none"/>
                <w:lang w:val="en-US" w:eastAsia="zh-CN" w:bidi="ar"/>
              </w:rPr>
              <w:t>王家围子屯王家潜水井</w:t>
            </w:r>
          </w:p>
        </w:tc>
        <w:tc>
          <w:tcPr>
            <w:tcW w:w="1201" w:type="dxa"/>
            <w:tcBorders>
              <w:right w:val="single" w:color="auto" w:sz="4" w:space="0"/>
            </w:tcBorders>
            <w:vAlign w:val="center"/>
          </w:tcPr>
          <w:p w14:paraId="346F1DDC">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default" w:ascii="Times New Roman" w:hAnsi="Times New Roman" w:eastAsia="宋体" w:cs="Times New Roman"/>
                <w:i w:val="0"/>
                <w:iCs w:val="0"/>
                <w:color w:val="auto"/>
                <w:w w:val="99"/>
                <w:kern w:val="0"/>
                <w:sz w:val="21"/>
                <w:szCs w:val="21"/>
                <w:highlight w:val="none"/>
                <w:u w:val="none"/>
                <w:lang w:val="en-US" w:eastAsia="zh-CN" w:bidi="ar"/>
              </w:rPr>
              <w:t>杨</w:t>
            </w:r>
            <w:r>
              <w:rPr>
                <w:rFonts w:hint="eastAsia" w:ascii="Times New Roman" w:hAnsi="Times New Roman" w:cs="Times New Roman"/>
                <w:i w:val="0"/>
                <w:iCs w:val="0"/>
                <w:color w:val="auto"/>
                <w:w w:val="99"/>
                <w:kern w:val="0"/>
                <w:sz w:val="21"/>
                <w:szCs w:val="21"/>
                <w:highlight w:val="none"/>
                <w:u w:val="none"/>
                <w:lang w:val="en-US" w:eastAsia="zh-CN" w:bidi="ar"/>
              </w:rPr>
              <w:t>家</w:t>
            </w:r>
            <w:r>
              <w:rPr>
                <w:rFonts w:hint="default" w:ascii="Times New Roman" w:hAnsi="Times New Roman" w:eastAsia="宋体" w:cs="Times New Roman"/>
                <w:i w:val="0"/>
                <w:iCs w:val="0"/>
                <w:color w:val="auto"/>
                <w:w w:val="99"/>
                <w:kern w:val="0"/>
                <w:sz w:val="21"/>
                <w:szCs w:val="21"/>
                <w:highlight w:val="none"/>
                <w:u w:val="none"/>
                <w:lang w:val="en-US" w:eastAsia="zh-CN" w:bidi="ar"/>
              </w:rPr>
              <w:t>屯陈家潜水井</w:t>
            </w:r>
          </w:p>
        </w:tc>
        <w:tc>
          <w:tcPr>
            <w:tcW w:w="1196" w:type="dxa"/>
            <w:tcBorders>
              <w:left w:val="single" w:color="auto" w:sz="4" w:space="0"/>
              <w:right w:val="single" w:color="auto" w:sz="4" w:space="0"/>
            </w:tcBorders>
            <w:vAlign w:val="center"/>
          </w:tcPr>
          <w:p w14:paraId="6E91A48D">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default" w:ascii="Times New Roman" w:hAnsi="Times New Roman" w:eastAsia="宋体" w:cs="Times New Roman"/>
                <w:i w:val="0"/>
                <w:iCs w:val="0"/>
                <w:color w:val="auto"/>
                <w:w w:val="99"/>
                <w:kern w:val="0"/>
                <w:sz w:val="21"/>
                <w:szCs w:val="21"/>
                <w:highlight w:val="none"/>
                <w:u w:val="none"/>
                <w:lang w:val="en-US" w:eastAsia="zh-CN" w:bidi="ar"/>
              </w:rPr>
              <w:t>尚家围子屯孙家承压水井</w:t>
            </w:r>
          </w:p>
        </w:tc>
        <w:tc>
          <w:tcPr>
            <w:tcW w:w="567" w:type="pct"/>
            <w:vMerge w:val="continue"/>
            <w:tcBorders>
              <w:left w:val="single" w:color="auto" w:sz="4" w:space="0"/>
            </w:tcBorders>
            <w:vAlign w:val="center"/>
          </w:tcPr>
          <w:p w14:paraId="354953E8">
            <w:pPr>
              <w:spacing w:line="320" w:lineRule="exact"/>
              <w:jc w:val="center"/>
              <w:rPr>
                <w:rFonts w:ascii="Times New Roman" w:hAnsi="Times New Roman" w:cs="Times New Roman" w:eastAsiaTheme="minorEastAsia"/>
                <w:color w:val="auto"/>
                <w:spacing w:val="-20"/>
                <w:w w:val="99"/>
                <w:sz w:val="21"/>
                <w:szCs w:val="21"/>
                <w:highlight w:val="none"/>
              </w:rPr>
            </w:pPr>
          </w:p>
        </w:tc>
      </w:tr>
      <w:tr w14:paraId="26171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3400299D">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392ADCC">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2.40</w:t>
            </w:r>
          </w:p>
        </w:tc>
        <w:tc>
          <w:tcPr>
            <w:tcW w:w="637" w:type="pct"/>
            <w:shd w:val="clear" w:color="auto" w:fill="auto"/>
            <w:vAlign w:val="center"/>
          </w:tcPr>
          <w:p w14:paraId="13E15A8B">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3.10</w:t>
            </w:r>
          </w:p>
        </w:tc>
        <w:tc>
          <w:tcPr>
            <w:tcW w:w="635" w:type="pct"/>
            <w:shd w:val="clear" w:color="auto" w:fill="auto"/>
            <w:vAlign w:val="center"/>
          </w:tcPr>
          <w:p w14:paraId="2B6EA061">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2.50</w:t>
            </w:r>
          </w:p>
        </w:tc>
        <w:tc>
          <w:tcPr>
            <w:tcW w:w="647" w:type="pct"/>
            <w:shd w:val="clear" w:color="auto" w:fill="auto"/>
            <w:vAlign w:val="center"/>
          </w:tcPr>
          <w:p w14:paraId="5B790FDD">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1.90</w:t>
            </w:r>
          </w:p>
        </w:tc>
        <w:tc>
          <w:tcPr>
            <w:tcW w:w="643" w:type="pct"/>
            <w:shd w:val="clear" w:color="auto" w:fill="auto"/>
            <w:vAlign w:val="center"/>
          </w:tcPr>
          <w:p w14:paraId="6A03E1CC">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1.10</w:t>
            </w:r>
          </w:p>
        </w:tc>
        <w:tc>
          <w:tcPr>
            <w:tcW w:w="567" w:type="pct"/>
            <w:vAlign w:val="center"/>
          </w:tcPr>
          <w:p w14:paraId="05DBBDFA">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0F16C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34" w:type="pct"/>
            <w:vAlign w:val="center"/>
          </w:tcPr>
          <w:p w14:paraId="34F1779D">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78A2F51E">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52.7</w:t>
            </w:r>
          </w:p>
        </w:tc>
        <w:tc>
          <w:tcPr>
            <w:tcW w:w="637" w:type="pct"/>
            <w:shd w:val="clear" w:color="auto" w:fill="auto"/>
            <w:vAlign w:val="center"/>
          </w:tcPr>
          <w:p w14:paraId="41719564">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57.5</w:t>
            </w:r>
          </w:p>
        </w:tc>
        <w:tc>
          <w:tcPr>
            <w:tcW w:w="635" w:type="pct"/>
            <w:shd w:val="clear" w:color="auto" w:fill="auto"/>
            <w:vAlign w:val="center"/>
          </w:tcPr>
          <w:p w14:paraId="4AE22ABB">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62.2</w:t>
            </w:r>
          </w:p>
        </w:tc>
        <w:tc>
          <w:tcPr>
            <w:tcW w:w="647" w:type="pct"/>
            <w:shd w:val="clear" w:color="auto" w:fill="auto"/>
            <w:vAlign w:val="center"/>
          </w:tcPr>
          <w:p w14:paraId="523977DB">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58.8</w:t>
            </w:r>
          </w:p>
        </w:tc>
        <w:tc>
          <w:tcPr>
            <w:tcW w:w="643" w:type="pct"/>
            <w:shd w:val="clear" w:color="auto" w:fill="auto"/>
            <w:vAlign w:val="center"/>
          </w:tcPr>
          <w:p w14:paraId="250CF0C2">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zh-CN"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42.3</w:t>
            </w:r>
          </w:p>
        </w:tc>
        <w:tc>
          <w:tcPr>
            <w:tcW w:w="567" w:type="pct"/>
            <w:vAlign w:val="center"/>
          </w:tcPr>
          <w:p w14:paraId="76D49D9D">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w:t>
            </w:r>
          </w:p>
        </w:tc>
      </w:tr>
      <w:tr w14:paraId="17EA7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74B13439">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21F1F40">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46.3</w:t>
            </w:r>
          </w:p>
        </w:tc>
        <w:tc>
          <w:tcPr>
            <w:tcW w:w="637" w:type="pct"/>
            <w:shd w:val="clear" w:color="auto" w:fill="auto"/>
            <w:vAlign w:val="center"/>
          </w:tcPr>
          <w:p w14:paraId="79A255BC">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41.4</w:t>
            </w:r>
          </w:p>
        </w:tc>
        <w:tc>
          <w:tcPr>
            <w:tcW w:w="635" w:type="pct"/>
            <w:shd w:val="clear" w:color="auto" w:fill="auto"/>
            <w:vAlign w:val="center"/>
          </w:tcPr>
          <w:p w14:paraId="64431E5D">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52.3</w:t>
            </w:r>
          </w:p>
        </w:tc>
        <w:tc>
          <w:tcPr>
            <w:tcW w:w="647" w:type="pct"/>
            <w:shd w:val="clear" w:color="auto" w:fill="auto"/>
            <w:vAlign w:val="center"/>
          </w:tcPr>
          <w:p w14:paraId="6DFAC254">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48.3</w:t>
            </w:r>
          </w:p>
        </w:tc>
        <w:tc>
          <w:tcPr>
            <w:tcW w:w="643" w:type="pct"/>
            <w:shd w:val="clear" w:color="auto" w:fill="auto"/>
            <w:vAlign w:val="center"/>
          </w:tcPr>
          <w:p w14:paraId="23CEB064">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34.5</w:t>
            </w:r>
          </w:p>
        </w:tc>
        <w:tc>
          <w:tcPr>
            <w:tcW w:w="567" w:type="pct"/>
            <w:vAlign w:val="center"/>
          </w:tcPr>
          <w:p w14:paraId="72671731">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0BE88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084A31F6">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1D6D9084">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9.50</w:t>
            </w:r>
          </w:p>
        </w:tc>
        <w:tc>
          <w:tcPr>
            <w:tcW w:w="637" w:type="pct"/>
            <w:shd w:val="clear" w:color="auto" w:fill="auto"/>
            <w:vAlign w:val="center"/>
          </w:tcPr>
          <w:p w14:paraId="1F9B798B">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8.60</w:t>
            </w:r>
          </w:p>
        </w:tc>
        <w:tc>
          <w:tcPr>
            <w:tcW w:w="635" w:type="pct"/>
            <w:shd w:val="clear" w:color="auto" w:fill="auto"/>
            <w:vAlign w:val="center"/>
          </w:tcPr>
          <w:p w14:paraId="68EAA29E">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10.7</w:t>
            </w:r>
          </w:p>
        </w:tc>
        <w:tc>
          <w:tcPr>
            <w:tcW w:w="647" w:type="pct"/>
            <w:shd w:val="clear" w:color="auto" w:fill="auto"/>
            <w:vAlign w:val="center"/>
          </w:tcPr>
          <w:p w14:paraId="750DA70F">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9.70</w:t>
            </w:r>
          </w:p>
        </w:tc>
        <w:tc>
          <w:tcPr>
            <w:tcW w:w="643" w:type="pct"/>
            <w:shd w:val="clear" w:color="auto" w:fill="auto"/>
            <w:vAlign w:val="center"/>
          </w:tcPr>
          <w:p w14:paraId="08904452">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6.20</w:t>
            </w:r>
          </w:p>
        </w:tc>
        <w:tc>
          <w:tcPr>
            <w:tcW w:w="567" w:type="pct"/>
            <w:vAlign w:val="center"/>
          </w:tcPr>
          <w:p w14:paraId="4393CDFB">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49084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7A6F0707">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77CF1E7F">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214</w:t>
            </w:r>
          </w:p>
        </w:tc>
        <w:tc>
          <w:tcPr>
            <w:tcW w:w="637" w:type="pct"/>
            <w:shd w:val="clear" w:color="auto" w:fill="auto"/>
            <w:vAlign w:val="center"/>
          </w:tcPr>
          <w:p w14:paraId="56D6480A">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201</w:t>
            </w:r>
          </w:p>
        </w:tc>
        <w:tc>
          <w:tcPr>
            <w:tcW w:w="635" w:type="pct"/>
            <w:shd w:val="clear" w:color="auto" w:fill="auto"/>
            <w:vAlign w:val="center"/>
          </w:tcPr>
          <w:p w14:paraId="1CFEF59E">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245</w:t>
            </w:r>
          </w:p>
        </w:tc>
        <w:tc>
          <w:tcPr>
            <w:tcW w:w="647" w:type="pct"/>
            <w:shd w:val="clear" w:color="auto" w:fill="auto"/>
            <w:vAlign w:val="center"/>
          </w:tcPr>
          <w:p w14:paraId="4A1200B1">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221</w:t>
            </w:r>
          </w:p>
        </w:tc>
        <w:tc>
          <w:tcPr>
            <w:tcW w:w="643" w:type="pct"/>
            <w:shd w:val="clear" w:color="auto" w:fill="auto"/>
            <w:vAlign w:val="center"/>
          </w:tcPr>
          <w:p w14:paraId="5EB28317">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163</w:t>
            </w:r>
          </w:p>
        </w:tc>
        <w:tc>
          <w:tcPr>
            <w:tcW w:w="567" w:type="pct"/>
            <w:vAlign w:val="center"/>
          </w:tcPr>
          <w:p w14:paraId="471BD6E3">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5A8EC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78F049A9">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68C6B2FB">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5L</w:t>
            </w:r>
          </w:p>
        </w:tc>
        <w:tc>
          <w:tcPr>
            <w:tcW w:w="637" w:type="pct"/>
            <w:shd w:val="clear" w:color="auto" w:fill="auto"/>
            <w:vAlign w:val="center"/>
          </w:tcPr>
          <w:p w14:paraId="3F8AE021">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5L</w:t>
            </w:r>
          </w:p>
        </w:tc>
        <w:tc>
          <w:tcPr>
            <w:tcW w:w="635" w:type="pct"/>
            <w:shd w:val="clear" w:color="auto" w:fill="auto"/>
            <w:vAlign w:val="center"/>
          </w:tcPr>
          <w:p w14:paraId="3B510FBE">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5L</w:t>
            </w:r>
          </w:p>
        </w:tc>
        <w:tc>
          <w:tcPr>
            <w:tcW w:w="647" w:type="pct"/>
            <w:shd w:val="clear" w:color="auto" w:fill="auto"/>
            <w:vAlign w:val="center"/>
          </w:tcPr>
          <w:p w14:paraId="28633D53">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5L</w:t>
            </w:r>
          </w:p>
        </w:tc>
        <w:tc>
          <w:tcPr>
            <w:tcW w:w="643" w:type="pct"/>
            <w:shd w:val="clear" w:color="auto" w:fill="auto"/>
            <w:vAlign w:val="center"/>
          </w:tcPr>
          <w:p w14:paraId="15343C7F">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5L</w:t>
            </w:r>
          </w:p>
        </w:tc>
        <w:tc>
          <w:tcPr>
            <w:tcW w:w="567" w:type="pct"/>
            <w:vAlign w:val="center"/>
          </w:tcPr>
          <w:p w14:paraId="3F7CD344">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2FE9F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2CAC9BD5">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6D3C2CF5">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48.5</w:t>
            </w:r>
          </w:p>
        </w:tc>
        <w:tc>
          <w:tcPr>
            <w:tcW w:w="637" w:type="pct"/>
            <w:shd w:val="clear" w:color="auto" w:fill="auto"/>
            <w:vAlign w:val="center"/>
          </w:tcPr>
          <w:p w14:paraId="05A67E90">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41.3</w:t>
            </w:r>
          </w:p>
        </w:tc>
        <w:tc>
          <w:tcPr>
            <w:tcW w:w="635" w:type="pct"/>
            <w:shd w:val="clear" w:color="auto" w:fill="auto"/>
            <w:vAlign w:val="center"/>
          </w:tcPr>
          <w:p w14:paraId="55387B82">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51.1</w:t>
            </w:r>
          </w:p>
        </w:tc>
        <w:tc>
          <w:tcPr>
            <w:tcW w:w="647" w:type="pct"/>
            <w:shd w:val="clear" w:color="auto" w:fill="auto"/>
            <w:vAlign w:val="center"/>
          </w:tcPr>
          <w:p w14:paraId="3BC0A371">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47.2</w:t>
            </w:r>
          </w:p>
        </w:tc>
        <w:tc>
          <w:tcPr>
            <w:tcW w:w="643" w:type="pct"/>
            <w:shd w:val="clear" w:color="auto" w:fill="auto"/>
            <w:vAlign w:val="center"/>
          </w:tcPr>
          <w:p w14:paraId="33D67BB2">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36.5</w:t>
            </w:r>
          </w:p>
        </w:tc>
        <w:tc>
          <w:tcPr>
            <w:tcW w:w="567" w:type="pct"/>
            <w:vAlign w:val="center"/>
          </w:tcPr>
          <w:p w14:paraId="420FD64B">
            <w:pPr>
              <w:spacing w:line="32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14:paraId="15DBF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262EF6A4">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BB65642">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36.7</w:t>
            </w:r>
          </w:p>
        </w:tc>
        <w:tc>
          <w:tcPr>
            <w:tcW w:w="637" w:type="pct"/>
            <w:shd w:val="clear" w:color="auto" w:fill="auto"/>
            <w:vAlign w:val="center"/>
          </w:tcPr>
          <w:p w14:paraId="260BEE0B">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39.5</w:t>
            </w:r>
          </w:p>
        </w:tc>
        <w:tc>
          <w:tcPr>
            <w:tcW w:w="635" w:type="pct"/>
            <w:shd w:val="clear" w:color="auto" w:fill="auto"/>
            <w:vAlign w:val="center"/>
          </w:tcPr>
          <w:p w14:paraId="2E14A607">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46.2</w:t>
            </w:r>
          </w:p>
        </w:tc>
        <w:tc>
          <w:tcPr>
            <w:tcW w:w="647" w:type="pct"/>
            <w:shd w:val="clear" w:color="auto" w:fill="auto"/>
            <w:vAlign w:val="center"/>
          </w:tcPr>
          <w:p w14:paraId="2841CD7A">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35.5</w:t>
            </w:r>
          </w:p>
        </w:tc>
        <w:tc>
          <w:tcPr>
            <w:tcW w:w="643" w:type="pct"/>
            <w:shd w:val="clear" w:color="auto" w:fill="auto"/>
            <w:vAlign w:val="center"/>
          </w:tcPr>
          <w:p w14:paraId="6A712A86">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i w:val="0"/>
                <w:iCs w:val="0"/>
                <w:color w:val="auto"/>
                <w:w w:val="99"/>
                <w:kern w:val="0"/>
                <w:sz w:val="21"/>
                <w:szCs w:val="21"/>
                <w:highlight w:val="none"/>
                <w:u w:val="none"/>
                <w:lang w:val="en-US" w:eastAsia="zh-CN" w:bidi="ar"/>
              </w:rPr>
              <w:t>24.7</w:t>
            </w:r>
          </w:p>
        </w:tc>
        <w:tc>
          <w:tcPr>
            <w:tcW w:w="567" w:type="pct"/>
            <w:vAlign w:val="center"/>
          </w:tcPr>
          <w:p w14:paraId="2EC7DF13">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14:paraId="09853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25F8295C">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r>
              <w:rPr>
                <w:rFonts w:ascii="Times New Roman" w:hAnsi="Times New Roman" w:cs="Times New Roman" w:eastAsiaTheme="minorEastAsia"/>
                <w:color w:val="auto"/>
                <w:w w:val="99"/>
                <w:sz w:val="21"/>
                <w:szCs w:val="21"/>
                <w:highlight w:val="none"/>
                <w:lang w:val="zh-CN"/>
              </w:rPr>
              <w:t>（无量纲）</w:t>
            </w:r>
          </w:p>
        </w:tc>
        <w:tc>
          <w:tcPr>
            <w:tcW w:w="635" w:type="pct"/>
            <w:shd w:val="clear" w:color="auto" w:fill="auto"/>
            <w:vAlign w:val="center"/>
          </w:tcPr>
          <w:p w14:paraId="26EFB9D3">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7.7</w:t>
            </w:r>
          </w:p>
        </w:tc>
        <w:tc>
          <w:tcPr>
            <w:tcW w:w="637" w:type="pct"/>
            <w:shd w:val="clear" w:color="auto" w:fill="auto"/>
            <w:vAlign w:val="center"/>
          </w:tcPr>
          <w:p w14:paraId="7EDD82BB">
            <w:pPr>
              <w:widowControl/>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7.8</w:t>
            </w:r>
          </w:p>
        </w:tc>
        <w:tc>
          <w:tcPr>
            <w:tcW w:w="635" w:type="pct"/>
            <w:shd w:val="clear" w:color="auto" w:fill="auto"/>
            <w:vAlign w:val="center"/>
          </w:tcPr>
          <w:p w14:paraId="11FD21BD">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7.6</w:t>
            </w:r>
          </w:p>
        </w:tc>
        <w:tc>
          <w:tcPr>
            <w:tcW w:w="647" w:type="pct"/>
            <w:shd w:val="clear" w:color="auto" w:fill="auto"/>
            <w:vAlign w:val="center"/>
          </w:tcPr>
          <w:p w14:paraId="36B5CC8E">
            <w:pPr>
              <w:widowControl/>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7.7</w:t>
            </w:r>
          </w:p>
        </w:tc>
        <w:tc>
          <w:tcPr>
            <w:tcW w:w="643" w:type="pct"/>
            <w:shd w:val="clear" w:color="auto" w:fill="auto"/>
            <w:vAlign w:val="center"/>
          </w:tcPr>
          <w:p w14:paraId="7B0589CC">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7.5</w:t>
            </w:r>
          </w:p>
        </w:tc>
        <w:tc>
          <w:tcPr>
            <w:tcW w:w="567" w:type="pct"/>
            <w:vAlign w:val="center"/>
          </w:tcPr>
          <w:p w14:paraId="216AC2DC">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6.5～8.5</w:t>
            </w:r>
          </w:p>
        </w:tc>
      </w:tr>
      <w:tr w14:paraId="40302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2071BD1C">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6FC2B931">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155</w:t>
            </w:r>
          </w:p>
        </w:tc>
        <w:tc>
          <w:tcPr>
            <w:tcW w:w="637" w:type="pct"/>
            <w:shd w:val="clear" w:color="auto" w:fill="auto"/>
            <w:vAlign w:val="center"/>
          </w:tcPr>
          <w:p w14:paraId="152FEEE9">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139</w:t>
            </w:r>
          </w:p>
        </w:tc>
        <w:tc>
          <w:tcPr>
            <w:tcW w:w="635" w:type="pct"/>
            <w:shd w:val="clear" w:color="auto" w:fill="auto"/>
            <w:vAlign w:val="center"/>
          </w:tcPr>
          <w:p w14:paraId="4E7A5403">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175</w:t>
            </w:r>
          </w:p>
        </w:tc>
        <w:tc>
          <w:tcPr>
            <w:tcW w:w="647" w:type="pct"/>
            <w:shd w:val="clear" w:color="auto" w:fill="auto"/>
            <w:vAlign w:val="center"/>
          </w:tcPr>
          <w:p w14:paraId="19BD9EFB">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161</w:t>
            </w:r>
          </w:p>
        </w:tc>
        <w:tc>
          <w:tcPr>
            <w:tcW w:w="643" w:type="pct"/>
            <w:shd w:val="clear" w:color="auto" w:fill="auto"/>
            <w:vAlign w:val="center"/>
          </w:tcPr>
          <w:p w14:paraId="04312A45">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112</w:t>
            </w:r>
          </w:p>
        </w:tc>
        <w:tc>
          <w:tcPr>
            <w:tcW w:w="567" w:type="pct"/>
            <w:vAlign w:val="center"/>
          </w:tcPr>
          <w:p w14:paraId="767F2948">
            <w:pPr>
              <w:widowControl w:val="0"/>
              <w:adjustRightInd w:val="0"/>
              <w:spacing w:line="320" w:lineRule="exact"/>
              <w:jc w:val="center"/>
              <w:textAlignment w:val="baseline"/>
              <w:rPr>
                <w:rFonts w:ascii="Times New Roman" w:hAnsi="Times New Roman" w:cs="Times New Roman" w:eastAsiaTheme="minorEastAsia"/>
                <w:color w:val="auto"/>
                <w:w w:val="99"/>
                <w:kern w:val="21"/>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≤450</w:t>
            </w:r>
          </w:p>
        </w:tc>
      </w:tr>
      <w:tr w14:paraId="7957F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3C78DA32">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216F1F7">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488</w:t>
            </w:r>
          </w:p>
        </w:tc>
        <w:tc>
          <w:tcPr>
            <w:tcW w:w="637" w:type="pct"/>
            <w:shd w:val="clear" w:color="auto" w:fill="auto"/>
            <w:vAlign w:val="center"/>
          </w:tcPr>
          <w:p w14:paraId="66216614">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462</w:t>
            </w:r>
          </w:p>
        </w:tc>
        <w:tc>
          <w:tcPr>
            <w:tcW w:w="635" w:type="pct"/>
            <w:shd w:val="clear" w:color="auto" w:fill="auto"/>
            <w:vAlign w:val="center"/>
          </w:tcPr>
          <w:p w14:paraId="6EE71547">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558</w:t>
            </w:r>
          </w:p>
        </w:tc>
        <w:tc>
          <w:tcPr>
            <w:tcW w:w="647" w:type="pct"/>
            <w:shd w:val="clear" w:color="auto" w:fill="auto"/>
            <w:vAlign w:val="center"/>
          </w:tcPr>
          <w:p w14:paraId="77D8F0CE">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503</w:t>
            </w:r>
          </w:p>
        </w:tc>
        <w:tc>
          <w:tcPr>
            <w:tcW w:w="643" w:type="pct"/>
            <w:shd w:val="clear" w:color="auto" w:fill="auto"/>
            <w:vAlign w:val="center"/>
          </w:tcPr>
          <w:p w14:paraId="3BA674C7">
            <w:pPr>
              <w:keepNext w:val="0"/>
              <w:keepLines w:val="0"/>
              <w:widowControl/>
              <w:suppressLineNumbers w:val="0"/>
              <w:jc w:val="center"/>
              <w:textAlignment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364</w:t>
            </w:r>
          </w:p>
        </w:tc>
        <w:tc>
          <w:tcPr>
            <w:tcW w:w="567" w:type="pct"/>
            <w:vAlign w:val="center"/>
          </w:tcPr>
          <w:p w14:paraId="3594D75F">
            <w:pPr>
              <w:spacing w:line="32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≤1000</w:t>
            </w:r>
          </w:p>
        </w:tc>
      </w:tr>
      <w:tr w14:paraId="303DB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3A19935D">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765DCFF8">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2.2</w:t>
            </w:r>
          </w:p>
        </w:tc>
        <w:tc>
          <w:tcPr>
            <w:tcW w:w="637" w:type="pct"/>
            <w:shd w:val="clear" w:color="auto" w:fill="auto"/>
            <w:vAlign w:val="center"/>
          </w:tcPr>
          <w:p w14:paraId="108F82A2">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2.1</w:t>
            </w:r>
          </w:p>
        </w:tc>
        <w:tc>
          <w:tcPr>
            <w:tcW w:w="635" w:type="pct"/>
            <w:shd w:val="clear" w:color="auto" w:fill="auto"/>
            <w:vAlign w:val="center"/>
          </w:tcPr>
          <w:p w14:paraId="456C09DF">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1.9</w:t>
            </w:r>
          </w:p>
        </w:tc>
        <w:tc>
          <w:tcPr>
            <w:tcW w:w="647" w:type="pct"/>
            <w:shd w:val="clear" w:color="auto" w:fill="auto"/>
            <w:vAlign w:val="center"/>
          </w:tcPr>
          <w:p w14:paraId="0F9DA09F">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2.0</w:t>
            </w:r>
          </w:p>
        </w:tc>
        <w:tc>
          <w:tcPr>
            <w:tcW w:w="643" w:type="pct"/>
            <w:shd w:val="clear" w:color="auto" w:fill="auto"/>
            <w:vAlign w:val="center"/>
          </w:tcPr>
          <w:p w14:paraId="2B4C096C">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1.6</w:t>
            </w:r>
          </w:p>
        </w:tc>
        <w:tc>
          <w:tcPr>
            <w:tcW w:w="567" w:type="pct"/>
            <w:vAlign w:val="center"/>
          </w:tcPr>
          <w:p w14:paraId="03AA3D0B">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≤3.0</w:t>
            </w:r>
          </w:p>
        </w:tc>
      </w:tr>
      <w:tr w14:paraId="569DB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2A74728B">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挥发性酚类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731FB0E2">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0.0003L</w:t>
            </w:r>
          </w:p>
        </w:tc>
        <w:tc>
          <w:tcPr>
            <w:tcW w:w="637" w:type="pct"/>
            <w:shd w:val="clear" w:color="auto" w:fill="auto"/>
            <w:vAlign w:val="center"/>
          </w:tcPr>
          <w:p w14:paraId="3CD2D4FD">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0.0003L</w:t>
            </w:r>
          </w:p>
        </w:tc>
        <w:tc>
          <w:tcPr>
            <w:tcW w:w="635" w:type="pct"/>
            <w:shd w:val="clear" w:color="auto" w:fill="auto"/>
            <w:vAlign w:val="center"/>
          </w:tcPr>
          <w:p w14:paraId="5E699DF9">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0.0003L</w:t>
            </w:r>
          </w:p>
        </w:tc>
        <w:tc>
          <w:tcPr>
            <w:tcW w:w="647" w:type="pct"/>
            <w:shd w:val="clear" w:color="auto" w:fill="auto"/>
            <w:vAlign w:val="center"/>
          </w:tcPr>
          <w:p w14:paraId="0A754D5B">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0.0003L</w:t>
            </w:r>
          </w:p>
        </w:tc>
        <w:tc>
          <w:tcPr>
            <w:tcW w:w="643" w:type="pct"/>
            <w:shd w:val="clear" w:color="auto" w:fill="auto"/>
            <w:vAlign w:val="center"/>
          </w:tcPr>
          <w:p w14:paraId="59836E67">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0.0003L</w:t>
            </w:r>
          </w:p>
        </w:tc>
        <w:tc>
          <w:tcPr>
            <w:tcW w:w="567" w:type="pct"/>
            <w:vAlign w:val="center"/>
          </w:tcPr>
          <w:p w14:paraId="6D50824E">
            <w:pPr>
              <w:widowControl w:val="0"/>
              <w:adjustRightInd w:val="0"/>
              <w:spacing w:line="320" w:lineRule="exact"/>
              <w:jc w:val="center"/>
              <w:textAlignment w:val="baseline"/>
              <w:rPr>
                <w:rFonts w:ascii="Times New Roman" w:hAnsi="Times New Roman" w:cs="Times New Roman" w:eastAsiaTheme="minorEastAsia"/>
                <w:color w:val="auto"/>
                <w:w w:val="99"/>
                <w:kern w:val="21"/>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≤0.002</w:t>
            </w:r>
          </w:p>
        </w:tc>
      </w:tr>
      <w:tr w14:paraId="2F6BE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5F08867C">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2720FDF7">
            <w:pPr>
              <w:widowControl/>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0.004L</w:t>
            </w:r>
          </w:p>
        </w:tc>
        <w:tc>
          <w:tcPr>
            <w:tcW w:w="637" w:type="pct"/>
            <w:shd w:val="clear" w:color="auto" w:fill="auto"/>
            <w:vAlign w:val="center"/>
          </w:tcPr>
          <w:p w14:paraId="411B05AA">
            <w:pPr>
              <w:widowControl/>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0.004L</w:t>
            </w:r>
          </w:p>
        </w:tc>
        <w:tc>
          <w:tcPr>
            <w:tcW w:w="635" w:type="pct"/>
            <w:shd w:val="clear" w:color="auto" w:fill="auto"/>
            <w:vAlign w:val="center"/>
          </w:tcPr>
          <w:p w14:paraId="71DB404E">
            <w:pPr>
              <w:widowControl/>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0.004L</w:t>
            </w:r>
          </w:p>
        </w:tc>
        <w:tc>
          <w:tcPr>
            <w:tcW w:w="647" w:type="pct"/>
            <w:shd w:val="clear" w:color="auto" w:fill="auto"/>
            <w:vAlign w:val="center"/>
          </w:tcPr>
          <w:p w14:paraId="3AC85CA9">
            <w:pPr>
              <w:widowControl/>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0.004L</w:t>
            </w:r>
          </w:p>
        </w:tc>
        <w:tc>
          <w:tcPr>
            <w:tcW w:w="643" w:type="pct"/>
            <w:shd w:val="clear" w:color="auto" w:fill="auto"/>
            <w:vAlign w:val="center"/>
          </w:tcPr>
          <w:p w14:paraId="5B050693">
            <w:pPr>
              <w:widowControl/>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0.004L</w:t>
            </w:r>
          </w:p>
        </w:tc>
        <w:tc>
          <w:tcPr>
            <w:tcW w:w="567" w:type="pct"/>
            <w:vAlign w:val="center"/>
          </w:tcPr>
          <w:p w14:paraId="7E8ED88F">
            <w:pPr>
              <w:widowControl w:val="0"/>
              <w:adjustRightInd w:val="0"/>
              <w:spacing w:line="320" w:lineRule="exact"/>
              <w:jc w:val="center"/>
              <w:textAlignment w:val="baseline"/>
              <w:rPr>
                <w:rFonts w:ascii="Times New Roman" w:hAnsi="Times New Roman" w:cs="Times New Roman" w:eastAsiaTheme="minorEastAsia"/>
                <w:color w:val="auto"/>
                <w:w w:val="99"/>
                <w:kern w:val="21"/>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≤0.05</w:t>
            </w:r>
          </w:p>
        </w:tc>
      </w:tr>
      <w:tr w14:paraId="70DE0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71DA62E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2865573A">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505</w:t>
            </w:r>
          </w:p>
        </w:tc>
        <w:tc>
          <w:tcPr>
            <w:tcW w:w="637" w:type="pct"/>
            <w:shd w:val="clear" w:color="auto" w:fill="auto"/>
            <w:vAlign w:val="center"/>
          </w:tcPr>
          <w:p w14:paraId="4ED1E5CB">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.466</w:t>
            </w:r>
          </w:p>
        </w:tc>
        <w:tc>
          <w:tcPr>
            <w:tcW w:w="635" w:type="pct"/>
            <w:shd w:val="clear" w:color="auto" w:fill="auto"/>
            <w:vAlign w:val="center"/>
          </w:tcPr>
          <w:p w14:paraId="11028946">
            <w:pPr>
              <w:adjustRightInd w:val="0"/>
              <w:snapToGrid w:val="0"/>
              <w:spacing w:line="280" w:lineRule="exact"/>
              <w:jc w:val="center"/>
              <w:rPr>
                <w:rFonts w:hint="eastAsia" w:ascii="Times New Roman" w:hAnsi="Times New Roman" w:eastAsia="宋体" w:cs="Times New Roman"/>
                <w:snapToGrid w:val="0"/>
                <w:color w:val="auto"/>
                <w:w w:val="99"/>
                <w:kern w:val="2"/>
                <w:sz w:val="21"/>
                <w:szCs w:val="21"/>
                <w:highlight w:val="none"/>
                <w:lang w:val="en-US" w:eastAsia="zh-CN" w:bidi="ar-SA"/>
              </w:rPr>
            </w:pPr>
            <w:r>
              <w:rPr>
                <w:rFonts w:hint="eastAsia" w:ascii="Times New Roman" w:hAnsi="Times New Roman" w:cs="Times New Roman"/>
                <w:color w:val="auto"/>
                <w:w w:val="99"/>
                <w:sz w:val="21"/>
                <w:szCs w:val="21"/>
                <w:highlight w:val="none"/>
                <w:lang w:eastAsia="zh-CN"/>
              </w:rPr>
              <w:t>0.2676</w:t>
            </w:r>
          </w:p>
        </w:tc>
        <w:tc>
          <w:tcPr>
            <w:tcW w:w="647" w:type="pct"/>
            <w:shd w:val="clear" w:color="auto" w:fill="auto"/>
            <w:vAlign w:val="center"/>
          </w:tcPr>
          <w:p w14:paraId="3355521E">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.524</w:t>
            </w:r>
          </w:p>
        </w:tc>
        <w:tc>
          <w:tcPr>
            <w:tcW w:w="643" w:type="pct"/>
            <w:shd w:val="clear" w:color="auto" w:fill="auto"/>
            <w:vAlign w:val="center"/>
          </w:tcPr>
          <w:p w14:paraId="53EEE93B">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138</w:t>
            </w:r>
          </w:p>
        </w:tc>
        <w:tc>
          <w:tcPr>
            <w:tcW w:w="567" w:type="pct"/>
            <w:vAlign w:val="center"/>
          </w:tcPr>
          <w:p w14:paraId="073065DF">
            <w:pPr>
              <w:widowControl w:val="0"/>
              <w:adjustRightInd w:val="0"/>
              <w:spacing w:line="320" w:lineRule="exact"/>
              <w:jc w:val="center"/>
              <w:textAlignment w:val="baseline"/>
              <w:rPr>
                <w:rFonts w:ascii="Times New Roman" w:hAnsi="Times New Roman" w:cs="Times New Roman" w:eastAsiaTheme="minorEastAsia"/>
                <w:color w:val="auto"/>
                <w:w w:val="99"/>
                <w:kern w:val="21"/>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≤1.0</w:t>
            </w:r>
          </w:p>
        </w:tc>
      </w:tr>
      <w:tr w14:paraId="00258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7624DFF0">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2B3F9902">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rPr>
              <w:t>2.17</w:t>
            </w:r>
          </w:p>
        </w:tc>
        <w:tc>
          <w:tcPr>
            <w:tcW w:w="637" w:type="pct"/>
            <w:shd w:val="clear" w:color="auto" w:fill="auto"/>
            <w:vAlign w:val="center"/>
          </w:tcPr>
          <w:p w14:paraId="58C62718">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rPr>
              <w:t>1.96</w:t>
            </w:r>
          </w:p>
        </w:tc>
        <w:tc>
          <w:tcPr>
            <w:tcW w:w="635" w:type="pct"/>
            <w:shd w:val="clear" w:color="auto" w:fill="auto"/>
            <w:vAlign w:val="center"/>
          </w:tcPr>
          <w:p w14:paraId="54E4B3FA">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rPr>
              <w:t>1.85</w:t>
            </w:r>
          </w:p>
        </w:tc>
        <w:tc>
          <w:tcPr>
            <w:tcW w:w="647" w:type="pct"/>
            <w:shd w:val="clear" w:color="auto" w:fill="auto"/>
            <w:vAlign w:val="center"/>
          </w:tcPr>
          <w:p w14:paraId="20E9DC6D">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rPr>
              <w:t>2.07</w:t>
            </w:r>
          </w:p>
        </w:tc>
        <w:tc>
          <w:tcPr>
            <w:tcW w:w="643" w:type="pct"/>
            <w:shd w:val="clear" w:color="auto" w:fill="auto"/>
            <w:vAlign w:val="center"/>
          </w:tcPr>
          <w:p w14:paraId="58002322">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rPr>
              <w:t>1.25</w:t>
            </w:r>
          </w:p>
        </w:tc>
        <w:tc>
          <w:tcPr>
            <w:tcW w:w="567" w:type="pct"/>
            <w:vAlign w:val="center"/>
          </w:tcPr>
          <w:p w14:paraId="398B81DE">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≤20</w:t>
            </w:r>
          </w:p>
        </w:tc>
      </w:tr>
      <w:tr w14:paraId="2B205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559250DD">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20F1E42">
            <w:pPr>
              <w:widowControl/>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0.003L</w:t>
            </w:r>
          </w:p>
        </w:tc>
        <w:tc>
          <w:tcPr>
            <w:tcW w:w="637" w:type="pct"/>
            <w:shd w:val="clear" w:color="auto" w:fill="auto"/>
            <w:vAlign w:val="center"/>
          </w:tcPr>
          <w:p w14:paraId="27FF7ECB">
            <w:pPr>
              <w:widowControl/>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0.003L</w:t>
            </w:r>
          </w:p>
        </w:tc>
        <w:tc>
          <w:tcPr>
            <w:tcW w:w="635" w:type="pct"/>
            <w:shd w:val="clear" w:color="auto" w:fill="auto"/>
            <w:vAlign w:val="center"/>
          </w:tcPr>
          <w:p w14:paraId="646CE3C1">
            <w:pPr>
              <w:widowControl/>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0.003L</w:t>
            </w:r>
          </w:p>
        </w:tc>
        <w:tc>
          <w:tcPr>
            <w:tcW w:w="647" w:type="pct"/>
            <w:shd w:val="clear" w:color="auto" w:fill="auto"/>
            <w:vAlign w:val="center"/>
          </w:tcPr>
          <w:p w14:paraId="3FF59341">
            <w:pPr>
              <w:widowControl/>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0.003L</w:t>
            </w:r>
          </w:p>
        </w:tc>
        <w:tc>
          <w:tcPr>
            <w:tcW w:w="643" w:type="pct"/>
            <w:shd w:val="clear" w:color="auto" w:fill="auto"/>
            <w:vAlign w:val="center"/>
          </w:tcPr>
          <w:p w14:paraId="05ED0AEF">
            <w:pPr>
              <w:widowControl/>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0.003L</w:t>
            </w:r>
          </w:p>
        </w:tc>
        <w:tc>
          <w:tcPr>
            <w:tcW w:w="567" w:type="pct"/>
            <w:vAlign w:val="center"/>
          </w:tcPr>
          <w:p w14:paraId="1211B873">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r>
      <w:tr w14:paraId="7E870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296CB477">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2BB417F4">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231</w:t>
            </w:r>
          </w:p>
        </w:tc>
        <w:tc>
          <w:tcPr>
            <w:tcW w:w="637" w:type="pct"/>
            <w:shd w:val="clear" w:color="auto" w:fill="auto"/>
            <w:vAlign w:val="center"/>
          </w:tcPr>
          <w:p w14:paraId="5CEC7537">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207</w:t>
            </w:r>
          </w:p>
        </w:tc>
        <w:tc>
          <w:tcPr>
            <w:tcW w:w="635" w:type="pct"/>
            <w:shd w:val="clear" w:color="auto" w:fill="auto"/>
            <w:vAlign w:val="center"/>
          </w:tcPr>
          <w:p w14:paraId="5E262A4E">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197</w:t>
            </w:r>
          </w:p>
        </w:tc>
        <w:tc>
          <w:tcPr>
            <w:tcW w:w="647" w:type="pct"/>
            <w:shd w:val="clear" w:color="auto" w:fill="auto"/>
            <w:vAlign w:val="center"/>
          </w:tcPr>
          <w:p w14:paraId="70808027">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234</w:t>
            </w:r>
          </w:p>
        </w:tc>
        <w:tc>
          <w:tcPr>
            <w:tcW w:w="643" w:type="pct"/>
            <w:shd w:val="clear" w:color="auto" w:fill="auto"/>
            <w:vAlign w:val="center"/>
          </w:tcPr>
          <w:p w14:paraId="177A5A9E">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119</w:t>
            </w:r>
          </w:p>
        </w:tc>
        <w:tc>
          <w:tcPr>
            <w:tcW w:w="567" w:type="pct"/>
            <w:vAlign w:val="center"/>
          </w:tcPr>
          <w:p w14:paraId="0873D333">
            <w:pPr>
              <w:spacing w:line="32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≤0.5</w:t>
            </w:r>
          </w:p>
        </w:tc>
      </w:tr>
      <w:tr w14:paraId="4013C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54F4EEA0">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77BCEC19">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0.004L</w:t>
            </w:r>
          </w:p>
        </w:tc>
        <w:tc>
          <w:tcPr>
            <w:tcW w:w="637" w:type="pct"/>
            <w:shd w:val="clear" w:color="auto" w:fill="auto"/>
            <w:vAlign w:val="center"/>
          </w:tcPr>
          <w:p w14:paraId="20C7FF01">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0.004L</w:t>
            </w:r>
          </w:p>
        </w:tc>
        <w:tc>
          <w:tcPr>
            <w:tcW w:w="635" w:type="pct"/>
            <w:shd w:val="clear" w:color="auto" w:fill="auto"/>
            <w:vAlign w:val="center"/>
          </w:tcPr>
          <w:p w14:paraId="40A3BCB8">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0.004L</w:t>
            </w:r>
          </w:p>
        </w:tc>
        <w:tc>
          <w:tcPr>
            <w:tcW w:w="647" w:type="pct"/>
            <w:shd w:val="clear" w:color="auto" w:fill="auto"/>
            <w:vAlign w:val="center"/>
          </w:tcPr>
          <w:p w14:paraId="663B5B43">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0.004L</w:t>
            </w:r>
          </w:p>
        </w:tc>
        <w:tc>
          <w:tcPr>
            <w:tcW w:w="643" w:type="pct"/>
            <w:shd w:val="clear" w:color="auto" w:fill="auto"/>
            <w:vAlign w:val="center"/>
          </w:tcPr>
          <w:p w14:paraId="49DF10C4">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0.004L</w:t>
            </w:r>
          </w:p>
        </w:tc>
        <w:tc>
          <w:tcPr>
            <w:tcW w:w="567" w:type="pct"/>
            <w:vAlign w:val="center"/>
          </w:tcPr>
          <w:p w14:paraId="4D4E3CB1">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≤0.05</w:t>
            </w:r>
          </w:p>
        </w:tc>
      </w:tr>
      <w:tr w14:paraId="5A98E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2D79BFED">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00B0048A">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0.0003L</w:t>
            </w:r>
          </w:p>
        </w:tc>
        <w:tc>
          <w:tcPr>
            <w:tcW w:w="637" w:type="pct"/>
            <w:shd w:val="clear" w:color="auto" w:fill="auto"/>
            <w:vAlign w:val="center"/>
          </w:tcPr>
          <w:p w14:paraId="32E44388">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0.0003L</w:t>
            </w:r>
          </w:p>
        </w:tc>
        <w:tc>
          <w:tcPr>
            <w:tcW w:w="635" w:type="pct"/>
            <w:shd w:val="clear" w:color="auto" w:fill="auto"/>
            <w:vAlign w:val="center"/>
          </w:tcPr>
          <w:p w14:paraId="00A3E694">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0.0003L</w:t>
            </w:r>
          </w:p>
        </w:tc>
        <w:tc>
          <w:tcPr>
            <w:tcW w:w="647" w:type="pct"/>
            <w:shd w:val="clear" w:color="auto" w:fill="auto"/>
            <w:vAlign w:val="center"/>
          </w:tcPr>
          <w:p w14:paraId="60FFE47B">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0.0003L</w:t>
            </w:r>
          </w:p>
        </w:tc>
        <w:tc>
          <w:tcPr>
            <w:tcW w:w="643" w:type="pct"/>
            <w:shd w:val="clear" w:color="auto" w:fill="auto"/>
            <w:vAlign w:val="center"/>
          </w:tcPr>
          <w:p w14:paraId="41651EC8">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0.0003L</w:t>
            </w:r>
          </w:p>
        </w:tc>
        <w:tc>
          <w:tcPr>
            <w:tcW w:w="567" w:type="pct"/>
            <w:vAlign w:val="center"/>
          </w:tcPr>
          <w:p w14:paraId="36C3BB4F">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≤0.01</w:t>
            </w:r>
          </w:p>
        </w:tc>
      </w:tr>
      <w:tr w14:paraId="55B92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4B1D9E5A">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E38880F">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w:t>
            </w:r>
            <w:r>
              <w:rPr>
                <w:rFonts w:hint="default" w:ascii="Times New Roman" w:hAnsi="Times New Roman" w:eastAsia="宋体" w:cs="Times New Roman"/>
                <w:color w:val="auto"/>
                <w:w w:val="99"/>
                <w:kern w:val="0"/>
                <w:sz w:val="21"/>
                <w:szCs w:val="21"/>
                <w:highlight w:val="none"/>
                <w:lang w:val="en-US" w:eastAsia="zh-CN"/>
              </w:rPr>
              <w:t>1</w:t>
            </w:r>
            <w:r>
              <w:rPr>
                <w:rFonts w:hint="default" w:ascii="Times New Roman" w:hAnsi="Times New Roman" w:eastAsia="宋体" w:cs="Times New Roman"/>
                <w:bCs/>
                <w:color w:val="auto"/>
                <w:w w:val="99"/>
                <w:sz w:val="21"/>
                <w:szCs w:val="21"/>
                <w:highlight w:val="none"/>
              </w:rPr>
              <w:t>L</w:t>
            </w:r>
          </w:p>
        </w:tc>
        <w:tc>
          <w:tcPr>
            <w:tcW w:w="637" w:type="pct"/>
            <w:shd w:val="clear" w:color="auto" w:fill="auto"/>
            <w:vAlign w:val="center"/>
          </w:tcPr>
          <w:p w14:paraId="4145E713">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w:t>
            </w:r>
            <w:r>
              <w:rPr>
                <w:rFonts w:hint="default" w:ascii="Times New Roman" w:hAnsi="Times New Roman" w:eastAsia="宋体" w:cs="Times New Roman"/>
                <w:color w:val="auto"/>
                <w:w w:val="99"/>
                <w:kern w:val="0"/>
                <w:sz w:val="21"/>
                <w:szCs w:val="21"/>
                <w:highlight w:val="none"/>
                <w:lang w:val="en-US" w:eastAsia="zh-CN"/>
              </w:rPr>
              <w:t>1</w:t>
            </w:r>
            <w:r>
              <w:rPr>
                <w:rFonts w:hint="default" w:ascii="Times New Roman" w:hAnsi="Times New Roman" w:eastAsia="宋体" w:cs="Times New Roman"/>
                <w:bCs/>
                <w:color w:val="auto"/>
                <w:w w:val="99"/>
                <w:sz w:val="21"/>
                <w:szCs w:val="21"/>
                <w:highlight w:val="none"/>
              </w:rPr>
              <w:t>L</w:t>
            </w:r>
          </w:p>
        </w:tc>
        <w:tc>
          <w:tcPr>
            <w:tcW w:w="635" w:type="pct"/>
            <w:shd w:val="clear" w:color="auto" w:fill="auto"/>
            <w:vAlign w:val="center"/>
          </w:tcPr>
          <w:p w14:paraId="25FEFB7C">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w:t>
            </w:r>
            <w:r>
              <w:rPr>
                <w:rFonts w:hint="default" w:ascii="Times New Roman" w:hAnsi="Times New Roman" w:eastAsia="宋体" w:cs="Times New Roman"/>
                <w:color w:val="auto"/>
                <w:w w:val="99"/>
                <w:kern w:val="0"/>
                <w:sz w:val="21"/>
                <w:szCs w:val="21"/>
                <w:highlight w:val="none"/>
                <w:lang w:val="en-US" w:eastAsia="zh-CN"/>
              </w:rPr>
              <w:t>1</w:t>
            </w:r>
            <w:r>
              <w:rPr>
                <w:rFonts w:hint="default" w:ascii="Times New Roman" w:hAnsi="Times New Roman" w:eastAsia="宋体" w:cs="Times New Roman"/>
                <w:bCs/>
                <w:color w:val="auto"/>
                <w:w w:val="99"/>
                <w:sz w:val="21"/>
                <w:szCs w:val="21"/>
                <w:highlight w:val="none"/>
              </w:rPr>
              <w:t>L</w:t>
            </w:r>
          </w:p>
        </w:tc>
        <w:tc>
          <w:tcPr>
            <w:tcW w:w="647" w:type="pct"/>
            <w:shd w:val="clear" w:color="auto" w:fill="auto"/>
            <w:vAlign w:val="center"/>
          </w:tcPr>
          <w:p w14:paraId="5553296E">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w:t>
            </w:r>
            <w:r>
              <w:rPr>
                <w:rFonts w:hint="default" w:ascii="Times New Roman" w:hAnsi="Times New Roman" w:eastAsia="宋体" w:cs="Times New Roman"/>
                <w:color w:val="auto"/>
                <w:w w:val="99"/>
                <w:kern w:val="0"/>
                <w:sz w:val="21"/>
                <w:szCs w:val="21"/>
                <w:highlight w:val="none"/>
                <w:lang w:val="en-US" w:eastAsia="zh-CN"/>
              </w:rPr>
              <w:t>1</w:t>
            </w:r>
            <w:r>
              <w:rPr>
                <w:rFonts w:hint="default" w:ascii="Times New Roman" w:hAnsi="Times New Roman" w:eastAsia="宋体" w:cs="Times New Roman"/>
                <w:bCs/>
                <w:color w:val="auto"/>
                <w:w w:val="99"/>
                <w:sz w:val="21"/>
                <w:szCs w:val="21"/>
                <w:highlight w:val="none"/>
              </w:rPr>
              <w:t>L</w:t>
            </w:r>
          </w:p>
        </w:tc>
        <w:tc>
          <w:tcPr>
            <w:tcW w:w="643" w:type="pct"/>
            <w:shd w:val="clear" w:color="auto" w:fill="auto"/>
            <w:vAlign w:val="center"/>
          </w:tcPr>
          <w:p w14:paraId="32D961B2">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w:t>
            </w:r>
            <w:r>
              <w:rPr>
                <w:rFonts w:hint="default" w:ascii="Times New Roman" w:hAnsi="Times New Roman" w:eastAsia="宋体" w:cs="Times New Roman"/>
                <w:color w:val="auto"/>
                <w:w w:val="99"/>
                <w:kern w:val="0"/>
                <w:sz w:val="21"/>
                <w:szCs w:val="21"/>
                <w:highlight w:val="none"/>
                <w:lang w:val="en-US" w:eastAsia="zh-CN"/>
              </w:rPr>
              <w:t>1</w:t>
            </w:r>
            <w:r>
              <w:rPr>
                <w:rFonts w:hint="default" w:ascii="Times New Roman" w:hAnsi="Times New Roman" w:eastAsia="宋体" w:cs="Times New Roman"/>
                <w:bCs/>
                <w:color w:val="auto"/>
                <w:w w:val="99"/>
                <w:sz w:val="21"/>
                <w:szCs w:val="21"/>
                <w:highlight w:val="none"/>
              </w:rPr>
              <w:t>L</w:t>
            </w:r>
          </w:p>
        </w:tc>
        <w:tc>
          <w:tcPr>
            <w:tcW w:w="567" w:type="pct"/>
            <w:vAlign w:val="center"/>
          </w:tcPr>
          <w:p w14:paraId="2862D0F5">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≤0.01</w:t>
            </w:r>
          </w:p>
        </w:tc>
      </w:tr>
      <w:tr w14:paraId="105BF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6AE12F6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19C1E3E5">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27</w:t>
            </w:r>
          </w:p>
        </w:tc>
        <w:tc>
          <w:tcPr>
            <w:tcW w:w="637" w:type="pct"/>
            <w:shd w:val="clear" w:color="auto" w:fill="auto"/>
            <w:vAlign w:val="center"/>
          </w:tcPr>
          <w:p w14:paraId="05D4C9B8">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0.2</w:t>
            </w:r>
            <w:r>
              <w:rPr>
                <w:rFonts w:hint="default" w:ascii="Times New Roman" w:hAnsi="Times New Roman" w:eastAsia="宋体" w:cs="Times New Roman"/>
                <w:color w:val="auto"/>
                <w:w w:val="99"/>
                <w:sz w:val="21"/>
                <w:szCs w:val="21"/>
                <w:highlight w:val="none"/>
                <w:lang w:val="en-US" w:eastAsia="zh-CN"/>
              </w:rPr>
              <w:t>8</w:t>
            </w:r>
          </w:p>
        </w:tc>
        <w:tc>
          <w:tcPr>
            <w:tcW w:w="635" w:type="pct"/>
            <w:shd w:val="clear" w:color="auto" w:fill="auto"/>
            <w:vAlign w:val="center"/>
          </w:tcPr>
          <w:p w14:paraId="29AED501">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26</w:t>
            </w:r>
          </w:p>
        </w:tc>
        <w:tc>
          <w:tcPr>
            <w:tcW w:w="647" w:type="pct"/>
            <w:shd w:val="clear" w:color="auto" w:fill="auto"/>
            <w:vAlign w:val="center"/>
          </w:tcPr>
          <w:p w14:paraId="6E0111FF">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0.2</w:t>
            </w:r>
            <w:r>
              <w:rPr>
                <w:rFonts w:hint="default" w:ascii="Times New Roman" w:hAnsi="Times New Roman" w:eastAsia="宋体" w:cs="Times New Roman"/>
                <w:color w:val="auto"/>
                <w:w w:val="99"/>
                <w:sz w:val="21"/>
                <w:szCs w:val="21"/>
                <w:highlight w:val="none"/>
                <w:lang w:val="en-US" w:eastAsia="zh-CN"/>
              </w:rPr>
              <w:t>7</w:t>
            </w:r>
          </w:p>
        </w:tc>
        <w:tc>
          <w:tcPr>
            <w:tcW w:w="643" w:type="pct"/>
            <w:shd w:val="clear" w:color="auto" w:fill="auto"/>
            <w:vAlign w:val="center"/>
          </w:tcPr>
          <w:p w14:paraId="1F30DFBF">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21</w:t>
            </w:r>
          </w:p>
        </w:tc>
        <w:tc>
          <w:tcPr>
            <w:tcW w:w="567" w:type="pct"/>
            <w:vAlign w:val="center"/>
          </w:tcPr>
          <w:p w14:paraId="6865E384">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≤0.3</w:t>
            </w:r>
          </w:p>
        </w:tc>
      </w:tr>
      <w:tr w14:paraId="07280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73F3CE3C">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A44E5E4">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0.00004L</w:t>
            </w:r>
          </w:p>
        </w:tc>
        <w:tc>
          <w:tcPr>
            <w:tcW w:w="637" w:type="pct"/>
            <w:shd w:val="clear" w:color="auto" w:fill="auto"/>
            <w:vAlign w:val="center"/>
          </w:tcPr>
          <w:p w14:paraId="70D8D3C1">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0.00004L</w:t>
            </w:r>
          </w:p>
        </w:tc>
        <w:tc>
          <w:tcPr>
            <w:tcW w:w="635" w:type="pct"/>
            <w:shd w:val="clear" w:color="auto" w:fill="auto"/>
            <w:vAlign w:val="center"/>
          </w:tcPr>
          <w:p w14:paraId="2706E916">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0.00004L</w:t>
            </w:r>
          </w:p>
        </w:tc>
        <w:tc>
          <w:tcPr>
            <w:tcW w:w="647" w:type="pct"/>
            <w:shd w:val="clear" w:color="auto" w:fill="auto"/>
            <w:vAlign w:val="center"/>
          </w:tcPr>
          <w:p w14:paraId="66A71BB4">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0.00004L</w:t>
            </w:r>
          </w:p>
        </w:tc>
        <w:tc>
          <w:tcPr>
            <w:tcW w:w="643" w:type="pct"/>
            <w:shd w:val="clear" w:color="auto" w:fill="auto"/>
            <w:vAlign w:val="center"/>
          </w:tcPr>
          <w:p w14:paraId="0F2CFEA9">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rPr>
              <w:t>0.00004L</w:t>
            </w:r>
          </w:p>
        </w:tc>
        <w:tc>
          <w:tcPr>
            <w:tcW w:w="567" w:type="pct"/>
            <w:vAlign w:val="center"/>
          </w:tcPr>
          <w:p w14:paraId="47944B19">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≤0.001</w:t>
            </w:r>
          </w:p>
        </w:tc>
      </w:tr>
      <w:tr w14:paraId="58532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39D7E422">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6BE8BA75">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11</w:t>
            </w:r>
          </w:p>
        </w:tc>
        <w:tc>
          <w:tcPr>
            <w:tcW w:w="637" w:type="pct"/>
            <w:shd w:val="clear" w:color="auto" w:fill="auto"/>
            <w:vAlign w:val="center"/>
          </w:tcPr>
          <w:p w14:paraId="53E3322A">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10</w:t>
            </w:r>
          </w:p>
        </w:tc>
        <w:tc>
          <w:tcPr>
            <w:tcW w:w="635" w:type="pct"/>
            <w:shd w:val="clear" w:color="auto" w:fill="auto"/>
            <w:vAlign w:val="center"/>
          </w:tcPr>
          <w:p w14:paraId="4252A4F1">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09</w:t>
            </w:r>
          </w:p>
        </w:tc>
        <w:tc>
          <w:tcPr>
            <w:tcW w:w="647" w:type="pct"/>
            <w:shd w:val="clear" w:color="auto" w:fill="auto"/>
            <w:vAlign w:val="center"/>
          </w:tcPr>
          <w:p w14:paraId="2555532C">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11</w:t>
            </w:r>
          </w:p>
        </w:tc>
        <w:tc>
          <w:tcPr>
            <w:tcW w:w="643" w:type="pct"/>
            <w:shd w:val="clear" w:color="auto" w:fill="auto"/>
            <w:vAlign w:val="center"/>
          </w:tcPr>
          <w:p w14:paraId="26A77845">
            <w:pPr>
              <w:adjustRightInd w:val="0"/>
              <w:snapToGrid w:val="0"/>
              <w:spacing w:line="280" w:lineRule="exact"/>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w:t>
            </w:r>
            <w:r>
              <w:rPr>
                <w:rFonts w:hint="default" w:ascii="Times New Roman" w:hAnsi="Times New Roman" w:eastAsia="宋体" w:cs="Times New Roman"/>
                <w:color w:val="auto"/>
                <w:w w:val="99"/>
                <w:sz w:val="21"/>
                <w:szCs w:val="21"/>
                <w:highlight w:val="none"/>
                <w:lang w:val="en-US" w:eastAsia="zh-CN"/>
              </w:rPr>
              <w:t>02</w:t>
            </w:r>
          </w:p>
        </w:tc>
        <w:tc>
          <w:tcPr>
            <w:tcW w:w="567" w:type="pct"/>
            <w:vAlign w:val="center"/>
          </w:tcPr>
          <w:p w14:paraId="2276B90B">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≤0.1</w:t>
            </w:r>
          </w:p>
        </w:tc>
      </w:tr>
      <w:tr w14:paraId="3B764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730BA99F">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648DB911">
            <w:pPr>
              <w:pStyle w:val="173"/>
              <w:ind w:left="414" w:leftChars="0" w:hanging="414" w:hangingChars="200"/>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0.000</w:t>
            </w:r>
            <w:r>
              <w:rPr>
                <w:rFonts w:hint="default" w:ascii="Times New Roman" w:hAnsi="Times New Roman" w:eastAsia="宋体" w:cs="Times New Roman"/>
                <w:color w:val="auto"/>
                <w:w w:val="99"/>
                <w:sz w:val="21"/>
                <w:szCs w:val="21"/>
                <w:highlight w:val="none"/>
                <w:lang w:val="en-US" w:eastAsia="zh-CN"/>
              </w:rPr>
              <w:t>1</w:t>
            </w:r>
            <w:r>
              <w:rPr>
                <w:rFonts w:hint="default" w:ascii="Times New Roman" w:hAnsi="Times New Roman" w:eastAsia="宋体" w:cs="Times New Roman"/>
                <w:color w:val="auto"/>
                <w:w w:val="99"/>
                <w:sz w:val="21"/>
                <w:szCs w:val="21"/>
                <w:highlight w:val="none"/>
              </w:rPr>
              <w:t>L</w:t>
            </w:r>
          </w:p>
        </w:tc>
        <w:tc>
          <w:tcPr>
            <w:tcW w:w="637" w:type="pct"/>
            <w:shd w:val="clear" w:color="auto" w:fill="auto"/>
            <w:vAlign w:val="center"/>
          </w:tcPr>
          <w:p w14:paraId="2C52BAAE">
            <w:pPr>
              <w:pStyle w:val="173"/>
              <w:ind w:left="414" w:leftChars="0" w:hanging="414" w:hangingChars="200"/>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0.000</w:t>
            </w:r>
            <w:r>
              <w:rPr>
                <w:rFonts w:hint="default" w:ascii="Times New Roman" w:hAnsi="Times New Roman" w:eastAsia="宋体" w:cs="Times New Roman"/>
                <w:color w:val="auto"/>
                <w:w w:val="99"/>
                <w:sz w:val="21"/>
                <w:szCs w:val="21"/>
                <w:highlight w:val="none"/>
                <w:lang w:val="en-US" w:eastAsia="zh-CN"/>
              </w:rPr>
              <w:t>1</w:t>
            </w:r>
            <w:r>
              <w:rPr>
                <w:rFonts w:hint="default" w:ascii="Times New Roman" w:hAnsi="Times New Roman" w:eastAsia="宋体" w:cs="Times New Roman"/>
                <w:color w:val="auto"/>
                <w:w w:val="99"/>
                <w:sz w:val="21"/>
                <w:szCs w:val="21"/>
                <w:highlight w:val="none"/>
              </w:rPr>
              <w:t>L</w:t>
            </w:r>
          </w:p>
        </w:tc>
        <w:tc>
          <w:tcPr>
            <w:tcW w:w="635" w:type="pct"/>
            <w:shd w:val="clear" w:color="auto" w:fill="auto"/>
            <w:vAlign w:val="center"/>
          </w:tcPr>
          <w:p w14:paraId="10462E0E">
            <w:pPr>
              <w:pStyle w:val="173"/>
              <w:ind w:left="414" w:leftChars="0" w:hanging="414" w:hangingChars="200"/>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0.000</w:t>
            </w:r>
            <w:r>
              <w:rPr>
                <w:rFonts w:hint="default" w:ascii="Times New Roman" w:hAnsi="Times New Roman" w:eastAsia="宋体" w:cs="Times New Roman"/>
                <w:color w:val="auto"/>
                <w:w w:val="99"/>
                <w:sz w:val="21"/>
                <w:szCs w:val="21"/>
                <w:highlight w:val="none"/>
                <w:lang w:val="en-US" w:eastAsia="zh-CN"/>
              </w:rPr>
              <w:t>1</w:t>
            </w:r>
            <w:r>
              <w:rPr>
                <w:rFonts w:hint="default" w:ascii="Times New Roman" w:hAnsi="Times New Roman" w:eastAsia="宋体" w:cs="Times New Roman"/>
                <w:color w:val="auto"/>
                <w:w w:val="99"/>
                <w:sz w:val="21"/>
                <w:szCs w:val="21"/>
                <w:highlight w:val="none"/>
              </w:rPr>
              <w:t>L</w:t>
            </w:r>
          </w:p>
        </w:tc>
        <w:tc>
          <w:tcPr>
            <w:tcW w:w="647" w:type="pct"/>
            <w:shd w:val="clear" w:color="auto" w:fill="auto"/>
            <w:vAlign w:val="center"/>
          </w:tcPr>
          <w:p w14:paraId="513B4F8E">
            <w:pPr>
              <w:pStyle w:val="173"/>
              <w:ind w:left="414" w:leftChars="0" w:hanging="414" w:hangingChars="200"/>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0.000</w:t>
            </w:r>
            <w:r>
              <w:rPr>
                <w:rFonts w:hint="default" w:ascii="Times New Roman" w:hAnsi="Times New Roman" w:eastAsia="宋体" w:cs="Times New Roman"/>
                <w:color w:val="auto"/>
                <w:w w:val="99"/>
                <w:sz w:val="21"/>
                <w:szCs w:val="21"/>
                <w:highlight w:val="none"/>
                <w:lang w:val="en-US" w:eastAsia="zh-CN"/>
              </w:rPr>
              <w:t>1</w:t>
            </w:r>
            <w:r>
              <w:rPr>
                <w:rFonts w:hint="default" w:ascii="Times New Roman" w:hAnsi="Times New Roman" w:eastAsia="宋体" w:cs="Times New Roman"/>
                <w:color w:val="auto"/>
                <w:w w:val="99"/>
                <w:sz w:val="21"/>
                <w:szCs w:val="21"/>
                <w:highlight w:val="none"/>
              </w:rPr>
              <w:t>L</w:t>
            </w:r>
          </w:p>
        </w:tc>
        <w:tc>
          <w:tcPr>
            <w:tcW w:w="643" w:type="pct"/>
            <w:shd w:val="clear" w:color="auto" w:fill="auto"/>
            <w:vAlign w:val="center"/>
          </w:tcPr>
          <w:p w14:paraId="66B56FCF">
            <w:pPr>
              <w:pStyle w:val="173"/>
              <w:ind w:left="414" w:leftChars="0" w:hanging="414" w:hangingChars="200"/>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0.000</w:t>
            </w:r>
            <w:r>
              <w:rPr>
                <w:rFonts w:hint="default" w:ascii="Times New Roman" w:hAnsi="Times New Roman" w:eastAsia="宋体" w:cs="Times New Roman"/>
                <w:color w:val="auto"/>
                <w:w w:val="99"/>
                <w:sz w:val="21"/>
                <w:szCs w:val="21"/>
                <w:highlight w:val="none"/>
                <w:lang w:val="en-US" w:eastAsia="zh-CN"/>
              </w:rPr>
              <w:t>1</w:t>
            </w:r>
            <w:r>
              <w:rPr>
                <w:rFonts w:hint="default" w:ascii="Times New Roman" w:hAnsi="Times New Roman" w:eastAsia="宋体" w:cs="Times New Roman"/>
                <w:color w:val="auto"/>
                <w:w w:val="99"/>
                <w:sz w:val="21"/>
                <w:szCs w:val="21"/>
                <w:highlight w:val="none"/>
              </w:rPr>
              <w:t>L</w:t>
            </w:r>
          </w:p>
        </w:tc>
        <w:tc>
          <w:tcPr>
            <w:tcW w:w="567" w:type="pct"/>
            <w:vAlign w:val="center"/>
          </w:tcPr>
          <w:p w14:paraId="66DF2AFD">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≤0.005</w:t>
            </w:r>
          </w:p>
        </w:tc>
      </w:tr>
      <w:tr w14:paraId="7B90A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0AB3AF87">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1051EB0C">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0.01L</w:t>
            </w:r>
          </w:p>
        </w:tc>
        <w:tc>
          <w:tcPr>
            <w:tcW w:w="637" w:type="pct"/>
            <w:shd w:val="clear" w:color="auto" w:fill="auto"/>
            <w:vAlign w:val="center"/>
          </w:tcPr>
          <w:p w14:paraId="03D467E5">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0.01L</w:t>
            </w:r>
          </w:p>
        </w:tc>
        <w:tc>
          <w:tcPr>
            <w:tcW w:w="635" w:type="pct"/>
            <w:shd w:val="clear" w:color="auto" w:fill="auto"/>
            <w:vAlign w:val="center"/>
          </w:tcPr>
          <w:p w14:paraId="1B800265">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0.01L</w:t>
            </w:r>
          </w:p>
        </w:tc>
        <w:tc>
          <w:tcPr>
            <w:tcW w:w="647" w:type="pct"/>
            <w:shd w:val="clear" w:color="auto" w:fill="auto"/>
            <w:vAlign w:val="center"/>
          </w:tcPr>
          <w:p w14:paraId="4E663793">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0.01L</w:t>
            </w:r>
          </w:p>
        </w:tc>
        <w:tc>
          <w:tcPr>
            <w:tcW w:w="643" w:type="pct"/>
            <w:shd w:val="clear" w:color="auto" w:fill="auto"/>
            <w:vAlign w:val="center"/>
          </w:tcPr>
          <w:p w14:paraId="2417E7CF">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0.01L</w:t>
            </w:r>
          </w:p>
        </w:tc>
        <w:tc>
          <w:tcPr>
            <w:tcW w:w="567" w:type="pct"/>
            <w:vAlign w:val="center"/>
          </w:tcPr>
          <w:p w14:paraId="5B469AA5">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≤0.05</w:t>
            </w:r>
          </w:p>
        </w:tc>
      </w:tr>
      <w:tr w14:paraId="53886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3FDF61FE">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总大肠菌群（MPN/100mL）</w:t>
            </w:r>
          </w:p>
        </w:tc>
        <w:tc>
          <w:tcPr>
            <w:tcW w:w="635" w:type="pct"/>
            <w:shd w:val="clear" w:color="auto" w:fill="auto"/>
            <w:vAlign w:val="center"/>
          </w:tcPr>
          <w:p w14:paraId="40A6F952">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2L</w:t>
            </w:r>
          </w:p>
        </w:tc>
        <w:tc>
          <w:tcPr>
            <w:tcW w:w="637" w:type="pct"/>
            <w:shd w:val="clear" w:color="auto" w:fill="auto"/>
            <w:vAlign w:val="center"/>
          </w:tcPr>
          <w:p w14:paraId="7BE5F72A">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2L</w:t>
            </w:r>
          </w:p>
        </w:tc>
        <w:tc>
          <w:tcPr>
            <w:tcW w:w="635" w:type="pct"/>
            <w:shd w:val="clear" w:color="auto" w:fill="auto"/>
            <w:vAlign w:val="center"/>
          </w:tcPr>
          <w:p w14:paraId="7E945765">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2L</w:t>
            </w:r>
          </w:p>
        </w:tc>
        <w:tc>
          <w:tcPr>
            <w:tcW w:w="647" w:type="pct"/>
            <w:shd w:val="clear" w:color="auto" w:fill="auto"/>
            <w:vAlign w:val="center"/>
          </w:tcPr>
          <w:p w14:paraId="650CFCE7">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2L</w:t>
            </w:r>
          </w:p>
        </w:tc>
        <w:tc>
          <w:tcPr>
            <w:tcW w:w="643" w:type="pct"/>
            <w:shd w:val="clear" w:color="auto" w:fill="auto"/>
            <w:vAlign w:val="center"/>
          </w:tcPr>
          <w:p w14:paraId="1182517D">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2L</w:t>
            </w:r>
          </w:p>
        </w:tc>
        <w:tc>
          <w:tcPr>
            <w:tcW w:w="567" w:type="pct"/>
            <w:vAlign w:val="center"/>
          </w:tcPr>
          <w:p w14:paraId="47831EC8">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≤3.0</w:t>
            </w:r>
          </w:p>
        </w:tc>
      </w:tr>
      <w:tr w14:paraId="64283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5CE416C4">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菌落总数（CFU/mL）</w:t>
            </w:r>
          </w:p>
        </w:tc>
        <w:tc>
          <w:tcPr>
            <w:tcW w:w="635" w:type="pct"/>
            <w:shd w:val="clear" w:color="auto" w:fill="auto"/>
            <w:vAlign w:val="center"/>
          </w:tcPr>
          <w:p w14:paraId="22A75EBB">
            <w:pPr>
              <w:adjustRightInd w:val="0"/>
              <w:snapToGrid w:val="0"/>
              <w:spacing w:line="280" w:lineRule="exact"/>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rPr>
              <w:t>12</w:t>
            </w:r>
          </w:p>
        </w:tc>
        <w:tc>
          <w:tcPr>
            <w:tcW w:w="637" w:type="pct"/>
            <w:shd w:val="clear" w:color="auto" w:fill="auto"/>
            <w:vAlign w:val="center"/>
          </w:tcPr>
          <w:p w14:paraId="76D52037">
            <w:pPr>
              <w:adjustRightInd w:val="0"/>
              <w:snapToGrid w:val="0"/>
              <w:spacing w:line="280" w:lineRule="exact"/>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rPr>
              <w:t>10</w:t>
            </w:r>
          </w:p>
        </w:tc>
        <w:tc>
          <w:tcPr>
            <w:tcW w:w="635" w:type="pct"/>
            <w:shd w:val="clear" w:color="auto" w:fill="auto"/>
            <w:vAlign w:val="center"/>
          </w:tcPr>
          <w:p w14:paraId="4EE81DEB">
            <w:pPr>
              <w:adjustRightInd w:val="0"/>
              <w:snapToGrid w:val="0"/>
              <w:spacing w:line="280" w:lineRule="exact"/>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rPr>
              <w:t>10</w:t>
            </w:r>
          </w:p>
        </w:tc>
        <w:tc>
          <w:tcPr>
            <w:tcW w:w="647" w:type="pct"/>
            <w:shd w:val="clear" w:color="auto" w:fill="auto"/>
            <w:vAlign w:val="center"/>
          </w:tcPr>
          <w:p w14:paraId="66BEB045">
            <w:pPr>
              <w:adjustRightInd w:val="0"/>
              <w:snapToGrid w:val="0"/>
              <w:spacing w:line="280" w:lineRule="exact"/>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rPr>
              <w:t>11</w:t>
            </w:r>
          </w:p>
        </w:tc>
        <w:tc>
          <w:tcPr>
            <w:tcW w:w="643" w:type="pct"/>
            <w:shd w:val="clear" w:color="auto" w:fill="auto"/>
            <w:vAlign w:val="center"/>
          </w:tcPr>
          <w:p w14:paraId="04FAC048">
            <w:pPr>
              <w:adjustRightInd w:val="0"/>
              <w:snapToGrid w:val="0"/>
              <w:spacing w:line="280" w:lineRule="exact"/>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rPr>
              <w:t>7</w:t>
            </w:r>
          </w:p>
        </w:tc>
        <w:tc>
          <w:tcPr>
            <w:tcW w:w="567" w:type="pct"/>
            <w:vAlign w:val="center"/>
          </w:tcPr>
          <w:p w14:paraId="4D80E3C3">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≤100</w:t>
            </w:r>
          </w:p>
        </w:tc>
      </w:tr>
      <w:tr w14:paraId="42802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3B81CA5E">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硫化物（mg/L）</w:t>
            </w:r>
          </w:p>
        </w:tc>
        <w:tc>
          <w:tcPr>
            <w:tcW w:w="635" w:type="pct"/>
            <w:shd w:val="clear" w:color="auto" w:fill="auto"/>
            <w:vAlign w:val="center"/>
          </w:tcPr>
          <w:p w14:paraId="2F043BF2">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w:t>
            </w:r>
            <w:r>
              <w:rPr>
                <w:rFonts w:hint="default" w:ascii="Times New Roman" w:hAnsi="Times New Roman" w:eastAsia="宋体" w:cs="Times New Roman"/>
                <w:color w:val="auto"/>
                <w:w w:val="99"/>
                <w:sz w:val="21"/>
                <w:szCs w:val="21"/>
                <w:highlight w:val="none"/>
                <w:lang w:val="en-US" w:eastAsia="zh-CN"/>
              </w:rPr>
              <w:t>03</w:t>
            </w:r>
            <w:r>
              <w:rPr>
                <w:rFonts w:hint="default" w:ascii="Times New Roman" w:hAnsi="Times New Roman" w:eastAsia="宋体" w:cs="Times New Roman"/>
                <w:color w:val="auto"/>
                <w:w w:val="99"/>
                <w:sz w:val="21"/>
                <w:szCs w:val="21"/>
                <w:highlight w:val="none"/>
              </w:rPr>
              <w:t>L</w:t>
            </w:r>
          </w:p>
        </w:tc>
        <w:tc>
          <w:tcPr>
            <w:tcW w:w="637" w:type="pct"/>
            <w:shd w:val="clear" w:color="auto" w:fill="auto"/>
            <w:vAlign w:val="center"/>
          </w:tcPr>
          <w:p w14:paraId="56870816">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w:t>
            </w:r>
            <w:r>
              <w:rPr>
                <w:rFonts w:hint="default" w:ascii="Times New Roman" w:hAnsi="Times New Roman" w:eastAsia="宋体" w:cs="Times New Roman"/>
                <w:color w:val="auto"/>
                <w:w w:val="99"/>
                <w:sz w:val="21"/>
                <w:szCs w:val="21"/>
                <w:highlight w:val="none"/>
                <w:lang w:val="en-US" w:eastAsia="zh-CN"/>
              </w:rPr>
              <w:t>03</w:t>
            </w:r>
            <w:r>
              <w:rPr>
                <w:rFonts w:hint="default" w:ascii="Times New Roman" w:hAnsi="Times New Roman" w:eastAsia="宋体" w:cs="Times New Roman"/>
                <w:color w:val="auto"/>
                <w:w w:val="99"/>
                <w:sz w:val="21"/>
                <w:szCs w:val="21"/>
                <w:highlight w:val="none"/>
              </w:rPr>
              <w:t>L</w:t>
            </w:r>
          </w:p>
        </w:tc>
        <w:tc>
          <w:tcPr>
            <w:tcW w:w="635" w:type="pct"/>
            <w:shd w:val="clear" w:color="auto" w:fill="auto"/>
            <w:vAlign w:val="center"/>
          </w:tcPr>
          <w:p w14:paraId="625F48ED">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w:t>
            </w:r>
            <w:r>
              <w:rPr>
                <w:rFonts w:hint="default" w:ascii="Times New Roman" w:hAnsi="Times New Roman" w:eastAsia="宋体" w:cs="Times New Roman"/>
                <w:color w:val="auto"/>
                <w:w w:val="99"/>
                <w:sz w:val="21"/>
                <w:szCs w:val="21"/>
                <w:highlight w:val="none"/>
                <w:lang w:val="en-US" w:eastAsia="zh-CN"/>
              </w:rPr>
              <w:t>03</w:t>
            </w:r>
            <w:r>
              <w:rPr>
                <w:rFonts w:hint="default" w:ascii="Times New Roman" w:hAnsi="Times New Roman" w:eastAsia="宋体" w:cs="Times New Roman"/>
                <w:color w:val="auto"/>
                <w:w w:val="99"/>
                <w:sz w:val="21"/>
                <w:szCs w:val="21"/>
                <w:highlight w:val="none"/>
              </w:rPr>
              <w:t>L</w:t>
            </w:r>
          </w:p>
        </w:tc>
        <w:tc>
          <w:tcPr>
            <w:tcW w:w="647" w:type="pct"/>
            <w:shd w:val="clear" w:color="auto" w:fill="auto"/>
            <w:vAlign w:val="center"/>
          </w:tcPr>
          <w:p w14:paraId="0277B040">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w:t>
            </w:r>
            <w:r>
              <w:rPr>
                <w:rFonts w:hint="default" w:ascii="Times New Roman" w:hAnsi="Times New Roman" w:eastAsia="宋体" w:cs="Times New Roman"/>
                <w:color w:val="auto"/>
                <w:w w:val="99"/>
                <w:sz w:val="21"/>
                <w:szCs w:val="21"/>
                <w:highlight w:val="none"/>
                <w:lang w:val="en-US" w:eastAsia="zh-CN"/>
              </w:rPr>
              <w:t>03</w:t>
            </w:r>
            <w:r>
              <w:rPr>
                <w:rFonts w:hint="default" w:ascii="Times New Roman" w:hAnsi="Times New Roman" w:eastAsia="宋体" w:cs="Times New Roman"/>
                <w:color w:val="auto"/>
                <w:w w:val="99"/>
                <w:sz w:val="21"/>
                <w:szCs w:val="21"/>
                <w:highlight w:val="none"/>
              </w:rPr>
              <w:t>L</w:t>
            </w:r>
          </w:p>
        </w:tc>
        <w:tc>
          <w:tcPr>
            <w:tcW w:w="643" w:type="pct"/>
            <w:shd w:val="clear" w:color="auto" w:fill="auto"/>
            <w:vAlign w:val="center"/>
          </w:tcPr>
          <w:p w14:paraId="3BD193AA">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w:t>
            </w:r>
            <w:r>
              <w:rPr>
                <w:rFonts w:hint="default" w:ascii="Times New Roman" w:hAnsi="Times New Roman" w:eastAsia="宋体" w:cs="Times New Roman"/>
                <w:color w:val="auto"/>
                <w:w w:val="99"/>
                <w:sz w:val="21"/>
                <w:szCs w:val="21"/>
                <w:highlight w:val="none"/>
                <w:lang w:val="en-US" w:eastAsia="zh-CN"/>
              </w:rPr>
              <w:t>03</w:t>
            </w:r>
            <w:r>
              <w:rPr>
                <w:rFonts w:hint="default" w:ascii="Times New Roman" w:hAnsi="Times New Roman" w:eastAsia="宋体" w:cs="Times New Roman"/>
                <w:color w:val="auto"/>
                <w:w w:val="99"/>
                <w:sz w:val="21"/>
                <w:szCs w:val="21"/>
                <w:highlight w:val="none"/>
              </w:rPr>
              <w:t>L</w:t>
            </w:r>
          </w:p>
        </w:tc>
        <w:tc>
          <w:tcPr>
            <w:tcW w:w="567" w:type="pct"/>
            <w:vAlign w:val="center"/>
          </w:tcPr>
          <w:p w14:paraId="32E0A1A9">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rPr>
              <w:t>≤0.02</w:t>
            </w:r>
          </w:p>
        </w:tc>
      </w:tr>
      <w:tr w14:paraId="7719A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4" w:type="pct"/>
            <w:vAlign w:val="center"/>
          </w:tcPr>
          <w:p w14:paraId="2A3632AE">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lang w:val="en-US" w:eastAsia="zh-CN"/>
              </w:rPr>
              <w:t>钡</w:t>
            </w:r>
            <w:r>
              <w:rPr>
                <w:rFonts w:hint="default" w:ascii="Times New Roman" w:hAnsi="Times New Roman" w:cs="Times New Roman" w:eastAsiaTheme="minorEastAsia"/>
                <w:color w:val="auto"/>
                <w:w w:val="99"/>
                <w:sz w:val="21"/>
                <w:szCs w:val="21"/>
                <w:highlight w:val="none"/>
                <w:lang w:val="zh-CN" w:eastAsia="zh-CN"/>
              </w:rPr>
              <w:t>（</w:t>
            </w:r>
            <w:r>
              <w:rPr>
                <w:rFonts w:hint="default" w:ascii="Times New Roman" w:hAnsi="Times New Roman" w:cs="Times New Roman" w:eastAsiaTheme="minorEastAsia"/>
                <w:color w:val="auto"/>
                <w:w w:val="99"/>
                <w:sz w:val="21"/>
                <w:szCs w:val="21"/>
                <w:highlight w:val="none"/>
              </w:rPr>
              <w:t>μg</w:t>
            </w:r>
            <w:r>
              <w:rPr>
                <w:rFonts w:hint="default" w:ascii="Times New Roman" w:hAnsi="Times New Roman" w:cs="Times New Roman" w:eastAsiaTheme="minorEastAsia"/>
                <w:color w:val="auto"/>
                <w:w w:val="99"/>
                <w:sz w:val="21"/>
                <w:szCs w:val="21"/>
                <w:highlight w:val="none"/>
                <w:lang w:eastAsia="zh-CN"/>
              </w:rPr>
              <w:t>/L）</w:t>
            </w:r>
          </w:p>
        </w:tc>
        <w:tc>
          <w:tcPr>
            <w:tcW w:w="635" w:type="pct"/>
            <w:shd w:val="clear" w:color="auto" w:fill="auto"/>
            <w:vAlign w:val="center"/>
          </w:tcPr>
          <w:p w14:paraId="6795436A">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0.01L</w:t>
            </w:r>
          </w:p>
        </w:tc>
        <w:tc>
          <w:tcPr>
            <w:tcW w:w="637" w:type="pct"/>
            <w:shd w:val="clear" w:color="auto" w:fill="auto"/>
            <w:vAlign w:val="center"/>
          </w:tcPr>
          <w:p w14:paraId="07E1EF0C">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0.01L</w:t>
            </w:r>
          </w:p>
        </w:tc>
        <w:tc>
          <w:tcPr>
            <w:tcW w:w="635" w:type="pct"/>
            <w:shd w:val="clear" w:color="auto" w:fill="auto"/>
            <w:vAlign w:val="center"/>
          </w:tcPr>
          <w:p w14:paraId="5B234EA8">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0.01L</w:t>
            </w:r>
          </w:p>
        </w:tc>
        <w:tc>
          <w:tcPr>
            <w:tcW w:w="647" w:type="pct"/>
            <w:shd w:val="clear" w:color="auto" w:fill="auto"/>
            <w:vAlign w:val="center"/>
          </w:tcPr>
          <w:p w14:paraId="37328AB3">
            <w:pPr>
              <w:adjustRightInd w:val="0"/>
              <w:snapToGrid w:val="0"/>
              <w:jc w:val="center"/>
              <w:rPr>
                <w:rFonts w:hint="default" w:ascii="Times New Roman" w:hAnsi="Times New Roman" w:eastAsia="宋体" w:cs="Times New Roman"/>
                <w:snapToGrid w:val="0"/>
                <w:color w:val="auto"/>
                <w:w w:val="99"/>
                <w:kern w:val="0"/>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0.01L</w:t>
            </w:r>
          </w:p>
        </w:tc>
        <w:tc>
          <w:tcPr>
            <w:tcW w:w="643" w:type="pct"/>
            <w:shd w:val="clear" w:color="auto" w:fill="auto"/>
            <w:vAlign w:val="center"/>
          </w:tcPr>
          <w:p w14:paraId="7D06FE38">
            <w:pPr>
              <w:adjustRightInd w:val="0"/>
              <w:snapToGrid w:val="0"/>
              <w:jc w:val="center"/>
              <w:rPr>
                <w:rFonts w:hint="default" w:ascii="Times New Roman" w:hAnsi="Times New Roman" w:eastAsia="宋体" w:cs="Times New Roman"/>
                <w:snapToGrid w:val="0"/>
                <w:color w:val="auto"/>
                <w:w w:val="99"/>
                <w:kern w:val="2"/>
                <w:sz w:val="21"/>
                <w:szCs w:val="21"/>
                <w:highlight w:val="none"/>
                <w:lang w:val="en-US" w:eastAsia="zh-CN" w:bidi="ar-SA"/>
              </w:rPr>
            </w:pPr>
            <w:r>
              <w:rPr>
                <w:rFonts w:hint="default" w:ascii="Times New Roman" w:hAnsi="Times New Roman" w:eastAsia="宋体" w:cs="Times New Roman"/>
                <w:color w:val="auto"/>
                <w:w w:val="99"/>
                <w:sz w:val="21"/>
                <w:szCs w:val="21"/>
                <w:highlight w:val="none"/>
              </w:rPr>
              <w:t>0.01L</w:t>
            </w:r>
          </w:p>
        </w:tc>
        <w:tc>
          <w:tcPr>
            <w:tcW w:w="567" w:type="pct"/>
            <w:vAlign w:val="center"/>
          </w:tcPr>
          <w:p w14:paraId="023C4D98">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kern w:val="2"/>
                <w:sz w:val="21"/>
                <w:szCs w:val="21"/>
                <w:highlight w:val="none"/>
                <w:vertAlign w:val="baseline"/>
                <w:lang w:eastAsia="zh-CN"/>
              </w:rPr>
              <w:t>≤</w:t>
            </w:r>
            <w:r>
              <w:rPr>
                <w:rFonts w:hint="default" w:ascii="Times New Roman" w:hAnsi="Times New Roman" w:eastAsia="宋体" w:cs="Times New Roman"/>
                <w:color w:val="auto"/>
                <w:kern w:val="2"/>
                <w:sz w:val="21"/>
                <w:szCs w:val="21"/>
                <w:highlight w:val="none"/>
                <w:vertAlign w:val="baseline"/>
                <w:lang w:val="en-US" w:eastAsia="zh-CN"/>
              </w:rPr>
              <w:t>7</w:t>
            </w:r>
            <w:r>
              <w:rPr>
                <w:rFonts w:hint="default" w:ascii="Times New Roman" w:hAnsi="Times New Roman" w:eastAsia="宋体" w:cs="Times New Roman"/>
                <w:color w:val="auto"/>
                <w:kern w:val="2"/>
                <w:sz w:val="21"/>
                <w:szCs w:val="21"/>
                <w:highlight w:val="none"/>
                <w:vertAlign w:val="baseline"/>
                <w:lang w:eastAsia="zh-CN"/>
              </w:rPr>
              <w:t>00</w:t>
            </w:r>
          </w:p>
        </w:tc>
      </w:tr>
    </w:tbl>
    <w:p w14:paraId="6EE207EB">
      <w:pPr>
        <w:widowControl w:val="0"/>
        <w:spacing w:line="440" w:lineRule="exact"/>
        <w:ind w:firstLine="476" w:firstLineChars="200"/>
        <w:rPr>
          <w:rFonts w:ascii="Times New Roman" w:hAnsi="Times New Roman" w:cs="Times New Roman"/>
          <w:color w:val="auto"/>
          <w:w w:val="99"/>
          <w:highlight w:val="none"/>
        </w:rPr>
      </w:pPr>
      <w:r>
        <w:rPr>
          <w:rFonts w:hint="eastAsia" w:ascii="Times New Roman" w:hAnsi="Times New Roman" w:cs="Times New Roman" w:eastAsiaTheme="minorEastAsia"/>
          <w:b/>
          <w:color w:val="auto"/>
          <w:w w:val="99"/>
          <w:highlight w:val="none"/>
          <w:lang w:val="en-US" w:eastAsia="zh-CN"/>
        </w:rPr>
        <w:t>续</w:t>
      </w:r>
      <w:r>
        <w:rPr>
          <w:rFonts w:ascii="Times New Roman" w:hAnsi="Times New Roman" w:cs="Times New Roman" w:eastAsiaTheme="minorEastAsia"/>
          <w:b/>
          <w:color w:val="auto"/>
          <w:w w:val="99"/>
          <w:highlight w:val="none"/>
        </w:rPr>
        <w:t xml:space="preserve">表4.3-9   </w:t>
      </w:r>
      <w:r>
        <w:rPr>
          <w:rFonts w:ascii="Times New Roman" w:hAnsi="Times New Roman" w:cs="Times New Roman" w:eastAsiaTheme="minorEastAsia"/>
          <w:b/>
          <w:color w:val="auto"/>
          <w:w w:val="99"/>
          <w:szCs w:val="28"/>
          <w:highlight w:val="none"/>
        </w:rPr>
        <w:t>地下水</w:t>
      </w:r>
      <w:r>
        <w:rPr>
          <w:rFonts w:ascii="Times New Roman" w:hAnsi="Times New Roman" w:cs="Times New Roman" w:eastAsiaTheme="minorEastAsia"/>
          <w:b/>
          <w:color w:val="auto"/>
          <w:w w:val="99"/>
          <w:highlight w:val="none"/>
        </w:rPr>
        <w:t>水质现状监测结果</w:t>
      </w:r>
    </w:p>
    <w:tbl>
      <w:tblPr>
        <w:tblStyle w:val="80"/>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88"/>
        <w:gridCol w:w="1179"/>
        <w:gridCol w:w="1183"/>
        <w:gridCol w:w="1179"/>
        <w:gridCol w:w="1201"/>
        <w:gridCol w:w="1197"/>
        <w:gridCol w:w="1053"/>
      </w:tblGrid>
      <w:tr w14:paraId="67FBF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78B839A3">
            <w:pPr>
              <w:spacing w:line="32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199" w:type="pct"/>
            <w:gridSpan w:val="5"/>
            <w:tcBorders>
              <w:right w:val="single" w:color="auto" w:sz="4" w:space="0"/>
            </w:tcBorders>
            <w:vAlign w:val="center"/>
          </w:tcPr>
          <w:p w14:paraId="3645DC1E">
            <w:pPr>
              <w:spacing w:line="320" w:lineRule="exact"/>
              <w:jc w:val="center"/>
              <w:rPr>
                <w:rFonts w:hint="default" w:ascii="Times New Roman" w:hAnsi="Times New Roman" w:cs="Times New Roman" w:eastAsiaTheme="minorEastAsia"/>
                <w:color w:val="auto"/>
                <w:w w:val="99"/>
                <w:sz w:val="21"/>
                <w:szCs w:val="21"/>
                <w:highlight w:val="none"/>
                <w:lang w:val="en-US"/>
              </w:rPr>
            </w:pPr>
            <w:r>
              <w:rPr>
                <w:rFonts w:hint="default" w:ascii="Times New Roman" w:hAnsi="Times New Roman" w:cs="Times New Roman" w:eastAsiaTheme="minorEastAsia"/>
                <w:color w:val="auto"/>
                <w:w w:val="99"/>
                <w:sz w:val="21"/>
                <w:szCs w:val="21"/>
                <w:highlight w:val="none"/>
                <w:lang w:val="zh-CN" w:eastAsia="zh-CN"/>
              </w:rPr>
              <w:t>202</w:t>
            </w:r>
            <w:r>
              <w:rPr>
                <w:rFonts w:hint="eastAsia" w:ascii="Times New Roman" w:hAnsi="Times New Roman" w:cs="Times New Roman" w:eastAsiaTheme="minorEastAsia"/>
                <w:color w:val="auto"/>
                <w:w w:val="99"/>
                <w:sz w:val="21"/>
                <w:szCs w:val="21"/>
                <w:highlight w:val="none"/>
                <w:lang w:val="en-US" w:eastAsia="zh-CN"/>
              </w:rPr>
              <w:t>6</w:t>
            </w:r>
            <w:r>
              <w:rPr>
                <w:rFonts w:hint="default" w:ascii="Times New Roman" w:hAnsi="Times New Roman" w:cs="Times New Roman" w:eastAsiaTheme="minorEastAsia"/>
                <w:color w:val="auto"/>
                <w:w w:val="99"/>
                <w:sz w:val="21"/>
                <w:szCs w:val="21"/>
                <w:highlight w:val="none"/>
                <w:lang w:val="zh-CN" w:eastAsia="zh-CN"/>
              </w:rPr>
              <w:t>.0</w:t>
            </w:r>
            <w:r>
              <w:rPr>
                <w:rFonts w:hint="eastAsia" w:ascii="Times New Roman" w:hAnsi="Times New Roman" w:cs="Times New Roman" w:eastAsiaTheme="minorEastAsia"/>
                <w:color w:val="auto"/>
                <w:w w:val="99"/>
                <w:sz w:val="21"/>
                <w:szCs w:val="21"/>
                <w:highlight w:val="none"/>
                <w:lang w:val="en-US" w:eastAsia="zh-CN"/>
              </w:rPr>
              <w:t>6</w:t>
            </w:r>
            <w:r>
              <w:rPr>
                <w:rFonts w:hint="default" w:ascii="Times New Roman" w:hAnsi="Times New Roman" w:cs="Times New Roman" w:eastAsiaTheme="minorEastAsia"/>
                <w:color w:val="auto"/>
                <w:w w:val="99"/>
                <w:sz w:val="21"/>
                <w:szCs w:val="21"/>
                <w:highlight w:val="none"/>
                <w:lang w:val="zh-CN" w:eastAsia="zh-CN"/>
              </w:rPr>
              <w:t>.</w:t>
            </w:r>
            <w:r>
              <w:rPr>
                <w:rFonts w:hint="eastAsia" w:ascii="Times New Roman" w:hAnsi="Times New Roman" w:cs="Times New Roman" w:eastAsiaTheme="minorEastAsia"/>
                <w:color w:val="auto"/>
                <w:w w:val="99"/>
                <w:sz w:val="21"/>
                <w:szCs w:val="21"/>
                <w:highlight w:val="none"/>
                <w:lang w:val="en-US" w:eastAsia="zh-CN"/>
              </w:rPr>
              <w:t>01</w:t>
            </w:r>
          </w:p>
        </w:tc>
        <w:tc>
          <w:tcPr>
            <w:tcW w:w="567" w:type="pct"/>
            <w:vMerge w:val="restart"/>
            <w:tcBorders>
              <w:left w:val="single" w:color="auto" w:sz="4" w:space="0"/>
            </w:tcBorders>
            <w:vAlign w:val="center"/>
          </w:tcPr>
          <w:p w14:paraId="78C59338">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zh-CN"/>
              </w:rPr>
              <w:t>标准限值</w:t>
            </w:r>
          </w:p>
        </w:tc>
      </w:tr>
      <w:tr w14:paraId="3AD62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0615C9A1">
            <w:pPr>
              <w:spacing w:line="32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635" w:type="pct"/>
            <w:shd w:val="clear" w:color="auto" w:fill="auto"/>
            <w:vAlign w:val="center"/>
          </w:tcPr>
          <w:p w14:paraId="6BDCECE6">
            <w:pPr>
              <w:pStyle w:val="27"/>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于洼子屯陈家潜水井</w:t>
            </w:r>
          </w:p>
        </w:tc>
        <w:tc>
          <w:tcPr>
            <w:tcW w:w="637" w:type="pct"/>
            <w:shd w:val="clear" w:color="auto" w:fill="auto"/>
            <w:vAlign w:val="center"/>
          </w:tcPr>
          <w:p w14:paraId="01EF9AA4">
            <w:pPr>
              <w:pStyle w:val="27"/>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东双山屯孙家潜水井</w:t>
            </w:r>
          </w:p>
        </w:tc>
        <w:tc>
          <w:tcPr>
            <w:tcW w:w="635" w:type="pct"/>
            <w:shd w:val="clear" w:color="auto" w:fill="auto"/>
            <w:vAlign w:val="center"/>
          </w:tcPr>
          <w:p w14:paraId="570D347A">
            <w:pPr>
              <w:pStyle w:val="27"/>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西双山屯房家潜水井</w:t>
            </w:r>
          </w:p>
        </w:tc>
        <w:tc>
          <w:tcPr>
            <w:tcW w:w="647" w:type="pct"/>
            <w:tcBorders>
              <w:right w:val="single" w:color="auto" w:sz="4" w:space="0"/>
            </w:tcBorders>
            <w:shd w:val="clear" w:color="auto" w:fill="auto"/>
            <w:vAlign w:val="center"/>
          </w:tcPr>
          <w:p w14:paraId="5D938CA1">
            <w:pPr>
              <w:pStyle w:val="27"/>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东双山屯王家承压水井</w:t>
            </w:r>
          </w:p>
        </w:tc>
        <w:tc>
          <w:tcPr>
            <w:tcW w:w="644" w:type="pct"/>
            <w:tcBorders>
              <w:left w:val="single" w:color="auto" w:sz="4" w:space="0"/>
              <w:right w:val="single" w:color="auto" w:sz="4" w:space="0"/>
            </w:tcBorders>
            <w:shd w:val="clear" w:color="auto" w:fill="auto"/>
            <w:vAlign w:val="center"/>
          </w:tcPr>
          <w:p w14:paraId="165BB944">
            <w:pPr>
              <w:pStyle w:val="27"/>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王家围子周家承压水井</w:t>
            </w:r>
          </w:p>
        </w:tc>
        <w:tc>
          <w:tcPr>
            <w:tcW w:w="567" w:type="pct"/>
            <w:vMerge w:val="continue"/>
            <w:tcBorders>
              <w:left w:val="single" w:color="auto" w:sz="4" w:space="0"/>
            </w:tcBorders>
            <w:vAlign w:val="center"/>
          </w:tcPr>
          <w:p w14:paraId="6D3204DE">
            <w:pPr>
              <w:spacing w:line="320" w:lineRule="exact"/>
              <w:jc w:val="center"/>
              <w:rPr>
                <w:rFonts w:ascii="Times New Roman" w:hAnsi="Times New Roman" w:cs="Times New Roman" w:eastAsiaTheme="minorEastAsia"/>
                <w:color w:val="auto"/>
                <w:spacing w:val="-20"/>
                <w:w w:val="99"/>
                <w:sz w:val="21"/>
                <w:szCs w:val="21"/>
                <w:highlight w:val="none"/>
              </w:rPr>
            </w:pPr>
          </w:p>
        </w:tc>
      </w:tr>
      <w:tr w14:paraId="41E04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0D019525">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0361BA46">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2.47</w:t>
            </w:r>
          </w:p>
        </w:tc>
        <w:tc>
          <w:tcPr>
            <w:tcW w:w="637" w:type="pct"/>
            <w:shd w:val="clear" w:color="auto" w:fill="auto"/>
            <w:vAlign w:val="center"/>
          </w:tcPr>
          <w:p w14:paraId="61E8031A">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1.71</w:t>
            </w:r>
          </w:p>
        </w:tc>
        <w:tc>
          <w:tcPr>
            <w:tcW w:w="635" w:type="pct"/>
            <w:shd w:val="clear" w:color="auto" w:fill="auto"/>
            <w:vAlign w:val="center"/>
          </w:tcPr>
          <w:p w14:paraId="537FF97D">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3.02</w:t>
            </w:r>
          </w:p>
        </w:tc>
        <w:tc>
          <w:tcPr>
            <w:tcW w:w="647" w:type="pct"/>
            <w:shd w:val="clear" w:color="auto" w:fill="auto"/>
            <w:vAlign w:val="center"/>
          </w:tcPr>
          <w:p w14:paraId="241DB4E6">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1.14</w:t>
            </w:r>
          </w:p>
        </w:tc>
        <w:tc>
          <w:tcPr>
            <w:tcW w:w="644" w:type="pct"/>
            <w:shd w:val="clear" w:color="auto" w:fill="auto"/>
            <w:vAlign w:val="center"/>
          </w:tcPr>
          <w:p w14:paraId="6FF4DBE4">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1.22</w:t>
            </w:r>
          </w:p>
        </w:tc>
        <w:tc>
          <w:tcPr>
            <w:tcW w:w="567" w:type="pct"/>
            <w:vAlign w:val="center"/>
          </w:tcPr>
          <w:p w14:paraId="4D95BF95">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27F6A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33" w:type="pct"/>
            <w:vAlign w:val="center"/>
          </w:tcPr>
          <w:p w14:paraId="697ADAC8">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67CB39F6">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56.3</w:t>
            </w:r>
          </w:p>
        </w:tc>
        <w:tc>
          <w:tcPr>
            <w:tcW w:w="637" w:type="pct"/>
            <w:shd w:val="clear" w:color="auto" w:fill="auto"/>
            <w:vAlign w:val="center"/>
          </w:tcPr>
          <w:p w14:paraId="47B9F170">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61.4</w:t>
            </w:r>
          </w:p>
        </w:tc>
        <w:tc>
          <w:tcPr>
            <w:tcW w:w="635" w:type="pct"/>
            <w:shd w:val="clear" w:color="auto" w:fill="auto"/>
            <w:vAlign w:val="center"/>
          </w:tcPr>
          <w:p w14:paraId="389B5A2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51.5</w:t>
            </w:r>
          </w:p>
        </w:tc>
        <w:tc>
          <w:tcPr>
            <w:tcW w:w="647" w:type="pct"/>
            <w:shd w:val="clear" w:color="auto" w:fill="auto"/>
            <w:vAlign w:val="center"/>
          </w:tcPr>
          <w:p w14:paraId="565BD122">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41.3</w:t>
            </w:r>
          </w:p>
        </w:tc>
        <w:tc>
          <w:tcPr>
            <w:tcW w:w="644" w:type="pct"/>
            <w:shd w:val="clear" w:color="auto" w:fill="auto"/>
            <w:vAlign w:val="center"/>
          </w:tcPr>
          <w:p w14:paraId="30B64537">
            <w:pPr>
              <w:spacing w:line="320" w:lineRule="exact"/>
              <w:jc w:val="center"/>
              <w:textAlignment w:val="center"/>
              <w:rPr>
                <w:rFonts w:hint="default" w:ascii="Times New Roman" w:hAnsi="Times New Roman" w:cs="Times New Roman" w:eastAsiaTheme="minorEastAsia"/>
                <w:color w:val="auto"/>
                <w:w w:val="99"/>
                <w:sz w:val="21"/>
                <w:szCs w:val="21"/>
                <w:highlight w:val="none"/>
                <w:lang w:val="zh-CN" w:eastAsia="zh-CN" w:bidi="ar-SA"/>
              </w:rPr>
            </w:pPr>
            <w:r>
              <w:rPr>
                <w:rFonts w:hint="eastAsia" w:ascii="Times New Roman" w:hAnsi="Times New Roman" w:cs="Times New Roman" w:eastAsiaTheme="minorEastAsia"/>
                <w:color w:val="auto"/>
                <w:w w:val="99"/>
                <w:sz w:val="21"/>
                <w:szCs w:val="21"/>
                <w:highlight w:val="none"/>
                <w:lang w:val="en-US" w:eastAsia="zh-CN" w:bidi="ar-SA"/>
              </w:rPr>
              <w:t>44.2</w:t>
            </w:r>
          </w:p>
        </w:tc>
        <w:tc>
          <w:tcPr>
            <w:tcW w:w="567" w:type="pct"/>
            <w:vAlign w:val="center"/>
          </w:tcPr>
          <w:p w14:paraId="2D622AF0">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w:t>
            </w:r>
          </w:p>
        </w:tc>
      </w:tr>
      <w:tr w14:paraId="4DC71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16A6EA5A">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4D03D799">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46.7</w:t>
            </w:r>
          </w:p>
        </w:tc>
        <w:tc>
          <w:tcPr>
            <w:tcW w:w="637" w:type="pct"/>
            <w:shd w:val="clear" w:color="auto" w:fill="auto"/>
            <w:vAlign w:val="center"/>
          </w:tcPr>
          <w:p w14:paraId="72D263F9">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52.5</w:t>
            </w:r>
          </w:p>
        </w:tc>
        <w:tc>
          <w:tcPr>
            <w:tcW w:w="635" w:type="pct"/>
            <w:shd w:val="clear" w:color="auto" w:fill="auto"/>
            <w:vAlign w:val="center"/>
          </w:tcPr>
          <w:p w14:paraId="4B6964D5">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47.6</w:t>
            </w:r>
          </w:p>
        </w:tc>
        <w:tc>
          <w:tcPr>
            <w:tcW w:w="647" w:type="pct"/>
            <w:shd w:val="clear" w:color="auto" w:fill="auto"/>
            <w:vAlign w:val="center"/>
          </w:tcPr>
          <w:p w14:paraId="31F3C660">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32.5</w:t>
            </w:r>
          </w:p>
        </w:tc>
        <w:tc>
          <w:tcPr>
            <w:tcW w:w="644" w:type="pct"/>
            <w:shd w:val="clear" w:color="auto" w:fill="auto"/>
            <w:vAlign w:val="center"/>
          </w:tcPr>
          <w:p w14:paraId="39BCE979">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36.9</w:t>
            </w:r>
          </w:p>
        </w:tc>
        <w:tc>
          <w:tcPr>
            <w:tcW w:w="567" w:type="pct"/>
            <w:vAlign w:val="center"/>
          </w:tcPr>
          <w:p w14:paraId="7172885F">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3952B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6FA9692D">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0B2089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8.92</w:t>
            </w:r>
          </w:p>
        </w:tc>
        <w:tc>
          <w:tcPr>
            <w:tcW w:w="637" w:type="pct"/>
            <w:shd w:val="clear" w:color="auto" w:fill="auto"/>
            <w:vAlign w:val="center"/>
          </w:tcPr>
          <w:p w14:paraId="0002E8FA">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10.1</w:t>
            </w:r>
          </w:p>
        </w:tc>
        <w:tc>
          <w:tcPr>
            <w:tcW w:w="635" w:type="pct"/>
            <w:shd w:val="clear" w:color="auto" w:fill="auto"/>
            <w:vAlign w:val="center"/>
          </w:tcPr>
          <w:p w14:paraId="4CB6DAB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8.43</w:t>
            </w:r>
          </w:p>
        </w:tc>
        <w:tc>
          <w:tcPr>
            <w:tcW w:w="647" w:type="pct"/>
            <w:shd w:val="clear" w:color="auto" w:fill="auto"/>
            <w:vAlign w:val="center"/>
          </w:tcPr>
          <w:p w14:paraId="6D4C50B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6.26</w:t>
            </w:r>
          </w:p>
        </w:tc>
        <w:tc>
          <w:tcPr>
            <w:tcW w:w="644" w:type="pct"/>
            <w:shd w:val="clear" w:color="auto" w:fill="auto"/>
            <w:vAlign w:val="center"/>
          </w:tcPr>
          <w:p w14:paraId="5ADD264A">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6.48</w:t>
            </w:r>
          </w:p>
        </w:tc>
        <w:tc>
          <w:tcPr>
            <w:tcW w:w="567" w:type="pct"/>
            <w:vAlign w:val="center"/>
          </w:tcPr>
          <w:p w14:paraId="248C5D21">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1293C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55D56DE7">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1DB38DCA">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232</w:t>
            </w:r>
          </w:p>
        </w:tc>
        <w:tc>
          <w:tcPr>
            <w:tcW w:w="637" w:type="pct"/>
            <w:shd w:val="clear" w:color="auto" w:fill="auto"/>
            <w:vAlign w:val="center"/>
          </w:tcPr>
          <w:p w14:paraId="4CD98C14">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245</w:t>
            </w:r>
          </w:p>
        </w:tc>
        <w:tc>
          <w:tcPr>
            <w:tcW w:w="635" w:type="pct"/>
            <w:shd w:val="clear" w:color="auto" w:fill="auto"/>
            <w:vAlign w:val="center"/>
          </w:tcPr>
          <w:p w14:paraId="00553910">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223</w:t>
            </w:r>
          </w:p>
        </w:tc>
        <w:tc>
          <w:tcPr>
            <w:tcW w:w="647" w:type="pct"/>
            <w:shd w:val="clear" w:color="auto" w:fill="auto"/>
            <w:vAlign w:val="center"/>
          </w:tcPr>
          <w:p w14:paraId="685FD196">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163</w:t>
            </w:r>
          </w:p>
        </w:tc>
        <w:tc>
          <w:tcPr>
            <w:tcW w:w="644" w:type="pct"/>
            <w:shd w:val="clear" w:color="auto" w:fill="auto"/>
            <w:vAlign w:val="center"/>
          </w:tcPr>
          <w:p w14:paraId="49803B90">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166</w:t>
            </w:r>
          </w:p>
        </w:tc>
        <w:tc>
          <w:tcPr>
            <w:tcW w:w="567" w:type="pct"/>
            <w:vAlign w:val="center"/>
          </w:tcPr>
          <w:p w14:paraId="08D1D143">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32927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3ECD5F11">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9B65BBC">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5L</w:t>
            </w:r>
          </w:p>
        </w:tc>
        <w:tc>
          <w:tcPr>
            <w:tcW w:w="637" w:type="pct"/>
            <w:shd w:val="clear" w:color="auto" w:fill="auto"/>
            <w:vAlign w:val="center"/>
          </w:tcPr>
          <w:p w14:paraId="3105390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5L</w:t>
            </w:r>
          </w:p>
        </w:tc>
        <w:tc>
          <w:tcPr>
            <w:tcW w:w="635" w:type="pct"/>
            <w:shd w:val="clear" w:color="auto" w:fill="auto"/>
            <w:vAlign w:val="center"/>
          </w:tcPr>
          <w:p w14:paraId="5C25C54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5L</w:t>
            </w:r>
          </w:p>
        </w:tc>
        <w:tc>
          <w:tcPr>
            <w:tcW w:w="647" w:type="pct"/>
            <w:shd w:val="clear" w:color="auto" w:fill="auto"/>
            <w:vAlign w:val="center"/>
          </w:tcPr>
          <w:p w14:paraId="37BCAD28">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5L</w:t>
            </w:r>
          </w:p>
        </w:tc>
        <w:tc>
          <w:tcPr>
            <w:tcW w:w="644" w:type="pct"/>
            <w:shd w:val="clear" w:color="auto" w:fill="auto"/>
            <w:vAlign w:val="center"/>
          </w:tcPr>
          <w:p w14:paraId="13193502">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5L</w:t>
            </w:r>
          </w:p>
        </w:tc>
        <w:tc>
          <w:tcPr>
            <w:tcW w:w="567" w:type="pct"/>
            <w:vAlign w:val="center"/>
          </w:tcPr>
          <w:p w14:paraId="3DD1E531">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14:paraId="41DDD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2580A307">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418CB577">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43</w:t>
            </w:r>
          </w:p>
        </w:tc>
        <w:tc>
          <w:tcPr>
            <w:tcW w:w="637" w:type="pct"/>
            <w:shd w:val="clear" w:color="auto" w:fill="auto"/>
            <w:vAlign w:val="center"/>
          </w:tcPr>
          <w:p w14:paraId="75345DBB">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51</w:t>
            </w:r>
          </w:p>
        </w:tc>
        <w:tc>
          <w:tcPr>
            <w:tcW w:w="635" w:type="pct"/>
            <w:shd w:val="clear" w:color="auto" w:fill="auto"/>
            <w:vAlign w:val="center"/>
          </w:tcPr>
          <w:p w14:paraId="7C59FAC7">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43</w:t>
            </w:r>
          </w:p>
        </w:tc>
        <w:tc>
          <w:tcPr>
            <w:tcW w:w="647" w:type="pct"/>
            <w:shd w:val="clear" w:color="auto" w:fill="auto"/>
            <w:vAlign w:val="center"/>
          </w:tcPr>
          <w:p w14:paraId="3EB94311">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33</w:t>
            </w:r>
          </w:p>
        </w:tc>
        <w:tc>
          <w:tcPr>
            <w:tcW w:w="644" w:type="pct"/>
            <w:shd w:val="clear" w:color="auto" w:fill="auto"/>
            <w:vAlign w:val="center"/>
          </w:tcPr>
          <w:p w14:paraId="35FFAB22">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33</w:t>
            </w:r>
          </w:p>
        </w:tc>
        <w:tc>
          <w:tcPr>
            <w:tcW w:w="567" w:type="pct"/>
            <w:vAlign w:val="center"/>
          </w:tcPr>
          <w:p w14:paraId="6B8E0BB3">
            <w:pPr>
              <w:spacing w:line="32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14:paraId="09FA3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258685B2">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7B9F304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37</w:t>
            </w:r>
          </w:p>
        </w:tc>
        <w:tc>
          <w:tcPr>
            <w:tcW w:w="637" w:type="pct"/>
            <w:shd w:val="clear" w:color="auto" w:fill="auto"/>
            <w:vAlign w:val="center"/>
          </w:tcPr>
          <w:p w14:paraId="0A765B95">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46</w:t>
            </w:r>
          </w:p>
        </w:tc>
        <w:tc>
          <w:tcPr>
            <w:tcW w:w="635" w:type="pct"/>
            <w:shd w:val="clear" w:color="auto" w:fill="auto"/>
            <w:vAlign w:val="center"/>
          </w:tcPr>
          <w:p w14:paraId="0988E8FC">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37</w:t>
            </w:r>
          </w:p>
        </w:tc>
        <w:tc>
          <w:tcPr>
            <w:tcW w:w="647" w:type="pct"/>
            <w:shd w:val="clear" w:color="auto" w:fill="auto"/>
            <w:vAlign w:val="center"/>
          </w:tcPr>
          <w:p w14:paraId="091ACFF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24</w:t>
            </w:r>
          </w:p>
        </w:tc>
        <w:tc>
          <w:tcPr>
            <w:tcW w:w="644" w:type="pct"/>
            <w:shd w:val="clear" w:color="auto" w:fill="auto"/>
            <w:vAlign w:val="center"/>
          </w:tcPr>
          <w:p w14:paraId="2860A9C2">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23</w:t>
            </w:r>
          </w:p>
        </w:tc>
        <w:tc>
          <w:tcPr>
            <w:tcW w:w="567" w:type="pct"/>
            <w:vAlign w:val="center"/>
          </w:tcPr>
          <w:p w14:paraId="596178C3">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14:paraId="47EC9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521ED27D">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r>
              <w:rPr>
                <w:rFonts w:ascii="Times New Roman" w:hAnsi="Times New Roman" w:cs="Times New Roman" w:eastAsiaTheme="minorEastAsia"/>
                <w:color w:val="auto"/>
                <w:w w:val="99"/>
                <w:sz w:val="21"/>
                <w:szCs w:val="21"/>
                <w:highlight w:val="none"/>
                <w:lang w:val="zh-CN"/>
              </w:rPr>
              <w:t>（无量纲）</w:t>
            </w:r>
          </w:p>
        </w:tc>
        <w:tc>
          <w:tcPr>
            <w:tcW w:w="635" w:type="pct"/>
            <w:shd w:val="clear" w:color="auto" w:fill="auto"/>
            <w:vAlign w:val="bottom"/>
          </w:tcPr>
          <w:p w14:paraId="4BEA33AA">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7.6</w:t>
            </w:r>
          </w:p>
        </w:tc>
        <w:tc>
          <w:tcPr>
            <w:tcW w:w="637" w:type="pct"/>
            <w:shd w:val="clear" w:color="auto" w:fill="auto"/>
            <w:vAlign w:val="center"/>
          </w:tcPr>
          <w:p w14:paraId="50A3579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7.7</w:t>
            </w:r>
          </w:p>
        </w:tc>
        <w:tc>
          <w:tcPr>
            <w:tcW w:w="635" w:type="pct"/>
            <w:shd w:val="clear" w:color="auto" w:fill="auto"/>
            <w:vAlign w:val="bottom"/>
          </w:tcPr>
          <w:p w14:paraId="7AF0221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7.8</w:t>
            </w:r>
          </w:p>
        </w:tc>
        <w:tc>
          <w:tcPr>
            <w:tcW w:w="647" w:type="pct"/>
            <w:shd w:val="clear" w:color="auto" w:fill="auto"/>
            <w:vAlign w:val="center"/>
          </w:tcPr>
          <w:p w14:paraId="10C7F03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7.5</w:t>
            </w:r>
          </w:p>
        </w:tc>
        <w:tc>
          <w:tcPr>
            <w:tcW w:w="644" w:type="pct"/>
            <w:shd w:val="clear" w:color="auto" w:fill="auto"/>
            <w:vAlign w:val="bottom"/>
          </w:tcPr>
          <w:p w14:paraId="7A8F7A82">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7.6</w:t>
            </w:r>
          </w:p>
        </w:tc>
        <w:tc>
          <w:tcPr>
            <w:tcW w:w="567" w:type="pct"/>
            <w:vAlign w:val="center"/>
          </w:tcPr>
          <w:p w14:paraId="3CA14DDD">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6.5～8.5</w:t>
            </w:r>
          </w:p>
        </w:tc>
      </w:tr>
      <w:tr w14:paraId="1C56E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12AC4EEB">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0D9B69AB">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154</w:t>
            </w:r>
          </w:p>
        </w:tc>
        <w:tc>
          <w:tcPr>
            <w:tcW w:w="637" w:type="pct"/>
            <w:shd w:val="clear" w:color="auto" w:fill="auto"/>
            <w:vAlign w:val="center"/>
          </w:tcPr>
          <w:p w14:paraId="66F35C07">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173</w:t>
            </w:r>
          </w:p>
        </w:tc>
        <w:tc>
          <w:tcPr>
            <w:tcW w:w="635" w:type="pct"/>
            <w:shd w:val="clear" w:color="auto" w:fill="auto"/>
            <w:vAlign w:val="center"/>
          </w:tcPr>
          <w:p w14:paraId="33F65004">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154</w:t>
            </w:r>
          </w:p>
        </w:tc>
        <w:tc>
          <w:tcPr>
            <w:tcW w:w="647" w:type="pct"/>
            <w:shd w:val="clear" w:color="auto" w:fill="auto"/>
            <w:vAlign w:val="center"/>
          </w:tcPr>
          <w:p w14:paraId="2C17FFFB">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107</w:t>
            </w:r>
          </w:p>
        </w:tc>
        <w:tc>
          <w:tcPr>
            <w:tcW w:w="644" w:type="pct"/>
            <w:shd w:val="clear" w:color="auto" w:fill="auto"/>
            <w:vAlign w:val="center"/>
          </w:tcPr>
          <w:p w14:paraId="343915E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119</w:t>
            </w:r>
          </w:p>
        </w:tc>
        <w:tc>
          <w:tcPr>
            <w:tcW w:w="567" w:type="pct"/>
            <w:vAlign w:val="center"/>
          </w:tcPr>
          <w:p w14:paraId="512B1B9A">
            <w:pPr>
              <w:widowControl w:val="0"/>
              <w:adjustRightInd w:val="0"/>
              <w:spacing w:line="320" w:lineRule="exact"/>
              <w:jc w:val="center"/>
              <w:textAlignment w:val="baseline"/>
              <w:rPr>
                <w:rFonts w:ascii="Times New Roman" w:hAnsi="Times New Roman" w:cs="Times New Roman" w:eastAsiaTheme="minorEastAsia"/>
                <w:color w:val="auto"/>
                <w:w w:val="99"/>
                <w:kern w:val="21"/>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≤450</w:t>
            </w:r>
          </w:p>
        </w:tc>
      </w:tr>
      <w:tr w14:paraId="13558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68B7AA83">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bottom"/>
          </w:tcPr>
          <w:p w14:paraId="62B7563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503</w:t>
            </w:r>
          </w:p>
        </w:tc>
        <w:tc>
          <w:tcPr>
            <w:tcW w:w="637" w:type="pct"/>
            <w:shd w:val="clear" w:color="auto" w:fill="auto"/>
            <w:vAlign w:val="center"/>
          </w:tcPr>
          <w:p w14:paraId="4C6D216B">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554</w:t>
            </w:r>
          </w:p>
        </w:tc>
        <w:tc>
          <w:tcPr>
            <w:tcW w:w="635" w:type="pct"/>
            <w:shd w:val="clear" w:color="auto" w:fill="auto"/>
            <w:vAlign w:val="bottom"/>
          </w:tcPr>
          <w:p w14:paraId="353017E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491</w:t>
            </w:r>
          </w:p>
        </w:tc>
        <w:tc>
          <w:tcPr>
            <w:tcW w:w="647" w:type="pct"/>
            <w:shd w:val="clear" w:color="auto" w:fill="auto"/>
            <w:vAlign w:val="center"/>
          </w:tcPr>
          <w:p w14:paraId="4654A595">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355</w:t>
            </w:r>
          </w:p>
        </w:tc>
        <w:tc>
          <w:tcPr>
            <w:tcW w:w="644" w:type="pct"/>
            <w:shd w:val="clear" w:color="auto" w:fill="auto"/>
            <w:vAlign w:val="bottom"/>
          </w:tcPr>
          <w:p w14:paraId="738B3E31">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371</w:t>
            </w:r>
          </w:p>
        </w:tc>
        <w:tc>
          <w:tcPr>
            <w:tcW w:w="567" w:type="pct"/>
            <w:vAlign w:val="center"/>
          </w:tcPr>
          <w:p w14:paraId="1CA8C85A">
            <w:pPr>
              <w:spacing w:line="32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≤1000</w:t>
            </w:r>
          </w:p>
        </w:tc>
      </w:tr>
      <w:tr w14:paraId="1A262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204C771E">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bottom"/>
          </w:tcPr>
          <w:p w14:paraId="14E0D177">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2.0</w:t>
            </w:r>
          </w:p>
        </w:tc>
        <w:tc>
          <w:tcPr>
            <w:tcW w:w="637" w:type="pct"/>
            <w:shd w:val="clear" w:color="auto" w:fill="auto"/>
            <w:vAlign w:val="center"/>
          </w:tcPr>
          <w:p w14:paraId="1C9E35C0">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2.2</w:t>
            </w:r>
          </w:p>
        </w:tc>
        <w:tc>
          <w:tcPr>
            <w:tcW w:w="635" w:type="pct"/>
            <w:shd w:val="clear" w:color="auto" w:fill="auto"/>
            <w:vAlign w:val="bottom"/>
          </w:tcPr>
          <w:p w14:paraId="51454B1B">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1.9</w:t>
            </w:r>
          </w:p>
        </w:tc>
        <w:tc>
          <w:tcPr>
            <w:tcW w:w="647" w:type="pct"/>
            <w:shd w:val="clear" w:color="auto" w:fill="auto"/>
            <w:vAlign w:val="center"/>
          </w:tcPr>
          <w:p w14:paraId="5826832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1.7</w:t>
            </w:r>
          </w:p>
        </w:tc>
        <w:tc>
          <w:tcPr>
            <w:tcW w:w="644" w:type="pct"/>
            <w:shd w:val="clear" w:color="auto" w:fill="auto"/>
            <w:vAlign w:val="bottom"/>
          </w:tcPr>
          <w:p w14:paraId="0C805FB1">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1.8</w:t>
            </w:r>
          </w:p>
        </w:tc>
        <w:tc>
          <w:tcPr>
            <w:tcW w:w="567" w:type="pct"/>
            <w:vAlign w:val="center"/>
          </w:tcPr>
          <w:p w14:paraId="2C000ABF">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≤3.0</w:t>
            </w:r>
          </w:p>
        </w:tc>
      </w:tr>
      <w:tr w14:paraId="377D0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75E973D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挥发性酚类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75557BDB">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0.0003L</w:t>
            </w:r>
          </w:p>
        </w:tc>
        <w:tc>
          <w:tcPr>
            <w:tcW w:w="637" w:type="pct"/>
            <w:shd w:val="clear" w:color="auto" w:fill="auto"/>
            <w:vAlign w:val="center"/>
          </w:tcPr>
          <w:p w14:paraId="50A335EC">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0.0003L</w:t>
            </w:r>
          </w:p>
        </w:tc>
        <w:tc>
          <w:tcPr>
            <w:tcW w:w="635" w:type="pct"/>
            <w:shd w:val="clear" w:color="auto" w:fill="auto"/>
            <w:vAlign w:val="center"/>
          </w:tcPr>
          <w:p w14:paraId="2522D445">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0.0003L</w:t>
            </w:r>
          </w:p>
        </w:tc>
        <w:tc>
          <w:tcPr>
            <w:tcW w:w="647" w:type="pct"/>
            <w:shd w:val="clear" w:color="auto" w:fill="auto"/>
            <w:vAlign w:val="center"/>
          </w:tcPr>
          <w:p w14:paraId="6D71155A">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0.0003L</w:t>
            </w:r>
          </w:p>
        </w:tc>
        <w:tc>
          <w:tcPr>
            <w:tcW w:w="644" w:type="pct"/>
            <w:shd w:val="clear" w:color="auto" w:fill="auto"/>
            <w:vAlign w:val="center"/>
          </w:tcPr>
          <w:p w14:paraId="04275018">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0.0003L</w:t>
            </w:r>
          </w:p>
        </w:tc>
        <w:tc>
          <w:tcPr>
            <w:tcW w:w="567" w:type="pct"/>
            <w:vAlign w:val="center"/>
          </w:tcPr>
          <w:p w14:paraId="7016E3F8">
            <w:pPr>
              <w:widowControl w:val="0"/>
              <w:adjustRightInd w:val="0"/>
              <w:spacing w:line="320" w:lineRule="exact"/>
              <w:jc w:val="center"/>
              <w:textAlignment w:val="baseline"/>
              <w:rPr>
                <w:rFonts w:ascii="Times New Roman" w:hAnsi="Times New Roman" w:cs="Times New Roman" w:eastAsiaTheme="minorEastAsia"/>
                <w:color w:val="auto"/>
                <w:w w:val="99"/>
                <w:kern w:val="21"/>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≤0.002</w:t>
            </w:r>
          </w:p>
        </w:tc>
      </w:tr>
      <w:tr w14:paraId="65D37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595376ED">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67DA6D4">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0.002L</w:t>
            </w:r>
          </w:p>
        </w:tc>
        <w:tc>
          <w:tcPr>
            <w:tcW w:w="637" w:type="pct"/>
            <w:shd w:val="clear" w:color="auto" w:fill="auto"/>
            <w:vAlign w:val="center"/>
          </w:tcPr>
          <w:p w14:paraId="5350946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0.002L</w:t>
            </w:r>
          </w:p>
        </w:tc>
        <w:tc>
          <w:tcPr>
            <w:tcW w:w="635" w:type="pct"/>
            <w:shd w:val="clear" w:color="auto" w:fill="auto"/>
            <w:vAlign w:val="center"/>
          </w:tcPr>
          <w:p w14:paraId="2F4CB5A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0.002L</w:t>
            </w:r>
          </w:p>
        </w:tc>
        <w:tc>
          <w:tcPr>
            <w:tcW w:w="647" w:type="pct"/>
            <w:shd w:val="clear" w:color="auto" w:fill="auto"/>
            <w:vAlign w:val="center"/>
          </w:tcPr>
          <w:p w14:paraId="23A64A9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0.002L</w:t>
            </w:r>
          </w:p>
        </w:tc>
        <w:tc>
          <w:tcPr>
            <w:tcW w:w="644" w:type="pct"/>
            <w:shd w:val="clear" w:color="auto" w:fill="auto"/>
            <w:vAlign w:val="center"/>
          </w:tcPr>
          <w:p w14:paraId="1632F6CD">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0.002L</w:t>
            </w:r>
          </w:p>
        </w:tc>
        <w:tc>
          <w:tcPr>
            <w:tcW w:w="567" w:type="pct"/>
            <w:vAlign w:val="center"/>
          </w:tcPr>
          <w:p w14:paraId="75F8EAF7">
            <w:pPr>
              <w:widowControl w:val="0"/>
              <w:adjustRightInd w:val="0"/>
              <w:spacing w:line="320" w:lineRule="exact"/>
              <w:jc w:val="center"/>
              <w:textAlignment w:val="baseline"/>
              <w:rPr>
                <w:rFonts w:ascii="Times New Roman" w:hAnsi="Times New Roman" w:cs="Times New Roman" w:eastAsiaTheme="minorEastAsia"/>
                <w:color w:val="auto"/>
                <w:w w:val="99"/>
                <w:kern w:val="21"/>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≤0.05</w:t>
            </w:r>
          </w:p>
        </w:tc>
      </w:tr>
      <w:tr w14:paraId="070E3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457711AB">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307402B">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0.29</w:t>
            </w:r>
          </w:p>
        </w:tc>
        <w:tc>
          <w:tcPr>
            <w:tcW w:w="637" w:type="pct"/>
            <w:shd w:val="clear" w:color="auto" w:fill="auto"/>
            <w:vAlign w:val="center"/>
          </w:tcPr>
          <w:p w14:paraId="241A64D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0.31</w:t>
            </w:r>
          </w:p>
        </w:tc>
        <w:tc>
          <w:tcPr>
            <w:tcW w:w="635" w:type="pct"/>
            <w:shd w:val="clear" w:color="auto" w:fill="auto"/>
            <w:vAlign w:val="center"/>
          </w:tcPr>
          <w:p w14:paraId="5AFD0BDF">
            <w:pPr>
              <w:spacing w:line="320" w:lineRule="exact"/>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0.23</w:t>
            </w:r>
          </w:p>
        </w:tc>
        <w:tc>
          <w:tcPr>
            <w:tcW w:w="647" w:type="pct"/>
            <w:shd w:val="clear" w:color="auto" w:fill="auto"/>
            <w:vAlign w:val="center"/>
          </w:tcPr>
          <w:p w14:paraId="29820B27">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0.14</w:t>
            </w:r>
          </w:p>
        </w:tc>
        <w:tc>
          <w:tcPr>
            <w:tcW w:w="644" w:type="pct"/>
            <w:shd w:val="clear" w:color="auto" w:fill="auto"/>
            <w:vAlign w:val="center"/>
          </w:tcPr>
          <w:p w14:paraId="06E6B1B5">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0.11</w:t>
            </w:r>
          </w:p>
        </w:tc>
        <w:tc>
          <w:tcPr>
            <w:tcW w:w="567" w:type="pct"/>
            <w:vAlign w:val="center"/>
          </w:tcPr>
          <w:p w14:paraId="5C643F6D">
            <w:pPr>
              <w:widowControl w:val="0"/>
              <w:adjustRightInd w:val="0"/>
              <w:spacing w:line="320" w:lineRule="exact"/>
              <w:jc w:val="center"/>
              <w:textAlignment w:val="baseline"/>
              <w:rPr>
                <w:rFonts w:ascii="Times New Roman" w:hAnsi="Times New Roman" w:cs="Times New Roman" w:eastAsiaTheme="minorEastAsia"/>
                <w:color w:val="auto"/>
                <w:w w:val="99"/>
                <w:kern w:val="21"/>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≤1.0</w:t>
            </w:r>
          </w:p>
        </w:tc>
      </w:tr>
      <w:tr w14:paraId="464F4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77D23EAD">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30FCACF2">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2.45</w:t>
            </w:r>
          </w:p>
        </w:tc>
        <w:tc>
          <w:tcPr>
            <w:tcW w:w="637" w:type="pct"/>
            <w:shd w:val="clear" w:color="auto" w:fill="auto"/>
            <w:vAlign w:val="center"/>
          </w:tcPr>
          <w:p w14:paraId="114C4B6B">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1.91</w:t>
            </w:r>
          </w:p>
        </w:tc>
        <w:tc>
          <w:tcPr>
            <w:tcW w:w="635" w:type="pct"/>
            <w:shd w:val="clear" w:color="auto" w:fill="auto"/>
            <w:vAlign w:val="center"/>
          </w:tcPr>
          <w:p w14:paraId="39BDCB94">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2.22</w:t>
            </w:r>
          </w:p>
        </w:tc>
        <w:tc>
          <w:tcPr>
            <w:tcW w:w="647" w:type="pct"/>
            <w:shd w:val="clear" w:color="auto" w:fill="auto"/>
            <w:vAlign w:val="center"/>
          </w:tcPr>
          <w:p w14:paraId="21366B5D">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1.45</w:t>
            </w:r>
          </w:p>
        </w:tc>
        <w:tc>
          <w:tcPr>
            <w:tcW w:w="644" w:type="pct"/>
            <w:shd w:val="clear" w:color="auto" w:fill="auto"/>
            <w:vAlign w:val="center"/>
          </w:tcPr>
          <w:p w14:paraId="27659BB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1.41</w:t>
            </w:r>
          </w:p>
        </w:tc>
        <w:tc>
          <w:tcPr>
            <w:tcW w:w="567" w:type="pct"/>
            <w:vAlign w:val="center"/>
          </w:tcPr>
          <w:p w14:paraId="3A2EE5A0">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≤20</w:t>
            </w:r>
          </w:p>
        </w:tc>
      </w:tr>
      <w:tr w14:paraId="60490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66A79E92">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22E83818">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0.003L</w:t>
            </w:r>
          </w:p>
        </w:tc>
        <w:tc>
          <w:tcPr>
            <w:tcW w:w="637" w:type="pct"/>
            <w:shd w:val="clear" w:color="auto" w:fill="auto"/>
            <w:vAlign w:val="center"/>
          </w:tcPr>
          <w:p w14:paraId="6E4FF2E6">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0.003L</w:t>
            </w:r>
          </w:p>
        </w:tc>
        <w:tc>
          <w:tcPr>
            <w:tcW w:w="635" w:type="pct"/>
            <w:shd w:val="clear" w:color="auto" w:fill="auto"/>
            <w:vAlign w:val="center"/>
          </w:tcPr>
          <w:p w14:paraId="4385E5FD">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0.003L</w:t>
            </w:r>
          </w:p>
        </w:tc>
        <w:tc>
          <w:tcPr>
            <w:tcW w:w="647" w:type="pct"/>
            <w:shd w:val="clear" w:color="auto" w:fill="auto"/>
            <w:vAlign w:val="center"/>
          </w:tcPr>
          <w:p w14:paraId="25BFAC4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0.003L</w:t>
            </w:r>
          </w:p>
        </w:tc>
        <w:tc>
          <w:tcPr>
            <w:tcW w:w="644" w:type="pct"/>
            <w:shd w:val="clear" w:color="auto" w:fill="auto"/>
            <w:vAlign w:val="center"/>
          </w:tcPr>
          <w:p w14:paraId="329EB51C">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0.003L</w:t>
            </w:r>
          </w:p>
        </w:tc>
        <w:tc>
          <w:tcPr>
            <w:tcW w:w="567" w:type="pct"/>
            <w:vAlign w:val="center"/>
          </w:tcPr>
          <w:p w14:paraId="4DE713C9">
            <w:pPr>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r>
      <w:tr w14:paraId="34AFE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060669EB">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4736171D">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0.289</w:t>
            </w:r>
          </w:p>
        </w:tc>
        <w:tc>
          <w:tcPr>
            <w:tcW w:w="637" w:type="pct"/>
            <w:shd w:val="clear" w:color="auto" w:fill="auto"/>
            <w:vAlign w:val="center"/>
          </w:tcPr>
          <w:p w14:paraId="7ED93C4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0.214</w:t>
            </w:r>
          </w:p>
        </w:tc>
        <w:tc>
          <w:tcPr>
            <w:tcW w:w="635" w:type="pct"/>
            <w:shd w:val="clear" w:color="auto" w:fill="auto"/>
            <w:vAlign w:val="center"/>
          </w:tcPr>
          <w:p w14:paraId="48210C3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0.301</w:t>
            </w:r>
          </w:p>
        </w:tc>
        <w:tc>
          <w:tcPr>
            <w:tcW w:w="647" w:type="pct"/>
            <w:shd w:val="clear" w:color="auto" w:fill="auto"/>
            <w:vAlign w:val="center"/>
          </w:tcPr>
          <w:p w14:paraId="1FACB03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0.136</w:t>
            </w:r>
          </w:p>
        </w:tc>
        <w:tc>
          <w:tcPr>
            <w:tcW w:w="644" w:type="pct"/>
            <w:shd w:val="clear" w:color="auto" w:fill="auto"/>
            <w:vAlign w:val="center"/>
          </w:tcPr>
          <w:p w14:paraId="1951EB74">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0.112</w:t>
            </w:r>
          </w:p>
        </w:tc>
        <w:tc>
          <w:tcPr>
            <w:tcW w:w="567" w:type="pct"/>
            <w:vAlign w:val="center"/>
          </w:tcPr>
          <w:p w14:paraId="667139E3">
            <w:pPr>
              <w:spacing w:line="32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≤0.5</w:t>
            </w:r>
          </w:p>
        </w:tc>
      </w:tr>
      <w:tr w14:paraId="3890C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0140849B">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46BD0799">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0.004L</w:t>
            </w:r>
          </w:p>
        </w:tc>
        <w:tc>
          <w:tcPr>
            <w:tcW w:w="637" w:type="pct"/>
            <w:shd w:val="clear" w:color="auto" w:fill="auto"/>
            <w:vAlign w:val="center"/>
          </w:tcPr>
          <w:p w14:paraId="561EEEE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0.004L</w:t>
            </w:r>
          </w:p>
        </w:tc>
        <w:tc>
          <w:tcPr>
            <w:tcW w:w="635" w:type="pct"/>
            <w:shd w:val="clear" w:color="auto" w:fill="auto"/>
            <w:vAlign w:val="center"/>
          </w:tcPr>
          <w:p w14:paraId="443C813B">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0.004L</w:t>
            </w:r>
          </w:p>
        </w:tc>
        <w:tc>
          <w:tcPr>
            <w:tcW w:w="647" w:type="pct"/>
            <w:shd w:val="clear" w:color="auto" w:fill="auto"/>
            <w:vAlign w:val="center"/>
          </w:tcPr>
          <w:p w14:paraId="51079136">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0.004L</w:t>
            </w:r>
          </w:p>
        </w:tc>
        <w:tc>
          <w:tcPr>
            <w:tcW w:w="644" w:type="pct"/>
            <w:shd w:val="clear" w:color="auto" w:fill="auto"/>
            <w:vAlign w:val="center"/>
          </w:tcPr>
          <w:p w14:paraId="3848F325">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0.004L</w:t>
            </w:r>
          </w:p>
        </w:tc>
        <w:tc>
          <w:tcPr>
            <w:tcW w:w="567" w:type="pct"/>
            <w:vAlign w:val="center"/>
          </w:tcPr>
          <w:p w14:paraId="2F3C4B33">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≤0.05</w:t>
            </w:r>
          </w:p>
        </w:tc>
      </w:tr>
      <w:tr w14:paraId="2B8AC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4A74E7E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15923FDA">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0.0003L</w:t>
            </w:r>
          </w:p>
        </w:tc>
        <w:tc>
          <w:tcPr>
            <w:tcW w:w="637" w:type="pct"/>
            <w:shd w:val="clear" w:color="auto" w:fill="auto"/>
            <w:vAlign w:val="center"/>
          </w:tcPr>
          <w:p w14:paraId="4250D74A">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0.0003L</w:t>
            </w:r>
          </w:p>
        </w:tc>
        <w:tc>
          <w:tcPr>
            <w:tcW w:w="635" w:type="pct"/>
            <w:shd w:val="clear" w:color="auto" w:fill="auto"/>
            <w:vAlign w:val="center"/>
          </w:tcPr>
          <w:p w14:paraId="0CD52EE6">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0.0003L</w:t>
            </w:r>
          </w:p>
        </w:tc>
        <w:tc>
          <w:tcPr>
            <w:tcW w:w="647" w:type="pct"/>
            <w:shd w:val="clear" w:color="auto" w:fill="auto"/>
            <w:vAlign w:val="center"/>
          </w:tcPr>
          <w:p w14:paraId="5C49DFF2">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0.0003L</w:t>
            </w:r>
          </w:p>
        </w:tc>
        <w:tc>
          <w:tcPr>
            <w:tcW w:w="644" w:type="pct"/>
            <w:shd w:val="clear" w:color="auto" w:fill="auto"/>
            <w:vAlign w:val="center"/>
          </w:tcPr>
          <w:p w14:paraId="79B60ED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0.0003L</w:t>
            </w:r>
          </w:p>
        </w:tc>
        <w:tc>
          <w:tcPr>
            <w:tcW w:w="567" w:type="pct"/>
            <w:vAlign w:val="center"/>
          </w:tcPr>
          <w:p w14:paraId="450B8CCE">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≤0.01</w:t>
            </w:r>
          </w:p>
        </w:tc>
      </w:tr>
      <w:tr w14:paraId="1E522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06370448">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C76D778">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0.001L</w:t>
            </w:r>
          </w:p>
        </w:tc>
        <w:tc>
          <w:tcPr>
            <w:tcW w:w="637" w:type="pct"/>
            <w:shd w:val="clear" w:color="auto" w:fill="auto"/>
            <w:vAlign w:val="center"/>
          </w:tcPr>
          <w:p w14:paraId="52952EC2">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0.001L</w:t>
            </w:r>
          </w:p>
        </w:tc>
        <w:tc>
          <w:tcPr>
            <w:tcW w:w="635" w:type="pct"/>
            <w:shd w:val="clear" w:color="auto" w:fill="auto"/>
            <w:vAlign w:val="center"/>
          </w:tcPr>
          <w:p w14:paraId="72B11F18">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0.001L</w:t>
            </w:r>
          </w:p>
        </w:tc>
        <w:tc>
          <w:tcPr>
            <w:tcW w:w="647" w:type="pct"/>
            <w:shd w:val="clear" w:color="auto" w:fill="auto"/>
            <w:vAlign w:val="center"/>
          </w:tcPr>
          <w:p w14:paraId="4AB53DA7">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0.001L</w:t>
            </w:r>
          </w:p>
        </w:tc>
        <w:tc>
          <w:tcPr>
            <w:tcW w:w="644" w:type="pct"/>
            <w:shd w:val="clear" w:color="auto" w:fill="auto"/>
            <w:vAlign w:val="center"/>
          </w:tcPr>
          <w:p w14:paraId="5A333F97">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0.001L</w:t>
            </w:r>
          </w:p>
        </w:tc>
        <w:tc>
          <w:tcPr>
            <w:tcW w:w="567" w:type="pct"/>
            <w:vAlign w:val="center"/>
          </w:tcPr>
          <w:p w14:paraId="0AEEE6E6">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≤0.01</w:t>
            </w:r>
          </w:p>
        </w:tc>
      </w:tr>
      <w:tr w14:paraId="4475F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7EB55C2B">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122F5D7A">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0.26</w:t>
            </w:r>
          </w:p>
        </w:tc>
        <w:tc>
          <w:tcPr>
            <w:tcW w:w="637" w:type="pct"/>
            <w:shd w:val="clear" w:color="auto" w:fill="auto"/>
            <w:vAlign w:val="center"/>
          </w:tcPr>
          <w:p w14:paraId="30F15BFD">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0.27</w:t>
            </w:r>
          </w:p>
        </w:tc>
        <w:tc>
          <w:tcPr>
            <w:tcW w:w="635" w:type="pct"/>
            <w:shd w:val="clear" w:color="auto" w:fill="auto"/>
            <w:vAlign w:val="center"/>
          </w:tcPr>
          <w:p w14:paraId="42BF83ED">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0.27</w:t>
            </w:r>
          </w:p>
        </w:tc>
        <w:tc>
          <w:tcPr>
            <w:tcW w:w="647" w:type="pct"/>
            <w:shd w:val="clear" w:color="auto" w:fill="auto"/>
            <w:vAlign w:val="center"/>
          </w:tcPr>
          <w:p w14:paraId="06DCC9EC">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0.21</w:t>
            </w:r>
          </w:p>
        </w:tc>
        <w:tc>
          <w:tcPr>
            <w:tcW w:w="644" w:type="pct"/>
            <w:shd w:val="clear" w:color="auto" w:fill="auto"/>
            <w:vAlign w:val="center"/>
          </w:tcPr>
          <w:p w14:paraId="44DA9B29">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0.20</w:t>
            </w:r>
          </w:p>
        </w:tc>
        <w:tc>
          <w:tcPr>
            <w:tcW w:w="567" w:type="pct"/>
            <w:vAlign w:val="center"/>
          </w:tcPr>
          <w:p w14:paraId="14571FCD">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≤0.3</w:t>
            </w:r>
          </w:p>
        </w:tc>
      </w:tr>
      <w:tr w14:paraId="675D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0878486A">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8DD8B84">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0.00004L</w:t>
            </w:r>
          </w:p>
        </w:tc>
        <w:tc>
          <w:tcPr>
            <w:tcW w:w="637" w:type="pct"/>
            <w:shd w:val="clear" w:color="auto" w:fill="auto"/>
            <w:vAlign w:val="center"/>
          </w:tcPr>
          <w:p w14:paraId="2B026C81">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0.00004L</w:t>
            </w:r>
          </w:p>
        </w:tc>
        <w:tc>
          <w:tcPr>
            <w:tcW w:w="635" w:type="pct"/>
            <w:shd w:val="clear" w:color="auto" w:fill="auto"/>
            <w:vAlign w:val="center"/>
          </w:tcPr>
          <w:p w14:paraId="21BF6EA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0.00004L</w:t>
            </w:r>
          </w:p>
        </w:tc>
        <w:tc>
          <w:tcPr>
            <w:tcW w:w="647" w:type="pct"/>
            <w:shd w:val="clear" w:color="auto" w:fill="auto"/>
            <w:vAlign w:val="center"/>
          </w:tcPr>
          <w:p w14:paraId="5768CE87">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0.00004L</w:t>
            </w:r>
          </w:p>
        </w:tc>
        <w:tc>
          <w:tcPr>
            <w:tcW w:w="644" w:type="pct"/>
            <w:shd w:val="clear" w:color="auto" w:fill="auto"/>
            <w:vAlign w:val="center"/>
          </w:tcPr>
          <w:p w14:paraId="46849C8D">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0.00004L</w:t>
            </w:r>
          </w:p>
        </w:tc>
        <w:tc>
          <w:tcPr>
            <w:tcW w:w="567" w:type="pct"/>
            <w:vAlign w:val="center"/>
          </w:tcPr>
          <w:p w14:paraId="51068BB6">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≤0.001</w:t>
            </w:r>
          </w:p>
        </w:tc>
      </w:tr>
      <w:tr w14:paraId="182A6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43A6B6DC">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2BAB7EC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0.09</w:t>
            </w:r>
          </w:p>
        </w:tc>
        <w:tc>
          <w:tcPr>
            <w:tcW w:w="637" w:type="pct"/>
            <w:shd w:val="clear" w:color="auto" w:fill="auto"/>
            <w:vAlign w:val="center"/>
          </w:tcPr>
          <w:p w14:paraId="0BA74C41">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0.11</w:t>
            </w:r>
          </w:p>
        </w:tc>
        <w:tc>
          <w:tcPr>
            <w:tcW w:w="635" w:type="pct"/>
            <w:shd w:val="clear" w:color="auto" w:fill="auto"/>
            <w:vAlign w:val="center"/>
          </w:tcPr>
          <w:p w14:paraId="4426DCB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0.09</w:t>
            </w:r>
          </w:p>
        </w:tc>
        <w:tc>
          <w:tcPr>
            <w:tcW w:w="647" w:type="pct"/>
            <w:shd w:val="clear" w:color="auto" w:fill="auto"/>
            <w:vAlign w:val="center"/>
          </w:tcPr>
          <w:p w14:paraId="1A07F4E6">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0.03</w:t>
            </w:r>
          </w:p>
        </w:tc>
        <w:tc>
          <w:tcPr>
            <w:tcW w:w="644" w:type="pct"/>
            <w:shd w:val="clear" w:color="auto" w:fill="auto"/>
            <w:vAlign w:val="center"/>
          </w:tcPr>
          <w:p w14:paraId="43FBF9F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0.02</w:t>
            </w:r>
          </w:p>
        </w:tc>
        <w:tc>
          <w:tcPr>
            <w:tcW w:w="567" w:type="pct"/>
            <w:vAlign w:val="center"/>
          </w:tcPr>
          <w:p w14:paraId="10D7653F">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≤0.1</w:t>
            </w:r>
          </w:p>
        </w:tc>
      </w:tr>
      <w:tr w14:paraId="107A6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1AB67946">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53F35207">
            <w:pPr>
              <w:pStyle w:val="173"/>
              <w:ind w:left="420" w:leftChars="0" w:hanging="420" w:firstLineChars="0"/>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0.0001L</w:t>
            </w:r>
          </w:p>
        </w:tc>
        <w:tc>
          <w:tcPr>
            <w:tcW w:w="637" w:type="pct"/>
            <w:shd w:val="clear" w:color="auto" w:fill="auto"/>
            <w:vAlign w:val="center"/>
          </w:tcPr>
          <w:p w14:paraId="2FCFA98D">
            <w:pPr>
              <w:pStyle w:val="173"/>
              <w:ind w:left="420" w:leftChars="0" w:hanging="420" w:firstLineChars="0"/>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0.0001L</w:t>
            </w:r>
          </w:p>
        </w:tc>
        <w:tc>
          <w:tcPr>
            <w:tcW w:w="635" w:type="pct"/>
            <w:shd w:val="clear" w:color="auto" w:fill="auto"/>
            <w:vAlign w:val="center"/>
          </w:tcPr>
          <w:p w14:paraId="08EA9F04">
            <w:pPr>
              <w:pStyle w:val="173"/>
              <w:ind w:left="420" w:leftChars="0" w:hanging="420" w:firstLineChars="0"/>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0.0001L</w:t>
            </w:r>
          </w:p>
        </w:tc>
        <w:tc>
          <w:tcPr>
            <w:tcW w:w="647" w:type="pct"/>
            <w:shd w:val="clear" w:color="auto" w:fill="auto"/>
            <w:vAlign w:val="center"/>
          </w:tcPr>
          <w:p w14:paraId="2C04B6E9">
            <w:pPr>
              <w:pStyle w:val="173"/>
              <w:ind w:left="420" w:leftChars="0" w:hanging="420" w:firstLineChars="0"/>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0.0001L</w:t>
            </w:r>
          </w:p>
        </w:tc>
        <w:tc>
          <w:tcPr>
            <w:tcW w:w="644" w:type="pct"/>
            <w:shd w:val="clear" w:color="auto" w:fill="auto"/>
            <w:vAlign w:val="center"/>
          </w:tcPr>
          <w:p w14:paraId="6D833A30">
            <w:pPr>
              <w:pStyle w:val="173"/>
              <w:ind w:left="420" w:leftChars="0" w:hanging="420" w:firstLineChars="0"/>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0.0001L</w:t>
            </w:r>
          </w:p>
        </w:tc>
        <w:tc>
          <w:tcPr>
            <w:tcW w:w="567" w:type="pct"/>
            <w:vAlign w:val="center"/>
          </w:tcPr>
          <w:p w14:paraId="68D90E2A">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≤0.005</w:t>
            </w:r>
          </w:p>
        </w:tc>
      </w:tr>
      <w:tr w14:paraId="4AC9C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2B4F5DDD">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635" w:type="pct"/>
            <w:shd w:val="clear" w:color="auto" w:fill="auto"/>
            <w:vAlign w:val="center"/>
          </w:tcPr>
          <w:p w14:paraId="4EE0AF42">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637" w:type="pct"/>
            <w:shd w:val="clear" w:color="auto" w:fill="auto"/>
            <w:vAlign w:val="center"/>
          </w:tcPr>
          <w:p w14:paraId="2E800EF9">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635" w:type="pct"/>
            <w:shd w:val="clear" w:color="auto" w:fill="auto"/>
            <w:vAlign w:val="center"/>
          </w:tcPr>
          <w:p w14:paraId="0DE8F166">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647" w:type="pct"/>
            <w:shd w:val="clear" w:color="auto" w:fill="auto"/>
            <w:vAlign w:val="center"/>
          </w:tcPr>
          <w:p w14:paraId="144141A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644" w:type="pct"/>
            <w:shd w:val="clear" w:color="auto" w:fill="auto"/>
            <w:vAlign w:val="center"/>
          </w:tcPr>
          <w:p w14:paraId="0289BFD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567" w:type="pct"/>
            <w:vAlign w:val="center"/>
          </w:tcPr>
          <w:p w14:paraId="3ADAEED8">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≤0.05</w:t>
            </w:r>
          </w:p>
        </w:tc>
      </w:tr>
      <w:tr w14:paraId="1AB12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1970D7BE">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总大肠菌群（MPN/100mL）</w:t>
            </w:r>
          </w:p>
        </w:tc>
        <w:tc>
          <w:tcPr>
            <w:tcW w:w="635" w:type="pct"/>
            <w:shd w:val="clear" w:color="auto" w:fill="auto"/>
            <w:vAlign w:val="center"/>
          </w:tcPr>
          <w:p w14:paraId="27EB5599">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2L</w:t>
            </w:r>
          </w:p>
        </w:tc>
        <w:tc>
          <w:tcPr>
            <w:tcW w:w="637" w:type="pct"/>
            <w:shd w:val="clear" w:color="auto" w:fill="auto"/>
            <w:vAlign w:val="center"/>
          </w:tcPr>
          <w:p w14:paraId="049204B4">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2L</w:t>
            </w:r>
          </w:p>
        </w:tc>
        <w:tc>
          <w:tcPr>
            <w:tcW w:w="635" w:type="pct"/>
            <w:shd w:val="clear" w:color="auto" w:fill="auto"/>
            <w:vAlign w:val="center"/>
          </w:tcPr>
          <w:p w14:paraId="51685001">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2L</w:t>
            </w:r>
          </w:p>
        </w:tc>
        <w:tc>
          <w:tcPr>
            <w:tcW w:w="647" w:type="pct"/>
            <w:shd w:val="clear" w:color="auto" w:fill="auto"/>
            <w:vAlign w:val="center"/>
          </w:tcPr>
          <w:p w14:paraId="78E04120">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2L</w:t>
            </w:r>
          </w:p>
        </w:tc>
        <w:tc>
          <w:tcPr>
            <w:tcW w:w="644" w:type="pct"/>
            <w:shd w:val="clear" w:color="auto" w:fill="auto"/>
            <w:vAlign w:val="center"/>
          </w:tcPr>
          <w:p w14:paraId="32D008F4">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2L</w:t>
            </w:r>
          </w:p>
        </w:tc>
        <w:tc>
          <w:tcPr>
            <w:tcW w:w="567" w:type="pct"/>
            <w:vAlign w:val="center"/>
          </w:tcPr>
          <w:p w14:paraId="1638E9F8">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≤3.0</w:t>
            </w:r>
          </w:p>
        </w:tc>
      </w:tr>
      <w:tr w14:paraId="019AC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5463B5AF">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菌落总数（CFU/mL）</w:t>
            </w:r>
          </w:p>
        </w:tc>
        <w:tc>
          <w:tcPr>
            <w:tcW w:w="635" w:type="pct"/>
            <w:shd w:val="clear" w:color="auto" w:fill="auto"/>
            <w:vAlign w:val="center"/>
          </w:tcPr>
          <w:p w14:paraId="0CC4E3C0">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10</w:t>
            </w:r>
          </w:p>
        </w:tc>
        <w:tc>
          <w:tcPr>
            <w:tcW w:w="637" w:type="pct"/>
            <w:shd w:val="clear" w:color="auto" w:fill="auto"/>
            <w:vAlign w:val="center"/>
          </w:tcPr>
          <w:p w14:paraId="1975377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11</w:t>
            </w:r>
          </w:p>
        </w:tc>
        <w:tc>
          <w:tcPr>
            <w:tcW w:w="635" w:type="pct"/>
            <w:shd w:val="clear" w:color="auto" w:fill="auto"/>
            <w:vAlign w:val="center"/>
          </w:tcPr>
          <w:p w14:paraId="3A5AC1C4">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12</w:t>
            </w:r>
          </w:p>
        </w:tc>
        <w:tc>
          <w:tcPr>
            <w:tcW w:w="647" w:type="pct"/>
            <w:shd w:val="clear" w:color="auto" w:fill="auto"/>
            <w:vAlign w:val="center"/>
          </w:tcPr>
          <w:p w14:paraId="24CA15F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7</w:t>
            </w:r>
          </w:p>
        </w:tc>
        <w:tc>
          <w:tcPr>
            <w:tcW w:w="644" w:type="pct"/>
            <w:shd w:val="clear" w:color="auto" w:fill="auto"/>
            <w:vAlign w:val="center"/>
          </w:tcPr>
          <w:p w14:paraId="213C4023">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8</w:t>
            </w:r>
          </w:p>
        </w:tc>
        <w:tc>
          <w:tcPr>
            <w:tcW w:w="567" w:type="pct"/>
            <w:vAlign w:val="center"/>
          </w:tcPr>
          <w:p w14:paraId="0D7371C5">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lang w:val="en-GB"/>
              </w:rPr>
              <w:t>≤100</w:t>
            </w:r>
          </w:p>
        </w:tc>
      </w:tr>
      <w:tr w14:paraId="796B9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23A05F10">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硫化物（mg/L）</w:t>
            </w:r>
          </w:p>
        </w:tc>
        <w:tc>
          <w:tcPr>
            <w:tcW w:w="635" w:type="pct"/>
            <w:shd w:val="clear" w:color="auto" w:fill="auto"/>
            <w:vAlign w:val="center"/>
          </w:tcPr>
          <w:p w14:paraId="370CB676">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0.003L</w:t>
            </w:r>
          </w:p>
        </w:tc>
        <w:tc>
          <w:tcPr>
            <w:tcW w:w="637" w:type="pct"/>
            <w:shd w:val="clear" w:color="auto" w:fill="auto"/>
            <w:vAlign w:val="center"/>
          </w:tcPr>
          <w:p w14:paraId="41CCDF5E">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0.003L</w:t>
            </w:r>
          </w:p>
        </w:tc>
        <w:tc>
          <w:tcPr>
            <w:tcW w:w="635" w:type="pct"/>
            <w:shd w:val="clear" w:color="auto" w:fill="auto"/>
            <w:vAlign w:val="center"/>
          </w:tcPr>
          <w:p w14:paraId="292F7938">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default" w:ascii="Times New Roman" w:hAnsi="Times New Roman" w:cs="Times New Roman" w:eastAsiaTheme="minorEastAsia"/>
                <w:color w:val="auto"/>
                <w:w w:val="99"/>
                <w:sz w:val="21"/>
                <w:szCs w:val="21"/>
                <w:highlight w:val="none"/>
                <w:lang w:val="en-US" w:eastAsia="zh-CN" w:bidi="ar-SA"/>
              </w:rPr>
              <w:t>0.003L</w:t>
            </w:r>
          </w:p>
        </w:tc>
        <w:tc>
          <w:tcPr>
            <w:tcW w:w="647" w:type="pct"/>
            <w:shd w:val="clear" w:color="auto" w:fill="auto"/>
            <w:vAlign w:val="center"/>
          </w:tcPr>
          <w:p w14:paraId="34738FA9">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0.003L</w:t>
            </w:r>
          </w:p>
        </w:tc>
        <w:tc>
          <w:tcPr>
            <w:tcW w:w="644" w:type="pct"/>
            <w:shd w:val="clear" w:color="auto" w:fill="auto"/>
            <w:vAlign w:val="center"/>
          </w:tcPr>
          <w:p w14:paraId="618362B7">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0.003L</w:t>
            </w:r>
          </w:p>
        </w:tc>
        <w:tc>
          <w:tcPr>
            <w:tcW w:w="567" w:type="pct"/>
            <w:vAlign w:val="center"/>
          </w:tcPr>
          <w:p w14:paraId="317EE1FA">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lang w:val="en-GB"/>
              </w:rPr>
            </w:pPr>
            <w:r>
              <w:rPr>
                <w:rFonts w:ascii="Times New Roman" w:hAnsi="Times New Roman" w:cs="Times New Roman" w:eastAsiaTheme="minorEastAsia"/>
                <w:color w:val="auto"/>
                <w:w w:val="99"/>
                <w:kern w:val="2"/>
                <w:sz w:val="21"/>
                <w:szCs w:val="21"/>
                <w:highlight w:val="none"/>
              </w:rPr>
              <w:t>≤0.02</w:t>
            </w:r>
          </w:p>
        </w:tc>
      </w:tr>
      <w:tr w14:paraId="1021F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33" w:type="pct"/>
            <w:vAlign w:val="center"/>
          </w:tcPr>
          <w:p w14:paraId="1D69EB74">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lang w:val="en-US" w:eastAsia="zh-CN"/>
              </w:rPr>
              <w:t>钡</w:t>
            </w:r>
            <w:r>
              <w:rPr>
                <w:rFonts w:hint="default" w:ascii="Times New Roman" w:hAnsi="Times New Roman" w:cs="Times New Roman" w:eastAsiaTheme="minorEastAsia"/>
                <w:color w:val="auto"/>
                <w:w w:val="99"/>
                <w:sz w:val="21"/>
                <w:szCs w:val="21"/>
                <w:highlight w:val="none"/>
                <w:lang w:val="zh-CN" w:eastAsia="zh-CN"/>
              </w:rPr>
              <w:t>（</w:t>
            </w:r>
            <w:r>
              <w:rPr>
                <w:rFonts w:hint="default" w:ascii="Times New Roman" w:hAnsi="Times New Roman" w:cs="Times New Roman" w:eastAsiaTheme="minorEastAsia"/>
                <w:color w:val="auto"/>
                <w:w w:val="99"/>
                <w:sz w:val="21"/>
                <w:szCs w:val="21"/>
                <w:highlight w:val="none"/>
              </w:rPr>
              <w:t>μg</w:t>
            </w:r>
            <w:r>
              <w:rPr>
                <w:rFonts w:hint="default" w:ascii="Times New Roman" w:hAnsi="Times New Roman" w:cs="Times New Roman" w:eastAsiaTheme="minorEastAsia"/>
                <w:color w:val="auto"/>
                <w:w w:val="99"/>
                <w:sz w:val="21"/>
                <w:szCs w:val="21"/>
                <w:highlight w:val="none"/>
                <w:lang w:eastAsia="zh-CN"/>
              </w:rPr>
              <w:t>/L）</w:t>
            </w:r>
          </w:p>
        </w:tc>
        <w:tc>
          <w:tcPr>
            <w:tcW w:w="635" w:type="pct"/>
            <w:shd w:val="clear" w:color="auto" w:fill="auto"/>
            <w:vAlign w:val="center"/>
          </w:tcPr>
          <w:p w14:paraId="7CD8C766">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637" w:type="pct"/>
            <w:shd w:val="clear" w:color="auto" w:fill="auto"/>
            <w:vAlign w:val="center"/>
          </w:tcPr>
          <w:p w14:paraId="5D8AA2C2">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635" w:type="pct"/>
            <w:shd w:val="clear" w:color="auto" w:fill="auto"/>
            <w:vAlign w:val="center"/>
          </w:tcPr>
          <w:p w14:paraId="77AA0D3F">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647" w:type="pct"/>
            <w:shd w:val="clear" w:color="auto" w:fill="auto"/>
            <w:vAlign w:val="center"/>
          </w:tcPr>
          <w:p w14:paraId="5741D210">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644" w:type="pct"/>
            <w:shd w:val="clear" w:color="auto" w:fill="auto"/>
            <w:vAlign w:val="center"/>
          </w:tcPr>
          <w:p w14:paraId="29FECE00">
            <w:pPr>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0.01L</w:t>
            </w:r>
          </w:p>
        </w:tc>
        <w:tc>
          <w:tcPr>
            <w:tcW w:w="567" w:type="pct"/>
            <w:vAlign w:val="center"/>
          </w:tcPr>
          <w:p w14:paraId="4B00DB3C">
            <w:pPr>
              <w:widowControl w:val="0"/>
              <w:adjustRightInd w:val="0"/>
              <w:spacing w:line="320" w:lineRule="exact"/>
              <w:jc w:val="center"/>
              <w:textAlignment w:val="baseline"/>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kern w:val="2"/>
                <w:sz w:val="21"/>
                <w:szCs w:val="21"/>
                <w:highlight w:val="none"/>
                <w:vertAlign w:val="baseline"/>
                <w:lang w:eastAsia="zh-CN"/>
              </w:rPr>
              <w:t>≤</w:t>
            </w:r>
            <w:r>
              <w:rPr>
                <w:rFonts w:hint="default" w:ascii="Times New Roman" w:hAnsi="Times New Roman" w:eastAsia="宋体" w:cs="Times New Roman"/>
                <w:color w:val="auto"/>
                <w:kern w:val="2"/>
                <w:sz w:val="21"/>
                <w:szCs w:val="21"/>
                <w:highlight w:val="none"/>
                <w:vertAlign w:val="baseline"/>
                <w:lang w:val="en-US" w:eastAsia="zh-CN"/>
              </w:rPr>
              <w:t>7</w:t>
            </w:r>
            <w:r>
              <w:rPr>
                <w:rFonts w:hint="default" w:ascii="Times New Roman" w:hAnsi="Times New Roman" w:eastAsia="宋体" w:cs="Times New Roman"/>
                <w:color w:val="auto"/>
                <w:kern w:val="2"/>
                <w:sz w:val="21"/>
                <w:szCs w:val="21"/>
                <w:highlight w:val="none"/>
                <w:vertAlign w:val="baseline"/>
                <w:lang w:eastAsia="zh-CN"/>
              </w:rPr>
              <w:t>00</w:t>
            </w:r>
          </w:p>
        </w:tc>
      </w:tr>
    </w:tbl>
    <w:p w14:paraId="1E4641C2">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4.3.2.3地下水水质现状评价</w:t>
      </w:r>
    </w:p>
    <w:p w14:paraId="08556C19">
      <w:pPr>
        <w:pStyle w:val="41"/>
        <w:widowControl w:val="0"/>
        <w:spacing w:line="440" w:lineRule="exact"/>
        <w:ind w:firstLine="474" w:firstLineChars="200"/>
        <w:rPr>
          <w:rFonts w:ascii="Times New Roman" w:hAnsi="Times New Roman"/>
          <w:color w:val="auto"/>
          <w:w w:val="99"/>
          <w:sz w:val="24"/>
          <w:highlight w:val="none"/>
        </w:rPr>
      </w:pPr>
      <w:r>
        <w:rPr>
          <w:rFonts w:ascii="Times New Roman" w:hAnsi="Times New Roman"/>
          <w:color w:val="auto"/>
          <w:w w:val="99"/>
          <w:sz w:val="24"/>
          <w:highlight w:val="none"/>
        </w:rPr>
        <w:t>（1）评价标准</w:t>
      </w:r>
    </w:p>
    <w:p w14:paraId="5020AC89">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采用《地下水质量标准》（GB/T14848-2017）中Ⅲ类标准，石油类参照《地表水环境质量标准》（GB3838-2002）中的Ⅱ类标准执行≤0.05mg/L。</w:t>
      </w:r>
    </w:p>
    <w:p w14:paraId="1087D91E">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（2）评价方法</w:t>
      </w:r>
    </w:p>
    <w:p w14:paraId="46A1031A">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采用单因子标准指数法对地下水水质现状监测结果进行评价，评价模式如下：</w:t>
      </w:r>
    </w:p>
    <w:p w14:paraId="2A00E6EC">
      <w:pPr>
        <w:jc w:val="center"/>
        <w:rPr>
          <w:rFonts w:ascii="Times New Roman" w:hAnsi="Times New Roman" w:cs="Times New Roman"/>
          <w:color w:val="auto"/>
          <w:w w:val="99"/>
          <w:highlight w:val="none"/>
        </w:rPr>
      </w:pPr>
      <w:r>
        <w:rPr>
          <w:rFonts w:ascii="Times New Roman" w:hAnsi="Times New Roman" w:cs="Times New Roman"/>
          <w:color w:val="auto"/>
          <w:w w:val="99"/>
          <w:highlight w:val="none"/>
        </w:rPr>
        <w:drawing>
          <wp:inline distT="0" distB="0" distL="0" distR="0">
            <wp:extent cx="762000" cy="333375"/>
            <wp:effectExtent l="0" t="0" r="0" b="9525"/>
            <wp:docPr id="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62000" cy="333375"/>
                    </a:xfrm>
                    <a:prstGeom prst="rect">
                      <a:avLst/>
                    </a:prstGeom>
                    <a:noFill/>
                    <a:ln>
                      <a:noFill/>
                    </a:ln>
                  </pic:spPr>
                </pic:pic>
              </a:graphicData>
            </a:graphic>
          </wp:inline>
        </w:drawing>
      </w:r>
    </w:p>
    <w:p w14:paraId="7FA7A37A">
      <w:pPr>
        <w:widowControl w:val="0"/>
        <w:spacing w:line="440" w:lineRule="exact"/>
        <w:ind w:firstLine="473"/>
        <w:rPr>
          <w:rFonts w:ascii="Times New Roman" w:hAnsi="Times New Roman" w:cs="Times New Roman"/>
          <w:color w:val="auto"/>
          <w:w w:val="99"/>
          <w:highlight w:val="none"/>
        </w:rPr>
      </w:pPr>
      <w:r>
        <w:rPr>
          <w:rFonts w:ascii="Times New Roman" w:hAnsi="Times New Roman" w:cs="Times New Roman"/>
          <w:color w:val="auto"/>
          <w:w w:val="99"/>
          <w:highlight w:val="none"/>
        </w:rPr>
        <w:t>式中：S</w:t>
      </w:r>
      <w:r>
        <w:rPr>
          <w:rFonts w:ascii="Times New Roman" w:hAnsi="Times New Roman" w:cs="Times New Roman"/>
          <w:color w:val="auto"/>
          <w:w w:val="99"/>
          <w:highlight w:val="none"/>
          <w:vertAlign w:val="subscript"/>
        </w:rPr>
        <w:t>i,j</w:t>
      </w:r>
      <w:r>
        <w:rPr>
          <w:rFonts w:ascii="Times New Roman" w:hAnsi="Times New Roman" w:cs="Times New Roman"/>
          <w:color w:val="auto"/>
          <w:w w:val="99"/>
          <w:highlight w:val="none"/>
        </w:rPr>
        <w:t>——水质单因子i在第j点的标准指数；</w:t>
      </w:r>
    </w:p>
    <w:p w14:paraId="5D3784EA">
      <w:pPr>
        <w:widowControl w:val="0"/>
        <w:spacing w:line="440" w:lineRule="exact"/>
        <w:ind w:firstLine="1185" w:firstLineChars="500"/>
        <w:rPr>
          <w:rFonts w:ascii="Times New Roman" w:hAnsi="Times New Roman" w:cs="Times New Roman"/>
          <w:color w:val="auto"/>
          <w:w w:val="99"/>
          <w:highlight w:val="none"/>
        </w:rPr>
      </w:pPr>
      <w:r>
        <w:rPr>
          <w:rFonts w:ascii="Times New Roman" w:hAnsi="Times New Roman" w:cs="Times New Roman"/>
          <w:color w:val="auto"/>
          <w:w w:val="99"/>
          <w:highlight w:val="none"/>
        </w:rPr>
        <w:t>C</w:t>
      </w:r>
      <w:r>
        <w:rPr>
          <w:rFonts w:ascii="Times New Roman" w:hAnsi="Times New Roman" w:cs="Times New Roman"/>
          <w:color w:val="auto"/>
          <w:w w:val="99"/>
          <w:highlight w:val="none"/>
          <w:vertAlign w:val="subscript"/>
        </w:rPr>
        <w:t>ij</w:t>
      </w:r>
      <w:r>
        <w:rPr>
          <w:rFonts w:ascii="Times New Roman" w:hAnsi="Times New Roman" w:cs="Times New Roman"/>
          <w:color w:val="auto"/>
          <w:w w:val="99"/>
          <w:highlight w:val="none"/>
        </w:rPr>
        <w:t xml:space="preserve"> ——水质评价因子i在第j点的监测值，mg/L；</w:t>
      </w:r>
    </w:p>
    <w:p w14:paraId="35F3001E">
      <w:pPr>
        <w:widowControl w:val="0"/>
        <w:spacing w:line="440" w:lineRule="exact"/>
        <w:ind w:firstLine="1185" w:firstLineChars="500"/>
        <w:rPr>
          <w:rFonts w:ascii="Times New Roman" w:hAnsi="Times New Roman" w:cs="Times New Roman"/>
          <w:color w:val="auto"/>
          <w:w w:val="99"/>
          <w:highlight w:val="none"/>
        </w:rPr>
      </w:pPr>
      <w:r>
        <w:rPr>
          <w:rFonts w:ascii="Times New Roman" w:hAnsi="Times New Roman" w:cs="Times New Roman"/>
          <w:color w:val="auto"/>
          <w:w w:val="99"/>
          <w:highlight w:val="none"/>
        </w:rPr>
        <w:t>C</w:t>
      </w:r>
      <w:r>
        <w:rPr>
          <w:rFonts w:ascii="Times New Roman" w:hAnsi="Times New Roman" w:cs="Times New Roman"/>
          <w:color w:val="auto"/>
          <w:w w:val="99"/>
          <w:highlight w:val="none"/>
          <w:vertAlign w:val="subscript"/>
        </w:rPr>
        <w:t>si</w:t>
      </w:r>
      <w:r>
        <w:rPr>
          <w:rFonts w:ascii="Times New Roman" w:hAnsi="Times New Roman" w:cs="Times New Roman"/>
          <w:color w:val="auto"/>
          <w:w w:val="99"/>
          <w:highlight w:val="none"/>
        </w:rPr>
        <w:t>——i因子的评价标准，mg/L。</w:t>
      </w:r>
    </w:p>
    <w:p w14:paraId="46584315">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pH的标准指数公式：</w:t>
      </w:r>
    </w:p>
    <w:p w14:paraId="431261B5">
      <w:pPr>
        <w:widowControl w:val="0"/>
        <w:spacing w:line="50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pH</w:t>
      </w:r>
      <w:r>
        <w:rPr>
          <w:rFonts w:ascii="Times New Roman" w:hAnsi="Times New Roman" w:cs="Times New Roman"/>
          <w:color w:val="auto"/>
          <w:w w:val="99"/>
          <w:highlight w:val="none"/>
          <w:vertAlign w:val="subscript"/>
        </w:rPr>
        <w:t>j</w:t>
      </w:r>
      <w:r>
        <w:rPr>
          <w:rFonts w:ascii="Times New Roman" w:hAnsi="Times New Roman" w:cs="Times New Roman"/>
          <w:color w:val="auto"/>
          <w:w w:val="99"/>
          <w:highlight w:val="none"/>
        </w:rPr>
        <w:t>≤7.0时</w:t>
      </w:r>
    </w:p>
    <w:p w14:paraId="333B37DE">
      <w:pPr>
        <w:spacing w:line="360" w:lineRule="auto"/>
        <w:ind w:firstLine="2488" w:firstLineChars="1050"/>
        <w:rPr>
          <w:rFonts w:ascii="Times New Roman" w:hAnsi="Times New Roman" w:cs="Times New Roman"/>
          <w:color w:val="auto"/>
          <w:w w:val="99"/>
          <w:highlight w:val="none"/>
        </w:rPr>
      </w:pPr>
      <w:r>
        <w:rPr>
          <w:rFonts w:ascii="Times New Roman" w:hAnsi="Times New Roman" w:cs="Times New Roman"/>
          <w:color w:val="auto"/>
          <w:w w:val="99"/>
          <w:highlight w:val="none"/>
        </w:rPr>
        <w:drawing>
          <wp:inline distT="0" distB="0" distL="0" distR="0">
            <wp:extent cx="1238250" cy="447675"/>
            <wp:effectExtent l="0" t="0" r="0" b="9525"/>
            <wp:docPr id="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38250" cy="447675"/>
                    </a:xfrm>
                    <a:prstGeom prst="rect">
                      <a:avLst/>
                    </a:prstGeom>
                    <a:noFill/>
                    <a:ln>
                      <a:noFill/>
                    </a:ln>
                  </pic:spPr>
                </pic:pic>
              </a:graphicData>
            </a:graphic>
          </wp:inline>
        </w:drawing>
      </w:r>
    </w:p>
    <w:p w14:paraId="01DB14B2">
      <w:pPr>
        <w:widowControl w:val="0"/>
        <w:spacing w:line="500" w:lineRule="exact"/>
        <w:ind w:firstLine="471"/>
        <w:rPr>
          <w:rFonts w:ascii="Times New Roman" w:hAnsi="Times New Roman" w:cs="Times New Roman"/>
          <w:color w:val="auto"/>
          <w:w w:val="99"/>
          <w:highlight w:val="none"/>
        </w:rPr>
      </w:pPr>
      <w:r>
        <w:rPr>
          <w:rFonts w:ascii="Times New Roman" w:hAnsi="Times New Roman" w:cs="Times New Roman"/>
          <w:color w:val="auto"/>
          <w:w w:val="99"/>
          <w:highlight w:val="none"/>
        </w:rPr>
        <w:t>pH</w:t>
      </w:r>
      <w:r>
        <w:rPr>
          <w:rFonts w:ascii="Times New Roman" w:hAnsi="Times New Roman" w:cs="Times New Roman"/>
          <w:color w:val="auto"/>
          <w:w w:val="99"/>
          <w:highlight w:val="none"/>
          <w:vertAlign w:val="subscript"/>
        </w:rPr>
        <w:t>j</w:t>
      </w:r>
      <w:r>
        <w:rPr>
          <w:rFonts w:ascii="Times New Roman" w:hAnsi="Times New Roman" w:cs="Times New Roman"/>
          <w:color w:val="auto"/>
          <w:w w:val="99"/>
          <w:highlight w:val="none"/>
        </w:rPr>
        <w:t>＞7.0时</w:t>
      </w:r>
    </w:p>
    <w:p w14:paraId="4CB5AA5C">
      <w:pPr>
        <w:spacing w:line="360" w:lineRule="auto"/>
        <w:ind w:firstLine="2488" w:firstLineChars="1050"/>
        <w:rPr>
          <w:rFonts w:ascii="Times New Roman" w:hAnsi="Times New Roman" w:cs="Times New Roman"/>
          <w:color w:val="auto"/>
          <w:w w:val="99"/>
          <w:highlight w:val="none"/>
        </w:rPr>
      </w:pPr>
      <w:r>
        <w:rPr>
          <w:rFonts w:ascii="Times New Roman" w:hAnsi="Times New Roman" w:cs="Times New Roman"/>
          <w:color w:val="auto"/>
          <w:w w:val="99"/>
          <w:highlight w:val="none"/>
        </w:rPr>
        <w:drawing>
          <wp:inline distT="0" distB="0" distL="0" distR="0">
            <wp:extent cx="1266825" cy="457200"/>
            <wp:effectExtent l="0" t="0" r="9525" b="0"/>
            <wp:docPr id="5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14:paraId="70556004">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式中：S</w:t>
      </w:r>
      <w:r>
        <w:rPr>
          <w:rFonts w:ascii="Times New Roman" w:hAnsi="Times New Roman" w:cs="Times New Roman"/>
          <w:color w:val="auto"/>
          <w:w w:val="99"/>
          <w:highlight w:val="none"/>
          <w:vertAlign w:val="subscript"/>
        </w:rPr>
        <w:t>pH.j</w:t>
      </w:r>
      <w:r>
        <w:rPr>
          <w:rFonts w:ascii="Times New Roman" w:hAnsi="Times New Roman" w:cs="Times New Roman"/>
          <w:color w:val="auto"/>
          <w:w w:val="99"/>
          <w:highlight w:val="none"/>
        </w:rPr>
        <w:t>——pH值的单项指数；</w:t>
      </w:r>
    </w:p>
    <w:p w14:paraId="16516D12">
      <w:pPr>
        <w:widowControl w:val="0"/>
        <w:spacing w:line="440" w:lineRule="exact"/>
        <w:ind w:firstLine="1185" w:firstLineChars="500"/>
        <w:rPr>
          <w:rFonts w:ascii="Times New Roman" w:hAnsi="Times New Roman" w:cs="Times New Roman"/>
          <w:color w:val="auto"/>
          <w:w w:val="99"/>
          <w:highlight w:val="none"/>
        </w:rPr>
      </w:pPr>
      <w:r>
        <w:rPr>
          <w:rFonts w:ascii="Times New Roman" w:hAnsi="Times New Roman" w:cs="Times New Roman"/>
          <w:color w:val="auto"/>
          <w:w w:val="99"/>
          <w:highlight w:val="none"/>
        </w:rPr>
        <w:t>pH</w:t>
      </w:r>
      <w:r>
        <w:rPr>
          <w:rFonts w:ascii="Times New Roman" w:hAnsi="Times New Roman" w:cs="Times New Roman"/>
          <w:color w:val="auto"/>
          <w:w w:val="99"/>
          <w:highlight w:val="none"/>
          <w:vertAlign w:val="subscript"/>
        </w:rPr>
        <w:t>j</w:t>
      </w:r>
      <w:r>
        <w:rPr>
          <w:rFonts w:ascii="Times New Roman" w:hAnsi="Times New Roman" w:cs="Times New Roman"/>
          <w:color w:val="auto"/>
          <w:w w:val="99"/>
          <w:highlight w:val="none"/>
        </w:rPr>
        <w:t>——j点pH值监测值；</w:t>
      </w:r>
    </w:p>
    <w:p w14:paraId="4CD20981">
      <w:pPr>
        <w:widowControl w:val="0"/>
        <w:spacing w:line="440" w:lineRule="exact"/>
        <w:ind w:firstLine="1185" w:firstLineChars="500"/>
        <w:rPr>
          <w:rFonts w:ascii="Times New Roman" w:hAnsi="Times New Roman" w:cs="Times New Roman"/>
          <w:color w:val="auto"/>
          <w:w w:val="99"/>
          <w:highlight w:val="none"/>
        </w:rPr>
      </w:pPr>
      <w:r>
        <w:rPr>
          <w:rFonts w:ascii="Times New Roman" w:hAnsi="Times New Roman" w:cs="Times New Roman"/>
          <w:color w:val="auto"/>
          <w:w w:val="99"/>
          <w:highlight w:val="none"/>
        </w:rPr>
        <w:t>pH</w:t>
      </w:r>
      <w:r>
        <w:rPr>
          <w:rFonts w:ascii="Times New Roman" w:hAnsi="Times New Roman" w:cs="Times New Roman"/>
          <w:color w:val="auto"/>
          <w:w w:val="99"/>
          <w:highlight w:val="none"/>
          <w:vertAlign w:val="subscript"/>
        </w:rPr>
        <w:t>su</w:t>
      </w:r>
      <w:r>
        <w:rPr>
          <w:rFonts w:ascii="Times New Roman" w:hAnsi="Times New Roman" w:cs="Times New Roman"/>
          <w:color w:val="auto"/>
          <w:w w:val="99"/>
          <w:highlight w:val="none"/>
        </w:rPr>
        <w:t>——水质标准中pH值上限；</w:t>
      </w:r>
    </w:p>
    <w:p w14:paraId="30C37C05">
      <w:pPr>
        <w:widowControl w:val="0"/>
        <w:spacing w:line="440" w:lineRule="exact"/>
        <w:ind w:firstLine="1185" w:firstLineChars="500"/>
        <w:rPr>
          <w:rFonts w:ascii="Times New Roman" w:hAnsi="Times New Roman" w:cs="Times New Roman"/>
          <w:color w:val="auto"/>
          <w:w w:val="99"/>
          <w:highlight w:val="none"/>
        </w:rPr>
      </w:pPr>
      <w:r>
        <w:rPr>
          <w:rFonts w:ascii="Times New Roman" w:hAnsi="Times New Roman" w:cs="Times New Roman"/>
          <w:color w:val="auto"/>
          <w:w w:val="99"/>
          <w:highlight w:val="none"/>
        </w:rPr>
        <w:t>pH</w:t>
      </w:r>
      <w:r>
        <w:rPr>
          <w:rFonts w:ascii="Times New Roman" w:hAnsi="Times New Roman" w:cs="Times New Roman"/>
          <w:color w:val="auto"/>
          <w:w w:val="99"/>
          <w:highlight w:val="none"/>
          <w:vertAlign w:val="subscript"/>
        </w:rPr>
        <w:t>sd</w:t>
      </w:r>
      <w:r>
        <w:rPr>
          <w:rFonts w:ascii="Times New Roman" w:hAnsi="Times New Roman" w:cs="Times New Roman"/>
          <w:color w:val="auto"/>
          <w:w w:val="99"/>
          <w:highlight w:val="none"/>
        </w:rPr>
        <w:t>——水质标准中pH值下限。</w:t>
      </w:r>
    </w:p>
    <w:p w14:paraId="5679A3B5">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当单因子标准指数＞1 时，表示该水质参数所表征的污染物已满足不了标准要求，水体已受到污染；反之，则满足标准要求。</w:t>
      </w:r>
    </w:p>
    <w:p w14:paraId="138A3312">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（3）单因子标准指数</w:t>
      </w:r>
    </w:p>
    <w:p w14:paraId="37D5E4A0">
      <w:pPr>
        <w:widowControl w:val="0"/>
        <w:spacing w:line="440" w:lineRule="exact"/>
        <w:ind w:firstLine="474" w:firstLineChars="200"/>
        <w:rPr>
          <w:rFonts w:ascii="Times New Roman" w:hAnsi="Times New Roman" w:cs="Times New Roman"/>
          <w:color w:val="auto"/>
          <w:w w:val="99"/>
          <w:highlight w:val="none"/>
        </w:rPr>
      </w:pPr>
      <w:r>
        <w:rPr>
          <w:rFonts w:ascii="Times New Roman" w:hAnsi="Times New Roman" w:cs="Times New Roman"/>
          <w:color w:val="auto"/>
          <w:w w:val="99"/>
          <w:highlight w:val="none"/>
        </w:rPr>
        <w:t>地下水单因子标准指数计算结果见表4.3-1</w:t>
      </w:r>
      <w:r>
        <w:rPr>
          <w:rFonts w:hint="eastAsia" w:ascii="Times New Roman" w:hAnsi="Times New Roman" w:cs="Times New Roman"/>
          <w:color w:val="auto"/>
          <w:w w:val="99"/>
          <w:highlight w:val="none"/>
          <w:lang w:val="en-US" w:eastAsia="zh-CN"/>
        </w:rPr>
        <w:t>0</w:t>
      </w:r>
      <w:r>
        <w:rPr>
          <w:rFonts w:ascii="Times New Roman" w:hAnsi="Times New Roman" w:cs="Times New Roman"/>
          <w:color w:val="auto"/>
          <w:w w:val="99"/>
          <w:highlight w:val="none"/>
        </w:rPr>
        <w:t>。</w:t>
      </w:r>
    </w:p>
    <w:p w14:paraId="23B0929D">
      <w:pPr>
        <w:widowControl w:val="0"/>
        <w:spacing w:line="440" w:lineRule="exact"/>
        <w:ind w:firstLine="476" w:firstLineChars="200"/>
        <w:rPr>
          <w:rFonts w:ascii="Times New Roman" w:hAnsi="Times New Roman" w:cs="Times New Roman"/>
          <w:color w:val="auto"/>
          <w:w w:val="99"/>
          <w:highlight w:val="none"/>
        </w:rPr>
      </w:pPr>
      <w:r>
        <w:rPr>
          <w:rFonts w:ascii="Times New Roman" w:hAnsi="Times New Roman" w:cs="Times New Roman" w:eastAsiaTheme="minorEastAsia"/>
          <w:b/>
          <w:color w:val="auto"/>
          <w:w w:val="99"/>
          <w:highlight w:val="none"/>
        </w:rPr>
        <w:t>表4.3-1</w:t>
      </w:r>
      <w:r>
        <w:rPr>
          <w:rFonts w:hint="eastAsia" w:ascii="Times New Roman" w:hAnsi="Times New Roman" w:cs="Times New Roman" w:eastAsiaTheme="minorEastAsia"/>
          <w:b/>
          <w:color w:val="auto"/>
          <w:w w:val="99"/>
          <w:highlight w:val="none"/>
          <w:lang w:val="en-US" w:eastAsia="zh-CN"/>
        </w:rPr>
        <w:t>0</w:t>
      </w:r>
      <w:r>
        <w:rPr>
          <w:rFonts w:ascii="Times New Roman" w:hAnsi="Times New Roman" w:cs="Times New Roman" w:eastAsiaTheme="minorEastAsia"/>
          <w:b/>
          <w:color w:val="auto"/>
          <w:w w:val="99"/>
          <w:highlight w:val="none"/>
        </w:rPr>
        <w:t xml:space="preserve">    </w:t>
      </w:r>
      <w:r>
        <w:rPr>
          <w:rFonts w:ascii="Times New Roman" w:hAnsi="Times New Roman" w:cs="Times New Roman" w:eastAsiaTheme="minorEastAsia"/>
          <w:b/>
          <w:color w:val="auto"/>
          <w:w w:val="99"/>
          <w:szCs w:val="28"/>
          <w:highlight w:val="none"/>
        </w:rPr>
        <w:t>地下水</w:t>
      </w:r>
      <w:r>
        <w:rPr>
          <w:rFonts w:ascii="Times New Roman" w:hAnsi="Times New Roman" w:cs="Times New Roman" w:eastAsiaTheme="minorEastAsia"/>
          <w:b/>
          <w:color w:val="auto"/>
          <w:w w:val="99"/>
          <w:highlight w:val="none"/>
        </w:rPr>
        <w:t xml:space="preserve">单因子标准指数计算结果 </w:t>
      </w:r>
    </w:p>
    <w:tbl>
      <w:tblPr>
        <w:tblStyle w:val="8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72"/>
        <w:gridCol w:w="1509"/>
        <w:gridCol w:w="85"/>
        <w:gridCol w:w="1386"/>
        <w:gridCol w:w="1386"/>
        <w:gridCol w:w="1850"/>
        <w:gridCol w:w="1395"/>
      </w:tblGrid>
      <w:tr w14:paraId="21C06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41350642">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7612" w:type="dxa"/>
            <w:gridSpan w:val="6"/>
            <w:tcBorders>
              <w:right w:val="single" w:color="auto" w:sz="4" w:space="0"/>
            </w:tcBorders>
            <w:vAlign w:val="center"/>
          </w:tcPr>
          <w:p w14:paraId="040F4840">
            <w:pPr>
              <w:spacing w:line="320" w:lineRule="exact"/>
              <w:jc w:val="center"/>
              <w:rPr>
                <w:rFonts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lang w:val="zh-CN" w:eastAsia="zh-CN"/>
              </w:rPr>
              <w:t>202</w:t>
            </w:r>
            <w:r>
              <w:rPr>
                <w:rFonts w:hint="eastAsia" w:ascii="Times New Roman" w:hAnsi="Times New Roman" w:cs="Times New Roman" w:eastAsiaTheme="minorEastAsia"/>
                <w:color w:val="auto"/>
                <w:w w:val="99"/>
                <w:sz w:val="21"/>
                <w:szCs w:val="21"/>
                <w:highlight w:val="none"/>
                <w:lang w:val="en-US" w:eastAsia="zh-CN"/>
              </w:rPr>
              <w:t>6</w:t>
            </w:r>
            <w:r>
              <w:rPr>
                <w:rFonts w:hint="default" w:ascii="Times New Roman" w:hAnsi="Times New Roman" w:cs="Times New Roman" w:eastAsiaTheme="minorEastAsia"/>
                <w:color w:val="auto"/>
                <w:w w:val="99"/>
                <w:sz w:val="21"/>
                <w:szCs w:val="21"/>
                <w:highlight w:val="none"/>
                <w:lang w:val="zh-CN" w:eastAsia="zh-CN"/>
              </w:rPr>
              <w:t>.0</w:t>
            </w:r>
            <w:r>
              <w:rPr>
                <w:rFonts w:hint="eastAsia" w:ascii="Times New Roman" w:hAnsi="Times New Roman" w:cs="Times New Roman" w:eastAsiaTheme="minorEastAsia"/>
                <w:color w:val="auto"/>
                <w:w w:val="99"/>
                <w:sz w:val="21"/>
                <w:szCs w:val="21"/>
                <w:highlight w:val="none"/>
                <w:lang w:val="en-US" w:eastAsia="zh-CN"/>
              </w:rPr>
              <w:t>6</w:t>
            </w:r>
            <w:r>
              <w:rPr>
                <w:rFonts w:hint="default" w:ascii="Times New Roman" w:hAnsi="Times New Roman" w:cs="Times New Roman" w:eastAsiaTheme="minorEastAsia"/>
                <w:color w:val="auto"/>
                <w:w w:val="99"/>
                <w:sz w:val="21"/>
                <w:szCs w:val="21"/>
                <w:highlight w:val="none"/>
                <w:lang w:val="zh-CN" w:eastAsia="zh-CN"/>
              </w:rPr>
              <w:t>.</w:t>
            </w:r>
            <w:r>
              <w:rPr>
                <w:rFonts w:hint="eastAsia" w:ascii="Times New Roman" w:hAnsi="Times New Roman" w:cs="Times New Roman" w:eastAsiaTheme="minorEastAsia"/>
                <w:color w:val="auto"/>
                <w:w w:val="99"/>
                <w:sz w:val="21"/>
                <w:szCs w:val="21"/>
                <w:highlight w:val="none"/>
                <w:lang w:val="en-US" w:eastAsia="zh-CN"/>
              </w:rPr>
              <w:t>01</w:t>
            </w:r>
          </w:p>
        </w:tc>
      </w:tr>
      <w:tr w14:paraId="49A90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148E2BAA">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511" w:type="dxa"/>
            <w:vAlign w:val="center"/>
          </w:tcPr>
          <w:p w14:paraId="0B728A9B">
            <w:pPr>
              <w:pStyle w:val="27"/>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bidi="ar-SA"/>
              </w:rPr>
              <w:t>于洼子屯陈家潜水井</w:t>
            </w:r>
          </w:p>
        </w:tc>
        <w:tc>
          <w:tcPr>
            <w:tcW w:w="1516" w:type="dxa"/>
            <w:gridSpan w:val="2"/>
            <w:vAlign w:val="center"/>
          </w:tcPr>
          <w:p w14:paraId="233CE130">
            <w:pPr>
              <w:pStyle w:val="27"/>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bidi="ar-SA"/>
              </w:rPr>
              <w:t>东双山屯孙家潜水井</w:t>
            </w:r>
          </w:p>
        </w:tc>
        <w:tc>
          <w:tcPr>
            <w:tcW w:w="1511" w:type="dxa"/>
            <w:vAlign w:val="center"/>
          </w:tcPr>
          <w:p w14:paraId="77FAEECF">
            <w:pPr>
              <w:pStyle w:val="27"/>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bidi="ar-SA"/>
              </w:rPr>
              <w:t>西双山屯房家潜水井</w:t>
            </w:r>
          </w:p>
        </w:tc>
        <w:tc>
          <w:tcPr>
            <w:tcW w:w="1539" w:type="dxa"/>
            <w:tcBorders>
              <w:right w:val="single" w:color="auto" w:sz="4" w:space="0"/>
            </w:tcBorders>
            <w:vAlign w:val="center"/>
          </w:tcPr>
          <w:p w14:paraId="14EE0E2A">
            <w:pPr>
              <w:pStyle w:val="27"/>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bidi="ar-SA"/>
              </w:rPr>
              <w:t>东双山屯王家承压水井</w:t>
            </w:r>
          </w:p>
        </w:tc>
        <w:tc>
          <w:tcPr>
            <w:tcW w:w="1535" w:type="dxa"/>
            <w:tcBorders>
              <w:left w:val="single" w:color="auto" w:sz="4" w:space="0"/>
              <w:right w:val="single" w:color="auto" w:sz="4" w:space="0"/>
            </w:tcBorders>
            <w:vAlign w:val="center"/>
          </w:tcPr>
          <w:p w14:paraId="5E9036E4">
            <w:pPr>
              <w:pStyle w:val="27"/>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bidi="ar-SA"/>
              </w:rPr>
              <w:t>王家围子周家承压水井</w:t>
            </w:r>
          </w:p>
        </w:tc>
      </w:tr>
      <w:tr w14:paraId="1214D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6C2B8FCA">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p>
        </w:tc>
        <w:tc>
          <w:tcPr>
            <w:tcW w:w="1593" w:type="dxa"/>
            <w:gridSpan w:val="2"/>
            <w:vAlign w:val="center"/>
          </w:tcPr>
          <w:p w14:paraId="227B1F41">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0.282</w:t>
            </w:r>
          </w:p>
        </w:tc>
        <w:tc>
          <w:tcPr>
            <w:tcW w:w="1385" w:type="dxa"/>
            <w:vAlign w:val="center"/>
          </w:tcPr>
          <w:p w14:paraId="7FEB2464">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0.307</w:t>
            </w:r>
          </w:p>
        </w:tc>
        <w:tc>
          <w:tcPr>
            <w:tcW w:w="1385" w:type="dxa"/>
            <w:vAlign w:val="center"/>
          </w:tcPr>
          <w:p w14:paraId="0EE95618">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0.258</w:t>
            </w:r>
          </w:p>
        </w:tc>
        <w:tc>
          <w:tcPr>
            <w:tcW w:w="1850" w:type="dxa"/>
            <w:vAlign w:val="center"/>
          </w:tcPr>
          <w:p w14:paraId="1F970570">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0.207</w:t>
            </w:r>
          </w:p>
        </w:tc>
        <w:tc>
          <w:tcPr>
            <w:tcW w:w="1399" w:type="dxa"/>
            <w:vAlign w:val="center"/>
          </w:tcPr>
          <w:p w14:paraId="7160B745">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0.221</w:t>
            </w:r>
          </w:p>
        </w:tc>
      </w:tr>
      <w:tr w14:paraId="08764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trPr>
        <w:tc>
          <w:tcPr>
            <w:tcW w:w="900" w:type="pct"/>
            <w:vAlign w:val="center"/>
          </w:tcPr>
          <w:p w14:paraId="520B790D">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p>
        </w:tc>
        <w:tc>
          <w:tcPr>
            <w:tcW w:w="1593" w:type="dxa"/>
            <w:gridSpan w:val="2"/>
            <w:vAlign w:val="center"/>
          </w:tcPr>
          <w:p w14:paraId="47C1A9D3">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0.172</w:t>
            </w:r>
          </w:p>
        </w:tc>
        <w:tc>
          <w:tcPr>
            <w:tcW w:w="1385" w:type="dxa"/>
            <w:vAlign w:val="center"/>
          </w:tcPr>
          <w:p w14:paraId="68827EA7">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0.204</w:t>
            </w:r>
          </w:p>
        </w:tc>
        <w:tc>
          <w:tcPr>
            <w:tcW w:w="1385" w:type="dxa"/>
            <w:vAlign w:val="center"/>
          </w:tcPr>
          <w:p w14:paraId="6E775FFF">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0.172</w:t>
            </w:r>
          </w:p>
        </w:tc>
        <w:tc>
          <w:tcPr>
            <w:tcW w:w="1850" w:type="dxa"/>
            <w:vAlign w:val="center"/>
          </w:tcPr>
          <w:p w14:paraId="3E7E954C">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0.132</w:t>
            </w:r>
          </w:p>
        </w:tc>
        <w:tc>
          <w:tcPr>
            <w:tcW w:w="1399" w:type="dxa"/>
            <w:vAlign w:val="center"/>
          </w:tcPr>
          <w:p w14:paraId="12D831D9">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0.132</w:t>
            </w:r>
          </w:p>
        </w:tc>
      </w:tr>
      <w:tr w14:paraId="435A0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74A1077A">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p>
        </w:tc>
        <w:tc>
          <w:tcPr>
            <w:tcW w:w="1593" w:type="dxa"/>
            <w:gridSpan w:val="2"/>
            <w:vAlign w:val="center"/>
          </w:tcPr>
          <w:p w14:paraId="182AF4FE">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0.148</w:t>
            </w:r>
          </w:p>
        </w:tc>
        <w:tc>
          <w:tcPr>
            <w:tcW w:w="1385" w:type="dxa"/>
            <w:vAlign w:val="center"/>
          </w:tcPr>
          <w:p w14:paraId="35CA5A59">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0.184</w:t>
            </w:r>
          </w:p>
        </w:tc>
        <w:tc>
          <w:tcPr>
            <w:tcW w:w="1385" w:type="dxa"/>
            <w:vAlign w:val="center"/>
          </w:tcPr>
          <w:p w14:paraId="2937ECC1">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0.148</w:t>
            </w:r>
          </w:p>
        </w:tc>
        <w:tc>
          <w:tcPr>
            <w:tcW w:w="1850" w:type="dxa"/>
            <w:vAlign w:val="center"/>
          </w:tcPr>
          <w:p w14:paraId="668BA56A">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0.096</w:t>
            </w:r>
          </w:p>
        </w:tc>
        <w:tc>
          <w:tcPr>
            <w:tcW w:w="1399" w:type="dxa"/>
            <w:vAlign w:val="center"/>
          </w:tcPr>
          <w:p w14:paraId="5CD6DA8C">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0.092</w:t>
            </w:r>
          </w:p>
        </w:tc>
      </w:tr>
      <w:tr w14:paraId="36384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410B0050">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1594" w:type="dxa"/>
            <w:gridSpan w:val="2"/>
            <w:vAlign w:val="center"/>
          </w:tcPr>
          <w:p w14:paraId="286686C2">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 xml:space="preserve">0.400 </w:t>
            </w:r>
          </w:p>
        </w:tc>
        <w:tc>
          <w:tcPr>
            <w:tcW w:w="1386" w:type="dxa"/>
            <w:vAlign w:val="center"/>
          </w:tcPr>
          <w:p w14:paraId="7F9961AD">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 xml:space="preserve">0.467 </w:t>
            </w:r>
          </w:p>
        </w:tc>
        <w:tc>
          <w:tcPr>
            <w:tcW w:w="1386" w:type="dxa"/>
            <w:vAlign w:val="center"/>
          </w:tcPr>
          <w:p w14:paraId="5C00C6D0">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 xml:space="preserve">0.533 </w:t>
            </w:r>
          </w:p>
        </w:tc>
        <w:tc>
          <w:tcPr>
            <w:tcW w:w="1850" w:type="dxa"/>
            <w:vAlign w:val="center"/>
          </w:tcPr>
          <w:p w14:paraId="0C20552A">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 xml:space="preserve">0.333 </w:t>
            </w:r>
          </w:p>
        </w:tc>
        <w:tc>
          <w:tcPr>
            <w:tcW w:w="1395" w:type="dxa"/>
            <w:vAlign w:val="center"/>
          </w:tcPr>
          <w:p w14:paraId="414B69CF">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 xml:space="preserve">0.400 </w:t>
            </w:r>
          </w:p>
        </w:tc>
      </w:tr>
      <w:tr w14:paraId="45A6B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40DBA206">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p>
        </w:tc>
        <w:tc>
          <w:tcPr>
            <w:tcW w:w="1593" w:type="dxa"/>
            <w:gridSpan w:val="2"/>
            <w:vAlign w:val="center"/>
          </w:tcPr>
          <w:p w14:paraId="354C6E2B">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0.342</w:t>
            </w:r>
          </w:p>
        </w:tc>
        <w:tc>
          <w:tcPr>
            <w:tcW w:w="1385" w:type="dxa"/>
            <w:vAlign w:val="center"/>
          </w:tcPr>
          <w:p w14:paraId="7E26C755">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0.384</w:t>
            </w:r>
          </w:p>
        </w:tc>
        <w:tc>
          <w:tcPr>
            <w:tcW w:w="1385" w:type="dxa"/>
            <w:vAlign w:val="center"/>
          </w:tcPr>
          <w:p w14:paraId="3FCC7E7A">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0.342</w:t>
            </w:r>
          </w:p>
        </w:tc>
        <w:tc>
          <w:tcPr>
            <w:tcW w:w="1850" w:type="dxa"/>
            <w:vAlign w:val="center"/>
          </w:tcPr>
          <w:p w14:paraId="7944D0C1">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0.238</w:t>
            </w:r>
          </w:p>
        </w:tc>
        <w:tc>
          <w:tcPr>
            <w:tcW w:w="1399" w:type="dxa"/>
            <w:vAlign w:val="center"/>
          </w:tcPr>
          <w:p w14:paraId="3B1DA3BE">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0.264</w:t>
            </w:r>
          </w:p>
        </w:tc>
      </w:tr>
      <w:tr w14:paraId="05DDF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69B1EEC9">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p>
        </w:tc>
        <w:tc>
          <w:tcPr>
            <w:tcW w:w="1593" w:type="dxa"/>
            <w:gridSpan w:val="2"/>
            <w:vAlign w:val="center"/>
          </w:tcPr>
          <w:p w14:paraId="3997D41D">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0.503</w:t>
            </w:r>
          </w:p>
        </w:tc>
        <w:tc>
          <w:tcPr>
            <w:tcW w:w="1385" w:type="dxa"/>
            <w:vAlign w:val="center"/>
          </w:tcPr>
          <w:p w14:paraId="19EB289A">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0.554</w:t>
            </w:r>
          </w:p>
        </w:tc>
        <w:tc>
          <w:tcPr>
            <w:tcW w:w="1385" w:type="dxa"/>
            <w:vAlign w:val="center"/>
          </w:tcPr>
          <w:p w14:paraId="22A8FA2C">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0.491</w:t>
            </w:r>
          </w:p>
        </w:tc>
        <w:tc>
          <w:tcPr>
            <w:tcW w:w="1850" w:type="dxa"/>
            <w:vAlign w:val="center"/>
          </w:tcPr>
          <w:p w14:paraId="7D68149C">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0.355</w:t>
            </w:r>
          </w:p>
        </w:tc>
        <w:tc>
          <w:tcPr>
            <w:tcW w:w="1399" w:type="dxa"/>
            <w:vAlign w:val="center"/>
          </w:tcPr>
          <w:p w14:paraId="67669C71">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0.371</w:t>
            </w:r>
          </w:p>
        </w:tc>
      </w:tr>
      <w:tr w14:paraId="3E37A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55B33C01">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p>
        </w:tc>
        <w:tc>
          <w:tcPr>
            <w:tcW w:w="1593" w:type="dxa"/>
            <w:gridSpan w:val="2"/>
            <w:vAlign w:val="center"/>
          </w:tcPr>
          <w:p w14:paraId="7FDAF96A">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0.667</w:t>
            </w:r>
          </w:p>
        </w:tc>
        <w:tc>
          <w:tcPr>
            <w:tcW w:w="1385" w:type="dxa"/>
            <w:vAlign w:val="center"/>
          </w:tcPr>
          <w:p w14:paraId="115B8024">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0.733</w:t>
            </w:r>
          </w:p>
        </w:tc>
        <w:tc>
          <w:tcPr>
            <w:tcW w:w="1385" w:type="dxa"/>
            <w:vAlign w:val="center"/>
          </w:tcPr>
          <w:p w14:paraId="0F3BDBA6">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0.633</w:t>
            </w:r>
          </w:p>
        </w:tc>
        <w:tc>
          <w:tcPr>
            <w:tcW w:w="1850" w:type="dxa"/>
            <w:vAlign w:val="center"/>
          </w:tcPr>
          <w:p w14:paraId="1B6D2FEE">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0.567</w:t>
            </w:r>
          </w:p>
        </w:tc>
        <w:tc>
          <w:tcPr>
            <w:tcW w:w="1399" w:type="dxa"/>
            <w:vAlign w:val="center"/>
          </w:tcPr>
          <w:p w14:paraId="7145D47A">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0.600</w:t>
            </w:r>
          </w:p>
        </w:tc>
      </w:tr>
      <w:tr w14:paraId="67254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383EAECA">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挥发性酚类</w:t>
            </w:r>
          </w:p>
        </w:tc>
        <w:tc>
          <w:tcPr>
            <w:tcW w:w="858" w:type="pct"/>
            <w:gridSpan w:val="2"/>
            <w:vAlign w:val="center"/>
          </w:tcPr>
          <w:p w14:paraId="5DD8ECF9">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0C955E9D">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70B71548">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425F9FE2">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1A8505AC">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527B2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2D5C197C">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p>
        </w:tc>
        <w:tc>
          <w:tcPr>
            <w:tcW w:w="858" w:type="pct"/>
            <w:gridSpan w:val="2"/>
            <w:vAlign w:val="center"/>
          </w:tcPr>
          <w:p w14:paraId="10CBBA1D">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57EC7C41">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164D2C35">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432DB7BF">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0E48DEE0">
            <w:pPr>
              <w:keepNext w:val="0"/>
              <w:keepLines w:val="0"/>
              <w:widowControl/>
              <w:suppressLineNumbers w:val="0"/>
              <w:jc w:val="center"/>
              <w:textAlignment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0BD12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2851F3E6">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p>
        </w:tc>
        <w:tc>
          <w:tcPr>
            <w:tcW w:w="1593" w:type="dxa"/>
            <w:gridSpan w:val="2"/>
            <w:vAlign w:val="center"/>
          </w:tcPr>
          <w:p w14:paraId="2F329CEF">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0.290</w:t>
            </w:r>
          </w:p>
        </w:tc>
        <w:tc>
          <w:tcPr>
            <w:tcW w:w="1385" w:type="dxa"/>
            <w:vAlign w:val="center"/>
          </w:tcPr>
          <w:p w14:paraId="268EA9F6">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0.310</w:t>
            </w:r>
          </w:p>
        </w:tc>
        <w:tc>
          <w:tcPr>
            <w:tcW w:w="1385" w:type="dxa"/>
            <w:vAlign w:val="center"/>
          </w:tcPr>
          <w:p w14:paraId="1E597556">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0.230</w:t>
            </w:r>
          </w:p>
        </w:tc>
        <w:tc>
          <w:tcPr>
            <w:tcW w:w="1850" w:type="dxa"/>
            <w:vAlign w:val="center"/>
          </w:tcPr>
          <w:p w14:paraId="3F7D85B0">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0.140</w:t>
            </w:r>
          </w:p>
        </w:tc>
        <w:tc>
          <w:tcPr>
            <w:tcW w:w="1399" w:type="dxa"/>
            <w:vAlign w:val="center"/>
          </w:tcPr>
          <w:p w14:paraId="53ED83F6">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0.110</w:t>
            </w:r>
          </w:p>
        </w:tc>
      </w:tr>
      <w:tr w14:paraId="09AA0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3D92E7B9">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p>
        </w:tc>
        <w:tc>
          <w:tcPr>
            <w:tcW w:w="1593" w:type="dxa"/>
            <w:gridSpan w:val="2"/>
            <w:vAlign w:val="center"/>
          </w:tcPr>
          <w:p w14:paraId="7B7D75FF">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0.123</w:t>
            </w:r>
          </w:p>
        </w:tc>
        <w:tc>
          <w:tcPr>
            <w:tcW w:w="1385" w:type="dxa"/>
            <w:vAlign w:val="center"/>
          </w:tcPr>
          <w:p w14:paraId="3C829883">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0.096</w:t>
            </w:r>
          </w:p>
        </w:tc>
        <w:tc>
          <w:tcPr>
            <w:tcW w:w="1385" w:type="dxa"/>
            <w:vAlign w:val="center"/>
          </w:tcPr>
          <w:p w14:paraId="1371B135">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0.111</w:t>
            </w:r>
          </w:p>
        </w:tc>
        <w:tc>
          <w:tcPr>
            <w:tcW w:w="1850" w:type="dxa"/>
            <w:vAlign w:val="center"/>
          </w:tcPr>
          <w:p w14:paraId="0D4A7539">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0.073</w:t>
            </w:r>
          </w:p>
        </w:tc>
        <w:tc>
          <w:tcPr>
            <w:tcW w:w="1399" w:type="dxa"/>
            <w:vAlign w:val="center"/>
          </w:tcPr>
          <w:p w14:paraId="389AA7FD">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0.071</w:t>
            </w:r>
          </w:p>
        </w:tc>
      </w:tr>
      <w:tr w14:paraId="6ACE6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06FE36AE">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p>
        </w:tc>
        <w:tc>
          <w:tcPr>
            <w:tcW w:w="858" w:type="pct"/>
            <w:gridSpan w:val="2"/>
            <w:vAlign w:val="center"/>
          </w:tcPr>
          <w:p w14:paraId="4748B746">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1EA0CB20">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21F6EDBE">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451C3863">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70CC50DE">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534E6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0C4AEC3C">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p>
        </w:tc>
        <w:tc>
          <w:tcPr>
            <w:tcW w:w="1593" w:type="dxa"/>
            <w:gridSpan w:val="2"/>
            <w:vAlign w:val="center"/>
          </w:tcPr>
          <w:p w14:paraId="24E4E14A">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0.578</w:t>
            </w:r>
          </w:p>
        </w:tc>
        <w:tc>
          <w:tcPr>
            <w:tcW w:w="1385" w:type="dxa"/>
            <w:vAlign w:val="center"/>
          </w:tcPr>
          <w:p w14:paraId="3B0F4300">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0.428</w:t>
            </w:r>
          </w:p>
        </w:tc>
        <w:tc>
          <w:tcPr>
            <w:tcW w:w="1385" w:type="dxa"/>
            <w:vAlign w:val="center"/>
          </w:tcPr>
          <w:p w14:paraId="1C856002">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0.602</w:t>
            </w:r>
          </w:p>
        </w:tc>
        <w:tc>
          <w:tcPr>
            <w:tcW w:w="1850" w:type="dxa"/>
            <w:vAlign w:val="center"/>
          </w:tcPr>
          <w:p w14:paraId="714CE028">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0.272</w:t>
            </w:r>
          </w:p>
        </w:tc>
        <w:tc>
          <w:tcPr>
            <w:tcW w:w="1399" w:type="dxa"/>
            <w:vAlign w:val="center"/>
          </w:tcPr>
          <w:p w14:paraId="65F230D9">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0.224</w:t>
            </w:r>
          </w:p>
        </w:tc>
      </w:tr>
      <w:tr w14:paraId="6E791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23A6D1E9">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p>
        </w:tc>
        <w:tc>
          <w:tcPr>
            <w:tcW w:w="858" w:type="pct"/>
            <w:gridSpan w:val="2"/>
            <w:vAlign w:val="center"/>
          </w:tcPr>
          <w:p w14:paraId="56A1CC2E">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533EB0F9">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47D4E385">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2501AEBF">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79F6F2A6">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3DBF5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6891FFF8">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858" w:type="pct"/>
            <w:gridSpan w:val="2"/>
            <w:vAlign w:val="center"/>
          </w:tcPr>
          <w:p w14:paraId="793CCAD0">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76544BB7">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450D8CD8">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0C295EC3">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0F71F927">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4FABE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4A214BAF">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858" w:type="pct"/>
            <w:gridSpan w:val="2"/>
            <w:vAlign w:val="center"/>
          </w:tcPr>
          <w:p w14:paraId="5F9CBD1B">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55EDA135">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3022ABA7">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005C8CDA">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3333F3C5">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06845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11C33C3D">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p>
        </w:tc>
        <w:tc>
          <w:tcPr>
            <w:tcW w:w="1593" w:type="dxa"/>
            <w:gridSpan w:val="2"/>
            <w:vAlign w:val="center"/>
          </w:tcPr>
          <w:p w14:paraId="1DE95325">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0.867</w:t>
            </w:r>
          </w:p>
        </w:tc>
        <w:tc>
          <w:tcPr>
            <w:tcW w:w="1385" w:type="dxa"/>
            <w:vAlign w:val="center"/>
          </w:tcPr>
          <w:p w14:paraId="6FCD45D1">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0.900</w:t>
            </w:r>
          </w:p>
        </w:tc>
        <w:tc>
          <w:tcPr>
            <w:tcW w:w="1385" w:type="dxa"/>
            <w:vAlign w:val="center"/>
          </w:tcPr>
          <w:p w14:paraId="5211EE94">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0.900</w:t>
            </w:r>
          </w:p>
        </w:tc>
        <w:tc>
          <w:tcPr>
            <w:tcW w:w="1850" w:type="dxa"/>
            <w:vAlign w:val="center"/>
          </w:tcPr>
          <w:p w14:paraId="27961305">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0.700</w:t>
            </w:r>
          </w:p>
        </w:tc>
        <w:tc>
          <w:tcPr>
            <w:tcW w:w="1399" w:type="dxa"/>
            <w:vAlign w:val="center"/>
          </w:tcPr>
          <w:p w14:paraId="2D335454">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0.667</w:t>
            </w:r>
          </w:p>
        </w:tc>
      </w:tr>
      <w:tr w14:paraId="04EBF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76F5FBE9">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858" w:type="pct"/>
            <w:gridSpan w:val="2"/>
            <w:vAlign w:val="center"/>
          </w:tcPr>
          <w:p w14:paraId="093BFD64">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0E56A7EB">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1B9A2517">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2555E9C1">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38BE8DDB">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49C13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30FA750E">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p>
        </w:tc>
        <w:tc>
          <w:tcPr>
            <w:tcW w:w="1593" w:type="dxa"/>
            <w:gridSpan w:val="2"/>
            <w:vAlign w:val="center"/>
          </w:tcPr>
          <w:p w14:paraId="407C5DB7">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0.900</w:t>
            </w:r>
          </w:p>
        </w:tc>
        <w:tc>
          <w:tcPr>
            <w:tcW w:w="1385" w:type="dxa"/>
            <w:vAlign w:val="center"/>
          </w:tcPr>
          <w:p w14:paraId="479EB3F4">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b/>
                <w:bCs/>
                <w:color w:val="auto"/>
                <w:w w:val="99"/>
                <w:sz w:val="21"/>
                <w:szCs w:val="21"/>
                <w:highlight w:val="none"/>
                <w:lang w:val="en-US" w:eastAsia="zh-CN" w:bidi="ar-SA"/>
              </w:rPr>
              <w:t>1.100</w:t>
            </w:r>
          </w:p>
        </w:tc>
        <w:tc>
          <w:tcPr>
            <w:tcW w:w="1385" w:type="dxa"/>
            <w:vAlign w:val="center"/>
          </w:tcPr>
          <w:p w14:paraId="658A242A">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0.900</w:t>
            </w:r>
          </w:p>
        </w:tc>
        <w:tc>
          <w:tcPr>
            <w:tcW w:w="1850" w:type="dxa"/>
            <w:vAlign w:val="center"/>
          </w:tcPr>
          <w:p w14:paraId="701A2CBB">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0.300</w:t>
            </w:r>
          </w:p>
        </w:tc>
        <w:tc>
          <w:tcPr>
            <w:tcW w:w="1399" w:type="dxa"/>
            <w:vAlign w:val="center"/>
          </w:tcPr>
          <w:p w14:paraId="737B85C1">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0.200</w:t>
            </w:r>
          </w:p>
        </w:tc>
      </w:tr>
      <w:tr w14:paraId="5AB8A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0D2FFDDA">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858" w:type="pct"/>
            <w:gridSpan w:val="2"/>
            <w:vAlign w:val="center"/>
          </w:tcPr>
          <w:p w14:paraId="3D9FB1C9">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531E49AC">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4520D481">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5E2C64F4">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66D84829">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551F1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021A0DE8">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858" w:type="pct"/>
            <w:gridSpan w:val="2"/>
            <w:vAlign w:val="center"/>
          </w:tcPr>
          <w:p w14:paraId="1D3ACCBC">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65561B2D">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26E20733">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5B55C4C7">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0DC6F253">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1CB17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04A295DF">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w:t>
            </w:r>
          </w:p>
        </w:tc>
        <w:tc>
          <w:tcPr>
            <w:tcW w:w="858" w:type="pct"/>
            <w:gridSpan w:val="2"/>
            <w:vAlign w:val="center"/>
          </w:tcPr>
          <w:p w14:paraId="2CD54E05">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046FF8CD">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3D366A15">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7B92192B">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0A7EA330">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1A1FA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418986E9">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w:t>
            </w:r>
          </w:p>
        </w:tc>
        <w:tc>
          <w:tcPr>
            <w:tcW w:w="1593" w:type="dxa"/>
            <w:gridSpan w:val="2"/>
            <w:vAlign w:val="center"/>
          </w:tcPr>
          <w:p w14:paraId="30DB78A6">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0.100</w:t>
            </w:r>
          </w:p>
        </w:tc>
        <w:tc>
          <w:tcPr>
            <w:tcW w:w="1385" w:type="dxa"/>
            <w:vAlign w:val="center"/>
          </w:tcPr>
          <w:p w14:paraId="5F0B0C46">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0.110</w:t>
            </w:r>
          </w:p>
        </w:tc>
        <w:tc>
          <w:tcPr>
            <w:tcW w:w="1385" w:type="dxa"/>
            <w:vAlign w:val="center"/>
          </w:tcPr>
          <w:p w14:paraId="1010ECD7">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0.120</w:t>
            </w:r>
          </w:p>
        </w:tc>
        <w:tc>
          <w:tcPr>
            <w:tcW w:w="1850" w:type="dxa"/>
            <w:vAlign w:val="center"/>
          </w:tcPr>
          <w:p w14:paraId="5785877F">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0.070</w:t>
            </w:r>
          </w:p>
        </w:tc>
        <w:tc>
          <w:tcPr>
            <w:tcW w:w="1399" w:type="dxa"/>
            <w:vAlign w:val="center"/>
          </w:tcPr>
          <w:p w14:paraId="0D637DDB">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0.080</w:t>
            </w:r>
          </w:p>
        </w:tc>
      </w:tr>
      <w:tr w14:paraId="29E19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0B977AFA">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硫化物</w:t>
            </w:r>
          </w:p>
        </w:tc>
        <w:tc>
          <w:tcPr>
            <w:tcW w:w="858" w:type="pct"/>
            <w:gridSpan w:val="2"/>
            <w:vAlign w:val="center"/>
          </w:tcPr>
          <w:p w14:paraId="28EB35ED">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604E16B9">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056034B8">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2A52AEC7">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7289FAD5">
            <w:pPr>
              <w:keepNext w:val="0"/>
              <w:keepLines w:val="0"/>
              <w:widowControl/>
              <w:suppressLineNumbers w:val="0"/>
              <w:jc w:val="center"/>
              <w:textAlignment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58232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214E8818">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钡</w:t>
            </w:r>
          </w:p>
        </w:tc>
        <w:tc>
          <w:tcPr>
            <w:tcW w:w="858" w:type="pct"/>
            <w:gridSpan w:val="2"/>
            <w:vAlign w:val="center"/>
          </w:tcPr>
          <w:p w14:paraId="71539247">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4FBD71E9">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6" w:type="pct"/>
            <w:vAlign w:val="center"/>
          </w:tcPr>
          <w:p w14:paraId="6DDEAB7E">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05D1835F">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1" w:type="pct"/>
            <w:vAlign w:val="center"/>
          </w:tcPr>
          <w:p w14:paraId="06F7EB0D">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bl>
    <w:p w14:paraId="4C4B758F">
      <w:pPr>
        <w:widowControl w:val="0"/>
        <w:spacing w:line="440" w:lineRule="exact"/>
        <w:ind w:firstLine="476" w:firstLineChars="200"/>
        <w:rPr>
          <w:rFonts w:ascii="Times New Roman" w:hAnsi="Times New Roman" w:cs="Times New Roman"/>
          <w:color w:val="auto"/>
          <w:w w:val="99"/>
          <w:highlight w:val="none"/>
        </w:rPr>
      </w:pPr>
      <w:r>
        <w:rPr>
          <w:rFonts w:hint="eastAsia" w:ascii="Times New Roman" w:hAnsi="Times New Roman" w:cs="Times New Roman" w:eastAsiaTheme="minorEastAsia"/>
          <w:b/>
          <w:color w:val="auto"/>
          <w:w w:val="99"/>
          <w:highlight w:val="none"/>
          <w:lang w:eastAsia="zh-CN"/>
        </w:rPr>
        <w:t>续</w:t>
      </w:r>
      <w:r>
        <w:rPr>
          <w:rFonts w:ascii="Times New Roman" w:hAnsi="Times New Roman" w:cs="Times New Roman" w:eastAsiaTheme="minorEastAsia"/>
          <w:b/>
          <w:color w:val="auto"/>
          <w:w w:val="99"/>
          <w:highlight w:val="none"/>
        </w:rPr>
        <w:t>表4.3-1</w:t>
      </w:r>
      <w:r>
        <w:rPr>
          <w:rFonts w:hint="eastAsia" w:ascii="Times New Roman" w:hAnsi="Times New Roman" w:cs="Times New Roman" w:eastAsiaTheme="minorEastAsia"/>
          <w:b/>
          <w:color w:val="auto"/>
          <w:w w:val="99"/>
          <w:highlight w:val="none"/>
          <w:lang w:val="en-US" w:eastAsia="zh-CN"/>
        </w:rPr>
        <w:t>0</w:t>
      </w:r>
      <w:r>
        <w:rPr>
          <w:rFonts w:ascii="Times New Roman" w:hAnsi="Times New Roman" w:cs="Times New Roman" w:eastAsiaTheme="minorEastAsia"/>
          <w:b/>
          <w:color w:val="auto"/>
          <w:w w:val="99"/>
          <w:highlight w:val="none"/>
        </w:rPr>
        <w:t xml:space="preserve">    </w:t>
      </w:r>
      <w:r>
        <w:rPr>
          <w:rFonts w:ascii="Times New Roman" w:hAnsi="Times New Roman" w:cs="Times New Roman" w:eastAsiaTheme="minorEastAsia"/>
          <w:b/>
          <w:color w:val="auto"/>
          <w:w w:val="99"/>
          <w:szCs w:val="28"/>
          <w:highlight w:val="none"/>
        </w:rPr>
        <w:t>地下水</w:t>
      </w:r>
      <w:r>
        <w:rPr>
          <w:rFonts w:ascii="Times New Roman" w:hAnsi="Times New Roman" w:cs="Times New Roman" w:eastAsiaTheme="minorEastAsia"/>
          <w:b/>
          <w:color w:val="auto"/>
          <w:w w:val="99"/>
          <w:highlight w:val="none"/>
        </w:rPr>
        <w:t xml:space="preserve">单因子标准指数计算结果 </w:t>
      </w:r>
    </w:p>
    <w:tbl>
      <w:tblPr>
        <w:tblStyle w:val="80"/>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71"/>
        <w:gridCol w:w="1593"/>
        <w:gridCol w:w="1383"/>
        <w:gridCol w:w="1383"/>
        <w:gridCol w:w="1849"/>
        <w:gridCol w:w="1402"/>
      </w:tblGrid>
      <w:tr w14:paraId="40A8F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6B3AA17E">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099" w:type="pct"/>
            <w:gridSpan w:val="5"/>
            <w:tcBorders>
              <w:right w:val="single" w:color="auto" w:sz="4" w:space="0"/>
            </w:tcBorders>
            <w:vAlign w:val="center"/>
          </w:tcPr>
          <w:p w14:paraId="68E4890A">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w:t>
            </w:r>
            <w:r>
              <w:rPr>
                <w:rFonts w:hint="eastAsia" w:ascii="Times New Roman" w:hAnsi="Times New Roman" w:cs="Times New Roman" w:eastAsiaTheme="minorEastAsia"/>
                <w:color w:val="auto"/>
                <w:w w:val="99"/>
                <w:sz w:val="21"/>
                <w:szCs w:val="21"/>
                <w:highlight w:val="none"/>
                <w:lang w:val="en-US" w:eastAsia="zh-CN"/>
              </w:rPr>
              <w:t>5</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lang w:val="en-US" w:eastAsia="zh-CN"/>
              </w:rPr>
              <w:t>3</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lang w:val="en-US" w:eastAsia="zh-CN"/>
              </w:rPr>
              <w:t>26</w:t>
            </w:r>
          </w:p>
        </w:tc>
      </w:tr>
      <w:tr w14:paraId="4C27E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61646947">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858" w:type="pct"/>
            <w:vAlign w:val="center"/>
          </w:tcPr>
          <w:p w14:paraId="7750F5F9">
            <w:pPr>
              <w:keepNext w:val="0"/>
              <w:keepLines w:val="0"/>
              <w:widowControl/>
              <w:suppressLineNumbers w:val="0"/>
              <w:jc w:val="center"/>
              <w:textAlignment w:val="center"/>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i w:val="0"/>
                <w:iCs w:val="0"/>
                <w:color w:val="auto"/>
                <w:w w:val="99"/>
                <w:kern w:val="0"/>
                <w:sz w:val="21"/>
                <w:szCs w:val="21"/>
                <w:highlight w:val="none"/>
                <w:u w:val="none"/>
                <w:lang w:val="en-US" w:eastAsia="zh-CN" w:bidi="ar"/>
              </w:rPr>
              <w:t>尚家围子屯吕家潜水井</w:t>
            </w:r>
          </w:p>
        </w:tc>
        <w:tc>
          <w:tcPr>
            <w:tcW w:w="745" w:type="pct"/>
            <w:vAlign w:val="center"/>
          </w:tcPr>
          <w:p w14:paraId="289605AB">
            <w:pPr>
              <w:keepNext w:val="0"/>
              <w:keepLines w:val="0"/>
              <w:widowControl/>
              <w:suppressLineNumbers w:val="0"/>
              <w:jc w:val="center"/>
              <w:textAlignment w:val="center"/>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i w:val="0"/>
                <w:iCs w:val="0"/>
                <w:color w:val="auto"/>
                <w:w w:val="99"/>
                <w:kern w:val="0"/>
                <w:sz w:val="21"/>
                <w:szCs w:val="21"/>
                <w:highlight w:val="none"/>
                <w:u w:val="none"/>
                <w:lang w:val="en-US" w:eastAsia="zh-CN" w:bidi="ar"/>
              </w:rPr>
              <w:t>邢家围子屯周家潜水井</w:t>
            </w:r>
          </w:p>
        </w:tc>
        <w:tc>
          <w:tcPr>
            <w:tcW w:w="745" w:type="pct"/>
            <w:vAlign w:val="center"/>
          </w:tcPr>
          <w:p w14:paraId="4D9A9956">
            <w:pPr>
              <w:keepNext w:val="0"/>
              <w:keepLines w:val="0"/>
              <w:widowControl/>
              <w:suppressLineNumbers w:val="0"/>
              <w:jc w:val="center"/>
              <w:textAlignment w:val="center"/>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i w:val="0"/>
                <w:iCs w:val="0"/>
                <w:color w:val="auto"/>
                <w:w w:val="99"/>
                <w:kern w:val="0"/>
                <w:sz w:val="21"/>
                <w:szCs w:val="21"/>
                <w:highlight w:val="none"/>
                <w:u w:val="none"/>
                <w:lang w:val="en-US" w:eastAsia="zh-CN" w:bidi="ar"/>
              </w:rPr>
              <w:t>王家围子屯王家潜水井</w:t>
            </w:r>
          </w:p>
        </w:tc>
        <w:tc>
          <w:tcPr>
            <w:tcW w:w="996" w:type="pct"/>
            <w:tcBorders>
              <w:right w:val="single" w:color="auto" w:sz="4" w:space="0"/>
            </w:tcBorders>
            <w:vAlign w:val="center"/>
          </w:tcPr>
          <w:p w14:paraId="5C2EAA5A">
            <w:pPr>
              <w:keepNext w:val="0"/>
              <w:keepLines w:val="0"/>
              <w:widowControl/>
              <w:suppressLineNumbers w:val="0"/>
              <w:jc w:val="center"/>
              <w:textAlignment w:val="center"/>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i w:val="0"/>
                <w:iCs w:val="0"/>
                <w:color w:val="auto"/>
                <w:w w:val="99"/>
                <w:kern w:val="0"/>
                <w:sz w:val="21"/>
                <w:szCs w:val="21"/>
                <w:highlight w:val="none"/>
                <w:u w:val="none"/>
                <w:lang w:val="en-US" w:eastAsia="zh-CN" w:bidi="ar"/>
              </w:rPr>
              <w:t>杨</w:t>
            </w:r>
            <w:r>
              <w:rPr>
                <w:rFonts w:hint="eastAsia" w:ascii="Times New Roman" w:hAnsi="Times New Roman" w:cs="Times New Roman"/>
                <w:i w:val="0"/>
                <w:iCs w:val="0"/>
                <w:color w:val="auto"/>
                <w:w w:val="99"/>
                <w:kern w:val="0"/>
                <w:sz w:val="21"/>
                <w:szCs w:val="21"/>
                <w:highlight w:val="none"/>
                <w:u w:val="none"/>
                <w:lang w:val="en-US" w:eastAsia="zh-CN" w:bidi="ar"/>
              </w:rPr>
              <w:t>家</w:t>
            </w:r>
            <w:r>
              <w:rPr>
                <w:rFonts w:hint="default" w:ascii="Times New Roman" w:hAnsi="Times New Roman" w:eastAsia="宋体" w:cs="Times New Roman"/>
                <w:i w:val="0"/>
                <w:iCs w:val="0"/>
                <w:color w:val="auto"/>
                <w:w w:val="99"/>
                <w:kern w:val="0"/>
                <w:sz w:val="21"/>
                <w:szCs w:val="21"/>
                <w:highlight w:val="none"/>
                <w:u w:val="none"/>
                <w:lang w:val="en-US" w:eastAsia="zh-CN" w:bidi="ar"/>
              </w:rPr>
              <w:t>屯陈家潜水井</w:t>
            </w:r>
          </w:p>
        </w:tc>
        <w:tc>
          <w:tcPr>
            <w:tcW w:w="753" w:type="pct"/>
            <w:tcBorders>
              <w:left w:val="single" w:color="auto" w:sz="4" w:space="0"/>
              <w:right w:val="single" w:color="auto" w:sz="4" w:space="0"/>
            </w:tcBorders>
            <w:vAlign w:val="center"/>
          </w:tcPr>
          <w:p w14:paraId="09DF189E">
            <w:pPr>
              <w:keepNext w:val="0"/>
              <w:keepLines w:val="0"/>
              <w:widowControl/>
              <w:suppressLineNumbers w:val="0"/>
              <w:jc w:val="center"/>
              <w:textAlignment w:val="center"/>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i w:val="0"/>
                <w:iCs w:val="0"/>
                <w:color w:val="auto"/>
                <w:w w:val="99"/>
                <w:kern w:val="0"/>
                <w:sz w:val="21"/>
                <w:szCs w:val="21"/>
                <w:highlight w:val="none"/>
                <w:u w:val="none"/>
                <w:lang w:val="en-US" w:eastAsia="zh-CN" w:bidi="ar"/>
              </w:rPr>
              <w:t>尚家围子屯孙家承压水井</w:t>
            </w:r>
          </w:p>
        </w:tc>
      </w:tr>
      <w:tr w14:paraId="16C14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6927E9B7">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p>
        </w:tc>
        <w:tc>
          <w:tcPr>
            <w:tcW w:w="858" w:type="pct"/>
            <w:vAlign w:val="center"/>
          </w:tcPr>
          <w:p w14:paraId="60EFB7F1">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0.264</w:t>
            </w:r>
          </w:p>
        </w:tc>
        <w:tc>
          <w:tcPr>
            <w:tcW w:w="745" w:type="pct"/>
            <w:vAlign w:val="center"/>
          </w:tcPr>
          <w:p w14:paraId="460E2103">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0.288</w:t>
            </w:r>
          </w:p>
        </w:tc>
        <w:tc>
          <w:tcPr>
            <w:tcW w:w="745" w:type="pct"/>
            <w:vAlign w:val="center"/>
          </w:tcPr>
          <w:p w14:paraId="07AF28C6">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0.311</w:t>
            </w:r>
          </w:p>
        </w:tc>
        <w:tc>
          <w:tcPr>
            <w:tcW w:w="996" w:type="pct"/>
            <w:vAlign w:val="center"/>
          </w:tcPr>
          <w:p w14:paraId="2FBFD1BA">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0.294</w:t>
            </w:r>
          </w:p>
        </w:tc>
        <w:tc>
          <w:tcPr>
            <w:tcW w:w="753" w:type="pct"/>
            <w:vAlign w:val="center"/>
          </w:tcPr>
          <w:p w14:paraId="7EC2BE36">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0.212</w:t>
            </w:r>
          </w:p>
        </w:tc>
      </w:tr>
      <w:tr w14:paraId="112D8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trPr>
        <w:tc>
          <w:tcPr>
            <w:tcW w:w="900" w:type="pct"/>
            <w:vAlign w:val="center"/>
          </w:tcPr>
          <w:p w14:paraId="60E2AFF1">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p>
        </w:tc>
        <w:tc>
          <w:tcPr>
            <w:tcW w:w="858" w:type="pct"/>
            <w:vAlign w:val="center"/>
          </w:tcPr>
          <w:p w14:paraId="34B8D012">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0.194</w:t>
            </w:r>
          </w:p>
        </w:tc>
        <w:tc>
          <w:tcPr>
            <w:tcW w:w="745" w:type="pct"/>
            <w:vAlign w:val="center"/>
          </w:tcPr>
          <w:p w14:paraId="113F0E80">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0.165</w:t>
            </w:r>
          </w:p>
        </w:tc>
        <w:tc>
          <w:tcPr>
            <w:tcW w:w="745" w:type="pct"/>
            <w:vAlign w:val="center"/>
          </w:tcPr>
          <w:p w14:paraId="669BD7CC">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0.204</w:t>
            </w:r>
          </w:p>
        </w:tc>
        <w:tc>
          <w:tcPr>
            <w:tcW w:w="996" w:type="pct"/>
            <w:vAlign w:val="center"/>
          </w:tcPr>
          <w:p w14:paraId="48B8ED5F">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0.189</w:t>
            </w:r>
          </w:p>
        </w:tc>
        <w:tc>
          <w:tcPr>
            <w:tcW w:w="753" w:type="pct"/>
            <w:vAlign w:val="center"/>
          </w:tcPr>
          <w:p w14:paraId="0504220E">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0.146</w:t>
            </w:r>
          </w:p>
        </w:tc>
      </w:tr>
      <w:tr w14:paraId="17C3F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0E32DD8B">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p>
        </w:tc>
        <w:tc>
          <w:tcPr>
            <w:tcW w:w="858" w:type="pct"/>
            <w:vAlign w:val="center"/>
          </w:tcPr>
          <w:p w14:paraId="6DF0D30B">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0.147</w:t>
            </w:r>
          </w:p>
        </w:tc>
        <w:tc>
          <w:tcPr>
            <w:tcW w:w="745" w:type="pct"/>
            <w:vAlign w:val="center"/>
          </w:tcPr>
          <w:p w14:paraId="243796F4">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0.158</w:t>
            </w:r>
          </w:p>
        </w:tc>
        <w:tc>
          <w:tcPr>
            <w:tcW w:w="745" w:type="pct"/>
            <w:vAlign w:val="center"/>
          </w:tcPr>
          <w:p w14:paraId="06F66677">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0.185</w:t>
            </w:r>
          </w:p>
        </w:tc>
        <w:tc>
          <w:tcPr>
            <w:tcW w:w="996" w:type="pct"/>
            <w:vAlign w:val="center"/>
          </w:tcPr>
          <w:p w14:paraId="1DC4C646">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0.142</w:t>
            </w:r>
          </w:p>
        </w:tc>
        <w:tc>
          <w:tcPr>
            <w:tcW w:w="753" w:type="pct"/>
            <w:vAlign w:val="center"/>
          </w:tcPr>
          <w:p w14:paraId="3D701242">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0.099</w:t>
            </w:r>
          </w:p>
        </w:tc>
      </w:tr>
      <w:tr w14:paraId="3652D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0EC80B0F">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858" w:type="pct"/>
            <w:vAlign w:val="center"/>
          </w:tcPr>
          <w:p w14:paraId="795EDC40">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0.467</w:t>
            </w:r>
          </w:p>
        </w:tc>
        <w:tc>
          <w:tcPr>
            <w:tcW w:w="745" w:type="pct"/>
            <w:vAlign w:val="center"/>
          </w:tcPr>
          <w:p w14:paraId="2ADA89B3">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0.533</w:t>
            </w:r>
          </w:p>
        </w:tc>
        <w:tc>
          <w:tcPr>
            <w:tcW w:w="745" w:type="pct"/>
            <w:vAlign w:val="center"/>
          </w:tcPr>
          <w:p w14:paraId="7DE12F75">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0.400</w:t>
            </w:r>
          </w:p>
        </w:tc>
        <w:tc>
          <w:tcPr>
            <w:tcW w:w="996" w:type="pct"/>
            <w:vAlign w:val="center"/>
          </w:tcPr>
          <w:p w14:paraId="62DAB0E6">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0.467</w:t>
            </w:r>
          </w:p>
        </w:tc>
        <w:tc>
          <w:tcPr>
            <w:tcW w:w="753" w:type="pct"/>
            <w:vAlign w:val="center"/>
          </w:tcPr>
          <w:p w14:paraId="66446E43">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0.333</w:t>
            </w:r>
          </w:p>
        </w:tc>
      </w:tr>
      <w:tr w14:paraId="02A62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236FA2DB">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p>
        </w:tc>
        <w:tc>
          <w:tcPr>
            <w:tcW w:w="858" w:type="pct"/>
            <w:vAlign w:val="center"/>
          </w:tcPr>
          <w:p w14:paraId="4B10694E">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0.344</w:t>
            </w:r>
          </w:p>
        </w:tc>
        <w:tc>
          <w:tcPr>
            <w:tcW w:w="745" w:type="pct"/>
            <w:vAlign w:val="center"/>
          </w:tcPr>
          <w:p w14:paraId="07F25880">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0.309</w:t>
            </w:r>
          </w:p>
        </w:tc>
        <w:tc>
          <w:tcPr>
            <w:tcW w:w="745" w:type="pct"/>
            <w:vAlign w:val="center"/>
          </w:tcPr>
          <w:p w14:paraId="0112A40D">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0.389</w:t>
            </w:r>
          </w:p>
        </w:tc>
        <w:tc>
          <w:tcPr>
            <w:tcW w:w="996" w:type="pct"/>
            <w:vAlign w:val="center"/>
          </w:tcPr>
          <w:p w14:paraId="20FF975E">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0.358</w:t>
            </w:r>
          </w:p>
        </w:tc>
        <w:tc>
          <w:tcPr>
            <w:tcW w:w="753" w:type="pct"/>
            <w:vAlign w:val="center"/>
          </w:tcPr>
          <w:p w14:paraId="2A4B213C">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0.249</w:t>
            </w:r>
          </w:p>
        </w:tc>
      </w:tr>
      <w:tr w14:paraId="04B24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288B4205">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p>
        </w:tc>
        <w:tc>
          <w:tcPr>
            <w:tcW w:w="858" w:type="pct"/>
            <w:vAlign w:val="center"/>
          </w:tcPr>
          <w:p w14:paraId="747A96B5">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0.488</w:t>
            </w:r>
          </w:p>
        </w:tc>
        <w:tc>
          <w:tcPr>
            <w:tcW w:w="745" w:type="pct"/>
            <w:vAlign w:val="center"/>
          </w:tcPr>
          <w:p w14:paraId="3BD6F3FB">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0.462</w:t>
            </w:r>
          </w:p>
        </w:tc>
        <w:tc>
          <w:tcPr>
            <w:tcW w:w="745" w:type="pct"/>
            <w:vAlign w:val="center"/>
          </w:tcPr>
          <w:p w14:paraId="779BBA0F">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0.558</w:t>
            </w:r>
          </w:p>
        </w:tc>
        <w:tc>
          <w:tcPr>
            <w:tcW w:w="996" w:type="pct"/>
            <w:vAlign w:val="center"/>
          </w:tcPr>
          <w:p w14:paraId="0E451E3A">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0.503</w:t>
            </w:r>
          </w:p>
        </w:tc>
        <w:tc>
          <w:tcPr>
            <w:tcW w:w="753" w:type="pct"/>
            <w:vAlign w:val="center"/>
          </w:tcPr>
          <w:p w14:paraId="201767B5">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0.364</w:t>
            </w:r>
          </w:p>
        </w:tc>
      </w:tr>
      <w:tr w14:paraId="30C58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46421510">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p>
        </w:tc>
        <w:tc>
          <w:tcPr>
            <w:tcW w:w="858" w:type="pct"/>
            <w:vAlign w:val="center"/>
          </w:tcPr>
          <w:p w14:paraId="0589D73D">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0.733</w:t>
            </w:r>
          </w:p>
        </w:tc>
        <w:tc>
          <w:tcPr>
            <w:tcW w:w="745" w:type="pct"/>
            <w:vAlign w:val="center"/>
          </w:tcPr>
          <w:p w14:paraId="01BC701C">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0.700</w:t>
            </w:r>
          </w:p>
        </w:tc>
        <w:tc>
          <w:tcPr>
            <w:tcW w:w="745" w:type="pct"/>
            <w:vAlign w:val="center"/>
          </w:tcPr>
          <w:p w14:paraId="4C90B0CE">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0.633</w:t>
            </w:r>
          </w:p>
        </w:tc>
        <w:tc>
          <w:tcPr>
            <w:tcW w:w="996" w:type="pct"/>
            <w:vAlign w:val="center"/>
          </w:tcPr>
          <w:p w14:paraId="4B0221C5">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0.667</w:t>
            </w:r>
          </w:p>
        </w:tc>
        <w:tc>
          <w:tcPr>
            <w:tcW w:w="753" w:type="pct"/>
            <w:vAlign w:val="center"/>
          </w:tcPr>
          <w:p w14:paraId="22C6ED4C">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0.533</w:t>
            </w:r>
          </w:p>
        </w:tc>
      </w:tr>
      <w:tr w14:paraId="39F0B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1323A0B8">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挥发性酚类</w:t>
            </w:r>
          </w:p>
        </w:tc>
        <w:tc>
          <w:tcPr>
            <w:tcW w:w="858" w:type="pct"/>
            <w:vAlign w:val="center"/>
          </w:tcPr>
          <w:p w14:paraId="1FF3876C">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541FC151">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25352807">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33529033">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00D1BB2A">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1497D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35D55F41">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p>
        </w:tc>
        <w:tc>
          <w:tcPr>
            <w:tcW w:w="858" w:type="pct"/>
            <w:vAlign w:val="center"/>
          </w:tcPr>
          <w:p w14:paraId="01273748">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0BF5F90D">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5F08E7E3">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3CA234EA">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792F4082">
            <w:pPr>
              <w:keepNext w:val="0"/>
              <w:keepLines w:val="0"/>
              <w:widowControl/>
              <w:suppressLineNumbers w:val="0"/>
              <w:jc w:val="center"/>
              <w:textAlignment w:val="center"/>
              <w:rPr>
                <w:rFonts w:hint="default"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30823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314DD2B6">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p>
        </w:tc>
        <w:tc>
          <w:tcPr>
            <w:tcW w:w="858" w:type="pct"/>
            <w:vAlign w:val="center"/>
          </w:tcPr>
          <w:p w14:paraId="4E77D6A1">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0.505</w:t>
            </w:r>
          </w:p>
        </w:tc>
        <w:tc>
          <w:tcPr>
            <w:tcW w:w="745" w:type="pct"/>
            <w:vAlign w:val="center"/>
          </w:tcPr>
          <w:p w14:paraId="61DD3367">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0.466</w:t>
            </w:r>
          </w:p>
        </w:tc>
        <w:tc>
          <w:tcPr>
            <w:tcW w:w="745" w:type="pct"/>
            <w:vAlign w:val="center"/>
          </w:tcPr>
          <w:p w14:paraId="531948BA">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i w:val="0"/>
                <w:iCs w:val="0"/>
                <w:color w:val="auto"/>
                <w:w w:val="99"/>
                <w:kern w:val="0"/>
                <w:sz w:val="21"/>
                <w:szCs w:val="21"/>
                <w:highlight w:val="none"/>
                <w:u w:val="none"/>
                <w:lang w:val="en-US" w:eastAsia="zh-CN" w:bidi="ar"/>
              </w:rPr>
              <w:t>0.2676</w:t>
            </w:r>
          </w:p>
        </w:tc>
        <w:tc>
          <w:tcPr>
            <w:tcW w:w="996" w:type="pct"/>
            <w:vAlign w:val="center"/>
          </w:tcPr>
          <w:p w14:paraId="594AB30A">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0.524</w:t>
            </w:r>
          </w:p>
        </w:tc>
        <w:tc>
          <w:tcPr>
            <w:tcW w:w="753" w:type="pct"/>
            <w:vAlign w:val="center"/>
          </w:tcPr>
          <w:p w14:paraId="3DA2C4E2">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0.138</w:t>
            </w:r>
          </w:p>
        </w:tc>
      </w:tr>
      <w:tr w14:paraId="025CE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76A9F67E">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p>
        </w:tc>
        <w:tc>
          <w:tcPr>
            <w:tcW w:w="858" w:type="pct"/>
            <w:vAlign w:val="center"/>
          </w:tcPr>
          <w:p w14:paraId="3B1A7311">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0.109</w:t>
            </w:r>
          </w:p>
        </w:tc>
        <w:tc>
          <w:tcPr>
            <w:tcW w:w="745" w:type="pct"/>
            <w:vAlign w:val="center"/>
          </w:tcPr>
          <w:p w14:paraId="35656265">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0.098</w:t>
            </w:r>
          </w:p>
        </w:tc>
        <w:tc>
          <w:tcPr>
            <w:tcW w:w="745" w:type="pct"/>
            <w:vAlign w:val="center"/>
          </w:tcPr>
          <w:p w14:paraId="082E8A10">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0.093</w:t>
            </w:r>
          </w:p>
        </w:tc>
        <w:tc>
          <w:tcPr>
            <w:tcW w:w="996" w:type="pct"/>
            <w:vAlign w:val="center"/>
          </w:tcPr>
          <w:p w14:paraId="41CAE4E8">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0.104</w:t>
            </w:r>
          </w:p>
        </w:tc>
        <w:tc>
          <w:tcPr>
            <w:tcW w:w="753" w:type="pct"/>
            <w:vAlign w:val="center"/>
          </w:tcPr>
          <w:p w14:paraId="01185505">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0.063</w:t>
            </w:r>
          </w:p>
        </w:tc>
      </w:tr>
      <w:tr w14:paraId="2A6A9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216908C4">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p>
        </w:tc>
        <w:tc>
          <w:tcPr>
            <w:tcW w:w="858" w:type="pct"/>
            <w:vAlign w:val="center"/>
          </w:tcPr>
          <w:p w14:paraId="55AA631D">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22550E84">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10E97844">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11A7F6DF">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2D86145E">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43166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6F3AE305">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p>
        </w:tc>
        <w:tc>
          <w:tcPr>
            <w:tcW w:w="858" w:type="pct"/>
            <w:vAlign w:val="center"/>
          </w:tcPr>
          <w:p w14:paraId="7E403998">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0.462</w:t>
            </w:r>
          </w:p>
        </w:tc>
        <w:tc>
          <w:tcPr>
            <w:tcW w:w="745" w:type="pct"/>
            <w:vAlign w:val="center"/>
          </w:tcPr>
          <w:p w14:paraId="283F55CF">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0.414</w:t>
            </w:r>
          </w:p>
        </w:tc>
        <w:tc>
          <w:tcPr>
            <w:tcW w:w="745" w:type="pct"/>
            <w:vAlign w:val="center"/>
          </w:tcPr>
          <w:p w14:paraId="721750F3">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0.394</w:t>
            </w:r>
          </w:p>
        </w:tc>
        <w:tc>
          <w:tcPr>
            <w:tcW w:w="996" w:type="pct"/>
            <w:vAlign w:val="center"/>
          </w:tcPr>
          <w:p w14:paraId="5D540ABE">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0.468</w:t>
            </w:r>
          </w:p>
        </w:tc>
        <w:tc>
          <w:tcPr>
            <w:tcW w:w="753" w:type="pct"/>
            <w:vAlign w:val="center"/>
          </w:tcPr>
          <w:p w14:paraId="569127BA">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0.238</w:t>
            </w:r>
          </w:p>
        </w:tc>
      </w:tr>
      <w:tr w14:paraId="33D8F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59BE89DA">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p>
        </w:tc>
        <w:tc>
          <w:tcPr>
            <w:tcW w:w="858" w:type="pct"/>
            <w:vAlign w:val="center"/>
          </w:tcPr>
          <w:p w14:paraId="6B8A59C0">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2E165E84">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7A677BBB">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2A918DC1">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74E0587C">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6D078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19122C41">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858" w:type="pct"/>
            <w:vAlign w:val="center"/>
          </w:tcPr>
          <w:p w14:paraId="09091552">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187DBFBF">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6B627C05">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13948308">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26BE0372">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5AA7D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37A00AD4">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858" w:type="pct"/>
            <w:vAlign w:val="center"/>
          </w:tcPr>
          <w:p w14:paraId="6E647FB8">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175BD931">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0B8FEA1D">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5A186DFC">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536C273C">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6287B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17963A04">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p>
        </w:tc>
        <w:tc>
          <w:tcPr>
            <w:tcW w:w="858" w:type="pct"/>
            <w:vAlign w:val="center"/>
          </w:tcPr>
          <w:p w14:paraId="33C1EF22">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0.900</w:t>
            </w:r>
          </w:p>
        </w:tc>
        <w:tc>
          <w:tcPr>
            <w:tcW w:w="745" w:type="pct"/>
            <w:vAlign w:val="center"/>
          </w:tcPr>
          <w:p w14:paraId="2637988F">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0.933</w:t>
            </w:r>
          </w:p>
        </w:tc>
        <w:tc>
          <w:tcPr>
            <w:tcW w:w="745" w:type="pct"/>
            <w:vAlign w:val="center"/>
          </w:tcPr>
          <w:p w14:paraId="280A3D03">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0.867</w:t>
            </w:r>
          </w:p>
        </w:tc>
        <w:tc>
          <w:tcPr>
            <w:tcW w:w="996" w:type="pct"/>
            <w:vAlign w:val="center"/>
          </w:tcPr>
          <w:p w14:paraId="549DB086">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0.900</w:t>
            </w:r>
          </w:p>
        </w:tc>
        <w:tc>
          <w:tcPr>
            <w:tcW w:w="753" w:type="pct"/>
            <w:vAlign w:val="center"/>
          </w:tcPr>
          <w:p w14:paraId="098A8288">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0.700</w:t>
            </w:r>
          </w:p>
        </w:tc>
      </w:tr>
      <w:tr w14:paraId="097BE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5277815A">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858" w:type="pct"/>
            <w:vAlign w:val="center"/>
          </w:tcPr>
          <w:p w14:paraId="714C00CC">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4FD664E7">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441F25E6">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471EF9E9">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1708CA09">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19DEC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1F9C9BC0">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p>
        </w:tc>
        <w:tc>
          <w:tcPr>
            <w:tcW w:w="858" w:type="pct"/>
            <w:vAlign w:val="center"/>
          </w:tcPr>
          <w:p w14:paraId="6EC3F023">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b/>
                <w:bCs/>
                <w:i w:val="0"/>
                <w:iCs w:val="0"/>
                <w:color w:val="auto"/>
                <w:w w:val="99"/>
                <w:kern w:val="0"/>
                <w:sz w:val="21"/>
                <w:szCs w:val="21"/>
                <w:highlight w:val="none"/>
                <w:u w:val="none"/>
                <w:lang w:val="en-US" w:eastAsia="zh-CN" w:bidi="ar"/>
              </w:rPr>
              <w:t>1.100</w:t>
            </w:r>
          </w:p>
        </w:tc>
        <w:tc>
          <w:tcPr>
            <w:tcW w:w="745" w:type="pct"/>
            <w:vAlign w:val="center"/>
          </w:tcPr>
          <w:p w14:paraId="68C44E42">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1.000</w:t>
            </w:r>
          </w:p>
        </w:tc>
        <w:tc>
          <w:tcPr>
            <w:tcW w:w="745" w:type="pct"/>
            <w:vAlign w:val="center"/>
          </w:tcPr>
          <w:p w14:paraId="048999D1">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0.900</w:t>
            </w:r>
          </w:p>
        </w:tc>
        <w:tc>
          <w:tcPr>
            <w:tcW w:w="996" w:type="pct"/>
            <w:vAlign w:val="center"/>
          </w:tcPr>
          <w:p w14:paraId="1106EE56">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b/>
                <w:bCs/>
                <w:i w:val="0"/>
                <w:iCs w:val="0"/>
                <w:color w:val="auto"/>
                <w:w w:val="99"/>
                <w:kern w:val="0"/>
                <w:sz w:val="21"/>
                <w:szCs w:val="21"/>
                <w:highlight w:val="none"/>
                <w:u w:val="none"/>
                <w:lang w:val="en-US" w:eastAsia="zh-CN" w:bidi="ar"/>
              </w:rPr>
              <w:t>1.100</w:t>
            </w:r>
          </w:p>
        </w:tc>
        <w:tc>
          <w:tcPr>
            <w:tcW w:w="753" w:type="pct"/>
            <w:vAlign w:val="center"/>
          </w:tcPr>
          <w:p w14:paraId="3599BD57">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0.200</w:t>
            </w:r>
          </w:p>
        </w:tc>
      </w:tr>
      <w:tr w14:paraId="05A53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0ED3882B">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858" w:type="pct"/>
            <w:vAlign w:val="center"/>
          </w:tcPr>
          <w:p w14:paraId="3CE81529">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2B727614">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41A9B0C8">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308538FA">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77C01D70">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3119F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561EE7B8">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858" w:type="pct"/>
            <w:vAlign w:val="center"/>
          </w:tcPr>
          <w:p w14:paraId="1D012789">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6A762A8D">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77532E0E">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5CA3D956">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77692A5A">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2143D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5D44CFBB">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w:t>
            </w:r>
          </w:p>
        </w:tc>
        <w:tc>
          <w:tcPr>
            <w:tcW w:w="858" w:type="pct"/>
            <w:vAlign w:val="center"/>
          </w:tcPr>
          <w:p w14:paraId="032710EB">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4396D198">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6BAA7687">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01D9E42E">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46A50398">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5E709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19730D66">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w:t>
            </w:r>
          </w:p>
        </w:tc>
        <w:tc>
          <w:tcPr>
            <w:tcW w:w="858" w:type="pct"/>
            <w:vAlign w:val="center"/>
          </w:tcPr>
          <w:p w14:paraId="158FB722">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0.120</w:t>
            </w:r>
          </w:p>
        </w:tc>
        <w:tc>
          <w:tcPr>
            <w:tcW w:w="745" w:type="pct"/>
            <w:vAlign w:val="center"/>
          </w:tcPr>
          <w:p w14:paraId="64DDE802">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0.100</w:t>
            </w:r>
          </w:p>
        </w:tc>
        <w:tc>
          <w:tcPr>
            <w:tcW w:w="745" w:type="pct"/>
            <w:vAlign w:val="center"/>
          </w:tcPr>
          <w:p w14:paraId="7E135BC9">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0.100</w:t>
            </w:r>
          </w:p>
        </w:tc>
        <w:tc>
          <w:tcPr>
            <w:tcW w:w="996" w:type="pct"/>
            <w:vAlign w:val="center"/>
          </w:tcPr>
          <w:p w14:paraId="5F2148D7">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0.110</w:t>
            </w:r>
          </w:p>
        </w:tc>
        <w:tc>
          <w:tcPr>
            <w:tcW w:w="753" w:type="pct"/>
            <w:vAlign w:val="center"/>
          </w:tcPr>
          <w:p w14:paraId="3AFFBD7C">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eastAsia="宋体" w:cs="Times New Roman"/>
                <w:i w:val="0"/>
                <w:iCs w:val="0"/>
                <w:color w:val="auto"/>
                <w:w w:val="99"/>
                <w:kern w:val="0"/>
                <w:sz w:val="21"/>
                <w:szCs w:val="21"/>
                <w:highlight w:val="none"/>
                <w:u w:val="none"/>
                <w:lang w:val="en-US" w:eastAsia="zh-CN" w:bidi="ar"/>
              </w:rPr>
              <w:t>0.070</w:t>
            </w:r>
          </w:p>
        </w:tc>
      </w:tr>
      <w:tr w14:paraId="15BCF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16B2CE75">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硫化物</w:t>
            </w:r>
          </w:p>
        </w:tc>
        <w:tc>
          <w:tcPr>
            <w:tcW w:w="858" w:type="pct"/>
            <w:vAlign w:val="center"/>
          </w:tcPr>
          <w:p w14:paraId="561155A2">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568CDBBB">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70ACE91C">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41DE3670">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3E9C8B6D">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r w14:paraId="764DA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vAlign w:val="center"/>
          </w:tcPr>
          <w:p w14:paraId="5203E9A6">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钡</w:t>
            </w:r>
          </w:p>
        </w:tc>
        <w:tc>
          <w:tcPr>
            <w:tcW w:w="858" w:type="pct"/>
            <w:vAlign w:val="center"/>
          </w:tcPr>
          <w:p w14:paraId="4A17D53C">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378CEDB6">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45" w:type="pct"/>
            <w:vAlign w:val="center"/>
          </w:tcPr>
          <w:p w14:paraId="1D8752EE">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996" w:type="pct"/>
            <w:vAlign w:val="center"/>
          </w:tcPr>
          <w:p w14:paraId="3B99A160">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c>
          <w:tcPr>
            <w:tcW w:w="753" w:type="pct"/>
            <w:vAlign w:val="center"/>
          </w:tcPr>
          <w:p w14:paraId="68A0A845">
            <w:pPr>
              <w:keepNext w:val="0"/>
              <w:keepLines w:val="0"/>
              <w:widowControl/>
              <w:suppressLineNumbers w:val="0"/>
              <w:jc w:val="center"/>
              <w:textAlignment w:val="center"/>
              <w:rPr>
                <w:rFonts w:hint="eastAsia" w:ascii="Times New Roman" w:hAnsi="Times New Roman" w:eastAsia="宋体" w:cs="Times New Roman"/>
                <w:i w:val="0"/>
                <w:iCs w:val="0"/>
                <w:color w:val="auto"/>
                <w:w w:val="99"/>
                <w:kern w:val="0"/>
                <w:sz w:val="21"/>
                <w:szCs w:val="21"/>
                <w:highlight w:val="none"/>
                <w:u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SA"/>
              </w:rPr>
              <w:t>ND</w:t>
            </w:r>
          </w:p>
        </w:tc>
      </w:tr>
    </w:tbl>
    <w:p w14:paraId="136D0179">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由以上地下水单因子标准指数分析可知，评价区域地下水水质除潜水中锰外均满足《地下水质量标准》（GB/T14848-2017）中的Ⅲ类标准要求，石油类满足《地表水环境质量标准》（GB3838-2002）</w:t>
      </w:r>
      <w:r>
        <w:rPr>
          <w:rFonts w:ascii="Times New Roman" w:hAnsi="Times New Roman" w:cs="Times New Roman" w:eastAsiaTheme="minorEastAsia"/>
          <w:color w:val="auto"/>
          <w:w w:val="99"/>
          <w:kern w:val="21"/>
          <w:highlight w:val="none"/>
        </w:rPr>
        <w:fldChar w:fldCharType="begin"/>
      </w:r>
      <w:r>
        <w:rPr>
          <w:rFonts w:ascii="Times New Roman" w:hAnsi="Times New Roman" w:cs="Times New Roman" w:eastAsiaTheme="minorEastAsia"/>
          <w:color w:val="auto"/>
          <w:w w:val="99"/>
          <w:kern w:val="21"/>
          <w:highlight w:val="none"/>
        </w:rPr>
        <w:instrText xml:space="preserve"> = 2 \* ROMAN </w:instrText>
      </w:r>
      <w:r>
        <w:rPr>
          <w:rFonts w:ascii="Times New Roman" w:hAnsi="Times New Roman" w:cs="Times New Roman" w:eastAsiaTheme="minorEastAsia"/>
          <w:color w:val="auto"/>
          <w:w w:val="99"/>
          <w:kern w:val="21"/>
          <w:highlight w:val="none"/>
        </w:rPr>
        <w:fldChar w:fldCharType="separate"/>
      </w:r>
      <w:r>
        <w:rPr>
          <w:rFonts w:ascii="Times New Roman" w:hAnsi="Times New Roman" w:cs="Times New Roman" w:eastAsiaTheme="minorEastAsia"/>
          <w:color w:val="auto"/>
          <w:w w:val="99"/>
          <w:kern w:val="21"/>
          <w:highlight w:val="none"/>
        </w:rPr>
        <w:t>II</w:t>
      </w:r>
      <w:r>
        <w:rPr>
          <w:rFonts w:ascii="Times New Roman" w:hAnsi="Times New Roman" w:cs="Times New Roman" w:eastAsiaTheme="minorEastAsia"/>
          <w:color w:val="auto"/>
          <w:w w:val="99"/>
          <w:kern w:val="21"/>
          <w:highlight w:val="none"/>
        </w:rPr>
        <w:fldChar w:fldCharType="end"/>
      </w:r>
      <w:r>
        <w:rPr>
          <w:rFonts w:ascii="Times New Roman" w:hAnsi="Times New Roman" w:cs="Times New Roman" w:eastAsiaTheme="minorEastAsia"/>
          <w:color w:val="auto"/>
          <w:w w:val="99"/>
          <w:kern w:val="21"/>
          <w:highlight w:val="none"/>
        </w:rPr>
        <w:t>类标准。其中锰因子水质监测浓度占标率偏高，主要是由于评价区域地层中富含锰矿物，还原条件下转化的可溶性Mn</w:t>
      </w:r>
      <w:r>
        <w:rPr>
          <w:rFonts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溶入地下水中，形成锰浓度偏高的水文地质化学环境。</w:t>
      </w:r>
    </w:p>
    <w:p w14:paraId="57DE32F5">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w:t>
      </w:r>
      <w:bookmarkStart w:id="693" w:name="OLE_LINK184"/>
      <w:r>
        <w:rPr>
          <w:rFonts w:ascii="Times New Roman" w:hAnsi="Times New Roman" w:cs="Times New Roman" w:eastAsiaTheme="minorEastAsia"/>
          <w:color w:val="auto"/>
          <w:w w:val="99"/>
          <w:highlight w:val="none"/>
        </w:rPr>
        <w:t>区域</w:t>
      </w:r>
      <w:bookmarkStart w:id="694" w:name="OLE_LINK182"/>
      <w:bookmarkStart w:id="695" w:name="OLE_LINK183"/>
      <w:r>
        <w:rPr>
          <w:rFonts w:ascii="Times New Roman" w:hAnsi="Times New Roman" w:cs="Times New Roman" w:eastAsiaTheme="minorEastAsia"/>
          <w:color w:val="auto"/>
          <w:w w:val="99"/>
          <w:highlight w:val="none"/>
        </w:rPr>
        <w:t>地下水化学类型</w:t>
      </w:r>
      <w:bookmarkEnd w:id="694"/>
      <w:bookmarkEnd w:id="695"/>
      <w:r>
        <w:rPr>
          <w:rFonts w:ascii="Times New Roman" w:hAnsi="Times New Roman" w:cs="Times New Roman" w:eastAsiaTheme="minorEastAsia"/>
          <w:color w:val="auto"/>
          <w:w w:val="99"/>
          <w:highlight w:val="none"/>
        </w:rPr>
        <w:t>分析</w:t>
      </w:r>
      <w:bookmarkEnd w:id="693"/>
    </w:p>
    <w:p w14:paraId="0255BD18">
      <w:pPr>
        <w:widowControl w:val="0"/>
        <w:spacing w:line="44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根据舒卡列夫分类法，按地下水中Ca</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、Mg</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、Na</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、K</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、Cl</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、SO</w:t>
      </w:r>
      <w:r>
        <w:rPr>
          <w:rFonts w:ascii="Times New Roman" w:hAnsi="Times New Roman" w:cs="Times New Roman" w:eastAsiaTheme="minorEastAsia"/>
          <w:color w:val="auto"/>
          <w:w w:val="99"/>
          <w:szCs w:val="20"/>
          <w:highlight w:val="none"/>
          <w:vertAlign w:val="subscript"/>
        </w:rPr>
        <w:t>4</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、HCO</w:t>
      </w:r>
      <w:r>
        <w:rPr>
          <w:rFonts w:ascii="Times New Roman" w:hAnsi="Times New Roman" w:cs="Times New Roman" w:eastAsiaTheme="minorEastAsia"/>
          <w:color w:val="auto"/>
          <w:w w:val="99"/>
          <w:szCs w:val="20"/>
          <w:highlight w:val="none"/>
          <w:vertAlign w:val="subscript"/>
        </w:rPr>
        <w:t>3</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含量，将Meq（毫克当量）百分数大于25% 的阴、阳离子进行组合，每种类型以阿拉伯数字为代号，共49类。舒卡列夫分类表见</w:t>
      </w:r>
      <w:r>
        <w:rPr>
          <w:rFonts w:ascii="Times New Roman" w:hAnsi="Times New Roman" w:cs="Times New Roman" w:eastAsiaTheme="minorEastAsia"/>
          <w:color w:val="auto"/>
          <w:w w:val="99"/>
          <w:highlight w:val="none"/>
        </w:rPr>
        <w:t>表4.3-</w:t>
      </w:r>
      <w:r>
        <w:rPr>
          <w:rFonts w:ascii="Times New Roman" w:hAnsi="Times New Roman" w:cs="Times New Roman" w:eastAsiaTheme="minorEastAsia"/>
          <w:color w:val="auto"/>
          <w:w w:val="99"/>
          <w:szCs w:val="20"/>
          <w:highlight w:val="none"/>
        </w:rPr>
        <w:t>1</w:t>
      </w:r>
      <w:r>
        <w:rPr>
          <w:rFonts w:hint="eastAsia" w:ascii="Times New Roman" w:hAnsi="Times New Roman" w:cs="Times New Roman" w:eastAsiaTheme="minorEastAsia"/>
          <w:color w:val="auto"/>
          <w:w w:val="99"/>
          <w:szCs w:val="20"/>
          <w:highlight w:val="none"/>
          <w:lang w:val="en-US" w:eastAsia="zh-CN"/>
        </w:rPr>
        <w:t>1</w:t>
      </w:r>
      <w:r>
        <w:rPr>
          <w:rFonts w:ascii="Times New Roman" w:hAnsi="Times New Roman" w:cs="Times New Roman" w:eastAsiaTheme="minorEastAsia"/>
          <w:color w:val="auto"/>
          <w:w w:val="99"/>
          <w:szCs w:val="20"/>
          <w:highlight w:val="none"/>
        </w:rPr>
        <w:t xml:space="preserve">。 </w:t>
      </w:r>
    </w:p>
    <w:p w14:paraId="2E43FE43">
      <w:pPr>
        <w:pStyle w:val="153"/>
        <w:widowControl w:val="0"/>
        <w:spacing w:line="440" w:lineRule="exact"/>
        <w:ind w:firstLine="478"/>
        <w:rPr>
          <w:rFonts w:ascii="Times New Roman" w:hAnsi="Times New Roman" w:eastAsiaTheme="minorEastAsia"/>
          <w:b/>
          <w:color w:val="auto"/>
          <w:w w:val="99"/>
          <w:szCs w:val="20"/>
          <w:highlight w:val="none"/>
        </w:rPr>
      </w:pPr>
      <w:r>
        <w:rPr>
          <w:rFonts w:ascii="Times New Roman" w:hAnsi="Times New Roman" w:eastAsiaTheme="minorEastAsia"/>
          <w:b/>
          <w:color w:val="auto"/>
          <w:w w:val="99"/>
          <w:highlight w:val="none"/>
        </w:rPr>
        <w:t>表4.3-</w:t>
      </w:r>
      <w:r>
        <w:rPr>
          <w:rFonts w:ascii="Times New Roman" w:hAnsi="Times New Roman" w:eastAsiaTheme="minorEastAsia"/>
          <w:b/>
          <w:color w:val="auto"/>
          <w:w w:val="99"/>
          <w:szCs w:val="20"/>
          <w:highlight w:val="none"/>
        </w:rPr>
        <w:t>1</w:t>
      </w:r>
      <w:r>
        <w:rPr>
          <w:rFonts w:hint="eastAsia" w:ascii="Times New Roman" w:hAnsi="Times New Roman" w:eastAsiaTheme="minorEastAsia"/>
          <w:b/>
          <w:color w:val="auto"/>
          <w:w w:val="99"/>
          <w:szCs w:val="20"/>
          <w:highlight w:val="none"/>
          <w:lang w:val="en-US" w:eastAsia="zh-CN"/>
        </w:rPr>
        <w:t>1</w:t>
      </w:r>
      <w:r>
        <w:rPr>
          <w:rFonts w:ascii="Times New Roman" w:hAnsi="Times New Roman" w:eastAsiaTheme="minorEastAsia"/>
          <w:b/>
          <w:color w:val="auto"/>
          <w:w w:val="99"/>
          <w:szCs w:val="20"/>
          <w:highlight w:val="none"/>
        </w:rPr>
        <w:t xml:space="preserve">    </w:t>
      </w:r>
      <w:r>
        <w:rPr>
          <w:rFonts w:ascii="Times New Roman" w:hAnsi="Times New Roman" w:eastAsiaTheme="minorEastAsia"/>
          <w:b/>
          <w:color w:val="auto"/>
          <w:w w:val="99"/>
          <w:highlight w:val="none"/>
        </w:rPr>
        <w:t>舒卡列夫</w:t>
      </w:r>
      <w:r>
        <w:rPr>
          <w:rFonts w:ascii="Times New Roman" w:hAnsi="Times New Roman" w:eastAsiaTheme="minorEastAsia"/>
          <w:b/>
          <w:color w:val="auto"/>
          <w:w w:val="99"/>
          <w:szCs w:val="20"/>
          <w:highlight w:val="none"/>
        </w:rPr>
        <w:t>分类表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29"/>
        <w:gridCol w:w="856"/>
        <w:gridCol w:w="1176"/>
        <w:gridCol w:w="1543"/>
        <w:gridCol w:w="1062"/>
        <w:gridCol w:w="812"/>
        <w:gridCol w:w="886"/>
        <w:gridCol w:w="623"/>
      </w:tblGrid>
      <w:tr w14:paraId="6B56B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254" w:type="pct"/>
            <w:vAlign w:val="center"/>
          </w:tcPr>
          <w:p w14:paraId="017E213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含量＞25%Meq的离子</w:t>
            </w:r>
          </w:p>
        </w:tc>
        <w:tc>
          <w:tcPr>
            <w:tcW w:w="461" w:type="pct"/>
            <w:vAlign w:val="center"/>
          </w:tcPr>
          <w:p w14:paraId="5ECC1EE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p>
        </w:tc>
        <w:tc>
          <w:tcPr>
            <w:tcW w:w="633" w:type="pct"/>
            <w:vAlign w:val="center"/>
          </w:tcPr>
          <w:p w14:paraId="57CA766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p>
        </w:tc>
        <w:tc>
          <w:tcPr>
            <w:tcW w:w="831" w:type="pct"/>
            <w:vAlign w:val="center"/>
          </w:tcPr>
          <w:p w14:paraId="0D2D6E1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rPr>
              <w:t>+Cl</w:t>
            </w:r>
          </w:p>
        </w:tc>
        <w:tc>
          <w:tcPr>
            <w:tcW w:w="572" w:type="pct"/>
            <w:vAlign w:val="center"/>
          </w:tcPr>
          <w:p w14:paraId="22E4467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+Cl</w:t>
            </w:r>
          </w:p>
        </w:tc>
        <w:tc>
          <w:tcPr>
            <w:tcW w:w="437" w:type="pct"/>
            <w:vAlign w:val="center"/>
          </w:tcPr>
          <w:p w14:paraId="2A6EFC5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p>
        </w:tc>
        <w:tc>
          <w:tcPr>
            <w:tcW w:w="477" w:type="pct"/>
            <w:vAlign w:val="center"/>
          </w:tcPr>
          <w:p w14:paraId="7ED49F8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rPr>
              <w:t>+Cl</w:t>
            </w:r>
          </w:p>
        </w:tc>
        <w:tc>
          <w:tcPr>
            <w:tcW w:w="335" w:type="pct"/>
            <w:vAlign w:val="center"/>
          </w:tcPr>
          <w:p w14:paraId="3DF7ED4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p>
        </w:tc>
      </w:tr>
      <w:tr w14:paraId="5C4E3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7A04CFA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p>
        </w:tc>
        <w:tc>
          <w:tcPr>
            <w:tcW w:w="461" w:type="pct"/>
            <w:vAlign w:val="center"/>
          </w:tcPr>
          <w:p w14:paraId="259F184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633" w:type="pct"/>
            <w:vAlign w:val="center"/>
          </w:tcPr>
          <w:p w14:paraId="63742BB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8</w:t>
            </w:r>
          </w:p>
        </w:tc>
        <w:tc>
          <w:tcPr>
            <w:tcW w:w="831" w:type="pct"/>
            <w:vAlign w:val="center"/>
          </w:tcPr>
          <w:p w14:paraId="7ABD30D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w:t>
            </w:r>
          </w:p>
        </w:tc>
        <w:tc>
          <w:tcPr>
            <w:tcW w:w="572" w:type="pct"/>
            <w:vAlign w:val="center"/>
          </w:tcPr>
          <w:p w14:paraId="4706A40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22</w:t>
            </w:r>
          </w:p>
        </w:tc>
        <w:tc>
          <w:tcPr>
            <w:tcW w:w="437" w:type="pct"/>
            <w:vAlign w:val="center"/>
          </w:tcPr>
          <w:p w14:paraId="64CEB1B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29</w:t>
            </w:r>
          </w:p>
        </w:tc>
        <w:tc>
          <w:tcPr>
            <w:tcW w:w="477" w:type="pct"/>
            <w:vAlign w:val="center"/>
          </w:tcPr>
          <w:p w14:paraId="6884ED9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36</w:t>
            </w:r>
          </w:p>
        </w:tc>
        <w:tc>
          <w:tcPr>
            <w:tcW w:w="335" w:type="pct"/>
            <w:vAlign w:val="center"/>
          </w:tcPr>
          <w:p w14:paraId="4E9C469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43</w:t>
            </w:r>
          </w:p>
        </w:tc>
      </w:tr>
      <w:tr w14:paraId="624F1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3EA7B08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Ca+Mg</w:t>
            </w:r>
          </w:p>
        </w:tc>
        <w:tc>
          <w:tcPr>
            <w:tcW w:w="461" w:type="pct"/>
            <w:vAlign w:val="center"/>
          </w:tcPr>
          <w:p w14:paraId="422C524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633" w:type="pct"/>
            <w:vAlign w:val="center"/>
          </w:tcPr>
          <w:p w14:paraId="395D7E2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9</w:t>
            </w:r>
          </w:p>
        </w:tc>
        <w:tc>
          <w:tcPr>
            <w:tcW w:w="831" w:type="pct"/>
            <w:vAlign w:val="center"/>
          </w:tcPr>
          <w:p w14:paraId="52BE856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16</w:t>
            </w:r>
          </w:p>
        </w:tc>
        <w:tc>
          <w:tcPr>
            <w:tcW w:w="572" w:type="pct"/>
            <w:vAlign w:val="center"/>
          </w:tcPr>
          <w:p w14:paraId="720F857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23</w:t>
            </w:r>
          </w:p>
        </w:tc>
        <w:tc>
          <w:tcPr>
            <w:tcW w:w="437" w:type="pct"/>
            <w:vAlign w:val="center"/>
          </w:tcPr>
          <w:p w14:paraId="588045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c>
          <w:tcPr>
            <w:tcW w:w="477" w:type="pct"/>
            <w:vAlign w:val="center"/>
          </w:tcPr>
          <w:p w14:paraId="4BF26C9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37</w:t>
            </w:r>
          </w:p>
        </w:tc>
        <w:tc>
          <w:tcPr>
            <w:tcW w:w="335" w:type="pct"/>
            <w:vAlign w:val="center"/>
          </w:tcPr>
          <w:p w14:paraId="2E3C81D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44</w:t>
            </w:r>
          </w:p>
        </w:tc>
      </w:tr>
      <w:tr w14:paraId="3EDDE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0F45CBB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p>
        </w:tc>
        <w:tc>
          <w:tcPr>
            <w:tcW w:w="461" w:type="pct"/>
            <w:vAlign w:val="center"/>
          </w:tcPr>
          <w:p w14:paraId="03A4FE2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633" w:type="pct"/>
            <w:vAlign w:val="center"/>
          </w:tcPr>
          <w:p w14:paraId="6BB5F8E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c>
          <w:tcPr>
            <w:tcW w:w="831" w:type="pct"/>
            <w:vAlign w:val="center"/>
          </w:tcPr>
          <w:p w14:paraId="3F198EC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17</w:t>
            </w:r>
          </w:p>
        </w:tc>
        <w:tc>
          <w:tcPr>
            <w:tcW w:w="572" w:type="pct"/>
            <w:vAlign w:val="center"/>
          </w:tcPr>
          <w:p w14:paraId="528652C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24</w:t>
            </w:r>
          </w:p>
        </w:tc>
        <w:tc>
          <w:tcPr>
            <w:tcW w:w="437" w:type="pct"/>
            <w:vAlign w:val="center"/>
          </w:tcPr>
          <w:p w14:paraId="0623C11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31</w:t>
            </w:r>
          </w:p>
        </w:tc>
        <w:tc>
          <w:tcPr>
            <w:tcW w:w="477" w:type="pct"/>
            <w:vAlign w:val="center"/>
          </w:tcPr>
          <w:p w14:paraId="24B36CC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38</w:t>
            </w:r>
          </w:p>
        </w:tc>
        <w:tc>
          <w:tcPr>
            <w:tcW w:w="335" w:type="pct"/>
            <w:vAlign w:val="center"/>
          </w:tcPr>
          <w:p w14:paraId="12616EA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45</w:t>
            </w:r>
          </w:p>
        </w:tc>
      </w:tr>
      <w:tr w14:paraId="72C06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6262634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Na+Ca</w:t>
            </w:r>
          </w:p>
        </w:tc>
        <w:tc>
          <w:tcPr>
            <w:tcW w:w="461" w:type="pct"/>
            <w:vAlign w:val="center"/>
          </w:tcPr>
          <w:p w14:paraId="7388B03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w:t>
            </w:r>
          </w:p>
        </w:tc>
        <w:tc>
          <w:tcPr>
            <w:tcW w:w="633" w:type="pct"/>
            <w:vAlign w:val="center"/>
          </w:tcPr>
          <w:p w14:paraId="5DDD9BC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w:t>
            </w:r>
          </w:p>
        </w:tc>
        <w:tc>
          <w:tcPr>
            <w:tcW w:w="831" w:type="pct"/>
            <w:vAlign w:val="center"/>
          </w:tcPr>
          <w:p w14:paraId="19AEF5B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18</w:t>
            </w:r>
          </w:p>
        </w:tc>
        <w:tc>
          <w:tcPr>
            <w:tcW w:w="572" w:type="pct"/>
            <w:vAlign w:val="center"/>
          </w:tcPr>
          <w:p w14:paraId="681468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25</w:t>
            </w:r>
          </w:p>
        </w:tc>
        <w:tc>
          <w:tcPr>
            <w:tcW w:w="437" w:type="pct"/>
            <w:vAlign w:val="center"/>
          </w:tcPr>
          <w:p w14:paraId="71FC06F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32</w:t>
            </w:r>
          </w:p>
        </w:tc>
        <w:tc>
          <w:tcPr>
            <w:tcW w:w="477" w:type="pct"/>
            <w:vAlign w:val="center"/>
          </w:tcPr>
          <w:p w14:paraId="6CA3595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39</w:t>
            </w:r>
          </w:p>
        </w:tc>
        <w:tc>
          <w:tcPr>
            <w:tcW w:w="335" w:type="pct"/>
            <w:vAlign w:val="center"/>
          </w:tcPr>
          <w:p w14:paraId="51A6456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46</w:t>
            </w:r>
          </w:p>
        </w:tc>
      </w:tr>
      <w:tr w14:paraId="11D2A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599712F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Na+Ca+Mg</w:t>
            </w:r>
          </w:p>
        </w:tc>
        <w:tc>
          <w:tcPr>
            <w:tcW w:w="461" w:type="pct"/>
            <w:vAlign w:val="center"/>
          </w:tcPr>
          <w:p w14:paraId="13BE7E1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w:t>
            </w:r>
          </w:p>
        </w:tc>
        <w:tc>
          <w:tcPr>
            <w:tcW w:w="633" w:type="pct"/>
            <w:vAlign w:val="center"/>
          </w:tcPr>
          <w:p w14:paraId="0DF830B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w:t>
            </w:r>
          </w:p>
        </w:tc>
        <w:tc>
          <w:tcPr>
            <w:tcW w:w="831" w:type="pct"/>
            <w:vAlign w:val="center"/>
          </w:tcPr>
          <w:p w14:paraId="0570C53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19</w:t>
            </w:r>
          </w:p>
        </w:tc>
        <w:tc>
          <w:tcPr>
            <w:tcW w:w="572" w:type="pct"/>
            <w:vAlign w:val="center"/>
          </w:tcPr>
          <w:p w14:paraId="524A19A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26</w:t>
            </w:r>
          </w:p>
        </w:tc>
        <w:tc>
          <w:tcPr>
            <w:tcW w:w="437" w:type="pct"/>
            <w:vAlign w:val="center"/>
          </w:tcPr>
          <w:p w14:paraId="7FC6291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33</w:t>
            </w:r>
          </w:p>
        </w:tc>
        <w:tc>
          <w:tcPr>
            <w:tcW w:w="477" w:type="pct"/>
            <w:vAlign w:val="center"/>
          </w:tcPr>
          <w:p w14:paraId="7023AEB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40</w:t>
            </w:r>
          </w:p>
        </w:tc>
        <w:tc>
          <w:tcPr>
            <w:tcW w:w="335" w:type="pct"/>
            <w:vAlign w:val="center"/>
          </w:tcPr>
          <w:p w14:paraId="23F1E45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47</w:t>
            </w:r>
          </w:p>
        </w:tc>
      </w:tr>
      <w:tr w14:paraId="5581A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5A62B8D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Na+Mg</w:t>
            </w:r>
          </w:p>
        </w:tc>
        <w:tc>
          <w:tcPr>
            <w:tcW w:w="461" w:type="pct"/>
            <w:vAlign w:val="center"/>
          </w:tcPr>
          <w:p w14:paraId="185AC7E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w:t>
            </w:r>
          </w:p>
        </w:tc>
        <w:tc>
          <w:tcPr>
            <w:tcW w:w="633" w:type="pct"/>
            <w:vAlign w:val="center"/>
          </w:tcPr>
          <w:p w14:paraId="6DB2FB8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13</w:t>
            </w:r>
          </w:p>
        </w:tc>
        <w:tc>
          <w:tcPr>
            <w:tcW w:w="831" w:type="pct"/>
            <w:vAlign w:val="center"/>
          </w:tcPr>
          <w:p w14:paraId="0668160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w:t>
            </w:r>
          </w:p>
        </w:tc>
        <w:tc>
          <w:tcPr>
            <w:tcW w:w="572" w:type="pct"/>
            <w:vAlign w:val="center"/>
          </w:tcPr>
          <w:p w14:paraId="6221D5F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27</w:t>
            </w:r>
          </w:p>
        </w:tc>
        <w:tc>
          <w:tcPr>
            <w:tcW w:w="437" w:type="pct"/>
            <w:vAlign w:val="center"/>
          </w:tcPr>
          <w:p w14:paraId="471B6E1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34</w:t>
            </w:r>
          </w:p>
        </w:tc>
        <w:tc>
          <w:tcPr>
            <w:tcW w:w="477" w:type="pct"/>
            <w:vAlign w:val="center"/>
          </w:tcPr>
          <w:p w14:paraId="025BCCD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41</w:t>
            </w:r>
          </w:p>
        </w:tc>
        <w:tc>
          <w:tcPr>
            <w:tcW w:w="335" w:type="pct"/>
            <w:vAlign w:val="center"/>
          </w:tcPr>
          <w:p w14:paraId="16CD1A9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48</w:t>
            </w:r>
          </w:p>
        </w:tc>
      </w:tr>
      <w:tr w14:paraId="2BC9B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6A5E44B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p>
        </w:tc>
        <w:tc>
          <w:tcPr>
            <w:tcW w:w="461" w:type="pct"/>
            <w:vAlign w:val="center"/>
          </w:tcPr>
          <w:p w14:paraId="3D7E507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7</w:t>
            </w:r>
          </w:p>
        </w:tc>
        <w:tc>
          <w:tcPr>
            <w:tcW w:w="633" w:type="pct"/>
            <w:vAlign w:val="center"/>
          </w:tcPr>
          <w:p w14:paraId="31E172A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w:t>
            </w:r>
          </w:p>
        </w:tc>
        <w:tc>
          <w:tcPr>
            <w:tcW w:w="831" w:type="pct"/>
            <w:vAlign w:val="center"/>
          </w:tcPr>
          <w:p w14:paraId="30F7EB2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21</w:t>
            </w:r>
          </w:p>
        </w:tc>
        <w:tc>
          <w:tcPr>
            <w:tcW w:w="572" w:type="pct"/>
            <w:vAlign w:val="center"/>
          </w:tcPr>
          <w:p w14:paraId="3203F38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28</w:t>
            </w:r>
          </w:p>
        </w:tc>
        <w:tc>
          <w:tcPr>
            <w:tcW w:w="437" w:type="pct"/>
            <w:vAlign w:val="center"/>
          </w:tcPr>
          <w:p w14:paraId="5CA2782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35</w:t>
            </w:r>
          </w:p>
        </w:tc>
        <w:tc>
          <w:tcPr>
            <w:tcW w:w="477" w:type="pct"/>
            <w:vAlign w:val="center"/>
          </w:tcPr>
          <w:p w14:paraId="5FE76E0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42</w:t>
            </w:r>
          </w:p>
        </w:tc>
        <w:tc>
          <w:tcPr>
            <w:tcW w:w="335" w:type="pct"/>
            <w:vAlign w:val="center"/>
          </w:tcPr>
          <w:p w14:paraId="4C747C1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49</w:t>
            </w:r>
          </w:p>
        </w:tc>
      </w:tr>
    </w:tbl>
    <w:p w14:paraId="73F66A50">
      <w:pPr>
        <w:widowControl w:val="0"/>
        <w:spacing w:line="44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按矿化度又分为4组：A组矿化度&lt; 1.5g/L，B组1.5～10g/L，C组10～40g/L，D组&gt; 40g/L。命名时在数字与字母间加连接号，如1-A型：指的是M &lt; 1.5g/L，阴离子只有HCO</w:t>
      </w:r>
      <w:r>
        <w:rPr>
          <w:rFonts w:ascii="Times New Roman" w:hAnsi="Times New Roman" w:cs="Times New Roman" w:eastAsiaTheme="minorEastAsia"/>
          <w:color w:val="auto"/>
          <w:w w:val="99"/>
          <w:szCs w:val="20"/>
          <w:highlight w:val="none"/>
          <w:vertAlign w:val="subscript"/>
        </w:rPr>
        <w:t>3</w:t>
      </w:r>
      <w:r>
        <w:rPr>
          <w:rFonts w:ascii="Times New Roman" w:hAnsi="Times New Roman" w:cs="Times New Roman" w:eastAsiaTheme="minorEastAsia"/>
          <w:color w:val="auto"/>
          <w:w w:val="99"/>
          <w:szCs w:val="20"/>
          <w:highlight w:val="none"/>
        </w:rPr>
        <w:t xml:space="preserve"> &gt; 25％Meq，阳离子只有Ca大于25 %Meq。49-D型，表示矿化度大于40g/L的Cl-Na型水，该型水可能是于海水及海相沉积有关的地下水，或是大陆盐化潜水。</w:t>
      </w:r>
    </w:p>
    <w:p w14:paraId="4F5984F5">
      <w:pPr>
        <w:widowControl w:val="0"/>
        <w:spacing w:line="440" w:lineRule="exact"/>
        <w:ind w:firstLine="474" w:firstLineChars="200"/>
        <w:jc w:val="both"/>
        <w:rPr>
          <w:rFonts w:ascii="Times New Roman" w:hAnsi="Times New Roman" w:cs="Times New Roman" w:eastAsiaTheme="minorEastAsia"/>
          <w:color w:val="auto"/>
          <w:w w:val="99"/>
          <w:kern w:val="2"/>
          <w:szCs w:val="32"/>
          <w:highlight w:val="none"/>
        </w:rPr>
      </w:pPr>
      <w:r>
        <w:rPr>
          <w:rFonts w:ascii="Times New Roman" w:hAnsi="Times New Roman" w:cs="Times New Roman" w:eastAsiaTheme="minorEastAsia"/>
          <w:color w:val="auto"/>
          <w:w w:val="99"/>
          <w:szCs w:val="32"/>
          <w:highlight w:val="none"/>
        </w:rPr>
        <w:t>根据本项目地下水监测结果，分别计算承压水、潜水各监测点位中SO</w:t>
      </w:r>
      <w:r>
        <w:rPr>
          <w:rFonts w:ascii="Times New Roman" w:hAnsi="Times New Roman" w:cs="Times New Roman" w:eastAsiaTheme="minorEastAsia"/>
          <w:color w:val="auto"/>
          <w:w w:val="99"/>
          <w:szCs w:val="32"/>
          <w:highlight w:val="none"/>
          <w:vertAlign w:val="subscript"/>
        </w:rPr>
        <w:t>4</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、Cl</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、HCO</w:t>
      </w:r>
      <w:r>
        <w:rPr>
          <w:rFonts w:ascii="Times New Roman" w:hAnsi="Times New Roman" w:cs="Times New Roman" w:eastAsiaTheme="minorEastAsia"/>
          <w:color w:val="auto"/>
          <w:w w:val="99"/>
          <w:szCs w:val="32"/>
          <w:highlight w:val="none"/>
          <w:vertAlign w:val="subscript"/>
        </w:rPr>
        <w:t>3</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、CO</w:t>
      </w:r>
      <w:r>
        <w:rPr>
          <w:rFonts w:ascii="Times New Roman" w:hAnsi="Times New Roman" w:cs="Times New Roman" w:eastAsiaTheme="minorEastAsia"/>
          <w:color w:val="auto"/>
          <w:w w:val="99"/>
          <w:szCs w:val="32"/>
          <w:highlight w:val="none"/>
          <w:vertAlign w:val="subscript"/>
        </w:rPr>
        <w:t>3</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、Ca</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、Mg</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、Na</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 K</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浓度均值，进而计算各离子Meq（毫克当量）百分数及监测点位矿化度，从而对工程区域内承压水、潜水的水化学类型进行分类，</w:t>
      </w:r>
      <w:r>
        <w:rPr>
          <w:rFonts w:ascii="Times New Roman" w:hAnsi="Times New Roman" w:cs="Times New Roman" w:eastAsiaTheme="minorEastAsia"/>
          <w:color w:val="auto"/>
          <w:w w:val="99"/>
          <w:kern w:val="2"/>
          <w:szCs w:val="32"/>
          <w:highlight w:val="none"/>
        </w:rPr>
        <w:t>工程所在地潜水水质八大离子浓度统计结果见表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kern w:val="2"/>
          <w:szCs w:val="20"/>
          <w:highlight w:val="none"/>
          <w:lang w:val="en-US" w:eastAsia="zh-CN"/>
        </w:rPr>
        <w:t>12</w:t>
      </w:r>
      <w:r>
        <w:rPr>
          <w:rFonts w:ascii="Times New Roman" w:hAnsi="Times New Roman" w:cs="Times New Roman" w:eastAsiaTheme="minorEastAsia"/>
          <w:color w:val="auto"/>
          <w:w w:val="99"/>
          <w:kern w:val="2"/>
          <w:szCs w:val="32"/>
          <w:highlight w:val="none"/>
        </w:rPr>
        <w:t>，工程所在地承压水水质八大离子浓度统计结果见表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kern w:val="2"/>
          <w:szCs w:val="20"/>
          <w:highlight w:val="none"/>
          <w:lang w:val="en-US" w:eastAsia="zh-CN"/>
        </w:rPr>
        <w:t>13</w:t>
      </w:r>
      <w:r>
        <w:rPr>
          <w:rFonts w:ascii="Times New Roman" w:hAnsi="Times New Roman" w:cs="Times New Roman" w:eastAsiaTheme="minorEastAsia"/>
          <w:color w:val="auto"/>
          <w:w w:val="99"/>
          <w:kern w:val="2"/>
          <w:szCs w:val="32"/>
          <w:highlight w:val="none"/>
        </w:rPr>
        <w:t>。</w:t>
      </w:r>
    </w:p>
    <w:p w14:paraId="384E9B9F">
      <w:pPr>
        <w:pStyle w:val="153"/>
        <w:widowControl w:val="0"/>
        <w:spacing w:line="440" w:lineRule="exact"/>
        <w:ind w:firstLine="478"/>
        <w:rPr>
          <w:rFonts w:ascii="Times New Roman" w:hAnsi="Times New Roman" w:eastAsiaTheme="minorEastAsia"/>
          <w:b/>
          <w:bCs/>
          <w:color w:val="auto"/>
          <w:w w:val="99"/>
          <w:kern w:val="21"/>
          <w:szCs w:val="20"/>
          <w:highlight w:val="none"/>
        </w:rPr>
      </w:pPr>
      <w:r>
        <w:rPr>
          <w:rFonts w:ascii="Times New Roman" w:hAnsi="Times New Roman" w:eastAsiaTheme="minorEastAsia"/>
          <w:b/>
          <w:bCs/>
          <w:color w:val="auto"/>
          <w:w w:val="99"/>
          <w:kern w:val="21"/>
          <w:szCs w:val="20"/>
          <w:highlight w:val="none"/>
        </w:rPr>
        <w:t>表</w:t>
      </w:r>
      <w:r>
        <w:rPr>
          <w:rFonts w:ascii="Times New Roman" w:hAnsi="Times New Roman" w:eastAsiaTheme="minorEastAsia"/>
          <w:b/>
          <w:color w:val="auto"/>
          <w:w w:val="99"/>
          <w:kern w:val="2"/>
          <w:szCs w:val="20"/>
          <w:highlight w:val="none"/>
        </w:rPr>
        <w:t>4.3-</w:t>
      </w:r>
      <w:r>
        <w:rPr>
          <w:rFonts w:hint="eastAsia" w:ascii="Times New Roman" w:hAnsi="Times New Roman" w:eastAsiaTheme="minorEastAsia"/>
          <w:b/>
          <w:color w:val="auto"/>
          <w:w w:val="99"/>
          <w:kern w:val="2"/>
          <w:szCs w:val="20"/>
          <w:highlight w:val="none"/>
          <w:lang w:val="en-US" w:eastAsia="zh-CN"/>
        </w:rPr>
        <w:t>12</w:t>
      </w:r>
      <w:r>
        <w:rPr>
          <w:rFonts w:ascii="Times New Roman" w:hAnsi="Times New Roman" w:eastAsiaTheme="minorEastAsia"/>
          <w:b/>
          <w:bCs/>
          <w:color w:val="auto"/>
          <w:w w:val="99"/>
          <w:kern w:val="21"/>
          <w:szCs w:val="20"/>
          <w:highlight w:val="none"/>
        </w:rPr>
        <w:t xml:space="preserve">    </w:t>
      </w:r>
      <w:r>
        <w:rPr>
          <w:rFonts w:ascii="Times New Roman" w:hAnsi="Times New Roman" w:eastAsiaTheme="minorEastAsia"/>
          <w:b/>
          <w:color w:val="auto"/>
          <w:w w:val="99"/>
          <w:highlight w:val="none"/>
        </w:rPr>
        <w:t>潜水</w:t>
      </w:r>
      <w:r>
        <w:rPr>
          <w:rFonts w:ascii="Times New Roman" w:hAnsi="Times New Roman" w:eastAsiaTheme="minorEastAsia"/>
          <w:b/>
          <w:bCs/>
          <w:color w:val="auto"/>
          <w:w w:val="99"/>
          <w:kern w:val="21"/>
          <w:szCs w:val="20"/>
          <w:highlight w:val="none"/>
        </w:rPr>
        <w:t>水质八大离子水化学类型分析结果</w:t>
      </w:r>
    </w:p>
    <w:tbl>
      <w:tblPr>
        <w:tblStyle w:val="80"/>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7"/>
        <w:gridCol w:w="1235"/>
        <w:gridCol w:w="1480"/>
        <w:gridCol w:w="1482"/>
        <w:gridCol w:w="1629"/>
        <w:gridCol w:w="1046"/>
        <w:gridCol w:w="861"/>
      </w:tblGrid>
      <w:tr w14:paraId="26346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Align w:val="center"/>
          </w:tcPr>
          <w:p w14:paraId="2EF25C6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监测井点位</w:t>
            </w:r>
          </w:p>
        </w:tc>
        <w:tc>
          <w:tcPr>
            <w:tcW w:w="665" w:type="pct"/>
            <w:vAlign w:val="center"/>
          </w:tcPr>
          <w:p w14:paraId="7F86B3A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离子名称</w:t>
            </w:r>
          </w:p>
        </w:tc>
        <w:tc>
          <w:tcPr>
            <w:tcW w:w="797" w:type="pct"/>
            <w:vAlign w:val="center"/>
          </w:tcPr>
          <w:p w14:paraId="4018B76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毫克当量（mg/L）</w:t>
            </w:r>
          </w:p>
        </w:tc>
        <w:tc>
          <w:tcPr>
            <w:tcW w:w="798" w:type="pct"/>
            <w:vAlign w:val="center"/>
          </w:tcPr>
          <w:p w14:paraId="71D4A4A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毫克当量百分比（%）</w:t>
            </w:r>
          </w:p>
        </w:tc>
        <w:tc>
          <w:tcPr>
            <w:tcW w:w="877" w:type="pct"/>
            <w:vAlign w:val="center"/>
          </w:tcPr>
          <w:p w14:paraId="3D8DE27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离子毫克当量合计（mg/L）</w:t>
            </w:r>
          </w:p>
        </w:tc>
        <w:tc>
          <w:tcPr>
            <w:tcW w:w="563" w:type="pct"/>
            <w:vAlign w:val="center"/>
          </w:tcPr>
          <w:p w14:paraId="43B0C4C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相对误差%</w:t>
            </w:r>
          </w:p>
        </w:tc>
        <w:tc>
          <w:tcPr>
            <w:tcW w:w="463" w:type="pct"/>
            <w:vAlign w:val="center"/>
          </w:tcPr>
          <w:p w14:paraId="204A202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矿化度</w:t>
            </w:r>
          </w:p>
        </w:tc>
      </w:tr>
      <w:tr w14:paraId="21AA8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24DB51D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eastAsia="宋体" w:cs="Times New Roman"/>
                <w:i w:val="0"/>
                <w:iCs w:val="0"/>
                <w:color w:val="auto"/>
                <w:w w:val="99"/>
                <w:kern w:val="0"/>
                <w:sz w:val="21"/>
                <w:szCs w:val="21"/>
                <w:highlight w:val="none"/>
                <w:u w:val="none"/>
                <w:lang w:val="en-US" w:eastAsia="zh-CN" w:bidi="ar"/>
              </w:rPr>
              <w:t>尚家围子屯吕家潜水井</w:t>
            </w:r>
          </w:p>
        </w:tc>
        <w:tc>
          <w:tcPr>
            <w:tcW w:w="665" w:type="pct"/>
            <w:vAlign w:val="center"/>
          </w:tcPr>
          <w:p w14:paraId="46DC6F1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K</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3A0461A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0.062</w:t>
            </w:r>
          </w:p>
        </w:tc>
        <w:tc>
          <w:tcPr>
            <w:tcW w:w="798" w:type="pct"/>
            <w:vAlign w:val="center"/>
          </w:tcPr>
          <w:p w14:paraId="5CD25A4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1.127</w:t>
            </w:r>
          </w:p>
        </w:tc>
        <w:tc>
          <w:tcPr>
            <w:tcW w:w="877" w:type="pct"/>
            <w:vMerge w:val="restart"/>
            <w:vAlign w:val="center"/>
          </w:tcPr>
          <w:p w14:paraId="42F6F09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5.460</w:t>
            </w:r>
          </w:p>
        </w:tc>
        <w:tc>
          <w:tcPr>
            <w:tcW w:w="563" w:type="pct"/>
            <w:vMerge w:val="restart"/>
            <w:vAlign w:val="center"/>
          </w:tcPr>
          <w:p w14:paraId="11FC4DC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1.79</w:t>
            </w:r>
          </w:p>
        </w:tc>
        <w:tc>
          <w:tcPr>
            <w:tcW w:w="463" w:type="pct"/>
            <w:vMerge w:val="restart"/>
            <w:vAlign w:val="center"/>
          </w:tcPr>
          <w:p w14:paraId="72E8E8C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0.41</w:t>
            </w:r>
          </w:p>
        </w:tc>
      </w:tr>
      <w:tr w14:paraId="430BF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6CD9F9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6A0F929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Na</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3CB309A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2.291</w:t>
            </w:r>
          </w:p>
        </w:tc>
        <w:tc>
          <w:tcPr>
            <w:tcW w:w="798" w:type="pct"/>
            <w:vAlign w:val="center"/>
          </w:tcPr>
          <w:p w14:paraId="5E2F512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41.969</w:t>
            </w:r>
          </w:p>
        </w:tc>
        <w:tc>
          <w:tcPr>
            <w:tcW w:w="877" w:type="pct"/>
            <w:vMerge w:val="continue"/>
            <w:vAlign w:val="center"/>
          </w:tcPr>
          <w:p w14:paraId="522064F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260B710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2D49CF0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07868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456337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693D03B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Ca</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1DB4F05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2.315</w:t>
            </w:r>
          </w:p>
        </w:tc>
        <w:tc>
          <w:tcPr>
            <w:tcW w:w="798" w:type="pct"/>
            <w:vAlign w:val="center"/>
          </w:tcPr>
          <w:p w14:paraId="1E2284E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42.403</w:t>
            </w:r>
          </w:p>
        </w:tc>
        <w:tc>
          <w:tcPr>
            <w:tcW w:w="877" w:type="pct"/>
            <w:vMerge w:val="continue"/>
            <w:vAlign w:val="center"/>
          </w:tcPr>
          <w:p w14:paraId="467EB30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5BBD4CC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1FD0496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509A8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99B2BE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0883759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Mg</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36149E6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0.792</w:t>
            </w:r>
          </w:p>
        </w:tc>
        <w:tc>
          <w:tcPr>
            <w:tcW w:w="798" w:type="pct"/>
            <w:vAlign w:val="center"/>
          </w:tcPr>
          <w:p w14:paraId="3FF0A97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14.501</w:t>
            </w:r>
          </w:p>
        </w:tc>
        <w:tc>
          <w:tcPr>
            <w:tcW w:w="877" w:type="pct"/>
            <w:vMerge w:val="continue"/>
            <w:vAlign w:val="center"/>
          </w:tcPr>
          <w:p w14:paraId="7168FBD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7F64364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7B944F3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68612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DAD435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1E76DF5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HCO</w:t>
            </w:r>
            <w:r>
              <w:rPr>
                <w:rFonts w:hint="default" w:ascii="Times New Roman" w:hAnsi="Times New Roman" w:cs="Times New Roman" w:eastAsiaTheme="minorEastAsia"/>
                <w:bCs/>
                <w:color w:val="auto"/>
                <w:w w:val="99"/>
                <w:kern w:val="2"/>
                <w:sz w:val="21"/>
                <w:szCs w:val="21"/>
                <w:highlight w:val="none"/>
                <w:vertAlign w:val="subscript"/>
              </w:rPr>
              <w:t>3</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466A792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3.508</w:t>
            </w:r>
          </w:p>
        </w:tc>
        <w:tc>
          <w:tcPr>
            <w:tcW w:w="798" w:type="pct"/>
            <w:vAlign w:val="center"/>
          </w:tcPr>
          <w:p w14:paraId="3E3F689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61.999</w:t>
            </w:r>
          </w:p>
        </w:tc>
        <w:tc>
          <w:tcPr>
            <w:tcW w:w="877" w:type="pct"/>
            <w:vMerge w:val="restart"/>
            <w:vAlign w:val="center"/>
          </w:tcPr>
          <w:p w14:paraId="702B345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5.658</w:t>
            </w:r>
          </w:p>
        </w:tc>
        <w:tc>
          <w:tcPr>
            <w:tcW w:w="563" w:type="pct"/>
            <w:vMerge w:val="continue"/>
            <w:vAlign w:val="center"/>
          </w:tcPr>
          <w:p w14:paraId="45987F2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60DB4C0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339C8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F1DE8A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4FB1F17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CO</w:t>
            </w:r>
            <w:r>
              <w:rPr>
                <w:rFonts w:hint="default" w:ascii="Times New Roman" w:hAnsi="Times New Roman" w:cs="Times New Roman" w:eastAsiaTheme="minorEastAsia"/>
                <w:bCs/>
                <w:color w:val="auto"/>
                <w:w w:val="99"/>
                <w:kern w:val="2"/>
                <w:sz w:val="21"/>
                <w:szCs w:val="21"/>
                <w:highlight w:val="none"/>
                <w:vertAlign w:val="subscript"/>
              </w:rPr>
              <w:t>3</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6D1BDAD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0.000</w:t>
            </w:r>
          </w:p>
        </w:tc>
        <w:tc>
          <w:tcPr>
            <w:tcW w:w="798" w:type="pct"/>
            <w:vAlign w:val="center"/>
          </w:tcPr>
          <w:p w14:paraId="4962C4A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0.000</w:t>
            </w:r>
          </w:p>
        </w:tc>
        <w:tc>
          <w:tcPr>
            <w:tcW w:w="877" w:type="pct"/>
            <w:vMerge w:val="continue"/>
            <w:vAlign w:val="center"/>
          </w:tcPr>
          <w:p w14:paraId="557431C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44E460F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788E0A4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52F66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6A8B81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63BD544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Cl</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302BAD7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1.386</w:t>
            </w:r>
          </w:p>
        </w:tc>
        <w:tc>
          <w:tcPr>
            <w:tcW w:w="798" w:type="pct"/>
            <w:vAlign w:val="center"/>
          </w:tcPr>
          <w:p w14:paraId="4B03C47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24.489</w:t>
            </w:r>
          </w:p>
        </w:tc>
        <w:tc>
          <w:tcPr>
            <w:tcW w:w="877" w:type="pct"/>
            <w:vMerge w:val="continue"/>
            <w:vAlign w:val="center"/>
          </w:tcPr>
          <w:p w14:paraId="19C56E7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61D8B06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5511B09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1B8D4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AC1F8C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300C9B4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SO</w:t>
            </w:r>
            <w:r>
              <w:rPr>
                <w:rFonts w:hint="default" w:ascii="Times New Roman" w:hAnsi="Times New Roman" w:cs="Times New Roman" w:eastAsiaTheme="minorEastAsia"/>
                <w:bCs/>
                <w:color w:val="auto"/>
                <w:w w:val="99"/>
                <w:kern w:val="2"/>
                <w:sz w:val="21"/>
                <w:szCs w:val="21"/>
                <w:highlight w:val="none"/>
                <w:vertAlign w:val="subscript"/>
              </w:rPr>
              <w:t>4</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5D6F51B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0.765</w:t>
            </w:r>
          </w:p>
        </w:tc>
        <w:tc>
          <w:tcPr>
            <w:tcW w:w="798" w:type="pct"/>
            <w:vAlign w:val="center"/>
          </w:tcPr>
          <w:p w14:paraId="22D7FB0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13.512</w:t>
            </w:r>
          </w:p>
        </w:tc>
        <w:tc>
          <w:tcPr>
            <w:tcW w:w="877" w:type="pct"/>
            <w:vMerge w:val="continue"/>
            <w:vAlign w:val="center"/>
          </w:tcPr>
          <w:p w14:paraId="2E2BE3D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634F29F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10F9FDF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51B85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4397E87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eastAsia="宋体" w:cs="Times New Roman"/>
                <w:i w:val="0"/>
                <w:iCs w:val="0"/>
                <w:color w:val="auto"/>
                <w:w w:val="99"/>
                <w:kern w:val="0"/>
                <w:sz w:val="21"/>
                <w:szCs w:val="21"/>
                <w:highlight w:val="none"/>
                <w:u w:val="none"/>
                <w:lang w:val="en-US" w:eastAsia="zh-CN" w:bidi="ar"/>
              </w:rPr>
              <w:t>邢家围子屯周家潜水井</w:t>
            </w:r>
          </w:p>
        </w:tc>
        <w:tc>
          <w:tcPr>
            <w:tcW w:w="665" w:type="pct"/>
            <w:vAlign w:val="center"/>
          </w:tcPr>
          <w:p w14:paraId="172A8A5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K</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6B94160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0.079</w:t>
            </w:r>
          </w:p>
        </w:tc>
        <w:tc>
          <w:tcPr>
            <w:tcW w:w="798" w:type="pct"/>
            <w:vAlign w:val="center"/>
          </w:tcPr>
          <w:p w14:paraId="6EE6BF6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1.481</w:t>
            </w:r>
          </w:p>
        </w:tc>
        <w:tc>
          <w:tcPr>
            <w:tcW w:w="877" w:type="pct"/>
            <w:vMerge w:val="restart"/>
            <w:vAlign w:val="center"/>
          </w:tcPr>
          <w:p w14:paraId="5A63060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5.366</w:t>
            </w:r>
          </w:p>
        </w:tc>
        <w:tc>
          <w:tcPr>
            <w:tcW w:w="563" w:type="pct"/>
            <w:vMerge w:val="restart"/>
            <w:vAlign w:val="center"/>
          </w:tcPr>
          <w:p w14:paraId="138EEFB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-0.64</w:t>
            </w:r>
          </w:p>
        </w:tc>
        <w:tc>
          <w:tcPr>
            <w:tcW w:w="463" w:type="pct"/>
            <w:vMerge w:val="restart"/>
            <w:vAlign w:val="center"/>
          </w:tcPr>
          <w:p w14:paraId="3FC3025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0.39</w:t>
            </w:r>
          </w:p>
        </w:tc>
      </w:tr>
      <w:tr w14:paraId="16004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6DDA5C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4CC8851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Na</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3AF3044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2.500</w:t>
            </w:r>
          </w:p>
        </w:tc>
        <w:tc>
          <w:tcPr>
            <w:tcW w:w="798" w:type="pct"/>
            <w:vAlign w:val="center"/>
          </w:tcPr>
          <w:p w14:paraId="1898456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46.588</w:t>
            </w:r>
          </w:p>
        </w:tc>
        <w:tc>
          <w:tcPr>
            <w:tcW w:w="877" w:type="pct"/>
            <w:vMerge w:val="continue"/>
            <w:vAlign w:val="center"/>
          </w:tcPr>
          <w:p w14:paraId="7BEA769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70FDDC8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33800E8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21647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17AF1A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68AAB2D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Ca</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0C3F82B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2.070</w:t>
            </w:r>
          </w:p>
        </w:tc>
        <w:tc>
          <w:tcPr>
            <w:tcW w:w="798" w:type="pct"/>
            <w:vAlign w:val="center"/>
          </w:tcPr>
          <w:p w14:paraId="5C80A90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38.575</w:t>
            </w:r>
          </w:p>
        </w:tc>
        <w:tc>
          <w:tcPr>
            <w:tcW w:w="877" w:type="pct"/>
            <w:vMerge w:val="continue"/>
            <w:vAlign w:val="center"/>
          </w:tcPr>
          <w:p w14:paraId="0E4DFA0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1CEED84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22F2CB3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41854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9FD7AB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1A869E1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Mg</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1667611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0.717</w:t>
            </w:r>
          </w:p>
        </w:tc>
        <w:tc>
          <w:tcPr>
            <w:tcW w:w="798" w:type="pct"/>
            <w:vAlign w:val="center"/>
          </w:tcPr>
          <w:p w14:paraId="79D21A5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13.355</w:t>
            </w:r>
          </w:p>
        </w:tc>
        <w:tc>
          <w:tcPr>
            <w:tcW w:w="877" w:type="pct"/>
            <w:vMerge w:val="continue"/>
            <w:vAlign w:val="center"/>
          </w:tcPr>
          <w:p w14:paraId="48FFD48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40D08E6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2D604D3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5DA52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BAAEF7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50EAFF0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HCO</w:t>
            </w:r>
            <w:r>
              <w:rPr>
                <w:rFonts w:hint="default" w:ascii="Times New Roman" w:hAnsi="Times New Roman" w:cs="Times New Roman" w:eastAsiaTheme="minorEastAsia"/>
                <w:bCs/>
                <w:color w:val="auto"/>
                <w:w w:val="99"/>
                <w:kern w:val="2"/>
                <w:sz w:val="21"/>
                <w:szCs w:val="21"/>
                <w:highlight w:val="none"/>
                <w:vertAlign w:val="subscript"/>
              </w:rPr>
              <w:t>3</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17B46D3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3.295</w:t>
            </w:r>
          </w:p>
        </w:tc>
        <w:tc>
          <w:tcPr>
            <w:tcW w:w="798" w:type="pct"/>
            <w:vAlign w:val="center"/>
          </w:tcPr>
          <w:p w14:paraId="106C514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62.195</w:t>
            </w:r>
          </w:p>
        </w:tc>
        <w:tc>
          <w:tcPr>
            <w:tcW w:w="877" w:type="pct"/>
            <w:vMerge w:val="restart"/>
            <w:vAlign w:val="center"/>
          </w:tcPr>
          <w:p w14:paraId="6C5B441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5.298</w:t>
            </w:r>
          </w:p>
        </w:tc>
        <w:tc>
          <w:tcPr>
            <w:tcW w:w="563" w:type="pct"/>
            <w:vMerge w:val="continue"/>
            <w:vAlign w:val="center"/>
          </w:tcPr>
          <w:p w14:paraId="23A6EA8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1773FE0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492CB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5B7FD05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095FB71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CO</w:t>
            </w:r>
            <w:r>
              <w:rPr>
                <w:rFonts w:hint="default" w:ascii="Times New Roman" w:hAnsi="Times New Roman" w:cs="Times New Roman" w:eastAsiaTheme="minorEastAsia"/>
                <w:bCs/>
                <w:color w:val="auto"/>
                <w:w w:val="99"/>
                <w:kern w:val="2"/>
                <w:sz w:val="21"/>
                <w:szCs w:val="21"/>
                <w:highlight w:val="none"/>
                <w:vertAlign w:val="subscript"/>
              </w:rPr>
              <w:t>3</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39F527C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0.000</w:t>
            </w:r>
          </w:p>
        </w:tc>
        <w:tc>
          <w:tcPr>
            <w:tcW w:w="798" w:type="pct"/>
            <w:vAlign w:val="center"/>
          </w:tcPr>
          <w:p w14:paraId="68CBDA7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0.000</w:t>
            </w:r>
          </w:p>
        </w:tc>
        <w:tc>
          <w:tcPr>
            <w:tcW w:w="877" w:type="pct"/>
            <w:vMerge w:val="continue"/>
            <w:vAlign w:val="center"/>
          </w:tcPr>
          <w:p w14:paraId="69D621D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1C633BA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4D2C343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0E7AC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8AB487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6B97C01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Cl</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401AA24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1.180</w:t>
            </w:r>
          </w:p>
        </w:tc>
        <w:tc>
          <w:tcPr>
            <w:tcW w:w="798" w:type="pct"/>
            <w:vAlign w:val="center"/>
          </w:tcPr>
          <w:p w14:paraId="32C847C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22.273</w:t>
            </w:r>
          </w:p>
        </w:tc>
        <w:tc>
          <w:tcPr>
            <w:tcW w:w="877" w:type="pct"/>
            <w:vMerge w:val="continue"/>
            <w:vAlign w:val="center"/>
          </w:tcPr>
          <w:p w14:paraId="21245EC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09C85D9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7DE2994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7E7DC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7571AE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5B16C4B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SO</w:t>
            </w:r>
            <w:r>
              <w:rPr>
                <w:rFonts w:hint="default" w:ascii="Times New Roman" w:hAnsi="Times New Roman" w:cs="Times New Roman" w:eastAsiaTheme="minorEastAsia"/>
                <w:bCs/>
                <w:color w:val="auto"/>
                <w:w w:val="99"/>
                <w:kern w:val="2"/>
                <w:sz w:val="21"/>
                <w:szCs w:val="21"/>
                <w:highlight w:val="none"/>
                <w:vertAlign w:val="subscript"/>
              </w:rPr>
              <w:t>4</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4FFF374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0.823</w:t>
            </w:r>
          </w:p>
        </w:tc>
        <w:tc>
          <w:tcPr>
            <w:tcW w:w="798" w:type="pct"/>
            <w:vAlign w:val="center"/>
          </w:tcPr>
          <w:p w14:paraId="292B49A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15.533</w:t>
            </w:r>
          </w:p>
        </w:tc>
        <w:tc>
          <w:tcPr>
            <w:tcW w:w="877" w:type="pct"/>
            <w:vMerge w:val="continue"/>
            <w:vAlign w:val="center"/>
          </w:tcPr>
          <w:p w14:paraId="001D06E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21E855B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24C503F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4B84C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4E0A0A4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eastAsia="宋体" w:cs="Times New Roman"/>
                <w:i w:val="0"/>
                <w:iCs w:val="0"/>
                <w:color w:val="auto"/>
                <w:w w:val="99"/>
                <w:kern w:val="0"/>
                <w:sz w:val="21"/>
                <w:szCs w:val="21"/>
                <w:highlight w:val="none"/>
                <w:u w:val="none"/>
                <w:lang w:val="en-US" w:eastAsia="zh-CN" w:bidi="ar"/>
              </w:rPr>
              <w:t>王家围子屯王家潜水井</w:t>
            </w:r>
          </w:p>
        </w:tc>
        <w:tc>
          <w:tcPr>
            <w:tcW w:w="665" w:type="pct"/>
            <w:vAlign w:val="center"/>
          </w:tcPr>
          <w:p w14:paraId="339B231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K</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4F1FE11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0.064</w:t>
            </w:r>
          </w:p>
        </w:tc>
        <w:tc>
          <w:tcPr>
            <w:tcW w:w="798" w:type="pct"/>
            <w:vAlign w:val="center"/>
          </w:tcPr>
          <w:p w14:paraId="78E6CC2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1.022</w:t>
            </w:r>
          </w:p>
        </w:tc>
        <w:tc>
          <w:tcPr>
            <w:tcW w:w="877" w:type="pct"/>
            <w:vMerge w:val="restart"/>
            <w:vAlign w:val="center"/>
          </w:tcPr>
          <w:p w14:paraId="6DB4E74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6.275</w:t>
            </w:r>
          </w:p>
        </w:tc>
        <w:tc>
          <w:tcPr>
            <w:tcW w:w="563" w:type="pct"/>
            <w:vMerge w:val="restart"/>
            <w:vAlign w:val="center"/>
          </w:tcPr>
          <w:p w14:paraId="79218A6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1.29</w:t>
            </w:r>
          </w:p>
        </w:tc>
        <w:tc>
          <w:tcPr>
            <w:tcW w:w="463" w:type="pct"/>
            <w:vMerge w:val="restart"/>
            <w:vAlign w:val="center"/>
          </w:tcPr>
          <w:p w14:paraId="34EE1E2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0.47</w:t>
            </w:r>
          </w:p>
        </w:tc>
      </w:tr>
      <w:tr w14:paraId="130FA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294E9B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77D62C4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Na</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75DF915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2.704</w:t>
            </w:r>
          </w:p>
        </w:tc>
        <w:tc>
          <w:tcPr>
            <w:tcW w:w="798" w:type="pct"/>
            <w:vAlign w:val="center"/>
          </w:tcPr>
          <w:p w14:paraId="20FAD9C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43.096</w:t>
            </w:r>
          </w:p>
        </w:tc>
        <w:tc>
          <w:tcPr>
            <w:tcW w:w="877" w:type="pct"/>
            <w:vMerge w:val="continue"/>
            <w:vAlign w:val="center"/>
          </w:tcPr>
          <w:p w14:paraId="5CA591D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6103B31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397B576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25DF7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878973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4C957D1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Ca</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6674138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2.615</w:t>
            </w:r>
          </w:p>
        </w:tc>
        <w:tc>
          <w:tcPr>
            <w:tcW w:w="798" w:type="pct"/>
            <w:vAlign w:val="center"/>
          </w:tcPr>
          <w:p w14:paraId="2DC4424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41.673</w:t>
            </w:r>
          </w:p>
        </w:tc>
        <w:tc>
          <w:tcPr>
            <w:tcW w:w="877" w:type="pct"/>
            <w:vMerge w:val="continue"/>
            <w:vAlign w:val="center"/>
          </w:tcPr>
          <w:p w14:paraId="175B78F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3C3FBDD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67C79E1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2EED2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8AF506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270598E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Mg</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225B6ED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0.892</w:t>
            </w:r>
          </w:p>
        </w:tc>
        <w:tc>
          <w:tcPr>
            <w:tcW w:w="798" w:type="pct"/>
            <w:vAlign w:val="center"/>
          </w:tcPr>
          <w:p w14:paraId="3BFA481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14.210</w:t>
            </w:r>
          </w:p>
        </w:tc>
        <w:tc>
          <w:tcPr>
            <w:tcW w:w="877" w:type="pct"/>
            <w:vMerge w:val="continue"/>
            <w:vAlign w:val="center"/>
          </w:tcPr>
          <w:p w14:paraId="3B1D0EE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434F7CF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0310075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1BBAA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C21B77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5FA913A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HCO</w:t>
            </w:r>
            <w:r>
              <w:rPr>
                <w:rFonts w:hint="default" w:ascii="Times New Roman" w:hAnsi="Times New Roman" w:cs="Times New Roman" w:eastAsiaTheme="minorEastAsia"/>
                <w:bCs/>
                <w:color w:val="auto"/>
                <w:w w:val="99"/>
                <w:kern w:val="2"/>
                <w:sz w:val="21"/>
                <w:szCs w:val="21"/>
                <w:highlight w:val="none"/>
                <w:vertAlign w:val="subscript"/>
              </w:rPr>
              <w:t>3</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4124D56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4.016</w:t>
            </w:r>
          </w:p>
        </w:tc>
        <w:tc>
          <w:tcPr>
            <w:tcW w:w="798" w:type="pct"/>
            <w:vAlign w:val="center"/>
          </w:tcPr>
          <w:p w14:paraId="618D1A1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62.377</w:t>
            </w:r>
          </w:p>
        </w:tc>
        <w:tc>
          <w:tcPr>
            <w:tcW w:w="877" w:type="pct"/>
            <w:vMerge w:val="restart"/>
            <w:vAlign w:val="center"/>
          </w:tcPr>
          <w:p w14:paraId="5243AE3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6.439</w:t>
            </w:r>
          </w:p>
        </w:tc>
        <w:tc>
          <w:tcPr>
            <w:tcW w:w="563" w:type="pct"/>
            <w:vMerge w:val="continue"/>
            <w:vAlign w:val="center"/>
          </w:tcPr>
          <w:p w14:paraId="3205610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737D624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713B8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E63607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4BFE9BC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CO</w:t>
            </w:r>
            <w:r>
              <w:rPr>
                <w:rFonts w:hint="default" w:ascii="Times New Roman" w:hAnsi="Times New Roman" w:cs="Times New Roman" w:eastAsiaTheme="minorEastAsia"/>
                <w:bCs/>
                <w:color w:val="auto"/>
                <w:w w:val="99"/>
                <w:kern w:val="2"/>
                <w:sz w:val="21"/>
                <w:szCs w:val="21"/>
                <w:highlight w:val="none"/>
                <w:vertAlign w:val="subscript"/>
              </w:rPr>
              <w:t>3</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4366CD9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0.000</w:t>
            </w:r>
          </w:p>
        </w:tc>
        <w:tc>
          <w:tcPr>
            <w:tcW w:w="798" w:type="pct"/>
            <w:vAlign w:val="center"/>
          </w:tcPr>
          <w:p w14:paraId="7782B85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0.000</w:t>
            </w:r>
          </w:p>
        </w:tc>
        <w:tc>
          <w:tcPr>
            <w:tcW w:w="877" w:type="pct"/>
            <w:vMerge w:val="continue"/>
            <w:vAlign w:val="center"/>
          </w:tcPr>
          <w:p w14:paraId="3496008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66EA930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0F8EA68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36E7E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44D7E6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547A4EE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Cl</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2975EDE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1.460</w:t>
            </w:r>
          </w:p>
        </w:tc>
        <w:tc>
          <w:tcPr>
            <w:tcW w:w="798" w:type="pct"/>
            <w:vAlign w:val="center"/>
          </w:tcPr>
          <w:p w14:paraId="20E1D91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22.675</w:t>
            </w:r>
          </w:p>
        </w:tc>
        <w:tc>
          <w:tcPr>
            <w:tcW w:w="877" w:type="pct"/>
            <w:vMerge w:val="continue"/>
            <w:vAlign w:val="center"/>
          </w:tcPr>
          <w:p w14:paraId="29A0D67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7160FFF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30ECD5D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2BEE0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588B922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380EC95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SO</w:t>
            </w:r>
            <w:r>
              <w:rPr>
                <w:rFonts w:hint="default" w:ascii="Times New Roman" w:hAnsi="Times New Roman" w:cs="Times New Roman" w:eastAsiaTheme="minorEastAsia"/>
                <w:bCs/>
                <w:color w:val="auto"/>
                <w:w w:val="99"/>
                <w:kern w:val="2"/>
                <w:sz w:val="21"/>
                <w:szCs w:val="21"/>
                <w:highlight w:val="none"/>
                <w:vertAlign w:val="subscript"/>
              </w:rPr>
              <w:t>4</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2AC7ED1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0.963</w:t>
            </w:r>
          </w:p>
        </w:tc>
        <w:tc>
          <w:tcPr>
            <w:tcW w:w="798" w:type="pct"/>
            <w:vAlign w:val="center"/>
          </w:tcPr>
          <w:p w14:paraId="0492390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14.948</w:t>
            </w:r>
          </w:p>
        </w:tc>
        <w:tc>
          <w:tcPr>
            <w:tcW w:w="877" w:type="pct"/>
            <w:vMerge w:val="continue"/>
            <w:vAlign w:val="center"/>
          </w:tcPr>
          <w:p w14:paraId="0A0FFCC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563" w:type="pct"/>
            <w:vMerge w:val="continue"/>
            <w:vAlign w:val="center"/>
          </w:tcPr>
          <w:p w14:paraId="61A9765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c>
          <w:tcPr>
            <w:tcW w:w="463" w:type="pct"/>
            <w:vMerge w:val="continue"/>
            <w:vAlign w:val="center"/>
          </w:tcPr>
          <w:p w14:paraId="5A1B36C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p>
        </w:tc>
      </w:tr>
      <w:tr w14:paraId="50201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7FFD903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eastAsia="宋体" w:cs="Times New Roman"/>
                <w:i w:val="0"/>
                <w:iCs w:val="0"/>
                <w:color w:val="auto"/>
                <w:w w:val="99"/>
                <w:kern w:val="0"/>
                <w:sz w:val="21"/>
                <w:szCs w:val="21"/>
                <w:highlight w:val="none"/>
                <w:u w:val="none"/>
                <w:lang w:val="en-US" w:eastAsia="zh-CN" w:bidi="ar"/>
              </w:rPr>
              <w:t>杨</w:t>
            </w:r>
            <w:r>
              <w:rPr>
                <w:rFonts w:hint="eastAsia" w:ascii="Times New Roman" w:hAnsi="Times New Roman" w:cs="Times New Roman"/>
                <w:i w:val="0"/>
                <w:iCs w:val="0"/>
                <w:color w:val="auto"/>
                <w:w w:val="99"/>
                <w:kern w:val="0"/>
                <w:sz w:val="21"/>
                <w:szCs w:val="21"/>
                <w:highlight w:val="none"/>
                <w:u w:val="none"/>
                <w:lang w:val="en-US" w:eastAsia="zh-CN" w:bidi="ar"/>
              </w:rPr>
              <w:t>家</w:t>
            </w:r>
            <w:r>
              <w:rPr>
                <w:rFonts w:hint="default" w:ascii="Times New Roman" w:hAnsi="Times New Roman" w:eastAsia="宋体" w:cs="Times New Roman"/>
                <w:i w:val="0"/>
                <w:iCs w:val="0"/>
                <w:color w:val="auto"/>
                <w:w w:val="99"/>
                <w:kern w:val="0"/>
                <w:sz w:val="21"/>
                <w:szCs w:val="21"/>
                <w:highlight w:val="none"/>
                <w:u w:val="none"/>
                <w:lang w:val="en-US" w:eastAsia="zh-CN" w:bidi="ar"/>
              </w:rPr>
              <w:t>屯陈家潜水井</w:t>
            </w:r>
          </w:p>
        </w:tc>
        <w:tc>
          <w:tcPr>
            <w:tcW w:w="665" w:type="pct"/>
            <w:vAlign w:val="center"/>
          </w:tcPr>
          <w:p w14:paraId="6A6F841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K</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6D53375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0.049</w:t>
            </w:r>
          </w:p>
        </w:tc>
        <w:tc>
          <w:tcPr>
            <w:tcW w:w="798" w:type="pct"/>
            <w:vAlign w:val="center"/>
          </w:tcPr>
          <w:p w14:paraId="4211463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0.836</w:t>
            </w:r>
          </w:p>
        </w:tc>
        <w:tc>
          <w:tcPr>
            <w:tcW w:w="877" w:type="pct"/>
            <w:vMerge w:val="restart"/>
            <w:vAlign w:val="center"/>
          </w:tcPr>
          <w:p w14:paraId="0931E38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5.829</w:t>
            </w:r>
          </w:p>
        </w:tc>
        <w:tc>
          <w:tcPr>
            <w:tcW w:w="563" w:type="pct"/>
            <w:vMerge w:val="restart"/>
            <w:vAlign w:val="center"/>
          </w:tcPr>
          <w:p w14:paraId="08D43F3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-1.02</w:t>
            </w:r>
          </w:p>
        </w:tc>
        <w:tc>
          <w:tcPr>
            <w:tcW w:w="463" w:type="pct"/>
            <w:vMerge w:val="restart"/>
            <w:vAlign w:val="center"/>
          </w:tcPr>
          <w:p w14:paraId="5491226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0.42</w:t>
            </w:r>
          </w:p>
        </w:tc>
      </w:tr>
      <w:tr w14:paraId="1AE35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003D4F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1B63FEC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Na</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46DBF86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2.557</w:t>
            </w:r>
          </w:p>
        </w:tc>
        <w:tc>
          <w:tcPr>
            <w:tcW w:w="798" w:type="pct"/>
            <w:vAlign w:val="center"/>
          </w:tcPr>
          <w:p w14:paraId="7A982B7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43.862</w:t>
            </w:r>
          </w:p>
        </w:tc>
        <w:tc>
          <w:tcPr>
            <w:tcW w:w="877" w:type="pct"/>
            <w:vMerge w:val="continue"/>
            <w:vAlign w:val="center"/>
          </w:tcPr>
          <w:p w14:paraId="10E3BAA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5EEF18E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2AAD7BB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41552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FD2B92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43F78FE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Ca</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33A3EC5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2.415</w:t>
            </w:r>
          </w:p>
        </w:tc>
        <w:tc>
          <w:tcPr>
            <w:tcW w:w="798" w:type="pct"/>
            <w:vAlign w:val="center"/>
          </w:tcPr>
          <w:p w14:paraId="59AC52A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41.434</w:t>
            </w:r>
          </w:p>
        </w:tc>
        <w:tc>
          <w:tcPr>
            <w:tcW w:w="877" w:type="pct"/>
            <w:vMerge w:val="continue"/>
            <w:vAlign w:val="center"/>
          </w:tcPr>
          <w:p w14:paraId="3D37A43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521BBB1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651DE8E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10462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A9413A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1887E1F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Mg</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5784238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0.808</w:t>
            </w:r>
          </w:p>
        </w:tc>
        <w:tc>
          <w:tcPr>
            <w:tcW w:w="798" w:type="pct"/>
            <w:vAlign w:val="center"/>
          </w:tcPr>
          <w:p w14:paraId="3776A44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13.868</w:t>
            </w:r>
          </w:p>
        </w:tc>
        <w:tc>
          <w:tcPr>
            <w:tcW w:w="877" w:type="pct"/>
            <w:vMerge w:val="continue"/>
            <w:vAlign w:val="center"/>
          </w:tcPr>
          <w:p w14:paraId="0C5B858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36A4BE6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0400C30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738F8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3F0D74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2B0CFD2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HCO</w:t>
            </w:r>
            <w:r>
              <w:rPr>
                <w:rFonts w:hint="default" w:ascii="Times New Roman" w:hAnsi="Times New Roman" w:cs="Times New Roman" w:eastAsiaTheme="minorEastAsia"/>
                <w:bCs/>
                <w:color w:val="auto"/>
                <w:w w:val="99"/>
                <w:kern w:val="2"/>
                <w:sz w:val="21"/>
                <w:szCs w:val="21"/>
                <w:highlight w:val="none"/>
                <w:vertAlign w:val="subscript"/>
              </w:rPr>
              <w:t>3</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0D035AA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3.623</w:t>
            </w:r>
          </w:p>
        </w:tc>
        <w:tc>
          <w:tcPr>
            <w:tcW w:w="798" w:type="pct"/>
            <w:vAlign w:val="center"/>
          </w:tcPr>
          <w:p w14:paraId="054E773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63.437</w:t>
            </w:r>
          </w:p>
        </w:tc>
        <w:tc>
          <w:tcPr>
            <w:tcW w:w="877" w:type="pct"/>
            <w:vMerge w:val="restart"/>
            <w:vAlign w:val="center"/>
          </w:tcPr>
          <w:p w14:paraId="3567A36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5.711</w:t>
            </w:r>
          </w:p>
        </w:tc>
        <w:tc>
          <w:tcPr>
            <w:tcW w:w="563" w:type="pct"/>
            <w:vMerge w:val="continue"/>
            <w:vAlign w:val="center"/>
          </w:tcPr>
          <w:p w14:paraId="5509B12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1399D48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5ABF2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18B269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5DA7273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CO</w:t>
            </w:r>
            <w:r>
              <w:rPr>
                <w:rFonts w:hint="default" w:ascii="Times New Roman" w:hAnsi="Times New Roman" w:cs="Times New Roman" w:eastAsiaTheme="minorEastAsia"/>
                <w:bCs/>
                <w:color w:val="auto"/>
                <w:w w:val="99"/>
                <w:kern w:val="2"/>
                <w:sz w:val="21"/>
                <w:szCs w:val="21"/>
                <w:highlight w:val="none"/>
                <w:vertAlign w:val="subscript"/>
              </w:rPr>
              <w:t>3</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5F9EB8C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0.000</w:t>
            </w:r>
          </w:p>
        </w:tc>
        <w:tc>
          <w:tcPr>
            <w:tcW w:w="798" w:type="pct"/>
            <w:vAlign w:val="center"/>
          </w:tcPr>
          <w:p w14:paraId="72090A0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0.000</w:t>
            </w:r>
          </w:p>
        </w:tc>
        <w:tc>
          <w:tcPr>
            <w:tcW w:w="877" w:type="pct"/>
            <w:vMerge w:val="continue"/>
            <w:vAlign w:val="center"/>
          </w:tcPr>
          <w:p w14:paraId="4855C07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3A336CC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160A6AE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158AD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C0E147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38DD53E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Cl</w:t>
            </w:r>
            <w:r>
              <w:rPr>
                <w:rFonts w:hint="default"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14:paraId="2703887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1.349</w:t>
            </w:r>
          </w:p>
        </w:tc>
        <w:tc>
          <w:tcPr>
            <w:tcW w:w="798" w:type="pct"/>
            <w:vAlign w:val="center"/>
          </w:tcPr>
          <w:p w14:paraId="19736E8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23.613</w:t>
            </w:r>
          </w:p>
        </w:tc>
        <w:tc>
          <w:tcPr>
            <w:tcW w:w="877" w:type="pct"/>
            <w:vMerge w:val="continue"/>
            <w:vAlign w:val="center"/>
          </w:tcPr>
          <w:p w14:paraId="473E7D7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61312C3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408DD1D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3DA54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BA8F71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vAlign w:val="center"/>
          </w:tcPr>
          <w:p w14:paraId="65601C7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SO</w:t>
            </w:r>
            <w:r>
              <w:rPr>
                <w:rFonts w:hint="default" w:ascii="Times New Roman" w:hAnsi="Times New Roman" w:cs="Times New Roman" w:eastAsiaTheme="minorEastAsia"/>
                <w:bCs/>
                <w:color w:val="auto"/>
                <w:w w:val="99"/>
                <w:kern w:val="2"/>
                <w:sz w:val="21"/>
                <w:szCs w:val="21"/>
                <w:highlight w:val="none"/>
                <w:vertAlign w:val="subscript"/>
              </w:rPr>
              <w:t>4</w:t>
            </w:r>
            <w:r>
              <w:rPr>
                <w:rFonts w:hint="default"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14:paraId="3CDCFF2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0.740</w:t>
            </w:r>
          </w:p>
        </w:tc>
        <w:tc>
          <w:tcPr>
            <w:tcW w:w="798" w:type="pct"/>
            <w:vAlign w:val="center"/>
          </w:tcPr>
          <w:p w14:paraId="0DC1640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12.950</w:t>
            </w:r>
          </w:p>
        </w:tc>
        <w:tc>
          <w:tcPr>
            <w:tcW w:w="877" w:type="pct"/>
            <w:vMerge w:val="continue"/>
            <w:vAlign w:val="center"/>
          </w:tcPr>
          <w:p w14:paraId="4DD8CCA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0CB68EC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7FCC8B0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6134C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shd w:val="clear" w:color="auto" w:fill="auto"/>
            <w:vAlign w:val="center"/>
          </w:tcPr>
          <w:p w14:paraId="0D761C9D">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于洼子屯陈家潜水水井</w:t>
            </w:r>
          </w:p>
        </w:tc>
        <w:tc>
          <w:tcPr>
            <w:tcW w:w="665" w:type="pct"/>
            <w:shd w:val="clear" w:color="auto" w:fill="auto"/>
            <w:vAlign w:val="center"/>
          </w:tcPr>
          <w:p w14:paraId="080BB76B">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303A3EDE">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0.063 </w:t>
            </w:r>
          </w:p>
        </w:tc>
        <w:tc>
          <w:tcPr>
            <w:tcW w:w="798" w:type="pct"/>
            <w:shd w:val="clear" w:color="auto" w:fill="auto"/>
            <w:vAlign w:val="center"/>
          </w:tcPr>
          <w:p w14:paraId="71CC2A15">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1.133 </w:t>
            </w:r>
          </w:p>
        </w:tc>
        <w:tc>
          <w:tcPr>
            <w:tcW w:w="877" w:type="pct"/>
            <w:vMerge w:val="restart"/>
            <w:shd w:val="clear" w:color="auto" w:fill="auto"/>
            <w:vAlign w:val="center"/>
          </w:tcPr>
          <w:p w14:paraId="470E897E">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5.589 </w:t>
            </w:r>
          </w:p>
          <w:p w14:paraId="6441DBC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restart"/>
            <w:shd w:val="clear" w:color="auto" w:fill="auto"/>
            <w:vAlign w:val="center"/>
          </w:tcPr>
          <w:p w14:paraId="7D793373">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1.87</w:t>
            </w:r>
          </w:p>
          <w:p w14:paraId="6F6EE79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restart"/>
            <w:shd w:val="clear" w:color="auto" w:fill="auto"/>
            <w:vAlign w:val="center"/>
          </w:tcPr>
          <w:p w14:paraId="073DFB72">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0.43</w:t>
            </w:r>
          </w:p>
          <w:p w14:paraId="1A96624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553CA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8222E3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4B38F41D">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345D8B4B">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2.448 </w:t>
            </w:r>
          </w:p>
        </w:tc>
        <w:tc>
          <w:tcPr>
            <w:tcW w:w="798" w:type="pct"/>
            <w:shd w:val="clear" w:color="auto" w:fill="auto"/>
            <w:vAlign w:val="center"/>
          </w:tcPr>
          <w:p w14:paraId="34E37895">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43.793 </w:t>
            </w:r>
          </w:p>
        </w:tc>
        <w:tc>
          <w:tcPr>
            <w:tcW w:w="877" w:type="pct"/>
            <w:vMerge w:val="continue"/>
            <w:vAlign w:val="center"/>
          </w:tcPr>
          <w:p w14:paraId="64807E2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05B1C3B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6211B1C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60E5C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39555F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639CDC58">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43B9D817">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2.335 </w:t>
            </w:r>
          </w:p>
        </w:tc>
        <w:tc>
          <w:tcPr>
            <w:tcW w:w="798" w:type="pct"/>
            <w:shd w:val="clear" w:color="auto" w:fill="auto"/>
            <w:vAlign w:val="center"/>
          </w:tcPr>
          <w:p w14:paraId="3567D15F">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41.775 </w:t>
            </w:r>
          </w:p>
        </w:tc>
        <w:tc>
          <w:tcPr>
            <w:tcW w:w="877" w:type="pct"/>
            <w:vMerge w:val="continue"/>
            <w:vAlign w:val="center"/>
          </w:tcPr>
          <w:p w14:paraId="2D64329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7204668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26B0EAA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6ADA5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B36504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3AE8A371">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0F8BC044">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0.743 </w:t>
            </w:r>
          </w:p>
        </w:tc>
        <w:tc>
          <w:tcPr>
            <w:tcW w:w="798" w:type="pct"/>
            <w:shd w:val="clear" w:color="auto" w:fill="auto"/>
            <w:vAlign w:val="center"/>
          </w:tcPr>
          <w:p w14:paraId="31DD7853">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13.299 </w:t>
            </w:r>
          </w:p>
        </w:tc>
        <w:tc>
          <w:tcPr>
            <w:tcW w:w="877" w:type="pct"/>
            <w:vMerge w:val="continue"/>
            <w:vAlign w:val="center"/>
          </w:tcPr>
          <w:p w14:paraId="17208E8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30D874D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35C5170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1F1DD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C905CB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4E484747">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00BED4CB">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3.803 </w:t>
            </w:r>
          </w:p>
        </w:tc>
        <w:tc>
          <w:tcPr>
            <w:tcW w:w="798" w:type="pct"/>
            <w:shd w:val="clear" w:color="auto" w:fill="auto"/>
            <w:vAlign w:val="center"/>
          </w:tcPr>
          <w:p w14:paraId="174316DE">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65.543 </w:t>
            </w:r>
          </w:p>
        </w:tc>
        <w:tc>
          <w:tcPr>
            <w:tcW w:w="877" w:type="pct"/>
            <w:vMerge w:val="restart"/>
            <w:shd w:val="clear" w:color="auto" w:fill="auto"/>
            <w:vAlign w:val="center"/>
          </w:tcPr>
          <w:p w14:paraId="432F9C04">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5.803 </w:t>
            </w:r>
          </w:p>
          <w:p w14:paraId="2360F12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2C27894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6CA5FCD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543FB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A93E12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566D6325">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7ECA564F">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798" w:type="pct"/>
            <w:shd w:val="clear" w:color="auto" w:fill="auto"/>
            <w:vAlign w:val="center"/>
          </w:tcPr>
          <w:p w14:paraId="448D7EF7">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877" w:type="pct"/>
            <w:vMerge w:val="continue"/>
            <w:vAlign w:val="center"/>
          </w:tcPr>
          <w:p w14:paraId="003FA08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48220FC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55C53C8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5CB7E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6F652D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08E4A41A">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73EFD2A8">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1.229 </w:t>
            </w:r>
          </w:p>
        </w:tc>
        <w:tc>
          <w:tcPr>
            <w:tcW w:w="798" w:type="pct"/>
            <w:shd w:val="clear" w:color="auto" w:fill="auto"/>
            <w:vAlign w:val="center"/>
          </w:tcPr>
          <w:p w14:paraId="1365D4A8">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21.172 </w:t>
            </w:r>
          </w:p>
        </w:tc>
        <w:tc>
          <w:tcPr>
            <w:tcW w:w="877" w:type="pct"/>
            <w:vMerge w:val="continue"/>
            <w:vAlign w:val="center"/>
          </w:tcPr>
          <w:p w14:paraId="523CF17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69F4E8F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4321B1F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24ED5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FB1229A">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6B1DD6A5">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079AB6E2">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0.771 </w:t>
            </w:r>
          </w:p>
        </w:tc>
        <w:tc>
          <w:tcPr>
            <w:tcW w:w="798" w:type="pct"/>
            <w:shd w:val="clear" w:color="auto" w:fill="auto"/>
            <w:vAlign w:val="center"/>
          </w:tcPr>
          <w:p w14:paraId="5F67D9F7">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13.284 </w:t>
            </w:r>
          </w:p>
        </w:tc>
        <w:tc>
          <w:tcPr>
            <w:tcW w:w="877" w:type="pct"/>
            <w:vMerge w:val="continue"/>
            <w:vAlign w:val="center"/>
          </w:tcPr>
          <w:p w14:paraId="77FC17A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7C8DE67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7B13D67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2AAA8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shd w:val="clear" w:color="auto" w:fill="auto"/>
            <w:vAlign w:val="center"/>
          </w:tcPr>
          <w:p w14:paraId="4B73922E">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东双山屯孙家潜水水井</w:t>
            </w:r>
          </w:p>
        </w:tc>
        <w:tc>
          <w:tcPr>
            <w:tcW w:w="665" w:type="pct"/>
            <w:shd w:val="clear" w:color="auto" w:fill="auto"/>
            <w:vAlign w:val="center"/>
          </w:tcPr>
          <w:p w14:paraId="69BED5DE">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24890929">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0.044 </w:t>
            </w:r>
          </w:p>
        </w:tc>
        <w:tc>
          <w:tcPr>
            <w:tcW w:w="798" w:type="pct"/>
            <w:shd w:val="clear" w:color="auto" w:fill="auto"/>
            <w:vAlign w:val="center"/>
          </w:tcPr>
          <w:p w14:paraId="39638C02">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0.709 </w:t>
            </w:r>
          </w:p>
        </w:tc>
        <w:tc>
          <w:tcPr>
            <w:tcW w:w="877" w:type="pct"/>
            <w:vMerge w:val="restart"/>
            <w:shd w:val="clear" w:color="auto" w:fill="auto"/>
            <w:vAlign w:val="center"/>
          </w:tcPr>
          <w:p w14:paraId="3AB74A2B">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6.180 </w:t>
            </w:r>
          </w:p>
          <w:p w14:paraId="14B79D1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restart"/>
            <w:shd w:val="clear" w:color="auto" w:fill="auto"/>
            <w:vAlign w:val="center"/>
          </w:tcPr>
          <w:p w14:paraId="5F3C249C">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2.00</w:t>
            </w:r>
          </w:p>
          <w:p w14:paraId="16ECB8E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restart"/>
            <w:shd w:val="clear" w:color="auto" w:fill="auto"/>
            <w:vAlign w:val="center"/>
          </w:tcPr>
          <w:p w14:paraId="6D5B7F11">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0.47</w:t>
            </w:r>
          </w:p>
          <w:p w14:paraId="374EBF5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2DA25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73EDAB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0ABF2EA6">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1FCDE5B9">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2.670 </w:t>
            </w:r>
          </w:p>
        </w:tc>
        <w:tc>
          <w:tcPr>
            <w:tcW w:w="798" w:type="pct"/>
            <w:shd w:val="clear" w:color="auto" w:fill="auto"/>
            <w:vAlign w:val="center"/>
          </w:tcPr>
          <w:p w14:paraId="6D88FAE5">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43.196 </w:t>
            </w:r>
          </w:p>
        </w:tc>
        <w:tc>
          <w:tcPr>
            <w:tcW w:w="877" w:type="pct"/>
            <w:vMerge w:val="continue"/>
            <w:vAlign w:val="center"/>
          </w:tcPr>
          <w:p w14:paraId="3708815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4C32492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285278E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2A1E7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7B215E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22E43285">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27CA5725">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2.625 </w:t>
            </w:r>
          </w:p>
        </w:tc>
        <w:tc>
          <w:tcPr>
            <w:tcW w:w="798" w:type="pct"/>
            <w:shd w:val="clear" w:color="auto" w:fill="auto"/>
            <w:vAlign w:val="center"/>
          </w:tcPr>
          <w:p w14:paraId="27C44B3D">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42.475 </w:t>
            </w:r>
          </w:p>
        </w:tc>
        <w:tc>
          <w:tcPr>
            <w:tcW w:w="877" w:type="pct"/>
            <w:vMerge w:val="continue"/>
            <w:vAlign w:val="center"/>
          </w:tcPr>
          <w:p w14:paraId="0A055F5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6D4F389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037474B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0F207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16B5C9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609408E8">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383B91A8">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0.842 </w:t>
            </w:r>
          </w:p>
        </w:tc>
        <w:tc>
          <w:tcPr>
            <w:tcW w:w="798" w:type="pct"/>
            <w:shd w:val="clear" w:color="auto" w:fill="auto"/>
            <w:vAlign w:val="center"/>
          </w:tcPr>
          <w:p w14:paraId="08E41B40">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13.619 </w:t>
            </w:r>
          </w:p>
        </w:tc>
        <w:tc>
          <w:tcPr>
            <w:tcW w:w="877" w:type="pct"/>
            <w:vMerge w:val="continue"/>
            <w:vAlign w:val="center"/>
          </w:tcPr>
          <w:p w14:paraId="58377E9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5393F93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3534F5C1">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73604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84D3AF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14BDEBC7">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1185F146">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4.016 </w:t>
            </w:r>
          </w:p>
        </w:tc>
        <w:tc>
          <w:tcPr>
            <w:tcW w:w="798" w:type="pct"/>
            <w:shd w:val="clear" w:color="auto" w:fill="auto"/>
            <w:vAlign w:val="center"/>
          </w:tcPr>
          <w:p w14:paraId="35B05A0A">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62.445 </w:t>
            </w:r>
          </w:p>
        </w:tc>
        <w:tc>
          <w:tcPr>
            <w:tcW w:w="877" w:type="pct"/>
            <w:vMerge w:val="restart"/>
            <w:shd w:val="clear" w:color="auto" w:fill="auto"/>
            <w:vAlign w:val="center"/>
          </w:tcPr>
          <w:p w14:paraId="4D54EF3C">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6.432 </w:t>
            </w:r>
          </w:p>
          <w:p w14:paraId="3C59224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6B3FACB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43C165A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498F8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547A072">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208F9D88">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58037EC9">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798" w:type="pct"/>
            <w:shd w:val="clear" w:color="auto" w:fill="auto"/>
            <w:vAlign w:val="center"/>
          </w:tcPr>
          <w:p w14:paraId="1C50F754">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877" w:type="pct"/>
            <w:vMerge w:val="continue"/>
            <w:vAlign w:val="center"/>
          </w:tcPr>
          <w:p w14:paraId="4A9E330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06C34A7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1EA1494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2820F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D2D100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324F59C5">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09C5B377">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1.457 </w:t>
            </w:r>
          </w:p>
        </w:tc>
        <w:tc>
          <w:tcPr>
            <w:tcW w:w="798" w:type="pct"/>
            <w:shd w:val="clear" w:color="auto" w:fill="auto"/>
            <w:vAlign w:val="center"/>
          </w:tcPr>
          <w:p w14:paraId="7FF3B6B6">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22.655 </w:t>
            </w:r>
          </w:p>
        </w:tc>
        <w:tc>
          <w:tcPr>
            <w:tcW w:w="877" w:type="pct"/>
            <w:vMerge w:val="continue"/>
            <w:vAlign w:val="center"/>
          </w:tcPr>
          <w:p w14:paraId="0074AFC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506E78A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6C66F8F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00DC7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B9F792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51CE64CA">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2AAB1FD8">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0.958 </w:t>
            </w:r>
          </w:p>
        </w:tc>
        <w:tc>
          <w:tcPr>
            <w:tcW w:w="798" w:type="pct"/>
            <w:shd w:val="clear" w:color="auto" w:fill="auto"/>
            <w:vAlign w:val="center"/>
          </w:tcPr>
          <w:p w14:paraId="3F8EF0B2">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14.900 </w:t>
            </w:r>
          </w:p>
        </w:tc>
        <w:tc>
          <w:tcPr>
            <w:tcW w:w="877" w:type="pct"/>
            <w:vMerge w:val="continue"/>
            <w:vAlign w:val="center"/>
          </w:tcPr>
          <w:p w14:paraId="79D4B55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7C4B74D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2F55CEA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3065D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shd w:val="clear" w:color="auto" w:fill="auto"/>
            <w:vAlign w:val="center"/>
          </w:tcPr>
          <w:p w14:paraId="08F05DBF">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西双山屯房家潜水水井</w:t>
            </w:r>
          </w:p>
        </w:tc>
        <w:tc>
          <w:tcPr>
            <w:tcW w:w="665" w:type="pct"/>
            <w:shd w:val="clear" w:color="auto" w:fill="auto"/>
            <w:vAlign w:val="center"/>
          </w:tcPr>
          <w:p w14:paraId="6A15F8BB">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66E71159">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0.077 </w:t>
            </w:r>
          </w:p>
        </w:tc>
        <w:tc>
          <w:tcPr>
            <w:tcW w:w="798" w:type="pct"/>
            <w:shd w:val="clear" w:color="auto" w:fill="auto"/>
            <w:vAlign w:val="center"/>
          </w:tcPr>
          <w:p w14:paraId="1C73D928">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1.434 </w:t>
            </w:r>
          </w:p>
        </w:tc>
        <w:tc>
          <w:tcPr>
            <w:tcW w:w="877" w:type="pct"/>
            <w:vMerge w:val="restart"/>
            <w:shd w:val="clear" w:color="auto" w:fill="auto"/>
            <w:vAlign w:val="center"/>
          </w:tcPr>
          <w:p w14:paraId="7A64F050">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5.399 </w:t>
            </w:r>
          </w:p>
          <w:p w14:paraId="6A98EFA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restart"/>
            <w:shd w:val="clear" w:color="auto" w:fill="auto"/>
            <w:vAlign w:val="center"/>
          </w:tcPr>
          <w:p w14:paraId="46CEB8AC">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2.32 </w:t>
            </w:r>
          </w:p>
        </w:tc>
        <w:tc>
          <w:tcPr>
            <w:tcW w:w="463" w:type="pct"/>
            <w:vMerge w:val="restart"/>
            <w:shd w:val="clear" w:color="auto" w:fill="auto"/>
            <w:vAlign w:val="center"/>
          </w:tcPr>
          <w:p w14:paraId="07F55A76">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0.41 </w:t>
            </w:r>
          </w:p>
        </w:tc>
      </w:tr>
      <w:tr w14:paraId="52DED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83C0615">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547BFDF6">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35289E4B">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2.239 </w:t>
            </w:r>
          </w:p>
        </w:tc>
        <w:tc>
          <w:tcPr>
            <w:tcW w:w="798" w:type="pct"/>
            <w:shd w:val="clear" w:color="auto" w:fill="auto"/>
            <w:vAlign w:val="center"/>
          </w:tcPr>
          <w:p w14:paraId="3E3B3DD4">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41.473 </w:t>
            </w:r>
          </w:p>
        </w:tc>
        <w:tc>
          <w:tcPr>
            <w:tcW w:w="877" w:type="pct"/>
            <w:vMerge w:val="continue"/>
            <w:vAlign w:val="center"/>
          </w:tcPr>
          <w:p w14:paraId="2EF612E7">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0B8C5039">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484D06AC">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2BF74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5194876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12A601AB">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7CBA8A42">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2.380 </w:t>
            </w:r>
          </w:p>
        </w:tc>
        <w:tc>
          <w:tcPr>
            <w:tcW w:w="798" w:type="pct"/>
            <w:shd w:val="clear" w:color="auto" w:fill="auto"/>
            <w:vAlign w:val="center"/>
          </w:tcPr>
          <w:p w14:paraId="0113CA82">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44.082 </w:t>
            </w:r>
          </w:p>
        </w:tc>
        <w:tc>
          <w:tcPr>
            <w:tcW w:w="877" w:type="pct"/>
            <w:vMerge w:val="continue"/>
            <w:vAlign w:val="center"/>
          </w:tcPr>
          <w:p w14:paraId="56E0914D">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1BAE2FF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1149D82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7946E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1C86D8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5D201D03">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21105978">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0.703 </w:t>
            </w:r>
          </w:p>
        </w:tc>
        <w:tc>
          <w:tcPr>
            <w:tcW w:w="798" w:type="pct"/>
            <w:shd w:val="clear" w:color="auto" w:fill="auto"/>
            <w:vAlign w:val="center"/>
          </w:tcPr>
          <w:p w14:paraId="147030C0">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13.012 </w:t>
            </w:r>
          </w:p>
        </w:tc>
        <w:tc>
          <w:tcPr>
            <w:tcW w:w="877" w:type="pct"/>
            <w:vMerge w:val="continue"/>
            <w:vAlign w:val="center"/>
          </w:tcPr>
          <w:p w14:paraId="02A5770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46B3901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021C3804">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1E988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5C94AD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237D9BD2">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0364AA92">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3.656 </w:t>
            </w:r>
          </w:p>
        </w:tc>
        <w:tc>
          <w:tcPr>
            <w:tcW w:w="798" w:type="pct"/>
            <w:shd w:val="clear" w:color="auto" w:fill="auto"/>
            <w:vAlign w:val="center"/>
          </w:tcPr>
          <w:p w14:paraId="749CEFAB">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64.644 </w:t>
            </w:r>
          </w:p>
        </w:tc>
        <w:tc>
          <w:tcPr>
            <w:tcW w:w="877" w:type="pct"/>
            <w:vMerge w:val="restart"/>
            <w:shd w:val="clear" w:color="auto" w:fill="auto"/>
            <w:vAlign w:val="center"/>
          </w:tcPr>
          <w:p w14:paraId="709EDE30">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5.655 </w:t>
            </w:r>
          </w:p>
        </w:tc>
        <w:tc>
          <w:tcPr>
            <w:tcW w:w="563" w:type="pct"/>
            <w:vMerge w:val="continue"/>
            <w:vAlign w:val="center"/>
          </w:tcPr>
          <w:p w14:paraId="309D033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24ABD6A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0DDB4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D804373">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6060CFA5">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16136473">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798" w:type="pct"/>
            <w:shd w:val="clear" w:color="auto" w:fill="auto"/>
            <w:vAlign w:val="center"/>
          </w:tcPr>
          <w:p w14:paraId="770418D6">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0.000 </w:t>
            </w:r>
          </w:p>
        </w:tc>
        <w:tc>
          <w:tcPr>
            <w:tcW w:w="877" w:type="pct"/>
            <w:vMerge w:val="continue"/>
            <w:vAlign w:val="center"/>
          </w:tcPr>
          <w:p w14:paraId="45B380B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189B916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3D36745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765BC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5928F7F">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31B45008">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shd w:val="clear" w:color="auto" w:fill="auto"/>
            <w:vAlign w:val="center"/>
          </w:tcPr>
          <w:p w14:paraId="578BA9B3">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1.229 </w:t>
            </w:r>
          </w:p>
        </w:tc>
        <w:tc>
          <w:tcPr>
            <w:tcW w:w="798" w:type="pct"/>
            <w:shd w:val="clear" w:color="auto" w:fill="auto"/>
            <w:vAlign w:val="center"/>
          </w:tcPr>
          <w:p w14:paraId="6C95EE58">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21.725 </w:t>
            </w:r>
          </w:p>
        </w:tc>
        <w:tc>
          <w:tcPr>
            <w:tcW w:w="877" w:type="pct"/>
            <w:vMerge w:val="continue"/>
            <w:vAlign w:val="center"/>
          </w:tcPr>
          <w:p w14:paraId="5417858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4426E7D8">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2BEE355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r w14:paraId="34D1D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2D1A22E">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665" w:type="pct"/>
            <w:shd w:val="clear" w:color="auto" w:fill="auto"/>
            <w:vAlign w:val="center"/>
          </w:tcPr>
          <w:p w14:paraId="10395083">
            <w:pPr>
              <w:widowControl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shd w:val="clear" w:color="auto" w:fill="auto"/>
            <w:vAlign w:val="center"/>
          </w:tcPr>
          <w:p w14:paraId="4CF19C48">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0.771 </w:t>
            </w:r>
          </w:p>
        </w:tc>
        <w:tc>
          <w:tcPr>
            <w:tcW w:w="798" w:type="pct"/>
            <w:shd w:val="clear" w:color="auto" w:fill="auto"/>
            <w:vAlign w:val="center"/>
          </w:tcPr>
          <w:p w14:paraId="447FBCF2">
            <w:pPr>
              <w:widowControl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 xml:space="preserve">13.631 </w:t>
            </w:r>
          </w:p>
        </w:tc>
        <w:tc>
          <w:tcPr>
            <w:tcW w:w="877" w:type="pct"/>
            <w:vMerge w:val="continue"/>
            <w:vAlign w:val="center"/>
          </w:tcPr>
          <w:p w14:paraId="634D0046">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563" w:type="pct"/>
            <w:vMerge w:val="continue"/>
            <w:vAlign w:val="center"/>
          </w:tcPr>
          <w:p w14:paraId="1688637B">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c>
          <w:tcPr>
            <w:tcW w:w="463" w:type="pct"/>
            <w:vMerge w:val="continue"/>
            <w:vAlign w:val="center"/>
          </w:tcPr>
          <w:p w14:paraId="6C8CB240">
            <w:pPr>
              <w:widowControl w:val="0"/>
              <w:spacing w:line="360" w:lineRule="exact"/>
              <w:jc w:val="center"/>
              <w:rPr>
                <w:rFonts w:hint="default" w:ascii="Times New Roman" w:hAnsi="Times New Roman" w:cs="Times New Roman" w:eastAsiaTheme="minorEastAsia"/>
                <w:bCs/>
                <w:color w:val="auto"/>
                <w:w w:val="99"/>
                <w:kern w:val="2"/>
                <w:sz w:val="21"/>
                <w:szCs w:val="21"/>
                <w:highlight w:val="none"/>
              </w:rPr>
            </w:pPr>
          </w:p>
        </w:tc>
      </w:tr>
    </w:tbl>
    <w:p w14:paraId="688C9D2B">
      <w:pPr>
        <w:rPr>
          <w:rFonts w:ascii="Times New Roman" w:hAnsi="Times New Roman" w:eastAsiaTheme="minorEastAsia"/>
          <w:b/>
          <w:bCs/>
          <w:color w:val="auto"/>
          <w:w w:val="99"/>
          <w:kern w:val="21"/>
          <w:szCs w:val="20"/>
          <w:highlight w:val="none"/>
        </w:rPr>
      </w:pPr>
    </w:p>
    <w:p w14:paraId="0E88EB5E">
      <w:pPr>
        <w:pStyle w:val="153"/>
        <w:widowControl w:val="0"/>
        <w:spacing w:line="440" w:lineRule="exact"/>
        <w:ind w:firstLine="478"/>
        <w:rPr>
          <w:rFonts w:ascii="Times New Roman" w:hAnsi="Times New Roman" w:eastAsiaTheme="minorEastAsia"/>
          <w:b/>
          <w:bCs/>
          <w:color w:val="auto"/>
          <w:w w:val="99"/>
          <w:kern w:val="21"/>
          <w:szCs w:val="20"/>
          <w:highlight w:val="none"/>
        </w:rPr>
      </w:pPr>
      <w:r>
        <w:rPr>
          <w:rFonts w:ascii="Times New Roman" w:hAnsi="Times New Roman" w:eastAsiaTheme="minorEastAsia"/>
          <w:b/>
          <w:bCs/>
          <w:color w:val="auto"/>
          <w:w w:val="99"/>
          <w:kern w:val="21"/>
          <w:szCs w:val="20"/>
          <w:highlight w:val="none"/>
        </w:rPr>
        <w:t>表</w:t>
      </w:r>
      <w:r>
        <w:rPr>
          <w:rFonts w:ascii="Times New Roman" w:hAnsi="Times New Roman" w:eastAsiaTheme="minorEastAsia"/>
          <w:b/>
          <w:color w:val="auto"/>
          <w:w w:val="99"/>
          <w:kern w:val="2"/>
          <w:szCs w:val="20"/>
          <w:highlight w:val="none"/>
        </w:rPr>
        <w:t>4.3-</w:t>
      </w:r>
      <w:r>
        <w:rPr>
          <w:rFonts w:hint="eastAsia" w:ascii="Times New Roman" w:hAnsi="Times New Roman" w:eastAsiaTheme="minorEastAsia"/>
          <w:b/>
          <w:color w:val="auto"/>
          <w:w w:val="99"/>
          <w:kern w:val="2"/>
          <w:szCs w:val="20"/>
          <w:highlight w:val="none"/>
          <w:lang w:val="en-US" w:eastAsia="zh-CN"/>
        </w:rPr>
        <w:t>13</w:t>
      </w:r>
      <w:r>
        <w:rPr>
          <w:rFonts w:ascii="Times New Roman" w:hAnsi="Times New Roman" w:eastAsiaTheme="minorEastAsia"/>
          <w:b/>
          <w:bCs/>
          <w:color w:val="auto"/>
          <w:w w:val="99"/>
          <w:kern w:val="21"/>
          <w:szCs w:val="20"/>
          <w:highlight w:val="none"/>
        </w:rPr>
        <w:t xml:space="preserve">   承压水</w:t>
      </w:r>
      <w:r>
        <w:rPr>
          <w:rFonts w:ascii="Times New Roman" w:hAnsi="Times New Roman" w:eastAsiaTheme="minorEastAsia"/>
          <w:b/>
          <w:color w:val="auto"/>
          <w:w w:val="99"/>
          <w:highlight w:val="none"/>
        </w:rPr>
        <w:t>水质</w:t>
      </w:r>
      <w:r>
        <w:rPr>
          <w:rFonts w:ascii="Times New Roman" w:hAnsi="Times New Roman" w:eastAsiaTheme="minorEastAsia"/>
          <w:b/>
          <w:bCs/>
          <w:color w:val="auto"/>
          <w:w w:val="99"/>
          <w:kern w:val="21"/>
          <w:szCs w:val="20"/>
          <w:highlight w:val="none"/>
        </w:rPr>
        <w:t>八大离子浓度评价结果</w:t>
      </w:r>
    </w:p>
    <w:tbl>
      <w:tblPr>
        <w:tblStyle w:val="80"/>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7"/>
        <w:gridCol w:w="1235"/>
        <w:gridCol w:w="1480"/>
        <w:gridCol w:w="1482"/>
        <w:gridCol w:w="1629"/>
        <w:gridCol w:w="1046"/>
        <w:gridCol w:w="861"/>
      </w:tblGrid>
      <w:tr w14:paraId="5E650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Align w:val="center"/>
          </w:tcPr>
          <w:p w14:paraId="7B7146D9">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监测井点位</w:t>
            </w:r>
          </w:p>
        </w:tc>
        <w:tc>
          <w:tcPr>
            <w:tcW w:w="665" w:type="pct"/>
            <w:vAlign w:val="center"/>
          </w:tcPr>
          <w:p w14:paraId="5F01D140">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离子名称</w:t>
            </w:r>
          </w:p>
        </w:tc>
        <w:tc>
          <w:tcPr>
            <w:tcW w:w="797" w:type="pct"/>
            <w:vAlign w:val="center"/>
          </w:tcPr>
          <w:p w14:paraId="03C978F0">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毫克当量（mg/L）</w:t>
            </w:r>
          </w:p>
        </w:tc>
        <w:tc>
          <w:tcPr>
            <w:tcW w:w="798" w:type="pct"/>
            <w:vAlign w:val="center"/>
          </w:tcPr>
          <w:p w14:paraId="70272FA7">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毫克当量百分比（%）</w:t>
            </w:r>
          </w:p>
        </w:tc>
        <w:tc>
          <w:tcPr>
            <w:tcW w:w="877" w:type="pct"/>
            <w:vAlign w:val="center"/>
          </w:tcPr>
          <w:p w14:paraId="2AFB88E1">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离子毫克当量合计（mg/L）</w:t>
            </w:r>
          </w:p>
        </w:tc>
        <w:tc>
          <w:tcPr>
            <w:tcW w:w="563" w:type="pct"/>
            <w:vAlign w:val="center"/>
          </w:tcPr>
          <w:p w14:paraId="00DBD8AC">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相对误差%</w:t>
            </w:r>
          </w:p>
        </w:tc>
        <w:tc>
          <w:tcPr>
            <w:tcW w:w="463" w:type="pct"/>
            <w:vAlign w:val="center"/>
          </w:tcPr>
          <w:p w14:paraId="3F10ACCE">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矿化度</w:t>
            </w:r>
          </w:p>
        </w:tc>
      </w:tr>
      <w:tr w14:paraId="2B6F3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36EFA718">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eastAsia="宋体" w:cs="Times New Roman"/>
                <w:i w:val="0"/>
                <w:iCs w:val="0"/>
                <w:color w:val="auto"/>
                <w:w w:val="95"/>
                <w:kern w:val="0"/>
                <w:sz w:val="21"/>
                <w:szCs w:val="21"/>
                <w:highlight w:val="none"/>
                <w:u w:val="none"/>
                <w:lang w:val="en-US" w:eastAsia="zh-CN" w:bidi="ar"/>
              </w:rPr>
              <w:t>尚家围子屯孙家承压水井</w:t>
            </w:r>
          </w:p>
        </w:tc>
        <w:tc>
          <w:tcPr>
            <w:tcW w:w="665" w:type="pct"/>
            <w:vAlign w:val="center"/>
          </w:tcPr>
          <w:p w14:paraId="1DF45524">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K</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76FAA179">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0.028</w:t>
            </w:r>
          </w:p>
        </w:tc>
        <w:tc>
          <w:tcPr>
            <w:tcW w:w="798" w:type="pct"/>
            <w:vAlign w:val="center"/>
          </w:tcPr>
          <w:p w14:paraId="0C87D29B">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0.686</w:t>
            </w:r>
          </w:p>
        </w:tc>
        <w:tc>
          <w:tcPr>
            <w:tcW w:w="877" w:type="pct"/>
            <w:vMerge w:val="restart"/>
            <w:vAlign w:val="center"/>
          </w:tcPr>
          <w:p w14:paraId="4C9F5510">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4.109</w:t>
            </w:r>
          </w:p>
        </w:tc>
        <w:tc>
          <w:tcPr>
            <w:tcW w:w="563" w:type="pct"/>
            <w:vMerge w:val="restart"/>
            <w:vAlign w:val="center"/>
          </w:tcPr>
          <w:p w14:paraId="595798EA">
            <w:pPr>
              <w:keepNext w:val="0"/>
              <w:keepLines w:val="0"/>
              <w:widowControl/>
              <w:suppressLineNumbers w:val="0"/>
              <w:jc w:val="center"/>
              <w:textAlignment w:val="center"/>
              <w:rPr>
                <w:rFonts w:hint="default" w:ascii="Times New Roman" w:hAnsi="Times New Roman" w:cs="Times New Roman" w:eastAsiaTheme="minorEastAsia"/>
                <w:bCs/>
                <w:color w:val="auto"/>
                <w:w w:val="95"/>
                <w:kern w:val="2"/>
                <w:sz w:val="21"/>
                <w:szCs w:val="21"/>
                <w:highlight w:val="none"/>
                <w:lang w:val="en-US"/>
              </w:rPr>
            </w:pPr>
            <w:r>
              <w:rPr>
                <w:rFonts w:hint="eastAsia" w:ascii="Times New Roman" w:hAnsi="Times New Roman" w:cs="Times New Roman"/>
                <w:i w:val="0"/>
                <w:iCs w:val="0"/>
                <w:color w:val="auto"/>
                <w:w w:val="95"/>
                <w:kern w:val="0"/>
                <w:sz w:val="21"/>
                <w:szCs w:val="21"/>
                <w:highlight w:val="none"/>
                <w:u w:val="none"/>
                <w:lang w:val="en-US" w:eastAsia="zh-CN" w:bidi="ar"/>
              </w:rPr>
              <w:t>1.45</w:t>
            </w:r>
          </w:p>
        </w:tc>
        <w:tc>
          <w:tcPr>
            <w:tcW w:w="463" w:type="pct"/>
            <w:vMerge w:val="restart"/>
            <w:vAlign w:val="center"/>
          </w:tcPr>
          <w:p w14:paraId="64D7A066">
            <w:pPr>
              <w:keepNext w:val="0"/>
              <w:keepLines w:val="0"/>
              <w:widowControl/>
              <w:suppressLineNumbers w:val="0"/>
              <w:jc w:val="center"/>
              <w:textAlignment w:val="center"/>
              <w:rPr>
                <w:rFonts w:hint="default" w:ascii="Times New Roman" w:hAnsi="Times New Roman" w:cs="Times New Roman" w:eastAsiaTheme="minorEastAsia"/>
                <w:bCs/>
                <w:color w:val="auto"/>
                <w:w w:val="95"/>
                <w:kern w:val="2"/>
                <w:sz w:val="21"/>
                <w:szCs w:val="21"/>
                <w:highlight w:val="none"/>
                <w:lang w:val="en-US"/>
              </w:rPr>
            </w:pPr>
            <w:r>
              <w:rPr>
                <w:rFonts w:hint="default" w:ascii="Times New Roman" w:hAnsi="Times New Roman" w:eastAsia="宋体" w:cs="Times New Roman"/>
                <w:i w:val="0"/>
                <w:iCs w:val="0"/>
                <w:color w:val="auto"/>
                <w:w w:val="95"/>
                <w:kern w:val="0"/>
                <w:sz w:val="21"/>
                <w:szCs w:val="21"/>
                <w:highlight w:val="none"/>
                <w:u w:val="none"/>
                <w:lang w:val="en-US" w:eastAsia="zh-CN" w:bidi="ar"/>
              </w:rPr>
              <w:t>0.</w:t>
            </w:r>
            <w:r>
              <w:rPr>
                <w:rFonts w:hint="eastAsia" w:ascii="Times New Roman" w:hAnsi="Times New Roman" w:cs="Times New Roman"/>
                <w:i w:val="0"/>
                <w:iCs w:val="0"/>
                <w:color w:val="auto"/>
                <w:w w:val="95"/>
                <w:kern w:val="0"/>
                <w:sz w:val="21"/>
                <w:szCs w:val="21"/>
                <w:highlight w:val="none"/>
                <w:u w:val="none"/>
                <w:lang w:val="en-US" w:eastAsia="zh-CN" w:bidi="ar"/>
              </w:rPr>
              <w:t>31</w:t>
            </w:r>
          </w:p>
        </w:tc>
      </w:tr>
      <w:tr w14:paraId="40ADC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892AF8F">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vAlign w:val="center"/>
          </w:tcPr>
          <w:p w14:paraId="7ED05102">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Na</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3D458C64">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1.839</w:t>
            </w:r>
          </w:p>
        </w:tc>
        <w:tc>
          <w:tcPr>
            <w:tcW w:w="798" w:type="pct"/>
            <w:vAlign w:val="center"/>
          </w:tcPr>
          <w:p w14:paraId="6AB4F906">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44.759</w:t>
            </w:r>
          </w:p>
        </w:tc>
        <w:tc>
          <w:tcPr>
            <w:tcW w:w="877" w:type="pct"/>
            <w:vMerge w:val="continue"/>
            <w:vAlign w:val="center"/>
          </w:tcPr>
          <w:p w14:paraId="6E059D4B">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78E754E3">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0C600422">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3584A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02795F5">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vAlign w:val="center"/>
          </w:tcPr>
          <w:p w14:paraId="785F6417">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Ca</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55F5328C">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1.725</w:t>
            </w:r>
          </w:p>
        </w:tc>
        <w:tc>
          <w:tcPr>
            <w:tcW w:w="798" w:type="pct"/>
            <w:vAlign w:val="center"/>
          </w:tcPr>
          <w:p w14:paraId="7E1F9780">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41.981</w:t>
            </w:r>
          </w:p>
        </w:tc>
        <w:tc>
          <w:tcPr>
            <w:tcW w:w="877" w:type="pct"/>
            <w:vMerge w:val="continue"/>
            <w:vAlign w:val="center"/>
          </w:tcPr>
          <w:p w14:paraId="3C05BD9B">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321A807F">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26B78A80">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6D960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2496F50">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vAlign w:val="center"/>
          </w:tcPr>
          <w:p w14:paraId="6469D46A">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Mg</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0F75BDE2">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0.517</w:t>
            </w:r>
          </w:p>
        </w:tc>
        <w:tc>
          <w:tcPr>
            <w:tcW w:w="798" w:type="pct"/>
            <w:vAlign w:val="center"/>
          </w:tcPr>
          <w:p w14:paraId="6205A3FE">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12.574</w:t>
            </w:r>
          </w:p>
        </w:tc>
        <w:tc>
          <w:tcPr>
            <w:tcW w:w="877" w:type="pct"/>
            <w:vMerge w:val="continue"/>
            <w:vAlign w:val="center"/>
          </w:tcPr>
          <w:p w14:paraId="794E0AF0">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7F59309F">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0A1AD1C0">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4E2FB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8F8C94B">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vAlign w:val="center"/>
          </w:tcPr>
          <w:p w14:paraId="308ADBCF">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HCO</w:t>
            </w:r>
            <w:r>
              <w:rPr>
                <w:rFonts w:hint="default" w:ascii="Times New Roman" w:hAnsi="Times New Roman" w:cs="Times New Roman" w:eastAsiaTheme="minorEastAsia"/>
                <w:bCs/>
                <w:color w:val="auto"/>
                <w:w w:val="95"/>
                <w:kern w:val="2"/>
                <w:sz w:val="21"/>
                <w:szCs w:val="21"/>
                <w:highlight w:val="none"/>
                <w:vertAlign w:val="subscript"/>
              </w:rPr>
              <w:t>3</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44616EF8">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2.672</w:t>
            </w:r>
          </w:p>
        </w:tc>
        <w:tc>
          <w:tcPr>
            <w:tcW w:w="798" w:type="pct"/>
            <w:vAlign w:val="center"/>
          </w:tcPr>
          <w:p w14:paraId="5665CF51">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63.177</w:t>
            </w:r>
          </w:p>
        </w:tc>
        <w:tc>
          <w:tcPr>
            <w:tcW w:w="877" w:type="pct"/>
            <w:vMerge w:val="restart"/>
            <w:vAlign w:val="center"/>
          </w:tcPr>
          <w:p w14:paraId="2AD1B62E">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4.230</w:t>
            </w:r>
          </w:p>
        </w:tc>
        <w:tc>
          <w:tcPr>
            <w:tcW w:w="563" w:type="pct"/>
            <w:vMerge w:val="continue"/>
            <w:vAlign w:val="center"/>
          </w:tcPr>
          <w:p w14:paraId="3B9E283F">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76753F3C">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6AB0B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833" w:type="pct"/>
            <w:vMerge w:val="continue"/>
            <w:vAlign w:val="center"/>
          </w:tcPr>
          <w:p w14:paraId="43D14D1B">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vAlign w:val="center"/>
          </w:tcPr>
          <w:p w14:paraId="51D123D3">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CO</w:t>
            </w:r>
            <w:r>
              <w:rPr>
                <w:rFonts w:hint="default" w:ascii="Times New Roman" w:hAnsi="Times New Roman" w:cs="Times New Roman" w:eastAsiaTheme="minorEastAsia"/>
                <w:bCs/>
                <w:color w:val="auto"/>
                <w:w w:val="95"/>
                <w:kern w:val="2"/>
                <w:sz w:val="21"/>
                <w:szCs w:val="21"/>
                <w:highlight w:val="none"/>
                <w:vertAlign w:val="subscript"/>
              </w:rPr>
              <w:t>3</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3A05A393">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0.000</w:t>
            </w:r>
          </w:p>
        </w:tc>
        <w:tc>
          <w:tcPr>
            <w:tcW w:w="798" w:type="pct"/>
            <w:vAlign w:val="center"/>
          </w:tcPr>
          <w:p w14:paraId="39B28222">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0.000</w:t>
            </w:r>
          </w:p>
        </w:tc>
        <w:tc>
          <w:tcPr>
            <w:tcW w:w="877" w:type="pct"/>
            <w:vMerge w:val="continue"/>
            <w:vAlign w:val="center"/>
          </w:tcPr>
          <w:p w14:paraId="2607E717">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563" w:type="pct"/>
            <w:vMerge w:val="continue"/>
            <w:vAlign w:val="center"/>
          </w:tcPr>
          <w:p w14:paraId="7B2EDF8E">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4D016477">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718BF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644ED81">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vAlign w:val="center"/>
          </w:tcPr>
          <w:p w14:paraId="5464703F">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Cl</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0FB21B24">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1.043</w:t>
            </w:r>
          </w:p>
        </w:tc>
        <w:tc>
          <w:tcPr>
            <w:tcW w:w="798" w:type="pct"/>
            <w:vAlign w:val="center"/>
          </w:tcPr>
          <w:p w14:paraId="2F8596F8">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24.656</w:t>
            </w:r>
          </w:p>
        </w:tc>
        <w:tc>
          <w:tcPr>
            <w:tcW w:w="877" w:type="pct"/>
            <w:vMerge w:val="continue"/>
            <w:vAlign w:val="center"/>
          </w:tcPr>
          <w:p w14:paraId="281DF087">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563" w:type="pct"/>
            <w:vMerge w:val="continue"/>
            <w:vAlign w:val="center"/>
          </w:tcPr>
          <w:p w14:paraId="20CBD6C4">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03C70768">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0F1E7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6317AB9">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vAlign w:val="center"/>
          </w:tcPr>
          <w:p w14:paraId="6386371A">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r>
              <w:rPr>
                <w:rFonts w:hint="default" w:ascii="Times New Roman" w:hAnsi="Times New Roman" w:cs="Times New Roman" w:eastAsiaTheme="minorEastAsia"/>
                <w:bCs/>
                <w:color w:val="auto"/>
                <w:w w:val="95"/>
                <w:kern w:val="2"/>
                <w:sz w:val="21"/>
                <w:szCs w:val="21"/>
                <w:highlight w:val="none"/>
              </w:rPr>
              <w:t>SO</w:t>
            </w:r>
            <w:r>
              <w:rPr>
                <w:rFonts w:hint="default" w:ascii="Times New Roman" w:hAnsi="Times New Roman" w:cs="Times New Roman" w:eastAsiaTheme="minorEastAsia"/>
                <w:bCs/>
                <w:color w:val="auto"/>
                <w:w w:val="95"/>
                <w:kern w:val="2"/>
                <w:sz w:val="21"/>
                <w:szCs w:val="21"/>
                <w:highlight w:val="none"/>
                <w:vertAlign w:val="subscript"/>
              </w:rPr>
              <w:t>4</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49A4E5F7">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0.515</w:t>
            </w:r>
          </w:p>
        </w:tc>
        <w:tc>
          <w:tcPr>
            <w:tcW w:w="798" w:type="pct"/>
            <w:vAlign w:val="center"/>
          </w:tcPr>
          <w:p w14:paraId="1F0F3110">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12.166</w:t>
            </w:r>
          </w:p>
        </w:tc>
        <w:tc>
          <w:tcPr>
            <w:tcW w:w="877" w:type="pct"/>
            <w:vMerge w:val="continue"/>
            <w:vAlign w:val="center"/>
          </w:tcPr>
          <w:p w14:paraId="3C1D468A">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563" w:type="pct"/>
            <w:vMerge w:val="continue"/>
            <w:vAlign w:val="center"/>
          </w:tcPr>
          <w:p w14:paraId="18765BCC">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0803B0A2">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4AD63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0CB7A90C">
            <w:pPr>
              <w:widowControl w:val="0"/>
              <w:spacing w:line="360" w:lineRule="exact"/>
              <w:jc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东双山屯王家承压水井</w:t>
            </w:r>
          </w:p>
        </w:tc>
        <w:tc>
          <w:tcPr>
            <w:tcW w:w="665" w:type="pct"/>
            <w:shd w:val="clear" w:color="auto" w:fill="auto"/>
            <w:vAlign w:val="center"/>
          </w:tcPr>
          <w:p w14:paraId="445CF522">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K</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1666BE2A">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0.029 </w:t>
            </w:r>
          </w:p>
        </w:tc>
        <w:tc>
          <w:tcPr>
            <w:tcW w:w="798" w:type="pct"/>
            <w:vAlign w:val="center"/>
          </w:tcPr>
          <w:p w14:paraId="5F07BB0D">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0.736 </w:t>
            </w:r>
          </w:p>
        </w:tc>
        <w:tc>
          <w:tcPr>
            <w:tcW w:w="877" w:type="pct"/>
            <w:vMerge w:val="restart"/>
            <w:vAlign w:val="center"/>
          </w:tcPr>
          <w:p w14:paraId="36A2E368">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3.972 </w:t>
            </w:r>
          </w:p>
        </w:tc>
        <w:tc>
          <w:tcPr>
            <w:tcW w:w="563" w:type="pct"/>
            <w:vMerge w:val="restart"/>
            <w:vAlign w:val="center"/>
          </w:tcPr>
          <w:p w14:paraId="43F66CB2">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rPr>
            </w:pPr>
            <w:r>
              <w:rPr>
                <w:rFonts w:hint="eastAsia" w:ascii="Times New Roman" w:hAnsi="Times New Roman" w:cs="Times New Roman" w:eastAsiaTheme="minorEastAsia"/>
                <w:bCs/>
                <w:color w:val="auto"/>
                <w:w w:val="95"/>
                <w:kern w:val="2"/>
                <w:sz w:val="21"/>
                <w:szCs w:val="21"/>
                <w:highlight w:val="none"/>
                <w:lang w:val="en-US" w:eastAsia="zh-CN"/>
              </w:rPr>
              <w:t>1.77</w:t>
            </w:r>
          </w:p>
        </w:tc>
        <w:tc>
          <w:tcPr>
            <w:tcW w:w="463" w:type="pct"/>
            <w:vMerge w:val="restart"/>
            <w:vAlign w:val="center"/>
          </w:tcPr>
          <w:p w14:paraId="3958AE98">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rPr>
            </w:pPr>
            <w:r>
              <w:rPr>
                <w:rFonts w:hint="eastAsia" w:ascii="Times New Roman" w:hAnsi="Times New Roman" w:cs="Times New Roman" w:eastAsiaTheme="minorEastAsia"/>
                <w:bCs/>
                <w:color w:val="auto"/>
                <w:w w:val="95"/>
                <w:kern w:val="2"/>
                <w:sz w:val="21"/>
                <w:szCs w:val="21"/>
                <w:highlight w:val="none"/>
                <w:lang w:val="en-US" w:eastAsia="zh-CN"/>
              </w:rPr>
              <w:t>0.30</w:t>
            </w:r>
          </w:p>
        </w:tc>
      </w:tr>
      <w:tr w14:paraId="3C446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2413880">
            <w:pPr>
              <w:widowControl w:val="0"/>
              <w:spacing w:line="360" w:lineRule="exact"/>
              <w:jc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665" w:type="pct"/>
            <w:shd w:val="clear" w:color="auto" w:fill="auto"/>
            <w:vAlign w:val="center"/>
          </w:tcPr>
          <w:p w14:paraId="08912793">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Na</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7EC689C5">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1.796 </w:t>
            </w:r>
          </w:p>
        </w:tc>
        <w:tc>
          <w:tcPr>
            <w:tcW w:w="798" w:type="pct"/>
            <w:vAlign w:val="center"/>
          </w:tcPr>
          <w:p w14:paraId="53752331">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45.213 </w:t>
            </w:r>
          </w:p>
        </w:tc>
        <w:tc>
          <w:tcPr>
            <w:tcW w:w="877" w:type="pct"/>
            <w:vMerge w:val="continue"/>
            <w:vAlign w:val="center"/>
          </w:tcPr>
          <w:p w14:paraId="1CA4C484">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08B95583">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1A169F12">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59ED7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53CFDB5B">
            <w:pPr>
              <w:widowControl w:val="0"/>
              <w:spacing w:line="360" w:lineRule="exact"/>
              <w:jc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665" w:type="pct"/>
            <w:shd w:val="clear" w:color="auto" w:fill="auto"/>
            <w:vAlign w:val="center"/>
          </w:tcPr>
          <w:p w14:paraId="0F7636E2">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Ca</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5AE739AE">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1.625 </w:t>
            </w:r>
          </w:p>
        </w:tc>
        <w:tc>
          <w:tcPr>
            <w:tcW w:w="798" w:type="pct"/>
            <w:vAlign w:val="center"/>
          </w:tcPr>
          <w:p w14:paraId="3C2DBF51">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40.916 </w:t>
            </w:r>
          </w:p>
        </w:tc>
        <w:tc>
          <w:tcPr>
            <w:tcW w:w="877" w:type="pct"/>
            <w:vMerge w:val="continue"/>
            <w:vAlign w:val="center"/>
          </w:tcPr>
          <w:p w14:paraId="2C8611F4">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302F8455">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66C664C9">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0C362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7DC2BF3">
            <w:pPr>
              <w:widowControl w:val="0"/>
              <w:spacing w:line="360" w:lineRule="exact"/>
              <w:jc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665" w:type="pct"/>
            <w:shd w:val="clear" w:color="auto" w:fill="auto"/>
            <w:vAlign w:val="center"/>
          </w:tcPr>
          <w:p w14:paraId="0DCBBDBB">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Mg</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265FDAF8">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0.522 </w:t>
            </w:r>
          </w:p>
        </w:tc>
        <w:tc>
          <w:tcPr>
            <w:tcW w:w="798" w:type="pct"/>
            <w:vAlign w:val="center"/>
          </w:tcPr>
          <w:p w14:paraId="185B4B74">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13.135 </w:t>
            </w:r>
          </w:p>
        </w:tc>
        <w:tc>
          <w:tcPr>
            <w:tcW w:w="877" w:type="pct"/>
            <w:vMerge w:val="continue"/>
            <w:vAlign w:val="center"/>
          </w:tcPr>
          <w:p w14:paraId="3161E569">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0FD39030">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51A9AFB2">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3837B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C036A67">
            <w:pPr>
              <w:widowControl w:val="0"/>
              <w:spacing w:line="360" w:lineRule="exact"/>
              <w:jc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665" w:type="pct"/>
            <w:shd w:val="clear" w:color="auto" w:fill="auto"/>
            <w:vAlign w:val="center"/>
          </w:tcPr>
          <w:p w14:paraId="47E37FE7">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HCO</w:t>
            </w:r>
            <w:r>
              <w:rPr>
                <w:rFonts w:hint="default" w:ascii="Times New Roman" w:hAnsi="Times New Roman" w:cs="Times New Roman" w:eastAsiaTheme="minorEastAsia"/>
                <w:bCs/>
                <w:color w:val="auto"/>
                <w:w w:val="95"/>
                <w:kern w:val="2"/>
                <w:sz w:val="21"/>
                <w:szCs w:val="21"/>
                <w:highlight w:val="none"/>
                <w:vertAlign w:val="subscript"/>
              </w:rPr>
              <w:t>3</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7EB92EF0">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2.672 </w:t>
            </w:r>
          </w:p>
        </w:tc>
        <w:tc>
          <w:tcPr>
            <w:tcW w:w="798" w:type="pct"/>
            <w:vAlign w:val="center"/>
          </w:tcPr>
          <w:p w14:paraId="2E329F39">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64.937 </w:t>
            </w:r>
          </w:p>
        </w:tc>
        <w:tc>
          <w:tcPr>
            <w:tcW w:w="877" w:type="pct"/>
            <w:vMerge w:val="restart"/>
            <w:vAlign w:val="center"/>
          </w:tcPr>
          <w:p w14:paraId="534F525E">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4.115 </w:t>
            </w:r>
          </w:p>
        </w:tc>
        <w:tc>
          <w:tcPr>
            <w:tcW w:w="563" w:type="pct"/>
            <w:vMerge w:val="continue"/>
            <w:vAlign w:val="center"/>
          </w:tcPr>
          <w:p w14:paraId="2DE4525F">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2848CEA6">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11C5A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E4D7511">
            <w:pPr>
              <w:widowControl w:val="0"/>
              <w:spacing w:line="360" w:lineRule="exact"/>
              <w:jc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665" w:type="pct"/>
            <w:shd w:val="clear" w:color="auto" w:fill="auto"/>
            <w:vAlign w:val="center"/>
          </w:tcPr>
          <w:p w14:paraId="235FED56">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CO</w:t>
            </w:r>
            <w:r>
              <w:rPr>
                <w:rFonts w:hint="default" w:ascii="Times New Roman" w:hAnsi="Times New Roman" w:cs="Times New Roman" w:eastAsiaTheme="minorEastAsia"/>
                <w:bCs/>
                <w:color w:val="auto"/>
                <w:w w:val="95"/>
                <w:kern w:val="2"/>
                <w:sz w:val="21"/>
                <w:szCs w:val="21"/>
                <w:highlight w:val="none"/>
                <w:vertAlign w:val="subscript"/>
              </w:rPr>
              <w:t>3</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7FD8F3C5">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0.000 </w:t>
            </w:r>
          </w:p>
        </w:tc>
        <w:tc>
          <w:tcPr>
            <w:tcW w:w="798" w:type="pct"/>
            <w:vAlign w:val="center"/>
          </w:tcPr>
          <w:p w14:paraId="250C7E9C">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0.000 </w:t>
            </w:r>
          </w:p>
        </w:tc>
        <w:tc>
          <w:tcPr>
            <w:tcW w:w="877" w:type="pct"/>
            <w:vMerge w:val="continue"/>
            <w:vAlign w:val="center"/>
          </w:tcPr>
          <w:p w14:paraId="28807049">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48257A4E">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12648CD6">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199C4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9D454F9">
            <w:pPr>
              <w:widowControl w:val="0"/>
              <w:spacing w:line="360" w:lineRule="exact"/>
              <w:jc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665" w:type="pct"/>
            <w:shd w:val="clear" w:color="auto" w:fill="auto"/>
            <w:vAlign w:val="center"/>
          </w:tcPr>
          <w:p w14:paraId="5ECD7FFF">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Cl</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7560579D">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0.943 </w:t>
            </w:r>
          </w:p>
        </w:tc>
        <w:tc>
          <w:tcPr>
            <w:tcW w:w="798" w:type="pct"/>
            <w:vAlign w:val="center"/>
          </w:tcPr>
          <w:p w14:paraId="56AE0D2A">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22.913 </w:t>
            </w:r>
          </w:p>
        </w:tc>
        <w:tc>
          <w:tcPr>
            <w:tcW w:w="877" w:type="pct"/>
            <w:vMerge w:val="continue"/>
            <w:vAlign w:val="center"/>
          </w:tcPr>
          <w:p w14:paraId="706ACF0A">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628C87CC">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7CF3ECC7">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72402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8CB931D">
            <w:pPr>
              <w:widowControl w:val="0"/>
              <w:spacing w:line="360" w:lineRule="exact"/>
              <w:jc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665" w:type="pct"/>
            <w:shd w:val="clear" w:color="auto" w:fill="auto"/>
            <w:vAlign w:val="center"/>
          </w:tcPr>
          <w:p w14:paraId="0B561FD8">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SO</w:t>
            </w:r>
            <w:r>
              <w:rPr>
                <w:rFonts w:hint="default" w:ascii="Times New Roman" w:hAnsi="Times New Roman" w:cs="Times New Roman" w:eastAsiaTheme="minorEastAsia"/>
                <w:bCs/>
                <w:color w:val="auto"/>
                <w:w w:val="95"/>
                <w:kern w:val="2"/>
                <w:sz w:val="21"/>
                <w:szCs w:val="21"/>
                <w:highlight w:val="none"/>
                <w:vertAlign w:val="subscript"/>
              </w:rPr>
              <w:t>4</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22A98976">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0.500 </w:t>
            </w:r>
          </w:p>
        </w:tc>
        <w:tc>
          <w:tcPr>
            <w:tcW w:w="798" w:type="pct"/>
            <w:vAlign w:val="center"/>
          </w:tcPr>
          <w:p w14:paraId="7D433032">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12.151 </w:t>
            </w:r>
          </w:p>
        </w:tc>
        <w:tc>
          <w:tcPr>
            <w:tcW w:w="877" w:type="pct"/>
            <w:vMerge w:val="continue"/>
            <w:vAlign w:val="center"/>
          </w:tcPr>
          <w:p w14:paraId="48BA7871">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3AD8E55B">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67AFDD6A">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19F4C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61B10EF6">
            <w:pPr>
              <w:widowControl w:val="0"/>
              <w:spacing w:line="360" w:lineRule="exact"/>
              <w:jc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王家围子屯周家承压水井</w:t>
            </w:r>
          </w:p>
        </w:tc>
        <w:tc>
          <w:tcPr>
            <w:tcW w:w="665" w:type="pct"/>
            <w:shd w:val="clear" w:color="auto" w:fill="auto"/>
            <w:vAlign w:val="center"/>
          </w:tcPr>
          <w:p w14:paraId="7BD2D659">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K</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6A4A4B46">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0.031 </w:t>
            </w:r>
          </w:p>
        </w:tc>
        <w:tc>
          <w:tcPr>
            <w:tcW w:w="798" w:type="pct"/>
            <w:vAlign w:val="center"/>
          </w:tcPr>
          <w:p w14:paraId="1D0E653D">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0.721 </w:t>
            </w:r>
          </w:p>
        </w:tc>
        <w:tc>
          <w:tcPr>
            <w:tcW w:w="877" w:type="pct"/>
            <w:vMerge w:val="restart"/>
            <w:vAlign w:val="center"/>
          </w:tcPr>
          <w:p w14:paraId="77E7FF12">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4.338 </w:t>
            </w:r>
          </w:p>
        </w:tc>
        <w:tc>
          <w:tcPr>
            <w:tcW w:w="563" w:type="pct"/>
            <w:vMerge w:val="restart"/>
            <w:vAlign w:val="center"/>
          </w:tcPr>
          <w:p w14:paraId="54F91DB9">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rPr>
            </w:pPr>
            <w:r>
              <w:rPr>
                <w:rFonts w:hint="eastAsia" w:ascii="Times New Roman" w:hAnsi="Times New Roman" w:cs="Times New Roman" w:eastAsiaTheme="minorEastAsia"/>
                <w:bCs/>
                <w:color w:val="auto"/>
                <w:w w:val="95"/>
                <w:kern w:val="2"/>
                <w:sz w:val="21"/>
                <w:szCs w:val="21"/>
                <w:highlight w:val="none"/>
                <w:lang w:val="en-US" w:eastAsia="zh-CN"/>
              </w:rPr>
              <w:t>-2.30</w:t>
            </w:r>
          </w:p>
        </w:tc>
        <w:tc>
          <w:tcPr>
            <w:tcW w:w="463" w:type="pct"/>
            <w:vMerge w:val="restart"/>
            <w:vAlign w:val="center"/>
          </w:tcPr>
          <w:p w14:paraId="6F793F8F">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rPr>
            </w:pPr>
            <w:r>
              <w:rPr>
                <w:rFonts w:hint="eastAsia" w:ascii="Times New Roman" w:hAnsi="Times New Roman" w:cs="Times New Roman" w:eastAsiaTheme="minorEastAsia"/>
                <w:bCs/>
                <w:color w:val="auto"/>
                <w:w w:val="95"/>
                <w:kern w:val="2"/>
                <w:sz w:val="21"/>
                <w:szCs w:val="21"/>
                <w:highlight w:val="none"/>
                <w:lang w:val="en-US" w:eastAsia="zh-CN"/>
              </w:rPr>
              <w:t>0.31</w:t>
            </w:r>
          </w:p>
        </w:tc>
      </w:tr>
      <w:tr w14:paraId="30CA9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C261B80">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shd w:val="clear" w:color="auto" w:fill="auto"/>
            <w:vAlign w:val="center"/>
          </w:tcPr>
          <w:p w14:paraId="34AC03A1">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Na</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306F569A">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1.922 </w:t>
            </w:r>
          </w:p>
        </w:tc>
        <w:tc>
          <w:tcPr>
            <w:tcW w:w="798" w:type="pct"/>
            <w:vAlign w:val="center"/>
          </w:tcPr>
          <w:p w14:paraId="73349599">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44.300 </w:t>
            </w:r>
          </w:p>
        </w:tc>
        <w:tc>
          <w:tcPr>
            <w:tcW w:w="877" w:type="pct"/>
            <w:vMerge w:val="continue"/>
            <w:vAlign w:val="center"/>
          </w:tcPr>
          <w:p w14:paraId="74A9E633">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533AC8FC">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0DCD7E90">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5D394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94391D6">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shd w:val="clear" w:color="auto" w:fill="auto"/>
            <w:vAlign w:val="center"/>
          </w:tcPr>
          <w:p w14:paraId="210361ED">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Ca</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3F20AB84">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1.845 </w:t>
            </w:r>
          </w:p>
        </w:tc>
        <w:tc>
          <w:tcPr>
            <w:tcW w:w="798" w:type="pct"/>
            <w:vAlign w:val="center"/>
          </w:tcPr>
          <w:p w14:paraId="6813B972">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42.531 </w:t>
            </w:r>
          </w:p>
        </w:tc>
        <w:tc>
          <w:tcPr>
            <w:tcW w:w="877" w:type="pct"/>
            <w:vMerge w:val="continue"/>
            <w:vAlign w:val="center"/>
          </w:tcPr>
          <w:p w14:paraId="3F5904A9">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07032DA3">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7A212CA6">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7B30A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73BE05B">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shd w:val="clear" w:color="auto" w:fill="auto"/>
            <w:vAlign w:val="center"/>
          </w:tcPr>
          <w:p w14:paraId="609423CE">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Mg</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4E240EA4">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0.540 </w:t>
            </w:r>
          </w:p>
        </w:tc>
        <w:tc>
          <w:tcPr>
            <w:tcW w:w="798" w:type="pct"/>
            <w:vAlign w:val="center"/>
          </w:tcPr>
          <w:p w14:paraId="7084B678">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12.448 </w:t>
            </w:r>
          </w:p>
        </w:tc>
        <w:tc>
          <w:tcPr>
            <w:tcW w:w="877" w:type="pct"/>
            <w:vMerge w:val="continue"/>
            <w:vAlign w:val="center"/>
          </w:tcPr>
          <w:p w14:paraId="18CB832C">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p>
        </w:tc>
        <w:tc>
          <w:tcPr>
            <w:tcW w:w="563" w:type="pct"/>
            <w:vMerge w:val="continue"/>
            <w:vAlign w:val="center"/>
          </w:tcPr>
          <w:p w14:paraId="110538CA">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53E6DC3B">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702B8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C5A673A">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shd w:val="clear" w:color="auto" w:fill="auto"/>
            <w:vAlign w:val="center"/>
          </w:tcPr>
          <w:p w14:paraId="598934BB">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HCO</w:t>
            </w:r>
            <w:r>
              <w:rPr>
                <w:rFonts w:hint="default" w:ascii="Times New Roman" w:hAnsi="Times New Roman" w:cs="Times New Roman" w:eastAsiaTheme="minorEastAsia"/>
                <w:bCs/>
                <w:color w:val="auto"/>
                <w:w w:val="95"/>
                <w:kern w:val="2"/>
                <w:sz w:val="21"/>
                <w:szCs w:val="21"/>
                <w:highlight w:val="none"/>
                <w:vertAlign w:val="subscript"/>
              </w:rPr>
              <w:t>3</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1B383B17">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2.721 </w:t>
            </w:r>
          </w:p>
        </w:tc>
        <w:tc>
          <w:tcPr>
            <w:tcW w:w="798" w:type="pct"/>
            <w:vAlign w:val="center"/>
          </w:tcPr>
          <w:p w14:paraId="2DC7387C">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65.679 </w:t>
            </w:r>
          </w:p>
        </w:tc>
        <w:tc>
          <w:tcPr>
            <w:tcW w:w="877" w:type="pct"/>
            <w:vMerge w:val="restart"/>
            <w:vAlign w:val="center"/>
          </w:tcPr>
          <w:p w14:paraId="4F7B730E">
            <w:pPr>
              <w:keepNext w:val="0"/>
              <w:keepLines w:val="0"/>
              <w:widowControl/>
              <w:suppressLineNumbers w:val="0"/>
              <w:jc w:val="center"/>
              <w:textAlignment w:val="center"/>
              <w:rPr>
                <w:rFonts w:hint="default"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4.143 </w:t>
            </w:r>
          </w:p>
        </w:tc>
        <w:tc>
          <w:tcPr>
            <w:tcW w:w="563" w:type="pct"/>
            <w:vMerge w:val="continue"/>
            <w:vAlign w:val="center"/>
          </w:tcPr>
          <w:p w14:paraId="54CDFCFF">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3A911EF3">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214BC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BC8BDF4">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shd w:val="clear" w:color="auto" w:fill="auto"/>
            <w:vAlign w:val="center"/>
          </w:tcPr>
          <w:p w14:paraId="4D5E3440">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CO</w:t>
            </w:r>
            <w:r>
              <w:rPr>
                <w:rFonts w:hint="default" w:ascii="Times New Roman" w:hAnsi="Times New Roman" w:cs="Times New Roman" w:eastAsiaTheme="minorEastAsia"/>
                <w:bCs/>
                <w:color w:val="auto"/>
                <w:w w:val="95"/>
                <w:kern w:val="2"/>
                <w:sz w:val="21"/>
                <w:szCs w:val="21"/>
                <w:highlight w:val="none"/>
                <w:vertAlign w:val="subscript"/>
              </w:rPr>
              <w:t>3</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5ECEE859">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0.000 </w:t>
            </w:r>
          </w:p>
        </w:tc>
        <w:tc>
          <w:tcPr>
            <w:tcW w:w="798" w:type="pct"/>
            <w:vAlign w:val="center"/>
          </w:tcPr>
          <w:p w14:paraId="2E682834">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0.000 </w:t>
            </w:r>
          </w:p>
        </w:tc>
        <w:tc>
          <w:tcPr>
            <w:tcW w:w="877" w:type="pct"/>
            <w:vMerge w:val="continue"/>
            <w:vAlign w:val="center"/>
          </w:tcPr>
          <w:p w14:paraId="25ADC483">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563" w:type="pct"/>
            <w:vMerge w:val="continue"/>
            <w:vAlign w:val="center"/>
          </w:tcPr>
          <w:p w14:paraId="25F63A3A">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3CE68DCB">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6ED2C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F9F68C8">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shd w:val="clear" w:color="auto" w:fill="auto"/>
            <w:vAlign w:val="center"/>
          </w:tcPr>
          <w:p w14:paraId="6B4F83B7">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Cl</w:t>
            </w:r>
            <w:r>
              <w:rPr>
                <w:rFonts w:hint="default" w:ascii="Times New Roman" w:hAnsi="Times New Roman" w:cs="Times New Roman" w:eastAsiaTheme="minorEastAsia"/>
                <w:bCs/>
                <w:color w:val="auto"/>
                <w:w w:val="95"/>
                <w:kern w:val="2"/>
                <w:sz w:val="21"/>
                <w:szCs w:val="21"/>
                <w:highlight w:val="none"/>
                <w:vertAlign w:val="superscript"/>
              </w:rPr>
              <w:t>-</w:t>
            </w:r>
          </w:p>
        </w:tc>
        <w:tc>
          <w:tcPr>
            <w:tcW w:w="797" w:type="pct"/>
            <w:vAlign w:val="center"/>
          </w:tcPr>
          <w:p w14:paraId="77138056">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0.943 </w:t>
            </w:r>
          </w:p>
        </w:tc>
        <w:tc>
          <w:tcPr>
            <w:tcW w:w="798" w:type="pct"/>
            <w:vAlign w:val="center"/>
          </w:tcPr>
          <w:p w14:paraId="60F9F62A">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22.756 </w:t>
            </w:r>
          </w:p>
        </w:tc>
        <w:tc>
          <w:tcPr>
            <w:tcW w:w="877" w:type="pct"/>
            <w:vMerge w:val="continue"/>
            <w:vAlign w:val="center"/>
          </w:tcPr>
          <w:p w14:paraId="77640397">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563" w:type="pct"/>
            <w:vMerge w:val="continue"/>
            <w:vAlign w:val="center"/>
          </w:tcPr>
          <w:p w14:paraId="2AC42260">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28E3EC52">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r w14:paraId="45056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54AA1EE">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665" w:type="pct"/>
            <w:shd w:val="clear" w:color="auto" w:fill="auto"/>
            <w:vAlign w:val="center"/>
          </w:tcPr>
          <w:p w14:paraId="189F085B">
            <w:pPr>
              <w:widowControl w:val="0"/>
              <w:spacing w:line="360" w:lineRule="exact"/>
              <w:jc w:val="center"/>
              <w:rPr>
                <w:rFonts w:hint="default" w:ascii="Times New Roman" w:hAnsi="Times New Roman" w:cs="Times New Roman" w:eastAsiaTheme="minorEastAsia"/>
                <w:bCs/>
                <w:color w:val="auto"/>
                <w:w w:val="95"/>
                <w:kern w:val="2"/>
                <w:sz w:val="21"/>
                <w:szCs w:val="21"/>
                <w:highlight w:val="none"/>
                <w:lang w:val="en-US" w:eastAsia="zh-CN" w:bidi="ar-SA"/>
              </w:rPr>
            </w:pPr>
            <w:r>
              <w:rPr>
                <w:rFonts w:hint="default" w:ascii="Times New Roman" w:hAnsi="Times New Roman" w:cs="Times New Roman" w:eastAsiaTheme="minorEastAsia"/>
                <w:bCs/>
                <w:color w:val="auto"/>
                <w:w w:val="95"/>
                <w:kern w:val="2"/>
                <w:sz w:val="21"/>
                <w:szCs w:val="21"/>
                <w:highlight w:val="none"/>
              </w:rPr>
              <w:t>SO</w:t>
            </w:r>
            <w:r>
              <w:rPr>
                <w:rFonts w:hint="default" w:ascii="Times New Roman" w:hAnsi="Times New Roman" w:cs="Times New Roman" w:eastAsiaTheme="minorEastAsia"/>
                <w:bCs/>
                <w:color w:val="auto"/>
                <w:w w:val="95"/>
                <w:kern w:val="2"/>
                <w:sz w:val="21"/>
                <w:szCs w:val="21"/>
                <w:highlight w:val="none"/>
                <w:vertAlign w:val="subscript"/>
              </w:rPr>
              <w:t>4</w:t>
            </w:r>
            <w:r>
              <w:rPr>
                <w:rFonts w:hint="default" w:ascii="Times New Roman" w:hAnsi="Times New Roman" w:cs="Times New Roman" w:eastAsiaTheme="minorEastAsia"/>
                <w:bCs/>
                <w:color w:val="auto"/>
                <w:w w:val="95"/>
                <w:kern w:val="2"/>
                <w:sz w:val="21"/>
                <w:szCs w:val="21"/>
                <w:highlight w:val="none"/>
                <w:vertAlign w:val="superscript"/>
              </w:rPr>
              <w:t>2-</w:t>
            </w:r>
          </w:p>
        </w:tc>
        <w:tc>
          <w:tcPr>
            <w:tcW w:w="797" w:type="pct"/>
            <w:vAlign w:val="center"/>
          </w:tcPr>
          <w:p w14:paraId="480B141A">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0.479 </w:t>
            </w:r>
          </w:p>
        </w:tc>
        <w:tc>
          <w:tcPr>
            <w:tcW w:w="798" w:type="pct"/>
            <w:vAlign w:val="center"/>
          </w:tcPr>
          <w:p w14:paraId="1604A065">
            <w:pPr>
              <w:keepNext w:val="0"/>
              <w:keepLines w:val="0"/>
              <w:widowControl/>
              <w:suppressLineNumbers w:val="0"/>
              <w:jc w:val="center"/>
              <w:textAlignment w:val="center"/>
              <w:rPr>
                <w:rFonts w:hint="eastAsia" w:ascii="Times New Roman" w:hAnsi="Times New Roman" w:eastAsia="宋体" w:cs="Times New Roman"/>
                <w:i w:val="0"/>
                <w:iCs w:val="0"/>
                <w:color w:val="auto"/>
                <w:w w:val="95"/>
                <w:kern w:val="0"/>
                <w:sz w:val="21"/>
                <w:szCs w:val="21"/>
                <w:highlight w:val="none"/>
                <w:u w:val="none"/>
                <w:lang w:val="en-US" w:eastAsia="zh-CN" w:bidi="ar"/>
              </w:rPr>
            </w:pPr>
            <w:r>
              <w:rPr>
                <w:rFonts w:hint="eastAsia" w:ascii="Times New Roman" w:hAnsi="Times New Roman" w:eastAsia="宋体" w:cs="Times New Roman"/>
                <w:i w:val="0"/>
                <w:iCs w:val="0"/>
                <w:color w:val="auto"/>
                <w:w w:val="95"/>
                <w:kern w:val="0"/>
                <w:sz w:val="21"/>
                <w:szCs w:val="21"/>
                <w:highlight w:val="none"/>
                <w:u w:val="none"/>
                <w:lang w:val="en-US" w:eastAsia="zh-CN" w:bidi="ar"/>
              </w:rPr>
              <w:t xml:space="preserve">11.565 </w:t>
            </w:r>
          </w:p>
        </w:tc>
        <w:tc>
          <w:tcPr>
            <w:tcW w:w="877" w:type="pct"/>
            <w:vMerge w:val="continue"/>
            <w:vAlign w:val="center"/>
          </w:tcPr>
          <w:p w14:paraId="20A8DBEB">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563" w:type="pct"/>
            <w:vMerge w:val="continue"/>
            <w:vAlign w:val="center"/>
          </w:tcPr>
          <w:p w14:paraId="59F0A83C">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c>
          <w:tcPr>
            <w:tcW w:w="463" w:type="pct"/>
            <w:vMerge w:val="continue"/>
            <w:vAlign w:val="center"/>
          </w:tcPr>
          <w:p w14:paraId="3004253D">
            <w:pPr>
              <w:widowControl w:val="0"/>
              <w:spacing w:line="360" w:lineRule="exact"/>
              <w:jc w:val="center"/>
              <w:rPr>
                <w:rFonts w:hint="default" w:ascii="Times New Roman" w:hAnsi="Times New Roman" w:cs="Times New Roman" w:eastAsiaTheme="minorEastAsia"/>
                <w:bCs/>
                <w:color w:val="auto"/>
                <w:w w:val="95"/>
                <w:kern w:val="2"/>
                <w:sz w:val="21"/>
                <w:szCs w:val="21"/>
                <w:highlight w:val="none"/>
              </w:rPr>
            </w:pPr>
          </w:p>
        </w:tc>
      </w:tr>
    </w:tbl>
    <w:p w14:paraId="55394BCE">
      <w:pPr>
        <w:widowControl w:val="0"/>
        <w:spacing w:line="440" w:lineRule="exact"/>
        <w:ind w:firstLine="474" w:firstLineChars="200"/>
        <w:jc w:val="both"/>
        <w:rPr>
          <w:rFonts w:ascii="Times New Roman" w:hAnsi="Times New Roman" w:cs="Times New Roman" w:eastAsiaTheme="minorEastAsia"/>
          <w:color w:val="auto"/>
          <w:w w:val="99"/>
          <w:kern w:val="2"/>
          <w:szCs w:val="32"/>
          <w:highlight w:val="none"/>
        </w:rPr>
      </w:pPr>
      <w:r>
        <w:rPr>
          <w:rFonts w:ascii="Times New Roman" w:hAnsi="Times New Roman" w:cs="Times New Roman" w:eastAsiaTheme="minorEastAsia"/>
          <w:color w:val="auto"/>
          <w:w w:val="99"/>
          <w:kern w:val="2"/>
          <w:szCs w:val="32"/>
          <w:highlight w:val="none"/>
        </w:rPr>
        <w:t>通过对区域内地下水八大离子监测结果可知，本项目所在区域地下水化学类型以HCO</w:t>
      </w:r>
      <w:r>
        <w:rPr>
          <w:rFonts w:ascii="Times New Roman" w:hAnsi="Times New Roman" w:cs="Times New Roman" w:eastAsiaTheme="minorEastAsia"/>
          <w:color w:val="auto"/>
          <w:w w:val="99"/>
          <w:kern w:val="2"/>
          <w:szCs w:val="32"/>
          <w:highlight w:val="none"/>
          <w:vertAlign w:val="subscript"/>
        </w:rPr>
        <w:t>3</w:t>
      </w:r>
      <w:r>
        <w:rPr>
          <w:rFonts w:ascii="Times New Roman" w:hAnsi="Times New Roman" w:cs="Times New Roman" w:eastAsiaTheme="minorEastAsia"/>
          <w:color w:val="auto"/>
          <w:w w:val="99"/>
          <w:kern w:val="2"/>
          <w:szCs w:val="32"/>
          <w:highlight w:val="none"/>
        </w:rPr>
        <w:t>-Na+Ca，4-A型淡水型为主，地下水矿化度较低，水质情况较好。根据上表可知，项目区域水质总阳离子（钠、钾、钙、镁）与阴离子（硫酸盐、氯化物、碳酸盐、重碳酸盐）毫克当量浓度相对误差不大于5%，阴阳离子平衡。</w:t>
      </w:r>
    </w:p>
    <w:p w14:paraId="3945A1C3">
      <w:pPr>
        <w:widowControl w:val="0"/>
        <w:spacing w:line="440" w:lineRule="exact"/>
        <w:jc w:val="both"/>
        <w:outlineLvl w:val="3"/>
        <w:rPr>
          <w:rFonts w:ascii="Times New Roman" w:hAnsi="Times New Roman" w:cs="Times New Roman" w:eastAsiaTheme="minorEastAsia"/>
          <w:b/>
          <w:color w:val="auto"/>
          <w:w w:val="99"/>
          <w:highlight w:val="none"/>
        </w:rPr>
      </w:pPr>
      <w:r>
        <w:rPr>
          <w:rFonts w:ascii="Times New Roman" w:hAnsi="Times New Roman" w:cs="Times New Roman" w:eastAsiaTheme="minorEastAsia"/>
          <w:b/>
          <w:color w:val="auto"/>
          <w:w w:val="99"/>
          <w:highlight w:val="none"/>
        </w:rPr>
        <w:t>4.3.2.</w:t>
      </w:r>
      <w:r>
        <w:rPr>
          <w:rFonts w:hint="eastAsia" w:ascii="Times New Roman" w:hAnsi="Times New Roman" w:cs="Times New Roman" w:eastAsiaTheme="minorEastAsia"/>
          <w:b/>
          <w:color w:val="auto"/>
          <w:w w:val="99"/>
          <w:highlight w:val="none"/>
          <w:lang w:val="en-US" w:eastAsia="zh-CN"/>
        </w:rPr>
        <w:t>4</w:t>
      </w:r>
      <w:r>
        <w:rPr>
          <w:rFonts w:ascii="Times New Roman" w:hAnsi="Times New Roman" w:cs="Times New Roman" w:eastAsiaTheme="minorEastAsia"/>
          <w:b/>
          <w:color w:val="auto"/>
          <w:w w:val="99"/>
          <w:highlight w:val="none"/>
        </w:rPr>
        <w:t>包气带污染现状调查</w:t>
      </w:r>
    </w:p>
    <w:p w14:paraId="2A76CA0E">
      <w:pPr>
        <w:widowControl w:val="0"/>
        <w:spacing w:line="440" w:lineRule="exact"/>
        <w:ind w:firstLine="474" w:firstLineChars="200"/>
        <w:jc w:val="both"/>
        <w:rPr>
          <w:rFonts w:ascii="Times New Roman" w:hAnsi="Times New Roman" w:cs="Times New Roman" w:eastAsiaTheme="minorEastAsia"/>
          <w:bCs/>
          <w:color w:val="auto"/>
          <w:w w:val="99"/>
          <w:kern w:val="21"/>
          <w:szCs w:val="20"/>
          <w:highlight w:val="none"/>
        </w:rPr>
      </w:pPr>
      <w:bookmarkStart w:id="696" w:name="_Toc11456"/>
      <w:r>
        <w:rPr>
          <w:rFonts w:ascii="Times New Roman" w:hAnsi="Times New Roman" w:cs="Times New Roman" w:eastAsiaTheme="minorEastAsia"/>
          <w:bCs/>
          <w:color w:val="auto"/>
          <w:w w:val="99"/>
          <w:kern w:val="21"/>
          <w:szCs w:val="20"/>
          <w:highlight w:val="none"/>
        </w:rPr>
        <w:t>（1）包气带现状分布特征</w:t>
      </w:r>
    </w:p>
    <w:p w14:paraId="734C3F82">
      <w:pPr>
        <w:widowControl w:val="0"/>
        <w:spacing w:line="44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评价区内第四系松散堆积层发育，堆积厚度大，分布范围广。按地貌成因形态类型主要为冲积低平原沉积地层。根据评价区潜水地下水埋深特征，包气带厚度1.05m～5.0m。包气带地层岩性主要为表层杂填土、粉质黏土及粉砂。</w:t>
      </w:r>
    </w:p>
    <w:p w14:paraId="7C2FAF45">
      <w:pPr>
        <w:widowControl w:val="0"/>
        <w:spacing w:line="44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（2）</w:t>
      </w:r>
      <w:r>
        <w:rPr>
          <w:rFonts w:ascii="Times New Roman" w:hAnsi="Times New Roman" w:cs="Times New Roman" w:eastAsiaTheme="minorEastAsia"/>
          <w:bCs/>
          <w:color w:val="auto"/>
          <w:w w:val="99"/>
          <w:kern w:val="21"/>
          <w:szCs w:val="20"/>
          <w:highlight w:val="none"/>
        </w:rPr>
        <w:t>包气带污染现状监测</w:t>
      </w:r>
    </w:p>
    <w:p w14:paraId="3DCEFD3D">
      <w:pPr>
        <w:widowControl w:val="0"/>
        <w:spacing w:line="440" w:lineRule="exact"/>
        <w:ind w:firstLine="474" w:firstLineChars="200"/>
        <w:jc w:val="both"/>
        <w:rPr>
          <w:rFonts w:hint="default" w:ascii="Times New Roman" w:hAnsi="Times New Roman" w:eastAsia="宋体" w:cs="Times New Roman"/>
          <w:bCs/>
          <w:color w:val="auto"/>
          <w:w w:val="99"/>
          <w:kern w:val="21"/>
          <w:szCs w:val="20"/>
          <w:highlight w:val="none"/>
          <w:lang w:val="en-US" w:eastAsia="zh-CN"/>
        </w:rPr>
      </w:pPr>
      <w:r>
        <w:rPr>
          <w:rFonts w:ascii="Times New Roman" w:hAnsi="Times New Roman" w:cs="Times New Roman"/>
          <w:bCs/>
          <w:color w:val="auto"/>
          <w:w w:val="99"/>
          <w:kern w:val="21"/>
          <w:szCs w:val="20"/>
          <w:highlight w:val="none"/>
          <w:lang w:eastAsia="ja-JP"/>
        </w:rPr>
        <w:t>根据《环境影响评价技术导则</w:t>
      </w:r>
      <w:r>
        <w:rPr>
          <w:rFonts w:hint="eastAsia" w:ascii="Times New Roman" w:hAnsi="Times New Roman" w:cs="Times New Roman"/>
          <w:bCs/>
          <w:color w:val="auto"/>
          <w:w w:val="99"/>
          <w:kern w:val="21"/>
          <w:szCs w:val="20"/>
          <w:highlight w:val="none"/>
          <w:lang w:val="en-US" w:eastAsia="zh-CN"/>
        </w:rPr>
        <w:t xml:space="preserve"> </w:t>
      </w:r>
      <w:r>
        <w:rPr>
          <w:rFonts w:ascii="Times New Roman" w:hAnsi="Times New Roman" w:cs="Times New Roman"/>
          <w:bCs/>
          <w:color w:val="auto"/>
          <w:w w:val="99"/>
          <w:kern w:val="21"/>
          <w:szCs w:val="20"/>
          <w:highlight w:val="none"/>
          <w:lang w:eastAsia="ja-JP"/>
        </w:rPr>
        <w:t>地下水环境》（HJ610-2016），对于一、二级的改扩建项目，应在可能造成地下水污染的主要装置或设施附近开展包气带污染现状调查，对包气带进行分层取样</w:t>
      </w:r>
      <w:r>
        <w:rPr>
          <w:rFonts w:ascii="Times New Roman" w:hAnsi="Times New Roman" w:cs="Times New Roman"/>
          <w:bCs/>
          <w:color w:val="auto"/>
          <w:w w:val="99"/>
          <w:kern w:val="21"/>
          <w:szCs w:val="20"/>
          <w:highlight w:val="none"/>
        </w:rPr>
        <w:t>，根据现场调查，本项目可能造成地下水污染的主要工程为区块内已建井场及已建场站</w:t>
      </w:r>
      <w:r>
        <w:rPr>
          <w:rFonts w:ascii="Times New Roman" w:hAnsi="Times New Roman" w:cs="Times New Roman"/>
          <w:bCs/>
          <w:color w:val="auto"/>
          <w:w w:val="99"/>
          <w:kern w:val="21"/>
          <w:szCs w:val="20"/>
          <w:highlight w:val="none"/>
          <w:lang w:eastAsia="ja-JP"/>
        </w:rPr>
        <w:t>。</w:t>
      </w:r>
      <w:r>
        <w:rPr>
          <w:rFonts w:hint="eastAsia" w:ascii="Times New Roman" w:hAnsi="Times New Roman" w:cs="Times New Roman"/>
          <w:bCs/>
          <w:color w:val="auto"/>
          <w:w w:val="99"/>
          <w:kern w:val="21"/>
          <w:szCs w:val="20"/>
          <w:highlight w:val="none"/>
          <w:lang w:val="en-US" w:eastAsia="zh-CN"/>
        </w:rPr>
        <w:t>本次引用</w:t>
      </w:r>
      <w:r>
        <w:rPr>
          <w:rFonts w:hint="eastAsia" w:ascii="Times New Roman" w:hAnsi="Times New Roman" w:cs="Times New Roman" w:eastAsiaTheme="minorEastAsia"/>
          <w:color w:val="auto"/>
          <w:w w:val="99"/>
          <w:kern w:val="21"/>
          <w:highlight w:val="none"/>
          <w:lang w:val="en-US" w:eastAsia="zh-CN"/>
        </w:rPr>
        <w:t>《徐深27-H1钻井工程监测报告》（中检（BH）字2025第03-009号）中对已建井场的包气带监测数据，以表示该区域包气带现状。</w:t>
      </w:r>
    </w:p>
    <w:p w14:paraId="48C3D3CE">
      <w:pPr>
        <w:widowControl w:val="0"/>
        <w:spacing w:line="44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①</w:t>
      </w:r>
      <w:r>
        <w:rPr>
          <w:rFonts w:ascii="Times New Roman" w:hAnsi="Times New Roman" w:cs="Times New Roman" w:eastAsiaTheme="minorEastAsia"/>
          <w:bCs/>
          <w:color w:val="auto"/>
          <w:w w:val="99"/>
          <w:kern w:val="21"/>
          <w:szCs w:val="20"/>
          <w:highlight w:val="none"/>
        </w:rPr>
        <w:t>监测点位</w:t>
      </w:r>
    </w:p>
    <w:p w14:paraId="4912E746">
      <w:pPr>
        <w:widowControl w:val="0"/>
        <w:spacing w:line="44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本项目在现有区块内选取代表性井场、场站布设</w:t>
      </w:r>
      <w:r>
        <w:rPr>
          <w:rFonts w:hint="eastAsia" w:ascii="Times New Roman" w:hAnsi="Times New Roman" w:cs="Times New Roman" w:eastAsiaTheme="minorEastAsia"/>
          <w:bCs/>
          <w:color w:val="auto"/>
          <w:w w:val="99"/>
          <w:kern w:val="21"/>
          <w:szCs w:val="20"/>
          <w:highlight w:val="none"/>
          <w:lang w:val="en-US" w:eastAsia="zh-CN"/>
        </w:rPr>
        <w:t>8</w:t>
      </w:r>
      <w:r>
        <w:rPr>
          <w:rFonts w:ascii="Times New Roman" w:hAnsi="Times New Roman" w:cs="Times New Roman" w:eastAsiaTheme="minorEastAsia"/>
          <w:bCs/>
          <w:color w:val="auto"/>
          <w:w w:val="99"/>
          <w:kern w:val="21"/>
          <w:szCs w:val="20"/>
          <w:highlight w:val="none"/>
        </w:rPr>
        <w:t>个包气带监测点，每个点在0-20cm深度取1个样，在20-40cm深度取1个样。包气带现状调查见表</w:t>
      </w:r>
      <w:r>
        <w:rPr>
          <w:rFonts w:ascii="Times New Roman" w:hAnsi="Times New Roman" w:cs="Times New Roman" w:eastAsiaTheme="minorEastAsia"/>
          <w:color w:val="auto"/>
          <w:w w:val="99"/>
          <w:kern w:val="2"/>
          <w:szCs w:val="20"/>
          <w:highlight w:val="none"/>
        </w:rPr>
        <w:t>4.3-1</w:t>
      </w:r>
      <w:r>
        <w:rPr>
          <w:rFonts w:hint="eastAsia" w:ascii="Times New Roman" w:hAnsi="Times New Roman" w:cs="Times New Roman" w:eastAsiaTheme="minorEastAsia"/>
          <w:color w:val="auto"/>
          <w:w w:val="99"/>
          <w:kern w:val="2"/>
          <w:szCs w:val="20"/>
          <w:highlight w:val="none"/>
          <w:lang w:val="en-US" w:eastAsia="zh-CN"/>
        </w:rPr>
        <w:t>4</w:t>
      </w:r>
      <w:r>
        <w:rPr>
          <w:rFonts w:ascii="Times New Roman" w:hAnsi="Times New Roman" w:cs="Times New Roman" w:eastAsiaTheme="minorEastAsia"/>
          <w:bCs/>
          <w:color w:val="auto"/>
          <w:w w:val="99"/>
          <w:kern w:val="21"/>
          <w:szCs w:val="20"/>
          <w:highlight w:val="none"/>
        </w:rPr>
        <w:t>。</w:t>
      </w:r>
    </w:p>
    <w:p w14:paraId="541EE22C">
      <w:pPr>
        <w:pStyle w:val="153"/>
        <w:widowControl w:val="0"/>
        <w:spacing w:line="440" w:lineRule="exact"/>
        <w:ind w:firstLine="476" w:firstLineChars="200"/>
        <w:jc w:val="both"/>
        <w:rPr>
          <w:rFonts w:ascii="Times New Roman" w:hAnsi="Times New Roman" w:eastAsiaTheme="minorEastAsia"/>
          <w:b/>
          <w:bCs/>
          <w:color w:val="auto"/>
          <w:w w:val="99"/>
          <w:kern w:val="21"/>
          <w:szCs w:val="20"/>
          <w:highlight w:val="none"/>
        </w:rPr>
      </w:pPr>
      <w:r>
        <w:rPr>
          <w:rFonts w:ascii="Times New Roman" w:hAnsi="Times New Roman" w:eastAsiaTheme="minorEastAsia"/>
          <w:b/>
          <w:bCs/>
          <w:color w:val="auto"/>
          <w:w w:val="99"/>
          <w:kern w:val="21"/>
          <w:szCs w:val="20"/>
          <w:highlight w:val="none"/>
        </w:rPr>
        <w:t>表</w:t>
      </w:r>
      <w:r>
        <w:rPr>
          <w:rFonts w:ascii="Times New Roman" w:hAnsi="Times New Roman" w:eastAsiaTheme="minorEastAsia"/>
          <w:b/>
          <w:color w:val="auto"/>
          <w:w w:val="99"/>
          <w:kern w:val="2"/>
          <w:szCs w:val="20"/>
          <w:highlight w:val="none"/>
        </w:rPr>
        <w:t>4.3-1</w:t>
      </w:r>
      <w:r>
        <w:rPr>
          <w:rFonts w:hint="eastAsia" w:ascii="Times New Roman" w:hAnsi="Times New Roman" w:eastAsiaTheme="minorEastAsia"/>
          <w:b/>
          <w:color w:val="auto"/>
          <w:w w:val="99"/>
          <w:kern w:val="2"/>
          <w:szCs w:val="20"/>
          <w:highlight w:val="none"/>
          <w:lang w:val="en-US" w:eastAsia="zh-CN"/>
        </w:rPr>
        <w:t>4</w:t>
      </w:r>
      <w:r>
        <w:rPr>
          <w:rFonts w:ascii="Times New Roman" w:hAnsi="Times New Roman" w:eastAsiaTheme="minorEastAsia"/>
          <w:b/>
          <w:bCs/>
          <w:color w:val="auto"/>
          <w:w w:val="99"/>
          <w:kern w:val="21"/>
          <w:szCs w:val="20"/>
          <w:highlight w:val="none"/>
        </w:rPr>
        <w:t xml:space="preserve">    </w:t>
      </w:r>
      <w:r>
        <w:rPr>
          <w:rFonts w:ascii="Times New Roman" w:hAnsi="Times New Roman" w:eastAsiaTheme="minorEastAsia"/>
          <w:b/>
          <w:color w:val="auto"/>
          <w:w w:val="99"/>
          <w:highlight w:val="none"/>
        </w:rPr>
        <w:t>包气带</w:t>
      </w:r>
      <w:r>
        <w:rPr>
          <w:rFonts w:ascii="Times New Roman" w:hAnsi="Times New Roman" w:eastAsiaTheme="minorEastAsia"/>
          <w:b/>
          <w:bCs/>
          <w:color w:val="auto"/>
          <w:w w:val="99"/>
          <w:kern w:val="21"/>
          <w:szCs w:val="20"/>
          <w:highlight w:val="none"/>
        </w:rPr>
        <w:t>监测点</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30" w:type="dxa"/>
          <w:bottom w:w="0" w:type="dxa"/>
          <w:right w:w="30" w:type="dxa"/>
        </w:tblCellMar>
      </w:tblPr>
      <w:tblGrid>
        <w:gridCol w:w="375"/>
        <w:gridCol w:w="2346"/>
        <w:gridCol w:w="1983"/>
        <w:gridCol w:w="1942"/>
        <w:gridCol w:w="2485"/>
      </w:tblGrid>
      <w:tr w14:paraId="59B59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30" w:type="dxa"/>
            <w:bottom w:w="0" w:type="dxa"/>
            <w:right w:w="30" w:type="dxa"/>
          </w:tblCellMar>
        </w:tblPrEx>
        <w:trPr>
          <w:cantSplit/>
          <w:trHeight w:val="340" w:hRule="atLeast"/>
          <w:jc w:val="center"/>
        </w:trPr>
        <w:tc>
          <w:tcPr>
            <w:tcW w:w="205" w:type="pct"/>
            <w:shd w:val="clear" w:color="auto" w:fill="auto"/>
            <w:vAlign w:val="center"/>
          </w:tcPr>
          <w:p w14:paraId="09C18C0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1284" w:type="pct"/>
            <w:shd w:val="clear" w:color="auto" w:fill="auto"/>
            <w:vAlign w:val="center"/>
          </w:tcPr>
          <w:p w14:paraId="08A971B4">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w:t>
            </w:r>
          </w:p>
        </w:tc>
        <w:tc>
          <w:tcPr>
            <w:tcW w:w="1085" w:type="pct"/>
            <w:shd w:val="clear" w:color="auto" w:fill="auto"/>
            <w:vAlign w:val="center"/>
          </w:tcPr>
          <w:p w14:paraId="3DEF9208">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采样深度</w:t>
            </w:r>
          </w:p>
        </w:tc>
        <w:tc>
          <w:tcPr>
            <w:tcW w:w="1063" w:type="pct"/>
            <w:shd w:val="clear" w:color="auto" w:fill="auto"/>
            <w:vAlign w:val="center"/>
          </w:tcPr>
          <w:p w14:paraId="0137B011">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与拟建工程相对位置</w:t>
            </w:r>
          </w:p>
        </w:tc>
        <w:tc>
          <w:tcPr>
            <w:tcW w:w="1360" w:type="pct"/>
            <w:shd w:val="clear" w:color="auto" w:fill="auto"/>
            <w:vAlign w:val="center"/>
          </w:tcPr>
          <w:p w14:paraId="591BB6EC">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备注</w:t>
            </w:r>
          </w:p>
        </w:tc>
      </w:tr>
      <w:tr w14:paraId="17122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30" w:type="dxa"/>
            <w:bottom w:w="0" w:type="dxa"/>
            <w:right w:w="30" w:type="dxa"/>
          </w:tblCellMar>
        </w:tblPrEx>
        <w:trPr>
          <w:cantSplit/>
          <w:trHeight w:val="340" w:hRule="atLeast"/>
          <w:jc w:val="center"/>
        </w:trPr>
        <w:tc>
          <w:tcPr>
            <w:tcW w:w="205" w:type="pct"/>
            <w:shd w:val="clear" w:color="auto" w:fill="auto"/>
            <w:vAlign w:val="center"/>
          </w:tcPr>
          <w:p w14:paraId="4C4A20D4">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1284" w:type="pct"/>
            <w:shd w:val="clear" w:color="auto" w:fill="auto"/>
            <w:vAlign w:val="center"/>
          </w:tcPr>
          <w:p w14:paraId="420A3B1C">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区域已建</w:t>
            </w:r>
            <w:r>
              <w:rPr>
                <w:rFonts w:hint="eastAsia" w:ascii="Times New Roman" w:hAnsi="Times New Roman" w:cs="Times New Roman" w:eastAsiaTheme="minorEastAsia"/>
                <w:color w:val="auto"/>
                <w:w w:val="99"/>
                <w:sz w:val="21"/>
                <w:szCs w:val="21"/>
                <w:highlight w:val="none"/>
                <w:lang w:val="en-US" w:eastAsia="zh-CN"/>
              </w:rPr>
              <w:t>徐深27</w:t>
            </w:r>
            <w:r>
              <w:rPr>
                <w:rFonts w:hint="eastAsia" w:ascii="Times New Roman" w:hAnsi="Times New Roman" w:cs="Times New Roman" w:eastAsiaTheme="minorEastAsia"/>
                <w:color w:val="auto"/>
                <w:w w:val="99"/>
                <w:sz w:val="21"/>
                <w:szCs w:val="21"/>
                <w:highlight w:val="none"/>
              </w:rPr>
              <w:t>井场</w:t>
            </w:r>
          </w:p>
        </w:tc>
        <w:tc>
          <w:tcPr>
            <w:tcW w:w="1085" w:type="pct"/>
            <w:tcBorders>
              <w:bottom w:val="single" w:color="auto" w:sz="4" w:space="0"/>
            </w:tcBorders>
            <w:shd w:val="clear" w:color="auto" w:fill="auto"/>
            <w:vAlign w:val="center"/>
          </w:tcPr>
          <w:p w14:paraId="0E031ACD">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0~20cm、20~40cm</w:t>
            </w:r>
          </w:p>
        </w:tc>
        <w:tc>
          <w:tcPr>
            <w:tcW w:w="1063" w:type="pct"/>
            <w:tcBorders>
              <w:bottom w:val="single" w:color="auto" w:sz="4" w:space="0"/>
            </w:tcBorders>
            <w:shd w:val="clear" w:color="auto" w:fill="auto"/>
            <w:vAlign w:val="center"/>
          </w:tcPr>
          <w:p w14:paraId="1904592D">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NE790m</w:t>
            </w:r>
          </w:p>
        </w:tc>
        <w:tc>
          <w:tcPr>
            <w:tcW w:w="1360" w:type="pct"/>
            <w:shd w:val="clear" w:color="auto" w:fill="auto"/>
            <w:vAlign w:val="center"/>
          </w:tcPr>
          <w:p w14:paraId="431D40A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污染控制点</w:t>
            </w:r>
          </w:p>
          <w:p w14:paraId="52C533E6">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125.51040</w:t>
            </w:r>
            <w:r>
              <w:rPr>
                <w:rFonts w:hint="eastAsia" w:ascii="Times New Roman" w:hAnsi="Times New Roman" w:cs="Times New Roman" w:eastAsiaTheme="minorEastAsia"/>
                <w:color w:val="auto"/>
                <w:w w:val="99"/>
                <w:sz w:val="21"/>
                <w:szCs w:val="21"/>
                <w:highlight w:val="none"/>
                <w:lang w:val="en-US" w:eastAsia="zh-CN"/>
              </w:rPr>
              <w:t>,</w:t>
            </w:r>
            <w:r>
              <w:rPr>
                <w:rFonts w:hint="eastAsia" w:ascii="Times New Roman" w:hAnsi="Times New Roman" w:cs="Times New Roman" w:eastAsiaTheme="minorEastAsia"/>
                <w:color w:val="auto"/>
                <w:w w:val="99"/>
                <w:sz w:val="21"/>
                <w:szCs w:val="21"/>
                <w:highlight w:val="none"/>
              </w:rPr>
              <w:t>45.90029</w:t>
            </w:r>
            <w:r>
              <w:rPr>
                <w:rFonts w:ascii="Times New Roman" w:hAnsi="Times New Roman" w:cs="Times New Roman" w:eastAsiaTheme="minorEastAsia"/>
                <w:color w:val="auto"/>
                <w:w w:val="99"/>
                <w:sz w:val="21"/>
                <w:szCs w:val="21"/>
                <w:highlight w:val="none"/>
              </w:rPr>
              <w:t>）</w:t>
            </w:r>
          </w:p>
        </w:tc>
      </w:tr>
      <w:tr w14:paraId="6F4EC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30" w:type="dxa"/>
            <w:bottom w:w="0" w:type="dxa"/>
            <w:right w:w="30" w:type="dxa"/>
          </w:tblCellMar>
        </w:tblPrEx>
        <w:trPr>
          <w:cantSplit/>
          <w:trHeight w:val="340" w:hRule="atLeast"/>
          <w:jc w:val="center"/>
        </w:trPr>
        <w:tc>
          <w:tcPr>
            <w:tcW w:w="205" w:type="pct"/>
            <w:shd w:val="clear" w:color="auto" w:fill="auto"/>
            <w:vAlign w:val="center"/>
          </w:tcPr>
          <w:p w14:paraId="1D283CC0">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1284" w:type="pct"/>
            <w:shd w:val="clear" w:color="auto" w:fill="auto"/>
            <w:vAlign w:val="center"/>
          </w:tcPr>
          <w:p w14:paraId="33AB60B1">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w:t>
            </w:r>
            <w:r>
              <w:rPr>
                <w:rFonts w:hint="eastAsia" w:ascii="Times New Roman" w:hAnsi="Times New Roman" w:cs="Times New Roman" w:eastAsiaTheme="minorEastAsia"/>
                <w:color w:val="auto"/>
                <w:w w:val="99"/>
                <w:sz w:val="21"/>
                <w:szCs w:val="21"/>
                <w:highlight w:val="none"/>
                <w:lang w:val="en-US" w:eastAsia="zh-CN"/>
              </w:rPr>
              <w:t>徐深27井场南</w:t>
            </w:r>
            <w:r>
              <w:rPr>
                <w:rFonts w:hint="eastAsia" w:ascii="Times New Roman" w:hAnsi="Times New Roman" w:cs="Times New Roman" w:eastAsiaTheme="minorEastAsia"/>
                <w:color w:val="auto"/>
                <w:w w:val="99"/>
                <w:sz w:val="21"/>
                <w:szCs w:val="21"/>
                <w:highlight w:val="none"/>
              </w:rPr>
              <w:t>侧200m耕地</w:t>
            </w:r>
          </w:p>
        </w:tc>
        <w:tc>
          <w:tcPr>
            <w:tcW w:w="1085" w:type="pct"/>
            <w:tcBorders>
              <w:top w:val="single" w:color="auto" w:sz="4" w:space="0"/>
            </w:tcBorders>
            <w:shd w:val="clear" w:color="auto" w:fill="auto"/>
            <w:vAlign w:val="center"/>
          </w:tcPr>
          <w:p w14:paraId="65CE44E1">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0~20cm、20~40cm</w:t>
            </w:r>
          </w:p>
        </w:tc>
        <w:tc>
          <w:tcPr>
            <w:tcW w:w="1063" w:type="pct"/>
            <w:tcBorders>
              <w:top w:val="single" w:color="auto" w:sz="4" w:space="0"/>
            </w:tcBorders>
            <w:shd w:val="clear" w:color="auto" w:fill="auto"/>
            <w:vAlign w:val="center"/>
          </w:tcPr>
          <w:p w14:paraId="0A77E548">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NE590m</w:t>
            </w:r>
          </w:p>
        </w:tc>
        <w:tc>
          <w:tcPr>
            <w:tcW w:w="1360" w:type="pct"/>
            <w:shd w:val="clear" w:color="auto" w:fill="auto"/>
            <w:vAlign w:val="center"/>
          </w:tcPr>
          <w:p w14:paraId="7C869DF7">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清洁对照点</w:t>
            </w:r>
          </w:p>
          <w:p w14:paraId="588D757B">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r>
              <w:rPr>
                <w:rFonts w:hint="eastAsia" w:ascii="Times New Roman" w:hAnsi="Times New Roman" w:eastAsia="宋体" w:cs="Times New Roman"/>
                <w:color w:val="auto"/>
                <w:kern w:val="0"/>
                <w:sz w:val="21"/>
                <w:szCs w:val="21"/>
                <w:highlight w:val="none"/>
                <w:lang w:val="en-US" w:eastAsia="zh-CN"/>
              </w:rPr>
              <w:t>125.51062</w:t>
            </w:r>
            <w:r>
              <w:rPr>
                <w:rFonts w:hint="eastAsia" w:ascii="Times New Roman" w:hAnsi="Times New Roman"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45.89826</w:t>
            </w:r>
            <w:r>
              <w:rPr>
                <w:rFonts w:ascii="Times New Roman" w:hAnsi="Times New Roman" w:cs="Times New Roman" w:eastAsiaTheme="minorEastAsia"/>
                <w:color w:val="auto"/>
                <w:w w:val="99"/>
                <w:sz w:val="21"/>
                <w:szCs w:val="21"/>
                <w:highlight w:val="none"/>
              </w:rPr>
              <w:t>）</w:t>
            </w:r>
          </w:p>
        </w:tc>
      </w:tr>
    </w:tbl>
    <w:p w14:paraId="363065EC">
      <w:pPr>
        <w:widowControl w:val="0"/>
        <w:spacing w:line="44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②</w:t>
      </w:r>
      <w:r>
        <w:rPr>
          <w:rFonts w:ascii="Times New Roman" w:hAnsi="Times New Roman" w:cs="Times New Roman" w:eastAsiaTheme="minorEastAsia"/>
          <w:bCs/>
          <w:color w:val="auto"/>
          <w:w w:val="99"/>
          <w:kern w:val="21"/>
          <w:szCs w:val="20"/>
          <w:highlight w:val="none"/>
        </w:rPr>
        <w:t>监测因子</w:t>
      </w:r>
    </w:p>
    <w:p w14:paraId="2EF67825">
      <w:pPr>
        <w:widowControl w:val="0"/>
        <w:spacing w:line="44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根据区块内已建场站及井场的污染特点，选取可能对地下水造成污染的特征因子进行监测，即监测pH、铅、铬、汞、砷、石油类</w:t>
      </w:r>
      <w:r>
        <w:rPr>
          <w:rFonts w:hint="eastAsia" w:ascii="Times New Roman" w:hAnsi="Times New Roman" w:cs="Times New Roman" w:eastAsiaTheme="minorEastAsia"/>
          <w:bCs/>
          <w:color w:val="auto"/>
          <w:w w:val="99"/>
          <w:kern w:val="21"/>
          <w:szCs w:val="20"/>
          <w:highlight w:val="none"/>
        </w:rPr>
        <w:t>、挥发酚</w:t>
      </w:r>
      <w:r>
        <w:rPr>
          <w:rFonts w:hint="eastAsia" w:ascii="Times New Roman" w:hAnsi="Times New Roman" w:cs="Times New Roman" w:eastAsiaTheme="minorEastAsia"/>
          <w:bCs/>
          <w:color w:val="auto"/>
          <w:w w:val="99"/>
          <w:kern w:val="21"/>
          <w:szCs w:val="20"/>
          <w:highlight w:val="none"/>
          <w:lang w:eastAsia="zh-CN"/>
        </w:rPr>
        <w:t>、</w:t>
      </w:r>
      <w:r>
        <w:rPr>
          <w:rFonts w:hint="eastAsia" w:ascii="Times New Roman" w:hAnsi="Times New Roman" w:cs="Times New Roman" w:eastAsiaTheme="minorEastAsia"/>
          <w:bCs/>
          <w:color w:val="auto"/>
          <w:w w:val="99"/>
          <w:kern w:val="21"/>
          <w:szCs w:val="20"/>
          <w:highlight w:val="none"/>
          <w:lang w:val="en-US" w:eastAsia="zh-CN"/>
        </w:rPr>
        <w:t>铜、镍、锌</w:t>
      </w:r>
      <w:r>
        <w:rPr>
          <w:rFonts w:ascii="Times New Roman" w:hAnsi="Times New Roman" w:cs="Times New Roman" w:eastAsiaTheme="minorEastAsia"/>
          <w:bCs/>
          <w:color w:val="auto"/>
          <w:w w:val="99"/>
          <w:kern w:val="21"/>
          <w:szCs w:val="20"/>
          <w:highlight w:val="none"/>
        </w:rPr>
        <w:t>，共</w:t>
      </w:r>
      <w:r>
        <w:rPr>
          <w:rFonts w:hint="eastAsia" w:ascii="Times New Roman" w:hAnsi="Times New Roman" w:cs="Times New Roman" w:eastAsiaTheme="minorEastAsia"/>
          <w:bCs/>
          <w:color w:val="auto"/>
          <w:w w:val="99"/>
          <w:kern w:val="21"/>
          <w:szCs w:val="20"/>
          <w:highlight w:val="none"/>
          <w:lang w:val="en-US" w:eastAsia="zh-CN"/>
        </w:rPr>
        <w:t>11</w:t>
      </w:r>
      <w:r>
        <w:rPr>
          <w:rFonts w:ascii="Times New Roman" w:hAnsi="Times New Roman" w:cs="Times New Roman" w:eastAsiaTheme="minorEastAsia"/>
          <w:bCs/>
          <w:color w:val="auto"/>
          <w:w w:val="99"/>
          <w:kern w:val="21"/>
          <w:szCs w:val="20"/>
          <w:highlight w:val="none"/>
        </w:rPr>
        <w:t>项指标。</w:t>
      </w:r>
    </w:p>
    <w:p w14:paraId="3F12F077">
      <w:pPr>
        <w:widowControl w:val="0"/>
        <w:spacing w:line="44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③</w:t>
      </w:r>
      <w:r>
        <w:rPr>
          <w:rFonts w:ascii="Times New Roman" w:hAnsi="Times New Roman" w:cs="Times New Roman" w:eastAsiaTheme="minorEastAsia"/>
          <w:bCs/>
          <w:color w:val="auto"/>
          <w:w w:val="99"/>
          <w:kern w:val="21"/>
          <w:szCs w:val="20"/>
          <w:highlight w:val="none"/>
        </w:rPr>
        <w:t>监测时间</w:t>
      </w:r>
    </w:p>
    <w:p w14:paraId="12DBBD97">
      <w:pPr>
        <w:widowControl w:val="0"/>
        <w:spacing w:line="44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202</w:t>
      </w:r>
      <w:r>
        <w:rPr>
          <w:rFonts w:hint="eastAsia" w:ascii="Times New Roman" w:hAnsi="Times New Roman" w:cs="Times New Roman" w:eastAsiaTheme="minorEastAsia"/>
          <w:bCs/>
          <w:color w:val="auto"/>
          <w:w w:val="99"/>
          <w:kern w:val="21"/>
          <w:szCs w:val="20"/>
          <w:highlight w:val="none"/>
          <w:lang w:val="en-US" w:eastAsia="zh-CN"/>
        </w:rPr>
        <w:t>5</w:t>
      </w:r>
      <w:r>
        <w:rPr>
          <w:rFonts w:ascii="Times New Roman" w:hAnsi="Times New Roman" w:cs="Times New Roman" w:eastAsiaTheme="minorEastAsia"/>
          <w:bCs/>
          <w:color w:val="auto"/>
          <w:w w:val="99"/>
          <w:kern w:val="21"/>
          <w:szCs w:val="20"/>
          <w:highlight w:val="none"/>
        </w:rPr>
        <w:t>年</w:t>
      </w:r>
      <w:r>
        <w:rPr>
          <w:rFonts w:hint="eastAsia" w:ascii="Times New Roman" w:hAnsi="Times New Roman" w:cs="Times New Roman" w:eastAsiaTheme="minorEastAsia"/>
          <w:bCs/>
          <w:color w:val="auto"/>
          <w:w w:val="99"/>
          <w:kern w:val="21"/>
          <w:szCs w:val="20"/>
          <w:highlight w:val="none"/>
          <w:lang w:val="en-US" w:eastAsia="zh-CN"/>
        </w:rPr>
        <w:t>3</w:t>
      </w:r>
      <w:r>
        <w:rPr>
          <w:rFonts w:ascii="Times New Roman" w:hAnsi="Times New Roman" w:cs="Times New Roman" w:eastAsiaTheme="minorEastAsia"/>
          <w:bCs/>
          <w:color w:val="auto"/>
          <w:w w:val="99"/>
          <w:kern w:val="21"/>
          <w:szCs w:val="20"/>
          <w:highlight w:val="none"/>
        </w:rPr>
        <w:t>月</w:t>
      </w:r>
      <w:r>
        <w:rPr>
          <w:rFonts w:hint="eastAsia" w:ascii="Times New Roman" w:hAnsi="Times New Roman" w:cs="Times New Roman" w:eastAsiaTheme="minorEastAsia"/>
          <w:bCs/>
          <w:color w:val="auto"/>
          <w:w w:val="99"/>
          <w:kern w:val="21"/>
          <w:szCs w:val="20"/>
          <w:highlight w:val="none"/>
          <w:lang w:val="en-US" w:eastAsia="zh-CN"/>
        </w:rPr>
        <w:t>26</w:t>
      </w:r>
      <w:r>
        <w:rPr>
          <w:rFonts w:ascii="Times New Roman" w:hAnsi="Times New Roman" w:cs="Times New Roman" w:eastAsiaTheme="minorEastAsia"/>
          <w:bCs/>
          <w:color w:val="auto"/>
          <w:w w:val="99"/>
          <w:kern w:val="21"/>
          <w:szCs w:val="20"/>
          <w:highlight w:val="none"/>
        </w:rPr>
        <w:t>日。</w:t>
      </w:r>
    </w:p>
    <w:p w14:paraId="3E482DA7">
      <w:pPr>
        <w:widowControl w:val="0"/>
        <w:spacing w:line="44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④</w:t>
      </w:r>
      <w:r>
        <w:rPr>
          <w:rFonts w:ascii="Times New Roman" w:hAnsi="Times New Roman" w:cs="Times New Roman" w:eastAsiaTheme="minorEastAsia"/>
          <w:bCs/>
          <w:color w:val="auto"/>
          <w:w w:val="99"/>
          <w:kern w:val="21"/>
          <w:szCs w:val="20"/>
          <w:highlight w:val="none"/>
        </w:rPr>
        <w:t>监测结果</w:t>
      </w:r>
    </w:p>
    <w:p w14:paraId="42E559BD">
      <w:pPr>
        <w:pStyle w:val="153"/>
        <w:widowControl w:val="0"/>
        <w:spacing w:line="440" w:lineRule="exact"/>
        <w:ind w:firstLine="476" w:firstLineChars="200"/>
        <w:jc w:val="both"/>
        <w:rPr>
          <w:rFonts w:ascii="Times New Roman" w:hAnsi="Times New Roman" w:eastAsiaTheme="minorEastAsia"/>
          <w:b/>
          <w:bCs/>
          <w:color w:val="auto"/>
          <w:w w:val="99"/>
          <w:kern w:val="21"/>
          <w:szCs w:val="20"/>
          <w:highlight w:val="none"/>
        </w:rPr>
      </w:pPr>
      <w:r>
        <w:rPr>
          <w:rFonts w:ascii="Times New Roman" w:hAnsi="Times New Roman" w:eastAsiaTheme="minorEastAsia"/>
          <w:b/>
          <w:bCs/>
          <w:color w:val="auto"/>
          <w:w w:val="99"/>
          <w:kern w:val="21"/>
          <w:szCs w:val="20"/>
          <w:highlight w:val="none"/>
        </w:rPr>
        <w:t>表</w:t>
      </w:r>
      <w:r>
        <w:rPr>
          <w:rFonts w:ascii="Times New Roman" w:hAnsi="Times New Roman" w:eastAsiaTheme="minorEastAsia"/>
          <w:b/>
          <w:color w:val="auto"/>
          <w:w w:val="99"/>
          <w:kern w:val="2"/>
          <w:szCs w:val="20"/>
          <w:highlight w:val="none"/>
        </w:rPr>
        <w:t>4.3-1</w:t>
      </w:r>
      <w:r>
        <w:rPr>
          <w:rFonts w:hint="eastAsia" w:ascii="Times New Roman" w:hAnsi="Times New Roman" w:eastAsiaTheme="minorEastAsia"/>
          <w:b/>
          <w:color w:val="auto"/>
          <w:w w:val="99"/>
          <w:kern w:val="2"/>
          <w:szCs w:val="20"/>
          <w:highlight w:val="none"/>
          <w:lang w:val="en-US" w:eastAsia="zh-CN"/>
        </w:rPr>
        <w:t>5</w:t>
      </w:r>
      <w:r>
        <w:rPr>
          <w:rFonts w:ascii="Times New Roman" w:hAnsi="Times New Roman" w:eastAsiaTheme="minorEastAsia"/>
          <w:b/>
          <w:bCs/>
          <w:color w:val="auto"/>
          <w:w w:val="99"/>
          <w:kern w:val="21"/>
          <w:szCs w:val="20"/>
          <w:highlight w:val="none"/>
        </w:rPr>
        <w:t xml:space="preserve">    包气带现状调查结果</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648"/>
        <w:gridCol w:w="1701"/>
        <w:gridCol w:w="2597"/>
        <w:gridCol w:w="2012"/>
      </w:tblGrid>
      <w:tr w14:paraId="5ED5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Align w:val="center"/>
          </w:tcPr>
          <w:p w14:paraId="1B117DCD">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283" w:type="pct"/>
            <w:gridSpan w:val="4"/>
            <w:vAlign w:val="center"/>
          </w:tcPr>
          <w:p w14:paraId="13047DDE">
            <w:pPr>
              <w:spacing w:line="320" w:lineRule="exact"/>
              <w:jc w:val="center"/>
              <w:rPr>
                <w:rFonts w:hint="default" w:ascii="Times New Roman" w:hAnsi="Times New Roman" w:cs="Times New Roman" w:eastAsiaTheme="minorEastAsia"/>
                <w:color w:val="auto"/>
                <w:w w:val="99"/>
                <w:sz w:val="21"/>
                <w:szCs w:val="21"/>
                <w:highlight w:val="none"/>
                <w:lang w:val="en-US"/>
              </w:rPr>
            </w:pPr>
            <w:r>
              <w:rPr>
                <w:rFonts w:ascii="Times New Roman" w:hAnsi="Times New Roman" w:cs="Times New Roman" w:eastAsiaTheme="minorEastAsia"/>
                <w:color w:val="auto"/>
                <w:w w:val="99"/>
                <w:sz w:val="21"/>
                <w:szCs w:val="21"/>
                <w:highlight w:val="none"/>
              </w:rPr>
              <w:t>2</w:t>
            </w:r>
            <w:r>
              <w:rPr>
                <w:rFonts w:hint="eastAsia" w:ascii="Times New Roman" w:hAnsi="Times New Roman" w:cs="Times New Roman" w:eastAsiaTheme="minorEastAsia"/>
                <w:color w:val="auto"/>
                <w:w w:val="99"/>
                <w:sz w:val="21"/>
                <w:szCs w:val="21"/>
                <w:highlight w:val="none"/>
                <w:lang w:val="en-US" w:eastAsia="zh-CN"/>
              </w:rPr>
              <w:t>025</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lang w:val="en-US" w:eastAsia="zh-CN"/>
              </w:rPr>
              <w:t>3.26</w:t>
            </w:r>
          </w:p>
        </w:tc>
      </w:tr>
      <w:tr w14:paraId="7941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restart"/>
            <w:vAlign w:val="center"/>
          </w:tcPr>
          <w:p w14:paraId="38AF1424">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3351" w:type="dxa"/>
            <w:gridSpan w:val="2"/>
            <w:vAlign w:val="center"/>
          </w:tcPr>
          <w:p w14:paraId="341F9583">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区域已建</w:t>
            </w:r>
            <w:r>
              <w:rPr>
                <w:rFonts w:hint="eastAsia" w:ascii="Times New Roman" w:hAnsi="Times New Roman" w:cs="Times New Roman" w:eastAsiaTheme="minorEastAsia"/>
                <w:color w:val="auto"/>
                <w:w w:val="99"/>
                <w:sz w:val="21"/>
                <w:szCs w:val="21"/>
                <w:highlight w:val="none"/>
                <w:lang w:val="en-US" w:eastAsia="zh-CN"/>
              </w:rPr>
              <w:t>徐深27</w:t>
            </w:r>
            <w:r>
              <w:rPr>
                <w:rFonts w:hint="eastAsia" w:ascii="Times New Roman" w:hAnsi="Times New Roman" w:cs="Times New Roman" w:eastAsiaTheme="minorEastAsia"/>
                <w:color w:val="auto"/>
                <w:w w:val="99"/>
                <w:sz w:val="21"/>
                <w:szCs w:val="21"/>
                <w:highlight w:val="none"/>
              </w:rPr>
              <w:t>井场</w:t>
            </w:r>
          </w:p>
        </w:tc>
        <w:tc>
          <w:tcPr>
            <w:tcW w:w="4605" w:type="dxa"/>
            <w:gridSpan w:val="2"/>
            <w:vAlign w:val="center"/>
          </w:tcPr>
          <w:p w14:paraId="2693BE34">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w:t>
            </w:r>
            <w:r>
              <w:rPr>
                <w:rFonts w:hint="eastAsia" w:ascii="Times New Roman" w:hAnsi="Times New Roman" w:cs="Times New Roman" w:eastAsiaTheme="minorEastAsia"/>
                <w:color w:val="auto"/>
                <w:w w:val="99"/>
                <w:sz w:val="21"/>
                <w:szCs w:val="21"/>
                <w:highlight w:val="none"/>
                <w:lang w:val="en-US" w:eastAsia="zh-CN"/>
              </w:rPr>
              <w:t>徐深27井场南</w:t>
            </w:r>
            <w:r>
              <w:rPr>
                <w:rFonts w:hint="eastAsia" w:ascii="Times New Roman" w:hAnsi="Times New Roman" w:cs="Times New Roman" w:eastAsiaTheme="minorEastAsia"/>
                <w:color w:val="auto"/>
                <w:w w:val="99"/>
                <w:sz w:val="21"/>
                <w:szCs w:val="21"/>
                <w:highlight w:val="none"/>
              </w:rPr>
              <w:t>侧200m耕地</w:t>
            </w:r>
          </w:p>
        </w:tc>
      </w:tr>
      <w:tr w14:paraId="5F4B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vMerge w:val="continue"/>
            <w:vAlign w:val="center"/>
          </w:tcPr>
          <w:p w14:paraId="3733B713">
            <w:pPr>
              <w:spacing w:line="320" w:lineRule="exact"/>
              <w:jc w:val="center"/>
              <w:rPr>
                <w:rFonts w:ascii="Times New Roman" w:hAnsi="Times New Roman" w:cs="Times New Roman" w:eastAsiaTheme="minorEastAsia"/>
                <w:color w:val="auto"/>
                <w:w w:val="99"/>
                <w:sz w:val="21"/>
                <w:szCs w:val="21"/>
                <w:highlight w:val="none"/>
              </w:rPr>
            </w:pPr>
          </w:p>
        </w:tc>
        <w:tc>
          <w:tcPr>
            <w:tcW w:w="887" w:type="pct"/>
            <w:vAlign w:val="center"/>
          </w:tcPr>
          <w:p w14:paraId="31FC80FC">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916" w:type="pct"/>
            <w:vAlign w:val="center"/>
          </w:tcPr>
          <w:p w14:paraId="21D4FEE7">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20～40cm</w:t>
            </w:r>
          </w:p>
        </w:tc>
        <w:tc>
          <w:tcPr>
            <w:tcW w:w="1398" w:type="pct"/>
            <w:vAlign w:val="center"/>
          </w:tcPr>
          <w:p w14:paraId="14C6E793">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081" w:type="pct"/>
            <w:vAlign w:val="center"/>
          </w:tcPr>
          <w:p w14:paraId="14F35470">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20～40cm</w:t>
            </w:r>
          </w:p>
        </w:tc>
      </w:tr>
      <w:tr w14:paraId="489B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shd w:val="clear" w:color="auto" w:fill="auto"/>
            <w:vAlign w:val="center"/>
          </w:tcPr>
          <w:p w14:paraId="3EF659BB">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pH</w:t>
            </w:r>
          </w:p>
        </w:tc>
        <w:tc>
          <w:tcPr>
            <w:tcW w:w="887" w:type="pct"/>
            <w:shd w:val="clear" w:color="auto" w:fill="auto"/>
            <w:vAlign w:val="center"/>
          </w:tcPr>
          <w:p w14:paraId="7000DEBF">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7.9</w:t>
            </w:r>
          </w:p>
        </w:tc>
        <w:tc>
          <w:tcPr>
            <w:tcW w:w="916" w:type="pct"/>
            <w:shd w:val="clear" w:color="auto" w:fill="auto"/>
            <w:vAlign w:val="center"/>
          </w:tcPr>
          <w:p w14:paraId="3CECCEC6">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8.0</w:t>
            </w:r>
          </w:p>
        </w:tc>
        <w:tc>
          <w:tcPr>
            <w:tcW w:w="1398" w:type="pct"/>
            <w:shd w:val="clear" w:color="auto" w:fill="auto"/>
            <w:vAlign w:val="center"/>
          </w:tcPr>
          <w:p w14:paraId="140A9331">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7.8</w:t>
            </w:r>
          </w:p>
        </w:tc>
        <w:tc>
          <w:tcPr>
            <w:tcW w:w="1081" w:type="pct"/>
            <w:shd w:val="clear" w:color="auto" w:fill="auto"/>
            <w:vAlign w:val="center"/>
          </w:tcPr>
          <w:p w14:paraId="787457FC">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7.7</w:t>
            </w:r>
          </w:p>
        </w:tc>
      </w:tr>
      <w:tr w14:paraId="4F64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shd w:val="clear" w:color="auto" w:fill="auto"/>
            <w:vAlign w:val="center"/>
          </w:tcPr>
          <w:p w14:paraId="1D95004B">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铅</w:t>
            </w:r>
          </w:p>
        </w:tc>
        <w:tc>
          <w:tcPr>
            <w:tcW w:w="887" w:type="pct"/>
            <w:shd w:val="clear" w:color="auto" w:fill="auto"/>
            <w:vAlign w:val="center"/>
          </w:tcPr>
          <w:p w14:paraId="1E614A0C">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5.0</w:t>
            </w:r>
          </w:p>
        </w:tc>
        <w:tc>
          <w:tcPr>
            <w:tcW w:w="916" w:type="pct"/>
            <w:shd w:val="clear" w:color="auto" w:fill="auto"/>
            <w:vAlign w:val="center"/>
          </w:tcPr>
          <w:p w14:paraId="3E8297EE">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5.3</w:t>
            </w:r>
          </w:p>
        </w:tc>
        <w:tc>
          <w:tcPr>
            <w:tcW w:w="1398" w:type="pct"/>
            <w:shd w:val="clear" w:color="auto" w:fill="auto"/>
            <w:vAlign w:val="center"/>
          </w:tcPr>
          <w:p w14:paraId="5732437B">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5.4</w:t>
            </w:r>
          </w:p>
        </w:tc>
        <w:tc>
          <w:tcPr>
            <w:tcW w:w="1081" w:type="pct"/>
            <w:shd w:val="clear" w:color="auto" w:fill="auto"/>
            <w:vAlign w:val="center"/>
          </w:tcPr>
          <w:p w14:paraId="5845AFBC">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5.0</w:t>
            </w:r>
          </w:p>
        </w:tc>
      </w:tr>
      <w:tr w14:paraId="454D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shd w:val="clear" w:color="auto" w:fill="auto"/>
            <w:vAlign w:val="center"/>
          </w:tcPr>
          <w:p w14:paraId="39A52AB2">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镉</w:t>
            </w:r>
          </w:p>
        </w:tc>
        <w:tc>
          <w:tcPr>
            <w:tcW w:w="887" w:type="pct"/>
            <w:shd w:val="clear" w:color="auto" w:fill="auto"/>
            <w:vAlign w:val="center"/>
          </w:tcPr>
          <w:p w14:paraId="38F9F143">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0.12</w:t>
            </w:r>
          </w:p>
        </w:tc>
        <w:tc>
          <w:tcPr>
            <w:tcW w:w="916" w:type="pct"/>
            <w:shd w:val="clear" w:color="auto" w:fill="auto"/>
            <w:vAlign w:val="center"/>
          </w:tcPr>
          <w:p w14:paraId="666DACDB">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0.11</w:t>
            </w:r>
          </w:p>
        </w:tc>
        <w:tc>
          <w:tcPr>
            <w:tcW w:w="1398" w:type="pct"/>
            <w:shd w:val="clear" w:color="auto" w:fill="auto"/>
            <w:vAlign w:val="center"/>
          </w:tcPr>
          <w:p w14:paraId="060AB242">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0.13</w:t>
            </w:r>
          </w:p>
        </w:tc>
        <w:tc>
          <w:tcPr>
            <w:tcW w:w="1081" w:type="pct"/>
            <w:shd w:val="clear" w:color="auto" w:fill="auto"/>
            <w:vAlign w:val="center"/>
          </w:tcPr>
          <w:p w14:paraId="4742F983">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0.11</w:t>
            </w:r>
          </w:p>
        </w:tc>
      </w:tr>
      <w:tr w14:paraId="4D35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shd w:val="clear" w:color="auto" w:fill="auto"/>
            <w:vAlign w:val="center"/>
          </w:tcPr>
          <w:p w14:paraId="5A788166">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汞</w:t>
            </w:r>
          </w:p>
        </w:tc>
        <w:tc>
          <w:tcPr>
            <w:tcW w:w="887" w:type="pct"/>
            <w:shd w:val="clear" w:color="auto" w:fill="auto"/>
            <w:vAlign w:val="center"/>
          </w:tcPr>
          <w:p w14:paraId="3BC6AE56">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0.04L</w:t>
            </w:r>
          </w:p>
        </w:tc>
        <w:tc>
          <w:tcPr>
            <w:tcW w:w="916" w:type="pct"/>
            <w:shd w:val="clear" w:color="auto" w:fill="auto"/>
            <w:vAlign w:val="center"/>
          </w:tcPr>
          <w:p w14:paraId="2628FE0F">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0.04L</w:t>
            </w:r>
          </w:p>
        </w:tc>
        <w:tc>
          <w:tcPr>
            <w:tcW w:w="1398" w:type="pct"/>
            <w:shd w:val="clear" w:color="auto" w:fill="auto"/>
            <w:vAlign w:val="center"/>
          </w:tcPr>
          <w:p w14:paraId="360159ED">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0.04L</w:t>
            </w:r>
          </w:p>
        </w:tc>
        <w:tc>
          <w:tcPr>
            <w:tcW w:w="1081" w:type="pct"/>
            <w:shd w:val="clear" w:color="auto" w:fill="auto"/>
            <w:vAlign w:val="center"/>
          </w:tcPr>
          <w:p w14:paraId="2AAA93FA">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0.04L</w:t>
            </w:r>
          </w:p>
        </w:tc>
      </w:tr>
      <w:tr w14:paraId="70B3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shd w:val="clear" w:color="auto" w:fill="auto"/>
            <w:vAlign w:val="center"/>
          </w:tcPr>
          <w:p w14:paraId="0FDE10B4">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总铬</w:t>
            </w:r>
          </w:p>
        </w:tc>
        <w:tc>
          <w:tcPr>
            <w:tcW w:w="887" w:type="pct"/>
            <w:shd w:val="clear" w:color="auto" w:fill="auto"/>
            <w:vAlign w:val="center"/>
          </w:tcPr>
          <w:p w14:paraId="1AE284DD">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0.12</w:t>
            </w:r>
          </w:p>
        </w:tc>
        <w:tc>
          <w:tcPr>
            <w:tcW w:w="916" w:type="pct"/>
            <w:shd w:val="clear" w:color="auto" w:fill="auto"/>
            <w:vAlign w:val="center"/>
          </w:tcPr>
          <w:p w14:paraId="2A543E36">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0.10</w:t>
            </w:r>
          </w:p>
        </w:tc>
        <w:tc>
          <w:tcPr>
            <w:tcW w:w="1398" w:type="pct"/>
            <w:shd w:val="clear" w:color="auto" w:fill="auto"/>
            <w:vAlign w:val="center"/>
          </w:tcPr>
          <w:p w14:paraId="0AC8B456">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0.13</w:t>
            </w:r>
          </w:p>
        </w:tc>
        <w:tc>
          <w:tcPr>
            <w:tcW w:w="1081" w:type="pct"/>
            <w:shd w:val="clear" w:color="auto" w:fill="auto"/>
            <w:vAlign w:val="center"/>
          </w:tcPr>
          <w:p w14:paraId="656CBDA6">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0.15</w:t>
            </w:r>
          </w:p>
        </w:tc>
      </w:tr>
      <w:tr w14:paraId="6DF6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shd w:val="clear" w:color="auto" w:fill="auto"/>
            <w:vAlign w:val="center"/>
          </w:tcPr>
          <w:p w14:paraId="1F2A4F30">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石油类</w:t>
            </w:r>
          </w:p>
        </w:tc>
        <w:tc>
          <w:tcPr>
            <w:tcW w:w="887" w:type="pct"/>
            <w:shd w:val="clear" w:color="auto" w:fill="auto"/>
            <w:vAlign w:val="center"/>
          </w:tcPr>
          <w:p w14:paraId="309D1ECA">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0.06</w:t>
            </w:r>
          </w:p>
        </w:tc>
        <w:tc>
          <w:tcPr>
            <w:tcW w:w="916" w:type="pct"/>
            <w:shd w:val="clear" w:color="auto" w:fill="auto"/>
            <w:vAlign w:val="center"/>
          </w:tcPr>
          <w:p w14:paraId="4C6DA9C5">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0.11</w:t>
            </w:r>
          </w:p>
        </w:tc>
        <w:tc>
          <w:tcPr>
            <w:tcW w:w="1398" w:type="pct"/>
            <w:shd w:val="clear" w:color="auto" w:fill="auto"/>
            <w:vAlign w:val="center"/>
          </w:tcPr>
          <w:p w14:paraId="440E6704">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0.10</w:t>
            </w:r>
          </w:p>
        </w:tc>
        <w:tc>
          <w:tcPr>
            <w:tcW w:w="1081" w:type="pct"/>
            <w:shd w:val="clear" w:color="auto" w:fill="auto"/>
            <w:vAlign w:val="center"/>
          </w:tcPr>
          <w:p w14:paraId="3FBE1945">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0.07</w:t>
            </w:r>
          </w:p>
        </w:tc>
      </w:tr>
      <w:tr w14:paraId="679C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shd w:val="clear" w:color="auto" w:fill="auto"/>
            <w:vAlign w:val="bottom"/>
          </w:tcPr>
          <w:p w14:paraId="0B8CFFC3">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砷</w:t>
            </w:r>
          </w:p>
        </w:tc>
        <w:tc>
          <w:tcPr>
            <w:tcW w:w="887" w:type="pct"/>
            <w:shd w:val="clear" w:color="auto" w:fill="auto"/>
            <w:vAlign w:val="bottom"/>
          </w:tcPr>
          <w:p w14:paraId="2751C21E">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0.3L</w:t>
            </w:r>
          </w:p>
        </w:tc>
        <w:tc>
          <w:tcPr>
            <w:tcW w:w="916" w:type="pct"/>
            <w:shd w:val="clear" w:color="auto" w:fill="auto"/>
            <w:vAlign w:val="bottom"/>
          </w:tcPr>
          <w:p w14:paraId="0217231F">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0.3L</w:t>
            </w:r>
          </w:p>
        </w:tc>
        <w:tc>
          <w:tcPr>
            <w:tcW w:w="1398" w:type="pct"/>
            <w:shd w:val="clear" w:color="auto" w:fill="auto"/>
            <w:vAlign w:val="bottom"/>
          </w:tcPr>
          <w:p w14:paraId="5905C60A">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0.3L</w:t>
            </w:r>
          </w:p>
        </w:tc>
        <w:tc>
          <w:tcPr>
            <w:tcW w:w="1081" w:type="pct"/>
            <w:shd w:val="clear" w:color="auto" w:fill="auto"/>
            <w:vAlign w:val="bottom"/>
          </w:tcPr>
          <w:p w14:paraId="71557DAA">
            <w:pPr>
              <w:spacing w:line="24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0.3L</w:t>
            </w:r>
          </w:p>
        </w:tc>
      </w:tr>
      <w:tr w14:paraId="24EF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shd w:val="clear" w:color="auto" w:fill="auto"/>
            <w:vAlign w:val="bottom"/>
          </w:tcPr>
          <w:p w14:paraId="0A0AC6B1">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挥发酚</w:t>
            </w:r>
          </w:p>
        </w:tc>
        <w:tc>
          <w:tcPr>
            <w:tcW w:w="887" w:type="pct"/>
            <w:shd w:val="clear" w:color="auto" w:fill="auto"/>
            <w:vAlign w:val="bottom"/>
          </w:tcPr>
          <w:p w14:paraId="41352779">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0.0012</w:t>
            </w:r>
          </w:p>
        </w:tc>
        <w:tc>
          <w:tcPr>
            <w:tcW w:w="916" w:type="pct"/>
            <w:shd w:val="clear" w:color="auto" w:fill="auto"/>
            <w:vAlign w:val="bottom"/>
          </w:tcPr>
          <w:p w14:paraId="74434195">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0.0014</w:t>
            </w:r>
          </w:p>
        </w:tc>
        <w:tc>
          <w:tcPr>
            <w:tcW w:w="1398" w:type="pct"/>
            <w:shd w:val="clear" w:color="auto" w:fill="auto"/>
            <w:vAlign w:val="bottom"/>
          </w:tcPr>
          <w:p w14:paraId="7AA5344C">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0.0009</w:t>
            </w:r>
          </w:p>
        </w:tc>
        <w:tc>
          <w:tcPr>
            <w:tcW w:w="1081" w:type="pct"/>
            <w:shd w:val="clear" w:color="auto" w:fill="auto"/>
            <w:vAlign w:val="bottom"/>
          </w:tcPr>
          <w:p w14:paraId="07D04340">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0.0012</w:t>
            </w:r>
          </w:p>
        </w:tc>
      </w:tr>
      <w:tr w14:paraId="3846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shd w:val="clear" w:color="auto" w:fill="auto"/>
            <w:vAlign w:val="bottom"/>
          </w:tcPr>
          <w:p w14:paraId="7C67DFAB">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铜</w:t>
            </w:r>
          </w:p>
        </w:tc>
        <w:tc>
          <w:tcPr>
            <w:tcW w:w="887" w:type="pct"/>
            <w:shd w:val="clear" w:color="auto" w:fill="auto"/>
            <w:vAlign w:val="bottom"/>
          </w:tcPr>
          <w:p w14:paraId="0E231B63">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0.008</w:t>
            </w:r>
          </w:p>
        </w:tc>
        <w:tc>
          <w:tcPr>
            <w:tcW w:w="916" w:type="pct"/>
            <w:shd w:val="clear" w:color="auto" w:fill="auto"/>
            <w:vAlign w:val="bottom"/>
          </w:tcPr>
          <w:p w14:paraId="6DB5D615">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0.010</w:t>
            </w:r>
          </w:p>
        </w:tc>
        <w:tc>
          <w:tcPr>
            <w:tcW w:w="1398" w:type="pct"/>
            <w:shd w:val="clear" w:color="auto" w:fill="auto"/>
            <w:vAlign w:val="bottom"/>
          </w:tcPr>
          <w:p w14:paraId="6DC758FD">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0.009</w:t>
            </w:r>
          </w:p>
        </w:tc>
        <w:tc>
          <w:tcPr>
            <w:tcW w:w="1081" w:type="pct"/>
            <w:shd w:val="clear" w:color="auto" w:fill="auto"/>
            <w:vAlign w:val="bottom"/>
          </w:tcPr>
          <w:p w14:paraId="0C80AD5E">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0.011</w:t>
            </w:r>
          </w:p>
        </w:tc>
      </w:tr>
      <w:tr w14:paraId="064A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shd w:val="clear" w:color="auto" w:fill="auto"/>
            <w:vAlign w:val="bottom"/>
          </w:tcPr>
          <w:p w14:paraId="11BC4B27">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镍</w:t>
            </w:r>
          </w:p>
        </w:tc>
        <w:tc>
          <w:tcPr>
            <w:tcW w:w="887" w:type="pct"/>
            <w:shd w:val="clear" w:color="auto" w:fill="auto"/>
            <w:vAlign w:val="bottom"/>
          </w:tcPr>
          <w:p w14:paraId="05B4ABEF">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0.07</w:t>
            </w:r>
          </w:p>
        </w:tc>
        <w:tc>
          <w:tcPr>
            <w:tcW w:w="916" w:type="pct"/>
            <w:shd w:val="clear" w:color="auto" w:fill="auto"/>
            <w:vAlign w:val="bottom"/>
          </w:tcPr>
          <w:p w14:paraId="231E554C">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0.09</w:t>
            </w:r>
          </w:p>
        </w:tc>
        <w:tc>
          <w:tcPr>
            <w:tcW w:w="1398" w:type="pct"/>
            <w:shd w:val="clear" w:color="auto" w:fill="auto"/>
            <w:vAlign w:val="bottom"/>
          </w:tcPr>
          <w:p w14:paraId="15B0C3BE">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0.11</w:t>
            </w:r>
          </w:p>
        </w:tc>
        <w:tc>
          <w:tcPr>
            <w:tcW w:w="1081" w:type="pct"/>
            <w:shd w:val="clear" w:color="auto" w:fill="auto"/>
            <w:vAlign w:val="bottom"/>
          </w:tcPr>
          <w:p w14:paraId="25173172">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0.09</w:t>
            </w:r>
          </w:p>
        </w:tc>
      </w:tr>
      <w:tr w14:paraId="2DCF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6" w:type="pct"/>
            <w:shd w:val="clear" w:color="auto" w:fill="auto"/>
            <w:vAlign w:val="bottom"/>
          </w:tcPr>
          <w:p w14:paraId="02803B44">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锌</w:t>
            </w:r>
          </w:p>
        </w:tc>
        <w:tc>
          <w:tcPr>
            <w:tcW w:w="887" w:type="pct"/>
            <w:shd w:val="clear" w:color="auto" w:fill="auto"/>
            <w:vAlign w:val="bottom"/>
          </w:tcPr>
          <w:p w14:paraId="78B486E8">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0.10</w:t>
            </w:r>
          </w:p>
        </w:tc>
        <w:tc>
          <w:tcPr>
            <w:tcW w:w="916" w:type="pct"/>
            <w:shd w:val="clear" w:color="auto" w:fill="auto"/>
            <w:vAlign w:val="bottom"/>
          </w:tcPr>
          <w:p w14:paraId="0BF7F925">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0.08</w:t>
            </w:r>
          </w:p>
        </w:tc>
        <w:tc>
          <w:tcPr>
            <w:tcW w:w="1398" w:type="pct"/>
            <w:shd w:val="clear" w:color="auto" w:fill="auto"/>
            <w:vAlign w:val="bottom"/>
          </w:tcPr>
          <w:p w14:paraId="6529225C">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0.07</w:t>
            </w:r>
          </w:p>
        </w:tc>
        <w:tc>
          <w:tcPr>
            <w:tcW w:w="1081" w:type="pct"/>
            <w:shd w:val="clear" w:color="auto" w:fill="auto"/>
            <w:vAlign w:val="bottom"/>
          </w:tcPr>
          <w:p w14:paraId="29442961">
            <w:pPr>
              <w:spacing w:line="24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0.06</w:t>
            </w:r>
          </w:p>
        </w:tc>
      </w:tr>
      <w:tr w14:paraId="0A02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27F79049">
            <w:pPr>
              <w:pStyle w:val="66"/>
              <w:adjustRightInd w:val="0"/>
              <w:spacing w:line="320" w:lineRule="exact"/>
              <w:ind w:left="0"/>
              <w:rPr>
                <w:rFonts w:hint="eastAsia" w:ascii="Times New Roman" w:hAnsi="Times New Roman" w:eastAsiaTheme="minorEastAsia"/>
                <w:smallCaps w:val="0"/>
                <w:color w:val="auto"/>
                <w:w w:val="99"/>
                <w:kern w:val="0"/>
                <w:sz w:val="21"/>
                <w:szCs w:val="21"/>
                <w:highlight w:val="none"/>
              </w:rPr>
            </w:pPr>
            <w:r>
              <w:rPr>
                <w:rFonts w:ascii="Times New Roman" w:hAnsi="Times New Roman" w:eastAsiaTheme="minorEastAsia"/>
                <w:smallCaps w:val="0"/>
                <w:color w:val="auto"/>
                <w:w w:val="99"/>
                <w:kern w:val="0"/>
                <w:sz w:val="21"/>
                <w:szCs w:val="21"/>
                <w:highlight w:val="none"/>
              </w:rPr>
              <w:t>注：</w:t>
            </w:r>
            <w:r>
              <w:rPr>
                <w:rFonts w:hint="eastAsia" w:ascii="Times New Roman" w:hAnsi="Times New Roman" w:eastAsiaTheme="minorEastAsia"/>
                <w:smallCaps w:val="0"/>
                <w:color w:val="auto"/>
                <w:w w:val="99"/>
                <w:kern w:val="0"/>
                <w:sz w:val="21"/>
                <w:szCs w:val="21"/>
                <w:highlight w:val="none"/>
              </w:rPr>
              <w:t>1、采样深度位于0cm～20cm、20cm～40cm；</w:t>
            </w:r>
          </w:p>
          <w:p w14:paraId="5D8BDB62">
            <w:pPr>
              <w:pStyle w:val="66"/>
              <w:adjustRightInd w:val="0"/>
              <w:spacing w:line="320" w:lineRule="exact"/>
              <w:ind w:left="0"/>
              <w:rPr>
                <w:rFonts w:hint="eastAsia" w:ascii="Times New Roman" w:hAnsi="Times New Roman" w:eastAsiaTheme="minorEastAsia"/>
                <w:smallCaps w:val="0"/>
                <w:color w:val="auto"/>
                <w:w w:val="99"/>
                <w:kern w:val="0"/>
                <w:sz w:val="21"/>
                <w:szCs w:val="21"/>
                <w:highlight w:val="none"/>
              </w:rPr>
            </w:pPr>
            <w:r>
              <w:rPr>
                <w:rFonts w:hint="eastAsia" w:ascii="Times New Roman" w:hAnsi="Times New Roman" w:eastAsiaTheme="minorEastAsia"/>
                <w:smallCaps w:val="0"/>
                <w:color w:val="auto"/>
                <w:w w:val="99"/>
                <w:kern w:val="0"/>
                <w:sz w:val="21"/>
                <w:szCs w:val="21"/>
                <w:highlight w:val="none"/>
                <w:lang w:val="en-US" w:eastAsia="zh-CN"/>
              </w:rPr>
              <w:t>2</w:t>
            </w:r>
            <w:r>
              <w:rPr>
                <w:rFonts w:hint="eastAsia" w:ascii="Times New Roman" w:hAnsi="Times New Roman" w:eastAsiaTheme="minorEastAsia"/>
                <w:smallCaps w:val="0"/>
                <w:color w:val="auto"/>
                <w:w w:val="99"/>
                <w:kern w:val="0"/>
                <w:sz w:val="21"/>
                <w:szCs w:val="21"/>
                <w:highlight w:val="none"/>
              </w:rPr>
              <w:t>、实测值数值后面的“L”，表示此检测项目实测值为“未检出”；</w:t>
            </w:r>
          </w:p>
          <w:p w14:paraId="152ACEFE">
            <w:pPr>
              <w:pStyle w:val="66"/>
              <w:adjustRightInd w:val="0"/>
              <w:spacing w:line="320" w:lineRule="exact"/>
              <w:ind w:left="0"/>
              <w:rPr>
                <w:rFonts w:ascii="Times New Roman" w:hAnsi="Times New Roman" w:eastAsiaTheme="minorEastAsia"/>
                <w:smallCaps w:val="0"/>
                <w:color w:val="auto"/>
                <w:w w:val="99"/>
                <w:kern w:val="0"/>
                <w:sz w:val="21"/>
                <w:szCs w:val="21"/>
                <w:highlight w:val="none"/>
              </w:rPr>
            </w:pPr>
            <w:r>
              <w:rPr>
                <w:rFonts w:hint="eastAsia" w:ascii="Times New Roman" w:hAnsi="Times New Roman" w:eastAsiaTheme="minorEastAsia"/>
                <w:smallCaps w:val="0"/>
                <w:color w:val="auto"/>
                <w:w w:val="99"/>
                <w:kern w:val="0"/>
                <w:sz w:val="21"/>
                <w:szCs w:val="21"/>
                <w:highlight w:val="none"/>
                <w:lang w:val="en-US" w:eastAsia="zh-CN"/>
              </w:rPr>
              <w:t>3</w:t>
            </w:r>
            <w:r>
              <w:rPr>
                <w:rFonts w:hint="eastAsia" w:ascii="Times New Roman" w:hAnsi="Times New Roman" w:eastAsiaTheme="minorEastAsia"/>
                <w:smallCaps w:val="0"/>
                <w:color w:val="auto"/>
                <w:w w:val="99"/>
                <w:kern w:val="0"/>
                <w:sz w:val="21"/>
                <w:szCs w:val="21"/>
                <w:highlight w:val="none"/>
              </w:rPr>
              <w:t>、计量单位：pH无量纲，铅、</w:t>
            </w:r>
            <w:r>
              <w:rPr>
                <w:rFonts w:hint="eastAsia" w:ascii="Times New Roman" w:hAnsi="Times New Roman" w:eastAsiaTheme="minorEastAsia"/>
                <w:smallCaps w:val="0"/>
                <w:color w:val="auto"/>
                <w:w w:val="99"/>
                <w:kern w:val="0"/>
                <w:sz w:val="21"/>
                <w:szCs w:val="21"/>
                <w:highlight w:val="none"/>
                <w:lang w:eastAsia="zh-CN"/>
              </w:rPr>
              <w:t>镉、</w:t>
            </w:r>
            <w:r>
              <w:rPr>
                <w:rFonts w:hint="eastAsia" w:ascii="Times New Roman" w:hAnsi="Times New Roman" w:eastAsiaTheme="minorEastAsia"/>
                <w:smallCaps w:val="0"/>
                <w:color w:val="auto"/>
                <w:w w:val="99"/>
                <w:kern w:val="0"/>
                <w:sz w:val="21"/>
                <w:szCs w:val="21"/>
                <w:highlight w:val="none"/>
              </w:rPr>
              <w:t>汞和砷μg/L，</w:t>
            </w:r>
            <w:r>
              <w:rPr>
                <w:rFonts w:hint="eastAsia" w:ascii="Times New Roman" w:hAnsi="Times New Roman" w:eastAsiaTheme="minorEastAsia"/>
                <w:smallCaps w:val="0"/>
                <w:color w:val="auto"/>
                <w:w w:val="99"/>
                <w:kern w:val="0"/>
                <w:sz w:val="21"/>
                <w:szCs w:val="21"/>
                <w:highlight w:val="none"/>
                <w:lang w:eastAsia="zh-CN"/>
              </w:rPr>
              <w:t>总</w:t>
            </w:r>
            <w:r>
              <w:rPr>
                <w:rFonts w:hint="eastAsia" w:ascii="Times New Roman" w:hAnsi="Times New Roman" w:eastAsiaTheme="minorEastAsia"/>
                <w:smallCaps w:val="0"/>
                <w:color w:val="auto"/>
                <w:w w:val="99"/>
                <w:kern w:val="0"/>
                <w:sz w:val="21"/>
                <w:szCs w:val="21"/>
                <w:highlight w:val="none"/>
              </w:rPr>
              <w:t>铬和石油类</w:t>
            </w:r>
            <w:r>
              <w:rPr>
                <w:rFonts w:hint="eastAsia" w:ascii="Times New Roman" w:hAnsi="Times New Roman" w:eastAsiaTheme="minorEastAsia"/>
                <w:smallCaps w:val="0"/>
                <w:color w:val="auto"/>
                <w:w w:val="99"/>
                <w:kern w:val="0"/>
                <w:sz w:val="21"/>
                <w:szCs w:val="21"/>
                <w:highlight w:val="none"/>
                <w:lang w:eastAsia="zh-CN"/>
              </w:rPr>
              <w:t>、铜、镍、锌、</w:t>
            </w:r>
            <w:r>
              <w:rPr>
                <w:rFonts w:hint="eastAsia" w:ascii="Times New Roman" w:hAnsi="Times New Roman" w:eastAsiaTheme="minorEastAsia"/>
                <w:smallCaps w:val="0"/>
                <w:color w:val="auto"/>
                <w:w w:val="99"/>
                <w:kern w:val="0"/>
                <w:sz w:val="21"/>
                <w:szCs w:val="21"/>
                <w:highlight w:val="none"/>
              </w:rPr>
              <w:t>挥发酚为mg/L</w:t>
            </w:r>
            <w:r>
              <w:rPr>
                <w:rFonts w:ascii="Times New Roman" w:hAnsi="Times New Roman" w:eastAsiaTheme="minorEastAsia"/>
                <w:smallCaps w:val="0"/>
                <w:color w:val="auto"/>
                <w:w w:val="99"/>
                <w:kern w:val="0"/>
                <w:sz w:val="21"/>
                <w:szCs w:val="21"/>
                <w:highlight w:val="none"/>
              </w:rPr>
              <w:t>。</w:t>
            </w:r>
          </w:p>
        </w:tc>
      </w:tr>
    </w:tbl>
    <w:p w14:paraId="6F0BAF72">
      <w:pPr>
        <w:widowControl w:val="0"/>
        <w:spacing w:line="44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从调查结果可知，评价区域内包气带中汞、</w:t>
      </w:r>
      <w:r>
        <w:rPr>
          <w:rFonts w:hint="eastAsia" w:ascii="Times New Roman" w:hAnsi="Times New Roman" w:cs="Times New Roman" w:eastAsiaTheme="minorEastAsia"/>
          <w:bCs/>
          <w:color w:val="auto"/>
          <w:w w:val="99"/>
          <w:kern w:val="21"/>
          <w:szCs w:val="20"/>
          <w:highlight w:val="none"/>
          <w:lang w:val="en-US" w:eastAsia="zh-CN"/>
        </w:rPr>
        <w:t>挥发酚</w:t>
      </w:r>
      <w:r>
        <w:rPr>
          <w:rFonts w:ascii="Times New Roman" w:hAnsi="Times New Roman" w:cs="Times New Roman" w:eastAsiaTheme="minorEastAsia"/>
          <w:bCs/>
          <w:color w:val="auto"/>
          <w:w w:val="99"/>
          <w:kern w:val="21"/>
          <w:szCs w:val="20"/>
          <w:highlight w:val="none"/>
        </w:rPr>
        <w:t>均未检出，且污染控制点与清洁对照点油田特征污染物石油类、挥发酚所测数值相差不大，评价区域内包气带未被污染。</w:t>
      </w:r>
    </w:p>
    <w:bookmarkEnd w:id="696"/>
    <w:p w14:paraId="121E04A4">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4.3.2.</w:t>
      </w:r>
      <w:r>
        <w:rPr>
          <w:rFonts w:hint="eastAsia" w:ascii="Times New Roman" w:hAnsi="Times New Roman" w:cs="Times New Roman"/>
          <w:b/>
          <w:color w:val="auto"/>
          <w:w w:val="99"/>
          <w:highlight w:val="none"/>
          <w:lang w:val="en-US" w:eastAsia="zh-CN"/>
        </w:rPr>
        <w:t>5</w:t>
      </w:r>
      <w:r>
        <w:rPr>
          <w:rFonts w:ascii="Times New Roman" w:hAnsi="Times New Roman" w:cs="Times New Roman"/>
          <w:b/>
          <w:color w:val="auto"/>
          <w:w w:val="99"/>
          <w:highlight w:val="none"/>
        </w:rPr>
        <w:t>地下水环境质量现状评价结论</w:t>
      </w:r>
    </w:p>
    <w:p w14:paraId="6940FA39">
      <w:pPr>
        <w:pStyle w:val="160"/>
        <w:widowControl w:val="0"/>
        <w:spacing w:line="440" w:lineRule="exact"/>
        <w:ind w:firstLine="473"/>
        <w:jc w:val="both"/>
        <w:rPr>
          <w:rFonts w:ascii="Times New Roman" w:hAnsi="Times New Roman" w:cs="Times New Roman"/>
          <w:color w:val="auto"/>
          <w:w w:val="99"/>
          <w:szCs w:val="20"/>
          <w:highlight w:val="none"/>
        </w:rPr>
      </w:pPr>
      <w:r>
        <w:rPr>
          <w:rFonts w:ascii="Times New Roman" w:hAnsi="Times New Roman" w:cs="Times New Roman"/>
          <w:color w:val="auto"/>
          <w:w w:val="99"/>
          <w:szCs w:val="20"/>
          <w:highlight w:val="none"/>
        </w:rPr>
        <w:t>由以上地下水单因子标准指数分析可知，评价区域地下水水质除潜水中锰外均满足《地下水质量标准》（GB/T14848-2017）中的Ⅲ类标准要求</w:t>
      </w:r>
      <w:r>
        <w:rPr>
          <w:rFonts w:ascii="Times New Roman" w:hAnsi="Times New Roman" w:cs="Times New Roman"/>
          <w:color w:val="auto"/>
          <w:w w:val="99"/>
          <w:highlight w:val="none"/>
        </w:rPr>
        <w:t>。其中锰</w:t>
      </w:r>
      <w:r>
        <w:rPr>
          <w:rFonts w:ascii="Times New Roman" w:hAnsi="Times New Roman" w:cs="Times New Roman"/>
          <w:color w:val="auto"/>
          <w:w w:val="99"/>
          <w:szCs w:val="20"/>
          <w:highlight w:val="none"/>
        </w:rPr>
        <w:t>因子水质监测浓度占标率偏高，主要是由于</w:t>
      </w:r>
      <w:r>
        <w:rPr>
          <w:rFonts w:ascii="Times New Roman" w:hAnsi="Times New Roman" w:cs="Times New Roman"/>
          <w:color w:val="auto"/>
          <w:w w:val="99"/>
          <w:highlight w:val="none"/>
        </w:rPr>
        <w:t>评价区域地层中富含锰矿物，还原条件下转化的可溶性Mn</w:t>
      </w:r>
      <w:r>
        <w:rPr>
          <w:rFonts w:ascii="Times New Roman" w:hAnsi="Times New Roman" w:cs="Times New Roman"/>
          <w:color w:val="auto"/>
          <w:w w:val="99"/>
          <w:highlight w:val="none"/>
          <w:vertAlign w:val="superscript"/>
        </w:rPr>
        <w:t>2+</w:t>
      </w:r>
      <w:r>
        <w:rPr>
          <w:rFonts w:ascii="Times New Roman" w:hAnsi="Times New Roman" w:cs="Times New Roman"/>
          <w:color w:val="auto"/>
          <w:w w:val="99"/>
          <w:highlight w:val="none"/>
        </w:rPr>
        <w:t>溶入地下水中，形成锰浓度偏高的水文地质化学环境。评价区域</w:t>
      </w:r>
      <w:r>
        <w:rPr>
          <w:rFonts w:ascii="Times New Roman" w:hAnsi="Times New Roman" w:cs="Times New Roman"/>
          <w:color w:val="auto"/>
          <w:w w:val="99"/>
          <w:szCs w:val="20"/>
          <w:highlight w:val="none"/>
        </w:rPr>
        <w:t>地下水化学类型主要为4-A型HCO</w:t>
      </w:r>
      <w:r>
        <w:rPr>
          <w:rFonts w:ascii="Times New Roman" w:hAnsi="Times New Roman" w:cs="Times New Roman"/>
          <w:color w:val="auto"/>
          <w:w w:val="99"/>
          <w:szCs w:val="20"/>
          <w:highlight w:val="none"/>
          <w:vertAlign w:val="subscript"/>
        </w:rPr>
        <w:t>3</w:t>
      </w:r>
      <w:r>
        <w:rPr>
          <w:rFonts w:ascii="Times New Roman" w:hAnsi="Times New Roman" w:cs="Times New Roman"/>
          <w:color w:val="auto"/>
          <w:w w:val="99"/>
          <w:szCs w:val="20"/>
          <w:highlight w:val="none"/>
        </w:rPr>
        <w:t>-</w:t>
      </w:r>
      <w:r>
        <w:rPr>
          <w:rFonts w:ascii="Times New Roman" w:hAnsi="Times New Roman" w:cs="Times New Roman"/>
          <w:color w:val="auto"/>
          <w:w w:val="99"/>
          <w:szCs w:val="21"/>
          <w:highlight w:val="none"/>
        </w:rPr>
        <w:t xml:space="preserve"> </w:t>
      </w:r>
      <w:r>
        <w:rPr>
          <w:rFonts w:ascii="Times New Roman" w:hAnsi="Times New Roman" w:cs="Times New Roman"/>
          <w:color w:val="auto"/>
          <w:w w:val="99"/>
          <w:szCs w:val="20"/>
          <w:highlight w:val="none"/>
        </w:rPr>
        <w:t>Na+Ca淡水。</w:t>
      </w:r>
      <w:r>
        <w:rPr>
          <w:rFonts w:ascii="Times New Roman" w:hAnsi="Times New Roman" w:cs="Times New Roman"/>
          <w:color w:val="auto"/>
          <w:w w:val="99"/>
          <w:szCs w:val="20"/>
          <w:highlight w:val="none"/>
          <w:lang w:eastAsia="ja-JP"/>
        </w:rPr>
        <w:t>从</w:t>
      </w:r>
      <w:r>
        <w:rPr>
          <w:rFonts w:hint="eastAsia" w:ascii="Times New Roman" w:hAnsi="Times New Roman" w:cs="Times New Roman"/>
          <w:color w:val="auto"/>
          <w:w w:val="99"/>
          <w:szCs w:val="20"/>
          <w:highlight w:val="none"/>
          <w:lang w:val="en-US" w:eastAsia="zh-CN"/>
        </w:rPr>
        <w:t>包气带监测数据</w:t>
      </w:r>
      <w:r>
        <w:rPr>
          <w:rFonts w:ascii="Times New Roman" w:hAnsi="Times New Roman" w:cs="Times New Roman"/>
          <w:color w:val="auto"/>
          <w:w w:val="99"/>
          <w:szCs w:val="20"/>
          <w:highlight w:val="none"/>
          <w:lang w:eastAsia="ja-JP"/>
        </w:rPr>
        <w:t>可知，评价区域内包气带中汞、砷均未检出，且污染控制点与清洁对照点油田特征污染物石油类、挥发酚所测数值相差不大，评价区域内包气带未被污染。</w:t>
      </w:r>
    </w:p>
    <w:p w14:paraId="22B73B95">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697" w:name="_Toc29643951"/>
      <w:bookmarkStart w:id="698" w:name="_Toc34124485"/>
      <w:bookmarkStart w:id="699" w:name="_Toc38545057"/>
      <w:bookmarkStart w:id="700" w:name="_Toc70050222"/>
      <w:bookmarkStart w:id="701" w:name="_Toc57707956"/>
      <w:bookmarkStart w:id="702" w:name="_Toc57203286"/>
      <w:bookmarkStart w:id="703" w:name="_Toc29642919"/>
      <w:bookmarkStart w:id="704" w:name="_Toc80588296"/>
      <w:bookmarkStart w:id="705" w:name="_Toc186444323"/>
      <w:bookmarkStart w:id="706" w:name="_Toc61597272"/>
      <w:bookmarkStart w:id="707" w:name="_Toc78816501"/>
      <w:bookmarkStart w:id="708" w:name="_Toc41655201"/>
      <w:bookmarkStart w:id="709" w:name="_Toc29644703"/>
      <w:bookmarkStart w:id="710" w:name="_Toc77067699"/>
      <w:bookmarkStart w:id="711" w:name="_Toc83209518"/>
      <w:bookmarkStart w:id="712" w:name="_Toc67860173"/>
      <w:bookmarkStart w:id="713" w:name="_Toc38296424"/>
      <w:bookmarkStart w:id="714" w:name="_Toc80971418"/>
      <w:bookmarkStart w:id="715" w:name="_Toc76976287"/>
      <w:bookmarkStart w:id="716" w:name="_Toc21648"/>
      <w:bookmarkStart w:id="717" w:name="_Toc57976708"/>
      <w:r>
        <w:rPr>
          <w:rFonts w:eastAsia="宋体"/>
          <w:b/>
          <w:color w:val="auto"/>
          <w:w w:val="99"/>
          <w:kern w:val="2"/>
          <w:sz w:val="24"/>
          <w:szCs w:val="24"/>
          <w:highlight w:val="none"/>
        </w:rPr>
        <w:t>4.3.3地表水环境质量现状</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2A30647">
      <w:pPr>
        <w:pStyle w:val="153"/>
        <w:widowControl w:val="0"/>
        <w:spacing w:line="440" w:lineRule="exact"/>
        <w:ind w:firstLine="473"/>
        <w:rPr>
          <w:rFonts w:ascii="Times New Roman" w:hAnsi="Times New Roman" w:eastAsia="宋体" w:cs="Times New Roman"/>
          <w:snapToGrid w:val="0"/>
          <w:color w:val="auto"/>
          <w:w w:val="99"/>
          <w:highlight w:val="none"/>
        </w:rPr>
      </w:pPr>
      <w:r>
        <w:rPr>
          <w:rFonts w:ascii="Times New Roman" w:hAnsi="Times New Roman" w:cs="Times New Roman"/>
          <w:color w:val="auto"/>
          <w:w w:val="99"/>
          <w:szCs w:val="20"/>
          <w:highlight w:val="none"/>
        </w:rPr>
        <w:t>本项目属于水污染影响型三级B评价，可不开展区域污染源调查，</w:t>
      </w:r>
      <w:r>
        <w:rPr>
          <w:rFonts w:hint="eastAsia" w:ascii="Times New Roman" w:hAnsi="Times New Roman" w:cs="Times New Roman"/>
          <w:color w:val="auto"/>
          <w:w w:val="99"/>
          <w:szCs w:val="20"/>
          <w:highlight w:val="none"/>
          <w:lang w:val="en-US" w:eastAsia="zh-CN"/>
        </w:rPr>
        <w:t>本项目距离最近的北大干渠位于徐深27集气站西北侧300m，</w:t>
      </w:r>
      <w:r>
        <w:rPr>
          <w:rFonts w:hint="eastAsia" w:ascii="Times New Roman" w:hAnsi="Times New Roman" w:cs="Times New Roman"/>
          <w:snapToGrid w:val="0"/>
          <w:color w:val="auto"/>
          <w:w w:val="99"/>
          <w:highlight w:val="none"/>
          <w:lang w:val="en-US" w:eastAsia="zh-CN"/>
        </w:rPr>
        <w:t>根据现场调查，目前北大</w:t>
      </w:r>
      <w:r>
        <w:rPr>
          <w:rFonts w:hint="eastAsia" w:ascii="Times New Roman" w:hAnsi="Times New Roman" w:eastAsia="宋体" w:cs="Times New Roman"/>
          <w:snapToGrid w:val="0"/>
          <w:color w:val="auto"/>
          <w:w w:val="99"/>
          <w:highlight w:val="none"/>
          <w:lang w:val="en-US"/>
        </w:rPr>
        <w:t>干渠</w:t>
      </w:r>
      <w:r>
        <w:rPr>
          <w:rFonts w:hint="eastAsia" w:ascii="Times New Roman" w:hAnsi="Times New Roman" w:eastAsia="宋体" w:cs="Times New Roman"/>
          <w:snapToGrid w:val="0"/>
          <w:color w:val="auto"/>
          <w:w w:val="99"/>
          <w:highlight w:val="none"/>
          <w:lang w:val="en-US" w:eastAsia="zh-CN"/>
        </w:rPr>
        <w:t>为干涸状态，未对其进行监测</w:t>
      </w:r>
      <w:r>
        <w:rPr>
          <w:rFonts w:ascii="Times New Roman" w:hAnsi="Times New Roman" w:eastAsia="宋体" w:cs="Times New Roman"/>
          <w:snapToGrid w:val="0"/>
          <w:color w:val="auto"/>
          <w:w w:val="99"/>
          <w:highlight w:val="none"/>
        </w:rPr>
        <w:t>。</w:t>
      </w:r>
    </w:p>
    <w:p w14:paraId="167826FF">
      <w:pPr>
        <w:pStyle w:val="7"/>
        <w:keepNext w:val="0"/>
        <w:keepLines w:val="0"/>
        <w:widowControl w:val="0"/>
        <w:spacing w:line="440" w:lineRule="exact"/>
        <w:jc w:val="both"/>
        <w:rPr>
          <w:rFonts w:eastAsia="宋体"/>
          <w:b/>
          <w:color w:val="auto"/>
          <w:w w:val="99"/>
          <w:kern w:val="2"/>
          <w:sz w:val="24"/>
          <w:szCs w:val="24"/>
          <w:highlight w:val="none"/>
        </w:rPr>
      </w:pPr>
      <w:bookmarkStart w:id="718" w:name="_Toc77067700"/>
      <w:bookmarkStart w:id="719" w:name="_Toc26653"/>
      <w:bookmarkStart w:id="720" w:name="_Toc38545058"/>
      <w:bookmarkStart w:id="721" w:name="_Toc67860174"/>
      <w:bookmarkStart w:id="722" w:name="_Toc41655202"/>
      <w:bookmarkStart w:id="723" w:name="_Toc78816502"/>
      <w:bookmarkStart w:id="724" w:name="_Toc34124486"/>
      <w:bookmarkStart w:id="725" w:name="_Toc29643952"/>
      <w:bookmarkStart w:id="726" w:name="_Toc57707957"/>
      <w:bookmarkStart w:id="727" w:name="_Toc57203287"/>
      <w:bookmarkStart w:id="728" w:name="_Toc80588297"/>
      <w:bookmarkStart w:id="729" w:name="_Toc61597273"/>
      <w:bookmarkStart w:id="730" w:name="_Toc80971419"/>
      <w:bookmarkStart w:id="731" w:name="_Toc29642920"/>
      <w:bookmarkStart w:id="732" w:name="_Toc83209519"/>
      <w:bookmarkStart w:id="733" w:name="_Toc186444324"/>
      <w:bookmarkStart w:id="734" w:name="_Toc57976709"/>
      <w:bookmarkStart w:id="735" w:name="_Toc76976288"/>
      <w:bookmarkStart w:id="736" w:name="_Toc38296425"/>
      <w:bookmarkStart w:id="737" w:name="_Toc29644704"/>
      <w:bookmarkStart w:id="738" w:name="_Toc70050223"/>
      <w:r>
        <w:rPr>
          <w:rFonts w:eastAsia="宋体"/>
          <w:b/>
          <w:color w:val="auto"/>
          <w:w w:val="99"/>
          <w:kern w:val="2"/>
          <w:sz w:val="24"/>
          <w:szCs w:val="24"/>
          <w:highlight w:val="none"/>
        </w:rPr>
        <w:t>4.3.4声环境质量现状监测与评价</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1A7CC3E1">
      <w:pPr>
        <w:pStyle w:val="153"/>
        <w:widowControl w:val="0"/>
        <w:spacing w:line="440" w:lineRule="exact"/>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4.3.4.1声环境质量现状监测</w:t>
      </w:r>
    </w:p>
    <w:p w14:paraId="3F734DE7">
      <w:pPr>
        <w:widowControl w:val="0"/>
        <w:tabs>
          <w:tab w:val="left" w:pos="5262"/>
        </w:tabs>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（1）监测点布设</w:t>
      </w:r>
    </w:p>
    <w:p w14:paraId="7AAF9D60">
      <w:pPr>
        <w:widowControl w:val="0"/>
        <w:tabs>
          <w:tab w:val="left" w:pos="5262"/>
        </w:tabs>
        <w:spacing w:line="440" w:lineRule="exact"/>
        <w:ind w:firstLine="474" w:firstLineChars="200"/>
        <w:jc w:val="both"/>
        <w:rPr>
          <w:rFonts w:hint="default" w:ascii="Times New Roman" w:hAnsi="Times New Roman" w:cs="Times New Roman" w:eastAsiaTheme="minorEastAsia"/>
          <w:color w:val="auto"/>
          <w:w w:val="99"/>
          <w:kern w:val="21"/>
          <w:highlight w:val="none"/>
          <w:lang w:val="en-US" w:eastAsia="zh-CN"/>
        </w:rPr>
      </w:pPr>
      <w:r>
        <w:rPr>
          <w:rFonts w:ascii="Times New Roman" w:hAnsi="Times New Roman" w:cs="Times New Roman" w:eastAsiaTheme="minorEastAsia"/>
          <w:color w:val="auto"/>
          <w:w w:val="99"/>
          <w:kern w:val="21"/>
          <w:highlight w:val="none"/>
        </w:rPr>
        <w:t>根据</w:t>
      </w:r>
      <w:r>
        <w:rPr>
          <w:rFonts w:ascii="Times New Roman" w:hAnsi="Times New Roman" w:cs="Times New Roman" w:eastAsiaTheme="minorEastAsia"/>
          <w:color w:val="auto"/>
          <w:w w:val="99"/>
          <w:kern w:val="21"/>
          <w:highlight w:val="none"/>
          <w:lang w:bidi="zh-CN"/>
        </w:rPr>
        <w:t>《环境影响评价技术导则 陆地石油天然气开发建设项目》（HJ349-2023）</w:t>
      </w:r>
      <w:r>
        <w:rPr>
          <w:rFonts w:ascii="Times New Roman" w:hAnsi="Times New Roman" w:cs="Times New Roman" w:eastAsiaTheme="minorEastAsia"/>
          <w:color w:val="auto"/>
          <w:w w:val="99"/>
          <w:kern w:val="21"/>
          <w:highlight w:val="none"/>
        </w:rPr>
        <w:t>要求，滚动开发区块建设项目应列表给出代表性的场站厂界、各声环境保护目标现状值和达标情况分析。</w:t>
      </w:r>
      <w:r>
        <w:rPr>
          <w:rFonts w:hint="eastAsia" w:ascii="Times New Roman" w:hAnsi="Times New Roman" w:cs="Times New Roman" w:eastAsiaTheme="minorEastAsia"/>
          <w:color w:val="auto"/>
          <w:w w:val="99"/>
          <w:kern w:val="21"/>
          <w:highlight w:val="none"/>
          <w:lang w:val="en-US" w:eastAsia="zh-CN"/>
        </w:rPr>
        <w:t>本项目选取距离拟建井场最近的一个处敏感目标、拟建徐深27-H1井井场以及作为监测点位；其他拟建井场周围环境及周边类似，无其他噪声源，故监测点位符合布点要求。数据为本次监测及引用《徐深27-H1钻井工程监测报告》（中检（BH）字2025第03-009号）。</w:t>
      </w:r>
    </w:p>
    <w:p w14:paraId="4580757A">
      <w:pPr>
        <w:widowControl w:val="0"/>
        <w:tabs>
          <w:tab w:val="left" w:pos="5262"/>
        </w:tabs>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监测点布设见表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kern w:val="2"/>
          <w:szCs w:val="20"/>
          <w:highlight w:val="none"/>
          <w:lang w:val="en-US" w:eastAsia="zh-CN"/>
        </w:rPr>
        <w:t>1</w:t>
      </w:r>
      <w:r>
        <w:rPr>
          <w:rFonts w:ascii="Times New Roman" w:hAnsi="Times New Roman" w:cs="Times New Roman" w:eastAsiaTheme="minorEastAsia"/>
          <w:color w:val="auto"/>
          <w:w w:val="99"/>
          <w:kern w:val="2"/>
          <w:szCs w:val="20"/>
          <w:highlight w:val="none"/>
        </w:rPr>
        <w:t>6</w:t>
      </w:r>
      <w:r>
        <w:rPr>
          <w:rFonts w:ascii="Times New Roman" w:hAnsi="Times New Roman" w:cs="Times New Roman" w:eastAsiaTheme="minorEastAsia"/>
          <w:color w:val="auto"/>
          <w:w w:val="99"/>
          <w:kern w:val="21"/>
          <w:highlight w:val="none"/>
        </w:rPr>
        <w:t>，具体监测点位见附图</w:t>
      </w:r>
      <w:r>
        <w:rPr>
          <w:rFonts w:hint="eastAsia" w:ascii="Times New Roman" w:hAnsi="Times New Roman" w:cs="Times New Roman" w:eastAsiaTheme="minorEastAsia"/>
          <w:color w:val="auto"/>
          <w:w w:val="99"/>
          <w:kern w:val="21"/>
          <w:highlight w:val="none"/>
          <w:lang w:val="en-US" w:eastAsia="zh-CN"/>
        </w:rPr>
        <w:t>6-3</w:t>
      </w:r>
      <w:r>
        <w:rPr>
          <w:rFonts w:ascii="Times New Roman" w:hAnsi="Times New Roman" w:cs="Times New Roman" w:eastAsiaTheme="minorEastAsia"/>
          <w:color w:val="auto"/>
          <w:w w:val="99"/>
          <w:kern w:val="21"/>
          <w:highlight w:val="none"/>
        </w:rPr>
        <w:t>。</w:t>
      </w:r>
    </w:p>
    <w:p w14:paraId="6C27AC00">
      <w:pPr>
        <w:widowControl w:val="0"/>
        <w:tabs>
          <w:tab w:val="left" w:pos="5262"/>
        </w:tabs>
        <w:spacing w:line="44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bCs/>
          <w:color w:val="auto"/>
          <w:w w:val="99"/>
          <w:kern w:val="21"/>
          <w:highlight w:val="none"/>
        </w:rPr>
        <w:t>表</w:t>
      </w:r>
      <w:r>
        <w:rPr>
          <w:rFonts w:ascii="Times New Roman" w:hAnsi="Times New Roman" w:cs="Times New Roman" w:eastAsiaTheme="minorEastAsia"/>
          <w:b/>
          <w:color w:val="auto"/>
          <w:w w:val="99"/>
          <w:kern w:val="2"/>
          <w:szCs w:val="20"/>
          <w:highlight w:val="none"/>
        </w:rPr>
        <w:t>4.3-</w:t>
      </w:r>
      <w:r>
        <w:rPr>
          <w:rFonts w:hint="eastAsia" w:ascii="Times New Roman" w:hAnsi="Times New Roman" w:cs="Times New Roman" w:eastAsiaTheme="minorEastAsia"/>
          <w:b/>
          <w:color w:val="auto"/>
          <w:w w:val="99"/>
          <w:kern w:val="2"/>
          <w:szCs w:val="20"/>
          <w:highlight w:val="none"/>
          <w:lang w:val="en-US" w:eastAsia="zh-CN"/>
        </w:rPr>
        <w:t>1</w:t>
      </w:r>
      <w:r>
        <w:rPr>
          <w:rFonts w:ascii="Times New Roman" w:hAnsi="Times New Roman" w:cs="Times New Roman" w:eastAsiaTheme="minorEastAsia"/>
          <w:b/>
          <w:color w:val="auto"/>
          <w:w w:val="99"/>
          <w:kern w:val="2"/>
          <w:szCs w:val="20"/>
          <w:highlight w:val="none"/>
        </w:rPr>
        <w:t>6</w:t>
      </w:r>
      <w:r>
        <w:rPr>
          <w:rFonts w:ascii="Times New Roman" w:hAnsi="Times New Roman" w:cs="Times New Roman" w:eastAsiaTheme="minorEastAsia"/>
          <w:b/>
          <w:bCs/>
          <w:color w:val="auto"/>
          <w:w w:val="99"/>
          <w:kern w:val="21"/>
          <w:highlight w:val="none"/>
        </w:rPr>
        <w:t xml:space="preserve">    声环境现状监测点位表</w:t>
      </w:r>
    </w:p>
    <w:tbl>
      <w:tblPr>
        <w:tblStyle w:val="8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1701"/>
        <w:gridCol w:w="1701"/>
        <w:gridCol w:w="3402"/>
        <w:gridCol w:w="1553"/>
      </w:tblGrid>
      <w:tr w14:paraId="1C20D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48FE5E4E">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序号</w:t>
            </w:r>
          </w:p>
        </w:tc>
        <w:tc>
          <w:tcPr>
            <w:tcW w:w="1701" w:type="dxa"/>
            <w:vAlign w:val="center"/>
          </w:tcPr>
          <w:p w14:paraId="6174BC29">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w:t>
            </w:r>
          </w:p>
        </w:tc>
        <w:tc>
          <w:tcPr>
            <w:tcW w:w="1701" w:type="dxa"/>
            <w:vAlign w:val="center"/>
          </w:tcPr>
          <w:p w14:paraId="56636B54">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监测坐标</w:t>
            </w:r>
          </w:p>
        </w:tc>
        <w:tc>
          <w:tcPr>
            <w:tcW w:w="3402" w:type="dxa"/>
            <w:vAlign w:val="center"/>
          </w:tcPr>
          <w:p w14:paraId="3F1947B6">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项目位置关系</w:t>
            </w:r>
          </w:p>
        </w:tc>
        <w:tc>
          <w:tcPr>
            <w:tcW w:w="1553" w:type="dxa"/>
            <w:vAlign w:val="center"/>
          </w:tcPr>
          <w:p w14:paraId="47E0F4EC">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备注</w:t>
            </w:r>
          </w:p>
        </w:tc>
      </w:tr>
      <w:tr w14:paraId="5E89E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3343EBB2">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w:t>
            </w:r>
          </w:p>
        </w:tc>
        <w:tc>
          <w:tcPr>
            <w:tcW w:w="1701" w:type="dxa"/>
            <w:vAlign w:val="center"/>
          </w:tcPr>
          <w:p w14:paraId="4FB5E55A">
            <w:pPr>
              <w:adjustRightInd w:val="0"/>
              <w:snapToGrid w:val="0"/>
              <w:spacing w:line="360" w:lineRule="exact"/>
              <w:jc w:val="center"/>
              <w:rPr>
                <w:rFonts w:hint="eastAsia" w:ascii="Times New Roman" w:hAnsi="Times New Roman" w:cs="Times New Roman" w:eastAsiaTheme="minorEastAsia"/>
                <w:color w:val="auto"/>
                <w:w w:val="99"/>
                <w:kern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邢家围子屯</w:t>
            </w:r>
          </w:p>
        </w:tc>
        <w:tc>
          <w:tcPr>
            <w:tcW w:w="1701" w:type="dxa"/>
            <w:vAlign w:val="center"/>
          </w:tcPr>
          <w:p w14:paraId="102C97CC">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125.51232，45.89338</w:t>
            </w:r>
          </w:p>
        </w:tc>
        <w:tc>
          <w:tcPr>
            <w:tcW w:w="3402" w:type="dxa"/>
            <w:vAlign w:val="center"/>
          </w:tcPr>
          <w:p w14:paraId="19C82861">
            <w:pPr>
              <w:adjustRightInd w:val="0"/>
              <w:snapToGrid w:val="0"/>
              <w:spacing w:line="360" w:lineRule="exact"/>
              <w:jc w:val="center"/>
              <w:rPr>
                <w:rFonts w:hint="default" w:ascii="Times New Roman" w:hAnsi="Times New Roman" w:cs="Times New Roman" w:eastAsiaTheme="minorEastAsia"/>
                <w:color w:val="auto"/>
                <w:w w:val="99"/>
                <w:kern w:val="21"/>
                <w:sz w:val="21"/>
                <w:szCs w:val="21"/>
                <w:highlight w:val="none"/>
                <w:lang w:val="en-US"/>
              </w:rPr>
            </w:pPr>
            <w:r>
              <w:rPr>
                <w:rFonts w:hint="eastAsia" w:ascii="Times New Roman" w:hAnsi="Times New Roman" w:cs="Times New Roman" w:eastAsiaTheme="minorEastAsia"/>
                <w:color w:val="auto"/>
                <w:w w:val="99"/>
                <w:kern w:val="21"/>
                <w:sz w:val="21"/>
                <w:szCs w:val="21"/>
                <w:highlight w:val="none"/>
                <w:lang w:val="en-US" w:eastAsia="zh-CN"/>
              </w:rPr>
              <w:t>徐深27-H1井W</w:t>
            </w:r>
            <w:r>
              <w:rPr>
                <w:rFonts w:hint="default" w:ascii="Times New Roman" w:hAnsi="Times New Roman" w:cs="Times New Roman" w:eastAsiaTheme="minorEastAsia"/>
                <w:color w:val="auto"/>
                <w:w w:val="99"/>
                <w:kern w:val="21"/>
                <w:sz w:val="21"/>
                <w:szCs w:val="21"/>
                <w:highlight w:val="none"/>
                <w:lang w:val="en-US" w:eastAsia="zh-CN"/>
              </w:rPr>
              <w:t>300m</w:t>
            </w:r>
          </w:p>
        </w:tc>
        <w:tc>
          <w:tcPr>
            <w:tcW w:w="1553" w:type="dxa"/>
            <w:vAlign w:val="center"/>
          </w:tcPr>
          <w:p w14:paraId="2EC1DEB7">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测1个点</w:t>
            </w:r>
          </w:p>
        </w:tc>
      </w:tr>
      <w:tr w14:paraId="67957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6B2DA39D">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w:t>
            </w:r>
          </w:p>
        </w:tc>
        <w:tc>
          <w:tcPr>
            <w:tcW w:w="1701" w:type="dxa"/>
            <w:vAlign w:val="center"/>
          </w:tcPr>
          <w:p w14:paraId="50EAC189">
            <w:pPr>
              <w:adjustRightInd w:val="0"/>
              <w:snapToGrid w:val="0"/>
              <w:spacing w:line="360" w:lineRule="exact"/>
              <w:jc w:val="center"/>
              <w:rPr>
                <w:rFonts w:hint="eastAsia" w:ascii="Times New Roman" w:hAnsi="Times New Roman" w:cs="Times New Roman" w:eastAsiaTheme="minorEastAsia"/>
                <w:color w:val="auto"/>
                <w:w w:val="99"/>
                <w:kern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拟建徐深27-H1井井场</w:t>
            </w:r>
          </w:p>
        </w:tc>
        <w:tc>
          <w:tcPr>
            <w:tcW w:w="1701" w:type="dxa"/>
            <w:vAlign w:val="center"/>
          </w:tcPr>
          <w:p w14:paraId="590F7637">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125.50852，45.89313</w:t>
            </w:r>
          </w:p>
        </w:tc>
        <w:tc>
          <w:tcPr>
            <w:tcW w:w="3402" w:type="dxa"/>
            <w:vAlign w:val="center"/>
          </w:tcPr>
          <w:p w14:paraId="413706D4">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本项目</w:t>
            </w:r>
          </w:p>
        </w:tc>
        <w:tc>
          <w:tcPr>
            <w:tcW w:w="1553" w:type="dxa"/>
            <w:vAlign w:val="center"/>
          </w:tcPr>
          <w:p w14:paraId="770DCD9A">
            <w:pPr>
              <w:adjustRightInd w:val="0"/>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测1个点</w:t>
            </w:r>
          </w:p>
        </w:tc>
      </w:tr>
    </w:tbl>
    <w:p w14:paraId="45356AAB">
      <w:pPr>
        <w:widowControl w:val="0"/>
        <w:tabs>
          <w:tab w:val="left" w:pos="5262"/>
        </w:tabs>
        <w:spacing w:line="44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（2）监测时间</w:t>
      </w:r>
    </w:p>
    <w:p w14:paraId="2D49F225">
      <w:pPr>
        <w:widowControl w:val="0"/>
        <w:tabs>
          <w:tab w:val="left" w:pos="5262"/>
        </w:tabs>
        <w:spacing w:line="44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color w:val="auto"/>
          <w:w w:val="99"/>
          <w:szCs w:val="20"/>
          <w:highlight w:val="none"/>
        </w:rPr>
        <w:t>202</w:t>
      </w:r>
      <w:r>
        <w:rPr>
          <w:rFonts w:hint="eastAsia" w:ascii="Times New Roman" w:hAnsi="Times New Roman" w:cs="Times New Roman" w:eastAsiaTheme="minorEastAsia"/>
          <w:color w:val="auto"/>
          <w:w w:val="99"/>
          <w:szCs w:val="20"/>
          <w:highlight w:val="none"/>
          <w:lang w:val="en-US" w:eastAsia="zh-CN"/>
        </w:rPr>
        <w:t>5</w:t>
      </w:r>
      <w:r>
        <w:rPr>
          <w:rFonts w:ascii="Times New Roman" w:hAnsi="Times New Roman" w:cs="Times New Roman" w:eastAsiaTheme="minorEastAsia"/>
          <w:color w:val="auto"/>
          <w:w w:val="99"/>
          <w:szCs w:val="20"/>
          <w:highlight w:val="none"/>
        </w:rPr>
        <w:t>年</w:t>
      </w:r>
      <w:r>
        <w:rPr>
          <w:rFonts w:hint="eastAsia" w:ascii="Times New Roman" w:hAnsi="Times New Roman" w:cs="Times New Roman" w:eastAsiaTheme="minorEastAsia"/>
          <w:color w:val="auto"/>
          <w:w w:val="99"/>
          <w:szCs w:val="20"/>
          <w:highlight w:val="none"/>
          <w:lang w:val="en-US" w:eastAsia="zh-CN"/>
        </w:rPr>
        <w:t>3</w:t>
      </w:r>
      <w:r>
        <w:rPr>
          <w:rFonts w:ascii="Times New Roman" w:hAnsi="Times New Roman" w:cs="Times New Roman" w:eastAsiaTheme="minorEastAsia"/>
          <w:color w:val="auto"/>
          <w:w w:val="99"/>
          <w:szCs w:val="20"/>
          <w:highlight w:val="none"/>
        </w:rPr>
        <w:t>月</w:t>
      </w:r>
      <w:r>
        <w:rPr>
          <w:rFonts w:hint="eastAsia" w:ascii="Times New Roman" w:hAnsi="Times New Roman" w:cs="Times New Roman" w:eastAsiaTheme="minorEastAsia"/>
          <w:color w:val="auto"/>
          <w:w w:val="99"/>
          <w:szCs w:val="20"/>
          <w:highlight w:val="none"/>
          <w:lang w:val="en-US" w:eastAsia="zh-CN"/>
        </w:rPr>
        <w:t>26</w:t>
      </w:r>
      <w:r>
        <w:rPr>
          <w:rFonts w:ascii="Times New Roman" w:hAnsi="Times New Roman" w:cs="Times New Roman" w:eastAsiaTheme="minorEastAsia"/>
          <w:color w:val="auto"/>
          <w:w w:val="99"/>
          <w:szCs w:val="20"/>
          <w:highlight w:val="none"/>
        </w:rPr>
        <w:t>日~</w:t>
      </w:r>
      <w:r>
        <w:rPr>
          <w:rFonts w:hint="eastAsia" w:ascii="Times New Roman" w:hAnsi="Times New Roman" w:cs="Times New Roman" w:eastAsiaTheme="minorEastAsia"/>
          <w:color w:val="auto"/>
          <w:w w:val="99"/>
          <w:szCs w:val="20"/>
          <w:highlight w:val="none"/>
          <w:lang w:val="en-US" w:eastAsia="zh-CN"/>
        </w:rPr>
        <w:t>3</w:t>
      </w:r>
      <w:r>
        <w:rPr>
          <w:rFonts w:ascii="Times New Roman" w:hAnsi="Times New Roman" w:cs="Times New Roman" w:eastAsiaTheme="minorEastAsia"/>
          <w:color w:val="auto"/>
          <w:w w:val="99"/>
          <w:szCs w:val="20"/>
          <w:highlight w:val="none"/>
        </w:rPr>
        <w:t>月</w:t>
      </w:r>
      <w:r>
        <w:rPr>
          <w:rFonts w:hint="eastAsia" w:ascii="Times New Roman" w:hAnsi="Times New Roman" w:cs="Times New Roman" w:eastAsiaTheme="minorEastAsia"/>
          <w:color w:val="auto"/>
          <w:w w:val="99"/>
          <w:szCs w:val="20"/>
          <w:highlight w:val="none"/>
          <w:lang w:val="en-US" w:eastAsia="zh-CN"/>
        </w:rPr>
        <w:t>27</w:t>
      </w:r>
      <w:r>
        <w:rPr>
          <w:rFonts w:ascii="Times New Roman" w:hAnsi="Times New Roman" w:cs="Times New Roman" w:eastAsiaTheme="minorEastAsia"/>
          <w:color w:val="auto"/>
          <w:w w:val="99"/>
          <w:szCs w:val="20"/>
          <w:highlight w:val="none"/>
        </w:rPr>
        <w:t>日</w:t>
      </w:r>
      <w:r>
        <w:rPr>
          <w:rFonts w:hint="eastAsia" w:ascii="Times New Roman" w:hAnsi="Times New Roman" w:cs="Times New Roman" w:eastAsiaTheme="minorEastAsia"/>
          <w:color w:val="auto"/>
          <w:w w:val="99"/>
          <w:szCs w:val="20"/>
          <w:highlight w:val="none"/>
          <w:lang w:eastAsia="zh-CN"/>
        </w:rPr>
        <w:t>、</w:t>
      </w:r>
      <w:r>
        <w:rPr>
          <w:rFonts w:ascii="Times New Roman" w:hAnsi="Times New Roman" w:cs="Times New Roman" w:eastAsiaTheme="minorEastAsia"/>
          <w:color w:val="auto"/>
          <w:w w:val="99"/>
          <w:szCs w:val="20"/>
          <w:highlight w:val="none"/>
        </w:rPr>
        <w:t>202</w:t>
      </w:r>
      <w:r>
        <w:rPr>
          <w:rFonts w:hint="eastAsia" w:ascii="Times New Roman" w:hAnsi="Times New Roman" w:cs="Times New Roman" w:eastAsiaTheme="minorEastAsia"/>
          <w:color w:val="auto"/>
          <w:w w:val="99"/>
          <w:szCs w:val="20"/>
          <w:highlight w:val="none"/>
          <w:lang w:val="en-US" w:eastAsia="zh-CN"/>
        </w:rPr>
        <w:t>6</w:t>
      </w:r>
      <w:r>
        <w:rPr>
          <w:rFonts w:ascii="Times New Roman" w:hAnsi="Times New Roman" w:cs="Times New Roman" w:eastAsiaTheme="minorEastAsia"/>
          <w:color w:val="auto"/>
          <w:w w:val="99"/>
          <w:szCs w:val="20"/>
          <w:highlight w:val="none"/>
        </w:rPr>
        <w:t>年</w:t>
      </w:r>
      <w:r>
        <w:rPr>
          <w:rFonts w:hint="eastAsia" w:ascii="Times New Roman" w:hAnsi="Times New Roman" w:cs="Times New Roman" w:eastAsiaTheme="minorEastAsia"/>
          <w:color w:val="auto"/>
          <w:w w:val="99"/>
          <w:szCs w:val="20"/>
          <w:highlight w:val="none"/>
          <w:lang w:val="en-US" w:eastAsia="zh-CN"/>
        </w:rPr>
        <w:t>6</w:t>
      </w:r>
      <w:r>
        <w:rPr>
          <w:rFonts w:ascii="Times New Roman" w:hAnsi="Times New Roman" w:cs="Times New Roman" w:eastAsiaTheme="minorEastAsia"/>
          <w:color w:val="auto"/>
          <w:w w:val="99"/>
          <w:szCs w:val="20"/>
          <w:highlight w:val="none"/>
        </w:rPr>
        <w:t>月</w:t>
      </w:r>
      <w:r>
        <w:rPr>
          <w:rFonts w:hint="eastAsia" w:ascii="Times New Roman" w:hAnsi="Times New Roman" w:cs="Times New Roman" w:eastAsiaTheme="minorEastAsia"/>
          <w:color w:val="auto"/>
          <w:w w:val="99"/>
          <w:szCs w:val="20"/>
          <w:highlight w:val="none"/>
          <w:lang w:val="en-US" w:eastAsia="zh-CN"/>
        </w:rPr>
        <w:t>1</w:t>
      </w:r>
      <w:r>
        <w:rPr>
          <w:rFonts w:ascii="Times New Roman" w:hAnsi="Times New Roman" w:cs="Times New Roman" w:eastAsiaTheme="minorEastAsia"/>
          <w:color w:val="auto"/>
          <w:w w:val="99"/>
          <w:szCs w:val="20"/>
          <w:highlight w:val="none"/>
        </w:rPr>
        <w:t>日~</w:t>
      </w:r>
      <w:r>
        <w:rPr>
          <w:rFonts w:hint="eastAsia" w:ascii="Times New Roman" w:hAnsi="Times New Roman" w:cs="Times New Roman" w:eastAsiaTheme="minorEastAsia"/>
          <w:color w:val="auto"/>
          <w:w w:val="99"/>
          <w:szCs w:val="20"/>
          <w:highlight w:val="none"/>
          <w:lang w:val="en-US" w:eastAsia="zh-CN"/>
        </w:rPr>
        <w:t>6</w:t>
      </w:r>
      <w:r>
        <w:rPr>
          <w:rFonts w:ascii="Times New Roman" w:hAnsi="Times New Roman" w:cs="Times New Roman" w:eastAsiaTheme="minorEastAsia"/>
          <w:color w:val="auto"/>
          <w:w w:val="99"/>
          <w:szCs w:val="20"/>
          <w:highlight w:val="none"/>
        </w:rPr>
        <w:t>月</w:t>
      </w:r>
      <w:r>
        <w:rPr>
          <w:rFonts w:hint="eastAsia" w:ascii="Times New Roman" w:hAnsi="Times New Roman" w:cs="Times New Roman" w:eastAsiaTheme="minorEastAsia"/>
          <w:color w:val="auto"/>
          <w:w w:val="99"/>
          <w:szCs w:val="20"/>
          <w:highlight w:val="none"/>
          <w:lang w:val="en-US" w:eastAsia="zh-CN"/>
        </w:rPr>
        <w:t>2</w:t>
      </w:r>
      <w:r>
        <w:rPr>
          <w:rFonts w:ascii="Times New Roman" w:hAnsi="Times New Roman" w:cs="Times New Roman" w:eastAsiaTheme="minorEastAsia"/>
          <w:color w:val="auto"/>
          <w:w w:val="99"/>
          <w:szCs w:val="20"/>
          <w:highlight w:val="none"/>
        </w:rPr>
        <w:t>日</w:t>
      </w:r>
      <w:r>
        <w:rPr>
          <w:rFonts w:ascii="Times New Roman" w:hAnsi="Times New Roman" w:cs="Times New Roman" w:eastAsiaTheme="minorEastAsia"/>
          <w:bCs/>
          <w:color w:val="auto"/>
          <w:w w:val="99"/>
          <w:kern w:val="21"/>
          <w:highlight w:val="none"/>
        </w:rPr>
        <w:t>。</w:t>
      </w:r>
    </w:p>
    <w:p w14:paraId="78E511F1">
      <w:pPr>
        <w:widowControl w:val="0"/>
        <w:tabs>
          <w:tab w:val="left" w:pos="5262"/>
        </w:tabs>
        <w:spacing w:line="44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（3）监测频次</w:t>
      </w:r>
    </w:p>
    <w:p w14:paraId="08DB4EFC">
      <w:pPr>
        <w:widowControl w:val="0"/>
        <w:tabs>
          <w:tab w:val="left" w:pos="5262"/>
        </w:tabs>
        <w:spacing w:line="44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连续监测2天，昼夜各1次。</w:t>
      </w:r>
    </w:p>
    <w:p w14:paraId="092C4CD9">
      <w:pPr>
        <w:widowControl w:val="0"/>
        <w:tabs>
          <w:tab w:val="left" w:pos="5262"/>
        </w:tabs>
        <w:spacing w:line="44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（4）监测结果</w:t>
      </w:r>
    </w:p>
    <w:p w14:paraId="038CC733">
      <w:pPr>
        <w:widowControl w:val="0"/>
        <w:tabs>
          <w:tab w:val="left" w:pos="5262"/>
        </w:tabs>
        <w:spacing w:line="44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声环境现状监测结果见表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kern w:val="2"/>
          <w:szCs w:val="20"/>
          <w:highlight w:val="none"/>
          <w:lang w:val="en-US" w:eastAsia="zh-CN"/>
        </w:rPr>
        <w:t>1</w:t>
      </w:r>
      <w:r>
        <w:rPr>
          <w:rFonts w:ascii="Times New Roman" w:hAnsi="Times New Roman" w:cs="Times New Roman" w:eastAsiaTheme="minorEastAsia"/>
          <w:color w:val="auto"/>
          <w:w w:val="99"/>
          <w:kern w:val="2"/>
          <w:szCs w:val="20"/>
          <w:highlight w:val="none"/>
        </w:rPr>
        <w:t>7</w:t>
      </w:r>
      <w:r>
        <w:rPr>
          <w:rFonts w:ascii="Times New Roman" w:hAnsi="Times New Roman" w:cs="Times New Roman" w:eastAsiaTheme="minorEastAsia"/>
          <w:bCs/>
          <w:color w:val="auto"/>
          <w:w w:val="99"/>
          <w:kern w:val="21"/>
          <w:highlight w:val="none"/>
        </w:rPr>
        <w:t>。</w:t>
      </w:r>
    </w:p>
    <w:p w14:paraId="4AC2A301">
      <w:pPr>
        <w:widowControl w:val="0"/>
        <w:tabs>
          <w:tab w:val="left" w:pos="5262"/>
        </w:tabs>
        <w:spacing w:line="440" w:lineRule="exact"/>
        <w:ind w:firstLine="476"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
          <w:bCs/>
          <w:color w:val="auto"/>
          <w:w w:val="99"/>
          <w:kern w:val="21"/>
          <w:highlight w:val="none"/>
        </w:rPr>
        <w:t>表</w:t>
      </w:r>
      <w:r>
        <w:rPr>
          <w:rFonts w:ascii="Times New Roman" w:hAnsi="Times New Roman" w:cs="Times New Roman" w:eastAsiaTheme="minorEastAsia"/>
          <w:b/>
          <w:color w:val="auto"/>
          <w:w w:val="99"/>
          <w:kern w:val="2"/>
          <w:szCs w:val="20"/>
          <w:highlight w:val="none"/>
        </w:rPr>
        <w:t>4.3-</w:t>
      </w:r>
      <w:r>
        <w:rPr>
          <w:rFonts w:hint="eastAsia" w:ascii="Times New Roman" w:hAnsi="Times New Roman" w:cs="Times New Roman" w:eastAsiaTheme="minorEastAsia"/>
          <w:b/>
          <w:color w:val="auto"/>
          <w:w w:val="99"/>
          <w:kern w:val="2"/>
          <w:szCs w:val="20"/>
          <w:highlight w:val="none"/>
          <w:lang w:val="en-US" w:eastAsia="zh-CN"/>
        </w:rPr>
        <w:t>1</w:t>
      </w:r>
      <w:r>
        <w:rPr>
          <w:rFonts w:ascii="Times New Roman" w:hAnsi="Times New Roman" w:cs="Times New Roman" w:eastAsiaTheme="minorEastAsia"/>
          <w:b/>
          <w:color w:val="auto"/>
          <w:w w:val="99"/>
          <w:kern w:val="2"/>
          <w:szCs w:val="20"/>
          <w:highlight w:val="none"/>
        </w:rPr>
        <w:t>7</w:t>
      </w:r>
      <w:r>
        <w:rPr>
          <w:rFonts w:ascii="Times New Roman" w:hAnsi="Times New Roman" w:cs="Times New Roman" w:eastAsiaTheme="minorEastAsia"/>
          <w:b/>
          <w:bCs/>
          <w:color w:val="auto"/>
          <w:w w:val="99"/>
          <w:kern w:val="21"/>
          <w:highlight w:val="none"/>
        </w:rPr>
        <w:t xml:space="preserve">    声环境现状监测结果表    单位：dB（A）</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1510"/>
        <w:gridCol w:w="1510"/>
        <w:gridCol w:w="1510"/>
        <w:gridCol w:w="1510"/>
        <w:gridCol w:w="630"/>
      </w:tblGrid>
      <w:tr w14:paraId="27DB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0" w:type="auto"/>
            <w:vMerge w:val="restart"/>
            <w:noWrap w:val="0"/>
            <w:vAlign w:val="center"/>
          </w:tcPr>
          <w:p w14:paraId="211734FB">
            <w:pPr>
              <w:pStyle w:val="188"/>
              <w:adjustRightInd w:val="0"/>
              <w:snapToGrid w:val="0"/>
              <w:spacing w:line="28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监测点位</w:t>
            </w:r>
          </w:p>
        </w:tc>
        <w:tc>
          <w:tcPr>
            <w:tcW w:w="0" w:type="auto"/>
            <w:gridSpan w:val="2"/>
            <w:noWrap w:val="0"/>
            <w:vAlign w:val="center"/>
          </w:tcPr>
          <w:p w14:paraId="10D8FE20">
            <w:pPr>
              <w:pStyle w:val="188"/>
              <w:adjustRightInd w:val="0"/>
              <w:snapToGrid w:val="0"/>
              <w:spacing w:line="280" w:lineRule="exact"/>
              <w:jc w:val="center"/>
              <w:rPr>
                <w:rFonts w:hint="default"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2025.03.26</w:t>
            </w:r>
          </w:p>
        </w:tc>
        <w:tc>
          <w:tcPr>
            <w:tcW w:w="0" w:type="auto"/>
            <w:gridSpan w:val="2"/>
            <w:noWrap w:val="0"/>
            <w:vAlign w:val="center"/>
          </w:tcPr>
          <w:p w14:paraId="1991043C">
            <w:pPr>
              <w:pStyle w:val="188"/>
              <w:adjustRightInd w:val="0"/>
              <w:snapToGrid w:val="0"/>
              <w:spacing w:line="280" w:lineRule="exact"/>
              <w:jc w:val="center"/>
              <w:rPr>
                <w:rFonts w:hint="default"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2025.03.27</w:t>
            </w:r>
          </w:p>
        </w:tc>
        <w:tc>
          <w:tcPr>
            <w:tcW w:w="0" w:type="auto"/>
            <w:noWrap w:val="0"/>
            <w:vAlign w:val="center"/>
          </w:tcPr>
          <w:p w14:paraId="53A93DA1">
            <w:pPr>
              <w:pStyle w:val="188"/>
              <w:adjustRightInd w:val="0"/>
              <w:snapToGrid w:val="0"/>
              <w:spacing w:line="280" w:lineRule="exact"/>
              <w:jc w:val="center"/>
              <w:rPr>
                <w:rFonts w:hint="default"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备注</w:t>
            </w:r>
          </w:p>
        </w:tc>
      </w:tr>
      <w:tr w14:paraId="2829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0" w:type="auto"/>
            <w:vMerge w:val="continue"/>
            <w:noWrap w:val="0"/>
            <w:vAlign w:val="center"/>
          </w:tcPr>
          <w:p w14:paraId="5FC571E1">
            <w:pPr>
              <w:pStyle w:val="188"/>
              <w:adjustRightInd w:val="0"/>
              <w:snapToGrid w:val="0"/>
              <w:spacing w:line="28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p>
        </w:tc>
        <w:tc>
          <w:tcPr>
            <w:tcW w:w="0" w:type="auto"/>
            <w:noWrap w:val="0"/>
            <w:vAlign w:val="center"/>
          </w:tcPr>
          <w:p w14:paraId="43D9FB96">
            <w:pPr>
              <w:pStyle w:val="188"/>
              <w:adjustRightInd w:val="0"/>
              <w:snapToGrid w:val="0"/>
              <w:spacing w:line="28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昼间</w:t>
            </w:r>
          </w:p>
          <w:p w14:paraId="657194BB">
            <w:pPr>
              <w:pStyle w:val="188"/>
              <w:adjustRightInd w:val="0"/>
              <w:snapToGrid w:val="0"/>
              <w:spacing w:line="28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(12:03～12:08)</w:t>
            </w:r>
          </w:p>
        </w:tc>
        <w:tc>
          <w:tcPr>
            <w:tcW w:w="0" w:type="auto"/>
            <w:noWrap w:val="0"/>
            <w:vAlign w:val="center"/>
          </w:tcPr>
          <w:p w14:paraId="209A4463">
            <w:pPr>
              <w:pStyle w:val="188"/>
              <w:adjustRightInd w:val="0"/>
              <w:snapToGrid w:val="0"/>
              <w:spacing w:line="28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夜间</w:t>
            </w:r>
          </w:p>
          <w:p w14:paraId="06F98876">
            <w:pPr>
              <w:pStyle w:val="188"/>
              <w:adjustRightInd w:val="0"/>
              <w:snapToGrid w:val="0"/>
              <w:spacing w:line="28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(00:01～00:06)</w:t>
            </w:r>
          </w:p>
        </w:tc>
        <w:tc>
          <w:tcPr>
            <w:tcW w:w="0" w:type="auto"/>
            <w:noWrap w:val="0"/>
            <w:vAlign w:val="center"/>
          </w:tcPr>
          <w:p w14:paraId="5B841F45">
            <w:pPr>
              <w:pStyle w:val="188"/>
              <w:adjustRightInd w:val="0"/>
              <w:snapToGrid w:val="0"/>
              <w:spacing w:line="28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昼间</w:t>
            </w:r>
          </w:p>
          <w:p w14:paraId="19D8D9FC">
            <w:pPr>
              <w:pStyle w:val="188"/>
              <w:adjustRightInd w:val="0"/>
              <w:snapToGrid w:val="0"/>
              <w:spacing w:line="28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(12:01～12:06)</w:t>
            </w:r>
          </w:p>
        </w:tc>
        <w:tc>
          <w:tcPr>
            <w:tcW w:w="0" w:type="auto"/>
            <w:noWrap w:val="0"/>
            <w:vAlign w:val="center"/>
          </w:tcPr>
          <w:p w14:paraId="0E53A83C">
            <w:pPr>
              <w:pStyle w:val="188"/>
              <w:adjustRightInd w:val="0"/>
              <w:snapToGrid w:val="0"/>
              <w:spacing w:line="28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夜间</w:t>
            </w:r>
          </w:p>
          <w:p w14:paraId="3FFA7A6B">
            <w:pPr>
              <w:pStyle w:val="188"/>
              <w:adjustRightInd w:val="0"/>
              <w:snapToGrid w:val="0"/>
              <w:spacing w:line="28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(00:07～00:12)</w:t>
            </w:r>
          </w:p>
        </w:tc>
        <w:tc>
          <w:tcPr>
            <w:tcW w:w="0" w:type="auto"/>
            <w:vMerge w:val="restart"/>
            <w:noWrap w:val="0"/>
            <w:vAlign w:val="center"/>
          </w:tcPr>
          <w:p w14:paraId="243E7D84">
            <w:pPr>
              <w:adjustRightInd w:val="0"/>
              <w:snapToGrid w:val="0"/>
              <w:spacing w:line="360" w:lineRule="exact"/>
              <w:jc w:val="center"/>
              <w:rPr>
                <w:rFonts w:hint="default"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引用</w:t>
            </w:r>
          </w:p>
        </w:tc>
      </w:tr>
      <w:tr w14:paraId="1895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0" w:type="auto"/>
            <w:noWrap w:val="0"/>
            <w:vAlign w:val="center"/>
          </w:tcPr>
          <w:p w14:paraId="495238D2">
            <w:pPr>
              <w:adjustRightInd w:val="0"/>
              <w:snapToGrid w:val="0"/>
              <w:spacing w:line="360" w:lineRule="exact"/>
              <w:jc w:val="center"/>
              <w:rPr>
                <w:rFonts w:hint="default"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邢家围子屯</w:t>
            </w:r>
          </w:p>
        </w:tc>
        <w:tc>
          <w:tcPr>
            <w:tcW w:w="0" w:type="auto"/>
            <w:noWrap w:val="0"/>
            <w:vAlign w:val="center"/>
          </w:tcPr>
          <w:p w14:paraId="7522ACDC">
            <w:pPr>
              <w:adjustRightInd w:val="0"/>
              <w:snapToGrid w:val="0"/>
              <w:spacing w:line="360" w:lineRule="exact"/>
              <w:jc w:val="center"/>
              <w:rPr>
                <w:rFonts w:hint="default"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46.6</w:t>
            </w:r>
          </w:p>
        </w:tc>
        <w:tc>
          <w:tcPr>
            <w:tcW w:w="0" w:type="auto"/>
            <w:noWrap w:val="0"/>
            <w:vAlign w:val="center"/>
          </w:tcPr>
          <w:p w14:paraId="4327C7E7">
            <w:pPr>
              <w:adjustRightInd w:val="0"/>
              <w:snapToGrid w:val="0"/>
              <w:spacing w:line="360" w:lineRule="exact"/>
              <w:jc w:val="center"/>
              <w:rPr>
                <w:rFonts w:hint="default"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42.4</w:t>
            </w:r>
          </w:p>
        </w:tc>
        <w:tc>
          <w:tcPr>
            <w:tcW w:w="0" w:type="auto"/>
            <w:noWrap w:val="0"/>
            <w:vAlign w:val="center"/>
          </w:tcPr>
          <w:p w14:paraId="3A6E1310">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46.5</w:t>
            </w:r>
          </w:p>
        </w:tc>
        <w:tc>
          <w:tcPr>
            <w:tcW w:w="0" w:type="auto"/>
            <w:noWrap w:val="0"/>
            <w:vAlign w:val="center"/>
          </w:tcPr>
          <w:p w14:paraId="5D34AE59">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42.1</w:t>
            </w:r>
          </w:p>
        </w:tc>
        <w:tc>
          <w:tcPr>
            <w:tcW w:w="0" w:type="auto"/>
            <w:vMerge w:val="continue"/>
            <w:noWrap w:val="0"/>
            <w:vAlign w:val="center"/>
          </w:tcPr>
          <w:p w14:paraId="16069771">
            <w:pPr>
              <w:adjustRightInd w:val="0"/>
              <w:snapToGrid w:val="0"/>
              <w:spacing w:line="360" w:lineRule="exact"/>
              <w:jc w:val="center"/>
              <w:rPr>
                <w:rFonts w:hint="default" w:ascii="Times New Roman" w:hAnsi="Times New Roman" w:cs="Times New Roman" w:eastAsiaTheme="minorEastAsia"/>
                <w:b w:val="0"/>
                <w:color w:val="auto"/>
                <w:w w:val="99"/>
                <w:kern w:val="21"/>
                <w:sz w:val="21"/>
                <w:szCs w:val="21"/>
                <w:highlight w:val="none"/>
                <w:lang w:val="en-US" w:eastAsia="zh-CN" w:bidi="ar-SA"/>
              </w:rPr>
            </w:pPr>
          </w:p>
        </w:tc>
      </w:tr>
      <w:tr w14:paraId="78C5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0" w:type="auto"/>
            <w:vMerge w:val="restart"/>
            <w:noWrap w:val="0"/>
            <w:vAlign w:val="center"/>
          </w:tcPr>
          <w:p w14:paraId="13AD4170">
            <w:pPr>
              <w:pStyle w:val="188"/>
              <w:adjustRightInd w:val="0"/>
              <w:snapToGrid w:val="0"/>
              <w:spacing w:line="280" w:lineRule="exact"/>
              <w:jc w:val="center"/>
              <w:rPr>
                <w:rFonts w:hint="default"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监测点位</w:t>
            </w:r>
          </w:p>
        </w:tc>
        <w:tc>
          <w:tcPr>
            <w:tcW w:w="0" w:type="auto"/>
            <w:gridSpan w:val="2"/>
            <w:noWrap w:val="0"/>
            <w:vAlign w:val="center"/>
          </w:tcPr>
          <w:p w14:paraId="23F46AB9">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2026.06.01</w:t>
            </w:r>
          </w:p>
        </w:tc>
        <w:tc>
          <w:tcPr>
            <w:tcW w:w="0" w:type="auto"/>
            <w:gridSpan w:val="2"/>
            <w:noWrap w:val="0"/>
            <w:vAlign w:val="center"/>
          </w:tcPr>
          <w:p w14:paraId="5DC627EC">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2026.06.02</w:t>
            </w:r>
          </w:p>
        </w:tc>
        <w:tc>
          <w:tcPr>
            <w:tcW w:w="0" w:type="auto"/>
            <w:noWrap w:val="0"/>
            <w:vAlign w:val="center"/>
          </w:tcPr>
          <w:p w14:paraId="3829DD80">
            <w:pPr>
              <w:pStyle w:val="188"/>
              <w:adjustRightInd w:val="0"/>
              <w:snapToGrid w:val="0"/>
              <w:spacing w:line="28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w:t>
            </w:r>
          </w:p>
        </w:tc>
      </w:tr>
      <w:tr w14:paraId="3392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0" w:type="auto"/>
            <w:vMerge w:val="continue"/>
            <w:noWrap w:val="0"/>
            <w:vAlign w:val="center"/>
          </w:tcPr>
          <w:p w14:paraId="2B7EB906">
            <w:pPr>
              <w:pStyle w:val="188"/>
              <w:adjustRightInd w:val="0"/>
              <w:snapToGrid w:val="0"/>
              <w:spacing w:line="280" w:lineRule="exact"/>
              <w:jc w:val="center"/>
              <w:rPr>
                <w:rFonts w:hint="default" w:ascii="Times New Roman" w:hAnsi="Times New Roman" w:cs="Times New Roman" w:eastAsiaTheme="minorEastAsia"/>
                <w:b w:val="0"/>
                <w:color w:val="auto"/>
                <w:w w:val="99"/>
                <w:kern w:val="21"/>
                <w:sz w:val="21"/>
                <w:szCs w:val="21"/>
                <w:highlight w:val="none"/>
                <w:lang w:val="en-US" w:eastAsia="zh-CN" w:bidi="ar-SA"/>
              </w:rPr>
            </w:pPr>
          </w:p>
        </w:tc>
        <w:tc>
          <w:tcPr>
            <w:tcW w:w="0" w:type="auto"/>
            <w:noWrap w:val="0"/>
            <w:vAlign w:val="center"/>
          </w:tcPr>
          <w:p w14:paraId="0F67320E">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昼间</w:t>
            </w:r>
          </w:p>
          <w:p w14:paraId="10568FA5">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(08:02～08:07)</w:t>
            </w:r>
          </w:p>
        </w:tc>
        <w:tc>
          <w:tcPr>
            <w:tcW w:w="0" w:type="auto"/>
            <w:noWrap w:val="0"/>
            <w:vAlign w:val="center"/>
          </w:tcPr>
          <w:p w14:paraId="5CA661C9">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夜间</w:t>
            </w:r>
          </w:p>
          <w:p w14:paraId="37B5AB06">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(22:01～22:06)</w:t>
            </w:r>
          </w:p>
        </w:tc>
        <w:tc>
          <w:tcPr>
            <w:tcW w:w="0" w:type="auto"/>
            <w:noWrap w:val="0"/>
            <w:vAlign w:val="center"/>
          </w:tcPr>
          <w:p w14:paraId="7E5E6833">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昼间</w:t>
            </w:r>
          </w:p>
          <w:p w14:paraId="4818816A">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(08:01～08:06)</w:t>
            </w:r>
          </w:p>
        </w:tc>
        <w:tc>
          <w:tcPr>
            <w:tcW w:w="0" w:type="auto"/>
            <w:noWrap w:val="0"/>
            <w:vAlign w:val="center"/>
          </w:tcPr>
          <w:p w14:paraId="2465DCF2">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夜间</w:t>
            </w:r>
          </w:p>
          <w:p w14:paraId="5A32A3CA">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(22:02～22:07)</w:t>
            </w:r>
          </w:p>
        </w:tc>
        <w:tc>
          <w:tcPr>
            <w:tcW w:w="0" w:type="auto"/>
            <w:noWrap w:val="0"/>
            <w:vAlign w:val="center"/>
          </w:tcPr>
          <w:p w14:paraId="1E965CDC">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w:t>
            </w:r>
          </w:p>
        </w:tc>
      </w:tr>
      <w:tr w14:paraId="2F1E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0" w:type="auto"/>
            <w:noWrap w:val="0"/>
            <w:vAlign w:val="center"/>
          </w:tcPr>
          <w:p w14:paraId="5FAE5B29">
            <w:pPr>
              <w:adjustRightInd w:val="0"/>
              <w:snapToGrid w:val="0"/>
              <w:spacing w:line="360" w:lineRule="exact"/>
              <w:jc w:val="center"/>
              <w:rPr>
                <w:rFonts w:hint="default"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拟建徐深27-H1井井场</w:t>
            </w:r>
          </w:p>
        </w:tc>
        <w:tc>
          <w:tcPr>
            <w:tcW w:w="0" w:type="auto"/>
            <w:noWrap w:val="0"/>
            <w:vAlign w:val="center"/>
          </w:tcPr>
          <w:p w14:paraId="5EE10A69">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45.3</w:t>
            </w:r>
          </w:p>
        </w:tc>
        <w:tc>
          <w:tcPr>
            <w:tcW w:w="0" w:type="auto"/>
            <w:noWrap w:val="0"/>
            <w:vAlign w:val="center"/>
          </w:tcPr>
          <w:p w14:paraId="266775E8">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43.8</w:t>
            </w:r>
          </w:p>
        </w:tc>
        <w:tc>
          <w:tcPr>
            <w:tcW w:w="0" w:type="auto"/>
            <w:noWrap w:val="0"/>
            <w:vAlign w:val="center"/>
          </w:tcPr>
          <w:p w14:paraId="44408E46">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45.1</w:t>
            </w:r>
          </w:p>
        </w:tc>
        <w:tc>
          <w:tcPr>
            <w:tcW w:w="0" w:type="auto"/>
            <w:noWrap w:val="0"/>
            <w:vAlign w:val="center"/>
          </w:tcPr>
          <w:p w14:paraId="5D6A5771">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43.5</w:t>
            </w:r>
          </w:p>
        </w:tc>
        <w:tc>
          <w:tcPr>
            <w:tcW w:w="0" w:type="auto"/>
            <w:noWrap w:val="0"/>
            <w:vAlign w:val="center"/>
          </w:tcPr>
          <w:p w14:paraId="79E3AC2C">
            <w:pPr>
              <w:adjustRightInd w:val="0"/>
              <w:snapToGrid w:val="0"/>
              <w:spacing w:line="360" w:lineRule="exact"/>
              <w:jc w:val="center"/>
              <w:rPr>
                <w:rFonts w:hint="eastAsia" w:ascii="Times New Roman" w:hAnsi="Times New Roman" w:cs="Times New Roman" w:eastAsiaTheme="minorEastAsia"/>
                <w:b w:val="0"/>
                <w:color w:val="auto"/>
                <w:w w:val="99"/>
                <w:kern w:val="21"/>
                <w:sz w:val="21"/>
                <w:szCs w:val="21"/>
                <w:highlight w:val="none"/>
                <w:lang w:val="en-US" w:eastAsia="zh-CN" w:bidi="ar-SA"/>
              </w:rPr>
            </w:pPr>
            <w:r>
              <w:rPr>
                <w:rFonts w:hint="eastAsia" w:ascii="Times New Roman" w:hAnsi="Times New Roman" w:cs="Times New Roman" w:eastAsiaTheme="minorEastAsia"/>
                <w:b w:val="0"/>
                <w:color w:val="auto"/>
                <w:w w:val="99"/>
                <w:kern w:val="21"/>
                <w:sz w:val="21"/>
                <w:szCs w:val="21"/>
                <w:highlight w:val="none"/>
                <w:lang w:val="en-US" w:eastAsia="zh-CN" w:bidi="ar-SA"/>
              </w:rPr>
              <w:t>/</w:t>
            </w:r>
          </w:p>
        </w:tc>
      </w:tr>
    </w:tbl>
    <w:p w14:paraId="39C4208B">
      <w:pPr>
        <w:pStyle w:val="153"/>
        <w:widowControl w:val="0"/>
        <w:spacing w:line="440" w:lineRule="exact"/>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4.3.4.2声环境质量现状评价</w:t>
      </w:r>
    </w:p>
    <w:p w14:paraId="3421444C">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bCs/>
          <w:color w:val="auto"/>
          <w:w w:val="99"/>
          <w:highlight w:val="none"/>
        </w:rPr>
        <w:t>本项目评价范围内噪声源主要来</w:t>
      </w:r>
      <w:r>
        <w:rPr>
          <w:rFonts w:hint="eastAsia" w:ascii="Times New Roman" w:hAnsi="Times New Roman" w:cs="Times New Roman"/>
          <w:color w:val="auto"/>
          <w:w w:val="99"/>
          <w:kern w:val="2"/>
          <w:highlight w:val="none"/>
          <w:lang w:val="en-US" w:eastAsia="zh-CN"/>
        </w:rPr>
        <w:t>井场放空</w:t>
      </w:r>
      <w:r>
        <w:rPr>
          <w:rFonts w:ascii="Times New Roman" w:hAnsi="Times New Roman" w:cs="Times New Roman"/>
          <w:bCs/>
          <w:color w:val="auto"/>
          <w:w w:val="99"/>
          <w:highlight w:val="none"/>
        </w:rPr>
        <w:t>，井场放空源强约在</w:t>
      </w:r>
      <w:r>
        <w:rPr>
          <w:rFonts w:hint="eastAsia" w:ascii="Times New Roman" w:hAnsi="Times New Roman" w:cs="Times New Roman"/>
          <w:bCs/>
          <w:color w:val="auto"/>
          <w:w w:val="99"/>
          <w:highlight w:val="none"/>
          <w:lang w:val="en-US" w:eastAsia="zh-CN"/>
        </w:rPr>
        <w:t>95</w:t>
      </w:r>
      <w:r>
        <w:rPr>
          <w:rFonts w:ascii="Times New Roman" w:hAnsi="Times New Roman" w:cs="Times New Roman"/>
          <w:bCs/>
          <w:color w:val="auto"/>
          <w:w w:val="99"/>
          <w:highlight w:val="none"/>
        </w:rPr>
        <w:t>～</w:t>
      </w:r>
      <w:r>
        <w:rPr>
          <w:rFonts w:hint="eastAsia" w:ascii="Times New Roman" w:hAnsi="Times New Roman" w:cs="Times New Roman"/>
          <w:bCs/>
          <w:color w:val="auto"/>
          <w:w w:val="99"/>
          <w:highlight w:val="none"/>
          <w:lang w:val="en-US" w:eastAsia="zh-CN"/>
        </w:rPr>
        <w:t>10</w:t>
      </w:r>
      <w:r>
        <w:rPr>
          <w:rFonts w:ascii="Times New Roman" w:hAnsi="Times New Roman" w:cs="Times New Roman"/>
          <w:bCs/>
          <w:color w:val="auto"/>
          <w:w w:val="99"/>
          <w:highlight w:val="none"/>
        </w:rPr>
        <w:t>5dB(A)之间，为</w:t>
      </w:r>
      <w:r>
        <w:rPr>
          <w:rFonts w:hint="eastAsia" w:ascii="Times New Roman" w:hAnsi="Times New Roman" w:cs="Times New Roman"/>
          <w:bCs/>
          <w:color w:val="auto"/>
          <w:w w:val="99"/>
          <w:highlight w:val="none"/>
          <w:lang w:val="en-US" w:eastAsia="zh-CN"/>
        </w:rPr>
        <w:t>突发</w:t>
      </w:r>
      <w:r>
        <w:rPr>
          <w:rFonts w:ascii="Times New Roman" w:hAnsi="Times New Roman" w:cs="Times New Roman"/>
          <w:bCs/>
          <w:color w:val="auto"/>
          <w:w w:val="99"/>
          <w:highlight w:val="none"/>
        </w:rPr>
        <w:t>声源。</w:t>
      </w:r>
    </w:p>
    <w:p w14:paraId="7B45DC3E">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（1）评价标准</w:t>
      </w:r>
    </w:p>
    <w:p w14:paraId="421F1F0C">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根据本项目区域声环境功能区划，</w:t>
      </w:r>
      <w:r>
        <w:rPr>
          <w:rFonts w:ascii="Times New Roman" w:hAnsi="Times New Roman" w:cs="Times New Roman" w:eastAsiaTheme="minorEastAsia"/>
          <w:color w:val="auto"/>
          <w:w w:val="99"/>
          <w:kern w:val="2"/>
          <w:highlight w:val="none"/>
        </w:rPr>
        <w:t>项目区域声环境</w:t>
      </w:r>
      <w:r>
        <w:rPr>
          <w:rFonts w:ascii="Times New Roman" w:hAnsi="Times New Roman" w:cs="Times New Roman" w:eastAsiaTheme="minorEastAsia"/>
          <w:color w:val="auto"/>
          <w:w w:val="99"/>
          <w:highlight w:val="none"/>
        </w:rPr>
        <w:t>执行《声环境质量标准》（GB3096-2008）2类标准，项目周边村屯声环境执行《声环境质量标准》（GB3096-2008）1类标准。</w:t>
      </w:r>
    </w:p>
    <w:p w14:paraId="3EF6F82F">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（2）评价方法</w:t>
      </w:r>
    </w:p>
    <w:p w14:paraId="239C0156">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声环境质量现状评价采用对标法进行评价。</w:t>
      </w:r>
    </w:p>
    <w:p w14:paraId="32EC070D">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（3）评价结论</w:t>
      </w:r>
    </w:p>
    <w:p w14:paraId="23D74A27">
      <w:pPr>
        <w:widowControl w:val="0"/>
        <w:spacing w:line="440" w:lineRule="exact"/>
        <w:ind w:firstLine="474" w:firstLineChars="200"/>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color w:val="auto"/>
          <w:w w:val="99"/>
          <w:highlight w:val="none"/>
        </w:rPr>
        <w:t>由本项目区域声环境质量现状监测结果与执行评价标准限值对比分析可知，项目拟建井场区域声环境满足《声环境质量标准》（GB3096-2008）2类标准，</w:t>
      </w:r>
      <w:r>
        <w:rPr>
          <w:rFonts w:ascii="Times New Roman" w:hAnsi="Times New Roman" w:cs="Times New Roman" w:eastAsiaTheme="minorEastAsia"/>
          <w:bCs/>
          <w:color w:val="auto"/>
          <w:w w:val="99"/>
          <w:highlight w:val="none"/>
        </w:rPr>
        <w:t>项目周边村屯声环境满足《声环境质量标准》（GB3096-2008）1类标准。</w:t>
      </w:r>
    </w:p>
    <w:p w14:paraId="15447823">
      <w:pPr>
        <w:pStyle w:val="7"/>
        <w:keepNext w:val="0"/>
        <w:keepLines w:val="0"/>
        <w:widowControl w:val="0"/>
        <w:spacing w:line="440" w:lineRule="exact"/>
        <w:jc w:val="both"/>
        <w:rPr>
          <w:rFonts w:eastAsia="宋体"/>
          <w:b/>
          <w:color w:val="auto"/>
          <w:w w:val="99"/>
          <w:kern w:val="2"/>
          <w:sz w:val="24"/>
          <w:szCs w:val="24"/>
          <w:highlight w:val="none"/>
        </w:rPr>
      </w:pPr>
      <w:bookmarkStart w:id="739" w:name="_Toc41655203"/>
      <w:bookmarkStart w:id="740" w:name="_Toc29642921"/>
      <w:bookmarkStart w:id="741" w:name="_Toc1114"/>
      <w:bookmarkStart w:id="742" w:name="_Toc80971420"/>
      <w:bookmarkStart w:id="743" w:name="_Toc77067701"/>
      <w:bookmarkStart w:id="744" w:name="_Toc76976289"/>
      <w:bookmarkStart w:id="745" w:name="_Toc57976710"/>
      <w:bookmarkStart w:id="746" w:name="_Toc80588298"/>
      <w:bookmarkStart w:id="747" w:name="_Toc38296426"/>
      <w:bookmarkStart w:id="748" w:name="_Toc186444325"/>
      <w:bookmarkStart w:id="749" w:name="_Toc61597274"/>
      <w:bookmarkStart w:id="750" w:name="_Toc57203288"/>
      <w:bookmarkStart w:id="751" w:name="_Toc29643953"/>
      <w:bookmarkStart w:id="752" w:name="_Toc57707958"/>
      <w:bookmarkStart w:id="753" w:name="_Toc67860175"/>
      <w:bookmarkStart w:id="754" w:name="_Toc38545059"/>
      <w:bookmarkStart w:id="755" w:name="_Toc70050224"/>
      <w:bookmarkStart w:id="756" w:name="_Toc78816503"/>
      <w:bookmarkStart w:id="757" w:name="_Toc29644705"/>
      <w:bookmarkStart w:id="758" w:name="_Toc34124487"/>
      <w:bookmarkStart w:id="759" w:name="_Toc83209520"/>
      <w:r>
        <w:rPr>
          <w:rFonts w:eastAsia="宋体"/>
          <w:b/>
          <w:color w:val="auto"/>
          <w:w w:val="99"/>
          <w:kern w:val="2"/>
          <w:sz w:val="24"/>
          <w:szCs w:val="24"/>
          <w:highlight w:val="none"/>
        </w:rPr>
        <w:t>4.3.5土壤质量现状监测与评价</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7EC19281">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4.3.5.1土壤理化特性调查</w:t>
      </w:r>
    </w:p>
    <w:p w14:paraId="631E5D1E">
      <w:pPr>
        <w:widowControl w:val="0"/>
        <w:spacing w:line="440" w:lineRule="exact"/>
        <w:ind w:firstLine="48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本项目评价范围内主要为</w:t>
      </w:r>
      <w:r>
        <w:rPr>
          <w:rFonts w:hint="eastAsia" w:ascii="Times New Roman" w:hAnsi="Times New Roman" w:cs="Times New Roman" w:eastAsiaTheme="minorEastAsia"/>
          <w:color w:val="auto"/>
          <w:w w:val="99"/>
          <w:szCs w:val="20"/>
          <w:highlight w:val="none"/>
          <w:lang w:val="en-US" w:eastAsia="zh-CN"/>
        </w:rPr>
        <w:t>黑钙</w:t>
      </w:r>
      <w:r>
        <w:rPr>
          <w:rFonts w:ascii="Times New Roman" w:hAnsi="Times New Roman" w:cs="Times New Roman" w:eastAsiaTheme="minorEastAsia"/>
          <w:color w:val="auto"/>
          <w:w w:val="99"/>
          <w:szCs w:val="20"/>
          <w:highlight w:val="none"/>
        </w:rPr>
        <w:t>土，在充分收集资料的基础上，根据土壤环境影响类型、建设项目特征与评价需要，有针对性地选择土壤理化特性调查内容，具体土壤理化特性调查见表4.3-</w:t>
      </w:r>
      <w:r>
        <w:rPr>
          <w:rFonts w:hint="eastAsia" w:ascii="Times New Roman" w:hAnsi="Times New Roman" w:cs="Times New Roman" w:eastAsiaTheme="minorEastAsia"/>
          <w:color w:val="auto"/>
          <w:w w:val="99"/>
          <w:szCs w:val="20"/>
          <w:highlight w:val="none"/>
          <w:lang w:val="en-US" w:eastAsia="zh-CN"/>
        </w:rPr>
        <w:t>1</w:t>
      </w:r>
      <w:r>
        <w:rPr>
          <w:rFonts w:ascii="Times New Roman" w:hAnsi="Times New Roman" w:cs="Times New Roman" w:eastAsiaTheme="minorEastAsia"/>
          <w:color w:val="auto"/>
          <w:w w:val="99"/>
          <w:szCs w:val="20"/>
          <w:highlight w:val="none"/>
        </w:rPr>
        <w:t>8，区域内土壤构型（土壤剖面）见表4.3-</w:t>
      </w:r>
      <w:r>
        <w:rPr>
          <w:rFonts w:hint="eastAsia" w:ascii="Times New Roman" w:hAnsi="Times New Roman" w:cs="Times New Roman" w:eastAsiaTheme="minorEastAsia"/>
          <w:color w:val="auto"/>
          <w:w w:val="99"/>
          <w:szCs w:val="20"/>
          <w:highlight w:val="none"/>
          <w:lang w:val="en-US" w:eastAsia="zh-CN"/>
        </w:rPr>
        <w:t>1</w:t>
      </w:r>
      <w:r>
        <w:rPr>
          <w:rFonts w:ascii="Times New Roman" w:hAnsi="Times New Roman" w:cs="Times New Roman" w:eastAsiaTheme="minorEastAsia"/>
          <w:color w:val="auto"/>
          <w:w w:val="99"/>
          <w:szCs w:val="20"/>
          <w:highlight w:val="none"/>
        </w:rPr>
        <w:t>9。</w:t>
      </w:r>
    </w:p>
    <w:p w14:paraId="2467DCF0">
      <w:pPr>
        <w:widowControl w:val="0"/>
        <w:spacing w:line="440" w:lineRule="exact"/>
        <w:ind w:firstLine="48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b/>
          <w:color w:val="auto"/>
          <w:w w:val="99"/>
          <w:szCs w:val="20"/>
          <w:highlight w:val="none"/>
        </w:rPr>
        <w:t>表4.3-</w:t>
      </w:r>
      <w:r>
        <w:rPr>
          <w:rFonts w:hint="eastAsia" w:ascii="Times New Roman" w:hAnsi="Times New Roman" w:cs="Times New Roman" w:eastAsiaTheme="minorEastAsia"/>
          <w:b/>
          <w:color w:val="auto"/>
          <w:w w:val="99"/>
          <w:szCs w:val="20"/>
          <w:highlight w:val="none"/>
          <w:lang w:val="en-US" w:eastAsia="zh-CN"/>
        </w:rPr>
        <w:t>1</w:t>
      </w:r>
      <w:r>
        <w:rPr>
          <w:rFonts w:ascii="Times New Roman" w:hAnsi="Times New Roman" w:cs="Times New Roman" w:eastAsiaTheme="minorEastAsia"/>
          <w:b/>
          <w:color w:val="auto"/>
          <w:w w:val="99"/>
          <w:szCs w:val="20"/>
          <w:highlight w:val="none"/>
        </w:rPr>
        <w:t>8    土壤</w:t>
      </w:r>
      <w:r>
        <w:rPr>
          <w:rFonts w:ascii="Times New Roman" w:hAnsi="Times New Roman" w:cs="Times New Roman" w:eastAsiaTheme="minorEastAsia"/>
          <w:b/>
          <w:bCs/>
          <w:color w:val="auto"/>
          <w:w w:val="99"/>
          <w:kern w:val="21"/>
          <w:highlight w:val="none"/>
        </w:rPr>
        <w:t>理化</w:t>
      </w:r>
      <w:r>
        <w:rPr>
          <w:rFonts w:ascii="Times New Roman" w:hAnsi="Times New Roman" w:cs="Times New Roman" w:eastAsiaTheme="minorEastAsia"/>
          <w:b/>
          <w:color w:val="auto"/>
          <w:w w:val="99"/>
          <w:szCs w:val="20"/>
          <w:highlight w:val="none"/>
        </w:rPr>
        <w:t>特性调查表</w:t>
      </w:r>
    </w:p>
    <w:tbl>
      <w:tblPr>
        <w:tblStyle w:val="80"/>
        <w:tblW w:w="4999"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1086"/>
        <w:gridCol w:w="2296"/>
        <w:gridCol w:w="1896"/>
        <w:gridCol w:w="1896"/>
        <w:gridCol w:w="1905"/>
      </w:tblGrid>
      <w:tr w14:paraId="658E465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862" w:type="pct"/>
            <w:gridSpan w:val="2"/>
            <w:tcBorders>
              <w:bottom w:val="single" w:color="000000" w:sz="4" w:space="0"/>
              <w:right w:val="single" w:color="000000" w:sz="4" w:space="0"/>
            </w:tcBorders>
            <w:noWrap w:val="0"/>
            <w:vAlign w:val="center"/>
          </w:tcPr>
          <w:p w14:paraId="6312EA6B">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时间</w:t>
            </w:r>
          </w:p>
        </w:tc>
        <w:tc>
          <w:tcPr>
            <w:tcW w:w="3137" w:type="pct"/>
            <w:gridSpan w:val="3"/>
            <w:tcBorders>
              <w:left w:val="nil"/>
              <w:bottom w:val="single" w:color="000000" w:sz="4" w:space="0"/>
            </w:tcBorders>
            <w:noWrap w:val="0"/>
            <w:vAlign w:val="center"/>
          </w:tcPr>
          <w:p w14:paraId="1490880C">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202</w:t>
            </w:r>
            <w:r>
              <w:rPr>
                <w:rFonts w:hint="eastAsia" w:ascii="Times New Roman" w:hAnsi="Times New Roman" w:cs="Times New Roman" w:eastAsiaTheme="minorEastAsia"/>
                <w:color w:val="auto"/>
                <w:w w:val="99"/>
                <w:sz w:val="21"/>
                <w:szCs w:val="21"/>
                <w:highlight w:val="none"/>
                <w:lang w:val="en-US" w:eastAsia="zh-CN"/>
              </w:rPr>
              <w:t>6.06.01</w:t>
            </w:r>
          </w:p>
        </w:tc>
      </w:tr>
      <w:tr w14:paraId="5B28CF3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862" w:type="pct"/>
            <w:gridSpan w:val="2"/>
            <w:tcBorders>
              <w:top w:val="single" w:color="000000" w:sz="4" w:space="0"/>
              <w:bottom w:val="single" w:color="000000" w:sz="4" w:space="0"/>
              <w:right w:val="single" w:color="000000" w:sz="4" w:space="0"/>
            </w:tcBorders>
            <w:noWrap w:val="0"/>
            <w:vAlign w:val="center"/>
          </w:tcPr>
          <w:p w14:paraId="1B2574D1">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点号</w:t>
            </w:r>
          </w:p>
        </w:tc>
        <w:tc>
          <w:tcPr>
            <w:tcW w:w="3137" w:type="pct"/>
            <w:gridSpan w:val="3"/>
            <w:tcBorders>
              <w:top w:val="single" w:color="000000" w:sz="4" w:space="0"/>
              <w:left w:val="nil"/>
              <w:bottom w:val="single" w:color="000000" w:sz="4" w:space="0"/>
            </w:tcBorders>
            <w:noWrap w:val="0"/>
            <w:vAlign w:val="center"/>
          </w:tcPr>
          <w:p w14:paraId="7C3D7F8E">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拟建</w:t>
            </w:r>
            <w:r>
              <w:rPr>
                <w:rFonts w:hint="eastAsia" w:ascii="Times New Roman" w:hAnsi="Times New Roman" w:cs="Times New Roman" w:eastAsiaTheme="minorEastAsia"/>
                <w:color w:val="auto"/>
                <w:w w:val="99"/>
                <w:sz w:val="21"/>
                <w:szCs w:val="21"/>
                <w:highlight w:val="none"/>
                <w:lang w:eastAsia="zh-CN"/>
              </w:rPr>
              <w:t>徐深27-H1井</w:t>
            </w:r>
            <w:r>
              <w:rPr>
                <w:rFonts w:hint="eastAsia" w:ascii="Times New Roman" w:hAnsi="Times New Roman" w:cs="Times New Roman" w:eastAsiaTheme="minorEastAsia"/>
                <w:color w:val="auto"/>
                <w:w w:val="99"/>
                <w:sz w:val="21"/>
                <w:szCs w:val="21"/>
                <w:highlight w:val="none"/>
                <w:lang w:val="en-US" w:eastAsia="zh-CN"/>
              </w:rPr>
              <w:t>井场占地内1#</w:t>
            </w:r>
          </w:p>
        </w:tc>
      </w:tr>
      <w:tr w14:paraId="2E0C42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862" w:type="pct"/>
            <w:gridSpan w:val="2"/>
            <w:tcBorders>
              <w:top w:val="single" w:color="000000" w:sz="4" w:space="0"/>
              <w:bottom w:val="single" w:color="000000" w:sz="4" w:space="0"/>
              <w:right w:val="single" w:color="000000" w:sz="4" w:space="0"/>
            </w:tcBorders>
            <w:noWrap w:val="0"/>
            <w:vAlign w:val="center"/>
          </w:tcPr>
          <w:p w14:paraId="0DC392A5">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经纬度</w:t>
            </w:r>
          </w:p>
        </w:tc>
        <w:tc>
          <w:tcPr>
            <w:tcW w:w="3137" w:type="pct"/>
            <w:gridSpan w:val="3"/>
            <w:tcBorders>
              <w:top w:val="single" w:color="000000" w:sz="4" w:space="0"/>
              <w:left w:val="nil"/>
              <w:bottom w:val="single" w:color="000000" w:sz="4" w:space="0"/>
            </w:tcBorders>
            <w:noWrap w:val="0"/>
            <w:vAlign w:val="center"/>
          </w:tcPr>
          <w:p w14:paraId="35B0E3D9">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125.519037  45.895931</w:t>
            </w:r>
          </w:p>
        </w:tc>
      </w:tr>
      <w:tr w14:paraId="255290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62" w:type="pct"/>
            <w:gridSpan w:val="2"/>
            <w:tcBorders>
              <w:top w:val="single" w:color="000000" w:sz="4" w:space="0"/>
              <w:bottom w:val="single" w:color="000000" w:sz="4" w:space="0"/>
              <w:right w:val="single" w:color="000000" w:sz="4" w:space="0"/>
            </w:tcBorders>
            <w:noWrap w:val="0"/>
            <w:vAlign w:val="center"/>
          </w:tcPr>
          <w:p w14:paraId="7514C78D">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层次</w:t>
            </w:r>
          </w:p>
        </w:tc>
        <w:tc>
          <w:tcPr>
            <w:tcW w:w="1044" w:type="pct"/>
            <w:tcBorders>
              <w:top w:val="single" w:color="000000" w:sz="4" w:space="0"/>
              <w:left w:val="nil"/>
              <w:bottom w:val="single" w:color="000000" w:sz="4" w:space="0"/>
              <w:right w:val="single" w:color="000000" w:sz="4" w:space="0"/>
            </w:tcBorders>
            <w:noWrap w:val="0"/>
            <w:vAlign w:val="center"/>
          </w:tcPr>
          <w:p w14:paraId="4FEA63B3">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0-50cm</w:t>
            </w:r>
          </w:p>
        </w:tc>
        <w:tc>
          <w:tcPr>
            <w:tcW w:w="1044" w:type="pct"/>
            <w:tcBorders>
              <w:top w:val="single" w:color="000000" w:sz="4" w:space="0"/>
              <w:left w:val="nil"/>
              <w:bottom w:val="single" w:color="000000" w:sz="4" w:space="0"/>
            </w:tcBorders>
            <w:noWrap w:val="0"/>
            <w:vAlign w:val="center"/>
          </w:tcPr>
          <w:p w14:paraId="1DCD1D5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50-150cm</w:t>
            </w:r>
          </w:p>
        </w:tc>
        <w:tc>
          <w:tcPr>
            <w:tcW w:w="1047" w:type="pct"/>
            <w:tcBorders>
              <w:top w:val="single" w:color="000000" w:sz="4" w:space="0"/>
              <w:left w:val="nil"/>
              <w:bottom w:val="single" w:color="000000" w:sz="4" w:space="0"/>
            </w:tcBorders>
            <w:noWrap w:val="0"/>
            <w:vAlign w:val="center"/>
          </w:tcPr>
          <w:p w14:paraId="0D2FF60A">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150-300cm</w:t>
            </w:r>
          </w:p>
        </w:tc>
      </w:tr>
      <w:tr w14:paraId="56DE01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598" w:type="pct"/>
            <w:vMerge w:val="restart"/>
            <w:tcBorders>
              <w:top w:val="nil"/>
              <w:bottom w:val="single" w:color="000000" w:sz="4" w:space="0"/>
              <w:right w:val="single" w:color="000000" w:sz="4" w:space="0"/>
            </w:tcBorders>
            <w:noWrap w:val="0"/>
            <w:vAlign w:val="center"/>
          </w:tcPr>
          <w:p w14:paraId="04E6B7D5">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p>
          <w:p w14:paraId="6C05FC76">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现场记录</w:t>
            </w:r>
          </w:p>
        </w:tc>
        <w:tc>
          <w:tcPr>
            <w:tcW w:w="1264" w:type="pct"/>
            <w:tcBorders>
              <w:top w:val="single" w:color="000000" w:sz="4" w:space="0"/>
              <w:left w:val="nil"/>
              <w:bottom w:val="single" w:color="000000" w:sz="4" w:space="0"/>
              <w:right w:val="single" w:color="000000" w:sz="4" w:space="0"/>
            </w:tcBorders>
            <w:noWrap w:val="0"/>
            <w:vAlign w:val="center"/>
          </w:tcPr>
          <w:p w14:paraId="735EF194">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颜色</w:t>
            </w:r>
          </w:p>
        </w:tc>
        <w:tc>
          <w:tcPr>
            <w:tcW w:w="1044" w:type="pct"/>
            <w:tcBorders>
              <w:top w:val="single" w:color="000000" w:sz="4" w:space="0"/>
              <w:left w:val="nil"/>
              <w:bottom w:val="single" w:color="000000" w:sz="4" w:space="0"/>
              <w:right w:val="single" w:color="000000" w:sz="4" w:space="0"/>
            </w:tcBorders>
            <w:noWrap w:val="0"/>
            <w:vAlign w:val="center"/>
          </w:tcPr>
          <w:p w14:paraId="3EC46CF8">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黑</w:t>
            </w:r>
            <w:r>
              <w:rPr>
                <w:rFonts w:hint="eastAsia" w:ascii="Times New Roman" w:hAnsi="Times New Roman" w:cs="Times New Roman" w:eastAsiaTheme="minorEastAsia"/>
                <w:color w:val="auto"/>
                <w:w w:val="99"/>
                <w:sz w:val="21"/>
                <w:szCs w:val="21"/>
                <w:highlight w:val="none"/>
              </w:rPr>
              <w:t>色</w:t>
            </w:r>
          </w:p>
        </w:tc>
        <w:tc>
          <w:tcPr>
            <w:tcW w:w="1044" w:type="pct"/>
            <w:tcBorders>
              <w:top w:val="single" w:color="000000" w:sz="4" w:space="0"/>
              <w:left w:val="nil"/>
              <w:bottom w:val="single" w:color="000000" w:sz="4" w:space="0"/>
            </w:tcBorders>
            <w:noWrap w:val="0"/>
            <w:vAlign w:val="center"/>
          </w:tcPr>
          <w:p w14:paraId="046AC9F1">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黑</w:t>
            </w:r>
            <w:r>
              <w:rPr>
                <w:rFonts w:hint="eastAsia" w:ascii="Times New Roman" w:hAnsi="Times New Roman" w:cs="Times New Roman" w:eastAsiaTheme="minorEastAsia"/>
                <w:color w:val="auto"/>
                <w:w w:val="99"/>
                <w:sz w:val="21"/>
                <w:szCs w:val="21"/>
                <w:highlight w:val="none"/>
              </w:rPr>
              <w:t>色</w:t>
            </w:r>
          </w:p>
        </w:tc>
        <w:tc>
          <w:tcPr>
            <w:tcW w:w="1047" w:type="pct"/>
            <w:tcBorders>
              <w:top w:val="single" w:color="000000" w:sz="4" w:space="0"/>
              <w:left w:val="nil"/>
              <w:bottom w:val="single" w:color="000000" w:sz="4" w:space="0"/>
            </w:tcBorders>
            <w:noWrap w:val="0"/>
            <w:vAlign w:val="center"/>
          </w:tcPr>
          <w:p w14:paraId="3785CCB7">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黑</w:t>
            </w:r>
            <w:r>
              <w:rPr>
                <w:rFonts w:hint="eastAsia" w:ascii="Times New Roman" w:hAnsi="Times New Roman" w:cs="Times New Roman" w:eastAsiaTheme="minorEastAsia"/>
                <w:color w:val="auto"/>
                <w:w w:val="99"/>
                <w:sz w:val="21"/>
                <w:szCs w:val="21"/>
                <w:highlight w:val="none"/>
              </w:rPr>
              <w:t>色</w:t>
            </w:r>
          </w:p>
        </w:tc>
      </w:tr>
      <w:tr w14:paraId="771847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598" w:type="pct"/>
            <w:vMerge w:val="continue"/>
            <w:tcBorders>
              <w:top w:val="nil"/>
              <w:bottom w:val="single" w:color="000000" w:sz="4" w:space="0"/>
              <w:right w:val="single" w:color="000000" w:sz="4" w:space="0"/>
            </w:tcBorders>
            <w:noWrap w:val="0"/>
            <w:vAlign w:val="center"/>
          </w:tcPr>
          <w:p w14:paraId="7722319A">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p>
        </w:tc>
        <w:tc>
          <w:tcPr>
            <w:tcW w:w="1264" w:type="pct"/>
            <w:tcBorders>
              <w:top w:val="single" w:color="000000" w:sz="4" w:space="0"/>
              <w:left w:val="nil"/>
              <w:bottom w:val="single" w:color="000000" w:sz="4" w:space="0"/>
              <w:right w:val="single" w:color="000000" w:sz="4" w:space="0"/>
            </w:tcBorders>
            <w:noWrap w:val="0"/>
            <w:vAlign w:val="center"/>
          </w:tcPr>
          <w:p w14:paraId="0D3D3384">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结构</w:t>
            </w:r>
          </w:p>
        </w:tc>
        <w:tc>
          <w:tcPr>
            <w:tcW w:w="1044" w:type="pct"/>
            <w:tcBorders>
              <w:top w:val="single" w:color="000000" w:sz="4" w:space="0"/>
              <w:left w:val="nil"/>
              <w:bottom w:val="single" w:color="000000" w:sz="4" w:space="0"/>
              <w:right w:val="single" w:color="000000" w:sz="4" w:space="0"/>
            </w:tcBorders>
            <w:noWrap w:val="0"/>
            <w:vAlign w:val="center"/>
          </w:tcPr>
          <w:p w14:paraId="470BB37E">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块</w:t>
            </w:r>
            <w:r>
              <w:rPr>
                <w:rFonts w:hint="eastAsia" w:ascii="Times New Roman" w:hAnsi="Times New Roman" w:cs="Times New Roman" w:eastAsiaTheme="minorEastAsia"/>
                <w:color w:val="auto"/>
                <w:w w:val="99"/>
                <w:sz w:val="21"/>
                <w:szCs w:val="21"/>
                <w:highlight w:val="none"/>
              </w:rPr>
              <w:t>状</w:t>
            </w:r>
          </w:p>
        </w:tc>
        <w:tc>
          <w:tcPr>
            <w:tcW w:w="1044" w:type="pct"/>
            <w:tcBorders>
              <w:top w:val="single" w:color="000000" w:sz="4" w:space="0"/>
              <w:left w:val="nil"/>
              <w:bottom w:val="single" w:color="000000" w:sz="4" w:space="0"/>
            </w:tcBorders>
            <w:noWrap w:val="0"/>
            <w:vAlign w:val="center"/>
          </w:tcPr>
          <w:p w14:paraId="186DF0BD">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面</w:t>
            </w:r>
            <w:r>
              <w:rPr>
                <w:rFonts w:hint="eastAsia" w:ascii="Times New Roman" w:hAnsi="Times New Roman" w:cs="Times New Roman" w:eastAsiaTheme="minorEastAsia"/>
                <w:color w:val="auto"/>
                <w:w w:val="99"/>
                <w:sz w:val="21"/>
                <w:szCs w:val="21"/>
                <w:highlight w:val="none"/>
              </w:rPr>
              <w:t>状</w:t>
            </w:r>
          </w:p>
        </w:tc>
        <w:tc>
          <w:tcPr>
            <w:tcW w:w="1047" w:type="pct"/>
            <w:tcBorders>
              <w:top w:val="single" w:color="000000" w:sz="4" w:space="0"/>
              <w:left w:val="nil"/>
              <w:bottom w:val="single" w:color="000000" w:sz="4" w:space="0"/>
            </w:tcBorders>
            <w:noWrap w:val="0"/>
            <w:vAlign w:val="center"/>
          </w:tcPr>
          <w:p w14:paraId="1A3CF246">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面</w:t>
            </w:r>
            <w:r>
              <w:rPr>
                <w:rFonts w:hint="eastAsia" w:ascii="Times New Roman" w:hAnsi="Times New Roman" w:cs="Times New Roman" w:eastAsiaTheme="minorEastAsia"/>
                <w:color w:val="auto"/>
                <w:w w:val="99"/>
                <w:sz w:val="21"/>
                <w:szCs w:val="21"/>
                <w:highlight w:val="none"/>
              </w:rPr>
              <w:t>状</w:t>
            </w:r>
          </w:p>
        </w:tc>
      </w:tr>
      <w:tr w14:paraId="1B4185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598" w:type="pct"/>
            <w:vMerge w:val="continue"/>
            <w:tcBorders>
              <w:top w:val="nil"/>
              <w:bottom w:val="single" w:color="000000" w:sz="4" w:space="0"/>
              <w:right w:val="single" w:color="000000" w:sz="4" w:space="0"/>
            </w:tcBorders>
            <w:noWrap w:val="0"/>
            <w:vAlign w:val="center"/>
          </w:tcPr>
          <w:p w14:paraId="505B5D41">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p>
        </w:tc>
        <w:tc>
          <w:tcPr>
            <w:tcW w:w="1264" w:type="pct"/>
            <w:tcBorders>
              <w:top w:val="single" w:color="000000" w:sz="4" w:space="0"/>
              <w:left w:val="nil"/>
              <w:bottom w:val="single" w:color="000000" w:sz="4" w:space="0"/>
              <w:right w:val="single" w:color="000000" w:sz="4" w:space="0"/>
            </w:tcBorders>
            <w:noWrap w:val="0"/>
            <w:vAlign w:val="center"/>
          </w:tcPr>
          <w:p w14:paraId="53956571">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质地</w:t>
            </w:r>
          </w:p>
        </w:tc>
        <w:tc>
          <w:tcPr>
            <w:tcW w:w="1044" w:type="pct"/>
            <w:tcBorders>
              <w:top w:val="single" w:color="000000" w:sz="4" w:space="0"/>
              <w:left w:val="nil"/>
              <w:bottom w:val="single" w:color="000000" w:sz="4" w:space="0"/>
              <w:right w:val="single" w:color="000000" w:sz="4" w:space="0"/>
            </w:tcBorders>
            <w:noWrap w:val="0"/>
            <w:vAlign w:val="center"/>
          </w:tcPr>
          <w:p w14:paraId="70507E8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壤土</w:t>
            </w:r>
          </w:p>
        </w:tc>
        <w:tc>
          <w:tcPr>
            <w:tcW w:w="1044" w:type="pct"/>
            <w:tcBorders>
              <w:top w:val="single" w:color="000000" w:sz="4" w:space="0"/>
              <w:left w:val="nil"/>
              <w:bottom w:val="single" w:color="000000" w:sz="4" w:space="0"/>
            </w:tcBorders>
            <w:noWrap w:val="0"/>
            <w:vAlign w:val="center"/>
          </w:tcPr>
          <w:p w14:paraId="1A18B0AD">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壤土</w:t>
            </w:r>
          </w:p>
        </w:tc>
        <w:tc>
          <w:tcPr>
            <w:tcW w:w="1047" w:type="pct"/>
            <w:tcBorders>
              <w:top w:val="single" w:color="000000" w:sz="4" w:space="0"/>
              <w:left w:val="nil"/>
              <w:bottom w:val="single" w:color="000000" w:sz="4" w:space="0"/>
            </w:tcBorders>
            <w:noWrap w:val="0"/>
            <w:vAlign w:val="center"/>
          </w:tcPr>
          <w:p w14:paraId="6ABFFD95">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壤土</w:t>
            </w:r>
          </w:p>
        </w:tc>
      </w:tr>
      <w:tr w14:paraId="45A7BEC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98" w:type="pct"/>
            <w:vMerge w:val="continue"/>
            <w:tcBorders>
              <w:top w:val="nil"/>
              <w:bottom w:val="single" w:color="000000" w:sz="4" w:space="0"/>
              <w:right w:val="single" w:color="000000" w:sz="4" w:space="0"/>
            </w:tcBorders>
            <w:noWrap w:val="0"/>
            <w:vAlign w:val="center"/>
          </w:tcPr>
          <w:p w14:paraId="0A21510D">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p>
        </w:tc>
        <w:tc>
          <w:tcPr>
            <w:tcW w:w="1264" w:type="pct"/>
            <w:tcBorders>
              <w:top w:val="single" w:color="000000" w:sz="4" w:space="0"/>
              <w:left w:val="nil"/>
              <w:bottom w:val="single" w:color="000000" w:sz="4" w:space="0"/>
              <w:right w:val="single" w:color="000000" w:sz="4" w:space="0"/>
            </w:tcBorders>
            <w:noWrap w:val="0"/>
            <w:vAlign w:val="center"/>
          </w:tcPr>
          <w:p w14:paraId="752FCEBD">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砂砾含量</w:t>
            </w:r>
          </w:p>
        </w:tc>
        <w:tc>
          <w:tcPr>
            <w:tcW w:w="1044" w:type="pct"/>
            <w:tcBorders>
              <w:top w:val="single" w:color="000000" w:sz="4" w:space="0"/>
              <w:left w:val="nil"/>
              <w:bottom w:val="single" w:color="000000" w:sz="4" w:space="0"/>
              <w:right w:val="single" w:color="000000" w:sz="4" w:space="0"/>
            </w:tcBorders>
            <w:noWrap w:val="0"/>
            <w:vAlign w:val="center"/>
          </w:tcPr>
          <w:p w14:paraId="729C5783">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25～45%</w:t>
            </w:r>
          </w:p>
        </w:tc>
        <w:tc>
          <w:tcPr>
            <w:tcW w:w="1044" w:type="pct"/>
            <w:tcBorders>
              <w:top w:val="single" w:color="000000" w:sz="4" w:space="0"/>
              <w:left w:val="nil"/>
              <w:bottom w:val="single" w:color="000000" w:sz="4" w:space="0"/>
            </w:tcBorders>
            <w:noWrap w:val="0"/>
            <w:vAlign w:val="center"/>
          </w:tcPr>
          <w:p w14:paraId="4421748E">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25～45%</w:t>
            </w:r>
          </w:p>
        </w:tc>
        <w:tc>
          <w:tcPr>
            <w:tcW w:w="1047" w:type="pct"/>
            <w:tcBorders>
              <w:top w:val="single" w:color="000000" w:sz="4" w:space="0"/>
              <w:left w:val="nil"/>
              <w:bottom w:val="single" w:color="000000" w:sz="4" w:space="0"/>
            </w:tcBorders>
            <w:noWrap w:val="0"/>
            <w:vAlign w:val="center"/>
          </w:tcPr>
          <w:p w14:paraId="4D5B896A">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25～45%</w:t>
            </w:r>
          </w:p>
        </w:tc>
      </w:tr>
      <w:tr w14:paraId="2E2B0AE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98" w:type="pct"/>
            <w:vMerge w:val="continue"/>
            <w:tcBorders>
              <w:top w:val="nil"/>
              <w:bottom w:val="single" w:color="000000" w:sz="4" w:space="0"/>
              <w:right w:val="single" w:color="000000" w:sz="4" w:space="0"/>
            </w:tcBorders>
            <w:noWrap w:val="0"/>
            <w:vAlign w:val="center"/>
          </w:tcPr>
          <w:p w14:paraId="1A54F55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p>
        </w:tc>
        <w:tc>
          <w:tcPr>
            <w:tcW w:w="1264" w:type="pct"/>
            <w:tcBorders>
              <w:top w:val="single" w:color="000000" w:sz="4" w:space="0"/>
              <w:left w:val="nil"/>
              <w:bottom w:val="single" w:color="000000" w:sz="4" w:space="0"/>
              <w:right w:val="single" w:color="000000" w:sz="4" w:space="0"/>
            </w:tcBorders>
            <w:noWrap w:val="0"/>
            <w:vAlign w:val="center"/>
          </w:tcPr>
          <w:p w14:paraId="467E2FB9">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其他异物</w:t>
            </w:r>
          </w:p>
        </w:tc>
        <w:tc>
          <w:tcPr>
            <w:tcW w:w="1044" w:type="pct"/>
            <w:tcBorders>
              <w:top w:val="single" w:color="000000" w:sz="4" w:space="0"/>
              <w:left w:val="nil"/>
              <w:bottom w:val="single" w:color="000000" w:sz="4" w:space="0"/>
              <w:right w:val="single" w:color="000000" w:sz="4" w:space="0"/>
            </w:tcBorders>
            <w:noWrap w:val="0"/>
            <w:vAlign w:val="center"/>
          </w:tcPr>
          <w:p w14:paraId="284321FD">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植物根系</w:t>
            </w:r>
          </w:p>
        </w:tc>
        <w:tc>
          <w:tcPr>
            <w:tcW w:w="1044" w:type="pct"/>
            <w:tcBorders>
              <w:top w:val="single" w:color="000000" w:sz="4" w:space="0"/>
              <w:left w:val="nil"/>
              <w:bottom w:val="single" w:color="000000" w:sz="4" w:space="0"/>
            </w:tcBorders>
            <w:noWrap w:val="0"/>
            <w:vAlign w:val="center"/>
          </w:tcPr>
          <w:p w14:paraId="24CBE5B5">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047" w:type="pct"/>
            <w:tcBorders>
              <w:top w:val="single" w:color="000000" w:sz="4" w:space="0"/>
              <w:left w:val="nil"/>
              <w:bottom w:val="single" w:color="000000" w:sz="4" w:space="0"/>
            </w:tcBorders>
            <w:noWrap w:val="0"/>
            <w:vAlign w:val="center"/>
          </w:tcPr>
          <w:p w14:paraId="0A06B665">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14:paraId="465A0D0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598" w:type="pct"/>
            <w:vMerge w:val="restart"/>
            <w:tcBorders>
              <w:top w:val="nil"/>
              <w:bottom w:val="single" w:color="000000" w:sz="4" w:space="0"/>
              <w:right w:val="single" w:color="000000" w:sz="4" w:space="0"/>
            </w:tcBorders>
            <w:noWrap w:val="0"/>
            <w:vAlign w:val="center"/>
          </w:tcPr>
          <w:p w14:paraId="0780E910">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p>
          <w:p w14:paraId="07F658C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实验室测定</w:t>
            </w:r>
          </w:p>
        </w:tc>
        <w:tc>
          <w:tcPr>
            <w:tcW w:w="1264" w:type="pct"/>
            <w:tcBorders>
              <w:top w:val="single" w:color="000000" w:sz="4" w:space="0"/>
              <w:left w:val="nil"/>
              <w:bottom w:val="single" w:color="000000" w:sz="4" w:space="0"/>
              <w:right w:val="single" w:color="000000" w:sz="4" w:space="0"/>
            </w:tcBorders>
            <w:noWrap w:val="0"/>
            <w:vAlign w:val="center"/>
          </w:tcPr>
          <w:p w14:paraId="16EC317B">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 值</w:t>
            </w:r>
          </w:p>
        </w:tc>
        <w:tc>
          <w:tcPr>
            <w:tcW w:w="1044" w:type="pct"/>
            <w:tcBorders>
              <w:top w:val="single" w:color="000000" w:sz="4" w:space="0"/>
              <w:left w:val="nil"/>
              <w:bottom w:val="single" w:color="000000" w:sz="4" w:space="0"/>
              <w:right w:val="single" w:color="000000" w:sz="4" w:space="0"/>
            </w:tcBorders>
            <w:noWrap w:val="0"/>
            <w:vAlign w:val="center"/>
          </w:tcPr>
          <w:p w14:paraId="1BF4274B">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7.91</w:t>
            </w:r>
          </w:p>
        </w:tc>
        <w:tc>
          <w:tcPr>
            <w:tcW w:w="1044" w:type="pct"/>
            <w:tcBorders>
              <w:top w:val="single" w:color="000000" w:sz="4" w:space="0"/>
              <w:left w:val="nil"/>
              <w:bottom w:val="single" w:color="000000" w:sz="4" w:space="0"/>
            </w:tcBorders>
            <w:noWrap w:val="0"/>
            <w:vAlign w:val="center"/>
          </w:tcPr>
          <w:p w14:paraId="4F444583">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7.74</w:t>
            </w:r>
          </w:p>
        </w:tc>
        <w:tc>
          <w:tcPr>
            <w:tcW w:w="1047" w:type="pct"/>
            <w:tcBorders>
              <w:top w:val="single" w:color="000000" w:sz="4" w:space="0"/>
              <w:left w:val="nil"/>
              <w:bottom w:val="single" w:color="000000" w:sz="4" w:space="0"/>
            </w:tcBorders>
            <w:noWrap w:val="0"/>
            <w:vAlign w:val="center"/>
          </w:tcPr>
          <w:p w14:paraId="309260F4">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8.01</w:t>
            </w:r>
          </w:p>
        </w:tc>
      </w:tr>
      <w:tr w14:paraId="3E4F357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598" w:type="pct"/>
            <w:vMerge w:val="continue"/>
            <w:tcBorders>
              <w:top w:val="nil"/>
              <w:bottom w:val="single" w:color="000000" w:sz="4" w:space="0"/>
              <w:right w:val="single" w:color="000000" w:sz="4" w:space="0"/>
            </w:tcBorders>
            <w:noWrap w:val="0"/>
            <w:vAlign w:val="center"/>
          </w:tcPr>
          <w:p w14:paraId="7F703D85">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p>
        </w:tc>
        <w:tc>
          <w:tcPr>
            <w:tcW w:w="1264" w:type="pct"/>
            <w:tcBorders>
              <w:top w:val="single" w:color="000000" w:sz="4" w:space="0"/>
              <w:left w:val="nil"/>
              <w:bottom w:val="single" w:color="000000" w:sz="4" w:space="0"/>
              <w:right w:val="single" w:color="000000" w:sz="4" w:space="0"/>
            </w:tcBorders>
            <w:noWrap w:val="0"/>
            <w:vAlign w:val="center"/>
          </w:tcPr>
          <w:p w14:paraId="642B0D17">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阳离子交换量(cmol+/kg)</w:t>
            </w:r>
          </w:p>
        </w:tc>
        <w:tc>
          <w:tcPr>
            <w:tcW w:w="1044" w:type="pct"/>
            <w:tcBorders>
              <w:top w:val="single" w:color="000000" w:sz="4" w:space="0"/>
              <w:left w:val="nil"/>
              <w:bottom w:val="single" w:color="000000" w:sz="4" w:space="0"/>
              <w:right w:val="single" w:color="000000" w:sz="4" w:space="0"/>
            </w:tcBorders>
            <w:noWrap w:val="0"/>
            <w:vAlign w:val="center"/>
          </w:tcPr>
          <w:p w14:paraId="76FE7A0E">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12.2</w:t>
            </w:r>
          </w:p>
        </w:tc>
        <w:tc>
          <w:tcPr>
            <w:tcW w:w="1044" w:type="pct"/>
            <w:tcBorders>
              <w:top w:val="single" w:color="000000" w:sz="4" w:space="0"/>
              <w:left w:val="nil"/>
              <w:bottom w:val="single" w:color="000000" w:sz="4" w:space="0"/>
            </w:tcBorders>
            <w:noWrap w:val="0"/>
            <w:vAlign w:val="center"/>
          </w:tcPr>
          <w:p w14:paraId="7704F897">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10.7</w:t>
            </w:r>
          </w:p>
        </w:tc>
        <w:tc>
          <w:tcPr>
            <w:tcW w:w="1047" w:type="pct"/>
            <w:tcBorders>
              <w:top w:val="single" w:color="000000" w:sz="4" w:space="0"/>
              <w:left w:val="nil"/>
              <w:bottom w:val="single" w:color="000000" w:sz="4" w:space="0"/>
            </w:tcBorders>
            <w:noWrap w:val="0"/>
            <w:vAlign w:val="center"/>
          </w:tcPr>
          <w:p w14:paraId="6173399C">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11.5</w:t>
            </w:r>
          </w:p>
        </w:tc>
      </w:tr>
      <w:tr w14:paraId="672F23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598" w:type="pct"/>
            <w:vMerge w:val="continue"/>
            <w:tcBorders>
              <w:top w:val="nil"/>
              <w:bottom w:val="single" w:color="000000" w:sz="4" w:space="0"/>
              <w:right w:val="single" w:color="000000" w:sz="4" w:space="0"/>
            </w:tcBorders>
            <w:noWrap w:val="0"/>
            <w:vAlign w:val="center"/>
          </w:tcPr>
          <w:p w14:paraId="764419B6">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p>
        </w:tc>
        <w:tc>
          <w:tcPr>
            <w:tcW w:w="1264" w:type="pct"/>
            <w:tcBorders>
              <w:top w:val="single" w:color="000000" w:sz="4" w:space="0"/>
              <w:left w:val="nil"/>
              <w:bottom w:val="single" w:color="000000" w:sz="4" w:space="0"/>
              <w:right w:val="single" w:color="000000" w:sz="4" w:space="0"/>
            </w:tcBorders>
            <w:noWrap w:val="0"/>
            <w:vAlign w:val="center"/>
          </w:tcPr>
          <w:p w14:paraId="1BCDEE80">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氧化还原电位（mv）</w:t>
            </w:r>
          </w:p>
        </w:tc>
        <w:tc>
          <w:tcPr>
            <w:tcW w:w="1044" w:type="pct"/>
            <w:tcBorders>
              <w:top w:val="single" w:color="000000" w:sz="4" w:space="0"/>
              <w:left w:val="nil"/>
              <w:bottom w:val="single" w:color="000000" w:sz="4" w:space="0"/>
              <w:right w:val="single" w:color="000000" w:sz="4" w:space="0"/>
            </w:tcBorders>
            <w:noWrap w:val="0"/>
            <w:vAlign w:val="center"/>
          </w:tcPr>
          <w:p w14:paraId="20748D43">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204</w:t>
            </w:r>
          </w:p>
        </w:tc>
        <w:tc>
          <w:tcPr>
            <w:tcW w:w="1044" w:type="pct"/>
            <w:tcBorders>
              <w:top w:val="single" w:color="000000" w:sz="4" w:space="0"/>
              <w:left w:val="nil"/>
              <w:bottom w:val="single" w:color="000000" w:sz="4" w:space="0"/>
            </w:tcBorders>
            <w:noWrap w:val="0"/>
            <w:vAlign w:val="center"/>
          </w:tcPr>
          <w:p w14:paraId="2678143F">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185</w:t>
            </w:r>
          </w:p>
        </w:tc>
        <w:tc>
          <w:tcPr>
            <w:tcW w:w="1047" w:type="pct"/>
            <w:tcBorders>
              <w:top w:val="single" w:color="000000" w:sz="4" w:space="0"/>
              <w:left w:val="nil"/>
              <w:bottom w:val="single" w:color="000000" w:sz="4" w:space="0"/>
            </w:tcBorders>
            <w:noWrap w:val="0"/>
            <w:vAlign w:val="center"/>
          </w:tcPr>
          <w:p w14:paraId="113F9869">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191</w:t>
            </w:r>
          </w:p>
        </w:tc>
      </w:tr>
      <w:tr w14:paraId="109CE65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598" w:type="pct"/>
            <w:vMerge w:val="continue"/>
            <w:tcBorders>
              <w:top w:val="nil"/>
              <w:bottom w:val="single" w:color="000000" w:sz="4" w:space="0"/>
              <w:right w:val="single" w:color="000000" w:sz="4" w:space="0"/>
            </w:tcBorders>
            <w:noWrap w:val="0"/>
            <w:vAlign w:val="center"/>
          </w:tcPr>
          <w:p w14:paraId="1833DF21">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p>
        </w:tc>
        <w:tc>
          <w:tcPr>
            <w:tcW w:w="1264" w:type="pct"/>
            <w:tcBorders>
              <w:top w:val="single" w:color="000000" w:sz="4" w:space="0"/>
              <w:left w:val="nil"/>
              <w:bottom w:val="single" w:color="000000" w:sz="4" w:space="0"/>
              <w:right w:val="single" w:color="000000" w:sz="4" w:space="0"/>
            </w:tcBorders>
            <w:noWrap w:val="0"/>
            <w:vAlign w:val="center"/>
          </w:tcPr>
          <w:p w14:paraId="641EF4F5">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饱和导水率(mm/min)</w:t>
            </w:r>
          </w:p>
        </w:tc>
        <w:tc>
          <w:tcPr>
            <w:tcW w:w="1044" w:type="pct"/>
            <w:tcBorders>
              <w:top w:val="single" w:color="000000" w:sz="4" w:space="0"/>
              <w:left w:val="nil"/>
              <w:bottom w:val="single" w:color="000000" w:sz="4" w:space="0"/>
              <w:right w:val="single" w:color="000000" w:sz="4" w:space="0"/>
            </w:tcBorders>
            <w:noWrap w:val="0"/>
            <w:vAlign w:val="center"/>
          </w:tcPr>
          <w:p w14:paraId="279CECB7">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1.304</w:t>
            </w:r>
          </w:p>
        </w:tc>
        <w:tc>
          <w:tcPr>
            <w:tcW w:w="1044" w:type="pct"/>
            <w:tcBorders>
              <w:top w:val="single" w:color="000000" w:sz="4" w:space="0"/>
              <w:left w:val="nil"/>
              <w:bottom w:val="single" w:color="000000" w:sz="4" w:space="0"/>
            </w:tcBorders>
            <w:noWrap w:val="0"/>
            <w:vAlign w:val="center"/>
          </w:tcPr>
          <w:p w14:paraId="498507EF">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1.318</w:t>
            </w:r>
          </w:p>
        </w:tc>
        <w:tc>
          <w:tcPr>
            <w:tcW w:w="1047" w:type="pct"/>
            <w:tcBorders>
              <w:top w:val="single" w:color="000000" w:sz="4" w:space="0"/>
              <w:left w:val="nil"/>
              <w:bottom w:val="single" w:color="000000" w:sz="4" w:space="0"/>
            </w:tcBorders>
            <w:noWrap w:val="0"/>
            <w:vAlign w:val="center"/>
          </w:tcPr>
          <w:p w14:paraId="1CFACB2F">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1.323</w:t>
            </w:r>
          </w:p>
        </w:tc>
      </w:tr>
      <w:tr w14:paraId="70BDA53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598" w:type="pct"/>
            <w:vMerge w:val="continue"/>
            <w:tcBorders>
              <w:top w:val="nil"/>
              <w:bottom w:val="single" w:color="000000" w:sz="4" w:space="0"/>
              <w:right w:val="single" w:color="000000" w:sz="4" w:space="0"/>
            </w:tcBorders>
            <w:noWrap w:val="0"/>
            <w:vAlign w:val="center"/>
          </w:tcPr>
          <w:p w14:paraId="397F53BE">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p>
        </w:tc>
        <w:tc>
          <w:tcPr>
            <w:tcW w:w="1264" w:type="pct"/>
            <w:tcBorders>
              <w:top w:val="single" w:color="000000" w:sz="4" w:space="0"/>
              <w:left w:val="nil"/>
              <w:bottom w:val="single" w:color="000000" w:sz="4" w:space="0"/>
              <w:right w:val="single" w:color="000000" w:sz="4" w:space="0"/>
            </w:tcBorders>
            <w:noWrap w:val="0"/>
            <w:vAlign w:val="center"/>
          </w:tcPr>
          <w:p w14:paraId="1D55CD86">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土壤容重 (g/cm</w:t>
            </w:r>
            <w:r>
              <w:rPr>
                <w:rFonts w:hint="eastAsia" w:ascii="Times New Roman" w:hAnsi="Times New Roman" w:cs="Times New Roman" w:eastAsiaTheme="minorEastAsia"/>
                <w:color w:val="auto"/>
                <w:w w:val="99"/>
                <w:sz w:val="21"/>
                <w:szCs w:val="21"/>
                <w:highlight w:val="none"/>
                <w:vertAlign w:val="superscript"/>
              </w:rPr>
              <w:t>3</w:t>
            </w:r>
            <w:r>
              <w:rPr>
                <w:rFonts w:hint="eastAsia" w:ascii="Times New Roman" w:hAnsi="Times New Roman" w:cs="Times New Roman" w:eastAsiaTheme="minorEastAsia"/>
                <w:color w:val="auto"/>
                <w:w w:val="99"/>
                <w:sz w:val="21"/>
                <w:szCs w:val="21"/>
                <w:highlight w:val="none"/>
              </w:rPr>
              <w:t>)</w:t>
            </w:r>
          </w:p>
        </w:tc>
        <w:tc>
          <w:tcPr>
            <w:tcW w:w="1044" w:type="pct"/>
            <w:tcBorders>
              <w:top w:val="single" w:color="000000" w:sz="4" w:space="0"/>
              <w:left w:val="nil"/>
              <w:bottom w:val="single" w:color="000000" w:sz="4" w:space="0"/>
              <w:right w:val="single" w:color="000000" w:sz="4" w:space="0"/>
            </w:tcBorders>
            <w:noWrap w:val="0"/>
            <w:vAlign w:val="center"/>
          </w:tcPr>
          <w:p w14:paraId="5110C154">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1.46</w:t>
            </w:r>
          </w:p>
        </w:tc>
        <w:tc>
          <w:tcPr>
            <w:tcW w:w="1044" w:type="pct"/>
            <w:tcBorders>
              <w:top w:val="single" w:color="000000" w:sz="4" w:space="0"/>
              <w:left w:val="nil"/>
              <w:bottom w:val="single" w:color="000000" w:sz="4" w:space="0"/>
            </w:tcBorders>
            <w:noWrap w:val="0"/>
            <w:vAlign w:val="center"/>
          </w:tcPr>
          <w:p w14:paraId="4E399BB2">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1.50</w:t>
            </w:r>
          </w:p>
        </w:tc>
        <w:tc>
          <w:tcPr>
            <w:tcW w:w="1047" w:type="pct"/>
            <w:tcBorders>
              <w:top w:val="single" w:color="000000" w:sz="4" w:space="0"/>
              <w:left w:val="nil"/>
              <w:bottom w:val="single" w:color="000000" w:sz="4" w:space="0"/>
            </w:tcBorders>
            <w:noWrap w:val="0"/>
            <w:vAlign w:val="center"/>
          </w:tcPr>
          <w:p w14:paraId="690A80D0">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1.48</w:t>
            </w:r>
          </w:p>
        </w:tc>
      </w:tr>
      <w:tr w14:paraId="3155BA4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598" w:type="pct"/>
            <w:vMerge w:val="continue"/>
            <w:tcBorders>
              <w:top w:val="nil"/>
              <w:right w:val="single" w:color="000000" w:sz="4" w:space="0"/>
            </w:tcBorders>
            <w:noWrap w:val="0"/>
            <w:vAlign w:val="center"/>
          </w:tcPr>
          <w:p w14:paraId="1AF39282">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p>
        </w:tc>
        <w:tc>
          <w:tcPr>
            <w:tcW w:w="1264" w:type="pct"/>
            <w:tcBorders>
              <w:top w:val="single" w:color="000000" w:sz="4" w:space="0"/>
              <w:left w:val="nil"/>
              <w:right w:val="single" w:color="000000" w:sz="4" w:space="0"/>
            </w:tcBorders>
            <w:noWrap w:val="0"/>
            <w:vAlign w:val="center"/>
          </w:tcPr>
          <w:p w14:paraId="5323E5A3">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孔隙度(%)</w:t>
            </w:r>
          </w:p>
        </w:tc>
        <w:tc>
          <w:tcPr>
            <w:tcW w:w="1044" w:type="pct"/>
            <w:tcBorders>
              <w:top w:val="single" w:color="000000" w:sz="4" w:space="0"/>
              <w:left w:val="nil"/>
              <w:right w:val="single" w:color="000000" w:sz="4" w:space="0"/>
            </w:tcBorders>
            <w:noWrap w:val="0"/>
            <w:vAlign w:val="center"/>
          </w:tcPr>
          <w:p w14:paraId="5D802FC7">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44.9</w:t>
            </w:r>
          </w:p>
        </w:tc>
        <w:tc>
          <w:tcPr>
            <w:tcW w:w="1044" w:type="pct"/>
            <w:tcBorders>
              <w:top w:val="single" w:color="000000" w:sz="4" w:space="0"/>
              <w:left w:val="nil"/>
            </w:tcBorders>
            <w:noWrap w:val="0"/>
            <w:vAlign w:val="center"/>
          </w:tcPr>
          <w:p w14:paraId="67E2E88C">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43.4</w:t>
            </w:r>
          </w:p>
        </w:tc>
        <w:tc>
          <w:tcPr>
            <w:tcW w:w="1047" w:type="pct"/>
            <w:tcBorders>
              <w:top w:val="single" w:color="000000" w:sz="4" w:space="0"/>
              <w:left w:val="nil"/>
            </w:tcBorders>
            <w:noWrap w:val="0"/>
            <w:vAlign w:val="center"/>
          </w:tcPr>
          <w:p w14:paraId="6C43AB43">
            <w:pPr>
              <w:widowControl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44.2</w:t>
            </w:r>
          </w:p>
        </w:tc>
      </w:tr>
    </w:tbl>
    <w:p w14:paraId="1FCF15F9">
      <w:pPr>
        <w:pStyle w:val="153"/>
        <w:widowControl w:val="0"/>
        <w:spacing w:line="440" w:lineRule="exact"/>
        <w:ind w:firstLine="478"/>
        <w:rPr>
          <w:rFonts w:ascii="Times New Roman" w:hAnsi="Times New Roman" w:eastAsiaTheme="minorEastAsia"/>
          <w:b/>
          <w:color w:val="auto"/>
          <w:w w:val="99"/>
          <w:szCs w:val="20"/>
          <w:highlight w:val="none"/>
        </w:rPr>
      </w:pPr>
      <w:r>
        <w:rPr>
          <w:rFonts w:ascii="Times New Roman" w:hAnsi="Times New Roman" w:eastAsiaTheme="minorEastAsia"/>
          <w:b/>
          <w:color w:val="auto"/>
          <w:w w:val="99"/>
          <w:szCs w:val="20"/>
          <w:highlight w:val="none"/>
        </w:rPr>
        <w:t>表4.3-</w:t>
      </w:r>
      <w:r>
        <w:rPr>
          <w:rFonts w:hint="eastAsia" w:ascii="Times New Roman" w:hAnsi="Times New Roman" w:eastAsiaTheme="minorEastAsia"/>
          <w:b/>
          <w:color w:val="auto"/>
          <w:w w:val="99"/>
          <w:szCs w:val="20"/>
          <w:highlight w:val="none"/>
          <w:lang w:val="en-US" w:eastAsia="zh-CN"/>
        </w:rPr>
        <w:t>1</w:t>
      </w:r>
      <w:r>
        <w:rPr>
          <w:rFonts w:ascii="Times New Roman" w:hAnsi="Times New Roman" w:eastAsiaTheme="minorEastAsia"/>
          <w:b/>
          <w:color w:val="auto"/>
          <w:w w:val="99"/>
          <w:szCs w:val="20"/>
          <w:highlight w:val="none"/>
        </w:rPr>
        <w:t>9    区域内土体构型（土壤剖面）</w:t>
      </w:r>
    </w:p>
    <w:tbl>
      <w:tblPr>
        <w:tblStyle w:val="80"/>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986"/>
        <w:gridCol w:w="2607"/>
        <w:gridCol w:w="2823"/>
      </w:tblGrid>
      <w:tr w14:paraId="3CDE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63" w:type="dxa"/>
            <w:noWrap w:val="0"/>
            <w:vAlign w:val="center"/>
          </w:tcPr>
          <w:p w14:paraId="2578B32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点号</w:t>
            </w:r>
          </w:p>
        </w:tc>
        <w:tc>
          <w:tcPr>
            <w:tcW w:w="2986" w:type="dxa"/>
            <w:noWrap w:val="0"/>
            <w:vAlign w:val="center"/>
          </w:tcPr>
          <w:p w14:paraId="7686863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景观照片</w:t>
            </w:r>
          </w:p>
        </w:tc>
        <w:tc>
          <w:tcPr>
            <w:tcW w:w="2607" w:type="dxa"/>
            <w:noWrap w:val="0"/>
            <w:vAlign w:val="center"/>
          </w:tcPr>
          <w:p w14:paraId="36D3A508">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土壤剖面照片</w:t>
            </w:r>
          </w:p>
        </w:tc>
        <w:tc>
          <w:tcPr>
            <w:tcW w:w="2823" w:type="dxa"/>
            <w:noWrap w:val="0"/>
            <w:vAlign w:val="center"/>
          </w:tcPr>
          <w:p w14:paraId="48B91B0E">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层次</w:t>
            </w:r>
          </w:p>
        </w:tc>
      </w:tr>
      <w:tr w14:paraId="6D22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63" w:type="dxa"/>
            <w:vMerge w:val="restart"/>
            <w:noWrap w:val="0"/>
            <w:vAlign w:val="center"/>
          </w:tcPr>
          <w:p w14:paraId="5A232E77">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拟建徐深27-H1井井场占地内1#</w:t>
            </w:r>
          </w:p>
        </w:tc>
        <w:tc>
          <w:tcPr>
            <w:tcW w:w="2986" w:type="dxa"/>
            <w:vMerge w:val="restart"/>
            <w:noWrap w:val="0"/>
            <w:vAlign w:val="center"/>
          </w:tcPr>
          <w:p w14:paraId="121FF59D">
            <w:pPr>
              <w:widowControl w:val="0"/>
              <w:snapToGrid w:val="0"/>
              <w:spacing w:line="240" w:lineRule="auto"/>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drawing>
                <wp:inline distT="0" distB="0" distL="114300" distR="114300">
                  <wp:extent cx="1755775" cy="3286125"/>
                  <wp:effectExtent l="0" t="0" r="15875" b="9525"/>
                  <wp:docPr id="29" name="图片 2" descr="微信图片_20260530214416_19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微信图片_20260530214416_197_6"/>
                          <pic:cNvPicPr>
                            <a:picLocks noChangeAspect="1"/>
                          </pic:cNvPicPr>
                        </pic:nvPicPr>
                        <pic:blipFill>
                          <a:blip r:embed="rId49"/>
                          <a:stretch>
                            <a:fillRect/>
                          </a:stretch>
                        </pic:blipFill>
                        <pic:spPr>
                          <a:xfrm>
                            <a:off x="0" y="0"/>
                            <a:ext cx="1755775" cy="3286125"/>
                          </a:xfrm>
                          <a:prstGeom prst="rect">
                            <a:avLst/>
                          </a:prstGeom>
                          <a:noFill/>
                          <a:ln>
                            <a:noFill/>
                          </a:ln>
                        </pic:spPr>
                      </pic:pic>
                    </a:graphicData>
                  </a:graphic>
                </wp:inline>
              </w:drawing>
            </w:r>
          </w:p>
        </w:tc>
        <w:tc>
          <w:tcPr>
            <w:tcW w:w="2607" w:type="dxa"/>
            <w:vMerge w:val="restart"/>
            <w:noWrap w:val="0"/>
            <w:vAlign w:val="center"/>
          </w:tcPr>
          <w:p w14:paraId="5A7D85E4">
            <w:pPr>
              <w:widowControl w:val="0"/>
              <w:snapToGrid w:val="0"/>
              <w:spacing w:line="240" w:lineRule="auto"/>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drawing>
                <wp:inline distT="0" distB="0" distL="114300" distR="114300">
                  <wp:extent cx="1515745" cy="3355340"/>
                  <wp:effectExtent l="0" t="0" r="8255" b="16510"/>
                  <wp:docPr id="26" name="图片 3" descr="微信图片_20260530134012_17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微信图片_20260530134012_177_6"/>
                          <pic:cNvPicPr>
                            <a:picLocks noChangeAspect="1"/>
                          </pic:cNvPicPr>
                        </pic:nvPicPr>
                        <pic:blipFill>
                          <a:blip r:embed="rId50"/>
                          <a:stretch>
                            <a:fillRect/>
                          </a:stretch>
                        </pic:blipFill>
                        <pic:spPr>
                          <a:xfrm>
                            <a:off x="0" y="0"/>
                            <a:ext cx="1515745" cy="3355340"/>
                          </a:xfrm>
                          <a:prstGeom prst="rect">
                            <a:avLst/>
                          </a:prstGeom>
                          <a:noFill/>
                          <a:ln>
                            <a:noFill/>
                          </a:ln>
                        </pic:spPr>
                      </pic:pic>
                    </a:graphicData>
                  </a:graphic>
                </wp:inline>
              </w:drawing>
            </w:r>
          </w:p>
        </w:tc>
        <w:tc>
          <w:tcPr>
            <w:tcW w:w="2823" w:type="dxa"/>
            <w:noWrap w:val="0"/>
            <w:vAlign w:val="center"/>
          </w:tcPr>
          <w:p w14:paraId="2BC28426">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0-0.5m   块状结构  壤土</w:t>
            </w:r>
          </w:p>
        </w:tc>
      </w:tr>
      <w:tr w14:paraId="251C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63" w:type="dxa"/>
            <w:vMerge w:val="continue"/>
            <w:noWrap w:val="0"/>
            <w:vAlign w:val="center"/>
          </w:tcPr>
          <w:p w14:paraId="20AE546C">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p>
        </w:tc>
        <w:tc>
          <w:tcPr>
            <w:tcW w:w="2986" w:type="dxa"/>
            <w:vMerge w:val="continue"/>
            <w:noWrap w:val="0"/>
            <w:vAlign w:val="center"/>
          </w:tcPr>
          <w:p w14:paraId="228B8930">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p>
        </w:tc>
        <w:tc>
          <w:tcPr>
            <w:tcW w:w="2607" w:type="dxa"/>
            <w:vMerge w:val="continue"/>
            <w:noWrap w:val="0"/>
            <w:vAlign w:val="center"/>
          </w:tcPr>
          <w:p w14:paraId="008F1CCF">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p>
        </w:tc>
        <w:tc>
          <w:tcPr>
            <w:tcW w:w="2823" w:type="dxa"/>
            <w:noWrap w:val="0"/>
            <w:vAlign w:val="center"/>
          </w:tcPr>
          <w:p w14:paraId="3BADEA38">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0.5-1.5m 面状结构  壤土</w:t>
            </w:r>
          </w:p>
        </w:tc>
      </w:tr>
      <w:tr w14:paraId="2B60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63" w:type="dxa"/>
            <w:vMerge w:val="continue"/>
            <w:noWrap w:val="0"/>
            <w:vAlign w:val="center"/>
          </w:tcPr>
          <w:p w14:paraId="762D31CB">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p>
        </w:tc>
        <w:tc>
          <w:tcPr>
            <w:tcW w:w="2986" w:type="dxa"/>
            <w:vMerge w:val="continue"/>
            <w:noWrap w:val="0"/>
            <w:vAlign w:val="center"/>
          </w:tcPr>
          <w:p w14:paraId="50D04C2D">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p>
        </w:tc>
        <w:tc>
          <w:tcPr>
            <w:tcW w:w="2607" w:type="dxa"/>
            <w:vMerge w:val="continue"/>
            <w:noWrap w:val="0"/>
            <w:vAlign w:val="center"/>
          </w:tcPr>
          <w:p w14:paraId="66E2D129">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p>
        </w:tc>
        <w:tc>
          <w:tcPr>
            <w:tcW w:w="2823" w:type="dxa"/>
            <w:noWrap w:val="0"/>
            <w:vAlign w:val="center"/>
          </w:tcPr>
          <w:p w14:paraId="4451BB20">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1.5-3m   面状结构  壤土</w:t>
            </w:r>
          </w:p>
        </w:tc>
      </w:tr>
      <w:tr w14:paraId="6B8A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1" w:hRule="atLeast"/>
        </w:trPr>
        <w:tc>
          <w:tcPr>
            <w:tcW w:w="963" w:type="dxa"/>
            <w:vMerge w:val="continue"/>
            <w:noWrap w:val="0"/>
            <w:vAlign w:val="center"/>
          </w:tcPr>
          <w:p w14:paraId="512A0033">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p>
        </w:tc>
        <w:tc>
          <w:tcPr>
            <w:tcW w:w="2986" w:type="dxa"/>
            <w:vMerge w:val="continue"/>
            <w:noWrap w:val="0"/>
            <w:vAlign w:val="center"/>
          </w:tcPr>
          <w:p w14:paraId="5CE3EC01">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p>
        </w:tc>
        <w:tc>
          <w:tcPr>
            <w:tcW w:w="2607" w:type="dxa"/>
            <w:vMerge w:val="continue"/>
            <w:noWrap w:val="0"/>
            <w:vAlign w:val="center"/>
          </w:tcPr>
          <w:p w14:paraId="259744C2">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p>
        </w:tc>
        <w:tc>
          <w:tcPr>
            <w:tcW w:w="2823" w:type="dxa"/>
            <w:noWrap w:val="0"/>
            <w:vAlign w:val="center"/>
          </w:tcPr>
          <w:p w14:paraId="0FE10ADE">
            <w:pPr>
              <w:widowControl w:val="0"/>
              <w:snapToGrid w:val="0"/>
              <w:spacing w:line="240" w:lineRule="auto"/>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drawing>
                <wp:inline distT="0" distB="0" distL="114300" distR="114300">
                  <wp:extent cx="1645920" cy="2354580"/>
                  <wp:effectExtent l="0" t="0" r="11430" b="7620"/>
                  <wp:docPr id="12" name="图片 4" descr="微信图片_20260530214352_18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微信图片_20260530214352_184_6"/>
                          <pic:cNvPicPr>
                            <a:picLocks noChangeAspect="1"/>
                          </pic:cNvPicPr>
                        </pic:nvPicPr>
                        <pic:blipFill>
                          <a:blip r:embed="rId51"/>
                          <a:stretch>
                            <a:fillRect/>
                          </a:stretch>
                        </pic:blipFill>
                        <pic:spPr>
                          <a:xfrm>
                            <a:off x="0" y="0"/>
                            <a:ext cx="1645920" cy="2354580"/>
                          </a:xfrm>
                          <a:prstGeom prst="rect">
                            <a:avLst/>
                          </a:prstGeom>
                          <a:noFill/>
                          <a:ln>
                            <a:noFill/>
                          </a:ln>
                        </pic:spPr>
                      </pic:pic>
                    </a:graphicData>
                  </a:graphic>
                </wp:inline>
              </w:drawing>
            </w:r>
          </w:p>
        </w:tc>
      </w:tr>
      <w:tr w14:paraId="0ED3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379" w:type="dxa"/>
            <w:gridSpan w:val="4"/>
            <w:noWrap w:val="0"/>
            <w:vAlign w:val="center"/>
          </w:tcPr>
          <w:p w14:paraId="6FFA4F04">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注：应给出带标尺的土壤剖面照片及其景观照片。</w:t>
            </w:r>
          </w:p>
        </w:tc>
      </w:tr>
      <w:tr w14:paraId="22EA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379" w:type="dxa"/>
            <w:gridSpan w:val="4"/>
            <w:noWrap w:val="0"/>
            <w:vAlign w:val="center"/>
          </w:tcPr>
          <w:p w14:paraId="219E5268">
            <w:pPr>
              <w:widowControl w:val="0"/>
              <w:snapToGrid w:val="0"/>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根据土壤分层情况描述土壤的理化特性。</w:t>
            </w:r>
          </w:p>
        </w:tc>
      </w:tr>
    </w:tbl>
    <w:p w14:paraId="388F5540">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4.3.5.2土壤环境质量现状监测</w:t>
      </w:r>
    </w:p>
    <w:p w14:paraId="6DC655C2">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（1）采样点布设</w:t>
      </w:r>
    </w:p>
    <w:p w14:paraId="6CD4E7B0">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本项目土壤环境影响类型属于污染影响型项目，评价等级为</w:t>
      </w:r>
      <w:r>
        <w:rPr>
          <w:rFonts w:hint="eastAsia" w:ascii="Times New Roman" w:hAnsi="Times New Roman" w:cs="Times New Roman" w:eastAsiaTheme="minorEastAsia"/>
          <w:color w:val="auto"/>
          <w:w w:val="99"/>
          <w:kern w:val="21"/>
          <w:highlight w:val="none"/>
          <w:lang w:val="en-US" w:eastAsia="zh-CN"/>
        </w:rPr>
        <w:t>二</w:t>
      </w:r>
      <w:r>
        <w:rPr>
          <w:rFonts w:ascii="Times New Roman" w:hAnsi="Times New Roman" w:cs="Times New Roman" w:eastAsiaTheme="minorEastAsia"/>
          <w:color w:val="auto"/>
          <w:w w:val="99"/>
          <w:kern w:val="21"/>
          <w:highlight w:val="none"/>
        </w:rPr>
        <w:t>级，由于本项目分布较分散，且根据</w:t>
      </w:r>
      <w:r>
        <w:rPr>
          <w:rFonts w:ascii="Times New Roman" w:hAnsi="Times New Roman" w:cs="Times New Roman" w:eastAsiaTheme="minorEastAsia"/>
          <w:color w:val="auto"/>
          <w:w w:val="99"/>
          <w:kern w:val="21"/>
          <w:highlight w:val="none"/>
          <w:lang w:bidi="zh-CN"/>
        </w:rPr>
        <w:t>《环境影响评价技术导则 土壤环境（试行）》（HJ964-2018）及《环境影响评价技术导则 陆地石油天然气开发建设项目》（HJ349-2023）中现状监测布点要求，</w:t>
      </w:r>
      <w:r>
        <w:rPr>
          <w:rFonts w:ascii="Times New Roman" w:hAnsi="Times New Roman" w:cs="Times New Roman" w:eastAsiaTheme="minorEastAsia"/>
          <w:color w:val="auto"/>
          <w:w w:val="99"/>
          <w:kern w:val="21"/>
          <w:highlight w:val="none"/>
        </w:rPr>
        <w:t>确定本项目永久占地范围内共布设</w:t>
      </w:r>
      <w:r>
        <w:rPr>
          <w:rFonts w:hint="eastAsia" w:ascii="Times New Roman" w:hAnsi="Times New Roman" w:cs="Times New Roman" w:eastAsiaTheme="minorEastAsia"/>
          <w:color w:val="auto"/>
          <w:w w:val="99"/>
          <w:kern w:val="21"/>
          <w:highlight w:val="none"/>
          <w:lang w:val="en-US" w:eastAsia="zh-CN"/>
        </w:rPr>
        <w:t>2</w:t>
      </w:r>
      <w:r>
        <w:rPr>
          <w:rFonts w:ascii="Times New Roman" w:hAnsi="Times New Roman" w:cs="Times New Roman" w:eastAsiaTheme="minorEastAsia"/>
          <w:color w:val="auto"/>
          <w:w w:val="99"/>
          <w:kern w:val="21"/>
          <w:highlight w:val="none"/>
        </w:rPr>
        <w:t>个表层样监测点、</w:t>
      </w:r>
      <w:r>
        <w:rPr>
          <w:rFonts w:hint="eastAsia" w:ascii="Times New Roman" w:hAnsi="Times New Roman" w:cs="Times New Roman" w:eastAsiaTheme="minorEastAsia"/>
          <w:color w:val="auto"/>
          <w:w w:val="99"/>
          <w:kern w:val="21"/>
          <w:highlight w:val="none"/>
          <w:lang w:val="en-US" w:eastAsia="zh-CN"/>
        </w:rPr>
        <w:t>3</w:t>
      </w:r>
      <w:r>
        <w:rPr>
          <w:rFonts w:ascii="Times New Roman" w:hAnsi="Times New Roman" w:cs="Times New Roman" w:eastAsiaTheme="minorEastAsia"/>
          <w:color w:val="auto"/>
          <w:w w:val="99"/>
          <w:kern w:val="21"/>
          <w:highlight w:val="none"/>
        </w:rPr>
        <w:t>个柱状样监测点，占地范围外农用地共布设</w:t>
      </w:r>
      <w:r>
        <w:rPr>
          <w:rFonts w:hint="eastAsia" w:ascii="Times New Roman" w:hAnsi="Times New Roman" w:cs="Times New Roman" w:eastAsiaTheme="minorEastAsia"/>
          <w:color w:val="auto"/>
          <w:w w:val="99"/>
          <w:kern w:val="21"/>
          <w:highlight w:val="none"/>
          <w:lang w:val="en-US" w:eastAsia="zh-CN"/>
        </w:rPr>
        <w:t>2</w:t>
      </w:r>
      <w:r>
        <w:rPr>
          <w:rFonts w:ascii="Times New Roman" w:hAnsi="Times New Roman" w:cs="Times New Roman" w:eastAsiaTheme="minorEastAsia"/>
          <w:color w:val="auto"/>
          <w:w w:val="99"/>
          <w:kern w:val="21"/>
          <w:highlight w:val="none"/>
        </w:rPr>
        <w:t>个表层样点，区域内村屯布设1个表层样点，土壤现状监测点位详见表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kern w:val="2"/>
          <w:szCs w:val="20"/>
          <w:highlight w:val="none"/>
          <w:lang w:val="en-US" w:eastAsia="zh-CN"/>
        </w:rPr>
        <w:t>20</w:t>
      </w:r>
      <w:r>
        <w:rPr>
          <w:rFonts w:ascii="Times New Roman" w:hAnsi="Times New Roman" w:cs="Times New Roman" w:eastAsiaTheme="minorEastAsia"/>
          <w:color w:val="auto"/>
          <w:w w:val="99"/>
          <w:kern w:val="21"/>
          <w:highlight w:val="none"/>
        </w:rPr>
        <w:t>，监测点位置见附图</w:t>
      </w:r>
      <w:r>
        <w:rPr>
          <w:rFonts w:hint="eastAsia" w:ascii="Times New Roman" w:hAnsi="Times New Roman" w:cs="Times New Roman" w:eastAsiaTheme="minorEastAsia"/>
          <w:color w:val="auto"/>
          <w:w w:val="99"/>
          <w:kern w:val="21"/>
          <w:highlight w:val="none"/>
          <w:lang w:val="en-US" w:eastAsia="zh-CN"/>
        </w:rPr>
        <w:t>6-3</w:t>
      </w:r>
      <w:r>
        <w:rPr>
          <w:rFonts w:ascii="Times New Roman" w:hAnsi="Times New Roman" w:cs="Times New Roman" w:eastAsiaTheme="minorEastAsia"/>
          <w:color w:val="auto"/>
          <w:w w:val="99"/>
          <w:kern w:val="21"/>
          <w:highlight w:val="none"/>
        </w:rPr>
        <w:t>。</w:t>
      </w:r>
    </w:p>
    <w:p w14:paraId="3EC940A6">
      <w:pPr>
        <w:widowControl w:val="0"/>
        <w:spacing w:line="44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color w:val="auto"/>
          <w:w w:val="99"/>
          <w:kern w:val="21"/>
          <w:highlight w:val="none"/>
          <w:lang w:bidi="zh-CN"/>
        </w:rPr>
        <w:t>表</w:t>
      </w:r>
      <w:r>
        <w:rPr>
          <w:rFonts w:ascii="Times New Roman" w:hAnsi="Times New Roman" w:cs="Times New Roman" w:eastAsiaTheme="minorEastAsia"/>
          <w:b/>
          <w:color w:val="auto"/>
          <w:w w:val="99"/>
          <w:kern w:val="2"/>
          <w:szCs w:val="20"/>
          <w:highlight w:val="none"/>
        </w:rPr>
        <w:t>4.3-</w:t>
      </w:r>
      <w:r>
        <w:rPr>
          <w:rFonts w:hint="eastAsia" w:ascii="Times New Roman" w:hAnsi="Times New Roman" w:cs="Times New Roman" w:eastAsiaTheme="minorEastAsia"/>
          <w:b/>
          <w:color w:val="auto"/>
          <w:w w:val="99"/>
          <w:kern w:val="2"/>
          <w:szCs w:val="20"/>
          <w:highlight w:val="none"/>
          <w:lang w:val="en-US" w:eastAsia="zh-CN"/>
        </w:rPr>
        <w:t>20</w:t>
      </w:r>
      <w:r>
        <w:rPr>
          <w:rFonts w:ascii="Times New Roman" w:hAnsi="Times New Roman" w:cs="Times New Roman" w:eastAsiaTheme="minorEastAsia"/>
          <w:b/>
          <w:color w:val="auto"/>
          <w:w w:val="99"/>
          <w:kern w:val="21"/>
          <w:highlight w:val="none"/>
          <w:lang w:bidi="zh-CN"/>
        </w:rPr>
        <w:t xml:space="preserve">    土壤现状监测点位</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9"/>
        <w:gridCol w:w="1800"/>
        <w:gridCol w:w="1609"/>
        <w:gridCol w:w="1718"/>
        <w:gridCol w:w="955"/>
        <w:gridCol w:w="2646"/>
      </w:tblGrid>
      <w:tr w14:paraId="0A14F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0" w:type="pct"/>
            <w:vAlign w:val="center"/>
          </w:tcPr>
          <w:p w14:paraId="0E5FAF5C">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编号</w:t>
            </w:r>
          </w:p>
        </w:tc>
        <w:tc>
          <w:tcPr>
            <w:tcW w:w="969" w:type="pct"/>
            <w:vAlign w:val="center"/>
          </w:tcPr>
          <w:p w14:paraId="3F3D5C84">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监测点名称</w:t>
            </w:r>
          </w:p>
        </w:tc>
        <w:tc>
          <w:tcPr>
            <w:tcW w:w="866" w:type="pct"/>
            <w:vAlign w:val="center"/>
          </w:tcPr>
          <w:p w14:paraId="38F335B0">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坐标</w:t>
            </w:r>
          </w:p>
        </w:tc>
        <w:tc>
          <w:tcPr>
            <w:tcW w:w="924" w:type="pct"/>
            <w:vAlign w:val="center"/>
          </w:tcPr>
          <w:p w14:paraId="5D4B5FAA">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执行标准</w:t>
            </w:r>
          </w:p>
        </w:tc>
        <w:tc>
          <w:tcPr>
            <w:tcW w:w="514" w:type="pct"/>
            <w:vAlign w:val="center"/>
          </w:tcPr>
          <w:p w14:paraId="32D4C7CD">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土壤类型</w:t>
            </w:r>
          </w:p>
        </w:tc>
        <w:tc>
          <w:tcPr>
            <w:tcW w:w="1424" w:type="pct"/>
            <w:vAlign w:val="center"/>
          </w:tcPr>
          <w:p w14:paraId="49384237">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备注</w:t>
            </w:r>
          </w:p>
        </w:tc>
      </w:tr>
      <w:tr w14:paraId="1DCDA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0" w:type="pct"/>
            <w:vAlign w:val="center"/>
          </w:tcPr>
          <w:p w14:paraId="40BE0AF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T</w:t>
            </w:r>
            <w:r>
              <w:rPr>
                <w:rFonts w:ascii="Times New Roman" w:hAnsi="Times New Roman" w:cs="Times New Roman" w:eastAsiaTheme="minorEastAsia"/>
                <w:color w:val="auto"/>
                <w:w w:val="99"/>
                <w:sz w:val="21"/>
                <w:szCs w:val="21"/>
                <w:highlight w:val="none"/>
              </w:rPr>
              <w:t>1</w:t>
            </w:r>
          </w:p>
        </w:tc>
        <w:tc>
          <w:tcPr>
            <w:tcW w:w="969" w:type="pct"/>
            <w:vAlign w:val="center"/>
          </w:tcPr>
          <w:p w14:paraId="588E70E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拟建徐深27-H1井井场占地内1#</w:t>
            </w:r>
          </w:p>
        </w:tc>
        <w:tc>
          <w:tcPr>
            <w:tcW w:w="866" w:type="pct"/>
            <w:vAlign w:val="center"/>
          </w:tcPr>
          <w:p w14:paraId="318FD5D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125.50851，45.89323</w:t>
            </w:r>
          </w:p>
        </w:tc>
        <w:tc>
          <w:tcPr>
            <w:tcW w:w="924" w:type="pct"/>
            <w:vMerge w:val="restart"/>
            <w:vAlign w:val="center"/>
          </w:tcPr>
          <w:p w14:paraId="776492A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《土壤环境质量建设用地土壤污染风险管控标准（试行）》（GB36600-2018）中第二类用地筛选值</w:t>
            </w:r>
          </w:p>
        </w:tc>
        <w:tc>
          <w:tcPr>
            <w:tcW w:w="514" w:type="pct"/>
            <w:vAlign w:val="center"/>
          </w:tcPr>
          <w:p w14:paraId="3DF10C4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黑钙土</w:t>
            </w:r>
          </w:p>
        </w:tc>
        <w:tc>
          <w:tcPr>
            <w:tcW w:w="1424" w:type="pct"/>
            <w:vAlign w:val="center"/>
          </w:tcPr>
          <w:p w14:paraId="3497578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采取柱状样，在0~0.5m、0.5~1.5m、1.5~3m分别取样</w:t>
            </w:r>
          </w:p>
        </w:tc>
      </w:tr>
      <w:tr w14:paraId="4E3CA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0" w:type="pct"/>
            <w:vAlign w:val="center"/>
          </w:tcPr>
          <w:p w14:paraId="42685EF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T</w:t>
            </w:r>
            <w:r>
              <w:rPr>
                <w:rFonts w:ascii="Times New Roman" w:hAnsi="Times New Roman" w:cs="Times New Roman" w:eastAsiaTheme="minorEastAsia"/>
                <w:color w:val="auto"/>
                <w:w w:val="99"/>
                <w:sz w:val="21"/>
                <w:szCs w:val="21"/>
                <w:highlight w:val="none"/>
              </w:rPr>
              <w:t>2</w:t>
            </w:r>
          </w:p>
        </w:tc>
        <w:tc>
          <w:tcPr>
            <w:tcW w:w="969" w:type="pct"/>
            <w:vAlign w:val="center"/>
          </w:tcPr>
          <w:p w14:paraId="0A19A86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拟建徐深27-H1井井场占地内2#</w:t>
            </w:r>
          </w:p>
        </w:tc>
        <w:tc>
          <w:tcPr>
            <w:tcW w:w="866" w:type="pct"/>
            <w:vAlign w:val="center"/>
          </w:tcPr>
          <w:p w14:paraId="2065CB4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125.50864，45.89324</w:t>
            </w:r>
          </w:p>
        </w:tc>
        <w:tc>
          <w:tcPr>
            <w:tcW w:w="924" w:type="pct"/>
            <w:vMerge w:val="continue"/>
            <w:vAlign w:val="center"/>
          </w:tcPr>
          <w:p w14:paraId="1241BE6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p>
        </w:tc>
        <w:tc>
          <w:tcPr>
            <w:tcW w:w="514" w:type="pct"/>
            <w:vAlign w:val="center"/>
          </w:tcPr>
          <w:p w14:paraId="41FB5B5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黑钙土</w:t>
            </w:r>
          </w:p>
        </w:tc>
        <w:tc>
          <w:tcPr>
            <w:tcW w:w="1424" w:type="pct"/>
            <w:vAlign w:val="center"/>
          </w:tcPr>
          <w:p w14:paraId="50D37DA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采取柱状样，在0~0.5m、0.5~1.5m、1.5~3m分别取样</w:t>
            </w:r>
          </w:p>
        </w:tc>
      </w:tr>
      <w:tr w14:paraId="20750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0" w:type="pct"/>
            <w:vAlign w:val="center"/>
          </w:tcPr>
          <w:p w14:paraId="114E618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T</w:t>
            </w:r>
            <w:r>
              <w:rPr>
                <w:rFonts w:ascii="Times New Roman" w:hAnsi="Times New Roman" w:cs="Times New Roman" w:eastAsiaTheme="minorEastAsia"/>
                <w:color w:val="auto"/>
                <w:w w:val="99"/>
                <w:sz w:val="21"/>
                <w:szCs w:val="21"/>
                <w:highlight w:val="none"/>
              </w:rPr>
              <w:t>3</w:t>
            </w:r>
          </w:p>
        </w:tc>
        <w:tc>
          <w:tcPr>
            <w:tcW w:w="969" w:type="pct"/>
            <w:vAlign w:val="center"/>
          </w:tcPr>
          <w:p w14:paraId="5521A91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拟建徐深27-H1井井场占地内3#</w:t>
            </w:r>
          </w:p>
        </w:tc>
        <w:tc>
          <w:tcPr>
            <w:tcW w:w="866" w:type="pct"/>
            <w:vAlign w:val="center"/>
          </w:tcPr>
          <w:p w14:paraId="5C49701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125.50864，45.89315</w:t>
            </w:r>
          </w:p>
        </w:tc>
        <w:tc>
          <w:tcPr>
            <w:tcW w:w="924" w:type="pct"/>
            <w:vMerge w:val="continue"/>
            <w:vAlign w:val="center"/>
          </w:tcPr>
          <w:p w14:paraId="2BD3C56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p>
        </w:tc>
        <w:tc>
          <w:tcPr>
            <w:tcW w:w="514" w:type="pct"/>
            <w:vAlign w:val="center"/>
          </w:tcPr>
          <w:p w14:paraId="1F90912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黑钙土</w:t>
            </w:r>
          </w:p>
        </w:tc>
        <w:tc>
          <w:tcPr>
            <w:tcW w:w="1424" w:type="pct"/>
            <w:vAlign w:val="center"/>
          </w:tcPr>
          <w:p w14:paraId="5107126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采取柱状样，在0~0.5m、0.5~1.5m、1.5~3m分别取样</w:t>
            </w:r>
          </w:p>
        </w:tc>
      </w:tr>
      <w:tr w14:paraId="08008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0" w:type="pct"/>
            <w:vAlign w:val="center"/>
          </w:tcPr>
          <w:p w14:paraId="60C709B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T</w:t>
            </w:r>
            <w:r>
              <w:rPr>
                <w:rFonts w:ascii="Times New Roman" w:hAnsi="Times New Roman" w:cs="Times New Roman" w:eastAsiaTheme="minorEastAsia"/>
                <w:color w:val="auto"/>
                <w:w w:val="99"/>
                <w:sz w:val="21"/>
                <w:szCs w:val="21"/>
                <w:highlight w:val="none"/>
              </w:rPr>
              <w:t>4</w:t>
            </w:r>
          </w:p>
        </w:tc>
        <w:tc>
          <w:tcPr>
            <w:tcW w:w="969" w:type="pct"/>
            <w:vAlign w:val="center"/>
          </w:tcPr>
          <w:p w14:paraId="4F1E2E3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已建徐深27井井场占地内</w:t>
            </w:r>
          </w:p>
        </w:tc>
        <w:tc>
          <w:tcPr>
            <w:tcW w:w="866" w:type="pct"/>
            <w:tcBorders>
              <w:bottom w:val="single" w:color="auto" w:sz="4" w:space="0"/>
            </w:tcBorders>
            <w:vAlign w:val="center"/>
          </w:tcPr>
          <w:p w14:paraId="20F15C4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125.51040，45.90029</w:t>
            </w:r>
          </w:p>
        </w:tc>
        <w:tc>
          <w:tcPr>
            <w:tcW w:w="924" w:type="pct"/>
            <w:vMerge w:val="continue"/>
            <w:vAlign w:val="center"/>
          </w:tcPr>
          <w:p w14:paraId="50B4B03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p>
        </w:tc>
        <w:tc>
          <w:tcPr>
            <w:tcW w:w="514" w:type="pct"/>
            <w:vAlign w:val="center"/>
          </w:tcPr>
          <w:p w14:paraId="7E218B1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黑钙土</w:t>
            </w:r>
          </w:p>
        </w:tc>
        <w:tc>
          <w:tcPr>
            <w:tcW w:w="1424" w:type="pct"/>
            <w:vAlign w:val="center"/>
          </w:tcPr>
          <w:p w14:paraId="1233560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采取柱状样，在0~0.5m、0.5~1.5m、1.5~3m分别取样</w:t>
            </w:r>
          </w:p>
        </w:tc>
      </w:tr>
      <w:tr w14:paraId="69776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0" w:type="pct"/>
            <w:vAlign w:val="center"/>
          </w:tcPr>
          <w:p w14:paraId="65EF9BC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T</w:t>
            </w:r>
            <w:r>
              <w:rPr>
                <w:rFonts w:ascii="Times New Roman" w:hAnsi="Times New Roman" w:cs="Times New Roman" w:eastAsiaTheme="minorEastAsia"/>
                <w:color w:val="auto"/>
                <w:w w:val="99"/>
                <w:sz w:val="21"/>
                <w:szCs w:val="21"/>
                <w:highlight w:val="none"/>
              </w:rPr>
              <w:t>5</w:t>
            </w:r>
          </w:p>
        </w:tc>
        <w:tc>
          <w:tcPr>
            <w:tcW w:w="969" w:type="pct"/>
            <w:vAlign w:val="center"/>
          </w:tcPr>
          <w:p w14:paraId="318FC6C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徐深27集气站内拟建生产阀组区</w:t>
            </w:r>
          </w:p>
        </w:tc>
        <w:tc>
          <w:tcPr>
            <w:tcW w:w="866" w:type="pct"/>
            <w:tcBorders>
              <w:top w:val="single" w:color="auto" w:sz="4" w:space="0"/>
              <w:bottom w:val="single" w:color="auto" w:sz="4" w:space="0"/>
            </w:tcBorders>
            <w:vAlign w:val="center"/>
          </w:tcPr>
          <w:p w14:paraId="42D6BEC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125.50521，45.90880</w:t>
            </w:r>
          </w:p>
        </w:tc>
        <w:tc>
          <w:tcPr>
            <w:tcW w:w="924" w:type="pct"/>
            <w:vMerge w:val="continue"/>
            <w:tcBorders>
              <w:bottom w:val="single" w:color="auto" w:sz="4" w:space="0"/>
            </w:tcBorders>
            <w:vAlign w:val="center"/>
          </w:tcPr>
          <w:p w14:paraId="788FFEC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p>
        </w:tc>
        <w:tc>
          <w:tcPr>
            <w:tcW w:w="514" w:type="pct"/>
            <w:vAlign w:val="center"/>
          </w:tcPr>
          <w:p w14:paraId="618FC4C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黑钙土</w:t>
            </w:r>
          </w:p>
        </w:tc>
        <w:tc>
          <w:tcPr>
            <w:tcW w:w="1424" w:type="pct"/>
            <w:vAlign w:val="center"/>
          </w:tcPr>
          <w:p w14:paraId="69E22CA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采取柱状样，在0~0.5m、0.5~1.5m、1.5~3m分别取样</w:t>
            </w:r>
          </w:p>
        </w:tc>
      </w:tr>
      <w:tr w14:paraId="5E406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0" w:type="pct"/>
            <w:vAlign w:val="center"/>
          </w:tcPr>
          <w:p w14:paraId="4D9491C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T6</w:t>
            </w:r>
          </w:p>
        </w:tc>
        <w:tc>
          <w:tcPr>
            <w:tcW w:w="969" w:type="pct"/>
            <w:vAlign w:val="center"/>
          </w:tcPr>
          <w:p w14:paraId="537BF8A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拟建徐深27-H1井井场占地外南侧200m</w:t>
            </w:r>
          </w:p>
        </w:tc>
        <w:tc>
          <w:tcPr>
            <w:tcW w:w="866" w:type="pct"/>
            <w:tcBorders>
              <w:top w:val="single" w:color="auto" w:sz="4" w:space="0"/>
              <w:bottom w:val="single" w:color="auto" w:sz="4" w:space="0"/>
            </w:tcBorders>
            <w:vAlign w:val="center"/>
          </w:tcPr>
          <w:p w14:paraId="119CAEA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125.50857，45.89132</w:t>
            </w:r>
          </w:p>
        </w:tc>
        <w:tc>
          <w:tcPr>
            <w:tcW w:w="924" w:type="pct"/>
            <w:vMerge w:val="restart"/>
            <w:tcBorders>
              <w:top w:val="single" w:color="auto" w:sz="4" w:space="0"/>
            </w:tcBorders>
            <w:vAlign w:val="center"/>
          </w:tcPr>
          <w:p w14:paraId="08BDF5D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《土壤环境质量农用地土壤污染风险管控标准（试行）》（GB15618—2018）中的筛选值</w:t>
            </w:r>
          </w:p>
        </w:tc>
        <w:tc>
          <w:tcPr>
            <w:tcW w:w="514" w:type="pct"/>
            <w:vAlign w:val="center"/>
          </w:tcPr>
          <w:p w14:paraId="226A672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黑钙土</w:t>
            </w:r>
          </w:p>
        </w:tc>
        <w:tc>
          <w:tcPr>
            <w:tcW w:w="1424" w:type="pct"/>
            <w:vAlign w:val="center"/>
          </w:tcPr>
          <w:p w14:paraId="7354486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采取表层样，在0~0.2m取样</w:t>
            </w:r>
          </w:p>
        </w:tc>
      </w:tr>
      <w:tr w14:paraId="6B040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0" w:type="pct"/>
            <w:vAlign w:val="center"/>
          </w:tcPr>
          <w:p w14:paraId="56E0088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T7</w:t>
            </w:r>
          </w:p>
        </w:tc>
        <w:tc>
          <w:tcPr>
            <w:tcW w:w="969" w:type="pct"/>
            <w:vAlign w:val="center"/>
          </w:tcPr>
          <w:p w14:paraId="5B2B401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拟建徐深27-H1井井场占地外西侧200m</w:t>
            </w:r>
          </w:p>
        </w:tc>
        <w:tc>
          <w:tcPr>
            <w:tcW w:w="866" w:type="pct"/>
            <w:tcBorders>
              <w:top w:val="single" w:color="auto" w:sz="4" w:space="0"/>
              <w:bottom w:val="single" w:color="auto" w:sz="4" w:space="0"/>
            </w:tcBorders>
            <w:vAlign w:val="center"/>
          </w:tcPr>
          <w:p w14:paraId="0B7DDEF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125.50551，45.89318</w:t>
            </w:r>
          </w:p>
        </w:tc>
        <w:tc>
          <w:tcPr>
            <w:tcW w:w="924" w:type="pct"/>
            <w:vMerge w:val="continue"/>
            <w:tcBorders>
              <w:bottom w:val="single" w:color="auto" w:sz="4" w:space="0"/>
            </w:tcBorders>
            <w:vAlign w:val="center"/>
          </w:tcPr>
          <w:p w14:paraId="19D916F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p>
        </w:tc>
        <w:tc>
          <w:tcPr>
            <w:tcW w:w="514" w:type="pct"/>
            <w:vAlign w:val="center"/>
          </w:tcPr>
          <w:p w14:paraId="1470448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草甸土</w:t>
            </w:r>
          </w:p>
        </w:tc>
        <w:tc>
          <w:tcPr>
            <w:tcW w:w="1424" w:type="pct"/>
            <w:vAlign w:val="center"/>
          </w:tcPr>
          <w:p w14:paraId="349C688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采取表层样，在0~0.2m取样</w:t>
            </w:r>
          </w:p>
        </w:tc>
      </w:tr>
    </w:tbl>
    <w:p w14:paraId="406D5722">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（2）监测项目</w:t>
      </w:r>
    </w:p>
    <w:p w14:paraId="3DB48194">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lang w:val="en-US" w:eastAsia="zh-CN"/>
        </w:rPr>
        <w:t>1</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lang w:val="en-US" w:eastAsia="zh-CN"/>
        </w:rPr>
        <w:t>5</w:t>
      </w:r>
      <w:r>
        <w:rPr>
          <w:rFonts w:ascii="Times New Roman" w:hAnsi="Times New Roman" w:cs="Times New Roman" w:eastAsiaTheme="minorEastAsia"/>
          <w:color w:val="auto"/>
          <w:w w:val="99"/>
          <w:kern w:val="21"/>
          <w:highlight w:val="none"/>
        </w:rPr>
        <w:t>#点位监测项目：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ascii="Times New Roman" w:hAnsi="Times New Roman" w:cs="Times New Roman" w:eastAsiaTheme="minorEastAsia"/>
          <w:color w:val="auto"/>
          <w:w w:val="99"/>
          <w:kern w:val="21"/>
          <w:highlight w:val="none"/>
          <w:vertAlign w:val="subscript"/>
        </w:rPr>
        <w:t>10</w:t>
      </w:r>
      <w:r>
        <w:rPr>
          <w:rFonts w:ascii="Times New Roman" w:hAnsi="Times New Roman" w:cs="Times New Roman" w:eastAsiaTheme="minorEastAsia"/>
          <w:color w:val="auto"/>
          <w:w w:val="99"/>
          <w:kern w:val="21"/>
          <w:highlight w:val="none"/>
        </w:rPr>
        <w:t>-C</w:t>
      </w:r>
      <w:r>
        <w:rPr>
          <w:rFonts w:ascii="Times New Roman" w:hAnsi="Times New Roman" w:cs="Times New Roman" w:eastAsiaTheme="minorEastAsia"/>
          <w:color w:val="auto"/>
          <w:w w:val="99"/>
          <w:kern w:val="21"/>
          <w:highlight w:val="none"/>
          <w:vertAlign w:val="subscript"/>
        </w:rPr>
        <w:t>40</w:t>
      </w:r>
      <w:r>
        <w:rPr>
          <w:rFonts w:ascii="Times New Roman" w:hAnsi="Times New Roman" w:cs="Times New Roman" w:eastAsiaTheme="minorEastAsia"/>
          <w:color w:val="auto"/>
          <w:w w:val="99"/>
          <w:kern w:val="21"/>
          <w:highlight w:val="none"/>
        </w:rPr>
        <w:t>）、石油类、石油烃（C</w:t>
      </w:r>
      <w:r>
        <w:rPr>
          <w:rFonts w:ascii="Times New Roman" w:hAnsi="Times New Roman" w:cs="Times New Roman" w:eastAsiaTheme="minorEastAsia"/>
          <w:color w:val="auto"/>
          <w:w w:val="99"/>
          <w:kern w:val="21"/>
          <w:highlight w:val="none"/>
          <w:vertAlign w:val="subscript"/>
        </w:rPr>
        <w:t>6</w:t>
      </w:r>
      <w:r>
        <w:rPr>
          <w:rFonts w:ascii="Times New Roman" w:hAnsi="Times New Roman" w:cs="Times New Roman" w:eastAsiaTheme="minorEastAsia"/>
          <w:color w:val="auto"/>
          <w:w w:val="99"/>
          <w:kern w:val="21"/>
          <w:highlight w:val="none"/>
        </w:rPr>
        <w:t>-C</w:t>
      </w:r>
      <w:r>
        <w:rPr>
          <w:rFonts w:ascii="Times New Roman" w:hAnsi="Times New Roman" w:cs="Times New Roman" w:eastAsiaTheme="minorEastAsia"/>
          <w:color w:val="auto"/>
          <w:w w:val="99"/>
          <w:kern w:val="21"/>
          <w:highlight w:val="none"/>
          <w:vertAlign w:val="subscript"/>
        </w:rPr>
        <w:t>9</w:t>
      </w:r>
      <w:r>
        <w:rPr>
          <w:rFonts w:ascii="Times New Roman" w:hAnsi="Times New Roman" w:cs="Times New Roman" w:eastAsiaTheme="minorEastAsia"/>
          <w:color w:val="auto"/>
          <w:w w:val="99"/>
          <w:kern w:val="21"/>
          <w:highlight w:val="none"/>
        </w:rPr>
        <w:t>）、水溶性盐总量，共50项。</w:t>
      </w:r>
    </w:p>
    <w:p w14:paraId="50DBD684">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lang w:val="en-US" w:eastAsia="zh-CN"/>
        </w:rPr>
        <w:t>6#-7#</w:t>
      </w:r>
      <w:r>
        <w:rPr>
          <w:rFonts w:ascii="Times New Roman" w:hAnsi="Times New Roman" w:cs="Times New Roman" w:eastAsiaTheme="minorEastAsia"/>
          <w:color w:val="auto"/>
          <w:w w:val="99"/>
          <w:kern w:val="21"/>
          <w:highlight w:val="none"/>
        </w:rPr>
        <w:t>点位监测项目：pH、镉、汞、砷、铅、铬、铜、镍、锌、石油烃（C</w:t>
      </w:r>
      <w:r>
        <w:rPr>
          <w:rFonts w:ascii="Times New Roman" w:hAnsi="Times New Roman" w:cs="Times New Roman" w:eastAsiaTheme="minorEastAsia"/>
          <w:color w:val="auto"/>
          <w:w w:val="99"/>
          <w:kern w:val="21"/>
          <w:highlight w:val="none"/>
          <w:vertAlign w:val="subscript"/>
        </w:rPr>
        <w:t>10</w:t>
      </w:r>
      <w:r>
        <w:rPr>
          <w:rFonts w:ascii="Times New Roman" w:hAnsi="Times New Roman" w:cs="Times New Roman" w:eastAsiaTheme="minorEastAsia"/>
          <w:color w:val="auto"/>
          <w:w w:val="99"/>
          <w:kern w:val="21"/>
          <w:highlight w:val="none"/>
        </w:rPr>
        <w:t>-C</w:t>
      </w:r>
      <w:r>
        <w:rPr>
          <w:rFonts w:ascii="Times New Roman" w:hAnsi="Times New Roman" w:cs="Times New Roman" w:eastAsiaTheme="minorEastAsia"/>
          <w:color w:val="auto"/>
          <w:w w:val="99"/>
          <w:kern w:val="21"/>
          <w:highlight w:val="none"/>
          <w:vertAlign w:val="subscript"/>
        </w:rPr>
        <w:t>40</w:t>
      </w:r>
      <w:r>
        <w:rPr>
          <w:rFonts w:ascii="Times New Roman" w:hAnsi="Times New Roman" w:cs="Times New Roman" w:eastAsiaTheme="minorEastAsia"/>
          <w:color w:val="auto"/>
          <w:w w:val="99"/>
          <w:kern w:val="21"/>
          <w:highlight w:val="none"/>
        </w:rPr>
        <w:t>）、石油类、石油烃（C</w:t>
      </w:r>
      <w:r>
        <w:rPr>
          <w:rFonts w:ascii="Times New Roman" w:hAnsi="Times New Roman" w:cs="Times New Roman" w:eastAsiaTheme="minorEastAsia"/>
          <w:color w:val="auto"/>
          <w:w w:val="99"/>
          <w:kern w:val="21"/>
          <w:highlight w:val="none"/>
          <w:vertAlign w:val="subscript"/>
        </w:rPr>
        <w:t>6</w:t>
      </w:r>
      <w:r>
        <w:rPr>
          <w:rFonts w:ascii="Times New Roman" w:hAnsi="Times New Roman" w:cs="Times New Roman" w:eastAsiaTheme="minorEastAsia"/>
          <w:color w:val="auto"/>
          <w:w w:val="99"/>
          <w:kern w:val="21"/>
          <w:highlight w:val="none"/>
        </w:rPr>
        <w:t>-C</w:t>
      </w:r>
      <w:r>
        <w:rPr>
          <w:rFonts w:ascii="Times New Roman" w:hAnsi="Times New Roman" w:cs="Times New Roman" w:eastAsiaTheme="minorEastAsia"/>
          <w:color w:val="auto"/>
          <w:w w:val="99"/>
          <w:kern w:val="21"/>
          <w:highlight w:val="none"/>
          <w:vertAlign w:val="subscript"/>
        </w:rPr>
        <w:t>9</w:t>
      </w:r>
      <w:r>
        <w:rPr>
          <w:rFonts w:ascii="Times New Roman" w:hAnsi="Times New Roman" w:cs="Times New Roman" w:eastAsiaTheme="minorEastAsia"/>
          <w:color w:val="auto"/>
          <w:w w:val="99"/>
          <w:kern w:val="21"/>
          <w:highlight w:val="none"/>
        </w:rPr>
        <w:t>）、水溶性盐总量，共13项。</w:t>
      </w:r>
    </w:p>
    <w:p w14:paraId="1CC1784C">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（3）监测时间</w:t>
      </w:r>
    </w:p>
    <w:p w14:paraId="4530B621">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202</w:t>
      </w:r>
      <w:r>
        <w:rPr>
          <w:rFonts w:hint="eastAsia" w:ascii="Times New Roman" w:hAnsi="Times New Roman" w:cs="Times New Roman" w:eastAsiaTheme="minorEastAsia"/>
          <w:color w:val="auto"/>
          <w:w w:val="99"/>
          <w:kern w:val="21"/>
          <w:highlight w:val="none"/>
          <w:lang w:val="en-US" w:eastAsia="zh-CN"/>
        </w:rPr>
        <w:t>6</w:t>
      </w:r>
      <w:r>
        <w:rPr>
          <w:rFonts w:ascii="Times New Roman" w:hAnsi="Times New Roman" w:cs="Times New Roman" w:eastAsiaTheme="minorEastAsia"/>
          <w:color w:val="auto"/>
          <w:w w:val="99"/>
          <w:kern w:val="21"/>
          <w:highlight w:val="none"/>
        </w:rPr>
        <w:t>年</w:t>
      </w:r>
      <w:r>
        <w:rPr>
          <w:rFonts w:hint="eastAsia" w:ascii="Times New Roman" w:hAnsi="Times New Roman" w:cs="Times New Roman" w:eastAsiaTheme="minorEastAsia"/>
          <w:color w:val="auto"/>
          <w:w w:val="99"/>
          <w:kern w:val="21"/>
          <w:highlight w:val="none"/>
          <w:lang w:val="en-US" w:eastAsia="zh-CN"/>
        </w:rPr>
        <w:t>06</w:t>
      </w:r>
      <w:r>
        <w:rPr>
          <w:rFonts w:ascii="Times New Roman" w:hAnsi="Times New Roman" w:cs="Times New Roman" w:eastAsiaTheme="minorEastAsia"/>
          <w:color w:val="auto"/>
          <w:w w:val="99"/>
          <w:kern w:val="21"/>
          <w:highlight w:val="none"/>
        </w:rPr>
        <w:t>月</w:t>
      </w:r>
      <w:r>
        <w:rPr>
          <w:rFonts w:hint="eastAsia" w:ascii="Times New Roman" w:hAnsi="Times New Roman" w:cs="Times New Roman" w:eastAsiaTheme="minorEastAsia"/>
          <w:color w:val="auto"/>
          <w:w w:val="99"/>
          <w:kern w:val="21"/>
          <w:highlight w:val="none"/>
          <w:lang w:val="en-US" w:eastAsia="zh-CN"/>
        </w:rPr>
        <w:t>01</w:t>
      </w:r>
      <w:r>
        <w:rPr>
          <w:rFonts w:ascii="Times New Roman" w:hAnsi="Times New Roman" w:cs="Times New Roman" w:eastAsiaTheme="minorEastAsia"/>
          <w:color w:val="auto"/>
          <w:w w:val="99"/>
          <w:kern w:val="21"/>
          <w:highlight w:val="none"/>
        </w:rPr>
        <w:t>日。</w:t>
      </w:r>
    </w:p>
    <w:p w14:paraId="78C7E481">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1"/>
          <w:highlight w:val="none"/>
        </w:rPr>
        <w:t>（4）</w:t>
      </w:r>
      <w:r>
        <w:rPr>
          <w:rFonts w:ascii="Times New Roman" w:hAnsi="Times New Roman" w:cs="Times New Roman" w:eastAsiaTheme="minorEastAsia"/>
          <w:color w:val="auto"/>
          <w:w w:val="99"/>
          <w:highlight w:val="none"/>
        </w:rPr>
        <w:t>监测频次</w:t>
      </w:r>
    </w:p>
    <w:p w14:paraId="279624DF">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采样1次，分别对各采样土壤进行监测因子全分析。</w:t>
      </w:r>
    </w:p>
    <w:p w14:paraId="46114A2A">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（5）监测结果</w:t>
      </w:r>
    </w:p>
    <w:p w14:paraId="20570E38">
      <w:pPr>
        <w:pStyle w:val="153"/>
        <w:widowControl w:val="0"/>
        <w:spacing w:line="440" w:lineRule="exact"/>
        <w:ind w:firstLine="478"/>
        <w:rPr>
          <w:rFonts w:ascii="Times New Roman" w:hAnsi="Times New Roman" w:eastAsiaTheme="minorEastAsia"/>
          <w:b/>
          <w:color w:val="auto"/>
          <w:w w:val="99"/>
          <w:kern w:val="21"/>
          <w:highlight w:val="none"/>
        </w:rPr>
      </w:pPr>
      <w:r>
        <w:rPr>
          <w:rFonts w:ascii="Times New Roman" w:hAnsi="Times New Roman" w:eastAsiaTheme="minorEastAsia"/>
          <w:b/>
          <w:color w:val="auto"/>
          <w:w w:val="99"/>
          <w:kern w:val="21"/>
          <w:highlight w:val="none"/>
          <w:lang w:bidi="zh-CN"/>
        </w:rPr>
        <w:t>表</w:t>
      </w:r>
      <w:r>
        <w:rPr>
          <w:rFonts w:ascii="Times New Roman" w:hAnsi="Times New Roman" w:eastAsiaTheme="minorEastAsia"/>
          <w:b/>
          <w:color w:val="auto"/>
          <w:w w:val="99"/>
          <w:kern w:val="2"/>
          <w:szCs w:val="20"/>
          <w:highlight w:val="none"/>
        </w:rPr>
        <w:t>4.3-</w:t>
      </w:r>
      <w:r>
        <w:rPr>
          <w:rFonts w:hint="eastAsia" w:ascii="Times New Roman" w:hAnsi="Times New Roman" w:eastAsiaTheme="minorEastAsia"/>
          <w:b/>
          <w:color w:val="auto"/>
          <w:w w:val="99"/>
          <w:kern w:val="2"/>
          <w:szCs w:val="20"/>
          <w:highlight w:val="none"/>
          <w:lang w:val="en-US" w:eastAsia="zh-CN"/>
        </w:rPr>
        <w:t>2</w:t>
      </w:r>
      <w:r>
        <w:rPr>
          <w:rFonts w:ascii="Times New Roman" w:hAnsi="Times New Roman" w:eastAsiaTheme="minorEastAsia"/>
          <w:b/>
          <w:color w:val="auto"/>
          <w:w w:val="99"/>
          <w:kern w:val="2"/>
          <w:szCs w:val="20"/>
          <w:highlight w:val="none"/>
        </w:rPr>
        <w:t>1</w:t>
      </w:r>
      <w:r>
        <w:rPr>
          <w:rFonts w:ascii="Times New Roman" w:hAnsi="Times New Roman" w:eastAsiaTheme="minorEastAsia"/>
          <w:b/>
          <w:color w:val="auto"/>
          <w:w w:val="99"/>
          <w:kern w:val="21"/>
          <w:highlight w:val="none"/>
          <w:lang w:bidi="zh-CN"/>
        </w:rPr>
        <w:t xml:space="preserve">  </w:t>
      </w:r>
      <w:r>
        <w:rPr>
          <w:rFonts w:ascii="Times New Roman" w:hAnsi="Times New Roman" w:eastAsiaTheme="minorEastAsia"/>
          <w:b/>
          <w:color w:val="auto"/>
          <w:w w:val="99"/>
          <w:kern w:val="21"/>
          <w:highlight w:val="none"/>
        </w:rPr>
        <w:t>建设用地土壤环境质量现状监测结果  单位：mg/kg（pH无量纲）</w:t>
      </w:r>
    </w:p>
    <w:tbl>
      <w:tblPr>
        <w:tblStyle w:val="8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9"/>
        <w:gridCol w:w="869"/>
        <w:gridCol w:w="869"/>
        <w:gridCol w:w="875"/>
        <w:gridCol w:w="871"/>
        <w:gridCol w:w="871"/>
        <w:gridCol w:w="873"/>
        <w:gridCol w:w="873"/>
        <w:gridCol w:w="931"/>
        <w:gridCol w:w="952"/>
      </w:tblGrid>
      <w:tr w14:paraId="32FE4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Merge w:val="restart"/>
            <w:vAlign w:val="center"/>
          </w:tcPr>
          <w:p w14:paraId="210632B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300" w:type="pct"/>
            <w:gridSpan w:val="9"/>
            <w:vAlign w:val="center"/>
          </w:tcPr>
          <w:p w14:paraId="49AB9ED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监测点位及监测结果</w:t>
            </w:r>
          </w:p>
        </w:tc>
      </w:tr>
      <w:tr w14:paraId="0D9B3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Merge w:val="continue"/>
            <w:vAlign w:val="center"/>
          </w:tcPr>
          <w:p w14:paraId="7CB43AC0">
            <w:pPr>
              <w:pStyle w:val="101"/>
              <w:widowControl/>
              <w:spacing w:line="360" w:lineRule="exact"/>
              <w:rPr>
                <w:rFonts w:ascii="Times New Roman" w:hAnsi="Times New Roman" w:eastAsiaTheme="minorEastAsia"/>
                <w:color w:val="auto"/>
                <w:w w:val="99"/>
                <w:sz w:val="21"/>
                <w:szCs w:val="21"/>
                <w:highlight w:val="none"/>
              </w:rPr>
            </w:pPr>
          </w:p>
        </w:tc>
        <w:tc>
          <w:tcPr>
            <w:tcW w:w="1407" w:type="pct"/>
            <w:gridSpan w:val="3"/>
            <w:vAlign w:val="center"/>
          </w:tcPr>
          <w:p w14:paraId="75A678D2">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拟建</w:t>
            </w:r>
            <w:r>
              <w:rPr>
                <w:rFonts w:hint="eastAsia" w:ascii="Times New Roman" w:hAnsi="Times New Roman" w:cs="Times New Roman" w:eastAsiaTheme="minorEastAsia"/>
                <w:color w:val="auto"/>
                <w:w w:val="99"/>
                <w:sz w:val="21"/>
                <w:szCs w:val="21"/>
                <w:highlight w:val="none"/>
                <w:lang w:eastAsia="zh-CN"/>
              </w:rPr>
              <w:t>徐深27-H1井</w:t>
            </w:r>
            <w:r>
              <w:rPr>
                <w:rFonts w:hint="eastAsia" w:ascii="Times New Roman" w:hAnsi="Times New Roman" w:cs="Times New Roman" w:eastAsiaTheme="minorEastAsia"/>
                <w:color w:val="auto"/>
                <w:w w:val="99"/>
                <w:sz w:val="21"/>
                <w:szCs w:val="21"/>
                <w:highlight w:val="none"/>
                <w:lang w:val="en-US" w:eastAsia="zh-CN"/>
              </w:rPr>
              <w:t>井场占地内1#</w:t>
            </w:r>
          </w:p>
        </w:tc>
        <w:tc>
          <w:tcPr>
            <w:tcW w:w="1408" w:type="pct"/>
            <w:gridSpan w:val="3"/>
            <w:vAlign w:val="center"/>
          </w:tcPr>
          <w:p w14:paraId="03B29AD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拟建徐深27-H1井井场占地内2#</w:t>
            </w:r>
          </w:p>
        </w:tc>
        <w:tc>
          <w:tcPr>
            <w:tcW w:w="1484" w:type="pct"/>
            <w:gridSpan w:val="3"/>
            <w:vAlign w:val="center"/>
          </w:tcPr>
          <w:p w14:paraId="091EFFE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拟建徐深27-H1井井场占地内3#</w:t>
            </w:r>
          </w:p>
        </w:tc>
      </w:tr>
      <w:tr w14:paraId="5EB66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Merge w:val="continue"/>
            <w:vAlign w:val="center"/>
          </w:tcPr>
          <w:p w14:paraId="0973D684">
            <w:pPr>
              <w:pStyle w:val="101"/>
              <w:widowControl/>
              <w:spacing w:line="360" w:lineRule="exact"/>
              <w:rPr>
                <w:rFonts w:ascii="Times New Roman" w:hAnsi="Times New Roman" w:eastAsiaTheme="minorEastAsia"/>
                <w:color w:val="auto"/>
                <w:w w:val="99"/>
                <w:sz w:val="21"/>
                <w:szCs w:val="21"/>
                <w:highlight w:val="none"/>
              </w:rPr>
            </w:pPr>
          </w:p>
        </w:tc>
        <w:tc>
          <w:tcPr>
            <w:tcW w:w="467" w:type="pct"/>
            <w:vAlign w:val="center"/>
          </w:tcPr>
          <w:p w14:paraId="6068718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67" w:type="pct"/>
            <w:vAlign w:val="center"/>
          </w:tcPr>
          <w:p w14:paraId="300CB8F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71" w:type="pct"/>
            <w:vAlign w:val="center"/>
          </w:tcPr>
          <w:p w14:paraId="323B30F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8" w:type="pct"/>
            <w:vAlign w:val="center"/>
          </w:tcPr>
          <w:p w14:paraId="66CDD30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68" w:type="pct"/>
            <w:vAlign w:val="center"/>
          </w:tcPr>
          <w:p w14:paraId="3722B3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70" w:type="pct"/>
            <w:vAlign w:val="center"/>
          </w:tcPr>
          <w:p w14:paraId="3581346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70" w:type="pct"/>
            <w:vAlign w:val="center"/>
          </w:tcPr>
          <w:p w14:paraId="0E05515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01" w:type="pct"/>
            <w:vAlign w:val="center"/>
          </w:tcPr>
          <w:p w14:paraId="7C68543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13" w:type="pct"/>
            <w:vAlign w:val="center"/>
          </w:tcPr>
          <w:p w14:paraId="0A25EE2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r>
      <w:tr w14:paraId="2C0D5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20CBF81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869" w:type="dxa"/>
            <w:vAlign w:val="center"/>
          </w:tcPr>
          <w:p w14:paraId="3278C35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7.91</w:t>
            </w:r>
          </w:p>
        </w:tc>
        <w:tc>
          <w:tcPr>
            <w:tcW w:w="869" w:type="dxa"/>
            <w:vAlign w:val="center"/>
          </w:tcPr>
          <w:p w14:paraId="7E85E34A">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7.74</w:t>
            </w:r>
          </w:p>
        </w:tc>
        <w:tc>
          <w:tcPr>
            <w:tcW w:w="876" w:type="dxa"/>
            <w:vAlign w:val="center"/>
          </w:tcPr>
          <w:p w14:paraId="38337A8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8.01</w:t>
            </w:r>
          </w:p>
        </w:tc>
        <w:tc>
          <w:tcPr>
            <w:tcW w:w="871" w:type="dxa"/>
            <w:vAlign w:val="center"/>
          </w:tcPr>
          <w:p w14:paraId="47291B5A">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7.88</w:t>
            </w:r>
          </w:p>
        </w:tc>
        <w:tc>
          <w:tcPr>
            <w:tcW w:w="871" w:type="dxa"/>
            <w:vAlign w:val="center"/>
          </w:tcPr>
          <w:p w14:paraId="143BEEA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8.11</w:t>
            </w:r>
          </w:p>
        </w:tc>
        <w:tc>
          <w:tcPr>
            <w:tcW w:w="873" w:type="dxa"/>
            <w:vAlign w:val="center"/>
          </w:tcPr>
          <w:p w14:paraId="6A90897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7.79</w:t>
            </w:r>
          </w:p>
        </w:tc>
        <w:tc>
          <w:tcPr>
            <w:tcW w:w="873" w:type="dxa"/>
            <w:vAlign w:val="center"/>
          </w:tcPr>
          <w:p w14:paraId="1979787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8.01</w:t>
            </w:r>
          </w:p>
        </w:tc>
        <w:tc>
          <w:tcPr>
            <w:tcW w:w="931" w:type="dxa"/>
            <w:vAlign w:val="center"/>
          </w:tcPr>
          <w:p w14:paraId="1394B6D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7.71</w:t>
            </w:r>
          </w:p>
        </w:tc>
        <w:tc>
          <w:tcPr>
            <w:tcW w:w="952" w:type="dxa"/>
            <w:vAlign w:val="center"/>
          </w:tcPr>
          <w:p w14:paraId="3AA968E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7.93</w:t>
            </w:r>
          </w:p>
        </w:tc>
      </w:tr>
      <w:tr w14:paraId="124EB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7ED7CEE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869" w:type="dxa"/>
            <w:vAlign w:val="center"/>
          </w:tcPr>
          <w:p w14:paraId="451B254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0.08</w:t>
            </w:r>
          </w:p>
        </w:tc>
        <w:tc>
          <w:tcPr>
            <w:tcW w:w="869" w:type="dxa"/>
            <w:vAlign w:val="center"/>
          </w:tcPr>
          <w:p w14:paraId="551F222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0.11</w:t>
            </w:r>
          </w:p>
        </w:tc>
        <w:tc>
          <w:tcPr>
            <w:tcW w:w="876" w:type="dxa"/>
            <w:vAlign w:val="center"/>
          </w:tcPr>
          <w:p w14:paraId="3141C6F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0.13</w:t>
            </w:r>
          </w:p>
        </w:tc>
        <w:tc>
          <w:tcPr>
            <w:tcW w:w="871" w:type="dxa"/>
            <w:vAlign w:val="center"/>
          </w:tcPr>
          <w:p w14:paraId="391B69AA">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0.10</w:t>
            </w:r>
          </w:p>
        </w:tc>
        <w:tc>
          <w:tcPr>
            <w:tcW w:w="871" w:type="dxa"/>
            <w:vAlign w:val="center"/>
          </w:tcPr>
          <w:p w14:paraId="2128D61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0.13</w:t>
            </w:r>
          </w:p>
        </w:tc>
        <w:tc>
          <w:tcPr>
            <w:tcW w:w="873" w:type="dxa"/>
            <w:vAlign w:val="center"/>
          </w:tcPr>
          <w:p w14:paraId="78DBE5D5">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0.09</w:t>
            </w:r>
          </w:p>
        </w:tc>
        <w:tc>
          <w:tcPr>
            <w:tcW w:w="873" w:type="dxa"/>
            <w:vAlign w:val="center"/>
          </w:tcPr>
          <w:p w14:paraId="2A1C024A">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0.09</w:t>
            </w:r>
          </w:p>
        </w:tc>
        <w:tc>
          <w:tcPr>
            <w:tcW w:w="931" w:type="dxa"/>
            <w:vAlign w:val="center"/>
          </w:tcPr>
          <w:p w14:paraId="5E69D1D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0.10</w:t>
            </w:r>
          </w:p>
        </w:tc>
        <w:tc>
          <w:tcPr>
            <w:tcW w:w="952" w:type="dxa"/>
            <w:vAlign w:val="center"/>
          </w:tcPr>
          <w:p w14:paraId="498A69D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0.07</w:t>
            </w:r>
          </w:p>
        </w:tc>
      </w:tr>
      <w:tr w14:paraId="6D2FA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1C7CDD0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869" w:type="dxa"/>
            <w:vAlign w:val="center"/>
          </w:tcPr>
          <w:p w14:paraId="47E9230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0.024</w:t>
            </w:r>
          </w:p>
        </w:tc>
        <w:tc>
          <w:tcPr>
            <w:tcW w:w="869" w:type="dxa"/>
            <w:vAlign w:val="center"/>
          </w:tcPr>
          <w:p w14:paraId="527FC1EB">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0.016</w:t>
            </w:r>
          </w:p>
        </w:tc>
        <w:tc>
          <w:tcPr>
            <w:tcW w:w="876" w:type="dxa"/>
            <w:vAlign w:val="center"/>
          </w:tcPr>
          <w:p w14:paraId="55D6680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0.021</w:t>
            </w:r>
          </w:p>
        </w:tc>
        <w:tc>
          <w:tcPr>
            <w:tcW w:w="871" w:type="dxa"/>
            <w:vAlign w:val="center"/>
          </w:tcPr>
          <w:p w14:paraId="245A3E2D">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0.018</w:t>
            </w:r>
          </w:p>
        </w:tc>
        <w:tc>
          <w:tcPr>
            <w:tcW w:w="871" w:type="dxa"/>
            <w:vAlign w:val="center"/>
          </w:tcPr>
          <w:p w14:paraId="09BB2F5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0.022</w:t>
            </w:r>
          </w:p>
        </w:tc>
        <w:tc>
          <w:tcPr>
            <w:tcW w:w="873" w:type="dxa"/>
            <w:vAlign w:val="center"/>
          </w:tcPr>
          <w:p w14:paraId="6C931675">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0.017</w:t>
            </w:r>
          </w:p>
        </w:tc>
        <w:tc>
          <w:tcPr>
            <w:tcW w:w="873" w:type="dxa"/>
            <w:vAlign w:val="center"/>
          </w:tcPr>
          <w:p w14:paraId="2E8B655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0.016</w:t>
            </w:r>
          </w:p>
        </w:tc>
        <w:tc>
          <w:tcPr>
            <w:tcW w:w="931" w:type="dxa"/>
            <w:vAlign w:val="center"/>
          </w:tcPr>
          <w:p w14:paraId="3AC9196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0.019</w:t>
            </w:r>
          </w:p>
        </w:tc>
        <w:tc>
          <w:tcPr>
            <w:tcW w:w="952" w:type="dxa"/>
            <w:vAlign w:val="center"/>
          </w:tcPr>
          <w:p w14:paraId="2B78B1C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0.022</w:t>
            </w:r>
          </w:p>
        </w:tc>
      </w:tr>
      <w:tr w14:paraId="0C679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508AFCC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869" w:type="dxa"/>
            <w:vAlign w:val="center"/>
          </w:tcPr>
          <w:p w14:paraId="0848344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3.45</w:t>
            </w:r>
          </w:p>
        </w:tc>
        <w:tc>
          <w:tcPr>
            <w:tcW w:w="869" w:type="dxa"/>
            <w:vAlign w:val="center"/>
          </w:tcPr>
          <w:p w14:paraId="5B5B316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4.12</w:t>
            </w:r>
          </w:p>
        </w:tc>
        <w:tc>
          <w:tcPr>
            <w:tcW w:w="876" w:type="dxa"/>
            <w:vAlign w:val="center"/>
          </w:tcPr>
          <w:p w14:paraId="6BDF112D">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3.96</w:t>
            </w:r>
          </w:p>
        </w:tc>
        <w:tc>
          <w:tcPr>
            <w:tcW w:w="871" w:type="dxa"/>
            <w:vAlign w:val="center"/>
          </w:tcPr>
          <w:p w14:paraId="56F7F02B">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4.01</w:t>
            </w:r>
          </w:p>
        </w:tc>
        <w:tc>
          <w:tcPr>
            <w:tcW w:w="871" w:type="dxa"/>
            <w:vAlign w:val="center"/>
          </w:tcPr>
          <w:p w14:paraId="5FF6DCF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3.56</w:t>
            </w:r>
          </w:p>
        </w:tc>
        <w:tc>
          <w:tcPr>
            <w:tcW w:w="873" w:type="dxa"/>
            <w:vAlign w:val="center"/>
          </w:tcPr>
          <w:p w14:paraId="0C93577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3.39</w:t>
            </w:r>
          </w:p>
        </w:tc>
        <w:tc>
          <w:tcPr>
            <w:tcW w:w="873" w:type="dxa"/>
            <w:vAlign w:val="center"/>
          </w:tcPr>
          <w:p w14:paraId="770DE58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3.45</w:t>
            </w:r>
          </w:p>
        </w:tc>
        <w:tc>
          <w:tcPr>
            <w:tcW w:w="931" w:type="dxa"/>
            <w:vAlign w:val="center"/>
          </w:tcPr>
          <w:p w14:paraId="0200A85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3.24</w:t>
            </w:r>
          </w:p>
        </w:tc>
        <w:tc>
          <w:tcPr>
            <w:tcW w:w="952" w:type="dxa"/>
            <w:vAlign w:val="center"/>
          </w:tcPr>
          <w:p w14:paraId="71BD8AE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3.77</w:t>
            </w:r>
          </w:p>
        </w:tc>
      </w:tr>
      <w:tr w14:paraId="6FC24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604F9BC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869" w:type="dxa"/>
            <w:vAlign w:val="center"/>
          </w:tcPr>
          <w:p w14:paraId="6157724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w:t>
            </w:r>
          </w:p>
        </w:tc>
        <w:tc>
          <w:tcPr>
            <w:tcW w:w="869" w:type="dxa"/>
            <w:vAlign w:val="center"/>
          </w:tcPr>
          <w:p w14:paraId="7FF6D68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20</w:t>
            </w:r>
          </w:p>
        </w:tc>
        <w:tc>
          <w:tcPr>
            <w:tcW w:w="876" w:type="dxa"/>
            <w:vAlign w:val="center"/>
          </w:tcPr>
          <w:p w14:paraId="7D3F417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w:t>
            </w:r>
          </w:p>
        </w:tc>
        <w:tc>
          <w:tcPr>
            <w:tcW w:w="871" w:type="dxa"/>
            <w:vAlign w:val="center"/>
          </w:tcPr>
          <w:p w14:paraId="6DDDE525">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w:t>
            </w:r>
          </w:p>
        </w:tc>
        <w:tc>
          <w:tcPr>
            <w:tcW w:w="871" w:type="dxa"/>
            <w:vAlign w:val="center"/>
          </w:tcPr>
          <w:p w14:paraId="67544ED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w:t>
            </w:r>
          </w:p>
        </w:tc>
        <w:tc>
          <w:tcPr>
            <w:tcW w:w="873" w:type="dxa"/>
            <w:vAlign w:val="center"/>
          </w:tcPr>
          <w:p w14:paraId="1D0D8A5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14</w:t>
            </w:r>
          </w:p>
        </w:tc>
        <w:tc>
          <w:tcPr>
            <w:tcW w:w="873" w:type="dxa"/>
            <w:vAlign w:val="center"/>
          </w:tcPr>
          <w:p w14:paraId="7D6BEAF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16</w:t>
            </w:r>
          </w:p>
        </w:tc>
        <w:tc>
          <w:tcPr>
            <w:tcW w:w="931" w:type="dxa"/>
            <w:vAlign w:val="center"/>
          </w:tcPr>
          <w:p w14:paraId="6C4049E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w:t>
            </w:r>
          </w:p>
        </w:tc>
        <w:tc>
          <w:tcPr>
            <w:tcW w:w="952" w:type="dxa"/>
            <w:vAlign w:val="center"/>
          </w:tcPr>
          <w:p w14:paraId="7EEDFCD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w:t>
            </w:r>
          </w:p>
        </w:tc>
      </w:tr>
      <w:tr w14:paraId="70AA1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1878852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869" w:type="dxa"/>
            <w:vAlign w:val="center"/>
          </w:tcPr>
          <w:p w14:paraId="20E3958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c>
          <w:tcPr>
            <w:tcW w:w="869" w:type="dxa"/>
            <w:vAlign w:val="center"/>
          </w:tcPr>
          <w:p w14:paraId="7DA3654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c>
          <w:tcPr>
            <w:tcW w:w="876" w:type="dxa"/>
            <w:vAlign w:val="center"/>
          </w:tcPr>
          <w:p w14:paraId="64D5873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c>
          <w:tcPr>
            <w:tcW w:w="871" w:type="dxa"/>
            <w:vAlign w:val="center"/>
          </w:tcPr>
          <w:p w14:paraId="77A15CA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c>
          <w:tcPr>
            <w:tcW w:w="871" w:type="dxa"/>
            <w:vAlign w:val="center"/>
          </w:tcPr>
          <w:p w14:paraId="47CB777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c>
          <w:tcPr>
            <w:tcW w:w="873" w:type="dxa"/>
            <w:vAlign w:val="center"/>
          </w:tcPr>
          <w:p w14:paraId="5D822D75">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c>
          <w:tcPr>
            <w:tcW w:w="873" w:type="dxa"/>
            <w:vAlign w:val="center"/>
          </w:tcPr>
          <w:p w14:paraId="002B3DF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c>
          <w:tcPr>
            <w:tcW w:w="931" w:type="dxa"/>
            <w:vAlign w:val="center"/>
          </w:tcPr>
          <w:p w14:paraId="09FAB25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c>
          <w:tcPr>
            <w:tcW w:w="952" w:type="dxa"/>
            <w:vAlign w:val="center"/>
          </w:tcPr>
          <w:p w14:paraId="6E0ADDB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r>
      <w:tr w14:paraId="4D728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5971994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869" w:type="dxa"/>
            <w:vAlign w:val="center"/>
          </w:tcPr>
          <w:p w14:paraId="0991480D">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w:t>
            </w:r>
          </w:p>
        </w:tc>
        <w:tc>
          <w:tcPr>
            <w:tcW w:w="869" w:type="dxa"/>
            <w:vAlign w:val="center"/>
          </w:tcPr>
          <w:p w14:paraId="45C3C87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w:t>
            </w:r>
          </w:p>
        </w:tc>
        <w:tc>
          <w:tcPr>
            <w:tcW w:w="876" w:type="dxa"/>
            <w:vAlign w:val="center"/>
          </w:tcPr>
          <w:p w14:paraId="362821D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w:t>
            </w:r>
          </w:p>
        </w:tc>
        <w:tc>
          <w:tcPr>
            <w:tcW w:w="871" w:type="dxa"/>
            <w:vAlign w:val="center"/>
          </w:tcPr>
          <w:p w14:paraId="7BEBC98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w:t>
            </w:r>
          </w:p>
        </w:tc>
        <w:tc>
          <w:tcPr>
            <w:tcW w:w="871" w:type="dxa"/>
            <w:vAlign w:val="center"/>
          </w:tcPr>
          <w:p w14:paraId="7BEB2B6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16</w:t>
            </w:r>
          </w:p>
        </w:tc>
        <w:tc>
          <w:tcPr>
            <w:tcW w:w="873" w:type="dxa"/>
            <w:vAlign w:val="center"/>
          </w:tcPr>
          <w:p w14:paraId="70F6BC2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w:t>
            </w:r>
          </w:p>
        </w:tc>
        <w:tc>
          <w:tcPr>
            <w:tcW w:w="873" w:type="dxa"/>
            <w:vAlign w:val="center"/>
          </w:tcPr>
          <w:p w14:paraId="4FD7FD1D">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11</w:t>
            </w:r>
          </w:p>
        </w:tc>
        <w:tc>
          <w:tcPr>
            <w:tcW w:w="931" w:type="dxa"/>
            <w:vAlign w:val="center"/>
          </w:tcPr>
          <w:p w14:paraId="50D064C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14</w:t>
            </w:r>
          </w:p>
        </w:tc>
        <w:tc>
          <w:tcPr>
            <w:tcW w:w="952" w:type="dxa"/>
            <w:vAlign w:val="center"/>
          </w:tcPr>
          <w:p w14:paraId="70E06D45">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16</w:t>
            </w:r>
          </w:p>
        </w:tc>
      </w:tr>
      <w:tr w14:paraId="494C2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4644369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869" w:type="dxa"/>
            <w:vAlign w:val="center"/>
          </w:tcPr>
          <w:p w14:paraId="1CEDC9A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19</w:t>
            </w:r>
          </w:p>
        </w:tc>
        <w:tc>
          <w:tcPr>
            <w:tcW w:w="869" w:type="dxa"/>
            <w:vAlign w:val="center"/>
          </w:tcPr>
          <w:p w14:paraId="344BF10E">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25</w:t>
            </w:r>
          </w:p>
        </w:tc>
        <w:tc>
          <w:tcPr>
            <w:tcW w:w="876" w:type="dxa"/>
            <w:vAlign w:val="center"/>
          </w:tcPr>
          <w:p w14:paraId="5CBAF8CE">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20</w:t>
            </w:r>
          </w:p>
        </w:tc>
        <w:tc>
          <w:tcPr>
            <w:tcW w:w="871" w:type="dxa"/>
            <w:vAlign w:val="center"/>
          </w:tcPr>
          <w:p w14:paraId="38E5E8CB">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22</w:t>
            </w:r>
          </w:p>
        </w:tc>
        <w:tc>
          <w:tcPr>
            <w:tcW w:w="871" w:type="dxa"/>
            <w:vAlign w:val="center"/>
          </w:tcPr>
          <w:p w14:paraId="79B87BE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21</w:t>
            </w:r>
          </w:p>
        </w:tc>
        <w:tc>
          <w:tcPr>
            <w:tcW w:w="873" w:type="dxa"/>
            <w:vAlign w:val="center"/>
          </w:tcPr>
          <w:p w14:paraId="3F07DFC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w:t>
            </w:r>
          </w:p>
        </w:tc>
        <w:tc>
          <w:tcPr>
            <w:tcW w:w="873" w:type="dxa"/>
            <w:vAlign w:val="center"/>
          </w:tcPr>
          <w:p w14:paraId="05D97A0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21</w:t>
            </w:r>
          </w:p>
        </w:tc>
        <w:tc>
          <w:tcPr>
            <w:tcW w:w="931" w:type="dxa"/>
            <w:vAlign w:val="center"/>
          </w:tcPr>
          <w:p w14:paraId="5FE6832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20</w:t>
            </w:r>
          </w:p>
        </w:tc>
        <w:tc>
          <w:tcPr>
            <w:tcW w:w="952" w:type="dxa"/>
            <w:vAlign w:val="center"/>
          </w:tcPr>
          <w:p w14:paraId="45060D65">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25</w:t>
            </w:r>
          </w:p>
        </w:tc>
      </w:tr>
      <w:tr w14:paraId="10065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058FD85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水溶性盐总量</w:t>
            </w:r>
          </w:p>
        </w:tc>
        <w:tc>
          <w:tcPr>
            <w:tcW w:w="869" w:type="dxa"/>
            <w:vAlign w:val="center"/>
          </w:tcPr>
          <w:p w14:paraId="45DC5F9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600</w:t>
            </w:r>
          </w:p>
        </w:tc>
        <w:tc>
          <w:tcPr>
            <w:tcW w:w="869" w:type="dxa"/>
            <w:vAlign w:val="center"/>
          </w:tcPr>
          <w:p w14:paraId="1988399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800</w:t>
            </w:r>
          </w:p>
        </w:tc>
        <w:tc>
          <w:tcPr>
            <w:tcW w:w="876" w:type="dxa"/>
            <w:vAlign w:val="center"/>
          </w:tcPr>
          <w:p w14:paraId="2E6BBAF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500</w:t>
            </w:r>
          </w:p>
        </w:tc>
        <w:tc>
          <w:tcPr>
            <w:tcW w:w="871" w:type="dxa"/>
            <w:vAlign w:val="center"/>
          </w:tcPr>
          <w:p w14:paraId="26B83ED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700</w:t>
            </w:r>
          </w:p>
        </w:tc>
        <w:tc>
          <w:tcPr>
            <w:tcW w:w="871" w:type="dxa"/>
            <w:vAlign w:val="center"/>
          </w:tcPr>
          <w:p w14:paraId="39F1462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600</w:t>
            </w:r>
          </w:p>
        </w:tc>
        <w:tc>
          <w:tcPr>
            <w:tcW w:w="873" w:type="dxa"/>
            <w:vAlign w:val="center"/>
          </w:tcPr>
          <w:p w14:paraId="2A14D69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800</w:t>
            </w:r>
          </w:p>
        </w:tc>
        <w:tc>
          <w:tcPr>
            <w:tcW w:w="873" w:type="dxa"/>
            <w:vAlign w:val="center"/>
          </w:tcPr>
          <w:p w14:paraId="48B709B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600</w:t>
            </w:r>
          </w:p>
        </w:tc>
        <w:tc>
          <w:tcPr>
            <w:tcW w:w="931" w:type="dxa"/>
            <w:vAlign w:val="center"/>
          </w:tcPr>
          <w:p w14:paraId="382A0E3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700</w:t>
            </w:r>
          </w:p>
        </w:tc>
        <w:tc>
          <w:tcPr>
            <w:tcW w:w="952" w:type="dxa"/>
            <w:vAlign w:val="center"/>
          </w:tcPr>
          <w:p w14:paraId="5089263D">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900</w:t>
            </w:r>
          </w:p>
        </w:tc>
      </w:tr>
      <w:tr w14:paraId="4DED1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3BC3FA4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869" w:type="dxa"/>
            <w:vAlign w:val="center"/>
          </w:tcPr>
          <w:p w14:paraId="3DB3EDDE">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w:t>
            </w:r>
          </w:p>
        </w:tc>
        <w:tc>
          <w:tcPr>
            <w:tcW w:w="869" w:type="dxa"/>
            <w:vAlign w:val="center"/>
          </w:tcPr>
          <w:p w14:paraId="563BC78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10</w:t>
            </w:r>
          </w:p>
        </w:tc>
        <w:tc>
          <w:tcPr>
            <w:tcW w:w="876" w:type="dxa"/>
            <w:vAlign w:val="center"/>
          </w:tcPr>
          <w:p w14:paraId="75B93E8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w:t>
            </w:r>
          </w:p>
        </w:tc>
        <w:tc>
          <w:tcPr>
            <w:tcW w:w="871" w:type="dxa"/>
            <w:vAlign w:val="center"/>
          </w:tcPr>
          <w:p w14:paraId="44E279A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11</w:t>
            </w:r>
          </w:p>
        </w:tc>
        <w:tc>
          <w:tcPr>
            <w:tcW w:w="871" w:type="dxa"/>
            <w:vAlign w:val="center"/>
          </w:tcPr>
          <w:p w14:paraId="2BC7E01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w:t>
            </w:r>
          </w:p>
        </w:tc>
        <w:tc>
          <w:tcPr>
            <w:tcW w:w="873" w:type="dxa"/>
            <w:vAlign w:val="center"/>
          </w:tcPr>
          <w:p w14:paraId="28B56CD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10</w:t>
            </w:r>
          </w:p>
        </w:tc>
        <w:tc>
          <w:tcPr>
            <w:tcW w:w="873" w:type="dxa"/>
            <w:vAlign w:val="center"/>
          </w:tcPr>
          <w:p w14:paraId="7735CED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w:t>
            </w:r>
          </w:p>
        </w:tc>
        <w:tc>
          <w:tcPr>
            <w:tcW w:w="931" w:type="dxa"/>
            <w:vAlign w:val="center"/>
          </w:tcPr>
          <w:p w14:paraId="4E49C38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10</w:t>
            </w:r>
          </w:p>
        </w:tc>
        <w:tc>
          <w:tcPr>
            <w:tcW w:w="952" w:type="dxa"/>
            <w:vAlign w:val="center"/>
          </w:tcPr>
          <w:p w14:paraId="5DD8DD6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11</w:t>
            </w:r>
          </w:p>
        </w:tc>
      </w:tr>
      <w:tr w14:paraId="22CCC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5DDD2F0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467" w:type="pct"/>
            <w:vAlign w:val="center"/>
          </w:tcPr>
          <w:p w14:paraId="5E8B447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14E625D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1FBB700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95BA24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B4FC47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2F80313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2F46D36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0478D51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4FB75AE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3DD3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6393E93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467" w:type="pct"/>
            <w:vAlign w:val="center"/>
          </w:tcPr>
          <w:p w14:paraId="1D5DE72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4510313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0D0FF99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4087682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4A2D66C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C90D7F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31888AE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12C9B2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0D47976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3F812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733EBEE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467" w:type="pct"/>
            <w:vAlign w:val="center"/>
          </w:tcPr>
          <w:p w14:paraId="033CB79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2C524D8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4A5FD76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7966F4F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5713BF6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75E4845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13D46BF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632401A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2AFF7A7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21E32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1CB3572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467" w:type="pct"/>
            <w:vAlign w:val="center"/>
          </w:tcPr>
          <w:p w14:paraId="58E2B3A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7CBA118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02A3AA0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54F9FE8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21AF376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5E3A191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5275A45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44628A5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084AFDA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03385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2C0A9D6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467" w:type="pct"/>
            <w:vAlign w:val="center"/>
          </w:tcPr>
          <w:p w14:paraId="028CE5D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26E11D5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39957E0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4AF61D3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6B00BF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72A7CA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7541C27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5412664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78994F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164B5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213A8AA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467" w:type="pct"/>
            <w:vAlign w:val="center"/>
          </w:tcPr>
          <w:p w14:paraId="6B0E7D7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0FF511D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5535A71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1DF3F65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6B6AEF1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34B3DB8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7E0BED1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3DFC2B2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2292F39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066C1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4982D2D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467" w:type="pct"/>
            <w:vAlign w:val="center"/>
          </w:tcPr>
          <w:p w14:paraId="5E409D2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5D04E4A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48B69C9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403D4DD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5E83A76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0A86604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59AEAEA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0B747F9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49E6A3E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63F7A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5738EC9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467" w:type="pct"/>
            <w:vAlign w:val="center"/>
          </w:tcPr>
          <w:p w14:paraId="251ABA9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707E2FF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398DEDE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6D5381E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2481BC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350DB2B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21B471F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6D766D3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7A37767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2FEC2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0F9FAEF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467" w:type="pct"/>
            <w:vAlign w:val="center"/>
          </w:tcPr>
          <w:p w14:paraId="4D49586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36611D5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337B2F4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4AAF1F0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730007E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CFAAA9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0301E3E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4F30820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030185A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6075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28828C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467" w:type="pct"/>
            <w:vAlign w:val="center"/>
          </w:tcPr>
          <w:p w14:paraId="4444822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626E4E6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7169071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6546FC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5AEF2B7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130E473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32FB5F6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0058B06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586E1E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0651A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664220B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467" w:type="pct"/>
            <w:vAlign w:val="center"/>
          </w:tcPr>
          <w:p w14:paraId="4127575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510023D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2523D66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53C728A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75A81EA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79A1678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05B33FA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61CE0DE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12332DD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61C81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2D15864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467" w:type="pct"/>
            <w:vAlign w:val="center"/>
          </w:tcPr>
          <w:p w14:paraId="6D64D90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7FA0DF5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248E886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1474839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2B0BE44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50DE16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6654ABA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3C13268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3D4F4C0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399A0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194657C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467" w:type="pct"/>
            <w:vAlign w:val="center"/>
          </w:tcPr>
          <w:p w14:paraId="3B2387E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1234A95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0402549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77CA463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66CD123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06B5D69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5E09ED9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364257A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7BBC8CD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7322A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7DAE72C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467" w:type="pct"/>
            <w:vAlign w:val="center"/>
          </w:tcPr>
          <w:p w14:paraId="2583F09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42DF3BE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026A808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28500A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24EE7C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61F911D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01EC6E1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785F907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261EB99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73E27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0B7FF70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467" w:type="pct"/>
            <w:vAlign w:val="center"/>
          </w:tcPr>
          <w:p w14:paraId="63C5B4B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38DA7D9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3B0D811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542CA1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068D72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EA3B4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97D320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76D5353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604B27F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471B3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7C296AD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467" w:type="pct"/>
            <w:vAlign w:val="center"/>
          </w:tcPr>
          <w:p w14:paraId="609A9A6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6AA90B5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31D1475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50F9828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F5E46B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33E62AC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6FF3453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350CFAF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0D1501C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6EA35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50BD59A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467" w:type="pct"/>
            <w:vAlign w:val="center"/>
          </w:tcPr>
          <w:p w14:paraId="60F879F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64A692C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449254E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0811C71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1F88A2F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1BDF9FD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5DF3B7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31D5C2E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21A2677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2BE58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7C69FB0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467" w:type="pct"/>
            <w:vAlign w:val="center"/>
          </w:tcPr>
          <w:p w14:paraId="097D1E2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6B9774D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3A58D8B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7617ABC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1AB6F2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3BE3430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1E4FEB2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7803114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3CD543B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6B406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54D93B2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467" w:type="pct"/>
            <w:vAlign w:val="center"/>
          </w:tcPr>
          <w:p w14:paraId="5AC9273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4A0B737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57DF741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0860F52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38225F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1D97F5E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3D1D26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53A4ED1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06E242C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4FD6E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4B49DE8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467" w:type="pct"/>
            <w:vAlign w:val="center"/>
          </w:tcPr>
          <w:p w14:paraId="2B53081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050A0E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2C83863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00E1E81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6AE97C6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556677E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63D78BC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78DE8B9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7AF5A99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1FDBB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1144795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467" w:type="pct"/>
            <w:vAlign w:val="center"/>
          </w:tcPr>
          <w:p w14:paraId="51191EA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22A9E59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567DC31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1F8724C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1232925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5CF3BA2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779738E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5DD7D2E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3A346F8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A5AA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4E2AD7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467" w:type="pct"/>
            <w:vAlign w:val="center"/>
          </w:tcPr>
          <w:p w14:paraId="6976597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23005C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3154056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5624F16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55CD36E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9B787A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5ABA001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1C4962F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1088176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0F14E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39D6437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467" w:type="pct"/>
            <w:vAlign w:val="center"/>
          </w:tcPr>
          <w:p w14:paraId="6FD2B31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7A4B8B9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78ACE97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6C8A7CB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0DE374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7AE6C37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3C04251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673F766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111C2CC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7089C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1D24B87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467" w:type="pct"/>
            <w:vAlign w:val="center"/>
          </w:tcPr>
          <w:p w14:paraId="55FCA9A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38C7E4C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5103188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79DD009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83FEAD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1A6D0D5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7E46EAD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1F9FE57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0053660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4C7B6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3B5A709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467" w:type="pct"/>
            <w:vAlign w:val="center"/>
          </w:tcPr>
          <w:p w14:paraId="3C09041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4F3EF4D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536C771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4C2EC57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43DA84E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6FDF175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246CB16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2880D4F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1E85325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1D219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56ED825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467" w:type="pct"/>
            <w:vAlign w:val="center"/>
          </w:tcPr>
          <w:p w14:paraId="1630934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6F1476C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732C700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056CA5E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0A7B01F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3E3C411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567D521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4D1A695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24D8647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09E8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47E09D2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467" w:type="pct"/>
            <w:vAlign w:val="center"/>
          </w:tcPr>
          <w:p w14:paraId="0202E0F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4A9E6FD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457ADDE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79C7A64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7A8D444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65F3144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1ED3AA1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002B4E1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20DDE7E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2A53D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08B599B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467" w:type="pct"/>
            <w:vAlign w:val="center"/>
          </w:tcPr>
          <w:p w14:paraId="487A16F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5D3D042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13A8040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0999BF4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6A65A01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51B0935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0DC1EE9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4AE114E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04C8545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E713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6CD98B4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467" w:type="pct"/>
            <w:vAlign w:val="center"/>
          </w:tcPr>
          <w:p w14:paraId="6F85F43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2A7F74D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218AFBD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4917275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5A359C2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7A1ECD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02325BB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0270B93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0973A2F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68F36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6733C82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467" w:type="pct"/>
            <w:vAlign w:val="center"/>
          </w:tcPr>
          <w:p w14:paraId="2B5350A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0FFDA31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3200E2D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E94D81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4D50E04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1587013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3AE0F15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5CD507A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2BDE487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66A0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2135FE1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467" w:type="pct"/>
            <w:vAlign w:val="center"/>
          </w:tcPr>
          <w:p w14:paraId="459901F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5BCBB39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43B8544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455B733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6103ADD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04A2244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325A9CC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5CC5870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2A86CDD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23A9E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40E8636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467" w:type="pct"/>
            <w:vAlign w:val="center"/>
          </w:tcPr>
          <w:p w14:paraId="397AE42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2D08DF8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4DBBCB2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1B0FDEC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5600B4E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AF93CE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1FC1366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65B2DF1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7549CEC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06212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4AF6892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467" w:type="pct"/>
            <w:vAlign w:val="center"/>
          </w:tcPr>
          <w:p w14:paraId="46BBA31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228E86F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1D9AC2F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01747FD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1884DAF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2C624F7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2ADC42A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729D281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75B052A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5D15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55C114B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467" w:type="pct"/>
            <w:vAlign w:val="center"/>
          </w:tcPr>
          <w:p w14:paraId="6478E17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3E9E113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5F30DAD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3BC966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3F6AEC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54659D0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07C0B2A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65FA3B0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6119C2B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62367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6870FC2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467" w:type="pct"/>
            <w:vAlign w:val="center"/>
          </w:tcPr>
          <w:p w14:paraId="6789829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61A1A9A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2379390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4231754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D3CB06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124D310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4FA6290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04B3D08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6BB78D0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476AB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334C8DA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467" w:type="pct"/>
            <w:vAlign w:val="center"/>
          </w:tcPr>
          <w:p w14:paraId="64B25DF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0BA93F4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0A90A23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6C5E68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7B9B703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302E978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7A17E48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182685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13B8F76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C28E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42BABCD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467" w:type="pct"/>
            <w:vAlign w:val="center"/>
          </w:tcPr>
          <w:p w14:paraId="11B7BC9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57C3B25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1F4295D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056AC00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07262A3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7E15ED0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2286120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6913C6F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6C87A35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43BB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26B7578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467" w:type="pct"/>
            <w:vAlign w:val="center"/>
          </w:tcPr>
          <w:p w14:paraId="57527E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2B4BCA0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19161C5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504EA7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39E9074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2331A87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01D5B35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00D7F9D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3037AE0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8B61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50C6C4C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w:t>
            </w:r>
          </w:p>
        </w:tc>
        <w:tc>
          <w:tcPr>
            <w:tcW w:w="467" w:type="pct"/>
            <w:vAlign w:val="center"/>
          </w:tcPr>
          <w:p w14:paraId="1103B81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69B65E0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065B3C8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1D69F6F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6059F35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1B5B908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20F1D7B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5FB7426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7FA53C7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7639E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9" w:type="pct"/>
            <w:vAlign w:val="center"/>
          </w:tcPr>
          <w:p w14:paraId="5AE586E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6</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9</w:t>
            </w:r>
            <w:r>
              <w:rPr>
                <w:rFonts w:ascii="Times New Roman" w:hAnsi="Times New Roman" w:cs="Times New Roman" w:eastAsiaTheme="minorEastAsia"/>
                <w:color w:val="auto"/>
                <w:w w:val="99"/>
                <w:sz w:val="21"/>
                <w:szCs w:val="21"/>
                <w:highlight w:val="none"/>
              </w:rPr>
              <w:t>）</w:t>
            </w:r>
          </w:p>
        </w:tc>
        <w:tc>
          <w:tcPr>
            <w:tcW w:w="467" w:type="pct"/>
            <w:vAlign w:val="center"/>
          </w:tcPr>
          <w:p w14:paraId="00581ED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7" w:type="pct"/>
            <w:vAlign w:val="center"/>
          </w:tcPr>
          <w:p w14:paraId="5063954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14:paraId="4CEB13A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1EE4112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14:paraId="781B964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5F2E39F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14:paraId="2EE78B3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1" w:type="pct"/>
            <w:vAlign w:val="center"/>
          </w:tcPr>
          <w:p w14:paraId="137EEFB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3" w:type="pct"/>
            <w:vAlign w:val="center"/>
          </w:tcPr>
          <w:p w14:paraId="61A52A2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bl>
    <w:p w14:paraId="3F333FA4">
      <w:pPr>
        <w:pStyle w:val="153"/>
        <w:widowControl w:val="0"/>
        <w:spacing w:line="440" w:lineRule="exact"/>
        <w:ind w:firstLine="478"/>
        <w:rPr>
          <w:rFonts w:ascii="Times New Roman" w:hAnsi="Times New Roman" w:eastAsiaTheme="minorEastAsia"/>
          <w:b/>
          <w:color w:val="auto"/>
          <w:w w:val="99"/>
          <w:kern w:val="21"/>
          <w:highlight w:val="none"/>
        </w:rPr>
      </w:pPr>
      <w:r>
        <w:rPr>
          <w:rFonts w:ascii="Times New Roman" w:hAnsi="Times New Roman" w:eastAsiaTheme="minorEastAsia"/>
          <w:b/>
          <w:color w:val="auto"/>
          <w:w w:val="99"/>
          <w:kern w:val="21"/>
          <w:highlight w:val="none"/>
          <w:lang w:bidi="zh-CN"/>
        </w:rPr>
        <w:t>续表</w:t>
      </w:r>
      <w:r>
        <w:rPr>
          <w:rFonts w:ascii="Times New Roman" w:hAnsi="Times New Roman" w:eastAsiaTheme="minorEastAsia"/>
          <w:b/>
          <w:color w:val="auto"/>
          <w:w w:val="99"/>
          <w:kern w:val="2"/>
          <w:szCs w:val="20"/>
          <w:highlight w:val="none"/>
        </w:rPr>
        <w:t>4.3-</w:t>
      </w:r>
      <w:r>
        <w:rPr>
          <w:rFonts w:hint="eastAsia" w:ascii="Times New Roman" w:hAnsi="Times New Roman" w:eastAsiaTheme="minorEastAsia"/>
          <w:b/>
          <w:color w:val="auto"/>
          <w:w w:val="99"/>
          <w:kern w:val="2"/>
          <w:szCs w:val="20"/>
          <w:highlight w:val="none"/>
          <w:lang w:val="en-US" w:eastAsia="zh-CN"/>
        </w:rPr>
        <w:t>2</w:t>
      </w:r>
      <w:r>
        <w:rPr>
          <w:rFonts w:ascii="Times New Roman" w:hAnsi="Times New Roman" w:eastAsiaTheme="minorEastAsia"/>
          <w:b/>
          <w:color w:val="auto"/>
          <w:w w:val="99"/>
          <w:kern w:val="2"/>
          <w:szCs w:val="20"/>
          <w:highlight w:val="none"/>
        </w:rPr>
        <w:t>1</w:t>
      </w:r>
      <w:r>
        <w:rPr>
          <w:rFonts w:ascii="Times New Roman" w:hAnsi="Times New Roman" w:eastAsiaTheme="minorEastAsia"/>
          <w:b/>
          <w:color w:val="auto"/>
          <w:w w:val="99"/>
          <w:kern w:val="21"/>
          <w:highlight w:val="none"/>
          <w:lang w:bidi="zh-CN"/>
        </w:rPr>
        <w:t xml:space="preserve">  </w:t>
      </w:r>
      <w:r>
        <w:rPr>
          <w:rFonts w:ascii="Times New Roman" w:hAnsi="Times New Roman" w:eastAsiaTheme="minorEastAsia"/>
          <w:b/>
          <w:color w:val="auto"/>
          <w:w w:val="99"/>
          <w:kern w:val="21"/>
          <w:highlight w:val="none"/>
        </w:rPr>
        <w:t>建设用地土壤环境质量现状监测结果  单位：mg/kg（pH无量纲）</w:t>
      </w:r>
    </w:p>
    <w:p w14:paraId="2F5FF4CB">
      <w:pPr>
        <w:rPr>
          <w:rFonts w:ascii="Times New Roman" w:hAnsi="Times New Roman" w:eastAsiaTheme="minorEastAsia"/>
          <w:b/>
          <w:color w:val="auto"/>
          <w:w w:val="99"/>
          <w:kern w:val="21"/>
          <w:highlight w:val="none"/>
        </w:rPr>
      </w:pPr>
    </w:p>
    <w:tbl>
      <w:tblPr>
        <w:tblStyle w:val="8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48"/>
        <w:gridCol w:w="1235"/>
        <w:gridCol w:w="1235"/>
        <w:gridCol w:w="1246"/>
        <w:gridCol w:w="1239"/>
        <w:gridCol w:w="1239"/>
        <w:gridCol w:w="1243"/>
      </w:tblGrid>
      <w:tr w14:paraId="16A4D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Merge w:val="restart"/>
            <w:vAlign w:val="center"/>
          </w:tcPr>
          <w:p w14:paraId="7E884D3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004" w:type="pct"/>
            <w:gridSpan w:val="6"/>
            <w:tcBorders>
              <w:right w:val="single" w:color="auto" w:sz="4" w:space="0"/>
            </w:tcBorders>
            <w:vAlign w:val="center"/>
          </w:tcPr>
          <w:p w14:paraId="7E9F022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监测点位及监测结果</w:t>
            </w:r>
          </w:p>
        </w:tc>
      </w:tr>
      <w:tr w14:paraId="02CFC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Merge w:val="continue"/>
            <w:vAlign w:val="center"/>
          </w:tcPr>
          <w:p w14:paraId="40F9970C">
            <w:pPr>
              <w:pStyle w:val="101"/>
              <w:widowControl/>
              <w:spacing w:line="360" w:lineRule="exact"/>
              <w:rPr>
                <w:rFonts w:ascii="Times New Roman" w:hAnsi="Times New Roman" w:eastAsiaTheme="minorEastAsia"/>
                <w:color w:val="auto"/>
                <w:w w:val="99"/>
                <w:sz w:val="21"/>
                <w:szCs w:val="21"/>
                <w:highlight w:val="none"/>
              </w:rPr>
            </w:pPr>
          </w:p>
        </w:tc>
        <w:tc>
          <w:tcPr>
            <w:tcW w:w="2001" w:type="pct"/>
            <w:gridSpan w:val="3"/>
            <w:vAlign w:val="center"/>
          </w:tcPr>
          <w:p w14:paraId="393B49BD">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已建徐深27井井场占地内</w:t>
            </w:r>
          </w:p>
        </w:tc>
        <w:tc>
          <w:tcPr>
            <w:tcW w:w="2003" w:type="pct"/>
            <w:gridSpan w:val="3"/>
            <w:tcBorders>
              <w:right w:val="single" w:color="auto" w:sz="4" w:space="0"/>
            </w:tcBorders>
            <w:vAlign w:val="center"/>
          </w:tcPr>
          <w:p w14:paraId="23AA35AE">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徐深27集气站内拟建生产阀组区</w:t>
            </w:r>
          </w:p>
        </w:tc>
      </w:tr>
      <w:tr w14:paraId="379FC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Merge w:val="continue"/>
            <w:vAlign w:val="center"/>
          </w:tcPr>
          <w:p w14:paraId="13DC420A">
            <w:pPr>
              <w:pStyle w:val="101"/>
              <w:widowControl/>
              <w:spacing w:line="360" w:lineRule="exact"/>
              <w:rPr>
                <w:rFonts w:ascii="Times New Roman" w:hAnsi="Times New Roman" w:eastAsiaTheme="minorEastAsia"/>
                <w:color w:val="auto"/>
                <w:w w:val="99"/>
                <w:sz w:val="21"/>
                <w:szCs w:val="21"/>
                <w:highlight w:val="none"/>
              </w:rPr>
            </w:pPr>
          </w:p>
        </w:tc>
        <w:tc>
          <w:tcPr>
            <w:tcW w:w="665" w:type="pct"/>
            <w:vAlign w:val="center"/>
          </w:tcPr>
          <w:p w14:paraId="4970FFE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665" w:type="pct"/>
            <w:vAlign w:val="center"/>
          </w:tcPr>
          <w:p w14:paraId="475B000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670" w:type="pct"/>
            <w:vAlign w:val="center"/>
          </w:tcPr>
          <w:p w14:paraId="6F84B66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667" w:type="pct"/>
            <w:vAlign w:val="center"/>
          </w:tcPr>
          <w:p w14:paraId="25DF6D2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667" w:type="pct"/>
            <w:vAlign w:val="center"/>
          </w:tcPr>
          <w:p w14:paraId="26D3561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669" w:type="pct"/>
            <w:vAlign w:val="center"/>
          </w:tcPr>
          <w:p w14:paraId="0EC5712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r>
      <w:tr w14:paraId="20117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364558D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665" w:type="pct"/>
            <w:vAlign w:val="center"/>
          </w:tcPr>
          <w:p w14:paraId="4B3E6AEE">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7.81</w:t>
            </w:r>
          </w:p>
        </w:tc>
        <w:tc>
          <w:tcPr>
            <w:tcW w:w="665" w:type="pct"/>
            <w:vAlign w:val="center"/>
          </w:tcPr>
          <w:p w14:paraId="1D3B6F6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7.99</w:t>
            </w:r>
          </w:p>
        </w:tc>
        <w:tc>
          <w:tcPr>
            <w:tcW w:w="670" w:type="pct"/>
            <w:vAlign w:val="center"/>
          </w:tcPr>
          <w:p w14:paraId="0B0DBBA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7.78</w:t>
            </w:r>
          </w:p>
        </w:tc>
        <w:tc>
          <w:tcPr>
            <w:tcW w:w="1239" w:type="dxa"/>
            <w:vAlign w:val="center"/>
          </w:tcPr>
          <w:p w14:paraId="42500EFA">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7.79</w:t>
            </w:r>
          </w:p>
        </w:tc>
        <w:tc>
          <w:tcPr>
            <w:tcW w:w="1239" w:type="dxa"/>
            <w:vAlign w:val="center"/>
          </w:tcPr>
          <w:p w14:paraId="2BBB13C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8.02</w:t>
            </w:r>
          </w:p>
        </w:tc>
        <w:tc>
          <w:tcPr>
            <w:tcW w:w="1243" w:type="dxa"/>
            <w:vAlign w:val="center"/>
          </w:tcPr>
          <w:p w14:paraId="0CC3A97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8.11</w:t>
            </w:r>
          </w:p>
        </w:tc>
      </w:tr>
      <w:tr w14:paraId="0B6F4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100D308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665" w:type="pct"/>
            <w:vAlign w:val="center"/>
          </w:tcPr>
          <w:p w14:paraId="2851DE5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0.08</w:t>
            </w:r>
          </w:p>
        </w:tc>
        <w:tc>
          <w:tcPr>
            <w:tcW w:w="665" w:type="pct"/>
            <w:vAlign w:val="center"/>
          </w:tcPr>
          <w:p w14:paraId="03E96A0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0.12</w:t>
            </w:r>
          </w:p>
        </w:tc>
        <w:tc>
          <w:tcPr>
            <w:tcW w:w="670" w:type="pct"/>
            <w:vAlign w:val="center"/>
          </w:tcPr>
          <w:p w14:paraId="1920F58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0.11</w:t>
            </w:r>
          </w:p>
        </w:tc>
        <w:tc>
          <w:tcPr>
            <w:tcW w:w="1239" w:type="dxa"/>
            <w:vAlign w:val="center"/>
          </w:tcPr>
          <w:p w14:paraId="7111C4EB">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0.09</w:t>
            </w:r>
          </w:p>
        </w:tc>
        <w:tc>
          <w:tcPr>
            <w:tcW w:w="1239" w:type="dxa"/>
            <w:vAlign w:val="center"/>
          </w:tcPr>
          <w:p w14:paraId="128C763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0.11</w:t>
            </w:r>
          </w:p>
        </w:tc>
        <w:tc>
          <w:tcPr>
            <w:tcW w:w="1243" w:type="dxa"/>
            <w:vAlign w:val="center"/>
          </w:tcPr>
          <w:p w14:paraId="2FAA4A4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0.10</w:t>
            </w:r>
          </w:p>
        </w:tc>
      </w:tr>
      <w:tr w14:paraId="4D4C8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51501E2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665" w:type="pct"/>
            <w:vAlign w:val="center"/>
          </w:tcPr>
          <w:p w14:paraId="2827660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23</w:t>
            </w:r>
          </w:p>
        </w:tc>
        <w:tc>
          <w:tcPr>
            <w:tcW w:w="665" w:type="pct"/>
            <w:vAlign w:val="center"/>
          </w:tcPr>
          <w:p w14:paraId="128009D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016</w:t>
            </w:r>
          </w:p>
        </w:tc>
        <w:tc>
          <w:tcPr>
            <w:tcW w:w="670" w:type="pct"/>
            <w:vAlign w:val="center"/>
          </w:tcPr>
          <w:p w14:paraId="7ECB8AB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021</w:t>
            </w:r>
          </w:p>
        </w:tc>
        <w:tc>
          <w:tcPr>
            <w:tcW w:w="1239" w:type="dxa"/>
            <w:vAlign w:val="center"/>
          </w:tcPr>
          <w:p w14:paraId="7554B4DE">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0.024</w:t>
            </w:r>
          </w:p>
        </w:tc>
        <w:tc>
          <w:tcPr>
            <w:tcW w:w="1239" w:type="dxa"/>
            <w:vAlign w:val="center"/>
          </w:tcPr>
          <w:p w14:paraId="35C16DCD">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0.019</w:t>
            </w:r>
          </w:p>
        </w:tc>
        <w:tc>
          <w:tcPr>
            <w:tcW w:w="1243" w:type="dxa"/>
            <w:vAlign w:val="center"/>
          </w:tcPr>
          <w:p w14:paraId="520B7D7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0.025</w:t>
            </w:r>
          </w:p>
        </w:tc>
      </w:tr>
      <w:tr w14:paraId="4A34E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6521240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665" w:type="pct"/>
            <w:vAlign w:val="center"/>
          </w:tcPr>
          <w:p w14:paraId="54837DDE">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3.81</w:t>
            </w:r>
          </w:p>
        </w:tc>
        <w:tc>
          <w:tcPr>
            <w:tcW w:w="665" w:type="pct"/>
            <w:vAlign w:val="center"/>
          </w:tcPr>
          <w:p w14:paraId="6C54BAD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4.04</w:t>
            </w:r>
          </w:p>
        </w:tc>
        <w:tc>
          <w:tcPr>
            <w:tcW w:w="670" w:type="pct"/>
            <w:vAlign w:val="center"/>
          </w:tcPr>
          <w:p w14:paraId="2EA0A6FB">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3.96</w:t>
            </w:r>
          </w:p>
        </w:tc>
        <w:tc>
          <w:tcPr>
            <w:tcW w:w="1239" w:type="dxa"/>
            <w:vAlign w:val="center"/>
          </w:tcPr>
          <w:p w14:paraId="5D3F4085">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3.56</w:t>
            </w:r>
          </w:p>
        </w:tc>
        <w:tc>
          <w:tcPr>
            <w:tcW w:w="1239" w:type="dxa"/>
            <w:vAlign w:val="center"/>
          </w:tcPr>
          <w:p w14:paraId="0385CD0E">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3.78</w:t>
            </w:r>
          </w:p>
        </w:tc>
        <w:tc>
          <w:tcPr>
            <w:tcW w:w="1243" w:type="dxa"/>
            <w:vAlign w:val="center"/>
          </w:tcPr>
          <w:p w14:paraId="5103BAF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3.42</w:t>
            </w:r>
          </w:p>
        </w:tc>
      </w:tr>
      <w:tr w14:paraId="5F17F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06D8756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665" w:type="pct"/>
            <w:vAlign w:val="center"/>
          </w:tcPr>
          <w:p w14:paraId="68689E3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w:t>
            </w:r>
          </w:p>
        </w:tc>
        <w:tc>
          <w:tcPr>
            <w:tcW w:w="665" w:type="pct"/>
            <w:vAlign w:val="center"/>
          </w:tcPr>
          <w:p w14:paraId="1B4E205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21</w:t>
            </w:r>
          </w:p>
        </w:tc>
        <w:tc>
          <w:tcPr>
            <w:tcW w:w="670" w:type="pct"/>
            <w:vAlign w:val="center"/>
          </w:tcPr>
          <w:p w14:paraId="1FA2A52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24</w:t>
            </w:r>
          </w:p>
        </w:tc>
        <w:tc>
          <w:tcPr>
            <w:tcW w:w="1239" w:type="dxa"/>
            <w:vAlign w:val="center"/>
          </w:tcPr>
          <w:p w14:paraId="374FF06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16</w:t>
            </w:r>
          </w:p>
        </w:tc>
        <w:tc>
          <w:tcPr>
            <w:tcW w:w="1239" w:type="dxa"/>
            <w:vAlign w:val="center"/>
          </w:tcPr>
          <w:p w14:paraId="3C8839A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19</w:t>
            </w:r>
          </w:p>
        </w:tc>
        <w:tc>
          <w:tcPr>
            <w:tcW w:w="1243" w:type="dxa"/>
            <w:vAlign w:val="center"/>
          </w:tcPr>
          <w:p w14:paraId="129B816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21</w:t>
            </w:r>
          </w:p>
        </w:tc>
      </w:tr>
      <w:tr w14:paraId="50B9C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4DC580F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665" w:type="pct"/>
            <w:vAlign w:val="center"/>
          </w:tcPr>
          <w:p w14:paraId="7DF1D39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未检出</w:t>
            </w:r>
          </w:p>
        </w:tc>
        <w:tc>
          <w:tcPr>
            <w:tcW w:w="665" w:type="pct"/>
            <w:vAlign w:val="center"/>
          </w:tcPr>
          <w:p w14:paraId="60911E8B">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未检出</w:t>
            </w:r>
          </w:p>
        </w:tc>
        <w:tc>
          <w:tcPr>
            <w:tcW w:w="670" w:type="pct"/>
            <w:vAlign w:val="center"/>
          </w:tcPr>
          <w:p w14:paraId="6E080AF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未检出</w:t>
            </w:r>
          </w:p>
        </w:tc>
        <w:tc>
          <w:tcPr>
            <w:tcW w:w="1239" w:type="dxa"/>
            <w:vAlign w:val="center"/>
          </w:tcPr>
          <w:p w14:paraId="4B9520A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c>
          <w:tcPr>
            <w:tcW w:w="1239" w:type="dxa"/>
            <w:vAlign w:val="center"/>
          </w:tcPr>
          <w:p w14:paraId="531B467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c>
          <w:tcPr>
            <w:tcW w:w="1243" w:type="dxa"/>
            <w:vAlign w:val="center"/>
          </w:tcPr>
          <w:p w14:paraId="55C677A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未检出</w:t>
            </w:r>
          </w:p>
        </w:tc>
      </w:tr>
      <w:tr w14:paraId="5595E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58DFA43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665" w:type="pct"/>
            <w:vAlign w:val="center"/>
          </w:tcPr>
          <w:p w14:paraId="1CB5B08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w:t>
            </w:r>
          </w:p>
        </w:tc>
        <w:tc>
          <w:tcPr>
            <w:tcW w:w="665" w:type="pct"/>
            <w:vAlign w:val="center"/>
          </w:tcPr>
          <w:p w14:paraId="048F997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10</w:t>
            </w:r>
          </w:p>
        </w:tc>
        <w:tc>
          <w:tcPr>
            <w:tcW w:w="670" w:type="pct"/>
            <w:vAlign w:val="center"/>
          </w:tcPr>
          <w:p w14:paraId="0984A6C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14</w:t>
            </w:r>
          </w:p>
        </w:tc>
        <w:tc>
          <w:tcPr>
            <w:tcW w:w="1239" w:type="dxa"/>
            <w:vAlign w:val="center"/>
          </w:tcPr>
          <w:p w14:paraId="682F829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w:t>
            </w:r>
          </w:p>
        </w:tc>
        <w:tc>
          <w:tcPr>
            <w:tcW w:w="1239" w:type="dxa"/>
            <w:vAlign w:val="center"/>
          </w:tcPr>
          <w:p w14:paraId="3246AC4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w:t>
            </w:r>
          </w:p>
        </w:tc>
        <w:tc>
          <w:tcPr>
            <w:tcW w:w="1243" w:type="dxa"/>
            <w:vAlign w:val="center"/>
          </w:tcPr>
          <w:p w14:paraId="1967740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w:t>
            </w:r>
          </w:p>
        </w:tc>
      </w:tr>
      <w:tr w14:paraId="2B71F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3D907FF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665" w:type="pct"/>
            <w:vAlign w:val="center"/>
          </w:tcPr>
          <w:p w14:paraId="04417F9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19</w:t>
            </w:r>
          </w:p>
        </w:tc>
        <w:tc>
          <w:tcPr>
            <w:tcW w:w="665" w:type="pct"/>
            <w:vAlign w:val="center"/>
          </w:tcPr>
          <w:p w14:paraId="2A8EDFD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21</w:t>
            </w:r>
          </w:p>
        </w:tc>
        <w:tc>
          <w:tcPr>
            <w:tcW w:w="670" w:type="pct"/>
            <w:vAlign w:val="center"/>
          </w:tcPr>
          <w:p w14:paraId="3F5FE62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24</w:t>
            </w:r>
          </w:p>
        </w:tc>
        <w:tc>
          <w:tcPr>
            <w:tcW w:w="1239" w:type="dxa"/>
            <w:vAlign w:val="center"/>
          </w:tcPr>
          <w:p w14:paraId="039304A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22</w:t>
            </w:r>
          </w:p>
        </w:tc>
        <w:tc>
          <w:tcPr>
            <w:tcW w:w="1239" w:type="dxa"/>
            <w:vAlign w:val="center"/>
          </w:tcPr>
          <w:p w14:paraId="23155C5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25</w:t>
            </w:r>
          </w:p>
        </w:tc>
        <w:tc>
          <w:tcPr>
            <w:tcW w:w="1243" w:type="dxa"/>
            <w:vAlign w:val="center"/>
          </w:tcPr>
          <w:p w14:paraId="78AAD04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21</w:t>
            </w:r>
          </w:p>
        </w:tc>
      </w:tr>
      <w:tr w14:paraId="09B4E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37B7D05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水溶性盐总量</w:t>
            </w:r>
          </w:p>
        </w:tc>
        <w:tc>
          <w:tcPr>
            <w:tcW w:w="665" w:type="pct"/>
            <w:vAlign w:val="center"/>
          </w:tcPr>
          <w:p w14:paraId="0E04CA8A">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700</w:t>
            </w:r>
          </w:p>
        </w:tc>
        <w:tc>
          <w:tcPr>
            <w:tcW w:w="665" w:type="pct"/>
            <w:vAlign w:val="center"/>
          </w:tcPr>
          <w:p w14:paraId="1E087DA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600</w:t>
            </w:r>
          </w:p>
        </w:tc>
        <w:tc>
          <w:tcPr>
            <w:tcW w:w="670" w:type="pct"/>
            <w:vAlign w:val="center"/>
          </w:tcPr>
          <w:p w14:paraId="6670912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500</w:t>
            </w:r>
          </w:p>
        </w:tc>
        <w:tc>
          <w:tcPr>
            <w:tcW w:w="1239" w:type="dxa"/>
            <w:vAlign w:val="center"/>
          </w:tcPr>
          <w:p w14:paraId="0716C59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600</w:t>
            </w:r>
          </w:p>
        </w:tc>
        <w:tc>
          <w:tcPr>
            <w:tcW w:w="1239" w:type="dxa"/>
            <w:vAlign w:val="center"/>
          </w:tcPr>
          <w:p w14:paraId="079E923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700</w:t>
            </w:r>
          </w:p>
        </w:tc>
        <w:tc>
          <w:tcPr>
            <w:tcW w:w="1243" w:type="dxa"/>
            <w:vAlign w:val="center"/>
          </w:tcPr>
          <w:p w14:paraId="374A0B5B">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800</w:t>
            </w:r>
          </w:p>
        </w:tc>
      </w:tr>
      <w:tr w14:paraId="5C34F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0208122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665" w:type="pct"/>
            <w:vAlign w:val="center"/>
          </w:tcPr>
          <w:p w14:paraId="06BFDC0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w:t>
            </w:r>
          </w:p>
        </w:tc>
        <w:tc>
          <w:tcPr>
            <w:tcW w:w="665" w:type="pct"/>
            <w:vAlign w:val="center"/>
          </w:tcPr>
          <w:p w14:paraId="62B13F7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11</w:t>
            </w:r>
          </w:p>
        </w:tc>
        <w:tc>
          <w:tcPr>
            <w:tcW w:w="670" w:type="pct"/>
            <w:vAlign w:val="center"/>
          </w:tcPr>
          <w:p w14:paraId="2307651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14</w:t>
            </w:r>
          </w:p>
        </w:tc>
        <w:tc>
          <w:tcPr>
            <w:tcW w:w="1239" w:type="dxa"/>
            <w:vAlign w:val="center"/>
          </w:tcPr>
          <w:p w14:paraId="36138FB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12</w:t>
            </w:r>
          </w:p>
        </w:tc>
        <w:tc>
          <w:tcPr>
            <w:tcW w:w="1239" w:type="dxa"/>
            <w:vAlign w:val="center"/>
          </w:tcPr>
          <w:p w14:paraId="0C502BF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10</w:t>
            </w:r>
          </w:p>
        </w:tc>
        <w:tc>
          <w:tcPr>
            <w:tcW w:w="1243" w:type="dxa"/>
            <w:vAlign w:val="center"/>
          </w:tcPr>
          <w:p w14:paraId="004A5E5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13</w:t>
            </w:r>
          </w:p>
        </w:tc>
      </w:tr>
      <w:tr w14:paraId="152C6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3C6024C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665" w:type="pct"/>
            <w:vAlign w:val="center"/>
          </w:tcPr>
          <w:p w14:paraId="7CF737E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11F780C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40BC209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5BF0B9D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4E6996A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47DD6D5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3E0BD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08CE8FD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665" w:type="pct"/>
            <w:vAlign w:val="center"/>
          </w:tcPr>
          <w:p w14:paraId="7BAE06B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0A833F8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4D7F1D3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068377D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3DF32DB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0C7D771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3E53E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1BC890C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665" w:type="pct"/>
            <w:vAlign w:val="center"/>
          </w:tcPr>
          <w:p w14:paraId="17CCB1E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62EE1DC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11DC0B9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3C9F244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37DBD18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342CDA8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78240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6339B91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665" w:type="pct"/>
            <w:vAlign w:val="center"/>
          </w:tcPr>
          <w:p w14:paraId="71A98C6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0AB3951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0606064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1BB7EB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410BBDB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31DD805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43714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3C57D68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665" w:type="pct"/>
            <w:vAlign w:val="center"/>
          </w:tcPr>
          <w:p w14:paraId="2BD056E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791B797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4183880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65CB3D5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547E246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6B4B2AA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68831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2E228C4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665" w:type="pct"/>
            <w:vAlign w:val="center"/>
          </w:tcPr>
          <w:p w14:paraId="30AE02A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2040FA3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76A6E70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2D0440C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3A57BAB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4312669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39729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380DD94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665" w:type="pct"/>
            <w:vAlign w:val="center"/>
          </w:tcPr>
          <w:p w14:paraId="29F2BA4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1147CFC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498962F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27AB21E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4E25570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58389DA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32A09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4F9165D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665" w:type="pct"/>
            <w:vAlign w:val="center"/>
          </w:tcPr>
          <w:p w14:paraId="08748B8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51D4511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11364A4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5BA39D7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3E38097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7733680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225F5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16FC0E4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665" w:type="pct"/>
            <w:vAlign w:val="center"/>
          </w:tcPr>
          <w:p w14:paraId="7A7127B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5572F1E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29A94AC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5A0417B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1C9C9C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78C6919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7F0EC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7EE242F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665" w:type="pct"/>
            <w:vAlign w:val="center"/>
          </w:tcPr>
          <w:p w14:paraId="278F03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59BA4B9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2E9157F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317CE11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E82D4B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01329AA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282A8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3F79F6F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665" w:type="pct"/>
            <w:vAlign w:val="center"/>
          </w:tcPr>
          <w:p w14:paraId="5D4AB5F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709E421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3FA6E32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4413E2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7E3367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3DBB17D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00ACB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2C4B506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665" w:type="pct"/>
            <w:vAlign w:val="center"/>
          </w:tcPr>
          <w:p w14:paraId="7A99D7A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2A7614F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5AF80D2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EF1E56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6A71993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66F1BB9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29B66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5E380D2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665" w:type="pct"/>
            <w:vAlign w:val="center"/>
          </w:tcPr>
          <w:p w14:paraId="4A56C41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1BD26C5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7CE3366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05B37E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0BB8E86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4E77E7F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C8B1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5F492F4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665" w:type="pct"/>
            <w:vAlign w:val="center"/>
          </w:tcPr>
          <w:p w14:paraId="1AC3E5D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4C1DF37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4142DA1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184C6A9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D9329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5B36CC8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0AF43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2BD3495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665" w:type="pct"/>
            <w:vAlign w:val="center"/>
          </w:tcPr>
          <w:p w14:paraId="5FE94A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3E271FA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0D0831E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20A069B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4473C48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24B1206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72031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5E12E3B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665" w:type="pct"/>
            <w:vAlign w:val="center"/>
          </w:tcPr>
          <w:p w14:paraId="2610D67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5E5C216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4F9C7D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485560E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3CC9C31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1BB1EFE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628EF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145A6FD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665" w:type="pct"/>
            <w:vAlign w:val="center"/>
          </w:tcPr>
          <w:p w14:paraId="38DA461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114214A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496B2CF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006269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0871FF0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67AF453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30428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1884B95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665" w:type="pct"/>
            <w:vAlign w:val="center"/>
          </w:tcPr>
          <w:p w14:paraId="78F00A3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61EF2AF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0CBFCC5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5C241C0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0BF1E20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678E279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03787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101CE6C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665" w:type="pct"/>
            <w:vAlign w:val="center"/>
          </w:tcPr>
          <w:p w14:paraId="6A2F07D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523D4AC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15CEBD6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2D8AB5D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49A6E6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416C10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1BFEE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40EB5C6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665" w:type="pct"/>
            <w:vAlign w:val="center"/>
          </w:tcPr>
          <w:p w14:paraId="32CFEAB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6BE27BD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4ED8278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47CDB8C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521A3CB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2D5D430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61FD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26E31D5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665" w:type="pct"/>
            <w:vAlign w:val="center"/>
          </w:tcPr>
          <w:p w14:paraId="62AFD46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201B0C2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49FF591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5563B89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381CD04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527498F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19319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0B5434A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665" w:type="pct"/>
            <w:vAlign w:val="center"/>
          </w:tcPr>
          <w:p w14:paraId="5ECCA03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1142C63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3496012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59C5A3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0DEF7C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46A73C3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4C241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0AC774B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665" w:type="pct"/>
            <w:vAlign w:val="center"/>
          </w:tcPr>
          <w:p w14:paraId="2527F40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767F9CA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756902E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B9945C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24D6671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54AFC5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41D5F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41583A8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665" w:type="pct"/>
            <w:vAlign w:val="center"/>
          </w:tcPr>
          <w:p w14:paraId="5048D91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2145871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7E6820B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1855357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63422B1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0B420F1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4E320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29B5CB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665" w:type="pct"/>
            <w:vAlign w:val="center"/>
          </w:tcPr>
          <w:p w14:paraId="6383E7B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4B9CE57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52A2F3B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412B2D2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24F781F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0FB9E76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07A53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3A3DE9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665" w:type="pct"/>
            <w:vAlign w:val="center"/>
          </w:tcPr>
          <w:p w14:paraId="0C4144C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0937FED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152DDF0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3C89048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2EED0DC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57052E1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6B5E5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7C76ADE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665" w:type="pct"/>
            <w:vAlign w:val="center"/>
          </w:tcPr>
          <w:p w14:paraId="5BFCD92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1DF3E41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076AFD2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3B5B91C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4633ADB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23272E8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39EA0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3B879D2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665" w:type="pct"/>
            <w:vAlign w:val="center"/>
          </w:tcPr>
          <w:p w14:paraId="670A7E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214A832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51093AE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2AFBB5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0CF944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026CF9A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198B0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2F3ADFD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665" w:type="pct"/>
            <w:vAlign w:val="center"/>
          </w:tcPr>
          <w:p w14:paraId="138EAF2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3D881CB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71AEE7B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20B46CB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6936F57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14566FC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7391A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2A65322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665" w:type="pct"/>
            <w:vAlign w:val="center"/>
          </w:tcPr>
          <w:p w14:paraId="390604D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73B4A2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6186CF1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244356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79DB2E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316CD8E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322A5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1884E07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665" w:type="pct"/>
            <w:vAlign w:val="center"/>
          </w:tcPr>
          <w:p w14:paraId="2E3219B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74FFC4B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46EBA46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0500790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13A3352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38EF70E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2CB35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54C1978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665" w:type="pct"/>
            <w:vAlign w:val="center"/>
          </w:tcPr>
          <w:p w14:paraId="6A2695C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6E28CC7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3685294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49913B4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9F42CF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1DCB868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5DDE0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403A528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665" w:type="pct"/>
            <w:vAlign w:val="center"/>
          </w:tcPr>
          <w:p w14:paraId="67E7159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698A9BA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275F710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3AE93EB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25F4455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0BD7691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2E6B9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43AC010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665" w:type="pct"/>
            <w:vAlign w:val="center"/>
          </w:tcPr>
          <w:p w14:paraId="6A97CDF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1C23023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52CD813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4F695B1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0D34C54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5ACEAF5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34B43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59DA6D4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665" w:type="pct"/>
            <w:vAlign w:val="center"/>
          </w:tcPr>
          <w:p w14:paraId="47630EA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650D384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2C78256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690208B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2863527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3D52C12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62CB8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6357501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665" w:type="pct"/>
            <w:vAlign w:val="center"/>
          </w:tcPr>
          <w:p w14:paraId="12ECD3B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57783DB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5C015DA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77AF731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581AFE0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48AB8E9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3AED1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7BFB09F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665" w:type="pct"/>
            <w:vAlign w:val="center"/>
          </w:tcPr>
          <w:p w14:paraId="1DF6666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1006945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34B10E5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48E8BA3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0B074B6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0A6FC84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06DA0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3D5B9B9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665" w:type="pct"/>
            <w:vAlign w:val="center"/>
          </w:tcPr>
          <w:p w14:paraId="6FEBC8B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62DD528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3A8DE99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1FA184B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1FAD2F8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3B5C46E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2F4C2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687937D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w:t>
            </w:r>
          </w:p>
        </w:tc>
        <w:tc>
          <w:tcPr>
            <w:tcW w:w="665" w:type="pct"/>
            <w:vAlign w:val="center"/>
          </w:tcPr>
          <w:p w14:paraId="574AA7E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5CFE687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43BAD10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2DD6AE7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675B988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4780073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14:paraId="4512A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5" w:type="pct"/>
            <w:vAlign w:val="center"/>
          </w:tcPr>
          <w:p w14:paraId="5093A7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6</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9</w:t>
            </w:r>
            <w:r>
              <w:rPr>
                <w:rFonts w:ascii="Times New Roman" w:hAnsi="Times New Roman" w:cs="Times New Roman" w:eastAsiaTheme="minorEastAsia"/>
                <w:color w:val="auto"/>
                <w:w w:val="99"/>
                <w:sz w:val="21"/>
                <w:szCs w:val="21"/>
                <w:highlight w:val="none"/>
              </w:rPr>
              <w:t>）</w:t>
            </w:r>
          </w:p>
        </w:tc>
        <w:tc>
          <w:tcPr>
            <w:tcW w:w="665" w:type="pct"/>
            <w:vAlign w:val="center"/>
          </w:tcPr>
          <w:p w14:paraId="092E75B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5" w:type="pct"/>
            <w:vAlign w:val="center"/>
          </w:tcPr>
          <w:p w14:paraId="0BA5BB3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70" w:type="pct"/>
            <w:vAlign w:val="center"/>
          </w:tcPr>
          <w:p w14:paraId="32E642C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120B719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7" w:type="pct"/>
            <w:vAlign w:val="center"/>
          </w:tcPr>
          <w:p w14:paraId="6CE1364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669" w:type="pct"/>
            <w:vAlign w:val="center"/>
          </w:tcPr>
          <w:p w14:paraId="24511B3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bl>
    <w:p w14:paraId="7B1C2BBB">
      <w:pPr>
        <w:pStyle w:val="101"/>
        <w:rPr>
          <w:rFonts w:ascii="Times New Roman" w:hAnsi="Times New Roman" w:eastAsiaTheme="minorEastAsia"/>
          <w:b/>
          <w:color w:val="auto"/>
          <w:w w:val="99"/>
          <w:kern w:val="21"/>
          <w:highlight w:val="none"/>
        </w:rPr>
      </w:pPr>
    </w:p>
    <w:p w14:paraId="78D77F36">
      <w:pPr>
        <w:pStyle w:val="101"/>
      </w:pPr>
    </w:p>
    <w:p w14:paraId="7CC3A035">
      <w:pPr>
        <w:pStyle w:val="153"/>
        <w:widowControl w:val="0"/>
        <w:spacing w:line="440" w:lineRule="exact"/>
        <w:ind w:firstLine="478"/>
        <w:rPr>
          <w:rFonts w:ascii="Times New Roman" w:hAnsi="Times New Roman" w:eastAsiaTheme="minorEastAsia"/>
          <w:b/>
          <w:color w:val="auto"/>
          <w:w w:val="99"/>
          <w:kern w:val="21"/>
          <w:highlight w:val="none"/>
        </w:rPr>
      </w:pPr>
      <w:r>
        <w:rPr>
          <w:rFonts w:ascii="Times New Roman" w:hAnsi="Times New Roman" w:eastAsiaTheme="minorEastAsia"/>
          <w:b/>
          <w:color w:val="auto"/>
          <w:w w:val="99"/>
          <w:kern w:val="21"/>
          <w:highlight w:val="none"/>
          <w:lang w:bidi="zh-CN"/>
        </w:rPr>
        <w:t>表</w:t>
      </w:r>
      <w:r>
        <w:rPr>
          <w:rFonts w:ascii="Times New Roman" w:hAnsi="Times New Roman" w:eastAsiaTheme="minorEastAsia"/>
          <w:b/>
          <w:color w:val="auto"/>
          <w:w w:val="99"/>
          <w:kern w:val="2"/>
          <w:szCs w:val="20"/>
          <w:highlight w:val="none"/>
        </w:rPr>
        <w:t>4.3-</w:t>
      </w:r>
      <w:r>
        <w:rPr>
          <w:rFonts w:hint="eastAsia" w:ascii="Times New Roman" w:hAnsi="Times New Roman" w:eastAsiaTheme="minorEastAsia"/>
          <w:b/>
          <w:color w:val="auto"/>
          <w:w w:val="99"/>
          <w:kern w:val="2"/>
          <w:szCs w:val="20"/>
          <w:highlight w:val="none"/>
          <w:lang w:val="en-US" w:eastAsia="zh-CN"/>
        </w:rPr>
        <w:t>2</w:t>
      </w:r>
      <w:r>
        <w:rPr>
          <w:rFonts w:ascii="Times New Roman" w:hAnsi="Times New Roman" w:eastAsiaTheme="minorEastAsia"/>
          <w:b/>
          <w:color w:val="auto"/>
          <w:w w:val="99"/>
          <w:kern w:val="2"/>
          <w:szCs w:val="20"/>
          <w:highlight w:val="none"/>
        </w:rPr>
        <w:t>2</w:t>
      </w:r>
      <w:r>
        <w:rPr>
          <w:rFonts w:ascii="Times New Roman" w:hAnsi="Times New Roman" w:eastAsiaTheme="minorEastAsia"/>
          <w:b/>
          <w:color w:val="auto"/>
          <w:w w:val="99"/>
          <w:kern w:val="21"/>
          <w:highlight w:val="none"/>
          <w:lang w:bidi="zh-CN"/>
        </w:rPr>
        <w:t xml:space="preserve">    </w:t>
      </w:r>
      <w:r>
        <w:rPr>
          <w:rFonts w:ascii="Times New Roman" w:hAnsi="Times New Roman" w:eastAsiaTheme="minorEastAsia"/>
          <w:b/>
          <w:color w:val="auto"/>
          <w:w w:val="99"/>
          <w:kern w:val="21"/>
          <w:highlight w:val="none"/>
        </w:rPr>
        <w:t>农用地土壤环境质量现状监测结果    单位：mg/kg（pH无量纲）</w:t>
      </w:r>
    </w:p>
    <w:tbl>
      <w:tblPr>
        <w:tblStyle w:val="80"/>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80"/>
        <w:gridCol w:w="3308"/>
        <w:gridCol w:w="3592"/>
      </w:tblGrid>
      <w:tr w14:paraId="57924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Merge w:val="restart"/>
            <w:vAlign w:val="center"/>
          </w:tcPr>
          <w:p w14:paraId="011BA46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3717" w:type="pct"/>
            <w:gridSpan w:val="2"/>
            <w:tcBorders>
              <w:right w:val="single" w:color="auto" w:sz="4" w:space="0"/>
            </w:tcBorders>
            <w:vAlign w:val="center"/>
          </w:tcPr>
          <w:p w14:paraId="0DF06CA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监测点位及监测结果</w:t>
            </w:r>
          </w:p>
        </w:tc>
      </w:tr>
      <w:tr w14:paraId="4CADA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Merge w:val="continue"/>
            <w:vAlign w:val="center"/>
          </w:tcPr>
          <w:p w14:paraId="559FA20C">
            <w:pPr>
              <w:spacing w:line="360" w:lineRule="exact"/>
              <w:jc w:val="center"/>
              <w:rPr>
                <w:rFonts w:ascii="Times New Roman" w:hAnsi="Times New Roman" w:cs="Times New Roman" w:eastAsiaTheme="minorEastAsia"/>
                <w:color w:val="auto"/>
                <w:w w:val="99"/>
                <w:sz w:val="21"/>
                <w:szCs w:val="21"/>
                <w:highlight w:val="none"/>
              </w:rPr>
            </w:pPr>
          </w:p>
        </w:tc>
        <w:tc>
          <w:tcPr>
            <w:tcW w:w="1782" w:type="pct"/>
            <w:vAlign w:val="center"/>
          </w:tcPr>
          <w:p w14:paraId="0959B565">
            <w:pPr>
              <w:pStyle w:val="27"/>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拟建徐深27-H1井井场占地外南侧200m</w:t>
            </w:r>
          </w:p>
        </w:tc>
        <w:tc>
          <w:tcPr>
            <w:tcW w:w="1935" w:type="pct"/>
            <w:tcBorders>
              <w:right w:val="single" w:color="auto" w:sz="4" w:space="0"/>
            </w:tcBorders>
            <w:vAlign w:val="center"/>
          </w:tcPr>
          <w:p w14:paraId="4F622BD7">
            <w:pPr>
              <w:pStyle w:val="27"/>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拟建徐深27-H1井井场占地外西侧200m</w:t>
            </w:r>
          </w:p>
        </w:tc>
      </w:tr>
      <w:tr w14:paraId="572F4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Merge w:val="continue"/>
            <w:vAlign w:val="center"/>
          </w:tcPr>
          <w:p w14:paraId="291A8715">
            <w:pPr>
              <w:spacing w:line="360" w:lineRule="exact"/>
              <w:jc w:val="center"/>
              <w:rPr>
                <w:rFonts w:ascii="Times New Roman" w:hAnsi="Times New Roman" w:cs="Times New Roman" w:eastAsiaTheme="minorEastAsia"/>
                <w:color w:val="auto"/>
                <w:w w:val="99"/>
                <w:sz w:val="21"/>
                <w:szCs w:val="21"/>
                <w:highlight w:val="none"/>
              </w:rPr>
            </w:pPr>
          </w:p>
        </w:tc>
        <w:tc>
          <w:tcPr>
            <w:tcW w:w="1782" w:type="pct"/>
            <w:vAlign w:val="center"/>
          </w:tcPr>
          <w:p w14:paraId="551650F0">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zh-CN" w:bidi="ar-SA"/>
              </w:rPr>
              <w:t>0-20cm</w:t>
            </w:r>
          </w:p>
        </w:tc>
        <w:tc>
          <w:tcPr>
            <w:tcW w:w="1935" w:type="pct"/>
            <w:vAlign w:val="center"/>
          </w:tcPr>
          <w:p w14:paraId="310C5CF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zh-CN" w:bidi="ar-SA"/>
              </w:rPr>
              <w:t>0-20cm</w:t>
            </w:r>
          </w:p>
        </w:tc>
      </w:tr>
      <w:tr w14:paraId="00BF7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18DD7E3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1782" w:type="pct"/>
            <w:vAlign w:val="center"/>
          </w:tcPr>
          <w:p w14:paraId="2D725BE9">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8.08</w:t>
            </w:r>
          </w:p>
        </w:tc>
        <w:tc>
          <w:tcPr>
            <w:tcW w:w="1935" w:type="pct"/>
            <w:vAlign w:val="center"/>
          </w:tcPr>
          <w:p w14:paraId="7B57C89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7.68</w:t>
            </w:r>
          </w:p>
        </w:tc>
      </w:tr>
      <w:tr w14:paraId="373AF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19C3C32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1782" w:type="pct"/>
            <w:vAlign w:val="center"/>
          </w:tcPr>
          <w:p w14:paraId="026D324F">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0.10</w:t>
            </w:r>
          </w:p>
        </w:tc>
        <w:tc>
          <w:tcPr>
            <w:tcW w:w="1935" w:type="pct"/>
            <w:vAlign w:val="center"/>
          </w:tcPr>
          <w:p w14:paraId="358FBD41">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0.12</w:t>
            </w:r>
          </w:p>
        </w:tc>
      </w:tr>
      <w:tr w14:paraId="3B47B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1A5547F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1782" w:type="pct"/>
            <w:vAlign w:val="center"/>
          </w:tcPr>
          <w:p w14:paraId="6B267BDA">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0.019</w:t>
            </w:r>
          </w:p>
        </w:tc>
        <w:tc>
          <w:tcPr>
            <w:tcW w:w="1935" w:type="pct"/>
            <w:vAlign w:val="center"/>
          </w:tcPr>
          <w:p w14:paraId="7E82188E">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0.025</w:t>
            </w:r>
          </w:p>
        </w:tc>
      </w:tr>
      <w:tr w14:paraId="600EE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6B12E7E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1782" w:type="pct"/>
            <w:vAlign w:val="center"/>
          </w:tcPr>
          <w:p w14:paraId="41DD51E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3.57</w:t>
            </w:r>
          </w:p>
        </w:tc>
        <w:tc>
          <w:tcPr>
            <w:tcW w:w="1935" w:type="pct"/>
            <w:vAlign w:val="center"/>
          </w:tcPr>
          <w:p w14:paraId="0D5FCB6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3.66</w:t>
            </w:r>
          </w:p>
        </w:tc>
      </w:tr>
      <w:tr w14:paraId="74AC4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710C17C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1782" w:type="pct"/>
            <w:vAlign w:val="center"/>
          </w:tcPr>
          <w:p w14:paraId="414F615E">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15</w:t>
            </w:r>
          </w:p>
        </w:tc>
        <w:tc>
          <w:tcPr>
            <w:tcW w:w="1935" w:type="pct"/>
            <w:vAlign w:val="center"/>
          </w:tcPr>
          <w:p w14:paraId="55B6B04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19</w:t>
            </w:r>
          </w:p>
        </w:tc>
      </w:tr>
      <w:tr w14:paraId="7389A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5995FE3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w:t>
            </w:r>
          </w:p>
        </w:tc>
        <w:tc>
          <w:tcPr>
            <w:tcW w:w="1782" w:type="pct"/>
            <w:vAlign w:val="center"/>
          </w:tcPr>
          <w:p w14:paraId="5CA7264A">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48</w:t>
            </w:r>
          </w:p>
        </w:tc>
        <w:tc>
          <w:tcPr>
            <w:tcW w:w="1935" w:type="pct"/>
            <w:vAlign w:val="center"/>
          </w:tcPr>
          <w:p w14:paraId="02AD6D40">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53</w:t>
            </w:r>
          </w:p>
        </w:tc>
      </w:tr>
      <w:tr w14:paraId="223BF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7636515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w:t>
            </w:r>
          </w:p>
        </w:tc>
        <w:tc>
          <w:tcPr>
            <w:tcW w:w="1782" w:type="pct"/>
            <w:vAlign w:val="center"/>
          </w:tcPr>
          <w:p w14:paraId="6BA982EF">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19</w:t>
            </w:r>
          </w:p>
        </w:tc>
        <w:tc>
          <w:tcPr>
            <w:tcW w:w="1935" w:type="pct"/>
            <w:vAlign w:val="center"/>
          </w:tcPr>
          <w:p w14:paraId="4474582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11</w:t>
            </w:r>
          </w:p>
        </w:tc>
      </w:tr>
      <w:tr w14:paraId="60BDA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 w:hRule="atLeast"/>
          <w:jc w:val="center"/>
        </w:trPr>
        <w:tc>
          <w:tcPr>
            <w:tcW w:w="1282" w:type="pct"/>
            <w:vAlign w:val="center"/>
          </w:tcPr>
          <w:p w14:paraId="57A1B58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w:t>
            </w:r>
          </w:p>
        </w:tc>
        <w:tc>
          <w:tcPr>
            <w:tcW w:w="1782" w:type="pct"/>
            <w:vAlign w:val="center"/>
          </w:tcPr>
          <w:p w14:paraId="7CDA61AB">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22</w:t>
            </w:r>
          </w:p>
        </w:tc>
        <w:tc>
          <w:tcPr>
            <w:tcW w:w="1935" w:type="pct"/>
            <w:vAlign w:val="center"/>
          </w:tcPr>
          <w:p w14:paraId="1E2BCFF0">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24</w:t>
            </w:r>
          </w:p>
        </w:tc>
      </w:tr>
      <w:tr w14:paraId="06F73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3D1E6EC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锌</w:t>
            </w:r>
          </w:p>
        </w:tc>
        <w:tc>
          <w:tcPr>
            <w:tcW w:w="1782" w:type="pct"/>
            <w:vAlign w:val="center"/>
          </w:tcPr>
          <w:p w14:paraId="68E8440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61</w:t>
            </w:r>
          </w:p>
        </w:tc>
        <w:tc>
          <w:tcPr>
            <w:tcW w:w="1935" w:type="pct"/>
            <w:vAlign w:val="center"/>
          </w:tcPr>
          <w:p w14:paraId="28059583">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57</w:t>
            </w:r>
          </w:p>
        </w:tc>
      </w:tr>
      <w:tr w14:paraId="2463B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2A3D02E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w:t>
            </w:r>
          </w:p>
        </w:tc>
        <w:tc>
          <w:tcPr>
            <w:tcW w:w="1782" w:type="pct"/>
            <w:vAlign w:val="center"/>
          </w:tcPr>
          <w:p w14:paraId="45BD3C8E">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未检出</w:t>
            </w:r>
          </w:p>
        </w:tc>
        <w:tc>
          <w:tcPr>
            <w:tcW w:w="1935" w:type="pct"/>
            <w:vAlign w:val="center"/>
          </w:tcPr>
          <w:p w14:paraId="4DA5484F">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未检出</w:t>
            </w:r>
          </w:p>
        </w:tc>
      </w:tr>
      <w:tr w14:paraId="1F17A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399FF3F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6</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9</w:t>
            </w:r>
            <w:r>
              <w:rPr>
                <w:rFonts w:ascii="Times New Roman" w:hAnsi="Times New Roman" w:cs="Times New Roman" w:eastAsiaTheme="minorEastAsia"/>
                <w:color w:val="auto"/>
                <w:w w:val="99"/>
                <w:sz w:val="21"/>
                <w:szCs w:val="21"/>
                <w:highlight w:val="none"/>
              </w:rPr>
              <w:t>）</w:t>
            </w:r>
          </w:p>
        </w:tc>
        <w:tc>
          <w:tcPr>
            <w:tcW w:w="1782" w:type="pct"/>
            <w:vAlign w:val="center"/>
          </w:tcPr>
          <w:p w14:paraId="56123BB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未检出</w:t>
            </w:r>
          </w:p>
        </w:tc>
        <w:tc>
          <w:tcPr>
            <w:tcW w:w="1935" w:type="pct"/>
            <w:vAlign w:val="center"/>
          </w:tcPr>
          <w:p w14:paraId="3559E1B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未检出</w:t>
            </w:r>
          </w:p>
        </w:tc>
      </w:tr>
      <w:tr w14:paraId="32CC4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1D1F7EF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水溶性盐总量</w:t>
            </w:r>
          </w:p>
        </w:tc>
        <w:tc>
          <w:tcPr>
            <w:tcW w:w="1782" w:type="pct"/>
            <w:shd w:val="clear" w:color="auto" w:fill="auto"/>
            <w:vAlign w:val="center"/>
          </w:tcPr>
          <w:p w14:paraId="2FBC54D0">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700</w:t>
            </w:r>
          </w:p>
        </w:tc>
        <w:tc>
          <w:tcPr>
            <w:tcW w:w="1935" w:type="pct"/>
            <w:shd w:val="clear" w:color="auto" w:fill="auto"/>
            <w:vAlign w:val="center"/>
          </w:tcPr>
          <w:p w14:paraId="76C91B43">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600</w:t>
            </w:r>
          </w:p>
        </w:tc>
      </w:tr>
      <w:tr w14:paraId="2A7AE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282" w:type="pct"/>
            <w:vAlign w:val="center"/>
          </w:tcPr>
          <w:p w14:paraId="335FCEC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1782" w:type="pct"/>
            <w:shd w:val="clear" w:color="auto" w:fill="auto"/>
            <w:vAlign w:val="center"/>
          </w:tcPr>
          <w:p w14:paraId="4C16E874">
            <w:pPr>
              <w:spacing w:line="36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11</w:t>
            </w:r>
          </w:p>
        </w:tc>
        <w:tc>
          <w:tcPr>
            <w:tcW w:w="1935" w:type="pct"/>
            <w:shd w:val="clear" w:color="auto" w:fill="auto"/>
            <w:vAlign w:val="center"/>
          </w:tcPr>
          <w:p w14:paraId="69C5756F">
            <w:pPr>
              <w:spacing w:line="36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12</w:t>
            </w:r>
          </w:p>
        </w:tc>
      </w:tr>
    </w:tbl>
    <w:p w14:paraId="5A87DE1C">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4.3.5.3土壤环境质量现状评价</w:t>
      </w:r>
    </w:p>
    <w:p w14:paraId="2960D0A9">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（1）评价方法</w:t>
      </w:r>
    </w:p>
    <w:p w14:paraId="023199DF">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评价方法采用标准指数法进行土壤环境质量现状评价，即通过指数的大小反应土壤环境受污染的程度，公式为：</w:t>
      </w:r>
    </w:p>
    <w:p w14:paraId="43E8B583">
      <w:pPr>
        <w:widowControl w:val="0"/>
        <w:spacing w:line="440" w:lineRule="exact"/>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K</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＝X</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/Xo</w:t>
      </w:r>
      <w:r>
        <w:rPr>
          <w:rFonts w:ascii="Times New Roman" w:hAnsi="Times New Roman" w:cs="Times New Roman" w:eastAsiaTheme="minorEastAsia"/>
          <w:color w:val="auto"/>
          <w:w w:val="99"/>
          <w:highlight w:val="none"/>
          <w:vertAlign w:val="subscript"/>
        </w:rPr>
        <w:t>i</w:t>
      </w:r>
    </w:p>
    <w:p w14:paraId="51883097">
      <w:pPr>
        <w:widowControl w:val="0"/>
        <w:spacing w:line="44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式中：K</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——第i项分指数；</w:t>
      </w:r>
    </w:p>
    <w:p w14:paraId="70BD0511">
      <w:pPr>
        <w:widowControl w:val="0"/>
        <w:spacing w:line="44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      X</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——土壤中i污染物的实测含量，mg/kg；</w:t>
      </w:r>
    </w:p>
    <w:p w14:paraId="1E7852D1">
      <w:pPr>
        <w:widowControl w:val="0"/>
        <w:spacing w:line="44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      Xo</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——土壤中i污染物的标准值，mg/kg。</w:t>
      </w:r>
    </w:p>
    <w:p w14:paraId="090DD64C">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（2）评价标准</w:t>
      </w:r>
    </w:p>
    <w:p w14:paraId="72E2E830">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lang w:val="en-US" w:eastAsia="zh-CN"/>
        </w:rPr>
        <w:t>1</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lang w:val="en-US" w:eastAsia="zh-CN"/>
        </w:rPr>
        <w:t>5</w:t>
      </w:r>
      <w:r>
        <w:rPr>
          <w:rFonts w:ascii="Times New Roman" w:hAnsi="Times New Roman" w:cs="Times New Roman" w:eastAsiaTheme="minorEastAsia"/>
          <w:color w:val="auto"/>
          <w:w w:val="99"/>
          <w:kern w:val="21"/>
          <w:highlight w:val="none"/>
        </w:rPr>
        <w:t>#监测点位土壤执行《土壤环境质量 建设用地土壤污染风险管控标准（试行）》（GB36600-2018）中第二类用地筛选值标准，</w:t>
      </w:r>
      <w:r>
        <w:rPr>
          <w:rFonts w:hint="eastAsia" w:ascii="Times New Roman" w:hAnsi="Times New Roman" w:cs="Times New Roman" w:eastAsiaTheme="minorEastAsia"/>
          <w:color w:val="auto"/>
          <w:w w:val="99"/>
          <w:kern w:val="21"/>
          <w:highlight w:val="none"/>
          <w:lang w:val="en-US" w:eastAsia="zh-CN"/>
        </w:rPr>
        <w:t>6</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lang w:val="en-US" w:eastAsia="zh-CN"/>
        </w:rPr>
        <w:t>7</w:t>
      </w:r>
      <w:r>
        <w:rPr>
          <w:rFonts w:ascii="Times New Roman" w:hAnsi="Times New Roman" w:cs="Times New Roman" w:eastAsiaTheme="minorEastAsia"/>
          <w:color w:val="auto"/>
          <w:w w:val="99"/>
          <w:kern w:val="21"/>
          <w:highlight w:val="none"/>
        </w:rPr>
        <w:t>#监测点位土壤执行《土壤环境质量 农用地土壤污染风险管控标准（试行）》（GB15618-2018）</w:t>
      </w:r>
      <w:r>
        <w:rPr>
          <w:rFonts w:hint="eastAsia" w:ascii="Times New Roman" w:hAnsi="Times New Roman" w:cs="Times New Roman" w:eastAsiaTheme="minorEastAsia"/>
          <w:color w:val="auto"/>
          <w:w w:val="99"/>
          <w:kern w:val="21"/>
          <w:highlight w:val="none"/>
        </w:rPr>
        <w:t>表1</w:t>
      </w:r>
      <w:r>
        <w:rPr>
          <w:rFonts w:ascii="Times New Roman" w:hAnsi="Times New Roman" w:cs="Times New Roman" w:eastAsiaTheme="minorEastAsia"/>
          <w:color w:val="auto"/>
          <w:w w:val="99"/>
          <w:kern w:val="21"/>
          <w:highlight w:val="none"/>
        </w:rPr>
        <w:t>中</w:t>
      </w:r>
      <w:r>
        <w:rPr>
          <w:rFonts w:hint="eastAsia" w:ascii="Times New Roman" w:hAnsi="Times New Roman" w:cs="Times New Roman" w:eastAsiaTheme="minorEastAsia"/>
          <w:color w:val="auto"/>
          <w:w w:val="99"/>
          <w:kern w:val="21"/>
          <w:highlight w:val="none"/>
        </w:rPr>
        <w:t>其它</w:t>
      </w:r>
      <w:r>
        <w:rPr>
          <w:rFonts w:ascii="Times New Roman" w:hAnsi="Times New Roman" w:cs="Times New Roman" w:eastAsiaTheme="minorEastAsia"/>
          <w:color w:val="auto"/>
          <w:w w:val="99"/>
          <w:kern w:val="21"/>
          <w:highlight w:val="none"/>
        </w:rPr>
        <w:t>农用地土壤风险筛选值</w:t>
      </w:r>
      <w:r>
        <w:rPr>
          <w:rFonts w:hint="eastAsia" w:ascii="Times New Roman" w:hAnsi="Times New Roman" w:cs="Times New Roman" w:eastAsiaTheme="minorEastAsia"/>
          <w:color w:val="auto"/>
          <w:w w:val="99"/>
          <w:kern w:val="21"/>
          <w:highlight w:val="none"/>
        </w:rPr>
        <w:t>。</w:t>
      </w:r>
    </w:p>
    <w:p w14:paraId="05F27DB1">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（3）土壤现状评价结果分析</w:t>
      </w:r>
    </w:p>
    <w:p w14:paraId="42CC9357">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建设用地土壤环境质量现状评价结果见表4.3-</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3。</w:t>
      </w:r>
      <w:r>
        <w:rPr>
          <w:rFonts w:ascii="Times New Roman" w:hAnsi="Times New Roman" w:cs="Times New Roman" w:eastAsiaTheme="minorEastAsia"/>
          <w:color w:val="auto"/>
          <w:w w:val="99"/>
          <w:kern w:val="21"/>
          <w:highlight w:val="none"/>
        </w:rPr>
        <w:t>农用地土壤环境质量现状评价结果见表</w:t>
      </w:r>
      <w:r>
        <w:rPr>
          <w:rFonts w:ascii="Times New Roman" w:hAnsi="Times New Roman" w:cs="Times New Roman" w:eastAsiaTheme="minorEastAsia"/>
          <w:color w:val="auto"/>
          <w:w w:val="99"/>
          <w:highlight w:val="none"/>
        </w:rPr>
        <w:t>4.3-</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4。</w:t>
      </w:r>
    </w:p>
    <w:p w14:paraId="3D3D589B">
      <w:pPr>
        <w:widowControl w:val="0"/>
        <w:spacing w:line="44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color w:val="auto"/>
          <w:w w:val="99"/>
          <w:highlight w:val="none"/>
        </w:rPr>
        <w:t>表4.3-</w:t>
      </w:r>
      <w:r>
        <w:rPr>
          <w:rFonts w:hint="eastAsia" w:ascii="Times New Roman" w:hAnsi="Times New Roman" w:cs="Times New Roman" w:eastAsiaTheme="minorEastAsia"/>
          <w:b/>
          <w:color w:val="auto"/>
          <w:w w:val="99"/>
          <w:highlight w:val="none"/>
          <w:lang w:val="en-US" w:eastAsia="zh-CN"/>
        </w:rPr>
        <w:t>2</w:t>
      </w:r>
      <w:r>
        <w:rPr>
          <w:rFonts w:ascii="Times New Roman" w:hAnsi="Times New Roman" w:cs="Times New Roman" w:eastAsiaTheme="minorEastAsia"/>
          <w:b/>
          <w:color w:val="auto"/>
          <w:w w:val="99"/>
          <w:highlight w:val="none"/>
        </w:rPr>
        <w:t>3    建设用地土壤环境质量现状评价结果（K</w:t>
      </w:r>
      <w:r>
        <w:rPr>
          <w:rFonts w:ascii="Times New Roman" w:hAnsi="Times New Roman" w:cs="Times New Roman" w:eastAsiaTheme="minorEastAsia"/>
          <w:b/>
          <w:color w:val="auto"/>
          <w:w w:val="99"/>
          <w:highlight w:val="none"/>
          <w:vertAlign w:val="subscript"/>
        </w:rPr>
        <w:t>i</w:t>
      </w:r>
      <w:r>
        <w:rPr>
          <w:rFonts w:ascii="Times New Roman" w:hAnsi="Times New Roman" w:cs="Times New Roman" w:eastAsiaTheme="minorEastAsia"/>
          <w:b/>
          <w:color w:val="auto"/>
          <w:w w:val="99"/>
          <w:highlight w:val="none"/>
        </w:rPr>
        <w:t>值）</w:t>
      </w:r>
    </w:p>
    <w:tbl>
      <w:tblPr>
        <w:tblStyle w:val="80"/>
        <w:tblW w:w="42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761"/>
        <w:gridCol w:w="939"/>
        <w:gridCol w:w="1028"/>
        <w:gridCol w:w="761"/>
        <w:gridCol w:w="939"/>
        <w:gridCol w:w="1028"/>
        <w:gridCol w:w="761"/>
        <w:gridCol w:w="940"/>
        <w:gridCol w:w="1029"/>
      </w:tblGrid>
      <w:tr w14:paraId="7DC55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Merge w:val="restart"/>
            <w:vAlign w:val="center"/>
          </w:tcPr>
          <w:p w14:paraId="50D9963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411" w:type="pct"/>
            <w:gridSpan w:val="9"/>
            <w:vAlign w:val="center"/>
          </w:tcPr>
          <w:p w14:paraId="2BE4C8C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监测点位及评价结果</w:t>
            </w:r>
          </w:p>
        </w:tc>
      </w:tr>
      <w:tr w14:paraId="539C7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Merge w:val="continue"/>
            <w:vAlign w:val="center"/>
          </w:tcPr>
          <w:p w14:paraId="18856AF8">
            <w:pPr>
              <w:pStyle w:val="101"/>
              <w:widowControl/>
              <w:spacing w:line="360" w:lineRule="exact"/>
              <w:rPr>
                <w:rFonts w:ascii="Times New Roman" w:hAnsi="Times New Roman" w:eastAsiaTheme="minorEastAsia"/>
                <w:color w:val="auto"/>
                <w:w w:val="99"/>
                <w:sz w:val="21"/>
                <w:szCs w:val="21"/>
                <w:highlight w:val="none"/>
              </w:rPr>
            </w:pPr>
          </w:p>
        </w:tc>
        <w:tc>
          <w:tcPr>
            <w:tcW w:w="2728" w:type="dxa"/>
            <w:gridSpan w:val="3"/>
            <w:vAlign w:val="center"/>
          </w:tcPr>
          <w:p w14:paraId="1E287FB3">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拟建</w:t>
            </w:r>
            <w:r>
              <w:rPr>
                <w:rFonts w:hint="eastAsia" w:ascii="Times New Roman" w:hAnsi="Times New Roman" w:cs="Times New Roman" w:eastAsiaTheme="minorEastAsia"/>
                <w:color w:val="auto"/>
                <w:w w:val="99"/>
                <w:sz w:val="21"/>
                <w:szCs w:val="21"/>
                <w:highlight w:val="none"/>
                <w:lang w:eastAsia="zh-CN"/>
              </w:rPr>
              <w:t>徐深27-H1井</w:t>
            </w:r>
            <w:r>
              <w:rPr>
                <w:rFonts w:hint="eastAsia" w:ascii="Times New Roman" w:hAnsi="Times New Roman" w:cs="Times New Roman" w:eastAsiaTheme="minorEastAsia"/>
                <w:color w:val="auto"/>
                <w:w w:val="99"/>
                <w:sz w:val="21"/>
                <w:szCs w:val="21"/>
                <w:highlight w:val="none"/>
                <w:lang w:val="en-US" w:eastAsia="zh-CN"/>
              </w:rPr>
              <w:t>井场占地内1#</w:t>
            </w:r>
          </w:p>
        </w:tc>
        <w:tc>
          <w:tcPr>
            <w:tcW w:w="2728" w:type="dxa"/>
            <w:gridSpan w:val="3"/>
            <w:vAlign w:val="center"/>
          </w:tcPr>
          <w:p w14:paraId="14DAB755">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拟建徐深27-H1井井场占地内2#</w:t>
            </w:r>
          </w:p>
        </w:tc>
        <w:tc>
          <w:tcPr>
            <w:tcW w:w="2730" w:type="dxa"/>
            <w:gridSpan w:val="3"/>
            <w:vAlign w:val="center"/>
          </w:tcPr>
          <w:p w14:paraId="13DED108">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拟建徐深27-H1井井场占地内3#</w:t>
            </w:r>
          </w:p>
        </w:tc>
      </w:tr>
      <w:tr w14:paraId="4D48F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Merge w:val="continue"/>
            <w:vAlign w:val="center"/>
          </w:tcPr>
          <w:p w14:paraId="4F00CFA0">
            <w:pPr>
              <w:pStyle w:val="101"/>
              <w:widowControl/>
              <w:spacing w:line="360" w:lineRule="exact"/>
              <w:rPr>
                <w:rFonts w:ascii="Times New Roman" w:hAnsi="Times New Roman" w:eastAsiaTheme="minorEastAsia"/>
                <w:color w:val="auto"/>
                <w:w w:val="99"/>
                <w:sz w:val="21"/>
                <w:szCs w:val="21"/>
                <w:highlight w:val="none"/>
              </w:rPr>
            </w:pPr>
          </w:p>
        </w:tc>
        <w:tc>
          <w:tcPr>
            <w:tcW w:w="414" w:type="pct"/>
            <w:vAlign w:val="center"/>
          </w:tcPr>
          <w:p w14:paraId="55A638D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05" w:type="pct"/>
            <w:vAlign w:val="center"/>
          </w:tcPr>
          <w:p w14:paraId="042B241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51" w:type="pct"/>
            <w:vAlign w:val="center"/>
          </w:tcPr>
          <w:p w14:paraId="733B86B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14" w:type="pct"/>
            <w:vAlign w:val="center"/>
          </w:tcPr>
          <w:p w14:paraId="19506B2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05" w:type="pct"/>
            <w:vAlign w:val="center"/>
          </w:tcPr>
          <w:p w14:paraId="3903870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51" w:type="pct"/>
            <w:vAlign w:val="center"/>
          </w:tcPr>
          <w:p w14:paraId="78EA57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14" w:type="pct"/>
            <w:vAlign w:val="center"/>
          </w:tcPr>
          <w:p w14:paraId="738C2D5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05" w:type="pct"/>
            <w:vAlign w:val="center"/>
          </w:tcPr>
          <w:p w14:paraId="03A0A21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51" w:type="pct"/>
            <w:vAlign w:val="center"/>
          </w:tcPr>
          <w:p w14:paraId="0C445F2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r>
      <w:tr w14:paraId="0A3DD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6EF25A7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761" w:type="dxa"/>
            <w:vAlign w:val="center"/>
          </w:tcPr>
          <w:p w14:paraId="43D1D7A6">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0.0012 </w:t>
            </w:r>
          </w:p>
        </w:tc>
        <w:tc>
          <w:tcPr>
            <w:tcW w:w="939" w:type="dxa"/>
            <w:vAlign w:val="center"/>
          </w:tcPr>
          <w:p w14:paraId="018698A4">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0.0017 </w:t>
            </w:r>
          </w:p>
        </w:tc>
        <w:tc>
          <w:tcPr>
            <w:tcW w:w="1028" w:type="dxa"/>
            <w:vAlign w:val="center"/>
          </w:tcPr>
          <w:p w14:paraId="74B95B85">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0.0020 </w:t>
            </w:r>
          </w:p>
        </w:tc>
        <w:tc>
          <w:tcPr>
            <w:tcW w:w="761" w:type="dxa"/>
            <w:vAlign w:val="center"/>
          </w:tcPr>
          <w:p w14:paraId="00C05D28">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0.0015 </w:t>
            </w:r>
          </w:p>
        </w:tc>
        <w:tc>
          <w:tcPr>
            <w:tcW w:w="939" w:type="dxa"/>
            <w:vAlign w:val="center"/>
          </w:tcPr>
          <w:p w14:paraId="6F43DF5E">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0.0020 </w:t>
            </w:r>
          </w:p>
        </w:tc>
        <w:tc>
          <w:tcPr>
            <w:tcW w:w="1028" w:type="dxa"/>
            <w:vAlign w:val="center"/>
          </w:tcPr>
          <w:p w14:paraId="20F2ACD8">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0.0014 </w:t>
            </w:r>
          </w:p>
        </w:tc>
        <w:tc>
          <w:tcPr>
            <w:tcW w:w="761" w:type="dxa"/>
            <w:vAlign w:val="center"/>
          </w:tcPr>
          <w:p w14:paraId="4D94DF67">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0.0014 </w:t>
            </w:r>
          </w:p>
        </w:tc>
        <w:tc>
          <w:tcPr>
            <w:tcW w:w="940" w:type="dxa"/>
            <w:vAlign w:val="center"/>
          </w:tcPr>
          <w:p w14:paraId="135CB121">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0.0015 </w:t>
            </w:r>
          </w:p>
        </w:tc>
        <w:tc>
          <w:tcPr>
            <w:tcW w:w="1029" w:type="dxa"/>
            <w:vAlign w:val="center"/>
          </w:tcPr>
          <w:p w14:paraId="7D910DE0">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0.0011 </w:t>
            </w:r>
          </w:p>
        </w:tc>
      </w:tr>
      <w:tr w14:paraId="10331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3FF7107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761" w:type="dxa"/>
            <w:vAlign w:val="center"/>
          </w:tcPr>
          <w:p w14:paraId="0D6EB3B7">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0.0006 </w:t>
            </w:r>
          </w:p>
        </w:tc>
        <w:tc>
          <w:tcPr>
            <w:tcW w:w="939" w:type="dxa"/>
            <w:vAlign w:val="center"/>
          </w:tcPr>
          <w:p w14:paraId="56C4A3A5">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0.0004 </w:t>
            </w:r>
          </w:p>
        </w:tc>
        <w:tc>
          <w:tcPr>
            <w:tcW w:w="1028" w:type="dxa"/>
            <w:vAlign w:val="center"/>
          </w:tcPr>
          <w:p w14:paraId="7162CAB8">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0.0006 </w:t>
            </w:r>
          </w:p>
        </w:tc>
        <w:tc>
          <w:tcPr>
            <w:tcW w:w="761" w:type="dxa"/>
            <w:vAlign w:val="center"/>
          </w:tcPr>
          <w:p w14:paraId="60C8C0D1">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0.0005 </w:t>
            </w:r>
          </w:p>
        </w:tc>
        <w:tc>
          <w:tcPr>
            <w:tcW w:w="939" w:type="dxa"/>
            <w:vAlign w:val="center"/>
          </w:tcPr>
          <w:p w14:paraId="052A8FA8">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0.0006 </w:t>
            </w:r>
          </w:p>
        </w:tc>
        <w:tc>
          <w:tcPr>
            <w:tcW w:w="1028" w:type="dxa"/>
            <w:vAlign w:val="center"/>
          </w:tcPr>
          <w:p w14:paraId="0EBDE502">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0.0004 </w:t>
            </w:r>
          </w:p>
        </w:tc>
        <w:tc>
          <w:tcPr>
            <w:tcW w:w="761" w:type="dxa"/>
            <w:vAlign w:val="center"/>
          </w:tcPr>
          <w:p w14:paraId="35AD7D59">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0.0004 </w:t>
            </w:r>
          </w:p>
        </w:tc>
        <w:tc>
          <w:tcPr>
            <w:tcW w:w="940" w:type="dxa"/>
            <w:vAlign w:val="center"/>
          </w:tcPr>
          <w:p w14:paraId="575B6EA4">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0.0005 </w:t>
            </w:r>
          </w:p>
        </w:tc>
        <w:tc>
          <w:tcPr>
            <w:tcW w:w="1029" w:type="dxa"/>
            <w:vAlign w:val="center"/>
          </w:tcPr>
          <w:p w14:paraId="73D40121">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0.0006 </w:t>
            </w:r>
          </w:p>
        </w:tc>
      </w:tr>
      <w:tr w14:paraId="6A12A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3F76E64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761" w:type="dxa"/>
            <w:vAlign w:val="center"/>
          </w:tcPr>
          <w:p w14:paraId="29832B0C">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0.0575 </w:t>
            </w:r>
          </w:p>
        </w:tc>
        <w:tc>
          <w:tcPr>
            <w:tcW w:w="939" w:type="dxa"/>
            <w:vAlign w:val="center"/>
          </w:tcPr>
          <w:p w14:paraId="358CBC0E">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0.0687 </w:t>
            </w:r>
          </w:p>
        </w:tc>
        <w:tc>
          <w:tcPr>
            <w:tcW w:w="1028" w:type="dxa"/>
            <w:vAlign w:val="center"/>
          </w:tcPr>
          <w:p w14:paraId="1419C712">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0.0660 </w:t>
            </w:r>
          </w:p>
        </w:tc>
        <w:tc>
          <w:tcPr>
            <w:tcW w:w="761" w:type="dxa"/>
            <w:vAlign w:val="center"/>
          </w:tcPr>
          <w:p w14:paraId="35C6C182">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0.0668 </w:t>
            </w:r>
          </w:p>
        </w:tc>
        <w:tc>
          <w:tcPr>
            <w:tcW w:w="939" w:type="dxa"/>
            <w:vAlign w:val="center"/>
          </w:tcPr>
          <w:p w14:paraId="29167FB6">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0.0593 </w:t>
            </w:r>
          </w:p>
        </w:tc>
        <w:tc>
          <w:tcPr>
            <w:tcW w:w="1028" w:type="dxa"/>
            <w:vAlign w:val="center"/>
          </w:tcPr>
          <w:p w14:paraId="01602A21">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0.0565 </w:t>
            </w:r>
          </w:p>
        </w:tc>
        <w:tc>
          <w:tcPr>
            <w:tcW w:w="761" w:type="dxa"/>
            <w:vAlign w:val="center"/>
          </w:tcPr>
          <w:p w14:paraId="044B8954">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0.0575 </w:t>
            </w:r>
          </w:p>
        </w:tc>
        <w:tc>
          <w:tcPr>
            <w:tcW w:w="940" w:type="dxa"/>
            <w:vAlign w:val="center"/>
          </w:tcPr>
          <w:p w14:paraId="2389AC73">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0.0540 </w:t>
            </w:r>
          </w:p>
        </w:tc>
        <w:tc>
          <w:tcPr>
            <w:tcW w:w="1029" w:type="dxa"/>
            <w:vAlign w:val="center"/>
          </w:tcPr>
          <w:p w14:paraId="0510693B">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0.0628 </w:t>
            </w:r>
          </w:p>
        </w:tc>
      </w:tr>
      <w:tr w14:paraId="3F6B8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309F076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761" w:type="dxa"/>
            <w:vAlign w:val="center"/>
          </w:tcPr>
          <w:p w14:paraId="05381D99">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0.0225 </w:t>
            </w:r>
          </w:p>
        </w:tc>
        <w:tc>
          <w:tcPr>
            <w:tcW w:w="939" w:type="dxa"/>
            <w:vAlign w:val="center"/>
          </w:tcPr>
          <w:p w14:paraId="278B286C">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0.0250 </w:t>
            </w:r>
          </w:p>
        </w:tc>
        <w:tc>
          <w:tcPr>
            <w:tcW w:w="1028" w:type="dxa"/>
            <w:vAlign w:val="center"/>
          </w:tcPr>
          <w:p w14:paraId="6D5E8336">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0.0188 </w:t>
            </w:r>
          </w:p>
        </w:tc>
        <w:tc>
          <w:tcPr>
            <w:tcW w:w="761" w:type="dxa"/>
            <w:vAlign w:val="center"/>
          </w:tcPr>
          <w:p w14:paraId="77BD7740">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0.0150 </w:t>
            </w:r>
          </w:p>
        </w:tc>
        <w:tc>
          <w:tcPr>
            <w:tcW w:w="939" w:type="dxa"/>
            <w:vAlign w:val="center"/>
          </w:tcPr>
          <w:p w14:paraId="6B318046">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0.0213 </w:t>
            </w:r>
          </w:p>
        </w:tc>
        <w:tc>
          <w:tcPr>
            <w:tcW w:w="1028" w:type="dxa"/>
            <w:vAlign w:val="center"/>
          </w:tcPr>
          <w:p w14:paraId="69E474CF">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0.0175 </w:t>
            </w:r>
          </w:p>
        </w:tc>
        <w:tc>
          <w:tcPr>
            <w:tcW w:w="761" w:type="dxa"/>
            <w:vAlign w:val="center"/>
          </w:tcPr>
          <w:p w14:paraId="789C4267">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0.0200 </w:t>
            </w:r>
          </w:p>
        </w:tc>
        <w:tc>
          <w:tcPr>
            <w:tcW w:w="940" w:type="dxa"/>
            <w:vAlign w:val="center"/>
          </w:tcPr>
          <w:p w14:paraId="0088280D">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0.0225 </w:t>
            </w:r>
          </w:p>
        </w:tc>
        <w:tc>
          <w:tcPr>
            <w:tcW w:w="1029" w:type="dxa"/>
            <w:vAlign w:val="center"/>
          </w:tcPr>
          <w:p w14:paraId="2612480E">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0.0188 </w:t>
            </w:r>
          </w:p>
        </w:tc>
      </w:tr>
      <w:tr w14:paraId="63C65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624FEE2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414" w:type="pct"/>
            <w:vAlign w:val="bottom"/>
          </w:tcPr>
          <w:p w14:paraId="06583DE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bottom"/>
          </w:tcPr>
          <w:p w14:paraId="41D7FB2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bottom"/>
          </w:tcPr>
          <w:p w14:paraId="5EBA3F2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bottom"/>
          </w:tcPr>
          <w:p w14:paraId="62CC3BE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bottom"/>
          </w:tcPr>
          <w:p w14:paraId="48B456D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bottom"/>
          </w:tcPr>
          <w:p w14:paraId="62210AD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bottom"/>
          </w:tcPr>
          <w:p w14:paraId="7FDD874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bottom"/>
          </w:tcPr>
          <w:p w14:paraId="3089EAB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bottom"/>
          </w:tcPr>
          <w:p w14:paraId="0E4152D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7CF54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2CC15F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761" w:type="dxa"/>
            <w:vAlign w:val="center"/>
          </w:tcPr>
          <w:p w14:paraId="156E026D">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0.0009 </w:t>
            </w:r>
          </w:p>
        </w:tc>
        <w:tc>
          <w:tcPr>
            <w:tcW w:w="939" w:type="dxa"/>
            <w:vAlign w:val="center"/>
          </w:tcPr>
          <w:p w14:paraId="30370F87">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0.0007 </w:t>
            </w:r>
          </w:p>
        </w:tc>
        <w:tc>
          <w:tcPr>
            <w:tcW w:w="1028" w:type="dxa"/>
            <w:vAlign w:val="center"/>
          </w:tcPr>
          <w:p w14:paraId="70A98235">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0.0010 </w:t>
            </w:r>
          </w:p>
        </w:tc>
        <w:tc>
          <w:tcPr>
            <w:tcW w:w="761" w:type="dxa"/>
            <w:vAlign w:val="center"/>
          </w:tcPr>
          <w:p w14:paraId="59D240A9">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0.0008 </w:t>
            </w:r>
          </w:p>
        </w:tc>
        <w:tc>
          <w:tcPr>
            <w:tcW w:w="939" w:type="dxa"/>
            <w:vAlign w:val="center"/>
          </w:tcPr>
          <w:p w14:paraId="1044D21D">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0.0009 </w:t>
            </w:r>
          </w:p>
        </w:tc>
        <w:tc>
          <w:tcPr>
            <w:tcW w:w="1028" w:type="dxa"/>
            <w:vAlign w:val="center"/>
          </w:tcPr>
          <w:p w14:paraId="0216DA5E">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0.0007 </w:t>
            </w:r>
          </w:p>
        </w:tc>
        <w:tc>
          <w:tcPr>
            <w:tcW w:w="761" w:type="dxa"/>
            <w:vAlign w:val="center"/>
          </w:tcPr>
          <w:p w14:paraId="61446055">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0.0006 </w:t>
            </w:r>
          </w:p>
        </w:tc>
        <w:tc>
          <w:tcPr>
            <w:tcW w:w="940" w:type="dxa"/>
            <w:vAlign w:val="center"/>
          </w:tcPr>
          <w:p w14:paraId="4257C463">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0.0008 </w:t>
            </w:r>
          </w:p>
        </w:tc>
        <w:tc>
          <w:tcPr>
            <w:tcW w:w="1029" w:type="dxa"/>
            <w:vAlign w:val="center"/>
          </w:tcPr>
          <w:p w14:paraId="6E7B5BFC">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0.0009 </w:t>
            </w:r>
          </w:p>
        </w:tc>
      </w:tr>
      <w:tr w14:paraId="1FE64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3C3A5A4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761" w:type="dxa"/>
            <w:vAlign w:val="center"/>
          </w:tcPr>
          <w:p w14:paraId="2863A1F4">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0.0211 </w:t>
            </w:r>
          </w:p>
        </w:tc>
        <w:tc>
          <w:tcPr>
            <w:tcW w:w="939" w:type="dxa"/>
            <w:vAlign w:val="center"/>
          </w:tcPr>
          <w:p w14:paraId="08D619B5">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0.0278 </w:t>
            </w:r>
          </w:p>
        </w:tc>
        <w:tc>
          <w:tcPr>
            <w:tcW w:w="1028" w:type="dxa"/>
            <w:vAlign w:val="center"/>
          </w:tcPr>
          <w:p w14:paraId="7D062F61">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0.0222 </w:t>
            </w:r>
          </w:p>
        </w:tc>
        <w:tc>
          <w:tcPr>
            <w:tcW w:w="761" w:type="dxa"/>
            <w:vAlign w:val="center"/>
          </w:tcPr>
          <w:p w14:paraId="117FD745">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0.0244 </w:t>
            </w:r>
          </w:p>
        </w:tc>
        <w:tc>
          <w:tcPr>
            <w:tcW w:w="939" w:type="dxa"/>
            <w:vAlign w:val="center"/>
          </w:tcPr>
          <w:p w14:paraId="636B6C77">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0.0233 </w:t>
            </w:r>
          </w:p>
        </w:tc>
        <w:tc>
          <w:tcPr>
            <w:tcW w:w="1028" w:type="dxa"/>
            <w:vAlign w:val="center"/>
          </w:tcPr>
          <w:p w14:paraId="70C33884">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0.0200 </w:t>
            </w:r>
          </w:p>
        </w:tc>
        <w:tc>
          <w:tcPr>
            <w:tcW w:w="761" w:type="dxa"/>
            <w:vAlign w:val="center"/>
          </w:tcPr>
          <w:p w14:paraId="3EF04154">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0.0233 </w:t>
            </w:r>
          </w:p>
        </w:tc>
        <w:tc>
          <w:tcPr>
            <w:tcW w:w="940" w:type="dxa"/>
            <w:vAlign w:val="center"/>
          </w:tcPr>
          <w:p w14:paraId="2FCF48AD">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0.0222 </w:t>
            </w:r>
          </w:p>
        </w:tc>
        <w:tc>
          <w:tcPr>
            <w:tcW w:w="1029" w:type="dxa"/>
            <w:vAlign w:val="center"/>
          </w:tcPr>
          <w:p w14:paraId="0886D318">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 xml:space="preserve">0.0278 </w:t>
            </w:r>
          </w:p>
        </w:tc>
      </w:tr>
      <w:tr w14:paraId="05EEF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5CDA038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414" w:type="pct"/>
            <w:vAlign w:val="center"/>
          </w:tcPr>
          <w:p w14:paraId="29CE6C0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55424B0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EC738E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11AF29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C107F8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AE733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77FD4E1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9A6FF3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1E68A2C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53EB7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30581FF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414" w:type="pct"/>
            <w:vAlign w:val="center"/>
          </w:tcPr>
          <w:p w14:paraId="393F3FC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45C9E7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4276C9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CE91CA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3D4634A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2FBAE2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4CEB95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66305F4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282B04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43A06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09D1583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414" w:type="pct"/>
            <w:vAlign w:val="center"/>
          </w:tcPr>
          <w:p w14:paraId="3053300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6B2C0D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F0EF8C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334D6C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6879C8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8EB64E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50F8F4F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37AF9C9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AD31E5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4E996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027396A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414" w:type="pct"/>
            <w:vAlign w:val="center"/>
          </w:tcPr>
          <w:p w14:paraId="56988D3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2E8EB3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79D008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57B38E0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5B2B474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33672E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3ADE926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5117994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402527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458C6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591FD5C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414" w:type="pct"/>
            <w:vAlign w:val="center"/>
          </w:tcPr>
          <w:p w14:paraId="3B8C808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62929D7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C3318B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759A2B7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4F344E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1DED74E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4EA4C6B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59BFBE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EE9452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030E8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76B9CBD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414" w:type="pct"/>
            <w:vAlign w:val="center"/>
          </w:tcPr>
          <w:p w14:paraId="140F5DA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43266B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1A8844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0613EC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53E5518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F79872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45482D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AF2937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E6F6F7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7F04E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2EBCD29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414" w:type="pct"/>
            <w:vAlign w:val="center"/>
          </w:tcPr>
          <w:p w14:paraId="763774F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577D0F7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A02060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A21CD4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B636F5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C4A9A2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E76DDD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3CED29A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840725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6C369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43EC50A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414" w:type="pct"/>
            <w:vAlign w:val="center"/>
          </w:tcPr>
          <w:p w14:paraId="339AF37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765738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0F3627F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4EDA744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7A9150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8DF944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FE970E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627138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A8B504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4B337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23D4608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414" w:type="pct"/>
            <w:vAlign w:val="center"/>
          </w:tcPr>
          <w:p w14:paraId="679B63B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D8329D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0D218C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5FAF18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5D6770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A6C7E2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30AFDA3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9419ED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BD0153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33C12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3BE6245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414" w:type="pct"/>
            <w:vAlign w:val="center"/>
          </w:tcPr>
          <w:p w14:paraId="4FEC82A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1CA53F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E0311B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2A5E5D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C77F2C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7361F0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D63084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5F00003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7E2A4B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0079D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7716743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414" w:type="pct"/>
            <w:vAlign w:val="center"/>
          </w:tcPr>
          <w:p w14:paraId="6DC15A0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7F0279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84BAD4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7F2CE2B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8D7FBC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902D08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AA3DFD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6B5407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5FF572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0B21D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67918E5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414" w:type="pct"/>
            <w:vAlign w:val="center"/>
          </w:tcPr>
          <w:p w14:paraId="0458613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50AA2C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14B06B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7B34E9B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3A1223F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1E902B8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30C072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89D661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E58EEB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6C016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49B8A52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414" w:type="pct"/>
            <w:vAlign w:val="center"/>
          </w:tcPr>
          <w:p w14:paraId="24BD183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00C033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048325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116AC1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414A5F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1E9A71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5B61BE5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0A5079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5BEB4D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012F3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57AF930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414" w:type="pct"/>
            <w:vAlign w:val="center"/>
          </w:tcPr>
          <w:p w14:paraId="1264172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16D59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9CDFD7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52BC6B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F6F96B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10AAB5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3490257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182B99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1FA98F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0C987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1EFF434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414" w:type="pct"/>
            <w:vAlign w:val="center"/>
          </w:tcPr>
          <w:p w14:paraId="6411F22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9FD2EC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AA1E93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37DA03B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C7C0EA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4FD752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530CB6C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7A8413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35DB66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09006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5149F91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414" w:type="pct"/>
            <w:vAlign w:val="center"/>
          </w:tcPr>
          <w:p w14:paraId="6143FA3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170F06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3FDFAA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4E0328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DA4858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3AB189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5534174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57EE62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41A9BD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24053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6C6AF10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414" w:type="pct"/>
            <w:vAlign w:val="center"/>
          </w:tcPr>
          <w:p w14:paraId="61F8992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0693C3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56083C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B7DB17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39B4134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D32B4A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B310BF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41B3E5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8B7D85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6C659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5B1881C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414" w:type="pct"/>
            <w:vAlign w:val="center"/>
          </w:tcPr>
          <w:p w14:paraId="3391461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D90B16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262F3D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07705A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BF47CD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16CB2AE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5D3A60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C1265F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061F799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31262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68D41A6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414" w:type="pct"/>
            <w:vAlign w:val="center"/>
          </w:tcPr>
          <w:p w14:paraId="0F329DD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1E2DD6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0C3E2DD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F02703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904277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6367B4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3AA56F2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31F4EA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699878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1019E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604B0C2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414" w:type="pct"/>
            <w:vAlign w:val="center"/>
          </w:tcPr>
          <w:p w14:paraId="197DA17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6D878B9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171327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640704C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5BF916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14E703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6980C81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F731B8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E5CB19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05D64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47B9B3E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414" w:type="pct"/>
            <w:vAlign w:val="center"/>
          </w:tcPr>
          <w:p w14:paraId="3BC826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54524D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2D04F6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39DB0B9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3B96679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9369E9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986223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DEFAEB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FF48B0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009CA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3633000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414" w:type="pct"/>
            <w:vAlign w:val="center"/>
          </w:tcPr>
          <w:p w14:paraId="397C03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A45548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3313E7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5947DCD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4A2A8B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7E4482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79966F0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6EB0A4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F92291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36DD9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3358294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414" w:type="pct"/>
            <w:vAlign w:val="center"/>
          </w:tcPr>
          <w:p w14:paraId="312182B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733B62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133F34A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7FCCFF3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54E6F81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BABA0A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3BCFC5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718F6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868790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47CB7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260B4FF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414" w:type="pct"/>
            <w:vAlign w:val="center"/>
          </w:tcPr>
          <w:p w14:paraId="501D8F1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54B5734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E40EDA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3233F1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082315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93F223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523C61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07AD19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633E54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5E73E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5C9717D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414" w:type="pct"/>
            <w:vAlign w:val="center"/>
          </w:tcPr>
          <w:p w14:paraId="3A8FB04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18505E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BEDCEA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300FB10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3946D7F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5CEB67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CA4C10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546090D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F43E12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77AAB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027B4A8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414" w:type="pct"/>
            <w:vAlign w:val="center"/>
          </w:tcPr>
          <w:p w14:paraId="2FA3006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48E970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16E12ED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13B278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3FA10CE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D91FB1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854AA3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A54C26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63A2E2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42099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4D11233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414" w:type="pct"/>
            <w:vAlign w:val="center"/>
          </w:tcPr>
          <w:p w14:paraId="285BA6E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8C34E7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2612FD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3998488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351A6C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D82A2E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F6286C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204ECE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8C0EE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20A9D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7A5FA8C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414" w:type="pct"/>
            <w:vAlign w:val="center"/>
          </w:tcPr>
          <w:p w14:paraId="6026251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6141FB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F3BE6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4968B12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7B017F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8D3B53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42CC1D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3C733FD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1701041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21967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610CEC5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414" w:type="pct"/>
            <w:vAlign w:val="center"/>
          </w:tcPr>
          <w:p w14:paraId="3CF4100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64B4E39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E15804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6F19CC3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4D6E51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AADEC3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1B4552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36B211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F2F212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292F9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6B2B40B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414" w:type="pct"/>
            <w:vAlign w:val="center"/>
          </w:tcPr>
          <w:p w14:paraId="1DD826B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EC81FD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0C609F2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7B5F9F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6FBCACA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8BA53D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F313BE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05F50E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CFA2B6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1C466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5932FF2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414" w:type="pct"/>
            <w:vAlign w:val="center"/>
          </w:tcPr>
          <w:p w14:paraId="6E3A581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57D7BC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D4B85F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9FA976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9243F6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9EB1D3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6630425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DE4D47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11B9FA5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38229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0090528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414" w:type="pct"/>
            <w:vAlign w:val="center"/>
          </w:tcPr>
          <w:p w14:paraId="2E21948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1C23D8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F9F6EF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9D5F80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1720D9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D51E25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3BB207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1D8878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073C5B7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29B01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0306972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414" w:type="pct"/>
            <w:vAlign w:val="center"/>
          </w:tcPr>
          <w:p w14:paraId="07D4FA3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E86C10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1ADF50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3837E4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52B9D1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6E404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42C860B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605543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AC358A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6DB81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67CA50D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414" w:type="pct"/>
            <w:vAlign w:val="center"/>
          </w:tcPr>
          <w:p w14:paraId="212F95C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33978E9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3806E6C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7D9C699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F8E927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9FAA49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B9BB09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960AA1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03176C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7036D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6565DC5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414" w:type="pct"/>
            <w:vAlign w:val="center"/>
          </w:tcPr>
          <w:p w14:paraId="587BC88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6B70466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9ACE1B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E11C1A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4A81176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933F35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52C5E2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66BD257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02600B7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4EB7B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750D02A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414" w:type="pct"/>
            <w:vAlign w:val="center"/>
          </w:tcPr>
          <w:p w14:paraId="4640586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81EB9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B49780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5AC142D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14CD21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A83EE2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5D93307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7199EB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563422C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6F02B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4DE3E54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414" w:type="pct"/>
            <w:vAlign w:val="center"/>
          </w:tcPr>
          <w:p w14:paraId="3A6E87F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6375F8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6A91548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2A67693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542CA06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F137BC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6057CA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6D0F94E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52E26C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1375B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194E2BE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414" w:type="pct"/>
            <w:vAlign w:val="center"/>
          </w:tcPr>
          <w:p w14:paraId="72031DC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087F898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22CFD42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5793078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1B0EBE7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07E76C9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64C6A25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4C6E61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0E552BD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r w14:paraId="5252A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88" w:type="pct"/>
            <w:vAlign w:val="center"/>
          </w:tcPr>
          <w:p w14:paraId="7633D31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w:t>
            </w:r>
          </w:p>
        </w:tc>
        <w:tc>
          <w:tcPr>
            <w:tcW w:w="414" w:type="pct"/>
            <w:vAlign w:val="center"/>
          </w:tcPr>
          <w:p w14:paraId="3F7C879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236E031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70D3C26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04B264E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772E921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49A910A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414" w:type="pct"/>
            <w:vAlign w:val="center"/>
          </w:tcPr>
          <w:p w14:paraId="1582B73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05" w:type="pct"/>
            <w:vAlign w:val="center"/>
          </w:tcPr>
          <w:p w14:paraId="58555BA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51" w:type="pct"/>
            <w:vAlign w:val="center"/>
          </w:tcPr>
          <w:p w14:paraId="03BE7C0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r>
    </w:tbl>
    <w:p w14:paraId="53333EDB">
      <w:pPr>
        <w:pStyle w:val="153"/>
        <w:widowControl w:val="0"/>
        <w:spacing w:line="440" w:lineRule="exact"/>
        <w:ind w:firstLine="478"/>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续表4.3-</w:t>
      </w:r>
      <w:r>
        <w:rPr>
          <w:rFonts w:hint="eastAsia" w:ascii="Times New Roman" w:hAnsi="Times New Roman" w:eastAsiaTheme="minorEastAsia"/>
          <w:b/>
          <w:color w:val="auto"/>
          <w:w w:val="99"/>
          <w:highlight w:val="none"/>
          <w:lang w:val="en-US" w:eastAsia="zh-CN"/>
        </w:rPr>
        <w:t>2</w:t>
      </w:r>
      <w:r>
        <w:rPr>
          <w:rFonts w:ascii="Times New Roman" w:hAnsi="Times New Roman" w:eastAsiaTheme="minorEastAsia"/>
          <w:b/>
          <w:color w:val="auto"/>
          <w:w w:val="99"/>
          <w:highlight w:val="none"/>
        </w:rPr>
        <w:t>3    建设用地土壤环境质量现状评价结果（K</w:t>
      </w:r>
      <w:r>
        <w:rPr>
          <w:rFonts w:ascii="Times New Roman" w:hAnsi="Times New Roman" w:eastAsiaTheme="minorEastAsia"/>
          <w:b/>
          <w:color w:val="auto"/>
          <w:w w:val="99"/>
          <w:highlight w:val="none"/>
          <w:vertAlign w:val="subscript"/>
        </w:rPr>
        <w:t>i</w:t>
      </w:r>
      <w:r>
        <w:rPr>
          <w:rFonts w:ascii="Times New Roman" w:hAnsi="Times New Roman" w:eastAsiaTheme="minorEastAsia"/>
          <w:b/>
          <w:color w:val="auto"/>
          <w:w w:val="99"/>
          <w:highlight w:val="none"/>
        </w:rPr>
        <w:t>值）</w:t>
      </w:r>
    </w:p>
    <w:tbl>
      <w:tblPr>
        <w:tblStyle w:val="8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38"/>
        <w:gridCol w:w="992"/>
        <w:gridCol w:w="1233"/>
        <w:gridCol w:w="1356"/>
        <w:gridCol w:w="958"/>
        <w:gridCol w:w="1192"/>
        <w:gridCol w:w="1316"/>
      </w:tblGrid>
      <w:tr w14:paraId="64277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1205" w:type="pct"/>
            <w:vMerge w:val="restart"/>
            <w:vAlign w:val="center"/>
          </w:tcPr>
          <w:p w14:paraId="36EE2CB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3794" w:type="pct"/>
            <w:gridSpan w:val="6"/>
            <w:tcBorders>
              <w:right w:val="single" w:color="auto" w:sz="4" w:space="0"/>
            </w:tcBorders>
            <w:shd w:val="clear" w:color="auto" w:fill="auto"/>
            <w:vAlign w:val="center"/>
          </w:tcPr>
          <w:p w14:paraId="2E87DA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监测点位及评价结果</w:t>
            </w:r>
          </w:p>
        </w:tc>
      </w:tr>
      <w:tr w14:paraId="73366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Merge w:val="continue"/>
            <w:vAlign w:val="center"/>
          </w:tcPr>
          <w:p w14:paraId="719730B0">
            <w:pPr>
              <w:spacing w:line="360" w:lineRule="exact"/>
              <w:jc w:val="center"/>
              <w:rPr>
                <w:rFonts w:ascii="Times New Roman" w:hAnsi="Times New Roman" w:cs="Times New Roman" w:eastAsiaTheme="minorEastAsia"/>
                <w:color w:val="auto"/>
                <w:w w:val="99"/>
                <w:sz w:val="21"/>
                <w:szCs w:val="21"/>
                <w:highlight w:val="none"/>
              </w:rPr>
            </w:pPr>
          </w:p>
        </w:tc>
        <w:tc>
          <w:tcPr>
            <w:tcW w:w="1928" w:type="pct"/>
            <w:gridSpan w:val="3"/>
            <w:tcBorders>
              <w:left w:val="single" w:color="auto" w:sz="4" w:space="0"/>
              <w:right w:val="single" w:color="auto" w:sz="4" w:space="0"/>
            </w:tcBorders>
            <w:shd w:val="clear" w:color="auto" w:fill="auto"/>
            <w:vAlign w:val="center"/>
          </w:tcPr>
          <w:p w14:paraId="3B6B1E60">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rPr>
              <w:t>拟建</w:t>
            </w:r>
            <w:r>
              <w:rPr>
                <w:rFonts w:hint="eastAsia" w:ascii="Times New Roman" w:hAnsi="Times New Roman" w:cs="Times New Roman" w:eastAsiaTheme="minorEastAsia"/>
                <w:color w:val="auto"/>
                <w:w w:val="99"/>
                <w:sz w:val="21"/>
                <w:szCs w:val="21"/>
                <w:highlight w:val="none"/>
                <w:lang w:eastAsia="zh-CN"/>
              </w:rPr>
              <w:t>徐深27-H1井</w:t>
            </w:r>
            <w:r>
              <w:rPr>
                <w:rFonts w:hint="eastAsia" w:ascii="Times New Roman" w:hAnsi="Times New Roman" w:cs="Times New Roman" w:eastAsiaTheme="minorEastAsia"/>
                <w:color w:val="auto"/>
                <w:w w:val="99"/>
                <w:sz w:val="21"/>
                <w:szCs w:val="21"/>
                <w:highlight w:val="none"/>
                <w:lang w:val="en-US" w:eastAsia="zh-CN"/>
              </w:rPr>
              <w:t>井场占地内1#</w:t>
            </w:r>
          </w:p>
        </w:tc>
        <w:tc>
          <w:tcPr>
            <w:tcW w:w="1865" w:type="pct"/>
            <w:gridSpan w:val="3"/>
            <w:tcBorders>
              <w:left w:val="single" w:color="auto" w:sz="4" w:space="0"/>
              <w:right w:val="single" w:color="auto" w:sz="4" w:space="0"/>
            </w:tcBorders>
            <w:shd w:val="clear" w:color="auto" w:fill="auto"/>
            <w:vAlign w:val="center"/>
          </w:tcPr>
          <w:p w14:paraId="4FDF20A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徐深27集气站内拟建阀组区</w:t>
            </w:r>
          </w:p>
        </w:tc>
      </w:tr>
      <w:tr w14:paraId="38902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Merge w:val="continue"/>
            <w:vAlign w:val="center"/>
          </w:tcPr>
          <w:p w14:paraId="6164FDCC">
            <w:pPr>
              <w:spacing w:line="360" w:lineRule="exact"/>
              <w:jc w:val="center"/>
              <w:rPr>
                <w:rFonts w:ascii="Times New Roman" w:hAnsi="Times New Roman" w:cs="Times New Roman" w:eastAsiaTheme="minorEastAsia"/>
                <w:color w:val="auto"/>
                <w:w w:val="99"/>
                <w:sz w:val="21"/>
                <w:szCs w:val="21"/>
                <w:highlight w:val="none"/>
              </w:rPr>
            </w:pPr>
          </w:p>
        </w:tc>
        <w:tc>
          <w:tcPr>
            <w:tcW w:w="534" w:type="pct"/>
            <w:shd w:val="clear" w:color="auto" w:fill="auto"/>
            <w:vAlign w:val="center"/>
          </w:tcPr>
          <w:p w14:paraId="5C620DEA">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0-50cm</w:t>
            </w:r>
          </w:p>
        </w:tc>
        <w:tc>
          <w:tcPr>
            <w:tcW w:w="664" w:type="pct"/>
            <w:shd w:val="clear" w:color="auto" w:fill="auto"/>
            <w:vAlign w:val="center"/>
          </w:tcPr>
          <w:p w14:paraId="31950149">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50-150cm</w:t>
            </w:r>
          </w:p>
        </w:tc>
        <w:tc>
          <w:tcPr>
            <w:tcW w:w="730" w:type="pct"/>
            <w:shd w:val="clear" w:color="auto" w:fill="auto"/>
            <w:vAlign w:val="center"/>
          </w:tcPr>
          <w:p w14:paraId="23B829B3">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150-300cm</w:t>
            </w:r>
          </w:p>
        </w:tc>
        <w:tc>
          <w:tcPr>
            <w:tcW w:w="516" w:type="pct"/>
            <w:shd w:val="clear" w:color="auto" w:fill="auto"/>
            <w:vAlign w:val="center"/>
          </w:tcPr>
          <w:p w14:paraId="13D72FA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642" w:type="pct"/>
            <w:shd w:val="clear" w:color="auto" w:fill="auto"/>
            <w:vAlign w:val="center"/>
          </w:tcPr>
          <w:p w14:paraId="04B1FC9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706" w:type="pct"/>
            <w:shd w:val="clear" w:color="auto" w:fill="auto"/>
            <w:vAlign w:val="center"/>
          </w:tcPr>
          <w:p w14:paraId="3CC121B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r>
      <w:tr w14:paraId="7CBFC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42409A5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534" w:type="pct"/>
            <w:shd w:val="clear" w:color="auto" w:fill="auto"/>
            <w:vAlign w:val="center"/>
          </w:tcPr>
          <w:p w14:paraId="0D98819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0.0012 </w:t>
            </w:r>
          </w:p>
        </w:tc>
        <w:tc>
          <w:tcPr>
            <w:tcW w:w="664" w:type="pct"/>
            <w:shd w:val="clear" w:color="auto" w:fill="auto"/>
            <w:vAlign w:val="center"/>
          </w:tcPr>
          <w:p w14:paraId="6322AD0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0.0018 </w:t>
            </w:r>
          </w:p>
        </w:tc>
        <w:tc>
          <w:tcPr>
            <w:tcW w:w="730" w:type="pct"/>
            <w:shd w:val="clear" w:color="auto" w:fill="auto"/>
            <w:vAlign w:val="center"/>
          </w:tcPr>
          <w:p w14:paraId="505840F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0.0017 </w:t>
            </w:r>
          </w:p>
        </w:tc>
        <w:tc>
          <w:tcPr>
            <w:tcW w:w="516" w:type="pct"/>
            <w:shd w:val="clear" w:color="auto" w:fill="auto"/>
            <w:vAlign w:val="center"/>
          </w:tcPr>
          <w:p w14:paraId="1412B46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0.0014 </w:t>
            </w:r>
          </w:p>
        </w:tc>
        <w:tc>
          <w:tcPr>
            <w:tcW w:w="642" w:type="pct"/>
            <w:shd w:val="clear" w:color="auto" w:fill="auto"/>
            <w:vAlign w:val="center"/>
          </w:tcPr>
          <w:p w14:paraId="10F2898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0.0017 </w:t>
            </w:r>
          </w:p>
        </w:tc>
        <w:tc>
          <w:tcPr>
            <w:tcW w:w="706" w:type="pct"/>
            <w:shd w:val="clear" w:color="auto" w:fill="auto"/>
            <w:vAlign w:val="center"/>
          </w:tcPr>
          <w:p w14:paraId="0BA5E84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0.0015 </w:t>
            </w:r>
          </w:p>
        </w:tc>
      </w:tr>
      <w:tr w14:paraId="347FF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7D89B21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534" w:type="pct"/>
            <w:shd w:val="clear" w:color="auto" w:fill="auto"/>
            <w:vAlign w:val="center"/>
          </w:tcPr>
          <w:p w14:paraId="39F9945E">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0.0006 </w:t>
            </w:r>
          </w:p>
        </w:tc>
        <w:tc>
          <w:tcPr>
            <w:tcW w:w="664" w:type="pct"/>
            <w:shd w:val="clear" w:color="auto" w:fill="auto"/>
            <w:vAlign w:val="center"/>
          </w:tcPr>
          <w:p w14:paraId="2BAAF10B">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0.0004 </w:t>
            </w:r>
          </w:p>
        </w:tc>
        <w:tc>
          <w:tcPr>
            <w:tcW w:w="730" w:type="pct"/>
            <w:shd w:val="clear" w:color="auto" w:fill="auto"/>
            <w:vAlign w:val="center"/>
          </w:tcPr>
          <w:p w14:paraId="79C324F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0.0006 </w:t>
            </w:r>
          </w:p>
        </w:tc>
        <w:tc>
          <w:tcPr>
            <w:tcW w:w="516" w:type="pct"/>
            <w:shd w:val="clear" w:color="auto" w:fill="auto"/>
            <w:vAlign w:val="center"/>
          </w:tcPr>
          <w:p w14:paraId="0ADD00FA">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0.0006 </w:t>
            </w:r>
          </w:p>
        </w:tc>
        <w:tc>
          <w:tcPr>
            <w:tcW w:w="642" w:type="pct"/>
            <w:shd w:val="clear" w:color="auto" w:fill="auto"/>
            <w:vAlign w:val="center"/>
          </w:tcPr>
          <w:p w14:paraId="1D9F4C4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0.0005 </w:t>
            </w:r>
          </w:p>
        </w:tc>
        <w:tc>
          <w:tcPr>
            <w:tcW w:w="706" w:type="pct"/>
            <w:shd w:val="clear" w:color="auto" w:fill="auto"/>
            <w:vAlign w:val="center"/>
          </w:tcPr>
          <w:p w14:paraId="4338A28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0.0007 </w:t>
            </w:r>
          </w:p>
        </w:tc>
      </w:tr>
      <w:tr w14:paraId="6A74E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2674447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534" w:type="pct"/>
            <w:shd w:val="clear" w:color="auto" w:fill="auto"/>
            <w:vAlign w:val="center"/>
          </w:tcPr>
          <w:p w14:paraId="01DF5F9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0.0635 </w:t>
            </w:r>
          </w:p>
        </w:tc>
        <w:tc>
          <w:tcPr>
            <w:tcW w:w="664" w:type="pct"/>
            <w:shd w:val="clear" w:color="auto" w:fill="auto"/>
            <w:vAlign w:val="center"/>
          </w:tcPr>
          <w:p w14:paraId="38C6484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0.0673 </w:t>
            </w:r>
          </w:p>
        </w:tc>
        <w:tc>
          <w:tcPr>
            <w:tcW w:w="730" w:type="pct"/>
            <w:shd w:val="clear" w:color="auto" w:fill="auto"/>
            <w:vAlign w:val="center"/>
          </w:tcPr>
          <w:p w14:paraId="4C2B96E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0.0660 </w:t>
            </w:r>
          </w:p>
        </w:tc>
        <w:tc>
          <w:tcPr>
            <w:tcW w:w="516" w:type="pct"/>
            <w:shd w:val="clear" w:color="auto" w:fill="auto"/>
            <w:vAlign w:val="center"/>
          </w:tcPr>
          <w:p w14:paraId="4F4BD5D8">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0.0593 </w:t>
            </w:r>
          </w:p>
        </w:tc>
        <w:tc>
          <w:tcPr>
            <w:tcW w:w="642" w:type="pct"/>
            <w:shd w:val="clear" w:color="auto" w:fill="auto"/>
            <w:vAlign w:val="center"/>
          </w:tcPr>
          <w:p w14:paraId="785A64F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0.0630 </w:t>
            </w:r>
          </w:p>
        </w:tc>
        <w:tc>
          <w:tcPr>
            <w:tcW w:w="706" w:type="pct"/>
            <w:shd w:val="clear" w:color="auto" w:fill="auto"/>
            <w:vAlign w:val="center"/>
          </w:tcPr>
          <w:p w14:paraId="1627F8D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0.0570 </w:t>
            </w:r>
          </w:p>
        </w:tc>
      </w:tr>
      <w:tr w14:paraId="4742B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44808D1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534" w:type="pct"/>
            <w:shd w:val="clear" w:color="auto" w:fill="auto"/>
            <w:vAlign w:val="center"/>
          </w:tcPr>
          <w:p w14:paraId="4CCE11D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0.0188 </w:t>
            </w:r>
          </w:p>
        </w:tc>
        <w:tc>
          <w:tcPr>
            <w:tcW w:w="664" w:type="pct"/>
            <w:shd w:val="clear" w:color="auto" w:fill="auto"/>
            <w:vAlign w:val="center"/>
          </w:tcPr>
          <w:p w14:paraId="2B31CCC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0.0263 </w:t>
            </w:r>
          </w:p>
        </w:tc>
        <w:tc>
          <w:tcPr>
            <w:tcW w:w="730" w:type="pct"/>
            <w:shd w:val="clear" w:color="auto" w:fill="auto"/>
            <w:vAlign w:val="center"/>
          </w:tcPr>
          <w:p w14:paraId="32151E0E">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0.0300 </w:t>
            </w:r>
          </w:p>
        </w:tc>
        <w:tc>
          <w:tcPr>
            <w:tcW w:w="516" w:type="pct"/>
            <w:shd w:val="clear" w:color="auto" w:fill="auto"/>
            <w:vAlign w:val="center"/>
          </w:tcPr>
          <w:p w14:paraId="7D1D1EA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0.0200 </w:t>
            </w:r>
          </w:p>
        </w:tc>
        <w:tc>
          <w:tcPr>
            <w:tcW w:w="642" w:type="pct"/>
            <w:shd w:val="clear" w:color="auto" w:fill="auto"/>
            <w:vAlign w:val="center"/>
          </w:tcPr>
          <w:p w14:paraId="77097D5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0.0238 </w:t>
            </w:r>
          </w:p>
        </w:tc>
        <w:tc>
          <w:tcPr>
            <w:tcW w:w="706" w:type="pct"/>
            <w:shd w:val="clear" w:color="auto" w:fill="auto"/>
            <w:vAlign w:val="center"/>
          </w:tcPr>
          <w:p w14:paraId="6836545A">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0.0263 </w:t>
            </w:r>
          </w:p>
        </w:tc>
      </w:tr>
      <w:tr w14:paraId="3B736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60671F0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534" w:type="pct"/>
            <w:shd w:val="clear" w:color="auto" w:fill="auto"/>
            <w:vAlign w:val="center"/>
          </w:tcPr>
          <w:p w14:paraId="6D62037A">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zh-CN" w:bidi="ar-SA"/>
              </w:rPr>
              <w:t>ND</w:t>
            </w:r>
          </w:p>
        </w:tc>
        <w:tc>
          <w:tcPr>
            <w:tcW w:w="664" w:type="pct"/>
            <w:shd w:val="clear" w:color="auto" w:fill="auto"/>
            <w:vAlign w:val="center"/>
          </w:tcPr>
          <w:p w14:paraId="57AC0D11">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zh-CN" w:bidi="ar-SA"/>
              </w:rPr>
              <w:t>ND</w:t>
            </w:r>
          </w:p>
        </w:tc>
        <w:tc>
          <w:tcPr>
            <w:tcW w:w="730" w:type="pct"/>
            <w:shd w:val="clear" w:color="auto" w:fill="auto"/>
            <w:vAlign w:val="center"/>
          </w:tcPr>
          <w:p w14:paraId="0877452E">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zh-CN" w:bidi="ar-SA"/>
              </w:rPr>
              <w:t>ND</w:t>
            </w:r>
          </w:p>
        </w:tc>
        <w:tc>
          <w:tcPr>
            <w:tcW w:w="516" w:type="pct"/>
            <w:shd w:val="clear" w:color="auto" w:fill="auto"/>
            <w:vAlign w:val="center"/>
          </w:tcPr>
          <w:p w14:paraId="76288EE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3F9B7C1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60E512F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lang w:val="en-US" w:eastAsia="zh-CN" w:bidi="ar-SA"/>
              </w:rPr>
              <w:t>ND</w:t>
            </w:r>
          </w:p>
        </w:tc>
      </w:tr>
      <w:tr w14:paraId="3FA46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2F0CD42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534" w:type="pct"/>
            <w:shd w:val="clear" w:color="auto" w:fill="auto"/>
            <w:vAlign w:val="center"/>
          </w:tcPr>
          <w:p w14:paraId="06BD8E6D">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 xml:space="preserve">0.0007 </w:t>
            </w:r>
          </w:p>
        </w:tc>
        <w:tc>
          <w:tcPr>
            <w:tcW w:w="664" w:type="pct"/>
            <w:shd w:val="clear" w:color="auto" w:fill="auto"/>
            <w:vAlign w:val="center"/>
          </w:tcPr>
          <w:p w14:paraId="7BC68CBC">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 xml:space="preserve">0.0006 </w:t>
            </w:r>
          </w:p>
        </w:tc>
        <w:tc>
          <w:tcPr>
            <w:tcW w:w="730" w:type="pct"/>
            <w:shd w:val="clear" w:color="auto" w:fill="auto"/>
            <w:vAlign w:val="center"/>
          </w:tcPr>
          <w:p w14:paraId="7A2379D0">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 xml:space="preserve">0.0008 </w:t>
            </w:r>
          </w:p>
        </w:tc>
        <w:tc>
          <w:tcPr>
            <w:tcW w:w="516" w:type="pct"/>
            <w:shd w:val="clear" w:color="auto" w:fill="auto"/>
            <w:vAlign w:val="center"/>
          </w:tcPr>
          <w:p w14:paraId="7AC83C5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0.0010 </w:t>
            </w:r>
          </w:p>
        </w:tc>
        <w:tc>
          <w:tcPr>
            <w:tcW w:w="642" w:type="pct"/>
            <w:shd w:val="clear" w:color="auto" w:fill="auto"/>
            <w:vAlign w:val="center"/>
          </w:tcPr>
          <w:p w14:paraId="6FB77AE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0.0007 </w:t>
            </w:r>
          </w:p>
        </w:tc>
        <w:tc>
          <w:tcPr>
            <w:tcW w:w="706" w:type="pct"/>
            <w:shd w:val="clear" w:color="auto" w:fill="auto"/>
            <w:vAlign w:val="center"/>
          </w:tcPr>
          <w:p w14:paraId="29EA639D">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0.0008 </w:t>
            </w:r>
          </w:p>
        </w:tc>
      </w:tr>
      <w:tr w14:paraId="340E6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2AB390F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534" w:type="pct"/>
            <w:shd w:val="clear" w:color="auto" w:fill="auto"/>
            <w:vAlign w:val="center"/>
          </w:tcPr>
          <w:p w14:paraId="4566B5AF">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 xml:space="preserve">0.0211 </w:t>
            </w:r>
          </w:p>
        </w:tc>
        <w:tc>
          <w:tcPr>
            <w:tcW w:w="664" w:type="pct"/>
            <w:shd w:val="clear" w:color="auto" w:fill="auto"/>
            <w:vAlign w:val="center"/>
          </w:tcPr>
          <w:p w14:paraId="1753F7F1">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 xml:space="preserve">0.0233 </w:t>
            </w:r>
          </w:p>
        </w:tc>
        <w:tc>
          <w:tcPr>
            <w:tcW w:w="730" w:type="pct"/>
            <w:shd w:val="clear" w:color="auto" w:fill="auto"/>
            <w:vAlign w:val="center"/>
          </w:tcPr>
          <w:p w14:paraId="7B1055D1">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 xml:space="preserve">0.0267 </w:t>
            </w:r>
          </w:p>
        </w:tc>
        <w:tc>
          <w:tcPr>
            <w:tcW w:w="516" w:type="pct"/>
            <w:shd w:val="clear" w:color="auto" w:fill="auto"/>
            <w:vAlign w:val="center"/>
          </w:tcPr>
          <w:p w14:paraId="008851B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0.0244 </w:t>
            </w:r>
          </w:p>
        </w:tc>
        <w:tc>
          <w:tcPr>
            <w:tcW w:w="642" w:type="pct"/>
            <w:shd w:val="clear" w:color="auto" w:fill="auto"/>
            <w:vAlign w:val="center"/>
          </w:tcPr>
          <w:p w14:paraId="7EA7CE0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0.0278 </w:t>
            </w:r>
          </w:p>
        </w:tc>
        <w:tc>
          <w:tcPr>
            <w:tcW w:w="706" w:type="pct"/>
            <w:shd w:val="clear" w:color="auto" w:fill="auto"/>
            <w:vAlign w:val="center"/>
          </w:tcPr>
          <w:p w14:paraId="71D6552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0.0233 </w:t>
            </w:r>
          </w:p>
        </w:tc>
      </w:tr>
      <w:tr w14:paraId="385BA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0035497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534" w:type="pct"/>
            <w:shd w:val="clear" w:color="auto" w:fill="auto"/>
            <w:vAlign w:val="center"/>
          </w:tcPr>
          <w:p w14:paraId="235308FE">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zh-CN" w:bidi="ar-SA"/>
              </w:rPr>
              <w:t>ND</w:t>
            </w:r>
          </w:p>
        </w:tc>
        <w:tc>
          <w:tcPr>
            <w:tcW w:w="664" w:type="pct"/>
            <w:shd w:val="clear" w:color="auto" w:fill="auto"/>
            <w:vAlign w:val="center"/>
          </w:tcPr>
          <w:p w14:paraId="7BB6DDEB">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zh-CN" w:bidi="ar-SA"/>
              </w:rPr>
              <w:t>ND</w:t>
            </w:r>
          </w:p>
        </w:tc>
        <w:tc>
          <w:tcPr>
            <w:tcW w:w="730" w:type="pct"/>
            <w:shd w:val="clear" w:color="auto" w:fill="auto"/>
            <w:vAlign w:val="center"/>
          </w:tcPr>
          <w:p w14:paraId="2AFF56A2">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lang w:val="en-US" w:eastAsia="zh-CN" w:bidi="ar-SA"/>
              </w:rPr>
              <w:t>ND</w:t>
            </w:r>
          </w:p>
        </w:tc>
        <w:tc>
          <w:tcPr>
            <w:tcW w:w="516" w:type="pct"/>
            <w:shd w:val="clear" w:color="auto" w:fill="auto"/>
            <w:vAlign w:val="center"/>
          </w:tcPr>
          <w:p w14:paraId="1A218FE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1C93AD4E">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15FC55B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lang w:val="en-US" w:eastAsia="zh-CN" w:bidi="ar-SA"/>
              </w:rPr>
              <w:t>ND</w:t>
            </w:r>
          </w:p>
        </w:tc>
      </w:tr>
      <w:tr w14:paraId="056E1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604EF4E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534" w:type="pct"/>
            <w:shd w:val="clear" w:color="auto" w:fill="auto"/>
            <w:vAlign w:val="center"/>
          </w:tcPr>
          <w:p w14:paraId="179C01A7">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0B9F8D0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2C65B3C5">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458A9DF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0B9E740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7960216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2636D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5CCF58D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534" w:type="pct"/>
            <w:shd w:val="clear" w:color="auto" w:fill="auto"/>
            <w:vAlign w:val="center"/>
          </w:tcPr>
          <w:p w14:paraId="6C13B6F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0DB101B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01CF7F04">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49C1A0F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4E3EA51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1CD17E4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1D26B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2B94526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534" w:type="pct"/>
            <w:shd w:val="clear" w:color="auto" w:fill="auto"/>
            <w:vAlign w:val="center"/>
          </w:tcPr>
          <w:p w14:paraId="335B2D1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36150E57">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28FD3597">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576CA10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42C33AE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095AAD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6556B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63BC942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534" w:type="pct"/>
            <w:shd w:val="clear" w:color="auto" w:fill="auto"/>
            <w:vAlign w:val="center"/>
          </w:tcPr>
          <w:p w14:paraId="28827AE4">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30AF8709">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6B0CBAF5">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06EA8BE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6CA3500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778EA2A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13916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5F8816A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534" w:type="pct"/>
            <w:shd w:val="clear" w:color="auto" w:fill="auto"/>
            <w:vAlign w:val="center"/>
          </w:tcPr>
          <w:p w14:paraId="73B7D3E5">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5BC379A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0A3CE3AB">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1DE6FAB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5D2DC4C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24A662B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014B8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25A3FF4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534" w:type="pct"/>
            <w:shd w:val="clear" w:color="auto" w:fill="auto"/>
            <w:vAlign w:val="center"/>
          </w:tcPr>
          <w:p w14:paraId="5D730835">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542884DB">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344D2384">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14CAEBB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4EC65C3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1EE9C5A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0EEEF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5DDCD9C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534" w:type="pct"/>
            <w:shd w:val="clear" w:color="auto" w:fill="auto"/>
            <w:vAlign w:val="center"/>
          </w:tcPr>
          <w:p w14:paraId="1CE6B3D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293A0CC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15A6E7C5">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3F31331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41FFAA2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3F3325C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7E3B4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25EF58F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534" w:type="pct"/>
            <w:shd w:val="clear" w:color="auto" w:fill="auto"/>
            <w:vAlign w:val="center"/>
          </w:tcPr>
          <w:p w14:paraId="13C95A55">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4AF5471B">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598E8D25">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2E00ED1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0A2792A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27E9608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10E9B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5EA2CC3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534" w:type="pct"/>
            <w:shd w:val="clear" w:color="auto" w:fill="auto"/>
            <w:vAlign w:val="center"/>
          </w:tcPr>
          <w:p w14:paraId="7760CF43">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1B999AC4">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4193C3BA">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6604BE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7AB9E44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022D258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3E964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7E5DD25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534" w:type="pct"/>
            <w:shd w:val="clear" w:color="auto" w:fill="auto"/>
            <w:vAlign w:val="center"/>
          </w:tcPr>
          <w:p w14:paraId="5BCD6434">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4BCA1C4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4C237240">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1DE54E0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2155BC2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6EFF8AA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6205B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373AFE3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534" w:type="pct"/>
            <w:shd w:val="clear" w:color="auto" w:fill="auto"/>
            <w:vAlign w:val="center"/>
          </w:tcPr>
          <w:p w14:paraId="3CCC228F">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4DA74C96">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12B7FC7B">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790A0A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0FD51A9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6A54743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7E700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7DE27C5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534" w:type="pct"/>
            <w:shd w:val="clear" w:color="auto" w:fill="auto"/>
            <w:vAlign w:val="center"/>
          </w:tcPr>
          <w:p w14:paraId="3439AB4A">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01F9300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42152A4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4E4099E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4014BCD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2A5F6A7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2FE26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1191CD6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534" w:type="pct"/>
            <w:shd w:val="clear" w:color="auto" w:fill="auto"/>
            <w:vAlign w:val="center"/>
          </w:tcPr>
          <w:p w14:paraId="1FA633F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73D3B4FF">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26B9B2A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07FF4A2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10EC8B2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750C165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0BB83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4D56151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534" w:type="pct"/>
            <w:shd w:val="clear" w:color="auto" w:fill="auto"/>
            <w:vAlign w:val="center"/>
          </w:tcPr>
          <w:p w14:paraId="0A9040B3">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5BD2E94F">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72FB0EAF">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0E717C7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75E253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57B95DD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60FD2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6C1598F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534" w:type="pct"/>
            <w:shd w:val="clear" w:color="auto" w:fill="auto"/>
            <w:vAlign w:val="center"/>
          </w:tcPr>
          <w:p w14:paraId="2E61ED0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1239D164">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0108953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0788991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119FBCF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3DC11CD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2CA62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38CC94A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534" w:type="pct"/>
            <w:shd w:val="clear" w:color="auto" w:fill="auto"/>
            <w:vAlign w:val="center"/>
          </w:tcPr>
          <w:p w14:paraId="224571B4">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3BE23C0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3FD0A7D9">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422C4F0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0B3AF78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3902DF0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5A4C1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58A2FA5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534" w:type="pct"/>
            <w:shd w:val="clear" w:color="auto" w:fill="auto"/>
            <w:vAlign w:val="center"/>
          </w:tcPr>
          <w:p w14:paraId="2749D3C5">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6A8E95B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1FA68FB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203464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2D088E1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7A7300F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76E09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70F462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534" w:type="pct"/>
            <w:shd w:val="clear" w:color="auto" w:fill="auto"/>
            <w:vAlign w:val="center"/>
          </w:tcPr>
          <w:p w14:paraId="3908768A">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45312684">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7350A85A">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6076ADE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228816A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256BA1B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29F62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5782165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534" w:type="pct"/>
            <w:shd w:val="clear" w:color="auto" w:fill="auto"/>
            <w:vAlign w:val="center"/>
          </w:tcPr>
          <w:p w14:paraId="6D01B525">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06DAE78B">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7957562F">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21AB180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44359F1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090A91B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4A75D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48EA370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534" w:type="pct"/>
            <w:shd w:val="clear" w:color="auto" w:fill="auto"/>
            <w:vAlign w:val="center"/>
          </w:tcPr>
          <w:p w14:paraId="373A861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60A121E9">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125C105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3DD5343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330FB65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6ECC42E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12DA5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7032E7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534" w:type="pct"/>
            <w:shd w:val="clear" w:color="auto" w:fill="auto"/>
            <w:vAlign w:val="center"/>
          </w:tcPr>
          <w:p w14:paraId="0AB82E7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53B2ACD1">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34E9FD27">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100EC02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480218C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110561D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3541E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32474EA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534" w:type="pct"/>
            <w:shd w:val="clear" w:color="auto" w:fill="auto"/>
            <w:vAlign w:val="center"/>
          </w:tcPr>
          <w:p w14:paraId="4DE9CFC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06F46DB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4E6F36FE">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162EEE8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4B828B5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1453EE5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27675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28BFE49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534" w:type="pct"/>
            <w:shd w:val="clear" w:color="auto" w:fill="auto"/>
            <w:vAlign w:val="center"/>
          </w:tcPr>
          <w:p w14:paraId="330C922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311DD0A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5884F04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30DC423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0A1E445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3E2D245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32B9D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5067BCC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534" w:type="pct"/>
            <w:shd w:val="clear" w:color="auto" w:fill="auto"/>
            <w:vAlign w:val="center"/>
          </w:tcPr>
          <w:p w14:paraId="712988FE">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14C3714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7EE6D547">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2099AB3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58508F5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254FECB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7C1D3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3849A35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534" w:type="pct"/>
            <w:shd w:val="clear" w:color="auto" w:fill="auto"/>
            <w:vAlign w:val="center"/>
          </w:tcPr>
          <w:p w14:paraId="1EB055D0">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0860145A">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47E6DE70">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303C1D8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0D415DA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1F89B43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2FF6F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1727564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534" w:type="pct"/>
            <w:shd w:val="clear" w:color="auto" w:fill="auto"/>
            <w:vAlign w:val="center"/>
          </w:tcPr>
          <w:p w14:paraId="20471C1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6B9536F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52C0B00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33422C2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2281031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31A5D92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2A83D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1EADABA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534" w:type="pct"/>
            <w:shd w:val="clear" w:color="auto" w:fill="auto"/>
            <w:vAlign w:val="center"/>
          </w:tcPr>
          <w:p w14:paraId="611A3A7A">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639DF167">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5A28CDC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290FE85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73304F8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60BEDCD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34486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18CA632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534" w:type="pct"/>
            <w:shd w:val="clear" w:color="auto" w:fill="auto"/>
            <w:vAlign w:val="center"/>
          </w:tcPr>
          <w:p w14:paraId="01F9489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2FE84E2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2A308609">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7D89603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251D2D1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3A97110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3A44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29CABC1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534" w:type="pct"/>
            <w:shd w:val="clear" w:color="auto" w:fill="auto"/>
            <w:vAlign w:val="center"/>
          </w:tcPr>
          <w:p w14:paraId="0BE031E9">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3EDF6C5B">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5FDCDF9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7F5DE42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359A228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118F23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6AF9A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521ECD6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534" w:type="pct"/>
            <w:shd w:val="clear" w:color="auto" w:fill="auto"/>
            <w:vAlign w:val="center"/>
          </w:tcPr>
          <w:p w14:paraId="61403179">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55219BDB">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41C837F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6788C90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1E7C82E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3E09CD0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33687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39263A2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534" w:type="pct"/>
            <w:shd w:val="clear" w:color="auto" w:fill="auto"/>
            <w:vAlign w:val="center"/>
          </w:tcPr>
          <w:p w14:paraId="4D63EFD0">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196816E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4DC3C7F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67114D7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349A349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1EBF861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066A4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121CE58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534" w:type="pct"/>
            <w:shd w:val="clear" w:color="auto" w:fill="auto"/>
            <w:vAlign w:val="center"/>
          </w:tcPr>
          <w:p w14:paraId="7AAE7F0A">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20DFAF19">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0FF55661">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252C064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7AC8083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5155BED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32B54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7497E2A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534" w:type="pct"/>
            <w:shd w:val="clear" w:color="auto" w:fill="auto"/>
            <w:vAlign w:val="center"/>
          </w:tcPr>
          <w:p w14:paraId="0DA283E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67E0968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33FED3D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4EDD2EF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3311104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5B27A73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11B6E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3E5CE3C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534" w:type="pct"/>
            <w:shd w:val="clear" w:color="auto" w:fill="auto"/>
            <w:vAlign w:val="center"/>
          </w:tcPr>
          <w:p w14:paraId="73C7577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73E260DF">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25BBE28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124031D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5494CE9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561C362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6E639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6A90C71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534" w:type="pct"/>
            <w:shd w:val="clear" w:color="auto" w:fill="auto"/>
            <w:vAlign w:val="center"/>
          </w:tcPr>
          <w:p w14:paraId="267301BE">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61959A1C">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5A224C13">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3C526DC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7F7F569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1BA3B12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0461D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19F3376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534" w:type="pct"/>
            <w:shd w:val="clear" w:color="auto" w:fill="auto"/>
            <w:vAlign w:val="center"/>
          </w:tcPr>
          <w:p w14:paraId="5222ED28">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31D85DE0">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6204B37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680810D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7617C25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3F59E44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11755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3796604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534" w:type="pct"/>
            <w:shd w:val="clear" w:color="auto" w:fill="auto"/>
            <w:vAlign w:val="center"/>
          </w:tcPr>
          <w:p w14:paraId="08575403">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5FE888F1">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3C24319A">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3875D62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1E4FACB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517AF70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37287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34FF6EF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w:t>
            </w:r>
          </w:p>
        </w:tc>
        <w:tc>
          <w:tcPr>
            <w:tcW w:w="534" w:type="pct"/>
            <w:shd w:val="clear" w:color="auto" w:fill="auto"/>
            <w:vAlign w:val="center"/>
          </w:tcPr>
          <w:p w14:paraId="1C3CCBED">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3D935FCA">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35D51CA2">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26166D0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3E42DEB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021AC2E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1C9A6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19956DD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6</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9</w:t>
            </w:r>
            <w:r>
              <w:rPr>
                <w:rFonts w:ascii="Times New Roman" w:hAnsi="Times New Roman" w:cs="Times New Roman" w:eastAsiaTheme="minorEastAsia"/>
                <w:color w:val="auto"/>
                <w:w w:val="99"/>
                <w:sz w:val="21"/>
                <w:szCs w:val="21"/>
                <w:highlight w:val="none"/>
              </w:rPr>
              <w:t>）</w:t>
            </w:r>
          </w:p>
        </w:tc>
        <w:tc>
          <w:tcPr>
            <w:tcW w:w="534" w:type="pct"/>
            <w:shd w:val="clear" w:color="auto" w:fill="auto"/>
            <w:vAlign w:val="center"/>
          </w:tcPr>
          <w:p w14:paraId="02D3DA4B">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57C76861">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29486550">
            <w:pP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6112FFF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3F8A48A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1DE3DBD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58CB1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4D165D30">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石油类</w:t>
            </w:r>
          </w:p>
        </w:tc>
        <w:tc>
          <w:tcPr>
            <w:tcW w:w="534" w:type="pct"/>
            <w:shd w:val="clear" w:color="auto" w:fill="auto"/>
            <w:vAlign w:val="center"/>
          </w:tcPr>
          <w:p w14:paraId="56F297DE">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7B6667A1">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5BC44AB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469AA97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4BE92EB7">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0BC9DA6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r w14:paraId="5D8E4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05" w:type="pct"/>
            <w:vAlign w:val="center"/>
          </w:tcPr>
          <w:p w14:paraId="2796527F">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水溶性盐总量</w:t>
            </w:r>
          </w:p>
        </w:tc>
        <w:tc>
          <w:tcPr>
            <w:tcW w:w="534" w:type="pct"/>
            <w:shd w:val="clear" w:color="auto" w:fill="auto"/>
            <w:vAlign w:val="center"/>
          </w:tcPr>
          <w:p w14:paraId="380E9431">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664" w:type="pct"/>
            <w:shd w:val="clear" w:color="auto" w:fill="auto"/>
            <w:vAlign w:val="center"/>
          </w:tcPr>
          <w:p w14:paraId="685F662F">
            <w:pPr>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730" w:type="pct"/>
            <w:shd w:val="clear" w:color="auto" w:fill="auto"/>
            <w:vAlign w:val="center"/>
          </w:tcPr>
          <w:p w14:paraId="13FCAEC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ND</w:t>
            </w:r>
          </w:p>
        </w:tc>
        <w:tc>
          <w:tcPr>
            <w:tcW w:w="516" w:type="pct"/>
            <w:shd w:val="clear" w:color="auto" w:fill="auto"/>
            <w:vAlign w:val="center"/>
          </w:tcPr>
          <w:p w14:paraId="5592AE6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642" w:type="pct"/>
            <w:shd w:val="clear" w:color="auto" w:fill="auto"/>
            <w:vAlign w:val="center"/>
          </w:tcPr>
          <w:p w14:paraId="357F684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c>
          <w:tcPr>
            <w:tcW w:w="706" w:type="pct"/>
            <w:shd w:val="clear" w:color="auto" w:fill="auto"/>
            <w:vAlign w:val="center"/>
          </w:tcPr>
          <w:p w14:paraId="1AAB499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en-US" w:eastAsia="zh-CN" w:bidi="ar-SA"/>
              </w:rPr>
              <w:t>ND</w:t>
            </w:r>
          </w:p>
        </w:tc>
      </w:tr>
    </w:tbl>
    <w:p w14:paraId="577CAFAD">
      <w:pPr>
        <w:pStyle w:val="153"/>
        <w:widowControl w:val="0"/>
        <w:spacing w:line="440" w:lineRule="exact"/>
        <w:ind w:firstLine="478"/>
        <w:rPr>
          <w:rFonts w:ascii="Times New Roman" w:hAnsi="Times New Roman" w:eastAsiaTheme="minorEastAsia"/>
          <w:b/>
          <w:color w:val="auto"/>
          <w:w w:val="99"/>
          <w:kern w:val="21"/>
          <w:highlight w:val="none"/>
        </w:rPr>
      </w:pPr>
      <w:r>
        <w:rPr>
          <w:rFonts w:ascii="Times New Roman" w:hAnsi="Times New Roman" w:eastAsiaTheme="minorEastAsia"/>
          <w:b/>
          <w:color w:val="auto"/>
          <w:w w:val="99"/>
          <w:kern w:val="21"/>
          <w:highlight w:val="none"/>
          <w:lang w:bidi="zh-CN"/>
        </w:rPr>
        <w:t>表</w:t>
      </w:r>
      <w:r>
        <w:rPr>
          <w:rFonts w:ascii="Times New Roman" w:hAnsi="Times New Roman" w:eastAsiaTheme="minorEastAsia"/>
          <w:b/>
          <w:color w:val="auto"/>
          <w:w w:val="99"/>
          <w:kern w:val="2"/>
          <w:szCs w:val="20"/>
          <w:highlight w:val="none"/>
        </w:rPr>
        <w:t>4.3-</w:t>
      </w:r>
      <w:r>
        <w:rPr>
          <w:rFonts w:hint="eastAsia" w:ascii="Times New Roman" w:hAnsi="Times New Roman" w:eastAsiaTheme="minorEastAsia"/>
          <w:b/>
          <w:color w:val="auto"/>
          <w:w w:val="99"/>
          <w:kern w:val="2"/>
          <w:szCs w:val="20"/>
          <w:highlight w:val="none"/>
          <w:lang w:val="en-US" w:eastAsia="zh-CN"/>
        </w:rPr>
        <w:t>2</w:t>
      </w:r>
      <w:r>
        <w:rPr>
          <w:rFonts w:ascii="Times New Roman" w:hAnsi="Times New Roman" w:eastAsiaTheme="minorEastAsia"/>
          <w:b/>
          <w:color w:val="auto"/>
          <w:w w:val="99"/>
          <w:kern w:val="2"/>
          <w:szCs w:val="20"/>
          <w:highlight w:val="none"/>
        </w:rPr>
        <w:t>4</w:t>
      </w:r>
      <w:r>
        <w:rPr>
          <w:rFonts w:ascii="Times New Roman" w:hAnsi="Times New Roman" w:eastAsiaTheme="minorEastAsia"/>
          <w:b/>
          <w:color w:val="auto"/>
          <w:w w:val="99"/>
          <w:kern w:val="21"/>
          <w:highlight w:val="none"/>
          <w:lang w:bidi="zh-CN"/>
        </w:rPr>
        <w:t xml:space="preserve">    </w:t>
      </w:r>
      <w:r>
        <w:rPr>
          <w:rFonts w:ascii="Times New Roman" w:hAnsi="Times New Roman" w:eastAsiaTheme="minorEastAsia"/>
          <w:b/>
          <w:color w:val="auto"/>
          <w:w w:val="99"/>
          <w:kern w:val="21"/>
          <w:highlight w:val="none"/>
        </w:rPr>
        <w:t>农用地</w:t>
      </w:r>
      <w:r>
        <w:rPr>
          <w:rFonts w:ascii="Times New Roman" w:hAnsi="Times New Roman" w:eastAsiaTheme="minorEastAsia"/>
          <w:b/>
          <w:color w:val="auto"/>
          <w:w w:val="99"/>
          <w:highlight w:val="none"/>
        </w:rPr>
        <w:t>土壤环境质量</w:t>
      </w:r>
      <w:r>
        <w:rPr>
          <w:rFonts w:ascii="Times New Roman" w:hAnsi="Times New Roman" w:eastAsiaTheme="minorEastAsia"/>
          <w:b/>
          <w:color w:val="auto"/>
          <w:w w:val="99"/>
          <w:kern w:val="21"/>
          <w:highlight w:val="none"/>
        </w:rPr>
        <w:t>现状评价结果</w:t>
      </w:r>
      <w:r>
        <w:rPr>
          <w:rFonts w:ascii="Times New Roman" w:hAnsi="Times New Roman" w:eastAsiaTheme="minorEastAsia"/>
          <w:b/>
          <w:color w:val="auto"/>
          <w:w w:val="99"/>
          <w:highlight w:val="none"/>
        </w:rPr>
        <w:t>（K</w:t>
      </w:r>
      <w:r>
        <w:rPr>
          <w:rFonts w:ascii="Times New Roman" w:hAnsi="Times New Roman" w:eastAsiaTheme="minorEastAsia"/>
          <w:b/>
          <w:color w:val="auto"/>
          <w:w w:val="99"/>
          <w:highlight w:val="none"/>
          <w:vertAlign w:val="subscript"/>
        </w:rPr>
        <w:t>i</w:t>
      </w:r>
      <w:r>
        <w:rPr>
          <w:rFonts w:ascii="Times New Roman" w:hAnsi="Times New Roman" w:eastAsiaTheme="minorEastAsia"/>
          <w:b/>
          <w:color w:val="auto"/>
          <w:w w:val="99"/>
          <w:highlight w:val="none"/>
        </w:rPr>
        <w:t>值）</w:t>
      </w:r>
    </w:p>
    <w:tbl>
      <w:tblPr>
        <w:tblStyle w:val="8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23"/>
        <w:gridCol w:w="2680"/>
        <w:gridCol w:w="2680"/>
      </w:tblGrid>
      <w:tr w14:paraId="51F9B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vMerge w:val="restart"/>
            <w:vAlign w:val="center"/>
          </w:tcPr>
          <w:p w14:paraId="5C1F39D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2886" w:type="pct"/>
            <w:gridSpan w:val="2"/>
            <w:tcBorders>
              <w:right w:val="single" w:color="auto" w:sz="4" w:space="0"/>
            </w:tcBorders>
            <w:vAlign w:val="center"/>
          </w:tcPr>
          <w:p w14:paraId="3E8CD66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监测点位及评价结果</w:t>
            </w:r>
          </w:p>
        </w:tc>
      </w:tr>
      <w:tr w14:paraId="7269D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vMerge w:val="continue"/>
            <w:vAlign w:val="center"/>
          </w:tcPr>
          <w:p w14:paraId="50A204F8">
            <w:pPr>
              <w:spacing w:line="360" w:lineRule="exact"/>
              <w:jc w:val="center"/>
              <w:rPr>
                <w:rFonts w:ascii="Times New Roman" w:hAnsi="Times New Roman" w:cs="Times New Roman" w:eastAsiaTheme="minorEastAsia"/>
                <w:color w:val="auto"/>
                <w:w w:val="99"/>
                <w:sz w:val="21"/>
                <w:szCs w:val="21"/>
                <w:highlight w:val="none"/>
              </w:rPr>
            </w:pPr>
          </w:p>
        </w:tc>
        <w:tc>
          <w:tcPr>
            <w:tcW w:w="2680" w:type="dxa"/>
            <w:shd w:val="clear" w:color="auto" w:fill="auto"/>
            <w:vAlign w:val="center"/>
          </w:tcPr>
          <w:p w14:paraId="72A58A83">
            <w:pPr>
              <w:pStyle w:val="27"/>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拟建徐深27-H1井井场占地外南侧200m</w:t>
            </w:r>
          </w:p>
        </w:tc>
        <w:tc>
          <w:tcPr>
            <w:tcW w:w="2680" w:type="dxa"/>
            <w:tcBorders>
              <w:right w:val="single" w:color="auto" w:sz="4" w:space="0"/>
            </w:tcBorders>
            <w:shd w:val="clear" w:color="auto" w:fill="auto"/>
            <w:vAlign w:val="center"/>
          </w:tcPr>
          <w:p w14:paraId="53BFBD6C">
            <w:pPr>
              <w:pStyle w:val="27"/>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拟建徐深27-H1井井场占地外西侧200m</w:t>
            </w:r>
          </w:p>
        </w:tc>
      </w:tr>
      <w:tr w14:paraId="30248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vMerge w:val="continue"/>
            <w:vAlign w:val="center"/>
          </w:tcPr>
          <w:p w14:paraId="61C0B235">
            <w:pPr>
              <w:spacing w:line="360" w:lineRule="exact"/>
              <w:jc w:val="center"/>
              <w:rPr>
                <w:rFonts w:ascii="Times New Roman" w:hAnsi="Times New Roman" w:cs="Times New Roman" w:eastAsiaTheme="minorEastAsia"/>
                <w:color w:val="auto"/>
                <w:w w:val="99"/>
                <w:sz w:val="21"/>
                <w:szCs w:val="21"/>
                <w:highlight w:val="none"/>
              </w:rPr>
            </w:pPr>
          </w:p>
        </w:tc>
        <w:tc>
          <w:tcPr>
            <w:tcW w:w="1443" w:type="pct"/>
            <w:vAlign w:val="center"/>
          </w:tcPr>
          <w:p w14:paraId="3881979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443" w:type="pct"/>
            <w:vAlign w:val="center"/>
          </w:tcPr>
          <w:p w14:paraId="5EA02FE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14:paraId="798CB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vAlign w:val="center"/>
          </w:tcPr>
          <w:p w14:paraId="076125C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2680" w:type="dxa"/>
            <w:shd w:val="clear" w:color="auto" w:fill="auto"/>
            <w:vAlign w:val="center"/>
          </w:tcPr>
          <w:p w14:paraId="34F28F12">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0.1667 </w:t>
            </w:r>
          </w:p>
        </w:tc>
        <w:tc>
          <w:tcPr>
            <w:tcW w:w="2680" w:type="dxa"/>
            <w:shd w:val="clear" w:color="auto" w:fill="auto"/>
            <w:vAlign w:val="center"/>
          </w:tcPr>
          <w:p w14:paraId="5867683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0.2000 </w:t>
            </w:r>
          </w:p>
        </w:tc>
      </w:tr>
      <w:tr w14:paraId="6DED6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vAlign w:val="center"/>
          </w:tcPr>
          <w:p w14:paraId="258F5EF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2680" w:type="dxa"/>
            <w:shd w:val="clear" w:color="auto" w:fill="auto"/>
            <w:vAlign w:val="center"/>
          </w:tcPr>
          <w:p w14:paraId="083A3BAA">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0.0054 </w:t>
            </w:r>
          </w:p>
        </w:tc>
        <w:tc>
          <w:tcPr>
            <w:tcW w:w="2680" w:type="dxa"/>
            <w:shd w:val="clear" w:color="auto" w:fill="auto"/>
            <w:vAlign w:val="center"/>
          </w:tcPr>
          <w:p w14:paraId="3D0FA2C1">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0.0071 </w:t>
            </w:r>
          </w:p>
        </w:tc>
      </w:tr>
      <w:tr w14:paraId="40096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vAlign w:val="center"/>
          </w:tcPr>
          <w:p w14:paraId="481830C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2680" w:type="dxa"/>
            <w:shd w:val="clear" w:color="auto" w:fill="auto"/>
            <w:vAlign w:val="center"/>
          </w:tcPr>
          <w:p w14:paraId="6314658F">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0.1428 </w:t>
            </w:r>
          </w:p>
        </w:tc>
        <w:tc>
          <w:tcPr>
            <w:tcW w:w="2680" w:type="dxa"/>
            <w:shd w:val="clear" w:color="auto" w:fill="auto"/>
            <w:vAlign w:val="center"/>
          </w:tcPr>
          <w:p w14:paraId="20891749">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0.1464 </w:t>
            </w:r>
          </w:p>
        </w:tc>
      </w:tr>
      <w:tr w14:paraId="2957D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vAlign w:val="center"/>
          </w:tcPr>
          <w:p w14:paraId="443718C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2680" w:type="dxa"/>
            <w:shd w:val="clear" w:color="auto" w:fill="auto"/>
            <w:vAlign w:val="center"/>
          </w:tcPr>
          <w:p w14:paraId="10BEFEF0">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0.0882 </w:t>
            </w:r>
          </w:p>
        </w:tc>
        <w:tc>
          <w:tcPr>
            <w:tcW w:w="2680" w:type="dxa"/>
            <w:shd w:val="clear" w:color="auto" w:fill="auto"/>
            <w:vAlign w:val="center"/>
          </w:tcPr>
          <w:p w14:paraId="0A46F2D7">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0.1118 </w:t>
            </w:r>
          </w:p>
        </w:tc>
      </w:tr>
      <w:tr w14:paraId="6EE7C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vAlign w:val="center"/>
          </w:tcPr>
          <w:p w14:paraId="298B953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w:t>
            </w:r>
          </w:p>
        </w:tc>
        <w:tc>
          <w:tcPr>
            <w:tcW w:w="2680" w:type="dxa"/>
            <w:shd w:val="clear" w:color="auto" w:fill="auto"/>
            <w:vAlign w:val="center"/>
          </w:tcPr>
          <w:p w14:paraId="6AE72EAC">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0.1920 </w:t>
            </w:r>
          </w:p>
        </w:tc>
        <w:tc>
          <w:tcPr>
            <w:tcW w:w="2680" w:type="dxa"/>
            <w:shd w:val="clear" w:color="auto" w:fill="auto"/>
            <w:vAlign w:val="center"/>
          </w:tcPr>
          <w:p w14:paraId="41F66D5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0.2120 </w:t>
            </w:r>
          </w:p>
        </w:tc>
      </w:tr>
      <w:tr w14:paraId="23587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vAlign w:val="center"/>
          </w:tcPr>
          <w:p w14:paraId="4C87142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w:t>
            </w:r>
          </w:p>
        </w:tc>
        <w:tc>
          <w:tcPr>
            <w:tcW w:w="2680" w:type="dxa"/>
            <w:shd w:val="clear" w:color="auto" w:fill="auto"/>
            <w:vAlign w:val="center"/>
          </w:tcPr>
          <w:p w14:paraId="751CBEDB">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0.1900 </w:t>
            </w:r>
          </w:p>
        </w:tc>
        <w:tc>
          <w:tcPr>
            <w:tcW w:w="2680" w:type="dxa"/>
            <w:shd w:val="clear" w:color="auto" w:fill="auto"/>
            <w:vAlign w:val="center"/>
          </w:tcPr>
          <w:p w14:paraId="6AD2DB9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0.1100 </w:t>
            </w:r>
          </w:p>
        </w:tc>
      </w:tr>
      <w:tr w14:paraId="2A61C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0" w:hRule="atLeast"/>
          <w:jc w:val="center"/>
        </w:trPr>
        <w:tc>
          <w:tcPr>
            <w:tcW w:w="2113" w:type="pct"/>
            <w:vAlign w:val="center"/>
          </w:tcPr>
          <w:p w14:paraId="140FDC0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w:t>
            </w:r>
          </w:p>
        </w:tc>
        <w:tc>
          <w:tcPr>
            <w:tcW w:w="2680" w:type="dxa"/>
            <w:shd w:val="clear" w:color="auto" w:fill="auto"/>
            <w:vAlign w:val="center"/>
          </w:tcPr>
          <w:p w14:paraId="3F783BB4">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0.1158 </w:t>
            </w:r>
          </w:p>
        </w:tc>
        <w:tc>
          <w:tcPr>
            <w:tcW w:w="2680" w:type="dxa"/>
            <w:shd w:val="clear" w:color="auto" w:fill="auto"/>
            <w:vAlign w:val="center"/>
          </w:tcPr>
          <w:p w14:paraId="02972F5A">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0.1263 </w:t>
            </w:r>
          </w:p>
        </w:tc>
      </w:tr>
      <w:tr w14:paraId="369AD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vAlign w:val="center"/>
          </w:tcPr>
          <w:p w14:paraId="0375952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锌</w:t>
            </w:r>
          </w:p>
        </w:tc>
        <w:tc>
          <w:tcPr>
            <w:tcW w:w="2680" w:type="dxa"/>
            <w:shd w:val="clear" w:color="auto" w:fill="auto"/>
            <w:vAlign w:val="center"/>
          </w:tcPr>
          <w:p w14:paraId="50E8B9A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0.2033 </w:t>
            </w:r>
          </w:p>
        </w:tc>
        <w:tc>
          <w:tcPr>
            <w:tcW w:w="2680" w:type="dxa"/>
            <w:shd w:val="clear" w:color="auto" w:fill="auto"/>
            <w:vAlign w:val="center"/>
          </w:tcPr>
          <w:p w14:paraId="0B267756">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0.1900 </w:t>
            </w:r>
          </w:p>
        </w:tc>
      </w:tr>
      <w:tr w14:paraId="28980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vAlign w:val="center"/>
          </w:tcPr>
          <w:p w14:paraId="6DD437E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w:t>
            </w:r>
          </w:p>
        </w:tc>
        <w:tc>
          <w:tcPr>
            <w:tcW w:w="1443" w:type="pct"/>
            <w:shd w:val="clear" w:color="auto" w:fill="auto"/>
            <w:vAlign w:val="center"/>
          </w:tcPr>
          <w:p w14:paraId="01709EDD">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ND</w:t>
            </w:r>
          </w:p>
        </w:tc>
        <w:tc>
          <w:tcPr>
            <w:tcW w:w="1443" w:type="pct"/>
            <w:shd w:val="clear" w:color="auto" w:fill="auto"/>
            <w:vAlign w:val="center"/>
          </w:tcPr>
          <w:p w14:paraId="588B3BF5">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ND</w:t>
            </w:r>
          </w:p>
        </w:tc>
      </w:tr>
      <w:tr w14:paraId="6F358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shd w:val="clear" w:color="auto" w:fill="auto"/>
            <w:vAlign w:val="center"/>
          </w:tcPr>
          <w:p w14:paraId="26803ECB">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石油烃（</w:t>
            </w:r>
            <w:r>
              <w:rPr>
                <w:rFonts w:hint="default" w:ascii="Times New Roman" w:hAnsi="Times New Roman" w:cs="Times New Roman" w:eastAsiaTheme="minorEastAsia"/>
                <w:color w:val="auto"/>
                <w:w w:val="99"/>
                <w:sz w:val="21"/>
                <w:szCs w:val="21"/>
                <w:highlight w:val="none"/>
                <w:lang w:val="en-US" w:eastAsia="zh-CN"/>
              </w:rPr>
              <w:t>C</w:t>
            </w:r>
            <w:r>
              <w:rPr>
                <w:rFonts w:hint="default" w:ascii="Times New Roman" w:hAnsi="Times New Roman" w:cs="Times New Roman" w:eastAsiaTheme="minorEastAsia"/>
                <w:color w:val="auto"/>
                <w:w w:val="99"/>
                <w:sz w:val="21"/>
                <w:szCs w:val="21"/>
                <w:highlight w:val="none"/>
                <w:vertAlign w:val="subscript"/>
                <w:lang w:val="en-US" w:eastAsia="zh-CN"/>
              </w:rPr>
              <w:t>6</w:t>
            </w:r>
            <w:r>
              <w:rPr>
                <w:rFonts w:hint="default" w:ascii="Times New Roman" w:hAnsi="Times New Roman" w:cs="Times New Roman" w:eastAsiaTheme="minorEastAsia"/>
                <w:color w:val="auto"/>
                <w:w w:val="99"/>
                <w:sz w:val="21"/>
                <w:szCs w:val="21"/>
                <w:highlight w:val="none"/>
                <w:lang w:val="en-US" w:eastAsia="zh-CN"/>
              </w:rPr>
              <w:t>-C</w:t>
            </w:r>
            <w:r>
              <w:rPr>
                <w:rFonts w:hint="default" w:ascii="Times New Roman" w:hAnsi="Times New Roman" w:cs="Times New Roman" w:eastAsiaTheme="minorEastAsia"/>
                <w:color w:val="auto"/>
                <w:w w:val="99"/>
                <w:sz w:val="21"/>
                <w:szCs w:val="21"/>
                <w:highlight w:val="none"/>
                <w:vertAlign w:val="subscript"/>
                <w:lang w:val="en-US" w:eastAsia="zh-CN"/>
              </w:rPr>
              <w:t>9</w:t>
            </w:r>
            <w:r>
              <w:rPr>
                <w:rFonts w:hint="eastAsia" w:ascii="Times New Roman" w:hAnsi="Times New Roman" w:cs="Times New Roman" w:eastAsiaTheme="minorEastAsia"/>
                <w:color w:val="auto"/>
                <w:w w:val="99"/>
                <w:sz w:val="21"/>
                <w:szCs w:val="21"/>
                <w:highlight w:val="none"/>
                <w:lang w:val="en-US" w:eastAsia="zh-CN"/>
              </w:rPr>
              <w:t>）</w:t>
            </w:r>
          </w:p>
        </w:tc>
        <w:tc>
          <w:tcPr>
            <w:tcW w:w="1443" w:type="pct"/>
            <w:shd w:val="clear" w:color="auto" w:fill="auto"/>
            <w:vAlign w:val="center"/>
          </w:tcPr>
          <w:p w14:paraId="304CB566">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ND</w:t>
            </w:r>
          </w:p>
        </w:tc>
        <w:tc>
          <w:tcPr>
            <w:tcW w:w="1443" w:type="pct"/>
            <w:shd w:val="clear" w:color="auto" w:fill="auto"/>
            <w:vAlign w:val="center"/>
          </w:tcPr>
          <w:p w14:paraId="7CF01282">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ND</w:t>
            </w:r>
          </w:p>
        </w:tc>
      </w:tr>
      <w:tr w14:paraId="71639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shd w:val="clear" w:color="auto" w:fill="auto"/>
            <w:vAlign w:val="center"/>
          </w:tcPr>
          <w:p w14:paraId="7FF12DA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石油类</w:t>
            </w:r>
          </w:p>
        </w:tc>
        <w:tc>
          <w:tcPr>
            <w:tcW w:w="1443" w:type="pct"/>
            <w:shd w:val="clear" w:color="auto" w:fill="auto"/>
            <w:vAlign w:val="center"/>
          </w:tcPr>
          <w:p w14:paraId="5E77DD75">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ND</w:t>
            </w:r>
          </w:p>
        </w:tc>
        <w:tc>
          <w:tcPr>
            <w:tcW w:w="1443" w:type="pct"/>
            <w:shd w:val="clear" w:color="auto" w:fill="auto"/>
            <w:vAlign w:val="center"/>
          </w:tcPr>
          <w:p w14:paraId="37F58225">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ND</w:t>
            </w:r>
          </w:p>
        </w:tc>
      </w:tr>
      <w:tr w14:paraId="62822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13" w:type="pct"/>
            <w:shd w:val="clear" w:color="auto" w:fill="auto"/>
            <w:vAlign w:val="center"/>
          </w:tcPr>
          <w:p w14:paraId="0CE05A13">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水溶性盐总量</w:t>
            </w:r>
          </w:p>
        </w:tc>
        <w:tc>
          <w:tcPr>
            <w:tcW w:w="1443" w:type="pct"/>
            <w:shd w:val="clear" w:color="auto" w:fill="auto"/>
            <w:vAlign w:val="center"/>
          </w:tcPr>
          <w:p w14:paraId="17C6BD4C">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ND</w:t>
            </w:r>
          </w:p>
        </w:tc>
        <w:tc>
          <w:tcPr>
            <w:tcW w:w="1443" w:type="pct"/>
            <w:shd w:val="clear" w:color="auto" w:fill="auto"/>
            <w:vAlign w:val="center"/>
          </w:tcPr>
          <w:p w14:paraId="14032B3A">
            <w:pP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ND</w:t>
            </w:r>
          </w:p>
        </w:tc>
      </w:tr>
    </w:tbl>
    <w:p w14:paraId="0AB5C532">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（4）评价结论</w:t>
      </w:r>
    </w:p>
    <w:p w14:paraId="7A5AC2F0">
      <w:pPr>
        <w:pStyle w:val="160"/>
        <w:widowControl w:val="0"/>
        <w:spacing w:line="44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从表中可以看出，评价区域内土壤环境质量较好，没有出现超标情况。本项目永久占地内土壤及现有井场土壤满足《土壤环境质量 建设用地土壤污染风险管控标准（试行）》（GB36600-2018）中第二类用地筛选值标准，评价范围内临时占地范围内及评价范围内土壤满足《土壤环境质量 农用地土壤污染风险管控标准（试行）》（GB15618-2018）表1中</w:t>
      </w:r>
      <w:r>
        <w:rPr>
          <w:rFonts w:hint="eastAsia" w:ascii="Times New Roman" w:hAnsi="Times New Roman" w:cs="Times New Roman" w:eastAsiaTheme="minorEastAsia"/>
          <w:color w:val="auto"/>
          <w:w w:val="99"/>
          <w:highlight w:val="none"/>
        </w:rPr>
        <w:t>其它</w:t>
      </w:r>
      <w:r>
        <w:rPr>
          <w:rFonts w:ascii="Times New Roman" w:hAnsi="Times New Roman" w:cs="Times New Roman" w:eastAsiaTheme="minorEastAsia"/>
          <w:color w:val="auto"/>
          <w:w w:val="99"/>
          <w:highlight w:val="none"/>
        </w:rPr>
        <w:t>农用地土壤风险筛选值。</w:t>
      </w:r>
    </w:p>
    <w:bookmarkEnd w:id="610"/>
    <w:bookmarkEnd w:id="611"/>
    <w:bookmarkEnd w:id="612"/>
    <w:bookmarkEnd w:id="613"/>
    <w:bookmarkEnd w:id="614"/>
    <w:bookmarkEnd w:id="615"/>
    <w:p w14:paraId="06F55EBD">
      <w:pPr>
        <w:pStyle w:val="7"/>
        <w:keepNext w:val="0"/>
        <w:keepLines w:val="0"/>
        <w:widowControl w:val="0"/>
        <w:spacing w:line="440" w:lineRule="exact"/>
        <w:jc w:val="both"/>
        <w:rPr>
          <w:rFonts w:eastAsia="宋体"/>
          <w:b/>
          <w:color w:val="auto"/>
          <w:w w:val="99"/>
          <w:kern w:val="2"/>
          <w:sz w:val="24"/>
          <w:szCs w:val="24"/>
          <w:highlight w:val="none"/>
        </w:rPr>
      </w:pPr>
      <w:bookmarkStart w:id="760" w:name="_Toc78816504"/>
      <w:bookmarkStart w:id="761" w:name="_Toc186444326"/>
      <w:bookmarkStart w:id="762" w:name="_Toc57203289"/>
      <w:bookmarkStart w:id="763" w:name="_Toc67860176"/>
      <w:bookmarkStart w:id="764" w:name="_Toc83209521"/>
      <w:bookmarkStart w:id="765" w:name="_Toc57707959"/>
      <w:bookmarkStart w:id="766" w:name="_Toc77067702"/>
      <w:bookmarkStart w:id="767" w:name="_Toc80588299"/>
      <w:bookmarkStart w:id="768" w:name="_Toc12972"/>
      <w:bookmarkStart w:id="769" w:name="_Toc57976711"/>
      <w:bookmarkStart w:id="770" w:name="_Toc508022098"/>
      <w:bookmarkStart w:id="771" w:name="_Toc17898212"/>
      <w:bookmarkStart w:id="772" w:name="_Toc76976290"/>
      <w:bookmarkStart w:id="773" w:name="_Toc80971421"/>
      <w:bookmarkStart w:id="774" w:name="_Toc61597275"/>
      <w:bookmarkStart w:id="775" w:name="_Toc70050225"/>
      <w:bookmarkStart w:id="776" w:name="_Toc75075744"/>
      <w:bookmarkStart w:id="777" w:name="_Toc45678581"/>
      <w:bookmarkStart w:id="778" w:name="_Toc371751574"/>
      <w:bookmarkStart w:id="779" w:name="_Toc415146701"/>
      <w:bookmarkStart w:id="780" w:name="_Toc75075806"/>
      <w:bookmarkStart w:id="781" w:name="_Toc480447669"/>
      <w:bookmarkStart w:id="782" w:name="_Toc502736497"/>
      <w:r>
        <w:rPr>
          <w:rFonts w:eastAsia="宋体"/>
          <w:b/>
          <w:color w:val="auto"/>
          <w:w w:val="99"/>
          <w:kern w:val="2"/>
          <w:sz w:val="24"/>
          <w:szCs w:val="24"/>
          <w:highlight w:val="none"/>
        </w:rPr>
        <w:t>4.3.6生态</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Pr>
          <w:rFonts w:eastAsia="宋体"/>
          <w:b/>
          <w:color w:val="auto"/>
          <w:w w:val="99"/>
          <w:kern w:val="2"/>
          <w:sz w:val="24"/>
          <w:szCs w:val="24"/>
          <w:highlight w:val="none"/>
        </w:rPr>
        <w:t>环境质量现状调查与评价</w:t>
      </w:r>
    </w:p>
    <w:p w14:paraId="104D73F8">
      <w:pPr>
        <w:widowControl w:val="0"/>
        <w:spacing w:line="440" w:lineRule="exact"/>
        <w:outlineLvl w:val="3"/>
        <w:rPr>
          <w:rFonts w:hint="default" w:ascii="Times New Roman" w:hAnsi="Times New Roman" w:cs="Times New Roman"/>
          <w:b/>
          <w:color w:val="auto"/>
          <w:w w:val="99"/>
          <w:highlight w:val="none"/>
          <w:lang w:val="en-US" w:eastAsia="zh-CN"/>
        </w:rPr>
      </w:pPr>
      <w:bookmarkStart w:id="783" w:name="_Toc43686764"/>
      <w:bookmarkStart w:id="784" w:name="_Toc30114"/>
      <w:r>
        <w:rPr>
          <w:rFonts w:ascii="Times New Roman" w:hAnsi="Times New Roman" w:cs="Times New Roman"/>
          <w:b/>
          <w:color w:val="auto"/>
          <w:w w:val="99"/>
          <w:highlight w:val="none"/>
        </w:rPr>
        <w:t>4.3.6.1</w:t>
      </w:r>
      <w:r>
        <w:rPr>
          <w:rFonts w:hint="eastAsia" w:ascii="Times New Roman" w:hAnsi="Times New Roman" w:cs="Times New Roman"/>
          <w:b/>
          <w:color w:val="auto"/>
          <w:w w:val="99"/>
          <w:highlight w:val="none"/>
          <w:lang w:val="en-US" w:eastAsia="zh-CN"/>
        </w:rPr>
        <w:t>现有区块生态影响回顾</w:t>
      </w:r>
    </w:p>
    <w:p w14:paraId="392C6E3E">
      <w:pPr>
        <w:widowControl w:val="0"/>
        <w:spacing w:line="440" w:lineRule="exact"/>
        <w:ind w:firstLine="474" w:firstLineChars="200"/>
        <w:jc w:val="both"/>
        <w:rPr>
          <w:rFonts w:hint="eastAsia"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本项目位于</w:t>
      </w:r>
      <w:r>
        <w:rPr>
          <w:rFonts w:hint="default" w:ascii="Times New Roman" w:hAnsi="Times New Roman" w:eastAsia="宋体" w:cs="Times New Roman"/>
          <w:color w:val="auto"/>
          <w:w w:val="99"/>
          <w:kern w:val="2"/>
          <w:highlight w:val="none"/>
          <w:lang w:val="en-US" w:eastAsia="zh-CN"/>
        </w:rPr>
        <w:t>黑龙江省</w:t>
      </w:r>
      <w:r>
        <w:rPr>
          <w:rFonts w:hint="eastAsia" w:ascii="Times New Roman" w:hAnsi="Times New Roman" w:cs="Times New Roman"/>
          <w:color w:val="auto"/>
          <w:w w:val="99"/>
          <w:kern w:val="2"/>
          <w:highlight w:val="none"/>
          <w:lang w:val="en-US" w:eastAsia="zh-CN"/>
        </w:rPr>
        <w:t>绥化市肇东市跃进乡</w:t>
      </w:r>
      <w:r>
        <w:rPr>
          <w:rFonts w:hint="default" w:ascii="Times New Roman" w:hAnsi="Times New Roman" w:eastAsia="宋体" w:cs="Times New Roman"/>
          <w:color w:val="auto"/>
          <w:w w:val="99"/>
          <w:kern w:val="2"/>
          <w:highlight w:val="none"/>
          <w:lang w:val="en-US" w:eastAsia="zh-CN"/>
        </w:rPr>
        <w:t>境内</w:t>
      </w:r>
      <w:r>
        <w:rPr>
          <w:rFonts w:hint="eastAsia" w:ascii="Times New Roman" w:hAnsi="Times New Roman" w:eastAsia="宋体" w:cs="Times New Roman"/>
          <w:color w:val="auto"/>
          <w:w w:val="99"/>
          <w:kern w:val="2"/>
          <w:highlight w:val="none"/>
          <w:lang w:val="en-US" w:eastAsia="zh-CN"/>
        </w:rPr>
        <w:t>。项目所在区块为</w:t>
      </w:r>
      <w:r>
        <w:rPr>
          <w:rFonts w:hint="default" w:ascii="Times New Roman" w:hAnsi="Times New Roman" w:eastAsia="宋体" w:cs="Times New Roman"/>
          <w:color w:val="auto"/>
          <w:w w:val="99"/>
          <w:kern w:val="2"/>
          <w:highlight w:val="none"/>
          <w:lang w:val="en-US" w:eastAsia="zh-CN"/>
        </w:rPr>
        <w:t>徐深气田</w:t>
      </w:r>
      <w:r>
        <w:rPr>
          <w:rFonts w:hint="eastAsia" w:ascii="Times New Roman" w:hAnsi="Times New Roman" w:eastAsia="宋体" w:cs="Times New Roman"/>
          <w:color w:val="auto"/>
          <w:w w:val="99"/>
          <w:kern w:val="2"/>
          <w:highlight w:val="none"/>
          <w:lang w:val="en-US" w:eastAsia="zh-CN"/>
        </w:rPr>
        <w:t>徐深</w:t>
      </w:r>
      <w:r>
        <w:rPr>
          <w:rFonts w:hint="eastAsia" w:ascii="Times New Roman" w:hAnsi="Times New Roman" w:cs="Times New Roman"/>
          <w:color w:val="auto"/>
          <w:w w:val="99"/>
          <w:kern w:val="2"/>
          <w:highlight w:val="none"/>
          <w:lang w:val="en-US" w:eastAsia="zh-CN"/>
        </w:rPr>
        <w:t>27</w:t>
      </w:r>
      <w:r>
        <w:rPr>
          <w:rFonts w:hint="default" w:ascii="Times New Roman" w:hAnsi="Times New Roman" w:eastAsia="宋体" w:cs="Times New Roman"/>
          <w:color w:val="auto"/>
          <w:w w:val="99"/>
          <w:kern w:val="2"/>
          <w:highlight w:val="none"/>
          <w:lang w:val="en-US" w:eastAsia="zh-CN"/>
        </w:rPr>
        <w:t>区块</w:t>
      </w:r>
      <w:r>
        <w:rPr>
          <w:rFonts w:hint="eastAsia" w:ascii="Times New Roman" w:hAnsi="Times New Roman" w:eastAsia="宋体" w:cs="Times New Roman"/>
          <w:color w:val="auto"/>
          <w:w w:val="99"/>
          <w:kern w:val="2"/>
          <w:highlight w:val="none"/>
          <w:lang w:val="en-US" w:eastAsia="zh-CN"/>
        </w:rPr>
        <w:t>。根据现有区块已建工程周边的植被和植物现状调查，区块内已建工程占用面积最大类型为耕地（基本农田），现有工程在施工期影响的主要植物种类均为区域常见植物种类，施工过程中未发现珍稀保护植物。现有区块在建设过程中采取了一系列的措施进行生态保护。施工期严格控制井场的临时及永久占地面积；管沟挖、填方作业做到了互补平衡，未造成弃土方堆积和过多借土，未增加新的水土流失，管沟回填阶段均按层回填，回填后予以平整、压实；施工结束后妥善处理了施工期产生的各类污染物，并进行了施工现场清理，井场进行了平整、压实的措施，对临时占地及时进行了地貌植被恢复、耕地恢复耕作等，最大力度的降低气田开发对区域农田生态系统的影响。根据现场调查，本项目区域内已建井的井场永久性占地面积符合要求，井场地面均进行了平整，场站内道路两侧和场站院墙内外均已绿化，生态恢复较好。井场永久性占地面积符合设计要求，井场地面均进行了平整，在临时性占地范围内，地表基本进行了平整，并已完成了生态恢复。现有区块的气田开发没有改变项目区的生态系统结构与功能，区域生态组分及多样性未受影响，生态格局变化不大。除了占地直接减少了粮食的产量外，对生态目前所采取的各项环保措施是有效的，未发现需要整改的生态环境问题。</w:t>
      </w:r>
    </w:p>
    <w:p w14:paraId="19C61C7B">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4.3.6.2</w:t>
      </w:r>
      <w:bookmarkEnd w:id="783"/>
      <w:r>
        <w:rPr>
          <w:rFonts w:ascii="Times New Roman" w:hAnsi="Times New Roman" w:cs="Times New Roman"/>
          <w:b/>
          <w:color w:val="auto"/>
          <w:w w:val="99"/>
          <w:highlight w:val="none"/>
        </w:rPr>
        <w:t>生态功能区划</w:t>
      </w:r>
    </w:p>
    <w:p w14:paraId="07FB074B">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根据《全国生态功能区划》（修编版，2015），本工程位于</w:t>
      </w:r>
      <w:r>
        <w:rPr>
          <w:rFonts w:ascii="Times New Roman" w:hAnsi="Times New Roman" w:cs="Times New Roman"/>
          <w:color w:val="auto"/>
          <w:w w:val="99"/>
          <w:highlight w:val="none"/>
        </w:rPr>
        <w:t>Ⅱ</w:t>
      </w:r>
      <w:r>
        <w:rPr>
          <w:rFonts w:ascii="Times New Roman" w:hAnsi="Times New Roman" w:cs="Times New Roman" w:eastAsiaTheme="minorEastAsia"/>
          <w:color w:val="auto"/>
          <w:w w:val="99"/>
          <w:highlight w:val="none"/>
        </w:rPr>
        <w:t>-01-04松嫩平原东部农产品提供功能区。该区主要生态问题包括农田侵占、土壤肥力下降、农业面源污染严重。农产品提供功能区生态保护的主要方向为严格保护基本农田，培养土壤肥力；加强农田基本建设，增强抗自然灾害的能力等。</w:t>
      </w:r>
    </w:p>
    <w:p w14:paraId="5BEA4617">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在全国生态功能区划的基础上，结合黑龙江省详细的生态功能区划，对本工程所在的生态功能区划进行详细说明。根据黑龙江省人民政府批准的《黑龙江省生态功能区划》(黑政函〔2006〕75号)，</w:t>
      </w:r>
      <w:r>
        <w:rPr>
          <w:rFonts w:ascii="Times New Roman" w:hAnsi="Times New Roman" w:cs="Times New Roman"/>
          <w:color w:val="auto"/>
          <w:w w:val="99"/>
          <w:highlight w:val="none"/>
        </w:rPr>
        <w:t>本项目所在区域属于松嫩平原西部草甸草原生态区，松嫩平原西部草甸草原与农业生态亚区，嫩江下游湿地保护与沙化和盐渍化控制生态功能区</w:t>
      </w:r>
      <w:r>
        <w:rPr>
          <w:rFonts w:ascii="Times New Roman" w:hAnsi="Times New Roman" w:cs="Times New Roman" w:eastAsiaTheme="minorEastAsia"/>
          <w:color w:val="auto"/>
          <w:w w:val="99"/>
          <w:highlight w:val="none"/>
        </w:rPr>
        <w:t>。本工程区生态功能区划见表4.3-2</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w:t>
      </w:r>
    </w:p>
    <w:p w14:paraId="560A8A6D">
      <w:pPr>
        <w:pStyle w:val="153"/>
        <w:widowControl w:val="0"/>
        <w:spacing w:line="440" w:lineRule="exact"/>
        <w:ind w:firstLine="0" w:firstLineChars="0"/>
        <w:jc w:val="center"/>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表4.3-2</w:t>
      </w:r>
      <w:r>
        <w:rPr>
          <w:rFonts w:hint="eastAsia" w:ascii="Times New Roman" w:hAnsi="Times New Roman" w:eastAsiaTheme="minorEastAsia"/>
          <w:b/>
          <w:color w:val="auto"/>
          <w:w w:val="99"/>
          <w:highlight w:val="none"/>
          <w:lang w:val="en-US" w:eastAsia="zh-CN"/>
        </w:rPr>
        <w:t>2</w:t>
      </w:r>
      <w:r>
        <w:rPr>
          <w:rFonts w:ascii="Times New Roman" w:hAnsi="Times New Roman" w:eastAsiaTheme="minorEastAsia"/>
          <w:b/>
          <w:color w:val="auto"/>
          <w:w w:val="99"/>
          <w:highlight w:val="none"/>
        </w:rPr>
        <w:t xml:space="preserve">    本</w:t>
      </w:r>
      <w:r>
        <w:rPr>
          <w:rFonts w:ascii="Times New Roman" w:hAnsi="Times New Roman" w:eastAsiaTheme="minorEastAsia"/>
          <w:b/>
          <w:color w:val="auto"/>
          <w:w w:val="99"/>
          <w:kern w:val="2"/>
          <w:szCs w:val="20"/>
          <w:highlight w:val="none"/>
        </w:rPr>
        <w:t>工程</w:t>
      </w:r>
      <w:r>
        <w:rPr>
          <w:rFonts w:ascii="Times New Roman" w:hAnsi="Times New Roman" w:eastAsiaTheme="minorEastAsia"/>
          <w:b/>
          <w:color w:val="auto"/>
          <w:w w:val="99"/>
          <w:highlight w:val="none"/>
        </w:rPr>
        <w:t>区域生态功能区划表</w:t>
      </w:r>
    </w:p>
    <w:tbl>
      <w:tblPr>
        <w:tblStyle w:val="80"/>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30" w:type="dxa"/>
          <w:bottom w:w="0" w:type="dxa"/>
          <w:right w:w="30" w:type="dxa"/>
        </w:tblCellMar>
      </w:tblPr>
      <w:tblGrid>
        <w:gridCol w:w="694"/>
        <w:gridCol w:w="803"/>
        <w:gridCol w:w="1161"/>
        <w:gridCol w:w="1152"/>
        <w:gridCol w:w="1152"/>
        <w:gridCol w:w="1152"/>
        <w:gridCol w:w="1152"/>
        <w:gridCol w:w="1860"/>
      </w:tblGrid>
      <w:tr w14:paraId="64DCF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1456" w:type="pct"/>
            <w:gridSpan w:val="3"/>
            <w:vAlign w:val="center"/>
          </w:tcPr>
          <w:p w14:paraId="3DDCA35B">
            <w:pPr>
              <w:widowControl w:val="0"/>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项目区生态功能分区单元</w:t>
            </w:r>
          </w:p>
        </w:tc>
        <w:tc>
          <w:tcPr>
            <w:tcW w:w="631" w:type="pct"/>
            <w:vAlign w:val="center"/>
          </w:tcPr>
          <w:p w14:paraId="0FD0DBD2">
            <w:pPr>
              <w:widowControl w:val="0"/>
              <w:adjustRightInd w:val="0"/>
              <w:snapToGrid w:val="0"/>
              <w:spacing w:line="36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所在区域面积</w:t>
            </w:r>
          </w:p>
        </w:tc>
        <w:tc>
          <w:tcPr>
            <w:tcW w:w="631" w:type="pct"/>
            <w:vAlign w:val="center"/>
          </w:tcPr>
          <w:p w14:paraId="79AA61A6">
            <w:pPr>
              <w:widowControl w:val="0"/>
              <w:adjustRightInd w:val="0"/>
              <w:snapToGrid w:val="0"/>
              <w:spacing w:line="36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主要生态环境问题</w:t>
            </w:r>
          </w:p>
        </w:tc>
        <w:tc>
          <w:tcPr>
            <w:tcW w:w="631" w:type="pct"/>
            <w:vAlign w:val="center"/>
          </w:tcPr>
          <w:p w14:paraId="4F49C687">
            <w:pPr>
              <w:widowControl w:val="0"/>
              <w:adjustRightInd w:val="0"/>
              <w:snapToGrid w:val="0"/>
              <w:spacing w:line="36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生态环境敏感性</w:t>
            </w:r>
          </w:p>
        </w:tc>
        <w:tc>
          <w:tcPr>
            <w:tcW w:w="631" w:type="pct"/>
            <w:vAlign w:val="center"/>
          </w:tcPr>
          <w:p w14:paraId="103E1AB2">
            <w:pPr>
              <w:widowControl w:val="0"/>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主要生态系统服务</w:t>
            </w:r>
          </w:p>
          <w:p w14:paraId="22325EBC">
            <w:pPr>
              <w:widowControl w:val="0"/>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功能</w:t>
            </w:r>
          </w:p>
        </w:tc>
        <w:tc>
          <w:tcPr>
            <w:tcW w:w="1018" w:type="pct"/>
            <w:vAlign w:val="center"/>
          </w:tcPr>
          <w:p w14:paraId="10EB7F6A">
            <w:pPr>
              <w:widowControl w:val="0"/>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保护措施与发展方向</w:t>
            </w:r>
          </w:p>
        </w:tc>
      </w:tr>
      <w:tr w14:paraId="1853E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380" w:type="pct"/>
            <w:vAlign w:val="center"/>
          </w:tcPr>
          <w:p w14:paraId="6E35A38D">
            <w:pPr>
              <w:widowControl w:val="0"/>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Ⅰ-6松嫩平原西部草甸草原生态区</w:t>
            </w:r>
          </w:p>
        </w:tc>
        <w:tc>
          <w:tcPr>
            <w:tcW w:w="440" w:type="pct"/>
            <w:vAlign w:val="center"/>
          </w:tcPr>
          <w:p w14:paraId="55A7722A">
            <w:pPr>
              <w:widowControl w:val="0"/>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Ⅰ-6-1松</w:t>
            </w:r>
          </w:p>
          <w:p w14:paraId="457476C8">
            <w:pPr>
              <w:widowControl w:val="0"/>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嫩平原西部草甸草原与农业生态亚区</w:t>
            </w:r>
          </w:p>
        </w:tc>
        <w:tc>
          <w:tcPr>
            <w:tcW w:w="635" w:type="pct"/>
            <w:vAlign w:val="center"/>
          </w:tcPr>
          <w:p w14:paraId="66B22950">
            <w:pPr>
              <w:widowControl w:val="0"/>
              <w:spacing w:before="3" w:line="242" w:lineRule="auto"/>
              <w:ind w:left="143" w:right="110"/>
              <w:jc w:val="center"/>
              <w:rPr>
                <w:rFonts w:ascii="Times New Roman" w:hAnsi="Times New Roman" w:cs="Times New Roman"/>
                <w:color w:val="auto"/>
                <w:w w:val="99"/>
                <w:kern w:val="2"/>
                <w:sz w:val="21"/>
                <w:szCs w:val="21"/>
                <w:highlight w:val="none"/>
              </w:rPr>
            </w:pPr>
            <w:r>
              <w:rPr>
                <w:rFonts w:hint="eastAsia" w:ascii="Times New Roman" w:hAnsi="Times New Roman" w:cs="Times New Roman"/>
                <w:color w:val="auto"/>
                <w:w w:val="99"/>
                <w:kern w:val="2"/>
                <w:sz w:val="21"/>
                <w:szCs w:val="21"/>
                <w:highlight w:val="none"/>
              </w:rPr>
              <w:t>Ⅰ-6-1-3</w:t>
            </w:r>
            <w:r>
              <w:rPr>
                <w:rFonts w:hint="eastAsia" w:ascii="Times New Roman" w:hAnsi="Times New Roman" w:cs="Times New Roman"/>
                <w:color w:val="auto"/>
                <w:w w:val="99"/>
                <w:kern w:val="2"/>
                <w:sz w:val="21"/>
                <w:szCs w:val="21"/>
                <w:highlight w:val="none"/>
                <w:lang w:eastAsia="zh-CN"/>
              </w:rPr>
              <w:t>安达-肇东-肇源</w:t>
            </w:r>
            <w:r>
              <w:rPr>
                <w:rFonts w:hint="eastAsia" w:ascii="Times New Roman" w:hAnsi="Times New Roman" w:cs="Times New Roman"/>
                <w:color w:val="auto"/>
                <w:w w:val="99"/>
                <w:kern w:val="2"/>
                <w:sz w:val="21"/>
                <w:szCs w:val="21"/>
                <w:highlight w:val="none"/>
              </w:rPr>
              <w:t>农、牧业与盐渍化控制生态功能功能区</w:t>
            </w:r>
          </w:p>
        </w:tc>
        <w:tc>
          <w:tcPr>
            <w:tcW w:w="631" w:type="pct"/>
            <w:vAlign w:val="center"/>
          </w:tcPr>
          <w:p w14:paraId="75D2B630">
            <w:pPr>
              <w:widowControl w:val="0"/>
              <w:spacing w:before="137" w:line="242" w:lineRule="auto"/>
              <w:ind w:left="139" w:right="110"/>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肇州县、肇东市和安达市，面积10000平方公里</w:t>
            </w:r>
          </w:p>
        </w:tc>
        <w:tc>
          <w:tcPr>
            <w:tcW w:w="631" w:type="pct"/>
            <w:vAlign w:val="center"/>
          </w:tcPr>
          <w:p w14:paraId="2B4E1215">
            <w:pPr>
              <w:widowControl w:val="0"/>
              <w:spacing w:before="137" w:line="242" w:lineRule="auto"/>
              <w:ind w:left="139" w:right="110"/>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盲目开荒草地，使草地面积减少，盐碱斑地不断扩大，严重制约当地经济的发展</w:t>
            </w:r>
          </w:p>
        </w:tc>
        <w:tc>
          <w:tcPr>
            <w:tcW w:w="631" w:type="pct"/>
            <w:vAlign w:val="center"/>
          </w:tcPr>
          <w:p w14:paraId="5C13F072">
            <w:pPr>
              <w:widowControl w:val="0"/>
              <w:spacing w:before="137" w:line="242" w:lineRule="auto"/>
              <w:ind w:left="139" w:right="110"/>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区内土地盐渍化敏感性为轻度敏感</w:t>
            </w:r>
          </w:p>
        </w:tc>
        <w:tc>
          <w:tcPr>
            <w:tcW w:w="631" w:type="pct"/>
            <w:vAlign w:val="center"/>
          </w:tcPr>
          <w:p w14:paraId="72ABCE66">
            <w:pPr>
              <w:widowControl w:val="0"/>
              <w:spacing w:before="137" w:line="242" w:lineRule="auto"/>
              <w:ind w:left="139" w:right="110"/>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盐渍化控制、生态系统产品提供</w:t>
            </w:r>
          </w:p>
        </w:tc>
        <w:tc>
          <w:tcPr>
            <w:tcW w:w="1018" w:type="pct"/>
            <w:vAlign w:val="center"/>
          </w:tcPr>
          <w:p w14:paraId="33BA1D1A">
            <w:pPr>
              <w:widowControl w:val="0"/>
              <w:spacing w:before="1" w:line="242" w:lineRule="auto"/>
              <w:ind w:left="163" w:right="139"/>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对草地进行恢复，禁止盲目开荒，对家畜进行圈养或轮牧，加大生态农业建设</w:t>
            </w:r>
          </w:p>
        </w:tc>
      </w:tr>
    </w:tbl>
    <w:p w14:paraId="72F7EA84">
      <w:pPr>
        <w:widowControl w:val="0"/>
        <w:spacing w:line="440" w:lineRule="exact"/>
        <w:outlineLvl w:val="3"/>
        <w:rPr>
          <w:rFonts w:ascii="Times New Roman" w:hAnsi="Times New Roman" w:cs="Times New Roman"/>
          <w:b/>
          <w:color w:val="auto"/>
          <w:w w:val="99"/>
          <w:highlight w:val="red"/>
        </w:rPr>
      </w:pPr>
      <w:r>
        <w:rPr>
          <w:rFonts w:ascii="Times New Roman" w:hAnsi="Times New Roman" w:cs="Times New Roman"/>
          <w:b/>
          <w:color w:val="auto"/>
          <w:w w:val="99"/>
          <w:highlight w:val="none"/>
        </w:rPr>
        <w:t>4.3.6.3</w:t>
      </w:r>
      <w:r>
        <w:rPr>
          <w:rFonts w:hint="eastAsia" w:ascii="Times New Roman" w:hAnsi="Times New Roman" w:cs="Times New Roman"/>
          <w:b/>
          <w:color w:val="auto"/>
          <w:w w:val="99"/>
          <w:highlight w:val="none"/>
          <w:lang w:val="en-US" w:eastAsia="zh-CN"/>
        </w:rPr>
        <w:t>区域</w:t>
      </w:r>
      <w:r>
        <w:rPr>
          <w:rFonts w:hint="default" w:ascii="Times New Roman" w:hAnsi="Times New Roman" w:cs="Times New Roman"/>
          <w:b/>
          <w:color w:val="auto"/>
          <w:w w:val="99"/>
          <w:highlight w:val="none"/>
          <w:lang w:val="en-US" w:eastAsia="zh-CN"/>
        </w:rPr>
        <w:t>土地利用现状</w:t>
      </w:r>
    </w:p>
    <w:p w14:paraId="0D7D8FF3">
      <w:pPr>
        <w:widowControl w:val="0"/>
        <w:spacing w:line="440" w:lineRule="exact"/>
        <w:ind w:firstLine="474" w:firstLineChars="200"/>
        <w:rPr>
          <w:rFonts w:hint="default" w:ascii="Times New Roman" w:hAnsi="Times New Roman" w:cs="Times New Roman" w:eastAsiaTheme="minorEastAsia"/>
          <w:color w:val="auto"/>
          <w:w w:val="99"/>
          <w:highlight w:val="none"/>
          <w:lang w:val="en-US" w:eastAsia="zh-CN"/>
        </w:rPr>
      </w:pPr>
      <w:r>
        <w:rPr>
          <w:rFonts w:hint="default" w:ascii="Times New Roman" w:hAnsi="Times New Roman" w:cs="Times New Roman" w:eastAsiaTheme="minorEastAsia"/>
          <w:color w:val="auto"/>
          <w:w w:val="99"/>
          <w:highlight w:val="none"/>
          <w:lang w:val="en-US" w:eastAsia="zh-CN"/>
        </w:rPr>
        <w:t>按照《土地利用现状分类》</w:t>
      </w:r>
      <w:r>
        <w:rPr>
          <w:rFonts w:hint="eastAsia" w:ascii="Times New Roman" w:hAnsi="Times New Roman" w:cs="Times New Roman" w:eastAsiaTheme="minorEastAsia"/>
          <w:color w:val="auto"/>
          <w:w w:val="99"/>
          <w:highlight w:val="none"/>
          <w:lang w:val="en-US" w:eastAsia="zh-CN"/>
        </w:rPr>
        <w:t>（GB21010-2017）</w:t>
      </w:r>
      <w:r>
        <w:rPr>
          <w:rFonts w:hint="default" w:ascii="Times New Roman" w:hAnsi="Times New Roman" w:cs="Times New Roman" w:eastAsiaTheme="minorEastAsia"/>
          <w:color w:val="auto"/>
          <w:w w:val="99"/>
          <w:highlight w:val="none"/>
          <w:lang w:val="en-US" w:eastAsia="zh-CN"/>
        </w:rPr>
        <w:t>的分类系统，《土地利用现状分类》国家标准采用一级、二级两个层次的分类体系，共分12个一级类、73个二级类。</w:t>
      </w:r>
    </w:p>
    <w:p w14:paraId="514268D7">
      <w:pPr>
        <w:widowControl w:val="0"/>
        <w:spacing w:line="440" w:lineRule="exact"/>
        <w:ind w:firstLine="474" w:firstLineChars="200"/>
        <w:rPr>
          <w:rFonts w:hint="default" w:ascii="Times New Roman" w:hAnsi="Times New Roman" w:cs="Times New Roman" w:eastAsiaTheme="minorEastAsia"/>
          <w:color w:val="auto"/>
          <w:w w:val="99"/>
          <w:highlight w:val="none"/>
          <w:lang w:val="en-US" w:eastAsia="zh-CN"/>
        </w:rPr>
      </w:pPr>
      <w:r>
        <w:rPr>
          <w:rFonts w:hint="eastAsia" w:ascii="Times New Roman" w:hAnsi="Times New Roman" w:cs="Times New Roman" w:eastAsiaTheme="minorEastAsia"/>
          <w:color w:val="auto"/>
          <w:w w:val="99"/>
          <w:highlight w:val="none"/>
          <w:lang w:val="en-US" w:eastAsia="zh-CN"/>
        </w:rPr>
        <w:t>评价范围土地利用现状分类系统按照全国土地利用分类系统标准，</w:t>
      </w:r>
      <w:r>
        <w:rPr>
          <w:rFonts w:hint="default" w:ascii="Times New Roman" w:hAnsi="Times New Roman" w:cs="Times New Roman" w:eastAsiaTheme="minorEastAsia"/>
          <w:color w:val="auto"/>
          <w:w w:val="99"/>
          <w:highlight w:val="none"/>
          <w:lang w:val="en-US" w:eastAsia="zh-CN"/>
        </w:rPr>
        <w:t>调查采用2021年</w:t>
      </w:r>
      <w:r>
        <w:rPr>
          <w:rFonts w:hint="eastAsia" w:ascii="Times New Roman" w:hAnsi="Times New Roman" w:cs="Times New Roman" w:eastAsiaTheme="minorEastAsia"/>
          <w:color w:val="auto"/>
          <w:w w:val="99"/>
          <w:highlight w:val="none"/>
          <w:lang w:val="en-US" w:eastAsia="zh-CN"/>
        </w:rPr>
        <w:t>8</w:t>
      </w:r>
      <w:r>
        <w:rPr>
          <w:rFonts w:hint="default" w:ascii="Times New Roman" w:hAnsi="Times New Roman" w:cs="Times New Roman" w:eastAsiaTheme="minorEastAsia"/>
          <w:color w:val="auto"/>
          <w:w w:val="99"/>
          <w:highlight w:val="none"/>
          <w:lang w:val="en-US" w:eastAsia="zh-CN"/>
        </w:rPr>
        <w:t>月</w:t>
      </w:r>
      <w:r>
        <w:rPr>
          <w:rFonts w:hint="eastAsia" w:ascii="Times New Roman" w:hAnsi="Times New Roman" w:cs="Times New Roman" w:eastAsiaTheme="minorEastAsia"/>
          <w:color w:val="auto"/>
          <w:w w:val="99"/>
          <w:highlight w:val="none"/>
          <w:lang w:val="en-US" w:eastAsia="zh-CN"/>
        </w:rPr>
        <w:t>31</w:t>
      </w:r>
      <w:r>
        <w:rPr>
          <w:rFonts w:hint="default" w:ascii="Times New Roman" w:hAnsi="Times New Roman" w:cs="Times New Roman" w:eastAsiaTheme="minorEastAsia"/>
          <w:color w:val="auto"/>
          <w:w w:val="99"/>
          <w:highlight w:val="none"/>
          <w:lang w:val="en-US" w:eastAsia="zh-CN"/>
        </w:rPr>
        <w:t>日的哨兵2号遥感卫星影像（分辨率10</w:t>
      </w:r>
      <w:r>
        <w:rPr>
          <w:rFonts w:hint="eastAsia" w:ascii="Times New Roman" w:hAnsi="Times New Roman" w:cs="Times New Roman" w:eastAsiaTheme="minorEastAsia"/>
          <w:color w:val="auto"/>
          <w:w w:val="99"/>
          <w:highlight w:val="none"/>
          <w:lang w:val="en-US" w:eastAsia="zh-CN"/>
        </w:rPr>
        <w:t>m</w:t>
      </w:r>
      <w:r>
        <w:rPr>
          <w:rFonts w:hint="default" w:ascii="Times New Roman" w:hAnsi="Times New Roman" w:cs="Times New Roman" w:eastAsiaTheme="minorEastAsia"/>
          <w:color w:val="auto"/>
          <w:w w:val="99"/>
          <w:highlight w:val="none"/>
          <w:lang w:val="en-US" w:eastAsia="zh-CN"/>
        </w:rPr>
        <w:t>）</w:t>
      </w:r>
      <w:r>
        <w:rPr>
          <w:rFonts w:hint="eastAsia" w:ascii="Times New Roman" w:hAnsi="Times New Roman" w:cs="Times New Roman" w:eastAsiaTheme="minorEastAsia"/>
          <w:color w:val="auto"/>
          <w:w w:val="99"/>
          <w:highlight w:val="none"/>
          <w:lang w:val="en-US" w:eastAsia="zh-CN"/>
        </w:rPr>
        <w:t>，在ArcGIS10.2软件支持下，进行数据解译、编绘成图，在此基础上，分析评价范围土地利用现状。</w:t>
      </w:r>
    </w:p>
    <w:p w14:paraId="2221C2A5">
      <w:pPr>
        <w:widowControl w:val="0"/>
        <w:spacing w:line="440" w:lineRule="exact"/>
        <w:ind w:firstLine="474" w:firstLineChars="200"/>
        <w:rPr>
          <w:rFonts w:hint="default" w:ascii="Times New Roman" w:hAnsi="Times New Roman" w:cs="Times New Roman" w:eastAsiaTheme="minorEastAsia"/>
          <w:color w:val="auto"/>
          <w:w w:val="99"/>
          <w:highlight w:val="none"/>
        </w:rPr>
      </w:pPr>
      <w:r>
        <w:rPr>
          <w:rFonts w:hint="default" w:ascii="Times New Roman" w:hAnsi="Times New Roman" w:cs="Times New Roman" w:eastAsiaTheme="minorEastAsia"/>
          <w:color w:val="auto"/>
          <w:w w:val="99"/>
          <w:highlight w:val="none"/>
          <w:lang w:val="en-US" w:eastAsia="zh-CN"/>
        </w:rPr>
        <w:t>本项目生态评价范围内主要以</w:t>
      </w:r>
      <w:r>
        <w:rPr>
          <w:rFonts w:hint="eastAsia" w:ascii="Times New Roman" w:hAnsi="Times New Roman" w:cs="Times New Roman" w:eastAsiaTheme="minorEastAsia"/>
          <w:color w:val="auto"/>
          <w:w w:val="99"/>
          <w:highlight w:val="none"/>
          <w:lang w:val="en-US" w:eastAsia="zh-CN"/>
        </w:rPr>
        <w:t>耕地（基本农田）</w:t>
      </w:r>
      <w:r>
        <w:rPr>
          <w:rFonts w:hint="default" w:ascii="Times New Roman" w:hAnsi="Times New Roman" w:cs="Times New Roman" w:eastAsiaTheme="minorEastAsia"/>
          <w:color w:val="auto"/>
          <w:w w:val="99"/>
          <w:highlight w:val="none"/>
          <w:lang w:val="en-US" w:eastAsia="zh-CN"/>
        </w:rPr>
        <w:t>为主。由于工程所在区域为已开发区，人类活动频繁，野生动物较少。</w:t>
      </w:r>
      <w:r>
        <w:rPr>
          <w:rFonts w:hint="default" w:ascii="Times New Roman" w:hAnsi="Times New Roman" w:cs="Times New Roman" w:eastAsiaTheme="minorEastAsia"/>
          <w:color w:val="auto"/>
          <w:w w:val="99"/>
          <w:highlight w:val="none"/>
        </w:rPr>
        <w:t>评价区总</w:t>
      </w:r>
      <w:r>
        <w:rPr>
          <w:rFonts w:hint="eastAsia" w:ascii="Times New Roman" w:hAnsi="Times New Roman" w:cs="Times New Roman" w:eastAsiaTheme="minorEastAsia"/>
          <w:color w:val="auto"/>
          <w:w w:val="99"/>
          <w:highlight w:val="none"/>
          <w:lang w:val="en-US" w:eastAsia="zh-CN"/>
        </w:rPr>
        <w:t>占地</w:t>
      </w:r>
      <w:r>
        <w:rPr>
          <w:rFonts w:hint="default" w:ascii="Times New Roman" w:hAnsi="Times New Roman" w:cs="Times New Roman" w:eastAsiaTheme="minorEastAsia"/>
          <w:color w:val="auto"/>
          <w:w w:val="99"/>
          <w:highlight w:val="none"/>
        </w:rPr>
        <w:t>面积</w:t>
      </w:r>
      <w:r>
        <w:rPr>
          <w:rFonts w:hint="eastAsia" w:ascii="Times New Roman" w:hAnsi="Times New Roman" w:cs="Times New Roman" w:eastAsiaTheme="minorEastAsia"/>
          <w:color w:val="auto"/>
          <w:w w:val="99"/>
          <w:highlight w:val="none"/>
          <w:lang w:val="en-US" w:eastAsia="zh-CN"/>
        </w:rPr>
        <w:t>约</w:t>
      </w:r>
      <w:r>
        <w:rPr>
          <w:rFonts w:hint="default" w:ascii="Times New Roman" w:hAnsi="Times New Roman" w:cs="Times New Roman" w:eastAsiaTheme="minorEastAsia"/>
          <w:color w:val="auto"/>
          <w:w w:val="99"/>
          <w:highlight w:val="none"/>
        </w:rPr>
        <w:t>为</w:t>
      </w:r>
      <w:r>
        <w:rPr>
          <w:rFonts w:hint="eastAsia" w:ascii="Times New Roman" w:hAnsi="Times New Roman" w:cs="Times New Roman" w:eastAsiaTheme="minorEastAsia"/>
          <w:color w:val="auto"/>
          <w:w w:val="99"/>
          <w:highlight w:val="none"/>
          <w:lang w:val="en-US" w:eastAsia="zh-CN"/>
        </w:rPr>
        <w:t>0.58</w:t>
      </w:r>
      <w:r>
        <w:rPr>
          <w:rFonts w:hint="default" w:ascii="Times New Roman" w:hAnsi="Times New Roman" w:cs="Times New Roman" w:eastAsiaTheme="minorEastAsia"/>
          <w:color w:val="auto"/>
          <w:w w:val="99"/>
          <w:highlight w:val="none"/>
        </w:rPr>
        <w:t>km</w:t>
      </w:r>
      <w:r>
        <w:rPr>
          <w:rFonts w:hint="default" w:ascii="Times New Roman" w:hAnsi="Times New Roman" w:cs="Times New Roman" w:eastAsiaTheme="minorEastAsia"/>
          <w:color w:val="auto"/>
          <w:w w:val="99"/>
          <w:highlight w:val="none"/>
          <w:vertAlign w:val="superscript"/>
        </w:rPr>
        <w:t>2</w:t>
      </w:r>
      <w:r>
        <w:rPr>
          <w:rFonts w:hint="default" w:ascii="Times New Roman" w:hAnsi="Times New Roman" w:cs="Times New Roman" w:eastAsiaTheme="minorEastAsia"/>
          <w:color w:val="auto"/>
          <w:w w:val="99"/>
          <w:highlight w:val="none"/>
        </w:rPr>
        <w:t>，土地利用结构大体可分</w:t>
      </w:r>
      <w:r>
        <w:rPr>
          <w:rFonts w:hint="eastAsia" w:ascii="Times New Roman" w:hAnsi="Times New Roman" w:cs="Times New Roman" w:eastAsiaTheme="minorEastAsia"/>
          <w:color w:val="auto"/>
          <w:w w:val="99"/>
          <w:highlight w:val="none"/>
          <w:lang w:val="en-US" w:eastAsia="zh-CN"/>
        </w:rPr>
        <w:t>5</w:t>
      </w:r>
      <w:r>
        <w:rPr>
          <w:rFonts w:hint="default" w:ascii="Times New Roman" w:hAnsi="Times New Roman" w:cs="Times New Roman" w:eastAsiaTheme="minorEastAsia"/>
          <w:color w:val="auto"/>
          <w:w w:val="99"/>
          <w:highlight w:val="none"/>
        </w:rPr>
        <w:t>个类型：</w:t>
      </w:r>
    </w:p>
    <w:p w14:paraId="1DC70A69">
      <w:pPr>
        <w:widowControl w:val="0"/>
        <w:spacing w:line="440" w:lineRule="exact"/>
        <w:ind w:firstLine="474" w:firstLineChars="200"/>
        <w:rPr>
          <w:rFonts w:hint="default" w:ascii="Times New Roman" w:hAnsi="Times New Roman" w:cs="Times New Roman" w:eastAsiaTheme="minorEastAsia"/>
          <w:color w:val="auto"/>
          <w:w w:val="99"/>
          <w:highlight w:val="none"/>
          <w:lang w:val="en-US" w:eastAsia="zh-CN"/>
        </w:rPr>
      </w:pPr>
      <w:r>
        <w:rPr>
          <w:rFonts w:hint="default" w:ascii="Times New Roman" w:hAnsi="Times New Roman" w:cs="Times New Roman" w:eastAsiaTheme="minorEastAsia"/>
          <w:color w:val="auto"/>
          <w:w w:val="99"/>
          <w:highlight w:val="none"/>
          <w:lang w:val="en-US" w:eastAsia="zh-CN"/>
        </w:rPr>
        <w:t>区域生态评价范围内土</w:t>
      </w:r>
      <w:r>
        <w:rPr>
          <w:rFonts w:hint="eastAsia" w:ascii="Times New Roman" w:hAnsi="Times New Roman" w:cs="Times New Roman" w:eastAsiaTheme="minorEastAsia"/>
          <w:color w:val="auto"/>
          <w:w w:val="99"/>
          <w:highlight w:val="none"/>
          <w:lang w:val="en-US" w:eastAsia="zh-CN"/>
        </w:rPr>
        <w:t>地</w:t>
      </w:r>
      <w:r>
        <w:rPr>
          <w:rFonts w:hint="default" w:ascii="Times New Roman" w:hAnsi="Times New Roman" w:cs="Times New Roman" w:eastAsiaTheme="minorEastAsia"/>
          <w:color w:val="auto"/>
          <w:w w:val="99"/>
          <w:highlight w:val="none"/>
          <w:lang w:val="en-US" w:eastAsia="zh-CN"/>
        </w:rPr>
        <w:t>利用现状见图</w:t>
      </w:r>
      <w:r>
        <w:rPr>
          <w:rFonts w:hint="eastAsia" w:ascii="Times New Roman" w:hAnsi="Times New Roman" w:cs="Times New Roman" w:eastAsiaTheme="minorEastAsia"/>
          <w:color w:val="auto"/>
          <w:w w:val="99"/>
          <w:highlight w:val="none"/>
          <w:lang w:val="en-US" w:eastAsia="zh-CN"/>
        </w:rPr>
        <w:t>附图9</w:t>
      </w:r>
      <w:r>
        <w:rPr>
          <w:rFonts w:hint="default" w:ascii="Times New Roman" w:hAnsi="Times New Roman" w:cs="Times New Roman" w:eastAsiaTheme="minorEastAsia"/>
          <w:color w:val="auto"/>
          <w:w w:val="99"/>
          <w:highlight w:val="none"/>
          <w:lang w:val="en-US" w:eastAsia="zh-CN"/>
        </w:rPr>
        <w:t>。</w:t>
      </w:r>
    </w:p>
    <w:p w14:paraId="43EF8968">
      <w:pPr>
        <w:widowControl w:val="0"/>
        <w:spacing w:line="440" w:lineRule="exact"/>
        <w:ind w:firstLine="476" w:firstLineChars="200"/>
        <w:rPr>
          <w:rFonts w:hint="default" w:ascii="Times New Roman" w:hAnsi="Times New Roman" w:cs="Times New Roman" w:eastAsiaTheme="minorEastAsia"/>
          <w:b/>
          <w:bCs/>
          <w:color w:val="auto"/>
          <w:w w:val="99"/>
          <w:highlight w:val="none"/>
          <w:lang w:val="en-US" w:eastAsia="zh-CN"/>
        </w:rPr>
      </w:pPr>
      <w:r>
        <w:rPr>
          <w:rFonts w:hint="default" w:ascii="Times New Roman" w:hAnsi="Times New Roman" w:cs="Times New Roman" w:eastAsiaTheme="minorEastAsia"/>
          <w:b/>
          <w:bCs/>
          <w:color w:val="auto"/>
          <w:w w:val="99"/>
          <w:highlight w:val="none"/>
          <w:lang w:val="en-US" w:eastAsia="zh-CN"/>
        </w:rPr>
        <w:t>表</w:t>
      </w:r>
      <w:r>
        <w:rPr>
          <w:rFonts w:hint="eastAsia" w:ascii="Times New Roman" w:hAnsi="Times New Roman" w:cs="Times New Roman" w:eastAsiaTheme="minorEastAsia"/>
          <w:b/>
          <w:bCs/>
          <w:color w:val="auto"/>
          <w:w w:val="99"/>
          <w:highlight w:val="none"/>
          <w:lang w:val="en-US" w:eastAsia="zh-CN"/>
        </w:rPr>
        <w:t xml:space="preserve">4.3-26   </w:t>
      </w:r>
      <w:r>
        <w:rPr>
          <w:rFonts w:hint="default" w:ascii="Times New Roman" w:hAnsi="Times New Roman" w:cs="Times New Roman" w:eastAsiaTheme="minorEastAsia"/>
          <w:b/>
          <w:bCs/>
          <w:color w:val="auto"/>
          <w:w w:val="99"/>
          <w:highlight w:val="none"/>
          <w:lang w:val="en-US" w:eastAsia="zh-CN"/>
        </w:rPr>
        <w:t>评价区土地利用结构</w:t>
      </w:r>
    </w:p>
    <w:tbl>
      <w:tblPr>
        <w:tblStyle w:val="8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4334"/>
        <w:gridCol w:w="2087"/>
        <w:gridCol w:w="1870"/>
      </w:tblGrid>
      <w:tr w14:paraId="6CFA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3" w:type="pct"/>
            <w:shd w:val="clear" w:color="auto" w:fill="auto"/>
            <w:vAlign w:val="center"/>
          </w:tcPr>
          <w:p w14:paraId="36F2548C">
            <w:pPr>
              <w:tabs>
                <w:tab w:val="left" w:pos="4154"/>
                <w:tab w:val="center" w:pos="8305"/>
              </w:tabs>
              <w:snapToGrid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序号</w:t>
            </w:r>
          </w:p>
        </w:tc>
        <w:tc>
          <w:tcPr>
            <w:tcW w:w="2334" w:type="pct"/>
            <w:shd w:val="clear" w:color="auto" w:fill="auto"/>
            <w:vAlign w:val="center"/>
          </w:tcPr>
          <w:p w14:paraId="01E90DF0">
            <w:pPr>
              <w:tabs>
                <w:tab w:val="left" w:pos="4154"/>
                <w:tab w:val="center" w:pos="8305"/>
              </w:tabs>
              <w:snapToGrid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地类</w:t>
            </w:r>
          </w:p>
        </w:tc>
        <w:tc>
          <w:tcPr>
            <w:tcW w:w="1124" w:type="pct"/>
            <w:shd w:val="clear" w:color="auto" w:fill="auto"/>
            <w:vAlign w:val="center"/>
          </w:tcPr>
          <w:p w14:paraId="01A0C85C">
            <w:pPr>
              <w:tabs>
                <w:tab w:val="left" w:pos="4154"/>
                <w:tab w:val="center" w:pos="8305"/>
              </w:tabs>
              <w:snapToGrid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面积（km</w:t>
            </w:r>
            <w:r>
              <w:rPr>
                <w:rFonts w:hint="eastAsia" w:ascii="Times New Roman" w:hAnsi="Times New Roman" w:cs="Times New Roman" w:eastAsiaTheme="minorEastAsia"/>
                <w:bCs/>
                <w:color w:val="auto"/>
                <w:w w:val="99"/>
                <w:kern w:val="2"/>
                <w:sz w:val="21"/>
                <w:szCs w:val="21"/>
                <w:highlight w:val="none"/>
                <w:vertAlign w:val="superscript"/>
                <w:lang w:val="en-US" w:eastAsia="zh-CN"/>
              </w:rPr>
              <w:t>2</w:t>
            </w:r>
            <w:r>
              <w:rPr>
                <w:rFonts w:hint="eastAsia" w:ascii="Times New Roman" w:hAnsi="Times New Roman" w:cs="Times New Roman" w:eastAsiaTheme="minorEastAsia"/>
                <w:bCs/>
                <w:color w:val="auto"/>
                <w:w w:val="99"/>
                <w:kern w:val="2"/>
                <w:sz w:val="21"/>
                <w:szCs w:val="21"/>
                <w:highlight w:val="none"/>
                <w:lang w:val="en-US" w:eastAsia="zh-CN"/>
              </w:rPr>
              <w:t>）</w:t>
            </w:r>
          </w:p>
        </w:tc>
        <w:tc>
          <w:tcPr>
            <w:tcW w:w="1007" w:type="pct"/>
            <w:shd w:val="clear" w:color="auto" w:fill="auto"/>
            <w:vAlign w:val="center"/>
          </w:tcPr>
          <w:p w14:paraId="3A552BF5">
            <w:pPr>
              <w:tabs>
                <w:tab w:val="left" w:pos="4154"/>
                <w:tab w:val="center" w:pos="8305"/>
              </w:tabs>
              <w:snapToGrid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比例（%）</w:t>
            </w:r>
          </w:p>
        </w:tc>
      </w:tr>
      <w:tr w14:paraId="05E4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533" w:type="pct"/>
            <w:shd w:val="clear" w:color="auto" w:fill="auto"/>
            <w:vAlign w:val="center"/>
          </w:tcPr>
          <w:p w14:paraId="7E3208EF">
            <w:pPr>
              <w:tabs>
                <w:tab w:val="left" w:pos="4154"/>
                <w:tab w:val="center" w:pos="8305"/>
              </w:tabs>
              <w:snapToGrid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1</w:t>
            </w:r>
          </w:p>
        </w:tc>
        <w:tc>
          <w:tcPr>
            <w:tcW w:w="2334" w:type="pct"/>
            <w:shd w:val="clear" w:color="auto" w:fill="auto"/>
            <w:vAlign w:val="center"/>
          </w:tcPr>
          <w:p w14:paraId="18DACB1D">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建设用地</w:t>
            </w:r>
          </w:p>
        </w:tc>
        <w:tc>
          <w:tcPr>
            <w:tcW w:w="1124" w:type="pct"/>
            <w:shd w:val="clear" w:color="auto" w:fill="auto"/>
            <w:vAlign w:val="center"/>
          </w:tcPr>
          <w:p w14:paraId="12BD3541">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0.067</w:t>
            </w:r>
          </w:p>
        </w:tc>
        <w:tc>
          <w:tcPr>
            <w:tcW w:w="1870" w:type="dxa"/>
            <w:shd w:val="clear" w:color="auto" w:fill="auto"/>
            <w:vAlign w:val="center"/>
          </w:tcPr>
          <w:p w14:paraId="5A11BB71">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5.45 </w:t>
            </w:r>
          </w:p>
        </w:tc>
      </w:tr>
      <w:tr w14:paraId="04D8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3" w:type="pct"/>
            <w:shd w:val="clear" w:color="auto" w:fill="auto"/>
            <w:vAlign w:val="center"/>
          </w:tcPr>
          <w:p w14:paraId="3C3555A8">
            <w:pPr>
              <w:tabs>
                <w:tab w:val="left" w:pos="4154"/>
                <w:tab w:val="center" w:pos="8305"/>
              </w:tabs>
              <w:snapToGrid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2</w:t>
            </w:r>
          </w:p>
        </w:tc>
        <w:tc>
          <w:tcPr>
            <w:tcW w:w="2334" w:type="pct"/>
            <w:shd w:val="clear" w:color="auto" w:fill="auto"/>
            <w:vAlign w:val="center"/>
          </w:tcPr>
          <w:p w14:paraId="5DC2EE7A">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道路</w:t>
            </w:r>
          </w:p>
        </w:tc>
        <w:tc>
          <w:tcPr>
            <w:tcW w:w="1124" w:type="pct"/>
            <w:shd w:val="clear" w:color="auto" w:fill="auto"/>
            <w:vAlign w:val="center"/>
          </w:tcPr>
          <w:p w14:paraId="10C9A962">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0.001</w:t>
            </w:r>
          </w:p>
        </w:tc>
        <w:tc>
          <w:tcPr>
            <w:tcW w:w="1870" w:type="dxa"/>
            <w:shd w:val="clear" w:color="auto" w:fill="auto"/>
            <w:vAlign w:val="center"/>
          </w:tcPr>
          <w:p w14:paraId="01A24359">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0.08 </w:t>
            </w:r>
          </w:p>
        </w:tc>
      </w:tr>
      <w:tr w14:paraId="40ED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3" w:type="pct"/>
            <w:shd w:val="clear" w:color="auto" w:fill="auto"/>
            <w:vAlign w:val="center"/>
          </w:tcPr>
          <w:p w14:paraId="705D865D">
            <w:pPr>
              <w:tabs>
                <w:tab w:val="left" w:pos="4154"/>
                <w:tab w:val="center" w:pos="8305"/>
              </w:tabs>
              <w:snapToGrid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3</w:t>
            </w:r>
          </w:p>
        </w:tc>
        <w:tc>
          <w:tcPr>
            <w:tcW w:w="2334" w:type="pct"/>
            <w:shd w:val="clear" w:color="auto" w:fill="auto"/>
            <w:vAlign w:val="center"/>
          </w:tcPr>
          <w:p w14:paraId="71375A0E">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旱地</w:t>
            </w:r>
          </w:p>
        </w:tc>
        <w:tc>
          <w:tcPr>
            <w:tcW w:w="1124" w:type="pct"/>
            <w:shd w:val="clear" w:color="auto" w:fill="auto"/>
            <w:vAlign w:val="center"/>
          </w:tcPr>
          <w:p w14:paraId="402B4CAD">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1.089</w:t>
            </w:r>
          </w:p>
        </w:tc>
        <w:tc>
          <w:tcPr>
            <w:tcW w:w="1870" w:type="dxa"/>
            <w:shd w:val="clear" w:color="auto" w:fill="auto"/>
            <w:vAlign w:val="center"/>
          </w:tcPr>
          <w:p w14:paraId="1D636CB7">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88.54 </w:t>
            </w:r>
          </w:p>
        </w:tc>
      </w:tr>
      <w:tr w14:paraId="018D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3" w:type="pct"/>
            <w:shd w:val="clear" w:color="auto" w:fill="auto"/>
            <w:vAlign w:val="center"/>
          </w:tcPr>
          <w:p w14:paraId="479EEED7">
            <w:pPr>
              <w:tabs>
                <w:tab w:val="left" w:pos="4154"/>
                <w:tab w:val="center" w:pos="8305"/>
              </w:tabs>
              <w:snapToGrid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4</w:t>
            </w:r>
          </w:p>
        </w:tc>
        <w:tc>
          <w:tcPr>
            <w:tcW w:w="2334" w:type="pct"/>
            <w:shd w:val="clear" w:color="auto" w:fill="auto"/>
            <w:vAlign w:val="center"/>
          </w:tcPr>
          <w:p w14:paraId="6D5A0608">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林地</w:t>
            </w:r>
          </w:p>
        </w:tc>
        <w:tc>
          <w:tcPr>
            <w:tcW w:w="1124" w:type="pct"/>
            <w:shd w:val="clear" w:color="auto" w:fill="auto"/>
            <w:vAlign w:val="center"/>
          </w:tcPr>
          <w:p w14:paraId="040D15EC">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0.073</w:t>
            </w:r>
          </w:p>
        </w:tc>
        <w:tc>
          <w:tcPr>
            <w:tcW w:w="1870" w:type="dxa"/>
            <w:shd w:val="clear" w:color="auto" w:fill="auto"/>
            <w:vAlign w:val="center"/>
          </w:tcPr>
          <w:p w14:paraId="2089A4C0">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 xml:space="preserve">5.93 </w:t>
            </w:r>
          </w:p>
        </w:tc>
      </w:tr>
      <w:tr w14:paraId="23AF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3" w:type="pct"/>
            <w:shd w:val="clear" w:color="auto" w:fill="auto"/>
            <w:vAlign w:val="center"/>
          </w:tcPr>
          <w:p w14:paraId="092AD345">
            <w:pPr>
              <w:tabs>
                <w:tab w:val="left" w:pos="4154"/>
                <w:tab w:val="center" w:pos="8305"/>
              </w:tabs>
              <w:snapToGrid w:val="0"/>
              <w:spacing w:line="320" w:lineRule="exact"/>
              <w:jc w:val="center"/>
              <w:rPr>
                <w:rFonts w:hint="eastAsia" w:ascii="Times New Roman" w:hAnsi="Times New Roman" w:cs="Times New Roman" w:eastAsiaTheme="minorEastAsia"/>
                <w:bCs/>
                <w:color w:val="auto"/>
                <w:w w:val="99"/>
                <w:kern w:val="2"/>
                <w:sz w:val="21"/>
                <w:szCs w:val="21"/>
                <w:highlight w:val="none"/>
                <w:lang w:val="en-US" w:eastAsia="zh-CN" w:bidi="ar-SA"/>
              </w:rPr>
            </w:pPr>
            <w:r>
              <w:rPr>
                <w:rFonts w:hint="eastAsia" w:ascii="Times New Roman" w:hAnsi="Times New Roman" w:cs="Times New Roman" w:eastAsiaTheme="minorEastAsia"/>
                <w:bCs/>
                <w:color w:val="auto"/>
                <w:w w:val="99"/>
                <w:kern w:val="2"/>
                <w:sz w:val="21"/>
                <w:szCs w:val="21"/>
                <w:highlight w:val="none"/>
                <w:lang w:val="en-US" w:eastAsia="zh-CN"/>
              </w:rPr>
              <w:t>5</w:t>
            </w:r>
          </w:p>
        </w:tc>
        <w:tc>
          <w:tcPr>
            <w:tcW w:w="2334" w:type="pct"/>
            <w:shd w:val="clear" w:color="auto" w:fill="auto"/>
            <w:vAlign w:val="center"/>
          </w:tcPr>
          <w:p w14:paraId="1C0212A2">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合计</w:t>
            </w:r>
          </w:p>
        </w:tc>
        <w:tc>
          <w:tcPr>
            <w:tcW w:w="1124" w:type="pct"/>
            <w:shd w:val="clear" w:color="auto" w:fill="auto"/>
            <w:vAlign w:val="center"/>
          </w:tcPr>
          <w:p w14:paraId="56B20348">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1.23</w:t>
            </w:r>
          </w:p>
        </w:tc>
        <w:tc>
          <w:tcPr>
            <w:tcW w:w="1007" w:type="pct"/>
            <w:shd w:val="clear" w:color="auto" w:fill="auto"/>
            <w:vAlign w:val="center"/>
          </w:tcPr>
          <w:p w14:paraId="564AA398">
            <w:pPr>
              <w:tabs>
                <w:tab w:val="left" w:pos="4154"/>
                <w:tab w:val="center" w:pos="8305"/>
              </w:tabs>
              <w:snapToGrid w:val="0"/>
              <w:spacing w:line="320" w:lineRule="exact"/>
              <w:jc w:val="center"/>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100</w:t>
            </w:r>
          </w:p>
        </w:tc>
      </w:tr>
    </w:tbl>
    <w:p w14:paraId="5F3D0D5E">
      <w:pPr>
        <w:keepNext w:val="0"/>
        <w:keepLines w:val="0"/>
        <w:pageBreakBefore w:val="0"/>
        <w:widowControl w:val="0"/>
        <w:kinsoku/>
        <w:wordWrap/>
        <w:overflowPunct/>
        <w:topLinePunct w:val="0"/>
        <w:autoSpaceDE/>
        <w:autoSpaceDN/>
        <w:bidi w:val="0"/>
        <w:adjustRightInd w:val="0"/>
        <w:snapToGrid w:val="0"/>
        <w:spacing w:after="0" w:line="480" w:lineRule="exact"/>
        <w:ind w:firstLine="474" w:firstLineChars="200"/>
        <w:jc w:val="both"/>
        <w:textAlignment w:val="auto"/>
        <w:rPr>
          <w:rFonts w:ascii="Times New Roman" w:hAnsi="Times New Roman" w:eastAsia="宋体" w:cs="Times New Roman"/>
          <w:b/>
          <w:color w:val="auto"/>
          <w:kern w:val="2"/>
          <w:sz w:val="24"/>
          <w:szCs w:val="24"/>
          <w:highlight w:val="none"/>
          <w:lang w:val="en-US" w:eastAsia="zh-CN" w:bidi="ar-SA"/>
        </w:rPr>
      </w:pPr>
      <w:r>
        <w:rPr>
          <w:rFonts w:hint="default" w:ascii="Times New Roman" w:hAnsi="Times New Roman" w:cs="Times New Roman" w:eastAsiaTheme="minorEastAsia"/>
          <w:color w:val="auto"/>
          <w:w w:val="99"/>
          <w:highlight w:val="none"/>
        </w:rPr>
        <w:t>从表中可以看出，本评价区内</w:t>
      </w:r>
      <w:r>
        <w:rPr>
          <w:rFonts w:hint="eastAsia" w:ascii="Times New Roman" w:hAnsi="Times New Roman" w:cs="Times New Roman" w:eastAsiaTheme="minorEastAsia"/>
          <w:color w:val="auto"/>
          <w:w w:val="99"/>
          <w:highlight w:val="none"/>
          <w:lang w:val="en-US" w:eastAsia="zh-CN"/>
        </w:rPr>
        <w:t>耕地</w:t>
      </w:r>
      <w:r>
        <w:rPr>
          <w:rFonts w:hint="default" w:ascii="Times New Roman" w:hAnsi="Times New Roman" w:cs="Times New Roman" w:eastAsiaTheme="minorEastAsia"/>
          <w:color w:val="auto"/>
          <w:w w:val="99"/>
          <w:highlight w:val="none"/>
        </w:rPr>
        <w:t>占主要地位，面积为</w:t>
      </w:r>
      <w:r>
        <w:rPr>
          <w:rFonts w:hint="eastAsia" w:ascii="Times New Roman" w:hAnsi="Times New Roman" w:cs="Times New Roman" w:eastAsiaTheme="minorEastAsia"/>
          <w:color w:val="auto"/>
          <w:w w:val="99"/>
          <w:highlight w:val="none"/>
          <w:lang w:val="en-US" w:eastAsia="zh-CN"/>
        </w:rPr>
        <w:t>2.908</w:t>
      </w:r>
      <w:r>
        <w:rPr>
          <w:rFonts w:hint="default" w:ascii="Times New Roman" w:hAnsi="Times New Roman" w:cs="Times New Roman" w:eastAsiaTheme="minorEastAsia"/>
          <w:color w:val="auto"/>
          <w:w w:val="99"/>
          <w:highlight w:val="none"/>
        </w:rPr>
        <w:t>km</w:t>
      </w:r>
      <w:r>
        <w:rPr>
          <w:rFonts w:hint="default" w:ascii="Times New Roman" w:hAnsi="Times New Roman" w:cs="Times New Roman" w:eastAsiaTheme="minorEastAsia"/>
          <w:color w:val="auto"/>
          <w:w w:val="99"/>
          <w:highlight w:val="none"/>
          <w:vertAlign w:val="superscript"/>
        </w:rPr>
        <w:t>2</w:t>
      </w:r>
      <w:r>
        <w:rPr>
          <w:rFonts w:hint="default" w:ascii="Times New Roman" w:hAnsi="Times New Roman" w:cs="Times New Roman" w:eastAsiaTheme="minorEastAsia"/>
          <w:color w:val="auto"/>
          <w:w w:val="99"/>
          <w:highlight w:val="none"/>
        </w:rPr>
        <w:t>，占评价区总体面积的</w:t>
      </w:r>
      <w:r>
        <w:rPr>
          <w:rFonts w:hint="eastAsia" w:ascii="Times New Roman" w:hAnsi="Times New Roman" w:cs="Times New Roman" w:eastAsiaTheme="minorEastAsia"/>
          <w:color w:val="auto"/>
          <w:w w:val="99"/>
          <w:highlight w:val="none"/>
          <w:lang w:val="en-US" w:eastAsia="zh-CN"/>
        </w:rPr>
        <w:t>90.65</w:t>
      </w:r>
      <w:r>
        <w:rPr>
          <w:rFonts w:hint="eastAsia"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lang w:eastAsia="zh-CN"/>
        </w:rPr>
        <w:t>，</w:t>
      </w:r>
      <w:r>
        <w:rPr>
          <w:rFonts w:hint="eastAsia" w:ascii="Times New Roman" w:hAnsi="Times New Roman" w:cs="Times New Roman" w:eastAsiaTheme="minorEastAsia"/>
          <w:color w:val="auto"/>
          <w:w w:val="99"/>
          <w:highlight w:val="none"/>
          <w:lang w:val="en-US" w:eastAsia="zh-CN"/>
        </w:rPr>
        <w:t>其他类型占地</w:t>
      </w:r>
      <w:r>
        <w:rPr>
          <w:rFonts w:hint="default" w:ascii="Times New Roman" w:hAnsi="Times New Roman" w:cs="Times New Roman" w:eastAsiaTheme="minorEastAsia"/>
          <w:color w:val="auto"/>
          <w:w w:val="99"/>
          <w:highlight w:val="none"/>
        </w:rPr>
        <w:t>占评价区总面积的比例较小。</w:t>
      </w:r>
    </w:p>
    <w:p w14:paraId="2297743F">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4.3.6.</w:t>
      </w:r>
      <w:r>
        <w:rPr>
          <w:rFonts w:hint="eastAsia" w:ascii="Times New Roman" w:hAnsi="Times New Roman" w:cs="Times New Roman"/>
          <w:b/>
          <w:color w:val="auto"/>
          <w:w w:val="99"/>
          <w:highlight w:val="none"/>
          <w:lang w:val="en-US" w:eastAsia="zh-CN"/>
        </w:rPr>
        <w:t>4区域陆生</w:t>
      </w:r>
      <w:r>
        <w:rPr>
          <w:rFonts w:hint="default" w:ascii="Times New Roman" w:hAnsi="Times New Roman" w:cs="Times New Roman"/>
          <w:b/>
          <w:color w:val="auto"/>
          <w:w w:val="99"/>
          <w:highlight w:val="none"/>
          <w:lang w:val="en-US" w:eastAsia="zh-CN"/>
        </w:rPr>
        <w:t>植被现状调查</w:t>
      </w:r>
    </w:p>
    <w:p w14:paraId="2C14A011">
      <w:pPr>
        <w:pStyle w:val="32"/>
        <w:keepNext w:val="0"/>
        <w:keepLines w:val="0"/>
        <w:pageBreakBefore w:val="0"/>
        <w:widowControl/>
        <w:kinsoku/>
        <w:wordWrap/>
        <w:overflowPunct/>
        <w:topLinePunct w:val="0"/>
        <w:autoSpaceDE/>
        <w:autoSpaceDN/>
        <w:bidi w:val="0"/>
        <w:adjustRightInd/>
        <w:snapToGrid/>
        <w:spacing w:after="0" w:line="440" w:lineRule="exact"/>
        <w:ind w:left="0" w:leftChars="0" w:firstLine="474" w:firstLineChars="200"/>
        <w:jc w:val="both"/>
        <w:textAlignment w:val="auto"/>
        <w:rPr>
          <w:rFonts w:ascii="Times New Roman" w:hAnsi="Times New Roman" w:cs="Times New Roman" w:eastAsiaTheme="minorEastAsia"/>
          <w:color w:val="auto"/>
          <w:spacing w:val="0"/>
          <w:w w:val="99"/>
          <w:sz w:val="24"/>
          <w:szCs w:val="24"/>
          <w:highlight w:val="none"/>
          <w:lang w:val="en-US" w:eastAsia="zh-CN" w:bidi="ar-SA"/>
        </w:rPr>
      </w:pPr>
      <w:r>
        <w:rPr>
          <w:rFonts w:ascii="Times New Roman" w:hAnsi="Times New Roman" w:cs="Times New Roman" w:eastAsiaTheme="minorEastAsia"/>
          <w:color w:val="auto"/>
          <w:spacing w:val="0"/>
          <w:w w:val="99"/>
          <w:sz w:val="24"/>
          <w:szCs w:val="24"/>
          <w:highlight w:val="none"/>
          <w:lang w:val="en-US" w:eastAsia="zh-CN" w:bidi="ar-SA"/>
        </w:rPr>
        <w:t>经过实地考察与参考相关资料，评价区的植被分类系统、主要植被情况见表4.3-</w:t>
      </w:r>
      <w:r>
        <w:rPr>
          <w:rFonts w:hint="eastAsia" w:ascii="Times New Roman" w:hAnsi="Times New Roman" w:cs="Times New Roman" w:eastAsiaTheme="minorEastAsia"/>
          <w:color w:val="auto"/>
          <w:spacing w:val="0"/>
          <w:w w:val="99"/>
          <w:sz w:val="24"/>
          <w:szCs w:val="24"/>
          <w:highlight w:val="none"/>
          <w:lang w:val="en-US" w:eastAsia="zh-CN" w:bidi="ar-SA"/>
        </w:rPr>
        <w:t>27</w:t>
      </w:r>
      <w:r>
        <w:rPr>
          <w:rFonts w:ascii="Times New Roman" w:hAnsi="Times New Roman" w:cs="Times New Roman" w:eastAsiaTheme="minorEastAsia"/>
          <w:color w:val="auto"/>
          <w:spacing w:val="0"/>
          <w:w w:val="99"/>
          <w:sz w:val="24"/>
          <w:szCs w:val="24"/>
          <w:highlight w:val="none"/>
          <w:lang w:val="en-US" w:eastAsia="zh-CN" w:bidi="ar-SA"/>
        </w:rPr>
        <w:t>。</w:t>
      </w:r>
    </w:p>
    <w:p w14:paraId="7B23B4D6">
      <w:pPr>
        <w:pStyle w:val="32"/>
        <w:keepNext w:val="0"/>
        <w:keepLines w:val="0"/>
        <w:pageBreakBefore w:val="0"/>
        <w:widowControl/>
        <w:kinsoku/>
        <w:wordWrap/>
        <w:overflowPunct/>
        <w:topLinePunct w:val="0"/>
        <w:autoSpaceDE/>
        <w:autoSpaceDN/>
        <w:bidi w:val="0"/>
        <w:adjustRightInd/>
        <w:snapToGrid/>
        <w:spacing w:after="0" w:line="440" w:lineRule="exact"/>
        <w:ind w:left="0" w:leftChars="0" w:firstLine="476" w:firstLineChars="200"/>
        <w:jc w:val="both"/>
        <w:textAlignment w:val="auto"/>
        <w:rPr>
          <w:rFonts w:ascii="Times New Roman" w:hAnsi="Times New Roman" w:cs="Times New Roman" w:eastAsiaTheme="minorEastAsia"/>
          <w:b/>
          <w:bCs/>
          <w:color w:val="auto"/>
          <w:spacing w:val="0"/>
          <w:w w:val="99"/>
          <w:sz w:val="24"/>
          <w:szCs w:val="24"/>
          <w:highlight w:val="none"/>
          <w:lang w:val="en-US" w:eastAsia="zh-CN" w:bidi="ar-SA"/>
        </w:rPr>
      </w:pPr>
      <w:r>
        <w:rPr>
          <w:rFonts w:ascii="Times New Roman" w:hAnsi="Times New Roman" w:cs="Times New Roman" w:eastAsiaTheme="minorEastAsia"/>
          <w:b/>
          <w:bCs/>
          <w:color w:val="auto"/>
          <w:spacing w:val="0"/>
          <w:w w:val="99"/>
          <w:sz w:val="24"/>
          <w:szCs w:val="24"/>
          <w:highlight w:val="none"/>
          <w:lang w:val="en-US" w:eastAsia="zh-CN" w:bidi="ar-SA"/>
        </w:rPr>
        <w:t>表4.3-</w:t>
      </w:r>
      <w:r>
        <w:rPr>
          <w:rFonts w:hint="eastAsia" w:ascii="Times New Roman" w:hAnsi="Times New Roman" w:cs="Times New Roman" w:eastAsiaTheme="minorEastAsia"/>
          <w:b/>
          <w:bCs/>
          <w:color w:val="auto"/>
          <w:spacing w:val="0"/>
          <w:w w:val="99"/>
          <w:sz w:val="24"/>
          <w:szCs w:val="24"/>
          <w:highlight w:val="none"/>
          <w:lang w:val="en-US" w:eastAsia="zh-CN" w:bidi="ar-SA"/>
        </w:rPr>
        <w:t xml:space="preserve">27  </w:t>
      </w:r>
      <w:r>
        <w:rPr>
          <w:rFonts w:ascii="Times New Roman" w:hAnsi="Times New Roman" w:cs="Times New Roman" w:eastAsiaTheme="minorEastAsia"/>
          <w:b/>
          <w:bCs/>
          <w:color w:val="auto"/>
          <w:spacing w:val="0"/>
          <w:w w:val="99"/>
          <w:sz w:val="24"/>
          <w:szCs w:val="24"/>
          <w:highlight w:val="none"/>
          <w:lang w:val="en-US" w:eastAsia="zh-CN" w:bidi="ar-SA"/>
        </w:rPr>
        <w:t>评价区主要植被类型</w:t>
      </w:r>
    </w:p>
    <w:tbl>
      <w:tblPr>
        <w:tblStyle w:val="80"/>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415"/>
        <w:gridCol w:w="1443"/>
        <w:gridCol w:w="2069"/>
        <w:gridCol w:w="4356"/>
      </w:tblGrid>
      <w:tr w14:paraId="107BA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exact"/>
          <w:jc w:val="center"/>
        </w:trPr>
        <w:tc>
          <w:tcPr>
            <w:tcW w:w="762" w:type="pct"/>
            <w:noWrap w:val="0"/>
            <w:vAlign w:val="center"/>
          </w:tcPr>
          <w:p w14:paraId="5581E19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植被型组</w:t>
            </w:r>
          </w:p>
        </w:tc>
        <w:tc>
          <w:tcPr>
            <w:tcW w:w="777" w:type="pct"/>
            <w:noWrap w:val="0"/>
            <w:vAlign w:val="center"/>
          </w:tcPr>
          <w:p w14:paraId="4A858F7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植被型</w:t>
            </w:r>
          </w:p>
        </w:tc>
        <w:tc>
          <w:tcPr>
            <w:tcW w:w="1114" w:type="pct"/>
            <w:noWrap w:val="0"/>
            <w:vAlign w:val="center"/>
          </w:tcPr>
          <w:p w14:paraId="424D36A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群丛</w:t>
            </w:r>
          </w:p>
        </w:tc>
        <w:tc>
          <w:tcPr>
            <w:tcW w:w="2345" w:type="pct"/>
            <w:noWrap w:val="0"/>
            <w:vAlign w:val="center"/>
          </w:tcPr>
          <w:p w14:paraId="2D239A7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eastAsiaTheme="minorEastAsia"/>
                <w:color w:val="auto"/>
                <w:w w:val="99"/>
                <w:sz w:val="21"/>
                <w:szCs w:val="21"/>
                <w:highlight w:val="none"/>
              </w:rPr>
            </w:pPr>
            <w:bookmarkStart w:id="785" w:name="_Toc308801028"/>
            <w:bookmarkStart w:id="786" w:name="_Toc21665"/>
            <w:bookmarkStart w:id="787" w:name="_Toc309557369"/>
            <w:bookmarkStart w:id="788" w:name="_Toc308794890"/>
            <w:bookmarkStart w:id="789" w:name="_Toc309391233"/>
            <w:bookmarkStart w:id="790" w:name="_Toc1559"/>
            <w:r>
              <w:rPr>
                <w:rFonts w:ascii="Times New Roman" w:hAnsi="Times New Roman" w:cs="Times New Roman" w:eastAsiaTheme="minorEastAsia"/>
                <w:color w:val="auto"/>
                <w:w w:val="99"/>
                <w:sz w:val="21"/>
                <w:szCs w:val="21"/>
                <w:highlight w:val="none"/>
              </w:rPr>
              <w:t>群丛拉丁名</w:t>
            </w:r>
            <w:bookmarkEnd w:id="785"/>
            <w:bookmarkEnd w:id="786"/>
            <w:bookmarkEnd w:id="787"/>
            <w:bookmarkEnd w:id="788"/>
            <w:bookmarkEnd w:id="789"/>
            <w:bookmarkEnd w:id="790"/>
          </w:p>
        </w:tc>
      </w:tr>
      <w:tr w14:paraId="5D960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exact"/>
          <w:jc w:val="center"/>
        </w:trPr>
        <w:tc>
          <w:tcPr>
            <w:tcW w:w="762" w:type="pct"/>
            <w:noWrap w:val="0"/>
            <w:vAlign w:val="center"/>
          </w:tcPr>
          <w:p w14:paraId="5E3F55F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eastAsiaTheme="minorEastAsia"/>
                <w:color w:val="auto"/>
                <w:w w:val="99"/>
                <w:sz w:val="21"/>
                <w:szCs w:val="21"/>
                <w:highlight w:val="none"/>
                <w:lang w:val="pt-BR"/>
              </w:rPr>
            </w:pPr>
            <w:r>
              <w:rPr>
                <w:rFonts w:ascii="Times New Roman" w:hAnsi="Times New Roman" w:cs="Times New Roman" w:eastAsiaTheme="minorEastAsia"/>
                <w:color w:val="auto"/>
                <w:w w:val="99"/>
                <w:sz w:val="21"/>
                <w:szCs w:val="21"/>
                <w:highlight w:val="none"/>
              </w:rPr>
              <w:t>农业植被</w:t>
            </w:r>
          </w:p>
        </w:tc>
        <w:tc>
          <w:tcPr>
            <w:tcW w:w="777" w:type="pct"/>
            <w:noWrap w:val="0"/>
            <w:vAlign w:val="center"/>
          </w:tcPr>
          <w:p w14:paraId="02113D3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eastAsiaTheme="minorEastAsia"/>
                <w:color w:val="auto"/>
                <w:w w:val="99"/>
                <w:sz w:val="21"/>
                <w:szCs w:val="21"/>
                <w:highlight w:val="none"/>
                <w:lang w:val="pt-BR"/>
              </w:rPr>
            </w:pPr>
            <w:r>
              <w:rPr>
                <w:rFonts w:ascii="Times New Roman" w:hAnsi="Times New Roman" w:cs="Times New Roman" w:eastAsiaTheme="minorEastAsia"/>
                <w:color w:val="auto"/>
                <w:w w:val="99"/>
                <w:sz w:val="21"/>
                <w:szCs w:val="21"/>
                <w:highlight w:val="none"/>
              </w:rPr>
              <w:t>农作物</w:t>
            </w:r>
          </w:p>
        </w:tc>
        <w:tc>
          <w:tcPr>
            <w:tcW w:w="3459" w:type="pct"/>
            <w:gridSpan w:val="2"/>
            <w:noWrap w:val="0"/>
            <w:vAlign w:val="center"/>
          </w:tcPr>
          <w:p w14:paraId="7C68463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cs="Times New Roman" w:eastAsiaTheme="minorEastAsia"/>
                <w:color w:val="auto"/>
                <w:w w:val="99"/>
                <w:sz w:val="21"/>
                <w:szCs w:val="21"/>
                <w:highlight w:val="none"/>
                <w:lang w:val="pt-BR"/>
              </w:rPr>
            </w:pPr>
            <w:bookmarkStart w:id="791" w:name="_Toc309391242"/>
            <w:bookmarkStart w:id="792" w:name="_Toc308801037"/>
            <w:bookmarkStart w:id="793" w:name="_Toc308794899"/>
            <w:bookmarkStart w:id="794" w:name="_Toc309557378"/>
            <w:bookmarkStart w:id="795" w:name="_Toc26358"/>
            <w:bookmarkStart w:id="796" w:name="_Toc6083"/>
            <w:r>
              <w:rPr>
                <w:rFonts w:ascii="Times New Roman" w:hAnsi="Times New Roman" w:cs="Times New Roman" w:eastAsiaTheme="minorEastAsia"/>
                <w:color w:val="auto"/>
                <w:w w:val="99"/>
                <w:sz w:val="21"/>
                <w:szCs w:val="21"/>
                <w:highlight w:val="none"/>
              </w:rPr>
              <w:t>粮食作物</w:t>
            </w:r>
            <w:r>
              <w:rPr>
                <w:rFonts w:ascii="Times New Roman" w:hAnsi="Times New Roman" w:cs="Times New Roman" w:eastAsiaTheme="minorEastAsia"/>
                <w:color w:val="auto"/>
                <w:w w:val="99"/>
                <w:sz w:val="21"/>
                <w:szCs w:val="21"/>
                <w:highlight w:val="none"/>
                <w:lang w:val="pt-BR"/>
              </w:rPr>
              <w:t>：</w:t>
            </w:r>
            <w:bookmarkEnd w:id="791"/>
            <w:bookmarkEnd w:id="792"/>
            <w:bookmarkEnd w:id="793"/>
            <w:bookmarkEnd w:id="794"/>
            <w:r>
              <w:rPr>
                <w:rFonts w:ascii="Times New Roman" w:hAnsi="Times New Roman" w:cs="Times New Roman" w:eastAsiaTheme="minorEastAsia"/>
                <w:color w:val="auto"/>
                <w:w w:val="99"/>
                <w:sz w:val="21"/>
                <w:szCs w:val="21"/>
                <w:highlight w:val="none"/>
              </w:rPr>
              <w:t>玉米</w:t>
            </w:r>
            <w:bookmarkEnd w:id="795"/>
            <w:bookmarkEnd w:id="796"/>
          </w:p>
        </w:tc>
      </w:tr>
    </w:tbl>
    <w:p w14:paraId="67282575">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ascii="Times New Roman" w:hAnsi="Times New Roman" w:cs="Times New Roman" w:eastAsiaTheme="minorEastAsia"/>
          <w:color w:val="auto"/>
          <w:spacing w:val="0"/>
          <w:w w:val="99"/>
          <w:sz w:val="24"/>
          <w:szCs w:val="24"/>
          <w:highlight w:val="none"/>
          <w:lang w:val="en-US" w:eastAsia="zh-CN" w:bidi="ar-SA"/>
        </w:rPr>
      </w:pPr>
      <w:r>
        <w:rPr>
          <w:rFonts w:ascii="Times New Roman" w:hAnsi="Times New Roman" w:cs="Times New Roman" w:eastAsiaTheme="minorEastAsia"/>
          <w:color w:val="auto"/>
          <w:spacing w:val="0"/>
          <w:w w:val="99"/>
          <w:sz w:val="24"/>
          <w:szCs w:val="24"/>
          <w:highlight w:val="none"/>
          <w:lang w:val="en-US" w:eastAsia="zh-CN" w:bidi="ar-SA"/>
        </w:rPr>
        <w:t>评价区属于松嫩平原区，农耕历史悠久，栽培植被是最重要的植被类型，为人工种植的各种农作物。区域中农作物主要以玉米为主。玉米是一年生</w:t>
      </w:r>
      <w:r>
        <w:rPr>
          <w:rFonts w:ascii="Times New Roman" w:hAnsi="Times New Roman" w:cs="Times New Roman" w:eastAsiaTheme="minorEastAsia"/>
          <w:color w:val="auto"/>
          <w:spacing w:val="0"/>
          <w:w w:val="99"/>
          <w:sz w:val="24"/>
          <w:szCs w:val="24"/>
          <w:highlight w:val="none"/>
          <w:lang w:val="en-US" w:eastAsia="zh-CN" w:bidi="ar-SA"/>
        </w:rPr>
        <w:fldChar w:fldCharType="begin"/>
      </w:r>
      <w:r>
        <w:rPr>
          <w:rFonts w:ascii="Times New Roman" w:hAnsi="Times New Roman" w:cs="Times New Roman" w:eastAsiaTheme="minorEastAsia"/>
          <w:color w:val="auto"/>
          <w:spacing w:val="0"/>
          <w:w w:val="99"/>
          <w:sz w:val="24"/>
          <w:szCs w:val="24"/>
          <w:highlight w:val="none"/>
          <w:lang w:val="en-US" w:eastAsia="zh-CN" w:bidi="ar-SA"/>
        </w:rPr>
        <w:instrText xml:space="preserve"> HYPERLINK "http://baike.baidu.com/view/39012.htm" </w:instrText>
      </w:r>
      <w:r>
        <w:rPr>
          <w:rFonts w:ascii="Times New Roman" w:hAnsi="Times New Roman" w:cs="Times New Roman" w:eastAsiaTheme="minorEastAsia"/>
          <w:color w:val="auto"/>
          <w:spacing w:val="0"/>
          <w:w w:val="99"/>
          <w:sz w:val="24"/>
          <w:szCs w:val="24"/>
          <w:highlight w:val="none"/>
          <w:lang w:val="en-US" w:eastAsia="zh-CN" w:bidi="ar-SA"/>
        </w:rPr>
        <w:fldChar w:fldCharType="separate"/>
      </w:r>
      <w:r>
        <w:rPr>
          <w:rFonts w:ascii="Times New Roman" w:hAnsi="Times New Roman" w:cs="Times New Roman" w:eastAsiaTheme="minorEastAsia"/>
          <w:color w:val="auto"/>
          <w:spacing w:val="0"/>
          <w:w w:val="99"/>
          <w:sz w:val="24"/>
          <w:szCs w:val="24"/>
          <w:highlight w:val="none"/>
          <w:lang w:val="en-US" w:eastAsia="zh-CN" w:bidi="ar-SA"/>
        </w:rPr>
        <w:t>禾本科植物</w:t>
      </w:r>
      <w:r>
        <w:rPr>
          <w:rFonts w:ascii="Times New Roman" w:hAnsi="Times New Roman" w:cs="Times New Roman" w:eastAsiaTheme="minorEastAsia"/>
          <w:color w:val="auto"/>
          <w:spacing w:val="0"/>
          <w:w w:val="99"/>
          <w:sz w:val="24"/>
          <w:szCs w:val="24"/>
          <w:highlight w:val="none"/>
          <w:lang w:val="en-US" w:eastAsia="zh-CN" w:bidi="ar-SA"/>
        </w:rPr>
        <w:fldChar w:fldCharType="end"/>
      </w:r>
      <w:r>
        <w:rPr>
          <w:rFonts w:ascii="Times New Roman" w:hAnsi="Times New Roman" w:cs="Times New Roman" w:eastAsiaTheme="minorEastAsia"/>
          <w:color w:val="auto"/>
          <w:spacing w:val="0"/>
          <w:w w:val="99"/>
          <w:sz w:val="24"/>
          <w:szCs w:val="24"/>
          <w:highlight w:val="none"/>
          <w:lang w:val="en-US" w:eastAsia="zh-CN" w:bidi="ar-SA"/>
        </w:rPr>
        <w:t>，是喜温作物，全生育期要求较高的温度，产量约为650kg/亩。经济作物主要有甜菜、芝麻、向日葵等。蔬菜类主要有茄子、豆角和白菜等。</w:t>
      </w:r>
    </w:p>
    <w:tbl>
      <w:tblPr>
        <w:tblStyle w:val="81"/>
        <w:tblW w:w="509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27"/>
        <w:gridCol w:w="4736"/>
      </w:tblGrid>
      <w:tr w14:paraId="0CFAA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27" w:type="dxa"/>
            <w:noWrap w:val="0"/>
            <w:vAlign w:val="top"/>
          </w:tcPr>
          <w:p w14:paraId="4005B069">
            <w:pPr>
              <w:widowControl w:val="0"/>
              <w:jc w:val="center"/>
              <w:rPr>
                <w:color w:val="auto"/>
                <w:highlight w:val="none"/>
              </w:rPr>
            </w:pPr>
            <w:r>
              <w:rPr>
                <w:color w:val="auto"/>
                <w:highlight w:val="none"/>
              </w:rPr>
              <w:drawing>
                <wp:inline distT="0" distB="0" distL="114300" distR="114300">
                  <wp:extent cx="2857500" cy="2129155"/>
                  <wp:effectExtent l="0" t="0" r="0" b="4445"/>
                  <wp:docPr id="10" name="图片 6" descr="IMG_20220225_14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0220225_140545"/>
                          <pic:cNvPicPr>
                            <a:picLocks noChangeAspect="1"/>
                          </pic:cNvPicPr>
                        </pic:nvPicPr>
                        <pic:blipFill>
                          <a:blip r:embed="rId52"/>
                          <a:stretch>
                            <a:fillRect/>
                          </a:stretch>
                        </pic:blipFill>
                        <pic:spPr>
                          <a:xfrm>
                            <a:off x="0" y="0"/>
                            <a:ext cx="2857500" cy="2129155"/>
                          </a:xfrm>
                          <a:prstGeom prst="rect">
                            <a:avLst/>
                          </a:prstGeom>
                          <a:noFill/>
                          <a:ln>
                            <a:noFill/>
                          </a:ln>
                        </pic:spPr>
                      </pic:pic>
                    </a:graphicData>
                  </a:graphic>
                </wp:inline>
              </w:drawing>
            </w:r>
          </w:p>
        </w:tc>
        <w:tc>
          <w:tcPr>
            <w:tcW w:w="4736" w:type="dxa"/>
            <w:noWrap w:val="0"/>
            <w:vAlign w:val="center"/>
          </w:tcPr>
          <w:p w14:paraId="0CF6093E">
            <w:pPr>
              <w:widowControl w:val="0"/>
              <w:jc w:val="center"/>
              <w:rPr>
                <w:color w:val="auto"/>
                <w:highlight w:val="none"/>
              </w:rPr>
            </w:pPr>
            <w:r>
              <w:rPr>
                <w:color w:val="auto"/>
                <w:highlight w:val="none"/>
              </w:rPr>
              <w:drawing>
                <wp:inline distT="0" distB="0" distL="114300" distR="114300">
                  <wp:extent cx="2819400" cy="2114550"/>
                  <wp:effectExtent l="0" t="0" r="0" b="0"/>
                  <wp:docPr id="11" name="图片 7" descr="IMG_20220225_14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0220225_140555"/>
                          <pic:cNvPicPr>
                            <a:picLocks noChangeAspect="1"/>
                          </pic:cNvPicPr>
                        </pic:nvPicPr>
                        <pic:blipFill>
                          <a:blip r:embed="rId53"/>
                          <a:stretch>
                            <a:fillRect/>
                          </a:stretch>
                        </pic:blipFill>
                        <pic:spPr>
                          <a:xfrm>
                            <a:off x="0" y="0"/>
                            <a:ext cx="2819400" cy="2114550"/>
                          </a:xfrm>
                          <a:prstGeom prst="rect">
                            <a:avLst/>
                          </a:prstGeom>
                          <a:noFill/>
                          <a:ln>
                            <a:noFill/>
                          </a:ln>
                        </pic:spPr>
                      </pic:pic>
                    </a:graphicData>
                  </a:graphic>
                </wp:inline>
              </w:drawing>
            </w:r>
          </w:p>
        </w:tc>
      </w:tr>
    </w:tbl>
    <w:p w14:paraId="64C50662">
      <w:pPr>
        <w:widowControl w:val="0"/>
        <w:spacing w:line="440" w:lineRule="exact"/>
        <w:outlineLvl w:val="3"/>
        <w:rPr>
          <w:rFonts w:hint="default" w:ascii="Times New Roman" w:hAnsi="Times New Roman" w:eastAsia="宋体" w:cs="Times New Roman"/>
          <w:b/>
          <w:color w:val="auto"/>
          <w:w w:val="99"/>
          <w:highlight w:val="none"/>
          <w:lang w:val="en-US" w:eastAsia="zh-CN"/>
        </w:rPr>
      </w:pPr>
      <w:r>
        <w:rPr>
          <w:rFonts w:hint="eastAsia" w:ascii="Times New Roman" w:hAnsi="Times New Roman" w:eastAsia="宋体" w:cs="Times New Roman"/>
          <w:b/>
          <w:color w:val="auto"/>
          <w:w w:val="99"/>
          <w:highlight w:val="none"/>
          <w:lang w:val="en-US" w:eastAsia="zh-CN"/>
        </w:rPr>
        <w:t>4.</w:t>
      </w:r>
      <w:r>
        <w:rPr>
          <w:rFonts w:hint="eastAsia" w:ascii="Times New Roman" w:hAnsi="Times New Roman" w:cs="Times New Roman"/>
          <w:b/>
          <w:color w:val="auto"/>
          <w:w w:val="99"/>
          <w:highlight w:val="none"/>
          <w:lang w:val="en-US" w:eastAsia="zh-CN"/>
        </w:rPr>
        <w:t>3</w:t>
      </w:r>
      <w:r>
        <w:rPr>
          <w:rFonts w:hint="default" w:ascii="Times New Roman" w:hAnsi="Times New Roman" w:eastAsia="宋体" w:cs="Times New Roman"/>
          <w:b/>
          <w:color w:val="auto"/>
          <w:w w:val="99"/>
          <w:highlight w:val="none"/>
          <w:lang w:val="en-US" w:eastAsia="zh-CN"/>
        </w:rPr>
        <w:t>.6.</w:t>
      </w:r>
      <w:r>
        <w:rPr>
          <w:rFonts w:hint="eastAsia" w:ascii="Times New Roman" w:hAnsi="Times New Roman" w:eastAsia="宋体" w:cs="Times New Roman"/>
          <w:b/>
          <w:color w:val="auto"/>
          <w:w w:val="99"/>
          <w:highlight w:val="none"/>
          <w:lang w:val="en-US" w:eastAsia="zh-CN"/>
        </w:rPr>
        <w:t>5</w:t>
      </w:r>
      <w:r>
        <w:rPr>
          <w:rFonts w:hint="default" w:ascii="Times New Roman" w:hAnsi="Times New Roman" w:eastAsia="宋体" w:cs="Times New Roman"/>
          <w:b/>
          <w:color w:val="auto"/>
          <w:w w:val="99"/>
          <w:highlight w:val="none"/>
          <w:lang w:val="en-US" w:eastAsia="zh-CN"/>
        </w:rPr>
        <w:t>区域陆生野生动物调查</w:t>
      </w:r>
    </w:p>
    <w:p w14:paraId="5CB4CB3E">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1）陆生哺乳动物</w:t>
      </w:r>
    </w:p>
    <w:p w14:paraId="19A42D12">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评价区为典型农区，其动物的组成与分布具有明显的村栖型特点。主要分布有小家鼠（Mus musculus L.）、大仓鼠（Cricetulus triton）、普通田鼠（M icrotus arvalis）等啮齿目动物。由于人类活动的干扰，较大型哺乳类动物基本绝迹，但小型哺乳类特别是鼠类仍为常见种。</w:t>
      </w:r>
    </w:p>
    <w:p w14:paraId="6706F15E">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 xml:space="preserve">2）鸟类 </w:t>
      </w:r>
    </w:p>
    <w:p w14:paraId="303913C1">
      <w:pPr>
        <w:keepNext w:val="0"/>
        <w:keepLines w:val="0"/>
        <w:pageBreakBefore w:val="0"/>
        <w:widowControl/>
        <w:kinsoku/>
        <w:wordWrap/>
        <w:overflowPunct/>
        <w:topLinePunct w:val="0"/>
        <w:autoSpaceDE/>
        <w:autoSpaceDN/>
        <w:bidi w:val="0"/>
        <w:adjustRightInd/>
        <w:snapToGrid w:val="0"/>
        <w:spacing w:line="440" w:lineRule="exact"/>
        <w:ind w:firstLine="474" w:firstLineChars="200"/>
        <w:jc w:val="both"/>
        <w:textAlignment w:val="auto"/>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本区人类生产活动频繁，因此鸟类的种类和分布亦较少。经调查，本区无国家和地方受保护的珍稀濒危野生动物，常见鸟类主要为喜鹊（P. pica sericea Gould）、小嘴乌鸦（C. corone orientalis Evers）、麻雀（P. montanus montanus）、家燕（H. rustica gutturalis Scopoli）等村栖型鸟类。</w:t>
      </w:r>
    </w:p>
    <w:p w14:paraId="7D718613">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4.3.6.</w:t>
      </w:r>
      <w:r>
        <w:rPr>
          <w:rFonts w:hint="eastAsia" w:ascii="Times New Roman" w:hAnsi="Times New Roman" w:cs="Times New Roman"/>
          <w:b/>
          <w:color w:val="auto"/>
          <w:w w:val="99"/>
          <w:highlight w:val="none"/>
          <w:lang w:val="en-US" w:eastAsia="zh-CN"/>
        </w:rPr>
        <w:t>6</w:t>
      </w:r>
      <w:r>
        <w:rPr>
          <w:rFonts w:ascii="Times New Roman" w:hAnsi="Times New Roman" w:cs="Times New Roman"/>
          <w:b/>
          <w:color w:val="auto"/>
          <w:w w:val="99"/>
          <w:highlight w:val="none"/>
        </w:rPr>
        <w:t>水土流失现状调查</w:t>
      </w:r>
    </w:p>
    <w:p w14:paraId="2C7548C3">
      <w:pPr>
        <w:widowControl w:val="0"/>
        <w:spacing w:line="44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bCs/>
          <w:color w:val="auto"/>
          <w:w w:val="99"/>
          <w:kern w:val="2"/>
          <w:szCs w:val="28"/>
          <w:highlight w:val="none"/>
        </w:rPr>
        <w:t>根据《</w:t>
      </w:r>
      <w:r>
        <w:rPr>
          <w:rFonts w:hint="eastAsia" w:ascii="Times New Roman" w:hAnsi="Times New Roman" w:cs="Times New Roman" w:eastAsiaTheme="minorEastAsia"/>
          <w:bCs/>
          <w:color w:val="auto"/>
          <w:w w:val="99"/>
          <w:kern w:val="2"/>
          <w:szCs w:val="28"/>
          <w:highlight w:val="none"/>
          <w:lang w:val="en-US" w:eastAsia="zh-CN"/>
        </w:rPr>
        <w:t>绥化</w:t>
      </w:r>
      <w:r>
        <w:rPr>
          <w:rFonts w:ascii="Times New Roman" w:hAnsi="Times New Roman" w:cs="Times New Roman" w:eastAsiaTheme="minorEastAsia"/>
          <w:bCs/>
          <w:color w:val="auto"/>
          <w:w w:val="99"/>
          <w:kern w:val="2"/>
          <w:szCs w:val="28"/>
          <w:highlight w:val="none"/>
        </w:rPr>
        <w:t>市水土保持规划（201</w:t>
      </w:r>
      <w:r>
        <w:rPr>
          <w:rFonts w:hint="eastAsia" w:ascii="Times New Roman" w:hAnsi="Times New Roman" w:cs="Times New Roman" w:eastAsiaTheme="minorEastAsia"/>
          <w:bCs/>
          <w:color w:val="auto"/>
          <w:w w:val="99"/>
          <w:kern w:val="2"/>
          <w:szCs w:val="28"/>
          <w:highlight w:val="none"/>
          <w:lang w:val="en-US" w:eastAsia="zh-CN"/>
        </w:rPr>
        <w:t>9</w:t>
      </w:r>
      <w:r>
        <w:rPr>
          <w:rFonts w:ascii="Times New Roman" w:hAnsi="Times New Roman" w:cs="Times New Roman" w:eastAsiaTheme="minorEastAsia"/>
          <w:bCs/>
          <w:color w:val="auto"/>
          <w:w w:val="99"/>
          <w:kern w:val="2"/>
          <w:szCs w:val="28"/>
          <w:highlight w:val="none"/>
        </w:rPr>
        <w:t>~2030）》</w:t>
      </w:r>
      <w:r>
        <w:rPr>
          <w:rFonts w:ascii="Times New Roman" w:hAnsi="Times New Roman" w:cs="Times New Roman" w:eastAsiaTheme="minorEastAsia"/>
          <w:color w:val="auto"/>
          <w:w w:val="99"/>
          <w:kern w:val="2"/>
          <w:szCs w:val="28"/>
          <w:highlight w:val="none"/>
        </w:rPr>
        <w:t>，</w:t>
      </w:r>
      <w:r>
        <w:rPr>
          <w:rFonts w:hint="eastAsia" w:ascii="Times New Roman" w:hAnsi="Times New Roman" w:cs="Times New Roman" w:eastAsiaTheme="minorEastAsia"/>
          <w:bCs/>
          <w:color w:val="auto"/>
          <w:w w:val="99"/>
          <w:kern w:val="2"/>
          <w:szCs w:val="28"/>
          <w:highlight w:val="none"/>
          <w:lang w:val="en-US" w:eastAsia="zh-CN"/>
        </w:rPr>
        <w:t>绥化</w:t>
      </w:r>
      <w:r>
        <w:rPr>
          <w:rFonts w:ascii="Times New Roman" w:hAnsi="Times New Roman" w:cs="Times New Roman" w:eastAsiaTheme="minorEastAsia"/>
          <w:color w:val="auto"/>
          <w:w w:val="99"/>
          <w:kern w:val="2"/>
          <w:szCs w:val="28"/>
          <w:highlight w:val="none"/>
          <w:lang w:val="en"/>
        </w:rPr>
        <w:t>市划定了市级水土流失重点预防区和重点治理区，本项目位于</w:t>
      </w:r>
      <w:r>
        <w:rPr>
          <w:rFonts w:hint="eastAsia" w:ascii="Times New Roman" w:hAnsi="Times New Roman" w:cs="Times New Roman" w:eastAsiaTheme="minorEastAsia"/>
          <w:color w:val="auto"/>
          <w:w w:val="99"/>
          <w:kern w:val="2"/>
          <w:szCs w:val="28"/>
          <w:highlight w:val="none"/>
          <w:lang w:val="en-US" w:eastAsia="zh-CN"/>
        </w:rPr>
        <w:t>绥化</w:t>
      </w:r>
      <w:r>
        <w:rPr>
          <w:rFonts w:ascii="Times New Roman" w:hAnsi="Times New Roman" w:cs="Times New Roman" w:eastAsiaTheme="minorEastAsia"/>
          <w:color w:val="auto"/>
          <w:w w:val="99"/>
          <w:kern w:val="2"/>
          <w:szCs w:val="28"/>
          <w:highlight w:val="none"/>
        </w:rPr>
        <w:t>市</w:t>
      </w:r>
      <w:r>
        <w:rPr>
          <w:rFonts w:hint="eastAsia" w:ascii="Times New Roman" w:hAnsi="Times New Roman" w:cs="Times New Roman" w:eastAsiaTheme="minorEastAsia"/>
          <w:color w:val="auto"/>
          <w:w w:val="99"/>
          <w:kern w:val="2"/>
          <w:szCs w:val="28"/>
          <w:highlight w:val="none"/>
          <w:lang w:val="en-US" w:eastAsia="zh-CN"/>
        </w:rPr>
        <w:t>肇东市境内</w:t>
      </w:r>
      <w:r>
        <w:rPr>
          <w:rFonts w:ascii="Times New Roman" w:hAnsi="Times New Roman" w:cs="Times New Roman" w:eastAsiaTheme="minorEastAsia"/>
          <w:color w:val="auto"/>
          <w:w w:val="99"/>
          <w:kern w:val="2"/>
          <w:szCs w:val="28"/>
          <w:highlight w:val="none"/>
          <w:lang w:val="en"/>
        </w:rPr>
        <w:t>，</w:t>
      </w:r>
      <w:r>
        <w:rPr>
          <w:rFonts w:hint="eastAsia" w:ascii="Times New Roman" w:hAnsi="Times New Roman" w:cs="Times New Roman" w:eastAsiaTheme="minorEastAsia"/>
          <w:color w:val="auto"/>
          <w:w w:val="99"/>
          <w:kern w:val="2"/>
          <w:szCs w:val="28"/>
          <w:highlight w:val="none"/>
          <w:lang w:val="en-US" w:eastAsia="zh-CN"/>
        </w:rPr>
        <w:t>不</w:t>
      </w:r>
      <w:r>
        <w:rPr>
          <w:rFonts w:ascii="Times New Roman" w:hAnsi="Times New Roman" w:cs="Times New Roman" w:eastAsiaTheme="minorEastAsia"/>
          <w:color w:val="auto"/>
          <w:w w:val="99"/>
          <w:kern w:val="2"/>
          <w:szCs w:val="28"/>
          <w:highlight w:val="none"/>
          <w:lang w:val="en"/>
        </w:rPr>
        <w:t>属于市级水土流失重点治理区</w:t>
      </w:r>
      <w:r>
        <w:rPr>
          <w:rFonts w:hint="eastAsia" w:ascii="Times New Roman" w:hAnsi="Times New Roman" w:cs="Times New Roman" w:eastAsiaTheme="minorEastAsia"/>
          <w:color w:val="auto"/>
          <w:w w:val="99"/>
          <w:kern w:val="2"/>
          <w:szCs w:val="28"/>
          <w:highlight w:val="none"/>
          <w:lang w:val="en-US" w:eastAsia="zh-CN"/>
        </w:rPr>
        <w:t>及</w:t>
      </w:r>
      <w:r>
        <w:rPr>
          <w:rFonts w:ascii="Times New Roman" w:hAnsi="Times New Roman" w:cs="Times New Roman" w:eastAsiaTheme="minorEastAsia"/>
          <w:color w:val="auto"/>
          <w:w w:val="99"/>
          <w:kern w:val="2"/>
          <w:szCs w:val="28"/>
          <w:highlight w:val="none"/>
          <w:lang w:val="en"/>
        </w:rPr>
        <w:t>预防区。</w:t>
      </w:r>
    </w:p>
    <w:p w14:paraId="13B44FD5">
      <w:pPr>
        <w:widowControl w:val="0"/>
        <w:spacing w:line="440" w:lineRule="exact"/>
        <w:ind w:firstLine="474" w:firstLineChars="200"/>
        <w:jc w:val="both"/>
        <w:rPr>
          <w:rFonts w:ascii="Times New Roman" w:hAnsi="Times New Roman" w:cs="Times New Roman" w:eastAsiaTheme="minorEastAsia"/>
          <w:color w:val="auto"/>
          <w:w w:val="99"/>
          <w:kern w:val="2"/>
          <w:szCs w:val="28"/>
          <w:highlight w:val="none"/>
          <w:lang w:val="en"/>
        </w:rPr>
      </w:pPr>
      <w:r>
        <w:rPr>
          <w:rFonts w:ascii="Times New Roman" w:hAnsi="Times New Roman" w:cs="Times New Roman" w:eastAsiaTheme="minorEastAsia"/>
          <w:color w:val="auto"/>
          <w:w w:val="99"/>
          <w:kern w:val="2"/>
          <w:szCs w:val="28"/>
          <w:highlight w:val="none"/>
          <w:lang w:val="en"/>
        </w:rPr>
        <w:t>本项目区域水土流失类型为风水蚀交错类型。成因包括石油天然气开发引起的水土流失、交通建设引起的水土流失、农业开发引起的水土流失。石油天然气开发主要表现在对土地的占用和破坏，地质地貌的变化等。交通建设主要表现在土地占用和土壤侵蚀；地表景观的破坏和生态功能的扰动加剧水土流失；弃土场处理不当引起的水土流失；道路边坡稳定性引发的水土流失。农业开发主要表现在破坏原生植被，导致生态系统退化；干扰原有的土壤基准条件，引发土壤沙化或土地盐渍化；影响水文水情及生态系统，如抽取地下水导致水位下降，地面沉降；化学肥料的过渡使用对土壤、地下水的污染等。</w:t>
      </w:r>
    </w:p>
    <w:p w14:paraId="13FAFCEF">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Cs w:val="28"/>
          <w:highlight w:val="none"/>
          <w:lang w:val="en"/>
        </w:rPr>
        <w:t>目前我省经济社会发展的重要时期，经济社会发展总体形势对水土保持工作提出了新要求。全省水土流失综合防治逐步进入法制化轨道，重点地区水土流失治理成效显著，植被保护和生态修复初见成效，退耕还林还草面积得到巩固，黑土区保土蓄水功能持续增强，水土流失面积和强度呈现总体下降趋势。</w:t>
      </w:r>
    </w:p>
    <w:p w14:paraId="0473512F">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4.3.6.</w:t>
      </w:r>
      <w:r>
        <w:rPr>
          <w:rFonts w:hint="eastAsia" w:ascii="Times New Roman" w:hAnsi="Times New Roman" w:cs="Times New Roman"/>
          <w:b/>
          <w:color w:val="auto"/>
          <w:w w:val="99"/>
          <w:highlight w:val="none"/>
          <w:lang w:val="en-US" w:eastAsia="zh-CN"/>
        </w:rPr>
        <w:t>7</w:t>
      </w:r>
      <w:r>
        <w:rPr>
          <w:rFonts w:ascii="Times New Roman" w:hAnsi="Times New Roman" w:cs="Times New Roman"/>
          <w:b/>
          <w:color w:val="auto"/>
          <w:w w:val="99"/>
          <w:highlight w:val="none"/>
        </w:rPr>
        <w:t>防沙治沙情况调查</w:t>
      </w:r>
    </w:p>
    <w:p w14:paraId="55612D9E">
      <w:pPr>
        <w:keepLines w:val="0"/>
        <w:pageBreakBefore w:val="0"/>
        <w:widowControl w:val="0"/>
        <w:kinsoku/>
        <w:wordWrap/>
        <w:overflowPunct/>
        <w:topLinePunct w:val="0"/>
        <w:autoSpaceDE/>
        <w:autoSpaceDN/>
        <w:bidi w:val="0"/>
        <w:spacing w:line="440" w:lineRule="exact"/>
        <w:ind w:firstLine="474" w:firstLineChars="200"/>
        <w:jc w:val="both"/>
        <w:textAlignment w:val="auto"/>
        <w:outlineLvl w:val="9"/>
        <w:rPr>
          <w:rFonts w:ascii="Times New Roman" w:hAnsi="Times New Roman" w:cs="Times New Roman"/>
          <w:bCs/>
          <w:color w:val="auto"/>
          <w:w w:val="99"/>
          <w:kern w:val="2"/>
          <w:highlight w:val="none"/>
        </w:rPr>
      </w:pPr>
      <w:r>
        <w:rPr>
          <w:rFonts w:ascii="Times New Roman" w:hAnsi="Times New Roman" w:cs="Times New Roman"/>
          <w:bCs/>
          <w:color w:val="auto"/>
          <w:w w:val="99"/>
          <w:kern w:val="2"/>
          <w:highlight w:val="none"/>
        </w:rPr>
        <w:t>《黑龙江省防沙治沙条例》第二十六条规定：“油气勘探开发以及矿产资源开采应当按照规划组织实施，并将地表植被恢复和建设纳入规划。在开发和开采前，应当进行环境影响评价，依法提交包括有关防沙治沙内容的环境影响报告。县级以上人民政府林业、国土资源、环境保护、草原等行政主管部门应当对开发和开采单位的地表植被恢复情况进行监督检查。”第二十七条：“在沙化土地所在地区从事开发建设活动，应当事先就开发建设项目可能对当地及相关地区生态环境产生的影响进行环境影响评价和水资源论证。对不具备水源条件，且有可能造成土地沙化、水土流失等灾害，严重破坏生态环境的开发建设项目，不得批准立项。环境保护行政主管部门在审批环境影响报告时，应当就报告中有关防沙治沙的内容征得同级林业行政主管部门同意。”</w:t>
      </w:r>
    </w:p>
    <w:p w14:paraId="0D81FB60">
      <w:pPr>
        <w:keepLines w:val="0"/>
        <w:pageBreakBefore w:val="0"/>
        <w:widowControl w:val="0"/>
        <w:kinsoku/>
        <w:wordWrap/>
        <w:overflowPunct/>
        <w:topLinePunct w:val="0"/>
        <w:autoSpaceDE/>
        <w:autoSpaceDN/>
        <w:bidi w:val="0"/>
        <w:spacing w:line="440" w:lineRule="exact"/>
        <w:ind w:firstLine="474" w:firstLineChars="200"/>
        <w:jc w:val="both"/>
        <w:textAlignment w:val="auto"/>
        <w:outlineLvl w:val="9"/>
        <w:rPr>
          <w:rFonts w:ascii="Times New Roman" w:hAnsi="Times New Roman" w:cs="Times New Roman"/>
          <w:bCs/>
          <w:color w:val="auto"/>
          <w:w w:val="99"/>
          <w:kern w:val="2"/>
          <w:highlight w:val="red"/>
        </w:rPr>
      </w:pPr>
      <w:r>
        <w:rPr>
          <w:rFonts w:ascii="Times New Roman" w:hAnsi="Times New Roman" w:cs="Times New Roman"/>
          <w:bCs/>
          <w:color w:val="auto"/>
          <w:w w:val="99"/>
          <w:kern w:val="2"/>
          <w:highlight w:val="none"/>
        </w:rPr>
        <w:t>本项目位于</w:t>
      </w:r>
      <w:r>
        <w:rPr>
          <w:rFonts w:hint="eastAsia" w:ascii="Times New Roman" w:hAnsi="Times New Roman" w:cs="Times New Roman"/>
          <w:bCs/>
          <w:color w:val="auto"/>
          <w:w w:val="99"/>
          <w:kern w:val="2"/>
          <w:highlight w:val="none"/>
          <w:lang w:val="en-US" w:eastAsia="zh-CN"/>
        </w:rPr>
        <w:t>绥化</w:t>
      </w:r>
      <w:r>
        <w:rPr>
          <w:rFonts w:ascii="Times New Roman" w:hAnsi="Times New Roman" w:cs="Times New Roman"/>
          <w:bCs/>
          <w:color w:val="auto"/>
          <w:w w:val="99"/>
          <w:kern w:val="2"/>
          <w:highlight w:val="none"/>
        </w:rPr>
        <w:t>市</w:t>
      </w:r>
      <w:r>
        <w:rPr>
          <w:rFonts w:hint="eastAsia" w:ascii="Times New Roman" w:hAnsi="Times New Roman" w:cs="Times New Roman"/>
          <w:bCs/>
          <w:color w:val="auto"/>
          <w:w w:val="99"/>
          <w:kern w:val="2"/>
          <w:highlight w:val="none"/>
          <w:lang w:val="en-US" w:eastAsia="zh-CN"/>
        </w:rPr>
        <w:t>肇东市跃进乡</w:t>
      </w:r>
      <w:r>
        <w:rPr>
          <w:rFonts w:ascii="Times New Roman" w:hAnsi="Times New Roman" w:cs="Times New Roman"/>
          <w:bCs/>
          <w:color w:val="auto"/>
          <w:w w:val="99"/>
          <w:kern w:val="2"/>
          <w:highlight w:val="none"/>
        </w:rPr>
        <w:t>，根据黑龙江省防沙治沙工作领导小组《关于印发&lt;关于贯彻落实《沙化土地封禁保护修复制度方案》的实施意见&gt;的通知》（黑防沙发〔</w:t>
      </w:r>
      <w:r>
        <w:rPr>
          <w:rFonts w:hint="eastAsia" w:ascii="Times New Roman" w:hAnsi="Times New Roman" w:cs="Times New Roman"/>
          <w:bCs/>
          <w:color w:val="auto"/>
          <w:w w:val="99"/>
          <w:kern w:val="2"/>
          <w:highlight w:val="none"/>
        </w:rPr>
        <w:t>2</w:t>
      </w:r>
      <w:r>
        <w:rPr>
          <w:rFonts w:ascii="Times New Roman" w:hAnsi="Times New Roman" w:cs="Times New Roman"/>
          <w:bCs/>
          <w:color w:val="auto"/>
          <w:w w:val="99"/>
          <w:kern w:val="2"/>
          <w:highlight w:val="none"/>
        </w:rPr>
        <w:t>020</w:t>
      </w:r>
      <w:r>
        <w:rPr>
          <w:rFonts w:hint="eastAsia" w:ascii="Times New Roman" w:hAnsi="Times New Roman" w:cs="Times New Roman"/>
          <w:bCs/>
          <w:color w:val="auto"/>
          <w:w w:val="99"/>
          <w:kern w:val="2"/>
          <w:highlight w:val="none"/>
        </w:rPr>
        <w:t>〕3号</w:t>
      </w:r>
      <w:r>
        <w:rPr>
          <w:rFonts w:ascii="Times New Roman" w:hAnsi="Times New Roman" w:cs="Times New Roman"/>
          <w:bCs/>
          <w:color w:val="auto"/>
          <w:w w:val="99"/>
          <w:kern w:val="2"/>
          <w:highlight w:val="none"/>
        </w:rPr>
        <w:t>），</w:t>
      </w:r>
      <w:r>
        <w:rPr>
          <w:rFonts w:hint="eastAsia" w:ascii="Times New Roman" w:hAnsi="Times New Roman" w:cs="Times New Roman"/>
          <w:bCs/>
          <w:color w:val="auto"/>
          <w:w w:val="99"/>
          <w:kern w:val="2"/>
          <w:highlight w:val="none"/>
          <w:lang w:val="en-US" w:eastAsia="zh-CN"/>
        </w:rPr>
        <w:t>绥化市不</w:t>
      </w:r>
      <w:r>
        <w:rPr>
          <w:rFonts w:ascii="Times New Roman" w:hAnsi="Times New Roman" w:cs="Times New Roman"/>
          <w:bCs/>
          <w:color w:val="auto"/>
          <w:w w:val="99"/>
          <w:kern w:val="2"/>
          <w:highlight w:val="none"/>
        </w:rPr>
        <w:t>属于沙化土地所在区。</w:t>
      </w:r>
    </w:p>
    <w:p w14:paraId="6474D64F">
      <w:pPr>
        <w:keepLines w:val="0"/>
        <w:pageBreakBefore w:val="0"/>
        <w:widowControl w:val="0"/>
        <w:kinsoku/>
        <w:wordWrap/>
        <w:overflowPunct/>
        <w:topLinePunct w:val="0"/>
        <w:autoSpaceDE/>
        <w:autoSpaceDN/>
        <w:bidi w:val="0"/>
        <w:spacing w:line="440" w:lineRule="exact"/>
        <w:ind w:firstLine="474" w:firstLineChars="200"/>
        <w:jc w:val="both"/>
        <w:textAlignment w:val="auto"/>
        <w:outlineLvl w:val="9"/>
        <w:rPr>
          <w:rFonts w:ascii="Times New Roman" w:hAnsi="Times New Roman" w:cs="Times New Roman"/>
          <w:bCs/>
          <w:color w:val="auto"/>
          <w:w w:val="99"/>
          <w:kern w:val="2"/>
          <w:highlight w:val="none"/>
        </w:rPr>
      </w:pPr>
      <w:r>
        <w:rPr>
          <w:rFonts w:ascii="Times New Roman" w:hAnsi="Times New Roman" w:cs="Times New Roman"/>
          <w:bCs/>
          <w:color w:val="auto"/>
          <w:w w:val="99"/>
          <w:kern w:val="2"/>
          <w:highlight w:val="none"/>
        </w:rPr>
        <w:t>根据现场调查，项目占地区域未出现土壤沙化现象，为保护区域生态环境，针对本工程的具体特点，应制定生态环境影响减缓措施和防沙治沙措施。</w:t>
      </w:r>
    </w:p>
    <w:p w14:paraId="07C0C03B">
      <w:pPr>
        <w:keepNext/>
        <w:keepLines w:val="0"/>
        <w:pageBreakBefore w:val="0"/>
        <w:widowControl w:val="0"/>
        <w:kinsoku/>
        <w:wordWrap/>
        <w:overflowPunct/>
        <w:topLinePunct w:val="0"/>
        <w:autoSpaceDE/>
        <w:autoSpaceDN/>
        <w:bidi w:val="0"/>
        <w:adjustRightInd w:val="0"/>
        <w:snapToGrid w:val="0"/>
        <w:spacing w:line="440" w:lineRule="exact"/>
        <w:ind w:firstLine="474" w:firstLineChars="200"/>
        <w:jc w:val="both"/>
        <w:textAlignment w:val="auto"/>
        <w:outlineLvl w:val="9"/>
        <w:rPr>
          <w:rFonts w:ascii="Times New Roman" w:hAnsi="Times New Roman" w:cs="Times New Roman"/>
          <w:bCs/>
          <w:color w:val="auto"/>
          <w:w w:val="99"/>
          <w:kern w:val="2"/>
          <w:highlight w:val="none"/>
        </w:rPr>
      </w:pPr>
      <w:r>
        <w:rPr>
          <w:rFonts w:ascii="Times New Roman" w:hAnsi="Times New Roman" w:cs="Times New Roman"/>
          <w:bCs/>
          <w:color w:val="auto"/>
          <w:w w:val="99"/>
          <w:kern w:val="2"/>
          <w:highlight w:val="none"/>
        </w:rPr>
        <w:t>施工期临时占地及施工车辆行驶将对区域地表植被产生破坏。因此施工期须严格落实各项目生态保护措施及生态减缓措施，严格控制施工作业占地范围，尽量减小施工期对区域生态影响。</w:t>
      </w:r>
    </w:p>
    <w:p w14:paraId="732BDEB1">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4.3.6.</w:t>
      </w:r>
      <w:r>
        <w:rPr>
          <w:rFonts w:hint="eastAsia" w:ascii="Times New Roman" w:hAnsi="Times New Roman" w:cs="Times New Roman"/>
          <w:b/>
          <w:color w:val="auto"/>
          <w:w w:val="99"/>
          <w:highlight w:val="none"/>
          <w:lang w:val="en-US" w:eastAsia="zh-CN"/>
        </w:rPr>
        <w:t>8</w:t>
      </w:r>
      <w:r>
        <w:rPr>
          <w:rFonts w:ascii="Times New Roman" w:hAnsi="Times New Roman" w:cs="Times New Roman"/>
          <w:b/>
          <w:color w:val="auto"/>
          <w:w w:val="99"/>
          <w:highlight w:val="none"/>
        </w:rPr>
        <w:t>生态敏感区现状调查</w:t>
      </w:r>
    </w:p>
    <w:p w14:paraId="750B34AB">
      <w:pPr>
        <w:keepNext/>
        <w:widowControl w:val="0"/>
        <w:adjustRightInd w:val="0"/>
        <w:snapToGrid w:val="0"/>
        <w:spacing w:line="440" w:lineRule="exact"/>
        <w:ind w:firstLine="474" w:firstLineChars="200"/>
        <w:jc w:val="both"/>
        <w:rPr>
          <w:rFonts w:ascii="Times New Roman" w:hAnsi="Times New Roman" w:cs="Times New Roman"/>
          <w:bCs/>
          <w:color w:val="auto"/>
          <w:w w:val="99"/>
          <w:kern w:val="2"/>
          <w:highlight w:val="none"/>
        </w:rPr>
      </w:pPr>
      <w:r>
        <w:rPr>
          <w:rFonts w:ascii="Times New Roman" w:hAnsi="Times New Roman" w:cs="Times New Roman"/>
          <w:bCs/>
          <w:color w:val="auto"/>
          <w:w w:val="99"/>
          <w:kern w:val="2"/>
          <w:highlight w:val="none"/>
        </w:rPr>
        <w:t>根据《环境影响评价技术导则生态影响》（HJ19-2022）中生态敏感区定义，本项目所在区域不涉及国家公园、自然保护区、自然公园等自然保护地、世界自然遗产、生态保护红线等法定生态保护区域；重要物种的天然集中分布区、栖息地，重要水生生物的产卵场、索饵场、越冬场和洄游通道，迁徙鸟类的重要繁殖地、停歇地、越冬地以及野生动物迁徙通道等重要生境以及其他具有重要生态功能、对保护生物多样性具有重要意义的区域。</w:t>
      </w:r>
    </w:p>
    <w:p w14:paraId="54B06EDB">
      <w:pPr>
        <w:widowControl w:val="0"/>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4.3.6.</w:t>
      </w:r>
      <w:r>
        <w:rPr>
          <w:rFonts w:hint="eastAsia" w:ascii="Times New Roman" w:hAnsi="Times New Roman" w:cs="Times New Roman"/>
          <w:b/>
          <w:color w:val="auto"/>
          <w:w w:val="99"/>
          <w:highlight w:val="none"/>
          <w:lang w:val="en-US" w:eastAsia="zh-CN"/>
        </w:rPr>
        <w:t>9</w:t>
      </w:r>
      <w:r>
        <w:rPr>
          <w:rFonts w:ascii="Times New Roman" w:hAnsi="Times New Roman" w:cs="Times New Roman"/>
          <w:b/>
          <w:color w:val="auto"/>
          <w:w w:val="99"/>
          <w:highlight w:val="none"/>
        </w:rPr>
        <w:t>生态景观类型调查</w:t>
      </w:r>
    </w:p>
    <w:p w14:paraId="0F99B495">
      <w:pPr>
        <w:widowControl w:val="0"/>
        <w:spacing w:line="440" w:lineRule="exact"/>
        <w:ind w:firstLine="474" w:firstLineChars="200"/>
        <w:jc w:val="both"/>
        <w:rPr>
          <w:rFonts w:ascii="Times New Roman" w:hAnsi="Times New Roman" w:cs="Times New Roman"/>
          <w:color w:val="auto"/>
          <w:w w:val="99"/>
          <w:kern w:val="2"/>
          <w:szCs w:val="22"/>
          <w:highlight w:val="none"/>
          <w:lang w:bidi="zh-CN"/>
        </w:rPr>
      </w:pPr>
      <w:r>
        <w:rPr>
          <w:rFonts w:ascii="Times New Roman" w:hAnsi="Times New Roman" w:cs="Times New Roman"/>
          <w:color w:val="auto"/>
          <w:w w:val="99"/>
          <w:kern w:val="2"/>
          <w:szCs w:val="22"/>
          <w:highlight w:val="none"/>
          <w:lang w:bidi="zh-CN"/>
        </w:rPr>
        <w:t>采用地理信息系统技术并结合地面实际调查，对油田开发区所涉及区域内的生态景观构成进行调查。景观调查以工程用地为中心，采用国家生态环境现状调查所用分类系统进行分类。区域内的景观共分为三类，主要由耕地景观、草甸景观、林地景观构成。</w:t>
      </w:r>
    </w:p>
    <w:p w14:paraId="16B1769F">
      <w:pPr>
        <w:widowControl w:val="0"/>
        <w:spacing w:line="440" w:lineRule="exact"/>
        <w:ind w:firstLine="474" w:firstLineChars="200"/>
        <w:jc w:val="both"/>
        <w:rPr>
          <w:rFonts w:ascii="Times New Roman" w:hAnsi="Times New Roman" w:cs="Times New Roman"/>
          <w:color w:val="auto"/>
          <w:w w:val="99"/>
          <w:kern w:val="2"/>
          <w:szCs w:val="22"/>
          <w:highlight w:val="none"/>
          <w:lang w:bidi="zh-CN"/>
        </w:rPr>
      </w:pPr>
      <w:r>
        <w:rPr>
          <w:rFonts w:ascii="Times New Roman" w:hAnsi="Times New Roman" w:cs="Times New Roman"/>
          <w:color w:val="auto"/>
          <w:w w:val="99"/>
          <w:kern w:val="2"/>
          <w:szCs w:val="22"/>
          <w:highlight w:val="none"/>
          <w:lang w:bidi="zh-CN"/>
        </w:rPr>
        <w:t>（1）耕地景观是评价区域内面积最大景观类型，总面积</w:t>
      </w:r>
      <w:r>
        <w:rPr>
          <w:rFonts w:hint="eastAsia" w:ascii="Times New Roman" w:hAnsi="Times New Roman" w:cs="Times New Roman"/>
          <w:color w:val="auto"/>
          <w:w w:val="99"/>
          <w:kern w:val="2"/>
          <w:szCs w:val="22"/>
          <w:highlight w:val="none"/>
          <w:lang w:val="en-US" w:bidi="zh-CN"/>
        </w:rPr>
        <w:t>1.0898k</w:t>
      </w:r>
      <w:r>
        <w:rPr>
          <w:rFonts w:ascii="Times New Roman" w:hAnsi="Times New Roman" w:cs="Times New Roman"/>
          <w:color w:val="auto"/>
          <w:w w:val="99"/>
          <w:kern w:val="2"/>
          <w:szCs w:val="22"/>
          <w:highlight w:val="none"/>
          <w:lang w:bidi="zh-CN"/>
        </w:rPr>
        <w:t>m</w:t>
      </w:r>
      <w:r>
        <w:rPr>
          <w:rFonts w:ascii="Times New Roman" w:hAnsi="Times New Roman" w:cs="Times New Roman"/>
          <w:color w:val="auto"/>
          <w:w w:val="99"/>
          <w:kern w:val="2"/>
          <w:szCs w:val="22"/>
          <w:highlight w:val="none"/>
          <w:vertAlign w:val="superscript"/>
          <w:lang w:bidi="zh-CN"/>
        </w:rPr>
        <w:t>2</w:t>
      </w:r>
      <w:r>
        <w:rPr>
          <w:rFonts w:ascii="Times New Roman" w:hAnsi="Times New Roman" w:cs="Times New Roman"/>
          <w:color w:val="auto"/>
          <w:w w:val="99"/>
          <w:kern w:val="2"/>
          <w:szCs w:val="22"/>
          <w:highlight w:val="none"/>
          <w:lang w:bidi="zh-CN"/>
        </w:rPr>
        <w:t>，占评价区域总面积的</w:t>
      </w:r>
      <w:r>
        <w:rPr>
          <w:rFonts w:hint="eastAsia" w:ascii="Times New Roman" w:hAnsi="Times New Roman" w:cs="Times New Roman"/>
          <w:color w:val="auto"/>
          <w:w w:val="99"/>
          <w:kern w:val="2"/>
          <w:szCs w:val="22"/>
          <w:highlight w:val="none"/>
          <w:lang w:val="en-US" w:bidi="zh-CN"/>
        </w:rPr>
        <w:t>88.54</w:t>
      </w:r>
      <w:r>
        <w:rPr>
          <w:rFonts w:ascii="Times New Roman" w:hAnsi="Times New Roman" w:cs="Times New Roman"/>
          <w:color w:val="auto"/>
          <w:w w:val="99"/>
          <w:kern w:val="2"/>
          <w:szCs w:val="22"/>
          <w:highlight w:val="none"/>
          <w:lang w:bidi="zh-CN"/>
        </w:rPr>
        <w:t>%。主要种植以玉米、大豆为主的农作物。</w:t>
      </w:r>
    </w:p>
    <w:p w14:paraId="45A74680">
      <w:pPr>
        <w:widowControl w:val="0"/>
        <w:spacing w:line="440" w:lineRule="exact"/>
        <w:ind w:firstLine="474" w:firstLineChars="200"/>
        <w:jc w:val="both"/>
        <w:rPr>
          <w:rFonts w:ascii="Times New Roman" w:hAnsi="Times New Roman" w:cs="Times New Roman"/>
          <w:color w:val="auto"/>
          <w:w w:val="99"/>
          <w:kern w:val="2"/>
          <w:szCs w:val="22"/>
          <w:highlight w:val="none"/>
          <w:lang w:bidi="zh-CN"/>
        </w:rPr>
      </w:pPr>
      <w:r>
        <w:rPr>
          <w:rFonts w:ascii="Times New Roman" w:hAnsi="Times New Roman" w:cs="Times New Roman"/>
          <w:color w:val="auto"/>
          <w:w w:val="99"/>
          <w:kern w:val="2"/>
          <w:szCs w:val="22"/>
          <w:highlight w:val="none"/>
          <w:lang w:bidi="zh-CN"/>
        </w:rPr>
        <w:t>（</w:t>
      </w:r>
      <w:r>
        <w:rPr>
          <w:rFonts w:hint="eastAsia" w:ascii="Times New Roman" w:hAnsi="Times New Roman" w:cs="Times New Roman"/>
          <w:color w:val="auto"/>
          <w:w w:val="99"/>
          <w:kern w:val="2"/>
          <w:szCs w:val="22"/>
          <w:highlight w:val="none"/>
          <w:lang w:val="en-US" w:bidi="zh-CN"/>
        </w:rPr>
        <w:t>2</w:t>
      </w:r>
      <w:r>
        <w:rPr>
          <w:rFonts w:ascii="Times New Roman" w:hAnsi="Times New Roman" w:cs="Times New Roman"/>
          <w:color w:val="auto"/>
          <w:w w:val="99"/>
          <w:kern w:val="2"/>
          <w:szCs w:val="22"/>
          <w:highlight w:val="none"/>
          <w:lang w:bidi="zh-CN"/>
        </w:rPr>
        <w:t>）林地景观主要为道路和农田人工防护林用地，总面积</w:t>
      </w:r>
      <w:r>
        <w:rPr>
          <w:rFonts w:hint="eastAsia" w:ascii="Times New Roman" w:hAnsi="Times New Roman" w:cs="Times New Roman"/>
          <w:color w:val="auto"/>
          <w:w w:val="99"/>
          <w:kern w:val="2"/>
          <w:szCs w:val="22"/>
          <w:highlight w:val="none"/>
          <w:lang w:val="en-US" w:bidi="zh-CN"/>
        </w:rPr>
        <w:t>0.073k</w:t>
      </w:r>
      <w:r>
        <w:rPr>
          <w:rFonts w:ascii="Times New Roman" w:hAnsi="Times New Roman" w:cs="Times New Roman"/>
          <w:color w:val="auto"/>
          <w:w w:val="99"/>
          <w:kern w:val="2"/>
          <w:szCs w:val="22"/>
          <w:highlight w:val="none"/>
          <w:lang w:bidi="zh-CN"/>
        </w:rPr>
        <w:t>m</w:t>
      </w:r>
      <w:r>
        <w:rPr>
          <w:rFonts w:ascii="Times New Roman" w:hAnsi="Times New Roman" w:cs="Times New Roman"/>
          <w:color w:val="auto"/>
          <w:w w:val="99"/>
          <w:kern w:val="2"/>
          <w:szCs w:val="22"/>
          <w:highlight w:val="none"/>
          <w:vertAlign w:val="superscript"/>
          <w:lang w:bidi="zh-CN"/>
        </w:rPr>
        <w:t>2</w:t>
      </w:r>
      <w:r>
        <w:rPr>
          <w:rFonts w:ascii="Times New Roman" w:hAnsi="Times New Roman" w:cs="Times New Roman"/>
          <w:color w:val="auto"/>
          <w:w w:val="99"/>
          <w:kern w:val="2"/>
          <w:szCs w:val="22"/>
          <w:highlight w:val="none"/>
          <w:lang w:bidi="zh-CN"/>
        </w:rPr>
        <w:t>，占评价区总面积的</w:t>
      </w:r>
      <w:r>
        <w:rPr>
          <w:rFonts w:hint="eastAsia" w:ascii="Times New Roman" w:hAnsi="Times New Roman" w:cs="Times New Roman"/>
          <w:color w:val="auto"/>
          <w:w w:val="99"/>
          <w:kern w:val="2"/>
          <w:szCs w:val="22"/>
          <w:highlight w:val="none"/>
          <w:lang w:val="en-US" w:bidi="zh-CN"/>
        </w:rPr>
        <w:t>5.93</w:t>
      </w:r>
      <w:r>
        <w:rPr>
          <w:rFonts w:ascii="Times New Roman" w:hAnsi="Times New Roman" w:cs="Times New Roman"/>
          <w:color w:val="auto"/>
          <w:w w:val="99"/>
          <w:kern w:val="2"/>
          <w:szCs w:val="22"/>
          <w:highlight w:val="none"/>
          <w:lang w:bidi="zh-CN"/>
        </w:rPr>
        <w:t xml:space="preserve">%。  </w:t>
      </w:r>
    </w:p>
    <w:p w14:paraId="6D6CF806">
      <w:pPr>
        <w:widowControl w:val="0"/>
        <w:spacing w:line="440" w:lineRule="exact"/>
        <w:outlineLvl w:val="3"/>
        <w:rPr>
          <w:rFonts w:ascii="Times New Roman" w:hAnsi="Times New Roman" w:eastAsia="宋体" w:cs="Times New Roman"/>
          <w:b/>
          <w:color w:val="auto"/>
          <w:w w:val="99"/>
          <w:highlight w:val="none"/>
        </w:rPr>
      </w:pPr>
      <w:r>
        <w:rPr>
          <w:rFonts w:ascii="Times New Roman" w:hAnsi="Times New Roman" w:eastAsia="宋体" w:cs="Times New Roman"/>
          <w:b/>
          <w:color w:val="auto"/>
          <w:w w:val="99"/>
          <w:highlight w:val="none"/>
        </w:rPr>
        <w:t>4.3.6.</w:t>
      </w:r>
      <w:r>
        <w:rPr>
          <w:rFonts w:hint="eastAsia" w:ascii="Times New Roman" w:hAnsi="Times New Roman" w:cs="Times New Roman"/>
          <w:b/>
          <w:color w:val="auto"/>
          <w:w w:val="99"/>
          <w:highlight w:val="none"/>
          <w:lang w:val="en-US" w:eastAsia="zh-CN"/>
        </w:rPr>
        <w:t>10</w:t>
      </w:r>
      <w:r>
        <w:rPr>
          <w:rFonts w:ascii="Times New Roman" w:hAnsi="Times New Roman" w:eastAsia="宋体" w:cs="Times New Roman"/>
          <w:b/>
          <w:color w:val="auto"/>
          <w:w w:val="99"/>
          <w:highlight w:val="none"/>
        </w:rPr>
        <w:t xml:space="preserve">生态环境现状评价结论 </w:t>
      </w:r>
    </w:p>
    <w:p w14:paraId="5E9F9054">
      <w:pPr>
        <w:widowControl w:val="0"/>
        <w:spacing w:line="440" w:lineRule="exact"/>
        <w:ind w:firstLine="474" w:firstLineChars="200"/>
        <w:jc w:val="both"/>
        <w:rPr>
          <w:rFonts w:ascii="Times New Roman" w:hAnsi="Times New Roman" w:cs="Times New Roman"/>
          <w:color w:val="auto"/>
          <w:w w:val="99"/>
          <w:kern w:val="2"/>
          <w:szCs w:val="22"/>
          <w:highlight w:val="none"/>
          <w:lang w:bidi="zh-CN"/>
        </w:rPr>
      </w:pPr>
      <w:r>
        <w:rPr>
          <w:rFonts w:ascii="Times New Roman" w:hAnsi="Times New Roman" w:cs="Times New Roman"/>
          <w:color w:val="auto"/>
          <w:w w:val="99"/>
          <w:kern w:val="2"/>
          <w:szCs w:val="22"/>
          <w:highlight w:val="none"/>
          <w:lang w:bidi="zh-CN"/>
        </w:rPr>
        <w:t>本项目评价范围内生态系统类型主要为草地及农田生态系统。本项目评价范围内土地利用类型以耕地为主，工程所在区域内主要土壤类型以草甸土为主，工程所在区域人类活动频繁，野生动物较少，区域生态环境总体质量较好。</w:t>
      </w:r>
    </w:p>
    <w:bookmarkEnd w:id="784"/>
    <w:p w14:paraId="0D4FCE26">
      <w:pPr>
        <w:pStyle w:val="5"/>
        <w:keepNext w:val="0"/>
        <w:keepLines w:val="0"/>
        <w:widowControl w:val="0"/>
        <w:spacing w:before="120" w:after="120" w:line="440" w:lineRule="exact"/>
        <w:jc w:val="both"/>
        <w:rPr>
          <w:rFonts w:ascii="Times New Roman" w:hAnsi="Times New Roman" w:eastAsia="宋体"/>
          <w:b/>
          <w:bCs w:val="0"/>
          <w:color w:val="auto"/>
          <w:w w:val="99"/>
          <w:highlight w:val="none"/>
        </w:rPr>
      </w:pPr>
      <w:bookmarkStart w:id="797" w:name="_Toc13683"/>
      <w:bookmarkStart w:id="798" w:name="_Toc16483"/>
      <w:r>
        <w:rPr>
          <w:rFonts w:ascii="Times New Roman" w:hAnsi="Times New Roman" w:eastAsia="宋体"/>
          <w:b/>
          <w:bCs w:val="0"/>
          <w:color w:val="auto"/>
          <w:w w:val="99"/>
          <w:highlight w:val="none"/>
        </w:rPr>
        <w:t>4.</w:t>
      </w:r>
      <w:r>
        <w:rPr>
          <w:rFonts w:hint="eastAsia" w:ascii="Times New Roman" w:hAnsi="Times New Roman" w:eastAsia="宋体"/>
          <w:b/>
          <w:bCs w:val="0"/>
          <w:color w:val="auto"/>
          <w:w w:val="99"/>
          <w:highlight w:val="none"/>
          <w:lang w:val="en-US" w:eastAsia="zh-CN"/>
        </w:rPr>
        <w:t>4</w:t>
      </w:r>
      <w:r>
        <w:rPr>
          <w:rFonts w:ascii="Times New Roman" w:hAnsi="Times New Roman" w:eastAsia="宋体"/>
          <w:b/>
          <w:bCs w:val="0"/>
          <w:color w:val="auto"/>
          <w:w w:val="99"/>
          <w:highlight w:val="none"/>
        </w:rPr>
        <w:t>区域污染源调查</w:t>
      </w:r>
      <w:bookmarkEnd w:id="797"/>
      <w:bookmarkEnd w:id="798"/>
    </w:p>
    <w:p w14:paraId="15CED413">
      <w:pPr>
        <w:widowControl w:val="0"/>
        <w:spacing w:line="440" w:lineRule="exact"/>
        <w:ind w:firstLine="474" w:firstLineChars="200"/>
        <w:jc w:val="both"/>
        <w:rPr>
          <w:rFonts w:ascii="Times New Roman" w:hAnsi="Times New Roman" w:eastAsia="宋体" w:cs="Times New Roman"/>
          <w:color w:val="auto"/>
          <w:w w:val="99"/>
          <w:highlight w:val="none"/>
          <w:lang w:val="zh-CN" w:bidi="zh-CN"/>
        </w:rPr>
      </w:pPr>
      <w:r>
        <w:rPr>
          <w:rFonts w:ascii="Times New Roman" w:hAnsi="Times New Roman" w:eastAsia="宋体" w:cs="Times New Roman"/>
          <w:color w:val="auto"/>
          <w:w w:val="99"/>
          <w:highlight w:val="none"/>
          <w:lang w:val="zh-CN" w:bidi="zh-CN"/>
        </w:rPr>
        <w:t>本项目属于天然气开采工程，经现场调查，工程区域内已有气田开发，原有采气井场永久性占地面积符合设计要求，井场地面均进行了平整，在临时占地范围内，地表进行了平整，区域内临时占地已复耕或恢复地表原态，已开发区域的生态得到一定程度的恢复。通过现场调查，项目评价区域内主要为农田、村庄、已建的采气井场、天然气集输管线，周边无其他工业企业。根据调查，本项目所在的区块开展了区块内工程的环境影响评价，区块的环评批复及验收情况详见表3.1-</w:t>
      </w:r>
      <w:r>
        <w:rPr>
          <w:rFonts w:hint="eastAsia" w:ascii="Times New Roman" w:hAnsi="Times New Roman" w:cs="Times New Roman"/>
          <w:color w:val="auto"/>
          <w:w w:val="99"/>
          <w:highlight w:val="none"/>
          <w:lang w:val="en-US" w:bidi="zh-CN"/>
        </w:rPr>
        <w:t>2</w:t>
      </w:r>
      <w:r>
        <w:rPr>
          <w:rFonts w:ascii="Times New Roman" w:hAnsi="Times New Roman" w:eastAsia="宋体" w:cs="Times New Roman"/>
          <w:color w:val="auto"/>
          <w:w w:val="99"/>
          <w:highlight w:val="none"/>
          <w:lang w:val="zh-CN" w:bidi="zh-CN"/>
        </w:rPr>
        <w:t>。大庆油田有限责任公司采气分公司已办理固定污染源排污许可证登记，登记编号</w:t>
      </w:r>
      <w:r>
        <w:rPr>
          <w:rFonts w:hint="eastAsia" w:ascii="Times New Roman" w:hAnsi="Times New Roman" w:eastAsia="宋体" w:cs="Times New Roman"/>
          <w:color w:val="auto"/>
          <w:w w:val="99"/>
          <w:highlight w:val="none"/>
          <w:lang w:val="zh-CN" w:bidi="zh-CN"/>
        </w:rPr>
        <w:t>：</w:t>
      </w:r>
      <w:r>
        <w:rPr>
          <w:rFonts w:hint="default" w:ascii="Times New Roman" w:hAnsi="Times New Roman"/>
          <w:bCs/>
          <w:color w:val="auto"/>
          <w:w w:val="99"/>
          <w:szCs w:val="20"/>
          <w:highlight w:val="none"/>
          <w:lang w:val="en-US" w:eastAsia="zh-CN"/>
        </w:rPr>
        <w:t>91230607716675409L007W</w:t>
      </w:r>
      <w:r>
        <w:rPr>
          <w:rFonts w:ascii="Times New Roman" w:hAnsi="Times New Roman" w:eastAsia="宋体" w:cs="Times New Roman"/>
          <w:color w:val="auto"/>
          <w:w w:val="99"/>
          <w:highlight w:val="none"/>
          <w:lang w:val="zh-CN" w:bidi="zh-CN"/>
        </w:rPr>
        <w:t>，有效日期为 202</w:t>
      </w:r>
      <w:r>
        <w:rPr>
          <w:rFonts w:hint="eastAsia" w:ascii="Times New Roman" w:hAnsi="Times New Roman" w:cs="Times New Roman"/>
          <w:color w:val="auto"/>
          <w:w w:val="99"/>
          <w:highlight w:val="none"/>
          <w:lang w:val="en-US" w:bidi="zh-CN"/>
        </w:rPr>
        <w:t>4</w:t>
      </w:r>
      <w:r>
        <w:rPr>
          <w:rFonts w:ascii="Times New Roman" w:hAnsi="Times New Roman" w:eastAsia="宋体" w:cs="Times New Roman"/>
          <w:color w:val="auto"/>
          <w:w w:val="99"/>
          <w:highlight w:val="none"/>
          <w:lang w:val="zh-CN" w:bidi="zh-CN"/>
        </w:rPr>
        <w:t xml:space="preserve">年 </w:t>
      </w:r>
      <w:r>
        <w:rPr>
          <w:rFonts w:hint="eastAsia" w:ascii="Times New Roman" w:hAnsi="Times New Roman" w:cs="Times New Roman"/>
          <w:color w:val="auto"/>
          <w:w w:val="99"/>
          <w:highlight w:val="none"/>
          <w:lang w:val="en-US" w:bidi="zh-CN"/>
        </w:rPr>
        <w:t>10</w:t>
      </w:r>
      <w:r>
        <w:rPr>
          <w:rFonts w:ascii="Times New Roman" w:hAnsi="Times New Roman" w:eastAsia="宋体" w:cs="Times New Roman"/>
          <w:color w:val="auto"/>
          <w:w w:val="99"/>
          <w:highlight w:val="none"/>
          <w:lang w:val="zh-CN" w:bidi="zh-CN"/>
        </w:rPr>
        <w:t>月</w:t>
      </w:r>
      <w:r>
        <w:rPr>
          <w:rFonts w:hint="eastAsia" w:ascii="Times New Roman" w:hAnsi="Times New Roman" w:cs="Times New Roman"/>
          <w:color w:val="auto"/>
          <w:w w:val="99"/>
          <w:highlight w:val="none"/>
          <w:lang w:val="en-US" w:bidi="zh-CN"/>
        </w:rPr>
        <w:t>24</w:t>
      </w:r>
      <w:r>
        <w:rPr>
          <w:rFonts w:ascii="Times New Roman" w:hAnsi="Times New Roman" w:eastAsia="宋体" w:cs="Times New Roman"/>
          <w:color w:val="auto"/>
          <w:w w:val="99"/>
          <w:highlight w:val="none"/>
          <w:lang w:val="zh-CN" w:bidi="zh-CN"/>
        </w:rPr>
        <w:t>日至 202</w:t>
      </w:r>
      <w:r>
        <w:rPr>
          <w:rFonts w:hint="eastAsia" w:ascii="Times New Roman" w:hAnsi="Times New Roman" w:cs="Times New Roman"/>
          <w:color w:val="auto"/>
          <w:w w:val="99"/>
          <w:highlight w:val="none"/>
          <w:lang w:val="en-US" w:bidi="zh-CN"/>
        </w:rPr>
        <w:t>9</w:t>
      </w:r>
      <w:r>
        <w:rPr>
          <w:rFonts w:ascii="Times New Roman" w:hAnsi="Times New Roman" w:eastAsia="宋体" w:cs="Times New Roman"/>
          <w:color w:val="auto"/>
          <w:w w:val="99"/>
          <w:highlight w:val="none"/>
          <w:lang w:val="zh-CN" w:bidi="zh-CN"/>
        </w:rPr>
        <w:t>年</w:t>
      </w:r>
      <w:r>
        <w:rPr>
          <w:rFonts w:hint="eastAsia" w:ascii="Times New Roman" w:hAnsi="Times New Roman" w:cs="Times New Roman"/>
          <w:color w:val="auto"/>
          <w:w w:val="99"/>
          <w:highlight w:val="none"/>
          <w:lang w:val="en-US" w:bidi="zh-CN"/>
        </w:rPr>
        <w:t>10</w:t>
      </w:r>
      <w:r>
        <w:rPr>
          <w:rFonts w:ascii="Times New Roman" w:hAnsi="Times New Roman" w:eastAsia="宋体" w:cs="Times New Roman"/>
          <w:color w:val="auto"/>
          <w:w w:val="99"/>
          <w:highlight w:val="none"/>
          <w:lang w:val="zh-CN" w:bidi="zh-CN"/>
        </w:rPr>
        <w:t>月</w:t>
      </w:r>
      <w:r>
        <w:rPr>
          <w:rFonts w:hint="eastAsia" w:ascii="Times New Roman" w:hAnsi="Times New Roman" w:cs="Times New Roman"/>
          <w:color w:val="auto"/>
          <w:w w:val="99"/>
          <w:highlight w:val="none"/>
          <w:lang w:val="en-US" w:bidi="zh-CN"/>
        </w:rPr>
        <w:t>23</w:t>
      </w:r>
      <w:r>
        <w:rPr>
          <w:rFonts w:ascii="Times New Roman" w:hAnsi="Times New Roman" w:eastAsia="宋体" w:cs="Times New Roman"/>
          <w:color w:val="auto"/>
          <w:w w:val="99"/>
          <w:highlight w:val="none"/>
          <w:lang w:val="zh-CN" w:bidi="zh-CN"/>
        </w:rPr>
        <w:t>日，申报的排污许可内容主要包括各场站内加热炉、锅炉等。本项目依托的徐深</w:t>
      </w:r>
      <w:r>
        <w:rPr>
          <w:rFonts w:hint="eastAsia" w:ascii="Times New Roman" w:hAnsi="Times New Roman" w:cs="Times New Roman"/>
          <w:color w:val="auto"/>
          <w:w w:val="99"/>
          <w:highlight w:val="none"/>
          <w:lang w:val="en-US" w:bidi="zh-CN"/>
        </w:rPr>
        <w:t>27</w:t>
      </w:r>
      <w:r>
        <w:rPr>
          <w:rFonts w:ascii="Times New Roman" w:hAnsi="Times New Roman" w:eastAsia="宋体" w:cs="Times New Roman"/>
          <w:color w:val="auto"/>
          <w:w w:val="99"/>
          <w:highlight w:val="none"/>
          <w:lang w:val="zh-CN" w:bidi="zh-CN"/>
        </w:rPr>
        <w:t>集气站已经纳入排污许可管理。大庆油田有限责任公司采气分公司已按照排污许可证的相关要求对各场站加热装置排气筒进行定期监测，定期将各场站污染源监测数据填报在全国排污许可证管理信息平台上，公开采气分公司各场站污染源的污染物排放信息，已按照排污许可证的相关要求建立环境管理台账。</w:t>
      </w:r>
    </w:p>
    <w:p w14:paraId="3D4F2513">
      <w:pPr>
        <w:keepNext/>
        <w:keepLines/>
        <w:widowControl w:val="0"/>
        <w:tabs>
          <w:tab w:val="left" w:pos="892"/>
        </w:tabs>
        <w:spacing w:before="60" w:after="60" w:line="440" w:lineRule="exact"/>
        <w:jc w:val="both"/>
        <w:outlineLvl w:val="2"/>
        <w:rPr>
          <w:rFonts w:ascii="Times New Roman" w:hAnsi="Times New Roman" w:eastAsia="宋体" w:cs="Times New Roman"/>
          <w:b/>
          <w:bCs/>
          <w:color w:val="auto"/>
          <w:w w:val="99"/>
          <w:highlight w:val="none"/>
          <w:lang w:val="zh-CN" w:bidi="zh-CN"/>
        </w:rPr>
      </w:pPr>
      <w:r>
        <w:rPr>
          <w:rFonts w:ascii="Times New Roman" w:hAnsi="Times New Roman" w:eastAsia="宋体" w:cs="Times New Roman"/>
          <w:b/>
          <w:bCs/>
          <w:color w:val="auto"/>
          <w:w w:val="99"/>
          <w:highlight w:val="none"/>
          <w:lang w:val="zh-CN" w:bidi="zh-CN"/>
        </w:rPr>
        <w:t xml:space="preserve">4.4.1大气污染源调查 </w:t>
      </w:r>
    </w:p>
    <w:p w14:paraId="70F561B9">
      <w:pPr>
        <w:widowControl w:val="0"/>
        <w:spacing w:line="440" w:lineRule="exact"/>
        <w:ind w:firstLine="474" w:firstLineChars="200"/>
        <w:jc w:val="both"/>
        <w:rPr>
          <w:rFonts w:ascii="Times New Roman" w:hAnsi="Times New Roman" w:eastAsia="宋体" w:cs="Times New Roman"/>
          <w:color w:val="auto"/>
          <w:w w:val="99"/>
          <w:highlight w:val="none"/>
          <w:lang w:val="zh-CN" w:bidi="zh-CN"/>
        </w:rPr>
      </w:pPr>
      <w:r>
        <w:rPr>
          <w:rFonts w:ascii="Times New Roman" w:hAnsi="Times New Roman" w:eastAsia="宋体" w:cs="Times New Roman"/>
          <w:color w:val="auto"/>
          <w:w w:val="99"/>
          <w:highlight w:val="none"/>
          <w:lang w:val="zh-CN" w:bidi="zh-CN"/>
        </w:rPr>
        <w:t>包括井场、场站、管线等无组织排放的非甲烷总烃和设备检修时放空燃烧的天然气、集气站加热炉烟气、集气站三甘醇脱水装置尾气等，同时区域内农村居民生活燃用燃料也会排放燃烧烟气。根据现状监测结果，徐深</w:t>
      </w:r>
      <w:r>
        <w:rPr>
          <w:rFonts w:hint="eastAsia" w:ascii="Times New Roman" w:hAnsi="Times New Roman" w:cs="Times New Roman"/>
          <w:color w:val="auto"/>
          <w:w w:val="99"/>
          <w:highlight w:val="none"/>
          <w:lang w:val="en-US" w:bidi="zh-CN"/>
        </w:rPr>
        <w:t>27</w:t>
      </w:r>
      <w:r>
        <w:rPr>
          <w:rFonts w:ascii="Times New Roman" w:hAnsi="Times New Roman" w:eastAsia="宋体" w:cs="Times New Roman"/>
          <w:color w:val="auto"/>
          <w:w w:val="99"/>
          <w:highlight w:val="none"/>
          <w:lang w:val="zh-CN" w:bidi="zh-CN"/>
        </w:rPr>
        <w:t>集气站厂界外10m处非甲烷总烃无组织排放浓度均满足《陆上石油天然气开采工业大气污染物排放标准》（GB39728-2020）中5.9企业边界污染物控制要求限值（4.0mg/m</w:t>
      </w:r>
      <w:r>
        <w:rPr>
          <w:rFonts w:ascii="Times New Roman" w:hAnsi="Times New Roman" w:eastAsia="宋体" w:cs="Times New Roman"/>
          <w:color w:val="auto"/>
          <w:w w:val="99"/>
          <w:highlight w:val="none"/>
          <w:vertAlign w:val="superscript"/>
          <w:lang w:val="zh-CN" w:bidi="zh-CN"/>
        </w:rPr>
        <w:t>3</w:t>
      </w:r>
      <w:r>
        <w:rPr>
          <w:rFonts w:ascii="Times New Roman" w:hAnsi="Times New Roman" w:eastAsia="宋体" w:cs="Times New Roman"/>
          <w:color w:val="auto"/>
          <w:w w:val="99"/>
          <w:highlight w:val="none"/>
          <w:lang w:val="zh-CN" w:bidi="zh-CN"/>
        </w:rPr>
        <w:t>）要求。徐深</w:t>
      </w:r>
      <w:r>
        <w:rPr>
          <w:rFonts w:hint="eastAsia" w:ascii="Times New Roman" w:hAnsi="Times New Roman" w:cs="Times New Roman"/>
          <w:color w:val="auto"/>
          <w:w w:val="99"/>
          <w:highlight w:val="none"/>
          <w:lang w:val="en-US" w:bidi="zh-CN"/>
        </w:rPr>
        <w:t>27</w:t>
      </w:r>
      <w:r>
        <w:rPr>
          <w:rFonts w:ascii="Times New Roman" w:hAnsi="Times New Roman" w:eastAsia="宋体" w:cs="Times New Roman"/>
          <w:color w:val="auto"/>
          <w:w w:val="99"/>
          <w:highlight w:val="none"/>
          <w:lang w:val="zh-CN" w:bidi="zh-CN"/>
        </w:rPr>
        <w:t>集气站加热炉排气筒烟气满足《锅炉大气污染物排放标准》（GB13271-2014）中表2新建燃气锅炉标准。根据本次对项目区块内</w:t>
      </w:r>
      <w:r>
        <w:rPr>
          <w:rFonts w:hint="eastAsia" w:ascii="Times New Roman" w:hAnsi="Times New Roman" w:cs="Times New Roman"/>
          <w:color w:val="auto"/>
          <w:w w:val="99"/>
          <w:highlight w:val="none"/>
          <w:lang w:val="en-US" w:bidi="zh-CN"/>
        </w:rPr>
        <w:t>邢家围子</w:t>
      </w:r>
      <w:r>
        <w:rPr>
          <w:rFonts w:ascii="Times New Roman" w:hAnsi="Times New Roman" w:eastAsia="宋体" w:cs="Times New Roman"/>
          <w:color w:val="auto"/>
          <w:w w:val="99"/>
          <w:highlight w:val="none"/>
          <w:lang w:val="zh-CN" w:bidi="zh-CN"/>
        </w:rPr>
        <w:t>屯环境空气质量现状监测数据可知，项目所在区域非甲烷总烃浓度可以满足《大气污染物综合排放标准详解》中相关标准限值。区块开发对周围环境影响较小。</w:t>
      </w:r>
    </w:p>
    <w:p w14:paraId="6051E2D2">
      <w:pPr>
        <w:keepNext/>
        <w:keepLines/>
        <w:widowControl w:val="0"/>
        <w:tabs>
          <w:tab w:val="left" w:pos="892"/>
        </w:tabs>
        <w:spacing w:before="60" w:after="60" w:line="440" w:lineRule="exact"/>
        <w:jc w:val="both"/>
        <w:outlineLvl w:val="2"/>
        <w:rPr>
          <w:rFonts w:ascii="Times New Roman" w:hAnsi="Times New Roman" w:eastAsia="宋体" w:cs="Times New Roman"/>
          <w:b/>
          <w:bCs/>
          <w:color w:val="auto"/>
          <w:w w:val="99"/>
          <w:highlight w:val="none"/>
          <w:lang w:val="zh-CN" w:bidi="zh-CN"/>
        </w:rPr>
      </w:pPr>
      <w:r>
        <w:rPr>
          <w:rFonts w:ascii="Times New Roman" w:hAnsi="Times New Roman" w:eastAsia="宋体" w:cs="Times New Roman"/>
          <w:b/>
          <w:bCs/>
          <w:color w:val="auto"/>
          <w:w w:val="99"/>
          <w:highlight w:val="none"/>
          <w:lang w:val="zh-CN" w:bidi="zh-CN"/>
        </w:rPr>
        <w:t>4.4.</w:t>
      </w:r>
      <w:r>
        <w:rPr>
          <w:rFonts w:hint="eastAsia" w:ascii="Times New Roman" w:hAnsi="Times New Roman" w:eastAsia="宋体" w:cs="Times New Roman"/>
          <w:b/>
          <w:bCs/>
          <w:color w:val="auto"/>
          <w:w w:val="99"/>
          <w:highlight w:val="none"/>
          <w:lang w:val="en-US" w:bidi="zh-CN"/>
        </w:rPr>
        <w:t>2</w:t>
      </w:r>
      <w:r>
        <w:rPr>
          <w:rFonts w:ascii="Times New Roman" w:hAnsi="Times New Roman" w:eastAsia="宋体" w:cs="Times New Roman"/>
          <w:b/>
          <w:bCs/>
          <w:color w:val="auto"/>
          <w:w w:val="99"/>
          <w:highlight w:val="none"/>
          <w:lang w:val="zh-CN" w:bidi="zh-CN"/>
        </w:rPr>
        <w:t>水污染源调查</w:t>
      </w:r>
    </w:p>
    <w:p w14:paraId="6BD14999">
      <w:pPr>
        <w:pStyle w:val="153"/>
        <w:widowControl w:val="0"/>
        <w:spacing w:line="440" w:lineRule="exact"/>
        <w:ind w:firstLine="473"/>
        <w:jc w:val="both"/>
        <w:rPr>
          <w:rFonts w:ascii="Times New Roman" w:hAnsi="Times New Roman" w:eastAsia="宋体" w:cs="Times New Roman"/>
          <w:color w:val="auto"/>
          <w:w w:val="99"/>
          <w:highlight w:val="none"/>
          <w:lang w:val="zh-CN" w:bidi="zh-CN"/>
        </w:rPr>
      </w:pPr>
      <w:r>
        <w:rPr>
          <w:rFonts w:ascii="Times New Roman" w:hAnsi="Times New Roman" w:eastAsia="宋体" w:cs="Times New Roman"/>
          <w:color w:val="auto"/>
          <w:w w:val="99"/>
          <w:highlight w:val="none"/>
          <w:lang w:val="zh-CN" w:bidi="zh-CN"/>
        </w:rPr>
        <w:t>现有区块内</w:t>
      </w:r>
      <w:r>
        <w:rPr>
          <w:rFonts w:hint="eastAsia" w:ascii="Times New Roman" w:hAnsi="Times New Roman" w:cs="Times New Roman"/>
          <w:color w:val="auto"/>
          <w:w w:val="99"/>
          <w:highlight w:val="none"/>
          <w:lang w:val="zh-CN" w:bidi="zh-CN"/>
        </w:rPr>
        <w:t>气井采出水</w:t>
      </w:r>
      <w:r>
        <w:rPr>
          <w:rFonts w:ascii="Times New Roman" w:hAnsi="Times New Roman" w:eastAsia="宋体" w:cs="Times New Roman"/>
          <w:color w:val="auto"/>
          <w:w w:val="99"/>
          <w:highlight w:val="none"/>
          <w:lang w:val="zh-CN" w:bidi="zh-CN"/>
        </w:rPr>
        <w:t>在各集气站污水储罐暂存，然后由集输管网统一输送至升一联气田污水处理站集中处理；区块内场站员工产生的生活污水</w:t>
      </w:r>
      <w:r>
        <w:rPr>
          <w:rFonts w:hint="eastAsia" w:ascii="Times New Roman" w:hAnsi="Times New Roman" w:eastAsia="宋体" w:cs="Times New Roman"/>
          <w:color w:val="auto"/>
          <w:w w:val="99"/>
          <w:highlight w:val="none"/>
          <w:lang w:val="zh-CN" w:bidi="zh-CN"/>
        </w:rPr>
        <w:t>排入附近场站已建生活污水收集设施，</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r>
        <w:rPr>
          <w:rFonts w:ascii="Times New Roman" w:hAnsi="Times New Roman" w:eastAsia="宋体" w:cs="Times New Roman"/>
          <w:color w:val="auto"/>
          <w:w w:val="99"/>
          <w:highlight w:val="none"/>
          <w:lang w:val="zh-CN" w:bidi="zh-CN"/>
        </w:rPr>
        <w:t>，因此本区块内无废水排放。区域内存在农业生产使用化肥、农药以及居民生活排放的生活污水等。</w:t>
      </w:r>
    </w:p>
    <w:p w14:paraId="19ABCE7A">
      <w:pPr>
        <w:keepNext/>
        <w:keepLines/>
        <w:widowControl w:val="0"/>
        <w:tabs>
          <w:tab w:val="left" w:pos="892"/>
        </w:tabs>
        <w:spacing w:before="60" w:after="60" w:line="440" w:lineRule="exact"/>
        <w:jc w:val="both"/>
        <w:outlineLvl w:val="2"/>
        <w:rPr>
          <w:rFonts w:ascii="Times New Roman" w:hAnsi="Times New Roman" w:eastAsia="宋体" w:cs="Times New Roman"/>
          <w:b/>
          <w:bCs/>
          <w:color w:val="auto"/>
          <w:w w:val="99"/>
          <w:highlight w:val="none"/>
          <w:lang w:val="zh-CN" w:bidi="zh-CN"/>
        </w:rPr>
      </w:pPr>
      <w:r>
        <w:rPr>
          <w:rFonts w:hint="eastAsia" w:ascii="Times New Roman" w:hAnsi="Times New Roman" w:eastAsia="宋体" w:cs="Times New Roman"/>
          <w:b/>
          <w:bCs/>
          <w:color w:val="auto"/>
          <w:w w:val="99"/>
          <w:highlight w:val="none"/>
          <w:lang w:val="en-US" w:bidi="zh-CN"/>
        </w:rPr>
        <w:t>4.4.3</w:t>
      </w:r>
      <w:r>
        <w:rPr>
          <w:rFonts w:ascii="Times New Roman" w:hAnsi="Times New Roman" w:eastAsia="宋体" w:cs="Times New Roman"/>
          <w:b/>
          <w:bCs/>
          <w:color w:val="auto"/>
          <w:w w:val="99"/>
          <w:highlight w:val="none"/>
          <w:lang w:val="zh-CN" w:bidi="zh-CN"/>
        </w:rPr>
        <w:t>噪声污染源调查</w:t>
      </w:r>
    </w:p>
    <w:p w14:paraId="4FD836ED">
      <w:pPr>
        <w:widowControl w:val="0"/>
        <w:numPr>
          <w:ilvl w:val="0"/>
          <w:numId w:val="0"/>
        </w:numPr>
        <w:spacing w:line="440" w:lineRule="exact"/>
        <w:ind w:firstLine="474" w:firstLineChars="200"/>
        <w:jc w:val="both"/>
        <w:rPr>
          <w:rFonts w:ascii="Times New Roman" w:hAnsi="Times New Roman" w:eastAsia="宋体" w:cs="Times New Roman"/>
          <w:color w:val="auto"/>
          <w:w w:val="99"/>
          <w:highlight w:val="none"/>
          <w:lang w:val="zh-CN" w:bidi="zh-CN"/>
        </w:rPr>
      </w:pPr>
      <w:r>
        <w:rPr>
          <w:rFonts w:ascii="Times New Roman" w:hAnsi="Times New Roman" w:eastAsia="宋体" w:cs="Times New Roman"/>
          <w:color w:val="auto"/>
          <w:w w:val="99"/>
          <w:highlight w:val="none"/>
          <w:lang w:val="zh-CN" w:bidi="zh-CN"/>
        </w:rPr>
        <w:t>现有工程主要声源来自井场和场站检修时的天然气放空噪声、集气站内设备、机泵运行产生的噪声以及运输车辆噪声。根据现状监测结果，现有场站厂界噪声满足《工业企业厂界环境噪声排放标准》（GB12348-2008）中2类标准要求。由于场站检修时放空时间和井场放空时间较短，且距离村屯等声环境保护目标较远，对周边声环境影响较小。</w:t>
      </w:r>
    </w:p>
    <w:p w14:paraId="2D3B9945">
      <w:pPr>
        <w:keepNext/>
        <w:keepLines/>
        <w:widowControl w:val="0"/>
        <w:tabs>
          <w:tab w:val="left" w:pos="892"/>
        </w:tabs>
        <w:spacing w:before="60" w:after="60" w:line="440" w:lineRule="exact"/>
        <w:jc w:val="both"/>
        <w:outlineLvl w:val="2"/>
        <w:rPr>
          <w:rFonts w:ascii="Times New Roman" w:hAnsi="Times New Roman" w:eastAsia="宋体" w:cs="Times New Roman"/>
          <w:b/>
          <w:bCs/>
          <w:color w:val="auto"/>
          <w:w w:val="99"/>
          <w:highlight w:val="none"/>
          <w:lang w:val="zh-CN" w:bidi="zh-CN"/>
        </w:rPr>
      </w:pPr>
      <w:r>
        <w:rPr>
          <w:rFonts w:hint="eastAsia" w:ascii="Times New Roman" w:hAnsi="Times New Roman" w:eastAsia="宋体" w:cs="Times New Roman"/>
          <w:b/>
          <w:bCs/>
          <w:color w:val="auto"/>
          <w:w w:val="99"/>
          <w:highlight w:val="none"/>
          <w:lang w:val="en-US" w:bidi="zh-CN"/>
        </w:rPr>
        <w:t>4.4.4</w:t>
      </w:r>
      <w:r>
        <w:rPr>
          <w:rFonts w:ascii="Times New Roman" w:hAnsi="Times New Roman" w:eastAsia="宋体" w:cs="Times New Roman"/>
          <w:b/>
          <w:bCs/>
          <w:color w:val="auto"/>
          <w:w w:val="99"/>
          <w:highlight w:val="none"/>
          <w:lang w:val="zh-CN" w:bidi="zh-CN"/>
        </w:rPr>
        <w:t>固体废物污染源调查</w:t>
      </w:r>
    </w:p>
    <w:p w14:paraId="437110FD">
      <w:pPr>
        <w:widowControl w:val="0"/>
        <w:numPr>
          <w:ilvl w:val="0"/>
          <w:numId w:val="0"/>
        </w:numPr>
        <w:spacing w:line="440" w:lineRule="exact"/>
        <w:ind w:firstLine="474" w:firstLineChars="200"/>
        <w:jc w:val="both"/>
        <w:rPr>
          <w:rFonts w:ascii="Times New Roman" w:hAnsi="Times New Roman" w:eastAsia="宋体" w:cs="Times New Roman"/>
          <w:color w:val="auto"/>
          <w:w w:val="99"/>
          <w:highlight w:val="none"/>
          <w:lang w:val="zh-CN" w:bidi="zh-CN"/>
        </w:rPr>
      </w:pPr>
      <w:r>
        <w:rPr>
          <w:rFonts w:ascii="Times New Roman" w:hAnsi="Times New Roman" w:eastAsia="宋体" w:cs="Times New Roman"/>
          <w:color w:val="auto"/>
          <w:w w:val="99"/>
          <w:highlight w:val="none"/>
          <w:lang w:val="zh-CN" w:bidi="zh-CN"/>
        </w:rPr>
        <w:t>项目所在区域内固体废物污染源主要为</w:t>
      </w:r>
      <w:r>
        <w:rPr>
          <w:rFonts w:hint="eastAsia" w:ascii="Times New Roman" w:hAnsi="Times New Roman" w:cs="Times New Roman"/>
          <w:color w:val="auto"/>
          <w:w w:val="99"/>
          <w:highlight w:val="none"/>
          <w:lang w:val="zh-CN" w:bidi="zh-CN"/>
        </w:rPr>
        <w:t>井口含油砂砾</w:t>
      </w:r>
      <w:r>
        <w:rPr>
          <w:rFonts w:ascii="Times New Roman" w:hAnsi="Times New Roman" w:eastAsia="宋体" w:cs="Times New Roman"/>
          <w:color w:val="auto"/>
          <w:w w:val="99"/>
          <w:highlight w:val="none"/>
          <w:lang w:val="zh-CN" w:bidi="zh-CN"/>
        </w:rPr>
        <w:t>、废三甘醇、废活性炭、废润滑油、废润滑油桶、分离器检修废渣和生活垃圾等。</w:t>
      </w:r>
      <w:r>
        <w:rPr>
          <w:rFonts w:hint="eastAsia" w:ascii="Times New Roman" w:hAnsi="Times New Roman" w:cs="Times New Roman"/>
          <w:color w:val="auto"/>
          <w:w w:val="99"/>
          <w:highlight w:val="none"/>
          <w:lang w:val="zh-CN" w:bidi="zh-CN"/>
        </w:rPr>
        <w:t>井口含油砂砾</w:t>
      </w:r>
      <w:r>
        <w:rPr>
          <w:rFonts w:hint="eastAsia" w:ascii="Times New Roman" w:hAnsi="Times New Roman" w:cs="Times New Roman"/>
          <w:color w:val="auto"/>
          <w:w w:val="99"/>
          <w:highlight w:val="none"/>
          <w:lang w:val="en-US" w:bidi="zh-CN"/>
        </w:rPr>
        <w:t>目前未产生，如产生，</w:t>
      </w:r>
      <w:r>
        <w:rPr>
          <w:rFonts w:ascii="Times New Roman" w:hAnsi="Times New Roman" w:eastAsia="宋体" w:cs="Times New Roman"/>
          <w:color w:val="auto"/>
          <w:w w:val="99"/>
          <w:highlight w:val="none"/>
          <w:lang w:val="zh-CN" w:bidi="zh-CN"/>
        </w:rPr>
        <w:t>由检维修队送采气分公司危险废物贮存库内，定期委托有危废处置资质的单位处置；集气站三甘醇脱水装置产生的废活性炭暂存于采气分公司危险废物贮存库，定期委托有危废处置资质的单位处置；集气站压缩机运行过程产生的废润滑油和废油桶暂存于采气分公司危险废物贮存库内，定期委托有危废处置资质的单位处置；集气站分离器检修废渣暂存于采气分公司危险废物贮存库内，定期委托有危废处置资质的单位处置。集气站三甘醇脱水装置产生的废三甘醇由厂家回收处理。生活垃圾集中收集，统一收集后运至</w:t>
      </w:r>
      <w:r>
        <w:rPr>
          <w:rFonts w:hint="eastAsia" w:ascii="Times New Roman" w:hAnsi="Times New Roman" w:cs="Times New Roman"/>
          <w:color w:val="auto"/>
          <w:w w:val="99"/>
          <w:highlight w:val="none"/>
          <w:lang w:val="zh-CN" w:bidi="zh-CN"/>
        </w:rPr>
        <w:t>肇东北控环境再生能源有限公司</w:t>
      </w:r>
      <w:r>
        <w:rPr>
          <w:rFonts w:ascii="Times New Roman" w:hAnsi="Times New Roman" w:eastAsia="宋体" w:cs="Times New Roman"/>
          <w:color w:val="auto"/>
          <w:w w:val="99"/>
          <w:highlight w:val="none"/>
          <w:lang w:val="zh-CN" w:bidi="zh-CN"/>
        </w:rPr>
        <w:t>垃圾处理厂进行处理。</w:t>
      </w:r>
    </w:p>
    <w:bookmarkEnd w:id="776"/>
    <w:bookmarkEnd w:id="777"/>
    <w:bookmarkEnd w:id="778"/>
    <w:bookmarkEnd w:id="779"/>
    <w:bookmarkEnd w:id="780"/>
    <w:bookmarkEnd w:id="781"/>
    <w:bookmarkEnd w:id="782"/>
    <w:p w14:paraId="13A02555">
      <w:pPr>
        <w:pStyle w:val="4"/>
        <w:widowControl w:val="0"/>
        <w:spacing w:before="180" w:after="180" w:line="440" w:lineRule="exact"/>
        <w:rPr>
          <w:rFonts w:ascii="Times New Roman" w:hAnsi="Times New Roman" w:eastAsia="宋体"/>
          <w:b/>
          <w:snapToGrid w:val="0"/>
          <w:color w:val="auto"/>
          <w:w w:val="99"/>
          <w:sz w:val="30"/>
          <w:szCs w:val="30"/>
          <w:highlight w:val="none"/>
        </w:rPr>
      </w:pPr>
      <w:bookmarkStart w:id="799" w:name="_Toc31030"/>
      <w:bookmarkStart w:id="800" w:name="_Toc502736513"/>
      <w:bookmarkStart w:id="801" w:name="_Toc480447673"/>
      <w:r>
        <w:rPr>
          <w:rFonts w:ascii="Times New Roman" w:hAnsi="Times New Roman" w:eastAsia="宋体"/>
          <w:b/>
          <w:snapToGrid w:val="0"/>
          <w:color w:val="auto"/>
          <w:w w:val="99"/>
          <w:sz w:val="30"/>
          <w:szCs w:val="30"/>
          <w:highlight w:val="none"/>
        </w:rPr>
        <w:t>5环境影响预测与评价</w:t>
      </w:r>
      <w:bookmarkEnd w:id="799"/>
    </w:p>
    <w:p w14:paraId="01C4EFE5">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802" w:name="_Toc9760"/>
      <w:bookmarkStart w:id="803" w:name="_Toc57707967"/>
      <w:bookmarkStart w:id="804" w:name="_Toc17898220"/>
      <w:bookmarkStart w:id="805" w:name="_Toc57976719"/>
      <w:bookmarkStart w:id="806" w:name="_Toc502736499"/>
      <w:bookmarkStart w:id="807" w:name="_Toc57203297"/>
      <w:bookmarkStart w:id="808" w:name="_Toc11814"/>
      <w:r>
        <w:rPr>
          <w:rFonts w:ascii="Times New Roman" w:hAnsi="Times New Roman" w:eastAsia="宋体"/>
          <w:b/>
          <w:snapToGrid w:val="0"/>
          <w:color w:val="auto"/>
          <w:w w:val="99"/>
          <w:highlight w:val="none"/>
        </w:rPr>
        <w:t>5.1大气环境影响</w:t>
      </w:r>
      <w:bookmarkEnd w:id="802"/>
      <w:bookmarkEnd w:id="803"/>
      <w:bookmarkEnd w:id="804"/>
      <w:bookmarkEnd w:id="805"/>
      <w:bookmarkEnd w:id="806"/>
      <w:bookmarkEnd w:id="807"/>
      <w:r>
        <w:rPr>
          <w:rFonts w:ascii="Times New Roman" w:hAnsi="Times New Roman" w:eastAsia="宋体"/>
          <w:b/>
          <w:snapToGrid w:val="0"/>
          <w:color w:val="auto"/>
          <w:w w:val="99"/>
          <w:highlight w:val="none"/>
        </w:rPr>
        <w:t>预测与评价</w:t>
      </w:r>
      <w:bookmarkEnd w:id="808"/>
    </w:p>
    <w:p w14:paraId="7B33D8A3">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809" w:name="_Toc70050233"/>
      <w:bookmarkStart w:id="810" w:name="_Toc78816512"/>
      <w:bookmarkStart w:id="811" w:name="_Toc83209529"/>
      <w:bookmarkStart w:id="812" w:name="_Toc77067710"/>
      <w:bookmarkStart w:id="813" w:name="_Toc80971429"/>
      <w:bookmarkStart w:id="814" w:name="_Toc186444334"/>
      <w:bookmarkStart w:id="815" w:name="_Toc67860184"/>
      <w:bookmarkStart w:id="816" w:name="_Toc76976298"/>
      <w:bookmarkStart w:id="817" w:name="_Toc80588307"/>
      <w:bookmarkStart w:id="818" w:name="_Toc11047899"/>
      <w:r>
        <w:rPr>
          <w:rFonts w:eastAsia="宋体"/>
          <w:b/>
          <w:color w:val="auto"/>
          <w:w w:val="99"/>
          <w:kern w:val="2"/>
          <w:sz w:val="24"/>
          <w:szCs w:val="24"/>
          <w:highlight w:val="none"/>
        </w:rPr>
        <w:t>5.1.1施工期</w:t>
      </w:r>
      <w:bookmarkEnd w:id="809"/>
      <w:bookmarkEnd w:id="810"/>
      <w:bookmarkEnd w:id="811"/>
      <w:bookmarkEnd w:id="812"/>
      <w:bookmarkEnd w:id="813"/>
      <w:bookmarkEnd w:id="814"/>
      <w:bookmarkEnd w:id="815"/>
      <w:bookmarkEnd w:id="816"/>
      <w:bookmarkEnd w:id="817"/>
    </w:p>
    <w:p w14:paraId="0F0AEB1E">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本工程施工期对大气环境的影响主要是施工产生的扬尘、运输车辆排放的尾气、焊接烟尘。</w:t>
      </w:r>
    </w:p>
    <w:p w14:paraId="30EA98B8">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（1）施工扬尘</w:t>
      </w:r>
    </w:p>
    <w:p w14:paraId="32F194E0">
      <w:pPr>
        <w:widowControl w:val="0"/>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运输车辆行驶扬尘与车辆行驶速度、风速、路面积尘量和积尘湿度等因素有关。当车辆通过干燥且路况较差路段时，在行车道</w:t>
      </w:r>
      <w:r>
        <w:rPr>
          <w:rFonts w:hint="eastAsia" w:ascii="Times New Roman" w:hAnsi="Times New Roman" w:cs="Times New Roman"/>
          <w:color w:val="auto"/>
          <w:w w:val="99"/>
          <w:highlight w:val="none"/>
          <w:lang w:val="en-US" w:eastAsia="zh-CN"/>
        </w:rPr>
        <w:t>路</w:t>
      </w:r>
      <w:r>
        <w:rPr>
          <w:rFonts w:ascii="Times New Roman" w:hAnsi="Times New Roman" w:cs="Times New Roman"/>
          <w:color w:val="auto"/>
          <w:w w:val="99"/>
          <w:highlight w:val="none"/>
        </w:rPr>
        <w:t>两侧扬尘的TSP浓度短期内可达8-10mg/m</w:t>
      </w:r>
      <w:r>
        <w:rPr>
          <w:rFonts w:ascii="Times New Roman" w:hAnsi="Times New Roman" w:cs="Times New Roman"/>
          <w:color w:val="auto"/>
          <w:w w:val="99"/>
          <w:highlight w:val="none"/>
          <w:vertAlign w:val="superscript"/>
        </w:rPr>
        <w:t>3</w:t>
      </w:r>
      <w:r>
        <w:rPr>
          <w:rFonts w:ascii="Times New Roman" w:hAnsi="Times New Roman" w:cs="Times New Roman"/>
          <w:color w:val="auto"/>
          <w:w w:val="99"/>
          <w:highlight w:val="none"/>
        </w:rPr>
        <w:t>。</w:t>
      </w:r>
    </w:p>
    <w:p w14:paraId="78E91A88">
      <w:pPr>
        <w:widowControl w:val="0"/>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一般情况下，施工场地、施工道路在自然风作用下产生的扬尘所影响的范围在100m以内，本项目施工区域100m范围内无环境敏感点，建设过程中产生的施工扬尘不会对周边环境产生较大影响。根据本工程特点，在施工过程中应采取以下措施：</w:t>
      </w:r>
    </w:p>
    <w:p w14:paraId="55E51062">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color w:val="auto"/>
          <w:w w:val="99"/>
          <w:highlight w:val="none"/>
        </w:rPr>
        <w:t>1）</w:t>
      </w:r>
      <w:r>
        <w:rPr>
          <w:rFonts w:ascii="Times New Roman" w:hAnsi="Times New Roman" w:cs="Times New Roman" w:eastAsiaTheme="minorEastAsia"/>
          <w:color w:val="auto"/>
          <w:w w:val="99"/>
          <w:highlight w:val="none"/>
        </w:rPr>
        <w:t>材料运输过程中，进行材料遮盖，防止材料洒落、风刮起的粉尘；</w:t>
      </w:r>
    </w:p>
    <w:p w14:paraId="4FB26774">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color w:val="auto"/>
          <w:w w:val="99"/>
          <w:highlight w:val="none"/>
        </w:rPr>
        <w:t>2）</w:t>
      </w:r>
      <w:r>
        <w:rPr>
          <w:rFonts w:ascii="Times New Roman" w:hAnsi="Times New Roman" w:cs="Times New Roman" w:eastAsiaTheme="minorEastAsia"/>
          <w:color w:val="auto"/>
          <w:w w:val="99"/>
          <w:highlight w:val="none"/>
        </w:rPr>
        <w:t>施工场地干燥时适当洒水抑尘，建材堆放应定位定点，并采取防尘、抑尘措施，如设置挡风板、上覆遮盖材料等；</w:t>
      </w:r>
    </w:p>
    <w:p w14:paraId="0A379D8B">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color w:val="auto"/>
          <w:w w:val="99"/>
          <w:highlight w:val="none"/>
        </w:rPr>
        <w:t>3）</w:t>
      </w:r>
      <w:r>
        <w:rPr>
          <w:rFonts w:ascii="Times New Roman" w:hAnsi="Times New Roman" w:cs="Times New Roman" w:eastAsiaTheme="minorEastAsia"/>
          <w:color w:val="auto"/>
          <w:w w:val="99"/>
          <w:highlight w:val="none"/>
        </w:rPr>
        <w:t>运输车辆进入居民区附近施工场地应低速行驶或限速行驶，减少扬尘产生。</w:t>
      </w:r>
    </w:p>
    <w:p w14:paraId="12A38D27">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4）在施工过程中，应定时适量洒水，并在大风天加大洒水量及洒水次数，使作业面保持一定的湿度；</w:t>
      </w:r>
    </w:p>
    <w:p w14:paraId="276AD8BA">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5）加强回填土方堆放场的管理，要采取土方表面压实、覆盖等措施；</w:t>
      </w:r>
    </w:p>
    <w:p w14:paraId="49091CF4">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6）在距离</w:t>
      </w:r>
      <w:r>
        <w:rPr>
          <w:rFonts w:hint="eastAsia" w:ascii="Times New Roman" w:hAnsi="Times New Roman" w:cs="Times New Roman" w:eastAsiaTheme="minorEastAsia"/>
          <w:color w:val="auto"/>
          <w:w w:val="99"/>
          <w:highlight w:val="none"/>
          <w:lang w:val="en-US" w:eastAsia="zh-CN"/>
        </w:rPr>
        <w:t>邢家围子</w:t>
      </w:r>
      <w:r>
        <w:rPr>
          <w:rFonts w:ascii="Times New Roman" w:hAnsi="Times New Roman" w:cs="Times New Roman" w:eastAsiaTheme="minorEastAsia"/>
          <w:color w:val="auto"/>
          <w:w w:val="99"/>
          <w:highlight w:val="none"/>
        </w:rPr>
        <w:t>屯较近</w:t>
      </w:r>
      <w:r>
        <w:rPr>
          <w:rFonts w:ascii="Times New Roman" w:hAnsi="Times New Roman" w:cs="Times New Roman" w:eastAsiaTheme="minorEastAsia"/>
          <w:bCs/>
          <w:color w:val="auto"/>
          <w:w w:val="99"/>
          <w:highlight w:val="none"/>
        </w:rPr>
        <w:t>管线施工过程中采取人工开挖，施工阶段设置围挡等方式降低施工噪声及扬尘对周边村屯的影响，围挡设置在临时占地范围内，</w:t>
      </w:r>
      <w:r>
        <w:rPr>
          <w:rFonts w:hint="eastAsia" w:ascii="Times New Roman" w:hAnsi="Times New Roman" w:cs="Times New Roman" w:eastAsiaTheme="minorEastAsia"/>
          <w:bCs/>
          <w:color w:val="auto"/>
          <w:w w:val="99"/>
          <w:highlight w:val="none"/>
        </w:rPr>
        <w:t>优先选用环保、可回收利用的材料，围挡高度不低于</w:t>
      </w:r>
      <w:r>
        <w:rPr>
          <w:rFonts w:ascii="Times New Roman" w:hAnsi="Times New Roman" w:cs="Times New Roman" w:eastAsiaTheme="minorEastAsia"/>
          <w:bCs/>
          <w:color w:val="auto"/>
          <w:w w:val="99"/>
          <w:highlight w:val="none"/>
        </w:rPr>
        <w:t>1.8</w:t>
      </w:r>
      <w:r>
        <w:rPr>
          <w:rFonts w:hint="eastAsia" w:ascii="Times New Roman" w:hAnsi="Times New Roman" w:cs="Times New Roman" w:eastAsiaTheme="minorEastAsia"/>
          <w:bCs/>
          <w:color w:val="auto"/>
          <w:w w:val="99"/>
          <w:highlight w:val="none"/>
        </w:rPr>
        <w:t>m，围挡应连续设置，不得有缺口、裂缝或破损，确保施工现场的封闭性</w:t>
      </w:r>
      <w:r>
        <w:rPr>
          <w:rFonts w:ascii="Times New Roman" w:hAnsi="Times New Roman" w:cs="Times New Roman" w:eastAsiaTheme="minorEastAsia"/>
          <w:color w:val="auto"/>
          <w:w w:val="99"/>
          <w:highlight w:val="none"/>
        </w:rPr>
        <w:t>。</w:t>
      </w:r>
    </w:p>
    <w:p w14:paraId="7DA89E1E">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取上述措施后，可有效降低施工期产生的扬尘，颗粒物浓度能够满足《大气污染物综合排放标准》（GB16297-1996）表2中无组织排放监控浓度限值要求。项目施工结束后及时恢复施工占地的原有地表形态。施工扬尘对沿线敏感目标影响具有一定的时段性，这种影响随着施工期的结束而消失。</w:t>
      </w:r>
    </w:p>
    <w:p w14:paraId="48C6F12A">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w:t>
      </w:r>
      <w:r>
        <w:rPr>
          <w:rFonts w:ascii="Times New Roman" w:hAnsi="Times New Roman" w:cs="Times New Roman"/>
          <w:color w:val="auto"/>
          <w:w w:val="99"/>
          <w:highlight w:val="none"/>
        </w:rPr>
        <w:t>施工车辆尾气</w:t>
      </w:r>
    </w:p>
    <w:p w14:paraId="131EB34C">
      <w:pPr>
        <w:widowControl w:val="0"/>
        <w:spacing w:line="440" w:lineRule="exact"/>
        <w:ind w:firstLine="474" w:firstLineChars="200"/>
        <w:jc w:val="both"/>
        <w:rPr>
          <w:rFonts w:ascii="Times New Roman" w:hAnsi="Times New Roman" w:eastAsia="黑体" w:cs="Times New Roman"/>
          <w:color w:val="auto"/>
          <w:w w:val="99"/>
          <w:highlight w:val="none"/>
        </w:rPr>
      </w:pPr>
      <w:r>
        <w:rPr>
          <w:rFonts w:ascii="Times New Roman" w:hAnsi="Times New Roman" w:cs="Times New Roman"/>
          <w:color w:val="auto"/>
          <w:w w:val="99"/>
          <w:highlight w:val="none"/>
        </w:rPr>
        <w:t>本工程施工期各类工程及运输车辆排放的尾气会对大气环境造成一定污染，排放主要污染物为NOx、CO、HC等，均属于无组织排放，施工所处地区宽阔，地形简单，污染物在大气中可快速扩散，由于车辆排放的尾气为流动的线源，影响范围较大，但其污染不集中且扩散能力相对较快，因此对环境空气的影响不是很大。</w:t>
      </w:r>
    </w:p>
    <w:p w14:paraId="27B93A04">
      <w:pPr>
        <w:widowControl w:val="0"/>
        <w:spacing w:line="440" w:lineRule="exact"/>
        <w:ind w:firstLine="474" w:firstLineChars="200"/>
        <w:jc w:val="both"/>
        <w:rPr>
          <w:rFonts w:ascii="Times New Roman" w:hAnsi="Times New Roman" w:cs="Times New Roman" w:eastAsiaTheme="minorEastAsia"/>
          <w:color w:val="auto"/>
          <w:w w:val="99"/>
          <w:highlight w:val="none"/>
          <w:lang w:val="zh-CN"/>
        </w:rPr>
      </w:pPr>
      <w:r>
        <w:rPr>
          <w:rFonts w:ascii="Times New Roman" w:hAnsi="Times New Roman" w:cs="Times New Roman" w:eastAsiaTheme="minorEastAsia"/>
          <w:color w:val="auto"/>
          <w:w w:val="99"/>
          <w:highlight w:val="none"/>
        </w:rPr>
        <w:t>（3）</w:t>
      </w:r>
      <w:r>
        <w:rPr>
          <w:rFonts w:ascii="Times New Roman" w:hAnsi="Times New Roman" w:cs="Times New Roman" w:eastAsiaTheme="minorEastAsia"/>
          <w:color w:val="auto"/>
          <w:w w:val="99"/>
          <w:highlight w:val="none"/>
          <w:lang w:val="zh-CN"/>
        </w:rPr>
        <w:t>焊接烟尘</w:t>
      </w:r>
    </w:p>
    <w:p w14:paraId="07F360A8">
      <w:pPr>
        <w:widowControl w:val="0"/>
        <w:spacing w:line="440" w:lineRule="exact"/>
        <w:ind w:firstLine="474" w:firstLineChars="200"/>
        <w:jc w:val="both"/>
        <w:rPr>
          <w:rFonts w:ascii="Times New Roman" w:hAnsi="Times New Roman" w:cs="Times New Roman" w:eastAsiaTheme="minorEastAsia"/>
          <w:color w:val="auto"/>
          <w:w w:val="99"/>
          <w:highlight w:val="none"/>
          <w:lang w:val="zh-CN"/>
        </w:rPr>
      </w:pPr>
      <w:r>
        <w:rPr>
          <w:rFonts w:ascii="Times New Roman" w:hAnsi="Times New Roman" w:cs="Times New Roman" w:eastAsiaTheme="minorEastAsia"/>
          <w:color w:val="auto"/>
          <w:w w:val="99"/>
          <w:highlight w:val="none"/>
          <w:lang w:val="zh-CN"/>
        </w:rPr>
        <w:t>项目管道焊接主要方式为电焊，焊接过程中会产生少量焊接烟尘，焊接烟气中有毒有害气体的成</w:t>
      </w:r>
      <w:r>
        <w:rPr>
          <w:rFonts w:hint="eastAsia" w:ascii="Times New Roman" w:hAnsi="Times New Roman" w:cs="Times New Roman" w:eastAsiaTheme="minorEastAsia"/>
          <w:color w:val="auto"/>
          <w:w w:val="99"/>
          <w:highlight w:val="none"/>
          <w:lang w:val="en-US" w:eastAsia="zh-CN"/>
        </w:rPr>
        <w:t>分</w:t>
      </w:r>
      <w:r>
        <w:rPr>
          <w:rFonts w:ascii="Times New Roman" w:hAnsi="Times New Roman" w:cs="Times New Roman" w:eastAsiaTheme="minorEastAsia"/>
          <w:color w:val="auto"/>
          <w:w w:val="99"/>
          <w:highlight w:val="none"/>
          <w:lang w:val="zh-CN"/>
        </w:rPr>
        <w:t>主要为CO、CO</w:t>
      </w:r>
      <w:r>
        <w:rPr>
          <w:rFonts w:ascii="Times New Roman" w:hAnsi="Times New Roman" w:cs="Times New Roman" w:eastAsiaTheme="minorEastAsia"/>
          <w:color w:val="auto"/>
          <w:w w:val="99"/>
          <w:highlight w:val="none"/>
          <w:vertAlign w:val="subscript"/>
          <w:lang w:val="zh-CN"/>
        </w:rPr>
        <w:t>2</w:t>
      </w:r>
      <w:r>
        <w:rPr>
          <w:rFonts w:ascii="Times New Roman" w:hAnsi="Times New Roman" w:cs="Times New Roman" w:eastAsiaTheme="minorEastAsia"/>
          <w:color w:val="auto"/>
          <w:w w:val="99"/>
          <w:highlight w:val="none"/>
          <w:lang w:val="zh-CN"/>
        </w:rPr>
        <w:t>、O</w:t>
      </w:r>
      <w:r>
        <w:rPr>
          <w:rFonts w:ascii="Times New Roman" w:hAnsi="Times New Roman" w:cs="Times New Roman" w:eastAsiaTheme="minorEastAsia"/>
          <w:color w:val="auto"/>
          <w:w w:val="99"/>
          <w:highlight w:val="none"/>
          <w:vertAlign w:val="subscript"/>
          <w:lang w:val="zh-CN"/>
        </w:rPr>
        <w:t>3</w:t>
      </w:r>
      <w:r>
        <w:rPr>
          <w:rFonts w:ascii="Times New Roman" w:hAnsi="Times New Roman" w:cs="Times New Roman" w:eastAsiaTheme="minorEastAsia"/>
          <w:color w:val="auto"/>
          <w:w w:val="99"/>
          <w:highlight w:val="none"/>
          <w:lang w:val="zh-CN"/>
        </w:rPr>
        <w:t>、NO</w:t>
      </w:r>
      <w:r>
        <w:rPr>
          <w:rFonts w:ascii="Times New Roman" w:hAnsi="Times New Roman" w:cs="Times New Roman" w:eastAsiaTheme="minorEastAsia"/>
          <w:color w:val="auto"/>
          <w:w w:val="99"/>
          <w:highlight w:val="none"/>
          <w:vertAlign w:val="subscript"/>
          <w:lang w:val="zh-CN"/>
        </w:rPr>
        <w:t>x</w:t>
      </w:r>
      <w:r>
        <w:rPr>
          <w:rFonts w:ascii="Times New Roman" w:hAnsi="Times New Roman" w:cs="Times New Roman" w:eastAsiaTheme="minorEastAsia"/>
          <w:color w:val="auto"/>
          <w:w w:val="99"/>
          <w:highlight w:val="none"/>
          <w:lang w:val="zh-CN"/>
        </w:rPr>
        <w:t>、CH</w:t>
      </w:r>
      <w:r>
        <w:rPr>
          <w:rFonts w:ascii="Times New Roman" w:hAnsi="Times New Roman" w:cs="Times New Roman" w:eastAsiaTheme="minorEastAsia"/>
          <w:color w:val="auto"/>
          <w:w w:val="99"/>
          <w:highlight w:val="none"/>
          <w:vertAlign w:val="subscript"/>
          <w:lang w:val="zh-CN"/>
        </w:rPr>
        <w:t>4</w:t>
      </w:r>
      <w:r>
        <w:rPr>
          <w:rFonts w:ascii="Times New Roman" w:hAnsi="Times New Roman" w:cs="Times New Roman" w:eastAsiaTheme="minorEastAsia"/>
          <w:color w:val="auto"/>
          <w:w w:val="99"/>
          <w:highlight w:val="none"/>
          <w:lang w:val="zh-CN"/>
        </w:rPr>
        <w:t>等，其中以CO所占的比例最大，但由于项目焊接点较少，产生的焊接烟尘量较小，且项目位于室外，空气扩散条件较好，对大气环境影响较小。</w:t>
      </w:r>
    </w:p>
    <w:p w14:paraId="521D3AE9">
      <w:pPr>
        <w:widowControl w:val="0"/>
        <w:spacing w:line="440" w:lineRule="exact"/>
        <w:ind w:firstLine="474" w:firstLineChars="200"/>
        <w:jc w:val="both"/>
        <w:rPr>
          <w:rFonts w:ascii="Times New Roman" w:hAnsi="Times New Roman" w:cs="Times New Roman"/>
          <w:color w:val="auto"/>
          <w:w w:val="99"/>
          <w:highlight w:val="none"/>
        </w:rPr>
      </w:pPr>
      <w:r>
        <w:rPr>
          <w:rFonts w:hint="eastAsia" w:ascii="Times New Roman" w:hAnsi="Times New Roman" w:cs="Times New Roman"/>
          <w:bCs/>
          <w:color w:val="auto"/>
          <w:w w:val="99"/>
          <w:highlight w:val="none"/>
          <w:lang w:val="en-US" w:eastAsia="zh-CN"/>
        </w:rPr>
        <w:t>综上所述，项目施工期产生的废气，通过采取有效的抑尘、规划行车路线及管理养护措施，施工期场界扬尘（颗粒物）浓度满足《大气污染物综合排放标准》（</w:t>
      </w:r>
      <w:r>
        <w:rPr>
          <w:rFonts w:hint="default" w:ascii="Times New Roman" w:hAnsi="Times New Roman" w:cs="Times New Roman"/>
          <w:bCs/>
          <w:color w:val="auto"/>
          <w:w w:val="99"/>
          <w:highlight w:val="none"/>
          <w:lang w:val="en-US" w:eastAsia="zh-CN"/>
        </w:rPr>
        <w:t>GB16297-1996</w:t>
      </w:r>
      <w:r>
        <w:rPr>
          <w:rFonts w:hint="eastAsia" w:ascii="Times New Roman" w:hAnsi="Times New Roman" w:cs="Times New Roman"/>
          <w:bCs/>
          <w:color w:val="auto"/>
          <w:w w:val="99"/>
          <w:highlight w:val="none"/>
          <w:lang w:val="en-US" w:eastAsia="zh-CN"/>
        </w:rPr>
        <w:t>）要求，对区域空气环境及环保目标影响较小</w:t>
      </w:r>
      <w:r>
        <w:rPr>
          <w:rFonts w:ascii="Times New Roman" w:hAnsi="Times New Roman" w:cs="Times New Roman"/>
          <w:bCs/>
          <w:color w:val="auto"/>
          <w:w w:val="99"/>
          <w:highlight w:val="none"/>
        </w:rPr>
        <w:t>。</w:t>
      </w:r>
    </w:p>
    <w:p w14:paraId="4669EA7D">
      <w:pPr>
        <w:pStyle w:val="7"/>
        <w:keepNext w:val="0"/>
        <w:keepLines w:val="0"/>
        <w:widowControl w:val="0"/>
        <w:spacing w:before="60" w:after="60" w:line="440" w:lineRule="exact"/>
        <w:jc w:val="both"/>
        <w:rPr>
          <w:rFonts w:eastAsia="宋体"/>
          <w:b/>
          <w:color w:val="auto"/>
          <w:w w:val="99"/>
          <w:kern w:val="2"/>
          <w:sz w:val="24"/>
          <w:szCs w:val="24"/>
          <w:highlight w:val="none"/>
        </w:rPr>
      </w:pPr>
      <w:bookmarkStart w:id="819" w:name="_Toc186444335"/>
      <w:bookmarkStart w:id="820" w:name="_Toc80971430"/>
      <w:bookmarkStart w:id="821" w:name="_Toc80588308"/>
      <w:bookmarkStart w:id="822" w:name="_Toc77067711"/>
      <w:bookmarkStart w:id="823" w:name="_Toc67860185"/>
      <w:bookmarkStart w:id="824" w:name="_Toc78816513"/>
      <w:bookmarkStart w:id="825" w:name="_Toc70050234"/>
      <w:bookmarkStart w:id="826" w:name="_Toc83209530"/>
      <w:bookmarkStart w:id="827" w:name="_Toc76976299"/>
      <w:r>
        <w:rPr>
          <w:rFonts w:eastAsia="宋体"/>
          <w:b/>
          <w:color w:val="auto"/>
          <w:w w:val="99"/>
          <w:kern w:val="2"/>
          <w:sz w:val="24"/>
          <w:szCs w:val="24"/>
          <w:highlight w:val="none"/>
        </w:rPr>
        <w:t>5.1.2运营期</w:t>
      </w:r>
      <w:bookmarkEnd w:id="819"/>
      <w:bookmarkEnd w:id="820"/>
      <w:bookmarkEnd w:id="821"/>
      <w:bookmarkEnd w:id="822"/>
      <w:bookmarkEnd w:id="823"/>
      <w:bookmarkEnd w:id="824"/>
      <w:bookmarkEnd w:id="825"/>
      <w:bookmarkEnd w:id="826"/>
      <w:bookmarkEnd w:id="827"/>
    </w:p>
    <w:p w14:paraId="4CFD733E">
      <w:pPr>
        <w:widowControl w:val="0"/>
        <w:spacing w:line="440" w:lineRule="exact"/>
        <w:jc w:val="both"/>
        <w:outlineLvl w:val="3"/>
        <w:rPr>
          <w:rFonts w:ascii="Times New Roman" w:hAnsi="Times New Roman" w:cs="Times New Roman" w:eastAsiaTheme="minorEastAsia"/>
          <w:b/>
          <w:color w:val="auto"/>
          <w:w w:val="99"/>
          <w:highlight w:val="none"/>
        </w:rPr>
      </w:pPr>
      <w:r>
        <w:rPr>
          <w:rFonts w:ascii="Times New Roman" w:hAnsi="Times New Roman" w:cs="Times New Roman" w:eastAsiaTheme="minorEastAsia"/>
          <w:b/>
          <w:color w:val="auto"/>
          <w:w w:val="99"/>
          <w:highlight w:val="none"/>
        </w:rPr>
        <w:t>5.1.2.1评价区域二十年地面气象资料</w:t>
      </w:r>
    </w:p>
    <w:p w14:paraId="128EC638">
      <w:pPr>
        <w:widowControl w:val="0"/>
        <w:numPr>
          <w:ilvl w:val="0"/>
          <w:numId w:val="11"/>
        </w:numPr>
        <w:spacing w:line="440" w:lineRule="exact"/>
        <w:ind w:firstLine="474" w:firstLineChars="200"/>
        <w:jc w:val="both"/>
        <w:rPr>
          <w:rFonts w:hint="eastAsia" w:ascii="Times New Roman" w:hAnsi="Times New Roman" w:cs="Times New Roman" w:eastAsiaTheme="minorEastAsia"/>
          <w:color w:val="auto"/>
          <w:w w:val="99"/>
          <w:highlight w:val="none"/>
          <w:lang w:val="zh-CN"/>
        </w:rPr>
      </w:pPr>
      <w:r>
        <w:rPr>
          <w:rFonts w:hint="eastAsia" w:ascii="Times New Roman" w:hAnsi="Times New Roman" w:cs="Times New Roman" w:eastAsiaTheme="minorEastAsia"/>
          <w:color w:val="auto"/>
          <w:w w:val="99"/>
          <w:highlight w:val="none"/>
          <w:lang w:val="zh-CN"/>
        </w:rPr>
        <w:t>评价区域二十年地面气象资料</w:t>
      </w:r>
    </w:p>
    <w:p w14:paraId="272DA422">
      <w:pPr>
        <w:widowControl w:val="0"/>
        <w:spacing w:line="440" w:lineRule="exact"/>
        <w:ind w:firstLine="474" w:firstLineChars="200"/>
        <w:jc w:val="both"/>
        <w:rPr>
          <w:rFonts w:hint="eastAsia" w:ascii="Times New Roman" w:hAnsi="Times New Roman" w:eastAsia="宋体" w:cs="Times New Roman"/>
          <w:bCs/>
          <w:color w:val="auto"/>
          <w:w w:val="99"/>
          <w:highlight w:val="none"/>
          <w:lang w:val="en-US" w:eastAsia="zh-CN"/>
        </w:rPr>
      </w:pPr>
      <w:r>
        <w:rPr>
          <w:rFonts w:hint="eastAsia" w:ascii="Times New Roman" w:hAnsi="Times New Roman" w:eastAsia="宋体" w:cs="Times New Roman"/>
          <w:bCs/>
          <w:color w:val="auto"/>
          <w:w w:val="99"/>
          <w:highlight w:val="none"/>
          <w:lang w:val="en-US" w:eastAsia="zh-CN"/>
        </w:rPr>
        <w:t>本项目位于东经125.50852°，北纬45.89313°，项目采用的是大庆气象站（一般气象站，50850）资料，气象站位于黑龙江省大庆市，地理坐标为东经124.9903°，北纬46.6208°，海拔高度152m。气象站始建于2005年，于2005年正式进行气象观测。大庆气象站距离本项目</w:t>
      </w:r>
      <w:r>
        <w:rPr>
          <w:rFonts w:hint="eastAsia" w:ascii="Times New Roman" w:hAnsi="Times New Roman" w:cs="Times New Roman"/>
          <w:bCs/>
          <w:color w:val="auto"/>
          <w:w w:val="99"/>
          <w:highlight w:val="none"/>
          <w:lang w:val="en-US" w:eastAsia="zh-CN"/>
        </w:rPr>
        <w:t>90</w:t>
      </w:r>
      <w:r>
        <w:rPr>
          <w:rFonts w:hint="eastAsia" w:ascii="Times New Roman" w:hAnsi="Times New Roman" w:eastAsia="宋体" w:cs="Times New Roman"/>
          <w:bCs/>
          <w:color w:val="auto"/>
          <w:w w:val="99"/>
          <w:highlight w:val="none"/>
          <w:lang w:val="en-US" w:eastAsia="zh-CN"/>
        </w:rPr>
        <w:t>km，是距本项目最近的气象站，拥有长期的气象观测资料，以下资料根据2005-202</w:t>
      </w:r>
      <w:r>
        <w:rPr>
          <w:rFonts w:hint="eastAsia" w:ascii="Times New Roman" w:hAnsi="Times New Roman" w:cs="Times New Roman"/>
          <w:bCs/>
          <w:color w:val="auto"/>
          <w:w w:val="99"/>
          <w:highlight w:val="none"/>
          <w:lang w:val="en-US" w:eastAsia="zh-CN"/>
        </w:rPr>
        <w:t>4</w:t>
      </w:r>
      <w:r>
        <w:rPr>
          <w:rFonts w:hint="eastAsia" w:ascii="Times New Roman" w:hAnsi="Times New Roman" w:eastAsia="宋体" w:cs="Times New Roman"/>
          <w:bCs/>
          <w:color w:val="auto"/>
          <w:w w:val="99"/>
          <w:highlight w:val="none"/>
          <w:lang w:val="en-US" w:eastAsia="zh-CN"/>
        </w:rPr>
        <w:t>年气象数据统计分析。</w:t>
      </w:r>
    </w:p>
    <w:p w14:paraId="44AF6E10">
      <w:pPr>
        <w:widowControl w:val="0"/>
        <w:spacing w:line="440" w:lineRule="exact"/>
        <w:ind w:firstLine="474" w:firstLineChars="200"/>
        <w:jc w:val="both"/>
        <w:rPr>
          <w:rFonts w:ascii="Times New Roman" w:hAnsi="Times New Roman" w:cs="Times New Roman" w:eastAsiaTheme="minorEastAsia"/>
          <w:color w:val="auto"/>
          <w:w w:val="99"/>
          <w:highlight w:val="none"/>
          <w:lang w:val="zh-CN"/>
        </w:rPr>
      </w:pPr>
      <w:r>
        <w:rPr>
          <w:rFonts w:hint="eastAsia" w:ascii="Times New Roman" w:hAnsi="Times New Roman" w:eastAsia="宋体" w:cs="Times New Roman"/>
          <w:bCs/>
          <w:color w:val="auto"/>
          <w:w w:val="99"/>
          <w:highlight w:val="none"/>
          <w:lang w:val="en-US" w:eastAsia="zh-CN"/>
        </w:rPr>
        <w:t>大庆气象站（50850）200</w:t>
      </w:r>
      <w:r>
        <w:rPr>
          <w:rFonts w:hint="eastAsia" w:ascii="Times New Roman" w:hAnsi="Times New Roman" w:cs="Times New Roman"/>
          <w:bCs/>
          <w:color w:val="auto"/>
          <w:w w:val="99"/>
          <w:highlight w:val="none"/>
          <w:lang w:val="en-US" w:eastAsia="zh-CN"/>
        </w:rPr>
        <w:t>5</w:t>
      </w:r>
      <w:r>
        <w:rPr>
          <w:rFonts w:hint="eastAsia" w:ascii="Times New Roman" w:hAnsi="Times New Roman" w:eastAsia="宋体" w:cs="Times New Roman"/>
          <w:bCs/>
          <w:color w:val="auto"/>
          <w:w w:val="99"/>
          <w:highlight w:val="none"/>
          <w:lang w:val="en-US" w:eastAsia="zh-CN"/>
        </w:rPr>
        <w:t>年至202</w:t>
      </w:r>
      <w:r>
        <w:rPr>
          <w:rFonts w:hint="eastAsia" w:ascii="Times New Roman" w:hAnsi="Times New Roman" w:cs="Times New Roman"/>
          <w:bCs/>
          <w:color w:val="auto"/>
          <w:w w:val="99"/>
          <w:highlight w:val="none"/>
          <w:lang w:val="en-US" w:eastAsia="zh-CN"/>
        </w:rPr>
        <w:t>4</w:t>
      </w:r>
      <w:r>
        <w:rPr>
          <w:rFonts w:hint="eastAsia" w:ascii="Times New Roman" w:hAnsi="Times New Roman" w:eastAsia="宋体" w:cs="Times New Roman"/>
          <w:bCs/>
          <w:color w:val="auto"/>
          <w:w w:val="99"/>
          <w:highlight w:val="none"/>
          <w:lang w:val="en-US" w:eastAsia="zh-CN"/>
        </w:rPr>
        <w:t>年气象统计数据见</w:t>
      </w:r>
      <w:r>
        <w:rPr>
          <w:rFonts w:ascii="Times New Roman" w:hAnsi="Times New Roman" w:cs="Times New Roman" w:eastAsiaTheme="minorEastAsia"/>
          <w:color w:val="auto"/>
          <w:w w:val="99"/>
          <w:highlight w:val="none"/>
          <w:lang w:val="zh-CN"/>
        </w:rPr>
        <w:t>表5</w:t>
      </w:r>
      <w:r>
        <w:rPr>
          <w:rFonts w:hint="eastAsia" w:ascii="Times New Roman" w:hAnsi="Times New Roman" w:cs="Times New Roman" w:eastAsiaTheme="minorEastAsia"/>
          <w:color w:val="auto"/>
          <w:w w:val="99"/>
          <w:highlight w:val="none"/>
          <w:lang w:val="en-US" w:eastAsia="zh-CN"/>
        </w:rPr>
        <w:t>.1-1</w:t>
      </w:r>
      <w:r>
        <w:rPr>
          <w:rFonts w:ascii="Times New Roman" w:hAnsi="Times New Roman" w:cs="Times New Roman" w:eastAsiaTheme="minorEastAsia"/>
          <w:color w:val="auto"/>
          <w:w w:val="99"/>
          <w:highlight w:val="none"/>
          <w:lang w:val="zh-CN"/>
        </w:rPr>
        <w:t>。</w:t>
      </w:r>
    </w:p>
    <w:p w14:paraId="1E83207C">
      <w:pPr>
        <w:widowControl w:val="0"/>
        <w:spacing w:line="440" w:lineRule="exact"/>
        <w:ind w:firstLine="476" w:firstLineChars="200"/>
        <w:jc w:val="both"/>
        <w:rPr>
          <w:rFonts w:hint="default" w:ascii="Times New Roman" w:hAnsi="Times New Roman" w:eastAsia="宋体" w:cs="Times New Roman"/>
          <w:b/>
          <w:color w:val="auto"/>
          <w:w w:val="99"/>
          <w:sz w:val="24"/>
          <w:szCs w:val="24"/>
          <w:highlight w:val="none"/>
          <w:lang w:val="zh-CN" w:eastAsia="zh-CN" w:bidi="ar-SA"/>
        </w:rPr>
      </w:pPr>
      <w:r>
        <w:rPr>
          <w:rFonts w:hint="default" w:ascii="Times New Roman" w:hAnsi="Times New Roman" w:eastAsia="宋体" w:cs="Times New Roman"/>
          <w:b/>
          <w:color w:val="auto"/>
          <w:w w:val="99"/>
          <w:sz w:val="24"/>
          <w:szCs w:val="24"/>
          <w:highlight w:val="none"/>
          <w:lang w:val="zh-CN" w:eastAsia="zh-CN" w:bidi="ar-SA"/>
        </w:rPr>
        <w:t>表5.</w:t>
      </w:r>
      <w:r>
        <w:rPr>
          <w:rFonts w:hint="eastAsia" w:ascii="Times New Roman" w:hAnsi="Times New Roman" w:eastAsia="宋体" w:cs="Times New Roman"/>
          <w:b/>
          <w:color w:val="auto"/>
          <w:w w:val="99"/>
          <w:sz w:val="24"/>
          <w:szCs w:val="24"/>
          <w:highlight w:val="none"/>
          <w:lang w:val="en-US" w:eastAsia="zh-CN" w:bidi="ar-SA"/>
        </w:rPr>
        <w:t>1-1</w:t>
      </w:r>
      <w:r>
        <w:rPr>
          <w:rFonts w:hint="default" w:ascii="Times New Roman" w:hAnsi="Times New Roman" w:eastAsia="宋体" w:cs="Times New Roman"/>
          <w:b/>
          <w:color w:val="auto"/>
          <w:w w:val="99"/>
          <w:sz w:val="24"/>
          <w:szCs w:val="24"/>
          <w:highlight w:val="none"/>
          <w:lang w:val="zh-CN" w:eastAsia="zh-CN" w:bidi="ar-SA"/>
        </w:rPr>
        <w:t xml:space="preserve">      </w:t>
      </w:r>
      <w:r>
        <w:rPr>
          <w:rFonts w:hint="eastAsia" w:ascii="Times New Roman" w:hAnsi="Times New Roman" w:eastAsia="宋体" w:cs="Times New Roman"/>
          <w:b/>
          <w:color w:val="auto"/>
          <w:w w:val="99"/>
          <w:sz w:val="24"/>
          <w:szCs w:val="24"/>
          <w:highlight w:val="none"/>
          <w:lang w:val="zh-CN" w:eastAsia="zh-CN" w:bidi="ar-SA"/>
        </w:rPr>
        <w:t>气象站常规气象项目统计表</w:t>
      </w:r>
    </w:p>
    <w:tbl>
      <w:tblPr>
        <w:tblStyle w:val="1662"/>
        <w:tblW w:w="5003"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0" w:type="dxa"/>
          <w:bottom w:w="0" w:type="dxa"/>
          <w:right w:w="0" w:type="dxa"/>
        </w:tblCellMar>
      </w:tblPr>
      <w:tblGrid>
        <w:gridCol w:w="2025"/>
        <w:gridCol w:w="1847"/>
        <w:gridCol w:w="1525"/>
        <w:gridCol w:w="1942"/>
        <w:gridCol w:w="1747"/>
      </w:tblGrid>
      <w:tr w14:paraId="4B85266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130" w:type="pct"/>
            <w:gridSpan w:val="2"/>
            <w:vAlign w:val="center"/>
          </w:tcPr>
          <w:p w14:paraId="0618CD9B">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统计项目</w:t>
            </w:r>
          </w:p>
        </w:tc>
        <w:tc>
          <w:tcPr>
            <w:tcW w:w="839" w:type="pct"/>
            <w:vAlign w:val="center"/>
          </w:tcPr>
          <w:p w14:paraId="6F1580B9">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统计值</w:t>
            </w:r>
          </w:p>
        </w:tc>
        <w:tc>
          <w:tcPr>
            <w:tcW w:w="1068" w:type="pct"/>
            <w:vAlign w:val="center"/>
          </w:tcPr>
          <w:p w14:paraId="7FAD67BF">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极值出现时间</w:t>
            </w:r>
          </w:p>
        </w:tc>
        <w:tc>
          <w:tcPr>
            <w:tcW w:w="961" w:type="pct"/>
            <w:vAlign w:val="center"/>
          </w:tcPr>
          <w:p w14:paraId="3F3DBC94">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极值</w:t>
            </w:r>
          </w:p>
        </w:tc>
      </w:tr>
      <w:tr w14:paraId="7B67C96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130" w:type="pct"/>
            <w:gridSpan w:val="2"/>
            <w:vAlign w:val="center"/>
          </w:tcPr>
          <w:p w14:paraId="276E7844">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多年平均气温 （℃）</w:t>
            </w:r>
          </w:p>
        </w:tc>
        <w:tc>
          <w:tcPr>
            <w:tcW w:w="839" w:type="pct"/>
            <w:vAlign w:val="center"/>
          </w:tcPr>
          <w:p w14:paraId="0A8017E9">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5.</w:t>
            </w:r>
            <w:r>
              <w:rPr>
                <w:rFonts w:hint="default" w:ascii="Times New Roman" w:hAnsi="Times New Roman" w:cs="Times New Roman"/>
                <w:color w:val="auto"/>
                <w:w w:val="99"/>
                <w:sz w:val="21"/>
                <w:szCs w:val="21"/>
                <w:highlight w:val="none"/>
                <w:lang w:eastAsia="en-US"/>
              </w:rPr>
              <w:t>3</w:t>
            </w:r>
          </w:p>
        </w:tc>
        <w:tc>
          <w:tcPr>
            <w:tcW w:w="1068" w:type="pct"/>
            <w:vAlign w:val="center"/>
          </w:tcPr>
          <w:p w14:paraId="262B126E">
            <w:pPr>
              <w:widowControl/>
              <w:autoSpaceDE/>
              <w:autoSpaceDN/>
              <w:spacing w:line="30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c>
          <w:tcPr>
            <w:tcW w:w="961" w:type="pct"/>
            <w:vAlign w:val="center"/>
          </w:tcPr>
          <w:p w14:paraId="4C402AD8">
            <w:pPr>
              <w:widowControl/>
              <w:autoSpaceDE/>
              <w:autoSpaceDN/>
              <w:spacing w:line="30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r>
      <w:tr w14:paraId="74B0EF1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130" w:type="pct"/>
            <w:gridSpan w:val="2"/>
            <w:vAlign w:val="center"/>
          </w:tcPr>
          <w:p w14:paraId="15BEA8B6">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累年极端最高气温 （℃）</w:t>
            </w:r>
          </w:p>
        </w:tc>
        <w:tc>
          <w:tcPr>
            <w:tcW w:w="839" w:type="pct"/>
            <w:vAlign w:val="center"/>
          </w:tcPr>
          <w:p w14:paraId="61E171E8">
            <w:pPr>
              <w:widowControl/>
              <w:autoSpaceDE/>
              <w:autoSpaceDN/>
              <w:spacing w:line="30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35.3</w:t>
            </w:r>
          </w:p>
        </w:tc>
        <w:tc>
          <w:tcPr>
            <w:tcW w:w="1068" w:type="pct"/>
            <w:vAlign w:val="center"/>
          </w:tcPr>
          <w:p w14:paraId="081C43E5">
            <w:pPr>
              <w:widowControl/>
              <w:autoSpaceDE/>
              <w:autoSpaceDN/>
              <w:spacing w:line="30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2018-06-02</w:t>
            </w:r>
          </w:p>
        </w:tc>
        <w:tc>
          <w:tcPr>
            <w:tcW w:w="961" w:type="pct"/>
            <w:vAlign w:val="center"/>
          </w:tcPr>
          <w:p w14:paraId="77083395">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38.</w:t>
            </w:r>
            <w:r>
              <w:rPr>
                <w:rFonts w:hint="default" w:ascii="Times New Roman" w:hAnsi="Times New Roman" w:cs="Times New Roman"/>
                <w:color w:val="auto"/>
                <w:w w:val="99"/>
                <w:sz w:val="21"/>
                <w:szCs w:val="21"/>
                <w:highlight w:val="none"/>
                <w:lang w:eastAsia="en-US"/>
              </w:rPr>
              <w:t>8</w:t>
            </w:r>
          </w:p>
        </w:tc>
      </w:tr>
      <w:tr w14:paraId="23D3631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130" w:type="pct"/>
            <w:gridSpan w:val="2"/>
            <w:vAlign w:val="center"/>
          </w:tcPr>
          <w:p w14:paraId="3DE5F6E9">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累年极端最低气温 （℃）</w:t>
            </w:r>
          </w:p>
        </w:tc>
        <w:tc>
          <w:tcPr>
            <w:tcW w:w="839" w:type="pct"/>
            <w:vAlign w:val="center"/>
          </w:tcPr>
          <w:p w14:paraId="2C4F391A">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-2</w:t>
            </w:r>
            <w:r>
              <w:rPr>
                <w:rFonts w:hint="default" w:ascii="Times New Roman" w:hAnsi="Times New Roman" w:cs="Times New Roman"/>
                <w:color w:val="auto"/>
                <w:w w:val="99"/>
                <w:sz w:val="21"/>
                <w:szCs w:val="21"/>
                <w:highlight w:val="none"/>
                <w:lang w:eastAsia="en-US"/>
              </w:rPr>
              <w:t>8.1</w:t>
            </w:r>
          </w:p>
        </w:tc>
        <w:tc>
          <w:tcPr>
            <w:tcW w:w="1068" w:type="pct"/>
            <w:vAlign w:val="center"/>
          </w:tcPr>
          <w:p w14:paraId="0030C599">
            <w:pPr>
              <w:widowControl/>
              <w:autoSpaceDE/>
              <w:autoSpaceDN/>
              <w:spacing w:line="30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2013-01-01</w:t>
            </w:r>
          </w:p>
        </w:tc>
        <w:tc>
          <w:tcPr>
            <w:tcW w:w="961" w:type="pct"/>
            <w:vAlign w:val="center"/>
          </w:tcPr>
          <w:p w14:paraId="10D51553">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-3</w:t>
            </w:r>
            <w:r>
              <w:rPr>
                <w:rFonts w:hint="default" w:ascii="Times New Roman" w:hAnsi="Times New Roman" w:cs="Times New Roman"/>
                <w:color w:val="auto"/>
                <w:w w:val="99"/>
                <w:sz w:val="21"/>
                <w:szCs w:val="21"/>
                <w:highlight w:val="none"/>
                <w:lang w:eastAsia="en-US"/>
              </w:rPr>
              <w:t>1.9</w:t>
            </w:r>
          </w:p>
        </w:tc>
      </w:tr>
      <w:tr w14:paraId="1AB3DF3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2130" w:type="pct"/>
            <w:gridSpan w:val="2"/>
            <w:vAlign w:val="center"/>
          </w:tcPr>
          <w:p w14:paraId="1D26895C">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多年平均气压 （</w:t>
            </w:r>
            <w:r>
              <w:rPr>
                <w:rFonts w:hint="default" w:ascii="Times New Roman" w:hAnsi="Times New Roman" w:eastAsia="Times New Roman" w:cs="Times New Roman"/>
                <w:color w:val="auto"/>
                <w:w w:val="99"/>
                <w:sz w:val="21"/>
                <w:szCs w:val="21"/>
                <w:highlight w:val="none"/>
                <w:lang w:eastAsia="en-US"/>
              </w:rPr>
              <w:t>hpa</w:t>
            </w:r>
            <w:r>
              <w:rPr>
                <w:rFonts w:hint="default" w:ascii="Times New Roman" w:hAnsi="Times New Roman" w:cs="Times New Roman"/>
                <w:color w:val="auto"/>
                <w:w w:val="99"/>
                <w:sz w:val="21"/>
                <w:szCs w:val="21"/>
                <w:highlight w:val="none"/>
                <w:lang w:eastAsia="en-US"/>
              </w:rPr>
              <w:t>）</w:t>
            </w:r>
          </w:p>
        </w:tc>
        <w:tc>
          <w:tcPr>
            <w:tcW w:w="839" w:type="pct"/>
            <w:vAlign w:val="center"/>
          </w:tcPr>
          <w:p w14:paraId="2F96F38E">
            <w:pPr>
              <w:widowControl/>
              <w:autoSpaceDE/>
              <w:autoSpaceDN/>
              <w:spacing w:line="30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99</w:t>
            </w:r>
            <w:r>
              <w:rPr>
                <w:rFonts w:hint="default" w:ascii="Times New Roman" w:hAnsi="Times New Roman" w:cs="Times New Roman"/>
                <w:color w:val="auto"/>
                <w:w w:val="99"/>
                <w:sz w:val="21"/>
                <w:szCs w:val="21"/>
                <w:highlight w:val="none"/>
                <w:lang w:eastAsia="en-US"/>
              </w:rPr>
              <w:t>5.9</w:t>
            </w:r>
          </w:p>
        </w:tc>
        <w:tc>
          <w:tcPr>
            <w:tcW w:w="1068" w:type="pct"/>
            <w:vAlign w:val="center"/>
          </w:tcPr>
          <w:p w14:paraId="76A5489B">
            <w:pPr>
              <w:widowControl/>
              <w:autoSpaceDE/>
              <w:autoSpaceDN/>
              <w:spacing w:line="30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c>
          <w:tcPr>
            <w:tcW w:w="961" w:type="pct"/>
            <w:vAlign w:val="center"/>
          </w:tcPr>
          <w:p w14:paraId="0C8DFD46">
            <w:pPr>
              <w:widowControl/>
              <w:autoSpaceDE/>
              <w:autoSpaceDN/>
              <w:spacing w:line="30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r>
      <w:tr w14:paraId="7638CFB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23" w:hRule="atLeast"/>
        </w:trPr>
        <w:tc>
          <w:tcPr>
            <w:tcW w:w="2130" w:type="pct"/>
            <w:gridSpan w:val="2"/>
            <w:vAlign w:val="center"/>
          </w:tcPr>
          <w:p w14:paraId="776E7573">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多年平均相对湿度 （</w:t>
            </w:r>
            <w:r>
              <w:rPr>
                <w:rFonts w:hint="default" w:ascii="Times New Roman" w:hAnsi="Times New Roman" w:eastAsia="Times New Roman" w:cs="Times New Roman"/>
                <w:color w:val="auto"/>
                <w:w w:val="99"/>
                <w:sz w:val="21"/>
                <w:szCs w:val="21"/>
                <w:highlight w:val="none"/>
                <w:lang w:eastAsia="en-US"/>
              </w:rPr>
              <w:t>%</w:t>
            </w:r>
            <w:r>
              <w:rPr>
                <w:rFonts w:hint="default" w:ascii="Times New Roman" w:hAnsi="Times New Roman" w:cs="Times New Roman"/>
                <w:color w:val="auto"/>
                <w:w w:val="99"/>
                <w:sz w:val="21"/>
                <w:szCs w:val="21"/>
                <w:highlight w:val="none"/>
                <w:lang w:eastAsia="en-US"/>
              </w:rPr>
              <w:t>）</w:t>
            </w:r>
          </w:p>
        </w:tc>
        <w:tc>
          <w:tcPr>
            <w:tcW w:w="839" w:type="pct"/>
            <w:vAlign w:val="center"/>
          </w:tcPr>
          <w:p w14:paraId="27C4CA2C">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60.</w:t>
            </w:r>
            <w:r>
              <w:rPr>
                <w:rFonts w:hint="default" w:ascii="Times New Roman" w:hAnsi="Times New Roman" w:cs="Times New Roman"/>
                <w:color w:val="auto"/>
                <w:w w:val="99"/>
                <w:sz w:val="21"/>
                <w:szCs w:val="21"/>
                <w:highlight w:val="none"/>
                <w:lang w:eastAsia="en-US"/>
              </w:rPr>
              <w:t>8</w:t>
            </w:r>
          </w:p>
        </w:tc>
        <w:tc>
          <w:tcPr>
            <w:tcW w:w="1068" w:type="pct"/>
            <w:vAlign w:val="center"/>
          </w:tcPr>
          <w:p w14:paraId="7DE3A092">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c>
          <w:tcPr>
            <w:tcW w:w="961" w:type="pct"/>
            <w:vAlign w:val="center"/>
          </w:tcPr>
          <w:p w14:paraId="2D183DA3">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r>
      <w:tr w14:paraId="440A911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2130" w:type="pct"/>
            <w:gridSpan w:val="2"/>
            <w:vAlign w:val="center"/>
          </w:tcPr>
          <w:p w14:paraId="142D4597">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多年平均降雨量 （</w:t>
            </w:r>
            <w:r>
              <w:rPr>
                <w:rFonts w:hint="default" w:ascii="Times New Roman" w:hAnsi="Times New Roman" w:eastAsia="Times New Roman" w:cs="Times New Roman"/>
                <w:color w:val="auto"/>
                <w:w w:val="99"/>
                <w:sz w:val="21"/>
                <w:szCs w:val="21"/>
                <w:highlight w:val="none"/>
                <w:lang w:eastAsia="en-US"/>
              </w:rPr>
              <w:t xml:space="preserve">mm </w:t>
            </w:r>
            <w:r>
              <w:rPr>
                <w:rFonts w:hint="default" w:ascii="Times New Roman" w:hAnsi="Times New Roman" w:cs="Times New Roman"/>
                <w:color w:val="auto"/>
                <w:w w:val="99"/>
                <w:sz w:val="21"/>
                <w:szCs w:val="21"/>
                <w:highlight w:val="none"/>
                <w:lang w:eastAsia="en-US"/>
              </w:rPr>
              <w:t>）</w:t>
            </w:r>
          </w:p>
        </w:tc>
        <w:tc>
          <w:tcPr>
            <w:tcW w:w="839" w:type="pct"/>
            <w:vAlign w:val="center"/>
          </w:tcPr>
          <w:p w14:paraId="4261FDEF">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5</w:t>
            </w:r>
            <w:r>
              <w:rPr>
                <w:rFonts w:hint="default" w:ascii="Times New Roman" w:hAnsi="Times New Roman" w:cs="Times New Roman"/>
                <w:color w:val="auto"/>
                <w:w w:val="99"/>
                <w:sz w:val="21"/>
                <w:szCs w:val="21"/>
                <w:highlight w:val="none"/>
                <w:lang w:eastAsia="en-US"/>
              </w:rPr>
              <w:t>01.4</w:t>
            </w:r>
          </w:p>
        </w:tc>
        <w:tc>
          <w:tcPr>
            <w:tcW w:w="1068" w:type="pct"/>
            <w:vAlign w:val="center"/>
          </w:tcPr>
          <w:p w14:paraId="7C810E70">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c>
          <w:tcPr>
            <w:tcW w:w="961" w:type="pct"/>
            <w:vAlign w:val="center"/>
          </w:tcPr>
          <w:p w14:paraId="08915EDA">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r>
      <w:tr w14:paraId="7909A82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2130" w:type="pct"/>
            <w:gridSpan w:val="2"/>
            <w:vAlign w:val="center"/>
          </w:tcPr>
          <w:p w14:paraId="47343601">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日照时长 （</w:t>
            </w:r>
            <w:r>
              <w:rPr>
                <w:rFonts w:hint="default" w:ascii="Times New Roman" w:hAnsi="Times New Roman" w:eastAsia="Times New Roman" w:cs="Times New Roman"/>
                <w:color w:val="auto"/>
                <w:w w:val="99"/>
                <w:sz w:val="21"/>
                <w:szCs w:val="21"/>
                <w:highlight w:val="none"/>
                <w:lang w:eastAsia="en-US"/>
              </w:rPr>
              <w:t>h</w:t>
            </w:r>
            <w:r>
              <w:rPr>
                <w:rFonts w:hint="default" w:ascii="Times New Roman" w:hAnsi="Times New Roman" w:cs="Times New Roman"/>
                <w:color w:val="auto"/>
                <w:w w:val="99"/>
                <w:sz w:val="21"/>
                <w:szCs w:val="21"/>
                <w:highlight w:val="none"/>
                <w:lang w:eastAsia="en-US"/>
              </w:rPr>
              <w:t>）</w:t>
            </w:r>
          </w:p>
        </w:tc>
        <w:tc>
          <w:tcPr>
            <w:tcW w:w="839" w:type="pct"/>
            <w:vAlign w:val="center"/>
          </w:tcPr>
          <w:p w14:paraId="09DEE42C">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2515.2</w:t>
            </w:r>
          </w:p>
        </w:tc>
        <w:tc>
          <w:tcPr>
            <w:tcW w:w="1068" w:type="pct"/>
            <w:vAlign w:val="center"/>
          </w:tcPr>
          <w:p w14:paraId="00C958A6">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c>
          <w:tcPr>
            <w:tcW w:w="961" w:type="pct"/>
            <w:vAlign w:val="center"/>
          </w:tcPr>
          <w:p w14:paraId="6596AF75">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r>
      <w:tr w14:paraId="70C4A3C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08" w:hRule="atLeast"/>
        </w:trPr>
        <w:tc>
          <w:tcPr>
            <w:tcW w:w="2130" w:type="pct"/>
            <w:gridSpan w:val="2"/>
            <w:vAlign w:val="center"/>
          </w:tcPr>
          <w:p w14:paraId="565C8AE0">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平均风速 （</w:t>
            </w:r>
            <w:r>
              <w:rPr>
                <w:rFonts w:hint="default" w:ascii="Times New Roman" w:hAnsi="Times New Roman" w:eastAsia="Times New Roman" w:cs="Times New Roman"/>
                <w:color w:val="auto"/>
                <w:w w:val="99"/>
                <w:sz w:val="21"/>
                <w:szCs w:val="21"/>
                <w:highlight w:val="none"/>
                <w:lang w:eastAsia="en-US"/>
              </w:rPr>
              <w:t xml:space="preserve">m/s </w:t>
            </w:r>
            <w:r>
              <w:rPr>
                <w:rFonts w:hint="default" w:ascii="Times New Roman" w:hAnsi="Times New Roman" w:cs="Times New Roman"/>
                <w:color w:val="auto"/>
                <w:w w:val="99"/>
                <w:sz w:val="21"/>
                <w:szCs w:val="21"/>
                <w:highlight w:val="none"/>
                <w:lang w:eastAsia="en-US"/>
              </w:rPr>
              <w:t>）</w:t>
            </w:r>
          </w:p>
        </w:tc>
        <w:tc>
          <w:tcPr>
            <w:tcW w:w="839" w:type="pct"/>
            <w:vAlign w:val="center"/>
          </w:tcPr>
          <w:p w14:paraId="4E24B25B">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2.3</w:t>
            </w:r>
          </w:p>
        </w:tc>
        <w:tc>
          <w:tcPr>
            <w:tcW w:w="1068" w:type="pct"/>
            <w:vAlign w:val="center"/>
          </w:tcPr>
          <w:p w14:paraId="0ABE64B8">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c>
          <w:tcPr>
            <w:tcW w:w="961" w:type="pct"/>
            <w:vAlign w:val="center"/>
          </w:tcPr>
          <w:p w14:paraId="730835DC">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r>
      <w:tr w14:paraId="4BAC5C0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56" w:hRule="atLeast"/>
        </w:trPr>
        <w:tc>
          <w:tcPr>
            <w:tcW w:w="2130" w:type="pct"/>
            <w:gridSpan w:val="2"/>
            <w:vAlign w:val="center"/>
          </w:tcPr>
          <w:p w14:paraId="184858FD">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静风频率 （</w:t>
            </w:r>
            <w:r>
              <w:rPr>
                <w:rFonts w:hint="default" w:ascii="Times New Roman" w:hAnsi="Times New Roman" w:eastAsia="Times New Roman" w:cs="Times New Roman"/>
                <w:color w:val="auto"/>
                <w:w w:val="99"/>
                <w:sz w:val="21"/>
                <w:szCs w:val="21"/>
                <w:highlight w:val="none"/>
                <w:lang w:eastAsia="en-US"/>
              </w:rPr>
              <w:t>%</w:t>
            </w:r>
            <w:r>
              <w:rPr>
                <w:rFonts w:hint="default" w:ascii="Times New Roman" w:hAnsi="Times New Roman" w:cs="Times New Roman"/>
                <w:color w:val="auto"/>
                <w:w w:val="99"/>
                <w:sz w:val="21"/>
                <w:szCs w:val="21"/>
                <w:highlight w:val="none"/>
                <w:lang w:eastAsia="en-US"/>
              </w:rPr>
              <w:t>）</w:t>
            </w:r>
          </w:p>
        </w:tc>
        <w:tc>
          <w:tcPr>
            <w:tcW w:w="839" w:type="pct"/>
            <w:vAlign w:val="center"/>
          </w:tcPr>
          <w:p w14:paraId="2F7953E9">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5.2</w:t>
            </w:r>
          </w:p>
        </w:tc>
        <w:tc>
          <w:tcPr>
            <w:tcW w:w="1068" w:type="pct"/>
            <w:vAlign w:val="center"/>
          </w:tcPr>
          <w:p w14:paraId="6024CC03">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c>
          <w:tcPr>
            <w:tcW w:w="961" w:type="pct"/>
            <w:vAlign w:val="center"/>
          </w:tcPr>
          <w:p w14:paraId="362A5C9C">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r>
      <w:tr w14:paraId="0D143BE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130" w:type="pct"/>
            <w:gridSpan w:val="2"/>
            <w:vAlign w:val="center"/>
          </w:tcPr>
          <w:p w14:paraId="3BF08F61">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极大风速 （</w:t>
            </w:r>
            <w:r>
              <w:rPr>
                <w:rFonts w:hint="default" w:ascii="Times New Roman" w:hAnsi="Times New Roman" w:eastAsia="Times New Roman" w:cs="Times New Roman"/>
                <w:color w:val="auto"/>
                <w:w w:val="99"/>
                <w:sz w:val="21"/>
                <w:szCs w:val="21"/>
                <w:highlight w:val="none"/>
                <w:lang w:eastAsia="en-US"/>
              </w:rPr>
              <w:t xml:space="preserve">m/s </w:t>
            </w:r>
            <w:r>
              <w:rPr>
                <w:rFonts w:hint="default" w:ascii="Times New Roman" w:hAnsi="Times New Roman" w:cs="Times New Roman"/>
                <w:color w:val="auto"/>
                <w:w w:val="99"/>
                <w:sz w:val="21"/>
                <w:szCs w:val="21"/>
                <w:highlight w:val="none"/>
                <w:lang w:eastAsia="en-US"/>
              </w:rPr>
              <w:t>）、相应风向</w:t>
            </w:r>
          </w:p>
        </w:tc>
        <w:tc>
          <w:tcPr>
            <w:tcW w:w="839" w:type="pct"/>
            <w:vAlign w:val="center"/>
          </w:tcPr>
          <w:p w14:paraId="1340D41A">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 xml:space="preserve">26.2 </w:t>
            </w:r>
            <w:r>
              <w:rPr>
                <w:rFonts w:hint="default" w:ascii="Times New Roman" w:hAnsi="Times New Roman" w:cs="Times New Roman"/>
                <w:color w:val="auto"/>
                <w:w w:val="99"/>
                <w:sz w:val="21"/>
                <w:szCs w:val="21"/>
                <w:highlight w:val="none"/>
                <w:lang w:eastAsia="en-US"/>
              </w:rPr>
              <w:t>、</w:t>
            </w:r>
            <w:r>
              <w:rPr>
                <w:rFonts w:hint="default" w:ascii="Times New Roman" w:hAnsi="Times New Roman" w:eastAsia="Times New Roman" w:cs="Times New Roman"/>
                <w:color w:val="auto"/>
                <w:w w:val="99"/>
                <w:sz w:val="21"/>
                <w:szCs w:val="21"/>
                <w:highlight w:val="none"/>
                <w:lang w:eastAsia="en-US"/>
              </w:rPr>
              <w:t>NW</w:t>
            </w:r>
          </w:p>
        </w:tc>
        <w:tc>
          <w:tcPr>
            <w:tcW w:w="1068" w:type="pct"/>
            <w:vAlign w:val="center"/>
          </w:tcPr>
          <w:p w14:paraId="754C3A7A">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2019-07-28</w:t>
            </w:r>
          </w:p>
        </w:tc>
        <w:tc>
          <w:tcPr>
            <w:tcW w:w="961" w:type="pct"/>
            <w:vAlign w:val="center"/>
          </w:tcPr>
          <w:p w14:paraId="46A6DCEA">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r>
      <w:tr w14:paraId="3E2980A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95" w:hRule="atLeast"/>
        </w:trPr>
        <w:tc>
          <w:tcPr>
            <w:tcW w:w="1114" w:type="pct"/>
            <w:vMerge w:val="restart"/>
            <w:vAlign w:val="center"/>
          </w:tcPr>
          <w:p w14:paraId="66164F0C">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灾害天气统计</w:t>
            </w:r>
          </w:p>
        </w:tc>
        <w:tc>
          <w:tcPr>
            <w:tcW w:w="1016" w:type="pct"/>
            <w:vAlign w:val="center"/>
          </w:tcPr>
          <w:p w14:paraId="562DE83E">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多年平均雷暴日数</w:t>
            </w:r>
          </w:p>
        </w:tc>
        <w:tc>
          <w:tcPr>
            <w:tcW w:w="839" w:type="pct"/>
            <w:vAlign w:val="center"/>
          </w:tcPr>
          <w:p w14:paraId="46E1B85B">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20</w:t>
            </w:r>
            <w:r>
              <w:rPr>
                <w:rFonts w:hint="default" w:ascii="Times New Roman" w:hAnsi="Times New Roman" w:cs="Times New Roman" w:eastAsiaTheme="minorEastAsia"/>
                <w:color w:val="auto"/>
                <w:w w:val="99"/>
                <w:sz w:val="21"/>
                <w:szCs w:val="21"/>
                <w:highlight w:val="none"/>
                <w:lang w:eastAsia="en-US"/>
              </w:rPr>
              <w:t>.</w:t>
            </w:r>
            <w:r>
              <w:rPr>
                <w:rFonts w:hint="default" w:ascii="Times New Roman" w:hAnsi="Times New Roman" w:eastAsia="Times New Roman" w:cs="Times New Roman"/>
                <w:color w:val="auto"/>
                <w:w w:val="99"/>
                <w:sz w:val="21"/>
                <w:szCs w:val="21"/>
                <w:highlight w:val="none"/>
                <w:lang w:eastAsia="en-US"/>
              </w:rPr>
              <w:t>8</w:t>
            </w:r>
          </w:p>
        </w:tc>
        <w:tc>
          <w:tcPr>
            <w:tcW w:w="1068" w:type="pct"/>
            <w:vAlign w:val="center"/>
          </w:tcPr>
          <w:p w14:paraId="14D31018">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c>
          <w:tcPr>
            <w:tcW w:w="961" w:type="pct"/>
            <w:vAlign w:val="center"/>
          </w:tcPr>
          <w:p w14:paraId="5A50C9A9">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r>
      <w:tr w14:paraId="6F86435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1114" w:type="pct"/>
            <w:vMerge w:val="continue"/>
            <w:vAlign w:val="center"/>
          </w:tcPr>
          <w:p w14:paraId="3424FF96">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p>
        </w:tc>
        <w:tc>
          <w:tcPr>
            <w:tcW w:w="1016" w:type="pct"/>
            <w:vAlign w:val="center"/>
          </w:tcPr>
          <w:p w14:paraId="5A7E8E37">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多年平均大风日数</w:t>
            </w:r>
          </w:p>
        </w:tc>
        <w:tc>
          <w:tcPr>
            <w:tcW w:w="839" w:type="pct"/>
            <w:vAlign w:val="center"/>
          </w:tcPr>
          <w:p w14:paraId="165F153A">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3.</w:t>
            </w:r>
            <w:r>
              <w:rPr>
                <w:rFonts w:hint="default" w:ascii="Times New Roman" w:hAnsi="Times New Roman" w:cs="Times New Roman"/>
                <w:color w:val="auto"/>
                <w:w w:val="99"/>
                <w:sz w:val="21"/>
                <w:szCs w:val="21"/>
                <w:highlight w:val="none"/>
                <w:lang w:eastAsia="en-US"/>
              </w:rPr>
              <w:t>5</w:t>
            </w:r>
          </w:p>
        </w:tc>
        <w:tc>
          <w:tcPr>
            <w:tcW w:w="1068" w:type="pct"/>
            <w:vAlign w:val="center"/>
          </w:tcPr>
          <w:p w14:paraId="1C9CBB9E">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c>
          <w:tcPr>
            <w:tcW w:w="961" w:type="pct"/>
            <w:vAlign w:val="center"/>
          </w:tcPr>
          <w:p w14:paraId="2F4A3861">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r>
      <w:tr w14:paraId="009DF1F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114" w:type="pct"/>
            <w:vMerge w:val="continue"/>
            <w:vAlign w:val="center"/>
          </w:tcPr>
          <w:p w14:paraId="7E95E764">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p>
        </w:tc>
        <w:tc>
          <w:tcPr>
            <w:tcW w:w="1016" w:type="pct"/>
            <w:vAlign w:val="center"/>
          </w:tcPr>
          <w:p w14:paraId="2A8C37A5">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cs="Times New Roman"/>
                <w:color w:val="auto"/>
                <w:w w:val="99"/>
                <w:sz w:val="21"/>
                <w:szCs w:val="21"/>
                <w:highlight w:val="none"/>
                <w:lang w:eastAsia="en-US"/>
              </w:rPr>
              <w:t>多年平均冰雹日数</w:t>
            </w:r>
          </w:p>
        </w:tc>
        <w:tc>
          <w:tcPr>
            <w:tcW w:w="839" w:type="pct"/>
            <w:vAlign w:val="center"/>
          </w:tcPr>
          <w:p w14:paraId="393C49A6">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0.</w:t>
            </w:r>
            <w:r>
              <w:rPr>
                <w:rFonts w:hint="default" w:ascii="Times New Roman" w:hAnsi="Times New Roman" w:cs="Times New Roman"/>
                <w:color w:val="auto"/>
                <w:w w:val="99"/>
                <w:sz w:val="21"/>
                <w:szCs w:val="21"/>
                <w:highlight w:val="none"/>
                <w:lang w:eastAsia="en-US"/>
              </w:rPr>
              <w:t>6</w:t>
            </w:r>
          </w:p>
        </w:tc>
        <w:tc>
          <w:tcPr>
            <w:tcW w:w="1068" w:type="pct"/>
            <w:vAlign w:val="center"/>
          </w:tcPr>
          <w:p w14:paraId="7661DA2B">
            <w:pPr>
              <w:widowControl/>
              <w:autoSpaceDE/>
              <w:autoSpaceDN/>
              <w:spacing w:line="320" w:lineRule="exact"/>
              <w:ind w:firstLine="0" w:firstLineChars="0"/>
              <w:jc w:val="center"/>
              <w:rPr>
                <w:rFonts w:hint="default" w:ascii="Times New Roman" w:hAnsi="Times New Roman" w:eastAsia="Times New Roman" w:cs="Times New Roman"/>
                <w:color w:val="auto"/>
                <w:w w:val="99"/>
                <w:sz w:val="21"/>
                <w:szCs w:val="21"/>
                <w:highlight w:val="none"/>
                <w:lang w:eastAsia="en-US"/>
              </w:rPr>
            </w:pPr>
            <w:r>
              <w:rPr>
                <w:rFonts w:hint="default" w:ascii="Times New Roman" w:hAnsi="Times New Roman" w:eastAsia="Times New Roman" w:cs="Times New Roman"/>
                <w:color w:val="auto"/>
                <w:w w:val="99"/>
                <w:sz w:val="21"/>
                <w:szCs w:val="21"/>
                <w:highlight w:val="none"/>
                <w:lang w:eastAsia="en-US"/>
              </w:rPr>
              <w:t>/</w:t>
            </w:r>
          </w:p>
        </w:tc>
        <w:tc>
          <w:tcPr>
            <w:tcW w:w="961" w:type="pct"/>
            <w:vAlign w:val="center"/>
          </w:tcPr>
          <w:p w14:paraId="0392C6F6">
            <w:pPr>
              <w:widowControl/>
              <w:autoSpaceDE/>
              <w:autoSpaceDN/>
              <w:spacing w:line="320" w:lineRule="exact"/>
              <w:ind w:firstLine="0" w:firstLineChars="0"/>
              <w:jc w:val="center"/>
              <w:rPr>
                <w:rFonts w:hint="default" w:ascii="Times New Roman" w:hAnsi="Times New Roman" w:cs="Times New Roman"/>
                <w:color w:val="auto"/>
                <w:w w:val="99"/>
                <w:sz w:val="21"/>
                <w:szCs w:val="21"/>
                <w:highlight w:val="none"/>
                <w:lang w:eastAsia="en-US"/>
              </w:rPr>
            </w:pPr>
          </w:p>
        </w:tc>
      </w:tr>
    </w:tbl>
    <w:p w14:paraId="159CDBF6">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w:t>
      </w:r>
      <w:r>
        <w:rPr>
          <w:rFonts w:hint="default" w:ascii="Times New Roman" w:hAnsi="Times New Roman" w:eastAsia="宋体" w:cs="Times New Roman"/>
          <w:color w:val="auto"/>
          <w:w w:val="99"/>
          <w:highlight w:val="none"/>
          <w:lang w:val="en-US" w:eastAsia="zh-CN"/>
        </w:rPr>
        <w:t>2</w:t>
      </w:r>
      <w:r>
        <w:rPr>
          <w:rFonts w:hint="default" w:ascii="Times New Roman" w:hAnsi="Times New Roman" w:eastAsia="宋体" w:cs="Times New Roman"/>
          <w:color w:val="auto"/>
          <w:w w:val="99"/>
          <w:highlight w:val="none"/>
          <w:lang w:val="zh-CN"/>
        </w:rPr>
        <w:t>）气象站风观测数据统计</w:t>
      </w:r>
    </w:p>
    <w:p w14:paraId="138528FF">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①月平均风速</w:t>
      </w:r>
    </w:p>
    <w:p w14:paraId="4535F569">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大庆气象站月平均风速见表5.1-2，04月平均风速最大（2.8m/s），8月风最小（1.8m/s）。</w:t>
      </w:r>
    </w:p>
    <w:p w14:paraId="1FA41B28">
      <w:pPr>
        <w:pStyle w:val="153"/>
        <w:widowControl w:val="0"/>
        <w:spacing w:line="440" w:lineRule="exact"/>
        <w:ind w:firstLine="476" w:firstLineChars="200"/>
        <w:jc w:val="both"/>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表5.1-2    气象站</w:t>
      </w:r>
      <w:r>
        <w:rPr>
          <w:rFonts w:hint="default" w:ascii="Times New Roman" w:hAnsi="Times New Roman" w:eastAsia="宋体" w:cs="Times New Roman"/>
          <w:b/>
          <w:color w:val="auto"/>
          <w:w w:val="99"/>
          <w:kern w:val="2"/>
          <w:szCs w:val="20"/>
          <w:highlight w:val="none"/>
        </w:rPr>
        <w:t>月平均</w:t>
      </w:r>
      <w:r>
        <w:rPr>
          <w:rFonts w:hint="default" w:ascii="Times New Roman" w:hAnsi="Times New Roman" w:eastAsia="宋体" w:cs="Times New Roman"/>
          <w:b/>
          <w:color w:val="auto"/>
          <w:w w:val="99"/>
          <w:highlight w:val="none"/>
        </w:rPr>
        <w:t>风速统计（单位：m/s）</w:t>
      </w:r>
    </w:p>
    <w:tbl>
      <w:tblPr>
        <w:tblStyle w:val="166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72"/>
        <w:gridCol w:w="599"/>
        <w:gridCol w:w="599"/>
        <w:gridCol w:w="599"/>
        <w:gridCol w:w="599"/>
        <w:gridCol w:w="599"/>
        <w:gridCol w:w="599"/>
        <w:gridCol w:w="599"/>
        <w:gridCol w:w="599"/>
        <w:gridCol w:w="599"/>
        <w:gridCol w:w="599"/>
        <w:gridCol w:w="599"/>
        <w:gridCol w:w="632"/>
      </w:tblGrid>
      <w:tr w14:paraId="189CE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28" w:type="pct"/>
            <w:tcBorders>
              <w:left w:val="single" w:color="000000" w:sz="10" w:space="0"/>
              <w:right w:val="single" w:color="000000" w:sz="4" w:space="0"/>
            </w:tcBorders>
            <w:vAlign w:val="center"/>
          </w:tcPr>
          <w:p w14:paraId="3ECEBE6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月份</w:t>
            </w:r>
          </w:p>
        </w:tc>
        <w:tc>
          <w:tcPr>
            <w:tcW w:w="329" w:type="pct"/>
            <w:tcBorders>
              <w:left w:val="single" w:color="000000" w:sz="4" w:space="0"/>
              <w:right w:val="single" w:color="000000" w:sz="4" w:space="0"/>
            </w:tcBorders>
            <w:vAlign w:val="center"/>
          </w:tcPr>
          <w:p w14:paraId="7F07C25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w:t>
            </w:r>
          </w:p>
        </w:tc>
        <w:tc>
          <w:tcPr>
            <w:tcW w:w="329" w:type="pct"/>
            <w:tcBorders>
              <w:left w:val="single" w:color="000000" w:sz="4" w:space="0"/>
              <w:right w:val="single" w:color="000000" w:sz="4" w:space="0"/>
            </w:tcBorders>
            <w:vAlign w:val="center"/>
          </w:tcPr>
          <w:p w14:paraId="7BF8CB5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w:t>
            </w:r>
          </w:p>
        </w:tc>
        <w:tc>
          <w:tcPr>
            <w:tcW w:w="329" w:type="pct"/>
            <w:tcBorders>
              <w:left w:val="single" w:color="000000" w:sz="4" w:space="0"/>
              <w:right w:val="single" w:color="000000" w:sz="4" w:space="0"/>
            </w:tcBorders>
            <w:vAlign w:val="center"/>
          </w:tcPr>
          <w:p w14:paraId="6D502D6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w:t>
            </w:r>
          </w:p>
        </w:tc>
        <w:tc>
          <w:tcPr>
            <w:tcW w:w="329" w:type="pct"/>
            <w:tcBorders>
              <w:left w:val="single" w:color="000000" w:sz="4" w:space="0"/>
              <w:right w:val="single" w:color="000000" w:sz="4" w:space="0"/>
            </w:tcBorders>
            <w:vAlign w:val="center"/>
          </w:tcPr>
          <w:p w14:paraId="1241ED0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w:t>
            </w:r>
          </w:p>
        </w:tc>
        <w:tc>
          <w:tcPr>
            <w:tcW w:w="329" w:type="pct"/>
            <w:tcBorders>
              <w:left w:val="single" w:color="000000" w:sz="4" w:space="0"/>
              <w:right w:val="single" w:color="000000" w:sz="4" w:space="0"/>
            </w:tcBorders>
            <w:vAlign w:val="center"/>
          </w:tcPr>
          <w:p w14:paraId="149ACCE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w:t>
            </w:r>
          </w:p>
        </w:tc>
        <w:tc>
          <w:tcPr>
            <w:tcW w:w="329" w:type="pct"/>
            <w:tcBorders>
              <w:left w:val="single" w:color="000000" w:sz="4" w:space="0"/>
              <w:right w:val="single" w:color="000000" w:sz="4" w:space="0"/>
            </w:tcBorders>
            <w:vAlign w:val="center"/>
          </w:tcPr>
          <w:p w14:paraId="7A3FD5A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w:t>
            </w:r>
          </w:p>
        </w:tc>
        <w:tc>
          <w:tcPr>
            <w:tcW w:w="329" w:type="pct"/>
            <w:tcBorders>
              <w:left w:val="single" w:color="000000" w:sz="4" w:space="0"/>
              <w:right w:val="single" w:color="000000" w:sz="4" w:space="0"/>
            </w:tcBorders>
            <w:vAlign w:val="center"/>
          </w:tcPr>
          <w:p w14:paraId="7BABA17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w:t>
            </w:r>
          </w:p>
        </w:tc>
        <w:tc>
          <w:tcPr>
            <w:tcW w:w="329" w:type="pct"/>
            <w:tcBorders>
              <w:left w:val="single" w:color="000000" w:sz="4" w:space="0"/>
              <w:right w:val="single" w:color="000000" w:sz="4" w:space="0"/>
            </w:tcBorders>
            <w:vAlign w:val="center"/>
          </w:tcPr>
          <w:p w14:paraId="15A757A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w:t>
            </w:r>
          </w:p>
        </w:tc>
        <w:tc>
          <w:tcPr>
            <w:tcW w:w="329" w:type="pct"/>
            <w:tcBorders>
              <w:left w:val="single" w:color="000000" w:sz="4" w:space="0"/>
              <w:right w:val="single" w:color="000000" w:sz="4" w:space="0"/>
            </w:tcBorders>
            <w:vAlign w:val="center"/>
          </w:tcPr>
          <w:p w14:paraId="2BBED7D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w:t>
            </w:r>
          </w:p>
        </w:tc>
        <w:tc>
          <w:tcPr>
            <w:tcW w:w="329" w:type="pct"/>
            <w:tcBorders>
              <w:left w:val="single" w:color="000000" w:sz="4" w:space="0"/>
              <w:right w:val="single" w:color="000000" w:sz="4" w:space="0"/>
            </w:tcBorders>
            <w:vAlign w:val="center"/>
          </w:tcPr>
          <w:p w14:paraId="479EE32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10</w:t>
            </w:r>
          </w:p>
        </w:tc>
        <w:tc>
          <w:tcPr>
            <w:tcW w:w="329" w:type="pct"/>
            <w:tcBorders>
              <w:left w:val="single" w:color="000000" w:sz="4" w:space="0"/>
              <w:right w:val="single" w:color="000000" w:sz="4" w:space="0"/>
            </w:tcBorders>
            <w:vAlign w:val="center"/>
          </w:tcPr>
          <w:p w14:paraId="4BBDA28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11</w:t>
            </w:r>
          </w:p>
        </w:tc>
        <w:tc>
          <w:tcPr>
            <w:tcW w:w="347" w:type="pct"/>
            <w:tcBorders>
              <w:left w:val="single" w:color="000000" w:sz="4" w:space="0"/>
              <w:right w:val="single" w:color="000000" w:sz="10" w:space="0"/>
            </w:tcBorders>
            <w:vAlign w:val="center"/>
          </w:tcPr>
          <w:p w14:paraId="37D861B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12</w:t>
            </w:r>
          </w:p>
        </w:tc>
      </w:tr>
      <w:tr w14:paraId="47FB6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28" w:type="pct"/>
            <w:tcBorders>
              <w:left w:val="single" w:color="000000" w:sz="10" w:space="0"/>
              <w:right w:val="single" w:color="000000" w:sz="4" w:space="0"/>
            </w:tcBorders>
            <w:vAlign w:val="center"/>
          </w:tcPr>
          <w:p w14:paraId="2D9259B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平均风速</w:t>
            </w:r>
          </w:p>
        </w:tc>
        <w:tc>
          <w:tcPr>
            <w:tcW w:w="329" w:type="pct"/>
            <w:tcBorders>
              <w:left w:val="single" w:color="000000" w:sz="4" w:space="0"/>
              <w:right w:val="single" w:color="000000" w:sz="4" w:space="0"/>
            </w:tcBorders>
            <w:vAlign w:val="center"/>
          </w:tcPr>
          <w:p w14:paraId="13EFEC2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1.9</w:t>
            </w:r>
          </w:p>
        </w:tc>
        <w:tc>
          <w:tcPr>
            <w:tcW w:w="329" w:type="pct"/>
            <w:tcBorders>
              <w:left w:val="single" w:color="000000" w:sz="4" w:space="0"/>
              <w:right w:val="single" w:color="000000" w:sz="4" w:space="0"/>
            </w:tcBorders>
            <w:vAlign w:val="center"/>
          </w:tcPr>
          <w:p w14:paraId="1C5BF3D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2.2</w:t>
            </w:r>
          </w:p>
        </w:tc>
        <w:tc>
          <w:tcPr>
            <w:tcW w:w="329" w:type="pct"/>
            <w:tcBorders>
              <w:left w:val="single" w:color="000000" w:sz="4" w:space="0"/>
              <w:right w:val="single" w:color="000000" w:sz="4" w:space="0"/>
            </w:tcBorders>
            <w:vAlign w:val="center"/>
          </w:tcPr>
          <w:p w14:paraId="25FB8D2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2.6</w:t>
            </w:r>
          </w:p>
        </w:tc>
        <w:tc>
          <w:tcPr>
            <w:tcW w:w="329" w:type="pct"/>
            <w:tcBorders>
              <w:left w:val="single" w:color="000000" w:sz="4" w:space="0"/>
              <w:right w:val="single" w:color="000000" w:sz="4" w:space="0"/>
            </w:tcBorders>
            <w:vAlign w:val="center"/>
          </w:tcPr>
          <w:p w14:paraId="400E2DD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2.8</w:t>
            </w:r>
          </w:p>
        </w:tc>
        <w:tc>
          <w:tcPr>
            <w:tcW w:w="329" w:type="pct"/>
            <w:tcBorders>
              <w:left w:val="single" w:color="000000" w:sz="4" w:space="0"/>
              <w:right w:val="single" w:color="000000" w:sz="4" w:space="0"/>
            </w:tcBorders>
            <w:vAlign w:val="center"/>
          </w:tcPr>
          <w:p w14:paraId="6082237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2.7</w:t>
            </w:r>
          </w:p>
        </w:tc>
        <w:tc>
          <w:tcPr>
            <w:tcW w:w="329" w:type="pct"/>
            <w:tcBorders>
              <w:left w:val="single" w:color="000000" w:sz="4" w:space="0"/>
              <w:right w:val="single" w:color="000000" w:sz="4" w:space="0"/>
            </w:tcBorders>
            <w:vAlign w:val="center"/>
          </w:tcPr>
          <w:p w14:paraId="6461B6F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2.1</w:t>
            </w:r>
          </w:p>
        </w:tc>
        <w:tc>
          <w:tcPr>
            <w:tcW w:w="329" w:type="pct"/>
            <w:tcBorders>
              <w:left w:val="single" w:color="000000" w:sz="4" w:space="0"/>
              <w:right w:val="single" w:color="000000" w:sz="4" w:space="0"/>
            </w:tcBorders>
            <w:vAlign w:val="center"/>
          </w:tcPr>
          <w:p w14:paraId="5849DD0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2.0</w:t>
            </w:r>
          </w:p>
        </w:tc>
        <w:tc>
          <w:tcPr>
            <w:tcW w:w="329" w:type="pct"/>
            <w:tcBorders>
              <w:left w:val="single" w:color="000000" w:sz="4" w:space="0"/>
              <w:right w:val="single" w:color="000000" w:sz="4" w:space="0"/>
            </w:tcBorders>
            <w:vAlign w:val="center"/>
          </w:tcPr>
          <w:p w14:paraId="538FB72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1.8</w:t>
            </w:r>
          </w:p>
        </w:tc>
        <w:tc>
          <w:tcPr>
            <w:tcW w:w="329" w:type="pct"/>
            <w:tcBorders>
              <w:left w:val="single" w:color="000000" w:sz="4" w:space="0"/>
              <w:right w:val="single" w:color="000000" w:sz="4" w:space="0"/>
            </w:tcBorders>
            <w:vAlign w:val="center"/>
          </w:tcPr>
          <w:p w14:paraId="4CED807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2.1</w:t>
            </w:r>
          </w:p>
        </w:tc>
        <w:tc>
          <w:tcPr>
            <w:tcW w:w="329" w:type="pct"/>
            <w:tcBorders>
              <w:left w:val="single" w:color="000000" w:sz="4" w:space="0"/>
              <w:right w:val="single" w:color="000000" w:sz="4" w:space="0"/>
            </w:tcBorders>
            <w:vAlign w:val="center"/>
          </w:tcPr>
          <w:p w14:paraId="5A800F7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2.2</w:t>
            </w:r>
          </w:p>
        </w:tc>
        <w:tc>
          <w:tcPr>
            <w:tcW w:w="329" w:type="pct"/>
            <w:tcBorders>
              <w:left w:val="single" w:color="000000" w:sz="4" w:space="0"/>
              <w:right w:val="single" w:color="000000" w:sz="4" w:space="0"/>
            </w:tcBorders>
            <w:vAlign w:val="center"/>
          </w:tcPr>
          <w:p w14:paraId="123B9C2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2.2</w:t>
            </w:r>
          </w:p>
        </w:tc>
        <w:tc>
          <w:tcPr>
            <w:tcW w:w="347" w:type="pct"/>
            <w:tcBorders>
              <w:left w:val="single" w:color="000000" w:sz="4" w:space="0"/>
              <w:right w:val="single" w:color="000000" w:sz="10" w:space="0"/>
            </w:tcBorders>
            <w:vAlign w:val="center"/>
          </w:tcPr>
          <w:p w14:paraId="2247630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1.9</w:t>
            </w:r>
          </w:p>
        </w:tc>
      </w:tr>
    </w:tbl>
    <w:p w14:paraId="5A1AB806">
      <w:pPr>
        <w:kinsoku w:val="0"/>
        <w:autoSpaceDE w:val="0"/>
        <w:autoSpaceDN w:val="0"/>
        <w:adjustRightInd w:val="0"/>
        <w:snapToGrid w:val="0"/>
        <w:jc w:val="center"/>
        <w:textAlignment w:val="baseline"/>
        <w:rPr>
          <w:rFonts w:hint="default" w:ascii="Times New Roman" w:hAnsi="Times New Roman" w:eastAsia="宋体" w:cs="Times New Roman"/>
          <w:color w:val="auto"/>
          <w:w w:val="99"/>
          <w:highlight w:val="none"/>
        </w:rPr>
      </w:pPr>
      <w:r>
        <w:rPr>
          <w:rFonts w:hint="default" w:ascii="Times New Roman" w:hAnsi="Times New Roman" w:eastAsia="宋体" w:cs="Times New Roman"/>
          <w:color w:val="auto"/>
          <w:w w:val="99"/>
          <w:highlight w:val="none"/>
        </w:rPr>
        <w:drawing>
          <wp:inline distT="0" distB="0" distL="0" distR="0">
            <wp:extent cx="3529965" cy="2091055"/>
            <wp:effectExtent l="0" t="0" r="1333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a:stretch>
                      <a:fillRect/>
                    </a:stretch>
                  </pic:blipFill>
                  <pic:spPr>
                    <a:xfrm>
                      <a:off x="0" y="0"/>
                      <a:ext cx="3581641" cy="2121504"/>
                    </a:xfrm>
                    <a:prstGeom prst="rect">
                      <a:avLst/>
                    </a:prstGeom>
                  </pic:spPr>
                </pic:pic>
              </a:graphicData>
            </a:graphic>
          </wp:inline>
        </w:drawing>
      </w:r>
    </w:p>
    <w:p w14:paraId="7CB99266">
      <w:pPr>
        <w:snapToGrid w:val="0"/>
        <w:jc w:val="center"/>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图5.1-1    月平均风速（单位：m/s）</w:t>
      </w:r>
    </w:p>
    <w:p w14:paraId="5FAC4BF1">
      <w:pPr>
        <w:widowControl w:val="0"/>
        <w:adjustRightInd w:val="0"/>
        <w:snapToGrid w:val="0"/>
        <w:spacing w:line="440" w:lineRule="exact"/>
        <w:ind w:firstLine="474" w:firstLineChars="200"/>
        <w:jc w:val="both"/>
        <w:rPr>
          <w:rFonts w:hint="default" w:ascii="Times New Roman" w:hAnsi="Times New Roman" w:eastAsia="宋体" w:cs="Times New Roman"/>
          <w:color w:val="auto"/>
          <w:w w:val="99"/>
          <w:kern w:val="2"/>
          <w:highlight w:val="none"/>
        </w:rPr>
      </w:pPr>
      <w:r>
        <w:rPr>
          <w:rFonts w:hint="default" w:ascii="Times New Roman" w:hAnsi="Times New Roman" w:eastAsia="宋体" w:cs="Times New Roman"/>
          <w:color w:val="auto"/>
          <w:w w:val="99"/>
          <w:kern w:val="2"/>
          <w:highlight w:val="none"/>
        </w:rPr>
        <w:t>②风向特征</w:t>
      </w:r>
    </w:p>
    <w:p w14:paraId="5E5FFA95">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eastAsia" w:ascii="Times New Roman" w:hAnsi="Times New Roman" w:cs="Times New Roman"/>
          <w:color w:val="auto"/>
          <w:w w:val="99"/>
          <w:highlight w:val="none"/>
          <w:lang w:val="zh-CN"/>
        </w:rPr>
        <w:t>近二十年</w:t>
      </w:r>
      <w:r>
        <w:rPr>
          <w:rFonts w:hint="default" w:ascii="Times New Roman" w:hAnsi="Times New Roman" w:eastAsia="宋体" w:cs="Times New Roman"/>
          <w:color w:val="auto"/>
          <w:w w:val="99"/>
          <w:highlight w:val="none"/>
          <w:lang w:val="zh-CN"/>
        </w:rPr>
        <w:t>资料分析的风向玫瑰图见图5.1-2，大庆气象站主要风向为S、SSW、WSW、WNW，占32.5％，其中以S为主风向，占到全年的8.6%左右。</w:t>
      </w:r>
    </w:p>
    <w:p w14:paraId="55144969">
      <w:pPr>
        <w:pStyle w:val="153"/>
        <w:widowControl w:val="0"/>
        <w:spacing w:line="440" w:lineRule="exact"/>
        <w:ind w:firstLine="476" w:firstLineChars="200"/>
        <w:jc w:val="both"/>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 xml:space="preserve">表5.1-3    </w:t>
      </w:r>
      <w:r>
        <w:rPr>
          <w:rFonts w:hint="default" w:ascii="Times New Roman" w:hAnsi="Times New Roman" w:eastAsia="宋体" w:cs="Times New Roman"/>
          <w:b/>
          <w:color w:val="auto"/>
          <w:w w:val="99"/>
          <w:kern w:val="2"/>
          <w:szCs w:val="20"/>
          <w:highlight w:val="none"/>
        </w:rPr>
        <w:t>气象站</w:t>
      </w:r>
      <w:r>
        <w:rPr>
          <w:rFonts w:hint="default" w:ascii="Times New Roman" w:hAnsi="Times New Roman" w:eastAsia="宋体" w:cs="Times New Roman"/>
          <w:b/>
          <w:color w:val="auto"/>
          <w:w w:val="99"/>
          <w:highlight w:val="none"/>
        </w:rPr>
        <w:t>年风向频率统计（单位：%）</w:t>
      </w:r>
    </w:p>
    <w:tbl>
      <w:tblPr>
        <w:tblStyle w:val="1662"/>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07"/>
        <w:gridCol w:w="371"/>
        <w:gridCol w:w="598"/>
        <w:gridCol w:w="391"/>
        <w:gridCol w:w="564"/>
        <w:gridCol w:w="371"/>
        <w:gridCol w:w="516"/>
        <w:gridCol w:w="371"/>
        <w:gridCol w:w="502"/>
        <w:gridCol w:w="371"/>
        <w:gridCol w:w="598"/>
        <w:gridCol w:w="436"/>
        <w:gridCol w:w="707"/>
        <w:gridCol w:w="369"/>
        <w:gridCol w:w="754"/>
        <w:gridCol w:w="485"/>
        <w:gridCol w:w="691"/>
        <w:gridCol w:w="388"/>
      </w:tblGrid>
      <w:tr w14:paraId="7A5D9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334" w:type="pct"/>
            <w:tcBorders>
              <w:left w:val="single" w:color="000000" w:sz="10" w:space="0"/>
            </w:tcBorders>
          </w:tcPr>
          <w:p w14:paraId="77F7D26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风向</w:t>
            </w:r>
          </w:p>
        </w:tc>
        <w:tc>
          <w:tcPr>
            <w:tcW w:w="204" w:type="pct"/>
          </w:tcPr>
          <w:p w14:paraId="0306A70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w:t>
            </w:r>
          </w:p>
        </w:tc>
        <w:tc>
          <w:tcPr>
            <w:tcW w:w="329" w:type="pct"/>
          </w:tcPr>
          <w:p w14:paraId="3407C75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NNE</w:t>
            </w:r>
          </w:p>
        </w:tc>
        <w:tc>
          <w:tcPr>
            <w:tcW w:w="215" w:type="pct"/>
          </w:tcPr>
          <w:p w14:paraId="0C51E06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NE</w:t>
            </w:r>
          </w:p>
        </w:tc>
        <w:tc>
          <w:tcPr>
            <w:tcW w:w="310" w:type="pct"/>
          </w:tcPr>
          <w:p w14:paraId="6339C3E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ENE</w:t>
            </w:r>
          </w:p>
        </w:tc>
        <w:tc>
          <w:tcPr>
            <w:tcW w:w="204" w:type="pct"/>
          </w:tcPr>
          <w:p w14:paraId="7CACEFD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E</w:t>
            </w:r>
          </w:p>
        </w:tc>
        <w:tc>
          <w:tcPr>
            <w:tcW w:w="284" w:type="pct"/>
          </w:tcPr>
          <w:p w14:paraId="45F7928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ESE</w:t>
            </w:r>
          </w:p>
        </w:tc>
        <w:tc>
          <w:tcPr>
            <w:tcW w:w="204" w:type="pct"/>
          </w:tcPr>
          <w:p w14:paraId="548F08A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SE</w:t>
            </w:r>
          </w:p>
        </w:tc>
        <w:tc>
          <w:tcPr>
            <w:tcW w:w="276" w:type="pct"/>
          </w:tcPr>
          <w:p w14:paraId="5949EB1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SSE</w:t>
            </w:r>
          </w:p>
        </w:tc>
        <w:tc>
          <w:tcPr>
            <w:tcW w:w="204" w:type="pct"/>
          </w:tcPr>
          <w:p w14:paraId="257DAD4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S</w:t>
            </w:r>
          </w:p>
        </w:tc>
        <w:tc>
          <w:tcPr>
            <w:tcW w:w="329" w:type="pct"/>
          </w:tcPr>
          <w:p w14:paraId="6608872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SSW</w:t>
            </w:r>
          </w:p>
        </w:tc>
        <w:tc>
          <w:tcPr>
            <w:tcW w:w="240" w:type="pct"/>
          </w:tcPr>
          <w:p w14:paraId="7B4BB84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SW</w:t>
            </w:r>
          </w:p>
        </w:tc>
        <w:tc>
          <w:tcPr>
            <w:tcW w:w="389" w:type="pct"/>
          </w:tcPr>
          <w:p w14:paraId="70C7AB0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WSW</w:t>
            </w:r>
          </w:p>
        </w:tc>
        <w:tc>
          <w:tcPr>
            <w:tcW w:w="203" w:type="pct"/>
          </w:tcPr>
          <w:p w14:paraId="1B8FEC4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W</w:t>
            </w:r>
          </w:p>
        </w:tc>
        <w:tc>
          <w:tcPr>
            <w:tcW w:w="415" w:type="pct"/>
          </w:tcPr>
          <w:p w14:paraId="571D01C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WNW</w:t>
            </w:r>
          </w:p>
        </w:tc>
        <w:tc>
          <w:tcPr>
            <w:tcW w:w="267" w:type="pct"/>
          </w:tcPr>
          <w:p w14:paraId="168CBC8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NW</w:t>
            </w:r>
          </w:p>
        </w:tc>
        <w:tc>
          <w:tcPr>
            <w:tcW w:w="380" w:type="pct"/>
          </w:tcPr>
          <w:p w14:paraId="4D81E48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NNW</w:t>
            </w:r>
          </w:p>
        </w:tc>
        <w:tc>
          <w:tcPr>
            <w:tcW w:w="216" w:type="pct"/>
            <w:tcBorders>
              <w:right w:val="single" w:color="000000" w:sz="10" w:space="0"/>
            </w:tcBorders>
          </w:tcPr>
          <w:p w14:paraId="617D707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C</w:t>
            </w:r>
          </w:p>
        </w:tc>
      </w:tr>
      <w:tr w14:paraId="4653A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34" w:type="pct"/>
            <w:tcBorders>
              <w:left w:val="single" w:color="000000" w:sz="10" w:space="0"/>
            </w:tcBorders>
          </w:tcPr>
          <w:p w14:paraId="5FB4F713">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频率</w:t>
            </w:r>
          </w:p>
        </w:tc>
        <w:tc>
          <w:tcPr>
            <w:tcW w:w="204" w:type="pct"/>
          </w:tcPr>
          <w:p w14:paraId="21AC312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6.5</w:t>
            </w:r>
          </w:p>
        </w:tc>
        <w:tc>
          <w:tcPr>
            <w:tcW w:w="329" w:type="pct"/>
          </w:tcPr>
          <w:p w14:paraId="7035D53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4.9</w:t>
            </w:r>
          </w:p>
        </w:tc>
        <w:tc>
          <w:tcPr>
            <w:tcW w:w="215" w:type="pct"/>
          </w:tcPr>
          <w:p w14:paraId="18B786B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3.9</w:t>
            </w:r>
          </w:p>
        </w:tc>
        <w:tc>
          <w:tcPr>
            <w:tcW w:w="310" w:type="pct"/>
          </w:tcPr>
          <w:p w14:paraId="7EF07FF3">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4.0</w:t>
            </w:r>
          </w:p>
        </w:tc>
        <w:tc>
          <w:tcPr>
            <w:tcW w:w="204" w:type="pct"/>
          </w:tcPr>
          <w:p w14:paraId="6CABDBD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3.6</w:t>
            </w:r>
          </w:p>
        </w:tc>
        <w:tc>
          <w:tcPr>
            <w:tcW w:w="284" w:type="pct"/>
          </w:tcPr>
          <w:p w14:paraId="6C4DDD5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3.5</w:t>
            </w:r>
          </w:p>
        </w:tc>
        <w:tc>
          <w:tcPr>
            <w:tcW w:w="204" w:type="pct"/>
          </w:tcPr>
          <w:p w14:paraId="12F5932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3.8</w:t>
            </w:r>
          </w:p>
        </w:tc>
        <w:tc>
          <w:tcPr>
            <w:tcW w:w="276" w:type="pct"/>
          </w:tcPr>
          <w:p w14:paraId="119C466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4.7</w:t>
            </w:r>
          </w:p>
        </w:tc>
        <w:tc>
          <w:tcPr>
            <w:tcW w:w="204" w:type="pct"/>
          </w:tcPr>
          <w:p w14:paraId="27465DD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8.6</w:t>
            </w:r>
          </w:p>
        </w:tc>
        <w:tc>
          <w:tcPr>
            <w:tcW w:w="329" w:type="pct"/>
          </w:tcPr>
          <w:p w14:paraId="5E9507F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8.1</w:t>
            </w:r>
          </w:p>
        </w:tc>
        <w:tc>
          <w:tcPr>
            <w:tcW w:w="240" w:type="pct"/>
          </w:tcPr>
          <w:p w14:paraId="714720A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5.6</w:t>
            </w:r>
          </w:p>
        </w:tc>
        <w:tc>
          <w:tcPr>
            <w:tcW w:w="389" w:type="pct"/>
          </w:tcPr>
          <w:p w14:paraId="4AF298A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8.0</w:t>
            </w:r>
          </w:p>
        </w:tc>
        <w:tc>
          <w:tcPr>
            <w:tcW w:w="203" w:type="pct"/>
          </w:tcPr>
          <w:p w14:paraId="72CA5C6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7.3</w:t>
            </w:r>
          </w:p>
        </w:tc>
        <w:tc>
          <w:tcPr>
            <w:tcW w:w="415" w:type="pct"/>
          </w:tcPr>
          <w:p w14:paraId="5CEF95A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7.7</w:t>
            </w:r>
          </w:p>
        </w:tc>
        <w:tc>
          <w:tcPr>
            <w:tcW w:w="267" w:type="pct"/>
          </w:tcPr>
          <w:p w14:paraId="5C02992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7.2</w:t>
            </w:r>
          </w:p>
        </w:tc>
        <w:tc>
          <w:tcPr>
            <w:tcW w:w="380" w:type="pct"/>
          </w:tcPr>
          <w:p w14:paraId="1D74E32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6.7</w:t>
            </w:r>
          </w:p>
        </w:tc>
        <w:tc>
          <w:tcPr>
            <w:tcW w:w="216" w:type="pct"/>
            <w:tcBorders>
              <w:right w:val="single" w:color="000000" w:sz="10" w:space="0"/>
            </w:tcBorders>
          </w:tcPr>
          <w:p w14:paraId="167EFA7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5.5</w:t>
            </w:r>
          </w:p>
        </w:tc>
      </w:tr>
    </w:tbl>
    <w:p w14:paraId="4D23B579">
      <w:pPr>
        <w:snapToGrid w:val="0"/>
        <w:jc w:val="center"/>
        <w:rPr>
          <w:rFonts w:hint="default" w:ascii="Times New Roman" w:hAnsi="Times New Roman" w:eastAsia="宋体" w:cs="Times New Roman"/>
          <w:color w:val="auto"/>
          <w:w w:val="99"/>
          <w:highlight w:val="none"/>
        </w:rPr>
      </w:pPr>
      <w:r>
        <w:rPr>
          <w:rFonts w:hint="default" w:ascii="Times New Roman" w:hAnsi="Times New Roman" w:eastAsia="宋体" w:cs="Times New Roman"/>
          <w:color w:val="auto"/>
          <w:w w:val="99"/>
          <w:highlight w:val="none"/>
        </w:rPr>
        <w:drawing>
          <wp:inline distT="0" distB="0" distL="0" distR="0">
            <wp:extent cx="1762125" cy="1670685"/>
            <wp:effectExtent l="0" t="0" r="9525" b="5715"/>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766961" cy="1675279"/>
                    </a:xfrm>
                    <a:prstGeom prst="rect">
                      <a:avLst/>
                    </a:prstGeom>
                    <a:noFill/>
                    <a:ln>
                      <a:noFill/>
                    </a:ln>
                  </pic:spPr>
                </pic:pic>
              </a:graphicData>
            </a:graphic>
          </wp:inline>
        </w:drawing>
      </w:r>
    </w:p>
    <w:p w14:paraId="45EC5166">
      <w:pPr>
        <w:snapToGrid w:val="0"/>
        <w:spacing w:line="440" w:lineRule="exact"/>
        <w:jc w:val="center"/>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图5.1-2    风向玫瑰图（静风频率5.5%）</w:t>
      </w:r>
    </w:p>
    <w:p w14:paraId="7124CFDA">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各月风向频率见表5.1-4，月风向玫瑰图见图5.1-3。</w:t>
      </w:r>
    </w:p>
    <w:p w14:paraId="137B5EAC">
      <w:pPr>
        <w:pStyle w:val="46"/>
        <w:spacing w:after="0" w:line="240" w:lineRule="auto"/>
        <w:ind w:left="0" w:leftChars="0"/>
        <w:jc w:val="center"/>
        <w:rPr>
          <w:rFonts w:hint="default" w:ascii="Times New Roman" w:hAnsi="Times New Roman" w:eastAsia="宋体" w:cs="Times New Roman"/>
          <w:color w:val="0000FF"/>
          <w:w w:val="99"/>
          <w:highlight w:val="none"/>
        </w:rPr>
      </w:pPr>
      <w:r>
        <w:rPr>
          <w:rFonts w:hint="default" w:ascii="Times New Roman" w:hAnsi="Times New Roman" w:eastAsia="宋体" w:cs="Times New Roman"/>
          <w:color w:val="0000FF"/>
          <w:w w:val="99"/>
          <w:highlight w:val="none"/>
        </w:rPr>
        <w:drawing>
          <wp:inline distT="0" distB="0" distL="0" distR="0">
            <wp:extent cx="3390900" cy="4028440"/>
            <wp:effectExtent l="0" t="0" r="0" b="1016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403531" cy="4043640"/>
                    </a:xfrm>
                    <a:prstGeom prst="rect">
                      <a:avLst/>
                    </a:prstGeom>
                  </pic:spPr>
                </pic:pic>
              </a:graphicData>
            </a:graphic>
          </wp:inline>
        </w:drawing>
      </w:r>
    </w:p>
    <w:p w14:paraId="299BF0BF">
      <w:pPr>
        <w:pStyle w:val="46"/>
        <w:spacing w:after="0" w:line="240" w:lineRule="auto"/>
        <w:ind w:left="0" w:leftChars="0" w:firstLine="478"/>
        <w:jc w:val="center"/>
        <w:rPr>
          <w:rFonts w:hint="default" w:ascii="Times New Roman" w:hAnsi="Times New Roman" w:eastAsia="宋体" w:cs="Times New Roman"/>
          <w:b/>
          <w:color w:val="auto"/>
          <w:w w:val="99"/>
          <w:sz w:val="24"/>
          <w:highlight w:val="none"/>
        </w:rPr>
      </w:pPr>
      <w:r>
        <w:rPr>
          <w:rFonts w:hint="default" w:ascii="Times New Roman" w:hAnsi="Times New Roman" w:eastAsia="宋体" w:cs="Times New Roman"/>
          <w:b/>
          <w:color w:val="auto"/>
          <w:w w:val="99"/>
          <w:sz w:val="24"/>
          <w:highlight w:val="none"/>
        </w:rPr>
        <w:t>图5.1-3    月风向玫瑰图（静风频率5.5%）</w:t>
      </w:r>
    </w:p>
    <w:p w14:paraId="5A457056">
      <w:pPr>
        <w:pStyle w:val="153"/>
        <w:widowControl w:val="0"/>
        <w:spacing w:line="440" w:lineRule="exact"/>
        <w:ind w:firstLine="476" w:firstLineChars="200"/>
        <w:jc w:val="both"/>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 xml:space="preserve">表5.1-4    </w:t>
      </w:r>
      <w:r>
        <w:rPr>
          <w:rFonts w:hint="default" w:ascii="Times New Roman" w:hAnsi="Times New Roman" w:eastAsia="宋体" w:cs="Times New Roman"/>
          <w:b/>
          <w:color w:val="auto"/>
          <w:w w:val="99"/>
          <w:kern w:val="2"/>
          <w:szCs w:val="20"/>
          <w:highlight w:val="none"/>
        </w:rPr>
        <w:t>气象站</w:t>
      </w:r>
      <w:r>
        <w:rPr>
          <w:rFonts w:hint="default" w:ascii="Times New Roman" w:hAnsi="Times New Roman" w:eastAsia="宋体" w:cs="Times New Roman"/>
          <w:b/>
          <w:color w:val="auto"/>
          <w:w w:val="99"/>
          <w:highlight w:val="none"/>
        </w:rPr>
        <w:t>月风向频率统计（单位%）</w:t>
      </w:r>
    </w:p>
    <w:tbl>
      <w:tblPr>
        <w:tblStyle w:val="1662"/>
        <w:tblW w:w="909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0"/>
        <w:gridCol w:w="325"/>
        <w:gridCol w:w="522"/>
        <w:gridCol w:w="345"/>
        <w:gridCol w:w="496"/>
        <w:gridCol w:w="325"/>
        <w:gridCol w:w="454"/>
        <w:gridCol w:w="325"/>
        <w:gridCol w:w="440"/>
        <w:gridCol w:w="447"/>
        <w:gridCol w:w="522"/>
        <w:gridCol w:w="385"/>
        <w:gridCol w:w="617"/>
        <w:gridCol w:w="325"/>
        <w:gridCol w:w="659"/>
        <w:gridCol w:w="447"/>
        <w:gridCol w:w="603"/>
        <w:gridCol w:w="347"/>
      </w:tblGrid>
      <w:tr w14:paraId="631B0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13CFBD2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风向频率月份</w:t>
            </w:r>
          </w:p>
        </w:tc>
        <w:tc>
          <w:tcPr>
            <w:tcW w:w="325" w:type="dxa"/>
            <w:tcBorders>
              <w:left w:val="single" w:color="000000" w:sz="4" w:space="0"/>
              <w:right w:val="single" w:color="000000" w:sz="4" w:space="0"/>
            </w:tcBorders>
            <w:vAlign w:val="center"/>
          </w:tcPr>
          <w:p w14:paraId="40F08AC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w:t>
            </w:r>
          </w:p>
        </w:tc>
        <w:tc>
          <w:tcPr>
            <w:tcW w:w="522" w:type="dxa"/>
            <w:tcBorders>
              <w:left w:val="single" w:color="000000" w:sz="4" w:space="0"/>
              <w:right w:val="single" w:color="000000" w:sz="4" w:space="0"/>
            </w:tcBorders>
            <w:vAlign w:val="center"/>
          </w:tcPr>
          <w:p w14:paraId="09FF0A6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NNE</w:t>
            </w:r>
          </w:p>
        </w:tc>
        <w:tc>
          <w:tcPr>
            <w:tcW w:w="345" w:type="dxa"/>
            <w:tcBorders>
              <w:left w:val="single" w:color="000000" w:sz="4" w:space="0"/>
              <w:right w:val="single" w:color="000000" w:sz="4" w:space="0"/>
            </w:tcBorders>
            <w:vAlign w:val="center"/>
          </w:tcPr>
          <w:p w14:paraId="29C0664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NE</w:t>
            </w:r>
          </w:p>
        </w:tc>
        <w:tc>
          <w:tcPr>
            <w:tcW w:w="496" w:type="dxa"/>
            <w:tcBorders>
              <w:left w:val="single" w:color="000000" w:sz="4" w:space="0"/>
              <w:right w:val="single" w:color="000000" w:sz="4" w:space="0"/>
            </w:tcBorders>
            <w:vAlign w:val="center"/>
          </w:tcPr>
          <w:p w14:paraId="20F4020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ENE</w:t>
            </w:r>
          </w:p>
        </w:tc>
        <w:tc>
          <w:tcPr>
            <w:tcW w:w="325" w:type="dxa"/>
            <w:tcBorders>
              <w:left w:val="single" w:color="000000" w:sz="4" w:space="0"/>
              <w:right w:val="single" w:color="000000" w:sz="4" w:space="0"/>
            </w:tcBorders>
            <w:vAlign w:val="center"/>
          </w:tcPr>
          <w:p w14:paraId="21D109A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E</w:t>
            </w:r>
          </w:p>
        </w:tc>
        <w:tc>
          <w:tcPr>
            <w:tcW w:w="454" w:type="dxa"/>
            <w:tcBorders>
              <w:left w:val="single" w:color="000000" w:sz="4" w:space="0"/>
              <w:right w:val="single" w:color="000000" w:sz="4" w:space="0"/>
            </w:tcBorders>
            <w:vAlign w:val="center"/>
          </w:tcPr>
          <w:p w14:paraId="51CC75E3">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ESE</w:t>
            </w:r>
          </w:p>
        </w:tc>
        <w:tc>
          <w:tcPr>
            <w:tcW w:w="325" w:type="dxa"/>
            <w:tcBorders>
              <w:left w:val="single" w:color="000000" w:sz="4" w:space="0"/>
              <w:right w:val="single" w:color="000000" w:sz="4" w:space="0"/>
            </w:tcBorders>
            <w:vAlign w:val="center"/>
          </w:tcPr>
          <w:p w14:paraId="756FD81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SE</w:t>
            </w:r>
          </w:p>
        </w:tc>
        <w:tc>
          <w:tcPr>
            <w:tcW w:w="440" w:type="dxa"/>
            <w:tcBorders>
              <w:left w:val="single" w:color="000000" w:sz="4" w:space="0"/>
              <w:right w:val="single" w:color="000000" w:sz="4" w:space="0"/>
            </w:tcBorders>
            <w:vAlign w:val="center"/>
          </w:tcPr>
          <w:p w14:paraId="4839326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SSE</w:t>
            </w:r>
          </w:p>
        </w:tc>
        <w:tc>
          <w:tcPr>
            <w:tcW w:w="447" w:type="dxa"/>
            <w:tcBorders>
              <w:left w:val="single" w:color="000000" w:sz="4" w:space="0"/>
              <w:right w:val="single" w:color="000000" w:sz="4" w:space="0"/>
            </w:tcBorders>
            <w:vAlign w:val="center"/>
          </w:tcPr>
          <w:p w14:paraId="78FB98B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S</w:t>
            </w:r>
          </w:p>
        </w:tc>
        <w:tc>
          <w:tcPr>
            <w:tcW w:w="521" w:type="dxa"/>
            <w:tcBorders>
              <w:left w:val="single" w:color="000000" w:sz="4" w:space="0"/>
              <w:right w:val="single" w:color="000000" w:sz="4" w:space="0"/>
            </w:tcBorders>
            <w:vAlign w:val="center"/>
          </w:tcPr>
          <w:p w14:paraId="6CF54723">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SSW</w:t>
            </w:r>
          </w:p>
        </w:tc>
        <w:tc>
          <w:tcPr>
            <w:tcW w:w="385" w:type="dxa"/>
            <w:tcBorders>
              <w:left w:val="single" w:color="000000" w:sz="4" w:space="0"/>
              <w:right w:val="single" w:color="000000" w:sz="4" w:space="0"/>
            </w:tcBorders>
            <w:vAlign w:val="center"/>
          </w:tcPr>
          <w:p w14:paraId="31BB9C6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SW</w:t>
            </w:r>
          </w:p>
        </w:tc>
        <w:tc>
          <w:tcPr>
            <w:tcW w:w="617" w:type="dxa"/>
            <w:tcBorders>
              <w:left w:val="single" w:color="000000" w:sz="4" w:space="0"/>
              <w:right w:val="single" w:color="000000" w:sz="4" w:space="0"/>
            </w:tcBorders>
            <w:vAlign w:val="center"/>
          </w:tcPr>
          <w:p w14:paraId="3B16E21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WSW</w:t>
            </w:r>
          </w:p>
        </w:tc>
        <w:tc>
          <w:tcPr>
            <w:tcW w:w="325" w:type="dxa"/>
            <w:tcBorders>
              <w:left w:val="single" w:color="000000" w:sz="4" w:space="0"/>
              <w:right w:val="single" w:color="000000" w:sz="4" w:space="0"/>
            </w:tcBorders>
            <w:vAlign w:val="center"/>
          </w:tcPr>
          <w:p w14:paraId="7FEE2A8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W</w:t>
            </w:r>
          </w:p>
        </w:tc>
        <w:tc>
          <w:tcPr>
            <w:tcW w:w="659" w:type="dxa"/>
            <w:tcBorders>
              <w:left w:val="single" w:color="000000" w:sz="4" w:space="0"/>
              <w:right w:val="single" w:color="000000" w:sz="4" w:space="0"/>
            </w:tcBorders>
            <w:vAlign w:val="center"/>
          </w:tcPr>
          <w:p w14:paraId="33DFDA1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WNW</w:t>
            </w:r>
          </w:p>
        </w:tc>
        <w:tc>
          <w:tcPr>
            <w:tcW w:w="447" w:type="dxa"/>
            <w:tcBorders>
              <w:left w:val="single" w:color="000000" w:sz="4" w:space="0"/>
              <w:right w:val="single" w:color="000000" w:sz="4" w:space="0"/>
            </w:tcBorders>
            <w:vAlign w:val="center"/>
          </w:tcPr>
          <w:p w14:paraId="7A771DA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NW</w:t>
            </w:r>
          </w:p>
        </w:tc>
        <w:tc>
          <w:tcPr>
            <w:tcW w:w="603" w:type="dxa"/>
            <w:tcBorders>
              <w:left w:val="single" w:color="000000" w:sz="4" w:space="0"/>
              <w:right w:val="single" w:color="000000" w:sz="4" w:space="0"/>
            </w:tcBorders>
            <w:vAlign w:val="center"/>
          </w:tcPr>
          <w:p w14:paraId="43735DD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NNW</w:t>
            </w:r>
          </w:p>
        </w:tc>
        <w:tc>
          <w:tcPr>
            <w:tcW w:w="347" w:type="dxa"/>
            <w:tcBorders>
              <w:left w:val="single" w:color="000000" w:sz="4" w:space="0"/>
              <w:right w:val="single" w:color="000000" w:sz="10" w:space="0"/>
            </w:tcBorders>
            <w:vAlign w:val="center"/>
          </w:tcPr>
          <w:p w14:paraId="77DF998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C</w:t>
            </w:r>
          </w:p>
        </w:tc>
      </w:tr>
      <w:tr w14:paraId="4578F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25154D8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01</w:t>
            </w:r>
          </w:p>
        </w:tc>
        <w:tc>
          <w:tcPr>
            <w:tcW w:w="325" w:type="dxa"/>
            <w:tcBorders>
              <w:left w:val="single" w:color="000000" w:sz="4" w:space="0"/>
              <w:right w:val="single" w:color="000000" w:sz="4" w:space="0"/>
            </w:tcBorders>
            <w:vAlign w:val="center"/>
          </w:tcPr>
          <w:p w14:paraId="52FDFD9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6.8</w:t>
            </w:r>
          </w:p>
        </w:tc>
        <w:tc>
          <w:tcPr>
            <w:tcW w:w="522" w:type="dxa"/>
            <w:tcBorders>
              <w:left w:val="single" w:color="000000" w:sz="4" w:space="0"/>
              <w:right w:val="single" w:color="000000" w:sz="4" w:space="0"/>
            </w:tcBorders>
            <w:vAlign w:val="center"/>
          </w:tcPr>
          <w:p w14:paraId="4300651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3.2</w:t>
            </w:r>
          </w:p>
        </w:tc>
        <w:tc>
          <w:tcPr>
            <w:tcW w:w="345" w:type="dxa"/>
            <w:tcBorders>
              <w:left w:val="single" w:color="000000" w:sz="4" w:space="0"/>
              <w:right w:val="single" w:color="000000" w:sz="4" w:space="0"/>
            </w:tcBorders>
            <w:vAlign w:val="center"/>
          </w:tcPr>
          <w:p w14:paraId="161206F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2.5</w:t>
            </w:r>
          </w:p>
        </w:tc>
        <w:tc>
          <w:tcPr>
            <w:tcW w:w="496" w:type="dxa"/>
            <w:tcBorders>
              <w:left w:val="single" w:color="000000" w:sz="4" w:space="0"/>
              <w:right w:val="single" w:color="000000" w:sz="4" w:space="0"/>
            </w:tcBorders>
            <w:vAlign w:val="center"/>
          </w:tcPr>
          <w:p w14:paraId="713758A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3.3</w:t>
            </w:r>
          </w:p>
        </w:tc>
        <w:tc>
          <w:tcPr>
            <w:tcW w:w="325" w:type="dxa"/>
            <w:tcBorders>
              <w:left w:val="single" w:color="000000" w:sz="4" w:space="0"/>
              <w:right w:val="single" w:color="000000" w:sz="4" w:space="0"/>
            </w:tcBorders>
            <w:vAlign w:val="center"/>
          </w:tcPr>
          <w:p w14:paraId="447FA67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2.7</w:t>
            </w:r>
          </w:p>
        </w:tc>
        <w:tc>
          <w:tcPr>
            <w:tcW w:w="454" w:type="dxa"/>
            <w:tcBorders>
              <w:left w:val="single" w:color="000000" w:sz="4" w:space="0"/>
              <w:right w:val="single" w:color="000000" w:sz="4" w:space="0"/>
            </w:tcBorders>
            <w:vAlign w:val="center"/>
          </w:tcPr>
          <w:p w14:paraId="05C24AD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2.5</w:t>
            </w:r>
          </w:p>
        </w:tc>
        <w:tc>
          <w:tcPr>
            <w:tcW w:w="325" w:type="dxa"/>
            <w:tcBorders>
              <w:left w:val="single" w:color="000000" w:sz="4" w:space="0"/>
              <w:right w:val="single" w:color="000000" w:sz="4" w:space="0"/>
            </w:tcBorders>
            <w:vAlign w:val="center"/>
          </w:tcPr>
          <w:p w14:paraId="35C17A0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2.4</w:t>
            </w:r>
          </w:p>
        </w:tc>
        <w:tc>
          <w:tcPr>
            <w:tcW w:w="440" w:type="dxa"/>
            <w:tcBorders>
              <w:left w:val="single" w:color="000000" w:sz="4" w:space="0"/>
              <w:right w:val="single" w:color="000000" w:sz="4" w:space="0"/>
            </w:tcBorders>
            <w:vAlign w:val="center"/>
          </w:tcPr>
          <w:p w14:paraId="1ADE69E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3.2</w:t>
            </w:r>
          </w:p>
        </w:tc>
        <w:tc>
          <w:tcPr>
            <w:tcW w:w="447" w:type="dxa"/>
            <w:tcBorders>
              <w:left w:val="single" w:color="000000" w:sz="4" w:space="0"/>
              <w:right w:val="single" w:color="000000" w:sz="4" w:space="0"/>
            </w:tcBorders>
            <w:vAlign w:val="center"/>
          </w:tcPr>
          <w:p w14:paraId="2980EF6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6.6</w:t>
            </w:r>
          </w:p>
        </w:tc>
        <w:tc>
          <w:tcPr>
            <w:tcW w:w="521" w:type="dxa"/>
            <w:tcBorders>
              <w:left w:val="single" w:color="000000" w:sz="4" w:space="0"/>
              <w:right w:val="single" w:color="000000" w:sz="4" w:space="0"/>
            </w:tcBorders>
            <w:vAlign w:val="center"/>
          </w:tcPr>
          <w:p w14:paraId="7C64F7B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6.6</w:t>
            </w:r>
          </w:p>
        </w:tc>
        <w:tc>
          <w:tcPr>
            <w:tcW w:w="385" w:type="dxa"/>
            <w:tcBorders>
              <w:left w:val="single" w:color="000000" w:sz="4" w:space="0"/>
              <w:right w:val="single" w:color="000000" w:sz="4" w:space="0"/>
            </w:tcBorders>
            <w:vAlign w:val="center"/>
          </w:tcPr>
          <w:p w14:paraId="674A6843">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5.4</w:t>
            </w:r>
          </w:p>
        </w:tc>
        <w:tc>
          <w:tcPr>
            <w:tcW w:w="617" w:type="dxa"/>
            <w:tcBorders>
              <w:left w:val="single" w:color="000000" w:sz="4" w:space="0"/>
              <w:right w:val="single" w:color="000000" w:sz="4" w:space="0"/>
            </w:tcBorders>
            <w:vAlign w:val="center"/>
          </w:tcPr>
          <w:p w14:paraId="7BBA4C3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10.8</w:t>
            </w:r>
          </w:p>
        </w:tc>
        <w:tc>
          <w:tcPr>
            <w:tcW w:w="325" w:type="dxa"/>
            <w:tcBorders>
              <w:left w:val="single" w:color="000000" w:sz="4" w:space="0"/>
              <w:right w:val="single" w:color="000000" w:sz="4" w:space="0"/>
            </w:tcBorders>
            <w:vAlign w:val="center"/>
          </w:tcPr>
          <w:p w14:paraId="64F08DD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9.4</w:t>
            </w:r>
          </w:p>
        </w:tc>
        <w:tc>
          <w:tcPr>
            <w:tcW w:w="659" w:type="dxa"/>
            <w:tcBorders>
              <w:left w:val="single" w:color="000000" w:sz="4" w:space="0"/>
              <w:right w:val="single" w:color="000000" w:sz="4" w:space="0"/>
            </w:tcBorders>
            <w:vAlign w:val="center"/>
          </w:tcPr>
          <w:p w14:paraId="114CA02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11.5</w:t>
            </w:r>
          </w:p>
        </w:tc>
        <w:tc>
          <w:tcPr>
            <w:tcW w:w="447" w:type="dxa"/>
            <w:tcBorders>
              <w:left w:val="single" w:color="000000" w:sz="4" w:space="0"/>
              <w:right w:val="single" w:color="000000" w:sz="4" w:space="0"/>
            </w:tcBorders>
            <w:vAlign w:val="center"/>
          </w:tcPr>
          <w:p w14:paraId="3A684F1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10.5</w:t>
            </w:r>
          </w:p>
        </w:tc>
        <w:tc>
          <w:tcPr>
            <w:tcW w:w="603" w:type="dxa"/>
            <w:tcBorders>
              <w:left w:val="single" w:color="000000" w:sz="4" w:space="0"/>
              <w:right w:val="single" w:color="000000" w:sz="4" w:space="0"/>
            </w:tcBorders>
            <w:vAlign w:val="center"/>
          </w:tcPr>
          <w:p w14:paraId="06ECC66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9.1</w:t>
            </w:r>
          </w:p>
        </w:tc>
        <w:tc>
          <w:tcPr>
            <w:tcW w:w="347" w:type="dxa"/>
            <w:tcBorders>
              <w:left w:val="single" w:color="000000" w:sz="4" w:space="0"/>
              <w:right w:val="single" w:color="000000" w:sz="10" w:space="0"/>
            </w:tcBorders>
            <w:vAlign w:val="center"/>
          </w:tcPr>
          <w:p w14:paraId="3DC88C4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6.2</w:t>
            </w:r>
          </w:p>
        </w:tc>
      </w:tr>
      <w:tr w14:paraId="507D2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35D6F4D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02</w:t>
            </w:r>
          </w:p>
        </w:tc>
        <w:tc>
          <w:tcPr>
            <w:tcW w:w="325" w:type="dxa"/>
            <w:tcBorders>
              <w:left w:val="single" w:color="000000" w:sz="4" w:space="0"/>
              <w:right w:val="single" w:color="000000" w:sz="4" w:space="0"/>
            </w:tcBorders>
            <w:vAlign w:val="center"/>
          </w:tcPr>
          <w:p w14:paraId="7256FD9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6.3</w:t>
            </w:r>
          </w:p>
        </w:tc>
        <w:tc>
          <w:tcPr>
            <w:tcW w:w="522" w:type="dxa"/>
            <w:tcBorders>
              <w:left w:val="single" w:color="000000" w:sz="4" w:space="0"/>
              <w:right w:val="single" w:color="000000" w:sz="4" w:space="0"/>
            </w:tcBorders>
            <w:vAlign w:val="center"/>
          </w:tcPr>
          <w:p w14:paraId="3727FE43">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4.4</w:t>
            </w:r>
          </w:p>
        </w:tc>
        <w:tc>
          <w:tcPr>
            <w:tcW w:w="345" w:type="dxa"/>
            <w:tcBorders>
              <w:left w:val="single" w:color="000000" w:sz="4" w:space="0"/>
              <w:right w:val="single" w:color="000000" w:sz="4" w:space="0"/>
            </w:tcBorders>
            <w:vAlign w:val="center"/>
          </w:tcPr>
          <w:p w14:paraId="4B0995B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3.2</w:t>
            </w:r>
          </w:p>
        </w:tc>
        <w:tc>
          <w:tcPr>
            <w:tcW w:w="496" w:type="dxa"/>
            <w:tcBorders>
              <w:left w:val="single" w:color="000000" w:sz="4" w:space="0"/>
              <w:right w:val="single" w:color="000000" w:sz="4" w:space="0"/>
            </w:tcBorders>
            <w:vAlign w:val="center"/>
          </w:tcPr>
          <w:p w14:paraId="517143C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3.7</w:t>
            </w:r>
          </w:p>
        </w:tc>
        <w:tc>
          <w:tcPr>
            <w:tcW w:w="325" w:type="dxa"/>
            <w:tcBorders>
              <w:left w:val="single" w:color="000000" w:sz="4" w:space="0"/>
              <w:right w:val="single" w:color="000000" w:sz="4" w:space="0"/>
            </w:tcBorders>
            <w:vAlign w:val="center"/>
          </w:tcPr>
          <w:p w14:paraId="46D9784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2.8</w:t>
            </w:r>
          </w:p>
        </w:tc>
        <w:tc>
          <w:tcPr>
            <w:tcW w:w="454" w:type="dxa"/>
            <w:tcBorders>
              <w:left w:val="single" w:color="000000" w:sz="4" w:space="0"/>
              <w:right w:val="single" w:color="000000" w:sz="4" w:space="0"/>
            </w:tcBorders>
            <w:vAlign w:val="center"/>
          </w:tcPr>
          <w:p w14:paraId="040742D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3.4</w:t>
            </w:r>
          </w:p>
        </w:tc>
        <w:tc>
          <w:tcPr>
            <w:tcW w:w="325" w:type="dxa"/>
            <w:tcBorders>
              <w:left w:val="single" w:color="000000" w:sz="4" w:space="0"/>
              <w:right w:val="single" w:color="000000" w:sz="4" w:space="0"/>
            </w:tcBorders>
            <w:vAlign w:val="center"/>
          </w:tcPr>
          <w:p w14:paraId="2131401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3.5</w:t>
            </w:r>
          </w:p>
        </w:tc>
        <w:tc>
          <w:tcPr>
            <w:tcW w:w="440" w:type="dxa"/>
            <w:tcBorders>
              <w:left w:val="single" w:color="000000" w:sz="4" w:space="0"/>
              <w:right w:val="single" w:color="000000" w:sz="4" w:space="0"/>
            </w:tcBorders>
            <w:vAlign w:val="center"/>
          </w:tcPr>
          <w:p w14:paraId="1FB9F19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3.7</w:t>
            </w:r>
          </w:p>
        </w:tc>
        <w:tc>
          <w:tcPr>
            <w:tcW w:w="447" w:type="dxa"/>
            <w:tcBorders>
              <w:left w:val="single" w:color="000000" w:sz="4" w:space="0"/>
              <w:right w:val="single" w:color="000000" w:sz="4" w:space="0"/>
            </w:tcBorders>
            <w:vAlign w:val="center"/>
          </w:tcPr>
          <w:p w14:paraId="0A5C798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6.1</w:t>
            </w:r>
          </w:p>
        </w:tc>
        <w:tc>
          <w:tcPr>
            <w:tcW w:w="521" w:type="dxa"/>
            <w:tcBorders>
              <w:left w:val="single" w:color="000000" w:sz="4" w:space="0"/>
              <w:right w:val="single" w:color="000000" w:sz="4" w:space="0"/>
            </w:tcBorders>
            <w:vAlign w:val="center"/>
          </w:tcPr>
          <w:p w14:paraId="538A509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7.6</w:t>
            </w:r>
          </w:p>
        </w:tc>
        <w:tc>
          <w:tcPr>
            <w:tcW w:w="385" w:type="dxa"/>
            <w:tcBorders>
              <w:left w:val="single" w:color="000000" w:sz="4" w:space="0"/>
              <w:right w:val="single" w:color="000000" w:sz="4" w:space="0"/>
            </w:tcBorders>
            <w:vAlign w:val="center"/>
          </w:tcPr>
          <w:p w14:paraId="61B3EA8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5.6</w:t>
            </w:r>
          </w:p>
        </w:tc>
        <w:tc>
          <w:tcPr>
            <w:tcW w:w="617" w:type="dxa"/>
            <w:tcBorders>
              <w:left w:val="single" w:color="000000" w:sz="4" w:space="0"/>
              <w:right w:val="single" w:color="000000" w:sz="4" w:space="0"/>
            </w:tcBorders>
            <w:vAlign w:val="center"/>
          </w:tcPr>
          <w:p w14:paraId="163F012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11.1</w:t>
            </w:r>
          </w:p>
        </w:tc>
        <w:tc>
          <w:tcPr>
            <w:tcW w:w="325" w:type="dxa"/>
            <w:tcBorders>
              <w:left w:val="single" w:color="000000" w:sz="4" w:space="0"/>
              <w:right w:val="single" w:color="000000" w:sz="4" w:space="0"/>
            </w:tcBorders>
            <w:vAlign w:val="center"/>
          </w:tcPr>
          <w:p w14:paraId="7FAD94A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9.4</w:t>
            </w:r>
          </w:p>
        </w:tc>
        <w:tc>
          <w:tcPr>
            <w:tcW w:w="659" w:type="dxa"/>
            <w:tcBorders>
              <w:left w:val="single" w:color="000000" w:sz="4" w:space="0"/>
              <w:right w:val="single" w:color="000000" w:sz="4" w:space="0"/>
            </w:tcBorders>
            <w:vAlign w:val="center"/>
          </w:tcPr>
          <w:p w14:paraId="6A5073A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10</w:t>
            </w:r>
          </w:p>
        </w:tc>
        <w:tc>
          <w:tcPr>
            <w:tcW w:w="447" w:type="dxa"/>
            <w:tcBorders>
              <w:left w:val="single" w:color="000000" w:sz="4" w:space="0"/>
              <w:right w:val="single" w:color="000000" w:sz="4" w:space="0"/>
            </w:tcBorders>
            <w:vAlign w:val="center"/>
          </w:tcPr>
          <w:p w14:paraId="566CBF2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12.5</w:t>
            </w:r>
          </w:p>
        </w:tc>
        <w:tc>
          <w:tcPr>
            <w:tcW w:w="603" w:type="dxa"/>
            <w:tcBorders>
              <w:left w:val="single" w:color="000000" w:sz="4" w:space="0"/>
              <w:right w:val="single" w:color="000000" w:sz="4" w:space="0"/>
            </w:tcBorders>
            <w:vAlign w:val="center"/>
          </w:tcPr>
          <w:p w14:paraId="26B4F1B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7.9</w:t>
            </w:r>
          </w:p>
        </w:tc>
        <w:tc>
          <w:tcPr>
            <w:tcW w:w="347" w:type="dxa"/>
            <w:tcBorders>
              <w:left w:val="single" w:color="000000" w:sz="4" w:space="0"/>
              <w:right w:val="single" w:color="000000" w:sz="10" w:space="0"/>
            </w:tcBorders>
            <w:vAlign w:val="center"/>
          </w:tcPr>
          <w:p w14:paraId="5B3730A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4.5</w:t>
            </w:r>
          </w:p>
        </w:tc>
      </w:tr>
      <w:tr w14:paraId="08A3B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1A2EE3F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w:t>
            </w:r>
          </w:p>
        </w:tc>
        <w:tc>
          <w:tcPr>
            <w:tcW w:w="325" w:type="dxa"/>
            <w:tcBorders>
              <w:left w:val="single" w:color="000000" w:sz="4" w:space="0"/>
              <w:right w:val="single" w:color="000000" w:sz="4" w:space="0"/>
            </w:tcBorders>
            <w:vAlign w:val="center"/>
          </w:tcPr>
          <w:p w14:paraId="467CED1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9.1</w:t>
            </w:r>
          </w:p>
        </w:tc>
        <w:tc>
          <w:tcPr>
            <w:tcW w:w="522" w:type="dxa"/>
            <w:tcBorders>
              <w:left w:val="single" w:color="000000" w:sz="4" w:space="0"/>
              <w:right w:val="single" w:color="000000" w:sz="4" w:space="0"/>
            </w:tcBorders>
            <w:vAlign w:val="center"/>
          </w:tcPr>
          <w:p w14:paraId="5A30292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5.2</w:t>
            </w:r>
          </w:p>
        </w:tc>
        <w:tc>
          <w:tcPr>
            <w:tcW w:w="345" w:type="dxa"/>
            <w:tcBorders>
              <w:left w:val="single" w:color="000000" w:sz="4" w:space="0"/>
              <w:right w:val="single" w:color="000000" w:sz="4" w:space="0"/>
            </w:tcBorders>
            <w:vAlign w:val="center"/>
          </w:tcPr>
          <w:p w14:paraId="3CA2C66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3.7</w:t>
            </w:r>
          </w:p>
        </w:tc>
        <w:tc>
          <w:tcPr>
            <w:tcW w:w="496" w:type="dxa"/>
            <w:tcBorders>
              <w:left w:val="single" w:color="000000" w:sz="4" w:space="0"/>
              <w:right w:val="single" w:color="000000" w:sz="4" w:space="0"/>
            </w:tcBorders>
            <w:vAlign w:val="center"/>
          </w:tcPr>
          <w:p w14:paraId="5A1989F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3.9</w:t>
            </w:r>
          </w:p>
        </w:tc>
        <w:tc>
          <w:tcPr>
            <w:tcW w:w="325" w:type="dxa"/>
            <w:tcBorders>
              <w:left w:val="single" w:color="000000" w:sz="4" w:space="0"/>
              <w:right w:val="single" w:color="000000" w:sz="4" w:space="0"/>
            </w:tcBorders>
            <w:vAlign w:val="center"/>
          </w:tcPr>
          <w:p w14:paraId="29B5053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3.5</w:t>
            </w:r>
          </w:p>
        </w:tc>
        <w:tc>
          <w:tcPr>
            <w:tcW w:w="454" w:type="dxa"/>
            <w:tcBorders>
              <w:left w:val="single" w:color="000000" w:sz="4" w:space="0"/>
              <w:right w:val="single" w:color="000000" w:sz="4" w:space="0"/>
            </w:tcBorders>
            <w:vAlign w:val="center"/>
          </w:tcPr>
          <w:p w14:paraId="5F24DBA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3.1</w:t>
            </w:r>
          </w:p>
        </w:tc>
        <w:tc>
          <w:tcPr>
            <w:tcW w:w="325" w:type="dxa"/>
            <w:tcBorders>
              <w:left w:val="single" w:color="000000" w:sz="4" w:space="0"/>
              <w:right w:val="single" w:color="000000" w:sz="4" w:space="0"/>
            </w:tcBorders>
            <w:vAlign w:val="center"/>
          </w:tcPr>
          <w:p w14:paraId="3B68E95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3.6</w:t>
            </w:r>
          </w:p>
        </w:tc>
        <w:tc>
          <w:tcPr>
            <w:tcW w:w="440" w:type="dxa"/>
            <w:tcBorders>
              <w:left w:val="single" w:color="000000" w:sz="4" w:space="0"/>
              <w:right w:val="single" w:color="000000" w:sz="4" w:space="0"/>
            </w:tcBorders>
            <w:vAlign w:val="center"/>
          </w:tcPr>
          <w:p w14:paraId="4FF9F0A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3.4</w:t>
            </w:r>
          </w:p>
        </w:tc>
        <w:tc>
          <w:tcPr>
            <w:tcW w:w="447" w:type="dxa"/>
            <w:tcBorders>
              <w:left w:val="single" w:color="000000" w:sz="4" w:space="0"/>
              <w:right w:val="single" w:color="000000" w:sz="4" w:space="0"/>
            </w:tcBorders>
            <w:vAlign w:val="center"/>
          </w:tcPr>
          <w:p w14:paraId="5F3A60D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6.6</w:t>
            </w:r>
          </w:p>
        </w:tc>
        <w:tc>
          <w:tcPr>
            <w:tcW w:w="521" w:type="dxa"/>
            <w:tcBorders>
              <w:left w:val="single" w:color="000000" w:sz="4" w:space="0"/>
              <w:right w:val="single" w:color="000000" w:sz="4" w:space="0"/>
            </w:tcBorders>
            <w:vAlign w:val="center"/>
          </w:tcPr>
          <w:p w14:paraId="7585091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7.1</w:t>
            </w:r>
          </w:p>
        </w:tc>
        <w:tc>
          <w:tcPr>
            <w:tcW w:w="385" w:type="dxa"/>
            <w:tcBorders>
              <w:left w:val="single" w:color="000000" w:sz="4" w:space="0"/>
              <w:right w:val="single" w:color="000000" w:sz="4" w:space="0"/>
            </w:tcBorders>
            <w:vAlign w:val="center"/>
          </w:tcPr>
          <w:p w14:paraId="2A9C3F7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5.4</w:t>
            </w:r>
          </w:p>
        </w:tc>
        <w:tc>
          <w:tcPr>
            <w:tcW w:w="617" w:type="dxa"/>
            <w:tcBorders>
              <w:left w:val="single" w:color="000000" w:sz="4" w:space="0"/>
              <w:right w:val="single" w:color="000000" w:sz="4" w:space="0"/>
            </w:tcBorders>
            <w:vAlign w:val="center"/>
          </w:tcPr>
          <w:p w14:paraId="670D8A0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8.9</w:t>
            </w:r>
          </w:p>
        </w:tc>
        <w:tc>
          <w:tcPr>
            <w:tcW w:w="325" w:type="dxa"/>
            <w:tcBorders>
              <w:left w:val="single" w:color="000000" w:sz="4" w:space="0"/>
              <w:right w:val="single" w:color="000000" w:sz="4" w:space="0"/>
            </w:tcBorders>
            <w:vAlign w:val="center"/>
          </w:tcPr>
          <w:p w14:paraId="3F40157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8.2</w:t>
            </w:r>
          </w:p>
        </w:tc>
        <w:tc>
          <w:tcPr>
            <w:tcW w:w="659" w:type="dxa"/>
            <w:tcBorders>
              <w:left w:val="single" w:color="000000" w:sz="4" w:space="0"/>
              <w:right w:val="single" w:color="000000" w:sz="4" w:space="0"/>
            </w:tcBorders>
            <w:vAlign w:val="center"/>
          </w:tcPr>
          <w:p w14:paraId="04C4CB2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8.6</w:t>
            </w:r>
          </w:p>
        </w:tc>
        <w:tc>
          <w:tcPr>
            <w:tcW w:w="447" w:type="dxa"/>
            <w:tcBorders>
              <w:left w:val="single" w:color="000000" w:sz="4" w:space="0"/>
              <w:right w:val="single" w:color="000000" w:sz="4" w:space="0"/>
            </w:tcBorders>
            <w:vAlign w:val="center"/>
          </w:tcPr>
          <w:p w14:paraId="7213D78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10.2</w:t>
            </w:r>
          </w:p>
        </w:tc>
        <w:tc>
          <w:tcPr>
            <w:tcW w:w="603" w:type="dxa"/>
            <w:tcBorders>
              <w:left w:val="single" w:color="000000" w:sz="4" w:space="0"/>
              <w:right w:val="single" w:color="000000" w:sz="4" w:space="0"/>
            </w:tcBorders>
            <w:vAlign w:val="center"/>
          </w:tcPr>
          <w:p w14:paraId="59FE86B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9.4</w:t>
            </w:r>
          </w:p>
        </w:tc>
        <w:tc>
          <w:tcPr>
            <w:tcW w:w="347" w:type="dxa"/>
            <w:tcBorders>
              <w:left w:val="single" w:color="000000" w:sz="4" w:space="0"/>
              <w:right w:val="single" w:color="000000" w:sz="10" w:space="0"/>
            </w:tcBorders>
            <w:vAlign w:val="center"/>
          </w:tcPr>
          <w:p w14:paraId="27C67EE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3.8</w:t>
            </w:r>
          </w:p>
        </w:tc>
      </w:tr>
      <w:tr w14:paraId="27AF4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5B1CD173">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04</w:t>
            </w:r>
          </w:p>
        </w:tc>
        <w:tc>
          <w:tcPr>
            <w:tcW w:w="325" w:type="dxa"/>
            <w:tcBorders>
              <w:left w:val="single" w:color="000000" w:sz="4" w:space="0"/>
              <w:right w:val="single" w:color="000000" w:sz="4" w:space="0"/>
            </w:tcBorders>
            <w:vAlign w:val="center"/>
          </w:tcPr>
          <w:p w14:paraId="1F6E21F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8.8</w:t>
            </w:r>
          </w:p>
        </w:tc>
        <w:tc>
          <w:tcPr>
            <w:tcW w:w="521" w:type="dxa"/>
            <w:tcBorders>
              <w:left w:val="single" w:color="000000" w:sz="4" w:space="0"/>
              <w:right w:val="single" w:color="000000" w:sz="4" w:space="0"/>
            </w:tcBorders>
            <w:vAlign w:val="center"/>
          </w:tcPr>
          <w:p w14:paraId="73F0732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6.1</w:t>
            </w:r>
          </w:p>
        </w:tc>
        <w:tc>
          <w:tcPr>
            <w:tcW w:w="345" w:type="dxa"/>
            <w:tcBorders>
              <w:left w:val="single" w:color="000000" w:sz="4" w:space="0"/>
              <w:right w:val="single" w:color="000000" w:sz="4" w:space="0"/>
            </w:tcBorders>
            <w:vAlign w:val="center"/>
          </w:tcPr>
          <w:p w14:paraId="2A4DC44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5.8</w:t>
            </w:r>
          </w:p>
        </w:tc>
        <w:tc>
          <w:tcPr>
            <w:tcW w:w="496" w:type="dxa"/>
            <w:tcBorders>
              <w:left w:val="single" w:color="000000" w:sz="4" w:space="0"/>
              <w:right w:val="single" w:color="000000" w:sz="4" w:space="0"/>
            </w:tcBorders>
            <w:vAlign w:val="center"/>
          </w:tcPr>
          <w:p w14:paraId="1B012F4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4.8</w:t>
            </w:r>
          </w:p>
        </w:tc>
        <w:tc>
          <w:tcPr>
            <w:tcW w:w="325" w:type="dxa"/>
            <w:tcBorders>
              <w:left w:val="single" w:color="000000" w:sz="4" w:space="0"/>
              <w:right w:val="single" w:color="000000" w:sz="4" w:space="0"/>
            </w:tcBorders>
            <w:vAlign w:val="center"/>
          </w:tcPr>
          <w:p w14:paraId="2B4CAFF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w:t>
            </w:r>
          </w:p>
        </w:tc>
        <w:tc>
          <w:tcPr>
            <w:tcW w:w="454" w:type="dxa"/>
            <w:tcBorders>
              <w:left w:val="single" w:color="000000" w:sz="4" w:space="0"/>
              <w:right w:val="single" w:color="000000" w:sz="4" w:space="0"/>
            </w:tcBorders>
            <w:vAlign w:val="center"/>
          </w:tcPr>
          <w:p w14:paraId="6759AB1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3.3</w:t>
            </w:r>
          </w:p>
        </w:tc>
        <w:tc>
          <w:tcPr>
            <w:tcW w:w="325" w:type="dxa"/>
            <w:tcBorders>
              <w:left w:val="single" w:color="000000" w:sz="4" w:space="0"/>
              <w:right w:val="single" w:color="000000" w:sz="4" w:space="0"/>
            </w:tcBorders>
            <w:vAlign w:val="center"/>
          </w:tcPr>
          <w:p w14:paraId="74204B2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3.5</w:t>
            </w:r>
          </w:p>
        </w:tc>
        <w:tc>
          <w:tcPr>
            <w:tcW w:w="440" w:type="dxa"/>
            <w:tcBorders>
              <w:left w:val="single" w:color="000000" w:sz="4" w:space="0"/>
              <w:right w:val="single" w:color="000000" w:sz="4" w:space="0"/>
            </w:tcBorders>
            <w:vAlign w:val="center"/>
          </w:tcPr>
          <w:p w14:paraId="09D076B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4.1</w:t>
            </w:r>
          </w:p>
        </w:tc>
        <w:tc>
          <w:tcPr>
            <w:tcW w:w="447" w:type="dxa"/>
            <w:tcBorders>
              <w:left w:val="single" w:color="000000" w:sz="4" w:space="0"/>
              <w:right w:val="single" w:color="000000" w:sz="4" w:space="0"/>
            </w:tcBorders>
            <w:vAlign w:val="center"/>
          </w:tcPr>
          <w:p w14:paraId="050A03A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w:t>
            </w:r>
          </w:p>
        </w:tc>
        <w:tc>
          <w:tcPr>
            <w:tcW w:w="522" w:type="dxa"/>
            <w:tcBorders>
              <w:left w:val="single" w:color="000000" w:sz="4" w:space="0"/>
              <w:right w:val="single" w:color="000000" w:sz="4" w:space="0"/>
            </w:tcBorders>
            <w:vAlign w:val="center"/>
          </w:tcPr>
          <w:p w14:paraId="22E645F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9.1</w:t>
            </w:r>
          </w:p>
        </w:tc>
        <w:tc>
          <w:tcPr>
            <w:tcW w:w="385" w:type="dxa"/>
            <w:tcBorders>
              <w:left w:val="single" w:color="000000" w:sz="4" w:space="0"/>
              <w:right w:val="single" w:color="000000" w:sz="4" w:space="0"/>
            </w:tcBorders>
            <w:vAlign w:val="center"/>
          </w:tcPr>
          <w:p w14:paraId="66EA078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6.6</w:t>
            </w:r>
          </w:p>
        </w:tc>
        <w:tc>
          <w:tcPr>
            <w:tcW w:w="617" w:type="dxa"/>
            <w:tcBorders>
              <w:left w:val="single" w:color="000000" w:sz="4" w:space="0"/>
              <w:right w:val="single" w:color="000000" w:sz="4" w:space="0"/>
            </w:tcBorders>
            <w:vAlign w:val="center"/>
          </w:tcPr>
          <w:p w14:paraId="217509E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8.8</w:t>
            </w:r>
          </w:p>
        </w:tc>
        <w:tc>
          <w:tcPr>
            <w:tcW w:w="325" w:type="dxa"/>
            <w:tcBorders>
              <w:left w:val="single" w:color="000000" w:sz="4" w:space="0"/>
              <w:right w:val="single" w:color="000000" w:sz="4" w:space="0"/>
            </w:tcBorders>
            <w:vAlign w:val="center"/>
          </w:tcPr>
          <w:p w14:paraId="4C399F5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6.8</w:t>
            </w:r>
          </w:p>
        </w:tc>
        <w:tc>
          <w:tcPr>
            <w:tcW w:w="659" w:type="dxa"/>
            <w:tcBorders>
              <w:left w:val="single" w:color="000000" w:sz="4" w:space="0"/>
              <w:right w:val="single" w:color="000000" w:sz="4" w:space="0"/>
            </w:tcBorders>
            <w:vAlign w:val="center"/>
          </w:tcPr>
          <w:p w14:paraId="7167365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7.4</w:t>
            </w:r>
          </w:p>
        </w:tc>
        <w:tc>
          <w:tcPr>
            <w:tcW w:w="447" w:type="dxa"/>
            <w:tcBorders>
              <w:left w:val="single" w:color="000000" w:sz="4" w:space="0"/>
              <w:right w:val="single" w:color="000000" w:sz="4" w:space="0"/>
            </w:tcBorders>
            <w:vAlign w:val="center"/>
          </w:tcPr>
          <w:p w14:paraId="0F48074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7.6</w:t>
            </w:r>
          </w:p>
        </w:tc>
        <w:tc>
          <w:tcPr>
            <w:tcW w:w="603" w:type="dxa"/>
            <w:tcBorders>
              <w:left w:val="single" w:color="000000" w:sz="4" w:space="0"/>
              <w:right w:val="single" w:color="000000" w:sz="4" w:space="0"/>
            </w:tcBorders>
            <w:vAlign w:val="center"/>
          </w:tcPr>
          <w:p w14:paraId="47BEC28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7.1</w:t>
            </w:r>
          </w:p>
        </w:tc>
        <w:tc>
          <w:tcPr>
            <w:tcW w:w="347" w:type="dxa"/>
            <w:tcBorders>
              <w:left w:val="single" w:color="000000" w:sz="4" w:space="0"/>
              <w:right w:val="single" w:color="000000" w:sz="10" w:space="0"/>
            </w:tcBorders>
            <w:vAlign w:val="center"/>
          </w:tcPr>
          <w:p w14:paraId="3CCE48F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3.7</w:t>
            </w:r>
          </w:p>
        </w:tc>
      </w:tr>
      <w:tr w14:paraId="0328B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1D3B0C7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05</w:t>
            </w:r>
          </w:p>
        </w:tc>
        <w:tc>
          <w:tcPr>
            <w:tcW w:w="325" w:type="dxa"/>
            <w:tcBorders>
              <w:left w:val="single" w:color="000000" w:sz="4" w:space="0"/>
              <w:right w:val="single" w:color="000000" w:sz="4" w:space="0"/>
            </w:tcBorders>
            <w:vAlign w:val="center"/>
          </w:tcPr>
          <w:p w14:paraId="21BA7CD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w:t>
            </w:r>
          </w:p>
        </w:tc>
        <w:tc>
          <w:tcPr>
            <w:tcW w:w="521" w:type="dxa"/>
            <w:tcBorders>
              <w:left w:val="single" w:color="000000" w:sz="4" w:space="0"/>
              <w:right w:val="single" w:color="000000" w:sz="4" w:space="0"/>
            </w:tcBorders>
            <w:vAlign w:val="center"/>
          </w:tcPr>
          <w:p w14:paraId="7C14FD8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5.5</w:t>
            </w:r>
          </w:p>
        </w:tc>
        <w:tc>
          <w:tcPr>
            <w:tcW w:w="345" w:type="dxa"/>
            <w:tcBorders>
              <w:left w:val="single" w:color="000000" w:sz="4" w:space="0"/>
              <w:right w:val="single" w:color="000000" w:sz="4" w:space="0"/>
            </w:tcBorders>
            <w:vAlign w:val="center"/>
          </w:tcPr>
          <w:p w14:paraId="1C65CC2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5.1</w:t>
            </w:r>
          </w:p>
        </w:tc>
        <w:tc>
          <w:tcPr>
            <w:tcW w:w="496" w:type="dxa"/>
            <w:tcBorders>
              <w:left w:val="single" w:color="000000" w:sz="4" w:space="0"/>
              <w:right w:val="single" w:color="000000" w:sz="4" w:space="0"/>
            </w:tcBorders>
            <w:vAlign w:val="center"/>
          </w:tcPr>
          <w:p w14:paraId="74449ED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5.2</w:t>
            </w:r>
          </w:p>
        </w:tc>
        <w:tc>
          <w:tcPr>
            <w:tcW w:w="325" w:type="dxa"/>
            <w:tcBorders>
              <w:left w:val="single" w:color="000000" w:sz="4" w:space="0"/>
              <w:right w:val="single" w:color="000000" w:sz="4" w:space="0"/>
            </w:tcBorders>
            <w:vAlign w:val="center"/>
          </w:tcPr>
          <w:p w14:paraId="6FE2862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4.6</w:t>
            </w:r>
          </w:p>
        </w:tc>
        <w:tc>
          <w:tcPr>
            <w:tcW w:w="454" w:type="dxa"/>
            <w:tcBorders>
              <w:left w:val="single" w:color="000000" w:sz="4" w:space="0"/>
              <w:right w:val="single" w:color="000000" w:sz="4" w:space="0"/>
            </w:tcBorders>
            <w:vAlign w:val="center"/>
          </w:tcPr>
          <w:p w14:paraId="56DAB52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w:t>
            </w:r>
          </w:p>
        </w:tc>
        <w:tc>
          <w:tcPr>
            <w:tcW w:w="325" w:type="dxa"/>
            <w:tcBorders>
              <w:left w:val="single" w:color="000000" w:sz="4" w:space="0"/>
              <w:right w:val="single" w:color="000000" w:sz="4" w:space="0"/>
            </w:tcBorders>
            <w:vAlign w:val="center"/>
          </w:tcPr>
          <w:p w14:paraId="2DE2683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4.9</w:t>
            </w:r>
          </w:p>
        </w:tc>
        <w:tc>
          <w:tcPr>
            <w:tcW w:w="440" w:type="dxa"/>
            <w:tcBorders>
              <w:left w:val="single" w:color="000000" w:sz="4" w:space="0"/>
              <w:right w:val="single" w:color="000000" w:sz="4" w:space="0"/>
            </w:tcBorders>
            <w:vAlign w:val="center"/>
          </w:tcPr>
          <w:p w14:paraId="482E66D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5.4</w:t>
            </w:r>
          </w:p>
        </w:tc>
        <w:tc>
          <w:tcPr>
            <w:tcW w:w="447" w:type="dxa"/>
            <w:tcBorders>
              <w:left w:val="single" w:color="000000" w:sz="4" w:space="0"/>
              <w:right w:val="single" w:color="000000" w:sz="4" w:space="0"/>
            </w:tcBorders>
            <w:vAlign w:val="center"/>
          </w:tcPr>
          <w:p w14:paraId="32B8F49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9.8</w:t>
            </w:r>
          </w:p>
        </w:tc>
        <w:tc>
          <w:tcPr>
            <w:tcW w:w="522" w:type="dxa"/>
            <w:tcBorders>
              <w:left w:val="single" w:color="000000" w:sz="4" w:space="0"/>
              <w:right w:val="single" w:color="000000" w:sz="4" w:space="0"/>
            </w:tcBorders>
            <w:vAlign w:val="center"/>
          </w:tcPr>
          <w:p w14:paraId="5E58213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11.2</w:t>
            </w:r>
          </w:p>
        </w:tc>
        <w:tc>
          <w:tcPr>
            <w:tcW w:w="385" w:type="dxa"/>
            <w:tcBorders>
              <w:left w:val="single" w:color="000000" w:sz="4" w:space="0"/>
              <w:right w:val="single" w:color="000000" w:sz="4" w:space="0"/>
            </w:tcBorders>
            <w:vAlign w:val="center"/>
          </w:tcPr>
          <w:p w14:paraId="7B6114D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6.7</w:t>
            </w:r>
          </w:p>
        </w:tc>
        <w:tc>
          <w:tcPr>
            <w:tcW w:w="617" w:type="dxa"/>
            <w:tcBorders>
              <w:left w:val="single" w:color="000000" w:sz="4" w:space="0"/>
              <w:right w:val="single" w:color="000000" w:sz="4" w:space="0"/>
            </w:tcBorders>
            <w:vAlign w:val="center"/>
          </w:tcPr>
          <w:p w14:paraId="28847EB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7.6</w:t>
            </w:r>
          </w:p>
        </w:tc>
        <w:tc>
          <w:tcPr>
            <w:tcW w:w="325" w:type="dxa"/>
            <w:tcBorders>
              <w:left w:val="single" w:color="000000" w:sz="4" w:space="0"/>
              <w:right w:val="single" w:color="000000" w:sz="4" w:space="0"/>
            </w:tcBorders>
            <w:vAlign w:val="center"/>
          </w:tcPr>
          <w:p w14:paraId="7577B88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w:t>
            </w:r>
          </w:p>
        </w:tc>
        <w:tc>
          <w:tcPr>
            <w:tcW w:w="659" w:type="dxa"/>
            <w:tcBorders>
              <w:left w:val="single" w:color="000000" w:sz="4" w:space="0"/>
              <w:right w:val="single" w:color="000000" w:sz="4" w:space="0"/>
            </w:tcBorders>
            <w:vAlign w:val="center"/>
          </w:tcPr>
          <w:p w14:paraId="19E399A3">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6.5</w:t>
            </w:r>
          </w:p>
        </w:tc>
        <w:tc>
          <w:tcPr>
            <w:tcW w:w="447" w:type="dxa"/>
            <w:tcBorders>
              <w:left w:val="single" w:color="000000" w:sz="4" w:space="0"/>
              <w:right w:val="single" w:color="000000" w:sz="4" w:space="0"/>
            </w:tcBorders>
            <w:vAlign w:val="center"/>
          </w:tcPr>
          <w:p w14:paraId="5713845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4.9</w:t>
            </w:r>
          </w:p>
        </w:tc>
        <w:tc>
          <w:tcPr>
            <w:tcW w:w="603" w:type="dxa"/>
            <w:tcBorders>
              <w:left w:val="single" w:color="000000" w:sz="4" w:space="0"/>
              <w:right w:val="single" w:color="000000" w:sz="4" w:space="0"/>
            </w:tcBorders>
            <w:vAlign w:val="center"/>
          </w:tcPr>
          <w:p w14:paraId="0373464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5.1</w:t>
            </w:r>
          </w:p>
        </w:tc>
        <w:tc>
          <w:tcPr>
            <w:tcW w:w="347" w:type="dxa"/>
            <w:tcBorders>
              <w:left w:val="single" w:color="000000" w:sz="4" w:space="0"/>
              <w:right w:val="single" w:color="000000" w:sz="10" w:space="0"/>
            </w:tcBorders>
            <w:vAlign w:val="center"/>
          </w:tcPr>
          <w:p w14:paraId="12B5520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4.4</w:t>
            </w:r>
          </w:p>
        </w:tc>
      </w:tr>
      <w:tr w14:paraId="22B7A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5F02420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06</w:t>
            </w:r>
          </w:p>
        </w:tc>
        <w:tc>
          <w:tcPr>
            <w:tcW w:w="325" w:type="dxa"/>
            <w:tcBorders>
              <w:left w:val="single" w:color="000000" w:sz="4" w:space="0"/>
              <w:right w:val="single" w:color="000000" w:sz="4" w:space="0"/>
            </w:tcBorders>
            <w:vAlign w:val="center"/>
          </w:tcPr>
          <w:p w14:paraId="35A2498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5.5</w:t>
            </w:r>
          </w:p>
        </w:tc>
        <w:tc>
          <w:tcPr>
            <w:tcW w:w="521" w:type="dxa"/>
            <w:tcBorders>
              <w:left w:val="single" w:color="000000" w:sz="4" w:space="0"/>
              <w:right w:val="single" w:color="000000" w:sz="4" w:space="0"/>
            </w:tcBorders>
            <w:vAlign w:val="center"/>
          </w:tcPr>
          <w:p w14:paraId="66D8D8A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6.1</w:t>
            </w:r>
          </w:p>
        </w:tc>
        <w:tc>
          <w:tcPr>
            <w:tcW w:w="345" w:type="dxa"/>
            <w:tcBorders>
              <w:left w:val="single" w:color="000000" w:sz="4" w:space="0"/>
              <w:right w:val="single" w:color="000000" w:sz="4" w:space="0"/>
            </w:tcBorders>
            <w:vAlign w:val="center"/>
          </w:tcPr>
          <w:p w14:paraId="7332B07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5.4</w:t>
            </w:r>
          </w:p>
        </w:tc>
        <w:tc>
          <w:tcPr>
            <w:tcW w:w="496" w:type="dxa"/>
            <w:tcBorders>
              <w:left w:val="single" w:color="000000" w:sz="4" w:space="0"/>
              <w:right w:val="single" w:color="000000" w:sz="4" w:space="0"/>
            </w:tcBorders>
            <w:vAlign w:val="center"/>
          </w:tcPr>
          <w:p w14:paraId="7570382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6.9</w:t>
            </w:r>
          </w:p>
        </w:tc>
        <w:tc>
          <w:tcPr>
            <w:tcW w:w="325" w:type="dxa"/>
            <w:tcBorders>
              <w:left w:val="single" w:color="000000" w:sz="4" w:space="0"/>
              <w:right w:val="single" w:color="000000" w:sz="4" w:space="0"/>
            </w:tcBorders>
            <w:vAlign w:val="center"/>
          </w:tcPr>
          <w:p w14:paraId="7BF8B7E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6.4</w:t>
            </w:r>
          </w:p>
        </w:tc>
        <w:tc>
          <w:tcPr>
            <w:tcW w:w="454" w:type="dxa"/>
            <w:tcBorders>
              <w:left w:val="single" w:color="000000" w:sz="4" w:space="0"/>
              <w:right w:val="single" w:color="000000" w:sz="4" w:space="0"/>
            </w:tcBorders>
            <w:vAlign w:val="center"/>
          </w:tcPr>
          <w:p w14:paraId="02D7EF8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6.5</w:t>
            </w:r>
          </w:p>
        </w:tc>
        <w:tc>
          <w:tcPr>
            <w:tcW w:w="325" w:type="dxa"/>
            <w:tcBorders>
              <w:left w:val="single" w:color="000000" w:sz="4" w:space="0"/>
              <w:right w:val="single" w:color="000000" w:sz="4" w:space="0"/>
            </w:tcBorders>
            <w:vAlign w:val="center"/>
          </w:tcPr>
          <w:p w14:paraId="0579569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7.5</w:t>
            </w:r>
          </w:p>
        </w:tc>
        <w:tc>
          <w:tcPr>
            <w:tcW w:w="440" w:type="dxa"/>
            <w:tcBorders>
              <w:left w:val="single" w:color="000000" w:sz="4" w:space="0"/>
              <w:right w:val="single" w:color="000000" w:sz="4" w:space="0"/>
            </w:tcBorders>
            <w:vAlign w:val="center"/>
          </w:tcPr>
          <w:p w14:paraId="6CB1690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6.1</w:t>
            </w:r>
          </w:p>
        </w:tc>
        <w:tc>
          <w:tcPr>
            <w:tcW w:w="447" w:type="dxa"/>
            <w:tcBorders>
              <w:left w:val="single" w:color="000000" w:sz="4" w:space="0"/>
              <w:right w:val="single" w:color="000000" w:sz="4" w:space="0"/>
            </w:tcBorders>
            <w:vAlign w:val="center"/>
          </w:tcPr>
          <w:p w14:paraId="10226CD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9.3</w:t>
            </w:r>
          </w:p>
        </w:tc>
        <w:tc>
          <w:tcPr>
            <w:tcW w:w="522" w:type="dxa"/>
            <w:tcBorders>
              <w:left w:val="single" w:color="000000" w:sz="4" w:space="0"/>
              <w:right w:val="single" w:color="000000" w:sz="4" w:space="0"/>
            </w:tcBorders>
            <w:vAlign w:val="center"/>
          </w:tcPr>
          <w:p w14:paraId="289C19C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7.9</w:t>
            </w:r>
          </w:p>
        </w:tc>
        <w:tc>
          <w:tcPr>
            <w:tcW w:w="385" w:type="dxa"/>
            <w:tcBorders>
              <w:left w:val="single" w:color="000000" w:sz="4" w:space="0"/>
              <w:right w:val="single" w:color="000000" w:sz="4" w:space="0"/>
            </w:tcBorders>
            <w:vAlign w:val="center"/>
          </w:tcPr>
          <w:p w14:paraId="73EAA1B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5.5</w:t>
            </w:r>
          </w:p>
        </w:tc>
        <w:tc>
          <w:tcPr>
            <w:tcW w:w="617" w:type="dxa"/>
            <w:tcBorders>
              <w:left w:val="single" w:color="000000" w:sz="4" w:space="0"/>
              <w:right w:val="single" w:color="000000" w:sz="4" w:space="0"/>
            </w:tcBorders>
            <w:vAlign w:val="center"/>
          </w:tcPr>
          <w:p w14:paraId="148BF113">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7.7</w:t>
            </w:r>
          </w:p>
        </w:tc>
        <w:tc>
          <w:tcPr>
            <w:tcW w:w="325" w:type="dxa"/>
            <w:tcBorders>
              <w:left w:val="single" w:color="000000" w:sz="4" w:space="0"/>
              <w:right w:val="single" w:color="000000" w:sz="4" w:space="0"/>
            </w:tcBorders>
            <w:vAlign w:val="center"/>
          </w:tcPr>
          <w:p w14:paraId="247718D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5.4</w:t>
            </w:r>
          </w:p>
        </w:tc>
        <w:tc>
          <w:tcPr>
            <w:tcW w:w="659" w:type="dxa"/>
            <w:tcBorders>
              <w:left w:val="single" w:color="000000" w:sz="4" w:space="0"/>
              <w:right w:val="single" w:color="000000" w:sz="4" w:space="0"/>
            </w:tcBorders>
            <w:vAlign w:val="center"/>
          </w:tcPr>
          <w:p w14:paraId="551A5AF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4.4</w:t>
            </w:r>
          </w:p>
        </w:tc>
        <w:tc>
          <w:tcPr>
            <w:tcW w:w="447" w:type="dxa"/>
            <w:tcBorders>
              <w:left w:val="single" w:color="000000" w:sz="4" w:space="0"/>
              <w:right w:val="single" w:color="000000" w:sz="4" w:space="0"/>
            </w:tcBorders>
            <w:vAlign w:val="center"/>
          </w:tcPr>
          <w:p w14:paraId="5601E57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3.9</w:t>
            </w:r>
          </w:p>
        </w:tc>
        <w:tc>
          <w:tcPr>
            <w:tcW w:w="603" w:type="dxa"/>
            <w:tcBorders>
              <w:left w:val="single" w:color="000000" w:sz="4" w:space="0"/>
              <w:right w:val="single" w:color="000000" w:sz="4" w:space="0"/>
            </w:tcBorders>
            <w:vAlign w:val="center"/>
          </w:tcPr>
          <w:p w14:paraId="17EEB0C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5.2</w:t>
            </w:r>
          </w:p>
        </w:tc>
        <w:tc>
          <w:tcPr>
            <w:tcW w:w="347" w:type="dxa"/>
            <w:tcBorders>
              <w:left w:val="single" w:color="000000" w:sz="4" w:space="0"/>
              <w:right w:val="single" w:color="000000" w:sz="10" w:space="0"/>
            </w:tcBorders>
            <w:vAlign w:val="center"/>
          </w:tcPr>
          <w:p w14:paraId="01B1E88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5.9</w:t>
            </w:r>
          </w:p>
        </w:tc>
      </w:tr>
      <w:tr w14:paraId="14363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5870D67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07</w:t>
            </w:r>
          </w:p>
        </w:tc>
        <w:tc>
          <w:tcPr>
            <w:tcW w:w="325" w:type="dxa"/>
            <w:tcBorders>
              <w:left w:val="single" w:color="000000" w:sz="4" w:space="0"/>
              <w:right w:val="single" w:color="000000" w:sz="4" w:space="0"/>
            </w:tcBorders>
            <w:vAlign w:val="center"/>
          </w:tcPr>
          <w:p w14:paraId="3540D31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5.4</w:t>
            </w:r>
          </w:p>
        </w:tc>
        <w:tc>
          <w:tcPr>
            <w:tcW w:w="521" w:type="dxa"/>
            <w:tcBorders>
              <w:left w:val="single" w:color="000000" w:sz="4" w:space="0"/>
              <w:right w:val="single" w:color="000000" w:sz="4" w:space="0"/>
            </w:tcBorders>
            <w:vAlign w:val="center"/>
          </w:tcPr>
          <w:p w14:paraId="035D307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4.6</w:t>
            </w:r>
          </w:p>
        </w:tc>
        <w:tc>
          <w:tcPr>
            <w:tcW w:w="345" w:type="dxa"/>
            <w:tcBorders>
              <w:left w:val="single" w:color="000000" w:sz="4" w:space="0"/>
              <w:right w:val="single" w:color="000000" w:sz="4" w:space="0"/>
            </w:tcBorders>
            <w:vAlign w:val="center"/>
          </w:tcPr>
          <w:p w14:paraId="525ACBC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4.3</w:t>
            </w:r>
          </w:p>
        </w:tc>
        <w:tc>
          <w:tcPr>
            <w:tcW w:w="496" w:type="dxa"/>
            <w:tcBorders>
              <w:left w:val="single" w:color="000000" w:sz="4" w:space="0"/>
              <w:right w:val="single" w:color="000000" w:sz="4" w:space="0"/>
            </w:tcBorders>
            <w:vAlign w:val="center"/>
          </w:tcPr>
          <w:p w14:paraId="3AFA42F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5.5</w:t>
            </w:r>
          </w:p>
        </w:tc>
        <w:tc>
          <w:tcPr>
            <w:tcW w:w="325" w:type="dxa"/>
            <w:tcBorders>
              <w:left w:val="single" w:color="000000" w:sz="4" w:space="0"/>
              <w:right w:val="single" w:color="000000" w:sz="4" w:space="0"/>
            </w:tcBorders>
            <w:vAlign w:val="center"/>
          </w:tcPr>
          <w:p w14:paraId="08FD9573">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6.1</w:t>
            </w:r>
          </w:p>
        </w:tc>
        <w:tc>
          <w:tcPr>
            <w:tcW w:w="454" w:type="dxa"/>
            <w:tcBorders>
              <w:left w:val="single" w:color="000000" w:sz="4" w:space="0"/>
              <w:right w:val="single" w:color="000000" w:sz="4" w:space="0"/>
            </w:tcBorders>
            <w:vAlign w:val="center"/>
          </w:tcPr>
          <w:p w14:paraId="5D2DF51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6.7</w:t>
            </w:r>
          </w:p>
        </w:tc>
        <w:tc>
          <w:tcPr>
            <w:tcW w:w="325" w:type="dxa"/>
            <w:tcBorders>
              <w:left w:val="single" w:color="000000" w:sz="4" w:space="0"/>
              <w:right w:val="single" w:color="000000" w:sz="4" w:space="0"/>
            </w:tcBorders>
            <w:vAlign w:val="center"/>
          </w:tcPr>
          <w:p w14:paraId="7D245C9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7.2</w:t>
            </w:r>
          </w:p>
        </w:tc>
        <w:tc>
          <w:tcPr>
            <w:tcW w:w="440" w:type="dxa"/>
            <w:tcBorders>
              <w:left w:val="single" w:color="000000" w:sz="4" w:space="0"/>
              <w:right w:val="single" w:color="000000" w:sz="4" w:space="0"/>
            </w:tcBorders>
            <w:vAlign w:val="center"/>
          </w:tcPr>
          <w:p w14:paraId="0D50E05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9.5</w:t>
            </w:r>
          </w:p>
        </w:tc>
        <w:tc>
          <w:tcPr>
            <w:tcW w:w="447" w:type="dxa"/>
            <w:tcBorders>
              <w:left w:val="single" w:color="000000" w:sz="4" w:space="0"/>
              <w:right w:val="single" w:color="000000" w:sz="4" w:space="0"/>
            </w:tcBorders>
            <w:vAlign w:val="center"/>
          </w:tcPr>
          <w:p w14:paraId="678BFF7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14.2</w:t>
            </w:r>
          </w:p>
        </w:tc>
        <w:tc>
          <w:tcPr>
            <w:tcW w:w="522" w:type="dxa"/>
            <w:tcBorders>
              <w:left w:val="single" w:color="000000" w:sz="4" w:space="0"/>
              <w:right w:val="single" w:color="000000" w:sz="4" w:space="0"/>
            </w:tcBorders>
            <w:vAlign w:val="center"/>
          </w:tcPr>
          <w:p w14:paraId="58FDDFA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9.8</w:t>
            </w:r>
          </w:p>
        </w:tc>
        <w:tc>
          <w:tcPr>
            <w:tcW w:w="385" w:type="dxa"/>
            <w:tcBorders>
              <w:left w:val="single" w:color="000000" w:sz="4" w:space="0"/>
              <w:right w:val="single" w:color="000000" w:sz="4" w:space="0"/>
            </w:tcBorders>
            <w:vAlign w:val="center"/>
          </w:tcPr>
          <w:p w14:paraId="6322502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4.4</w:t>
            </w:r>
          </w:p>
        </w:tc>
        <w:tc>
          <w:tcPr>
            <w:tcW w:w="617" w:type="dxa"/>
            <w:tcBorders>
              <w:left w:val="single" w:color="000000" w:sz="4" w:space="0"/>
              <w:right w:val="single" w:color="000000" w:sz="4" w:space="0"/>
            </w:tcBorders>
            <w:vAlign w:val="center"/>
          </w:tcPr>
          <w:p w14:paraId="0AC0473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4.2</w:t>
            </w:r>
          </w:p>
        </w:tc>
        <w:tc>
          <w:tcPr>
            <w:tcW w:w="325" w:type="dxa"/>
            <w:tcBorders>
              <w:left w:val="single" w:color="000000" w:sz="4" w:space="0"/>
              <w:right w:val="single" w:color="000000" w:sz="4" w:space="0"/>
            </w:tcBorders>
            <w:vAlign w:val="center"/>
          </w:tcPr>
          <w:p w14:paraId="79644C4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w:t>
            </w:r>
          </w:p>
        </w:tc>
        <w:tc>
          <w:tcPr>
            <w:tcW w:w="659" w:type="dxa"/>
            <w:tcBorders>
              <w:left w:val="single" w:color="000000" w:sz="4" w:space="0"/>
              <w:right w:val="single" w:color="000000" w:sz="4" w:space="0"/>
            </w:tcBorders>
            <w:vAlign w:val="center"/>
          </w:tcPr>
          <w:p w14:paraId="2CDEF1E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3.2</w:t>
            </w:r>
          </w:p>
        </w:tc>
        <w:tc>
          <w:tcPr>
            <w:tcW w:w="447" w:type="dxa"/>
            <w:tcBorders>
              <w:left w:val="single" w:color="000000" w:sz="4" w:space="0"/>
              <w:right w:val="single" w:color="000000" w:sz="4" w:space="0"/>
            </w:tcBorders>
            <w:vAlign w:val="center"/>
          </w:tcPr>
          <w:p w14:paraId="4557419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3.6</w:t>
            </w:r>
          </w:p>
        </w:tc>
        <w:tc>
          <w:tcPr>
            <w:tcW w:w="603" w:type="dxa"/>
            <w:tcBorders>
              <w:left w:val="single" w:color="000000" w:sz="4" w:space="0"/>
              <w:right w:val="single" w:color="000000" w:sz="4" w:space="0"/>
            </w:tcBorders>
            <w:vAlign w:val="center"/>
          </w:tcPr>
          <w:p w14:paraId="5DC3235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4.8</w:t>
            </w:r>
          </w:p>
        </w:tc>
        <w:tc>
          <w:tcPr>
            <w:tcW w:w="347" w:type="dxa"/>
            <w:tcBorders>
              <w:left w:val="single" w:color="000000" w:sz="4" w:space="0"/>
              <w:right w:val="single" w:color="000000" w:sz="10" w:space="0"/>
            </w:tcBorders>
            <w:vAlign w:val="center"/>
          </w:tcPr>
          <w:p w14:paraId="4CEC023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6.5</w:t>
            </w:r>
          </w:p>
        </w:tc>
      </w:tr>
      <w:tr w14:paraId="30118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468B1AD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08</w:t>
            </w:r>
          </w:p>
        </w:tc>
        <w:tc>
          <w:tcPr>
            <w:tcW w:w="325" w:type="dxa"/>
            <w:tcBorders>
              <w:left w:val="single" w:color="000000" w:sz="4" w:space="0"/>
              <w:right w:val="single" w:color="000000" w:sz="4" w:space="0"/>
            </w:tcBorders>
            <w:vAlign w:val="center"/>
          </w:tcPr>
          <w:p w14:paraId="0FFDFB1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6.4</w:t>
            </w:r>
          </w:p>
        </w:tc>
        <w:tc>
          <w:tcPr>
            <w:tcW w:w="521" w:type="dxa"/>
            <w:tcBorders>
              <w:left w:val="single" w:color="000000" w:sz="4" w:space="0"/>
              <w:right w:val="single" w:color="000000" w:sz="4" w:space="0"/>
            </w:tcBorders>
            <w:vAlign w:val="center"/>
          </w:tcPr>
          <w:p w14:paraId="1F85CCA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6.3</w:t>
            </w:r>
          </w:p>
        </w:tc>
        <w:tc>
          <w:tcPr>
            <w:tcW w:w="345" w:type="dxa"/>
            <w:tcBorders>
              <w:left w:val="single" w:color="000000" w:sz="4" w:space="0"/>
              <w:right w:val="single" w:color="000000" w:sz="4" w:space="0"/>
            </w:tcBorders>
            <w:vAlign w:val="center"/>
          </w:tcPr>
          <w:p w14:paraId="581CEB6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w:t>
            </w:r>
          </w:p>
        </w:tc>
        <w:tc>
          <w:tcPr>
            <w:tcW w:w="496" w:type="dxa"/>
            <w:tcBorders>
              <w:left w:val="single" w:color="000000" w:sz="4" w:space="0"/>
              <w:right w:val="single" w:color="000000" w:sz="4" w:space="0"/>
            </w:tcBorders>
            <w:vAlign w:val="center"/>
          </w:tcPr>
          <w:p w14:paraId="0795ADB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5.8</w:t>
            </w:r>
          </w:p>
        </w:tc>
        <w:tc>
          <w:tcPr>
            <w:tcW w:w="325" w:type="dxa"/>
            <w:tcBorders>
              <w:left w:val="single" w:color="000000" w:sz="4" w:space="0"/>
              <w:right w:val="single" w:color="000000" w:sz="4" w:space="0"/>
            </w:tcBorders>
            <w:vAlign w:val="center"/>
          </w:tcPr>
          <w:p w14:paraId="3205CDC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4.7</w:t>
            </w:r>
          </w:p>
        </w:tc>
        <w:tc>
          <w:tcPr>
            <w:tcW w:w="454" w:type="dxa"/>
            <w:tcBorders>
              <w:left w:val="single" w:color="000000" w:sz="4" w:space="0"/>
              <w:right w:val="single" w:color="000000" w:sz="4" w:space="0"/>
            </w:tcBorders>
            <w:vAlign w:val="center"/>
          </w:tcPr>
          <w:p w14:paraId="380E2C3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4.9</w:t>
            </w:r>
          </w:p>
        </w:tc>
        <w:tc>
          <w:tcPr>
            <w:tcW w:w="325" w:type="dxa"/>
            <w:tcBorders>
              <w:left w:val="single" w:color="000000" w:sz="4" w:space="0"/>
              <w:right w:val="single" w:color="000000" w:sz="4" w:space="0"/>
            </w:tcBorders>
            <w:vAlign w:val="center"/>
          </w:tcPr>
          <w:p w14:paraId="7954D92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4.9</w:t>
            </w:r>
          </w:p>
        </w:tc>
        <w:tc>
          <w:tcPr>
            <w:tcW w:w="440" w:type="dxa"/>
            <w:tcBorders>
              <w:left w:val="single" w:color="000000" w:sz="4" w:space="0"/>
              <w:right w:val="single" w:color="000000" w:sz="4" w:space="0"/>
            </w:tcBorders>
            <w:vAlign w:val="center"/>
          </w:tcPr>
          <w:p w14:paraId="4AE4D50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6.9</w:t>
            </w:r>
          </w:p>
        </w:tc>
        <w:tc>
          <w:tcPr>
            <w:tcW w:w="447" w:type="dxa"/>
            <w:tcBorders>
              <w:left w:val="single" w:color="000000" w:sz="4" w:space="0"/>
              <w:right w:val="single" w:color="000000" w:sz="4" w:space="0"/>
            </w:tcBorders>
            <w:vAlign w:val="center"/>
          </w:tcPr>
          <w:p w14:paraId="7A30AB9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11</w:t>
            </w:r>
          </w:p>
        </w:tc>
        <w:tc>
          <w:tcPr>
            <w:tcW w:w="522" w:type="dxa"/>
            <w:tcBorders>
              <w:left w:val="single" w:color="000000" w:sz="4" w:space="0"/>
              <w:right w:val="single" w:color="000000" w:sz="4" w:space="0"/>
            </w:tcBorders>
            <w:vAlign w:val="center"/>
          </w:tcPr>
          <w:p w14:paraId="79A63066">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8.3</w:t>
            </w:r>
          </w:p>
        </w:tc>
        <w:tc>
          <w:tcPr>
            <w:tcW w:w="385" w:type="dxa"/>
            <w:tcBorders>
              <w:left w:val="single" w:color="000000" w:sz="4" w:space="0"/>
              <w:right w:val="single" w:color="000000" w:sz="4" w:space="0"/>
            </w:tcBorders>
            <w:vAlign w:val="center"/>
          </w:tcPr>
          <w:p w14:paraId="5B273D0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4.6</w:t>
            </w:r>
          </w:p>
        </w:tc>
        <w:tc>
          <w:tcPr>
            <w:tcW w:w="617" w:type="dxa"/>
            <w:tcBorders>
              <w:left w:val="single" w:color="000000" w:sz="4" w:space="0"/>
              <w:right w:val="single" w:color="000000" w:sz="4" w:space="0"/>
            </w:tcBorders>
            <w:vAlign w:val="center"/>
          </w:tcPr>
          <w:p w14:paraId="48C8CEE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6.5</w:t>
            </w:r>
          </w:p>
        </w:tc>
        <w:tc>
          <w:tcPr>
            <w:tcW w:w="325" w:type="dxa"/>
            <w:tcBorders>
              <w:left w:val="single" w:color="000000" w:sz="4" w:space="0"/>
              <w:right w:val="single" w:color="000000" w:sz="4" w:space="0"/>
            </w:tcBorders>
            <w:vAlign w:val="center"/>
          </w:tcPr>
          <w:p w14:paraId="3A741C5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4.6</w:t>
            </w:r>
          </w:p>
        </w:tc>
        <w:tc>
          <w:tcPr>
            <w:tcW w:w="659" w:type="dxa"/>
            <w:tcBorders>
              <w:left w:val="single" w:color="000000" w:sz="4" w:space="0"/>
              <w:right w:val="single" w:color="000000" w:sz="4" w:space="0"/>
            </w:tcBorders>
            <w:vAlign w:val="center"/>
          </w:tcPr>
          <w:p w14:paraId="30D20B0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3.8</w:t>
            </w:r>
          </w:p>
        </w:tc>
        <w:tc>
          <w:tcPr>
            <w:tcW w:w="447" w:type="dxa"/>
            <w:tcBorders>
              <w:left w:val="single" w:color="000000" w:sz="4" w:space="0"/>
              <w:right w:val="single" w:color="000000" w:sz="4" w:space="0"/>
            </w:tcBorders>
            <w:vAlign w:val="center"/>
          </w:tcPr>
          <w:p w14:paraId="0302C3D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3.8</w:t>
            </w:r>
          </w:p>
        </w:tc>
        <w:tc>
          <w:tcPr>
            <w:tcW w:w="603" w:type="dxa"/>
            <w:tcBorders>
              <w:left w:val="single" w:color="000000" w:sz="4" w:space="0"/>
              <w:right w:val="single" w:color="000000" w:sz="4" w:space="0"/>
            </w:tcBorders>
            <w:vAlign w:val="center"/>
          </w:tcPr>
          <w:p w14:paraId="5CBD77D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5.8</w:t>
            </w:r>
          </w:p>
        </w:tc>
        <w:tc>
          <w:tcPr>
            <w:tcW w:w="347" w:type="dxa"/>
            <w:tcBorders>
              <w:left w:val="single" w:color="000000" w:sz="4" w:space="0"/>
              <w:right w:val="single" w:color="000000" w:sz="10" w:space="0"/>
            </w:tcBorders>
            <w:vAlign w:val="center"/>
          </w:tcPr>
          <w:p w14:paraId="2D47CDD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9.2</w:t>
            </w:r>
          </w:p>
        </w:tc>
      </w:tr>
      <w:tr w14:paraId="14AAE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0B7ADEB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09</w:t>
            </w:r>
          </w:p>
        </w:tc>
        <w:tc>
          <w:tcPr>
            <w:tcW w:w="325" w:type="dxa"/>
            <w:tcBorders>
              <w:left w:val="single" w:color="000000" w:sz="4" w:space="0"/>
              <w:right w:val="single" w:color="000000" w:sz="4" w:space="0"/>
            </w:tcBorders>
            <w:vAlign w:val="center"/>
          </w:tcPr>
          <w:p w14:paraId="3ED39DB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6.4</w:t>
            </w:r>
          </w:p>
        </w:tc>
        <w:tc>
          <w:tcPr>
            <w:tcW w:w="521" w:type="dxa"/>
            <w:tcBorders>
              <w:left w:val="single" w:color="000000" w:sz="4" w:space="0"/>
              <w:right w:val="single" w:color="000000" w:sz="4" w:space="0"/>
            </w:tcBorders>
            <w:vAlign w:val="center"/>
          </w:tcPr>
          <w:p w14:paraId="641743A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5.9</w:t>
            </w:r>
          </w:p>
        </w:tc>
        <w:tc>
          <w:tcPr>
            <w:tcW w:w="345" w:type="dxa"/>
            <w:tcBorders>
              <w:left w:val="single" w:color="000000" w:sz="4" w:space="0"/>
              <w:right w:val="single" w:color="000000" w:sz="4" w:space="0"/>
            </w:tcBorders>
            <w:vAlign w:val="center"/>
          </w:tcPr>
          <w:p w14:paraId="0892E37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4.4</w:t>
            </w:r>
          </w:p>
        </w:tc>
        <w:tc>
          <w:tcPr>
            <w:tcW w:w="496" w:type="dxa"/>
            <w:tcBorders>
              <w:left w:val="single" w:color="000000" w:sz="4" w:space="0"/>
              <w:right w:val="single" w:color="000000" w:sz="4" w:space="0"/>
            </w:tcBorders>
            <w:vAlign w:val="center"/>
          </w:tcPr>
          <w:p w14:paraId="0114E3E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4.5</w:t>
            </w:r>
          </w:p>
        </w:tc>
        <w:tc>
          <w:tcPr>
            <w:tcW w:w="325" w:type="dxa"/>
            <w:tcBorders>
              <w:left w:val="single" w:color="000000" w:sz="4" w:space="0"/>
              <w:right w:val="single" w:color="000000" w:sz="4" w:space="0"/>
            </w:tcBorders>
            <w:vAlign w:val="center"/>
          </w:tcPr>
          <w:p w14:paraId="06B4E06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3.2</w:t>
            </w:r>
          </w:p>
        </w:tc>
        <w:tc>
          <w:tcPr>
            <w:tcW w:w="454" w:type="dxa"/>
            <w:tcBorders>
              <w:left w:val="single" w:color="000000" w:sz="4" w:space="0"/>
              <w:right w:val="single" w:color="000000" w:sz="4" w:space="0"/>
            </w:tcBorders>
            <w:vAlign w:val="center"/>
          </w:tcPr>
          <w:p w14:paraId="5860CCE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4.1</w:t>
            </w:r>
          </w:p>
        </w:tc>
        <w:tc>
          <w:tcPr>
            <w:tcW w:w="325" w:type="dxa"/>
            <w:tcBorders>
              <w:left w:val="single" w:color="000000" w:sz="4" w:space="0"/>
              <w:right w:val="single" w:color="000000" w:sz="4" w:space="0"/>
            </w:tcBorders>
            <w:vAlign w:val="center"/>
          </w:tcPr>
          <w:p w14:paraId="3178A94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5.3</w:t>
            </w:r>
          </w:p>
        </w:tc>
        <w:tc>
          <w:tcPr>
            <w:tcW w:w="440" w:type="dxa"/>
            <w:tcBorders>
              <w:left w:val="single" w:color="000000" w:sz="4" w:space="0"/>
              <w:right w:val="single" w:color="000000" w:sz="4" w:space="0"/>
            </w:tcBorders>
            <w:vAlign w:val="center"/>
          </w:tcPr>
          <w:p w14:paraId="27C5EA7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6.7</w:t>
            </w:r>
          </w:p>
        </w:tc>
        <w:tc>
          <w:tcPr>
            <w:tcW w:w="447" w:type="dxa"/>
            <w:tcBorders>
              <w:left w:val="single" w:color="000000" w:sz="4" w:space="0"/>
              <w:right w:val="single" w:color="000000" w:sz="4" w:space="0"/>
            </w:tcBorders>
            <w:vAlign w:val="center"/>
          </w:tcPr>
          <w:p w14:paraId="2BFF8A8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12.2</w:t>
            </w:r>
          </w:p>
        </w:tc>
        <w:tc>
          <w:tcPr>
            <w:tcW w:w="522" w:type="dxa"/>
            <w:tcBorders>
              <w:left w:val="single" w:color="000000" w:sz="4" w:space="0"/>
              <w:right w:val="single" w:color="000000" w:sz="4" w:space="0"/>
            </w:tcBorders>
            <w:vAlign w:val="center"/>
          </w:tcPr>
          <w:p w14:paraId="1977F72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9.6</w:t>
            </w:r>
          </w:p>
        </w:tc>
        <w:tc>
          <w:tcPr>
            <w:tcW w:w="385" w:type="dxa"/>
            <w:tcBorders>
              <w:left w:val="single" w:color="000000" w:sz="4" w:space="0"/>
              <w:right w:val="single" w:color="000000" w:sz="4" w:space="0"/>
            </w:tcBorders>
            <w:vAlign w:val="center"/>
          </w:tcPr>
          <w:p w14:paraId="4A64040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6.3</w:t>
            </w:r>
          </w:p>
        </w:tc>
        <w:tc>
          <w:tcPr>
            <w:tcW w:w="617" w:type="dxa"/>
            <w:tcBorders>
              <w:left w:val="single" w:color="000000" w:sz="4" w:space="0"/>
              <w:right w:val="single" w:color="000000" w:sz="4" w:space="0"/>
            </w:tcBorders>
            <w:vAlign w:val="center"/>
          </w:tcPr>
          <w:p w14:paraId="313CEE8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7.2</w:t>
            </w:r>
          </w:p>
        </w:tc>
        <w:tc>
          <w:tcPr>
            <w:tcW w:w="325" w:type="dxa"/>
            <w:tcBorders>
              <w:left w:val="single" w:color="000000" w:sz="4" w:space="0"/>
              <w:right w:val="single" w:color="000000" w:sz="4" w:space="0"/>
            </w:tcBorders>
            <w:vAlign w:val="center"/>
          </w:tcPr>
          <w:p w14:paraId="3C733CD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5.7</w:t>
            </w:r>
          </w:p>
        </w:tc>
        <w:tc>
          <w:tcPr>
            <w:tcW w:w="659" w:type="dxa"/>
            <w:tcBorders>
              <w:left w:val="single" w:color="000000" w:sz="4" w:space="0"/>
              <w:right w:val="single" w:color="000000" w:sz="4" w:space="0"/>
            </w:tcBorders>
            <w:vAlign w:val="center"/>
          </w:tcPr>
          <w:p w14:paraId="5A2D731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6.6</w:t>
            </w:r>
          </w:p>
        </w:tc>
        <w:tc>
          <w:tcPr>
            <w:tcW w:w="447" w:type="dxa"/>
            <w:tcBorders>
              <w:left w:val="single" w:color="000000" w:sz="4" w:space="0"/>
              <w:right w:val="single" w:color="000000" w:sz="4" w:space="0"/>
            </w:tcBorders>
            <w:vAlign w:val="center"/>
          </w:tcPr>
          <w:p w14:paraId="5A498D6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5.2</w:t>
            </w:r>
          </w:p>
        </w:tc>
        <w:tc>
          <w:tcPr>
            <w:tcW w:w="603" w:type="dxa"/>
            <w:tcBorders>
              <w:left w:val="single" w:color="000000" w:sz="4" w:space="0"/>
              <w:right w:val="single" w:color="000000" w:sz="4" w:space="0"/>
            </w:tcBorders>
            <w:vAlign w:val="center"/>
          </w:tcPr>
          <w:p w14:paraId="3FA700C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5.6</w:t>
            </w:r>
          </w:p>
        </w:tc>
        <w:tc>
          <w:tcPr>
            <w:tcW w:w="347" w:type="dxa"/>
            <w:tcBorders>
              <w:left w:val="single" w:color="000000" w:sz="4" w:space="0"/>
              <w:right w:val="single" w:color="000000" w:sz="10" w:space="0"/>
            </w:tcBorders>
            <w:vAlign w:val="center"/>
          </w:tcPr>
          <w:p w14:paraId="1A0017A3">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7.8</w:t>
            </w:r>
          </w:p>
        </w:tc>
      </w:tr>
      <w:tr w14:paraId="048E1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4287D70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10</w:t>
            </w:r>
          </w:p>
        </w:tc>
        <w:tc>
          <w:tcPr>
            <w:tcW w:w="325" w:type="dxa"/>
            <w:tcBorders>
              <w:left w:val="single" w:color="000000" w:sz="4" w:space="0"/>
              <w:right w:val="single" w:color="000000" w:sz="4" w:space="0"/>
            </w:tcBorders>
            <w:vAlign w:val="center"/>
          </w:tcPr>
          <w:p w14:paraId="72D693C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7.2</w:t>
            </w:r>
          </w:p>
        </w:tc>
        <w:tc>
          <w:tcPr>
            <w:tcW w:w="521" w:type="dxa"/>
            <w:tcBorders>
              <w:left w:val="single" w:color="000000" w:sz="4" w:space="0"/>
              <w:right w:val="single" w:color="000000" w:sz="4" w:space="0"/>
            </w:tcBorders>
            <w:vAlign w:val="center"/>
          </w:tcPr>
          <w:p w14:paraId="7A02728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4.5</w:t>
            </w:r>
          </w:p>
        </w:tc>
        <w:tc>
          <w:tcPr>
            <w:tcW w:w="345" w:type="dxa"/>
            <w:tcBorders>
              <w:left w:val="single" w:color="000000" w:sz="4" w:space="0"/>
              <w:right w:val="single" w:color="000000" w:sz="4" w:space="0"/>
            </w:tcBorders>
            <w:vAlign w:val="center"/>
          </w:tcPr>
          <w:p w14:paraId="61038DA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3.2</w:t>
            </w:r>
          </w:p>
        </w:tc>
        <w:tc>
          <w:tcPr>
            <w:tcW w:w="496" w:type="dxa"/>
            <w:tcBorders>
              <w:left w:val="single" w:color="000000" w:sz="4" w:space="0"/>
              <w:right w:val="single" w:color="000000" w:sz="4" w:space="0"/>
            </w:tcBorders>
            <w:vAlign w:val="center"/>
          </w:tcPr>
          <w:p w14:paraId="5093B00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2.9</w:t>
            </w:r>
          </w:p>
        </w:tc>
        <w:tc>
          <w:tcPr>
            <w:tcW w:w="325" w:type="dxa"/>
            <w:tcBorders>
              <w:left w:val="single" w:color="000000" w:sz="4" w:space="0"/>
              <w:right w:val="single" w:color="000000" w:sz="4" w:space="0"/>
            </w:tcBorders>
            <w:vAlign w:val="center"/>
          </w:tcPr>
          <w:p w14:paraId="04901D0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2.2</w:t>
            </w:r>
          </w:p>
        </w:tc>
        <w:tc>
          <w:tcPr>
            <w:tcW w:w="454" w:type="dxa"/>
            <w:tcBorders>
              <w:left w:val="single" w:color="000000" w:sz="4" w:space="0"/>
              <w:right w:val="single" w:color="000000" w:sz="4" w:space="0"/>
            </w:tcBorders>
            <w:vAlign w:val="center"/>
          </w:tcPr>
          <w:p w14:paraId="73C6494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2.3</w:t>
            </w:r>
          </w:p>
        </w:tc>
        <w:tc>
          <w:tcPr>
            <w:tcW w:w="325" w:type="dxa"/>
            <w:tcBorders>
              <w:left w:val="single" w:color="000000" w:sz="4" w:space="0"/>
              <w:right w:val="single" w:color="000000" w:sz="4" w:space="0"/>
            </w:tcBorders>
            <w:vAlign w:val="center"/>
          </w:tcPr>
          <w:p w14:paraId="5BC6306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3.2</w:t>
            </w:r>
          </w:p>
        </w:tc>
        <w:tc>
          <w:tcPr>
            <w:tcW w:w="440" w:type="dxa"/>
            <w:tcBorders>
              <w:left w:val="single" w:color="000000" w:sz="4" w:space="0"/>
              <w:right w:val="single" w:color="000000" w:sz="4" w:space="0"/>
            </w:tcBorders>
            <w:vAlign w:val="center"/>
          </w:tcPr>
          <w:p w14:paraId="2E05FFC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4.5</w:t>
            </w:r>
          </w:p>
        </w:tc>
        <w:tc>
          <w:tcPr>
            <w:tcW w:w="447" w:type="dxa"/>
            <w:tcBorders>
              <w:left w:val="single" w:color="000000" w:sz="4" w:space="0"/>
              <w:right w:val="single" w:color="000000" w:sz="4" w:space="0"/>
            </w:tcBorders>
            <w:vAlign w:val="center"/>
          </w:tcPr>
          <w:p w14:paraId="5095C6D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12.5</w:t>
            </w:r>
          </w:p>
        </w:tc>
        <w:tc>
          <w:tcPr>
            <w:tcW w:w="522" w:type="dxa"/>
            <w:tcBorders>
              <w:left w:val="single" w:color="000000" w:sz="4" w:space="0"/>
              <w:right w:val="single" w:color="000000" w:sz="4" w:space="0"/>
            </w:tcBorders>
            <w:vAlign w:val="center"/>
          </w:tcPr>
          <w:p w14:paraId="0FAB2E7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10.4</w:t>
            </w:r>
          </w:p>
        </w:tc>
        <w:tc>
          <w:tcPr>
            <w:tcW w:w="385" w:type="dxa"/>
            <w:tcBorders>
              <w:left w:val="single" w:color="000000" w:sz="4" w:space="0"/>
              <w:right w:val="single" w:color="000000" w:sz="4" w:space="0"/>
            </w:tcBorders>
            <w:vAlign w:val="center"/>
          </w:tcPr>
          <w:p w14:paraId="45A5C48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w:t>
            </w:r>
          </w:p>
        </w:tc>
        <w:tc>
          <w:tcPr>
            <w:tcW w:w="617" w:type="dxa"/>
            <w:tcBorders>
              <w:left w:val="single" w:color="000000" w:sz="4" w:space="0"/>
              <w:right w:val="single" w:color="000000" w:sz="4" w:space="0"/>
            </w:tcBorders>
            <w:vAlign w:val="center"/>
          </w:tcPr>
          <w:p w14:paraId="7E16C098">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10.4</w:t>
            </w:r>
          </w:p>
        </w:tc>
        <w:tc>
          <w:tcPr>
            <w:tcW w:w="325" w:type="dxa"/>
            <w:tcBorders>
              <w:left w:val="single" w:color="000000" w:sz="4" w:space="0"/>
              <w:right w:val="single" w:color="000000" w:sz="4" w:space="0"/>
            </w:tcBorders>
            <w:vAlign w:val="center"/>
          </w:tcPr>
          <w:p w14:paraId="68BA6DA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8.9</w:t>
            </w:r>
          </w:p>
        </w:tc>
        <w:tc>
          <w:tcPr>
            <w:tcW w:w="659" w:type="dxa"/>
            <w:tcBorders>
              <w:left w:val="single" w:color="000000" w:sz="4" w:space="0"/>
              <w:right w:val="single" w:color="000000" w:sz="4" w:space="0"/>
            </w:tcBorders>
            <w:vAlign w:val="center"/>
          </w:tcPr>
          <w:p w14:paraId="24C9624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8.3</w:t>
            </w:r>
          </w:p>
        </w:tc>
        <w:tc>
          <w:tcPr>
            <w:tcW w:w="447" w:type="dxa"/>
            <w:tcBorders>
              <w:left w:val="single" w:color="000000" w:sz="4" w:space="0"/>
              <w:right w:val="single" w:color="000000" w:sz="4" w:space="0"/>
            </w:tcBorders>
            <w:vAlign w:val="center"/>
          </w:tcPr>
          <w:p w14:paraId="090D4F3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7.9</w:t>
            </w:r>
          </w:p>
        </w:tc>
        <w:tc>
          <w:tcPr>
            <w:tcW w:w="603" w:type="dxa"/>
            <w:tcBorders>
              <w:left w:val="single" w:color="000000" w:sz="4" w:space="0"/>
              <w:right w:val="single" w:color="000000" w:sz="4" w:space="0"/>
            </w:tcBorders>
            <w:vAlign w:val="center"/>
          </w:tcPr>
          <w:p w14:paraId="0BD4EBE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6.2</w:t>
            </w:r>
          </w:p>
        </w:tc>
        <w:tc>
          <w:tcPr>
            <w:tcW w:w="347" w:type="dxa"/>
            <w:tcBorders>
              <w:left w:val="single" w:color="000000" w:sz="4" w:space="0"/>
              <w:right w:val="single" w:color="000000" w:sz="10" w:space="0"/>
            </w:tcBorders>
            <w:vAlign w:val="center"/>
          </w:tcPr>
          <w:p w14:paraId="0A30ED9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5.9</w:t>
            </w:r>
          </w:p>
        </w:tc>
      </w:tr>
      <w:tr w14:paraId="125CF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2DB5A83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11</w:t>
            </w:r>
          </w:p>
        </w:tc>
        <w:tc>
          <w:tcPr>
            <w:tcW w:w="325" w:type="dxa"/>
            <w:tcBorders>
              <w:left w:val="single" w:color="000000" w:sz="4" w:space="0"/>
              <w:right w:val="single" w:color="000000" w:sz="4" w:space="0"/>
            </w:tcBorders>
            <w:vAlign w:val="center"/>
          </w:tcPr>
          <w:p w14:paraId="6C27C49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7.5</w:t>
            </w:r>
          </w:p>
        </w:tc>
        <w:tc>
          <w:tcPr>
            <w:tcW w:w="521" w:type="dxa"/>
            <w:tcBorders>
              <w:left w:val="single" w:color="000000" w:sz="4" w:space="0"/>
              <w:right w:val="single" w:color="000000" w:sz="4" w:space="0"/>
            </w:tcBorders>
            <w:vAlign w:val="center"/>
          </w:tcPr>
          <w:p w14:paraId="7AE6ED3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4.9</w:t>
            </w:r>
          </w:p>
        </w:tc>
        <w:tc>
          <w:tcPr>
            <w:tcW w:w="345" w:type="dxa"/>
            <w:tcBorders>
              <w:left w:val="single" w:color="000000" w:sz="4" w:space="0"/>
              <w:right w:val="single" w:color="000000" w:sz="4" w:space="0"/>
            </w:tcBorders>
            <w:vAlign w:val="center"/>
          </w:tcPr>
          <w:p w14:paraId="079B348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3.3</w:t>
            </w:r>
          </w:p>
        </w:tc>
        <w:tc>
          <w:tcPr>
            <w:tcW w:w="496" w:type="dxa"/>
            <w:tcBorders>
              <w:left w:val="single" w:color="000000" w:sz="4" w:space="0"/>
              <w:right w:val="single" w:color="000000" w:sz="4" w:space="0"/>
            </w:tcBorders>
            <w:vAlign w:val="center"/>
          </w:tcPr>
          <w:p w14:paraId="2EAB1B0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3.4</w:t>
            </w:r>
          </w:p>
        </w:tc>
        <w:tc>
          <w:tcPr>
            <w:tcW w:w="325" w:type="dxa"/>
            <w:tcBorders>
              <w:left w:val="single" w:color="000000" w:sz="4" w:space="0"/>
              <w:right w:val="single" w:color="000000" w:sz="4" w:space="0"/>
            </w:tcBorders>
            <w:vAlign w:val="center"/>
          </w:tcPr>
          <w:p w14:paraId="7935406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2.7</w:t>
            </w:r>
          </w:p>
        </w:tc>
        <w:tc>
          <w:tcPr>
            <w:tcW w:w="454" w:type="dxa"/>
            <w:tcBorders>
              <w:left w:val="single" w:color="000000" w:sz="4" w:space="0"/>
              <w:right w:val="single" w:color="000000" w:sz="4" w:space="0"/>
            </w:tcBorders>
            <w:vAlign w:val="center"/>
          </w:tcPr>
          <w:p w14:paraId="63AA865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2.4</w:t>
            </w:r>
          </w:p>
        </w:tc>
        <w:tc>
          <w:tcPr>
            <w:tcW w:w="325" w:type="dxa"/>
            <w:tcBorders>
              <w:left w:val="single" w:color="000000" w:sz="4" w:space="0"/>
              <w:right w:val="single" w:color="000000" w:sz="4" w:space="0"/>
            </w:tcBorders>
            <w:vAlign w:val="center"/>
          </w:tcPr>
          <w:p w14:paraId="0AD201D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2.8</w:t>
            </w:r>
          </w:p>
        </w:tc>
        <w:tc>
          <w:tcPr>
            <w:tcW w:w="440" w:type="dxa"/>
            <w:tcBorders>
              <w:left w:val="single" w:color="000000" w:sz="4" w:space="0"/>
              <w:right w:val="single" w:color="000000" w:sz="4" w:space="0"/>
            </w:tcBorders>
            <w:vAlign w:val="center"/>
          </w:tcPr>
          <w:p w14:paraId="5676EB3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4.3</w:t>
            </w:r>
          </w:p>
        </w:tc>
        <w:tc>
          <w:tcPr>
            <w:tcW w:w="447" w:type="dxa"/>
            <w:tcBorders>
              <w:left w:val="single" w:color="000000" w:sz="4" w:space="0"/>
              <w:right w:val="single" w:color="000000" w:sz="4" w:space="0"/>
            </w:tcBorders>
            <w:vAlign w:val="center"/>
          </w:tcPr>
          <w:p w14:paraId="1CAB2C7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8.7</w:t>
            </w:r>
          </w:p>
        </w:tc>
        <w:tc>
          <w:tcPr>
            <w:tcW w:w="522" w:type="dxa"/>
            <w:tcBorders>
              <w:left w:val="single" w:color="000000" w:sz="4" w:space="0"/>
              <w:right w:val="single" w:color="000000" w:sz="4" w:space="0"/>
            </w:tcBorders>
            <w:vAlign w:val="center"/>
          </w:tcPr>
          <w:p w14:paraId="3E9AEA5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8.5</w:t>
            </w:r>
          </w:p>
        </w:tc>
        <w:tc>
          <w:tcPr>
            <w:tcW w:w="385" w:type="dxa"/>
            <w:tcBorders>
              <w:left w:val="single" w:color="000000" w:sz="4" w:space="0"/>
              <w:right w:val="single" w:color="000000" w:sz="4" w:space="0"/>
            </w:tcBorders>
            <w:vAlign w:val="center"/>
          </w:tcPr>
          <w:p w14:paraId="1E23459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w:t>
            </w:r>
          </w:p>
        </w:tc>
        <w:tc>
          <w:tcPr>
            <w:tcW w:w="617" w:type="dxa"/>
            <w:tcBorders>
              <w:left w:val="single" w:color="000000" w:sz="4" w:space="0"/>
              <w:right w:val="single" w:color="000000" w:sz="4" w:space="0"/>
            </w:tcBorders>
            <w:vAlign w:val="center"/>
          </w:tcPr>
          <w:p w14:paraId="77C4466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11.1</w:t>
            </w:r>
          </w:p>
        </w:tc>
        <w:tc>
          <w:tcPr>
            <w:tcW w:w="325" w:type="dxa"/>
            <w:tcBorders>
              <w:left w:val="single" w:color="000000" w:sz="4" w:space="0"/>
              <w:right w:val="single" w:color="000000" w:sz="4" w:space="0"/>
            </w:tcBorders>
            <w:vAlign w:val="center"/>
          </w:tcPr>
          <w:p w14:paraId="50B3F41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w:t>
            </w:r>
          </w:p>
        </w:tc>
        <w:tc>
          <w:tcPr>
            <w:tcW w:w="659" w:type="dxa"/>
            <w:tcBorders>
              <w:left w:val="single" w:color="000000" w:sz="4" w:space="0"/>
              <w:right w:val="single" w:color="000000" w:sz="4" w:space="0"/>
            </w:tcBorders>
            <w:vAlign w:val="center"/>
          </w:tcPr>
          <w:p w14:paraId="4C81187F">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11.1</w:t>
            </w:r>
          </w:p>
        </w:tc>
        <w:tc>
          <w:tcPr>
            <w:tcW w:w="447" w:type="dxa"/>
            <w:tcBorders>
              <w:left w:val="single" w:color="000000" w:sz="4" w:space="0"/>
              <w:right w:val="single" w:color="000000" w:sz="4" w:space="0"/>
            </w:tcBorders>
            <w:vAlign w:val="center"/>
          </w:tcPr>
          <w:p w14:paraId="4F6FB3EA">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9.6</w:t>
            </w:r>
          </w:p>
        </w:tc>
        <w:tc>
          <w:tcPr>
            <w:tcW w:w="603" w:type="dxa"/>
            <w:tcBorders>
              <w:left w:val="single" w:color="000000" w:sz="4" w:space="0"/>
              <w:right w:val="single" w:color="000000" w:sz="4" w:space="0"/>
            </w:tcBorders>
            <w:vAlign w:val="center"/>
          </w:tcPr>
          <w:p w14:paraId="607B454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6.8</w:t>
            </w:r>
          </w:p>
        </w:tc>
        <w:tc>
          <w:tcPr>
            <w:tcW w:w="347" w:type="dxa"/>
            <w:tcBorders>
              <w:left w:val="single" w:color="000000" w:sz="4" w:space="0"/>
              <w:right w:val="single" w:color="000000" w:sz="10" w:space="0"/>
            </w:tcBorders>
            <w:vAlign w:val="center"/>
          </w:tcPr>
          <w:p w14:paraId="42B148FC">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4.9</w:t>
            </w:r>
          </w:p>
        </w:tc>
      </w:tr>
      <w:tr w14:paraId="42068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1" w:type="dxa"/>
            <w:tcBorders>
              <w:left w:val="single" w:color="000000" w:sz="10" w:space="0"/>
              <w:right w:val="single" w:color="000000" w:sz="4" w:space="0"/>
            </w:tcBorders>
            <w:vAlign w:val="center"/>
          </w:tcPr>
          <w:p w14:paraId="5AFF369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12</w:t>
            </w:r>
          </w:p>
        </w:tc>
        <w:tc>
          <w:tcPr>
            <w:tcW w:w="325" w:type="dxa"/>
            <w:tcBorders>
              <w:left w:val="single" w:color="000000" w:sz="4" w:space="0"/>
              <w:right w:val="single" w:color="000000" w:sz="4" w:space="0"/>
            </w:tcBorders>
            <w:vAlign w:val="center"/>
          </w:tcPr>
          <w:p w14:paraId="7F76442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6.5</w:t>
            </w:r>
          </w:p>
        </w:tc>
        <w:tc>
          <w:tcPr>
            <w:tcW w:w="521" w:type="dxa"/>
            <w:tcBorders>
              <w:left w:val="single" w:color="000000" w:sz="4" w:space="0"/>
              <w:right w:val="single" w:color="000000" w:sz="4" w:space="0"/>
            </w:tcBorders>
            <w:vAlign w:val="center"/>
          </w:tcPr>
          <w:p w14:paraId="178E0EA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3.8</w:t>
            </w:r>
          </w:p>
        </w:tc>
        <w:tc>
          <w:tcPr>
            <w:tcW w:w="345" w:type="dxa"/>
            <w:tcBorders>
              <w:left w:val="single" w:color="000000" w:sz="4" w:space="0"/>
              <w:right w:val="single" w:color="000000" w:sz="4" w:space="0"/>
            </w:tcBorders>
            <w:vAlign w:val="center"/>
          </w:tcPr>
          <w:p w14:paraId="056D2D0D">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2.7</w:t>
            </w:r>
          </w:p>
        </w:tc>
        <w:tc>
          <w:tcPr>
            <w:tcW w:w="496" w:type="dxa"/>
            <w:tcBorders>
              <w:left w:val="single" w:color="000000" w:sz="4" w:space="0"/>
              <w:right w:val="single" w:color="000000" w:sz="4" w:space="0"/>
            </w:tcBorders>
            <w:vAlign w:val="center"/>
          </w:tcPr>
          <w:p w14:paraId="6FE665B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3.4</w:t>
            </w:r>
          </w:p>
        </w:tc>
        <w:tc>
          <w:tcPr>
            <w:tcW w:w="325" w:type="dxa"/>
            <w:tcBorders>
              <w:left w:val="single" w:color="000000" w:sz="4" w:space="0"/>
              <w:right w:val="single" w:color="000000" w:sz="4" w:space="0"/>
            </w:tcBorders>
            <w:vAlign w:val="center"/>
          </w:tcPr>
          <w:p w14:paraId="74D09D7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3.3</w:t>
            </w:r>
          </w:p>
        </w:tc>
        <w:tc>
          <w:tcPr>
            <w:tcW w:w="454" w:type="dxa"/>
            <w:tcBorders>
              <w:left w:val="single" w:color="000000" w:sz="4" w:space="0"/>
              <w:right w:val="single" w:color="000000" w:sz="4" w:space="0"/>
            </w:tcBorders>
            <w:vAlign w:val="center"/>
          </w:tcPr>
          <w:p w14:paraId="5CE9FC82">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3.3</w:t>
            </w:r>
          </w:p>
        </w:tc>
        <w:tc>
          <w:tcPr>
            <w:tcW w:w="325" w:type="dxa"/>
            <w:tcBorders>
              <w:left w:val="single" w:color="000000" w:sz="4" w:space="0"/>
              <w:right w:val="single" w:color="000000" w:sz="4" w:space="0"/>
            </w:tcBorders>
            <w:vAlign w:val="center"/>
          </w:tcPr>
          <w:p w14:paraId="58CC2610">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2.7</w:t>
            </w:r>
          </w:p>
        </w:tc>
        <w:tc>
          <w:tcPr>
            <w:tcW w:w="440" w:type="dxa"/>
            <w:tcBorders>
              <w:left w:val="single" w:color="000000" w:sz="4" w:space="0"/>
              <w:right w:val="single" w:color="000000" w:sz="4" w:space="0"/>
            </w:tcBorders>
            <w:vAlign w:val="center"/>
          </w:tcPr>
          <w:p w14:paraId="4196D95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3.6</w:t>
            </w:r>
          </w:p>
        </w:tc>
        <w:tc>
          <w:tcPr>
            <w:tcW w:w="447" w:type="dxa"/>
            <w:tcBorders>
              <w:left w:val="single" w:color="000000" w:sz="4" w:space="0"/>
              <w:right w:val="single" w:color="000000" w:sz="4" w:space="0"/>
            </w:tcBorders>
            <w:vAlign w:val="center"/>
          </w:tcPr>
          <w:p w14:paraId="4A99A13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8.2</w:t>
            </w:r>
          </w:p>
        </w:tc>
        <w:tc>
          <w:tcPr>
            <w:tcW w:w="522" w:type="dxa"/>
            <w:tcBorders>
              <w:left w:val="single" w:color="000000" w:sz="4" w:space="0"/>
              <w:right w:val="single" w:color="000000" w:sz="4" w:space="0"/>
            </w:tcBorders>
            <w:vAlign w:val="center"/>
          </w:tcPr>
          <w:p w14:paraId="25CF40F5">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8.8</w:t>
            </w:r>
          </w:p>
        </w:tc>
        <w:tc>
          <w:tcPr>
            <w:tcW w:w="385" w:type="dxa"/>
            <w:tcBorders>
              <w:left w:val="single" w:color="000000" w:sz="4" w:space="0"/>
              <w:right w:val="single" w:color="000000" w:sz="4" w:space="0"/>
            </w:tcBorders>
            <w:vAlign w:val="center"/>
          </w:tcPr>
          <w:p w14:paraId="42FA50D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w:t>
            </w:r>
          </w:p>
        </w:tc>
        <w:tc>
          <w:tcPr>
            <w:tcW w:w="617" w:type="dxa"/>
            <w:tcBorders>
              <w:left w:val="single" w:color="000000" w:sz="4" w:space="0"/>
              <w:right w:val="single" w:color="000000" w:sz="4" w:space="0"/>
            </w:tcBorders>
            <w:vAlign w:val="center"/>
          </w:tcPr>
          <w:p w14:paraId="5B7422DE">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11.1</w:t>
            </w:r>
          </w:p>
        </w:tc>
        <w:tc>
          <w:tcPr>
            <w:tcW w:w="325" w:type="dxa"/>
            <w:tcBorders>
              <w:left w:val="single" w:color="000000" w:sz="4" w:space="0"/>
              <w:right w:val="single" w:color="000000" w:sz="4" w:space="0"/>
            </w:tcBorders>
            <w:vAlign w:val="center"/>
          </w:tcPr>
          <w:p w14:paraId="44D75079">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9.6</w:t>
            </w:r>
          </w:p>
        </w:tc>
        <w:tc>
          <w:tcPr>
            <w:tcW w:w="659" w:type="dxa"/>
            <w:tcBorders>
              <w:left w:val="single" w:color="000000" w:sz="4" w:space="0"/>
              <w:right w:val="single" w:color="000000" w:sz="4" w:space="0"/>
            </w:tcBorders>
            <w:vAlign w:val="center"/>
          </w:tcPr>
          <w:p w14:paraId="59ABC6F4">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11.6</w:t>
            </w:r>
          </w:p>
        </w:tc>
        <w:tc>
          <w:tcPr>
            <w:tcW w:w="447" w:type="dxa"/>
            <w:tcBorders>
              <w:left w:val="single" w:color="000000" w:sz="4" w:space="0"/>
              <w:right w:val="single" w:color="000000" w:sz="4" w:space="0"/>
            </w:tcBorders>
            <w:vAlign w:val="center"/>
          </w:tcPr>
          <w:p w14:paraId="771D6E9B">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9.8</w:t>
            </w:r>
          </w:p>
        </w:tc>
        <w:tc>
          <w:tcPr>
            <w:tcW w:w="603" w:type="dxa"/>
            <w:tcBorders>
              <w:left w:val="single" w:color="000000" w:sz="4" w:space="0"/>
              <w:right w:val="single" w:color="000000" w:sz="4" w:space="0"/>
            </w:tcBorders>
            <w:vAlign w:val="center"/>
          </w:tcPr>
          <w:p w14:paraId="0BE256D1">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8.1</w:t>
            </w:r>
          </w:p>
        </w:tc>
        <w:tc>
          <w:tcPr>
            <w:tcW w:w="347" w:type="dxa"/>
            <w:tcBorders>
              <w:left w:val="single" w:color="000000" w:sz="4" w:space="0"/>
              <w:right w:val="single" w:color="000000" w:sz="10" w:space="0"/>
            </w:tcBorders>
            <w:vAlign w:val="center"/>
          </w:tcPr>
          <w:p w14:paraId="28FEDDB7">
            <w:pPr>
              <w:widowControl/>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5.2</w:t>
            </w:r>
          </w:p>
        </w:tc>
      </w:tr>
    </w:tbl>
    <w:p w14:paraId="3D1CE6F6">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③风速年际变化特征与周期分析</w:t>
      </w:r>
    </w:p>
    <w:p w14:paraId="08488EEB">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根据</w:t>
      </w:r>
      <w:r>
        <w:rPr>
          <w:rFonts w:hint="eastAsia" w:ascii="Times New Roman" w:hAnsi="Times New Roman" w:cs="Times New Roman"/>
          <w:color w:val="auto"/>
          <w:w w:val="99"/>
          <w:highlight w:val="none"/>
          <w:lang w:val="zh-CN"/>
        </w:rPr>
        <w:t>近二十年</w:t>
      </w:r>
      <w:r>
        <w:rPr>
          <w:rFonts w:hint="default" w:ascii="Times New Roman" w:hAnsi="Times New Roman" w:eastAsia="宋体" w:cs="Times New Roman"/>
          <w:color w:val="auto"/>
          <w:w w:val="99"/>
          <w:highlight w:val="none"/>
          <w:lang w:val="zh-CN"/>
        </w:rPr>
        <w:t>资料分析，大庆气象站2019年年平均风速最大（3.1m/s），2014、2015年年平均风速最小（1.5m/s）。</w:t>
      </w:r>
    </w:p>
    <w:p w14:paraId="44A2736D">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（3）气象站温度分析</w:t>
      </w:r>
    </w:p>
    <w:p w14:paraId="0597B822">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①月平均气温与极端气温</w:t>
      </w:r>
    </w:p>
    <w:p w14:paraId="6969637F">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大庆气象站07月气温最高（24.1℃），01月气温最低（-16.5℃），</w:t>
      </w:r>
      <w:r>
        <w:rPr>
          <w:rFonts w:hint="eastAsia" w:ascii="Times New Roman" w:hAnsi="Times New Roman" w:cs="Times New Roman"/>
          <w:color w:val="auto"/>
          <w:w w:val="99"/>
          <w:highlight w:val="none"/>
          <w:lang w:val="zh-CN"/>
        </w:rPr>
        <w:t>近二十年</w:t>
      </w:r>
      <w:r>
        <w:rPr>
          <w:rFonts w:hint="default" w:ascii="Times New Roman" w:hAnsi="Times New Roman" w:eastAsia="宋体" w:cs="Times New Roman"/>
          <w:color w:val="auto"/>
          <w:w w:val="99"/>
          <w:highlight w:val="none"/>
          <w:lang w:val="zh-CN"/>
        </w:rPr>
        <w:t>极端最高气温出现在2018-06-02（38.9℃），极端最低气温出现在2013-01-01（-3</w:t>
      </w:r>
      <w:r>
        <w:rPr>
          <w:rFonts w:hint="eastAsia" w:ascii="Times New Roman" w:hAnsi="Times New Roman" w:cs="Times New Roman"/>
          <w:color w:val="auto"/>
          <w:w w:val="99"/>
          <w:highlight w:val="none"/>
          <w:lang w:val="en-US" w:eastAsia="zh-CN"/>
        </w:rPr>
        <w:t>1.9</w:t>
      </w:r>
      <w:r>
        <w:rPr>
          <w:rFonts w:hint="default" w:ascii="Times New Roman" w:hAnsi="Times New Roman" w:eastAsia="宋体" w:cs="Times New Roman"/>
          <w:color w:val="auto"/>
          <w:w w:val="99"/>
          <w:highlight w:val="none"/>
          <w:lang w:val="zh-CN"/>
        </w:rPr>
        <w:t>℃）。</w:t>
      </w:r>
    </w:p>
    <w:p w14:paraId="33BD1557">
      <w:pPr>
        <w:jc w:val="center"/>
        <w:rPr>
          <w:rFonts w:hint="default" w:ascii="Times New Roman" w:hAnsi="Times New Roman" w:eastAsia="宋体" w:cs="Times New Roman"/>
          <w:color w:val="auto"/>
          <w:w w:val="99"/>
          <w:highlight w:val="none"/>
        </w:rPr>
      </w:pPr>
      <w:r>
        <w:rPr>
          <w:rFonts w:hint="default" w:ascii="Times New Roman" w:hAnsi="Times New Roman" w:eastAsia="宋体" w:cs="Times New Roman"/>
          <w:color w:val="auto"/>
          <w:w w:val="99"/>
          <w:highlight w:val="none"/>
        </w:rPr>
        <w:drawing>
          <wp:inline distT="0" distB="0" distL="0" distR="0">
            <wp:extent cx="3474085" cy="2251075"/>
            <wp:effectExtent l="0" t="0" r="12065"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7"/>
                    <a:srcRect t="5593"/>
                    <a:stretch>
                      <a:fillRect/>
                    </a:stretch>
                  </pic:blipFill>
                  <pic:spPr>
                    <a:xfrm>
                      <a:off x="0" y="0"/>
                      <a:ext cx="3481737" cy="2255726"/>
                    </a:xfrm>
                    <a:prstGeom prst="rect">
                      <a:avLst/>
                    </a:prstGeom>
                    <a:ln>
                      <a:noFill/>
                    </a:ln>
                  </pic:spPr>
                </pic:pic>
              </a:graphicData>
            </a:graphic>
          </wp:inline>
        </w:drawing>
      </w:r>
    </w:p>
    <w:p w14:paraId="31952206">
      <w:pPr>
        <w:jc w:val="center"/>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图5.1-4    月平均气温图（单位：℃）</w:t>
      </w:r>
    </w:p>
    <w:p w14:paraId="27B73B95">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②温度年际变化趋势与周期分析</w:t>
      </w:r>
    </w:p>
    <w:p w14:paraId="30A071B6">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大庆气象站</w:t>
      </w:r>
      <w:r>
        <w:rPr>
          <w:rFonts w:hint="eastAsia" w:ascii="Times New Roman" w:hAnsi="Times New Roman" w:cs="Times New Roman"/>
          <w:color w:val="auto"/>
          <w:w w:val="99"/>
          <w:highlight w:val="none"/>
          <w:lang w:val="zh-CN"/>
        </w:rPr>
        <w:t>近二十年</w:t>
      </w:r>
      <w:r>
        <w:rPr>
          <w:rFonts w:hint="default" w:ascii="Times New Roman" w:hAnsi="Times New Roman" w:eastAsia="宋体" w:cs="Times New Roman"/>
          <w:color w:val="auto"/>
          <w:w w:val="99"/>
          <w:highlight w:val="none"/>
          <w:lang w:val="zh-CN"/>
        </w:rPr>
        <w:t>气温呈逐年上升趋势，20</w:t>
      </w:r>
      <w:r>
        <w:rPr>
          <w:rFonts w:hint="eastAsia" w:ascii="Times New Roman" w:hAnsi="Times New Roman" w:cs="Times New Roman"/>
          <w:color w:val="auto"/>
          <w:w w:val="99"/>
          <w:highlight w:val="none"/>
          <w:lang w:val="en-US" w:eastAsia="zh-CN"/>
        </w:rPr>
        <w:t>10</w:t>
      </w:r>
      <w:r>
        <w:rPr>
          <w:rFonts w:hint="default" w:ascii="Times New Roman" w:hAnsi="Times New Roman" w:eastAsia="宋体" w:cs="Times New Roman"/>
          <w:color w:val="auto"/>
          <w:w w:val="99"/>
          <w:highlight w:val="none"/>
          <w:lang w:val="zh-CN"/>
        </w:rPr>
        <w:t>年年平均气温最高（</w:t>
      </w:r>
      <w:r>
        <w:rPr>
          <w:rFonts w:hint="eastAsia" w:ascii="Times New Roman" w:hAnsi="Times New Roman" w:cs="Times New Roman"/>
          <w:color w:val="auto"/>
          <w:w w:val="99"/>
          <w:highlight w:val="none"/>
          <w:lang w:val="en-US" w:eastAsia="zh-CN"/>
        </w:rPr>
        <w:t>4.1</w:t>
      </w:r>
      <w:r>
        <w:rPr>
          <w:rFonts w:hint="default" w:ascii="Times New Roman" w:hAnsi="Times New Roman" w:eastAsia="宋体" w:cs="Times New Roman"/>
          <w:color w:val="auto"/>
          <w:w w:val="99"/>
          <w:highlight w:val="none"/>
          <w:lang w:val="zh-CN"/>
        </w:rPr>
        <w:t>℃），20</w:t>
      </w:r>
      <w:r>
        <w:rPr>
          <w:rFonts w:hint="eastAsia" w:ascii="Times New Roman" w:hAnsi="Times New Roman" w:cs="Times New Roman"/>
          <w:color w:val="auto"/>
          <w:w w:val="99"/>
          <w:highlight w:val="none"/>
          <w:lang w:val="en-US" w:eastAsia="zh-CN"/>
        </w:rPr>
        <w:t>23</w:t>
      </w:r>
      <w:r>
        <w:rPr>
          <w:rFonts w:hint="default" w:ascii="Times New Roman" w:hAnsi="Times New Roman" w:eastAsia="宋体" w:cs="Times New Roman"/>
          <w:color w:val="auto"/>
          <w:w w:val="99"/>
          <w:highlight w:val="none"/>
          <w:lang w:val="zh-CN"/>
        </w:rPr>
        <w:t>年年平均气温最低（</w:t>
      </w:r>
      <w:r>
        <w:rPr>
          <w:rFonts w:hint="eastAsia" w:ascii="Times New Roman" w:hAnsi="Times New Roman" w:cs="Times New Roman"/>
          <w:color w:val="auto"/>
          <w:w w:val="99"/>
          <w:highlight w:val="none"/>
          <w:lang w:val="en-US" w:eastAsia="zh-CN"/>
        </w:rPr>
        <w:t>5.3</w:t>
      </w:r>
      <w:r>
        <w:rPr>
          <w:rFonts w:hint="default" w:ascii="Times New Roman" w:hAnsi="Times New Roman" w:eastAsia="宋体" w:cs="Times New Roman"/>
          <w:color w:val="auto"/>
          <w:w w:val="99"/>
          <w:highlight w:val="none"/>
          <w:lang w:val="zh-CN"/>
        </w:rPr>
        <w:t>℃）。</w:t>
      </w:r>
    </w:p>
    <w:p w14:paraId="0E696AB1">
      <w:pPr>
        <w:widowControl w:val="0"/>
        <w:spacing w:line="440" w:lineRule="exact"/>
        <w:ind w:firstLine="474" w:firstLineChars="200"/>
        <w:jc w:val="both"/>
        <w:rPr>
          <w:rFonts w:hint="default" w:ascii="Times New Roman" w:hAnsi="Times New Roman" w:eastAsia="宋体" w:cs="Times New Roman"/>
          <w:color w:val="auto"/>
          <w:w w:val="99"/>
          <w:highlight w:val="none"/>
        </w:rPr>
      </w:pPr>
      <w:r>
        <w:rPr>
          <w:rFonts w:hint="default" w:ascii="Times New Roman" w:hAnsi="Times New Roman" w:eastAsia="宋体" w:cs="Times New Roman"/>
          <w:color w:val="auto"/>
          <w:w w:val="99"/>
          <w:highlight w:val="none"/>
        </w:rPr>
        <w:t>（4）</w:t>
      </w:r>
      <w:r>
        <w:rPr>
          <w:rFonts w:hint="default" w:ascii="Times New Roman" w:hAnsi="Times New Roman" w:eastAsia="宋体" w:cs="Times New Roman"/>
          <w:color w:val="auto"/>
          <w:w w:val="99"/>
          <w:highlight w:val="none"/>
          <w:lang w:val="zh-CN"/>
        </w:rPr>
        <w:t>气象站降水分析</w:t>
      </w:r>
    </w:p>
    <w:p w14:paraId="0B641E49">
      <w:pPr>
        <w:widowControl w:val="0"/>
        <w:spacing w:line="440" w:lineRule="exact"/>
        <w:ind w:firstLine="474" w:firstLineChars="200"/>
        <w:jc w:val="both"/>
        <w:rPr>
          <w:rFonts w:hint="default" w:ascii="Times New Roman" w:hAnsi="Times New Roman" w:eastAsia="宋体" w:cs="Times New Roman"/>
          <w:color w:val="auto"/>
          <w:w w:val="99"/>
          <w:highlight w:val="none"/>
        </w:rPr>
      </w:pPr>
      <w:r>
        <w:rPr>
          <w:rFonts w:hint="default" w:ascii="Times New Roman" w:hAnsi="Times New Roman" w:eastAsia="宋体" w:cs="Times New Roman"/>
          <w:color w:val="auto"/>
          <w:w w:val="99"/>
          <w:highlight w:val="none"/>
        </w:rPr>
        <w:t>①</w:t>
      </w:r>
      <w:r>
        <w:rPr>
          <w:rFonts w:hint="default" w:ascii="Times New Roman" w:hAnsi="Times New Roman" w:eastAsia="宋体" w:cs="Times New Roman"/>
          <w:color w:val="auto"/>
          <w:w w:val="99"/>
          <w:highlight w:val="none"/>
          <w:lang w:val="zh-CN"/>
        </w:rPr>
        <w:t>月平均降水与极端降水</w:t>
      </w:r>
    </w:p>
    <w:p w14:paraId="5B749B1A">
      <w:pPr>
        <w:widowControl w:val="0"/>
        <w:spacing w:line="440" w:lineRule="exact"/>
        <w:ind w:firstLine="474" w:firstLineChars="200"/>
        <w:jc w:val="both"/>
        <w:rPr>
          <w:rFonts w:hint="default" w:ascii="Times New Roman" w:hAnsi="Times New Roman" w:eastAsia="宋体" w:cs="Times New Roman"/>
          <w:color w:val="auto"/>
          <w:w w:val="99"/>
          <w:highlight w:val="none"/>
        </w:rPr>
      </w:pPr>
      <w:r>
        <w:rPr>
          <w:rFonts w:hint="default" w:ascii="Times New Roman" w:hAnsi="Times New Roman" w:eastAsia="宋体" w:cs="Times New Roman"/>
          <w:color w:val="auto"/>
          <w:w w:val="99"/>
          <w:highlight w:val="none"/>
          <w:lang w:val="zh-CN"/>
        </w:rPr>
        <w:t>大庆气象站</w:t>
      </w:r>
      <w:r>
        <w:rPr>
          <w:rFonts w:hint="default" w:ascii="Times New Roman" w:hAnsi="Times New Roman" w:eastAsia="宋体" w:cs="Times New Roman"/>
          <w:color w:val="auto"/>
          <w:w w:val="99"/>
          <w:highlight w:val="none"/>
        </w:rPr>
        <w:t>07</w:t>
      </w:r>
      <w:r>
        <w:rPr>
          <w:rFonts w:hint="default" w:ascii="Times New Roman" w:hAnsi="Times New Roman" w:eastAsia="宋体" w:cs="Times New Roman"/>
          <w:color w:val="auto"/>
          <w:w w:val="99"/>
          <w:highlight w:val="none"/>
          <w:lang w:val="zh-CN"/>
        </w:rPr>
        <w:t>月降水量最大</w:t>
      </w:r>
      <w:r>
        <w:rPr>
          <w:rFonts w:hint="default" w:ascii="Times New Roman" w:hAnsi="Times New Roman" w:eastAsia="宋体" w:cs="Times New Roman"/>
          <w:color w:val="auto"/>
          <w:w w:val="99"/>
          <w:highlight w:val="none"/>
        </w:rPr>
        <w:t>（147.7mm），1</w:t>
      </w:r>
      <w:r>
        <w:rPr>
          <w:rFonts w:hint="default" w:ascii="Times New Roman" w:hAnsi="Times New Roman" w:eastAsia="宋体" w:cs="Times New Roman"/>
          <w:color w:val="auto"/>
          <w:w w:val="99"/>
          <w:highlight w:val="none"/>
          <w:lang w:val="zh-CN"/>
        </w:rPr>
        <w:t>月降水量最小</w:t>
      </w:r>
      <w:r>
        <w:rPr>
          <w:rFonts w:hint="default" w:ascii="Times New Roman" w:hAnsi="Times New Roman" w:eastAsia="宋体" w:cs="Times New Roman"/>
          <w:color w:val="auto"/>
          <w:w w:val="99"/>
          <w:highlight w:val="none"/>
        </w:rPr>
        <w:t>（2.6mm），</w:t>
      </w:r>
      <w:r>
        <w:rPr>
          <w:rFonts w:hint="eastAsia" w:ascii="Times New Roman" w:hAnsi="Times New Roman" w:cs="Times New Roman"/>
          <w:color w:val="auto"/>
          <w:w w:val="99"/>
          <w:highlight w:val="none"/>
          <w:lang w:val="zh-CN"/>
        </w:rPr>
        <w:t>近二十年</w:t>
      </w:r>
      <w:r>
        <w:rPr>
          <w:rFonts w:hint="default" w:ascii="Times New Roman" w:hAnsi="Times New Roman" w:eastAsia="宋体" w:cs="Times New Roman"/>
          <w:color w:val="auto"/>
          <w:w w:val="99"/>
          <w:highlight w:val="none"/>
          <w:lang w:val="zh-CN"/>
        </w:rPr>
        <w:t>极端最大日降水出现在</w:t>
      </w:r>
      <w:r>
        <w:rPr>
          <w:rFonts w:hint="default" w:ascii="Times New Roman" w:hAnsi="Times New Roman" w:eastAsia="宋体" w:cs="Times New Roman"/>
          <w:color w:val="auto"/>
          <w:w w:val="99"/>
          <w:highlight w:val="none"/>
        </w:rPr>
        <w:t>2018-07-25（96.8mm）</w:t>
      </w:r>
      <w:r>
        <w:rPr>
          <w:rFonts w:hint="default" w:ascii="Times New Roman" w:hAnsi="Times New Roman" w:eastAsia="宋体" w:cs="Times New Roman"/>
          <w:color w:val="auto"/>
          <w:w w:val="99"/>
          <w:highlight w:val="none"/>
          <w:lang w:val="zh-CN"/>
        </w:rPr>
        <w:t>。</w:t>
      </w:r>
    </w:p>
    <w:p w14:paraId="2ED99107">
      <w:pPr>
        <w:jc w:val="center"/>
        <w:rPr>
          <w:rFonts w:hint="default" w:ascii="Times New Roman" w:hAnsi="Times New Roman" w:eastAsia="宋体" w:cs="Times New Roman"/>
          <w:color w:val="0000FF"/>
          <w:w w:val="99"/>
          <w:highlight w:val="none"/>
        </w:rPr>
      </w:pPr>
      <w:r>
        <w:rPr>
          <w:rFonts w:hint="default" w:ascii="Times New Roman" w:hAnsi="Times New Roman" w:eastAsia="宋体" w:cs="Times New Roman"/>
          <w:color w:val="0000FF"/>
          <w:w w:val="99"/>
          <w:highlight w:val="none"/>
        </w:rPr>
        <w:drawing>
          <wp:inline distT="0" distB="0" distL="0" distR="0">
            <wp:extent cx="4038600" cy="2609850"/>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038600" cy="2609850"/>
                    </a:xfrm>
                    <a:prstGeom prst="rect">
                      <a:avLst/>
                    </a:prstGeom>
                    <a:noFill/>
                    <a:ln>
                      <a:noFill/>
                    </a:ln>
                  </pic:spPr>
                </pic:pic>
              </a:graphicData>
            </a:graphic>
          </wp:inline>
        </w:drawing>
      </w:r>
    </w:p>
    <w:p w14:paraId="39D685B2">
      <w:pPr>
        <w:spacing w:line="440" w:lineRule="exact"/>
        <w:jc w:val="center"/>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图5.1-5    月平均降水量（单位：毫米）</w:t>
      </w:r>
    </w:p>
    <w:p w14:paraId="488AF7AE">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②降水年际变化趋势与周期分析</w:t>
      </w:r>
    </w:p>
    <w:p w14:paraId="37C5B996">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大庆气象站</w:t>
      </w:r>
      <w:r>
        <w:rPr>
          <w:rFonts w:hint="eastAsia" w:ascii="Times New Roman" w:hAnsi="Times New Roman" w:cs="Times New Roman"/>
          <w:color w:val="auto"/>
          <w:w w:val="99"/>
          <w:highlight w:val="none"/>
          <w:lang w:val="zh-CN"/>
        </w:rPr>
        <w:t>近二十年</w:t>
      </w:r>
      <w:r>
        <w:rPr>
          <w:rFonts w:hint="default" w:ascii="Times New Roman" w:hAnsi="Times New Roman" w:eastAsia="宋体" w:cs="Times New Roman"/>
          <w:color w:val="auto"/>
          <w:w w:val="99"/>
          <w:highlight w:val="none"/>
          <w:lang w:val="zh-CN"/>
        </w:rPr>
        <w:t>年降水总量无明显变化趋势，2018年年总降水量最大（721.2mm），2007年年总降水量最小（316.9mm）。</w:t>
      </w:r>
    </w:p>
    <w:p w14:paraId="6BD90AFF">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（5）气象站日照分析</w:t>
      </w:r>
    </w:p>
    <w:p w14:paraId="1D01067A">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①月日照时数</w:t>
      </w:r>
    </w:p>
    <w:p w14:paraId="42EB79A9">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大庆气象站05月日照最长（239.2小时），12月日照最短（155小时）。</w:t>
      </w:r>
    </w:p>
    <w:p w14:paraId="61E136FC">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②日照时数年际变化趋势与周期分析</w:t>
      </w:r>
    </w:p>
    <w:p w14:paraId="09D7D92D">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大庆气象站</w:t>
      </w:r>
      <w:r>
        <w:rPr>
          <w:rFonts w:hint="eastAsia" w:ascii="Times New Roman" w:hAnsi="Times New Roman" w:cs="Times New Roman"/>
          <w:color w:val="auto"/>
          <w:w w:val="99"/>
          <w:highlight w:val="none"/>
          <w:lang w:val="zh-CN"/>
        </w:rPr>
        <w:t>近二十年</w:t>
      </w:r>
      <w:r>
        <w:rPr>
          <w:rFonts w:hint="default" w:ascii="Times New Roman" w:hAnsi="Times New Roman" w:eastAsia="宋体" w:cs="Times New Roman"/>
          <w:color w:val="auto"/>
          <w:w w:val="99"/>
          <w:highlight w:val="none"/>
          <w:lang w:val="zh-CN"/>
        </w:rPr>
        <w:t>年日照时数呈现上升趋势，2020年年日照时数最长（2825.1小时），2015年年日照时数最短（2144.4小时）。</w:t>
      </w:r>
    </w:p>
    <w:p w14:paraId="1D58C855">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（6）气象站相对湿度分析</w:t>
      </w:r>
    </w:p>
    <w:p w14:paraId="7402C8E6">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①月相对湿度分析</w:t>
      </w:r>
    </w:p>
    <w:p w14:paraId="477E8B23">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大庆气象站07月平均相对湿度最大（73.3%），04月平均相对湿度最小（44.1%）。</w:t>
      </w:r>
    </w:p>
    <w:p w14:paraId="525DC7D9">
      <w:pPr>
        <w:jc w:val="center"/>
        <w:rPr>
          <w:rFonts w:hint="default" w:ascii="Times New Roman" w:hAnsi="Times New Roman" w:eastAsia="宋体" w:cs="Times New Roman"/>
          <w:color w:val="auto"/>
          <w:w w:val="99"/>
          <w:highlight w:val="none"/>
        </w:rPr>
      </w:pPr>
      <w:r>
        <w:rPr>
          <w:rFonts w:hint="default" w:ascii="Times New Roman" w:hAnsi="Times New Roman" w:eastAsia="宋体" w:cs="Times New Roman"/>
          <w:color w:val="auto"/>
          <w:w w:val="99"/>
          <w:highlight w:val="none"/>
        </w:rPr>
        <w:drawing>
          <wp:inline distT="0" distB="0" distL="0" distR="0">
            <wp:extent cx="3676650" cy="2314575"/>
            <wp:effectExtent l="0" t="0" r="0" b="9525"/>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676650" cy="2314575"/>
                    </a:xfrm>
                    <a:prstGeom prst="rect">
                      <a:avLst/>
                    </a:prstGeom>
                    <a:noFill/>
                    <a:ln>
                      <a:noFill/>
                    </a:ln>
                  </pic:spPr>
                </pic:pic>
              </a:graphicData>
            </a:graphic>
          </wp:inline>
        </w:drawing>
      </w:r>
    </w:p>
    <w:p w14:paraId="0F1602D7">
      <w:pPr>
        <w:spacing w:line="440" w:lineRule="exact"/>
        <w:jc w:val="center"/>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图5.1-</w:t>
      </w:r>
      <w:r>
        <w:rPr>
          <w:rFonts w:hint="eastAsia" w:ascii="Times New Roman" w:hAnsi="Times New Roman" w:eastAsia="宋体" w:cs="Times New Roman"/>
          <w:b/>
          <w:color w:val="auto"/>
          <w:w w:val="99"/>
          <w:highlight w:val="none"/>
          <w:lang w:val="en-US" w:eastAsia="zh-CN"/>
        </w:rPr>
        <w:t>6</w:t>
      </w:r>
      <w:r>
        <w:rPr>
          <w:rFonts w:hint="default" w:ascii="Times New Roman" w:hAnsi="Times New Roman" w:eastAsia="宋体" w:cs="Times New Roman"/>
          <w:b/>
          <w:color w:val="auto"/>
          <w:w w:val="99"/>
          <w:highlight w:val="none"/>
        </w:rPr>
        <w:t xml:space="preserve">    月平均相对湿度</w:t>
      </w:r>
    </w:p>
    <w:p w14:paraId="48D88221">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②相对湿度年际变化趋势与周期分析</w:t>
      </w:r>
    </w:p>
    <w:p w14:paraId="30DA96E3">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大庆气象站</w:t>
      </w:r>
      <w:r>
        <w:rPr>
          <w:rFonts w:hint="eastAsia" w:ascii="Times New Roman" w:hAnsi="Times New Roman" w:cs="Times New Roman"/>
          <w:color w:val="auto"/>
          <w:w w:val="99"/>
          <w:highlight w:val="none"/>
          <w:lang w:val="zh-CN"/>
        </w:rPr>
        <w:t>近二十年</w:t>
      </w:r>
      <w:r>
        <w:rPr>
          <w:rFonts w:hint="default" w:ascii="Times New Roman" w:hAnsi="Times New Roman" w:eastAsia="宋体" w:cs="Times New Roman"/>
          <w:color w:val="auto"/>
          <w:w w:val="99"/>
          <w:highlight w:val="none"/>
          <w:lang w:val="zh-CN"/>
        </w:rPr>
        <w:t>年平均相对湿度无明显变化趋势，2013年年平均相对湿度最大（67%），2017年年平均相对湿度最小（56%）。</w:t>
      </w:r>
    </w:p>
    <w:p w14:paraId="2BA60ECE">
      <w:pPr>
        <w:widowControl w:val="0"/>
        <w:spacing w:line="440" w:lineRule="exact"/>
        <w:jc w:val="both"/>
        <w:outlineLvl w:val="3"/>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5.1.2.2近一年地面气象资料统计</w:t>
      </w:r>
    </w:p>
    <w:p w14:paraId="7083242A">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本项目地面观测资料采用气象局提供的2024年1月至2024年12月全年风速、风向、干球温度、露点温度、相对湿度、气压观测资料以及观测的总云和低云资料进行统计分析。统计分析结果表明，2024年评价区域平均温度6.3℃，平均风速2.9m/s。</w:t>
      </w:r>
    </w:p>
    <w:p w14:paraId="5B0498D4">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（1）气象台站的基本信息</w:t>
      </w:r>
    </w:p>
    <w:p w14:paraId="11EC0B37">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气象台站区站号（国家统一编号）50850；</w:t>
      </w:r>
    </w:p>
    <w:p w14:paraId="63F201CC">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测风距离地面高度10.5米；</w:t>
      </w:r>
    </w:p>
    <w:p w14:paraId="510C9950">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测温离地面高度1.5米；</w:t>
      </w:r>
    </w:p>
    <w:p w14:paraId="2FC68FDE">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气象站地面高程（拔海高度）152米；</w:t>
      </w:r>
    </w:p>
    <w:p w14:paraId="297D5AD1">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气象站类别（一般站）。</w:t>
      </w:r>
    </w:p>
    <w:p w14:paraId="543800A2">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（2）温度统计分析</w:t>
      </w:r>
    </w:p>
    <w:p w14:paraId="611E65FA">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年平均温度月变化统计表见表5.1-5和图5.1-8。</w:t>
      </w:r>
    </w:p>
    <w:p w14:paraId="105D595A">
      <w:pPr>
        <w:pStyle w:val="153"/>
        <w:widowControl w:val="0"/>
        <w:spacing w:line="440" w:lineRule="exact"/>
        <w:ind w:firstLine="476" w:firstLineChars="200"/>
        <w:jc w:val="both"/>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表5.1-5    年平均温度月变化统计表</w:t>
      </w:r>
    </w:p>
    <w:tbl>
      <w:tblPr>
        <w:tblStyle w:val="1662"/>
        <w:tblW w:w="910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8"/>
        <w:gridCol w:w="614"/>
        <w:gridCol w:w="613"/>
        <w:gridCol w:w="614"/>
        <w:gridCol w:w="614"/>
        <w:gridCol w:w="614"/>
        <w:gridCol w:w="614"/>
        <w:gridCol w:w="614"/>
        <w:gridCol w:w="614"/>
        <w:gridCol w:w="614"/>
        <w:gridCol w:w="615"/>
        <w:gridCol w:w="615"/>
        <w:gridCol w:w="617"/>
        <w:gridCol w:w="631"/>
      </w:tblGrid>
      <w:tr w14:paraId="4D03F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98" w:type="dxa"/>
            <w:tcBorders>
              <w:left w:val="single" w:color="000000" w:sz="10" w:space="0"/>
            </w:tcBorders>
            <w:vAlign w:val="center"/>
          </w:tcPr>
          <w:p w14:paraId="55E36F7A">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月份</w:t>
            </w:r>
          </w:p>
        </w:tc>
        <w:tc>
          <w:tcPr>
            <w:tcW w:w="614" w:type="dxa"/>
            <w:vAlign w:val="center"/>
          </w:tcPr>
          <w:p w14:paraId="63245847">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1月</w:t>
            </w:r>
          </w:p>
        </w:tc>
        <w:tc>
          <w:tcPr>
            <w:tcW w:w="613" w:type="dxa"/>
            <w:vAlign w:val="center"/>
          </w:tcPr>
          <w:p w14:paraId="62F6C7E1">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2月</w:t>
            </w:r>
          </w:p>
        </w:tc>
        <w:tc>
          <w:tcPr>
            <w:tcW w:w="614" w:type="dxa"/>
            <w:vAlign w:val="center"/>
          </w:tcPr>
          <w:p w14:paraId="72FA56F7">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3月</w:t>
            </w:r>
          </w:p>
        </w:tc>
        <w:tc>
          <w:tcPr>
            <w:tcW w:w="614" w:type="dxa"/>
            <w:vAlign w:val="center"/>
          </w:tcPr>
          <w:p w14:paraId="41C97CAB">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4月</w:t>
            </w:r>
          </w:p>
        </w:tc>
        <w:tc>
          <w:tcPr>
            <w:tcW w:w="614" w:type="dxa"/>
            <w:vAlign w:val="center"/>
          </w:tcPr>
          <w:p w14:paraId="6641B625">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5月</w:t>
            </w:r>
          </w:p>
        </w:tc>
        <w:tc>
          <w:tcPr>
            <w:tcW w:w="614" w:type="dxa"/>
            <w:vAlign w:val="center"/>
          </w:tcPr>
          <w:p w14:paraId="69A9FD93">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6月</w:t>
            </w:r>
          </w:p>
        </w:tc>
        <w:tc>
          <w:tcPr>
            <w:tcW w:w="614" w:type="dxa"/>
            <w:vAlign w:val="center"/>
          </w:tcPr>
          <w:p w14:paraId="489B5B45">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7月</w:t>
            </w:r>
          </w:p>
        </w:tc>
        <w:tc>
          <w:tcPr>
            <w:tcW w:w="614" w:type="dxa"/>
            <w:vAlign w:val="center"/>
          </w:tcPr>
          <w:p w14:paraId="6FAEA7D2">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8月</w:t>
            </w:r>
          </w:p>
        </w:tc>
        <w:tc>
          <w:tcPr>
            <w:tcW w:w="614" w:type="dxa"/>
            <w:vAlign w:val="center"/>
          </w:tcPr>
          <w:p w14:paraId="79102618">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9月</w:t>
            </w:r>
          </w:p>
        </w:tc>
        <w:tc>
          <w:tcPr>
            <w:tcW w:w="615" w:type="dxa"/>
            <w:vAlign w:val="center"/>
          </w:tcPr>
          <w:p w14:paraId="33E92E20">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10月</w:t>
            </w:r>
          </w:p>
        </w:tc>
        <w:tc>
          <w:tcPr>
            <w:tcW w:w="615" w:type="dxa"/>
            <w:vAlign w:val="center"/>
          </w:tcPr>
          <w:p w14:paraId="396040B1">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11月</w:t>
            </w:r>
          </w:p>
        </w:tc>
        <w:tc>
          <w:tcPr>
            <w:tcW w:w="617" w:type="dxa"/>
            <w:vAlign w:val="center"/>
          </w:tcPr>
          <w:p w14:paraId="48ED47E6">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12月</w:t>
            </w:r>
          </w:p>
        </w:tc>
        <w:tc>
          <w:tcPr>
            <w:tcW w:w="631" w:type="dxa"/>
            <w:tcBorders>
              <w:right w:val="single" w:color="000000" w:sz="10" w:space="0"/>
            </w:tcBorders>
            <w:vAlign w:val="center"/>
          </w:tcPr>
          <w:p w14:paraId="45D8F7E0">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全年</w:t>
            </w:r>
          </w:p>
        </w:tc>
      </w:tr>
      <w:tr w14:paraId="72B68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98" w:type="dxa"/>
            <w:tcBorders>
              <w:left w:val="single" w:color="000000" w:sz="10" w:space="0"/>
            </w:tcBorders>
            <w:vAlign w:val="center"/>
          </w:tcPr>
          <w:p w14:paraId="1541F849">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气温（℃）</w:t>
            </w:r>
          </w:p>
        </w:tc>
        <w:tc>
          <w:tcPr>
            <w:tcW w:w="614" w:type="dxa"/>
            <w:vAlign w:val="bottom"/>
          </w:tcPr>
          <w:p w14:paraId="2EF114B9">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-16.1 </w:t>
            </w:r>
          </w:p>
        </w:tc>
        <w:tc>
          <w:tcPr>
            <w:tcW w:w="613" w:type="dxa"/>
            <w:vAlign w:val="bottom"/>
          </w:tcPr>
          <w:p w14:paraId="11B7CE47">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-10.0 </w:t>
            </w:r>
          </w:p>
        </w:tc>
        <w:tc>
          <w:tcPr>
            <w:tcW w:w="614" w:type="dxa"/>
            <w:vAlign w:val="bottom"/>
          </w:tcPr>
          <w:p w14:paraId="3EF2243D">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-1.7 </w:t>
            </w:r>
          </w:p>
        </w:tc>
        <w:tc>
          <w:tcPr>
            <w:tcW w:w="614" w:type="dxa"/>
            <w:vAlign w:val="bottom"/>
          </w:tcPr>
          <w:p w14:paraId="0601E260">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10.1 </w:t>
            </w:r>
          </w:p>
        </w:tc>
        <w:tc>
          <w:tcPr>
            <w:tcW w:w="614" w:type="dxa"/>
            <w:vAlign w:val="bottom"/>
          </w:tcPr>
          <w:p w14:paraId="18E71ACA">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15.6 </w:t>
            </w:r>
          </w:p>
        </w:tc>
        <w:tc>
          <w:tcPr>
            <w:tcW w:w="614" w:type="dxa"/>
            <w:vAlign w:val="bottom"/>
          </w:tcPr>
          <w:p w14:paraId="39A5CAA1">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20.2 </w:t>
            </w:r>
          </w:p>
        </w:tc>
        <w:tc>
          <w:tcPr>
            <w:tcW w:w="614" w:type="dxa"/>
            <w:vAlign w:val="bottom"/>
          </w:tcPr>
          <w:p w14:paraId="15FCA802">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25.2 </w:t>
            </w:r>
          </w:p>
        </w:tc>
        <w:tc>
          <w:tcPr>
            <w:tcW w:w="614" w:type="dxa"/>
            <w:vAlign w:val="bottom"/>
          </w:tcPr>
          <w:p w14:paraId="2D6BBC5B">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23.3 </w:t>
            </w:r>
          </w:p>
        </w:tc>
        <w:tc>
          <w:tcPr>
            <w:tcW w:w="614" w:type="dxa"/>
            <w:vAlign w:val="bottom"/>
          </w:tcPr>
          <w:p w14:paraId="0382B783">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16.8 </w:t>
            </w:r>
          </w:p>
        </w:tc>
        <w:tc>
          <w:tcPr>
            <w:tcW w:w="615" w:type="dxa"/>
            <w:vAlign w:val="bottom"/>
          </w:tcPr>
          <w:p w14:paraId="35385420">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7.8 </w:t>
            </w:r>
          </w:p>
        </w:tc>
        <w:tc>
          <w:tcPr>
            <w:tcW w:w="615" w:type="dxa"/>
            <w:vAlign w:val="bottom"/>
          </w:tcPr>
          <w:p w14:paraId="03C3F84D">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-2.5 </w:t>
            </w:r>
          </w:p>
        </w:tc>
        <w:tc>
          <w:tcPr>
            <w:tcW w:w="617" w:type="dxa"/>
            <w:vAlign w:val="bottom"/>
          </w:tcPr>
          <w:p w14:paraId="6F3C1722">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-13.2 </w:t>
            </w:r>
          </w:p>
        </w:tc>
        <w:tc>
          <w:tcPr>
            <w:tcW w:w="631" w:type="dxa"/>
            <w:tcBorders>
              <w:right w:val="single" w:color="000000" w:sz="10" w:space="0"/>
            </w:tcBorders>
            <w:vAlign w:val="center"/>
          </w:tcPr>
          <w:p w14:paraId="0C70BB58">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6.3</w:t>
            </w:r>
          </w:p>
        </w:tc>
      </w:tr>
    </w:tbl>
    <w:p w14:paraId="38AB10DA">
      <w:pPr>
        <w:widowControl w:val="0"/>
        <w:jc w:val="center"/>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rPr>
        <w:drawing>
          <wp:inline distT="0" distB="0" distL="0" distR="0">
            <wp:extent cx="3905885" cy="2339975"/>
            <wp:effectExtent l="0" t="0" r="18415"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0"/>
                    <a:stretch>
                      <a:fillRect/>
                    </a:stretch>
                  </pic:blipFill>
                  <pic:spPr>
                    <a:xfrm>
                      <a:off x="0" y="0"/>
                      <a:ext cx="3905885" cy="2339975"/>
                    </a:xfrm>
                    <a:prstGeom prst="rect">
                      <a:avLst/>
                    </a:prstGeom>
                  </pic:spPr>
                </pic:pic>
              </a:graphicData>
            </a:graphic>
          </wp:inline>
        </w:drawing>
      </w:r>
    </w:p>
    <w:p w14:paraId="5D5446BC">
      <w:pPr>
        <w:widowControl w:val="0"/>
        <w:jc w:val="center"/>
        <w:rPr>
          <w:rFonts w:hint="default" w:ascii="Times New Roman" w:hAnsi="Times New Roman" w:eastAsia="宋体" w:cs="Times New Roman"/>
          <w:b/>
          <w:bCs/>
          <w:color w:val="auto"/>
          <w:w w:val="99"/>
          <w:highlight w:val="none"/>
          <w:lang w:val="zh-CN"/>
        </w:rPr>
      </w:pPr>
      <w:r>
        <w:rPr>
          <w:rFonts w:hint="default" w:ascii="Times New Roman" w:hAnsi="Times New Roman" w:eastAsia="宋体" w:cs="Times New Roman"/>
          <w:b/>
          <w:bCs/>
          <w:color w:val="auto"/>
          <w:w w:val="99"/>
          <w:highlight w:val="none"/>
          <w:lang w:val="zh-CN"/>
        </w:rPr>
        <w:t>图5.1-</w:t>
      </w:r>
      <w:r>
        <w:rPr>
          <w:rFonts w:hint="eastAsia" w:ascii="Times New Roman" w:hAnsi="Times New Roman" w:eastAsia="宋体" w:cs="Times New Roman"/>
          <w:b/>
          <w:bCs/>
          <w:color w:val="auto"/>
          <w:w w:val="99"/>
          <w:highlight w:val="none"/>
          <w:lang w:val="en-US" w:eastAsia="zh-CN"/>
        </w:rPr>
        <w:t>7</w:t>
      </w:r>
      <w:r>
        <w:rPr>
          <w:rFonts w:hint="default" w:ascii="Times New Roman" w:hAnsi="Times New Roman" w:eastAsia="宋体" w:cs="Times New Roman"/>
          <w:b/>
          <w:bCs/>
          <w:color w:val="auto"/>
          <w:w w:val="99"/>
          <w:highlight w:val="none"/>
          <w:lang w:val="zh-CN"/>
        </w:rPr>
        <w:t xml:space="preserve">  年平均温度变化曲线图</w:t>
      </w:r>
    </w:p>
    <w:p w14:paraId="4D149126">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由上表可知，近1年的平均温度为6.3℃，4-10月份高于全年平均气温，其它月份小于全年平均值，7月份平均气温最高为25.2℃，1月份温度最低为-16.1℃。</w:t>
      </w:r>
    </w:p>
    <w:p w14:paraId="5F42AE8F">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（3）风速统计分析</w:t>
      </w:r>
    </w:p>
    <w:p w14:paraId="02D196FB">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年平均风速为2.9m/s，4-5月份平均风速最大为3.6m/s；12月份平均风速最小为2.2m/s。年平均风速月变化统计见表5.1-6和图5.1-</w:t>
      </w:r>
      <w:r>
        <w:rPr>
          <w:rFonts w:hint="eastAsia" w:ascii="Times New Roman" w:hAnsi="Times New Roman" w:eastAsia="宋体" w:cs="Times New Roman"/>
          <w:color w:val="auto"/>
          <w:w w:val="99"/>
          <w:highlight w:val="none"/>
          <w:lang w:val="en-US" w:eastAsia="zh-CN"/>
        </w:rPr>
        <w:t>8</w:t>
      </w:r>
      <w:r>
        <w:rPr>
          <w:rFonts w:hint="default" w:ascii="Times New Roman" w:hAnsi="Times New Roman" w:eastAsia="宋体" w:cs="Times New Roman"/>
          <w:color w:val="auto"/>
          <w:w w:val="99"/>
          <w:highlight w:val="none"/>
          <w:lang w:val="zh-CN"/>
        </w:rPr>
        <w:t>。</w:t>
      </w:r>
    </w:p>
    <w:p w14:paraId="3752464B">
      <w:pPr>
        <w:pStyle w:val="153"/>
        <w:widowControl w:val="0"/>
        <w:spacing w:line="440" w:lineRule="exact"/>
        <w:ind w:firstLine="476" w:firstLineChars="200"/>
        <w:jc w:val="both"/>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表5.1-6    年平均风速统计表</w:t>
      </w:r>
    </w:p>
    <w:tbl>
      <w:tblPr>
        <w:tblStyle w:val="1662"/>
        <w:tblW w:w="910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1"/>
        <w:gridCol w:w="567"/>
        <w:gridCol w:w="567"/>
        <w:gridCol w:w="549"/>
        <w:gridCol w:w="614"/>
        <w:gridCol w:w="615"/>
        <w:gridCol w:w="614"/>
        <w:gridCol w:w="615"/>
        <w:gridCol w:w="614"/>
        <w:gridCol w:w="614"/>
        <w:gridCol w:w="615"/>
        <w:gridCol w:w="616"/>
        <w:gridCol w:w="619"/>
        <w:gridCol w:w="631"/>
      </w:tblGrid>
      <w:tr w14:paraId="2B4F0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51" w:type="dxa"/>
            <w:tcBorders>
              <w:left w:val="single" w:color="000000" w:sz="10" w:space="0"/>
            </w:tcBorders>
            <w:vAlign w:val="center"/>
          </w:tcPr>
          <w:p w14:paraId="55922D79">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月份</w:t>
            </w:r>
          </w:p>
        </w:tc>
        <w:tc>
          <w:tcPr>
            <w:tcW w:w="567" w:type="dxa"/>
            <w:vAlign w:val="center"/>
          </w:tcPr>
          <w:p w14:paraId="5B155CB1">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1月</w:t>
            </w:r>
          </w:p>
        </w:tc>
        <w:tc>
          <w:tcPr>
            <w:tcW w:w="567" w:type="dxa"/>
            <w:vAlign w:val="center"/>
          </w:tcPr>
          <w:p w14:paraId="1DC9C279">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2月</w:t>
            </w:r>
          </w:p>
        </w:tc>
        <w:tc>
          <w:tcPr>
            <w:tcW w:w="549" w:type="dxa"/>
            <w:vAlign w:val="center"/>
          </w:tcPr>
          <w:p w14:paraId="5048397F">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3月</w:t>
            </w:r>
          </w:p>
        </w:tc>
        <w:tc>
          <w:tcPr>
            <w:tcW w:w="614" w:type="dxa"/>
            <w:vAlign w:val="center"/>
          </w:tcPr>
          <w:p w14:paraId="27B96026">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4月</w:t>
            </w:r>
          </w:p>
        </w:tc>
        <w:tc>
          <w:tcPr>
            <w:tcW w:w="615" w:type="dxa"/>
            <w:vAlign w:val="center"/>
          </w:tcPr>
          <w:p w14:paraId="0A6C4462">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5月</w:t>
            </w:r>
          </w:p>
        </w:tc>
        <w:tc>
          <w:tcPr>
            <w:tcW w:w="614" w:type="dxa"/>
            <w:vAlign w:val="center"/>
          </w:tcPr>
          <w:p w14:paraId="5D3B9EDD">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6月</w:t>
            </w:r>
          </w:p>
        </w:tc>
        <w:tc>
          <w:tcPr>
            <w:tcW w:w="615" w:type="dxa"/>
            <w:vAlign w:val="center"/>
          </w:tcPr>
          <w:p w14:paraId="7EC1E62E">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7月</w:t>
            </w:r>
          </w:p>
        </w:tc>
        <w:tc>
          <w:tcPr>
            <w:tcW w:w="614" w:type="dxa"/>
            <w:vAlign w:val="center"/>
          </w:tcPr>
          <w:p w14:paraId="51AC92CD">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8月</w:t>
            </w:r>
          </w:p>
        </w:tc>
        <w:tc>
          <w:tcPr>
            <w:tcW w:w="614" w:type="dxa"/>
            <w:vAlign w:val="center"/>
          </w:tcPr>
          <w:p w14:paraId="32A50ABA">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9月</w:t>
            </w:r>
          </w:p>
        </w:tc>
        <w:tc>
          <w:tcPr>
            <w:tcW w:w="615" w:type="dxa"/>
            <w:vAlign w:val="center"/>
          </w:tcPr>
          <w:p w14:paraId="63BF5C59">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10月</w:t>
            </w:r>
          </w:p>
        </w:tc>
        <w:tc>
          <w:tcPr>
            <w:tcW w:w="616" w:type="dxa"/>
            <w:vAlign w:val="center"/>
          </w:tcPr>
          <w:p w14:paraId="6B7CE29A">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11月</w:t>
            </w:r>
          </w:p>
        </w:tc>
        <w:tc>
          <w:tcPr>
            <w:tcW w:w="619" w:type="dxa"/>
            <w:vAlign w:val="center"/>
          </w:tcPr>
          <w:p w14:paraId="22C712C4">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12月</w:t>
            </w:r>
          </w:p>
        </w:tc>
        <w:tc>
          <w:tcPr>
            <w:tcW w:w="631" w:type="dxa"/>
            <w:tcBorders>
              <w:right w:val="single" w:color="000000" w:sz="10" w:space="0"/>
            </w:tcBorders>
            <w:vAlign w:val="center"/>
          </w:tcPr>
          <w:p w14:paraId="77A64253">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全年</w:t>
            </w:r>
          </w:p>
        </w:tc>
      </w:tr>
      <w:tr w14:paraId="095F7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51" w:type="dxa"/>
            <w:tcBorders>
              <w:left w:val="single" w:color="000000" w:sz="10" w:space="0"/>
            </w:tcBorders>
            <w:vAlign w:val="center"/>
          </w:tcPr>
          <w:p w14:paraId="631065C7">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风速（m/s）</w:t>
            </w:r>
          </w:p>
        </w:tc>
        <w:tc>
          <w:tcPr>
            <w:tcW w:w="567" w:type="dxa"/>
            <w:vAlign w:val="bottom"/>
          </w:tcPr>
          <w:p w14:paraId="2EFC59AD">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2.5 </w:t>
            </w:r>
          </w:p>
        </w:tc>
        <w:tc>
          <w:tcPr>
            <w:tcW w:w="567" w:type="dxa"/>
            <w:vAlign w:val="bottom"/>
          </w:tcPr>
          <w:p w14:paraId="33B89633">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2.7 </w:t>
            </w:r>
          </w:p>
        </w:tc>
        <w:tc>
          <w:tcPr>
            <w:tcW w:w="549" w:type="dxa"/>
            <w:vAlign w:val="bottom"/>
          </w:tcPr>
          <w:p w14:paraId="488D8A37">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3.1 </w:t>
            </w:r>
          </w:p>
        </w:tc>
        <w:tc>
          <w:tcPr>
            <w:tcW w:w="614" w:type="dxa"/>
            <w:vAlign w:val="bottom"/>
          </w:tcPr>
          <w:p w14:paraId="400B4A89">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3.6 </w:t>
            </w:r>
          </w:p>
        </w:tc>
        <w:tc>
          <w:tcPr>
            <w:tcW w:w="615" w:type="dxa"/>
            <w:vAlign w:val="bottom"/>
          </w:tcPr>
          <w:p w14:paraId="19A71B6F">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3.6 </w:t>
            </w:r>
          </w:p>
        </w:tc>
        <w:tc>
          <w:tcPr>
            <w:tcW w:w="614" w:type="dxa"/>
            <w:vAlign w:val="bottom"/>
          </w:tcPr>
          <w:p w14:paraId="062E25B9">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3.0 </w:t>
            </w:r>
          </w:p>
        </w:tc>
        <w:tc>
          <w:tcPr>
            <w:tcW w:w="615" w:type="dxa"/>
            <w:vAlign w:val="bottom"/>
          </w:tcPr>
          <w:p w14:paraId="316063BC">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2.7 </w:t>
            </w:r>
          </w:p>
        </w:tc>
        <w:tc>
          <w:tcPr>
            <w:tcW w:w="614" w:type="dxa"/>
            <w:vAlign w:val="bottom"/>
          </w:tcPr>
          <w:p w14:paraId="25985E3D">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2.3 </w:t>
            </w:r>
          </w:p>
        </w:tc>
        <w:tc>
          <w:tcPr>
            <w:tcW w:w="614" w:type="dxa"/>
            <w:vAlign w:val="bottom"/>
          </w:tcPr>
          <w:p w14:paraId="594075F8">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3.0 </w:t>
            </w:r>
          </w:p>
        </w:tc>
        <w:tc>
          <w:tcPr>
            <w:tcW w:w="615" w:type="dxa"/>
            <w:vAlign w:val="bottom"/>
          </w:tcPr>
          <w:p w14:paraId="42CF3F14">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3.0 </w:t>
            </w:r>
          </w:p>
        </w:tc>
        <w:tc>
          <w:tcPr>
            <w:tcW w:w="616" w:type="dxa"/>
            <w:vAlign w:val="bottom"/>
          </w:tcPr>
          <w:p w14:paraId="198839D1">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2.8 </w:t>
            </w:r>
          </w:p>
        </w:tc>
        <w:tc>
          <w:tcPr>
            <w:tcW w:w="619" w:type="dxa"/>
            <w:vAlign w:val="bottom"/>
          </w:tcPr>
          <w:p w14:paraId="1AA31283">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18"/>
                <w:szCs w:val="18"/>
                <w:highlight w:val="none"/>
                <w:lang w:eastAsia="en-US"/>
              </w:rPr>
              <w:t xml:space="preserve">2.2 </w:t>
            </w:r>
          </w:p>
        </w:tc>
        <w:tc>
          <w:tcPr>
            <w:tcW w:w="631" w:type="dxa"/>
            <w:tcBorders>
              <w:right w:val="single" w:color="000000" w:sz="10" w:space="0"/>
            </w:tcBorders>
            <w:vAlign w:val="center"/>
          </w:tcPr>
          <w:p w14:paraId="5F62FA92">
            <w:pPr>
              <w:widowControl w:val="0"/>
              <w:spacing w:line="320" w:lineRule="exact"/>
              <w:jc w:val="center"/>
              <w:rPr>
                <w:rFonts w:hint="default" w:ascii="Times New Roman" w:hAnsi="Times New Roman" w:eastAsia="宋体" w:cs="Times New Roman"/>
                <w:color w:val="auto"/>
                <w:w w:val="99"/>
                <w:sz w:val="20"/>
                <w:szCs w:val="20"/>
                <w:highlight w:val="none"/>
                <w:lang w:eastAsia="en-US"/>
              </w:rPr>
            </w:pPr>
            <w:r>
              <w:rPr>
                <w:rFonts w:hint="default" w:ascii="Times New Roman" w:hAnsi="Times New Roman" w:eastAsia="宋体" w:cs="Times New Roman"/>
                <w:color w:val="auto"/>
                <w:w w:val="99"/>
                <w:sz w:val="20"/>
                <w:szCs w:val="20"/>
                <w:highlight w:val="none"/>
                <w:lang w:eastAsia="en-US"/>
              </w:rPr>
              <w:t>2.9</w:t>
            </w:r>
          </w:p>
        </w:tc>
      </w:tr>
    </w:tbl>
    <w:p w14:paraId="471BFFEF">
      <w:pPr>
        <w:widowControl w:val="0"/>
        <w:jc w:val="center"/>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rPr>
        <w:drawing>
          <wp:inline distT="0" distB="0" distL="0" distR="0">
            <wp:extent cx="3890645" cy="2324100"/>
            <wp:effectExtent l="0" t="0" r="1460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1"/>
                    <a:stretch>
                      <a:fillRect/>
                    </a:stretch>
                  </pic:blipFill>
                  <pic:spPr>
                    <a:xfrm>
                      <a:off x="0" y="0"/>
                      <a:ext cx="3898557" cy="2328562"/>
                    </a:xfrm>
                    <a:prstGeom prst="rect">
                      <a:avLst/>
                    </a:prstGeom>
                  </pic:spPr>
                </pic:pic>
              </a:graphicData>
            </a:graphic>
          </wp:inline>
        </w:drawing>
      </w:r>
    </w:p>
    <w:p w14:paraId="5DF825DB">
      <w:pPr>
        <w:widowControl w:val="0"/>
        <w:jc w:val="center"/>
        <w:rPr>
          <w:rFonts w:hint="default" w:ascii="Times New Roman" w:hAnsi="Times New Roman" w:eastAsia="宋体" w:cs="Times New Roman"/>
          <w:b/>
          <w:bCs/>
          <w:color w:val="auto"/>
          <w:w w:val="99"/>
          <w:highlight w:val="none"/>
          <w:lang w:val="zh-CN"/>
        </w:rPr>
      </w:pPr>
      <w:r>
        <w:rPr>
          <w:rFonts w:hint="default" w:ascii="Times New Roman" w:hAnsi="Times New Roman" w:eastAsia="宋体" w:cs="Times New Roman"/>
          <w:b/>
          <w:bCs/>
          <w:color w:val="auto"/>
          <w:w w:val="99"/>
          <w:highlight w:val="none"/>
          <w:lang w:val="zh-CN"/>
        </w:rPr>
        <w:t>图5.1-</w:t>
      </w:r>
      <w:r>
        <w:rPr>
          <w:rFonts w:hint="eastAsia" w:ascii="Times New Roman" w:hAnsi="Times New Roman" w:eastAsia="宋体" w:cs="Times New Roman"/>
          <w:b/>
          <w:bCs/>
          <w:color w:val="auto"/>
          <w:w w:val="99"/>
          <w:highlight w:val="none"/>
          <w:lang w:val="en-US" w:eastAsia="zh-CN"/>
        </w:rPr>
        <w:t>8</w:t>
      </w:r>
      <w:r>
        <w:rPr>
          <w:rFonts w:hint="default" w:ascii="Times New Roman" w:hAnsi="Times New Roman" w:eastAsia="宋体" w:cs="Times New Roman"/>
          <w:b/>
          <w:bCs/>
          <w:color w:val="auto"/>
          <w:w w:val="99"/>
          <w:highlight w:val="none"/>
          <w:lang w:val="zh-CN"/>
        </w:rPr>
        <w:t xml:space="preserve">  年平均风速月变化曲线图</w:t>
      </w:r>
    </w:p>
    <w:p w14:paraId="4F7AC4E2">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季小时平均风速的日变化见表5.1-7和图5.1-</w:t>
      </w:r>
      <w:r>
        <w:rPr>
          <w:rFonts w:hint="eastAsia" w:ascii="Times New Roman" w:hAnsi="Times New Roman" w:eastAsia="宋体" w:cs="Times New Roman"/>
          <w:color w:val="auto"/>
          <w:w w:val="99"/>
          <w:highlight w:val="none"/>
          <w:lang w:val="en-US" w:eastAsia="zh-CN"/>
        </w:rPr>
        <w:t>9</w:t>
      </w:r>
      <w:r>
        <w:rPr>
          <w:rFonts w:hint="default" w:ascii="Times New Roman" w:hAnsi="Times New Roman" w:eastAsia="宋体" w:cs="Times New Roman"/>
          <w:color w:val="auto"/>
          <w:w w:val="99"/>
          <w:highlight w:val="none"/>
          <w:lang w:val="zh-CN"/>
        </w:rPr>
        <w:t>。</w:t>
      </w:r>
    </w:p>
    <w:p w14:paraId="37CE8AB3">
      <w:pPr>
        <w:pStyle w:val="153"/>
        <w:widowControl w:val="0"/>
        <w:spacing w:line="440" w:lineRule="exact"/>
        <w:ind w:firstLine="476" w:firstLineChars="200"/>
        <w:jc w:val="both"/>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表5.1-7    季小时平均风速的日变化（单位：m/s)</w:t>
      </w:r>
    </w:p>
    <w:tbl>
      <w:tblPr>
        <w:tblStyle w:val="80"/>
        <w:tblW w:w="9077" w:type="dxa"/>
        <w:tblInd w:w="0" w:type="dxa"/>
        <w:tblLayout w:type="autofit"/>
        <w:tblCellMar>
          <w:top w:w="0" w:type="dxa"/>
          <w:left w:w="108" w:type="dxa"/>
          <w:bottom w:w="0" w:type="dxa"/>
          <w:right w:w="108" w:type="dxa"/>
        </w:tblCellMar>
      </w:tblPr>
      <w:tblGrid>
        <w:gridCol w:w="1037"/>
        <w:gridCol w:w="670"/>
        <w:gridCol w:w="670"/>
        <w:gridCol w:w="670"/>
        <w:gridCol w:w="670"/>
        <w:gridCol w:w="670"/>
        <w:gridCol w:w="670"/>
        <w:gridCol w:w="670"/>
        <w:gridCol w:w="670"/>
        <w:gridCol w:w="670"/>
        <w:gridCol w:w="670"/>
        <w:gridCol w:w="670"/>
        <w:gridCol w:w="670"/>
      </w:tblGrid>
      <w:tr w14:paraId="3F806135">
        <w:tblPrEx>
          <w:tblCellMar>
            <w:top w:w="0" w:type="dxa"/>
            <w:left w:w="108" w:type="dxa"/>
            <w:bottom w:w="0" w:type="dxa"/>
            <w:right w:w="108" w:type="dxa"/>
          </w:tblCellMar>
        </w:tblPrEx>
        <w:trPr>
          <w:trHeight w:val="471" w:hRule="atLeast"/>
        </w:trPr>
        <w:tc>
          <w:tcPr>
            <w:tcW w:w="1037" w:type="dxa"/>
            <w:tcBorders>
              <w:top w:val="single" w:color="auto" w:sz="8" w:space="0"/>
              <w:left w:val="single" w:color="auto" w:sz="8" w:space="0"/>
              <w:bottom w:val="single" w:color="auto" w:sz="8" w:space="0"/>
              <w:right w:val="single" w:color="auto" w:sz="8" w:space="0"/>
              <w:tl2br w:val="single" w:color="auto" w:sz="8" w:space="0"/>
            </w:tcBorders>
            <w:shd w:val="clear" w:color="auto" w:fill="auto"/>
            <w:vAlign w:val="center"/>
          </w:tcPr>
          <w:p w14:paraId="57742590">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 xml:space="preserve">   小时</w:t>
            </w:r>
          </w:p>
          <w:p w14:paraId="6BA1005A">
            <w:pP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风速</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56750C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6DCE928">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52A7C39">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3E5CD81">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44434EE">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5</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1971E89">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6</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0BBE6AF">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7</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10F92E3">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8</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121A43E">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9</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6F380E6">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10</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F21F0D5">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9DBC288">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12</w:t>
            </w:r>
          </w:p>
        </w:tc>
      </w:tr>
      <w:tr w14:paraId="67E52B86">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shd w:val="clear" w:color="auto" w:fill="auto"/>
            <w:noWrap/>
            <w:vAlign w:val="center"/>
          </w:tcPr>
          <w:p w14:paraId="4C7A2DF2">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春季</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98BE029">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2.7</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9FEEEF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2.6</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07B819A">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2.6</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256C5B6">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2.5</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F787093">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2.7</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11D06A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2.8</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640424C">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3.2</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B6DA193">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3.8</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2AC2FC8">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4.2</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69234BE">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6203C52">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4.6</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98CCE0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4.8</w:t>
            </w:r>
          </w:p>
        </w:tc>
      </w:tr>
      <w:tr w14:paraId="462F1108">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shd w:val="clear" w:color="auto" w:fill="auto"/>
            <w:noWrap/>
            <w:vAlign w:val="center"/>
          </w:tcPr>
          <w:p w14:paraId="0C7DB59F">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夏季</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61539EC">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2.0</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FF957B7">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1.9</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9DE28BA">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2.0</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080070A">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2.0</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D7BC3E6">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EDC213B">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D1ECFF8">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2.7</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540CD18">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2.9</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CE95907">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379DB97">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EBAC736">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272BE91">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3.3</w:t>
            </w:r>
          </w:p>
        </w:tc>
      </w:tr>
      <w:tr w14:paraId="637F42A3">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shd w:val="clear" w:color="auto" w:fill="auto"/>
            <w:noWrap/>
            <w:vAlign w:val="center"/>
          </w:tcPr>
          <w:p w14:paraId="32CC7EAC">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秋季</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241A64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2.5</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CCB471B">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CE3725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2.5</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C23CB10">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C37FEDE">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192C907">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F263A7B">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2.5</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76104D1">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2.9</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715B4B8">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8B0EFB2">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3.6</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71CE4B0">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3.9</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F855BB3">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4.0</w:t>
            </w:r>
          </w:p>
        </w:tc>
      </w:tr>
      <w:tr w14:paraId="432BA51F">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shd w:val="clear" w:color="auto" w:fill="auto"/>
            <w:noWrap/>
            <w:vAlign w:val="center"/>
          </w:tcPr>
          <w:p w14:paraId="205A92EF">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冬季</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6FB2578">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9589D1C">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2.2</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2282582">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2.2</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EF31E31">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23E936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2.2</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0763B12">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2.2</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0C54196">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17896F0">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91C25FE">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2.6</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AEC04E1">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3.0</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55D50AF">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DC03B0E">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3.3</w:t>
            </w:r>
          </w:p>
        </w:tc>
      </w:tr>
      <w:tr w14:paraId="7D213038">
        <w:tblPrEx>
          <w:tblCellMar>
            <w:top w:w="0" w:type="dxa"/>
            <w:left w:w="108" w:type="dxa"/>
            <w:bottom w:w="0" w:type="dxa"/>
            <w:right w:w="108" w:type="dxa"/>
          </w:tblCellMar>
        </w:tblPrEx>
        <w:trPr>
          <w:trHeight w:val="418" w:hRule="atLeast"/>
        </w:trPr>
        <w:tc>
          <w:tcPr>
            <w:tcW w:w="1037" w:type="dxa"/>
            <w:tcBorders>
              <w:top w:val="single" w:color="auto" w:sz="8" w:space="0"/>
              <w:left w:val="single" w:color="auto" w:sz="8" w:space="0"/>
              <w:bottom w:val="single" w:color="auto" w:sz="8" w:space="0"/>
              <w:right w:val="single" w:color="auto" w:sz="8" w:space="0"/>
              <w:tl2br w:val="single" w:color="auto" w:sz="8" w:space="0"/>
            </w:tcBorders>
            <w:shd w:val="clear" w:color="auto" w:fill="auto"/>
            <w:vAlign w:val="center"/>
          </w:tcPr>
          <w:p w14:paraId="01C01875">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 xml:space="preserve">   小时</w:t>
            </w:r>
          </w:p>
          <w:p w14:paraId="513553B0">
            <w:pP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风速</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F2E052A">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DEEB1E2">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02E8F8C">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15</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004624A">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16</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BFB4602">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17</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1C88AA6">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18</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F55776C">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19</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F6CC662">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20</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D424B11">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7CEB815">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22</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4741115">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A22AC09">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24</w:t>
            </w:r>
          </w:p>
        </w:tc>
      </w:tr>
      <w:tr w14:paraId="532228BB">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shd w:val="clear" w:color="auto" w:fill="auto"/>
            <w:noWrap/>
            <w:vAlign w:val="center"/>
          </w:tcPr>
          <w:p w14:paraId="1D492B8B">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春季</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B60477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4.8</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A2ABC22">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4.8</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F8D4708">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5C2A1CF">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4.2</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FD85EDE">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3.8</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6401F1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3.0</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8362739">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2.7</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786562A">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2.6</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61EC174">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2.8</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87C2208">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2.8</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31295DC">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2.8</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FF1B56A">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2.9</w:t>
            </w:r>
          </w:p>
        </w:tc>
      </w:tr>
      <w:tr w14:paraId="058FC265">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shd w:val="clear" w:color="auto" w:fill="auto"/>
            <w:noWrap/>
            <w:vAlign w:val="center"/>
          </w:tcPr>
          <w:p w14:paraId="1F2F3026">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夏季</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43E831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3.5</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0BAF16B">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96A1AD5">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6361896">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A031EFE">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3.2</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8B1A4CF">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2.9</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A62F502">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9CA9627">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43BB5BA">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84D8433">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7DD8BF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7D6BD82">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2.0</w:t>
            </w:r>
          </w:p>
        </w:tc>
      </w:tr>
      <w:tr w14:paraId="0CE0D87F">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shd w:val="clear" w:color="auto" w:fill="auto"/>
            <w:noWrap/>
            <w:vAlign w:val="center"/>
          </w:tcPr>
          <w:p w14:paraId="4DE91795">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秋季</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78B5167">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EE054D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4.1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39C265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3.8</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3846C23">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3.2</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7D4201C">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2.6</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A7EA178">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4F7D023">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71E6D43">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0772544">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F4E3ACE">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5B4DE8F">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2.5</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17CA1DF5">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2.5</w:t>
            </w:r>
          </w:p>
        </w:tc>
      </w:tr>
      <w:tr w14:paraId="18385D0A">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shd w:val="clear" w:color="auto" w:fill="auto"/>
            <w:noWrap/>
            <w:vAlign w:val="center"/>
          </w:tcPr>
          <w:p w14:paraId="74DF8FE6">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冬季</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3752D87">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3.4</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2822A1A3">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422393A">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3.0</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495FF74">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2.5</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6E2CB62F">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4251F71D">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2.0</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3A56507">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2.0</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5D815BA8">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2.0</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6480C61">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08C5C585">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2.1</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32AF40E3">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2.3</w:t>
            </w:r>
          </w:p>
        </w:tc>
        <w:tc>
          <w:tcPr>
            <w:tcW w:w="670" w:type="dxa"/>
            <w:tcBorders>
              <w:top w:val="single" w:color="auto" w:sz="8" w:space="0"/>
              <w:left w:val="nil"/>
              <w:bottom w:val="single" w:color="auto" w:sz="8" w:space="0"/>
              <w:right w:val="single" w:color="auto" w:sz="8" w:space="0"/>
            </w:tcBorders>
            <w:shd w:val="clear" w:color="auto" w:fill="auto"/>
            <w:noWrap/>
            <w:vAlign w:val="center"/>
          </w:tcPr>
          <w:p w14:paraId="78AFB10E">
            <w:pPr>
              <w:jc w:val="center"/>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2.2</w:t>
            </w:r>
          </w:p>
        </w:tc>
      </w:tr>
    </w:tbl>
    <w:p w14:paraId="3F0BBDB5">
      <w:pPr>
        <w:widowControl w:val="0"/>
        <w:jc w:val="center"/>
        <w:rPr>
          <w:rFonts w:hint="default" w:ascii="Times New Roman" w:hAnsi="Times New Roman" w:eastAsia="宋体" w:cs="Times New Roman"/>
          <w:color w:val="0000FF"/>
          <w:w w:val="99"/>
          <w:highlight w:val="none"/>
          <w:lang w:val="zh-CN"/>
        </w:rPr>
      </w:pPr>
      <w:r>
        <w:rPr>
          <w:rFonts w:hint="default" w:ascii="Times New Roman" w:hAnsi="Times New Roman" w:eastAsia="宋体" w:cs="Times New Roman"/>
          <w:color w:val="0000FF"/>
          <w:w w:val="99"/>
          <w:highlight w:val="none"/>
        </w:rPr>
        <w:drawing>
          <wp:inline distT="0" distB="0" distL="0" distR="0">
            <wp:extent cx="4133850" cy="2425065"/>
            <wp:effectExtent l="0" t="0" r="0" b="133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4152962" cy="2436863"/>
                    </a:xfrm>
                    <a:prstGeom prst="rect">
                      <a:avLst/>
                    </a:prstGeom>
                    <a:noFill/>
                    <a:ln>
                      <a:noFill/>
                    </a:ln>
                  </pic:spPr>
                </pic:pic>
              </a:graphicData>
            </a:graphic>
          </wp:inline>
        </w:drawing>
      </w:r>
    </w:p>
    <w:p w14:paraId="41812ED2">
      <w:pPr>
        <w:widowControl w:val="0"/>
        <w:jc w:val="center"/>
        <w:rPr>
          <w:rFonts w:hint="default" w:ascii="Times New Roman" w:hAnsi="Times New Roman" w:eastAsia="宋体" w:cs="Times New Roman"/>
          <w:b/>
          <w:bCs/>
          <w:color w:val="auto"/>
          <w:w w:val="99"/>
          <w:highlight w:val="none"/>
          <w:lang w:val="zh-CN"/>
        </w:rPr>
      </w:pPr>
      <w:r>
        <w:rPr>
          <w:rFonts w:hint="default" w:ascii="Times New Roman" w:hAnsi="Times New Roman" w:eastAsia="宋体" w:cs="Times New Roman"/>
          <w:b/>
          <w:bCs/>
          <w:color w:val="auto"/>
          <w:w w:val="99"/>
          <w:highlight w:val="none"/>
          <w:lang w:val="zh-CN"/>
        </w:rPr>
        <w:t>图5.1-</w:t>
      </w:r>
      <w:r>
        <w:rPr>
          <w:rFonts w:hint="eastAsia" w:ascii="Times New Roman" w:hAnsi="Times New Roman" w:eastAsia="宋体" w:cs="Times New Roman"/>
          <w:b/>
          <w:bCs/>
          <w:color w:val="auto"/>
          <w:w w:val="99"/>
          <w:highlight w:val="none"/>
          <w:lang w:val="en-US" w:eastAsia="zh-CN"/>
        </w:rPr>
        <w:t>9</w:t>
      </w:r>
      <w:r>
        <w:rPr>
          <w:rFonts w:hint="default" w:ascii="Times New Roman" w:hAnsi="Times New Roman" w:eastAsia="宋体" w:cs="Times New Roman"/>
          <w:b/>
          <w:bCs/>
          <w:color w:val="auto"/>
          <w:w w:val="99"/>
          <w:highlight w:val="none"/>
          <w:lang w:val="zh-CN"/>
        </w:rPr>
        <w:t xml:space="preserve">   季小时平</w:t>
      </w:r>
      <w:r>
        <w:rPr>
          <w:rFonts w:hint="eastAsia" w:ascii="Times New Roman" w:hAnsi="Times New Roman" w:cs="Times New Roman"/>
          <w:b/>
          <w:bCs/>
          <w:color w:val="auto"/>
          <w:w w:val="99"/>
          <w:highlight w:val="none"/>
          <w:lang w:val="en-US" w:eastAsia="zh-CN"/>
        </w:rPr>
        <w:t>均</w:t>
      </w:r>
      <w:r>
        <w:rPr>
          <w:rFonts w:hint="default" w:ascii="Times New Roman" w:hAnsi="Times New Roman" w:eastAsia="宋体" w:cs="Times New Roman"/>
          <w:b/>
          <w:bCs/>
          <w:color w:val="auto"/>
          <w:w w:val="99"/>
          <w:highlight w:val="none"/>
          <w:lang w:val="zh-CN"/>
        </w:rPr>
        <w:t>风速日变化曲线图</w:t>
      </w:r>
    </w:p>
    <w:p w14:paraId="08DD9194">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上表给出了风速日变化趋势。由表可知，各季节内，风速较小值一般出现在夜间，风速在下午达到最大，有利于大气污染物的扩散。</w:t>
      </w:r>
    </w:p>
    <w:p w14:paraId="0900B2BD">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（4）风向、风频统计分析</w:t>
      </w:r>
    </w:p>
    <w:p w14:paraId="21C87090">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年均风频季变化及年均风频统计见表5.1-8和图5.1-1</w:t>
      </w:r>
      <w:r>
        <w:rPr>
          <w:rFonts w:hint="eastAsia" w:ascii="Times New Roman" w:hAnsi="Times New Roman" w:eastAsia="宋体" w:cs="Times New Roman"/>
          <w:color w:val="auto"/>
          <w:w w:val="99"/>
          <w:highlight w:val="none"/>
          <w:lang w:val="en-US" w:eastAsia="zh-CN"/>
        </w:rPr>
        <w:t>0</w:t>
      </w:r>
      <w:r>
        <w:rPr>
          <w:rFonts w:hint="default" w:ascii="Times New Roman" w:hAnsi="Times New Roman" w:eastAsia="宋体" w:cs="Times New Roman"/>
          <w:color w:val="auto"/>
          <w:w w:val="99"/>
          <w:highlight w:val="none"/>
          <w:lang w:val="zh-CN"/>
        </w:rPr>
        <w:t>。</w:t>
      </w:r>
    </w:p>
    <w:p w14:paraId="7E2C65A3">
      <w:pPr>
        <w:widowControl w:val="0"/>
        <w:spacing w:line="440" w:lineRule="exact"/>
        <w:ind w:firstLine="476" w:firstLineChars="200"/>
        <w:jc w:val="both"/>
        <w:rPr>
          <w:rFonts w:hint="default" w:ascii="Times New Roman" w:hAnsi="Times New Roman" w:eastAsia="宋体" w:cs="Times New Roman"/>
          <w:b/>
          <w:color w:val="auto"/>
          <w:w w:val="99"/>
          <w:sz w:val="24"/>
          <w:szCs w:val="24"/>
          <w:highlight w:val="none"/>
          <w:lang w:val="zh-CN" w:eastAsia="zh-CN" w:bidi="ar-SA"/>
        </w:rPr>
      </w:pPr>
      <w:r>
        <w:rPr>
          <w:rFonts w:hint="default" w:ascii="Times New Roman" w:hAnsi="Times New Roman" w:eastAsia="宋体" w:cs="Times New Roman"/>
          <w:b/>
          <w:color w:val="auto"/>
          <w:w w:val="99"/>
          <w:sz w:val="24"/>
          <w:szCs w:val="24"/>
          <w:highlight w:val="none"/>
          <w:lang w:val="zh-CN" w:eastAsia="zh-CN" w:bidi="ar-SA"/>
        </w:rPr>
        <w:t>表5.1-8     年均风频季变化及年均风频统计表      单位：%</w:t>
      </w:r>
    </w:p>
    <w:tbl>
      <w:tblPr>
        <w:tblStyle w:val="80"/>
        <w:tblW w:w="8978" w:type="dxa"/>
        <w:tblInd w:w="0" w:type="dxa"/>
        <w:tblLayout w:type="autofit"/>
        <w:tblCellMar>
          <w:top w:w="0" w:type="dxa"/>
          <w:left w:w="108" w:type="dxa"/>
          <w:bottom w:w="0" w:type="dxa"/>
          <w:right w:w="108" w:type="dxa"/>
        </w:tblCellMar>
      </w:tblPr>
      <w:tblGrid>
        <w:gridCol w:w="687"/>
        <w:gridCol w:w="452"/>
        <w:gridCol w:w="539"/>
        <w:gridCol w:w="453"/>
        <w:gridCol w:w="523"/>
        <w:gridCol w:w="453"/>
        <w:gridCol w:w="496"/>
        <w:gridCol w:w="453"/>
        <w:gridCol w:w="488"/>
        <w:gridCol w:w="492"/>
        <w:gridCol w:w="540"/>
        <w:gridCol w:w="492"/>
        <w:gridCol w:w="601"/>
        <w:gridCol w:w="453"/>
        <w:gridCol w:w="628"/>
        <w:gridCol w:w="492"/>
        <w:gridCol w:w="592"/>
        <w:gridCol w:w="453"/>
      </w:tblGrid>
      <w:tr w14:paraId="7977D51A">
        <w:tblPrEx>
          <w:tblCellMar>
            <w:top w:w="0" w:type="dxa"/>
            <w:left w:w="108" w:type="dxa"/>
            <w:bottom w:w="0" w:type="dxa"/>
            <w:right w:w="108" w:type="dxa"/>
          </w:tblCellMar>
        </w:tblPrEx>
        <w:trPr>
          <w:trHeight w:val="349" w:hRule="atLeast"/>
        </w:trPr>
        <w:tc>
          <w:tcPr>
            <w:tcW w:w="750" w:type="dxa"/>
            <w:tcBorders>
              <w:top w:val="single" w:color="auto" w:sz="8" w:space="0"/>
              <w:left w:val="single" w:color="auto" w:sz="8" w:space="0"/>
              <w:bottom w:val="single" w:color="auto" w:sz="8" w:space="0"/>
              <w:right w:val="single" w:color="auto" w:sz="8" w:space="0"/>
              <w:tl2br w:val="single" w:color="auto" w:sz="8" w:space="0"/>
            </w:tcBorders>
            <w:shd w:val="clear" w:color="auto" w:fill="auto"/>
            <w:vAlign w:val="center"/>
          </w:tcPr>
          <w:p w14:paraId="66F8115C">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风向</w:t>
            </w:r>
          </w:p>
          <w:p w14:paraId="5D590AD5">
            <w:pP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风频</w:t>
            </w:r>
          </w:p>
        </w:tc>
        <w:tc>
          <w:tcPr>
            <w:tcW w:w="484" w:type="dxa"/>
            <w:tcBorders>
              <w:top w:val="single" w:color="auto" w:sz="8" w:space="0"/>
              <w:left w:val="nil"/>
              <w:bottom w:val="nil"/>
              <w:right w:val="single" w:color="auto" w:sz="8" w:space="0"/>
            </w:tcBorders>
            <w:shd w:val="clear" w:color="auto" w:fill="auto"/>
            <w:noWrap/>
            <w:vAlign w:val="center"/>
          </w:tcPr>
          <w:p w14:paraId="4116318B">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N</w:t>
            </w:r>
          </w:p>
        </w:tc>
        <w:tc>
          <w:tcPr>
            <w:tcW w:w="484" w:type="dxa"/>
            <w:tcBorders>
              <w:top w:val="single" w:color="auto" w:sz="8" w:space="0"/>
              <w:left w:val="nil"/>
              <w:bottom w:val="nil"/>
              <w:right w:val="single" w:color="auto" w:sz="8" w:space="0"/>
            </w:tcBorders>
            <w:shd w:val="clear" w:color="auto" w:fill="auto"/>
            <w:noWrap/>
            <w:vAlign w:val="center"/>
          </w:tcPr>
          <w:p w14:paraId="65619A56">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NNE</w:t>
            </w:r>
          </w:p>
        </w:tc>
        <w:tc>
          <w:tcPr>
            <w:tcW w:w="484" w:type="dxa"/>
            <w:tcBorders>
              <w:top w:val="single" w:color="auto" w:sz="8" w:space="0"/>
              <w:left w:val="nil"/>
              <w:bottom w:val="nil"/>
              <w:right w:val="single" w:color="auto" w:sz="8" w:space="0"/>
            </w:tcBorders>
            <w:shd w:val="clear" w:color="auto" w:fill="auto"/>
            <w:noWrap/>
            <w:vAlign w:val="center"/>
          </w:tcPr>
          <w:p w14:paraId="25761025">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NE</w:t>
            </w:r>
          </w:p>
        </w:tc>
        <w:tc>
          <w:tcPr>
            <w:tcW w:w="484" w:type="dxa"/>
            <w:tcBorders>
              <w:top w:val="single" w:color="auto" w:sz="8" w:space="0"/>
              <w:left w:val="nil"/>
              <w:bottom w:val="nil"/>
              <w:right w:val="single" w:color="auto" w:sz="8" w:space="0"/>
            </w:tcBorders>
            <w:shd w:val="clear" w:color="auto" w:fill="auto"/>
            <w:noWrap/>
            <w:vAlign w:val="center"/>
          </w:tcPr>
          <w:p w14:paraId="30EC39CD">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ENE</w:t>
            </w:r>
          </w:p>
        </w:tc>
        <w:tc>
          <w:tcPr>
            <w:tcW w:w="484" w:type="dxa"/>
            <w:tcBorders>
              <w:top w:val="single" w:color="auto" w:sz="8" w:space="0"/>
              <w:left w:val="nil"/>
              <w:bottom w:val="nil"/>
              <w:right w:val="single" w:color="auto" w:sz="8" w:space="0"/>
            </w:tcBorders>
            <w:shd w:val="clear" w:color="auto" w:fill="auto"/>
            <w:noWrap/>
            <w:vAlign w:val="center"/>
          </w:tcPr>
          <w:p w14:paraId="1850E848">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E</w:t>
            </w:r>
          </w:p>
        </w:tc>
        <w:tc>
          <w:tcPr>
            <w:tcW w:w="484" w:type="dxa"/>
            <w:tcBorders>
              <w:top w:val="single" w:color="auto" w:sz="8" w:space="0"/>
              <w:left w:val="nil"/>
              <w:bottom w:val="nil"/>
              <w:right w:val="single" w:color="auto" w:sz="8" w:space="0"/>
            </w:tcBorders>
            <w:shd w:val="clear" w:color="auto" w:fill="auto"/>
            <w:noWrap/>
            <w:vAlign w:val="center"/>
          </w:tcPr>
          <w:p w14:paraId="5D596C9C">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ESE</w:t>
            </w:r>
          </w:p>
        </w:tc>
        <w:tc>
          <w:tcPr>
            <w:tcW w:w="484" w:type="dxa"/>
            <w:tcBorders>
              <w:top w:val="single" w:color="auto" w:sz="8" w:space="0"/>
              <w:left w:val="nil"/>
              <w:bottom w:val="nil"/>
              <w:right w:val="single" w:color="auto" w:sz="8" w:space="0"/>
            </w:tcBorders>
            <w:shd w:val="clear" w:color="auto" w:fill="auto"/>
            <w:noWrap/>
            <w:vAlign w:val="center"/>
          </w:tcPr>
          <w:p w14:paraId="1AA8EC7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SE</w:t>
            </w:r>
          </w:p>
        </w:tc>
        <w:tc>
          <w:tcPr>
            <w:tcW w:w="484" w:type="dxa"/>
            <w:tcBorders>
              <w:top w:val="single" w:color="auto" w:sz="8" w:space="0"/>
              <w:left w:val="nil"/>
              <w:bottom w:val="nil"/>
              <w:right w:val="single" w:color="auto" w:sz="8" w:space="0"/>
            </w:tcBorders>
            <w:shd w:val="clear" w:color="auto" w:fill="auto"/>
            <w:noWrap/>
            <w:vAlign w:val="center"/>
          </w:tcPr>
          <w:p w14:paraId="09419571">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SSE</w:t>
            </w:r>
          </w:p>
        </w:tc>
        <w:tc>
          <w:tcPr>
            <w:tcW w:w="484" w:type="dxa"/>
            <w:tcBorders>
              <w:top w:val="single" w:color="auto" w:sz="8" w:space="0"/>
              <w:left w:val="nil"/>
              <w:bottom w:val="nil"/>
              <w:right w:val="single" w:color="auto" w:sz="8" w:space="0"/>
            </w:tcBorders>
            <w:shd w:val="clear" w:color="auto" w:fill="auto"/>
            <w:noWrap/>
            <w:vAlign w:val="center"/>
          </w:tcPr>
          <w:p w14:paraId="641F5F7E">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S</w:t>
            </w:r>
          </w:p>
        </w:tc>
        <w:tc>
          <w:tcPr>
            <w:tcW w:w="484" w:type="dxa"/>
            <w:tcBorders>
              <w:top w:val="single" w:color="auto" w:sz="8" w:space="0"/>
              <w:left w:val="nil"/>
              <w:bottom w:val="nil"/>
              <w:right w:val="single" w:color="auto" w:sz="8" w:space="0"/>
            </w:tcBorders>
            <w:shd w:val="clear" w:color="auto" w:fill="auto"/>
            <w:noWrap/>
            <w:vAlign w:val="center"/>
          </w:tcPr>
          <w:p w14:paraId="02D208D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SSW</w:t>
            </w:r>
          </w:p>
        </w:tc>
        <w:tc>
          <w:tcPr>
            <w:tcW w:w="484" w:type="dxa"/>
            <w:tcBorders>
              <w:top w:val="single" w:color="auto" w:sz="8" w:space="0"/>
              <w:left w:val="nil"/>
              <w:bottom w:val="nil"/>
              <w:right w:val="single" w:color="auto" w:sz="8" w:space="0"/>
            </w:tcBorders>
            <w:shd w:val="clear" w:color="auto" w:fill="auto"/>
            <w:noWrap/>
            <w:vAlign w:val="center"/>
          </w:tcPr>
          <w:p w14:paraId="273DF2FE">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SW</w:t>
            </w:r>
          </w:p>
        </w:tc>
        <w:tc>
          <w:tcPr>
            <w:tcW w:w="484" w:type="dxa"/>
            <w:tcBorders>
              <w:top w:val="single" w:color="auto" w:sz="8" w:space="0"/>
              <w:left w:val="nil"/>
              <w:bottom w:val="nil"/>
              <w:right w:val="single" w:color="auto" w:sz="8" w:space="0"/>
            </w:tcBorders>
            <w:shd w:val="clear" w:color="auto" w:fill="auto"/>
            <w:noWrap/>
            <w:vAlign w:val="center"/>
          </w:tcPr>
          <w:p w14:paraId="3FC4830F">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WSW</w:t>
            </w:r>
          </w:p>
        </w:tc>
        <w:tc>
          <w:tcPr>
            <w:tcW w:w="484" w:type="dxa"/>
            <w:tcBorders>
              <w:top w:val="single" w:color="auto" w:sz="8" w:space="0"/>
              <w:left w:val="nil"/>
              <w:bottom w:val="nil"/>
              <w:right w:val="single" w:color="auto" w:sz="8" w:space="0"/>
            </w:tcBorders>
            <w:shd w:val="clear" w:color="auto" w:fill="auto"/>
            <w:noWrap/>
            <w:vAlign w:val="center"/>
          </w:tcPr>
          <w:p w14:paraId="6FF3185F">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W</w:t>
            </w:r>
          </w:p>
        </w:tc>
        <w:tc>
          <w:tcPr>
            <w:tcW w:w="484" w:type="dxa"/>
            <w:tcBorders>
              <w:top w:val="single" w:color="auto" w:sz="8" w:space="0"/>
              <w:left w:val="nil"/>
              <w:bottom w:val="nil"/>
              <w:right w:val="single" w:color="auto" w:sz="8" w:space="0"/>
            </w:tcBorders>
            <w:shd w:val="clear" w:color="auto" w:fill="auto"/>
            <w:noWrap/>
            <w:vAlign w:val="center"/>
          </w:tcPr>
          <w:p w14:paraId="216AD1BA">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WNW</w:t>
            </w:r>
          </w:p>
        </w:tc>
        <w:tc>
          <w:tcPr>
            <w:tcW w:w="484" w:type="dxa"/>
            <w:tcBorders>
              <w:top w:val="single" w:color="auto" w:sz="8" w:space="0"/>
              <w:left w:val="nil"/>
              <w:bottom w:val="nil"/>
              <w:right w:val="single" w:color="auto" w:sz="8" w:space="0"/>
            </w:tcBorders>
            <w:shd w:val="clear" w:color="auto" w:fill="auto"/>
            <w:noWrap/>
            <w:vAlign w:val="center"/>
          </w:tcPr>
          <w:p w14:paraId="4E9056CA">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NW</w:t>
            </w:r>
          </w:p>
        </w:tc>
        <w:tc>
          <w:tcPr>
            <w:tcW w:w="484" w:type="dxa"/>
            <w:tcBorders>
              <w:top w:val="single" w:color="auto" w:sz="8" w:space="0"/>
              <w:left w:val="nil"/>
              <w:bottom w:val="nil"/>
              <w:right w:val="single" w:color="auto" w:sz="8" w:space="0"/>
            </w:tcBorders>
            <w:shd w:val="clear" w:color="auto" w:fill="auto"/>
            <w:noWrap/>
            <w:vAlign w:val="center"/>
          </w:tcPr>
          <w:p w14:paraId="4F81753D">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NNW</w:t>
            </w:r>
          </w:p>
        </w:tc>
        <w:tc>
          <w:tcPr>
            <w:tcW w:w="484" w:type="dxa"/>
            <w:tcBorders>
              <w:top w:val="single" w:color="auto" w:sz="8" w:space="0"/>
              <w:left w:val="nil"/>
              <w:bottom w:val="nil"/>
              <w:right w:val="single" w:color="auto" w:sz="8" w:space="0"/>
            </w:tcBorders>
            <w:shd w:val="clear" w:color="auto" w:fill="auto"/>
            <w:noWrap/>
            <w:vAlign w:val="center"/>
          </w:tcPr>
          <w:p w14:paraId="65E2971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C</w:t>
            </w:r>
          </w:p>
        </w:tc>
      </w:tr>
      <w:tr w14:paraId="6460BF09">
        <w:tblPrEx>
          <w:tblCellMar>
            <w:top w:w="0" w:type="dxa"/>
            <w:left w:w="108" w:type="dxa"/>
            <w:bottom w:w="0" w:type="dxa"/>
            <w:right w:w="108" w:type="dxa"/>
          </w:tblCellMar>
        </w:tblPrEx>
        <w:trPr>
          <w:trHeight w:val="207" w:hRule="atLeast"/>
        </w:trPr>
        <w:tc>
          <w:tcPr>
            <w:tcW w:w="750" w:type="dxa"/>
            <w:tcBorders>
              <w:top w:val="nil"/>
              <w:left w:val="single" w:color="auto" w:sz="8" w:space="0"/>
              <w:bottom w:val="single" w:color="auto" w:sz="8" w:space="0"/>
              <w:right w:val="single" w:color="auto" w:sz="8" w:space="0"/>
            </w:tcBorders>
            <w:shd w:val="clear" w:color="auto" w:fill="auto"/>
            <w:noWrap/>
            <w:vAlign w:val="center"/>
          </w:tcPr>
          <w:p w14:paraId="1ACAE4D0">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19867204">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北</w:t>
            </w:r>
          </w:p>
        </w:tc>
        <w:tc>
          <w:tcPr>
            <w:tcW w:w="484" w:type="dxa"/>
            <w:tcBorders>
              <w:top w:val="single" w:color="auto" w:sz="8" w:space="0"/>
              <w:left w:val="nil"/>
              <w:bottom w:val="nil"/>
              <w:right w:val="single" w:color="auto" w:sz="8" w:space="0"/>
            </w:tcBorders>
            <w:shd w:val="clear" w:color="auto" w:fill="auto"/>
            <w:noWrap/>
            <w:vAlign w:val="center"/>
          </w:tcPr>
          <w:p w14:paraId="60638274">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10FD3177">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2A59A2A6">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29D44B30">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东</w:t>
            </w:r>
          </w:p>
        </w:tc>
        <w:tc>
          <w:tcPr>
            <w:tcW w:w="484" w:type="dxa"/>
            <w:tcBorders>
              <w:top w:val="single" w:color="auto" w:sz="8" w:space="0"/>
              <w:left w:val="nil"/>
              <w:bottom w:val="nil"/>
              <w:right w:val="single" w:color="auto" w:sz="8" w:space="0"/>
            </w:tcBorders>
            <w:shd w:val="clear" w:color="auto" w:fill="auto"/>
            <w:noWrap/>
            <w:vAlign w:val="center"/>
          </w:tcPr>
          <w:p w14:paraId="384C7309">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1F3E0986">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0222486D">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6BE79B04">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南</w:t>
            </w:r>
          </w:p>
        </w:tc>
        <w:tc>
          <w:tcPr>
            <w:tcW w:w="484" w:type="dxa"/>
            <w:tcBorders>
              <w:top w:val="single" w:color="auto" w:sz="8" w:space="0"/>
              <w:left w:val="nil"/>
              <w:bottom w:val="nil"/>
              <w:right w:val="single" w:color="auto" w:sz="8" w:space="0"/>
            </w:tcBorders>
            <w:shd w:val="clear" w:color="auto" w:fill="auto"/>
            <w:noWrap/>
            <w:vAlign w:val="center"/>
          </w:tcPr>
          <w:p w14:paraId="42F83F54">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21BC3CA9">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5F7527A8">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4962AE55">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西</w:t>
            </w:r>
          </w:p>
        </w:tc>
        <w:tc>
          <w:tcPr>
            <w:tcW w:w="484" w:type="dxa"/>
            <w:tcBorders>
              <w:top w:val="single" w:color="auto" w:sz="8" w:space="0"/>
              <w:left w:val="nil"/>
              <w:bottom w:val="nil"/>
              <w:right w:val="single" w:color="auto" w:sz="8" w:space="0"/>
            </w:tcBorders>
            <w:shd w:val="clear" w:color="auto" w:fill="auto"/>
            <w:noWrap/>
            <w:vAlign w:val="center"/>
          </w:tcPr>
          <w:p w14:paraId="1E6A3D7C">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4F4B45F3">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32A1F548">
            <w:pPr>
              <w:jc w:val="center"/>
              <w:rPr>
                <w:rFonts w:hint="default" w:ascii="Times New Roman" w:hAnsi="Times New Roman" w:eastAsia="宋体" w:cs="Times New Roman"/>
                <w:color w:val="auto"/>
                <w:w w:val="99"/>
                <w:sz w:val="18"/>
                <w:szCs w:val="18"/>
                <w:highlight w:val="none"/>
              </w:rPr>
            </w:pPr>
          </w:p>
        </w:tc>
        <w:tc>
          <w:tcPr>
            <w:tcW w:w="484" w:type="dxa"/>
            <w:tcBorders>
              <w:top w:val="single" w:color="auto" w:sz="8" w:space="0"/>
              <w:left w:val="nil"/>
              <w:bottom w:val="nil"/>
              <w:right w:val="single" w:color="auto" w:sz="8" w:space="0"/>
            </w:tcBorders>
            <w:shd w:val="clear" w:color="auto" w:fill="auto"/>
            <w:noWrap/>
            <w:vAlign w:val="center"/>
          </w:tcPr>
          <w:p w14:paraId="7E5ACFEE">
            <w:pPr>
              <w:jc w:val="center"/>
              <w:rPr>
                <w:rFonts w:hint="default" w:ascii="Times New Roman" w:hAnsi="Times New Roman" w:eastAsia="宋体" w:cs="Times New Roman"/>
                <w:color w:val="auto"/>
                <w:w w:val="99"/>
                <w:sz w:val="18"/>
                <w:szCs w:val="18"/>
                <w:highlight w:val="none"/>
              </w:rPr>
            </w:pPr>
          </w:p>
        </w:tc>
      </w:tr>
      <w:tr w14:paraId="0A96A707">
        <w:tblPrEx>
          <w:tblCellMar>
            <w:top w:w="0" w:type="dxa"/>
            <w:left w:w="108" w:type="dxa"/>
            <w:bottom w:w="0" w:type="dxa"/>
            <w:right w:w="108" w:type="dxa"/>
          </w:tblCellMar>
        </w:tblPrEx>
        <w:trPr>
          <w:trHeight w:val="185" w:hRule="atLeast"/>
        </w:trPr>
        <w:tc>
          <w:tcPr>
            <w:tcW w:w="750" w:type="dxa"/>
            <w:tcBorders>
              <w:top w:val="nil"/>
              <w:left w:val="single" w:color="auto" w:sz="8" w:space="0"/>
              <w:bottom w:val="single" w:color="auto" w:sz="8" w:space="0"/>
              <w:right w:val="single" w:color="auto" w:sz="8" w:space="0"/>
            </w:tcBorders>
            <w:shd w:val="clear" w:color="auto" w:fill="auto"/>
            <w:noWrap/>
            <w:vAlign w:val="center"/>
          </w:tcPr>
          <w:p w14:paraId="0F81C2A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春季</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1B289759">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5.1</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33A64E23">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3.8</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5388EFCE">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2.3</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2611F66D">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1.6</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470ADA53">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2.4</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5BCAB438">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3.1</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4000C5BD">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2.9</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20920A98">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6.9</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46510860">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13.3</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166319AE">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13.4</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56AAEE4C">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6.7</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465CFC89">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5.9</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0932C9A1">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5.0</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494EA0A7">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10.1</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15206F64">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11.0</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60278B6E">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4.9</w:t>
            </w:r>
          </w:p>
        </w:tc>
        <w:tc>
          <w:tcPr>
            <w:tcW w:w="484" w:type="dxa"/>
            <w:tcBorders>
              <w:top w:val="single" w:color="auto" w:sz="8" w:space="0"/>
              <w:left w:val="nil"/>
              <w:bottom w:val="single" w:color="auto" w:sz="8" w:space="0"/>
              <w:right w:val="single" w:color="auto" w:sz="8" w:space="0"/>
            </w:tcBorders>
            <w:shd w:val="clear" w:color="auto" w:fill="auto"/>
            <w:noWrap/>
            <w:vAlign w:val="center"/>
          </w:tcPr>
          <w:p w14:paraId="1ED9AD80">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1.7</w:t>
            </w:r>
          </w:p>
        </w:tc>
      </w:tr>
      <w:tr w14:paraId="1AEC212A">
        <w:tblPrEx>
          <w:tblCellMar>
            <w:top w:w="0" w:type="dxa"/>
            <w:left w:w="108" w:type="dxa"/>
            <w:bottom w:w="0" w:type="dxa"/>
            <w:right w:w="108" w:type="dxa"/>
          </w:tblCellMar>
        </w:tblPrEx>
        <w:trPr>
          <w:trHeight w:val="185" w:hRule="atLeast"/>
        </w:trPr>
        <w:tc>
          <w:tcPr>
            <w:tcW w:w="750" w:type="dxa"/>
            <w:tcBorders>
              <w:top w:val="nil"/>
              <w:left w:val="single" w:color="auto" w:sz="8" w:space="0"/>
              <w:bottom w:val="single" w:color="auto" w:sz="8" w:space="0"/>
              <w:right w:val="single" w:color="auto" w:sz="8" w:space="0"/>
            </w:tcBorders>
            <w:shd w:val="clear" w:color="auto" w:fill="auto"/>
            <w:noWrap/>
            <w:vAlign w:val="center"/>
          </w:tcPr>
          <w:p w14:paraId="43784BD1">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夏季</w:t>
            </w:r>
          </w:p>
        </w:tc>
        <w:tc>
          <w:tcPr>
            <w:tcW w:w="484" w:type="dxa"/>
            <w:tcBorders>
              <w:top w:val="nil"/>
              <w:left w:val="nil"/>
              <w:bottom w:val="single" w:color="auto" w:sz="8" w:space="0"/>
              <w:right w:val="single" w:color="auto" w:sz="8" w:space="0"/>
            </w:tcBorders>
            <w:shd w:val="clear" w:color="auto" w:fill="auto"/>
            <w:noWrap/>
            <w:vAlign w:val="center"/>
          </w:tcPr>
          <w:p w14:paraId="15E5C614">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7.0</w:t>
            </w:r>
          </w:p>
        </w:tc>
        <w:tc>
          <w:tcPr>
            <w:tcW w:w="484" w:type="dxa"/>
            <w:tcBorders>
              <w:top w:val="nil"/>
              <w:left w:val="nil"/>
              <w:bottom w:val="single" w:color="auto" w:sz="8" w:space="0"/>
              <w:right w:val="single" w:color="auto" w:sz="8" w:space="0"/>
            </w:tcBorders>
            <w:shd w:val="clear" w:color="auto" w:fill="auto"/>
            <w:noWrap/>
            <w:vAlign w:val="center"/>
          </w:tcPr>
          <w:p w14:paraId="4C72845E">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7.2</w:t>
            </w:r>
          </w:p>
        </w:tc>
        <w:tc>
          <w:tcPr>
            <w:tcW w:w="484" w:type="dxa"/>
            <w:tcBorders>
              <w:top w:val="nil"/>
              <w:left w:val="nil"/>
              <w:bottom w:val="single" w:color="auto" w:sz="8" w:space="0"/>
              <w:right w:val="single" w:color="auto" w:sz="8" w:space="0"/>
            </w:tcBorders>
            <w:shd w:val="clear" w:color="auto" w:fill="auto"/>
            <w:noWrap/>
            <w:vAlign w:val="center"/>
          </w:tcPr>
          <w:p w14:paraId="6D5A675F">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7.8</w:t>
            </w:r>
          </w:p>
        </w:tc>
        <w:tc>
          <w:tcPr>
            <w:tcW w:w="484" w:type="dxa"/>
            <w:tcBorders>
              <w:top w:val="nil"/>
              <w:left w:val="nil"/>
              <w:bottom w:val="single" w:color="auto" w:sz="8" w:space="0"/>
              <w:right w:val="single" w:color="auto" w:sz="8" w:space="0"/>
            </w:tcBorders>
            <w:shd w:val="clear" w:color="auto" w:fill="auto"/>
            <w:noWrap/>
            <w:vAlign w:val="center"/>
          </w:tcPr>
          <w:p w14:paraId="62297FEE">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6.3</w:t>
            </w:r>
          </w:p>
        </w:tc>
        <w:tc>
          <w:tcPr>
            <w:tcW w:w="484" w:type="dxa"/>
            <w:tcBorders>
              <w:top w:val="nil"/>
              <w:left w:val="nil"/>
              <w:bottom w:val="single" w:color="auto" w:sz="8" w:space="0"/>
              <w:right w:val="single" w:color="auto" w:sz="8" w:space="0"/>
            </w:tcBorders>
            <w:shd w:val="clear" w:color="auto" w:fill="auto"/>
            <w:noWrap/>
            <w:vAlign w:val="center"/>
          </w:tcPr>
          <w:p w14:paraId="634D648C">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5.9</w:t>
            </w:r>
          </w:p>
        </w:tc>
        <w:tc>
          <w:tcPr>
            <w:tcW w:w="484" w:type="dxa"/>
            <w:tcBorders>
              <w:top w:val="nil"/>
              <w:left w:val="nil"/>
              <w:bottom w:val="single" w:color="auto" w:sz="8" w:space="0"/>
              <w:right w:val="single" w:color="auto" w:sz="8" w:space="0"/>
            </w:tcBorders>
            <w:shd w:val="clear" w:color="auto" w:fill="auto"/>
            <w:noWrap/>
            <w:vAlign w:val="center"/>
          </w:tcPr>
          <w:p w14:paraId="50C51A97">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5.8</w:t>
            </w:r>
          </w:p>
        </w:tc>
        <w:tc>
          <w:tcPr>
            <w:tcW w:w="484" w:type="dxa"/>
            <w:tcBorders>
              <w:top w:val="nil"/>
              <w:left w:val="nil"/>
              <w:bottom w:val="single" w:color="auto" w:sz="8" w:space="0"/>
              <w:right w:val="single" w:color="auto" w:sz="8" w:space="0"/>
            </w:tcBorders>
            <w:shd w:val="clear" w:color="auto" w:fill="auto"/>
            <w:noWrap/>
            <w:vAlign w:val="center"/>
          </w:tcPr>
          <w:p w14:paraId="6D7B8A5D">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6.5</w:t>
            </w:r>
          </w:p>
        </w:tc>
        <w:tc>
          <w:tcPr>
            <w:tcW w:w="484" w:type="dxa"/>
            <w:tcBorders>
              <w:top w:val="nil"/>
              <w:left w:val="nil"/>
              <w:bottom w:val="single" w:color="auto" w:sz="8" w:space="0"/>
              <w:right w:val="single" w:color="auto" w:sz="8" w:space="0"/>
            </w:tcBorders>
            <w:shd w:val="clear" w:color="auto" w:fill="auto"/>
            <w:noWrap/>
            <w:vAlign w:val="center"/>
          </w:tcPr>
          <w:p w14:paraId="1F8EC7FE">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4.1</w:t>
            </w:r>
          </w:p>
        </w:tc>
        <w:tc>
          <w:tcPr>
            <w:tcW w:w="484" w:type="dxa"/>
            <w:tcBorders>
              <w:top w:val="nil"/>
              <w:left w:val="nil"/>
              <w:bottom w:val="single" w:color="auto" w:sz="8" w:space="0"/>
              <w:right w:val="single" w:color="auto" w:sz="8" w:space="0"/>
            </w:tcBorders>
            <w:shd w:val="clear" w:color="auto" w:fill="auto"/>
            <w:noWrap/>
            <w:vAlign w:val="center"/>
          </w:tcPr>
          <w:p w14:paraId="0FDD232B">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5.6</w:t>
            </w:r>
          </w:p>
        </w:tc>
        <w:tc>
          <w:tcPr>
            <w:tcW w:w="484" w:type="dxa"/>
            <w:tcBorders>
              <w:top w:val="nil"/>
              <w:left w:val="nil"/>
              <w:bottom w:val="single" w:color="auto" w:sz="8" w:space="0"/>
              <w:right w:val="single" w:color="auto" w:sz="8" w:space="0"/>
            </w:tcBorders>
            <w:shd w:val="clear" w:color="auto" w:fill="auto"/>
            <w:noWrap/>
            <w:vAlign w:val="center"/>
          </w:tcPr>
          <w:p w14:paraId="78B78BB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6.9</w:t>
            </w:r>
          </w:p>
        </w:tc>
        <w:tc>
          <w:tcPr>
            <w:tcW w:w="484" w:type="dxa"/>
            <w:tcBorders>
              <w:top w:val="nil"/>
              <w:left w:val="nil"/>
              <w:bottom w:val="single" w:color="auto" w:sz="8" w:space="0"/>
              <w:right w:val="single" w:color="auto" w:sz="8" w:space="0"/>
            </w:tcBorders>
            <w:shd w:val="clear" w:color="auto" w:fill="auto"/>
            <w:noWrap/>
            <w:vAlign w:val="center"/>
          </w:tcPr>
          <w:p w14:paraId="4B91040C">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10.1</w:t>
            </w:r>
          </w:p>
        </w:tc>
        <w:tc>
          <w:tcPr>
            <w:tcW w:w="484" w:type="dxa"/>
            <w:tcBorders>
              <w:top w:val="nil"/>
              <w:left w:val="nil"/>
              <w:bottom w:val="single" w:color="auto" w:sz="8" w:space="0"/>
              <w:right w:val="single" w:color="auto" w:sz="8" w:space="0"/>
            </w:tcBorders>
            <w:shd w:val="clear" w:color="auto" w:fill="auto"/>
            <w:noWrap/>
            <w:vAlign w:val="center"/>
          </w:tcPr>
          <w:p w14:paraId="4A260383">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6.7</w:t>
            </w:r>
          </w:p>
        </w:tc>
        <w:tc>
          <w:tcPr>
            <w:tcW w:w="484" w:type="dxa"/>
            <w:tcBorders>
              <w:top w:val="nil"/>
              <w:left w:val="nil"/>
              <w:bottom w:val="single" w:color="auto" w:sz="8" w:space="0"/>
              <w:right w:val="single" w:color="auto" w:sz="8" w:space="0"/>
            </w:tcBorders>
            <w:shd w:val="clear" w:color="auto" w:fill="auto"/>
            <w:noWrap/>
            <w:vAlign w:val="center"/>
          </w:tcPr>
          <w:p w14:paraId="76D24DD5">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5.5</w:t>
            </w:r>
          </w:p>
        </w:tc>
        <w:tc>
          <w:tcPr>
            <w:tcW w:w="484" w:type="dxa"/>
            <w:tcBorders>
              <w:top w:val="nil"/>
              <w:left w:val="nil"/>
              <w:bottom w:val="single" w:color="auto" w:sz="8" w:space="0"/>
              <w:right w:val="single" w:color="auto" w:sz="8" w:space="0"/>
            </w:tcBorders>
            <w:shd w:val="clear" w:color="auto" w:fill="auto"/>
            <w:noWrap/>
            <w:vAlign w:val="center"/>
          </w:tcPr>
          <w:p w14:paraId="07153A3D">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4.1</w:t>
            </w:r>
          </w:p>
        </w:tc>
        <w:tc>
          <w:tcPr>
            <w:tcW w:w="484" w:type="dxa"/>
            <w:tcBorders>
              <w:top w:val="nil"/>
              <w:left w:val="nil"/>
              <w:bottom w:val="single" w:color="auto" w:sz="8" w:space="0"/>
              <w:right w:val="single" w:color="auto" w:sz="8" w:space="0"/>
            </w:tcBorders>
            <w:shd w:val="clear" w:color="auto" w:fill="auto"/>
            <w:noWrap/>
            <w:vAlign w:val="center"/>
          </w:tcPr>
          <w:p w14:paraId="6DED123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4.0</w:t>
            </w:r>
          </w:p>
        </w:tc>
        <w:tc>
          <w:tcPr>
            <w:tcW w:w="484" w:type="dxa"/>
            <w:tcBorders>
              <w:top w:val="nil"/>
              <w:left w:val="nil"/>
              <w:bottom w:val="single" w:color="auto" w:sz="8" w:space="0"/>
              <w:right w:val="single" w:color="auto" w:sz="8" w:space="0"/>
            </w:tcBorders>
            <w:shd w:val="clear" w:color="auto" w:fill="auto"/>
            <w:noWrap/>
            <w:vAlign w:val="center"/>
          </w:tcPr>
          <w:p w14:paraId="6FD39D16">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4.7</w:t>
            </w:r>
          </w:p>
        </w:tc>
        <w:tc>
          <w:tcPr>
            <w:tcW w:w="484" w:type="dxa"/>
            <w:tcBorders>
              <w:top w:val="nil"/>
              <w:left w:val="nil"/>
              <w:bottom w:val="single" w:color="auto" w:sz="8" w:space="0"/>
              <w:right w:val="single" w:color="auto" w:sz="8" w:space="0"/>
            </w:tcBorders>
            <w:shd w:val="clear" w:color="auto" w:fill="auto"/>
            <w:noWrap/>
            <w:vAlign w:val="center"/>
          </w:tcPr>
          <w:p w14:paraId="7D888D0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1.8</w:t>
            </w:r>
          </w:p>
        </w:tc>
      </w:tr>
      <w:tr w14:paraId="56359B1D">
        <w:tblPrEx>
          <w:tblCellMar>
            <w:top w:w="0" w:type="dxa"/>
            <w:left w:w="108" w:type="dxa"/>
            <w:bottom w:w="0" w:type="dxa"/>
            <w:right w:w="108" w:type="dxa"/>
          </w:tblCellMar>
        </w:tblPrEx>
        <w:trPr>
          <w:trHeight w:val="185" w:hRule="atLeast"/>
        </w:trPr>
        <w:tc>
          <w:tcPr>
            <w:tcW w:w="750" w:type="dxa"/>
            <w:tcBorders>
              <w:top w:val="nil"/>
              <w:left w:val="single" w:color="auto" w:sz="8" w:space="0"/>
              <w:bottom w:val="single" w:color="auto" w:sz="8" w:space="0"/>
              <w:right w:val="single" w:color="auto" w:sz="8" w:space="0"/>
            </w:tcBorders>
            <w:shd w:val="clear" w:color="auto" w:fill="auto"/>
            <w:noWrap/>
            <w:vAlign w:val="center"/>
          </w:tcPr>
          <w:p w14:paraId="727007B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秋季</w:t>
            </w:r>
          </w:p>
        </w:tc>
        <w:tc>
          <w:tcPr>
            <w:tcW w:w="484" w:type="dxa"/>
            <w:tcBorders>
              <w:top w:val="nil"/>
              <w:left w:val="nil"/>
              <w:bottom w:val="single" w:color="auto" w:sz="8" w:space="0"/>
              <w:right w:val="single" w:color="auto" w:sz="8" w:space="0"/>
            </w:tcBorders>
            <w:shd w:val="clear" w:color="auto" w:fill="auto"/>
            <w:noWrap/>
            <w:vAlign w:val="center"/>
          </w:tcPr>
          <w:p w14:paraId="26CEA588">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8.7</w:t>
            </w:r>
          </w:p>
        </w:tc>
        <w:tc>
          <w:tcPr>
            <w:tcW w:w="484" w:type="dxa"/>
            <w:tcBorders>
              <w:top w:val="nil"/>
              <w:left w:val="nil"/>
              <w:bottom w:val="single" w:color="auto" w:sz="8" w:space="0"/>
              <w:right w:val="single" w:color="auto" w:sz="8" w:space="0"/>
            </w:tcBorders>
            <w:shd w:val="clear" w:color="auto" w:fill="auto"/>
            <w:noWrap/>
            <w:vAlign w:val="center"/>
          </w:tcPr>
          <w:p w14:paraId="52BDDC9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5.3</w:t>
            </w:r>
          </w:p>
        </w:tc>
        <w:tc>
          <w:tcPr>
            <w:tcW w:w="484" w:type="dxa"/>
            <w:tcBorders>
              <w:top w:val="nil"/>
              <w:left w:val="nil"/>
              <w:bottom w:val="single" w:color="auto" w:sz="8" w:space="0"/>
              <w:right w:val="single" w:color="auto" w:sz="8" w:space="0"/>
            </w:tcBorders>
            <w:shd w:val="clear" w:color="auto" w:fill="auto"/>
            <w:noWrap/>
            <w:vAlign w:val="center"/>
          </w:tcPr>
          <w:p w14:paraId="534B54E9">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4.1</w:t>
            </w:r>
          </w:p>
        </w:tc>
        <w:tc>
          <w:tcPr>
            <w:tcW w:w="484" w:type="dxa"/>
            <w:tcBorders>
              <w:top w:val="nil"/>
              <w:left w:val="nil"/>
              <w:bottom w:val="single" w:color="auto" w:sz="8" w:space="0"/>
              <w:right w:val="single" w:color="auto" w:sz="8" w:space="0"/>
            </w:tcBorders>
            <w:shd w:val="clear" w:color="auto" w:fill="auto"/>
            <w:noWrap/>
            <w:vAlign w:val="center"/>
          </w:tcPr>
          <w:p w14:paraId="71FA258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2.2</w:t>
            </w:r>
          </w:p>
        </w:tc>
        <w:tc>
          <w:tcPr>
            <w:tcW w:w="484" w:type="dxa"/>
            <w:tcBorders>
              <w:top w:val="nil"/>
              <w:left w:val="nil"/>
              <w:bottom w:val="single" w:color="auto" w:sz="8" w:space="0"/>
              <w:right w:val="single" w:color="auto" w:sz="8" w:space="0"/>
            </w:tcBorders>
            <w:shd w:val="clear" w:color="auto" w:fill="auto"/>
            <w:noWrap/>
            <w:vAlign w:val="center"/>
          </w:tcPr>
          <w:p w14:paraId="0C030DF9">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1.6</w:t>
            </w:r>
          </w:p>
        </w:tc>
        <w:tc>
          <w:tcPr>
            <w:tcW w:w="484" w:type="dxa"/>
            <w:tcBorders>
              <w:top w:val="nil"/>
              <w:left w:val="nil"/>
              <w:bottom w:val="single" w:color="auto" w:sz="8" w:space="0"/>
              <w:right w:val="single" w:color="auto" w:sz="8" w:space="0"/>
            </w:tcBorders>
            <w:shd w:val="clear" w:color="auto" w:fill="auto"/>
            <w:noWrap/>
            <w:vAlign w:val="center"/>
          </w:tcPr>
          <w:p w14:paraId="656840FC">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1.1</w:t>
            </w:r>
          </w:p>
        </w:tc>
        <w:tc>
          <w:tcPr>
            <w:tcW w:w="484" w:type="dxa"/>
            <w:tcBorders>
              <w:top w:val="nil"/>
              <w:left w:val="nil"/>
              <w:bottom w:val="single" w:color="auto" w:sz="8" w:space="0"/>
              <w:right w:val="single" w:color="auto" w:sz="8" w:space="0"/>
            </w:tcBorders>
            <w:shd w:val="clear" w:color="auto" w:fill="auto"/>
            <w:noWrap/>
            <w:vAlign w:val="center"/>
          </w:tcPr>
          <w:p w14:paraId="00E49F2C">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1.4</w:t>
            </w:r>
          </w:p>
        </w:tc>
        <w:tc>
          <w:tcPr>
            <w:tcW w:w="484" w:type="dxa"/>
            <w:tcBorders>
              <w:top w:val="nil"/>
              <w:left w:val="nil"/>
              <w:bottom w:val="single" w:color="auto" w:sz="8" w:space="0"/>
              <w:right w:val="single" w:color="auto" w:sz="8" w:space="0"/>
            </w:tcBorders>
            <w:shd w:val="clear" w:color="auto" w:fill="auto"/>
            <w:noWrap/>
            <w:vAlign w:val="center"/>
          </w:tcPr>
          <w:p w14:paraId="6C612A8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2.5</w:t>
            </w:r>
          </w:p>
        </w:tc>
        <w:tc>
          <w:tcPr>
            <w:tcW w:w="484" w:type="dxa"/>
            <w:tcBorders>
              <w:top w:val="nil"/>
              <w:left w:val="nil"/>
              <w:bottom w:val="single" w:color="auto" w:sz="8" w:space="0"/>
              <w:right w:val="single" w:color="auto" w:sz="8" w:space="0"/>
            </w:tcBorders>
            <w:shd w:val="clear" w:color="auto" w:fill="auto"/>
            <w:noWrap/>
            <w:vAlign w:val="center"/>
          </w:tcPr>
          <w:p w14:paraId="3A801CB3">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5.3</w:t>
            </w:r>
          </w:p>
        </w:tc>
        <w:tc>
          <w:tcPr>
            <w:tcW w:w="484" w:type="dxa"/>
            <w:tcBorders>
              <w:top w:val="nil"/>
              <w:left w:val="nil"/>
              <w:bottom w:val="single" w:color="auto" w:sz="8" w:space="0"/>
              <w:right w:val="single" w:color="auto" w:sz="8" w:space="0"/>
            </w:tcBorders>
            <w:shd w:val="clear" w:color="auto" w:fill="auto"/>
            <w:noWrap/>
            <w:vAlign w:val="center"/>
          </w:tcPr>
          <w:p w14:paraId="5CD4DD51">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10.5</w:t>
            </w:r>
          </w:p>
        </w:tc>
        <w:tc>
          <w:tcPr>
            <w:tcW w:w="484" w:type="dxa"/>
            <w:tcBorders>
              <w:top w:val="nil"/>
              <w:left w:val="nil"/>
              <w:bottom w:val="single" w:color="auto" w:sz="8" w:space="0"/>
              <w:right w:val="single" w:color="auto" w:sz="8" w:space="0"/>
            </w:tcBorders>
            <w:shd w:val="clear" w:color="auto" w:fill="auto"/>
            <w:noWrap/>
            <w:vAlign w:val="center"/>
          </w:tcPr>
          <w:p w14:paraId="25E78F3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16.1</w:t>
            </w:r>
          </w:p>
        </w:tc>
        <w:tc>
          <w:tcPr>
            <w:tcW w:w="484" w:type="dxa"/>
            <w:tcBorders>
              <w:top w:val="nil"/>
              <w:left w:val="nil"/>
              <w:bottom w:val="single" w:color="auto" w:sz="8" w:space="0"/>
              <w:right w:val="single" w:color="auto" w:sz="8" w:space="0"/>
            </w:tcBorders>
            <w:shd w:val="clear" w:color="auto" w:fill="auto"/>
            <w:noWrap/>
            <w:vAlign w:val="center"/>
          </w:tcPr>
          <w:p w14:paraId="239D01B7">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11.8</w:t>
            </w:r>
          </w:p>
        </w:tc>
        <w:tc>
          <w:tcPr>
            <w:tcW w:w="484" w:type="dxa"/>
            <w:tcBorders>
              <w:top w:val="nil"/>
              <w:left w:val="nil"/>
              <w:bottom w:val="single" w:color="auto" w:sz="8" w:space="0"/>
              <w:right w:val="single" w:color="auto" w:sz="8" w:space="0"/>
            </w:tcBorders>
            <w:shd w:val="clear" w:color="auto" w:fill="auto"/>
            <w:noWrap/>
            <w:vAlign w:val="center"/>
          </w:tcPr>
          <w:p w14:paraId="309ED053">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9.8</w:t>
            </w:r>
          </w:p>
        </w:tc>
        <w:tc>
          <w:tcPr>
            <w:tcW w:w="484" w:type="dxa"/>
            <w:tcBorders>
              <w:top w:val="nil"/>
              <w:left w:val="nil"/>
              <w:bottom w:val="single" w:color="auto" w:sz="8" w:space="0"/>
              <w:right w:val="single" w:color="auto" w:sz="8" w:space="0"/>
            </w:tcBorders>
            <w:shd w:val="clear" w:color="auto" w:fill="auto"/>
            <w:noWrap/>
            <w:vAlign w:val="center"/>
          </w:tcPr>
          <w:p w14:paraId="0DBB841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6.0</w:t>
            </w:r>
          </w:p>
        </w:tc>
        <w:tc>
          <w:tcPr>
            <w:tcW w:w="484" w:type="dxa"/>
            <w:tcBorders>
              <w:top w:val="nil"/>
              <w:left w:val="nil"/>
              <w:bottom w:val="single" w:color="auto" w:sz="8" w:space="0"/>
              <w:right w:val="single" w:color="auto" w:sz="8" w:space="0"/>
            </w:tcBorders>
            <w:shd w:val="clear" w:color="auto" w:fill="auto"/>
            <w:noWrap/>
            <w:vAlign w:val="center"/>
          </w:tcPr>
          <w:p w14:paraId="7D790E58">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4.3</w:t>
            </w:r>
          </w:p>
        </w:tc>
        <w:tc>
          <w:tcPr>
            <w:tcW w:w="484" w:type="dxa"/>
            <w:tcBorders>
              <w:top w:val="nil"/>
              <w:left w:val="nil"/>
              <w:bottom w:val="single" w:color="auto" w:sz="8" w:space="0"/>
              <w:right w:val="single" w:color="auto" w:sz="8" w:space="0"/>
            </w:tcBorders>
            <w:shd w:val="clear" w:color="auto" w:fill="auto"/>
            <w:noWrap/>
            <w:vAlign w:val="center"/>
          </w:tcPr>
          <w:p w14:paraId="39E6F398">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8.3</w:t>
            </w:r>
          </w:p>
        </w:tc>
        <w:tc>
          <w:tcPr>
            <w:tcW w:w="484" w:type="dxa"/>
            <w:tcBorders>
              <w:top w:val="nil"/>
              <w:left w:val="nil"/>
              <w:bottom w:val="single" w:color="auto" w:sz="8" w:space="0"/>
              <w:right w:val="single" w:color="auto" w:sz="8" w:space="0"/>
            </w:tcBorders>
            <w:shd w:val="clear" w:color="auto" w:fill="auto"/>
            <w:noWrap/>
            <w:vAlign w:val="center"/>
          </w:tcPr>
          <w:p w14:paraId="03765865">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1.1</w:t>
            </w:r>
          </w:p>
        </w:tc>
      </w:tr>
      <w:tr w14:paraId="76A76A56">
        <w:tblPrEx>
          <w:tblCellMar>
            <w:top w:w="0" w:type="dxa"/>
            <w:left w:w="108" w:type="dxa"/>
            <w:bottom w:w="0" w:type="dxa"/>
            <w:right w:w="108" w:type="dxa"/>
          </w:tblCellMar>
        </w:tblPrEx>
        <w:trPr>
          <w:trHeight w:val="185" w:hRule="atLeast"/>
        </w:trPr>
        <w:tc>
          <w:tcPr>
            <w:tcW w:w="750" w:type="dxa"/>
            <w:tcBorders>
              <w:top w:val="nil"/>
              <w:left w:val="single" w:color="auto" w:sz="8" w:space="0"/>
              <w:bottom w:val="single" w:color="auto" w:sz="8" w:space="0"/>
              <w:right w:val="single" w:color="auto" w:sz="8" w:space="0"/>
            </w:tcBorders>
            <w:shd w:val="clear" w:color="auto" w:fill="auto"/>
            <w:noWrap/>
            <w:vAlign w:val="center"/>
          </w:tcPr>
          <w:p w14:paraId="7486924C">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冬季</w:t>
            </w:r>
          </w:p>
        </w:tc>
        <w:tc>
          <w:tcPr>
            <w:tcW w:w="484" w:type="dxa"/>
            <w:tcBorders>
              <w:top w:val="nil"/>
              <w:left w:val="nil"/>
              <w:bottom w:val="single" w:color="auto" w:sz="8" w:space="0"/>
              <w:right w:val="single" w:color="auto" w:sz="8" w:space="0"/>
            </w:tcBorders>
            <w:shd w:val="clear" w:color="auto" w:fill="auto"/>
            <w:noWrap/>
            <w:vAlign w:val="center"/>
          </w:tcPr>
          <w:p w14:paraId="0C8696E3">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8.3</w:t>
            </w:r>
          </w:p>
        </w:tc>
        <w:tc>
          <w:tcPr>
            <w:tcW w:w="484" w:type="dxa"/>
            <w:tcBorders>
              <w:top w:val="nil"/>
              <w:left w:val="nil"/>
              <w:bottom w:val="single" w:color="auto" w:sz="8" w:space="0"/>
              <w:right w:val="single" w:color="auto" w:sz="8" w:space="0"/>
            </w:tcBorders>
            <w:shd w:val="clear" w:color="auto" w:fill="auto"/>
            <w:noWrap/>
            <w:vAlign w:val="center"/>
          </w:tcPr>
          <w:p w14:paraId="533D4268">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2.1</w:t>
            </w:r>
          </w:p>
        </w:tc>
        <w:tc>
          <w:tcPr>
            <w:tcW w:w="484" w:type="dxa"/>
            <w:tcBorders>
              <w:top w:val="nil"/>
              <w:left w:val="nil"/>
              <w:bottom w:val="single" w:color="auto" w:sz="8" w:space="0"/>
              <w:right w:val="single" w:color="auto" w:sz="8" w:space="0"/>
            </w:tcBorders>
            <w:shd w:val="clear" w:color="auto" w:fill="auto"/>
            <w:noWrap/>
            <w:vAlign w:val="center"/>
          </w:tcPr>
          <w:p w14:paraId="2856B6C6">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2.4</w:t>
            </w:r>
          </w:p>
        </w:tc>
        <w:tc>
          <w:tcPr>
            <w:tcW w:w="484" w:type="dxa"/>
            <w:tcBorders>
              <w:top w:val="nil"/>
              <w:left w:val="nil"/>
              <w:bottom w:val="single" w:color="auto" w:sz="8" w:space="0"/>
              <w:right w:val="single" w:color="auto" w:sz="8" w:space="0"/>
            </w:tcBorders>
            <w:shd w:val="clear" w:color="auto" w:fill="auto"/>
            <w:noWrap/>
            <w:vAlign w:val="center"/>
          </w:tcPr>
          <w:p w14:paraId="30B0C2F6">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1.0</w:t>
            </w:r>
          </w:p>
        </w:tc>
        <w:tc>
          <w:tcPr>
            <w:tcW w:w="484" w:type="dxa"/>
            <w:tcBorders>
              <w:top w:val="nil"/>
              <w:left w:val="nil"/>
              <w:bottom w:val="single" w:color="auto" w:sz="8" w:space="0"/>
              <w:right w:val="single" w:color="auto" w:sz="8" w:space="0"/>
            </w:tcBorders>
            <w:shd w:val="clear" w:color="auto" w:fill="auto"/>
            <w:noWrap/>
            <w:vAlign w:val="center"/>
          </w:tcPr>
          <w:p w14:paraId="26C4DE21">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1.0</w:t>
            </w:r>
          </w:p>
        </w:tc>
        <w:tc>
          <w:tcPr>
            <w:tcW w:w="484" w:type="dxa"/>
            <w:tcBorders>
              <w:top w:val="nil"/>
              <w:left w:val="nil"/>
              <w:bottom w:val="single" w:color="auto" w:sz="8" w:space="0"/>
              <w:right w:val="single" w:color="auto" w:sz="8" w:space="0"/>
            </w:tcBorders>
            <w:shd w:val="clear" w:color="auto" w:fill="auto"/>
            <w:noWrap/>
            <w:vAlign w:val="center"/>
          </w:tcPr>
          <w:p w14:paraId="7A696D88">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1.6</w:t>
            </w:r>
          </w:p>
        </w:tc>
        <w:tc>
          <w:tcPr>
            <w:tcW w:w="484" w:type="dxa"/>
            <w:tcBorders>
              <w:top w:val="nil"/>
              <w:left w:val="nil"/>
              <w:bottom w:val="single" w:color="auto" w:sz="8" w:space="0"/>
              <w:right w:val="single" w:color="auto" w:sz="8" w:space="0"/>
            </w:tcBorders>
            <w:shd w:val="clear" w:color="auto" w:fill="auto"/>
            <w:noWrap/>
            <w:vAlign w:val="center"/>
          </w:tcPr>
          <w:p w14:paraId="576A6519">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1.9</w:t>
            </w:r>
          </w:p>
        </w:tc>
        <w:tc>
          <w:tcPr>
            <w:tcW w:w="484" w:type="dxa"/>
            <w:tcBorders>
              <w:top w:val="nil"/>
              <w:left w:val="nil"/>
              <w:bottom w:val="single" w:color="auto" w:sz="8" w:space="0"/>
              <w:right w:val="single" w:color="auto" w:sz="8" w:space="0"/>
            </w:tcBorders>
            <w:shd w:val="clear" w:color="auto" w:fill="auto"/>
            <w:noWrap/>
            <w:vAlign w:val="center"/>
          </w:tcPr>
          <w:p w14:paraId="2A3ABAA1">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4.8</w:t>
            </w:r>
          </w:p>
        </w:tc>
        <w:tc>
          <w:tcPr>
            <w:tcW w:w="484" w:type="dxa"/>
            <w:tcBorders>
              <w:top w:val="nil"/>
              <w:left w:val="nil"/>
              <w:bottom w:val="single" w:color="auto" w:sz="8" w:space="0"/>
              <w:right w:val="single" w:color="auto" w:sz="8" w:space="0"/>
            </w:tcBorders>
            <w:shd w:val="clear" w:color="auto" w:fill="auto"/>
            <w:noWrap/>
            <w:vAlign w:val="center"/>
          </w:tcPr>
          <w:p w14:paraId="12B75CF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9.8</w:t>
            </w:r>
          </w:p>
        </w:tc>
        <w:tc>
          <w:tcPr>
            <w:tcW w:w="484" w:type="dxa"/>
            <w:tcBorders>
              <w:top w:val="nil"/>
              <w:left w:val="nil"/>
              <w:bottom w:val="single" w:color="auto" w:sz="8" w:space="0"/>
              <w:right w:val="single" w:color="auto" w:sz="8" w:space="0"/>
            </w:tcBorders>
            <w:shd w:val="clear" w:color="auto" w:fill="auto"/>
            <w:noWrap/>
            <w:vAlign w:val="center"/>
          </w:tcPr>
          <w:p w14:paraId="3D40C396">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7.6</w:t>
            </w:r>
          </w:p>
        </w:tc>
        <w:tc>
          <w:tcPr>
            <w:tcW w:w="484" w:type="dxa"/>
            <w:tcBorders>
              <w:top w:val="nil"/>
              <w:left w:val="nil"/>
              <w:bottom w:val="single" w:color="auto" w:sz="8" w:space="0"/>
              <w:right w:val="single" w:color="auto" w:sz="8" w:space="0"/>
            </w:tcBorders>
            <w:shd w:val="clear" w:color="auto" w:fill="auto"/>
            <w:noWrap/>
            <w:vAlign w:val="center"/>
          </w:tcPr>
          <w:p w14:paraId="2A555B05">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5.0</w:t>
            </w:r>
          </w:p>
        </w:tc>
        <w:tc>
          <w:tcPr>
            <w:tcW w:w="484" w:type="dxa"/>
            <w:tcBorders>
              <w:top w:val="nil"/>
              <w:left w:val="nil"/>
              <w:bottom w:val="single" w:color="auto" w:sz="8" w:space="0"/>
              <w:right w:val="single" w:color="auto" w:sz="8" w:space="0"/>
            </w:tcBorders>
            <w:shd w:val="clear" w:color="auto" w:fill="auto"/>
            <w:noWrap/>
            <w:vAlign w:val="center"/>
          </w:tcPr>
          <w:p w14:paraId="652468B4">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5.8</w:t>
            </w:r>
          </w:p>
        </w:tc>
        <w:tc>
          <w:tcPr>
            <w:tcW w:w="484" w:type="dxa"/>
            <w:tcBorders>
              <w:top w:val="nil"/>
              <w:left w:val="nil"/>
              <w:bottom w:val="single" w:color="auto" w:sz="8" w:space="0"/>
              <w:right w:val="single" w:color="auto" w:sz="8" w:space="0"/>
            </w:tcBorders>
            <w:shd w:val="clear" w:color="auto" w:fill="auto"/>
            <w:noWrap/>
            <w:vAlign w:val="center"/>
          </w:tcPr>
          <w:p w14:paraId="304082BF">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6.9</w:t>
            </w:r>
          </w:p>
        </w:tc>
        <w:tc>
          <w:tcPr>
            <w:tcW w:w="484" w:type="dxa"/>
            <w:tcBorders>
              <w:top w:val="nil"/>
              <w:left w:val="nil"/>
              <w:bottom w:val="single" w:color="auto" w:sz="8" w:space="0"/>
              <w:right w:val="single" w:color="auto" w:sz="8" w:space="0"/>
            </w:tcBorders>
            <w:shd w:val="clear" w:color="auto" w:fill="auto"/>
            <w:noWrap/>
            <w:vAlign w:val="center"/>
          </w:tcPr>
          <w:p w14:paraId="6B2A3C9A">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11.6</w:t>
            </w:r>
          </w:p>
        </w:tc>
        <w:tc>
          <w:tcPr>
            <w:tcW w:w="484" w:type="dxa"/>
            <w:tcBorders>
              <w:top w:val="nil"/>
              <w:left w:val="nil"/>
              <w:bottom w:val="single" w:color="auto" w:sz="8" w:space="0"/>
              <w:right w:val="single" w:color="auto" w:sz="8" w:space="0"/>
            </w:tcBorders>
            <w:shd w:val="clear" w:color="auto" w:fill="auto"/>
            <w:noWrap/>
            <w:vAlign w:val="center"/>
          </w:tcPr>
          <w:p w14:paraId="055C80FA">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17.2</w:t>
            </w:r>
          </w:p>
        </w:tc>
        <w:tc>
          <w:tcPr>
            <w:tcW w:w="484" w:type="dxa"/>
            <w:tcBorders>
              <w:top w:val="nil"/>
              <w:left w:val="nil"/>
              <w:bottom w:val="single" w:color="auto" w:sz="8" w:space="0"/>
              <w:right w:val="single" w:color="auto" w:sz="8" w:space="0"/>
            </w:tcBorders>
            <w:shd w:val="clear" w:color="auto" w:fill="auto"/>
            <w:noWrap/>
            <w:vAlign w:val="center"/>
          </w:tcPr>
          <w:p w14:paraId="1F4243C9">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10.7</w:t>
            </w:r>
          </w:p>
        </w:tc>
        <w:tc>
          <w:tcPr>
            <w:tcW w:w="484" w:type="dxa"/>
            <w:tcBorders>
              <w:top w:val="nil"/>
              <w:left w:val="nil"/>
              <w:bottom w:val="single" w:color="auto" w:sz="8" w:space="0"/>
              <w:right w:val="single" w:color="auto" w:sz="8" w:space="0"/>
            </w:tcBorders>
            <w:shd w:val="clear" w:color="auto" w:fill="auto"/>
            <w:noWrap/>
            <w:vAlign w:val="center"/>
          </w:tcPr>
          <w:p w14:paraId="1C3FF8D1">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2.4</w:t>
            </w:r>
          </w:p>
        </w:tc>
      </w:tr>
      <w:tr w14:paraId="32F29B7F">
        <w:tblPrEx>
          <w:tblCellMar>
            <w:top w:w="0" w:type="dxa"/>
            <w:left w:w="108" w:type="dxa"/>
            <w:bottom w:w="0" w:type="dxa"/>
            <w:right w:w="108" w:type="dxa"/>
          </w:tblCellMar>
        </w:tblPrEx>
        <w:trPr>
          <w:trHeight w:val="185" w:hRule="atLeast"/>
        </w:trPr>
        <w:tc>
          <w:tcPr>
            <w:tcW w:w="750" w:type="dxa"/>
            <w:tcBorders>
              <w:top w:val="nil"/>
              <w:left w:val="single" w:color="auto" w:sz="8" w:space="0"/>
              <w:bottom w:val="single" w:color="auto" w:sz="8" w:space="0"/>
              <w:right w:val="single" w:color="auto" w:sz="8" w:space="0"/>
            </w:tcBorders>
            <w:shd w:val="clear" w:color="auto" w:fill="auto"/>
            <w:noWrap/>
            <w:vAlign w:val="center"/>
          </w:tcPr>
          <w:p w14:paraId="41E24EDD">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年平均</w:t>
            </w:r>
          </w:p>
        </w:tc>
        <w:tc>
          <w:tcPr>
            <w:tcW w:w="484" w:type="dxa"/>
            <w:tcBorders>
              <w:top w:val="nil"/>
              <w:left w:val="nil"/>
              <w:bottom w:val="single" w:color="auto" w:sz="8" w:space="0"/>
              <w:right w:val="single" w:color="auto" w:sz="8" w:space="0"/>
            </w:tcBorders>
            <w:shd w:val="clear" w:color="auto" w:fill="auto"/>
            <w:noWrap/>
            <w:vAlign w:val="center"/>
          </w:tcPr>
          <w:p w14:paraId="79E1E670">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7.3</w:t>
            </w:r>
          </w:p>
        </w:tc>
        <w:tc>
          <w:tcPr>
            <w:tcW w:w="484" w:type="dxa"/>
            <w:tcBorders>
              <w:top w:val="nil"/>
              <w:left w:val="nil"/>
              <w:bottom w:val="single" w:color="auto" w:sz="8" w:space="0"/>
              <w:right w:val="single" w:color="auto" w:sz="8" w:space="0"/>
            </w:tcBorders>
            <w:shd w:val="clear" w:color="auto" w:fill="auto"/>
            <w:noWrap/>
            <w:vAlign w:val="center"/>
          </w:tcPr>
          <w:p w14:paraId="033788A7">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4.6</w:t>
            </w:r>
          </w:p>
        </w:tc>
        <w:tc>
          <w:tcPr>
            <w:tcW w:w="484" w:type="dxa"/>
            <w:tcBorders>
              <w:top w:val="nil"/>
              <w:left w:val="nil"/>
              <w:bottom w:val="single" w:color="auto" w:sz="8" w:space="0"/>
              <w:right w:val="single" w:color="auto" w:sz="8" w:space="0"/>
            </w:tcBorders>
            <w:shd w:val="clear" w:color="auto" w:fill="auto"/>
            <w:noWrap/>
            <w:vAlign w:val="center"/>
          </w:tcPr>
          <w:p w14:paraId="6F29AC70">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4.2</w:t>
            </w:r>
          </w:p>
        </w:tc>
        <w:tc>
          <w:tcPr>
            <w:tcW w:w="484" w:type="dxa"/>
            <w:tcBorders>
              <w:top w:val="nil"/>
              <w:left w:val="nil"/>
              <w:bottom w:val="single" w:color="auto" w:sz="8" w:space="0"/>
              <w:right w:val="single" w:color="auto" w:sz="8" w:space="0"/>
            </w:tcBorders>
            <w:shd w:val="clear" w:color="auto" w:fill="auto"/>
            <w:noWrap/>
            <w:vAlign w:val="center"/>
          </w:tcPr>
          <w:p w14:paraId="7F5B5F52">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2.8</w:t>
            </w:r>
          </w:p>
        </w:tc>
        <w:tc>
          <w:tcPr>
            <w:tcW w:w="484" w:type="dxa"/>
            <w:tcBorders>
              <w:top w:val="nil"/>
              <w:left w:val="nil"/>
              <w:bottom w:val="single" w:color="auto" w:sz="8" w:space="0"/>
              <w:right w:val="single" w:color="auto" w:sz="8" w:space="0"/>
            </w:tcBorders>
            <w:shd w:val="clear" w:color="auto" w:fill="auto"/>
            <w:noWrap/>
            <w:vAlign w:val="center"/>
          </w:tcPr>
          <w:p w14:paraId="44822156">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2.7</w:t>
            </w:r>
          </w:p>
        </w:tc>
        <w:tc>
          <w:tcPr>
            <w:tcW w:w="484" w:type="dxa"/>
            <w:tcBorders>
              <w:top w:val="nil"/>
              <w:left w:val="nil"/>
              <w:bottom w:val="single" w:color="auto" w:sz="8" w:space="0"/>
              <w:right w:val="single" w:color="auto" w:sz="8" w:space="0"/>
            </w:tcBorders>
            <w:shd w:val="clear" w:color="auto" w:fill="auto"/>
            <w:noWrap/>
            <w:vAlign w:val="center"/>
          </w:tcPr>
          <w:p w14:paraId="652841E0">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2.9</w:t>
            </w:r>
          </w:p>
        </w:tc>
        <w:tc>
          <w:tcPr>
            <w:tcW w:w="484" w:type="dxa"/>
            <w:tcBorders>
              <w:top w:val="nil"/>
              <w:left w:val="nil"/>
              <w:bottom w:val="single" w:color="auto" w:sz="8" w:space="0"/>
              <w:right w:val="single" w:color="auto" w:sz="8" w:space="0"/>
            </w:tcBorders>
            <w:shd w:val="clear" w:color="auto" w:fill="auto"/>
            <w:noWrap/>
            <w:vAlign w:val="center"/>
          </w:tcPr>
          <w:p w14:paraId="47547EF6">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3.2</w:t>
            </w:r>
          </w:p>
        </w:tc>
        <w:tc>
          <w:tcPr>
            <w:tcW w:w="484" w:type="dxa"/>
            <w:tcBorders>
              <w:top w:val="nil"/>
              <w:left w:val="nil"/>
              <w:bottom w:val="single" w:color="auto" w:sz="8" w:space="0"/>
              <w:right w:val="single" w:color="auto" w:sz="8" w:space="0"/>
            </w:tcBorders>
            <w:shd w:val="clear" w:color="auto" w:fill="auto"/>
            <w:noWrap/>
            <w:vAlign w:val="center"/>
          </w:tcPr>
          <w:p w14:paraId="12361444">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4.6</w:t>
            </w:r>
          </w:p>
        </w:tc>
        <w:tc>
          <w:tcPr>
            <w:tcW w:w="484" w:type="dxa"/>
            <w:tcBorders>
              <w:top w:val="nil"/>
              <w:left w:val="nil"/>
              <w:bottom w:val="single" w:color="auto" w:sz="8" w:space="0"/>
              <w:right w:val="single" w:color="auto" w:sz="8" w:space="0"/>
            </w:tcBorders>
            <w:shd w:val="clear" w:color="auto" w:fill="auto"/>
            <w:noWrap/>
            <w:vAlign w:val="center"/>
          </w:tcPr>
          <w:p w14:paraId="781E673A">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8.5</w:t>
            </w:r>
          </w:p>
        </w:tc>
        <w:tc>
          <w:tcPr>
            <w:tcW w:w="484" w:type="dxa"/>
            <w:tcBorders>
              <w:top w:val="nil"/>
              <w:left w:val="nil"/>
              <w:bottom w:val="single" w:color="auto" w:sz="8" w:space="0"/>
              <w:right w:val="single" w:color="auto" w:sz="8" w:space="0"/>
            </w:tcBorders>
            <w:shd w:val="clear" w:color="auto" w:fill="auto"/>
            <w:noWrap/>
            <w:vAlign w:val="center"/>
          </w:tcPr>
          <w:p w14:paraId="77ED6F64">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9.6</w:t>
            </w:r>
          </w:p>
        </w:tc>
        <w:tc>
          <w:tcPr>
            <w:tcW w:w="484" w:type="dxa"/>
            <w:tcBorders>
              <w:top w:val="nil"/>
              <w:left w:val="nil"/>
              <w:bottom w:val="single" w:color="auto" w:sz="8" w:space="0"/>
              <w:right w:val="single" w:color="auto" w:sz="8" w:space="0"/>
            </w:tcBorders>
            <w:shd w:val="clear" w:color="auto" w:fill="auto"/>
            <w:noWrap/>
            <w:vAlign w:val="center"/>
          </w:tcPr>
          <w:p w14:paraId="2B1F7115">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9.5</w:t>
            </w:r>
          </w:p>
        </w:tc>
        <w:tc>
          <w:tcPr>
            <w:tcW w:w="484" w:type="dxa"/>
            <w:tcBorders>
              <w:top w:val="nil"/>
              <w:left w:val="nil"/>
              <w:bottom w:val="single" w:color="auto" w:sz="8" w:space="0"/>
              <w:right w:val="single" w:color="auto" w:sz="8" w:space="0"/>
            </w:tcBorders>
            <w:shd w:val="clear" w:color="auto" w:fill="auto"/>
            <w:noWrap/>
            <w:vAlign w:val="center"/>
          </w:tcPr>
          <w:p w14:paraId="43985B00">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7.5</w:t>
            </w:r>
          </w:p>
        </w:tc>
        <w:tc>
          <w:tcPr>
            <w:tcW w:w="484" w:type="dxa"/>
            <w:tcBorders>
              <w:top w:val="nil"/>
              <w:left w:val="nil"/>
              <w:bottom w:val="single" w:color="auto" w:sz="8" w:space="0"/>
              <w:right w:val="single" w:color="auto" w:sz="8" w:space="0"/>
            </w:tcBorders>
            <w:shd w:val="clear" w:color="auto" w:fill="auto"/>
            <w:noWrap/>
            <w:vAlign w:val="center"/>
          </w:tcPr>
          <w:p w14:paraId="44EC3708">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6.8</w:t>
            </w:r>
          </w:p>
        </w:tc>
        <w:tc>
          <w:tcPr>
            <w:tcW w:w="484" w:type="dxa"/>
            <w:tcBorders>
              <w:top w:val="nil"/>
              <w:left w:val="nil"/>
              <w:bottom w:val="single" w:color="auto" w:sz="8" w:space="0"/>
              <w:right w:val="single" w:color="auto" w:sz="8" w:space="0"/>
            </w:tcBorders>
            <w:shd w:val="clear" w:color="auto" w:fill="auto"/>
            <w:noWrap/>
            <w:vAlign w:val="center"/>
          </w:tcPr>
          <w:p w14:paraId="0E9B6398">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7.9</w:t>
            </w:r>
          </w:p>
        </w:tc>
        <w:tc>
          <w:tcPr>
            <w:tcW w:w="484" w:type="dxa"/>
            <w:tcBorders>
              <w:top w:val="nil"/>
              <w:left w:val="nil"/>
              <w:bottom w:val="single" w:color="auto" w:sz="8" w:space="0"/>
              <w:right w:val="single" w:color="auto" w:sz="8" w:space="0"/>
            </w:tcBorders>
            <w:shd w:val="clear" w:color="auto" w:fill="auto"/>
            <w:noWrap/>
            <w:vAlign w:val="center"/>
          </w:tcPr>
          <w:p w14:paraId="065A7E66">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9.1</w:t>
            </w:r>
          </w:p>
        </w:tc>
        <w:tc>
          <w:tcPr>
            <w:tcW w:w="484" w:type="dxa"/>
            <w:tcBorders>
              <w:top w:val="nil"/>
              <w:left w:val="nil"/>
              <w:bottom w:val="single" w:color="auto" w:sz="8" w:space="0"/>
              <w:right w:val="single" w:color="auto" w:sz="8" w:space="0"/>
            </w:tcBorders>
            <w:shd w:val="clear" w:color="auto" w:fill="auto"/>
            <w:noWrap/>
            <w:vAlign w:val="center"/>
          </w:tcPr>
          <w:p w14:paraId="5EE0F44A">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7.1</w:t>
            </w:r>
          </w:p>
        </w:tc>
        <w:tc>
          <w:tcPr>
            <w:tcW w:w="484" w:type="dxa"/>
            <w:tcBorders>
              <w:top w:val="nil"/>
              <w:left w:val="nil"/>
              <w:bottom w:val="single" w:color="auto" w:sz="8" w:space="0"/>
              <w:right w:val="single" w:color="auto" w:sz="8" w:space="0"/>
            </w:tcBorders>
            <w:shd w:val="clear" w:color="auto" w:fill="auto"/>
            <w:noWrap/>
            <w:vAlign w:val="center"/>
          </w:tcPr>
          <w:p w14:paraId="4C234348">
            <w:pPr>
              <w:jc w:val="center"/>
              <w:rPr>
                <w:rFonts w:hint="default" w:ascii="Times New Roman" w:hAnsi="Times New Roman" w:eastAsia="宋体" w:cs="Times New Roman"/>
                <w:color w:val="auto"/>
                <w:w w:val="99"/>
                <w:sz w:val="18"/>
                <w:szCs w:val="18"/>
                <w:highlight w:val="none"/>
              </w:rPr>
            </w:pPr>
            <w:r>
              <w:rPr>
                <w:rFonts w:hint="default" w:ascii="Times New Roman" w:hAnsi="Times New Roman" w:eastAsia="宋体" w:cs="Times New Roman"/>
                <w:color w:val="auto"/>
                <w:w w:val="99"/>
                <w:sz w:val="18"/>
                <w:szCs w:val="18"/>
                <w:highlight w:val="none"/>
              </w:rPr>
              <w:t>1.8</w:t>
            </w:r>
          </w:p>
        </w:tc>
      </w:tr>
    </w:tbl>
    <w:p w14:paraId="32C86377">
      <w:pPr>
        <w:pStyle w:val="46"/>
        <w:spacing w:after="0" w:line="240" w:lineRule="auto"/>
        <w:ind w:left="0" w:leftChars="0" w:firstLine="400"/>
        <w:jc w:val="center"/>
        <w:rPr>
          <w:rFonts w:hint="default" w:ascii="Times New Roman" w:hAnsi="Times New Roman" w:eastAsia="宋体" w:cs="Times New Roman"/>
          <w:b/>
          <w:color w:val="0000FF"/>
          <w:w w:val="99"/>
          <w:sz w:val="24"/>
          <w:highlight w:val="none"/>
        </w:rPr>
      </w:pPr>
      <w:r>
        <w:rPr>
          <w:rFonts w:hint="default" w:ascii="Times New Roman" w:hAnsi="Times New Roman" w:eastAsia="宋体" w:cs="Times New Roman"/>
          <w:color w:val="0000FF"/>
          <w:w w:val="99"/>
          <w:highlight w:val="none"/>
        </w:rPr>
        <w:drawing>
          <wp:inline distT="0" distB="0" distL="0" distR="0">
            <wp:extent cx="3009900" cy="271780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3"/>
                    <a:stretch>
                      <a:fillRect/>
                    </a:stretch>
                  </pic:blipFill>
                  <pic:spPr>
                    <a:xfrm>
                      <a:off x="0" y="0"/>
                      <a:ext cx="3018680" cy="2725875"/>
                    </a:xfrm>
                    <a:prstGeom prst="rect">
                      <a:avLst/>
                    </a:prstGeom>
                  </pic:spPr>
                </pic:pic>
              </a:graphicData>
            </a:graphic>
          </wp:inline>
        </w:drawing>
      </w:r>
    </w:p>
    <w:p w14:paraId="52ED0845">
      <w:pPr>
        <w:pStyle w:val="46"/>
        <w:spacing w:after="0" w:line="240" w:lineRule="auto"/>
        <w:ind w:left="0" w:leftChars="0" w:firstLine="400"/>
        <w:jc w:val="center"/>
        <w:rPr>
          <w:rFonts w:hint="default" w:ascii="Times New Roman" w:hAnsi="Times New Roman" w:eastAsia="宋体" w:cs="Times New Roman"/>
          <w:b/>
          <w:color w:val="auto"/>
          <w:w w:val="99"/>
          <w:sz w:val="24"/>
          <w:highlight w:val="none"/>
        </w:rPr>
      </w:pPr>
      <w:r>
        <w:rPr>
          <w:rFonts w:hint="default" w:ascii="Times New Roman" w:hAnsi="Times New Roman" w:eastAsia="宋体" w:cs="Times New Roman"/>
          <w:color w:val="auto"/>
          <w:w w:val="99"/>
          <w:highlight w:val="none"/>
        </w:rPr>
        <w:drawing>
          <wp:inline distT="0" distB="0" distL="0" distR="0">
            <wp:extent cx="1714500" cy="1556385"/>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4"/>
                    <a:stretch>
                      <a:fillRect/>
                    </a:stretch>
                  </pic:blipFill>
                  <pic:spPr>
                    <a:xfrm>
                      <a:off x="0" y="0"/>
                      <a:ext cx="1746315" cy="1585877"/>
                    </a:xfrm>
                    <a:prstGeom prst="rect">
                      <a:avLst/>
                    </a:prstGeom>
                  </pic:spPr>
                </pic:pic>
              </a:graphicData>
            </a:graphic>
          </wp:inline>
        </w:drawing>
      </w:r>
    </w:p>
    <w:p w14:paraId="76B73023">
      <w:pPr>
        <w:pStyle w:val="46"/>
        <w:spacing w:after="0" w:line="240" w:lineRule="auto"/>
        <w:ind w:left="0" w:leftChars="0" w:firstLine="478"/>
        <w:jc w:val="center"/>
        <w:rPr>
          <w:rFonts w:hint="default" w:ascii="Times New Roman" w:hAnsi="Times New Roman" w:eastAsia="宋体" w:cs="Times New Roman"/>
          <w:b/>
          <w:color w:val="auto"/>
          <w:w w:val="99"/>
          <w:sz w:val="24"/>
          <w:highlight w:val="none"/>
        </w:rPr>
      </w:pPr>
      <w:r>
        <w:rPr>
          <w:rFonts w:hint="default" w:ascii="Times New Roman" w:hAnsi="Times New Roman" w:eastAsia="宋体" w:cs="Times New Roman"/>
          <w:b/>
          <w:color w:val="auto"/>
          <w:w w:val="99"/>
          <w:sz w:val="24"/>
          <w:highlight w:val="none"/>
        </w:rPr>
        <w:t>图5.1-1</w:t>
      </w:r>
      <w:r>
        <w:rPr>
          <w:rFonts w:hint="eastAsia" w:ascii="Times New Roman" w:hAnsi="Times New Roman" w:eastAsia="宋体" w:cs="Times New Roman"/>
          <w:b/>
          <w:color w:val="auto"/>
          <w:w w:val="99"/>
          <w:sz w:val="24"/>
          <w:highlight w:val="none"/>
          <w:lang w:val="en-US" w:eastAsia="zh-CN"/>
        </w:rPr>
        <w:t>0</w:t>
      </w:r>
      <w:r>
        <w:rPr>
          <w:rFonts w:hint="default" w:ascii="Times New Roman" w:hAnsi="Times New Roman" w:eastAsia="宋体" w:cs="Times New Roman"/>
          <w:b/>
          <w:color w:val="auto"/>
          <w:w w:val="99"/>
          <w:sz w:val="24"/>
          <w:highlight w:val="none"/>
        </w:rPr>
        <w:t xml:space="preserve">   年均风频季变化及年均风频玫瑰图</w:t>
      </w:r>
    </w:p>
    <w:p w14:paraId="3CB34CE0">
      <w:pPr>
        <w:widowControl w:val="0"/>
        <w:spacing w:line="440" w:lineRule="exact"/>
        <w:jc w:val="both"/>
        <w:outlineLvl w:val="3"/>
        <w:rPr>
          <w:rFonts w:ascii="Times New Roman" w:hAnsi="Times New Roman" w:cs="Times New Roman" w:eastAsiaTheme="minorEastAsia"/>
          <w:b/>
          <w:color w:val="auto"/>
          <w:w w:val="99"/>
        </w:rPr>
      </w:pPr>
      <w:r>
        <w:rPr>
          <w:rFonts w:ascii="Times New Roman" w:hAnsi="Times New Roman" w:cs="Times New Roman" w:eastAsiaTheme="minorEastAsia"/>
          <w:b/>
          <w:color w:val="auto"/>
          <w:w w:val="99"/>
        </w:rPr>
        <w:t>5.1.2.3污染源调查</w:t>
      </w:r>
    </w:p>
    <w:p w14:paraId="767E8F1F">
      <w:pPr>
        <w:widowControl w:val="0"/>
        <w:spacing w:line="440" w:lineRule="exact"/>
        <w:ind w:firstLine="474" w:firstLineChars="200"/>
        <w:jc w:val="both"/>
        <w:rPr>
          <w:rFonts w:ascii="Times New Roman" w:hAnsi="Times New Roman" w:cs="Times New Roman"/>
          <w:color w:val="auto"/>
          <w:w w:val="99"/>
          <w:lang w:val="zh-CN"/>
        </w:rPr>
      </w:pPr>
      <w:r>
        <w:rPr>
          <w:rFonts w:ascii="Times New Roman" w:hAnsi="Times New Roman" w:cs="Times New Roman"/>
          <w:color w:val="auto"/>
          <w:w w:val="99"/>
          <w:lang w:val="zh-CN"/>
        </w:rPr>
        <w:t>（1）本项目污染源</w:t>
      </w:r>
    </w:p>
    <w:p w14:paraId="01233781">
      <w:pPr>
        <w:widowControl w:val="0"/>
        <w:spacing w:line="440" w:lineRule="exact"/>
        <w:ind w:firstLine="474" w:firstLineChars="200"/>
        <w:jc w:val="both"/>
        <w:rPr>
          <w:rFonts w:ascii="Times New Roman" w:hAnsi="Times New Roman" w:cs="Times New Roman" w:eastAsiaTheme="minorEastAsia"/>
          <w:color w:val="auto"/>
          <w:w w:val="99"/>
          <w:highlight w:val="none"/>
          <w:lang w:bidi="zh-CN"/>
        </w:rPr>
      </w:pPr>
      <w:r>
        <w:rPr>
          <w:rFonts w:ascii="Times New Roman" w:hAnsi="Times New Roman" w:cs="Times New Roman"/>
          <w:color w:val="auto"/>
          <w:w w:val="99"/>
          <w:lang w:val="zh-CN"/>
        </w:rPr>
        <w:t>根据对本项目的性质和环境要素分析可知，</w:t>
      </w:r>
      <w:r>
        <w:rPr>
          <w:rFonts w:ascii="Times New Roman" w:hAnsi="Times New Roman" w:cs="Times New Roman" w:eastAsiaTheme="minorEastAsia"/>
          <w:color w:val="auto"/>
          <w:w w:val="99"/>
          <w:highlight w:val="none"/>
          <w:lang w:bidi="zh-CN"/>
        </w:rPr>
        <w:t>本项目运营期大气污染源主要为</w:t>
      </w:r>
      <w:r>
        <w:rPr>
          <w:rFonts w:hint="eastAsia" w:ascii="Times New Roman" w:hAnsi="Times New Roman" w:cs="Times New Roman" w:eastAsiaTheme="minorEastAsia"/>
          <w:color w:val="auto"/>
          <w:w w:val="99"/>
          <w:highlight w:val="none"/>
          <w:lang w:val="en-US" w:bidi="zh-CN"/>
        </w:rPr>
        <w:t>依托集气站</w:t>
      </w:r>
      <w:r>
        <w:rPr>
          <w:rFonts w:ascii="Times New Roman" w:hAnsi="Times New Roman" w:cs="Times New Roman" w:eastAsiaTheme="minorEastAsia"/>
          <w:color w:val="auto"/>
          <w:w w:val="99"/>
          <w:highlight w:val="none"/>
          <w:lang w:bidi="zh-CN"/>
        </w:rPr>
        <w:t>天然气加热炉产生的燃烧烟气（SO</w:t>
      </w:r>
      <w:r>
        <w:rPr>
          <w:rFonts w:ascii="Times New Roman" w:hAnsi="Times New Roman" w:cs="Times New Roman" w:eastAsiaTheme="minorEastAsia"/>
          <w:color w:val="auto"/>
          <w:w w:val="99"/>
          <w:highlight w:val="none"/>
          <w:vertAlign w:val="subscript"/>
          <w:lang w:bidi="zh-CN"/>
        </w:rPr>
        <w:t>2</w:t>
      </w:r>
      <w:r>
        <w:rPr>
          <w:rFonts w:ascii="Times New Roman" w:hAnsi="Times New Roman" w:cs="Times New Roman" w:eastAsiaTheme="minorEastAsia"/>
          <w:color w:val="auto"/>
          <w:w w:val="99"/>
          <w:highlight w:val="none"/>
          <w:lang w:bidi="zh-CN"/>
        </w:rPr>
        <w:t>、NOx 、颗粒物、烟气黑度）、天然气开采及集输过程中无组织排放的烃类气体（以 NMHC 计）。</w:t>
      </w:r>
    </w:p>
    <w:p w14:paraId="6E0D87B9">
      <w:pPr>
        <w:widowControl w:val="0"/>
        <w:spacing w:line="440" w:lineRule="exact"/>
        <w:ind w:firstLine="474" w:firstLineChars="200"/>
        <w:jc w:val="both"/>
        <w:rPr>
          <w:rFonts w:ascii="Times New Roman" w:hAnsi="Times New Roman" w:cs="Times New Roman"/>
          <w:color w:val="auto"/>
          <w:w w:val="99"/>
          <w:lang w:val="zh-CN"/>
        </w:rPr>
      </w:pPr>
      <w:r>
        <w:rPr>
          <w:rFonts w:ascii="Times New Roman" w:hAnsi="Times New Roman" w:cs="Times New Roman"/>
          <w:color w:val="auto"/>
          <w:w w:val="99"/>
          <w:lang w:val="zh-CN"/>
        </w:rPr>
        <w:t>根据《大气挥发性有机物源排放清单编制技术指南（试行）》中石油化工业天然原油和天然气开采，</w:t>
      </w:r>
      <w:r>
        <w:rPr>
          <w:rFonts w:hint="eastAsia" w:ascii="Times New Roman" w:hAnsi="Times New Roman" w:cs="Times New Roman"/>
          <w:color w:val="auto"/>
          <w:w w:val="99"/>
          <w:lang w:val="en-US" w:eastAsia="zh-CN"/>
        </w:rPr>
        <w:t>天然气</w:t>
      </w:r>
      <w:r>
        <w:rPr>
          <w:rFonts w:ascii="Times New Roman" w:hAnsi="Times New Roman" w:cs="Times New Roman"/>
          <w:color w:val="auto"/>
          <w:w w:val="99"/>
          <w:lang w:val="zh-CN"/>
        </w:rPr>
        <w:t>开采挥发性有机物产生系数为</w:t>
      </w:r>
      <w:r>
        <w:rPr>
          <w:rFonts w:hint="eastAsia" w:ascii="Times New Roman" w:hAnsi="Times New Roman" w:cs="Times New Roman"/>
          <w:color w:val="auto"/>
          <w:w w:val="99"/>
          <w:lang w:val="en-US" w:eastAsia="zh-CN"/>
        </w:rPr>
        <w:t>0.5</w:t>
      </w:r>
      <w:r>
        <w:rPr>
          <w:rFonts w:ascii="Times New Roman" w:hAnsi="Times New Roman" w:cs="Times New Roman"/>
          <w:color w:val="auto"/>
          <w:w w:val="99"/>
          <w:lang w:val="zh-CN"/>
        </w:rPr>
        <w:t>g/kg</w:t>
      </w:r>
      <w:r>
        <w:rPr>
          <w:rFonts w:hint="eastAsia" w:ascii="Times New Roman" w:hAnsi="Times New Roman" w:cs="Times New Roman"/>
          <w:color w:val="auto"/>
          <w:w w:val="99"/>
          <w:lang w:val="en-US" w:eastAsia="zh-CN"/>
        </w:rPr>
        <w:t>天然气</w:t>
      </w:r>
      <w:r>
        <w:rPr>
          <w:rFonts w:ascii="Times New Roman" w:hAnsi="Times New Roman" w:cs="Times New Roman"/>
          <w:color w:val="auto"/>
          <w:w w:val="99"/>
          <w:lang w:val="zh-CN"/>
        </w:rPr>
        <w:t>，</w:t>
      </w:r>
      <w:r>
        <w:rPr>
          <w:rFonts w:ascii="Times New Roman" w:hAnsi="Times New Roman" w:cs="Times New Roman" w:eastAsiaTheme="minorEastAsia"/>
          <w:color w:val="auto"/>
          <w:w w:val="99"/>
          <w:kern w:val="2"/>
          <w:szCs w:val="20"/>
          <w:highlight w:val="none"/>
        </w:rPr>
        <w:t>据工程分析可知整个</w:t>
      </w:r>
      <w:r>
        <w:rPr>
          <w:rFonts w:hint="eastAsia" w:ascii="Times New Roman" w:hAnsi="Times New Roman" w:cs="Times New Roman" w:eastAsiaTheme="minorEastAsia"/>
          <w:color w:val="auto"/>
          <w:w w:val="99"/>
          <w:kern w:val="2"/>
          <w:szCs w:val="20"/>
          <w:highlight w:val="none"/>
          <w:lang w:val="en-US" w:eastAsia="zh-CN"/>
        </w:rPr>
        <w:t>天然气</w:t>
      </w:r>
      <w:r>
        <w:rPr>
          <w:rFonts w:ascii="Times New Roman" w:hAnsi="Times New Roman" w:cs="Times New Roman" w:eastAsiaTheme="minorEastAsia"/>
          <w:color w:val="auto"/>
          <w:w w:val="99"/>
          <w:kern w:val="2"/>
          <w:szCs w:val="20"/>
          <w:highlight w:val="none"/>
        </w:rPr>
        <w:t>集输过程中非甲烷总烃挥发量为</w:t>
      </w:r>
      <w:r>
        <w:rPr>
          <w:rFonts w:hint="eastAsia" w:ascii="Times New Roman" w:hAnsi="Times New Roman" w:cs="Times New Roman" w:eastAsiaTheme="minorEastAsia"/>
          <w:color w:val="auto"/>
          <w:w w:val="99"/>
          <w:kern w:val="2"/>
          <w:szCs w:val="20"/>
          <w:highlight w:val="none"/>
          <w:lang w:val="en-US" w:eastAsia="zh-CN"/>
        </w:rPr>
        <w:t>11.669t</w:t>
      </w:r>
      <w:r>
        <w:rPr>
          <w:rFonts w:ascii="Times New Roman" w:hAnsi="Times New Roman" w:cs="Times New Roman" w:eastAsiaTheme="minorEastAsia"/>
          <w:color w:val="auto"/>
          <w:w w:val="99"/>
          <w:kern w:val="2"/>
          <w:szCs w:val="20"/>
          <w:highlight w:val="none"/>
          <w:lang w:bidi="zh-CN"/>
        </w:rPr>
        <w:t>/a</w:t>
      </w:r>
      <w:r>
        <w:rPr>
          <w:rFonts w:ascii="Times New Roman" w:hAnsi="Times New Roman" w:cs="Times New Roman" w:eastAsiaTheme="minorEastAsia"/>
          <w:color w:val="auto"/>
          <w:w w:val="99"/>
          <w:kern w:val="2"/>
          <w:szCs w:val="20"/>
          <w:highlight w:val="none"/>
        </w:rPr>
        <w:t>，主要排放位置有井场、集输管道阀门、</w:t>
      </w:r>
      <w:r>
        <w:rPr>
          <w:rFonts w:hint="eastAsia" w:ascii="Times New Roman" w:hAnsi="Times New Roman" w:cs="Times New Roman" w:eastAsiaTheme="minorEastAsia"/>
          <w:color w:val="auto"/>
          <w:w w:val="99"/>
          <w:kern w:val="2"/>
          <w:szCs w:val="20"/>
          <w:highlight w:val="none"/>
          <w:lang w:val="en-US" w:eastAsia="zh-CN"/>
        </w:rPr>
        <w:t>集气站</w:t>
      </w:r>
      <w:r>
        <w:rPr>
          <w:rFonts w:ascii="Times New Roman" w:hAnsi="Times New Roman" w:cs="Times New Roman" w:eastAsiaTheme="minorEastAsia"/>
          <w:color w:val="auto"/>
          <w:w w:val="99"/>
          <w:kern w:val="2"/>
          <w:szCs w:val="20"/>
          <w:highlight w:val="none"/>
        </w:rPr>
        <w:t>等位置，其中</w:t>
      </w:r>
      <w:r>
        <w:rPr>
          <w:rFonts w:hint="eastAsia" w:ascii="Times New Roman" w:hAnsi="Times New Roman" w:cs="Times New Roman" w:eastAsiaTheme="minorEastAsia"/>
          <w:color w:val="auto"/>
          <w:w w:val="99"/>
          <w:kern w:val="2"/>
          <w:szCs w:val="20"/>
          <w:highlight w:val="none"/>
          <w:lang w:val="en-US" w:eastAsia="zh-CN"/>
        </w:rPr>
        <w:t>气井</w:t>
      </w:r>
      <w:r>
        <w:rPr>
          <w:rFonts w:ascii="Times New Roman" w:hAnsi="Times New Roman" w:cs="Times New Roman" w:eastAsiaTheme="minorEastAsia"/>
          <w:color w:val="auto"/>
          <w:w w:val="99"/>
          <w:kern w:val="2"/>
          <w:szCs w:val="20"/>
          <w:highlight w:val="none"/>
        </w:rPr>
        <w:t>井场占比</w:t>
      </w:r>
      <w:r>
        <w:rPr>
          <w:rFonts w:hint="eastAsia" w:ascii="Times New Roman" w:hAnsi="Times New Roman" w:cs="Times New Roman" w:eastAsiaTheme="minorEastAsia"/>
          <w:color w:val="auto"/>
          <w:w w:val="99"/>
          <w:kern w:val="2"/>
          <w:szCs w:val="20"/>
          <w:highlight w:val="none"/>
          <w:lang w:val="en-US" w:eastAsia="zh-CN"/>
        </w:rPr>
        <w:t>各</w:t>
      </w:r>
      <w:r>
        <w:rPr>
          <w:rFonts w:ascii="Times New Roman" w:hAnsi="Times New Roman" w:cs="Times New Roman" w:eastAsiaTheme="minorEastAsia"/>
          <w:color w:val="auto"/>
          <w:w w:val="99"/>
          <w:kern w:val="2"/>
          <w:szCs w:val="20"/>
          <w:highlight w:val="none"/>
        </w:rPr>
        <w:t>约30%</w:t>
      </w:r>
      <w:r>
        <w:rPr>
          <w:rFonts w:hint="eastAsia" w:ascii="Times New Roman" w:hAnsi="Times New Roman" w:cs="Times New Roman" w:eastAsiaTheme="minorEastAsia"/>
          <w:color w:val="auto"/>
          <w:w w:val="99"/>
          <w:kern w:val="2"/>
          <w:szCs w:val="20"/>
          <w:highlight w:val="none"/>
          <w:lang w:val="en-US" w:eastAsia="zh-CN"/>
        </w:rPr>
        <w:t>，</w:t>
      </w:r>
      <w:r>
        <w:rPr>
          <w:rFonts w:ascii="Times New Roman" w:hAnsi="Times New Roman" w:cs="Times New Roman" w:eastAsiaTheme="minorEastAsia"/>
          <w:color w:val="auto"/>
          <w:w w:val="99"/>
          <w:highlight w:val="none"/>
        </w:rPr>
        <w:t>经核算本项目</w:t>
      </w:r>
      <w:r>
        <w:rPr>
          <w:rFonts w:hint="eastAsia" w:ascii="Times New Roman" w:hAnsi="Times New Roman" w:cs="Times New Roman" w:eastAsiaTheme="minorEastAsia"/>
          <w:bCs/>
          <w:color w:val="auto"/>
          <w:w w:val="99"/>
          <w:highlight w:val="none"/>
          <w:lang w:val="en-US" w:eastAsia="zh-CN"/>
        </w:rPr>
        <w:t>单井井场</w:t>
      </w:r>
      <w:r>
        <w:rPr>
          <w:rFonts w:ascii="Times New Roman" w:hAnsi="Times New Roman" w:cs="Times New Roman" w:eastAsiaTheme="minorEastAsia"/>
          <w:color w:val="auto"/>
          <w:w w:val="99"/>
          <w:highlight w:val="none"/>
        </w:rPr>
        <w:t>非甲烷总烃逸散量</w:t>
      </w:r>
      <w:r>
        <w:rPr>
          <w:rFonts w:hint="eastAsia" w:ascii="Times New Roman" w:hAnsi="Times New Roman" w:cs="Times New Roman" w:eastAsiaTheme="minorEastAsia"/>
          <w:color w:val="auto"/>
          <w:w w:val="99"/>
          <w:highlight w:val="none"/>
          <w:lang w:val="en-US" w:eastAsia="zh-CN"/>
        </w:rPr>
        <w:t>均</w:t>
      </w:r>
      <w:r>
        <w:rPr>
          <w:rFonts w:ascii="Times New Roman" w:hAnsi="Times New Roman" w:cs="Times New Roman" w:eastAsiaTheme="minorEastAsia"/>
          <w:color w:val="auto"/>
          <w:w w:val="99"/>
          <w:highlight w:val="none"/>
        </w:rPr>
        <w:t>为</w:t>
      </w:r>
      <w:r>
        <w:rPr>
          <w:rFonts w:hint="eastAsia" w:ascii="Times New Roman" w:hAnsi="Times New Roman" w:cs="Times New Roman" w:eastAsiaTheme="minorEastAsia"/>
          <w:color w:val="auto"/>
          <w:w w:val="99"/>
          <w:highlight w:val="none"/>
          <w:lang w:val="en-US" w:eastAsia="zh-CN"/>
        </w:rPr>
        <w:t>3.50</w:t>
      </w:r>
      <w:r>
        <w:rPr>
          <w:rFonts w:ascii="Times New Roman" w:hAnsi="Times New Roman" w:cs="Times New Roman" w:eastAsiaTheme="minorEastAsia"/>
          <w:color w:val="auto"/>
          <w:w w:val="99"/>
          <w:highlight w:val="none"/>
        </w:rPr>
        <w:t>t/a、</w:t>
      </w:r>
      <w:r>
        <w:rPr>
          <w:rFonts w:hint="eastAsia" w:ascii="Times New Roman" w:hAnsi="Times New Roman" w:cs="Times New Roman" w:eastAsiaTheme="minorEastAsia"/>
          <w:bCs/>
          <w:color w:val="auto"/>
          <w:w w:val="99"/>
          <w:highlight w:val="none"/>
          <w:lang w:val="en-US" w:eastAsia="zh-CN"/>
        </w:rPr>
        <w:t>0.399</w:t>
      </w:r>
      <w:r>
        <w:rPr>
          <w:rFonts w:ascii="Times New Roman" w:hAnsi="Times New Roman" w:cs="Times New Roman" w:eastAsiaTheme="minorEastAsia"/>
          <w:bCs/>
          <w:color w:val="auto"/>
          <w:w w:val="99"/>
          <w:highlight w:val="none"/>
        </w:rPr>
        <w:t>kg/h</w:t>
      </w:r>
      <w:r>
        <w:rPr>
          <w:rFonts w:ascii="Times New Roman" w:hAnsi="Times New Roman" w:cs="Times New Roman" w:eastAsiaTheme="minorEastAsia"/>
          <w:color w:val="auto"/>
          <w:w w:val="99"/>
          <w:highlight w:val="none"/>
        </w:rPr>
        <w:t>。</w:t>
      </w:r>
      <w:r>
        <w:rPr>
          <w:rFonts w:ascii="Times New Roman" w:hAnsi="Times New Roman" w:cs="Times New Roman"/>
          <w:color w:val="auto"/>
          <w:w w:val="99"/>
          <w:lang w:val="zh-CN"/>
        </w:rPr>
        <w:t>根据大气评价等级判定分析，本项目大气评价等级为一级。</w:t>
      </w:r>
    </w:p>
    <w:p w14:paraId="36EAF36D">
      <w:pPr>
        <w:widowControl w:val="0"/>
        <w:spacing w:line="440" w:lineRule="exact"/>
        <w:ind w:firstLine="474" w:firstLineChars="200"/>
        <w:jc w:val="both"/>
        <w:rPr>
          <w:rFonts w:ascii="Times New Roman" w:hAnsi="Times New Roman" w:cs="Times New Roman"/>
          <w:color w:val="auto"/>
          <w:w w:val="99"/>
          <w:lang w:val="zh-CN"/>
        </w:rPr>
      </w:pPr>
      <w:r>
        <w:rPr>
          <w:rFonts w:ascii="Times New Roman" w:hAnsi="Times New Roman" w:cs="Times New Roman"/>
          <w:color w:val="auto"/>
          <w:w w:val="99"/>
          <w:lang w:val="zh-CN"/>
        </w:rPr>
        <w:t>（2）本项目拟替代的污染源</w:t>
      </w:r>
    </w:p>
    <w:p w14:paraId="726B751F">
      <w:pPr>
        <w:widowControl w:val="0"/>
        <w:spacing w:line="440" w:lineRule="exact"/>
        <w:ind w:firstLine="474" w:firstLineChars="200"/>
        <w:jc w:val="both"/>
        <w:rPr>
          <w:rFonts w:ascii="Times New Roman" w:hAnsi="Times New Roman" w:cs="Times New Roman"/>
          <w:color w:val="auto"/>
          <w:w w:val="99"/>
          <w:lang w:val="zh-CN"/>
        </w:rPr>
      </w:pPr>
      <w:r>
        <w:rPr>
          <w:rFonts w:ascii="Times New Roman" w:hAnsi="Times New Roman" w:cs="Times New Roman"/>
          <w:color w:val="auto"/>
          <w:w w:val="99"/>
          <w:lang w:val="zh-CN"/>
        </w:rPr>
        <w:t>根据建设单位提供资料和现场调查，项目区域不存在拟替代的污染源。</w:t>
      </w:r>
    </w:p>
    <w:p w14:paraId="7D5B6E6A">
      <w:pPr>
        <w:widowControl w:val="0"/>
        <w:spacing w:line="440" w:lineRule="exact"/>
        <w:ind w:firstLine="474" w:firstLineChars="200"/>
        <w:jc w:val="both"/>
        <w:rPr>
          <w:rFonts w:ascii="Times New Roman" w:hAnsi="Times New Roman" w:cs="Times New Roman"/>
          <w:color w:val="auto"/>
          <w:w w:val="99"/>
          <w:lang w:val="zh-CN"/>
        </w:rPr>
      </w:pPr>
      <w:r>
        <w:rPr>
          <w:rFonts w:ascii="Times New Roman" w:hAnsi="Times New Roman" w:cs="Times New Roman"/>
          <w:color w:val="auto"/>
          <w:w w:val="99"/>
          <w:lang w:val="zh-CN"/>
        </w:rPr>
        <w:t>（3）其他在建项目、已批复环境影响评价文件的拟建项目污染源</w:t>
      </w:r>
    </w:p>
    <w:p w14:paraId="579082FF">
      <w:pPr>
        <w:widowControl w:val="0"/>
        <w:spacing w:line="440" w:lineRule="exact"/>
        <w:ind w:firstLine="474" w:firstLineChars="200"/>
        <w:jc w:val="both"/>
        <w:rPr>
          <w:rFonts w:ascii="Times New Roman" w:hAnsi="Times New Roman" w:cs="Times New Roman"/>
          <w:color w:val="auto"/>
          <w:w w:val="99"/>
          <w:lang w:val="zh-CN"/>
        </w:rPr>
      </w:pPr>
      <w:r>
        <w:rPr>
          <w:rFonts w:ascii="Times New Roman" w:hAnsi="Times New Roman" w:cs="Times New Roman"/>
          <w:color w:val="auto"/>
          <w:w w:val="99"/>
          <w:lang w:val="zh-CN"/>
        </w:rPr>
        <w:t>根据建设单位提供的项目区建设情况及现场调查本次拟开发的区块大气评价区域目前不存在与评价项目排放污染物有关的其他在建项目、已批复环境影响评价文件的拟建项目。</w:t>
      </w:r>
    </w:p>
    <w:p w14:paraId="2A6F5838">
      <w:pPr>
        <w:widowControl w:val="0"/>
        <w:spacing w:line="440" w:lineRule="exact"/>
        <w:jc w:val="both"/>
        <w:outlineLvl w:val="3"/>
        <w:rPr>
          <w:rFonts w:hint="eastAsia" w:ascii="Times New Roman" w:hAnsi="Times New Roman" w:cs="Times New Roman" w:eastAsiaTheme="minorEastAsia"/>
          <w:b/>
          <w:color w:val="auto"/>
          <w:w w:val="99"/>
          <w:highlight w:val="none"/>
          <w:lang w:val="en-US" w:eastAsia="zh-CN"/>
        </w:rPr>
      </w:pPr>
      <w:r>
        <w:rPr>
          <w:rFonts w:ascii="Times New Roman" w:hAnsi="Times New Roman" w:cs="Times New Roman" w:eastAsiaTheme="minorEastAsia"/>
          <w:b/>
          <w:color w:val="auto"/>
          <w:w w:val="99"/>
          <w:highlight w:val="none"/>
          <w:lang w:val="zh-CN"/>
        </w:rPr>
        <w:t>5.1.2.</w:t>
      </w:r>
      <w:r>
        <w:rPr>
          <w:rFonts w:hint="eastAsia" w:ascii="Times New Roman" w:hAnsi="Times New Roman" w:cs="Times New Roman" w:eastAsiaTheme="minorEastAsia"/>
          <w:b/>
          <w:color w:val="auto"/>
          <w:w w:val="99"/>
          <w:highlight w:val="none"/>
          <w:lang w:val="en-US" w:eastAsia="zh-CN"/>
        </w:rPr>
        <w:t>4大气环境影响预测方案</w:t>
      </w:r>
    </w:p>
    <w:p w14:paraId="418D9179">
      <w:pPr>
        <w:widowControl w:val="0"/>
        <w:spacing w:line="440" w:lineRule="exact"/>
        <w:ind w:firstLine="474" w:firstLineChars="200"/>
        <w:jc w:val="both"/>
        <w:rPr>
          <w:rFonts w:ascii="Times New Roman" w:hAnsi="Times New Roman" w:cs="Times New Roman"/>
          <w:color w:val="auto"/>
          <w:w w:val="99"/>
          <w:highlight w:val="none"/>
          <w:lang w:val="zh-CN"/>
        </w:rPr>
      </w:pPr>
      <w:r>
        <w:rPr>
          <w:rFonts w:ascii="Times New Roman" w:hAnsi="Times New Roman" w:cs="Times New Roman"/>
          <w:color w:val="auto"/>
          <w:w w:val="99"/>
          <w:highlight w:val="none"/>
          <w:lang w:val="zh-CN"/>
        </w:rPr>
        <w:t>（1）预测模式</w:t>
      </w:r>
    </w:p>
    <w:p w14:paraId="4999C58E">
      <w:pPr>
        <w:widowControl w:val="0"/>
        <w:spacing w:line="440" w:lineRule="exact"/>
        <w:ind w:firstLine="474" w:firstLineChars="200"/>
        <w:jc w:val="both"/>
        <w:rPr>
          <w:rFonts w:ascii="Times New Roman" w:hAnsi="Times New Roman" w:cs="Times New Roman"/>
          <w:color w:val="auto"/>
          <w:w w:val="99"/>
          <w:highlight w:val="none"/>
          <w:lang w:val="zh-CN"/>
        </w:rPr>
      </w:pPr>
      <w:r>
        <w:rPr>
          <w:rFonts w:ascii="Times New Roman" w:hAnsi="Times New Roman" w:cs="Times New Roman"/>
          <w:color w:val="auto"/>
          <w:w w:val="99"/>
          <w:highlight w:val="none"/>
          <w:lang w:val="zh-CN"/>
        </w:rPr>
        <w:t>采用HJ2.2-2018推荐模式清单中的AERMOD模型进行预测，AERMOD模型版本号为2.2.0.23875。地形按简单地形考虑。</w:t>
      </w:r>
    </w:p>
    <w:p w14:paraId="073914BD">
      <w:pPr>
        <w:widowControl w:val="0"/>
        <w:spacing w:line="440" w:lineRule="exact"/>
        <w:ind w:firstLine="474" w:firstLineChars="200"/>
        <w:jc w:val="both"/>
        <w:rPr>
          <w:rFonts w:ascii="Times New Roman" w:hAnsi="Times New Roman" w:cs="Times New Roman"/>
          <w:color w:val="auto"/>
          <w:w w:val="99"/>
          <w:highlight w:val="none"/>
          <w:lang w:val="zh-CN"/>
        </w:rPr>
      </w:pPr>
      <w:r>
        <w:rPr>
          <w:rFonts w:ascii="Times New Roman" w:hAnsi="Times New Roman" w:cs="Times New Roman"/>
          <w:color w:val="auto"/>
          <w:w w:val="99"/>
          <w:highlight w:val="none"/>
          <w:lang w:val="zh-CN"/>
        </w:rPr>
        <w:t>（2）气象资料</w:t>
      </w:r>
    </w:p>
    <w:p w14:paraId="167FB840">
      <w:pPr>
        <w:widowControl w:val="0"/>
        <w:spacing w:line="440" w:lineRule="exact"/>
        <w:ind w:firstLine="474" w:firstLineChars="200"/>
        <w:jc w:val="both"/>
        <w:rPr>
          <w:rFonts w:ascii="Times New Roman" w:hAnsi="Times New Roman" w:cs="Times New Roman"/>
          <w:color w:val="auto"/>
          <w:w w:val="99"/>
          <w:highlight w:val="none"/>
          <w:lang w:val="zh-CN"/>
        </w:rPr>
      </w:pPr>
      <w:r>
        <w:rPr>
          <w:rFonts w:ascii="Times New Roman" w:hAnsi="Times New Roman" w:cs="Times New Roman"/>
          <w:color w:val="auto"/>
          <w:w w:val="99"/>
          <w:highlight w:val="none"/>
          <w:lang w:val="zh-CN"/>
        </w:rPr>
        <w:t>根据本工程的厂址位置，通过生态环境部环境工程评估中心环境空气质量模型技术支持服务系统查询确定气象资料站点，选择大庆气象站（124.99030°E，46.62080N）作为本次预测气象统计资料、地面气象数据、高空模拟气象数据来源。本工程大气预测所需的地面气象数据由国家气象信息中心提供；高空气象资料采用“中国全球大气再分析中间产品（CRA-Interim），购置于国家气象信息中心。</w:t>
      </w:r>
    </w:p>
    <w:p w14:paraId="0C5778F1">
      <w:pPr>
        <w:widowControl w:val="0"/>
        <w:spacing w:line="440" w:lineRule="exact"/>
        <w:ind w:firstLine="474" w:firstLineChars="200"/>
        <w:jc w:val="both"/>
        <w:rPr>
          <w:rFonts w:ascii="Times New Roman" w:hAnsi="Times New Roman" w:cs="Times New Roman"/>
          <w:color w:val="auto"/>
          <w:w w:val="99"/>
          <w:highlight w:val="none"/>
          <w:lang w:val="zh-CN"/>
        </w:rPr>
      </w:pPr>
      <w:r>
        <w:rPr>
          <w:rFonts w:ascii="Times New Roman" w:hAnsi="Times New Roman" w:cs="Times New Roman"/>
          <w:color w:val="auto"/>
          <w:w w:val="99"/>
          <w:highlight w:val="none"/>
          <w:lang w:val="zh-CN"/>
        </w:rPr>
        <w:t>观测气象数据及探空气象数据基本信息见表5.1-9。</w:t>
      </w:r>
    </w:p>
    <w:p w14:paraId="39316B8B">
      <w:pPr>
        <w:widowControl w:val="0"/>
        <w:spacing w:line="440" w:lineRule="exact"/>
        <w:ind w:firstLine="476" w:firstLineChars="200"/>
        <w:jc w:val="both"/>
        <w:rPr>
          <w:rFonts w:ascii="Times New Roman" w:hAnsi="Times New Roman" w:cs="Times New Roman"/>
          <w:b/>
          <w:bCs/>
          <w:color w:val="auto"/>
          <w:w w:val="99"/>
          <w:highlight w:val="none"/>
          <w:lang w:val="zh-CN"/>
        </w:rPr>
      </w:pPr>
      <w:r>
        <w:rPr>
          <w:rFonts w:ascii="Times New Roman" w:hAnsi="Times New Roman" w:cs="Times New Roman"/>
          <w:b/>
          <w:bCs/>
          <w:color w:val="auto"/>
          <w:w w:val="99"/>
          <w:highlight w:val="none"/>
          <w:lang w:val="zh-CN"/>
        </w:rPr>
        <w:t>表5.1-9    观测气象数据信息</w:t>
      </w:r>
    </w:p>
    <w:tbl>
      <w:tblPr>
        <w:tblStyle w:val="1662"/>
        <w:tblW w:w="928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4"/>
        <w:gridCol w:w="887"/>
        <w:gridCol w:w="1139"/>
        <w:gridCol w:w="1126"/>
        <w:gridCol w:w="941"/>
        <w:gridCol w:w="1026"/>
        <w:gridCol w:w="626"/>
        <w:gridCol w:w="2506"/>
      </w:tblGrid>
      <w:tr w14:paraId="7F378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34" w:type="dxa"/>
            <w:tcBorders>
              <w:left w:val="single" w:color="000000" w:sz="10" w:space="0"/>
            </w:tcBorders>
            <w:vAlign w:val="center"/>
          </w:tcPr>
          <w:p w14:paraId="1A86F26B">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气象站</w:t>
            </w:r>
          </w:p>
          <w:p w14:paraId="25EAFBF7">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名称</w:t>
            </w:r>
          </w:p>
        </w:tc>
        <w:tc>
          <w:tcPr>
            <w:tcW w:w="887" w:type="dxa"/>
            <w:vAlign w:val="center"/>
          </w:tcPr>
          <w:p w14:paraId="500F70DB">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气象站等级</w:t>
            </w:r>
          </w:p>
        </w:tc>
        <w:tc>
          <w:tcPr>
            <w:tcW w:w="2265" w:type="dxa"/>
            <w:gridSpan w:val="2"/>
            <w:vAlign w:val="center"/>
          </w:tcPr>
          <w:p w14:paraId="3AFA2B6A">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气象站坐标</w:t>
            </w:r>
          </w:p>
        </w:tc>
        <w:tc>
          <w:tcPr>
            <w:tcW w:w="941" w:type="dxa"/>
            <w:vAlign w:val="center"/>
          </w:tcPr>
          <w:p w14:paraId="23F5F1C7">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相对距离/km</w:t>
            </w:r>
          </w:p>
        </w:tc>
        <w:tc>
          <w:tcPr>
            <w:tcW w:w="1026" w:type="dxa"/>
            <w:vAlign w:val="center"/>
          </w:tcPr>
          <w:p w14:paraId="27AD5DAE">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海拔高度/m</w:t>
            </w:r>
          </w:p>
        </w:tc>
        <w:tc>
          <w:tcPr>
            <w:tcW w:w="626" w:type="dxa"/>
            <w:vAlign w:val="center"/>
          </w:tcPr>
          <w:p w14:paraId="722C696F">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数据年份/年</w:t>
            </w:r>
          </w:p>
        </w:tc>
        <w:tc>
          <w:tcPr>
            <w:tcW w:w="2506" w:type="dxa"/>
            <w:tcBorders>
              <w:right w:val="single" w:color="000000" w:sz="10" w:space="0"/>
            </w:tcBorders>
            <w:vAlign w:val="center"/>
          </w:tcPr>
          <w:p w14:paraId="06DC8D49">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气象要素</w:t>
            </w:r>
          </w:p>
        </w:tc>
      </w:tr>
      <w:tr w14:paraId="46F33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34" w:type="dxa"/>
            <w:tcBorders>
              <w:left w:val="single" w:color="000000" w:sz="10" w:space="0"/>
            </w:tcBorders>
            <w:vAlign w:val="center"/>
          </w:tcPr>
          <w:p w14:paraId="49E99195">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50850</w:t>
            </w:r>
          </w:p>
        </w:tc>
        <w:tc>
          <w:tcPr>
            <w:tcW w:w="887" w:type="dxa"/>
            <w:vAlign w:val="center"/>
          </w:tcPr>
          <w:p w14:paraId="010F612E">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一般站</w:t>
            </w:r>
          </w:p>
        </w:tc>
        <w:tc>
          <w:tcPr>
            <w:tcW w:w="1139" w:type="dxa"/>
            <w:vAlign w:val="center"/>
          </w:tcPr>
          <w:p w14:paraId="4F3BFB8D">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124.99030E</w:t>
            </w:r>
          </w:p>
        </w:tc>
        <w:tc>
          <w:tcPr>
            <w:tcW w:w="1126" w:type="dxa"/>
            <w:vAlign w:val="center"/>
          </w:tcPr>
          <w:p w14:paraId="03ECDC7A">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46.62080N</w:t>
            </w:r>
          </w:p>
        </w:tc>
        <w:tc>
          <w:tcPr>
            <w:tcW w:w="941" w:type="dxa"/>
            <w:vAlign w:val="center"/>
          </w:tcPr>
          <w:p w14:paraId="59E6FA30">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60-70</w:t>
            </w:r>
          </w:p>
        </w:tc>
        <w:tc>
          <w:tcPr>
            <w:tcW w:w="1026" w:type="dxa"/>
            <w:vAlign w:val="center"/>
          </w:tcPr>
          <w:p w14:paraId="1AD28537">
            <w:pPr>
              <w:widowControl w:val="0"/>
              <w:spacing w:line="320" w:lineRule="exact"/>
              <w:jc w:val="center"/>
              <w:rPr>
                <w:rFonts w:hint="default" w:ascii="Times New Roman" w:hAnsi="Times New Roman" w:cs="Times New Roman" w:eastAsiaTheme="minorEastAsia"/>
                <w:color w:val="auto"/>
                <w:w w:val="99"/>
                <w:sz w:val="21"/>
                <w:szCs w:val="21"/>
                <w:highlight w:val="none"/>
                <w:lang w:eastAsia="en-US"/>
              </w:rPr>
            </w:pPr>
            <w:r>
              <w:rPr>
                <w:rFonts w:hint="default" w:ascii="Times New Roman" w:hAnsi="Times New Roman" w:cs="Times New Roman" w:eastAsiaTheme="minorEastAsia"/>
                <w:color w:val="auto"/>
                <w:w w:val="99"/>
                <w:sz w:val="21"/>
                <w:szCs w:val="21"/>
                <w:highlight w:val="none"/>
                <w:lang w:eastAsia="en-US"/>
              </w:rPr>
              <w:t>152</w:t>
            </w:r>
          </w:p>
        </w:tc>
        <w:tc>
          <w:tcPr>
            <w:tcW w:w="626" w:type="dxa"/>
            <w:vAlign w:val="center"/>
          </w:tcPr>
          <w:p w14:paraId="38245611">
            <w:pPr>
              <w:widowControl w:val="0"/>
              <w:spacing w:line="320" w:lineRule="exact"/>
              <w:jc w:val="center"/>
              <w:rPr>
                <w:rFonts w:hint="eastAsia" w:ascii="Times New Roman" w:hAnsi="Times New Roman" w:cs="Times New Roman" w:eastAsiaTheme="minorEastAsia"/>
                <w:color w:val="auto"/>
                <w:w w:val="99"/>
                <w:sz w:val="21"/>
                <w:szCs w:val="21"/>
                <w:highlight w:val="none"/>
                <w:lang w:eastAsia="zh-CN"/>
              </w:rPr>
            </w:pPr>
            <w:r>
              <w:rPr>
                <w:rFonts w:hint="default" w:ascii="Times New Roman" w:hAnsi="Times New Roman" w:cs="Times New Roman" w:eastAsiaTheme="minorEastAsia"/>
                <w:color w:val="auto"/>
                <w:w w:val="99"/>
                <w:sz w:val="21"/>
                <w:szCs w:val="21"/>
                <w:highlight w:val="none"/>
                <w:lang w:eastAsia="en-US"/>
              </w:rPr>
              <w:t>202</w:t>
            </w:r>
            <w:r>
              <w:rPr>
                <w:rFonts w:hint="eastAsia" w:ascii="Times New Roman" w:hAnsi="Times New Roman" w:cs="Times New Roman" w:eastAsiaTheme="minorEastAsia"/>
                <w:color w:val="auto"/>
                <w:w w:val="99"/>
                <w:sz w:val="21"/>
                <w:szCs w:val="21"/>
                <w:highlight w:val="none"/>
                <w:lang w:val="en-US" w:eastAsia="zh-CN"/>
              </w:rPr>
              <w:t>3</w:t>
            </w:r>
          </w:p>
        </w:tc>
        <w:tc>
          <w:tcPr>
            <w:tcW w:w="2506" w:type="dxa"/>
            <w:tcBorders>
              <w:right w:val="single" w:color="000000" w:sz="10" w:space="0"/>
            </w:tcBorders>
            <w:vAlign w:val="center"/>
          </w:tcPr>
          <w:p w14:paraId="1337DE55">
            <w:pPr>
              <w:widowControl w:val="0"/>
              <w:spacing w:line="320" w:lineRule="exact"/>
              <w:jc w:val="center"/>
              <w:rPr>
                <w:rFonts w:hint="default" w:ascii="Times New Roman" w:hAnsi="Times New Roman" w:cs="Times New Roman" w:eastAsiaTheme="minorEastAsia"/>
                <w:color w:val="auto"/>
                <w:w w:val="99"/>
                <w:sz w:val="21"/>
                <w:szCs w:val="21"/>
                <w:highlight w:val="none"/>
                <w:lang w:eastAsia="zh-CN"/>
              </w:rPr>
            </w:pPr>
            <w:r>
              <w:rPr>
                <w:rFonts w:hint="default" w:ascii="Times New Roman" w:hAnsi="Times New Roman" w:cs="Times New Roman" w:eastAsiaTheme="minorEastAsia"/>
                <w:color w:val="auto"/>
                <w:w w:val="99"/>
                <w:sz w:val="21"/>
                <w:szCs w:val="21"/>
                <w:highlight w:val="none"/>
                <w:lang w:eastAsia="zh-CN"/>
              </w:rPr>
              <w:t>温度、风向、风速、总云量</w:t>
            </w:r>
          </w:p>
        </w:tc>
      </w:tr>
    </w:tbl>
    <w:p w14:paraId="539333CA">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（3）地形及土地利用参数</w:t>
      </w:r>
    </w:p>
    <w:p w14:paraId="0BAEE15E">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①地形参数</w:t>
      </w:r>
    </w:p>
    <w:p w14:paraId="6603D5E5">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地形采用 SRTM 的数据，土地利用类型采用中欧亚大陆的亚洲部分，并根据实际规划情况进行了调整。地形数据由软件配套数据库提供。</w:t>
      </w:r>
    </w:p>
    <w:p w14:paraId="427730EB">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①地表参数</w:t>
      </w:r>
    </w:p>
    <w:p w14:paraId="41B0DEFB">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评价区内地表特征为农作地（0°~360°），采用 1 个扇区。项目所处大庆市属于温带季风气候，四季气候区分明显，对地表参数按月份进行划分，其地表参数列于下表。</w:t>
      </w:r>
    </w:p>
    <w:p w14:paraId="6D7D64D6">
      <w:pPr>
        <w:pStyle w:val="153"/>
        <w:widowControl w:val="0"/>
        <w:spacing w:line="440" w:lineRule="exact"/>
        <w:ind w:firstLine="476" w:firstLineChars="200"/>
        <w:jc w:val="both"/>
        <w:rPr>
          <w:rFonts w:hint="default" w:ascii="Times New Roman" w:hAnsi="Times New Roman" w:eastAsia="宋体" w:cs="Times New Roman"/>
          <w:b/>
          <w:color w:val="auto"/>
          <w:w w:val="99"/>
          <w:highlight w:val="none"/>
          <w:lang w:val="zh-CN"/>
        </w:rPr>
      </w:pPr>
      <w:r>
        <w:rPr>
          <w:rFonts w:hint="default" w:ascii="Times New Roman" w:hAnsi="Times New Roman" w:eastAsia="宋体" w:cs="Times New Roman"/>
          <w:b/>
          <w:color w:val="auto"/>
          <w:w w:val="99"/>
          <w:highlight w:val="none"/>
          <w:lang w:val="zh-CN"/>
        </w:rPr>
        <w:t>表5.1-10    预测模式中应用的地表参数</w:t>
      </w:r>
    </w:p>
    <w:tbl>
      <w:tblPr>
        <w:tblStyle w:val="1662"/>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40"/>
        <w:gridCol w:w="1521"/>
        <w:gridCol w:w="1512"/>
        <w:gridCol w:w="1638"/>
        <w:gridCol w:w="1638"/>
        <w:gridCol w:w="1638"/>
      </w:tblGrid>
      <w:tr w14:paraId="1CB2C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602FF8F0">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序号</w:t>
            </w:r>
          </w:p>
        </w:tc>
        <w:tc>
          <w:tcPr>
            <w:tcW w:w="837" w:type="pct"/>
            <w:vAlign w:val="center"/>
          </w:tcPr>
          <w:p w14:paraId="3DDC2F18">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扇区</w:t>
            </w:r>
          </w:p>
        </w:tc>
        <w:tc>
          <w:tcPr>
            <w:tcW w:w="832" w:type="pct"/>
            <w:vAlign w:val="center"/>
          </w:tcPr>
          <w:p w14:paraId="799224B3">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时段</w:t>
            </w:r>
          </w:p>
        </w:tc>
        <w:tc>
          <w:tcPr>
            <w:tcW w:w="901" w:type="pct"/>
            <w:tcBorders>
              <w:right w:val="single" w:color="000000" w:sz="10" w:space="0"/>
            </w:tcBorders>
            <w:vAlign w:val="center"/>
          </w:tcPr>
          <w:p w14:paraId="79C8EC08">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正午反照率</w:t>
            </w:r>
          </w:p>
        </w:tc>
        <w:tc>
          <w:tcPr>
            <w:tcW w:w="901" w:type="pct"/>
            <w:tcBorders>
              <w:right w:val="single" w:color="000000" w:sz="10" w:space="0"/>
            </w:tcBorders>
          </w:tcPr>
          <w:p w14:paraId="1CAD47D6">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BOWEN</w:t>
            </w:r>
          </w:p>
        </w:tc>
        <w:tc>
          <w:tcPr>
            <w:tcW w:w="901" w:type="pct"/>
            <w:tcBorders>
              <w:right w:val="single" w:color="000000" w:sz="10" w:space="0"/>
            </w:tcBorders>
          </w:tcPr>
          <w:p w14:paraId="07D9CB09">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粗糙度</w:t>
            </w:r>
          </w:p>
        </w:tc>
      </w:tr>
      <w:tr w14:paraId="3720E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4947484A">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w:t>
            </w:r>
          </w:p>
        </w:tc>
        <w:tc>
          <w:tcPr>
            <w:tcW w:w="837" w:type="pct"/>
            <w:vAlign w:val="center"/>
          </w:tcPr>
          <w:p w14:paraId="691338C1">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63E31E5D">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一月</w:t>
            </w:r>
          </w:p>
        </w:tc>
        <w:tc>
          <w:tcPr>
            <w:tcW w:w="901" w:type="pct"/>
            <w:tcBorders>
              <w:right w:val="single" w:color="000000" w:sz="10" w:space="0"/>
            </w:tcBorders>
            <w:vAlign w:val="center"/>
          </w:tcPr>
          <w:p w14:paraId="01505ADB">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0.6</w:t>
            </w:r>
          </w:p>
        </w:tc>
        <w:tc>
          <w:tcPr>
            <w:tcW w:w="901" w:type="pct"/>
            <w:tcBorders>
              <w:right w:val="single" w:color="000000" w:sz="10" w:space="0"/>
            </w:tcBorders>
          </w:tcPr>
          <w:p w14:paraId="41673C4A">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1.5</w:t>
            </w:r>
          </w:p>
        </w:tc>
        <w:tc>
          <w:tcPr>
            <w:tcW w:w="901" w:type="pct"/>
            <w:tcBorders>
              <w:right w:val="single" w:color="000000" w:sz="10" w:space="0"/>
            </w:tcBorders>
          </w:tcPr>
          <w:p w14:paraId="57EA1C7B">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0.01</w:t>
            </w:r>
          </w:p>
        </w:tc>
      </w:tr>
      <w:tr w14:paraId="1B89F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00A45753">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2</w:t>
            </w:r>
          </w:p>
        </w:tc>
        <w:tc>
          <w:tcPr>
            <w:tcW w:w="837" w:type="pct"/>
            <w:vAlign w:val="center"/>
          </w:tcPr>
          <w:p w14:paraId="3EB9D6A8">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42BB02F2">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二月</w:t>
            </w:r>
          </w:p>
        </w:tc>
        <w:tc>
          <w:tcPr>
            <w:tcW w:w="901" w:type="pct"/>
            <w:tcBorders>
              <w:right w:val="single" w:color="000000" w:sz="10" w:space="0"/>
            </w:tcBorders>
            <w:vAlign w:val="center"/>
          </w:tcPr>
          <w:p w14:paraId="2806D28A">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0.6</w:t>
            </w:r>
          </w:p>
        </w:tc>
        <w:tc>
          <w:tcPr>
            <w:tcW w:w="901" w:type="pct"/>
            <w:tcBorders>
              <w:right w:val="single" w:color="000000" w:sz="10" w:space="0"/>
            </w:tcBorders>
          </w:tcPr>
          <w:p w14:paraId="3E08B3B7">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1.5</w:t>
            </w:r>
          </w:p>
        </w:tc>
        <w:tc>
          <w:tcPr>
            <w:tcW w:w="901" w:type="pct"/>
            <w:tcBorders>
              <w:right w:val="single" w:color="000000" w:sz="10" w:space="0"/>
            </w:tcBorders>
          </w:tcPr>
          <w:p w14:paraId="1632F125">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0.01</w:t>
            </w:r>
          </w:p>
        </w:tc>
      </w:tr>
      <w:tr w14:paraId="11AF1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2ED08136">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3</w:t>
            </w:r>
          </w:p>
        </w:tc>
        <w:tc>
          <w:tcPr>
            <w:tcW w:w="837" w:type="pct"/>
            <w:vAlign w:val="center"/>
          </w:tcPr>
          <w:p w14:paraId="14E08A71">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350CC91D">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三月</w:t>
            </w:r>
          </w:p>
        </w:tc>
        <w:tc>
          <w:tcPr>
            <w:tcW w:w="901" w:type="pct"/>
            <w:tcBorders>
              <w:right w:val="single" w:color="000000" w:sz="10" w:space="0"/>
            </w:tcBorders>
            <w:vAlign w:val="center"/>
          </w:tcPr>
          <w:p w14:paraId="1E13C094">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0.14</w:t>
            </w:r>
          </w:p>
        </w:tc>
        <w:tc>
          <w:tcPr>
            <w:tcW w:w="901" w:type="pct"/>
            <w:tcBorders>
              <w:right w:val="single" w:color="000000" w:sz="10" w:space="0"/>
            </w:tcBorders>
          </w:tcPr>
          <w:p w14:paraId="38B54459">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w:t>
            </w:r>
          </w:p>
        </w:tc>
        <w:tc>
          <w:tcPr>
            <w:tcW w:w="901" w:type="pct"/>
            <w:tcBorders>
              <w:right w:val="single" w:color="000000" w:sz="10" w:space="0"/>
            </w:tcBorders>
          </w:tcPr>
          <w:p w14:paraId="12A69A79">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0.03</w:t>
            </w:r>
          </w:p>
        </w:tc>
      </w:tr>
      <w:tr w14:paraId="05DF5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0205017A">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4</w:t>
            </w:r>
          </w:p>
        </w:tc>
        <w:tc>
          <w:tcPr>
            <w:tcW w:w="837" w:type="pct"/>
            <w:vAlign w:val="center"/>
          </w:tcPr>
          <w:p w14:paraId="1B365A72">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1234BB75">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四月</w:t>
            </w:r>
          </w:p>
        </w:tc>
        <w:tc>
          <w:tcPr>
            <w:tcW w:w="901" w:type="pct"/>
            <w:tcBorders>
              <w:right w:val="single" w:color="000000" w:sz="10" w:space="0"/>
            </w:tcBorders>
            <w:vAlign w:val="center"/>
          </w:tcPr>
          <w:p w14:paraId="35A03A15">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0.14</w:t>
            </w:r>
          </w:p>
        </w:tc>
        <w:tc>
          <w:tcPr>
            <w:tcW w:w="901" w:type="pct"/>
            <w:tcBorders>
              <w:right w:val="single" w:color="000000" w:sz="10" w:space="0"/>
            </w:tcBorders>
          </w:tcPr>
          <w:p w14:paraId="3844D45C">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w:t>
            </w:r>
          </w:p>
        </w:tc>
        <w:tc>
          <w:tcPr>
            <w:tcW w:w="901" w:type="pct"/>
            <w:tcBorders>
              <w:right w:val="single" w:color="000000" w:sz="10" w:space="0"/>
            </w:tcBorders>
          </w:tcPr>
          <w:p w14:paraId="65B2D77B">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0.03</w:t>
            </w:r>
          </w:p>
        </w:tc>
      </w:tr>
      <w:tr w14:paraId="7BDD7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0123651A">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5</w:t>
            </w:r>
          </w:p>
        </w:tc>
        <w:tc>
          <w:tcPr>
            <w:tcW w:w="837" w:type="pct"/>
            <w:vAlign w:val="center"/>
          </w:tcPr>
          <w:p w14:paraId="23128FF6">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746406EE">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五月</w:t>
            </w:r>
          </w:p>
        </w:tc>
        <w:tc>
          <w:tcPr>
            <w:tcW w:w="901" w:type="pct"/>
            <w:tcBorders>
              <w:right w:val="single" w:color="000000" w:sz="10" w:space="0"/>
            </w:tcBorders>
            <w:vAlign w:val="center"/>
          </w:tcPr>
          <w:p w14:paraId="26EC294E">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0.14</w:t>
            </w:r>
          </w:p>
        </w:tc>
        <w:tc>
          <w:tcPr>
            <w:tcW w:w="901" w:type="pct"/>
            <w:tcBorders>
              <w:right w:val="single" w:color="000000" w:sz="10" w:space="0"/>
            </w:tcBorders>
          </w:tcPr>
          <w:p w14:paraId="29718D22">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w:t>
            </w:r>
          </w:p>
        </w:tc>
        <w:tc>
          <w:tcPr>
            <w:tcW w:w="901" w:type="pct"/>
            <w:tcBorders>
              <w:right w:val="single" w:color="000000" w:sz="10" w:space="0"/>
            </w:tcBorders>
          </w:tcPr>
          <w:p w14:paraId="174D4412">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0.03</w:t>
            </w:r>
          </w:p>
        </w:tc>
      </w:tr>
      <w:tr w14:paraId="08E70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431C9330">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6</w:t>
            </w:r>
          </w:p>
        </w:tc>
        <w:tc>
          <w:tcPr>
            <w:tcW w:w="837" w:type="pct"/>
            <w:vAlign w:val="center"/>
          </w:tcPr>
          <w:p w14:paraId="388AEF61">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0BC519FE">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六月</w:t>
            </w:r>
          </w:p>
        </w:tc>
        <w:tc>
          <w:tcPr>
            <w:tcW w:w="901" w:type="pct"/>
            <w:tcBorders>
              <w:right w:val="single" w:color="000000" w:sz="10" w:space="0"/>
            </w:tcBorders>
            <w:vAlign w:val="center"/>
          </w:tcPr>
          <w:p w14:paraId="23F0D88E">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0.2</w:t>
            </w:r>
          </w:p>
        </w:tc>
        <w:tc>
          <w:tcPr>
            <w:tcW w:w="901" w:type="pct"/>
            <w:tcBorders>
              <w:right w:val="single" w:color="000000" w:sz="10" w:space="0"/>
            </w:tcBorders>
          </w:tcPr>
          <w:p w14:paraId="6CEF2D31">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0.5</w:t>
            </w:r>
          </w:p>
        </w:tc>
        <w:tc>
          <w:tcPr>
            <w:tcW w:w="901" w:type="pct"/>
            <w:tcBorders>
              <w:right w:val="single" w:color="000000" w:sz="10" w:space="0"/>
            </w:tcBorders>
          </w:tcPr>
          <w:p w14:paraId="1EE227A4">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0.2</w:t>
            </w:r>
          </w:p>
        </w:tc>
      </w:tr>
      <w:tr w14:paraId="04086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521DE574">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7</w:t>
            </w:r>
          </w:p>
        </w:tc>
        <w:tc>
          <w:tcPr>
            <w:tcW w:w="837" w:type="pct"/>
            <w:vAlign w:val="center"/>
          </w:tcPr>
          <w:p w14:paraId="450B5379">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0FBFC641">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七月</w:t>
            </w:r>
          </w:p>
        </w:tc>
        <w:tc>
          <w:tcPr>
            <w:tcW w:w="901" w:type="pct"/>
            <w:tcBorders>
              <w:right w:val="single" w:color="000000" w:sz="10" w:space="0"/>
            </w:tcBorders>
            <w:vAlign w:val="center"/>
          </w:tcPr>
          <w:p w14:paraId="3A6B240F">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0.2</w:t>
            </w:r>
          </w:p>
        </w:tc>
        <w:tc>
          <w:tcPr>
            <w:tcW w:w="901" w:type="pct"/>
            <w:tcBorders>
              <w:right w:val="single" w:color="000000" w:sz="10" w:space="0"/>
            </w:tcBorders>
          </w:tcPr>
          <w:p w14:paraId="386CDEB8">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0.5</w:t>
            </w:r>
          </w:p>
        </w:tc>
        <w:tc>
          <w:tcPr>
            <w:tcW w:w="901" w:type="pct"/>
            <w:tcBorders>
              <w:right w:val="single" w:color="000000" w:sz="10" w:space="0"/>
            </w:tcBorders>
          </w:tcPr>
          <w:p w14:paraId="053F005C">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0.2</w:t>
            </w:r>
          </w:p>
        </w:tc>
      </w:tr>
      <w:tr w14:paraId="04151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74A73774">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8</w:t>
            </w:r>
          </w:p>
        </w:tc>
        <w:tc>
          <w:tcPr>
            <w:tcW w:w="837" w:type="pct"/>
            <w:vAlign w:val="center"/>
          </w:tcPr>
          <w:p w14:paraId="4ED3E775">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55B4F4E8">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八月</w:t>
            </w:r>
          </w:p>
        </w:tc>
        <w:tc>
          <w:tcPr>
            <w:tcW w:w="901" w:type="pct"/>
            <w:tcBorders>
              <w:right w:val="single" w:color="000000" w:sz="10" w:space="0"/>
            </w:tcBorders>
            <w:vAlign w:val="center"/>
          </w:tcPr>
          <w:p w14:paraId="588E5BCA">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0.2</w:t>
            </w:r>
          </w:p>
        </w:tc>
        <w:tc>
          <w:tcPr>
            <w:tcW w:w="901" w:type="pct"/>
            <w:tcBorders>
              <w:right w:val="single" w:color="000000" w:sz="10" w:space="0"/>
            </w:tcBorders>
          </w:tcPr>
          <w:p w14:paraId="2C613C8B">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0.5</w:t>
            </w:r>
          </w:p>
        </w:tc>
        <w:tc>
          <w:tcPr>
            <w:tcW w:w="901" w:type="pct"/>
            <w:tcBorders>
              <w:right w:val="single" w:color="000000" w:sz="10" w:space="0"/>
            </w:tcBorders>
          </w:tcPr>
          <w:p w14:paraId="1A96DA5D">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0.2</w:t>
            </w:r>
          </w:p>
        </w:tc>
      </w:tr>
      <w:tr w14:paraId="6C120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55AEBB3D">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9</w:t>
            </w:r>
          </w:p>
        </w:tc>
        <w:tc>
          <w:tcPr>
            <w:tcW w:w="837" w:type="pct"/>
            <w:vAlign w:val="center"/>
          </w:tcPr>
          <w:p w14:paraId="5056850D">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308DD45C">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九月</w:t>
            </w:r>
          </w:p>
        </w:tc>
        <w:tc>
          <w:tcPr>
            <w:tcW w:w="901" w:type="pct"/>
            <w:tcBorders>
              <w:right w:val="single" w:color="000000" w:sz="10" w:space="0"/>
            </w:tcBorders>
            <w:vAlign w:val="center"/>
          </w:tcPr>
          <w:p w14:paraId="38595E96">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0.18</w:t>
            </w:r>
          </w:p>
        </w:tc>
        <w:tc>
          <w:tcPr>
            <w:tcW w:w="901" w:type="pct"/>
            <w:tcBorders>
              <w:right w:val="single" w:color="000000" w:sz="10" w:space="0"/>
            </w:tcBorders>
          </w:tcPr>
          <w:p w14:paraId="23DF8103">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0.7</w:t>
            </w:r>
          </w:p>
        </w:tc>
        <w:tc>
          <w:tcPr>
            <w:tcW w:w="901" w:type="pct"/>
            <w:tcBorders>
              <w:right w:val="single" w:color="000000" w:sz="10" w:space="0"/>
            </w:tcBorders>
          </w:tcPr>
          <w:p w14:paraId="3A794B2B">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0.05</w:t>
            </w:r>
          </w:p>
        </w:tc>
      </w:tr>
      <w:tr w14:paraId="100EF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190C81BC">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10</w:t>
            </w:r>
          </w:p>
        </w:tc>
        <w:tc>
          <w:tcPr>
            <w:tcW w:w="837" w:type="pct"/>
            <w:vAlign w:val="center"/>
          </w:tcPr>
          <w:p w14:paraId="6FF94ECD">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472B3558">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十月</w:t>
            </w:r>
          </w:p>
        </w:tc>
        <w:tc>
          <w:tcPr>
            <w:tcW w:w="901" w:type="pct"/>
            <w:tcBorders>
              <w:right w:val="single" w:color="000000" w:sz="10" w:space="0"/>
            </w:tcBorders>
            <w:vAlign w:val="center"/>
          </w:tcPr>
          <w:p w14:paraId="661CE567">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0.18</w:t>
            </w:r>
          </w:p>
        </w:tc>
        <w:tc>
          <w:tcPr>
            <w:tcW w:w="901" w:type="pct"/>
            <w:tcBorders>
              <w:right w:val="single" w:color="000000" w:sz="10" w:space="0"/>
            </w:tcBorders>
          </w:tcPr>
          <w:p w14:paraId="3676FC3A">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0.7</w:t>
            </w:r>
          </w:p>
        </w:tc>
        <w:tc>
          <w:tcPr>
            <w:tcW w:w="901" w:type="pct"/>
            <w:tcBorders>
              <w:right w:val="single" w:color="000000" w:sz="10" w:space="0"/>
            </w:tcBorders>
          </w:tcPr>
          <w:p w14:paraId="41BE7E1F">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0.05</w:t>
            </w:r>
          </w:p>
        </w:tc>
      </w:tr>
      <w:tr w14:paraId="4885C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4181DC2F">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11</w:t>
            </w:r>
          </w:p>
        </w:tc>
        <w:tc>
          <w:tcPr>
            <w:tcW w:w="837" w:type="pct"/>
            <w:vAlign w:val="center"/>
          </w:tcPr>
          <w:p w14:paraId="09ADD8F5">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7273BB9D">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十一月</w:t>
            </w:r>
          </w:p>
        </w:tc>
        <w:tc>
          <w:tcPr>
            <w:tcW w:w="901" w:type="pct"/>
            <w:tcBorders>
              <w:right w:val="single" w:color="000000" w:sz="10" w:space="0"/>
            </w:tcBorders>
            <w:vAlign w:val="center"/>
          </w:tcPr>
          <w:p w14:paraId="4FFA9243">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0.18</w:t>
            </w:r>
          </w:p>
        </w:tc>
        <w:tc>
          <w:tcPr>
            <w:tcW w:w="901" w:type="pct"/>
            <w:tcBorders>
              <w:right w:val="single" w:color="000000" w:sz="10" w:space="0"/>
            </w:tcBorders>
          </w:tcPr>
          <w:p w14:paraId="2B670CB0">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0.7</w:t>
            </w:r>
          </w:p>
        </w:tc>
        <w:tc>
          <w:tcPr>
            <w:tcW w:w="901" w:type="pct"/>
            <w:tcBorders>
              <w:right w:val="single" w:color="000000" w:sz="10" w:space="0"/>
            </w:tcBorders>
          </w:tcPr>
          <w:p w14:paraId="4CF8C240">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0.05</w:t>
            </w:r>
          </w:p>
        </w:tc>
      </w:tr>
      <w:tr w14:paraId="4BF83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7" w:type="pct"/>
            <w:vAlign w:val="center"/>
          </w:tcPr>
          <w:p w14:paraId="76B7396F">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12</w:t>
            </w:r>
          </w:p>
        </w:tc>
        <w:tc>
          <w:tcPr>
            <w:tcW w:w="837" w:type="pct"/>
            <w:vAlign w:val="center"/>
          </w:tcPr>
          <w:p w14:paraId="7A5733E4">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0-360</w:t>
            </w:r>
          </w:p>
        </w:tc>
        <w:tc>
          <w:tcPr>
            <w:tcW w:w="832" w:type="pct"/>
            <w:vAlign w:val="center"/>
          </w:tcPr>
          <w:p w14:paraId="2C403DF5">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十二月</w:t>
            </w:r>
          </w:p>
        </w:tc>
        <w:tc>
          <w:tcPr>
            <w:tcW w:w="901" w:type="pct"/>
            <w:tcBorders>
              <w:right w:val="single" w:color="000000" w:sz="10" w:space="0"/>
            </w:tcBorders>
            <w:vAlign w:val="center"/>
          </w:tcPr>
          <w:p w14:paraId="5B1361D7">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0.6</w:t>
            </w:r>
          </w:p>
        </w:tc>
        <w:tc>
          <w:tcPr>
            <w:tcW w:w="901" w:type="pct"/>
            <w:tcBorders>
              <w:right w:val="single" w:color="000000" w:sz="10" w:space="0"/>
            </w:tcBorders>
          </w:tcPr>
          <w:p w14:paraId="07E58636">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1.5</w:t>
            </w:r>
          </w:p>
        </w:tc>
        <w:tc>
          <w:tcPr>
            <w:tcW w:w="901" w:type="pct"/>
            <w:tcBorders>
              <w:right w:val="single" w:color="000000" w:sz="10" w:space="0"/>
            </w:tcBorders>
          </w:tcPr>
          <w:p w14:paraId="70358D94">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0.01</w:t>
            </w:r>
          </w:p>
        </w:tc>
      </w:tr>
    </w:tbl>
    <w:p w14:paraId="6F92AF90">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（4）环境空气保护目标及网格点环境质量现状浓度</w:t>
      </w:r>
    </w:p>
    <w:p w14:paraId="3FD61012">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对于区块NMHC采用1个点位补充监测数据（</w:t>
      </w:r>
      <w:r>
        <w:rPr>
          <w:rFonts w:hint="eastAsia" w:ascii="Times New Roman" w:hAnsi="Times New Roman" w:cs="Times New Roman"/>
          <w:color w:val="auto"/>
          <w:w w:val="99"/>
          <w:highlight w:val="none"/>
          <w:lang w:val="en-US" w:eastAsia="zh-CN"/>
        </w:rPr>
        <w:t>邢家围子</w:t>
      </w:r>
      <w:r>
        <w:rPr>
          <w:rFonts w:hint="default" w:ascii="Times New Roman" w:hAnsi="Times New Roman" w:eastAsia="宋体" w:cs="Times New Roman"/>
          <w:color w:val="auto"/>
          <w:w w:val="99"/>
          <w:highlight w:val="none"/>
          <w:lang w:val="zh-CN" w:eastAsia="zh-CN"/>
        </w:rPr>
        <w:t>屯</w:t>
      </w:r>
      <w:r>
        <w:rPr>
          <w:rFonts w:hint="default" w:ascii="Times New Roman" w:hAnsi="Times New Roman" w:eastAsia="宋体" w:cs="Times New Roman"/>
          <w:color w:val="auto"/>
          <w:w w:val="99"/>
          <w:highlight w:val="none"/>
          <w:lang w:val="zh-CN"/>
        </w:rPr>
        <w:t>）作为环境空气保护目标及网格点环境质量现状浓度，首先计算相同时刻各监测点位平均值，再取各监测时段平均值中的最大值作为环境空气保护目标及网格点环境质量现状浓度。</w:t>
      </w:r>
    </w:p>
    <w:p w14:paraId="241610E9">
      <w:pPr>
        <w:pStyle w:val="153"/>
        <w:widowControl w:val="0"/>
        <w:spacing w:line="440" w:lineRule="exact"/>
        <w:ind w:firstLine="476" w:firstLineChars="200"/>
        <w:jc w:val="both"/>
        <w:rPr>
          <w:rFonts w:hint="default" w:ascii="Times New Roman" w:hAnsi="Times New Roman" w:eastAsia="宋体" w:cs="Times New Roman"/>
          <w:b/>
          <w:color w:val="auto"/>
          <w:w w:val="99"/>
          <w:highlight w:val="none"/>
          <w:lang w:val="zh-CN"/>
        </w:rPr>
      </w:pPr>
      <w:r>
        <w:rPr>
          <w:rFonts w:hint="default" w:ascii="Times New Roman" w:hAnsi="Times New Roman" w:eastAsia="宋体" w:cs="Times New Roman"/>
          <w:b/>
          <w:color w:val="auto"/>
          <w:w w:val="99"/>
          <w:highlight w:val="none"/>
          <w:lang w:val="zh-CN"/>
        </w:rPr>
        <w:t>表5.1-11    预测背景值</w:t>
      </w:r>
    </w:p>
    <w:tbl>
      <w:tblPr>
        <w:tblStyle w:val="1662"/>
        <w:tblW w:w="501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90"/>
        <w:gridCol w:w="1509"/>
        <w:gridCol w:w="1867"/>
        <w:gridCol w:w="3952"/>
      </w:tblGrid>
      <w:tr w14:paraId="48591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81" w:type="pct"/>
            <w:vAlign w:val="center"/>
          </w:tcPr>
          <w:p w14:paraId="613B56B7">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预测因子</w:t>
            </w:r>
          </w:p>
        </w:tc>
        <w:tc>
          <w:tcPr>
            <w:tcW w:w="827" w:type="pct"/>
            <w:vAlign w:val="center"/>
          </w:tcPr>
          <w:p w14:paraId="428B9357">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类型</w:t>
            </w:r>
          </w:p>
        </w:tc>
        <w:tc>
          <w:tcPr>
            <w:tcW w:w="1023" w:type="pct"/>
            <w:vAlign w:val="center"/>
          </w:tcPr>
          <w:p w14:paraId="007E93A6">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背景值µg/m</w:t>
            </w:r>
            <w:r>
              <w:rPr>
                <w:rFonts w:hint="default" w:ascii="Times New Roman" w:hAnsi="Times New Roman" w:eastAsia="宋体" w:cs="Times New Roman"/>
                <w:color w:val="auto"/>
                <w:w w:val="99"/>
                <w:sz w:val="21"/>
                <w:szCs w:val="21"/>
                <w:highlight w:val="none"/>
                <w:vertAlign w:val="superscript"/>
                <w:lang w:eastAsia="en-US"/>
              </w:rPr>
              <w:t>3</w:t>
            </w:r>
          </w:p>
        </w:tc>
        <w:tc>
          <w:tcPr>
            <w:tcW w:w="2166" w:type="pct"/>
            <w:tcBorders>
              <w:right w:val="single" w:color="000000" w:sz="10" w:space="0"/>
            </w:tcBorders>
            <w:vAlign w:val="center"/>
          </w:tcPr>
          <w:p w14:paraId="79962805">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来源</w:t>
            </w:r>
          </w:p>
        </w:tc>
      </w:tr>
      <w:tr w14:paraId="49951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81" w:type="pct"/>
            <w:vAlign w:val="center"/>
          </w:tcPr>
          <w:p w14:paraId="11748D8F">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827" w:type="pct"/>
            <w:vAlign w:val="center"/>
          </w:tcPr>
          <w:p w14:paraId="4ECCCC3C">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1023" w:type="pct"/>
            <w:vAlign w:val="center"/>
          </w:tcPr>
          <w:p w14:paraId="4DE20ADE">
            <w:pPr>
              <w:widowControl w:val="0"/>
              <w:spacing w:line="32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610</w:t>
            </w:r>
          </w:p>
        </w:tc>
        <w:tc>
          <w:tcPr>
            <w:tcW w:w="2166" w:type="pct"/>
            <w:tcBorders>
              <w:right w:val="single" w:color="000000" w:sz="10" w:space="0"/>
            </w:tcBorders>
            <w:vAlign w:val="center"/>
          </w:tcPr>
          <w:p w14:paraId="5AA1D84D">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补充监测数据最大值</w:t>
            </w:r>
          </w:p>
        </w:tc>
      </w:tr>
    </w:tbl>
    <w:p w14:paraId="447414A9">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（5）预测范围</w:t>
      </w:r>
    </w:p>
    <w:p w14:paraId="23A67166">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根据导则要求，预测范围应覆盖评价范围，且覆盖各污染物短期浓度贡献值占标率大于10%的区域，根据AERMOD模型预测结果，本项目废气污染物占标率10%最远影响距离不超过2.5km，因此确定本工程预测范围为以井场为中心外扩2.5km的矩形区域。</w:t>
      </w:r>
    </w:p>
    <w:p w14:paraId="54694DDA">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（2）预测参数及情景组合</w:t>
      </w:r>
    </w:p>
    <w:p w14:paraId="70515721">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①预测因子：非甲烷总烃；</w:t>
      </w:r>
    </w:p>
    <w:p w14:paraId="157DA0D0">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②预测范围：覆盖评价范围，以井场为中心外扩2.5km。</w:t>
      </w:r>
    </w:p>
    <w:p w14:paraId="6BE5A590">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③网格划分：预测网格间距100m。</w:t>
      </w:r>
    </w:p>
    <w:p w14:paraId="11A80421">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④预测周期：根据导则要求，依据评价所需环境空气质量现状、气象资料等数据的可获得性、数据质量、代表性等因素，选择近3年中数据相对完整的1个日历年作为评价基准年。因此可选择202</w:t>
      </w:r>
      <w:r>
        <w:rPr>
          <w:rFonts w:hint="eastAsia" w:ascii="Times New Roman" w:hAnsi="Times New Roman" w:cs="Times New Roman"/>
          <w:color w:val="auto"/>
          <w:w w:val="99"/>
          <w:highlight w:val="none"/>
          <w:lang w:val="en-US" w:eastAsia="zh-CN"/>
        </w:rPr>
        <w:t>4</w:t>
      </w:r>
      <w:r>
        <w:rPr>
          <w:rFonts w:hint="default" w:ascii="Times New Roman" w:hAnsi="Times New Roman" w:eastAsia="宋体" w:cs="Times New Roman"/>
          <w:color w:val="auto"/>
          <w:w w:val="99"/>
          <w:highlight w:val="none"/>
          <w:lang w:val="zh-CN"/>
        </w:rPr>
        <w:t>年为评价基准年，预测周期为连续1年。</w:t>
      </w:r>
    </w:p>
    <w:p w14:paraId="1C163C8C">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⑤敏感点：</w:t>
      </w:r>
      <w:r>
        <w:rPr>
          <w:rFonts w:hint="eastAsia" w:ascii="Times New Roman" w:hAnsi="Times New Roman" w:cs="Times New Roman"/>
          <w:color w:val="auto"/>
          <w:spacing w:val="0"/>
          <w:w w:val="99"/>
          <w:position w:val="0"/>
          <w:sz w:val="24"/>
          <w:szCs w:val="24"/>
          <w:highlight w:val="none"/>
          <w:lang w:val="en-US" w:eastAsia="zh-CN" w:bidi="ar-SA"/>
        </w:rPr>
        <w:t>邢家围子</w:t>
      </w:r>
      <w:r>
        <w:rPr>
          <w:rFonts w:hint="default" w:ascii="Times New Roman" w:hAnsi="Times New Roman" w:eastAsia="宋体" w:cs="Times New Roman"/>
          <w:color w:val="auto"/>
          <w:spacing w:val="0"/>
          <w:w w:val="99"/>
          <w:position w:val="0"/>
          <w:sz w:val="24"/>
          <w:szCs w:val="24"/>
          <w:highlight w:val="none"/>
          <w:lang w:val="en-US" w:eastAsia="zh-CN" w:bidi="ar-SA"/>
        </w:rPr>
        <w:t>屯、</w:t>
      </w:r>
      <w:r>
        <w:rPr>
          <w:rFonts w:hint="eastAsia" w:ascii="Times New Roman" w:hAnsi="Times New Roman" w:cs="Times New Roman"/>
          <w:color w:val="auto"/>
          <w:spacing w:val="0"/>
          <w:w w:val="99"/>
          <w:position w:val="0"/>
          <w:sz w:val="24"/>
          <w:szCs w:val="24"/>
          <w:highlight w:val="none"/>
          <w:lang w:val="en-US" w:eastAsia="zh-CN" w:bidi="ar-SA"/>
        </w:rPr>
        <w:t>福龙村</w:t>
      </w:r>
      <w:r>
        <w:rPr>
          <w:rFonts w:hint="default" w:ascii="Times New Roman" w:hAnsi="Times New Roman" w:eastAsia="宋体" w:cs="Times New Roman"/>
          <w:color w:val="auto"/>
          <w:spacing w:val="0"/>
          <w:w w:val="99"/>
          <w:position w:val="0"/>
          <w:sz w:val="24"/>
          <w:szCs w:val="24"/>
          <w:highlight w:val="none"/>
          <w:lang w:val="en-US" w:eastAsia="zh-CN" w:bidi="ar-SA"/>
        </w:rPr>
        <w:t>、</w:t>
      </w:r>
      <w:r>
        <w:rPr>
          <w:rFonts w:hint="eastAsia" w:ascii="Times New Roman" w:hAnsi="Times New Roman" w:cs="Times New Roman"/>
          <w:color w:val="auto"/>
          <w:spacing w:val="0"/>
          <w:w w:val="99"/>
          <w:position w:val="0"/>
          <w:sz w:val="24"/>
          <w:szCs w:val="24"/>
          <w:highlight w:val="none"/>
          <w:lang w:val="en-US" w:eastAsia="zh-CN" w:bidi="ar-SA"/>
        </w:rPr>
        <w:t>王家围子</w:t>
      </w:r>
      <w:r>
        <w:rPr>
          <w:rFonts w:hint="default" w:ascii="Times New Roman" w:hAnsi="Times New Roman" w:eastAsia="宋体" w:cs="Times New Roman"/>
          <w:color w:val="auto"/>
          <w:spacing w:val="0"/>
          <w:w w:val="99"/>
          <w:position w:val="0"/>
          <w:sz w:val="24"/>
          <w:szCs w:val="24"/>
          <w:highlight w:val="none"/>
          <w:lang w:val="en-US" w:eastAsia="zh-CN" w:bidi="ar-SA"/>
        </w:rPr>
        <w:t>屯</w:t>
      </w:r>
      <w:r>
        <w:rPr>
          <w:rFonts w:hint="eastAsia" w:ascii="Times New Roman" w:hAnsi="Times New Roman" w:eastAsia="宋体" w:cs="Times New Roman"/>
          <w:color w:val="auto"/>
          <w:w w:val="99"/>
          <w:highlight w:val="none"/>
          <w:lang w:val="en-US" w:eastAsia="zh-CN"/>
        </w:rPr>
        <w:t>等</w:t>
      </w:r>
      <w:r>
        <w:rPr>
          <w:rFonts w:hint="default" w:ascii="Times New Roman" w:hAnsi="Times New Roman" w:eastAsia="宋体" w:cs="Times New Roman"/>
          <w:color w:val="auto"/>
          <w:w w:val="99"/>
          <w:highlight w:val="none"/>
          <w:lang w:val="zh-CN"/>
        </w:rPr>
        <w:t>。</w:t>
      </w:r>
    </w:p>
    <w:p w14:paraId="081C7B72">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⑥预测与评价内容</w:t>
      </w:r>
    </w:p>
    <w:p w14:paraId="61CF7EFA">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本评价大气环境影响预测与评价内容见表5.1-12。</w:t>
      </w:r>
    </w:p>
    <w:p w14:paraId="3BD8B219">
      <w:pPr>
        <w:pStyle w:val="153"/>
        <w:widowControl w:val="0"/>
        <w:spacing w:line="440" w:lineRule="exact"/>
        <w:ind w:firstLine="476" w:firstLineChars="200"/>
        <w:jc w:val="both"/>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 xml:space="preserve">表5.1-12    </w:t>
      </w:r>
      <w:r>
        <w:rPr>
          <w:rFonts w:hint="default" w:ascii="Times New Roman" w:hAnsi="Times New Roman" w:eastAsia="宋体" w:cs="Times New Roman"/>
          <w:b/>
          <w:color w:val="auto"/>
          <w:w w:val="99"/>
          <w:highlight w:val="none"/>
          <w:lang w:val="zh-CN"/>
        </w:rPr>
        <w:t>大气环境</w:t>
      </w:r>
      <w:r>
        <w:rPr>
          <w:rFonts w:hint="default" w:ascii="Times New Roman" w:hAnsi="Times New Roman" w:eastAsia="宋体" w:cs="Times New Roman"/>
          <w:b/>
          <w:color w:val="auto"/>
          <w:w w:val="99"/>
          <w:highlight w:val="none"/>
        </w:rPr>
        <w:t>影响预测与评价内容</w:t>
      </w:r>
    </w:p>
    <w:tbl>
      <w:tblPr>
        <w:tblStyle w:val="1662"/>
        <w:tblW w:w="928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1"/>
        <w:gridCol w:w="1534"/>
        <w:gridCol w:w="1727"/>
        <w:gridCol w:w="1954"/>
        <w:gridCol w:w="2939"/>
      </w:tblGrid>
      <w:tr w14:paraId="236C6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31" w:type="dxa"/>
            <w:tcBorders>
              <w:left w:val="single" w:color="000000" w:sz="10" w:space="0"/>
            </w:tcBorders>
            <w:vAlign w:val="center"/>
          </w:tcPr>
          <w:p w14:paraId="58A81EA3">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评价对象</w:t>
            </w:r>
          </w:p>
        </w:tc>
        <w:tc>
          <w:tcPr>
            <w:tcW w:w="1534" w:type="dxa"/>
            <w:vAlign w:val="center"/>
          </w:tcPr>
          <w:p w14:paraId="737CCD20">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污染源</w:t>
            </w:r>
          </w:p>
        </w:tc>
        <w:tc>
          <w:tcPr>
            <w:tcW w:w="1727" w:type="dxa"/>
            <w:vAlign w:val="center"/>
          </w:tcPr>
          <w:p w14:paraId="3D20C4B4">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污染源排放形式</w:t>
            </w:r>
          </w:p>
        </w:tc>
        <w:tc>
          <w:tcPr>
            <w:tcW w:w="1954" w:type="dxa"/>
            <w:vAlign w:val="center"/>
          </w:tcPr>
          <w:p w14:paraId="73A3898C">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预测内容</w:t>
            </w:r>
          </w:p>
        </w:tc>
        <w:tc>
          <w:tcPr>
            <w:tcW w:w="2939" w:type="dxa"/>
            <w:tcBorders>
              <w:right w:val="single" w:color="000000" w:sz="10" w:space="0"/>
            </w:tcBorders>
            <w:vAlign w:val="center"/>
          </w:tcPr>
          <w:p w14:paraId="0E861109">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评价内容</w:t>
            </w:r>
          </w:p>
        </w:tc>
      </w:tr>
      <w:tr w14:paraId="4DE3A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31" w:type="dxa"/>
            <w:vMerge w:val="restart"/>
            <w:tcBorders>
              <w:left w:val="single" w:color="000000" w:sz="10" w:space="0"/>
              <w:bottom w:val="nil"/>
            </w:tcBorders>
            <w:vAlign w:val="center"/>
          </w:tcPr>
          <w:p w14:paraId="2E992789">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eastAsia" w:ascii="Times New Roman" w:hAnsi="Times New Roman" w:cs="Times New Roman"/>
                <w:color w:val="auto"/>
                <w:w w:val="99"/>
                <w:sz w:val="21"/>
                <w:szCs w:val="21"/>
                <w:highlight w:val="none"/>
                <w:lang w:val="en-US" w:eastAsia="zh-CN"/>
              </w:rPr>
              <w:t>达标区</w:t>
            </w:r>
            <w:r>
              <w:rPr>
                <w:rFonts w:hint="default" w:ascii="Times New Roman" w:hAnsi="Times New Roman" w:eastAsia="宋体" w:cs="Times New Roman"/>
                <w:color w:val="auto"/>
                <w:w w:val="99"/>
                <w:sz w:val="21"/>
                <w:szCs w:val="21"/>
                <w:highlight w:val="none"/>
                <w:lang w:eastAsia="en-US"/>
              </w:rPr>
              <w:t>评价项目</w:t>
            </w:r>
          </w:p>
        </w:tc>
        <w:tc>
          <w:tcPr>
            <w:tcW w:w="1534" w:type="dxa"/>
            <w:vAlign w:val="center"/>
          </w:tcPr>
          <w:p w14:paraId="6D948769">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新增污染源</w:t>
            </w:r>
          </w:p>
        </w:tc>
        <w:tc>
          <w:tcPr>
            <w:tcW w:w="1727" w:type="dxa"/>
            <w:vAlign w:val="center"/>
          </w:tcPr>
          <w:p w14:paraId="1026D767">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正常排放</w:t>
            </w:r>
          </w:p>
        </w:tc>
        <w:tc>
          <w:tcPr>
            <w:tcW w:w="1954" w:type="dxa"/>
            <w:vAlign w:val="center"/>
          </w:tcPr>
          <w:p w14:paraId="151BEEEA">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短期浓度</w:t>
            </w:r>
          </w:p>
          <w:p w14:paraId="0E44C6D7">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长期浓度</w:t>
            </w:r>
          </w:p>
        </w:tc>
        <w:tc>
          <w:tcPr>
            <w:tcW w:w="2939" w:type="dxa"/>
            <w:tcBorders>
              <w:right w:val="single" w:color="000000" w:sz="10" w:space="0"/>
            </w:tcBorders>
            <w:vAlign w:val="center"/>
          </w:tcPr>
          <w:p w14:paraId="3B19BB6A">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最大浓度占标</w:t>
            </w:r>
          </w:p>
        </w:tc>
      </w:tr>
      <w:tr w14:paraId="03143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31" w:type="dxa"/>
            <w:vMerge w:val="continue"/>
            <w:tcBorders>
              <w:top w:val="nil"/>
              <w:left w:val="single" w:color="000000" w:sz="10" w:space="0"/>
              <w:bottom w:val="nil"/>
            </w:tcBorders>
            <w:vAlign w:val="center"/>
          </w:tcPr>
          <w:p w14:paraId="01CEFC3A">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p>
        </w:tc>
        <w:tc>
          <w:tcPr>
            <w:tcW w:w="1534" w:type="dxa"/>
            <w:vAlign w:val="center"/>
          </w:tcPr>
          <w:p w14:paraId="37D5C8CE">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新增污染源</w:t>
            </w:r>
          </w:p>
        </w:tc>
        <w:tc>
          <w:tcPr>
            <w:tcW w:w="1727" w:type="dxa"/>
            <w:vAlign w:val="center"/>
          </w:tcPr>
          <w:p w14:paraId="6F261B01">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正常排放</w:t>
            </w:r>
          </w:p>
        </w:tc>
        <w:tc>
          <w:tcPr>
            <w:tcW w:w="1954" w:type="dxa"/>
            <w:vAlign w:val="center"/>
          </w:tcPr>
          <w:p w14:paraId="22DF1553">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短期浓度</w:t>
            </w:r>
          </w:p>
          <w:p w14:paraId="13EE1C91">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长期浓度</w:t>
            </w:r>
          </w:p>
        </w:tc>
        <w:tc>
          <w:tcPr>
            <w:tcW w:w="2939" w:type="dxa"/>
            <w:tcBorders>
              <w:right w:val="single" w:color="000000" w:sz="10" w:space="0"/>
            </w:tcBorders>
            <w:vAlign w:val="center"/>
          </w:tcPr>
          <w:p w14:paraId="2520B1B6">
            <w:pPr>
              <w:widowControl w:val="0"/>
              <w:spacing w:line="320" w:lineRule="exact"/>
              <w:jc w:val="center"/>
              <w:rPr>
                <w:rFonts w:hint="default" w:ascii="Times New Roman" w:hAnsi="Times New Roman" w:eastAsia="宋体" w:cs="Times New Roman"/>
                <w:color w:val="auto"/>
                <w:w w:val="99"/>
                <w:sz w:val="21"/>
                <w:szCs w:val="21"/>
                <w:highlight w:val="none"/>
                <w:lang w:eastAsia="zh-CN"/>
              </w:rPr>
            </w:pPr>
            <w:r>
              <w:rPr>
                <w:rFonts w:hint="default" w:ascii="Times New Roman" w:hAnsi="Times New Roman" w:eastAsia="宋体" w:cs="Times New Roman"/>
                <w:color w:val="auto"/>
                <w:w w:val="99"/>
                <w:sz w:val="21"/>
                <w:szCs w:val="21"/>
                <w:highlight w:val="none"/>
                <w:lang w:eastAsia="zh-CN"/>
              </w:rPr>
              <w:t>叠加环境质量现状浓度后保证率日平均质量浓度和年平均质量浓度占标率、短期浓度的达标情况</w:t>
            </w:r>
          </w:p>
        </w:tc>
      </w:tr>
      <w:tr w14:paraId="4DA99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31" w:type="dxa"/>
            <w:vMerge w:val="continue"/>
            <w:tcBorders>
              <w:top w:val="nil"/>
              <w:left w:val="single" w:color="000000" w:sz="10" w:space="0"/>
            </w:tcBorders>
            <w:vAlign w:val="center"/>
          </w:tcPr>
          <w:p w14:paraId="777F3768">
            <w:pPr>
              <w:widowControl w:val="0"/>
              <w:spacing w:line="320" w:lineRule="exact"/>
              <w:jc w:val="center"/>
              <w:rPr>
                <w:rFonts w:hint="default" w:ascii="Times New Roman" w:hAnsi="Times New Roman" w:eastAsia="宋体" w:cs="Times New Roman"/>
                <w:color w:val="auto"/>
                <w:w w:val="99"/>
                <w:sz w:val="21"/>
                <w:szCs w:val="21"/>
                <w:highlight w:val="none"/>
                <w:lang w:eastAsia="zh-CN"/>
              </w:rPr>
            </w:pPr>
          </w:p>
        </w:tc>
        <w:tc>
          <w:tcPr>
            <w:tcW w:w="1534" w:type="dxa"/>
            <w:vAlign w:val="center"/>
          </w:tcPr>
          <w:p w14:paraId="4F4130C7">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新增污染源</w:t>
            </w:r>
          </w:p>
        </w:tc>
        <w:tc>
          <w:tcPr>
            <w:tcW w:w="1727" w:type="dxa"/>
            <w:vAlign w:val="center"/>
          </w:tcPr>
          <w:p w14:paraId="15744C09">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非正常排放</w:t>
            </w:r>
          </w:p>
        </w:tc>
        <w:tc>
          <w:tcPr>
            <w:tcW w:w="1954" w:type="dxa"/>
            <w:vAlign w:val="center"/>
          </w:tcPr>
          <w:p w14:paraId="38F8084C">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1h平均质量浓度</w:t>
            </w:r>
          </w:p>
        </w:tc>
        <w:tc>
          <w:tcPr>
            <w:tcW w:w="2939" w:type="dxa"/>
            <w:tcBorders>
              <w:right w:val="single" w:color="000000" w:sz="10" w:space="0"/>
            </w:tcBorders>
            <w:vAlign w:val="center"/>
          </w:tcPr>
          <w:p w14:paraId="38404BD1">
            <w:pPr>
              <w:widowControl w:val="0"/>
              <w:spacing w:line="32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最大浓度占标率</w:t>
            </w:r>
          </w:p>
        </w:tc>
      </w:tr>
    </w:tbl>
    <w:p w14:paraId="4A2A3943">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eastAsia" w:ascii="Times New Roman" w:hAnsi="Times New Roman" w:cs="Times New Roman"/>
          <w:color w:val="auto"/>
          <w:w w:val="99"/>
          <w:highlight w:val="none"/>
          <w:lang w:val="zh-CN"/>
        </w:rPr>
        <w:t>由于本工程未新建</w:t>
      </w:r>
      <w:r>
        <w:rPr>
          <w:rFonts w:hint="eastAsia" w:ascii="Times New Roman" w:hAnsi="Times New Roman" w:cs="Times New Roman"/>
          <w:color w:val="auto"/>
          <w:w w:val="99"/>
          <w:highlight w:val="none"/>
          <w:lang w:val="en-US" w:eastAsia="zh-CN"/>
        </w:rPr>
        <w:t>加热炉</w:t>
      </w:r>
      <w:r>
        <w:rPr>
          <w:rFonts w:hint="eastAsia" w:ascii="Times New Roman" w:hAnsi="Times New Roman" w:cs="Times New Roman"/>
          <w:color w:val="auto"/>
          <w:w w:val="99"/>
          <w:highlight w:val="none"/>
          <w:lang w:val="zh-CN"/>
        </w:rPr>
        <w:t>，依托场站加热炉均满足相应的负荷状态下运行，且大气污染物总量在原申请总量范围内，故不对锅炉烟气进行预测。</w:t>
      </w:r>
      <w:r>
        <w:rPr>
          <w:rFonts w:hint="default" w:ascii="Times New Roman" w:hAnsi="Times New Roman" w:eastAsia="宋体" w:cs="Times New Roman"/>
          <w:color w:val="auto"/>
          <w:w w:val="99"/>
          <w:kern w:val="2"/>
          <w:szCs w:val="20"/>
          <w:highlight w:val="none"/>
        </w:rPr>
        <w:t>本工程排放的无组织挥发非甲烷总烃为面源形式排放，</w:t>
      </w:r>
      <w:r>
        <w:rPr>
          <w:rFonts w:hint="eastAsia" w:ascii="Times New Roman" w:hAnsi="Times New Roman" w:eastAsia="宋体" w:cs="Times New Roman"/>
          <w:color w:val="auto"/>
          <w:w w:val="99"/>
          <w:kern w:val="2"/>
          <w:szCs w:val="20"/>
          <w:highlight w:val="none"/>
          <w:lang w:val="en-US" w:eastAsia="zh-CN"/>
        </w:rPr>
        <w:t>天然气</w:t>
      </w:r>
      <w:r>
        <w:rPr>
          <w:rFonts w:hint="default" w:ascii="Times New Roman" w:hAnsi="Times New Roman" w:eastAsia="宋体" w:cs="Times New Roman"/>
          <w:color w:val="auto"/>
          <w:w w:val="99"/>
          <w:kern w:val="2"/>
          <w:szCs w:val="20"/>
          <w:highlight w:val="none"/>
        </w:rPr>
        <w:t>集输采用密闭</w:t>
      </w:r>
      <w:r>
        <w:rPr>
          <w:rFonts w:hint="eastAsia" w:ascii="Times New Roman" w:hAnsi="Times New Roman" w:cs="Times New Roman"/>
          <w:color w:val="auto"/>
          <w:w w:val="99"/>
          <w:kern w:val="2"/>
          <w:szCs w:val="20"/>
          <w:highlight w:val="none"/>
          <w:lang w:val="en-US" w:eastAsia="zh-CN"/>
        </w:rPr>
        <w:t>集输</w:t>
      </w:r>
      <w:r>
        <w:rPr>
          <w:rFonts w:hint="default" w:ascii="Times New Roman" w:hAnsi="Times New Roman" w:eastAsia="宋体" w:cs="Times New Roman"/>
          <w:color w:val="auto"/>
          <w:w w:val="99"/>
          <w:kern w:val="2"/>
          <w:szCs w:val="20"/>
          <w:highlight w:val="none"/>
        </w:rPr>
        <w:t>流程，可有效控制烃类物质的排放，根据工程分析可知整个</w:t>
      </w:r>
      <w:r>
        <w:rPr>
          <w:rFonts w:hint="eastAsia" w:ascii="Times New Roman" w:hAnsi="Times New Roman" w:eastAsia="宋体" w:cs="Times New Roman"/>
          <w:color w:val="auto"/>
          <w:w w:val="99"/>
          <w:kern w:val="2"/>
          <w:szCs w:val="20"/>
          <w:highlight w:val="none"/>
          <w:lang w:val="en-US" w:eastAsia="zh-CN"/>
        </w:rPr>
        <w:t>天然气</w:t>
      </w:r>
      <w:r>
        <w:rPr>
          <w:rFonts w:hint="default" w:ascii="Times New Roman" w:hAnsi="Times New Roman" w:eastAsia="宋体" w:cs="Times New Roman"/>
          <w:color w:val="auto"/>
          <w:w w:val="99"/>
          <w:kern w:val="2"/>
          <w:szCs w:val="20"/>
          <w:highlight w:val="none"/>
        </w:rPr>
        <w:t>集输过程中非甲烷总烃挥发量为</w:t>
      </w:r>
      <w:r>
        <w:rPr>
          <w:rFonts w:hint="eastAsia" w:ascii="Times New Roman" w:hAnsi="Times New Roman" w:cs="Times New Roman"/>
          <w:color w:val="auto"/>
          <w:w w:val="99"/>
          <w:kern w:val="2"/>
          <w:szCs w:val="20"/>
          <w:highlight w:val="none"/>
          <w:lang w:val="en-US" w:eastAsia="zh-CN"/>
        </w:rPr>
        <w:t>11.66</w:t>
      </w:r>
      <w:r>
        <w:rPr>
          <w:rFonts w:hint="default" w:ascii="Times New Roman" w:hAnsi="Times New Roman" w:eastAsia="宋体" w:cs="Times New Roman"/>
          <w:color w:val="auto"/>
          <w:w w:val="99"/>
          <w:kern w:val="2"/>
          <w:szCs w:val="20"/>
          <w:highlight w:val="none"/>
        </w:rPr>
        <w:t>t/a</w:t>
      </w:r>
      <w:r>
        <w:rPr>
          <w:rFonts w:hint="eastAsia" w:ascii="Times New Roman" w:hAnsi="Times New Roman" w:cs="Times New Roman"/>
          <w:color w:val="auto"/>
          <w:w w:val="99"/>
          <w:kern w:val="2"/>
          <w:szCs w:val="20"/>
          <w:highlight w:val="none"/>
          <w:lang w:eastAsia="zh-CN"/>
        </w:rPr>
        <w:t>，</w:t>
      </w:r>
      <w:r>
        <w:rPr>
          <w:rFonts w:hint="eastAsia" w:ascii="Times New Roman" w:hAnsi="Times New Roman" w:cs="Times New Roman"/>
          <w:color w:val="auto"/>
          <w:w w:val="99"/>
          <w:kern w:val="2"/>
          <w:szCs w:val="20"/>
          <w:highlight w:val="none"/>
          <w:lang w:val="en-US" w:eastAsia="zh-CN"/>
        </w:rPr>
        <w:t>其中井场挥发量约占总量的30%，</w:t>
      </w:r>
      <w:r>
        <w:rPr>
          <w:rFonts w:hint="eastAsia" w:ascii="Times New Roman" w:hAnsi="Times New Roman" w:cs="Times New Roman"/>
          <w:color w:val="auto"/>
          <w:w w:val="99"/>
          <w:highlight w:val="none"/>
        </w:rPr>
        <w:t>集输管道</w:t>
      </w:r>
      <w:r>
        <w:rPr>
          <w:rFonts w:hint="eastAsia" w:ascii="Times New Roman" w:hAnsi="Times New Roman" w:cs="Times New Roman"/>
          <w:color w:val="auto"/>
          <w:w w:val="99"/>
          <w:highlight w:val="none"/>
          <w:lang w:val="en-US" w:eastAsia="zh-CN"/>
        </w:rPr>
        <w:t>均为密闭，</w:t>
      </w:r>
      <w:r>
        <w:rPr>
          <w:rFonts w:hint="default" w:ascii="Times New Roman" w:hAnsi="Times New Roman" w:eastAsia="宋体" w:cs="Times New Roman"/>
          <w:color w:val="auto"/>
          <w:w w:val="99"/>
          <w:kern w:val="2"/>
          <w:szCs w:val="20"/>
          <w:highlight w:val="none"/>
        </w:rPr>
        <w:t>非甲烷总烃</w:t>
      </w:r>
      <w:r>
        <w:rPr>
          <w:rFonts w:hint="eastAsia" w:ascii="Times New Roman" w:hAnsi="Times New Roman" w:cs="Times New Roman"/>
          <w:color w:val="auto"/>
          <w:w w:val="99"/>
          <w:highlight w:val="none"/>
          <w:lang w:val="en-US" w:eastAsia="zh-CN"/>
        </w:rPr>
        <w:t>挥发量较小，徐深27集气站挥发性有机废气的</w:t>
      </w:r>
      <w:r>
        <w:rPr>
          <w:rFonts w:hint="eastAsia" w:ascii="Times New Roman" w:hAnsi="Times New Roman" w:cs="Times New Roman"/>
          <w:color w:val="auto"/>
          <w:w w:val="99"/>
          <w:highlight w:val="none"/>
          <w:lang w:val="zh-CN"/>
        </w:rPr>
        <w:t>总量在原申请总量范围内</w:t>
      </w:r>
      <w:r>
        <w:rPr>
          <w:rFonts w:hint="default" w:ascii="Times New Roman" w:hAnsi="Times New Roman" w:eastAsia="宋体" w:cs="Times New Roman"/>
          <w:color w:val="auto"/>
          <w:w w:val="99"/>
          <w:highlight w:val="none"/>
        </w:rPr>
        <w:t>。</w:t>
      </w:r>
      <w:r>
        <w:rPr>
          <w:rFonts w:hint="eastAsia" w:ascii="Times New Roman" w:hAnsi="Times New Roman" w:cs="Times New Roman"/>
          <w:color w:val="auto"/>
          <w:w w:val="99"/>
          <w:highlight w:val="none"/>
          <w:lang w:val="en-US" w:eastAsia="zh-CN"/>
        </w:rPr>
        <w:t>故</w:t>
      </w:r>
      <w:r>
        <w:rPr>
          <w:rFonts w:hint="default" w:ascii="Times New Roman" w:hAnsi="Times New Roman" w:eastAsia="宋体" w:cs="Times New Roman"/>
          <w:color w:val="auto"/>
          <w:w w:val="99"/>
          <w:kern w:val="2"/>
          <w:szCs w:val="20"/>
          <w:highlight w:val="none"/>
        </w:rPr>
        <w:t>结合项目</w:t>
      </w:r>
      <w:r>
        <w:rPr>
          <w:rFonts w:hint="eastAsia" w:ascii="Times New Roman" w:hAnsi="Times New Roman" w:eastAsia="宋体" w:cs="Times New Roman"/>
          <w:color w:val="auto"/>
          <w:w w:val="99"/>
          <w:kern w:val="2"/>
          <w:szCs w:val="20"/>
          <w:highlight w:val="none"/>
          <w:lang w:val="en-US" w:eastAsia="zh-CN"/>
        </w:rPr>
        <w:t>气井</w:t>
      </w:r>
      <w:r>
        <w:rPr>
          <w:rFonts w:hint="default" w:ascii="Times New Roman" w:hAnsi="Times New Roman" w:eastAsia="宋体" w:cs="Times New Roman"/>
          <w:color w:val="auto"/>
          <w:w w:val="99"/>
          <w:kern w:val="2"/>
          <w:szCs w:val="20"/>
          <w:highlight w:val="none"/>
        </w:rPr>
        <w:t>分布、产能建设情况及实际占地情况，</w:t>
      </w:r>
      <w:r>
        <w:rPr>
          <w:rFonts w:hint="default" w:ascii="Times New Roman" w:hAnsi="Times New Roman" w:eastAsia="宋体" w:cs="Times New Roman"/>
          <w:color w:val="auto"/>
          <w:w w:val="99"/>
          <w:highlight w:val="none"/>
          <w:lang w:val="zh-CN"/>
        </w:rPr>
        <w:t>本次预测本项目大气污染源技术数据详见表5.1-1</w:t>
      </w:r>
      <w:r>
        <w:rPr>
          <w:rFonts w:hint="eastAsia" w:ascii="Times New Roman" w:hAnsi="Times New Roman" w:eastAsia="宋体" w:cs="Times New Roman"/>
          <w:color w:val="auto"/>
          <w:w w:val="99"/>
          <w:highlight w:val="none"/>
          <w:lang w:val="en-US" w:eastAsia="zh-CN"/>
        </w:rPr>
        <w:t>3</w:t>
      </w:r>
      <w:r>
        <w:rPr>
          <w:rFonts w:hint="default" w:ascii="Times New Roman" w:hAnsi="Times New Roman" w:eastAsia="宋体" w:cs="Times New Roman"/>
          <w:color w:val="auto"/>
          <w:w w:val="99"/>
          <w:highlight w:val="none"/>
          <w:lang w:val="zh-CN"/>
        </w:rPr>
        <w:t>。</w:t>
      </w:r>
    </w:p>
    <w:p w14:paraId="0FAD1078">
      <w:pPr>
        <w:widowControl w:val="0"/>
        <w:spacing w:line="440" w:lineRule="exact"/>
        <w:ind w:firstLine="494"/>
        <w:jc w:val="both"/>
        <w:rPr>
          <w:rFonts w:ascii="Times New Roman" w:hAnsi="Times New Roman" w:cs="Times New Roman" w:eastAsiaTheme="minorEastAsia"/>
          <w:color w:val="auto"/>
          <w:w w:val="99"/>
          <w:highlight w:val="none"/>
          <w:lang w:bidi="zh-CN"/>
        </w:rPr>
      </w:pPr>
      <w:r>
        <w:rPr>
          <w:rFonts w:ascii="Times New Roman" w:hAnsi="Times New Roman" w:cs="Times New Roman"/>
          <w:b/>
          <w:color w:val="auto"/>
          <w:w w:val="99"/>
          <w:highlight w:val="none"/>
        </w:rPr>
        <w:t>表</w:t>
      </w:r>
      <w:r>
        <w:rPr>
          <w:rFonts w:hint="eastAsia" w:ascii="Times New Roman" w:hAnsi="Times New Roman" w:cs="Times New Roman"/>
          <w:b/>
          <w:color w:val="auto"/>
          <w:w w:val="99"/>
          <w:highlight w:val="none"/>
          <w:lang w:val="en-US" w:eastAsia="zh-CN"/>
        </w:rPr>
        <w:t>5.1-13</w:t>
      </w:r>
      <w:r>
        <w:rPr>
          <w:rFonts w:ascii="Times New Roman" w:hAnsi="Times New Roman" w:cs="Times New Roman"/>
          <w:b/>
          <w:color w:val="auto"/>
          <w:w w:val="99"/>
          <w:highlight w:val="none"/>
        </w:rPr>
        <w:t xml:space="preserve">   面源参数调查清单</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1100"/>
        <w:gridCol w:w="1013"/>
        <w:gridCol w:w="714"/>
        <w:gridCol w:w="900"/>
        <w:gridCol w:w="678"/>
        <w:gridCol w:w="717"/>
        <w:gridCol w:w="669"/>
        <w:gridCol w:w="639"/>
        <w:gridCol w:w="541"/>
        <w:gridCol w:w="1021"/>
      </w:tblGrid>
      <w:tr w14:paraId="5B77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697" w:type="pct"/>
            <w:vMerge w:val="restart"/>
            <w:vAlign w:val="center"/>
          </w:tcPr>
          <w:p w14:paraId="47C8B257">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污染源名称</w:t>
            </w:r>
          </w:p>
        </w:tc>
        <w:tc>
          <w:tcPr>
            <w:tcW w:w="1137" w:type="pct"/>
            <w:gridSpan w:val="2"/>
            <w:vAlign w:val="center"/>
          </w:tcPr>
          <w:p w14:paraId="212A0A87">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面源起点坐标</w:t>
            </w:r>
          </w:p>
        </w:tc>
        <w:tc>
          <w:tcPr>
            <w:tcW w:w="384" w:type="pct"/>
            <w:vMerge w:val="restart"/>
            <w:vAlign w:val="center"/>
          </w:tcPr>
          <w:p w14:paraId="4E05BC0E">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海拔高度/m</w:t>
            </w:r>
          </w:p>
        </w:tc>
        <w:tc>
          <w:tcPr>
            <w:tcW w:w="484" w:type="pct"/>
            <w:vMerge w:val="restart"/>
            <w:vAlign w:val="center"/>
          </w:tcPr>
          <w:p w14:paraId="016D9532">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与正北方向夹角/°</w:t>
            </w:r>
          </w:p>
        </w:tc>
        <w:tc>
          <w:tcPr>
            <w:tcW w:w="365" w:type="pct"/>
            <w:vMerge w:val="restart"/>
            <w:vAlign w:val="center"/>
          </w:tcPr>
          <w:p w14:paraId="41E7C953">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面源长度/m</w:t>
            </w:r>
          </w:p>
        </w:tc>
        <w:tc>
          <w:tcPr>
            <w:tcW w:w="386" w:type="pct"/>
            <w:vMerge w:val="restart"/>
            <w:vAlign w:val="center"/>
          </w:tcPr>
          <w:p w14:paraId="01460224">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面源宽度/m</w:t>
            </w:r>
          </w:p>
        </w:tc>
        <w:tc>
          <w:tcPr>
            <w:tcW w:w="360" w:type="pct"/>
            <w:vMerge w:val="restart"/>
            <w:vAlign w:val="center"/>
          </w:tcPr>
          <w:p w14:paraId="2B89808C">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面源有效排放高度/m</w:t>
            </w:r>
          </w:p>
        </w:tc>
        <w:tc>
          <w:tcPr>
            <w:tcW w:w="344" w:type="pct"/>
            <w:vMerge w:val="restart"/>
            <w:vAlign w:val="center"/>
          </w:tcPr>
          <w:p w14:paraId="5C59FDFF">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年排放小时数/h</w:t>
            </w:r>
          </w:p>
        </w:tc>
        <w:tc>
          <w:tcPr>
            <w:tcW w:w="291" w:type="pct"/>
            <w:vMerge w:val="restart"/>
            <w:vAlign w:val="center"/>
          </w:tcPr>
          <w:p w14:paraId="74538F46">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排放工况</w:t>
            </w:r>
          </w:p>
        </w:tc>
        <w:tc>
          <w:tcPr>
            <w:tcW w:w="549" w:type="pct"/>
            <w:vAlign w:val="center"/>
          </w:tcPr>
          <w:p w14:paraId="2FC01B8C">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污染物排放速率（kg/h）</w:t>
            </w:r>
          </w:p>
        </w:tc>
      </w:tr>
      <w:tr w14:paraId="7885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pct"/>
            <w:vMerge w:val="continue"/>
            <w:vAlign w:val="center"/>
          </w:tcPr>
          <w:p w14:paraId="50A358C7">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592" w:type="pct"/>
            <w:vAlign w:val="center"/>
          </w:tcPr>
          <w:p w14:paraId="769C1E90">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经度</w:t>
            </w:r>
          </w:p>
        </w:tc>
        <w:tc>
          <w:tcPr>
            <w:tcW w:w="545" w:type="pct"/>
            <w:vAlign w:val="center"/>
          </w:tcPr>
          <w:p w14:paraId="72975154">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纬度</w:t>
            </w:r>
          </w:p>
        </w:tc>
        <w:tc>
          <w:tcPr>
            <w:tcW w:w="384" w:type="pct"/>
            <w:vMerge w:val="continue"/>
            <w:vAlign w:val="center"/>
          </w:tcPr>
          <w:p w14:paraId="44593D57">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484" w:type="pct"/>
            <w:vMerge w:val="continue"/>
            <w:vAlign w:val="center"/>
          </w:tcPr>
          <w:p w14:paraId="3B7797F5">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365" w:type="pct"/>
            <w:vMerge w:val="continue"/>
            <w:vAlign w:val="center"/>
          </w:tcPr>
          <w:p w14:paraId="2E1F3EB9">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386" w:type="pct"/>
            <w:vMerge w:val="continue"/>
            <w:vAlign w:val="center"/>
          </w:tcPr>
          <w:p w14:paraId="629DC2FB">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360" w:type="pct"/>
            <w:vMerge w:val="continue"/>
            <w:vAlign w:val="center"/>
          </w:tcPr>
          <w:p w14:paraId="542EA041">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344" w:type="pct"/>
            <w:vMerge w:val="continue"/>
            <w:vAlign w:val="center"/>
          </w:tcPr>
          <w:p w14:paraId="23D68D34">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291" w:type="pct"/>
            <w:vMerge w:val="continue"/>
            <w:vAlign w:val="center"/>
          </w:tcPr>
          <w:p w14:paraId="75771E7B">
            <w:pPr>
              <w:adjustRightInd w:val="0"/>
              <w:snapToGrid w:val="0"/>
              <w:spacing w:line="360" w:lineRule="exact"/>
              <w:jc w:val="center"/>
              <w:rPr>
                <w:rFonts w:ascii="Times New Roman" w:hAnsi="Times New Roman" w:cs="Times New Roman"/>
                <w:color w:val="auto"/>
                <w:w w:val="99"/>
                <w:kern w:val="2"/>
                <w:sz w:val="21"/>
                <w:szCs w:val="21"/>
                <w:highlight w:val="none"/>
              </w:rPr>
            </w:pPr>
          </w:p>
        </w:tc>
        <w:tc>
          <w:tcPr>
            <w:tcW w:w="549" w:type="pct"/>
            <w:vAlign w:val="center"/>
          </w:tcPr>
          <w:p w14:paraId="5EBA1288">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NMHC</w:t>
            </w:r>
          </w:p>
        </w:tc>
      </w:tr>
      <w:tr w14:paraId="719D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pct"/>
            <w:vAlign w:val="center"/>
          </w:tcPr>
          <w:p w14:paraId="0D39C140">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hint="eastAsia" w:ascii="Times New Roman" w:hAnsi="Times New Roman" w:cs="Times New Roman"/>
                <w:color w:val="auto"/>
                <w:w w:val="99"/>
                <w:sz w:val="21"/>
                <w:szCs w:val="21"/>
                <w:highlight w:val="none"/>
              </w:rPr>
              <w:t>徐深</w:t>
            </w:r>
            <w:r>
              <w:rPr>
                <w:rFonts w:hint="eastAsia" w:ascii="Times New Roman" w:hAnsi="Times New Roman" w:cs="Times New Roman"/>
                <w:color w:val="auto"/>
                <w:w w:val="99"/>
                <w:sz w:val="21"/>
                <w:szCs w:val="21"/>
                <w:highlight w:val="none"/>
                <w:lang w:val="en-US" w:eastAsia="zh-CN"/>
              </w:rPr>
              <w:t>27-H1井场</w:t>
            </w:r>
          </w:p>
        </w:tc>
        <w:tc>
          <w:tcPr>
            <w:tcW w:w="592" w:type="pct"/>
            <w:vAlign w:val="center"/>
          </w:tcPr>
          <w:p w14:paraId="4C8B071B">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125.50922</w:t>
            </w:r>
          </w:p>
        </w:tc>
        <w:tc>
          <w:tcPr>
            <w:tcW w:w="545" w:type="pct"/>
            <w:vAlign w:val="center"/>
          </w:tcPr>
          <w:p w14:paraId="270D7D7A">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45.89242</w:t>
            </w:r>
          </w:p>
        </w:tc>
        <w:tc>
          <w:tcPr>
            <w:tcW w:w="384" w:type="pct"/>
            <w:vAlign w:val="center"/>
          </w:tcPr>
          <w:p w14:paraId="51B10041">
            <w:pPr>
              <w:adjustRightInd w:val="0"/>
              <w:snapToGrid w:val="0"/>
              <w:spacing w:line="36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197</w:t>
            </w:r>
          </w:p>
        </w:tc>
        <w:tc>
          <w:tcPr>
            <w:tcW w:w="484" w:type="pct"/>
            <w:vAlign w:val="center"/>
          </w:tcPr>
          <w:p w14:paraId="2E67CC7A">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0</w:t>
            </w:r>
          </w:p>
        </w:tc>
        <w:tc>
          <w:tcPr>
            <w:tcW w:w="365" w:type="pct"/>
            <w:vAlign w:val="center"/>
          </w:tcPr>
          <w:p w14:paraId="49C624CF">
            <w:pPr>
              <w:adjustRightInd w:val="0"/>
              <w:snapToGrid w:val="0"/>
              <w:spacing w:line="36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40</w:t>
            </w:r>
          </w:p>
        </w:tc>
        <w:tc>
          <w:tcPr>
            <w:tcW w:w="386" w:type="pct"/>
            <w:vAlign w:val="center"/>
          </w:tcPr>
          <w:p w14:paraId="12D225BE">
            <w:pPr>
              <w:adjustRightInd w:val="0"/>
              <w:snapToGrid w:val="0"/>
              <w:spacing w:line="360" w:lineRule="exact"/>
              <w:jc w:val="center"/>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30</w:t>
            </w:r>
          </w:p>
        </w:tc>
        <w:tc>
          <w:tcPr>
            <w:tcW w:w="360" w:type="pct"/>
            <w:vAlign w:val="center"/>
          </w:tcPr>
          <w:p w14:paraId="79CCE8CF">
            <w:pPr>
              <w:adjustRightInd w:val="0"/>
              <w:snapToGrid w:val="0"/>
              <w:spacing w:line="360" w:lineRule="exact"/>
              <w:jc w:val="center"/>
              <w:rPr>
                <w:rFonts w:hint="eastAsia" w:ascii="Times New Roman" w:hAnsi="Times New Roman" w:eastAsia="宋体" w:cs="Times New Roman"/>
                <w:color w:val="auto"/>
                <w:w w:val="99"/>
                <w:kern w:val="2"/>
                <w:sz w:val="21"/>
                <w:szCs w:val="21"/>
                <w:highlight w:val="none"/>
                <w:lang w:eastAsia="zh-CN"/>
              </w:rPr>
            </w:pPr>
            <w:r>
              <w:rPr>
                <w:rFonts w:hint="eastAsia" w:ascii="Times New Roman" w:hAnsi="Times New Roman" w:cs="Times New Roman"/>
                <w:color w:val="auto"/>
                <w:w w:val="99"/>
                <w:kern w:val="2"/>
                <w:sz w:val="21"/>
                <w:szCs w:val="21"/>
                <w:highlight w:val="none"/>
                <w:lang w:val="en-US" w:eastAsia="zh-CN"/>
              </w:rPr>
              <w:t>3</w:t>
            </w:r>
          </w:p>
        </w:tc>
        <w:tc>
          <w:tcPr>
            <w:tcW w:w="344" w:type="pct"/>
            <w:vAlign w:val="center"/>
          </w:tcPr>
          <w:p w14:paraId="6F6D5AE6">
            <w:pPr>
              <w:adjustRightInd w:val="0"/>
              <w:snapToGrid w:val="0"/>
              <w:spacing w:line="360" w:lineRule="exact"/>
              <w:jc w:val="center"/>
              <w:rPr>
                <w:rFonts w:ascii="Times New Roman" w:hAnsi="Times New Roman" w:cs="Times New Roman"/>
                <w:bCs/>
                <w:color w:val="auto"/>
                <w:w w:val="99"/>
                <w:kern w:val="2"/>
                <w:sz w:val="21"/>
                <w:szCs w:val="21"/>
                <w:highlight w:val="none"/>
              </w:rPr>
            </w:pPr>
            <w:r>
              <w:rPr>
                <w:rFonts w:ascii="Times New Roman" w:hAnsi="Times New Roman" w:cs="Times New Roman"/>
                <w:bCs/>
                <w:color w:val="auto"/>
                <w:w w:val="99"/>
                <w:kern w:val="2"/>
                <w:sz w:val="21"/>
                <w:szCs w:val="21"/>
                <w:highlight w:val="none"/>
              </w:rPr>
              <w:t>8760</w:t>
            </w:r>
          </w:p>
        </w:tc>
        <w:tc>
          <w:tcPr>
            <w:tcW w:w="291" w:type="pct"/>
            <w:vAlign w:val="center"/>
          </w:tcPr>
          <w:p w14:paraId="772AD1E8">
            <w:pPr>
              <w:adjustRightInd w:val="0"/>
              <w:snapToGrid w:val="0"/>
              <w:spacing w:line="360" w:lineRule="exact"/>
              <w:jc w:val="center"/>
              <w:rPr>
                <w:rFonts w:ascii="Times New Roman" w:hAnsi="Times New Roman" w:cs="Times New Roman"/>
                <w:bCs/>
                <w:color w:val="auto"/>
                <w:w w:val="99"/>
                <w:kern w:val="2"/>
                <w:sz w:val="21"/>
                <w:szCs w:val="21"/>
                <w:highlight w:val="none"/>
              </w:rPr>
            </w:pPr>
            <w:r>
              <w:rPr>
                <w:rFonts w:ascii="Times New Roman" w:hAnsi="Times New Roman" w:cs="Times New Roman"/>
                <w:bCs/>
                <w:color w:val="auto"/>
                <w:w w:val="99"/>
                <w:kern w:val="2"/>
                <w:sz w:val="21"/>
                <w:szCs w:val="21"/>
                <w:highlight w:val="none"/>
              </w:rPr>
              <w:t>正常排放</w:t>
            </w:r>
          </w:p>
        </w:tc>
        <w:tc>
          <w:tcPr>
            <w:tcW w:w="549" w:type="pct"/>
            <w:vAlign w:val="center"/>
          </w:tcPr>
          <w:p w14:paraId="23FC2993">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auto"/>
              <w:rPr>
                <w:rFonts w:hint="default" w:ascii="Times New Roman" w:hAnsi="Times New Roman" w:cs="Times New Roman" w:eastAsiaTheme="minorEastAsia"/>
                <w:color w:val="auto"/>
                <w:w w:val="99"/>
                <w:kern w:val="24"/>
                <w:sz w:val="21"/>
                <w:szCs w:val="21"/>
                <w:highlight w:val="none"/>
                <w:lang w:val="en-US"/>
              </w:rPr>
            </w:pPr>
            <w:r>
              <w:rPr>
                <w:rFonts w:hint="eastAsia" w:ascii="Times New Roman" w:hAnsi="Times New Roman" w:cs="Times New Roman"/>
                <w:color w:val="auto"/>
                <w:w w:val="99"/>
                <w:kern w:val="2"/>
                <w:sz w:val="21"/>
                <w:szCs w:val="21"/>
                <w:highlight w:val="none"/>
                <w:lang w:val="en-US" w:eastAsia="zh-CN" w:bidi="ar-SA"/>
              </w:rPr>
              <w:t>0.399</w:t>
            </w:r>
          </w:p>
        </w:tc>
      </w:tr>
    </w:tbl>
    <w:p w14:paraId="6DFC066A">
      <w:pPr>
        <w:widowControl w:val="0"/>
        <w:spacing w:line="440" w:lineRule="exact"/>
        <w:outlineLvl w:val="3"/>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5.1.2.5大气环境影响预测结果与分析</w:t>
      </w:r>
    </w:p>
    <w:p w14:paraId="12B8F839">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（1）新增污染源贡献浓度结果</w:t>
      </w:r>
    </w:p>
    <w:p w14:paraId="1D81550D">
      <w:pPr>
        <w:widowControl w:val="0"/>
        <w:spacing w:line="440" w:lineRule="exact"/>
        <w:ind w:firstLine="474" w:firstLineChars="200"/>
        <w:jc w:val="both"/>
        <w:rPr>
          <w:rFonts w:hint="default" w:ascii="Times New Roman" w:hAnsi="Times New Roman" w:eastAsia="宋体" w:cs="Times New Roman"/>
          <w:color w:val="auto"/>
          <w:w w:val="99"/>
          <w:highlight w:val="none"/>
        </w:rPr>
      </w:pPr>
      <w:r>
        <w:rPr>
          <w:rFonts w:hint="default" w:ascii="Times New Roman" w:hAnsi="Times New Roman" w:eastAsia="宋体" w:cs="Times New Roman"/>
          <w:color w:val="auto"/>
          <w:w w:val="99"/>
          <w:highlight w:val="none"/>
          <w:lang w:val="zh-CN"/>
        </w:rPr>
        <w:t>本项目主要选取大气环境影响评价范围内的大气环境保护目标进行预测，本评价采用AERMOD推荐模式计算评价范围内区域最大浓度影响值。拟建井场区域最大贡献浓度统计见表5.1-1</w:t>
      </w:r>
      <w:r>
        <w:rPr>
          <w:rFonts w:hint="eastAsia" w:ascii="Times New Roman" w:hAnsi="Times New Roman" w:eastAsia="宋体" w:cs="Times New Roman"/>
          <w:color w:val="auto"/>
          <w:w w:val="99"/>
          <w:highlight w:val="none"/>
          <w:lang w:val="en-US" w:eastAsia="zh-CN"/>
        </w:rPr>
        <w:t>4</w:t>
      </w:r>
      <w:r>
        <w:rPr>
          <w:rFonts w:hint="default" w:ascii="Times New Roman" w:hAnsi="Times New Roman" w:eastAsia="宋体" w:cs="Times New Roman"/>
          <w:color w:val="auto"/>
          <w:w w:val="99"/>
          <w:highlight w:val="none"/>
          <w:lang w:val="zh-CN"/>
        </w:rPr>
        <w:t>，保护目标非甲烷总烃新增污染源贡献浓度及叠加后环境质量浓度预测结果见表5.1-1</w:t>
      </w:r>
      <w:r>
        <w:rPr>
          <w:rFonts w:hint="eastAsia" w:ascii="Times New Roman" w:hAnsi="Times New Roman" w:eastAsia="宋体" w:cs="Times New Roman"/>
          <w:color w:val="auto"/>
          <w:w w:val="99"/>
          <w:highlight w:val="none"/>
          <w:lang w:val="en-US" w:eastAsia="zh-CN"/>
        </w:rPr>
        <w:t>5</w:t>
      </w:r>
      <w:r>
        <w:rPr>
          <w:rFonts w:hint="default" w:ascii="Times New Roman" w:hAnsi="Times New Roman" w:eastAsia="宋体" w:cs="Times New Roman"/>
          <w:color w:val="auto"/>
          <w:w w:val="99"/>
          <w:highlight w:val="none"/>
        </w:rPr>
        <w:t>，长期贡献浓度分布见图5.1-1</w:t>
      </w:r>
      <w:r>
        <w:rPr>
          <w:rFonts w:hint="eastAsia" w:ascii="Times New Roman" w:hAnsi="Times New Roman" w:eastAsia="宋体" w:cs="Times New Roman"/>
          <w:color w:val="auto"/>
          <w:w w:val="99"/>
          <w:highlight w:val="none"/>
          <w:lang w:val="en-US" w:eastAsia="zh-CN"/>
        </w:rPr>
        <w:t>2</w:t>
      </w:r>
      <w:r>
        <w:rPr>
          <w:rFonts w:hint="default" w:ascii="Times New Roman" w:hAnsi="Times New Roman" w:eastAsia="宋体" w:cs="Times New Roman"/>
          <w:color w:val="auto"/>
          <w:w w:val="99"/>
          <w:highlight w:val="none"/>
        </w:rPr>
        <w:t>-图5.1-</w:t>
      </w:r>
      <w:r>
        <w:rPr>
          <w:rFonts w:hint="eastAsia" w:ascii="Times New Roman" w:hAnsi="Times New Roman" w:eastAsia="宋体" w:cs="Times New Roman"/>
          <w:color w:val="auto"/>
          <w:w w:val="99"/>
          <w:highlight w:val="none"/>
          <w:lang w:val="en-US" w:eastAsia="zh-CN"/>
        </w:rPr>
        <w:t>15</w:t>
      </w:r>
      <w:r>
        <w:rPr>
          <w:rFonts w:hint="default" w:ascii="Times New Roman" w:hAnsi="Times New Roman" w:eastAsia="宋体" w:cs="Times New Roman"/>
          <w:color w:val="auto"/>
          <w:w w:val="99"/>
          <w:highlight w:val="none"/>
        </w:rPr>
        <w:t>。</w:t>
      </w:r>
    </w:p>
    <w:p w14:paraId="65E0695E">
      <w:pPr>
        <w:widowControl w:val="0"/>
        <w:spacing w:line="500" w:lineRule="exact"/>
        <w:ind w:firstLine="476" w:firstLineChars="200"/>
        <w:jc w:val="both"/>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表5.1-1</w:t>
      </w:r>
      <w:r>
        <w:rPr>
          <w:rFonts w:hint="eastAsia" w:ascii="Times New Roman" w:hAnsi="Times New Roman" w:eastAsia="宋体" w:cs="Times New Roman"/>
          <w:b/>
          <w:color w:val="auto"/>
          <w:w w:val="99"/>
          <w:highlight w:val="none"/>
          <w:lang w:val="en-US" w:eastAsia="zh-CN"/>
        </w:rPr>
        <w:t>4</w:t>
      </w:r>
      <w:r>
        <w:rPr>
          <w:rFonts w:hint="default" w:ascii="Times New Roman" w:hAnsi="Times New Roman" w:eastAsia="宋体" w:cs="Times New Roman"/>
          <w:b/>
          <w:color w:val="auto"/>
          <w:w w:val="99"/>
          <w:highlight w:val="none"/>
        </w:rPr>
        <w:t xml:space="preserve">      建设项目贡献浓度预测结果表</w:t>
      </w:r>
    </w:p>
    <w:tbl>
      <w:tblPr>
        <w:tblStyle w:val="80"/>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56"/>
        <w:gridCol w:w="1922"/>
        <w:gridCol w:w="1647"/>
        <w:gridCol w:w="2141"/>
        <w:gridCol w:w="1253"/>
        <w:gridCol w:w="1168"/>
      </w:tblGrid>
      <w:tr w14:paraId="0932D6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2" w:type="pct"/>
            <w:vAlign w:val="center"/>
          </w:tcPr>
          <w:p w14:paraId="2A5E027C">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污染物</w:t>
            </w:r>
          </w:p>
        </w:tc>
        <w:tc>
          <w:tcPr>
            <w:tcW w:w="1034" w:type="pct"/>
            <w:vAlign w:val="center"/>
          </w:tcPr>
          <w:p w14:paraId="4CB65007">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预测点</w:t>
            </w:r>
          </w:p>
        </w:tc>
        <w:tc>
          <w:tcPr>
            <w:tcW w:w="886" w:type="pct"/>
            <w:vAlign w:val="center"/>
          </w:tcPr>
          <w:p w14:paraId="4B9C8745">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平均时段</w:t>
            </w:r>
          </w:p>
        </w:tc>
        <w:tc>
          <w:tcPr>
            <w:tcW w:w="1152" w:type="pct"/>
            <w:vAlign w:val="center"/>
          </w:tcPr>
          <w:p w14:paraId="56DBB695">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最大贡献值/μg/m</w:t>
            </w:r>
            <w:r>
              <w:rPr>
                <w:rFonts w:hint="default" w:ascii="Times New Roman" w:hAnsi="Times New Roman" w:eastAsia="宋体" w:cs="Times New Roman"/>
                <w:color w:val="auto"/>
                <w:w w:val="99"/>
                <w:kern w:val="2"/>
                <w:sz w:val="21"/>
                <w:szCs w:val="21"/>
                <w:highlight w:val="none"/>
                <w:vertAlign w:val="superscript"/>
              </w:rPr>
              <w:t>3</w:t>
            </w:r>
          </w:p>
        </w:tc>
        <w:tc>
          <w:tcPr>
            <w:tcW w:w="674" w:type="pct"/>
            <w:vAlign w:val="center"/>
          </w:tcPr>
          <w:p w14:paraId="7C387C40">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占标率%</w:t>
            </w:r>
          </w:p>
        </w:tc>
        <w:tc>
          <w:tcPr>
            <w:tcW w:w="628" w:type="pct"/>
            <w:vAlign w:val="center"/>
          </w:tcPr>
          <w:p w14:paraId="0D2F78E1">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达标情况</w:t>
            </w:r>
          </w:p>
        </w:tc>
      </w:tr>
      <w:tr w14:paraId="7ED9D6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622" w:type="pct"/>
            <w:vAlign w:val="center"/>
          </w:tcPr>
          <w:p w14:paraId="3FB10DFE">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非甲烷总烃</w:t>
            </w:r>
          </w:p>
        </w:tc>
        <w:tc>
          <w:tcPr>
            <w:tcW w:w="1034" w:type="pct"/>
            <w:vAlign w:val="center"/>
          </w:tcPr>
          <w:p w14:paraId="736AF84D">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区域最大值</w:t>
            </w:r>
          </w:p>
        </w:tc>
        <w:tc>
          <w:tcPr>
            <w:tcW w:w="886" w:type="pct"/>
            <w:vAlign w:val="center"/>
          </w:tcPr>
          <w:p w14:paraId="184CBAEB">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1h平均</w:t>
            </w:r>
          </w:p>
        </w:tc>
        <w:tc>
          <w:tcPr>
            <w:tcW w:w="1152" w:type="pct"/>
            <w:vAlign w:val="center"/>
          </w:tcPr>
          <w:p w14:paraId="0F31BB68">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red"/>
              </w:rPr>
            </w:pPr>
            <w:r>
              <w:rPr>
                <w:rFonts w:hint="default" w:ascii="Times New Roman" w:hAnsi="Times New Roman" w:eastAsia="宋体" w:cs="Times New Roman"/>
                <w:color w:val="auto"/>
                <w:w w:val="99"/>
                <w:kern w:val="2"/>
                <w:sz w:val="21"/>
                <w:szCs w:val="21"/>
                <w:highlight w:val="none"/>
              </w:rPr>
              <w:t>1474.25858</w:t>
            </w:r>
          </w:p>
        </w:tc>
        <w:tc>
          <w:tcPr>
            <w:tcW w:w="674" w:type="pct"/>
            <w:vAlign w:val="center"/>
          </w:tcPr>
          <w:p w14:paraId="6A354A92">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red"/>
                <w:lang w:val="en-US" w:eastAsia="zh-CN"/>
              </w:rPr>
            </w:pPr>
            <w:r>
              <w:rPr>
                <w:rFonts w:hint="eastAsia" w:ascii="Times New Roman" w:hAnsi="Times New Roman" w:cs="Times New Roman"/>
                <w:color w:val="auto"/>
                <w:w w:val="99"/>
                <w:kern w:val="2"/>
                <w:sz w:val="21"/>
                <w:szCs w:val="21"/>
                <w:highlight w:val="none"/>
                <w:lang w:val="en-US" w:eastAsia="zh-CN"/>
              </w:rPr>
              <w:t>73.71</w:t>
            </w:r>
          </w:p>
        </w:tc>
        <w:tc>
          <w:tcPr>
            <w:tcW w:w="628" w:type="pct"/>
            <w:vAlign w:val="center"/>
          </w:tcPr>
          <w:p w14:paraId="2BE0F8DB">
            <w:pPr>
              <w:widowControl w:val="0"/>
              <w:adjustRightInd w:val="0"/>
              <w:snapToGrid w:val="0"/>
              <w:spacing w:line="320" w:lineRule="exact"/>
              <w:jc w:val="center"/>
              <w:rPr>
                <w:rFonts w:hint="default" w:ascii="Times New Roman" w:hAnsi="Times New Roman" w:eastAsia="宋体" w:cs="Times New Roman"/>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达标</w:t>
            </w:r>
          </w:p>
        </w:tc>
      </w:tr>
    </w:tbl>
    <w:p w14:paraId="747395C2">
      <w:pPr>
        <w:pStyle w:val="153"/>
        <w:widowControl w:val="0"/>
        <w:spacing w:line="440" w:lineRule="exact"/>
        <w:ind w:firstLine="0" w:firstLineChars="0"/>
        <w:jc w:val="center"/>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表5.1-1</w:t>
      </w:r>
      <w:r>
        <w:rPr>
          <w:rFonts w:hint="eastAsia" w:ascii="Times New Roman" w:hAnsi="Times New Roman" w:eastAsia="宋体" w:cs="Times New Roman"/>
          <w:b/>
          <w:color w:val="auto"/>
          <w:w w:val="99"/>
          <w:highlight w:val="none"/>
          <w:lang w:val="en-US" w:eastAsia="zh-CN"/>
        </w:rPr>
        <w:t>5</w:t>
      </w:r>
      <w:r>
        <w:rPr>
          <w:rFonts w:hint="default" w:ascii="Times New Roman" w:hAnsi="Times New Roman" w:eastAsia="宋体" w:cs="Times New Roman"/>
          <w:b/>
          <w:color w:val="auto"/>
          <w:w w:val="99"/>
          <w:highlight w:val="none"/>
        </w:rPr>
        <w:t xml:space="preserve">   非</w:t>
      </w:r>
      <w:r>
        <w:rPr>
          <w:rFonts w:hint="default" w:ascii="Times New Roman" w:hAnsi="Times New Roman" w:eastAsia="宋体" w:cs="Times New Roman"/>
          <w:b/>
          <w:color w:val="auto"/>
          <w:w w:val="99"/>
          <w:highlight w:val="none"/>
          <w:lang w:val="zh-CN"/>
        </w:rPr>
        <w:t>甲烷</w:t>
      </w:r>
      <w:r>
        <w:rPr>
          <w:rFonts w:hint="default" w:ascii="Times New Roman" w:hAnsi="Times New Roman" w:eastAsia="宋体" w:cs="Times New Roman"/>
          <w:b/>
          <w:color w:val="auto"/>
          <w:w w:val="99"/>
          <w:highlight w:val="none"/>
        </w:rPr>
        <w:t>总烃新增污染源贡献浓度及叠加后环境质量浓度预测结果表</w:t>
      </w:r>
    </w:p>
    <w:tbl>
      <w:tblPr>
        <w:tblStyle w:val="1662"/>
        <w:tblW w:w="500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0"/>
        <w:gridCol w:w="1263"/>
        <w:gridCol w:w="893"/>
        <w:gridCol w:w="1194"/>
        <w:gridCol w:w="852"/>
        <w:gridCol w:w="997"/>
        <w:gridCol w:w="1283"/>
        <w:gridCol w:w="704"/>
        <w:gridCol w:w="1137"/>
      </w:tblGrid>
      <w:tr w14:paraId="31096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11CD7DC4">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污染物</w:t>
            </w:r>
          </w:p>
        </w:tc>
        <w:tc>
          <w:tcPr>
            <w:tcW w:w="694" w:type="pct"/>
            <w:tcBorders>
              <w:tl2br w:val="nil"/>
              <w:tr2bl w:val="nil"/>
            </w:tcBorders>
            <w:vAlign w:val="center"/>
          </w:tcPr>
          <w:p w14:paraId="31B83275">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预测点</w:t>
            </w:r>
          </w:p>
        </w:tc>
        <w:tc>
          <w:tcPr>
            <w:tcW w:w="491" w:type="pct"/>
            <w:tcBorders>
              <w:tl2br w:val="nil"/>
              <w:tr2bl w:val="nil"/>
            </w:tcBorders>
            <w:vAlign w:val="center"/>
          </w:tcPr>
          <w:p w14:paraId="2A1A83A6">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平均时段</w:t>
            </w:r>
          </w:p>
        </w:tc>
        <w:tc>
          <w:tcPr>
            <w:tcW w:w="656" w:type="pct"/>
            <w:tcBorders>
              <w:tl2br w:val="nil"/>
              <w:tr2bl w:val="nil"/>
            </w:tcBorders>
            <w:vAlign w:val="center"/>
          </w:tcPr>
          <w:p w14:paraId="73DA00FF">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最大贡献值（μg/m</w:t>
            </w:r>
            <w:r>
              <w:rPr>
                <w:rFonts w:hint="default" w:ascii="Times New Roman" w:hAnsi="Times New Roman" w:eastAsia="宋体" w:cs="Times New Roman"/>
                <w:color w:val="auto"/>
                <w:w w:val="99"/>
                <w:sz w:val="21"/>
                <w:szCs w:val="21"/>
                <w:highlight w:val="none"/>
                <w:vertAlign w:val="superscript"/>
                <w:lang w:eastAsia="en-US"/>
              </w:rPr>
              <w:t>3</w:t>
            </w:r>
            <w:r>
              <w:rPr>
                <w:rFonts w:hint="default" w:ascii="Times New Roman" w:hAnsi="Times New Roman" w:eastAsia="宋体" w:cs="Times New Roman"/>
                <w:color w:val="auto"/>
                <w:w w:val="99"/>
                <w:sz w:val="21"/>
                <w:szCs w:val="21"/>
                <w:highlight w:val="none"/>
                <w:lang w:eastAsia="en-US"/>
              </w:rPr>
              <w:t>)</w:t>
            </w:r>
          </w:p>
        </w:tc>
        <w:tc>
          <w:tcPr>
            <w:tcW w:w="468" w:type="pct"/>
            <w:tcBorders>
              <w:tl2br w:val="nil"/>
              <w:tr2bl w:val="nil"/>
            </w:tcBorders>
            <w:vAlign w:val="center"/>
          </w:tcPr>
          <w:p w14:paraId="1C7D9DE2">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占标率/%</w:t>
            </w:r>
          </w:p>
        </w:tc>
        <w:tc>
          <w:tcPr>
            <w:tcW w:w="548" w:type="pct"/>
            <w:tcBorders>
              <w:tl2br w:val="nil"/>
              <w:tr2bl w:val="nil"/>
            </w:tcBorders>
          </w:tcPr>
          <w:p w14:paraId="21F1AB82">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背景值（μg/m</w:t>
            </w:r>
            <w:r>
              <w:rPr>
                <w:rFonts w:hint="default" w:ascii="Times New Roman" w:hAnsi="Times New Roman" w:eastAsia="宋体" w:cs="Times New Roman"/>
                <w:color w:val="auto"/>
                <w:w w:val="99"/>
                <w:sz w:val="21"/>
                <w:szCs w:val="21"/>
                <w:highlight w:val="none"/>
                <w:vertAlign w:val="superscript"/>
                <w:lang w:eastAsia="en-US"/>
              </w:rPr>
              <w:t>3</w:t>
            </w:r>
            <w:r>
              <w:rPr>
                <w:rFonts w:hint="default" w:ascii="Times New Roman" w:hAnsi="Times New Roman" w:eastAsia="宋体" w:cs="Times New Roman"/>
                <w:color w:val="auto"/>
                <w:w w:val="99"/>
                <w:sz w:val="21"/>
                <w:szCs w:val="21"/>
                <w:highlight w:val="none"/>
                <w:lang w:eastAsia="en-US"/>
              </w:rPr>
              <w:t>)</w:t>
            </w:r>
          </w:p>
        </w:tc>
        <w:tc>
          <w:tcPr>
            <w:tcW w:w="705" w:type="pct"/>
            <w:tcBorders>
              <w:right w:val="single" w:color="auto" w:sz="4" w:space="0"/>
              <w:tl2br w:val="nil"/>
              <w:tr2bl w:val="nil"/>
            </w:tcBorders>
          </w:tcPr>
          <w:p w14:paraId="5DD5CC33">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叠加值（μg/m</w:t>
            </w:r>
            <w:r>
              <w:rPr>
                <w:rFonts w:hint="default" w:ascii="Times New Roman" w:hAnsi="Times New Roman" w:eastAsia="宋体" w:cs="Times New Roman"/>
                <w:color w:val="auto"/>
                <w:w w:val="99"/>
                <w:sz w:val="21"/>
                <w:szCs w:val="21"/>
                <w:highlight w:val="none"/>
                <w:vertAlign w:val="superscript"/>
                <w:lang w:eastAsia="en-US"/>
              </w:rPr>
              <w:t>3</w:t>
            </w:r>
            <w:r>
              <w:rPr>
                <w:rFonts w:hint="default" w:ascii="Times New Roman" w:hAnsi="Times New Roman" w:eastAsia="宋体" w:cs="Times New Roman"/>
                <w:color w:val="auto"/>
                <w:w w:val="99"/>
                <w:sz w:val="21"/>
                <w:szCs w:val="21"/>
                <w:highlight w:val="none"/>
                <w:lang w:eastAsia="en-US"/>
              </w:rPr>
              <w:t>)</w:t>
            </w:r>
          </w:p>
        </w:tc>
        <w:tc>
          <w:tcPr>
            <w:tcW w:w="387" w:type="pct"/>
            <w:tcBorders>
              <w:left w:val="single" w:color="auto" w:sz="4" w:space="0"/>
              <w:tl2br w:val="nil"/>
              <w:tr2bl w:val="nil"/>
            </w:tcBorders>
          </w:tcPr>
          <w:p w14:paraId="4CA6B60F">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占标率/%</w:t>
            </w:r>
          </w:p>
        </w:tc>
        <w:tc>
          <w:tcPr>
            <w:tcW w:w="625" w:type="pct"/>
            <w:tcBorders>
              <w:tl2br w:val="nil"/>
              <w:tr2bl w:val="nil"/>
            </w:tcBorders>
            <w:vAlign w:val="center"/>
          </w:tcPr>
          <w:p w14:paraId="47CB63F9">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达标情况</w:t>
            </w:r>
          </w:p>
        </w:tc>
      </w:tr>
      <w:tr w14:paraId="2BEC0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10BE2951">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77C9C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rPr>
              <w:t>王家围子</w:t>
            </w:r>
            <w:r>
              <w:rPr>
                <w:rFonts w:hint="eastAsia" w:ascii="Times New Roman" w:hAnsi="Times New Roman" w:eastAsia="宋体" w:cs="Times New Roman"/>
                <w:color w:val="auto"/>
                <w:w w:val="99"/>
                <w:sz w:val="21"/>
                <w:szCs w:val="21"/>
                <w:highlight w:val="none"/>
                <w:lang w:val="en-US" w:eastAsia="zh-CN"/>
              </w:rPr>
              <w:t>屯</w:t>
            </w:r>
          </w:p>
        </w:tc>
        <w:tc>
          <w:tcPr>
            <w:tcW w:w="491" w:type="pct"/>
            <w:tcBorders>
              <w:tl2br w:val="nil"/>
              <w:tr2bl w:val="nil"/>
            </w:tcBorders>
            <w:vAlign w:val="center"/>
          </w:tcPr>
          <w:p w14:paraId="36678E63">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57CF9BD2">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17.44962</w:t>
            </w:r>
          </w:p>
        </w:tc>
        <w:tc>
          <w:tcPr>
            <w:tcW w:w="468" w:type="pct"/>
            <w:tcBorders>
              <w:tl2br w:val="nil"/>
              <w:tr2bl w:val="nil"/>
            </w:tcBorders>
            <w:vAlign w:val="center"/>
          </w:tcPr>
          <w:p w14:paraId="6782458E">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 xml:space="preserve">0.87 </w:t>
            </w:r>
          </w:p>
        </w:tc>
        <w:tc>
          <w:tcPr>
            <w:tcW w:w="548" w:type="pct"/>
            <w:tcBorders>
              <w:tl2br w:val="nil"/>
              <w:tr2bl w:val="nil"/>
            </w:tcBorders>
          </w:tcPr>
          <w:p w14:paraId="61779284">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697BF935">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627.44962</w:t>
            </w:r>
          </w:p>
        </w:tc>
        <w:tc>
          <w:tcPr>
            <w:tcW w:w="387" w:type="pct"/>
            <w:tcBorders>
              <w:left w:val="single" w:color="auto" w:sz="4" w:space="0"/>
              <w:tl2br w:val="nil"/>
              <w:tr2bl w:val="nil"/>
            </w:tcBorders>
            <w:vAlign w:val="center"/>
          </w:tcPr>
          <w:p w14:paraId="70443DEA">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31.37 </w:t>
            </w:r>
          </w:p>
        </w:tc>
        <w:tc>
          <w:tcPr>
            <w:tcW w:w="625" w:type="pct"/>
            <w:tcBorders>
              <w:tl2br w:val="nil"/>
              <w:tr2bl w:val="nil"/>
            </w:tcBorders>
            <w:vAlign w:val="center"/>
          </w:tcPr>
          <w:p w14:paraId="310FBB49">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r w14:paraId="2FE78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23" w:type="pct"/>
            <w:tcBorders>
              <w:tl2br w:val="nil"/>
              <w:tr2bl w:val="nil"/>
            </w:tcBorders>
            <w:vAlign w:val="center"/>
          </w:tcPr>
          <w:p w14:paraId="50F4629F">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23A67A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rPr>
              <w:t>东双山</w:t>
            </w:r>
            <w:r>
              <w:rPr>
                <w:rFonts w:hint="eastAsia" w:ascii="Times New Roman" w:hAnsi="Times New Roman" w:eastAsia="宋体" w:cs="Times New Roman"/>
                <w:color w:val="auto"/>
                <w:w w:val="99"/>
                <w:sz w:val="21"/>
                <w:szCs w:val="21"/>
                <w:highlight w:val="none"/>
                <w:lang w:val="en-US" w:eastAsia="zh-CN"/>
              </w:rPr>
              <w:t>屯</w:t>
            </w:r>
          </w:p>
        </w:tc>
        <w:tc>
          <w:tcPr>
            <w:tcW w:w="491" w:type="pct"/>
            <w:tcBorders>
              <w:tl2br w:val="nil"/>
              <w:tr2bl w:val="nil"/>
            </w:tcBorders>
            <w:vAlign w:val="center"/>
          </w:tcPr>
          <w:p w14:paraId="7858E2C7">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6A53B094">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6.08845</w:t>
            </w:r>
          </w:p>
        </w:tc>
        <w:tc>
          <w:tcPr>
            <w:tcW w:w="468" w:type="pct"/>
            <w:tcBorders>
              <w:tl2br w:val="nil"/>
              <w:tr2bl w:val="nil"/>
            </w:tcBorders>
            <w:vAlign w:val="center"/>
          </w:tcPr>
          <w:p w14:paraId="398FF812">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 xml:space="preserve">0.30 </w:t>
            </w:r>
          </w:p>
        </w:tc>
        <w:tc>
          <w:tcPr>
            <w:tcW w:w="548" w:type="pct"/>
            <w:tcBorders>
              <w:tl2br w:val="nil"/>
              <w:tr2bl w:val="nil"/>
            </w:tcBorders>
          </w:tcPr>
          <w:p w14:paraId="0B51D884">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38216919">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616.08845</w:t>
            </w:r>
          </w:p>
        </w:tc>
        <w:tc>
          <w:tcPr>
            <w:tcW w:w="387" w:type="pct"/>
            <w:tcBorders>
              <w:left w:val="single" w:color="auto" w:sz="4" w:space="0"/>
              <w:tl2br w:val="nil"/>
              <w:tr2bl w:val="nil"/>
            </w:tcBorders>
            <w:vAlign w:val="center"/>
          </w:tcPr>
          <w:p w14:paraId="4E48927B">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30.80 </w:t>
            </w:r>
          </w:p>
        </w:tc>
        <w:tc>
          <w:tcPr>
            <w:tcW w:w="625" w:type="pct"/>
            <w:tcBorders>
              <w:tl2br w:val="nil"/>
              <w:tr2bl w:val="nil"/>
            </w:tcBorders>
          </w:tcPr>
          <w:p w14:paraId="7F16A517">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r w14:paraId="5C193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0B00BE3A">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6620E2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eastAsia" w:ascii="Times New Roman" w:hAnsi="Times New Roman" w:eastAsia="宋体" w:cs="Times New Roman"/>
                <w:color w:val="auto"/>
                <w:w w:val="99"/>
                <w:sz w:val="21"/>
                <w:szCs w:val="21"/>
                <w:highlight w:val="none"/>
                <w:lang w:val="en-US" w:eastAsia="zh-CN"/>
              </w:rPr>
              <w:t>西双山屯</w:t>
            </w:r>
          </w:p>
        </w:tc>
        <w:tc>
          <w:tcPr>
            <w:tcW w:w="491" w:type="pct"/>
            <w:tcBorders>
              <w:tl2br w:val="nil"/>
              <w:tr2bl w:val="nil"/>
            </w:tcBorders>
            <w:vAlign w:val="center"/>
          </w:tcPr>
          <w:p w14:paraId="348B09AE">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0536B750">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5.64887</w:t>
            </w:r>
          </w:p>
        </w:tc>
        <w:tc>
          <w:tcPr>
            <w:tcW w:w="468" w:type="pct"/>
            <w:tcBorders>
              <w:tl2br w:val="nil"/>
              <w:tr2bl w:val="nil"/>
            </w:tcBorders>
            <w:vAlign w:val="center"/>
          </w:tcPr>
          <w:p w14:paraId="7E0D09A3">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 xml:space="preserve">0.28 </w:t>
            </w:r>
          </w:p>
        </w:tc>
        <w:tc>
          <w:tcPr>
            <w:tcW w:w="548" w:type="pct"/>
            <w:tcBorders>
              <w:tl2br w:val="nil"/>
              <w:tr2bl w:val="nil"/>
            </w:tcBorders>
          </w:tcPr>
          <w:p w14:paraId="230EBD92">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36435130">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615.64887</w:t>
            </w:r>
          </w:p>
        </w:tc>
        <w:tc>
          <w:tcPr>
            <w:tcW w:w="387" w:type="pct"/>
            <w:tcBorders>
              <w:left w:val="single" w:color="auto" w:sz="4" w:space="0"/>
              <w:tl2br w:val="nil"/>
              <w:tr2bl w:val="nil"/>
            </w:tcBorders>
            <w:vAlign w:val="center"/>
          </w:tcPr>
          <w:p w14:paraId="7A045401">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30.78 </w:t>
            </w:r>
          </w:p>
        </w:tc>
        <w:tc>
          <w:tcPr>
            <w:tcW w:w="625" w:type="pct"/>
            <w:tcBorders>
              <w:tl2br w:val="nil"/>
              <w:tr2bl w:val="nil"/>
            </w:tcBorders>
          </w:tcPr>
          <w:p w14:paraId="48ECD1B2">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r w14:paraId="70482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05A55756">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7BB08A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eastAsia" w:ascii="Times New Roman" w:hAnsi="Times New Roman" w:eastAsia="宋体" w:cs="Times New Roman"/>
                <w:color w:val="auto"/>
                <w:w w:val="99"/>
                <w:sz w:val="21"/>
                <w:szCs w:val="21"/>
                <w:highlight w:val="none"/>
                <w:lang w:val="en-US" w:eastAsia="zh-CN"/>
              </w:rPr>
              <w:t>新发屯</w:t>
            </w:r>
          </w:p>
        </w:tc>
        <w:tc>
          <w:tcPr>
            <w:tcW w:w="491" w:type="pct"/>
            <w:tcBorders>
              <w:tl2br w:val="nil"/>
              <w:tr2bl w:val="nil"/>
            </w:tcBorders>
            <w:vAlign w:val="center"/>
          </w:tcPr>
          <w:p w14:paraId="5350512F">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56A76A41">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9.45256</w:t>
            </w:r>
          </w:p>
        </w:tc>
        <w:tc>
          <w:tcPr>
            <w:tcW w:w="468" w:type="pct"/>
            <w:tcBorders>
              <w:tl2br w:val="nil"/>
              <w:tr2bl w:val="nil"/>
            </w:tcBorders>
            <w:vAlign w:val="center"/>
          </w:tcPr>
          <w:p w14:paraId="6544A275">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 xml:space="preserve">0.47 </w:t>
            </w:r>
          </w:p>
        </w:tc>
        <w:tc>
          <w:tcPr>
            <w:tcW w:w="548" w:type="pct"/>
            <w:tcBorders>
              <w:tl2br w:val="nil"/>
              <w:tr2bl w:val="nil"/>
            </w:tcBorders>
          </w:tcPr>
          <w:p w14:paraId="41A49037">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78A49879">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619.45256</w:t>
            </w:r>
          </w:p>
        </w:tc>
        <w:tc>
          <w:tcPr>
            <w:tcW w:w="387" w:type="pct"/>
            <w:tcBorders>
              <w:left w:val="single" w:color="auto" w:sz="4" w:space="0"/>
              <w:tl2br w:val="nil"/>
              <w:tr2bl w:val="nil"/>
            </w:tcBorders>
            <w:vAlign w:val="center"/>
          </w:tcPr>
          <w:p w14:paraId="4FACDD8A">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30.97 </w:t>
            </w:r>
          </w:p>
        </w:tc>
        <w:tc>
          <w:tcPr>
            <w:tcW w:w="625" w:type="pct"/>
            <w:tcBorders>
              <w:tl2br w:val="nil"/>
              <w:tr2bl w:val="nil"/>
            </w:tcBorders>
          </w:tcPr>
          <w:p w14:paraId="0CBAC0E3">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r w14:paraId="4D70F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000AFE33">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15445A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rPr>
              <w:t>大太平川</w:t>
            </w:r>
            <w:r>
              <w:rPr>
                <w:rFonts w:hint="eastAsia" w:ascii="Times New Roman" w:hAnsi="Times New Roman" w:eastAsia="宋体" w:cs="Times New Roman"/>
                <w:color w:val="auto"/>
                <w:w w:val="99"/>
                <w:sz w:val="21"/>
                <w:szCs w:val="21"/>
                <w:highlight w:val="none"/>
                <w:lang w:val="en-US" w:eastAsia="zh-CN"/>
              </w:rPr>
              <w:t>屯</w:t>
            </w:r>
          </w:p>
        </w:tc>
        <w:tc>
          <w:tcPr>
            <w:tcW w:w="491" w:type="pct"/>
            <w:tcBorders>
              <w:tl2br w:val="nil"/>
              <w:tr2bl w:val="nil"/>
            </w:tcBorders>
            <w:vAlign w:val="center"/>
          </w:tcPr>
          <w:p w14:paraId="2C7913FA">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119E1300">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12.40668</w:t>
            </w:r>
          </w:p>
        </w:tc>
        <w:tc>
          <w:tcPr>
            <w:tcW w:w="468" w:type="pct"/>
            <w:tcBorders>
              <w:tl2br w:val="nil"/>
              <w:tr2bl w:val="nil"/>
            </w:tcBorders>
            <w:vAlign w:val="center"/>
          </w:tcPr>
          <w:p w14:paraId="434232F1">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 xml:space="preserve">0.62 </w:t>
            </w:r>
          </w:p>
        </w:tc>
        <w:tc>
          <w:tcPr>
            <w:tcW w:w="548" w:type="pct"/>
            <w:tcBorders>
              <w:tl2br w:val="nil"/>
              <w:tr2bl w:val="nil"/>
            </w:tcBorders>
          </w:tcPr>
          <w:p w14:paraId="62021592">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5F7AE019">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622.40668</w:t>
            </w:r>
          </w:p>
        </w:tc>
        <w:tc>
          <w:tcPr>
            <w:tcW w:w="387" w:type="pct"/>
            <w:tcBorders>
              <w:left w:val="single" w:color="auto" w:sz="4" w:space="0"/>
              <w:tl2br w:val="nil"/>
              <w:tr2bl w:val="nil"/>
            </w:tcBorders>
            <w:vAlign w:val="center"/>
          </w:tcPr>
          <w:p w14:paraId="648BCFEC">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31.12 </w:t>
            </w:r>
          </w:p>
        </w:tc>
        <w:tc>
          <w:tcPr>
            <w:tcW w:w="625" w:type="pct"/>
            <w:tcBorders>
              <w:tl2br w:val="nil"/>
              <w:tr2bl w:val="nil"/>
            </w:tcBorders>
          </w:tcPr>
          <w:p w14:paraId="71D8460C">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r w14:paraId="50522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74E01537">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0C25AF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eastAsia" w:ascii="Times New Roman" w:hAnsi="Times New Roman" w:eastAsia="宋体" w:cs="Times New Roman"/>
                <w:color w:val="auto"/>
                <w:w w:val="99"/>
                <w:sz w:val="21"/>
                <w:szCs w:val="21"/>
                <w:highlight w:val="none"/>
                <w:lang w:val="en-US" w:eastAsia="zh-CN"/>
              </w:rPr>
              <w:t>福龙村（</w:t>
            </w:r>
            <w:r>
              <w:rPr>
                <w:rFonts w:hint="default" w:ascii="Times New Roman" w:hAnsi="Times New Roman" w:eastAsia="宋体" w:cs="Times New Roman"/>
                <w:color w:val="auto"/>
                <w:w w:val="99"/>
                <w:sz w:val="21"/>
                <w:szCs w:val="21"/>
                <w:highlight w:val="none"/>
              </w:rPr>
              <w:t>尚家围子</w:t>
            </w:r>
            <w:r>
              <w:rPr>
                <w:rFonts w:hint="eastAsia" w:ascii="Times New Roman" w:hAnsi="Times New Roman" w:eastAsia="宋体" w:cs="Times New Roman"/>
                <w:color w:val="auto"/>
                <w:w w:val="99"/>
                <w:sz w:val="21"/>
                <w:szCs w:val="21"/>
                <w:highlight w:val="none"/>
                <w:lang w:val="en-US" w:eastAsia="zh-CN"/>
              </w:rPr>
              <w:t>屯）</w:t>
            </w:r>
          </w:p>
        </w:tc>
        <w:tc>
          <w:tcPr>
            <w:tcW w:w="491" w:type="pct"/>
            <w:tcBorders>
              <w:tl2br w:val="nil"/>
              <w:tr2bl w:val="nil"/>
            </w:tcBorders>
            <w:vAlign w:val="center"/>
          </w:tcPr>
          <w:p w14:paraId="222BD650">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5763B65C">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44.1032</w:t>
            </w:r>
          </w:p>
        </w:tc>
        <w:tc>
          <w:tcPr>
            <w:tcW w:w="468" w:type="pct"/>
            <w:tcBorders>
              <w:tl2br w:val="nil"/>
              <w:tr2bl w:val="nil"/>
            </w:tcBorders>
            <w:vAlign w:val="center"/>
          </w:tcPr>
          <w:p w14:paraId="5711195F">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 xml:space="preserve">2.21 </w:t>
            </w:r>
          </w:p>
        </w:tc>
        <w:tc>
          <w:tcPr>
            <w:tcW w:w="548" w:type="pct"/>
            <w:tcBorders>
              <w:tl2br w:val="nil"/>
              <w:tr2bl w:val="nil"/>
            </w:tcBorders>
            <w:vAlign w:val="center"/>
          </w:tcPr>
          <w:p w14:paraId="148F08C7">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051EB2D5">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654.1032</w:t>
            </w:r>
          </w:p>
        </w:tc>
        <w:tc>
          <w:tcPr>
            <w:tcW w:w="387" w:type="pct"/>
            <w:tcBorders>
              <w:left w:val="single" w:color="auto" w:sz="4" w:space="0"/>
              <w:tl2br w:val="nil"/>
              <w:tr2bl w:val="nil"/>
            </w:tcBorders>
            <w:vAlign w:val="center"/>
          </w:tcPr>
          <w:p w14:paraId="049FE2E0">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32.71 </w:t>
            </w:r>
          </w:p>
        </w:tc>
        <w:tc>
          <w:tcPr>
            <w:tcW w:w="625" w:type="pct"/>
            <w:tcBorders>
              <w:tl2br w:val="nil"/>
              <w:tr2bl w:val="nil"/>
            </w:tcBorders>
            <w:vAlign w:val="center"/>
          </w:tcPr>
          <w:p w14:paraId="2403C996">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r w14:paraId="52EC0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1F49CE28">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385CFDB5">
            <w:pPr>
              <w:widowControl w:val="0"/>
              <w:spacing w:line="320" w:lineRule="exact"/>
              <w:jc w:val="center"/>
              <w:rPr>
                <w:rFonts w:hint="default" w:ascii="Times New Roman" w:hAnsi="Times New Roman" w:eastAsia="宋体" w:cs="Times New Roman"/>
                <w:color w:val="auto"/>
                <w:w w:val="99"/>
                <w:kern w:val="2"/>
                <w:sz w:val="21"/>
                <w:szCs w:val="21"/>
                <w:highlight w:val="none"/>
                <w:lang w:val="en-US" w:eastAsia="en-US" w:bidi="ar-SA"/>
              </w:rPr>
            </w:pPr>
            <w:r>
              <w:rPr>
                <w:rFonts w:hint="default" w:ascii="Times New Roman" w:hAnsi="Times New Roman" w:eastAsia="宋体" w:cs="Times New Roman"/>
                <w:color w:val="auto"/>
                <w:w w:val="99"/>
                <w:sz w:val="21"/>
                <w:szCs w:val="21"/>
                <w:highlight w:val="none"/>
              </w:rPr>
              <w:t>邢家围子</w:t>
            </w:r>
            <w:r>
              <w:rPr>
                <w:rFonts w:hint="eastAsia" w:ascii="Times New Roman" w:hAnsi="Times New Roman" w:eastAsia="宋体" w:cs="Times New Roman"/>
                <w:color w:val="auto"/>
                <w:w w:val="99"/>
                <w:sz w:val="21"/>
                <w:szCs w:val="21"/>
                <w:highlight w:val="none"/>
                <w:lang w:val="en-US" w:eastAsia="zh-CN"/>
              </w:rPr>
              <w:t>屯</w:t>
            </w:r>
          </w:p>
        </w:tc>
        <w:tc>
          <w:tcPr>
            <w:tcW w:w="491" w:type="pct"/>
            <w:tcBorders>
              <w:tl2br w:val="nil"/>
              <w:tr2bl w:val="nil"/>
            </w:tcBorders>
            <w:vAlign w:val="center"/>
          </w:tcPr>
          <w:p w14:paraId="2573B4F7">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02B2C362">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129.6042</w:t>
            </w:r>
          </w:p>
        </w:tc>
        <w:tc>
          <w:tcPr>
            <w:tcW w:w="468" w:type="pct"/>
            <w:tcBorders>
              <w:tl2br w:val="nil"/>
              <w:tr2bl w:val="nil"/>
            </w:tcBorders>
            <w:vAlign w:val="center"/>
          </w:tcPr>
          <w:p w14:paraId="377CBFF5">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 xml:space="preserve">6.48 </w:t>
            </w:r>
          </w:p>
        </w:tc>
        <w:tc>
          <w:tcPr>
            <w:tcW w:w="548" w:type="pct"/>
            <w:tcBorders>
              <w:tl2br w:val="nil"/>
              <w:tr2bl w:val="nil"/>
            </w:tcBorders>
          </w:tcPr>
          <w:p w14:paraId="778B1E81">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49AD29AD">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739.6042</w:t>
            </w:r>
          </w:p>
        </w:tc>
        <w:tc>
          <w:tcPr>
            <w:tcW w:w="387" w:type="pct"/>
            <w:tcBorders>
              <w:left w:val="single" w:color="auto" w:sz="4" w:space="0"/>
              <w:tl2br w:val="nil"/>
              <w:tr2bl w:val="nil"/>
            </w:tcBorders>
            <w:vAlign w:val="center"/>
          </w:tcPr>
          <w:p w14:paraId="2844D53C">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36.98 </w:t>
            </w:r>
          </w:p>
        </w:tc>
        <w:tc>
          <w:tcPr>
            <w:tcW w:w="625" w:type="pct"/>
            <w:tcBorders>
              <w:tl2br w:val="nil"/>
              <w:tr2bl w:val="nil"/>
            </w:tcBorders>
          </w:tcPr>
          <w:p w14:paraId="592B1CFE">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r w14:paraId="5BA8E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4C657CB5">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06942D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rPr>
              <w:t>后柜</w:t>
            </w:r>
            <w:r>
              <w:rPr>
                <w:rFonts w:hint="eastAsia" w:ascii="Times New Roman" w:hAnsi="Times New Roman" w:eastAsia="宋体" w:cs="Times New Roman"/>
                <w:color w:val="auto"/>
                <w:w w:val="99"/>
                <w:sz w:val="21"/>
                <w:szCs w:val="21"/>
                <w:highlight w:val="none"/>
                <w:lang w:val="en-US" w:eastAsia="zh-CN"/>
              </w:rPr>
              <w:t>屯</w:t>
            </w:r>
          </w:p>
        </w:tc>
        <w:tc>
          <w:tcPr>
            <w:tcW w:w="491" w:type="pct"/>
            <w:tcBorders>
              <w:tl2br w:val="nil"/>
              <w:tr2bl w:val="nil"/>
            </w:tcBorders>
            <w:vAlign w:val="center"/>
          </w:tcPr>
          <w:p w14:paraId="2517FC30">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1D0A3D60">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13.10081</w:t>
            </w:r>
          </w:p>
        </w:tc>
        <w:tc>
          <w:tcPr>
            <w:tcW w:w="468" w:type="pct"/>
            <w:tcBorders>
              <w:tl2br w:val="nil"/>
              <w:tr2bl w:val="nil"/>
            </w:tcBorders>
            <w:vAlign w:val="center"/>
          </w:tcPr>
          <w:p w14:paraId="29899F88">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 xml:space="preserve">0.66 </w:t>
            </w:r>
          </w:p>
        </w:tc>
        <w:tc>
          <w:tcPr>
            <w:tcW w:w="548" w:type="pct"/>
            <w:tcBorders>
              <w:tl2br w:val="nil"/>
              <w:tr2bl w:val="nil"/>
            </w:tcBorders>
          </w:tcPr>
          <w:p w14:paraId="12285919">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1A95A546">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623.10081</w:t>
            </w:r>
          </w:p>
        </w:tc>
        <w:tc>
          <w:tcPr>
            <w:tcW w:w="387" w:type="pct"/>
            <w:tcBorders>
              <w:left w:val="single" w:color="auto" w:sz="4" w:space="0"/>
              <w:tl2br w:val="nil"/>
              <w:tr2bl w:val="nil"/>
            </w:tcBorders>
            <w:vAlign w:val="center"/>
          </w:tcPr>
          <w:p w14:paraId="2380D939">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31.16 </w:t>
            </w:r>
          </w:p>
        </w:tc>
        <w:tc>
          <w:tcPr>
            <w:tcW w:w="625" w:type="pct"/>
            <w:tcBorders>
              <w:tl2br w:val="nil"/>
              <w:tr2bl w:val="nil"/>
            </w:tcBorders>
          </w:tcPr>
          <w:p w14:paraId="310FF441">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r w14:paraId="29D0D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44477C26">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69C063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rPr>
            </w:pPr>
            <w:r>
              <w:rPr>
                <w:rFonts w:hint="default" w:ascii="Times New Roman" w:hAnsi="Times New Roman" w:eastAsia="宋体" w:cs="Times New Roman"/>
                <w:color w:val="auto"/>
                <w:w w:val="99"/>
                <w:sz w:val="21"/>
                <w:szCs w:val="21"/>
                <w:highlight w:val="none"/>
              </w:rPr>
              <w:t>腰柜</w:t>
            </w:r>
            <w:r>
              <w:rPr>
                <w:rFonts w:hint="eastAsia" w:ascii="Times New Roman" w:hAnsi="Times New Roman" w:eastAsia="宋体" w:cs="Times New Roman"/>
                <w:color w:val="auto"/>
                <w:w w:val="99"/>
                <w:sz w:val="21"/>
                <w:szCs w:val="21"/>
                <w:highlight w:val="none"/>
                <w:lang w:val="en-US" w:eastAsia="zh-CN"/>
              </w:rPr>
              <w:t>屯</w:t>
            </w:r>
          </w:p>
        </w:tc>
        <w:tc>
          <w:tcPr>
            <w:tcW w:w="491" w:type="pct"/>
            <w:tcBorders>
              <w:tl2br w:val="nil"/>
              <w:tr2bl w:val="nil"/>
            </w:tcBorders>
            <w:vAlign w:val="center"/>
          </w:tcPr>
          <w:p w14:paraId="306ED491">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06AE9BAA">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12.35210</w:t>
            </w:r>
          </w:p>
        </w:tc>
        <w:tc>
          <w:tcPr>
            <w:tcW w:w="468" w:type="pct"/>
            <w:tcBorders>
              <w:tl2br w:val="nil"/>
              <w:tr2bl w:val="nil"/>
            </w:tcBorders>
            <w:vAlign w:val="center"/>
          </w:tcPr>
          <w:p w14:paraId="3F97AD10">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0.62 </w:t>
            </w:r>
          </w:p>
        </w:tc>
        <w:tc>
          <w:tcPr>
            <w:tcW w:w="548" w:type="pct"/>
            <w:tcBorders>
              <w:tl2br w:val="nil"/>
              <w:tr2bl w:val="nil"/>
            </w:tcBorders>
          </w:tcPr>
          <w:p w14:paraId="6F42F673">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4E697476">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622.3521</w:t>
            </w:r>
          </w:p>
        </w:tc>
        <w:tc>
          <w:tcPr>
            <w:tcW w:w="387" w:type="pct"/>
            <w:tcBorders>
              <w:left w:val="single" w:color="auto" w:sz="4" w:space="0"/>
              <w:tl2br w:val="nil"/>
              <w:tr2bl w:val="nil"/>
            </w:tcBorders>
            <w:vAlign w:val="center"/>
          </w:tcPr>
          <w:p w14:paraId="2BB434C0">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31.12 </w:t>
            </w:r>
          </w:p>
        </w:tc>
        <w:tc>
          <w:tcPr>
            <w:tcW w:w="625" w:type="pct"/>
            <w:tcBorders>
              <w:tl2br w:val="nil"/>
              <w:tr2bl w:val="nil"/>
            </w:tcBorders>
          </w:tcPr>
          <w:p w14:paraId="0E6F1E46">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r w14:paraId="1E9F9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0596FBF6">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49E25A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rPr>
              <w:t>杨</w:t>
            </w:r>
            <w:r>
              <w:rPr>
                <w:rFonts w:hint="eastAsia" w:ascii="Times New Roman" w:hAnsi="Times New Roman" w:cs="Times New Roman"/>
                <w:color w:val="auto"/>
                <w:w w:val="99"/>
                <w:sz w:val="21"/>
                <w:szCs w:val="21"/>
                <w:highlight w:val="none"/>
                <w:lang w:val="en-US" w:eastAsia="zh-CN"/>
              </w:rPr>
              <w:t>家</w:t>
            </w:r>
            <w:r>
              <w:rPr>
                <w:rFonts w:hint="default" w:ascii="Times New Roman" w:hAnsi="Times New Roman" w:eastAsia="宋体" w:cs="Times New Roman"/>
                <w:color w:val="auto"/>
                <w:w w:val="99"/>
                <w:sz w:val="21"/>
                <w:szCs w:val="21"/>
                <w:highlight w:val="none"/>
              </w:rPr>
              <w:t>屯</w:t>
            </w:r>
          </w:p>
        </w:tc>
        <w:tc>
          <w:tcPr>
            <w:tcW w:w="491" w:type="pct"/>
            <w:tcBorders>
              <w:tl2br w:val="nil"/>
              <w:tr2bl w:val="nil"/>
            </w:tcBorders>
            <w:vAlign w:val="center"/>
          </w:tcPr>
          <w:p w14:paraId="7BDA76AB">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600F192B">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lang w:val="en-US" w:eastAsia="en-US"/>
              </w:rPr>
              <w:t>22.49884</w:t>
            </w:r>
          </w:p>
        </w:tc>
        <w:tc>
          <w:tcPr>
            <w:tcW w:w="468" w:type="pct"/>
            <w:tcBorders>
              <w:tl2br w:val="nil"/>
              <w:tr2bl w:val="nil"/>
            </w:tcBorders>
            <w:vAlign w:val="center"/>
          </w:tcPr>
          <w:p w14:paraId="23D7BA4E">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 xml:space="preserve">1.12 </w:t>
            </w:r>
          </w:p>
        </w:tc>
        <w:tc>
          <w:tcPr>
            <w:tcW w:w="548" w:type="pct"/>
            <w:tcBorders>
              <w:tl2br w:val="nil"/>
              <w:tr2bl w:val="nil"/>
            </w:tcBorders>
          </w:tcPr>
          <w:p w14:paraId="69AC7E16">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33E0CABF">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632.49884</w:t>
            </w:r>
          </w:p>
        </w:tc>
        <w:tc>
          <w:tcPr>
            <w:tcW w:w="387" w:type="pct"/>
            <w:tcBorders>
              <w:left w:val="single" w:color="auto" w:sz="4" w:space="0"/>
              <w:tl2br w:val="nil"/>
              <w:tr2bl w:val="nil"/>
            </w:tcBorders>
            <w:vAlign w:val="center"/>
          </w:tcPr>
          <w:p w14:paraId="3D65F219">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31.62 </w:t>
            </w:r>
          </w:p>
        </w:tc>
        <w:tc>
          <w:tcPr>
            <w:tcW w:w="625" w:type="pct"/>
            <w:tcBorders>
              <w:tl2br w:val="nil"/>
              <w:tr2bl w:val="nil"/>
            </w:tcBorders>
          </w:tcPr>
          <w:p w14:paraId="00B56646">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r w14:paraId="384CC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301C3F59">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1D3F52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rPr>
              <w:t>鹿家屯</w:t>
            </w:r>
          </w:p>
        </w:tc>
        <w:tc>
          <w:tcPr>
            <w:tcW w:w="491" w:type="pct"/>
            <w:tcBorders>
              <w:tl2br w:val="nil"/>
              <w:tr2bl w:val="nil"/>
            </w:tcBorders>
            <w:vAlign w:val="center"/>
          </w:tcPr>
          <w:p w14:paraId="2645F650">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396DCE8A">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lang w:val="en-US" w:eastAsia="en-US"/>
              </w:rPr>
              <w:t>21.02892</w:t>
            </w:r>
          </w:p>
        </w:tc>
        <w:tc>
          <w:tcPr>
            <w:tcW w:w="468" w:type="pct"/>
            <w:tcBorders>
              <w:tl2br w:val="nil"/>
              <w:tr2bl w:val="nil"/>
            </w:tcBorders>
            <w:vAlign w:val="center"/>
          </w:tcPr>
          <w:p w14:paraId="46DF946D">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1.05 </w:t>
            </w:r>
          </w:p>
        </w:tc>
        <w:tc>
          <w:tcPr>
            <w:tcW w:w="548" w:type="pct"/>
            <w:tcBorders>
              <w:tl2br w:val="nil"/>
              <w:tr2bl w:val="nil"/>
            </w:tcBorders>
          </w:tcPr>
          <w:p w14:paraId="06A688FD">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7B570FBF">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631.02892</w:t>
            </w:r>
          </w:p>
        </w:tc>
        <w:tc>
          <w:tcPr>
            <w:tcW w:w="387" w:type="pct"/>
            <w:tcBorders>
              <w:left w:val="single" w:color="auto" w:sz="4" w:space="0"/>
              <w:tl2br w:val="nil"/>
              <w:tr2bl w:val="nil"/>
            </w:tcBorders>
            <w:vAlign w:val="center"/>
          </w:tcPr>
          <w:p w14:paraId="3E300C2E">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31.55 </w:t>
            </w:r>
          </w:p>
        </w:tc>
        <w:tc>
          <w:tcPr>
            <w:tcW w:w="625" w:type="pct"/>
            <w:tcBorders>
              <w:tl2br w:val="nil"/>
              <w:tr2bl w:val="nil"/>
            </w:tcBorders>
          </w:tcPr>
          <w:p w14:paraId="4AD7D7BF">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r w14:paraId="03116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3" w:type="pct"/>
            <w:tcBorders>
              <w:tl2br w:val="nil"/>
              <w:tr2bl w:val="nil"/>
            </w:tcBorders>
            <w:vAlign w:val="center"/>
          </w:tcPr>
          <w:p w14:paraId="645C05E3">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NMHC</w:t>
            </w:r>
          </w:p>
        </w:tc>
        <w:tc>
          <w:tcPr>
            <w:tcW w:w="694" w:type="pct"/>
            <w:tcBorders>
              <w:tl2br w:val="nil"/>
              <w:tr2bl w:val="nil"/>
            </w:tcBorders>
            <w:shd w:val="clear" w:color="auto" w:fill="auto"/>
            <w:vAlign w:val="center"/>
          </w:tcPr>
          <w:p w14:paraId="13886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rPr>
              <w:t>崔永宝屯</w:t>
            </w:r>
          </w:p>
        </w:tc>
        <w:tc>
          <w:tcPr>
            <w:tcW w:w="491" w:type="pct"/>
            <w:tcBorders>
              <w:tl2br w:val="nil"/>
              <w:tr2bl w:val="nil"/>
            </w:tcBorders>
            <w:vAlign w:val="center"/>
          </w:tcPr>
          <w:p w14:paraId="03A6DE06">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eastAsia="en-US"/>
              </w:rPr>
            </w:pPr>
            <w:r>
              <w:rPr>
                <w:rFonts w:hint="default" w:ascii="Times New Roman" w:hAnsi="Times New Roman" w:eastAsia="宋体" w:cs="Times New Roman"/>
                <w:color w:val="auto"/>
                <w:w w:val="99"/>
                <w:sz w:val="21"/>
                <w:szCs w:val="21"/>
                <w:highlight w:val="none"/>
                <w:lang w:eastAsia="en-US"/>
              </w:rPr>
              <w:t>小时值</w:t>
            </w:r>
          </w:p>
        </w:tc>
        <w:tc>
          <w:tcPr>
            <w:tcW w:w="656" w:type="pct"/>
            <w:tcBorders>
              <w:tl2br w:val="nil"/>
              <w:tr2bl w:val="nil"/>
            </w:tcBorders>
            <w:vAlign w:val="center"/>
          </w:tcPr>
          <w:p w14:paraId="129B8738">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lang w:val="en-US" w:eastAsia="en-US"/>
              </w:rPr>
              <w:t>19.68223</w:t>
            </w:r>
          </w:p>
        </w:tc>
        <w:tc>
          <w:tcPr>
            <w:tcW w:w="468" w:type="pct"/>
            <w:tcBorders>
              <w:tl2br w:val="nil"/>
              <w:tr2bl w:val="nil"/>
            </w:tcBorders>
            <w:vAlign w:val="center"/>
          </w:tcPr>
          <w:p w14:paraId="5E836E19">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0.98 </w:t>
            </w:r>
          </w:p>
        </w:tc>
        <w:tc>
          <w:tcPr>
            <w:tcW w:w="548" w:type="pct"/>
            <w:tcBorders>
              <w:tl2br w:val="nil"/>
              <w:tr2bl w:val="nil"/>
            </w:tcBorders>
          </w:tcPr>
          <w:p w14:paraId="0A371C0F">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eastAsia" w:ascii="Times New Roman" w:hAnsi="Times New Roman" w:eastAsia="宋体" w:cs="Times New Roman"/>
                <w:color w:val="auto"/>
                <w:w w:val="99"/>
                <w:sz w:val="21"/>
                <w:szCs w:val="21"/>
                <w:highlight w:val="none"/>
                <w:lang w:val="en-US" w:eastAsia="zh-CN"/>
              </w:rPr>
              <w:t>610</w:t>
            </w:r>
          </w:p>
        </w:tc>
        <w:tc>
          <w:tcPr>
            <w:tcW w:w="705" w:type="pct"/>
            <w:tcBorders>
              <w:right w:val="single" w:color="auto" w:sz="4" w:space="0"/>
              <w:tl2br w:val="nil"/>
              <w:tr2bl w:val="nil"/>
            </w:tcBorders>
            <w:vAlign w:val="center"/>
          </w:tcPr>
          <w:p w14:paraId="4B817328">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629.68223</w:t>
            </w:r>
          </w:p>
        </w:tc>
        <w:tc>
          <w:tcPr>
            <w:tcW w:w="387" w:type="pct"/>
            <w:tcBorders>
              <w:left w:val="single" w:color="auto" w:sz="4" w:space="0"/>
              <w:tl2br w:val="nil"/>
              <w:tr2bl w:val="nil"/>
            </w:tcBorders>
            <w:vAlign w:val="center"/>
          </w:tcPr>
          <w:p w14:paraId="5932D93A">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eastAsia="宋体" w:cs="Times New Roman"/>
                <w:color w:val="auto"/>
                <w:w w:val="99"/>
                <w:sz w:val="21"/>
                <w:szCs w:val="21"/>
                <w:highlight w:val="none"/>
                <w:lang w:val="en-US" w:eastAsia="zh-CN"/>
              </w:rPr>
              <w:t xml:space="preserve">31.48 </w:t>
            </w:r>
          </w:p>
        </w:tc>
        <w:tc>
          <w:tcPr>
            <w:tcW w:w="625" w:type="pct"/>
            <w:tcBorders>
              <w:tl2br w:val="nil"/>
              <w:tr2bl w:val="nil"/>
            </w:tcBorders>
          </w:tcPr>
          <w:p w14:paraId="012D1630">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w w:val="99"/>
                <w:sz w:val="21"/>
                <w:szCs w:val="21"/>
                <w:highlight w:val="none"/>
                <w:lang w:val="en-US" w:eastAsia="en-US"/>
              </w:rPr>
            </w:pPr>
            <w:r>
              <w:rPr>
                <w:rFonts w:hint="default" w:ascii="Times New Roman" w:hAnsi="Times New Roman" w:eastAsia="宋体" w:cs="Times New Roman"/>
                <w:color w:val="auto"/>
                <w:w w:val="99"/>
                <w:sz w:val="21"/>
                <w:szCs w:val="21"/>
                <w:highlight w:val="none"/>
                <w:lang w:val="en-US" w:eastAsia="en-US"/>
              </w:rPr>
              <w:t>达标</w:t>
            </w:r>
          </w:p>
        </w:tc>
      </w:tr>
    </w:tbl>
    <w:p w14:paraId="18D5AF8D">
      <w:pPr>
        <w:widowControl w:val="0"/>
        <w:spacing w:line="240" w:lineRule="auto"/>
        <w:jc w:val="both"/>
        <w:rPr>
          <w:rFonts w:ascii="Times New Roman" w:hAnsi="Times New Roman" w:cs="Times New Roman" w:eastAsiaTheme="minorEastAsia"/>
          <w:color w:val="auto"/>
          <w:w w:val="99"/>
          <w:highlight w:val="none"/>
          <w:lang w:bidi="zh-CN"/>
        </w:rPr>
      </w:pPr>
      <w:r>
        <w:drawing>
          <wp:inline distT="0" distB="0" distL="114300" distR="114300">
            <wp:extent cx="5755005" cy="3653790"/>
            <wp:effectExtent l="0" t="0" r="17145" b="381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65"/>
                    <a:stretch>
                      <a:fillRect/>
                    </a:stretch>
                  </pic:blipFill>
                  <pic:spPr>
                    <a:xfrm>
                      <a:off x="0" y="0"/>
                      <a:ext cx="5755005" cy="3653790"/>
                    </a:xfrm>
                    <a:prstGeom prst="rect">
                      <a:avLst/>
                    </a:prstGeom>
                    <a:noFill/>
                    <a:ln>
                      <a:noFill/>
                    </a:ln>
                  </pic:spPr>
                </pic:pic>
              </a:graphicData>
            </a:graphic>
          </wp:inline>
        </w:drawing>
      </w:r>
    </w:p>
    <w:p w14:paraId="1F090064">
      <w:pPr>
        <w:jc w:val="center"/>
        <w:rPr>
          <w:rFonts w:hint="default" w:ascii="Times New Roman" w:hAnsi="Times New Roman" w:eastAsia="宋体" w:cs="Times New Roman"/>
          <w:b/>
          <w:color w:val="auto"/>
          <w:w w:val="99"/>
          <w:highlight w:val="none"/>
        </w:rPr>
      </w:pPr>
      <w:r>
        <w:rPr>
          <w:rFonts w:hint="default" w:ascii="Times New Roman" w:hAnsi="Times New Roman" w:eastAsia="宋体" w:cs="Times New Roman"/>
          <w:b/>
          <w:color w:val="auto"/>
          <w:w w:val="99"/>
          <w:highlight w:val="none"/>
        </w:rPr>
        <w:t>图5.1-</w:t>
      </w:r>
      <w:r>
        <w:rPr>
          <w:rFonts w:hint="eastAsia" w:ascii="Times New Roman" w:hAnsi="Times New Roman" w:eastAsia="宋体" w:cs="Times New Roman"/>
          <w:b/>
          <w:color w:val="auto"/>
          <w:w w:val="99"/>
          <w:highlight w:val="none"/>
          <w:lang w:val="en-US" w:eastAsia="zh-CN"/>
        </w:rPr>
        <w:t>11</w:t>
      </w:r>
      <w:r>
        <w:rPr>
          <w:rFonts w:hint="default" w:ascii="Times New Roman" w:hAnsi="Times New Roman" w:eastAsia="宋体" w:cs="Times New Roman"/>
          <w:b/>
          <w:color w:val="auto"/>
          <w:w w:val="99"/>
          <w:highlight w:val="none"/>
        </w:rPr>
        <w:t xml:space="preserve">    NMHC小时值贡献浓度分布图</w:t>
      </w:r>
    </w:p>
    <w:p w14:paraId="36303A5E">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（2）非正常工况预测</w:t>
      </w:r>
    </w:p>
    <w:p w14:paraId="3C2B2683">
      <w:pPr>
        <w:widowControl w:val="0"/>
        <w:spacing w:line="440" w:lineRule="exact"/>
        <w:ind w:firstLine="474" w:firstLineChars="200"/>
        <w:jc w:val="both"/>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本项目在运营期间非正常工况下，井场气井开井、关井、检修以及事故时紧急切断阀门后，气井内剩余气通向井口房外放空池放空。</w:t>
      </w:r>
    </w:p>
    <w:p w14:paraId="3C36CACE">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（3）大气环境防护距离的设置</w:t>
      </w:r>
    </w:p>
    <w:p w14:paraId="69FE15FC">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根据《环境影响评价技术导则大气环境》（HJ2.2-2018）的8.7.5条要求“对于项目厂界浓度满足大气污染物厂界浓度限值，但厂界外大气污染物短期贡献浓度超过环境质量浓度限值的，可以自厂界向外设置一定范围的大气环境防护区域，以确保大气环境防护区域外的贡献浓度满足环境质量标准”，根据预测结果，本项目无组织排放的非甲烷总烃厂界浓度值及厂界外短期贡献浓度均满足《大气污染物综合排放标准详解》中标准限值，故无需设置大气环境防护距离。</w:t>
      </w:r>
    </w:p>
    <w:p w14:paraId="50D60C65">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（4）污染物排放量核算</w:t>
      </w:r>
    </w:p>
    <w:p w14:paraId="3EDF7E3C">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根据《环境影响评价技术导则 大气环境》（HJ2.2-2018），对污染物排放量进行核算，提出污染源监测计划。由于依托场站加热炉均满足相应的负荷状态下运行，且大气污染物总量在原申请总量范围内，故不对依托加热炉排放的污染物进行核算。本项目大气污染物</w:t>
      </w:r>
      <w:r>
        <w:rPr>
          <w:rFonts w:hint="eastAsia" w:ascii="Times New Roman" w:hAnsi="Times New Roman" w:eastAsia="宋体" w:cs="Times New Roman"/>
          <w:color w:val="auto"/>
          <w:w w:val="99"/>
          <w:highlight w:val="none"/>
          <w:lang w:val="en-US" w:eastAsia="zh-CN"/>
        </w:rPr>
        <w:t>无</w:t>
      </w:r>
      <w:r>
        <w:rPr>
          <w:rFonts w:hint="default" w:ascii="Times New Roman" w:hAnsi="Times New Roman" w:eastAsia="宋体" w:cs="Times New Roman"/>
          <w:color w:val="auto"/>
          <w:w w:val="99"/>
          <w:highlight w:val="none"/>
          <w:lang w:val="zh-CN"/>
        </w:rPr>
        <w:t>组织排放量核算见表5.1-</w:t>
      </w:r>
      <w:r>
        <w:rPr>
          <w:rFonts w:hint="eastAsia" w:ascii="Times New Roman" w:hAnsi="Times New Roman" w:eastAsia="宋体" w:cs="Times New Roman"/>
          <w:color w:val="auto"/>
          <w:w w:val="99"/>
          <w:highlight w:val="none"/>
          <w:lang w:val="en-US" w:eastAsia="zh-CN"/>
        </w:rPr>
        <w:t>16</w:t>
      </w:r>
      <w:r>
        <w:rPr>
          <w:rFonts w:hint="default" w:ascii="Times New Roman" w:hAnsi="Times New Roman" w:eastAsia="宋体" w:cs="Times New Roman"/>
          <w:color w:val="auto"/>
          <w:w w:val="99"/>
          <w:highlight w:val="none"/>
          <w:lang w:val="zh-CN"/>
        </w:rPr>
        <w:t>，无组织排放量核算见表5.1</w:t>
      </w:r>
      <w:r>
        <w:rPr>
          <w:rFonts w:hint="eastAsia" w:ascii="Times New Roman" w:hAnsi="Times New Roman" w:eastAsia="宋体" w:cs="Times New Roman"/>
          <w:color w:val="auto"/>
          <w:w w:val="99"/>
          <w:highlight w:val="none"/>
          <w:lang w:val="en-US" w:eastAsia="zh-CN"/>
        </w:rPr>
        <w:t>-17</w:t>
      </w:r>
      <w:r>
        <w:rPr>
          <w:rFonts w:hint="default" w:ascii="Times New Roman" w:hAnsi="Times New Roman" w:eastAsia="宋体" w:cs="Times New Roman"/>
          <w:color w:val="auto"/>
          <w:w w:val="99"/>
          <w:highlight w:val="none"/>
          <w:lang w:val="zh-CN"/>
        </w:rPr>
        <w:t>。</w:t>
      </w:r>
    </w:p>
    <w:p w14:paraId="2F803A22">
      <w:pPr>
        <w:pStyle w:val="153"/>
        <w:widowControl w:val="0"/>
        <w:spacing w:line="440" w:lineRule="exact"/>
        <w:ind w:firstLine="476" w:firstLineChars="200"/>
        <w:jc w:val="both"/>
        <w:rPr>
          <w:rFonts w:hint="default" w:ascii="Times New Roman" w:hAnsi="Times New Roman" w:eastAsia="宋体" w:cs="Times New Roman"/>
          <w:b/>
          <w:snapToGrid w:val="0"/>
          <w:color w:val="auto"/>
          <w:w w:val="99"/>
          <w:szCs w:val="20"/>
          <w:highlight w:val="none"/>
        </w:rPr>
      </w:pPr>
      <w:r>
        <w:rPr>
          <w:rFonts w:hint="default" w:ascii="Times New Roman" w:hAnsi="Times New Roman" w:eastAsia="宋体" w:cs="Times New Roman"/>
          <w:b/>
          <w:snapToGrid w:val="0"/>
          <w:color w:val="auto"/>
          <w:w w:val="99"/>
          <w:szCs w:val="20"/>
          <w:highlight w:val="none"/>
        </w:rPr>
        <w:t>表5.1-</w:t>
      </w:r>
      <w:r>
        <w:rPr>
          <w:rFonts w:hint="eastAsia" w:ascii="Times New Roman" w:hAnsi="Times New Roman" w:eastAsia="宋体" w:cs="Times New Roman"/>
          <w:b/>
          <w:snapToGrid w:val="0"/>
          <w:color w:val="auto"/>
          <w:w w:val="99"/>
          <w:szCs w:val="20"/>
          <w:highlight w:val="none"/>
          <w:lang w:val="en-US" w:eastAsia="zh-CN"/>
        </w:rPr>
        <w:t>16</w:t>
      </w:r>
      <w:r>
        <w:rPr>
          <w:rFonts w:hint="default" w:ascii="Times New Roman" w:hAnsi="Times New Roman" w:eastAsia="宋体" w:cs="Times New Roman"/>
          <w:b/>
          <w:snapToGrid w:val="0"/>
          <w:color w:val="auto"/>
          <w:w w:val="99"/>
          <w:szCs w:val="20"/>
          <w:highlight w:val="none"/>
        </w:rPr>
        <w:t xml:space="preserve">    </w:t>
      </w:r>
      <w:r>
        <w:rPr>
          <w:rFonts w:hint="default" w:ascii="Times New Roman" w:hAnsi="Times New Roman" w:eastAsia="宋体" w:cs="Times New Roman"/>
          <w:b/>
          <w:color w:val="auto"/>
          <w:w w:val="99"/>
          <w:highlight w:val="none"/>
        </w:rPr>
        <w:t>大气污染</w:t>
      </w:r>
      <w:r>
        <w:rPr>
          <w:rFonts w:hint="default" w:ascii="Times New Roman" w:hAnsi="Times New Roman" w:eastAsia="宋体" w:cs="Times New Roman"/>
          <w:b/>
          <w:snapToGrid w:val="0"/>
          <w:color w:val="auto"/>
          <w:w w:val="99"/>
          <w:szCs w:val="20"/>
          <w:highlight w:val="none"/>
        </w:rPr>
        <w:t>物无组织排放量核算</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2"/>
        <w:gridCol w:w="1132"/>
        <w:gridCol w:w="906"/>
        <w:gridCol w:w="873"/>
        <w:gridCol w:w="1885"/>
        <w:gridCol w:w="2032"/>
        <w:gridCol w:w="1162"/>
        <w:gridCol w:w="865"/>
      </w:tblGrid>
      <w:tr w14:paraId="1CA1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vMerge w:val="restart"/>
            <w:vAlign w:val="center"/>
          </w:tcPr>
          <w:p w14:paraId="0F5951D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序号</w:t>
            </w:r>
          </w:p>
        </w:tc>
        <w:tc>
          <w:tcPr>
            <w:tcW w:w="609" w:type="pct"/>
            <w:vMerge w:val="restart"/>
            <w:vAlign w:val="center"/>
          </w:tcPr>
          <w:p w14:paraId="4FA6C2C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排放口编号</w:t>
            </w:r>
          </w:p>
        </w:tc>
        <w:tc>
          <w:tcPr>
            <w:tcW w:w="487" w:type="pct"/>
            <w:vMerge w:val="restart"/>
            <w:vAlign w:val="center"/>
          </w:tcPr>
          <w:p w14:paraId="7A2E0A6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产污环节</w:t>
            </w:r>
          </w:p>
        </w:tc>
        <w:tc>
          <w:tcPr>
            <w:tcW w:w="470" w:type="pct"/>
            <w:vMerge w:val="restart"/>
            <w:vAlign w:val="center"/>
          </w:tcPr>
          <w:p w14:paraId="17313F0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污染物</w:t>
            </w:r>
          </w:p>
        </w:tc>
        <w:tc>
          <w:tcPr>
            <w:tcW w:w="1014" w:type="pct"/>
            <w:vMerge w:val="restart"/>
            <w:vAlign w:val="center"/>
          </w:tcPr>
          <w:p w14:paraId="2C97411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主要污染防治措施</w:t>
            </w:r>
          </w:p>
        </w:tc>
        <w:tc>
          <w:tcPr>
            <w:tcW w:w="1719" w:type="pct"/>
            <w:gridSpan w:val="2"/>
            <w:vAlign w:val="center"/>
          </w:tcPr>
          <w:p w14:paraId="79718FD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国家或地方污染物排放标准</w:t>
            </w:r>
          </w:p>
          <w:p w14:paraId="49E56FA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（μg/m</w:t>
            </w:r>
            <w:r>
              <w:rPr>
                <w:rFonts w:hint="eastAsia" w:ascii="Times New Roman" w:hAnsi="Times New Roman" w:cs="Times New Roman" w:eastAsiaTheme="minorEastAsia"/>
                <w:b w:val="0"/>
                <w:bCs/>
                <w:color w:val="auto"/>
                <w:w w:val="99"/>
                <w:sz w:val="21"/>
                <w:szCs w:val="21"/>
                <w:highlight w:val="none"/>
                <w:vertAlign w:val="superscript"/>
                <w:lang w:val="en-US" w:eastAsia="zh-CN"/>
              </w:rPr>
              <w:t>3</w:t>
            </w:r>
            <w:r>
              <w:rPr>
                <w:rFonts w:hint="eastAsia" w:ascii="Times New Roman" w:hAnsi="Times New Roman" w:cs="Times New Roman" w:eastAsiaTheme="minorEastAsia"/>
                <w:b w:val="0"/>
                <w:bCs/>
                <w:color w:val="auto"/>
                <w:w w:val="99"/>
                <w:sz w:val="21"/>
                <w:szCs w:val="21"/>
                <w:highlight w:val="none"/>
                <w:lang w:val="en-US" w:eastAsia="zh-CN"/>
              </w:rPr>
              <w:t>）</w:t>
            </w:r>
          </w:p>
        </w:tc>
        <w:tc>
          <w:tcPr>
            <w:tcW w:w="465" w:type="pct"/>
            <w:vMerge w:val="restart"/>
            <w:vAlign w:val="center"/>
          </w:tcPr>
          <w:p w14:paraId="4E6C9B2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年排放量（t/a）</w:t>
            </w:r>
          </w:p>
        </w:tc>
      </w:tr>
      <w:tr w14:paraId="4C786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2" w:type="pct"/>
            <w:vMerge w:val="continue"/>
            <w:vAlign w:val="center"/>
          </w:tcPr>
          <w:p w14:paraId="29A1D31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p>
        </w:tc>
        <w:tc>
          <w:tcPr>
            <w:tcW w:w="609" w:type="pct"/>
            <w:vMerge w:val="continue"/>
            <w:vAlign w:val="center"/>
          </w:tcPr>
          <w:p w14:paraId="642DF0A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p>
        </w:tc>
        <w:tc>
          <w:tcPr>
            <w:tcW w:w="487" w:type="pct"/>
            <w:vMerge w:val="continue"/>
            <w:vAlign w:val="center"/>
          </w:tcPr>
          <w:p w14:paraId="2AFA4FE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p>
        </w:tc>
        <w:tc>
          <w:tcPr>
            <w:tcW w:w="470" w:type="pct"/>
            <w:vMerge w:val="continue"/>
            <w:vAlign w:val="center"/>
          </w:tcPr>
          <w:p w14:paraId="5E82654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p>
        </w:tc>
        <w:tc>
          <w:tcPr>
            <w:tcW w:w="1014" w:type="pct"/>
            <w:vMerge w:val="continue"/>
            <w:vAlign w:val="center"/>
          </w:tcPr>
          <w:p w14:paraId="37A5CD9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p>
        </w:tc>
        <w:tc>
          <w:tcPr>
            <w:tcW w:w="1094" w:type="pct"/>
            <w:vAlign w:val="center"/>
          </w:tcPr>
          <w:p w14:paraId="3E7592C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标准名称</w:t>
            </w:r>
          </w:p>
        </w:tc>
        <w:tc>
          <w:tcPr>
            <w:tcW w:w="625" w:type="pct"/>
            <w:vAlign w:val="center"/>
          </w:tcPr>
          <w:p w14:paraId="60142D3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浓度限值（mg/m</w:t>
            </w:r>
            <w:r>
              <w:rPr>
                <w:rFonts w:hint="eastAsia" w:ascii="Times New Roman" w:hAnsi="Times New Roman" w:cs="Times New Roman" w:eastAsiaTheme="minorEastAsia"/>
                <w:b w:val="0"/>
                <w:bCs/>
                <w:color w:val="auto"/>
                <w:w w:val="99"/>
                <w:sz w:val="21"/>
                <w:szCs w:val="21"/>
                <w:highlight w:val="none"/>
                <w:vertAlign w:val="superscript"/>
                <w:lang w:val="en-US" w:eastAsia="zh-CN"/>
              </w:rPr>
              <w:t>3</w:t>
            </w:r>
            <w:r>
              <w:rPr>
                <w:rFonts w:hint="eastAsia" w:ascii="Times New Roman" w:hAnsi="Times New Roman" w:cs="Times New Roman" w:eastAsiaTheme="minorEastAsia"/>
                <w:b w:val="0"/>
                <w:bCs/>
                <w:color w:val="auto"/>
                <w:w w:val="99"/>
                <w:sz w:val="21"/>
                <w:szCs w:val="21"/>
                <w:highlight w:val="none"/>
                <w:lang w:val="en-US" w:eastAsia="zh-CN"/>
              </w:rPr>
              <w:t>）</w:t>
            </w:r>
          </w:p>
        </w:tc>
        <w:tc>
          <w:tcPr>
            <w:tcW w:w="465" w:type="pct"/>
            <w:vMerge w:val="continue"/>
            <w:vAlign w:val="center"/>
          </w:tcPr>
          <w:p w14:paraId="5F86F90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p>
        </w:tc>
      </w:tr>
      <w:tr w14:paraId="6E3D0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jc w:val="center"/>
        </w:trPr>
        <w:tc>
          <w:tcPr>
            <w:tcW w:w="232" w:type="pct"/>
            <w:vAlign w:val="center"/>
          </w:tcPr>
          <w:p w14:paraId="2C31607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1</w:t>
            </w:r>
          </w:p>
        </w:tc>
        <w:tc>
          <w:tcPr>
            <w:tcW w:w="609" w:type="pct"/>
            <w:vAlign w:val="center"/>
          </w:tcPr>
          <w:p w14:paraId="08D3010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井场、管线等</w:t>
            </w:r>
          </w:p>
        </w:tc>
        <w:tc>
          <w:tcPr>
            <w:tcW w:w="487" w:type="pct"/>
            <w:vAlign w:val="center"/>
          </w:tcPr>
          <w:p w14:paraId="49C0639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天然气集输</w:t>
            </w:r>
          </w:p>
        </w:tc>
        <w:tc>
          <w:tcPr>
            <w:tcW w:w="470" w:type="pct"/>
            <w:vAlign w:val="center"/>
          </w:tcPr>
          <w:p w14:paraId="291CFEC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非甲烷总烃</w:t>
            </w:r>
          </w:p>
        </w:tc>
        <w:tc>
          <w:tcPr>
            <w:tcW w:w="1014" w:type="pct"/>
            <w:vAlign w:val="center"/>
          </w:tcPr>
          <w:p w14:paraId="02057EA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采用密闭流程，井口安装密封垫</w:t>
            </w:r>
          </w:p>
        </w:tc>
        <w:tc>
          <w:tcPr>
            <w:tcW w:w="1094" w:type="pct"/>
            <w:vAlign w:val="center"/>
          </w:tcPr>
          <w:p w14:paraId="3447542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《陆上石油天然气开采工业大气污染物排放标准》（GB39728-2020）5.9中规定要求</w:t>
            </w:r>
          </w:p>
        </w:tc>
        <w:tc>
          <w:tcPr>
            <w:tcW w:w="625" w:type="pct"/>
            <w:vAlign w:val="center"/>
          </w:tcPr>
          <w:p w14:paraId="6377EBA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4.0</w:t>
            </w:r>
          </w:p>
        </w:tc>
        <w:tc>
          <w:tcPr>
            <w:tcW w:w="465" w:type="pct"/>
            <w:vAlign w:val="center"/>
          </w:tcPr>
          <w:p w14:paraId="295EBD1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default"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11.66</w:t>
            </w:r>
          </w:p>
        </w:tc>
      </w:tr>
      <w:tr w14:paraId="48291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8"/>
            <w:vAlign w:val="center"/>
          </w:tcPr>
          <w:p w14:paraId="55838C2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无组织排放总计</w:t>
            </w:r>
          </w:p>
        </w:tc>
      </w:tr>
      <w:tr w14:paraId="47DE0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99" w:type="pct"/>
            <w:gridSpan w:val="4"/>
            <w:vAlign w:val="center"/>
          </w:tcPr>
          <w:p w14:paraId="428D929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无组织排放总计</w:t>
            </w:r>
          </w:p>
        </w:tc>
        <w:tc>
          <w:tcPr>
            <w:tcW w:w="2734" w:type="pct"/>
            <w:gridSpan w:val="3"/>
            <w:vAlign w:val="center"/>
          </w:tcPr>
          <w:p w14:paraId="71581AE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eastAsia"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非甲烷总烃</w:t>
            </w:r>
          </w:p>
        </w:tc>
        <w:tc>
          <w:tcPr>
            <w:tcW w:w="465" w:type="pct"/>
            <w:vAlign w:val="center"/>
          </w:tcPr>
          <w:p w14:paraId="19FF4A3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3"/>
              <w:rPr>
                <w:rFonts w:hint="default" w:ascii="Times New Roman" w:hAnsi="Times New Roman" w:cs="Times New Roman" w:eastAsiaTheme="minorEastAsia"/>
                <w:b w:val="0"/>
                <w:bCs/>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11.66</w:t>
            </w:r>
          </w:p>
        </w:tc>
      </w:tr>
    </w:tbl>
    <w:p w14:paraId="0D4B226F">
      <w:pPr>
        <w:widowControl w:val="0"/>
        <w:spacing w:line="440" w:lineRule="exact"/>
        <w:ind w:firstLine="474" w:firstLineChars="200"/>
        <w:rPr>
          <w:rFonts w:hint="default" w:ascii="Times New Roman" w:hAnsi="Times New Roman" w:eastAsia="宋体" w:cs="Times New Roman"/>
          <w:snapToGrid w:val="0"/>
          <w:color w:val="auto"/>
          <w:w w:val="99"/>
          <w:szCs w:val="20"/>
          <w:highlight w:val="none"/>
        </w:rPr>
      </w:pPr>
      <w:r>
        <w:rPr>
          <w:rFonts w:hint="default" w:ascii="Times New Roman" w:hAnsi="Times New Roman" w:eastAsia="宋体" w:cs="Times New Roman"/>
          <w:snapToGrid w:val="0"/>
          <w:color w:val="auto"/>
          <w:w w:val="99"/>
          <w:szCs w:val="20"/>
          <w:highlight w:val="none"/>
        </w:rPr>
        <w:t>本项目大气污染物年排放量核算见表5.1-</w:t>
      </w:r>
      <w:r>
        <w:rPr>
          <w:rFonts w:hint="eastAsia" w:ascii="Times New Roman" w:hAnsi="Times New Roman" w:eastAsia="宋体" w:cs="Times New Roman"/>
          <w:snapToGrid w:val="0"/>
          <w:color w:val="auto"/>
          <w:w w:val="99"/>
          <w:szCs w:val="20"/>
          <w:highlight w:val="none"/>
          <w:lang w:val="en-US" w:eastAsia="zh-CN"/>
        </w:rPr>
        <w:t>17</w:t>
      </w:r>
      <w:r>
        <w:rPr>
          <w:rFonts w:hint="default" w:ascii="Times New Roman" w:hAnsi="Times New Roman" w:eastAsia="宋体" w:cs="Times New Roman"/>
          <w:snapToGrid w:val="0"/>
          <w:color w:val="auto"/>
          <w:w w:val="99"/>
          <w:szCs w:val="20"/>
          <w:highlight w:val="none"/>
        </w:rPr>
        <w:t>。</w:t>
      </w:r>
    </w:p>
    <w:p w14:paraId="4B4F351E">
      <w:pPr>
        <w:pStyle w:val="153"/>
        <w:widowControl w:val="0"/>
        <w:spacing w:line="440" w:lineRule="exact"/>
        <w:ind w:firstLine="476" w:firstLineChars="200"/>
        <w:jc w:val="both"/>
        <w:rPr>
          <w:rFonts w:hint="default" w:ascii="Times New Roman" w:hAnsi="Times New Roman" w:eastAsia="宋体" w:cs="Times New Roman"/>
          <w:b/>
          <w:snapToGrid w:val="0"/>
          <w:color w:val="auto"/>
          <w:w w:val="99"/>
          <w:szCs w:val="20"/>
          <w:highlight w:val="none"/>
        </w:rPr>
      </w:pPr>
      <w:r>
        <w:rPr>
          <w:rFonts w:hint="default" w:ascii="Times New Roman" w:hAnsi="Times New Roman" w:eastAsia="宋体" w:cs="Times New Roman"/>
          <w:b/>
          <w:snapToGrid w:val="0"/>
          <w:color w:val="auto"/>
          <w:w w:val="99"/>
          <w:szCs w:val="20"/>
          <w:highlight w:val="none"/>
        </w:rPr>
        <w:t>表5.1-</w:t>
      </w:r>
      <w:r>
        <w:rPr>
          <w:rFonts w:hint="eastAsia" w:ascii="Times New Roman" w:hAnsi="Times New Roman" w:eastAsia="宋体" w:cs="Times New Roman"/>
          <w:b/>
          <w:snapToGrid w:val="0"/>
          <w:color w:val="auto"/>
          <w:w w:val="99"/>
          <w:szCs w:val="20"/>
          <w:highlight w:val="none"/>
          <w:lang w:val="en-US" w:eastAsia="zh-CN"/>
        </w:rPr>
        <w:t>17</w:t>
      </w:r>
      <w:r>
        <w:rPr>
          <w:rFonts w:hint="default" w:ascii="Times New Roman" w:hAnsi="Times New Roman" w:eastAsia="宋体" w:cs="Times New Roman"/>
          <w:b/>
          <w:snapToGrid w:val="0"/>
          <w:color w:val="auto"/>
          <w:w w:val="99"/>
          <w:szCs w:val="20"/>
          <w:highlight w:val="none"/>
        </w:rPr>
        <w:t xml:space="preserve">    本项目大气污染物年排放量核算</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42"/>
        <w:gridCol w:w="4064"/>
        <w:gridCol w:w="3481"/>
      </w:tblGrid>
      <w:tr w14:paraId="6C68E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8" w:type="pct"/>
            <w:vAlign w:val="center"/>
          </w:tcPr>
          <w:p w14:paraId="163EE812">
            <w:pPr>
              <w:pStyle w:val="155"/>
              <w:tabs>
                <w:tab w:val="center" w:pos="743"/>
                <w:tab w:val="left" w:pos="1425"/>
              </w:tabs>
              <w:adjustRightInd w:val="0"/>
              <w:snapToGrid w:val="0"/>
              <w:spacing w:line="360" w:lineRule="exact"/>
              <w:jc w:val="left"/>
              <w:textAlignment w:val="center"/>
              <w:rPr>
                <w:rFonts w:hint="default" w:ascii="Times New Roman" w:hAnsi="Times New Roman" w:eastAsia="宋体" w:cs="Times New Roman"/>
                <w:color w:val="auto"/>
                <w:w w:val="99"/>
                <w:sz w:val="21"/>
                <w:szCs w:val="21"/>
                <w:highlight w:val="none"/>
                <w:lang w:val="en-US"/>
              </w:rPr>
            </w:pPr>
            <w:r>
              <w:rPr>
                <w:rFonts w:hint="default" w:ascii="Times New Roman" w:hAnsi="Times New Roman" w:eastAsia="宋体" w:cs="Times New Roman"/>
                <w:color w:val="auto"/>
                <w:w w:val="99"/>
                <w:sz w:val="21"/>
                <w:szCs w:val="21"/>
                <w:highlight w:val="none"/>
                <w:lang w:val="en-US"/>
              </w:rPr>
              <w:tab/>
            </w:r>
            <w:r>
              <w:rPr>
                <w:rFonts w:hint="default" w:ascii="Times New Roman" w:hAnsi="Times New Roman" w:eastAsia="宋体" w:cs="Times New Roman"/>
                <w:color w:val="auto"/>
                <w:w w:val="99"/>
                <w:sz w:val="21"/>
                <w:szCs w:val="21"/>
                <w:highlight w:val="none"/>
                <w:lang w:val="en-US"/>
              </w:rPr>
              <w:t>序号</w:t>
            </w:r>
            <w:r>
              <w:rPr>
                <w:rFonts w:hint="default" w:ascii="Times New Roman" w:hAnsi="Times New Roman" w:eastAsia="宋体" w:cs="Times New Roman"/>
                <w:color w:val="auto"/>
                <w:w w:val="99"/>
                <w:sz w:val="21"/>
                <w:szCs w:val="21"/>
                <w:highlight w:val="none"/>
                <w:lang w:val="en-US"/>
              </w:rPr>
              <w:tab/>
            </w:r>
          </w:p>
        </w:tc>
        <w:tc>
          <w:tcPr>
            <w:tcW w:w="2188" w:type="pct"/>
            <w:vAlign w:val="center"/>
          </w:tcPr>
          <w:p w14:paraId="48C5906F">
            <w:pPr>
              <w:pStyle w:val="155"/>
              <w:adjustRightInd w:val="0"/>
              <w:snapToGrid w:val="0"/>
              <w:spacing w:line="360" w:lineRule="exact"/>
              <w:textAlignment w:val="center"/>
              <w:rPr>
                <w:rFonts w:hint="default" w:ascii="Times New Roman" w:hAnsi="Times New Roman" w:eastAsia="宋体" w:cs="Times New Roman"/>
                <w:color w:val="auto"/>
                <w:w w:val="99"/>
                <w:sz w:val="21"/>
                <w:szCs w:val="21"/>
                <w:highlight w:val="none"/>
                <w:lang w:val="en-US"/>
              </w:rPr>
            </w:pPr>
            <w:r>
              <w:rPr>
                <w:rFonts w:hint="default" w:ascii="Times New Roman" w:hAnsi="Times New Roman" w:eastAsia="宋体" w:cs="Times New Roman"/>
                <w:color w:val="auto"/>
                <w:w w:val="99"/>
                <w:sz w:val="21"/>
                <w:szCs w:val="21"/>
                <w:highlight w:val="none"/>
                <w:lang w:val="en-US"/>
              </w:rPr>
              <w:t>污染物</w:t>
            </w:r>
          </w:p>
        </w:tc>
        <w:tc>
          <w:tcPr>
            <w:tcW w:w="1874" w:type="pct"/>
            <w:vAlign w:val="center"/>
          </w:tcPr>
          <w:p w14:paraId="4A6DC269">
            <w:pPr>
              <w:pStyle w:val="155"/>
              <w:adjustRightInd w:val="0"/>
              <w:snapToGrid w:val="0"/>
              <w:spacing w:line="360" w:lineRule="exact"/>
              <w:textAlignment w:val="center"/>
              <w:rPr>
                <w:rFonts w:hint="default" w:ascii="Times New Roman" w:hAnsi="Times New Roman" w:eastAsia="宋体" w:cs="Times New Roman"/>
                <w:color w:val="auto"/>
                <w:w w:val="99"/>
                <w:sz w:val="21"/>
                <w:szCs w:val="21"/>
                <w:highlight w:val="none"/>
                <w:lang w:val="en-US"/>
              </w:rPr>
            </w:pPr>
            <w:r>
              <w:rPr>
                <w:rFonts w:hint="default" w:ascii="Times New Roman" w:hAnsi="Times New Roman" w:eastAsia="宋体" w:cs="Times New Roman"/>
                <w:color w:val="auto"/>
                <w:w w:val="99"/>
                <w:sz w:val="21"/>
                <w:szCs w:val="21"/>
                <w:highlight w:val="none"/>
                <w:lang w:val="en-US"/>
              </w:rPr>
              <w:t>年排放量（t/a）</w:t>
            </w:r>
          </w:p>
        </w:tc>
      </w:tr>
      <w:tr w14:paraId="19502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8" w:type="pct"/>
            <w:vAlign w:val="center"/>
          </w:tcPr>
          <w:p w14:paraId="39EA3A6B">
            <w:pPr>
              <w:pStyle w:val="155"/>
              <w:adjustRightInd w:val="0"/>
              <w:snapToGrid w:val="0"/>
              <w:spacing w:line="360" w:lineRule="exact"/>
              <w:textAlignment w:val="center"/>
              <w:rPr>
                <w:rFonts w:hint="default" w:ascii="Times New Roman" w:hAnsi="Times New Roman" w:eastAsia="宋体" w:cs="Times New Roman"/>
                <w:color w:val="auto"/>
                <w:w w:val="99"/>
                <w:sz w:val="21"/>
                <w:szCs w:val="21"/>
                <w:highlight w:val="none"/>
                <w:lang w:val="en-US"/>
              </w:rPr>
            </w:pPr>
            <w:r>
              <w:rPr>
                <w:rFonts w:hint="default" w:ascii="Times New Roman" w:hAnsi="Times New Roman" w:eastAsia="宋体" w:cs="Times New Roman"/>
                <w:color w:val="auto"/>
                <w:w w:val="99"/>
                <w:sz w:val="21"/>
                <w:szCs w:val="21"/>
                <w:highlight w:val="none"/>
                <w:lang w:val="en-US"/>
              </w:rPr>
              <w:t>1</w:t>
            </w:r>
          </w:p>
        </w:tc>
        <w:tc>
          <w:tcPr>
            <w:tcW w:w="2188" w:type="pct"/>
            <w:vAlign w:val="center"/>
          </w:tcPr>
          <w:p w14:paraId="0208A56D">
            <w:pPr>
              <w:pStyle w:val="155"/>
              <w:adjustRightInd w:val="0"/>
              <w:snapToGrid w:val="0"/>
              <w:spacing w:line="360" w:lineRule="exact"/>
              <w:textAlignment w:val="center"/>
              <w:rPr>
                <w:rFonts w:hint="default" w:ascii="Times New Roman" w:hAnsi="Times New Roman" w:eastAsia="宋体" w:cs="Times New Roman"/>
                <w:color w:val="auto"/>
                <w:w w:val="99"/>
                <w:sz w:val="21"/>
                <w:szCs w:val="21"/>
                <w:highlight w:val="none"/>
                <w:lang w:val="en-US"/>
              </w:rPr>
            </w:pPr>
            <w:r>
              <w:rPr>
                <w:rFonts w:hint="default" w:ascii="Times New Roman" w:hAnsi="Times New Roman" w:eastAsia="宋体" w:cs="Times New Roman"/>
                <w:color w:val="auto"/>
                <w:w w:val="99"/>
                <w:sz w:val="21"/>
                <w:szCs w:val="21"/>
                <w:highlight w:val="none"/>
              </w:rPr>
              <w:t>非甲烷总烃</w:t>
            </w:r>
          </w:p>
        </w:tc>
        <w:tc>
          <w:tcPr>
            <w:tcW w:w="1874" w:type="pct"/>
            <w:vAlign w:val="center"/>
          </w:tcPr>
          <w:p w14:paraId="7499BD12">
            <w:pPr>
              <w:pStyle w:val="155"/>
              <w:adjustRightInd w:val="0"/>
              <w:snapToGrid w:val="0"/>
              <w:spacing w:line="360" w:lineRule="exact"/>
              <w:textAlignment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eastAsiaTheme="minorEastAsia"/>
                <w:b w:val="0"/>
                <w:bCs/>
                <w:color w:val="auto"/>
                <w:w w:val="99"/>
                <w:sz w:val="21"/>
                <w:szCs w:val="21"/>
                <w:highlight w:val="none"/>
                <w:lang w:val="en-US" w:eastAsia="zh-CN"/>
              </w:rPr>
              <w:t>11.66</w:t>
            </w:r>
          </w:p>
        </w:tc>
      </w:tr>
    </w:tbl>
    <w:p w14:paraId="6C89B49F">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（5）评价结论</w:t>
      </w:r>
    </w:p>
    <w:p w14:paraId="36C155C1">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①本项目新增污染物正常排放下，拟建井场</w:t>
      </w:r>
      <w:r>
        <w:rPr>
          <w:rFonts w:hint="eastAsia" w:ascii="Times New Roman" w:hAnsi="Times New Roman" w:eastAsia="宋体" w:cs="Times New Roman"/>
          <w:color w:val="auto"/>
          <w:w w:val="99"/>
          <w:highlight w:val="none"/>
          <w:lang w:val="zh-CN"/>
        </w:rPr>
        <w:t>、</w:t>
      </w:r>
      <w:r>
        <w:rPr>
          <w:rFonts w:hint="eastAsia" w:ascii="Times New Roman" w:hAnsi="Times New Roman" w:eastAsia="宋体" w:cs="Times New Roman"/>
          <w:color w:val="auto"/>
          <w:w w:val="99"/>
          <w:highlight w:val="none"/>
          <w:lang w:val="en-US" w:eastAsia="zh-CN"/>
        </w:rPr>
        <w:t>扩建徐深</w:t>
      </w:r>
      <w:r>
        <w:rPr>
          <w:rFonts w:hint="eastAsia" w:ascii="Times New Roman" w:hAnsi="Times New Roman" w:cs="Times New Roman"/>
          <w:color w:val="auto"/>
          <w:w w:val="99"/>
          <w:highlight w:val="none"/>
          <w:lang w:val="en-US" w:eastAsia="zh-CN"/>
        </w:rPr>
        <w:t>27</w:t>
      </w:r>
      <w:r>
        <w:rPr>
          <w:rFonts w:hint="eastAsia" w:ascii="Times New Roman" w:hAnsi="Times New Roman" w:eastAsia="宋体" w:cs="Times New Roman"/>
          <w:color w:val="auto"/>
          <w:w w:val="99"/>
          <w:highlight w:val="none"/>
          <w:lang w:val="en-US" w:eastAsia="zh-CN"/>
        </w:rPr>
        <w:t>集气站</w:t>
      </w:r>
      <w:r>
        <w:rPr>
          <w:rFonts w:hint="default" w:ascii="Times New Roman" w:hAnsi="Times New Roman" w:eastAsia="宋体" w:cs="Times New Roman"/>
          <w:color w:val="auto"/>
          <w:w w:val="99"/>
          <w:highlight w:val="none"/>
          <w:lang w:val="zh-CN"/>
        </w:rPr>
        <w:t>厂界非甲烷总烃贡献浓度满足</w:t>
      </w:r>
      <w:r>
        <w:rPr>
          <w:rFonts w:hint="default" w:ascii="Times New Roman" w:hAnsi="Times New Roman" w:eastAsia="宋体" w:cs="Times New Roman"/>
          <w:color w:val="auto"/>
          <w:w w:val="99"/>
          <w:highlight w:val="none"/>
        </w:rPr>
        <w:t>《陆上石油天然气开采工业大气污染物排放标准》（GB39728-2020）5.9中规定要求</w:t>
      </w:r>
      <w:r>
        <w:rPr>
          <w:rFonts w:hint="default" w:ascii="Times New Roman" w:hAnsi="Times New Roman" w:eastAsia="宋体" w:cs="Times New Roman"/>
          <w:color w:val="auto"/>
          <w:w w:val="99"/>
          <w:highlight w:val="none"/>
          <w:lang w:val="zh-CN"/>
        </w:rPr>
        <w:t>，非甲烷总烃小时值对环境敏感点最大浓度贡献值占标率为</w:t>
      </w:r>
      <w:r>
        <w:rPr>
          <w:rFonts w:hint="eastAsia" w:ascii="Times New Roman" w:hAnsi="Times New Roman" w:eastAsia="宋体" w:cs="Times New Roman"/>
          <w:color w:val="auto"/>
          <w:w w:val="99"/>
          <w:highlight w:val="none"/>
          <w:lang w:val="en-US" w:eastAsia="zh-CN"/>
        </w:rPr>
        <w:t>6.27</w:t>
      </w:r>
      <w:r>
        <w:rPr>
          <w:rFonts w:hint="default" w:ascii="Times New Roman" w:hAnsi="Times New Roman" w:eastAsia="宋体" w:cs="Times New Roman"/>
          <w:color w:val="auto"/>
          <w:w w:val="99"/>
          <w:highlight w:val="none"/>
          <w:lang w:val="zh-CN"/>
        </w:rPr>
        <w:t>%，均小于100%；叠加现状浓度后，环境敏感点处非甲烷总烃的短期浓度最大为</w:t>
      </w:r>
      <w:r>
        <w:rPr>
          <w:rFonts w:hint="eastAsia" w:ascii="Times New Roman" w:hAnsi="Times New Roman" w:eastAsia="宋体" w:cs="Times New Roman"/>
          <w:color w:val="auto"/>
          <w:w w:val="99"/>
          <w:sz w:val="21"/>
          <w:szCs w:val="21"/>
          <w:highlight w:val="none"/>
          <w:lang w:val="en-US" w:eastAsia="zh-CN"/>
        </w:rPr>
        <w:t>739.6042</w:t>
      </w:r>
      <w:r>
        <w:rPr>
          <w:rFonts w:hint="default" w:ascii="Times New Roman" w:hAnsi="Times New Roman" w:eastAsia="宋体" w:cs="Times New Roman"/>
          <w:color w:val="auto"/>
          <w:w w:val="99"/>
          <w:highlight w:val="none"/>
          <w:lang w:val="zh-CN"/>
        </w:rPr>
        <w:t>μg/m</w:t>
      </w:r>
      <w:r>
        <w:rPr>
          <w:rFonts w:hint="default" w:ascii="Times New Roman" w:hAnsi="Times New Roman" w:eastAsia="宋体" w:cs="Times New Roman"/>
          <w:color w:val="auto"/>
          <w:w w:val="99"/>
          <w:highlight w:val="none"/>
          <w:vertAlign w:val="superscript"/>
          <w:lang w:val="zh-CN"/>
        </w:rPr>
        <w:t>3</w:t>
      </w:r>
      <w:r>
        <w:rPr>
          <w:rFonts w:hint="default" w:ascii="Times New Roman" w:hAnsi="Times New Roman" w:eastAsia="宋体" w:cs="Times New Roman"/>
          <w:color w:val="auto"/>
          <w:w w:val="99"/>
          <w:highlight w:val="none"/>
          <w:lang w:val="zh-CN"/>
        </w:rPr>
        <w:t>，满足《大气污染物综合排放标准详解》2.0mg/m</w:t>
      </w:r>
      <w:r>
        <w:rPr>
          <w:rFonts w:hint="default" w:ascii="Times New Roman" w:hAnsi="Times New Roman" w:eastAsia="宋体" w:cs="Times New Roman"/>
          <w:color w:val="auto"/>
          <w:w w:val="99"/>
          <w:highlight w:val="none"/>
          <w:vertAlign w:val="superscript"/>
          <w:lang w:val="zh-CN"/>
        </w:rPr>
        <w:t>3</w:t>
      </w:r>
      <w:r>
        <w:rPr>
          <w:rFonts w:hint="default" w:ascii="Times New Roman" w:hAnsi="Times New Roman" w:eastAsia="宋体" w:cs="Times New Roman"/>
          <w:color w:val="auto"/>
          <w:w w:val="99"/>
          <w:highlight w:val="none"/>
          <w:lang w:val="zh-CN"/>
        </w:rPr>
        <w:t>要求。</w:t>
      </w:r>
    </w:p>
    <w:p w14:paraId="492C3871">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②非正常工况下，预测NMHC的1h平均质量浓度贡献值最大浓度占标率均小于100%。</w:t>
      </w:r>
    </w:p>
    <w:p w14:paraId="6A5F3B77">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③</w:t>
      </w:r>
      <w:r>
        <w:rPr>
          <w:rFonts w:hint="default" w:ascii="Times New Roman" w:hAnsi="Times New Roman" w:eastAsia="宋体" w:cs="Times New Roman"/>
          <w:color w:val="auto"/>
          <w:w w:val="99"/>
          <w:highlight w:val="none"/>
        </w:rPr>
        <w:t>通过预测可知，本项目对大气环境影响较小，无需设置大气环境防护区域</w:t>
      </w:r>
      <w:r>
        <w:rPr>
          <w:rFonts w:hint="default" w:ascii="Times New Roman" w:hAnsi="Times New Roman" w:eastAsia="宋体" w:cs="Times New Roman"/>
          <w:color w:val="auto"/>
          <w:w w:val="99"/>
          <w:highlight w:val="none"/>
          <w:lang w:val="zh-CN"/>
        </w:rPr>
        <w:t>。</w:t>
      </w:r>
    </w:p>
    <w:p w14:paraId="434393D4">
      <w:pPr>
        <w:widowControl w:val="0"/>
        <w:spacing w:line="440" w:lineRule="exact"/>
        <w:ind w:firstLine="474" w:firstLineChars="200"/>
        <w:jc w:val="both"/>
        <w:rPr>
          <w:rFonts w:hint="default" w:ascii="Times New Roman" w:hAnsi="Times New Roman" w:cs="Times New Roman" w:eastAsiaTheme="minorEastAsia"/>
          <w:color w:val="auto"/>
          <w:w w:val="99"/>
          <w:highlight w:val="none"/>
          <w:lang w:val="en-US" w:eastAsia="zh-CN"/>
        </w:rPr>
      </w:pPr>
      <w:r>
        <w:rPr>
          <w:rFonts w:hint="default" w:ascii="Times New Roman" w:hAnsi="Times New Roman" w:eastAsia="宋体" w:cs="Times New Roman"/>
          <w:color w:val="auto"/>
          <w:w w:val="99"/>
          <w:highlight w:val="none"/>
          <w:lang w:val="zh-CN"/>
        </w:rPr>
        <w:t>④正常工况下，本项目在运行期</w:t>
      </w:r>
      <w:r>
        <w:rPr>
          <w:rFonts w:hint="eastAsia" w:ascii="Times New Roman" w:hAnsi="Times New Roman" w:eastAsia="宋体" w:cs="Times New Roman"/>
          <w:color w:val="auto"/>
          <w:w w:val="99"/>
          <w:highlight w:val="none"/>
          <w:lang w:val="en-US" w:eastAsia="zh-CN"/>
        </w:rPr>
        <w:t>气田</w:t>
      </w:r>
      <w:r>
        <w:rPr>
          <w:rFonts w:hint="default" w:ascii="Times New Roman" w:hAnsi="Times New Roman" w:eastAsia="宋体" w:cs="Times New Roman"/>
          <w:color w:val="auto"/>
          <w:w w:val="99"/>
          <w:highlight w:val="none"/>
          <w:lang w:val="zh-CN"/>
        </w:rPr>
        <w:t>生产过程中采用全密闭工艺流程，井口均安装了密封垫，</w:t>
      </w:r>
      <w:r>
        <w:rPr>
          <w:rFonts w:hint="default" w:ascii="Times New Roman" w:hAnsi="Times New Roman" w:eastAsia="宋体" w:cs="Times New Roman"/>
          <w:color w:val="auto"/>
          <w:w w:val="99"/>
          <w:highlight w:val="none"/>
        </w:rPr>
        <w:t>烃类气体的损失量可以控制在合理范围以内</w:t>
      </w:r>
      <w:r>
        <w:rPr>
          <w:rFonts w:hint="default" w:ascii="Times New Roman" w:hAnsi="Times New Roman" w:eastAsia="宋体" w:cs="Times New Roman"/>
          <w:color w:val="auto"/>
          <w:w w:val="99"/>
          <w:highlight w:val="none"/>
          <w:lang w:val="zh-CN"/>
        </w:rPr>
        <w:t>，</w:t>
      </w:r>
      <w:r>
        <w:rPr>
          <w:rFonts w:hint="default" w:ascii="Times New Roman" w:hAnsi="Times New Roman" w:eastAsia="宋体" w:cs="Times New Roman"/>
          <w:color w:val="auto"/>
          <w:w w:val="99"/>
          <w:highlight w:val="none"/>
        </w:rPr>
        <w:t>井场及</w:t>
      </w:r>
      <w:r>
        <w:rPr>
          <w:rFonts w:hint="default" w:ascii="Times New Roman" w:hAnsi="Times New Roman" w:eastAsia="宋体" w:cs="Times New Roman"/>
          <w:bCs/>
          <w:color w:val="auto"/>
          <w:w w:val="99"/>
          <w:highlight w:val="none"/>
        </w:rPr>
        <w:t>依托的</w:t>
      </w:r>
      <w:r>
        <w:rPr>
          <w:rFonts w:hint="eastAsia" w:ascii="Times New Roman" w:hAnsi="Times New Roman" w:eastAsia="宋体" w:cs="Times New Roman"/>
          <w:bCs/>
          <w:color w:val="auto"/>
          <w:w w:val="99"/>
          <w:highlight w:val="none"/>
          <w:lang w:val="en-US" w:eastAsia="zh-CN"/>
        </w:rPr>
        <w:t>场站</w:t>
      </w:r>
      <w:r>
        <w:rPr>
          <w:rFonts w:hint="default" w:ascii="Times New Roman" w:hAnsi="Times New Roman" w:eastAsia="宋体" w:cs="Times New Roman"/>
          <w:color w:val="auto"/>
          <w:w w:val="99"/>
          <w:highlight w:val="none"/>
        </w:rPr>
        <w:t>排放的非甲烷总烃满足《陆上石油天然气开采工业大气污染物排放标准》（GB39728-2020）5.9中规定要求</w:t>
      </w:r>
      <w:r>
        <w:rPr>
          <w:rFonts w:hint="default" w:ascii="Times New Roman" w:hAnsi="Times New Roman" w:eastAsia="宋体" w:cs="Times New Roman"/>
          <w:color w:val="auto"/>
          <w:w w:val="99"/>
          <w:highlight w:val="none"/>
          <w:lang w:val="zh-CN"/>
        </w:rPr>
        <w:t>。</w:t>
      </w:r>
      <w:r>
        <w:rPr>
          <w:rFonts w:ascii="Times New Roman" w:hAnsi="Times New Roman" w:cs="Times New Roman" w:eastAsiaTheme="minorEastAsia"/>
          <w:color w:val="auto"/>
          <w:w w:val="99"/>
          <w:highlight w:val="none"/>
        </w:rPr>
        <w:t>项目区域地形较为开阔，污染物扩散条件较好，项目投产后天然气开采及集输过程挥发的烃类气体不会使区域环境空气明显改变，项目建设对周围大气环境的影响较小。</w:t>
      </w:r>
      <w:r>
        <w:rPr>
          <w:rFonts w:hint="eastAsia" w:ascii="Times New Roman" w:hAnsi="Times New Roman" w:cs="Times New Roman" w:eastAsiaTheme="minorEastAsia"/>
          <w:color w:val="auto"/>
          <w:w w:val="99"/>
          <w:highlight w:val="none"/>
          <w:lang w:val="en-US" w:eastAsia="zh-CN"/>
        </w:rPr>
        <w:t>依托集气站不新增加热装置，故本项目仅增加燃烧烟气的分担量，且现有加热装置采用天然气为燃料，属于清洁能源，产生的烟气经不低于8m高排气筒进行排放，故对环境影响不大。</w:t>
      </w:r>
    </w:p>
    <w:p w14:paraId="795BD36B">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非正常工况整个过程非甲烷总烃排放量很小，且作业时间很短，对大气环境影响较小。</w:t>
      </w:r>
    </w:p>
    <w:p w14:paraId="6F38309E">
      <w:pPr>
        <w:widowControl w:val="0"/>
        <w:spacing w:line="440" w:lineRule="exact"/>
        <w:ind w:firstLine="474" w:firstLineChars="200"/>
        <w:jc w:val="both"/>
        <w:rPr>
          <w:rFonts w:hint="default" w:ascii="Times New Roman" w:hAnsi="Times New Roman" w:eastAsia="宋体" w:cs="Times New Roman"/>
          <w:color w:val="auto"/>
          <w:w w:val="99"/>
          <w:highlight w:val="none"/>
          <w:lang w:val="zh-CN"/>
        </w:rPr>
      </w:pPr>
      <w:r>
        <w:rPr>
          <w:rFonts w:hint="default" w:ascii="Times New Roman" w:hAnsi="Times New Roman" w:eastAsia="宋体" w:cs="Times New Roman"/>
          <w:color w:val="auto"/>
          <w:w w:val="99"/>
          <w:highlight w:val="none"/>
          <w:lang w:val="zh-CN"/>
        </w:rPr>
        <w:t>通过采取上述措施，区域环境质量</w:t>
      </w:r>
      <w:r>
        <w:rPr>
          <w:rFonts w:hint="eastAsia" w:ascii="Times New Roman" w:hAnsi="Times New Roman" w:cs="Times New Roman"/>
          <w:color w:val="auto"/>
          <w:w w:val="99"/>
          <w:highlight w:val="none"/>
          <w:lang w:val="en-US" w:eastAsia="zh-CN"/>
        </w:rPr>
        <w:t>除PM</w:t>
      </w:r>
      <w:r>
        <w:rPr>
          <w:rFonts w:hint="eastAsia" w:ascii="Times New Roman" w:hAnsi="Times New Roman" w:cs="Times New Roman"/>
          <w:color w:val="auto"/>
          <w:w w:val="99"/>
          <w:highlight w:val="none"/>
          <w:vertAlign w:val="subscript"/>
          <w:lang w:val="en-US" w:eastAsia="zh-CN"/>
        </w:rPr>
        <w:t>2.5</w:t>
      </w:r>
      <w:r>
        <w:rPr>
          <w:rFonts w:hint="eastAsia" w:ascii="Times New Roman" w:hAnsi="Times New Roman" w:cs="Times New Roman"/>
          <w:color w:val="auto"/>
          <w:w w:val="99"/>
          <w:highlight w:val="none"/>
          <w:vertAlign w:val="baseline"/>
          <w:lang w:val="en-US" w:eastAsia="zh-CN"/>
        </w:rPr>
        <w:t>均</w:t>
      </w:r>
      <w:r>
        <w:rPr>
          <w:rFonts w:hint="default" w:ascii="Times New Roman" w:hAnsi="Times New Roman" w:eastAsia="宋体" w:cs="Times New Roman"/>
          <w:color w:val="auto"/>
          <w:w w:val="99"/>
          <w:highlight w:val="none"/>
          <w:lang w:val="zh-CN"/>
        </w:rPr>
        <w:t>能够满足《环境空气质量标准》（GB3095-20</w:t>
      </w:r>
      <w:r>
        <w:rPr>
          <w:rFonts w:hint="eastAsia" w:ascii="Times New Roman" w:hAnsi="Times New Roman" w:cs="Times New Roman"/>
          <w:color w:val="auto"/>
          <w:w w:val="99"/>
          <w:highlight w:val="none"/>
          <w:lang w:val="en-US" w:eastAsia="zh-CN"/>
        </w:rPr>
        <w:t>26</w:t>
      </w:r>
      <w:r>
        <w:rPr>
          <w:rFonts w:hint="default" w:ascii="Times New Roman" w:hAnsi="Times New Roman" w:eastAsia="宋体" w:cs="Times New Roman"/>
          <w:color w:val="auto"/>
          <w:w w:val="99"/>
          <w:highlight w:val="none"/>
          <w:lang w:val="zh-CN"/>
        </w:rPr>
        <w:t>）二级标准要求。本项目大气环境评价等级为一级，环境影响是可接受的，大气环境影响评价自查表见附表1。</w:t>
      </w:r>
    </w:p>
    <w:p w14:paraId="731F5A4D">
      <w:pPr>
        <w:pStyle w:val="7"/>
        <w:widowControl w:val="0"/>
        <w:spacing w:before="60" w:after="60" w:line="440" w:lineRule="exact"/>
        <w:jc w:val="both"/>
        <w:rPr>
          <w:rFonts w:eastAsiaTheme="minorEastAsia"/>
          <w:b/>
          <w:color w:val="auto"/>
          <w:w w:val="99"/>
          <w:kern w:val="2"/>
          <w:sz w:val="24"/>
          <w:szCs w:val="24"/>
          <w:highlight w:val="none"/>
        </w:rPr>
      </w:pPr>
      <w:bookmarkStart w:id="828" w:name="_Toc186444336"/>
      <w:r>
        <w:rPr>
          <w:rFonts w:eastAsiaTheme="minorEastAsia"/>
          <w:b/>
          <w:color w:val="auto"/>
          <w:w w:val="99"/>
          <w:kern w:val="2"/>
          <w:sz w:val="24"/>
          <w:szCs w:val="24"/>
          <w:highlight w:val="none"/>
        </w:rPr>
        <w:t>5.1.3退役期</w:t>
      </w:r>
      <w:bookmarkEnd w:id="828"/>
    </w:p>
    <w:p w14:paraId="14D82B65">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本项目退役期对大气环境的影响主要是施工产生的扬尘、运输车辆排放的尾气。</w:t>
      </w:r>
    </w:p>
    <w:p w14:paraId="44057910">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（1）施工扬尘</w:t>
      </w:r>
    </w:p>
    <w:p w14:paraId="21023D92">
      <w:pPr>
        <w:widowControl w:val="0"/>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运输车辆行驶扬尘与车辆行驶速度、风速、路面积尘量和积尘湿度等因素有关。施工场地、施工道路在自然风作用下产生的扬尘所影响的范围在100m以内，在退役期施工过程中应采取以下措施：</w:t>
      </w:r>
    </w:p>
    <w:p w14:paraId="6E00CCF3">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color w:val="auto"/>
          <w:w w:val="99"/>
          <w:highlight w:val="none"/>
        </w:rPr>
        <w:t>1）</w:t>
      </w:r>
      <w:r>
        <w:rPr>
          <w:rFonts w:ascii="Times New Roman" w:hAnsi="Times New Roman" w:cs="Times New Roman" w:eastAsiaTheme="minorEastAsia"/>
          <w:color w:val="auto"/>
          <w:w w:val="99"/>
          <w:highlight w:val="none"/>
        </w:rPr>
        <w:t>材料运输过程中，进行材料遮盖，防止材料洒落、风刮起的粉尘；</w:t>
      </w:r>
    </w:p>
    <w:p w14:paraId="2FC367FC">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color w:val="auto"/>
          <w:w w:val="99"/>
          <w:highlight w:val="none"/>
        </w:rPr>
        <w:t>2）</w:t>
      </w:r>
      <w:r>
        <w:rPr>
          <w:rFonts w:ascii="Times New Roman" w:hAnsi="Times New Roman" w:cs="Times New Roman" w:eastAsiaTheme="minorEastAsia"/>
          <w:color w:val="auto"/>
          <w:w w:val="99"/>
          <w:highlight w:val="none"/>
        </w:rPr>
        <w:t>运输车辆进入居民区附近施工场地应低速行驶或限速行驶，减少扬尘产生。</w:t>
      </w:r>
    </w:p>
    <w:p w14:paraId="767902FD">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3）在施工过程中，施工场地应定时适量洒水，并在大风天加大洒水量及洒水次数，使作业面保持一定的湿度；</w:t>
      </w:r>
    </w:p>
    <w:p w14:paraId="1B7498F3">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取上述措施后，可有效降低退役期施工过程中产生的扬尘，颗粒物浓度能够满足《大气污染物综合排放标准》（GB16297-1996）表2中无组织排放监控浓度限值要求。施工扬尘对周边敏感目标影响具有一定的时段性，这种影响随着施工的结束而消失。</w:t>
      </w:r>
    </w:p>
    <w:p w14:paraId="631C71A0">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w:t>
      </w:r>
      <w:r>
        <w:rPr>
          <w:rFonts w:ascii="Times New Roman" w:hAnsi="Times New Roman" w:cs="Times New Roman"/>
          <w:color w:val="auto"/>
          <w:w w:val="99"/>
          <w:highlight w:val="none"/>
        </w:rPr>
        <w:t>车辆尾气</w:t>
      </w:r>
    </w:p>
    <w:p w14:paraId="553FEEAD">
      <w:pPr>
        <w:widowControl w:val="0"/>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本项目退役期各类工程及运输车辆排放的尾气会对大气环境造成一定污染，排放主要污染物为NOx、CO、HC等，均属于无组织排放，施工所处地区宽阔，地形简单，污染物在大气中可快速扩散，由于车辆排放的尾气为流动的线源，其污染不集中且扩散能力相对较快，因此对环境空气的影响不是很大。</w:t>
      </w:r>
    </w:p>
    <w:p w14:paraId="10B43DBD">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829" w:name="_Toc6940"/>
      <w:bookmarkStart w:id="830" w:name="_Toc65426008"/>
      <w:r>
        <w:rPr>
          <w:rFonts w:ascii="Times New Roman" w:hAnsi="Times New Roman" w:eastAsia="宋体"/>
          <w:b/>
          <w:snapToGrid w:val="0"/>
          <w:color w:val="auto"/>
          <w:w w:val="99"/>
          <w:highlight w:val="none"/>
        </w:rPr>
        <w:t>5.2地表水环境影响评价</w:t>
      </w:r>
      <w:bookmarkEnd w:id="829"/>
      <w:bookmarkEnd w:id="830"/>
    </w:p>
    <w:p w14:paraId="6DB13BCC">
      <w:pPr>
        <w:pStyle w:val="46"/>
        <w:spacing w:after="0" w:line="440" w:lineRule="exact"/>
        <w:ind w:left="0" w:leftChars="0" w:firstLine="474" w:firstLineChars="200"/>
        <w:rPr>
          <w:rFonts w:eastAsiaTheme="minorEastAsia"/>
          <w:bCs/>
          <w:color w:val="auto"/>
          <w:w w:val="99"/>
          <w:sz w:val="24"/>
          <w:highlight w:val="red"/>
        </w:rPr>
      </w:pPr>
      <w:bookmarkStart w:id="831" w:name="_Toc67860216"/>
      <w:bookmarkStart w:id="832" w:name="_Toc70050266"/>
      <w:r>
        <w:rPr>
          <w:rFonts w:eastAsiaTheme="minorEastAsia"/>
          <w:bCs/>
          <w:color w:val="auto"/>
          <w:w w:val="99"/>
          <w:sz w:val="24"/>
          <w:highlight w:val="none"/>
        </w:rPr>
        <w:t>本项目开发区块及周边主要分布</w:t>
      </w:r>
      <w:r>
        <w:rPr>
          <w:rFonts w:hint="eastAsia" w:eastAsiaTheme="minorEastAsia"/>
          <w:bCs/>
          <w:color w:val="auto"/>
          <w:w w:val="99"/>
          <w:sz w:val="24"/>
          <w:highlight w:val="none"/>
          <w:lang w:val="en-US" w:eastAsia="zh-CN"/>
        </w:rPr>
        <w:t>1</w:t>
      </w:r>
      <w:r>
        <w:rPr>
          <w:rFonts w:eastAsiaTheme="minorEastAsia"/>
          <w:bCs/>
          <w:color w:val="auto"/>
          <w:w w:val="99"/>
          <w:sz w:val="24"/>
          <w:highlight w:val="none"/>
        </w:rPr>
        <w:t>个较近的地表水体，</w:t>
      </w:r>
      <w:r>
        <w:rPr>
          <w:rFonts w:hint="eastAsia" w:eastAsiaTheme="minorEastAsia"/>
          <w:bCs/>
          <w:color w:val="auto"/>
          <w:w w:val="99"/>
          <w:sz w:val="24"/>
          <w:highlight w:val="none"/>
          <w:lang w:val="en-US" w:eastAsia="zh-CN"/>
        </w:rPr>
        <w:t>位于徐深27集气站西北侧300m的北大干渠</w:t>
      </w:r>
      <w:r>
        <w:rPr>
          <w:rFonts w:eastAsiaTheme="minorEastAsia"/>
          <w:bCs/>
          <w:color w:val="auto"/>
          <w:w w:val="99"/>
          <w:sz w:val="24"/>
          <w:highlight w:val="none"/>
        </w:rPr>
        <w:t>，</w:t>
      </w:r>
      <w:r>
        <w:rPr>
          <w:rFonts w:hint="eastAsia" w:eastAsiaTheme="minorEastAsia"/>
          <w:bCs/>
          <w:color w:val="auto"/>
          <w:w w:val="99"/>
          <w:sz w:val="24"/>
          <w:highlight w:val="none"/>
          <w:lang w:val="en-US" w:eastAsia="zh-CN"/>
        </w:rPr>
        <w:t>该干渠</w:t>
      </w:r>
      <w:r>
        <w:rPr>
          <w:rFonts w:eastAsiaTheme="minorEastAsia"/>
          <w:bCs/>
          <w:color w:val="auto"/>
          <w:w w:val="99"/>
          <w:sz w:val="24"/>
          <w:highlight w:val="none"/>
        </w:rPr>
        <w:t>未划分水环境功能区，不执行《地表水环境质量标准》（GB3838-2002）。主要功能为防洪调蓄及农业灌溉，</w:t>
      </w:r>
      <w:r>
        <w:rPr>
          <w:rFonts w:hint="eastAsia" w:eastAsiaTheme="minorEastAsia"/>
          <w:bCs/>
          <w:color w:val="auto"/>
          <w:w w:val="99"/>
          <w:sz w:val="24"/>
          <w:highlight w:val="none"/>
          <w:lang w:val="en-US" w:eastAsia="zh-CN"/>
        </w:rPr>
        <w:t>长度</w:t>
      </w:r>
      <w:r>
        <w:rPr>
          <w:rFonts w:eastAsiaTheme="minorEastAsia"/>
          <w:bCs/>
          <w:color w:val="auto"/>
          <w:w w:val="99"/>
          <w:sz w:val="24"/>
          <w:highlight w:val="none"/>
        </w:rPr>
        <w:t>约</w:t>
      </w:r>
      <w:r>
        <w:rPr>
          <w:rFonts w:hint="eastAsia" w:eastAsiaTheme="minorEastAsia"/>
          <w:bCs/>
          <w:color w:val="auto"/>
          <w:w w:val="99"/>
          <w:sz w:val="24"/>
          <w:highlight w:val="none"/>
          <w:lang w:val="en-US" w:eastAsia="zh-CN"/>
        </w:rPr>
        <w:t>50</w:t>
      </w:r>
      <w:r>
        <w:rPr>
          <w:rFonts w:eastAsiaTheme="minorEastAsia"/>
          <w:bCs/>
          <w:color w:val="auto"/>
          <w:w w:val="99"/>
          <w:sz w:val="24"/>
          <w:highlight w:val="none"/>
        </w:rPr>
        <w:t>km。</w:t>
      </w:r>
    </w:p>
    <w:p w14:paraId="07C1585D">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eastAsiaTheme="minorEastAsia"/>
          <w:bCs/>
          <w:color w:val="auto"/>
          <w:w w:val="99"/>
          <w:sz w:val="24"/>
          <w:highlight w:val="none"/>
        </w:rPr>
      </w:pPr>
      <w:r>
        <w:rPr>
          <w:rFonts w:eastAsiaTheme="minorEastAsia"/>
          <w:bCs/>
          <w:color w:val="auto"/>
          <w:w w:val="99"/>
          <w:sz w:val="24"/>
          <w:highlight w:val="none"/>
        </w:rPr>
        <w:t>施工期对地表水体可能造成污染的污染源主要是管线试压废水、生活污水</w:t>
      </w:r>
      <w:r>
        <w:rPr>
          <w:rFonts w:hint="eastAsia" w:eastAsiaTheme="minorEastAsia"/>
          <w:bCs/>
          <w:color w:val="auto"/>
          <w:w w:val="99"/>
          <w:sz w:val="24"/>
          <w:highlight w:val="none"/>
          <w:lang w:eastAsia="zh-CN"/>
        </w:rPr>
        <w:t>，</w:t>
      </w:r>
      <w:r>
        <w:rPr>
          <w:rFonts w:eastAsiaTheme="minorEastAsia"/>
          <w:bCs/>
          <w:color w:val="auto"/>
          <w:w w:val="99"/>
          <w:sz w:val="24"/>
          <w:highlight w:val="none"/>
        </w:rPr>
        <w:t>污染因子主要为COD、氨氮、SS。</w:t>
      </w:r>
    </w:p>
    <w:p w14:paraId="044776AD">
      <w:pPr>
        <w:pStyle w:val="7"/>
        <w:widowControl w:val="0"/>
        <w:spacing w:before="60" w:after="60" w:line="440" w:lineRule="exact"/>
        <w:jc w:val="both"/>
        <w:rPr>
          <w:rFonts w:eastAsiaTheme="minorEastAsia"/>
          <w:b/>
          <w:color w:val="auto"/>
          <w:w w:val="99"/>
          <w:kern w:val="2"/>
          <w:sz w:val="24"/>
          <w:szCs w:val="24"/>
          <w:highlight w:val="none"/>
        </w:rPr>
      </w:pPr>
      <w:bookmarkStart w:id="833" w:name="_Toc86141987"/>
      <w:bookmarkStart w:id="834" w:name="_Toc131167343"/>
      <w:bookmarkStart w:id="835" w:name="_Toc126863443"/>
      <w:bookmarkStart w:id="836" w:name="_Toc143099630"/>
      <w:bookmarkStart w:id="837" w:name="_Toc85640812"/>
      <w:bookmarkStart w:id="838" w:name="_Toc186444338"/>
      <w:bookmarkStart w:id="839" w:name="_Toc127192392"/>
      <w:r>
        <w:rPr>
          <w:rFonts w:eastAsiaTheme="minorEastAsia"/>
          <w:b/>
          <w:color w:val="auto"/>
          <w:w w:val="99"/>
          <w:kern w:val="2"/>
          <w:sz w:val="24"/>
          <w:szCs w:val="24"/>
          <w:highlight w:val="none"/>
        </w:rPr>
        <w:t>5.2.1施工期</w:t>
      </w:r>
      <w:bookmarkEnd w:id="833"/>
      <w:bookmarkEnd w:id="834"/>
      <w:bookmarkEnd w:id="835"/>
      <w:bookmarkEnd w:id="836"/>
      <w:bookmarkEnd w:id="837"/>
      <w:bookmarkEnd w:id="838"/>
      <w:bookmarkEnd w:id="839"/>
    </w:p>
    <w:p w14:paraId="2A1519D8">
      <w:pPr>
        <w:pStyle w:val="46"/>
        <w:spacing w:after="0" w:line="44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（3）管线试压废水由罐车拉运至</w:t>
      </w:r>
      <w:r>
        <w:rPr>
          <w:rFonts w:hint="default" w:eastAsiaTheme="minorEastAsia"/>
          <w:bCs/>
          <w:color w:val="auto"/>
          <w:w w:val="99"/>
          <w:sz w:val="24"/>
          <w:highlight w:val="none"/>
          <w:lang w:val="en-US" w:eastAsia="zh-CN"/>
        </w:rPr>
        <w:t>升一联气田污水预处理站</w:t>
      </w:r>
      <w:r>
        <w:rPr>
          <w:rFonts w:eastAsiaTheme="minorEastAsia"/>
          <w:bCs/>
          <w:color w:val="auto"/>
          <w:w w:val="99"/>
          <w:sz w:val="24"/>
          <w:highlight w:val="none"/>
        </w:rPr>
        <w:t>处理满足《大庆油田地面工程建设设计规定》（Q/SYDQ0639-2015）及《碎屑岩油藏注水水质指标技术要求及分析方法》（SY/T5329-2022）限值要求后回注油层。</w:t>
      </w:r>
    </w:p>
    <w:p w14:paraId="04309263">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eastAsiaTheme="minorEastAsia"/>
          <w:bCs/>
          <w:color w:val="auto"/>
          <w:w w:val="99"/>
          <w:sz w:val="24"/>
          <w:highlight w:val="none"/>
        </w:rPr>
        <w:t>（4）</w:t>
      </w:r>
      <w:r>
        <w:rPr>
          <w:rFonts w:hint="eastAsia" w:eastAsiaTheme="minorEastAsia"/>
          <w:bCs/>
          <w:color w:val="auto"/>
          <w:w w:val="99"/>
          <w:sz w:val="24"/>
          <w:highlight w:val="none"/>
          <w:lang w:val="en-US" w:eastAsia="zh-CN"/>
        </w:rPr>
        <w:t>施工期生活污水排入附近场站已建生活污水收集设施，</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p>
    <w:p w14:paraId="50767347">
      <w:pPr>
        <w:pStyle w:val="46"/>
        <w:spacing w:after="0" w:line="44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综上所述，本项目施工期废水均得到合理有效的处理，不会对区域内地表水体产生明显影响。</w:t>
      </w:r>
    </w:p>
    <w:p w14:paraId="6B3151AB">
      <w:pPr>
        <w:pStyle w:val="7"/>
        <w:widowControl w:val="0"/>
        <w:spacing w:before="60" w:after="60" w:line="440" w:lineRule="exact"/>
        <w:jc w:val="both"/>
        <w:rPr>
          <w:rFonts w:eastAsiaTheme="minorEastAsia"/>
          <w:b/>
          <w:color w:val="auto"/>
          <w:w w:val="99"/>
          <w:kern w:val="2"/>
          <w:sz w:val="24"/>
          <w:szCs w:val="24"/>
          <w:highlight w:val="none"/>
        </w:rPr>
      </w:pPr>
      <w:bookmarkStart w:id="840" w:name="_Toc131167344"/>
      <w:bookmarkStart w:id="841" w:name="_Toc143099631"/>
      <w:bookmarkStart w:id="842" w:name="_Toc127192393"/>
      <w:bookmarkStart w:id="843" w:name="_Toc86141988"/>
      <w:bookmarkStart w:id="844" w:name="_Toc85640813"/>
      <w:bookmarkStart w:id="845" w:name="_Toc186444339"/>
      <w:bookmarkStart w:id="846" w:name="_Toc126863444"/>
      <w:r>
        <w:rPr>
          <w:rFonts w:eastAsiaTheme="minorEastAsia"/>
          <w:b/>
          <w:color w:val="auto"/>
          <w:w w:val="99"/>
          <w:kern w:val="2"/>
          <w:sz w:val="24"/>
          <w:szCs w:val="24"/>
          <w:highlight w:val="none"/>
        </w:rPr>
        <w:t>5.2.2运营期</w:t>
      </w:r>
      <w:bookmarkEnd w:id="840"/>
      <w:bookmarkEnd w:id="841"/>
      <w:bookmarkEnd w:id="842"/>
      <w:bookmarkEnd w:id="843"/>
      <w:bookmarkEnd w:id="844"/>
      <w:bookmarkEnd w:id="845"/>
      <w:bookmarkEnd w:id="846"/>
    </w:p>
    <w:p w14:paraId="0DBC4B0D">
      <w:pPr>
        <w:pStyle w:val="46"/>
        <w:spacing w:after="0" w:line="44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正常工况下，运营期</w:t>
      </w:r>
      <w:r>
        <w:rPr>
          <w:rFonts w:hint="eastAsia" w:eastAsiaTheme="minorEastAsia"/>
          <w:bCs/>
          <w:color w:val="auto"/>
          <w:w w:val="99"/>
          <w:sz w:val="24"/>
          <w:highlight w:val="none"/>
          <w:lang w:val="en-US" w:eastAsia="zh-CN"/>
        </w:rPr>
        <w:t>气田采出水暂存于集气站污水储罐临时储存，再定期通过外输泵升压外输至气田采出水集输管网，并统一外输至升一联气田污水预处理站处理，处理后的水质执行《大庆油田地面工程建设设计规定》（Q/SYDQ 0639-2015）限值“含油量≤10mg/L、悬浮固体含量≤5mg/L、粒径中值≤2μm” ，同时满足《碎屑岩油藏注水水质指标技术要求及分析方法》(SY/T5329-2022)中标准限值，回注地下油层</w:t>
      </w:r>
      <w:r>
        <w:rPr>
          <w:rFonts w:eastAsiaTheme="minorEastAsia"/>
          <w:bCs/>
          <w:color w:val="auto"/>
          <w:w w:val="99"/>
          <w:sz w:val="24"/>
          <w:highlight w:val="none"/>
        </w:rPr>
        <w:t>。综上所述，本项目运营期废水均得到合理有效的处理，不排入外环境，因此，正常工况下对区域内地表水体几乎不产生影响。根据《环境影响评价技术导则地表水</w:t>
      </w:r>
      <w:r>
        <w:rPr>
          <w:rFonts w:hint="eastAsia" w:eastAsiaTheme="minorEastAsia"/>
          <w:bCs/>
          <w:color w:val="auto"/>
          <w:w w:val="99"/>
          <w:sz w:val="24"/>
          <w:highlight w:val="none"/>
        </w:rPr>
        <w:t>环境</w:t>
      </w:r>
      <w:r>
        <w:rPr>
          <w:rFonts w:eastAsiaTheme="minorEastAsia"/>
          <w:bCs/>
          <w:color w:val="auto"/>
          <w:w w:val="99"/>
          <w:sz w:val="24"/>
          <w:highlight w:val="none"/>
        </w:rPr>
        <w:t>》（HJ2.3-2018）中 8.1.2，水污染影响型为三级B评价，主要评价内容包括：水污染控制和水环境影响减缓措施有效性评价，及依托污水处理站的环境可行性评价。</w:t>
      </w:r>
    </w:p>
    <w:p w14:paraId="0B97D817">
      <w:pPr>
        <w:pStyle w:val="46"/>
        <w:spacing w:after="0" w:line="44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（1）地表水环境保护措施有效性</w:t>
      </w:r>
    </w:p>
    <w:p w14:paraId="5B499DD4">
      <w:pPr>
        <w:pStyle w:val="46"/>
        <w:spacing w:after="0" w:line="44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在</w:t>
      </w:r>
      <w:r>
        <w:rPr>
          <w:rFonts w:hint="eastAsia" w:eastAsiaTheme="minorEastAsia"/>
          <w:bCs/>
          <w:color w:val="auto"/>
          <w:w w:val="99"/>
          <w:sz w:val="24"/>
          <w:highlight w:val="none"/>
          <w:lang w:val="en-US" w:eastAsia="zh-CN"/>
        </w:rPr>
        <w:t>气</w:t>
      </w:r>
      <w:r>
        <w:rPr>
          <w:rFonts w:eastAsiaTheme="minorEastAsia"/>
          <w:bCs/>
          <w:color w:val="auto"/>
          <w:w w:val="99"/>
          <w:sz w:val="24"/>
          <w:highlight w:val="none"/>
        </w:rPr>
        <w:t>田生产建设及运营过程中，加强管理，同时确保各项污染控制措施及事故应急措施切实落实。</w:t>
      </w:r>
    </w:p>
    <w:p w14:paraId="3238C60D">
      <w:pPr>
        <w:pStyle w:val="46"/>
        <w:spacing w:after="0" w:line="440" w:lineRule="exact"/>
        <w:ind w:left="0" w:leftChars="0" w:firstLine="474" w:firstLineChars="200"/>
        <w:rPr>
          <w:bCs/>
          <w:color w:val="auto"/>
          <w:w w:val="99"/>
          <w:sz w:val="24"/>
          <w:highlight w:val="none"/>
        </w:rPr>
      </w:pPr>
      <w:r>
        <w:rPr>
          <w:rFonts w:hint="eastAsia" w:ascii="宋体" w:hAnsi="宋体" w:cs="宋体"/>
          <w:bCs/>
          <w:color w:val="auto"/>
          <w:w w:val="99"/>
          <w:sz w:val="24"/>
          <w:highlight w:val="none"/>
        </w:rPr>
        <w:t>①</w:t>
      </w:r>
      <w:r>
        <w:rPr>
          <w:bCs/>
          <w:color w:val="auto"/>
          <w:w w:val="99"/>
          <w:sz w:val="24"/>
          <w:highlight w:val="none"/>
        </w:rPr>
        <w:t>为避免井场对周边地表水的影响，对低洼地带的井场进行填筑，使井场标高高于地表水体丰水期高度，防止油污外溢。</w:t>
      </w:r>
    </w:p>
    <w:p w14:paraId="5B09E1FC">
      <w:pPr>
        <w:pStyle w:val="46"/>
        <w:spacing w:after="0" w:line="440" w:lineRule="exact"/>
        <w:ind w:left="0" w:leftChars="0" w:firstLine="474" w:firstLineChars="200"/>
        <w:rPr>
          <w:rFonts w:eastAsiaTheme="minorEastAsia"/>
          <w:bCs/>
          <w:color w:val="auto"/>
          <w:w w:val="99"/>
          <w:sz w:val="24"/>
          <w:highlight w:val="none"/>
        </w:rPr>
      </w:pPr>
      <w:r>
        <w:rPr>
          <w:rFonts w:hint="eastAsia" w:ascii="宋体" w:hAnsi="宋体" w:cs="宋体"/>
          <w:bCs/>
          <w:color w:val="auto"/>
          <w:w w:val="99"/>
          <w:sz w:val="24"/>
          <w:highlight w:val="none"/>
        </w:rPr>
        <w:t>②</w:t>
      </w:r>
      <w:r>
        <w:rPr>
          <w:rFonts w:hint="eastAsia" w:eastAsiaTheme="minorEastAsia"/>
          <w:bCs/>
          <w:color w:val="auto"/>
          <w:w w:val="99"/>
          <w:sz w:val="24"/>
          <w:highlight w:val="none"/>
          <w:lang w:val="en-US" w:eastAsia="zh-CN"/>
        </w:rPr>
        <w:t>采气</w:t>
      </w:r>
      <w:r>
        <w:rPr>
          <w:rFonts w:eastAsiaTheme="minorEastAsia"/>
          <w:bCs/>
          <w:color w:val="auto"/>
          <w:w w:val="99"/>
          <w:sz w:val="24"/>
          <w:highlight w:val="none"/>
        </w:rPr>
        <w:t>管线采用无缝钢管，内缠聚乙烯胶带硬质聚氨酯塑料夹克保温管，能有效防止管线泄漏，同时定期对管线检查、维修，确保各部分的使用性能；</w:t>
      </w:r>
    </w:p>
    <w:p w14:paraId="21E9820C">
      <w:pPr>
        <w:pStyle w:val="46"/>
        <w:spacing w:after="0" w:line="440" w:lineRule="exact"/>
        <w:ind w:left="0" w:leftChars="0" w:firstLine="474" w:firstLineChars="200"/>
        <w:rPr>
          <w:rFonts w:eastAsiaTheme="minorEastAsia"/>
          <w:bCs/>
          <w:color w:val="auto"/>
          <w:w w:val="99"/>
          <w:sz w:val="24"/>
          <w:highlight w:val="none"/>
        </w:rPr>
      </w:pPr>
      <w:r>
        <w:rPr>
          <w:rFonts w:hint="eastAsia" w:ascii="宋体" w:hAnsi="宋体" w:cs="宋体" w:eastAsiaTheme="minorEastAsia"/>
          <w:bCs/>
          <w:color w:val="auto"/>
          <w:w w:val="99"/>
          <w:sz w:val="24"/>
          <w:highlight w:val="none"/>
          <w:lang w:val="en-US" w:eastAsia="zh-CN"/>
        </w:rPr>
        <w:t>③</w:t>
      </w:r>
      <w:r>
        <w:rPr>
          <w:rFonts w:eastAsiaTheme="minorEastAsia"/>
          <w:bCs/>
          <w:color w:val="auto"/>
          <w:w w:val="99"/>
          <w:sz w:val="24"/>
          <w:highlight w:val="none"/>
        </w:rPr>
        <w:t>定期巡检，每天有专职人员对</w:t>
      </w:r>
      <w:r>
        <w:rPr>
          <w:rFonts w:hint="eastAsia" w:eastAsiaTheme="minorEastAsia"/>
          <w:bCs/>
          <w:color w:val="auto"/>
          <w:w w:val="99"/>
          <w:sz w:val="24"/>
          <w:highlight w:val="none"/>
          <w:lang w:eastAsia="zh-CN"/>
        </w:rPr>
        <w:t>采气井</w:t>
      </w:r>
      <w:r>
        <w:rPr>
          <w:rFonts w:eastAsiaTheme="minorEastAsia"/>
          <w:bCs/>
          <w:color w:val="auto"/>
          <w:w w:val="99"/>
          <w:sz w:val="24"/>
          <w:highlight w:val="none"/>
        </w:rPr>
        <w:t>及管线进行检查，巡检次数至少为1次/d，雨季等特殊天气增加巡检次数，若管线泄漏应及时关闭切断阀，同时确保应急工具和设备齐备完好，准备围油栏、吸油毡、消油剂、接油桶等应急物资。</w:t>
      </w:r>
    </w:p>
    <w:p w14:paraId="162EDAE2">
      <w:pPr>
        <w:pStyle w:val="46"/>
        <w:spacing w:after="0" w:line="44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综上所述，正常生产情况下，项目开发建设采取较为完善的环境保护措施，对周围环境不会产生不良影响。</w:t>
      </w:r>
    </w:p>
    <w:p w14:paraId="1E8FBF62">
      <w:pPr>
        <w:pStyle w:val="46"/>
        <w:spacing w:after="0" w:line="44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（2）依托污水处理站的环境可行性</w:t>
      </w:r>
    </w:p>
    <w:p w14:paraId="0BADDDAF">
      <w:pPr>
        <w:pStyle w:val="46"/>
        <w:spacing w:after="0" w:line="440" w:lineRule="exact"/>
        <w:ind w:left="0" w:leftChars="0" w:firstLine="474" w:firstLineChars="200"/>
        <w:rPr>
          <w:rFonts w:eastAsiaTheme="minorEastAsia"/>
          <w:bCs/>
          <w:color w:val="auto"/>
          <w:w w:val="99"/>
          <w:sz w:val="24"/>
          <w:highlight w:val="none"/>
        </w:rPr>
      </w:pPr>
      <w:r>
        <w:rPr>
          <w:rFonts w:hint="eastAsia" w:ascii="宋体" w:hAnsi="宋体" w:cs="宋体"/>
          <w:bCs/>
          <w:color w:val="auto"/>
          <w:w w:val="99"/>
          <w:sz w:val="24"/>
          <w:highlight w:val="none"/>
        </w:rPr>
        <w:t>①</w:t>
      </w:r>
      <w:r>
        <w:rPr>
          <w:rFonts w:eastAsiaTheme="minorEastAsia"/>
          <w:bCs/>
          <w:color w:val="auto"/>
          <w:w w:val="99"/>
          <w:sz w:val="24"/>
          <w:highlight w:val="none"/>
        </w:rPr>
        <w:t>污水站处理工艺及处理能力可行性分析</w:t>
      </w:r>
    </w:p>
    <w:p w14:paraId="281E3634">
      <w:pPr>
        <w:pStyle w:val="46"/>
        <w:spacing w:after="0" w:line="44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lang w:val="de-DE"/>
        </w:rPr>
        <w:t>本项目</w:t>
      </w:r>
      <w:r>
        <w:rPr>
          <w:rFonts w:hint="eastAsia" w:eastAsiaTheme="minorEastAsia"/>
          <w:bCs/>
          <w:color w:val="auto"/>
          <w:w w:val="99"/>
          <w:sz w:val="24"/>
          <w:highlight w:val="none"/>
          <w:lang w:val="en-US" w:eastAsia="zh-CN"/>
        </w:rPr>
        <w:t>1</w:t>
      </w:r>
      <w:r>
        <w:rPr>
          <w:rFonts w:eastAsiaTheme="minorEastAsia"/>
          <w:bCs/>
          <w:color w:val="auto"/>
          <w:w w:val="99"/>
          <w:sz w:val="24"/>
          <w:highlight w:val="none"/>
        </w:rPr>
        <w:t>口</w:t>
      </w:r>
      <w:r>
        <w:rPr>
          <w:rFonts w:hint="eastAsia" w:eastAsiaTheme="minorEastAsia"/>
          <w:bCs/>
          <w:color w:val="auto"/>
          <w:w w:val="99"/>
          <w:sz w:val="24"/>
          <w:highlight w:val="none"/>
          <w:lang w:val="en-US" w:eastAsia="zh-CN"/>
        </w:rPr>
        <w:t>气井的采出水</w:t>
      </w:r>
      <w:r>
        <w:rPr>
          <w:rFonts w:eastAsiaTheme="minorEastAsia"/>
          <w:bCs/>
          <w:color w:val="auto"/>
          <w:w w:val="99"/>
          <w:sz w:val="24"/>
          <w:highlight w:val="none"/>
          <w:lang w:val="de-DE"/>
        </w:rPr>
        <w:t>依托</w:t>
      </w:r>
      <w:r>
        <w:rPr>
          <w:rFonts w:hint="default" w:ascii="Times New Roman" w:hAnsi="Times New Roman" w:eastAsia="宋体" w:cs="Times New Roman"/>
          <w:snapToGrid w:val="0"/>
          <w:color w:val="auto"/>
          <w:spacing w:val="0"/>
          <w:w w:val="99"/>
          <w:kern w:val="0"/>
          <w:sz w:val="24"/>
          <w:szCs w:val="24"/>
          <w:highlight w:val="none"/>
          <w:lang w:val="en-US" w:eastAsia="zh-CN" w:bidi="ar-SA"/>
        </w:rPr>
        <w:t>升一联气田污水预处理站</w:t>
      </w:r>
      <w:r>
        <w:rPr>
          <w:rFonts w:eastAsiaTheme="minorEastAsia"/>
          <w:bCs/>
          <w:color w:val="auto"/>
          <w:w w:val="99"/>
          <w:sz w:val="24"/>
          <w:highlight w:val="none"/>
          <w:lang w:val="de-DE"/>
        </w:rPr>
        <w:t>处理，站内工艺采用</w:t>
      </w:r>
      <w:r>
        <w:rPr>
          <w:rFonts w:hint="default" w:ascii="Times New Roman" w:hAnsi="Times New Roman" w:eastAsia="宋体" w:cs="Times New Roman"/>
          <w:snapToGrid w:val="0"/>
          <w:color w:val="auto"/>
          <w:spacing w:val="0"/>
          <w:w w:val="99"/>
          <w:kern w:val="0"/>
          <w:sz w:val="24"/>
          <w:szCs w:val="24"/>
          <w:highlight w:val="none"/>
          <w:lang w:val="en-US" w:eastAsia="zh-CN" w:bidi="ar-SA"/>
        </w:rPr>
        <w:t>“调储缓冲→ 气浮→ 缓冲→ 两级过滤”</w:t>
      </w:r>
      <w:r>
        <w:rPr>
          <w:rFonts w:eastAsiaTheme="minorEastAsia"/>
          <w:bCs/>
          <w:color w:val="auto"/>
          <w:w w:val="99"/>
          <w:sz w:val="24"/>
          <w:highlight w:val="none"/>
        </w:rPr>
        <w:t>工艺流程</w:t>
      </w:r>
      <w:r>
        <w:rPr>
          <w:rFonts w:eastAsiaTheme="minorEastAsia"/>
          <w:bCs/>
          <w:color w:val="auto"/>
          <w:w w:val="99"/>
          <w:sz w:val="24"/>
          <w:highlight w:val="none"/>
          <w:lang w:val="de-DE"/>
        </w:rPr>
        <w:t>，设计出水水质指标为</w:t>
      </w:r>
      <w:r>
        <w:rPr>
          <w:rFonts w:eastAsiaTheme="minorEastAsia"/>
          <w:bCs/>
          <w:color w:val="auto"/>
          <w:w w:val="99"/>
          <w:sz w:val="24"/>
          <w:highlight w:val="none"/>
        </w:rPr>
        <w:t>《大庆油田地面工程建设设计规定》（Q/SYDQ0639-2015）中“含油量≤</w:t>
      </w:r>
      <w:r>
        <w:rPr>
          <w:rFonts w:hint="eastAsia" w:eastAsiaTheme="minorEastAsia"/>
          <w:bCs/>
          <w:color w:val="auto"/>
          <w:w w:val="99"/>
          <w:sz w:val="24"/>
          <w:highlight w:val="none"/>
          <w:lang w:val="en-US" w:eastAsia="zh-CN"/>
        </w:rPr>
        <w:t>10</w:t>
      </w:r>
      <w:r>
        <w:rPr>
          <w:rFonts w:eastAsiaTheme="minorEastAsia"/>
          <w:bCs/>
          <w:color w:val="auto"/>
          <w:w w:val="99"/>
          <w:sz w:val="24"/>
          <w:highlight w:val="none"/>
        </w:rPr>
        <w:t>mg/L、悬浮固体≤</w:t>
      </w:r>
      <w:r>
        <w:rPr>
          <w:rFonts w:hint="eastAsia" w:eastAsiaTheme="minorEastAsia"/>
          <w:bCs/>
          <w:color w:val="auto"/>
          <w:w w:val="99"/>
          <w:sz w:val="24"/>
          <w:highlight w:val="none"/>
          <w:lang w:val="en-US" w:eastAsia="zh-CN"/>
        </w:rPr>
        <w:t>5</w:t>
      </w:r>
      <w:r>
        <w:rPr>
          <w:rFonts w:eastAsiaTheme="minorEastAsia"/>
          <w:bCs/>
          <w:color w:val="auto"/>
          <w:w w:val="99"/>
          <w:sz w:val="24"/>
          <w:highlight w:val="none"/>
        </w:rPr>
        <w:t>mg/L、悬浮物颗粒直径中值≤</w:t>
      </w:r>
      <w:r>
        <w:rPr>
          <w:rFonts w:hint="eastAsia" w:eastAsiaTheme="minorEastAsia"/>
          <w:bCs/>
          <w:color w:val="auto"/>
          <w:w w:val="99"/>
          <w:sz w:val="24"/>
          <w:highlight w:val="none"/>
          <w:lang w:val="en-US" w:eastAsia="zh-CN"/>
        </w:rPr>
        <w:t>2</w:t>
      </w:r>
      <w:r>
        <w:rPr>
          <w:rFonts w:eastAsiaTheme="minorEastAsia"/>
          <w:bCs/>
          <w:color w:val="auto"/>
          <w:w w:val="99"/>
          <w:sz w:val="24"/>
          <w:highlight w:val="none"/>
        </w:rPr>
        <w:t>μm”</w:t>
      </w:r>
      <w:r>
        <w:rPr>
          <w:rFonts w:eastAsiaTheme="minorEastAsia"/>
          <w:bCs/>
          <w:color w:val="auto"/>
          <w:w w:val="99"/>
          <w:sz w:val="24"/>
          <w:highlight w:val="none"/>
          <w:lang w:val="de-DE"/>
        </w:rPr>
        <w:t>，设计污水处理量为</w:t>
      </w:r>
      <w:r>
        <w:rPr>
          <w:rFonts w:hint="eastAsia" w:eastAsiaTheme="minorEastAsia"/>
          <w:bCs/>
          <w:color w:val="auto"/>
          <w:w w:val="99"/>
          <w:sz w:val="24"/>
          <w:highlight w:val="none"/>
          <w:lang w:val="en-US" w:eastAsia="zh-CN"/>
        </w:rPr>
        <w:t>1400</w:t>
      </w:r>
      <w:r>
        <w:rPr>
          <w:rFonts w:eastAsiaTheme="minorEastAsia"/>
          <w:bCs/>
          <w:color w:val="auto"/>
          <w:w w:val="99"/>
          <w:sz w:val="24"/>
          <w:highlight w:val="none"/>
        </w:rPr>
        <w:t>m</w:t>
      </w:r>
      <w:r>
        <w:rPr>
          <w:rFonts w:eastAsiaTheme="minorEastAsia"/>
          <w:bCs/>
          <w:color w:val="auto"/>
          <w:w w:val="99"/>
          <w:sz w:val="24"/>
          <w:highlight w:val="none"/>
          <w:vertAlign w:val="superscript"/>
        </w:rPr>
        <w:t>3</w:t>
      </w:r>
      <w:r>
        <w:rPr>
          <w:rFonts w:eastAsiaTheme="minorEastAsia"/>
          <w:bCs/>
          <w:color w:val="auto"/>
          <w:w w:val="99"/>
          <w:sz w:val="24"/>
          <w:highlight w:val="none"/>
        </w:rPr>
        <w:t>/d。</w:t>
      </w:r>
      <w:r>
        <w:rPr>
          <w:rFonts w:eastAsiaTheme="minorEastAsia"/>
          <w:bCs/>
          <w:color w:val="auto"/>
          <w:w w:val="99"/>
          <w:sz w:val="24"/>
          <w:highlight w:val="none"/>
          <w:lang w:val="de-DE"/>
        </w:rPr>
        <w:t>目前实际污水处理量为</w:t>
      </w:r>
      <w:r>
        <w:rPr>
          <w:rFonts w:hint="eastAsia" w:eastAsiaTheme="minorEastAsia"/>
          <w:bCs/>
          <w:color w:val="auto"/>
          <w:w w:val="99"/>
          <w:sz w:val="24"/>
          <w:highlight w:val="none"/>
          <w:lang w:val="en-US" w:eastAsia="zh-CN"/>
        </w:rPr>
        <w:t>390</w:t>
      </w:r>
      <w:r>
        <w:rPr>
          <w:rFonts w:eastAsiaTheme="minorEastAsia"/>
          <w:bCs/>
          <w:color w:val="auto"/>
          <w:w w:val="99"/>
          <w:sz w:val="24"/>
          <w:highlight w:val="none"/>
          <w:lang w:val="de-DE"/>
        </w:rPr>
        <w:t>m</w:t>
      </w:r>
      <w:r>
        <w:rPr>
          <w:rFonts w:eastAsiaTheme="minorEastAsia"/>
          <w:bCs/>
          <w:color w:val="auto"/>
          <w:w w:val="99"/>
          <w:sz w:val="24"/>
          <w:highlight w:val="none"/>
          <w:vertAlign w:val="superscript"/>
          <w:lang w:val="de-DE"/>
        </w:rPr>
        <w:t>3</w:t>
      </w:r>
      <w:r>
        <w:rPr>
          <w:rFonts w:eastAsiaTheme="minorEastAsia"/>
          <w:bCs/>
          <w:color w:val="auto"/>
          <w:w w:val="99"/>
          <w:sz w:val="24"/>
          <w:highlight w:val="none"/>
          <w:lang w:val="de-DE"/>
        </w:rPr>
        <w:t>/d，</w:t>
      </w:r>
      <w:r>
        <w:rPr>
          <w:rFonts w:eastAsiaTheme="minorEastAsia"/>
          <w:bCs/>
          <w:color w:val="auto"/>
          <w:w w:val="99"/>
          <w:sz w:val="24"/>
          <w:highlight w:val="none"/>
        </w:rPr>
        <w:t>本项目</w:t>
      </w:r>
      <w:r>
        <w:rPr>
          <w:rFonts w:hint="default" w:eastAsiaTheme="minorEastAsia"/>
          <w:bCs/>
          <w:color w:val="auto"/>
          <w:w w:val="99"/>
          <w:sz w:val="24"/>
          <w:highlight w:val="none"/>
          <w:lang w:val="en-US" w:eastAsia="zh-CN"/>
        </w:rPr>
        <w:t>气田采出水最大产生量</w:t>
      </w:r>
      <w:r>
        <w:rPr>
          <w:rFonts w:eastAsiaTheme="minorEastAsia"/>
          <w:bCs/>
          <w:color w:val="auto"/>
          <w:w w:val="99"/>
          <w:sz w:val="24"/>
          <w:highlight w:val="none"/>
        </w:rPr>
        <w:t>为</w:t>
      </w:r>
      <w:r>
        <w:rPr>
          <w:rFonts w:hint="eastAsia" w:eastAsiaTheme="minorEastAsia"/>
          <w:bCs/>
          <w:color w:val="auto"/>
          <w:w w:val="99"/>
          <w:sz w:val="24"/>
          <w:highlight w:val="none"/>
          <w:lang w:val="en-US" w:eastAsia="zh-CN"/>
        </w:rPr>
        <w:t>3.0m</w:t>
      </w:r>
      <w:r>
        <w:rPr>
          <w:rFonts w:hint="eastAsia" w:eastAsiaTheme="minorEastAsia"/>
          <w:bCs/>
          <w:color w:val="auto"/>
          <w:w w:val="99"/>
          <w:sz w:val="24"/>
          <w:highlight w:val="none"/>
          <w:vertAlign w:val="superscript"/>
          <w:lang w:val="en-US" w:eastAsia="zh-CN"/>
        </w:rPr>
        <w:t>3</w:t>
      </w:r>
      <w:r>
        <w:rPr>
          <w:rFonts w:eastAsiaTheme="minorEastAsia"/>
          <w:bCs/>
          <w:color w:val="auto"/>
          <w:w w:val="99"/>
          <w:sz w:val="24"/>
          <w:highlight w:val="none"/>
        </w:rPr>
        <w:t>/d</w:t>
      </w:r>
      <w:r>
        <w:rPr>
          <w:rFonts w:eastAsiaTheme="minorEastAsia"/>
          <w:bCs/>
          <w:color w:val="auto"/>
          <w:w w:val="99"/>
          <w:sz w:val="24"/>
          <w:highlight w:val="none"/>
          <w:lang w:val="de-DE"/>
        </w:rPr>
        <w:t>，满足开发需求。</w:t>
      </w:r>
    </w:p>
    <w:p w14:paraId="2A122223">
      <w:pPr>
        <w:pStyle w:val="46"/>
        <w:spacing w:after="0" w:line="440" w:lineRule="exact"/>
        <w:ind w:left="0" w:leftChars="0" w:firstLine="474" w:firstLineChars="200"/>
        <w:rPr>
          <w:rFonts w:eastAsiaTheme="minorEastAsia"/>
          <w:bCs/>
          <w:color w:val="auto"/>
          <w:w w:val="99"/>
          <w:sz w:val="24"/>
          <w:highlight w:val="none"/>
        </w:rPr>
      </w:pPr>
      <w:r>
        <w:rPr>
          <w:rFonts w:hint="eastAsia" w:ascii="宋体" w:hAnsi="宋体" w:cs="宋体"/>
          <w:bCs/>
          <w:color w:val="auto"/>
          <w:w w:val="99"/>
          <w:sz w:val="24"/>
          <w:highlight w:val="none"/>
        </w:rPr>
        <w:t>②</w:t>
      </w:r>
      <w:r>
        <w:rPr>
          <w:rFonts w:eastAsiaTheme="minorEastAsia"/>
          <w:bCs/>
          <w:color w:val="auto"/>
          <w:w w:val="99"/>
          <w:sz w:val="24"/>
          <w:highlight w:val="none"/>
        </w:rPr>
        <w:t>污水站处理达标后回注的环境可行性分析</w:t>
      </w:r>
    </w:p>
    <w:p w14:paraId="14B469DD">
      <w:pPr>
        <w:pStyle w:val="46"/>
        <w:spacing w:after="0" w:line="44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根据现场调查，项目所属区域注水井回注层位与</w:t>
      </w:r>
      <w:r>
        <w:rPr>
          <w:rFonts w:hint="eastAsia" w:eastAsiaTheme="minorEastAsia"/>
          <w:bCs/>
          <w:color w:val="auto"/>
          <w:w w:val="99"/>
          <w:sz w:val="24"/>
          <w:highlight w:val="none"/>
          <w:lang w:eastAsia="zh-CN"/>
        </w:rPr>
        <w:t>采气井</w:t>
      </w:r>
      <w:r>
        <w:rPr>
          <w:rFonts w:eastAsiaTheme="minorEastAsia"/>
          <w:bCs/>
          <w:color w:val="auto"/>
          <w:w w:val="99"/>
          <w:sz w:val="24"/>
          <w:highlight w:val="none"/>
        </w:rPr>
        <w:t>开采层位相同，属于回注到现役油气藏层位。</w:t>
      </w:r>
    </w:p>
    <w:p w14:paraId="684E1242">
      <w:pPr>
        <w:pStyle w:val="46"/>
        <w:spacing w:after="0" w:line="440" w:lineRule="exact"/>
        <w:ind w:left="0" w:leftChars="0" w:firstLine="474" w:firstLineChars="200"/>
        <w:rPr>
          <w:rFonts w:eastAsiaTheme="minorEastAsia"/>
          <w:bCs/>
          <w:color w:val="auto"/>
          <w:w w:val="99"/>
          <w:sz w:val="24"/>
          <w:highlight w:val="none"/>
        </w:rPr>
      </w:pPr>
      <w:r>
        <w:rPr>
          <w:rFonts w:hint="eastAsia" w:eastAsiaTheme="minorEastAsia"/>
          <w:bCs/>
          <w:color w:val="auto"/>
          <w:w w:val="99"/>
          <w:sz w:val="24"/>
          <w:highlight w:val="none"/>
          <w:lang w:val="en-US" w:eastAsia="zh-CN"/>
        </w:rPr>
        <w:t>根据</w:t>
      </w:r>
      <w:r>
        <w:rPr>
          <w:rFonts w:eastAsiaTheme="minorEastAsia"/>
          <w:bCs/>
          <w:color w:val="auto"/>
          <w:w w:val="99"/>
          <w:sz w:val="24"/>
          <w:highlight w:val="none"/>
        </w:rPr>
        <w:t>大庆中环评价检测有限公司于2025年</w:t>
      </w:r>
      <w:r>
        <w:rPr>
          <w:rFonts w:hint="eastAsia" w:eastAsiaTheme="minorEastAsia"/>
          <w:bCs/>
          <w:color w:val="auto"/>
          <w:w w:val="99"/>
          <w:sz w:val="24"/>
          <w:highlight w:val="none"/>
          <w:lang w:val="en-US" w:eastAsia="zh-CN"/>
        </w:rPr>
        <w:t>2</w:t>
      </w:r>
      <w:r>
        <w:rPr>
          <w:rFonts w:eastAsiaTheme="minorEastAsia"/>
          <w:bCs/>
          <w:color w:val="auto"/>
          <w:w w:val="99"/>
          <w:sz w:val="24"/>
          <w:highlight w:val="none"/>
        </w:rPr>
        <w:t>月</w:t>
      </w:r>
      <w:r>
        <w:rPr>
          <w:rFonts w:hint="eastAsia" w:eastAsiaTheme="minorEastAsia"/>
          <w:bCs/>
          <w:color w:val="auto"/>
          <w:w w:val="99"/>
          <w:sz w:val="24"/>
          <w:highlight w:val="none"/>
          <w:lang w:val="en-US" w:eastAsia="zh-CN"/>
        </w:rPr>
        <w:t>20</w:t>
      </w:r>
      <w:r>
        <w:rPr>
          <w:rFonts w:eastAsiaTheme="minorEastAsia"/>
          <w:bCs/>
          <w:color w:val="auto"/>
          <w:w w:val="99"/>
          <w:sz w:val="24"/>
          <w:highlight w:val="none"/>
        </w:rPr>
        <w:t>日-</w:t>
      </w:r>
      <w:r>
        <w:rPr>
          <w:rFonts w:hint="eastAsia" w:eastAsiaTheme="minorEastAsia"/>
          <w:bCs/>
          <w:color w:val="auto"/>
          <w:w w:val="99"/>
          <w:sz w:val="24"/>
          <w:highlight w:val="none"/>
          <w:lang w:val="en-US" w:eastAsia="zh-CN"/>
        </w:rPr>
        <w:t>21</w:t>
      </w:r>
      <w:r>
        <w:rPr>
          <w:rFonts w:eastAsiaTheme="minorEastAsia"/>
          <w:bCs/>
          <w:color w:val="auto"/>
          <w:w w:val="99"/>
          <w:sz w:val="24"/>
          <w:highlight w:val="none"/>
        </w:rPr>
        <w:t>日对</w:t>
      </w:r>
      <w:r>
        <w:rPr>
          <w:rFonts w:hint="default" w:ascii="Times New Roman" w:hAnsi="Times New Roman" w:eastAsia="宋体" w:cs="Times New Roman"/>
          <w:snapToGrid w:val="0"/>
          <w:color w:val="auto"/>
          <w:spacing w:val="0"/>
          <w:w w:val="99"/>
          <w:kern w:val="0"/>
          <w:sz w:val="24"/>
          <w:szCs w:val="24"/>
          <w:highlight w:val="none"/>
          <w:lang w:val="en-US" w:eastAsia="zh-CN" w:bidi="ar-SA"/>
        </w:rPr>
        <w:t>升一联气田污水预处理站</w:t>
      </w:r>
      <w:r>
        <w:rPr>
          <w:rFonts w:eastAsiaTheme="minorEastAsia"/>
          <w:bCs/>
          <w:color w:val="auto"/>
          <w:w w:val="99"/>
          <w:sz w:val="24"/>
          <w:highlight w:val="none"/>
        </w:rPr>
        <w:t>出水水质进行监测，根据监测结果可知，</w:t>
      </w:r>
      <w:r>
        <w:rPr>
          <w:rFonts w:hint="default" w:ascii="Times New Roman" w:hAnsi="Times New Roman" w:eastAsia="宋体" w:cs="Times New Roman"/>
          <w:snapToGrid w:val="0"/>
          <w:color w:val="auto"/>
          <w:spacing w:val="0"/>
          <w:w w:val="99"/>
          <w:kern w:val="0"/>
          <w:sz w:val="24"/>
          <w:szCs w:val="24"/>
          <w:highlight w:val="none"/>
          <w:lang w:val="en-US" w:eastAsia="zh-CN" w:bidi="ar-SA"/>
        </w:rPr>
        <w:t>升一联气田污水预处理站</w:t>
      </w:r>
      <w:r>
        <w:rPr>
          <w:rFonts w:eastAsiaTheme="minorEastAsia"/>
          <w:bCs/>
          <w:color w:val="auto"/>
          <w:w w:val="99"/>
          <w:sz w:val="24"/>
          <w:highlight w:val="none"/>
        </w:rPr>
        <w:t>处理后的污水含油量为</w:t>
      </w:r>
      <w:r>
        <w:rPr>
          <w:rFonts w:hint="eastAsia" w:eastAsiaTheme="minorEastAsia"/>
          <w:bCs/>
          <w:color w:val="auto"/>
          <w:w w:val="99"/>
          <w:sz w:val="24"/>
          <w:highlight w:val="none"/>
          <w:lang w:val="en-US" w:eastAsia="zh-CN"/>
        </w:rPr>
        <w:t>2.13</w:t>
      </w:r>
      <w:r>
        <w:rPr>
          <w:rFonts w:eastAsiaTheme="minorEastAsia"/>
          <w:bCs/>
          <w:color w:val="auto"/>
          <w:w w:val="99"/>
          <w:sz w:val="24"/>
          <w:highlight w:val="none"/>
        </w:rPr>
        <w:t>~</w:t>
      </w:r>
      <w:r>
        <w:rPr>
          <w:rFonts w:hint="eastAsia" w:eastAsiaTheme="minorEastAsia"/>
          <w:bCs/>
          <w:color w:val="auto"/>
          <w:w w:val="99"/>
          <w:sz w:val="24"/>
          <w:highlight w:val="none"/>
          <w:lang w:val="en-US" w:eastAsia="zh-CN"/>
        </w:rPr>
        <w:t>3.01</w:t>
      </w:r>
      <w:r>
        <w:rPr>
          <w:rFonts w:eastAsiaTheme="minorEastAsia"/>
          <w:bCs/>
          <w:color w:val="auto"/>
          <w:w w:val="99"/>
          <w:sz w:val="24"/>
          <w:highlight w:val="none"/>
        </w:rPr>
        <w:t>mg/L，悬浮固体含量为</w:t>
      </w:r>
      <w:r>
        <w:rPr>
          <w:rFonts w:hint="eastAsia" w:eastAsiaTheme="minorEastAsia"/>
          <w:bCs/>
          <w:color w:val="auto"/>
          <w:w w:val="99"/>
          <w:sz w:val="24"/>
          <w:highlight w:val="none"/>
          <w:lang w:val="en-US" w:eastAsia="zh-CN"/>
        </w:rPr>
        <w:t>2-3</w:t>
      </w:r>
      <w:r>
        <w:rPr>
          <w:rFonts w:eastAsiaTheme="minorEastAsia"/>
          <w:bCs/>
          <w:color w:val="auto"/>
          <w:w w:val="99"/>
          <w:sz w:val="24"/>
          <w:highlight w:val="none"/>
        </w:rPr>
        <w:t>mg/L，悬浮物颗粒直径中值为1μm；处理后的污水</w:t>
      </w:r>
      <w:r>
        <w:rPr>
          <w:rFonts w:hint="eastAsia" w:eastAsiaTheme="minorEastAsia"/>
          <w:bCs/>
          <w:color w:val="auto"/>
          <w:w w:val="99"/>
          <w:sz w:val="24"/>
          <w:highlight w:val="none"/>
          <w:lang w:val="en-US" w:eastAsia="zh-CN"/>
        </w:rPr>
        <w:t>水质</w:t>
      </w:r>
      <w:r>
        <w:rPr>
          <w:rFonts w:eastAsiaTheme="minorEastAsia"/>
          <w:bCs/>
          <w:color w:val="auto"/>
          <w:w w:val="99"/>
          <w:sz w:val="24"/>
          <w:highlight w:val="none"/>
        </w:rPr>
        <w:t>满足《大庆油田地面工程建设设计规定》（Q/SYDQ0639-2015）及《碎屑岩油藏注水水质指标技术要求及分析方法》（SY/T5329-2022）限值要求，处理后污水回注油层，符合《关于进一步加强石油天然气行业环境影响评价管理的通知》（环办环评函〔2019〕910号）中相关要求。</w:t>
      </w:r>
    </w:p>
    <w:p w14:paraId="3319CD6A">
      <w:pPr>
        <w:pStyle w:val="7"/>
        <w:widowControl w:val="0"/>
        <w:spacing w:before="60" w:after="60" w:line="440" w:lineRule="exact"/>
        <w:jc w:val="both"/>
        <w:rPr>
          <w:rFonts w:eastAsiaTheme="minorEastAsia"/>
          <w:b/>
          <w:color w:val="auto"/>
          <w:w w:val="99"/>
          <w:kern w:val="2"/>
          <w:sz w:val="24"/>
          <w:szCs w:val="24"/>
          <w:highlight w:val="none"/>
        </w:rPr>
      </w:pPr>
      <w:bookmarkStart w:id="847" w:name="_Toc186444340"/>
      <w:bookmarkStart w:id="848" w:name="_Toc127192394"/>
      <w:bookmarkStart w:id="849" w:name="_Toc85640814"/>
      <w:bookmarkStart w:id="850" w:name="_Toc131167345"/>
      <w:bookmarkStart w:id="851" w:name="_Toc143099632"/>
      <w:bookmarkStart w:id="852" w:name="_Toc86141989"/>
      <w:bookmarkStart w:id="853" w:name="_Toc126863445"/>
      <w:r>
        <w:rPr>
          <w:rFonts w:eastAsiaTheme="minorEastAsia"/>
          <w:b/>
          <w:color w:val="auto"/>
          <w:w w:val="99"/>
          <w:kern w:val="2"/>
          <w:sz w:val="24"/>
          <w:szCs w:val="24"/>
          <w:highlight w:val="none"/>
        </w:rPr>
        <w:t>5.2.3退役期</w:t>
      </w:r>
      <w:bookmarkEnd w:id="847"/>
    </w:p>
    <w:p w14:paraId="6B051794">
      <w:pPr>
        <w:pStyle w:val="46"/>
        <w:spacing w:after="0" w:line="440" w:lineRule="exact"/>
        <w:ind w:left="0" w:leftChars="0" w:firstLine="474" w:firstLineChars="200"/>
        <w:rPr>
          <w:rFonts w:hint="default" w:eastAsiaTheme="minorEastAsia"/>
          <w:bCs/>
          <w:color w:val="auto"/>
          <w:w w:val="99"/>
          <w:sz w:val="24"/>
          <w:highlight w:val="none"/>
          <w:lang w:val="en-US" w:eastAsia="zh-CN"/>
        </w:rPr>
      </w:pPr>
      <w:r>
        <w:rPr>
          <w:rFonts w:hint="eastAsia" w:eastAsiaTheme="minorEastAsia"/>
          <w:bCs/>
          <w:color w:val="auto"/>
          <w:w w:val="99"/>
          <w:sz w:val="24"/>
          <w:highlight w:val="none"/>
          <w:lang w:val="en-US" w:eastAsia="zh-CN"/>
        </w:rPr>
        <w:t>退役期</w:t>
      </w:r>
      <w:r>
        <w:rPr>
          <w:rFonts w:hint="default" w:eastAsiaTheme="minorEastAsia"/>
          <w:bCs/>
          <w:color w:val="auto"/>
          <w:w w:val="99"/>
          <w:sz w:val="24"/>
          <w:highlight w:val="none"/>
          <w:lang w:val="en-US" w:eastAsia="zh-CN"/>
        </w:rPr>
        <w:t>废水主要为设备清洗废水、</w:t>
      </w:r>
      <w:r>
        <w:rPr>
          <w:rFonts w:hint="eastAsia" w:eastAsiaTheme="minorEastAsia"/>
          <w:bCs/>
          <w:color w:val="auto"/>
          <w:w w:val="99"/>
          <w:sz w:val="24"/>
          <w:highlight w:val="none"/>
          <w:lang w:val="en-US" w:eastAsia="zh-CN"/>
        </w:rPr>
        <w:t>废弃管道清管废水</w:t>
      </w:r>
      <w:r>
        <w:rPr>
          <w:rFonts w:hint="default" w:eastAsiaTheme="minorEastAsia"/>
          <w:bCs/>
          <w:color w:val="auto"/>
          <w:w w:val="99"/>
          <w:sz w:val="24"/>
          <w:highlight w:val="none"/>
          <w:lang w:val="en-US" w:eastAsia="zh-CN"/>
        </w:rPr>
        <w:t>及生活污水</w:t>
      </w:r>
      <w:r>
        <w:rPr>
          <w:rFonts w:hint="eastAsia" w:eastAsiaTheme="minorEastAsia"/>
          <w:bCs/>
          <w:color w:val="auto"/>
          <w:w w:val="99"/>
          <w:sz w:val="24"/>
          <w:highlight w:val="none"/>
          <w:lang w:val="en-US" w:eastAsia="zh-CN"/>
        </w:rPr>
        <w:t>。</w:t>
      </w:r>
    </w:p>
    <w:p w14:paraId="6CAD6B70">
      <w:pPr>
        <w:pStyle w:val="46"/>
        <w:spacing w:after="0" w:line="440" w:lineRule="exact"/>
        <w:ind w:left="0" w:leftChars="0" w:firstLine="474" w:firstLineChars="200"/>
        <w:rPr>
          <w:rFonts w:hint="default" w:eastAsiaTheme="minorEastAsia"/>
          <w:bCs/>
          <w:color w:val="auto"/>
          <w:w w:val="99"/>
          <w:sz w:val="24"/>
          <w:highlight w:val="none"/>
          <w:lang w:val="en-US" w:eastAsia="zh-CN"/>
        </w:rPr>
      </w:pPr>
      <w:r>
        <w:rPr>
          <w:rFonts w:hint="eastAsia" w:eastAsiaTheme="minorEastAsia"/>
          <w:bCs/>
          <w:color w:val="auto"/>
          <w:w w:val="99"/>
          <w:sz w:val="24"/>
          <w:highlight w:val="none"/>
          <w:lang w:val="en-US" w:eastAsia="zh-CN"/>
        </w:rPr>
        <w:t>若本次投产的1口气井全部退役、集气管道全部废弃，则拆除设备清洗废水产生量为0.52t</w:t>
      </w:r>
      <w:r>
        <w:rPr>
          <w:rFonts w:hint="default" w:eastAsiaTheme="minorEastAsia"/>
          <w:bCs/>
          <w:color w:val="auto"/>
          <w:w w:val="99"/>
          <w:sz w:val="24"/>
          <w:highlight w:val="none"/>
          <w:lang w:val="en-US" w:eastAsia="zh-CN"/>
        </w:rPr>
        <w:t>，由罐车拉运至</w:t>
      </w:r>
      <w:r>
        <w:rPr>
          <w:rFonts w:hint="eastAsia" w:eastAsiaTheme="minorEastAsia"/>
          <w:bCs/>
          <w:color w:val="auto"/>
          <w:w w:val="99"/>
          <w:sz w:val="24"/>
          <w:highlight w:val="none"/>
          <w:lang w:val="en-US" w:eastAsia="zh-CN"/>
        </w:rPr>
        <w:t>升一联气田污水预处理站处理达标后</w:t>
      </w:r>
      <w:r>
        <w:rPr>
          <w:rFonts w:hint="default" w:eastAsiaTheme="minorEastAsia"/>
          <w:bCs/>
          <w:color w:val="auto"/>
          <w:w w:val="99"/>
          <w:sz w:val="24"/>
          <w:highlight w:val="none"/>
          <w:lang w:val="en-US" w:eastAsia="zh-CN"/>
        </w:rPr>
        <w:t>回注地下开采油层，不外排</w:t>
      </w:r>
      <w:r>
        <w:rPr>
          <w:rFonts w:hint="eastAsia" w:eastAsiaTheme="minorEastAsia"/>
          <w:bCs/>
          <w:color w:val="auto"/>
          <w:w w:val="99"/>
          <w:sz w:val="24"/>
          <w:highlight w:val="none"/>
          <w:lang w:val="en-US" w:eastAsia="zh-CN"/>
        </w:rPr>
        <w:t>。</w:t>
      </w:r>
    </w:p>
    <w:p w14:paraId="0726EAEA">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eastAsia" w:eastAsiaTheme="minorEastAsia"/>
          <w:bCs/>
          <w:color w:val="auto"/>
          <w:w w:val="99"/>
          <w:sz w:val="24"/>
          <w:highlight w:val="none"/>
          <w:lang w:val="en-US" w:eastAsia="zh-CN"/>
        </w:rPr>
        <w:t>项目退役期拆除设备、封井和清理井场时，施工时间较短，施工人员产生的生活污水量较少，排入周边集气站已建生活污水收集设施，均</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p>
    <w:p w14:paraId="570A8922">
      <w:pPr>
        <w:pStyle w:val="7"/>
        <w:widowControl w:val="0"/>
        <w:spacing w:before="60" w:after="60" w:line="440" w:lineRule="exact"/>
        <w:jc w:val="both"/>
        <w:rPr>
          <w:rFonts w:eastAsiaTheme="minorEastAsia"/>
          <w:b/>
          <w:color w:val="auto"/>
          <w:w w:val="99"/>
          <w:kern w:val="2"/>
          <w:sz w:val="24"/>
          <w:szCs w:val="24"/>
          <w:highlight w:val="none"/>
        </w:rPr>
      </w:pPr>
      <w:bookmarkStart w:id="854" w:name="_Toc186444341"/>
      <w:r>
        <w:rPr>
          <w:rFonts w:eastAsiaTheme="minorEastAsia"/>
          <w:b/>
          <w:color w:val="auto"/>
          <w:w w:val="99"/>
          <w:kern w:val="2"/>
          <w:sz w:val="24"/>
          <w:szCs w:val="24"/>
          <w:highlight w:val="none"/>
        </w:rPr>
        <w:t>5.2.4地表水环境影响评价结论</w:t>
      </w:r>
      <w:bookmarkEnd w:id="848"/>
      <w:bookmarkEnd w:id="849"/>
      <w:bookmarkEnd w:id="850"/>
      <w:bookmarkEnd w:id="851"/>
      <w:bookmarkEnd w:id="852"/>
      <w:bookmarkEnd w:id="853"/>
      <w:bookmarkEnd w:id="854"/>
    </w:p>
    <w:p w14:paraId="4A3BBAF0">
      <w:pPr>
        <w:pStyle w:val="46"/>
        <w:spacing w:after="0" w:line="44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本项目在施工期、运营期正、退役期情况下，采取了较为完善的环境保护措施，对地表水环境不会产生不良影响。在事故状态下，尤其是发生集输管线泄漏的情况下，若发现或处理不及时会对地表水环境产生一定影响。因此，运营期应加强检测、巡检巡视，及时发现问题及时处理，尽量避免事故的发生，降低事故发生后对环境的影响程度和范围。</w:t>
      </w:r>
    </w:p>
    <w:bookmarkEnd w:id="831"/>
    <w:bookmarkEnd w:id="832"/>
    <w:p w14:paraId="707F5E01">
      <w:pPr>
        <w:pStyle w:val="5"/>
        <w:keepNext w:val="0"/>
        <w:keepLines w:val="0"/>
        <w:widowControl w:val="0"/>
        <w:spacing w:before="120" w:after="120" w:line="440" w:lineRule="exact"/>
        <w:rPr>
          <w:rFonts w:ascii="Times New Roman" w:hAnsi="Times New Roman" w:eastAsia="宋体"/>
          <w:b/>
          <w:snapToGrid w:val="0"/>
          <w:color w:val="auto"/>
          <w:w w:val="99"/>
          <w:highlight w:val="none"/>
        </w:rPr>
      </w:pPr>
      <w:bookmarkStart w:id="855" w:name="_Toc19351"/>
      <w:r>
        <w:rPr>
          <w:rFonts w:ascii="Times New Roman" w:hAnsi="Times New Roman" w:eastAsia="宋体"/>
          <w:b/>
          <w:snapToGrid w:val="0"/>
          <w:color w:val="auto"/>
          <w:w w:val="99"/>
          <w:highlight w:val="none"/>
        </w:rPr>
        <w:t>5.3地下水环境影响预测与评价</w:t>
      </w:r>
      <w:bookmarkEnd w:id="855"/>
    </w:p>
    <w:p w14:paraId="61463DE1">
      <w:pPr>
        <w:pStyle w:val="7"/>
        <w:widowControl w:val="0"/>
        <w:spacing w:before="60" w:after="60" w:line="440" w:lineRule="exact"/>
        <w:jc w:val="both"/>
        <w:rPr>
          <w:rFonts w:eastAsiaTheme="minorEastAsia"/>
          <w:b/>
          <w:color w:val="auto"/>
          <w:w w:val="99"/>
          <w:kern w:val="2"/>
          <w:sz w:val="24"/>
          <w:szCs w:val="24"/>
          <w:highlight w:val="none"/>
        </w:rPr>
      </w:pPr>
      <w:bookmarkStart w:id="856" w:name="_Toc143099634"/>
      <w:bookmarkStart w:id="857" w:name="_Toc85640816"/>
      <w:bookmarkStart w:id="858" w:name="_Toc131167347"/>
      <w:bookmarkStart w:id="859" w:name="_Toc186444343"/>
      <w:bookmarkStart w:id="860" w:name="_Toc84929288"/>
      <w:bookmarkStart w:id="861" w:name="_Toc127192396"/>
      <w:bookmarkStart w:id="862" w:name="_Toc86141991"/>
      <w:bookmarkStart w:id="863" w:name="_Toc126863447"/>
      <w:bookmarkStart w:id="864" w:name="_Toc76976301"/>
      <w:bookmarkStart w:id="865" w:name="_Toc78816516"/>
      <w:bookmarkStart w:id="866" w:name="_Toc83209533"/>
      <w:bookmarkStart w:id="867" w:name="_Toc80588311"/>
      <w:bookmarkStart w:id="868" w:name="_Toc67860187"/>
      <w:bookmarkStart w:id="869" w:name="_Toc19368"/>
      <w:bookmarkStart w:id="870" w:name="_Toc70050236"/>
      <w:bookmarkStart w:id="871" w:name="_Toc77067713"/>
      <w:bookmarkStart w:id="872" w:name="_Toc80971433"/>
      <w:r>
        <w:rPr>
          <w:rFonts w:eastAsiaTheme="minorEastAsia"/>
          <w:b/>
          <w:color w:val="auto"/>
          <w:w w:val="99"/>
          <w:kern w:val="2"/>
          <w:sz w:val="24"/>
          <w:szCs w:val="24"/>
          <w:highlight w:val="none"/>
        </w:rPr>
        <w:t>5.3.1正常情况下地下水环境影响分析</w:t>
      </w:r>
      <w:bookmarkEnd w:id="856"/>
      <w:bookmarkEnd w:id="857"/>
      <w:bookmarkEnd w:id="858"/>
      <w:bookmarkEnd w:id="859"/>
      <w:bookmarkEnd w:id="860"/>
      <w:bookmarkEnd w:id="861"/>
      <w:bookmarkEnd w:id="862"/>
      <w:bookmarkEnd w:id="863"/>
    </w:p>
    <w:p w14:paraId="5EC0C1C5">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（1）施工期</w:t>
      </w:r>
    </w:p>
    <w:p w14:paraId="517FB661">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本工程施工期废水主要为管线试压废水以及施工人员生活污水。</w:t>
      </w:r>
    </w:p>
    <w:p w14:paraId="1BF68C82">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项目管线试压废水通过罐车拉运至升一联污水预处理站处理，满足《大庆油田地面工程建设设计规定》（Q/SYDQ0639-2015）限值“含油量≤10mg/L、悬浮固体含量≤5mg/L 、粒径中值≤2μm”后回注地下，回注到现役油气藏层位。施工期生活污水依托周边场站</w:t>
      </w:r>
      <w:r>
        <w:rPr>
          <w:rFonts w:hint="default" w:ascii="Times New Roman" w:hAnsi="Times New Roman" w:eastAsia="宋体" w:cs="Times New Roman"/>
          <w:color w:val="auto"/>
          <w:w w:val="99"/>
          <w:kern w:val="2"/>
          <w:highlight w:val="none"/>
          <w:lang w:val="en-US" w:eastAsia="zh-CN"/>
        </w:rPr>
        <w:t>已建生活污水收集设施</w:t>
      </w:r>
      <w:r>
        <w:rPr>
          <w:rFonts w:ascii="Times New Roman" w:hAnsi="Times New Roman" w:cs="Times New Roman"/>
          <w:color w:val="auto"/>
          <w:w w:val="99"/>
          <w:kern w:val="2"/>
          <w:szCs w:val="20"/>
          <w:highlight w:val="none"/>
        </w:rPr>
        <w:t>，</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r>
        <w:rPr>
          <w:rFonts w:ascii="Times New Roman" w:hAnsi="Times New Roman" w:cs="Times New Roman"/>
          <w:color w:val="auto"/>
          <w:w w:val="99"/>
          <w:kern w:val="2"/>
          <w:szCs w:val="20"/>
          <w:highlight w:val="none"/>
        </w:rPr>
        <w:t>。</w:t>
      </w:r>
    </w:p>
    <w:p w14:paraId="4FAA9660">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施工期废水均得到妥善处置。</w:t>
      </w:r>
    </w:p>
    <w:p w14:paraId="41629CFD">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（2）运营期</w:t>
      </w:r>
    </w:p>
    <w:p w14:paraId="63F760C6">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本工程运行期气田采出水暂存在徐深</w:t>
      </w:r>
      <w:r>
        <w:rPr>
          <w:rFonts w:hint="eastAsia" w:ascii="Times New Roman" w:hAnsi="Times New Roman" w:cs="Times New Roman"/>
          <w:color w:val="auto"/>
          <w:w w:val="99"/>
          <w:kern w:val="2"/>
          <w:szCs w:val="20"/>
          <w:highlight w:val="none"/>
          <w:lang w:val="en-US" w:eastAsia="zh-CN"/>
        </w:rPr>
        <w:t>27</w:t>
      </w:r>
      <w:r>
        <w:rPr>
          <w:rFonts w:ascii="Times New Roman" w:hAnsi="Times New Roman" w:cs="Times New Roman"/>
          <w:color w:val="auto"/>
          <w:w w:val="99"/>
          <w:kern w:val="2"/>
          <w:szCs w:val="20"/>
          <w:highlight w:val="none"/>
        </w:rPr>
        <w:t>集气站污水储罐内，由管线输送至升一联气田污水预处理站处理处理后的水质执行《大庆油田地面工程建设设计规定》（Q/SYDQ  0639-2015 ） 限值“ 含油量≤10mg/L 、悬浮固体含量≤5mg/L 、粒径中值≤2μm” ，同时满足《碎屑岩油藏注水水质指标技术要求及分析方法》(SY/T5329-2022)中标准限值，回注地下</w:t>
      </w:r>
      <w:r>
        <w:rPr>
          <w:rFonts w:hint="eastAsia" w:ascii="Times New Roman" w:hAnsi="Times New Roman" w:cs="Times New Roman"/>
          <w:color w:val="auto"/>
          <w:w w:val="99"/>
          <w:kern w:val="2"/>
          <w:szCs w:val="20"/>
          <w:highlight w:val="none"/>
          <w:lang w:val="en-US" w:eastAsia="zh-CN"/>
        </w:rPr>
        <w:t>油层</w:t>
      </w:r>
      <w:r>
        <w:rPr>
          <w:rFonts w:ascii="Times New Roman" w:hAnsi="Times New Roman" w:cs="Times New Roman"/>
          <w:color w:val="auto"/>
          <w:w w:val="99"/>
          <w:kern w:val="2"/>
          <w:szCs w:val="20"/>
          <w:highlight w:val="none"/>
        </w:rPr>
        <w:t>。因此工程运行期正常情况下对地下水产生影响很小。</w:t>
      </w:r>
    </w:p>
    <w:p w14:paraId="6EEC2DBC">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（3）退役期</w:t>
      </w:r>
    </w:p>
    <w:p w14:paraId="75A379CF">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建设项目进入闭井期，</w:t>
      </w:r>
      <w:r>
        <w:rPr>
          <w:rFonts w:hint="eastAsia" w:ascii="Times New Roman" w:hAnsi="Times New Roman" w:cs="Times New Roman"/>
          <w:color w:val="auto"/>
          <w:w w:val="99"/>
          <w:kern w:val="2"/>
          <w:szCs w:val="20"/>
          <w:highlight w:val="none"/>
          <w:lang w:val="en-US" w:eastAsia="zh-CN"/>
        </w:rPr>
        <w:t>气</w:t>
      </w:r>
      <w:r>
        <w:rPr>
          <w:rFonts w:ascii="Times New Roman" w:hAnsi="Times New Roman" w:cs="Times New Roman"/>
          <w:color w:val="auto"/>
          <w:w w:val="99"/>
          <w:kern w:val="2"/>
          <w:szCs w:val="20"/>
          <w:highlight w:val="none"/>
        </w:rPr>
        <w:t>井退役后采用全段封井工艺进行封井处理，阻止各层段之间的井内窜流，达到保护含水层的目的，可有效阻隔油层中含油地下水与上部其他含水层之间的水力联系，井区内的潜水含水层和承压含水层均不再受石油开采的影响。</w:t>
      </w:r>
    </w:p>
    <w:p w14:paraId="1B84E56D">
      <w:pPr>
        <w:pStyle w:val="7"/>
        <w:widowControl w:val="0"/>
        <w:spacing w:before="60" w:after="60" w:line="440" w:lineRule="exact"/>
        <w:jc w:val="both"/>
        <w:rPr>
          <w:rFonts w:eastAsiaTheme="minorEastAsia"/>
          <w:b/>
          <w:color w:val="auto"/>
          <w:w w:val="99"/>
          <w:kern w:val="2"/>
          <w:sz w:val="24"/>
          <w:szCs w:val="24"/>
          <w:highlight w:val="none"/>
        </w:rPr>
      </w:pPr>
      <w:bookmarkStart w:id="873" w:name="_Toc86141992"/>
      <w:bookmarkStart w:id="874" w:name="_Toc84929289"/>
      <w:bookmarkStart w:id="875" w:name="_Toc143099635"/>
      <w:bookmarkStart w:id="876" w:name="_Toc186444344"/>
      <w:bookmarkStart w:id="877" w:name="_Toc85640817"/>
      <w:bookmarkStart w:id="878" w:name="_Toc126863448"/>
      <w:bookmarkStart w:id="879" w:name="_Toc127192397"/>
      <w:bookmarkStart w:id="880" w:name="_Toc131167348"/>
      <w:r>
        <w:rPr>
          <w:rFonts w:eastAsiaTheme="minorEastAsia"/>
          <w:b/>
          <w:color w:val="auto"/>
          <w:w w:val="99"/>
          <w:kern w:val="2"/>
          <w:sz w:val="24"/>
          <w:szCs w:val="24"/>
          <w:highlight w:val="none"/>
        </w:rPr>
        <w:t>5.3.2非正常状况下地下水环境影响分析</w:t>
      </w:r>
      <w:bookmarkEnd w:id="873"/>
      <w:bookmarkEnd w:id="874"/>
      <w:bookmarkEnd w:id="875"/>
      <w:bookmarkEnd w:id="876"/>
      <w:bookmarkEnd w:id="877"/>
      <w:bookmarkEnd w:id="878"/>
      <w:bookmarkEnd w:id="879"/>
      <w:bookmarkEnd w:id="880"/>
    </w:p>
    <w:p w14:paraId="35069805">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（1）施工期</w:t>
      </w:r>
    </w:p>
    <w:p w14:paraId="4D7EF198">
      <w:pPr>
        <w:widowControl w:val="0"/>
        <w:spacing w:line="440" w:lineRule="exact"/>
        <w:ind w:firstLine="474" w:firstLineChars="200"/>
        <w:jc w:val="both"/>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本工程</w:t>
      </w:r>
      <w:r>
        <w:rPr>
          <w:rFonts w:hint="eastAsia" w:ascii="Times New Roman" w:hAnsi="Times New Roman" w:cs="Times New Roman"/>
          <w:color w:val="auto"/>
          <w:w w:val="99"/>
          <w:kern w:val="2"/>
          <w:szCs w:val="20"/>
          <w:highlight w:val="none"/>
          <w:lang w:val="en-US" w:eastAsia="zh-CN"/>
        </w:rPr>
        <w:t>施工期仅设备安装及管线、道路工程建设，不涉及对地下水的环境影响</w:t>
      </w:r>
      <w:r>
        <w:rPr>
          <w:rFonts w:ascii="Times New Roman" w:hAnsi="Times New Roman" w:eastAsia="宋体" w:cs="Times New Roman"/>
          <w:color w:val="auto"/>
          <w:w w:val="99"/>
          <w:kern w:val="2"/>
          <w:szCs w:val="20"/>
          <w:highlight w:val="none"/>
        </w:rPr>
        <w:t>。</w:t>
      </w:r>
    </w:p>
    <w:p w14:paraId="6A45C6DC">
      <w:pPr>
        <w:keepNext w:val="0"/>
        <w:keepLines w:val="0"/>
        <w:pageBreakBefore w:val="0"/>
        <w:widowControl w:val="0"/>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w w:val="99"/>
          <w:kern w:val="2"/>
          <w:szCs w:val="20"/>
          <w:highlight w:val="none"/>
          <w:lang w:val="en-US" w:eastAsia="zh-CN"/>
        </w:rPr>
      </w:pPr>
      <w:r>
        <w:rPr>
          <w:rFonts w:hint="eastAsia" w:ascii="Times New Roman" w:hAnsi="Times New Roman" w:cs="Times New Roman"/>
          <w:color w:val="auto"/>
          <w:w w:val="99"/>
          <w:kern w:val="2"/>
          <w:szCs w:val="20"/>
          <w:highlight w:val="none"/>
          <w:lang w:eastAsia="zh-CN"/>
        </w:rPr>
        <w:t>（</w:t>
      </w:r>
      <w:r>
        <w:rPr>
          <w:rFonts w:hint="eastAsia" w:ascii="Times New Roman" w:hAnsi="Times New Roman" w:cs="Times New Roman"/>
          <w:color w:val="auto"/>
          <w:w w:val="99"/>
          <w:kern w:val="2"/>
          <w:szCs w:val="20"/>
          <w:highlight w:val="none"/>
          <w:lang w:val="en-US" w:eastAsia="zh-CN"/>
        </w:rPr>
        <w:t>2</w:t>
      </w:r>
      <w:r>
        <w:rPr>
          <w:rFonts w:hint="eastAsia" w:ascii="Times New Roman" w:hAnsi="Times New Roman" w:cs="Times New Roman"/>
          <w:color w:val="auto"/>
          <w:w w:val="99"/>
          <w:kern w:val="2"/>
          <w:szCs w:val="20"/>
          <w:highlight w:val="none"/>
          <w:lang w:eastAsia="zh-CN"/>
        </w:rPr>
        <w:t>）</w:t>
      </w:r>
      <w:r>
        <w:rPr>
          <w:rFonts w:hint="eastAsia" w:ascii="Times New Roman" w:hAnsi="Times New Roman" w:cs="Times New Roman"/>
          <w:color w:val="auto"/>
          <w:w w:val="99"/>
          <w:kern w:val="2"/>
          <w:szCs w:val="20"/>
          <w:highlight w:val="none"/>
          <w:lang w:val="en-US" w:eastAsia="zh-CN"/>
        </w:rPr>
        <w:t>运营期</w:t>
      </w:r>
    </w:p>
    <w:p w14:paraId="3DF216E8">
      <w:pPr>
        <w:widowControl w:val="0"/>
        <w:spacing w:line="440" w:lineRule="exact"/>
        <w:ind w:firstLine="474" w:firstLineChars="200"/>
        <w:jc w:val="both"/>
        <w:rPr>
          <w:rFonts w:hint="eastAsia" w:ascii="Times New Roman" w:hAnsi="Times New Roman" w:eastAsia="宋体" w:cs="Times New Roman"/>
          <w:color w:val="auto"/>
          <w:w w:val="99"/>
          <w:kern w:val="2"/>
          <w:szCs w:val="20"/>
          <w:highlight w:val="none"/>
        </w:rPr>
      </w:pPr>
      <w:r>
        <w:rPr>
          <w:rFonts w:hint="eastAsia" w:ascii="Times New Roman" w:hAnsi="Times New Roman" w:eastAsia="宋体" w:cs="Times New Roman"/>
          <w:color w:val="auto"/>
          <w:w w:val="99"/>
          <w:kern w:val="2"/>
          <w:szCs w:val="20"/>
          <w:highlight w:val="none"/>
        </w:rPr>
        <w:t>气田开发生产过程中仍存在着一些潜在的事故隐患，具有污染环境的潜在因素，如包括井喷、井漏、管道泄漏等。</w:t>
      </w:r>
    </w:p>
    <w:p w14:paraId="26FEC0A9">
      <w:pPr>
        <w:widowControl w:val="0"/>
        <w:spacing w:line="440" w:lineRule="exact"/>
        <w:ind w:firstLine="474" w:firstLineChars="200"/>
        <w:jc w:val="both"/>
        <w:rPr>
          <w:rFonts w:hint="eastAsia" w:ascii="Times New Roman" w:hAnsi="Times New Roman" w:eastAsia="宋体" w:cs="Times New Roman"/>
          <w:color w:val="auto"/>
          <w:w w:val="99"/>
          <w:kern w:val="2"/>
          <w:szCs w:val="20"/>
          <w:highlight w:val="none"/>
        </w:rPr>
      </w:pPr>
      <w:r>
        <w:rPr>
          <w:rFonts w:hint="eastAsia" w:ascii="Times New Roman" w:hAnsi="Times New Roman" w:cs="Times New Roman"/>
          <w:color w:val="auto"/>
          <w:w w:val="99"/>
          <w:kern w:val="2"/>
          <w:szCs w:val="20"/>
          <w:highlight w:val="none"/>
          <w:lang w:val="en-US" w:eastAsia="zh-CN"/>
        </w:rPr>
        <w:t>①</w:t>
      </w:r>
      <w:r>
        <w:rPr>
          <w:rFonts w:hint="eastAsia" w:ascii="Times New Roman" w:hAnsi="Times New Roman" w:eastAsia="宋体" w:cs="Times New Roman"/>
          <w:color w:val="auto"/>
          <w:w w:val="99"/>
          <w:kern w:val="2"/>
          <w:szCs w:val="20"/>
          <w:highlight w:val="none"/>
        </w:rPr>
        <w:t>发生井喷事故时，天然气从井口喷出，主要会对周围大气环境造成影响，天然气中含有少量的水分可能遇冷凝结落至地面，对地表造成污染，但由于本工程天然气中含水较少且发生井喷事故时能够及时采取措施，对污染的地表进行清理，因此井喷时对地下水的影响有限。</w:t>
      </w:r>
    </w:p>
    <w:p w14:paraId="1A109F3D">
      <w:pPr>
        <w:widowControl w:val="0"/>
        <w:spacing w:line="440" w:lineRule="exact"/>
        <w:ind w:firstLine="474" w:firstLineChars="200"/>
        <w:jc w:val="both"/>
        <w:rPr>
          <w:rFonts w:hint="eastAsia" w:ascii="Times New Roman" w:hAnsi="Times New Roman" w:eastAsia="宋体" w:cs="Times New Roman"/>
          <w:color w:val="auto"/>
          <w:w w:val="99"/>
          <w:kern w:val="2"/>
          <w:szCs w:val="20"/>
          <w:highlight w:val="none"/>
        </w:rPr>
      </w:pPr>
      <w:r>
        <w:rPr>
          <w:rFonts w:hint="eastAsia" w:ascii="Times New Roman" w:hAnsi="Times New Roman" w:eastAsia="宋体" w:cs="Times New Roman"/>
          <w:color w:val="auto"/>
          <w:w w:val="99"/>
          <w:kern w:val="2"/>
          <w:szCs w:val="20"/>
          <w:highlight w:val="none"/>
          <w:lang w:val="en-US" w:eastAsia="zh-CN"/>
        </w:rPr>
        <w:t>②</w:t>
      </w:r>
      <w:r>
        <w:rPr>
          <w:rFonts w:hint="default" w:ascii="Times New Roman" w:hAnsi="Times New Roman" w:eastAsia="宋体" w:cs="Times New Roman"/>
          <w:color w:val="auto"/>
          <w:w w:val="99"/>
          <w:kern w:val="2"/>
          <w:szCs w:val="20"/>
          <w:highlight w:val="none"/>
          <w:lang w:val="en-US" w:eastAsia="zh-CN"/>
        </w:rPr>
        <w:t>发生管道泄漏时，天然气从管道裂口喷出，由于采气管道压力较高，泄漏天然气可直接喷出地表，在管道附近积存的可能性较少，同时气田设置完善的在线监测控系统和紧急截断系统，发生管道泄漏时可及时发现并进行截断，泄漏出的天然气主要会对周围大气环境造成影响，对地下水的影响有限</w:t>
      </w:r>
      <w:r>
        <w:rPr>
          <w:rFonts w:hint="eastAsia" w:ascii="Times New Roman" w:hAnsi="Times New Roman" w:eastAsia="宋体" w:cs="Times New Roman"/>
          <w:color w:val="auto"/>
          <w:w w:val="99"/>
          <w:kern w:val="2"/>
          <w:szCs w:val="20"/>
          <w:highlight w:val="none"/>
          <w:lang w:val="en-US" w:eastAsia="zh-CN"/>
        </w:rPr>
        <w:t>，同时采气管线内主要为气体，含水量很少，对地下水影响不大</w:t>
      </w:r>
      <w:r>
        <w:rPr>
          <w:rFonts w:hint="default" w:ascii="Times New Roman" w:hAnsi="Times New Roman" w:eastAsia="宋体" w:cs="Times New Roman"/>
          <w:color w:val="auto"/>
          <w:w w:val="99"/>
          <w:kern w:val="2"/>
          <w:szCs w:val="20"/>
          <w:highlight w:val="none"/>
          <w:lang w:val="en-US" w:eastAsia="zh-CN"/>
        </w:rPr>
        <w:t>。</w:t>
      </w:r>
    </w:p>
    <w:p w14:paraId="01DD4EA7">
      <w:pPr>
        <w:widowControl w:val="0"/>
        <w:spacing w:line="440" w:lineRule="exact"/>
        <w:ind w:firstLine="474" w:firstLineChars="200"/>
        <w:jc w:val="both"/>
        <w:rPr>
          <w:rFonts w:hint="eastAsia" w:ascii="Times New Roman" w:hAnsi="Times New Roman" w:eastAsia="宋体" w:cs="Times New Roman"/>
          <w:color w:val="auto"/>
          <w:w w:val="99"/>
          <w:kern w:val="2"/>
          <w:szCs w:val="20"/>
          <w:highlight w:val="none"/>
        </w:rPr>
      </w:pPr>
      <w:r>
        <w:rPr>
          <w:rFonts w:hint="eastAsia" w:ascii="Times New Roman" w:hAnsi="Times New Roman" w:cs="Times New Roman"/>
          <w:color w:val="auto"/>
          <w:w w:val="99"/>
          <w:kern w:val="2"/>
          <w:szCs w:val="20"/>
          <w:highlight w:val="none"/>
          <w:lang w:val="en-US" w:eastAsia="zh-CN"/>
        </w:rPr>
        <w:t>③</w:t>
      </w:r>
      <w:r>
        <w:rPr>
          <w:rFonts w:hint="eastAsia" w:ascii="Times New Roman" w:hAnsi="Times New Roman" w:eastAsia="宋体" w:cs="Times New Roman"/>
          <w:color w:val="auto"/>
          <w:w w:val="99"/>
          <w:kern w:val="2"/>
          <w:szCs w:val="20"/>
          <w:highlight w:val="none"/>
        </w:rPr>
        <w:t>工程所在区域地下水井开采层位为白垩系明水组承压水含水层，气井开采过程中涉及具有饮用水功能的承压含水层主要为该层。发生井漏事故时，表层套管可能由地层压力等原因，造成破损，导致天然气中含有的采出水泄露，进入白垩系明水组承压水含水层，可能会对地下水环境产生不利影响，本次对该类事故进行预测分析。</w:t>
      </w:r>
    </w:p>
    <w:p w14:paraId="64464654">
      <w:pPr>
        <w:widowControl w:val="0"/>
        <w:spacing w:line="440" w:lineRule="exact"/>
        <w:ind w:firstLine="474" w:firstLineChars="200"/>
        <w:jc w:val="both"/>
        <w:rPr>
          <w:rFonts w:hint="eastAsia" w:ascii="Times New Roman" w:hAnsi="Times New Roman" w:eastAsia="宋体" w:cs="Times New Roman"/>
          <w:color w:val="auto"/>
          <w:w w:val="99"/>
          <w:kern w:val="2"/>
          <w:szCs w:val="20"/>
          <w:highlight w:val="none"/>
        </w:rPr>
      </w:pPr>
      <w:r>
        <w:rPr>
          <w:rFonts w:hint="eastAsia" w:ascii="Times New Roman" w:hAnsi="Times New Roman" w:eastAsia="宋体" w:cs="Times New Roman"/>
          <w:color w:val="auto"/>
          <w:w w:val="99"/>
          <w:kern w:val="2"/>
          <w:szCs w:val="20"/>
          <w:highlight w:val="none"/>
        </w:rPr>
        <w:t>因此本气田在开发及生产过程中，对地下水环境影响可能较为严重的事故主要是固井质量不高、密封不严、表层套管破损而造成的气田采出水泄漏和采气管线腐蚀造成的采出水泄漏。</w:t>
      </w:r>
    </w:p>
    <w:p w14:paraId="279E3474">
      <w:pPr>
        <w:widowControl w:val="0"/>
        <w:spacing w:line="440" w:lineRule="exact"/>
        <w:ind w:firstLine="474" w:firstLineChars="200"/>
        <w:jc w:val="both"/>
        <w:rPr>
          <w:rFonts w:hint="eastAsia" w:ascii="Times New Roman" w:hAnsi="Times New Roman" w:eastAsia="宋体" w:cs="Times New Roman"/>
          <w:color w:val="auto"/>
          <w:w w:val="99"/>
          <w:kern w:val="2"/>
          <w:szCs w:val="20"/>
          <w:highlight w:val="none"/>
        </w:rPr>
      </w:pPr>
      <w:r>
        <w:rPr>
          <w:rFonts w:hint="eastAsia" w:ascii="Times New Roman" w:hAnsi="Times New Roman" w:eastAsia="宋体" w:cs="Times New Roman"/>
          <w:color w:val="auto"/>
          <w:w w:val="99"/>
          <w:kern w:val="2"/>
          <w:szCs w:val="20"/>
          <w:highlight w:val="none"/>
        </w:rPr>
        <w:t>本工程预测情景模式见表 5.3-1。</w:t>
      </w:r>
    </w:p>
    <w:p w14:paraId="7025AB14">
      <w:pPr>
        <w:widowControl w:val="0"/>
        <w:spacing w:line="440" w:lineRule="exact"/>
        <w:ind w:firstLine="476" w:firstLineChars="200"/>
        <w:jc w:val="both"/>
        <w:rPr>
          <w:rFonts w:hint="eastAsia" w:ascii="Times New Roman" w:hAnsi="Times New Roman" w:eastAsia="宋体" w:cs="Times New Roman"/>
          <w:b/>
          <w:bCs/>
          <w:color w:val="auto"/>
          <w:w w:val="99"/>
          <w:kern w:val="2"/>
          <w:szCs w:val="20"/>
          <w:highlight w:val="none"/>
        </w:rPr>
      </w:pPr>
      <w:r>
        <w:rPr>
          <w:rFonts w:hint="eastAsia" w:ascii="Times New Roman" w:hAnsi="Times New Roman" w:eastAsia="宋体" w:cs="Times New Roman"/>
          <w:b/>
          <w:bCs/>
          <w:color w:val="auto"/>
          <w:w w:val="99"/>
          <w:kern w:val="2"/>
          <w:szCs w:val="20"/>
          <w:highlight w:val="none"/>
        </w:rPr>
        <w:t>表 5.3-1    地下水预测情景模式一览表</w:t>
      </w:r>
    </w:p>
    <w:tbl>
      <w:tblPr>
        <w:tblStyle w:val="1662"/>
        <w:tblpPr w:leftFromText="180" w:rightFromText="180" w:vertAnchor="text" w:horzAnchor="page" w:tblpXSpec="center" w:tblpY="47"/>
        <w:tblOverlap w:val="never"/>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9"/>
        <w:gridCol w:w="5167"/>
        <w:gridCol w:w="1372"/>
        <w:gridCol w:w="1798"/>
      </w:tblGrid>
      <w:tr w14:paraId="78C5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412" w:type="pct"/>
            <w:vAlign w:val="center"/>
          </w:tcPr>
          <w:p w14:paraId="23FE08D4">
            <w:pPr>
              <w:pStyle w:val="2857"/>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w w:val="99"/>
                <w:kern w:val="2"/>
                <w:sz w:val="21"/>
                <w:szCs w:val="21"/>
                <w:highlight w:val="yellow"/>
                <w:lang w:val="en-US" w:eastAsia="zh-CN" w:bidi="ar-SA"/>
              </w:rPr>
            </w:pPr>
            <w:r>
              <w:rPr>
                <w:rFonts w:hint="default" w:ascii="Times New Roman" w:hAnsi="Times New Roman" w:eastAsia="宋体" w:cs="Times New Roman"/>
                <w:color w:val="auto"/>
                <w:w w:val="99"/>
                <w:kern w:val="2"/>
                <w:sz w:val="21"/>
                <w:szCs w:val="21"/>
                <w:highlight w:val="yellow"/>
                <w:lang w:val="en-US" w:eastAsia="zh-CN" w:bidi="ar-SA"/>
              </w:rPr>
              <w:t>序号</w:t>
            </w:r>
          </w:p>
        </w:tc>
        <w:tc>
          <w:tcPr>
            <w:tcW w:w="2843" w:type="pct"/>
            <w:vAlign w:val="center"/>
          </w:tcPr>
          <w:p w14:paraId="31BB16B9">
            <w:pPr>
              <w:pStyle w:val="2857"/>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w w:val="99"/>
                <w:kern w:val="2"/>
                <w:sz w:val="21"/>
                <w:szCs w:val="21"/>
                <w:highlight w:val="yellow"/>
                <w:lang w:val="en-US" w:eastAsia="zh-CN" w:bidi="ar-SA"/>
              </w:rPr>
            </w:pPr>
            <w:r>
              <w:rPr>
                <w:rFonts w:hint="default" w:ascii="Times New Roman" w:hAnsi="Times New Roman" w:eastAsia="宋体" w:cs="Times New Roman"/>
                <w:color w:val="auto"/>
                <w:w w:val="99"/>
                <w:kern w:val="2"/>
                <w:sz w:val="21"/>
                <w:szCs w:val="21"/>
                <w:highlight w:val="yellow"/>
                <w:lang w:val="en-US" w:eastAsia="zh-CN" w:bidi="ar-SA"/>
              </w:rPr>
              <w:t>泄漏类型</w:t>
            </w:r>
          </w:p>
        </w:tc>
        <w:tc>
          <w:tcPr>
            <w:tcW w:w="755" w:type="pct"/>
            <w:vAlign w:val="center"/>
          </w:tcPr>
          <w:p w14:paraId="565A7A7A">
            <w:pPr>
              <w:pStyle w:val="2857"/>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w w:val="99"/>
                <w:kern w:val="2"/>
                <w:sz w:val="21"/>
                <w:szCs w:val="21"/>
                <w:highlight w:val="yellow"/>
                <w:lang w:val="en-US" w:eastAsia="zh-CN" w:bidi="ar-SA"/>
              </w:rPr>
            </w:pPr>
            <w:r>
              <w:rPr>
                <w:rFonts w:hint="default" w:ascii="Times New Roman" w:hAnsi="Times New Roman" w:eastAsia="宋体" w:cs="Times New Roman"/>
                <w:color w:val="auto"/>
                <w:w w:val="99"/>
                <w:kern w:val="2"/>
                <w:sz w:val="21"/>
                <w:szCs w:val="21"/>
                <w:highlight w:val="yellow"/>
                <w:lang w:val="en-US" w:eastAsia="zh-CN" w:bidi="ar-SA"/>
              </w:rPr>
              <w:t>影响层位</w:t>
            </w:r>
          </w:p>
        </w:tc>
        <w:tc>
          <w:tcPr>
            <w:tcW w:w="989" w:type="pct"/>
            <w:vAlign w:val="center"/>
          </w:tcPr>
          <w:p w14:paraId="1D69249D">
            <w:pPr>
              <w:pStyle w:val="2857"/>
              <w:keepNext w:val="0"/>
              <w:keepLines w:val="0"/>
              <w:pageBreakBefore w:val="0"/>
              <w:widowControl/>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w w:val="99"/>
                <w:kern w:val="2"/>
                <w:sz w:val="21"/>
                <w:szCs w:val="21"/>
                <w:highlight w:val="yellow"/>
                <w:lang w:val="en-US" w:eastAsia="zh-CN" w:bidi="ar-SA"/>
              </w:rPr>
            </w:pPr>
            <w:r>
              <w:rPr>
                <w:rFonts w:hint="default" w:ascii="Times New Roman" w:hAnsi="Times New Roman" w:eastAsia="宋体" w:cs="Times New Roman"/>
                <w:color w:val="auto"/>
                <w:w w:val="99"/>
                <w:kern w:val="2"/>
                <w:sz w:val="21"/>
                <w:szCs w:val="21"/>
                <w:highlight w:val="yellow"/>
                <w:lang w:val="en-US" w:eastAsia="zh-CN" w:bidi="ar-SA"/>
              </w:rPr>
              <w:t>场景选择</w:t>
            </w:r>
          </w:p>
        </w:tc>
      </w:tr>
      <w:tr w14:paraId="341A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412" w:type="pct"/>
            <w:vAlign w:val="center"/>
          </w:tcPr>
          <w:p w14:paraId="35EC33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2"/>
                <w:sz w:val="21"/>
                <w:szCs w:val="21"/>
                <w:highlight w:val="yellow"/>
                <w:lang w:val="en-US" w:eastAsia="zh-CN" w:bidi="ar-SA"/>
              </w:rPr>
            </w:pPr>
            <w:r>
              <w:rPr>
                <w:rFonts w:hint="eastAsia" w:ascii="Times New Roman" w:hAnsi="Times New Roman" w:cs="Times New Roman"/>
                <w:color w:val="auto"/>
                <w:w w:val="99"/>
                <w:kern w:val="2"/>
                <w:sz w:val="21"/>
                <w:szCs w:val="21"/>
                <w:highlight w:val="yellow"/>
                <w:lang w:val="en-US" w:eastAsia="zh-CN" w:bidi="ar-SA"/>
              </w:rPr>
              <w:t>1</w:t>
            </w:r>
          </w:p>
        </w:tc>
        <w:tc>
          <w:tcPr>
            <w:tcW w:w="2843" w:type="pct"/>
            <w:shd w:val="clear" w:color="auto" w:fill="auto"/>
            <w:vAlign w:val="center"/>
          </w:tcPr>
          <w:p w14:paraId="6E83D0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2"/>
                <w:sz w:val="21"/>
                <w:szCs w:val="21"/>
                <w:highlight w:val="yellow"/>
                <w:lang w:val="en-US" w:eastAsia="zh-CN" w:bidi="ar-SA"/>
              </w:rPr>
            </w:pPr>
            <w:r>
              <w:rPr>
                <w:rFonts w:hint="default" w:ascii="Times New Roman" w:hAnsi="Times New Roman" w:eastAsia="宋体" w:cs="Times New Roman"/>
                <w:color w:val="auto"/>
                <w:w w:val="99"/>
                <w:kern w:val="2"/>
                <w:sz w:val="21"/>
                <w:szCs w:val="21"/>
                <w:highlight w:val="yellow"/>
                <w:lang w:val="en-US" w:eastAsia="zh-CN" w:bidi="ar-SA"/>
              </w:rPr>
              <w:t>气井套损事故造成的采出水泄漏</w:t>
            </w:r>
          </w:p>
        </w:tc>
        <w:tc>
          <w:tcPr>
            <w:tcW w:w="755" w:type="pct"/>
            <w:shd w:val="clear" w:color="auto" w:fill="auto"/>
            <w:vAlign w:val="center"/>
          </w:tcPr>
          <w:p w14:paraId="12A089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2"/>
                <w:sz w:val="21"/>
                <w:szCs w:val="21"/>
                <w:highlight w:val="yellow"/>
                <w:lang w:val="en-US" w:eastAsia="zh-CN" w:bidi="ar-SA"/>
              </w:rPr>
            </w:pPr>
            <w:r>
              <w:rPr>
                <w:rFonts w:hint="default" w:ascii="Times New Roman" w:hAnsi="Times New Roman" w:eastAsia="宋体" w:cs="Times New Roman"/>
                <w:color w:val="auto"/>
                <w:w w:val="99"/>
                <w:kern w:val="2"/>
                <w:sz w:val="21"/>
                <w:szCs w:val="21"/>
                <w:highlight w:val="yellow"/>
                <w:lang w:val="en-US" w:eastAsia="zh-CN" w:bidi="ar-SA"/>
              </w:rPr>
              <w:t>承压水</w:t>
            </w:r>
          </w:p>
        </w:tc>
        <w:tc>
          <w:tcPr>
            <w:tcW w:w="989" w:type="pct"/>
            <w:shd w:val="clear" w:color="auto" w:fill="auto"/>
            <w:vAlign w:val="center"/>
          </w:tcPr>
          <w:p w14:paraId="6A96FC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2"/>
                <w:sz w:val="21"/>
                <w:szCs w:val="21"/>
                <w:highlight w:val="yellow"/>
                <w:lang w:val="en-US" w:eastAsia="zh-CN" w:bidi="ar-SA"/>
              </w:rPr>
            </w:pPr>
            <w:r>
              <w:rPr>
                <w:rFonts w:hint="default" w:ascii="Times New Roman" w:hAnsi="Times New Roman" w:eastAsia="宋体" w:cs="Times New Roman"/>
                <w:color w:val="auto"/>
                <w:w w:val="99"/>
                <w:kern w:val="2"/>
                <w:sz w:val="21"/>
                <w:szCs w:val="21"/>
                <w:highlight w:val="yellow"/>
                <w:lang w:val="en-US" w:eastAsia="zh-CN" w:bidi="ar-SA"/>
              </w:rPr>
              <w:t>持续泄漏</w:t>
            </w:r>
          </w:p>
        </w:tc>
      </w:tr>
    </w:tbl>
    <w:p w14:paraId="078A8684">
      <w:pPr>
        <w:spacing w:line="81" w:lineRule="exact"/>
        <w:rPr>
          <w:color w:val="auto"/>
          <w:highlight w:val="none"/>
        </w:rPr>
      </w:pPr>
    </w:p>
    <w:p w14:paraId="34FB94D3">
      <w:pPr>
        <w:widowControl w:val="0"/>
        <w:spacing w:line="440" w:lineRule="exact"/>
        <w:ind w:firstLine="476" w:firstLineChars="200"/>
        <w:jc w:val="both"/>
        <w:rPr>
          <w:rFonts w:ascii="Times New Roman" w:hAnsi="Times New Roman" w:eastAsia="宋体" w:cs="Times New Roman"/>
          <w:b/>
          <w:bCs/>
          <w:color w:val="auto"/>
          <w:w w:val="99"/>
          <w:kern w:val="2"/>
          <w:szCs w:val="20"/>
          <w:highlight w:val="none"/>
        </w:rPr>
      </w:pPr>
      <w:r>
        <w:rPr>
          <w:rFonts w:ascii="Times New Roman" w:hAnsi="Times New Roman" w:eastAsia="宋体" w:cs="Times New Roman"/>
          <w:b/>
          <w:bCs/>
          <w:color w:val="auto"/>
          <w:w w:val="99"/>
          <w:kern w:val="2"/>
          <w:szCs w:val="20"/>
          <w:highlight w:val="none"/>
        </w:rPr>
        <w:t>情景</w:t>
      </w:r>
      <w:r>
        <w:rPr>
          <w:rFonts w:hint="eastAsia" w:ascii="Times New Roman" w:hAnsi="Times New Roman" w:cs="Times New Roman"/>
          <w:b/>
          <w:bCs/>
          <w:color w:val="auto"/>
          <w:w w:val="99"/>
          <w:kern w:val="2"/>
          <w:szCs w:val="20"/>
          <w:highlight w:val="none"/>
          <w:lang w:val="en-US" w:eastAsia="zh-CN"/>
        </w:rPr>
        <w:t>一</w:t>
      </w:r>
      <w:r>
        <w:rPr>
          <w:rFonts w:ascii="Times New Roman" w:hAnsi="Times New Roman" w:eastAsia="宋体" w:cs="Times New Roman"/>
          <w:b/>
          <w:bCs/>
          <w:color w:val="auto"/>
          <w:w w:val="99"/>
          <w:kern w:val="2"/>
          <w:szCs w:val="20"/>
          <w:highlight w:val="none"/>
        </w:rPr>
        <w:t>：气井套损事故造成的采出水泄漏</w:t>
      </w:r>
    </w:p>
    <w:p w14:paraId="0DB3195C">
      <w:pPr>
        <w:widowControl w:val="0"/>
        <w:spacing w:line="440" w:lineRule="exact"/>
        <w:ind w:firstLine="474" w:firstLineChars="200"/>
        <w:jc w:val="both"/>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（1）预测范围</w:t>
      </w:r>
    </w:p>
    <w:p w14:paraId="05D1D488">
      <w:pPr>
        <w:widowControl w:val="0"/>
        <w:spacing w:line="440" w:lineRule="exact"/>
        <w:ind w:firstLine="474" w:firstLineChars="200"/>
        <w:jc w:val="both"/>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预测范围与评价范围一致。</w:t>
      </w:r>
    </w:p>
    <w:p w14:paraId="15190A0B">
      <w:pPr>
        <w:widowControl w:val="0"/>
        <w:spacing w:line="440" w:lineRule="exact"/>
        <w:ind w:firstLine="474" w:firstLineChars="200"/>
        <w:jc w:val="both"/>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（2）预测因子</w:t>
      </w:r>
    </w:p>
    <w:p w14:paraId="6038D8C0">
      <w:pPr>
        <w:widowControl w:val="0"/>
        <w:spacing w:line="440" w:lineRule="exact"/>
        <w:ind w:firstLine="474" w:firstLineChars="200"/>
        <w:jc w:val="both"/>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本次评价选取石油类作为特征因子。</w:t>
      </w:r>
    </w:p>
    <w:p w14:paraId="2DA54F53">
      <w:pPr>
        <w:widowControl w:val="0"/>
        <w:spacing w:line="440" w:lineRule="exact"/>
        <w:ind w:firstLine="474" w:firstLineChars="200"/>
        <w:jc w:val="both"/>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（3）预测时段</w:t>
      </w:r>
    </w:p>
    <w:p w14:paraId="547173E7">
      <w:pPr>
        <w:widowControl w:val="0"/>
        <w:spacing w:line="440" w:lineRule="exact"/>
        <w:ind w:firstLine="474" w:firstLineChars="200"/>
        <w:jc w:val="both"/>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根据《环境影响评价技术导则 地下水环境》（HJ610-2016），地下水环境影响预测时段应选取可能产生地下水污染的关键时段，至少包括污染发生后100d 、1000d ，服务年限或能反映特征因子迁移规律的其他重要的时间节点。结合本工程特点，污染发生后 100d 、1000d 、5</w:t>
      </w:r>
      <w:r>
        <w:rPr>
          <w:rFonts w:hint="eastAsia" w:ascii="Times New Roman" w:hAnsi="Times New Roman" w:eastAsia="宋体" w:cs="Times New Roman"/>
          <w:color w:val="auto"/>
          <w:w w:val="99"/>
          <w:kern w:val="2"/>
          <w:szCs w:val="20"/>
          <w:highlight w:val="none"/>
          <w:lang w:val="en-US" w:eastAsia="zh-CN"/>
        </w:rPr>
        <w:t>475</w:t>
      </w:r>
      <w:r>
        <w:rPr>
          <w:rFonts w:ascii="Times New Roman" w:hAnsi="Times New Roman" w:eastAsia="宋体" w:cs="Times New Roman"/>
          <w:color w:val="auto"/>
          <w:w w:val="99"/>
          <w:kern w:val="2"/>
          <w:szCs w:val="20"/>
          <w:highlight w:val="none"/>
        </w:rPr>
        <w:t>d ，服务年限或能反映特征因子迁移规律的其他重点时间节点，对非正常状况的情景分别进行预测。</w:t>
      </w:r>
    </w:p>
    <w:p w14:paraId="08C89C1D">
      <w:pPr>
        <w:keepNext w:val="0"/>
        <w:keepLines w:val="0"/>
        <w:pageBreakBefore w:val="0"/>
        <w:widowControl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（4）预测源强</w:t>
      </w:r>
    </w:p>
    <w:p w14:paraId="6D93BDB3">
      <w:pPr>
        <w:widowControl w:val="0"/>
        <w:spacing w:line="440" w:lineRule="exact"/>
        <w:ind w:firstLine="474" w:firstLineChars="200"/>
        <w:jc w:val="both"/>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根据开发指标预测表，本工程单口气井产水量最大为</w:t>
      </w:r>
      <w:r>
        <w:rPr>
          <w:rFonts w:hint="eastAsia" w:ascii="Times New Roman" w:hAnsi="Times New Roman" w:cs="Times New Roman"/>
          <w:color w:val="auto"/>
          <w:w w:val="99"/>
          <w:kern w:val="2"/>
          <w:szCs w:val="20"/>
          <w:highlight w:val="none"/>
          <w:lang w:val="en-US" w:eastAsia="zh-CN"/>
        </w:rPr>
        <w:t>3</w:t>
      </w:r>
      <w:r>
        <w:rPr>
          <w:rFonts w:hint="eastAsia" w:ascii="Times New Roman" w:hAnsi="Times New Roman" w:eastAsia="宋体" w:cs="Times New Roman"/>
          <w:color w:val="auto"/>
          <w:w w:val="99"/>
          <w:kern w:val="2"/>
          <w:szCs w:val="20"/>
          <w:highlight w:val="none"/>
          <w:lang w:val="en-US" w:eastAsia="zh-CN"/>
        </w:rPr>
        <w:t>.0</w:t>
      </w:r>
      <w:r>
        <w:rPr>
          <w:rFonts w:ascii="Times New Roman" w:hAnsi="Times New Roman" w:eastAsia="宋体" w:cs="Times New Roman"/>
          <w:color w:val="auto"/>
          <w:w w:val="99"/>
          <w:kern w:val="2"/>
          <w:szCs w:val="20"/>
          <w:highlight w:val="none"/>
        </w:rPr>
        <w:t>m</w:t>
      </w:r>
      <w:r>
        <w:rPr>
          <w:rFonts w:ascii="Times New Roman" w:hAnsi="Times New Roman" w:eastAsia="宋体" w:cs="Times New Roman"/>
          <w:color w:val="auto"/>
          <w:w w:val="99"/>
          <w:kern w:val="2"/>
          <w:szCs w:val="20"/>
          <w:highlight w:val="none"/>
          <w:vertAlign w:val="superscript"/>
        </w:rPr>
        <w:t>3</w:t>
      </w:r>
      <w:r>
        <w:rPr>
          <w:rFonts w:ascii="Times New Roman" w:hAnsi="Times New Roman" w:eastAsia="宋体" w:cs="Times New Roman"/>
          <w:color w:val="auto"/>
          <w:w w:val="99"/>
          <w:kern w:val="2"/>
          <w:szCs w:val="20"/>
          <w:highlight w:val="none"/>
        </w:rPr>
        <w:t xml:space="preserve">/d ，拟建气井套管发生泄漏，根据大庆油田多年统计数据，泄漏源强以单井每天最大产水量计即 </w:t>
      </w:r>
      <w:r>
        <w:rPr>
          <w:rFonts w:hint="eastAsia" w:ascii="Times New Roman" w:hAnsi="Times New Roman" w:cs="Times New Roman"/>
          <w:color w:val="auto"/>
          <w:w w:val="99"/>
          <w:kern w:val="2"/>
          <w:szCs w:val="20"/>
          <w:highlight w:val="none"/>
          <w:lang w:val="en-US" w:eastAsia="zh-CN"/>
        </w:rPr>
        <w:t>3</w:t>
      </w:r>
      <w:r>
        <w:rPr>
          <w:rFonts w:hint="eastAsia" w:ascii="Times New Roman" w:hAnsi="Times New Roman" w:eastAsia="宋体" w:cs="Times New Roman"/>
          <w:color w:val="auto"/>
          <w:w w:val="99"/>
          <w:kern w:val="2"/>
          <w:szCs w:val="20"/>
          <w:highlight w:val="none"/>
          <w:lang w:val="en-US" w:eastAsia="zh-CN"/>
        </w:rPr>
        <w:t>.0</w:t>
      </w:r>
      <w:r>
        <w:rPr>
          <w:rFonts w:ascii="Times New Roman" w:hAnsi="Times New Roman" w:eastAsia="宋体" w:cs="Times New Roman"/>
          <w:color w:val="auto"/>
          <w:w w:val="99"/>
          <w:kern w:val="2"/>
          <w:szCs w:val="20"/>
          <w:highlight w:val="none"/>
        </w:rPr>
        <w:t>m</w:t>
      </w:r>
      <w:r>
        <w:rPr>
          <w:rFonts w:ascii="Times New Roman" w:hAnsi="Times New Roman" w:eastAsia="宋体" w:cs="Times New Roman"/>
          <w:color w:val="auto"/>
          <w:w w:val="99"/>
          <w:kern w:val="2"/>
          <w:szCs w:val="20"/>
          <w:highlight w:val="none"/>
          <w:vertAlign w:val="superscript"/>
        </w:rPr>
        <w:t>3</w:t>
      </w:r>
      <w:r>
        <w:rPr>
          <w:rFonts w:ascii="Times New Roman" w:hAnsi="Times New Roman" w:eastAsia="宋体" w:cs="Times New Roman"/>
          <w:color w:val="auto"/>
          <w:w w:val="99"/>
          <w:kern w:val="2"/>
          <w:szCs w:val="20"/>
          <w:highlight w:val="none"/>
        </w:rPr>
        <w:t>/d 。由于套管破损不易被发现，所以按持续泄漏预测，</w:t>
      </w:r>
      <w:r>
        <w:rPr>
          <w:rFonts w:hint="eastAsia" w:ascii="Times New Roman" w:hAnsi="Times New Roman" w:eastAsia="宋体" w:cs="Times New Roman"/>
          <w:color w:val="auto"/>
          <w:w w:val="99"/>
          <w:kern w:val="2"/>
          <w:szCs w:val="20"/>
          <w:highlight w:val="none"/>
          <w:lang w:val="en-US" w:eastAsia="zh-CN"/>
        </w:rPr>
        <w:t>进入地下水</w:t>
      </w:r>
      <w:r>
        <w:rPr>
          <w:rFonts w:ascii="Times New Roman" w:hAnsi="Times New Roman" w:eastAsia="宋体" w:cs="Times New Roman"/>
          <w:color w:val="auto"/>
          <w:w w:val="99"/>
          <w:kern w:val="2"/>
          <w:szCs w:val="20"/>
          <w:highlight w:val="none"/>
        </w:rPr>
        <w:t>石油类浓度</w:t>
      </w:r>
      <w:r>
        <w:rPr>
          <w:rFonts w:hint="eastAsia" w:ascii="Times New Roman" w:hAnsi="Times New Roman" w:eastAsia="宋体" w:cs="Times New Roman"/>
          <w:color w:val="auto"/>
          <w:w w:val="99"/>
          <w:kern w:val="2"/>
          <w:szCs w:val="20"/>
          <w:highlight w:val="none"/>
          <w:lang w:val="en-US" w:eastAsia="zh-CN"/>
        </w:rPr>
        <w:t>按照</w:t>
      </w:r>
      <w:r>
        <w:rPr>
          <w:rFonts w:ascii="Times New Roman" w:hAnsi="Times New Roman" w:eastAsia="宋体" w:cs="Times New Roman"/>
          <w:color w:val="auto"/>
          <w:w w:val="99"/>
          <w:kern w:val="2"/>
          <w:szCs w:val="20"/>
          <w:highlight w:val="none"/>
        </w:rPr>
        <w:t>300mg/L</w:t>
      </w:r>
      <w:r>
        <w:rPr>
          <w:rFonts w:hint="eastAsia" w:ascii="Times New Roman" w:hAnsi="Times New Roman" w:eastAsia="宋体" w:cs="Times New Roman"/>
          <w:color w:val="auto"/>
          <w:w w:val="99"/>
          <w:kern w:val="2"/>
          <w:szCs w:val="20"/>
          <w:highlight w:val="none"/>
          <w:lang w:val="en-US" w:eastAsia="zh-CN"/>
        </w:rPr>
        <w:t>计算</w:t>
      </w:r>
      <w:r>
        <w:rPr>
          <w:rFonts w:ascii="Times New Roman" w:hAnsi="Times New Roman" w:eastAsia="宋体" w:cs="Times New Roman"/>
          <w:color w:val="auto"/>
          <w:w w:val="99"/>
          <w:kern w:val="2"/>
          <w:szCs w:val="20"/>
          <w:highlight w:val="none"/>
        </w:rPr>
        <w:t>，</w:t>
      </w:r>
      <w:r>
        <w:rPr>
          <w:rFonts w:hint="eastAsia" w:ascii="Times New Roman" w:hAnsi="Times New Roman" w:eastAsia="宋体" w:cs="Times New Roman"/>
          <w:color w:val="auto"/>
          <w:w w:val="99"/>
          <w:kern w:val="2"/>
          <w:szCs w:val="20"/>
          <w:highlight w:val="none"/>
          <w:lang w:val="en-US" w:eastAsia="zh-CN"/>
        </w:rPr>
        <w:t>则进入地下水</w:t>
      </w:r>
      <w:r>
        <w:rPr>
          <w:rFonts w:ascii="Times New Roman" w:hAnsi="Times New Roman" w:eastAsia="宋体" w:cs="Times New Roman"/>
          <w:color w:val="auto"/>
          <w:w w:val="99"/>
          <w:kern w:val="2"/>
          <w:szCs w:val="20"/>
          <w:highlight w:val="none"/>
        </w:rPr>
        <w:t>石油类</w:t>
      </w:r>
      <w:r>
        <w:rPr>
          <w:rFonts w:hint="eastAsia" w:ascii="Times New Roman" w:hAnsi="Times New Roman" w:eastAsia="宋体" w:cs="Times New Roman"/>
          <w:color w:val="auto"/>
          <w:w w:val="99"/>
          <w:kern w:val="2"/>
          <w:szCs w:val="20"/>
          <w:highlight w:val="none"/>
          <w:lang w:val="en-US" w:eastAsia="zh-CN"/>
        </w:rPr>
        <w:t>量为</w:t>
      </w:r>
      <w:r>
        <w:rPr>
          <w:rFonts w:hint="eastAsia" w:ascii="Times New Roman" w:hAnsi="Times New Roman" w:cs="Times New Roman"/>
          <w:color w:val="auto"/>
          <w:w w:val="99"/>
          <w:kern w:val="2"/>
          <w:szCs w:val="20"/>
          <w:highlight w:val="none"/>
          <w:lang w:val="en-US" w:eastAsia="zh-CN"/>
        </w:rPr>
        <w:t>0.9</w:t>
      </w:r>
      <w:r>
        <w:rPr>
          <w:rFonts w:ascii="Times New Roman" w:hAnsi="Times New Roman" w:eastAsia="宋体" w:cs="Times New Roman"/>
          <w:color w:val="auto"/>
          <w:w w:val="99"/>
          <w:kern w:val="2"/>
          <w:szCs w:val="20"/>
          <w:highlight w:val="none"/>
        </w:rPr>
        <w:t>kg/d。</w:t>
      </w:r>
    </w:p>
    <w:p w14:paraId="4922C8A5">
      <w:pPr>
        <w:keepNext w:val="0"/>
        <w:keepLines w:val="0"/>
        <w:pageBreakBefore w:val="0"/>
        <w:widowControl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（5）预测模型</w:t>
      </w:r>
    </w:p>
    <w:p w14:paraId="18847843">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根据《环境影响评价技术导则 地下水环境》（HJ610-2016）中预测方法可知，建设项目地下水环境影响预测方法包括数学模型法和类比分析法，其中，数学模型法包括数值法、解析法等方法，结合项目区域内地下水水文地质资料、含水层基本参数可知，本工程符合使用解析模型预测污染物在含水层中的扩散条件，因此本工程选用地下水溶质运移解析法模型进行预测，用解析解对照数值解法进行检验和比较，并用解析法拟合观测资料以求得水动力弥散系数。</w:t>
      </w:r>
    </w:p>
    <w:p w14:paraId="316FACEF">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根据《环境影响评价技术导则 地下水环境》（HJ610-2016）中 9.7 节预测方法，采用推荐的地下水溶质运移解析法中的一维稳定流动二维弥散点源模型连续注入示踪剂—平面连续点源进行预测。具体如下：</w:t>
      </w:r>
    </w:p>
    <w:p w14:paraId="62E6BB8F">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连续注入示踪剂——平面连续点源</w:t>
      </w:r>
    </w:p>
    <w:p w14:paraId="7F0BAFC8">
      <w:pPr>
        <w:spacing w:line="311" w:lineRule="auto"/>
        <w:rPr>
          <w:rFonts w:ascii="Arial"/>
          <w:color w:val="auto"/>
          <w:sz w:val="21"/>
          <w:highlight w:val="none"/>
        </w:rPr>
      </w:pPr>
    </w:p>
    <w:p w14:paraId="3F38BBB8">
      <w:pPr>
        <w:spacing w:line="648" w:lineRule="exact"/>
        <w:ind w:left="1800"/>
        <w:rPr>
          <w:color w:val="auto"/>
          <w:highlight w:val="none"/>
        </w:rPr>
      </w:pPr>
      <w:r>
        <w:rPr>
          <w:color w:val="auto"/>
          <w:position w:val="-13"/>
          <w:highlight w:val="none"/>
        </w:rPr>
        <w:drawing>
          <wp:inline distT="0" distB="0" distL="0" distR="0">
            <wp:extent cx="3291840" cy="411480"/>
            <wp:effectExtent l="0" t="0" r="3810" b="7620"/>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66"/>
                    <a:stretch>
                      <a:fillRect/>
                    </a:stretch>
                  </pic:blipFill>
                  <pic:spPr>
                    <a:xfrm>
                      <a:off x="0" y="0"/>
                      <a:ext cx="3291840" cy="411480"/>
                    </a:xfrm>
                    <a:prstGeom prst="rect">
                      <a:avLst/>
                    </a:prstGeom>
                  </pic:spPr>
                </pic:pic>
              </a:graphicData>
            </a:graphic>
          </wp:inline>
        </w:drawing>
      </w:r>
    </w:p>
    <w:p w14:paraId="6815D44A">
      <w:pPr>
        <w:spacing w:line="400" w:lineRule="auto"/>
        <w:rPr>
          <w:rFonts w:ascii="Arial"/>
          <w:color w:val="auto"/>
          <w:sz w:val="21"/>
          <w:highlight w:val="none"/>
        </w:rPr>
      </w:pPr>
    </w:p>
    <w:p w14:paraId="2FE09F61">
      <w:pPr>
        <w:spacing w:before="1" w:line="763" w:lineRule="exact"/>
        <w:ind w:left="3369"/>
        <w:rPr>
          <w:color w:val="auto"/>
          <w:highlight w:val="none"/>
        </w:rPr>
      </w:pPr>
      <w:r>
        <w:rPr>
          <w:color w:val="auto"/>
          <w:position w:val="-15"/>
          <w:highlight w:val="none"/>
        </w:rPr>
        <w:drawing>
          <wp:inline distT="0" distB="0" distL="0" distR="0">
            <wp:extent cx="1311910" cy="484505"/>
            <wp:effectExtent l="0" t="0" r="2540" b="10795"/>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67"/>
                    <a:stretch>
                      <a:fillRect/>
                    </a:stretch>
                  </pic:blipFill>
                  <pic:spPr>
                    <a:xfrm>
                      <a:off x="0" y="0"/>
                      <a:ext cx="1312163" cy="484632"/>
                    </a:xfrm>
                    <a:prstGeom prst="rect">
                      <a:avLst/>
                    </a:prstGeom>
                  </pic:spPr>
                </pic:pic>
              </a:graphicData>
            </a:graphic>
          </wp:inline>
        </w:drawing>
      </w:r>
    </w:p>
    <w:p w14:paraId="20921ED8">
      <w:pPr>
        <w:spacing w:line="14" w:lineRule="exact"/>
        <w:ind w:left="3887"/>
        <w:rPr>
          <w:color w:val="auto"/>
          <w:highlight w:val="none"/>
        </w:rPr>
      </w:pPr>
      <w:r>
        <w:rPr>
          <w:color w:val="auto"/>
          <w:highlight w:val="none"/>
        </w:rPr>
        <w:drawing>
          <wp:inline distT="0" distB="0" distL="0" distR="0">
            <wp:extent cx="36195" cy="8890"/>
            <wp:effectExtent l="0" t="0" r="0" b="0"/>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68"/>
                    <a:stretch>
                      <a:fillRect/>
                    </a:stretch>
                  </pic:blipFill>
                  <pic:spPr>
                    <a:xfrm>
                      <a:off x="0" y="0"/>
                      <a:ext cx="36576" cy="9144"/>
                    </a:xfrm>
                    <a:prstGeom prst="rect">
                      <a:avLst/>
                    </a:prstGeom>
                  </pic:spPr>
                </pic:pic>
              </a:graphicData>
            </a:graphic>
          </wp:inline>
        </w:drawing>
      </w:r>
    </w:p>
    <w:p w14:paraId="12DAA08C">
      <w:pPr>
        <w:spacing w:line="12" w:lineRule="exact"/>
        <w:ind w:left="3902"/>
        <w:rPr>
          <w:color w:val="auto"/>
          <w:highlight w:val="none"/>
        </w:rPr>
      </w:pPr>
      <w:r>
        <w:rPr>
          <w:color w:val="auto"/>
          <w:highlight w:val="none"/>
        </w:rPr>
        <w:drawing>
          <wp:inline distT="0" distB="0" distL="0" distR="0">
            <wp:extent cx="27305" cy="6985"/>
            <wp:effectExtent l="0" t="0" r="0" b="0"/>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69"/>
                    <a:stretch>
                      <a:fillRect/>
                    </a:stretch>
                  </pic:blipFill>
                  <pic:spPr>
                    <a:xfrm>
                      <a:off x="0" y="0"/>
                      <a:ext cx="27432" cy="7619"/>
                    </a:xfrm>
                    <a:prstGeom prst="rect">
                      <a:avLst/>
                    </a:prstGeom>
                  </pic:spPr>
                </pic:pic>
              </a:graphicData>
            </a:graphic>
          </wp:inline>
        </w:drawing>
      </w:r>
    </w:p>
    <w:p w14:paraId="6FF64FD4">
      <w:pPr>
        <w:spacing w:line="326" w:lineRule="auto"/>
        <w:rPr>
          <w:rFonts w:ascii="Arial"/>
          <w:color w:val="auto"/>
          <w:sz w:val="21"/>
          <w:highlight w:val="none"/>
        </w:rPr>
      </w:pPr>
    </w:p>
    <w:p w14:paraId="06316F5C">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式中：x，y——计算点处的位置坐标；</w:t>
      </w:r>
    </w:p>
    <w:p w14:paraId="13CF9E29">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t——时间，100d 、1000d 、5</w:t>
      </w:r>
      <w:r>
        <w:rPr>
          <w:rFonts w:hint="eastAsia" w:ascii="Times New Roman" w:hAnsi="Times New Roman" w:cs="Times New Roman"/>
          <w:color w:val="auto"/>
          <w:w w:val="99"/>
          <w:kern w:val="2"/>
          <w:szCs w:val="20"/>
          <w:highlight w:val="none"/>
          <w:lang w:val="en-US" w:eastAsia="zh-CN"/>
        </w:rPr>
        <w:t>475</w:t>
      </w:r>
      <w:r>
        <w:rPr>
          <w:rFonts w:ascii="Times New Roman" w:hAnsi="Times New Roman" w:eastAsia="宋体" w:cs="Times New Roman"/>
          <w:color w:val="auto"/>
          <w:w w:val="99"/>
          <w:kern w:val="2"/>
          <w:szCs w:val="20"/>
          <w:highlight w:val="none"/>
        </w:rPr>
        <w:t>d；</w:t>
      </w:r>
    </w:p>
    <w:p w14:paraId="224897AD">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C（x，y ，t）——t 时刻 x ，y 处的示踪剂浓度，g/L；</w:t>
      </w:r>
    </w:p>
    <w:p w14:paraId="79C1FE16">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M——含水层的厚度；</w:t>
      </w:r>
    </w:p>
    <w:p w14:paraId="79231367">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mt——单位时间注入的示踪剂质量，kg/d；</w:t>
      </w:r>
    </w:p>
    <w:p w14:paraId="781701B8">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u——水流速度；</w:t>
      </w:r>
    </w:p>
    <w:p w14:paraId="6FD4F4BD">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ne——有效孔隙度；</w:t>
      </w:r>
    </w:p>
    <w:p w14:paraId="5FD5EFE4">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DL——纵向弥散系数，m</w:t>
      </w:r>
      <w:r>
        <w:rPr>
          <w:rFonts w:ascii="Times New Roman" w:hAnsi="Times New Roman" w:eastAsia="宋体" w:cs="Times New Roman"/>
          <w:color w:val="auto"/>
          <w:w w:val="99"/>
          <w:kern w:val="2"/>
          <w:szCs w:val="20"/>
          <w:highlight w:val="none"/>
          <w:vertAlign w:val="superscript"/>
        </w:rPr>
        <w:t>2</w:t>
      </w:r>
      <w:r>
        <w:rPr>
          <w:rFonts w:ascii="Times New Roman" w:hAnsi="Times New Roman" w:eastAsia="宋体" w:cs="Times New Roman"/>
          <w:color w:val="auto"/>
          <w:w w:val="99"/>
          <w:kern w:val="2"/>
          <w:szCs w:val="20"/>
          <w:highlight w:val="none"/>
        </w:rPr>
        <w:t>/d；</w:t>
      </w:r>
    </w:p>
    <w:p w14:paraId="07F29519">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DT——纵向 y 方向的弥散系数，m</w:t>
      </w:r>
      <w:r>
        <w:rPr>
          <w:rFonts w:ascii="Times New Roman" w:hAnsi="Times New Roman" w:eastAsia="宋体" w:cs="Times New Roman"/>
          <w:color w:val="auto"/>
          <w:w w:val="99"/>
          <w:kern w:val="2"/>
          <w:szCs w:val="20"/>
          <w:highlight w:val="none"/>
          <w:vertAlign w:val="superscript"/>
        </w:rPr>
        <w:t>2</w:t>
      </w:r>
      <w:r>
        <w:rPr>
          <w:rFonts w:ascii="Times New Roman" w:hAnsi="Times New Roman" w:eastAsia="宋体" w:cs="Times New Roman"/>
          <w:color w:val="auto"/>
          <w:w w:val="99"/>
          <w:kern w:val="2"/>
          <w:szCs w:val="20"/>
          <w:highlight w:val="none"/>
        </w:rPr>
        <w:t>/d；</w:t>
      </w:r>
    </w:p>
    <w:p w14:paraId="6C032BED">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π——圆周率；</w:t>
      </w:r>
    </w:p>
    <w:p w14:paraId="40DF63B2">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K0   (β) ——第二类零阶修正贝塞尔函数；</w:t>
      </w:r>
    </w:p>
    <w:p w14:paraId="671981B8">
      <w:pPr>
        <w:keepNext w:val="0"/>
        <w:keepLines w:val="0"/>
        <w:pageBreakBefore w:val="0"/>
        <w:kinsoku/>
        <w:wordWrap/>
        <w:overflowPunct/>
        <w:topLinePunct w:val="0"/>
        <w:autoSpaceDE/>
        <w:autoSpaceDN/>
        <w:bidi w:val="0"/>
        <w:adjustRightInd/>
        <w:snapToGrid/>
        <w:spacing w:line="240" w:lineRule="auto"/>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drawing>
          <wp:inline distT="0" distB="0" distL="0" distR="0">
            <wp:extent cx="803910" cy="272415"/>
            <wp:effectExtent l="0" t="0" r="15240" b="13335"/>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70"/>
                    <a:stretch>
                      <a:fillRect/>
                    </a:stretch>
                  </pic:blipFill>
                  <pic:spPr>
                    <a:xfrm>
                      <a:off x="0" y="0"/>
                      <a:ext cx="804519" cy="272796"/>
                    </a:xfrm>
                    <a:prstGeom prst="rect">
                      <a:avLst/>
                    </a:prstGeom>
                  </pic:spPr>
                </pic:pic>
              </a:graphicData>
            </a:graphic>
          </wp:inline>
        </w:drawing>
      </w:r>
      <w:r>
        <w:rPr>
          <w:rFonts w:ascii="Times New Roman" w:hAnsi="Times New Roman" w:eastAsia="宋体" w:cs="Times New Roman"/>
          <w:color w:val="auto"/>
          <w:w w:val="99"/>
          <w:kern w:val="2"/>
          <w:szCs w:val="20"/>
          <w:highlight w:val="none"/>
        </w:rPr>
        <w:t>第一类越流系统井函数。</w:t>
      </w:r>
    </w:p>
    <w:p w14:paraId="7C73667C">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（6）预测参数</w:t>
      </w:r>
    </w:p>
    <w:p w14:paraId="61140476">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 xml:space="preserve">白垩系明水组承压水含水层的有效影响厚度 M：根据水文地质资料，明水组含水层层数较多，单层最小厚度为 </w:t>
      </w:r>
      <w:r>
        <w:rPr>
          <w:rFonts w:hint="eastAsia" w:ascii="Times New Roman" w:hAnsi="Times New Roman" w:cs="Times New Roman"/>
          <w:color w:val="auto"/>
          <w:w w:val="99"/>
          <w:kern w:val="2"/>
          <w:szCs w:val="20"/>
          <w:highlight w:val="none"/>
          <w:lang w:val="en-US" w:eastAsia="zh-CN"/>
        </w:rPr>
        <w:t>3.0</w:t>
      </w:r>
      <w:r>
        <w:rPr>
          <w:rFonts w:ascii="Times New Roman" w:hAnsi="Times New Roman" w:eastAsia="宋体" w:cs="Times New Roman"/>
          <w:color w:val="auto"/>
          <w:w w:val="99"/>
          <w:kern w:val="2"/>
          <w:szCs w:val="20"/>
          <w:highlight w:val="none"/>
        </w:rPr>
        <w:t xml:space="preserve">m ，本次考虑最不利的情况，含水层厚度取 </w:t>
      </w:r>
      <w:r>
        <w:rPr>
          <w:rFonts w:hint="eastAsia" w:ascii="Times New Roman" w:hAnsi="Times New Roman" w:cs="Times New Roman"/>
          <w:color w:val="auto"/>
          <w:w w:val="99"/>
          <w:kern w:val="2"/>
          <w:szCs w:val="20"/>
          <w:highlight w:val="none"/>
          <w:lang w:val="en-US" w:eastAsia="zh-CN"/>
        </w:rPr>
        <w:t>3.0</w:t>
      </w:r>
      <w:r>
        <w:rPr>
          <w:rFonts w:ascii="Times New Roman" w:hAnsi="Times New Roman" w:eastAsia="宋体" w:cs="Times New Roman"/>
          <w:color w:val="auto"/>
          <w:w w:val="99"/>
          <w:kern w:val="2"/>
          <w:szCs w:val="20"/>
          <w:highlight w:val="none"/>
        </w:rPr>
        <w:t>m。</w:t>
      </w:r>
    </w:p>
    <w:p w14:paraId="1D77F859">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水流速度 u：根据达西定律 u=渗透系数×地下水水力坡度/有效孔隙度，由区域水文地质资料可知，项目明水组岩性主要是含中粗砂岩或含砾砂岩组成，根据《大庆市水文地质勘察报告》（石油管理局），参照《环境影响评价技术导则 地下水》（HJ610-2016）附录 B  水文地质参数经验值表，承压水含水层取K=</w:t>
      </w:r>
      <w:r>
        <w:rPr>
          <w:rFonts w:hint="eastAsia" w:ascii="Times New Roman" w:hAnsi="Times New Roman" w:cs="Times New Roman"/>
          <w:color w:val="auto"/>
          <w:w w:val="99"/>
          <w:kern w:val="2"/>
          <w:szCs w:val="20"/>
          <w:highlight w:val="none"/>
          <w:lang w:val="en-US" w:eastAsia="zh-CN"/>
        </w:rPr>
        <w:t>50.0</w:t>
      </w:r>
      <w:r>
        <w:rPr>
          <w:rFonts w:ascii="Times New Roman" w:hAnsi="Times New Roman" w:eastAsia="宋体" w:cs="Times New Roman"/>
          <w:color w:val="auto"/>
          <w:w w:val="99"/>
          <w:kern w:val="2"/>
          <w:szCs w:val="20"/>
          <w:highlight w:val="none"/>
        </w:rPr>
        <w:t>m/d ，根据区域等水位线与距离确定，承压水水力坡度 I=0.0007 ，明水组承压含水层岩性为中粗砂岩或含砾砂岩，有效孔隙度取经验值 ne（承压水）=</w:t>
      </w:r>
      <w:r>
        <w:rPr>
          <w:rFonts w:hint="eastAsia" w:ascii="Times New Roman" w:hAnsi="Times New Roman" w:cs="Times New Roman"/>
          <w:color w:val="auto"/>
          <w:w w:val="99"/>
          <w:kern w:val="2"/>
          <w:szCs w:val="20"/>
          <w:highlight w:val="none"/>
          <w:lang w:val="en-US" w:eastAsia="zh-CN"/>
        </w:rPr>
        <w:t>0.30</w:t>
      </w:r>
      <w:r>
        <w:rPr>
          <w:rFonts w:ascii="Times New Roman" w:hAnsi="Times New Roman" w:eastAsia="宋体" w:cs="Times New Roman"/>
          <w:color w:val="auto"/>
          <w:w w:val="99"/>
          <w:kern w:val="2"/>
          <w:szCs w:val="20"/>
          <w:highlight w:val="none"/>
        </w:rPr>
        <w:t xml:space="preserve"> ，则水流速度为0.</w:t>
      </w:r>
      <w:r>
        <w:rPr>
          <w:rFonts w:hint="eastAsia" w:ascii="Times New Roman" w:hAnsi="Times New Roman" w:cs="Times New Roman"/>
          <w:color w:val="auto"/>
          <w:w w:val="99"/>
          <w:kern w:val="2"/>
          <w:szCs w:val="20"/>
          <w:highlight w:val="none"/>
          <w:lang w:val="en-US" w:eastAsia="zh-CN"/>
        </w:rPr>
        <w:t>12</w:t>
      </w:r>
      <w:r>
        <w:rPr>
          <w:rFonts w:ascii="Times New Roman" w:hAnsi="Times New Roman" w:eastAsia="宋体" w:cs="Times New Roman"/>
          <w:color w:val="auto"/>
          <w:w w:val="99"/>
          <w:kern w:val="2"/>
          <w:szCs w:val="20"/>
          <w:highlight w:val="none"/>
        </w:rPr>
        <w:t>m/d。</w:t>
      </w:r>
    </w:p>
    <w:p w14:paraId="1FA04F9C">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纵向弥散系数 DL：含水层岩性主要为中粗砂岩或含砾砂岩，主要粒径变化范围 0.5~1.0mm ，结合 国内外经验系数，中粗砂岩纵向弥散系数取值0.2~1m</w:t>
      </w:r>
      <w:r>
        <w:rPr>
          <w:rFonts w:ascii="Times New Roman" w:hAnsi="Times New Roman" w:eastAsia="宋体" w:cs="Times New Roman"/>
          <w:color w:val="auto"/>
          <w:w w:val="99"/>
          <w:kern w:val="2"/>
          <w:szCs w:val="20"/>
          <w:highlight w:val="none"/>
          <w:vertAlign w:val="superscript"/>
        </w:rPr>
        <w:t>2</w:t>
      </w:r>
      <w:r>
        <w:rPr>
          <w:rFonts w:ascii="Times New Roman" w:hAnsi="Times New Roman" w:eastAsia="宋体" w:cs="Times New Roman"/>
          <w:color w:val="auto"/>
          <w:w w:val="99"/>
          <w:kern w:val="2"/>
          <w:szCs w:val="20"/>
          <w:highlight w:val="none"/>
        </w:rPr>
        <w:t>/d ，根据预测规律 D</w:t>
      </w:r>
      <w:r>
        <w:rPr>
          <w:rFonts w:ascii="Times New Roman" w:hAnsi="Times New Roman" w:eastAsia="宋体" w:cs="Times New Roman"/>
          <w:color w:val="auto"/>
          <w:w w:val="99"/>
          <w:kern w:val="2"/>
          <w:szCs w:val="20"/>
          <w:highlight w:val="none"/>
          <w:vertAlign w:val="subscript"/>
        </w:rPr>
        <w:t>L</w:t>
      </w:r>
      <w:r>
        <w:rPr>
          <w:rFonts w:ascii="Times New Roman" w:hAnsi="Times New Roman" w:eastAsia="宋体" w:cs="Times New Roman"/>
          <w:color w:val="auto"/>
          <w:w w:val="99"/>
          <w:kern w:val="2"/>
          <w:szCs w:val="20"/>
          <w:highlight w:val="none"/>
        </w:rPr>
        <w:t xml:space="preserve"> 取值越大，相同预测时间节点，污染物运移距离越远，本次预测纵向弥散系数 D</w:t>
      </w:r>
      <w:r>
        <w:rPr>
          <w:rFonts w:ascii="Times New Roman" w:hAnsi="Times New Roman" w:eastAsia="宋体" w:cs="Times New Roman"/>
          <w:color w:val="auto"/>
          <w:w w:val="99"/>
          <w:kern w:val="2"/>
          <w:szCs w:val="20"/>
          <w:highlight w:val="none"/>
          <w:vertAlign w:val="subscript"/>
        </w:rPr>
        <w:t>L</w:t>
      </w:r>
      <w:r>
        <w:rPr>
          <w:rFonts w:ascii="Times New Roman" w:hAnsi="Times New Roman" w:eastAsia="宋体" w:cs="Times New Roman"/>
          <w:color w:val="auto"/>
          <w:w w:val="99"/>
          <w:kern w:val="2"/>
          <w:szCs w:val="20"/>
          <w:highlight w:val="none"/>
        </w:rPr>
        <w:t>取最大值 1m</w:t>
      </w:r>
      <w:r>
        <w:rPr>
          <w:rFonts w:ascii="Times New Roman" w:hAnsi="Times New Roman" w:eastAsia="宋体" w:cs="Times New Roman"/>
          <w:color w:val="auto"/>
          <w:w w:val="99"/>
          <w:kern w:val="2"/>
          <w:szCs w:val="20"/>
          <w:highlight w:val="none"/>
          <w:vertAlign w:val="superscript"/>
        </w:rPr>
        <w:t>2</w:t>
      </w:r>
      <w:r>
        <w:rPr>
          <w:rFonts w:ascii="Times New Roman" w:hAnsi="Times New Roman" w:eastAsia="宋体" w:cs="Times New Roman"/>
          <w:color w:val="auto"/>
          <w:w w:val="99"/>
          <w:kern w:val="2"/>
          <w:szCs w:val="20"/>
          <w:highlight w:val="none"/>
        </w:rPr>
        <w:t>/d ，横向弥散系数D</w:t>
      </w:r>
      <w:r>
        <w:rPr>
          <w:rFonts w:ascii="Times New Roman" w:hAnsi="Times New Roman" w:eastAsia="宋体" w:cs="Times New Roman"/>
          <w:color w:val="auto"/>
          <w:w w:val="99"/>
          <w:kern w:val="2"/>
          <w:szCs w:val="20"/>
          <w:highlight w:val="none"/>
          <w:vertAlign w:val="subscript"/>
        </w:rPr>
        <w:t>T</w:t>
      </w:r>
      <w:r>
        <w:rPr>
          <w:rFonts w:ascii="Times New Roman" w:hAnsi="Times New Roman" w:eastAsia="宋体" w:cs="Times New Roman"/>
          <w:color w:val="auto"/>
          <w:w w:val="99"/>
          <w:kern w:val="2"/>
          <w:szCs w:val="20"/>
          <w:highlight w:val="none"/>
        </w:rPr>
        <w:t xml:space="preserve"> = 0.1DL=0.1m</w:t>
      </w:r>
      <w:r>
        <w:rPr>
          <w:rFonts w:ascii="Times New Roman" w:hAnsi="Times New Roman" w:eastAsia="宋体" w:cs="Times New Roman"/>
          <w:color w:val="auto"/>
          <w:w w:val="99"/>
          <w:kern w:val="2"/>
          <w:szCs w:val="20"/>
          <w:highlight w:val="none"/>
          <w:vertAlign w:val="superscript"/>
        </w:rPr>
        <w:t>2</w:t>
      </w:r>
      <w:r>
        <w:rPr>
          <w:rFonts w:ascii="Times New Roman" w:hAnsi="Times New Roman" w:eastAsia="宋体" w:cs="Times New Roman"/>
          <w:color w:val="auto"/>
          <w:w w:val="99"/>
          <w:kern w:val="2"/>
          <w:szCs w:val="20"/>
          <w:highlight w:val="none"/>
        </w:rPr>
        <w:t>/d。</w:t>
      </w:r>
    </w:p>
    <w:p w14:paraId="35E47233">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石油类执行标准为《地表水环境质量标准》（GB3838-2002）II 类标准：石油类≤0.05mg/L。</w:t>
      </w:r>
    </w:p>
    <w:p w14:paraId="523DFAC0">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假设化学反应常数为 0 。各项参数的选取结果见表 5.3-</w:t>
      </w:r>
      <w:r>
        <w:rPr>
          <w:rFonts w:hint="eastAsia" w:ascii="Times New Roman" w:hAnsi="Times New Roman" w:cs="Times New Roman"/>
          <w:color w:val="auto"/>
          <w:w w:val="99"/>
          <w:kern w:val="2"/>
          <w:szCs w:val="20"/>
          <w:highlight w:val="none"/>
          <w:lang w:val="en-US" w:eastAsia="zh-CN"/>
        </w:rPr>
        <w:t>4</w:t>
      </w:r>
      <w:r>
        <w:rPr>
          <w:rFonts w:ascii="Times New Roman" w:hAnsi="Times New Roman" w:eastAsia="宋体" w:cs="Times New Roman"/>
          <w:color w:val="auto"/>
          <w:w w:val="99"/>
          <w:kern w:val="2"/>
          <w:szCs w:val="20"/>
          <w:highlight w:val="none"/>
        </w:rPr>
        <w:t>。</w:t>
      </w:r>
    </w:p>
    <w:p w14:paraId="48C609A1">
      <w:pPr>
        <w:keepNext w:val="0"/>
        <w:keepLines w:val="0"/>
        <w:pageBreakBefore w:val="0"/>
        <w:kinsoku/>
        <w:wordWrap/>
        <w:overflowPunct/>
        <w:topLinePunct w:val="0"/>
        <w:autoSpaceDE/>
        <w:autoSpaceDN/>
        <w:bidi w:val="0"/>
        <w:adjustRightInd/>
        <w:snapToGrid/>
        <w:spacing w:line="440" w:lineRule="exact"/>
        <w:ind w:left="0" w:right="0" w:firstLine="476" w:firstLineChars="200"/>
        <w:jc w:val="both"/>
        <w:textAlignment w:val="auto"/>
        <w:rPr>
          <w:rFonts w:ascii="Times New Roman" w:hAnsi="Times New Roman" w:eastAsia="宋体" w:cs="Times New Roman"/>
          <w:b/>
          <w:bCs/>
          <w:color w:val="auto"/>
          <w:w w:val="99"/>
          <w:kern w:val="2"/>
          <w:szCs w:val="20"/>
          <w:highlight w:val="none"/>
        </w:rPr>
      </w:pPr>
      <w:r>
        <w:rPr>
          <w:rFonts w:ascii="Times New Roman" w:hAnsi="Times New Roman" w:eastAsia="宋体" w:cs="Times New Roman"/>
          <w:b/>
          <w:bCs/>
          <w:color w:val="auto"/>
          <w:w w:val="99"/>
          <w:kern w:val="2"/>
          <w:szCs w:val="20"/>
          <w:highlight w:val="none"/>
        </w:rPr>
        <w:t>表 5.3-</w:t>
      </w:r>
      <w:r>
        <w:rPr>
          <w:rFonts w:hint="eastAsia" w:ascii="Times New Roman" w:hAnsi="Times New Roman" w:cs="Times New Roman"/>
          <w:b/>
          <w:bCs/>
          <w:color w:val="auto"/>
          <w:w w:val="99"/>
          <w:kern w:val="2"/>
          <w:szCs w:val="20"/>
          <w:highlight w:val="none"/>
          <w:lang w:val="en-US" w:eastAsia="zh-CN"/>
        </w:rPr>
        <w:t>4</w:t>
      </w:r>
      <w:r>
        <w:rPr>
          <w:rFonts w:ascii="Times New Roman" w:hAnsi="Times New Roman" w:eastAsia="宋体" w:cs="Times New Roman"/>
          <w:b/>
          <w:bCs/>
          <w:color w:val="auto"/>
          <w:w w:val="99"/>
          <w:kern w:val="2"/>
          <w:szCs w:val="20"/>
          <w:highlight w:val="none"/>
        </w:rPr>
        <w:t xml:space="preserve">    计算参数选取结果一览表</w:t>
      </w:r>
    </w:p>
    <w:tbl>
      <w:tblPr>
        <w:tblStyle w:val="1662"/>
        <w:tblW w:w="4997"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1421"/>
        <w:gridCol w:w="1564"/>
        <w:gridCol w:w="870"/>
        <w:gridCol w:w="1014"/>
        <w:gridCol w:w="1007"/>
        <w:gridCol w:w="1181"/>
        <w:gridCol w:w="1010"/>
        <w:gridCol w:w="1009"/>
      </w:tblGrid>
      <w:tr w14:paraId="0C6881F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782" w:type="pct"/>
            <w:vAlign w:val="center"/>
          </w:tcPr>
          <w:p w14:paraId="2FF42395">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含水层</w:t>
            </w:r>
          </w:p>
        </w:tc>
        <w:tc>
          <w:tcPr>
            <w:tcW w:w="861" w:type="pct"/>
            <w:vAlign w:val="center"/>
          </w:tcPr>
          <w:p w14:paraId="46A52011">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含水层岩性</w:t>
            </w:r>
          </w:p>
        </w:tc>
        <w:tc>
          <w:tcPr>
            <w:tcW w:w="479" w:type="pct"/>
            <w:vAlign w:val="center"/>
          </w:tcPr>
          <w:p w14:paraId="02D256BD">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M</w:t>
            </w:r>
          </w:p>
        </w:tc>
        <w:tc>
          <w:tcPr>
            <w:tcW w:w="558" w:type="pct"/>
            <w:vAlign w:val="center"/>
          </w:tcPr>
          <w:p w14:paraId="3CDE0629">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K</w:t>
            </w:r>
          </w:p>
        </w:tc>
        <w:tc>
          <w:tcPr>
            <w:tcW w:w="554" w:type="pct"/>
            <w:vAlign w:val="center"/>
          </w:tcPr>
          <w:p w14:paraId="3C8C1A97">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u</w:t>
            </w:r>
          </w:p>
        </w:tc>
        <w:tc>
          <w:tcPr>
            <w:tcW w:w="650" w:type="pct"/>
            <w:vAlign w:val="center"/>
          </w:tcPr>
          <w:p w14:paraId="79FF42E9">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ne</w:t>
            </w:r>
          </w:p>
        </w:tc>
        <w:tc>
          <w:tcPr>
            <w:tcW w:w="556" w:type="pct"/>
            <w:vAlign w:val="center"/>
          </w:tcPr>
          <w:p w14:paraId="149DC4E1">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D</w:t>
            </w:r>
            <w:r>
              <w:rPr>
                <w:rFonts w:ascii="Times New Roman" w:hAnsi="Times New Roman" w:eastAsia="宋体" w:cs="Times New Roman"/>
                <w:color w:val="auto"/>
                <w:w w:val="99"/>
                <w:kern w:val="2"/>
                <w:sz w:val="21"/>
                <w:szCs w:val="21"/>
                <w:highlight w:val="none"/>
                <w:vertAlign w:val="subscript"/>
              </w:rPr>
              <w:t>L</w:t>
            </w:r>
          </w:p>
        </w:tc>
        <w:tc>
          <w:tcPr>
            <w:tcW w:w="555" w:type="pct"/>
            <w:vAlign w:val="center"/>
          </w:tcPr>
          <w:p w14:paraId="7D43857A">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D</w:t>
            </w:r>
            <w:r>
              <w:rPr>
                <w:rFonts w:ascii="Times New Roman" w:hAnsi="Times New Roman" w:eastAsia="宋体" w:cs="Times New Roman"/>
                <w:color w:val="auto"/>
                <w:w w:val="99"/>
                <w:kern w:val="2"/>
                <w:sz w:val="21"/>
                <w:szCs w:val="21"/>
                <w:highlight w:val="none"/>
                <w:vertAlign w:val="subscript"/>
              </w:rPr>
              <w:t>T</w:t>
            </w:r>
          </w:p>
        </w:tc>
      </w:tr>
      <w:tr w14:paraId="0590176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2" w:type="pct"/>
            <w:vAlign w:val="center"/>
          </w:tcPr>
          <w:p w14:paraId="4309EBDB">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承压水含水层</w:t>
            </w:r>
          </w:p>
        </w:tc>
        <w:tc>
          <w:tcPr>
            <w:tcW w:w="861" w:type="pct"/>
            <w:vAlign w:val="center"/>
          </w:tcPr>
          <w:p w14:paraId="02A0148F">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中粗砂岩或含砾砂岩</w:t>
            </w:r>
          </w:p>
        </w:tc>
        <w:tc>
          <w:tcPr>
            <w:tcW w:w="479" w:type="pct"/>
            <w:vAlign w:val="center"/>
          </w:tcPr>
          <w:p w14:paraId="4F435A06">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3.0</w:t>
            </w:r>
          </w:p>
        </w:tc>
        <w:tc>
          <w:tcPr>
            <w:tcW w:w="558" w:type="pct"/>
            <w:vAlign w:val="center"/>
          </w:tcPr>
          <w:p w14:paraId="15C1B456">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50</w:t>
            </w:r>
          </w:p>
        </w:tc>
        <w:tc>
          <w:tcPr>
            <w:tcW w:w="554" w:type="pct"/>
            <w:vAlign w:val="center"/>
          </w:tcPr>
          <w:p w14:paraId="505046F0">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w w:val="99"/>
                <w:kern w:val="2"/>
                <w:sz w:val="21"/>
                <w:szCs w:val="21"/>
                <w:highlight w:val="none"/>
                <w:lang w:val="en-US" w:eastAsia="zh-CN"/>
              </w:rPr>
            </w:pPr>
            <w:r>
              <w:rPr>
                <w:rFonts w:ascii="Times New Roman" w:hAnsi="Times New Roman" w:eastAsia="宋体" w:cs="Times New Roman"/>
                <w:color w:val="auto"/>
                <w:w w:val="99"/>
                <w:kern w:val="2"/>
                <w:sz w:val="21"/>
                <w:szCs w:val="21"/>
                <w:highlight w:val="none"/>
              </w:rPr>
              <w:t>0.</w:t>
            </w:r>
            <w:r>
              <w:rPr>
                <w:rFonts w:hint="eastAsia" w:ascii="Times New Roman" w:hAnsi="Times New Roman" w:cs="Times New Roman"/>
                <w:color w:val="auto"/>
                <w:w w:val="99"/>
                <w:kern w:val="2"/>
                <w:sz w:val="21"/>
                <w:szCs w:val="21"/>
                <w:highlight w:val="none"/>
                <w:lang w:val="en-US" w:eastAsia="zh-CN"/>
              </w:rPr>
              <w:t>12</w:t>
            </w:r>
          </w:p>
        </w:tc>
        <w:tc>
          <w:tcPr>
            <w:tcW w:w="650" w:type="pct"/>
            <w:vAlign w:val="center"/>
          </w:tcPr>
          <w:p w14:paraId="5CD7DAED">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Times New Roman"/>
                <w:color w:val="auto"/>
                <w:w w:val="99"/>
                <w:kern w:val="2"/>
                <w:sz w:val="21"/>
                <w:szCs w:val="21"/>
                <w:highlight w:val="none"/>
                <w:lang w:eastAsia="zh-CN"/>
              </w:rPr>
            </w:pPr>
            <w:r>
              <w:rPr>
                <w:rFonts w:ascii="Times New Roman" w:hAnsi="Times New Roman" w:eastAsia="宋体" w:cs="Times New Roman"/>
                <w:color w:val="auto"/>
                <w:w w:val="99"/>
                <w:kern w:val="2"/>
                <w:sz w:val="21"/>
                <w:szCs w:val="21"/>
                <w:highlight w:val="none"/>
              </w:rPr>
              <w:t>0.3</w:t>
            </w:r>
            <w:r>
              <w:rPr>
                <w:rFonts w:hint="eastAsia" w:ascii="Times New Roman" w:hAnsi="Times New Roman" w:cs="Times New Roman"/>
                <w:color w:val="auto"/>
                <w:w w:val="99"/>
                <w:kern w:val="2"/>
                <w:sz w:val="21"/>
                <w:szCs w:val="21"/>
                <w:highlight w:val="none"/>
                <w:lang w:val="en-US" w:eastAsia="zh-CN"/>
              </w:rPr>
              <w:t>0</w:t>
            </w:r>
          </w:p>
        </w:tc>
        <w:tc>
          <w:tcPr>
            <w:tcW w:w="556" w:type="pct"/>
            <w:vAlign w:val="center"/>
          </w:tcPr>
          <w:p w14:paraId="6115CD5C">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1</w:t>
            </w:r>
          </w:p>
        </w:tc>
        <w:tc>
          <w:tcPr>
            <w:tcW w:w="555" w:type="pct"/>
            <w:vAlign w:val="center"/>
          </w:tcPr>
          <w:p w14:paraId="28A7E621">
            <w:pPr>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w w:val="99"/>
                <w:kern w:val="2"/>
                <w:sz w:val="21"/>
                <w:szCs w:val="21"/>
                <w:highlight w:val="none"/>
              </w:rPr>
            </w:pPr>
            <w:r>
              <w:rPr>
                <w:rFonts w:ascii="Times New Roman" w:hAnsi="Times New Roman" w:eastAsia="宋体" w:cs="Times New Roman"/>
                <w:color w:val="auto"/>
                <w:w w:val="99"/>
                <w:kern w:val="2"/>
                <w:sz w:val="21"/>
                <w:szCs w:val="21"/>
                <w:highlight w:val="none"/>
              </w:rPr>
              <w:t>0.1</w:t>
            </w:r>
          </w:p>
        </w:tc>
      </w:tr>
    </w:tbl>
    <w:p w14:paraId="10F16F8A">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（7）预测结果</w:t>
      </w:r>
    </w:p>
    <w:p w14:paraId="604E4D22">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Times New Roman" w:hAnsi="Times New Roman" w:eastAsia="宋体" w:cs="Times New Roman"/>
          <w:color w:val="auto"/>
          <w:w w:val="99"/>
          <w:kern w:val="2"/>
          <w:szCs w:val="20"/>
          <w:highlight w:val="none"/>
        </w:rPr>
      </w:pPr>
      <w:r>
        <w:rPr>
          <w:rFonts w:ascii="Times New Roman" w:hAnsi="Times New Roman" w:eastAsia="宋体" w:cs="Times New Roman"/>
          <w:color w:val="auto"/>
          <w:w w:val="99"/>
          <w:kern w:val="2"/>
          <w:szCs w:val="20"/>
          <w:highlight w:val="none"/>
        </w:rPr>
        <w:t>第 100天、1000天、</w:t>
      </w:r>
      <w:r>
        <w:rPr>
          <w:rFonts w:hint="eastAsia" w:ascii="Times New Roman" w:hAnsi="Times New Roman" w:eastAsia="宋体" w:cs="Times New Roman"/>
          <w:color w:val="auto"/>
          <w:w w:val="99"/>
          <w:kern w:val="2"/>
          <w:szCs w:val="20"/>
          <w:highlight w:val="none"/>
          <w:lang w:val="en-US" w:eastAsia="zh-CN"/>
        </w:rPr>
        <w:t>5475</w:t>
      </w:r>
      <w:r>
        <w:rPr>
          <w:rFonts w:ascii="Times New Roman" w:hAnsi="Times New Roman" w:eastAsia="宋体" w:cs="Times New Roman"/>
          <w:color w:val="auto"/>
          <w:w w:val="99"/>
          <w:kern w:val="2"/>
          <w:szCs w:val="20"/>
          <w:highlight w:val="none"/>
        </w:rPr>
        <w:t>天预测结果</w:t>
      </w:r>
    </w:p>
    <w:p w14:paraId="7D38DD1A">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ascii="宋体" w:hAnsi="宋体" w:eastAsia="宋体" w:cs="宋体"/>
          <w:color w:val="auto"/>
          <w:sz w:val="24"/>
          <w:szCs w:val="24"/>
          <w:highlight w:val="none"/>
        </w:rPr>
      </w:pPr>
      <w:r>
        <w:rPr>
          <w:rFonts w:ascii="Times New Roman" w:hAnsi="Times New Roman" w:eastAsia="宋体" w:cs="Times New Roman"/>
          <w:color w:val="auto"/>
          <w:w w:val="99"/>
          <w:kern w:val="2"/>
          <w:szCs w:val="20"/>
          <w:highlight w:val="none"/>
        </w:rPr>
        <w:t>气井套管连接不及时导致气井采出水泄漏，第 100 天、1000 天、</w:t>
      </w:r>
      <w:r>
        <w:rPr>
          <w:rFonts w:hint="eastAsia" w:ascii="Times New Roman" w:hAnsi="Times New Roman" w:eastAsia="宋体" w:cs="Times New Roman"/>
          <w:color w:val="auto"/>
          <w:w w:val="99"/>
          <w:kern w:val="2"/>
          <w:szCs w:val="20"/>
          <w:highlight w:val="none"/>
          <w:lang w:val="en-US" w:eastAsia="zh-CN"/>
        </w:rPr>
        <w:t>5475</w:t>
      </w:r>
      <w:r>
        <w:rPr>
          <w:rFonts w:ascii="Times New Roman" w:hAnsi="Times New Roman" w:eastAsia="宋体" w:cs="Times New Roman"/>
          <w:color w:val="auto"/>
          <w:w w:val="99"/>
          <w:kern w:val="2"/>
          <w:szCs w:val="20"/>
          <w:highlight w:val="none"/>
        </w:rPr>
        <w:t>天石油类对地下水的影响预测结果见表 5.3-</w:t>
      </w:r>
      <w:r>
        <w:rPr>
          <w:rFonts w:hint="eastAsia" w:ascii="Times New Roman" w:hAnsi="Times New Roman" w:cs="Times New Roman"/>
          <w:color w:val="auto"/>
          <w:w w:val="99"/>
          <w:kern w:val="2"/>
          <w:szCs w:val="20"/>
          <w:highlight w:val="none"/>
          <w:lang w:val="en-US" w:eastAsia="zh-CN"/>
        </w:rPr>
        <w:t>5</w:t>
      </w:r>
      <w:r>
        <w:rPr>
          <w:rFonts w:ascii="Times New Roman" w:hAnsi="Times New Roman" w:eastAsia="宋体" w:cs="Times New Roman"/>
          <w:color w:val="auto"/>
          <w:w w:val="99"/>
          <w:kern w:val="2"/>
          <w:szCs w:val="20"/>
          <w:highlight w:val="none"/>
        </w:rPr>
        <w:t xml:space="preserve"> 及图 5.3-</w:t>
      </w:r>
      <w:r>
        <w:rPr>
          <w:rFonts w:hint="eastAsia" w:ascii="Times New Roman" w:hAnsi="Times New Roman" w:cs="Times New Roman"/>
          <w:color w:val="auto"/>
          <w:w w:val="99"/>
          <w:kern w:val="2"/>
          <w:szCs w:val="20"/>
          <w:highlight w:val="none"/>
          <w:lang w:val="en-US" w:eastAsia="zh-CN"/>
        </w:rPr>
        <w:t>3</w:t>
      </w:r>
      <w:r>
        <w:rPr>
          <w:rFonts w:ascii="Times New Roman" w:hAnsi="Times New Roman" w:eastAsia="宋体" w:cs="Times New Roman"/>
          <w:color w:val="auto"/>
          <w:w w:val="99"/>
          <w:kern w:val="2"/>
          <w:szCs w:val="20"/>
          <w:highlight w:val="none"/>
        </w:rPr>
        <w:t>~图 5.3-</w:t>
      </w:r>
      <w:r>
        <w:rPr>
          <w:rFonts w:hint="eastAsia" w:ascii="Times New Roman" w:hAnsi="Times New Roman" w:cs="Times New Roman"/>
          <w:color w:val="auto"/>
          <w:w w:val="99"/>
          <w:kern w:val="2"/>
          <w:szCs w:val="20"/>
          <w:highlight w:val="none"/>
          <w:lang w:val="en-US" w:eastAsia="zh-CN"/>
        </w:rPr>
        <w:t>5</w:t>
      </w:r>
      <w:r>
        <w:rPr>
          <w:rFonts w:ascii="Times New Roman" w:hAnsi="Times New Roman" w:eastAsia="宋体" w:cs="Times New Roman"/>
          <w:color w:val="auto"/>
          <w:w w:val="99"/>
          <w:kern w:val="2"/>
          <w:szCs w:val="20"/>
          <w:highlight w:val="none"/>
        </w:rPr>
        <w:t>。</w:t>
      </w:r>
    </w:p>
    <w:p w14:paraId="76F33C15">
      <w:pPr>
        <w:keepNext w:val="0"/>
        <w:keepLines w:val="0"/>
        <w:pageBreakBefore w:val="0"/>
        <w:kinsoku/>
        <w:wordWrap/>
        <w:overflowPunct/>
        <w:topLinePunct w:val="0"/>
        <w:autoSpaceDE/>
        <w:autoSpaceDN/>
        <w:bidi w:val="0"/>
        <w:adjustRightInd/>
        <w:snapToGrid/>
        <w:spacing w:line="440" w:lineRule="exact"/>
        <w:ind w:left="0" w:right="0" w:firstLine="476" w:firstLineChars="200"/>
        <w:jc w:val="both"/>
        <w:textAlignment w:val="auto"/>
        <w:rPr>
          <w:rFonts w:ascii="Times New Roman" w:hAnsi="Times New Roman" w:eastAsia="宋体" w:cs="Times New Roman"/>
          <w:b/>
          <w:bCs/>
          <w:color w:val="auto"/>
          <w:w w:val="99"/>
          <w:kern w:val="2"/>
          <w:szCs w:val="20"/>
          <w:highlight w:val="none"/>
        </w:rPr>
      </w:pPr>
      <w:r>
        <w:rPr>
          <w:rFonts w:ascii="Times New Roman" w:hAnsi="Times New Roman" w:eastAsia="宋体" w:cs="Times New Roman"/>
          <w:b/>
          <w:bCs/>
          <w:color w:val="auto"/>
          <w:w w:val="99"/>
          <w:kern w:val="2"/>
          <w:szCs w:val="20"/>
          <w:highlight w:val="none"/>
        </w:rPr>
        <w:t>表 5</w:t>
      </w:r>
      <w:r>
        <w:rPr>
          <w:rFonts w:hint="eastAsia" w:ascii="Times New Roman" w:hAnsi="Times New Roman" w:cs="Times New Roman"/>
          <w:b/>
          <w:bCs/>
          <w:color w:val="auto"/>
          <w:w w:val="99"/>
          <w:kern w:val="2"/>
          <w:szCs w:val="20"/>
          <w:highlight w:val="none"/>
          <w:lang w:val="en-US" w:eastAsia="zh-CN"/>
        </w:rPr>
        <w:t>.</w:t>
      </w:r>
      <w:r>
        <w:rPr>
          <w:rFonts w:ascii="Times New Roman" w:hAnsi="Times New Roman" w:eastAsia="宋体" w:cs="Times New Roman"/>
          <w:b/>
          <w:bCs/>
          <w:color w:val="auto"/>
          <w:w w:val="99"/>
          <w:kern w:val="2"/>
          <w:szCs w:val="20"/>
          <w:highlight w:val="none"/>
        </w:rPr>
        <w:t>3-</w:t>
      </w:r>
      <w:r>
        <w:rPr>
          <w:rFonts w:hint="eastAsia" w:ascii="Times New Roman" w:hAnsi="Times New Roman" w:cs="Times New Roman"/>
          <w:b/>
          <w:bCs/>
          <w:color w:val="auto"/>
          <w:w w:val="99"/>
          <w:kern w:val="2"/>
          <w:szCs w:val="20"/>
          <w:highlight w:val="none"/>
          <w:lang w:val="en-US" w:eastAsia="zh-CN"/>
        </w:rPr>
        <w:t>5</w:t>
      </w:r>
      <w:r>
        <w:rPr>
          <w:rFonts w:ascii="Times New Roman" w:hAnsi="Times New Roman" w:eastAsia="宋体" w:cs="Times New Roman"/>
          <w:b/>
          <w:bCs/>
          <w:color w:val="auto"/>
          <w:w w:val="99"/>
          <w:kern w:val="2"/>
          <w:szCs w:val="20"/>
          <w:highlight w:val="none"/>
        </w:rPr>
        <w:t xml:space="preserve">    气井套损采出水泄漏后对地下水的影响预测结果表  单位：mg/L</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8"/>
        <w:gridCol w:w="1117"/>
        <w:gridCol w:w="1815"/>
        <w:gridCol w:w="1702"/>
        <w:gridCol w:w="2386"/>
        <w:gridCol w:w="1349"/>
      </w:tblGrid>
      <w:tr w14:paraId="43E13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94" w:type="pct"/>
            <w:vAlign w:val="center"/>
          </w:tcPr>
          <w:p w14:paraId="4C848E83">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601" w:type="pct"/>
            <w:vAlign w:val="center"/>
          </w:tcPr>
          <w:p w14:paraId="310CDBF2">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预测时间</w:t>
            </w:r>
          </w:p>
        </w:tc>
        <w:tc>
          <w:tcPr>
            <w:tcW w:w="977" w:type="pct"/>
            <w:vAlign w:val="center"/>
          </w:tcPr>
          <w:p w14:paraId="2F317716">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超标最远距离</w:t>
            </w:r>
          </w:p>
        </w:tc>
        <w:tc>
          <w:tcPr>
            <w:tcW w:w="916" w:type="pct"/>
            <w:vAlign w:val="center"/>
          </w:tcPr>
          <w:p w14:paraId="32A1E82E">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超标面积</w:t>
            </w:r>
          </w:p>
        </w:tc>
        <w:tc>
          <w:tcPr>
            <w:tcW w:w="1284" w:type="pct"/>
            <w:vAlign w:val="center"/>
          </w:tcPr>
          <w:p w14:paraId="6269E7F6">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最远影响距离</w:t>
            </w:r>
          </w:p>
          <w:p w14:paraId="62B54A03">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（最大迁移距离）</w:t>
            </w:r>
          </w:p>
        </w:tc>
        <w:tc>
          <w:tcPr>
            <w:tcW w:w="726" w:type="pct"/>
            <w:vAlign w:val="center"/>
          </w:tcPr>
          <w:p w14:paraId="13A525C9">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影响面积</w:t>
            </w:r>
          </w:p>
        </w:tc>
      </w:tr>
      <w:tr w14:paraId="514BA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94" w:type="pct"/>
            <w:vMerge w:val="restart"/>
            <w:vAlign w:val="center"/>
          </w:tcPr>
          <w:p w14:paraId="1EDADBBE">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石油类</w:t>
            </w:r>
          </w:p>
        </w:tc>
        <w:tc>
          <w:tcPr>
            <w:tcW w:w="601" w:type="pct"/>
            <w:vAlign w:val="center"/>
          </w:tcPr>
          <w:p w14:paraId="425B8437">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100天</w:t>
            </w:r>
          </w:p>
        </w:tc>
        <w:tc>
          <w:tcPr>
            <w:tcW w:w="977" w:type="pct"/>
            <w:vAlign w:val="center"/>
          </w:tcPr>
          <w:p w14:paraId="227F0FFD">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62</w:t>
            </w:r>
            <w:r>
              <w:rPr>
                <w:rFonts w:ascii="Times New Roman" w:hAnsi="Times New Roman" w:cs="Times New Roman" w:eastAsiaTheme="minorEastAsia"/>
                <w:color w:val="auto"/>
                <w:w w:val="99"/>
                <w:kern w:val="2"/>
                <w:sz w:val="21"/>
                <w:szCs w:val="21"/>
                <w:highlight w:val="none"/>
              </w:rPr>
              <w:t>m</w:t>
            </w:r>
          </w:p>
        </w:tc>
        <w:tc>
          <w:tcPr>
            <w:tcW w:w="916" w:type="pct"/>
            <w:vAlign w:val="center"/>
          </w:tcPr>
          <w:p w14:paraId="0ED038F5">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2598</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c>
          <w:tcPr>
            <w:tcW w:w="1284" w:type="pct"/>
            <w:vAlign w:val="center"/>
          </w:tcPr>
          <w:p w14:paraId="6FE315E3">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68</w:t>
            </w:r>
            <w:r>
              <w:rPr>
                <w:rFonts w:ascii="Times New Roman" w:hAnsi="Times New Roman" w:cs="Times New Roman" w:eastAsiaTheme="minorEastAsia"/>
                <w:color w:val="auto"/>
                <w:w w:val="99"/>
                <w:kern w:val="2"/>
                <w:sz w:val="21"/>
                <w:szCs w:val="21"/>
                <w:highlight w:val="none"/>
              </w:rPr>
              <w:t>m</w:t>
            </w:r>
          </w:p>
        </w:tc>
        <w:tc>
          <w:tcPr>
            <w:tcW w:w="726" w:type="pct"/>
            <w:vAlign w:val="center"/>
          </w:tcPr>
          <w:p w14:paraId="22968D5C">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3172</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r>
      <w:tr w14:paraId="12B3A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94" w:type="pct"/>
            <w:vMerge w:val="continue"/>
            <w:vAlign w:val="center"/>
          </w:tcPr>
          <w:p w14:paraId="3E0AD903">
            <w:pPr>
              <w:spacing w:line="360" w:lineRule="exact"/>
              <w:jc w:val="center"/>
              <w:rPr>
                <w:rFonts w:ascii="Times New Roman" w:hAnsi="Times New Roman" w:cs="Times New Roman" w:eastAsiaTheme="minorEastAsia"/>
                <w:color w:val="auto"/>
                <w:w w:val="99"/>
                <w:kern w:val="2"/>
                <w:sz w:val="21"/>
                <w:szCs w:val="21"/>
                <w:highlight w:val="none"/>
              </w:rPr>
            </w:pPr>
          </w:p>
        </w:tc>
        <w:tc>
          <w:tcPr>
            <w:tcW w:w="601" w:type="pct"/>
            <w:vAlign w:val="center"/>
          </w:tcPr>
          <w:p w14:paraId="6CB0BEBB">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1000天</w:t>
            </w:r>
          </w:p>
        </w:tc>
        <w:tc>
          <w:tcPr>
            <w:tcW w:w="977" w:type="pct"/>
            <w:vAlign w:val="center"/>
          </w:tcPr>
          <w:p w14:paraId="3CBAD0D3">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273</w:t>
            </w:r>
            <w:r>
              <w:rPr>
                <w:rFonts w:ascii="Times New Roman" w:hAnsi="Times New Roman" w:cs="Times New Roman" w:eastAsiaTheme="minorEastAsia"/>
                <w:color w:val="auto"/>
                <w:w w:val="99"/>
                <w:kern w:val="2"/>
                <w:sz w:val="21"/>
                <w:szCs w:val="21"/>
                <w:highlight w:val="none"/>
              </w:rPr>
              <w:t>m</w:t>
            </w:r>
          </w:p>
        </w:tc>
        <w:tc>
          <w:tcPr>
            <w:tcW w:w="916" w:type="pct"/>
            <w:vAlign w:val="center"/>
          </w:tcPr>
          <w:p w14:paraId="49D07162">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27416</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c>
          <w:tcPr>
            <w:tcW w:w="1284" w:type="pct"/>
            <w:vAlign w:val="center"/>
          </w:tcPr>
          <w:p w14:paraId="3B55A346">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291</w:t>
            </w:r>
            <w:r>
              <w:rPr>
                <w:rFonts w:ascii="Times New Roman" w:hAnsi="Times New Roman" w:cs="Times New Roman" w:eastAsiaTheme="minorEastAsia"/>
                <w:color w:val="auto"/>
                <w:w w:val="99"/>
                <w:kern w:val="2"/>
                <w:sz w:val="21"/>
                <w:szCs w:val="21"/>
                <w:highlight w:val="none"/>
              </w:rPr>
              <w:t>m</w:t>
            </w:r>
          </w:p>
        </w:tc>
        <w:tc>
          <w:tcPr>
            <w:tcW w:w="726" w:type="pct"/>
            <w:vAlign w:val="center"/>
          </w:tcPr>
          <w:p w14:paraId="2F690D6B">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3</w:t>
            </w:r>
            <w:r>
              <w:rPr>
                <w:rFonts w:hint="eastAsia" w:ascii="Times New Roman" w:hAnsi="Times New Roman" w:cs="Times New Roman" w:eastAsiaTheme="minorEastAsia"/>
                <w:color w:val="auto"/>
                <w:w w:val="99"/>
                <w:kern w:val="2"/>
                <w:sz w:val="21"/>
                <w:szCs w:val="21"/>
                <w:highlight w:val="none"/>
                <w:lang w:val="en-US" w:eastAsia="zh-CN"/>
              </w:rPr>
              <w:t>3039</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r>
      <w:tr w14:paraId="2F162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94" w:type="pct"/>
            <w:vMerge w:val="continue"/>
            <w:vAlign w:val="center"/>
          </w:tcPr>
          <w:p w14:paraId="30441ADD">
            <w:pPr>
              <w:spacing w:line="360" w:lineRule="exact"/>
              <w:jc w:val="center"/>
              <w:rPr>
                <w:rFonts w:ascii="Times New Roman" w:hAnsi="Times New Roman" w:cs="Times New Roman" w:eastAsiaTheme="minorEastAsia"/>
                <w:color w:val="auto"/>
                <w:w w:val="99"/>
                <w:kern w:val="2"/>
                <w:sz w:val="21"/>
                <w:szCs w:val="21"/>
                <w:highlight w:val="none"/>
              </w:rPr>
            </w:pPr>
          </w:p>
        </w:tc>
        <w:tc>
          <w:tcPr>
            <w:tcW w:w="601" w:type="pct"/>
            <w:vAlign w:val="center"/>
          </w:tcPr>
          <w:p w14:paraId="04EE2A55">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5475天</w:t>
            </w:r>
          </w:p>
        </w:tc>
        <w:tc>
          <w:tcPr>
            <w:tcW w:w="977" w:type="pct"/>
            <w:vAlign w:val="center"/>
          </w:tcPr>
          <w:p w14:paraId="2EB74CA4">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996</w:t>
            </w:r>
            <w:r>
              <w:rPr>
                <w:rFonts w:ascii="Times New Roman" w:hAnsi="Times New Roman" w:cs="Times New Roman" w:eastAsiaTheme="minorEastAsia"/>
                <w:color w:val="auto"/>
                <w:w w:val="99"/>
                <w:kern w:val="2"/>
                <w:sz w:val="21"/>
                <w:szCs w:val="21"/>
                <w:highlight w:val="none"/>
              </w:rPr>
              <w:t>m</w:t>
            </w:r>
          </w:p>
        </w:tc>
        <w:tc>
          <w:tcPr>
            <w:tcW w:w="916" w:type="pct"/>
            <w:vAlign w:val="center"/>
          </w:tcPr>
          <w:p w14:paraId="14BA18D5">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189137</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c>
          <w:tcPr>
            <w:tcW w:w="1284" w:type="pct"/>
            <w:vAlign w:val="center"/>
          </w:tcPr>
          <w:p w14:paraId="3D9F3F5C">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1041</w:t>
            </w:r>
            <w:r>
              <w:rPr>
                <w:rFonts w:ascii="Times New Roman" w:hAnsi="Times New Roman" w:cs="Times New Roman" w:eastAsiaTheme="minorEastAsia"/>
                <w:color w:val="auto"/>
                <w:w w:val="99"/>
                <w:kern w:val="2"/>
                <w:sz w:val="21"/>
                <w:szCs w:val="21"/>
                <w:highlight w:val="none"/>
              </w:rPr>
              <w:t>m</w:t>
            </w:r>
          </w:p>
        </w:tc>
        <w:tc>
          <w:tcPr>
            <w:tcW w:w="726" w:type="pct"/>
            <w:vAlign w:val="center"/>
          </w:tcPr>
          <w:p w14:paraId="39BE6CC5">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221433</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r>
    </w:tbl>
    <w:p w14:paraId="3868A997">
      <w:pPr>
        <w:keepNext w:val="0"/>
        <w:keepLines w:val="0"/>
        <w:pageBreakBefore w:val="0"/>
        <w:kinsoku/>
        <w:wordWrap/>
        <w:overflowPunct/>
        <w:topLinePunct w:val="0"/>
        <w:autoSpaceDE/>
        <w:autoSpaceDN/>
        <w:bidi w:val="0"/>
        <w:adjustRightInd/>
        <w:snapToGrid/>
        <w:spacing w:line="240" w:lineRule="auto"/>
        <w:ind w:right="0"/>
        <w:jc w:val="both"/>
        <w:textAlignment w:val="auto"/>
      </w:pPr>
      <w:r>
        <w:drawing>
          <wp:inline distT="0" distB="0" distL="114300" distR="114300">
            <wp:extent cx="4725670" cy="4067810"/>
            <wp:effectExtent l="0" t="0" r="17780" b="889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71"/>
                    <a:stretch>
                      <a:fillRect/>
                    </a:stretch>
                  </pic:blipFill>
                  <pic:spPr>
                    <a:xfrm>
                      <a:off x="0" y="0"/>
                      <a:ext cx="4725670" cy="4067810"/>
                    </a:xfrm>
                    <a:prstGeom prst="rect">
                      <a:avLst/>
                    </a:prstGeom>
                    <a:noFill/>
                    <a:ln>
                      <a:noFill/>
                    </a:ln>
                  </pic:spPr>
                </pic:pic>
              </a:graphicData>
            </a:graphic>
          </wp:inline>
        </w:drawing>
      </w:r>
    </w:p>
    <w:p w14:paraId="51C61963">
      <w:pPr>
        <w:spacing w:line="243" w:lineRule="auto"/>
        <w:jc w:val="center"/>
        <w:rPr>
          <w:rFonts w:ascii="Arial"/>
          <w:color w:val="auto"/>
          <w:sz w:val="21"/>
          <w:highlight w:val="none"/>
        </w:rPr>
      </w:pPr>
      <w:r>
        <w:rPr>
          <w:rFonts w:ascii="Times New Roman" w:hAnsi="Times New Roman" w:eastAsiaTheme="minorEastAsia"/>
          <w:b/>
          <w:color w:val="auto"/>
          <w:w w:val="99"/>
          <w:sz w:val="24"/>
          <w:szCs w:val="24"/>
          <w:highlight w:val="none"/>
        </w:rPr>
        <w:t>图5.3-</w:t>
      </w:r>
      <w:r>
        <w:rPr>
          <w:rFonts w:hint="eastAsia" w:ascii="Times New Roman" w:hAnsi="Times New Roman" w:eastAsiaTheme="minorEastAsia"/>
          <w:b/>
          <w:color w:val="auto"/>
          <w:w w:val="99"/>
          <w:sz w:val="24"/>
          <w:szCs w:val="24"/>
          <w:highlight w:val="none"/>
          <w:lang w:val="en-US" w:eastAsia="zh-CN"/>
        </w:rPr>
        <w:t>3</w:t>
      </w:r>
      <w:r>
        <w:rPr>
          <w:rFonts w:ascii="Times New Roman" w:hAnsi="Times New Roman" w:eastAsiaTheme="minorEastAsia"/>
          <w:b/>
          <w:color w:val="auto"/>
          <w:w w:val="99"/>
          <w:sz w:val="24"/>
          <w:szCs w:val="24"/>
          <w:highlight w:val="none"/>
        </w:rPr>
        <w:t xml:space="preserve">  </w:t>
      </w:r>
      <w:r>
        <w:rPr>
          <w:rFonts w:hint="eastAsia" w:ascii="Times New Roman" w:hAnsi="Times New Roman" w:eastAsiaTheme="minorEastAsia"/>
          <w:b/>
          <w:color w:val="auto"/>
          <w:w w:val="99"/>
          <w:sz w:val="24"/>
          <w:szCs w:val="24"/>
          <w:highlight w:val="none"/>
          <w:lang w:val="en-US" w:eastAsia="zh-CN"/>
        </w:rPr>
        <w:t>气井</w:t>
      </w:r>
      <w:r>
        <w:rPr>
          <w:rFonts w:ascii="Times New Roman" w:hAnsi="Times New Roman" w:eastAsiaTheme="minorEastAsia"/>
          <w:b/>
          <w:color w:val="auto"/>
          <w:w w:val="99"/>
          <w:sz w:val="24"/>
          <w:szCs w:val="24"/>
          <w:highlight w:val="none"/>
        </w:rPr>
        <w:t>套管泄漏</w:t>
      </w:r>
      <w:r>
        <w:rPr>
          <w:rFonts w:hint="eastAsia" w:ascii="Times New Roman" w:hAnsi="Times New Roman" w:eastAsiaTheme="minorEastAsia"/>
          <w:b/>
          <w:color w:val="auto"/>
          <w:w w:val="99"/>
          <w:sz w:val="24"/>
          <w:szCs w:val="24"/>
          <w:highlight w:val="none"/>
          <w:lang w:val="en-US" w:eastAsia="zh-CN"/>
        </w:rPr>
        <w:t>100d</w:t>
      </w:r>
      <w:r>
        <w:rPr>
          <w:rFonts w:ascii="Times New Roman" w:hAnsi="Times New Roman" w:eastAsiaTheme="minorEastAsia"/>
          <w:b/>
          <w:color w:val="auto"/>
          <w:w w:val="99"/>
          <w:sz w:val="24"/>
          <w:szCs w:val="24"/>
          <w:highlight w:val="none"/>
        </w:rPr>
        <w:t>石油类污染扩散平面图（污染源点：0，0）</w:t>
      </w:r>
    </w:p>
    <w:p w14:paraId="690F90A1">
      <w:pPr>
        <w:keepNext w:val="0"/>
        <w:keepLines w:val="0"/>
        <w:pageBreakBefore w:val="0"/>
        <w:kinsoku/>
        <w:wordWrap/>
        <w:overflowPunct/>
        <w:topLinePunct w:val="0"/>
        <w:autoSpaceDE/>
        <w:autoSpaceDN/>
        <w:bidi w:val="0"/>
        <w:adjustRightInd/>
        <w:snapToGrid/>
        <w:spacing w:line="240" w:lineRule="auto"/>
        <w:ind w:right="0"/>
        <w:jc w:val="both"/>
        <w:textAlignment w:val="auto"/>
      </w:pPr>
      <w:r>
        <w:drawing>
          <wp:inline distT="0" distB="0" distL="114300" distR="114300">
            <wp:extent cx="4700905" cy="4140200"/>
            <wp:effectExtent l="0" t="0" r="4445" b="1270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72"/>
                    <a:stretch>
                      <a:fillRect/>
                    </a:stretch>
                  </pic:blipFill>
                  <pic:spPr>
                    <a:xfrm>
                      <a:off x="0" y="0"/>
                      <a:ext cx="4700905" cy="4140200"/>
                    </a:xfrm>
                    <a:prstGeom prst="rect">
                      <a:avLst/>
                    </a:prstGeom>
                    <a:noFill/>
                    <a:ln>
                      <a:noFill/>
                    </a:ln>
                  </pic:spPr>
                </pic:pic>
              </a:graphicData>
            </a:graphic>
          </wp:inline>
        </w:drawing>
      </w:r>
    </w:p>
    <w:p w14:paraId="467639CC">
      <w:pPr>
        <w:spacing w:line="243" w:lineRule="auto"/>
        <w:jc w:val="center"/>
        <w:rPr>
          <w:rFonts w:ascii="Times New Roman" w:hAnsi="Times New Roman" w:eastAsiaTheme="minorEastAsia"/>
          <w:b/>
          <w:color w:val="auto"/>
          <w:w w:val="99"/>
          <w:sz w:val="24"/>
          <w:szCs w:val="24"/>
          <w:highlight w:val="none"/>
        </w:rPr>
      </w:pPr>
      <w:r>
        <w:rPr>
          <w:rFonts w:ascii="Times New Roman" w:hAnsi="Times New Roman" w:eastAsiaTheme="minorEastAsia"/>
          <w:b/>
          <w:color w:val="auto"/>
          <w:w w:val="99"/>
          <w:sz w:val="24"/>
          <w:szCs w:val="24"/>
          <w:highlight w:val="none"/>
        </w:rPr>
        <w:t>图5.3-</w:t>
      </w:r>
      <w:r>
        <w:rPr>
          <w:rFonts w:hint="eastAsia" w:ascii="Times New Roman" w:hAnsi="Times New Roman" w:eastAsiaTheme="minorEastAsia"/>
          <w:b/>
          <w:color w:val="auto"/>
          <w:w w:val="99"/>
          <w:sz w:val="24"/>
          <w:szCs w:val="24"/>
          <w:highlight w:val="none"/>
          <w:lang w:val="en-US" w:eastAsia="zh-CN"/>
        </w:rPr>
        <w:t>4</w:t>
      </w:r>
      <w:r>
        <w:rPr>
          <w:rFonts w:ascii="Times New Roman" w:hAnsi="Times New Roman" w:eastAsiaTheme="minorEastAsia"/>
          <w:b/>
          <w:color w:val="auto"/>
          <w:w w:val="99"/>
          <w:sz w:val="24"/>
          <w:szCs w:val="24"/>
          <w:highlight w:val="none"/>
        </w:rPr>
        <w:t xml:space="preserve">  </w:t>
      </w:r>
      <w:r>
        <w:rPr>
          <w:rFonts w:hint="eastAsia" w:ascii="Times New Roman" w:hAnsi="Times New Roman" w:eastAsiaTheme="minorEastAsia"/>
          <w:b/>
          <w:color w:val="auto"/>
          <w:w w:val="99"/>
          <w:sz w:val="24"/>
          <w:szCs w:val="24"/>
          <w:highlight w:val="none"/>
          <w:lang w:val="en-US" w:eastAsia="zh-CN"/>
        </w:rPr>
        <w:t>气井</w:t>
      </w:r>
      <w:r>
        <w:rPr>
          <w:rFonts w:ascii="Times New Roman" w:hAnsi="Times New Roman" w:eastAsiaTheme="minorEastAsia"/>
          <w:b/>
          <w:color w:val="auto"/>
          <w:w w:val="99"/>
          <w:sz w:val="24"/>
          <w:szCs w:val="24"/>
          <w:highlight w:val="none"/>
        </w:rPr>
        <w:t>套管泄漏</w:t>
      </w:r>
      <w:r>
        <w:rPr>
          <w:rFonts w:hint="eastAsia" w:ascii="Times New Roman" w:hAnsi="Times New Roman" w:eastAsiaTheme="minorEastAsia"/>
          <w:b/>
          <w:color w:val="auto"/>
          <w:w w:val="99"/>
          <w:sz w:val="24"/>
          <w:szCs w:val="24"/>
          <w:highlight w:val="none"/>
          <w:lang w:val="en-US" w:eastAsia="zh-CN"/>
        </w:rPr>
        <w:t>1000d</w:t>
      </w:r>
      <w:r>
        <w:rPr>
          <w:rFonts w:ascii="Times New Roman" w:hAnsi="Times New Roman" w:eastAsiaTheme="minorEastAsia"/>
          <w:b/>
          <w:color w:val="auto"/>
          <w:w w:val="99"/>
          <w:sz w:val="24"/>
          <w:szCs w:val="24"/>
          <w:highlight w:val="none"/>
        </w:rPr>
        <w:t>石油类污染扩散平面图（污染源点：0，0）</w:t>
      </w:r>
    </w:p>
    <w:p w14:paraId="6CDA6CEC">
      <w:pPr>
        <w:keepNext w:val="0"/>
        <w:keepLines w:val="0"/>
        <w:pageBreakBefore w:val="0"/>
        <w:kinsoku/>
        <w:wordWrap/>
        <w:overflowPunct/>
        <w:topLinePunct w:val="0"/>
        <w:autoSpaceDE/>
        <w:autoSpaceDN/>
        <w:bidi w:val="0"/>
        <w:adjustRightInd/>
        <w:snapToGrid/>
        <w:spacing w:line="240" w:lineRule="auto"/>
        <w:ind w:right="0"/>
        <w:jc w:val="both"/>
        <w:textAlignment w:val="auto"/>
      </w:pPr>
    </w:p>
    <w:p w14:paraId="559B16B9">
      <w:pPr>
        <w:keepNext w:val="0"/>
        <w:keepLines w:val="0"/>
        <w:pageBreakBefore w:val="0"/>
        <w:kinsoku/>
        <w:wordWrap/>
        <w:overflowPunct/>
        <w:topLinePunct w:val="0"/>
        <w:autoSpaceDE/>
        <w:autoSpaceDN/>
        <w:bidi w:val="0"/>
        <w:adjustRightInd/>
        <w:snapToGrid/>
        <w:spacing w:line="240" w:lineRule="auto"/>
        <w:ind w:right="0"/>
        <w:jc w:val="both"/>
        <w:textAlignment w:val="auto"/>
      </w:pPr>
      <w:r>
        <w:drawing>
          <wp:inline distT="0" distB="0" distL="114300" distR="114300">
            <wp:extent cx="4987290" cy="4248150"/>
            <wp:effectExtent l="0" t="0" r="3810"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73"/>
                    <a:stretch>
                      <a:fillRect/>
                    </a:stretch>
                  </pic:blipFill>
                  <pic:spPr>
                    <a:xfrm>
                      <a:off x="0" y="0"/>
                      <a:ext cx="4987290" cy="4248150"/>
                    </a:xfrm>
                    <a:prstGeom prst="rect">
                      <a:avLst/>
                    </a:prstGeom>
                    <a:noFill/>
                    <a:ln>
                      <a:noFill/>
                    </a:ln>
                  </pic:spPr>
                </pic:pic>
              </a:graphicData>
            </a:graphic>
          </wp:inline>
        </w:drawing>
      </w:r>
    </w:p>
    <w:p w14:paraId="05ACFF6D">
      <w:pPr>
        <w:spacing w:line="243" w:lineRule="auto"/>
        <w:jc w:val="center"/>
        <w:rPr>
          <w:rFonts w:ascii="Arial"/>
          <w:color w:val="auto"/>
          <w:sz w:val="21"/>
          <w:highlight w:val="none"/>
        </w:rPr>
      </w:pPr>
      <w:r>
        <w:rPr>
          <w:rFonts w:ascii="Times New Roman" w:hAnsi="Times New Roman" w:eastAsiaTheme="minorEastAsia"/>
          <w:b/>
          <w:color w:val="auto"/>
          <w:w w:val="99"/>
          <w:sz w:val="24"/>
          <w:szCs w:val="24"/>
          <w:highlight w:val="none"/>
        </w:rPr>
        <w:t>图5.3-</w:t>
      </w:r>
      <w:r>
        <w:rPr>
          <w:rFonts w:hint="eastAsia" w:ascii="Times New Roman" w:hAnsi="Times New Roman" w:eastAsiaTheme="minorEastAsia"/>
          <w:b/>
          <w:color w:val="auto"/>
          <w:w w:val="99"/>
          <w:sz w:val="24"/>
          <w:szCs w:val="24"/>
          <w:highlight w:val="none"/>
          <w:lang w:val="en-US" w:eastAsia="zh-CN"/>
        </w:rPr>
        <w:t>5</w:t>
      </w:r>
      <w:r>
        <w:rPr>
          <w:rFonts w:ascii="Times New Roman" w:hAnsi="Times New Roman" w:eastAsiaTheme="minorEastAsia"/>
          <w:b/>
          <w:color w:val="auto"/>
          <w:w w:val="99"/>
          <w:sz w:val="24"/>
          <w:szCs w:val="24"/>
          <w:highlight w:val="none"/>
        </w:rPr>
        <w:t xml:space="preserve">  </w:t>
      </w:r>
      <w:r>
        <w:rPr>
          <w:rFonts w:hint="eastAsia" w:ascii="Times New Roman" w:hAnsi="Times New Roman" w:eastAsiaTheme="minorEastAsia"/>
          <w:b/>
          <w:color w:val="auto"/>
          <w:w w:val="99"/>
          <w:sz w:val="24"/>
          <w:szCs w:val="24"/>
          <w:highlight w:val="none"/>
          <w:lang w:val="en-US" w:eastAsia="zh-CN"/>
        </w:rPr>
        <w:t>气井</w:t>
      </w:r>
      <w:r>
        <w:rPr>
          <w:rFonts w:ascii="Times New Roman" w:hAnsi="Times New Roman" w:eastAsiaTheme="minorEastAsia"/>
          <w:b/>
          <w:color w:val="auto"/>
          <w:w w:val="99"/>
          <w:sz w:val="24"/>
          <w:szCs w:val="24"/>
          <w:highlight w:val="none"/>
        </w:rPr>
        <w:t>套管泄漏</w:t>
      </w:r>
      <w:r>
        <w:rPr>
          <w:rFonts w:hint="eastAsia" w:ascii="Times New Roman" w:hAnsi="Times New Roman" w:eastAsiaTheme="minorEastAsia"/>
          <w:b/>
          <w:color w:val="auto"/>
          <w:w w:val="99"/>
          <w:sz w:val="24"/>
          <w:szCs w:val="24"/>
          <w:highlight w:val="none"/>
          <w:lang w:val="en-US" w:eastAsia="zh-CN"/>
        </w:rPr>
        <w:t>5475d</w:t>
      </w:r>
      <w:r>
        <w:rPr>
          <w:rFonts w:ascii="Times New Roman" w:hAnsi="Times New Roman" w:eastAsiaTheme="minorEastAsia"/>
          <w:b/>
          <w:color w:val="auto"/>
          <w:w w:val="99"/>
          <w:sz w:val="24"/>
          <w:szCs w:val="24"/>
          <w:highlight w:val="none"/>
        </w:rPr>
        <w:t>石油类污染扩散平面图（污染源点：0，0）</w:t>
      </w:r>
    </w:p>
    <w:p w14:paraId="2A9C7FD6">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ascii="Arial"/>
          <w:color w:val="auto"/>
          <w:sz w:val="21"/>
          <w:highlight w:val="none"/>
        </w:rPr>
      </w:pPr>
      <w:r>
        <w:rPr>
          <w:rFonts w:ascii="Times New Roman" w:hAnsi="Times New Roman" w:cs="Times New Roman"/>
          <w:color w:val="auto"/>
          <w:w w:val="99"/>
          <w:kern w:val="2"/>
          <w:szCs w:val="20"/>
          <w:highlight w:val="none"/>
        </w:rPr>
        <w:t>由预测结果可知，随着时间增加，污染范围有所增加，套损并固井层破损泄漏100d后，超标距离为下游</w:t>
      </w:r>
      <w:r>
        <w:rPr>
          <w:rFonts w:hint="eastAsia" w:ascii="Times New Roman" w:hAnsi="Times New Roman" w:cs="Times New Roman"/>
          <w:color w:val="auto"/>
          <w:w w:val="99"/>
          <w:kern w:val="2"/>
          <w:szCs w:val="20"/>
          <w:highlight w:val="none"/>
          <w:lang w:val="en-US" w:eastAsia="zh-CN"/>
        </w:rPr>
        <w:t>62</w:t>
      </w:r>
      <w:r>
        <w:rPr>
          <w:rFonts w:ascii="Times New Roman" w:hAnsi="Times New Roman" w:cs="Times New Roman"/>
          <w:color w:val="auto"/>
          <w:w w:val="99"/>
          <w:kern w:val="2"/>
          <w:szCs w:val="20"/>
          <w:highlight w:val="none"/>
        </w:rPr>
        <w:t>m，影响距离为下游</w:t>
      </w:r>
      <w:r>
        <w:rPr>
          <w:rFonts w:hint="eastAsia" w:ascii="Times New Roman" w:hAnsi="Times New Roman" w:cs="Times New Roman"/>
          <w:color w:val="auto"/>
          <w:w w:val="99"/>
          <w:kern w:val="2"/>
          <w:szCs w:val="20"/>
          <w:highlight w:val="none"/>
          <w:lang w:val="en-US" w:eastAsia="zh-CN"/>
        </w:rPr>
        <w:t>68</w:t>
      </w:r>
      <w:r>
        <w:rPr>
          <w:rFonts w:ascii="Times New Roman" w:hAnsi="Times New Roman" w:cs="Times New Roman"/>
          <w:color w:val="auto"/>
          <w:w w:val="99"/>
          <w:kern w:val="2"/>
          <w:szCs w:val="20"/>
          <w:highlight w:val="none"/>
        </w:rPr>
        <w:t>m；套损泄漏1000d后，超标距离为下游</w:t>
      </w:r>
      <w:r>
        <w:rPr>
          <w:rFonts w:hint="eastAsia" w:ascii="Times New Roman" w:hAnsi="Times New Roman" w:cs="Times New Roman"/>
          <w:color w:val="auto"/>
          <w:w w:val="99"/>
          <w:kern w:val="2"/>
          <w:szCs w:val="20"/>
          <w:highlight w:val="none"/>
          <w:lang w:val="en-US" w:eastAsia="zh-CN"/>
        </w:rPr>
        <w:t>273</w:t>
      </w:r>
      <w:r>
        <w:rPr>
          <w:rFonts w:ascii="Times New Roman" w:hAnsi="Times New Roman" w:cs="Times New Roman"/>
          <w:color w:val="auto"/>
          <w:w w:val="99"/>
          <w:kern w:val="2"/>
          <w:szCs w:val="20"/>
          <w:highlight w:val="none"/>
        </w:rPr>
        <w:t>m，影响距离为下游</w:t>
      </w:r>
      <w:r>
        <w:rPr>
          <w:rFonts w:hint="eastAsia" w:ascii="Times New Roman" w:hAnsi="Times New Roman" w:cs="Times New Roman"/>
          <w:color w:val="auto"/>
          <w:w w:val="99"/>
          <w:kern w:val="2"/>
          <w:szCs w:val="20"/>
          <w:highlight w:val="none"/>
          <w:lang w:val="en-US" w:eastAsia="zh-CN"/>
        </w:rPr>
        <w:t>291</w:t>
      </w:r>
      <w:r>
        <w:rPr>
          <w:rFonts w:ascii="Times New Roman" w:hAnsi="Times New Roman" w:cs="Times New Roman"/>
          <w:color w:val="auto"/>
          <w:w w:val="99"/>
          <w:kern w:val="2"/>
          <w:szCs w:val="20"/>
          <w:highlight w:val="none"/>
        </w:rPr>
        <w:t>m；套损泄漏5475d后，超标距离为下游</w:t>
      </w:r>
      <w:r>
        <w:rPr>
          <w:rFonts w:hint="eastAsia" w:ascii="Times New Roman" w:hAnsi="Times New Roman" w:cs="Times New Roman"/>
          <w:color w:val="auto"/>
          <w:w w:val="99"/>
          <w:kern w:val="2"/>
          <w:szCs w:val="20"/>
          <w:highlight w:val="none"/>
          <w:lang w:val="en-US" w:eastAsia="zh-CN"/>
        </w:rPr>
        <w:t>996</w:t>
      </w:r>
      <w:r>
        <w:rPr>
          <w:rFonts w:ascii="Times New Roman" w:hAnsi="Times New Roman" w:cs="Times New Roman"/>
          <w:color w:val="auto"/>
          <w:w w:val="99"/>
          <w:kern w:val="2"/>
          <w:szCs w:val="20"/>
          <w:highlight w:val="none"/>
        </w:rPr>
        <w:t>m，影响距离为下游</w:t>
      </w:r>
      <w:r>
        <w:rPr>
          <w:rFonts w:hint="eastAsia" w:ascii="Times New Roman" w:hAnsi="Times New Roman" w:cs="Times New Roman"/>
          <w:color w:val="auto"/>
          <w:w w:val="99"/>
          <w:kern w:val="2"/>
          <w:szCs w:val="20"/>
          <w:highlight w:val="none"/>
          <w:lang w:val="en-US" w:eastAsia="zh-CN"/>
        </w:rPr>
        <w:t>1041</w:t>
      </w:r>
      <w:r>
        <w:rPr>
          <w:rFonts w:ascii="Times New Roman" w:hAnsi="Times New Roman" w:cs="Times New Roman"/>
          <w:color w:val="auto"/>
          <w:w w:val="99"/>
          <w:kern w:val="2"/>
          <w:szCs w:val="20"/>
          <w:highlight w:val="none"/>
        </w:rPr>
        <w:t>m。经调查，距离钻井井场最近的饮用水源井为</w:t>
      </w:r>
      <w:r>
        <w:rPr>
          <w:rFonts w:hint="eastAsia" w:ascii="Times New Roman" w:hAnsi="Times New Roman" w:cs="Times New Roman" w:eastAsiaTheme="minorEastAsia"/>
          <w:bCs/>
          <w:color w:val="auto"/>
          <w:spacing w:val="-2"/>
          <w:w w:val="99"/>
          <w:highlight w:val="none"/>
          <w:lang w:eastAsia="zh-CN"/>
        </w:rPr>
        <w:t>拟建徐深27-H1井</w:t>
      </w:r>
      <w:r>
        <w:rPr>
          <w:rFonts w:hint="eastAsia" w:ascii="Times New Roman" w:hAnsi="Times New Roman" w:cs="Times New Roman" w:eastAsiaTheme="minorEastAsia"/>
          <w:bCs/>
          <w:color w:val="auto"/>
          <w:spacing w:val="-2"/>
          <w:w w:val="99"/>
          <w:highlight w:val="none"/>
          <w:lang w:val="en-US" w:eastAsia="zh-CN"/>
        </w:rPr>
        <w:t>东</w:t>
      </w:r>
      <w:r>
        <w:rPr>
          <w:rFonts w:hint="eastAsia" w:ascii="Times New Roman" w:hAnsi="Times New Roman" w:cs="Times New Roman" w:eastAsiaTheme="minorEastAsia"/>
          <w:bCs/>
          <w:color w:val="auto"/>
          <w:spacing w:val="-2"/>
          <w:w w:val="99"/>
          <w:highlight w:val="none"/>
          <w:lang w:eastAsia="zh-CN"/>
        </w:rPr>
        <w:t>北侧</w:t>
      </w:r>
      <w:r>
        <w:rPr>
          <w:rFonts w:hint="eastAsia" w:ascii="Times New Roman" w:hAnsi="Times New Roman" w:cs="Times New Roman" w:eastAsiaTheme="minorEastAsia"/>
          <w:bCs/>
          <w:color w:val="auto"/>
          <w:spacing w:val="-2"/>
          <w:w w:val="99"/>
          <w:highlight w:val="none"/>
          <w:lang w:val="en-US" w:eastAsia="zh-CN"/>
        </w:rPr>
        <w:t>380</w:t>
      </w:r>
      <w:r>
        <w:rPr>
          <w:rFonts w:hint="eastAsia" w:ascii="Times New Roman" w:hAnsi="Times New Roman" w:cs="Times New Roman" w:eastAsiaTheme="minorEastAsia"/>
          <w:bCs/>
          <w:color w:val="auto"/>
          <w:spacing w:val="-2"/>
          <w:w w:val="99"/>
          <w:highlight w:val="none"/>
          <w:lang w:eastAsia="zh-CN"/>
        </w:rPr>
        <w:t>m的</w:t>
      </w:r>
      <w:r>
        <w:rPr>
          <w:rFonts w:hint="eastAsia" w:ascii="Times New Roman" w:hAnsi="Times New Roman" w:cs="Times New Roman" w:eastAsiaTheme="minorEastAsia"/>
          <w:bCs/>
          <w:color w:val="auto"/>
          <w:spacing w:val="-2"/>
          <w:w w:val="99"/>
          <w:highlight w:val="none"/>
          <w:lang w:val="en-US" w:eastAsia="zh-CN"/>
        </w:rPr>
        <w:t>邢家围子屯水井（地下水流向上游）</w:t>
      </w:r>
      <w:r>
        <w:rPr>
          <w:rFonts w:ascii="Times New Roman" w:hAnsi="Times New Roman" w:cs="Times New Roman"/>
          <w:color w:val="auto"/>
          <w:w w:val="99"/>
          <w:kern w:val="2"/>
          <w:szCs w:val="20"/>
          <w:highlight w:val="none"/>
        </w:rPr>
        <w:t>，拟建</w:t>
      </w:r>
      <w:r>
        <w:rPr>
          <w:rFonts w:hint="eastAsia" w:ascii="Times New Roman" w:hAnsi="Times New Roman" w:cs="Times New Roman"/>
          <w:color w:val="auto"/>
          <w:w w:val="99"/>
          <w:kern w:val="2"/>
          <w:szCs w:val="20"/>
          <w:highlight w:val="none"/>
          <w:lang w:val="en-US" w:eastAsia="zh-CN"/>
        </w:rPr>
        <w:t>气</w:t>
      </w:r>
      <w:r>
        <w:rPr>
          <w:rFonts w:ascii="Times New Roman" w:hAnsi="Times New Roman" w:cs="Times New Roman"/>
          <w:color w:val="auto"/>
          <w:w w:val="99"/>
          <w:kern w:val="2"/>
          <w:szCs w:val="20"/>
          <w:highlight w:val="none"/>
        </w:rPr>
        <w:t>井在钻井阶段采用双层套管，且项目应定期</w:t>
      </w:r>
      <w:r>
        <w:rPr>
          <w:rFonts w:ascii="Times New Roman" w:hAnsi="Times New Roman" w:cs="Times New Roman" w:eastAsiaTheme="minorEastAsia"/>
          <w:color w:val="auto"/>
          <w:w w:val="99"/>
          <w:kern w:val="21"/>
          <w:highlight w:val="none"/>
        </w:rPr>
        <w:t>对</w:t>
      </w:r>
      <w:r>
        <w:rPr>
          <w:rFonts w:hint="eastAsia" w:ascii="Times New Roman" w:hAnsi="Times New Roman" w:cs="Times New Roman"/>
          <w:color w:val="auto"/>
          <w:w w:val="99"/>
          <w:kern w:val="2"/>
          <w:szCs w:val="20"/>
          <w:highlight w:val="none"/>
          <w:lang w:val="en-US" w:eastAsia="zh-CN"/>
        </w:rPr>
        <w:t>气井</w:t>
      </w:r>
      <w:r>
        <w:rPr>
          <w:rFonts w:ascii="Times New Roman" w:hAnsi="Times New Roman" w:cs="Times New Roman" w:eastAsiaTheme="minorEastAsia"/>
          <w:color w:val="auto"/>
          <w:w w:val="99"/>
          <w:kern w:val="21"/>
          <w:highlight w:val="none"/>
        </w:rPr>
        <w:t>套管情况进行检测，发现异常情况，</w:t>
      </w:r>
      <w:r>
        <w:rPr>
          <w:rFonts w:ascii="Times New Roman" w:hAnsi="Times New Roman" w:cs="Times New Roman"/>
          <w:color w:val="auto"/>
          <w:w w:val="99"/>
          <w:kern w:val="2"/>
          <w:szCs w:val="20"/>
          <w:highlight w:val="none"/>
        </w:rPr>
        <w:t>应及时关闭截断阀</w:t>
      </w:r>
      <w:r>
        <w:rPr>
          <w:rFonts w:ascii="Times New Roman" w:hAnsi="Times New Roman" w:cs="Times New Roman" w:eastAsiaTheme="minorEastAsia"/>
          <w:color w:val="auto"/>
          <w:w w:val="99"/>
          <w:kern w:val="21"/>
          <w:highlight w:val="none"/>
        </w:rPr>
        <w:t>，防止污染地下水，降低风险事故对地下水的影响。</w:t>
      </w:r>
    </w:p>
    <w:p w14:paraId="6AFF946A">
      <w:pPr>
        <w:pStyle w:val="7"/>
        <w:widowControl w:val="0"/>
        <w:spacing w:before="60" w:after="60" w:line="440" w:lineRule="exact"/>
        <w:jc w:val="both"/>
        <w:rPr>
          <w:rFonts w:eastAsiaTheme="minorEastAsia"/>
          <w:b/>
          <w:color w:val="auto"/>
          <w:w w:val="99"/>
          <w:kern w:val="2"/>
          <w:sz w:val="24"/>
          <w:szCs w:val="24"/>
          <w:highlight w:val="none"/>
        </w:rPr>
      </w:pPr>
      <w:bookmarkStart w:id="881" w:name="_Toc127192398"/>
      <w:bookmarkStart w:id="882" w:name="_Toc126863449"/>
      <w:bookmarkStart w:id="883" w:name="_Toc86141993"/>
      <w:bookmarkStart w:id="884" w:name="_Toc131167349"/>
      <w:bookmarkStart w:id="885" w:name="_Toc143099636"/>
      <w:bookmarkStart w:id="886" w:name="_Toc84929290"/>
      <w:bookmarkStart w:id="887" w:name="_Toc186444345"/>
      <w:bookmarkStart w:id="888" w:name="_Toc85640818"/>
      <w:r>
        <w:rPr>
          <w:rFonts w:eastAsiaTheme="minorEastAsia"/>
          <w:b/>
          <w:color w:val="auto"/>
          <w:w w:val="99"/>
          <w:kern w:val="2"/>
          <w:sz w:val="24"/>
          <w:szCs w:val="24"/>
          <w:highlight w:val="none"/>
        </w:rPr>
        <w:t>5.3.</w:t>
      </w:r>
      <w:r>
        <w:rPr>
          <w:rFonts w:hint="eastAsia" w:eastAsiaTheme="minorEastAsia"/>
          <w:b/>
          <w:color w:val="auto"/>
          <w:w w:val="99"/>
          <w:kern w:val="2"/>
          <w:sz w:val="24"/>
          <w:szCs w:val="24"/>
          <w:highlight w:val="none"/>
          <w:lang w:val="en-US" w:eastAsia="zh-CN"/>
        </w:rPr>
        <w:t>3</w:t>
      </w:r>
      <w:r>
        <w:rPr>
          <w:rFonts w:eastAsiaTheme="minorEastAsia"/>
          <w:b/>
          <w:color w:val="auto"/>
          <w:w w:val="99"/>
          <w:kern w:val="2"/>
          <w:sz w:val="24"/>
          <w:szCs w:val="24"/>
          <w:highlight w:val="none"/>
        </w:rPr>
        <w:t>地下水环境影响评价结论</w:t>
      </w:r>
      <w:bookmarkEnd w:id="881"/>
      <w:bookmarkEnd w:id="882"/>
      <w:bookmarkEnd w:id="883"/>
      <w:bookmarkEnd w:id="884"/>
      <w:bookmarkEnd w:id="885"/>
      <w:bookmarkEnd w:id="886"/>
      <w:bookmarkEnd w:id="887"/>
      <w:bookmarkEnd w:id="888"/>
    </w:p>
    <w:p w14:paraId="56110111">
      <w:pPr>
        <w:widowControl w:val="0"/>
        <w:spacing w:line="44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项目正常工况及非正常工况下不会对地下水环境产生影响，井场厂界特征污染物石油类可以满足《地表水环境质量标准》（GB3838-2002）中</w:t>
      </w:r>
      <w:r>
        <w:rPr>
          <w:rFonts w:ascii="Times New Roman" w:hAnsi="Times New Roman" w:cs="Times New Roman"/>
          <w:color w:val="auto"/>
          <w:w w:val="99"/>
          <w:kern w:val="2"/>
          <w:szCs w:val="20"/>
          <w:highlight w:val="none"/>
        </w:rPr>
        <w:fldChar w:fldCharType="begin"/>
      </w:r>
      <w:r>
        <w:rPr>
          <w:rFonts w:ascii="Times New Roman" w:hAnsi="Times New Roman" w:cs="Times New Roman"/>
          <w:color w:val="auto"/>
          <w:w w:val="99"/>
          <w:kern w:val="2"/>
          <w:szCs w:val="20"/>
          <w:highlight w:val="none"/>
        </w:rPr>
        <w:instrText xml:space="preserve"> = 2 \* ROMAN </w:instrText>
      </w:r>
      <w:r>
        <w:rPr>
          <w:rFonts w:ascii="Times New Roman" w:hAnsi="Times New Roman" w:cs="Times New Roman"/>
          <w:color w:val="auto"/>
          <w:w w:val="99"/>
          <w:kern w:val="2"/>
          <w:szCs w:val="20"/>
          <w:highlight w:val="none"/>
        </w:rPr>
        <w:fldChar w:fldCharType="separate"/>
      </w:r>
      <w:r>
        <w:rPr>
          <w:rFonts w:ascii="Times New Roman" w:hAnsi="Times New Roman" w:cs="Times New Roman"/>
          <w:color w:val="auto"/>
          <w:w w:val="99"/>
          <w:kern w:val="2"/>
          <w:szCs w:val="20"/>
          <w:highlight w:val="none"/>
        </w:rPr>
        <w:t>II</w:t>
      </w:r>
      <w:r>
        <w:rPr>
          <w:rFonts w:ascii="Times New Roman" w:hAnsi="Times New Roman" w:cs="Times New Roman"/>
          <w:color w:val="auto"/>
          <w:w w:val="99"/>
          <w:kern w:val="2"/>
          <w:szCs w:val="20"/>
          <w:highlight w:val="none"/>
        </w:rPr>
        <w:fldChar w:fldCharType="end"/>
      </w:r>
      <w:r>
        <w:rPr>
          <w:rFonts w:ascii="Times New Roman" w:hAnsi="Times New Roman" w:cs="Times New Roman"/>
          <w:color w:val="auto"/>
          <w:w w:val="99"/>
          <w:kern w:val="2"/>
          <w:szCs w:val="20"/>
          <w:highlight w:val="none"/>
        </w:rPr>
        <w:t>类标准限值。非正常状况下，当</w:t>
      </w:r>
      <w:r>
        <w:rPr>
          <w:rFonts w:hint="eastAsia" w:ascii="Times New Roman" w:hAnsi="Times New Roman" w:cs="Times New Roman"/>
          <w:color w:val="auto"/>
          <w:w w:val="99"/>
          <w:kern w:val="2"/>
          <w:szCs w:val="20"/>
          <w:highlight w:val="none"/>
          <w:lang w:val="en-US" w:eastAsia="zh-CN"/>
        </w:rPr>
        <w:t>气井</w:t>
      </w:r>
      <w:r>
        <w:rPr>
          <w:rFonts w:ascii="Times New Roman" w:hAnsi="Times New Roman" w:cs="Times New Roman"/>
          <w:color w:val="auto"/>
          <w:w w:val="99"/>
          <w:kern w:val="2"/>
          <w:szCs w:val="20"/>
          <w:highlight w:val="none"/>
        </w:rPr>
        <w:t>套损100d、1000d、5475d时，下游</w:t>
      </w:r>
      <w:r>
        <w:rPr>
          <w:rFonts w:hint="eastAsia" w:ascii="Times New Roman" w:hAnsi="Times New Roman" w:cs="Times New Roman"/>
          <w:color w:val="auto"/>
          <w:w w:val="99"/>
          <w:kern w:val="2"/>
          <w:szCs w:val="20"/>
          <w:highlight w:val="none"/>
          <w:lang w:val="en-US" w:eastAsia="zh-CN"/>
        </w:rPr>
        <w:t>62</w:t>
      </w:r>
      <w:r>
        <w:rPr>
          <w:rFonts w:ascii="Times New Roman" w:hAnsi="Times New Roman" w:cs="Times New Roman"/>
          <w:color w:val="auto"/>
          <w:w w:val="99"/>
          <w:kern w:val="2"/>
          <w:szCs w:val="20"/>
          <w:highlight w:val="none"/>
        </w:rPr>
        <w:t>m、</w:t>
      </w:r>
      <w:r>
        <w:rPr>
          <w:rFonts w:hint="eastAsia" w:ascii="Times New Roman" w:hAnsi="Times New Roman" w:cs="Times New Roman"/>
          <w:color w:val="auto"/>
          <w:w w:val="99"/>
          <w:kern w:val="2"/>
          <w:szCs w:val="20"/>
          <w:highlight w:val="none"/>
          <w:lang w:val="en-US" w:eastAsia="zh-CN"/>
        </w:rPr>
        <w:t>273</w:t>
      </w:r>
      <w:r>
        <w:rPr>
          <w:rFonts w:ascii="Times New Roman" w:hAnsi="Times New Roman" w:cs="Times New Roman"/>
          <w:color w:val="auto"/>
          <w:w w:val="99"/>
          <w:kern w:val="2"/>
          <w:szCs w:val="20"/>
          <w:highlight w:val="none"/>
        </w:rPr>
        <w:t>m、</w:t>
      </w:r>
      <w:r>
        <w:rPr>
          <w:rFonts w:hint="eastAsia" w:ascii="Times New Roman" w:hAnsi="Times New Roman" w:cs="Times New Roman"/>
          <w:color w:val="auto"/>
          <w:w w:val="99"/>
          <w:kern w:val="2"/>
          <w:szCs w:val="20"/>
          <w:highlight w:val="none"/>
          <w:lang w:val="en-US" w:eastAsia="zh-CN"/>
        </w:rPr>
        <w:t>996</w:t>
      </w:r>
      <w:r>
        <w:rPr>
          <w:rFonts w:ascii="Times New Roman" w:hAnsi="Times New Roman" w:cs="Times New Roman"/>
          <w:color w:val="auto"/>
          <w:w w:val="99"/>
          <w:kern w:val="2"/>
          <w:szCs w:val="20"/>
          <w:highlight w:val="none"/>
        </w:rPr>
        <w:t>m范围内石油类超出了《地表水环境质量标准》（GB3838-2002）中</w:t>
      </w:r>
      <w:r>
        <w:rPr>
          <w:rFonts w:ascii="Times New Roman" w:hAnsi="Times New Roman" w:cs="Times New Roman"/>
          <w:color w:val="auto"/>
          <w:w w:val="99"/>
          <w:kern w:val="2"/>
          <w:szCs w:val="20"/>
          <w:highlight w:val="none"/>
        </w:rPr>
        <w:fldChar w:fldCharType="begin"/>
      </w:r>
      <w:r>
        <w:rPr>
          <w:rFonts w:ascii="Times New Roman" w:hAnsi="Times New Roman" w:cs="Times New Roman"/>
          <w:color w:val="auto"/>
          <w:w w:val="99"/>
          <w:kern w:val="2"/>
          <w:szCs w:val="20"/>
          <w:highlight w:val="none"/>
        </w:rPr>
        <w:instrText xml:space="preserve"> = 2 \* ROMAN </w:instrText>
      </w:r>
      <w:r>
        <w:rPr>
          <w:rFonts w:ascii="Times New Roman" w:hAnsi="Times New Roman" w:cs="Times New Roman"/>
          <w:color w:val="auto"/>
          <w:w w:val="99"/>
          <w:kern w:val="2"/>
          <w:szCs w:val="20"/>
          <w:highlight w:val="none"/>
        </w:rPr>
        <w:fldChar w:fldCharType="separate"/>
      </w:r>
      <w:r>
        <w:rPr>
          <w:rFonts w:ascii="Times New Roman" w:hAnsi="Times New Roman" w:cs="Times New Roman"/>
          <w:color w:val="auto"/>
          <w:w w:val="99"/>
          <w:kern w:val="2"/>
          <w:szCs w:val="20"/>
          <w:highlight w:val="none"/>
        </w:rPr>
        <w:t>II</w:t>
      </w:r>
      <w:r>
        <w:rPr>
          <w:rFonts w:ascii="Times New Roman" w:hAnsi="Times New Roman" w:cs="Times New Roman"/>
          <w:color w:val="auto"/>
          <w:w w:val="99"/>
          <w:kern w:val="2"/>
          <w:szCs w:val="20"/>
          <w:highlight w:val="none"/>
        </w:rPr>
        <w:fldChar w:fldCharType="end"/>
      </w:r>
      <w:r>
        <w:rPr>
          <w:rFonts w:ascii="Times New Roman" w:hAnsi="Times New Roman" w:cs="Times New Roman"/>
          <w:color w:val="auto"/>
          <w:w w:val="99"/>
          <w:kern w:val="2"/>
          <w:szCs w:val="20"/>
          <w:highlight w:val="none"/>
        </w:rPr>
        <w:t>类标准限值。事故状态下地下水影响范围内无地下水饮用水井，因此本项目对周边村屯地下水环境的影响较小。</w:t>
      </w:r>
    </w:p>
    <w:bookmarkEnd w:id="864"/>
    <w:bookmarkEnd w:id="865"/>
    <w:bookmarkEnd w:id="866"/>
    <w:bookmarkEnd w:id="867"/>
    <w:bookmarkEnd w:id="868"/>
    <w:bookmarkEnd w:id="869"/>
    <w:bookmarkEnd w:id="870"/>
    <w:bookmarkEnd w:id="871"/>
    <w:bookmarkEnd w:id="872"/>
    <w:p w14:paraId="57F4418F">
      <w:pPr>
        <w:pStyle w:val="5"/>
        <w:keepNext w:val="0"/>
        <w:keepLines w:val="0"/>
        <w:widowControl w:val="0"/>
        <w:spacing w:before="120" w:after="120"/>
        <w:rPr>
          <w:rFonts w:ascii="Times New Roman" w:hAnsi="Times New Roman" w:eastAsia="宋体"/>
          <w:b/>
          <w:snapToGrid w:val="0"/>
          <w:color w:val="auto"/>
          <w:w w:val="99"/>
          <w:highlight w:val="none"/>
        </w:rPr>
      </w:pPr>
      <w:bookmarkStart w:id="889" w:name="_Toc438822741"/>
      <w:bookmarkStart w:id="890" w:name="_Toc17411"/>
      <w:bookmarkStart w:id="891" w:name="_Toc65426004"/>
      <w:r>
        <w:rPr>
          <w:rFonts w:ascii="Times New Roman" w:hAnsi="Times New Roman" w:eastAsia="宋体"/>
          <w:b/>
          <w:snapToGrid w:val="0"/>
          <w:color w:val="auto"/>
          <w:w w:val="99"/>
          <w:highlight w:val="none"/>
        </w:rPr>
        <w:t>5.4声环境影响</w:t>
      </w:r>
      <w:bookmarkEnd w:id="889"/>
      <w:r>
        <w:rPr>
          <w:rFonts w:ascii="Times New Roman" w:hAnsi="Times New Roman" w:eastAsia="宋体"/>
          <w:b/>
          <w:snapToGrid w:val="0"/>
          <w:color w:val="auto"/>
          <w:w w:val="99"/>
          <w:highlight w:val="none"/>
        </w:rPr>
        <w:t>预测与评价</w:t>
      </w:r>
      <w:bookmarkEnd w:id="890"/>
      <w:bookmarkEnd w:id="891"/>
    </w:p>
    <w:p w14:paraId="5083DFEB">
      <w:pPr>
        <w:pStyle w:val="7"/>
        <w:widowControl w:val="0"/>
        <w:spacing w:before="60" w:after="60" w:line="440" w:lineRule="exact"/>
        <w:jc w:val="both"/>
        <w:rPr>
          <w:rFonts w:eastAsiaTheme="minorEastAsia"/>
          <w:b/>
          <w:color w:val="auto"/>
          <w:w w:val="99"/>
          <w:kern w:val="2"/>
          <w:sz w:val="24"/>
          <w:szCs w:val="24"/>
          <w:highlight w:val="none"/>
        </w:rPr>
      </w:pPr>
      <w:bookmarkStart w:id="892" w:name="_Toc127192400"/>
      <w:bookmarkStart w:id="893" w:name="_Toc131167351"/>
      <w:bookmarkStart w:id="894" w:name="_Toc84929292"/>
      <w:bookmarkStart w:id="895" w:name="_Toc85640820"/>
      <w:bookmarkStart w:id="896" w:name="_Toc143099638"/>
      <w:bookmarkStart w:id="897" w:name="_Toc186444347"/>
      <w:bookmarkStart w:id="898" w:name="_Toc126863451"/>
      <w:bookmarkStart w:id="899" w:name="_Toc86141995"/>
      <w:r>
        <w:rPr>
          <w:rFonts w:eastAsiaTheme="minorEastAsia"/>
          <w:b/>
          <w:color w:val="auto"/>
          <w:w w:val="99"/>
          <w:kern w:val="2"/>
          <w:sz w:val="24"/>
          <w:szCs w:val="24"/>
          <w:highlight w:val="none"/>
        </w:rPr>
        <w:t>5.4.1施工期</w:t>
      </w:r>
      <w:bookmarkEnd w:id="892"/>
      <w:bookmarkEnd w:id="893"/>
      <w:bookmarkEnd w:id="894"/>
      <w:bookmarkEnd w:id="895"/>
      <w:bookmarkEnd w:id="896"/>
      <w:bookmarkEnd w:id="897"/>
      <w:bookmarkEnd w:id="898"/>
      <w:bookmarkEnd w:id="899"/>
    </w:p>
    <w:p w14:paraId="5C6D96E8">
      <w:pPr>
        <w:widowControl w:val="0"/>
        <w:spacing w:line="440" w:lineRule="exact"/>
        <w:ind w:firstLine="474" w:firstLineChars="200"/>
        <w:jc w:val="both"/>
        <w:rPr>
          <w:rFonts w:ascii="Times New Roman" w:hAnsi="Times New Roman" w:cs="Times New Roman"/>
          <w:color w:val="auto"/>
          <w:w w:val="99"/>
          <w:kern w:val="2"/>
          <w:highlight w:val="none"/>
        </w:rPr>
      </w:pPr>
      <w:r>
        <w:rPr>
          <w:rFonts w:hint="eastAsia" w:ascii="Times New Roman" w:hAnsi="Times New Roman" w:cs="Times New Roman"/>
          <w:color w:val="auto"/>
          <w:w w:val="99"/>
          <w:kern w:val="2"/>
          <w:highlight w:val="none"/>
          <w:lang w:val="en-US" w:eastAsia="zh-CN"/>
        </w:rPr>
        <w:t>本项目与同期建设项目</w:t>
      </w:r>
      <w:r>
        <w:rPr>
          <w:rFonts w:ascii="Times New Roman" w:hAnsi="Times New Roman" w:cs="Times New Roman"/>
          <w:color w:val="auto"/>
          <w:w w:val="99"/>
          <w:kern w:val="2"/>
          <w:highlight w:val="none"/>
        </w:rPr>
        <w:t>地面施工期主要噪声源包括挖掘机、推土机、压路机、电焊机、推土机、运输车辆等设备噪声及运输车辆的交通噪声。将各种施工机械等近似为点声源，采用最大噪声值，仅考虑距离衰减进行计算，可得到施工期各种机械等在不同距离处的噪声贡献值，采用无指向性点声源几何发散衰减的基本公式。</w:t>
      </w:r>
    </w:p>
    <w:p w14:paraId="207E9CAF">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无指向性点声源几何发散衰减的基本公式：</w:t>
      </w:r>
    </w:p>
    <w:p w14:paraId="6FDA8E6E">
      <w:pPr>
        <w:widowControl w:val="0"/>
        <w:spacing w:line="440" w:lineRule="exact"/>
        <w:jc w:val="center"/>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L</w:t>
      </w:r>
      <w:r>
        <w:rPr>
          <w:rFonts w:ascii="Times New Roman" w:hAnsi="Times New Roman" w:cs="Times New Roman"/>
          <w:color w:val="auto"/>
          <w:w w:val="99"/>
          <w:kern w:val="2"/>
          <w:highlight w:val="none"/>
          <w:vertAlign w:val="subscript"/>
        </w:rPr>
        <w:t>P</w:t>
      </w:r>
      <w:r>
        <w:rPr>
          <w:rFonts w:ascii="Times New Roman" w:hAnsi="Times New Roman" w:cs="Times New Roman"/>
          <w:color w:val="auto"/>
          <w:w w:val="99"/>
          <w:kern w:val="2"/>
          <w:highlight w:val="none"/>
        </w:rPr>
        <w:t>(r)= L</w:t>
      </w:r>
      <w:r>
        <w:rPr>
          <w:rFonts w:ascii="Times New Roman" w:hAnsi="Times New Roman" w:cs="Times New Roman"/>
          <w:color w:val="auto"/>
          <w:w w:val="99"/>
          <w:kern w:val="2"/>
          <w:highlight w:val="none"/>
          <w:vertAlign w:val="subscript"/>
        </w:rPr>
        <w:t>P</w:t>
      </w:r>
      <w:r>
        <w:rPr>
          <w:rFonts w:ascii="Times New Roman" w:hAnsi="Times New Roman" w:cs="Times New Roman"/>
          <w:color w:val="auto"/>
          <w:w w:val="99"/>
          <w:kern w:val="2"/>
          <w:highlight w:val="none"/>
        </w:rPr>
        <w:t>(r</w:t>
      </w:r>
      <w:r>
        <w:rPr>
          <w:rFonts w:ascii="Times New Roman" w:hAnsi="Times New Roman" w:cs="Times New Roman"/>
          <w:color w:val="auto"/>
          <w:w w:val="99"/>
          <w:kern w:val="2"/>
          <w:highlight w:val="none"/>
          <w:vertAlign w:val="subscript"/>
        </w:rPr>
        <w:t>0</w:t>
      </w:r>
      <w:r>
        <w:rPr>
          <w:rFonts w:ascii="Times New Roman" w:hAnsi="Times New Roman" w:cs="Times New Roman"/>
          <w:color w:val="auto"/>
          <w:w w:val="99"/>
          <w:kern w:val="2"/>
          <w:highlight w:val="none"/>
        </w:rPr>
        <w:t>)-20lg(r/r</w:t>
      </w:r>
      <w:r>
        <w:rPr>
          <w:rFonts w:ascii="Times New Roman" w:hAnsi="Times New Roman" w:cs="Times New Roman"/>
          <w:color w:val="auto"/>
          <w:w w:val="99"/>
          <w:kern w:val="2"/>
          <w:highlight w:val="none"/>
          <w:vertAlign w:val="subscript"/>
        </w:rPr>
        <w:t>0</w:t>
      </w:r>
      <w:r>
        <w:rPr>
          <w:rFonts w:ascii="Times New Roman" w:hAnsi="Times New Roman" w:cs="Times New Roman"/>
          <w:color w:val="auto"/>
          <w:w w:val="99"/>
          <w:kern w:val="2"/>
          <w:highlight w:val="none"/>
        </w:rPr>
        <w:t>)</w:t>
      </w:r>
    </w:p>
    <w:p w14:paraId="0712C42D">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式中：L</w:t>
      </w:r>
      <w:r>
        <w:rPr>
          <w:rFonts w:ascii="Times New Roman" w:hAnsi="Times New Roman" w:cs="Times New Roman"/>
          <w:color w:val="auto"/>
          <w:w w:val="99"/>
          <w:kern w:val="2"/>
          <w:highlight w:val="none"/>
          <w:vertAlign w:val="subscript"/>
        </w:rPr>
        <w:t>P</w:t>
      </w:r>
      <w:r>
        <w:rPr>
          <w:rFonts w:ascii="Times New Roman" w:hAnsi="Times New Roman" w:cs="Times New Roman"/>
          <w:color w:val="auto"/>
          <w:w w:val="99"/>
          <w:kern w:val="2"/>
          <w:highlight w:val="none"/>
        </w:rPr>
        <w:t>(r) ——预测点处声压级，dB；</w:t>
      </w:r>
    </w:p>
    <w:p w14:paraId="613F4477">
      <w:pPr>
        <w:widowControl w:val="0"/>
        <w:spacing w:line="440" w:lineRule="exact"/>
        <w:ind w:firstLine="1185" w:firstLineChars="5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L</w:t>
      </w:r>
      <w:r>
        <w:rPr>
          <w:rFonts w:ascii="Times New Roman" w:hAnsi="Times New Roman" w:cs="Times New Roman"/>
          <w:color w:val="auto"/>
          <w:w w:val="99"/>
          <w:kern w:val="2"/>
          <w:highlight w:val="none"/>
          <w:vertAlign w:val="subscript"/>
        </w:rPr>
        <w:t>P</w:t>
      </w:r>
      <w:r>
        <w:rPr>
          <w:rFonts w:ascii="Times New Roman" w:hAnsi="Times New Roman" w:cs="Times New Roman"/>
          <w:color w:val="auto"/>
          <w:w w:val="99"/>
          <w:kern w:val="2"/>
          <w:highlight w:val="none"/>
        </w:rPr>
        <w:t>(r</w:t>
      </w:r>
      <w:r>
        <w:rPr>
          <w:rFonts w:ascii="Times New Roman" w:hAnsi="Times New Roman" w:cs="Times New Roman"/>
          <w:color w:val="auto"/>
          <w:w w:val="99"/>
          <w:kern w:val="2"/>
          <w:highlight w:val="none"/>
          <w:vertAlign w:val="subscript"/>
        </w:rPr>
        <w:t>0</w:t>
      </w:r>
      <w:r>
        <w:rPr>
          <w:rFonts w:ascii="Times New Roman" w:hAnsi="Times New Roman" w:cs="Times New Roman"/>
          <w:color w:val="auto"/>
          <w:w w:val="99"/>
          <w:kern w:val="2"/>
          <w:highlight w:val="none"/>
        </w:rPr>
        <w:t>) ——参考位置r</w:t>
      </w:r>
      <w:r>
        <w:rPr>
          <w:rFonts w:ascii="Times New Roman" w:hAnsi="Times New Roman" w:cs="Times New Roman"/>
          <w:color w:val="auto"/>
          <w:w w:val="99"/>
          <w:kern w:val="2"/>
          <w:highlight w:val="none"/>
          <w:vertAlign w:val="subscript"/>
        </w:rPr>
        <w:t>0</w:t>
      </w:r>
      <w:r>
        <w:rPr>
          <w:rFonts w:ascii="Times New Roman" w:hAnsi="Times New Roman" w:cs="Times New Roman"/>
          <w:color w:val="auto"/>
          <w:w w:val="99"/>
          <w:kern w:val="2"/>
          <w:highlight w:val="none"/>
        </w:rPr>
        <w:t>处的声压级，dB；</w:t>
      </w:r>
    </w:p>
    <w:p w14:paraId="53460E45">
      <w:pPr>
        <w:widowControl w:val="0"/>
        <w:spacing w:line="440" w:lineRule="exact"/>
        <w:ind w:firstLine="1185" w:firstLineChars="5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r ——预测点距声源的距离；</w:t>
      </w:r>
    </w:p>
    <w:p w14:paraId="0441408B">
      <w:pPr>
        <w:widowControl w:val="0"/>
        <w:spacing w:line="440" w:lineRule="exact"/>
        <w:ind w:firstLine="1185" w:firstLineChars="5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r</w:t>
      </w:r>
      <w:r>
        <w:rPr>
          <w:rFonts w:ascii="Times New Roman" w:hAnsi="Times New Roman" w:cs="Times New Roman"/>
          <w:color w:val="auto"/>
          <w:w w:val="99"/>
          <w:kern w:val="2"/>
          <w:highlight w:val="none"/>
          <w:vertAlign w:val="subscript"/>
        </w:rPr>
        <w:t>0</w:t>
      </w:r>
      <w:r>
        <w:rPr>
          <w:rFonts w:ascii="Times New Roman" w:hAnsi="Times New Roman" w:cs="Times New Roman"/>
          <w:color w:val="auto"/>
          <w:w w:val="99"/>
          <w:kern w:val="2"/>
          <w:highlight w:val="none"/>
        </w:rPr>
        <w:t>——参考位置距声源的距离。</w:t>
      </w:r>
    </w:p>
    <w:p w14:paraId="4DC95A3E">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施工机械噪声衰减结果见表5.4-</w:t>
      </w:r>
      <w:r>
        <w:rPr>
          <w:rFonts w:hint="eastAsia" w:ascii="Times New Roman" w:hAnsi="Times New Roman" w:cs="Times New Roman"/>
          <w:color w:val="auto"/>
          <w:w w:val="99"/>
          <w:kern w:val="2"/>
          <w:highlight w:val="none"/>
          <w:lang w:val="en-US" w:eastAsia="zh-CN"/>
        </w:rPr>
        <w:t>7</w:t>
      </w:r>
      <w:r>
        <w:rPr>
          <w:rFonts w:ascii="Times New Roman" w:hAnsi="Times New Roman" w:cs="Times New Roman"/>
          <w:color w:val="auto"/>
          <w:w w:val="99"/>
          <w:kern w:val="2"/>
          <w:highlight w:val="none"/>
        </w:rPr>
        <w:t>。</w:t>
      </w:r>
    </w:p>
    <w:p w14:paraId="5EE24D2F">
      <w:pPr>
        <w:pStyle w:val="153"/>
        <w:widowControl w:val="0"/>
        <w:spacing w:line="440" w:lineRule="exact"/>
        <w:ind w:firstLine="476" w:firstLineChars="200"/>
        <w:jc w:val="both"/>
        <w:rPr>
          <w:rFonts w:ascii="Times New Roman" w:hAnsi="Times New Roman"/>
          <w:b/>
          <w:color w:val="auto"/>
          <w:w w:val="99"/>
          <w:kern w:val="2"/>
          <w:highlight w:val="none"/>
        </w:rPr>
      </w:pPr>
      <w:r>
        <w:rPr>
          <w:rFonts w:ascii="Times New Roman" w:hAnsi="Times New Roman"/>
          <w:b/>
          <w:color w:val="auto"/>
          <w:w w:val="99"/>
          <w:kern w:val="2"/>
          <w:highlight w:val="none"/>
        </w:rPr>
        <w:t>表5.4-</w:t>
      </w:r>
      <w:r>
        <w:rPr>
          <w:rFonts w:hint="eastAsia" w:ascii="Times New Roman" w:hAnsi="Times New Roman"/>
          <w:b/>
          <w:color w:val="auto"/>
          <w:w w:val="99"/>
          <w:kern w:val="2"/>
          <w:highlight w:val="none"/>
          <w:lang w:val="en-US" w:eastAsia="zh-CN"/>
        </w:rPr>
        <w:t>7</w:t>
      </w:r>
      <w:r>
        <w:rPr>
          <w:rFonts w:ascii="Times New Roman" w:hAnsi="Times New Roman"/>
          <w:b/>
          <w:color w:val="auto"/>
          <w:w w:val="99"/>
          <w:kern w:val="2"/>
          <w:highlight w:val="none"/>
        </w:rPr>
        <w:t xml:space="preserve">    施工期施工机械噪声统计表    单位：dB(A)</w:t>
      </w:r>
    </w:p>
    <w:tbl>
      <w:tblPr>
        <w:tblStyle w:val="1662"/>
        <w:tblW w:w="500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63"/>
        <w:gridCol w:w="1652"/>
        <w:gridCol w:w="628"/>
        <w:gridCol w:w="903"/>
        <w:gridCol w:w="804"/>
        <w:gridCol w:w="1121"/>
        <w:gridCol w:w="1148"/>
        <w:gridCol w:w="1177"/>
      </w:tblGrid>
      <w:tr w14:paraId="75286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914" w:type="pct"/>
            <w:vMerge w:val="restart"/>
            <w:tcBorders>
              <w:top w:val="single" w:color="auto" w:sz="4" w:space="0"/>
              <w:left w:val="single" w:color="auto" w:sz="4" w:space="0"/>
              <w:bottom w:val="single" w:color="auto" w:sz="4" w:space="0"/>
              <w:right w:val="single" w:color="auto" w:sz="4" w:space="0"/>
            </w:tcBorders>
            <w:vAlign w:val="center"/>
          </w:tcPr>
          <w:p w14:paraId="7A24D506">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机械名称</w:t>
            </w:r>
          </w:p>
        </w:tc>
        <w:tc>
          <w:tcPr>
            <w:tcW w:w="908" w:type="pct"/>
            <w:tcBorders>
              <w:top w:val="single" w:color="auto" w:sz="4" w:space="0"/>
              <w:left w:val="single" w:color="auto" w:sz="4" w:space="0"/>
              <w:bottom w:val="single" w:color="auto" w:sz="4" w:space="0"/>
              <w:right w:val="single" w:color="auto" w:sz="4" w:space="0"/>
            </w:tcBorders>
            <w:vAlign w:val="center"/>
          </w:tcPr>
          <w:p w14:paraId="13B03654">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源强</w:t>
            </w:r>
          </w:p>
        </w:tc>
        <w:tc>
          <w:tcPr>
            <w:tcW w:w="3177" w:type="pct"/>
            <w:gridSpan w:val="6"/>
            <w:tcBorders>
              <w:top w:val="single" w:color="auto" w:sz="4" w:space="0"/>
              <w:left w:val="single" w:color="auto" w:sz="4" w:space="0"/>
              <w:bottom w:val="single" w:color="auto" w:sz="4" w:space="0"/>
              <w:right w:val="single" w:color="auto" w:sz="4" w:space="0"/>
            </w:tcBorders>
            <w:vAlign w:val="center"/>
          </w:tcPr>
          <w:p w14:paraId="201BAF2B">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离施工点距离不同处的噪声值</w:t>
            </w:r>
          </w:p>
        </w:tc>
      </w:tr>
      <w:tr w14:paraId="2455F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914" w:type="pct"/>
            <w:vMerge w:val="continue"/>
            <w:tcBorders>
              <w:top w:val="single" w:color="auto" w:sz="4" w:space="0"/>
              <w:left w:val="single" w:color="auto" w:sz="4" w:space="0"/>
              <w:bottom w:val="single" w:color="auto" w:sz="4" w:space="0"/>
              <w:right w:val="single" w:color="auto" w:sz="4" w:space="0"/>
            </w:tcBorders>
            <w:vAlign w:val="center"/>
          </w:tcPr>
          <w:p w14:paraId="7030A77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14:paraId="1E719B3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1m 或 5m 处</w:t>
            </w:r>
          </w:p>
        </w:tc>
        <w:tc>
          <w:tcPr>
            <w:tcW w:w="345" w:type="pct"/>
            <w:tcBorders>
              <w:top w:val="single" w:color="auto" w:sz="4" w:space="0"/>
              <w:left w:val="single" w:color="auto" w:sz="4" w:space="0"/>
              <w:bottom w:val="single" w:color="auto" w:sz="4" w:space="0"/>
              <w:right w:val="single" w:color="auto" w:sz="4" w:space="0"/>
            </w:tcBorders>
            <w:vAlign w:val="center"/>
          </w:tcPr>
          <w:p w14:paraId="1C50817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10m</w:t>
            </w:r>
          </w:p>
        </w:tc>
        <w:tc>
          <w:tcPr>
            <w:tcW w:w="496" w:type="pct"/>
            <w:tcBorders>
              <w:top w:val="single" w:color="auto" w:sz="4" w:space="0"/>
              <w:left w:val="single" w:color="auto" w:sz="4" w:space="0"/>
              <w:bottom w:val="single" w:color="auto" w:sz="4" w:space="0"/>
              <w:right w:val="single" w:color="auto" w:sz="4" w:space="0"/>
            </w:tcBorders>
            <w:vAlign w:val="center"/>
          </w:tcPr>
          <w:p w14:paraId="4084AEB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50m</w:t>
            </w:r>
          </w:p>
        </w:tc>
        <w:tc>
          <w:tcPr>
            <w:tcW w:w="442" w:type="pct"/>
            <w:tcBorders>
              <w:top w:val="single" w:color="auto" w:sz="4" w:space="0"/>
              <w:left w:val="single" w:color="auto" w:sz="4" w:space="0"/>
              <w:bottom w:val="single" w:color="auto" w:sz="4" w:space="0"/>
              <w:right w:val="single" w:color="auto" w:sz="4" w:space="0"/>
            </w:tcBorders>
            <w:vAlign w:val="center"/>
          </w:tcPr>
          <w:p w14:paraId="2CF5145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100m</w:t>
            </w:r>
          </w:p>
        </w:tc>
        <w:tc>
          <w:tcPr>
            <w:tcW w:w="616" w:type="pct"/>
            <w:tcBorders>
              <w:top w:val="single" w:color="auto" w:sz="4" w:space="0"/>
              <w:left w:val="single" w:color="auto" w:sz="4" w:space="0"/>
              <w:bottom w:val="single" w:color="auto" w:sz="4" w:space="0"/>
              <w:right w:val="single" w:color="auto" w:sz="4" w:space="0"/>
            </w:tcBorders>
            <w:vAlign w:val="center"/>
          </w:tcPr>
          <w:p w14:paraId="0DF0043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150m</w:t>
            </w:r>
          </w:p>
        </w:tc>
        <w:tc>
          <w:tcPr>
            <w:tcW w:w="631" w:type="pct"/>
            <w:tcBorders>
              <w:top w:val="single" w:color="auto" w:sz="4" w:space="0"/>
              <w:left w:val="single" w:color="auto" w:sz="4" w:space="0"/>
              <w:bottom w:val="single" w:color="auto" w:sz="4" w:space="0"/>
              <w:right w:val="single" w:color="auto" w:sz="4" w:space="0"/>
            </w:tcBorders>
            <w:vAlign w:val="center"/>
          </w:tcPr>
          <w:p w14:paraId="589C1A57">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200m</w:t>
            </w:r>
          </w:p>
        </w:tc>
        <w:tc>
          <w:tcPr>
            <w:tcW w:w="644" w:type="pct"/>
            <w:tcBorders>
              <w:top w:val="single" w:color="auto" w:sz="4" w:space="0"/>
              <w:left w:val="single" w:color="auto" w:sz="4" w:space="0"/>
              <w:bottom w:val="single" w:color="auto" w:sz="4" w:space="0"/>
              <w:right w:val="single" w:color="auto" w:sz="4" w:space="0"/>
            </w:tcBorders>
            <w:vAlign w:val="center"/>
          </w:tcPr>
          <w:p w14:paraId="291BA0C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300m</w:t>
            </w:r>
          </w:p>
        </w:tc>
      </w:tr>
      <w:tr w14:paraId="31D69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4" w:type="pct"/>
            <w:tcBorders>
              <w:top w:val="single" w:color="auto" w:sz="4" w:space="0"/>
              <w:left w:val="single" w:color="auto" w:sz="4" w:space="0"/>
              <w:bottom w:val="single" w:color="auto" w:sz="4" w:space="0"/>
              <w:right w:val="single" w:color="auto" w:sz="4" w:space="0"/>
            </w:tcBorders>
            <w:vAlign w:val="center"/>
          </w:tcPr>
          <w:p w14:paraId="16B48CD8">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挖掘机</w:t>
            </w:r>
          </w:p>
        </w:tc>
        <w:tc>
          <w:tcPr>
            <w:tcW w:w="908" w:type="pct"/>
            <w:tcBorders>
              <w:top w:val="single" w:color="auto" w:sz="4" w:space="0"/>
              <w:left w:val="single" w:color="auto" w:sz="4" w:space="0"/>
              <w:bottom w:val="single" w:color="auto" w:sz="4" w:space="0"/>
              <w:right w:val="single" w:color="auto" w:sz="4" w:space="0"/>
            </w:tcBorders>
            <w:vAlign w:val="center"/>
          </w:tcPr>
          <w:p w14:paraId="7CAC18AA">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90（5m 处）</w:t>
            </w:r>
          </w:p>
        </w:tc>
        <w:tc>
          <w:tcPr>
            <w:tcW w:w="345" w:type="pct"/>
            <w:tcBorders>
              <w:top w:val="single" w:color="auto" w:sz="4" w:space="0"/>
              <w:left w:val="single" w:color="auto" w:sz="4" w:space="0"/>
              <w:bottom w:val="single" w:color="auto" w:sz="4" w:space="0"/>
              <w:right w:val="single" w:color="auto" w:sz="4" w:space="0"/>
            </w:tcBorders>
            <w:vAlign w:val="center"/>
          </w:tcPr>
          <w:p w14:paraId="65A0555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84</w:t>
            </w:r>
          </w:p>
        </w:tc>
        <w:tc>
          <w:tcPr>
            <w:tcW w:w="496" w:type="pct"/>
            <w:tcBorders>
              <w:top w:val="single" w:color="auto" w:sz="4" w:space="0"/>
              <w:left w:val="single" w:color="auto" w:sz="4" w:space="0"/>
              <w:bottom w:val="single" w:color="auto" w:sz="4" w:space="0"/>
              <w:right w:val="single" w:color="auto" w:sz="4" w:space="0"/>
            </w:tcBorders>
            <w:vAlign w:val="center"/>
          </w:tcPr>
          <w:p w14:paraId="66EE4A99">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70</w:t>
            </w:r>
          </w:p>
        </w:tc>
        <w:tc>
          <w:tcPr>
            <w:tcW w:w="442" w:type="pct"/>
            <w:tcBorders>
              <w:top w:val="single" w:color="auto" w:sz="4" w:space="0"/>
              <w:left w:val="single" w:color="auto" w:sz="4" w:space="0"/>
              <w:bottom w:val="single" w:color="auto" w:sz="4" w:space="0"/>
              <w:right w:val="single" w:color="auto" w:sz="4" w:space="0"/>
            </w:tcBorders>
            <w:vAlign w:val="center"/>
          </w:tcPr>
          <w:p w14:paraId="08A30CD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64</w:t>
            </w:r>
          </w:p>
        </w:tc>
        <w:tc>
          <w:tcPr>
            <w:tcW w:w="616" w:type="pct"/>
            <w:tcBorders>
              <w:top w:val="single" w:color="auto" w:sz="4" w:space="0"/>
              <w:left w:val="single" w:color="auto" w:sz="4" w:space="0"/>
              <w:bottom w:val="single" w:color="auto" w:sz="4" w:space="0"/>
              <w:right w:val="single" w:color="auto" w:sz="4" w:space="0"/>
            </w:tcBorders>
            <w:vAlign w:val="center"/>
          </w:tcPr>
          <w:p w14:paraId="4338FFE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60.5</w:t>
            </w:r>
          </w:p>
        </w:tc>
        <w:tc>
          <w:tcPr>
            <w:tcW w:w="631" w:type="pct"/>
            <w:tcBorders>
              <w:top w:val="single" w:color="auto" w:sz="4" w:space="0"/>
              <w:left w:val="single" w:color="auto" w:sz="4" w:space="0"/>
              <w:bottom w:val="single" w:color="auto" w:sz="4" w:space="0"/>
              <w:right w:val="single" w:color="auto" w:sz="4" w:space="0"/>
            </w:tcBorders>
            <w:vAlign w:val="center"/>
          </w:tcPr>
          <w:p w14:paraId="04CC67B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58</w:t>
            </w:r>
          </w:p>
        </w:tc>
        <w:tc>
          <w:tcPr>
            <w:tcW w:w="644" w:type="pct"/>
            <w:tcBorders>
              <w:top w:val="single" w:color="auto" w:sz="4" w:space="0"/>
              <w:left w:val="single" w:color="auto" w:sz="4" w:space="0"/>
              <w:bottom w:val="single" w:color="auto" w:sz="4" w:space="0"/>
              <w:right w:val="single" w:color="auto" w:sz="4" w:space="0"/>
            </w:tcBorders>
            <w:vAlign w:val="center"/>
          </w:tcPr>
          <w:p w14:paraId="2EEC55E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54.4</w:t>
            </w:r>
          </w:p>
        </w:tc>
      </w:tr>
      <w:tr w14:paraId="38A29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4" w:type="pct"/>
            <w:tcBorders>
              <w:top w:val="single" w:color="auto" w:sz="4" w:space="0"/>
              <w:left w:val="single" w:color="auto" w:sz="4" w:space="0"/>
              <w:bottom w:val="single" w:color="auto" w:sz="4" w:space="0"/>
              <w:right w:val="single" w:color="auto" w:sz="4" w:space="0"/>
            </w:tcBorders>
            <w:vAlign w:val="center"/>
          </w:tcPr>
          <w:p w14:paraId="1511C641">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推土机</w:t>
            </w:r>
          </w:p>
        </w:tc>
        <w:tc>
          <w:tcPr>
            <w:tcW w:w="908" w:type="pct"/>
            <w:tcBorders>
              <w:top w:val="single" w:color="auto" w:sz="4" w:space="0"/>
              <w:left w:val="single" w:color="auto" w:sz="4" w:space="0"/>
              <w:bottom w:val="single" w:color="auto" w:sz="4" w:space="0"/>
              <w:right w:val="single" w:color="auto" w:sz="4" w:space="0"/>
            </w:tcBorders>
            <w:vAlign w:val="center"/>
          </w:tcPr>
          <w:p w14:paraId="75548A7A">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88（5m 处）</w:t>
            </w:r>
          </w:p>
        </w:tc>
        <w:tc>
          <w:tcPr>
            <w:tcW w:w="345" w:type="pct"/>
            <w:tcBorders>
              <w:top w:val="single" w:color="auto" w:sz="4" w:space="0"/>
              <w:left w:val="single" w:color="auto" w:sz="4" w:space="0"/>
              <w:bottom w:val="single" w:color="auto" w:sz="4" w:space="0"/>
              <w:right w:val="single" w:color="auto" w:sz="4" w:space="0"/>
            </w:tcBorders>
            <w:vAlign w:val="center"/>
          </w:tcPr>
          <w:p w14:paraId="42A527F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82</w:t>
            </w:r>
          </w:p>
        </w:tc>
        <w:tc>
          <w:tcPr>
            <w:tcW w:w="496" w:type="pct"/>
            <w:tcBorders>
              <w:top w:val="single" w:color="auto" w:sz="4" w:space="0"/>
              <w:left w:val="single" w:color="auto" w:sz="4" w:space="0"/>
              <w:bottom w:val="single" w:color="auto" w:sz="4" w:space="0"/>
              <w:right w:val="single" w:color="auto" w:sz="4" w:space="0"/>
            </w:tcBorders>
            <w:vAlign w:val="center"/>
          </w:tcPr>
          <w:p w14:paraId="1A23DC4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68</w:t>
            </w:r>
          </w:p>
        </w:tc>
        <w:tc>
          <w:tcPr>
            <w:tcW w:w="442" w:type="pct"/>
            <w:tcBorders>
              <w:top w:val="single" w:color="auto" w:sz="4" w:space="0"/>
              <w:left w:val="single" w:color="auto" w:sz="4" w:space="0"/>
              <w:bottom w:val="single" w:color="auto" w:sz="4" w:space="0"/>
              <w:right w:val="single" w:color="auto" w:sz="4" w:space="0"/>
            </w:tcBorders>
            <w:vAlign w:val="center"/>
          </w:tcPr>
          <w:p w14:paraId="01F4ED4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62</w:t>
            </w:r>
          </w:p>
        </w:tc>
        <w:tc>
          <w:tcPr>
            <w:tcW w:w="616" w:type="pct"/>
            <w:tcBorders>
              <w:top w:val="single" w:color="auto" w:sz="4" w:space="0"/>
              <w:left w:val="single" w:color="auto" w:sz="4" w:space="0"/>
              <w:bottom w:val="single" w:color="auto" w:sz="4" w:space="0"/>
              <w:right w:val="single" w:color="auto" w:sz="4" w:space="0"/>
            </w:tcBorders>
            <w:vAlign w:val="center"/>
          </w:tcPr>
          <w:p w14:paraId="5997B99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58.5</w:t>
            </w:r>
          </w:p>
        </w:tc>
        <w:tc>
          <w:tcPr>
            <w:tcW w:w="631" w:type="pct"/>
            <w:tcBorders>
              <w:top w:val="single" w:color="auto" w:sz="4" w:space="0"/>
              <w:left w:val="single" w:color="auto" w:sz="4" w:space="0"/>
              <w:bottom w:val="single" w:color="auto" w:sz="4" w:space="0"/>
              <w:right w:val="single" w:color="auto" w:sz="4" w:space="0"/>
            </w:tcBorders>
            <w:vAlign w:val="center"/>
          </w:tcPr>
          <w:p w14:paraId="60ACC35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56</w:t>
            </w:r>
          </w:p>
        </w:tc>
        <w:tc>
          <w:tcPr>
            <w:tcW w:w="644" w:type="pct"/>
            <w:tcBorders>
              <w:top w:val="single" w:color="auto" w:sz="4" w:space="0"/>
              <w:left w:val="single" w:color="auto" w:sz="4" w:space="0"/>
              <w:bottom w:val="single" w:color="auto" w:sz="4" w:space="0"/>
              <w:right w:val="single" w:color="auto" w:sz="4" w:space="0"/>
            </w:tcBorders>
            <w:vAlign w:val="center"/>
          </w:tcPr>
          <w:p w14:paraId="78EBC90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52.4</w:t>
            </w:r>
          </w:p>
        </w:tc>
      </w:tr>
      <w:tr w14:paraId="4485C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4" w:type="pct"/>
            <w:tcBorders>
              <w:top w:val="single" w:color="auto" w:sz="4" w:space="0"/>
              <w:left w:val="single" w:color="auto" w:sz="4" w:space="0"/>
              <w:bottom w:val="single" w:color="auto" w:sz="4" w:space="0"/>
              <w:right w:val="single" w:color="auto" w:sz="4" w:space="0"/>
            </w:tcBorders>
            <w:vAlign w:val="center"/>
          </w:tcPr>
          <w:p w14:paraId="404A6749">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压路机</w:t>
            </w:r>
          </w:p>
        </w:tc>
        <w:tc>
          <w:tcPr>
            <w:tcW w:w="908" w:type="pct"/>
            <w:tcBorders>
              <w:top w:val="single" w:color="auto" w:sz="4" w:space="0"/>
              <w:left w:val="single" w:color="auto" w:sz="4" w:space="0"/>
              <w:bottom w:val="single" w:color="auto" w:sz="4" w:space="0"/>
              <w:right w:val="single" w:color="auto" w:sz="4" w:space="0"/>
            </w:tcBorders>
            <w:vAlign w:val="center"/>
          </w:tcPr>
          <w:p w14:paraId="25970503">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90（5m 处）</w:t>
            </w:r>
          </w:p>
        </w:tc>
        <w:tc>
          <w:tcPr>
            <w:tcW w:w="345" w:type="pct"/>
            <w:tcBorders>
              <w:top w:val="single" w:color="auto" w:sz="4" w:space="0"/>
              <w:left w:val="single" w:color="auto" w:sz="4" w:space="0"/>
              <w:bottom w:val="single" w:color="auto" w:sz="4" w:space="0"/>
              <w:right w:val="single" w:color="auto" w:sz="4" w:space="0"/>
            </w:tcBorders>
            <w:vAlign w:val="center"/>
          </w:tcPr>
          <w:p w14:paraId="09C09407">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84</w:t>
            </w:r>
          </w:p>
        </w:tc>
        <w:tc>
          <w:tcPr>
            <w:tcW w:w="496" w:type="pct"/>
            <w:tcBorders>
              <w:top w:val="single" w:color="auto" w:sz="4" w:space="0"/>
              <w:left w:val="single" w:color="auto" w:sz="4" w:space="0"/>
              <w:bottom w:val="single" w:color="auto" w:sz="4" w:space="0"/>
              <w:right w:val="single" w:color="auto" w:sz="4" w:space="0"/>
            </w:tcBorders>
            <w:vAlign w:val="center"/>
          </w:tcPr>
          <w:p w14:paraId="321627A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70</w:t>
            </w:r>
          </w:p>
        </w:tc>
        <w:tc>
          <w:tcPr>
            <w:tcW w:w="442" w:type="pct"/>
            <w:tcBorders>
              <w:top w:val="single" w:color="auto" w:sz="4" w:space="0"/>
              <w:left w:val="single" w:color="auto" w:sz="4" w:space="0"/>
              <w:bottom w:val="single" w:color="auto" w:sz="4" w:space="0"/>
              <w:right w:val="single" w:color="auto" w:sz="4" w:space="0"/>
            </w:tcBorders>
            <w:vAlign w:val="center"/>
          </w:tcPr>
          <w:p w14:paraId="52A4F14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64</w:t>
            </w:r>
          </w:p>
        </w:tc>
        <w:tc>
          <w:tcPr>
            <w:tcW w:w="616" w:type="pct"/>
            <w:tcBorders>
              <w:top w:val="single" w:color="auto" w:sz="4" w:space="0"/>
              <w:left w:val="single" w:color="auto" w:sz="4" w:space="0"/>
              <w:bottom w:val="single" w:color="auto" w:sz="4" w:space="0"/>
              <w:right w:val="single" w:color="auto" w:sz="4" w:space="0"/>
            </w:tcBorders>
            <w:vAlign w:val="center"/>
          </w:tcPr>
          <w:p w14:paraId="0E5C6B6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60.5</w:t>
            </w:r>
          </w:p>
        </w:tc>
        <w:tc>
          <w:tcPr>
            <w:tcW w:w="631" w:type="pct"/>
            <w:tcBorders>
              <w:top w:val="single" w:color="auto" w:sz="4" w:space="0"/>
              <w:left w:val="single" w:color="auto" w:sz="4" w:space="0"/>
              <w:bottom w:val="single" w:color="auto" w:sz="4" w:space="0"/>
              <w:right w:val="single" w:color="auto" w:sz="4" w:space="0"/>
            </w:tcBorders>
            <w:vAlign w:val="center"/>
          </w:tcPr>
          <w:p w14:paraId="47FCA15A">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58</w:t>
            </w:r>
          </w:p>
        </w:tc>
        <w:tc>
          <w:tcPr>
            <w:tcW w:w="644" w:type="pct"/>
            <w:tcBorders>
              <w:top w:val="single" w:color="auto" w:sz="4" w:space="0"/>
              <w:left w:val="single" w:color="auto" w:sz="4" w:space="0"/>
              <w:bottom w:val="single" w:color="auto" w:sz="4" w:space="0"/>
              <w:right w:val="single" w:color="auto" w:sz="4" w:space="0"/>
            </w:tcBorders>
            <w:vAlign w:val="center"/>
          </w:tcPr>
          <w:p w14:paraId="573184EB">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54.4</w:t>
            </w:r>
          </w:p>
        </w:tc>
      </w:tr>
      <w:tr w14:paraId="4420B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914" w:type="pct"/>
            <w:tcBorders>
              <w:top w:val="single" w:color="auto" w:sz="4" w:space="0"/>
              <w:left w:val="single" w:color="auto" w:sz="4" w:space="0"/>
              <w:bottom w:val="single" w:color="auto" w:sz="4" w:space="0"/>
              <w:right w:val="single" w:color="auto" w:sz="4" w:space="0"/>
            </w:tcBorders>
            <w:vAlign w:val="center"/>
          </w:tcPr>
          <w:p w14:paraId="467363D6">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运输车辆</w:t>
            </w:r>
          </w:p>
        </w:tc>
        <w:tc>
          <w:tcPr>
            <w:tcW w:w="908" w:type="pct"/>
            <w:tcBorders>
              <w:top w:val="single" w:color="auto" w:sz="4" w:space="0"/>
              <w:left w:val="single" w:color="auto" w:sz="4" w:space="0"/>
              <w:bottom w:val="single" w:color="auto" w:sz="4" w:space="0"/>
              <w:right w:val="single" w:color="auto" w:sz="4" w:space="0"/>
            </w:tcBorders>
            <w:vAlign w:val="center"/>
          </w:tcPr>
          <w:p w14:paraId="49567B95">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90（5m 处）</w:t>
            </w:r>
          </w:p>
        </w:tc>
        <w:tc>
          <w:tcPr>
            <w:tcW w:w="345" w:type="pct"/>
            <w:tcBorders>
              <w:top w:val="single" w:color="auto" w:sz="4" w:space="0"/>
              <w:left w:val="single" w:color="auto" w:sz="4" w:space="0"/>
              <w:bottom w:val="single" w:color="auto" w:sz="4" w:space="0"/>
              <w:right w:val="single" w:color="auto" w:sz="4" w:space="0"/>
            </w:tcBorders>
            <w:vAlign w:val="center"/>
          </w:tcPr>
          <w:p w14:paraId="61CEEC7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84</w:t>
            </w:r>
          </w:p>
        </w:tc>
        <w:tc>
          <w:tcPr>
            <w:tcW w:w="496" w:type="pct"/>
            <w:tcBorders>
              <w:top w:val="single" w:color="auto" w:sz="4" w:space="0"/>
              <w:left w:val="single" w:color="auto" w:sz="4" w:space="0"/>
              <w:bottom w:val="single" w:color="auto" w:sz="4" w:space="0"/>
              <w:right w:val="single" w:color="auto" w:sz="4" w:space="0"/>
            </w:tcBorders>
            <w:vAlign w:val="center"/>
          </w:tcPr>
          <w:p w14:paraId="5D0C793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70</w:t>
            </w:r>
          </w:p>
        </w:tc>
        <w:tc>
          <w:tcPr>
            <w:tcW w:w="442" w:type="pct"/>
            <w:tcBorders>
              <w:top w:val="single" w:color="auto" w:sz="4" w:space="0"/>
              <w:left w:val="single" w:color="auto" w:sz="4" w:space="0"/>
              <w:bottom w:val="single" w:color="auto" w:sz="4" w:space="0"/>
              <w:right w:val="single" w:color="auto" w:sz="4" w:space="0"/>
            </w:tcBorders>
            <w:vAlign w:val="center"/>
          </w:tcPr>
          <w:p w14:paraId="57E2382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64</w:t>
            </w:r>
          </w:p>
        </w:tc>
        <w:tc>
          <w:tcPr>
            <w:tcW w:w="616" w:type="pct"/>
            <w:tcBorders>
              <w:top w:val="single" w:color="auto" w:sz="4" w:space="0"/>
              <w:left w:val="single" w:color="auto" w:sz="4" w:space="0"/>
              <w:bottom w:val="single" w:color="auto" w:sz="4" w:space="0"/>
              <w:right w:val="single" w:color="auto" w:sz="4" w:space="0"/>
            </w:tcBorders>
            <w:vAlign w:val="center"/>
          </w:tcPr>
          <w:p w14:paraId="2429F1F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60.5</w:t>
            </w:r>
          </w:p>
        </w:tc>
        <w:tc>
          <w:tcPr>
            <w:tcW w:w="631" w:type="pct"/>
            <w:tcBorders>
              <w:top w:val="single" w:color="auto" w:sz="4" w:space="0"/>
              <w:left w:val="single" w:color="auto" w:sz="4" w:space="0"/>
              <w:bottom w:val="single" w:color="auto" w:sz="4" w:space="0"/>
              <w:right w:val="single" w:color="auto" w:sz="4" w:space="0"/>
            </w:tcBorders>
            <w:vAlign w:val="center"/>
          </w:tcPr>
          <w:p w14:paraId="487483B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58</w:t>
            </w:r>
          </w:p>
        </w:tc>
        <w:tc>
          <w:tcPr>
            <w:tcW w:w="644" w:type="pct"/>
            <w:tcBorders>
              <w:top w:val="single" w:color="auto" w:sz="4" w:space="0"/>
              <w:left w:val="single" w:color="auto" w:sz="4" w:space="0"/>
              <w:bottom w:val="single" w:color="auto" w:sz="4" w:space="0"/>
              <w:right w:val="single" w:color="auto" w:sz="4" w:space="0"/>
            </w:tcBorders>
            <w:vAlign w:val="center"/>
          </w:tcPr>
          <w:p w14:paraId="235A49F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54.4</w:t>
            </w:r>
          </w:p>
        </w:tc>
      </w:tr>
      <w:tr w14:paraId="48128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4" w:type="pct"/>
            <w:tcBorders>
              <w:top w:val="single" w:color="auto" w:sz="4" w:space="0"/>
              <w:left w:val="single" w:color="auto" w:sz="4" w:space="0"/>
              <w:bottom w:val="single" w:color="auto" w:sz="4" w:space="0"/>
              <w:right w:val="single" w:color="auto" w:sz="4" w:space="0"/>
            </w:tcBorders>
            <w:vAlign w:val="center"/>
          </w:tcPr>
          <w:p w14:paraId="7550EB52">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电焊机</w:t>
            </w:r>
          </w:p>
        </w:tc>
        <w:tc>
          <w:tcPr>
            <w:tcW w:w="908" w:type="pct"/>
            <w:tcBorders>
              <w:top w:val="single" w:color="auto" w:sz="4" w:space="0"/>
              <w:left w:val="single" w:color="auto" w:sz="4" w:space="0"/>
              <w:bottom w:val="single" w:color="auto" w:sz="4" w:space="0"/>
              <w:right w:val="single" w:color="auto" w:sz="4" w:space="0"/>
            </w:tcBorders>
            <w:vAlign w:val="center"/>
          </w:tcPr>
          <w:p w14:paraId="076F0944">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95（1m 处）</w:t>
            </w:r>
          </w:p>
        </w:tc>
        <w:tc>
          <w:tcPr>
            <w:tcW w:w="345" w:type="pct"/>
            <w:tcBorders>
              <w:top w:val="single" w:color="auto" w:sz="4" w:space="0"/>
              <w:left w:val="single" w:color="auto" w:sz="4" w:space="0"/>
              <w:bottom w:val="single" w:color="auto" w:sz="4" w:space="0"/>
              <w:right w:val="single" w:color="auto" w:sz="4" w:space="0"/>
            </w:tcBorders>
            <w:vAlign w:val="center"/>
          </w:tcPr>
          <w:p w14:paraId="1527C3B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89</w:t>
            </w:r>
          </w:p>
        </w:tc>
        <w:tc>
          <w:tcPr>
            <w:tcW w:w="496" w:type="pct"/>
            <w:tcBorders>
              <w:top w:val="single" w:color="auto" w:sz="4" w:space="0"/>
              <w:left w:val="single" w:color="auto" w:sz="4" w:space="0"/>
              <w:bottom w:val="single" w:color="auto" w:sz="4" w:space="0"/>
              <w:right w:val="single" w:color="auto" w:sz="4" w:space="0"/>
            </w:tcBorders>
            <w:vAlign w:val="center"/>
          </w:tcPr>
          <w:p w14:paraId="49E9C649">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75</w:t>
            </w:r>
          </w:p>
        </w:tc>
        <w:tc>
          <w:tcPr>
            <w:tcW w:w="442" w:type="pct"/>
            <w:tcBorders>
              <w:top w:val="single" w:color="auto" w:sz="4" w:space="0"/>
              <w:left w:val="single" w:color="auto" w:sz="4" w:space="0"/>
              <w:bottom w:val="single" w:color="auto" w:sz="4" w:space="0"/>
              <w:right w:val="single" w:color="auto" w:sz="4" w:space="0"/>
            </w:tcBorders>
            <w:vAlign w:val="center"/>
          </w:tcPr>
          <w:p w14:paraId="07F2F14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69</w:t>
            </w:r>
          </w:p>
        </w:tc>
        <w:tc>
          <w:tcPr>
            <w:tcW w:w="616" w:type="pct"/>
            <w:tcBorders>
              <w:top w:val="single" w:color="auto" w:sz="4" w:space="0"/>
              <w:left w:val="single" w:color="auto" w:sz="4" w:space="0"/>
              <w:bottom w:val="single" w:color="auto" w:sz="4" w:space="0"/>
              <w:right w:val="single" w:color="auto" w:sz="4" w:space="0"/>
            </w:tcBorders>
            <w:vAlign w:val="center"/>
          </w:tcPr>
          <w:p w14:paraId="24C57D9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65.5</w:t>
            </w:r>
          </w:p>
        </w:tc>
        <w:tc>
          <w:tcPr>
            <w:tcW w:w="631" w:type="pct"/>
            <w:tcBorders>
              <w:top w:val="single" w:color="auto" w:sz="4" w:space="0"/>
              <w:left w:val="single" w:color="auto" w:sz="4" w:space="0"/>
              <w:bottom w:val="single" w:color="auto" w:sz="4" w:space="0"/>
              <w:right w:val="single" w:color="auto" w:sz="4" w:space="0"/>
            </w:tcBorders>
            <w:vAlign w:val="center"/>
          </w:tcPr>
          <w:p w14:paraId="48A876E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63.5</w:t>
            </w:r>
          </w:p>
        </w:tc>
        <w:tc>
          <w:tcPr>
            <w:tcW w:w="644" w:type="pct"/>
            <w:tcBorders>
              <w:top w:val="single" w:color="auto" w:sz="4" w:space="0"/>
              <w:left w:val="single" w:color="auto" w:sz="4" w:space="0"/>
              <w:bottom w:val="single" w:color="auto" w:sz="4" w:space="0"/>
              <w:right w:val="single" w:color="auto" w:sz="4" w:space="0"/>
            </w:tcBorders>
            <w:vAlign w:val="center"/>
          </w:tcPr>
          <w:p w14:paraId="46B4C5A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59.4</w:t>
            </w:r>
          </w:p>
        </w:tc>
      </w:tr>
      <w:tr w14:paraId="0174C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4" w:type="pct"/>
            <w:tcBorders>
              <w:top w:val="single" w:color="auto" w:sz="4" w:space="0"/>
              <w:left w:val="single" w:color="auto" w:sz="4" w:space="0"/>
              <w:bottom w:val="single" w:color="auto" w:sz="4" w:space="0"/>
              <w:right w:val="single" w:color="auto" w:sz="4" w:space="0"/>
            </w:tcBorders>
            <w:vAlign w:val="center"/>
          </w:tcPr>
          <w:p w14:paraId="0FFE4F08">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吊管机</w:t>
            </w:r>
          </w:p>
        </w:tc>
        <w:tc>
          <w:tcPr>
            <w:tcW w:w="908" w:type="pct"/>
            <w:tcBorders>
              <w:top w:val="single" w:color="auto" w:sz="4" w:space="0"/>
              <w:left w:val="single" w:color="auto" w:sz="4" w:space="0"/>
              <w:bottom w:val="single" w:color="auto" w:sz="4" w:space="0"/>
              <w:right w:val="single" w:color="auto" w:sz="4" w:space="0"/>
            </w:tcBorders>
            <w:vAlign w:val="center"/>
          </w:tcPr>
          <w:p w14:paraId="48B5499D">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75（1m 处）</w:t>
            </w:r>
          </w:p>
        </w:tc>
        <w:tc>
          <w:tcPr>
            <w:tcW w:w="345" w:type="pct"/>
            <w:tcBorders>
              <w:top w:val="single" w:color="auto" w:sz="4" w:space="0"/>
              <w:left w:val="single" w:color="auto" w:sz="4" w:space="0"/>
              <w:bottom w:val="single" w:color="auto" w:sz="4" w:space="0"/>
              <w:right w:val="single" w:color="auto" w:sz="4" w:space="0"/>
            </w:tcBorders>
            <w:vAlign w:val="center"/>
          </w:tcPr>
          <w:p w14:paraId="1AA0204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69</w:t>
            </w:r>
          </w:p>
        </w:tc>
        <w:tc>
          <w:tcPr>
            <w:tcW w:w="496" w:type="pct"/>
            <w:tcBorders>
              <w:top w:val="single" w:color="auto" w:sz="4" w:space="0"/>
              <w:left w:val="single" w:color="auto" w:sz="4" w:space="0"/>
              <w:bottom w:val="single" w:color="auto" w:sz="4" w:space="0"/>
              <w:right w:val="single" w:color="auto" w:sz="4" w:space="0"/>
            </w:tcBorders>
            <w:vAlign w:val="center"/>
          </w:tcPr>
          <w:p w14:paraId="234F93F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55</w:t>
            </w:r>
          </w:p>
        </w:tc>
        <w:tc>
          <w:tcPr>
            <w:tcW w:w="442" w:type="pct"/>
            <w:tcBorders>
              <w:top w:val="single" w:color="auto" w:sz="4" w:space="0"/>
              <w:left w:val="single" w:color="auto" w:sz="4" w:space="0"/>
              <w:bottom w:val="single" w:color="auto" w:sz="4" w:space="0"/>
              <w:right w:val="single" w:color="auto" w:sz="4" w:space="0"/>
            </w:tcBorders>
            <w:vAlign w:val="center"/>
          </w:tcPr>
          <w:p w14:paraId="6132B53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49</w:t>
            </w:r>
          </w:p>
        </w:tc>
        <w:tc>
          <w:tcPr>
            <w:tcW w:w="616" w:type="pct"/>
            <w:tcBorders>
              <w:top w:val="single" w:color="auto" w:sz="4" w:space="0"/>
              <w:left w:val="single" w:color="auto" w:sz="4" w:space="0"/>
              <w:bottom w:val="single" w:color="auto" w:sz="4" w:space="0"/>
              <w:right w:val="single" w:color="auto" w:sz="4" w:space="0"/>
            </w:tcBorders>
            <w:vAlign w:val="center"/>
          </w:tcPr>
          <w:p w14:paraId="36FBB1E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45.5</w:t>
            </w:r>
          </w:p>
        </w:tc>
        <w:tc>
          <w:tcPr>
            <w:tcW w:w="631" w:type="pct"/>
            <w:tcBorders>
              <w:top w:val="single" w:color="auto" w:sz="4" w:space="0"/>
              <w:left w:val="single" w:color="auto" w:sz="4" w:space="0"/>
              <w:bottom w:val="single" w:color="auto" w:sz="4" w:space="0"/>
              <w:right w:val="single" w:color="auto" w:sz="4" w:space="0"/>
            </w:tcBorders>
            <w:vAlign w:val="center"/>
          </w:tcPr>
          <w:p w14:paraId="5014A0E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43.5</w:t>
            </w:r>
          </w:p>
        </w:tc>
        <w:tc>
          <w:tcPr>
            <w:tcW w:w="644" w:type="pct"/>
            <w:tcBorders>
              <w:top w:val="single" w:color="auto" w:sz="4" w:space="0"/>
              <w:left w:val="single" w:color="auto" w:sz="4" w:space="0"/>
              <w:bottom w:val="single" w:color="auto" w:sz="4" w:space="0"/>
              <w:right w:val="single" w:color="auto" w:sz="4" w:space="0"/>
            </w:tcBorders>
            <w:vAlign w:val="center"/>
          </w:tcPr>
          <w:p w14:paraId="62B3065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39.4</w:t>
            </w:r>
          </w:p>
        </w:tc>
      </w:tr>
      <w:tr w14:paraId="60E60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4" w:type="pct"/>
            <w:tcBorders>
              <w:top w:val="single" w:color="auto" w:sz="4" w:space="0"/>
              <w:left w:val="single" w:color="auto" w:sz="4" w:space="0"/>
              <w:bottom w:val="single" w:color="auto" w:sz="4" w:space="0"/>
              <w:right w:val="single" w:color="auto" w:sz="4" w:space="0"/>
            </w:tcBorders>
            <w:vAlign w:val="center"/>
          </w:tcPr>
          <w:p w14:paraId="10B2B771">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定向钻机</w:t>
            </w:r>
          </w:p>
        </w:tc>
        <w:tc>
          <w:tcPr>
            <w:tcW w:w="908" w:type="pct"/>
            <w:tcBorders>
              <w:top w:val="single" w:color="auto" w:sz="4" w:space="0"/>
              <w:left w:val="single" w:color="auto" w:sz="4" w:space="0"/>
              <w:bottom w:val="single" w:color="auto" w:sz="4" w:space="0"/>
              <w:right w:val="single" w:color="auto" w:sz="4" w:space="0"/>
            </w:tcBorders>
            <w:vAlign w:val="center"/>
          </w:tcPr>
          <w:p w14:paraId="74D7AEA3">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100（1m 处）</w:t>
            </w:r>
          </w:p>
        </w:tc>
        <w:tc>
          <w:tcPr>
            <w:tcW w:w="345" w:type="pct"/>
            <w:tcBorders>
              <w:top w:val="single" w:color="auto" w:sz="4" w:space="0"/>
              <w:left w:val="single" w:color="auto" w:sz="4" w:space="0"/>
              <w:bottom w:val="single" w:color="auto" w:sz="4" w:space="0"/>
              <w:right w:val="single" w:color="auto" w:sz="4" w:space="0"/>
            </w:tcBorders>
            <w:vAlign w:val="center"/>
          </w:tcPr>
          <w:p w14:paraId="4C551D7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94</w:t>
            </w:r>
          </w:p>
        </w:tc>
        <w:tc>
          <w:tcPr>
            <w:tcW w:w="496" w:type="pct"/>
            <w:tcBorders>
              <w:top w:val="single" w:color="auto" w:sz="4" w:space="0"/>
              <w:left w:val="single" w:color="auto" w:sz="4" w:space="0"/>
              <w:bottom w:val="single" w:color="auto" w:sz="4" w:space="0"/>
              <w:right w:val="single" w:color="auto" w:sz="4" w:space="0"/>
            </w:tcBorders>
            <w:vAlign w:val="center"/>
          </w:tcPr>
          <w:p w14:paraId="6C61597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80</w:t>
            </w:r>
          </w:p>
        </w:tc>
        <w:tc>
          <w:tcPr>
            <w:tcW w:w="442" w:type="pct"/>
            <w:tcBorders>
              <w:top w:val="single" w:color="auto" w:sz="4" w:space="0"/>
              <w:left w:val="single" w:color="auto" w:sz="4" w:space="0"/>
              <w:bottom w:val="single" w:color="auto" w:sz="4" w:space="0"/>
              <w:right w:val="single" w:color="auto" w:sz="4" w:space="0"/>
            </w:tcBorders>
            <w:vAlign w:val="center"/>
          </w:tcPr>
          <w:p w14:paraId="792245B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74</w:t>
            </w:r>
          </w:p>
        </w:tc>
        <w:tc>
          <w:tcPr>
            <w:tcW w:w="616" w:type="pct"/>
            <w:tcBorders>
              <w:top w:val="single" w:color="auto" w:sz="4" w:space="0"/>
              <w:left w:val="single" w:color="auto" w:sz="4" w:space="0"/>
              <w:bottom w:val="single" w:color="auto" w:sz="4" w:space="0"/>
              <w:right w:val="single" w:color="auto" w:sz="4" w:space="0"/>
            </w:tcBorders>
            <w:vAlign w:val="center"/>
          </w:tcPr>
          <w:p w14:paraId="5A83B01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70.5</w:t>
            </w:r>
          </w:p>
        </w:tc>
        <w:tc>
          <w:tcPr>
            <w:tcW w:w="631" w:type="pct"/>
            <w:tcBorders>
              <w:top w:val="single" w:color="auto" w:sz="4" w:space="0"/>
              <w:left w:val="single" w:color="auto" w:sz="4" w:space="0"/>
              <w:bottom w:val="single" w:color="auto" w:sz="4" w:space="0"/>
              <w:right w:val="single" w:color="auto" w:sz="4" w:space="0"/>
            </w:tcBorders>
            <w:vAlign w:val="center"/>
          </w:tcPr>
          <w:p w14:paraId="37E6431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68</w:t>
            </w:r>
          </w:p>
        </w:tc>
        <w:tc>
          <w:tcPr>
            <w:tcW w:w="644" w:type="pct"/>
            <w:tcBorders>
              <w:top w:val="single" w:color="auto" w:sz="4" w:space="0"/>
              <w:left w:val="single" w:color="auto" w:sz="4" w:space="0"/>
              <w:bottom w:val="single" w:color="auto" w:sz="4" w:space="0"/>
              <w:right w:val="single" w:color="auto" w:sz="4" w:space="0"/>
            </w:tcBorders>
            <w:vAlign w:val="center"/>
          </w:tcPr>
          <w:p w14:paraId="64F59D0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64.4</w:t>
            </w:r>
          </w:p>
        </w:tc>
      </w:tr>
      <w:tr w14:paraId="0446F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14" w:type="pct"/>
            <w:tcBorders>
              <w:top w:val="single" w:color="auto" w:sz="4" w:space="0"/>
              <w:left w:val="single" w:color="auto" w:sz="4" w:space="0"/>
              <w:bottom w:val="single" w:color="auto" w:sz="4" w:space="0"/>
              <w:right w:val="single" w:color="auto" w:sz="4" w:space="0"/>
            </w:tcBorders>
            <w:vAlign w:val="center"/>
          </w:tcPr>
          <w:p w14:paraId="40E95E90">
            <w:pPr>
              <w:pStyle w:val="2857"/>
              <w:keepNext w:val="0"/>
              <w:keepLines w:val="0"/>
              <w:pageBreakBefore w:val="0"/>
              <w:widowControl w:val="0"/>
              <w:kinsoku/>
              <w:wordWrap/>
              <w:overflowPunct/>
              <w:topLinePunct w:val="0"/>
              <w:autoSpaceDE/>
              <w:autoSpaceDN/>
              <w:bidi w:val="0"/>
              <w:adjustRightInd/>
              <w:snapToGrid/>
              <w:spacing w:line="360" w:lineRule="exact"/>
              <w:ind w:left="0" w:right="121" w:hanging="104"/>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混凝土搅拌罐车</w:t>
            </w:r>
          </w:p>
        </w:tc>
        <w:tc>
          <w:tcPr>
            <w:tcW w:w="908" w:type="pct"/>
            <w:tcBorders>
              <w:top w:val="single" w:color="auto" w:sz="4" w:space="0"/>
              <w:left w:val="single" w:color="auto" w:sz="4" w:space="0"/>
              <w:bottom w:val="single" w:color="auto" w:sz="4" w:space="0"/>
              <w:right w:val="single" w:color="auto" w:sz="4" w:space="0"/>
            </w:tcBorders>
            <w:vAlign w:val="center"/>
          </w:tcPr>
          <w:p w14:paraId="76FF69B8">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95（1m 处）</w:t>
            </w:r>
          </w:p>
        </w:tc>
        <w:tc>
          <w:tcPr>
            <w:tcW w:w="345" w:type="pct"/>
            <w:tcBorders>
              <w:top w:val="single" w:color="auto" w:sz="4" w:space="0"/>
              <w:left w:val="single" w:color="auto" w:sz="4" w:space="0"/>
              <w:bottom w:val="single" w:color="auto" w:sz="4" w:space="0"/>
              <w:right w:val="single" w:color="auto" w:sz="4" w:space="0"/>
            </w:tcBorders>
            <w:vAlign w:val="center"/>
          </w:tcPr>
          <w:p w14:paraId="6E37F79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89</w:t>
            </w:r>
          </w:p>
        </w:tc>
        <w:tc>
          <w:tcPr>
            <w:tcW w:w="496" w:type="pct"/>
            <w:tcBorders>
              <w:top w:val="single" w:color="auto" w:sz="4" w:space="0"/>
              <w:left w:val="single" w:color="auto" w:sz="4" w:space="0"/>
              <w:bottom w:val="single" w:color="auto" w:sz="4" w:space="0"/>
              <w:right w:val="single" w:color="auto" w:sz="4" w:space="0"/>
            </w:tcBorders>
            <w:vAlign w:val="center"/>
          </w:tcPr>
          <w:p w14:paraId="20FE11E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75</w:t>
            </w:r>
          </w:p>
        </w:tc>
        <w:tc>
          <w:tcPr>
            <w:tcW w:w="442" w:type="pct"/>
            <w:tcBorders>
              <w:top w:val="single" w:color="auto" w:sz="4" w:space="0"/>
              <w:left w:val="single" w:color="auto" w:sz="4" w:space="0"/>
              <w:bottom w:val="single" w:color="auto" w:sz="4" w:space="0"/>
              <w:right w:val="single" w:color="auto" w:sz="4" w:space="0"/>
            </w:tcBorders>
            <w:vAlign w:val="center"/>
          </w:tcPr>
          <w:p w14:paraId="1352F71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69</w:t>
            </w:r>
          </w:p>
        </w:tc>
        <w:tc>
          <w:tcPr>
            <w:tcW w:w="616" w:type="pct"/>
            <w:tcBorders>
              <w:top w:val="single" w:color="auto" w:sz="4" w:space="0"/>
              <w:left w:val="single" w:color="auto" w:sz="4" w:space="0"/>
              <w:bottom w:val="single" w:color="auto" w:sz="4" w:space="0"/>
              <w:right w:val="single" w:color="auto" w:sz="4" w:space="0"/>
            </w:tcBorders>
            <w:vAlign w:val="center"/>
          </w:tcPr>
          <w:p w14:paraId="718D479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65.5</w:t>
            </w:r>
          </w:p>
        </w:tc>
        <w:tc>
          <w:tcPr>
            <w:tcW w:w="631" w:type="pct"/>
            <w:tcBorders>
              <w:top w:val="single" w:color="auto" w:sz="4" w:space="0"/>
              <w:left w:val="single" w:color="auto" w:sz="4" w:space="0"/>
              <w:bottom w:val="single" w:color="auto" w:sz="4" w:space="0"/>
              <w:right w:val="single" w:color="auto" w:sz="4" w:space="0"/>
            </w:tcBorders>
            <w:vAlign w:val="center"/>
          </w:tcPr>
          <w:p w14:paraId="48B8DEF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63.5</w:t>
            </w:r>
          </w:p>
        </w:tc>
        <w:tc>
          <w:tcPr>
            <w:tcW w:w="644" w:type="pct"/>
            <w:tcBorders>
              <w:top w:val="single" w:color="auto" w:sz="4" w:space="0"/>
              <w:left w:val="single" w:color="auto" w:sz="4" w:space="0"/>
              <w:bottom w:val="single" w:color="auto" w:sz="4" w:space="0"/>
              <w:right w:val="single" w:color="auto" w:sz="4" w:space="0"/>
            </w:tcBorders>
            <w:vAlign w:val="center"/>
          </w:tcPr>
          <w:p w14:paraId="7761FCF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59.4</w:t>
            </w:r>
          </w:p>
        </w:tc>
      </w:tr>
      <w:tr w14:paraId="20CF1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914" w:type="pct"/>
            <w:tcBorders>
              <w:top w:val="single" w:color="auto" w:sz="4" w:space="0"/>
              <w:left w:val="single" w:color="auto" w:sz="4" w:space="0"/>
              <w:bottom w:val="single" w:color="auto" w:sz="4" w:space="0"/>
              <w:right w:val="single" w:color="auto" w:sz="4" w:space="0"/>
            </w:tcBorders>
            <w:vAlign w:val="center"/>
          </w:tcPr>
          <w:p w14:paraId="4CE4CF7A">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挖掘机</w:t>
            </w:r>
          </w:p>
        </w:tc>
        <w:tc>
          <w:tcPr>
            <w:tcW w:w="908" w:type="pct"/>
            <w:tcBorders>
              <w:top w:val="single" w:color="auto" w:sz="4" w:space="0"/>
              <w:left w:val="single" w:color="auto" w:sz="4" w:space="0"/>
              <w:bottom w:val="single" w:color="auto" w:sz="4" w:space="0"/>
              <w:right w:val="single" w:color="auto" w:sz="4" w:space="0"/>
            </w:tcBorders>
            <w:vAlign w:val="center"/>
          </w:tcPr>
          <w:p w14:paraId="4F028BA9">
            <w:pPr>
              <w:pStyle w:val="2857"/>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90（5m 处）</w:t>
            </w:r>
          </w:p>
        </w:tc>
        <w:tc>
          <w:tcPr>
            <w:tcW w:w="345" w:type="pct"/>
            <w:tcBorders>
              <w:top w:val="single" w:color="auto" w:sz="4" w:space="0"/>
              <w:left w:val="single" w:color="auto" w:sz="4" w:space="0"/>
              <w:bottom w:val="single" w:color="auto" w:sz="4" w:space="0"/>
              <w:right w:val="single" w:color="auto" w:sz="4" w:space="0"/>
            </w:tcBorders>
            <w:vAlign w:val="center"/>
          </w:tcPr>
          <w:p w14:paraId="6C57CA5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84</w:t>
            </w:r>
          </w:p>
        </w:tc>
        <w:tc>
          <w:tcPr>
            <w:tcW w:w="496" w:type="pct"/>
            <w:tcBorders>
              <w:top w:val="single" w:color="auto" w:sz="4" w:space="0"/>
              <w:left w:val="single" w:color="auto" w:sz="4" w:space="0"/>
              <w:bottom w:val="single" w:color="auto" w:sz="4" w:space="0"/>
              <w:right w:val="single" w:color="auto" w:sz="4" w:space="0"/>
            </w:tcBorders>
            <w:vAlign w:val="center"/>
          </w:tcPr>
          <w:p w14:paraId="703B670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70</w:t>
            </w:r>
          </w:p>
        </w:tc>
        <w:tc>
          <w:tcPr>
            <w:tcW w:w="442" w:type="pct"/>
            <w:tcBorders>
              <w:top w:val="single" w:color="auto" w:sz="4" w:space="0"/>
              <w:left w:val="single" w:color="auto" w:sz="4" w:space="0"/>
              <w:bottom w:val="single" w:color="auto" w:sz="4" w:space="0"/>
              <w:right w:val="single" w:color="auto" w:sz="4" w:space="0"/>
            </w:tcBorders>
            <w:vAlign w:val="center"/>
          </w:tcPr>
          <w:p w14:paraId="66BC528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64</w:t>
            </w:r>
          </w:p>
        </w:tc>
        <w:tc>
          <w:tcPr>
            <w:tcW w:w="616" w:type="pct"/>
            <w:tcBorders>
              <w:top w:val="single" w:color="auto" w:sz="4" w:space="0"/>
              <w:left w:val="single" w:color="auto" w:sz="4" w:space="0"/>
              <w:bottom w:val="single" w:color="auto" w:sz="4" w:space="0"/>
              <w:right w:val="single" w:color="auto" w:sz="4" w:space="0"/>
            </w:tcBorders>
            <w:vAlign w:val="center"/>
          </w:tcPr>
          <w:p w14:paraId="6212BA3B">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60.5</w:t>
            </w:r>
          </w:p>
        </w:tc>
        <w:tc>
          <w:tcPr>
            <w:tcW w:w="631" w:type="pct"/>
            <w:tcBorders>
              <w:top w:val="single" w:color="auto" w:sz="4" w:space="0"/>
              <w:left w:val="single" w:color="auto" w:sz="4" w:space="0"/>
              <w:bottom w:val="single" w:color="auto" w:sz="4" w:space="0"/>
              <w:right w:val="single" w:color="auto" w:sz="4" w:space="0"/>
            </w:tcBorders>
            <w:vAlign w:val="center"/>
          </w:tcPr>
          <w:p w14:paraId="7199AC7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58</w:t>
            </w:r>
          </w:p>
        </w:tc>
        <w:tc>
          <w:tcPr>
            <w:tcW w:w="644" w:type="pct"/>
            <w:tcBorders>
              <w:top w:val="single" w:color="auto" w:sz="4" w:space="0"/>
              <w:left w:val="single" w:color="auto" w:sz="4" w:space="0"/>
              <w:bottom w:val="single" w:color="auto" w:sz="4" w:space="0"/>
              <w:right w:val="single" w:color="auto" w:sz="4" w:space="0"/>
            </w:tcBorders>
            <w:vAlign w:val="center"/>
          </w:tcPr>
          <w:p w14:paraId="1943BAC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kern w:val="2"/>
                <w:sz w:val="21"/>
                <w:szCs w:val="21"/>
                <w:highlight w:val="none"/>
                <w:lang w:val="en-US" w:eastAsia="zh-CN" w:bidi="ar-SA"/>
              </w:rPr>
              <w:t>54.4</w:t>
            </w:r>
          </w:p>
        </w:tc>
      </w:tr>
    </w:tbl>
    <w:p w14:paraId="08E7382C">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本项目地面</w:t>
      </w:r>
      <w:r>
        <w:rPr>
          <w:rFonts w:ascii="Times New Roman" w:hAnsi="Times New Roman" w:eastAsia="宋体" w:cs="Times New Roman"/>
          <w:color w:val="auto"/>
          <w:w w:val="99"/>
          <w:kern w:val="2"/>
          <w:highlight w:val="none"/>
        </w:rPr>
        <w:t>工程道路施工、管线工程等仅在昼间进行施工，距离地面工程较近的声环境敏感点为</w:t>
      </w:r>
      <w:r>
        <w:rPr>
          <w:rFonts w:hint="eastAsia" w:ascii="Times New Roman" w:hAnsi="Times New Roman" w:cs="Times New Roman"/>
          <w:color w:val="auto"/>
          <w:w w:val="99"/>
          <w:kern w:val="2"/>
          <w:highlight w:val="none"/>
          <w:lang w:val="en-US" w:eastAsia="zh-CN"/>
        </w:rPr>
        <w:t>采气管线西</w:t>
      </w:r>
      <w:r>
        <w:rPr>
          <w:rFonts w:hint="eastAsia" w:ascii="Times New Roman" w:hAnsi="Times New Roman" w:eastAsia="宋体" w:cs="Times New Roman"/>
          <w:color w:val="auto"/>
          <w:w w:val="99"/>
          <w:kern w:val="2"/>
          <w:highlight w:val="none"/>
          <w:lang w:val="en-US" w:eastAsia="zh-CN"/>
        </w:rPr>
        <w:t>侧100m的尚家围子屯</w:t>
      </w:r>
      <w:r>
        <w:rPr>
          <w:rFonts w:ascii="Times New Roman" w:hAnsi="Times New Roman" w:eastAsia="宋体" w:cs="Times New Roman"/>
          <w:color w:val="auto"/>
          <w:w w:val="99"/>
          <w:kern w:val="2"/>
          <w:highlight w:val="none"/>
        </w:rPr>
        <w:t>，</w:t>
      </w:r>
      <w:r>
        <w:rPr>
          <w:rFonts w:hint="eastAsia" w:ascii="Times New Roman" w:hAnsi="Times New Roman" w:eastAsia="宋体" w:cs="Times New Roman"/>
          <w:color w:val="auto"/>
          <w:w w:val="99"/>
          <w:kern w:val="2"/>
          <w:highlight w:val="none"/>
          <w:lang w:val="en-US" w:eastAsia="zh-CN"/>
        </w:rPr>
        <w:t>管线施工过程中采取人工开挖，并在靠近村屯一侧安装隔声屏障，</w:t>
      </w:r>
      <w:r>
        <w:rPr>
          <w:rFonts w:ascii="Times New Roman" w:hAnsi="Times New Roman" w:eastAsia="宋体" w:cs="Times New Roman"/>
          <w:color w:val="auto"/>
          <w:w w:val="99"/>
          <w:kern w:val="2"/>
          <w:highlight w:val="none"/>
        </w:rPr>
        <w:t>减少挖掘机等施工机械施工时间，降</w:t>
      </w:r>
      <w:r>
        <w:rPr>
          <w:rFonts w:ascii="Times New Roman" w:hAnsi="Times New Roman" w:cs="Times New Roman"/>
          <w:bCs/>
          <w:color w:val="auto"/>
          <w:w w:val="99"/>
          <w:kern w:val="2"/>
          <w:highlight w:val="none"/>
        </w:rPr>
        <w:t>低噪声影响</w:t>
      </w:r>
      <w:r>
        <w:rPr>
          <w:rFonts w:hint="eastAsia" w:ascii="Times New Roman" w:hAnsi="Times New Roman" w:cs="Times New Roman"/>
          <w:bCs/>
          <w:color w:val="auto"/>
          <w:w w:val="99"/>
          <w:kern w:val="2"/>
          <w:highlight w:val="none"/>
          <w:lang w:eastAsia="zh-CN"/>
        </w:rPr>
        <w:t>，</w:t>
      </w:r>
      <w:r>
        <w:rPr>
          <w:rFonts w:ascii="Times New Roman" w:hAnsi="Times New Roman" w:cs="Times New Roman"/>
          <w:bCs/>
          <w:color w:val="auto"/>
          <w:w w:val="99"/>
          <w:kern w:val="2"/>
          <w:highlight w:val="none"/>
        </w:rPr>
        <w:t>声环境能够满足《声环境质量标准》（GB3096-2008）中1类区标准，</w:t>
      </w:r>
      <w:r>
        <w:rPr>
          <w:rFonts w:ascii="Times New Roman" w:hAnsi="Times New Roman" w:cs="Times New Roman"/>
          <w:color w:val="auto"/>
          <w:w w:val="99"/>
          <w:kern w:val="2"/>
          <w:highlight w:val="none"/>
        </w:rPr>
        <w:t>地面工程施工期拟采取以下措施：</w:t>
      </w:r>
    </w:p>
    <w:p w14:paraId="7EDA323D">
      <w:pPr>
        <w:widowControl w:val="0"/>
        <w:spacing w:line="440" w:lineRule="exact"/>
        <w:ind w:firstLine="474" w:firstLineChars="200"/>
        <w:jc w:val="both"/>
        <w:rPr>
          <w:rFonts w:ascii="Times New Roman" w:hAnsi="Times New Roman" w:cs="Times New Roman"/>
          <w:color w:val="auto"/>
          <w:w w:val="99"/>
          <w:kern w:val="2"/>
          <w:highlight w:val="none"/>
        </w:rPr>
      </w:pPr>
      <w:r>
        <w:rPr>
          <w:rFonts w:hint="eastAsia"/>
          <w:color w:val="auto"/>
          <w:w w:val="99"/>
          <w:kern w:val="2"/>
          <w:highlight w:val="none"/>
        </w:rPr>
        <w:t>①</w:t>
      </w:r>
      <w:r>
        <w:rPr>
          <w:rFonts w:ascii="Times New Roman" w:hAnsi="Times New Roman" w:cs="Times New Roman"/>
          <w:color w:val="auto"/>
          <w:w w:val="99"/>
          <w:kern w:val="2"/>
          <w:highlight w:val="none"/>
        </w:rPr>
        <w:t>降低设备噪声。选用低噪声设备，注意对设备的维护和保养，合理操作，保证施工机械保持在最佳状态，降低噪声源强度。</w:t>
      </w:r>
    </w:p>
    <w:p w14:paraId="0473BF54">
      <w:pPr>
        <w:widowControl w:val="0"/>
        <w:spacing w:line="440" w:lineRule="exact"/>
        <w:ind w:firstLine="474" w:firstLineChars="200"/>
        <w:jc w:val="both"/>
        <w:rPr>
          <w:rFonts w:ascii="Times New Roman" w:hAnsi="Times New Roman" w:cs="Times New Roman"/>
          <w:color w:val="auto"/>
          <w:w w:val="99"/>
          <w:kern w:val="2"/>
          <w:highlight w:val="none"/>
        </w:rPr>
      </w:pPr>
      <w:r>
        <w:rPr>
          <w:rFonts w:hint="eastAsia"/>
          <w:color w:val="auto"/>
          <w:w w:val="99"/>
          <w:kern w:val="2"/>
          <w:highlight w:val="none"/>
        </w:rPr>
        <w:t>②</w:t>
      </w:r>
      <w:r>
        <w:rPr>
          <w:rFonts w:ascii="Times New Roman" w:hAnsi="Times New Roman" w:cs="Times New Roman"/>
          <w:color w:val="auto"/>
          <w:w w:val="99"/>
          <w:kern w:val="2"/>
          <w:highlight w:val="none"/>
        </w:rPr>
        <w:t>合理安排施工进度，减少施工时间，不在夜间施工，调整同时作业的施工机械数量，降低对周围环境的影响。</w:t>
      </w:r>
    </w:p>
    <w:p w14:paraId="15E4B2C3">
      <w:pPr>
        <w:widowControl w:val="0"/>
        <w:spacing w:line="440" w:lineRule="exact"/>
        <w:ind w:firstLine="474" w:firstLineChars="200"/>
        <w:jc w:val="both"/>
        <w:rPr>
          <w:rFonts w:ascii="Times New Roman" w:hAnsi="Times New Roman" w:cs="Times New Roman"/>
          <w:color w:val="auto"/>
          <w:w w:val="99"/>
          <w:kern w:val="2"/>
          <w:highlight w:val="none"/>
        </w:rPr>
      </w:pPr>
      <w:r>
        <w:rPr>
          <w:rFonts w:hint="eastAsia"/>
          <w:color w:val="auto"/>
          <w:w w:val="99"/>
          <w:kern w:val="2"/>
          <w:highlight w:val="none"/>
        </w:rPr>
        <w:t>③</w:t>
      </w:r>
      <w:r>
        <w:rPr>
          <w:rFonts w:ascii="Times New Roman" w:hAnsi="Times New Roman" w:cs="Times New Roman"/>
          <w:color w:val="auto"/>
          <w:w w:val="99"/>
          <w:kern w:val="2"/>
          <w:highlight w:val="none"/>
        </w:rPr>
        <w:t>合理布置施工现场，尽量将高噪声机械布置远离环境敏感点一侧，同时，避免在同一地点安排较多的动力机械。</w:t>
      </w:r>
    </w:p>
    <w:p w14:paraId="02819676">
      <w:pPr>
        <w:widowControl w:val="0"/>
        <w:spacing w:line="440" w:lineRule="exact"/>
        <w:ind w:firstLine="474" w:firstLineChars="200"/>
        <w:jc w:val="both"/>
        <w:rPr>
          <w:rFonts w:ascii="Times New Roman" w:hAnsi="Times New Roman" w:cs="Times New Roman"/>
          <w:color w:val="auto"/>
          <w:w w:val="99"/>
          <w:kern w:val="2"/>
          <w:highlight w:val="none"/>
        </w:rPr>
      </w:pPr>
      <w:r>
        <w:rPr>
          <w:rFonts w:hint="eastAsia"/>
          <w:color w:val="auto"/>
          <w:w w:val="99"/>
          <w:kern w:val="2"/>
          <w:highlight w:val="none"/>
        </w:rPr>
        <w:t>④</w:t>
      </w:r>
      <w:r>
        <w:rPr>
          <w:rFonts w:ascii="Times New Roman" w:hAnsi="Times New Roman" w:cs="Times New Roman"/>
          <w:color w:val="auto"/>
          <w:w w:val="99"/>
          <w:kern w:val="2"/>
          <w:highlight w:val="none"/>
        </w:rPr>
        <w:t>施工期运输车辆的运行路线应远离周围的居民区，合理选择路线进行绕行、避让措施，临近居民区应减少汽车鸣笛的次数，减速慢行，减少车辆噪声对居民区的不利影响。</w:t>
      </w:r>
    </w:p>
    <w:p w14:paraId="35D60371">
      <w:pPr>
        <w:widowControl w:val="0"/>
        <w:spacing w:line="440" w:lineRule="exact"/>
        <w:ind w:firstLine="474" w:firstLineChars="200"/>
        <w:jc w:val="both"/>
        <w:rPr>
          <w:rFonts w:ascii="Times New Roman" w:hAnsi="Times New Roman" w:cs="Times New Roman"/>
          <w:color w:val="auto"/>
          <w:w w:val="99"/>
          <w:kern w:val="2"/>
          <w:highlight w:val="none"/>
        </w:rPr>
      </w:pPr>
      <w:r>
        <w:rPr>
          <w:rFonts w:hint="eastAsia"/>
          <w:color w:val="auto"/>
          <w:w w:val="99"/>
          <w:kern w:val="2"/>
          <w:highlight w:val="none"/>
        </w:rPr>
        <w:t>⑤</w:t>
      </w:r>
      <w:r>
        <w:rPr>
          <w:rFonts w:ascii="Times New Roman" w:hAnsi="Times New Roman" w:cs="Times New Roman"/>
          <w:color w:val="auto"/>
          <w:w w:val="99"/>
          <w:kern w:val="2"/>
          <w:highlight w:val="none"/>
        </w:rPr>
        <w:t>在距离</w:t>
      </w:r>
      <w:r>
        <w:rPr>
          <w:rFonts w:hint="eastAsia" w:ascii="Times New Roman" w:hAnsi="Times New Roman" w:eastAsia="宋体" w:cs="Times New Roman"/>
          <w:bCs/>
          <w:color w:val="auto"/>
          <w:w w:val="99"/>
          <w:kern w:val="2"/>
          <w:highlight w:val="none"/>
          <w:lang w:val="en-US" w:eastAsia="zh-CN"/>
        </w:rPr>
        <w:t>尚家围子</w:t>
      </w:r>
      <w:r>
        <w:rPr>
          <w:rFonts w:ascii="Times New Roman" w:hAnsi="Times New Roman" w:eastAsia="宋体" w:cs="Times New Roman"/>
          <w:bCs/>
          <w:color w:val="auto"/>
          <w:w w:val="99"/>
          <w:kern w:val="2"/>
          <w:highlight w:val="none"/>
        </w:rPr>
        <w:t>屯</w:t>
      </w:r>
      <w:r>
        <w:rPr>
          <w:rFonts w:ascii="Times New Roman" w:hAnsi="Times New Roman" w:cs="Times New Roman"/>
          <w:color w:val="auto"/>
          <w:w w:val="99"/>
          <w:kern w:val="2"/>
          <w:highlight w:val="none"/>
        </w:rPr>
        <w:t>较近</w:t>
      </w:r>
      <w:r>
        <w:rPr>
          <w:rFonts w:ascii="Times New Roman" w:hAnsi="Times New Roman" w:cs="Times New Roman"/>
          <w:bCs/>
          <w:color w:val="auto"/>
          <w:w w:val="99"/>
          <w:kern w:val="2"/>
          <w:highlight w:val="none"/>
        </w:rPr>
        <w:t>管线施工过程中采取人工开挖，并在靠进村屯一侧安装隔声屏障，减少挖掘机等施工机械施工时间，降低噪声影响</w:t>
      </w:r>
      <w:r>
        <w:rPr>
          <w:rFonts w:ascii="Times New Roman" w:hAnsi="Times New Roman" w:cs="Times New Roman"/>
          <w:color w:val="auto"/>
          <w:w w:val="99"/>
          <w:kern w:val="2"/>
          <w:highlight w:val="none"/>
        </w:rPr>
        <w:t>。</w:t>
      </w:r>
    </w:p>
    <w:p w14:paraId="20963869">
      <w:pPr>
        <w:widowControl w:val="0"/>
        <w:shd w:val="clear"/>
        <w:spacing w:line="440" w:lineRule="exact"/>
        <w:ind w:firstLine="474" w:firstLineChars="200"/>
        <w:jc w:val="both"/>
        <w:rPr>
          <w:rFonts w:ascii="Times New Roman" w:hAnsi="Times New Roman" w:eastAsia="宋体" w:cs="Times New Roman"/>
          <w:color w:val="auto"/>
          <w:w w:val="99"/>
          <w:kern w:val="2"/>
          <w:highlight w:val="none"/>
        </w:rPr>
      </w:pPr>
      <w:r>
        <w:rPr>
          <w:rFonts w:ascii="Times New Roman" w:hAnsi="Times New Roman" w:cs="Times New Roman"/>
          <w:color w:val="auto"/>
          <w:w w:val="99"/>
          <w:kern w:val="2"/>
          <w:highlight w:val="none"/>
        </w:rPr>
        <w:t>在采取了上述措施后，地面工程井场、管线等施工场界噪声可以满足《</w:t>
      </w:r>
      <w:r>
        <w:rPr>
          <w:rFonts w:hint="eastAsia" w:ascii="Times New Roman" w:hAnsi="Times New Roman" w:cs="Times New Roman"/>
          <w:color w:val="auto"/>
          <w:w w:val="99"/>
          <w:kern w:val="2"/>
          <w:highlight w:val="none"/>
          <w:lang w:eastAsia="zh-CN"/>
        </w:rPr>
        <w:t>建筑施工噪声排放标准</w:t>
      </w:r>
      <w:r>
        <w:rPr>
          <w:rFonts w:ascii="Times New Roman" w:hAnsi="Times New Roman" w:cs="Times New Roman"/>
          <w:color w:val="auto"/>
          <w:w w:val="99"/>
          <w:kern w:val="2"/>
          <w:highlight w:val="none"/>
        </w:rPr>
        <w:t>》(GB12523-20</w:t>
      </w:r>
      <w:r>
        <w:rPr>
          <w:rFonts w:hint="eastAsia" w:ascii="Times New Roman" w:hAnsi="Times New Roman" w:cs="Times New Roman"/>
          <w:color w:val="auto"/>
          <w:w w:val="99"/>
          <w:kern w:val="2"/>
          <w:highlight w:val="none"/>
          <w:lang w:val="en-US" w:eastAsia="zh-CN"/>
        </w:rPr>
        <w:t>25</w:t>
      </w:r>
      <w:r>
        <w:rPr>
          <w:rFonts w:ascii="Times New Roman" w:hAnsi="Times New Roman" w:cs="Times New Roman"/>
          <w:color w:val="auto"/>
          <w:w w:val="99"/>
          <w:kern w:val="2"/>
          <w:highlight w:val="none"/>
        </w:rPr>
        <w:t>)标准要求。施工噪声对周围环境的影响较小，且施工期噪声对环境的影响是暂时性的，随着施工结束，其影响也随之消失。</w:t>
      </w:r>
    </w:p>
    <w:p w14:paraId="4703F521">
      <w:pPr>
        <w:pStyle w:val="7"/>
        <w:widowControl w:val="0"/>
        <w:spacing w:before="60" w:after="60" w:line="440" w:lineRule="exact"/>
        <w:jc w:val="both"/>
        <w:rPr>
          <w:rFonts w:eastAsiaTheme="minorEastAsia"/>
          <w:b/>
          <w:color w:val="auto"/>
          <w:w w:val="99"/>
          <w:kern w:val="2"/>
          <w:sz w:val="24"/>
          <w:szCs w:val="24"/>
          <w:highlight w:val="none"/>
        </w:rPr>
      </w:pPr>
      <w:bookmarkStart w:id="900" w:name="_Toc186444348"/>
      <w:bookmarkStart w:id="901" w:name="_Toc131167352"/>
      <w:bookmarkStart w:id="902" w:name="_Toc86141996"/>
      <w:bookmarkStart w:id="903" w:name="_Toc84929293"/>
      <w:bookmarkStart w:id="904" w:name="_Toc126863452"/>
      <w:bookmarkStart w:id="905" w:name="_Toc143099639"/>
      <w:bookmarkStart w:id="906" w:name="_Toc127192401"/>
      <w:bookmarkStart w:id="907" w:name="_Toc85640821"/>
      <w:r>
        <w:rPr>
          <w:rFonts w:eastAsiaTheme="minorEastAsia"/>
          <w:b/>
          <w:color w:val="auto"/>
          <w:w w:val="99"/>
          <w:kern w:val="2"/>
          <w:sz w:val="24"/>
          <w:szCs w:val="24"/>
          <w:highlight w:val="none"/>
        </w:rPr>
        <w:t>5.4.2运营期</w:t>
      </w:r>
      <w:bookmarkEnd w:id="900"/>
      <w:bookmarkEnd w:id="901"/>
      <w:bookmarkEnd w:id="902"/>
      <w:bookmarkEnd w:id="903"/>
      <w:bookmarkEnd w:id="904"/>
      <w:bookmarkEnd w:id="905"/>
      <w:bookmarkEnd w:id="906"/>
      <w:bookmarkEnd w:id="907"/>
    </w:p>
    <w:p w14:paraId="6D888673">
      <w:pPr>
        <w:widowControl w:val="0"/>
        <w:shd w:val="clear"/>
        <w:spacing w:line="440" w:lineRule="exact"/>
        <w:ind w:firstLine="474" w:firstLineChars="200"/>
        <w:jc w:val="both"/>
        <w:rPr>
          <w:rFonts w:hint="eastAsia" w:ascii="Times New Roman" w:hAnsi="Times New Roman" w:eastAsia="宋体" w:cs="Times New Roman"/>
          <w:color w:val="auto"/>
          <w:w w:val="99"/>
          <w:kern w:val="2"/>
          <w:highlight w:val="none"/>
          <w:lang w:val="en-US" w:eastAsia="zh-CN"/>
        </w:rPr>
      </w:pPr>
      <w:bookmarkStart w:id="908" w:name="_Toc186444349"/>
      <w:r>
        <w:rPr>
          <w:rFonts w:hint="eastAsia" w:ascii="Times New Roman" w:hAnsi="Times New Roman" w:cs="Times New Roman"/>
          <w:color w:val="auto"/>
          <w:w w:val="99"/>
          <w:kern w:val="2"/>
          <w:highlight w:val="none"/>
          <w:lang w:val="en-US" w:eastAsia="zh-CN"/>
        </w:rPr>
        <w:t>本项目建成后，气井井场正常运营期无噪声</w:t>
      </w:r>
      <w:r>
        <w:rPr>
          <w:rFonts w:hint="eastAsia" w:ascii="Times New Roman" w:hAnsi="Times New Roman" w:eastAsia="宋体" w:cs="Times New Roman"/>
          <w:color w:val="auto"/>
          <w:w w:val="99"/>
          <w:kern w:val="2"/>
          <w:highlight w:val="none"/>
          <w:lang w:val="en-US" w:eastAsia="zh-CN"/>
        </w:rPr>
        <w:t>，非正常工况下噪声源主要为井场放空系统噪声，噪声源强均为 105dB(A）左右。</w:t>
      </w:r>
    </w:p>
    <w:p w14:paraId="58E0DC1E">
      <w:pPr>
        <w:widowControl w:val="0"/>
        <w:shd w:val="clear"/>
        <w:spacing w:line="440" w:lineRule="exact"/>
        <w:ind w:firstLine="474" w:firstLineChars="200"/>
        <w:jc w:val="both"/>
        <w:rPr>
          <w:rFonts w:hint="eastAsia"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本次评价将放空噪声简化为1个点声源，在半自由空间下考虑叠加反射声源，放空 一般情况放空在昼 间进行 。本 次评价采用环安噪声预测 软件（NoiseSystem）对项目压裂作业噪声进行预测分析。噪声传播受距离、气候条件，声源位置等参数的影响发生一定程度的衰减，本项目所在地区年均气温3.4℃ , 年平均相对湿度 66%步长取 10m。</w:t>
      </w:r>
    </w:p>
    <w:p w14:paraId="76546FAF">
      <w:pPr>
        <w:widowControl w:val="0"/>
        <w:shd w:val="clear"/>
        <w:spacing w:line="440" w:lineRule="exact"/>
        <w:ind w:firstLine="474" w:firstLineChars="200"/>
        <w:jc w:val="both"/>
        <w:rPr>
          <w:rFonts w:hint="eastAsia"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本项目井场放空噪声预测结果详见表 5.4-5。</w:t>
      </w:r>
    </w:p>
    <w:p w14:paraId="6ACCFE87">
      <w:pPr>
        <w:widowControl w:val="0"/>
        <w:shd w:val="clear"/>
        <w:spacing w:line="440" w:lineRule="exact"/>
        <w:ind w:firstLine="476" w:firstLineChars="200"/>
        <w:jc w:val="both"/>
        <w:rPr>
          <w:rFonts w:hint="eastAsia" w:ascii="Times New Roman" w:hAnsi="Times New Roman" w:eastAsia="宋体" w:cs="Times New Roman"/>
          <w:b/>
          <w:bCs/>
          <w:color w:val="auto"/>
          <w:w w:val="99"/>
          <w:kern w:val="2"/>
          <w:highlight w:val="none"/>
          <w:lang w:val="en-US" w:eastAsia="zh-CN"/>
        </w:rPr>
      </w:pPr>
      <w:r>
        <w:rPr>
          <w:rFonts w:hint="eastAsia" w:ascii="Times New Roman" w:hAnsi="Times New Roman" w:eastAsia="宋体" w:cs="Times New Roman"/>
          <w:b/>
          <w:bCs/>
          <w:color w:val="auto"/>
          <w:w w:val="99"/>
          <w:kern w:val="2"/>
          <w:highlight w:val="none"/>
          <w:lang w:val="en-US" w:eastAsia="zh-CN"/>
        </w:rPr>
        <w:t>表 5.4-5  井场放空池和集气站放空火炬不同距离处的噪声预测结果 单位：dB（A）</w:t>
      </w:r>
    </w:p>
    <w:p w14:paraId="5C0306B1">
      <w:pPr>
        <w:spacing w:line="79" w:lineRule="exact"/>
      </w:pPr>
    </w:p>
    <w:tbl>
      <w:tblPr>
        <w:tblStyle w:val="166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34"/>
        <w:gridCol w:w="456"/>
        <w:gridCol w:w="1420"/>
        <w:gridCol w:w="795"/>
        <w:gridCol w:w="795"/>
        <w:gridCol w:w="795"/>
        <w:gridCol w:w="795"/>
        <w:gridCol w:w="795"/>
        <w:gridCol w:w="795"/>
        <w:gridCol w:w="795"/>
        <w:gridCol w:w="802"/>
      </w:tblGrid>
      <w:tr w14:paraId="47F55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59" w:type="pct"/>
            <w:vMerge w:val="restart"/>
            <w:tcBorders>
              <w:top w:val="single" w:color="auto" w:sz="4" w:space="0"/>
              <w:left w:val="single" w:color="auto" w:sz="4" w:space="0"/>
              <w:bottom w:val="single" w:color="auto" w:sz="4" w:space="0"/>
              <w:right w:val="single" w:color="auto" w:sz="4" w:space="0"/>
            </w:tcBorders>
            <w:vAlign w:val="center"/>
          </w:tcPr>
          <w:p w14:paraId="6D089F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点声源名称</w:t>
            </w:r>
          </w:p>
        </w:tc>
        <w:tc>
          <w:tcPr>
            <w:tcW w:w="251" w:type="pct"/>
            <w:vMerge w:val="restart"/>
            <w:tcBorders>
              <w:top w:val="single" w:color="auto" w:sz="4" w:space="0"/>
              <w:left w:val="single" w:color="auto" w:sz="4" w:space="0"/>
              <w:bottom w:val="single" w:color="auto" w:sz="4" w:space="0"/>
              <w:right w:val="single" w:color="auto" w:sz="4" w:space="0"/>
            </w:tcBorders>
            <w:textDirection w:val="tbRlV"/>
            <w:vAlign w:val="center"/>
          </w:tcPr>
          <w:p w14:paraId="430AB3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源 强</w:t>
            </w:r>
          </w:p>
        </w:tc>
        <w:tc>
          <w:tcPr>
            <w:tcW w:w="782" w:type="pct"/>
            <w:vMerge w:val="restart"/>
            <w:tcBorders>
              <w:top w:val="single" w:color="auto" w:sz="4" w:space="0"/>
              <w:left w:val="single" w:color="auto" w:sz="4" w:space="0"/>
              <w:bottom w:val="single" w:color="auto" w:sz="4" w:space="0"/>
              <w:right w:val="single" w:color="auto" w:sz="4" w:space="0"/>
            </w:tcBorders>
            <w:vAlign w:val="center"/>
          </w:tcPr>
          <w:p w14:paraId="3D1B9C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类别</w:t>
            </w:r>
          </w:p>
        </w:tc>
        <w:tc>
          <w:tcPr>
            <w:tcW w:w="3506" w:type="pct"/>
            <w:gridSpan w:val="8"/>
            <w:tcBorders>
              <w:top w:val="single" w:color="auto" w:sz="4" w:space="0"/>
              <w:left w:val="single" w:color="auto" w:sz="4" w:space="0"/>
              <w:bottom w:val="single" w:color="auto" w:sz="4" w:space="0"/>
              <w:right w:val="single" w:color="auto" w:sz="4" w:space="0"/>
            </w:tcBorders>
            <w:vAlign w:val="center"/>
          </w:tcPr>
          <w:p w14:paraId="484CE1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距离放空区不同距离处的噪声贡献值</w:t>
            </w:r>
          </w:p>
        </w:tc>
      </w:tr>
      <w:tr w14:paraId="5E6E5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59" w:type="pct"/>
            <w:vMerge w:val="continue"/>
            <w:tcBorders>
              <w:top w:val="single" w:color="auto" w:sz="4" w:space="0"/>
              <w:left w:val="single" w:color="auto" w:sz="4" w:space="0"/>
              <w:bottom w:val="single" w:color="auto" w:sz="4" w:space="0"/>
              <w:right w:val="single" w:color="auto" w:sz="4" w:space="0"/>
            </w:tcBorders>
            <w:vAlign w:val="center"/>
          </w:tcPr>
          <w:p w14:paraId="66E201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p>
        </w:tc>
        <w:tc>
          <w:tcPr>
            <w:tcW w:w="251" w:type="pct"/>
            <w:vMerge w:val="continue"/>
            <w:tcBorders>
              <w:top w:val="single" w:color="auto" w:sz="4" w:space="0"/>
              <w:left w:val="single" w:color="auto" w:sz="4" w:space="0"/>
              <w:bottom w:val="single" w:color="auto" w:sz="4" w:space="0"/>
              <w:right w:val="single" w:color="auto" w:sz="4" w:space="0"/>
            </w:tcBorders>
            <w:textDirection w:val="tbRlV"/>
            <w:vAlign w:val="center"/>
          </w:tcPr>
          <w:p w14:paraId="3971CD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p>
        </w:tc>
        <w:tc>
          <w:tcPr>
            <w:tcW w:w="782" w:type="pct"/>
            <w:vMerge w:val="continue"/>
            <w:tcBorders>
              <w:top w:val="single" w:color="auto" w:sz="4" w:space="0"/>
              <w:left w:val="single" w:color="auto" w:sz="4" w:space="0"/>
              <w:bottom w:val="single" w:color="auto" w:sz="4" w:space="0"/>
              <w:right w:val="single" w:color="auto" w:sz="4" w:space="0"/>
            </w:tcBorders>
            <w:vAlign w:val="center"/>
          </w:tcPr>
          <w:p w14:paraId="18FFD4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p>
        </w:tc>
        <w:tc>
          <w:tcPr>
            <w:tcW w:w="438" w:type="pct"/>
            <w:tcBorders>
              <w:top w:val="single" w:color="auto" w:sz="4" w:space="0"/>
              <w:left w:val="single" w:color="auto" w:sz="4" w:space="0"/>
              <w:bottom w:val="single" w:color="auto" w:sz="4" w:space="0"/>
              <w:right w:val="single" w:color="auto" w:sz="4" w:space="0"/>
            </w:tcBorders>
            <w:vAlign w:val="center"/>
          </w:tcPr>
          <w:p w14:paraId="572872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10m</w:t>
            </w:r>
          </w:p>
        </w:tc>
        <w:tc>
          <w:tcPr>
            <w:tcW w:w="438" w:type="pct"/>
            <w:tcBorders>
              <w:top w:val="single" w:color="auto" w:sz="4" w:space="0"/>
              <w:left w:val="single" w:color="auto" w:sz="4" w:space="0"/>
              <w:bottom w:val="single" w:color="auto" w:sz="4" w:space="0"/>
              <w:right w:val="single" w:color="auto" w:sz="4" w:space="0"/>
            </w:tcBorders>
            <w:vAlign w:val="center"/>
          </w:tcPr>
          <w:p w14:paraId="06C4B7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200m</w:t>
            </w:r>
          </w:p>
        </w:tc>
        <w:tc>
          <w:tcPr>
            <w:tcW w:w="438" w:type="pct"/>
            <w:tcBorders>
              <w:top w:val="single" w:color="auto" w:sz="4" w:space="0"/>
              <w:left w:val="single" w:color="auto" w:sz="4" w:space="0"/>
              <w:bottom w:val="single" w:color="auto" w:sz="4" w:space="0"/>
              <w:right w:val="single" w:color="auto" w:sz="4" w:space="0"/>
            </w:tcBorders>
            <w:vAlign w:val="center"/>
          </w:tcPr>
          <w:p w14:paraId="15CD8D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30m</w:t>
            </w:r>
          </w:p>
        </w:tc>
        <w:tc>
          <w:tcPr>
            <w:tcW w:w="438" w:type="pct"/>
            <w:tcBorders>
              <w:top w:val="single" w:color="auto" w:sz="4" w:space="0"/>
              <w:left w:val="single" w:color="auto" w:sz="4" w:space="0"/>
              <w:bottom w:val="single" w:color="auto" w:sz="4" w:space="0"/>
              <w:right w:val="single" w:color="auto" w:sz="4" w:space="0"/>
            </w:tcBorders>
            <w:vAlign w:val="center"/>
          </w:tcPr>
          <w:p w14:paraId="1ADDD4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50m</w:t>
            </w:r>
          </w:p>
        </w:tc>
        <w:tc>
          <w:tcPr>
            <w:tcW w:w="438" w:type="pct"/>
            <w:tcBorders>
              <w:top w:val="single" w:color="auto" w:sz="4" w:space="0"/>
              <w:left w:val="single" w:color="auto" w:sz="4" w:space="0"/>
              <w:bottom w:val="single" w:color="auto" w:sz="4" w:space="0"/>
              <w:right w:val="single" w:color="auto" w:sz="4" w:space="0"/>
            </w:tcBorders>
            <w:vAlign w:val="center"/>
          </w:tcPr>
          <w:p w14:paraId="3D66D3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100m</w:t>
            </w:r>
          </w:p>
        </w:tc>
        <w:tc>
          <w:tcPr>
            <w:tcW w:w="438" w:type="pct"/>
            <w:tcBorders>
              <w:top w:val="single" w:color="auto" w:sz="4" w:space="0"/>
              <w:left w:val="single" w:color="auto" w:sz="4" w:space="0"/>
              <w:bottom w:val="single" w:color="auto" w:sz="4" w:space="0"/>
              <w:right w:val="single" w:color="auto" w:sz="4" w:space="0"/>
            </w:tcBorders>
            <w:vAlign w:val="center"/>
          </w:tcPr>
          <w:p w14:paraId="61531A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150m</w:t>
            </w:r>
          </w:p>
        </w:tc>
        <w:tc>
          <w:tcPr>
            <w:tcW w:w="437" w:type="pct"/>
            <w:tcBorders>
              <w:top w:val="single" w:color="auto" w:sz="4" w:space="0"/>
              <w:left w:val="single" w:color="auto" w:sz="4" w:space="0"/>
              <w:bottom w:val="single" w:color="auto" w:sz="4" w:space="0"/>
              <w:right w:val="single" w:color="auto" w:sz="4" w:space="0"/>
            </w:tcBorders>
            <w:vAlign w:val="center"/>
          </w:tcPr>
          <w:p w14:paraId="055642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200m</w:t>
            </w:r>
          </w:p>
        </w:tc>
        <w:tc>
          <w:tcPr>
            <w:tcW w:w="435" w:type="pct"/>
            <w:tcBorders>
              <w:top w:val="single" w:color="auto" w:sz="4" w:space="0"/>
              <w:left w:val="single" w:color="auto" w:sz="4" w:space="0"/>
              <w:bottom w:val="single" w:color="auto" w:sz="4" w:space="0"/>
              <w:right w:val="single" w:color="auto" w:sz="4" w:space="0"/>
            </w:tcBorders>
            <w:vAlign w:val="center"/>
          </w:tcPr>
          <w:p w14:paraId="43810A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300m</w:t>
            </w:r>
          </w:p>
        </w:tc>
      </w:tr>
      <w:tr w14:paraId="0D13B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59" w:type="pct"/>
            <w:vMerge w:val="restart"/>
            <w:tcBorders>
              <w:top w:val="single" w:color="auto" w:sz="4" w:space="0"/>
              <w:left w:val="single" w:color="auto" w:sz="4" w:space="0"/>
              <w:bottom w:val="single" w:color="auto" w:sz="4" w:space="0"/>
              <w:right w:val="single" w:color="auto" w:sz="4" w:space="0"/>
            </w:tcBorders>
            <w:vAlign w:val="center"/>
          </w:tcPr>
          <w:p w14:paraId="76BE02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集气站</w:t>
            </w:r>
          </w:p>
          <w:p w14:paraId="4EB64E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放空火炬</w:t>
            </w:r>
          </w:p>
        </w:tc>
        <w:tc>
          <w:tcPr>
            <w:tcW w:w="251" w:type="pct"/>
            <w:vMerge w:val="restart"/>
            <w:tcBorders>
              <w:top w:val="single" w:color="auto" w:sz="4" w:space="0"/>
              <w:left w:val="single" w:color="auto" w:sz="4" w:space="0"/>
              <w:bottom w:val="single" w:color="auto" w:sz="4" w:space="0"/>
              <w:right w:val="single" w:color="auto" w:sz="4" w:space="0"/>
            </w:tcBorders>
            <w:vAlign w:val="center"/>
          </w:tcPr>
          <w:p w14:paraId="175041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105</w:t>
            </w:r>
          </w:p>
        </w:tc>
        <w:tc>
          <w:tcPr>
            <w:tcW w:w="782" w:type="pct"/>
            <w:tcBorders>
              <w:top w:val="single" w:color="auto" w:sz="4" w:space="0"/>
              <w:left w:val="single" w:color="auto" w:sz="4" w:space="0"/>
              <w:bottom w:val="single" w:color="auto" w:sz="4" w:space="0"/>
              <w:right w:val="single" w:color="auto" w:sz="4" w:space="0"/>
            </w:tcBorders>
            <w:vAlign w:val="center"/>
          </w:tcPr>
          <w:p w14:paraId="7B2756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贡献值</w:t>
            </w:r>
          </w:p>
        </w:tc>
        <w:tc>
          <w:tcPr>
            <w:tcW w:w="438" w:type="pct"/>
            <w:tcBorders>
              <w:top w:val="single" w:color="auto" w:sz="4" w:space="0"/>
              <w:left w:val="single" w:color="auto" w:sz="4" w:space="0"/>
              <w:bottom w:val="single" w:color="auto" w:sz="4" w:space="0"/>
              <w:right w:val="single" w:color="auto" w:sz="4" w:space="0"/>
            </w:tcBorders>
            <w:vAlign w:val="center"/>
          </w:tcPr>
          <w:p w14:paraId="4E5B0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70.00</w:t>
            </w:r>
          </w:p>
        </w:tc>
        <w:tc>
          <w:tcPr>
            <w:tcW w:w="438" w:type="pct"/>
            <w:tcBorders>
              <w:top w:val="single" w:color="auto" w:sz="4" w:space="0"/>
              <w:left w:val="single" w:color="auto" w:sz="4" w:space="0"/>
              <w:bottom w:val="single" w:color="auto" w:sz="4" w:space="0"/>
              <w:right w:val="single" w:color="auto" w:sz="4" w:space="0"/>
            </w:tcBorders>
            <w:vAlign w:val="center"/>
          </w:tcPr>
          <w:p w14:paraId="63B4E9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67.92</w:t>
            </w:r>
          </w:p>
        </w:tc>
        <w:tc>
          <w:tcPr>
            <w:tcW w:w="438" w:type="pct"/>
            <w:tcBorders>
              <w:top w:val="single" w:color="auto" w:sz="4" w:space="0"/>
              <w:left w:val="single" w:color="auto" w:sz="4" w:space="0"/>
              <w:bottom w:val="single" w:color="auto" w:sz="4" w:space="0"/>
              <w:right w:val="single" w:color="auto" w:sz="4" w:space="0"/>
            </w:tcBorders>
            <w:vAlign w:val="center"/>
          </w:tcPr>
          <w:p w14:paraId="6BDA2A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65.79</w:t>
            </w:r>
          </w:p>
        </w:tc>
        <w:tc>
          <w:tcPr>
            <w:tcW w:w="438" w:type="pct"/>
            <w:tcBorders>
              <w:top w:val="single" w:color="auto" w:sz="4" w:space="0"/>
              <w:left w:val="single" w:color="auto" w:sz="4" w:space="0"/>
              <w:bottom w:val="single" w:color="auto" w:sz="4" w:space="0"/>
              <w:right w:val="single" w:color="auto" w:sz="4" w:space="0"/>
            </w:tcBorders>
            <w:vAlign w:val="center"/>
          </w:tcPr>
          <w:p w14:paraId="62423C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62.26</w:t>
            </w:r>
          </w:p>
        </w:tc>
        <w:tc>
          <w:tcPr>
            <w:tcW w:w="438" w:type="pct"/>
            <w:tcBorders>
              <w:top w:val="single" w:color="auto" w:sz="4" w:space="0"/>
              <w:left w:val="single" w:color="auto" w:sz="4" w:space="0"/>
              <w:bottom w:val="single" w:color="auto" w:sz="4" w:space="0"/>
              <w:right w:val="single" w:color="auto" w:sz="4" w:space="0"/>
            </w:tcBorders>
            <w:vAlign w:val="center"/>
          </w:tcPr>
          <w:p w14:paraId="23453E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55.96</w:t>
            </w:r>
          </w:p>
        </w:tc>
        <w:tc>
          <w:tcPr>
            <w:tcW w:w="438" w:type="pct"/>
            <w:tcBorders>
              <w:top w:val="single" w:color="auto" w:sz="4" w:space="0"/>
              <w:left w:val="single" w:color="auto" w:sz="4" w:space="0"/>
              <w:bottom w:val="single" w:color="auto" w:sz="4" w:space="0"/>
              <w:right w:val="single" w:color="auto" w:sz="4" w:space="0"/>
            </w:tcBorders>
            <w:vAlign w:val="center"/>
          </w:tcPr>
          <w:p w14:paraId="0FF0D4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50.92</w:t>
            </w:r>
          </w:p>
        </w:tc>
        <w:tc>
          <w:tcPr>
            <w:tcW w:w="437" w:type="pct"/>
            <w:tcBorders>
              <w:top w:val="single" w:color="auto" w:sz="4" w:space="0"/>
              <w:left w:val="single" w:color="auto" w:sz="4" w:space="0"/>
              <w:bottom w:val="single" w:color="auto" w:sz="4" w:space="0"/>
              <w:right w:val="single" w:color="auto" w:sz="4" w:space="0"/>
            </w:tcBorders>
            <w:vAlign w:val="center"/>
          </w:tcPr>
          <w:p w14:paraId="101CE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47.63</w:t>
            </w:r>
          </w:p>
        </w:tc>
        <w:tc>
          <w:tcPr>
            <w:tcW w:w="435" w:type="pct"/>
            <w:tcBorders>
              <w:top w:val="single" w:color="auto" w:sz="4" w:space="0"/>
              <w:left w:val="single" w:color="auto" w:sz="4" w:space="0"/>
              <w:bottom w:val="single" w:color="auto" w:sz="4" w:space="0"/>
              <w:right w:val="single" w:color="auto" w:sz="4" w:space="0"/>
            </w:tcBorders>
            <w:vAlign w:val="center"/>
          </w:tcPr>
          <w:p w14:paraId="3D4178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43.22</w:t>
            </w:r>
          </w:p>
        </w:tc>
      </w:tr>
      <w:tr w14:paraId="5E809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59" w:type="pct"/>
            <w:vMerge w:val="continue"/>
            <w:tcBorders>
              <w:top w:val="single" w:color="auto" w:sz="4" w:space="0"/>
              <w:left w:val="single" w:color="auto" w:sz="4" w:space="0"/>
              <w:bottom w:val="single" w:color="auto" w:sz="4" w:space="0"/>
              <w:right w:val="single" w:color="auto" w:sz="4" w:space="0"/>
            </w:tcBorders>
            <w:vAlign w:val="center"/>
          </w:tcPr>
          <w:p w14:paraId="2194B5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p>
        </w:tc>
        <w:tc>
          <w:tcPr>
            <w:tcW w:w="251" w:type="pct"/>
            <w:vMerge w:val="continue"/>
            <w:tcBorders>
              <w:top w:val="single" w:color="auto" w:sz="4" w:space="0"/>
              <w:left w:val="single" w:color="auto" w:sz="4" w:space="0"/>
              <w:bottom w:val="single" w:color="auto" w:sz="4" w:space="0"/>
              <w:right w:val="single" w:color="auto" w:sz="4" w:space="0"/>
            </w:tcBorders>
            <w:vAlign w:val="center"/>
          </w:tcPr>
          <w:p w14:paraId="02724A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p>
        </w:tc>
        <w:tc>
          <w:tcPr>
            <w:tcW w:w="782" w:type="pct"/>
            <w:tcBorders>
              <w:top w:val="single" w:color="auto" w:sz="4" w:space="0"/>
              <w:left w:val="single" w:color="auto" w:sz="4" w:space="0"/>
              <w:bottom w:val="single" w:color="auto" w:sz="4" w:space="0"/>
              <w:right w:val="single" w:color="auto" w:sz="4" w:space="0"/>
            </w:tcBorders>
            <w:vAlign w:val="center"/>
          </w:tcPr>
          <w:p w14:paraId="4ADFA6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昼间背景值</w:t>
            </w:r>
          </w:p>
        </w:tc>
        <w:tc>
          <w:tcPr>
            <w:tcW w:w="3506" w:type="pct"/>
            <w:gridSpan w:val="8"/>
            <w:tcBorders>
              <w:top w:val="single" w:color="auto" w:sz="4" w:space="0"/>
              <w:left w:val="single" w:color="auto" w:sz="4" w:space="0"/>
              <w:bottom w:val="single" w:color="auto" w:sz="4" w:space="0"/>
              <w:right w:val="single" w:color="auto" w:sz="4" w:space="0"/>
            </w:tcBorders>
            <w:vAlign w:val="center"/>
          </w:tcPr>
          <w:p w14:paraId="45AD3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45.9</w:t>
            </w:r>
          </w:p>
        </w:tc>
      </w:tr>
      <w:tr w14:paraId="3F61A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59" w:type="pct"/>
            <w:vMerge w:val="continue"/>
            <w:tcBorders>
              <w:top w:val="single" w:color="auto" w:sz="4" w:space="0"/>
              <w:left w:val="single" w:color="auto" w:sz="4" w:space="0"/>
              <w:bottom w:val="single" w:color="auto" w:sz="4" w:space="0"/>
              <w:right w:val="single" w:color="auto" w:sz="4" w:space="0"/>
            </w:tcBorders>
            <w:vAlign w:val="center"/>
          </w:tcPr>
          <w:p w14:paraId="6AB973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p>
        </w:tc>
        <w:tc>
          <w:tcPr>
            <w:tcW w:w="251" w:type="pct"/>
            <w:vMerge w:val="continue"/>
            <w:tcBorders>
              <w:top w:val="single" w:color="auto" w:sz="4" w:space="0"/>
              <w:left w:val="single" w:color="auto" w:sz="4" w:space="0"/>
              <w:bottom w:val="single" w:color="auto" w:sz="4" w:space="0"/>
              <w:right w:val="single" w:color="auto" w:sz="4" w:space="0"/>
            </w:tcBorders>
            <w:vAlign w:val="center"/>
          </w:tcPr>
          <w:p w14:paraId="1E2DF9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p>
        </w:tc>
        <w:tc>
          <w:tcPr>
            <w:tcW w:w="782" w:type="pct"/>
            <w:tcBorders>
              <w:top w:val="single" w:color="auto" w:sz="4" w:space="0"/>
              <w:left w:val="single" w:color="auto" w:sz="4" w:space="0"/>
              <w:bottom w:val="single" w:color="auto" w:sz="4" w:space="0"/>
              <w:right w:val="single" w:color="auto" w:sz="4" w:space="0"/>
            </w:tcBorders>
            <w:vAlign w:val="center"/>
          </w:tcPr>
          <w:p w14:paraId="390CD1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叠加后预测值</w:t>
            </w:r>
          </w:p>
        </w:tc>
        <w:tc>
          <w:tcPr>
            <w:tcW w:w="438" w:type="pct"/>
            <w:tcBorders>
              <w:top w:val="single" w:color="auto" w:sz="4" w:space="0"/>
              <w:left w:val="single" w:color="auto" w:sz="4" w:space="0"/>
              <w:bottom w:val="single" w:color="auto" w:sz="4" w:space="0"/>
              <w:right w:val="single" w:color="auto" w:sz="4" w:space="0"/>
            </w:tcBorders>
            <w:vAlign w:val="center"/>
          </w:tcPr>
          <w:p w14:paraId="57DA20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70.02</w:t>
            </w:r>
          </w:p>
        </w:tc>
        <w:tc>
          <w:tcPr>
            <w:tcW w:w="438" w:type="pct"/>
            <w:tcBorders>
              <w:top w:val="single" w:color="auto" w:sz="4" w:space="0"/>
              <w:left w:val="single" w:color="auto" w:sz="4" w:space="0"/>
              <w:bottom w:val="single" w:color="auto" w:sz="4" w:space="0"/>
              <w:right w:val="single" w:color="auto" w:sz="4" w:space="0"/>
            </w:tcBorders>
            <w:vAlign w:val="center"/>
          </w:tcPr>
          <w:p w14:paraId="2FB202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67.95</w:t>
            </w:r>
          </w:p>
        </w:tc>
        <w:tc>
          <w:tcPr>
            <w:tcW w:w="438" w:type="pct"/>
            <w:tcBorders>
              <w:top w:val="single" w:color="auto" w:sz="4" w:space="0"/>
              <w:left w:val="single" w:color="auto" w:sz="4" w:space="0"/>
              <w:bottom w:val="single" w:color="auto" w:sz="4" w:space="0"/>
              <w:right w:val="single" w:color="auto" w:sz="4" w:space="0"/>
            </w:tcBorders>
            <w:vAlign w:val="center"/>
          </w:tcPr>
          <w:p w14:paraId="1D3243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65.83</w:t>
            </w:r>
          </w:p>
        </w:tc>
        <w:tc>
          <w:tcPr>
            <w:tcW w:w="438" w:type="pct"/>
            <w:tcBorders>
              <w:top w:val="single" w:color="auto" w:sz="4" w:space="0"/>
              <w:left w:val="single" w:color="auto" w:sz="4" w:space="0"/>
              <w:bottom w:val="single" w:color="auto" w:sz="4" w:space="0"/>
              <w:right w:val="single" w:color="auto" w:sz="4" w:space="0"/>
            </w:tcBorders>
            <w:vAlign w:val="center"/>
          </w:tcPr>
          <w:p w14:paraId="322DB7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62.36</w:t>
            </w:r>
          </w:p>
        </w:tc>
        <w:tc>
          <w:tcPr>
            <w:tcW w:w="438" w:type="pct"/>
            <w:tcBorders>
              <w:top w:val="single" w:color="auto" w:sz="4" w:space="0"/>
              <w:left w:val="single" w:color="auto" w:sz="4" w:space="0"/>
              <w:bottom w:val="single" w:color="auto" w:sz="4" w:space="0"/>
              <w:right w:val="single" w:color="auto" w:sz="4" w:space="0"/>
            </w:tcBorders>
            <w:vAlign w:val="center"/>
          </w:tcPr>
          <w:p w14:paraId="3DA3BB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56.37</w:t>
            </w:r>
          </w:p>
        </w:tc>
        <w:tc>
          <w:tcPr>
            <w:tcW w:w="438" w:type="pct"/>
            <w:tcBorders>
              <w:top w:val="single" w:color="auto" w:sz="4" w:space="0"/>
              <w:left w:val="single" w:color="auto" w:sz="4" w:space="0"/>
              <w:bottom w:val="single" w:color="auto" w:sz="4" w:space="0"/>
              <w:right w:val="single" w:color="auto" w:sz="4" w:space="0"/>
            </w:tcBorders>
            <w:vAlign w:val="center"/>
          </w:tcPr>
          <w:p w14:paraId="670AFD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52.11</w:t>
            </w:r>
          </w:p>
        </w:tc>
        <w:tc>
          <w:tcPr>
            <w:tcW w:w="437" w:type="pct"/>
            <w:tcBorders>
              <w:top w:val="single" w:color="auto" w:sz="4" w:space="0"/>
              <w:left w:val="single" w:color="auto" w:sz="4" w:space="0"/>
              <w:bottom w:val="single" w:color="auto" w:sz="4" w:space="0"/>
              <w:right w:val="single" w:color="auto" w:sz="4" w:space="0"/>
            </w:tcBorders>
            <w:vAlign w:val="center"/>
          </w:tcPr>
          <w:p w14:paraId="6B0ACE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49.86</w:t>
            </w:r>
          </w:p>
        </w:tc>
        <w:tc>
          <w:tcPr>
            <w:tcW w:w="435" w:type="pct"/>
            <w:tcBorders>
              <w:top w:val="single" w:color="auto" w:sz="4" w:space="0"/>
              <w:left w:val="single" w:color="auto" w:sz="4" w:space="0"/>
              <w:bottom w:val="single" w:color="auto" w:sz="4" w:space="0"/>
              <w:right w:val="single" w:color="auto" w:sz="4" w:space="0"/>
            </w:tcBorders>
            <w:vAlign w:val="center"/>
          </w:tcPr>
          <w:p w14:paraId="7384B9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47.77</w:t>
            </w:r>
          </w:p>
        </w:tc>
      </w:tr>
      <w:tr w14:paraId="17593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459" w:type="pct"/>
            <w:vMerge w:val="restart"/>
            <w:tcBorders>
              <w:top w:val="single" w:color="auto" w:sz="4" w:space="0"/>
              <w:left w:val="single" w:color="auto" w:sz="4" w:space="0"/>
              <w:bottom w:val="single" w:color="auto" w:sz="4" w:space="0"/>
              <w:right w:val="single" w:color="auto" w:sz="4" w:space="0"/>
            </w:tcBorders>
            <w:vAlign w:val="center"/>
          </w:tcPr>
          <w:p w14:paraId="5D1E6B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井场放空池</w:t>
            </w:r>
          </w:p>
        </w:tc>
        <w:tc>
          <w:tcPr>
            <w:tcW w:w="251" w:type="pct"/>
            <w:vMerge w:val="restart"/>
            <w:tcBorders>
              <w:top w:val="single" w:color="auto" w:sz="4" w:space="0"/>
              <w:left w:val="single" w:color="auto" w:sz="4" w:space="0"/>
              <w:bottom w:val="single" w:color="auto" w:sz="4" w:space="0"/>
              <w:right w:val="single" w:color="auto" w:sz="4" w:space="0"/>
            </w:tcBorders>
            <w:vAlign w:val="center"/>
          </w:tcPr>
          <w:p w14:paraId="452164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105</w:t>
            </w:r>
          </w:p>
        </w:tc>
        <w:tc>
          <w:tcPr>
            <w:tcW w:w="782" w:type="pct"/>
            <w:tcBorders>
              <w:top w:val="single" w:color="auto" w:sz="4" w:space="0"/>
              <w:left w:val="single" w:color="auto" w:sz="4" w:space="0"/>
              <w:bottom w:val="single" w:color="auto" w:sz="4" w:space="0"/>
              <w:right w:val="single" w:color="auto" w:sz="4" w:space="0"/>
            </w:tcBorders>
            <w:vAlign w:val="center"/>
          </w:tcPr>
          <w:p w14:paraId="44F95A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贡献值</w:t>
            </w:r>
          </w:p>
        </w:tc>
        <w:tc>
          <w:tcPr>
            <w:tcW w:w="438" w:type="pct"/>
            <w:tcBorders>
              <w:top w:val="single" w:color="auto" w:sz="4" w:space="0"/>
              <w:left w:val="single" w:color="auto" w:sz="4" w:space="0"/>
              <w:bottom w:val="single" w:color="auto" w:sz="4" w:space="0"/>
              <w:right w:val="single" w:color="auto" w:sz="4" w:space="0"/>
            </w:tcBorders>
            <w:vAlign w:val="center"/>
          </w:tcPr>
          <w:p w14:paraId="09C34C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76.83</w:t>
            </w:r>
          </w:p>
        </w:tc>
        <w:tc>
          <w:tcPr>
            <w:tcW w:w="438" w:type="pct"/>
            <w:tcBorders>
              <w:top w:val="single" w:color="auto" w:sz="4" w:space="0"/>
              <w:left w:val="single" w:color="auto" w:sz="4" w:space="0"/>
              <w:bottom w:val="single" w:color="auto" w:sz="4" w:space="0"/>
              <w:right w:val="single" w:color="auto" w:sz="4" w:space="0"/>
            </w:tcBorders>
            <w:vAlign w:val="center"/>
          </w:tcPr>
          <w:p w14:paraId="4F32C8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70.42</w:t>
            </w:r>
          </w:p>
        </w:tc>
        <w:tc>
          <w:tcPr>
            <w:tcW w:w="438" w:type="pct"/>
            <w:tcBorders>
              <w:top w:val="single" w:color="auto" w:sz="4" w:space="0"/>
              <w:left w:val="single" w:color="auto" w:sz="4" w:space="0"/>
              <w:bottom w:val="single" w:color="auto" w:sz="4" w:space="0"/>
              <w:right w:val="single" w:color="auto" w:sz="4" w:space="0"/>
            </w:tcBorders>
            <w:vAlign w:val="center"/>
          </w:tcPr>
          <w:p w14:paraId="575F29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65.01</w:t>
            </w:r>
          </w:p>
        </w:tc>
        <w:tc>
          <w:tcPr>
            <w:tcW w:w="438" w:type="pct"/>
            <w:tcBorders>
              <w:top w:val="single" w:color="auto" w:sz="4" w:space="0"/>
              <w:left w:val="single" w:color="auto" w:sz="4" w:space="0"/>
              <w:bottom w:val="single" w:color="auto" w:sz="4" w:space="0"/>
              <w:right w:val="single" w:color="auto" w:sz="4" w:space="0"/>
            </w:tcBorders>
            <w:vAlign w:val="center"/>
          </w:tcPr>
          <w:p w14:paraId="69075C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59.35</w:t>
            </w:r>
          </w:p>
        </w:tc>
        <w:tc>
          <w:tcPr>
            <w:tcW w:w="438" w:type="pct"/>
            <w:tcBorders>
              <w:top w:val="single" w:color="auto" w:sz="4" w:space="0"/>
              <w:left w:val="single" w:color="auto" w:sz="4" w:space="0"/>
              <w:bottom w:val="single" w:color="auto" w:sz="4" w:space="0"/>
              <w:right w:val="single" w:color="auto" w:sz="4" w:space="0"/>
            </w:tcBorders>
            <w:vAlign w:val="center"/>
          </w:tcPr>
          <w:p w14:paraId="043598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52.52</w:t>
            </w:r>
          </w:p>
        </w:tc>
        <w:tc>
          <w:tcPr>
            <w:tcW w:w="438" w:type="pct"/>
            <w:tcBorders>
              <w:top w:val="single" w:color="auto" w:sz="4" w:space="0"/>
              <w:left w:val="single" w:color="auto" w:sz="4" w:space="0"/>
              <w:bottom w:val="single" w:color="auto" w:sz="4" w:space="0"/>
              <w:right w:val="single" w:color="auto" w:sz="4" w:space="0"/>
            </w:tcBorders>
            <w:vAlign w:val="center"/>
          </w:tcPr>
          <w:p w14:paraId="2F4ED6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48.68</w:t>
            </w:r>
          </w:p>
        </w:tc>
        <w:tc>
          <w:tcPr>
            <w:tcW w:w="437" w:type="pct"/>
            <w:tcBorders>
              <w:top w:val="single" w:color="auto" w:sz="4" w:space="0"/>
              <w:left w:val="single" w:color="auto" w:sz="4" w:space="0"/>
              <w:bottom w:val="single" w:color="auto" w:sz="4" w:space="0"/>
              <w:right w:val="single" w:color="auto" w:sz="4" w:space="0"/>
            </w:tcBorders>
            <w:vAlign w:val="center"/>
          </w:tcPr>
          <w:p w14:paraId="4D5B06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45.97</w:t>
            </w:r>
          </w:p>
        </w:tc>
        <w:tc>
          <w:tcPr>
            <w:tcW w:w="435" w:type="pct"/>
            <w:tcBorders>
              <w:top w:val="single" w:color="auto" w:sz="4" w:space="0"/>
              <w:left w:val="single" w:color="auto" w:sz="4" w:space="0"/>
              <w:bottom w:val="single" w:color="auto" w:sz="4" w:space="0"/>
              <w:right w:val="single" w:color="auto" w:sz="4" w:space="0"/>
            </w:tcBorders>
            <w:vAlign w:val="center"/>
          </w:tcPr>
          <w:p w14:paraId="76E00A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42.13</w:t>
            </w:r>
          </w:p>
        </w:tc>
      </w:tr>
      <w:tr w14:paraId="62C59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459" w:type="pct"/>
            <w:vMerge w:val="continue"/>
            <w:tcBorders>
              <w:top w:val="single" w:color="auto" w:sz="4" w:space="0"/>
              <w:left w:val="single" w:color="auto" w:sz="4" w:space="0"/>
              <w:bottom w:val="single" w:color="auto" w:sz="4" w:space="0"/>
              <w:right w:val="single" w:color="auto" w:sz="4" w:space="0"/>
            </w:tcBorders>
            <w:vAlign w:val="center"/>
          </w:tcPr>
          <w:p w14:paraId="166B15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p>
        </w:tc>
        <w:tc>
          <w:tcPr>
            <w:tcW w:w="251" w:type="pct"/>
            <w:vMerge w:val="continue"/>
            <w:tcBorders>
              <w:top w:val="single" w:color="auto" w:sz="4" w:space="0"/>
              <w:left w:val="single" w:color="auto" w:sz="4" w:space="0"/>
              <w:bottom w:val="single" w:color="auto" w:sz="4" w:space="0"/>
              <w:right w:val="single" w:color="auto" w:sz="4" w:space="0"/>
            </w:tcBorders>
            <w:vAlign w:val="center"/>
          </w:tcPr>
          <w:p w14:paraId="564563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p>
        </w:tc>
        <w:tc>
          <w:tcPr>
            <w:tcW w:w="782" w:type="pct"/>
            <w:tcBorders>
              <w:top w:val="single" w:color="auto" w:sz="4" w:space="0"/>
              <w:left w:val="single" w:color="auto" w:sz="4" w:space="0"/>
              <w:bottom w:val="single" w:color="auto" w:sz="4" w:space="0"/>
              <w:right w:val="single" w:color="auto" w:sz="4" w:space="0"/>
            </w:tcBorders>
            <w:vAlign w:val="center"/>
          </w:tcPr>
          <w:p w14:paraId="21DB80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昼间背景值</w:t>
            </w:r>
          </w:p>
        </w:tc>
        <w:tc>
          <w:tcPr>
            <w:tcW w:w="3506" w:type="pct"/>
            <w:gridSpan w:val="8"/>
            <w:tcBorders>
              <w:top w:val="single" w:color="auto" w:sz="4" w:space="0"/>
              <w:left w:val="single" w:color="auto" w:sz="4" w:space="0"/>
              <w:bottom w:val="single" w:color="auto" w:sz="4" w:space="0"/>
              <w:right w:val="single" w:color="auto" w:sz="4" w:space="0"/>
            </w:tcBorders>
            <w:vAlign w:val="center"/>
          </w:tcPr>
          <w:p w14:paraId="6E45B1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45.9</w:t>
            </w:r>
          </w:p>
        </w:tc>
      </w:tr>
      <w:tr w14:paraId="559E8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59" w:type="pct"/>
            <w:vMerge w:val="continue"/>
            <w:tcBorders>
              <w:top w:val="single" w:color="auto" w:sz="4" w:space="0"/>
              <w:left w:val="single" w:color="auto" w:sz="4" w:space="0"/>
              <w:bottom w:val="single" w:color="auto" w:sz="4" w:space="0"/>
              <w:right w:val="single" w:color="auto" w:sz="4" w:space="0"/>
            </w:tcBorders>
            <w:vAlign w:val="center"/>
          </w:tcPr>
          <w:p w14:paraId="6B99DC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p>
        </w:tc>
        <w:tc>
          <w:tcPr>
            <w:tcW w:w="251" w:type="pct"/>
            <w:vMerge w:val="continue"/>
            <w:tcBorders>
              <w:top w:val="single" w:color="auto" w:sz="4" w:space="0"/>
              <w:left w:val="single" w:color="auto" w:sz="4" w:space="0"/>
              <w:bottom w:val="single" w:color="auto" w:sz="4" w:space="0"/>
              <w:right w:val="single" w:color="auto" w:sz="4" w:space="0"/>
            </w:tcBorders>
            <w:vAlign w:val="center"/>
          </w:tcPr>
          <w:p w14:paraId="16D6C1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p>
        </w:tc>
        <w:tc>
          <w:tcPr>
            <w:tcW w:w="782" w:type="pct"/>
            <w:tcBorders>
              <w:top w:val="single" w:color="auto" w:sz="4" w:space="0"/>
              <w:left w:val="single" w:color="auto" w:sz="4" w:space="0"/>
              <w:bottom w:val="single" w:color="auto" w:sz="4" w:space="0"/>
              <w:right w:val="single" w:color="auto" w:sz="4" w:space="0"/>
            </w:tcBorders>
            <w:vAlign w:val="center"/>
          </w:tcPr>
          <w:p w14:paraId="3CC250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叠加后预测值</w:t>
            </w:r>
          </w:p>
        </w:tc>
        <w:tc>
          <w:tcPr>
            <w:tcW w:w="438" w:type="pct"/>
            <w:tcBorders>
              <w:top w:val="single" w:color="auto" w:sz="4" w:space="0"/>
              <w:left w:val="single" w:color="auto" w:sz="4" w:space="0"/>
              <w:bottom w:val="single" w:color="auto" w:sz="4" w:space="0"/>
              <w:right w:val="single" w:color="auto" w:sz="4" w:space="0"/>
            </w:tcBorders>
            <w:vAlign w:val="center"/>
          </w:tcPr>
          <w:p w14:paraId="729AA0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76.83</w:t>
            </w:r>
          </w:p>
        </w:tc>
        <w:tc>
          <w:tcPr>
            <w:tcW w:w="438" w:type="pct"/>
            <w:tcBorders>
              <w:top w:val="single" w:color="auto" w:sz="4" w:space="0"/>
              <w:left w:val="single" w:color="auto" w:sz="4" w:space="0"/>
              <w:bottom w:val="single" w:color="auto" w:sz="4" w:space="0"/>
              <w:right w:val="single" w:color="auto" w:sz="4" w:space="0"/>
            </w:tcBorders>
            <w:vAlign w:val="center"/>
          </w:tcPr>
          <w:p w14:paraId="4D4BE9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70.42</w:t>
            </w:r>
          </w:p>
        </w:tc>
        <w:tc>
          <w:tcPr>
            <w:tcW w:w="438" w:type="pct"/>
            <w:tcBorders>
              <w:top w:val="single" w:color="auto" w:sz="4" w:space="0"/>
              <w:left w:val="single" w:color="auto" w:sz="4" w:space="0"/>
              <w:bottom w:val="single" w:color="auto" w:sz="4" w:space="0"/>
              <w:right w:val="single" w:color="auto" w:sz="4" w:space="0"/>
            </w:tcBorders>
            <w:vAlign w:val="center"/>
          </w:tcPr>
          <w:p w14:paraId="34760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65.01</w:t>
            </w:r>
          </w:p>
        </w:tc>
        <w:tc>
          <w:tcPr>
            <w:tcW w:w="438" w:type="pct"/>
            <w:tcBorders>
              <w:top w:val="single" w:color="auto" w:sz="4" w:space="0"/>
              <w:left w:val="single" w:color="auto" w:sz="4" w:space="0"/>
              <w:bottom w:val="single" w:color="auto" w:sz="4" w:space="0"/>
              <w:right w:val="single" w:color="auto" w:sz="4" w:space="0"/>
            </w:tcBorders>
            <w:vAlign w:val="center"/>
          </w:tcPr>
          <w:p w14:paraId="285504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59.35</w:t>
            </w:r>
          </w:p>
        </w:tc>
        <w:tc>
          <w:tcPr>
            <w:tcW w:w="438" w:type="pct"/>
            <w:tcBorders>
              <w:top w:val="single" w:color="auto" w:sz="4" w:space="0"/>
              <w:left w:val="single" w:color="auto" w:sz="4" w:space="0"/>
              <w:bottom w:val="single" w:color="auto" w:sz="4" w:space="0"/>
              <w:right w:val="single" w:color="auto" w:sz="4" w:space="0"/>
            </w:tcBorders>
            <w:vAlign w:val="center"/>
          </w:tcPr>
          <w:p w14:paraId="699758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52.52</w:t>
            </w:r>
          </w:p>
        </w:tc>
        <w:tc>
          <w:tcPr>
            <w:tcW w:w="438" w:type="pct"/>
            <w:tcBorders>
              <w:top w:val="single" w:color="auto" w:sz="4" w:space="0"/>
              <w:left w:val="single" w:color="auto" w:sz="4" w:space="0"/>
              <w:bottom w:val="single" w:color="auto" w:sz="4" w:space="0"/>
              <w:right w:val="single" w:color="auto" w:sz="4" w:space="0"/>
            </w:tcBorders>
            <w:vAlign w:val="center"/>
          </w:tcPr>
          <w:p w14:paraId="6345A4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48.68</w:t>
            </w:r>
          </w:p>
        </w:tc>
        <w:tc>
          <w:tcPr>
            <w:tcW w:w="437" w:type="pct"/>
            <w:tcBorders>
              <w:top w:val="single" w:color="auto" w:sz="4" w:space="0"/>
              <w:left w:val="single" w:color="auto" w:sz="4" w:space="0"/>
              <w:bottom w:val="single" w:color="auto" w:sz="4" w:space="0"/>
              <w:right w:val="single" w:color="auto" w:sz="4" w:space="0"/>
            </w:tcBorders>
            <w:vAlign w:val="center"/>
          </w:tcPr>
          <w:p w14:paraId="5EDDF4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45.97</w:t>
            </w:r>
          </w:p>
        </w:tc>
        <w:tc>
          <w:tcPr>
            <w:tcW w:w="435" w:type="pct"/>
            <w:tcBorders>
              <w:top w:val="single" w:color="auto" w:sz="4" w:space="0"/>
              <w:left w:val="single" w:color="auto" w:sz="4" w:space="0"/>
              <w:bottom w:val="single" w:color="auto" w:sz="4" w:space="0"/>
              <w:right w:val="single" w:color="auto" w:sz="4" w:space="0"/>
            </w:tcBorders>
            <w:vAlign w:val="center"/>
          </w:tcPr>
          <w:p w14:paraId="347726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zh-CN" w:bidi="ar-SA"/>
              </w:rPr>
            </w:pPr>
            <w:r>
              <w:rPr>
                <w:rFonts w:hint="default" w:ascii="Times New Roman" w:hAnsi="Times New Roman" w:eastAsia="宋体" w:cs="Times New Roman"/>
                <w:color w:val="auto"/>
                <w:spacing w:val="0"/>
                <w:w w:val="99"/>
                <w:position w:val="0"/>
                <w:sz w:val="21"/>
                <w:szCs w:val="21"/>
                <w:highlight w:val="none"/>
                <w:lang w:val="en-US" w:eastAsia="zh-CN" w:bidi="ar-SA"/>
              </w:rPr>
              <w:t>42.13</w:t>
            </w:r>
          </w:p>
        </w:tc>
      </w:tr>
    </w:tbl>
    <w:p w14:paraId="3D713E19">
      <w:pPr>
        <w:widowControl w:val="0"/>
        <w:shd w:val="clear"/>
        <w:spacing w:line="440" w:lineRule="exact"/>
        <w:ind w:firstLine="474" w:firstLineChars="200"/>
        <w:jc w:val="both"/>
        <w:rPr>
          <w:rFonts w:hint="eastAsia"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根据预测结果，距离放空区100m处能够满足《工业企业厂界环境噪声排放标准》（GB12348-2008）中的 2 类标准要求，本工程拟建井场、集气站厂界外200m无声环境保护目标，距离最近的敏感目标为</w:t>
      </w:r>
      <w:r>
        <w:rPr>
          <w:rFonts w:hint="eastAsia" w:ascii="Times New Roman" w:hAnsi="Times New Roman" w:cs="Times New Roman"/>
          <w:color w:val="auto"/>
          <w:w w:val="99"/>
          <w:kern w:val="2"/>
          <w:highlight w:val="none"/>
          <w:lang w:val="en-US" w:eastAsia="zh-CN"/>
        </w:rPr>
        <w:t>采气管线西侧</w:t>
      </w:r>
      <w:r>
        <w:rPr>
          <w:rFonts w:hint="eastAsia" w:ascii="Times New Roman" w:hAnsi="Times New Roman" w:eastAsia="宋体" w:cs="Times New Roman"/>
          <w:color w:val="auto"/>
          <w:w w:val="99"/>
          <w:kern w:val="2"/>
          <w:highlight w:val="none"/>
          <w:lang w:val="en-US" w:eastAsia="zh-CN"/>
        </w:rPr>
        <w:t>100m的尚家围子屯。放空一般在昼间进行，且放空时间较短，通过控制放空气体流速以达到控制放空噪声，对周边敏感目标影响较小。</w:t>
      </w:r>
    </w:p>
    <w:p w14:paraId="39BBF9B1">
      <w:pPr>
        <w:widowControl w:val="0"/>
        <w:shd w:val="clear"/>
        <w:spacing w:line="440" w:lineRule="exact"/>
        <w:ind w:firstLine="474" w:firstLineChars="200"/>
        <w:jc w:val="both"/>
        <w:rPr>
          <w:rFonts w:ascii="Times New Roman" w:hAnsi="Times New Roman" w:cs="Times New Roman"/>
          <w:color w:val="auto"/>
          <w:w w:val="99"/>
          <w:kern w:val="2"/>
          <w:highlight w:val="none"/>
        </w:rPr>
      </w:pPr>
      <w:r>
        <w:rPr>
          <w:rFonts w:hint="default" w:ascii="Times New Roman" w:hAnsi="Times New Roman" w:eastAsia="宋体" w:cs="Times New Roman"/>
          <w:color w:val="auto"/>
          <w:w w:val="99"/>
          <w:kern w:val="2"/>
          <w:highlight w:val="none"/>
          <w:lang w:val="en-US" w:eastAsia="zh-CN"/>
        </w:rPr>
        <w:t>综上所述，本项目涉及站场噪声对周</w:t>
      </w:r>
      <w:r>
        <w:rPr>
          <w:rFonts w:hint="default" w:ascii="Times New Roman" w:hAnsi="Times New Roman" w:cs="Times New Roman"/>
          <w:color w:val="auto"/>
          <w:w w:val="99"/>
          <w:kern w:val="2"/>
          <w:highlight w:val="none"/>
          <w:lang w:val="en-US" w:eastAsia="zh-CN"/>
        </w:rPr>
        <w:t>围声环境影响较小，声环境影响评价自查表见附表2。</w:t>
      </w:r>
    </w:p>
    <w:p w14:paraId="47594547">
      <w:pPr>
        <w:pStyle w:val="7"/>
        <w:widowControl w:val="0"/>
        <w:spacing w:before="60" w:after="60" w:line="440" w:lineRule="exact"/>
        <w:jc w:val="both"/>
        <w:rPr>
          <w:rFonts w:eastAsiaTheme="minorEastAsia"/>
          <w:b/>
          <w:color w:val="auto"/>
          <w:w w:val="99"/>
          <w:kern w:val="2"/>
          <w:sz w:val="24"/>
          <w:szCs w:val="24"/>
          <w:highlight w:val="none"/>
        </w:rPr>
      </w:pPr>
      <w:r>
        <w:rPr>
          <w:rFonts w:eastAsiaTheme="minorEastAsia"/>
          <w:b/>
          <w:color w:val="auto"/>
          <w:w w:val="99"/>
          <w:kern w:val="2"/>
          <w:sz w:val="24"/>
          <w:szCs w:val="24"/>
          <w:highlight w:val="none"/>
        </w:rPr>
        <w:t>5.4.3退役期</w:t>
      </w:r>
      <w:bookmarkEnd w:id="908"/>
    </w:p>
    <w:p w14:paraId="46C3869D">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本项目退役期在拆除地面设备、封井时施工机械及运输车辆会产生噪声。退役期施工机械噪声衰减结果见表5.4-</w:t>
      </w:r>
      <w:r>
        <w:rPr>
          <w:rFonts w:hint="eastAsia" w:ascii="Times New Roman" w:hAnsi="Times New Roman" w:cs="Times New Roman"/>
          <w:color w:val="auto"/>
          <w:w w:val="99"/>
          <w:kern w:val="2"/>
          <w:highlight w:val="none"/>
          <w:lang w:val="en-US" w:eastAsia="zh-CN"/>
        </w:rPr>
        <w:t>10</w:t>
      </w:r>
      <w:r>
        <w:rPr>
          <w:rFonts w:ascii="Times New Roman" w:hAnsi="Times New Roman" w:cs="Times New Roman"/>
          <w:color w:val="auto"/>
          <w:w w:val="99"/>
          <w:kern w:val="2"/>
          <w:highlight w:val="none"/>
        </w:rPr>
        <w:t>。</w:t>
      </w:r>
    </w:p>
    <w:p w14:paraId="56101C5C">
      <w:pPr>
        <w:widowControl w:val="0"/>
        <w:spacing w:line="440" w:lineRule="exact"/>
        <w:ind w:firstLine="476" w:firstLineChars="200"/>
        <w:jc w:val="both"/>
        <w:rPr>
          <w:rFonts w:ascii="Times New Roman" w:hAnsi="Times New Roman" w:cs="Times New Roman"/>
          <w:color w:val="auto"/>
          <w:w w:val="99"/>
          <w:kern w:val="2"/>
          <w:highlight w:val="none"/>
        </w:rPr>
      </w:pPr>
      <w:r>
        <w:rPr>
          <w:rFonts w:ascii="Times New Roman" w:hAnsi="Times New Roman" w:cs="Times New Roman"/>
          <w:b/>
          <w:color w:val="auto"/>
          <w:w w:val="99"/>
          <w:kern w:val="2"/>
          <w:highlight w:val="none"/>
        </w:rPr>
        <w:t>表5.4-</w:t>
      </w:r>
      <w:r>
        <w:rPr>
          <w:rFonts w:hint="eastAsia" w:ascii="Times New Roman" w:hAnsi="Times New Roman" w:cs="Times New Roman"/>
          <w:b/>
          <w:color w:val="auto"/>
          <w:w w:val="99"/>
          <w:kern w:val="2"/>
          <w:highlight w:val="none"/>
          <w:lang w:val="en-US" w:eastAsia="zh-CN"/>
        </w:rPr>
        <w:t>10</w:t>
      </w:r>
      <w:r>
        <w:rPr>
          <w:rFonts w:ascii="Times New Roman" w:hAnsi="Times New Roman" w:cs="Times New Roman"/>
          <w:b/>
          <w:color w:val="auto"/>
          <w:w w:val="99"/>
          <w:kern w:val="2"/>
          <w:highlight w:val="none"/>
        </w:rPr>
        <w:t xml:space="preserve">   退役期施工机械噪声统计表    单位：dB(A)</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57"/>
        <w:gridCol w:w="1174"/>
        <w:gridCol w:w="1016"/>
        <w:gridCol w:w="1163"/>
        <w:gridCol w:w="1161"/>
        <w:gridCol w:w="1161"/>
        <w:gridCol w:w="1155"/>
      </w:tblGrid>
      <w:tr w14:paraId="2464E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pct"/>
            <w:vMerge w:val="restart"/>
            <w:vAlign w:val="center"/>
          </w:tcPr>
          <w:p w14:paraId="431CE1C5">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机械名称</w:t>
            </w:r>
          </w:p>
        </w:tc>
        <w:tc>
          <w:tcPr>
            <w:tcW w:w="3677" w:type="pct"/>
            <w:gridSpan w:val="6"/>
          </w:tcPr>
          <w:p w14:paraId="460E0F11">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离施工点距离不同处的噪声值</w:t>
            </w:r>
          </w:p>
        </w:tc>
      </w:tr>
      <w:tr w14:paraId="71CA3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pct"/>
            <w:vMerge w:val="continue"/>
            <w:vAlign w:val="center"/>
          </w:tcPr>
          <w:p w14:paraId="4E8401FE">
            <w:pPr>
              <w:pStyle w:val="173"/>
              <w:spacing w:line="360" w:lineRule="exact"/>
              <w:rPr>
                <w:rFonts w:ascii="Times New Roman" w:hAnsi="Times New Roman" w:eastAsiaTheme="minorEastAsia"/>
                <w:color w:val="auto"/>
                <w:w w:val="99"/>
                <w:highlight w:val="none"/>
                <w:lang w:val="en-US"/>
              </w:rPr>
            </w:pPr>
          </w:p>
        </w:tc>
        <w:tc>
          <w:tcPr>
            <w:tcW w:w="632" w:type="pct"/>
            <w:vAlign w:val="center"/>
          </w:tcPr>
          <w:p w14:paraId="394D458A">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10m</w:t>
            </w:r>
          </w:p>
        </w:tc>
        <w:tc>
          <w:tcPr>
            <w:tcW w:w="547" w:type="pct"/>
          </w:tcPr>
          <w:p w14:paraId="647197EC">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20m</w:t>
            </w:r>
          </w:p>
        </w:tc>
        <w:tc>
          <w:tcPr>
            <w:tcW w:w="626" w:type="pct"/>
            <w:vAlign w:val="center"/>
          </w:tcPr>
          <w:p w14:paraId="74DE1BF0">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50 m</w:t>
            </w:r>
          </w:p>
        </w:tc>
        <w:tc>
          <w:tcPr>
            <w:tcW w:w="625" w:type="pct"/>
            <w:vAlign w:val="center"/>
          </w:tcPr>
          <w:p w14:paraId="07E2B2EA">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100 m</w:t>
            </w:r>
          </w:p>
        </w:tc>
        <w:tc>
          <w:tcPr>
            <w:tcW w:w="625" w:type="pct"/>
            <w:vAlign w:val="center"/>
          </w:tcPr>
          <w:p w14:paraId="1EF65DB4">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200 m</w:t>
            </w:r>
          </w:p>
        </w:tc>
        <w:tc>
          <w:tcPr>
            <w:tcW w:w="622" w:type="pct"/>
            <w:vAlign w:val="center"/>
          </w:tcPr>
          <w:p w14:paraId="6C7579AF">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300 m</w:t>
            </w:r>
          </w:p>
        </w:tc>
      </w:tr>
      <w:tr w14:paraId="0073F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pct"/>
            <w:vAlign w:val="center"/>
          </w:tcPr>
          <w:p w14:paraId="74BC16AD">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挖掘机</w:t>
            </w:r>
          </w:p>
        </w:tc>
        <w:tc>
          <w:tcPr>
            <w:tcW w:w="632" w:type="pct"/>
            <w:vAlign w:val="center"/>
          </w:tcPr>
          <w:p w14:paraId="6EBED338">
            <w:pPr>
              <w:pStyle w:val="1159"/>
              <w:spacing w:line="360" w:lineRule="exact"/>
              <w:ind w:firstLine="0" w:firstLineChars="0"/>
              <w:rPr>
                <w:rFonts w:cs="Times New Roman" w:eastAsiaTheme="minorEastAsia"/>
                <w:b w:val="0"/>
                <w:color w:val="auto"/>
                <w:w w:val="99"/>
                <w:szCs w:val="21"/>
                <w:highlight w:val="none"/>
              </w:rPr>
            </w:pPr>
            <w:r>
              <w:rPr>
                <w:rFonts w:cs="Times New Roman" w:eastAsiaTheme="minorEastAsia"/>
                <w:b w:val="0"/>
                <w:color w:val="auto"/>
                <w:w w:val="99"/>
                <w:szCs w:val="21"/>
                <w:highlight w:val="none"/>
              </w:rPr>
              <w:t>76</w:t>
            </w:r>
          </w:p>
        </w:tc>
        <w:tc>
          <w:tcPr>
            <w:tcW w:w="547" w:type="pct"/>
          </w:tcPr>
          <w:p w14:paraId="29BA0C99">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66.5</w:t>
            </w:r>
          </w:p>
        </w:tc>
        <w:tc>
          <w:tcPr>
            <w:tcW w:w="626" w:type="pct"/>
            <w:vAlign w:val="center"/>
          </w:tcPr>
          <w:p w14:paraId="618209CB">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56.9</w:t>
            </w:r>
          </w:p>
        </w:tc>
        <w:tc>
          <w:tcPr>
            <w:tcW w:w="625" w:type="pct"/>
            <w:vAlign w:val="center"/>
          </w:tcPr>
          <w:p w14:paraId="54BEA422">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50.4</w:t>
            </w:r>
          </w:p>
        </w:tc>
        <w:tc>
          <w:tcPr>
            <w:tcW w:w="625" w:type="pct"/>
            <w:vAlign w:val="center"/>
          </w:tcPr>
          <w:p w14:paraId="30ABA211">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44.2</w:t>
            </w:r>
          </w:p>
        </w:tc>
        <w:tc>
          <w:tcPr>
            <w:tcW w:w="622" w:type="pct"/>
            <w:vAlign w:val="center"/>
          </w:tcPr>
          <w:p w14:paraId="4375275D">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40.6</w:t>
            </w:r>
          </w:p>
        </w:tc>
      </w:tr>
      <w:tr w14:paraId="2A9E8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pct"/>
            <w:vAlign w:val="center"/>
          </w:tcPr>
          <w:p w14:paraId="7BA4ADFC">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推土机</w:t>
            </w:r>
          </w:p>
        </w:tc>
        <w:tc>
          <w:tcPr>
            <w:tcW w:w="632" w:type="pct"/>
            <w:vAlign w:val="center"/>
          </w:tcPr>
          <w:p w14:paraId="77B388F7">
            <w:pPr>
              <w:pStyle w:val="1159"/>
              <w:spacing w:line="360" w:lineRule="exact"/>
              <w:ind w:firstLine="0" w:firstLineChars="0"/>
              <w:rPr>
                <w:rFonts w:cs="Times New Roman" w:eastAsiaTheme="minorEastAsia"/>
                <w:b w:val="0"/>
                <w:color w:val="auto"/>
                <w:w w:val="99"/>
                <w:szCs w:val="21"/>
                <w:highlight w:val="none"/>
              </w:rPr>
            </w:pPr>
            <w:r>
              <w:rPr>
                <w:rFonts w:cs="Times New Roman" w:eastAsiaTheme="minorEastAsia"/>
                <w:b w:val="0"/>
                <w:color w:val="auto"/>
                <w:w w:val="99"/>
                <w:szCs w:val="21"/>
                <w:highlight w:val="none"/>
              </w:rPr>
              <w:t>74</w:t>
            </w:r>
          </w:p>
        </w:tc>
        <w:tc>
          <w:tcPr>
            <w:tcW w:w="547" w:type="pct"/>
          </w:tcPr>
          <w:p w14:paraId="3D9A712E">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64.5</w:t>
            </w:r>
          </w:p>
        </w:tc>
        <w:tc>
          <w:tcPr>
            <w:tcW w:w="626" w:type="pct"/>
            <w:vAlign w:val="center"/>
          </w:tcPr>
          <w:p w14:paraId="68F4B884">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55</w:t>
            </w:r>
          </w:p>
        </w:tc>
        <w:tc>
          <w:tcPr>
            <w:tcW w:w="625" w:type="pct"/>
            <w:vAlign w:val="center"/>
          </w:tcPr>
          <w:p w14:paraId="0F5792BF">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48.4</w:t>
            </w:r>
          </w:p>
        </w:tc>
        <w:tc>
          <w:tcPr>
            <w:tcW w:w="625" w:type="pct"/>
            <w:vAlign w:val="center"/>
          </w:tcPr>
          <w:p w14:paraId="2DA5675B">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42.2</w:t>
            </w:r>
          </w:p>
        </w:tc>
        <w:tc>
          <w:tcPr>
            <w:tcW w:w="622" w:type="pct"/>
            <w:vAlign w:val="center"/>
          </w:tcPr>
          <w:p w14:paraId="3D7AC9DA">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38.6</w:t>
            </w:r>
          </w:p>
        </w:tc>
      </w:tr>
      <w:tr w14:paraId="1AE8E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pct"/>
            <w:vAlign w:val="center"/>
          </w:tcPr>
          <w:p w14:paraId="1ED7904E">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吊装机</w:t>
            </w:r>
          </w:p>
        </w:tc>
        <w:tc>
          <w:tcPr>
            <w:tcW w:w="632" w:type="pct"/>
            <w:vAlign w:val="center"/>
          </w:tcPr>
          <w:p w14:paraId="4EC7D1C8">
            <w:pPr>
              <w:pStyle w:val="1159"/>
              <w:spacing w:line="360" w:lineRule="exact"/>
              <w:ind w:firstLine="0" w:firstLineChars="0"/>
              <w:rPr>
                <w:rFonts w:cs="Times New Roman" w:eastAsiaTheme="minorEastAsia"/>
                <w:b w:val="0"/>
                <w:color w:val="auto"/>
                <w:w w:val="99"/>
                <w:szCs w:val="21"/>
                <w:highlight w:val="none"/>
              </w:rPr>
            </w:pPr>
            <w:r>
              <w:rPr>
                <w:rFonts w:cs="Times New Roman" w:eastAsiaTheme="minorEastAsia"/>
                <w:b w:val="0"/>
                <w:color w:val="auto"/>
                <w:w w:val="99"/>
                <w:szCs w:val="21"/>
                <w:highlight w:val="none"/>
              </w:rPr>
              <w:t>67</w:t>
            </w:r>
          </w:p>
        </w:tc>
        <w:tc>
          <w:tcPr>
            <w:tcW w:w="547" w:type="pct"/>
          </w:tcPr>
          <w:p w14:paraId="62C7D081">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57.5</w:t>
            </w:r>
          </w:p>
        </w:tc>
        <w:tc>
          <w:tcPr>
            <w:tcW w:w="626" w:type="pct"/>
            <w:vAlign w:val="center"/>
          </w:tcPr>
          <w:p w14:paraId="2696BF74">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48</w:t>
            </w:r>
          </w:p>
        </w:tc>
        <w:tc>
          <w:tcPr>
            <w:tcW w:w="625" w:type="pct"/>
            <w:vAlign w:val="center"/>
          </w:tcPr>
          <w:p w14:paraId="003B8FC6">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41.4</w:t>
            </w:r>
          </w:p>
        </w:tc>
        <w:tc>
          <w:tcPr>
            <w:tcW w:w="625" w:type="pct"/>
            <w:vAlign w:val="center"/>
          </w:tcPr>
          <w:p w14:paraId="08074F1D">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35.2</w:t>
            </w:r>
          </w:p>
        </w:tc>
        <w:tc>
          <w:tcPr>
            <w:tcW w:w="622" w:type="pct"/>
            <w:vAlign w:val="center"/>
          </w:tcPr>
          <w:p w14:paraId="1B72B726">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31.6</w:t>
            </w:r>
          </w:p>
        </w:tc>
      </w:tr>
      <w:tr w14:paraId="63FF5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pct"/>
            <w:vAlign w:val="center"/>
          </w:tcPr>
          <w:p w14:paraId="7374D9E7">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运输车辆</w:t>
            </w:r>
          </w:p>
        </w:tc>
        <w:tc>
          <w:tcPr>
            <w:tcW w:w="632" w:type="pct"/>
            <w:vAlign w:val="center"/>
          </w:tcPr>
          <w:p w14:paraId="64D8631F">
            <w:pPr>
              <w:pStyle w:val="1159"/>
              <w:spacing w:line="360" w:lineRule="exact"/>
              <w:ind w:firstLine="0" w:firstLineChars="0"/>
              <w:rPr>
                <w:rFonts w:cs="Times New Roman" w:eastAsiaTheme="minorEastAsia"/>
                <w:b w:val="0"/>
                <w:color w:val="auto"/>
                <w:w w:val="99"/>
                <w:szCs w:val="21"/>
                <w:highlight w:val="none"/>
              </w:rPr>
            </w:pPr>
            <w:r>
              <w:rPr>
                <w:rFonts w:cs="Times New Roman" w:eastAsiaTheme="minorEastAsia"/>
                <w:b w:val="0"/>
                <w:color w:val="auto"/>
                <w:w w:val="99"/>
                <w:szCs w:val="21"/>
                <w:highlight w:val="none"/>
              </w:rPr>
              <w:t>76</w:t>
            </w:r>
          </w:p>
        </w:tc>
        <w:tc>
          <w:tcPr>
            <w:tcW w:w="547" w:type="pct"/>
          </w:tcPr>
          <w:p w14:paraId="5C5F8995">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66.5</w:t>
            </w:r>
          </w:p>
        </w:tc>
        <w:tc>
          <w:tcPr>
            <w:tcW w:w="626" w:type="pct"/>
            <w:vAlign w:val="center"/>
          </w:tcPr>
          <w:p w14:paraId="582DF37E">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56.9</w:t>
            </w:r>
          </w:p>
        </w:tc>
        <w:tc>
          <w:tcPr>
            <w:tcW w:w="625" w:type="pct"/>
            <w:vAlign w:val="center"/>
          </w:tcPr>
          <w:p w14:paraId="75E304DB">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50.4</w:t>
            </w:r>
          </w:p>
        </w:tc>
        <w:tc>
          <w:tcPr>
            <w:tcW w:w="625" w:type="pct"/>
            <w:vAlign w:val="center"/>
          </w:tcPr>
          <w:p w14:paraId="213E4ED4">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44.2</w:t>
            </w:r>
          </w:p>
        </w:tc>
        <w:tc>
          <w:tcPr>
            <w:tcW w:w="622" w:type="pct"/>
            <w:vAlign w:val="center"/>
          </w:tcPr>
          <w:p w14:paraId="6E62EBDC">
            <w:pPr>
              <w:pStyle w:val="173"/>
              <w:spacing w:line="360" w:lineRule="exact"/>
              <w:rPr>
                <w:rFonts w:ascii="Times New Roman" w:hAnsi="Times New Roman" w:eastAsiaTheme="minorEastAsia"/>
                <w:color w:val="auto"/>
                <w:w w:val="99"/>
                <w:highlight w:val="none"/>
                <w:lang w:val="en-US"/>
              </w:rPr>
            </w:pPr>
            <w:r>
              <w:rPr>
                <w:rFonts w:ascii="Times New Roman" w:hAnsi="Times New Roman" w:eastAsiaTheme="minorEastAsia"/>
                <w:color w:val="auto"/>
                <w:w w:val="99"/>
                <w:highlight w:val="none"/>
                <w:lang w:val="en-US"/>
              </w:rPr>
              <w:t>40.6</w:t>
            </w:r>
          </w:p>
        </w:tc>
      </w:tr>
    </w:tbl>
    <w:p w14:paraId="55AFD918">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本项目退役期仅在昼间施工，由上表可以看出，主要施工机械在20m以外均能够满足《</w:t>
      </w:r>
      <w:r>
        <w:rPr>
          <w:rFonts w:hint="eastAsia" w:ascii="Times New Roman" w:hAnsi="Times New Roman" w:cs="Times New Roman"/>
          <w:color w:val="auto"/>
          <w:w w:val="99"/>
          <w:kern w:val="2"/>
          <w:highlight w:val="none"/>
          <w:lang w:eastAsia="zh-CN"/>
        </w:rPr>
        <w:t>建筑施工噪声排放标准</w:t>
      </w:r>
      <w:r>
        <w:rPr>
          <w:rFonts w:ascii="Times New Roman" w:hAnsi="Times New Roman" w:cs="Times New Roman"/>
          <w:color w:val="auto"/>
          <w:w w:val="99"/>
          <w:kern w:val="2"/>
          <w:highlight w:val="none"/>
        </w:rPr>
        <w:t>》（GB12523-20</w:t>
      </w:r>
      <w:r>
        <w:rPr>
          <w:rFonts w:hint="eastAsia" w:ascii="Times New Roman" w:hAnsi="Times New Roman" w:cs="Times New Roman"/>
          <w:color w:val="auto"/>
          <w:w w:val="99"/>
          <w:kern w:val="2"/>
          <w:highlight w:val="none"/>
          <w:lang w:val="en-US" w:eastAsia="zh-CN"/>
        </w:rPr>
        <w:t>25</w:t>
      </w:r>
      <w:r>
        <w:rPr>
          <w:rFonts w:ascii="Times New Roman" w:hAnsi="Times New Roman" w:cs="Times New Roman"/>
          <w:color w:val="auto"/>
          <w:w w:val="99"/>
          <w:kern w:val="2"/>
          <w:highlight w:val="none"/>
        </w:rPr>
        <w:t>）中昼间限值不超过70dB（A）的要求。根据现场调查，</w:t>
      </w:r>
      <w:r>
        <w:rPr>
          <w:rFonts w:ascii="Times New Roman" w:hAnsi="Times New Roman" w:cs="Times New Roman"/>
          <w:bCs/>
          <w:color w:val="auto"/>
          <w:w w:val="99"/>
          <w:kern w:val="2"/>
          <w:highlight w:val="none"/>
        </w:rPr>
        <w:t>距离本项目较近的声环境敏</w:t>
      </w:r>
      <w:r>
        <w:rPr>
          <w:rFonts w:ascii="Times New Roman" w:hAnsi="Times New Roman" w:eastAsia="宋体" w:cs="Times New Roman"/>
          <w:color w:val="auto"/>
          <w:w w:val="99"/>
          <w:kern w:val="2"/>
          <w:highlight w:val="none"/>
        </w:rPr>
        <w:t>感点为</w:t>
      </w:r>
      <w:r>
        <w:rPr>
          <w:rFonts w:hint="eastAsia" w:ascii="Times New Roman" w:hAnsi="Times New Roman" w:cs="Times New Roman"/>
          <w:color w:val="auto"/>
          <w:w w:val="99"/>
          <w:kern w:val="2"/>
          <w:highlight w:val="none"/>
          <w:lang w:val="en-US" w:eastAsia="zh-CN"/>
        </w:rPr>
        <w:t>采气管线西侧</w:t>
      </w:r>
      <w:r>
        <w:rPr>
          <w:rFonts w:hint="eastAsia" w:ascii="Times New Roman" w:hAnsi="Times New Roman" w:eastAsia="宋体" w:cs="Times New Roman"/>
          <w:color w:val="auto"/>
          <w:w w:val="99"/>
          <w:kern w:val="2"/>
          <w:highlight w:val="none"/>
          <w:lang w:val="en-US" w:eastAsia="zh-CN"/>
        </w:rPr>
        <w:t>100m的尚家围子屯，</w:t>
      </w:r>
      <w:r>
        <w:rPr>
          <w:rFonts w:ascii="Times New Roman" w:hAnsi="Times New Roman" w:eastAsia="宋体" w:cs="Times New Roman"/>
          <w:color w:val="auto"/>
          <w:w w:val="99"/>
          <w:kern w:val="2"/>
          <w:highlight w:val="none"/>
        </w:rPr>
        <w:t>项目退役期产生噪声对其影响较小，且噪声对环境的影响是暂时性的，随着</w:t>
      </w:r>
      <w:r>
        <w:rPr>
          <w:rFonts w:ascii="Times New Roman" w:hAnsi="Times New Roman" w:cs="Times New Roman"/>
          <w:color w:val="auto"/>
          <w:w w:val="99"/>
          <w:kern w:val="2"/>
          <w:highlight w:val="none"/>
        </w:rPr>
        <w:t>施工结束，其影响也随之消失。</w:t>
      </w:r>
    </w:p>
    <w:p w14:paraId="56284349">
      <w:pPr>
        <w:pStyle w:val="5"/>
        <w:keepNext w:val="0"/>
        <w:keepLines w:val="0"/>
        <w:widowControl w:val="0"/>
        <w:spacing w:before="120" w:after="120"/>
        <w:rPr>
          <w:rFonts w:ascii="Times New Roman" w:hAnsi="Times New Roman" w:eastAsia="宋体"/>
          <w:b/>
          <w:snapToGrid w:val="0"/>
          <w:color w:val="auto"/>
          <w:w w:val="99"/>
          <w:highlight w:val="none"/>
        </w:rPr>
      </w:pPr>
      <w:bookmarkStart w:id="909" w:name="_Toc11604"/>
      <w:bookmarkStart w:id="910" w:name="_Toc65426005"/>
      <w:r>
        <w:rPr>
          <w:rFonts w:ascii="Times New Roman" w:hAnsi="Times New Roman" w:eastAsia="宋体"/>
          <w:b/>
          <w:snapToGrid w:val="0"/>
          <w:color w:val="auto"/>
          <w:w w:val="99"/>
          <w:highlight w:val="none"/>
        </w:rPr>
        <w:t>5.5固体废物环境影响分析</w:t>
      </w:r>
      <w:bookmarkEnd w:id="909"/>
      <w:bookmarkEnd w:id="910"/>
    </w:p>
    <w:p w14:paraId="61AA31FE">
      <w:pPr>
        <w:pStyle w:val="7"/>
        <w:widowControl w:val="0"/>
        <w:spacing w:before="60" w:after="60" w:line="440" w:lineRule="exact"/>
        <w:jc w:val="both"/>
        <w:rPr>
          <w:rFonts w:eastAsiaTheme="minorEastAsia"/>
          <w:b/>
          <w:color w:val="auto"/>
          <w:w w:val="99"/>
          <w:kern w:val="2"/>
          <w:sz w:val="24"/>
          <w:szCs w:val="24"/>
          <w:highlight w:val="none"/>
        </w:rPr>
      </w:pPr>
      <w:bookmarkStart w:id="911" w:name="_Toc143099641"/>
      <w:bookmarkStart w:id="912" w:name="_Toc126863454"/>
      <w:bookmarkStart w:id="913" w:name="_Toc84929295"/>
      <w:bookmarkStart w:id="914" w:name="_Toc131167354"/>
      <w:bookmarkStart w:id="915" w:name="_Toc186444351"/>
      <w:bookmarkStart w:id="916" w:name="_Toc127192403"/>
      <w:bookmarkStart w:id="917" w:name="_Toc85640823"/>
      <w:bookmarkStart w:id="918" w:name="_Toc86141998"/>
      <w:bookmarkStart w:id="919" w:name="_Toc76976308"/>
      <w:bookmarkStart w:id="920" w:name="_Toc78816523"/>
      <w:bookmarkStart w:id="921" w:name="_Toc77067720"/>
      <w:bookmarkStart w:id="922" w:name="_Toc80588318"/>
      <w:bookmarkStart w:id="923" w:name="_Toc83209540"/>
      <w:bookmarkStart w:id="924" w:name="_Toc67860196"/>
      <w:bookmarkStart w:id="925" w:name="_Toc80971440"/>
      <w:bookmarkStart w:id="926" w:name="_Toc70050245"/>
      <w:r>
        <w:rPr>
          <w:rFonts w:eastAsiaTheme="minorEastAsia"/>
          <w:b/>
          <w:color w:val="auto"/>
          <w:w w:val="99"/>
          <w:kern w:val="2"/>
          <w:sz w:val="24"/>
          <w:szCs w:val="24"/>
          <w:highlight w:val="none"/>
        </w:rPr>
        <w:t>5.5.1施工期</w:t>
      </w:r>
      <w:bookmarkEnd w:id="911"/>
      <w:bookmarkEnd w:id="912"/>
      <w:bookmarkEnd w:id="913"/>
      <w:bookmarkEnd w:id="914"/>
      <w:bookmarkEnd w:id="915"/>
      <w:bookmarkEnd w:id="916"/>
      <w:bookmarkEnd w:id="917"/>
      <w:bookmarkEnd w:id="918"/>
    </w:p>
    <w:p w14:paraId="594CBB62">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施工过程中产生的固体废物主要为施工废料</w:t>
      </w:r>
      <w:r>
        <w:rPr>
          <w:rFonts w:hint="eastAsia" w:ascii="Times New Roman" w:hAnsi="Times New Roman" w:eastAsia="宋体" w:cs="Times New Roman"/>
          <w:color w:val="auto"/>
          <w:w w:val="99"/>
          <w:kern w:val="2"/>
          <w:sz w:val="24"/>
          <w:szCs w:val="24"/>
          <w:highlight w:val="none"/>
          <w:lang w:val="en-US" w:eastAsia="zh-CN" w:bidi="ar-SA"/>
        </w:rPr>
        <w:t>及</w:t>
      </w:r>
      <w:r>
        <w:rPr>
          <w:rFonts w:ascii="Times New Roman" w:hAnsi="Times New Roman" w:eastAsia="宋体" w:cs="Times New Roman"/>
          <w:color w:val="auto"/>
          <w:w w:val="99"/>
          <w:kern w:val="2"/>
          <w:sz w:val="24"/>
          <w:szCs w:val="24"/>
          <w:highlight w:val="none"/>
          <w:lang w:val="en-US" w:eastAsia="zh-CN" w:bidi="ar-SA"/>
        </w:rPr>
        <w:t>生活垃圾等。</w:t>
      </w:r>
    </w:p>
    <w:p w14:paraId="08A052E1">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w:t>
      </w:r>
      <w:r>
        <w:rPr>
          <w:rFonts w:hint="eastAsia" w:cs="Times New Roman"/>
          <w:color w:val="auto"/>
          <w:w w:val="99"/>
          <w:kern w:val="2"/>
          <w:sz w:val="24"/>
          <w:szCs w:val="24"/>
          <w:highlight w:val="none"/>
          <w:lang w:val="en-US" w:eastAsia="zh-CN" w:bidi="ar-SA"/>
        </w:rPr>
        <w:t>1</w:t>
      </w:r>
      <w:r>
        <w:rPr>
          <w:rFonts w:ascii="Times New Roman" w:hAnsi="Times New Roman" w:eastAsia="宋体" w:cs="Times New Roman"/>
          <w:color w:val="auto"/>
          <w:w w:val="99"/>
          <w:kern w:val="2"/>
          <w:sz w:val="24"/>
          <w:szCs w:val="24"/>
          <w:highlight w:val="none"/>
          <w:lang w:val="en-US" w:eastAsia="zh-CN" w:bidi="ar-SA"/>
        </w:rPr>
        <w:t>）施工废料</w:t>
      </w:r>
    </w:p>
    <w:p w14:paraId="0F3F1F7D">
      <w:pPr>
        <w:widowControl w:val="0"/>
        <w:spacing w:line="440" w:lineRule="exact"/>
        <w:ind w:firstLine="474" w:firstLineChars="200"/>
        <w:jc w:val="both"/>
        <w:rPr>
          <w:rFonts w:hint="default"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本项目施工</w:t>
      </w:r>
      <w:r>
        <w:rPr>
          <w:rFonts w:hint="eastAsia" w:ascii="Times New Roman" w:hAnsi="Times New Roman" w:eastAsia="宋体" w:cs="Times New Roman"/>
          <w:color w:val="auto"/>
          <w:w w:val="99"/>
          <w:kern w:val="2"/>
          <w:sz w:val="24"/>
          <w:szCs w:val="24"/>
          <w:highlight w:val="none"/>
          <w:lang w:val="en-US" w:eastAsia="zh-CN" w:bidi="ar-SA"/>
        </w:rPr>
        <w:t>过程中产生</w:t>
      </w:r>
      <w:r>
        <w:rPr>
          <w:rFonts w:hint="eastAsia" w:ascii="Times New Roman" w:hAnsi="Times New Roman" w:cs="Times New Roman"/>
          <w:color w:val="auto"/>
          <w:w w:val="99"/>
          <w:kern w:val="2"/>
          <w:sz w:val="24"/>
          <w:szCs w:val="24"/>
          <w:highlight w:val="none"/>
          <w:lang w:val="en-US" w:eastAsia="zh-CN" w:bidi="ar-SA"/>
        </w:rPr>
        <w:t>施工废料为</w:t>
      </w:r>
      <w:r>
        <w:rPr>
          <w:rFonts w:hint="eastAsia" w:ascii="Times New Roman" w:hAnsi="Times New Roman" w:eastAsia="宋体" w:cs="Times New Roman"/>
          <w:color w:val="auto"/>
          <w:w w:val="99"/>
          <w:kern w:val="2"/>
          <w:sz w:val="24"/>
          <w:szCs w:val="24"/>
          <w:highlight w:val="none"/>
          <w:lang w:val="en-US" w:eastAsia="zh-CN" w:bidi="ar-SA"/>
        </w:rPr>
        <w:t>一般工业固体废物，</w:t>
      </w:r>
      <w:r>
        <w:rPr>
          <w:rFonts w:hint="default" w:ascii="Times New Roman" w:hAnsi="Times New Roman" w:eastAsia="宋体" w:cs="Times New Roman"/>
          <w:color w:val="auto"/>
          <w:w w:val="99"/>
          <w:kern w:val="2"/>
          <w:sz w:val="24"/>
          <w:szCs w:val="24"/>
          <w:highlight w:val="none"/>
          <w:lang w:val="en-US" w:eastAsia="zh-CN" w:bidi="ar-SA"/>
        </w:rPr>
        <w:t>由</w:t>
      </w:r>
      <w:r>
        <w:rPr>
          <w:rFonts w:hint="eastAsia" w:ascii="Times New Roman" w:hAnsi="Times New Roman" w:eastAsia="宋体" w:cs="Times New Roman"/>
          <w:color w:val="auto"/>
          <w:w w:val="99"/>
          <w:kern w:val="2"/>
          <w:sz w:val="24"/>
          <w:szCs w:val="24"/>
          <w:highlight w:val="none"/>
          <w:lang w:val="en-US" w:eastAsia="zh-CN" w:bidi="ar-SA"/>
        </w:rPr>
        <w:t>施工</w:t>
      </w:r>
      <w:r>
        <w:rPr>
          <w:rFonts w:hint="default" w:ascii="Times New Roman" w:hAnsi="Times New Roman" w:eastAsia="宋体" w:cs="Times New Roman"/>
          <w:color w:val="auto"/>
          <w:w w:val="99"/>
          <w:kern w:val="2"/>
          <w:sz w:val="24"/>
          <w:szCs w:val="24"/>
          <w:highlight w:val="none"/>
          <w:lang w:val="en-US" w:eastAsia="zh-CN" w:bidi="ar-SA"/>
        </w:rPr>
        <w:t>单位统一安排拉运至</w:t>
      </w:r>
      <w:r>
        <w:rPr>
          <w:rFonts w:hint="eastAsia" w:ascii="Times New Roman" w:hAnsi="Times New Roman" w:eastAsia="宋体" w:cs="Times New Roman"/>
          <w:color w:val="auto"/>
          <w:w w:val="99"/>
          <w:kern w:val="2"/>
          <w:sz w:val="24"/>
          <w:szCs w:val="24"/>
          <w:highlight w:val="none"/>
          <w:lang w:val="en-US" w:eastAsia="zh-CN" w:bidi="ar-SA"/>
        </w:rPr>
        <w:t>第八采油厂工业固体废物填埋场进行处理</w:t>
      </w:r>
      <w:r>
        <w:rPr>
          <w:rFonts w:hint="eastAsia" w:ascii="Times New Roman" w:hAnsi="Times New Roman" w:cs="Times New Roman"/>
          <w:color w:val="auto"/>
          <w:w w:val="99"/>
          <w:kern w:val="2"/>
          <w:sz w:val="24"/>
          <w:szCs w:val="24"/>
          <w:highlight w:val="none"/>
          <w:lang w:val="en-US" w:eastAsia="zh-CN" w:bidi="ar-SA"/>
        </w:rPr>
        <w:t>。</w:t>
      </w:r>
    </w:p>
    <w:p w14:paraId="50FC5524">
      <w:pPr>
        <w:pStyle w:val="46"/>
        <w:tabs>
          <w:tab w:val="left" w:pos="770"/>
        </w:tabs>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hint="eastAsia" w:ascii="Times New Roman" w:hAnsi="Times New Roman" w:eastAsia="宋体" w:cs="Times New Roman"/>
          <w:color w:val="auto"/>
          <w:w w:val="99"/>
          <w:kern w:val="2"/>
          <w:sz w:val="24"/>
          <w:szCs w:val="24"/>
          <w:highlight w:val="none"/>
          <w:lang w:val="en-US" w:eastAsia="zh-CN" w:bidi="ar-SA"/>
        </w:rPr>
        <w:t>（</w:t>
      </w:r>
      <w:r>
        <w:rPr>
          <w:rFonts w:hint="eastAsia" w:cs="Times New Roman"/>
          <w:color w:val="auto"/>
          <w:w w:val="99"/>
          <w:kern w:val="2"/>
          <w:sz w:val="24"/>
          <w:szCs w:val="24"/>
          <w:highlight w:val="none"/>
          <w:lang w:val="en-US" w:eastAsia="zh-CN" w:bidi="ar-SA"/>
        </w:rPr>
        <w:tab/>
      </w:r>
      <w:r>
        <w:rPr>
          <w:rFonts w:hint="eastAsia" w:cs="Times New Roman"/>
          <w:color w:val="auto"/>
          <w:w w:val="99"/>
          <w:kern w:val="2"/>
          <w:sz w:val="24"/>
          <w:szCs w:val="24"/>
          <w:highlight w:val="none"/>
          <w:lang w:val="en-US" w:eastAsia="zh-CN" w:bidi="ar-SA"/>
        </w:rPr>
        <w:t>2</w:t>
      </w:r>
      <w:r>
        <w:rPr>
          <w:rFonts w:hint="eastAsia" w:ascii="Times New Roman" w:hAnsi="Times New Roman" w:eastAsia="宋体" w:cs="Times New Roman"/>
          <w:color w:val="auto"/>
          <w:w w:val="99"/>
          <w:kern w:val="2"/>
          <w:sz w:val="24"/>
          <w:szCs w:val="24"/>
          <w:highlight w:val="none"/>
          <w:lang w:val="en-US" w:eastAsia="zh-CN" w:bidi="ar-SA"/>
        </w:rPr>
        <w:t>）</w:t>
      </w:r>
      <w:r>
        <w:rPr>
          <w:rFonts w:ascii="Times New Roman" w:hAnsi="Times New Roman" w:eastAsia="宋体" w:cs="Times New Roman"/>
          <w:color w:val="auto"/>
          <w:w w:val="99"/>
          <w:kern w:val="2"/>
          <w:sz w:val="24"/>
          <w:szCs w:val="24"/>
          <w:highlight w:val="none"/>
          <w:lang w:val="en-US" w:eastAsia="zh-CN" w:bidi="ar-SA"/>
        </w:rPr>
        <w:t>生活垃圾</w:t>
      </w:r>
    </w:p>
    <w:p w14:paraId="7B5B15F3">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生活垃圾统一收集后拉运至</w:t>
      </w:r>
      <w:r>
        <w:rPr>
          <w:rFonts w:hint="eastAsia" w:cs="Times New Roman"/>
          <w:color w:val="auto"/>
          <w:w w:val="99"/>
          <w:kern w:val="2"/>
          <w:sz w:val="24"/>
          <w:szCs w:val="24"/>
          <w:highlight w:val="none"/>
          <w:lang w:val="en-US" w:eastAsia="zh-CN" w:bidi="ar-SA"/>
        </w:rPr>
        <w:t>肇东北控环境再生能源有限公司</w:t>
      </w:r>
      <w:r>
        <w:rPr>
          <w:rFonts w:ascii="Times New Roman" w:hAnsi="Times New Roman" w:eastAsia="宋体" w:cs="Times New Roman"/>
          <w:color w:val="auto"/>
          <w:w w:val="99"/>
          <w:kern w:val="2"/>
          <w:sz w:val="24"/>
          <w:szCs w:val="24"/>
          <w:highlight w:val="none"/>
          <w:lang w:val="en-US" w:eastAsia="zh-CN" w:bidi="ar-SA"/>
        </w:rPr>
        <w:t>处理。</w:t>
      </w:r>
    </w:p>
    <w:p w14:paraId="7065FD3E">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综上所述，施工期产生的固体废物均得到分类收集，妥善、有效处置，不会对周围环境产生不良影响。</w:t>
      </w:r>
    </w:p>
    <w:p w14:paraId="13B11801">
      <w:pPr>
        <w:pStyle w:val="7"/>
        <w:widowControl w:val="0"/>
        <w:spacing w:before="60" w:after="60" w:line="440" w:lineRule="exact"/>
        <w:jc w:val="both"/>
        <w:rPr>
          <w:rFonts w:eastAsiaTheme="minorEastAsia"/>
          <w:b/>
          <w:color w:val="auto"/>
          <w:w w:val="99"/>
          <w:kern w:val="2"/>
          <w:sz w:val="24"/>
          <w:szCs w:val="24"/>
          <w:highlight w:val="none"/>
        </w:rPr>
      </w:pPr>
      <w:bookmarkStart w:id="927" w:name="_Toc126863455"/>
      <w:bookmarkStart w:id="928" w:name="_Toc86141999"/>
      <w:bookmarkStart w:id="929" w:name="_Toc84929296"/>
      <w:bookmarkStart w:id="930" w:name="_Toc131167355"/>
      <w:bookmarkStart w:id="931" w:name="_Toc186444352"/>
      <w:bookmarkStart w:id="932" w:name="_Toc127192404"/>
      <w:bookmarkStart w:id="933" w:name="_Toc143099642"/>
      <w:bookmarkStart w:id="934" w:name="_Toc85640824"/>
      <w:r>
        <w:rPr>
          <w:rFonts w:eastAsiaTheme="minorEastAsia"/>
          <w:b/>
          <w:color w:val="auto"/>
          <w:w w:val="99"/>
          <w:kern w:val="2"/>
          <w:sz w:val="24"/>
          <w:szCs w:val="24"/>
          <w:highlight w:val="none"/>
        </w:rPr>
        <w:t>5.5.2运营期</w:t>
      </w:r>
      <w:bookmarkEnd w:id="927"/>
      <w:bookmarkEnd w:id="928"/>
      <w:bookmarkEnd w:id="929"/>
      <w:bookmarkEnd w:id="930"/>
      <w:bookmarkEnd w:id="931"/>
      <w:bookmarkEnd w:id="932"/>
      <w:bookmarkEnd w:id="933"/>
      <w:bookmarkEnd w:id="934"/>
    </w:p>
    <w:p w14:paraId="651630AF">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本项目运营期</w:t>
      </w:r>
      <w:r>
        <w:rPr>
          <w:rFonts w:hint="eastAsia" w:cs="Times New Roman"/>
          <w:color w:val="auto"/>
          <w:w w:val="99"/>
          <w:kern w:val="2"/>
          <w:sz w:val="24"/>
          <w:szCs w:val="24"/>
          <w:highlight w:val="none"/>
          <w:lang w:val="en-US" w:eastAsia="zh-CN" w:bidi="ar-SA"/>
        </w:rPr>
        <w:t>正常工况无固体废物产生，非常工况下</w:t>
      </w:r>
      <w:r>
        <w:rPr>
          <w:rFonts w:ascii="Times New Roman" w:hAnsi="Times New Roman" w:eastAsia="宋体" w:cs="Times New Roman"/>
          <w:color w:val="auto"/>
          <w:w w:val="99"/>
          <w:kern w:val="2"/>
          <w:sz w:val="24"/>
          <w:szCs w:val="24"/>
          <w:highlight w:val="none"/>
          <w:lang w:val="en-US" w:eastAsia="zh-CN" w:bidi="ar-SA"/>
        </w:rPr>
        <w:t>产生的固体废物主要</w:t>
      </w:r>
      <w:r>
        <w:rPr>
          <w:rFonts w:hint="eastAsia" w:cs="Times New Roman"/>
          <w:color w:val="auto"/>
          <w:w w:val="99"/>
          <w:kern w:val="2"/>
          <w:sz w:val="24"/>
          <w:szCs w:val="24"/>
          <w:highlight w:val="none"/>
          <w:lang w:val="en-US" w:eastAsia="zh-CN" w:bidi="ar-SA"/>
        </w:rPr>
        <w:t>包括井口含油砂砾、废变压器油</w:t>
      </w:r>
      <w:r>
        <w:rPr>
          <w:rFonts w:ascii="Times New Roman" w:hAnsi="Times New Roman" w:eastAsia="宋体" w:cs="Times New Roman"/>
          <w:color w:val="auto"/>
          <w:w w:val="99"/>
          <w:kern w:val="2"/>
          <w:sz w:val="24"/>
          <w:szCs w:val="24"/>
          <w:highlight w:val="none"/>
          <w:lang w:val="en-US" w:eastAsia="zh-CN" w:bidi="ar-SA"/>
        </w:rPr>
        <w:t>。</w:t>
      </w:r>
    </w:p>
    <w:p w14:paraId="7C482264">
      <w:pPr>
        <w:widowControl w:val="0"/>
        <w:numPr>
          <w:ilvl w:val="0"/>
          <w:numId w:val="0"/>
        </w:numPr>
        <w:spacing w:line="440" w:lineRule="exact"/>
        <w:ind w:firstLine="474" w:firstLineChars="200"/>
        <w:jc w:val="both"/>
        <w:rPr>
          <w:rFonts w:hint="eastAsia" w:ascii="Times New Roman" w:hAnsi="Times New Roman" w:eastAsia="宋体" w:cs="Times New Roman"/>
          <w:color w:val="auto"/>
          <w:w w:val="99"/>
          <w:kern w:val="2"/>
          <w:szCs w:val="20"/>
          <w:highlight w:val="none"/>
          <w:lang w:val="en-US" w:eastAsia="zh-CN"/>
        </w:rPr>
      </w:pPr>
      <w:bookmarkStart w:id="935" w:name="OLE_LINK121"/>
      <w:bookmarkStart w:id="936" w:name="OLE_LINK122"/>
      <w:r>
        <w:rPr>
          <w:rFonts w:hint="eastAsia" w:cs="Times New Roman"/>
          <w:color w:val="auto"/>
          <w:w w:val="99"/>
          <w:kern w:val="2"/>
          <w:sz w:val="24"/>
          <w:szCs w:val="24"/>
          <w:highlight w:val="none"/>
          <w:lang w:val="en-US" w:eastAsia="zh-CN" w:bidi="ar-SA"/>
        </w:rPr>
        <w:t>井口含油砂砾、废变压器油均</w:t>
      </w:r>
      <w:r>
        <w:rPr>
          <w:rFonts w:ascii="Times New Roman" w:hAnsi="Times New Roman" w:eastAsia="宋体" w:cs="Times New Roman"/>
          <w:color w:val="auto"/>
          <w:w w:val="99"/>
          <w:kern w:val="2"/>
          <w:sz w:val="24"/>
          <w:szCs w:val="24"/>
          <w:highlight w:val="none"/>
          <w:lang w:val="en-US" w:eastAsia="zh-CN" w:bidi="ar-SA"/>
        </w:rPr>
        <w:t>属于危险废物，产生量</w:t>
      </w:r>
      <w:r>
        <w:rPr>
          <w:rFonts w:hint="eastAsia" w:cs="Times New Roman"/>
          <w:color w:val="auto"/>
          <w:w w:val="99"/>
          <w:kern w:val="2"/>
          <w:sz w:val="24"/>
          <w:szCs w:val="24"/>
          <w:highlight w:val="none"/>
          <w:lang w:val="en-US" w:eastAsia="zh-CN" w:bidi="ar-SA"/>
        </w:rPr>
        <w:t>分别</w:t>
      </w:r>
      <w:r>
        <w:rPr>
          <w:rFonts w:ascii="Times New Roman" w:hAnsi="Times New Roman" w:eastAsia="宋体" w:cs="Times New Roman"/>
          <w:color w:val="auto"/>
          <w:w w:val="99"/>
          <w:kern w:val="2"/>
          <w:sz w:val="24"/>
          <w:szCs w:val="24"/>
          <w:highlight w:val="none"/>
          <w:lang w:val="en-US" w:eastAsia="zh-CN" w:bidi="ar-SA"/>
        </w:rPr>
        <w:t>为0.0</w:t>
      </w:r>
      <w:r>
        <w:rPr>
          <w:rFonts w:hint="eastAsia" w:ascii="Times New Roman" w:hAnsi="Times New Roman" w:cs="Times New Roman"/>
          <w:color w:val="auto"/>
          <w:w w:val="99"/>
          <w:kern w:val="2"/>
          <w:sz w:val="24"/>
          <w:szCs w:val="24"/>
          <w:highlight w:val="none"/>
          <w:lang w:val="en-US" w:eastAsia="zh-CN" w:bidi="ar-SA"/>
        </w:rPr>
        <w:t>1</w:t>
      </w:r>
      <w:r>
        <w:rPr>
          <w:rFonts w:ascii="Times New Roman" w:hAnsi="Times New Roman" w:eastAsia="宋体" w:cs="Times New Roman"/>
          <w:color w:val="auto"/>
          <w:w w:val="99"/>
          <w:kern w:val="2"/>
          <w:sz w:val="24"/>
          <w:szCs w:val="24"/>
          <w:highlight w:val="none"/>
          <w:lang w:val="en-US" w:eastAsia="zh-CN" w:bidi="ar-SA"/>
        </w:rPr>
        <w:t>t/a</w:t>
      </w:r>
      <w:r>
        <w:rPr>
          <w:rFonts w:hint="eastAsia" w:ascii="Times New Roman" w:hAnsi="Times New Roman" w:eastAsia="宋体" w:cs="Times New Roman"/>
          <w:color w:val="auto"/>
          <w:w w:val="99"/>
          <w:kern w:val="2"/>
          <w:sz w:val="24"/>
          <w:szCs w:val="24"/>
          <w:highlight w:val="none"/>
          <w:lang w:val="en-US" w:eastAsia="zh-CN" w:bidi="ar-SA"/>
        </w:rPr>
        <w:t>、</w:t>
      </w:r>
      <w:r>
        <w:rPr>
          <w:rFonts w:ascii="Times New Roman" w:hAnsi="Times New Roman" w:eastAsia="宋体" w:cs="Times New Roman"/>
          <w:color w:val="auto"/>
          <w:w w:val="99"/>
          <w:kern w:val="2"/>
          <w:sz w:val="24"/>
          <w:szCs w:val="24"/>
          <w:highlight w:val="none"/>
          <w:lang w:val="en-US" w:eastAsia="zh-CN" w:bidi="ar-SA"/>
        </w:rPr>
        <w:t>0.</w:t>
      </w:r>
      <w:r>
        <w:rPr>
          <w:rFonts w:hint="eastAsia" w:ascii="Times New Roman" w:hAnsi="Times New Roman" w:cs="Times New Roman"/>
          <w:color w:val="auto"/>
          <w:w w:val="99"/>
          <w:kern w:val="2"/>
          <w:sz w:val="24"/>
          <w:szCs w:val="24"/>
          <w:highlight w:val="none"/>
          <w:lang w:val="en-US" w:eastAsia="zh-CN" w:bidi="ar-SA"/>
        </w:rPr>
        <w:t>0</w:t>
      </w:r>
      <w:r>
        <w:rPr>
          <w:rFonts w:hint="eastAsia" w:ascii="Times New Roman" w:hAnsi="Times New Roman" w:eastAsia="宋体" w:cs="Times New Roman"/>
          <w:color w:val="auto"/>
          <w:w w:val="99"/>
          <w:kern w:val="2"/>
          <w:sz w:val="24"/>
          <w:szCs w:val="24"/>
          <w:highlight w:val="none"/>
          <w:lang w:val="en-US" w:eastAsia="zh-CN" w:bidi="ar-SA"/>
        </w:rPr>
        <w:t>5</w:t>
      </w:r>
      <w:r>
        <w:rPr>
          <w:rFonts w:ascii="Times New Roman" w:hAnsi="Times New Roman" w:eastAsia="宋体" w:cs="Times New Roman"/>
          <w:color w:val="auto"/>
          <w:w w:val="99"/>
          <w:kern w:val="2"/>
          <w:sz w:val="24"/>
          <w:szCs w:val="24"/>
          <w:highlight w:val="none"/>
          <w:lang w:val="en-US" w:eastAsia="zh-CN" w:bidi="ar-SA"/>
        </w:rPr>
        <w:t>t/a，在井场产生后，由检维修队送采气分公司危险废物贮存库内，定期委托有危废处置资质的单位处置。</w:t>
      </w:r>
    </w:p>
    <w:bookmarkEnd w:id="935"/>
    <w:bookmarkEnd w:id="936"/>
    <w:p w14:paraId="6C37F10F">
      <w:pPr>
        <w:pStyle w:val="7"/>
        <w:widowControl w:val="0"/>
        <w:spacing w:before="60" w:after="60" w:line="440" w:lineRule="exact"/>
        <w:jc w:val="both"/>
        <w:rPr>
          <w:rFonts w:eastAsiaTheme="minorEastAsia"/>
          <w:b/>
          <w:color w:val="auto"/>
          <w:w w:val="99"/>
          <w:kern w:val="2"/>
          <w:sz w:val="24"/>
          <w:szCs w:val="24"/>
          <w:highlight w:val="none"/>
        </w:rPr>
      </w:pPr>
      <w:bookmarkStart w:id="937" w:name="_Toc131167356"/>
      <w:bookmarkStart w:id="938" w:name="_Toc84929297"/>
      <w:bookmarkStart w:id="939" w:name="_Toc127192405"/>
      <w:bookmarkStart w:id="940" w:name="_Toc86142000"/>
      <w:bookmarkStart w:id="941" w:name="_Toc143099643"/>
      <w:bookmarkStart w:id="942" w:name="_Toc85640825"/>
      <w:bookmarkStart w:id="943" w:name="_Toc126863456"/>
      <w:r>
        <w:rPr>
          <w:rFonts w:eastAsiaTheme="minorEastAsia"/>
          <w:b/>
          <w:color w:val="auto"/>
          <w:w w:val="99"/>
          <w:kern w:val="2"/>
          <w:sz w:val="24"/>
          <w:szCs w:val="24"/>
          <w:highlight w:val="none"/>
        </w:rPr>
        <w:t>5.5.3危险废物环境影响评价</w:t>
      </w:r>
    </w:p>
    <w:p w14:paraId="3927B294">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根据《建设项目危险废物环境影响评价指南》（</w:t>
      </w:r>
      <w:r>
        <w:rPr>
          <w:rFonts w:hint="eastAsia" w:ascii="Times New Roman" w:hAnsi="Times New Roman" w:eastAsia="宋体" w:cs="Times New Roman"/>
          <w:color w:val="auto"/>
          <w:w w:val="99"/>
          <w:kern w:val="2"/>
          <w:sz w:val="24"/>
          <w:szCs w:val="24"/>
          <w:highlight w:val="none"/>
          <w:lang w:val="en-US" w:eastAsia="zh-CN" w:bidi="ar-SA"/>
        </w:rPr>
        <w:t>环保部公告〔</w:t>
      </w:r>
      <w:r>
        <w:rPr>
          <w:rFonts w:ascii="Times New Roman" w:hAnsi="Times New Roman" w:eastAsia="宋体" w:cs="Times New Roman"/>
          <w:color w:val="auto"/>
          <w:w w:val="99"/>
          <w:kern w:val="2"/>
          <w:sz w:val="24"/>
          <w:szCs w:val="24"/>
          <w:highlight w:val="none"/>
          <w:lang w:val="en-US" w:eastAsia="zh-CN" w:bidi="ar-SA"/>
        </w:rPr>
        <w:t>2017〕43号）相关规定，危险废物收集、贮存、运输的一般要求：</w:t>
      </w:r>
    </w:p>
    <w:p w14:paraId="42FAA16C">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p>
    <w:p w14:paraId="240F74EB">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危险废物转移过程应按《危险废物转移管理办法》执行。</w:t>
      </w:r>
    </w:p>
    <w:p w14:paraId="00051632">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p w14:paraId="5E311FD4">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p>
    <w:p w14:paraId="1D9EF38B">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危险废物收集、贮存、运输时应按危险特性对危险废物进行分类、包装并设置相应的标志及标签。</w:t>
      </w:r>
    </w:p>
    <w:p w14:paraId="75F1CF91">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5.5.3.1危险废物收集及储存分析</w:t>
      </w:r>
    </w:p>
    <w:p w14:paraId="317832A7">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本项目运营期产生</w:t>
      </w:r>
      <w:r>
        <w:rPr>
          <w:rFonts w:hint="eastAsia" w:ascii="Times New Roman" w:hAnsi="Times New Roman" w:eastAsia="宋体" w:cs="Times New Roman"/>
          <w:color w:val="auto"/>
          <w:w w:val="99"/>
          <w:kern w:val="2"/>
          <w:sz w:val="24"/>
          <w:szCs w:val="24"/>
          <w:highlight w:val="none"/>
          <w:lang w:val="en-US" w:eastAsia="zh-CN" w:bidi="ar-SA"/>
        </w:rPr>
        <w:t>井口</w:t>
      </w:r>
      <w:r>
        <w:rPr>
          <w:rFonts w:hint="eastAsia" w:cs="Times New Roman"/>
          <w:color w:val="auto"/>
          <w:w w:val="99"/>
          <w:kern w:val="2"/>
          <w:sz w:val="24"/>
          <w:szCs w:val="24"/>
          <w:highlight w:val="none"/>
          <w:lang w:val="en-US" w:eastAsia="zh-CN" w:bidi="ar-SA"/>
        </w:rPr>
        <w:t>含油砂砾</w:t>
      </w:r>
      <w:r>
        <w:rPr>
          <w:rFonts w:ascii="Times New Roman" w:hAnsi="Times New Roman" w:eastAsia="宋体" w:cs="Times New Roman"/>
          <w:color w:val="auto"/>
          <w:w w:val="99"/>
          <w:kern w:val="2"/>
          <w:sz w:val="24"/>
          <w:szCs w:val="24"/>
          <w:highlight w:val="none"/>
          <w:lang w:val="en-US" w:eastAsia="zh-CN" w:bidi="ar-SA"/>
        </w:rPr>
        <w:t>，废物类别为 HW08废矿物油与含矿物油废物，废物代码为900-249-08。</w:t>
      </w:r>
      <w:r>
        <w:rPr>
          <w:rFonts w:hint="eastAsia" w:ascii="Times New Roman" w:hAnsi="Times New Roman" w:eastAsia="宋体" w:cs="Times New Roman"/>
          <w:color w:val="auto"/>
          <w:w w:val="99"/>
          <w:kern w:val="2"/>
          <w:sz w:val="24"/>
          <w:szCs w:val="24"/>
          <w:highlight w:val="none"/>
          <w:lang w:val="en-US" w:eastAsia="zh-CN" w:bidi="ar-SA"/>
        </w:rPr>
        <w:t>井场柱上变电站检修时会产生废变压器油，</w:t>
      </w:r>
      <w:r>
        <w:rPr>
          <w:rFonts w:ascii="Times New Roman" w:hAnsi="Times New Roman" w:eastAsia="宋体" w:cs="Times New Roman"/>
          <w:color w:val="auto"/>
          <w:w w:val="99"/>
          <w:kern w:val="2"/>
          <w:sz w:val="24"/>
          <w:szCs w:val="24"/>
          <w:highlight w:val="none"/>
          <w:lang w:val="en-US" w:eastAsia="zh-CN" w:bidi="ar-SA"/>
        </w:rPr>
        <w:t>危险废物类别为HW08废矿物油与含矿物油废物，代码为900-220-08</w:t>
      </w:r>
      <w:r>
        <w:rPr>
          <w:rFonts w:hint="eastAsia" w:ascii="Times New Roman" w:hAnsi="Times New Roman" w:eastAsia="宋体" w:cs="Times New Roman"/>
          <w:color w:val="auto"/>
          <w:w w:val="99"/>
          <w:kern w:val="2"/>
          <w:sz w:val="24"/>
          <w:szCs w:val="24"/>
          <w:highlight w:val="none"/>
          <w:lang w:val="en-US" w:eastAsia="zh-CN" w:bidi="ar-SA"/>
        </w:rPr>
        <w:t>。</w:t>
      </w:r>
      <w:r>
        <w:rPr>
          <w:rFonts w:hint="eastAsia" w:cs="Times New Roman"/>
          <w:color w:val="auto"/>
          <w:w w:val="99"/>
          <w:kern w:val="2"/>
          <w:sz w:val="24"/>
          <w:szCs w:val="24"/>
          <w:highlight w:val="none"/>
          <w:lang w:val="en-US" w:eastAsia="zh-CN" w:bidi="ar-SA"/>
        </w:rPr>
        <w:t>废物产生后均</w:t>
      </w:r>
      <w:r>
        <w:rPr>
          <w:rFonts w:hint="eastAsia" w:ascii="Times New Roman" w:hAnsi="Times New Roman" w:eastAsia="宋体" w:cs="Times New Roman"/>
          <w:color w:val="auto"/>
          <w:w w:val="99"/>
          <w:kern w:val="2"/>
          <w:sz w:val="24"/>
          <w:szCs w:val="24"/>
          <w:highlight w:val="none"/>
          <w:lang w:val="en-US" w:eastAsia="zh-CN" w:bidi="ar-SA"/>
        </w:rPr>
        <w:t>由检维修队送采气分公司危险废物贮存库内，定期委托有危废处置资质的单位处置。</w:t>
      </w:r>
      <w:r>
        <w:rPr>
          <w:rFonts w:ascii="Times New Roman" w:hAnsi="Times New Roman" w:eastAsia="宋体" w:cs="Times New Roman"/>
          <w:color w:val="auto"/>
          <w:w w:val="99"/>
          <w:kern w:val="2"/>
          <w:sz w:val="24"/>
          <w:szCs w:val="24"/>
          <w:highlight w:val="none"/>
          <w:lang w:val="en-US" w:eastAsia="zh-CN" w:bidi="ar-SA"/>
        </w:rPr>
        <w:t>资质单位按照《危险废物收集贮存运输技术规范》要求进行运输管理。</w:t>
      </w:r>
    </w:p>
    <w:p w14:paraId="6B3C0FD3">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5.5.3.2危险废物转运</w:t>
      </w:r>
    </w:p>
    <w:p w14:paraId="7A3805B7">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危险废物转移过程中应按《危险废物转移管理办法》执行。</w:t>
      </w:r>
    </w:p>
    <w:p w14:paraId="52402541">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本工程危险废物转运将严格执行危险废物转移制度。危险废物在运输工程中严格控制运输车辆密闭性，避免“跑、冒、滴、漏”情况发生。危险废物的运输由资质单位按照《危险废物收集贮存 运输技术规范》要求进行运输管理，危险废物的转移过程应按照《危险废物转移管理办法》执行。在运输过程中，尽量选择硬质路面的路线进行运输，同时要在厂区内的运输路线上经常洒水降尘，减少扬尘污染；运输过程中要避开居住区等敏感区，合理安排运输时间，避免夜间运输，减少噪声污染；同时尽量挑选较好的天气进行运输，避免在雨雪大风等天气条件下运输。</w:t>
      </w:r>
    </w:p>
    <w:p w14:paraId="01E21E7C">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一旦运输过程发生意外事故，运输单位及相关部门应根据风险程度采取如下措施：</w:t>
      </w:r>
    </w:p>
    <w:p w14:paraId="5AB835CA">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（1）设立事故警戒线，启动应急预案，并按《突发环境事件信息报告办法》（</w:t>
      </w:r>
      <w:r>
        <w:rPr>
          <w:rFonts w:hint="eastAsia" w:ascii="Times New Roman" w:hAnsi="Times New Roman" w:eastAsia="宋体" w:cs="Times New Roman"/>
          <w:color w:val="auto"/>
          <w:w w:val="99"/>
          <w:kern w:val="2"/>
          <w:sz w:val="24"/>
          <w:szCs w:val="24"/>
          <w:highlight w:val="none"/>
          <w:lang w:val="en-US" w:eastAsia="zh-CN" w:bidi="ar-SA"/>
        </w:rPr>
        <w:t>环境保护部令</w:t>
      </w:r>
      <w:r>
        <w:rPr>
          <w:rFonts w:ascii="Times New Roman" w:hAnsi="Times New Roman" w:eastAsia="宋体" w:cs="Times New Roman"/>
          <w:color w:val="auto"/>
          <w:w w:val="99"/>
          <w:kern w:val="2"/>
          <w:sz w:val="24"/>
          <w:szCs w:val="24"/>
          <w:highlight w:val="none"/>
          <w:lang w:val="en-US" w:eastAsia="zh-CN" w:bidi="ar-SA"/>
        </w:rPr>
        <w:t>[2011]第17号）要求进行报告；</w:t>
      </w:r>
    </w:p>
    <w:p w14:paraId="67F46FCF">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（2）应立即疏散人群，并请求环境保护、消防、医疗、公安等相关部门支援；</w:t>
      </w:r>
    </w:p>
    <w:p w14:paraId="2772387C">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（3）对事故现场受到污染的土壤和水体等环境介质应进行相</w:t>
      </w:r>
      <w:r>
        <w:rPr>
          <w:rFonts w:hint="eastAsia" w:cs="Times New Roman"/>
          <w:color w:val="auto"/>
          <w:w w:val="99"/>
          <w:kern w:val="2"/>
          <w:sz w:val="24"/>
          <w:szCs w:val="24"/>
          <w:highlight w:val="none"/>
          <w:lang w:val="en-US" w:eastAsia="zh-CN" w:bidi="ar-SA"/>
        </w:rPr>
        <w:t>应</w:t>
      </w:r>
      <w:r>
        <w:rPr>
          <w:rFonts w:ascii="Times New Roman" w:hAnsi="Times New Roman" w:eastAsia="宋体" w:cs="Times New Roman"/>
          <w:color w:val="auto"/>
          <w:w w:val="99"/>
          <w:kern w:val="2"/>
          <w:sz w:val="24"/>
          <w:szCs w:val="24"/>
          <w:highlight w:val="none"/>
          <w:lang w:val="en-US" w:eastAsia="zh-CN" w:bidi="ar-SA"/>
        </w:rPr>
        <w:t>的清理和</w:t>
      </w:r>
      <w:r>
        <w:rPr>
          <w:rFonts w:hint="eastAsia" w:cs="Times New Roman"/>
          <w:color w:val="auto"/>
          <w:w w:val="99"/>
          <w:kern w:val="2"/>
          <w:sz w:val="24"/>
          <w:szCs w:val="24"/>
          <w:highlight w:val="none"/>
          <w:lang w:val="en-US" w:eastAsia="zh-CN" w:bidi="ar-SA"/>
        </w:rPr>
        <w:t>修复</w:t>
      </w:r>
      <w:r>
        <w:rPr>
          <w:rFonts w:ascii="Times New Roman" w:hAnsi="Times New Roman" w:eastAsia="宋体" w:cs="Times New Roman"/>
          <w:color w:val="auto"/>
          <w:w w:val="99"/>
          <w:kern w:val="2"/>
          <w:sz w:val="24"/>
          <w:szCs w:val="24"/>
          <w:highlight w:val="none"/>
          <w:lang w:val="en-US" w:eastAsia="zh-CN" w:bidi="ar-SA"/>
        </w:rPr>
        <w:t>；</w:t>
      </w:r>
    </w:p>
    <w:p w14:paraId="63EDB02E">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（4）清理过程中产生的所有废物均应按危险废物进行管理和处置；</w:t>
      </w:r>
    </w:p>
    <w:p w14:paraId="308CCB53">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（5）进入现场清理和包装危险废物的人员应</w:t>
      </w:r>
      <w:r>
        <w:rPr>
          <w:rFonts w:hint="eastAsia" w:cs="Times New Roman"/>
          <w:color w:val="auto"/>
          <w:w w:val="99"/>
          <w:kern w:val="2"/>
          <w:sz w:val="24"/>
          <w:szCs w:val="24"/>
          <w:highlight w:val="none"/>
          <w:lang w:val="en-US" w:eastAsia="zh-CN" w:bidi="ar-SA"/>
        </w:rPr>
        <w:t>接</w:t>
      </w:r>
      <w:r>
        <w:rPr>
          <w:rFonts w:ascii="Times New Roman" w:hAnsi="Times New Roman" w:eastAsia="宋体" w:cs="Times New Roman"/>
          <w:color w:val="auto"/>
          <w:w w:val="99"/>
          <w:kern w:val="2"/>
          <w:sz w:val="24"/>
          <w:szCs w:val="24"/>
          <w:highlight w:val="none"/>
          <w:lang w:val="en-US" w:eastAsia="zh-CN" w:bidi="ar-SA"/>
        </w:rPr>
        <w:t>受过专业培训，并佩戴相应的防护工具。</w:t>
      </w:r>
    </w:p>
    <w:p w14:paraId="2460F73C">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采取本环评提出的预防及治理措施后，危险废物转运对周围环境影响较小。</w:t>
      </w:r>
    </w:p>
    <w:p w14:paraId="36F98899">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5.5.3.3危险废物处置</w:t>
      </w:r>
    </w:p>
    <w:p w14:paraId="1DFA1A38">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本工程运营期产生的</w:t>
      </w:r>
      <w:r>
        <w:rPr>
          <w:rFonts w:hint="eastAsia" w:cs="Times New Roman"/>
          <w:color w:val="auto"/>
          <w:w w:val="99"/>
          <w:kern w:val="2"/>
          <w:sz w:val="24"/>
          <w:szCs w:val="24"/>
          <w:highlight w:val="none"/>
          <w:lang w:val="en-US" w:eastAsia="zh-CN" w:bidi="ar-SA"/>
        </w:rPr>
        <w:t>井口含油砂砾、废变压器油</w:t>
      </w:r>
      <w:r>
        <w:rPr>
          <w:rFonts w:hint="eastAsia" w:ascii="Times New Roman" w:hAnsi="Times New Roman" w:eastAsia="宋体" w:cs="Times New Roman"/>
          <w:color w:val="auto"/>
          <w:w w:val="99"/>
          <w:kern w:val="2"/>
          <w:sz w:val="24"/>
          <w:szCs w:val="24"/>
          <w:highlight w:val="none"/>
          <w:lang w:val="en-US" w:eastAsia="zh-CN" w:bidi="ar-SA"/>
        </w:rPr>
        <w:t>，由检维修队送采气分公司危险废物贮存库内，定期委托有危废处置资质的单位处置</w:t>
      </w:r>
      <w:r>
        <w:rPr>
          <w:rFonts w:ascii="Times New Roman" w:hAnsi="Times New Roman" w:eastAsia="宋体" w:cs="Times New Roman"/>
          <w:color w:val="auto"/>
          <w:w w:val="99"/>
          <w:kern w:val="2"/>
          <w:sz w:val="24"/>
          <w:szCs w:val="24"/>
          <w:highlight w:val="none"/>
          <w:lang w:val="en-US" w:eastAsia="zh-CN" w:bidi="ar-SA"/>
        </w:rPr>
        <w:t>。</w:t>
      </w:r>
    </w:p>
    <w:p w14:paraId="1ECC9882">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根据《建设项目危险废物环境影响评价指南》（</w:t>
      </w:r>
      <w:r>
        <w:rPr>
          <w:rFonts w:hint="eastAsia" w:ascii="Times New Roman" w:hAnsi="Times New Roman" w:eastAsia="宋体" w:cs="Times New Roman"/>
          <w:color w:val="auto"/>
          <w:w w:val="99"/>
          <w:kern w:val="2"/>
          <w:sz w:val="24"/>
          <w:szCs w:val="24"/>
          <w:highlight w:val="none"/>
          <w:lang w:val="en-US" w:eastAsia="zh-CN" w:bidi="ar-SA"/>
        </w:rPr>
        <w:t>环保部公告〔</w:t>
      </w:r>
      <w:r>
        <w:rPr>
          <w:rFonts w:ascii="Times New Roman" w:hAnsi="Times New Roman" w:eastAsia="宋体" w:cs="Times New Roman"/>
          <w:color w:val="auto"/>
          <w:w w:val="99"/>
          <w:kern w:val="2"/>
          <w:sz w:val="24"/>
          <w:szCs w:val="24"/>
          <w:highlight w:val="none"/>
          <w:lang w:val="en-US" w:eastAsia="zh-CN" w:bidi="ar-SA"/>
        </w:rPr>
        <w:t>2017〕43号）相关规定，“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w:t>
      </w:r>
    </w:p>
    <w:p w14:paraId="2A03759D">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本工程建设单位尚未签订</w:t>
      </w:r>
      <w:r>
        <w:rPr>
          <w:rFonts w:hint="eastAsia" w:cs="Times New Roman"/>
          <w:color w:val="auto"/>
          <w:w w:val="99"/>
          <w:kern w:val="2"/>
          <w:sz w:val="24"/>
          <w:szCs w:val="24"/>
          <w:highlight w:val="none"/>
          <w:lang w:val="en-US" w:eastAsia="zh-CN" w:bidi="ar-SA"/>
        </w:rPr>
        <w:t>井口砂粒、废变压器油</w:t>
      </w:r>
      <w:r>
        <w:rPr>
          <w:rFonts w:ascii="Times New Roman" w:hAnsi="Times New Roman" w:eastAsia="宋体" w:cs="Times New Roman"/>
          <w:color w:val="auto"/>
          <w:w w:val="99"/>
          <w:kern w:val="2"/>
          <w:sz w:val="24"/>
          <w:szCs w:val="24"/>
          <w:highlight w:val="none"/>
          <w:lang w:val="en-US" w:eastAsia="zh-CN" w:bidi="ar-SA"/>
        </w:rPr>
        <w:t>的委托处置协议。根据黑龙江省核发的危险废物处理资质单位名单，有能力处理</w:t>
      </w:r>
      <w:r>
        <w:rPr>
          <w:rFonts w:hint="eastAsia" w:cs="Times New Roman"/>
          <w:color w:val="auto"/>
          <w:w w:val="99"/>
          <w:kern w:val="2"/>
          <w:sz w:val="24"/>
          <w:szCs w:val="24"/>
          <w:highlight w:val="none"/>
          <w:lang w:val="en-US" w:eastAsia="zh-CN" w:bidi="ar-SA"/>
        </w:rPr>
        <w:t>井口砂粒、废变压器油</w:t>
      </w:r>
      <w:r>
        <w:rPr>
          <w:rFonts w:ascii="Times New Roman" w:hAnsi="Times New Roman" w:eastAsia="宋体" w:cs="Times New Roman"/>
          <w:color w:val="auto"/>
          <w:w w:val="99"/>
          <w:kern w:val="2"/>
          <w:sz w:val="24"/>
          <w:szCs w:val="24"/>
          <w:highlight w:val="none"/>
          <w:lang w:val="en-US" w:eastAsia="zh-CN" w:bidi="ar-SA"/>
        </w:rPr>
        <w:t>的企业有大庆圣德雷特化工有限公司和大庆市云泰石化产品有限公司，详细情况如下：</w:t>
      </w:r>
    </w:p>
    <w:p w14:paraId="61C3DF53">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大庆圣德雷特化工有限公司经营范围包括HW08-废矿物油与含矿物油废物（071-001-08、071-002-08、072-001-08、251-001-08、251-002-08、251-003-08、251-004-08、251-005-08、251-006-08、251-010-08、251-011-08、251-012-08、900-199-08、900-200-08、900-201-08、900-204-08、900-210-08、900-212-08、900-213-08、900-214-08、900-215-08、900-216-08、900-217-08、900-218-08、900-219-08、900-220-08、900-221-08、900-222-08、900-249-08），HW08类核准经营规模50000t/a，HW49 类25万只/年。</w:t>
      </w:r>
    </w:p>
    <w:p w14:paraId="325B6472">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大庆市云泰石化产品有限公司经营范围包括HW08 废矿物油与含矿物油废物（071-001-08、071-002-08、072-001-08、251-001-08、251-002-08、251-003-08、251-004-08、251-005-08、251-006-08、251-010-08、900-199-08、900-200-08、900-210-08、900-214-08、900-221-08、900-222-08、900-249-08）；HW49 其他废物，HW08（80000t/a），HW49（20000t/a）。</w:t>
      </w:r>
    </w:p>
    <w:p w14:paraId="77293577">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大庆圣德雷特化工有限公司、大庆市云泰石化产品有限公司有资质处理本工程产生的</w:t>
      </w:r>
      <w:r>
        <w:rPr>
          <w:rFonts w:hint="eastAsia" w:cs="Times New Roman"/>
          <w:color w:val="auto"/>
          <w:w w:val="99"/>
          <w:kern w:val="2"/>
          <w:sz w:val="24"/>
          <w:szCs w:val="24"/>
          <w:highlight w:val="none"/>
          <w:lang w:val="en-US" w:eastAsia="zh-CN" w:bidi="ar-SA"/>
        </w:rPr>
        <w:t>危险废物</w:t>
      </w:r>
      <w:r>
        <w:rPr>
          <w:rFonts w:ascii="Times New Roman" w:hAnsi="Times New Roman" w:eastAsia="宋体" w:cs="Times New Roman"/>
          <w:color w:val="auto"/>
          <w:w w:val="99"/>
          <w:kern w:val="2"/>
          <w:sz w:val="24"/>
          <w:szCs w:val="24"/>
          <w:highlight w:val="none"/>
          <w:lang w:val="en-US" w:eastAsia="zh-CN" w:bidi="ar-SA"/>
        </w:rPr>
        <w:t>，且处理能力均能够满足本工程处理需求。</w:t>
      </w:r>
    </w:p>
    <w:p w14:paraId="02F4FE16">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采取以上措施后，本工程产生的固体废物均得到有效处置，不会对周围环境产生不良影响。</w:t>
      </w:r>
    </w:p>
    <w:p w14:paraId="604E6E19">
      <w:pPr>
        <w:pStyle w:val="46"/>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outlineLvl w:val="2"/>
        <w:rPr>
          <w:rFonts w:hint="default" w:ascii="Times New Roman" w:hAnsi="Times New Roman" w:cs="Times New Roman" w:eastAsiaTheme="minorEastAsia"/>
          <w:b/>
          <w:bCs/>
          <w:color w:val="auto"/>
          <w:w w:val="99"/>
          <w:kern w:val="2"/>
          <w:sz w:val="24"/>
          <w:szCs w:val="24"/>
          <w:highlight w:val="none"/>
          <w:lang w:val="en-US" w:eastAsia="zh-CN" w:bidi="ar-SA"/>
        </w:rPr>
      </w:pPr>
      <w:r>
        <w:rPr>
          <w:rFonts w:hint="eastAsia" w:ascii="Times New Roman" w:hAnsi="Times New Roman" w:cs="Times New Roman" w:eastAsiaTheme="minorEastAsia"/>
          <w:b/>
          <w:bCs/>
          <w:color w:val="auto"/>
          <w:w w:val="99"/>
          <w:kern w:val="2"/>
          <w:sz w:val="24"/>
          <w:szCs w:val="24"/>
          <w:highlight w:val="none"/>
          <w:lang w:val="en-US" w:eastAsia="zh-CN" w:bidi="ar-SA"/>
        </w:rPr>
        <w:t>5.5.</w:t>
      </w:r>
      <w:r>
        <w:rPr>
          <w:rFonts w:hint="eastAsia" w:cs="Times New Roman" w:eastAsiaTheme="minorEastAsia"/>
          <w:b/>
          <w:bCs/>
          <w:color w:val="auto"/>
          <w:w w:val="99"/>
          <w:kern w:val="2"/>
          <w:sz w:val="24"/>
          <w:szCs w:val="24"/>
          <w:highlight w:val="none"/>
          <w:lang w:val="en-US" w:eastAsia="zh-CN" w:bidi="ar-SA"/>
        </w:rPr>
        <w:t>4</w:t>
      </w:r>
      <w:r>
        <w:rPr>
          <w:rFonts w:hint="eastAsia" w:ascii="Times New Roman" w:hAnsi="Times New Roman" w:cs="Times New Roman" w:eastAsiaTheme="minorEastAsia"/>
          <w:b/>
          <w:bCs/>
          <w:color w:val="auto"/>
          <w:w w:val="99"/>
          <w:kern w:val="2"/>
          <w:sz w:val="24"/>
          <w:szCs w:val="24"/>
          <w:highlight w:val="none"/>
          <w:lang w:val="en-US" w:eastAsia="zh-CN" w:bidi="ar-SA"/>
        </w:rPr>
        <w:t>退役期</w:t>
      </w:r>
    </w:p>
    <w:p w14:paraId="02456E4F">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退役期产生的固体废物主要为废旧设备、封井建筑垃圾、生活垃圾</w:t>
      </w:r>
      <w:r>
        <w:rPr>
          <w:rFonts w:hint="eastAsia" w:cs="Times New Roman"/>
          <w:color w:val="auto"/>
          <w:w w:val="99"/>
          <w:kern w:val="2"/>
          <w:sz w:val="24"/>
          <w:szCs w:val="24"/>
          <w:highlight w:val="none"/>
          <w:lang w:val="en-US" w:eastAsia="zh-CN" w:bidi="ar-SA"/>
        </w:rPr>
        <w:t>含油防渗布</w:t>
      </w:r>
      <w:r>
        <w:rPr>
          <w:rFonts w:ascii="Times New Roman" w:hAnsi="Times New Roman" w:eastAsia="宋体" w:cs="Times New Roman"/>
          <w:color w:val="auto"/>
          <w:w w:val="99"/>
          <w:kern w:val="2"/>
          <w:sz w:val="24"/>
          <w:szCs w:val="24"/>
          <w:highlight w:val="none"/>
          <w:lang w:val="en-US" w:eastAsia="zh-CN" w:bidi="ar-SA"/>
        </w:rPr>
        <w:t>。</w:t>
      </w:r>
    </w:p>
    <w:p w14:paraId="1975CA44">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ascii="Times New Roman" w:hAnsi="Times New Roman" w:eastAsia="宋体" w:cs="Times New Roman"/>
          <w:color w:val="auto"/>
          <w:w w:val="99"/>
          <w:kern w:val="2"/>
          <w:sz w:val="24"/>
          <w:szCs w:val="24"/>
          <w:highlight w:val="none"/>
          <w:lang w:val="en-US" w:eastAsia="zh-CN" w:bidi="ar-SA"/>
        </w:rPr>
        <w:t>本项目退役管线两段封堵后直埋处理，退役期拆除的废旧设备全部回收至</w:t>
      </w:r>
      <w:r>
        <w:rPr>
          <w:rFonts w:hint="eastAsia" w:ascii="Times New Roman" w:hAnsi="Times New Roman" w:eastAsia="宋体" w:cs="Times New Roman"/>
          <w:color w:val="auto"/>
          <w:w w:val="99"/>
          <w:kern w:val="2"/>
          <w:sz w:val="24"/>
          <w:szCs w:val="24"/>
          <w:highlight w:val="none"/>
          <w:lang w:val="en-US" w:eastAsia="zh-CN" w:bidi="ar-SA"/>
        </w:rPr>
        <w:t>采气分公司</w:t>
      </w:r>
      <w:r>
        <w:rPr>
          <w:rFonts w:ascii="Times New Roman" w:hAnsi="Times New Roman" w:eastAsia="宋体" w:cs="Times New Roman"/>
          <w:color w:val="auto"/>
          <w:w w:val="99"/>
          <w:kern w:val="2"/>
          <w:sz w:val="24"/>
          <w:szCs w:val="24"/>
          <w:highlight w:val="none"/>
          <w:lang w:val="en-US" w:eastAsia="zh-CN" w:bidi="ar-SA"/>
        </w:rPr>
        <w:t>物资库。封井建筑垃圾统一收集后由施工单位清运至建筑垃圾调配场处理。生活垃圾统一收集后拉运至</w:t>
      </w:r>
      <w:r>
        <w:rPr>
          <w:rFonts w:hint="eastAsia" w:ascii="Times New Roman" w:hAnsi="Times New Roman" w:cs="Times New Roman"/>
          <w:color w:val="auto"/>
          <w:w w:val="99"/>
          <w:kern w:val="2"/>
          <w:sz w:val="24"/>
          <w:szCs w:val="24"/>
          <w:highlight w:val="none"/>
          <w:lang w:val="en-US" w:eastAsia="zh-CN" w:bidi="ar-SA"/>
        </w:rPr>
        <w:t>肇东北控环境再生能源有限公司</w:t>
      </w:r>
      <w:r>
        <w:rPr>
          <w:rFonts w:ascii="Times New Roman" w:hAnsi="Times New Roman" w:eastAsia="宋体" w:cs="Times New Roman"/>
          <w:color w:val="auto"/>
          <w:w w:val="99"/>
          <w:kern w:val="2"/>
          <w:sz w:val="24"/>
          <w:szCs w:val="24"/>
          <w:highlight w:val="none"/>
          <w:lang w:val="en-US" w:eastAsia="zh-CN" w:bidi="ar-SA"/>
        </w:rPr>
        <w:t>处理</w:t>
      </w:r>
      <w:r>
        <w:rPr>
          <w:rFonts w:hint="eastAsia" w:cs="Times New Roman"/>
          <w:color w:val="auto"/>
          <w:w w:val="99"/>
          <w:kern w:val="2"/>
          <w:sz w:val="24"/>
          <w:szCs w:val="24"/>
          <w:highlight w:val="none"/>
          <w:lang w:val="en-US" w:eastAsia="zh-CN" w:bidi="ar-SA"/>
        </w:rPr>
        <w:t>；</w:t>
      </w:r>
      <w:r>
        <w:rPr>
          <w:rFonts w:hint="eastAsia" w:ascii="Times New Roman" w:hAnsi="Times New Roman" w:eastAsia="宋体" w:cs="Times New Roman"/>
          <w:color w:val="auto"/>
          <w:w w:val="99"/>
          <w:kern w:val="2"/>
          <w:highlight w:val="none"/>
          <w:lang w:val="en-US" w:eastAsia="zh-CN"/>
        </w:rPr>
        <w:t>拆除施工时井场铺设防渗布，</w:t>
      </w:r>
      <w:r>
        <w:rPr>
          <w:rFonts w:hint="default" w:ascii="Times New Roman" w:hAnsi="Times New Roman" w:eastAsia="宋体" w:cs="Times New Roman"/>
          <w:color w:val="auto"/>
          <w:w w:val="99"/>
          <w:kern w:val="2"/>
          <w:highlight w:val="none"/>
          <w:lang w:val="en-US" w:eastAsia="zh-CN"/>
        </w:rPr>
        <w:t>单块防渗布重量按250kg（12m×12m）计，平均每口井作业用</w:t>
      </w:r>
      <w:r>
        <w:rPr>
          <w:rFonts w:hint="eastAsia" w:ascii="Times New Roman" w:hAnsi="Times New Roman" w:eastAsia="宋体" w:cs="Times New Roman"/>
          <w:color w:val="auto"/>
          <w:w w:val="99"/>
          <w:kern w:val="2"/>
          <w:highlight w:val="none"/>
          <w:lang w:val="en-US" w:eastAsia="zh-CN"/>
        </w:rPr>
        <w:t>3</w:t>
      </w:r>
      <w:r>
        <w:rPr>
          <w:rFonts w:hint="default" w:ascii="Times New Roman" w:hAnsi="Times New Roman" w:eastAsia="宋体" w:cs="Times New Roman"/>
          <w:color w:val="auto"/>
          <w:w w:val="99"/>
          <w:kern w:val="2"/>
          <w:highlight w:val="none"/>
          <w:lang w:val="en-US" w:eastAsia="zh-CN"/>
        </w:rPr>
        <w:t>块，</w:t>
      </w:r>
      <w:r>
        <w:rPr>
          <w:rFonts w:hint="eastAsia" w:ascii="Times New Roman" w:hAnsi="Times New Roman" w:eastAsia="宋体" w:cs="Times New Roman"/>
          <w:color w:val="auto"/>
          <w:w w:val="99"/>
          <w:kern w:val="2"/>
          <w:highlight w:val="none"/>
          <w:lang w:val="en-US" w:eastAsia="zh-CN"/>
        </w:rPr>
        <w:t>防渗布可能滴落含烃废水，退役期含油废防渗布最大产生量约</w:t>
      </w:r>
      <w:r>
        <w:rPr>
          <w:rFonts w:hint="eastAsia" w:ascii="Times New Roman" w:hAnsi="Times New Roman" w:cs="Times New Roman"/>
          <w:color w:val="auto"/>
          <w:w w:val="99"/>
          <w:kern w:val="2"/>
          <w:highlight w:val="none"/>
          <w:lang w:val="en-US" w:eastAsia="zh-CN"/>
        </w:rPr>
        <w:t>0</w:t>
      </w:r>
      <w:r>
        <w:rPr>
          <w:rFonts w:hint="eastAsia" w:ascii="Times New Roman" w:hAnsi="Times New Roman" w:eastAsia="宋体" w:cs="Times New Roman"/>
          <w:color w:val="auto"/>
          <w:w w:val="99"/>
          <w:kern w:val="2"/>
          <w:highlight w:val="none"/>
          <w:lang w:val="en-US" w:eastAsia="zh-CN"/>
        </w:rPr>
        <w:t>.75t。</w:t>
      </w:r>
      <w:r>
        <w:rPr>
          <w:rFonts w:hint="default" w:ascii="Times New Roman" w:hAnsi="Times New Roman" w:eastAsia="宋体" w:cs="Times New Roman"/>
          <w:color w:val="auto"/>
          <w:w w:val="99"/>
          <w:kern w:val="2"/>
          <w:highlight w:val="none"/>
          <w:lang w:val="en-US" w:eastAsia="zh-CN"/>
        </w:rPr>
        <w:t>含油废防渗布在作业结束后，</w:t>
      </w:r>
      <w:r>
        <w:rPr>
          <w:rFonts w:hint="eastAsia" w:ascii="Times New Roman" w:hAnsi="Times New Roman" w:eastAsia="宋体" w:cs="Times New Roman"/>
          <w:color w:val="auto"/>
          <w:w w:val="99"/>
          <w:kern w:val="2"/>
          <w:highlight w:val="none"/>
          <w:lang w:val="en-US" w:eastAsia="zh-CN"/>
        </w:rPr>
        <w:t>由施工单位运至采气分公司危险废物贮存库，</w:t>
      </w:r>
      <w:r>
        <w:rPr>
          <w:rFonts w:hint="default" w:ascii="Times New Roman" w:hAnsi="Times New Roman" w:eastAsia="宋体" w:cs="Times New Roman"/>
          <w:color w:val="auto"/>
          <w:w w:val="99"/>
          <w:kern w:val="2"/>
          <w:highlight w:val="none"/>
          <w:lang w:val="en-US" w:eastAsia="zh-CN"/>
        </w:rPr>
        <w:t>委托</w:t>
      </w:r>
      <w:r>
        <w:rPr>
          <w:rFonts w:hint="eastAsia" w:ascii="Times New Roman" w:hAnsi="Times New Roman" w:eastAsia="宋体" w:cs="Times New Roman"/>
          <w:color w:val="auto"/>
          <w:w w:val="99"/>
          <w:kern w:val="2"/>
          <w:highlight w:val="none"/>
          <w:lang w:val="en-US" w:eastAsia="zh-CN"/>
        </w:rPr>
        <w:t>有资质单位</w:t>
      </w:r>
      <w:r>
        <w:rPr>
          <w:rFonts w:hint="default" w:ascii="Times New Roman" w:hAnsi="Times New Roman" w:eastAsia="宋体" w:cs="Times New Roman"/>
          <w:color w:val="auto"/>
          <w:w w:val="99"/>
          <w:kern w:val="2"/>
          <w:highlight w:val="none"/>
          <w:lang w:val="en-US" w:eastAsia="zh-CN"/>
        </w:rPr>
        <w:t>转运处置</w:t>
      </w:r>
      <w:r>
        <w:rPr>
          <w:rFonts w:hint="eastAsia" w:ascii="Times New Roman" w:hAnsi="Times New Roman" w:eastAsia="宋体" w:cs="Times New Roman"/>
          <w:color w:val="auto"/>
          <w:w w:val="99"/>
          <w:kern w:val="2"/>
          <w:highlight w:val="none"/>
          <w:lang w:val="en-US" w:eastAsia="zh-CN"/>
        </w:rPr>
        <w:t>。</w:t>
      </w:r>
    </w:p>
    <w:p w14:paraId="10F35A66">
      <w:pPr>
        <w:keepNext/>
        <w:keepLines/>
        <w:pageBreakBefore w:val="0"/>
        <w:widowControl w:val="0"/>
        <w:kinsoku/>
        <w:wordWrap/>
        <w:overflowPunct/>
        <w:topLinePunct w:val="0"/>
        <w:autoSpaceDE/>
        <w:autoSpaceDN/>
        <w:bidi w:val="0"/>
        <w:adjustRightInd/>
        <w:snapToGrid/>
        <w:spacing w:before="60" w:after="60" w:line="440" w:lineRule="exact"/>
        <w:ind w:firstLine="474" w:firstLineChars="200"/>
        <w:jc w:val="both"/>
        <w:textAlignment w:val="auto"/>
        <w:outlineLvl w:val="9"/>
        <w:rPr>
          <w:rFonts w:ascii="Times New Roman" w:hAnsi="Times New Roman" w:eastAsia="宋体" w:cs="Times New Roman"/>
          <w:bCs w:val="0"/>
          <w:color w:val="auto"/>
          <w:w w:val="99"/>
          <w:kern w:val="2"/>
          <w:sz w:val="24"/>
          <w:szCs w:val="24"/>
          <w:highlight w:val="none"/>
          <w:lang w:val="en-US" w:eastAsia="zh-CN" w:bidi="ar-SA"/>
        </w:rPr>
      </w:pPr>
      <w:r>
        <w:rPr>
          <w:rFonts w:ascii="Times New Roman" w:hAnsi="Times New Roman" w:eastAsia="宋体" w:cs="Times New Roman"/>
          <w:bCs w:val="0"/>
          <w:color w:val="auto"/>
          <w:w w:val="99"/>
          <w:kern w:val="2"/>
          <w:sz w:val="24"/>
          <w:szCs w:val="24"/>
          <w:highlight w:val="none"/>
          <w:lang w:val="en-US" w:eastAsia="zh-CN" w:bidi="ar-SA"/>
        </w:rPr>
        <w:t>通过采取以上措施，退役期产生的固体废物均得到有效处置，不会对周围环境产生不良影响。</w:t>
      </w:r>
      <w:bookmarkStart w:id="944" w:name="_Toc186444353"/>
    </w:p>
    <w:bookmarkEnd w:id="944"/>
    <w:p w14:paraId="5944421F">
      <w:pPr>
        <w:pStyle w:val="7"/>
        <w:widowControl w:val="0"/>
        <w:spacing w:before="60" w:after="60" w:line="440" w:lineRule="exact"/>
        <w:jc w:val="both"/>
        <w:rPr>
          <w:rFonts w:eastAsiaTheme="minorEastAsia"/>
          <w:b/>
          <w:color w:val="auto"/>
          <w:w w:val="99"/>
          <w:kern w:val="2"/>
          <w:sz w:val="24"/>
          <w:szCs w:val="24"/>
          <w:highlight w:val="none"/>
        </w:rPr>
      </w:pPr>
      <w:bookmarkStart w:id="945" w:name="_Toc186444355"/>
      <w:r>
        <w:rPr>
          <w:rFonts w:eastAsiaTheme="minorEastAsia"/>
          <w:b/>
          <w:color w:val="auto"/>
          <w:w w:val="99"/>
          <w:kern w:val="2"/>
          <w:sz w:val="24"/>
          <w:szCs w:val="24"/>
          <w:highlight w:val="none"/>
        </w:rPr>
        <w:t>5.5.</w:t>
      </w:r>
      <w:bookmarkEnd w:id="937"/>
      <w:bookmarkEnd w:id="938"/>
      <w:bookmarkEnd w:id="939"/>
      <w:bookmarkEnd w:id="940"/>
      <w:bookmarkEnd w:id="941"/>
      <w:bookmarkEnd w:id="942"/>
      <w:bookmarkEnd w:id="943"/>
      <w:r>
        <w:rPr>
          <w:rFonts w:eastAsiaTheme="minorEastAsia"/>
          <w:b/>
          <w:color w:val="auto"/>
          <w:w w:val="99"/>
          <w:kern w:val="2"/>
          <w:sz w:val="24"/>
          <w:szCs w:val="24"/>
          <w:highlight w:val="none"/>
        </w:rPr>
        <w:t>5固体废物环境影响评价结论</w:t>
      </w:r>
      <w:bookmarkEnd w:id="945"/>
    </w:p>
    <w:p w14:paraId="2AA97535">
      <w:pPr>
        <w:pStyle w:val="46"/>
        <w:spacing w:after="0" w:line="440" w:lineRule="exact"/>
        <w:ind w:left="0" w:leftChars="0" w:firstLine="474" w:firstLineChars="200"/>
        <w:rPr>
          <w:rFonts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由上述分析可知，本工程对施工期、运营期、退役期产生的各类固体废弃物均进行了合理的处置，能够实现固废的减量化、资源化和无害化，对环境影响较小。</w:t>
      </w:r>
    </w:p>
    <w:bookmarkEnd w:id="919"/>
    <w:bookmarkEnd w:id="920"/>
    <w:bookmarkEnd w:id="921"/>
    <w:bookmarkEnd w:id="922"/>
    <w:bookmarkEnd w:id="923"/>
    <w:bookmarkEnd w:id="924"/>
    <w:bookmarkEnd w:id="925"/>
    <w:bookmarkEnd w:id="926"/>
    <w:p w14:paraId="420232D8">
      <w:pPr>
        <w:pStyle w:val="5"/>
        <w:keepNext w:val="0"/>
        <w:keepLines w:val="0"/>
        <w:widowControl w:val="0"/>
        <w:spacing w:before="120" w:after="120"/>
        <w:rPr>
          <w:rFonts w:ascii="Times New Roman" w:hAnsi="Times New Roman" w:eastAsia="宋体"/>
          <w:b/>
          <w:snapToGrid w:val="0"/>
          <w:color w:val="auto"/>
          <w:w w:val="99"/>
          <w:highlight w:val="none"/>
        </w:rPr>
      </w:pPr>
      <w:bookmarkStart w:id="946" w:name="_Toc65426006"/>
      <w:bookmarkStart w:id="947" w:name="_Toc26898"/>
      <w:r>
        <w:rPr>
          <w:rFonts w:ascii="Times New Roman" w:hAnsi="Times New Roman" w:eastAsia="宋体"/>
          <w:b/>
          <w:snapToGrid w:val="0"/>
          <w:color w:val="auto"/>
          <w:w w:val="99"/>
          <w:highlight w:val="none"/>
        </w:rPr>
        <w:t>5.6生态环境影响评价</w:t>
      </w:r>
      <w:bookmarkEnd w:id="946"/>
      <w:bookmarkEnd w:id="947"/>
    </w:p>
    <w:p w14:paraId="6811DD9D">
      <w:pPr>
        <w:pStyle w:val="7"/>
        <w:keepNext w:val="0"/>
        <w:keepLines w:val="0"/>
        <w:widowControl w:val="0"/>
        <w:spacing w:before="60" w:after="60"/>
        <w:jc w:val="both"/>
        <w:rPr>
          <w:rFonts w:eastAsia="宋体"/>
          <w:b/>
          <w:color w:val="auto"/>
          <w:w w:val="99"/>
          <w:kern w:val="2"/>
          <w:sz w:val="24"/>
          <w:szCs w:val="24"/>
          <w:highlight w:val="none"/>
        </w:rPr>
      </w:pPr>
      <w:r>
        <w:rPr>
          <w:rFonts w:hint="eastAsia" w:eastAsia="宋体"/>
          <w:b/>
          <w:color w:val="auto"/>
          <w:w w:val="99"/>
          <w:kern w:val="2"/>
          <w:sz w:val="24"/>
          <w:szCs w:val="24"/>
          <w:highlight w:val="none"/>
        </w:rPr>
        <w:t>5</w:t>
      </w:r>
      <w:r>
        <w:rPr>
          <w:rFonts w:eastAsia="宋体"/>
          <w:b/>
          <w:color w:val="auto"/>
          <w:w w:val="99"/>
          <w:kern w:val="2"/>
          <w:sz w:val="24"/>
          <w:szCs w:val="24"/>
          <w:highlight w:val="none"/>
        </w:rPr>
        <w:t>.6.1</w:t>
      </w:r>
      <w:r>
        <w:rPr>
          <w:rFonts w:hint="eastAsia" w:eastAsia="宋体"/>
          <w:b/>
          <w:color w:val="auto"/>
          <w:w w:val="99"/>
          <w:kern w:val="2"/>
          <w:sz w:val="24"/>
          <w:szCs w:val="24"/>
          <w:highlight w:val="none"/>
        </w:rPr>
        <w:t>施工期生态</w:t>
      </w:r>
      <w:r>
        <w:rPr>
          <w:rFonts w:eastAsia="宋体"/>
          <w:b/>
          <w:color w:val="auto"/>
          <w:w w:val="99"/>
          <w:kern w:val="2"/>
          <w:sz w:val="24"/>
          <w:szCs w:val="24"/>
          <w:highlight w:val="none"/>
        </w:rPr>
        <w:t>环境影响评价</w:t>
      </w:r>
    </w:p>
    <w:p w14:paraId="61667594">
      <w:pPr>
        <w:pStyle w:val="46"/>
        <w:spacing w:after="0" w:line="440" w:lineRule="exact"/>
        <w:ind w:left="0" w:leftChars="0" w:firstLine="474" w:firstLineChars="200"/>
        <w:rPr>
          <w:rFonts w:hint="default" w:ascii="Times New Roman" w:hAnsi="Times New Roman" w:eastAsia="宋体" w:cs="Times New Roman"/>
          <w:color w:val="auto"/>
          <w:w w:val="99"/>
          <w:kern w:val="2"/>
          <w:sz w:val="24"/>
          <w:szCs w:val="24"/>
          <w:highlight w:val="none"/>
          <w:lang w:val="en-US" w:eastAsia="zh-CN" w:bidi="ar-SA"/>
        </w:rPr>
      </w:pPr>
      <w:r>
        <w:rPr>
          <w:rFonts w:hint="default" w:ascii="Times New Roman" w:hAnsi="Times New Roman" w:eastAsia="宋体" w:cs="Times New Roman"/>
          <w:color w:val="auto"/>
          <w:w w:val="99"/>
          <w:kern w:val="2"/>
          <w:sz w:val="24"/>
          <w:szCs w:val="24"/>
          <w:highlight w:val="none"/>
          <w:lang w:val="en-US" w:eastAsia="zh-CN" w:bidi="ar-SA"/>
        </w:rPr>
        <w:t>本工程井场平整建设、管沟开挖、管道敷设、覆土回填，供电、道路工程施工等过程会对周围生态环境造成不同程度的影响和破坏，主要有以下几个方面：</w:t>
      </w:r>
    </w:p>
    <w:p w14:paraId="106FBEB5">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5.6.1.1</w:t>
      </w:r>
      <w:r>
        <w:rPr>
          <w:rFonts w:hint="eastAsia" w:ascii="Times New Roman" w:hAnsi="Times New Roman"/>
          <w:b/>
          <w:color w:val="auto"/>
          <w:w w:val="99"/>
          <w:highlight w:val="none"/>
        </w:rPr>
        <w:t>对生态系统</w:t>
      </w:r>
      <w:r>
        <w:rPr>
          <w:rFonts w:ascii="Times New Roman" w:hAnsi="Times New Roman"/>
          <w:b/>
          <w:color w:val="auto"/>
          <w:w w:val="99"/>
          <w:highlight w:val="none"/>
        </w:rPr>
        <w:t>影响</w:t>
      </w:r>
      <w:r>
        <w:rPr>
          <w:rFonts w:hint="eastAsia" w:ascii="Times New Roman" w:hAnsi="Times New Roman"/>
          <w:b/>
          <w:color w:val="auto"/>
          <w:w w:val="99"/>
          <w:highlight w:val="none"/>
        </w:rPr>
        <w:t>分析</w:t>
      </w:r>
    </w:p>
    <w:p w14:paraId="29F3E419">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（1）对生态系统结构和功能影响分析</w:t>
      </w:r>
    </w:p>
    <w:p w14:paraId="0C824B5B">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①对生态系统结构影响分析</w:t>
      </w:r>
    </w:p>
    <w:p w14:paraId="2FBBC26A">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本项目</w:t>
      </w:r>
      <w:r>
        <w:rPr>
          <w:rFonts w:ascii="Times New Roman" w:hAnsi="Times New Roman" w:eastAsia="宋体"/>
          <w:color w:val="auto"/>
          <w:w w:val="99"/>
          <w:sz w:val="24"/>
          <w:szCs w:val="24"/>
          <w:highlight w:val="none"/>
        </w:rPr>
        <w:t>评价区景观基质为农田景观。工程建设期农田景观占评价区总面积的比例仍然维持在较高水平，可见</w:t>
      </w:r>
      <w:r>
        <w:rPr>
          <w:rFonts w:hint="eastAsia" w:ascii="Times New Roman" w:hAnsi="Times New Roman" w:eastAsia="宋体"/>
          <w:color w:val="auto"/>
          <w:w w:val="99"/>
          <w:sz w:val="24"/>
          <w:szCs w:val="24"/>
          <w:highlight w:val="none"/>
          <w:lang w:eastAsia="zh-CN"/>
        </w:rPr>
        <w:t>气田</w:t>
      </w:r>
      <w:r>
        <w:rPr>
          <w:rFonts w:ascii="Times New Roman" w:hAnsi="Times New Roman" w:eastAsia="宋体"/>
          <w:color w:val="auto"/>
          <w:w w:val="99"/>
          <w:sz w:val="24"/>
          <w:szCs w:val="24"/>
          <w:highlight w:val="none"/>
        </w:rPr>
        <w:t>设施建设虽使评价区自然体系的景观质量呈下降趋势，但没有根本上改变评价区的生态体系质量和以农田景观为主的景观结构。这说明景观拼块中人工异质性的增加不会对评价区产生较大干扰能力。另外，工程施工结束后，临时占地区植被将得以恢复，工程建设对评价区各类生态系统的影响将逐步减小和恢复，对生态系统结构影响较小。</w:t>
      </w:r>
    </w:p>
    <w:p w14:paraId="511E29D5">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②对生态系统功能影响分析</w:t>
      </w:r>
    </w:p>
    <w:p w14:paraId="0D37BB9B">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本项目不占用湿地，根据上表数据，项目施工前和施工期相比较，评价区湿地生态系统面积不变，因此，工程建设不会影响湿地生态系统的气候调节、水质净化、补给地下水等功能，也不会影响其抵御区域自然灾害和环境污染风险的能力。</w:t>
      </w:r>
    </w:p>
    <w:p w14:paraId="2E24DA03">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（2）对生态系统完整性的影响</w:t>
      </w:r>
    </w:p>
    <w:p w14:paraId="56CC817A">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本项目为</w:t>
      </w:r>
      <w:r>
        <w:rPr>
          <w:rFonts w:hint="eastAsia" w:ascii="Times New Roman" w:hAnsi="Times New Roman" w:eastAsia="宋体"/>
          <w:color w:val="auto"/>
          <w:w w:val="99"/>
          <w:sz w:val="24"/>
          <w:szCs w:val="24"/>
          <w:highlight w:val="none"/>
          <w:lang w:eastAsia="zh-CN"/>
        </w:rPr>
        <w:t>气田</w:t>
      </w:r>
      <w:r>
        <w:rPr>
          <w:rFonts w:ascii="Times New Roman" w:hAnsi="Times New Roman" w:eastAsia="宋体"/>
          <w:color w:val="auto"/>
          <w:w w:val="99"/>
          <w:sz w:val="24"/>
          <w:szCs w:val="24"/>
          <w:highlight w:val="none"/>
        </w:rPr>
        <w:t>开发产能项目，在已开发的区块内进行点状更新，临时占地施工结束后及时进行植被恢复，不会改变周围的植物群落，且永久占地面积较小，对植被覆盖度变化影响较小。</w:t>
      </w:r>
    </w:p>
    <w:p w14:paraId="7E8FFDBB">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本项目施工结束后，及时恢复被破坏的地表形态，平整作业现场，改善土壤及植被恢复条件。对于本项目占用的临时占地，在施工结束后及时进行植被恢复，包括施工前表土剥离后的土地恢复及播撒草籽等恢复措施；恢复采取自然恢复与人工恢复相结合的方式进行。其中管沟开挖上方、井场建设等施工活动将使地表植被全部被破坏，自然恢复较困难，因此需采取人工撒播草籽的方式进行恢复，施工后或次年适宜季节（一般5、6月份）完成。植被盖度恢复至与四周相同，对草地生态系统完整性影响较小。</w:t>
      </w:r>
    </w:p>
    <w:p w14:paraId="7505FC05">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（3）对生态功能影响分析</w:t>
      </w:r>
    </w:p>
    <w:p w14:paraId="01A24D39">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本次施工期需临时占用耕地，施工时将清除占地范围内陆域植被，经现场踏勘，工程沿线全部为农田，区域植物都是广布种，无稀有种。因此，工程在施工对陆域植物的影响只引起数量的减少，不会造成物种的灭绝。施工结束后及时对临时占用植被进行恢复，对区域生态功能影响可接受。</w:t>
      </w:r>
    </w:p>
    <w:p w14:paraId="4A792B7E">
      <w:pPr>
        <w:pStyle w:val="153"/>
        <w:widowControl w:val="0"/>
        <w:ind w:firstLine="0" w:firstLineChars="0"/>
        <w:jc w:val="both"/>
        <w:outlineLvl w:val="3"/>
        <w:rPr>
          <w:rFonts w:ascii="Times New Roman" w:hAnsi="Times New Roman"/>
          <w:b/>
          <w:color w:val="auto"/>
          <w:w w:val="99"/>
          <w:highlight w:val="none"/>
        </w:rPr>
      </w:pPr>
      <w:r>
        <w:rPr>
          <w:rFonts w:hint="eastAsia" w:ascii="Times New Roman" w:hAnsi="Times New Roman"/>
          <w:b/>
          <w:color w:val="auto"/>
          <w:w w:val="99"/>
          <w:highlight w:val="none"/>
        </w:rPr>
        <w:t>5</w:t>
      </w:r>
      <w:r>
        <w:rPr>
          <w:rFonts w:ascii="Times New Roman" w:hAnsi="Times New Roman"/>
          <w:b/>
          <w:color w:val="auto"/>
          <w:w w:val="99"/>
          <w:highlight w:val="none"/>
        </w:rPr>
        <w:t>.6.1.2</w:t>
      </w:r>
      <w:r>
        <w:rPr>
          <w:rFonts w:hint="eastAsia" w:ascii="Times New Roman" w:hAnsi="Times New Roman"/>
          <w:b/>
          <w:color w:val="auto"/>
          <w:w w:val="99"/>
          <w:highlight w:val="none"/>
        </w:rPr>
        <w:t>对土地利用</w:t>
      </w:r>
      <w:r>
        <w:rPr>
          <w:rFonts w:ascii="Times New Roman" w:hAnsi="Times New Roman"/>
          <w:b/>
          <w:color w:val="auto"/>
          <w:w w:val="99"/>
          <w:highlight w:val="none"/>
        </w:rPr>
        <w:t>影响</w:t>
      </w:r>
      <w:r>
        <w:rPr>
          <w:rFonts w:hint="eastAsia" w:ascii="Times New Roman" w:hAnsi="Times New Roman"/>
          <w:b/>
          <w:color w:val="auto"/>
          <w:w w:val="99"/>
          <w:highlight w:val="none"/>
        </w:rPr>
        <w:t>分析</w:t>
      </w:r>
    </w:p>
    <w:p w14:paraId="028132BF">
      <w:pPr>
        <w:pStyle w:val="46"/>
        <w:spacing w:after="0" w:line="440" w:lineRule="exact"/>
        <w:ind w:left="0" w:leftChars="0" w:firstLine="474" w:firstLineChars="200"/>
        <w:rPr>
          <w:rFonts w:hint="default" w:ascii="Times New Roman" w:hAnsi="Times New Roman" w:eastAsia="宋体" w:cs="Times New Roman"/>
          <w:color w:val="auto"/>
          <w:w w:val="99"/>
          <w:kern w:val="2"/>
          <w:sz w:val="24"/>
          <w:szCs w:val="24"/>
          <w:highlight w:val="none"/>
          <w:lang w:val="en-US" w:eastAsia="zh-CN" w:bidi="ar-SA"/>
        </w:rPr>
      </w:pPr>
      <w:r>
        <w:rPr>
          <w:rFonts w:hint="default" w:ascii="Times New Roman" w:hAnsi="Times New Roman" w:eastAsia="宋体" w:cs="Times New Roman"/>
          <w:color w:val="auto"/>
          <w:w w:val="99"/>
          <w:kern w:val="2"/>
          <w:sz w:val="24"/>
          <w:szCs w:val="24"/>
          <w:highlight w:val="none"/>
          <w:lang w:val="en-US" w:eastAsia="zh-CN" w:bidi="ar-SA"/>
        </w:rPr>
        <w:t>本项目生态评价范围内主要以耕地（基本农田）为主</w:t>
      </w:r>
      <w:r>
        <w:rPr>
          <w:rFonts w:hint="eastAsia" w:ascii="Times New Roman" w:hAnsi="Times New Roman" w:eastAsia="宋体" w:cs="Times New Roman"/>
          <w:color w:val="auto"/>
          <w:w w:val="99"/>
          <w:kern w:val="2"/>
          <w:sz w:val="24"/>
          <w:szCs w:val="24"/>
          <w:highlight w:val="none"/>
          <w:lang w:val="en-US" w:eastAsia="zh-CN" w:bidi="ar-SA"/>
        </w:rPr>
        <w:t>、草地次之</w:t>
      </w:r>
      <w:r>
        <w:rPr>
          <w:rFonts w:hint="default" w:ascii="Times New Roman" w:hAnsi="Times New Roman" w:eastAsia="宋体" w:cs="Times New Roman"/>
          <w:color w:val="auto"/>
          <w:w w:val="99"/>
          <w:kern w:val="2"/>
          <w:sz w:val="24"/>
          <w:szCs w:val="24"/>
          <w:highlight w:val="none"/>
          <w:lang w:val="en-US" w:eastAsia="zh-CN" w:bidi="ar-SA"/>
        </w:rPr>
        <w:t>。本项目新增永久占地</w:t>
      </w:r>
      <w:r>
        <w:rPr>
          <w:rFonts w:hint="eastAsia" w:cs="Times New Roman"/>
          <w:color w:val="auto"/>
          <w:w w:val="99"/>
          <w:kern w:val="2"/>
          <w:sz w:val="24"/>
          <w:szCs w:val="24"/>
          <w:highlight w:val="none"/>
          <w:lang w:val="en-US" w:eastAsia="zh-CN" w:bidi="ar-SA"/>
        </w:rPr>
        <w:t>0.0901</w:t>
      </w:r>
      <w:r>
        <w:rPr>
          <w:rFonts w:hint="default" w:ascii="Times New Roman" w:hAnsi="Times New Roman" w:eastAsia="宋体" w:cs="Times New Roman"/>
          <w:color w:val="auto"/>
          <w:w w:val="99"/>
          <w:kern w:val="2"/>
          <w:sz w:val="24"/>
          <w:szCs w:val="24"/>
          <w:highlight w:val="none"/>
          <w:lang w:val="en-US" w:eastAsia="zh-CN" w:bidi="ar-SA"/>
        </w:rPr>
        <w:t>hm</w:t>
      </w:r>
      <w:r>
        <w:rPr>
          <w:rFonts w:hint="default" w:ascii="Times New Roman" w:hAnsi="Times New Roman" w:eastAsia="宋体" w:cs="Times New Roman"/>
          <w:color w:val="auto"/>
          <w:w w:val="99"/>
          <w:kern w:val="2"/>
          <w:sz w:val="24"/>
          <w:szCs w:val="24"/>
          <w:highlight w:val="none"/>
          <w:vertAlign w:val="superscript"/>
          <w:lang w:val="en-US" w:eastAsia="zh-CN" w:bidi="ar-SA"/>
        </w:rPr>
        <w:t>2</w:t>
      </w:r>
      <w:r>
        <w:rPr>
          <w:rFonts w:hint="default" w:ascii="Times New Roman" w:hAnsi="Times New Roman" w:eastAsia="宋体" w:cs="Times New Roman"/>
          <w:color w:val="auto"/>
          <w:w w:val="99"/>
          <w:kern w:val="2"/>
          <w:sz w:val="24"/>
          <w:szCs w:val="24"/>
          <w:highlight w:val="none"/>
          <w:lang w:val="en-US" w:eastAsia="zh-CN" w:bidi="ar-SA"/>
        </w:rPr>
        <w:t>，本工程永久占地在原来连续分布的生态环境中形成斑块，但由于本项目永久占地面积较小，对项目区域土地利用结构影响较小。</w:t>
      </w:r>
    </w:p>
    <w:p w14:paraId="501F97DC">
      <w:pPr>
        <w:pStyle w:val="46"/>
        <w:spacing w:after="0" w:line="440" w:lineRule="exact"/>
        <w:ind w:left="0" w:leftChars="0" w:firstLine="474" w:firstLineChars="200"/>
        <w:rPr>
          <w:rFonts w:hint="default" w:ascii="Times New Roman" w:hAnsi="Times New Roman" w:eastAsia="宋体" w:cs="Times New Roman"/>
          <w:color w:val="auto"/>
          <w:w w:val="99"/>
          <w:kern w:val="2"/>
          <w:sz w:val="24"/>
          <w:szCs w:val="24"/>
          <w:highlight w:val="none"/>
          <w:lang w:val="en-US" w:eastAsia="zh-CN" w:bidi="ar-SA"/>
        </w:rPr>
      </w:pPr>
      <w:r>
        <w:rPr>
          <w:rFonts w:hint="default" w:ascii="Times New Roman" w:hAnsi="Times New Roman" w:eastAsia="宋体" w:cs="Times New Roman"/>
          <w:color w:val="auto"/>
          <w:w w:val="99"/>
          <w:kern w:val="2"/>
          <w:sz w:val="24"/>
          <w:szCs w:val="24"/>
          <w:highlight w:val="none"/>
          <w:lang w:val="en-US" w:eastAsia="zh-CN" w:bidi="ar-SA"/>
        </w:rPr>
        <w:t>（2）对植被影响分析</w:t>
      </w:r>
    </w:p>
    <w:p w14:paraId="6216CEF0">
      <w:pPr>
        <w:pStyle w:val="46"/>
        <w:spacing w:after="0" w:line="440" w:lineRule="exact"/>
        <w:ind w:left="0" w:leftChars="0" w:firstLine="474" w:firstLineChars="200"/>
        <w:rPr>
          <w:rFonts w:hint="default" w:ascii="Times New Roman" w:hAnsi="Times New Roman" w:eastAsia="宋体" w:cs="Times New Roman"/>
          <w:color w:val="auto"/>
          <w:w w:val="99"/>
          <w:kern w:val="2"/>
          <w:sz w:val="24"/>
          <w:szCs w:val="24"/>
          <w:highlight w:val="none"/>
          <w:lang w:val="en-US" w:eastAsia="zh-CN" w:bidi="ar-SA"/>
        </w:rPr>
      </w:pPr>
      <w:r>
        <w:rPr>
          <w:rFonts w:hint="default" w:ascii="Times New Roman" w:hAnsi="Times New Roman" w:eastAsia="宋体" w:cs="Times New Roman"/>
          <w:color w:val="auto"/>
          <w:w w:val="99"/>
          <w:kern w:val="2"/>
          <w:sz w:val="24"/>
          <w:szCs w:val="24"/>
          <w:highlight w:val="none"/>
          <w:lang w:val="en-US" w:eastAsia="zh-CN" w:bidi="ar-SA"/>
        </w:rPr>
        <w:t>1）永久占地影响</w:t>
      </w:r>
    </w:p>
    <w:p w14:paraId="69D88CF9">
      <w:pPr>
        <w:pStyle w:val="46"/>
        <w:spacing w:after="0" w:line="440" w:lineRule="exact"/>
        <w:ind w:left="0" w:leftChars="0" w:firstLine="474" w:firstLineChars="200"/>
        <w:rPr>
          <w:rFonts w:hint="default" w:ascii="Times New Roman" w:hAnsi="Times New Roman" w:eastAsia="宋体" w:cs="Times New Roman"/>
          <w:color w:val="auto"/>
          <w:w w:val="99"/>
          <w:kern w:val="2"/>
          <w:sz w:val="24"/>
          <w:szCs w:val="24"/>
          <w:highlight w:val="none"/>
          <w:lang w:val="en-US" w:eastAsia="zh-CN" w:bidi="ar-SA"/>
        </w:rPr>
      </w:pPr>
      <w:r>
        <w:rPr>
          <w:rFonts w:hint="default" w:ascii="Times New Roman" w:hAnsi="Times New Roman" w:eastAsia="宋体" w:cs="Times New Roman"/>
          <w:color w:val="auto"/>
          <w:w w:val="99"/>
          <w:kern w:val="2"/>
          <w:sz w:val="24"/>
          <w:szCs w:val="24"/>
          <w:highlight w:val="none"/>
          <w:lang w:val="en-US" w:eastAsia="zh-CN" w:bidi="ar-SA"/>
        </w:rPr>
        <w:t>本工程永久占地在原来连续分布的生态环境中形成斑块，产生地表温度等物理性质发生异常，以及干扰地面植被，影响生态环境的类型和结构。永久占用农田改变了土壤的原有耕作层，直接造成农作物经济损失。</w:t>
      </w:r>
    </w:p>
    <w:p w14:paraId="00AA9900">
      <w:pPr>
        <w:pStyle w:val="46"/>
        <w:spacing w:after="0" w:line="440" w:lineRule="exact"/>
        <w:ind w:left="0" w:leftChars="0" w:firstLine="474" w:firstLineChars="200"/>
        <w:rPr>
          <w:rFonts w:hint="default" w:ascii="Times New Roman" w:hAnsi="Times New Roman" w:eastAsia="宋体" w:cs="Times New Roman"/>
          <w:color w:val="auto"/>
          <w:w w:val="99"/>
          <w:kern w:val="2"/>
          <w:sz w:val="24"/>
          <w:szCs w:val="24"/>
          <w:highlight w:val="none"/>
          <w:lang w:val="en-US" w:eastAsia="zh-CN" w:bidi="ar-SA"/>
        </w:rPr>
      </w:pPr>
      <w:r>
        <w:rPr>
          <w:rFonts w:hint="default" w:ascii="Times New Roman" w:hAnsi="Times New Roman" w:eastAsia="宋体" w:cs="Times New Roman"/>
          <w:color w:val="auto"/>
          <w:w w:val="99"/>
          <w:kern w:val="2"/>
          <w:sz w:val="24"/>
          <w:szCs w:val="24"/>
          <w:highlight w:val="none"/>
          <w:lang w:val="en-US" w:eastAsia="zh-CN" w:bidi="ar-SA"/>
        </w:rPr>
        <w:t>项目</w:t>
      </w:r>
      <w:r>
        <w:rPr>
          <w:rFonts w:hint="eastAsia" w:ascii="Times New Roman" w:hAnsi="Times New Roman" w:eastAsia="宋体" w:cs="Times New Roman"/>
          <w:color w:val="auto"/>
          <w:w w:val="99"/>
          <w:kern w:val="2"/>
          <w:sz w:val="24"/>
          <w:szCs w:val="24"/>
          <w:highlight w:val="none"/>
          <w:lang w:val="en-US" w:eastAsia="zh-CN" w:bidi="ar-SA"/>
        </w:rPr>
        <w:t>新增</w:t>
      </w:r>
      <w:r>
        <w:rPr>
          <w:rFonts w:hint="default" w:ascii="Times New Roman" w:hAnsi="Times New Roman" w:eastAsia="宋体" w:cs="Times New Roman"/>
          <w:color w:val="auto"/>
          <w:w w:val="99"/>
          <w:kern w:val="2"/>
          <w:sz w:val="24"/>
          <w:szCs w:val="24"/>
          <w:highlight w:val="none"/>
          <w:lang w:val="en-US" w:eastAsia="zh-CN" w:bidi="ar-SA"/>
        </w:rPr>
        <w:t>永久占用耕地</w:t>
      </w:r>
      <w:r>
        <w:rPr>
          <w:rFonts w:hint="eastAsia" w:cs="Times New Roman"/>
          <w:color w:val="auto"/>
          <w:w w:val="99"/>
          <w:kern w:val="2"/>
          <w:sz w:val="24"/>
          <w:szCs w:val="24"/>
          <w:highlight w:val="none"/>
          <w:lang w:val="en-US" w:eastAsia="zh-CN" w:bidi="ar-SA"/>
        </w:rPr>
        <w:t>0.0901</w:t>
      </w:r>
      <w:r>
        <w:rPr>
          <w:rFonts w:hint="default" w:ascii="Times New Roman" w:hAnsi="Times New Roman" w:eastAsia="宋体" w:cs="Times New Roman"/>
          <w:color w:val="auto"/>
          <w:w w:val="99"/>
          <w:kern w:val="2"/>
          <w:sz w:val="24"/>
          <w:szCs w:val="24"/>
          <w:highlight w:val="none"/>
          <w:lang w:val="en-US" w:eastAsia="zh-CN" w:bidi="ar-SA"/>
        </w:rPr>
        <w:t>hm</w:t>
      </w:r>
      <w:r>
        <w:rPr>
          <w:rFonts w:hint="default" w:ascii="Times New Roman" w:hAnsi="Times New Roman" w:eastAsia="宋体" w:cs="Times New Roman"/>
          <w:color w:val="auto"/>
          <w:w w:val="99"/>
          <w:kern w:val="2"/>
          <w:sz w:val="24"/>
          <w:szCs w:val="24"/>
          <w:highlight w:val="none"/>
          <w:vertAlign w:val="superscript"/>
          <w:lang w:val="en-US" w:eastAsia="zh-CN" w:bidi="ar-SA"/>
        </w:rPr>
        <w:t>2</w:t>
      </w:r>
      <w:r>
        <w:rPr>
          <w:rFonts w:hint="default" w:ascii="Times New Roman" w:hAnsi="Times New Roman" w:eastAsia="宋体" w:cs="Times New Roman"/>
          <w:color w:val="auto"/>
          <w:w w:val="99"/>
          <w:kern w:val="2"/>
          <w:sz w:val="24"/>
          <w:szCs w:val="24"/>
          <w:highlight w:val="none"/>
          <w:lang w:val="en-US" w:eastAsia="zh-CN" w:bidi="ar-SA"/>
        </w:rPr>
        <w:t>，对生态影响程度有限</w:t>
      </w:r>
      <w:r>
        <w:rPr>
          <w:rFonts w:hint="eastAsia" w:ascii="Times New Roman" w:hAnsi="Times New Roman" w:eastAsia="宋体" w:cs="Times New Roman"/>
          <w:color w:val="auto"/>
          <w:w w:val="99"/>
          <w:kern w:val="2"/>
          <w:sz w:val="24"/>
          <w:szCs w:val="24"/>
          <w:highlight w:val="none"/>
          <w:lang w:val="en-US" w:eastAsia="zh-CN" w:bidi="ar-SA"/>
        </w:rPr>
        <w:t>。</w:t>
      </w:r>
      <w:r>
        <w:rPr>
          <w:rFonts w:hint="default" w:ascii="Times New Roman" w:hAnsi="Times New Roman" w:eastAsia="宋体" w:cs="Times New Roman"/>
          <w:color w:val="auto"/>
          <w:w w:val="99"/>
          <w:kern w:val="2"/>
          <w:sz w:val="24"/>
          <w:szCs w:val="24"/>
          <w:highlight w:val="none"/>
          <w:lang w:val="en-US" w:eastAsia="zh-CN" w:bidi="ar-SA"/>
        </w:rPr>
        <w:t>地表农作物主要为玉米，玉米产量按 7t/hm</w:t>
      </w:r>
      <w:r>
        <w:rPr>
          <w:rFonts w:hint="default" w:ascii="Times New Roman" w:hAnsi="Times New Roman" w:eastAsia="宋体" w:cs="Times New Roman"/>
          <w:color w:val="auto"/>
          <w:w w:val="99"/>
          <w:kern w:val="2"/>
          <w:sz w:val="24"/>
          <w:szCs w:val="24"/>
          <w:highlight w:val="none"/>
          <w:vertAlign w:val="superscript"/>
          <w:lang w:val="en-US" w:eastAsia="zh-CN" w:bidi="ar-SA"/>
        </w:rPr>
        <w:t>2</w:t>
      </w:r>
      <w:r>
        <w:rPr>
          <w:rFonts w:hint="default" w:ascii="Times New Roman" w:hAnsi="Times New Roman" w:eastAsia="宋体" w:cs="Times New Roman"/>
          <w:color w:val="auto"/>
          <w:w w:val="99"/>
          <w:kern w:val="2"/>
          <w:sz w:val="24"/>
          <w:szCs w:val="24"/>
          <w:highlight w:val="none"/>
          <w:lang w:val="en-US" w:eastAsia="zh-CN" w:bidi="ar-SA"/>
        </w:rPr>
        <w:t>计算，永久占地按15年损失计算，共损失玉米</w:t>
      </w:r>
      <w:r>
        <w:rPr>
          <w:rFonts w:hint="eastAsia" w:cs="Times New Roman"/>
          <w:color w:val="auto"/>
          <w:w w:val="99"/>
          <w:kern w:val="2"/>
          <w:sz w:val="24"/>
          <w:szCs w:val="24"/>
          <w:highlight w:val="none"/>
          <w:lang w:val="en-US" w:eastAsia="zh-CN" w:bidi="ar-SA"/>
        </w:rPr>
        <w:t>9.46</w:t>
      </w:r>
      <w:r>
        <w:rPr>
          <w:rFonts w:hint="default" w:ascii="Times New Roman" w:hAnsi="Times New Roman" w:eastAsia="宋体" w:cs="Times New Roman"/>
          <w:color w:val="auto"/>
          <w:w w:val="99"/>
          <w:kern w:val="2"/>
          <w:sz w:val="24"/>
          <w:szCs w:val="24"/>
          <w:highlight w:val="none"/>
          <w:lang w:val="en-US" w:eastAsia="zh-CN" w:bidi="ar-SA"/>
        </w:rPr>
        <w:t>t，玉米价格按1500元/t计算，其经济价值约为</w:t>
      </w:r>
      <w:r>
        <w:rPr>
          <w:rFonts w:hint="eastAsia" w:cs="Times New Roman"/>
          <w:color w:val="auto"/>
          <w:w w:val="99"/>
          <w:kern w:val="2"/>
          <w:sz w:val="24"/>
          <w:szCs w:val="24"/>
          <w:highlight w:val="none"/>
          <w:lang w:val="en-US" w:eastAsia="zh-CN" w:bidi="ar-SA"/>
        </w:rPr>
        <w:t>1.42</w:t>
      </w:r>
      <w:r>
        <w:rPr>
          <w:rFonts w:hint="default" w:ascii="Times New Roman" w:hAnsi="Times New Roman" w:eastAsia="宋体" w:cs="Times New Roman"/>
          <w:color w:val="auto"/>
          <w:w w:val="99"/>
          <w:kern w:val="2"/>
          <w:sz w:val="24"/>
          <w:szCs w:val="24"/>
          <w:highlight w:val="none"/>
          <w:lang w:val="en-US" w:eastAsia="zh-CN" w:bidi="ar-SA"/>
        </w:rPr>
        <w:t>万元。项目投产后在生产期内永久占用的，生物量将永久损失，其影响是长期且不可逆的。</w:t>
      </w:r>
    </w:p>
    <w:p w14:paraId="57C63BBE">
      <w:pPr>
        <w:pStyle w:val="46"/>
        <w:spacing w:after="0" w:line="440" w:lineRule="exact"/>
        <w:ind w:left="0" w:leftChars="0" w:firstLine="474" w:firstLineChars="200"/>
        <w:rPr>
          <w:rFonts w:hint="default" w:ascii="Times New Roman" w:hAnsi="Times New Roman" w:eastAsia="宋体" w:cs="Times New Roman"/>
          <w:color w:val="auto"/>
          <w:w w:val="99"/>
          <w:kern w:val="2"/>
          <w:sz w:val="24"/>
          <w:szCs w:val="24"/>
          <w:highlight w:val="none"/>
          <w:lang w:val="en-US" w:eastAsia="zh-CN" w:bidi="ar-SA"/>
        </w:rPr>
      </w:pPr>
      <w:r>
        <w:rPr>
          <w:rFonts w:hint="default" w:ascii="Times New Roman" w:hAnsi="Times New Roman" w:eastAsia="宋体" w:cs="Times New Roman"/>
          <w:color w:val="auto"/>
          <w:w w:val="99"/>
          <w:kern w:val="2"/>
          <w:sz w:val="24"/>
          <w:szCs w:val="24"/>
          <w:highlight w:val="none"/>
          <w:lang w:val="en-US" w:eastAsia="zh-CN" w:bidi="ar-SA"/>
        </w:rPr>
        <w:t>2）临时占地</w:t>
      </w:r>
    </w:p>
    <w:p w14:paraId="011126E0">
      <w:pPr>
        <w:pStyle w:val="46"/>
        <w:spacing w:after="0" w:line="440" w:lineRule="exact"/>
        <w:ind w:left="0" w:leftChars="0" w:firstLine="474" w:firstLineChars="200"/>
        <w:rPr>
          <w:rFonts w:hint="default" w:ascii="Times New Roman" w:hAnsi="Times New Roman" w:eastAsia="宋体" w:cs="Times New Roman"/>
          <w:color w:val="auto"/>
          <w:w w:val="99"/>
          <w:kern w:val="2"/>
          <w:sz w:val="24"/>
          <w:szCs w:val="24"/>
          <w:highlight w:val="none"/>
          <w:lang w:val="en-US" w:eastAsia="zh-CN" w:bidi="ar-SA"/>
        </w:rPr>
      </w:pPr>
      <w:r>
        <w:rPr>
          <w:rFonts w:hint="default" w:ascii="Times New Roman" w:hAnsi="Times New Roman" w:eastAsia="宋体" w:cs="Times New Roman"/>
          <w:color w:val="auto"/>
          <w:w w:val="99"/>
          <w:kern w:val="2"/>
          <w:sz w:val="24"/>
          <w:szCs w:val="24"/>
          <w:highlight w:val="none"/>
          <w:lang w:val="en-US" w:eastAsia="zh-CN" w:bidi="ar-SA"/>
        </w:rPr>
        <w:t>本工程在施工期发生的临时占地是新建</w:t>
      </w:r>
      <w:r>
        <w:rPr>
          <w:rFonts w:hint="eastAsia" w:ascii="Times New Roman" w:hAnsi="Times New Roman" w:eastAsia="宋体" w:cs="Times New Roman"/>
          <w:color w:val="auto"/>
          <w:w w:val="99"/>
          <w:kern w:val="2"/>
          <w:sz w:val="24"/>
          <w:szCs w:val="24"/>
          <w:highlight w:val="none"/>
          <w:lang w:val="en-US" w:eastAsia="zh-CN" w:bidi="ar-SA"/>
        </w:rPr>
        <w:t>井场、</w:t>
      </w:r>
      <w:r>
        <w:rPr>
          <w:rFonts w:hint="default" w:ascii="Times New Roman" w:hAnsi="Times New Roman" w:eastAsia="宋体" w:cs="Times New Roman"/>
          <w:color w:val="auto"/>
          <w:w w:val="99"/>
          <w:kern w:val="2"/>
          <w:sz w:val="24"/>
          <w:szCs w:val="24"/>
          <w:highlight w:val="none"/>
          <w:lang w:val="en-US" w:eastAsia="zh-CN" w:bidi="ar-SA"/>
        </w:rPr>
        <w:t>管道</w:t>
      </w:r>
      <w:r>
        <w:rPr>
          <w:rFonts w:hint="eastAsia" w:ascii="Times New Roman" w:hAnsi="Times New Roman" w:eastAsia="宋体" w:cs="Times New Roman"/>
          <w:color w:val="auto"/>
          <w:w w:val="99"/>
          <w:kern w:val="2"/>
          <w:sz w:val="24"/>
          <w:szCs w:val="24"/>
          <w:highlight w:val="none"/>
          <w:lang w:val="en-US" w:eastAsia="zh-CN" w:bidi="ar-SA"/>
        </w:rPr>
        <w:t>、柱上变电站</w:t>
      </w:r>
      <w:r>
        <w:rPr>
          <w:rFonts w:hint="default" w:ascii="Times New Roman" w:hAnsi="Times New Roman" w:eastAsia="宋体" w:cs="Times New Roman"/>
          <w:color w:val="auto"/>
          <w:w w:val="99"/>
          <w:kern w:val="2"/>
          <w:sz w:val="24"/>
          <w:szCs w:val="24"/>
          <w:highlight w:val="none"/>
          <w:lang w:val="en-US" w:eastAsia="zh-CN" w:bidi="ar-SA"/>
        </w:rPr>
        <w:t>对耕地产生的影响。施工过程中，车辆碾压，机械推挖、人员践踏等对地表进行的平整将会对占地地表造成很大破坏，这种影响是短期可逆的，施工结束后，被占用土地开始恢复。</w:t>
      </w:r>
    </w:p>
    <w:p w14:paraId="1D80157A">
      <w:pPr>
        <w:pStyle w:val="46"/>
        <w:spacing w:after="0" w:line="440" w:lineRule="exact"/>
        <w:ind w:left="0" w:leftChars="0" w:firstLine="474" w:firstLineChars="200"/>
        <w:rPr>
          <w:rFonts w:hint="default" w:ascii="Times New Roman" w:hAnsi="Times New Roman" w:eastAsia="宋体" w:cs="Times New Roman"/>
          <w:color w:val="auto"/>
          <w:w w:val="99"/>
          <w:kern w:val="2"/>
          <w:sz w:val="24"/>
          <w:szCs w:val="24"/>
          <w:highlight w:val="none"/>
          <w:lang w:val="en-US" w:eastAsia="zh-CN" w:bidi="ar-SA"/>
        </w:rPr>
      </w:pPr>
      <w:r>
        <w:rPr>
          <w:rFonts w:hint="default" w:ascii="Times New Roman" w:hAnsi="Times New Roman" w:eastAsia="宋体" w:cs="Times New Roman"/>
          <w:color w:val="auto"/>
          <w:w w:val="99"/>
          <w:kern w:val="2"/>
          <w:sz w:val="24"/>
          <w:szCs w:val="24"/>
          <w:highlight w:val="none"/>
          <w:lang w:val="en-US" w:eastAsia="zh-CN" w:bidi="ar-SA"/>
        </w:rPr>
        <w:t>本项目临时占用耕地面积为</w:t>
      </w:r>
      <w:r>
        <w:rPr>
          <w:rFonts w:hint="eastAsia" w:cs="Times New Roman"/>
          <w:color w:val="auto"/>
          <w:w w:val="99"/>
          <w:kern w:val="2"/>
          <w:sz w:val="24"/>
          <w:szCs w:val="24"/>
          <w:highlight w:val="none"/>
          <w:lang w:val="en-US" w:eastAsia="zh-CN" w:bidi="ar-SA"/>
        </w:rPr>
        <w:t>1.9229</w:t>
      </w:r>
      <w:r>
        <w:rPr>
          <w:rFonts w:hint="default" w:ascii="Times New Roman" w:hAnsi="Times New Roman" w:eastAsia="宋体" w:cs="Times New Roman"/>
          <w:color w:val="auto"/>
          <w:w w:val="99"/>
          <w:kern w:val="2"/>
          <w:sz w:val="24"/>
          <w:szCs w:val="24"/>
          <w:highlight w:val="none"/>
          <w:lang w:val="en-US" w:eastAsia="zh-CN" w:bidi="ar-SA"/>
        </w:rPr>
        <w:t>hm</w:t>
      </w:r>
      <w:r>
        <w:rPr>
          <w:rFonts w:hint="default" w:ascii="Times New Roman" w:hAnsi="Times New Roman" w:eastAsia="宋体" w:cs="Times New Roman"/>
          <w:color w:val="auto"/>
          <w:w w:val="99"/>
          <w:kern w:val="2"/>
          <w:sz w:val="24"/>
          <w:szCs w:val="24"/>
          <w:highlight w:val="none"/>
          <w:vertAlign w:val="superscript"/>
          <w:lang w:val="en-US" w:eastAsia="zh-CN" w:bidi="ar-SA"/>
        </w:rPr>
        <w:t>2</w:t>
      </w:r>
      <w:r>
        <w:rPr>
          <w:rFonts w:hint="default" w:ascii="Times New Roman" w:hAnsi="Times New Roman" w:eastAsia="宋体" w:cs="Times New Roman"/>
          <w:color w:val="auto"/>
          <w:w w:val="99"/>
          <w:kern w:val="2"/>
          <w:sz w:val="24"/>
          <w:szCs w:val="24"/>
          <w:highlight w:val="none"/>
          <w:lang w:val="en-US" w:eastAsia="zh-CN" w:bidi="ar-SA"/>
        </w:rPr>
        <w:t>。耕地农作物为玉米，农作物当年粮食产量全部损失，第二、三年产量将下降</w:t>
      </w:r>
      <w:r>
        <w:rPr>
          <w:rFonts w:hint="eastAsia" w:ascii="Times New Roman" w:hAnsi="Times New Roman" w:eastAsia="宋体" w:cs="Times New Roman"/>
          <w:color w:val="auto"/>
          <w:w w:val="99"/>
          <w:kern w:val="2"/>
          <w:sz w:val="24"/>
          <w:szCs w:val="24"/>
          <w:highlight w:val="none"/>
          <w:lang w:val="en-US" w:eastAsia="zh-CN" w:bidi="ar-SA"/>
        </w:rPr>
        <w:t>30</w:t>
      </w:r>
      <w:r>
        <w:rPr>
          <w:rFonts w:hint="default" w:ascii="Times New Roman" w:hAnsi="Times New Roman" w:eastAsia="宋体" w:cs="Times New Roman"/>
          <w:color w:val="auto"/>
          <w:w w:val="99"/>
          <w:kern w:val="2"/>
          <w:sz w:val="24"/>
          <w:szCs w:val="24"/>
          <w:highlight w:val="none"/>
          <w:lang w:val="en-US" w:eastAsia="zh-CN" w:bidi="ar-SA"/>
        </w:rPr>
        <w:t>%，随后恢复正常产量，农作物单位面积产量以玉米计，按7.</w:t>
      </w:r>
      <w:r>
        <w:rPr>
          <w:rFonts w:hint="eastAsia" w:ascii="Times New Roman" w:hAnsi="Times New Roman" w:eastAsia="宋体" w:cs="Times New Roman"/>
          <w:color w:val="auto"/>
          <w:w w:val="99"/>
          <w:kern w:val="2"/>
          <w:sz w:val="24"/>
          <w:szCs w:val="24"/>
          <w:highlight w:val="none"/>
          <w:lang w:val="en-US" w:eastAsia="zh-CN" w:bidi="ar-SA"/>
        </w:rPr>
        <w:t>0</w:t>
      </w:r>
      <w:r>
        <w:rPr>
          <w:rFonts w:hint="default" w:ascii="Times New Roman" w:hAnsi="Times New Roman" w:eastAsia="宋体" w:cs="Times New Roman"/>
          <w:color w:val="auto"/>
          <w:w w:val="99"/>
          <w:kern w:val="2"/>
          <w:sz w:val="24"/>
          <w:szCs w:val="24"/>
          <w:highlight w:val="none"/>
          <w:lang w:val="en-US" w:eastAsia="zh-CN" w:bidi="ar-SA"/>
        </w:rPr>
        <w:t>t/hm</w:t>
      </w:r>
      <w:r>
        <w:rPr>
          <w:rFonts w:hint="default" w:ascii="Times New Roman" w:hAnsi="Times New Roman" w:eastAsia="宋体" w:cs="Times New Roman"/>
          <w:color w:val="auto"/>
          <w:w w:val="99"/>
          <w:kern w:val="2"/>
          <w:sz w:val="24"/>
          <w:szCs w:val="24"/>
          <w:highlight w:val="none"/>
          <w:vertAlign w:val="superscript"/>
          <w:lang w:val="en-US" w:eastAsia="zh-CN" w:bidi="ar-SA"/>
        </w:rPr>
        <w:t>2</w:t>
      </w:r>
      <w:r>
        <w:rPr>
          <w:rFonts w:hint="default" w:ascii="Times New Roman" w:hAnsi="Times New Roman" w:eastAsia="宋体" w:cs="Times New Roman"/>
          <w:color w:val="auto"/>
          <w:w w:val="99"/>
          <w:kern w:val="2"/>
          <w:sz w:val="24"/>
          <w:szCs w:val="24"/>
          <w:highlight w:val="none"/>
          <w:lang w:val="en-US" w:eastAsia="zh-CN" w:bidi="ar-SA"/>
        </w:rPr>
        <w:t>计算，三年间临时占地总共损失粮食产量为</w:t>
      </w:r>
      <w:r>
        <w:rPr>
          <w:rFonts w:hint="eastAsia" w:cs="Times New Roman"/>
          <w:color w:val="auto"/>
          <w:w w:val="99"/>
          <w:kern w:val="2"/>
          <w:sz w:val="24"/>
          <w:szCs w:val="24"/>
          <w:highlight w:val="none"/>
          <w:lang w:val="en-US" w:eastAsia="zh-CN" w:bidi="ar-SA"/>
        </w:rPr>
        <w:t>21.54</w:t>
      </w:r>
      <w:r>
        <w:rPr>
          <w:rFonts w:hint="default" w:ascii="Times New Roman" w:hAnsi="Times New Roman" w:eastAsia="宋体" w:cs="Times New Roman"/>
          <w:color w:val="auto"/>
          <w:w w:val="99"/>
          <w:kern w:val="2"/>
          <w:sz w:val="24"/>
          <w:szCs w:val="24"/>
          <w:highlight w:val="none"/>
          <w:lang w:val="en-US" w:eastAsia="zh-CN" w:bidi="ar-SA"/>
        </w:rPr>
        <w:t>t，价格按照1500元/t计，则临时占用耕地损失</w:t>
      </w:r>
      <w:r>
        <w:rPr>
          <w:rFonts w:hint="eastAsia" w:cs="Times New Roman"/>
          <w:color w:val="auto"/>
          <w:w w:val="99"/>
          <w:kern w:val="2"/>
          <w:sz w:val="24"/>
          <w:szCs w:val="24"/>
          <w:highlight w:val="none"/>
          <w:lang w:val="en-US" w:eastAsia="zh-CN" w:bidi="ar-SA"/>
        </w:rPr>
        <w:t>3.23</w:t>
      </w:r>
      <w:r>
        <w:rPr>
          <w:rFonts w:hint="default" w:ascii="Times New Roman" w:hAnsi="Times New Roman" w:eastAsia="宋体" w:cs="Times New Roman"/>
          <w:color w:val="auto"/>
          <w:w w:val="99"/>
          <w:kern w:val="2"/>
          <w:sz w:val="24"/>
          <w:szCs w:val="24"/>
          <w:highlight w:val="none"/>
          <w:lang w:val="en-US" w:eastAsia="zh-CN" w:bidi="ar-SA"/>
        </w:rPr>
        <w:t>万元。</w:t>
      </w:r>
    </w:p>
    <w:p w14:paraId="59C34B03">
      <w:pPr>
        <w:pStyle w:val="46"/>
        <w:spacing w:after="0" w:line="440" w:lineRule="exact"/>
        <w:ind w:left="0" w:leftChars="0" w:firstLine="474" w:firstLineChars="200"/>
        <w:rPr>
          <w:rFonts w:hint="default" w:ascii="Times New Roman" w:hAnsi="Times New Roman" w:eastAsia="宋体" w:cs="Times New Roman"/>
          <w:color w:val="auto"/>
          <w:w w:val="99"/>
          <w:kern w:val="2"/>
          <w:sz w:val="24"/>
          <w:szCs w:val="24"/>
          <w:highlight w:val="none"/>
          <w:lang w:val="en-US" w:eastAsia="zh-CN" w:bidi="ar-SA"/>
        </w:rPr>
      </w:pPr>
      <w:r>
        <w:rPr>
          <w:rFonts w:hint="default" w:ascii="Times New Roman" w:hAnsi="Times New Roman" w:eastAsia="宋体" w:cs="Times New Roman"/>
          <w:color w:val="auto"/>
          <w:w w:val="99"/>
          <w:kern w:val="2"/>
          <w:sz w:val="24"/>
          <w:szCs w:val="24"/>
          <w:highlight w:val="none"/>
          <w:lang w:val="en-US" w:eastAsia="zh-CN" w:bidi="ar-SA"/>
        </w:rPr>
        <w:t>根据《中华人民共和国土地管理法》第四十七条规定：征收土地的，按照被征收土地的原用途给予补偿。被征收土地上的附着物和青苗的补偿标准，由省、自治区、直辖市规定。由于本工程临时占地的占用期限很短，在完工后可以及时恢复，所以不会对当地植被产生大的影响。生态影响减缓及恢复见表5.</w:t>
      </w:r>
      <w:r>
        <w:rPr>
          <w:rFonts w:hint="eastAsia" w:cs="Times New Roman"/>
          <w:color w:val="auto"/>
          <w:w w:val="99"/>
          <w:kern w:val="2"/>
          <w:sz w:val="24"/>
          <w:szCs w:val="24"/>
          <w:highlight w:val="none"/>
          <w:lang w:val="en-US" w:eastAsia="zh-CN" w:bidi="ar-SA"/>
        </w:rPr>
        <w:t>6-1</w:t>
      </w:r>
      <w:r>
        <w:rPr>
          <w:rFonts w:hint="default" w:ascii="Times New Roman" w:hAnsi="Times New Roman" w:eastAsia="宋体" w:cs="Times New Roman"/>
          <w:color w:val="auto"/>
          <w:w w:val="99"/>
          <w:kern w:val="2"/>
          <w:sz w:val="24"/>
          <w:szCs w:val="24"/>
          <w:highlight w:val="none"/>
          <w:lang w:val="en-US" w:eastAsia="zh-CN" w:bidi="ar-SA"/>
        </w:rPr>
        <w:t>。</w:t>
      </w:r>
    </w:p>
    <w:p w14:paraId="193D8075">
      <w:pPr>
        <w:pStyle w:val="46"/>
        <w:spacing w:after="0" w:line="440" w:lineRule="exact"/>
        <w:ind w:left="0" w:leftChars="0" w:firstLine="476" w:firstLineChars="200"/>
        <w:rPr>
          <w:rFonts w:hint="default" w:ascii="Times New Roman" w:hAnsi="Times New Roman" w:eastAsia="宋体" w:cs="Times New Roman"/>
          <w:b/>
          <w:bCs/>
          <w:color w:val="auto"/>
          <w:w w:val="99"/>
          <w:kern w:val="2"/>
          <w:sz w:val="24"/>
          <w:szCs w:val="24"/>
          <w:highlight w:val="none"/>
          <w:lang w:val="en-US" w:eastAsia="zh-CN" w:bidi="ar-SA"/>
        </w:rPr>
      </w:pPr>
      <w:r>
        <w:rPr>
          <w:rFonts w:hint="default" w:ascii="Times New Roman" w:hAnsi="Times New Roman" w:eastAsia="宋体" w:cs="Times New Roman"/>
          <w:b/>
          <w:bCs/>
          <w:color w:val="auto"/>
          <w:w w:val="99"/>
          <w:kern w:val="2"/>
          <w:sz w:val="24"/>
          <w:szCs w:val="24"/>
          <w:highlight w:val="none"/>
          <w:lang w:val="en-US" w:eastAsia="zh-CN" w:bidi="ar-SA"/>
        </w:rPr>
        <w:t>表5.</w:t>
      </w:r>
      <w:r>
        <w:rPr>
          <w:rFonts w:hint="eastAsia" w:cs="Times New Roman"/>
          <w:b/>
          <w:bCs/>
          <w:color w:val="auto"/>
          <w:w w:val="99"/>
          <w:kern w:val="2"/>
          <w:sz w:val="24"/>
          <w:szCs w:val="24"/>
          <w:highlight w:val="none"/>
          <w:lang w:val="en-US" w:eastAsia="zh-CN" w:bidi="ar-SA"/>
        </w:rPr>
        <w:t>6</w:t>
      </w:r>
      <w:r>
        <w:rPr>
          <w:rFonts w:hint="default" w:ascii="Times New Roman" w:hAnsi="Times New Roman" w:eastAsia="宋体" w:cs="Times New Roman"/>
          <w:b/>
          <w:bCs/>
          <w:color w:val="auto"/>
          <w:w w:val="99"/>
          <w:kern w:val="2"/>
          <w:sz w:val="24"/>
          <w:szCs w:val="24"/>
          <w:highlight w:val="none"/>
          <w:lang w:val="en-US" w:eastAsia="zh-CN" w:bidi="ar-SA"/>
        </w:rPr>
        <w:t>-</w:t>
      </w:r>
      <w:r>
        <w:rPr>
          <w:rFonts w:hint="eastAsia" w:cs="Times New Roman"/>
          <w:b/>
          <w:bCs/>
          <w:color w:val="auto"/>
          <w:w w:val="99"/>
          <w:kern w:val="2"/>
          <w:sz w:val="24"/>
          <w:szCs w:val="24"/>
          <w:highlight w:val="none"/>
          <w:lang w:val="en-US" w:eastAsia="zh-CN" w:bidi="ar-SA"/>
        </w:rPr>
        <w:t>1</w:t>
      </w:r>
      <w:r>
        <w:rPr>
          <w:rFonts w:hint="default" w:ascii="Times New Roman" w:hAnsi="Times New Roman" w:eastAsia="宋体" w:cs="Times New Roman"/>
          <w:b/>
          <w:bCs/>
          <w:color w:val="auto"/>
          <w:w w:val="99"/>
          <w:kern w:val="2"/>
          <w:sz w:val="24"/>
          <w:szCs w:val="24"/>
          <w:highlight w:val="none"/>
          <w:lang w:val="en-US" w:eastAsia="zh-CN" w:bidi="ar-SA"/>
        </w:rPr>
        <w:t xml:space="preserve">  生态影响减缓及恢复措施表  </w:t>
      </w:r>
    </w:p>
    <w:tbl>
      <w:tblPr>
        <w:tblStyle w:val="1662"/>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55"/>
        <w:gridCol w:w="1074"/>
        <w:gridCol w:w="1646"/>
        <w:gridCol w:w="1631"/>
        <w:gridCol w:w="2044"/>
        <w:gridCol w:w="2337"/>
      </w:tblGrid>
      <w:tr w14:paraId="70B0EF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4" w:space="0"/>
              <w:tl2br w:val="nil"/>
              <w:tr2bl w:val="nil"/>
            </w:tcBorders>
            <w:vAlign w:val="center"/>
          </w:tcPr>
          <w:p w14:paraId="5659EF12">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序号</w:t>
            </w:r>
          </w:p>
        </w:tc>
        <w:tc>
          <w:tcPr>
            <w:tcW w:w="0" w:type="auto"/>
            <w:tcBorders>
              <w:top w:val="single" w:color="000000" w:sz="4" w:space="0"/>
              <w:tl2br w:val="nil"/>
              <w:tr2bl w:val="nil"/>
            </w:tcBorders>
            <w:vAlign w:val="center"/>
          </w:tcPr>
          <w:p w14:paraId="0F6EB8B5">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项目</w:t>
            </w:r>
          </w:p>
        </w:tc>
        <w:tc>
          <w:tcPr>
            <w:tcW w:w="1646" w:type="dxa"/>
            <w:tcBorders>
              <w:top w:val="single" w:color="000000" w:sz="4" w:space="0"/>
              <w:tl2br w:val="nil"/>
              <w:tr2bl w:val="nil"/>
            </w:tcBorders>
            <w:vAlign w:val="center"/>
          </w:tcPr>
          <w:p w14:paraId="323C5DF2">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占地类型</w:t>
            </w:r>
          </w:p>
        </w:tc>
        <w:tc>
          <w:tcPr>
            <w:tcW w:w="1631" w:type="dxa"/>
            <w:tcBorders>
              <w:top w:val="single" w:color="000000" w:sz="4" w:space="0"/>
              <w:tl2br w:val="nil"/>
              <w:tr2bl w:val="nil"/>
            </w:tcBorders>
            <w:vAlign w:val="center"/>
          </w:tcPr>
          <w:p w14:paraId="55807C63">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面积及措施</w:t>
            </w:r>
          </w:p>
        </w:tc>
        <w:tc>
          <w:tcPr>
            <w:tcW w:w="2044" w:type="dxa"/>
            <w:tcBorders>
              <w:top w:val="single" w:color="000000" w:sz="4" w:space="0"/>
              <w:tl2br w:val="nil"/>
              <w:tr2bl w:val="nil"/>
            </w:tcBorders>
            <w:vAlign w:val="center"/>
          </w:tcPr>
          <w:p w14:paraId="24EE2178">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补偿恢复类型</w:t>
            </w:r>
          </w:p>
        </w:tc>
        <w:tc>
          <w:tcPr>
            <w:tcW w:w="2337" w:type="dxa"/>
            <w:tcBorders>
              <w:top w:val="single" w:color="000000" w:sz="4" w:space="0"/>
              <w:right w:val="single" w:color="000000" w:sz="4" w:space="0"/>
              <w:tl2br w:val="nil"/>
              <w:tr2bl w:val="nil"/>
            </w:tcBorders>
            <w:vAlign w:val="center"/>
          </w:tcPr>
          <w:p w14:paraId="3317F2F3">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占地工程位置</w:t>
            </w:r>
          </w:p>
        </w:tc>
      </w:tr>
      <w:tr w14:paraId="56A430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555" w:type="dxa"/>
            <w:tcBorders>
              <w:left w:val="single" w:color="000000" w:sz="4" w:space="0"/>
              <w:tl2br w:val="nil"/>
              <w:tr2bl w:val="nil"/>
            </w:tcBorders>
            <w:vAlign w:val="center"/>
          </w:tcPr>
          <w:p w14:paraId="56D4F57E">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1</w:t>
            </w:r>
          </w:p>
        </w:tc>
        <w:tc>
          <w:tcPr>
            <w:tcW w:w="1074" w:type="dxa"/>
            <w:tcBorders>
              <w:tl2br w:val="nil"/>
              <w:tr2bl w:val="nil"/>
            </w:tcBorders>
            <w:vAlign w:val="center"/>
          </w:tcPr>
          <w:p w14:paraId="6E9B8E19">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永久占地补偿</w:t>
            </w:r>
          </w:p>
        </w:tc>
        <w:tc>
          <w:tcPr>
            <w:tcW w:w="1646" w:type="dxa"/>
            <w:tcBorders>
              <w:tl2br w:val="nil"/>
              <w:tr2bl w:val="nil"/>
            </w:tcBorders>
            <w:vAlign w:val="center"/>
          </w:tcPr>
          <w:p w14:paraId="567848D6">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耕地</w:t>
            </w:r>
          </w:p>
          <w:p w14:paraId="343E16FC">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（基本农田）</w:t>
            </w:r>
          </w:p>
        </w:tc>
        <w:tc>
          <w:tcPr>
            <w:tcW w:w="1631" w:type="dxa"/>
            <w:tcBorders>
              <w:tl2br w:val="nil"/>
              <w:tr2bl w:val="nil"/>
            </w:tcBorders>
            <w:vAlign w:val="center"/>
          </w:tcPr>
          <w:p w14:paraId="5C374D3E">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耕地补偿</w:t>
            </w:r>
            <w:r>
              <w:rPr>
                <w:rFonts w:hint="eastAsia" w:ascii="Times New Roman" w:hAnsi="Times New Roman" w:cs="Times New Roman" w:eastAsiaTheme="minorEastAsia"/>
                <w:color w:val="auto"/>
                <w:w w:val="99"/>
                <w:sz w:val="21"/>
                <w:szCs w:val="21"/>
                <w:highlight w:val="none"/>
                <w:lang w:val="en-US" w:eastAsia="zh-CN"/>
              </w:rPr>
              <w:t>0.0901</w:t>
            </w:r>
            <w:r>
              <w:rPr>
                <w:rFonts w:hint="default" w:ascii="Times New Roman" w:hAnsi="Times New Roman" w:cs="Times New Roman" w:eastAsiaTheme="minorEastAsia"/>
                <w:color w:val="auto"/>
                <w:w w:val="99"/>
                <w:sz w:val="21"/>
                <w:szCs w:val="21"/>
                <w:highlight w:val="none"/>
                <w:lang w:val="en-US" w:eastAsia="zh-CN"/>
              </w:rPr>
              <w:t>hm</w:t>
            </w:r>
            <w:r>
              <w:rPr>
                <w:rFonts w:hint="default" w:ascii="Times New Roman" w:hAnsi="Times New Roman" w:cs="Times New Roman" w:eastAsiaTheme="minorEastAsia"/>
                <w:color w:val="auto"/>
                <w:w w:val="99"/>
                <w:sz w:val="21"/>
                <w:szCs w:val="21"/>
                <w:highlight w:val="none"/>
                <w:vertAlign w:val="superscript"/>
                <w:lang w:val="en-US" w:eastAsia="zh-CN"/>
              </w:rPr>
              <w:t>2</w:t>
            </w:r>
          </w:p>
        </w:tc>
        <w:tc>
          <w:tcPr>
            <w:tcW w:w="2044" w:type="dxa"/>
            <w:tcBorders>
              <w:tl2br w:val="nil"/>
              <w:tr2bl w:val="nil"/>
            </w:tcBorders>
            <w:vAlign w:val="center"/>
          </w:tcPr>
          <w:p w14:paraId="3139645E">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占一补一；先补后占、占补平衡</w:t>
            </w:r>
          </w:p>
        </w:tc>
        <w:tc>
          <w:tcPr>
            <w:tcW w:w="2337" w:type="dxa"/>
            <w:tcBorders>
              <w:right w:val="single" w:color="000000" w:sz="4" w:space="0"/>
              <w:tl2br w:val="nil"/>
              <w:tr2bl w:val="nil"/>
            </w:tcBorders>
            <w:vAlign w:val="center"/>
          </w:tcPr>
          <w:p w14:paraId="760FBC12">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供电、道路工程施工</w:t>
            </w:r>
          </w:p>
        </w:tc>
      </w:tr>
      <w:tr w14:paraId="54E5C0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555" w:type="dxa"/>
            <w:tcBorders>
              <w:left w:val="single" w:color="000000" w:sz="4" w:space="0"/>
              <w:bottom w:val="single" w:color="000000" w:sz="4" w:space="0"/>
              <w:tl2br w:val="nil"/>
              <w:tr2bl w:val="nil"/>
            </w:tcBorders>
            <w:vAlign w:val="center"/>
          </w:tcPr>
          <w:p w14:paraId="642F8A06">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w:t>
            </w:r>
          </w:p>
        </w:tc>
        <w:tc>
          <w:tcPr>
            <w:tcW w:w="1074" w:type="dxa"/>
            <w:tcBorders>
              <w:bottom w:val="single" w:color="000000" w:sz="4" w:space="0"/>
              <w:tl2br w:val="nil"/>
              <w:tr2bl w:val="nil"/>
            </w:tcBorders>
            <w:vAlign w:val="center"/>
          </w:tcPr>
          <w:p w14:paraId="723F96DD">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临时占地恢复</w:t>
            </w:r>
          </w:p>
        </w:tc>
        <w:tc>
          <w:tcPr>
            <w:tcW w:w="1646" w:type="dxa"/>
            <w:tcBorders>
              <w:bottom w:val="single" w:color="000000" w:sz="4" w:space="0"/>
              <w:tl2br w:val="nil"/>
              <w:tr2bl w:val="nil"/>
            </w:tcBorders>
            <w:vAlign w:val="center"/>
          </w:tcPr>
          <w:p w14:paraId="281597AB">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耕地</w:t>
            </w:r>
          </w:p>
          <w:p w14:paraId="26A5837E">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（基本农田）</w:t>
            </w:r>
          </w:p>
        </w:tc>
        <w:tc>
          <w:tcPr>
            <w:tcW w:w="1631" w:type="dxa"/>
            <w:tcBorders>
              <w:bottom w:val="single" w:color="000000" w:sz="4" w:space="0"/>
              <w:tl2br w:val="nil"/>
              <w:tr2bl w:val="nil"/>
            </w:tcBorders>
            <w:vAlign w:val="center"/>
          </w:tcPr>
          <w:p w14:paraId="40F9B3F3">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1.9229</w:t>
            </w:r>
            <w:r>
              <w:rPr>
                <w:rFonts w:hint="default" w:ascii="Times New Roman" w:hAnsi="Times New Roman" w:cs="Times New Roman" w:eastAsiaTheme="minorEastAsia"/>
                <w:color w:val="auto"/>
                <w:w w:val="99"/>
                <w:sz w:val="21"/>
                <w:szCs w:val="21"/>
                <w:highlight w:val="none"/>
                <w:lang w:val="en-US" w:eastAsia="zh-CN"/>
              </w:rPr>
              <w:t>hm</w:t>
            </w:r>
            <w:r>
              <w:rPr>
                <w:rFonts w:hint="default" w:ascii="Times New Roman" w:hAnsi="Times New Roman" w:cs="Times New Roman" w:eastAsiaTheme="minorEastAsia"/>
                <w:color w:val="auto"/>
                <w:w w:val="99"/>
                <w:sz w:val="21"/>
                <w:szCs w:val="21"/>
                <w:highlight w:val="none"/>
                <w:vertAlign w:val="superscript"/>
                <w:lang w:val="en-US" w:eastAsia="zh-CN"/>
              </w:rPr>
              <w:t>2</w:t>
            </w:r>
          </w:p>
        </w:tc>
        <w:tc>
          <w:tcPr>
            <w:tcW w:w="2044" w:type="dxa"/>
            <w:tcBorders>
              <w:bottom w:val="single" w:color="000000" w:sz="4" w:space="0"/>
              <w:tl2br w:val="nil"/>
              <w:tr2bl w:val="nil"/>
            </w:tcBorders>
            <w:vAlign w:val="center"/>
          </w:tcPr>
          <w:p w14:paraId="7EFB127A">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恢复地表形态，及时复垦</w:t>
            </w:r>
          </w:p>
        </w:tc>
        <w:tc>
          <w:tcPr>
            <w:tcW w:w="2337" w:type="dxa"/>
            <w:tcBorders>
              <w:bottom w:val="single" w:color="000000" w:sz="4" w:space="0"/>
              <w:right w:val="single" w:color="000000" w:sz="4" w:space="0"/>
              <w:tl2br w:val="nil"/>
              <w:tr2bl w:val="nil"/>
            </w:tcBorders>
            <w:vAlign w:val="center"/>
          </w:tcPr>
          <w:p w14:paraId="69745ADB">
            <w:pPr>
              <w:widowControl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供电、道路工程施工</w:t>
            </w:r>
          </w:p>
        </w:tc>
      </w:tr>
    </w:tbl>
    <w:p w14:paraId="4F7546CC">
      <w:pPr>
        <w:pStyle w:val="153"/>
        <w:widowControl w:val="0"/>
        <w:ind w:firstLine="0" w:firstLineChars="0"/>
        <w:jc w:val="both"/>
        <w:outlineLvl w:val="3"/>
        <w:rPr>
          <w:rFonts w:ascii="Times New Roman" w:hAnsi="Times New Roman"/>
          <w:b/>
          <w:color w:val="auto"/>
          <w:w w:val="99"/>
          <w:highlight w:val="none"/>
        </w:rPr>
      </w:pPr>
      <w:r>
        <w:rPr>
          <w:rFonts w:hint="eastAsia" w:ascii="Times New Roman" w:hAnsi="Times New Roman"/>
          <w:b/>
          <w:color w:val="auto"/>
          <w:w w:val="99"/>
          <w:highlight w:val="none"/>
        </w:rPr>
        <w:t>5</w:t>
      </w:r>
      <w:r>
        <w:rPr>
          <w:rFonts w:ascii="Times New Roman" w:hAnsi="Times New Roman"/>
          <w:b/>
          <w:color w:val="auto"/>
          <w:w w:val="99"/>
          <w:highlight w:val="none"/>
        </w:rPr>
        <w:t>.6.1.3</w:t>
      </w:r>
      <w:r>
        <w:rPr>
          <w:rFonts w:hint="eastAsia" w:ascii="Times New Roman" w:hAnsi="Times New Roman"/>
          <w:b/>
          <w:color w:val="auto"/>
          <w:w w:val="99"/>
          <w:highlight w:val="none"/>
        </w:rPr>
        <w:t>对植被</w:t>
      </w:r>
      <w:r>
        <w:rPr>
          <w:rFonts w:ascii="Times New Roman" w:hAnsi="Times New Roman"/>
          <w:b/>
          <w:color w:val="auto"/>
          <w:w w:val="99"/>
          <w:highlight w:val="none"/>
        </w:rPr>
        <w:t>影响</w:t>
      </w:r>
      <w:r>
        <w:rPr>
          <w:rFonts w:hint="eastAsia" w:ascii="Times New Roman" w:hAnsi="Times New Roman"/>
          <w:b/>
          <w:color w:val="auto"/>
          <w:w w:val="99"/>
          <w:highlight w:val="none"/>
        </w:rPr>
        <w:t>分析</w:t>
      </w:r>
    </w:p>
    <w:p w14:paraId="6129EF27">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（1）施工活动对植被影响分析</w:t>
      </w:r>
    </w:p>
    <w:p w14:paraId="20C88C5A">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 xml:space="preserve">施工过程运输车辆产生的扬尘、施工过程洒落的石灰和水泥，会对周围植物的生长带来直接的影响。这些尘土降落到植物的叶面上，会堵塞毛孔，影响植物的光合作用，从而使之生长减缓甚至死去。石灰和水泥若被雨水冲刷渗入地下，会导致土壤板结，影响植物根系对水分和矿物质的吸收。另外，原材料的堆放、车辆漏油，会污染土壤，从而间接影响植物的生长。虽然随着施工的结束不再产生扬尘，情况会有所好转，但是这些影响并不会随施工的结束而得到解决，它们的影响将持续较长一段时间。因此施工过程中在湿地公园段禁止堆放原材料以及废弃料，对于运输车辆，必须规定固定的路线，将影响减小到最少范围。 </w:t>
      </w:r>
    </w:p>
    <w:p w14:paraId="48BD22B9">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施工完成之后可采取措施进行植被生态重建和恢复。根据现场调查显示，临时占地均为旱地，原则上按原用地类型进行恢复。</w:t>
      </w:r>
    </w:p>
    <w:p w14:paraId="049E427F">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w:t>
      </w:r>
      <w:r>
        <w:rPr>
          <w:rFonts w:hint="eastAsia" w:ascii="Times New Roman" w:hAnsi="Times New Roman" w:eastAsia="宋体"/>
          <w:color w:val="auto"/>
          <w:w w:val="99"/>
          <w:sz w:val="24"/>
          <w:szCs w:val="24"/>
          <w:highlight w:val="none"/>
          <w:lang w:val="en-US" w:eastAsia="zh-CN"/>
        </w:rPr>
        <w:t>2</w:t>
      </w:r>
      <w:r>
        <w:rPr>
          <w:rFonts w:ascii="Times New Roman" w:hAnsi="Times New Roman" w:eastAsia="宋体"/>
          <w:color w:val="auto"/>
          <w:w w:val="99"/>
          <w:sz w:val="24"/>
          <w:szCs w:val="24"/>
          <w:highlight w:val="none"/>
        </w:rPr>
        <w:t>）不同工程类型对植被影响分析</w:t>
      </w:r>
    </w:p>
    <w:p w14:paraId="4669AF2B">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①井场工程对植被影响分析</w:t>
      </w:r>
    </w:p>
    <w:p w14:paraId="5F71E4D4">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井场工程对植被的影响主要为钻前工程的土地平整、钻机安置、施工机械碾压、施工人员及车辆踩踏等施工活动对植被的破坏。土地平整将清除井场内全部植被，最直接的影响就是造成植物死亡，地表裸露，将造成评价区植被生物量和生产力下降。同时，施工尘土附着在植物叶片表面，影响植物的光合作用，尤其是会对植物幼苗生理特性产生影响。另外，施工人员踩踏和施工机械设备碾压也会对植被的生长产生不利影响。</w:t>
      </w:r>
    </w:p>
    <w:p w14:paraId="2F647B8C">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井场占地占评价区总面积的比例较小，对植被影响的特征是形成建设用地斑块，而对植物群落的演替基本没有影响。施工结束采取植物恢复措施后，生物量在2年～3年后可全部恢复。本项目占用植被类型主要为农田，其中农田以水稻、玉米为主，不占用国家级及黑龙江省级重点保护植物。施工结束后，临时占地植被可及时恢复，因此，井场工程对评价区植被的影响在可接受范围内。</w:t>
      </w:r>
    </w:p>
    <w:p w14:paraId="3CE47E3B">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②道路工程对植被影响分析</w:t>
      </w:r>
    </w:p>
    <w:p w14:paraId="24CB6524">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本项目道路建设新增永久占地面积</w:t>
      </w:r>
      <w:r>
        <w:rPr>
          <w:rFonts w:hint="eastAsia" w:ascii="Times New Roman" w:hAnsi="Times New Roman" w:eastAsia="宋体"/>
          <w:color w:val="auto"/>
          <w:w w:val="99"/>
          <w:sz w:val="24"/>
          <w:szCs w:val="24"/>
          <w:highlight w:val="none"/>
          <w:lang w:val="en-US" w:eastAsia="zh-CN"/>
        </w:rPr>
        <w:t>0.09</w:t>
      </w:r>
      <w:r>
        <w:rPr>
          <w:rFonts w:hint="default" w:ascii="Times New Roman" w:hAnsi="Times New Roman" w:eastAsia="宋体"/>
          <w:color w:val="auto"/>
          <w:w w:val="99"/>
          <w:sz w:val="24"/>
          <w:szCs w:val="24"/>
          <w:highlight w:val="none"/>
        </w:rPr>
        <w:t>h</w:t>
      </w:r>
      <w:r>
        <w:rPr>
          <w:rFonts w:ascii="Times New Roman" w:hAnsi="Times New Roman" w:eastAsia="宋体"/>
          <w:color w:val="auto"/>
          <w:w w:val="99"/>
          <w:sz w:val="24"/>
          <w:szCs w:val="24"/>
          <w:highlight w:val="none"/>
        </w:rPr>
        <w:t>m</w:t>
      </w:r>
      <w:r>
        <w:rPr>
          <w:rFonts w:ascii="Times New Roman" w:hAnsi="Times New Roman" w:eastAsia="宋体"/>
          <w:color w:val="auto"/>
          <w:w w:val="99"/>
          <w:sz w:val="24"/>
          <w:szCs w:val="24"/>
          <w:highlight w:val="none"/>
          <w:vertAlign w:val="superscript"/>
        </w:rPr>
        <w:t>2</w:t>
      </w:r>
      <w:r>
        <w:rPr>
          <w:rFonts w:ascii="Times New Roman" w:hAnsi="Times New Roman" w:eastAsia="宋体"/>
          <w:color w:val="auto"/>
          <w:w w:val="99"/>
          <w:sz w:val="24"/>
          <w:szCs w:val="24"/>
          <w:highlight w:val="none"/>
        </w:rPr>
        <w:t>。永久占地将会改变土地利用结构，造成生物量永久损失。由于永久占地面积较小，同时对道路边坡进行植被恢复，因此道路建设对植被造成的影响较小。</w:t>
      </w:r>
    </w:p>
    <w:p w14:paraId="29F3E966">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类比已开发区块内的</w:t>
      </w:r>
      <w:r>
        <w:rPr>
          <w:rFonts w:hint="eastAsia" w:ascii="Times New Roman" w:hAnsi="Times New Roman" w:eastAsia="宋体"/>
          <w:color w:val="auto"/>
          <w:w w:val="99"/>
          <w:sz w:val="24"/>
          <w:szCs w:val="24"/>
          <w:highlight w:val="none"/>
          <w:lang w:eastAsia="zh-CN"/>
        </w:rPr>
        <w:t>采气井</w:t>
      </w:r>
      <w:r>
        <w:rPr>
          <w:rFonts w:ascii="Times New Roman" w:hAnsi="Times New Roman" w:eastAsia="宋体"/>
          <w:color w:val="auto"/>
          <w:w w:val="99"/>
          <w:sz w:val="24"/>
          <w:szCs w:val="24"/>
          <w:highlight w:val="none"/>
        </w:rPr>
        <w:t>井场周围植被恢复情况，井场周围的植被情况与未进行井场建设的区域无明显区别。因此，项目对区域的植被影响很小。</w:t>
      </w:r>
    </w:p>
    <w:p w14:paraId="0D4DC74C">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在不同的地形或土壤条件下，本项目井场建设的大部分临时占地植被自然恢复速度及效果有所不同。经过多年恢复，已经很难看出井场施工的痕迹，井场周围已恢复原有植被，因此，项目施工对区域植被影响在可接受范围内。</w:t>
      </w:r>
    </w:p>
    <w:p w14:paraId="5F22418C">
      <w:pPr>
        <w:pStyle w:val="153"/>
        <w:widowControl w:val="0"/>
        <w:ind w:firstLine="0" w:firstLineChars="0"/>
        <w:jc w:val="both"/>
        <w:outlineLvl w:val="3"/>
        <w:rPr>
          <w:rFonts w:ascii="Times New Roman" w:hAnsi="Times New Roman"/>
          <w:b/>
          <w:color w:val="auto"/>
          <w:w w:val="99"/>
          <w:highlight w:val="none"/>
        </w:rPr>
      </w:pPr>
      <w:r>
        <w:rPr>
          <w:rFonts w:hint="eastAsia" w:ascii="Times New Roman" w:hAnsi="Times New Roman"/>
          <w:b/>
          <w:color w:val="auto"/>
          <w:w w:val="99"/>
          <w:highlight w:val="none"/>
        </w:rPr>
        <w:t>5</w:t>
      </w:r>
      <w:r>
        <w:rPr>
          <w:rFonts w:ascii="Times New Roman" w:hAnsi="Times New Roman"/>
          <w:b/>
          <w:color w:val="auto"/>
          <w:w w:val="99"/>
          <w:highlight w:val="none"/>
        </w:rPr>
        <w:t>.6.1.4</w:t>
      </w:r>
      <w:r>
        <w:rPr>
          <w:rFonts w:hint="eastAsia" w:ascii="Times New Roman" w:hAnsi="Times New Roman"/>
          <w:b/>
          <w:color w:val="auto"/>
          <w:w w:val="99"/>
          <w:highlight w:val="none"/>
        </w:rPr>
        <w:t>对农田生态系统</w:t>
      </w:r>
      <w:r>
        <w:rPr>
          <w:rFonts w:ascii="Times New Roman" w:hAnsi="Times New Roman"/>
          <w:b/>
          <w:color w:val="auto"/>
          <w:w w:val="99"/>
          <w:highlight w:val="none"/>
        </w:rPr>
        <w:t>影响</w:t>
      </w:r>
      <w:r>
        <w:rPr>
          <w:rFonts w:hint="eastAsia" w:ascii="Times New Roman" w:hAnsi="Times New Roman"/>
          <w:b/>
          <w:color w:val="auto"/>
          <w:w w:val="99"/>
          <w:highlight w:val="none"/>
        </w:rPr>
        <w:t>分析</w:t>
      </w:r>
    </w:p>
    <w:p w14:paraId="3048A69C">
      <w:pPr>
        <w:pStyle w:val="104"/>
        <w:spacing w:line="440" w:lineRule="exact"/>
        <w:ind w:left="0" w:firstLine="474" w:firstLineChars="200"/>
        <w:jc w:val="both"/>
        <w:rPr>
          <w:rFonts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油</w:t>
      </w:r>
      <w:r>
        <w:rPr>
          <w:rFonts w:hint="eastAsia" w:ascii="Times New Roman" w:hAnsi="Times New Roman" w:eastAsia="宋体"/>
          <w:color w:val="auto"/>
          <w:w w:val="99"/>
          <w:sz w:val="24"/>
          <w:szCs w:val="24"/>
          <w:highlight w:val="none"/>
          <w:lang w:eastAsia="zh-CN"/>
        </w:rPr>
        <w:t>气田</w:t>
      </w:r>
      <w:r>
        <w:rPr>
          <w:rFonts w:ascii="Times New Roman" w:hAnsi="Times New Roman" w:eastAsia="宋体"/>
          <w:color w:val="auto"/>
          <w:w w:val="99"/>
          <w:sz w:val="24"/>
          <w:szCs w:val="24"/>
          <w:highlight w:val="none"/>
        </w:rPr>
        <w:t>开发工程占地完全避开永久基本农田的可能性较低，在不可避免的条件下需占用永久基本农田时，根据《基本农田保护条例》（2011修正），国家能源、交通、水利、军事设施等重点建设项目选址确实无法避开永久基本农田保护区，需要占用永久基本农田，涉及农用地转用或者征收土地的，应报请相关主管部门同意，并补充划入数量和质量相当的永久基本农田或按规定缴纳耕地开垦费，专款用于开垦新的耕地。油</w:t>
      </w:r>
      <w:r>
        <w:rPr>
          <w:rFonts w:hint="eastAsia" w:ascii="Times New Roman" w:hAnsi="Times New Roman" w:eastAsia="宋体"/>
          <w:color w:val="auto"/>
          <w:w w:val="99"/>
          <w:sz w:val="24"/>
          <w:szCs w:val="24"/>
          <w:highlight w:val="none"/>
          <w:lang w:val="en-US" w:eastAsia="zh-CN"/>
        </w:rPr>
        <w:t>气</w:t>
      </w:r>
      <w:r>
        <w:rPr>
          <w:rFonts w:ascii="Times New Roman" w:hAnsi="Times New Roman" w:eastAsia="宋体"/>
          <w:color w:val="auto"/>
          <w:w w:val="99"/>
          <w:sz w:val="24"/>
          <w:szCs w:val="24"/>
          <w:highlight w:val="none"/>
        </w:rPr>
        <w:t>田开发工程占地完全避开永久基本农田的可能性较低，在不可避免的条件下需占用永久基本农田时，施工完毕后1年内，临时占地全部恢复原有植被类型，即占用农田全部恢复为耕地。临时占地恢复也可在征地过程中给予农民一定的费用补偿，由农民自行进行土地恢复。永久占用基本农田面积共</w:t>
      </w:r>
      <w:r>
        <w:rPr>
          <w:rFonts w:hint="eastAsia" w:ascii="Times New Roman" w:hAnsi="Times New Roman" w:eastAsia="宋体"/>
          <w:color w:val="auto"/>
          <w:w w:val="99"/>
          <w:sz w:val="24"/>
          <w:szCs w:val="24"/>
          <w:highlight w:val="none"/>
          <w:lang w:val="en-US" w:eastAsia="zh-CN"/>
        </w:rPr>
        <w:t>2.013</w:t>
      </w:r>
      <w:r>
        <w:rPr>
          <w:rFonts w:ascii="Times New Roman" w:hAnsi="Times New Roman" w:eastAsia="宋体"/>
          <w:color w:val="auto"/>
          <w:w w:val="99"/>
          <w:sz w:val="24"/>
          <w:szCs w:val="24"/>
          <w:highlight w:val="none"/>
        </w:rPr>
        <w:t>hm</w:t>
      </w:r>
      <w:r>
        <w:rPr>
          <w:rFonts w:ascii="Times New Roman" w:hAnsi="Times New Roman" w:eastAsia="宋体"/>
          <w:color w:val="auto"/>
          <w:w w:val="99"/>
          <w:sz w:val="24"/>
          <w:szCs w:val="24"/>
          <w:highlight w:val="none"/>
          <w:vertAlign w:val="superscript"/>
        </w:rPr>
        <w:t>2</w:t>
      </w:r>
      <w:r>
        <w:rPr>
          <w:rFonts w:ascii="Times New Roman" w:hAnsi="Times New Roman" w:eastAsia="宋体"/>
          <w:color w:val="auto"/>
          <w:w w:val="99"/>
          <w:sz w:val="24"/>
          <w:szCs w:val="24"/>
          <w:highlight w:val="none"/>
        </w:rPr>
        <w:t>，补偿可按永久基本农田标准给予农民。对于占用的永久基本农田应按照《中华人民共和国土地管理法》中“占多少、垦多少”的原则，补充数量和质量相当的永久基本农田。</w:t>
      </w:r>
    </w:p>
    <w:p w14:paraId="65AF5295">
      <w:pPr>
        <w:pStyle w:val="104"/>
        <w:spacing w:line="440" w:lineRule="exact"/>
        <w:ind w:left="0" w:firstLine="474" w:firstLineChars="200"/>
        <w:jc w:val="both"/>
        <w:rPr>
          <w:rFonts w:hint="eastAsia"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本项目对农业生产的直接影响主要体现为占用耕地而造成粮食减产，对于临时占地造成的农作物减产，除应对其进行经济补偿外，工程开工前，应先编制表土</w:t>
      </w:r>
      <w:r>
        <w:rPr>
          <w:rFonts w:hint="eastAsia" w:ascii="Times New Roman" w:hAnsi="Times New Roman" w:eastAsia="宋体"/>
          <w:color w:val="auto"/>
          <w:w w:val="99"/>
          <w:sz w:val="24"/>
          <w:szCs w:val="24"/>
          <w:highlight w:val="none"/>
        </w:rPr>
        <w:t>剥离</w:t>
      </w:r>
      <w:r>
        <w:rPr>
          <w:rFonts w:ascii="Times New Roman" w:hAnsi="Times New Roman" w:eastAsia="宋体"/>
          <w:color w:val="auto"/>
          <w:w w:val="99"/>
          <w:sz w:val="24"/>
          <w:szCs w:val="24"/>
          <w:highlight w:val="none"/>
        </w:rPr>
        <w:t>方案，剥离占地范围内表层土，管线范围表层土堆置于管线</w:t>
      </w:r>
      <w:r>
        <w:rPr>
          <w:rFonts w:hint="eastAsia" w:ascii="Times New Roman" w:hAnsi="Times New Roman" w:eastAsia="宋体"/>
          <w:color w:val="auto"/>
          <w:w w:val="99"/>
          <w:sz w:val="24"/>
          <w:szCs w:val="24"/>
          <w:highlight w:val="none"/>
        </w:rPr>
        <w:t>一</w:t>
      </w:r>
      <w:r>
        <w:rPr>
          <w:rFonts w:ascii="Times New Roman" w:hAnsi="Times New Roman" w:eastAsia="宋体"/>
          <w:color w:val="auto"/>
          <w:w w:val="99"/>
          <w:sz w:val="24"/>
          <w:szCs w:val="24"/>
          <w:highlight w:val="none"/>
        </w:rPr>
        <w:t>侧临时占地内，并对堆放场做好</w:t>
      </w:r>
      <w:r>
        <w:rPr>
          <w:rFonts w:hint="eastAsia" w:ascii="Times New Roman" w:hAnsi="Times New Roman" w:eastAsia="宋体"/>
          <w:color w:val="auto"/>
          <w:w w:val="99"/>
          <w:sz w:val="24"/>
          <w:szCs w:val="24"/>
          <w:highlight w:val="none"/>
        </w:rPr>
        <w:t>水土保持</w:t>
      </w:r>
      <w:r>
        <w:rPr>
          <w:rFonts w:ascii="Times New Roman" w:hAnsi="Times New Roman" w:eastAsia="宋体"/>
          <w:color w:val="auto"/>
          <w:w w:val="99"/>
          <w:sz w:val="24"/>
          <w:szCs w:val="24"/>
          <w:highlight w:val="none"/>
        </w:rPr>
        <w:t>措施，待施工结束后，回填占地范围，并采用表土复耕，增肥作业，恢复临时占用耕地的生产力，本项目的建设对当地土地利用格局影响在可接受范围内。</w:t>
      </w:r>
    </w:p>
    <w:p w14:paraId="60CFD882">
      <w:pPr>
        <w:pStyle w:val="153"/>
        <w:widowControl w:val="0"/>
        <w:ind w:firstLine="0" w:firstLineChars="0"/>
        <w:jc w:val="both"/>
        <w:outlineLvl w:val="3"/>
        <w:rPr>
          <w:rFonts w:ascii="Times New Roman" w:hAnsi="Times New Roman"/>
          <w:b/>
          <w:color w:val="auto"/>
          <w:w w:val="99"/>
          <w:highlight w:val="none"/>
        </w:rPr>
      </w:pPr>
      <w:r>
        <w:rPr>
          <w:rFonts w:hint="eastAsia" w:ascii="Times New Roman" w:hAnsi="Times New Roman"/>
          <w:b/>
          <w:color w:val="auto"/>
          <w:w w:val="99"/>
          <w:highlight w:val="none"/>
        </w:rPr>
        <w:t>5</w:t>
      </w:r>
      <w:r>
        <w:rPr>
          <w:rFonts w:ascii="Times New Roman" w:hAnsi="Times New Roman"/>
          <w:b/>
          <w:color w:val="auto"/>
          <w:w w:val="99"/>
          <w:highlight w:val="none"/>
        </w:rPr>
        <w:t>.6.1.</w:t>
      </w:r>
      <w:r>
        <w:rPr>
          <w:rFonts w:hint="eastAsia" w:ascii="Times New Roman" w:hAnsi="Times New Roman"/>
          <w:b/>
          <w:color w:val="auto"/>
          <w:w w:val="99"/>
          <w:highlight w:val="none"/>
          <w:lang w:val="en-US" w:eastAsia="zh-CN"/>
        </w:rPr>
        <w:t>5</w:t>
      </w:r>
      <w:r>
        <w:rPr>
          <w:rFonts w:hint="eastAsia" w:ascii="Times New Roman" w:hAnsi="Times New Roman"/>
          <w:b/>
          <w:color w:val="auto"/>
          <w:w w:val="99"/>
          <w:highlight w:val="none"/>
        </w:rPr>
        <w:t>对土壤</w:t>
      </w:r>
      <w:r>
        <w:rPr>
          <w:rFonts w:ascii="Times New Roman" w:hAnsi="Times New Roman"/>
          <w:b/>
          <w:color w:val="auto"/>
          <w:w w:val="99"/>
          <w:highlight w:val="none"/>
        </w:rPr>
        <w:t>影响</w:t>
      </w:r>
      <w:r>
        <w:rPr>
          <w:rFonts w:hint="eastAsia" w:ascii="Times New Roman" w:hAnsi="Times New Roman"/>
          <w:b/>
          <w:color w:val="auto"/>
          <w:w w:val="99"/>
          <w:highlight w:val="none"/>
        </w:rPr>
        <w:t>分析</w:t>
      </w:r>
    </w:p>
    <w:p w14:paraId="20B1E126">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（1）土壤理化性质影响</w:t>
      </w:r>
    </w:p>
    <w:p w14:paraId="63173430">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施工过程中，土石方开挖、堆放、回填及材料堆放、人工踩踏、机械设备碾压等活动将对土壤理化性质产生影响，如扰乱土壤表层、破坏土壤结构，这种扰乱和破坏，除了开挖处受到直接的破坏外，挖出土方的堆放将直接占压开挖处附近的土地，破坏土壤表层及其结构。由于表层的团粒结构是经过较长的历史时期形成的，一旦遭到破坏，短期内难以恢复，在生境恶劣的环境下尤其困难。因此，在整个施工过程中，该工程对土壤表层的影响较严重。</w:t>
      </w:r>
    </w:p>
    <w:p w14:paraId="0C39F6EC">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工程土方的开挖与回填，使原土壤层次混合，原土体构型破坏。土体构型被破坏，将明显的改变土体中物质和能量的转移和传递规律，使表层通气透水性变差，亚表层保水、保肥性能降低，从而造成对植物的生长、发育及其产量影响。同时由于管线埋入，挖出的土方回填后需要保护地面与原地面高度一致，必须用机械碾压夯实，这些都将直接影响土壤的结构和孔隙状况，导致土壤结构体特别是良性结构体的破坏和土壤透气孔隙的减少。另外由于作业采用大型机械，加上施工中不规范作业，一般将弃土和表土相混合，造成土壤质量下降。</w:t>
      </w:r>
    </w:p>
    <w:p w14:paraId="26C27B47">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（2）土壤污染影响</w:t>
      </w:r>
    </w:p>
    <w:p w14:paraId="0E000779">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施工过程中将产生生活垃圾、焊渣等固体废物，这些固体废物可能含有难以生物降解的物质，如不妥善管理，回填入土，将影响土壤质量。因此，施工时必须对固体废物进行严格管理，统一回收和专门处理，不得随意抛撒。因此，项目产生的施工废物对土壤环境质量影响较小。</w:t>
      </w:r>
    </w:p>
    <w:p w14:paraId="322B54AC">
      <w:pPr>
        <w:pStyle w:val="153"/>
        <w:widowControl w:val="0"/>
        <w:ind w:firstLine="0" w:firstLineChars="0"/>
        <w:jc w:val="both"/>
        <w:outlineLvl w:val="3"/>
        <w:rPr>
          <w:rFonts w:ascii="Times New Roman" w:hAnsi="Times New Roman"/>
          <w:b/>
          <w:color w:val="auto"/>
          <w:w w:val="99"/>
          <w:highlight w:val="none"/>
        </w:rPr>
      </w:pPr>
      <w:r>
        <w:rPr>
          <w:rFonts w:hint="eastAsia" w:ascii="Times New Roman" w:hAnsi="Times New Roman"/>
          <w:b/>
          <w:color w:val="auto"/>
          <w:w w:val="99"/>
          <w:highlight w:val="none"/>
        </w:rPr>
        <w:t>5</w:t>
      </w:r>
      <w:r>
        <w:rPr>
          <w:rFonts w:ascii="Times New Roman" w:hAnsi="Times New Roman"/>
          <w:b/>
          <w:color w:val="auto"/>
          <w:w w:val="99"/>
          <w:highlight w:val="none"/>
        </w:rPr>
        <w:t>.6.1.</w:t>
      </w:r>
      <w:r>
        <w:rPr>
          <w:rFonts w:hint="eastAsia" w:ascii="Times New Roman" w:hAnsi="Times New Roman"/>
          <w:b/>
          <w:color w:val="auto"/>
          <w:w w:val="99"/>
          <w:highlight w:val="none"/>
          <w:lang w:val="en-US" w:eastAsia="zh-CN"/>
        </w:rPr>
        <w:t>6</w:t>
      </w:r>
      <w:r>
        <w:rPr>
          <w:rFonts w:hint="eastAsia" w:ascii="Times New Roman" w:hAnsi="Times New Roman"/>
          <w:b/>
          <w:color w:val="auto"/>
          <w:w w:val="99"/>
          <w:highlight w:val="none"/>
        </w:rPr>
        <w:t>对水土流失</w:t>
      </w:r>
      <w:r>
        <w:rPr>
          <w:rFonts w:ascii="Times New Roman" w:hAnsi="Times New Roman"/>
          <w:b/>
          <w:color w:val="auto"/>
          <w:w w:val="99"/>
          <w:highlight w:val="none"/>
        </w:rPr>
        <w:t>影响</w:t>
      </w:r>
      <w:r>
        <w:rPr>
          <w:rFonts w:hint="eastAsia" w:ascii="Times New Roman" w:hAnsi="Times New Roman"/>
          <w:b/>
          <w:color w:val="auto"/>
          <w:w w:val="99"/>
          <w:highlight w:val="none"/>
        </w:rPr>
        <w:t>分析</w:t>
      </w:r>
    </w:p>
    <w:p w14:paraId="3D73A19C">
      <w:pPr>
        <w:pStyle w:val="2"/>
        <w:keepNext w:val="0"/>
        <w:keepLines w:val="0"/>
        <w:pageBreakBefore w:val="0"/>
        <w:kinsoku w:val="0"/>
        <w:wordWrap/>
        <w:topLinePunct w:val="0"/>
        <w:autoSpaceDE w:val="0"/>
        <w:autoSpaceDN w:val="0"/>
        <w:bidi w:val="0"/>
        <w:adjustRightInd w:val="0"/>
        <w:snapToGrid w:val="0"/>
        <w:spacing w:line="500" w:lineRule="exact"/>
        <w:ind w:left="0" w:right="0" w:firstLine="474"/>
        <w:textAlignment w:val="baseline"/>
        <w:rPr>
          <w:rFonts w:ascii="Times New Roman" w:hAnsi="Times New Roman" w:cs="Times New Roman" w:eastAsiaTheme="minorEastAsia"/>
          <w:bCs/>
          <w:color w:val="auto"/>
          <w:w w:val="99"/>
          <w:kern w:val="0"/>
          <w:sz w:val="24"/>
          <w:szCs w:val="24"/>
          <w:highlight w:val="none"/>
          <w:lang w:val="en-US" w:eastAsia="zh-CN" w:bidi="ar-SA"/>
        </w:rPr>
      </w:pPr>
      <w:r>
        <w:rPr>
          <w:rFonts w:ascii="Times New Roman" w:hAnsi="Times New Roman" w:cs="Times New Roman" w:eastAsiaTheme="minorEastAsia"/>
          <w:bCs/>
          <w:color w:val="auto"/>
          <w:w w:val="99"/>
          <w:kern w:val="0"/>
          <w:sz w:val="24"/>
          <w:szCs w:val="24"/>
          <w:highlight w:val="none"/>
          <w:lang w:val="en-US" w:eastAsia="zh-CN" w:bidi="ar-SA"/>
        </w:rPr>
        <w:t>本项目位于黑龙江省</w:t>
      </w:r>
      <w:r>
        <w:rPr>
          <w:rFonts w:hint="eastAsia" w:ascii="Times New Roman" w:hAnsi="Times New Roman" w:cs="Times New Roman" w:eastAsiaTheme="minorEastAsia"/>
          <w:bCs/>
          <w:color w:val="auto"/>
          <w:w w:val="99"/>
          <w:kern w:val="0"/>
          <w:sz w:val="24"/>
          <w:szCs w:val="24"/>
          <w:highlight w:val="none"/>
          <w:lang w:val="en-US" w:eastAsia="zh-CN" w:bidi="ar-SA"/>
        </w:rPr>
        <w:t>绥化</w:t>
      </w:r>
      <w:r>
        <w:rPr>
          <w:rFonts w:ascii="Times New Roman" w:hAnsi="Times New Roman" w:cs="Times New Roman" w:eastAsiaTheme="minorEastAsia"/>
          <w:bCs/>
          <w:color w:val="auto"/>
          <w:w w:val="99"/>
          <w:kern w:val="0"/>
          <w:sz w:val="24"/>
          <w:szCs w:val="24"/>
          <w:highlight w:val="none"/>
          <w:lang w:val="en-US" w:eastAsia="zh-CN" w:bidi="ar-SA"/>
        </w:rPr>
        <w:t>市</w:t>
      </w:r>
      <w:r>
        <w:rPr>
          <w:rFonts w:hint="eastAsia" w:ascii="Times New Roman" w:hAnsi="Times New Roman" w:cs="Times New Roman" w:eastAsiaTheme="minorEastAsia"/>
          <w:bCs/>
          <w:color w:val="auto"/>
          <w:w w:val="99"/>
          <w:kern w:val="0"/>
          <w:sz w:val="24"/>
          <w:szCs w:val="24"/>
          <w:highlight w:val="none"/>
          <w:lang w:val="en-US" w:eastAsia="zh-CN" w:bidi="ar-SA"/>
        </w:rPr>
        <w:t>肇东市</w:t>
      </w:r>
      <w:r>
        <w:rPr>
          <w:rFonts w:ascii="Times New Roman" w:hAnsi="Times New Roman" w:cs="Times New Roman" w:eastAsiaTheme="minorEastAsia"/>
          <w:bCs/>
          <w:color w:val="auto"/>
          <w:w w:val="99"/>
          <w:kern w:val="0"/>
          <w:sz w:val="24"/>
          <w:szCs w:val="24"/>
          <w:highlight w:val="none"/>
          <w:lang w:val="en-US" w:eastAsia="zh-CN" w:bidi="ar-SA"/>
        </w:rPr>
        <w:t>境内，根据《</w:t>
      </w:r>
      <w:r>
        <w:rPr>
          <w:rFonts w:hint="eastAsia" w:ascii="Times New Roman" w:hAnsi="Times New Roman" w:cs="Times New Roman" w:eastAsiaTheme="minorEastAsia"/>
          <w:bCs/>
          <w:color w:val="auto"/>
          <w:w w:val="99"/>
          <w:kern w:val="0"/>
          <w:sz w:val="24"/>
          <w:szCs w:val="24"/>
          <w:highlight w:val="none"/>
          <w:lang w:val="en-US" w:eastAsia="zh-CN" w:bidi="ar-SA"/>
        </w:rPr>
        <w:t>绥化</w:t>
      </w:r>
      <w:r>
        <w:rPr>
          <w:rFonts w:ascii="Times New Roman" w:hAnsi="Times New Roman" w:cs="Times New Roman" w:eastAsiaTheme="minorEastAsia"/>
          <w:bCs/>
          <w:color w:val="auto"/>
          <w:w w:val="99"/>
          <w:kern w:val="0"/>
          <w:sz w:val="24"/>
          <w:szCs w:val="24"/>
          <w:highlight w:val="none"/>
          <w:lang w:val="en-US" w:eastAsia="zh-CN" w:bidi="ar-SA"/>
        </w:rPr>
        <w:t>市水土保持规划》（201</w:t>
      </w:r>
      <w:r>
        <w:rPr>
          <w:rFonts w:hint="eastAsia" w:ascii="Times New Roman" w:hAnsi="Times New Roman" w:cs="Times New Roman" w:eastAsiaTheme="minorEastAsia"/>
          <w:bCs/>
          <w:color w:val="auto"/>
          <w:w w:val="99"/>
          <w:kern w:val="0"/>
          <w:sz w:val="24"/>
          <w:szCs w:val="24"/>
          <w:highlight w:val="none"/>
          <w:lang w:val="en-US" w:eastAsia="zh-CN" w:bidi="ar-SA"/>
        </w:rPr>
        <w:t>9</w:t>
      </w:r>
      <w:r>
        <w:rPr>
          <w:rFonts w:ascii="Times New Roman" w:hAnsi="Times New Roman" w:cs="Times New Roman" w:eastAsiaTheme="minorEastAsia"/>
          <w:bCs/>
          <w:color w:val="auto"/>
          <w:w w:val="99"/>
          <w:kern w:val="0"/>
          <w:sz w:val="24"/>
          <w:szCs w:val="24"/>
          <w:highlight w:val="none"/>
          <w:lang w:val="en-US" w:eastAsia="zh-CN" w:bidi="ar-SA"/>
        </w:rPr>
        <w:t>~2030）》，工程所在地为水土流失非重点防治区。</w:t>
      </w:r>
    </w:p>
    <w:p w14:paraId="50D96B33">
      <w:pPr>
        <w:keepNext w:val="0"/>
        <w:keepLines w:val="0"/>
        <w:pageBreakBefore w:val="0"/>
        <w:kinsoku w:val="0"/>
        <w:wordWrap/>
        <w:topLinePunct w:val="0"/>
        <w:autoSpaceDE w:val="0"/>
        <w:autoSpaceDN w:val="0"/>
        <w:bidi w:val="0"/>
        <w:adjustRightInd w:val="0"/>
        <w:snapToGrid w:val="0"/>
        <w:spacing w:line="500" w:lineRule="exact"/>
        <w:ind w:left="0" w:right="0" w:firstLine="484"/>
        <w:textAlignment w:val="baseline"/>
        <w:rPr>
          <w:rFonts w:ascii="Times New Roman" w:hAnsi="Times New Roman" w:cs="Times New Roman" w:eastAsiaTheme="minorEastAsia"/>
          <w:bCs/>
          <w:color w:val="auto"/>
          <w:w w:val="99"/>
          <w:sz w:val="24"/>
          <w:szCs w:val="24"/>
          <w:highlight w:val="none"/>
          <w:lang w:val="en-US" w:eastAsia="zh-CN" w:bidi="ar-SA"/>
        </w:rPr>
      </w:pPr>
      <w:r>
        <w:rPr>
          <w:rFonts w:ascii="Times New Roman" w:hAnsi="Times New Roman" w:cs="Times New Roman" w:eastAsiaTheme="minorEastAsia"/>
          <w:bCs/>
          <w:color w:val="auto"/>
          <w:w w:val="99"/>
          <w:sz w:val="24"/>
          <w:szCs w:val="24"/>
          <w:highlight w:val="none"/>
          <w:lang w:val="en-US" w:eastAsia="zh-CN" w:bidi="ar-SA"/>
        </w:rPr>
        <w:t>该区域的工作重点是：工矿区治理措施以植被恢复为主，采用种草、种树绿化方法，治理油田开采造成的地表植被破坏。种草技术措施应进行草地改良，补播牧草种子，疏松土壤，改善植被生存条件，给牧草提供更新复壮的机会。营造农田防护林、改良草地。对耕地以营造农田防护林，推广旱作农业技术、节水灌溉技术；对牧草地以营造草原防护林、草地改良和种草为主；对荒地和难利用地，选择抗盐碱和耐盐碱的树、草种，提高林草覆盖率。</w:t>
      </w:r>
    </w:p>
    <w:p w14:paraId="57CDDB9B">
      <w:pPr>
        <w:keepNext w:val="0"/>
        <w:keepLines w:val="0"/>
        <w:pageBreakBefore w:val="0"/>
        <w:kinsoku w:val="0"/>
        <w:wordWrap/>
        <w:topLinePunct w:val="0"/>
        <w:autoSpaceDE w:val="0"/>
        <w:autoSpaceDN w:val="0"/>
        <w:bidi w:val="0"/>
        <w:adjustRightInd w:val="0"/>
        <w:snapToGrid w:val="0"/>
        <w:spacing w:line="500" w:lineRule="exact"/>
        <w:ind w:left="0" w:right="0" w:firstLine="508"/>
        <w:textAlignment w:val="baseline"/>
        <w:rPr>
          <w:rFonts w:ascii="Times New Roman" w:hAnsi="Times New Roman" w:cs="Times New Roman" w:eastAsiaTheme="minorEastAsia"/>
          <w:bCs/>
          <w:color w:val="auto"/>
          <w:w w:val="99"/>
          <w:sz w:val="24"/>
          <w:szCs w:val="24"/>
          <w:highlight w:val="none"/>
          <w:lang w:val="en-US" w:eastAsia="zh-CN" w:bidi="ar-SA"/>
        </w:rPr>
      </w:pPr>
      <w:r>
        <w:rPr>
          <w:rFonts w:ascii="Times New Roman" w:hAnsi="Times New Roman" w:cs="Times New Roman" w:eastAsiaTheme="minorEastAsia"/>
          <w:bCs/>
          <w:color w:val="auto"/>
          <w:w w:val="99"/>
          <w:sz w:val="24"/>
          <w:szCs w:val="24"/>
          <w:highlight w:val="none"/>
          <w:lang w:val="en-US" w:eastAsia="zh-CN" w:bidi="ar-SA"/>
        </w:rPr>
        <w:t>由于本项目井场</w:t>
      </w:r>
      <w:r>
        <w:rPr>
          <w:rFonts w:hint="eastAsia" w:ascii="Times New Roman" w:hAnsi="Times New Roman" w:cs="Times New Roman" w:eastAsiaTheme="minorEastAsia"/>
          <w:bCs/>
          <w:color w:val="auto"/>
          <w:w w:val="99"/>
          <w:sz w:val="24"/>
          <w:szCs w:val="24"/>
          <w:highlight w:val="none"/>
          <w:lang w:val="en-US" w:eastAsia="zh-CN" w:bidi="ar-SA"/>
        </w:rPr>
        <w:t>、管道、道路等</w:t>
      </w:r>
      <w:r>
        <w:rPr>
          <w:rFonts w:ascii="Times New Roman" w:hAnsi="Times New Roman" w:cs="Times New Roman" w:eastAsiaTheme="minorEastAsia"/>
          <w:bCs/>
          <w:color w:val="auto"/>
          <w:w w:val="99"/>
          <w:sz w:val="24"/>
          <w:szCs w:val="24"/>
          <w:highlight w:val="none"/>
          <w:lang w:val="en-US" w:eastAsia="zh-CN" w:bidi="ar-SA"/>
        </w:rPr>
        <w:t>施工时车辆对土壤的碾压，人员对土壤的践踏，将改变原地表地貌状况，扰动原地貌，改变原地貌的状况和性质。工程施工破坏植被，新地貌失去植物根系的固土作用，雨水直接冲刷疏松、裸露的地表土，易造成水土流失；施工过程中，开挖回填后产生的弃渣松散堆积，结构疏松，胶结力差，抗侵蚀能力极低，遇暴雨产生径流，加大水土流失，在大风的作用下会成为局部风沙的源地，促进沙尘天气的形成，造成项目区风蚀沙化加剧，导致项目区土壤侵蚀强度增加，局部生态系统遭到破坏，对生态环境造成不良影响。</w:t>
      </w:r>
    </w:p>
    <w:p w14:paraId="7FB7B360">
      <w:pPr>
        <w:keepNext w:val="0"/>
        <w:keepLines w:val="0"/>
        <w:pageBreakBefore w:val="0"/>
        <w:kinsoku w:val="0"/>
        <w:wordWrap/>
        <w:topLinePunct w:val="0"/>
        <w:autoSpaceDE w:val="0"/>
        <w:autoSpaceDN w:val="0"/>
        <w:bidi w:val="0"/>
        <w:adjustRightInd w:val="0"/>
        <w:snapToGrid w:val="0"/>
        <w:spacing w:line="500" w:lineRule="exact"/>
        <w:ind w:left="0" w:right="0" w:firstLine="474" w:firstLineChars="200"/>
        <w:textAlignment w:val="baseline"/>
        <w:rPr>
          <w:rFonts w:ascii="Times New Roman" w:hAnsi="Times New Roman" w:cs="Times New Roman" w:eastAsiaTheme="minorEastAsia"/>
          <w:bCs/>
          <w:color w:val="auto"/>
          <w:w w:val="99"/>
          <w:sz w:val="24"/>
          <w:szCs w:val="24"/>
          <w:highlight w:val="none"/>
          <w:lang w:val="en-US" w:eastAsia="zh-CN" w:bidi="ar-SA"/>
        </w:rPr>
      </w:pPr>
      <w:r>
        <w:rPr>
          <w:rFonts w:ascii="Times New Roman" w:hAnsi="Times New Roman" w:cs="Times New Roman" w:eastAsiaTheme="minorEastAsia"/>
          <w:bCs/>
          <w:color w:val="auto"/>
          <w:w w:val="99"/>
          <w:sz w:val="24"/>
          <w:szCs w:val="24"/>
          <w:highlight w:val="none"/>
          <w:lang w:val="en-US" w:eastAsia="zh-CN" w:bidi="ar-SA"/>
        </w:rPr>
        <w:t>综上，工程建设对周边水土保持带来一些不利影响，建设单位应及早落实水土保持各项措施，减轻因工程建设造成的水土流失危害。</w:t>
      </w:r>
    </w:p>
    <w:p w14:paraId="7571D869">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在采取以上措施后，可最大程度减少水土流失。</w:t>
      </w:r>
    </w:p>
    <w:p w14:paraId="0DE880C8">
      <w:pPr>
        <w:pStyle w:val="153"/>
        <w:widowControl w:val="0"/>
        <w:ind w:firstLine="0" w:firstLineChars="0"/>
        <w:jc w:val="both"/>
        <w:outlineLvl w:val="3"/>
        <w:rPr>
          <w:rFonts w:ascii="Times New Roman" w:hAnsi="Times New Roman"/>
          <w:b/>
          <w:color w:val="auto"/>
          <w:w w:val="99"/>
          <w:highlight w:val="none"/>
        </w:rPr>
      </w:pPr>
      <w:r>
        <w:rPr>
          <w:rFonts w:hint="eastAsia" w:ascii="Times New Roman" w:hAnsi="Times New Roman"/>
          <w:b/>
          <w:color w:val="auto"/>
          <w:w w:val="99"/>
          <w:highlight w:val="none"/>
        </w:rPr>
        <w:t>5</w:t>
      </w:r>
      <w:r>
        <w:rPr>
          <w:rFonts w:ascii="Times New Roman" w:hAnsi="Times New Roman"/>
          <w:b/>
          <w:color w:val="auto"/>
          <w:w w:val="99"/>
          <w:highlight w:val="none"/>
        </w:rPr>
        <w:t>.6.1.</w:t>
      </w:r>
      <w:r>
        <w:rPr>
          <w:rFonts w:hint="eastAsia" w:ascii="Times New Roman" w:hAnsi="Times New Roman"/>
          <w:b/>
          <w:color w:val="auto"/>
          <w:w w:val="99"/>
          <w:highlight w:val="none"/>
          <w:lang w:val="en-US" w:eastAsia="zh-CN"/>
        </w:rPr>
        <w:t>7</w:t>
      </w:r>
      <w:r>
        <w:rPr>
          <w:rFonts w:ascii="Times New Roman" w:hAnsi="Times New Roman"/>
          <w:b/>
          <w:color w:val="auto"/>
          <w:w w:val="99"/>
          <w:highlight w:val="none"/>
        </w:rPr>
        <w:t>对黑土地的环境影响分析</w:t>
      </w:r>
    </w:p>
    <w:p w14:paraId="2D501052">
      <w:pPr>
        <w:widowControl w:val="0"/>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 xml:space="preserve">根据地下储层特性，项目部分井场及场站、管道、道路等工程选址无法避让耕地（黑土地）。本项目新增总占地面积为 </w:t>
      </w:r>
      <w:r>
        <w:rPr>
          <w:rFonts w:hint="eastAsia" w:ascii="Times New Roman" w:hAnsi="Times New Roman" w:cs="Times New Roman"/>
          <w:color w:val="auto"/>
          <w:w w:val="99"/>
          <w:highlight w:val="none"/>
          <w:lang w:eastAsia="zh-CN"/>
        </w:rPr>
        <w:t>2.013</w:t>
      </w:r>
      <w:r>
        <w:rPr>
          <w:rFonts w:ascii="Times New Roman" w:hAnsi="Times New Roman" w:cs="Times New Roman"/>
          <w:color w:val="auto"/>
          <w:w w:val="99"/>
          <w:highlight w:val="none"/>
        </w:rPr>
        <w:t>hm</w:t>
      </w:r>
      <w:r>
        <w:rPr>
          <w:rFonts w:ascii="Times New Roman" w:hAnsi="Times New Roman" w:cs="Times New Roman"/>
          <w:color w:val="auto"/>
          <w:w w:val="99"/>
          <w:highlight w:val="none"/>
          <w:vertAlign w:val="superscript"/>
        </w:rPr>
        <w:t>2</w:t>
      </w:r>
      <w:r>
        <w:rPr>
          <w:rFonts w:ascii="Times New Roman" w:hAnsi="Times New Roman" w:cs="Times New Roman"/>
          <w:color w:val="auto"/>
          <w:w w:val="99"/>
          <w:highlight w:val="none"/>
        </w:rPr>
        <w:t xml:space="preserve">，其中永久占地 </w:t>
      </w:r>
      <w:r>
        <w:rPr>
          <w:rFonts w:hint="eastAsia" w:ascii="Times New Roman" w:hAnsi="Times New Roman" w:cs="Times New Roman"/>
          <w:color w:val="auto"/>
          <w:w w:val="99"/>
          <w:highlight w:val="none"/>
          <w:lang w:eastAsia="zh-CN"/>
        </w:rPr>
        <w:t>0.0901</w:t>
      </w:r>
      <w:r>
        <w:rPr>
          <w:rFonts w:ascii="Times New Roman" w:hAnsi="Times New Roman" w:cs="Times New Roman"/>
          <w:color w:val="auto"/>
          <w:w w:val="99"/>
          <w:highlight w:val="none"/>
        </w:rPr>
        <w:t>hm</w:t>
      </w:r>
      <w:r>
        <w:rPr>
          <w:rFonts w:ascii="Times New Roman" w:hAnsi="Times New Roman" w:cs="Times New Roman"/>
          <w:color w:val="auto"/>
          <w:w w:val="99"/>
          <w:highlight w:val="none"/>
          <w:vertAlign w:val="superscript"/>
        </w:rPr>
        <w:t>2</w:t>
      </w:r>
      <w:r>
        <w:rPr>
          <w:rFonts w:ascii="Times New Roman" w:hAnsi="Times New Roman" w:cs="Times New Roman"/>
          <w:color w:val="auto"/>
          <w:w w:val="99"/>
          <w:highlight w:val="none"/>
        </w:rPr>
        <w:t xml:space="preserve">，临时占地 </w:t>
      </w:r>
      <w:r>
        <w:rPr>
          <w:rFonts w:hint="eastAsia" w:ascii="Times New Roman" w:hAnsi="Times New Roman" w:cs="Times New Roman"/>
          <w:color w:val="auto"/>
          <w:w w:val="99"/>
          <w:highlight w:val="none"/>
          <w:lang w:eastAsia="zh-CN"/>
        </w:rPr>
        <w:t>1.9229</w:t>
      </w:r>
      <w:r>
        <w:rPr>
          <w:rFonts w:ascii="Times New Roman" w:hAnsi="Times New Roman" w:cs="Times New Roman"/>
          <w:color w:val="auto"/>
          <w:w w:val="99"/>
          <w:highlight w:val="none"/>
        </w:rPr>
        <w:t>hm</w:t>
      </w:r>
      <w:r>
        <w:rPr>
          <w:rFonts w:ascii="Times New Roman" w:hAnsi="Times New Roman" w:cs="Times New Roman"/>
          <w:color w:val="auto"/>
          <w:w w:val="99"/>
          <w:highlight w:val="none"/>
          <w:vertAlign w:val="superscript"/>
        </w:rPr>
        <w:t>2</w:t>
      </w:r>
      <w:r>
        <w:rPr>
          <w:rFonts w:ascii="Times New Roman" w:hAnsi="Times New Roman" w:cs="Times New Roman"/>
          <w:color w:val="auto"/>
          <w:w w:val="99"/>
          <w:highlight w:val="none"/>
        </w:rPr>
        <w:t>。本工程实施前编制建设项目占用耕地耕作层土壤剥离利用方案，统筹安排剥离、储存和再利用。表土剥离和利用严格执行《建设占用耕地耕作层土壤剥离利用技术规范》（DB23/T2913-2021）。</w:t>
      </w:r>
    </w:p>
    <w:p w14:paraId="738EE371">
      <w:pPr>
        <w:widowControl w:val="0"/>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本项目</w:t>
      </w:r>
      <w:r>
        <w:rPr>
          <w:rFonts w:hint="eastAsia" w:ascii="Times New Roman" w:hAnsi="Times New Roman" w:cs="Times New Roman"/>
          <w:color w:val="auto"/>
          <w:w w:val="99"/>
          <w:highlight w:val="none"/>
          <w:lang w:val="en-US" w:eastAsia="zh-CN"/>
        </w:rPr>
        <w:t>柱上变</w:t>
      </w:r>
      <w:r>
        <w:rPr>
          <w:rFonts w:ascii="Times New Roman" w:hAnsi="Times New Roman" w:cs="Times New Roman"/>
          <w:color w:val="auto"/>
          <w:w w:val="99"/>
          <w:highlight w:val="none"/>
        </w:rPr>
        <w:t>、道路工程</w:t>
      </w:r>
      <w:r>
        <w:rPr>
          <w:rFonts w:hint="eastAsia" w:ascii="Times New Roman" w:hAnsi="Times New Roman" w:cs="Times New Roman"/>
          <w:color w:val="auto"/>
          <w:w w:val="99"/>
          <w:highlight w:val="none"/>
          <w:lang w:eastAsia="zh-CN"/>
        </w:rPr>
        <w:t>、</w:t>
      </w:r>
      <w:r>
        <w:rPr>
          <w:rFonts w:hint="eastAsia" w:ascii="Times New Roman" w:hAnsi="Times New Roman" w:cs="Times New Roman"/>
          <w:color w:val="auto"/>
          <w:w w:val="99"/>
          <w:highlight w:val="none"/>
          <w:lang w:val="en-US" w:eastAsia="zh-CN"/>
        </w:rPr>
        <w:t>管线工程等施工前进行表土剥离</w:t>
      </w:r>
      <w:r>
        <w:rPr>
          <w:rFonts w:ascii="Times New Roman" w:hAnsi="Times New Roman" w:cs="Times New Roman"/>
          <w:color w:val="auto"/>
          <w:w w:val="99"/>
          <w:highlight w:val="none"/>
        </w:rPr>
        <w:t>，</w:t>
      </w:r>
      <w:r>
        <w:rPr>
          <w:rFonts w:hint="eastAsia" w:ascii="Times New Roman" w:hAnsi="Times New Roman" w:cs="Times New Roman"/>
          <w:color w:val="auto"/>
          <w:w w:val="99"/>
          <w:highlight w:val="none"/>
        </w:rPr>
        <w:t>剥离厚度</w:t>
      </w:r>
      <w:r>
        <w:rPr>
          <w:rFonts w:ascii="Times New Roman" w:hAnsi="Times New Roman" w:cs="Times New Roman"/>
          <w:color w:val="auto"/>
          <w:w w:val="99"/>
          <w:highlight w:val="none"/>
        </w:rPr>
        <w:t>0.3m，施工结束后，剥离的表土用于周围区域土地复垦、土壤治理等用途。</w:t>
      </w:r>
    </w:p>
    <w:p w14:paraId="4D3F8440">
      <w:pPr>
        <w:widowControl w:val="0"/>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管道施工采取机械、人工分层开挖方式，管线施工作业带除去管线一侧设置的置土带外，管沟及设备区在施工前剥离表土，剥离的表土放在置土带外侧，管沟挖方土放置在置土带内侧，置土带采取先设置编织袋压护，在采用单行十字形压护，底土层另外堆放，管道施工结束后，采用分层回填压实，按生、熟土顺序填放，保护耕作层，复原时先填心、底土，后平覆表土，回填后管沟上方留有自然沉降余量，管沟回填多余的土严禁大量集中弃置，应均匀分散在管道中心两侧，并使管沟与周围地表形成平滑过度，不得形成汇水环境，以便尽快恢复植被，防止水土流失。</w:t>
      </w:r>
    </w:p>
    <w:p w14:paraId="0B97DEA6">
      <w:pPr>
        <w:pStyle w:val="7"/>
        <w:keepNext w:val="0"/>
        <w:keepLines w:val="0"/>
        <w:widowControl w:val="0"/>
        <w:spacing w:before="60" w:after="60"/>
        <w:jc w:val="both"/>
        <w:rPr>
          <w:rFonts w:eastAsia="宋体"/>
          <w:b/>
          <w:color w:val="auto"/>
          <w:w w:val="99"/>
          <w:kern w:val="2"/>
          <w:sz w:val="24"/>
          <w:szCs w:val="24"/>
          <w:highlight w:val="none"/>
        </w:rPr>
      </w:pPr>
      <w:r>
        <w:rPr>
          <w:rFonts w:hint="eastAsia" w:eastAsia="宋体"/>
          <w:b/>
          <w:color w:val="auto"/>
          <w:w w:val="99"/>
          <w:kern w:val="2"/>
          <w:sz w:val="24"/>
          <w:szCs w:val="24"/>
          <w:highlight w:val="none"/>
        </w:rPr>
        <w:t>5</w:t>
      </w:r>
      <w:r>
        <w:rPr>
          <w:rFonts w:eastAsia="宋体"/>
          <w:b/>
          <w:color w:val="auto"/>
          <w:w w:val="99"/>
          <w:kern w:val="2"/>
          <w:sz w:val="24"/>
          <w:szCs w:val="24"/>
          <w:highlight w:val="none"/>
        </w:rPr>
        <w:t>.6.2</w:t>
      </w:r>
      <w:r>
        <w:rPr>
          <w:rFonts w:hint="eastAsia" w:eastAsia="宋体"/>
          <w:b/>
          <w:color w:val="auto"/>
          <w:w w:val="99"/>
          <w:kern w:val="2"/>
          <w:sz w:val="24"/>
          <w:szCs w:val="24"/>
          <w:highlight w:val="none"/>
        </w:rPr>
        <w:t>运营期生态</w:t>
      </w:r>
      <w:r>
        <w:rPr>
          <w:rFonts w:eastAsia="宋体"/>
          <w:b/>
          <w:color w:val="auto"/>
          <w:w w:val="99"/>
          <w:kern w:val="2"/>
          <w:sz w:val="24"/>
          <w:szCs w:val="24"/>
          <w:highlight w:val="none"/>
        </w:rPr>
        <w:t>环境影响</w:t>
      </w:r>
      <w:r>
        <w:rPr>
          <w:rFonts w:hint="eastAsia" w:eastAsia="宋体"/>
          <w:b/>
          <w:color w:val="auto"/>
          <w:w w:val="99"/>
          <w:kern w:val="2"/>
          <w:sz w:val="24"/>
          <w:szCs w:val="24"/>
          <w:highlight w:val="none"/>
        </w:rPr>
        <w:t>分析</w:t>
      </w:r>
    </w:p>
    <w:p w14:paraId="5C452FBD">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5.6.2.1</w:t>
      </w:r>
      <w:r>
        <w:rPr>
          <w:rFonts w:hint="eastAsia" w:ascii="Times New Roman" w:hAnsi="Times New Roman"/>
          <w:b/>
          <w:color w:val="auto"/>
          <w:w w:val="99"/>
          <w:highlight w:val="none"/>
        </w:rPr>
        <w:t>对</w:t>
      </w:r>
      <w:r>
        <w:rPr>
          <w:rFonts w:hint="eastAsia" w:ascii="Times New Roman" w:hAnsi="Times New Roman"/>
          <w:b/>
          <w:color w:val="auto"/>
          <w:w w:val="99"/>
          <w:highlight w:val="none"/>
          <w:lang w:val="en-US" w:eastAsia="zh-CN"/>
        </w:rPr>
        <w:t>农业生产</w:t>
      </w:r>
      <w:r>
        <w:rPr>
          <w:rFonts w:hint="eastAsia" w:ascii="Times New Roman" w:hAnsi="Times New Roman"/>
          <w:b/>
          <w:color w:val="auto"/>
          <w:w w:val="99"/>
          <w:highlight w:val="none"/>
        </w:rPr>
        <w:t>影响分析</w:t>
      </w:r>
    </w:p>
    <w:p w14:paraId="35DFBA85">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对于</w:t>
      </w:r>
      <w:r>
        <w:rPr>
          <w:rFonts w:hint="eastAsia" w:ascii="Times New Roman" w:hAnsi="Times New Roman" w:cs="Times New Roman"/>
          <w:color w:val="auto"/>
          <w:w w:val="99"/>
          <w:highlight w:val="none"/>
          <w:lang w:val="en-US" w:eastAsia="zh-CN"/>
        </w:rPr>
        <w:t>柱上变</w:t>
      </w:r>
      <w:r>
        <w:rPr>
          <w:rFonts w:hint="eastAsia" w:ascii="Times New Roman" w:hAnsi="Times New Roman" w:cs="Times New Roman"/>
          <w:color w:val="auto"/>
          <w:w w:val="99"/>
          <w:highlight w:val="none"/>
        </w:rPr>
        <w:t>和通井路等永久占地，由于改变了原有土地和利用性质，这些土地上的农作物生产力将永久损失。</w:t>
      </w:r>
    </w:p>
    <w:p w14:paraId="2F34258F">
      <w:pPr>
        <w:widowControl w:val="0"/>
        <w:spacing w:line="440" w:lineRule="exact"/>
        <w:ind w:firstLine="474" w:firstLineChars="200"/>
        <w:jc w:val="both"/>
        <w:rPr>
          <w:rFonts w:ascii="Times New Roman" w:hAnsi="Times New Roman" w:cs="Times New Roman"/>
          <w:color w:val="auto"/>
          <w:w w:val="99"/>
          <w:highlight w:val="none"/>
        </w:rPr>
      </w:pPr>
      <w:r>
        <w:rPr>
          <w:rFonts w:hint="eastAsia" w:ascii="Times New Roman" w:hAnsi="Times New Roman" w:cs="Times New Roman"/>
          <w:color w:val="auto"/>
          <w:w w:val="99"/>
          <w:highlight w:val="none"/>
        </w:rPr>
        <w:t>工程建设的管道正常运营期内，对农业生产基本上不产生什么影响。同时本工程占用的耕地主要种植玉米，属于须根植物，产生的影响较小。对于永久性占地，由于改变了原来的土地使用功能，对农业生产会造成一定的影响。</w:t>
      </w:r>
    </w:p>
    <w:p w14:paraId="659677F3">
      <w:pPr>
        <w:pStyle w:val="153"/>
        <w:widowControl w:val="0"/>
        <w:ind w:firstLine="0" w:firstLineChars="0"/>
        <w:jc w:val="both"/>
        <w:outlineLvl w:val="3"/>
        <w:rPr>
          <w:rFonts w:ascii="Times New Roman" w:hAnsi="Times New Roman"/>
          <w:b/>
          <w:color w:val="auto"/>
          <w:w w:val="99"/>
          <w:highlight w:val="none"/>
        </w:rPr>
      </w:pPr>
      <w:r>
        <w:rPr>
          <w:rFonts w:hint="eastAsia" w:ascii="Times New Roman" w:hAnsi="Times New Roman"/>
          <w:b/>
          <w:color w:val="auto"/>
          <w:w w:val="99"/>
          <w:highlight w:val="none"/>
        </w:rPr>
        <w:t>5</w:t>
      </w:r>
      <w:r>
        <w:rPr>
          <w:rFonts w:ascii="Times New Roman" w:hAnsi="Times New Roman"/>
          <w:b/>
          <w:color w:val="auto"/>
          <w:w w:val="99"/>
          <w:highlight w:val="none"/>
        </w:rPr>
        <w:t>.6.2.</w:t>
      </w:r>
      <w:r>
        <w:rPr>
          <w:rFonts w:hint="eastAsia" w:ascii="Times New Roman" w:hAnsi="Times New Roman"/>
          <w:b/>
          <w:color w:val="auto"/>
          <w:w w:val="99"/>
          <w:highlight w:val="none"/>
          <w:lang w:val="en-US" w:eastAsia="zh-CN"/>
        </w:rPr>
        <w:t>2</w:t>
      </w:r>
      <w:r>
        <w:rPr>
          <w:rFonts w:hint="eastAsia" w:ascii="Times New Roman" w:hAnsi="Times New Roman"/>
          <w:b/>
          <w:color w:val="auto"/>
          <w:w w:val="99"/>
          <w:highlight w:val="none"/>
        </w:rPr>
        <w:t>对植被</w:t>
      </w:r>
      <w:r>
        <w:rPr>
          <w:rFonts w:ascii="Times New Roman" w:hAnsi="Times New Roman"/>
          <w:b/>
          <w:color w:val="auto"/>
          <w:w w:val="99"/>
          <w:highlight w:val="none"/>
        </w:rPr>
        <w:t>影响</w:t>
      </w:r>
      <w:r>
        <w:rPr>
          <w:rFonts w:hint="eastAsia" w:ascii="Times New Roman" w:hAnsi="Times New Roman"/>
          <w:b/>
          <w:color w:val="auto"/>
          <w:w w:val="99"/>
          <w:highlight w:val="none"/>
        </w:rPr>
        <w:t>分析</w:t>
      </w:r>
    </w:p>
    <w:p w14:paraId="349DEC66">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按照生态学理论</w:t>
      </w:r>
      <w:r>
        <w:rPr>
          <w:rFonts w:hint="eastAsia" w:ascii="Times New Roman" w:hAnsi="Times New Roman" w:cs="Times New Roman"/>
          <w:color w:val="auto"/>
          <w:w w:val="99"/>
          <w:highlight w:val="none"/>
          <w:lang w:eastAsia="zh-CN"/>
        </w:rPr>
        <w:t>，</w:t>
      </w:r>
      <w:r>
        <w:rPr>
          <w:rFonts w:hint="eastAsia" w:ascii="Times New Roman" w:hAnsi="Times New Roman" w:cs="Times New Roman"/>
          <w:color w:val="auto"/>
          <w:w w:val="99"/>
          <w:highlight w:val="none"/>
        </w:rPr>
        <w:t>管道沿线的植被破坏具有暂时性，一般随着施工结束而终止。根据管线所经地区的土壤、气候等自然条件分析，施工结束后，周围植物渐次侵入，开始恢复演替过程。要恢复植被覆盖，采用人工植树种草的措施，可以加快恢复进程，2～3 年恢复草本植被，3～5 年恢复灌木植被，10~ 15 年恢复乔木植被。</w:t>
      </w:r>
    </w:p>
    <w:p w14:paraId="58848901">
      <w:pPr>
        <w:widowControl w:val="0"/>
        <w:spacing w:line="440" w:lineRule="exact"/>
        <w:ind w:firstLine="474" w:firstLineChars="200"/>
        <w:jc w:val="both"/>
        <w:rPr>
          <w:rFonts w:ascii="Times New Roman" w:hAnsi="Times New Roman" w:cs="Times New Roman"/>
          <w:color w:val="auto"/>
          <w:w w:val="99"/>
          <w:highlight w:val="none"/>
        </w:rPr>
      </w:pPr>
      <w:r>
        <w:rPr>
          <w:rFonts w:hint="eastAsia" w:ascii="Times New Roman" w:hAnsi="Times New Roman" w:cs="Times New Roman"/>
          <w:color w:val="auto"/>
          <w:w w:val="99"/>
          <w:highlight w:val="none"/>
        </w:rPr>
        <w:t>需要指出的是，恢复的含义并非完全恢复原施工前的植被种类组成和相对数量比例，而只是恢复至种类组成近似，物种多样性指数值近似的状态，但仍有所降低。</w:t>
      </w:r>
    </w:p>
    <w:p w14:paraId="20787F17">
      <w:pPr>
        <w:pStyle w:val="153"/>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（1）正常运行状况下对植被影响</w:t>
      </w:r>
    </w:p>
    <w:p w14:paraId="2CA91490">
      <w:pPr>
        <w:pStyle w:val="153"/>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运营期正常情况下，管道所经地区处于正常状态，地表植被、农作物生长逐渐恢复正常。</w:t>
      </w:r>
    </w:p>
    <w:p w14:paraId="5E4BACE4">
      <w:pPr>
        <w:pStyle w:val="153"/>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根据已建成管道来看，在地下敷设管道的区域，地表植被恢复较好，景观破坏程度很低。这证明了管道输送对生态环境影响最轻，影响范围最小，是一种清洁的运输方式。因此可以认为，正常管道输送过程中，管道对地表植被无不良影响。</w:t>
      </w:r>
    </w:p>
    <w:p w14:paraId="0D915862">
      <w:pPr>
        <w:pStyle w:val="153"/>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（2）非正常（事故）状况下对植被的影响</w:t>
      </w:r>
    </w:p>
    <w:p w14:paraId="251A1561">
      <w:pPr>
        <w:pStyle w:val="153"/>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事故是指因工程质量低劣、管理方面的疏漏、 自然因素（地震、洪水冲刷）及人为破坏等原因造成集气站内污水罐、集输管道的破损、断裂，致使大量天然气、气田采出水的泄漏，造成火灾等。事故发生的可能性是存在的，但只要做好预防工作，事故发生的概率可以下降，造成的危害损失可以减少。</w:t>
      </w:r>
    </w:p>
    <w:p w14:paraId="6947731D">
      <w:pPr>
        <w:pStyle w:val="153"/>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eastAsia" w:ascii="Times New Roman" w:hAnsi="Times New Roman" w:eastAsia="宋体" w:cs="Times New Roman"/>
          <w:color w:val="auto"/>
          <w:w w:val="99"/>
          <w:sz w:val="24"/>
          <w:szCs w:val="24"/>
          <w:highlight w:val="none"/>
          <w:lang w:val="en-US" w:eastAsia="zh-CN" w:bidi="ar-SA"/>
        </w:rPr>
      </w:pPr>
      <w:r>
        <w:rPr>
          <w:rFonts w:hint="eastAsia" w:ascii="Times New Roman" w:hAnsi="Times New Roman" w:eastAsia="宋体" w:cs="Times New Roman"/>
          <w:color w:val="auto"/>
          <w:w w:val="99"/>
          <w:sz w:val="24"/>
          <w:szCs w:val="24"/>
          <w:highlight w:val="none"/>
          <w:lang w:val="en-US" w:eastAsia="zh-CN" w:bidi="ar-SA"/>
        </w:rPr>
        <w:t>由于天然气的主要成分是甲烷。甲烷是无色、无味的可燃性气体，比重小于空气。如果发生泄漏，绝大部分很快会扩散掉，在无明火的情况下，不会发生火灾，不会对生态环境造成危害。如有火源，可引起燃烧爆炸事件，可能会引发火灾，导致植被大面积的破坏，从而对生态环境产生重大影响。</w:t>
      </w:r>
    </w:p>
    <w:p w14:paraId="6F88E27F">
      <w:pPr>
        <w:pStyle w:val="153"/>
        <w:widowControl w:val="0"/>
        <w:ind w:firstLine="0" w:firstLineChars="0"/>
        <w:jc w:val="both"/>
        <w:outlineLvl w:val="3"/>
        <w:rPr>
          <w:rFonts w:ascii="Times New Roman" w:hAnsi="Times New Roman"/>
          <w:b/>
          <w:color w:val="auto"/>
          <w:w w:val="99"/>
          <w:highlight w:val="none"/>
        </w:rPr>
      </w:pPr>
      <w:r>
        <w:rPr>
          <w:rFonts w:hint="eastAsia" w:ascii="Times New Roman" w:hAnsi="Times New Roman"/>
          <w:b/>
          <w:color w:val="auto"/>
          <w:w w:val="99"/>
          <w:highlight w:val="none"/>
        </w:rPr>
        <w:t>5</w:t>
      </w:r>
      <w:r>
        <w:rPr>
          <w:rFonts w:ascii="Times New Roman" w:hAnsi="Times New Roman"/>
          <w:b/>
          <w:color w:val="auto"/>
          <w:w w:val="99"/>
          <w:highlight w:val="none"/>
        </w:rPr>
        <w:t>.6.2.</w:t>
      </w:r>
      <w:r>
        <w:rPr>
          <w:rFonts w:hint="eastAsia" w:ascii="Times New Roman" w:hAnsi="Times New Roman"/>
          <w:b/>
          <w:color w:val="auto"/>
          <w:w w:val="99"/>
          <w:highlight w:val="none"/>
          <w:lang w:val="en-US" w:eastAsia="zh-CN"/>
        </w:rPr>
        <w:t>3</w:t>
      </w:r>
      <w:r>
        <w:rPr>
          <w:rFonts w:hint="eastAsia" w:ascii="Times New Roman" w:hAnsi="Times New Roman"/>
          <w:b/>
          <w:color w:val="auto"/>
          <w:w w:val="99"/>
          <w:highlight w:val="none"/>
        </w:rPr>
        <w:t>对动物</w:t>
      </w:r>
      <w:r>
        <w:rPr>
          <w:rFonts w:ascii="Times New Roman" w:hAnsi="Times New Roman"/>
          <w:b/>
          <w:color w:val="auto"/>
          <w:w w:val="99"/>
          <w:highlight w:val="none"/>
        </w:rPr>
        <w:t>影响</w:t>
      </w:r>
      <w:r>
        <w:rPr>
          <w:rFonts w:hint="eastAsia" w:ascii="Times New Roman" w:hAnsi="Times New Roman"/>
          <w:b/>
          <w:color w:val="auto"/>
          <w:w w:val="99"/>
          <w:highlight w:val="none"/>
        </w:rPr>
        <w:t>分析</w:t>
      </w:r>
    </w:p>
    <w:p w14:paraId="23AD4908">
      <w:pPr>
        <w:widowControl w:val="0"/>
        <w:spacing w:line="440" w:lineRule="exact"/>
        <w:ind w:firstLine="474" w:firstLineChars="200"/>
        <w:jc w:val="both"/>
        <w:rPr>
          <w:rFonts w:hint="eastAsia" w:ascii="Times New Roman" w:hAnsi="Times New Roman" w:cs="Times New Roman"/>
          <w:color w:val="auto"/>
          <w:w w:val="99"/>
          <w:highlight w:val="none"/>
        </w:rPr>
      </w:pPr>
      <w:r>
        <w:rPr>
          <w:rFonts w:hint="eastAsia" w:ascii="Times New Roman" w:hAnsi="Times New Roman" w:cs="Times New Roman"/>
          <w:color w:val="auto"/>
          <w:w w:val="99"/>
          <w:highlight w:val="none"/>
        </w:rPr>
        <w:t>与施工期相比，运营期间对野生动植物的影响较小。虽然管道沿线近侧不能再种植深根植物，但根据现状调查，受工程影响的陆生植被均属一般常见种，其生长范围广，适应性强，不存在因局部植被生境破坏而导致植物种群消失或灭绝，同时工程管线大部分占地为基本农田，工程运营期对玉米种植影响较小。管道工程完工后，随着植被的恢复、施工影响的消失，动物的生存环境得以复原，不存在因局部植被生境破坏而导致植物种群消失或灭绝，部分暂时离开的动物将回到原来的栖息地。因此，管道正常运营期不会对野生动物的活动产生影响。</w:t>
      </w:r>
    </w:p>
    <w:p w14:paraId="54857F82">
      <w:pPr>
        <w:widowControl w:val="0"/>
        <w:spacing w:line="440" w:lineRule="exact"/>
        <w:ind w:firstLine="474" w:firstLineChars="200"/>
        <w:jc w:val="both"/>
        <w:rPr>
          <w:rFonts w:ascii="Times New Roman" w:hAnsi="Times New Roman" w:cs="Times New Roman"/>
          <w:color w:val="auto"/>
          <w:w w:val="99"/>
          <w:highlight w:val="none"/>
        </w:rPr>
      </w:pPr>
      <w:r>
        <w:rPr>
          <w:rFonts w:hint="eastAsia" w:ascii="Times New Roman" w:hAnsi="Times New Roman" w:cs="Times New Roman"/>
          <w:color w:val="auto"/>
          <w:w w:val="99"/>
          <w:highlight w:val="none"/>
        </w:rPr>
        <w:t>但在集气站运行以及管道维修噪声的影响下，野生动物将离开噪声源附近区域，对噪声敏感的鸟类也会受到惊扰和驱赶，使噪声源附近区域的物种丰富度和种群数量降低；在发生天然气泄漏事故时，如发生爆炸或火灾事件，可能使部分个体受到损伤。火灾发生地分布的土壤动物将因表土温度升高而部分死亡，分布的爬行类、鸟类等将被部分烧死或逃离火灾发生地而使该区域动物物种丰富度和种群数量减少。由于工程所在区域受人类生产生活活动影响较深，其原始野生动物生境已基本丧失，据调查，评价区内无国家及省级珍稀濒危保护动物物种存在，因此，只要管道维修及集气站突发事故时注意保护动物，不会造成现有动物的死亡和种群的消失，对野生动物的影响较小。</w:t>
      </w:r>
    </w:p>
    <w:p w14:paraId="4D114963">
      <w:pPr>
        <w:pStyle w:val="7"/>
        <w:keepNext w:val="0"/>
        <w:keepLines w:val="0"/>
        <w:widowControl w:val="0"/>
        <w:spacing w:before="60" w:after="60"/>
        <w:jc w:val="both"/>
        <w:rPr>
          <w:rFonts w:eastAsia="宋体"/>
          <w:b/>
          <w:color w:val="auto"/>
          <w:w w:val="99"/>
          <w:kern w:val="2"/>
          <w:sz w:val="24"/>
          <w:szCs w:val="24"/>
          <w:highlight w:val="none"/>
        </w:rPr>
      </w:pPr>
      <w:r>
        <w:rPr>
          <w:rFonts w:hint="eastAsia" w:eastAsia="宋体"/>
          <w:b/>
          <w:color w:val="auto"/>
          <w:w w:val="99"/>
          <w:kern w:val="2"/>
          <w:sz w:val="24"/>
          <w:szCs w:val="24"/>
          <w:highlight w:val="none"/>
        </w:rPr>
        <w:t>5</w:t>
      </w:r>
      <w:r>
        <w:rPr>
          <w:rFonts w:eastAsia="宋体"/>
          <w:b/>
          <w:color w:val="auto"/>
          <w:w w:val="99"/>
          <w:kern w:val="2"/>
          <w:sz w:val="24"/>
          <w:szCs w:val="24"/>
          <w:highlight w:val="none"/>
        </w:rPr>
        <w:t>.6.3</w:t>
      </w:r>
      <w:r>
        <w:rPr>
          <w:rFonts w:hint="eastAsia" w:eastAsia="宋体"/>
          <w:b/>
          <w:color w:val="auto"/>
          <w:w w:val="99"/>
          <w:kern w:val="2"/>
          <w:sz w:val="24"/>
          <w:szCs w:val="24"/>
          <w:highlight w:val="none"/>
        </w:rPr>
        <w:t>退役期生态</w:t>
      </w:r>
      <w:r>
        <w:rPr>
          <w:rFonts w:eastAsia="宋体"/>
          <w:b/>
          <w:color w:val="auto"/>
          <w:w w:val="99"/>
          <w:kern w:val="2"/>
          <w:sz w:val="24"/>
          <w:szCs w:val="24"/>
          <w:highlight w:val="none"/>
        </w:rPr>
        <w:t>环境影响评价</w:t>
      </w:r>
    </w:p>
    <w:p w14:paraId="27F30901">
      <w:pPr>
        <w:widowControl w:val="0"/>
        <w:spacing w:line="440" w:lineRule="exact"/>
        <w:ind w:firstLine="474" w:firstLineChars="200"/>
        <w:jc w:val="both"/>
        <w:rPr>
          <w:rFonts w:hint="eastAsia" w:ascii="Times New Roman" w:hAnsi="Times New Roman" w:cs="Times New Roman"/>
          <w:color w:val="auto"/>
          <w:w w:val="99"/>
          <w:highlight w:val="none"/>
          <w:lang w:val="en-US" w:eastAsia="zh-CN"/>
        </w:rPr>
      </w:pPr>
      <w:r>
        <w:rPr>
          <w:rFonts w:hint="eastAsia" w:ascii="Times New Roman" w:hAnsi="Times New Roman" w:cs="Times New Roman"/>
          <w:color w:val="auto"/>
          <w:w w:val="99"/>
          <w:highlight w:val="none"/>
          <w:lang w:val="en-US" w:eastAsia="zh-CN"/>
        </w:rPr>
        <w:t>本项目在拆除各类设施的过程中会造成地表扰动，水土流失，产生一定的生态影响。因此本项目在拆除作业的过程中应合理安排作业计划和作业时间，尽量避开雨天作业，尽量减少场地的裸露时间，尽可能减少拆除作业造成的生态影响。拆除工作结束后，在开展场地土壤环境调查与评价，对临时占地内土壤环境质量进行检测，与环评时期背景值进行对比，确定本项目对临时占地土壤无污染后，应及时对受扰动场地进行平整，耕地进行旋耕复垦。采取上述措施后项目退役期拆除作业对原有生态环境影响很小。</w:t>
      </w:r>
    </w:p>
    <w:p w14:paraId="6EF6A55B">
      <w:pPr>
        <w:pStyle w:val="7"/>
        <w:keepNext w:val="0"/>
        <w:keepLines w:val="0"/>
        <w:widowControl w:val="0"/>
        <w:spacing w:before="60" w:after="60"/>
        <w:jc w:val="both"/>
        <w:rPr>
          <w:rFonts w:eastAsia="宋体"/>
          <w:b/>
          <w:color w:val="auto"/>
          <w:w w:val="99"/>
          <w:kern w:val="2"/>
          <w:sz w:val="24"/>
          <w:szCs w:val="24"/>
          <w:highlight w:val="none"/>
        </w:rPr>
      </w:pPr>
      <w:r>
        <w:rPr>
          <w:rFonts w:hint="eastAsia" w:eastAsia="宋体"/>
          <w:b/>
          <w:color w:val="auto"/>
          <w:w w:val="99"/>
          <w:kern w:val="2"/>
          <w:sz w:val="24"/>
          <w:szCs w:val="24"/>
          <w:highlight w:val="none"/>
        </w:rPr>
        <w:t>5</w:t>
      </w:r>
      <w:r>
        <w:rPr>
          <w:rFonts w:eastAsia="宋体"/>
          <w:b/>
          <w:color w:val="auto"/>
          <w:w w:val="99"/>
          <w:kern w:val="2"/>
          <w:sz w:val="24"/>
          <w:szCs w:val="24"/>
          <w:highlight w:val="none"/>
        </w:rPr>
        <w:t>.6.4</w:t>
      </w:r>
      <w:r>
        <w:rPr>
          <w:rFonts w:hint="eastAsia" w:eastAsia="宋体"/>
          <w:b/>
          <w:color w:val="auto"/>
          <w:w w:val="99"/>
          <w:kern w:val="2"/>
          <w:sz w:val="24"/>
          <w:szCs w:val="24"/>
          <w:highlight w:val="none"/>
        </w:rPr>
        <w:t>生态环境影响评价结论</w:t>
      </w:r>
    </w:p>
    <w:p w14:paraId="07329277">
      <w:pPr>
        <w:widowControl w:val="0"/>
        <w:spacing w:line="440" w:lineRule="exact"/>
        <w:ind w:firstLine="474" w:firstLineChars="200"/>
        <w:jc w:val="both"/>
        <w:rPr>
          <w:rFonts w:ascii="Times New Roman" w:hAnsi="Times New Roman" w:cs="Times New Roman"/>
          <w:color w:val="auto"/>
          <w:w w:val="99"/>
          <w:highlight w:val="none"/>
        </w:rPr>
      </w:pPr>
      <w:r>
        <w:rPr>
          <w:rFonts w:hint="eastAsia" w:ascii="Times New Roman" w:hAnsi="Times New Roman" w:cs="Times New Roman"/>
          <w:color w:val="auto"/>
          <w:w w:val="99"/>
          <w:highlight w:val="none"/>
        </w:rPr>
        <w:t>施工期对生态环境的影响表现为破坏植被、破坏土壤环境等，施工对其破坏仅为短期的损毁，随着施工期的结束而消失。施工污染物处理处置去向明确，废水、固体废物均不外排，因此，工程建设对生态保护红线区影响较小。</w:t>
      </w:r>
    </w:p>
    <w:p w14:paraId="3A29A331">
      <w:pPr>
        <w:widowControl w:val="0"/>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综上所述，</w:t>
      </w:r>
      <w:r>
        <w:rPr>
          <w:rFonts w:hint="eastAsia" w:ascii="Times New Roman" w:hAnsi="Times New Roman" w:cs="Times New Roman"/>
          <w:color w:val="auto"/>
          <w:w w:val="99"/>
          <w:highlight w:val="none"/>
        </w:rPr>
        <w:t>施工期</w:t>
      </w:r>
      <w:r>
        <w:rPr>
          <w:rFonts w:ascii="Times New Roman" w:hAnsi="Times New Roman" w:cs="Times New Roman"/>
          <w:color w:val="auto"/>
          <w:w w:val="99"/>
          <w:highlight w:val="none"/>
        </w:rPr>
        <w:t>、运营期</w:t>
      </w:r>
      <w:r>
        <w:rPr>
          <w:rFonts w:hint="eastAsia" w:ascii="Times New Roman" w:hAnsi="Times New Roman" w:cs="Times New Roman"/>
          <w:color w:val="auto"/>
          <w:w w:val="99"/>
          <w:highlight w:val="none"/>
        </w:rPr>
        <w:t>、退役期</w:t>
      </w:r>
      <w:r>
        <w:rPr>
          <w:rFonts w:ascii="Times New Roman" w:hAnsi="Times New Roman" w:cs="Times New Roman"/>
          <w:color w:val="auto"/>
          <w:w w:val="99"/>
          <w:highlight w:val="none"/>
        </w:rPr>
        <w:t>将对周围生态环境产生一定影响，在采取有效的控制和处理措施后，项目对周围生态环境影响在可接受</w:t>
      </w:r>
      <w:r>
        <w:rPr>
          <w:rFonts w:hint="eastAsia" w:ascii="Times New Roman" w:hAnsi="Times New Roman" w:cs="Times New Roman"/>
          <w:color w:val="auto"/>
          <w:w w:val="99"/>
          <w:highlight w:val="none"/>
        </w:rPr>
        <w:t>范围</w:t>
      </w:r>
      <w:r>
        <w:rPr>
          <w:rFonts w:ascii="Times New Roman" w:hAnsi="Times New Roman" w:cs="Times New Roman"/>
          <w:color w:val="auto"/>
          <w:w w:val="99"/>
          <w:highlight w:val="none"/>
        </w:rPr>
        <w:t>内</w:t>
      </w:r>
      <w:r>
        <w:rPr>
          <w:rFonts w:hint="eastAsia" w:ascii="Times New Roman" w:hAnsi="Times New Roman" w:cs="Times New Roman"/>
          <w:color w:val="auto"/>
          <w:w w:val="99"/>
          <w:highlight w:val="none"/>
        </w:rPr>
        <w:t>。</w:t>
      </w:r>
    </w:p>
    <w:p w14:paraId="3AFD5863">
      <w:pPr>
        <w:pStyle w:val="5"/>
        <w:keepNext w:val="0"/>
        <w:keepLines w:val="0"/>
        <w:widowControl w:val="0"/>
        <w:spacing w:before="120" w:after="120"/>
        <w:rPr>
          <w:rFonts w:ascii="Times New Roman" w:hAnsi="Times New Roman" w:eastAsia="宋体"/>
          <w:b/>
          <w:snapToGrid w:val="0"/>
          <w:color w:val="auto"/>
          <w:w w:val="99"/>
          <w:highlight w:val="none"/>
        </w:rPr>
      </w:pPr>
      <w:bookmarkStart w:id="948" w:name="_Toc65426009"/>
      <w:bookmarkStart w:id="949" w:name="_Toc16503"/>
      <w:bookmarkStart w:id="950" w:name="OLE_LINK154"/>
      <w:bookmarkStart w:id="951" w:name="OLE_LINK153"/>
      <w:bookmarkStart w:id="952" w:name="_Toc65426007"/>
      <w:r>
        <w:rPr>
          <w:rFonts w:ascii="Times New Roman" w:hAnsi="Times New Roman" w:eastAsia="宋体"/>
          <w:b/>
          <w:snapToGrid w:val="0"/>
          <w:color w:val="auto"/>
          <w:w w:val="99"/>
          <w:highlight w:val="none"/>
        </w:rPr>
        <w:t>5.7土壤环境影响预测与评价</w:t>
      </w:r>
      <w:bookmarkEnd w:id="948"/>
      <w:bookmarkEnd w:id="949"/>
    </w:p>
    <w:p w14:paraId="2434AFC0">
      <w:pPr>
        <w:keepNext/>
        <w:keepLines/>
        <w:widowControl w:val="0"/>
        <w:spacing w:before="60" w:after="60" w:line="440" w:lineRule="exact"/>
        <w:jc w:val="both"/>
        <w:outlineLvl w:val="2"/>
        <w:rPr>
          <w:rFonts w:ascii="Times New Roman" w:hAnsi="Times New Roman" w:cs="Times New Roman"/>
          <w:b/>
          <w:bCs/>
          <w:color w:val="auto"/>
          <w:w w:val="99"/>
          <w:kern w:val="2"/>
          <w:highlight w:val="none"/>
        </w:rPr>
      </w:pPr>
      <w:bookmarkStart w:id="953" w:name="_Toc186444362"/>
      <w:bookmarkStart w:id="954" w:name="_Toc84929316"/>
      <w:bookmarkStart w:id="955" w:name="_Toc85640840"/>
      <w:bookmarkStart w:id="956" w:name="_Toc86142015"/>
      <w:bookmarkStart w:id="957" w:name="_Toc127192421"/>
      <w:bookmarkStart w:id="958" w:name="_Toc126863472"/>
      <w:bookmarkStart w:id="959" w:name="_Toc77067742"/>
      <w:bookmarkStart w:id="960" w:name="_Toc80588339"/>
      <w:bookmarkStart w:id="961" w:name="_Toc67860220"/>
      <w:bookmarkStart w:id="962" w:name="_Toc80971461"/>
      <w:bookmarkStart w:id="963" w:name="_Toc83209561"/>
      <w:bookmarkStart w:id="964" w:name="_Toc76976330"/>
      <w:bookmarkStart w:id="965" w:name="_Toc78816544"/>
      <w:r>
        <w:rPr>
          <w:rFonts w:ascii="Times New Roman" w:hAnsi="Times New Roman" w:cs="Times New Roman"/>
          <w:b/>
          <w:bCs/>
          <w:color w:val="auto"/>
          <w:w w:val="99"/>
          <w:kern w:val="2"/>
          <w:highlight w:val="none"/>
        </w:rPr>
        <w:t>5.7.1施工期土壤环境影响分析</w:t>
      </w:r>
      <w:bookmarkEnd w:id="953"/>
      <w:bookmarkEnd w:id="954"/>
      <w:bookmarkEnd w:id="955"/>
      <w:bookmarkEnd w:id="956"/>
      <w:bookmarkEnd w:id="957"/>
      <w:bookmarkEnd w:id="958"/>
    </w:p>
    <w:p w14:paraId="04E93C08">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（1）施工期临时占地对土壤影响</w:t>
      </w:r>
    </w:p>
    <w:p w14:paraId="02B0A81F">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本项目临时占地主要</w:t>
      </w:r>
      <w:r>
        <w:rPr>
          <w:rFonts w:hint="eastAsia" w:ascii="Times New Roman" w:hAnsi="Times New Roman"/>
          <w:color w:val="auto"/>
          <w:w w:val="99"/>
          <w:kern w:val="0"/>
          <w:szCs w:val="24"/>
          <w:highlight w:val="none"/>
          <w:lang w:val="en-US" w:bidi="zh-CN"/>
        </w:rPr>
        <w:t>为</w:t>
      </w:r>
      <w:r>
        <w:rPr>
          <w:rFonts w:ascii="Times New Roman" w:hAnsi="Times New Roman"/>
          <w:color w:val="auto"/>
          <w:w w:val="99"/>
          <w:kern w:val="0"/>
          <w:szCs w:val="24"/>
          <w:highlight w:val="none"/>
          <w:lang w:bidi="zh-CN"/>
        </w:rPr>
        <w:t>管道工程占地，占地类型为耕地（永久基本农田），合计临时占地</w:t>
      </w:r>
      <w:r>
        <w:rPr>
          <w:rFonts w:hint="eastAsia" w:ascii="Times New Roman" w:hAnsi="Times New Roman"/>
          <w:color w:val="auto"/>
          <w:w w:val="99"/>
          <w:kern w:val="0"/>
          <w:szCs w:val="24"/>
          <w:highlight w:val="none"/>
          <w:lang w:bidi="zh-CN"/>
        </w:rPr>
        <w:t>1.9229</w:t>
      </w:r>
      <w:r>
        <w:rPr>
          <w:rFonts w:ascii="Times New Roman" w:hAnsi="Times New Roman"/>
          <w:color w:val="auto"/>
          <w:w w:val="99"/>
          <w:kern w:val="0"/>
          <w:szCs w:val="24"/>
          <w:highlight w:val="none"/>
          <w:lang w:bidi="zh-CN"/>
        </w:rPr>
        <w:t>hm</w:t>
      </w:r>
      <w:r>
        <w:rPr>
          <w:rFonts w:ascii="Times New Roman" w:hAnsi="Times New Roman"/>
          <w:color w:val="auto"/>
          <w:w w:val="99"/>
          <w:kern w:val="0"/>
          <w:szCs w:val="24"/>
          <w:highlight w:val="none"/>
          <w:vertAlign w:val="superscript"/>
          <w:lang w:bidi="zh-CN"/>
        </w:rPr>
        <w:t>2</w:t>
      </w:r>
      <w:r>
        <w:rPr>
          <w:rFonts w:ascii="Times New Roman" w:hAnsi="Times New Roman"/>
          <w:color w:val="auto"/>
          <w:w w:val="99"/>
          <w:kern w:val="0"/>
          <w:szCs w:val="24"/>
          <w:highlight w:val="none"/>
          <w:lang w:bidi="zh-CN"/>
        </w:rPr>
        <w:t>。大型、重型机械设备的碾压，施工人员的践踏、材料堆放等都会破坏地表植被，使土壤紧实度增高，加上道路修建时翻动土体，都会造成局部大片裸地出现，容易引起土壤风蚀和水土流失，特别是风蚀，对土壤环境的影响表现在：</w:t>
      </w:r>
    </w:p>
    <w:p w14:paraId="4E2E5CFE">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hint="eastAsia" w:ascii="宋体" w:hAnsi="宋体" w:cs="宋体"/>
          <w:color w:val="auto"/>
          <w:w w:val="99"/>
          <w:kern w:val="0"/>
          <w:szCs w:val="24"/>
          <w:highlight w:val="none"/>
          <w:lang w:bidi="zh-CN"/>
        </w:rPr>
        <w:t>①</w:t>
      </w:r>
      <w:r>
        <w:rPr>
          <w:rFonts w:ascii="Times New Roman" w:hAnsi="Times New Roman"/>
          <w:color w:val="auto"/>
          <w:w w:val="99"/>
          <w:kern w:val="0"/>
          <w:szCs w:val="24"/>
          <w:highlight w:val="none"/>
          <w:lang w:bidi="zh-CN"/>
        </w:rPr>
        <w:t>破坏土壤结构</w:t>
      </w:r>
    </w:p>
    <w:p w14:paraId="63B24ACC">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土壤结构的形成需要漫长的时间，管道在开挖和填埋时，必将破坏土壤结构，干扰了团粒结构的自然形成过程。作为土壤质量重要指标的团粒结构一旦遭到破坏，需要经过较长的时间才能恢复。</w:t>
      </w:r>
    </w:p>
    <w:p w14:paraId="49EC72BD">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hint="eastAsia" w:ascii="宋体" w:hAnsi="宋体" w:cs="宋体"/>
          <w:color w:val="auto"/>
          <w:w w:val="99"/>
          <w:kern w:val="0"/>
          <w:szCs w:val="24"/>
          <w:highlight w:val="none"/>
          <w:lang w:bidi="zh-CN"/>
        </w:rPr>
        <w:t>②</w:t>
      </w:r>
      <w:r>
        <w:rPr>
          <w:rFonts w:ascii="Times New Roman" w:hAnsi="Times New Roman"/>
          <w:color w:val="auto"/>
          <w:w w:val="99"/>
          <w:kern w:val="0"/>
          <w:szCs w:val="24"/>
          <w:highlight w:val="none"/>
          <w:lang w:bidi="zh-CN"/>
        </w:rPr>
        <w:t>混合土壤层次，改变土壤质地</w:t>
      </w:r>
    </w:p>
    <w:p w14:paraId="0EFA9574">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土壤表层质地与底层的质地截然不同，管道的开挖与回填，会混合原有的土壤层次，降低土壤的蓄水保肥能力，易受风蚀，影响土壤的发育、植被的恢复。</w:t>
      </w:r>
    </w:p>
    <w:p w14:paraId="3E443FFC">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hint="eastAsia" w:ascii="宋体" w:hAnsi="宋体" w:cs="宋体"/>
          <w:color w:val="auto"/>
          <w:w w:val="99"/>
          <w:kern w:val="0"/>
          <w:szCs w:val="24"/>
          <w:highlight w:val="none"/>
          <w:lang w:bidi="zh-CN"/>
        </w:rPr>
        <w:t>③</w:t>
      </w:r>
      <w:r>
        <w:rPr>
          <w:rFonts w:ascii="Times New Roman" w:hAnsi="Times New Roman"/>
          <w:color w:val="auto"/>
          <w:w w:val="99"/>
          <w:kern w:val="0"/>
          <w:szCs w:val="24"/>
          <w:highlight w:val="none"/>
          <w:lang w:bidi="zh-CN"/>
        </w:rPr>
        <w:t>土壤养分流失</w:t>
      </w:r>
    </w:p>
    <w:p w14:paraId="5B576CE7">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在土壤剖面中各个土层中，就养分状况而言，表土层（腐殖质层、耕作层）远较心土层好，其有机质、全氮、全磷均较其他层次高。施工作业对原有的土体构型产生扰动，使土壤性质发生变化，土壤养分流失，从而影响植物的生长。</w:t>
      </w:r>
    </w:p>
    <w:p w14:paraId="43F9C943">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根据国内外有关资料，即使在实行分层堆放、分层覆土的措施下，土壤的有机质还将下降30%～40%，土壤养分下降30%～50%，其中全氮下降43%左右，磷素下降40%，钾素下降43%。若不实行分层堆放和分层覆土，土壤养分流失量更大。</w:t>
      </w:r>
    </w:p>
    <w:p w14:paraId="60AAE608">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（2）土壤侵蚀</w:t>
      </w:r>
    </w:p>
    <w:p w14:paraId="1747A0D1">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本项目管道建设过程中将开挖管沟，管沟上方的地表植被被完全破坏，新增一定量的土壤侵蚀，挖出的表层土和下层土临时就近分别堆放，如果防护措施不当也会引起水土流失。开挖管沟对土体的扰动将使土壤的结构、组成及理化性质等发生变化，进而影响土壤的侵蚀状况。同时管道施工过程中施工机械的碾压和人员的践踏会破坏管沟两侧施工范围内自然植被和扰动原来相对稳定的地表，使土壤变得疏松，产生一定面积的裸露地面，造成新增土壤侵蚀。管道建设施工结束后，管沟回填先填下层土再填表土，同时对施工迹地地表植被进行恢复，可有效减轻管道建设过程中对土壤环境的影响。</w:t>
      </w:r>
    </w:p>
    <w:p w14:paraId="31F13896">
      <w:pPr>
        <w:keepNext/>
        <w:keepLines/>
        <w:widowControl w:val="0"/>
        <w:spacing w:before="60" w:after="60" w:line="440" w:lineRule="exact"/>
        <w:jc w:val="both"/>
        <w:outlineLvl w:val="2"/>
        <w:rPr>
          <w:rFonts w:ascii="Times New Roman" w:hAnsi="Times New Roman" w:cs="Times New Roman"/>
          <w:b/>
          <w:bCs/>
          <w:color w:val="auto"/>
          <w:w w:val="99"/>
          <w:kern w:val="2"/>
          <w:highlight w:val="none"/>
        </w:rPr>
      </w:pPr>
      <w:bookmarkStart w:id="966" w:name="_Toc84929317"/>
      <w:bookmarkStart w:id="967" w:name="_Toc86142016"/>
      <w:bookmarkStart w:id="968" w:name="_Toc186444363"/>
      <w:bookmarkStart w:id="969" w:name="_Toc85640841"/>
      <w:bookmarkStart w:id="970" w:name="_Toc127192422"/>
      <w:bookmarkStart w:id="971" w:name="_Toc126863473"/>
      <w:r>
        <w:rPr>
          <w:rFonts w:ascii="Times New Roman" w:hAnsi="Times New Roman" w:cs="Times New Roman"/>
          <w:b/>
          <w:bCs/>
          <w:color w:val="auto"/>
          <w:w w:val="99"/>
          <w:kern w:val="2"/>
          <w:highlight w:val="none"/>
        </w:rPr>
        <w:t>5.7.2运营期土壤环境影响预测与分析</w:t>
      </w:r>
      <w:bookmarkEnd w:id="966"/>
      <w:bookmarkEnd w:id="967"/>
      <w:bookmarkEnd w:id="968"/>
      <w:bookmarkEnd w:id="969"/>
      <w:bookmarkEnd w:id="970"/>
      <w:bookmarkEnd w:id="971"/>
    </w:p>
    <w:p w14:paraId="0E1490FC">
      <w:pPr>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5.7.2.1土壤污染途径</w:t>
      </w:r>
    </w:p>
    <w:p w14:paraId="460AD9C1">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hint="eastAsia" w:ascii="Times New Roman" w:hAnsi="Times New Roman"/>
          <w:color w:val="auto"/>
          <w:w w:val="99"/>
          <w:kern w:val="0"/>
          <w:szCs w:val="24"/>
          <w:highlight w:val="none"/>
          <w:lang w:val="en-US" w:bidi="zh-CN"/>
        </w:rPr>
        <w:t>气田开采</w:t>
      </w:r>
      <w:r>
        <w:rPr>
          <w:rFonts w:ascii="Times New Roman" w:hAnsi="Times New Roman"/>
          <w:color w:val="auto"/>
          <w:w w:val="99"/>
          <w:kern w:val="0"/>
          <w:szCs w:val="24"/>
          <w:highlight w:val="none"/>
          <w:lang w:bidi="zh-CN"/>
        </w:rPr>
        <w:t>过程中对土壤环境的影响主要为</w:t>
      </w:r>
      <w:r>
        <w:rPr>
          <w:rFonts w:hint="default" w:ascii="Times New Roman" w:hAnsi="Times New Roman"/>
          <w:color w:val="auto"/>
          <w:w w:val="99"/>
          <w:kern w:val="0"/>
          <w:szCs w:val="24"/>
          <w:highlight w:val="none"/>
          <w:lang w:val="en-US" w:eastAsia="zh-CN" w:bidi="zh-CN"/>
        </w:rPr>
        <w:t>气田运行期排放的气田采出水</w:t>
      </w:r>
      <w:r>
        <w:rPr>
          <w:rFonts w:ascii="Times New Roman" w:hAnsi="Times New Roman"/>
          <w:color w:val="auto"/>
          <w:w w:val="99"/>
          <w:kern w:val="0"/>
          <w:szCs w:val="24"/>
          <w:highlight w:val="none"/>
          <w:lang w:bidi="zh-CN"/>
        </w:rPr>
        <w:t>可能对土壤环境造成破坏，对土壤的化学、生物性质等方面造成影响。</w:t>
      </w:r>
    </w:p>
    <w:p w14:paraId="2950A286">
      <w:pPr>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5.7.2.2 对土壤环境的影响</w:t>
      </w:r>
    </w:p>
    <w:p w14:paraId="78E01A5B">
      <w:pPr>
        <w:pStyle w:val="2"/>
        <w:widowControl w:val="0"/>
        <w:spacing w:line="440" w:lineRule="exact"/>
        <w:ind w:firstLine="474" w:firstLineChars="200"/>
        <w:jc w:val="both"/>
        <w:rPr>
          <w:rFonts w:hint="default" w:ascii="Times New Roman" w:hAnsi="Times New Roman"/>
          <w:color w:val="auto"/>
          <w:w w:val="99"/>
          <w:kern w:val="0"/>
          <w:szCs w:val="24"/>
          <w:highlight w:val="none"/>
          <w:lang w:val="en-US" w:eastAsia="zh-CN" w:bidi="zh-CN"/>
        </w:rPr>
      </w:pPr>
      <w:r>
        <w:rPr>
          <w:rFonts w:hint="default" w:ascii="Times New Roman" w:hAnsi="Times New Roman"/>
          <w:color w:val="auto"/>
          <w:w w:val="99"/>
          <w:kern w:val="0"/>
          <w:szCs w:val="24"/>
          <w:highlight w:val="none"/>
          <w:lang w:val="en-US" w:eastAsia="zh-CN" w:bidi="zh-CN"/>
        </w:rPr>
        <w:t>本工程正常生产情况下天然气密闭集输，生产污水处理后回注，没有污染物排放，对土壤环境无影响。本工程在事故时对土壤产生的影响主要为</w:t>
      </w:r>
      <w:r>
        <w:rPr>
          <w:rFonts w:hint="eastAsia" w:ascii="Times New Roman" w:hAnsi="Times New Roman"/>
          <w:color w:val="auto"/>
          <w:w w:val="99"/>
          <w:kern w:val="0"/>
          <w:szCs w:val="24"/>
          <w:highlight w:val="none"/>
          <w:lang w:val="en-US" w:eastAsia="zh-CN" w:bidi="zh-CN"/>
        </w:rPr>
        <w:t>采气管道</w:t>
      </w:r>
      <w:r>
        <w:rPr>
          <w:rFonts w:hint="default" w:ascii="Times New Roman" w:hAnsi="Times New Roman"/>
          <w:color w:val="auto"/>
          <w:w w:val="99"/>
          <w:kern w:val="0"/>
          <w:szCs w:val="24"/>
          <w:highlight w:val="none"/>
          <w:lang w:val="en-US" w:eastAsia="zh-CN" w:bidi="zh-CN"/>
        </w:rPr>
        <w:t>发生泄漏，采出水使土壤理化性状发生变化，在设备管道发生破裂导致含油污水泄漏时，污水中的石油类渗入土壤孔隙，会降低土壤的通透性，抑制土壤中酶活性，使土壤生物减少。一般而言，原油集中于土壤表层0～30cm的范围内，使得根系分布于此深度的植物不能生长。石油类对土壤的污染，可使土地肥力下降，改变土壤的理化性质，影响局部区域土壤正常的结构和功能。但是由于本工程采用密闭管道运输，对土壤造成影响的机率较小。除此以外，本工程在运行期基本无污染物排放到土壤中，对土壤基本无影响。</w:t>
      </w:r>
    </w:p>
    <w:p w14:paraId="35EA929C">
      <w:pPr>
        <w:pStyle w:val="153"/>
        <w:widowControl w:val="0"/>
        <w:spacing w:line="440" w:lineRule="exact"/>
        <w:ind w:firstLine="473"/>
        <w:jc w:val="both"/>
        <w:rPr>
          <w:rFonts w:hint="default" w:ascii="Times New Roman" w:hAnsi="Times New Roman" w:eastAsia="宋体" w:cs="Times New Roman"/>
          <w:color w:val="auto"/>
          <w:w w:val="99"/>
          <w:kern w:val="0"/>
          <w:sz w:val="24"/>
          <w:szCs w:val="24"/>
          <w:highlight w:val="none"/>
          <w:lang w:val="zh-CN" w:eastAsia="zh-CN" w:bidi="zh-CN"/>
        </w:rPr>
      </w:pPr>
      <w:r>
        <w:rPr>
          <w:rFonts w:hint="default" w:ascii="Times New Roman" w:hAnsi="Times New Roman" w:eastAsia="宋体" w:cs="Times New Roman"/>
          <w:color w:val="auto"/>
          <w:w w:val="99"/>
          <w:kern w:val="0"/>
          <w:sz w:val="24"/>
          <w:szCs w:val="24"/>
          <w:highlight w:val="none"/>
          <w:lang w:val="zh-CN" w:eastAsia="zh-CN" w:bidi="zh-CN"/>
        </w:rPr>
        <w:t>本项目土壤环境影响类型与影响途径见表</w:t>
      </w:r>
      <w:r>
        <w:rPr>
          <w:rFonts w:hint="default" w:ascii="Times New Roman" w:hAnsi="Times New Roman" w:eastAsia="宋体" w:cs="Times New Roman"/>
          <w:color w:val="auto"/>
          <w:w w:val="99"/>
          <w:kern w:val="0"/>
          <w:sz w:val="24"/>
          <w:szCs w:val="24"/>
          <w:highlight w:val="none"/>
          <w:lang w:val="en-US" w:eastAsia="zh-CN" w:bidi="zh-CN"/>
        </w:rPr>
        <w:t>5.7-1</w:t>
      </w:r>
      <w:r>
        <w:rPr>
          <w:rFonts w:hint="default" w:ascii="Times New Roman" w:hAnsi="Times New Roman" w:eastAsia="宋体" w:cs="Times New Roman"/>
          <w:color w:val="auto"/>
          <w:w w:val="99"/>
          <w:kern w:val="0"/>
          <w:sz w:val="24"/>
          <w:szCs w:val="24"/>
          <w:highlight w:val="none"/>
          <w:lang w:val="zh-CN" w:eastAsia="zh-CN" w:bidi="zh-CN"/>
        </w:rPr>
        <w:t>。</w:t>
      </w:r>
    </w:p>
    <w:p w14:paraId="03074989">
      <w:pPr>
        <w:widowControl w:val="0"/>
        <w:spacing w:line="440" w:lineRule="exact"/>
        <w:ind w:firstLine="476" w:firstLineChars="200"/>
        <w:jc w:val="both"/>
        <w:rPr>
          <w:rFonts w:ascii="Times New Roman" w:hAnsi="Times New Roman" w:cs="Times New Roman" w:eastAsiaTheme="minorEastAsia"/>
          <w:b/>
          <w:color w:val="auto"/>
          <w:w w:val="99"/>
          <w:kern w:val="21"/>
          <w:highlight w:val="none"/>
          <w:lang w:val="zh-CN" w:bidi="zh-CN"/>
        </w:rPr>
      </w:pPr>
      <w:r>
        <w:rPr>
          <w:rFonts w:ascii="Times New Roman" w:hAnsi="Times New Roman" w:cs="Times New Roman" w:eastAsiaTheme="minorEastAsia"/>
          <w:b/>
          <w:color w:val="auto"/>
          <w:w w:val="99"/>
          <w:kern w:val="21"/>
          <w:highlight w:val="none"/>
          <w:lang w:val="zh-CN" w:bidi="zh-CN"/>
        </w:rPr>
        <w:t>表</w:t>
      </w:r>
      <w:r>
        <w:rPr>
          <w:rFonts w:ascii="Times New Roman" w:hAnsi="Times New Roman" w:cs="Times New Roman" w:eastAsiaTheme="minorEastAsia"/>
          <w:b/>
          <w:color w:val="auto"/>
          <w:w w:val="99"/>
          <w:kern w:val="21"/>
          <w:highlight w:val="none"/>
          <w:lang w:bidi="zh-CN"/>
        </w:rPr>
        <w:t xml:space="preserve">5.7-1    </w:t>
      </w:r>
      <w:r>
        <w:rPr>
          <w:rFonts w:ascii="Times New Roman" w:hAnsi="Times New Roman" w:cs="Times New Roman" w:eastAsiaTheme="minorEastAsia"/>
          <w:b/>
          <w:color w:val="auto"/>
          <w:w w:val="99"/>
          <w:kern w:val="21"/>
          <w:highlight w:val="none"/>
          <w:lang w:val="zh-CN" w:bidi="zh-CN"/>
        </w:rPr>
        <w:t>本项目土壤影响类型与影响途径表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59"/>
        <w:gridCol w:w="1870"/>
        <w:gridCol w:w="1908"/>
        <w:gridCol w:w="1878"/>
        <w:gridCol w:w="1272"/>
      </w:tblGrid>
      <w:tr w14:paraId="0BC9F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70" w:type="pct"/>
            <w:vMerge w:val="restart"/>
            <w:vAlign w:val="center"/>
          </w:tcPr>
          <w:p w14:paraId="499CBE99">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不同时段</w:t>
            </w:r>
          </w:p>
        </w:tc>
        <w:tc>
          <w:tcPr>
            <w:tcW w:w="3730" w:type="pct"/>
            <w:gridSpan w:val="4"/>
            <w:vAlign w:val="center"/>
          </w:tcPr>
          <w:p w14:paraId="1D48C569">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污染影响型</w:t>
            </w:r>
          </w:p>
        </w:tc>
      </w:tr>
      <w:tr w14:paraId="74A28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70" w:type="pct"/>
            <w:vMerge w:val="continue"/>
            <w:vAlign w:val="center"/>
          </w:tcPr>
          <w:p w14:paraId="5F3EC8AA">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p>
        </w:tc>
        <w:tc>
          <w:tcPr>
            <w:tcW w:w="1007" w:type="pct"/>
            <w:vAlign w:val="center"/>
          </w:tcPr>
          <w:p w14:paraId="06A51573">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大气沉降</w:t>
            </w:r>
          </w:p>
        </w:tc>
        <w:tc>
          <w:tcPr>
            <w:tcW w:w="1027" w:type="pct"/>
            <w:vAlign w:val="center"/>
          </w:tcPr>
          <w:p w14:paraId="0634A1A4">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地面漫流</w:t>
            </w:r>
          </w:p>
        </w:tc>
        <w:tc>
          <w:tcPr>
            <w:tcW w:w="1011" w:type="pct"/>
            <w:vAlign w:val="center"/>
          </w:tcPr>
          <w:p w14:paraId="2C29C148">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垂直入渗</w:t>
            </w:r>
          </w:p>
        </w:tc>
        <w:tc>
          <w:tcPr>
            <w:tcW w:w="685" w:type="pct"/>
            <w:vAlign w:val="center"/>
          </w:tcPr>
          <w:p w14:paraId="58E8C38B">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其他</w:t>
            </w:r>
          </w:p>
        </w:tc>
      </w:tr>
      <w:tr w14:paraId="4DCC8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70" w:type="pct"/>
            <w:vAlign w:val="center"/>
          </w:tcPr>
          <w:p w14:paraId="19AB6860">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建设期</w:t>
            </w:r>
          </w:p>
        </w:tc>
        <w:tc>
          <w:tcPr>
            <w:tcW w:w="1007" w:type="pct"/>
            <w:vAlign w:val="center"/>
          </w:tcPr>
          <w:p w14:paraId="5FCFDF8C">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1027" w:type="pct"/>
            <w:vAlign w:val="center"/>
          </w:tcPr>
          <w:p w14:paraId="44BFF24C">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1011" w:type="pct"/>
            <w:vAlign w:val="center"/>
          </w:tcPr>
          <w:p w14:paraId="12BF31CB">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685" w:type="pct"/>
            <w:vAlign w:val="center"/>
          </w:tcPr>
          <w:p w14:paraId="4BE5E69A">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r>
      <w:tr w14:paraId="479A7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70" w:type="pct"/>
            <w:vAlign w:val="center"/>
          </w:tcPr>
          <w:p w14:paraId="39A714D4">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运营期</w:t>
            </w:r>
          </w:p>
        </w:tc>
        <w:tc>
          <w:tcPr>
            <w:tcW w:w="1007" w:type="pct"/>
            <w:vAlign w:val="center"/>
          </w:tcPr>
          <w:p w14:paraId="59D6E181">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27" w:type="pct"/>
            <w:vAlign w:val="center"/>
          </w:tcPr>
          <w:p w14:paraId="2395FF8F">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1"/>
                <w:szCs w:val="21"/>
                <w:highlight w:val="none"/>
              </w:rPr>
              <w:t>/</w:t>
            </w:r>
          </w:p>
        </w:tc>
        <w:tc>
          <w:tcPr>
            <w:tcW w:w="1011" w:type="pct"/>
            <w:vAlign w:val="center"/>
          </w:tcPr>
          <w:p w14:paraId="4C79E7CA">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685" w:type="pct"/>
            <w:vAlign w:val="center"/>
          </w:tcPr>
          <w:p w14:paraId="7BBE1E39">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r>
      <w:tr w14:paraId="42757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5"/>
            <w:vAlign w:val="center"/>
          </w:tcPr>
          <w:p w14:paraId="0C8E1983">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1"/>
                <w:szCs w:val="21"/>
                <w:highlight w:val="none"/>
              </w:rPr>
              <w:t>注：在可能产生的土壤影响类型处打“√”，列表未涵盖的可自行设计。</w:t>
            </w:r>
          </w:p>
        </w:tc>
      </w:tr>
    </w:tbl>
    <w:p w14:paraId="303E9FA6">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zh-CN" w:eastAsia="zh-CN" w:bidi="zh-CN"/>
        </w:rPr>
      </w:pPr>
      <w:r>
        <w:rPr>
          <w:rFonts w:hint="default" w:ascii="Times New Roman" w:hAnsi="Times New Roman" w:eastAsia="宋体" w:cs="Times New Roman"/>
          <w:color w:val="auto"/>
          <w:w w:val="99"/>
          <w:kern w:val="0"/>
          <w:sz w:val="24"/>
          <w:szCs w:val="24"/>
          <w:highlight w:val="none"/>
          <w:lang w:val="en-US" w:eastAsia="zh-CN" w:bidi="zh-CN"/>
        </w:rPr>
        <w:t>根据上表可知，本项目属于污染型影响建设项目，污染型影响型土壤环境影响源及影响因子识别见</w:t>
      </w:r>
      <w:r>
        <w:rPr>
          <w:rFonts w:hint="default" w:ascii="Times New Roman" w:hAnsi="Times New Roman" w:eastAsia="宋体" w:cs="Times New Roman"/>
          <w:color w:val="auto"/>
          <w:w w:val="99"/>
          <w:kern w:val="0"/>
          <w:sz w:val="24"/>
          <w:szCs w:val="24"/>
          <w:highlight w:val="none"/>
          <w:lang w:val="zh-CN" w:eastAsia="zh-CN" w:bidi="zh-CN"/>
        </w:rPr>
        <w:t>表</w:t>
      </w:r>
      <w:r>
        <w:rPr>
          <w:rFonts w:hint="default" w:ascii="Times New Roman" w:hAnsi="Times New Roman" w:eastAsia="宋体" w:cs="Times New Roman"/>
          <w:color w:val="auto"/>
          <w:w w:val="99"/>
          <w:kern w:val="0"/>
          <w:sz w:val="24"/>
          <w:szCs w:val="24"/>
          <w:highlight w:val="none"/>
          <w:lang w:val="en-US" w:eastAsia="zh-CN" w:bidi="zh-CN"/>
        </w:rPr>
        <w:t>5.7-2</w:t>
      </w:r>
      <w:r>
        <w:rPr>
          <w:rFonts w:hint="default" w:ascii="Times New Roman" w:hAnsi="Times New Roman" w:eastAsia="宋体" w:cs="Times New Roman"/>
          <w:color w:val="auto"/>
          <w:w w:val="99"/>
          <w:kern w:val="0"/>
          <w:sz w:val="24"/>
          <w:szCs w:val="24"/>
          <w:highlight w:val="none"/>
          <w:lang w:val="zh-CN" w:eastAsia="zh-CN" w:bidi="zh-CN"/>
        </w:rPr>
        <w:t>。</w:t>
      </w:r>
    </w:p>
    <w:p w14:paraId="6D7F5FFF">
      <w:pPr>
        <w:widowControl w:val="0"/>
        <w:spacing w:line="440" w:lineRule="exact"/>
        <w:ind w:firstLine="476" w:firstLineChars="200"/>
        <w:jc w:val="both"/>
        <w:rPr>
          <w:rFonts w:ascii="Times New Roman" w:hAnsi="Times New Roman" w:cs="Times New Roman" w:eastAsiaTheme="minorEastAsia"/>
          <w:b/>
          <w:color w:val="auto"/>
          <w:w w:val="99"/>
          <w:kern w:val="21"/>
          <w:highlight w:val="none"/>
          <w:lang w:val="zh-CN" w:bidi="zh-CN"/>
        </w:rPr>
      </w:pPr>
      <w:r>
        <w:rPr>
          <w:rFonts w:ascii="Times New Roman" w:hAnsi="Times New Roman" w:cs="Times New Roman" w:eastAsiaTheme="minorEastAsia"/>
          <w:b/>
          <w:color w:val="auto"/>
          <w:w w:val="99"/>
          <w:kern w:val="21"/>
          <w:highlight w:val="none"/>
          <w:lang w:val="zh-CN" w:bidi="zh-CN"/>
        </w:rPr>
        <w:t>表</w:t>
      </w:r>
      <w:r>
        <w:rPr>
          <w:rFonts w:ascii="Times New Roman" w:hAnsi="Times New Roman" w:cs="Times New Roman" w:eastAsiaTheme="minorEastAsia"/>
          <w:b/>
          <w:color w:val="auto"/>
          <w:w w:val="99"/>
          <w:kern w:val="21"/>
          <w:highlight w:val="none"/>
          <w:lang w:bidi="zh-CN"/>
        </w:rPr>
        <w:t xml:space="preserve">5.7-2    </w:t>
      </w:r>
      <w:r>
        <w:rPr>
          <w:rFonts w:ascii="Times New Roman" w:hAnsi="Times New Roman" w:cs="Times New Roman" w:eastAsiaTheme="minorEastAsia"/>
          <w:b/>
          <w:color w:val="auto"/>
          <w:w w:val="99"/>
          <w:kern w:val="21"/>
          <w:highlight w:val="none"/>
          <w:lang w:val="zh-CN" w:bidi="zh-CN"/>
        </w:rPr>
        <w:t>污染影响型本项目土壤环境影响源及影响因子识别表</w:t>
      </w:r>
    </w:p>
    <w:tbl>
      <w:tblPr>
        <w:tblStyle w:val="80"/>
        <w:tblW w:w="502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6"/>
        <w:gridCol w:w="1950"/>
        <w:gridCol w:w="1713"/>
        <w:gridCol w:w="2052"/>
        <w:gridCol w:w="1665"/>
        <w:gridCol w:w="881"/>
      </w:tblGrid>
      <w:tr w14:paraId="545EC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69" w:type="pct"/>
            <w:vAlign w:val="center"/>
          </w:tcPr>
          <w:p w14:paraId="4A92986C">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污染源</w:t>
            </w:r>
          </w:p>
        </w:tc>
        <w:tc>
          <w:tcPr>
            <w:tcW w:w="1069" w:type="pct"/>
            <w:vAlign w:val="center"/>
          </w:tcPr>
          <w:p w14:paraId="74EE3887">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工艺流程/节点</w:t>
            </w:r>
          </w:p>
        </w:tc>
        <w:tc>
          <w:tcPr>
            <w:tcW w:w="939" w:type="pct"/>
            <w:vAlign w:val="center"/>
          </w:tcPr>
          <w:p w14:paraId="71FB9651">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污染途径</w:t>
            </w:r>
          </w:p>
        </w:tc>
        <w:tc>
          <w:tcPr>
            <w:tcW w:w="1125" w:type="pct"/>
            <w:vAlign w:val="center"/>
          </w:tcPr>
          <w:p w14:paraId="5BC28441">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全部污染物指标</w:t>
            </w:r>
          </w:p>
        </w:tc>
        <w:tc>
          <w:tcPr>
            <w:tcW w:w="913" w:type="pct"/>
            <w:vAlign w:val="center"/>
          </w:tcPr>
          <w:p w14:paraId="5058A1EE">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特征因子</w:t>
            </w:r>
          </w:p>
        </w:tc>
        <w:tc>
          <w:tcPr>
            <w:tcW w:w="483" w:type="pct"/>
            <w:vAlign w:val="center"/>
          </w:tcPr>
          <w:p w14:paraId="73490C03">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备注</w:t>
            </w:r>
          </w:p>
        </w:tc>
      </w:tr>
      <w:tr w14:paraId="2D1DB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69" w:type="pct"/>
            <w:vAlign w:val="center"/>
          </w:tcPr>
          <w:p w14:paraId="516F942E">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管线</w:t>
            </w:r>
          </w:p>
        </w:tc>
        <w:tc>
          <w:tcPr>
            <w:tcW w:w="1069" w:type="pct"/>
            <w:vAlign w:val="center"/>
          </w:tcPr>
          <w:p w14:paraId="40948818">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管道泄漏</w:t>
            </w:r>
          </w:p>
        </w:tc>
        <w:tc>
          <w:tcPr>
            <w:tcW w:w="939" w:type="pct"/>
            <w:vAlign w:val="center"/>
          </w:tcPr>
          <w:p w14:paraId="1D35E354">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垂直入渗</w:t>
            </w:r>
          </w:p>
        </w:tc>
        <w:tc>
          <w:tcPr>
            <w:tcW w:w="1125" w:type="pct"/>
            <w:vAlign w:val="center"/>
          </w:tcPr>
          <w:p w14:paraId="375EC27E">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石油烃</w:t>
            </w:r>
          </w:p>
        </w:tc>
        <w:tc>
          <w:tcPr>
            <w:tcW w:w="913" w:type="pct"/>
            <w:vAlign w:val="center"/>
          </w:tcPr>
          <w:p w14:paraId="49581F5C">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石油烃</w:t>
            </w:r>
          </w:p>
        </w:tc>
        <w:tc>
          <w:tcPr>
            <w:tcW w:w="483" w:type="pct"/>
            <w:vAlign w:val="center"/>
          </w:tcPr>
          <w:p w14:paraId="54B7E01E">
            <w:pPr>
              <w:widowControl w:val="0"/>
              <w:spacing w:line="320" w:lineRule="exact"/>
              <w:jc w:val="center"/>
              <w:rPr>
                <w:rFonts w:ascii="Times New Roman" w:hAnsi="Times New Roman" w:cs="Times New Roman" w:eastAsiaTheme="minorEastAsia"/>
                <w:color w:val="auto"/>
                <w:w w:val="99"/>
                <w:sz w:val="21"/>
                <w:highlight w:val="none"/>
              </w:rPr>
            </w:pPr>
            <w:r>
              <w:rPr>
                <w:rFonts w:ascii="Times New Roman" w:hAnsi="Times New Roman" w:cs="Times New Roman" w:eastAsiaTheme="minorEastAsia"/>
                <w:color w:val="auto"/>
                <w:w w:val="99"/>
                <w:sz w:val="21"/>
                <w:highlight w:val="none"/>
              </w:rPr>
              <w:t>事故</w:t>
            </w:r>
          </w:p>
        </w:tc>
      </w:tr>
    </w:tbl>
    <w:p w14:paraId="4260CC26">
      <w:pPr>
        <w:spacing w:line="440" w:lineRule="exact"/>
        <w:outlineLvl w:val="3"/>
        <w:rPr>
          <w:rFonts w:ascii="Times New Roman" w:hAnsi="Times New Roman" w:cs="Times New Roman"/>
          <w:b/>
          <w:color w:val="auto"/>
          <w:w w:val="99"/>
          <w:highlight w:val="none"/>
        </w:rPr>
      </w:pPr>
      <w:r>
        <w:rPr>
          <w:rFonts w:ascii="Times New Roman" w:hAnsi="Times New Roman" w:cs="Times New Roman"/>
          <w:b/>
          <w:color w:val="auto"/>
          <w:w w:val="99"/>
          <w:highlight w:val="none"/>
        </w:rPr>
        <w:t>5.7.2.3土壤环境影响预测与评价</w:t>
      </w:r>
    </w:p>
    <w:p w14:paraId="1684A699">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（1）预测评价范围</w:t>
      </w:r>
    </w:p>
    <w:p w14:paraId="71D99D25">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拟建井场边界外延至200m及管线中心线两侧各200m范围，与评价范围一致。</w:t>
      </w:r>
    </w:p>
    <w:p w14:paraId="390233F5">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（2）预测评价时段</w:t>
      </w:r>
    </w:p>
    <w:p w14:paraId="24900710">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评价时段为运营期。</w:t>
      </w:r>
    </w:p>
    <w:p w14:paraId="446BA81C">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（3）情景设置</w:t>
      </w:r>
    </w:p>
    <w:p w14:paraId="711D15F5">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按项目正常状态情形为预测情景。</w:t>
      </w:r>
    </w:p>
    <w:p w14:paraId="03E04567">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（4）预测与评价因子</w:t>
      </w:r>
    </w:p>
    <w:p w14:paraId="4DD33B63">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评价因子为石油烃（C</w:t>
      </w:r>
      <w:r>
        <w:rPr>
          <w:rFonts w:hint="default" w:ascii="Times New Roman" w:hAnsi="Times New Roman" w:eastAsia="宋体" w:cs="Times New Roman"/>
          <w:color w:val="auto"/>
          <w:w w:val="99"/>
          <w:kern w:val="0"/>
          <w:sz w:val="24"/>
          <w:szCs w:val="24"/>
          <w:highlight w:val="none"/>
          <w:vertAlign w:val="subscript"/>
          <w:lang w:val="en-US" w:eastAsia="zh-CN" w:bidi="zh-CN"/>
        </w:rPr>
        <w:t>10</w:t>
      </w:r>
      <w:r>
        <w:rPr>
          <w:rFonts w:hint="default" w:ascii="Times New Roman" w:hAnsi="Times New Roman" w:eastAsia="宋体" w:cs="Times New Roman"/>
          <w:color w:val="auto"/>
          <w:w w:val="99"/>
          <w:kern w:val="0"/>
          <w:sz w:val="24"/>
          <w:szCs w:val="24"/>
          <w:highlight w:val="none"/>
          <w:lang w:val="en-US" w:eastAsia="zh-CN" w:bidi="zh-CN"/>
        </w:rPr>
        <w:t xml:space="preserve"> -C</w:t>
      </w:r>
      <w:r>
        <w:rPr>
          <w:rFonts w:hint="default" w:ascii="Times New Roman" w:hAnsi="Times New Roman" w:eastAsia="宋体" w:cs="Times New Roman"/>
          <w:color w:val="auto"/>
          <w:w w:val="99"/>
          <w:kern w:val="0"/>
          <w:sz w:val="24"/>
          <w:szCs w:val="24"/>
          <w:highlight w:val="none"/>
          <w:vertAlign w:val="subscript"/>
          <w:lang w:val="en-US" w:eastAsia="zh-CN" w:bidi="zh-CN"/>
        </w:rPr>
        <w:t>40</w:t>
      </w:r>
      <w:r>
        <w:rPr>
          <w:rFonts w:hint="default" w:ascii="Times New Roman" w:hAnsi="Times New Roman" w:eastAsia="宋体" w:cs="Times New Roman"/>
          <w:color w:val="auto"/>
          <w:w w:val="99"/>
          <w:kern w:val="0"/>
          <w:sz w:val="24"/>
          <w:szCs w:val="24"/>
          <w:highlight w:val="none"/>
          <w:lang w:val="en-US" w:eastAsia="zh-CN" w:bidi="zh-CN"/>
        </w:rPr>
        <w:t>）。</w:t>
      </w:r>
    </w:p>
    <w:p w14:paraId="3B9A1CEE">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（5）预测评价标准</w:t>
      </w:r>
    </w:p>
    <w:p w14:paraId="2254B9BE">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《土壤环境质量 建设用地土壤污染风险管控标准（试行）》（GB36600-2018）中第二类用地筛选值。</w:t>
      </w:r>
    </w:p>
    <w:p w14:paraId="27667B5A">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（6）预测评价方法</w:t>
      </w:r>
    </w:p>
    <w:p w14:paraId="1C891C83">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根据《环境影响评价技术导则 土壤环境（试行）》（HJ964-2018），本工程采用类比法对土壤环境影响进行评价。选取徐深1区块2019年扩边井产能建设工程竣工环境保护验收调查阶段监测数据达标情况，判定本工程拟建气井等对区域内土壤环境的影响。</w:t>
      </w:r>
    </w:p>
    <w:p w14:paraId="2B8D5AB9">
      <w:pPr>
        <w:pStyle w:val="2"/>
        <w:keepNext w:val="0"/>
        <w:keepLines w:val="0"/>
        <w:pageBreakBefore w:val="0"/>
        <w:widowControl/>
        <w:kinsoku/>
        <w:wordWrap/>
        <w:overflowPunct/>
        <w:topLinePunct w:val="0"/>
        <w:autoSpaceDE/>
        <w:autoSpaceDN/>
        <w:bidi w:val="0"/>
        <w:adjustRightInd/>
        <w:snapToGrid/>
        <w:spacing w:line="440" w:lineRule="exact"/>
        <w:ind w:firstLine="238" w:firstLineChars="100"/>
        <w:textAlignment w:val="auto"/>
        <w:rPr>
          <w:rFonts w:ascii="Times New Roman" w:hAnsi="Times New Roman" w:cs="Times New Roman" w:eastAsiaTheme="minorEastAsia"/>
          <w:b/>
          <w:bCs w:val="0"/>
          <w:color w:val="auto"/>
          <w:w w:val="99"/>
          <w:kern w:val="0"/>
          <w:sz w:val="24"/>
          <w:szCs w:val="24"/>
          <w:highlight w:val="none"/>
          <w:lang w:val="en-US" w:eastAsia="zh-CN" w:bidi="ar-SA"/>
        </w:rPr>
      </w:pPr>
      <w:r>
        <w:rPr>
          <w:rFonts w:ascii="Times New Roman" w:hAnsi="Times New Roman" w:cs="Times New Roman" w:eastAsiaTheme="minorEastAsia"/>
          <w:b/>
          <w:bCs w:val="0"/>
          <w:color w:val="auto"/>
          <w:w w:val="99"/>
          <w:kern w:val="0"/>
          <w:sz w:val="24"/>
          <w:szCs w:val="24"/>
          <w:highlight w:val="none"/>
          <w:lang w:val="en-US" w:eastAsia="zh-CN" w:bidi="ar-SA"/>
        </w:rPr>
        <w:t>表 5.</w:t>
      </w:r>
      <w:r>
        <w:rPr>
          <w:rFonts w:hint="eastAsia" w:ascii="Times New Roman" w:hAnsi="Times New Roman" w:cs="Times New Roman" w:eastAsiaTheme="minorEastAsia"/>
          <w:b/>
          <w:bCs w:val="0"/>
          <w:color w:val="auto"/>
          <w:w w:val="99"/>
          <w:kern w:val="0"/>
          <w:sz w:val="24"/>
          <w:szCs w:val="24"/>
          <w:highlight w:val="none"/>
          <w:lang w:val="en-US" w:eastAsia="zh-CN" w:bidi="ar-SA"/>
        </w:rPr>
        <w:t>7</w:t>
      </w:r>
      <w:r>
        <w:rPr>
          <w:rFonts w:ascii="Times New Roman" w:hAnsi="Times New Roman" w:cs="Times New Roman" w:eastAsiaTheme="minorEastAsia"/>
          <w:b/>
          <w:bCs w:val="0"/>
          <w:color w:val="auto"/>
          <w:w w:val="99"/>
          <w:kern w:val="0"/>
          <w:sz w:val="24"/>
          <w:szCs w:val="24"/>
          <w:highlight w:val="none"/>
          <w:lang w:val="en-US" w:eastAsia="zh-CN" w:bidi="ar-SA"/>
        </w:rPr>
        <w:t>-</w:t>
      </w:r>
      <w:r>
        <w:rPr>
          <w:rFonts w:hint="eastAsia" w:ascii="Times New Roman" w:hAnsi="Times New Roman" w:cs="Times New Roman" w:eastAsiaTheme="minorEastAsia"/>
          <w:b/>
          <w:bCs w:val="0"/>
          <w:color w:val="auto"/>
          <w:w w:val="99"/>
          <w:kern w:val="0"/>
          <w:sz w:val="24"/>
          <w:szCs w:val="24"/>
          <w:highlight w:val="none"/>
          <w:lang w:val="en-US" w:eastAsia="zh-CN" w:bidi="ar-SA"/>
        </w:rPr>
        <w:t>3</w:t>
      </w:r>
      <w:r>
        <w:rPr>
          <w:rFonts w:ascii="Times New Roman" w:hAnsi="Times New Roman" w:cs="Times New Roman" w:eastAsiaTheme="minorEastAsia"/>
          <w:b/>
          <w:bCs w:val="0"/>
          <w:color w:val="auto"/>
          <w:w w:val="99"/>
          <w:kern w:val="0"/>
          <w:sz w:val="24"/>
          <w:szCs w:val="24"/>
          <w:highlight w:val="none"/>
          <w:lang w:val="en-US" w:eastAsia="zh-CN" w:bidi="ar-SA"/>
        </w:rPr>
        <w:t xml:space="preserve">  类比项目基本情况一览表</w:t>
      </w:r>
    </w:p>
    <w:p w14:paraId="51BE9355">
      <w:pPr>
        <w:spacing w:line="97" w:lineRule="exact"/>
        <w:rPr>
          <w:color w:val="auto"/>
          <w:highlight w:val="none"/>
        </w:rPr>
      </w:pPr>
    </w:p>
    <w:tbl>
      <w:tblPr>
        <w:tblStyle w:val="1662"/>
        <w:tblW w:w="502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76"/>
        <w:gridCol w:w="7956"/>
      </w:tblGrid>
      <w:tr w14:paraId="27C74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4" w:type="pct"/>
            <w:vAlign w:val="center"/>
          </w:tcPr>
          <w:p w14:paraId="3158A8C8">
            <w:pPr>
              <w:pStyle w:val="2857"/>
              <w:keepNext w:val="0"/>
              <w:keepLines w:val="0"/>
              <w:pageBreakBefore w:val="0"/>
              <w:widowControl/>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rPr>
            </w:pPr>
            <w:r>
              <w:rPr>
                <w:rFonts w:hint="default" w:ascii="Times New Roman" w:hAnsi="Times New Roman" w:eastAsia="宋体" w:cs="Times New Roman"/>
                <w:color w:val="auto"/>
                <w:spacing w:val="0"/>
                <w:w w:val="99"/>
                <w:sz w:val="21"/>
                <w:szCs w:val="21"/>
                <w:highlight w:val="none"/>
              </w:rPr>
              <w:t>项目名称</w:t>
            </w:r>
          </w:p>
        </w:tc>
        <w:tc>
          <w:tcPr>
            <w:tcW w:w="4355" w:type="pct"/>
            <w:vAlign w:val="center"/>
          </w:tcPr>
          <w:p w14:paraId="766939FD">
            <w:pPr>
              <w:pStyle w:val="2857"/>
              <w:keepNext w:val="0"/>
              <w:keepLines w:val="0"/>
              <w:pageBreakBefore w:val="0"/>
              <w:widowControl/>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yellow"/>
              </w:rPr>
            </w:pPr>
            <w:r>
              <w:rPr>
                <w:rFonts w:hint="default" w:ascii="Times New Roman" w:hAnsi="Times New Roman" w:cs="Times New Roman" w:eastAsiaTheme="minorEastAsia"/>
                <w:color w:val="auto"/>
                <w:w w:val="99"/>
                <w:sz w:val="21"/>
                <w:szCs w:val="21"/>
                <w:highlight w:val="none"/>
                <w:lang w:val="en-US" w:eastAsia="zh-CN" w:bidi="ar-SA"/>
              </w:rPr>
              <w:t>2017年徐深气田徐深27井区产能建设工程</w:t>
            </w:r>
          </w:p>
        </w:tc>
      </w:tr>
      <w:tr w14:paraId="75F96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4" w:type="pct"/>
            <w:vAlign w:val="center"/>
          </w:tcPr>
          <w:p w14:paraId="2D85E49D">
            <w:pPr>
              <w:pStyle w:val="2857"/>
              <w:keepNext w:val="0"/>
              <w:keepLines w:val="0"/>
              <w:pageBreakBefore w:val="0"/>
              <w:widowControl/>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rPr>
            </w:pPr>
            <w:r>
              <w:rPr>
                <w:rFonts w:hint="default" w:ascii="Times New Roman" w:hAnsi="Times New Roman" w:eastAsia="宋体" w:cs="Times New Roman"/>
                <w:color w:val="auto"/>
                <w:spacing w:val="0"/>
                <w:w w:val="99"/>
                <w:sz w:val="21"/>
                <w:szCs w:val="21"/>
                <w:highlight w:val="none"/>
              </w:rPr>
              <w:t>地理位置</w:t>
            </w:r>
          </w:p>
        </w:tc>
        <w:tc>
          <w:tcPr>
            <w:tcW w:w="4355" w:type="pct"/>
            <w:vAlign w:val="center"/>
          </w:tcPr>
          <w:p w14:paraId="5D665312">
            <w:pPr>
              <w:pStyle w:val="2857"/>
              <w:keepNext w:val="0"/>
              <w:keepLines w:val="0"/>
              <w:pageBreakBefore w:val="0"/>
              <w:widowControl/>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lang w:val="en-US" w:eastAsia="zh-CN"/>
              </w:rPr>
            </w:pPr>
            <w:r>
              <w:rPr>
                <w:rFonts w:hint="default" w:ascii="Times New Roman" w:hAnsi="Times New Roman" w:eastAsia="宋体" w:cs="Times New Roman"/>
                <w:color w:val="auto"/>
                <w:spacing w:val="0"/>
                <w:w w:val="99"/>
                <w:sz w:val="21"/>
                <w:szCs w:val="21"/>
                <w:highlight w:val="none"/>
              </w:rPr>
              <w:t>黑龙江省</w:t>
            </w:r>
            <w:r>
              <w:rPr>
                <w:rFonts w:hint="eastAsia" w:ascii="Times New Roman" w:hAnsi="Times New Roman" w:cs="Times New Roman"/>
                <w:color w:val="auto"/>
                <w:spacing w:val="0"/>
                <w:w w:val="99"/>
                <w:sz w:val="21"/>
                <w:szCs w:val="21"/>
                <w:highlight w:val="none"/>
                <w:lang w:val="en-US" w:eastAsia="zh-CN"/>
              </w:rPr>
              <w:t>绥化市肇东市跃进乡和</w:t>
            </w:r>
            <w:r>
              <w:rPr>
                <w:rFonts w:hint="default" w:ascii="Times New Roman" w:hAnsi="Times New Roman" w:eastAsia="宋体" w:cs="Times New Roman"/>
                <w:color w:val="auto"/>
                <w:spacing w:val="0"/>
                <w:w w:val="99"/>
                <w:sz w:val="21"/>
                <w:szCs w:val="21"/>
                <w:highlight w:val="none"/>
              </w:rPr>
              <w:t>大庆市</w:t>
            </w:r>
            <w:r>
              <w:rPr>
                <w:rFonts w:hint="eastAsia" w:ascii="Times New Roman" w:hAnsi="Times New Roman" w:cs="Times New Roman"/>
                <w:color w:val="auto"/>
                <w:spacing w:val="0"/>
                <w:w w:val="99"/>
                <w:sz w:val="21"/>
                <w:szCs w:val="21"/>
                <w:highlight w:val="none"/>
                <w:lang w:val="en-US" w:eastAsia="zh-CN"/>
              </w:rPr>
              <w:t>肇州县永胜乡及二井镇境内</w:t>
            </w:r>
          </w:p>
        </w:tc>
      </w:tr>
      <w:tr w14:paraId="7B043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44" w:type="pct"/>
            <w:tcBorders>
              <w:bottom w:val="single" w:color="000000" w:sz="4" w:space="0"/>
            </w:tcBorders>
            <w:vAlign w:val="center"/>
          </w:tcPr>
          <w:p w14:paraId="3D121866">
            <w:pPr>
              <w:pStyle w:val="2857"/>
              <w:keepNext w:val="0"/>
              <w:keepLines w:val="0"/>
              <w:pageBreakBefore w:val="0"/>
              <w:widowControl/>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rPr>
            </w:pPr>
            <w:r>
              <w:rPr>
                <w:rFonts w:hint="default" w:ascii="Times New Roman" w:hAnsi="Times New Roman" w:eastAsia="宋体" w:cs="Times New Roman"/>
                <w:color w:val="auto"/>
                <w:spacing w:val="0"/>
                <w:w w:val="99"/>
                <w:sz w:val="21"/>
                <w:szCs w:val="21"/>
                <w:highlight w:val="none"/>
              </w:rPr>
              <w:t>环评批复</w:t>
            </w:r>
          </w:p>
        </w:tc>
        <w:tc>
          <w:tcPr>
            <w:tcW w:w="4355" w:type="pct"/>
            <w:tcBorders>
              <w:bottom w:val="single" w:color="000000" w:sz="4" w:space="0"/>
            </w:tcBorders>
            <w:vAlign w:val="center"/>
          </w:tcPr>
          <w:p w14:paraId="49FEA4FB">
            <w:pPr>
              <w:pStyle w:val="2857"/>
              <w:keepNext w:val="0"/>
              <w:keepLines w:val="0"/>
              <w:pageBreakBefore w:val="0"/>
              <w:widowControl/>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rPr>
            </w:pPr>
            <w:r>
              <w:rPr>
                <w:rFonts w:hint="default" w:ascii="Times New Roman" w:hAnsi="Times New Roman" w:cs="Times New Roman" w:eastAsiaTheme="minorEastAsia"/>
                <w:color w:val="auto"/>
                <w:w w:val="99"/>
                <w:sz w:val="21"/>
                <w:szCs w:val="21"/>
                <w:highlight w:val="none"/>
                <w:lang w:val="en-US" w:eastAsia="zh-CN" w:bidi="ar-SA"/>
              </w:rPr>
              <w:t>《2017年徐深气田徐深27井区产能建设工程环境影响报告书》</w:t>
            </w:r>
            <w:r>
              <w:rPr>
                <w:rFonts w:hint="eastAsia" w:ascii="Times New Roman" w:hAnsi="Times New Roman" w:cs="Times New Roman" w:eastAsiaTheme="minorEastAsia"/>
                <w:color w:val="auto"/>
                <w:w w:val="99"/>
                <w:sz w:val="21"/>
                <w:szCs w:val="21"/>
                <w:highlight w:val="none"/>
                <w:lang w:val="en-US" w:eastAsia="zh-CN" w:bidi="ar-SA"/>
              </w:rPr>
              <w:t>批复文号：</w:t>
            </w:r>
            <w:r>
              <w:rPr>
                <w:rFonts w:hint="default" w:ascii="Times New Roman" w:hAnsi="Times New Roman" w:cs="Times New Roman" w:eastAsiaTheme="minorEastAsia"/>
                <w:color w:val="auto"/>
                <w:w w:val="99"/>
                <w:sz w:val="21"/>
                <w:szCs w:val="21"/>
                <w:highlight w:val="none"/>
                <w:lang w:val="en-US" w:eastAsia="zh-CN" w:bidi="ar-SA"/>
              </w:rPr>
              <w:t>黑环审〔2017〕51号</w:t>
            </w:r>
            <w:r>
              <w:rPr>
                <w:rFonts w:hint="default" w:ascii="Times New Roman" w:hAnsi="Times New Roman" w:eastAsia="宋体" w:cs="Times New Roman"/>
                <w:color w:val="auto"/>
                <w:spacing w:val="0"/>
                <w:w w:val="99"/>
                <w:sz w:val="21"/>
                <w:szCs w:val="21"/>
                <w:highlight w:val="none"/>
              </w:rPr>
              <w:t>182号</w:t>
            </w:r>
          </w:p>
        </w:tc>
      </w:tr>
      <w:tr w14:paraId="1FF06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44" w:type="pct"/>
            <w:tcBorders>
              <w:top w:val="single" w:color="000000" w:sz="4" w:space="0"/>
              <w:left w:val="single" w:color="000000" w:sz="4" w:space="0"/>
              <w:bottom w:val="single" w:color="000000" w:sz="4" w:space="0"/>
              <w:right w:val="single" w:color="000000" w:sz="4" w:space="0"/>
            </w:tcBorders>
            <w:vAlign w:val="center"/>
          </w:tcPr>
          <w:p w14:paraId="67381922">
            <w:pPr>
              <w:pStyle w:val="2857"/>
              <w:keepNext w:val="0"/>
              <w:keepLines w:val="0"/>
              <w:pageBreakBefore w:val="0"/>
              <w:widowControl/>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rPr>
            </w:pPr>
            <w:r>
              <w:rPr>
                <w:rFonts w:hint="default" w:ascii="Times New Roman" w:hAnsi="Times New Roman" w:eastAsia="宋体" w:cs="Times New Roman"/>
                <w:color w:val="auto"/>
                <w:spacing w:val="0"/>
                <w:w w:val="99"/>
                <w:sz w:val="21"/>
                <w:szCs w:val="21"/>
                <w:highlight w:val="none"/>
              </w:rPr>
              <w:t>验收手续</w:t>
            </w:r>
          </w:p>
        </w:tc>
        <w:tc>
          <w:tcPr>
            <w:tcW w:w="4355" w:type="pct"/>
            <w:tcBorders>
              <w:top w:val="single" w:color="000000" w:sz="4" w:space="0"/>
              <w:left w:val="single" w:color="000000" w:sz="4" w:space="0"/>
              <w:bottom w:val="single" w:color="000000" w:sz="4" w:space="0"/>
              <w:right w:val="single" w:color="000000" w:sz="4" w:space="0"/>
            </w:tcBorders>
            <w:vAlign w:val="center"/>
          </w:tcPr>
          <w:p w14:paraId="3F153FAA">
            <w:pPr>
              <w:pStyle w:val="2857"/>
              <w:keepNext w:val="0"/>
              <w:keepLines w:val="0"/>
              <w:pageBreakBefore w:val="0"/>
              <w:widowControl/>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rPr>
            </w:pPr>
            <w:r>
              <w:rPr>
                <w:rFonts w:hint="default" w:ascii="Times New Roman" w:hAnsi="Times New Roman" w:eastAsia="宋体" w:cs="Times New Roman"/>
                <w:color w:val="auto"/>
                <w:spacing w:val="0"/>
                <w:w w:val="99"/>
                <w:sz w:val="21"/>
                <w:szCs w:val="21"/>
                <w:highlight w:val="none"/>
              </w:rPr>
              <w:t>20</w:t>
            </w:r>
            <w:r>
              <w:rPr>
                <w:rFonts w:hint="eastAsia" w:ascii="Times New Roman" w:hAnsi="Times New Roman" w:cs="Times New Roman"/>
                <w:color w:val="auto"/>
                <w:spacing w:val="0"/>
                <w:w w:val="99"/>
                <w:sz w:val="21"/>
                <w:szCs w:val="21"/>
                <w:highlight w:val="none"/>
                <w:lang w:val="en-US" w:eastAsia="zh-CN"/>
              </w:rPr>
              <w:t>17</w:t>
            </w:r>
            <w:r>
              <w:rPr>
                <w:rFonts w:hint="default" w:ascii="Times New Roman" w:hAnsi="Times New Roman" w:eastAsia="宋体" w:cs="Times New Roman"/>
                <w:color w:val="auto"/>
                <w:spacing w:val="0"/>
                <w:w w:val="99"/>
                <w:sz w:val="21"/>
                <w:szCs w:val="21"/>
                <w:highlight w:val="none"/>
              </w:rPr>
              <w:t>年</w:t>
            </w:r>
            <w:r>
              <w:rPr>
                <w:rFonts w:hint="eastAsia" w:ascii="Times New Roman" w:hAnsi="Times New Roman" w:cs="Times New Roman"/>
                <w:color w:val="auto"/>
                <w:spacing w:val="0"/>
                <w:w w:val="99"/>
                <w:sz w:val="21"/>
                <w:szCs w:val="21"/>
                <w:highlight w:val="none"/>
                <w:lang w:val="en-US" w:eastAsia="zh-CN"/>
              </w:rPr>
              <w:t>9</w:t>
            </w:r>
            <w:r>
              <w:rPr>
                <w:rFonts w:hint="default" w:ascii="Times New Roman" w:hAnsi="Times New Roman" w:eastAsia="宋体" w:cs="Times New Roman"/>
                <w:color w:val="auto"/>
                <w:spacing w:val="0"/>
                <w:w w:val="99"/>
                <w:sz w:val="21"/>
                <w:szCs w:val="21"/>
                <w:highlight w:val="none"/>
              </w:rPr>
              <w:t>月通过企业自主验收</w:t>
            </w:r>
          </w:p>
        </w:tc>
      </w:tr>
      <w:tr w14:paraId="76CA1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44" w:type="pct"/>
            <w:tcBorders>
              <w:top w:val="single" w:color="000000" w:sz="4" w:space="0"/>
              <w:left w:val="single" w:color="000000" w:sz="4" w:space="0"/>
              <w:bottom w:val="single" w:color="000000" w:sz="4" w:space="0"/>
              <w:right w:val="single" w:color="000000" w:sz="4" w:space="0"/>
            </w:tcBorders>
            <w:vAlign w:val="center"/>
          </w:tcPr>
          <w:p w14:paraId="0CC5CCC0">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主要工程内容</w:t>
            </w:r>
          </w:p>
        </w:tc>
        <w:tc>
          <w:tcPr>
            <w:tcW w:w="4355" w:type="pct"/>
            <w:tcBorders>
              <w:top w:val="single" w:color="000000" w:sz="4" w:space="0"/>
              <w:left w:val="single" w:color="000000" w:sz="4" w:space="0"/>
              <w:bottom w:val="single" w:color="000000" w:sz="4" w:space="0"/>
              <w:right w:val="single" w:color="000000" w:sz="4" w:space="0"/>
            </w:tcBorders>
            <w:vAlign w:val="top"/>
          </w:tcPr>
          <w:p w14:paraId="70473CF7">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left"/>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建设1座集气站，三口气井(其中徐深27-平1井场四周设置栅栏围挡、徐深213及徐深27配套设置井口房，3口井均配套建设井口紧急切断装置、手动节流阀等相关设施);配套采气管道6.15km、甲醇注入管道6.15km、集气外输管道10.5km、污水外输管道7.6km。永久占地20500m</w:t>
            </w:r>
            <w:r>
              <w:rPr>
                <w:rFonts w:hint="default" w:ascii="Times New Roman" w:hAnsi="Times New Roman" w:eastAsia="宋体" w:cs="Times New Roman"/>
                <w:color w:val="auto"/>
                <w:spacing w:val="0"/>
                <w:w w:val="99"/>
                <w:sz w:val="21"/>
                <w:szCs w:val="21"/>
                <w:highlight w:val="none"/>
                <w:vertAlign w:val="superscript"/>
                <w:lang w:val="en-US" w:eastAsia="en-US" w:bidi="ar-SA"/>
              </w:rPr>
              <w:t>2</w:t>
            </w:r>
            <w:r>
              <w:rPr>
                <w:rFonts w:hint="default" w:ascii="Times New Roman" w:hAnsi="Times New Roman" w:eastAsia="宋体" w:cs="Times New Roman"/>
                <w:color w:val="auto"/>
                <w:spacing w:val="0"/>
                <w:w w:val="99"/>
                <w:sz w:val="21"/>
                <w:szCs w:val="21"/>
                <w:highlight w:val="none"/>
                <w:lang w:val="en-US" w:eastAsia="en-US" w:bidi="ar-SA"/>
              </w:rPr>
              <w:t>，临时占地271100m</w:t>
            </w:r>
            <w:r>
              <w:rPr>
                <w:rFonts w:hint="default" w:ascii="Times New Roman" w:hAnsi="Times New Roman" w:eastAsia="宋体" w:cs="Times New Roman"/>
                <w:color w:val="auto"/>
                <w:spacing w:val="0"/>
                <w:w w:val="99"/>
                <w:sz w:val="21"/>
                <w:szCs w:val="21"/>
                <w:highlight w:val="none"/>
                <w:vertAlign w:val="superscript"/>
                <w:lang w:val="en-US" w:eastAsia="en-US" w:bidi="ar-SA"/>
              </w:rPr>
              <w:t>2</w:t>
            </w:r>
            <w:r>
              <w:rPr>
                <w:rFonts w:hint="default" w:ascii="Times New Roman" w:hAnsi="Times New Roman" w:eastAsia="宋体" w:cs="Times New Roman"/>
                <w:color w:val="auto"/>
                <w:spacing w:val="0"/>
                <w:w w:val="99"/>
                <w:sz w:val="21"/>
                <w:szCs w:val="21"/>
                <w:highlight w:val="none"/>
                <w:lang w:val="en-US" w:eastAsia="en-US" w:bidi="ar-SA"/>
              </w:rPr>
              <w:t>。项目依托徐深9净化厂、升一联含油污水处理站。</w:t>
            </w:r>
          </w:p>
        </w:tc>
      </w:tr>
      <w:tr w14:paraId="13646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44" w:type="pct"/>
            <w:tcBorders>
              <w:top w:val="single" w:color="000000" w:sz="4" w:space="0"/>
              <w:left w:val="single" w:color="000000" w:sz="4" w:space="0"/>
              <w:bottom w:val="single" w:color="000000" w:sz="4" w:space="0"/>
              <w:right w:val="single" w:color="000000" w:sz="4" w:space="0"/>
            </w:tcBorders>
            <w:vAlign w:val="center"/>
          </w:tcPr>
          <w:p w14:paraId="4B85E65A">
            <w:pPr>
              <w:pStyle w:val="2857"/>
              <w:keepNext w:val="0"/>
              <w:keepLines w:val="0"/>
              <w:pageBreakBefore w:val="0"/>
              <w:widowControl/>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土壤影响</w:t>
            </w:r>
          </w:p>
        </w:tc>
        <w:tc>
          <w:tcPr>
            <w:tcW w:w="4355" w:type="pct"/>
            <w:tcBorders>
              <w:top w:val="single" w:color="000000" w:sz="4" w:space="0"/>
              <w:left w:val="single" w:color="000000" w:sz="4" w:space="0"/>
              <w:bottom w:val="single" w:color="000000" w:sz="4" w:space="0"/>
              <w:right w:val="single" w:color="000000" w:sz="4" w:space="0"/>
            </w:tcBorders>
            <w:vAlign w:val="top"/>
          </w:tcPr>
          <w:p w14:paraId="785C9480">
            <w:pPr>
              <w:pStyle w:val="2857"/>
              <w:keepNext w:val="0"/>
              <w:keepLines w:val="0"/>
              <w:pageBreakBefore w:val="0"/>
              <w:widowControl/>
              <w:kinsoku/>
              <w:wordWrap/>
              <w:overflowPunct/>
              <w:topLinePunct w:val="0"/>
              <w:autoSpaceDE/>
              <w:autoSpaceDN/>
              <w:bidi w:val="0"/>
              <w:adjustRightInd/>
              <w:snapToGrid/>
              <w:spacing w:line="360" w:lineRule="exact"/>
              <w:ind w:left="0" w:right="0" w:firstLine="0"/>
              <w:jc w:val="left"/>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施工临时占地大型、重型机械设备的碾压，施工人员的践踏、材料堆放等都会破坏地表植被，使土壤紧实度增高，对土壤产生影响；运营期气井井口除砂器泄漏以及徐深</w:t>
            </w:r>
            <w:r>
              <w:rPr>
                <w:rFonts w:hint="eastAsia" w:ascii="Times New Roman" w:hAnsi="Times New Roman" w:cs="Times New Roman"/>
                <w:color w:val="auto"/>
                <w:spacing w:val="0"/>
                <w:w w:val="99"/>
                <w:sz w:val="21"/>
                <w:szCs w:val="21"/>
                <w:highlight w:val="none"/>
                <w:lang w:val="en-US" w:eastAsia="zh-CN" w:bidi="ar-SA"/>
              </w:rPr>
              <w:t>27</w:t>
            </w:r>
            <w:r>
              <w:rPr>
                <w:rFonts w:hint="default" w:ascii="Times New Roman" w:hAnsi="Times New Roman" w:eastAsia="宋体" w:cs="Times New Roman"/>
                <w:color w:val="auto"/>
                <w:spacing w:val="0"/>
                <w:w w:val="99"/>
                <w:sz w:val="21"/>
                <w:szCs w:val="21"/>
                <w:highlight w:val="none"/>
                <w:lang w:val="en-US" w:eastAsia="en-US" w:bidi="ar-SA"/>
              </w:rPr>
              <w:t>集气站污水储罐在事故状态下泄漏的气田采出水等可能对土壤环境造成破坏。</w:t>
            </w:r>
          </w:p>
        </w:tc>
      </w:tr>
      <w:tr w14:paraId="67F91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44" w:type="pct"/>
            <w:tcBorders>
              <w:top w:val="single" w:color="000000" w:sz="4" w:space="0"/>
              <w:left w:val="single" w:color="000000" w:sz="4" w:space="0"/>
              <w:bottom w:val="single" w:color="000000" w:sz="4" w:space="0"/>
              <w:right w:val="single" w:color="000000" w:sz="4" w:space="0"/>
            </w:tcBorders>
            <w:vAlign w:val="center"/>
          </w:tcPr>
          <w:p w14:paraId="5F2C5DED">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土壤环保</w:t>
            </w:r>
          </w:p>
          <w:p w14:paraId="7B85BB56">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措施</w:t>
            </w:r>
          </w:p>
        </w:tc>
        <w:tc>
          <w:tcPr>
            <w:tcW w:w="4355" w:type="pct"/>
            <w:tcBorders>
              <w:top w:val="single" w:color="000000" w:sz="4" w:space="0"/>
              <w:left w:val="single" w:color="000000" w:sz="4" w:space="0"/>
              <w:bottom w:val="single" w:color="000000" w:sz="4" w:space="0"/>
              <w:right w:val="single" w:color="000000" w:sz="4" w:space="0"/>
            </w:tcBorders>
            <w:vAlign w:val="top"/>
          </w:tcPr>
          <w:p w14:paraId="680DBA7A">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left"/>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根据项目验收调查报告，项目管道、井场等临时占地植被自然恢复情况良好，与周围植被基本无差别；采取密闭流程与气田采出水处理后回注的工艺；气田采出水送往升一联气田污水预处理站进行处理，达标后回注地下</w:t>
            </w:r>
            <w:r>
              <w:rPr>
                <w:rFonts w:hint="eastAsia" w:ascii="Times New Roman" w:hAnsi="Times New Roman" w:cs="Times New Roman"/>
                <w:color w:val="auto"/>
                <w:spacing w:val="0"/>
                <w:w w:val="99"/>
                <w:sz w:val="21"/>
                <w:szCs w:val="21"/>
                <w:highlight w:val="none"/>
                <w:lang w:val="en-US" w:eastAsia="zh-CN" w:bidi="ar-SA"/>
              </w:rPr>
              <w:t>油层</w:t>
            </w:r>
            <w:r>
              <w:rPr>
                <w:rFonts w:hint="default" w:ascii="Times New Roman" w:hAnsi="Times New Roman" w:eastAsia="宋体" w:cs="Times New Roman"/>
                <w:color w:val="auto"/>
                <w:spacing w:val="0"/>
                <w:w w:val="99"/>
                <w:sz w:val="21"/>
                <w:szCs w:val="21"/>
                <w:highlight w:val="none"/>
                <w:lang w:val="en-US" w:eastAsia="en-US" w:bidi="ar-SA"/>
              </w:rPr>
              <w:t>，无外排现象；强化生产运行管理，定期检查维修管线、阀门，确保设备的使用性能良好；监测区域井场永久占地内土壤中Pb 、Hg、Cr、As 等污染物满足《土壤环境质量建设用地土壤污染风险管控标准（试行）》（GB36600-2018）筛选值中第二类用地标准，永久占地外农用地满足《土壤环境质量农用地土壤污染风险管控标准（试行）》（GB15618-  2018）筛选值标准。</w:t>
            </w:r>
          </w:p>
        </w:tc>
      </w:tr>
      <w:tr w14:paraId="7164C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44" w:type="pct"/>
            <w:tcBorders>
              <w:top w:val="single" w:color="000000" w:sz="4" w:space="0"/>
              <w:left w:val="single" w:color="000000" w:sz="4" w:space="0"/>
              <w:bottom w:val="single" w:color="000000" w:sz="4" w:space="0"/>
              <w:right w:val="single" w:color="000000" w:sz="4" w:space="0"/>
            </w:tcBorders>
            <w:vAlign w:val="center"/>
          </w:tcPr>
          <w:p w14:paraId="159695F0">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p>
          <w:p w14:paraId="687FE8E8">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管理措施</w:t>
            </w:r>
          </w:p>
        </w:tc>
        <w:tc>
          <w:tcPr>
            <w:tcW w:w="4355" w:type="pct"/>
            <w:tcBorders>
              <w:top w:val="single" w:color="000000" w:sz="4" w:space="0"/>
              <w:left w:val="single" w:color="000000" w:sz="4" w:space="0"/>
              <w:bottom w:val="single" w:color="000000" w:sz="4" w:space="0"/>
              <w:right w:val="single" w:color="000000" w:sz="4" w:space="0"/>
            </w:tcBorders>
            <w:vAlign w:val="top"/>
          </w:tcPr>
          <w:p w14:paraId="1BEF8989">
            <w:pPr>
              <w:pStyle w:val="2857"/>
              <w:keepNext w:val="0"/>
              <w:keepLines w:val="0"/>
              <w:pageBreakBefore w:val="0"/>
              <w:widowControl w:val="0"/>
              <w:kinsoku/>
              <w:wordWrap/>
              <w:overflowPunct/>
              <w:topLinePunct w:val="0"/>
              <w:autoSpaceDE/>
              <w:autoSpaceDN/>
              <w:bidi w:val="0"/>
              <w:adjustRightInd/>
              <w:snapToGrid/>
              <w:spacing w:line="360" w:lineRule="exact"/>
              <w:ind w:left="0" w:right="0" w:firstLine="0"/>
              <w:jc w:val="left"/>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本工程由大庆油田有限责任公司采气分公司负责，采气分公司已经建立 HSE 管理体系。按照《石油天然气工业健康、安全与环境管理体系》（SY/T6276-2014）的要求，环境管理机构基本设置如下：在分公司设 HSE 委员会，下设 HSE 办公室，基层单位设作业区（中心、大队、所）HSE 委员会。采气分公司HSE 办公室设 10名兼职环保人员，基层单位各设置 2 名环保兼职人员，在各小队设兼职 HSE 现场监督员，逐级落实岗位责任制。</w:t>
            </w:r>
          </w:p>
        </w:tc>
      </w:tr>
    </w:tbl>
    <w:p w14:paraId="462A84A1">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由上表可知，上述项目与本工程施工工艺、产污及污染途径、污染防治措施等均基本一致，且与本工程地理位置相近， 自然环境和土壤类型、周边土壤环境敏感程度均基本相同。且上述类比项目均取得相关环保手续，类比的项目与本工程地理位置相近，自然环境与土壤类型均相似，在施工结束进行了地表植被恢复，因此具有类比性。</w:t>
      </w:r>
    </w:p>
    <w:p w14:paraId="36974EA7">
      <w:pPr>
        <w:pStyle w:val="46"/>
        <w:keepNext w:val="0"/>
        <w:keepLines w:val="0"/>
        <w:pageBreakBefore w:val="0"/>
        <w:kinsoku/>
        <w:wordWrap/>
        <w:overflowPunct/>
        <w:topLinePunct w:val="0"/>
        <w:autoSpaceDE/>
        <w:autoSpaceDN/>
        <w:bidi w:val="0"/>
        <w:adjustRightInd/>
        <w:snapToGrid/>
        <w:spacing w:after="0" w:line="440" w:lineRule="exact"/>
        <w:ind w:left="0" w:leftChars="0" w:right="0" w:firstLine="474" w:firstLineChars="200"/>
        <w:jc w:val="both"/>
        <w:textAlignment w:val="auto"/>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（7）预测结果分析</w:t>
      </w:r>
    </w:p>
    <w:p w14:paraId="100DA643">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根据类比项目验收调查报告，土壤质量监测结果见表</w:t>
      </w:r>
      <w:r>
        <w:rPr>
          <w:rFonts w:hint="eastAsia" w:ascii="Times New Roman" w:hAnsi="Times New Roman" w:eastAsia="宋体" w:cs="Times New Roman"/>
          <w:color w:val="auto"/>
          <w:w w:val="99"/>
          <w:kern w:val="0"/>
          <w:sz w:val="24"/>
          <w:szCs w:val="24"/>
          <w:highlight w:val="none"/>
          <w:lang w:val="en-US" w:eastAsia="zh-CN" w:bidi="zh-CN"/>
        </w:rPr>
        <w:t>5.7-</w:t>
      </w:r>
      <w:r>
        <w:rPr>
          <w:rFonts w:hint="eastAsia" w:ascii="Times New Roman" w:hAnsi="Times New Roman" w:cs="Times New Roman"/>
          <w:color w:val="auto"/>
          <w:w w:val="99"/>
          <w:kern w:val="0"/>
          <w:sz w:val="24"/>
          <w:szCs w:val="24"/>
          <w:highlight w:val="none"/>
          <w:lang w:val="en-US" w:eastAsia="zh-CN" w:bidi="zh-CN"/>
        </w:rPr>
        <w:t>4</w:t>
      </w:r>
      <w:r>
        <w:rPr>
          <w:rFonts w:hint="default" w:ascii="Times New Roman" w:hAnsi="Times New Roman" w:eastAsia="宋体" w:cs="Times New Roman"/>
          <w:color w:val="auto"/>
          <w:w w:val="99"/>
          <w:kern w:val="0"/>
          <w:sz w:val="24"/>
          <w:szCs w:val="24"/>
          <w:highlight w:val="none"/>
          <w:lang w:val="en-US" w:eastAsia="zh-CN" w:bidi="zh-CN"/>
        </w:rPr>
        <w:t xml:space="preserve"> ，取样层位为0-20cm处。</w:t>
      </w:r>
    </w:p>
    <w:p w14:paraId="4D9F1D52">
      <w:pPr>
        <w:pStyle w:val="2"/>
        <w:keepNext w:val="0"/>
        <w:keepLines w:val="0"/>
        <w:pageBreakBefore w:val="0"/>
        <w:kinsoku/>
        <w:wordWrap/>
        <w:overflowPunct/>
        <w:topLinePunct w:val="0"/>
        <w:autoSpaceDE/>
        <w:autoSpaceDN/>
        <w:bidi w:val="0"/>
        <w:adjustRightInd/>
        <w:snapToGrid/>
        <w:spacing w:line="440" w:lineRule="exact"/>
        <w:ind w:left="0" w:right="0" w:firstLine="476" w:firstLineChars="200"/>
        <w:jc w:val="both"/>
        <w:textAlignment w:val="auto"/>
        <w:rPr>
          <w:color w:val="auto"/>
          <w:highlight w:val="none"/>
        </w:rPr>
      </w:pPr>
      <w:r>
        <w:rPr>
          <w:rFonts w:ascii="Times New Roman" w:hAnsi="Times New Roman" w:cs="Times New Roman" w:eastAsiaTheme="minorEastAsia"/>
          <w:b/>
          <w:bCs w:val="0"/>
          <w:color w:val="auto"/>
          <w:w w:val="99"/>
          <w:sz w:val="24"/>
          <w:szCs w:val="24"/>
          <w:highlight w:val="none"/>
          <w:lang w:val="en-US" w:eastAsia="zh-CN" w:bidi="ar-SA"/>
        </w:rPr>
        <w:t>表 5.</w:t>
      </w:r>
      <w:r>
        <w:rPr>
          <w:rFonts w:hint="eastAsia" w:ascii="Times New Roman" w:hAnsi="Times New Roman" w:cs="Times New Roman" w:eastAsiaTheme="minorEastAsia"/>
          <w:b/>
          <w:bCs w:val="0"/>
          <w:color w:val="auto"/>
          <w:w w:val="99"/>
          <w:sz w:val="24"/>
          <w:szCs w:val="24"/>
          <w:highlight w:val="none"/>
          <w:lang w:val="en-US" w:eastAsia="zh-CN" w:bidi="ar-SA"/>
        </w:rPr>
        <w:t>7-4</w:t>
      </w:r>
      <w:r>
        <w:rPr>
          <w:rFonts w:ascii="Times New Roman" w:hAnsi="Times New Roman" w:cs="Times New Roman" w:eastAsiaTheme="minorEastAsia"/>
          <w:b/>
          <w:bCs w:val="0"/>
          <w:color w:val="auto"/>
          <w:w w:val="99"/>
          <w:sz w:val="24"/>
          <w:szCs w:val="24"/>
          <w:highlight w:val="none"/>
          <w:lang w:val="en-US" w:eastAsia="zh-CN" w:bidi="ar-SA"/>
        </w:rPr>
        <w:t xml:space="preserve">  类比项目土壤质量监测结果一览表 单位：mg/kg（除 pH 外）</w:t>
      </w:r>
    </w:p>
    <w:tbl>
      <w:tblPr>
        <w:tblStyle w:val="1662"/>
        <w:tblW w:w="90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52"/>
        <w:gridCol w:w="2079"/>
        <w:gridCol w:w="787"/>
        <w:gridCol w:w="684"/>
        <w:gridCol w:w="668"/>
        <w:gridCol w:w="641"/>
        <w:gridCol w:w="374"/>
        <w:gridCol w:w="637"/>
        <w:gridCol w:w="374"/>
        <w:gridCol w:w="374"/>
        <w:gridCol w:w="374"/>
        <w:gridCol w:w="637"/>
      </w:tblGrid>
      <w:tr w14:paraId="7306E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452" w:type="dxa"/>
            <w:vMerge w:val="restart"/>
            <w:vAlign w:val="center"/>
          </w:tcPr>
          <w:p w14:paraId="57614A6C">
            <w:pPr>
              <w:pStyle w:val="2857"/>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项目</w:t>
            </w:r>
          </w:p>
        </w:tc>
        <w:tc>
          <w:tcPr>
            <w:tcW w:w="2079" w:type="dxa"/>
            <w:vMerge w:val="restart"/>
            <w:vAlign w:val="center"/>
          </w:tcPr>
          <w:p w14:paraId="32D105D9">
            <w:pPr>
              <w:pStyle w:val="2857"/>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监测点</w:t>
            </w:r>
          </w:p>
        </w:tc>
        <w:tc>
          <w:tcPr>
            <w:tcW w:w="5550" w:type="dxa"/>
            <w:gridSpan w:val="10"/>
            <w:vAlign w:val="center"/>
          </w:tcPr>
          <w:p w14:paraId="438A3312">
            <w:pPr>
              <w:pStyle w:val="2857"/>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监测因子</w:t>
            </w:r>
          </w:p>
        </w:tc>
      </w:tr>
      <w:tr w14:paraId="0F1AA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1452" w:type="dxa"/>
            <w:vMerge w:val="continue"/>
            <w:vAlign w:val="center"/>
          </w:tcPr>
          <w:p w14:paraId="655AE44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p>
        </w:tc>
        <w:tc>
          <w:tcPr>
            <w:tcW w:w="2079" w:type="dxa"/>
            <w:vMerge w:val="continue"/>
            <w:vAlign w:val="center"/>
          </w:tcPr>
          <w:p w14:paraId="38AF38A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p>
        </w:tc>
        <w:tc>
          <w:tcPr>
            <w:tcW w:w="787" w:type="dxa"/>
            <w:vAlign w:val="center"/>
          </w:tcPr>
          <w:p w14:paraId="1F304618">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pH</w:t>
            </w:r>
          </w:p>
        </w:tc>
        <w:tc>
          <w:tcPr>
            <w:tcW w:w="684" w:type="dxa"/>
            <w:vAlign w:val="center"/>
          </w:tcPr>
          <w:p w14:paraId="57137978">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Cd</w:t>
            </w:r>
          </w:p>
        </w:tc>
        <w:tc>
          <w:tcPr>
            <w:tcW w:w="668" w:type="dxa"/>
            <w:vAlign w:val="center"/>
          </w:tcPr>
          <w:p w14:paraId="41C9CD79">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Hg</w:t>
            </w:r>
          </w:p>
        </w:tc>
        <w:tc>
          <w:tcPr>
            <w:tcW w:w="641" w:type="dxa"/>
            <w:vAlign w:val="center"/>
          </w:tcPr>
          <w:p w14:paraId="1F1D6691">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As</w:t>
            </w:r>
          </w:p>
        </w:tc>
        <w:tc>
          <w:tcPr>
            <w:tcW w:w="0" w:type="auto"/>
            <w:vAlign w:val="center"/>
          </w:tcPr>
          <w:p w14:paraId="5D7DEB7E">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Pb</w:t>
            </w:r>
          </w:p>
        </w:tc>
        <w:tc>
          <w:tcPr>
            <w:tcW w:w="0" w:type="auto"/>
            <w:vAlign w:val="center"/>
          </w:tcPr>
          <w:p w14:paraId="604D1594">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总铬</w:t>
            </w:r>
          </w:p>
        </w:tc>
        <w:tc>
          <w:tcPr>
            <w:tcW w:w="0" w:type="auto"/>
            <w:vAlign w:val="center"/>
          </w:tcPr>
          <w:p w14:paraId="5E20CBCC">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Cu</w:t>
            </w:r>
          </w:p>
        </w:tc>
        <w:tc>
          <w:tcPr>
            <w:tcW w:w="0" w:type="auto"/>
            <w:vAlign w:val="center"/>
          </w:tcPr>
          <w:p w14:paraId="3E83E087">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Ni</w:t>
            </w:r>
          </w:p>
        </w:tc>
        <w:tc>
          <w:tcPr>
            <w:tcW w:w="0" w:type="auto"/>
            <w:vAlign w:val="center"/>
          </w:tcPr>
          <w:p w14:paraId="10B3C18C">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Zn</w:t>
            </w:r>
          </w:p>
        </w:tc>
        <w:tc>
          <w:tcPr>
            <w:tcW w:w="0" w:type="auto"/>
            <w:vAlign w:val="center"/>
          </w:tcPr>
          <w:p w14:paraId="3F5C8F34">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石油烃</w:t>
            </w:r>
          </w:p>
        </w:tc>
      </w:tr>
      <w:tr w14:paraId="23B5F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452" w:type="dxa"/>
            <w:vMerge w:val="restart"/>
            <w:vAlign w:val="center"/>
          </w:tcPr>
          <w:p w14:paraId="5C6D9816">
            <w:pPr>
              <w:pStyle w:val="2857"/>
              <w:keepNext w:val="0"/>
              <w:keepLines w:val="0"/>
              <w:pageBreakBefore w:val="0"/>
              <w:widowControl/>
              <w:kinsoku/>
              <w:wordWrap/>
              <w:overflowPunct/>
              <w:topLinePunct w:val="0"/>
              <w:autoSpaceDE/>
              <w:autoSpaceDN/>
              <w:bidi w:val="0"/>
              <w:adjustRightInd/>
              <w:snapToGrid/>
              <w:spacing w:line="360" w:lineRule="exact"/>
              <w:ind w:right="0"/>
              <w:jc w:val="both"/>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cs="Times New Roman" w:eastAsiaTheme="minorEastAsia"/>
                <w:color w:val="auto"/>
                <w:w w:val="99"/>
                <w:sz w:val="21"/>
                <w:szCs w:val="21"/>
                <w:highlight w:val="none"/>
                <w:lang w:val="en-US" w:eastAsia="zh-CN" w:bidi="ar-SA"/>
              </w:rPr>
              <w:t>2017年徐深气田徐深27井区产能建设工程</w:t>
            </w:r>
          </w:p>
        </w:tc>
        <w:tc>
          <w:tcPr>
            <w:tcW w:w="2079" w:type="dxa"/>
            <w:vAlign w:val="center"/>
          </w:tcPr>
          <w:p w14:paraId="04751BE1">
            <w:pPr>
              <w:pStyle w:val="2857"/>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徐深2</w:t>
            </w:r>
            <w:r>
              <w:rPr>
                <w:rFonts w:hint="default" w:ascii="Times New Roman" w:hAnsi="Times New Roman" w:eastAsia="宋体" w:cs="Times New Roman"/>
                <w:color w:val="auto"/>
                <w:spacing w:val="0"/>
                <w:w w:val="99"/>
                <w:sz w:val="21"/>
                <w:szCs w:val="21"/>
                <w:highlight w:val="none"/>
                <w:lang w:val="en-US" w:eastAsia="en-US" w:bidi="ar-SA"/>
              </w:rPr>
              <w:t>7-</w:t>
            </w:r>
            <w:r>
              <w:rPr>
                <w:rFonts w:hint="eastAsia" w:ascii="Times New Roman" w:hAnsi="Times New Roman" w:eastAsia="宋体" w:cs="Times New Roman"/>
                <w:color w:val="auto"/>
                <w:spacing w:val="0"/>
                <w:w w:val="99"/>
                <w:sz w:val="21"/>
                <w:szCs w:val="21"/>
                <w:highlight w:val="none"/>
                <w:lang w:val="en-US" w:eastAsia="en-US" w:bidi="ar-SA"/>
              </w:rPr>
              <w:t>平1</w:t>
            </w:r>
            <w:r>
              <w:rPr>
                <w:rFonts w:hint="default" w:ascii="Times New Roman" w:hAnsi="Times New Roman" w:eastAsia="宋体" w:cs="Times New Roman"/>
                <w:color w:val="auto"/>
                <w:spacing w:val="0"/>
                <w:w w:val="99"/>
                <w:sz w:val="21"/>
                <w:szCs w:val="21"/>
                <w:highlight w:val="none"/>
                <w:lang w:val="en-US" w:eastAsia="en-US" w:bidi="ar-SA"/>
              </w:rPr>
              <w:t>井井场内</w:t>
            </w:r>
          </w:p>
        </w:tc>
        <w:tc>
          <w:tcPr>
            <w:tcW w:w="787" w:type="dxa"/>
            <w:vAlign w:val="center"/>
          </w:tcPr>
          <w:p w14:paraId="5E44F0EE">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7.66</w:t>
            </w:r>
          </w:p>
        </w:tc>
        <w:tc>
          <w:tcPr>
            <w:tcW w:w="684" w:type="dxa"/>
            <w:vAlign w:val="center"/>
          </w:tcPr>
          <w:p w14:paraId="2014F16D">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0.103</w:t>
            </w:r>
          </w:p>
        </w:tc>
        <w:tc>
          <w:tcPr>
            <w:tcW w:w="668" w:type="dxa"/>
            <w:vAlign w:val="center"/>
          </w:tcPr>
          <w:p w14:paraId="2E8453FC">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0.066</w:t>
            </w:r>
          </w:p>
        </w:tc>
        <w:tc>
          <w:tcPr>
            <w:tcW w:w="641" w:type="dxa"/>
            <w:vAlign w:val="center"/>
          </w:tcPr>
          <w:p w14:paraId="75302B01">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6.99</w:t>
            </w:r>
          </w:p>
        </w:tc>
        <w:tc>
          <w:tcPr>
            <w:tcW w:w="0" w:type="auto"/>
            <w:vAlign w:val="center"/>
          </w:tcPr>
          <w:p w14:paraId="255F7B2C">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19.6</w:t>
            </w:r>
          </w:p>
        </w:tc>
        <w:tc>
          <w:tcPr>
            <w:tcW w:w="0" w:type="auto"/>
            <w:vAlign w:val="center"/>
          </w:tcPr>
          <w:p w14:paraId="482AF66C">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53.4</w:t>
            </w:r>
          </w:p>
        </w:tc>
        <w:tc>
          <w:tcPr>
            <w:tcW w:w="0" w:type="auto"/>
            <w:vAlign w:val="center"/>
          </w:tcPr>
          <w:p w14:paraId="7F31D085">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16.9</w:t>
            </w:r>
          </w:p>
        </w:tc>
        <w:tc>
          <w:tcPr>
            <w:tcW w:w="0" w:type="auto"/>
            <w:vAlign w:val="center"/>
          </w:tcPr>
          <w:p w14:paraId="6F60CB07">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22.5</w:t>
            </w:r>
          </w:p>
        </w:tc>
        <w:tc>
          <w:tcPr>
            <w:tcW w:w="0" w:type="auto"/>
            <w:vAlign w:val="center"/>
          </w:tcPr>
          <w:p w14:paraId="60272432">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60.1</w:t>
            </w:r>
          </w:p>
        </w:tc>
        <w:tc>
          <w:tcPr>
            <w:tcW w:w="0" w:type="auto"/>
            <w:vAlign w:val="center"/>
          </w:tcPr>
          <w:p w14:paraId="467E499E">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50.3</w:t>
            </w:r>
          </w:p>
        </w:tc>
      </w:tr>
      <w:tr w14:paraId="204D6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1452" w:type="dxa"/>
            <w:vMerge w:val="continue"/>
            <w:vAlign w:val="center"/>
          </w:tcPr>
          <w:p w14:paraId="5F8F0418">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p>
        </w:tc>
        <w:tc>
          <w:tcPr>
            <w:tcW w:w="2079" w:type="dxa"/>
            <w:vAlign w:val="center"/>
          </w:tcPr>
          <w:p w14:paraId="28ABA43E">
            <w:pPr>
              <w:pStyle w:val="2857"/>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color w:val="auto"/>
                <w:spacing w:val="0"/>
                <w:w w:val="99"/>
                <w:sz w:val="21"/>
                <w:szCs w:val="21"/>
                <w:highlight w:val="none"/>
                <w:lang w:val="en-US" w:eastAsia="en-US" w:bidi="ar-SA"/>
              </w:rPr>
            </w:pPr>
            <w:r>
              <w:rPr>
                <w:rFonts w:hint="default" w:ascii="Times New Roman" w:hAnsi="Times New Roman" w:eastAsia="宋体" w:cs="Times New Roman"/>
                <w:color w:val="auto"/>
                <w:spacing w:val="0"/>
                <w:w w:val="99"/>
                <w:sz w:val="21"/>
                <w:szCs w:val="21"/>
                <w:highlight w:val="none"/>
                <w:lang w:val="en-US" w:eastAsia="en-US" w:bidi="ar-SA"/>
              </w:rPr>
              <w:t>徐深27-平1</w:t>
            </w:r>
            <w:r>
              <w:rPr>
                <w:rFonts w:hint="eastAsia" w:ascii="Times New Roman" w:hAnsi="Times New Roman" w:eastAsia="宋体" w:cs="Times New Roman"/>
                <w:color w:val="auto"/>
                <w:spacing w:val="0"/>
                <w:w w:val="99"/>
                <w:sz w:val="21"/>
                <w:szCs w:val="21"/>
                <w:highlight w:val="none"/>
                <w:lang w:val="en-US" w:eastAsia="en-US" w:bidi="ar-SA"/>
              </w:rPr>
              <w:t>井场</w:t>
            </w:r>
            <w:r>
              <w:rPr>
                <w:rFonts w:hint="default" w:ascii="Times New Roman" w:hAnsi="Times New Roman" w:eastAsia="宋体" w:cs="Times New Roman"/>
                <w:color w:val="auto"/>
                <w:spacing w:val="0"/>
                <w:w w:val="99"/>
                <w:sz w:val="21"/>
                <w:szCs w:val="21"/>
                <w:highlight w:val="none"/>
                <w:lang w:val="en-US" w:eastAsia="en-US" w:bidi="ar-SA"/>
              </w:rPr>
              <w:t>北30m</w:t>
            </w:r>
          </w:p>
        </w:tc>
        <w:tc>
          <w:tcPr>
            <w:tcW w:w="787" w:type="dxa"/>
            <w:vAlign w:val="center"/>
          </w:tcPr>
          <w:p w14:paraId="107B9420">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8.15</w:t>
            </w:r>
          </w:p>
        </w:tc>
        <w:tc>
          <w:tcPr>
            <w:tcW w:w="684" w:type="dxa"/>
            <w:vAlign w:val="center"/>
          </w:tcPr>
          <w:p w14:paraId="4391C992">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0.114</w:t>
            </w:r>
          </w:p>
        </w:tc>
        <w:tc>
          <w:tcPr>
            <w:tcW w:w="668" w:type="dxa"/>
            <w:vAlign w:val="center"/>
          </w:tcPr>
          <w:p w14:paraId="54ACBAF6">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0.099</w:t>
            </w:r>
          </w:p>
        </w:tc>
        <w:tc>
          <w:tcPr>
            <w:tcW w:w="641" w:type="dxa"/>
            <w:vAlign w:val="center"/>
          </w:tcPr>
          <w:p w14:paraId="7FF4D731">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7.18</w:t>
            </w:r>
          </w:p>
        </w:tc>
        <w:tc>
          <w:tcPr>
            <w:tcW w:w="0" w:type="auto"/>
            <w:vAlign w:val="center"/>
          </w:tcPr>
          <w:p w14:paraId="71CD4365">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21.7</w:t>
            </w:r>
          </w:p>
        </w:tc>
        <w:tc>
          <w:tcPr>
            <w:tcW w:w="0" w:type="auto"/>
            <w:vAlign w:val="center"/>
          </w:tcPr>
          <w:p w14:paraId="185CD150">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54.6</w:t>
            </w:r>
          </w:p>
        </w:tc>
        <w:tc>
          <w:tcPr>
            <w:tcW w:w="0" w:type="auto"/>
            <w:vAlign w:val="center"/>
          </w:tcPr>
          <w:p w14:paraId="22309270">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19.0</w:t>
            </w:r>
          </w:p>
        </w:tc>
        <w:tc>
          <w:tcPr>
            <w:tcW w:w="0" w:type="auto"/>
            <w:vAlign w:val="center"/>
          </w:tcPr>
          <w:p w14:paraId="02459172">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23.2</w:t>
            </w:r>
          </w:p>
        </w:tc>
        <w:tc>
          <w:tcPr>
            <w:tcW w:w="0" w:type="auto"/>
            <w:vAlign w:val="center"/>
          </w:tcPr>
          <w:p w14:paraId="79DCEB77">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62.4</w:t>
            </w:r>
          </w:p>
        </w:tc>
        <w:tc>
          <w:tcPr>
            <w:tcW w:w="0" w:type="auto"/>
            <w:vAlign w:val="center"/>
          </w:tcPr>
          <w:p w14:paraId="0D5B2420">
            <w:pPr>
              <w:pStyle w:val="173"/>
              <w:ind w:left="420" w:leftChars="0" w:hanging="420" w:firstLineChars="0"/>
              <w:rPr>
                <w:rFonts w:hint="default" w:ascii="Times New Roman" w:hAnsi="Times New Roman" w:eastAsia="宋体" w:cs="Times New Roman"/>
                <w:color w:val="auto"/>
                <w:spacing w:val="0"/>
                <w:w w:val="99"/>
                <w:sz w:val="21"/>
                <w:szCs w:val="21"/>
                <w:highlight w:val="none"/>
                <w:lang w:val="en-US" w:eastAsia="en-US" w:bidi="ar-SA"/>
              </w:rPr>
            </w:pPr>
            <w:r>
              <w:rPr>
                <w:rFonts w:hint="eastAsia" w:ascii="Times New Roman" w:hAnsi="Times New Roman" w:eastAsia="宋体" w:cs="Times New Roman"/>
                <w:color w:val="auto"/>
                <w:spacing w:val="0"/>
                <w:w w:val="99"/>
                <w:sz w:val="21"/>
                <w:szCs w:val="21"/>
                <w:highlight w:val="none"/>
                <w:lang w:val="en-US" w:eastAsia="en-US" w:bidi="ar-SA"/>
              </w:rPr>
              <w:t>53.6</w:t>
            </w:r>
          </w:p>
        </w:tc>
      </w:tr>
    </w:tbl>
    <w:p w14:paraId="61A0D686">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根据表5.</w:t>
      </w:r>
      <w:r>
        <w:rPr>
          <w:rFonts w:hint="eastAsia" w:ascii="Times New Roman" w:hAnsi="Times New Roman" w:eastAsia="宋体" w:cs="Times New Roman"/>
          <w:color w:val="auto"/>
          <w:w w:val="99"/>
          <w:kern w:val="0"/>
          <w:sz w:val="24"/>
          <w:szCs w:val="24"/>
          <w:highlight w:val="none"/>
          <w:lang w:val="en-US" w:eastAsia="zh-CN" w:bidi="zh-CN"/>
        </w:rPr>
        <w:t>7</w:t>
      </w:r>
      <w:r>
        <w:rPr>
          <w:rFonts w:hint="default" w:ascii="Times New Roman" w:hAnsi="Times New Roman" w:eastAsia="宋体" w:cs="Times New Roman"/>
          <w:color w:val="auto"/>
          <w:w w:val="99"/>
          <w:kern w:val="0"/>
          <w:sz w:val="24"/>
          <w:szCs w:val="24"/>
          <w:highlight w:val="none"/>
          <w:lang w:val="en-US" w:eastAsia="zh-CN" w:bidi="zh-CN"/>
        </w:rPr>
        <w:t>-2可知，占地范围内的建设用地与占地范围外的农用地土壤pH值相差不大，石油烃监测浓度值较小，同时项目占地范围内土壤中的石油烃、Pb、Hg、Cr、As等污染物均满足《土壤环境质量 建设用地土壤污染风险管控标准（试行）》（GB36600-2018）风险筛选值中第二类用地限值要求， 占地范围外的农用地土壤中 Pb 、Hg、Cr 、As 等污染物均满足《土壤环境质量 农用地土壤污染风险管控标准（试行）》（GB15618-2018）筛选值标准，说明建设单位在项目实施之后较好地落实了污染防治措施，气田开发对土壤环境影响较小。</w:t>
      </w:r>
    </w:p>
    <w:p w14:paraId="2320AFB5">
      <w:pPr>
        <w:keepNext w:val="0"/>
        <w:keepLines w:val="0"/>
        <w:pageBreakBefore w:val="0"/>
        <w:kinsoku/>
        <w:wordWrap/>
        <w:overflowPunct/>
        <w:topLinePunct w:val="0"/>
        <w:autoSpaceDE/>
        <w:autoSpaceDN/>
        <w:bidi w:val="0"/>
        <w:adjustRightInd/>
        <w:snapToGrid/>
        <w:spacing w:line="440" w:lineRule="exact"/>
        <w:ind w:left="0" w:right="0" w:firstLine="474" w:firstLineChars="200"/>
        <w:jc w:val="both"/>
        <w:textAlignment w:val="auto"/>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类比得出，在建设单位严格落实污染防治措施的前提下，项目对土壤环境影响较小。</w:t>
      </w:r>
    </w:p>
    <w:p w14:paraId="060B5A58">
      <w:pPr>
        <w:pStyle w:val="7"/>
        <w:widowControl w:val="0"/>
        <w:spacing w:before="60" w:after="60" w:line="440" w:lineRule="exact"/>
        <w:jc w:val="both"/>
        <w:rPr>
          <w:rFonts w:eastAsiaTheme="minorEastAsia"/>
          <w:b/>
          <w:color w:val="auto"/>
          <w:w w:val="99"/>
          <w:kern w:val="2"/>
          <w:sz w:val="24"/>
          <w:szCs w:val="24"/>
          <w:highlight w:val="none"/>
        </w:rPr>
      </w:pPr>
      <w:bookmarkStart w:id="972" w:name="_Toc186444364"/>
      <w:r>
        <w:rPr>
          <w:rFonts w:eastAsiaTheme="minorEastAsia"/>
          <w:b/>
          <w:color w:val="auto"/>
          <w:w w:val="99"/>
          <w:kern w:val="2"/>
          <w:sz w:val="24"/>
          <w:szCs w:val="24"/>
          <w:highlight w:val="none"/>
        </w:rPr>
        <w:t>5.7</w:t>
      </w:r>
      <w:r>
        <w:rPr>
          <w:rFonts w:hint="eastAsia" w:eastAsiaTheme="minorEastAsia"/>
          <w:b/>
          <w:color w:val="auto"/>
          <w:w w:val="99"/>
          <w:kern w:val="2"/>
          <w:sz w:val="24"/>
          <w:szCs w:val="24"/>
          <w:highlight w:val="none"/>
          <w:lang w:val="en-US" w:eastAsia="zh-CN"/>
        </w:rPr>
        <w:t>.3</w:t>
      </w:r>
      <w:r>
        <w:rPr>
          <w:rFonts w:eastAsiaTheme="minorEastAsia"/>
          <w:b/>
          <w:color w:val="auto"/>
          <w:w w:val="99"/>
          <w:kern w:val="2"/>
          <w:sz w:val="24"/>
          <w:szCs w:val="24"/>
          <w:highlight w:val="none"/>
        </w:rPr>
        <w:t>评价结论</w:t>
      </w:r>
      <w:bookmarkEnd w:id="972"/>
    </w:p>
    <w:p w14:paraId="7C958D6C">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综上所述，本项目在施工期及运营期采取上述相关防治措施后，项目的开发建设对区域土壤环境影响较小。本项目土壤环境影响评价自查表见附表3。</w:t>
      </w:r>
    </w:p>
    <w:bookmarkEnd w:id="950"/>
    <w:bookmarkEnd w:id="951"/>
    <w:bookmarkEnd w:id="959"/>
    <w:bookmarkEnd w:id="960"/>
    <w:bookmarkEnd w:id="961"/>
    <w:bookmarkEnd w:id="962"/>
    <w:bookmarkEnd w:id="963"/>
    <w:bookmarkEnd w:id="964"/>
    <w:bookmarkEnd w:id="965"/>
    <w:p w14:paraId="105F75ED">
      <w:pPr>
        <w:pStyle w:val="5"/>
        <w:keepNext w:val="0"/>
        <w:keepLines w:val="0"/>
        <w:widowControl w:val="0"/>
        <w:spacing w:before="120" w:after="120"/>
        <w:rPr>
          <w:rFonts w:ascii="Times New Roman" w:hAnsi="Times New Roman" w:eastAsia="宋体"/>
          <w:b/>
          <w:snapToGrid w:val="0"/>
          <w:color w:val="auto"/>
          <w:w w:val="99"/>
          <w:highlight w:val="none"/>
        </w:rPr>
      </w:pPr>
      <w:bookmarkStart w:id="973" w:name="_Toc1374"/>
      <w:r>
        <w:rPr>
          <w:rFonts w:ascii="Times New Roman" w:hAnsi="Times New Roman" w:eastAsia="宋体"/>
          <w:b/>
          <w:snapToGrid w:val="0"/>
          <w:color w:val="auto"/>
          <w:w w:val="99"/>
          <w:highlight w:val="none"/>
        </w:rPr>
        <w:t>5.8环境风险分析</w:t>
      </w:r>
      <w:bookmarkEnd w:id="952"/>
      <w:bookmarkEnd w:id="973"/>
    </w:p>
    <w:p w14:paraId="393BCB28">
      <w:pPr>
        <w:pStyle w:val="7"/>
        <w:widowControl w:val="0"/>
        <w:spacing w:before="60" w:after="60" w:line="440" w:lineRule="exact"/>
        <w:jc w:val="both"/>
        <w:rPr>
          <w:rFonts w:eastAsiaTheme="minorEastAsia"/>
          <w:b/>
          <w:color w:val="auto"/>
          <w:w w:val="99"/>
          <w:kern w:val="2"/>
          <w:sz w:val="24"/>
          <w:szCs w:val="24"/>
          <w:highlight w:val="none"/>
        </w:rPr>
      </w:pPr>
      <w:bookmarkStart w:id="974" w:name="_Toc86142010"/>
      <w:bookmarkStart w:id="975" w:name="_Toc126863467"/>
      <w:bookmarkStart w:id="976" w:name="_Toc127192416"/>
      <w:bookmarkStart w:id="977" w:name="_Toc84929307"/>
      <w:bookmarkStart w:id="978" w:name="_Toc131167368"/>
      <w:bookmarkStart w:id="979" w:name="_Toc143099655"/>
      <w:bookmarkStart w:id="980" w:name="_Toc186444366"/>
      <w:bookmarkStart w:id="981" w:name="_Toc85640835"/>
      <w:bookmarkStart w:id="982" w:name="_Toc80588330"/>
      <w:bookmarkStart w:id="983" w:name="_Toc78816535"/>
      <w:bookmarkStart w:id="984" w:name="_Toc83209552"/>
      <w:bookmarkStart w:id="985" w:name="_Toc67860210"/>
      <w:bookmarkStart w:id="986" w:name="_Toc76976320"/>
      <w:bookmarkStart w:id="987" w:name="_Toc70050260"/>
      <w:bookmarkStart w:id="988" w:name="_Toc80971452"/>
      <w:bookmarkStart w:id="989" w:name="_Toc77067732"/>
      <w:r>
        <w:rPr>
          <w:rFonts w:eastAsiaTheme="minorEastAsia"/>
          <w:b/>
          <w:color w:val="auto"/>
          <w:w w:val="99"/>
          <w:kern w:val="2"/>
          <w:sz w:val="24"/>
          <w:szCs w:val="24"/>
          <w:highlight w:val="none"/>
        </w:rPr>
        <w:t>5.8.1风险调查</w:t>
      </w:r>
      <w:bookmarkEnd w:id="974"/>
      <w:bookmarkEnd w:id="975"/>
      <w:bookmarkEnd w:id="976"/>
      <w:bookmarkEnd w:id="977"/>
      <w:bookmarkEnd w:id="978"/>
      <w:bookmarkEnd w:id="979"/>
      <w:bookmarkEnd w:id="980"/>
      <w:bookmarkEnd w:id="981"/>
    </w:p>
    <w:p w14:paraId="776729BF">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本项目施工期为地面工程建设，均为土建施工，无风险单元。涉及的危险物质主要为运营期天然气、火灾爆炸事故次生CO等。天然气为本项目开采的产品，存在于整个天然气集输及处理系统中。</w:t>
      </w:r>
    </w:p>
    <w:p w14:paraId="74853805">
      <w:pPr>
        <w:keepNext/>
        <w:keepLines/>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eastAsia" w:ascii="Times New Roman" w:hAnsi="Times New Roman" w:eastAsia="宋体" w:cs="Times New Roman"/>
          <w:bCs w:val="0"/>
          <w:color w:val="auto"/>
          <w:w w:val="99"/>
          <w:kern w:val="0"/>
          <w:sz w:val="24"/>
          <w:szCs w:val="24"/>
          <w:highlight w:val="none"/>
          <w:lang w:val="en-US" w:eastAsia="zh-CN" w:bidi="zh-CN"/>
        </w:rPr>
      </w:pPr>
      <w:r>
        <w:rPr>
          <w:rFonts w:hint="eastAsia" w:ascii="Times New Roman" w:hAnsi="Times New Roman" w:eastAsia="宋体" w:cs="Times New Roman"/>
          <w:bCs w:val="0"/>
          <w:color w:val="auto"/>
          <w:w w:val="99"/>
          <w:kern w:val="0"/>
          <w:sz w:val="24"/>
          <w:szCs w:val="24"/>
          <w:highlight w:val="none"/>
          <w:lang w:val="en-US" w:eastAsia="zh-CN" w:bidi="zh-CN"/>
        </w:rPr>
        <w:t>（1）天然气</w:t>
      </w:r>
    </w:p>
    <w:p w14:paraId="711FA2FB">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bCs w:val="0"/>
          <w:color w:val="auto"/>
          <w:w w:val="99"/>
          <w:kern w:val="0"/>
          <w:sz w:val="24"/>
          <w:szCs w:val="24"/>
          <w:highlight w:val="none"/>
          <w:lang w:val="en-US" w:eastAsia="zh-CN" w:bidi="zh-CN"/>
        </w:rPr>
        <w:t>天然气以甲烷（CH</w:t>
      </w:r>
      <w:r>
        <w:rPr>
          <w:rFonts w:hint="eastAsia" w:ascii="Times New Roman" w:hAnsi="Times New Roman" w:eastAsia="宋体" w:cs="Times New Roman"/>
          <w:bCs w:val="0"/>
          <w:color w:val="auto"/>
          <w:w w:val="99"/>
          <w:kern w:val="0"/>
          <w:sz w:val="24"/>
          <w:szCs w:val="24"/>
          <w:highlight w:val="none"/>
          <w:vertAlign w:val="subscript"/>
          <w:lang w:val="en-US" w:eastAsia="zh-CN" w:bidi="zh-CN"/>
        </w:rPr>
        <w:t>4</w:t>
      </w:r>
      <w:r>
        <w:rPr>
          <w:rFonts w:hint="eastAsia" w:ascii="Times New Roman" w:hAnsi="Times New Roman" w:eastAsia="宋体" w:cs="Times New Roman"/>
          <w:bCs w:val="0"/>
          <w:color w:val="auto"/>
          <w:w w:val="99"/>
          <w:kern w:val="0"/>
          <w:sz w:val="24"/>
          <w:szCs w:val="24"/>
          <w:highlight w:val="none"/>
          <w:lang w:val="en-US" w:eastAsia="zh-CN" w:bidi="zh-CN"/>
        </w:rPr>
        <w:t>）气为主，并且含有总量不多、各自数量不等的重烃（C</w:t>
      </w:r>
      <w:r>
        <w:rPr>
          <w:rFonts w:hint="eastAsia" w:ascii="Times New Roman" w:hAnsi="Times New Roman" w:eastAsia="宋体" w:cs="Times New Roman"/>
          <w:bCs w:val="0"/>
          <w:color w:val="auto"/>
          <w:w w:val="99"/>
          <w:kern w:val="0"/>
          <w:sz w:val="24"/>
          <w:szCs w:val="24"/>
          <w:highlight w:val="none"/>
          <w:vertAlign w:val="subscript"/>
          <w:lang w:val="en-US" w:eastAsia="zh-CN" w:bidi="zh-CN"/>
        </w:rPr>
        <w:t>2</w:t>
      </w:r>
      <w:r>
        <w:rPr>
          <w:rFonts w:hint="eastAsia" w:ascii="Times New Roman" w:hAnsi="Times New Roman" w:eastAsia="宋体" w:cs="Times New Roman"/>
          <w:bCs w:val="0"/>
          <w:color w:val="auto"/>
          <w:w w:val="99"/>
          <w:kern w:val="0"/>
          <w:sz w:val="24"/>
          <w:szCs w:val="24"/>
          <w:highlight w:val="none"/>
          <w:lang w:val="en-US" w:eastAsia="zh-CN" w:bidi="zh-CN"/>
        </w:rPr>
        <w:t>-C</w:t>
      </w:r>
      <w:r>
        <w:rPr>
          <w:rFonts w:hint="eastAsia" w:ascii="Times New Roman" w:hAnsi="Times New Roman" w:eastAsia="宋体" w:cs="Times New Roman"/>
          <w:bCs w:val="0"/>
          <w:color w:val="auto"/>
          <w:w w:val="99"/>
          <w:kern w:val="0"/>
          <w:sz w:val="24"/>
          <w:szCs w:val="24"/>
          <w:highlight w:val="none"/>
          <w:vertAlign w:val="subscript"/>
          <w:lang w:val="en-US" w:eastAsia="zh-CN" w:bidi="zh-CN"/>
        </w:rPr>
        <w:t>5</w:t>
      </w:r>
      <w:r>
        <w:rPr>
          <w:rFonts w:hint="eastAsia" w:ascii="Times New Roman" w:hAnsi="Times New Roman" w:eastAsia="宋体" w:cs="Times New Roman"/>
          <w:bCs w:val="0"/>
          <w:color w:val="auto"/>
          <w:w w:val="99"/>
          <w:kern w:val="0"/>
          <w:sz w:val="24"/>
          <w:szCs w:val="24"/>
          <w:highlight w:val="none"/>
          <w:lang w:val="en-US" w:eastAsia="zh-CN" w:bidi="zh-CN"/>
        </w:rPr>
        <w:t>）气。根据天然气中重烃（C</w:t>
      </w:r>
      <w:r>
        <w:rPr>
          <w:rFonts w:hint="eastAsia" w:ascii="Times New Roman" w:hAnsi="Times New Roman" w:eastAsia="宋体" w:cs="Times New Roman"/>
          <w:bCs w:val="0"/>
          <w:color w:val="auto"/>
          <w:w w:val="99"/>
          <w:kern w:val="0"/>
          <w:sz w:val="24"/>
          <w:szCs w:val="24"/>
          <w:highlight w:val="none"/>
          <w:vertAlign w:val="subscript"/>
          <w:lang w:val="en-US" w:eastAsia="zh-CN" w:bidi="zh-CN"/>
        </w:rPr>
        <w:t>2</w:t>
      </w:r>
      <w:r>
        <w:rPr>
          <w:rFonts w:hint="eastAsia" w:ascii="Times New Roman" w:hAnsi="Times New Roman" w:eastAsia="宋体" w:cs="Times New Roman"/>
          <w:bCs w:val="0"/>
          <w:color w:val="auto"/>
          <w:w w:val="99"/>
          <w:kern w:val="0"/>
          <w:sz w:val="24"/>
          <w:szCs w:val="24"/>
          <w:highlight w:val="none"/>
          <w:lang w:val="en-US" w:eastAsia="zh-CN" w:bidi="zh-CN"/>
        </w:rPr>
        <w:t>以上）的含量，把天然气分为干气（贫气）和湿气（富气）。</w:t>
      </w:r>
      <w:r>
        <w:rPr>
          <w:rFonts w:hint="eastAsia" w:ascii="Times New Roman" w:hAnsi="Times New Roman" w:eastAsia="宋体" w:cs="Times New Roman"/>
          <w:color w:val="auto"/>
          <w:w w:val="99"/>
          <w:kern w:val="0"/>
          <w:sz w:val="24"/>
          <w:szCs w:val="24"/>
          <w:highlight w:val="none"/>
          <w:lang w:val="en-US" w:eastAsia="zh-CN" w:bidi="zh-CN"/>
        </w:rPr>
        <w:t>重烃含量高于或等于5%的定为湿气，含量低于5%的定为干气。</w:t>
      </w:r>
    </w:p>
    <w:p w14:paraId="35C316F8">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天然气主要成分是含大量低分子烷烃混合物，重度为 0.91kg/m</w:t>
      </w:r>
      <w:r>
        <w:rPr>
          <w:rFonts w:hint="eastAsia" w:ascii="Times New Roman" w:hAnsi="Times New Roman" w:eastAsia="宋体" w:cs="Times New Roman"/>
          <w:color w:val="auto"/>
          <w:w w:val="99"/>
          <w:kern w:val="0"/>
          <w:sz w:val="24"/>
          <w:szCs w:val="24"/>
          <w:highlight w:val="none"/>
          <w:vertAlign w:val="superscript"/>
          <w:lang w:val="en-US" w:eastAsia="zh-CN" w:bidi="zh-CN"/>
        </w:rPr>
        <w:t>3</w:t>
      </w:r>
      <w:r>
        <w:rPr>
          <w:rFonts w:hint="eastAsia" w:ascii="Times New Roman" w:hAnsi="Times New Roman" w:eastAsia="宋体" w:cs="Times New Roman"/>
          <w:color w:val="auto"/>
          <w:w w:val="99"/>
          <w:kern w:val="0"/>
          <w:sz w:val="24"/>
          <w:szCs w:val="24"/>
          <w:highlight w:val="none"/>
          <w:lang w:val="en-US" w:eastAsia="zh-CN" w:bidi="zh-CN"/>
        </w:rPr>
        <w:t>（标态），比重0.7，低发热值10128kcal/m</w:t>
      </w:r>
      <w:r>
        <w:rPr>
          <w:rFonts w:hint="eastAsia" w:ascii="Times New Roman" w:hAnsi="Times New Roman" w:eastAsia="宋体" w:cs="Times New Roman"/>
          <w:color w:val="auto"/>
          <w:w w:val="99"/>
          <w:kern w:val="0"/>
          <w:sz w:val="24"/>
          <w:szCs w:val="24"/>
          <w:highlight w:val="none"/>
          <w:vertAlign w:val="superscript"/>
          <w:lang w:val="en-US" w:eastAsia="zh-CN" w:bidi="zh-CN"/>
        </w:rPr>
        <w:t xml:space="preserve">3 </w:t>
      </w:r>
      <w:r>
        <w:rPr>
          <w:rFonts w:hint="eastAsia" w:ascii="Times New Roman" w:hAnsi="Times New Roman" w:eastAsia="宋体" w:cs="Times New Roman"/>
          <w:color w:val="auto"/>
          <w:w w:val="99"/>
          <w:kern w:val="0"/>
          <w:sz w:val="24"/>
          <w:szCs w:val="24"/>
          <w:highlight w:val="none"/>
          <w:lang w:val="en-US" w:eastAsia="zh-CN" w:bidi="zh-CN"/>
        </w:rPr>
        <w:t>，比热 0.4935kal/kg℃ , 最小引燃能量0.28MJ，属甲类易燃气体。</w:t>
      </w:r>
    </w:p>
    <w:p w14:paraId="18550B60">
      <w:pPr>
        <w:pStyle w:val="153"/>
        <w:widowControl w:val="0"/>
        <w:spacing w:line="440" w:lineRule="exact"/>
        <w:ind w:firstLine="478"/>
        <w:rPr>
          <w:rFonts w:ascii="Times New Roman" w:hAnsi="Times New Roman" w:eastAsiaTheme="minorEastAsia"/>
          <w:b/>
          <w:bCs/>
          <w:color w:val="auto"/>
          <w:w w:val="99"/>
          <w:highlight w:val="none"/>
        </w:rPr>
      </w:pPr>
      <w:r>
        <w:rPr>
          <w:rFonts w:ascii="Times New Roman" w:hAnsi="Times New Roman" w:eastAsiaTheme="minorEastAsia"/>
          <w:b/>
          <w:bCs/>
          <w:color w:val="auto"/>
          <w:w w:val="99"/>
          <w:highlight w:val="none"/>
        </w:rPr>
        <w:t>表5.8-3    天然气安全技术说明书</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5"/>
        <w:gridCol w:w="2735"/>
        <w:gridCol w:w="2727"/>
        <w:gridCol w:w="2670"/>
      </w:tblGrid>
      <w:tr w14:paraId="24E57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4" w:type="pct"/>
            <w:gridSpan w:val="2"/>
            <w:vAlign w:val="center"/>
          </w:tcPr>
          <w:p w14:paraId="11A22F34">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CAS号 </w:t>
            </w:r>
          </w:p>
        </w:tc>
        <w:tc>
          <w:tcPr>
            <w:tcW w:w="2905" w:type="pct"/>
            <w:gridSpan w:val="2"/>
            <w:vAlign w:val="center"/>
          </w:tcPr>
          <w:p w14:paraId="15F9A2C1">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74-82-8 </w:t>
            </w:r>
          </w:p>
        </w:tc>
      </w:tr>
      <w:tr w14:paraId="2713F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4" w:type="pct"/>
            <w:gridSpan w:val="2"/>
            <w:vAlign w:val="center"/>
          </w:tcPr>
          <w:p w14:paraId="120C0C51">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中文名称 </w:t>
            </w:r>
          </w:p>
        </w:tc>
        <w:tc>
          <w:tcPr>
            <w:tcW w:w="2905" w:type="pct"/>
            <w:gridSpan w:val="2"/>
            <w:vAlign w:val="center"/>
          </w:tcPr>
          <w:p w14:paraId="7341317A">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天然气 </w:t>
            </w:r>
          </w:p>
        </w:tc>
      </w:tr>
      <w:tr w14:paraId="50A64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44B93366">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分子式 </w:t>
            </w:r>
          </w:p>
        </w:tc>
        <w:tc>
          <w:tcPr>
            <w:tcW w:w="1471" w:type="pct"/>
            <w:vAlign w:val="center"/>
          </w:tcPr>
          <w:p w14:paraId="0FF59E22">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CH</w:t>
            </w:r>
            <w:r>
              <w:rPr>
                <w:rFonts w:ascii="Times New Roman" w:hAnsi="Times New Roman" w:eastAsiaTheme="minorEastAsia"/>
                <w:color w:val="auto"/>
                <w:w w:val="99"/>
                <w:sz w:val="21"/>
                <w:szCs w:val="21"/>
                <w:highlight w:val="none"/>
                <w:vertAlign w:val="subscript"/>
              </w:rPr>
              <w:t>4</w:t>
            </w:r>
            <w:r>
              <w:rPr>
                <w:rFonts w:ascii="Times New Roman" w:hAnsi="Times New Roman" w:eastAsiaTheme="minorEastAsia"/>
                <w:color w:val="auto"/>
                <w:w w:val="99"/>
                <w:sz w:val="21"/>
                <w:szCs w:val="21"/>
                <w:highlight w:val="none"/>
              </w:rPr>
              <w:t xml:space="preserve"> </w:t>
            </w:r>
          </w:p>
        </w:tc>
        <w:tc>
          <w:tcPr>
            <w:tcW w:w="1468" w:type="pct"/>
            <w:vAlign w:val="center"/>
          </w:tcPr>
          <w:p w14:paraId="5CC03C2A">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外观与性状 </w:t>
            </w:r>
          </w:p>
        </w:tc>
        <w:tc>
          <w:tcPr>
            <w:tcW w:w="1436" w:type="pct"/>
            <w:vAlign w:val="center"/>
          </w:tcPr>
          <w:p w14:paraId="55D111D7">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无色无臭气体。 </w:t>
            </w:r>
          </w:p>
        </w:tc>
      </w:tr>
      <w:tr w14:paraId="1987E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15BB10BA">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分子量 </w:t>
            </w:r>
          </w:p>
        </w:tc>
        <w:tc>
          <w:tcPr>
            <w:tcW w:w="1471" w:type="pct"/>
            <w:vAlign w:val="center"/>
          </w:tcPr>
          <w:p w14:paraId="447D61B3">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16.04 </w:t>
            </w:r>
          </w:p>
        </w:tc>
        <w:tc>
          <w:tcPr>
            <w:tcW w:w="1468" w:type="pct"/>
            <w:vAlign w:val="center"/>
          </w:tcPr>
          <w:p w14:paraId="1919D75D">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蒸汽压 </w:t>
            </w:r>
          </w:p>
        </w:tc>
        <w:tc>
          <w:tcPr>
            <w:tcW w:w="1436" w:type="pct"/>
            <w:vAlign w:val="center"/>
          </w:tcPr>
          <w:p w14:paraId="0F67BB44">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53.32kPa/-168.8℃ </w:t>
            </w:r>
          </w:p>
        </w:tc>
      </w:tr>
      <w:tr w14:paraId="791C0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0DBCDADB">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沸点 </w:t>
            </w:r>
          </w:p>
        </w:tc>
        <w:tc>
          <w:tcPr>
            <w:tcW w:w="1471" w:type="pct"/>
            <w:vAlign w:val="center"/>
          </w:tcPr>
          <w:p w14:paraId="2124C2CD">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-161.5℃ </w:t>
            </w:r>
          </w:p>
        </w:tc>
        <w:tc>
          <w:tcPr>
            <w:tcW w:w="1468" w:type="pct"/>
            <w:vAlign w:val="center"/>
          </w:tcPr>
          <w:p w14:paraId="1A51F1A4">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闪点 </w:t>
            </w:r>
          </w:p>
        </w:tc>
        <w:tc>
          <w:tcPr>
            <w:tcW w:w="1436" w:type="pct"/>
            <w:vAlign w:val="center"/>
          </w:tcPr>
          <w:p w14:paraId="54AFD8C6">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-188℃ </w:t>
            </w:r>
          </w:p>
        </w:tc>
      </w:tr>
      <w:tr w14:paraId="6AAB6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433670FA">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熔点 </w:t>
            </w:r>
          </w:p>
        </w:tc>
        <w:tc>
          <w:tcPr>
            <w:tcW w:w="1471" w:type="pct"/>
            <w:vAlign w:val="center"/>
          </w:tcPr>
          <w:p w14:paraId="1A990CA7">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-182.5℃ </w:t>
            </w:r>
          </w:p>
        </w:tc>
        <w:tc>
          <w:tcPr>
            <w:tcW w:w="1468" w:type="pct"/>
            <w:vAlign w:val="center"/>
          </w:tcPr>
          <w:p w14:paraId="7C87105F">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溶解性 </w:t>
            </w:r>
          </w:p>
        </w:tc>
        <w:tc>
          <w:tcPr>
            <w:tcW w:w="1436" w:type="pct"/>
            <w:vAlign w:val="center"/>
          </w:tcPr>
          <w:p w14:paraId="648C0512">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微溶于水，溶于醇、乙醚。 </w:t>
            </w:r>
          </w:p>
        </w:tc>
      </w:tr>
      <w:tr w14:paraId="7509A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4CAB5294">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密度 </w:t>
            </w:r>
          </w:p>
        </w:tc>
        <w:tc>
          <w:tcPr>
            <w:tcW w:w="1471" w:type="pct"/>
            <w:vAlign w:val="center"/>
          </w:tcPr>
          <w:p w14:paraId="638BE862">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相对密度（空气=1）0.55 </w:t>
            </w:r>
          </w:p>
        </w:tc>
        <w:tc>
          <w:tcPr>
            <w:tcW w:w="1468" w:type="pct"/>
            <w:vAlign w:val="center"/>
          </w:tcPr>
          <w:p w14:paraId="095ED1AB">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稳定性 </w:t>
            </w:r>
          </w:p>
        </w:tc>
        <w:tc>
          <w:tcPr>
            <w:tcW w:w="1436" w:type="pct"/>
            <w:vAlign w:val="center"/>
          </w:tcPr>
          <w:p w14:paraId="159E4D56">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稳定 </w:t>
            </w:r>
          </w:p>
        </w:tc>
      </w:tr>
      <w:tr w14:paraId="175A5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0EAF8B6B">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爆炸极限 </w:t>
            </w:r>
          </w:p>
        </w:tc>
        <w:tc>
          <w:tcPr>
            <w:tcW w:w="1471" w:type="pct"/>
            <w:vAlign w:val="center"/>
          </w:tcPr>
          <w:p w14:paraId="7F844921">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空气中5.3～15％（体积） </w:t>
            </w:r>
          </w:p>
        </w:tc>
        <w:tc>
          <w:tcPr>
            <w:tcW w:w="1468" w:type="pct"/>
            <w:vAlign w:val="center"/>
          </w:tcPr>
          <w:p w14:paraId="10F67F36">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自燃温度 </w:t>
            </w:r>
          </w:p>
        </w:tc>
        <w:tc>
          <w:tcPr>
            <w:tcW w:w="1436" w:type="pct"/>
            <w:vAlign w:val="center"/>
          </w:tcPr>
          <w:p w14:paraId="5B7AF6C9">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538℃ </w:t>
            </w:r>
          </w:p>
        </w:tc>
      </w:tr>
      <w:tr w14:paraId="555DE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7EF13108">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主要用途</w:t>
            </w:r>
          </w:p>
        </w:tc>
        <w:tc>
          <w:tcPr>
            <w:tcW w:w="4377" w:type="pct"/>
            <w:gridSpan w:val="3"/>
            <w:vAlign w:val="center"/>
          </w:tcPr>
          <w:p w14:paraId="05F2F998">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用作燃料和用于炭黑、氢、乙炔、甲醛等的制造。 </w:t>
            </w:r>
          </w:p>
        </w:tc>
      </w:tr>
      <w:tr w14:paraId="3B237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0FAA5260">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危险特性</w:t>
            </w:r>
          </w:p>
        </w:tc>
        <w:tc>
          <w:tcPr>
            <w:tcW w:w="4377" w:type="pct"/>
            <w:gridSpan w:val="3"/>
            <w:vAlign w:val="center"/>
          </w:tcPr>
          <w:p w14:paraId="1426DA82">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危险性类别：第2.1类易燃气体 </w:t>
            </w:r>
          </w:p>
          <w:p w14:paraId="31997875">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燃烧与爆炸特性：易燃，与空气混合能形成爆炸性混合物，遇热源和明火有燃烧爆炸的危险。与五氧化溴、氯气、次氯酸、三氟化氮、液氧、二氟化氧及其它强氧化剂接触剧烈反应。 </w:t>
            </w:r>
          </w:p>
          <w:p w14:paraId="67AEE210">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燃烧（分解）产物：一氧化碳、二氧化碳。 </w:t>
            </w:r>
          </w:p>
        </w:tc>
      </w:tr>
      <w:tr w14:paraId="3895A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5B940F64">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健康危害</w:t>
            </w:r>
          </w:p>
        </w:tc>
        <w:tc>
          <w:tcPr>
            <w:tcW w:w="4377" w:type="pct"/>
            <w:gridSpan w:val="3"/>
            <w:vAlign w:val="center"/>
          </w:tcPr>
          <w:p w14:paraId="5A1F5D9F">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侵入途径：吸入 </w:t>
            </w:r>
          </w:p>
          <w:p w14:paraId="005784FE">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健康危害：甲烷对人基本无毒，但浓度过高时，使空气中氧含量明显降低，使人窒息。当空气中甲烷达25%～30%时，可引起头痛、头晕、乏力、注意力不集中、呼吸和心跳加速、共济失调。若不及时脱离，可致窒息死亡。皮肤接触液化本品，可致冻伤。 </w:t>
            </w:r>
          </w:p>
        </w:tc>
      </w:tr>
      <w:tr w14:paraId="237D8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60C5C8CC">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泄漏应急处理</w:t>
            </w:r>
          </w:p>
        </w:tc>
        <w:tc>
          <w:tcPr>
            <w:tcW w:w="4377" w:type="pct"/>
            <w:gridSpan w:val="3"/>
            <w:vAlign w:val="center"/>
          </w:tcPr>
          <w:p w14:paraId="1EB511ED">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 </w:t>
            </w:r>
          </w:p>
        </w:tc>
      </w:tr>
      <w:tr w14:paraId="1A19A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219B729F">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防护措施</w:t>
            </w:r>
          </w:p>
        </w:tc>
        <w:tc>
          <w:tcPr>
            <w:tcW w:w="4377" w:type="pct"/>
            <w:gridSpan w:val="3"/>
            <w:vAlign w:val="center"/>
          </w:tcPr>
          <w:p w14:paraId="638901DF">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呼吸系统防护：一般不需要特殊防护，但建议特殊情况下，佩带自吸过滤式防毒面具（半面罩）。眼睛防护：一般不需要特别防护，高浓度接触时可戴安全防护眼镜。身体防护：穿防静电工作服。手防护：戴一般作业防护手套。其它：工作现场严禁吸烟。避免长期反复接触。进入罐、限制性空间或其它高浓度区作业，须有人监护。 </w:t>
            </w:r>
          </w:p>
        </w:tc>
      </w:tr>
      <w:tr w14:paraId="39CB9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6506D27E">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急救措施</w:t>
            </w:r>
          </w:p>
        </w:tc>
        <w:tc>
          <w:tcPr>
            <w:tcW w:w="4377" w:type="pct"/>
            <w:gridSpan w:val="3"/>
            <w:vAlign w:val="center"/>
          </w:tcPr>
          <w:p w14:paraId="51C626CE">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皮肤接触：若有冻伤，就医治疗。吸入：迅速脱离现场至空气新鲜处。保持呼吸道通畅。如呼吸困难，给输氧。如呼吸停止，立即进行人工呼吸，就医。 </w:t>
            </w:r>
          </w:p>
        </w:tc>
      </w:tr>
      <w:tr w14:paraId="747A3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pct"/>
            <w:vAlign w:val="center"/>
          </w:tcPr>
          <w:p w14:paraId="51701BB5">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灭火方法</w:t>
            </w:r>
          </w:p>
        </w:tc>
        <w:tc>
          <w:tcPr>
            <w:tcW w:w="4377" w:type="pct"/>
            <w:gridSpan w:val="3"/>
            <w:vAlign w:val="center"/>
          </w:tcPr>
          <w:p w14:paraId="54E3C97E">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切断气源。若不能立即切断气源，则不允许熄灭正在燃烧的气体。喷水冷却容器，可能的话将容器从火场移至空旷处。 </w:t>
            </w:r>
          </w:p>
          <w:p w14:paraId="41B5BF57">
            <w:pPr>
              <w:pStyle w:val="101"/>
              <w:keepNext w:val="0"/>
              <w:keepLines w:val="0"/>
              <w:pageBreakBefore w:val="0"/>
              <w:widowControl w:val="0"/>
              <w:kinsoku/>
              <w:wordWrap/>
              <w:overflowPunct/>
              <w:topLinePunct w:val="0"/>
              <w:autoSpaceDE w:val="0"/>
              <w:autoSpaceDN w:val="0"/>
              <w:bidi w:val="0"/>
              <w:adjustRightInd w:val="0"/>
              <w:snapToGrid w:val="0"/>
              <w:spacing w:line="320" w:lineRule="exact"/>
              <w:ind w:left="0" w:firstLine="0" w:firstLineChars="0"/>
              <w:jc w:val="center"/>
              <w:textAlignment w:val="baseline"/>
              <w:rPr>
                <w:rFonts w:ascii="Times New Roman" w:hAnsi="Times New Roman" w:eastAsiaTheme="minorEastAsia"/>
                <w:color w:val="auto"/>
                <w:w w:val="99"/>
                <w:sz w:val="21"/>
                <w:szCs w:val="21"/>
                <w:highlight w:val="none"/>
              </w:rPr>
            </w:pPr>
            <w:r>
              <w:rPr>
                <w:rFonts w:ascii="Times New Roman" w:hAnsi="Times New Roman" w:eastAsiaTheme="minorEastAsia"/>
                <w:color w:val="auto"/>
                <w:w w:val="99"/>
                <w:sz w:val="21"/>
                <w:szCs w:val="21"/>
                <w:highlight w:val="none"/>
              </w:rPr>
              <w:t xml:space="preserve">灭火剂：雾状水、泡沫、二氧化碳、干粉。 </w:t>
            </w:r>
          </w:p>
        </w:tc>
      </w:tr>
    </w:tbl>
    <w:p w14:paraId="00CFFEEA">
      <w:pPr>
        <w:pStyle w:val="2"/>
        <w:widowControl w:val="0"/>
        <w:shd w:val="clear"/>
        <w:spacing w:line="440" w:lineRule="exact"/>
        <w:ind w:firstLine="474" w:firstLineChars="200"/>
        <w:jc w:val="both"/>
        <w:rPr>
          <w:rFonts w:hint="default" w:ascii="Times New Roman" w:hAnsi="Times New Roman" w:eastAsia="宋体" w:cs="Times New Roman"/>
          <w:color w:val="auto"/>
          <w:w w:val="99"/>
          <w:kern w:val="0"/>
          <w:szCs w:val="24"/>
          <w:highlight w:val="none"/>
          <w:lang w:val="en-US" w:eastAsia="zh-CN" w:bidi="zh-CN"/>
        </w:rPr>
      </w:pPr>
      <w:bookmarkStart w:id="990" w:name="_Toc84929308"/>
      <w:bookmarkStart w:id="991" w:name="_Toc143099656"/>
      <w:bookmarkStart w:id="992" w:name="_Toc186444367"/>
      <w:bookmarkStart w:id="993" w:name="_Toc85640836"/>
      <w:bookmarkStart w:id="994" w:name="_Toc127192417"/>
      <w:bookmarkStart w:id="995" w:name="_Toc86142011"/>
      <w:bookmarkStart w:id="996" w:name="_Toc131167369"/>
      <w:bookmarkStart w:id="997" w:name="_Toc126863468"/>
      <w:r>
        <w:rPr>
          <w:rFonts w:hint="eastAsia" w:ascii="Times New Roman" w:hAnsi="Times New Roman" w:eastAsia="宋体" w:cs="Times New Roman"/>
          <w:color w:val="auto"/>
          <w:w w:val="99"/>
          <w:kern w:val="0"/>
          <w:szCs w:val="24"/>
          <w:highlight w:val="none"/>
          <w:lang w:eastAsia="zh-CN" w:bidi="zh-CN"/>
        </w:rPr>
        <w:t>（</w:t>
      </w:r>
      <w:r>
        <w:rPr>
          <w:rFonts w:hint="eastAsia" w:ascii="Times New Roman" w:hAnsi="Times New Roman" w:cs="Times New Roman"/>
          <w:color w:val="auto"/>
          <w:w w:val="99"/>
          <w:kern w:val="0"/>
          <w:szCs w:val="24"/>
          <w:highlight w:val="none"/>
          <w:lang w:val="en-US" w:eastAsia="zh-CN" w:bidi="zh-CN"/>
        </w:rPr>
        <w:t>2</w:t>
      </w:r>
      <w:r>
        <w:rPr>
          <w:rFonts w:hint="eastAsia" w:ascii="Times New Roman" w:hAnsi="Times New Roman" w:eastAsia="宋体" w:cs="Times New Roman"/>
          <w:color w:val="auto"/>
          <w:w w:val="99"/>
          <w:kern w:val="0"/>
          <w:szCs w:val="24"/>
          <w:highlight w:val="none"/>
          <w:lang w:eastAsia="zh-CN" w:bidi="zh-CN"/>
        </w:rPr>
        <w:t>）</w:t>
      </w:r>
      <w:r>
        <w:rPr>
          <w:rFonts w:hint="eastAsia" w:ascii="Times New Roman" w:hAnsi="Times New Roman" w:cs="Times New Roman"/>
          <w:color w:val="auto"/>
          <w:w w:val="99"/>
          <w:kern w:val="0"/>
          <w:szCs w:val="24"/>
          <w:highlight w:val="none"/>
          <w:lang w:val="en-US" w:eastAsia="zh-CN" w:bidi="zh-CN"/>
        </w:rPr>
        <w:t>一氧化碳</w:t>
      </w:r>
    </w:p>
    <w:p w14:paraId="3CF705FF">
      <w:pPr>
        <w:pStyle w:val="2"/>
        <w:widowControl w:val="0"/>
        <w:shd w:val="clear"/>
        <w:spacing w:line="440" w:lineRule="exact"/>
        <w:ind w:firstLine="474" w:firstLineChars="200"/>
        <w:jc w:val="both"/>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w w:val="99"/>
          <w:kern w:val="0"/>
          <w:szCs w:val="24"/>
          <w:highlight w:val="none"/>
          <w:lang w:val="en-US" w:eastAsia="zh-CN" w:bidi="zh-CN"/>
        </w:rPr>
        <w:t>本项目发生天然气泄漏燃烧次生产物为一氧化碳，</w:t>
      </w:r>
      <w:r>
        <w:rPr>
          <w:rFonts w:hint="default" w:ascii="Times New Roman" w:hAnsi="Times New Roman" w:eastAsia="宋体" w:cs="Times New Roman"/>
          <w:color w:val="auto"/>
          <w:w w:val="99"/>
          <w:kern w:val="0"/>
          <w:szCs w:val="24"/>
          <w:highlight w:val="none"/>
          <w:lang w:eastAsia="zh-CN" w:bidi="zh-CN"/>
        </w:rPr>
        <w:t>物料</w:t>
      </w:r>
      <w:r>
        <w:rPr>
          <w:rFonts w:hint="default" w:ascii="Times New Roman" w:hAnsi="Times New Roman" w:eastAsia="宋体" w:cs="Times New Roman"/>
          <w:color w:val="auto"/>
          <w:w w:val="99"/>
          <w:kern w:val="0"/>
          <w:szCs w:val="24"/>
          <w:highlight w:val="none"/>
          <w:lang w:bidi="zh-CN"/>
        </w:rPr>
        <w:t>的危险性</w:t>
      </w:r>
      <w:r>
        <w:rPr>
          <w:rFonts w:hint="eastAsia" w:ascii="Times New Roman" w:hAnsi="Times New Roman" w:eastAsia="宋体" w:cs="Times New Roman"/>
          <w:color w:val="auto"/>
          <w:w w:val="99"/>
          <w:kern w:val="0"/>
          <w:szCs w:val="24"/>
          <w:highlight w:val="none"/>
          <w:lang w:val="en-US" w:eastAsia="zh-CN" w:bidi="zh-CN"/>
        </w:rPr>
        <w:t>见表5.</w:t>
      </w:r>
      <w:r>
        <w:rPr>
          <w:rFonts w:hint="eastAsia" w:ascii="Times New Roman" w:hAnsi="Times New Roman" w:cs="Times New Roman"/>
          <w:color w:val="auto"/>
          <w:w w:val="99"/>
          <w:kern w:val="0"/>
          <w:szCs w:val="24"/>
          <w:highlight w:val="none"/>
          <w:lang w:val="en-US" w:eastAsia="zh-CN" w:bidi="zh-CN"/>
        </w:rPr>
        <w:t>8</w:t>
      </w:r>
      <w:r>
        <w:rPr>
          <w:rFonts w:hint="eastAsia" w:ascii="Times New Roman" w:hAnsi="Times New Roman" w:eastAsia="宋体" w:cs="Times New Roman"/>
          <w:color w:val="auto"/>
          <w:w w:val="99"/>
          <w:kern w:val="0"/>
          <w:szCs w:val="24"/>
          <w:highlight w:val="none"/>
          <w:lang w:val="en-US" w:eastAsia="zh-CN" w:bidi="zh-CN"/>
        </w:rPr>
        <w:t>-4。</w:t>
      </w:r>
    </w:p>
    <w:p w14:paraId="1FF9D802">
      <w:pPr>
        <w:pStyle w:val="153"/>
        <w:widowControl w:val="0"/>
        <w:shd w:val="clear"/>
        <w:spacing w:line="440" w:lineRule="exact"/>
        <w:ind w:firstLine="476" w:firstLineChars="200"/>
        <w:jc w:val="both"/>
        <w:rPr>
          <w:rFonts w:hint="default" w:ascii="Times New Roman" w:hAnsi="Times New Roman" w:cs="Times New Roman" w:eastAsiaTheme="minorEastAsia"/>
          <w:b/>
          <w:color w:val="auto"/>
          <w:w w:val="99"/>
          <w:kern w:val="2"/>
          <w:highlight w:val="none"/>
          <w:lang w:val="en-US" w:eastAsia="zh-CN"/>
        </w:rPr>
      </w:pPr>
      <w:r>
        <w:rPr>
          <w:rFonts w:hint="default" w:ascii="Times New Roman" w:hAnsi="Times New Roman" w:cs="Times New Roman" w:eastAsiaTheme="minorEastAsia"/>
          <w:b/>
          <w:color w:val="auto"/>
          <w:w w:val="99"/>
          <w:kern w:val="2"/>
          <w:highlight w:val="none"/>
          <w:lang w:val="en-US" w:eastAsia="zh-CN"/>
        </w:rPr>
        <w:t>表5.</w:t>
      </w:r>
      <w:r>
        <w:rPr>
          <w:rFonts w:hint="eastAsia" w:ascii="Times New Roman" w:hAnsi="Times New Roman" w:cs="Times New Roman" w:eastAsiaTheme="minorEastAsia"/>
          <w:b/>
          <w:color w:val="auto"/>
          <w:w w:val="99"/>
          <w:kern w:val="2"/>
          <w:highlight w:val="none"/>
          <w:lang w:val="en-US" w:eastAsia="zh-CN"/>
        </w:rPr>
        <w:t>8</w:t>
      </w:r>
      <w:r>
        <w:rPr>
          <w:rFonts w:hint="default" w:ascii="Times New Roman" w:hAnsi="Times New Roman" w:cs="Times New Roman" w:eastAsiaTheme="minorEastAsia"/>
          <w:b/>
          <w:color w:val="auto"/>
          <w:w w:val="99"/>
          <w:kern w:val="2"/>
          <w:highlight w:val="none"/>
          <w:lang w:val="en-US" w:eastAsia="zh-CN"/>
        </w:rPr>
        <w:t>-</w:t>
      </w:r>
      <w:r>
        <w:rPr>
          <w:rFonts w:hint="eastAsia" w:ascii="Times New Roman" w:hAnsi="Times New Roman" w:cs="Times New Roman" w:eastAsiaTheme="minorEastAsia"/>
          <w:b/>
          <w:color w:val="auto"/>
          <w:w w:val="99"/>
          <w:kern w:val="2"/>
          <w:highlight w:val="none"/>
          <w:lang w:val="en-US" w:eastAsia="zh-CN"/>
        </w:rPr>
        <w:t>4     一氧化碳理化性质</w:t>
      </w:r>
      <w:r>
        <w:rPr>
          <w:rFonts w:hint="default" w:ascii="Times New Roman" w:hAnsi="Times New Roman" w:cs="Times New Roman" w:eastAsiaTheme="minorEastAsia"/>
          <w:b/>
          <w:color w:val="auto"/>
          <w:w w:val="99"/>
          <w:kern w:val="2"/>
          <w:highlight w:val="none"/>
          <w:lang w:val="en-US" w:eastAsia="zh-CN"/>
        </w:rPr>
        <w:t>一览表</w:t>
      </w:r>
    </w:p>
    <w:tbl>
      <w:tblPr>
        <w:tblStyle w:val="166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9"/>
        <w:gridCol w:w="4268"/>
        <w:gridCol w:w="963"/>
        <w:gridCol w:w="790"/>
        <w:gridCol w:w="1251"/>
        <w:gridCol w:w="928"/>
      </w:tblGrid>
      <w:tr w14:paraId="3AB2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484" w:type="pct"/>
            <w:vMerge w:val="restart"/>
            <w:vAlign w:val="top"/>
          </w:tcPr>
          <w:p w14:paraId="37B6CBB9">
            <w:pPr>
              <w:widowControl w:val="0"/>
              <w:spacing w:line="431" w:lineRule="auto"/>
              <w:rPr>
                <w:rFonts w:ascii="Times New Roman" w:hAnsi="Times New Roman" w:cs="Times New Roman" w:eastAsiaTheme="minorEastAsia"/>
                <w:smallCaps/>
                <w:color w:val="auto"/>
                <w:w w:val="99"/>
                <w:kern w:val="2"/>
                <w:sz w:val="21"/>
                <w:szCs w:val="21"/>
                <w:highlight w:val="none"/>
                <w:lang w:val="en-US" w:eastAsia="zh-CN" w:bidi="ar-SA"/>
              </w:rPr>
            </w:pPr>
          </w:p>
          <w:p w14:paraId="337176EB">
            <w:pPr>
              <w:pStyle w:val="2857"/>
              <w:widowControl w:val="0"/>
              <w:spacing w:before="69" w:line="221" w:lineRule="auto"/>
              <w:ind w:left="215"/>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标识</w:t>
            </w:r>
          </w:p>
        </w:tc>
        <w:tc>
          <w:tcPr>
            <w:tcW w:w="2350" w:type="pct"/>
            <w:vAlign w:val="top"/>
          </w:tcPr>
          <w:p w14:paraId="601989FC">
            <w:pPr>
              <w:pStyle w:val="2857"/>
              <w:widowControl w:val="0"/>
              <w:spacing w:before="96" w:line="220" w:lineRule="auto"/>
              <w:ind w:left="1177"/>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中文名：一氧化碳</w:t>
            </w:r>
          </w:p>
        </w:tc>
        <w:tc>
          <w:tcPr>
            <w:tcW w:w="2165" w:type="pct"/>
            <w:gridSpan w:val="4"/>
            <w:vAlign w:val="top"/>
          </w:tcPr>
          <w:p w14:paraId="0F7FA1EE">
            <w:pPr>
              <w:pStyle w:val="2857"/>
              <w:widowControl w:val="0"/>
              <w:spacing w:before="97" w:line="221" w:lineRule="auto"/>
              <w:ind w:left="693"/>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英文名：Carbonnomoxide</w:t>
            </w:r>
          </w:p>
        </w:tc>
      </w:tr>
      <w:tr w14:paraId="7D6B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84" w:type="pct"/>
            <w:vMerge w:val="continue"/>
            <w:vAlign w:val="top"/>
          </w:tcPr>
          <w:p w14:paraId="6418A642">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2350" w:type="pct"/>
            <w:vAlign w:val="top"/>
          </w:tcPr>
          <w:p w14:paraId="218344EA">
            <w:pPr>
              <w:pStyle w:val="2857"/>
              <w:widowControl w:val="0"/>
              <w:spacing w:before="92" w:line="221" w:lineRule="auto"/>
              <w:ind w:left="1433"/>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分子式：CO</w:t>
            </w:r>
          </w:p>
        </w:tc>
        <w:tc>
          <w:tcPr>
            <w:tcW w:w="2165" w:type="pct"/>
            <w:gridSpan w:val="4"/>
            <w:vAlign w:val="top"/>
          </w:tcPr>
          <w:p w14:paraId="1F283C4C">
            <w:pPr>
              <w:pStyle w:val="2857"/>
              <w:widowControl w:val="0"/>
              <w:spacing w:before="92" w:line="221" w:lineRule="auto"/>
              <w:ind w:left="1318"/>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分子量：28</w:t>
            </w:r>
          </w:p>
        </w:tc>
      </w:tr>
      <w:tr w14:paraId="05CC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484" w:type="pct"/>
            <w:vMerge w:val="continue"/>
            <w:vAlign w:val="top"/>
          </w:tcPr>
          <w:p w14:paraId="143F10AA">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2350" w:type="pct"/>
            <w:vAlign w:val="top"/>
          </w:tcPr>
          <w:p w14:paraId="2F0B81A2">
            <w:pPr>
              <w:pStyle w:val="2857"/>
              <w:widowControl w:val="0"/>
              <w:spacing w:before="92" w:line="222" w:lineRule="auto"/>
              <w:ind w:left="1176"/>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CAS 号：630-08-0</w:t>
            </w:r>
          </w:p>
        </w:tc>
        <w:tc>
          <w:tcPr>
            <w:tcW w:w="530" w:type="pct"/>
            <w:vAlign w:val="top"/>
          </w:tcPr>
          <w:p w14:paraId="6CB45CE4">
            <w:pPr>
              <w:pStyle w:val="2857"/>
              <w:widowControl w:val="0"/>
              <w:spacing w:before="92" w:line="221" w:lineRule="auto"/>
              <w:ind w:left="142"/>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危规号</w:t>
            </w:r>
          </w:p>
        </w:tc>
        <w:tc>
          <w:tcPr>
            <w:tcW w:w="435" w:type="pct"/>
            <w:vAlign w:val="top"/>
          </w:tcPr>
          <w:p w14:paraId="5F01F588">
            <w:pPr>
              <w:widowControl w:val="0"/>
              <w:spacing w:before="123" w:line="187" w:lineRule="auto"/>
              <w:ind w:left="110"/>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21005</w:t>
            </w:r>
          </w:p>
        </w:tc>
        <w:tc>
          <w:tcPr>
            <w:tcW w:w="689" w:type="pct"/>
            <w:vAlign w:val="top"/>
          </w:tcPr>
          <w:p w14:paraId="737983D6">
            <w:pPr>
              <w:pStyle w:val="2857"/>
              <w:widowControl w:val="0"/>
              <w:spacing w:before="91" w:line="221" w:lineRule="auto"/>
              <w:ind w:left="200"/>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UN 编号</w:t>
            </w:r>
          </w:p>
        </w:tc>
        <w:tc>
          <w:tcPr>
            <w:tcW w:w="511" w:type="pct"/>
            <w:vAlign w:val="top"/>
          </w:tcPr>
          <w:p w14:paraId="1F5DACA9">
            <w:pPr>
              <w:widowControl w:val="0"/>
              <w:spacing w:before="123" w:line="187" w:lineRule="auto"/>
              <w:ind w:left="243"/>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1016</w:t>
            </w:r>
          </w:p>
        </w:tc>
      </w:tr>
      <w:tr w14:paraId="496B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trPr>
        <w:tc>
          <w:tcPr>
            <w:tcW w:w="484" w:type="pct"/>
            <w:vMerge w:val="restart"/>
            <w:vAlign w:val="top"/>
          </w:tcPr>
          <w:p w14:paraId="49C34051">
            <w:pPr>
              <w:widowControl w:val="0"/>
              <w:spacing w:line="243" w:lineRule="auto"/>
              <w:rPr>
                <w:rFonts w:ascii="Times New Roman" w:hAnsi="Times New Roman" w:cs="Times New Roman" w:eastAsiaTheme="minorEastAsia"/>
                <w:smallCaps/>
                <w:color w:val="auto"/>
                <w:w w:val="99"/>
                <w:kern w:val="2"/>
                <w:sz w:val="21"/>
                <w:szCs w:val="21"/>
                <w:highlight w:val="none"/>
                <w:lang w:val="en-US" w:eastAsia="zh-CN" w:bidi="ar-SA"/>
              </w:rPr>
            </w:pPr>
          </w:p>
          <w:p w14:paraId="605F14E4">
            <w:pPr>
              <w:widowControl w:val="0"/>
              <w:spacing w:line="244" w:lineRule="auto"/>
              <w:rPr>
                <w:rFonts w:ascii="Times New Roman" w:hAnsi="Times New Roman" w:cs="Times New Roman" w:eastAsiaTheme="minorEastAsia"/>
                <w:smallCaps/>
                <w:color w:val="auto"/>
                <w:w w:val="99"/>
                <w:kern w:val="2"/>
                <w:sz w:val="21"/>
                <w:szCs w:val="21"/>
                <w:highlight w:val="none"/>
                <w:lang w:val="en-US" w:eastAsia="zh-CN" w:bidi="ar-SA"/>
              </w:rPr>
            </w:pPr>
          </w:p>
          <w:p w14:paraId="74D7F789">
            <w:pPr>
              <w:widowControl w:val="0"/>
              <w:spacing w:line="244" w:lineRule="auto"/>
              <w:rPr>
                <w:rFonts w:ascii="Times New Roman" w:hAnsi="Times New Roman" w:cs="Times New Roman" w:eastAsiaTheme="minorEastAsia"/>
                <w:smallCaps/>
                <w:color w:val="auto"/>
                <w:w w:val="99"/>
                <w:kern w:val="2"/>
                <w:sz w:val="21"/>
                <w:szCs w:val="21"/>
                <w:highlight w:val="none"/>
                <w:lang w:val="en-US" w:eastAsia="zh-CN" w:bidi="ar-SA"/>
              </w:rPr>
            </w:pPr>
          </w:p>
          <w:p w14:paraId="7626BD2D">
            <w:pPr>
              <w:widowControl w:val="0"/>
              <w:spacing w:line="244" w:lineRule="auto"/>
              <w:rPr>
                <w:rFonts w:ascii="Times New Roman" w:hAnsi="Times New Roman" w:cs="Times New Roman" w:eastAsiaTheme="minorEastAsia"/>
                <w:smallCaps/>
                <w:color w:val="auto"/>
                <w:w w:val="99"/>
                <w:kern w:val="2"/>
                <w:sz w:val="21"/>
                <w:szCs w:val="21"/>
                <w:highlight w:val="none"/>
                <w:lang w:val="en-US" w:eastAsia="zh-CN" w:bidi="ar-SA"/>
              </w:rPr>
            </w:pPr>
          </w:p>
          <w:p w14:paraId="208D7720">
            <w:pPr>
              <w:pStyle w:val="2857"/>
              <w:widowControl w:val="0"/>
              <w:spacing w:before="69" w:line="241" w:lineRule="auto"/>
              <w:ind w:left="217" w:right="189"/>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理化性质</w:t>
            </w:r>
          </w:p>
        </w:tc>
        <w:tc>
          <w:tcPr>
            <w:tcW w:w="2350" w:type="pct"/>
            <w:vAlign w:val="top"/>
          </w:tcPr>
          <w:p w14:paraId="2A332F4D">
            <w:pPr>
              <w:pStyle w:val="2857"/>
              <w:widowControl w:val="0"/>
              <w:spacing w:before="166" w:line="221" w:lineRule="auto"/>
              <w:ind w:left="739"/>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外观及性状：无色无臭气体</w:t>
            </w:r>
          </w:p>
        </w:tc>
        <w:tc>
          <w:tcPr>
            <w:tcW w:w="2165" w:type="pct"/>
            <w:gridSpan w:val="4"/>
            <w:vAlign w:val="top"/>
          </w:tcPr>
          <w:p w14:paraId="27C29011">
            <w:pPr>
              <w:pStyle w:val="2857"/>
              <w:widowControl w:val="0"/>
              <w:spacing w:before="32" w:line="220" w:lineRule="auto"/>
              <w:ind w:left="164"/>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溶解性：微溶于水，溶于乙醇、苯等</w:t>
            </w:r>
          </w:p>
          <w:p w14:paraId="5E8584E9">
            <w:pPr>
              <w:pStyle w:val="2857"/>
              <w:widowControl w:val="0"/>
              <w:spacing w:before="21" w:line="209" w:lineRule="auto"/>
              <w:ind w:left="1223"/>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多数有机溶济</w:t>
            </w:r>
          </w:p>
        </w:tc>
      </w:tr>
      <w:tr w14:paraId="00B6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484" w:type="pct"/>
            <w:vMerge w:val="continue"/>
            <w:vAlign w:val="top"/>
          </w:tcPr>
          <w:p w14:paraId="75FC9218">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2350" w:type="pct"/>
            <w:vAlign w:val="top"/>
          </w:tcPr>
          <w:p w14:paraId="3D5ECB36">
            <w:pPr>
              <w:pStyle w:val="2857"/>
              <w:widowControl w:val="0"/>
              <w:spacing w:before="93" w:line="213" w:lineRule="auto"/>
              <w:ind w:left="1163"/>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熔点(℃)：-199.1</w:t>
            </w:r>
          </w:p>
        </w:tc>
        <w:tc>
          <w:tcPr>
            <w:tcW w:w="2165" w:type="pct"/>
            <w:gridSpan w:val="4"/>
            <w:vAlign w:val="top"/>
          </w:tcPr>
          <w:p w14:paraId="1DAF7B97">
            <w:pPr>
              <w:pStyle w:val="2857"/>
              <w:widowControl w:val="0"/>
              <w:spacing w:before="93" w:line="213" w:lineRule="auto"/>
              <w:ind w:left="1009"/>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沸点(℃)：-191.4</w:t>
            </w:r>
          </w:p>
        </w:tc>
      </w:tr>
      <w:tr w14:paraId="7F85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84" w:type="pct"/>
            <w:vMerge w:val="continue"/>
            <w:vAlign w:val="top"/>
          </w:tcPr>
          <w:p w14:paraId="2424BAF1">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2350" w:type="pct"/>
            <w:vAlign w:val="top"/>
          </w:tcPr>
          <w:p w14:paraId="1D4A97D5">
            <w:pPr>
              <w:pStyle w:val="2857"/>
              <w:widowControl w:val="0"/>
              <w:spacing w:before="55" w:line="284" w:lineRule="exact"/>
              <w:ind w:left="665"/>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相对密度(水=1)：0.79(252℃)</w:t>
            </w:r>
          </w:p>
        </w:tc>
        <w:tc>
          <w:tcPr>
            <w:tcW w:w="2165" w:type="pct"/>
            <w:gridSpan w:val="4"/>
            <w:vAlign w:val="top"/>
          </w:tcPr>
          <w:p w14:paraId="5B3295D8">
            <w:pPr>
              <w:pStyle w:val="2857"/>
              <w:widowControl w:val="0"/>
              <w:spacing w:before="55" w:line="284" w:lineRule="exact"/>
              <w:ind w:left="742"/>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相对密度：(空气=1)0.97</w:t>
            </w:r>
          </w:p>
        </w:tc>
      </w:tr>
      <w:tr w14:paraId="1A1E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484" w:type="pct"/>
            <w:vMerge w:val="continue"/>
            <w:vAlign w:val="top"/>
          </w:tcPr>
          <w:p w14:paraId="6031826C">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2350" w:type="pct"/>
            <w:vAlign w:val="top"/>
          </w:tcPr>
          <w:p w14:paraId="0CA415CB">
            <w:pPr>
              <w:pStyle w:val="2857"/>
              <w:widowControl w:val="0"/>
              <w:spacing w:before="93" w:line="213" w:lineRule="auto"/>
              <w:ind w:left="383"/>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饱和蒸汽压：（kPa)13.33(-257.9℃)</w:t>
            </w:r>
          </w:p>
        </w:tc>
        <w:tc>
          <w:tcPr>
            <w:tcW w:w="2165" w:type="pct"/>
            <w:gridSpan w:val="4"/>
            <w:vAlign w:val="top"/>
          </w:tcPr>
          <w:p w14:paraId="74D0E4AA">
            <w:pPr>
              <w:pStyle w:val="2857"/>
              <w:widowControl w:val="0"/>
              <w:spacing w:before="93" w:line="220" w:lineRule="auto"/>
              <w:ind w:left="687"/>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禁忌物：强氧化剂、碱类</w:t>
            </w:r>
          </w:p>
        </w:tc>
      </w:tr>
      <w:tr w14:paraId="2FF4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84" w:type="pct"/>
            <w:vMerge w:val="continue"/>
            <w:vAlign w:val="top"/>
          </w:tcPr>
          <w:p w14:paraId="7B88E586">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2350" w:type="pct"/>
            <w:vAlign w:val="top"/>
          </w:tcPr>
          <w:p w14:paraId="3E38ACE1">
            <w:pPr>
              <w:pStyle w:val="2857"/>
              <w:widowControl w:val="0"/>
              <w:spacing w:before="96" w:line="213" w:lineRule="auto"/>
              <w:ind w:left="960"/>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临界压力（MPa)：3.50</w:t>
            </w:r>
          </w:p>
        </w:tc>
        <w:tc>
          <w:tcPr>
            <w:tcW w:w="2165" w:type="pct"/>
            <w:gridSpan w:val="4"/>
            <w:vAlign w:val="top"/>
          </w:tcPr>
          <w:p w14:paraId="6D95AE3E">
            <w:pPr>
              <w:pStyle w:val="2857"/>
              <w:widowControl w:val="0"/>
              <w:spacing w:before="96" w:line="213" w:lineRule="auto"/>
              <w:ind w:left="809"/>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临界温度 (℃)：-140.2</w:t>
            </w:r>
          </w:p>
        </w:tc>
      </w:tr>
      <w:tr w14:paraId="14BF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84" w:type="pct"/>
            <w:vMerge w:val="continue"/>
            <w:vAlign w:val="top"/>
          </w:tcPr>
          <w:p w14:paraId="2BF367BA">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2350" w:type="pct"/>
            <w:vAlign w:val="top"/>
          </w:tcPr>
          <w:p w14:paraId="76EBBA40">
            <w:pPr>
              <w:pStyle w:val="2857"/>
              <w:widowControl w:val="0"/>
              <w:spacing w:before="93" w:line="221" w:lineRule="auto"/>
              <w:ind w:left="1472"/>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稳定性：稳</w:t>
            </w:r>
          </w:p>
        </w:tc>
        <w:tc>
          <w:tcPr>
            <w:tcW w:w="2165" w:type="pct"/>
            <w:gridSpan w:val="4"/>
            <w:vAlign w:val="top"/>
          </w:tcPr>
          <w:p w14:paraId="57E7AD1A">
            <w:pPr>
              <w:pStyle w:val="2857"/>
              <w:widowControl w:val="0"/>
              <w:spacing w:before="94" w:line="221" w:lineRule="auto"/>
              <w:ind w:left="1010"/>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聚合危害：不聚合</w:t>
            </w:r>
          </w:p>
        </w:tc>
      </w:tr>
      <w:tr w14:paraId="49D0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484" w:type="pct"/>
            <w:vMerge w:val="restart"/>
            <w:vAlign w:val="top"/>
          </w:tcPr>
          <w:p w14:paraId="5B839374">
            <w:pPr>
              <w:widowControl w:val="0"/>
              <w:spacing w:line="242" w:lineRule="auto"/>
              <w:rPr>
                <w:rFonts w:ascii="Times New Roman" w:hAnsi="Times New Roman" w:cs="Times New Roman" w:eastAsiaTheme="minorEastAsia"/>
                <w:smallCaps/>
                <w:color w:val="auto"/>
                <w:w w:val="99"/>
                <w:kern w:val="2"/>
                <w:sz w:val="21"/>
                <w:szCs w:val="21"/>
                <w:highlight w:val="none"/>
                <w:lang w:val="en-US" w:eastAsia="zh-CN" w:bidi="ar-SA"/>
              </w:rPr>
            </w:pPr>
          </w:p>
          <w:p w14:paraId="6743F3DF">
            <w:pPr>
              <w:widowControl w:val="0"/>
              <w:spacing w:line="242" w:lineRule="auto"/>
              <w:rPr>
                <w:rFonts w:ascii="Times New Roman" w:hAnsi="Times New Roman" w:cs="Times New Roman" w:eastAsiaTheme="minorEastAsia"/>
                <w:smallCaps/>
                <w:color w:val="auto"/>
                <w:w w:val="99"/>
                <w:kern w:val="2"/>
                <w:sz w:val="21"/>
                <w:szCs w:val="21"/>
                <w:highlight w:val="none"/>
                <w:lang w:val="en-US" w:eastAsia="zh-CN" w:bidi="ar-SA"/>
              </w:rPr>
            </w:pPr>
          </w:p>
          <w:p w14:paraId="53297605">
            <w:pPr>
              <w:widowControl w:val="0"/>
              <w:spacing w:line="242" w:lineRule="auto"/>
              <w:rPr>
                <w:rFonts w:ascii="Times New Roman" w:hAnsi="Times New Roman" w:cs="Times New Roman" w:eastAsiaTheme="minorEastAsia"/>
                <w:smallCaps/>
                <w:color w:val="auto"/>
                <w:w w:val="99"/>
                <w:kern w:val="2"/>
                <w:sz w:val="21"/>
                <w:szCs w:val="21"/>
                <w:highlight w:val="none"/>
                <w:lang w:val="en-US" w:eastAsia="zh-CN" w:bidi="ar-SA"/>
              </w:rPr>
            </w:pPr>
          </w:p>
          <w:p w14:paraId="7B2A3216">
            <w:pPr>
              <w:widowControl w:val="0"/>
              <w:spacing w:line="242" w:lineRule="auto"/>
              <w:rPr>
                <w:rFonts w:ascii="Times New Roman" w:hAnsi="Times New Roman" w:cs="Times New Roman" w:eastAsiaTheme="minorEastAsia"/>
                <w:smallCaps/>
                <w:color w:val="auto"/>
                <w:w w:val="99"/>
                <w:kern w:val="2"/>
                <w:sz w:val="21"/>
                <w:szCs w:val="21"/>
                <w:highlight w:val="none"/>
                <w:lang w:val="en-US" w:eastAsia="zh-CN" w:bidi="ar-SA"/>
              </w:rPr>
            </w:pPr>
          </w:p>
          <w:p w14:paraId="00F3EF92">
            <w:pPr>
              <w:widowControl w:val="0"/>
              <w:spacing w:line="242" w:lineRule="auto"/>
              <w:rPr>
                <w:rFonts w:ascii="Times New Roman" w:hAnsi="Times New Roman" w:cs="Times New Roman" w:eastAsiaTheme="minorEastAsia"/>
                <w:smallCaps/>
                <w:color w:val="auto"/>
                <w:w w:val="99"/>
                <w:kern w:val="2"/>
                <w:sz w:val="21"/>
                <w:szCs w:val="21"/>
                <w:highlight w:val="none"/>
                <w:lang w:val="en-US" w:eastAsia="zh-CN" w:bidi="ar-SA"/>
              </w:rPr>
            </w:pPr>
          </w:p>
          <w:p w14:paraId="125B577E">
            <w:pPr>
              <w:widowControl w:val="0"/>
              <w:spacing w:line="242" w:lineRule="auto"/>
              <w:rPr>
                <w:rFonts w:ascii="Times New Roman" w:hAnsi="Times New Roman" w:cs="Times New Roman" w:eastAsiaTheme="minorEastAsia"/>
                <w:smallCaps/>
                <w:color w:val="auto"/>
                <w:w w:val="99"/>
                <w:kern w:val="2"/>
                <w:sz w:val="21"/>
                <w:szCs w:val="21"/>
                <w:highlight w:val="none"/>
                <w:lang w:val="en-US" w:eastAsia="zh-CN" w:bidi="ar-SA"/>
              </w:rPr>
            </w:pPr>
          </w:p>
          <w:p w14:paraId="502F2DE8">
            <w:pPr>
              <w:pStyle w:val="2857"/>
              <w:widowControl w:val="0"/>
              <w:spacing w:before="69"/>
              <w:ind w:left="214" w:right="189" w:firstLine="2"/>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危险特性</w:t>
            </w:r>
          </w:p>
        </w:tc>
        <w:tc>
          <w:tcPr>
            <w:tcW w:w="2350" w:type="pct"/>
            <w:vAlign w:val="top"/>
          </w:tcPr>
          <w:p w14:paraId="0AC2FF36">
            <w:pPr>
              <w:pStyle w:val="2857"/>
              <w:widowControl w:val="0"/>
              <w:spacing w:before="93" w:line="221" w:lineRule="auto"/>
              <w:ind w:left="560"/>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危险性类别：第 2.1 类易燃气体</w:t>
            </w:r>
          </w:p>
        </w:tc>
        <w:tc>
          <w:tcPr>
            <w:tcW w:w="2165" w:type="pct"/>
            <w:gridSpan w:val="4"/>
            <w:vAlign w:val="top"/>
          </w:tcPr>
          <w:p w14:paraId="3CCD7180">
            <w:pPr>
              <w:pStyle w:val="2857"/>
              <w:widowControl w:val="0"/>
              <w:spacing w:before="93" w:line="220" w:lineRule="auto"/>
              <w:ind w:left="1213"/>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燃烧性：易燃</w:t>
            </w:r>
          </w:p>
        </w:tc>
      </w:tr>
      <w:tr w14:paraId="17CC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84" w:type="pct"/>
            <w:vMerge w:val="continue"/>
            <w:vAlign w:val="top"/>
          </w:tcPr>
          <w:p w14:paraId="5973FDD9">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2350" w:type="pct"/>
            <w:vAlign w:val="top"/>
          </w:tcPr>
          <w:p w14:paraId="05DB16B4">
            <w:pPr>
              <w:pStyle w:val="2857"/>
              <w:widowControl w:val="0"/>
              <w:spacing w:before="94" w:line="213" w:lineRule="auto"/>
              <w:ind w:left="1081"/>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引燃温度 (℃)：610</w:t>
            </w:r>
          </w:p>
        </w:tc>
        <w:tc>
          <w:tcPr>
            <w:tcW w:w="2165" w:type="pct"/>
            <w:gridSpan w:val="4"/>
            <w:vAlign w:val="top"/>
          </w:tcPr>
          <w:p w14:paraId="5607D3AD">
            <w:pPr>
              <w:pStyle w:val="2857"/>
              <w:widowControl w:val="0"/>
              <w:spacing w:before="94" w:line="213" w:lineRule="auto"/>
              <w:ind w:left="1100"/>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闪点(℃)：&lt;-50</w:t>
            </w:r>
          </w:p>
        </w:tc>
      </w:tr>
      <w:tr w14:paraId="5921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484" w:type="pct"/>
            <w:vMerge w:val="continue"/>
            <w:vAlign w:val="top"/>
          </w:tcPr>
          <w:p w14:paraId="7CED1FFF">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2350" w:type="pct"/>
            <w:vAlign w:val="top"/>
          </w:tcPr>
          <w:p w14:paraId="6DBC8A1D">
            <w:pPr>
              <w:pStyle w:val="2857"/>
              <w:widowControl w:val="0"/>
              <w:spacing w:before="94" w:line="213" w:lineRule="auto"/>
              <w:ind w:left="1061"/>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爆炸下限（%)：12.5</w:t>
            </w:r>
          </w:p>
        </w:tc>
        <w:tc>
          <w:tcPr>
            <w:tcW w:w="2165" w:type="pct"/>
            <w:gridSpan w:val="4"/>
            <w:vAlign w:val="top"/>
          </w:tcPr>
          <w:p w14:paraId="6782FE44">
            <w:pPr>
              <w:pStyle w:val="2857"/>
              <w:widowControl w:val="0"/>
              <w:spacing w:before="94" w:line="213" w:lineRule="auto"/>
              <w:ind w:left="905"/>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爆炸上限（%)：74.2</w:t>
            </w:r>
          </w:p>
        </w:tc>
      </w:tr>
      <w:tr w14:paraId="5EC0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84" w:type="pct"/>
            <w:vMerge w:val="continue"/>
            <w:vAlign w:val="top"/>
          </w:tcPr>
          <w:p w14:paraId="1CD96AE0">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2350" w:type="pct"/>
            <w:vAlign w:val="top"/>
          </w:tcPr>
          <w:p w14:paraId="44E56CCC">
            <w:pPr>
              <w:pStyle w:val="2857"/>
              <w:widowControl w:val="0"/>
              <w:spacing w:before="95" w:line="213" w:lineRule="auto"/>
              <w:ind w:left="728"/>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最小点火能（MJ)：0.3～0.4</w:t>
            </w:r>
          </w:p>
        </w:tc>
        <w:tc>
          <w:tcPr>
            <w:tcW w:w="2165" w:type="pct"/>
            <w:gridSpan w:val="4"/>
            <w:vAlign w:val="top"/>
          </w:tcPr>
          <w:p w14:paraId="7CB66606">
            <w:pPr>
              <w:pStyle w:val="2857"/>
              <w:widowControl w:val="0"/>
              <w:spacing w:before="95" w:line="213" w:lineRule="auto"/>
              <w:ind w:left="534"/>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最大爆炸压力（MPa)：0.720</w:t>
            </w:r>
          </w:p>
        </w:tc>
      </w:tr>
      <w:tr w14:paraId="0389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484" w:type="pct"/>
            <w:vMerge w:val="continue"/>
            <w:vAlign w:val="top"/>
          </w:tcPr>
          <w:p w14:paraId="63C8B00A">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2350" w:type="pct"/>
            <w:vAlign w:val="top"/>
          </w:tcPr>
          <w:p w14:paraId="08269445">
            <w:pPr>
              <w:pStyle w:val="2857"/>
              <w:widowControl w:val="0"/>
              <w:spacing w:before="95" w:line="213" w:lineRule="auto"/>
              <w:ind w:left="901"/>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燃烧热（j/mol)：285624</w:t>
            </w:r>
          </w:p>
        </w:tc>
        <w:tc>
          <w:tcPr>
            <w:tcW w:w="2165" w:type="pct"/>
            <w:gridSpan w:val="4"/>
            <w:vAlign w:val="top"/>
          </w:tcPr>
          <w:p w14:paraId="37A40BA3">
            <w:pPr>
              <w:pStyle w:val="2857"/>
              <w:widowControl w:val="0"/>
              <w:spacing w:before="95" w:line="220" w:lineRule="auto"/>
              <w:ind w:left="477"/>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燃烧（分解）产物：二氧化碳</w:t>
            </w:r>
          </w:p>
        </w:tc>
      </w:tr>
      <w:tr w14:paraId="3B6C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trPr>
        <w:tc>
          <w:tcPr>
            <w:tcW w:w="484" w:type="pct"/>
            <w:vMerge w:val="continue"/>
            <w:vAlign w:val="top"/>
          </w:tcPr>
          <w:p w14:paraId="061C9446">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4515" w:type="pct"/>
            <w:gridSpan w:val="5"/>
            <w:vAlign w:val="top"/>
          </w:tcPr>
          <w:p w14:paraId="1243D472">
            <w:pPr>
              <w:pStyle w:val="2857"/>
              <w:widowControl w:val="0"/>
              <w:spacing w:before="34" w:line="223" w:lineRule="auto"/>
              <w:ind w:left="115" w:right="196"/>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危险特性：是一种易燃易爆气体，与空气混合能形成爆炸性混合物，遇明火、高温能引起燃烧爆炸。</w:t>
            </w:r>
          </w:p>
        </w:tc>
      </w:tr>
      <w:tr w14:paraId="04BF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484" w:type="pct"/>
            <w:vMerge w:val="continue"/>
            <w:vAlign w:val="top"/>
          </w:tcPr>
          <w:p w14:paraId="1F361169">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4515" w:type="pct"/>
            <w:gridSpan w:val="5"/>
            <w:vAlign w:val="top"/>
          </w:tcPr>
          <w:p w14:paraId="53D27482">
            <w:pPr>
              <w:pStyle w:val="2857"/>
              <w:widowControl w:val="0"/>
              <w:spacing w:before="33" w:line="222" w:lineRule="auto"/>
              <w:ind w:left="116" w:right="196"/>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灭火方法：切断气源。若不能切断气源，则不允许熄灭正在燃烧的气体，喷水冷却容器，可能的话将容器从火场移至空旷处。</w:t>
            </w:r>
          </w:p>
        </w:tc>
      </w:tr>
      <w:tr w14:paraId="06AE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84" w:type="pct"/>
            <w:vMerge w:val="continue"/>
            <w:vAlign w:val="top"/>
          </w:tcPr>
          <w:p w14:paraId="149D360B">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4515" w:type="pct"/>
            <w:gridSpan w:val="5"/>
            <w:vAlign w:val="top"/>
          </w:tcPr>
          <w:p w14:paraId="06A0A2EC">
            <w:pPr>
              <w:pStyle w:val="2857"/>
              <w:widowControl w:val="0"/>
              <w:spacing w:before="95" w:line="220" w:lineRule="auto"/>
              <w:ind w:left="116"/>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灭火剂：泡沫、二氧化碳、雾状水、干粉。</w:t>
            </w:r>
          </w:p>
        </w:tc>
      </w:tr>
      <w:tr w14:paraId="1A71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8" w:hRule="atLeast"/>
        </w:trPr>
        <w:tc>
          <w:tcPr>
            <w:tcW w:w="484" w:type="pct"/>
            <w:vMerge w:val="restart"/>
            <w:vAlign w:val="top"/>
          </w:tcPr>
          <w:p w14:paraId="779DFC80">
            <w:pPr>
              <w:widowControl w:val="0"/>
              <w:spacing w:line="276" w:lineRule="auto"/>
              <w:rPr>
                <w:rFonts w:ascii="Times New Roman" w:hAnsi="Times New Roman" w:cs="Times New Roman" w:eastAsiaTheme="minorEastAsia"/>
                <w:smallCaps/>
                <w:color w:val="auto"/>
                <w:w w:val="99"/>
                <w:kern w:val="2"/>
                <w:sz w:val="21"/>
                <w:szCs w:val="21"/>
                <w:highlight w:val="none"/>
                <w:lang w:val="en-US" w:eastAsia="zh-CN" w:bidi="ar-SA"/>
              </w:rPr>
            </w:pPr>
          </w:p>
          <w:p w14:paraId="7D479F07">
            <w:pPr>
              <w:widowControl w:val="0"/>
              <w:spacing w:line="276" w:lineRule="auto"/>
              <w:rPr>
                <w:rFonts w:ascii="Times New Roman" w:hAnsi="Times New Roman" w:cs="Times New Roman" w:eastAsiaTheme="minorEastAsia"/>
                <w:smallCaps/>
                <w:color w:val="auto"/>
                <w:w w:val="99"/>
                <w:kern w:val="2"/>
                <w:sz w:val="21"/>
                <w:szCs w:val="21"/>
                <w:highlight w:val="none"/>
                <w:lang w:val="en-US" w:eastAsia="zh-CN" w:bidi="ar-SA"/>
              </w:rPr>
            </w:pPr>
          </w:p>
          <w:p w14:paraId="49ABF0E4">
            <w:pPr>
              <w:widowControl w:val="0"/>
              <w:spacing w:line="277" w:lineRule="auto"/>
              <w:rPr>
                <w:rFonts w:ascii="Times New Roman" w:hAnsi="Times New Roman" w:cs="Times New Roman" w:eastAsiaTheme="minorEastAsia"/>
                <w:smallCaps/>
                <w:color w:val="auto"/>
                <w:w w:val="99"/>
                <w:kern w:val="2"/>
                <w:sz w:val="21"/>
                <w:szCs w:val="21"/>
                <w:highlight w:val="none"/>
                <w:lang w:val="en-US" w:eastAsia="zh-CN" w:bidi="ar-SA"/>
              </w:rPr>
            </w:pPr>
          </w:p>
          <w:p w14:paraId="2E2800E9">
            <w:pPr>
              <w:widowControl w:val="0"/>
              <w:spacing w:line="277" w:lineRule="auto"/>
              <w:rPr>
                <w:rFonts w:ascii="Times New Roman" w:hAnsi="Times New Roman" w:cs="Times New Roman" w:eastAsiaTheme="minorEastAsia"/>
                <w:smallCaps/>
                <w:color w:val="auto"/>
                <w:w w:val="99"/>
                <w:kern w:val="2"/>
                <w:sz w:val="21"/>
                <w:szCs w:val="21"/>
                <w:highlight w:val="none"/>
                <w:lang w:val="en-US" w:eastAsia="zh-CN" w:bidi="ar-SA"/>
              </w:rPr>
            </w:pPr>
          </w:p>
          <w:p w14:paraId="014067B9">
            <w:pPr>
              <w:widowControl w:val="0"/>
              <w:spacing w:line="277" w:lineRule="auto"/>
              <w:rPr>
                <w:rFonts w:ascii="Times New Roman" w:hAnsi="Times New Roman" w:cs="Times New Roman" w:eastAsiaTheme="minorEastAsia"/>
                <w:smallCaps/>
                <w:color w:val="auto"/>
                <w:w w:val="99"/>
                <w:kern w:val="2"/>
                <w:sz w:val="21"/>
                <w:szCs w:val="21"/>
                <w:highlight w:val="none"/>
                <w:lang w:val="en-US" w:eastAsia="zh-CN" w:bidi="ar-SA"/>
              </w:rPr>
            </w:pPr>
          </w:p>
          <w:p w14:paraId="57FAF434">
            <w:pPr>
              <w:widowControl w:val="0"/>
              <w:spacing w:line="277" w:lineRule="auto"/>
              <w:rPr>
                <w:rFonts w:ascii="Times New Roman" w:hAnsi="Times New Roman" w:cs="Times New Roman" w:eastAsiaTheme="minorEastAsia"/>
                <w:smallCaps/>
                <w:color w:val="auto"/>
                <w:w w:val="99"/>
                <w:kern w:val="2"/>
                <w:sz w:val="21"/>
                <w:szCs w:val="21"/>
                <w:highlight w:val="none"/>
                <w:lang w:val="en-US" w:eastAsia="zh-CN" w:bidi="ar-SA"/>
              </w:rPr>
            </w:pPr>
          </w:p>
          <w:p w14:paraId="58631648">
            <w:pPr>
              <w:pStyle w:val="2857"/>
              <w:widowControl w:val="0"/>
              <w:spacing w:before="69" w:line="243" w:lineRule="auto"/>
              <w:ind w:left="216" w:right="189" w:hanging="2"/>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健康危害</w:t>
            </w:r>
          </w:p>
        </w:tc>
        <w:tc>
          <w:tcPr>
            <w:tcW w:w="4515" w:type="pct"/>
            <w:gridSpan w:val="5"/>
            <w:vAlign w:val="top"/>
          </w:tcPr>
          <w:p w14:paraId="20C49170">
            <w:pPr>
              <w:pStyle w:val="2857"/>
              <w:widowControl w:val="0"/>
              <w:spacing w:before="32" w:line="221" w:lineRule="auto"/>
              <w:ind w:left="115"/>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侵入途径：吸入</w:t>
            </w:r>
          </w:p>
          <w:p w14:paraId="08CC8C10">
            <w:pPr>
              <w:pStyle w:val="2857"/>
              <w:widowControl w:val="0"/>
              <w:spacing w:before="22" w:line="220" w:lineRule="auto"/>
              <w:ind w:left="113"/>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健康危害：CO 在血液中与血红蛋白结合而造成组织缺氧。</w:t>
            </w:r>
          </w:p>
          <w:p w14:paraId="2B62BE0C">
            <w:pPr>
              <w:pStyle w:val="2857"/>
              <w:widowControl w:val="0"/>
              <w:spacing w:before="20"/>
              <w:ind w:left="113" w:right="181" w:firstLine="6"/>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急性中毒：轻度中毒者出现头痛、头晕、耳鸣、心悸、恶心、呕吐、无力，血液碳氧血红蛋白浓度可高于 10%，中度中毒者除上述症状外，还有皮肤粘膜呈樱红色、脉快、烦躁、步态不稳、浅至中度昏迷，血液碳氧血红蛋白浓度可高于</w:t>
            </w:r>
          </w:p>
          <w:p w14:paraId="3D55DD82">
            <w:pPr>
              <w:pStyle w:val="2857"/>
              <w:widowControl w:val="0"/>
              <w:spacing w:line="219" w:lineRule="auto"/>
              <w:ind w:left="113"/>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30% ：重度患者深度昏危迷、瞳孔缩小、肌张力增强、</w:t>
            </w:r>
          </w:p>
          <w:p w14:paraId="23CA7173">
            <w:pPr>
              <w:pStyle w:val="2857"/>
              <w:widowControl w:val="0"/>
              <w:spacing w:before="21"/>
              <w:ind w:left="113" w:right="179"/>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频繁抽搐、大小便失禁、休克、肺水肿、严重心肌损害等，血液碳氧血红蛋白可高于 50% 。部分患者昏迷苏醒后，又可能出现迟发性脑病，以意识精神障碍、锥体系或锥体外系损害为主。</w:t>
            </w:r>
          </w:p>
          <w:p w14:paraId="2F000C13">
            <w:pPr>
              <w:pStyle w:val="2857"/>
              <w:widowControl w:val="0"/>
              <w:spacing w:before="1" w:line="203" w:lineRule="auto"/>
              <w:ind w:left="114"/>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慢性影响：能否造成慢性中毒及对心血管影响无定论。</w:t>
            </w:r>
          </w:p>
        </w:tc>
      </w:tr>
      <w:tr w14:paraId="5612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trPr>
        <w:tc>
          <w:tcPr>
            <w:tcW w:w="484" w:type="pct"/>
            <w:vMerge w:val="continue"/>
            <w:vAlign w:val="top"/>
          </w:tcPr>
          <w:p w14:paraId="50DA31EB">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4515" w:type="pct"/>
            <w:gridSpan w:val="5"/>
            <w:vAlign w:val="top"/>
          </w:tcPr>
          <w:p w14:paraId="588E98CF">
            <w:pPr>
              <w:pStyle w:val="2857"/>
              <w:widowControl w:val="0"/>
              <w:spacing w:before="34" w:line="239" w:lineRule="auto"/>
              <w:ind w:left="117" w:right="196" w:hanging="1"/>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分患者昏迷苏醒后，又可能出现迟发性脑病，以意识精神障碍、锥体系或锥体外系损害为主。</w:t>
            </w:r>
          </w:p>
          <w:p w14:paraId="6AC4741A">
            <w:pPr>
              <w:pStyle w:val="2857"/>
              <w:widowControl w:val="0"/>
              <w:spacing w:line="206" w:lineRule="auto"/>
              <w:ind w:left="114"/>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慢性影响：能否造成慢性中毒及对心血管影响无定论。</w:t>
            </w:r>
          </w:p>
        </w:tc>
      </w:tr>
      <w:tr w14:paraId="73FC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484" w:type="pct"/>
            <w:vMerge w:val="continue"/>
            <w:vAlign w:val="top"/>
          </w:tcPr>
          <w:p w14:paraId="2DC91124">
            <w:pPr>
              <w:widowControl w:val="0"/>
              <w:rPr>
                <w:rFonts w:ascii="Times New Roman" w:hAnsi="Times New Roman" w:cs="Times New Roman" w:eastAsiaTheme="minorEastAsia"/>
                <w:smallCaps/>
                <w:color w:val="auto"/>
                <w:w w:val="99"/>
                <w:kern w:val="2"/>
                <w:sz w:val="21"/>
                <w:szCs w:val="21"/>
                <w:highlight w:val="none"/>
                <w:lang w:val="en-US" w:eastAsia="zh-CN" w:bidi="ar-SA"/>
              </w:rPr>
            </w:pPr>
          </w:p>
        </w:tc>
        <w:tc>
          <w:tcPr>
            <w:tcW w:w="4515" w:type="pct"/>
            <w:gridSpan w:val="5"/>
            <w:vAlign w:val="top"/>
          </w:tcPr>
          <w:p w14:paraId="6815CAC2">
            <w:pPr>
              <w:pStyle w:val="2857"/>
              <w:widowControl w:val="0"/>
              <w:spacing w:before="57" w:line="285" w:lineRule="exact"/>
              <w:ind w:left="116"/>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工作场所最高允许浓度：中国 MAC=30mg/mP3P</w:t>
            </w:r>
          </w:p>
        </w:tc>
      </w:tr>
      <w:tr w14:paraId="3440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trPr>
        <w:tc>
          <w:tcPr>
            <w:tcW w:w="484" w:type="pct"/>
            <w:vAlign w:val="top"/>
          </w:tcPr>
          <w:p w14:paraId="77E2589D">
            <w:pPr>
              <w:pStyle w:val="2857"/>
              <w:widowControl w:val="0"/>
              <w:spacing w:before="170" w:line="221" w:lineRule="auto"/>
              <w:ind w:left="221"/>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急救</w:t>
            </w:r>
          </w:p>
        </w:tc>
        <w:tc>
          <w:tcPr>
            <w:tcW w:w="4515" w:type="pct"/>
            <w:gridSpan w:val="5"/>
            <w:vAlign w:val="top"/>
          </w:tcPr>
          <w:p w14:paraId="19DD19F3">
            <w:pPr>
              <w:pStyle w:val="2857"/>
              <w:widowControl w:val="0"/>
              <w:spacing w:before="36" w:line="224" w:lineRule="auto"/>
              <w:ind w:left="124" w:right="196" w:hanging="3"/>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吸入：迅速脱离现场至空气新鲜处。保持呼吸道畅通。如呼吸困难，给输氧。如呼吸停止，立即进行人工呼吸，就医。</w:t>
            </w:r>
          </w:p>
        </w:tc>
      </w:tr>
      <w:tr w14:paraId="011F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trPr>
        <w:tc>
          <w:tcPr>
            <w:tcW w:w="878" w:type="dxa"/>
            <w:vAlign w:val="top"/>
          </w:tcPr>
          <w:p w14:paraId="56911994">
            <w:pPr>
              <w:widowControl w:val="0"/>
              <w:spacing w:line="371" w:lineRule="auto"/>
              <w:rPr>
                <w:rFonts w:ascii="Times New Roman" w:hAnsi="Times New Roman" w:cs="Times New Roman" w:eastAsiaTheme="minorEastAsia"/>
                <w:smallCaps/>
                <w:color w:val="auto"/>
                <w:w w:val="99"/>
                <w:kern w:val="2"/>
                <w:sz w:val="21"/>
                <w:szCs w:val="21"/>
                <w:highlight w:val="none"/>
                <w:lang w:val="en-US" w:eastAsia="zh-CN" w:bidi="ar-SA"/>
              </w:rPr>
            </w:pPr>
          </w:p>
          <w:p w14:paraId="759C62BA">
            <w:pPr>
              <w:pStyle w:val="2857"/>
              <w:widowControl w:val="0"/>
              <w:spacing w:before="68" w:line="245" w:lineRule="auto"/>
              <w:ind w:left="218" w:leftChars="0" w:right="188" w:rightChars="0"/>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泄漏处理</w:t>
            </w:r>
          </w:p>
        </w:tc>
        <w:tc>
          <w:tcPr>
            <w:tcW w:w="8191" w:type="dxa"/>
            <w:gridSpan w:val="5"/>
            <w:vAlign w:val="top"/>
          </w:tcPr>
          <w:p w14:paraId="1C903EB1">
            <w:pPr>
              <w:pStyle w:val="2857"/>
              <w:keepNext w:val="0"/>
              <w:keepLines w:val="0"/>
              <w:pageBreakBefore w:val="0"/>
              <w:widowControl/>
              <w:kinsoku/>
              <w:wordWrap/>
              <w:overflowPunct/>
              <w:topLinePunct w:val="0"/>
              <w:autoSpaceDE/>
              <w:autoSpaceDN/>
              <w:bidi w:val="0"/>
              <w:adjustRightInd/>
              <w:snapToGrid/>
              <w:spacing w:before="35" w:line="320" w:lineRule="exact"/>
              <w:ind w:left="113" w:right="299" w:firstLine="2"/>
              <w:textAlignment w:val="auto"/>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人员迅速撤离泄漏污染区至上风处，并立即隔离 150m ，严格限制出入。切断火源，建议应急处理人员戴自给正压式呼吸器，穿消防防护服。尽可能切断泄漏</w:t>
            </w:r>
          </w:p>
          <w:p w14:paraId="340D73A8">
            <w:pPr>
              <w:pStyle w:val="2857"/>
              <w:keepNext w:val="0"/>
              <w:keepLines w:val="0"/>
              <w:pageBreakBefore w:val="0"/>
              <w:widowControl/>
              <w:kinsoku/>
              <w:wordWrap/>
              <w:overflowPunct/>
              <w:topLinePunct w:val="0"/>
              <w:autoSpaceDE/>
              <w:autoSpaceDN/>
              <w:bidi w:val="0"/>
              <w:adjustRightInd/>
              <w:snapToGrid/>
              <w:spacing w:before="1" w:line="320" w:lineRule="exact"/>
              <w:ind w:left="114" w:right="196" w:hanging="1"/>
              <w:textAlignment w:val="auto"/>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源。合理通风，加强扩散。喷雾状水稀释、溶解。构筑围堤收容产生的废水。如有可能，将漏出气用排风机排出、装适当喷头烧掉，也可以用管路导至炉中焚</w:t>
            </w:r>
          </w:p>
          <w:p w14:paraId="0F3650ED">
            <w:pPr>
              <w:pStyle w:val="2857"/>
              <w:keepNext w:val="0"/>
              <w:keepLines w:val="0"/>
              <w:pageBreakBefore w:val="0"/>
              <w:widowControl/>
              <w:kinsoku/>
              <w:wordWrap/>
              <w:overflowPunct/>
              <w:topLinePunct w:val="0"/>
              <w:autoSpaceDE/>
              <w:autoSpaceDN/>
              <w:bidi w:val="0"/>
              <w:adjustRightInd/>
              <w:snapToGrid/>
              <w:spacing w:line="320" w:lineRule="exact"/>
              <w:ind w:left="113" w:leftChars="0"/>
              <w:textAlignment w:val="auto"/>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烧。漏气容器要妥善处理、修复、检验后再用。</w:t>
            </w:r>
          </w:p>
        </w:tc>
      </w:tr>
      <w:tr w14:paraId="5384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trPr>
        <w:tc>
          <w:tcPr>
            <w:tcW w:w="484" w:type="pct"/>
            <w:vAlign w:val="center"/>
          </w:tcPr>
          <w:p w14:paraId="553C3C3D">
            <w:pPr>
              <w:pStyle w:val="2857"/>
              <w:widowControl w:val="0"/>
              <w:spacing w:line="206" w:lineRule="auto"/>
              <w:ind w:left="114"/>
              <w:jc w:val="center"/>
              <w:rPr>
                <w:rFonts w:hint="default" w:ascii="Times New Roman" w:hAnsi="Times New Roman" w:cs="Times New Roman" w:eastAsiaTheme="minorEastAsia"/>
                <w:smallCaps/>
                <w:color w:val="auto"/>
                <w:w w:val="99"/>
                <w:kern w:val="2"/>
                <w:sz w:val="21"/>
                <w:szCs w:val="21"/>
                <w:highlight w:val="none"/>
                <w:lang w:val="en-US" w:eastAsia="zh-CN" w:bidi="ar-SA"/>
              </w:rPr>
            </w:pPr>
            <w:r>
              <w:rPr>
                <w:rFonts w:hint="eastAsia" w:ascii="Times New Roman" w:hAnsi="Times New Roman" w:cs="Times New Roman" w:eastAsiaTheme="minorEastAsia"/>
                <w:smallCaps/>
                <w:color w:val="auto"/>
                <w:w w:val="99"/>
                <w:kern w:val="2"/>
                <w:sz w:val="21"/>
                <w:szCs w:val="21"/>
                <w:highlight w:val="none"/>
                <w:lang w:val="en-US" w:eastAsia="zh-CN" w:bidi="ar-SA"/>
              </w:rPr>
              <w:t>储运</w:t>
            </w:r>
          </w:p>
        </w:tc>
        <w:tc>
          <w:tcPr>
            <w:tcW w:w="4515" w:type="pct"/>
            <w:gridSpan w:val="5"/>
            <w:vAlign w:val="top"/>
          </w:tcPr>
          <w:p w14:paraId="3207B904">
            <w:pPr>
              <w:pStyle w:val="2857"/>
              <w:keepNext w:val="0"/>
              <w:keepLines w:val="0"/>
              <w:pageBreakBefore w:val="0"/>
              <w:widowControl/>
              <w:kinsoku/>
              <w:wordWrap/>
              <w:overflowPunct/>
              <w:topLinePunct w:val="0"/>
              <w:autoSpaceDE/>
              <w:autoSpaceDN/>
              <w:bidi w:val="0"/>
              <w:adjustRightInd/>
              <w:snapToGrid/>
              <w:spacing w:line="320" w:lineRule="exact"/>
              <w:ind w:left="114"/>
              <w:textAlignment w:val="auto"/>
              <w:rPr>
                <w:rFonts w:ascii="Times New Roman" w:hAnsi="Times New Roman" w:cs="Times New Roman" w:eastAsiaTheme="minorEastAsia"/>
                <w:smallCaps/>
                <w:color w:val="auto"/>
                <w:w w:val="99"/>
                <w:kern w:val="2"/>
                <w:sz w:val="21"/>
                <w:szCs w:val="21"/>
                <w:highlight w:val="none"/>
                <w:lang w:val="en-US" w:eastAsia="zh-CN" w:bidi="ar-SA"/>
              </w:rPr>
            </w:pPr>
            <w:r>
              <w:rPr>
                <w:rFonts w:ascii="Times New Roman" w:hAnsi="Times New Roman" w:cs="Times New Roman" w:eastAsiaTheme="minorEastAsia"/>
                <w:smallCaps/>
                <w:color w:val="auto"/>
                <w:w w:val="99"/>
                <w:kern w:val="2"/>
                <w:sz w:val="21"/>
                <w:szCs w:val="21"/>
                <w:highlight w:val="none"/>
                <w:lang w:val="en-US" w:eastAsia="zh-CN" w:bidi="ar-SA"/>
              </w:rPr>
              <w:t>储运于阴凉、通风仓间内。仓内温度不宜超过 30℃。远离火种、热源。防止阳光直射。应与氧气、氧化剂等分开存放。切忌混储混运。储存间内的照明、通风等设施应采用防爆型。禁止使用易产生火花的机械设备和工具。</w:t>
            </w:r>
          </w:p>
        </w:tc>
      </w:tr>
    </w:tbl>
    <w:p w14:paraId="1032A901">
      <w:pPr>
        <w:pStyle w:val="7"/>
        <w:widowControl w:val="0"/>
        <w:spacing w:before="60" w:after="60" w:line="440" w:lineRule="exact"/>
        <w:jc w:val="both"/>
        <w:rPr>
          <w:rFonts w:eastAsiaTheme="minorEastAsia"/>
          <w:b/>
          <w:color w:val="auto"/>
          <w:w w:val="99"/>
          <w:kern w:val="2"/>
          <w:sz w:val="24"/>
          <w:szCs w:val="24"/>
          <w:highlight w:val="none"/>
        </w:rPr>
      </w:pPr>
      <w:r>
        <w:rPr>
          <w:rFonts w:eastAsiaTheme="minorEastAsia"/>
          <w:b/>
          <w:color w:val="auto"/>
          <w:w w:val="99"/>
          <w:kern w:val="2"/>
          <w:sz w:val="24"/>
          <w:szCs w:val="24"/>
          <w:highlight w:val="none"/>
        </w:rPr>
        <w:t>5.8.2风险识别</w:t>
      </w:r>
      <w:bookmarkEnd w:id="990"/>
      <w:bookmarkEnd w:id="991"/>
      <w:bookmarkEnd w:id="992"/>
      <w:bookmarkEnd w:id="993"/>
      <w:bookmarkEnd w:id="994"/>
      <w:bookmarkEnd w:id="995"/>
      <w:bookmarkEnd w:id="996"/>
      <w:bookmarkEnd w:id="997"/>
    </w:p>
    <w:p w14:paraId="0176C9DC">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（1）</w:t>
      </w:r>
      <w:r>
        <w:rPr>
          <w:rFonts w:hint="default" w:ascii="Times New Roman" w:hAnsi="Times New Roman" w:eastAsia="宋体" w:cs="Times New Roman"/>
          <w:color w:val="auto"/>
          <w:w w:val="99"/>
          <w:kern w:val="2"/>
          <w:highlight w:val="none"/>
          <w:lang w:val="en-US" w:eastAsia="zh-CN"/>
        </w:rPr>
        <w:t>气井泄漏风险</w:t>
      </w:r>
    </w:p>
    <w:p w14:paraId="3FB1F682">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本工程运营期由于井场生产过程中管道、阀门等损坏，可能发生天然气泄漏事故。采气厂实施全过程风险因素控制，为井口配备防喷器，制定了详细操作规程和应急预案，因此，在管理到位的情况下，出现气井泄漏的几率不大。</w:t>
      </w:r>
    </w:p>
    <w:p w14:paraId="7F6163BB">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（2）</w:t>
      </w:r>
      <w:r>
        <w:rPr>
          <w:rFonts w:hint="default" w:ascii="Times New Roman" w:hAnsi="Times New Roman" w:eastAsia="宋体" w:cs="Times New Roman"/>
          <w:color w:val="auto"/>
          <w:w w:val="99"/>
          <w:kern w:val="2"/>
          <w:highlight w:val="none"/>
          <w:lang w:val="en-US" w:eastAsia="zh-CN"/>
        </w:rPr>
        <w:t>气井套损风险</w:t>
      </w:r>
    </w:p>
    <w:p w14:paraId="79F944BD">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采气过程的主要环境风险是气井套损，气水泄漏进入含水层，污染地下水。本工程套管采用双层套管（由表层套管、生产套管组成)，运营期造成套损的因素主要有地质因素、工程技术因素和套管腐蚀三大类。</w:t>
      </w:r>
    </w:p>
    <w:p w14:paraId="6D511F79">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地质因素主要包括泥岩遇水膨胀使岩压转移到套管使其变形损坏，断层运移可能对套管产生剪切破坏，由于地壳运动和地震引起的套管损坏以及地面下沉及气层压实导致应力变化，从而使套管在拉张力及剪切力的作用下发生弯曲或错断。</w:t>
      </w:r>
    </w:p>
    <w:p w14:paraId="5A8E7137">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工程技术因素主要有套管强度计算及井深结构设计不合理，泥岩吸水蠕变、滑移产生的横向层间位移侧压力、纵向地层位移产生的拉伸力及纵横向位移产生的弯曲应力对套管的破坏作用</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固井质量不好时，会使泥岩吸水蠕变、滑移，对套管产生破坏作用。另外，由于井眼不规则或固井时存在混浆井段，在封固井段内，水泥浆候凝期间放热不均匀，温度的变化使套管热胀冷缩，也易导致套管变形破裂。</w:t>
      </w:r>
    </w:p>
    <w:p w14:paraId="2886AA43">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套管腐蚀是套管损坏的一种主要诱因，一旦套管腐蚀穿孔则会多点破漏，并会加速套管的疲劳进而过早变形和损坏。它是由原油天然气中含有的硫、CO</w:t>
      </w:r>
      <w:r>
        <w:rPr>
          <w:rFonts w:hint="eastAsia" w:ascii="Times New Roman" w:hAnsi="Times New Roman" w:eastAsia="宋体" w:cs="Times New Roman"/>
          <w:color w:val="auto"/>
          <w:w w:val="99"/>
          <w:kern w:val="2"/>
          <w:highlight w:val="none"/>
          <w:vertAlign w:val="subscript"/>
          <w:lang w:val="en-US" w:eastAsia="zh-CN"/>
        </w:rPr>
        <w:t>2</w:t>
      </w:r>
      <w:r>
        <w:rPr>
          <w:rFonts w:hint="default" w:ascii="Times New Roman" w:hAnsi="Times New Roman" w:eastAsia="宋体" w:cs="Times New Roman"/>
          <w:color w:val="auto"/>
          <w:w w:val="99"/>
          <w:kern w:val="2"/>
          <w:highlight w:val="none"/>
          <w:lang w:val="en-US" w:eastAsia="zh-CN"/>
        </w:rPr>
        <w:t>及地层水和注入水中含有的各种腐蚀性物质与套管中Fe或Fe</w:t>
      </w:r>
      <w:r>
        <w:rPr>
          <w:rFonts w:hint="eastAsia" w:ascii="Times New Roman" w:hAnsi="Times New Roman" w:eastAsia="宋体" w:cs="Times New Roman"/>
          <w:color w:val="auto"/>
          <w:w w:val="99"/>
          <w:kern w:val="2"/>
          <w:highlight w:val="none"/>
          <w:vertAlign w:val="superscript"/>
          <w:lang w:val="en-US" w:eastAsia="zh-CN"/>
        </w:rPr>
        <w:t>2+</w:t>
      </w:r>
      <w:r>
        <w:rPr>
          <w:rFonts w:hint="default" w:ascii="Times New Roman" w:hAnsi="Times New Roman" w:eastAsia="宋体" w:cs="Times New Roman"/>
          <w:color w:val="auto"/>
          <w:w w:val="99"/>
          <w:kern w:val="2"/>
          <w:highlight w:val="none"/>
          <w:lang w:val="en-US" w:eastAsia="zh-CN"/>
        </w:rPr>
        <w:t>发生反应引起的。腐蚀条件包括一定的温度、压力、Fe</w:t>
      </w:r>
      <w:r>
        <w:rPr>
          <w:rFonts w:hint="eastAsia" w:ascii="Times New Roman" w:hAnsi="Times New Roman" w:eastAsia="宋体" w:cs="Times New Roman"/>
          <w:color w:val="auto"/>
          <w:w w:val="99"/>
          <w:kern w:val="2"/>
          <w:highlight w:val="none"/>
          <w:vertAlign w:val="superscript"/>
          <w:lang w:val="en-US" w:eastAsia="zh-CN"/>
        </w:rPr>
        <w:t>2+</w:t>
      </w:r>
      <w:r>
        <w:rPr>
          <w:rFonts w:hint="default" w:ascii="Times New Roman" w:hAnsi="Times New Roman" w:eastAsia="宋体" w:cs="Times New Roman"/>
          <w:color w:val="auto"/>
          <w:w w:val="99"/>
          <w:kern w:val="2"/>
          <w:highlight w:val="none"/>
          <w:lang w:val="en-US" w:eastAsia="zh-CN"/>
        </w:rPr>
        <w:t>浓度及地层水中存在还原菌等，大多与硫酸盐还原菌的作用有关。</w:t>
      </w:r>
    </w:p>
    <w:p w14:paraId="40C300CC">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因此，预防套损污染地下水的关键是合理设计井身结构，采取表套、生产套管双层套管结构，固井水泥均返至井口进行全程固井，对含水层段的套管采取防腐措施，采取以上措施后，发生套损后对地下水的污染可能性较小。</w:t>
      </w:r>
    </w:p>
    <w:p w14:paraId="71392A3C">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（3）</w:t>
      </w:r>
      <w:r>
        <w:rPr>
          <w:rFonts w:hint="default" w:ascii="Times New Roman" w:hAnsi="Times New Roman" w:eastAsia="宋体" w:cs="Times New Roman"/>
          <w:color w:val="auto"/>
          <w:w w:val="99"/>
          <w:kern w:val="2"/>
          <w:highlight w:val="none"/>
          <w:lang w:val="en-US" w:eastAsia="zh-CN"/>
        </w:rPr>
        <w:t>采气管道风险因素分析</w:t>
      </w:r>
    </w:p>
    <w:p w14:paraId="0F995D12">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采气管道中主要成分为天然气，由于管材本身的质量、施工、运行和管理等各环节都可能出现缺陷和失误，从而导致事故发生。集输管道的常见事故是管线穿孔或破裂导致管道内介质泄漏，会导致天然气外泄，对环境污染较大。如遇明火将引起火灾、爆炸。导致管线事故的主要因素分析如下</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管道由于腐蚀造成穿孔，焊缝开裂出现裂纹</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管道材料缺陷或焊接缺陷</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不法分子在管线上打孔或偷气</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由于外物撞击而造成管线破裂</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由于地震、洪水</w:t>
      </w:r>
      <w:r>
        <w:rPr>
          <w:rFonts w:hint="eastAsia" w:ascii="Times New Roman" w:hAnsi="Times New Roman" w:cs="Times New Roman"/>
          <w:color w:val="auto"/>
          <w:w w:val="99"/>
          <w:kern w:val="2"/>
          <w:highlight w:val="none"/>
          <w:lang w:val="en-US" w:eastAsia="zh-CN"/>
        </w:rPr>
        <w:t>自</w:t>
      </w:r>
      <w:r>
        <w:rPr>
          <w:rFonts w:hint="default" w:ascii="Times New Roman" w:hAnsi="Times New Roman" w:eastAsia="宋体" w:cs="Times New Roman"/>
          <w:color w:val="auto"/>
          <w:w w:val="99"/>
          <w:kern w:val="2"/>
          <w:highlight w:val="none"/>
          <w:lang w:val="en-US" w:eastAsia="zh-CN"/>
        </w:rPr>
        <w:t>然灾害而引起管线破裂</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由于误开挖造成管道破裂</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操作失误。</w:t>
      </w:r>
    </w:p>
    <w:p w14:paraId="28C7AF4F">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（4）</w:t>
      </w:r>
      <w:r>
        <w:rPr>
          <w:rFonts w:hint="default" w:ascii="Times New Roman" w:hAnsi="Times New Roman" w:eastAsia="宋体" w:cs="Times New Roman"/>
          <w:color w:val="auto"/>
          <w:w w:val="99"/>
          <w:kern w:val="2"/>
          <w:highlight w:val="none"/>
          <w:lang w:val="en-US" w:eastAsia="zh-CN"/>
        </w:rPr>
        <w:t>火灾、爆炸</w:t>
      </w:r>
    </w:p>
    <w:p w14:paraId="76192013">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气田开发运行过程中发生火灾爆炸的原因很多，主要包括</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组织不严密，管理不善，违章作业导致大量的天然气泄漏遇明火爆炸燃烧</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设备缺陷主要包括因选材错误而引起的设备、管线的腐蚀、侵蚀等引发火灾、爆炸</w:t>
      </w:r>
      <w:r>
        <w:rPr>
          <w:rFonts w:hint="eastAsia" w:ascii="Times New Roman" w:hAnsi="Times New Roman" w:eastAsia="宋体" w:cs="Times New Roman"/>
          <w:color w:val="auto"/>
          <w:w w:val="99"/>
          <w:kern w:val="2"/>
          <w:highlight w:val="none"/>
          <w:lang w:val="en-US" w:eastAsia="zh-CN"/>
        </w:rPr>
        <w:t>；</w:t>
      </w:r>
      <w:r>
        <w:rPr>
          <w:rFonts w:hint="default" w:ascii="Times New Roman" w:hAnsi="Times New Roman" w:eastAsia="宋体" w:cs="Times New Roman"/>
          <w:color w:val="auto"/>
          <w:w w:val="99"/>
          <w:kern w:val="2"/>
          <w:highlight w:val="none"/>
          <w:lang w:val="en-US" w:eastAsia="zh-CN"/>
        </w:rPr>
        <w:t>设备安装时考虑不周不细，施工时施工质量差，不符合设计要求和施工验收规范，从而导致投产后发生事故等。</w:t>
      </w:r>
    </w:p>
    <w:p w14:paraId="6618C2F1">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eastAsia="宋体" w:cs="Times New Roman"/>
          <w:color w:val="auto"/>
          <w:w w:val="99"/>
          <w:kern w:val="2"/>
          <w:highlight w:val="none"/>
          <w:lang w:val="en-US" w:eastAsia="zh-CN"/>
        </w:rPr>
        <w:t>（5）</w:t>
      </w:r>
      <w:r>
        <w:rPr>
          <w:rFonts w:hint="default" w:ascii="Times New Roman" w:hAnsi="Times New Roman" w:eastAsia="宋体" w:cs="Times New Roman"/>
          <w:color w:val="auto"/>
          <w:w w:val="99"/>
          <w:kern w:val="2"/>
          <w:highlight w:val="none"/>
          <w:lang w:val="en-US" w:eastAsia="zh-CN"/>
        </w:rPr>
        <w:t>场站风险因素分析</w:t>
      </w:r>
    </w:p>
    <w:p w14:paraId="51A361C2">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本项目</w:t>
      </w:r>
      <w:r>
        <w:rPr>
          <w:rFonts w:hint="eastAsia" w:ascii="Times New Roman" w:hAnsi="Times New Roman" w:eastAsia="宋体" w:cs="Times New Roman"/>
          <w:color w:val="auto"/>
          <w:w w:val="99"/>
          <w:kern w:val="2"/>
          <w:highlight w:val="none"/>
          <w:lang w:val="en-US" w:eastAsia="zh-CN"/>
        </w:rPr>
        <w:t>依托场站为徐深</w:t>
      </w:r>
      <w:r>
        <w:rPr>
          <w:rFonts w:hint="eastAsia" w:ascii="Times New Roman" w:hAnsi="Times New Roman" w:cs="Times New Roman"/>
          <w:color w:val="auto"/>
          <w:w w:val="99"/>
          <w:kern w:val="2"/>
          <w:highlight w:val="none"/>
          <w:lang w:val="en-US" w:eastAsia="zh-CN"/>
        </w:rPr>
        <w:t>27</w:t>
      </w:r>
      <w:r>
        <w:rPr>
          <w:rFonts w:hint="eastAsia" w:ascii="Times New Roman" w:hAnsi="Times New Roman" w:eastAsia="宋体" w:cs="Times New Roman"/>
          <w:color w:val="auto"/>
          <w:w w:val="99"/>
          <w:kern w:val="2"/>
          <w:highlight w:val="none"/>
          <w:lang w:val="en-US" w:eastAsia="zh-CN"/>
        </w:rPr>
        <w:t>集气站</w:t>
      </w:r>
      <w:r>
        <w:rPr>
          <w:rFonts w:hint="default" w:ascii="Times New Roman" w:hAnsi="Times New Roman" w:eastAsia="宋体" w:cs="Times New Roman"/>
          <w:color w:val="auto"/>
          <w:w w:val="99"/>
          <w:kern w:val="2"/>
          <w:highlight w:val="none"/>
          <w:lang w:val="en-US" w:eastAsia="zh-CN"/>
        </w:rPr>
        <w:t>，处理的介质</w:t>
      </w:r>
      <w:r>
        <w:rPr>
          <w:rFonts w:hint="eastAsia" w:ascii="Times New Roman" w:hAnsi="Times New Roman" w:cs="Times New Roman"/>
          <w:color w:val="auto"/>
          <w:w w:val="99"/>
          <w:kern w:val="2"/>
          <w:highlight w:val="none"/>
          <w:lang w:val="en-US" w:eastAsia="zh-CN"/>
        </w:rPr>
        <w:t>以及新建甲醇储罐</w:t>
      </w:r>
      <w:r>
        <w:rPr>
          <w:rFonts w:hint="default" w:ascii="Times New Roman" w:hAnsi="Times New Roman" w:eastAsia="宋体" w:cs="Times New Roman"/>
          <w:color w:val="auto"/>
          <w:w w:val="99"/>
          <w:kern w:val="2"/>
          <w:highlight w:val="none"/>
          <w:lang w:val="en-US" w:eastAsia="zh-CN"/>
        </w:rPr>
        <w:t>具有易燃性质，因此，本项目场站主要事故类型是火灾、爆炸和天然气泄漏。</w:t>
      </w:r>
    </w:p>
    <w:p w14:paraId="71155123">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本工程场站的事故主要因素分析如下：</w:t>
      </w:r>
    </w:p>
    <w:p w14:paraId="6A17C070">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①组织不严密，管理不善，违章作业导致大量的</w:t>
      </w:r>
      <w:r>
        <w:rPr>
          <w:rFonts w:hint="eastAsia" w:ascii="Times New Roman" w:hAnsi="Times New Roman" w:eastAsia="宋体" w:cs="Times New Roman"/>
          <w:color w:val="auto"/>
          <w:w w:val="99"/>
          <w:kern w:val="2"/>
          <w:highlight w:val="none"/>
          <w:lang w:val="en-US" w:eastAsia="zh-CN"/>
        </w:rPr>
        <w:t>天然气</w:t>
      </w:r>
      <w:r>
        <w:rPr>
          <w:rFonts w:hint="default" w:ascii="Times New Roman" w:hAnsi="Times New Roman" w:eastAsia="宋体" w:cs="Times New Roman"/>
          <w:color w:val="auto"/>
          <w:w w:val="99"/>
          <w:kern w:val="2"/>
          <w:highlight w:val="none"/>
          <w:lang w:val="en-US" w:eastAsia="zh-CN"/>
        </w:rPr>
        <w:t>泄漏遇明火爆炸燃烧；</w:t>
      </w:r>
    </w:p>
    <w:p w14:paraId="105FCC16">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②设备缺陷主要包括因选材错误而引起的设备、管道的腐蚀、侵蚀等引发火灾、爆炸；</w:t>
      </w:r>
    </w:p>
    <w:p w14:paraId="3137813F">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③设备安装时考虑不周不细，施工时施工质量差，不符合设计要求和施工验收规范，从而导致投产后发生事故；</w:t>
      </w:r>
    </w:p>
    <w:p w14:paraId="638C1F07">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④控制生产装置的仪表仪器失灵，造成设备操作失控，引发</w:t>
      </w:r>
      <w:r>
        <w:rPr>
          <w:rFonts w:hint="eastAsia" w:ascii="Times New Roman" w:hAnsi="Times New Roman" w:eastAsia="宋体" w:cs="Times New Roman"/>
          <w:color w:val="auto"/>
          <w:w w:val="99"/>
          <w:kern w:val="2"/>
          <w:highlight w:val="none"/>
          <w:lang w:val="en-US" w:eastAsia="zh-CN"/>
        </w:rPr>
        <w:t>天然气</w:t>
      </w:r>
      <w:r>
        <w:rPr>
          <w:rFonts w:hint="default" w:ascii="Times New Roman" w:hAnsi="Times New Roman" w:eastAsia="宋体" w:cs="Times New Roman"/>
          <w:color w:val="auto"/>
          <w:w w:val="99"/>
          <w:kern w:val="2"/>
          <w:highlight w:val="none"/>
          <w:lang w:val="en-US" w:eastAsia="zh-CN"/>
        </w:rPr>
        <w:t>泄漏，形成火灾等；</w:t>
      </w:r>
    </w:p>
    <w:p w14:paraId="10F75826">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⑤站场储罐破损，导致</w:t>
      </w:r>
      <w:r>
        <w:rPr>
          <w:rFonts w:hint="eastAsia" w:ascii="Times New Roman" w:hAnsi="Times New Roman" w:eastAsia="宋体" w:cs="Times New Roman"/>
          <w:color w:val="auto"/>
          <w:w w:val="99"/>
          <w:kern w:val="2"/>
          <w:highlight w:val="none"/>
          <w:lang w:val="en-US" w:eastAsia="zh-CN"/>
        </w:rPr>
        <w:t>含烃废水</w:t>
      </w:r>
      <w:r>
        <w:rPr>
          <w:rFonts w:hint="default" w:ascii="Times New Roman" w:hAnsi="Times New Roman" w:eastAsia="宋体" w:cs="Times New Roman"/>
          <w:color w:val="auto"/>
          <w:w w:val="99"/>
          <w:kern w:val="2"/>
          <w:highlight w:val="none"/>
          <w:lang w:val="en-US" w:eastAsia="zh-CN"/>
        </w:rPr>
        <w:t>泄露，污染土壤、地下水。</w:t>
      </w:r>
    </w:p>
    <w:p w14:paraId="3727F535">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本工程主要作业场所、生产设备设施环境风险识别见表5.8-</w:t>
      </w:r>
      <w:r>
        <w:rPr>
          <w:rFonts w:hint="eastAsia" w:ascii="Times New Roman" w:hAnsi="Times New Roman" w:cs="Times New Roman"/>
          <w:color w:val="auto"/>
          <w:w w:val="99"/>
          <w:kern w:val="2"/>
          <w:highlight w:val="none"/>
          <w:lang w:val="en-US" w:eastAsia="zh-CN"/>
        </w:rPr>
        <w:t>5</w:t>
      </w:r>
      <w:r>
        <w:rPr>
          <w:rFonts w:hint="default" w:ascii="Times New Roman" w:hAnsi="Times New Roman" w:eastAsia="宋体" w:cs="Times New Roman"/>
          <w:color w:val="auto"/>
          <w:w w:val="99"/>
          <w:kern w:val="2"/>
          <w:highlight w:val="none"/>
          <w:lang w:val="en-US" w:eastAsia="zh-CN"/>
        </w:rPr>
        <w:t>。</w:t>
      </w:r>
    </w:p>
    <w:p w14:paraId="56352379">
      <w:pPr>
        <w:widowControl w:val="0"/>
        <w:spacing w:line="440" w:lineRule="exact"/>
        <w:ind w:firstLine="476" w:firstLineChars="200"/>
        <w:jc w:val="both"/>
        <w:rPr>
          <w:rFonts w:hint="default" w:ascii="Times New Roman" w:hAnsi="Times New Roman" w:eastAsia="宋体" w:cs="Times New Roman"/>
          <w:b/>
          <w:bCs/>
          <w:color w:val="auto"/>
          <w:w w:val="99"/>
          <w:kern w:val="2"/>
          <w:highlight w:val="none"/>
          <w:lang w:val="en-US" w:eastAsia="zh-CN"/>
        </w:rPr>
      </w:pPr>
      <w:r>
        <w:rPr>
          <w:rFonts w:hint="default" w:ascii="Times New Roman" w:hAnsi="Times New Roman" w:eastAsia="宋体" w:cs="Times New Roman"/>
          <w:b/>
          <w:bCs/>
          <w:color w:val="auto"/>
          <w:w w:val="99"/>
          <w:kern w:val="2"/>
          <w:highlight w:val="none"/>
          <w:lang w:val="en-US" w:eastAsia="zh-CN"/>
        </w:rPr>
        <w:t>表5.8-</w:t>
      </w:r>
      <w:r>
        <w:rPr>
          <w:rFonts w:hint="eastAsia" w:ascii="Times New Roman" w:hAnsi="Times New Roman" w:cs="Times New Roman"/>
          <w:b/>
          <w:bCs/>
          <w:color w:val="auto"/>
          <w:w w:val="99"/>
          <w:kern w:val="2"/>
          <w:highlight w:val="none"/>
          <w:lang w:val="en-US" w:eastAsia="zh-CN"/>
        </w:rPr>
        <w:t>5</w:t>
      </w:r>
      <w:r>
        <w:rPr>
          <w:rFonts w:hint="default" w:ascii="Times New Roman" w:hAnsi="Times New Roman" w:eastAsia="宋体" w:cs="Times New Roman"/>
          <w:b/>
          <w:bCs/>
          <w:color w:val="auto"/>
          <w:w w:val="99"/>
          <w:kern w:val="2"/>
          <w:highlight w:val="none"/>
          <w:lang w:val="en-US" w:eastAsia="zh-CN"/>
        </w:rPr>
        <w:t xml:space="preserve">  工程环境风险识别表</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42"/>
        <w:gridCol w:w="2081"/>
        <w:gridCol w:w="3058"/>
        <w:gridCol w:w="1946"/>
      </w:tblGrid>
      <w:tr w14:paraId="7DC8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42" w:type="dxa"/>
            <w:tcBorders>
              <w:tl2br w:val="nil"/>
              <w:tr2bl w:val="nil"/>
            </w:tcBorders>
            <w:noWrap w:val="0"/>
            <w:tcMar>
              <w:left w:w="28" w:type="dxa"/>
              <w:right w:w="28" w:type="dxa"/>
            </w:tcMar>
            <w:vAlign w:val="center"/>
          </w:tcPr>
          <w:p w14:paraId="71EC559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主要设备及场所名称</w:t>
            </w:r>
          </w:p>
        </w:tc>
        <w:tc>
          <w:tcPr>
            <w:tcW w:w="2081" w:type="dxa"/>
            <w:tcBorders>
              <w:tl2br w:val="nil"/>
              <w:tr2bl w:val="nil"/>
            </w:tcBorders>
            <w:noWrap w:val="0"/>
            <w:tcMar>
              <w:left w:w="28" w:type="dxa"/>
              <w:right w:w="28" w:type="dxa"/>
            </w:tcMar>
            <w:vAlign w:val="center"/>
          </w:tcPr>
          <w:p w14:paraId="4A0366D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危险介质</w:t>
            </w:r>
          </w:p>
        </w:tc>
        <w:tc>
          <w:tcPr>
            <w:tcW w:w="3058" w:type="dxa"/>
            <w:tcBorders>
              <w:tl2br w:val="nil"/>
              <w:tr2bl w:val="nil"/>
            </w:tcBorders>
            <w:noWrap w:val="0"/>
            <w:tcMar>
              <w:left w:w="28" w:type="dxa"/>
              <w:right w:w="28" w:type="dxa"/>
            </w:tcMar>
            <w:vAlign w:val="center"/>
          </w:tcPr>
          <w:p w14:paraId="4A0F7AA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主要危险特性</w:t>
            </w:r>
          </w:p>
        </w:tc>
        <w:tc>
          <w:tcPr>
            <w:tcW w:w="0" w:type="auto"/>
            <w:tcBorders>
              <w:tl2br w:val="nil"/>
              <w:tr2bl w:val="nil"/>
            </w:tcBorders>
            <w:noWrap w:val="0"/>
            <w:tcMar>
              <w:left w:w="28" w:type="dxa"/>
              <w:right w:w="28" w:type="dxa"/>
            </w:tcMar>
            <w:vAlign w:val="center"/>
          </w:tcPr>
          <w:p w14:paraId="51096C2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eastAsia="zh-CN"/>
              </w:rPr>
            </w:pPr>
            <w:r>
              <w:rPr>
                <w:rFonts w:hint="default" w:ascii="Times New Roman" w:hAnsi="Times New Roman" w:cs="Times New Roman" w:eastAsiaTheme="minorEastAsia"/>
                <w:bCs/>
                <w:color w:val="auto"/>
                <w:w w:val="99"/>
                <w:kern w:val="2"/>
                <w:sz w:val="21"/>
                <w:szCs w:val="21"/>
                <w:highlight w:val="none"/>
                <w:lang w:eastAsia="zh-CN"/>
              </w:rPr>
              <w:t>影响环境</w:t>
            </w:r>
          </w:p>
        </w:tc>
      </w:tr>
      <w:tr w14:paraId="607B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42" w:type="dxa"/>
            <w:vMerge w:val="restart"/>
            <w:tcBorders>
              <w:tl2br w:val="nil"/>
              <w:tr2bl w:val="nil"/>
            </w:tcBorders>
            <w:noWrap w:val="0"/>
            <w:tcMar>
              <w:left w:w="28" w:type="dxa"/>
              <w:right w:w="28" w:type="dxa"/>
            </w:tcMar>
            <w:vAlign w:val="center"/>
          </w:tcPr>
          <w:p w14:paraId="0383A00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hint="default" w:ascii="Times New Roman" w:hAnsi="Times New Roman" w:cs="Times New Roman" w:eastAsiaTheme="minorEastAsia"/>
                <w:bCs/>
                <w:color w:val="auto"/>
                <w:w w:val="99"/>
                <w:kern w:val="2"/>
                <w:sz w:val="21"/>
                <w:szCs w:val="21"/>
                <w:highlight w:val="none"/>
                <w:lang w:val="en-US" w:eastAsia="zh-CN"/>
              </w:rPr>
              <w:t>运营期</w:t>
            </w:r>
            <w:r>
              <w:rPr>
                <w:rFonts w:hint="default" w:ascii="Times New Roman" w:hAnsi="Times New Roman" w:cs="Times New Roman" w:eastAsiaTheme="minorEastAsia"/>
                <w:bCs/>
                <w:color w:val="auto"/>
                <w:w w:val="99"/>
                <w:kern w:val="2"/>
                <w:sz w:val="21"/>
                <w:szCs w:val="21"/>
                <w:highlight w:val="none"/>
              </w:rPr>
              <w:t>井场</w:t>
            </w:r>
          </w:p>
        </w:tc>
        <w:tc>
          <w:tcPr>
            <w:tcW w:w="2081" w:type="dxa"/>
            <w:tcBorders>
              <w:tl2br w:val="nil"/>
              <w:tr2bl w:val="nil"/>
            </w:tcBorders>
            <w:noWrap w:val="0"/>
            <w:tcMar>
              <w:left w:w="28" w:type="dxa"/>
              <w:right w:w="28" w:type="dxa"/>
            </w:tcMar>
            <w:vAlign w:val="center"/>
          </w:tcPr>
          <w:p w14:paraId="3FFE105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甲烷、CO</w:t>
            </w:r>
          </w:p>
        </w:tc>
        <w:tc>
          <w:tcPr>
            <w:tcW w:w="3058" w:type="dxa"/>
            <w:tcBorders>
              <w:tl2br w:val="nil"/>
              <w:tr2bl w:val="nil"/>
            </w:tcBorders>
            <w:noWrap w:val="0"/>
            <w:tcMar>
              <w:left w:w="28" w:type="dxa"/>
              <w:right w:w="28" w:type="dxa"/>
            </w:tcMar>
            <w:vAlign w:val="center"/>
          </w:tcPr>
          <w:p w14:paraId="635495A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hint="default" w:ascii="Times New Roman" w:hAnsi="Times New Roman" w:cs="Times New Roman" w:eastAsiaTheme="minorEastAsia"/>
                <w:bCs/>
                <w:color w:val="auto"/>
                <w:w w:val="99"/>
                <w:kern w:val="2"/>
                <w:sz w:val="21"/>
                <w:szCs w:val="21"/>
                <w:highlight w:val="none"/>
              </w:rPr>
              <w:t>火灾、爆炸</w:t>
            </w:r>
          </w:p>
        </w:tc>
        <w:tc>
          <w:tcPr>
            <w:tcW w:w="0" w:type="auto"/>
            <w:tcBorders>
              <w:tl2br w:val="nil"/>
              <w:tr2bl w:val="nil"/>
            </w:tcBorders>
            <w:noWrap w:val="0"/>
            <w:tcMar>
              <w:left w:w="28" w:type="dxa"/>
              <w:right w:w="28" w:type="dxa"/>
            </w:tcMar>
            <w:vAlign w:val="center"/>
          </w:tcPr>
          <w:p w14:paraId="5F71BF2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hint="default" w:ascii="Times New Roman" w:hAnsi="Times New Roman" w:cs="Times New Roman" w:eastAsiaTheme="minorEastAsia"/>
                <w:bCs/>
                <w:color w:val="auto"/>
                <w:w w:val="99"/>
                <w:kern w:val="2"/>
                <w:sz w:val="21"/>
                <w:szCs w:val="21"/>
                <w:highlight w:val="none"/>
                <w:lang w:eastAsia="zh-CN"/>
              </w:rPr>
              <w:t>空气</w:t>
            </w:r>
          </w:p>
        </w:tc>
      </w:tr>
      <w:tr w14:paraId="75D0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42" w:type="dxa"/>
            <w:vMerge w:val="continue"/>
            <w:tcBorders>
              <w:tl2br w:val="nil"/>
              <w:tr2bl w:val="nil"/>
            </w:tcBorders>
            <w:noWrap w:val="0"/>
            <w:tcMar>
              <w:left w:w="28" w:type="dxa"/>
              <w:right w:w="28" w:type="dxa"/>
            </w:tcMar>
            <w:vAlign w:val="center"/>
          </w:tcPr>
          <w:p w14:paraId="11CD7CE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eastAsia="zh-CN"/>
              </w:rPr>
            </w:pPr>
          </w:p>
        </w:tc>
        <w:tc>
          <w:tcPr>
            <w:tcW w:w="2081" w:type="dxa"/>
            <w:tcBorders>
              <w:tl2br w:val="nil"/>
              <w:tr2bl w:val="nil"/>
            </w:tcBorders>
            <w:noWrap w:val="0"/>
            <w:tcMar>
              <w:left w:w="28" w:type="dxa"/>
              <w:right w:w="28" w:type="dxa"/>
            </w:tcMar>
            <w:vAlign w:val="center"/>
          </w:tcPr>
          <w:p w14:paraId="0BE8B38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气井采出水（石油类）</w:t>
            </w:r>
          </w:p>
        </w:tc>
        <w:tc>
          <w:tcPr>
            <w:tcW w:w="3058" w:type="dxa"/>
            <w:tcBorders>
              <w:tl2br w:val="nil"/>
              <w:tr2bl w:val="nil"/>
            </w:tcBorders>
            <w:noWrap w:val="0"/>
            <w:tcMar>
              <w:left w:w="28" w:type="dxa"/>
              <w:right w:w="28" w:type="dxa"/>
            </w:tcMar>
            <w:vAlign w:val="center"/>
          </w:tcPr>
          <w:p w14:paraId="26F7B4C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泄漏污染</w:t>
            </w:r>
          </w:p>
        </w:tc>
        <w:tc>
          <w:tcPr>
            <w:tcW w:w="0" w:type="auto"/>
            <w:tcBorders>
              <w:tl2br w:val="nil"/>
              <w:tr2bl w:val="nil"/>
            </w:tcBorders>
            <w:noWrap w:val="0"/>
            <w:tcMar>
              <w:left w:w="28" w:type="dxa"/>
              <w:right w:w="28" w:type="dxa"/>
            </w:tcMar>
            <w:vAlign w:val="center"/>
          </w:tcPr>
          <w:p w14:paraId="4EA4E5C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地下水、土壤</w:t>
            </w:r>
          </w:p>
        </w:tc>
      </w:tr>
      <w:tr w14:paraId="5288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42" w:type="dxa"/>
            <w:tcBorders>
              <w:tl2br w:val="nil"/>
              <w:tr2bl w:val="nil"/>
            </w:tcBorders>
            <w:noWrap w:val="0"/>
            <w:tcMar>
              <w:left w:w="28" w:type="dxa"/>
              <w:right w:w="28" w:type="dxa"/>
            </w:tcMar>
            <w:vAlign w:val="center"/>
          </w:tcPr>
          <w:p w14:paraId="25516D5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采气管道</w:t>
            </w:r>
          </w:p>
        </w:tc>
        <w:tc>
          <w:tcPr>
            <w:tcW w:w="2081" w:type="dxa"/>
            <w:tcBorders>
              <w:tl2br w:val="nil"/>
              <w:tr2bl w:val="nil"/>
            </w:tcBorders>
            <w:noWrap w:val="0"/>
            <w:tcMar>
              <w:left w:w="28" w:type="dxa"/>
              <w:right w:w="28" w:type="dxa"/>
            </w:tcMar>
            <w:vAlign w:val="center"/>
          </w:tcPr>
          <w:p w14:paraId="501D229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甲烷、CO</w:t>
            </w:r>
          </w:p>
        </w:tc>
        <w:tc>
          <w:tcPr>
            <w:tcW w:w="3058" w:type="dxa"/>
            <w:tcBorders>
              <w:tl2br w:val="nil"/>
              <w:tr2bl w:val="nil"/>
            </w:tcBorders>
            <w:noWrap w:val="0"/>
            <w:tcMar>
              <w:left w:w="28" w:type="dxa"/>
              <w:right w:w="28" w:type="dxa"/>
            </w:tcMar>
            <w:vAlign w:val="center"/>
          </w:tcPr>
          <w:p w14:paraId="4646D1B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火灾、爆炸</w:t>
            </w:r>
          </w:p>
        </w:tc>
        <w:tc>
          <w:tcPr>
            <w:tcW w:w="0" w:type="auto"/>
            <w:tcBorders>
              <w:tl2br w:val="nil"/>
              <w:tr2bl w:val="nil"/>
            </w:tcBorders>
            <w:noWrap w:val="0"/>
            <w:tcMar>
              <w:left w:w="28" w:type="dxa"/>
              <w:right w:w="28" w:type="dxa"/>
            </w:tcMar>
            <w:vAlign w:val="center"/>
          </w:tcPr>
          <w:p w14:paraId="3CB1B70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lang w:eastAsia="zh-CN"/>
              </w:rPr>
              <w:t>空气</w:t>
            </w:r>
          </w:p>
        </w:tc>
      </w:tr>
      <w:tr w14:paraId="0A8F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42" w:type="dxa"/>
            <w:vMerge w:val="restart"/>
            <w:tcBorders>
              <w:tl2br w:val="nil"/>
              <w:tr2bl w:val="nil"/>
            </w:tcBorders>
            <w:noWrap w:val="0"/>
            <w:tcMar>
              <w:left w:w="28" w:type="dxa"/>
              <w:right w:w="28" w:type="dxa"/>
            </w:tcMar>
            <w:vAlign w:val="center"/>
          </w:tcPr>
          <w:p w14:paraId="0468270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场站</w:t>
            </w:r>
          </w:p>
        </w:tc>
        <w:tc>
          <w:tcPr>
            <w:tcW w:w="2081" w:type="dxa"/>
            <w:tcBorders>
              <w:tl2br w:val="nil"/>
              <w:tr2bl w:val="nil"/>
            </w:tcBorders>
            <w:noWrap w:val="0"/>
            <w:tcMar>
              <w:left w:w="28" w:type="dxa"/>
              <w:right w:w="28" w:type="dxa"/>
            </w:tcMar>
            <w:vAlign w:val="center"/>
          </w:tcPr>
          <w:p w14:paraId="1477F79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甲烷、CO</w:t>
            </w:r>
          </w:p>
        </w:tc>
        <w:tc>
          <w:tcPr>
            <w:tcW w:w="3058" w:type="dxa"/>
            <w:tcBorders>
              <w:tl2br w:val="nil"/>
              <w:tr2bl w:val="nil"/>
            </w:tcBorders>
            <w:noWrap w:val="0"/>
            <w:tcMar>
              <w:left w:w="28" w:type="dxa"/>
              <w:right w:w="28" w:type="dxa"/>
            </w:tcMar>
            <w:vAlign w:val="center"/>
          </w:tcPr>
          <w:p w14:paraId="537EC74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rPr>
            </w:pPr>
            <w:r>
              <w:rPr>
                <w:rFonts w:hint="default" w:ascii="Times New Roman" w:hAnsi="Times New Roman" w:cs="Times New Roman" w:eastAsiaTheme="minorEastAsia"/>
                <w:bCs/>
                <w:color w:val="auto"/>
                <w:w w:val="99"/>
                <w:kern w:val="2"/>
                <w:sz w:val="21"/>
                <w:szCs w:val="21"/>
                <w:highlight w:val="none"/>
              </w:rPr>
              <w:t>火灾、爆炸</w:t>
            </w:r>
          </w:p>
        </w:tc>
        <w:tc>
          <w:tcPr>
            <w:tcW w:w="1946" w:type="dxa"/>
            <w:tcBorders>
              <w:tl2br w:val="nil"/>
              <w:tr2bl w:val="nil"/>
            </w:tcBorders>
            <w:noWrap w:val="0"/>
            <w:tcMar>
              <w:left w:w="28" w:type="dxa"/>
              <w:right w:w="28" w:type="dxa"/>
            </w:tcMar>
            <w:vAlign w:val="center"/>
          </w:tcPr>
          <w:p w14:paraId="685C3E7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eastAsia="zh-CN"/>
              </w:rPr>
            </w:pPr>
            <w:r>
              <w:rPr>
                <w:rFonts w:hint="default" w:ascii="Times New Roman" w:hAnsi="Times New Roman" w:cs="Times New Roman" w:eastAsiaTheme="minorEastAsia"/>
                <w:bCs/>
                <w:color w:val="auto"/>
                <w:w w:val="99"/>
                <w:kern w:val="2"/>
                <w:sz w:val="21"/>
                <w:szCs w:val="21"/>
                <w:highlight w:val="none"/>
                <w:lang w:eastAsia="zh-CN"/>
              </w:rPr>
              <w:t>空气</w:t>
            </w:r>
          </w:p>
        </w:tc>
      </w:tr>
      <w:tr w14:paraId="6207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42" w:type="dxa"/>
            <w:vMerge w:val="continue"/>
            <w:tcBorders>
              <w:tl2br w:val="nil"/>
              <w:tr2bl w:val="nil"/>
            </w:tcBorders>
            <w:noWrap w:val="0"/>
            <w:tcMar>
              <w:left w:w="28" w:type="dxa"/>
              <w:right w:w="28" w:type="dxa"/>
            </w:tcMar>
            <w:vAlign w:val="center"/>
          </w:tcPr>
          <w:p w14:paraId="3FE9BBA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Times New Roman" w:hAnsi="Times New Roman" w:cs="Times New Roman" w:eastAsiaTheme="minorEastAsia"/>
                <w:bCs/>
                <w:color w:val="auto"/>
                <w:w w:val="99"/>
                <w:kern w:val="2"/>
                <w:sz w:val="21"/>
                <w:szCs w:val="21"/>
                <w:highlight w:val="none"/>
                <w:lang w:val="en-US" w:eastAsia="zh-CN"/>
              </w:rPr>
            </w:pPr>
          </w:p>
        </w:tc>
        <w:tc>
          <w:tcPr>
            <w:tcW w:w="2081" w:type="dxa"/>
            <w:tcBorders>
              <w:tl2br w:val="nil"/>
              <w:tr2bl w:val="nil"/>
            </w:tcBorders>
            <w:noWrap w:val="0"/>
            <w:tcMar>
              <w:left w:w="28" w:type="dxa"/>
              <w:right w:w="28" w:type="dxa"/>
            </w:tcMar>
            <w:vAlign w:val="center"/>
          </w:tcPr>
          <w:p w14:paraId="1DB1101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甲醇</w:t>
            </w:r>
          </w:p>
        </w:tc>
        <w:tc>
          <w:tcPr>
            <w:tcW w:w="3058" w:type="dxa"/>
            <w:tcBorders>
              <w:tl2br w:val="nil"/>
              <w:tr2bl w:val="nil"/>
            </w:tcBorders>
            <w:noWrap w:val="0"/>
            <w:tcMar>
              <w:left w:w="28" w:type="dxa"/>
              <w:right w:w="28" w:type="dxa"/>
            </w:tcMar>
            <w:vAlign w:val="center"/>
          </w:tcPr>
          <w:p w14:paraId="340E61C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火灾</w:t>
            </w:r>
            <w:r>
              <w:rPr>
                <w:rFonts w:hint="default" w:ascii="Times New Roman" w:hAnsi="Times New Roman" w:cs="Times New Roman" w:eastAsiaTheme="minorEastAsia"/>
                <w:bCs/>
                <w:color w:val="auto"/>
                <w:w w:val="99"/>
                <w:kern w:val="2"/>
                <w:sz w:val="21"/>
                <w:szCs w:val="21"/>
                <w:highlight w:val="none"/>
              </w:rPr>
              <w:t>、爆炸、</w:t>
            </w:r>
            <w:r>
              <w:rPr>
                <w:rFonts w:hint="default" w:ascii="Times New Roman" w:hAnsi="Times New Roman" w:cs="Times New Roman" w:eastAsiaTheme="minorEastAsia"/>
                <w:bCs/>
                <w:color w:val="auto"/>
                <w:w w:val="99"/>
                <w:kern w:val="2"/>
                <w:sz w:val="21"/>
                <w:szCs w:val="21"/>
                <w:highlight w:val="none"/>
                <w:lang w:eastAsia="zh-CN"/>
              </w:rPr>
              <w:t>次生</w:t>
            </w:r>
            <w:r>
              <w:rPr>
                <w:rFonts w:hint="default" w:ascii="Times New Roman" w:hAnsi="Times New Roman" w:cs="Times New Roman" w:eastAsiaTheme="minorEastAsia"/>
                <w:bCs/>
                <w:color w:val="auto"/>
                <w:w w:val="99"/>
                <w:kern w:val="2"/>
                <w:sz w:val="21"/>
                <w:szCs w:val="21"/>
                <w:highlight w:val="none"/>
                <w:lang w:val="en-US" w:eastAsia="zh-CN"/>
              </w:rPr>
              <w:t>CO</w:t>
            </w:r>
          </w:p>
        </w:tc>
        <w:tc>
          <w:tcPr>
            <w:tcW w:w="1946" w:type="dxa"/>
            <w:tcBorders>
              <w:tl2br w:val="nil"/>
              <w:tr2bl w:val="nil"/>
            </w:tcBorders>
            <w:noWrap w:val="0"/>
            <w:tcMar>
              <w:left w:w="28" w:type="dxa"/>
              <w:right w:w="28" w:type="dxa"/>
            </w:tcMar>
            <w:vAlign w:val="center"/>
          </w:tcPr>
          <w:p w14:paraId="14FFDF76">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eastAsia="zh-CN"/>
              </w:rPr>
            </w:pPr>
            <w:r>
              <w:rPr>
                <w:rFonts w:hint="default" w:ascii="Times New Roman" w:hAnsi="Times New Roman" w:cs="Times New Roman" w:eastAsiaTheme="minorEastAsia"/>
                <w:bCs/>
                <w:color w:val="auto"/>
                <w:w w:val="99"/>
                <w:kern w:val="2"/>
                <w:sz w:val="21"/>
                <w:szCs w:val="21"/>
                <w:highlight w:val="none"/>
                <w:lang w:eastAsia="zh-CN"/>
              </w:rPr>
              <w:t>空气、</w:t>
            </w:r>
            <w:r>
              <w:rPr>
                <w:rFonts w:hint="default" w:ascii="Times New Roman" w:hAnsi="Times New Roman" w:cs="Times New Roman" w:eastAsiaTheme="minorEastAsia"/>
                <w:bCs/>
                <w:color w:val="auto"/>
                <w:w w:val="99"/>
                <w:kern w:val="2"/>
                <w:sz w:val="21"/>
                <w:szCs w:val="21"/>
                <w:highlight w:val="none"/>
                <w:lang w:val="en-US" w:eastAsia="zh-CN"/>
              </w:rPr>
              <w:t>地</w:t>
            </w:r>
            <w:r>
              <w:rPr>
                <w:rFonts w:hint="default" w:ascii="Times New Roman" w:hAnsi="Times New Roman" w:cs="Times New Roman" w:eastAsiaTheme="minorEastAsia"/>
                <w:bCs/>
                <w:color w:val="auto"/>
                <w:w w:val="99"/>
                <w:kern w:val="2"/>
                <w:sz w:val="21"/>
                <w:szCs w:val="21"/>
                <w:highlight w:val="none"/>
                <w:lang w:eastAsia="zh-CN"/>
              </w:rPr>
              <w:t>下水、土</w:t>
            </w:r>
            <w:r>
              <w:rPr>
                <w:rFonts w:hint="eastAsia" w:ascii="Times New Roman" w:hAnsi="Times New Roman" w:cs="Times New Roman" w:eastAsiaTheme="minorEastAsia"/>
                <w:bCs/>
                <w:color w:val="auto"/>
                <w:w w:val="99"/>
                <w:kern w:val="2"/>
                <w:sz w:val="21"/>
                <w:szCs w:val="21"/>
                <w:highlight w:val="none"/>
                <w:lang w:val="en-US" w:eastAsia="zh-CN"/>
              </w:rPr>
              <w:t>壤</w:t>
            </w:r>
          </w:p>
        </w:tc>
      </w:tr>
    </w:tbl>
    <w:p w14:paraId="0DBC4B38">
      <w:pPr>
        <w:pStyle w:val="7"/>
        <w:widowControl w:val="0"/>
        <w:spacing w:before="60" w:after="60" w:line="440" w:lineRule="exact"/>
        <w:jc w:val="both"/>
        <w:rPr>
          <w:rFonts w:eastAsiaTheme="minorEastAsia"/>
          <w:b/>
          <w:color w:val="auto"/>
          <w:w w:val="99"/>
          <w:kern w:val="2"/>
          <w:sz w:val="24"/>
          <w:szCs w:val="24"/>
          <w:highlight w:val="none"/>
        </w:rPr>
      </w:pPr>
      <w:bookmarkStart w:id="998" w:name="_Toc131167370"/>
      <w:bookmarkStart w:id="999" w:name="_Toc127192418"/>
      <w:bookmarkStart w:id="1000" w:name="_Toc85640837"/>
      <w:bookmarkStart w:id="1001" w:name="_Toc86142012"/>
      <w:bookmarkStart w:id="1002" w:name="_Toc126863469"/>
      <w:bookmarkStart w:id="1003" w:name="_Toc84929309"/>
      <w:bookmarkStart w:id="1004" w:name="_Toc186444368"/>
      <w:bookmarkStart w:id="1005" w:name="_Toc143099657"/>
      <w:r>
        <w:rPr>
          <w:rFonts w:eastAsiaTheme="minorEastAsia"/>
          <w:b/>
          <w:color w:val="auto"/>
          <w:w w:val="99"/>
          <w:kern w:val="2"/>
          <w:sz w:val="24"/>
          <w:szCs w:val="24"/>
          <w:highlight w:val="none"/>
        </w:rPr>
        <w:t>5.8.3环境风险分析</w:t>
      </w:r>
      <w:bookmarkEnd w:id="998"/>
      <w:bookmarkEnd w:id="999"/>
      <w:bookmarkEnd w:id="1000"/>
      <w:bookmarkEnd w:id="1001"/>
      <w:bookmarkEnd w:id="1002"/>
      <w:bookmarkEnd w:id="1003"/>
      <w:bookmarkEnd w:id="1004"/>
      <w:bookmarkEnd w:id="1005"/>
    </w:p>
    <w:p w14:paraId="0B9E4AAF">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5.8.3.1事故状态下对大气环境影响</w:t>
      </w:r>
    </w:p>
    <w:p w14:paraId="3BA49EE1">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（1）井喷风险</w:t>
      </w:r>
    </w:p>
    <w:p w14:paraId="78A7F140">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发生井喷事故后，天然气在大气中的扩散可能对当地环境空气质量造成污染影响，对其范围内的人群健康造成危害，但总体影响较轻。</w:t>
      </w:r>
    </w:p>
    <w:p w14:paraId="35B99BAE">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井喷释放的伴生气可能立即着火，形成喷射燃烧，对周围产生热辐射危害；也可能在扩散过程中着火或爆炸，对周围造成冲击波危害；或者经扩散稀释低于爆炸极限下限，未着火，仅污染周围环境空气。本工程井场距离居民最近点均大于 200m ，一般不会造成井场外人员伤亡。</w:t>
      </w:r>
    </w:p>
    <w:p w14:paraId="122E48EE">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且集气站均配备灭火器材和报警器，一旦发生火灾事故能及时启动救援，并疏散居住人群，对其影响较小。</w:t>
      </w:r>
    </w:p>
    <w:p w14:paraId="75E9A0DC">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（2）井场天然气泄漏</w:t>
      </w:r>
    </w:p>
    <w:p w14:paraId="1CB85C4E">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本项目采气井场生产过程可能因管道接口、阀门等损坏等造成天然气泄漏事故。根据设计资料，项目在地下井筒处、井场与管道连接处设有安全截断阀，一旦发生天然气泄漏，压力发生变化，安全阀立即关闭，天然气最大泄漏量仅为井筒内天然气贮存量。但天然气集中泄漏后，如在极端天气中可能造成天然气扩散较慢，在空气中含量达到一定程度后会使人窒息，遇到火星可引发火灾爆炸事故。</w:t>
      </w:r>
    </w:p>
    <w:p w14:paraId="03917014">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本项目井口采气树出厂前必须对其进行水下整体气密封试验，同时设置压力监测、报警系统及压力泄放系统，可保证超压时多余天然气能通过放空系统泄放。同时，现场人员定期进行井场安全巡检工作，并重点检查管道接口、阀门是否发生腐蚀损坏。因此，采取上述措施后，正常情况下发生井口天然气泄漏事故的概率极小。</w:t>
      </w:r>
    </w:p>
    <w:p w14:paraId="7E082ABA">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（3）天然气管道泄漏</w:t>
      </w:r>
    </w:p>
    <w:p w14:paraId="4052EAAC">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default" w:ascii="Times New Roman" w:hAnsi="Times New Roman" w:eastAsia="宋体" w:cs="Times New Roman"/>
          <w:color w:val="auto"/>
          <w:w w:val="99"/>
          <w:kern w:val="2"/>
          <w:highlight w:val="none"/>
          <w:lang w:val="en-US" w:eastAsia="zh-CN"/>
        </w:rPr>
        <w:t>本项目采气管道由于阀门、法兰连接处泄漏，操作失误等情况下会发生天然气泄漏事故时，将导致局部大气中总烃浓度可比正常情况高出数倍甚至数十倍，对大气环境造成短时的严重污染。若遇明火，引发的火灾事故可在短时间内产生大量燃烧烟气，对大气环境造成短时的严重污染。本项目管道设有压力监控装置，并通过加强对井场、管线进行巡查，及时发现管线、阀门、设备渗漏、穿孔等问题，可有效的避免管道天然气泄漏、火灾事故的发生。此外，项目所处地势平坦，在一定的气象条件下管道泄漏后短时间内形成局部大气污染中烃类气体聚集成高浓度的可能性较小。因此，在采取以上措施后，项目管道泄漏对周围大气环境的影响较小。</w:t>
      </w:r>
    </w:p>
    <w:p w14:paraId="58368A03">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5.8.3.2事故状态下对地表水环境影响</w:t>
      </w:r>
    </w:p>
    <w:p w14:paraId="169CA1CA">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本项目施工期废水（管线试压废水、生活污水等）全部妥善处置，不外排，对周围地表水影响较小。</w:t>
      </w:r>
    </w:p>
    <w:p w14:paraId="7C85963E">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本项目运营期不新增生活污水，气田水全部通过管线输送至升一联气田污水预处理站处理后的水质执行《大庆油田地面工程建设设计规定》（Q/SYDQ 0639-2015）限值“含油量≤10mg/L 、悬浮固体含量≤5mg/L 、粒径中值≤2μm” ，同时满足《碎屑岩油藏注水水质指标技术要求及分析方法》(SY/T5329-2022)中标准限值，回注地下</w:t>
      </w:r>
      <w:r>
        <w:rPr>
          <w:rFonts w:hint="eastAsia" w:ascii="Times New Roman" w:hAnsi="Times New Roman" w:cs="Times New Roman"/>
          <w:color w:val="auto"/>
          <w:w w:val="99"/>
          <w:kern w:val="0"/>
          <w:sz w:val="24"/>
          <w:szCs w:val="24"/>
          <w:highlight w:val="none"/>
          <w:lang w:val="en-US" w:eastAsia="zh-CN" w:bidi="zh-CN"/>
        </w:rPr>
        <w:t>油层</w:t>
      </w:r>
      <w:r>
        <w:rPr>
          <w:rFonts w:hint="eastAsia" w:ascii="Times New Roman" w:hAnsi="Times New Roman" w:eastAsia="宋体" w:cs="Times New Roman"/>
          <w:color w:val="auto"/>
          <w:w w:val="99"/>
          <w:kern w:val="0"/>
          <w:sz w:val="24"/>
          <w:szCs w:val="24"/>
          <w:highlight w:val="none"/>
          <w:lang w:val="en-US" w:eastAsia="zh-CN" w:bidi="zh-CN"/>
        </w:rPr>
        <w:t>。</w:t>
      </w:r>
    </w:p>
    <w:p w14:paraId="644F3A26">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5.8.3.3事故状态下对地下水环境影响</w:t>
      </w:r>
    </w:p>
    <w:p w14:paraId="5B8C50D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（4）</w:t>
      </w:r>
      <w:r>
        <w:rPr>
          <w:rFonts w:hint="default" w:ascii="Times New Roman" w:hAnsi="Times New Roman" w:eastAsia="宋体" w:cs="Times New Roman"/>
          <w:color w:val="auto"/>
          <w:w w:val="99"/>
          <w:kern w:val="0"/>
          <w:sz w:val="24"/>
          <w:szCs w:val="24"/>
          <w:highlight w:val="none"/>
          <w:lang w:val="en-US" w:eastAsia="zh-CN" w:bidi="zh-CN"/>
        </w:rPr>
        <w:t>套管</w:t>
      </w:r>
      <w:r>
        <w:rPr>
          <w:rFonts w:hint="eastAsia" w:ascii="Times New Roman" w:hAnsi="Times New Roman" w:cs="Times New Roman"/>
          <w:color w:val="auto"/>
          <w:w w:val="99"/>
          <w:kern w:val="0"/>
          <w:sz w:val="24"/>
          <w:szCs w:val="24"/>
          <w:highlight w:val="none"/>
          <w:lang w:val="en-US" w:eastAsia="zh-CN" w:bidi="zh-CN"/>
        </w:rPr>
        <w:t>破损</w:t>
      </w:r>
      <w:r>
        <w:rPr>
          <w:rFonts w:hint="default" w:ascii="Times New Roman" w:hAnsi="Times New Roman" w:eastAsia="宋体" w:cs="Times New Roman"/>
          <w:color w:val="auto"/>
          <w:w w:val="99"/>
          <w:kern w:val="0"/>
          <w:sz w:val="24"/>
          <w:szCs w:val="24"/>
          <w:highlight w:val="none"/>
          <w:lang w:val="en-US" w:eastAsia="zh-CN" w:bidi="zh-CN"/>
        </w:rPr>
        <w:t>对地下水环境的影响</w:t>
      </w:r>
    </w:p>
    <w:p w14:paraId="259BBC79">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事故状态下对地下水的环境影响主要为套管破裂导致气水窜入含水层污染地下水。井管是由不同长度的节管连接而成，容易在节点处发生破损。根据大庆油田实际生产数据统计，发生套管破损的机率一般为万分之一至五万分之一，破损在某一固定结点的机率约为百分之一。套损泄漏污染地下水的最大概率约为二百万分之一。 由此可见，套管破损的情况虽然存在，但发生概率很小。即使发生套损，经过层层防护，危险逐级递减，破损后最终发生气水串层或是油气直接泄漏到含水层造成污染的概率并不大。</w:t>
      </w:r>
    </w:p>
    <w:p w14:paraId="6C2CA66B">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根据本报告书 5.3地下水环境影响预测章节中所设置的风险情景（当气井套损事故造成的采出水泄漏进入地下含水层），该事故情形下，采出水泄漏后地下水的影响程度和范围随着时间推移扩散，预测时间为 100d时，随着时间、距离增加，石油类浓度在地下水下游</w:t>
      </w:r>
      <w:r>
        <w:rPr>
          <w:rFonts w:hint="eastAsia" w:ascii="Times New Roman" w:hAnsi="Times New Roman" w:cs="Times New Roman"/>
          <w:color w:val="auto"/>
          <w:w w:val="99"/>
          <w:kern w:val="0"/>
          <w:sz w:val="24"/>
          <w:szCs w:val="24"/>
          <w:highlight w:val="none"/>
          <w:lang w:val="en-US" w:eastAsia="zh-CN" w:bidi="zh-CN"/>
        </w:rPr>
        <w:t>62</w:t>
      </w:r>
      <w:r>
        <w:rPr>
          <w:rFonts w:hint="default" w:ascii="Times New Roman" w:hAnsi="Times New Roman" w:eastAsia="宋体" w:cs="Times New Roman"/>
          <w:color w:val="auto"/>
          <w:w w:val="99"/>
          <w:kern w:val="0"/>
          <w:sz w:val="24"/>
          <w:szCs w:val="24"/>
          <w:highlight w:val="none"/>
          <w:lang w:val="en-US" w:eastAsia="zh-CN" w:bidi="zh-CN"/>
        </w:rPr>
        <w:t xml:space="preserve">m 范围内浓度大于 0.05mg/L ，超标面积为 </w:t>
      </w:r>
      <w:r>
        <w:rPr>
          <w:rFonts w:hint="eastAsia" w:ascii="Times New Roman" w:hAnsi="Times New Roman" w:cs="Times New Roman"/>
          <w:color w:val="auto"/>
          <w:w w:val="99"/>
          <w:kern w:val="0"/>
          <w:sz w:val="24"/>
          <w:szCs w:val="24"/>
          <w:highlight w:val="none"/>
          <w:lang w:val="en-US" w:eastAsia="zh-CN" w:bidi="zh-CN"/>
        </w:rPr>
        <w:t>2598</w:t>
      </w:r>
      <w:r>
        <w:rPr>
          <w:rFonts w:hint="default" w:ascii="Times New Roman" w:hAnsi="Times New Roman" w:eastAsia="宋体" w:cs="Times New Roman"/>
          <w:color w:val="auto"/>
          <w:w w:val="99"/>
          <w:kern w:val="0"/>
          <w:sz w:val="24"/>
          <w:szCs w:val="24"/>
          <w:highlight w:val="none"/>
          <w:lang w:val="en-US" w:eastAsia="zh-CN" w:bidi="zh-CN"/>
        </w:rPr>
        <w:t>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 xml:space="preserve"> ；预测时间为 1000d时，随着时间、距离增加，石油类浓度在地下水下游</w:t>
      </w:r>
      <w:r>
        <w:rPr>
          <w:rFonts w:hint="eastAsia" w:ascii="Times New Roman" w:hAnsi="Times New Roman" w:cs="Times New Roman"/>
          <w:color w:val="auto"/>
          <w:w w:val="99"/>
          <w:kern w:val="0"/>
          <w:sz w:val="24"/>
          <w:szCs w:val="24"/>
          <w:highlight w:val="none"/>
          <w:lang w:val="en-US" w:eastAsia="zh-CN" w:bidi="zh-CN"/>
        </w:rPr>
        <w:t>273</w:t>
      </w:r>
      <w:r>
        <w:rPr>
          <w:rFonts w:hint="default" w:ascii="Times New Roman" w:hAnsi="Times New Roman" w:eastAsia="宋体" w:cs="Times New Roman"/>
          <w:color w:val="auto"/>
          <w:w w:val="99"/>
          <w:kern w:val="0"/>
          <w:sz w:val="24"/>
          <w:szCs w:val="24"/>
          <w:highlight w:val="none"/>
          <w:lang w:val="en-US" w:eastAsia="zh-CN" w:bidi="zh-CN"/>
        </w:rPr>
        <w:t xml:space="preserve">m 范围内浓度大于 0.05mg/L ，超标面积为 </w:t>
      </w:r>
      <w:r>
        <w:rPr>
          <w:rFonts w:hint="eastAsia" w:ascii="Times New Roman" w:hAnsi="Times New Roman" w:cs="Times New Roman"/>
          <w:color w:val="auto"/>
          <w:w w:val="99"/>
          <w:kern w:val="0"/>
          <w:sz w:val="24"/>
          <w:szCs w:val="24"/>
          <w:highlight w:val="none"/>
          <w:lang w:val="en-US" w:eastAsia="zh-CN" w:bidi="zh-CN"/>
        </w:rPr>
        <w:t>27416</w:t>
      </w:r>
      <w:r>
        <w:rPr>
          <w:rFonts w:hint="default" w:ascii="Times New Roman" w:hAnsi="Times New Roman" w:eastAsia="宋体" w:cs="Times New Roman"/>
          <w:color w:val="auto"/>
          <w:w w:val="99"/>
          <w:kern w:val="0"/>
          <w:sz w:val="24"/>
          <w:szCs w:val="24"/>
          <w:highlight w:val="none"/>
          <w:lang w:val="en-US" w:eastAsia="zh-CN" w:bidi="zh-CN"/>
        </w:rPr>
        <w:t>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 xml:space="preserve"> ；预测时间为 5</w:t>
      </w:r>
      <w:r>
        <w:rPr>
          <w:rFonts w:hint="eastAsia" w:ascii="Times New Roman" w:hAnsi="Times New Roman" w:cs="Times New Roman"/>
          <w:color w:val="auto"/>
          <w:w w:val="99"/>
          <w:kern w:val="0"/>
          <w:sz w:val="24"/>
          <w:szCs w:val="24"/>
          <w:highlight w:val="none"/>
          <w:lang w:val="en-US" w:eastAsia="zh-CN" w:bidi="zh-CN"/>
        </w:rPr>
        <w:t>475</w:t>
      </w:r>
      <w:r>
        <w:rPr>
          <w:rFonts w:hint="default" w:ascii="Times New Roman" w:hAnsi="Times New Roman" w:eastAsia="宋体" w:cs="Times New Roman"/>
          <w:color w:val="auto"/>
          <w:w w:val="99"/>
          <w:kern w:val="0"/>
          <w:sz w:val="24"/>
          <w:szCs w:val="24"/>
          <w:highlight w:val="none"/>
          <w:lang w:val="en-US" w:eastAsia="zh-CN" w:bidi="zh-CN"/>
        </w:rPr>
        <w:t xml:space="preserve">d 时，随着时间、距离增加，石油类浓度在地下水下游 </w:t>
      </w:r>
      <w:r>
        <w:rPr>
          <w:rFonts w:hint="eastAsia" w:ascii="Times New Roman" w:hAnsi="Times New Roman" w:cs="Times New Roman"/>
          <w:color w:val="auto"/>
          <w:w w:val="99"/>
          <w:kern w:val="0"/>
          <w:sz w:val="24"/>
          <w:szCs w:val="24"/>
          <w:highlight w:val="none"/>
          <w:lang w:val="en-US" w:eastAsia="zh-CN" w:bidi="zh-CN"/>
        </w:rPr>
        <w:t>996</w:t>
      </w:r>
      <w:r>
        <w:rPr>
          <w:rFonts w:hint="default" w:ascii="Times New Roman" w:hAnsi="Times New Roman" w:eastAsia="宋体" w:cs="Times New Roman"/>
          <w:color w:val="auto"/>
          <w:w w:val="99"/>
          <w:kern w:val="0"/>
          <w:sz w:val="24"/>
          <w:szCs w:val="24"/>
          <w:highlight w:val="none"/>
          <w:lang w:val="en-US" w:eastAsia="zh-CN" w:bidi="zh-CN"/>
        </w:rPr>
        <w:t xml:space="preserve">m 范围内浓度大于 0.05mg/L ，超标面积为 </w:t>
      </w:r>
      <w:r>
        <w:rPr>
          <w:rFonts w:hint="eastAsia" w:ascii="Times New Roman" w:hAnsi="Times New Roman" w:cs="Times New Roman"/>
          <w:color w:val="auto"/>
          <w:w w:val="99"/>
          <w:kern w:val="0"/>
          <w:sz w:val="24"/>
          <w:szCs w:val="24"/>
          <w:highlight w:val="none"/>
          <w:lang w:val="en-US" w:eastAsia="zh-CN" w:bidi="zh-CN"/>
        </w:rPr>
        <w:t>189137</w:t>
      </w:r>
      <w:r>
        <w:rPr>
          <w:rFonts w:hint="default" w:ascii="Times New Roman" w:hAnsi="Times New Roman" w:eastAsia="宋体" w:cs="Times New Roman"/>
          <w:color w:val="auto"/>
          <w:w w:val="99"/>
          <w:kern w:val="0"/>
          <w:sz w:val="24"/>
          <w:szCs w:val="24"/>
          <w:highlight w:val="none"/>
          <w:lang w:val="en-US" w:eastAsia="zh-CN" w:bidi="zh-CN"/>
        </w:rPr>
        <w:t>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 xml:space="preserve"> ，其余范围浓度值均能够满足《地表水环境质量标准》（GB3838-2002）中 II 类标准 (≤0.05mg/L），在各时段影响范围内均无饮用水井分布，对地下水环境保护目标影响较小。。</w:t>
      </w:r>
    </w:p>
    <w:p w14:paraId="14EA3451">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2</w:t>
      </w:r>
      <w:r>
        <w:rPr>
          <w:rFonts w:hint="eastAsia" w:ascii="Times New Roman" w:hAnsi="Times New Roman" w:eastAsia="宋体" w:cs="Times New Roman"/>
          <w:color w:val="auto"/>
          <w:w w:val="99"/>
          <w:kern w:val="0"/>
          <w:sz w:val="24"/>
          <w:szCs w:val="24"/>
          <w:highlight w:val="none"/>
          <w:lang w:val="en-US" w:eastAsia="zh-CN" w:bidi="zh-CN"/>
        </w:rPr>
        <w:t>）天然气管线泄漏事故影响分析</w:t>
      </w:r>
    </w:p>
    <w:p w14:paraId="6BBDBADD">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由于天然气密度比空气小，沸点极低（-161.5℃)</w:t>
      </w:r>
      <w:r>
        <w:rPr>
          <w:rFonts w:hint="eastAsia" w:ascii="Times New Roman" w:hAnsi="Times New Roman"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且几乎不溶于水，在事故状态下，即一旦输气管道泄漏，天然气不会进入到地下水中，天然气对水质的直接影响很小。</w:t>
      </w:r>
    </w:p>
    <w:p w14:paraId="32B6C0CD">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5.8.3.</w:t>
      </w:r>
      <w:r>
        <w:rPr>
          <w:rFonts w:hint="eastAsia" w:ascii="Times New Roman" w:hAnsi="Times New Roman" w:eastAsiaTheme="minorEastAsia"/>
          <w:b/>
          <w:color w:val="auto"/>
          <w:w w:val="99"/>
          <w:highlight w:val="none"/>
          <w:lang w:val="en-US" w:eastAsia="zh-CN"/>
        </w:rPr>
        <w:t>4</w:t>
      </w:r>
      <w:r>
        <w:rPr>
          <w:rFonts w:ascii="Times New Roman" w:hAnsi="Times New Roman" w:eastAsiaTheme="minorEastAsia"/>
          <w:b/>
          <w:color w:val="auto"/>
          <w:w w:val="99"/>
          <w:highlight w:val="none"/>
        </w:rPr>
        <w:t>对土壤环境的影响</w:t>
      </w:r>
    </w:p>
    <w:p w14:paraId="19CB84E1">
      <w:pPr>
        <w:pStyle w:val="46"/>
        <w:spacing w:after="0" w:line="440" w:lineRule="exact"/>
        <w:ind w:left="0" w:leftChars="0" w:firstLine="474" w:firstLineChars="200"/>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项目运行期对土壤环境的影响主要为采气管线泄漏产生的石油类可能对土壤环境造成破坏，对土壤的化学、生物性质等方面造成影响。石油类泄漏渗入土壤孔隙，会降低土壤的通透性，抑制土壤中酶活性，使土壤生物减少。一般而言，石油类集中于土壤表层 0~30cm的范围内，使得根系分布于此深度的植物不能生长。石油类对土壤的污染，可使土地肥力下降，改变土壤的理化性质，影响局部区域土壤正常的结构和功能。</w:t>
      </w:r>
    </w:p>
    <w:p w14:paraId="06A900D7">
      <w:pPr>
        <w:pStyle w:val="46"/>
        <w:spacing w:after="0" w:line="440" w:lineRule="exact"/>
        <w:ind w:left="0" w:leftChars="0" w:firstLine="474" w:firstLineChars="200"/>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项目采气管线设有压力监控，一旦发生泄漏，管道压力就会出现异常，现场工作人员可第一时间发现，发现后采取关闭机泵等措施进行控制。为降低采气管线泄漏对土壤的环境风险，建设单位应加强管道检测、巡检巡视等，尽量避免事故的发生。通过采取上述措施后，项目对土壤环境产生的影响较小。</w:t>
      </w:r>
    </w:p>
    <w:p w14:paraId="6C5A5550">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5.8.3.</w:t>
      </w:r>
      <w:r>
        <w:rPr>
          <w:rFonts w:hint="eastAsia" w:ascii="Times New Roman" w:hAnsi="Times New Roman" w:eastAsiaTheme="minorEastAsia"/>
          <w:b/>
          <w:color w:val="auto"/>
          <w:w w:val="99"/>
          <w:highlight w:val="none"/>
          <w:lang w:val="en-US" w:eastAsia="zh-CN"/>
        </w:rPr>
        <w:t>5</w:t>
      </w:r>
      <w:r>
        <w:rPr>
          <w:rFonts w:ascii="Times New Roman" w:hAnsi="Times New Roman" w:eastAsiaTheme="minorEastAsia"/>
          <w:b/>
          <w:color w:val="auto"/>
          <w:w w:val="99"/>
          <w:highlight w:val="none"/>
        </w:rPr>
        <w:t>对生态环境的影响</w:t>
      </w:r>
    </w:p>
    <w:p w14:paraId="267951BB">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区域内的生态系统主要是农田生态系统，采气管线均埋地敷设。由于管线材料缺陷或焊口缺陷隐患、管线的内外腐蚀作用、地震、地陷、洪水等自然灾害破坏作用致使采气管线发生破损而导致大量气田采出水泄漏，可能对农田产生较大影响，其危害最大的是植物，含油物质黏附于枝叶上，就会影响植物的光合作用，可使植物枯萎死亡；含油污水喷溅到植物上或散落到土壤中，黏附于植物根系，可阻止植物吸收水分和矿物质，导致植物死亡，通过根系吸收，影响其品质，使其生产力下降，导致事故区域内植物枯萎死亡。</w:t>
      </w:r>
    </w:p>
    <w:p w14:paraId="1F59DF36">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采气管线设有压力监控，一旦发生泄漏，管道压力就会出现异常，现场工作人员可第一时间发现，发现后采取关闭机泵等措施进行控制。此外，项目定期对管道进行巡检，发现隐患及时处理，发生泄漏可能性较小。</w:t>
      </w:r>
    </w:p>
    <w:p w14:paraId="55D71A5A">
      <w:pPr>
        <w:pStyle w:val="7"/>
        <w:widowControl w:val="0"/>
        <w:spacing w:before="60" w:after="60" w:line="440" w:lineRule="exact"/>
        <w:jc w:val="both"/>
        <w:rPr>
          <w:rFonts w:eastAsiaTheme="minorEastAsia"/>
          <w:b/>
          <w:color w:val="auto"/>
          <w:w w:val="99"/>
          <w:kern w:val="2"/>
          <w:sz w:val="24"/>
          <w:szCs w:val="24"/>
          <w:highlight w:val="none"/>
        </w:rPr>
      </w:pPr>
      <w:bookmarkStart w:id="1006" w:name="_Toc131167371"/>
      <w:bookmarkStart w:id="1007" w:name="_Toc84929310"/>
      <w:bookmarkStart w:id="1008" w:name="_Toc86142013"/>
      <w:bookmarkStart w:id="1009" w:name="_Toc85640838"/>
      <w:bookmarkStart w:id="1010" w:name="_Toc127192419"/>
      <w:bookmarkStart w:id="1011" w:name="_Toc126863470"/>
      <w:bookmarkStart w:id="1012" w:name="_Toc186444369"/>
      <w:bookmarkStart w:id="1013" w:name="_Toc143099658"/>
      <w:r>
        <w:rPr>
          <w:rFonts w:eastAsiaTheme="minorEastAsia"/>
          <w:b/>
          <w:color w:val="auto"/>
          <w:w w:val="99"/>
          <w:kern w:val="2"/>
          <w:sz w:val="24"/>
          <w:szCs w:val="24"/>
          <w:highlight w:val="none"/>
        </w:rPr>
        <w:t>5.8.4环境风险评价结论</w:t>
      </w:r>
      <w:bookmarkEnd w:id="1006"/>
      <w:bookmarkEnd w:id="1007"/>
      <w:bookmarkEnd w:id="1008"/>
      <w:bookmarkEnd w:id="1009"/>
      <w:bookmarkEnd w:id="1010"/>
      <w:bookmarkEnd w:id="1011"/>
      <w:bookmarkEnd w:id="1012"/>
      <w:bookmarkEnd w:id="1013"/>
    </w:p>
    <w:p w14:paraId="381AC577">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通过对本工程产能建设工程的环境风险分析可知，本工程的主要环境风险是泄漏、火灾和爆炸，对区域内的地下水环境、地表水环境、土壤环境和空气环境有潜在危害性。在工程采取一系列风险防范措施、应急措施和建立环境风险防控体系后，火灾爆炸等事故影响可控，可以降低事故的发生率和事故情况下对周围环境的影响。但建设单位应加强员工的环保教育和培训，完善项目的事故应急预案，增加事故应急监测及事故评估等规定内容并定期演习，避免重大污染事故的发生。</w:t>
      </w:r>
    </w:p>
    <w:p w14:paraId="761626BE">
      <w:pPr>
        <w:pStyle w:val="46"/>
        <w:spacing w:after="0" w:line="440" w:lineRule="exact"/>
        <w:ind w:left="0" w:leftChars="0" w:firstLine="476" w:firstLineChars="200"/>
        <w:rPr>
          <w:rFonts w:eastAsiaTheme="minorEastAsia"/>
          <w:bCs/>
          <w:color w:val="auto"/>
          <w:w w:val="99"/>
          <w:sz w:val="24"/>
          <w:highlight w:val="none"/>
        </w:rPr>
      </w:pPr>
      <w:r>
        <w:rPr>
          <w:rFonts w:eastAsiaTheme="minorEastAsia"/>
          <w:b/>
          <w:bCs/>
          <w:color w:val="auto"/>
          <w:w w:val="99"/>
          <w:sz w:val="24"/>
          <w:highlight w:val="none"/>
        </w:rPr>
        <w:t>表5.8-</w:t>
      </w:r>
      <w:r>
        <w:rPr>
          <w:rFonts w:hint="eastAsia" w:eastAsiaTheme="minorEastAsia"/>
          <w:b/>
          <w:bCs/>
          <w:color w:val="auto"/>
          <w:w w:val="99"/>
          <w:sz w:val="24"/>
          <w:highlight w:val="none"/>
          <w:lang w:val="en-US" w:eastAsia="zh-CN"/>
        </w:rPr>
        <w:t>6</w:t>
      </w:r>
      <w:r>
        <w:rPr>
          <w:rFonts w:eastAsiaTheme="minorEastAsia"/>
          <w:b/>
          <w:bCs/>
          <w:color w:val="auto"/>
          <w:w w:val="99"/>
          <w:sz w:val="24"/>
          <w:highlight w:val="none"/>
        </w:rPr>
        <w:t xml:space="preserve">    建设项目环境风险简单分析内容表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780"/>
        <w:gridCol w:w="922"/>
        <w:gridCol w:w="1721"/>
        <w:gridCol w:w="998"/>
        <w:gridCol w:w="2775"/>
        <w:gridCol w:w="931"/>
      </w:tblGrid>
      <w:tr w14:paraId="52BEA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75" w:type="pct"/>
            <w:vAlign w:val="center"/>
          </w:tcPr>
          <w:p w14:paraId="4AD92FEC">
            <w:pPr>
              <w:pStyle w:val="178"/>
              <w:kinsoku w:val="0"/>
              <w:overflowPunct w:val="0"/>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建设项目名称</w:t>
            </w:r>
          </w:p>
        </w:tc>
        <w:tc>
          <w:tcPr>
            <w:tcW w:w="4025" w:type="pct"/>
            <w:gridSpan w:val="5"/>
            <w:vAlign w:val="center"/>
          </w:tcPr>
          <w:p w14:paraId="091055F7">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徐深27-H1井地面工程项目</w:t>
            </w:r>
          </w:p>
        </w:tc>
      </w:tr>
      <w:tr w14:paraId="11792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75" w:type="pct"/>
            <w:vAlign w:val="center"/>
          </w:tcPr>
          <w:p w14:paraId="772980AB">
            <w:pPr>
              <w:pStyle w:val="178"/>
              <w:kinsoku w:val="0"/>
              <w:overflowPunct w:val="0"/>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建设地点</w:t>
            </w:r>
          </w:p>
        </w:tc>
        <w:tc>
          <w:tcPr>
            <w:tcW w:w="505" w:type="pct"/>
            <w:vAlign w:val="center"/>
          </w:tcPr>
          <w:p w14:paraId="0E3A274C">
            <w:pPr>
              <w:pStyle w:val="178"/>
              <w:tabs>
                <w:tab w:val="left" w:pos="449"/>
              </w:tabs>
              <w:kinsoku w:val="0"/>
              <w:overflowPunct w:val="0"/>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黑龙江省</w:t>
            </w:r>
          </w:p>
        </w:tc>
        <w:tc>
          <w:tcPr>
            <w:tcW w:w="943" w:type="pct"/>
            <w:vAlign w:val="center"/>
          </w:tcPr>
          <w:p w14:paraId="680235CB">
            <w:pPr>
              <w:pStyle w:val="178"/>
              <w:tabs>
                <w:tab w:val="left" w:pos="657"/>
              </w:tabs>
              <w:kinsoku w:val="0"/>
              <w:overflowPunct w:val="0"/>
              <w:spacing w:line="360" w:lineRule="exact"/>
              <w:ind w:firstLine="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绥化</w:t>
            </w:r>
            <w:r>
              <w:rPr>
                <w:rFonts w:ascii="Times New Roman" w:hAnsi="Times New Roman" w:cs="Times New Roman" w:eastAsiaTheme="minorEastAsia"/>
                <w:color w:val="auto"/>
                <w:w w:val="99"/>
                <w:sz w:val="21"/>
                <w:szCs w:val="21"/>
                <w:highlight w:val="none"/>
              </w:rPr>
              <w:t>市</w:t>
            </w:r>
          </w:p>
        </w:tc>
        <w:tc>
          <w:tcPr>
            <w:tcW w:w="547" w:type="pct"/>
            <w:vAlign w:val="center"/>
          </w:tcPr>
          <w:p w14:paraId="37D6ACE0">
            <w:pPr>
              <w:pStyle w:val="178"/>
              <w:tabs>
                <w:tab w:val="left" w:pos="449"/>
              </w:tabs>
              <w:kinsoku w:val="0"/>
              <w:overflowPunct w:val="0"/>
              <w:spacing w:line="360" w:lineRule="exact"/>
              <w:ind w:firstLine="0"/>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肇东市</w:t>
            </w:r>
          </w:p>
        </w:tc>
        <w:tc>
          <w:tcPr>
            <w:tcW w:w="1520" w:type="pct"/>
            <w:vAlign w:val="center"/>
          </w:tcPr>
          <w:p w14:paraId="41B2D814">
            <w:pPr>
              <w:pStyle w:val="178"/>
              <w:tabs>
                <w:tab w:val="left" w:pos="632"/>
              </w:tabs>
              <w:kinsoku w:val="0"/>
              <w:overflowPunct w:val="0"/>
              <w:spacing w:line="360" w:lineRule="exact"/>
              <w:ind w:firstLine="0"/>
              <w:jc w:val="center"/>
              <w:rPr>
                <w:rFonts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跃进乡</w:t>
            </w:r>
          </w:p>
        </w:tc>
        <w:tc>
          <w:tcPr>
            <w:tcW w:w="510" w:type="pct"/>
            <w:vAlign w:val="center"/>
          </w:tcPr>
          <w:p w14:paraId="051854C8">
            <w:pPr>
              <w:pStyle w:val="178"/>
              <w:tabs>
                <w:tab w:val="left" w:pos="647"/>
              </w:tabs>
              <w:kinsoku w:val="0"/>
              <w:overflowPunct w:val="0"/>
              <w:spacing w:line="360" w:lineRule="exact"/>
              <w:ind w:firstLine="0"/>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（）园区</w:t>
            </w:r>
          </w:p>
        </w:tc>
      </w:tr>
      <w:tr w14:paraId="07C29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75" w:type="pct"/>
            <w:vAlign w:val="center"/>
          </w:tcPr>
          <w:p w14:paraId="6F6C6EB7">
            <w:pPr>
              <w:pStyle w:val="178"/>
              <w:kinsoku w:val="0"/>
              <w:overflowPunct w:val="0"/>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地理坐标</w:t>
            </w:r>
          </w:p>
        </w:tc>
        <w:tc>
          <w:tcPr>
            <w:tcW w:w="505" w:type="pct"/>
            <w:vAlign w:val="center"/>
          </w:tcPr>
          <w:p w14:paraId="2DE04311">
            <w:pPr>
              <w:pStyle w:val="178"/>
              <w:kinsoku w:val="0"/>
              <w:overflowPunct w:val="0"/>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经度</w:t>
            </w:r>
          </w:p>
        </w:tc>
        <w:tc>
          <w:tcPr>
            <w:tcW w:w="943" w:type="pct"/>
            <w:vAlign w:val="center"/>
          </w:tcPr>
          <w:p w14:paraId="0F799BE6">
            <w:pPr>
              <w:pStyle w:val="178"/>
              <w:tabs>
                <w:tab w:val="left" w:pos="657"/>
              </w:tabs>
              <w:kinsoku w:val="0"/>
              <w:overflowPunct w:val="0"/>
              <w:spacing w:line="360" w:lineRule="exact"/>
              <w:ind w:firstLine="0"/>
              <w:jc w:val="center"/>
              <w:rPr>
                <w:rFonts w:ascii="Times New Roman" w:hAnsi="Times New Roman" w:cs="Times New Roman" w:eastAsiaTheme="minorEastAsia"/>
                <w:color w:val="auto"/>
                <w:w w:val="99"/>
                <w:sz w:val="21"/>
                <w:szCs w:val="21"/>
                <w:highlight w:val="none"/>
                <w:lang w:eastAsia="zh-CN"/>
              </w:rPr>
            </w:pPr>
            <w:r>
              <w:rPr>
                <w:rFonts w:hint="default" w:ascii="Times New Roman" w:hAnsi="Times New Roman" w:cs="Times New Roman" w:eastAsiaTheme="minorEastAsia"/>
                <w:color w:val="auto"/>
                <w:w w:val="99"/>
                <w:sz w:val="21"/>
                <w:szCs w:val="21"/>
                <w:highlight w:val="none"/>
                <w:lang w:val="en-US" w:eastAsia="zh-CN"/>
              </w:rPr>
              <w:t>125°</w:t>
            </w:r>
            <w:r>
              <w:rPr>
                <w:rFonts w:hint="eastAsia" w:ascii="Times New Roman" w:hAnsi="Times New Roman" w:cs="Times New Roman" w:eastAsiaTheme="minorEastAsia"/>
                <w:color w:val="auto"/>
                <w:w w:val="99"/>
                <w:sz w:val="21"/>
                <w:szCs w:val="21"/>
                <w:highlight w:val="none"/>
                <w:lang w:val="en-US" w:eastAsia="zh-CN"/>
              </w:rPr>
              <w:t>30</w:t>
            </w:r>
            <w:r>
              <w:rPr>
                <w:rFonts w:hint="default" w:ascii="Times New Roman" w:hAnsi="Times New Roman" w:cs="Times New Roman" w:eastAsiaTheme="minorEastAsia"/>
                <w:color w:val="auto"/>
                <w:w w:val="99"/>
                <w:sz w:val="21"/>
                <w:szCs w:val="21"/>
                <w:highlight w:val="none"/>
                <w:lang w:val="en-US" w:eastAsia="zh-CN"/>
              </w:rPr>
              <w:t>′</w:t>
            </w:r>
            <w:r>
              <w:rPr>
                <w:rFonts w:hint="eastAsia" w:ascii="Times New Roman" w:hAnsi="Times New Roman" w:cs="Times New Roman" w:eastAsiaTheme="minorEastAsia"/>
                <w:color w:val="auto"/>
                <w:w w:val="99"/>
                <w:sz w:val="21"/>
                <w:szCs w:val="21"/>
                <w:highlight w:val="none"/>
                <w:lang w:val="en-US" w:eastAsia="zh-CN"/>
              </w:rPr>
              <w:t>43</w:t>
            </w:r>
            <w:r>
              <w:rPr>
                <w:rFonts w:hint="default" w:ascii="Times New Roman" w:hAnsi="Times New Roman" w:cs="Times New Roman" w:eastAsiaTheme="minorEastAsia"/>
                <w:color w:val="auto"/>
                <w:w w:val="99"/>
                <w:sz w:val="21"/>
                <w:szCs w:val="21"/>
                <w:highlight w:val="none"/>
                <w:lang w:val="en-US" w:eastAsia="zh-CN"/>
              </w:rPr>
              <w:t>″~125°</w:t>
            </w:r>
            <w:r>
              <w:rPr>
                <w:rFonts w:hint="eastAsia" w:ascii="Times New Roman" w:hAnsi="Times New Roman" w:cs="Times New Roman" w:eastAsiaTheme="minorEastAsia"/>
                <w:color w:val="auto"/>
                <w:w w:val="99"/>
                <w:sz w:val="21"/>
                <w:szCs w:val="21"/>
                <w:highlight w:val="none"/>
                <w:lang w:val="en-US" w:eastAsia="zh-CN"/>
              </w:rPr>
              <w:t>31</w:t>
            </w:r>
            <w:r>
              <w:rPr>
                <w:rFonts w:hint="default" w:ascii="Times New Roman" w:hAnsi="Times New Roman" w:cs="Times New Roman" w:eastAsiaTheme="minorEastAsia"/>
                <w:color w:val="auto"/>
                <w:w w:val="99"/>
                <w:sz w:val="21"/>
                <w:szCs w:val="21"/>
                <w:highlight w:val="none"/>
                <w:lang w:val="en-US" w:eastAsia="zh-CN"/>
              </w:rPr>
              <w:t>′</w:t>
            </w:r>
            <w:r>
              <w:rPr>
                <w:rFonts w:hint="eastAsia" w:ascii="Times New Roman" w:hAnsi="Times New Roman" w:cs="Times New Roman" w:eastAsiaTheme="minorEastAsia"/>
                <w:color w:val="auto"/>
                <w:w w:val="99"/>
                <w:sz w:val="21"/>
                <w:szCs w:val="21"/>
                <w:highlight w:val="none"/>
                <w:lang w:val="en-US" w:eastAsia="zh-CN"/>
              </w:rPr>
              <w:t>02</w:t>
            </w:r>
            <w:r>
              <w:rPr>
                <w:rFonts w:hint="default" w:ascii="Times New Roman" w:hAnsi="Times New Roman" w:cs="Times New Roman" w:eastAsiaTheme="minorEastAsia"/>
                <w:color w:val="auto"/>
                <w:w w:val="99"/>
                <w:sz w:val="21"/>
                <w:szCs w:val="21"/>
                <w:highlight w:val="none"/>
                <w:lang w:val="en-US" w:eastAsia="zh-CN"/>
              </w:rPr>
              <w:t>″</w:t>
            </w:r>
          </w:p>
        </w:tc>
        <w:tc>
          <w:tcPr>
            <w:tcW w:w="547" w:type="pct"/>
            <w:vAlign w:val="center"/>
          </w:tcPr>
          <w:p w14:paraId="475E8D49">
            <w:pPr>
              <w:pStyle w:val="178"/>
              <w:tabs>
                <w:tab w:val="left" w:pos="657"/>
              </w:tabs>
              <w:kinsoku w:val="0"/>
              <w:overflowPunct w:val="0"/>
              <w:spacing w:line="360" w:lineRule="exact"/>
              <w:ind w:firstLine="0"/>
              <w:jc w:val="center"/>
              <w:rPr>
                <w:rFonts w:ascii="Times New Roman" w:hAnsi="Times New Roman" w:cs="Times New Roman" w:eastAsiaTheme="minorEastAsia"/>
                <w:color w:val="auto"/>
                <w:w w:val="99"/>
                <w:sz w:val="21"/>
                <w:szCs w:val="21"/>
                <w:highlight w:val="none"/>
                <w:lang w:eastAsia="zh-CN"/>
              </w:rPr>
            </w:pPr>
            <w:r>
              <w:rPr>
                <w:rFonts w:ascii="Times New Roman" w:hAnsi="Times New Roman" w:cs="Times New Roman" w:eastAsiaTheme="minorEastAsia"/>
                <w:color w:val="auto"/>
                <w:w w:val="99"/>
                <w:sz w:val="21"/>
                <w:szCs w:val="21"/>
                <w:highlight w:val="none"/>
                <w:lang w:eastAsia="zh-CN"/>
              </w:rPr>
              <w:t>纬度</w:t>
            </w:r>
          </w:p>
        </w:tc>
        <w:tc>
          <w:tcPr>
            <w:tcW w:w="2030" w:type="pct"/>
            <w:gridSpan w:val="2"/>
            <w:vAlign w:val="center"/>
          </w:tcPr>
          <w:p w14:paraId="115F1558">
            <w:pPr>
              <w:pStyle w:val="178"/>
              <w:tabs>
                <w:tab w:val="left" w:pos="657"/>
              </w:tabs>
              <w:kinsoku w:val="0"/>
              <w:overflowPunct w:val="0"/>
              <w:spacing w:line="360" w:lineRule="exact"/>
              <w:ind w:firstLine="0"/>
              <w:jc w:val="center"/>
              <w:rPr>
                <w:rFonts w:ascii="Times New Roman" w:hAnsi="Times New Roman" w:cs="Times New Roman" w:eastAsiaTheme="minorEastAsia"/>
                <w:color w:val="auto"/>
                <w:w w:val="99"/>
                <w:sz w:val="21"/>
                <w:szCs w:val="21"/>
                <w:highlight w:val="none"/>
                <w:lang w:eastAsia="zh-CN"/>
              </w:rPr>
            </w:pPr>
            <w:r>
              <w:rPr>
                <w:rFonts w:hint="default" w:ascii="Times New Roman" w:hAnsi="Times New Roman" w:cs="Times New Roman" w:eastAsiaTheme="minorEastAsia"/>
                <w:color w:val="auto"/>
                <w:w w:val="99"/>
                <w:sz w:val="21"/>
                <w:szCs w:val="21"/>
                <w:highlight w:val="none"/>
                <w:lang w:val="en-US" w:eastAsia="zh-CN"/>
              </w:rPr>
              <w:t>4</w:t>
            </w:r>
            <w:r>
              <w:rPr>
                <w:rFonts w:hint="eastAsia" w:ascii="Times New Roman" w:hAnsi="Times New Roman" w:cs="Times New Roman" w:eastAsiaTheme="minorEastAsia"/>
                <w:color w:val="auto"/>
                <w:w w:val="99"/>
                <w:sz w:val="21"/>
                <w:szCs w:val="21"/>
                <w:highlight w:val="none"/>
                <w:lang w:val="en-US" w:eastAsia="zh-CN"/>
              </w:rPr>
              <w:t>5</w:t>
            </w:r>
            <w:r>
              <w:rPr>
                <w:rFonts w:hint="default" w:ascii="Times New Roman" w:hAnsi="Times New Roman" w:cs="Times New Roman" w:eastAsiaTheme="minorEastAsia"/>
                <w:color w:val="auto"/>
                <w:w w:val="99"/>
                <w:sz w:val="21"/>
                <w:szCs w:val="21"/>
                <w:highlight w:val="none"/>
                <w:lang w:val="en-US" w:eastAsia="zh-CN"/>
              </w:rPr>
              <w:t>°</w:t>
            </w:r>
            <w:r>
              <w:rPr>
                <w:rFonts w:hint="eastAsia" w:ascii="Times New Roman" w:hAnsi="Times New Roman" w:cs="Times New Roman" w:eastAsiaTheme="minorEastAsia"/>
                <w:color w:val="auto"/>
                <w:w w:val="99"/>
                <w:sz w:val="21"/>
                <w:szCs w:val="21"/>
                <w:highlight w:val="none"/>
                <w:lang w:val="en-US" w:eastAsia="zh-CN"/>
              </w:rPr>
              <w:t>53</w:t>
            </w:r>
            <w:r>
              <w:rPr>
                <w:rFonts w:hint="default" w:ascii="Times New Roman" w:hAnsi="Times New Roman" w:cs="Times New Roman" w:eastAsiaTheme="minorEastAsia"/>
                <w:color w:val="auto"/>
                <w:w w:val="99"/>
                <w:sz w:val="21"/>
                <w:szCs w:val="21"/>
                <w:highlight w:val="none"/>
                <w:lang w:val="en-US" w:eastAsia="zh-CN"/>
              </w:rPr>
              <w:t>′</w:t>
            </w:r>
            <w:r>
              <w:rPr>
                <w:rFonts w:hint="eastAsia" w:ascii="Times New Roman" w:hAnsi="Times New Roman" w:cs="Times New Roman" w:eastAsiaTheme="minorEastAsia"/>
                <w:color w:val="auto"/>
                <w:w w:val="99"/>
                <w:sz w:val="21"/>
                <w:szCs w:val="21"/>
                <w:highlight w:val="none"/>
                <w:lang w:val="en-US" w:eastAsia="zh-CN"/>
              </w:rPr>
              <w:t>40</w:t>
            </w:r>
            <w:r>
              <w:rPr>
                <w:rFonts w:hint="default" w:ascii="Times New Roman" w:hAnsi="Times New Roman" w:cs="Times New Roman" w:eastAsiaTheme="minorEastAsia"/>
                <w:color w:val="auto"/>
                <w:w w:val="99"/>
                <w:sz w:val="21"/>
                <w:szCs w:val="21"/>
                <w:highlight w:val="none"/>
                <w:lang w:val="en-US" w:eastAsia="zh-CN"/>
              </w:rPr>
              <w:t>″~4</w:t>
            </w:r>
            <w:r>
              <w:rPr>
                <w:rFonts w:hint="eastAsia" w:ascii="Times New Roman" w:hAnsi="Times New Roman" w:cs="Times New Roman" w:eastAsiaTheme="minorEastAsia"/>
                <w:color w:val="auto"/>
                <w:w w:val="99"/>
                <w:sz w:val="21"/>
                <w:szCs w:val="21"/>
                <w:highlight w:val="none"/>
                <w:lang w:val="en-US" w:eastAsia="zh-CN"/>
              </w:rPr>
              <w:t>5</w:t>
            </w:r>
            <w:r>
              <w:rPr>
                <w:rFonts w:hint="default" w:ascii="Times New Roman" w:hAnsi="Times New Roman" w:cs="Times New Roman" w:eastAsiaTheme="minorEastAsia"/>
                <w:color w:val="auto"/>
                <w:w w:val="99"/>
                <w:sz w:val="21"/>
                <w:szCs w:val="21"/>
                <w:highlight w:val="none"/>
                <w:lang w:val="en-US" w:eastAsia="zh-CN"/>
              </w:rPr>
              <w:t>°</w:t>
            </w:r>
            <w:r>
              <w:rPr>
                <w:rFonts w:hint="eastAsia" w:ascii="Times New Roman" w:hAnsi="Times New Roman" w:cs="Times New Roman" w:eastAsiaTheme="minorEastAsia"/>
                <w:color w:val="auto"/>
                <w:w w:val="99"/>
                <w:sz w:val="21"/>
                <w:szCs w:val="21"/>
                <w:highlight w:val="none"/>
                <w:lang w:val="en-US" w:eastAsia="zh-CN"/>
              </w:rPr>
              <w:t>54</w:t>
            </w:r>
            <w:r>
              <w:rPr>
                <w:rFonts w:hint="default" w:ascii="Times New Roman" w:hAnsi="Times New Roman" w:cs="Times New Roman" w:eastAsiaTheme="minorEastAsia"/>
                <w:color w:val="auto"/>
                <w:w w:val="99"/>
                <w:sz w:val="21"/>
                <w:szCs w:val="21"/>
                <w:highlight w:val="none"/>
                <w:lang w:val="en-US" w:eastAsia="zh-CN"/>
              </w:rPr>
              <w:t>′</w:t>
            </w:r>
            <w:r>
              <w:rPr>
                <w:rFonts w:hint="eastAsia" w:ascii="Times New Roman" w:hAnsi="Times New Roman" w:cs="Times New Roman" w:eastAsiaTheme="minorEastAsia"/>
                <w:color w:val="auto"/>
                <w:w w:val="99"/>
                <w:sz w:val="21"/>
                <w:szCs w:val="21"/>
                <w:highlight w:val="none"/>
                <w:lang w:val="en-US" w:eastAsia="zh-CN"/>
              </w:rPr>
              <w:t>39</w:t>
            </w:r>
            <w:r>
              <w:rPr>
                <w:rFonts w:hint="default" w:ascii="Times New Roman" w:hAnsi="Times New Roman" w:cs="Times New Roman" w:eastAsiaTheme="minorEastAsia"/>
                <w:color w:val="auto"/>
                <w:w w:val="99"/>
                <w:sz w:val="21"/>
                <w:szCs w:val="21"/>
                <w:highlight w:val="none"/>
                <w:lang w:val="en-US" w:eastAsia="zh-CN"/>
              </w:rPr>
              <w:t>″</w:t>
            </w:r>
          </w:p>
        </w:tc>
      </w:tr>
      <w:tr w14:paraId="7989F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75" w:type="pct"/>
            <w:vAlign w:val="center"/>
          </w:tcPr>
          <w:p w14:paraId="4E9061DE">
            <w:pPr>
              <w:pStyle w:val="178"/>
              <w:kinsoku w:val="0"/>
              <w:overflowPunct w:val="0"/>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主要危险物质及分布</w:t>
            </w:r>
          </w:p>
        </w:tc>
        <w:tc>
          <w:tcPr>
            <w:tcW w:w="4025" w:type="pct"/>
            <w:gridSpan w:val="5"/>
            <w:vAlign w:val="center"/>
          </w:tcPr>
          <w:p w14:paraId="14075D10">
            <w:pPr>
              <w:spacing w:line="360" w:lineRule="exact"/>
              <w:rPr>
                <w:rFonts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lang w:val="en-US" w:eastAsia="zh-CN"/>
              </w:rPr>
              <w:t>本项目涉及的主要危险物质</w:t>
            </w:r>
            <w:r>
              <w:rPr>
                <w:rFonts w:hint="eastAsia" w:ascii="Times New Roman" w:hAnsi="Times New Roman" w:cs="Times New Roman" w:eastAsiaTheme="minorEastAsia"/>
                <w:color w:val="auto"/>
                <w:w w:val="99"/>
                <w:sz w:val="21"/>
                <w:szCs w:val="21"/>
                <w:highlight w:val="none"/>
                <w:lang w:val="en-US" w:eastAsia="zh-CN"/>
              </w:rPr>
              <w:t>危险物质为天然气。单个井场天然气最大存在量为 0.05t ，管线天然气最大储存量为 0.955t。</w:t>
            </w:r>
          </w:p>
        </w:tc>
      </w:tr>
      <w:tr w14:paraId="7C2E2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75" w:type="pct"/>
            <w:vAlign w:val="center"/>
          </w:tcPr>
          <w:p w14:paraId="3D305AB9">
            <w:pPr>
              <w:pStyle w:val="178"/>
              <w:kinsoku w:val="0"/>
              <w:overflowPunct w:val="0"/>
              <w:spacing w:line="360" w:lineRule="exact"/>
              <w:ind w:firstLine="0"/>
              <w:jc w:val="center"/>
              <w:rPr>
                <w:rFonts w:ascii="Times New Roman" w:hAnsi="Times New Roman" w:cs="Times New Roman" w:eastAsiaTheme="minorEastAsia"/>
                <w:color w:val="auto"/>
                <w:w w:val="99"/>
                <w:sz w:val="21"/>
                <w:szCs w:val="21"/>
                <w:highlight w:val="none"/>
                <w:lang w:eastAsia="zh-CN"/>
              </w:rPr>
            </w:pPr>
            <w:r>
              <w:rPr>
                <w:rFonts w:ascii="Times New Roman" w:hAnsi="Times New Roman" w:cs="Times New Roman" w:eastAsiaTheme="minorEastAsia"/>
                <w:color w:val="auto"/>
                <w:w w:val="99"/>
                <w:sz w:val="21"/>
                <w:szCs w:val="21"/>
                <w:highlight w:val="none"/>
                <w:lang w:eastAsia="zh-CN"/>
              </w:rPr>
              <w:t>环境影响途径及危害后果（大气、地表水、地下水等）</w:t>
            </w:r>
          </w:p>
        </w:tc>
        <w:tc>
          <w:tcPr>
            <w:tcW w:w="4025" w:type="pct"/>
            <w:gridSpan w:val="5"/>
            <w:vAlign w:val="center"/>
          </w:tcPr>
          <w:p w14:paraId="31355F98">
            <w:pPr>
              <w:pStyle w:val="178"/>
              <w:kinsoku w:val="0"/>
              <w:overflowPunct w:val="0"/>
              <w:spacing w:line="360" w:lineRule="exact"/>
              <w:ind w:firstLine="0"/>
              <w:rPr>
                <w:rFonts w:ascii="Times New Roman" w:hAnsi="Times New Roman" w:cs="Times New Roman" w:eastAsiaTheme="minorEastAsia"/>
                <w:color w:val="auto"/>
                <w:w w:val="99"/>
                <w:kern w:val="2"/>
                <w:sz w:val="21"/>
                <w:szCs w:val="21"/>
                <w:highlight w:val="none"/>
                <w:lang w:eastAsia="zh-CN"/>
              </w:rPr>
            </w:pPr>
            <w:r>
              <w:rPr>
                <w:rFonts w:hint="default" w:ascii="Times New Roman" w:hAnsi="Times New Roman" w:cs="Times New Roman" w:eastAsiaTheme="minorEastAsia"/>
                <w:color w:val="auto"/>
                <w:w w:val="99"/>
                <w:kern w:val="2"/>
                <w:sz w:val="21"/>
                <w:szCs w:val="21"/>
                <w:highlight w:val="none"/>
                <w:lang w:val="en-US" w:eastAsia="zh-CN"/>
              </w:rPr>
              <w:t>根据项目物质危险性识别、生产系统危险性识别以及事故资料统计，本项目危险物质在事故情形下对环境的影响途径主要是井喷、井喷失控造成天然气泄漏、火灾爆炸事故对大气造成污染；采气管线泄漏造成天然气泄漏、火灾爆炸事故对大气造成污染；井漏后气田水对地下水环境产生污染。</w:t>
            </w:r>
          </w:p>
        </w:tc>
      </w:tr>
      <w:tr w14:paraId="0C4DE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75" w:type="pct"/>
            <w:vAlign w:val="center"/>
          </w:tcPr>
          <w:p w14:paraId="10DCAD42">
            <w:pPr>
              <w:pStyle w:val="178"/>
              <w:kinsoku w:val="0"/>
              <w:overflowPunct w:val="0"/>
              <w:spacing w:line="360" w:lineRule="exact"/>
              <w:ind w:firstLine="0"/>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风险防范措施要求</w:t>
            </w:r>
          </w:p>
        </w:tc>
        <w:tc>
          <w:tcPr>
            <w:tcW w:w="4025" w:type="pct"/>
            <w:gridSpan w:val="5"/>
            <w:vAlign w:val="center"/>
          </w:tcPr>
          <w:p w14:paraId="7704C030">
            <w:pPr>
              <w:spacing w:line="360" w:lineRule="exact"/>
              <w:rPr>
                <w:rFonts w:ascii="Times New Roman" w:hAnsi="Times New Roman" w:cs="Times New Roman" w:eastAsiaTheme="minorEastAsia"/>
                <w:snapToGrid w:val="0"/>
                <w:color w:val="auto"/>
                <w:w w:val="99"/>
                <w:sz w:val="21"/>
                <w:szCs w:val="21"/>
                <w:highlight w:val="none"/>
              </w:rPr>
            </w:pPr>
            <w:r>
              <w:rPr>
                <w:rFonts w:hint="default" w:ascii="Times New Roman" w:hAnsi="Times New Roman" w:cs="Times New Roman" w:eastAsiaTheme="minorEastAsia"/>
                <w:snapToGrid w:val="0"/>
                <w:color w:val="auto"/>
                <w:w w:val="99"/>
                <w:sz w:val="21"/>
                <w:szCs w:val="21"/>
                <w:highlight w:val="none"/>
                <w:lang w:eastAsia="zh-CN"/>
              </w:rPr>
              <w:t>管道密闭输送、防腐、试压，运行期制定操作规程、巡线、检测、应急等管理措施。</w:t>
            </w:r>
          </w:p>
        </w:tc>
      </w:tr>
      <w:tr w14:paraId="5997A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75" w:type="pct"/>
            <w:vAlign w:val="center"/>
          </w:tcPr>
          <w:p w14:paraId="0B3827EE">
            <w:pPr>
              <w:pStyle w:val="178"/>
              <w:kinsoku w:val="0"/>
              <w:overflowPunct w:val="0"/>
              <w:spacing w:line="360" w:lineRule="exact"/>
              <w:ind w:firstLine="0"/>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eastAsia="zh-CN"/>
              </w:rPr>
              <w:t>填表说明（列出项目相关信息及评价说明</w:t>
            </w:r>
            <w:r>
              <w:rPr>
                <w:rFonts w:ascii="Times New Roman" w:hAnsi="Times New Roman" w:cs="Times New Roman" w:eastAsiaTheme="minorEastAsia"/>
                <w:color w:val="auto"/>
                <w:spacing w:val="-90"/>
                <w:w w:val="99"/>
                <w:sz w:val="21"/>
                <w:szCs w:val="21"/>
                <w:highlight w:val="none"/>
                <w:lang w:eastAsia="zh-CN"/>
              </w:rPr>
              <w:t>）</w:t>
            </w:r>
            <w:r>
              <w:rPr>
                <w:rFonts w:ascii="Times New Roman" w:hAnsi="Times New Roman" w:cs="Times New Roman" w:eastAsiaTheme="minorEastAsia"/>
                <w:color w:val="auto"/>
                <w:w w:val="99"/>
                <w:sz w:val="21"/>
                <w:szCs w:val="21"/>
                <w:highlight w:val="none"/>
                <w:lang w:eastAsia="zh-CN"/>
              </w:rPr>
              <w:t>：</w:t>
            </w:r>
          </w:p>
        </w:tc>
        <w:tc>
          <w:tcPr>
            <w:tcW w:w="4025" w:type="pct"/>
            <w:gridSpan w:val="5"/>
            <w:vAlign w:val="center"/>
          </w:tcPr>
          <w:p w14:paraId="5B398BE8">
            <w:pPr>
              <w:spacing w:line="360" w:lineRule="exact"/>
              <w:rPr>
                <w:rFonts w:hint="default" w:ascii="Times New Roman" w:hAnsi="Times New Roman" w:cs="Times New Roman" w:eastAsiaTheme="minorEastAsia"/>
                <w:snapToGrid w:val="0"/>
                <w:color w:val="auto"/>
                <w:w w:val="99"/>
                <w:sz w:val="21"/>
                <w:szCs w:val="21"/>
                <w:highlight w:val="none"/>
              </w:rPr>
            </w:pPr>
            <w:r>
              <w:rPr>
                <w:rFonts w:hint="default" w:ascii="Times New Roman" w:hAnsi="Times New Roman" w:cs="Times New Roman" w:eastAsiaTheme="minorEastAsia"/>
                <w:snapToGrid w:val="0"/>
                <w:color w:val="auto"/>
                <w:w w:val="99"/>
                <w:sz w:val="21"/>
                <w:szCs w:val="21"/>
                <w:highlight w:val="none"/>
              </w:rPr>
              <w:t>根据《建设项目环境风险评价技术导则》（HJ169-2018），本项目为简单分析</w:t>
            </w:r>
            <w:r>
              <w:rPr>
                <w:rFonts w:hint="default" w:ascii="Times New Roman" w:hAnsi="Times New Roman" w:cs="Times New Roman" w:eastAsiaTheme="minorEastAsia"/>
                <w:snapToGrid w:val="0"/>
                <w:color w:val="auto"/>
                <w:w w:val="99"/>
                <w:sz w:val="21"/>
                <w:szCs w:val="21"/>
                <w:highlight w:val="none"/>
                <w:lang w:eastAsia="zh-CN"/>
              </w:rPr>
              <w:t>。</w:t>
            </w:r>
          </w:p>
        </w:tc>
      </w:tr>
    </w:tbl>
    <w:p w14:paraId="66858E5C">
      <w:pPr>
        <w:pStyle w:val="104"/>
        <w:rPr>
          <w:rFonts w:hint="default" w:ascii="Times New Roman" w:hAnsi="Times New Roman"/>
          <w:color w:val="auto"/>
          <w:w w:val="99"/>
          <w:highlight w:val="none"/>
        </w:rPr>
      </w:pPr>
    </w:p>
    <w:bookmarkEnd w:id="818"/>
    <w:bookmarkEnd w:id="982"/>
    <w:bookmarkEnd w:id="983"/>
    <w:bookmarkEnd w:id="984"/>
    <w:bookmarkEnd w:id="985"/>
    <w:bookmarkEnd w:id="986"/>
    <w:bookmarkEnd w:id="987"/>
    <w:bookmarkEnd w:id="988"/>
    <w:bookmarkEnd w:id="989"/>
    <w:p w14:paraId="62A78889">
      <w:pPr>
        <w:pStyle w:val="4"/>
        <w:widowControl w:val="0"/>
        <w:spacing w:before="180" w:after="180" w:line="500" w:lineRule="exact"/>
        <w:rPr>
          <w:rFonts w:ascii="Times New Roman" w:hAnsi="Times New Roman" w:eastAsia="宋体"/>
          <w:b/>
          <w:snapToGrid w:val="0"/>
          <w:color w:val="auto"/>
          <w:w w:val="99"/>
          <w:sz w:val="30"/>
          <w:szCs w:val="30"/>
          <w:highlight w:val="none"/>
        </w:rPr>
        <w:sectPr>
          <w:headerReference r:id="rId9" w:type="default"/>
          <w:footerReference r:id="rId10" w:type="default"/>
          <w:type w:val="nextColumn"/>
          <w:pgSz w:w="11907" w:h="16840"/>
          <w:pgMar w:top="1418" w:right="1418" w:bottom="1418" w:left="1418" w:header="851" w:footer="425" w:gutter="0"/>
          <w:pgBorders>
            <w:top w:val="none" w:sz="0" w:space="0"/>
            <w:left w:val="none" w:sz="0" w:space="0"/>
            <w:bottom w:val="none" w:sz="0" w:space="0"/>
            <w:right w:val="none" w:sz="0" w:space="0"/>
          </w:pgBorders>
          <w:pgNumType w:fmt="decimal"/>
          <w:cols w:space="720" w:num="1"/>
          <w:docGrid w:linePitch="326" w:charSpace="0"/>
        </w:sectPr>
      </w:pPr>
    </w:p>
    <w:p w14:paraId="2B21E9E0">
      <w:pPr>
        <w:pStyle w:val="4"/>
        <w:widowControl w:val="0"/>
        <w:spacing w:before="180" w:after="180" w:line="500" w:lineRule="exact"/>
        <w:rPr>
          <w:rFonts w:ascii="Times New Roman" w:hAnsi="Times New Roman" w:eastAsia="宋体"/>
          <w:b/>
          <w:snapToGrid w:val="0"/>
          <w:color w:val="auto"/>
          <w:w w:val="99"/>
          <w:sz w:val="30"/>
          <w:szCs w:val="30"/>
          <w:highlight w:val="none"/>
        </w:rPr>
      </w:pPr>
      <w:bookmarkStart w:id="1014" w:name="_Toc21653"/>
      <w:r>
        <w:rPr>
          <w:rFonts w:ascii="Times New Roman" w:hAnsi="Times New Roman" w:eastAsia="宋体"/>
          <w:b/>
          <w:snapToGrid w:val="0"/>
          <w:color w:val="auto"/>
          <w:w w:val="99"/>
          <w:sz w:val="30"/>
          <w:szCs w:val="30"/>
          <w:highlight w:val="none"/>
        </w:rPr>
        <w:t>6</w:t>
      </w:r>
      <w:bookmarkEnd w:id="800"/>
      <w:bookmarkEnd w:id="801"/>
      <w:r>
        <w:rPr>
          <w:rFonts w:ascii="Times New Roman" w:hAnsi="Times New Roman" w:eastAsia="宋体"/>
          <w:b/>
          <w:snapToGrid w:val="0"/>
          <w:color w:val="auto"/>
          <w:w w:val="99"/>
          <w:sz w:val="30"/>
          <w:szCs w:val="30"/>
          <w:highlight w:val="none"/>
        </w:rPr>
        <w:t>环境保护措施及其可行性论证</w:t>
      </w:r>
      <w:bookmarkEnd w:id="1014"/>
    </w:p>
    <w:p w14:paraId="4F15F0F8">
      <w:pPr>
        <w:pStyle w:val="5"/>
        <w:keepNext w:val="0"/>
        <w:keepLines w:val="0"/>
        <w:widowControl w:val="0"/>
        <w:spacing w:before="120" w:after="120"/>
        <w:rPr>
          <w:rFonts w:ascii="Times New Roman" w:hAnsi="Times New Roman" w:eastAsia="宋体"/>
          <w:b/>
          <w:snapToGrid w:val="0"/>
          <w:color w:val="auto"/>
          <w:w w:val="99"/>
          <w:highlight w:val="none"/>
        </w:rPr>
      </w:pPr>
      <w:bookmarkStart w:id="1015" w:name="_Toc177403565"/>
      <w:bookmarkStart w:id="1016" w:name="_Toc189535437"/>
      <w:bookmarkStart w:id="1017" w:name="_Toc65426011"/>
      <w:bookmarkStart w:id="1018" w:name="_Toc20374"/>
      <w:bookmarkStart w:id="1019" w:name="_Toc196215813"/>
      <w:bookmarkStart w:id="1020" w:name="_Toc203373354"/>
      <w:bookmarkStart w:id="1021" w:name="_Toc225741623"/>
      <w:bookmarkStart w:id="1022" w:name="_Toc98920169"/>
      <w:bookmarkStart w:id="1023" w:name="_Toc200162815"/>
      <w:bookmarkStart w:id="1024" w:name="_Toc203113621"/>
      <w:bookmarkStart w:id="1025" w:name="_Toc201330164"/>
      <w:bookmarkStart w:id="1026" w:name="_Toc57203314"/>
      <w:bookmarkStart w:id="1027" w:name="_Toc4419"/>
      <w:bookmarkStart w:id="1028" w:name="_Toc17898242"/>
      <w:bookmarkStart w:id="1029" w:name="_Toc57707984"/>
      <w:bookmarkStart w:id="1030" w:name="_Toc57976736"/>
      <w:bookmarkStart w:id="1031" w:name="_Toc502736516"/>
      <w:bookmarkStart w:id="1032" w:name="_Toc200952546"/>
      <w:bookmarkStart w:id="1033" w:name="_Toc204572393"/>
      <w:bookmarkStart w:id="1034" w:name="_Toc83525150"/>
      <w:bookmarkStart w:id="1035" w:name="_Toc200162118"/>
      <w:r>
        <w:rPr>
          <w:rFonts w:ascii="Times New Roman" w:hAnsi="Times New Roman" w:eastAsia="宋体"/>
          <w:b/>
          <w:snapToGrid w:val="0"/>
          <w:color w:val="auto"/>
          <w:w w:val="99"/>
          <w:highlight w:val="none"/>
        </w:rPr>
        <w:t>6.1</w:t>
      </w:r>
      <w:bookmarkEnd w:id="1015"/>
      <w:bookmarkEnd w:id="1016"/>
      <w:r>
        <w:rPr>
          <w:rFonts w:ascii="Times New Roman" w:hAnsi="Times New Roman" w:eastAsia="宋体"/>
          <w:b/>
          <w:snapToGrid w:val="0"/>
          <w:color w:val="auto"/>
          <w:w w:val="99"/>
          <w:highlight w:val="none"/>
        </w:rPr>
        <w:t>污染防治措施</w:t>
      </w:r>
      <w:bookmarkEnd w:id="1017"/>
      <w:bookmarkEnd w:id="1018"/>
      <w:bookmarkEnd w:id="1019"/>
    </w:p>
    <w:p w14:paraId="17CA3595">
      <w:pPr>
        <w:pStyle w:val="7"/>
        <w:keepNext w:val="0"/>
        <w:keepLines w:val="0"/>
        <w:widowControl w:val="0"/>
        <w:spacing w:before="60" w:after="60"/>
        <w:jc w:val="both"/>
        <w:rPr>
          <w:rFonts w:eastAsia="宋体"/>
          <w:b/>
          <w:color w:val="auto"/>
          <w:w w:val="99"/>
          <w:kern w:val="2"/>
          <w:sz w:val="24"/>
          <w:szCs w:val="24"/>
          <w:highlight w:val="none"/>
        </w:rPr>
      </w:pPr>
      <w:bookmarkStart w:id="1036" w:name="_Toc67860227"/>
      <w:bookmarkStart w:id="1037" w:name="_Toc76976336"/>
      <w:bookmarkStart w:id="1038" w:name="_Toc80588344"/>
      <w:bookmarkStart w:id="1039" w:name="_Toc70050274"/>
      <w:bookmarkStart w:id="1040" w:name="_Toc83209566"/>
      <w:bookmarkStart w:id="1041" w:name="_Toc78816549"/>
      <w:bookmarkStart w:id="1042" w:name="_Toc196215814"/>
      <w:bookmarkStart w:id="1043" w:name="_Toc80971466"/>
      <w:bookmarkStart w:id="1044" w:name="_Toc186444378"/>
      <w:bookmarkStart w:id="1045" w:name="_Toc77067747"/>
      <w:r>
        <w:rPr>
          <w:rFonts w:eastAsia="宋体"/>
          <w:b/>
          <w:color w:val="auto"/>
          <w:w w:val="99"/>
          <w:kern w:val="2"/>
          <w:sz w:val="24"/>
          <w:szCs w:val="24"/>
          <w:highlight w:val="none"/>
        </w:rPr>
        <w:t>6.1.1大气污染防治措施</w:t>
      </w:r>
      <w:bookmarkEnd w:id="1036"/>
      <w:bookmarkEnd w:id="1037"/>
      <w:bookmarkEnd w:id="1038"/>
      <w:bookmarkEnd w:id="1039"/>
      <w:bookmarkEnd w:id="1040"/>
      <w:bookmarkEnd w:id="1041"/>
      <w:bookmarkEnd w:id="1042"/>
      <w:bookmarkEnd w:id="1043"/>
      <w:bookmarkEnd w:id="1044"/>
      <w:bookmarkEnd w:id="1045"/>
    </w:p>
    <w:p w14:paraId="437666A7">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6.1.1.1施工期</w:t>
      </w:r>
    </w:p>
    <w:p w14:paraId="304CE01F">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本项目施工期的环境空气影响主要来源</w:t>
      </w:r>
      <w:r>
        <w:rPr>
          <w:rFonts w:hint="eastAsia" w:ascii="Times New Roman" w:hAnsi="Times New Roman" w:eastAsia="宋体"/>
          <w:color w:val="auto"/>
          <w:w w:val="99"/>
          <w:sz w:val="24"/>
          <w:szCs w:val="24"/>
          <w:highlight w:val="none"/>
          <w:lang w:val="en-US" w:eastAsia="zh-CN"/>
        </w:rPr>
        <w:t>于</w:t>
      </w:r>
      <w:r>
        <w:rPr>
          <w:rFonts w:hint="default" w:ascii="Times New Roman" w:hAnsi="Times New Roman" w:eastAsia="宋体"/>
          <w:color w:val="auto"/>
          <w:w w:val="99"/>
          <w:sz w:val="24"/>
          <w:szCs w:val="24"/>
          <w:highlight w:val="none"/>
        </w:rPr>
        <w:t>地面工程施工时管沟开挖、道路敷设、土方堆填，站场工程地面施工、车辆运输、恢复地面等过程中产生的粉尘、二次扬尘，管道焊接过程产生的焊接烟尘，以及施工设备和运输车辆尾气。</w:t>
      </w:r>
    </w:p>
    <w:p w14:paraId="1719D54A">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w:t>
      </w:r>
      <w:r>
        <w:rPr>
          <w:rFonts w:hint="eastAsia" w:ascii="Times New Roman" w:hAnsi="Times New Roman" w:eastAsia="宋体"/>
          <w:color w:val="auto"/>
          <w:w w:val="99"/>
          <w:sz w:val="24"/>
          <w:szCs w:val="24"/>
          <w:highlight w:val="none"/>
          <w:lang w:val="en-US" w:eastAsia="zh-CN"/>
        </w:rPr>
        <w:t>1</w:t>
      </w:r>
      <w:r>
        <w:rPr>
          <w:rFonts w:hint="default" w:ascii="Times New Roman" w:hAnsi="Times New Roman" w:eastAsia="宋体"/>
          <w:color w:val="auto"/>
          <w:w w:val="99"/>
          <w:sz w:val="24"/>
          <w:szCs w:val="24"/>
          <w:highlight w:val="none"/>
        </w:rPr>
        <w:t>）施工扬尘污染防治措施</w:t>
      </w:r>
    </w:p>
    <w:p w14:paraId="55182AD5">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①</w:t>
      </w:r>
      <w:r>
        <w:rPr>
          <w:rFonts w:hint="default" w:ascii="Times New Roman" w:hAnsi="Times New Roman" w:eastAsia="宋体"/>
          <w:color w:val="auto"/>
          <w:w w:val="99"/>
          <w:sz w:val="24"/>
          <w:szCs w:val="24"/>
          <w:highlight w:val="none"/>
        </w:rPr>
        <w:t>为防止因交通运输量的增加而导致的扬尘污染，应在施工初期合理规划道路运输路线，尽量利用现有公路网络。</w:t>
      </w:r>
    </w:p>
    <w:p w14:paraId="1B301B00">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②</w:t>
      </w:r>
      <w:r>
        <w:rPr>
          <w:rFonts w:hint="default" w:ascii="Times New Roman" w:hAnsi="Times New Roman" w:eastAsia="宋体"/>
          <w:color w:val="auto"/>
          <w:w w:val="99"/>
          <w:sz w:val="24"/>
          <w:szCs w:val="24"/>
          <w:highlight w:val="none"/>
        </w:rPr>
        <w:t>运输道路、施工场地干燥时洒水抑尘，定期清扫散落在施工场地的泥土，应</w:t>
      </w:r>
      <w:r>
        <w:rPr>
          <w:rFonts w:hint="eastAsia" w:ascii="Times New Roman" w:hAnsi="Times New Roman" w:eastAsia="宋体"/>
          <w:color w:val="auto"/>
          <w:w w:val="99"/>
          <w:sz w:val="24"/>
          <w:szCs w:val="24"/>
          <w:highlight w:val="none"/>
          <w:lang w:val="en-US" w:eastAsia="zh-CN"/>
        </w:rPr>
        <w:t>采用</w:t>
      </w:r>
      <w:r>
        <w:rPr>
          <w:rFonts w:hint="default" w:ascii="Times New Roman" w:hAnsi="Times New Roman" w:eastAsia="宋体"/>
          <w:color w:val="auto"/>
          <w:w w:val="99"/>
          <w:sz w:val="24"/>
          <w:szCs w:val="24"/>
          <w:highlight w:val="none"/>
        </w:rPr>
        <w:t>湿法吸扫，严禁干扫和吹扫，以减少扬尘对周边土壤和植被的影响。</w:t>
      </w:r>
    </w:p>
    <w:p w14:paraId="1F889EE0">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③</w:t>
      </w:r>
      <w:r>
        <w:rPr>
          <w:rFonts w:hint="default" w:ascii="Times New Roman" w:hAnsi="Times New Roman" w:eastAsia="宋体"/>
          <w:color w:val="auto"/>
          <w:w w:val="99"/>
          <w:sz w:val="24"/>
          <w:szCs w:val="24"/>
          <w:highlight w:val="none"/>
        </w:rPr>
        <w:t>运料车辆在运输时，车辆应当采取苫布遮盖措施，严禁敞开式、半敞开式运输，不得装载过满，以防洒落在地，形成二次扬尘。</w:t>
      </w:r>
    </w:p>
    <w:p w14:paraId="5743C2FA">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④施工场地租赁洒水车1辆，</w:t>
      </w:r>
      <w:r>
        <w:rPr>
          <w:rFonts w:hint="default" w:ascii="Times New Roman" w:hAnsi="Times New Roman" w:eastAsia="宋体"/>
          <w:color w:val="auto"/>
          <w:w w:val="99"/>
          <w:sz w:val="24"/>
          <w:szCs w:val="24"/>
          <w:highlight w:val="none"/>
        </w:rPr>
        <w:t>土方开挖应采取遮盖、围挡、洒水等防尘措施。临时弃土集中堆放在背风侧，临时堆放土堆应采取覆盖、洒水等防尘措施；缩短土方裸露时间，且不宜堆积过久、过高，堆放过程中应在顶部加盖篷布；对易产生扬尘污染的建筑材料堆应覆盖到位。</w:t>
      </w:r>
    </w:p>
    <w:p w14:paraId="5D9BD539">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⑤</w:t>
      </w:r>
      <w:r>
        <w:rPr>
          <w:rFonts w:hint="default" w:ascii="Times New Roman" w:hAnsi="Times New Roman" w:eastAsia="宋体"/>
          <w:color w:val="auto"/>
          <w:w w:val="99"/>
          <w:sz w:val="24"/>
          <w:szCs w:val="24"/>
          <w:highlight w:val="none"/>
        </w:rPr>
        <w:t>管线尽可能沿道路走向设计，以避免施工活动对土地和地表植被的扰动；最大限度控制施工作业带宽度，避免因施工开挖加剧土地沙漠化和水土流失，同时在施工过程中定期洒水抑尘，防止施工扬尘量大对环境造成污染。</w:t>
      </w:r>
    </w:p>
    <w:p w14:paraId="3E4FD4D5">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⑥</w:t>
      </w:r>
      <w:r>
        <w:rPr>
          <w:rFonts w:hint="default" w:ascii="Times New Roman" w:hAnsi="Times New Roman" w:eastAsia="宋体"/>
          <w:color w:val="auto"/>
          <w:w w:val="99"/>
          <w:sz w:val="24"/>
          <w:szCs w:val="24"/>
          <w:highlight w:val="none"/>
        </w:rPr>
        <w:t>合理规划施工进度，及时开挖，及时回填，防止弃土风化失水而起沙起尘；遇大风天气应停止土方工程施工作业。</w:t>
      </w:r>
    </w:p>
    <w:p w14:paraId="17A4C327">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⑦</w:t>
      </w:r>
      <w:r>
        <w:rPr>
          <w:rFonts w:hint="default" w:ascii="Times New Roman" w:hAnsi="Times New Roman" w:eastAsia="宋体"/>
          <w:color w:val="auto"/>
          <w:w w:val="99"/>
          <w:sz w:val="24"/>
          <w:szCs w:val="24"/>
          <w:highlight w:val="none"/>
        </w:rPr>
        <w:t>施工结束后，应及时进行施工场地的清理，清除积土、堆物。</w:t>
      </w:r>
    </w:p>
    <w:p w14:paraId="26DF657E">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⑧</w:t>
      </w:r>
      <w:r>
        <w:rPr>
          <w:rFonts w:hint="default" w:ascii="Times New Roman" w:hAnsi="Times New Roman" w:eastAsia="宋体"/>
          <w:color w:val="auto"/>
          <w:w w:val="99"/>
          <w:sz w:val="24"/>
          <w:szCs w:val="24"/>
          <w:highlight w:val="none"/>
        </w:rPr>
        <w:t>禁止占用保护区用地。</w:t>
      </w:r>
    </w:p>
    <w:p w14:paraId="634560B2">
      <w:pPr>
        <w:widowControl w:val="0"/>
        <w:spacing w:line="440" w:lineRule="exact"/>
        <w:ind w:firstLine="474" w:firstLineChars="200"/>
        <w:jc w:val="both"/>
        <w:rPr>
          <w:rFonts w:ascii="Times New Roman" w:hAnsi="Times New Roman" w:cs="Times New Roman"/>
          <w:color w:val="auto"/>
          <w:w w:val="99"/>
          <w:kern w:val="2"/>
          <w:highlight w:val="none"/>
        </w:rPr>
      </w:pPr>
      <w:r>
        <w:rPr>
          <w:rFonts w:ascii="Times New Roman" w:hAnsi="Times New Roman" w:cs="Times New Roman"/>
          <w:color w:val="auto"/>
          <w:w w:val="99"/>
          <w:kern w:val="2"/>
          <w:highlight w:val="none"/>
        </w:rPr>
        <w:t>（</w:t>
      </w:r>
      <w:r>
        <w:rPr>
          <w:rFonts w:hint="eastAsia" w:ascii="Times New Roman" w:hAnsi="Times New Roman" w:cs="Times New Roman"/>
          <w:color w:val="auto"/>
          <w:w w:val="99"/>
          <w:kern w:val="2"/>
          <w:highlight w:val="none"/>
          <w:lang w:val="en-US" w:eastAsia="zh-CN"/>
        </w:rPr>
        <w:t>2</w:t>
      </w:r>
      <w:r>
        <w:rPr>
          <w:rFonts w:ascii="Times New Roman" w:hAnsi="Times New Roman" w:cs="Times New Roman"/>
          <w:color w:val="auto"/>
          <w:w w:val="99"/>
          <w:kern w:val="2"/>
          <w:highlight w:val="none"/>
        </w:rPr>
        <w:t>）施工车辆尾气</w:t>
      </w:r>
    </w:p>
    <w:p w14:paraId="779B8944">
      <w:pPr>
        <w:pStyle w:val="103"/>
        <w:spacing w:line="440" w:lineRule="exact"/>
        <w:ind w:firstLine="474" w:firstLineChars="200"/>
        <w:rPr>
          <w:rFonts w:ascii="Times New Roman" w:hAnsi="Times New Roman" w:cs="Times New Roman"/>
          <w:color w:val="auto"/>
          <w:w w:val="99"/>
          <w:sz w:val="32"/>
          <w:highlight w:val="none"/>
        </w:rPr>
      </w:pPr>
      <w:r>
        <w:rPr>
          <w:rFonts w:ascii="Times New Roman" w:hAnsi="Times New Roman" w:cs="Times New Roman"/>
          <w:bCs/>
          <w:color w:val="auto"/>
          <w:w w:val="99"/>
          <w:kern w:val="2"/>
          <w:szCs w:val="24"/>
          <w:highlight w:val="none"/>
        </w:rPr>
        <w:t>施工井场运输车辆尾气含有 NO</w:t>
      </w:r>
      <w:r>
        <w:rPr>
          <w:rFonts w:ascii="Times New Roman" w:hAnsi="Times New Roman" w:cs="Times New Roman"/>
          <w:bCs/>
          <w:color w:val="auto"/>
          <w:w w:val="99"/>
          <w:kern w:val="2"/>
          <w:szCs w:val="24"/>
          <w:highlight w:val="none"/>
          <w:vertAlign w:val="subscript"/>
        </w:rPr>
        <w:t>2</w:t>
      </w:r>
      <w:r>
        <w:rPr>
          <w:rFonts w:ascii="Times New Roman" w:hAnsi="Times New Roman" w:cs="Times New Roman"/>
          <w:bCs/>
          <w:color w:val="auto"/>
          <w:w w:val="99"/>
          <w:kern w:val="2"/>
          <w:szCs w:val="24"/>
          <w:highlight w:val="none"/>
        </w:rPr>
        <w:t>、CO、THC 等污染物，一般情况下，各种污染物的排放量不大，对周围环境的影响较小。运输车辆在野外作业区时有利于尾气扩散，不会对环境产生污染。</w:t>
      </w:r>
    </w:p>
    <w:p w14:paraId="24EDF888">
      <w:pPr>
        <w:pStyle w:val="104"/>
        <w:snapToGrid/>
        <w:spacing w:line="440" w:lineRule="exact"/>
        <w:ind w:left="0" w:firstLine="414" w:firstLineChars="200"/>
        <w:jc w:val="both"/>
        <w:rPr>
          <w:rFonts w:hint="default" w:ascii="Times New Roman" w:hAnsi="Times New Roman" w:eastAsia="宋体"/>
          <w:color w:val="auto"/>
          <w:w w:val="99"/>
          <w:sz w:val="24"/>
          <w:szCs w:val="24"/>
          <w:highlight w:val="none"/>
        </w:rPr>
      </w:pPr>
      <w:r>
        <w:rPr>
          <w:rFonts w:hint="default" w:ascii="Times New Roman" w:hAnsi="Times New Roman"/>
          <w:color w:val="auto"/>
          <w:w w:val="99"/>
          <w:highlight w:val="none"/>
        </w:rPr>
        <w:t>（</w:t>
      </w:r>
      <w:r>
        <w:rPr>
          <w:rFonts w:hint="eastAsia" w:ascii="Times New Roman" w:hAnsi="Times New Roman"/>
          <w:color w:val="auto"/>
          <w:w w:val="99"/>
          <w:highlight w:val="none"/>
          <w:lang w:val="en-US" w:eastAsia="zh-CN"/>
        </w:rPr>
        <w:t>3</w:t>
      </w:r>
      <w:r>
        <w:rPr>
          <w:rFonts w:hint="default" w:ascii="Times New Roman" w:hAnsi="Times New Roman"/>
          <w:color w:val="auto"/>
          <w:w w:val="99"/>
          <w:highlight w:val="none"/>
        </w:rPr>
        <w:t>）</w:t>
      </w:r>
      <w:r>
        <w:rPr>
          <w:rFonts w:hint="default" w:ascii="Times New Roman" w:hAnsi="Times New Roman" w:eastAsia="宋体"/>
          <w:color w:val="auto"/>
          <w:w w:val="99"/>
          <w:sz w:val="24"/>
          <w:szCs w:val="24"/>
          <w:highlight w:val="none"/>
        </w:rPr>
        <w:t>焊接烟尘</w:t>
      </w:r>
    </w:p>
    <w:p w14:paraId="58643293">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本项目管线在焊接过程中将会有焊接烟气产生，主要污染物为颗粒物。施工过程中焊接烟尘主要集中在作业现场附近，本项目管道焊接采用分段焊接、分段组装的方式，焊接烟气比较分散，且施工场地较为空旷，焊接烟尘排放量较小，经大气扩散后对环境及环境保护目标的影响较小。</w:t>
      </w:r>
    </w:p>
    <w:p w14:paraId="489F6030">
      <w:pPr>
        <w:keepNext w:val="0"/>
        <w:keepLines w:val="0"/>
        <w:pageBreakBefore w:val="0"/>
        <w:widowControl/>
        <w:suppressLineNumbers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
          <w:sz w:val="24"/>
          <w:szCs w:val="24"/>
          <w:highlight w:val="none"/>
          <w:lang w:val="en-US" w:eastAsia="zh-CN" w:bidi="ar-SA"/>
        </w:rPr>
      </w:pPr>
      <w:r>
        <w:rPr>
          <w:rFonts w:hint="eastAsia" w:ascii="Times New Roman" w:hAnsi="Times New Roman" w:eastAsia="宋体" w:cs="Times New Roman"/>
          <w:color w:val="auto"/>
          <w:w w:val="99"/>
          <w:kern w:val="2"/>
          <w:sz w:val="24"/>
          <w:szCs w:val="24"/>
          <w:highlight w:val="none"/>
          <w:lang w:val="en-US" w:eastAsia="zh-CN" w:bidi="ar-SA"/>
        </w:rPr>
        <w:t>施工期采取的上述技术方案是施工过程中常见的扬尘和大气污染防治措施，技术可行，采取以上大气污染防治措施后，能够确保施工场界颗粒物浓度满足《大气污染物综合排放标准》（</w:t>
      </w:r>
      <w:r>
        <w:rPr>
          <w:rFonts w:hint="default" w:ascii="Times New Roman" w:hAnsi="Times New Roman" w:eastAsia="宋体" w:cs="Times New Roman"/>
          <w:color w:val="auto"/>
          <w:w w:val="99"/>
          <w:kern w:val="2"/>
          <w:sz w:val="24"/>
          <w:szCs w:val="24"/>
          <w:highlight w:val="none"/>
          <w:lang w:val="en-US" w:eastAsia="zh-CN" w:bidi="ar-SA"/>
        </w:rPr>
        <w:t>GB16297-1996</w:t>
      </w:r>
      <w:r>
        <w:rPr>
          <w:rFonts w:hint="eastAsia" w:ascii="Times New Roman" w:hAnsi="Times New Roman" w:eastAsia="宋体" w:cs="Times New Roman"/>
          <w:color w:val="auto"/>
          <w:w w:val="99"/>
          <w:kern w:val="2"/>
          <w:sz w:val="24"/>
          <w:szCs w:val="24"/>
          <w:highlight w:val="none"/>
          <w:lang w:val="en-US" w:eastAsia="zh-CN" w:bidi="ar-SA"/>
        </w:rPr>
        <w:t xml:space="preserve">）中表 </w:t>
      </w:r>
      <w:r>
        <w:rPr>
          <w:rFonts w:hint="default" w:ascii="Times New Roman" w:hAnsi="Times New Roman" w:eastAsia="宋体" w:cs="Times New Roman"/>
          <w:color w:val="auto"/>
          <w:w w:val="99"/>
          <w:kern w:val="2"/>
          <w:sz w:val="24"/>
          <w:szCs w:val="24"/>
          <w:highlight w:val="none"/>
          <w:lang w:val="en-US" w:eastAsia="zh-CN" w:bidi="ar-SA"/>
        </w:rPr>
        <w:t xml:space="preserve">2 </w:t>
      </w:r>
      <w:r>
        <w:rPr>
          <w:rFonts w:hint="eastAsia" w:ascii="Times New Roman" w:hAnsi="Times New Roman" w:eastAsia="宋体" w:cs="Times New Roman"/>
          <w:color w:val="auto"/>
          <w:w w:val="99"/>
          <w:kern w:val="2"/>
          <w:sz w:val="24"/>
          <w:szCs w:val="24"/>
          <w:highlight w:val="none"/>
          <w:lang w:val="en-US" w:eastAsia="zh-CN" w:bidi="ar-SA"/>
        </w:rPr>
        <w:t>无组织排放监控浓度限值要求，不会对大气环境产生较大影响，施工期大气污染防治措施可行。</w:t>
      </w:r>
    </w:p>
    <w:p w14:paraId="4D2BD140">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6.1.1.2运营期</w:t>
      </w:r>
    </w:p>
    <w:p w14:paraId="2507571F">
      <w:pPr>
        <w:pStyle w:val="104"/>
        <w:snapToGrid/>
        <w:spacing w:line="50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本工程运营期的大气污染主要来自</w:t>
      </w:r>
      <w:r>
        <w:rPr>
          <w:rFonts w:hint="eastAsia" w:ascii="Times New Roman" w:hAnsi="Times New Roman" w:eastAsia="宋体"/>
          <w:color w:val="auto"/>
          <w:w w:val="99"/>
          <w:sz w:val="24"/>
          <w:szCs w:val="24"/>
          <w:highlight w:val="none"/>
          <w:lang w:val="en-US" w:eastAsia="zh-CN"/>
        </w:rPr>
        <w:t>天然气输送</w:t>
      </w:r>
      <w:r>
        <w:rPr>
          <w:rFonts w:hint="default" w:ascii="Times New Roman" w:hAnsi="Times New Roman" w:eastAsia="宋体"/>
          <w:color w:val="auto"/>
          <w:w w:val="99"/>
          <w:sz w:val="24"/>
          <w:szCs w:val="24"/>
          <w:highlight w:val="none"/>
        </w:rPr>
        <w:t>过程中井场</w:t>
      </w:r>
      <w:r>
        <w:rPr>
          <w:rFonts w:hint="eastAsia" w:ascii="Times New Roman" w:hAnsi="Times New Roman" w:eastAsia="宋体"/>
          <w:color w:val="auto"/>
          <w:w w:val="99"/>
          <w:sz w:val="24"/>
          <w:szCs w:val="24"/>
          <w:highlight w:val="none"/>
          <w:lang w:val="en-US" w:eastAsia="zh-CN"/>
        </w:rPr>
        <w:t>及依托场站</w:t>
      </w:r>
      <w:r>
        <w:rPr>
          <w:rFonts w:hint="default" w:ascii="Times New Roman" w:hAnsi="Times New Roman" w:eastAsia="宋体"/>
          <w:color w:val="auto"/>
          <w:w w:val="99"/>
          <w:sz w:val="24"/>
          <w:szCs w:val="24"/>
          <w:highlight w:val="none"/>
        </w:rPr>
        <w:t>无组织挥发的烃类气体，场站加热装置燃烧烟气。</w:t>
      </w:r>
    </w:p>
    <w:p w14:paraId="25A6160E">
      <w:pPr>
        <w:pStyle w:val="104"/>
        <w:snapToGrid/>
        <w:spacing w:line="50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（1）挥发性有机物污染防治措施</w:t>
      </w:r>
    </w:p>
    <w:p w14:paraId="673CF076">
      <w:pPr>
        <w:keepNext w:val="0"/>
        <w:keepLines w:val="0"/>
        <w:pageBreakBefore w:val="0"/>
        <w:widowControl w:val="0"/>
        <w:kinsoku/>
        <w:wordWrap/>
        <w:overflowPunct/>
        <w:topLinePunct w:val="0"/>
        <w:autoSpaceDE/>
        <w:autoSpaceDN/>
        <w:bidi w:val="0"/>
        <w:adjustRightInd/>
        <w:snapToGrid/>
        <w:spacing w:after="0" w:line="440" w:lineRule="exact"/>
        <w:ind w:firstLine="474" w:firstLineChars="200"/>
        <w:jc w:val="both"/>
        <w:textAlignment w:val="auto"/>
        <w:rPr>
          <w:rFonts w:hint="default" w:ascii="Times New Roman" w:hAnsi="Times New Roman" w:eastAsia="宋体" w:cs="Times New Roman"/>
          <w:color w:val="auto"/>
          <w:w w:val="99"/>
          <w:kern w:val="2"/>
          <w:sz w:val="24"/>
          <w:szCs w:val="24"/>
          <w:highlight w:val="none"/>
          <w:lang w:val="en-US" w:eastAsia="zh-CN" w:bidi="ar-SA"/>
        </w:rPr>
      </w:pPr>
      <w:r>
        <w:rPr>
          <w:rFonts w:hint="eastAsia" w:ascii="Times New Roman" w:hAnsi="Times New Roman" w:eastAsia="宋体" w:cs="Times New Roman"/>
          <w:color w:val="auto"/>
          <w:w w:val="99"/>
          <w:kern w:val="2"/>
          <w:sz w:val="24"/>
          <w:szCs w:val="24"/>
          <w:highlight w:val="none"/>
          <w:lang w:val="en-US" w:eastAsia="zh-CN" w:bidi="ar-SA"/>
        </w:rPr>
        <w:t>①</w:t>
      </w:r>
      <w:r>
        <w:rPr>
          <w:rFonts w:hint="default" w:ascii="Times New Roman" w:hAnsi="Times New Roman" w:eastAsia="宋体" w:cs="Times New Roman"/>
          <w:color w:val="auto"/>
          <w:w w:val="99"/>
          <w:kern w:val="2"/>
          <w:sz w:val="24"/>
          <w:szCs w:val="24"/>
          <w:highlight w:val="none"/>
          <w:lang w:val="en-US" w:eastAsia="zh-CN" w:bidi="ar-SA"/>
        </w:rPr>
        <w:t>采用合理工艺，选用优质材料，管道及设备在设计时充分考虑抗震，保证正常生产无泄露。</w:t>
      </w:r>
    </w:p>
    <w:p w14:paraId="56C9423A">
      <w:pPr>
        <w:keepNext w:val="0"/>
        <w:keepLines w:val="0"/>
        <w:pageBreakBefore w:val="0"/>
        <w:widowControl w:val="0"/>
        <w:kinsoku/>
        <w:wordWrap/>
        <w:overflowPunct/>
        <w:topLinePunct w:val="0"/>
        <w:autoSpaceDE/>
        <w:autoSpaceDN/>
        <w:bidi w:val="0"/>
        <w:adjustRightInd/>
        <w:snapToGrid/>
        <w:spacing w:after="0" w:line="440" w:lineRule="exact"/>
        <w:ind w:firstLine="474" w:firstLineChars="200"/>
        <w:jc w:val="both"/>
        <w:textAlignment w:val="auto"/>
        <w:rPr>
          <w:rFonts w:hint="default" w:ascii="Times New Roman" w:hAnsi="Times New Roman" w:eastAsia="宋体" w:cs="Times New Roman"/>
          <w:color w:val="auto"/>
          <w:w w:val="99"/>
          <w:kern w:val="2"/>
          <w:sz w:val="24"/>
          <w:szCs w:val="24"/>
          <w:highlight w:val="none"/>
          <w:lang w:val="en-US" w:eastAsia="zh-CN" w:bidi="ar-SA"/>
        </w:rPr>
      </w:pPr>
      <w:r>
        <w:rPr>
          <w:rFonts w:hint="eastAsia" w:ascii="Times New Roman" w:hAnsi="Times New Roman" w:eastAsia="宋体" w:cs="Times New Roman"/>
          <w:color w:val="auto"/>
          <w:w w:val="99"/>
          <w:kern w:val="2"/>
          <w:sz w:val="24"/>
          <w:szCs w:val="24"/>
          <w:highlight w:val="none"/>
          <w:lang w:val="en-US" w:eastAsia="zh-CN" w:bidi="ar-SA"/>
        </w:rPr>
        <w:t>②</w:t>
      </w:r>
      <w:r>
        <w:rPr>
          <w:rFonts w:hint="default" w:ascii="Times New Roman" w:hAnsi="Times New Roman" w:eastAsia="宋体" w:cs="Times New Roman"/>
          <w:color w:val="auto"/>
          <w:w w:val="99"/>
          <w:kern w:val="2"/>
          <w:sz w:val="24"/>
          <w:szCs w:val="24"/>
          <w:highlight w:val="none"/>
          <w:lang w:val="en-US" w:eastAsia="zh-CN" w:bidi="ar-SA"/>
        </w:rPr>
        <w:t>井口安装密封垫，</w:t>
      </w:r>
      <w:r>
        <w:rPr>
          <w:rFonts w:hint="eastAsia" w:ascii="Times New Roman" w:hAnsi="Times New Roman" w:eastAsia="宋体" w:cs="Times New Roman"/>
          <w:color w:val="auto"/>
          <w:w w:val="99"/>
          <w:kern w:val="2"/>
          <w:sz w:val="24"/>
          <w:szCs w:val="24"/>
          <w:highlight w:val="none"/>
          <w:lang w:val="en-US" w:eastAsia="zh-CN" w:bidi="ar-SA"/>
        </w:rPr>
        <w:t>天然气</w:t>
      </w:r>
      <w:r>
        <w:rPr>
          <w:rFonts w:hint="default" w:ascii="Times New Roman" w:hAnsi="Times New Roman" w:eastAsia="宋体" w:cs="Times New Roman"/>
          <w:color w:val="auto"/>
          <w:w w:val="99"/>
          <w:kern w:val="2"/>
          <w:sz w:val="24"/>
          <w:szCs w:val="24"/>
          <w:highlight w:val="none"/>
          <w:lang w:val="en-US" w:eastAsia="zh-CN" w:bidi="ar-SA"/>
        </w:rPr>
        <w:t>集输采用密闭流程，最大限度降低烃类气体的挥发。</w:t>
      </w:r>
    </w:p>
    <w:p w14:paraId="3E8C1513">
      <w:pPr>
        <w:keepNext w:val="0"/>
        <w:keepLines w:val="0"/>
        <w:pageBreakBefore w:val="0"/>
        <w:widowControl w:val="0"/>
        <w:kinsoku/>
        <w:wordWrap/>
        <w:overflowPunct/>
        <w:topLinePunct w:val="0"/>
        <w:autoSpaceDE/>
        <w:autoSpaceDN/>
        <w:bidi w:val="0"/>
        <w:adjustRightInd/>
        <w:snapToGrid/>
        <w:spacing w:after="0" w:line="440" w:lineRule="exact"/>
        <w:ind w:firstLine="474" w:firstLineChars="200"/>
        <w:jc w:val="both"/>
        <w:textAlignment w:val="auto"/>
        <w:rPr>
          <w:rFonts w:hint="default" w:ascii="Times New Roman" w:hAnsi="Times New Roman" w:eastAsia="宋体" w:cs="Times New Roman"/>
          <w:color w:val="auto"/>
          <w:w w:val="99"/>
          <w:kern w:val="2"/>
          <w:sz w:val="24"/>
          <w:szCs w:val="24"/>
          <w:highlight w:val="none"/>
          <w:lang w:val="en-US" w:eastAsia="zh-CN" w:bidi="ar-SA"/>
        </w:rPr>
      </w:pPr>
      <w:r>
        <w:rPr>
          <w:rFonts w:hint="eastAsia" w:ascii="Times New Roman" w:hAnsi="Times New Roman" w:eastAsia="宋体" w:cs="Times New Roman"/>
          <w:color w:val="auto"/>
          <w:w w:val="99"/>
          <w:kern w:val="2"/>
          <w:sz w:val="24"/>
          <w:szCs w:val="24"/>
          <w:highlight w:val="none"/>
          <w:lang w:val="en-US" w:eastAsia="zh-CN" w:bidi="ar-SA"/>
        </w:rPr>
        <w:t>③</w:t>
      </w:r>
      <w:r>
        <w:rPr>
          <w:rFonts w:hint="default" w:ascii="Times New Roman" w:hAnsi="Times New Roman" w:eastAsia="宋体" w:cs="Times New Roman"/>
          <w:color w:val="auto"/>
          <w:w w:val="99"/>
          <w:kern w:val="2"/>
          <w:sz w:val="24"/>
          <w:szCs w:val="24"/>
          <w:highlight w:val="none"/>
          <w:lang w:val="en-US" w:eastAsia="zh-CN" w:bidi="ar-SA"/>
        </w:rPr>
        <w:t>定期对依托场站内设备和管道进行检查、维修和保养，</w:t>
      </w:r>
      <w:r>
        <w:rPr>
          <w:rFonts w:hint="eastAsia" w:ascii="Times New Roman" w:hAnsi="Times New Roman" w:eastAsia="宋体" w:cs="Times New Roman"/>
          <w:color w:val="auto"/>
          <w:w w:val="99"/>
          <w:kern w:val="2"/>
          <w:sz w:val="24"/>
          <w:szCs w:val="24"/>
          <w:highlight w:val="none"/>
          <w:lang w:val="en-US" w:eastAsia="zh-CN" w:bidi="ar-SA"/>
        </w:rPr>
        <w:t>设备</w:t>
      </w:r>
      <w:r>
        <w:rPr>
          <w:rFonts w:hint="default" w:ascii="Times New Roman" w:hAnsi="Times New Roman" w:eastAsia="宋体" w:cs="Times New Roman"/>
          <w:color w:val="auto"/>
          <w:w w:val="99"/>
          <w:kern w:val="2"/>
          <w:sz w:val="24"/>
          <w:szCs w:val="24"/>
          <w:highlight w:val="none"/>
          <w:lang w:val="en-US" w:eastAsia="zh-CN" w:bidi="ar-SA"/>
        </w:rPr>
        <w:t>平稳运行，控制烃类气体的无组织挥发。</w:t>
      </w:r>
    </w:p>
    <w:p w14:paraId="7CD9713E">
      <w:pPr>
        <w:keepNext w:val="0"/>
        <w:keepLines w:val="0"/>
        <w:pageBreakBefore w:val="0"/>
        <w:widowControl w:val="0"/>
        <w:kinsoku/>
        <w:wordWrap/>
        <w:overflowPunct/>
        <w:topLinePunct w:val="0"/>
        <w:autoSpaceDE/>
        <w:autoSpaceDN/>
        <w:bidi w:val="0"/>
        <w:adjustRightInd/>
        <w:snapToGrid/>
        <w:spacing w:after="0" w:line="440" w:lineRule="exact"/>
        <w:ind w:firstLine="474" w:firstLineChars="200"/>
        <w:jc w:val="both"/>
        <w:textAlignment w:val="auto"/>
        <w:rPr>
          <w:rFonts w:hint="default" w:ascii="Times New Roman" w:hAnsi="Times New Roman" w:eastAsia="宋体" w:cs="Times New Roman"/>
          <w:color w:val="auto"/>
          <w:w w:val="99"/>
          <w:kern w:val="2"/>
          <w:sz w:val="24"/>
          <w:szCs w:val="24"/>
          <w:highlight w:val="none"/>
          <w:lang w:val="en-US" w:eastAsia="zh-CN" w:bidi="ar-SA"/>
        </w:rPr>
      </w:pPr>
      <w:r>
        <w:rPr>
          <w:rFonts w:hint="eastAsia" w:ascii="Times New Roman" w:hAnsi="Times New Roman" w:eastAsia="宋体" w:cs="Times New Roman"/>
          <w:color w:val="auto"/>
          <w:w w:val="99"/>
          <w:kern w:val="2"/>
          <w:sz w:val="24"/>
          <w:szCs w:val="24"/>
          <w:highlight w:val="none"/>
          <w:lang w:val="en-US" w:eastAsia="zh-CN" w:bidi="ar-SA"/>
        </w:rPr>
        <w:t>④</w:t>
      </w:r>
      <w:r>
        <w:rPr>
          <w:rFonts w:hint="default" w:ascii="Times New Roman" w:hAnsi="Times New Roman" w:eastAsia="宋体" w:cs="Times New Roman"/>
          <w:color w:val="auto"/>
          <w:w w:val="99"/>
          <w:kern w:val="2"/>
          <w:sz w:val="24"/>
          <w:szCs w:val="24"/>
          <w:highlight w:val="none"/>
          <w:lang w:val="en-US" w:eastAsia="zh-CN" w:bidi="ar-SA"/>
        </w:rPr>
        <w:t>加强天然气放空的管理：定期对设备进行维修保养，保证天然气处理设施的平稳运行，尽量减少事故性天然气放空；在进行放空时，采取通过火炬点燃，经过充分燃烧，并控制放空量，在系统可承受的压力范围内时应停止放空。</w:t>
      </w:r>
    </w:p>
    <w:p w14:paraId="1DB1B330">
      <w:pPr>
        <w:keepNext w:val="0"/>
        <w:keepLines w:val="0"/>
        <w:pageBreakBefore w:val="0"/>
        <w:widowControl w:val="0"/>
        <w:kinsoku/>
        <w:wordWrap/>
        <w:overflowPunct/>
        <w:topLinePunct w:val="0"/>
        <w:autoSpaceDE/>
        <w:autoSpaceDN/>
        <w:bidi w:val="0"/>
        <w:adjustRightInd/>
        <w:snapToGrid/>
        <w:spacing w:after="0" w:line="440" w:lineRule="exact"/>
        <w:ind w:firstLine="474" w:firstLineChars="200"/>
        <w:jc w:val="both"/>
        <w:textAlignment w:val="auto"/>
        <w:rPr>
          <w:rFonts w:hint="default" w:ascii="Times New Roman" w:hAnsi="Times New Roman" w:eastAsia="宋体" w:cs="Times New Roman"/>
          <w:color w:val="auto"/>
          <w:w w:val="99"/>
          <w:kern w:val="2"/>
          <w:sz w:val="24"/>
          <w:szCs w:val="24"/>
          <w:highlight w:val="none"/>
          <w:lang w:val="en-US" w:eastAsia="zh-CN" w:bidi="ar-SA"/>
        </w:rPr>
      </w:pPr>
      <w:r>
        <w:rPr>
          <w:rFonts w:hint="eastAsia" w:ascii="Times New Roman" w:hAnsi="Times New Roman" w:eastAsia="宋体" w:cs="Times New Roman"/>
          <w:color w:val="auto"/>
          <w:w w:val="99"/>
          <w:kern w:val="2"/>
          <w:sz w:val="24"/>
          <w:szCs w:val="24"/>
          <w:highlight w:val="none"/>
          <w:lang w:val="en-US" w:eastAsia="zh-CN" w:bidi="ar-SA"/>
        </w:rPr>
        <w:t>⑤</w:t>
      </w:r>
      <w:r>
        <w:rPr>
          <w:rFonts w:hint="eastAsia" w:ascii="Times New Roman" w:hAnsi="Times New Roman" w:cs="Times New Roman"/>
          <w:color w:val="auto"/>
          <w:w w:val="99"/>
          <w:kern w:val="2"/>
          <w:sz w:val="24"/>
          <w:szCs w:val="24"/>
          <w:highlight w:val="none"/>
          <w:lang w:val="en-US" w:eastAsia="zh-CN" w:bidi="ar-SA"/>
        </w:rPr>
        <w:t>天然气</w:t>
      </w:r>
      <w:r>
        <w:rPr>
          <w:rFonts w:hint="eastAsia" w:ascii="Times New Roman" w:hAnsi="Times New Roman" w:eastAsia="宋体" w:cs="Times New Roman"/>
          <w:color w:val="auto"/>
          <w:w w:val="99"/>
          <w:kern w:val="2"/>
          <w:sz w:val="24"/>
          <w:szCs w:val="24"/>
          <w:highlight w:val="none"/>
          <w:lang w:val="en-US" w:eastAsia="zh-CN" w:bidi="ar-SA"/>
        </w:rPr>
        <w:t>分离的污水进入污水罐暂存，经管线输送至徐深</w:t>
      </w:r>
      <w:r>
        <w:rPr>
          <w:rFonts w:hint="eastAsia" w:ascii="Times New Roman" w:hAnsi="Times New Roman" w:cs="Times New Roman"/>
          <w:color w:val="auto"/>
          <w:w w:val="99"/>
          <w:kern w:val="2"/>
          <w:sz w:val="24"/>
          <w:szCs w:val="24"/>
          <w:highlight w:val="none"/>
          <w:lang w:val="en-US" w:eastAsia="zh-CN" w:bidi="ar-SA"/>
        </w:rPr>
        <w:t>27</w:t>
      </w:r>
      <w:r>
        <w:rPr>
          <w:rFonts w:hint="eastAsia" w:ascii="Times New Roman" w:hAnsi="Times New Roman" w:eastAsia="宋体" w:cs="Times New Roman"/>
          <w:color w:val="auto"/>
          <w:w w:val="99"/>
          <w:kern w:val="2"/>
          <w:sz w:val="24"/>
          <w:szCs w:val="24"/>
          <w:highlight w:val="none"/>
          <w:lang w:val="en-US" w:eastAsia="zh-CN" w:bidi="ar-SA"/>
        </w:rPr>
        <w:t>集气站汇集，再经管线进入升一联气田污水预处理站，该站内储罐采用固定顶罐，其运行维护要求应满足</w:t>
      </w:r>
      <w:r>
        <w:rPr>
          <w:rFonts w:hint="default" w:ascii="Times New Roman" w:hAnsi="Times New Roman" w:eastAsia="宋体" w:cs="Times New Roman"/>
          <w:color w:val="auto"/>
          <w:w w:val="99"/>
          <w:kern w:val="2"/>
          <w:sz w:val="24"/>
          <w:szCs w:val="24"/>
          <w:highlight w:val="none"/>
          <w:lang w:val="en-US" w:eastAsia="zh-CN" w:bidi="ar-SA"/>
        </w:rPr>
        <w:t>《陆上石油天然气开采工业大气污染物排放标准》（GB39728-2020）中</w:t>
      </w:r>
      <w:r>
        <w:rPr>
          <w:rFonts w:hint="eastAsia" w:ascii="Times New Roman" w:hAnsi="Times New Roman" w:eastAsia="宋体" w:cs="Times New Roman"/>
          <w:color w:val="auto"/>
          <w:w w:val="99"/>
          <w:kern w:val="2"/>
          <w:sz w:val="24"/>
          <w:szCs w:val="24"/>
          <w:highlight w:val="none"/>
          <w:lang w:val="en-US" w:eastAsia="zh-CN" w:bidi="ar-SA"/>
        </w:rPr>
        <w:t>5.2.3.2和5.2.3.3要求，整个污水处理工艺为密闭处理流程，减少了非甲烷总烃的逸散</w:t>
      </w:r>
      <w:r>
        <w:rPr>
          <w:rFonts w:hint="default" w:ascii="Times New Roman" w:hAnsi="Times New Roman" w:eastAsia="宋体" w:cs="Times New Roman"/>
          <w:color w:val="auto"/>
          <w:w w:val="99"/>
          <w:kern w:val="2"/>
          <w:sz w:val="24"/>
          <w:szCs w:val="24"/>
          <w:highlight w:val="none"/>
          <w:lang w:val="en-US" w:eastAsia="zh-CN" w:bidi="ar-SA"/>
        </w:rPr>
        <w:t>。</w:t>
      </w:r>
    </w:p>
    <w:p w14:paraId="13EC785F">
      <w:pPr>
        <w:pStyle w:val="104"/>
        <w:snapToGrid/>
        <w:spacing w:line="50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s="Times New Roman"/>
          <w:color w:val="auto"/>
          <w:w w:val="99"/>
          <w:kern w:val="2"/>
          <w:sz w:val="24"/>
          <w:szCs w:val="24"/>
          <w:highlight w:val="none"/>
          <w:lang w:val="en-US" w:eastAsia="zh-CN" w:bidi="ar-SA"/>
        </w:rPr>
        <w:t>⑥</w:t>
      </w:r>
      <w:r>
        <w:rPr>
          <w:rFonts w:hint="eastAsia" w:ascii="宋体" w:hAnsi="宋体" w:eastAsia="宋体" w:cs="宋体"/>
          <w:color w:val="auto"/>
          <w:w w:val="99"/>
          <w:sz w:val="24"/>
          <w:szCs w:val="24"/>
          <w:highlight w:val="none"/>
          <w:lang w:val="en-US" w:eastAsia="zh-CN"/>
        </w:rPr>
        <w:t>甲醇</w:t>
      </w:r>
      <w:r>
        <w:rPr>
          <w:rFonts w:hint="default" w:ascii="Times New Roman" w:hAnsi="Times New Roman" w:eastAsia="宋体"/>
          <w:color w:val="auto"/>
          <w:w w:val="99"/>
          <w:sz w:val="24"/>
          <w:szCs w:val="24"/>
          <w:highlight w:val="none"/>
        </w:rPr>
        <w:t>罐体应保持完好，不应有孔洞和裂隙；应定期检查呼吸阀的定压是否符合设定要求；储罐附件开口（孔），除采样、计量、例行检查、维护和其他正常活动外，应密闭；</w:t>
      </w:r>
      <w:r>
        <w:rPr>
          <w:rFonts w:hint="eastAsia" w:ascii="Times New Roman" w:hAnsi="Times New Roman" w:eastAsia="宋体"/>
          <w:color w:val="auto"/>
          <w:w w:val="99"/>
          <w:sz w:val="24"/>
          <w:szCs w:val="24"/>
          <w:highlight w:val="none"/>
          <w:lang w:val="en-US" w:eastAsia="zh-CN"/>
        </w:rPr>
        <w:t>甲醇</w:t>
      </w:r>
      <w:r>
        <w:rPr>
          <w:rFonts w:hint="eastAsia" w:ascii="Times New Roman" w:hAnsi="Times New Roman" w:eastAsia="宋体" w:cs="Times New Roman"/>
          <w:color w:val="auto"/>
          <w:w w:val="99"/>
          <w:kern w:val="2"/>
          <w:sz w:val="24"/>
          <w:szCs w:val="24"/>
          <w:highlight w:val="none"/>
          <w:lang w:val="en-US" w:eastAsia="zh-CN" w:bidi="ar-SA"/>
        </w:rPr>
        <w:t>储罐采用固定顶罐，其运行维护要求应满足</w:t>
      </w:r>
      <w:r>
        <w:rPr>
          <w:rFonts w:hint="default" w:ascii="Times New Roman" w:hAnsi="Times New Roman" w:eastAsia="宋体" w:cs="Times New Roman"/>
          <w:color w:val="auto"/>
          <w:w w:val="99"/>
          <w:kern w:val="2"/>
          <w:sz w:val="24"/>
          <w:szCs w:val="24"/>
          <w:highlight w:val="none"/>
          <w:lang w:val="en-US" w:eastAsia="zh-CN" w:bidi="ar-SA"/>
        </w:rPr>
        <w:t>《陆上石油天然气开采工业大气污染物排放标准》（GB39728-2020）中</w:t>
      </w:r>
      <w:r>
        <w:rPr>
          <w:rFonts w:hint="eastAsia" w:ascii="Times New Roman" w:hAnsi="Times New Roman" w:eastAsia="宋体" w:cs="Times New Roman"/>
          <w:color w:val="auto"/>
          <w:w w:val="99"/>
          <w:kern w:val="2"/>
          <w:sz w:val="24"/>
          <w:szCs w:val="24"/>
          <w:highlight w:val="none"/>
          <w:lang w:val="en-US" w:eastAsia="zh-CN" w:bidi="ar-SA"/>
        </w:rPr>
        <w:t>5.2.3.2和5.2.3.3要求</w:t>
      </w:r>
      <w:r>
        <w:rPr>
          <w:rFonts w:hint="default" w:ascii="Times New Roman" w:hAnsi="Times New Roman" w:eastAsia="宋体" w:cs="Times New Roman"/>
          <w:color w:val="auto"/>
          <w:w w:val="99"/>
          <w:kern w:val="2"/>
          <w:sz w:val="24"/>
          <w:szCs w:val="24"/>
          <w:highlight w:val="none"/>
          <w:lang w:val="en-US" w:eastAsia="zh-CN" w:bidi="ar-SA"/>
        </w:rPr>
        <w:t>。</w:t>
      </w:r>
    </w:p>
    <w:p w14:paraId="1F5EE89A">
      <w:pPr>
        <w:pStyle w:val="104"/>
        <w:snapToGrid/>
        <w:spacing w:line="50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⑦</w:t>
      </w:r>
      <w:r>
        <w:rPr>
          <w:rFonts w:hint="default" w:ascii="Times New Roman" w:hAnsi="Times New Roman" w:eastAsia="宋体"/>
          <w:color w:val="auto"/>
          <w:w w:val="99"/>
          <w:sz w:val="24"/>
          <w:szCs w:val="24"/>
          <w:highlight w:val="none"/>
        </w:rPr>
        <w:t>挥发性有机液体装载应采用底部装载或顶部浸没式装载方式；采用顶部浸没式装载的，出料管口距离罐（槽）底部高度应小于200mm。</w:t>
      </w:r>
    </w:p>
    <w:p w14:paraId="170E21DB">
      <w:pPr>
        <w:pStyle w:val="104"/>
        <w:snapToGrid/>
        <w:spacing w:line="50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⑧</w:t>
      </w:r>
      <w:r>
        <w:rPr>
          <w:rFonts w:hint="eastAsia" w:ascii="Times New Roman" w:hAnsi="Times New Roman" w:eastAsia="宋体"/>
          <w:color w:val="auto"/>
          <w:w w:val="99"/>
          <w:sz w:val="24"/>
          <w:szCs w:val="24"/>
          <w:highlight w:val="none"/>
          <w:lang w:val="en-US" w:eastAsia="zh-CN"/>
        </w:rPr>
        <w:t>天然气</w:t>
      </w:r>
      <w:r>
        <w:rPr>
          <w:rFonts w:hint="default" w:ascii="Times New Roman" w:hAnsi="Times New Roman" w:eastAsia="宋体"/>
          <w:color w:val="auto"/>
          <w:w w:val="99"/>
          <w:sz w:val="24"/>
          <w:szCs w:val="24"/>
          <w:highlight w:val="none"/>
        </w:rPr>
        <w:t>的处理均在密闭压力容器内进行，集输过程中均为密闭状态，有效的降低了非甲烷总烃的无组织挥发。</w:t>
      </w:r>
    </w:p>
    <w:p w14:paraId="025FD6FA">
      <w:pPr>
        <w:pStyle w:val="104"/>
        <w:snapToGrid/>
        <w:spacing w:line="50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（2）依托场站加热炉燃烧烟气</w:t>
      </w:r>
    </w:p>
    <w:p w14:paraId="31C6EFCA">
      <w:pPr>
        <w:pStyle w:val="104"/>
        <w:snapToGrid/>
        <w:spacing w:line="50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依托场站内加热炉采用清洁能源天然气作为燃料，并采用低氮燃烧器，加热炉燃烧产生的废气均经</w:t>
      </w:r>
      <w:r>
        <w:rPr>
          <w:rFonts w:hint="default" w:ascii="Times New Roman" w:hAnsi="Times New Roman" w:eastAsia="宋体"/>
          <w:bCs/>
          <w:color w:val="auto"/>
          <w:w w:val="99"/>
          <w:sz w:val="24"/>
          <w:szCs w:val="24"/>
          <w:highlight w:val="none"/>
        </w:rPr>
        <w:t>不低于</w:t>
      </w:r>
      <w:r>
        <w:rPr>
          <w:rFonts w:hint="default" w:ascii="Times New Roman" w:hAnsi="Times New Roman" w:eastAsia="宋体"/>
          <w:color w:val="auto"/>
          <w:w w:val="99"/>
          <w:sz w:val="24"/>
          <w:szCs w:val="24"/>
          <w:highlight w:val="none"/>
        </w:rPr>
        <w:t>8m的烟囱高空排放，能够达到《锅炉大气污染物排放标准》（GB13271-2014）表2中新建燃气锅炉标准限值要求（颗粒物≤20mg/m</w:t>
      </w:r>
      <w:r>
        <w:rPr>
          <w:rFonts w:hint="default" w:ascii="Times New Roman" w:hAnsi="Times New Roman" w:eastAsia="宋体"/>
          <w:color w:val="auto"/>
          <w:w w:val="99"/>
          <w:sz w:val="24"/>
          <w:szCs w:val="24"/>
          <w:highlight w:val="none"/>
          <w:vertAlign w:val="superscript"/>
        </w:rPr>
        <w:t>3</w:t>
      </w:r>
      <w:r>
        <w:rPr>
          <w:rFonts w:hint="default" w:ascii="Times New Roman" w:hAnsi="Times New Roman" w:eastAsia="宋体"/>
          <w:color w:val="auto"/>
          <w:w w:val="99"/>
          <w:sz w:val="24"/>
          <w:szCs w:val="24"/>
          <w:highlight w:val="none"/>
        </w:rPr>
        <w:t>、NOx≤200mg/m</w:t>
      </w:r>
      <w:r>
        <w:rPr>
          <w:rFonts w:hint="default" w:ascii="Times New Roman" w:hAnsi="Times New Roman" w:eastAsia="宋体"/>
          <w:color w:val="auto"/>
          <w:w w:val="99"/>
          <w:sz w:val="24"/>
          <w:szCs w:val="24"/>
          <w:highlight w:val="none"/>
          <w:vertAlign w:val="superscript"/>
        </w:rPr>
        <w:t>3</w:t>
      </w:r>
      <w:r>
        <w:rPr>
          <w:rFonts w:hint="default" w:ascii="Times New Roman" w:hAnsi="Times New Roman" w:eastAsia="宋体"/>
          <w:color w:val="auto"/>
          <w:w w:val="99"/>
          <w:sz w:val="24"/>
          <w:szCs w:val="24"/>
          <w:highlight w:val="none"/>
        </w:rPr>
        <w:t>、SO</w:t>
      </w:r>
      <w:r>
        <w:rPr>
          <w:rFonts w:hint="default" w:ascii="Times New Roman" w:hAnsi="Times New Roman" w:eastAsia="宋体"/>
          <w:color w:val="auto"/>
          <w:w w:val="99"/>
          <w:sz w:val="24"/>
          <w:szCs w:val="24"/>
          <w:highlight w:val="none"/>
          <w:vertAlign w:val="subscript"/>
        </w:rPr>
        <w:t>2</w:t>
      </w:r>
      <w:r>
        <w:rPr>
          <w:rFonts w:hint="default" w:ascii="Times New Roman" w:hAnsi="Times New Roman" w:eastAsia="宋体"/>
          <w:color w:val="auto"/>
          <w:w w:val="99"/>
          <w:sz w:val="24"/>
          <w:szCs w:val="24"/>
          <w:highlight w:val="none"/>
        </w:rPr>
        <w:t>≤50mg/m</w:t>
      </w:r>
      <w:r>
        <w:rPr>
          <w:rFonts w:hint="default" w:ascii="Times New Roman" w:hAnsi="Times New Roman" w:eastAsia="宋体"/>
          <w:color w:val="auto"/>
          <w:w w:val="99"/>
          <w:sz w:val="24"/>
          <w:szCs w:val="24"/>
          <w:highlight w:val="none"/>
          <w:vertAlign w:val="superscript"/>
        </w:rPr>
        <w:t>3</w:t>
      </w:r>
      <w:r>
        <w:rPr>
          <w:rFonts w:hint="default" w:ascii="Times New Roman" w:hAnsi="Times New Roman" w:eastAsia="宋体"/>
          <w:color w:val="auto"/>
          <w:w w:val="99"/>
          <w:sz w:val="24"/>
          <w:szCs w:val="24"/>
          <w:highlight w:val="none"/>
        </w:rPr>
        <w:t>，烟气黑度≤1）。</w:t>
      </w:r>
    </w:p>
    <w:p w14:paraId="37E9F05A">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（3）温室气体管控措施</w:t>
      </w:r>
    </w:p>
    <w:p w14:paraId="24B6809E">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①</w:t>
      </w:r>
      <w:r>
        <w:rPr>
          <w:rFonts w:hint="default" w:ascii="Times New Roman" w:hAnsi="Times New Roman" w:eastAsia="宋体"/>
          <w:color w:val="auto"/>
          <w:w w:val="99"/>
          <w:sz w:val="24"/>
          <w:szCs w:val="24"/>
          <w:highlight w:val="none"/>
        </w:rPr>
        <w:t>井口装置安装密封垫，</w:t>
      </w:r>
      <w:r>
        <w:rPr>
          <w:rFonts w:hint="eastAsia" w:ascii="Times New Roman" w:hAnsi="Times New Roman" w:eastAsia="宋体"/>
          <w:color w:val="auto"/>
          <w:w w:val="99"/>
          <w:sz w:val="24"/>
          <w:szCs w:val="24"/>
          <w:highlight w:val="none"/>
          <w:lang w:val="en-US" w:eastAsia="zh-CN"/>
        </w:rPr>
        <w:t>天然气</w:t>
      </w:r>
      <w:r>
        <w:rPr>
          <w:rFonts w:hint="default" w:ascii="Times New Roman" w:hAnsi="Times New Roman" w:eastAsia="宋体"/>
          <w:color w:val="auto"/>
          <w:w w:val="99"/>
          <w:sz w:val="24"/>
          <w:szCs w:val="24"/>
          <w:highlight w:val="none"/>
        </w:rPr>
        <w:t>集输采用密闭管道集输流程，最大限度减少温室气体的逸散；</w:t>
      </w:r>
    </w:p>
    <w:p w14:paraId="0870F1A9">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②</w:t>
      </w:r>
      <w:r>
        <w:rPr>
          <w:rFonts w:hint="default" w:ascii="Times New Roman" w:hAnsi="Times New Roman" w:eastAsia="宋体"/>
          <w:color w:val="auto"/>
          <w:w w:val="99"/>
          <w:sz w:val="24"/>
          <w:szCs w:val="24"/>
          <w:highlight w:val="none"/>
        </w:rPr>
        <w:t>加强对设备和管道的检查和维护，定期检查站内储罐，保证均无孔洞和裂隙，采样口等均处于密闭状态，控制场站各部位温室气体的逸散；</w:t>
      </w:r>
    </w:p>
    <w:p w14:paraId="6FF3A613">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③</w:t>
      </w:r>
      <w:r>
        <w:rPr>
          <w:rFonts w:hint="default" w:ascii="Times New Roman" w:hAnsi="Times New Roman" w:eastAsia="宋体"/>
          <w:color w:val="auto"/>
          <w:w w:val="99"/>
          <w:sz w:val="24"/>
          <w:szCs w:val="24"/>
          <w:highlight w:val="none"/>
        </w:rPr>
        <w:t>场站加热装置采用清洁燃料天然气，减少化石燃料燃烧CO</w:t>
      </w:r>
      <w:r>
        <w:rPr>
          <w:rFonts w:hint="default" w:ascii="Times New Roman" w:hAnsi="Times New Roman" w:eastAsia="宋体"/>
          <w:color w:val="auto"/>
          <w:w w:val="99"/>
          <w:sz w:val="24"/>
          <w:szCs w:val="24"/>
          <w:highlight w:val="none"/>
          <w:vertAlign w:val="subscript"/>
        </w:rPr>
        <w:t>2</w:t>
      </w:r>
      <w:r>
        <w:rPr>
          <w:rFonts w:hint="default" w:ascii="Times New Roman" w:hAnsi="Times New Roman" w:eastAsia="宋体"/>
          <w:color w:val="auto"/>
          <w:w w:val="99"/>
          <w:sz w:val="24"/>
          <w:szCs w:val="24"/>
          <w:highlight w:val="none"/>
        </w:rPr>
        <w:t>排放；</w:t>
      </w:r>
    </w:p>
    <w:p w14:paraId="71372441">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④气田</w:t>
      </w:r>
      <w:r>
        <w:rPr>
          <w:rFonts w:hint="default" w:ascii="Times New Roman" w:hAnsi="Times New Roman" w:eastAsia="宋体"/>
          <w:color w:val="auto"/>
          <w:w w:val="99"/>
          <w:sz w:val="24"/>
          <w:szCs w:val="24"/>
          <w:highlight w:val="none"/>
        </w:rPr>
        <w:t>开发实行连续生产，杜绝大功率设备频繁启动，减少设备启停对用电的影响；</w:t>
      </w:r>
    </w:p>
    <w:p w14:paraId="6B76CD78">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⑤</w:t>
      </w:r>
      <w:r>
        <w:rPr>
          <w:rFonts w:hint="default" w:ascii="Times New Roman" w:hAnsi="Times New Roman" w:eastAsia="宋体"/>
          <w:color w:val="auto"/>
          <w:w w:val="99"/>
          <w:sz w:val="24"/>
          <w:szCs w:val="24"/>
          <w:highlight w:val="none"/>
        </w:rPr>
        <w:t>增加厂区绿化面积，扩大生态修复范围，通过植树造林和森林碳汇建设，采取多方面碳中和举措；</w:t>
      </w:r>
    </w:p>
    <w:p w14:paraId="47B5582C">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⑥</w:t>
      </w:r>
      <w:r>
        <w:rPr>
          <w:rFonts w:hint="default" w:ascii="Times New Roman" w:hAnsi="Times New Roman" w:eastAsia="宋体"/>
          <w:color w:val="auto"/>
          <w:w w:val="99"/>
          <w:sz w:val="24"/>
          <w:szCs w:val="24"/>
          <w:highlight w:val="none"/>
        </w:rPr>
        <w:t>建立健全的能源利用和消费统计制度和管理制度。</w:t>
      </w:r>
    </w:p>
    <w:p w14:paraId="13047943">
      <w:pPr>
        <w:widowControl w:val="0"/>
        <w:spacing w:line="440" w:lineRule="exact"/>
        <w:ind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通过采取以上措施，</w:t>
      </w:r>
      <w:r>
        <w:rPr>
          <w:rFonts w:hint="eastAsia" w:ascii="Times New Roman" w:hAnsi="Times New Roman"/>
          <w:color w:val="auto"/>
          <w:w w:val="99"/>
          <w:sz w:val="24"/>
          <w:szCs w:val="24"/>
          <w:highlight w:val="none"/>
          <w:lang w:val="en-US" w:eastAsia="zh-CN"/>
        </w:rPr>
        <w:t>确保</w:t>
      </w:r>
      <w:r>
        <w:rPr>
          <w:rFonts w:hint="eastAsia" w:ascii="Times New Roman" w:hAnsi="Times New Roman" w:eastAsia="宋体" w:cs="Times New Roman"/>
          <w:color w:val="auto"/>
          <w:w w:val="99"/>
          <w:kern w:val="0"/>
          <w:sz w:val="24"/>
          <w:szCs w:val="24"/>
          <w:highlight w:val="none"/>
          <w:lang w:val="en-US" w:eastAsia="zh-CN" w:bidi="zh-CN"/>
        </w:rPr>
        <w:t>井场及场站厂界外非甲烷总烃满足《陆上石油天然气开采工业大气污染物排放标准》（GB39728-2020）5.9中规定要求</w:t>
      </w:r>
      <w:r>
        <w:rPr>
          <w:rFonts w:hint="eastAsia" w:ascii="Times New Roman" w:hAnsi="Times New Roman" w:cs="Times New Roman"/>
          <w:color w:val="auto"/>
          <w:w w:val="99"/>
          <w:kern w:val="0"/>
          <w:sz w:val="24"/>
          <w:szCs w:val="24"/>
          <w:highlight w:val="none"/>
          <w:lang w:val="en-US" w:eastAsia="zh-CN" w:bidi="zh-CN"/>
        </w:rPr>
        <w:t>；</w:t>
      </w:r>
      <w:r>
        <w:rPr>
          <w:rFonts w:hint="eastAsia" w:ascii="Times New Roman" w:hAnsi="Times New Roman" w:eastAsia="宋体" w:cs="Times New Roman"/>
          <w:color w:val="auto"/>
          <w:w w:val="99"/>
          <w:kern w:val="0"/>
          <w:sz w:val="24"/>
          <w:szCs w:val="24"/>
          <w:highlight w:val="none"/>
          <w:lang w:val="en-US" w:eastAsia="zh-CN" w:bidi="zh-CN"/>
        </w:rPr>
        <w:t>依托场站</w:t>
      </w:r>
      <w:r>
        <w:rPr>
          <w:rFonts w:hint="eastAsia" w:ascii="Times New Roman" w:hAnsi="Times New Roman" w:cs="Times New Roman"/>
          <w:color w:val="auto"/>
          <w:w w:val="99"/>
          <w:kern w:val="0"/>
          <w:sz w:val="24"/>
          <w:szCs w:val="24"/>
          <w:highlight w:val="none"/>
          <w:lang w:val="en-US" w:eastAsia="zh-CN" w:bidi="zh-CN"/>
        </w:rPr>
        <w:t>燃烧烟气满足</w:t>
      </w:r>
      <w:r>
        <w:rPr>
          <w:rFonts w:hint="eastAsia" w:ascii="Times New Roman" w:hAnsi="Times New Roman" w:eastAsia="宋体" w:cs="Times New Roman"/>
          <w:color w:val="auto"/>
          <w:w w:val="99"/>
          <w:kern w:val="0"/>
          <w:sz w:val="24"/>
          <w:szCs w:val="24"/>
          <w:highlight w:val="none"/>
          <w:lang w:val="en-US" w:eastAsia="zh-CN" w:bidi="zh-CN"/>
        </w:rPr>
        <w:t>《锅炉大气污染物排放标准》（GB13271-2014）表2中新建燃气锅炉标准限值要求。</w:t>
      </w:r>
      <w:r>
        <w:rPr>
          <w:rFonts w:hint="default" w:ascii="Times New Roman" w:hAnsi="Times New Roman" w:eastAsia="宋体"/>
          <w:color w:val="auto"/>
          <w:w w:val="99"/>
          <w:sz w:val="24"/>
          <w:szCs w:val="24"/>
          <w:highlight w:val="none"/>
        </w:rPr>
        <w:t>将项目建设对大气环境的影响减小到最小程度，运营期大气污染防治措施可行。</w:t>
      </w:r>
    </w:p>
    <w:p w14:paraId="2DACBAAF">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6.1.1.3退役期</w:t>
      </w:r>
    </w:p>
    <w:p w14:paraId="5682A004">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（1）机械尾气</w:t>
      </w:r>
    </w:p>
    <w:p w14:paraId="6C41AE7D">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加强对机械设备的维护、保养，减少不必要的运转时间，采取高标号燃油以控制尾气的排放；</w:t>
      </w:r>
    </w:p>
    <w:p w14:paraId="2ECFE6F9">
      <w:pPr>
        <w:pStyle w:val="104"/>
        <w:tabs>
          <w:tab w:val="left" w:pos="4127"/>
        </w:tabs>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（2）施工扬尘污染防治措施</w:t>
      </w:r>
      <w:r>
        <w:rPr>
          <w:rFonts w:hint="default" w:ascii="Times New Roman" w:hAnsi="Times New Roman" w:eastAsia="宋体"/>
          <w:color w:val="auto"/>
          <w:w w:val="99"/>
          <w:sz w:val="24"/>
          <w:szCs w:val="24"/>
          <w:highlight w:val="none"/>
        </w:rPr>
        <w:tab/>
      </w:r>
    </w:p>
    <w:p w14:paraId="78DCB825">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①</w:t>
      </w:r>
      <w:r>
        <w:rPr>
          <w:rFonts w:hint="default" w:ascii="Times New Roman" w:hAnsi="Times New Roman" w:eastAsia="宋体"/>
          <w:color w:val="auto"/>
          <w:w w:val="99"/>
          <w:sz w:val="24"/>
          <w:szCs w:val="24"/>
          <w:highlight w:val="none"/>
        </w:rPr>
        <w:t>材料运输过程中，进行材料遮盖，防止材料洒落、风刮起的粉尘；</w:t>
      </w:r>
    </w:p>
    <w:p w14:paraId="46914D8A">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②</w:t>
      </w:r>
      <w:r>
        <w:rPr>
          <w:rFonts w:hint="default" w:ascii="Times New Roman" w:hAnsi="Times New Roman" w:eastAsia="宋体"/>
          <w:color w:val="auto"/>
          <w:w w:val="99"/>
          <w:sz w:val="24"/>
          <w:szCs w:val="24"/>
          <w:highlight w:val="none"/>
        </w:rPr>
        <w:t>运输车辆进入居民区附近施工场地应低速行驶或限速行驶，减少扬尘产生；</w:t>
      </w:r>
    </w:p>
    <w:p w14:paraId="4F5888C4">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③</w:t>
      </w:r>
      <w:r>
        <w:rPr>
          <w:rFonts w:hint="default" w:ascii="Times New Roman" w:hAnsi="Times New Roman" w:eastAsia="宋体"/>
          <w:color w:val="auto"/>
          <w:w w:val="99"/>
          <w:sz w:val="24"/>
          <w:szCs w:val="24"/>
          <w:highlight w:val="none"/>
        </w:rPr>
        <w:t>在施工过程中，施工场地应定时适量洒水，并在大风天加大洒水量及洒水次数，使作业面保持一定的湿度。</w:t>
      </w:r>
    </w:p>
    <w:p w14:paraId="128394AF">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④</w:t>
      </w:r>
      <w:r>
        <w:rPr>
          <w:rFonts w:hint="default" w:ascii="Times New Roman" w:hAnsi="Times New Roman" w:eastAsia="宋体"/>
          <w:color w:val="auto"/>
          <w:w w:val="99"/>
          <w:sz w:val="24"/>
          <w:szCs w:val="24"/>
          <w:highlight w:val="none"/>
        </w:rPr>
        <w:t>施工结束后，应及时进行施工场地的清理，清除积土、堆物。</w:t>
      </w:r>
    </w:p>
    <w:p w14:paraId="5CEBAA01">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采取以上大气污染防治措施后，能够确保施工场界颗粒物浓度满足《大气污染物综合排放标准》（GB16297-1996）中表2无组织排放监控浓度限值要求，不会对大气环境产生较大影响，退役期大气污染防治措施可行。</w:t>
      </w:r>
    </w:p>
    <w:p w14:paraId="57E5DD8D">
      <w:pPr>
        <w:pStyle w:val="7"/>
        <w:keepNext w:val="0"/>
        <w:keepLines w:val="0"/>
        <w:widowControl w:val="0"/>
        <w:spacing w:before="60" w:after="60"/>
        <w:jc w:val="both"/>
        <w:rPr>
          <w:rFonts w:eastAsia="宋体"/>
          <w:b/>
          <w:color w:val="auto"/>
          <w:w w:val="99"/>
          <w:kern w:val="2"/>
          <w:sz w:val="24"/>
          <w:szCs w:val="24"/>
          <w:highlight w:val="none"/>
        </w:rPr>
      </w:pPr>
      <w:bookmarkStart w:id="1046" w:name="_Toc70050275"/>
      <w:bookmarkStart w:id="1047" w:name="_Toc196215815"/>
      <w:bookmarkStart w:id="1048" w:name="_Toc67860228"/>
      <w:bookmarkStart w:id="1049" w:name="_Toc76976337"/>
      <w:bookmarkStart w:id="1050" w:name="_Toc80588345"/>
      <w:bookmarkStart w:id="1051" w:name="_Toc186444379"/>
      <w:bookmarkStart w:id="1052" w:name="_Toc80971467"/>
      <w:bookmarkStart w:id="1053" w:name="_Toc78816550"/>
      <w:bookmarkStart w:id="1054" w:name="_Toc77067748"/>
      <w:bookmarkStart w:id="1055" w:name="_Toc83209567"/>
      <w:r>
        <w:rPr>
          <w:rFonts w:eastAsia="宋体"/>
          <w:b/>
          <w:color w:val="auto"/>
          <w:w w:val="99"/>
          <w:kern w:val="2"/>
          <w:sz w:val="24"/>
          <w:szCs w:val="24"/>
          <w:highlight w:val="none"/>
        </w:rPr>
        <w:t>6.1.2</w:t>
      </w:r>
      <w:bookmarkEnd w:id="1046"/>
      <w:bookmarkEnd w:id="1047"/>
      <w:bookmarkEnd w:id="1048"/>
      <w:r>
        <w:rPr>
          <w:rFonts w:eastAsia="宋体"/>
          <w:b/>
          <w:color w:val="auto"/>
          <w:w w:val="99"/>
          <w:kern w:val="2"/>
          <w:sz w:val="24"/>
          <w:szCs w:val="24"/>
          <w:highlight w:val="none"/>
        </w:rPr>
        <w:t>水污染防治措施及其可行性论证</w:t>
      </w:r>
      <w:bookmarkEnd w:id="1049"/>
      <w:bookmarkEnd w:id="1050"/>
      <w:bookmarkEnd w:id="1051"/>
      <w:bookmarkEnd w:id="1052"/>
      <w:bookmarkEnd w:id="1053"/>
      <w:bookmarkEnd w:id="1054"/>
      <w:bookmarkEnd w:id="1055"/>
    </w:p>
    <w:p w14:paraId="2871475C">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6.1.2.1施工期废水处理措施</w:t>
      </w:r>
    </w:p>
    <w:p w14:paraId="15CB5D42">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施工期废水主要为管线试压废水及施工人员生活污水。施工过程中采取以下污染防治措施：</w:t>
      </w:r>
    </w:p>
    <w:p w14:paraId="32A7B2B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（1）施工车辆和设备坚持日常检查制度，控制跑、冒、滴、漏现象的发生，以杜绝环境污染事件；设备修理时，要采取相应措施，如：地面上平铺油毡、塑料布等方法，避免水、油等流体介质落在地表。</w:t>
      </w:r>
    </w:p>
    <w:p w14:paraId="51153F94">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2</w:t>
      </w:r>
      <w:r>
        <w:rPr>
          <w:rFonts w:hint="eastAsia" w:ascii="Times New Roman" w:hAnsi="Times New Roman" w:eastAsia="宋体" w:cs="Times New Roman"/>
          <w:color w:val="auto"/>
          <w:w w:val="99"/>
          <w:kern w:val="0"/>
          <w:sz w:val="24"/>
          <w:szCs w:val="24"/>
          <w:highlight w:val="none"/>
          <w:lang w:val="en-US" w:eastAsia="zh-CN" w:bidi="zh-CN"/>
        </w:rPr>
        <w:t>）</w:t>
      </w:r>
      <w:r>
        <w:rPr>
          <w:rFonts w:ascii="Times New Roman" w:hAnsi="Times New Roman" w:cs="Times New Roman" w:eastAsiaTheme="minorEastAsia"/>
          <w:bCs/>
          <w:color w:val="auto"/>
          <w:w w:val="99"/>
          <w:kern w:val="21"/>
          <w:highlight w:val="none"/>
        </w:rPr>
        <w:t>管线试压废水不在施工场地暂存</w:t>
      </w:r>
      <w:r>
        <w:rPr>
          <w:rFonts w:hint="eastAsia" w:ascii="Times New Roman" w:hAnsi="Times New Roman" w:cs="Times New Roman" w:eastAsiaTheme="minorEastAsia"/>
          <w:bCs/>
          <w:color w:val="auto"/>
          <w:w w:val="99"/>
          <w:kern w:val="21"/>
          <w:highlight w:val="none"/>
          <w:lang w:eastAsia="zh-CN"/>
        </w:rPr>
        <w:t>，</w:t>
      </w:r>
      <w:r>
        <w:rPr>
          <w:rFonts w:hint="eastAsia" w:ascii="Times New Roman" w:hAnsi="Times New Roman" w:eastAsia="宋体" w:cs="Times New Roman"/>
          <w:color w:val="auto"/>
          <w:w w:val="99"/>
          <w:kern w:val="0"/>
          <w:sz w:val="24"/>
          <w:szCs w:val="24"/>
          <w:highlight w:val="none"/>
          <w:lang w:val="en-US" w:eastAsia="zh-CN" w:bidi="zh-CN"/>
        </w:rPr>
        <w:t>由罐车拉运至升一联气田污水预处理站，分离的含油污水</w:t>
      </w:r>
      <w:r>
        <w:rPr>
          <w:rFonts w:hint="default" w:ascii="Times New Roman" w:hAnsi="Times New Roman" w:eastAsia="宋体" w:cs="Times New Roman"/>
          <w:color w:val="auto"/>
          <w:w w:val="99"/>
          <w:kern w:val="0"/>
          <w:sz w:val="24"/>
          <w:szCs w:val="24"/>
          <w:highlight w:val="none"/>
          <w:lang w:val="en-US" w:eastAsia="zh-CN" w:bidi="zh-CN"/>
        </w:rPr>
        <w:t>处理达标后回注地下油层，不外排</w:t>
      </w:r>
      <w:r>
        <w:rPr>
          <w:rFonts w:hint="eastAsia" w:ascii="Times New Roman" w:hAnsi="Times New Roman" w:eastAsia="宋体" w:cs="Times New Roman"/>
          <w:color w:val="auto"/>
          <w:w w:val="99"/>
          <w:kern w:val="0"/>
          <w:sz w:val="24"/>
          <w:szCs w:val="24"/>
          <w:highlight w:val="none"/>
          <w:lang w:val="en-US" w:eastAsia="zh-CN" w:bidi="zh-CN"/>
        </w:rPr>
        <w:t>。</w:t>
      </w:r>
    </w:p>
    <w:p w14:paraId="37265C49">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3</w:t>
      </w:r>
      <w:r>
        <w:rPr>
          <w:rFonts w:hint="default" w:ascii="Times New Roman" w:hAnsi="Times New Roman" w:eastAsia="宋体" w:cs="Times New Roman"/>
          <w:color w:val="auto"/>
          <w:w w:val="99"/>
          <w:kern w:val="0"/>
          <w:sz w:val="24"/>
          <w:szCs w:val="24"/>
          <w:highlight w:val="none"/>
          <w:lang w:val="en-US" w:eastAsia="zh-CN" w:bidi="zh-CN"/>
        </w:rPr>
        <w:t>）地面工程生活污水排入周边集气站已建生活污水收集设施，均</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p>
    <w:p w14:paraId="2265B409">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4</w:t>
      </w:r>
      <w:r>
        <w:rPr>
          <w:rFonts w:hint="default" w:ascii="Times New Roman" w:hAnsi="Times New Roman" w:eastAsia="宋体" w:cs="Times New Roman"/>
          <w:color w:val="auto"/>
          <w:w w:val="99"/>
          <w:kern w:val="0"/>
          <w:sz w:val="24"/>
          <w:szCs w:val="24"/>
          <w:highlight w:val="none"/>
          <w:lang w:val="en-US" w:eastAsia="zh-CN" w:bidi="zh-CN"/>
        </w:rPr>
        <w:t>）施工单位在罐车拉运各类物料应填写各项物料的转出废水台账，包括种类、数量、转出时间，运输车辆牌号、转入单位信息等，应建立台账和运行管理档案，进行备案，并向当地生态环境主管部门报备。在各类废物转出地和转入地应设置视频监控系统，车辆应安装定位系统，便于加强过程管理，防</w:t>
      </w:r>
      <w:r>
        <w:rPr>
          <w:rFonts w:hint="eastAsia" w:ascii="Times New Roman" w:hAnsi="Times New Roman" w:cs="Times New Roman"/>
          <w:color w:val="auto"/>
          <w:w w:val="99"/>
          <w:kern w:val="0"/>
          <w:sz w:val="24"/>
          <w:szCs w:val="24"/>
          <w:highlight w:val="none"/>
          <w:lang w:val="en-US" w:eastAsia="zh-CN" w:bidi="zh-CN"/>
        </w:rPr>
        <w:t>止</w:t>
      </w:r>
      <w:r>
        <w:rPr>
          <w:rFonts w:hint="default" w:ascii="Times New Roman" w:hAnsi="Times New Roman" w:eastAsia="宋体" w:cs="Times New Roman"/>
          <w:color w:val="auto"/>
          <w:w w:val="99"/>
          <w:kern w:val="0"/>
          <w:sz w:val="24"/>
          <w:szCs w:val="24"/>
          <w:highlight w:val="none"/>
          <w:lang w:val="en-US" w:eastAsia="zh-CN" w:bidi="zh-CN"/>
        </w:rPr>
        <w:t>各项废物随意倾倒入外环境。</w:t>
      </w:r>
    </w:p>
    <w:p w14:paraId="6CDA74F4">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5</w:t>
      </w:r>
      <w:r>
        <w:rPr>
          <w:rFonts w:hint="default" w:ascii="Times New Roman" w:hAnsi="Times New Roman" w:eastAsia="宋体" w:cs="Times New Roman"/>
          <w:color w:val="auto"/>
          <w:w w:val="99"/>
          <w:kern w:val="0"/>
          <w:sz w:val="24"/>
          <w:szCs w:val="24"/>
          <w:highlight w:val="none"/>
          <w:lang w:val="en-US" w:eastAsia="zh-CN" w:bidi="zh-CN"/>
        </w:rPr>
        <w:t>）合理安排施工时间，避开雨季。施工单位严格按照有关规定安排施工作业，合理进行施工组织和场地布置。</w:t>
      </w:r>
    </w:p>
    <w:p w14:paraId="7925860D">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6</w:t>
      </w:r>
      <w:r>
        <w:rPr>
          <w:rFonts w:hint="default" w:ascii="Times New Roman" w:hAnsi="Times New Roman" w:eastAsia="宋体" w:cs="Times New Roman"/>
          <w:color w:val="auto"/>
          <w:w w:val="99"/>
          <w:kern w:val="0"/>
          <w:sz w:val="24"/>
          <w:szCs w:val="24"/>
          <w:highlight w:val="none"/>
          <w:lang w:val="en-US" w:eastAsia="zh-CN" w:bidi="zh-CN"/>
        </w:rPr>
        <w:t>）施工运输车辆合理规划行车路线，对施工运输合理规划、布局，利用既有道路，运输车辆按指定路线运行，尽量远离地表水体。</w:t>
      </w:r>
    </w:p>
    <w:p w14:paraId="58BC4376">
      <w:pPr>
        <w:widowControl w:val="0"/>
        <w:spacing w:line="440" w:lineRule="exact"/>
        <w:ind w:firstLine="476" w:firstLineChars="200"/>
        <w:jc w:val="both"/>
        <w:rPr>
          <w:rFonts w:hint="default" w:ascii="Times New Roman" w:hAnsi="Times New Roman" w:eastAsia="宋体" w:cs="Times New Roman"/>
          <w:b/>
          <w:bCs/>
          <w:color w:val="auto"/>
          <w:w w:val="99"/>
          <w:kern w:val="0"/>
          <w:sz w:val="24"/>
          <w:szCs w:val="24"/>
          <w:highlight w:val="none"/>
          <w:lang w:val="en-US" w:eastAsia="zh-CN" w:bidi="zh-CN"/>
        </w:rPr>
      </w:pPr>
      <w:r>
        <w:rPr>
          <w:rFonts w:hint="eastAsia" w:ascii="Times New Roman" w:hAnsi="Times New Roman" w:eastAsia="宋体" w:cs="Times New Roman"/>
          <w:b/>
          <w:bCs/>
          <w:color w:val="auto"/>
          <w:w w:val="99"/>
          <w:kern w:val="0"/>
          <w:sz w:val="24"/>
          <w:szCs w:val="24"/>
          <w:highlight w:val="none"/>
          <w:lang w:val="en-US" w:eastAsia="zh-CN" w:bidi="zh-CN"/>
        </w:rPr>
        <w:t xml:space="preserve">表6.1-1  </w:t>
      </w:r>
      <w:r>
        <w:rPr>
          <w:rFonts w:hint="eastAsia" w:ascii="Times New Roman" w:hAnsi="Times New Roman" w:cs="Times New Roman"/>
          <w:b/>
          <w:bCs/>
          <w:color w:val="auto"/>
          <w:w w:val="99"/>
          <w:kern w:val="0"/>
          <w:sz w:val="24"/>
          <w:szCs w:val="24"/>
          <w:highlight w:val="none"/>
          <w:lang w:val="en-US" w:eastAsia="zh-CN" w:bidi="zh-CN"/>
        </w:rPr>
        <w:t>施工期废水处理</w:t>
      </w:r>
      <w:r>
        <w:rPr>
          <w:rFonts w:hint="eastAsia" w:ascii="Times New Roman" w:hAnsi="Times New Roman" w:eastAsia="宋体" w:cs="Times New Roman"/>
          <w:b/>
          <w:bCs/>
          <w:color w:val="auto"/>
          <w:w w:val="99"/>
          <w:kern w:val="0"/>
          <w:sz w:val="24"/>
          <w:szCs w:val="24"/>
          <w:highlight w:val="none"/>
          <w:lang w:val="en-US" w:eastAsia="zh-CN" w:bidi="zh-CN"/>
        </w:rPr>
        <w:t>达标情况</w:t>
      </w:r>
      <w:r>
        <w:rPr>
          <w:rFonts w:hint="eastAsia" w:ascii="Times New Roman" w:hAnsi="Times New Roman" w:cs="Times New Roman"/>
          <w:b/>
          <w:bCs/>
          <w:color w:val="auto"/>
          <w:w w:val="99"/>
          <w:kern w:val="0"/>
          <w:sz w:val="24"/>
          <w:szCs w:val="24"/>
          <w:highlight w:val="none"/>
          <w:lang w:val="en-US" w:eastAsia="zh-CN" w:bidi="zh-CN"/>
        </w:rPr>
        <w:t>分析</w:t>
      </w:r>
    </w:p>
    <w:tbl>
      <w:tblPr>
        <w:tblStyle w:val="8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706"/>
        <w:gridCol w:w="868"/>
        <w:gridCol w:w="1088"/>
        <w:gridCol w:w="1382"/>
        <w:gridCol w:w="1898"/>
        <w:gridCol w:w="972"/>
      </w:tblGrid>
      <w:tr w14:paraId="325B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trPr>
        <w:tc>
          <w:tcPr>
            <w:tcW w:w="735" w:type="pct"/>
            <w:vMerge w:val="restart"/>
            <w:vAlign w:val="center"/>
          </w:tcPr>
          <w:p w14:paraId="699040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cs="Times New Roman"/>
                <w:color w:val="auto"/>
                <w:w w:val="99"/>
                <w:kern w:val="0"/>
                <w:sz w:val="21"/>
                <w:szCs w:val="21"/>
                <w:highlight w:val="none"/>
                <w:lang w:val="en-US" w:eastAsia="zh-CN" w:bidi="zh-CN"/>
              </w:rPr>
              <w:t>场站</w:t>
            </w:r>
          </w:p>
        </w:tc>
        <w:tc>
          <w:tcPr>
            <w:tcW w:w="919" w:type="pct"/>
            <w:vMerge w:val="restart"/>
            <w:vAlign w:val="center"/>
          </w:tcPr>
          <w:p w14:paraId="002B21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监测项目</w:t>
            </w:r>
          </w:p>
        </w:tc>
        <w:tc>
          <w:tcPr>
            <w:tcW w:w="467" w:type="pct"/>
            <w:vMerge w:val="restart"/>
            <w:vAlign w:val="center"/>
          </w:tcPr>
          <w:p w14:paraId="22DCD6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单位</w:t>
            </w:r>
          </w:p>
        </w:tc>
        <w:tc>
          <w:tcPr>
            <w:tcW w:w="586" w:type="pct"/>
            <w:vMerge w:val="restart"/>
            <w:tcBorders>
              <w:right w:val="single" w:color="000000" w:sz="2" w:space="0"/>
            </w:tcBorders>
            <w:vAlign w:val="center"/>
          </w:tcPr>
          <w:p w14:paraId="48515E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监测结果</w:t>
            </w:r>
          </w:p>
        </w:tc>
        <w:tc>
          <w:tcPr>
            <w:tcW w:w="1767" w:type="pct"/>
            <w:gridSpan w:val="2"/>
            <w:vAlign w:val="center"/>
          </w:tcPr>
          <w:p w14:paraId="20728B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标准限值</w:t>
            </w:r>
          </w:p>
        </w:tc>
        <w:tc>
          <w:tcPr>
            <w:tcW w:w="523" w:type="pct"/>
            <w:vMerge w:val="restart"/>
            <w:vAlign w:val="center"/>
          </w:tcPr>
          <w:p w14:paraId="1FFA2C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cs="Times New Roman"/>
                <w:color w:val="auto"/>
                <w:w w:val="99"/>
                <w:kern w:val="0"/>
                <w:sz w:val="21"/>
                <w:szCs w:val="21"/>
                <w:highlight w:val="none"/>
                <w:lang w:val="en-US" w:eastAsia="zh-CN" w:bidi="zh-CN"/>
              </w:rPr>
              <w:t>采样时间</w:t>
            </w:r>
          </w:p>
        </w:tc>
      </w:tr>
      <w:tr w14:paraId="5F4D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Merge w:val="continue"/>
            <w:vAlign w:val="center"/>
          </w:tcPr>
          <w:p w14:paraId="61FD29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p>
        </w:tc>
        <w:tc>
          <w:tcPr>
            <w:tcW w:w="919" w:type="pct"/>
            <w:vMerge w:val="continue"/>
            <w:vAlign w:val="center"/>
          </w:tcPr>
          <w:p w14:paraId="5288AB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p>
        </w:tc>
        <w:tc>
          <w:tcPr>
            <w:tcW w:w="467" w:type="pct"/>
            <w:vMerge w:val="continue"/>
            <w:vAlign w:val="center"/>
          </w:tcPr>
          <w:p w14:paraId="668AF2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p>
        </w:tc>
        <w:tc>
          <w:tcPr>
            <w:tcW w:w="586" w:type="pct"/>
            <w:vMerge w:val="continue"/>
            <w:tcBorders>
              <w:right w:val="single" w:color="000000" w:sz="2" w:space="0"/>
            </w:tcBorders>
            <w:vAlign w:val="center"/>
          </w:tcPr>
          <w:p w14:paraId="1554FD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p>
        </w:tc>
        <w:tc>
          <w:tcPr>
            <w:tcW w:w="744" w:type="pct"/>
            <w:shd w:val="clear" w:color="auto" w:fill="auto"/>
            <w:vAlign w:val="center"/>
          </w:tcPr>
          <w:p w14:paraId="3AF063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《大庆油田地面工程建设设计规定》（Q/SYDQ0639-2015）</w:t>
            </w:r>
          </w:p>
        </w:tc>
        <w:tc>
          <w:tcPr>
            <w:tcW w:w="1022" w:type="pct"/>
            <w:shd w:val="clear" w:color="auto" w:fill="auto"/>
            <w:vAlign w:val="center"/>
          </w:tcPr>
          <w:p w14:paraId="50BCCC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《碎屑岩油藏注水水质指标技术要求及分析方法》（SY/T5329-2022）</w:t>
            </w:r>
          </w:p>
        </w:tc>
        <w:tc>
          <w:tcPr>
            <w:tcW w:w="523" w:type="pct"/>
            <w:vMerge w:val="continue"/>
            <w:shd w:val="clear" w:color="auto" w:fill="auto"/>
            <w:vAlign w:val="center"/>
          </w:tcPr>
          <w:p w14:paraId="171C76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p>
        </w:tc>
      </w:tr>
      <w:tr w14:paraId="7815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Merge w:val="restart"/>
            <w:vAlign w:val="center"/>
          </w:tcPr>
          <w:p w14:paraId="085762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升一联气田污水预处理站</w:t>
            </w:r>
          </w:p>
        </w:tc>
        <w:tc>
          <w:tcPr>
            <w:tcW w:w="919" w:type="pct"/>
            <w:shd w:val="clear" w:color="auto" w:fill="auto"/>
            <w:vAlign w:val="center"/>
          </w:tcPr>
          <w:p w14:paraId="4FED22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含油量</w:t>
            </w:r>
          </w:p>
        </w:tc>
        <w:tc>
          <w:tcPr>
            <w:tcW w:w="467" w:type="pct"/>
            <w:shd w:val="clear" w:color="auto" w:fill="auto"/>
            <w:vAlign w:val="center"/>
          </w:tcPr>
          <w:p w14:paraId="4BE134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mg/L</w:t>
            </w:r>
          </w:p>
        </w:tc>
        <w:tc>
          <w:tcPr>
            <w:tcW w:w="586" w:type="pct"/>
            <w:vAlign w:val="center"/>
          </w:tcPr>
          <w:p w14:paraId="6E1C37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cs="Times New Roman"/>
                <w:color w:val="auto"/>
                <w:w w:val="99"/>
                <w:kern w:val="0"/>
                <w:sz w:val="21"/>
                <w:szCs w:val="21"/>
                <w:highlight w:val="none"/>
                <w:lang w:val="en-US" w:eastAsia="zh-CN" w:bidi="zh-CN"/>
              </w:rPr>
              <w:t>0.88-1.25</w:t>
            </w:r>
          </w:p>
        </w:tc>
        <w:tc>
          <w:tcPr>
            <w:tcW w:w="744" w:type="pct"/>
            <w:vAlign w:val="center"/>
          </w:tcPr>
          <w:p w14:paraId="1B3B6A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10</w:t>
            </w:r>
          </w:p>
        </w:tc>
        <w:tc>
          <w:tcPr>
            <w:tcW w:w="1022" w:type="pct"/>
            <w:shd w:val="clear" w:color="auto" w:fill="auto"/>
            <w:vAlign w:val="center"/>
          </w:tcPr>
          <w:p w14:paraId="49E8D2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15</w:t>
            </w:r>
          </w:p>
        </w:tc>
        <w:tc>
          <w:tcPr>
            <w:tcW w:w="523" w:type="pct"/>
            <w:vMerge w:val="restart"/>
            <w:shd w:val="clear" w:color="auto" w:fill="auto"/>
            <w:vAlign w:val="center"/>
          </w:tcPr>
          <w:p w14:paraId="651FFA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2025.12.24-25</w:t>
            </w:r>
          </w:p>
        </w:tc>
      </w:tr>
      <w:tr w14:paraId="255D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Merge w:val="continue"/>
            <w:vAlign w:val="center"/>
          </w:tcPr>
          <w:p w14:paraId="4EC762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p>
        </w:tc>
        <w:tc>
          <w:tcPr>
            <w:tcW w:w="919" w:type="pct"/>
            <w:shd w:val="clear" w:color="auto" w:fill="auto"/>
            <w:vAlign w:val="center"/>
          </w:tcPr>
          <w:p w14:paraId="0144AA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悬浮固体含量</w:t>
            </w:r>
          </w:p>
        </w:tc>
        <w:tc>
          <w:tcPr>
            <w:tcW w:w="467" w:type="pct"/>
            <w:shd w:val="clear" w:color="auto" w:fill="auto"/>
            <w:vAlign w:val="center"/>
          </w:tcPr>
          <w:p w14:paraId="69BAEC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mg/L</w:t>
            </w:r>
          </w:p>
        </w:tc>
        <w:tc>
          <w:tcPr>
            <w:tcW w:w="586" w:type="pct"/>
            <w:vAlign w:val="center"/>
          </w:tcPr>
          <w:p w14:paraId="1C77D9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cs="Times New Roman"/>
                <w:color w:val="auto"/>
                <w:w w:val="99"/>
                <w:kern w:val="0"/>
                <w:sz w:val="21"/>
                <w:szCs w:val="21"/>
                <w:highlight w:val="none"/>
                <w:lang w:val="en-US" w:eastAsia="zh-CN" w:bidi="zh-CN"/>
              </w:rPr>
              <w:t>2-3</w:t>
            </w:r>
          </w:p>
        </w:tc>
        <w:tc>
          <w:tcPr>
            <w:tcW w:w="744" w:type="pct"/>
            <w:vAlign w:val="center"/>
          </w:tcPr>
          <w:p w14:paraId="2AF727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5</w:t>
            </w:r>
          </w:p>
        </w:tc>
        <w:tc>
          <w:tcPr>
            <w:tcW w:w="1022" w:type="pct"/>
            <w:shd w:val="clear" w:color="auto" w:fill="auto"/>
            <w:vAlign w:val="center"/>
          </w:tcPr>
          <w:p w14:paraId="1BB793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20</w:t>
            </w:r>
          </w:p>
        </w:tc>
        <w:tc>
          <w:tcPr>
            <w:tcW w:w="523" w:type="pct"/>
            <w:vMerge w:val="continue"/>
            <w:shd w:val="clear" w:color="auto" w:fill="auto"/>
            <w:vAlign w:val="center"/>
          </w:tcPr>
          <w:p w14:paraId="4BD104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p>
        </w:tc>
      </w:tr>
      <w:tr w14:paraId="67EC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Merge w:val="continue"/>
            <w:vAlign w:val="center"/>
          </w:tcPr>
          <w:p w14:paraId="6E26B5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p>
        </w:tc>
        <w:tc>
          <w:tcPr>
            <w:tcW w:w="919" w:type="pct"/>
            <w:shd w:val="clear" w:color="auto" w:fill="auto"/>
            <w:vAlign w:val="center"/>
          </w:tcPr>
          <w:p w14:paraId="7137CE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悬浮物颗粒直径中值</w:t>
            </w:r>
          </w:p>
        </w:tc>
        <w:tc>
          <w:tcPr>
            <w:tcW w:w="467" w:type="pct"/>
            <w:shd w:val="clear" w:color="auto" w:fill="auto"/>
            <w:vAlign w:val="center"/>
          </w:tcPr>
          <w:p w14:paraId="0C642F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μm</w:t>
            </w:r>
          </w:p>
        </w:tc>
        <w:tc>
          <w:tcPr>
            <w:tcW w:w="586" w:type="pct"/>
            <w:vAlign w:val="center"/>
          </w:tcPr>
          <w:p w14:paraId="268F7F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cs="Times New Roman"/>
                <w:color w:val="auto"/>
                <w:w w:val="99"/>
                <w:kern w:val="0"/>
                <w:sz w:val="21"/>
                <w:szCs w:val="21"/>
                <w:highlight w:val="none"/>
                <w:lang w:val="en-US" w:eastAsia="zh-CN" w:bidi="zh-CN"/>
              </w:rPr>
              <w:t>1</w:t>
            </w:r>
          </w:p>
        </w:tc>
        <w:tc>
          <w:tcPr>
            <w:tcW w:w="744" w:type="pct"/>
            <w:vAlign w:val="center"/>
          </w:tcPr>
          <w:p w14:paraId="77E87E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2</w:t>
            </w:r>
          </w:p>
        </w:tc>
        <w:tc>
          <w:tcPr>
            <w:tcW w:w="1022" w:type="pct"/>
            <w:shd w:val="clear" w:color="auto" w:fill="auto"/>
            <w:vAlign w:val="center"/>
          </w:tcPr>
          <w:p w14:paraId="6CFF1C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5</w:t>
            </w:r>
          </w:p>
        </w:tc>
        <w:tc>
          <w:tcPr>
            <w:tcW w:w="523" w:type="pct"/>
            <w:vMerge w:val="continue"/>
            <w:shd w:val="clear" w:color="auto" w:fill="auto"/>
            <w:vAlign w:val="center"/>
          </w:tcPr>
          <w:p w14:paraId="6E9457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p>
        </w:tc>
      </w:tr>
    </w:tbl>
    <w:p w14:paraId="69F5672E">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hint="default" w:ascii="Times New Roman" w:hAnsi="Times New Roman" w:eastAsia="宋体" w:cs="Times New Roman"/>
          <w:color w:val="auto"/>
          <w:w w:val="99"/>
          <w:kern w:val="0"/>
          <w:sz w:val="24"/>
          <w:szCs w:val="24"/>
          <w:highlight w:val="none"/>
          <w:lang w:val="en-US" w:eastAsia="zh-CN" w:bidi="zh-CN"/>
        </w:rPr>
        <w:t>综合分析，采取以上措施，施工期地表水环境污染防治措施可行。</w:t>
      </w:r>
    </w:p>
    <w:p w14:paraId="0684498C">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6.1.2.2</w:t>
      </w:r>
      <w:r>
        <w:rPr>
          <w:rFonts w:ascii="Times New Roman" w:hAnsi="Times New Roman" w:eastAsiaTheme="minorEastAsia"/>
          <w:b/>
          <w:color w:val="auto"/>
          <w:w w:val="99"/>
          <w:highlight w:val="none"/>
        </w:rPr>
        <w:t>运营期废水处理措施及地表水保护措施</w:t>
      </w:r>
    </w:p>
    <w:p w14:paraId="4B3B8DE0">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（1）运营期废水处理措施及其可行性论证</w:t>
      </w:r>
    </w:p>
    <w:p w14:paraId="46BEA556">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①</w:t>
      </w:r>
      <w:r>
        <w:rPr>
          <w:rFonts w:hint="default" w:ascii="Times New Roman" w:hAnsi="Times New Roman" w:eastAsia="宋体" w:cs="Times New Roman"/>
          <w:color w:val="auto"/>
          <w:w w:val="99"/>
          <w:kern w:val="0"/>
          <w:sz w:val="24"/>
          <w:szCs w:val="24"/>
          <w:highlight w:val="none"/>
          <w:lang w:val="en-US" w:eastAsia="zh-CN" w:bidi="zh-CN"/>
        </w:rPr>
        <w:t>运营期废水处理措施</w:t>
      </w:r>
    </w:p>
    <w:p w14:paraId="7ACF3BAD">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气田采出水暂存于</w:t>
      </w:r>
      <w:r>
        <w:rPr>
          <w:rFonts w:hint="eastAsia" w:ascii="Times New Roman" w:hAnsi="Times New Roman" w:eastAsia="宋体" w:cs="Times New Roman"/>
          <w:color w:val="auto"/>
          <w:w w:val="99"/>
          <w:kern w:val="0"/>
          <w:sz w:val="24"/>
          <w:szCs w:val="24"/>
          <w:highlight w:val="none"/>
          <w:lang w:val="en-US" w:eastAsia="zh-CN" w:bidi="zh-CN"/>
        </w:rPr>
        <w:t>徐深</w:t>
      </w:r>
      <w:r>
        <w:rPr>
          <w:rFonts w:hint="eastAsia" w:ascii="Times New Roman" w:hAnsi="Times New Roman" w:cs="Times New Roman"/>
          <w:color w:val="auto"/>
          <w:w w:val="99"/>
          <w:kern w:val="0"/>
          <w:sz w:val="24"/>
          <w:szCs w:val="24"/>
          <w:highlight w:val="none"/>
          <w:lang w:val="en-US" w:eastAsia="zh-CN" w:bidi="zh-CN"/>
        </w:rPr>
        <w:t>27</w:t>
      </w:r>
      <w:r>
        <w:rPr>
          <w:rFonts w:hint="default" w:ascii="Times New Roman" w:hAnsi="Times New Roman" w:eastAsia="宋体" w:cs="Times New Roman"/>
          <w:color w:val="auto"/>
          <w:w w:val="99"/>
          <w:kern w:val="0"/>
          <w:sz w:val="24"/>
          <w:szCs w:val="24"/>
          <w:highlight w:val="none"/>
          <w:lang w:val="en-US" w:eastAsia="zh-CN" w:bidi="zh-CN"/>
        </w:rPr>
        <w:t>集气站污水储罐，再定期通过外输泵升压外输至气田采出水集输管网，并统一外输至升一联气田污水预处理站处理满足《大庆油田地面工程建设设计规定》（Q/SYDQ 0639-2015）限值“含油量≤10mg/L、悬浮固体含量≤5mg/L、粒径中值≤2μm”后回注地下。</w:t>
      </w:r>
    </w:p>
    <w:p w14:paraId="1AD9C1B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本项目运营期不新增人员，不新增生活污水。</w:t>
      </w:r>
    </w:p>
    <w:p w14:paraId="2EE94B6B">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②</w:t>
      </w:r>
      <w:r>
        <w:rPr>
          <w:rFonts w:hint="default" w:ascii="Times New Roman" w:hAnsi="Times New Roman" w:eastAsia="宋体" w:cs="Times New Roman"/>
          <w:color w:val="auto"/>
          <w:w w:val="99"/>
          <w:kern w:val="0"/>
          <w:sz w:val="24"/>
          <w:szCs w:val="24"/>
          <w:highlight w:val="none"/>
          <w:lang w:val="en-US" w:eastAsia="zh-CN" w:bidi="zh-CN"/>
        </w:rPr>
        <w:t>处理工艺可行性分析</w:t>
      </w:r>
    </w:p>
    <w:p w14:paraId="4B00F961">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de-DE" w:eastAsia="zh-CN" w:bidi="zh-CN"/>
        </w:rPr>
        <w:t>本项目</w:t>
      </w:r>
      <w:r>
        <w:rPr>
          <w:rFonts w:hint="eastAsia" w:ascii="Times New Roman" w:hAnsi="Times New Roman" w:cs="Times New Roman"/>
          <w:color w:val="auto"/>
          <w:w w:val="99"/>
          <w:kern w:val="0"/>
          <w:sz w:val="24"/>
          <w:szCs w:val="24"/>
          <w:highlight w:val="none"/>
          <w:lang w:val="en-US" w:eastAsia="zh-CN" w:bidi="zh-CN"/>
        </w:rPr>
        <w:t>1</w:t>
      </w:r>
      <w:r>
        <w:rPr>
          <w:rFonts w:hint="default" w:ascii="Times New Roman" w:hAnsi="Times New Roman" w:eastAsia="宋体" w:cs="Times New Roman"/>
          <w:color w:val="auto"/>
          <w:w w:val="99"/>
          <w:kern w:val="0"/>
          <w:sz w:val="24"/>
          <w:szCs w:val="24"/>
          <w:highlight w:val="none"/>
          <w:lang w:val="en-US" w:eastAsia="zh-CN" w:bidi="zh-CN"/>
        </w:rPr>
        <w:t>口</w:t>
      </w:r>
      <w:r>
        <w:rPr>
          <w:rFonts w:hint="eastAsia" w:ascii="Times New Roman" w:hAnsi="Times New Roman" w:eastAsia="宋体" w:cs="Times New Roman"/>
          <w:color w:val="auto"/>
          <w:w w:val="99"/>
          <w:kern w:val="0"/>
          <w:sz w:val="24"/>
          <w:szCs w:val="24"/>
          <w:highlight w:val="none"/>
          <w:lang w:val="en-US" w:eastAsia="zh-CN" w:bidi="zh-CN"/>
        </w:rPr>
        <w:t>气井的采出水</w:t>
      </w:r>
      <w:r>
        <w:rPr>
          <w:rFonts w:hint="default" w:ascii="Times New Roman" w:hAnsi="Times New Roman" w:eastAsia="宋体" w:cs="Times New Roman"/>
          <w:color w:val="auto"/>
          <w:w w:val="99"/>
          <w:kern w:val="0"/>
          <w:sz w:val="24"/>
          <w:szCs w:val="24"/>
          <w:highlight w:val="none"/>
          <w:lang w:val="de-DE" w:eastAsia="zh-CN" w:bidi="zh-CN"/>
        </w:rPr>
        <w:t>依托</w:t>
      </w:r>
      <w:r>
        <w:rPr>
          <w:rFonts w:hint="default" w:ascii="Times New Roman" w:hAnsi="Times New Roman" w:eastAsia="宋体" w:cs="Times New Roman"/>
          <w:color w:val="auto"/>
          <w:w w:val="99"/>
          <w:kern w:val="0"/>
          <w:sz w:val="24"/>
          <w:szCs w:val="24"/>
          <w:highlight w:val="none"/>
          <w:lang w:val="en-US" w:eastAsia="zh-CN" w:bidi="zh-CN"/>
        </w:rPr>
        <w:t>升一联气田污水预处理站</w:t>
      </w:r>
      <w:r>
        <w:rPr>
          <w:rFonts w:hint="default" w:ascii="Times New Roman" w:hAnsi="Times New Roman" w:eastAsia="宋体" w:cs="Times New Roman"/>
          <w:color w:val="auto"/>
          <w:w w:val="99"/>
          <w:kern w:val="0"/>
          <w:sz w:val="24"/>
          <w:szCs w:val="24"/>
          <w:highlight w:val="none"/>
          <w:lang w:val="de-DE" w:eastAsia="zh-CN" w:bidi="zh-CN"/>
        </w:rPr>
        <w:t>处理，站内工艺采用</w:t>
      </w:r>
      <w:r>
        <w:rPr>
          <w:rFonts w:hint="default" w:ascii="Times New Roman" w:hAnsi="Times New Roman" w:eastAsia="宋体" w:cs="Times New Roman"/>
          <w:color w:val="auto"/>
          <w:w w:val="99"/>
          <w:kern w:val="0"/>
          <w:sz w:val="24"/>
          <w:szCs w:val="24"/>
          <w:highlight w:val="none"/>
          <w:lang w:val="en-US" w:eastAsia="zh-CN" w:bidi="zh-CN"/>
        </w:rPr>
        <w:t>“调储缓冲→ 气浮→ 缓冲→ 两级过滤”工艺流程</w:t>
      </w:r>
      <w:r>
        <w:rPr>
          <w:rFonts w:hint="default" w:ascii="Times New Roman" w:hAnsi="Times New Roman" w:eastAsia="宋体" w:cs="Times New Roman"/>
          <w:color w:val="auto"/>
          <w:w w:val="99"/>
          <w:kern w:val="0"/>
          <w:sz w:val="24"/>
          <w:szCs w:val="24"/>
          <w:highlight w:val="none"/>
          <w:lang w:val="de-DE" w:eastAsia="zh-CN" w:bidi="zh-CN"/>
        </w:rPr>
        <w:t>，设计出水水质指标为</w:t>
      </w:r>
      <w:r>
        <w:rPr>
          <w:rFonts w:hint="default" w:ascii="Times New Roman" w:hAnsi="Times New Roman" w:eastAsia="宋体" w:cs="Times New Roman"/>
          <w:color w:val="auto"/>
          <w:w w:val="99"/>
          <w:kern w:val="0"/>
          <w:sz w:val="24"/>
          <w:szCs w:val="24"/>
          <w:highlight w:val="none"/>
          <w:lang w:val="en-US" w:eastAsia="zh-CN" w:bidi="zh-CN"/>
        </w:rPr>
        <w:t>《大庆油田地面工程建设设计规定》（Q/SYDQ0639-2015）中“含油量≤</w:t>
      </w:r>
      <w:r>
        <w:rPr>
          <w:rFonts w:hint="eastAsia" w:ascii="Times New Roman" w:hAnsi="Times New Roman" w:eastAsia="宋体" w:cs="Times New Roman"/>
          <w:color w:val="auto"/>
          <w:w w:val="99"/>
          <w:kern w:val="0"/>
          <w:sz w:val="24"/>
          <w:szCs w:val="24"/>
          <w:highlight w:val="none"/>
          <w:lang w:val="en-US" w:eastAsia="zh-CN" w:bidi="zh-CN"/>
        </w:rPr>
        <w:t>10</w:t>
      </w:r>
      <w:r>
        <w:rPr>
          <w:rFonts w:hint="default" w:ascii="Times New Roman" w:hAnsi="Times New Roman" w:eastAsia="宋体" w:cs="Times New Roman"/>
          <w:color w:val="auto"/>
          <w:w w:val="99"/>
          <w:kern w:val="0"/>
          <w:sz w:val="24"/>
          <w:szCs w:val="24"/>
          <w:highlight w:val="none"/>
          <w:lang w:val="en-US" w:eastAsia="zh-CN" w:bidi="zh-CN"/>
        </w:rPr>
        <w:t>mg/L、悬浮固体≤</w:t>
      </w:r>
      <w:r>
        <w:rPr>
          <w:rFonts w:hint="eastAsia" w:ascii="Times New Roman" w:hAnsi="Times New Roman" w:eastAsia="宋体" w:cs="Times New Roman"/>
          <w:color w:val="auto"/>
          <w:w w:val="99"/>
          <w:kern w:val="0"/>
          <w:sz w:val="24"/>
          <w:szCs w:val="24"/>
          <w:highlight w:val="none"/>
          <w:lang w:val="en-US" w:eastAsia="zh-CN" w:bidi="zh-CN"/>
        </w:rPr>
        <w:t>5</w:t>
      </w:r>
      <w:r>
        <w:rPr>
          <w:rFonts w:hint="default" w:ascii="Times New Roman" w:hAnsi="Times New Roman" w:eastAsia="宋体" w:cs="Times New Roman"/>
          <w:color w:val="auto"/>
          <w:w w:val="99"/>
          <w:kern w:val="0"/>
          <w:sz w:val="24"/>
          <w:szCs w:val="24"/>
          <w:highlight w:val="none"/>
          <w:lang w:val="en-US" w:eastAsia="zh-CN" w:bidi="zh-CN"/>
        </w:rPr>
        <w:t>mg/L、悬浮物颗粒直径中值≤</w:t>
      </w:r>
      <w:r>
        <w:rPr>
          <w:rFonts w:hint="eastAsia" w:ascii="Times New Roman" w:hAnsi="Times New Roman" w:eastAsia="宋体" w:cs="Times New Roman"/>
          <w:color w:val="auto"/>
          <w:w w:val="99"/>
          <w:kern w:val="0"/>
          <w:sz w:val="24"/>
          <w:szCs w:val="24"/>
          <w:highlight w:val="none"/>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μm”</w:t>
      </w:r>
      <w:r>
        <w:rPr>
          <w:rFonts w:hint="default" w:ascii="Times New Roman" w:hAnsi="Times New Roman" w:eastAsia="宋体" w:cs="Times New Roman"/>
          <w:color w:val="auto"/>
          <w:w w:val="99"/>
          <w:kern w:val="0"/>
          <w:sz w:val="24"/>
          <w:szCs w:val="24"/>
          <w:highlight w:val="none"/>
          <w:lang w:val="de-DE" w:eastAsia="zh-CN" w:bidi="zh-CN"/>
        </w:rPr>
        <w:t>，设计污水处理量为</w:t>
      </w:r>
      <w:r>
        <w:rPr>
          <w:rFonts w:hint="eastAsia" w:ascii="Times New Roman" w:hAnsi="Times New Roman" w:eastAsia="宋体" w:cs="Times New Roman"/>
          <w:color w:val="auto"/>
          <w:w w:val="99"/>
          <w:kern w:val="0"/>
          <w:sz w:val="24"/>
          <w:szCs w:val="24"/>
          <w:highlight w:val="none"/>
          <w:lang w:val="en-US" w:eastAsia="zh-CN" w:bidi="zh-CN"/>
        </w:rPr>
        <w:t>1400</w:t>
      </w:r>
      <w:r>
        <w:rPr>
          <w:rFonts w:hint="default" w:ascii="Times New Roman" w:hAnsi="Times New Roman" w:eastAsia="宋体" w:cs="Times New Roman"/>
          <w:color w:val="auto"/>
          <w:w w:val="99"/>
          <w:kern w:val="0"/>
          <w:sz w:val="24"/>
          <w:szCs w:val="24"/>
          <w:highlight w:val="none"/>
          <w:lang w:val="en-US" w:eastAsia="zh-CN" w:bidi="zh-CN"/>
        </w:rPr>
        <w:t>m</w:t>
      </w:r>
      <w:r>
        <w:rPr>
          <w:rFonts w:hint="default" w:ascii="Times New Roman" w:hAnsi="Times New Roman" w:eastAsia="宋体" w:cs="Times New Roman"/>
          <w:color w:val="auto"/>
          <w:w w:val="99"/>
          <w:kern w:val="0"/>
          <w:sz w:val="24"/>
          <w:szCs w:val="24"/>
          <w:highlight w:val="none"/>
          <w:vertAlign w:val="superscript"/>
          <w:lang w:val="en-US" w:eastAsia="zh-CN" w:bidi="zh-CN"/>
        </w:rPr>
        <w:t>3</w:t>
      </w:r>
      <w:r>
        <w:rPr>
          <w:rFonts w:hint="default" w:ascii="Times New Roman" w:hAnsi="Times New Roman" w:eastAsia="宋体" w:cs="Times New Roman"/>
          <w:color w:val="auto"/>
          <w:w w:val="99"/>
          <w:kern w:val="0"/>
          <w:sz w:val="24"/>
          <w:szCs w:val="24"/>
          <w:highlight w:val="none"/>
          <w:lang w:val="en-US" w:eastAsia="zh-CN" w:bidi="zh-CN"/>
        </w:rPr>
        <w:t>/d。</w:t>
      </w:r>
      <w:r>
        <w:rPr>
          <w:rFonts w:hint="default" w:ascii="Times New Roman" w:hAnsi="Times New Roman" w:eastAsia="宋体" w:cs="Times New Roman"/>
          <w:color w:val="auto"/>
          <w:w w:val="99"/>
          <w:kern w:val="0"/>
          <w:sz w:val="24"/>
          <w:szCs w:val="24"/>
          <w:highlight w:val="none"/>
          <w:lang w:val="de-DE" w:eastAsia="zh-CN" w:bidi="zh-CN"/>
        </w:rPr>
        <w:t>目前实际污水处理量为</w:t>
      </w:r>
      <w:r>
        <w:rPr>
          <w:rFonts w:hint="eastAsia" w:ascii="Times New Roman" w:hAnsi="Times New Roman" w:eastAsia="宋体" w:cs="Times New Roman"/>
          <w:color w:val="auto"/>
          <w:w w:val="99"/>
          <w:kern w:val="0"/>
          <w:sz w:val="24"/>
          <w:szCs w:val="24"/>
          <w:highlight w:val="none"/>
          <w:lang w:val="en-US" w:eastAsia="zh-CN" w:bidi="zh-CN"/>
        </w:rPr>
        <w:t>390</w:t>
      </w:r>
      <w:r>
        <w:rPr>
          <w:rFonts w:hint="default" w:ascii="Times New Roman" w:hAnsi="Times New Roman" w:eastAsia="宋体" w:cs="Times New Roman"/>
          <w:color w:val="auto"/>
          <w:w w:val="99"/>
          <w:kern w:val="0"/>
          <w:sz w:val="24"/>
          <w:szCs w:val="24"/>
          <w:highlight w:val="none"/>
          <w:lang w:val="de-DE" w:eastAsia="zh-CN" w:bidi="zh-CN"/>
        </w:rPr>
        <w:t>m</w:t>
      </w:r>
      <w:r>
        <w:rPr>
          <w:rFonts w:hint="default" w:ascii="Times New Roman" w:hAnsi="Times New Roman" w:eastAsia="宋体" w:cs="Times New Roman"/>
          <w:color w:val="auto"/>
          <w:w w:val="99"/>
          <w:kern w:val="0"/>
          <w:sz w:val="24"/>
          <w:szCs w:val="24"/>
          <w:highlight w:val="none"/>
          <w:vertAlign w:val="superscript"/>
          <w:lang w:val="de-DE" w:eastAsia="zh-CN" w:bidi="zh-CN"/>
        </w:rPr>
        <w:t>3</w:t>
      </w:r>
      <w:r>
        <w:rPr>
          <w:rFonts w:hint="default" w:ascii="Times New Roman" w:hAnsi="Times New Roman" w:eastAsia="宋体" w:cs="Times New Roman"/>
          <w:color w:val="auto"/>
          <w:w w:val="99"/>
          <w:kern w:val="0"/>
          <w:sz w:val="24"/>
          <w:szCs w:val="24"/>
          <w:highlight w:val="none"/>
          <w:lang w:val="de-DE" w:eastAsia="zh-CN" w:bidi="zh-CN"/>
        </w:rPr>
        <w:t>/d，</w:t>
      </w:r>
      <w:r>
        <w:rPr>
          <w:rFonts w:hint="default" w:ascii="Times New Roman" w:hAnsi="Times New Roman" w:eastAsia="宋体" w:cs="Times New Roman"/>
          <w:color w:val="auto"/>
          <w:w w:val="99"/>
          <w:kern w:val="0"/>
          <w:sz w:val="24"/>
          <w:szCs w:val="24"/>
          <w:highlight w:val="none"/>
          <w:lang w:val="en-US" w:eastAsia="zh-CN" w:bidi="zh-CN"/>
        </w:rPr>
        <w:t>本项目气田采出水最大产生量为</w:t>
      </w:r>
      <w:r>
        <w:rPr>
          <w:rFonts w:hint="eastAsia" w:ascii="Times New Roman" w:hAnsi="Times New Roman" w:cs="Times New Roman"/>
          <w:color w:val="auto"/>
          <w:w w:val="99"/>
          <w:kern w:val="0"/>
          <w:sz w:val="24"/>
          <w:szCs w:val="24"/>
          <w:highlight w:val="none"/>
          <w:lang w:val="en-US" w:eastAsia="zh-CN" w:bidi="zh-CN"/>
        </w:rPr>
        <w:t>3.0</w:t>
      </w:r>
      <w:r>
        <w:rPr>
          <w:rFonts w:hint="eastAsia" w:ascii="Times New Roman" w:hAnsi="Times New Roman" w:eastAsia="宋体" w:cs="Times New Roman"/>
          <w:color w:val="auto"/>
          <w:w w:val="99"/>
          <w:kern w:val="0"/>
          <w:sz w:val="24"/>
          <w:szCs w:val="24"/>
          <w:highlight w:val="none"/>
          <w:lang w:val="en-US" w:eastAsia="zh-CN" w:bidi="zh-CN"/>
        </w:rPr>
        <w:t>m</w:t>
      </w:r>
      <w:r>
        <w:rPr>
          <w:rFonts w:hint="eastAsia" w:ascii="Times New Roman" w:hAnsi="Times New Roman" w:eastAsia="宋体" w:cs="Times New Roman"/>
          <w:color w:val="auto"/>
          <w:w w:val="99"/>
          <w:kern w:val="0"/>
          <w:sz w:val="24"/>
          <w:szCs w:val="24"/>
          <w:highlight w:val="none"/>
          <w:vertAlign w:val="superscript"/>
          <w:lang w:val="en-US" w:eastAsia="zh-CN" w:bidi="zh-CN"/>
        </w:rPr>
        <w:t>3</w:t>
      </w:r>
      <w:r>
        <w:rPr>
          <w:rFonts w:hint="default" w:ascii="Times New Roman" w:hAnsi="Times New Roman" w:eastAsia="宋体" w:cs="Times New Roman"/>
          <w:color w:val="auto"/>
          <w:w w:val="99"/>
          <w:kern w:val="0"/>
          <w:sz w:val="24"/>
          <w:szCs w:val="24"/>
          <w:highlight w:val="none"/>
          <w:lang w:val="en-US" w:eastAsia="zh-CN" w:bidi="zh-CN"/>
        </w:rPr>
        <w:t>/d</w:t>
      </w:r>
      <w:r>
        <w:rPr>
          <w:rFonts w:hint="default" w:ascii="Times New Roman" w:hAnsi="Times New Roman" w:eastAsia="宋体" w:cs="Times New Roman"/>
          <w:color w:val="auto"/>
          <w:w w:val="99"/>
          <w:kern w:val="0"/>
          <w:sz w:val="24"/>
          <w:szCs w:val="24"/>
          <w:highlight w:val="none"/>
          <w:lang w:val="de-DE" w:eastAsia="zh-CN" w:bidi="zh-CN"/>
        </w:rPr>
        <w:t>，满足开发需求。</w:t>
      </w:r>
    </w:p>
    <w:p w14:paraId="43D71F2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③</w:t>
      </w:r>
      <w:r>
        <w:rPr>
          <w:rFonts w:hint="default" w:ascii="Times New Roman" w:hAnsi="Times New Roman" w:eastAsia="宋体" w:cs="Times New Roman"/>
          <w:color w:val="auto"/>
          <w:w w:val="99"/>
          <w:kern w:val="0"/>
          <w:sz w:val="24"/>
          <w:szCs w:val="24"/>
          <w:highlight w:val="none"/>
          <w:lang w:val="en-US" w:eastAsia="zh-CN" w:bidi="zh-CN"/>
        </w:rPr>
        <w:t>处理工艺达标可行性分析</w:t>
      </w:r>
    </w:p>
    <w:p w14:paraId="16511AB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根据现场调查，项目所属区域注水井回注层位与</w:t>
      </w:r>
      <w:r>
        <w:rPr>
          <w:rFonts w:hint="eastAsia" w:ascii="Times New Roman" w:hAnsi="Times New Roman" w:eastAsia="宋体" w:cs="Times New Roman"/>
          <w:color w:val="auto"/>
          <w:w w:val="99"/>
          <w:kern w:val="0"/>
          <w:sz w:val="24"/>
          <w:szCs w:val="24"/>
          <w:highlight w:val="none"/>
          <w:lang w:val="en-US" w:eastAsia="zh-CN" w:bidi="zh-CN"/>
        </w:rPr>
        <w:t>采气井</w:t>
      </w:r>
      <w:r>
        <w:rPr>
          <w:rFonts w:hint="default" w:ascii="Times New Roman" w:hAnsi="Times New Roman" w:eastAsia="宋体" w:cs="Times New Roman"/>
          <w:color w:val="auto"/>
          <w:w w:val="99"/>
          <w:kern w:val="0"/>
          <w:sz w:val="24"/>
          <w:szCs w:val="24"/>
          <w:highlight w:val="none"/>
          <w:lang w:val="en-US" w:eastAsia="zh-CN" w:bidi="zh-CN"/>
        </w:rPr>
        <w:t>开采层位相同，属于回注到现役油气藏层位。</w:t>
      </w:r>
    </w:p>
    <w:p w14:paraId="0121932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根据</w:t>
      </w:r>
      <w:r>
        <w:rPr>
          <w:rFonts w:hint="default" w:ascii="Times New Roman" w:hAnsi="Times New Roman" w:eastAsia="宋体" w:cs="Times New Roman"/>
          <w:color w:val="auto"/>
          <w:w w:val="99"/>
          <w:kern w:val="0"/>
          <w:sz w:val="24"/>
          <w:szCs w:val="24"/>
          <w:highlight w:val="none"/>
          <w:lang w:val="en-US" w:eastAsia="zh-CN" w:bidi="zh-CN"/>
        </w:rPr>
        <w:t>大庆中环评价检测有限公司于2025年</w:t>
      </w:r>
      <w:r>
        <w:rPr>
          <w:rFonts w:hint="eastAsia" w:ascii="Times New Roman" w:hAnsi="Times New Roman" w:cs="Times New Roman"/>
          <w:color w:val="auto"/>
          <w:w w:val="99"/>
          <w:kern w:val="0"/>
          <w:sz w:val="24"/>
          <w:szCs w:val="24"/>
          <w:highlight w:val="none"/>
          <w:lang w:val="en-US" w:eastAsia="zh-CN" w:bidi="zh-CN"/>
        </w:rPr>
        <w:t>1</w:t>
      </w:r>
      <w:r>
        <w:rPr>
          <w:rFonts w:hint="eastAsia" w:ascii="Times New Roman" w:hAnsi="Times New Roman" w:eastAsia="宋体" w:cs="Times New Roman"/>
          <w:color w:val="auto"/>
          <w:w w:val="99"/>
          <w:kern w:val="0"/>
          <w:sz w:val="24"/>
          <w:szCs w:val="24"/>
          <w:highlight w:val="none"/>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月</w:t>
      </w:r>
      <w:r>
        <w:rPr>
          <w:rFonts w:hint="eastAsia" w:ascii="Times New Roman" w:hAnsi="Times New Roman" w:eastAsia="宋体" w:cs="Times New Roman"/>
          <w:color w:val="auto"/>
          <w:w w:val="99"/>
          <w:kern w:val="0"/>
          <w:sz w:val="24"/>
          <w:szCs w:val="24"/>
          <w:highlight w:val="none"/>
          <w:lang w:val="en-US" w:eastAsia="zh-CN" w:bidi="zh-CN"/>
        </w:rPr>
        <w:t>2</w:t>
      </w:r>
      <w:r>
        <w:rPr>
          <w:rFonts w:hint="eastAsia" w:ascii="Times New Roman" w:hAnsi="Times New Roman" w:cs="Times New Roman"/>
          <w:color w:val="auto"/>
          <w:w w:val="99"/>
          <w:kern w:val="0"/>
          <w:sz w:val="24"/>
          <w:szCs w:val="24"/>
          <w:highlight w:val="none"/>
          <w:lang w:val="en-US" w:eastAsia="zh-CN" w:bidi="zh-CN"/>
        </w:rPr>
        <w:t>4</w:t>
      </w:r>
      <w:r>
        <w:rPr>
          <w:rFonts w:hint="default" w:ascii="Times New Roman" w:hAnsi="Times New Roman" w:eastAsia="宋体" w:cs="Times New Roman"/>
          <w:color w:val="auto"/>
          <w:w w:val="99"/>
          <w:kern w:val="0"/>
          <w:sz w:val="24"/>
          <w:szCs w:val="24"/>
          <w:highlight w:val="none"/>
          <w:lang w:val="en-US" w:eastAsia="zh-CN" w:bidi="zh-CN"/>
        </w:rPr>
        <w:t>日-</w:t>
      </w:r>
      <w:r>
        <w:rPr>
          <w:rFonts w:hint="eastAsia" w:ascii="Times New Roman" w:hAnsi="Times New Roman" w:eastAsia="宋体" w:cs="Times New Roman"/>
          <w:color w:val="auto"/>
          <w:w w:val="99"/>
          <w:kern w:val="0"/>
          <w:sz w:val="24"/>
          <w:szCs w:val="24"/>
          <w:highlight w:val="none"/>
          <w:lang w:val="en-US" w:eastAsia="zh-CN" w:bidi="zh-CN"/>
        </w:rPr>
        <w:t>2</w:t>
      </w:r>
      <w:r>
        <w:rPr>
          <w:rFonts w:hint="eastAsia" w:ascii="Times New Roman" w:hAnsi="Times New Roman" w:cs="Times New Roman"/>
          <w:color w:val="auto"/>
          <w:w w:val="99"/>
          <w:kern w:val="0"/>
          <w:sz w:val="24"/>
          <w:szCs w:val="24"/>
          <w:highlight w:val="none"/>
          <w:lang w:val="en-US" w:eastAsia="zh-CN" w:bidi="zh-CN"/>
        </w:rPr>
        <w:t>5</w:t>
      </w:r>
      <w:r>
        <w:rPr>
          <w:rFonts w:hint="default" w:ascii="Times New Roman" w:hAnsi="Times New Roman" w:eastAsia="宋体" w:cs="Times New Roman"/>
          <w:color w:val="auto"/>
          <w:w w:val="99"/>
          <w:kern w:val="0"/>
          <w:sz w:val="24"/>
          <w:szCs w:val="24"/>
          <w:highlight w:val="none"/>
          <w:lang w:val="en-US" w:eastAsia="zh-CN" w:bidi="zh-CN"/>
        </w:rPr>
        <w:t>日对升一联气田污水预处理站出水水质进行监测，根据监测结果可知，升一联气田污水预处理站处理后的污水含油量为</w:t>
      </w:r>
      <w:r>
        <w:rPr>
          <w:rFonts w:hint="eastAsia" w:ascii="Times New Roman" w:hAnsi="Times New Roman" w:cs="Times New Roman"/>
          <w:color w:val="auto"/>
          <w:w w:val="99"/>
          <w:kern w:val="0"/>
          <w:sz w:val="24"/>
          <w:szCs w:val="24"/>
          <w:highlight w:val="none"/>
          <w:lang w:val="en-US" w:eastAsia="zh-CN" w:bidi="zh-CN"/>
        </w:rPr>
        <w:t>0.88</w:t>
      </w: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1.25</w:t>
      </w:r>
      <w:r>
        <w:rPr>
          <w:rFonts w:hint="default" w:ascii="Times New Roman" w:hAnsi="Times New Roman" w:eastAsia="宋体" w:cs="Times New Roman"/>
          <w:color w:val="auto"/>
          <w:w w:val="99"/>
          <w:kern w:val="0"/>
          <w:sz w:val="24"/>
          <w:szCs w:val="24"/>
          <w:highlight w:val="none"/>
          <w:lang w:val="en-US" w:eastAsia="zh-CN" w:bidi="zh-CN"/>
        </w:rPr>
        <w:t>mg/L，悬浮固体含量为</w:t>
      </w:r>
      <w:r>
        <w:rPr>
          <w:rFonts w:hint="eastAsia" w:ascii="Times New Roman" w:hAnsi="Times New Roman" w:eastAsia="宋体" w:cs="Times New Roman"/>
          <w:color w:val="auto"/>
          <w:w w:val="99"/>
          <w:kern w:val="0"/>
          <w:sz w:val="24"/>
          <w:szCs w:val="24"/>
          <w:highlight w:val="none"/>
          <w:lang w:val="en-US" w:eastAsia="zh-CN" w:bidi="zh-CN"/>
        </w:rPr>
        <w:t>2-3</w:t>
      </w:r>
      <w:r>
        <w:rPr>
          <w:rFonts w:hint="default" w:ascii="Times New Roman" w:hAnsi="Times New Roman" w:eastAsia="宋体" w:cs="Times New Roman"/>
          <w:color w:val="auto"/>
          <w:w w:val="99"/>
          <w:kern w:val="0"/>
          <w:sz w:val="24"/>
          <w:szCs w:val="24"/>
          <w:highlight w:val="none"/>
          <w:lang w:val="en-US" w:eastAsia="zh-CN" w:bidi="zh-CN"/>
        </w:rPr>
        <w:t>mg/L，悬浮物颗粒直径中值为1μm；处理后的污水</w:t>
      </w:r>
      <w:r>
        <w:rPr>
          <w:rFonts w:hint="eastAsia" w:ascii="Times New Roman" w:hAnsi="Times New Roman" w:eastAsia="宋体" w:cs="Times New Roman"/>
          <w:color w:val="auto"/>
          <w:w w:val="99"/>
          <w:kern w:val="0"/>
          <w:sz w:val="24"/>
          <w:szCs w:val="24"/>
          <w:highlight w:val="none"/>
          <w:lang w:val="en-US" w:eastAsia="zh-CN" w:bidi="zh-CN"/>
        </w:rPr>
        <w:t>水质</w:t>
      </w:r>
      <w:r>
        <w:rPr>
          <w:rFonts w:hint="default" w:ascii="Times New Roman" w:hAnsi="Times New Roman" w:eastAsia="宋体" w:cs="Times New Roman"/>
          <w:color w:val="auto"/>
          <w:w w:val="99"/>
          <w:kern w:val="0"/>
          <w:sz w:val="24"/>
          <w:szCs w:val="24"/>
          <w:highlight w:val="none"/>
          <w:lang w:val="en-US" w:eastAsia="zh-CN" w:bidi="zh-CN"/>
        </w:rPr>
        <w:t>满足《大庆油田地面工程建设设计规定》（Q/SYDQ0639-2015）及《碎屑岩油藏注水水质指标技术要求及分析方法》（SY/T5329-2022）限值要求，处理后污水回注油层，符合《关于进一步加强石油天然气行业环境影响评价管理的通知》（环办环评函〔2019〕910号）中相关要求。</w:t>
      </w:r>
    </w:p>
    <w:p w14:paraId="6806B941">
      <w:pPr>
        <w:widowControl w:val="0"/>
        <w:spacing w:line="440" w:lineRule="exact"/>
        <w:ind w:firstLine="476" w:firstLineChars="200"/>
        <w:jc w:val="both"/>
        <w:rPr>
          <w:rFonts w:hint="default" w:ascii="Times New Roman" w:hAnsi="Times New Roman" w:eastAsia="宋体" w:cs="Times New Roman"/>
          <w:b/>
          <w:bCs/>
          <w:color w:val="auto"/>
          <w:w w:val="99"/>
          <w:kern w:val="0"/>
          <w:sz w:val="24"/>
          <w:szCs w:val="24"/>
          <w:highlight w:val="none"/>
          <w:lang w:val="en-US" w:eastAsia="zh-CN" w:bidi="zh-CN"/>
        </w:rPr>
      </w:pPr>
      <w:r>
        <w:rPr>
          <w:rFonts w:hint="eastAsia" w:ascii="Times New Roman" w:hAnsi="Times New Roman" w:eastAsia="宋体" w:cs="Times New Roman"/>
          <w:b/>
          <w:bCs/>
          <w:color w:val="auto"/>
          <w:w w:val="99"/>
          <w:kern w:val="0"/>
          <w:sz w:val="24"/>
          <w:szCs w:val="24"/>
          <w:highlight w:val="none"/>
          <w:lang w:val="en-US" w:eastAsia="zh-CN" w:bidi="zh-CN"/>
        </w:rPr>
        <w:t>表6.1-2  运营期废水处理达标情况分析</w:t>
      </w:r>
    </w:p>
    <w:tbl>
      <w:tblPr>
        <w:tblStyle w:val="8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706"/>
        <w:gridCol w:w="868"/>
        <w:gridCol w:w="1088"/>
        <w:gridCol w:w="1382"/>
        <w:gridCol w:w="1898"/>
        <w:gridCol w:w="972"/>
      </w:tblGrid>
      <w:tr w14:paraId="04B6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35" w:type="pct"/>
            <w:vMerge w:val="restart"/>
            <w:vAlign w:val="center"/>
          </w:tcPr>
          <w:p w14:paraId="312F73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cs="Times New Roman"/>
                <w:color w:val="auto"/>
                <w:w w:val="99"/>
                <w:kern w:val="0"/>
                <w:sz w:val="21"/>
                <w:szCs w:val="21"/>
                <w:highlight w:val="none"/>
                <w:lang w:val="en-US" w:eastAsia="zh-CN" w:bidi="zh-CN"/>
              </w:rPr>
              <w:t>场站</w:t>
            </w:r>
          </w:p>
        </w:tc>
        <w:tc>
          <w:tcPr>
            <w:tcW w:w="919" w:type="pct"/>
            <w:vMerge w:val="restart"/>
            <w:vAlign w:val="center"/>
          </w:tcPr>
          <w:p w14:paraId="7B09DD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监测项目</w:t>
            </w:r>
          </w:p>
        </w:tc>
        <w:tc>
          <w:tcPr>
            <w:tcW w:w="467" w:type="pct"/>
            <w:vMerge w:val="restart"/>
            <w:vAlign w:val="center"/>
          </w:tcPr>
          <w:p w14:paraId="5BB8D8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单位</w:t>
            </w:r>
          </w:p>
        </w:tc>
        <w:tc>
          <w:tcPr>
            <w:tcW w:w="586" w:type="pct"/>
            <w:vMerge w:val="restart"/>
            <w:tcBorders>
              <w:right w:val="single" w:color="000000" w:sz="2" w:space="0"/>
            </w:tcBorders>
            <w:vAlign w:val="center"/>
          </w:tcPr>
          <w:p w14:paraId="12740E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监测结果</w:t>
            </w:r>
          </w:p>
        </w:tc>
        <w:tc>
          <w:tcPr>
            <w:tcW w:w="1767" w:type="pct"/>
            <w:gridSpan w:val="2"/>
            <w:vAlign w:val="center"/>
          </w:tcPr>
          <w:p w14:paraId="624557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标准限值</w:t>
            </w:r>
          </w:p>
        </w:tc>
        <w:tc>
          <w:tcPr>
            <w:tcW w:w="523" w:type="pct"/>
            <w:vMerge w:val="restart"/>
            <w:vAlign w:val="center"/>
          </w:tcPr>
          <w:p w14:paraId="627721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cs="Times New Roman"/>
                <w:color w:val="auto"/>
                <w:w w:val="99"/>
                <w:kern w:val="0"/>
                <w:sz w:val="21"/>
                <w:szCs w:val="21"/>
                <w:highlight w:val="none"/>
                <w:lang w:val="en-US" w:eastAsia="zh-CN" w:bidi="zh-CN"/>
              </w:rPr>
              <w:t>采样时间</w:t>
            </w:r>
          </w:p>
        </w:tc>
      </w:tr>
      <w:tr w14:paraId="3DF8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Merge w:val="continue"/>
            <w:vAlign w:val="center"/>
          </w:tcPr>
          <w:p w14:paraId="22A396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p>
        </w:tc>
        <w:tc>
          <w:tcPr>
            <w:tcW w:w="919" w:type="pct"/>
            <w:vMerge w:val="continue"/>
            <w:vAlign w:val="center"/>
          </w:tcPr>
          <w:p w14:paraId="19C4DFE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p>
        </w:tc>
        <w:tc>
          <w:tcPr>
            <w:tcW w:w="467" w:type="pct"/>
            <w:vMerge w:val="continue"/>
            <w:vAlign w:val="center"/>
          </w:tcPr>
          <w:p w14:paraId="67BC52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p>
        </w:tc>
        <w:tc>
          <w:tcPr>
            <w:tcW w:w="586" w:type="pct"/>
            <w:vMerge w:val="continue"/>
            <w:tcBorders>
              <w:right w:val="single" w:color="000000" w:sz="2" w:space="0"/>
            </w:tcBorders>
            <w:vAlign w:val="center"/>
          </w:tcPr>
          <w:p w14:paraId="1198BA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p>
        </w:tc>
        <w:tc>
          <w:tcPr>
            <w:tcW w:w="744" w:type="pct"/>
            <w:shd w:val="clear" w:color="auto" w:fill="auto"/>
            <w:vAlign w:val="center"/>
          </w:tcPr>
          <w:p w14:paraId="5E7CEB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《大庆油田地面工程建设设计规定》（Q/SYDQ0639-2015）</w:t>
            </w:r>
          </w:p>
        </w:tc>
        <w:tc>
          <w:tcPr>
            <w:tcW w:w="1022" w:type="pct"/>
            <w:shd w:val="clear" w:color="auto" w:fill="auto"/>
            <w:vAlign w:val="center"/>
          </w:tcPr>
          <w:p w14:paraId="213CA6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《碎屑岩油藏注水水质指标技术要求及分析方法》（SY/T5329-2022）</w:t>
            </w:r>
          </w:p>
        </w:tc>
        <w:tc>
          <w:tcPr>
            <w:tcW w:w="523" w:type="pct"/>
            <w:vMerge w:val="continue"/>
            <w:shd w:val="clear" w:color="auto" w:fill="auto"/>
            <w:vAlign w:val="center"/>
          </w:tcPr>
          <w:p w14:paraId="56681F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p>
        </w:tc>
      </w:tr>
      <w:tr w14:paraId="7808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Merge w:val="restart"/>
            <w:vAlign w:val="center"/>
          </w:tcPr>
          <w:p w14:paraId="3E5138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升一联气田污水预处理站</w:t>
            </w:r>
          </w:p>
        </w:tc>
        <w:tc>
          <w:tcPr>
            <w:tcW w:w="919" w:type="pct"/>
            <w:shd w:val="clear" w:color="auto" w:fill="auto"/>
            <w:vAlign w:val="center"/>
          </w:tcPr>
          <w:p w14:paraId="7E7DBC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含油量</w:t>
            </w:r>
          </w:p>
        </w:tc>
        <w:tc>
          <w:tcPr>
            <w:tcW w:w="467" w:type="pct"/>
            <w:shd w:val="clear" w:color="auto" w:fill="auto"/>
            <w:vAlign w:val="center"/>
          </w:tcPr>
          <w:p w14:paraId="0DEC17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mg/L</w:t>
            </w:r>
          </w:p>
        </w:tc>
        <w:tc>
          <w:tcPr>
            <w:tcW w:w="586" w:type="pct"/>
            <w:vAlign w:val="center"/>
          </w:tcPr>
          <w:p w14:paraId="512973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cs="Times New Roman"/>
                <w:color w:val="auto"/>
                <w:w w:val="99"/>
                <w:kern w:val="0"/>
                <w:sz w:val="21"/>
                <w:szCs w:val="21"/>
                <w:highlight w:val="none"/>
                <w:lang w:val="en-US" w:eastAsia="zh-CN" w:bidi="zh-CN"/>
              </w:rPr>
              <w:t>0.88-1.25</w:t>
            </w:r>
          </w:p>
        </w:tc>
        <w:tc>
          <w:tcPr>
            <w:tcW w:w="744" w:type="pct"/>
            <w:vAlign w:val="center"/>
          </w:tcPr>
          <w:p w14:paraId="4A1AC5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10</w:t>
            </w:r>
          </w:p>
        </w:tc>
        <w:tc>
          <w:tcPr>
            <w:tcW w:w="1022" w:type="pct"/>
            <w:shd w:val="clear" w:color="auto" w:fill="auto"/>
            <w:vAlign w:val="center"/>
          </w:tcPr>
          <w:p w14:paraId="41F033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15</w:t>
            </w:r>
          </w:p>
        </w:tc>
        <w:tc>
          <w:tcPr>
            <w:tcW w:w="523" w:type="pct"/>
            <w:vMerge w:val="restart"/>
            <w:shd w:val="clear" w:color="auto" w:fill="auto"/>
            <w:vAlign w:val="center"/>
          </w:tcPr>
          <w:p w14:paraId="3CB56A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2025.12.24-25</w:t>
            </w:r>
          </w:p>
        </w:tc>
      </w:tr>
      <w:tr w14:paraId="5B81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Merge w:val="continue"/>
            <w:vAlign w:val="center"/>
          </w:tcPr>
          <w:p w14:paraId="45964B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p>
        </w:tc>
        <w:tc>
          <w:tcPr>
            <w:tcW w:w="919" w:type="pct"/>
            <w:shd w:val="clear" w:color="auto" w:fill="auto"/>
            <w:vAlign w:val="center"/>
          </w:tcPr>
          <w:p w14:paraId="2C12FE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悬浮固体含量</w:t>
            </w:r>
          </w:p>
        </w:tc>
        <w:tc>
          <w:tcPr>
            <w:tcW w:w="467" w:type="pct"/>
            <w:shd w:val="clear" w:color="auto" w:fill="auto"/>
            <w:vAlign w:val="center"/>
          </w:tcPr>
          <w:p w14:paraId="145F11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mg/L</w:t>
            </w:r>
          </w:p>
        </w:tc>
        <w:tc>
          <w:tcPr>
            <w:tcW w:w="586" w:type="pct"/>
            <w:vAlign w:val="center"/>
          </w:tcPr>
          <w:p w14:paraId="401CD6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cs="Times New Roman"/>
                <w:color w:val="auto"/>
                <w:w w:val="99"/>
                <w:kern w:val="0"/>
                <w:sz w:val="21"/>
                <w:szCs w:val="21"/>
                <w:highlight w:val="none"/>
                <w:lang w:val="en-US" w:eastAsia="zh-CN" w:bidi="zh-CN"/>
              </w:rPr>
              <w:t>2-3</w:t>
            </w:r>
          </w:p>
        </w:tc>
        <w:tc>
          <w:tcPr>
            <w:tcW w:w="744" w:type="pct"/>
            <w:vAlign w:val="center"/>
          </w:tcPr>
          <w:p w14:paraId="2AAC70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5</w:t>
            </w:r>
          </w:p>
        </w:tc>
        <w:tc>
          <w:tcPr>
            <w:tcW w:w="1022" w:type="pct"/>
            <w:shd w:val="clear" w:color="auto" w:fill="auto"/>
            <w:vAlign w:val="center"/>
          </w:tcPr>
          <w:p w14:paraId="6C0ED5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20</w:t>
            </w:r>
          </w:p>
        </w:tc>
        <w:tc>
          <w:tcPr>
            <w:tcW w:w="523" w:type="pct"/>
            <w:vMerge w:val="continue"/>
            <w:shd w:val="clear" w:color="auto" w:fill="auto"/>
            <w:vAlign w:val="center"/>
          </w:tcPr>
          <w:p w14:paraId="361634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p>
        </w:tc>
      </w:tr>
      <w:tr w14:paraId="5594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Merge w:val="continue"/>
            <w:vAlign w:val="center"/>
          </w:tcPr>
          <w:p w14:paraId="4E291B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p>
        </w:tc>
        <w:tc>
          <w:tcPr>
            <w:tcW w:w="919" w:type="pct"/>
            <w:shd w:val="clear" w:color="auto" w:fill="auto"/>
            <w:vAlign w:val="center"/>
          </w:tcPr>
          <w:p w14:paraId="135961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悬浮物颗粒直径中值</w:t>
            </w:r>
          </w:p>
        </w:tc>
        <w:tc>
          <w:tcPr>
            <w:tcW w:w="467" w:type="pct"/>
            <w:shd w:val="clear" w:color="auto" w:fill="auto"/>
            <w:vAlign w:val="center"/>
          </w:tcPr>
          <w:p w14:paraId="1C169C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eastAsia="宋体" w:cs="Times New Roman"/>
                <w:color w:val="auto"/>
                <w:w w:val="99"/>
                <w:kern w:val="0"/>
                <w:sz w:val="21"/>
                <w:szCs w:val="21"/>
                <w:highlight w:val="none"/>
                <w:lang w:val="en-US" w:eastAsia="zh-CN" w:bidi="zh-CN"/>
              </w:rPr>
              <w:t>μm</w:t>
            </w:r>
          </w:p>
        </w:tc>
        <w:tc>
          <w:tcPr>
            <w:tcW w:w="586" w:type="pct"/>
            <w:vAlign w:val="center"/>
          </w:tcPr>
          <w:p w14:paraId="2E1C0F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eastAsia" w:ascii="Times New Roman" w:hAnsi="Times New Roman" w:cs="Times New Roman"/>
                <w:color w:val="auto"/>
                <w:w w:val="99"/>
                <w:kern w:val="0"/>
                <w:sz w:val="21"/>
                <w:szCs w:val="21"/>
                <w:highlight w:val="none"/>
                <w:lang w:val="en-US" w:eastAsia="zh-CN" w:bidi="zh-CN"/>
              </w:rPr>
              <w:t>1</w:t>
            </w:r>
          </w:p>
        </w:tc>
        <w:tc>
          <w:tcPr>
            <w:tcW w:w="744" w:type="pct"/>
            <w:vAlign w:val="center"/>
          </w:tcPr>
          <w:p w14:paraId="4668CC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2</w:t>
            </w:r>
          </w:p>
        </w:tc>
        <w:tc>
          <w:tcPr>
            <w:tcW w:w="1022" w:type="pct"/>
            <w:shd w:val="clear" w:color="auto" w:fill="auto"/>
            <w:vAlign w:val="center"/>
          </w:tcPr>
          <w:p w14:paraId="426C6E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r>
              <w:rPr>
                <w:rFonts w:hint="default" w:ascii="Times New Roman" w:hAnsi="Times New Roman" w:eastAsia="宋体" w:cs="Times New Roman"/>
                <w:color w:val="auto"/>
                <w:w w:val="99"/>
                <w:kern w:val="0"/>
                <w:sz w:val="21"/>
                <w:szCs w:val="21"/>
                <w:highlight w:val="none"/>
                <w:lang w:val="en-US" w:eastAsia="zh-CN" w:bidi="zh-CN"/>
              </w:rPr>
              <w:t>≤</w:t>
            </w:r>
            <w:r>
              <w:rPr>
                <w:rFonts w:hint="eastAsia" w:ascii="Times New Roman" w:hAnsi="Times New Roman" w:cs="Times New Roman"/>
                <w:color w:val="auto"/>
                <w:w w:val="99"/>
                <w:kern w:val="0"/>
                <w:sz w:val="21"/>
                <w:szCs w:val="21"/>
                <w:highlight w:val="none"/>
                <w:lang w:val="en-US" w:eastAsia="zh-CN" w:bidi="zh-CN"/>
              </w:rPr>
              <w:t>5</w:t>
            </w:r>
          </w:p>
        </w:tc>
        <w:tc>
          <w:tcPr>
            <w:tcW w:w="523" w:type="pct"/>
            <w:vMerge w:val="continue"/>
            <w:shd w:val="clear" w:color="auto" w:fill="auto"/>
            <w:vAlign w:val="center"/>
          </w:tcPr>
          <w:p w14:paraId="6D831D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w w:val="99"/>
                <w:kern w:val="0"/>
                <w:sz w:val="21"/>
                <w:szCs w:val="21"/>
                <w:highlight w:val="none"/>
                <w:lang w:val="en-US" w:eastAsia="zh-CN" w:bidi="zh-CN"/>
              </w:rPr>
            </w:pPr>
          </w:p>
        </w:tc>
      </w:tr>
    </w:tbl>
    <w:p w14:paraId="4CABC0C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由以上分析，从处理规模本项目升一联气田污水预处理站可行。</w:t>
      </w:r>
    </w:p>
    <w:p w14:paraId="740EE9FB">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本项目施工期拉运污水集中接收场站要建设监控装置，并接入市生态环境局监控平台，污水拉运过程要建立台账，并接受视频监管，视频要求本地保留3个月以上。</w:t>
      </w:r>
    </w:p>
    <w:p w14:paraId="6E5B28F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综上所述，通过采取以上各种废水处理及防治措施，本工程产生的各类废水都可以得到有效处置，项目的水污染防治措施合理可行。</w:t>
      </w:r>
    </w:p>
    <w:p w14:paraId="3A3F872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（2）运营期地表水保护措施</w:t>
      </w:r>
    </w:p>
    <w:p w14:paraId="323029D9">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在</w:t>
      </w:r>
      <w:r>
        <w:rPr>
          <w:rFonts w:hint="eastAsia" w:ascii="Times New Roman" w:hAnsi="Times New Roman" w:eastAsia="宋体" w:cs="Times New Roman"/>
          <w:color w:val="auto"/>
          <w:w w:val="99"/>
          <w:kern w:val="0"/>
          <w:sz w:val="24"/>
          <w:szCs w:val="24"/>
          <w:highlight w:val="none"/>
          <w:lang w:val="en-US" w:eastAsia="zh-CN" w:bidi="zh-CN"/>
        </w:rPr>
        <w:t>气田</w:t>
      </w:r>
      <w:r>
        <w:rPr>
          <w:rFonts w:hint="default" w:ascii="Times New Roman" w:hAnsi="Times New Roman" w:eastAsia="宋体" w:cs="Times New Roman"/>
          <w:color w:val="auto"/>
          <w:w w:val="99"/>
          <w:kern w:val="0"/>
          <w:sz w:val="24"/>
          <w:szCs w:val="24"/>
          <w:highlight w:val="none"/>
          <w:lang w:val="en-US" w:eastAsia="zh-CN" w:bidi="zh-CN"/>
        </w:rPr>
        <w:t>生产建设及运营过程中，必须加强管理，同时确保各项污染控制措施及事故应急措施能够切实落实，运营期还应做到如下要求：</w:t>
      </w:r>
    </w:p>
    <w:p w14:paraId="3B743E8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①强化生产运行管理，杜绝气体采出水随意排放，工程运行期产生的气体采出水，暂存于集气站污水储罐临时储存，再定期通过外输泵升压外输至气田采出水集输管网，并统一外输至升一联气田污水预处理站处理，处理后的水质执行《大庆油田地面工程建设设计规定》（Q/SYDQ 0639-2015）限值“含油量≤10mg/L、悬浮固体含量≤5mg/L、粒径中值≤2μm” ，同时满足《碎屑岩油藏注水水质指标技术要求及分析方法》(SY/T5329-2022)中标准限值，回注地下</w:t>
      </w:r>
      <w:r>
        <w:rPr>
          <w:rFonts w:hint="eastAsia" w:ascii="Times New Roman" w:hAnsi="Times New Roman" w:cs="Times New Roman"/>
          <w:color w:val="auto"/>
          <w:w w:val="99"/>
          <w:kern w:val="0"/>
          <w:sz w:val="24"/>
          <w:szCs w:val="24"/>
          <w:highlight w:val="none"/>
          <w:lang w:val="en-US" w:eastAsia="zh-CN" w:bidi="zh-CN"/>
        </w:rPr>
        <w:t>油层</w:t>
      </w:r>
      <w:r>
        <w:rPr>
          <w:rFonts w:hint="default" w:ascii="Times New Roman" w:hAnsi="Times New Roman" w:eastAsia="宋体" w:cs="Times New Roman"/>
          <w:color w:val="auto"/>
          <w:w w:val="99"/>
          <w:kern w:val="0"/>
          <w:sz w:val="24"/>
          <w:szCs w:val="24"/>
          <w:highlight w:val="none"/>
          <w:lang w:val="en-US" w:eastAsia="zh-CN" w:bidi="zh-CN"/>
        </w:rPr>
        <w:t>。综上所述，本项目运营期废水均得到合理有效的处理，不排入外环境。</w:t>
      </w:r>
    </w:p>
    <w:p w14:paraId="1E6B31D5">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②实施建设项目“三同时”制度，杜绝将污水直接排放地表，消除对地下水的污染隐患。</w:t>
      </w:r>
    </w:p>
    <w:p w14:paraId="0744F16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③</w:t>
      </w:r>
      <w:r>
        <w:rPr>
          <w:rFonts w:hint="default" w:ascii="Times New Roman" w:hAnsi="Times New Roman" w:eastAsia="宋体" w:cs="Times New Roman"/>
          <w:color w:val="auto"/>
          <w:w w:val="99"/>
          <w:kern w:val="0"/>
          <w:sz w:val="24"/>
          <w:szCs w:val="24"/>
          <w:highlight w:val="none"/>
          <w:lang w:val="en-US" w:eastAsia="zh-CN" w:bidi="zh-CN"/>
        </w:rPr>
        <w:t>在自动化远程管理过程中，应密切注意管线压力变化，及早发现管线腐蚀穿孔事故，紧急启动自动关停措施，避免管线跑冒滴漏造成地下水污染。</w:t>
      </w:r>
    </w:p>
    <w:p w14:paraId="12B19FF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④</w:t>
      </w:r>
      <w:r>
        <w:rPr>
          <w:rFonts w:hint="default" w:ascii="Times New Roman" w:hAnsi="Times New Roman" w:eastAsia="宋体" w:cs="Times New Roman"/>
          <w:color w:val="auto"/>
          <w:w w:val="99"/>
          <w:kern w:val="0"/>
          <w:sz w:val="24"/>
          <w:szCs w:val="24"/>
          <w:highlight w:val="none"/>
          <w:lang w:val="en-US" w:eastAsia="zh-CN" w:bidi="zh-CN"/>
        </w:rPr>
        <w:t>泄漏事故具有隐蔽性和灾难性，要加强监控，对集输管线防腐及腐蚀情况定期检测</w:t>
      </w:r>
      <w:r>
        <w:rPr>
          <w:rFonts w:hint="eastAsia" w:ascii="Times New Roman" w:hAnsi="Times New Roman" w:eastAsia="宋体"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及时维修或更新。考虑到泄漏事故具有隐蔽性，要切实加强监控工作，杜绝事故发生。</w:t>
      </w:r>
    </w:p>
    <w:p w14:paraId="2614A27C">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⑤</w:t>
      </w:r>
      <w:r>
        <w:rPr>
          <w:rFonts w:hint="default" w:ascii="Times New Roman" w:hAnsi="Times New Roman" w:eastAsia="宋体" w:cs="Times New Roman"/>
          <w:color w:val="auto"/>
          <w:w w:val="99"/>
          <w:kern w:val="0"/>
          <w:sz w:val="24"/>
          <w:szCs w:val="24"/>
          <w:highlight w:val="none"/>
          <w:lang w:val="en-US" w:eastAsia="zh-CN" w:bidi="zh-CN"/>
        </w:rPr>
        <w:t>定期对周围村屯水井进行观测和检测，随时监测地下水的变化，及时发现和解决问题，如发生重大污染事故且已对地下水造成污染，应进行信息公开，并与政府相关部门进行联动，聘请专家进行讨论，制定减轻地下水污染程度及控制地下水污染范围的措施</w:t>
      </w:r>
      <w:r>
        <w:rPr>
          <w:rFonts w:hint="eastAsia" w:ascii="Times New Roman" w:hAnsi="Times New Roman" w:eastAsia="宋体"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防止地下水污染加剧。</w:t>
      </w:r>
    </w:p>
    <w:p w14:paraId="5D3C2568">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（6）</w:t>
      </w:r>
      <w:r>
        <w:rPr>
          <w:rFonts w:hint="default" w:ascii="Times New Roman" w:hAnsi="Times New Roman" w:eastAsia="宋体" w:cs="Times New Roman"/>
          <w:color w:val="auto"/>
          <w:w w:val="99"/>
          <w:kern w:val="0"/>
          <w:sz w:val="24"/>
          <w:szCs w:val="24"/>
          <w:highlight w:val="none"/>
          <w:lang w:val="en-US" w:eastAsia="zh-CN" w:bidi="zh-CN"/>
        </w:rPr>
        <w:t>气田的正常开发建设对地下水造成污染的可能性较小。但气田采出水的跑、冒、滴、漏，如处理不及时则可能对地下水造成污染。因此按照《环境影响评价技术导则地下水环境》</w:t>
      </w:r>
      <w:r>
        <w:rPr>
          <w:rFonts w:hint="eastAsia" w:ascii="Times New Roman" w:hAnsi="Times New Roman" w:eastAsia="宋体"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HJ610-2016）中防渗区的要求对工程实施污染分区防治措施。</w:t>
      </w:r>
    </w:p>
    <w:p w14:paraId="16618580">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在正常生产情况下，项目开发建设采取较为完善的环境保护措施，措施技术可行，对周围环境不会产生不良影响。</w:t>
      </w:r>
    </w:p>
    <w:p w14:paraId="364B3E4A">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6.1.2.3退役期废水处理措施及地表水保护措施</w:t>
      </w:r>
    </w:p>
    <w:p w14:paraId="7FA17EF6">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（1）退役期废水处理措施</w:t>
      </w:r>
    </w:p>
    <w:p w14:paraId="5066200C">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eastAsia" w:ascii="Times New Roman" w:hAnsi="Times New Roman" w:eastAsia="宋体" w:cs="Times New Roman"/>
          <w:color w:val="auto"/>
          <w:w w:val="99"/>
          <w:kern w:val="0"/>
          <w:sz w:val="24"/>
          <w:szCs w:val="24"/>
          <w:highlight w:val="none"/>
          <w:lang w:val="en-US" w:eastAsia="zh-CN" w:bidi="zh-CN"/>
        </w:rPr>
        <w:t>①</w:t>
      </w:r>
      <w:r>
        <w:rPr>
          <w:rFonts w:hint="default" w:ascii="Times New Roman" w:hAnsi="Times New Roman" w:eastAsia="宋体" w:cs="Times New Roman"/>
          <w:color w:val="auto"/>
          <w:w w:val="99"/>
          <w:kern w:val="0"/>
          <w:sz w:val="24"/>
          <w:szCs w:val="24"/>
          <w:highlight w:val="none"/>
          <w:lang w:val="en-US" w:eastAsia="zh-CN" w:bidi="zh-CN"/>
        </w:rPr>
        <w:t>退役期生活污水排入</w:t>
      </w:r>
      <w:r>
        <w:rPr>
          <w:rFonts w:hint="eastAsia" w:ascii="Times New Roman" w:hAnsi="Times New Roman" w:eastAsia="宋体" w:cs="Times New Roman"/>
          <w:color w:val="auto"/>
          <w:w w:val="99"/>
          <w:kern w:val="0"/>
          <w:sz w:val="24"/>
          <w:szCs w:val="24"/>
          <w:highlight w:val="none"/>
          <w:lang w:val="en-US" w:eastAsia="zh-CN" w:bidi="zh-CN"/>
        </w:rPr>
        <w:t>周边集气站已建生活污水收集设施，均</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p>
    <w:p w14:paraId="5389D91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②</w:t>
      </w:r>
      <w:r>
        <w:rPr>
          <w:rFonts w:hint="eastAsia" w:ascii="Times New Roman" w:hAnsi="Times New Roman" w:cs="Times New Roman"/>
          <w:color w:val="auto"/>
          <w:w w:val="99"/>
          <w:kern w:val="0"/>
          <w:sz w:val="24"/>
          <w:szCs w:val="24"/>
          <w:highlight w:val="none"/>
          <w:lang w:val="en-US" w:eastAsia="zh-CN" w:bidi="zh-CN"/>
        </w:rPr>
        <w:t>退</w:t>
      </w:r>
      <w:r>
        <w:rPr>
          <w:rFonts w:hint="eastAsia" w:ascii="Times New Roman" w:hAnsi="Times New Roman" w:eastAsia="宋体" w:cs="Times New Roman"/>
          <w:color w:val="auto"/>
          <w:w w:val="99"/>
          <w:kern w:val="0"/>
          <w:sz w:val="24"/>
          <w:szCs w:val="24"/>
          <w:highlight w:val="none"/>
          <w:lang w:val="en-US" w:eastAsia="zh-CN" w:bidi="zh-CN"/>
        </w:rPr>
        <w:t>役期拆除设备清洗废水由罐车拉运至升一联气田污水预处理站处理，水质达到《大庆油田地面工程建设设计规定》（Q/SY DQ0639-2015）回注水指标后回注地下油层。</w:t>
      </w:r>
    </w:p>
    <w:p w14:paraId="6A5A8B9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（2）退役期地表水保护措施</w:t>
      </w:r>
    </w:p>
    <w:p w14:paraId="2EAA1532">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①</w:t>
      </w:r>
      <w:r>
        <w:rPr>
          <w:rFonts w:hint="default" w:ascii="Times New Roman" w:hAnsi="Times New Roman" w:eastAsia="宋体" w:cs="Times New Roman"/>
          <w:color w:val="auto"/>
          <w:w w:val="99"/>
          <w:kern w:val="0"/>
          <w:sz w:val="24"/>
          <w:szCs w:val="24"/>
          <w:highlight w:val="none"/>
          <w:lang w:val="en-US" w:eastAsia="zh-CN" w:bidi="zh-CN"/>
        </w:rPr>
        <w:t>合理规划：施工单位严格按照有关规定安排施工作业；合理进行施工组织和场地布置；对施工运输合理规划、布局，利用既有道路，运输车辆按指定路线运行；运输车辆加盖棚布，防止运输材料洒落，产生扬尘，影响区域内环境。</w:t>
      </w:r>
    </w:p>
    <w:p w14:paraId="4DFBE3DF">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②</w:t>
      </w:r>
      <w:r>
        <w:rPr>
          <w:rFonts w:hint="default" w:ascii="Times New Roman" w:hAnsi="Times New Roman" w:eastAsia="宋体" w:cs="Times New Roman"/>
          <w:color w:val="auto"/>
          <w:w w:val="99"/>
          <w:kern w:val="0"/>
          <w:sz w:val="24"/>
          <w:szCs w:val="24"/>
          <w:highlight w:val="none"/>
          <w:lang w:val="en-US" w:eastAsia="zh-CN" w:bidi="zh-CN"/>
        </w:rPr>
        <w:t>退役期间各类固体废物应及时清运，施工期间严禁将生活污水直接排放。</w:t>
      </w:r>
    </w:p>
    <w:p w14:paraId="5361D181">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③</w:t>
      </w:r>
      <w:r>
        <w:rPr>
          <w:rFonts w:hint="default" w:ascii="Times New Roman" w:hAnsi="Times New Roman" w:eastAsia="宋体" w:cs="Times New Roman"/>
          <w:color w:val="auto"/>
          <w:w w:val="99"/>
          <w:kern w:val="0"/>
          <w:sz w:val="24"/>
          <w:szCs w:val="24"/>
          <w:highlight w:val="none"/>
          <w:lang w:val="en-US" w:eastAsia="zh-CN" w:bidi="zh-CN"/>
        </w:rPr>
        <w:t>宣传教育：施工单位应加强对施工人员爱护环境防止地表水体破坏的宣传教育活动，在施工过程中，应做到井然有序的实施组织设计，做到文明施工。</w:t>
      </w:r>
    </w:p>
    <w:p w14:paraId="6AAF267D">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通过采取以上措施，退役期能够有效防止各类污染物进入附近地表水体造成污染事故，减少对周边水环境的影响。</w:t>
      </w:r>
    </w:p>
    <w:p w14:paraId="09B87350">
      <w:pPr>
        <w:widowControl w:val="0"/>
        <w:spacing w:before="60" w:after="60"/>
        <w:jc w:val="both"/>
        <w:outlineLvl w:val="2"/>
        <w:rPr>
          <w:rFonts w:ascii="Times New Roman" w:hAnsi="Times New Roman" w:cs="Times New Roman"/>
          <w:b/>
          <w:color w:val="auto"/>
          <w:w w:val="99"/>
          <w:kern w:val="2"/>
          <w:highlight w:val="none"/>
        </w:rPr>
      </w:pPr>
      <w:r>
        <w:rPr>
          <w:rFonts w:ascii="Times New Roman" w:hAnsi="Times New Roman" w:cs="Times New Roman"/>
          <w:b/>
          <w:color w:val="auto"/>
          <w:w w:val="99"/>
          <w:kern w:val="2"/>
          <w:highlight w:val="none"/>
        </w:rPr>
        <w:t>6.1.3地下水污染防治措施</w:t>
      </w:r>
    </w:p>
    <w:p w14:paraId="58C29AD9">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本项目地下水污染防治措施按照“源头控制、分区防治、污染监控、应急响应”相结合的原则，从污染物的产生、入渗、扩散、应急响应进行控制。</w:t>
      </w:r>
    </w:p>
    <w:p w14:paraId="5C648770">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6.1.3.1施工期地下水污染防治措施</w:t>
      </w:r>
    </w:p>
    <w:p w14:paraId="18687DC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①</w:t>
      </w:r>
      <w:r>
        <w:rPr>
          <w:rFonts w:hint="default" w:ascii="Times New Roman" w:hAnsi="Times New Roman" w:eastAsia="宋体" w:cs="Times New Roman"/>
          <w:color w:val="auto"/>
          <w:w w:val="99"/>
          <w:kern w:val="0"/>
          <w:sz w:val="24"/>
          <w:szCs w:val="24"/>
          <w:highlight w:val="none"/>
          <w:lang w:val="en-US" w:eastAsia="zh-CN" w:bidi="zh-CN"/>
        </w:rPr>
        <w:t>本项目井场、集输管道等选址选线均避开了集中式饮用水源保护区、集中式饮用水源的补给区、径流区。</w:t>
      </w:r>
    </w:p>
    <w:p w14:paraId="0F41761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cs="Times New Roman"/>
          <w:color w:val="auto"/>
          <w:w w:val="99"/>
          <w:kern w:val="0"/>
          <w:sz w:val="24"/>
          <w:szCs w:val="24"/>
          <w:highlight w:val="none"/>
          <w:lang w:val="en-US" w:eastAsia="zh-CN" w:bidi="zh-CN"/>
        </w:rPr>
        <w:t>②</w:t>
      </w:r>
      <w:r>
        <w:rPr>
          <w:rFonts w:hint="default" w:ascii="Times New Roman" w:hAnsi="Times New Roman" w:eastAsia="宋体" w:cs="Times New Roman"/>
          <w:color w:val="auto"/>
          <w:w w:val="99"/>
          <w:kern w:val="0"/>
          <w:sz w:val="24"/>
          <w:szCs w:val="24"/>
          <w:highlight w:val="none"/>
          <w:lang w:val="en-US" w:eastAsia="zh-CN" w:bidi="zh-CN"/>
        </w:rPr>
        <w:t>废弃物等拉运车辆须在转运过程做好转运台账，严格执行废弃物转运签认和交接清单制度；运输前规划运输路线，转运过程中应严格按照规定的路线运输到相应的目的地；运输过程中应尽量避开环境敏感区；对拉运过程进行严格监督管理，运输车辆、装卸工具必须符合安全环保要求，装卸和运输废弃物过程中不得溢出和渗漏，严禁半途倾倒、排放或向第三方转移废弃物。</w:t>
      </w:r>
    </w:p>
    <w:p w14:paraId="2E414784">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6.1.3.2运营期地下水污染防治措施</w:t>
      </w:r>
    </w:p>
    <w:p w14:paraId="2910B191">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①</w:t>
      </w:r>
      <w:r>
        <w:rPr>
          <w:rFonts w:hint="default" w:ascii="Times New Roman" w:hAnsi="Times New Roman" w:eastAsia="宋体" w:cs="Times New Roman"/>
          <w:color w:val="auto"/>
          <w:w w:val="99"/>
          <w:kern w:val="0"/>
          <w:sz w:val="24"/>
          <w:szCs w:val="24"/>
          <w:highlight w:val="none"/>
          <w:lang w:val="en-US" w:eastAsia="zh-CN" w:bidi="zh-CN"/>
        </w:rPr>
        <w:t>做好井场的日常巡查工作，定期对气井套管情况进行检测，发现异常情况及时处理，防止污染地下水。</w:t>
      </w:r>
    </w:p>
    <w:p w14:paraId="424A7AEC">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②</w:t>
      </w:r>
      <w:r>
        <w:rPr>
          <w:rFonts w:hint="default" w:ascii="Times New Roman" w:hAnsi="Times New Roman" w:eastAsia="宋体" w:cs="Times New Roman"/>
          <w:color w:val="auto"/>
          <w:w w:val="99"/>
          <w:kern w:val="0"/>
          <w:sz w:val="24"/>
          <w:szCs w:val="24"/>
          <w:highlight w:val="none"/>
          <w:lang w:val="en-US" w:eastAsia="zh-CN" w:bidi="zh-CN"/>
        </w:rPr>
        <w:t>对管道采取防腐措施和定期防腐检测，根据管道所通过地区土壤的理化性质和地质条件，采取不同的防腐措施；运行过程中，定期检测，对管道壁厚及焊缝的情况进行监测，尽早发现管线存在问题。</w:t>
      </w:r>
    </w:p>
    <w:p w14:paraId="66CD9AC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③</w:t>
      </w:r>
      <w:r>
        <w:rPr>
          <w:rFonts w:hint="default" w:ascii="Times New Roman" w:hAnsi="Times New Roman" w:eastAsia="宋体" w:cs="Times New Roman"/>
          <w:color w:val="auto"/>
          <w:w w:val="99"/>
          <w:kern w:val="0"/>
          <w:sz w:val="24"/>
          <w:szCs w:val="24"/>
          <w:highlight w:val="none"/>
          <w:lang w:val="en-US" w:eastAsia="zh-CN" w:bidi="zh-CN"/>
        </w:rPr>
        <w:t xml:space="preserve"> 日常生产过程中严格管理，坚决杜绝生产废水、生活污水的随意排放，徐深 </w:t>
      </w:r>
      <w:r>
        <w:rPr>
          <w:rFonts w:hint="eastAsia" w:ascii="Times New Roman" w:hAnsi="Times New Roman" w:eastAsia="宋体" w:cs="Times New Roman"/>
          <w:color w:val="auto"/>
          <w:w w:val="99"/>
          <w:kern w:val="0"/>
          <w:sz w:val="24"/>
          <w:szCs w:val="24"/>
          <w:highlight w:val="none"/>
          <w:lang w:val="en-US" w:eastAsia="zh-CN" w:bidi="zh-CN"/>
        </w:rPr>
        <w:t>1</w:t>
      </w:r>
      <w:r>
        <w:rPr>
          <w:rFonts w:hint="default" w:ascii="Times New Roman" w:hAnsi="Times New Roman" w:eastAsia="宋体" w:cs="Times New Roman"/>
          <w:color w:val="auto"/>
          <w:w w:val="99"/>
          <w:kern w:val="0"/>
          <w:sz w:val="24"/>
          <w:szCs w:val="24"/>
          <w:highlight w:val="none"/>
          <w:lang w:val="en-US" w:eastAsia="zh-CN" w:bidi="zh-CN"/>
        </w:rPr>
        <w:t>集气站分离的废水等污染物全部进入站内现有污水储罐，输送至升一联气田污水预处理站处理。</w:t>
      </w:r>
    </w:p>
    <w:p w14:paraId="7530C13C">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④</w:t>
      </w:r>
      <w:r>
        <w:rPr>
          <w:rFonts w:hint="default" w:ascii="Times New Roman" w:hAnsi="Times New Roman" w:eastAsia="宋体" w:cs="Times New Roman"/>
          <w:color w:val="auto"/>
          <w:w w:val="99"/>
          <w:kern w:val="0"/>
          <w:sz w:val="24"/>
          <w:szCs w:val="24"/>
          <w:highlight w:val="none"/>
          <w:lang w:val="en-US" w:eastAsia="zh-CN" w:bidi="zh-CN"/>
        </w:rPr>
        <w:t>做好预防突发性自然灾害的工作，加强与水文气象、地震部门的信息沟通，制定有关应对措施。</w:t>
      </w:r>
    </w:p>
    <w:p w14:paraId="526124E0">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⑤</w:t>
      </w:r>
      <w:r>
        <w:rPr>
          <w:rFonts w:hint="default" w:ascii="Times New Roman" w:hAnsi="Times New Roman" w:eastAsia="宋体" w:cs="Times New Roman"/>
          <w:color w:val="auto"/>
          <w:w w:val="99"/>
          <w:kern w:val="0"/>
          <w:sz w:val="24"/>
          <w:szCs w:val="24"/>
          <w:highlight w:val="none"/>
          <w:lang w:val="en-US" w:eastAsia="zh-CN" w:bidi="zh-CN"/>
        </w:rPr>
        <w:t>管线采用热熔式焊接和挤压式焊接，在施焊前进行检查。</w:t>
      </w:r>
    </w:p>
    <w:p w14:paraId="5B711CE8">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⑥</w:t>
      </w:r>
      <w:r>
        <w:rPr>
          <w:rFonts w:hint="default" w:ascii="Times New Roman" w:hAnsi="Times New Roman" w:eastAsia="宋体" w:cs="Times New Roman"/>
          <w:color w:val="auto"/>
          <w:w w:val="99"/>
          <w:kern w:val="0"/>
          <w:sz w:val="24"/>
          <w:szCs w:val="24"/>
          <w:highlight w:val="none"/>
          <w:lang w:val="en-US" w:eastAsia="zh-CN" w:bidi="zh-CN"/>
        </w:rPr>
        <w:t>管道采用无缝钢管，内外进行防腐保温。站内埋地不保温管道外防腐采用沥青防腐胶带特加强级，带宽不小于 150mm，防腐层厚度不小于3.2mm。</w:t>
      </w:r>
    </w:p>
    <w:p w14:paraId="570236C4">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⑦</w:t>
      </w:r>
      <w:r>
        <w:rPr>
          <w:rFonts w:hint="default" w:ascii="Times New Roman" w:hAnsi="Times New Roman" w:eastAsia="宋体" w:cs="Times New Roman"/>
          <w:color w:val="auto"/>
          <w:w w:val="99"/>
          <w:kern w:val="0"/>
          <w:sz w:val="24"/>
          <w:szCs w:val="24"/>
          <w:highlight w:val="none"/>
          <w:lang w:val="en-US" w:eastAsia="zh-CN" w:bidi="zh-CN"/>
        </w:rPr>
        <w:t>管道补口采用配套的补口带，补口层与原防腐层搭接宽度应不小于100mm，防渗透性能应相当于6m厚的黏土、渗透系数小于10</w:t>
      </w:r>
      <w:r>
        <w:rPr>
          <w:rFonts w:hint="default" w:ascii="Times New Roman" w:hAnsi="Times New Roman" w:eastAsia="宋体" w:cs="Times New Roman"/>
          <w:color w:val="auto"/>
          <w:w w:val="99"/>
          <w:kern w:val="0"/>
          <w:sz w:val="24"/>
          <w:szCs w:val="24"/>
          <w:highlight w:val="none"/>
          <w:vertAlign w:val="superscript"/>
          <w:lang w:val="en-US" w:eastAsia="zh-CN" w:bidi="zh-CN"/>
        </w:rPr>
        <w:t>-7</w:t>
      </w:r>
      <w:r>
        <w:rPr>
          <w:rFonts w:hint="default" w:ascii="Times New Roman" w:hAnsi="Times New Roman" w:eastAsia="宋体" w:cs="Times New Roman"/>
          <w:color w:val="auto"/>
          <w:w w:val="99"/>
          <w:kern w:val="0"/>
          <w:sz w:val="24"/>
          <w:szCs w:val="24"/>
          <w:highlight w:val="none"/>
          <w:lang w:val="en-US" w:eastAsia="zh-CN" w:bidi="zh-CN"/>
        </w:rPr>
        <w:t>cm/s。</w:t>
      </w:r>
    </w:p>
    <w:p w14:paraId="140B7788">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⑧</w:t>
      </w:r>
      <w:r>
        <w:rPr>
          <w:rFonts w:hint="default" w:ascii="Times New Roman" w:hAnsi="Times New Roman" w:eastAsia="宋体" w:cs="Times New Roman"/>
          <w:color w:val="auto"/>
          <w:w w:val="99"/>
          <w:kern w:val="0"/>
          <w:sz w:val="24"/>
          <w:szCs w:val="24"/>
          <w:highlight w:val="none"/>
          <w:lang w:val="en-US" w:eastAsia="zh-CN" w:bidi="zh-CN"/>
        </w:rPr>
        <w:t>运营期定期检查、维修项目所有管道、机泵等，确保各部分的使用性</w:t>
      </w:r>
      <w:bookmarkStart w:id="1056" w:name="bookmark101"/>
      <w:bookmarkEnd w:id="1056"/>
      <w:r>
        <w:rPr>
          <w:rFonts w:hint="eastAsia" w:ascii="Times New Roman" w:hAnsi="Times New Roman" w:eastAsia="宋体" w:cs="Times New Roman"/>
          <w:color w:val="auto"/>
          <w:w w:val="99"/>
          <w:kern w:val="0"/>
          <w:sz w:val="24"/>
          <w:szCs w:val="24"/>
          <w:highlight w:val="none"/>
          <w:lang w:val="en-US" w:eastAsia="zh-CN" w:bidi="zh-CN"/>
        </w:rPr>
        <w:t>能。尤其在雨季更要认真检查，清除隐患。</w:t>
      </w:r>
    </w:p>
    <w:p w14:paraId="388464BC">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⑨巡检过程一旦发现管道泄漏，应立即采取应急措施，关闭机泵，清理泄漏污水。</w:t>
      </w:r>
    </w:p>
    <w:p w14:paraId="598C2D6B">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⑩气井检修时，井口采用密闭除砂器（旋流除砂器），气、液、砂在压力容器内分离，砂粒直接落入底部集砂腔/收砂筒，排沙时，打开排砂阀，砂粒+少量积液排入密闭砂罐/吨桶，全程无落地。</w:t>
      </w:r>
    </w:p>
    <w:p w14:paraId="628A3CB7">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6.1.3.3分区防渗措施</w:t>
      </w:r>
    </w:p>
    <w:p w14:paraId="29C22B0C">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根据《环境影响评价技术导则 地下水环境》（HJ610-2016）11.2.2.1 条的要求，将本项目涉及区域划分为重点防渗区、一般防渗区、简单防渗区。项目分区防渗具体见表6.1-</w:t>
      </w:r>
      <w:r>
        <w:rPr>
          <w:rFonts w:hint="eastAsia" w:ascii="Times New Roman" w:hAnsi="Times New Roman" w:cs="Times New Roman"/>
          <w:color w:val="auto"/>
          <w:w w:val="99"/>
          <w:kern w:val="0"/>
          <w:sz w:val="24"/>
          <w:szCs w:val="24"/>
          <w:highlight w:val="none"/>
          <w:lang w:val="en-US" w:eastAsia="zh-CN" w:bidi="zh-CN"/>
        </w:rPr>
        <w:t>3</w:t>
      </w:r>
      <w:r>
        <w:rPr>
          <w:rFonts w:hint="default" w:ascii="Times New Roman" w:hAnsi="Times New Roman" w:eastAsia="宋体" w:cs="Times New Roman"/>
          <w:color w:val="auto"/>
          <w:w w:val="99"/>
          <w:kern w:val="0"/>
          <w:sz w:val="24"/>
          <w:szCs w:val="24"/>
          <w:highlight w:val="none"/>
          <w:lang w:val="en-US" w:eastAsia="zh-CN" w:bidi="zh-CN"/>
        </w:rPr>
        <w:t>，施工期钻井井场、压裂</w:t>
      </w:r>
      <w:r>
        <w:rPr>
          <w:rFonts w:hint="eastAsia" w:ascii="Times New Roman" w:hAnsi="Times New Roman" w:cs="Times New Roman"/>
          <w:color w:val="auto"/>
          <w:w w:val="99"/>
          <w:kern w:val="0"/>
          <w:sz w:val="24"/>
          <w:szCs w:val="24"/>
          <w:highlight w:val="none"/>
          <w:lang w:val="en-US" w:eastAsia="zh-CN" w:bidi="zh-CN"/>
        </w:rPr>
        <w:t>试气</w:t>
      </w:r>
      <w:r>
        <w:rPr>
          <w:rFonts w:hint="default" w:ascii="Times New Roman" w:hAnsi="Times New Roman" w:eastAsia="宋体" w:cs="Times New Roman"/>
          <w:color w:val="auto"/>
          <w:w w:val="99"/>
          <w:kern w:val="0"/>
          <w:sz w:val="24"/>
          <w:szCs w:val="24"/>
          <w:highlight w:val="none"/>
          <w:lang w:val="en-US" w:eastAsia="zh-CN" w:bidi="zh-CN"/>
        </w:rPr>
        <w:t>井场及运营期井场分区防渗图见附图</w:t>
      </w:r>
      <w:r>
        <w:rPr>
          <w:rFonts w:hint="eastAsia" w:ascii="Times New Roman" w:hAnsi="Times New Roman" w:cs="Times New Roman"/>
          <w:color w:val="auto"/>
          <w:w w:val="99"/>
          <w:kern w:val="0"/>
          <w:sz w:val="24"/>
          <w:szCs w:val="24"/>
          <w:highlight w:val="none"/>
          <w:lang w:val="en-US" w:eastAsia="zh-CN" w:bidi="zh-CN"/>
        </w:rPr>
        <w:t>11</w:t>
      </w:r>
      <w:r>
        <w:rPr>
          <w:rFonts w:hint="default" w:ascii="Times New Roman" w:hAnsi="Times New Roman" w:eastAsia="宋体" w:cs="Times New Roman"/>
          <w:color w:val="auto"/>
          <w:w w:val="99"/>
          <w:kern w:val="0"/>
          <w:sz w:val="24"/>
          <w:szCs w:val="24"/>
          <w:highlight w:val="none"/>
          <w:lang w:val="en-US" w:eastAsia="zh-CN" w:bidi="zh-CN"/>
        </w:rPr>
        <w:t>。</w:t>
      </w:r>
    </w:p>
    <w:p w14:paraId="4FA52425">
      <w:pPr>
        <w:widowControl w:val="0"/>
        <w:spacing w:line="440" w:lineRule="exact"/>
        <w:ind w:firstLine="476" w:firstLineChars="200"/>
        <w:rPr>
          <w:rFonts w:ascii="Times New Roman" w:hAnsi="Times New Roman" w:cs="Times New Roman" w:eastAsiaTheme="minorEastAsia"/>
          <w:b/>
          <w:color w:val="auto"/>
          <w:w w:val="99"/>
          <w:highlight w:val="none"/>
        </w:rPr>
      </w:pPr>
      <w:r>
        <w:rPr>
          <w:rFonts w:ascii="Times New Roman" w:hAnsi="Times New Roman" w:cs="Times New Roman" w:eastAsiaTheme="minorEastAsia"/>
          <w:b/>
          <w:color w:val="auto"/>
          <w:w w:val="99"/>
          <w:kern w:val="21"/>
          <w:highlight w:val="none"/>
        </w:rPr>
        <w:t>表6.1-</w:t>
      </w:r>
      <w:r>
        <w:rPr>
          <w:rFonts w:hint="eastAsia" w:ascii="Times New Roman" w:hAnsi="Times New Roman" w:cs="Times New Roman" w:eastAsiaTheme="minorEastAsia"/>
          <w:b/>
          <w:color w:val="auto"/>
          <w:w w:val="99"/>
          <w:kern w:val="21"/>
          <w:highlight w:val="none"/>
          <w:lang w:val="en-US" w:eastAsia="zh-CN"/>
        </w:rPr>
        <w:t>3</w:t>
      </w:r>
      <w:r>
        <w:rPr>
          <w:rFonts w:ascii="Times New Roman" w:hAnsi="Times New Roman" w:cs="Times New Roman" w:eastAsiaTheme="minorEastAsia"/>
          <w:b/>
          <w:color w:val="auto"/>
          <w:w w:val="99"/>
          <w:highlight w:val="none"/>
        </w:rPr>
        <w:t xml:space="preserve">    项目污染防渗区划分</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0"/>
        <w:gridCol w:w="892"/>
        <w:gridCol w:w="2624"/>
        <w:gridCol w:w="2574"/>
        <w:gridCol w:w="2717"/>
      </w:tblGrid>
      <w:tr w14:paraId="799D2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8" w:type="pct"/>
            <w:vAlign w:val="center"/>
          </w:tcPr>
          <w:p w14:paraId="304073D9">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480" w:type="pct"/>
            <w:vAlign w:val="center"/>
          </w:tcPr>
          <w:p w14:paraId="5A34D0CF">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类别</w:t>
            </w:r>
          </w:p>
        </w:tc>
        <w:tc>
          <w:tcPr>
            <w:tcW w:w="1412" w:type="pct"/>
            <w:vAlign w:val="center"/>
          </w:tcPr>
          <w:p w14:paraId="2CD386BA">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项目涉及区域</w:t>
            </w:r>
          </w:p>
        </w:tc>
        <w:tc>
          <w:tcPr>
            <w:tcW w:w="1385" w:type="pct"/>
            <w:vAlign w:val="center"/>
          </w:tcPr>
          <w:p w14:paraId="3D06334B">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防渗措施</w:t>
            </w:r>
          </w:p>
        </w:tc>
        <w:tc>
          <w:tcPr>
            <w:tcW w:w="1462" w:type="pct"/>
            <w:vAlign w:val="center"/>
          </w:tcPr>
          <w:p w14:paraId="2B6BD22F">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防渗要求</w:t>
            </w:r>
          </w:p>
        </w:tc>
      </w:tr>
      <w:tr w14:paraId="4B4F4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258" w:type="pct"/>
            <w:vMerge w:val="restart"/>
            <w:vAlign w:val="center"/>
          </w:tcPr>
          <w:p w14:paraId="56C479CF">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运营期</w:t>
            </w:r>
          </w:p>
        </w:tc>
        <w:tc>
          <w:tcPr>
            <w:tcW w:w="480" w:type="pct"/>
            <w:vAlign w:val="center"/>
          </w:tcPr>
          <w:p w14:paraId="008157B3">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重点防渗区</w:t>
            </w:r>
          </w:p>
        </w:tc>
        <w:tc>
          <w:tcPr>
            <w:tcW w:w="1412" w:type="pct"/>
            <w:tcBorders>
              <w:bottom w:val="single" w:color="auto" w:sz="4" w:space="0"/>
            </w:tcBorders>
            <w:vAlign w:val="center"/>
          </w:tcPr>
          <w:p w14:paraId="1742B849">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采气</w:t>
            </w:r>
            <w:r>
              <w:rPr>
                <w:rFonts w:ascii="Times New Roman" w:hAnsi="Times New Roman" w:cs="Times New Roman" w:eastAsiaTheme="minorEastAsia"/>
                <w:bCs/>
                <w:color w:val="auto"/>
                <w:w w:val="99"/>
                <w:kern w:val="2"/>
                <w:sz w:val="21"/>
                <w:szCs w:val="21"/>
                <w:highlight w:val="none"/>
              </w:rPr>
              <w:t>管道</w:t>
            </w:r>
          </w:p>
        </w:tc>
        <w:tc>
          <w:tcPr>
            <w:tcW w:w="1385" w:type="pct"/>
            <w:tcBorders>
              <w:bottom w:val="single" w:color="auto" w:sz="4" w:space="0"/>
            </w:tcBorders>
            <w:vAlign w:val="center"/>
          </w:tcPr>
          <w:p w14:paraId="0B271C6B">
            <w:pPr>
              <w:keepNext w:val="0"/>
              <w:keepLines w:val="0"/>
              <w:pageBreakBefore w:val="0"/>
              <w:kinsoku/>
              <w:wordWrap/>
              <w:overflowPunct/>
              <w:topLinePunct w:val="0"/>
              <w:autoSpaceDE/>
              <w:autoSpaceDN/>
              <w:bidi w:val="0"/>
              <w:adjustRightInd w:val="0"/>
              <w:snapToGrid w:val="0"/>
              <w:spacing w:line="360" w:lineRule="exact"/>
              <w:jc w:val="both"/>
              <w:textAlignment w:val="auto"/>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管道采用防腐无缝钢管、管道的连接方式采用焊接，管道设计壁厚的腐蚀余量为2mm或采用管道内防腐，管道的外防腐等级采用特加强级</w:t>
            </w:r>
          </w:p>
        </w:tc>
        <w:tc>
          <w:tcPr>
            <w:tcW w:w="1462" w:type="pct"/>
            <w:tcBorders>
              <w:bottom w:val="single" w:color="auto" w:sz="4" w:space="0"/>
            </w:tcBorders>
            <w:vAlign w:val="center"/>
          </w:tcPr>
          <w:p w14:paraId="03769C88">
            <w:pPr>
              <w:keepNext w:val="0"/>
              <w:keepLines w:val="0"/>
              <w:pageBreakBefore w:val="0"/>
              <w:kinsoku/>
              <w:wordWrap/>
              <w:overflowPunct/>
              <w:topLinePunct w:val="0"/>
              <w:autoSpaceDE/>
              <w:autoSpaceDN/>
              <w:bidi w:val="0"/>
              <w:adjustRightInd w:val="0"/>
              <w:snapToGrid w:val="0"/>
              <w:spacing w:line="360" w:lineRule="exact"/>
              <w:jc w:val="both"/>
              <w:textAlignment w:val="auto"/>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满足《环境影响评价技术导则 地下水环境》（HJ610-2016）中关于重点防渗区等效黏土防渗层Mb≥6.0m，K≤1×10</w:t>
            </w:r>
            <w:r>
              <w:rPr>
                <w:rFonts w:ascii="Times New Roman" w:hAnsi="Times New Roman" w:cs="Times New Roman" w:eastAsiaTheme="minorEastAsia"/>
                <w:bCs/>
                <w:color w:val="auto"/>
                <w:w w:val="99"/>
                <w:kern w:val="2"/>
                <w:sz w:val="21"/>
                <w:szCs w:val="21"/>
                <w:highlight w:val="none"/>
                <w:vertAlign w:val="superscript"/>
              </w:rPr>
              <w:t>-7</w:t>
            </w:r>
            <w:r>
              <w:rPr>
                <w:rFonts w:ascii="Times New Roman" w:hAnsi="Times New Roman" w:cs="Times New Roman" w:eastAsiaTheme="minorEastAsia"/>
                <w:bCs/>
                <w:color w:val="auto"/>
                <w:w w:val="99"/>
                <w:kern w:val="2"/>
                <w:sz w:val="21"/>
                <w:szCs w:val="21"/>
                <w:highlight w:val="none"/>
              </w:rPr>
              <w:t>cm/s防渗技术要求</w:t>
            </w:r>
          </w:p>
        </w:tc>
      </w:tr>
      <w:tr w14:paraId="6DD0D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8" w:type="pct"/>
            <w:vMerge w:val="continue"/>
            <w:vAlign w:val="center"/>
          </w:tcPr>
          <w:p w14:paraId="76C56BBD">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color w:val="auto"/>
                <w:w w:val="99"/>
                <w:kern w:val="2"/>
                <w:sz w:val="21"/>
                <w:szCs w:val="21"/>
                <w:highlight w:val="none"/>
              </w:rPr>
            </w:pPr>
          </w:p>
        </w:tc>
        <w:tc>
          <w:tcPr>
            <w:tcW w:w="480" w:type="pct"/>
            <w:vMerge w:val="restart"/>
            <w:tcBorders>
              <w:top w:val="single" w:color="auto" w:sz="4" w:space="0"/>
            </w:tcBorders>
            <w:vAlign w:val="center"/>
          </w:tcPr>
          <w:p w14:paraId="254BB37B">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一般防渗区</w:t>
            </w:r>
          </w:p>
        </w:tc>
        <w:tc>
          <w:tcPr>
            <w:tcW w:w="1412" w:type="pct"/>
            <w:tcBorders>
              <w:top w:val="single" w:color="auto" w:sz="4" w:space="0"/>
              <w:bottom w:val="single" w:color="auto" w:sz="4" w:space="0"/>
            </w:tcBorders>
            <w:vAlign w:val="center"/>
          </w:tcPr>
          <w:p w14:paraId="4E411317">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rPr>
            </w:pPr>
            <w:r>
              <w:rPr>
                <w:rFonts w:hint="eastAsia" w:ascii="Times New Roman" w:hAnsi="Times New Roman" w:cs="Times New Roman" w:eastAsiaTheme="minorEastAsia"/>
                <w:bCs/>
                <w:color w:val="auto"/>
                <w:w w:val="99"/>
                <w:kern w:val="2"/>
                <w:sz w:val="21"/>
                <w:szCs w:val="21"/>
                <w:highlight w:val="none"/>
                <w:lang w:val="en-US" w:eastAsia="zh-CN"/>
              </w:rPr>
              <w:t>徐深27集气站新建的进站阀组、生产阀组</w:t>
            </w:r>
          </w:p>
        </w:tc>
        <w:tc>
          <w:tcPr>
            <w:tcW w:w="1385" w:type="pct"/>
            <w:tcBorders>
              <w:top w:val="single" w:color="auto" w:sz="4" w:space="0"/>
              <w:bottom w:val="single" w:color="auto" w:sz="4" w:space="0"/>
            </w:tcBorders>
            <w:vAlign w:val="center"/>
          </w:tcPr>
          <w:p w14:paraId="7B3D2A6F">
            <w:pPr>
              <w:keepNext w:val="0"/>
              <w:keepLines w:val="0"/>
              <w:pageBreakBefore w:val="0"/>
              <w:kinsoku/>
              <w:wordWrap/>
              <w:overflowPunct/>
              <w:topLinePunct w:val="0"/>
              <w:autoSpaceDE/>
              <w:autoSpaceDN/>
              <w:bidi w:val="0"/>
              <w:adjustRightInd w:val="0"/>
              <w:snapToGrid w:val="0"/>
              <w:spacing w:line="360" w:lineRule="exact"/>
              <w:jc w:val="both"/>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hint="default" w:ascii="Times New Roman" w:hAnsi="Times New Roman" w:cs="Times New Roman" w:eastAsiaTheme="minorEastAsia"/>
                <w:bCs/>
                <w:color w:val="auto"/>
                <w:w w:val="99"/>
                <w:kern w:val="2"/>
                <w:sz w:val="21"/>
                <w:szCs w:val="21"/>
                <w:highlight w:val="none"/>
                <w:lang w:val="en-US" w:eastAsia="zh-CN"/>
              </w:rPr>
              <w:t>铺设混凝土（水泥结构厚度为</w:t>
            </w:r>
            <w:r>
              <w:rPr>
                <w:rFonts w:hint="eastAsia" w:ascii="Times New Roman" w:hAnsi="Times New Roman" w:cs="Times New Roman" w:eastAsiaTheme="minorEastAsia"/>
                <w:bCs/>
                <w:color w:val="auto"/>
                <w:w w:val="99"/>
                <w:kern w:val="2"/>
                <w:sz w:val="21"/>
                <w:szCs w:val="21"/>
                <w:highlight w:val="none"/>
                <w:lang w:val="en-US" w:eastAsia="zh-CN"/>
              </w:rPr>
              <w:t>2</w:t>
            </w:r>
            <w:r>
              <w:rPr>
                <w:rFonts w:hint="default" w:ascii="Times New Roman" w:hAnsi="Times New Roman" w:cs="Times New Roman" w:eastAsiaTheme="minorEastAsia"/>
                <w:bCs/>
                <w:color w:val="auto"/>
                <w:w w:val="99"/>
                <w:kern w:val="2"/>
                <w:sz w:val="21"/>
                <w:szCs w:val="21"/>
                <w:highlight w:val="none"/>
                <w:lang w:val="en-US" w:eastAsia="zh-CN"/>
              </w:rPr>
              <w:t>00mm，抗渗等级为P8，强度为C30</w:t>
            </w:r>
            <w:r>
              <w:rPr>
                <w:rFonts w:ascii="Times New Roman" w:hAnsi="Times New Roman" w:cs="Times New Roman" w:eastAsiaTheme="minorEastAsia"/>
                <w:bCs/>
                <w:color w:val="auto"/>
                <w:w w:val="99"/>
                <w:kern w:val="2"/>
                <w:sz w:val="21"/>
                <w:szCs w:val="21"/>
                <w:highlight w:val="none"/>
              </w:rPr>
              <w:t>，</w:t>
            </w:r>
            <w:r>
              <w:rPr>
                <w:rFonts w:hint="eastAsia" w:ascii="Times New Roman" w:hAnsi="Times New Roman" w:cs="Times New Roman" w:eastAsiaTheme="minorEastAsia"/>
                <w:bCs/>
                <w:color w:val="auto"/>
                <w:w w:val="99"/>
                <w:kern w:val="2"/>
                <w:sz w:val="21"/>
                <w:szCs w:val="21"/>
                <w:highlight w:val="none"/>
                <w:lang w:val="en-US" w:eastAsia="zh-CN"/>
              </w:rPr>
              <w:t>并</w:t>
            </w:r>
            <w:r>
              <w:rPr>
                <w:rFonts w:ascii="Times New Roman" w:hAnsi="Times New Roman" w:cs="Times New Roman" w:eastAsiaTheme="minorEastAsia"/>
                <w:bCs/>
                <w:color w:val="auto"/>
                <w:w w:val="99"/>
                <w:kern w:val="2"/>
                <w:sz w:val="21"/>
                <w:szCs w:val="21"/>
                <w:highlight w:val="none"/>
                <w:lang w:val="en-US" w:eastAsia="zh-CN" w:bidi="ar-SA"/>
              </w:rPr>
              <w:t>铺设</w:t>
            </w:r>
            <w:r>
              <w:rPr>
                <w:rFonts w:hint="eastAsia" w:ascii="Times New Roman" w:hAnsi="Times New Roman" w:eastAsia="宋体" w:cs="Times New Roman"/>
                <w:color w:val="auto"/>
                <w:w w:val="99"/>
                <w:sz w:val="21"/>
                <w:szCs w:val="21"/>
                <w:highlight w:val="none"/>
                <w:lang w:val="en-US" w:eastAsia="zh-CN" w:bidi="ar-SA"/>
              </w:rPr>
              <w:t>1.5</w:t>
            </w:r>
            <w:r>
              <w:rPr>
                <w:rFonts w:hint="default" w:ascii="Times New Roman" w:hAnsi="Times New Roman" w:eastAsia="宋体" w:cs="Times New Roman"/>
                <w:color w:val="auto"/>
                <w:w w:val="99"/>
                <w:sz w:val="21"/>
                <w:szCs w:val="21"/>
                <w:highlight w:val="none"/>
                <w:lang w:val="en-US" w:eastAsia="zh-CN" w:bidi="ar-SA"/>
              </w:rPr>
              <w:t>mm厚高密度聚乙烯</w:t>
            </w:r>
            <w:r>
              <w:rPr>
                <w:rFonts w:hint="eastAsia" w:ascii="Times New Roman" w:hAnsi="Times New Roman" w:eastAsia="宋体" w:cs="Times New Roman"/>
                <w:color w:val="auto"/>
                <w:w w:val="99"/>
                <w:sz w:val="21"/>
                <w:szCs w:val="21"/>
                <w:highlight w:val="none"/>
                <w:lang w:val="en-US" w:eastAsia="zh-CN" w:bidi="ar-SA"/>
              </w:rPr>
              <w:t>膜</w:t>
            </w:r>
            <w:r>
              <w:rPr>
                <w:rFonts w:hint="eastAsia" w:ascii="Times New Roman" w:hAnsi="Times New Roman" w:cs="Times New Roman" w:eastAsiaTheme="minorEastAsia"/>
                <w:bCs/>
                <w:color w:val="auto"/>
                <w:w w:val="99"/>
                <w:kern w:val="2"/>
                <w:sz w:val="21"/>
                <w:szCs w:val="21"/>
                <w:highlight w:val="none"/>
                <w:lang w:val="en-US" w:eastAsia="zh-CN" w:bidi="ar-SA"/>
              </w:rPr>
              <w:t>，</w:t>
            </w:r>
            <w:r>
              <w:rPr>
                <w:rFonts w:ascii="Times New Roman" w:hAnsi="Times New Roman" w:cs="Times New Roman" w:eastAsiaTheme="minorEastAsia"/>
                <w:bCs/>
                <w:color w:val="auto"/>
                <w:w w:val="99"/>
                <w:kern w:val="2"/>
                <w:sz w:val="21"/>
                <w:szCs w:val="21"/>
                <w:highlight w:val="none"/>
              </w:rPr>
              <w:t>渗透系数为1.0×10</w:t>
            </w:r>
            <w:r>
              <w:rPr>
                <w:rFonts w:ascii="Times New Roman" w:hAnsi="Times New Roman" w:cs="Times New Roman" w:eastAsiaTheme="minorEastAsia"/>
                <w:bCs/>
                <w:color w:val="auto"/>
                <w:w w:val="99"/>
                <w:kern w:val="2"/>
                <w:sz w:val="21"/>
                <w:szCs w:val="21"/>
                <w:highlight w:val="none"/>
                <w:vertAlign w:val="superscript"/>
              </w:rPr>
              <w:t>-10</w:t>
            </w:r>
            <w:r>
              <w:rPr>
                <w:rFonts w:ascii="Times New Roman" w:hAnsi="Times New Roman" w:cs="Times New Roman" w:eastAsiaTheme="minorEastAsia"/>
                <w:bCs/>
                <w:color w:val="auto"/>
                <w:w w:val="99"/>
                <w:kern w:val="2"/>
                <w:sz w:val="21"/>
                <w:szCs w:val="21"/>
                <w:highlight w:val="none"/>
              </w:rPr>
              <w:t>cm/s</w:t>
            </w:r>
          </w:p>
        </w:tc>
        <w:tc>
          <w:tcPr>
            <w:tcW w:w="1462" w:type="pct"/>
            <w:vMerge w:val="restart"/>
            <w:tcBorders>
              <w:top w:val="single" w:color="auto" w:sz="4" w:space="0"/>
            </w:tcBorders>
            <w:vAlign w:val="center"/>
          </w:tcPr>
          <w:p w14:paraId="7B8D3EE6">
            <w:pPr>
              <w:keepNext w:val="0"/>
              <w:keepLines w:val="0"/>
              <w:pageBreakBefore w:val="0"/>
              <w:kinsoku/>
              <w:wordWrap/>
              <w:overflowPunct/>
              <w:topLinePunct w:val="0"/>
              <w:autoSpaceDE/>
              <w:autoSpaceDN/>
              <w:bidi w:val="0"/>
              <w:adjustRightInd w:val="0"/>
              <w:snapToGrid w:val="0"/>
              <w:spacing w:line="360" w:lineRule="exact"/>
              <w:jc w:val="both"/>
              <w:textAlignment w:val="auto"/>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满足《环境影响评价技术导则 地下水环境》（HJ610-2016）中关于一般防渗区等效黏土防渗层Mb≥1.5m，K≤1×10</w:t>
            </w:r>
            <w:r>
              <w:rPr>
                <w:rFonts w:ascii="Times New Roman" w:hAnsi="Times New Roman" w:cs="Times New Roman" w:eastAsiaTheme="minorEastAsia"/>
                <w:bCs/>
                <w:color w:val="auto"/>
                <w:w w:val="99"/>
                <w:kern w:val="2"/>
                <w:sz w:val="21"/>
                <w:szCs w:val="21"/>
                <w:highlight w:val="none"/>
                <w:vertAlign w:val="superscript"/>
              </w:rPr>
              <w:t>-7</w:t>
            </w:r>
            <w:r>
              <w:rPr>
                <w:rFonts w:ascii="Times New Roman" w:hAnsi="Times New Roman" w:cs="Times New Roman" w:eastAsiaTheme="minorEastAsia"/>
                <w:bCs/>
                <w:color w:val="auto"/>
                <w:w w:val="99"/>
                <w:kern w:val="2"/>
                <w:sz w:val="21"/>
                <w:szCs w:val="21"/>
                <w:highlight w:val="none"/>
              </w:rPr>
              <w:t>cm/s防渗技术要求</w:t>
            </w:r>
          </w:p>
        </w:tc>
      </w:tr>
      <w:tr w14:paraId="4366E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8" w:type="pct"/>
            <w:vMerge w:val="continue"/>
            <w:vAlign w:val="center"/>
          </w:tcPr>
          <w:p w14:paraId="1FFBB1D3">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color w:val="auto"/>
                <w:w w:val="99"/>
                <w:kern w:val="2"/>
                <w:sz w:val="21"/>
                <w:szCs w:val="21"/>
                <w:highlight w:val="none"/>
              </w:rPr>
            </w:pPr>
          </w:p>
        </w:tc>
        <w:tc>
          <w:tcPr>
            <w:tcW w:w="480" w:type="pct"/>
            <w:vMerge w:val="continue"/>
            <w:vAlign w:val="center"/>
          </w:tcPr>
          <w:p w14:paraId="41EB2305">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cs="Times New Roman" w:eastAsiaTheme="minorEastAsia"/>
                <w:color w:val="auto"/>
                <w:w w:val="99"/>
                <w:kern w:val="2"/>
                <w:sz w:val="21"/>
                <w:szCs w:val="21"/>
                <w:highlight w:val="none"/>
                <w:lang w:val="en-US" w:eastAsia="zh-CN"/>
              </w:rPr>
            </w:pPr>
          </w:p>
        </w:tc>
        <w:tc>
          <w:tcPr>
            <w:tcW w:w="1412" w:type="pct"/>
            <w:tcBorders>
              <w:top w:val="single" w:color="auto" w:sz="4" w:space="0"/>
              <w:bottom w:val="single" w:color="auto" w:sz="4" w:space="0"/>
            </w:tcBorders>
            <w:vAlign w:val="center"/>
          </w:tcPr>
          <w:p w14:paraId="1F04F76F">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eastAsia="宋体" w:cs="Times New Roman"/>
                <w:bCs/>
                <w:color w:val="auto"/>
                <w:w w:val="99"/>
                <w:kern w:val="2"/>
                <w:sz w:val="21"/>
                <w:szCs w:val="21"/>
                <w:highlight w:val="none"/>
                <w:lang w:val="en-US" w:eastAsia="zh-CN" w:bidi="ar-SA"/>
              </w:rPr>
              <w:t>井场阀组区</w:t>
            </w:r>
            <w:r>
              <w:rPr>
                <w:rFonts w:hint="eastAsia" w:ascii="Times New Roman" w:hAnsi="Times New Roman" w:cs="Times New Roman"/>
                <w:bCs/>
                <w:color w:val="auto"/>
                <w:w w:val="99"/>
                <w:kern w:val="2"/>
                <w:sz w:val="21"/>
                <w:szCs w:val="21"/>
                <w:highlight w:val="none"/>
                <w:lang w:val="en-US" w:eastAsia="zh-CN" w:bidi="ar-SA"/>
              </w:rPr>
              <w:t>、</w:t>
            </w:r>
            <w:r>
              <w:rPr>
                <w:rFonts w:hint="eastAsia" w:ascii="Times New Roman" w:hAnsi="Times New Roman" w:cs="Times New Roman" w:eastAsiaTheme="minorEastAsia"/>
                <w:bCs/>
                <w:color w:val="auto"/>
                <w:w w:val="99"/>
                <w:kern w:val="2"/>
                <w:sz w:val="21"/>
                <w:szCs w:val="21"/>
                <w:highlight w:val="none"/>
                <w:lang w:val="en-US" w:eastAsia="zh-CN"/>
              </w:rPr>
              <w:t>放空池</w:t>
            </w:r>
          </w:p>
        </w:tc>
        <w:tc>
          <w:tcPr>
            <w:tcW w:w="1385" w:type="pct"/>
            <w:tcBorders>
              <w:top w:val="single" w:color="auto" w:sz="4" w:space="0"/>
            </w:tcBorders>
            <w:vAlign w:val="center"/>
          </w:tcPr>
          <w:p w14:paraId="2014C2F2">
            <w:pPr>
              <w:pStyle w:val="2857"/>
              <w:keepNext w:val="0"/>
              <w:keepLines w:val="0"/>
              <w:pageBreakBefore w:val="0"/>
              <w:widowControl/>
              <w:kinsoku/>
              <w:wordWrap/>
              <w:overflowPunct/>
              <w:topLinePunct w:val="0"/>
              <w:autoSpaceDE/>
              <w:autoSpaceDN/>
              <w:bidi w:val="0"/>
              <w:adjustRightInd/>
              <w:snapToGrid/>
              <w:spacing w:line="360" w:lineRule="exact"/>
              <w:ind w:left="0"/>
              <w:jc w:val="both"/>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ascii="Times New Roman" w:hAnsi="Times New Roman" w:cs="Times New Roman" w:eastAsiaTheme="minorEastAsia"/>
                <w:bCs/>
                <w:color w:val="auto"/>
                <w:w w:val="99"/>
                <w:kern w:val="2"/>
                <w:sz w:val="21"/>
                <w:szCs w:val="21"/>
                <w:highlight w:val="none"/>
                <w:lang w:val="en-US" w:eastAsia="zh-CN" w:bidi="ar-SA"/>
              </w:rPr>
              <w:t>分层进行素土夯实，每层厚度不大于300mm，压实系数不小于0.95，铺设</w:t>
            </w:r>
            <w:r>
              <w:rPr>
                <w:rFonts w:hint="eastAsia" w:ascii="Times New Roman" w:hAnsi="Times New Roman" w:eastAsia="宋体" w:cs="Times New Roman"/>
                <w:color w:val="auto"/>
                <w:w w:val="99"/>
                <w:sz w:val="21"/>
                <w:szCs w:val="21"/>
                <w:highlight w:val="none"/>
                <w:lang w:val="en-US" w:eastAsia="zh-CN" w:bidi="ar-SA"/>
              </w:rPr>
              <w:t>1.5</w:t>
            </w:r>
            <w:r>
              <w:rPr>
                <w:rFonts w:hint="default" w:ascii="Times New Roman" w:hAnsi="Times New Roman" w:eastAsia="宋体" w:cs="Times New Roman"/>
                <w:color w:val="auto"/>
                <w:w w:val="99"/>
                <w:sz w:val="21"/>
                <w:szCs w:val="21"/>
                <w:highlight w:val="none"/>
                <w:lang w:val="en-US" w:eastAsia="zh-CN" w:bidi="ar-SA"/>
              </w:rPr>
              <w:t>mm厚高密度聚乙烯</w:t>
            </w:r>
            <w:r>
              <w:rPr>
                <w:rFonts w:hint="eastAsia" w:ascii="Times New Roman" w:hAnsi="Times New Roman" w:eastAsia="宋体" w:cs="Times New Roman"/>
                <w:color w:val="auto"/>
                <w:w w:val="99"/>
                <w:sz w:val="21"/>
                <w:szCs w:val="21"/>
                <w:highlight w:val="none"/>
                <w:lang w:val="en-US" w:eastAsia="zh-CN" w:bidi="ar-SA"/>
              </w:rPr>
              <w:t>膜</w:t>
            </w:r>
            <w:r>
              <w:rPr>
                <w:rFonts w:hint="eastAsia" w:ascii="Times New Roman" w:hAnsi="Times New Roman" w:cs="Times New Roman" w:eastAsiaTheme="minorEastAsia"/>
                <w:bCs/>
                <w:color w:val="auto"/>
                <w:w w:val="99"/>
                <w:kern w:val="2"/>
                <w:sz w:val="21"/>
                <w:szCs w:val="21"/>
                <w:highlight w:val="none"/>
                <w:lang w:val="en-US" w:eastAsia="zh-CN" w:bidi="ar-SA"/>
              </w:rPr>
              <w:t>，</w:t>
            </w:r>
            <w:r>
              <w:rPr>
                <w:rFonts w:ascii="Times New Roman" w:hAnsi="Times New Roman" w:cs="Times New Roman" w:eastAsiaTheme="minorEastAsia"/>
                <w:bCs/>
                <w:color w:val="auto"/>
                <w:w w:val="99"/>
                <w:kern w:val="2"/>
                <w:sz w:val="21"/>
                <w:szCs w:val="21"/>
                <w:highlight w:val="none"/>
              </w:rPr>
              <w:t>渗透系数为1.0×10</w:t>
            </w:r>
            <w:r>
              <w:rPr>
                <w:rFonts w:ascii="Times New Roman" w:hAnsi="Times New Roman" w:cs="Times New Roman" w:eastAsiaTheme="minorEastAsia"/>
                <w:bCs/>
                <w:color w:val="auto"/>
                <w:w w:val="99"/>
                <w:kern w:val="2"/>
                <w:sz w:val="21"/>
                <w:szCs w:val="21"/>
                <w:highlight w:val="none"/>
                <w:vertAlign w:val="superscript"/>
              </w:rPr>
              <w:t>-10</w:t>
            </w:r>
            <w:r>
              <w:rPr>
                <w:rFonts w:ascii="Times New Roman" w:hAnsi="Times New Roman" w:cs="Times New Roman" w:eastAsiaTheme="minorEastAsia"/>
                <w:bCs/>
                <w:color w:val="auto"/>
                <w:w w:val="99"/>
                <w:kern w:val="2"/>
                <w:sz w:val="21"/>
                <w:szCs w:val="21"/>
                <w:highlight w:val="none"/>
              </w:rPr>
              <w:t>cm/s</w:t>
            </w:r>
          </w:p>
        </w:tc>
        <w:tc>
          <w:tcPr>
            <w:tcW w:w="1462" w:type="pct"/>
            <w:vMerge w:val="continue"/>
            <w:vAlign w:val="center"/>
          </w:tcPr>
          <w:p w14:paraId="24C7F8B6">
            <w:pPr>
              <w:keepNext w:val="0"/>
              <w:keepLines w:val="0"/>
              <w:pageBreakBefore w:val="0"/>
              <w:kinsoku/>
              <w:wordWrap/>
              <w:overflowPunct/>
              <w:topLinePunct w:val="0"/>
              <w:autoSpaceDE/>
              <w:autoSpaceDN/>
              <w:bidi w:val="0"/>
              <w:adjustRightInd w:val="0"/>
              <w:snapToGrid w:val="0"/>
              <w:spacing w:line="360" w:lineRule="exact"/>
              <w:jc w:val="both"/>
              <w:textAlignment w:val="auto"/>
              <w:rPr>
                <w:rFonts w:ascii="Times New Roman" w:hAnsi="Times New Roman" w:cs="Times New Roman" w:eastAsiaTheme="minorEastAsia"/>
                <w:bCs/>
                <w:color w:val="auto"/>
                <w:w w:val="99"/>
                <w:kern w:val="2"/>
                <w:sz w:val="21"/>
                <w:szCs w:val="21"/>
                <w:highlight w:val="none"/>
              </w:rPr>
            </w:pPr>
          </w:p>
        </w:tc>
      </w:tr>
      <w:tr w14:paraId="21279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8" w:type="pct"/>
            <w:vMerge w:val="continue"/>
            <w:vAlign w:val="center"/>
          </w:tcPr>
          <w:p w14:paraId="4D46ECFF">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color w:val="auto"/>
                <w:w w:val="99"/>
                <w:kern w:val="2"/>
                <w:sz w:val="21"/>
                <w:szCs w:val="21"/>
                <w:highlight w:val="none"/>
              </w:rPr>
            </w:pPr>
          </w:p>
        </w:tc>
        <w:tc>
          <w:tcPr>
            <w:tcW w:w="480" w:type="pct"/>
            <w:vAlign w:val="center"/>
          </w:tcPr>
          <w:p w14:paraId="370F4F37">
            <w:pPr>
              <w:keepNext w:val="0"/>
              <w:keepLines w:val="0"/>
              <w:pageBreakBefore w:val="0"/>
              <w:widowControl w:val="0"/>
              <w:kinsoku/>
              <w:wordWrap/>
              <w:overflowPunct/>
              <w:topLinePunct w:val="0"/>
              <w:autoSpaceDE/>
              <w:autoSpaceDN/>
              <w:bidi w:val="0"/>
              <w:snapToGrid w:val="0"/>
              <w:spacing w:line="360" w:lineRule="exact"/>
              <w:jc w:val="center"/>
              <w:textAlignment w:val="auto"/>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简单防渗区</w:t>
            </w:r>
          </w:p>
        </w:tc>
        <w:tc>
          <w:tcPr>
            <w:tcW w:w="1412" w:type="pct"/>
            <w:vAlign w:val="center"/>
          </w:tcPr>
          <w:p w14:paraId="6CBF846E">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cs="Times New Roman" w:eastAsiaTheme="minorEastAsia"/>
                <w:bCs/>
                <w:color w:val="auto"/>
                <w:w w:val="99"/>
                <w:kern w:val="2"/>
                <w:sz w:val="21"/>
                <w:szCs w:val="21"/>
                <w:highlight w:val="none"/>
                <w:lang w:val="en-US" w:eastAsia="zh-CN"/>
              </w:rPr>
            </w:pPr>
            <w:r>
              <w:rPr>
                <w:rFonts w:hint="eastAsia" w:ascii="Times New Roman" w:hAnsi="Times New Roman" w:cs="Times New Roman" w:eastAsiaTheme="minorEastAsia"/>
                <w:bCs/>
                <w:color w:val="auto"/>
                <w:w w:val="99"/>
                <w:kern w:val="2"/>
                <w:sz w:val="21"/>
                <w:szCs w:val="21"/>
                <w:highlight w:val="none"/>
                <w:lang w:val="en-US" w:eastAsia="zh-CN"/>
              </w:rPr>
              <w:t>井场其他区域</w:t>
            </w:r>
          </w:p>
        </w:tc>
        <w:tc>
          <w:tcPr>
            <w:tcW w:w="1385" w:type="pct"/>
            <w:vAlign w:val="center"/>
          </w:tcPr>
          <w:p w14:paraId="725536ED">
            <w:pPr>
              <w:keepNext w:val="0"/>
              <w:keepLines w:val="0"/>
              <w:pageBreakBefore w:val="0"/>
              <w:kinsoku/>
              <w:wordWrap/>
              <w:overflowPunct/>
              <w:topLinePunct w:val="0"/>
              <w:autoSpaceDE/>
              <w:autoSpaceDN/>
              <w:bidi w:val="0"/>
              <w:adjustRightInd w:val="0"/>
              <w:snapToGrid w:val="0"/>
              <w:spacing w:line="360" w:lineRule="exact"/>
              <w:jc w:val="both"/>
              <w:textAlignment w:val="auto"/>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采用地面夯实碾压平整进行防渗</w:t>
            </w:r>
          </w:p>
        </w:tc>
        <w:tc>
          <w:tcPr>
            <w:tcW w:w="1462" w:type="pct"/>
            <w:vAlign w:val="center"/>
          </w:tcPr>
          <w:p w14:paraId="6866B189">
            <w:pPr>
              <w:keepNext w:val="0"/>
              <w:keepLines w:val="0"/>
              <w:pageBreakBefore w:val="0"/>
              <w:kinsoku/>
              <w:wordWrap/>
              <w:overflowPunct/>
              <w:topLinePunct w:val="0"/>
              <w:autoSpaceDE/>
              <w:autoSpaceDN/>
              <w:bidi w:val="0"/>
              <w:adjustRightInd w:val="0"/>
              <w:snapToGrid w:val="0"/>
              <w:spacing w:line="360" w:lineRule="exact"/>
              <w:jc w:val="both"/>
              <w:textAlignment w:val="auto"/>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满足一般地面硬化防渗技术要求</w:t>
            </w:r>
          </w:p>
        </w:tc>
      </w:tr>
    </w:tbl>
    <w:p w14:paraId="718430DA">
      <w:pPr>
        <w:pStyle w:val="153"/>
        <w:ind w:firstLine="0" w:firstLineChars="0"/>
        <w:outlineLvl w:val="3"/>
        <w:rPr>
          <w:rFonts w:ascii="Times New Roman" w:hAnsi="Times New Roman"/>
          <w:b/>
          <w:color w:val="auto"/>
          <w:w w:val="99"/>
          <w:highlight w:val="none"/>
        </w:rPr>
      </w:pPr>
      <w:r>
        <w:rPr>
          <w:rFonts w:ascii="Times New Roman" w:hAnsi="Times New Roman"/>
          <w:b/>
          <w:color w:val="auto"/>
          <w:w w:val="99"/>
          <w:highlight w:val="none"/>
        </w:rPr>
        <w:t>6.1.3.4地下水环境跟踪监测</w:t>
      </w:r>
    </w:p>
    <w:p w14:paraId="4333F19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定期对地下水环境进行监测，监测委托具有资质的单位进行，结合《排污单位自行监测技术指南 陆上石油天然气开采工业》（HJ1248-2022）制定本项目运营期监测计划，同时在当地对监测结果进行信息公开，每年公开一次，随时监测地下水的变化，及时发现和解决问题；如发生重大污染事故且已对地下水造成污染，应进行信息公开，并与政府相关部门进行联动，聘请专家进行讨论，制定减轻地下水污染程度及控制地下水污染范围的措施，防止地下水污染加剧。</w:t>
      </w:r>
    </w:p>
    <w:p w14:paraId="3AC8746B">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项目区域潜水流向为从东</w:t>
      </w:r>
      <w:r>
        <w:rPr>
          <w:rFonts w:hint="eastAsia" w:ascii="Times New Roman" w:hAnsi="Times New Roman" w:eastAsia="宋体" w:cs="Times New Roman"/>
          <w:color w:val="auto"/>
          <w:w w:val="99"/>
          <w:kern w:val="0"/>
          <w:sz w:val="24"/>
          <w:szCs w:val="24"/>
          <w:highlight w:val="none"/>
          <w:lang w:val="en-US" w:eastAsia="zh-CN" w:bidi="zh-CN"/>
        </w:rPr>
        <w:t>南</w:t>
      </w:r>
      <w:r>
        <w:rPr>
          <w:rFonts w:hint="default" w:ascii="Times New Roman" w:hAnsi="Times New Roman" w:eastAsia="宋体" w:cs="Times New Roman"/>
          <w:color w:val="auto"/>
          <w:w w:val="99"/>
          <w:kern w:val="0"/>
          <w:sz w:val="24"/>
          <w:szCs w:val="24"/>
          <w:highlight w:val="none"/>
          <w:lang w:val="en-US" w:eastAsia="zh-CN" w:bidi="zh-CN"/>
        </w:rPr>
        <w:t>向</w:t>
      </w:r>
      <w:r>
        <w:rPr>
          <w:rFonts w:hint="eastAsia" w:ascii="Times New Roman" w:hAnsi="Times New Roman" w:eastAsia="宋体" w:cs="Times New Roman"/>
          <w:color w:val="auto"/>
          <w:w w:val="99"/>
          <w:kern w:val="0"/>
          <w:sz w:val="24"/>
          <w:szCs w:val="24"/>
          <w:highlight w:val="none"/>
          <w:lang w:val="en-US" w:eastAsia="zh-CN" w:bidi="zh-CN"/>
        </w:rPr>
        <w:t>西北</w:t>
      </w:r>
      <w:r>
        <w:rPr>
          <w:rFonts w:hint="default" w:ascii="Times New Roman" w:hAnsi="Times New Roman" w:eastAsia="宋体" w:cs="Times New Roman"/>
          <w:color w:val="auto"/>
          <w:w w:val="99"/>
          <w:kern w:val="0"/>
          <w:sz w:val="24"/>
          <w:szCs w:val="24"/>
          <w:highlight w:val="none"/>
          <w:lang w:val="en-US" w:eastAsia="zh-CN" w:bidi="zh-CN"/>
        </w:rPr>
        <w:t>，根据项目</w:t>
      </w:r>
      <w:r>
        <w:rPr>
          <w:rFonts w:hint="eastAsia" w:ascii="Times New Roman" w:hAnsi="Times New Roman" w:eastAsia="宋体" w:cs="Times New Roman"/>
          <w:color w:val="auto"/>
          <w:w w:val="99"/>
          <w:kern w:val="0"/>
          <w:sz w:val="24"/>
          <w:szCs w:val="24"/>
          <w:highlight w:val="none"/>
          <w:lang w:val="en-US" w:eastAsia="zh-CN" w:bidi="zh-CN"/>
        </w:rPr>
        <w:t>采气井</w:t>
      </w:r>
      <w:r>
        <w:rPr>
          <w:rFonts w:hint="default" w:ascii="Times New Roman" w:hAnsi="Times New Roman" w:eastAsia="宋体" w:cs="Times New Roman"/>
          <w:color w:val="auto"/>
          <w:w w:val="99"/>
          <w:kern w:val="0"/>
          <w:sz w:val="24"/>
          <w:szCs w:val="24"/>
          <w:highlight w:val="none"/>
          <w:lang w:val="en-US" w:eastAsia="zh-CN" w:bidi="zh-CN"/>
        </w:rPr>
        <w:t>分布、周边地下水井分布情况，在区块</w:t>
      </w:r>
      <w:r>
        <w:rPr>
          <w:rFonts w:hint="eastAsia" w:ascii="Times New Roman" w:hAnsi="Times New Roman"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下游布设</w:t>
      </w:r>
      <w:r>
        <w:rPr>
          <w:rFonts w:hint="eastAsia" w:ascii="Times New Roman" w:hAnsi="Times New Roman" w:cs="Times New Roman"/>
          <w:color w:val="auto"/>
          <w:w w:val="99"/>
          <w:kern w:val="0"/>
          <w:sz w:val="24"/>
          <w:szCs w:val="24"/>
          <w:highlight w:val="none"/>
          <w:lang w:val="en-US" w:eastAsia="zh-CN" w:bidi="zh-CN"/>
        </w:rPr>
        <w:t>3</w:t>
      </w:r>
      <w:r>
        <w:rPr>
          <w:rFonts w:hint="default" w:ascii="Times New Roman" w:hAnsi="Times New Roman" w:eastAsia="宋体" w:cs="Times New Roman"/>
          <w:color w:val="auto"/>
          <w:w w:val="99"/>
          <w:kern w:val="0"/>
          <w:sz w:val="24"/>
          <w:szCs w:val="24"/>
          <w:highlight w:val="none"/>
          <w:lang w:val="en-US" w:eastAsia="zh-CN" w:bidi="zh-CN"/>
        </w:rPr>
        <w:t>个潜水跟踪监测点，定期对地下水进行跟踪监测，地下水跟踪监测井结构类型为单管单层监测，井管的内径要求不小于50 mm，井管材料为钢管、不锈钢管、PVC材质的井为宜，井的滤水管顶部位置位于多年平均最低水位面以下1m。具体设置情况见表6.1-</w:t>
      </w:r>
      <w:r>
        <w:rPr>
          <w:rFonts w:hint="eastAsia" w:ascii="Times New Roman" w:hAnsi="Times New Roman" w:cs="Times New Roman"/>
          <w:color w:val="auto"/>
          <w:w w:val="99"/>
          <w:kern w:val="0"/>
          <w:sz w:val="24"/>
          <w:szCs w:val="24"/>
          <w:highlight w:val="none"/>
          <w:lang w:val="en-US" w:eastAsia="zh-CN" w:bidi="zh-CN"/>
        </w:rPr>
        <w:t>4</w:t>
      </w:r>
      <w:r>
        <w:rPr>
          <w:rFonts w:hint="default" w:ascii="Times New Roman" w:hAnsi="Times New Roman" w:eastAsia="宋体" w:cs="Times New Roman"/>
          <w:color w:val="auto"/>
          <w:w w:val="99"/>
          <w:kern w:val="0"/>
          <w:sz w:val="24"/>
          <w:szCs w:val="24"/>
          <w:highlight w:val="none"/>
          <w:lang w:val="en-US" w:eastAsia="zh-CN" w:bidi="zh-CN"/>
        </w:rPr>
        <w:t>。地下水跟踪监测布点图附图</w:t>
      </w:r>
      <w:r>
        <w:rPr>
          <w:rFonts w:hint="eastAsia" w:ascii="Times New Roman" w:hAnsi="Times New Roman" w:cs="Times New Roman"/>
          <w:color w:val="auto"/>
          <w:w w:val="99"/>
          <w:kern w:val="0"/>
          <w:sz w:val="24"/>
          <w:szCs w:val="24"/>
          <w:highlight w:val="none"/>
          <w:lang w:val="en-US" w:eastAsia="zh-CN" w:bidi="zh-CN"/>
        </w:rPr>
        <w:t>10</w:t>
      </w:r>
      <w:r>
        <w:rPr>
          <w:rFonts w:hint="default" w:ascii="Times New Roman" w:hAnsi="Times New Roman" w:eastAsia="宋体" w:cs="Times New Roman"/>
          <w:color w:val="auto"/>
          <w:w w:val="99"/>
          <w:kern w:val="0"/>
          <w:sz w:val="24"/>
          <w:szCs w:val="24"/>
          <w:highlight w:val="none"/>
          <w:lang w:val="en-US" w:eastAsia="zh-CN" w:bidi="zh-CN"/>
        </w:rPr>
        <w:t>。</w:t>
      </w:r>
    </w:p>
    <w:p w14:paraId="3726EDAF">
      <w:pPr>
        <w:widowControl w:val="0"/>
        <w:spacing w:line="440" w:lineRule="exact"/>
        <w:ind w:firstLine="476" w:firstLineChars="200"/>
        <w:jc w:val="both"/>
        <w:rPr>
          <w:rFonts w:ascii="Times New Roman" w:hAnsi="Times New Roman" w:cs="Times New Roman" w:eastAsiaTheme="minorEastAsia"/>
          <w:color w:val="FF0000"/>
          <w:w w:val="99"/>
          <w:kern w:val="21"/>
          <w:highlight w:val="none"/>
        </w:rPr>
      </w:pPr>
      <w:r>
        <w:rPr>
          <w:rFonts w:ascii="Times New Roman" w:hAnsi="Times New Roman" w:cs="Times New Roman" w:eastAsiaTheme="minorEastAsia"/>
          <w:b/>
          <w:color w:val="FF0000"/>
          <w:w w:val="99"/>
          <w:kern w:val="21"/>
          <w:highlight w:val="none"/>
        </w:rPr>
        <w:t>表6.1-</w:t>
      </w:r>
      <w:r>
        <w:rPr>
          <w:rFonts w:hint="eastAsia" w:ascii="Times New Roman" w:hAnsi="Times New Roman" w:cs="Times New Roman" w:eastAsiaTheme="minorEastAsia"/>
          <w:b/>
          <w:color w:val="FF0000"/>
          <w:w w:val="99"/>
          <w:kern w:val="21"/>
          <w:highlight w:val="none"/>
          <w:lang w:val="en-US" w:eastAsia="zh-CN"/>
        </w:rPr>
        <w:t>4</w:t>
      </w:r>
      <w:r>
        <w:rPr>
          <w:rFonts w:ascii="Times New Roman" w:hAnsi="Times New Roman" w:cs="Times New Roman" w:eastAsiaTheme="minorEastAsia"/>
          <w:b/>
          <w:bCs/>
          <w:color w:val="FF0000"/>
          <w:w w:val="99"/>
          <w:kern w:val="21"/>
          <w:szCs w:val="20"/>
          <w:highlight w:val="none"/>
        </w:rPr>
        <w:t xml:space="preserve">    地下水环境监测计划表</w:t>
      </w:r>
    </w:p>
    <w:tbl>
      <w:tblPr>
        <w:tblStyle w:val="8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5"/>
        <w:gridCol w:w="1116"/>
        <w:gridCol w:w="1907"/>
        <w:gridCol w:w="1309"/>
        <w:gridCol w:w="1555"/>
        <w:gridCol w:w="769"/>
        <w:gridCol w:w="728"/>
        <w:gridCol w:w="716"/>
      </w:tblGrid>
      <w:tr w14:paraId="5616F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8" w:type="pct"/>
            <w:vAlign w:val="center"/>
          </w:tcPr>
          <w:p w14:paraId="6B7930FB">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点位</w:t>
            </w:r>
          </w:p>
        </w:tc>
        <w:tc>
          <w:tcPr>
            <w:tcW w:w="600" w:type="pct"/>
            <w:vAlign w:val="center"/>
          </w:tcPr>
          <w:p w14:paraId="2359084B">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功能</w:t>
            </w:r>
          </w:p>
        </w:tc>
        <w:tc>
          <w:tcPr>
            <w:tcW w:w="1026" w:type="pct"/>
            <w:vAlign w:val="center"/>
          </w:tcPr>
          <w:p w14:paraId="299FE982">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监测因子</w:t>
            </w:r>
          </w:p>
        </w:tc>
        <w:tc>
          <w:tcPr>
            <w:tcW w:w="704" w:type="pct"/>
            <w:vAlign w:val="center"/>
          </w:tcPr>
          <w:p w14:paraId="76CDE5E8">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坐标</w:t>
            </w:r>
          </w:p>
        </w:tc>
        <w:tc>
          <w:tcPr>
            <w:tcW w:w="837" w:type="pct"/>
            <w:vAlign w:val="center"/>
          </w:tcPr>
          <w:p w14:paraId="53F9F2A3">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位置</w:t>
            </w:r>
          </w:p>
        </w:tc>
        <w:tc>
          <w:tcPr>
            <w:tcW w:w="414" w:type="pct"/>
            <w:vAlign w:val="center"/>
          </w:tcPr>
          <w:p w14:paraId="36DE2CB5">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井深</w:t>
            </w:r>
          </w:p>
        </w:tc>
        <w:tc>
          <w:tcPr>
            <w:tcW w:w="392" w:type="pct"/>
            <w:vAlign w:val="center"/>
          </w:tcPr>
          <w:p w14:paraId="0465FF43">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监测层位</w:t>
            </w:r>
          </w:p>
        </w:tc>
        <w:tc>
          <w:tcPr>
            <w:tcW w:w="385" w:type="pct"/>
            <w:vAlign w:val="center"/>
          </w:tcPr>
          <w:p w14:paraId="57FE6935">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监测频次</w:t>
            </w:r>
          </w:p>
        </w:tc>
      </w:tr>
      <w:tr w14:paraId="736E5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8" w:type="pct"/>
            <w:vAlign w:val="center"/>
          </w:tcPr>
          <w:p w14:paraId="49C631BA">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hint="eastAsia" w:ascii="Times New Roman" w:hAnsi="Times New Roman" w:cs="Times New Roman" w:eastAsiaTheme="minorEastAsia"/>
                <w:color w:val="FF0000"/>
                <w:w w:val="99"/>
                <w:sz w:val="21"/>
                <w:szCs w:val="21"/>
                <w:highlight w:val="none"/>
                <w:lang w:val="en-US" w:eastAsia="zh-CN"/>
              </w:rPr>
              <w:t>王家围子屯水</w:t>
            </w:r>
            <w:r>
              <w:rPr>
                <w:rFonts w:ascii="Times New Roman" w:hAnsi="Times New Roman" w:cs="Times New Roman" w:eastAsiaTheme="minorEastAsia"/>
                <w:color w:val="FF0000"/>
                <w:w w:val="99"/>
                <w:sz w:val="21"/>
                <w:szCs w:val="21"/>
                <w:highlight w:val="none"/>
              </w:rPr>
              <w:t>井</w:t>
            </w:r>
          </w:p>
        </w:tc>
        <w:tc>
          <w:tcPr>
            <w:tcW w:w="600" w:type="pct"/>
            <w:vAlign w:val="center"/>
          </w:tcPr>
          <w:p w14:paraId="536E7E64">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hint="eastAsia" w:ascii="Times New Roman" w:hAnsi="Times New Roman" w:cs="Times New Roman" w:eastAsiaTheme="minorEastAsia"/>
                <w:color w:val="FF0000"/>
                <w:w w:val="99"/>
                <w:sz w:val="21"/>
                <w:szCs w:val="21"/>
                <w:highlight w:val="none"/>
                <w:lang w:val="en-US" w:eastAsia="zh-CN"/>
              </w:rPr>
              <w:t>背景</w:t>
            </w:r>
            <w:r>
              <w:rPr>
                <w:rFonts w:ascii="Times New Roman" w:hAnsi="Times New Roman" w:cs="Times New Roman" w:eastAsiaTheme="minorEastAsia"/>
                <w:color w:val="FF0000"/>
                <w:w w:val="99"/>
                <w:sz w:val="21"/>
                <w:szCs w:val="21"/>
                <w:highlight w:val="none"/>
              </w:rPr>
              <w:t>监测点</w:t>
            </w:r>
          </w:p>
        </w:tc>
        <w:tc>
          <w:tcPr>
            <w:tcW w:w="1026" w:type="pct"/>
            <w:vMerge w:val="restart"/>
            <w:vAlign w:val="center"/>
          </w:tcPr>
          <w:p w14:paraId="50F3A9A7">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pH、石油类、石油烃（C</w:t>
            </w:r>
            <w:r>
              <w:rPr>
                <w:rFonts w:ascii="Times New Roman" w:hAnsi="Times New Roman" w:cs="Times New Roman" w:eastAsiaTheme="minorEastAsia"/>
                <w:color w:val="FF0000"/>
                <w:w w:val="99"/>
                <w:sz w:val="21"/>
                <w:szCs w:val="21"/>
                <w:highlight w:val="none"/>
                <w:vertAlign w:val="subscript"/>
              </w:rPr>
              <w:t>6</w:t>
            </w:r>
            <w:r>
              <w:rPr>
                <w:rFonts w:ascii="Times New Roman" w:hAnsi="Times New Roman" w:cs="Times New Roman" w:eastAsiaTheme="minorEastAsia"/>
                <w:color w:val="FF0000"/>
                <w:w w:val="99"/>
                <w:sz w:val="21"/>
                <w:szCs w:val="21"/>
                <w:highlight w:val="none"/>
              </w:rPr>
              <w:t>~C</w:t>
            </w:r>
            <w:r>
              <w:rPr>
                <w:rFonts w:ascii="Times New Roman" w:hAnsi="Times New Roman" w:cs="Times New Roman" w:eastAsiaTheme="minorEastAsia"/>
                <w:color w:val="FF0000"/>
                <w:w w:val="99"/>
                <w:sz w:val="21"/>
                <w:szCs w:val="21"/>
                <w:highlight w:val="none"/>
                <w:vertAlign w:val="subscript"/>
              </w:rPr>
              <w:t>9</w:t>
            </w:r>
            <w:r>
              <w:rPr>
                <w:rFonts w:ascii="Times New Roman" w:hAnsi="Times New Roman" w:cs="Times New Roman" w:eastAsiaTheme="minorEastAsia"/>
                <w:color w:val="FF0000"/>
                <w:w w:val="99"/>
                <w:sz w:val="21"/>
                <w:szCs w:val="21"/>
                <w:highlight w:val="none"/>
              </w:rPr>
              <w:t>）、石油烃（C</w:t>
            </w:r>
            <w:r>
              <w:rPr>
                <w:rFonts w:ascii="Times New Roman" w:hAnsi="Times New Roman" w:cs="Times New Roman" w:eastAsiaTheme="minorEastAsia"/>
                <w:color w:val="FF0000"/>
                <w:w w:val="99"/>
                <w:sz w:val="21"/>
                <w:szCs w:val="21"/>
                <w:highlight w:val="none"/>
                <w:vertAlign w:val="subscript"/>
              </w:rPr>
              <w:t>10</w:t>
            </w:r>
            <w:r>
              <w:rPr>
                <w:rFonts w:ascii="Times New Roman" w:hAnsi="Times New Roman" w:cs="Times New Roman" w:eastAsiaTheme="minorEastAsia"/>
                <w:color w:val="FF0000"/>
                <w:w w:val="99"/>
                <w:sz w:val="21"/>
                <w:szCs w:val="21"/>
                <w:highlight w:val="none"/>
              </w:rPr>
              <w:t>~C</w:t>
            </w:r>
            <w:r>
              <w:rPr>
                <w:rFonts w:ascii="Times New Roman" w:hAnsi="Times New Roman" w:cs="Times New Roman" w:eastAsiaTheme="minorEastAsia"/>
                <w:color w:val="FF0000"/>
                <w:w w:val="99"/>
                <w:sz w:val="21"/>
                <w:szCs w:val="21"/>
                <w:highlight w:val="none"/>
                <w:vertAlign w:val="subscript"/>
              </w:rPr>
              <w:t>40</w:t>
            </w:r>
            <w:r>
              <w:rPr>
                <w:rFonts w:ascii="Times New Roman" w:hAnsi="Times New Roman" w:cs="Times New Roman" w:eastAsiaTheme="minorEastAsia"/>
                <w:color w:val="FF0000"/>
                <w:w w:val="99"/>
                <w:sz w:val="21"/>
                <w:szCs w:val="21"/>
                <w:highlight w:val="none"/>
              </w:rPr>
              <w:t>）、汞、砷、六价铬</w:t>
            </w:r>
          </w:p>
        </w:tc>
        <w:tc>
          <w:tcPr>
            <w:tcW w:w="704" w:type="pct"/>
            <w:vAlign w:val="center"/>
          </w:tcPr>
          <w:p w14:paraId="2EC05804">
            <w:pPr>
              <w:widowControl w:val="0"/>
              <w:snapToGrid w:val="0"/>
              <w:spacing w:line="320" w:lineRule="exact"/>
              <w:jc w:val="center"/>
              <w:rPr>
                <w:rFonts w:hint="eastAsia" w:ascii="Times New Roman" w:hAnsi="Times New Roman" w:cs="Times New Roman" w:eastAsiaTheme="minorEastAsia"/>
                <w:color w:val="FF0000"/>
                <w:w w:val="99"/>
                <w:sz w:val="21"/>
                <w:szCs w:val="21"/>
                <w:highlight w:val="none"/>
                <w:lang w:eastAsia="zh-CN"/>
              </w:rPr>
            </w:pPr>
            <w:r>
              <w:rPr>
                <w:rFonts w:hint="eastAsia" w:ascii="Times New Roman" w:hAnsi="Times New Roman" w:cs="Times New Roman" w:eastAsiaTheme="minorEastAsia"/>
                <w:color w:val="FF0000"/>
                <w:w w:val="99"/>
                <w:sz w:val="21"/>
                <w:szCs w:val="21"/>
                <w:highlight w:val="none"/>
                <w:lang w:eastAsia="zh-CN"/>
              </w:rPr>
              <w:t>125.51499，45.90631</w:t>
            </w:r>
          </w:p>
        </w:tc>
        <w:tc>
          <w:tcPr>
            <w:tcW w:w="837" w:type="pct"/>
            <w:vAlign w:val="center"/>
          </w:tcPr>
          <w:p w14:paraId="23FD5DF5">
            <w:pPr>
              <w:widowControl w:val="0"/>
              <w:snapToGrid w:val="0"/>
              <w:spacing w:line="320" w:lineRule="exact"/>
              <w:jc w:val="center"/>
              <w:rPr>
                <w:rFonts w:hint="default" w:ascii="Times New Roman" w:hAnsi="Times New Roman" w:cs="Times New Roman" w:eastAsiaTheme="minorEastAsia"/>
                <w:color w:val="FF0000"/>
                <w:w w:val="99"/>
                <w:sz w:val="21"/>
                <w:szCs w:val="21"/>
                <w:highlight w:val="none"/>
                <w:lang w:val="en-US" w:eastAsia="zh-CN"/>
              </w:rPr>
            </w:pPr>
            <w:r>
              <w:rPr>
                <w:rFonts w:hint="eastAsia" w:ascii="Times New Roman" w:hAnsi="Times New Roman" w:cs="Times New Roman" w:eastAsiaTheme="minorEastAsia"/>
                <w:color w:val="FF0000"/>
                <w:w w:val="99"/>
                <w:sz w:val="21"/>
                <w:szCs w:val="21"/>
                <w:highlight w:val="none"/>
                <w:lang w:val="en-US" w:eastAsia="zh-CN"/>
              </w:rPr>
              <w:t>拟建管线东北侧850m（上游）</w:t>
            </w:r>
          </w:p>
        </w:tc>
        <w:tc>
          <w:tcPr>
            <w:tcW w:w="414" w:type="pct"/>
            <w:vAlign w:val="center"/>
          </w:tcPr>
          <w:p w14:paraId="4A0A44F0">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hint="eastAsia" w:ascii="Times New Roman" w:hAnsi="Times New Roman" w:cs="Times New Roman" w:eastAsiaTheme="minorEastAsia"/>
                <w:color w:val="FF0000"/>
                <w:w w:val="99"/>
                <w:sz w:val="21"/>
                <w:szCs w:val="21"/>
                <w:highlight w:val="none"/>
                <w:lang w:val="en-US" w:eastAsia="zh-CN"/>
              </w:rPr>
              <w:t>15</w:t>
            </w:r>
            <w:r>
              <w:rPr>
                <w:rFonts w:ascii="Times New Roman" w:hAnsi="Times New Roman" w:cs="Times New Roman" w:eastAsiaTheme="minorEastAsia"/>
                <w:color w:val="FF0000"/>
                <w:w w:val="99"/>
                <w:sz w:val="21"/>
                <w:szCs w:val="21"/>
                <w:highlight w:val="none"/>
              </w:rPr>
              <w:t>m</w:t>
            </w:r>
          </w:p>
        </w:tc>
        <w:tc>
          <w:tcPr>
            <w:tcW w:w="392" w:type="pct"/>
            <w:vAlign w:val="center"/>
          </w:tcPr>
          <w:p w14:paraId="0703893A">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潜水</w:t>
            </w:r>
          </w:p>
        </w:tc>
        <w:tc>
          <w:tcPr>
            <w:tcW w:w="385" w:type="pct"/>
            <w:vMerge w:val="restart"/>
            <w:vAlign w:val="center"/>
          </w:tcPr>
          <w:p w14:paraId="2DB427F9">
            <w:pPr>
              <w:widowControl w:val="0"/>
              <w:adjustRightInd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1次/半年</w:t>
            </w:r>
          </w:p>
        </w:tc>
      </w:tr>
      <w:tr w14:paraId="2ACF4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8" w:type="pct"/>
            <w:vAlign w:val="center"/>
          </w:tcPr>
          <w:p w14:paraId="34049DB0">
            <w:pPr>
              <w:widowControl w:val="0"/>
              <w:snapToGrid w:val="0"/>
              <w:spacing w:line="320" w:lineRule="exact"/>
              <w:jc w:val="center"/>
              <w:rPr>
                <w:rFonts w:hint="default" w:ascii="Times New Roman" w:hAnsi="Times New Roman" w:cs="Times New Roman" w:eastAsiaTheme="minorEastAsia"/>
                <w:color w:val="FF0000"/>
                <w:w w:val="99"/>
                <w:sz w:val="21"/>
                <w:szCs w:val="21"/>
                <w:highlight w:val="none"/>
                <w:lang w:val="en-US" w:eastAsia="zh-CN"/>
              </w:rPr>
            </w:pPr>
            <w:r>
              <w:rPr>
                <w:rFonts w:hint="eastAsia" w:ascii="Times New Roman" w:hAnsi="Times New Roman" w:cs="Times New Roman" w:eastAsiaTheme="minorEastAsia"/>
                <w:color w:val="FF0000"/>
                <w:w w:val="99"/>
                <w:sz w:val="21"/>
                <w:szCs w:val="21"/>
                <w:highlight w:val="none"/>
                <w:lang w:val="en-US" w:eastAsia="zh-CN"/>
              </w:rPr>
              <w:t>福龙村（尚家围子屯）水</w:t>
            </w:r>
            <w:r>
              <w:rPr>
                <w:rFonts w:ascii="Times New Roman" w:hAnsi="Times New Roman" w:cs="Times New Roman" w:eastAsiaTheme="minorEastAsia"/>
                <w:color w:val="FF0000"/>
                <w:w w:val="99"/>
                <w:sz w:val="21"/>
                <w:szCs w:val="21"/>
                <w:highlight w:val="none"/>
              </w:rPr>
              <w:t>井</w:t>
            </w:r>
          </w:p>
        </w:tc>
        <w:tc>
          <w:tcPr>
            <w:tcW w:w="600" w:type="pct"/>
            <w:vAlign w:val="center"/>
          </w:tcPr>
          <w:p w14:paraId="07D36972">
            <w:pPr>
              <w:widowControl w:val="0"/>
              <w:snapToGrid w:val="0"/>
              <w:spacing w:line="320" w:lineRule="exact"/>
              <w:jc w:val="center"/>
              <w:rPr>
                <w:rFonts w:hint="default" w:ascii="Times New Roman" w:hAnsi="Times New Roman" w:cs="Times New Roman" w:eastAsiaTheme="minorEastAsia"/>
                <w:color w:val="FF0000"/>
                <w:w w:val="99"/>
                <w:sz w:val="21"/>
                <w:szCs w:val="21"/>
                <w:highlight w:val="none"/>
                <w:lang w:val="en-US" w:eastAsia="zh-CN"/>
              </w:rPr>
            </w:pPr>
            <w:r>
              <w:rPr>
                <w:rFonts w:hint="eastAsia" w:ascii="Times New Roman" w:hAnsi="Times New Roman" w:cs="Times New Roman" w:eastAsiaTheme="minorEastAsia"/>
                <w:color w:val="FF0000"/>
                <w:w w:val="99"/>
                <w:sz w:val="21"/>
                <w:szCs w:val="21"/>
                <w:highlight w:val="none"/>
                <w:lang w:val="en-US" w:eastAsia="zh-CN"/>
              </w:rPr>
              <w:t>跟踪监测</w:t>
            </w:r>
          </w:p>
        </w:tc>
        <w:tc>
          <w:tcPr>
            <w:tcW w:w="1026" w:type="pct"/>
            <w:vMerge w:val="continue"/>
            <w:vAlign w:val="center"/>
          </w:tcPr>
          <w:p w14:paraId="7DB180EB">
            <w:pPr>
              <w:widowControl w:val="0"/>
              <w:snapToGrid w:val="0"/>
              <w:spacing w:line="320" w:lineRule="exact"/>
              <w:jc w:val="center"/>
              <w:rPr>
                <w:rFonts w:ascii="Times New Roman" w:hAnsi="Times New Roman" w:cs="Times New Roman" w:eastAsiaTheme="minorEastAsia"/>
                <w:color w:val="FF0000"/>
                <w:w w:val="99"/>
                <w:sz w:val="21"/>
                <w:szCs w:val="21"/>
                <w:highlight w:val="none"/>
              </w:rPr>
            </w:pPr>
          </w:p>
        </w:tc>
        <w:tc>
          <w:tcPr>
            <w:tcW w:w="704" w:type="pct"/>
            <w:vAlign w:val="center"/>
          </w:tcPr>
          <w:p w14:paraId="1656A8D9">
            <w:pPr>
              <w:widowControl w:val="0"/>
              <w:snapToGrid w:val="0"/>
              <w:spacing w:line="320" w:lineRule="exact"/>
              <w:jc w:val="center"/>
              <w:rPr>
                <w:rFonts w:hint="eastAsia" w:ascii="Times New Roman" w:hAnsi="Times New Roman" w:cs="Times New Roman" w:eastAsiaTheme="minorEastAsia"/>
                <w:color w:val="FF0000"/>
                <w:w w:val="99"/>
                <w:sz w:val="21"/>
                <w:szCs w:val="21"/>
                <w:highlight w:val="none"/>
                <w:lang w:eastAsia="zh-CN"/>
              </w:rPr>
            </w:pPr>
            <w:r>
              <w:rPr>
                <w:rFonts w:hint="eastAsia" w:ascii="Times New Roman" w:hAnsi="Times New Roman" w:cs="Times New Roman" w:eastAsiaTheme="minorEastAsia"/>
                <w:color w:val="FF0000"/>
                <w:w w:val="99"/>
                <w:sz w:val="21"/>
                <w:szCs w:val="21"/>
                <w:highlight w:val="none"/>
                <w:lang w:eastAsia="zh-CN"/>
              </w:rPr>
              <w:t>125.50506，45.89648</w:t>
            </w:r>
          </w:p>
        </w:tc>
        <w:tc>
          <w:tcPr>
            <w:tcW w:w="837" w:type="pct"/>
            <w:vAlign w:val="center"/>
          </w:tcPr>
          <w:p w14:paraId="375B141C">
            <w:pPr>
              <w:widowControl w:val="0"/>
              <w:snapToGrid w:val="0"/>
              <w:spacing w:line="320" w:lineRule="exact"/>
              <w:jc w:val="center"/>
              <w:rPr>
                <w:rFonts w:hint="default" w:ascii="Times New Roman" w:hAnsi="Times New Roman" w:cs="Times New Roman" w:eastAsiaTheme="minorEastAsia"/>
                <w:color w:val="FF0000"/>
                <w:w w:val="99"/>
                <w:sz w:val="21"/>
                <w:szCs w:val="21"/>
                <w:highlight w:val="none"/>
                <w:lang w:val="en-US" w:eastAsia="zh-CN"/>
              </w:rPr>
            </w:pPr>
            <w:r>
              <w:rPr>
                <w:rFonts w:hint="eastAsia" w:ascii="Times New Roman" w:hAnsi="Times New Roman" w:cs="Times New Roman" w:eastAsiaTheme="minorEastAsia"/>
                <w:color w:val="FF0000"/>
                <w:w w:val="99"/>
                <w:sz w:val="21"/>
                <w:szCs w:val="21"/>
                <w:highlight w:val="none"/>
                <w:lang w:val="en-US" w:eastAsia="zh-CN"/>
              </w:rPr>
              <w:t>拟建管线西南侧300m（下游）</w:t>
            </w:r>
          </w:p>
        </w:tc>
        <w:tc>
          <w:tcPr>
            <w:tcW w:w="414" w:type="pct"/>
            <w:vAlign w:val="center"/>
          </w:tcPr>
          <w:p w14:paraId="1390741A">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hint="eastAsia" w:ascii="Times New Roman" w:hAnsi="Times New Roman" w:cs="Times New Roman" w:eastAsiaTheme="minorEastAsia"/>
                <w:color w:val="FF0000"/>
                <w:w w:val="99"/>
                <w:sz w:val="21"/>
                <w:szCs w:val="21"/>
                <w:highlight w:val="none"/>
                <w:lang w:val="en-US" w:eastAsia="zh-CN"/>
              </w:rPr>
              <w:t>15</w:t>
            </w:r>
            <w:r>
              <w:rPr>
                <w:rFonts w:ascii="Times New Roman" w:hAnsi="Times New Roman" w:cs="Times New Roman" w:eastAsiaTheme="minorEastAsia"/>
                <w:color w:val="FF0000"/>
                <w:w w:val="99"/>
                <w:sz w:val="21"/>
                <w:szCs w:val="21"/>
                <w:highlight w:val="none"/>
              </w:rPr>
              <w:t>m</w:t>
            </w:r>
          </w:p>
        </w:tc>
        <w:tc>
          <w:tcPr>
            <w:tcW w:w="392" w:type="pct"/>
            <w:vAlign w:val="center"/>
          </w:tcPr>
          <w:p w14:paraId="489CBDD6">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潜水</w:t>
            </w:r>
          </w:p>
        </w:tc>
        <w:tc>
          <w:tcPr>
            <w:tcW w:w="385" w:type="pct"/>
            <w:vMerge w:val="continue"/>
            <w:vAlign w:val="center"/>
          </w:tcPr>
          <w:p w14:paraId="6254251C">
            <w:pPr>
              <w:widowControl w:val="0"/>
              <w:adjustRightInd w:val="0"/>
              <w:snapToGrid w:val="0"/>
              <w:spacing w:line="320" w:lineRule="exact"/>
              <w:jc w:val="center"/>
              <w:rPr>
                <w:rFonts w:ascii="Times New Roman" w:hAnsi="Times New Roman" w:cs="Times New Roman" w:eastAsiaTheme="minorEastAsia"/>
                <w:color w:val="FF0000"/>
                <w:w w:val="99"/>
                <w:sz w:val="21"/>
                <w:szCs w:val="21"/>
                <w:highlight w:val="none"/>
              </w:rPr>
            </w:pPr>
          </w:p>
        </w:tc>
      </w:tr>
      <w:tr w14:paraId="32AC4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8" w:type="pct"/>
            <w:vAlign w:val="center"/>
          </w:tcPr>
          <w:p w14:paraId="141EF7C5">
            <w:pPr>
              <w:widowControl w:val="0"/>
              <w:snapToGrid w:val="0"/>
              <w:spacing w:line="320" w:lineRule="exact"/>
              <w:jc w:val="center"/>
              <w:rPr>
                <w:rFonts w:hint="default" w:ascii="Times New Roman" w:hAnsi="Times New Roman" w:cs="Times New Roman" w:eastAsiaTheme="minorEastAsia"/>
                <w:color w:val="FF0000"/>
                <w:w w:val="99"/>
                <w:sz w:val="21"/>
                <w:szCs w:val="21"/>
                <w:highlight w:val="none"/>
                <w:lang w:val="en-US" w:eastAsia="zh-CN"/>
              </w:rPr>
            </w:pPr>
            <w:r>
              <w:rPr>
                <w:rFonts w:hint="eastAsia" w:ascii="Times New Roman" w:hAnsi="Times New Roman" w:cs="Times New Roman" w:eastAsiaTheme="minorEastAsia"/>
                <w:color w:val="FF0000"/>
                <w:w w:val="99"/>
                <w:sz w:val="21"/>
                <w:szCs w:val="21"/>
                <w:highlight w:val="none"/>
                <w:lang w:val="en-US" w:eastAsia="zh-CN"/>
              </w:rPr>
              <w:t>杨家屯水</w:t>
            </w:r>
            <w:r>
              <w:rPr>
                <w:rFonts w:ascii="Times New Roman" w:hAnsi="Times New Roman" w:cs="Times New Roman" w:eastAsiaTheme="minorEastAsia"/>
                <w:color w:val="FF0000"/>
                <w:w w:val="99"/>
                <w:sz w:val="21"/>
                <w:szCs w:val="21"/>
                <w:highlight w:val="none"/>
              </w:rPr>
              <w:t>井</w:t>
            </w:r>
          </w:p>
        </w:tc>
        <w:tc>
          <w:tcPr>
            <w:tcW w:w="600" w:type="pct"/>
            <w:vAlign w:val="center"/>
          </w:tcPr>
          <w:p w14:paraId="16014BC5">
            <w:pPr>
              <w:widowControl w:val="0"/>
              <w:snapToGrid w:val="0"/>
              <w:spacing w:line="320" w:lineRule="exact"/>
              <w:jc w:val="center"/>
              <w:rPr>
                <w:rFonts w:hint="eastAsia" w:ascii="Times New Roman" w:hAnsi="Times New Roman" w:cs="Times New Roman" w:eastAsiaTheme="minorEastAsia"/>
                <w:color w:val="FF0000"/>
                <w:w w:val="99"/>
                <w:sz w:val="21"/>
                <w:szCs w:val="21"/>
                <w:highlight w:val="none"/>
                <w:lang w:val="en-US" w:eastAsia="zh-CN"/>
              </w:rPr>
            </w:pPr>
            <w:r>
              <w:rPr>
                <w:rFonts w:hint="eastAsia" w:ascii="Times New Roman" w:hAnsi="Times New Roman" w:cs="Times New Roman" w:eastAsiaTheme="minorEastAsia"/>
                <w:color w:val="FF0000"/>
                <w:w w:val="99"/>
                <w:sz w:val="21"/>
                <w:szCs w:val="21"/>
                <w:highlight w:val="none"/>
                <w:lang w:val="en-US" w:eastAsia="zh-CN"/>
              </w:rPr>
              <w:t>跟踪监测</w:t>
            </w:r>
          </w:p>
        </w:tc>
        <w:tc>
          <w:tcPr>
            <w:tcW w:w="1026" w:type="pct"/>
            <w:vMerge w:val="continue"/>
            <w:vAlign w:val="center"/>
          </w:tcPr>
          <w:p w14:paraId="5B670C7A">
            <w:pPr>
              <w:widowControl w:val="0"/>
              <w:snapToGrid w:val="0"/>
              <w:spacing w:line="320" w:lineRule="exact"/>
              <w:jc w:val="center"/>
              <w:rPr>
                <w:rFonts w:ascii="Times New Roman" w:hAnsi="Times New Roman" w:cs="Times New Roman" w:eastAsiaTheme="minorEastAsia"/>
                <w:color w:val="FF0000"/>
                <w:w w:val="99"/>
                <w:sz w:val="21"/>
                <w:szCs w:val="21"/>
                <w:highlight w:val="none"/>
              </w:rPr>
            </w:pPr>
          </w:p>
        </w:tc>
        <w:tc>
          <w:tcPr>
            <w:tcW w:w="704" w:type="pct"/>
            <w:vAlign w:val="center"/>
          </w:tcPr>
          <w:p w14:paraId="41C13080">
            <w:pPr>
              <w:widowControl w:val="0"/>
              <w:snapToGrid w:val="0"/>
              <w:spacing w:line="320" w:lineRule="exact"/>
              <w:jc w:val="center"/>
              <w:rPr>
                <w:rFonts w:hint="eastAsia" w:ascii="Times New Roman" w:hAnsi="Times New Roman" w:cs="Times New Roman" w:eastAsiaTheme="minorEastAsia"/>
                <w:color w:val="FF0000"/>
                <w:w w:val="99"/>
                <w:sz w:val="21"/>
                <w:szCs w:val="21"/>
                <w:highlight w:val="none"/>
                <w:lang w:eastAsia="zh-CN"/>
              </w:rPr>
            </w:pPr>
            <w:r>
              <w:rPr>
                <w:rFonts w:hint="eastAsia" w:ascii="Times New Roman" w:hAnsi="Times New Roman" w:cs="Times New Roman" w:eastAsiaTheme="minorEastAsia"/>
                <w:color w:val="FF0000"/>
                <w:w w:val="99"/>
                <w:sz w:val="21"/>
                <w:szCs w:val="21"/>
                <w:highlight w:val="none"/>
                <w:lang w:eastAsia="zh-CN"/>
              </w:rPr>
              <w:t>125.50161，45.88171</w:t>
            </w:r>
          </w:p>
        </w:tc>
        <w:tc>
          <w:tcPr>
            <w:tcW w:w="837" w:type="pct"/>
            <w:vAlign w:val="center"/>
          </w:tcPr>
          <w:p w14:paraId="76277B33">
            <w:pPr>
              <w:widowControl w:val="0"/>
              <w:snapToGrid w:val="0"/>
              <w:spacing w:line="320" w:lineRule="exact"/>
              <w:jc w:val="center"/>
              <w:rPr>
                <w:rFonts w:hint="default" w:ascii="Times New Roman" w:hAnsi="Times New Roman" w:cs="Times New Roman" w:eastAsiaTheme="minorEastAsia"/>
                <w:color w:val="FF0000"/>
                <w:w w:val="99"/>
                <w:sz w:val="21"/>
                <w:szCs w:val="21"/>
                <w:highlight w:val="none"/>
                <w:lang w:val="en-US" w:eastAsia="zh-CN"/>
              </w:rPr>
            </w:pPr>
            <w:r>
              <w:rPr>
                <w:rFonts w:hint="eastAsia" w:ascii="Times New Roman" w:hAnsi="Times New Roman" w:cs="Times New Roman" w:eastAsiaTheme="minorEastAsia"/>
                <w:color w:val="FF0000"/>
                <w:w w:val="99"/>
                <w:sz w:val="21"/>
                <w:szCs w:val="21"/>
                <w:highlight w:val="none"/>
                <w:lang w:val="en-US" w:eastAsia="zh-CN"/>
              </w:rPr>
              <w:t>拟建27-H1井场西南侧1200m（下游）</w:t>
            </w:r>
          </w:p>
        </w:tc>
        <w:tc>
          <w:tcPr>
            <w:tcW w:w="414" w:type="pct"/>
            <w:vAlign w:val="center"/>
          </w:tcPr>
          <w:p w14:paraId="2FE2B422">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hint="eastAsia" w:ascii="Times New Roman" w:hAnsi="Times New Roman" w:cs="Times New Roman" w:eastAsiaTheme="minorEastAsia"/>
                <w:color w:val="FF0000"/>
                <w:w w:val="99"/>
                <w:sz w:val="21"/>
                <w:szCs w:val="21"/>
                <w:highlight w:val="none"/>
                <w:lang w:val="en-US" w:eastAsia="zh-CN"/>
              </w:rPr>
              <w:t>15</w:t>
            </w:r>
            <w:r>
              <w:rPr>
                <w:rFonts w:ascii="Times New Roman" w:hAnsi="Times New Roman" w:cs="Times New Roman" w:eastAsiaTheme="minorEastAsia"/>
                <w:color w:val="FF0000"/>
                <w:w w:val="99"/>
                <w:sz w:val="21"/>
                <w:szCs w:val="21"/>
                <w:highlight w:val="none"/>
              </w:rPr>
              <w:t>m</w:t>
            </w:r>
          </w:p>
        </w:tc>
        <w:tc>
          <w:tcPr>
            <w:tcW w:w="392" w:type="pct"/>
            <w:vAlign w:val="center"/>
          </w:tcPr>
          <w:p w14:paraId="248E9F5B">
            <w:pPr>
              <w:widowControl w:val="0"/>
              <w:snapToGrid w:val="0"/>
              <w:spacing w:line="320" w:lineRule="exact"/>
              <w:jc w:val="center"/>
              <w:rPr>
                <w:rFonts w:ascii="Times New Roman" w:hAnsi="Times New Roman" w:cs="Times New Roman" w:eastAsiaTheme="minorEastAsia"/>
                <w:color w:val="FF0000"/>
                <w:w w:val="99"/>
                <w:sz w:val="21"/>
                <w:szCs w:val="21"/>
                <w:highlight w:val="none"/>
              </w:rPr>
            </w:pPr>
            <w:r>
              <w:rPr>
                <w:rFonts w:ascii="Times New Roman" w:hAnsi="Times New Roman" w:cs="Times New Roman" w:eastAsiaTheme="minorEastAsia"/>
                <w:color w:val="FF0000"/>
                <w:w w:val="99"/>
                <w:sz w:val="21"/>
                <w:szCs w:val="21"/>
                <w:highlight w:val="none"/>
              </w:rPr>
              <w:t>潜水</w:t>
            </w:r>
          </w:p>
        </w:tc>
        <w:tc>
          <w:tcPr>
            <w:tcW w:w="385" w:type="pct"/>
            <w:vMerge w:val="continue"/>
            <w:vAlign w:val="center"/>
          </w:tcPr>
          <w:p w14:paraId="0C07DB4B">
            <w:pPr>
              <w:widowControl w:val="0"/>
              <w:adjustRightInd w:val="0"/>
              <w:snapToGrid w:val="0"/>
              <w:spacing w:line="320" w:lineRule="exact"/>
              <w:jc w:val="center"/>
              <w:rPr>
                <w:rFonts w:ascii="Times New Roman" w:hAnsi="Times New Roman" w:cs="Times New Roman" w:eastAsiaTheme="minorEastAsia"/>
                <w:color w:val="FF0000"/>
                <w:w w:val="99"/>
                <w:sz w:val="21"/>
                <w:szCs w:val="21"/>
                <w:highlight w:val="none"/>
              </w:rPr>
            </w:pPr>
          </w:p>
        </w:tc>
      </w:tr>
    </w:tbl>
    <w:p w14:paraId="09F6F20E">
      <w:pPr>
        <w:pStyle w:val="153"/>
        <w:ind w:firstLine="0" w:firstLineChars="0"/>
        <w:outlineLvl w:val="3"/>
        <w:rPr>
          <w:rFonts w:ascii="Times New Roman" w:hAnsi="Times New Roman"/>
          <w:b/>
          <w:color w:val="auto"/>
          <w:w w:val="99"/>
          <w:highlight w:val="none"/>
        </w:rPr>
      </w:pPr>
      <w:r>
        <w:rPr>
          <w:rFonts w:ascii="Times New Roman" w:hAnsi="Times New Roman"/>
          <w:b/>
          <w:color w:val="auto"/>
          <w:w w:val="99"/>
          <w:highlight w:val="none"/>
        </w:rPr>
        <w:t>6.1.3.5退役期地下水污染防治措施</w:t>
      </w:r>
    </w:p>
    <w:p w14:paraId="760F81EF">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退役期主要污染源是设备拆除、井场清理产生的扬尘和固体废物等，主要污染防治措施如下：</w:t>
      </w:r>
    </w:p>
    <w:p w14:paraId="0ACC73B0">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（1）退役期井场拆除采</w:t>
      </w:r>
      <w:r>
        <w:rPr>
          <w:rFonts w:hint="eastAsia" w:ascii="Times New Roman" w:hAnsi="Times New Roman" w:eastAsia="宋体"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设备，在作业区铺设防渗材料，施工结束后及时清理场地，避免对浅层地下水造成污染。</w:t>
      </w:r>
    </w:p>
    <w:p w14:paraId="461A02D1">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（2）对关闭的</w:t>
      </w:r>
      <w:r>
        <w:rPr>
          <w:rFonts w:hint="eastAsia" w:ascii="Times New Roman" w:hAnsi="Times New Roman" w:eastAsia="宋体"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井实施安全封堵。</w:t>
      </w:r>
    </w:p>
    <w:p w14:paraId="3507E474">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（3）对退役的气井进行地下水跟踪监测，跟踪检测井依托本项目新建跟踪监测水井。</w:t>
      </w:r>
    </w:p>
    <w:p w14:paraId="398A69AC">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（4）采气井</w:t>
      </w:r>
      <w:r>
        <w:rPr>
          <w:rFonts w:hint="default" w:ascii="Times New Roman" w:hAnsi="Times New Roman" w:eastAsia="宋体" w:cs="Times New Roman"/>
          <w:color w:val="auto"/>
          <w:w w:val="99"/>
          <w:kern w:val="0"/>
          <w:sz w:val="24"/>
          <w:szCs w:val="24"/>
          <w:highlight w:val="none"/>
          <w:lang w:val="en-US" w:eastAsia="zh-CN" w:bidi="zh-CN"/>
        </w:rPr>
        <w:t>退役后，应</w:t>
      </w:r>
      <w:r>
        <w:rPr>
          <w:rFonts w:hint="eastAsia" w:ascii="Times New Roman" w:hAnsi="Times New Roman" w:eastAsia="宋体" w:cs="Times New Roman"/>
          <w:color w:val="auto"/>
          <w:w w:val="99"/>
          <w:kern w:val="0"/>
          <w:sz w:val="24"/>
          <w:szCs w:val="24"/>
          <w:highlight w:val="none"/>
          <w:lang w:val="en-US" w:eastAsia="zh-CN" w:bidi="zh-CN"/>
        </w:rPr>
        <w:t>参照《</w:t>
      </w:r>
      <w:r>
        <w:rPr>
          <w:rFonts w:hint="default" w:ascii="Times New Roman" w:hAnsi="Times New Roman" w:eastAsia="宋体" w:cs="Times New Roman"/>
          <w:color w:val="auto"/>
          <w:w w:val="99"/>
          <w:kern w:val="0"/>
          <w:sz w:val="24"/>
          <w:szCs w:val="24"/>
          <w:highlight w:val="none"/>
          <w:lang w:val="en-US" w:eastAsia="zh-CN" w:bidi="zh-CN"/>
        </w:rPr>
        <w:t>陆上石油天然气生产环境保护推荐作法</w:t>
      </w:r>
      <w:r>
        <w:rPr>
          <w:rFonts w:hint="eastAsia" w:ascii="Times New Roman" w:hAnsi="Times New Roman" w:eastAsia="宋体"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SY/T 6628</w:t>
      </w:r>
      <w:r>
        <w:rPr>
          <w:rFonts w:hint="eastAsia" w:ascii="Times New Roman" w:hAnsi="Times New Roman" w:eastAsia="宋体"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废弃井及长停井处置指南</w:t>
      </w:r>
      <w:r>
        <w:rPr>
          <w:rFonts w:hint="eastAsia" w:ascii="Times New Roman" w:hAnsi="Times New Roman" w:eastAsia="宋体"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SY/T 6646</w:t>
      </w:r>
      <w:r>
        <w:rPr>
          <w:rFonts w:hint="eastAsia" w:ascii="Times New Roman" w:hAnsi="Times New Roman" w:eastAsia="宋体"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和《废弃井封井回填技术指南（试行）》的相关要求执行。</w:t>
      </w:r>
    </w:p>
    <w:p w14:paraId="29C98711">
      <w:pPr>
        <w:widowControl w:val="0"/>
        <w:spacing w:before="60" w:after="60"/>
        <w:jc w:val="both"/>
        <w:outlineLvl w:val="2"/>
        <w:rPr>
          <w:rFonts w:ascii="Times New Roman" w:hAnsi="Times New Roman" w:cs="Times New Roman"/>
          <w:b/>
          <w:color w:val="auto"/>
          <w:w w:val="99"/>
          <w:kern w:val="2"/>
          <w:highlight w:val="none"/>
        </w:rPr>
      </w:pPr>
      <w:bookmarkStart w:id="1057" w:name="_Toc78816551"/>
      <w:bookmarkStart w:id="1058" w:name="_Toc186444380"/>
      <w:bookmarkStart w:id="1059" w:name="_Toc76976338"/>
      <w:bookmarkStart w:id="1060" w:name="_Toc67860229"/>
      <w:bookmarkStart w:id="1061" w:name="_Toc77067749"/>
      <w:bookmarkStart w:id="1062" w:name="_Toc83209568"/>
      <w:bookmarkStart w:id="1063" w:name="_Toc80588346"/>
      <w:bookmarkStart w:id="1064" w:name="_Toc70050276"/>
      <w:bookmarkStart w:id="1065" w:name="_Toc80971468"/>
      <w:r>
        <w:rPr>
          <w:rFonts w:ascii="Times New Roman" w:hAnsi="Times New Roman" w:cs="Times New Roman"/>
          <w:b/>
          <w:color w:val="auto"/>
          <w:w w:val="99"/>
          <w:kern w:val="2"/>
          <w:highlight w:val="none"/>
        </w:rPr>
        <w:t>6.1.4噪声污染控制措施</w:t>
      </w:r>
      <w:bookmarkEnd w:id="1057"/>
      <w:bookmarkEnd w:id="1058"/>
      <w:bookmarkEnd w:id="1059"/>
      <w:bookmarkEnd w:id="1060"/>
      <w:bookmarkEnd w:id="1061"/>
      <w:bookmarkEnd w:id="1062"/>
      <w:bookmarkEnd w:id="1063"/>
      <w:bookmarkEnd w:id="1064"/>
      <w:bookmarkEnd w:id="1065"/>
    </w:p>
    <w:p w14:paraId="334F5751">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6.1.4.1施工期</w:t>
      </w:r>
    </w:p>
    <w:p w14:paraId="05D5847D">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bookmarkStart w:id="1066" w:name="_Hlk80771632"/>
      <w:r>
        <w:rPr>
          <w:rFonts w:hint="default" w:ascii="Times New Roman" w:hAnsi="Times New Roman" w:eastAsia="宋体" w:cs="Times New Roman"/>
          <w:color w:val="auto"/>
          <w:w w:val="99"/>
          <w:kern w:val="0"/>
          <w:sz w:val="24"/>
          <w:szCs w:val="24"/>
          <w:highlight w:val="none"/>
          <w:lang w:val="en-US" w:eastAsia="zh-CN" w:bidi="zh-CN"/>
        </w:rPr>
        <w:t>施工期产生的噪声主要为钻井工程、地面及站场施工过程中施工机械和车辆运行噪声。</w:t>
      </w:r>
    </w:p>
    <w:p w14:paraId="6B485C84">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（1）合理安排施工进度，减少施工时间，尽量避免大量高噪声设备同时施工。</w:t>
      </w:r>
    </w:p>
    <w:p w14:paraId="48415300">
      <w:pPr>
        <w:widowControl w:val="0"/>
        <w:spacing w:line="440" w:lineRule="exact"/>
        <w:ind w:firstLine="474" w:firstLineChars="200"/>
        <w:jc w:val="both"/>
        <w:rPr>
          <w:rFonts w:ascii="Times New Roman" w:hAnsi="Times New Roman" w:cs="Times New Roman"/>
          <w:color w:val="auto"/>
          <w:w w:val="99"/>
          <w:kern w:val="2"/>
          <w:highlight w:val="none"/>
        </w:rPr>
      </w:pPr>
      <w:r>
        <w:rPr>
          <w:rFonts w:hint="default" w:ascii="Times New Roman" w:hAnsi="Times New Roman" w:eastAsia="宋体" w:cs="Times New Roman"/>
          <w:color w:val="auto"/>
          <w:w w:val="99"/>
          <w:kern w:val="0"/>
          <w:sz w:val="24"/>
          <w:szCs w:val="24"/>
          <w:highlight w:val="none"/>
          <w:lang w:val="en-US" w:eastAsia="zh-CN" w:bidi="zh-CN"/>
        </w:rPr>
        <w:t>（2）除钻进外，其它施工严格禁止夜间进行。合理布置施工现场，尽量将高噪声机械布置远离环境敏感点一侧，同时，避免在同一地点安排较多的动力机械。</w:t>
      </w:r>
      <w:r>
        <w:rPr>
          <w:rFonts w:ascii="Times New Roman" w:hAnsi="Times New Roman" w:cs="Times New Roman"/>
          <w:color w:val="auto"/>
          <w:w w:val="99"/>
          <w:kern w:val="2"/>
          <w:highlight w:val="none"/>
        </w:rPr>
        <w:t>距离</w:t>
      </w:r>
      <w:r>
        <w:rPr>
          <w:rFonts w:hint="eastAsia" w:ascii="Times New Roman" w:hAnsi="Times New Roman" w:cs="Times New Roman"/>
          <w:color w:val="auto"/>
          <w:w w:val="99"/>
          <w:kern w:val="2"/>
          <w:highlight w:val="none"/>
          <w:lang w:val="en-US" w:eastAsia="zh-CN"/>
        </w:rPr>
        <w:t>敏感目标（尚家围子屯）</w:t>
      </w:r>
      <w:r>
        <w:rPr>
          <w:rFonts w:ascii="Times New Roman" w:hAnsi="Times New Roman" w:cs="Times New Roman"/>
          <w:color w:val="auto"/>
          <w:w w:val="99"/>
          <w:kern w:val="2"/>
          <w:highlight w:val="none"/>
        </w:rPr>
        <w:t>较近的</w:t>
      </w:r>
      <w:r>
        <w:rPr>
          <w:rFonts w:hint="eastAsia" w:ascii="Times New Roman" w:hAnsi="Times New Roman" w:cs="Times New Roman"/>
          <w:color w:val="auto"/>
          <w:w w:val="99"/>
          <w:kern w:val="2"/>
          <w:highlight w:val="none"/>
          <w:lang w:val="en-US" w:eastAsia="zh-CN"/>
        </w:rPr>
        <w:t>采气管线施工时靠近村屯一侧，</w:t>
      </w:r>
      <w:r>
        <w:rPr>
          <w:rFonts w:ascii="Times New Roman" w:hAnsi="Times New Roman" w:cs="Times New Roman"/>
          <w:color w:val="auto"/>
          <w:w w:val="99"/>
          <w:kern w:val="2"/>
          <w:highlight w:val="none"/>
        </w:rPr>
        <w:t>设置隔声屏障，降低施工机械对</w:t>
      </w:r>
      <w:r>
        <w:rPr>
          <w:rFonts w:hint="eastAsia" w:ascii="Times New Roman" w:hAnsi="Times New Roman" w:cs="Times New Roman"/>
          <w:color w:val="auto"/>
          <w:w w:val="99"/>
          <w:kern w:val="2"/>
          <w:highlight w:val="none"/>
          <w:lang w:val="en-US" w:eastAsia="zh-CN"/>
        </w:rPr>
        <w:t>尚家围子</w:t>
      </w:r>
      <w:r>
        <w:rPr>
          <w:rFonts w:ascii="Times New Roman" w:hAnsi="Times New Roman" w:cs="Times New Roman"/>
          <w:bCs/>
          <w:color w:val="auto"/>
          <w:w w:val="99"/>
          <w:kern w:val="2"/>
          <w:highlight w:val="none"/>
        </w:rPr>
        <w:t>屯</w:t>
      </w:r>
      <w:r>
        <w:rPr>
          <w:rFonts w:ascii="Times New Roman" w:hAnsi="Times New Roman" w:cs="Times New Roman"/>
          <w:color w:val="auto"/>
          <w:w w:val="99"/>
          <w:kern w:val="2"/>
          <w:highlight w:val="none"/>
        </w:rPr>
        <w:t>的影响。</w:t>
      </w:r>
    </w:p>
    <w:p w14:paraId="1BA79F7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（3）降低设备噪声。选用低噪声设备，平时注意设备维护和保养，合理操作，保证施工机械保持在最佳状态，降低噪声源强度，避免设备不正常运行产生的高噪声。</w:t>
      </w:r>
    </w:p>
    <w:p w14:paraId="089DC0AC">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（4）运输车辆选择避开居民点路线，临近居民区应减少汽车鸣笛的次数，减速慢行。</w:t>
      </w:r>
    </w:p>
    <w:p w14:paraId="26F5468D">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（5）加强对施工人员的培训及责任教育，做好施工机械和运输车辆的调度和交通疏导工作，运输车辆选择避开居民区的路线，限制车速，禁止鸣笛，降低交通噪声；</w:t>
      </w:r>
    </w:p>
    <w:p w14:paraId="2AA04E50">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（6）机泵等设备布置在室内，且采取基础减震等设施。</w:t>
      </w:r>
    </w:p>
    <w:p w14:paraId="49A29754">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cs="Times New Roman"/>
          <w:color w:val="auto"/>
          <w:w w:val="99"/>
          <w:kern w:val="0"/>
          <w:sz w:val="24"/>
          <w:szCs w:val="24"/>
          <w:highlight w:val="none"/>
          <w:lang w:val="en-US" w:eastAsia="zh-CN" w:bidi="zh-CN"/>
        </w:rPr>
        <w:t>（7）</w:t>
      </w:r>
      <w:r>
        <w:rPr>
          <w:rFonts w:ascii="Times New Roman" w:hAnsi="Times New Roman" w:cs="Times New Roman"/>
          <w:color w:val="auto"/>
          <w:w w:val="99"/>
          <w:kern w:val="2"/>
          <w:highlight w:val="none"/>
        </w:rPr>
        <w:t>注意对设备的维护保养，保证设备保持在最佳运营状态，降低噪声源强度</w:t>
      </w:r>
      <w:r>
        <w:rPr>
          <w:rFonts w:hint="eastAsia" w:ascii="Times New Roman" w:hAnsi="Times New Roman" w:cs="Times New Roman"/>
          <w:color w:val="auto"/>
          <w:w w:val="99"/>
          <w:kern w:val="2"/>
          <w:highlight w:val="none"/>
          <w:lang w:eastAsia="zh-CN"/>
        </w:rPr>
        <w:t>。</w:t>
      </w:r>
    </w:p>
    <w:p w14:paraId="62E92AA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通过采取上述措施，能够确保各施工场界噪声满足《</w:t>
      </w:r>
      <w:r>
        <w:rPr>
          <w:rFonts w:hint="eastAsia" w:ascii="Times New Roman" w:hAnsi="Times New Roman" w:eastAsia="宋体" w:cs="Times New Roman"/>
          <w:color w:val="auto"/>
          <w:w w:val="99"/>
          <w:kern w:val="0"/>
          <w:sz w:val="24"/>
          <w:szCs w:val="24"/>
          <w:highlight w:val="none"/>
          <w:lang w:val="en-US" w:eastAsia="zh-CN" w:bidi="zh-CN"/>
        </w:rPr>
        <w:t>建筑施工噪声排放标准</w:t>
      </w:r>
      <w:r>
        <w:rPr>
          <w:rFonts w:hint="default" w:ascii="Times New Roman" w:hAnsi="Times New Roman" w:eastAsia="宋体" w:cs="Times New Roman"/>
          <w:color w:val="auto"/>
          <w:w w:val="99"/>
          <w:kern w:val="0"/>
          <w:sz w:val="24"/>
          <w:szCs w:val="24"/>
          <w:highlight w:val="none"/>
          <w:lang w:val="en-US" w:eastAsia="zh-CN" w:bidi="zh-CN"/>
        </w:rPr>
        <w:t>》（GB 12523-20</w:t>
      </w:r>
      <w:r>
        <w:rPr>
          <w:rFonts w:hint="eastAsia" w:ascii="Times New Roman" w:hAnsi="Times New Roman" w:eastAsia="宋体" w:cs="Times New Roman"/>
          <w:color w:val="auto"/>
          <w:w w:val="99"/>
          <w:kern w:val="0"/>
          <w:sz w:val="24"/>
          <w:szCs w:val="24"/>
          <w:highlight w:val="none"/>
          <w:lang w:val="en-US" w:eastAsia="zh-CN" w:bidi="zh-CN"/>
        </w:rPr>
        <w:t>25</w:t>
      </w:r>
      <w:r>
        <w:rPr>
          <w:rFonts w:hint="default" w:ascii="Times New Roman" w:hAnsi="Times New Roman" w:eastAsia="宋体" w:cs="Times New Roman"/>
          <w:color w:val="auto"/>
          <w:w w:val="99"/>
          <w:kern w:val="0"/>
          <w:sz w:val="24"/>
          <w:szCs w:val="24"/>
          <w:highlight w:val="none"/>
          <w:lang w:val="en-US" w:eastAsia="zh-CN" w:bidi="zh-CN"/>
        </w:rPr>
        <w:t>）要求，不会对施工场地周边敏感点产生较大影响，施工期噪声治理措施可行。</w:t>
      </w:r>
    </w:p>
    <w:p w14:paraId="26162F79">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6.1.4.2运营期</w:t>
      </w:r>
    </w:p>
    <w:p w14:paraId="3C27F08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w:t>
      </w:r>
      <w:r>
        <w:rPr>
          <w:rFonts w:hint="eastAsia" w:ascii="Times New Roman" w:hAnsi="Times New Roman" w:cs="Times New Roman"/>
          <w:color w:val="auto"/>
          <w:w w:val="99"/>
          <w:kern w:val="2"/>
          <w:highlight w:val="none"/>
          <w:lang w:val="en-US" w:eastAsia="zh-CN"/>
        </w:rPr>
        <w:t>气井井场正常运营期无噪声，项目主要噪声为井场放空噪声及依托场站设备噪声</w:t>
      </w:r>
      <w:r>
        <w:rPr>
          <w:rFonts w:hint="default" w:ascii="Times New Roman" w:hAnsi="Times New Roman" w:eastAsia="宋体" w:cs="Times New Roman"/>
          <w:color w:val="auto"/>
          <w:w w:val="99"/>
          <w:kern w:val="0"/>
          <w:sz w:val="24"/>
          <w:szCs w:val="24"/>
          <w:highlight w:val="none"/>
          <w:lang w:val="en-US" w:eastAsia="zh-CN" w:bidi="zh-CN"/>
        </w:rPr>
        <w:t>。</w:t>
      </w:r>
    </w:p>
    <w:p w14:paraId="2FD8D643">
      <w:pPr>
        <w:widowControl w:val="0"/>
        <w:numPr>
          <w:ilvl w:val="0"/>
          <w:numId w:val="12"/>
        </w:numPr>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加强发声设备的维护保养，保持最佳运行状态，降低噪声源强度；</w:t>
      </w:r>
    </w:p>
    <w:p w14:paraId="056BF0B0">
      <w:pPr>
        <w:widowControl w:val="0"/>
        <w:numPr>
          <w:ilvl w:val="0"/>
          <w:numId w:val="12"/>
        </w:numPr>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cs="Times New Roman"/>
          <w:color w:val="auto"/>
          <w:w w:val="99"/>
          <w:kern w:val="0"/>
          <w:sz w:val="24"/>
          <w:szCs w:val="24"/>
          <w:highlight w:val="none"/>
          <w:lang w:val="en-US" w:eastAsia="zh-CN" w:bidi="zh-CN"/>
        </w:rPr>
        <w:t>选择低噪声设备，基础减振及隔声门窗等；</w:t>
      </w:r>
    </w:p>
    <w:p w14:paraId="242A540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3</w:t>
      </w:r>
      <w:r>
        <w:rPr>
          <w:rFonts w:hint="default" w:ascii="Times New Roman" w:hAnsi="Times New Roman" w:eastAsia="宋体" w:cs="Times New Roman"/>
          <w:color w:val="auto"/>
          <w:w w:val="99"/>
          <w:kern w:val="0"/>
          <w:sz w:val="24"/>
          <w:szCs w:val="24"/>
          <w:highlight w:val="none"/>
          <w:lang w:val="en-US" w:eastAsia="zh-CN" w:bidi="zh-CN"/>
        </w:rPr>
        <w:t>）井场放空应尽量选择在白天，减缓放空速率，降低放空噪声。</w:t>
      </w:r>
    </w:p>
    <w:p w14:paraId="1AFEFBC5">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通过采取以上措施后，能够确保井场</w:t>
      </w:r>
      <w:r>
        <w:rPr>
          <w:rFonts w:hint="eastAsia" w:ascii="Times New Roman" w:hAnsi="Times New Roman" w:cs="Times New Roman"/>
          <w:color w:val="auto"/>
          <w:w w:val="99"/>
          <w:kern w:val="0"/>
          <w:sz w:val="24"/>
          <w:szCs w:val="24"/>
          <w:highlight w:val="none"/>
          <w:lang w:val="en-US" w:eastAsia="zh-CN" w:bidi="zh-CN"/>
        </w:rPr>
        <w:t>及改建场站</w:t>
      </w:r>
      <w:r>
        <w:rPr>
          <w:rFonts w:hint="default" w:ascii="Times New Roman" w:hAnsi="Times New Roman" w:eastAsia="宋体" w:cs="Times New Roman"/>
          <w:color w:val="auto"/>
          <w:w w:val="99"/>
          <w:kern w:val="0"/>
          <w:sz w:val="24"/>
          <w:szCs w:val="24"/>
          <w:highlight w:val="none"/>
          <w:lang w:val="en-US" w:eastAsia="zh-CN" w:bidi="zh-CN"/>
        </w:rPr>
        <w:t>厂界噪声满足《工业企业厂界环境噪声排放标准》（GB12348-2008）2类标准，不会对周围声环境产生较大影响，运营期噪声治理措施可行。</w:t>
      </w:r>
    </w:p>
    <w:p w14:paraId="430D7335">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6.1.4.3退役期</w:t>
      </w:r>
    </w:p>
    <w:p w14:paraId="76098C65">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退役期噪声源主要是拆除井场</w:t>
      </w:r>
      <w:r>
        <w:rPr>
          <w:rFonts w:hint="eastAsia" w:ascii="Times New Roman" w:hAnsi="Times New Roman" w:cs="Times New Roman"/>
          <w:color w:val="auto"/>
          <w:w w:val="99"/>
          <w:kern w:val="0"/>
          <w:sz w:val="24"/>
          <w:szCs w:val="24"/>
          <w:highlight w:val="none"/>
          <w:lang w:val="en-US" w:eastAsia="zh-CN" w:bidi="zh-CN"/>
        </w:rPr>
        <w:t>机械</w:t>
      </w:r>
      <w:r>
        <w:rPr>
          <w:rFonts w:hint="default" w:ascii="Times New Roman" w:hAnsi="Times New Roman" w:eastAsia="宋体" w:cs="Times New Roman"/>
          <w:color w:val="auto"/>
          <w:w w:val="99"/>
          <w:kern w:val="0"/>
          <w:sz w:val="24"/>
          <w:szCs w:val="24"/>
          <w:highlight w:val="none"/>
          <w:lang w:val="en-US" w:eastAsia="zh-CN" w:bidi="zh-CN"/>
        </w:rPr>
        <w:t>等设备产生的噪声。</w:t>
      </w:r>
    </w:p>
    <w:p w14:paraId="675BFE38">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退役期施工时应加强施工管理工作，合理安排施工进度，避免大量高噪声设备同时施工；选用低噪声设备；运输车辆选择避开居民区的路线。</w:t>
      </w:r>
    </w:p>
    <w:p w14:paraId="4F348A2D">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通过采取上述措施，能够确保退役期施工场界噪声满足《</w:t>
      </w:r>
      <w:r>
        <w:rPr>
          <w:rFonts w:hint="eastAsia" w:ascii="Times New Roman" w:hAnsi="Times New Roman" w:eastAsia="宋体" w:cs="Times New Roman"/>
          <w:color w:val="auto"/>
          <w:w w:val="99"/>
          <w:kern w:val="0"/>
          <w:sz w:val="24"/>
          <w:szCs w:val="24"/>
          <w:highlight w:val="none"/>
          <w:lang w:val="en-US" w:eastAsia="zh-CN" w:bidi="zh-CN"/>
        </w:rPr>
        <w:t>建筑施工噪声排放标准</w:t>
      </w:r>
      <w:r>
        <w:rPr>
          <w:rFonts w:hint="default" w:ascii="Times New Roman" w:hAnsi="Times New Roman" w:eastAsia="宋体" w:cs="Times New Roman"/>
          <w:color w:val="auto"/>
          <w:w w:val="99"/>
          <w:kern w:val="0"/>
          <w:sz w:val="24"/>
          <w:szCs w:val="24"/>
          <w:highlight w:val="none"/>
          <w:lang w:val="en-US" w:eastAsia="zh-CN" w:bidi="zh-CN"/>
        </w:rPr>
        <w:t>》（GB12523-20</w:t>
      </w:r>
      <w:r>
        <w:rPr>
          <w:rFonts w:hint="eastAsia" w:ascii="Times New Roman" w:hAnsi="Times New Roman" w:eastAsia="宋体" w:cs="Times New Roman"/>
          <w:color w:val="auto"/>
          <w:w w:val="99"/>
          <w:kern w:val="0"/>
          <w:sz w:val="24"/>
          <w:szCs w:val="24"/>
          <w:highlight w:val="none"/>
          <w:lang w:val="en-US" w:eastAsia="zh-CN" w:bidi="zh-CN"/>
        </w:rPr>
        <w:t>25</w:t>
      </w:r>
      <w:r>
        <w:rPr>
          <w:rFonts w:hint="default" w:ascii="Times New Roman" w:hAnsi="Times New Roman" w:eastAsia="宋体" w:cs="Times New Roman"/>
          <w:color w:val="auto"/>
          <w:w w:val="99"/>
          <w:kern w:val="0"/>
          <w:sz w:val="24"/>
          <w:szCs w:val="24"/>
          <w:highlight w:val="none"/>
          <w:lang w:val="en-US" w:eastAsia="zh-CN" w:bidi="zh-CN"/>
        </w:rPr>
        <w:t>）要求，且不会对施工场地周边敏感点产生较大影响，退役期噪声治理措施可行。</w:t>
      </w:r>
    </w:p>
    <w:bookmarkEnd w:id="1066"/>
    <w:p w14:paraId="2DA5C667">
      <w:pPr>
        <w:pStyle w:val="7"/>
        <w:keepNext w:val="0"/>
        <w:keepLines w:val="0"/>
        <w:widowControl w:val="0"/>
        <w:spacing w:before="60" w:after="60"/>
        <w:jc w:val="both"/>
        <w:rPr>
          <w:rFonts w:eastAsia="宋体"/>
          <w:b/>
          <w:color w:val="auto"/>
          <w:w w:val="99"/>
          <w:kern w:val="2"/>
          <w:sz w:val="24"/>
          <w:szCs w:val="24"/>
          <w:highlight w:val="none"/>
        </w:rPr>
      </w:pPr>
      <w:bookmarkStart w:id="1067" w:name="_Toc80971469"/>
      <w:bookmarkStart w:id="1068" w:name="_Toc80588347"/>
      <w:bookmarkStart w:id="1069" w:name="_Toc77067750"/>
      <w:bookmarkStart w:id="1070" w:name="_Toc196215817"/>
      <w:bookmarkStart w:id="1071" w:name="_Toc83209569"/>
      <w:bookmarkStart w:id="1072" w:name="_Toc67860230"/>
      <w:bookmarkStart w:id="1073" w:name="_Toc186444381"/>
      <w:bookmarkStart w:id="1074" w:name="_Toc78816552"/>
      <w:bookmarkStart w:id="1075" w:name="_Toc76976339"/>
      <w:bookmarkStart w:id="1076" w:name="_Toc70050277"/>
      <w:r>
        <w:rPr>
          <w:rFonts w:eastAsia="宋体"/>
          <w:b/>
          <w:color w:val="auto"/>
          <w:w w:val="99"/>
          <w:kern w:val="2"/>
          <w:sz w:val="24"/>
          <w:szCs w:val="24"/>
          <w:highlight w:val="none"/>
        </w:rPr>
        <w:t>6.1.5固体废弃物控制措施</w:t>
      </w:r>
      <w:bookmarkEnd w:id="1067"/>
      <w:bookmarkEnd w:id="1068"/>
      <w:bookmarkEnd w:id="1069"/>
      <w:bookmarkEnd w:id="1070"/>
      <w:bookmarkEnd w:id="1071"/>
      <w:bookmarkEnd w:id="1072"/>
      <w:bookmarkEnd w:id="1073"/>
      <w:bookmarkEnd w:id="1074"/>
      <w:bookmarkEnd w:id="1075"/>
      <w:bookmarkEnd w:id="1076"/>
    </w:p>
    <w:p w14:paraId="4BB92007">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6.1.5.1施工期</w:t>
      </w:r>
    </w:p>
    <w:p w14:paraId="06ADB292">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1</w:t>
      </w:r>
      <w:r>
        <w:rPr>
          <w:rFonts w:hint="eastAsia" w:ascii="Times New Roman" w:hAnsi="Times New Roman" w:eastAsia="宋体" w:cs="Times New Roman"/>
          <w:color w:val="auto"/>
          <w:w w:val="99"/>
          <w:kern w:val="0"/>
          <w:sz w:val="24"/>
          <w:szCs w:val="24"/>
          <w:highlight w:val="none"/>
          <w:lang w:val="en-US" w:eastAsia="zh-CN" w:bidi="zh-CN"/>
        </w:rPr>
        <w:t>）施工期产生的</w:t>
      </w:r>
      <w:r>
        <w:rPr>
          <w:rFonts w:hint="eastAsia" w:ascii="Times New Roman" w:hAnsi="Times New Roman" w:cs="Times New Roman"/>
          <w:color w:val="auto"/>
          <w:w w:val="99"/>
          <w:kern w:val="0"/>
          <w:sz w:val="24"/>
          <w:szCs w:val="24"/>
          <w:highlight w:val="none"/>
          <w:lang w:val="en-US" w:eastAsia="zh-CN" w:bidi="zh-CN"/>
        </w:rPr>
        <w:t>施工废料</w:t>
      </w:r>
      <w:r>
        <w:rPr>
          <w:rFonts w:hint="eastAsia" w:ascii="Times New Roman" w:hAnsi="Times New Roman" w:eastAsia="宋体" w:cs="Times New Roman"/>
          <w:color w:val="auto"/>
          <w:w w:val="99"/>
          <w:kern w:val="0"/>
          <w:sz w:val="24"/>
          <w:szCs w:val="24"/>
          <w:highlight w:val="none"/>
          <w:lang w:val="en-US" w:eastAsia="zh-CN" w:bidi="zh-CN"/>
        </w:rPr>
        <w:t>属于一般工业固体废物，</w:t>
      </w:r>
      <w:r>
        <w:rPr>
          <w:rFonts w:hint="default" w:ascii="Times New Roman" w:hAnsi="Times New Roman" w:cs="Times New Roman"/>
          <w:color w:val="auto"/>
          <w:w w:val="99"/>
          <w:kern w:val="2"/>
          <w:highlight w:val="none"/>
          <w:lang w:val="en-US" w:eastAsia="zh-CN"/>
        </w:rPr>
        <w:t>统一收集后由施工单位拉运至第八采油厂工业固废填埋场处理。</w:t>
      </w:r>
    </w:p>
    <w:p w14:paraId="3CE56C35">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2</w:t>
      </w:r>
      <w:r>
        <w:rPr>
          <w:rFonts w:hint="eastAsia" w:ascii="Times New Roman" w:hAnsi="Times New Roman" w:eastAsia="宋体" w:cs="Times New Roman"/>
          <w:color w:val="auto"/>
          <w:w w:val="99"/>
          <w:kern w:val="0"/>
          <w:sz w:val="24"/>
          <w:szCs w:val="24"/>
          <w:highlight w:val="none"/>
          <w:lang w:val="en-US" w:eastAsia="zh-CN" w:bidi="zh-CN"/>
        </w:rPr>
        <w:t>）施工人员产生的生活垃圾</w:t>
      </w:r>
      <w:r>
        <w:rPr>
          <w:rFonts w:hint="default" w:ascii="Times New Roman" w:hAnsi="Times New Roman" w:eastAsia="宋体" w:cs="Times New Roman"/>
          <w:color w:val="auto"/>
          <w:w w:val="99"/>
          <w:kern w:val="0"/>
          <w:sz w:val="24"/>
          <w:szCs w:val="24"/>
          <w:highlight w:val="none"/>
          <w:lang w:val="en-US" w:eastAsia="zh-CN" w:bidi="zh-CN"/>
        </w:rPr>
        <w:t>统一收集后拉运至</w:t>
      </w:r>
      <w:r>
        <w:rPr>
          <w:rFonts w:hint="eastAsia" w:ascii="Times New Roman" w:hAnsi="Times New Roman" w:cs="Times New Roman"/>
          <w:color w:val="auto"/>
          <w:w w:val="99"/>
          <w:kern w:val="0"/>
          <w:sz w:val="24"/>
          <w:szCs w:val="24"/>
          <w:highlight w:val="none"/>
          <w:lang w:val="en-US" w:eastAsia="zh-CN" w:bidi="zh-CN"/>
        </w:rPr>
        <w:t>肇东北控环境再生能源有限公司</w:t>
      </w:r>
      <w:r>
        <w:rPr>
          <w:rFonts w:hint="default" w:ascii="Times New Roman" w:hAnsi="Times New Roman" w:eastAsia="宋体" w:cs="Times New Roman"/>
          <w:color w:val="auto"/>
          <w:w w:val="99"/>
          <w:kern w:val="0"/>
          <w:sz w:val="24"/>
          <w:szCs w:val="24"/>
          <w:highlight w:val="none"/>
          <w:lang w:val="en-US" w:eastAsia="zh-CN" w:bidi="zh-CN"/>
        </w:rPr>
        <w:t>处理。</w:t>
      </w:r>
      <w:r>
        <w:rPr>
          <w:rFonts w:hint="eastAsia" w:ascii="Times New Roman" w:hAnsi="Times New Roman" w:eastAsia="宋体" w:cs="Times New Roman"/>
          <w:color w:val="auto"/>
          <w:w w:val="99"/>
          <w:kern w:val="0"/>
          <w:sz w:val="24"/>
          <w:szCs w:val="24"/>
          <w:highlight w:val="none"/>
          <w:lang w:val="en-US" w:eastAsia="zh-CN" w:bidi="zh-CN"/>
        </w:rPr>
        <w:t xml:space="preserve"> </w:t>
      </w:r>
    </w:p>
    <w:p w14:paraId="7C1E1DD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通过采取上述措施，本项目施工期产生的固体废物均能按照“资源化、减量化、无害化”原则，合理安全处置。</w:t>
      </w:r>
    </w:p>
    <w:p w14:paraId="2A6C2ACF">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6.1.5.2运营期</w:t>
      </w:r>
    </w:p>
    <w:p w14:paraId="136FD1B1">
      <w:pPr>
        <w:pStyle w:val="46"/>
        <w:spacing w:after="0" w:line="440" w:lineRule="exact"/>
        <w:ind w:left="0" w:leftChars="0" w:firstLine="474" w:firstLineChars="200"/>
        <w:rPr>
          <w:rFonts w:hint="default" w:ascii="Times New Roman" w:hAnsi="Times New Roman" w:eastAsia="宋体" w:cs="Times New Roman"/>
          <w:color w:val="auto"/>
          <w:w w:val="99"/>
          <w:kern w:val="2"/>
          <w:sz w:val="24"/>
          <w:szCs w:val="24"/>
          <w:highlight w:val="none"/>
          <w:lang w:val="en-US" w:eastAsia="zh-CN" w:bidi="ar-SA"/>
        </w:rPr>
      </w:pPr>
      <w:r>
        <w:rPr>
          <w:rFonts w:ascii="Times New Roman" w:hAnsi="Times New Roman" w:eastAsia="宋体" w:cs="Times New Roman"/>
          <w:color w:val="auto"/>
          <w:w w:val="99"/>
          <w:kern w:val="2"/>
          <w:sz w:val="24"/>
          <w:szCs w:val="24"/>
          <w:highlight w:val="none"/>
          <w:lang w:val="en-US" w:eastAsia="zh-CN" w:bidi="ar-SA"/>
        </w:rPr>
        <w:t>本项目运营期</w:t>
      </w:r>
      <w:r>
        <w:rPr>
          <w:rFonts w:hint="eastAsia" w:cs="Times New Roman"/>
          <w:color w:val="auto"/>
          <w:w w:val="99"/>
          <w:kern w:val="2"/>
          <w:sz w:val="24"/>
          <w:szCs w:val="24"/>
          <w:highlight w:val="none"/>
          <w:lang w:val="en-US" w:eastAsia="zh-CN" w:bidi="ar-SA"/>
        </w:rPr>
        <w:t>正常工况无固体废物产生，非常工况下</w:t>
      </w:r>
      <w:r>
        <w:rPr>
          <w:rFonts w:ascii="Times New Roman" w:hAnsi="Times New Roman" w:eastAsia="宋体" w:cs="Times New Roman"/>
          <w:color w:val="auto"/>
          <w:w w:val="99"/>
          <w:kern w:val="2"/>
          <w:sz w:val="24"/>
          <w:szCs w:val="24"/>
          <w:highlight w:val="none"/>
          <w:lang w:val="en-US" w:eastAsia="zh-CN" w:bidi="ar-SA"/>
        </w:rPr>
        <w:t>产生的固体废物主要</w:t>
      </w:r>
      <w:r>
        <w:rPr>
          <w:rFonts w:hint="eastAsia" w:cs="Times New Roman"/>
          <w:color w:val="auto"/>
          <w:w w:val="99"/>
          <w:kern w:val="2"/>
          <w:sz w:val="24"/>
          <w:szCs w:val="24"/>
          <w:highlight w:val="none"/>
          <w:lang w:val="en-US" w:eastAsia="zh-CN" w:bidi="ar-SA"/>
        </w:rPr>
        <w:t>包括井口含油砂砾、废变压器油</w:t>
      </w:r>
      <w:r>
        <w:rPr>
          <w:rFonts w:ascii="Times New Roman" w:hAnsi="Times New Roman" w:eastAsia="宋体" w:cs="Times New Roman"/>
          <w:color w:val="auto"/>
          <w:w w:val="99"/>
          <w:kern w:val="2"/>
          <w:sz w:val="24"/>
          <w:szCs w:val="24"/>
          <w:highlight w:val="none"/>
          <w:lang w:val="en-US" w:eastAsia="zh-CN" w:bidi="ar-SA"/>
        </w:rPr>
        <w:t>。</w:t>
      </w:r>
      <w:r>
        <w:rPr>
          <w:rFonts w:hint="eastAsia" w:cs="Times New Roman"/>
          <w:color w:val="auto"/>
          <w:w w:val="99"/>
          <w:kern w:val="2"/>
          <w:sz w:val="24"/>
          <w:szCs w:val="24"/>
          <w:highlight w:val="none"/>
          <w:lang w:val="en-US" w:eastAsia="zh-CN" w:bidi="ar-SA"/>
        </w:rPr>
        <w:t>采取措施主要包括：</w:t>
      </w:r>
    </w:p>
    <w:p w14:paraId="12B30F5C">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（1）根据《国家危险废物名录（2025年版）》，本工程井口除砂器产生少量</w:t>
      </w:r>
      <w:r>
        <w:rPr>
          <w:rFonts w:hint="eastAsia" w:ascii="Times New Roman" w:hAnsi="Times New Roman" w:cs="Times New Roman"/>
          <w:color w:val="auto"/>
          <w:w w:val="99"/>
          <w:kern w:val="0"/>
          <w:sz w:val="24"/>
          <w:szCs w:val="24"/>
          <w:highlight w:val="none"/>
          <w:lang w:val="en-US" w:eastAsia="zh-CN" w:bidi="zh-CN"/>
        </w:rPr>
        <w:t>井口含油砂砾、以及井场柱上变检修产生的废变压器油均</w:t>
      </w:r>
      <w:r>
        <w:rPr>
          <w:rFonts w:hint="default" w:ascii="Times New Roman" w:hAnsi="Times New Roman" w:eastAsia="宋体" w:cs="Times New Roman"/>
          <w:color w:val="auto"/>
          <w:w w:val="99"/>
          <w:kern w:val="0"/>
          <w:sz w:val="24"/>
          <w:szCs w:val="24"/>
          <w:highlight w:val="none"/>
          <w:lang w:val="en-US" w:eastAsia="zh-CN" w:bidi="zh-CN"/>
        </w:rPr>
        <w:t>属于危险废物，危险废物类别为HW08废矿物油与含矿物油废物，代码为071-001-08</w:t>
      </w:r>
      <w:r>
        <w:rPr>
          <w:rFonts w:hint="eastAsia" w:ascii="Times New Roman" w:hAnsi="Times New Roman" w:cs="Times New Roman"/>
          <w:color w:val="auto"/>
          <w:w w:val="99"/>
          <w:kern w:val="0"/>
          <w:sz w:val="24"/>
          <w:szCs w:val="24"/>
          <w:highlight w:val="none"/>
          <w:lang w:val="en-US" w:eastAsia="zh-CN" w:bidi="zh-CN"/>
        </w:rPr>
        <w:t>以及900-220-08</w:t>
      </w: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均</w:t>
      </w:r>
      <w:r>
        <w:rPr>
          <w:rFonts w:hint="default" w:ascii="Times New Roman" w:hAnsi="Times New Roman" w:eastAsia="宋体" w:cs="Times New Roman"/>
          <w:color w:val="auto"/>
          <w:w w:val="99"/>
          <w:kern w:val="0"/>
          <w:sz w:val="24"/>
          <w:szCs w:val="24"/>
          <w:highlight w:val="none"/>
          <w:lang w:val="en-US" w:eastAsia="zh-CN" w:bidi="zh-CN"/>
        </w:rPr>
        <w:t>由检维修队送采气分公司危险废物贮存库内，定期委托有危废处置资质的单位处置。</w:t>
      </w:r>
    </w:p>
    <w:p w14:paraId="3766A962">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w:t>
      </w:r>
      <w:r>
        <w:rPr>
          <w:rFonts w:hint="eastAsia" w:ascii="Times New Roman" w:hAnsi="Times New Roman" w:cs="Times New Roman"/>
          <w:color w:val="auto"/>
          <w:w w:val="99"/>
          <w:kern w:val="0"/>
          <w:sz w:val="24"/>
          <w:szCs w:val="24"/>
          <w:highlight w:val="none"/>
          <w:lang w:val="en-US" w:eastAsia="zh-CN" w:bidi="zh-CN"/>
        </w:rPr>
        <w:t>井口除砂器采用旋流除砂器，气、液、砂在压力容器内分离，砂粒直接落入底部集砂腔/收砂筒，排沙时，打开排砂阀，砂粒+少量积液排入密闭砂罐/吨桶，全程无落地。</w:t>
      </w:r>
    </w:p>
    <w:p w14:paraId="70D9A2B9">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本工程产生的危险废物及时进行收集运输工作，严格执行《危险废物转移管理办法》。在收集过程中确保危险废物不遗撒、泄漏。运输路线的选择过程中尽量避开环境敏感点。</w:t>
      </w:r>
    </w:p>
    <w:p w14:paraId="6FA7765D">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综上所述，本项目运营期产生的固体废物均能按照“资源化、减量化、无害化”原则，处理方式可行。</w:t>
      </w:r>
    </w:p>
    <w:p w14:paraId="26CCF7DE">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6.1.5.3退役期</w:t>
      </w:r>
    </w:p>
    <w:p w14:paraId="204DB6F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（1）退役期拆除的废旧设备全部回收至</w:t>
      </w:r>
      <w:r>
        <w:rPr>
          <w:rFonts w:hint="eastAsia" w:ascii="Times New Roman" w:hAnsi="Times New Roman" w:eastAsia="宋体" w:cs="Times New Roman"/>
          <w:color w:val="auto"/>
          <w:w w:val="99"/>
          <w:kern w:val="0"/>
          <w:sz w:val="24"/>
          <w:szCs w:val="24"/>
          <w:highlight w:val="none"/>
          <w:lang w:val="en-US" w:eastAsia="zh-CN" w:bidi="zh-CN"/>
        </w:rPr>
        <w:t>采气分公司</w:t>
      </w:r>
      <w:r>
        <w:rPr>
          <w:rFonts w:hint="default" w:ascii="Times New Roman" w:hAnsi="Times New Roman" w:eastAsia="宋体" w:cs="Times New Roman"/>
          <w:color w:val="auto"/>
          <w:w w:val="99"/>
          <w:kern w:val="0"/>
          <w:sz w:val="24"/>
          <w:szCs w:val="24"/>
          <w:highlight w:val="none"/>
          <w:lang w:val="en-US" w:eastAsia="zh-CN" w:bidi="zh-CN"/>
        </w:rPr>
        <w:t>物资库；</w:t>
      </w:r>
    </w:p>
    <w:p w14:paraId="60703DB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（2）生活垃圾统一收集后拉运至</w:t>
      </w:r>
      <w:r>
        <w:rPr>
          <w:rFonts w:hint="eastAsia" w:ascii="Times New Roman" w:hAnsi="Times New Roman" w:cs="Times New Roman"/>
          <w:color w:val="auto"/>
          <w:w w:val="99"/>
          <w:kern w:val="0"/>
          <w:sz w:val="24"/>
          <w:szCs w:val="24"/>
          <w:highlight w:val="none"/>
          <w:lang w:val="en-US" w:eastAsia="zh-CN" w:bidi="zh-CN"/>
        </w:rPr>
        <w:t>肇东北控环境再生能源有限公司</w:t>
      </w:r>
      <w:r>
        <w:rPr>
          <w:rFonts w:hint="default" w:ascii="Times New Roman" w:hAnsi="Times New Roman" w:eastAsia="宋体" w:cs="Times New Roman"/>
          <w:color w:val="auto"/>
          <w:w w:val="99"/>
          <w:kern w:val="0"/>
          <w:sz w:val="24"/>
          <w:szCs w:val="24"/>
          <w:highlight w:val="none"/>
          <w:lang w:val="en-US" w:eastAsia="zh-CN" w:bidi="zh-CN"/>
        </w:rPr>
        <w:t>处理，执行《城市生活垃圾管理办法》（</w:t>
      </w:r>
      <w:r>
        <w:rPr>
          <w:rFonts w:hint="eastAsia" w:ascii="Times New Roman" w:hAnsi="Times New Roman" w:eastAsia="宋体" w:cs="Times New Roman"/>
          <w:color w:val="auto"/>
          <w:w w:val="99"/>
          <w:kern w:val="0"/>
          <w:sz w:val="24"/>
          <w:szCs w:val="24"/>
          <w:highlight w:val="none"/>
          <w:lang w:val="en-US" w:eastAsia="zh-CN" w:bidi="zh-CN"/>
        </w:rPr>
        <w:t>建设部令〔</w:t>
      </w:r>
      <w:r>
        <w:rPr>
          <w:rFonts w:hint="default" w:ascii="Times New Roman" w:hAnsi="Times New Roman" w:eastAsia="宋体" w:cs="Times New Roman"/>
          <w:color w:val="auto"/>
          <w:w w:val="99"/>
          <w:kern w:val="0"/>
          <w:sz w:val="24"/>
          <w:szCs w:val="24"/>
          <w:highlight w:val="none"/>
          <w:lang w:val="en-US" w:eastAsia="zh-CN" w:bidi="zh-CN"/>
        </w:rPr>
        <w:t>2007〕157号发布，住建部令〔2015〕24号、建法规〔2019〕6号修正）；</w:t>
      </w:r>
    </w:p>
    <w:p w14:paraId="4CFBE96C">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（3）封井建筑垃圾统一收集后由施工单位清运至建筑垃圾调配场处理。</w:t>
      </w:r>
    </w:p>
    <w:p w14:paraId="12EC7C00">
      <w:pPr>
        <w:widowControl w:val="0"/>
        <w:spacing w:line="440" w:lineRule="exact"/>
        <w:ind w:firstLine="474" w:firstLineChars="200"/>
        <w:jc w:val="both"/>
        <w:rPr>
          <w:rFonts w:hint="default" w:ascii="Times New Roman" w:hAnsi="Times New Roman" w:eastAsia="宋体" w:cs="Times New Roman"/>
          <w:color w:val="auto"/>
          <w:w w:val="99"/>
          <w:kern w:val="2"/>
          <w:highlight w:val="none"/>
          <w:lang w:val="en-US" w:eastAsia="zh-CN"/>
        </w:rPr>
      </w:pPr>
      <w:r>
        <w:rPr>
          <w:rFonts w:hint="eastAsia" w:ascii="Times New Roman" w:hAnsi="Times New Roman" w:cs="Times New Roman"/>
          <w:color w:val="auto"/>
          <w:w w:val="99"/>
          <w:kern w:val="0"/>
          <w:sz w:val="24"/>
          <w:szCs w:val="24"/>
          <w:highlight w:val="none"/>
          <w:lang w:val="en-US" w:eastAsia="zh-CN" w:bidi="zh-CN"/>
        </w:rPr>
        <w:t>（4）</w:t>
      </w:r>
      <w:r>
        <w:rPr>
          <w:rFonts w:hint="eastAsia" w:ascii="Times New Roman" w:hAnsi="Times New Roman" w:eastAsia="宋体" w:cs="Times New Roman"/>
          <w:color w:val="auto"/>
          <w:w w:val="99"/>
          <w:kern w:val="2"/>
          <w:highlight w:val="none"/>
          <w:lang w:val="en-US" w:eastAsia="zh-CN"/>
        </w:rPr>
        <w:t>拆除施工时井场铺设防渗布，</w:t>
      </w:r>
      <w:r>
        <w:rPr>
          <w:rFonts w:hint="default" w:ascii="Times New Roman" w:hAnsi="Times New Roman" w:eastAsia="宋体" w:cs="Times New Roman"/>
          <w:color w:val="auto"/>
          <w:w w:val="99"/>
          <w:kern w:val="2"/>
          <w:highlight w:val="none"/>
          <w:lang w:val="en-US" w:eastAsia="zh-CN"/>
        </w:rPr>
        <w:t>单块防渗布重量按250kg（12m×12m）计，平均每口井作业用</w:t>
      </w:r>
      <w:r>
        <w:rPr>
          <w:rFonts w:hint="eastAsia" w:ascii="Times New Roman" w:hAnsi="Times New Roman" w:eastAsia="宋体" w:cs="Times New Roman"/>
          <w:color w:val="auto"/>
          <w:w w:val="99"/>
          <w:kern w:val="2"/>
          <w:highlight w:val="none"/>
          <w:lang w:val="en-US" w:eastAsia="zh-CN"/>
        </w:rPr>
        <w:t>3</w:t>
      </w:r>
      <w:r>
        <w:rPr>
          <w:rFonts w:hint="default" w:ascii="Times New Roman" w:hAnsi="Times New Roman" w:eastAsia="宋体" w:cs="Times New Roman"/>
          <w:color w:val="auto"/>
          <w:w w:val="99"/>
          <w:kern w:val="2"/>
          <w:highlight w:val="none"/>
          <w:lang w:val="en-US" w:eastAsia="zh-CN"/>
        </w:rPr>
        <w:t>块，</w:t>
      </w:r>
      <w:r>
        <w:rPr>
          <w:rFonts w:hint="eastAsia" w:ascii="Times New Roman" w:hAnsi="Times New Roman" w:eastAsia="宋体" w:cs="Times New Roman"/>
          <w:color w:val="auto"/>
          <w:w w:val="99"/>
          <w:kern w:val="2"/>
          <w:highlight w:val="none"/>
          <w:lang w:val="en-US" w:eastAsia="zh-CN"/>
        </w:rPr>
        <w:t>防渗布可能滴落含烃废水，退役期含油废防渗布最大产生量约</w:t>
      </w:r>
      <w:r>
        <w:rPr>
          <w:rFonts w:hint="eastAsia" w:ascii="Times New Roman" w:hAnsi="Times New Roman" w:cs="Times New Roman"/>
          <w:color w:val="auto"/>
          <w:w w:val="99"/>
          <w:kern w:val="2"/>
          <w:highlight w:val="none"/>
          <w:lang w:val="en-US" w:eastAsia="zh-CN"/>
        </w:rPr>
        <w:t>0</w:t>
      </w:r>
      <w:r>
        <w:rPr>
          <w:rFonts w:hint="eastAsia" w:ascii="Times New Roman" w:hAnsi="Times New Roman" w:eastAsia="宋体" w:cs="Times New Roman"/>
          <w:color w:val="auto"/>
          <w:w w:val="99"/>
          <w:kern w:val="2"/>
          <w:highlight w:val="none"/>
          <w:lang w:val="en-US" w:eastAsia="zh-CN"/>
        </w:rPr>
        <w:t>.75t。</w:t>
      </w:r>
      <w:r>
        <w:rPr>
          <w:rFonts w:hint="default" w:ascii="Times New Roman" w:hAnsi="Times New Roman" w:eastAsia="宋体" w:cs="Times New Roman"/>
          <w:color w:val="auto"/>
          <w:w w:val="99"/>
          <w:kern w:val="2"/>
          <w:highlight w:val="none"/>
          <w:lang w:val="en-US" w:eastAsia="zh-CN"/>
        </w:rPr>
        <w:t>含油废防渗布在作业结束后，</w:t>
      </w:r>
      <w:r>
        <w:rPr>
          <w:rFonts w:hint="eastAsia" w:ascii="Times New Roman" w:hAnsi="Times New Roman" w:eastAsia="宋体" w:cs="Times New Roman"/>
          <w:color w:val="auto"/>
          <w:w w:val="99"/>
          <w:kern w:val="2"/>
          <w:highlight w:val="none"/>
          <w:lang w:val="en-US" w:eastAsia="zh-CN"/>
        </w:rPr>
        <w:t>由施工单位运至采气分公司危险废物贮存库，</w:t>
      </w:r>
      <w:r>
        <w:rPr>
          <w:rFonts w:hint="default" w:ascii="Times New Roman" w:hAnsi="Times New Roman" w:eastAsia="宋体" w:cs="Times New Roman"/>
          <w:color w:val="auto"/>
          <w:w w:val="99"/>
          <w:kern w:val="2"/>
          <w:highlight w:val="none"/>
          <w:lang w:val="en-US" w:eastAsia="zh-CN"/>
        </w:rPr>
        <w:t>委托</w:t>
      </w:r>
      <w:r>
        <w:rPr>
          <w:rFonts w:hint="eastAsia" w:ascii="Times New Roman" w:hAnsi="Times New Roman" w:eastAsia="宋体" w:cs="Times New Roman"/>
          <w:color w:val="auto"/>
          <w:w w:val="99"/>
          <w:kern w:val="2"/>
          <w:highlight w:val="none"/>
          <w:lang w:val="en-US" w:eastAsia="zh-CN"/>
        </w:rPr>
        <w:t>有资质单位</w:t>
      </w:r>
      <w:r>
        <w:rPr>
          <w:rFonts w:hint="default" w:ascii="Times New Roman" w:hAnsi="Times New Roman" w:eastAsia="宋体" w:cs="Times New Roman"/>
          <w:color w:val="auto"/>
          <w:w w:val="99"/>
          <w:kern w:val="2"/>
          <w:highlight w:val="none"/>
          <w:lang w:val="en-US" w:eastAsia="zh-CN"/>
        </w:rPr>
        <w:t>转运处置</w:t>
      </w:r>
      <w:r>
        <w:rPr>
          <w:rFonts w:hint="eastAsia" w:ascii="Times New Roman" w:hAnsi="Times New Roman" w:eastAsia="宋体" w:cs="Times New Roman"/>
          <w:color w:val="auto"/>
          <w:w w:val="99"/>
          <w:kern w:val="2"/>
          <w:highlight w:val="none"/>
          <w:lang w:val="en-US" w:eastAsia="zh-CN"/>
        </w:rPr>
        <w:t>。</w:t>
      </w:r>
    </w:p>
    <w:p w14:paraId="7736B590">
      <w:pPr>
        <w:pStyle w:val="7"/>
        <w:keepNext w:val="0"/>
        <w:keepLines w:val="0"/>
        <w:widowControl w:val="0"/>
        <w:spacing w:before="60" w:after="60"/>
        <w:jc w:val="both"/>
        <w:rPr>
          <w:rFonts w:eastAsia="宋体"/>
          <w:b/>
          <w:color w:val="auto"/>
          <w:w w:val="99"/>
          <w:kern w:val="2"/>
          <w:sz w:val="24"/>
          <w:szCs w:val="24"/>
          <w:highlight w:val="none"/>
        </w:rPr>
      </w:pPr>
      <w:bookmarkStart w:id="1077" w:name="_Toc77067751"/>
      <w:bookmarkStart w:id="1078" w:name="_Toc80971470"/>
      <w:bookmarkStart w:id="1079" w:name="_Toc186444382"/>
      <w:bookmarkStart w:id="1080" w:name="_Toc78816553"/>
      <w:bookmarkStart w:id="1081" w:name="_Toc83209570"/>
      <w:bookmarkStart w:id="1082" w:name="_Toc70050278"/>
      <w:bookmarkStart w:id="1083" w:name="_Toc76976340"/>
      <w:bookmarkStart w:id="1084" w:name="_Toc67860231"/>
      <w:bookmarkStart w:id="1085" w:name="_Toc80588348"/>
      <w:r>
        <w:rPr>
          <w:rFonts w:eastAsia="宋体"/>
          <w:b/>
          <w:color w:val="auto"/>
          <w:w w:val="99"/>
          <w:kern w:val="2"/>
          <w:sz w:val="24"/>
          <w:szCs w:val="24"/>
          <w:highlight w:val="none"/>
        </w:rPr>
        <w:t>6.1.6生态保护措施</w:t>
      </w:r>
      <w:bookmarkEnd w:id="1077"/>
      <w:bookmarkEnd w:id="1078"/>
      <w:bookmarkEnd w:id="1079"/>
      <w:bookmarkEnd w:id="1080"/>
      <w:bookmarkEnd w:id="1081"/>
      <w:bookmarkEnd w:id="1082"/>
      <w:bookmarkEnd w:id="1083"/>
      <w:bookmarkEnd w:id="1084"/>
      <w:bookmarkEnd w:id="1085"/>
    </w:p>
    <w:p w14:paraId="08E053A5">
      <w:pPr>
        <w:pStyle w:val="153"/>
        <w:widowControl w:val="0"/>
        <w:ind w:firstLine="0" w:firstLineChars="0"/>
        <w:jc w:val="both"/>
        <w:outlineLvl w:val="3"/>
        <w:rPr>
          <w:rFonts w:ascii="Times New Roman" w:hAnsi="Times New Roman"/>
          <w:b/>
          <w:color w:val="auto"/>
          <w:w w:val="99"/>
          <w:highlight w:val="none"/>
        </w:rPr>
      </w:pPr>
      <w:r>
        <w:rPr>
          <w:rFonts w:ascii="Times New Roman" w:hAnsi="Times New Roman"/>
          <w:b/>
          <w:color w:val="auto"/>
          <w:w w:val="99"/>
          <w:highlight w:val="none"/>
        </w:rPr>
        <w:t>6.1.6.1施工期</w:t>
      </w:r>
    </w:p>
    <w:p w14:paraId="20F59E03">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（1）一般性生态保护措施</w:t>
      </w:r>
    </w:p>
    <w:p w14:paraId="09BB8DFE">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①</w:t>
      </w:r>
      <w:r>
        <w:rPr>
          <w:rFonts w:hint="default" w:ascii="Times New Roman" w:hAnsi="Times New Roman" w:eastAsia="宋体"/>
          <w:color w:val="auto"/>
          <w:w w:val="99"/>
          <w:sz w:val="24"/>
          <w:szCs w:val="24"/>
          <w:highlight w:val="none"/>
        </w:rPr>
        <w:t>钻井施工应编制施工预案，科学安排作业，最大限度减少钻机搬迁等对植被的碾压和破坏；</w:t>
      </w:r>
    </w:p>
    <w:p w14:paraId="7B4305E3">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②</w:t>
      </w:r>
      <w:r>
        <w:rPr>
          <w:rFonts w:hint="default" w:ascii="Times New Roman" w:hAnsi="Times New Roman" w:eastAsia="宋体"/>
          <w:color w:val="auto"/>
          <w:w w:val="99"/>
          <w:sz w:val="24"/>
          <w:szCs w:val="24"/>
          <w:highlight w:val="none"/>
        </w:rPr>
        <w:t>充分利用现有道路，尽量不再开辟新的临时进井通道；</w:t>
      </w:r>
    </w:p>
    <w:p w14:paraId="5545D3A5">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③</w:t>
      </w:r>
      <w:r>
        <w:rPr>
          <w:rFonts w:hint="default" w:ascii="Times New Roman" w:hAnsi="Times New Roman" w:eastAsia="宋体"/>
          <w:color w:val="auto"/>
          <w:w w:val="99"/>
          <w:sz w:val="24"/>
          <w:szCs w:val="24"/>
          <w:highlight w:val="none"/>
        </w:rPr>
        <w:t>搬运钻井设备利用现有公路、小路，执行“无捷径”原则，应尽量减少占地面积，认真确定车辆行驶路线，不在道路、井场以外的地方行驶和作业，规范行车路线及施工人员行为，严禁随意践踏、碾压施工区范围外的植被，不准乱挖、乱采植物；</w:t>
      </w:r>
    </w:p>
    <w:p w14:paraId="72D53648">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④</w:t>
      </w:r>
      <w:r>
        <w:rPr>
          <w:rFonts w:hint="default" w:ascii="Times New Roman" w:hAnsi="Times New Roman" w:eastAsia="宋体"/>
          <w:color w:val="auto"/>
          <w:w w:val="99"/>
          <w:sz w:val="24"/>
          <w:szCs w:val="24"/>
          <w:highlight w:val="none"/>
          <w:shd w:val="clear" w:color="auto" w:fill="FFFFFF"/>
        </w:rPr>
        <w:t>本项目已优先布置平台井，并采用定向钻井方式，减少了用地。</w:t>
      </w:r>
      <w:r>
        <w:rPr>
          <w:rFonts w:hint="default" w:ascii="Times New Roman" w:hAnsi="Times New Roman" w:eastAsia="宋体"/>
          <w:color w:val="auto"/>
          <w:w w:val="99"/>
          <w:sz w:val="24"/>
          <w:szCs w:val="24"/>
          <w:highlight w:val="none"/>
        </w:rPr>
        <w:t>井场布置必须遵守《大庆油田开发建设用地标准》规定，严格控制施工作业面积，以减少地表植被破坏；</w:t>
      </w:r>
    </w:p>
    <w:p w14:paraId="78906416">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⑤</w:t>
      </w:r>
      <w:r>
        <w:rPr>
          <w:rFonts w:hint="default" w:ascii="Times New Roman" w:hAnsi="Times New Roman" w:eastAsia="宋体"/>
          <w:color w:val="auto"/>
          <w:w w:val="99"/>
          <w:sz w:val="24"/>
          <w:szCs w:val="24"/>
          <w:highlight w:val="none"/>
        </w:rPr>
        <w:t>为避免施工期对植被的影响，对易产生扬尘的场所必要时加以遮挡，以减轻对植物的影响；</w:t>
      </w:r>
    </w:p>
    <w:p w14:paraId="565C8A9D">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⑥</w:t>
      </w:r>
      <w:r>
        <w:rPr>
          <w:rFonts w:hint="default" w:ascii="Times New Roman" w:hAnsi="Times New Roman" w:eastAsia="宋体"/>
          <w:color w:val="auto"/>
          <w:w w:val="99"/>
          <w:sz w:val="24"/>
          <w:szCs w:val="24"/>
          <w:highlight w:val="none"/>
        </w:rPr>
        <w:t>加强井场管理及设备养护，井场铺设防渗布，防止原油、含油污水以及各种废液的跑冒滴漏，如发生跑冒滴漏，及时处理；</w:t>
      </w:r>
    </w:p>
    <w:p w14:paraId="373E9528">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⑦</w:t>
      </w:r>
      <w:r>
        <w:rPr>
          <w:rFonts w:hint="default" w:ascii="Times New Roman" w:hAnsi="Times New Roman" w:eastAsia="宋体"/>
          <w:color w:val="auto"/>
          <w:w w:val="99"/>
          <w:sz w:val="24"/>
          <w:szCs w:val="24"/>
          <w:highlight w:val="none"/>
        </w:rPr>
        <w:t>规范施工人员行为，严禁随意践踏、碾压施工区范围之外的植被；</w:t>
      </w:r>
    </w:p>
    <w:p w14:paraId="76ECFD7D">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⑧</w:t>
      </w:r>
      <w:r>
        <w:rPr>
          <w:rFonts w:hint="default" w:ascii="Times New Roman" w:hAnsi="Times New Roman" w:eastAsia="宋体"/>
          <w:color w:val="auto"/>
          <w:w w:val="99"/>
          <w:sz w:val="24"/>
          <w:szCs w:val="24"/>
          <w:highlight w:val="none"/>
        </w:rPr>
        <w:t>恢复土地生产能力，提高土壤肥力。施工过程中尽量保护土地资源，不打乱土层，先挖表土层（</w:t>
      </w:r>
      <w:r>
        <w:rPr>
          <w:rFonts w:ascii="Times New Roman" w:hAnsi="Times New Roman" w:eastAsia="宋体"/>
          <w:color w:val="auto"/>
          <w:w w:val="99"/>
          <w:sz w:val="24"/>
          <w:szCs w:val="24"/>
          <w:highlight w:val="none"/>
        </w:rPr>
        <w:t>耕地剥离厚度0.3m</w:t>
      </w:r>
      <w:r>
        <w:rPr>
          <w:rFonts w:hint="default" w:ascii="Times New Roman" w:hAnsi="Times New Roman" w:eastAsia="宋体"/>
          <w:color w:val="auto"/>
          <w:w w:val="99"/>
          <w:sz w:val="24"/>
          <w:szCs w:val="24"/>
          <w:highlight w:val="none"/>
        </w:rPr>
        <w:t>）单独堆放；然后挖心、底土层另外堆放。复原时先填心、底土，后平覆表土，以便尽快恢复土地原貌；</w:t>
      </w:r>
    </w:p>
    <w:p w14:paraId="7CC59C11">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⑨</w:t>
      </w:r>
      <w:r>
        <w:rPr>
          <w:rFonts w:hint="default" w:ascii="Times New Roman" w:hAnsi="Times New Roman" w:eastAsia="宋体"/>
          <w:color w:val="auto"/>
          <w:w w:val="99"/>
          <w:sz w:val="24"/>
          <w:szCs w:val="24"/>
          <w:highlight w:val="none"/>
        </w:rPr>
        <w:t>施工结束后施工营地进行搬迁，料场做到工完、料净、场地清，施工时所产生的生活污水、生活垃圾等废弃物，严禁随意倾倒；</w:t>
      </w:r>
    </w:p>
    <w:p w14:paraId="44013B86">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⑩</w:t>
      </w:r>
      <w:r>
        <w:rPr>
          <w:rFonts w:hint="default" w:ascii="Times New Roman" w:hAnsi="Times New Roman" w:eastAsia="宋体"/>
          <w:color w:val="auto"/>
          <w:w w:val="99"/>
          <w:sz w:val="24"/>
          <w:szCs w:val="24"/>
          <w:highlight w:val="none"/>
        </w:rPr>
        <w:t>埋设管线时，根据管径的大小做到尽量窄控，采取平埋方式（不起土坝）进行，以便尽快恢复植被；</w:t>
      </w:r>
    </w:p>
    <w:p w14:paraId="7E556D8D">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Cambria Math" w:hAnsi="Cambria Math" w:eastAsia="宋体" w:cs="Cambria Math"/>
          <w:color w:val="auto"/>
          <w:w w:val="99"/>
          <w:sz w:val="24"/>
          <w:szCs w:val="24"/>
          <w:highlight w:val="none"/>
        </w:rPr>
        <w:t>⑪</w:t>
      </w:r>
      <w:r>
        <w:rPr>
          <w:rFonts w:hint="default" w:ascii="Times New Roman" w:hAnsi="Times New Roman" w:eastAsia="宋体"/>
          <w:color w:val="auto"/>
          <w:w w:val="99"/>
          <w:sz w:val="24"/>
          <w:szCs w:val="24"/>
          <w:highlight w:val="none"/>
        </w:rPr>
        <w:t>管道施工尽量缩小占地面积，应划定施工活动范围，严格控制和管理车辆及重型机械的运行范围，所有车辆采用“一”字型作业法，走同一车辙，避免加行开辟新路；</w:t>
      </w:r>
    </w:p>
    <w:p w14:paraId="2E58AD50">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Cambria Math" w:hAnsi="Cambria Math" w:cs="Cambria Math" w:eastAsiaTheme="minorEastAsia"/>
          <w:color w:val="auto"/>
          <w:w w:val="99"/>
          <w:sz w:val="24"/>
          <w:szCs w:val="24"/>
          <w:highlight w:val="none"/>
          <w:shd w:val="clear" w:color="auto" w:fill="FFFFFF"/>
        </w:rPr>
        <w:t>⑫</w:t>
      </w:r>
      <w:r>
        <w:rPr>
          <w:rFonts w:hint="default" w:ascii="Times New Roman" w:hAnsi="Times New Roman" w:eastAsia="宋体"/>
          <w:color w:val="auto"/>
          <w:w w:val="99"/>
          <w:sz w:val="24"/>
          <w:szCs w:val="24"/>
          <w:highlight w:val="none"/>
        </w:rPr>
        <w:t>管沟挖、填方作业应尽量作到互补平衡，以免造成弃土方堆积和过多借土；</w:t>
      </w:r>
    </w:p>
    <w:p w14:paraId="1AFDAFE7">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Cambria Math" w:hAnsi="Cambria Math" w:eastAsia="宋体" w:cs="Cambria Math"/>
          <w:color w:val="auto"/>
          <w:w w:val="99"/>
          <w:sz w:val="24"/>
          <w:szCs w:val="24"/>
          <w:highlight w:val="none"/>
        </w:rPr>
        <w:t>⑬</w:t>
      </w:r>
      <w:r>
        <w:rPr>
          <w:rFonts w:hint="default" w:ascii="Times New Roman" w:hAnsi="Times New Roman" w:eastAsia="宋体"/>
          <w:color w:val="auto"/>
          <w:w w:val="99"/>
          <w:sz w:val="24"/>
          <w:szCs w:val="24"/>
          <w:highlight w:val="none"/>
        </w:rPr>
        <w:t>管沟回填应按层回填，以利施工带土壤和植被的尽早恢复。回填后应予以平整、压实，以免发生水土流失。对高出地面部分做出水土保持要求，要求高出地面部分回填土按梯形堆放于管线上部，堆放后人工进行修整、拍实；</w:t>
      </w:r>
    </w:p>
    <w:p w14:paraId="11520298">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Theme="minorEastAsia"/>
          <w:color w:val="auto"/>
          <w:w w:val="99"/>
          <w:sz w:val="24"/>
          <w:szCs w:val="24"/>
          <w:highlight w:val="none"/>
          <w:shd w:val="clear" w:color="auto" w:fill="FFFFFF"/>
        </w:rPr>
        <w:t> </w:t>
      </w:r>
      <w:r>
        <w:rPr>
          <w:rFonts w:hint="default" w:ascii="Cambria Math" w:hAnsi="Cambria Math" w:cs="Cambria Math" w:eastAsiaTheme="minorEastAsia"/>
          <w:color w:val="auto"/>
          <w:w w:val="99"/>
          <w:sz w:val="24"/>
          <w:szCs w:val="24"/>
          <w:highlight w:val="none"/>
          <w:shd w:val="clear" w:color="auto" w:fill="FFFFFF"/>
        </w:rPr>
        <w:t>⑭</w:t>
      </w:r>
      <w:r>
        <w:rPr>
          <w:rFonts w:hint="default" w:ascii="Times New Roman" w:hAnsi="Times New Roman" w:eastAsia="宋体"/>
          <w:color w:val="auto"/>
          <w:w w:val="99"/>
          <w:sz w:val="24"/>
          <w:szCs w:val="24"/>
          <w:highlight w:val="none"/>
        </w:rPr>
        <w:t>管道建设工程结束后，回填开挖的管沟，路基采取护坡、养护措施，进行表土回覆、场地清理平整并恢复植被；</w:t>
      </w:r>
    </w:p>
    <w:p w14:paraId="123A343F">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Cambria Math" w:hAnsi="Cambria Math" w:cs="Cambria Math" w:eastAsiaTheme="minorEastAsia"/>
          <w:color w:val="auto"/>
          <w:w w:val="99"/>
          <w:sz w:val="24"/>
          <w:szCs w:val="24"/>
          <w:highlight w:val="none"/>
          <w:shd w:val="clear" w:color="auto" w:fill="FFFFFF"/>
        </w:rPr>
        <w:t>⑮</w:t>
      </w:r>
      <w:r>
        <w:rPr>
          <w:rFonts w:hint="default" w:ascii="Times New Roman" w:hAnsi="Times New Roman" w:eastAsia="宋体"/>
          <w:color w:val="auto"/>
          <w:w w:val="99"/>
          <w:sz w:val="24"/>
          <w:szCs w:val="24"/>
          <w:highlight w:val="none"/>
        </w:rPr>
        <w:t>对废水、固体废物进行严格管理，统一处理或回收，不得随意抛撒，毗邻农田的井场四周应设置边沟或围土堤，防止污染土壤；</w:t>
      </w:r>
    </w:p>
    <w:p w14:paraId="5DF3231C">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Cambria Math" w:hAnsi="Cambria Math" w:cs="Cambria Math" w:eastAsiaTheme="minorEastAsia"/>
          <w:color w:val="auto"/>
          <w:w w:val="99"/>
          <w:sz w:val="24"/>
          <w:szCs w:val="24"/>
          <w:highlight w:val="none"/>
          <w:shd w:val="clear" w:color="auto" w:fill="FFFFFF"/>
        </w:rPr>
        <w:t>⑯</w:t>
      </w:r>
      <w:r>
        <w:rPr>
          <w:rFonts w:hint="default" w:ascii="Times New Roman" w:hAnsi="Times New Roman" w:eastAsia="宋体"/>
          <w:color w:val="auto"/>
          <w:w w:val="99"/>
          <w:sz w:val="24"/>
          <w:szCs w:val="24"/>
          <w:highlight w:val="none"/>
        </w:rPr>
        <w:t>施工结束后，及时恢复被破坏的地表形态，平整作业现场，改善土壤及植被恢复条件。对永久占用耕地按“占一补一”的原则及相关规定缴纳土地补偿费，专款用于占地的恢复及补偿，对永久占用的草地进行土地补偿；对临时占用耕地进行表土留存，分层回填，整平翻松，确保恢复等质等量面积的耕地，对临时占用的草地进行地面平整，恢复植被；</w:t>
      </w:r>
    </w:p>
    <w:p w14:paraId="5396DB49">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（2）针对性保护措施</w:t>
      </w:r>
    </w:p>
    <w:p w14:paraId="5D6771DC">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本项目新增总占地面积为</w:t>
      </w:r>
      <w:r>
        <w:rPr>
          <w:rFonts w:hint="eastAsia" w:ascii="Times New Roman" w:hAnsi="Times New Roman" w:eastAsia="宋体"/>
          <w:color w:val="auto"/>
          <w:w w:val="99"/>
          <w:sz w:val="24"/>
          <w:szCs w:val="24"/>
          <w:highlight w:val="none"/>
          <w:lang w:eastAsia="zh-CN"/>
        </w:rPr>
        <w:t>2.013</w:t>
      </w:r>
      <w:r>
        <w:rPr>
          <w:rFonts w:hint="default" w:ascii="Times New Roman" w:hAnsi="Times New Roman" w:eastAsia="宋体"/>
          <w:color w:val="auto"/>
          <w:w w:val="99"/>
          <w:sz w:val="24"/>
          <w:szCs w:val="24"/>
          <w:highlight w:val="none"/>
        </w:rPr>
        <w:t>hm</w:t>
      </w:r>
      <w:r>
        <w:rPr>
          <w:rFonts w:hint="default" w:ascii="Times New Roman" w:hAnsi="Times New Roman" w:eastAsia="宋体"/>
          <w:color w:val="auto"/>
          <w:w w:val="99"/>
          <w:sz w:val="24"/>
          <w:szCs w:val="24"/>
          <w:highlight w:val="none"/>
          <w:vertAlign w:val="superscript"/>
        </w:rPr>
        <w:t>2</w:t>
      </w:r>
      <w:r>
        <w:rPr>
          <w:rFonts w:hint="default" w:ascii="Times New Roman" w:hAnsi="Times New Roman" w:eastAsia="宋体"/>
          <w:color w:val="auto"/>
          <w:w w:val="99"/>
          <w:sz w:val="24"/>
          <w:szCs w:val="24"/>
          <w:highlight w:val="none"/>
        </w:rPr>
        <w:t xml:space="preserve">，其中永久占地 </w:t>
      </w:r>
      <w:r>
        <w:rPr>
          <w:rFonts w:hint="eastAsia" w:ascii="Times New Roman" w:hAnsi="Times New Roman" w:eastAsia="宋体"/>
          <w:color w:val="auto"/>
          <w:w w:val="99"/>
          <w:sz w:val="24"/>
          <w:szCs w:val="24"/>
          <w:highlight w:val="none"/>
          <w:lang w:eastAsia="zh-CN"/>
        </w:rPr>
        <w:t>0.0901</w:t>
      </w:r>
      <w:r>
        <w:rPr>
          <w:rFonts w:hint="default" w:ascii="Times New Roman" w:hAnsi="Times New Roman" w:eastAsia="宋体"/>
          <w:color w:val="auto"/>
          <w:w w:val="99"/>
          <w:sz w:val="24"/>
          <w:szCs w:val="24"/>
          <w:highlight w:val="none"/>
        </w:rPr>
        <w:t>hm</w:t>
      </w:r>
      <w:r>
        <w:rPr>
          <w:rFonts w:hint="default" w:ascii="Times New Roman" w:hAnsi="Times New Roman" w:eastAsia="宋体"/>
          <w:color w:val="auto"/>
          <w:w w:val="99"/>
          <w:sz w:val="24"/>
          <w:szCs w:val="24"/>
          <w:highlight w:val="none"/>
          <w:vertAlign w:val="superscript"/>
        </w:rPr>
        <w:t>2</w:t>
      </w:r>
      <w:r>
        <w:rPr>
          <w:rFonts w:hint="default" w:ascii="Times New Roman" w:hAnsi="Times New Roman" w:eastAsia="宋体"/>
          <w:color w:val="auto"/>
          <w:w w:val="99"/>
          <w:sz w:val="24"/>
          <w:szCs w:val="24"/>
          <w:highlight w:val="none"/>
        </w:rPr>
        <w:t>，临时占地</w:t>
      </w:r>
      <w:r>
        <w:rPr>
          <w:rFonts w:hint="eastAsia" w:ascii="Times New Roman" w:hAnsi="Times New Roman" w:eastAsia="宋体"/>
          <w:color w:val="auto"/>
          <w:w w:val="99"/>
          <w:sz w:val="24"/>
          <w:szCs w:val="24"/>
          <w:highlight w:val="none"/>
          <w:lang w:eastAsia="zh-CN"/>
        </w:rPr>
        <w:t>1.9229</w:t>
      </w:r>
      <w:r>
        <w:rPr>
          <w:rFonts w:hint="default" w:ascii="Times New Roman" w:hAnsi="Times New Roman" w:eastAsia="宋体"/>
          <w:color w:val="auto"/>
          <w:w w:val="99"/>
          <w:sz w:val="24"/>
          <w:szCs w:val="24"/>
          <w:highlight w:val="none"/>
        </w:rPr>
        <w:t>hm</w:t>
      </w:r>
      <w:r>
        <w:rPr>
          <w:rFonts w:hint="default" w:ascii="Times New Roman" w:hAnsi="Times New Roman" w:eastAsia="宋体"/>
          <w:color w:val="auto"/>
          <w:w w:val="99"/>
          <w:sz w:val="24"/>
          <w:szCs w:val="24"/>
          <w:highlight w:val="none"/>
          <w:vertAlign w:val="superscript"/>
        </w:rPr>
        <w:t>2</w:t>
      </w:r>
      <w:r>
        <w:rPr>
          <w:rFonts w:hint="default" w:ascii="Times New Roman" w:hAnsi="Times New Roman" w:eastAsia="宋体"/>
          <w:color w:val="auto"/>
          <w:w w:val="99"/>
          <w:sz w:val="24"/>
          <w:szCs w:val="24"/>
          <w:highlight w:val="none"/>
        </w:rPr>
        <w:t>。</w:t>
      </w:r>
    </w:p>
    <w:p w14:paraId="469A922E">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①</w:t>
      </w:r>
      <w:r>
        <w:rPr>
          <w:rFonts w:hint="default" w:ascii="Times New Roman" w:hAnsi="Times New Roman" w:eastAsia="宋体"/>
          <w:color w:val="auto"/>
          <w:w w:val="99"/>
          <w:sz w:val="24"/>
          <w:szCs w:val="24"/>
          <w:highlight w:val="none"/>
        </w:rPr>
        <w:t>本项目临时占地面积</w:t>
      </w:r>
      <w:r>
        <w:rPr>
          <w:rFonts w:hint="eastAsia" w:ascii="Times New Roman" w:hAnsi="Times New Roman" w:eastAsia="宋体"/>
          <w:color w:val="auto"/>
          <w:w w:val="99"/>
          <w:sz w:val="24"/>
          <w:szCs w:val="24"/>
          <w:highlight w:val="none"/>
          <w:lang w:eastAsia="zh-CN"/>
        </w:rPr>
        <w:t>1.9229</w:t>
      </w:r>
      <w:r>
        <w:rPr>
          <w:rFonts w:hint="default" w:ascii="Times New Roman" w:hAnsi="Times New Roman" w:eastAsia="宋体"/>
          <w:color w:val="auto"/>
          <w:w w:val="99"/>
          <w:sz w:val="24"/>
          <w:szCs w:val="24"/>
          <w:highlight w:val="none"/>
        </w:rPr>
        <w:t>hm</w:t>
      </w:r>
      <w:r>
        <w:rPr>
          <w:rFonts w:hint="default" w:ascii="Times New Roman" w:hAnsi="Times New Roman" w:eastAsia="宋体"/>
          <w:color w:val="auto"/>
          <w:w w:val="99"/>
          <w:sz w:val="24"/>
          <w:szCs w:val="24"/>
          <w:highlight w:val="none"/>
          <w:vertAlign w:val="superscript"/>
        </w:rPr>
        <w:t>2</w:t>
      </w:r>
      <w:r>
        <w:rPr>
          <w:rFonts w:hint="default" w:ascii="Times New Roman" w:hAnsi="Times New Roman" w:eastAsia="宋体"/>
          <w:color w:val="auto"/>
          <w:w w:val="99"/>
          <w:sz w:val="24"/>
          <w:szCs w:val="24"/>
          <w:highlight w:val="none"/>
        </w:rPr>
        <w:t>，临时占地主要包括管线施工临时占地（包括临时道路、临时土方堆场、管沟开挖区域），对于临时占地，施工前应剥离占地内的表土，</w:t>
      </w:r>
      <w:r>
        <w:rPr>
          <w:rFonts w:ascii="Times New Roman" w:hAnsi="Times New Roman" w:eastAsia="宋体"/>
          <w:color w:val="auto"/>
          <w:w w:val="99"/>
          <w:sz w:val="24"/>
          <w:szCs w:val="24"/>
          <w:highlight w:val="none"/>
        </w:rPr>
        <w:t>耕地剥离厚度0.3m</w:t>
      </w:r>
      <w:r>
        <w:rPr>
          <w:rFonts w:hint="default" w:ascii="Times New Roman" w:hAnsi="Times New Roman" w:eastAsia="宋体"/>
          <w:color w:val="auto"/>
          <w:w w:val="99"/>
          <w:sz w:val="24"/>
          <w:szCs w:val="24"/>
          <w:highlight w:val="none"/>
        </w:rPr>
        <w:t>采用分层开挖，分层堆放，并采取苫布遮盖，表土剥离临时堆放区周围设置排水沟等措施防止水土流失，并定期采取洒水抑尘措施，剥离的表土在施工结束后分层回填并平整，及时恢复地表植被，并采取补播措施，对占用农田全部恢复为等质等量面积的耕地，表土剥离和利用严格执行《建设占用耕地耕作层土壤剥离利用技术规范》（DB23/T2913-2021）。</w:t>
      </w:r>
    </w:p>
    <w:p w14:paraId="6BFF92A6">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②</w:t>
      </w:r>
      <w:r>
        <w:rPr>
          <w:rFonts w:hint="default" w:ascii="Times New Roman" w:hAnsi="Times New Roman" w:eastAsia="宋体"/>
          <w:color w:val="auto"/>
          <w:w w:val="99"/>
          <w:sz w:val="24"/>
          <w:szCs w:val="24"/>
          <w:highlight w:val="none"/>
        </w:rPr>
        <w:t xml:space="preserve">对永久占用 </w:t>
      </w:r>
      <w:r>
        <w:rPr>
          <w:rFonts w:hint="eastAsia" w:ascii="Times New Roman" w:hAnsi="Times New Roman" w:eastAsia="宋体"/>
          <w:color w:val="auto"/>
          <w:w w:val="99"/>
          <w:sz w:val="24"/>
          <w:szCs w:val="24"/>
          <w:highlight w:val="none"/>
          <w:lang w:eastAsia="zh-CN"/>
        </w:rPr>
        <w:t>0.0901</w:t>
      </w:r>
      <w:r>
        <w:rPr>
          <w:rFonts w:hint="default" w:ascii="Times New Roman" w:hAnsi="Times New Roman" w:eastAsia="宋体"/>
          <w:color w:val="auto"/>
          <w:w w:val="99"/>
          <w:sz w:val="24"/>
          <w:szCs w:val="24"/>
          <w:highlight w:val="none"/>
        </w:rPr>
        <w:t>hm</w:t>
      </w:r>
      <w:r>
        <w:rPr>
          <w:rFonts w:hint="default" w:ascii="Times New Roman" w:hAnsi="Times New Roman" w:eastAsia="宋体"/>
          <w:color w:val="auto"/>
          <w:w w:val="99"/>
          <w:sz w:val="24"/>
          <w:szCs w:val="24"/>
          <w:highlight w:val="none"/>
          <w:vertAlign w:val="superscript"/>
        </w:rPr>
        <w:t>2</w:t>
      </w:r>
      <w:r>
        <w:rPr>
          <w:rFonts w:hint="default" w:ascii="Times New Roman" w:hAnsi="Times New Roman" w:eastAsia="宋体"/>
          <w:color w:val="auto"/>
          <w:w w:val="99"/>
          <w:sz w:val="24"/>
          <w:szCs w:val="24"/>
          <w:highlight w:val="none"/>
        </w:rPr>
        <w:t>耕地（永久基本农田），按照“占一补一”原则进行占补平衡，由建设单位负责开垦与所占用耕地的数量和质量相当的耕地；如果没有条件开垦时，应当按照黑龙江省的规定缴纳耕地开垦费，专款用于开垦新的耕地。永久占用耕地的耕作层土壤集中堆放在施工井场或场站置土带区域，施工结束后用于</w:t>
      </w:r>
      <w:r>
        <w:rPr>
          <w:rFonts w:hint="default" w:ascii="Times New Roman" w:hAnsi="Times New Roman" w:eastAsia="宋体"/>
          <w:bCs/>
          <w:color w:val="auto"/>
          <w:w w:val="99"/>
          <w:sz w:val="24"/>
          <w:szCs w:val="24"/>
          <w:highlight w:val="none"/>
        </w:rPr>
        <w:t>周围区域土地复垦、土壤治理等用途</w:t>
      </w:r>
      <w:r>
        <w:rPr>
          <w:rFonts w:hint="default" w:ascii="Times New Roman" w:hAnsi="Times New Roman" w:eastAsia="宋体"/>
          <w:color w:val="auto"/>
          <w:w w:val="99"/>
          <w:sz w:val="24"/>
          <w:szCs w:val="24"/>
          <w:highlight w:val="none"/>
        </w:rPr>
        <w:t>。</w:t>
      </w:r>
    </w:p>
    <w:p w14:paraId="14504CB4">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③</w:t>
      </w:r>
      <w:r>
        <w:rPr>
          <w:rFonts w:hint="default" w:ascii="Times New Roman" w:hAnsi="Times New Roman" w:eastAsia="宋体"/>
          <w:color w:val="auto"/>
          <w:w w:val="99"/>
          <w:sz w:val="24"/>
          <w:szCs w:val="24"/>
          <w:highlight w:val="none"/>
        </w:rPr>
        <w:t>本项目为</w:t>
      </w:r>
      <w:r>
        <w:rPr>
          <w:rFonts w:hint="eastAsia" w:ascii="Times New Roman" w:hAnsi="Times New Roman" w:eastAsia="宋体"/>
          <w:color w:val="auto"/>
          <w:w w:val="99"/>
          <w:sz w:val="24"/>
          <w:szCs w:val="24"/>
          <w:highlight w:val="none"/>
          <w:lang w:val="en-US" w:eastAsia="zh-CN"/>
        </w:rPr>
        <w:t>气田</w:t>
      </w:r>
      <w:r>
        <w:rPr>
          <w:rFonts w:hint="default" w:ascii="Times New Roman" w:hAnsi="Times New Roman" w:eastAsia="宋体"/>
          <w:color w:val="auto"/>
          <w:w w:val="99"/>
          <w:sz w:val="24"/>
          <w:szCs w:val="24"/>
          <w:highlight w:val="none"/>
        </w:rPr>
        <w:t>开发工程，属于国家能源建设项目，根据地下储层特性，项目选址无法避让耕地（黑土地）。项目施工过程中，需遵守《大庆油（气）田建设工程用地规范》规定，严格控制施工作业面积，加强施工管理，尽量减少占地面积，并规范行车路线及施工人员行为，严禁随意践踏、碾压施工区范围外的植被，不准乱挖、乱采野生植物，确保尽量少占优质黑土地。本工程实施前编制表土剥离利用方案，统筹安排剥离、储存和再利用。表土剥离和利用严格执行《建设占用耕地耕作层土壤剥离利用技术规范》（DB23/T2913-2021），表土剥离方案由大庆油田有限公司</w:t>
      </w:r>
      <w:r>
        <w:rPr>
          <w:rFonts w:hint="eastAsia" w:ascii="Times New Roman" w:hAnsi="Times New Roman" w:eastAsia="宋体"/>
          <w:color w:val="auto"/>
          <w:w w:val="99"/>
          <w:sz w:val="24"/>
          <w:szCs w:val="24"/>
          <w:highlight w:val="none"/>
          <w:lang w:val="en-US" w:eastAsia="zh-CN"/>
        </w:rPr>
        <w:t>采气分公司</w:t>
      </w:r>
      <w:r>
        <w:rPr>
          <w:rFonts w:hint="default" w:ascii="Times New Roman" w:hAnsi="Times New Roman" w:eastAsia="宋体"/>
          <w:color w:val="auto"/>
          <w:w w:val="99"/>
          <w:sz w:val="24"/>
          <w:szCs w:val="24"/>
          <w:highlight w:val="none"/>
        </w:rPr>
        <w:t>编制后报大庆市自然资源局备案。</w:t>
      </w:r>
    </w:p>
    <w:p w14:paraId="679B6077">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rPr>
        <w:t>④</w:t>
      </w:r>
      <w:r>
        <w:rPr>
          <w:rFonts w:hint="default" w:ascii="Times New Roman" w:hAnsi="Times New Roman" w:eastAsia="宋体"/>
          <w:color w:val="auto"/>
          <w:w w:val="99"/>
          <w:sz w:val="24"/>
          <w:szCs w:val="24"/>
          <w:highlight w:val="none"/>
        </w:rPr>
        <w:t>恢复过程应由环境监理全程监督，以确保生态恢复效果。</w:t>
      </w:r>
    </w:p>
    <w:p w14:paraId="4ED0B595">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本工程应在施工完毕后进行生态影响减缓及恢复措施，具体见表6.1-</w:t>
      </w:r>
      <w:r>
        <w:rPr>
          <w:rFonts w:hint="eastAsia" w:ascii="Times New Roman" w:hAnsi="Times New Roman" w:eastAsia="宋体"/>
          <w:color w:val="auto"/>
          <w:w w:val="99"/>
          <w:sz w:val="24"/>
          <w:szCs w:val="24"/>
          <w:highlight w:val="none"/>
          <w:lang w:val="en-US" w:eastAsia="zh-CN"/>
        </w:rPr>
        <w:t>5</w:t>
      </w:r>
      <w:r>
        <w:rPr>
          <w:rFonts w:hint="default" w:ascii="Times New Roman" w:hAnsi="Times New Roman" w:eastAsia="宋体"/>
          <w:color w:val="auto"/>
          <w:w w:val="99"/>
          <w:sz w:val="24"/>
          <w:szCs w:val="24"/>
          <w:highlight w:val="none"/>
        </w:rPr>
        <w:t>。典型生态保护措施平面布置示意图见附图</w:t>
      </w:r>
      <w:r>
        <w:rPr>
          <w:rFonts w:hint="eastAsia" w:ascii="Times New Roman" w:hAnsi="Times New Roman" w:eastAsia="宋体"/>
          <w:color w:val="auto"/>
          <w:w w:val="99"/>
          <w:sz w:val="24"/>
          <w:szCs w:val="24"/>
          <w:highlight w:val="none"/>
          <w:lang w:val="en-US" w:eastAsia="zh-CN"/>
        </w:rPr>
        <w:t>13</w:t>
      </w:r>
      <w:r>
        <w:rPr>
          <w:rFonts w:hint="default" w:ascii="Times New Roman" w:hAnsi="Times New Roman" w:eastAsia="宋体"/>
          <w:color w:val="auto"/>
          <w:w w:val="99"/>
          <w:sz w:val="24"/>
          <w:szCs w:val="24"/>
          <w:highlight w:val="none"/>
        </w:rPr>
        <w:t>。</w:t>
      </w:r>
    </w:p>
    <w:p w14:paraId="37D2F4BD">
      <w:pPr>
        <w:pStyle w:val="104"/>
        <w:snapToGrid/>
        <w:spacing w:line="440" w:lineRule="exact"/>
        <w:ind w:left="0" w:firstLine="476"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Theme="minorEastAsia"/>
          <w:b/>
          <w:bCs/>
          <w:color w:val="auto"/>
          <w:w w:val="99"/>
          <w:sz w:val="24"/>
          <w:szCs w:val="24"/>
          <w:highlight w:val="none"/>
        </w:rPr>
        <w:t>表6.1-</w:t>
      </w:r>
      <w:r>
        <w:rPr>
          <w:rFonts w:hint="eastAsia" w:ascii="Times New Roman" w:hAnsi="Times New Roman" w:eastAsiaTheme="minorEastAsia"/>
          <w:b/>
          <w:bCs/>
          <w:color w:val="auto"/>
          <w:w w:val="99"/>
          <w:sz w:val="24"/>
          <w:szCs w:val="24"/>
          <w:highlight w:val="none"/>
          <w:lang w:val="en-US" w:eastAsia="zh-CN"/>
        </w:rPr>
        <w:t>5</w:t>
      </w:r>
      <w:r>
        <w:rPr>
          <w:rFonts w:hint="default" w:ascii="Times New Roman" w:hAnsi="Times New Roman" w:eastAsiaTheme="minorEastAsia"/>
          <w:b/>
          <w:bCs/>
          <w:color w:val="auto"/>
          <w:w w:val="99"/>
          <w:sz w:val="24"/>
          <w:szCs w:val="24"/>
          <w:highlight w:val="none"/>
        </w:rPr>
        <w:t xml:space="preserve">    生态影响减缓及恢复措施</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548"/>
        <w:gridCol w:w="581"/>
        <w:gridCol w:w="579"/>
        <w:gridCol w:w="3282"/>
        <w:gridCol w:w="2668"/>
        <w:gridCol w:w="754"/>
        <w:gridCol w:w="715"/>
      </w:tblGrid>
      <w:tr w14:paraId="737D6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00" w:type="pct"/>
            <w:vAlign w:val="center"/>
          </w:tcPr>
          <w:p w14:paraId="3303C7CF">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序号</w:t>
            </w:r>
          </w:p>
        </w:tc>
        <w:tc>
          <w:tcPr>
            <w:tcW w:w="318" w:type="pct"/>
            <w:vAlign w:val="center"/>
          </w:tcPr>
          <w:p w14:paraId="33151F2D">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项目</w:t>
            </w:r>
          </w:p>
        </w:tc>
        <w:tc>
          <w:tcPr>
            <w:tcW w:w="317" w:type="pct"/>
            <w:vAlign w:val="center"/>
          </w:tcPr>
          <w:p w14:paraId="4C59C60E">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占地类型</w:t>
            </w:r>
          </w:p>
        </w:tc>
        <w:tc>
          <w:tcPr>
            <w:tcW w:w="1797" w:type="pct"/>
            <w:vAlign w:val="center"/>
          </w:tcPr>
          <w:p w14:paraId="2B0FF695">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恢复措施</w:t>
            </w:r>
          </w:p>
        </w:tc>
        <w:tc>
          <w:tcPr>
            <w:tcW w:w="1461" w:type="pct"/>
          </w:tcPr>
          <w:p w14:paraId="1E737066">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生态恢复投资</w:t>
            </w:r>
          </w:p>
        </w:tc>
        <w:tc>
          <w:tcPr>
            <w:tcW w:w="413" w:type="pct"/>
            <w:vAlign w:val="center"/>
          </w:tcPr>
          <w:p w14:paraId="4DABAA5B">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实施时间</w:t>
            </w:r>
          </w:p>
        </w:tc>
        <w:tc>
          <w:tcPr>
            <w:tcW w:w="391" w:type="pct"/>
            <w:vAlign w:val="center"/>
          </w:tcPr>
          <w:p w14:paraId="4DB352D4">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实施单位</w:t>
            </w:r>
          </w:p>
        </w:tc>
      </w:tr>
      <w:tr w14:paraId="4043E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00" w:type="pct"/>
            <w:vAlign w:val="center"/>
          </w:tcPr>
          <w:p w14:paraId="2DC4C461">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w:t>
            </w:r>
          </w:p>
        </w:tc>
        <w:tc>
          <w:tcPr>
            <w:tcW w:w="318" w:type="pct"/>
            <w:vAlign w:val="center"/>
          </w:tcPr>
          <w:p w14:paraId="70AE7C1A">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永久占地</w:t>
            </w:r>
          </w:p>
        </w:tc>
        <w:tc>
          <w:tcPr>
            <w:tcW w:w="317" w:type="pct"/>
            <w:vAlign w:val="center"/>
          </w:tcPr>
          <w:p w14:paraId="70DBDA7E">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耕地</w:t>
            </w:r>
          </w:p>
        </w:tc>
        <w:tc>
          <w:tcPr>
            <w:tcW w:w="1797" w:type="pct"/>
            <w:vAlign w:val="center"/>
          </w:tcPr>
          <w:p w14:paraId="3D5A0717">
            <w:pPr>
              <w:adjustRightInd w:val="0"/>
              <w:snapToGrid w:val="0"/>
              <w:spacing w:line="360" w:lineRule="exact"/>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将表层土剥离用于</w:t>
            </w:r>
            <w:r>
              <w:rPr>
                <w:rFonts w:ascii="Times New Roman" w:hAnsi="Times New Roman" w:cs="Times New Roman" w:eastAsiaTheme="minorEastAsia"/>
                <w:bCs/>
                <w:snapToGrid w:val="0"/>
                <w:color w:val="auto"/>
                <w:w w:val="99"/>
                <w:sz w:val="21"/>
                <w:szCs w:val="21"/>
                <w:highlight w:val="none"/>
              </w:rPr>
              <w:t>周围区域土地复垦、土壤治理等用途</w:t>
            </w:r>
            <w:r>
              <w:rPr>
                <w:rFonts w:ascii="Times New Roman" w:hAnsi="Times New Roman" w:cs="Times New Roman" w:eastAsiaTheme="minorEastAsia"/>
                <w:snapToGrid w:val="0"/>
                <w:color w:val="auto"/>
                <w:w w:val="99"/>
                <w:sz w:val="21"/>
                <w:szCs w:val="21"/>
                <w:highlight w:val="none"/>
              </w:rPr>
              <w:t>，占地后按照“占一补一”原则缴纳</w:t>
            </w:r>
            <w:r>
              <w:rPr>
                <w:rFonts w:hint="eastAsia" w:ascii="Times New Roman" w:hAnsi="Times New Roman" w:cs="Times New Roman" w:eastAsiaTheme="minorEastAsia"/>
                <w:snapToGrid w:val="0"/>
                <w:color w:val="auto"/>
                <w:w w:val="99"/>
                <w:sz w:val="21"/>
                <w:szCs w:val="21"/>
                <w:highlight w:val="none"/>
                <w:lang w:eastAsia="zh-CN"/>
              </w:rPr>
              <w:t>0.0901</w:t>
            </w:r>
            <w:r>
              <w:rPr>
                <w:rFonts w:ascii="Times New Roman" w:hAnsi="Times New Roman" w:cs="Times New Roman" w:eastAsiaTheme="minorEastAsia"/>
                <w:snapToGrid w:val="0"/>
                <w:color w:val="auto"/>
                <w:w w:val="99"/>
                <w:sz w:val="21"/>
                <w:szCs w:val="21"/>
                <w:highlight w:val="none"/>
              </w:rPr>
              <w:t>hm</w:t>
            </w:r>
            <w:r>
              <w:rPr>
                <w:rFonts w:ascii="Times New Roman" w:hAnsi="Times New Roman" w:cs="Times New Roman" w:eastAsiaTheme="minorEastAsia"/>
                <w:snapToGrid w:val="0"/>
                <w:color w:val="auto"/>
                <w:w w:val="99"/>
                <w:sz w:val="21"/>
                <w:szCs w:val="21"/>
                <w:highlight w:val="none"/>
                <w:vertAlign w:val="superscript"/>
              </w:rPr>
              <w:t>2</w:t>
            </w:r>
            <w:r>
              <w:rPr>
                <w:rFonts w:ascii="Times New Roman" w:hAnsi="Times New Roman" w:cs="Times New Roman" w:eastAsiaTheme="minorEastAsia"/>
                <w:snapToGrid w:val="0"/>
                <w:color w:val="auto"/>
                <w:w w:val="99"/>
                <w:sz w:val="21"/>
                <w:szCs w:val="21"/>
                <w:highlight w:val="none"/>
              </w:rPr>
              <w:t>耕地补偿费</w:t>
            </w:r>
          </w:p>
        </w:tc>
        <w:tc>
          <w:tcPr>
            <w:tcW w:w="1461" w:type="pct"/>
          </w:tcPr>
          <w:p w14:paraId="41CEC5D0">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lang w:val="en-US" w:eastAsia="zh-CN"/>
              </w:rPr>
              <w:t>3.199</w:t>
            </w:r>
            <w:r>
              <w:rPr>
                <w:rFonts w:ascii="Times New Roman" w:hAnsi="Times New Roman" w:cs="Times New Roman" w:eastAsiaTheme="minorEastAsia"/>
                <w:snapToGrid w:val="0"/>
                <w:color w:val="auto"/>
                <w:w w:val="99"/>
                <w:sz w:val="21"/>
                <w:szCs w:val="21"/>
                <w:highlight w:val="none"/>
              </w:rPr>
              <w:t>万元（根据《大庆市人民政府关于调整大庆市征地区片综合地价执行标准的通告》庆政规[2023]2号，</w:t>
            </w:r>
            <w:r>
              <w:rPr>
                <w:rFonts w:ascii="Times New Roman" w:hAnsi="Times New Roman" w:cs="Times New Roman" w:eastAsiaTheme="minorEastAsia"/>
                <w:snapToGrid w:val="0"/>
                <w:color w:val="auto"/>
                <w:w w:val="99"/>
                <w:sz w:val="21"/>
                <w:szCs w:val="21"/>
                <w:highlight w:val="none"/>
                <w:vertAlign w:val="superscript"/>
              </w:rPr>
              <w:t>2</w:t>
            </w:r>
            <w:r>
              <w:rPr>
                <w:rFonts w:ascii="Times New Roman" w:hAnsi="Times New Roman" w:cs="Times New Roman" w:eastAsiaTheme="minorEastAsia"/>
                <w:snapToGrid w:val="0"/>
                <w:color w:val="auto"/>
                <w:w w:val="99"/>
                <w:sz w:val="21"/>
                <w:szCs w:val="21"/>
                <w:highlight w:val="none"/>
              </w:rPr>
              <w:t>永久征地费用为</w:t>
            </w:r>
            <w:r>
              <w:rPr>
                <w:rFonts w:hint="eastAsia" w:ascii="Times New Roman" w:hAnsi="Times New Roman" w:cs="Times New Roman" w:eastAsiaTheme="minorEastAsia"/>
                <w:snapToGrid w:val="0"/>
                <w:color w:val="auto"/>
                <w:w w:val="99"/>
                <w:sz w:val="21"/>
                <w:szCs w:val="21"/>
                <w:highlight w:val="none"/>
                <w:lang w:val="en-US" w:eastAsia="zh-CN"/>
              </w:rPr>
              <w:t>35.51</w:t>
            </w:r>
            <w:r>
              <w:rPr>
                <w:rFonts w:ascii="Times New Roman" w:hAnsi="Times New Roman" w:cs="Times New Roman" w:eastAsiaTheme="minorEastAsia"/>
                <w:snapToGrid w:val="0"/>
                <w:color w:val="auto"/>
                <w:w w:val="99"/>
                <w:sz w:val="21"/>
                <w:szCs w:val="21"/>
                <w:highlight w:val="none"/>
              </w:rPr>
              <w:t>元/m</w:t>
            </w:r>
            <w:r>
              <w:rPr>
                <w:rFonts w:ascii="Times New Roman" w:hAnsi="Times New Roman" w:cs="Times New Roman" w:eastAsiaTheme="minorEastAsia"/>
                <w:snapToGrid w:val="0"/>
                <w:color w:val="auto"/>
                <w:w w:val="99"/>
                <w:sz w:val="21"/>
                <w:szCs w:val="21"/>
                <w:highlight w:val="none"/>
                <w:vertAlign w:val="superscript"/>
              </w:rPr>
              <w:t>2</w:t>
            </w:r>
            <w:r>
              <w:rPr>
                <w:rFonts w:ascii="Times New Roman" w:hAnsi="Times New Roman" w:cs="Times New Roman" w:eastAsiaTheme="minorEastAsia"/>
                <w:snapToGrid w:val="0"/>
                <w:color w:val="auto"/>
                <w:w w:val="99"/>
                <w:sz w:val="21"/>
                <w:szCs w:val="21"/>
                <w:highlight w:val="none"/>
              </w:rPr>
              <w:t>）</w:t>
            </w:r>
          </w:p>
        </w:tc>
        <w:tc>
          <w:tcPr>
            <w:tcW w:w="413" w:type="pct"/>
            <w:vMerge w:val="restart"/>
            <w:vAlign w:val="center"/>
          </w:tcPr>
          <w:p w14:paraId="348788D7">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施工完毕后</w:t>
            </w:r>
          </w:p>
          <w:p w14:paraId="4E99767F">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1年内</w:t>
            </w:r>
          </w:p>
        </w:tc>
        <w:tc>
          <w:tcPr>
            <w:tcW w:w="391" w:type="pct"/>
            <w:vMerge w:val="restart"/>
            <w:vAlign w:val="center"/>
          </w:tcPr>
          <w:p w14:paraId="7063D088">
            <w:pPr>
              <w:adjustRightInd w:val="0"/>
              <w:snapToGrid w:val="0"/>
              <w:spacing w:line="360" w:lineRule="exact"/>
              <w:jc w:val="center"/>
              <w:rPr>
                <w:rFonts w:hint="eastAsia" w:ascii="Times New Roman" w:hAnsi="Times New Roman" w:cs="Times New Roman" w:eastAsiaTheme="minorEastAsia"/>
                <w:snapToGrid w:val="0"/>
                <w:color w:val="auto"/>
                <w:w w:val="99"/>
                <w:sz w:val="21"/>
                <w:szCs w:val="21"/>
                <w:highlight w:val="none"/>
                <w:lang w:eastAsia="zh-CN"/>
              </w:rPr>
            </w:pPr>
            <w:r>
              <w:rPr>
                <w:rFonts w:hint="eastAsia" w:ascii="Times New Roman" w:hAnsi="Times New Roman" w:cs="Times New Roman" w:eastAsiaTheme="minorEastAsia"/>
                <w:snapToGrid w:val="0"/>
                <w:color w:val="auto"/>
                <w:w w:val="99"/>
                <w:sz w:val="21"/>
                <w:szCs w:val="21"/>
                <w:highlight w:val="none"/>
                <w:lang w:eastAsia="zh-CN"/>
              </w:rPr>
              <w:t xml:space="preserve">大庆油田有限责任公司采气分公司 </w:t>
            </w:r>
          </w:p>
        </w:tc>
      </w:tr>
      <w:tr w14:paraId="662DB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00" w:type="pct"/>
            <w:vAlign w:val="center"/>
          </w:tcPr>
          <w:p w14:paraId="2377C62F">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w:t>
            </w:r>
          </w:p>
        </w:tc>
        <w:tc>
          <w:tcPr>
            <w:tcW w:w="318" w:type="pct"/>
            <w:vAlign w:val="center"/>
          </w:tcPr>
          <w:p w14:paraId="44FACA85">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临时占地</w:t>
            </w:r>
          </w:p>
        </w:tc>
        <w:tc>
          <w:tcPr>
            <w:tcW w:w="317" w:type="pct"/>
            <w:vAlign w:val="center"/>
          </w:tcPr>
          <w:p w14:paraId="64383B2A">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耕地</w:t>
            </w:r>
          </w:p>
        </w:tc>
        <w:tc>
          <w:tcPr>
            <w:tcW w:w="1797" w:type="pct"/>
            <w:vAlign w:val="center"/>
          </w:tcPr>
          <w:p w14:paraId="5C4294D8">
            <w:pPr>
              <w:adjustRightInd w:val="0"/>
              <w:snapToGrid w:val="0"/>
              <w:spacing w:line="360" w:lineRule="exact"/>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分层开挖，分层回填，并通过生态植被恢复措施可逐年恢复原有农田质量和产量，耕地复耕</w:t>
            </w:r>
            <w:r>
              <w:rPr>
                <w:rFonts w:hint="eastAsia" w:ascii="Times New Roman" w:hAnsi="Times New Roman" w:cs="Times New Roman" w:eastAsiaTheme="minorEastAsia"/>
                <w:snapToGrid w:val="0"/>
                <w:color w:val="auto"/>
                <w:w w:val="99"/>
                <w:sz w:val="21"/>
                <w:szCs w:val="21"/>
                <w:highlight w:val="none"/>
                <w:lang w:val="en-US" w:eastAsia="zh-CN"/>
              </w:rPr>
              <w:t>1.9229</w:t>
            </w:r>
            <w:r>
              <w:rPr>
                <w:rFonts w:ascii="Times New Roman" w:hAnsi="Times New Roman" w:cs="Times New Roman" w:eastAsiaTheme="minorEastAsia"/>
                <w:snapToGrid w:val="0"/>
                <w:color w:val="auto"/>
                <w:w w:val="99"/>
                <w:sz w:val="21"/>
                <w:szCs w:val="21"/>
                <w:highlight w:val="none"/>
              </w:rPr>
              <w:t>hm</w:t>
            </w:r>
            <w:r>
              <w:rPr>
                <w:rFonts w:ascii="Times New Roman" w:hAnsi="Times New Roman" w:cs="Times New Roman" w:eastAsiaTheme="minorEastAsia"/>
                <w:snapToGrid w:val="0"/>
                <w:color w:val="auto"/>
                <w:w w:val="99"/>
                <w:sz w:val="21"/>
                <w:szCs w:val="21"/>
                <w:highlight w:val="none"/>
                <w:vertAlign w:val="superscript"/>
              </w:rPr>
              <w:t>2</w:t>
            </w:r>
          </w:p>
        </w:tc>
        <w:tc>
          <w:tcPr>
            <w:tcW w:w="1461" w:type="pct"/>
          </w:tcPr>
          <w:p w14:paraId="01551377">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lang w:val="en-US" w:eastAsia="zh-CN"/>
              </w:rPr>
              <w:t>15.191</w:t>
            </w:r>
            <w:r>
              <w:rPr>
                <w:rFonts w:ascii="Times New Roman" w:hAnsi="Times New Roman" w:cs="Times New Roman" w:eastAsiaTheme="minorEastAsia"/>
                <w:snapToGrid w:val="0"/>
                <w:color w:val="auto"/>
                <w:w w:val="99"/>
                <w:sz w:val="21"/>
                <w:szCs w:val="21"/>
                <w:highlight w:val="none"/>
              </w:rPr>
              <w:t>万元（临时征地费用按5.8元/m</w:t>
            </w:r>
            <w:r>
              <w:rPr>
                <w:rFonts w:ascii="Times New Roman" w:hAnsi="Times New Roman" w:cs="Times New Roman" w:eastAsiaTheme="minorEastAsia"/>
                <w:snapToGrid w:val="0"/>
                <w:color w:val="auto"/>
                <w:w w:val="99"/>
                <w:sz w:val="21"/>
                <w:szCs w:val="21"/>
                <w:highlight w:val="none"/>
                <w:vertAlign w:val="superscript"/>
              </w:rPr>
              <w:t>2</w:t>
            </w:r>
            <w:r>
              <w:rPr>
                <w:rFonts w:ascii="Times New Roman" w:hAnsi="Times New Roman" w:cs="Times New Roman" w:eastAsiaTheme="minorEastAsia"/>
                <w:snapToGrid w:val="0"/>
                <w:color w:val="auto"/>
                <w:w w:val="99"/>
                <w:sz w:val="21"/>
                <w:szCs w:val="21"/>
                <w:highlight w:val="none"/>
              </w:rPr>
              <w:t>，旱田青苗补偿费为2.1元/ m</w:t>
            </w:r>
            <w:r>
              <w:rPr>
                <w:rFonts w:ascii="Times New Roman" w:hAnsi="Times New Roman" w:cs="Times New Roman" w:eastAsiaTheme="minorEastAsia"/>
                <w:snapToGrid w:val="0"/>
                <w:color w:val="auto"/>
                <w:w w:val="99"/>
                <w:sz w:val="21"/>
                <w:szCs w:val="21"/>
                <w:highlight w:val="none"/>
                <w:vertAlign w:val="superscript"/>
              </w:rPr>
              <w:t>2</w:t>
            </w:r>
            <w:r>
              <w:rPr>
                <w:rFonts w:ascii="Times New Roman" w:hAnsi="Times New Roman" w:cs="Times New Roman" w:eastAsiaTheme="minorEastAsia"/>
                <w:snapToGrid w:val="0"/>
                <w:color w:val="auto"/>
                <w:w w:val="99"/>
                <w:sz w:val="21"/>
                <w:szCs w:val="21"/>
                <w:highlight w:val="none"/>
              </w:rPr>
              <w:t>）</w:t>
            </w:r>
          </w:p>
        </w:tc>
        <w:tc>
          <w:tcPr>
            <w:tcW w:w="413" w:type="pct"/>
            <w:vMerge w:val="continue"/>
            <w:vAlign w:val="center"/>
          </w:tcPr>
          <w:p w14:paraId="37D86C69">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391" w:type="pct"/>
            <w:vMerge w:val="continue"/>
            <w:vAlign w:val="center"/>
          </w:tcPr>
          <w:p w14:paraId="04C3CA1F">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r>
    </w:tbl>
    <w:p w14:paraId="4702D4CF">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采取上述施工期生态保护措施后，项目施工期对生态环境的影响将降至最低，因此施工期生态保护措施是可行的。</w:t>
      </w:r>
    </w:p>
    <w:p w14:paraId="52AADE9E">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6.1.6.2运营期</w:t>
      </w:r>
    </w:p>
    <w:p w14:paraId="008F9462">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（1）提高职工的环境保护意识，在生产管理中杜绝人为破坏植被的现象；</w:t>
      </w:r>
    </w:p>
    <w:p w14:paraId="69C867B6">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（2）气井作业时严格执行环保措施，控制污染物的外排量，保证“工完料净场地清”；</w:t>
      </w:r>
    </w:p>
    <w:p w14:paraId="0497D29A">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（3）</w:t>
      </w:r>
      <w:r>
        <w:rPr>
          <w:rFonts w:hint="default" w:ascii="Times New Roman" w:hAnsi="Times New Roman" w:eastAsia="宋体"/>
          <w:color w:val="auto"/>
          <w:w w:val="99"/>
          <w:sz w:val="24"/>
          <w:szCs w:val="24"/>
          <w:highlight w:val="none"/>
          <w:lang w:val="en-US" w:eastAsia="zh-CN"/>
        </w:rPr>
        <w:t>）加强管理，杜绝</w:t>
      </w:r>
      <w:r>
        <w:rPr>
          <w:rFonts w:hint="eastAsia" w:ascii="Times New Roman" w:hAnsi="Times New Roman" w:eastAsia="宋体"/>
          <w:color w:val="auto"/>
          <w:w w:val="99"/>
          <w:sz w:val="24"/>
          <w:szCs w:val="24"/>
          <w:highlight w:val="none"/>
          <w:lang w:val="en-US" w:eastAsia="zh-CN"/>
        </w:rPr>
        <w:t>气井采出水</w:t>
      </w:r>
      <w:r>
        <w:rPr>
          <w:rFonts w:hint="default" w:ascii="Times New Roman" w:hAnsi="Times New Roman" w:eastAsia="宋体"/>
          <w:color w:val="auto"/>
          <w:w w:val="99"/>
          <w:sz w:val="24"/>
          <w:szCs w:val="24"/>
          <w:highlight w:val="none"/>
          <w:lang w:val="en-US" w:eastAsia="zh-CN"/>
        </w:rPr>
        <w:t>运输过程跑冒滴漏，全部通过污水外输管道输送至升一联气田污水预处理站处理后回注现役油层</w:t>
      </w:r>
      <w:r>
        <w:rPr>
          <w:rFonts w:hint="eastAsia" w:ascii="Times New Roman" w:hAnsi="Times New Roman" w:eastAsia="宋体"/>
          <w:color w:val="auto"/>
          <w:w w:val="99"/>
          <w:sz w:val="24"/>
          <w:szCs w:val="24"/>
          <w:highlight w:val="none"/>
          <w:lang w:val="en-US" w:eastAsia="zh-CN"/>
        </w:rPr>
        <w:t>。</w:t>
      </w:r>
    </w:p>
    <w:p w14:paraId="4FB5A266">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（4）对井场、管线加强日常监督管理，定期巡检。巡检过程中在采气管道沿线区域要注意已恢复的植被的保护工作。</w:t>
      </w:r>
    </w:p>
    <w:p w14:paraId="50FD2D7D">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（5）加强对项目区内的生态保护，严格按照相关的规章制度执行。</w:t>
      </w:r>
    </w:p>
    <w:p w14:paraId="04C693B8">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lang w:val="en-US" w:eastAsia="zh-CN"/>
        </w:rPr>
      </w:pPr>
      <w:r>
        <w:rPr>
          <w:rFonts w:hint="eastAsia" w:ascii="Times New Roman" w:hAnsi="Times New Roman" w:eastAsia="宋体"/>
          <w:color w:val="auto"/>
          <w:w w:val="99"/>
          <w:sz w:val="24"/>
          <w:szCs w:val="24"/>
          <w:highlight w:val="none"/>
          <w:lang w:eastAsia="zh-CN"/>
        </w:rPr>
        <w:t>（</w:t>
      </w:r>
      <w:r>
        <w:rPr>
          <w:rFonts w:hint="eastAsia" w:ascii="Times New Roman" w:hAnsi="Times New Roman" w:eastAsia="宋体"/>
          <w:color w:val="auto"/>
          <w:w w:val="99"/>
          <w:sz w:val="24"/>
          <w:szCs w:val="24"/>
          <w:highlight w:val="none"/>
          <w:lang w:val="en-US" w:eastAsia="zh-CN"/>
        </w:rPr>
        <w:t>6</w:t>
      </w:r>
      <w:r>
        <w:rPr>
          <w:rFonts w:hint="eastAsia" w:ascii="Times New Roman" w:hAnsi="Times New Roman" w:eastAsia="宋体"/>
          <w:color w:val="auto"/>
          <w:w w:val="99"/>
          <w:sz w:val="24"/>
          <w:szCs w:val="24"/>
          <w:highlight w:val="none"/>
          <w:lang w:eastAsia="zh-CN"/>
        </w:rPr>
        <w:t>）运行期井场作业等均在永久占地内，</w:t>
      </w:r>
      <w:r>
        <w:rPr>
          <w:rFonts w:hint="eastAsia" w:ascii="Times New Roman" w:hAnsi="Times New Roman" w:eastAsia="宋体"/>
          <w:color w:val="auto"/>
          <w:w w:val="99"/>
          <w:sz w:val="24"/>
          <w:szCs w:val="24"/>
          <w:highlight w:val="none"/>
          <w:lang w:val="en-US" w:eastAsia="zh-CN"/>
        </w:rPr>
        <w:t>不新增占地。</w:t>
      </w:r>
    </w:p>
    <w:p w14:paraId="3DE3D3AA">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本项目通过采取上述生态保护措施，能够确保本项目对区域生态环境的破坏得到有效控制，不会对区域生态环境产生较大影响，生态保护措施可行。</w:t>
      </w:r>
    </w:p>
    <w:p w14:paraId="683BE2EB">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6.1.6.3退役期生态恢复与重建措施</w:t>
      </w:r>
    </w:p>
    <w:p w14:paraId="313553ED">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lang w:val="en-US" w:eastAsia="zh-CN"/>
        </w:rPr>
        <w:t>气田</w:t>
      </w:r>
      <w:r>
        <w:rPr>
          <w:rFonts w:hint="default" w:ascii="Times New Roman" w:hAnsi="Times New Roman" w:eastAsia="宋体"/>
          <w:color w:val="auto"/>
          <w:w w:val="99"/>
          <w:sz w:val="24"/>
          <w:szCs w:val="24"/>
          <w:highlight w:val="none"/>
        </w:rPr>
        <w:t>退役期，根据当地条件和宜林则林、宜草则草、宜农则农的原则，对生态环境进行恢复和重建。</w:t>
      </w:r>
    </w:p>
    <w:p w14:paraId="44DB1567">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lang w:val="en-US" w:eastAsia="zh-CN"/>
        </w:rPr>
      </w:pPr>
      <w:r>
        <w:rPr>
          <w:rFonts w:hint="eastAsia" w:ascii="Times New Roman" w:hAnsi="Times New Roman" w:eastAsia="宋体"/>
          <w:color w:val="auto"/>
          <w:w w:val="99"/>
          <w:sz w:val="24"/>
          <w:szCs w:val="24"/>
          <w:highlight w:val="none"/>
          <w:lang w:val="en-US" w:eastAsia="zh-CN"/>
        </w:rPr>
        <w:t>（1）</w:t>
      </w:r>
      <w:r>
        <w:rPr>
          <w:rFonts w:hint="default" w:ascii="Times New Roman" w:hAnsi="Times New Roman" w:eastAsia="宋体"/>
          <w:color w:val="auto"/>
          <w:w w:val="99"/>
          <w:sz w:val="24"/>
          <w:szCs w:val="24"/>
          <w:highlight w:val="none"/>
          <w:lang w:val="en-US" w:eastAsia="zh-CN"/>
        </w:rPr>
        <w:t>井场生态恢复与重建措施</w:t>
      </w:r>
    </w:p>
    <w:p w14:paraId="1E2441DF">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①</w:t>
      </w:r>
      <w:r>
        <w:rPr>
          <w:rFonts w:hint="default" w:ascii="Times New Roman" w:hAnsi="Times New Roman" w:eastAsia="宋体"/>
          <w:color w:val="auto"/>
          <w:w w:val="99"/>
          <w:sz w:val="24"/>
          <w:szCs w:val="24"/>
          <w:highlight w:val="none"/>
          <w:lang w:val="en-US" w:eastAsia="zh-CN"/>
        </w:rPr>
        <w:t>气井</w:t>
      </w:r>
      <w:r>
        <w:rPr>
          <w:rFonts w:hint="default" w:ascii="Times New Roman" w:hAnsi="Times New Roman" w:eastAsia="宋体"/>
          <w:color w:val="auto"/>
          <w:w w:val="99"/>
          <w:sz w:val="24"/>
          <w:szCs w:val="24"/>
          <w:highlight w:val="none"/>
        </w:rPr>
        <w:t>退役或报废后，应当在半年内将打开的气层和井口封闭；井场应拆除采</w:t>
      </w:r>
      <w:r>
        <w:rPr>
          <w:rFonts w:hint="default" w:ascii="Times New Roman" w:hAnsi="Times New Roman" w:eastAsia="宋体"/>
          <w:color w:val="auto"/>
          <w:w w:val="99"/>
          <w:sz w:val="24"/>
          <w:szCs w:val="24"/>
          <w:highlight w:val="none"/>
          <w:lang w:val="en-US" w:eastAsia="zh-CN"/>
        </w:rPr>
        <w:t>气</w:t>
      </w:r>
      <w:r>
        <w:rPr>
          <w:rFonts w:hint="default" w:ascii="Times New Roman" w:hAnsi="Times New Roman" w:eastAsia="宋体"/>
          <w:color w:val="auto"/>
          <w:w w:val="99"/>
          <w:sz w:val="24"/>
          <w:szCs w:val="24"/>
          <w:highlight w:val="none"/>
        </w:rPr>
        <w:t>设备、封好井口、挖松固化地面，并对井场土地进行平整、覆土和植被恢复。</w:t>
      </w:r>
    </w:p>
    <w:p w14:paraId="672ED26F">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②</w:t>
      </w:r>
      <w:r>
        <w:rPr>
          <w:rFonts w:hint="default" w:ascii="Times New Roman" w:hAnsi="Times New Roman" w:eastAsia="宋体"/>
          <w:color w:val="auto"/>
          <w:w w:val="99"/>
          <w:sz w:val="24"/>
          <w:szCs w:val="24"/>
          <w:highlight w:val="none"/>
        </w:rPr>
        <w:t>井场植被恢复初期</w:t>
      </w:r>
      <w:r>
        <w:rPr>
          <w:rFonts w:hint="default" w:ascii="Times New Roman" w:hAnsi="Times New Roman" w:eastAsia="宋体"/>
          <w:color w:val="auto"/>
          <w:w w:val="99"/>
          <w:sz w:val="24"/>
          <w:szCs w:val="24"/>
          <w:highlight w:val="none"/>
          <w:lang w:val="en-US" w:eastAsia="zh-CN"/>
        </w:rPr>
        <w:t>复垦</w:t>
      </w:r>
      <w:r>
        <w:rPr>
          <w:rFonts w:hint="default" w:ascii="Times New Roman" w:hAnsi="Times New Roman" w:eastAsia="宋体"/>
          <w:color w:val="auto"/>
          <w:w w:val="99"/>
          <w:sz w:val="24"/>
          <w:szCs w:val="24"/>
          <w:highlight w:val="none"/>
        </w:rPr>
        <w:t>。</w:t>
      </w:r>
    </w:p>
    <w:p w14:paraId="29B4A22D">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③</w:t>
      </w:r>
      <w:r>
        <w:rPr>
          <w:rFonts w:hint="default" w:ascii="Times New Roman" w:hAnsi="Times New Roman" w:eastAsia="宋体"/>
          <w:color w:val="auto"/>
          <w:w w:val="99"/>
          <w:sz w:val="24"/>
          <w:szCs w:val="24"/>
          <w:highlight w:val="none"/>
        </w:rPr>
        <w:t>保留各类绿化、生态保护设施，使</w:t>
      </w:r>
      <w:r>
        <w:rPr>
          <w:rFonts w:hint="default" w:ascii="Times New Roman" w:hAnsi="Times New Roman" w:eastAsia="宋体"/>
          <w:color w:val="auto"/>
          <w:w w:val="99"/>
          <w:sz w:val="24"/>
          <w:szCs w:val="24"/>
          <w:highlight w:val="none"/>
          <w:lang w:val="en-US" w:eastAsia="zh-CN"/>
        </w:rPr>
        <w:t>气田</w:t>
      </w:r>
      <w:r>
        <w:rPr>
          <w:rFonts w:hint="default" w:ascii="Times New Roman" w:hAnsi="Times New Roman" w:eastAsia="宋体"/>
          <w:color w:val="auto"/>
          <w:w w:val="99"/>
          <w:sz w:val="24"/>
          <w:szCs w:val="24"/>
          <w:highlight w:val="none"/>
        </w:rPr>
        <w:t>开发区生态环境功能不变，生态环境质量不低于目前现状。</w:t>
      </w:r>
    </w:p>
    <w:p w14:paraId="6CE817E7">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lang w:val="en-US" w:eastAsia="zh-CN"/>
        </w:rPr>
      </w:pPr>
      <w:r>
        <w:rPr>
          <w:rFonts w:hint="eastAsia" w:ascii="Times New Roman" w:hAnsi="Times New Roman" w:eastAsia="宋体"/>
          <w:color w:val="auto"/>
          <w:w w:val="99"/>
          <w:sz w:val="24"/>
          <w:szCs w:val="24"/>
          <w:highlight w:val="none"/>
          <w:lang w:val="en-US" w:eastAsia="zh-CN"/>
        </w:rPr>
        <w:t>（2）</w:t>
      </w:r>
      <w:r>
        <w:rPr>
          <w:rFonts w:hint="default" w:ascii="Times New Roman" w:hAnsi="Times New Roman" w:eastAsia="宋体"/>
          <w:color w:val="auto"/>
          <w:w w:val="99"/>
          <w:sz w:val="24"/>
          <w:szCs w:val="24"/>
          <w:highlight w:val="none"/>
          <w:lang w:val="en-US" w:eastAsia="zh-CN"/>
        </w:rPr>
        <w:t>道路、管线生态恢复与重建措施</w:t>
      </w:r>
    </w:p>
    <w:p w14:paraId="1DE1CD89">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①</w:t>
      </w:r>
      <w:r>
        <w:rPr>
          <w:rFonts w:hint="default" w:ascii="Times New Roman" w:hAnsi="Times New Roman" w:eastAsia="宋体"/>
          <w:color w:val="auto"/>
          <w:w w:val="99"/>
          <w:sz w:val="24"/>
          <w:szCs w:val="24"/>
          <w:highlight w:val="none"/>
        </w:rPr>
        <w:t>对井场道路的永久占地要进行生态恢复，要及时恢复原有植被和生态景观，使</w:t>
      </w:r>
      <w:r>
        <w:rPr>
          <w:rFonts w:hint="default" w:ascii="Times New Roman" w:hAnsi="Times New Roman" w:eastAsia="宋体"/>
          <w:color w:val="auto"/>
          <w:w w:val="99"/>
          <w:sz w:val="24"/>
          <w:szCs w:val="24"/>
          <w:highlight w:val="none"/>
          <w:lang w:val="en-US" w:eastAsia="zh-CN"/>
        </w:rPr>
        <w:t>气</w:t>
      </w:r>
      <w:r>
        <w:rPr>
          <w:rFonts w:hint="default" w:ascii="Times New Roman" w:hAnsi="Times New Roman" w:eastAsia="宋体"/>
          <w:color w:val="auto"/>
          <w:w w:val="99"/>
          <w:sz w:val="24"/>
          <w:szCs w:val="24"/>
          <w:highlight w:val="none"/>
        </w:rPr>
        <w:t>田开发区与区域生态景观和谐一致。</w:t>
      </w:r>
    </w:p>
    <w:p w14:paraId="6BDB050F">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②</w:t>
      </w:r>
      <w:r>
        <w:rPr>
          <w:rFonts w:hint="default" w:ascii="Times New Roman" w:hAnsi="Times New Roman" w:eastAsia="宋体"/>
          <w:color w:val="auto"/>
          <w:w w:val="99"/>
          <w:sz w:val="24"/>
          <w:szCs w:val="24"/>
          <w:highlight w:val="none"/>
          <w:lang w:val="en-US" w:eastAsia="zh-CN"/>
        </w:rPr>
        <w:t>气</w:t>
      </w:r>
      <w:r>
        <w:rPr>
          <w:rFonts w:hint="default" w:ascii="Times New Roman" w:hAnsi="Times New Roman" w:eastAsia="宋体"/>
          <w:color w:val="auto"/>
          <w:w w:val="99"/>
          <w:sz w:val="24"/>
          <w:szCs w:val="24"/>
          <w:highlight w:val="none"/>
        </w:rPr>
        <w:t>区进场道路，在征求当地群众意见后，可作为当地农业生产使用的，不必恢复；否则要恢复地表植被覆盖。</w:t>
      </w:r>
    </w:p>
    <w:p w14:paraId="707D799B">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③</w:t>
      </w:r>
      <w:r>
        <w:rPr>
          <w:rFonts w:hint="default" w:ascii="Times New Roman" w:hAnsi="Times New Roman" w:eastAsia="宋体"/>
          <w:color w:val="auto"/>
          <w:w w:val="99"/>
          <w:sz w:val="24"/>
          <w:szCs w:val="24"/>
          <w:highlight w:val="none"/>
        </w:rPr>
        <w:t>妥善处理退役期</w:t>
      </w:r>
      <w:r>
        <w:rPr>
          <w:rFonts w:hint="default" w:ascii="Times New Roman" w:hAnsi="Times New Roman" w:eastAsia="宋体"/>
          <w:color w:val="auto"/>
          <w:w w:val="99"/>
          <w:sz w:val="24"/>
          <w:szCs w:val="24"/>
          <w:highlight w:val="none"/>
          <w:lang w:val="en-US" w:eastAsia="zh-CN"/>
        </w:rPr>
        <w:t>气区</w:t>
      </w:r>
      <w:r>
        <w:rPr>
          <w:rFonts w:hint="default" w:ascii="Times New Roman" w:hAnsi="Times New Roman" w:eastAsia="宋体"/>
          <w:color w:val="auto"/>
          <w:w w:val="99"/>
          <w:sz w:val="24"/>
          <w:szCs w:val="24"/>
          <w:highlight w:val="none"/>
        </w:rPr>
        <w:t>管道中残存的少量</w:t>
      </w:r>
      <w:r>
        <w:rPr>
          <w:rFonts w:hint="default" w:ascii="Times New Roman" w:hAnsi="Times New Roman" w:eastAsia="宋体"/>
          <w:color w:val="auto"/>
          <w:w w:val="99"/>
          <w:sz w:val="24"/>
          <w:szCs w:val="24"/>
          <w:highlight w:val="none"/>
          <w:lang w:val="en-US" w:eastAsia="zh-CN"/>
        </w:rPr>
        <w:t>含烃废水</w:t>
      </w:r>
      <w:r>
        <w:rPr>
          <w:rFonts w:hint="default" w:ascii="Times New Roman" w:hAnsi="Times New Roman" w:eastAsia="宋体"/>
          <w:color w:val="auto"/>
          <w:w w:val="99"/>
          <w:sz w:val="24"/>
          <w:szCs w:val="24"/>
          <w:highlight w:val="none"/>
        </w:rPr>
        <w:t>。</w:t>
      </w:r>
    </w:p>
    <w:p w14:paraId="2AB9CE89">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eastAsia" w:ascii="Times New Roman" w:hAnsi="Times New Roman" w:eastAsia="宋体"/>
          <w:color w:val="auto"/>
          <w:w w:val="99"/>
          <w:sz w:val="24"/>
          <w:szCs w:val="24"/>
          <w:highlight w:val="none"/>
          <w:lang w:val="en-US" w:eastAsia="zh-CN"/>
        </w:rPr>
        <w:t>④</w:t>
      </w:r>
      <w:r>
        <w:rPr>
          <w:rFonts w:hint="default" w:ascii="Times New Roman" w:hAnsi="Times New Roman" w:eastAsia="宋体"/>
          <w:color w:val="auto"/>
          <w:w w:val="99"/>
          <w:sz w:val="24"/>
          <w:szCs w:val="24"/>
          <w:highlight w:val="none"/>
        </w:rPr>
        <w:t>加强对管线沿线居民的环境保护教育，提高其环保意识，禁止挖掘废弃管道，以避免对地表产生破坏和干扰，加速水土流失。</w:t>
      </w:r>
    </w:p>
    <w:p w14:paraId="35352327">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综上所述，项目退役期在采取生态恢复与重建措施后，可有效地将生态环境的影响降到最低程度。</w:t>
      </w:r>
    </w:p>
    <w:p w14:paraId="529270A6">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bookmarkStart w:id="1086" w:name="_Toc88044548"/>
      <w:r>
        <w:rPr>
          <w:rFonts w:ascii="Times New Roman" w:hAnsi="Times New Roman" w:eastAsiaTheme="minorEastAsia"/>
          <w:b/>
          <w:color w:val="auto"/>
          <w:w w:val="99"/>
          <w:highlight w:val="none"/>
        </w:rPr>
        <w:t>6.1.6.4永久基本农田保护措施</w:t>
      </w:r>
      <w:bookmarkEnd w:id="1086"/>
    </w:p>
    <w:p w14:paraId="56F87635">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根据《基本农田保护条例》</w:t>
      </w:r>
      <w:r>
        <w:rPr>
          <w:rFonts w:hint="eastAsia" w:ascii="Times New Roman" w:hAnsi="Times New Roman" w:eastAsia="宋体" w:cs="Times New Roman"/>
          <w:color w:val="auto"/>
          <w:w w:val="99"/>
          <w:kern w:val="0"/>
          <w:sz w:val="24"/>
          <w:szCs w:val="24"/>
          <w:highlight w:val="none"/>
          <w:lang w:val="en-US" w:eastAsia="zh-CN" w:bidi="zh-CN"/>
        </w:rPr>
        <w:t>（国务院令第</w:t>
      </w:r>
      <w:r>
        <w:rPr>
          <w:rFonts w:hint="default" w:ascii="Times New Roman" w:hAnsi="Times New Roman" w:eastAsia="宋体" w:cs="Times New Roman"/>
          <w:color w:val="auto"/>
          <w:w w:val="99"/>
          <w:kern w:val="0"/>
          <w:sz w:val="24"/>
          <w:szCs w:val="24"/>
          <w:highlight w:val="none"/>
          <w:lang w:val="en-US" w:eastAsia="zh-CN" w:bidi="zh-CN"/>
        </w:rPr>
        <w:t>257号）中规定：国家能源、交通、水利、军事设施等重点建设项目选址确实无法避开永久基本农田保护区，需要占用永久基本农田，涉及农用地转用或者征用土地必须经国务院批准。经国务院批准占用永久基本农田的，当地人民政府应当按照国务院的批准文件修改土地利用总体规划，并补充划入数量和质量相当的永久基本农田。占用单位应当按照占多少、垦多少的原则，负责开垦与所占用的永久基本农田数量与质量相当的耕地；没有条件开垦或者开垦的耕地不符合的要求的，应当按照省、自治区、直辖市的规定缴纳耕地开垦费，专款用于开垦新的耕地。占用永久基本农田的单位应按照县级以上地方人民政府的要求，将所占用的永久基本农田耕作层的土壤用于新开垦耕地、劣质地或者其他耕地的土壤改良。</w:t>
      </w:r>
    </w:p>
    <w:p w14:paraId="14DBAA4B">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工程属国家能源设施建设项目，根据设计要求，工程无法避让永久基本农田，因此应按有关土地管理办法的要求，逐级上报土地管理部门批准，对于永久占地，应纳入省土地利用规划，按有关土地管理部门要求认真执行。对占用的耕地，按照“占多少，垦多少” 的原则，由建设单位负责开垦与所占用耕地的数量和质量相当的耕地；如果没有条件开垦，应当按照省的规定缴纳耕地开垦费，专款用于开垦新的耕地，永久基本农田的耕地恢复由当地政府负责开垦相应数量的耕地，进行耕地保护。同时采取以下保护措施：</w:t>
      </w:r>
    </w:p>
    <w:p w14:paraId="4A20CD52">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（1）严格控制在耕地内的施工活动，限制施工范围和施工时限，将施工期对农业损失降至最小，例如优化工程施工周期尽量避开农作物的生长期进行施工；</w:t>
      </w:r>
    </w:p>
    <w:p w14:paraId="32A7A11D">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（2）本项目施工前应剥离永久占地内的表土，剥离面积</w:t>
      </w:r>
      <w:r>
        <w:rPr>
          <w:rFonts w:hint="eastAsia" w:ascii="Times New Roman" w:hAnsi="Times New Roman" w:cs="Times New Roman"/>
          <w:color w:val="auto"/>
          <w:w w:val="99"/>
          <w:kern w:val="0"/>
          <w:sz w:val="24"/>
          <w:szCs w:val="24"/>
          <w:highlight w:val="none"/>
          <w:lang w:val="en-US" w:eastAsia="zh-CN" w:bidi="zh-CN"/>
        </w:rPr>
        <w:t>0.0901</w:t>
      </w:r>
      <w:r>
        <w:rPr>
          <w:rFonts w:hint="default" w:ascii="Times New Roman" w:hAnsi="Times New Roman" w:eastAsia="宋体" w:cs="Times New Roman"/>
          <w:color w:val="auto"/>
          <w:w w:val="99"/>
          <w:kern w:val="0"/>
          <w:sz w:val="24"/>
          <w:szCs w:val="24"/>
          <w:highlight w:val="none"/>
          <w:lang w:val="en-US" w:eastAsia="zh-CN" w:bidi="zh-CN"/>
        </w:rPr>
        <w: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eastAsia="宋体" w:cs="Times New Roman"/>
          <w:color w:val="auto"/>
          <w:w w:val="99"/>
          <w:kern w:val="0"/>
          <w:sz w:val="24"/>
          <w:szCs w:val="24"/>
          <w:highlight w:val="none"/>
          <w:lang w:val="en-US" w:eastAsia="zh-CN" w:bidi="zh-CN"/>
        </w:rPr>
        <w:t>耕地剥离厚度</w:t>
      </w:r>
      <w:r>
        <w:rPr>
          <w:rFonts w:hint="default" w:ascii="Times New Roman" w:hAnsi="Times New Roman" w:eastAsia="宋体" w:cs="Times New Roman"/>
          <w:color w:val="auto"/>
          <w:w w:val="99"/>
          <w:kern w:val="0"/>
          <w:sz w:val="24"/>
          <w:szCs w:val="24"/>
          <w:highlight w:val="none"/>
          <w:lang w:val="en-US" w:eastAsia="zh-CN" w:bidi="zh-CN"/>
        </w:rPr>
        <w:t>0.3m，并采取苫布遮盖，表土剥离临时堆放区周围设置排水沟等措施防止水土流失，并定期采取洒水抑尘措施，施工结束后，剥离表土用于周围区域土地复垦、土壤治理等用途。</w:t>
      </w:r>
    </w:p>
    <w:p w14:paraId="6771A6F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cs="Times New Roman"/>
          <w:color w:val="auto"/>
          <w:w w:val="99"/>
          <w:kern w:val="0"/>
          <w:sz w:val="24"/>
          <w:szCs w:val="24"/>
          <w:highlight w:val="none"/>
          <w:lang w:val="en-US" w:eastAsia="zh-CN" w:bidi="zh-CN"/>
        </w:rPr>
        <w:t>（3）</w:t>
      </w:r>
      <w:r>
        <w:rPr>
          <w:rFonts w:hint="default" w:ascii="Times New Roman" w:hAnsi="Times New Roman" w:eastAsia="宋体" w:cs="Times New Roman"/>
          <w:color w:val="auto"/>
          <w:w w:val="99"/>
          <w:kern w:val="0"/>
          <w:sz w:val="24"/>
          <w:szCs w:val="24"/>
          <w:highlight w:val="none"/>
          <w:lang w:val="en-US" w:eastAsia="zh-CN" w:bidi="zh-CN"/>
        </w:rPr>
        <w:t>对永久占用耕地（永久基本农田），按照“占一补一”原则进行占补平衡，由建设单位负责开垦与所占用耕地的数量和质量相当的耕地；如果没有条件开垦时，应当按照黑龙江省的规定缴纳耕地开垦费，专款用于开垦新的耕地。永久占用耕地的耕作层土壤集中堆放在施工井场或场站置土带区域，施工结束后用于周围区域土地复垦、土壤治理等用途。对于</w:t>
      </w:r>
      <w:r>
        <w:rPr>
          <w:rFonts w:hint="eastAsia" w:ascii="Times New Roman" w:hAnsi="Times New Roman" w:cs="Times New Roman"/>
          <w:color w:val="auto"/>
          <w:w w:val="99"/>
          <w:kern w:val="0"/>
          <w:sz w:val="24"/>
          <w:szCs w:val="24"/>
          <w:highlight w:val="none"/>
          <w:lang w:val="en-US" w:eastAsia="zh-CN" w:bidi="zh-CN"/>
        </w:rPr>
        <w:t>1.9229</w:t>
      </w:r>
      <w:r>
        <w:rPr>
          <w:rFonts w:hint="default" w:ascii="Times New Roman" w:hAnsi="Times New Roman" w:eastAsia="宋体" w:cs="Times New Roman"/>
          <w:color w:val="auto"/>
          <w:w w:val="99"/>
          <w:kern w:val="0"/>
          <w:sz w:val="24"/>
          <w:szCs w:val="24"/>
          <w:highlight w:val="none"/>
          <w:lang w:val="en-US" w:eastAsia="zh-CN" w:bidi="zh-CN"/>
        </w:rPr>
        <w: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临时占地，施工前应剥离占地内的表土，</w:t>
      </w:r>
      <w:r>
        <w:rPr>
          <w:rFonts w:hint="eastAsia" w:ascii="Times New Roman" w:hAnsi="Times New Roman" w:eastAsia="宋体" w:cs="Times New Roman"/>
          <w:color w:val="auto"/>
          <w:w w:val="99"/>
          <w:kern w:val="0"/>
          <w:sz w:val="24"/>
          <w:szCs w:val="24"/>
          <w:highlight w:val="none"/>
          <w:lang w:val="en-US" w:eastAsia="zh-CN" w:bidi="zh-CN"/>
        </w:rPr>
        <w:t>耕地剥离厚度</w:t>
      </w:r>
      <w:r>
        <w:rPr>
          <w:rFonts w:hint="default" w:ascii="Times New Roman" w:hAnsi="Times New Roman" w:eastAsia="宋体" w:cs="Times New Roman"/>
          <w:color w:val="auto"/>
          <w:w w:val="99"/>
          <w:kern w:val="0"/>
          <w:sz w:val="24"/>
          <w:szCs w:val="24"/>
          <w:highlight w:val="none"/>
          <w:lang w:val="en-US" w:eastAsia="zh-CN" w:bidi="zh-CN"/>
        </w:rPr>
        <w:t>0.3m，采用分层开挖，分层堆放，暂存于占地内的表土剥离临时堆放区（井场施工临时占地剥离表土暂存于井场内表土剥离临时堆放区，管线施工临时占地剥离表土暂存于管线一侧的表土剥离临时堆放区），并采取苫布遮盖，表土剥离临时堆放区周围设置排水沟等措施防止水土流失，并定期采取洒水抑尘措施，剥离的表土在施工结束后分层回填，及时恢复地表植被，并采取补播措施，对占用农田全部恢复为等质等量面积的耕地。</w:t>
      </w:r>
    </w:p>
    <w:p w14:paraId="4E7D9C51">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eastAsia="宋体" w:cs="Times New Roman"/>
          <w:color w:val="auto"/>
          <w:w w:val="99"/>
          <w:kern w:val="0"/>
          <w:sz w:val="24"/>
          <w:szCs w:val="24"/>
          <w:highlight w:val="none"/>
          <w:lang w:val="en-US" w:eastAsia="zh-CN" w:bidi="zh-CN"/>
        </w:rPr>
        <w:t>4</w:t>
      </w:r>
      <w:r>
        <w:rPr>
          <w:rFonts w:hint="default" w:ascii="Times New Roman" w:hAnsi="Times New Roman" w:eastAsia="宋体" w:cs="Times New Roman"/>
          <w:color w:val="auto"/>
          <w:w w:val="99"/>
          <w:kern w:val="0"/>
          <w:sz w:val="24"/>
          <w:szCs w:val="24"/>
          <w:highlight w:val="none"/>
          <w:lang w:val="en-US" w:eastAsia="zh-CN" w:bidi="zh-CN"/>
        </w:rPr>
        <w:t>）占用永久基本农田的单位应当按照县级以上地方人民政府的要求，</w:t>
      </w:r>
      <w:r>
        <w:rPr>
          <w:rFonts w:hint="eastAsia" w:ascii="Times New Roman" w:hAnsi="Times New Roman" w:eastAsia="宋体" w:cs="Times New Roman"/>
          <w:color w:val="auto"/>
          <w:w w:val="99"/>
          <w:kern w:val="0"/>
          <w:sz w:val="24"/>
          <w:szCs w:val="24"/>
          <w:highlight w:val="none"/>
          <w:lang w:val="en-US" w:eastAsia="zh-CN" w:bidi="zh-CN"/>
        </w:rPr>
        <w:t>进行永久基本农田的占用审批。①建设单位组织临时用地申请材料。采气分公司依据项目设计资料、投资计划等基础资料，核实项目用地范围、面积、类型，准备临时用地申请、平面布置图、占地现状图、临时使用土地合同、土地复垦方案等相关材料。</w:t>
      </w:r>
    </w:p>
    <w:p w14:paraId="212A5D60">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②</w:t>
      </w:r>
      <w:r>
        <w:rPr>
          <w:rFonts w:hint="eastAsia" w:ascii="Times New Roman" w:hAnsi="Times New Roman" w:cs="Times New Roman"/>
          <w:color w:val="auto"/>
          <w:w w:val="99"/>
          <w:kern w:val="0"/>
          <w:sz w:val="24"/>
          <w:szCs w:val="24"/>
          <w:highlight w:val="none"/>
          <w:lang w:val="en-US" w:eastAsia="zh-CN" w:bidi="zh-CN"/>
        </w:rPr>
        <w:t>肇东市</w:t>
      </w:r>
      <w:r>
        <w:rPr>
          <w:rFonts w:hint="eastAsia" w:ascii="Times New Roman" w:hAnsi="Times New Roman" w:eastAsia="宋体" w:cs="Times New Roman"/>
          <w:color w:val="auto"/>
          <w:w w:val="99"/>
          <w:kern w:val="0"/>
          <w:sz w:val="24"/>
          <w:szCs w:val="24"/>
          <w:highlight w:val="none"/>
          <w:lang w:val="en-US" w:eastAsia="zh-CN" w:bidi="zh-CN"/>
        </w:rPr>
        <w:t>自然资源部门初审。</w:t>
      </w:r>
      <w:r>
        <w:rPr>
          <w:rFonts w:hint="eastAsia" w:ascii="Times New Roman" w:hAnsi="Times New Roman" w:cs="Times New Roman"/>
          <w:color w:val="auto"/>
          <w:w w:val="99"/>
          <w:kern w:val="0"/>
          <w:sz w:val="24"/>
          <w:szCs w:val="24"/>
          <w:highlight w:val="none"/>
          <w:lang w:val="en-US" w:eastAsia="zh-CN" w:bidi="zh-CN"/>
        </w:rPr>
        <w:t>肇东市</w:t>
      </w:r>
      <w:r>
        <w:rPr>
          <w:rFonts w:hint="eastAsia" w:ascii="Times New Roman" w:hAnsi="Times New Roman" w:eastAsia="宋体" w:cs="Times New Roman"/>
          <w:color w:val="auto"/>
          <w:w w:val="99"/>
          <w:kern w:val="0"/>
          <w:sz w:val="24"/>
          <w:szCs w:val="24"/>
          <w:highlight w:val="none"/>
          <w:lang w:val="en-US" w:eastAsia="zh-CN" w:bidi="zh-CN"/>
        </w:rPr>
        <w:t>自然资源部门组织对建设单位提交的临时用地申请资料进行初审，开展实地探勘核验，审查同意的出具审查意见。</w:t>
      </w:r>
    </w:p>
    <w:p w14:paraId="0E1F4C51">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③</w:t>
      </w:r>
      <w:r>
        <w:rPr>
          <w:rFonts w:hint="eastAsia" w:ascii="Times New Roman" w:hAnsi="Times New Roman" w:cs="Times New Roman"/>
          <w:color w:val="auto"/>
          <w:w w:val="99"/>
          <w:kern w:val="0"/>
          <w:sz w:val="24"/>
          <w:szCs w:val="24"/>
          <w:highlight w:val="none"/>
          <w:lang w:val="en-US" w:eastAsia="zh-CN" w:bidi="zh-CN"/>
        </w:rPr>
        <w:t>绥化</w:t>
      </w:r>
      <w:r>
        <w:rPr>
          <w:rFonts w:hint="eastAsia" w:ascii="Times New Roman" w:hAnsi="Times New Roman" w:eastAsia="宋体" w:cs="Times New Roman"/>
          <w:color w:val="auto"/>
          <w:w w:val="99"/>
          <w:kern w:val="0"/>
          <w:sz w:val="24"/>
          <w:szCs w:val="24"/>
          <w:highlight w:val="none"/>
          <w:lang w:val="en-US" w:eastAsia="zh-CN" w:bidi="zh-CN"/>
        </w:rPr>
        <w:t>市自然资源局审批。</w:t>
      </w:r>
      <w:r>
        <w:rPr>
          <w:rFonts w:hint="eastAsia" w:ascii="Times New Roman" w:hAnsi="Times New Roman" w:cs="Times New Roman"/>
          <w:color w:val="auto"/>
          <w:w w:val="99"/>
          <w:kern w:val="0"/>
          <w:sz w:val="24"/>
          <w:szCs w:val="24"/>
          <w:highlight w:val="none"/>
          <w:lang w:val="en-US" w:eastAsia="zh-CN" w:bidi="zh-CN"/>
        </w:rPr>
        <w:t>绥化</w:t>
      </w:r>
      <w:r>
        <w:rPr>
          <w:rFonts w:hint="eastAsia" w:ascii="Times New Roman" w:hAnsi="Times New Roman" w:eastAsia="宋体" w:cs="Times New Roman"/>
          <w:color w:val="auto"/>
          <w:w w:val="99"/>
          <w:kern w:val="0"/>
          <w:sz w:val="24"/>
          <w:szCs w:val="24"/>
          <w:highlight w:val="none"/>
          <w:lang w:val="en-US" w:eastAsia="zh-CN" w:bidi="zh-CN"/>
        </w:rPr>
        <w:t>市自然资源局组织审查</w:t>
      </w:r>
      <w:r>
        <w:rPr>
          <w:rFonts w:hint="eastAsia" w:ascii="Times New Roman" w:hAnsi="Times New Roman" w:cs="Times New Roman"/>
          <w:color w:val="auto"/>
          <w:w w:val="99"/>
          <w:kern w:val="0"/>
          <w:sz w:val="24"/>
          <w:szCs w:val="24"/>
          <w:highlight w:val="none"/>
          <w:lang w:val="en-US" w:eastAsia="zh-CN" w:bidi="zh-CN"/>
        </w:rPr>
        <w:t>肇东市</w:t>
      </w:r>
      <w:r>
        <w:rPr>
          <w:rFonts w:hint="eastAsia" w:ascii="Times New Roman" w:hAnsi="Times New Roman" w:eastAsia="宋体" w:cs="Times New Roman"/>
          <w:color w:val="auto"/>
          <w:w w:val="99"/>
          <w:kern w:val="0"/>
          <w:sz w:val="24"/>
          <w:szCs w:val="24"/>
          <w:highlight w:val="none"/>
          <w:lang w:val="en-US" w:eastAsia="zh-CN" w:bidi="zh-CN"/>
        </w:rPr>
        <w:t>自然资源部门提交的临时用地申请是否已完成初审、是否符合相关要求，对满足要求的用地申请组织审批，下发临时用地批复文件。具体见8.3小节</w:t>
      </w:r>
      <w:r>
        <w:rPr>
          <w:rFonts w:hint="default" w:ascii="Times New Roman" w:hAnsi="Times New Roman" w:eastAsia="宋体" w:cs="Times New Roman"/>
          <w:color w:val="auto"/>
          <w:w w:val="99"/>
          <w:kern w:val="0"/>
          <w:sz w:val="24"/>
          <w:szCs w:val="24"/>
          <w:highlight w:val="none"/>
          <w:lang w:val="en-US" w:eastAsia="zh-CN" w:bidi="zh-CN"/>
        </w:rPr>
        <w:t>。</w:t>
      </w:r>
    </w:p>
    <w:p w14:paraId="61BF7932">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6.1.6.5黑土地保护措施</w:t>
      </w:r>
    </w:p>
    <w:p w14:paraId="2E1D918C">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按照《中华人民共和国土地管理法》第三十一条：国家实行占用耕地补偿制度。非农业建设经批准占用耕地的，按照“占多少，垦多少”的原则，由占用耕地的单位负责开垦与所占用耕地的数量和质量相当的耕地；没有条件开垦或者开垦的耕地不符合要求的， 应当按照省、自治区、直辖市的规定缴纳耕地开垦费，专款用于开垦新的耕地。省、自治区、直辖市人民政府应当制定开垦耕地计划，监督占用耕地的单位按照计划开垦耕地 或者按照计划组织开垦耕地，并进行验收。第三十二条规定：县级以上地方人民政府可以要求占用耕地的单位将所占用耕地耕作层的土壤用于新开垦耕地、劣质地或者其他耕 地的土壤改良。</w:t>
      </w:r>
      <w:r>
        <w:rPr>
          <w:rFonts w:hint="eastAsia" w:ascii="Times New Roman" w:hAnsi="Times New Roman" w:eastAsia="宋体" w:cs="Times New Roman"/>
          <w:color w:val="auto"/>
          <w:w w:val="99"/>
          <w:kern w:val="0"/>
          <w:sz w:val="24"/>
          <w:szCs w:val="24"/>
          <w:highlight w:val="none"/>
          <w:lang w:val="en-US" w:eastAsia="zh-CN" w:bidi="zh-CN"/>
        </w:rPr>
        <w:t>以及</w:t>
      </w:r>
      <w:r>
        <w:rPr>
          <w:rFonts w:hint="default" w:ascii="Times New Roman" w:hAnsi="Times New Roman" w:eastAsia="宋体" w:cs="Times New Roman"/>
          <w:color w:val="auto"/>
          <w:w w:val="99"/>
          <w:kern w:val="0"/>
          <w:sz w:val="24"/>
          <w:szCs w:val="24"/>
          <w:highlight w:val="none"/>
          <w:lang w:val="en-US" w:eastAsia="zh-CN" w:bidi="zh-CN"/>
        </w:rPr>
        <w:t>《黑龙江省黑土地保护利用条例》</w:t>
      </w:r>
      <w:r>
        <w:rPr>
          <w:rFonts w:hint="eastAsia" w:ascii="Times New Roman" w:hAnsi="Times New Roman" w:eastAsia="宋体" w:cs="Times New Roman"/>
          <w:color w:val="auto"/>
          <w:w w:val="99"/>
          <w:kern w:val="0"/>
          <w:sz w:val="24"/>
          <w:szCs w:val="24"/>
          <w:highlight w:val="none"/>
          <w:lang w:val="en-US" w:eastAsia="zh-CN" w:bidi="zh-CN"/>
        </w:rPr>
        <w:t>中第四十四条 建设项目不得占用黑土地；确需占用的，应当依法严格审批，并补充数量和质量相当的耕地。 基础设施建设应当采取必要措施，避免因建设项目导致水淹耕地或者破坏黑土地生态环境。第四十五条 建设项目占用黑土地的，应当按照规定的标准对耕作层的土壤进行剥离。剥离的黑土应当就近用于新开垦耕地和低质耕地改良、被污染耕地的治理、高标准农田建设、土地复垦等。建设项目主体应当制定剥离黑土的再利用方案，报自然资源主管部门备案。</w:t>
      </w:r>
    </w:p>
    <w:p w14:paraId="474F954F">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本项目</w:t>
      </w:r>
      <w:r>
        <w:rPr>
          <w:rFonts w:hint="default" w:ascii="Times New Roman" w:hAnsi="Times New Roman" w:eastAsia="宋体" w:cs="Times New Roman"/>
          <w:color w:val="auto"/>
          <w:w w:val="99"/>
          <w:kern w:val="0"/>
          <w:sz w:val="24"/>
          <w:szCs w:val="24"/>
          <w:highlight w:val="none"/>
          <w:lang w:val="en-US" w:eastAsia="zh-CN" w:bidi="zh-CN"/>
        </w:rPr>
        <w:t>由</w:t>
      </w:r>
      <w:r>
        <w:rPr>
          <w:rFonts w:hint="eastAsia" w:ascii="Times New Roman" w:hAnsi="Times New Roman" w:cs="Times New Roman"/>
          <w:color w:val="auto"/>
          <w:w w:val="99"/>
          <w:kern w:val="0"/>
          <w:sz w:val="24"/>
          <w:szCs w:val="24"/>
          <w:highlight w:val="none"/>
          <w:lang w:val="en-US" w:eastAsia="zh-CN" w:bidi="zh-CN"/>
        </w:rPr>
        <w:t>采气分公司</w:t>
      </w:r>
      <w:r>
        <w:rPr>
          <w:rFonts w:hint="default" w:ascii="Times New Roman" w:hAnsi="Times New Roman" w:eastAsia="宋体" w:cs="Times New Roman"/>
          <w:color w:val="auto"/>
          <w:w w:val="99"/>
          <w:kern w:val="0"/>
          <w:sz w:val="24"/>
          <w:szCs w:val="24"/>
          <w:highlight w:val="none"/>
          <w:lang w:val="en-US" w:eastAsia="zh-CN" w:bidi="zh-CN"/>
        </w:rPr>
        <w:t>负责开垦与所占用耕地的数量和质量相当的耕地；如果没有条件开垦，应当按照省的规定缴纳耕地开垦费，专款用于开垦新的耕地，基本农田的耕地恢复由当地政府负责开垦相应数量的耕地，进行基本农田及黑土地的保护。本项目占</w:t>
      </w:r>
      <w:r>
        <w:rPr>
          <w:rFonts w:hint="eastAsia" w:ascii="Times New Roman" w:hAnsi="Times New Roman" w:cs="Times New Roman"/>
          <w:color w:val="auto"/>
          <w:w w:val="99"/>
          <w:kern w:val="0"/>
          <w:sz w:val="24"/>
          <w:szCs w:val="24"/>
          <w:highlight w:val="none"/>
          <w:lang w:val="en-US" w:eastAsia="zh-CN" w:bidi="zh-CN"/>
        </w:rPr>
        <w:t>地类型为</w:t>
      </w:r>
      <w:r>
        <w:rPr>
          <w:rFonts w:hint="eastAsia" w:ascii="Times New Roman" w:hAnsi="Times New Roman" w:eastAsia="宋体" w:cs="Times New Roman"/>
          <w:color w:val="auto"/>
          <w:w w:val="99"/>
          <w:kern w:val="0"/>
          <w:sz w:val="24"/>
          <w:szCs w:val="24"/>
          <w:highlight w:val="none"/>
          <w:lang w:val="en-US" w:eastAsia="zh-CN" w:bidi="zh-CN"/>
        </w:rPr>
        <w:t>耕地（永久基本农田）</w:t>
      </w: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eastAsia="宋体" w:cs="Times New Roman"/>
          <w:color w:val="auto"/>
          <w:w w:val="99"/>
          <w:kern w:val="0"/>
          <w:sz w:val="24"/>
          <w:szCs w:val="24"/>
          <w:highlight w:val="none"/>
          <w:lang w:val="en-US" w:eastAsia="zh-CN" w:bidi="zh-CN"/>
        </w:rPr>
        <w:t>主要采取措施如下：</w:t>
      </w:r>
    </w:p>
    <w:p w14:paraId="531FD00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（1）本项目新建井场严格遵守《石油天然气工程项目用地控制指标》（</w:t>
      </w:r>
      <w:r>
        <w:rPr>
          <w:rFonts w:hint="eastAsia" w:ascii="Times New Roman" w:hAnsi="Times New Roman" w:eastAsia="宋体" w:cs="Times New Roman"/>
          <w:color w:val="auto"/>
          <w:w w:val="99"/>
          <w:kern w:val="0"/>
          <w:sz w:val="24"/>
          <w:szCs w:val="24"/>
          <w:highlight w:val="none"/>
          <w:lang w:val="en-US" w:eastAsia="zh-CN" w:bidi="zh-CN"/>
        </w:rPr>
        <w:t>建标</w:t>
      </w:r>
      <w:r>
        <w:rPr>
          <w:rFonts w:hint="default" w:ascii="Times New Roman" w:hAnsi="Times New Roman" w:eastAsia="宋体" w:cs="Times New Roman"/>
          <w:color w:val="auto"/>
          <w:w w:val="99"/>
          <w:kern w:val="0"/>
          <w:sz w:val="24"/>
          <w:szCs w:val="24"/>
          <w:highlight w:val="none"/>
          <w:lang w:val="en-US" w:eastAsia="zh-CN" w:bidi="zh-CN"/>
        </w:rPr>
        <w:t>[2016]14号）要求，尽可能减少占地。</w:t>
      </w:r>
    </w:p>
    <w:p w14:paraId="067CEF65">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本项目施工过程中，需遵守《大庆油（气）田建设工程用地规范》规定，严格控制施工作业面积，加强施工管理，尽量减少占地面积，并规范行车路线及施工人员行为，严禁随意践踏、碾压施工区范围外的黑土地，不准乱挖、乱采野生植物，确保不影响周边黑土地。</w:t>
      </w:r>
    </w:p>
    <w:p w14:paraId="6D09DC94">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（3）本项目在施工前</w:t>
      </w:r>
      <w:r>
        <w:rPr>
          <w:rFonts w:hint="eastAsia" w:ascii="Times New Roman" w:hAnsi="Times New Roman" w:eastAsia="宋体" w:cs="Times New Roman"/>
          <w:color w:val="auto"/>
          <w:w w:val="99"/>
          <w:kern w:val="0"/>
          <w:sz w:val="24"/>
          <w:szCs w:val="24"/>
          <w:highlight w:val="none"/>
          <w:lang w:val="en-US" w:eastAsia="zh-CN" w:bidi="zh-CN"/>
        </w:rPr>
        <w:t>由</w:t>
      </w:r>
      <w:r>
        <w:rPr>
          <w:rFonts w:hint="eastAsia" w:ascii="Times New Roman" w:hAnsi="Times New Roman" w:cs="Times New Roman"/>
          <w:color w:val="auto"/>
          <w:w w:val="99"/>
          <w:kern w:val="0"/>
          <w:sz w:val="24"/>
          <w:szCs w:val="24"/>
          <w:highlight w:val="none"/>
          <w:lang w:val="en-US" w:eastAsia="zh-CN" w:bidi="zh-CN"/>
        </w:rPr>
        <w:t>采气分公司</w:t>
      </w:r>
      <w:r>
        <w:rPr>
          <w:rFonts w:hint="default" w:ascii="Times New Roman" w:hAnsi="Times New Roman" w:eastAsia="宋体" w:cs="Times New Roman"/>
          <w:color w:val="auto"/>
          <w:w w:val="99"/>
          <w:kern w:val="0"/>
          <w:sz w:val="24"/>
          <w:szCs w:val="24"/>
          <w:highlight w:val="none"/>
          <w:lang w:val="en-US" w:eastAsia="zh-CN" w:bidi="zh-CN"/>
        </w:rPr>
        <w:t>编制表土剥离方案，施工过程中针对永久和临时占地，</w:t>
      </w:r>
      <w:r>
        <w:rPr>
          <w:rFonts w:hint="eastAsia" w:ascii="Times New Roman" w:hAnsi="Times New Roman" w:eastAsia="宋体" w:cs="Times New Roman"/>
          <w:color w:val="auto"/>
          <w:w w:val="99"/>
          <w:kern w:val="0"/>
          <w:sz w:val="24"/>
          <w:szCs w:val="24"/>
          <w:highlight w:val="none"/>
          <w:lang w:val="en-US" w:eastAsia="zh-CN" w:bidi="zh-CN"/>
        </w:rPr>
        <w:t>耕地剥离厚度0.3</w:t>
      </w:r>
      <w:r>
        <w:rPr>
          <w:rFonts w:hint="default" w:ascii="Times New Roman" w:hAnsi="Times New Roman" w:eastAsia="宋体" w:cs="Times New Roman"/>
          <w:color w:val="auto"/>
          <w:w w:val="99"/>
          <w:kern w:val="0"/>
          <w:sz w:val="24"/>
          <w:szCs w:val="24"/>
          <w:highlight w:val="none"/>
          <w:lang w:val="en-US" w:eastAsia="zh-CN" w:bidi="zh-CN"/>
        </w:rPr>
        <w:t>m，剥离表土</w:t>
      </w:r>
      <w:r>
        <w:rPr>
          <w:rFonts w:hint="eastAsia" w:ascii="Times New Roman" w:hAnsi="Times New Roman" w:cs="Times New Roman"/>
          <w:color w:val="auto"/>
          <w:w w:val="99"/>
          <w:kern w:val="0"/>
          <w:sz w:val="24"/>
          <w:szCs w:val="24"/>
          <w:highlight w:val="none"/>
          <w:lang w:val="en-US" w:eastAsia="zh-CN" w:bidi="zh-CN"/>
        </w:rPr>
        <w:t>6039</w:t>
      </w:r>
      <w:r>
        <w:rPr>
          <w:rFonts w:hint="default" w:ascii="Times New Roman" w:hAnsi="Times New Roman" w:eastAsia="宋体" w:cs="Times New Roman"/>
          <w:color w:val="auto"/>
          <w:w w:val="99"/>
          <w:kern w:val="0"/>
          <w:sz w:val="24"/>
          <w:szCs w:val="24"/>
          <w:highlight w:val="none"/>
          <w:lang w:val="en-US" w:eastAsia="zh-CN" w:bidi="zh-CN"/>
        </w:rPr>
        <w:t>m</w:t>
      </w:r>
      <w:r>
        <w:rPr>
          <w:rFonts w:hint="default" w:ascii="Times New Roman" w:hAnsi="Times New Roman" w:eastAsia="宋体" w:cs="Times New Roman"/>
          <w:color w:val="auto"/>
          <w:w w:val="99"/>
          <w:kern w:val="0"/>
          <w:sz w:val="24"/>
          <w:szCs w:val="24"/>
          <w:highlight w:val="none"/>
          <w:vertAlign w:val="superscript"/>
          <w:lang w:val="en-US" w:eastAsia="zh-CN" w:bidi="zh-CN"/>
        </w:rPr>
        <w:t>3</w:t>
      </w:r>
      <w:r>
        <w:rPr>
          <w:rFonts w:hint="default" w:ascii="Times New Roman" w:hAnsi="Times New Roman" w:eastAsia="宋体" w:cs="Times New Roman"/>
          <w:color w:val="auto"/>
          <w:w w:val="99"/>
          <w:kern w:val="0"/>
          <w:sz w:val="24"/>
          <w:szCs w:val="24"/>
          <w:highlight w:val="none"/>
          <w:lang w:val="en-US" w:eastAsia="zh-CN" w:bidi="zh-CN"/>
        </w:rPr>
        <w:t>堆放在</w:t>
      </w:r>
      <w:r>
        <w:rPr>
          <w:rFonts w:hint="eastAsia" w:ascii="Times New Roman" w:hAnsi="Times New Roman" w:cs="Times New Roman"/>
          <w:color w:val="auto"/>
          <w:w w:val="99"/>
          <w:kern w:val="0"/>
          <w:sz w:val="24"/>
          <w:szCs w:val="24"/>
          <w:highlight w:val="none"/>
          <w:lang w:val="en-US" w:eastAsia="zh-CN" w:bidi="zh-CN"/>
        </w:rPr>
        <w:t>临时占地</w:t>
      </w:r>
      <w:r>
        <w:rPr>
          <w:rFonts w:hint="default" w:ascii="Times New Roman" w:hAnsi="Times New Roman" w:eastAsia="宋体" w:cs="Times New Roman"/>
          <w:color w:val="auto"/>
          <w:w w:val="99"/>
          <w:kern w:val="0"/>
          <w:sz w:val="24"/>
          <w:szCs w:val="24"/>
          <w:highlight w:val="none"/>
          <w:lang w:val="en-US" w:eastAsia="zh-CN" w:bidi="zh-CN"/>
        </w:rPr>
        <w:t>，堆放高度约为1.2m，加盖苫布。施工结束后，永久占地剥离的表土用于周围区域土地复垦、土壤治理等用途。</w:t>
      </w:r>
    </w:p>
    <w:p w14:paraId="6DB5DDA6">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6.1.6.6水土流失保护措施</w:t>
      </w:r>
    </w:p>
    <w:p w14:paraId="709B0512">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bCs/>
          <w:color w:val="auto"/>
          <w:w w:val="99"/>
          <w:sz w:val="24"/>
          <w:szCs w:val="24"/>
          <w:highlight w:val="none"/>
        </w:rPr>
        <w:t>根据《大庆市水土保持规划》（2015～2030年）、《</w:t>
      </w:r>
      <w:r>
        <w:rPr>
          <w:rFonts w:hint="eastAsia" w:ascii="Times New Roman" w:hAnsi="Times New Roman" w:eastAsia="宋体"/>
          <w:bCs/>
          <w:color w:val="auto"/>
          <w:w w:val="99"/>
          <w:sz w:val="24"/>
          <w:szCs w:val="24"/>
          <w:highlight w:val="none"/>
          <w:lang w:val="en-US" w:eastAsia="zh-CN"/>
        </w:rPr>
        <w:t>绥化市</w:t>
      </w:r>
      <w:r>
        <w:rPr>
          <w:rFonts w:ascii="Times New Roman" w:hAnsi="Times New Roman" w:eastAsia="宋体"/>
          <w:bCs/>
          <w:color w:val="auto"/>
          <w:w w:val="99"/>
          <w:sz w:val="24"/>
          <w:szCs w:val="24"/>
          <w:highlight w:val="none"/>
        </w:rPr>
        <w:t>水土保持规划》（2020～2030年），本项目所在</w:t>
      </w:r>
      <w:r>
        <w:rPr>
          <w:rFonts w:hint="eastAsia" w:ascii="Times New Roman" w:hAnsi="Times New Roman" w:eastAsia="宋体"/>
          <w:bCs/>
          <w:color w:val="auto"/>
          <w:w w:val="99"/>
          <w:sz w:val="24"/>
          <w:szCs w:val="24"/>
          <w:highlight w:val="none"/>
          <w:lang w:val="en-US" w:eastAsia="zh-CN"/>
        </w:rPr>
        <w:t>地不</w:t>
      </w:r>
      <w:r>
        <w:rPr>
          <w:rFonts w:ascii="Times New Roman" w:hAnsi="Times New Roman" w:eastAsia="宋体"/>
          <w:bCs/>
          <w:color w:val="auto"/>
          <w:w w:val="99"/>
          <w:sz w:val="24"/>
          <w:szCs w:val="24"/>
          <w:highlight w:val="none"/>
        </w:rPr>
        <w:t>属于水土流失重点治理区</w:t>
      </w:r>
      <w:r>
        <w:rPr>
          <w:rFonts w:hint="eastAsia" w:ascii="Times New Roman" w:hAnsi="Times New Roman" w:eastAsia="宋体"/>
          <w:bCs/>
          <w:color w:val="auto"/>
          <w:w w:val="99"/>
          <w:sz w:val="24"/>
          <w:szCs w:val="24"/>
          <w:highlight w:val="none"/>
          <w:lang w:val="en-US" w:eastAsia="zh-CN"/>
        </w:rPr>
        <w:t>及重点预防区</w:t>
      </w:r>
      <w:r>
        <w:rPr>
          <w:rFonts w:ascii="Times New Roman" w:hAnsi="Times New Roman" w:eastAsia="宋体"/>
          <w:bCs/>
          <w:color w:val="auto"/>
          <w:w w:val="99"/>
          <w:sz w:val="24"/>
          <w:szCs w:val="24"/>
          <w:highlight w:val="none"/>
        </w:rPr>
        <w:t>。</w:t>
      </w:r>
      <w:r>
        <w:rPr>
          <w:rFonts w:ascii="Times New Roman" w:hAnsi="Times New Roman" w:eastAsia="宋体"/>
          <w:color w:val="auto"/>
          <w:w w:val="99"/>
          <w:sz w:val="24"/>
          <w:szCs w:val="24"/>
          <w:highlight w:val="none"/>
        </w:rPr>
        <w:t>结合工程实际和项目区水土流失特点，因地制宜，因害设防，提出总体防治思路，明确综合防治措施体系，工程措施、植物措施以及临时措施有机结合。主要措施如下：</w:t>
      </w:r>
    </w:p>
    <w:p w14:paraId="75050AEF">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（1）工程防治措施</w:t>
      </w:r>
    </w:p>
    <w:p w14:paraId="5D8166BD">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①</w:t>
      </w:r>
      <w:r>
        <w:rPr>
          <w:rFonts w:hint="default" w:ascii="Times New Roman" w:hAnsi="Times New Roman" w:eastAsia="宋体"/>
          <w:color w:val="auto"/>
          <w:w w:val="99"/>
          <w:sz w:val="24"/>
          <w:szCs w:val="24"/>
          <w:highlight w:val="none"/>
        </w:rPr>
        <w:t>井场</w:t>
      </w:r>
    </w:p>
    <w:p w14:paraId="484F3A80">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严格控制井场地面作业面积，按设计标准规定，严格控制施工作业带（开挖）面积，井场建设完成后，对井场周围由于施工产生的植被损坏进行恢复。</w:t>
      </w:r>
      <w:r>
        <w:rPr>
          <w:rFonts w:hint="default" w:ascii="Times New Roman" w:hAnsi="Times New Roman" w:eastAsia="宋体"/>
          <w:color w:val="auto"/>
          <w:w w:val="99"/>
          <w:sz w:val="24"/>
          <w:szCs w:val="24"/>
          <w:highlight w:val="none"/>
        </w:rPr>
        <w:t>井场予以平整、压实，以免发生水土流失。对于建设开挖、回填土石方要合理填埋、堆放、利用，并采取适当的压实平整措施。地面建设产生的弃方不得随处堆放，应合理利用。</w:t>
      </w:r>
    </w:p>
    <w:p w14:paraId="2284122D">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②</w:t>
      </w:r>
      <w:r>
        <w:rPr>
          <w:rFonts w:hint="default" w:ascii="Times New Roman" w:hAnsi="Times New Roman" w:eastAsia="宋体"/>
          <w:color w:val="auto"/>
          <w:w w:val="99"/>
          <w:sz w:val="24"/>
          <w:szCs w:val="24"/>
          <w:highlight w:val="none"/>
        </w:rPr>
        <w:t>道路</w:t>
      </w:r>
    </w:p>
    <w:p w14:paraId="6C6C7F30">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严格控制施工车辆、机械及施工人员活动范围，尽可能减少原有植被和土壤的破坏。油区道路施工作业面宽度控制在永久占地范围内；新建道路应在推平后加以机械碾压压实，如遇水土流失较严重区域，应在道路一侧开挖简易土质排水沟。</w:t>
      </w:r>
    </w:p>
    <w:p w14:paraId="3FB9FB60">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施工期尽量利用现有公路和已有便道行车，避免造成新的裸露地表；执行“无捷径”原则，规范车辆行驶路线，不在道路、井场以外的地方行驶和作业，禁止碾压和破坏地表植被。在油田道路地势较低，容易汇水形成径流冲刷的路段，设置钢筋砼板涵，以保证道路两侧洪沟的畅通。生产期及时作好道路泄洪桥涵洞的疏通、维修工作，保证各类设施的泄洪能力。</w:t>
      </w:r>
    </w:p>
    <w:p w14:paraId="5CED6019">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③</w:t>
      </w:r>
      <w:r>
        <w:rPr>
          <w:rFonts w:hint="default" w:ascii="Times New Roman" w:hAnsi="Times New Roman" w:eastAsia="宋体"/>
          <w:color w:val="auto"/>
          <w:w w:val="99"/>
          <w:sz w:val="24"/>
          <w:szCs w:val="24"/>
          <w:highlight w:val="none"/>
        </w:rPr>
        <w:t>管线</w:t>
      </w:r>
    </w:p>
    <w:p w14:paraId="76239EFC">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管线敷设施工宽度控制在设计标准范围内，并尽量沿道路纵向平行布设，以减少地表植被破坏，减少裸地和土方的暴露面积。管线敷设地表开挖施工时，对管沟区土壤，做到分层开挖，生熟土分开堆放，分层循序回填压实，以保护植被生长层，降低对土壤养分的影响，使土壤尽快恢复生产力，同时减少水土流失。</w:t>
      </w:r>
    </w:p>
    <w:p w14:paraId="198C9133">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管道工程施工时，要特别注意保护原始地表与天然植被，应划定施工活动范围，严格控制和管理车辆及重型机械的运行范围，所有车辆采用“一”字型作业法，走同一车辙，避免加行开辟新路。管沟挖、填方作业应尽量做到互补平衡，以免造成弃土方堆积和过多借土，增加新的水土流失。管沟回填应按层回填，以利于施工带土壤和植被的尽早恢复。回填后应予以平整、压实，以免发生水土流失。对高出地面部分做出水土保持要求，要求高出地面部分回填土按梯形堆放于管线上部，堆放后人工进行修整、拍实。项目区低洼地段，降雨季节施工的应先建好防洪、导流和泄洪设施后开工，以防洪水冲毁工程、机械，造成不必要的损失。</w:t>
      </w:r>
    </w:p>
    <w:p w14:paraId="40AB1D81">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宋体" w:hAnsi="宋体" w:eastAsia="宋体" w:cs="宋体"/>
          <w:color w:val="auto"/>
          <w:w w:val="99"/>
          <w:sz w:val="24"/>
          <w:szCs w:val="24"/>
          <w:highlight w:val="none"/>
          <w:shd w:val="clear" w:color="auto" w:fill="FFFFFF"/>
        </w:rPr>
        <w:t>④</w:t>
      </w:r>
      <w:r>
        <w:rPr>
          <w:rFonts w:hint="default" w:ascii="Times New Roman" w:hAnsi="Times New Roman" w:eastAsia="宋体"/>
          <w:color w:val="auto"/>
          <w:w w:val="99"/>
          <w:sz w:val="24"/>
          <w:szCs w:val="24"/>
          <w:highlight w:val="none"/>
        </w:rPr>
        <w:t>生物防治措施</w:t>
      </w:r>
    </w:p>
    <w:p w14:paraId="7F97BEBE">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采取工程、林草、封育治理和耕作等措施，进行水、田、林、草、路统一规划、综合治理，增强防洪排涝、抗御干旱等自然灾害的能力。本项目水土保持生物措施主要根据油</w:t>
      </w:r>
      <w:r>
        <w:rPr>
          <w:rFonts w:hint="eastAsia" w:ascii="Times New Roman" w:hAnsi="Times New Roman" w:eastAsia="宋体"/>
          <w:color w:val="auto"/>
          <w:w w:val="99"/>
          <w:sz w:val="24"/>
          <w:szCs w:val="24"/>
          <w:highlight w:val="none"/>
          <w:lang w:val="en-US" w:eastAsia="zh-CN"/>
        </w:rPr>
        <w:t>气</w:t>
      </w:r>
      <w:r>
        <w:rPr>
          <w:rFonts w:hint="default" w:ascii="Times New Roman" w:hAnsi="Times New Roman" w:eastAsia="宋体"/>
          <w:color w:val="auto"/>
          <w:w w:val="99"/>
          <w:sz w:val="24"/>
          <w:szCs w:val="24"/>
          <w:highlight w:val="none"/>
        </w:rPr>
        <w:t>田地面植被情况，做好原有植被恢复工作和人工绿化工作，最大程度的降低因本项目施工建设和生产运行而新增的水土流失量，保护当地出现退化现象的草原生态系统，降低人为因素导致当地土壤盐碱化的趋势，尽量改善当地的生态环境。</w:t>
      </w:r>
    </w:p>
    <w:p w14:paraId="7B7D79E7">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（2）管理措施</w:t>
      </w:r>
    </w:p>
    <w:p w14:paraId="17BA8EED">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因地制宜选择施工季节，尽量避开植被生长季节、农作物耕种季节，减少损失，同时避开大风及强降水季节。施工期间应划定施工活动范围，严格控制和管理运输车辆、重型机械设备作业范围，以及施工人员的活动范围，由专人负责管理，减少施工作业对周围土壤和植被的破坏范围和程度。</w:t>
      </w:r>
    </w:p>
    <w:p w14:paraId="56EEBF4B">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本项目施工前应剥离永久占地及临时占地内的表土，耕地剥离厚度0.3m</w:t>
      </w:r>
      <w:r>
        <w:rPr>
          <w:rFonts w:hint="eastAsia" w:ascii="Times New Roman" w:hAnsi="Times New Roman" w:eastAsia="宋体"/>
          <w:color w:val="auto"/>
          <w:w w:val="99"/>
          <w:sz w:val="24"/>
          <w:szCs w:val="24"/>
          <w:highlight w:val="none"/>
          <w:lang w:eastAsia="zh-CN"/>
        </w:rPr>
        <w:t>，</w:t>
      </w:r>
      <w:r>
        <w:rPr>
          <w:rFonts w:hint="default" w:ascii="Times New Roman" w:hAnsi="Times New Roman" w:eastAsia="宋体"/>
          <w:color w:val="auto"/>
          <w:w w:val="99"/>
          <w:sz w:val="24"/>
          <w:szCs w:val="24"/>
          <w:highlight w:val="none"/>
        </w:rPr>
        <w:t>剥离的表土暂存于施工井场的表土剥离临时堆放区，并采取苫布遮盖，表土剥离临时堆放区周围设置排水沟等措施防止水土流失，并定期采取洒水抑尘措施，施工结束后，永久占地剥离表土用于周围区域土地复垦、土壤治理等用途，临时占地剥离的表土在施工结束后及时用于回填，分层回填压实，保护有耕作能力种植价值的表层土壤，并对临时占地进行深松深耕复垦，恢复地表植被。</w:t>
      </w:r>
    </w:p>
    <w:p w14:paraId="6B09E540">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ascii="Times New Roman" w:hAnsi="Times New Roman" w:eastAsia="宋体"/>
          <w:color w:val="auto"/>
          <w:w w:val="99"/>
          <w:sz w:val="24"/>
          <w:szCs w:val="24"/>
          <w:highlight w:val="none"/>
        </w:rPr>
        <w:t>严禁在大风、大雨天气下施工，特别是管沟开挖、管道回填作业等。</w:t>
      </w:r>
      <w:r>
        <w:rPr>
          <w:rFonts w:hint="default" w:ascii="Times New Roman" w:hAnsi="Times New Roman" w:eastAsia="宋体"/>
          <w:color w:val="auto"/>
          <w:w w:val="99"/>
          <w:sz w:val="24"/>
          <w:szCs w:val="24"/>
          <w:highlight w:val="none"/>
        </w:rPr>
        <w:t>在便道出入口，树立保护耕地的警示牌，以提醒施工作业人员，减少人员随意践踏造成的水土流失。严禁开发建设施工材料乱堆乱放，划定适宜的堆料场，以防对植物破坏范围的扩大，增加裸地面积而新增的水土流失。</w:t>
      </w:r>
    </w:p>
    <w:p w14:paraId="75ACA934">
      <w:pPr>
        <w:pStyle w:val="153"/>
        <w:widowControl w:val="0"/>
        <w:spacing w:line="440" w:lineRule="exact"/>
        <w:ind w:firstLine="0" w:firstLineChars="0"/>
        <w:jc w:val="both"/>
        <w:outlineLvl w:val="3"/>
        <w:rPr>
          <w:rFonts w:ascii="Times New Roman" w:hAnsi="Times New Roman"/>
          <w:color w:val="auto"/>
          <w:w w:val="99"/>
          <w:highlight w:val="none"/>
        </w:rPr>
      </w:pPr>
      <w:r>
        <w:rPr>
          <w:rFonts w:ascii="Times New Roman" w:hAnsi="Times New Roman" w:eastAsiaTheme="minorEastAsia"/>
          <w:b/>
          <w:color w:val="auto"/>
          <w:w w:val="99"/>
          <w:highlight w:val="none"/>
        </w:rPr>
        <w:t>6.1.6.</w:t>
      </w:r>
      <w:r>
        <w:rPr>
          <w:rFonts w:hint="eastAsia" w:ascii="Times New Roman" w:hAnsi="Times New Roman" w:eastAsiaTheme="minorEastAsia"/>
          <w:b/>
          <w:color w:val="auto"/>
          <w:w w:val="99"/>
          <w:highlight w:val="none"/>
          <w:lang w:val="en-US" w:eastAsia="zh-CN"/>
        </w:rPr>
        <w:t>7</w:t>
      </w:r>
      <w:r>
        <w:rPr>
          <w:rFonts w:ascii="Times New Roman" w:hAnsi="Times New Roman" w:eastAsiaTheme="minorEastAsia"/>
          <w:b/>
          <w:color w:val="auto"/>
          <w:w w:val="99"/>
          <w:highlight w:val="none"/>
        </w:rPr>
        <w:t>防沙治沙保护措施</w:t>
      </w:r>
    </w:p>
    <w:p w14:paraId="7BE431E3">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为减轻植被破坏和农田生态系统受工程影响可能导致的沙化现象，防患于未然，建设单位应采取以下措施进行控制：</w:t>
      </w:r>
    </w:p>
    <w:p w14:paraId="7C5AD75C">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（1）做好施工期开挖土方临时堆存的水土保持措施，确保土方水土流失得到有效控制。对开挖井场造成植被破坏或地表裸露的，必须采取有效的修复措施，所有生态措施应在井场投运半年内完成。</w:t>
      </w:r>
    </w:p>
    <w:p w14:paraId="4404D50A">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2）管道采用沟埋敷设，施工结束后及时有效地对占地区域土地进行平整，并压实，利于植被自然恢复。井场临时占地主要为设备放置地，在设备放置时尽量不破坏原有地貌，施工结束后及时对现场进行清理，对破坏的土地进行平整并压实，利于植被自然恢复。</w:t>
      </w:r>
    </w:p>
    <w:p w14:paraId="086DBAC6">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（3）在施工活动结束后，要立即对施工现场进行回填平整，形成新的合适坡度，并尽可能覆土压实，基本程序是回填－平整－覆土－压实。工程回填物应首先考虑弃土、弃石和弃渣，并力求做到“挖填平衡”。</w:t>
      </w:r>
    </w:p>
    <w:p w14:paraId="74A3051C">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（4）施工时要特别注意保护原始地表与天然植被，划定施工活动范围，严格控制和管理车辆及重型机械的运行范围，所有车辆采用“一”字型作业法，避免并行开辟新路，以减少风蚀沙化活动的范围。</w:t>
      </w:r>
    </w:p>
    <w:p w14:paraId="2D07F271">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（5）施工作业避免在大风天施工。</w:t>
      </w:r>
    </w:p>
    <w:p w14:paraId="24ECA8DA">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（6）路基边坡采取种草措施护坡固土，维护路基稳定和道路安全运行。</w:t>
      </w:r>
    </w:p>
    <w:p w14:paraId="261677D5">
      <w:pPr>
        <w:pStyle w:val="153"/>
        <w:widowControl w:val="0"/>
        <w:spacing w:line="440" w:lineRule="exact"/>
        <w:ind w:firstLine="0" w:firstLineChars="0"/>
        <w:jc w:val="both"/>
        <w:outlineLvl w:val="3"/>
        <w:rPr>
          <w:rFonts w:ascii="Times New Roman" w:hAnsi="Times New Roman"/>
          <w:color w:val="auto"/>
          <w:w w:val="99"/>
          <w:highlight w:val="none"/>
        </w:rPr>
      </w:pPr>
      <w:r>
        <w:rPr>
          <w:rFonts w:ascii="Times New Roman" w:hAnsi="Times New Roman" w:eastAsiaTheme="minorEastAsia"/>
          <w:b/>
          <w:color w:val="auto"/>
          <w:w w:val="99"/>
          <w:highlight w:val="none"/>
        </w:rPr>
        <w:t>6.1.6.</w:t>
      </w:r>
      <w:r>
        <w:rPr>
          <w:rFonts w:hint="eastAsia" w:ascii="Times New Roman" w:hAnsi="Times New Roman" w:eastAsiaTheme="minorEastAsia"/>
          <w:b/>
          <w:color w:val="auto"/>
          <w:w w:val="99"/>
          <w:highlight w:val="none"/>
          <w:lang w:val="en-US" w:eastAsia="zh-CN"/>
        </w:rPr>
        <w:t>8</w:t>
      </w:r>
      <w:r>
        <w:rPr>
          <w:rFonts w:ascii="Times New Roman" w:hAnsi="Times New Roman" w:eastAsiaTheme="minorEastAsia"/>
          <w:b/>
          <w:color w:val="auto"/>
          <w:w w:val="99"/>
          <w:highlight w:val="none"/>
        </w:rPr>
        <w:t>植被恢复措施及补偿措施</w:t>
      </w:r>
    </w:p>
    <w:p w14:paraId="46FFE88A">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建设单位在施工过程中，应严格执行</w:t>
      </w:r>
      <w:r>
        <w:rPr>
          <w:rFonts w:ascii="Times New Roman" w:hAnsi="Times New Roman" w:eastAsia="宋体"/>
          <w:iCs/>
          <w:color w:val="auto"/>
          <w:w w:val="99"/>
          <w:sz w:val="24"/>
          <w:szCs w:val="24"/>
          <w:highlight w:val="none"/>
        </w:rPr>
        <w:t>《中华人民共和国土地管理法》（主席令〔2019〕第32号〔2019年修正本〕）</w:t>
      </w:r>
      <w:r>
        <w:rPr>
          <w:rFonts w:hint="default" w:ascii="Times New Roman" w:hAnsi="Times New Roman" w:eastAsia="宋体"/>
          <w:color w:val="auto"/>
          <w:w w:val="99"/>
          <w:sz w:val="24"/>
          <w:szCs w:val="24"/>
          <w:highlight w:val="none"/>
        </w:rPr>
        <w:t>、《石油天然气工程项目用地控制指标》</w:t>
      </w:r>
      <w:r>
        <w:rPr>
          <w:rFonts w:ascii="Times New Roman" w:hAnsi="Times New Roman" w:eastAsia="宋体"/>
          <w:color w:val="auto"/>
          <w:w w:val="99"/>
          <w:sz w:val="24"/>
          <w:szCs w:val="24"/>
          <w:highlight w:val="none"/>
        </w:rPr>
        <w:t>（TD/T 1099-2024）</w:t>
      </w:r>
      <w:r>
        <w:rPr>
          <w:rFonts w:hint="default" w:ascii="Times New Roman" w:hAnsi="Times New Roman" w:eastAsia="宋体"/>
          <w:color w:val="auto"/>
          <w:w w:val="99"/>
          <w:sz w:val="24"/>
          <w:szCs w:val="24"/>
          <w:highlight w:val="none"/>
        </w:rPr>
        <w:t>的相关规定，切实采取有效的保护措施，对生态环境进行正确的保护，并进行补偿和恢复。</w:t>
      </w:r>
    </w:p>
    <w:p w14:paraId="6288DEE1">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（1）植被占用补偿</w:t>
      </w:r>
    </w:p>
    <w:p w14:paraId="37DB5B65">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按照国家“水土保持法”要求，凡是占用和破坏植被的单位或个人均应向水土保持主管部门缴纳一定的水土保持费用。国家为了加大水土保持工作力度，对水土保持费不断进行了调整，建设单位应按标准向水土保持主管部门缴纳水保费用。</w:t>
      </w:r>
    </w:p>
    <w:p w14:paraId="754DFC9E">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（2）耕地复垦补偿</w:t>
      </w:r>
    </w:p>
    <w:p w14:paraId="4BE12BD0">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本项目将临时占用耕地面积</w:t>
      </w:r>
      <w:r>
        <w:rPr>
          <w:rFonts w:hint="eastAsia" w:ascii="Times New Roman" w:hAnsi="Times New Roman" w:eastAsia="宋体"/>
          <w:color w:val="auto"/>
          <w:w w:val="99"/>
          <w:sz w:val="24"/>
          <w:szCs w:val="24"/>
          <w:highlight w:val="none"/>
          <w:lang w:val="en-US" w:eastAsia="zh-CN"/>
        </w:rPr>
        <w:t>1.9229</w:t>
      </w:r>
      <w:r>
        <w:rPr>
          <w:rFonts w:hint="default" w:ascii="Times New Roman" w:hAnsi="Times New Roman" w:eastAsia="宋体"/>
          <w:color w:val="auto"/>
          <w:w w:val="99"/>
          <w:sz w:val="24"/>
          <w:szCs w:val="24"/>
          <w:highlight w:val="none"/>
        </w:rPr>
        <w:t>hm</w:t>
      </w:r>
      <w:r>
        <w:rPr>
          <w:rFonts w:hint="default" w:ascii="Times New Roman" w:hAnsi="Times New Roman" w:eastAsia="宋体"/>
          <w:color w:val="auto"/>
          <w:w w:val="99"/>
          <w:sz w:val="24"/>
          <w:szCs w:val="24"/>
          <w:highlight w:val="none"/>
          <w:vertAlign w:val="superscript"/>
        </w:rPr>
        <w:t>2</w:t>
      </w:r>
      <w:r>
        <w:rPr>
          <w:rFonts w:hint="default" w:ascii="Times New Roman" w:hAnsi="Times New Roman" w:eastAsia="宋体"/>
          <w:color w:val="auto"/>
          <w:w w:val="99"/>
          <w:sz w:val="24"/>
          <w:szCs w:val="24"/>
          <w:highlight w:val="none"/>
        </w:rPr>
        <w:t>，即需要复垦的耕地面积。由于在征地费用中已经体现了后期的复垦费用，施工结束后将由农民自行复垦，故不再计算复垦补偿费用。</w:t>
      </w:r>
    </w:p>
    <w:p w14:paraId="185AB27E">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根据对当地乡镇政府调查，本区域但仍有5～10%的机动农田可以调剂，按“占一开一，占补平衡”的原则，油</w:t>
      </w:r>
      <w:r>
        <w:rPr>
          <w:rFonts w:hint="eastAsia" w:ascii="Times New Roman" w:hAnsi="Times New Roman" w:eastAsia="宋体"/>
          <w:color w:val="auto"/>
          <w:w w:val="99"/>
          <w:sz w:val="24"/>
          <w:szCs w:val="24"/>
          <w:highlight w:val="none"/>
          <w:lang w:val="en-US" w:eastAsia="zh-CN"/>
        </w:rPr>
        <w:t>气</w:t>
      </w:r>
      <w:r>
        <w:rPr>
          <w:rFonts w:hint="default" w:ascii="Times New Roman" w:hAnsi="Times New Roman" w:eastAsia="宋体"/>
          <w:color w:val="auto"/>
          <w:w w:val="99"/>
          <w:sz w:val="24"/>
          <w:szCs w:val="24"/>
          <w:highlight w:val="none"/>
        </w:rPr>
        <w:t>田开发占用的耕地可从机动耕地中进行补充，保证区域内耕地总数不降低。</w:t>
      </w:r>
    </w:p>
    <w:p w14:paraId="6A7E3CC6">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（4）植被恢复措施</w:t>
      </w:r>
    </w:p>
    <w:p w14:paraId="07EE7031">
      <w:pPr>
        <w:pStyle w:val="104"/>
        <w:snapToGrid/>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施工结束后，及时恢复被破坏的地表形态。对</w:t>
      </w:r>
      <w:r>
        <w:rPr>
          <w:rFonts w:hint="eastAsia" w:ascii="Times New Roman" w:hAnsi="Times New Roman" w:eastAsia="宋体"/>
          <w:color w:val="auto"/>
          <w:w w:val="99"/>
          <w:sz w:val="24"/>
          <w:szCs w:val="24"/>
          <w:highlight w:val="none"/>
          <w:lang w:eastAsia="zh-CN"/>
        </w:rPr>
        <w:t>1.9229</w:t>
      </w:r>
      <w:r>
        <w:rPr>
          <w:rFonts w:hint="default" w:ascii="Times New Roman" w:hAnsi="Times New Roman" w:eastAsia="宋体"/>
          <w:color w:val="auto"/>
          <w:w w:val="99"/>
          <w:sz w:val="24"/>
          <w:szCs w:val="24"/>
          <w:highlight w:val="none"/>
        </w:rPr>
        <w:t>hm</w:t>
      </w:r>
      <w:r>
        <w:rPr>
          <w:rFonts w:hint="default" w:ascii="Times New Roman" w:hAnsi="Times New Roman" w:eastAsia="宋体"/>
          <w:color w:val="auto"/>
          <w:w w:val="99"/>
          <w:sz w:val="24"/>
          <w:szCs w:val="24"/>
          <w:highlight w:val="none"/>
          <w:vertAlign w:val="superscript"/>
        </w:rPr>
        <w:t>2</w:t>
      </w:r>
      <w:r>
        <w:rPr>
          <w:rFonts w:hint="default" w:ascii="Times New Roman" w:hAnsi="Times New Roman" w:eastAsia="宋体"/>
          <w:color w:val="auto"/>
          <w:w w:val="99"/>
          <w:sz w:val="24"/>
          <w:szCs w:val="24"/>
          <w:highlight w:val="none"/>
        </w:rPr>
        <w:t>临时占地进行表土留存，施工结束后进行回填，临时占用的耕地由农民自行复垦，临时占用的草地由施工单位恢复，确保恢复等质等量面积的耕地及草地。</w:t>
      </w:r>
    </w:p>
    <w:p w14:paraId="0D843868">
      <w:pPr>
        <w:pStyle w:val="153"/>
        <w:widowControl w:val="0"/>
        <w:spacing w:line="440" w:lineRule="exact"/>
        <w:ind w:firstLine="0" w:firstLineChars="0"/>
        <w:jc w:val="both"/>
        <w:outlineLvl w:val="3"/>
        <w:rPr>
          <w:rFonts w:ascii="Times New Roman" w:hAnsi="Times New Roman"/>
          <w:color w:val="auto"/>
          <w:w w:val="99"/>
          <w:highlight w:val="yellow"/>
        </w:rPr>
      </w:pPr>
      <w:bookmarkStart w:id="1087" w:name="_Toc77067752"/>
      <w:bookmarkStart w:id="1088" w:name="_Toc80971471"/>
      <w:bookmarkStart w:id="1089" w:name="_Toc76976341"/>
      <w:bookmarkStart w:id="1090" w:name="_Toc83209571"/>
      <w:bookmarkStart w:id="1091" w:name="_Toc78816554"/>
      <w:bookmarkStart w:id="1092" w:name="_Toc67860232"/>
      <w:bookmarkStart w:id="1093" w:name="_Toc70050279"/>
      <w:bookmarkStart w:id="1094" w:name="_Toc80588349"/>
      <w:bookmarkStart w:id="1095" w:name="_Toc186444383"/>
      <w:r>
        <w:rPr>
          <w:rFonts w:ascii="Times New Roman" w:hAnsi="Times New Roman" w:eastAsiaTheme="minorEastAsia"/>
          <w:b/>
          <w:color w:val="auto"/>
          <w:w w:val="99"/>
          <w:highlight w:val="yellow"/>
        </w:rPr>
        <w:t>6.1.6.</w:t>
      </w:r>
      <w:r>
        <w:rPr>
          <w:rFonts w:hint="eastAsia" w:ascii="Times New Roman" w:hAnsi="Times New Roman" w:eastAsiaTheme="minorEastAsia"/>
          <w:b/>
          <w:color w:val="auto"/>
          <w:w w:val="99"/>
          <w:highlight w:val="yellow"/>
          <w:lang w:val="en-US" w:eastAsia="zh-CN"/>
        </w:rPr>
        <w:t>9</w:t>
      </w:r>
      <w:r>
        <w:rPr>
          <w:rFonts w:ascii="Times New Roman" w:hAnsi="Times New Roman" w:eastAsiaTheme="minorEastAsia"/>
          <w:b/>
          <w:color w:val="auto"/>
          <w:w w:val="99"/>
          <w:highlight w:val="yellow"/>
        </w:rPr>
        <w:t>表土剥离方案</w:t>
      </w:r>
    </w:p>
    <w:p w14:paraId="5DC94FBE">
      <w:pPr>
        <w:widowControl w:val="0"/>
        <w:spacing w:line="440" w:lineRule="exact"/>
        <w:ind w:firstLine="474" w:firstLineChars="200"/>
        <w:jc w:val="both"/>
        <w:rPr>
          <w:rFonts w:hint="default" w:ascii="Times New Roman" w:hAnsi="Times New Roman" w:eastAsia="宋体" w:cs="Times New Roman"/>
          <w:color w:val="auto"/>
          <w:w w:val="99"/>
          <w:kern w:val="2"/>
          <w:sz w:val="24"/>
          <w:szCs w:val="24"/>
          <w:highlight w:val="yellow"/>
          <w:lang w:val="en-US" w:eastAsia="zh-CN" w:bidi="ar-SA"/>
        </w:rPr>
      </w:pPr>
      <w:r>
        <w:rPr>
          <w:rFonts w:hint="default" w:ascii="Times New Roman" w:hAnsi="Times New Roman" w:eastAsia="宋体" w:cs="Times New Roman"/>
          <w:color w:val="auto"/>
          <w:w w:val="99"/>
          <w:kern w:val="2"/>
          <w:sz w:val="24"/>
          <w:szCs w:val="24"/>
          <w:highlight w:val="yellow"/>
          <w:lang w:val="en-US" w:eastAsia="zh-CN" w:bidi="ar-SA"/>
        </w:rPr>
        <w:t>表土剥离方案由大庆油田有限公司</w:t>
      </w:r>
      <w:r>
        <w:rPr>
          <w:rFonts w:hint="eastAsia" w:ascii="Times New Roman" w:hAnsi="Times New Roman" w:cs="Times New Roman"/>
          <w:color w:val="auto"/>
          <w:w w:val="99"/>
          <w:kern w:val="2"/>
          <w:sz w:val="24"/>
          <w:szCs w:val="24"/>
          <w:highlight w:val="yellow"/>
          <w:lang w:val="en-US" w:eastAsia="zh-CN" w:bidi="ar-SA"/>
        </w:rPr>
        <w:t>采气分公司</w:t>
      </w:r>
      <w:r>
        <w:rPr>
          <w:rFonts w:hint="default" w:ascii="Times New Roman" w:hAnsi="Times New Roman" w:eastAsia="宋体" w:cs="Times New Roman"/>
          <w:color w:val="auto"/>
          <w:w w:val="99"/>
          <w:kern w:val="2"/>
          <w:sz w:val="24"/>
          <w:szCs w:val="24"/>
          <w:highlight w:val="yellow"/>
          <w:lang w:val="en-US" w:eastAsia="zh-CN" w:bidi="ar-SA"/>
        </w:rPr>
        <w:t>编制后报</w:t>
      </w:r>
      <w:r>
        <w:rPr>
          <w:rFonts w:hint="eastAsia" w:ascii="Times New Roman" w:hAnsi="Times New Roman" w:cs="Times New Roman"/>
          <w:color w:val="auto"/>
          <w:w w:val="99"/>
          <w:kern w:val="2"/>
          <w:sz w:val="24"/>
          <w:szCs w:val="24"/>
          <w:highlight w:val="yellow"/>
          <w:lang w:val="en-US" w:eastAsia="zh-CN" w:bidi="ar-SA"/>
        </w:rPr>
        <w:t>绥化</w:t>
      </w:r>
      <w:r>
        <w:rPr>
          <w:rFonts w:hint="default" w:ascii="Times New Roman" w:hAnsi="Times New Roman" w:eastAsia="宋体" w:cs="Times New Roman"/>
          <w:color w:val="auto"/>
          <w:w w:val="99"/>
          <w:kern w:val="2"/>
          <w:sz w:val="24"/>
          <w:szCs w:val="24"/>
          <w:highlight w:val="yellow"/>
          <w:lang w:val="en-US" w:eastAsia="zh-CN" w:bidi="ar-SA"/>
        </w:rPr>
        <w:t>市自然资源局备案。</w:t>
      </w:r>
    </w:p>
    <w:p w14:paraId="2474992B">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1、土壤剥离</w:t>
      </w:r>
    </w:p>
    <w:p w14:paraId="2824C09E">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（1）剥离范围及厚度</w:t>
      </w:r>
    </w:p>
    <w:p w14:paraId="24FE3781">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项目占地范围内</w:t>
      </w:r>
      <w:r>
        <w:rPr>
          <w:rFonts w:ascii="Times New Roman" w:hAnsi="Times New Roman" w:eastAsia="宋体"/>
          <w:color w:val="auto"/>
          <w:w w:val="99"/>
          <w:sz w:val="24"/>
          <w:szCs w:val="24"/>
          <w:highlight w:val="yellow"/>
        </w:rPr>
        <w:t>耕地剥离厚度0.3m，</w:t>
      </w:r>
      <w:r>
        <w:rPr>
          <w:rFonts w:hint="default" w:ascii="Times New Roman" w:hAnsi="Times New Roman" w:eastAsia="宋体"/>
          <w:color w:val="auto"/>
          <w:w w:val="99"/>
          <w:sz w:val="24"/>
          <w:szCs w:val="24"/>
          <w:highlight w:val="yellow"/>
        </w:rPr>
        <w:t>均为表土层。</w:t>
      </w:r>
    </w:p>
    <w:p w14:paraId="47A41BFE">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（2）工艺选择</w:t>
      </w:r>
    </w:p>
    <w:p w14:paraId="7DD2A7BA">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剥离工艺依据剥离区的地质地貌、交通运输情况以及未来不同表土利用方向进行选择。根据地形、土壤厚度、土壤均一性和作业方便等条件，将剥离区域划分出不同的施工区。</w:t>
      </w:r>
    </w:p>
    <w:p w14:paraId="15797D37">
      <w:pPr>
        <w:pStyle w:val="104"/>
        <w:snapToGrid/>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（3）机械选择</w:t>
      </w:r>
    </w:p>
    <w:p w14:paraId="70C55728">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根据耕作层土壤剥离利用工艺、耕作层土壤剥离利用区的地质地貌、交通运输情况、不同耕作层土壤剥离利用利用方向以及每台机组剥离面积及形状确定，选择合适的施工机械，减少对耕作层土壤结构的破坏，提高剥离效率。</w:t>
      </w:r>
    </w:p>
    <w:p w14:paraId="5DAD91DD">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（4）施工技术要求</w:t>
      </w:r>
    </w:p>
    <w:p w14:paraId="66C1C0B2">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ascii="宋体" w:hAnsi="宋体" w:eastAsia="宋体" w:cs="宋体"/>
          <w:color w:val="auto"/>
          <w:w w:val="99"/>
          <w:sz w:val="24"/>
          <w:szCs w:val="24"/>
          <w:highlight w:val="yellow"/>
        </w:rPr>
        <w:t>①</w:t>
      </w:r>
      <w:r>
        <w:rPr>
          <w:rFonts w:hint="default" w:ascii="Times New Roman" w:hAnsi="Times New Roman" w:eastAsia="宋体"/>
          <w:color w:val="auto"/>
          <w:w w:val="99"/>
          <w:sz w:val="24"/>
          <w:szCs w:val="24"/>
          <w:highlight w:val="yellow"/>
        </w:rPr>
        <w:t>选择土壤剥离时间。选择天气好且土壤含水量合适时进行剥离。</w:t>
      </w:r>
    </w:p>
    <w:p w14:paraId="320A5EB5">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ascii="宋体" w:hAnsi="宋体" w:eastAsia="宋体" w:cs="宋体"/>
          <w:color w:val="auto"/>
          <w:w w:val="99"/>
          <w:sz w:val="24"/>
          <w:szCs w:val="24"/>
          <w:highlight w:val="yellow"/>
        </w:rPr>
        <w:t>②</w:t>
      </w:r>
      <w:r>
        <w:rPr>
          <w:rFonts w:hint="default" w:ascii="Times New Roman" w:hAnsi="Times New Roman" w:eastAsia="宋体"/>
          <w:color w:val="auto"/>
          <w:w w:val="99"/>
          <w:sz w:val="24"/>
          <w:szCs w:val="24"/>
          <w:highlight w:val="yellow"/>
        </w:rPr>
        <w:t>清除异物。实施剥离前，清理、移除土层中或地表比较大的树根、石块、垃圾等异物。收集的表土不应含有垃圾杂物、硬黏土块或直径大于5cm的砾石。</w:t>
      </w:r>
    </w:p>
    <w:p w14:paraId="52E00AC3">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ascii="宋体" w:hAnsi="宋体" w:eastAsia="宋体" w:cs="宋体"/>
          <w:color w:val="auto"/>
          <w:w w:val="99"/>
          <w:sz w:val="24"/>
          <w:szCs w:val="24"/>
          <w:highlight w:val="yellow"/>
        </w:rPr>
        <w:t>③</w:t>
      </w:r>
      <w:r>
        <w:rPr>
          <w:rFonts w:hint="default" w:ascii="Times New Roman" w:hAnsi="Times New Roman" w:eastAsia="宋体"/>
          <w:color w:val="auto"/>
          <w:w w:val="99"/>
          <w:sz w:val="24"/>
          <w:szCs w:val="24"/>
          <w:highlight w:val="yellow"/>
        </w:rPr>
        <w:t>剥离。分单元进行土壤剥离，并详细记载不同剥离单元的土壤类型和剥离量。当天工作结束后，推土机尽量运行于已剥离完土壤的空地，自卸汽车不得在耕作层土壤尚未剥离的区域运行。</w:t>
      </w:r>
    </w:p>
    <w:p w14:paraId="7809BFD7">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ascii="宋体" w:hAnsi="宋体" w:eastAsia="宋体" w:cs="宋体"/>
          <w:color w:val="auto"/>
          <w:w w:val="99"/>
          <w:sz w:val="24"/>
          <w:szCs w:val="24"/>
          <w:highlight w:val="yellow"/>
        </w:rPr>
        <w:t>④</w:t>
      </w:r>
      <w:r>
        <w:rPr>
          <w:rFonts w:hint="default" w:ascii="Times New Roman" w:hAnsi="Times New Roman" w:eastAsia="宋体"/>
          <w:color w:val="auto"/>
          <w:w w:val="99"/>
          <w:sz w:val="24"/>
          <w:szCs w:val="24"/>
          <w:highlight w:val="yellow"/>
        </w:rPr>
        <w:t>注意事项。当剥离过程中发生较大强度降雨时，应立即停止剥离工作。在降雨停止后，待土壤含水量达到剥离要求时，再实施土壤剥离工作。因受降雨冲刷造成土壤结构严重破坏的表土面应清除。在每次开展土壤剥离之前，应采取措施，确保施工工作面无积水，土壤中含水量达到要求。剥离后的土壤应利用纸簿进行登记，详细载明运输车辆、剥离单元、储存区或回覆区、土壤类型、质地、土壤质量状况、数量等，并建立备查档案。</w:t>
      </w:r>
    </w:p>
    <w:p w14:paraId="2911959D">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2、土壤储存</w:t>
      </w:r>
    </w:p>
    <w:p w14:paraId="22A58147">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1）堆存区的要求。耕作层土壤以及腐殖质层土壤按土块分别单存单放。防止放牧、机器和车辆的进入，防止粉尘、盐碱的覆盖；地势较高，没有径流流入或流过堆土场地；防止主导风。在堆放场地的选择上，应当尽量避免水蚀、风蚀和各种人为损毁。</w:t>
      </w:r>
    </w:p>
    <w:p w14:paraId="425D4115">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（2）在储存区堆放土方时，应当分层放土，待上一层土摊平后再堆放下一层土。单层土堆放高度不大于1.</w:t>
      </w:r>
      <w:r>
        <w:rPr>
          <w:rFonts w:hint="eastAsia" w:ascii="Times New Roman" w:hAnsi="Times New Roman" w:eastAsia="宋体"/>
          <w:color w:val="auto"/>
          <w:w w:val="99"/>
          <w:sz w:val="24"/>
          <w:szCs w:val="24"/>
          <w:highlight w:val="yellow"/>
          <w:lang w:val="en-US" w:eastAsia="zh-CN"/>
        </w:rPr>
        <w:t>2</w:t>
      </w:r>
      <w:r>
        <w:rPr>
          <w:rFonts w:hint="default" w:ascii="Times New Roman" w:hAnsi="Times New Roman" w:eastAsia="宋体"/>
          <w:color w:val="auto"/>
          <w:w w:val="99"/>
          <w:sz w:val="24"/>
          <w:szCs w:val="24"/>
          <w:highlight w:val="yellow"/>
        </w:rPr>
        <w:t>m。在土方堆筑过程中，严格禁止施工机械对已堆放土方的碾压。</w:t>
      </w:r>
    </w:p>
    <w:p w14:paraId="0E9696A0">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（3）土壤含水过量时极易被压紧。为了保持土壤结构、避免土壤板结，应避免雨季剥离、搬运和堆存表土。另外，土壤湿度较大，不利于运输中的装车与排卸。</w:t>
      </w:r>
    </w:p>
    <w:p w14:paraId="421D435A">
      <w:pPr>
        <w:pStyle w:val="104"/>
        <w:snapToGrid/>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（4）顶层覆盖。土堆的顶部用苫布等进行遮盖，防止雨水淋溶。</w:t>
      </w:r>
    </w:p>
    <w:p w14:paraId="77ADBB9E">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3、土壤利用</w:t>
      </w:r>
    </w:p>
    <w:p w14:paraId="5F039A20">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根据《关于建设占用耕地耕作层土壤剥离利用工作的指导意见（试行）》（黑政办规〔2021〕18号）文件要求，剥离的土壤优先用于土地整治、高标准农田建设、工矿废弃地复垦、生态修复等项目，以及新开垦耕地、劣质地或者其他耕地的土壤改良等农业生产生活，富余土壤可以用于绿化。本工程临时占地剥离表层土全部回填施工作业带，临时占用的耕地及时进行土地复垦，临时占用的草地及时恢复地表植被。永久占地剥离表层土</w:t>
      </w:r>
      <w:r>
        <w:rPr>
          <w:rFonts w:ascii="Times New Roman" w:hAnsi="Times New Roman" w:eastAsia="宋体"/>
          <w:color w:val="auto"/>
          <w:w w:val="99"/>
          <w:sz w:val="24"/>
          <w:szCs w:val="24"/>
          <w:highlight w:val="yellow"/>
        </w:rPr>
        <w:t>剥离表土用于周围区域土地复垦、土壤治理等用途。</w:t>
      </w:r>
    </w:p>
    <w:p w14:paraId="283CB609">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4、生态环境监测和环境管理</w:t>
      </w:r>
    </w:p>
    <w:p w14:paraId="3C204D23">
      <w:pPr>
        <w:pStyle w:val="104"/>
        <w:spacing w:line="440" w:lineRule="exact"/>
        <w:ind w:left="0" w:firstLine="474" w:firstLineChars="200"/>
        <w:jc w:val="both"/>
        <w:rPr>
          <w:rFonts w:hint="default" w:ascii="Times New Roman" w:hAnsi="Times New Roman" w:eastAsia="宋体"/>
          <w:color w:val="auto"/>
          <w:w w:val="99"/>
          <w:sz w:val="24"/>
          <w:szCs w:val="24"/>
          <w:highlight w:val="yellow"/>
        </w:rPr>
      </w:pPr>
      <w:r>
        <w:rPr>
          <w:rFonts w:hint="default" w:ascii="Times New Roman" w:hAnsi="Times New Roman" w:eastAsia="宋体"/>
          <w:color w:val="auto"/>
          <w:w w:val="99"/>
          <w:sz w:val="24"/>
          <w:szCs w:val="24"/>
          <w:highlight w:val="yellow"/>
        </w:rPr>
        <w:t>根据《环境影响评价技术导则 生态影响》（HJ19-2022），本项目无需进行长期跟踪生态监测，要求施工期重点监测施工活动干扰下的植物群落变化、生境质量变化等，在项目施工结束后重点监测植被恢复情况。</w:t>
      </w:r>
    </w:p>
    <w:p w14:paraId="45404DCB">
      <w:pPr>
        <w:pStyle w:val="104"/>
        <w:spacing w:line="440" w:lineRule="exact"/>
        <w:ind w:left="0" w:firstLine="474" w:firstLineChars="200"/>
        <w:jc w:val="both"/>
        <w:rPr>
          <w:rFonts w:hint="default" w:ascii="Times New Roman" w:hAnsi="Times New Roman" w:eastAsia="宋体"/>
          <w:color w:val="auto"/>
          <w:w w:val="99"/>
          <w:sz w:val="24"/>
          <w:szCs w:val="24"/>
          <w:highlight w:val="yellow"/>
          <w:lang w:val="en-US" w:eastAsia="zh-CN"/>
        </w:rPr>
      </w:pPr>
      <w:r>
        <w:rPr>
          <w:rFonts w:hint="default" w:ascii="Times New Roman" w:hAnsi="Times New Roman" w:eastAsia="宋体"/>
          <w:color w:val="auto"/>
          <w:w w:val="99"/>
          <w:sz w:val="24"/>
          <w:szCs w:val="24"/>
          <w:highlight w:val="yellow"/>
          <w:lang w:val="en-US" w:eastAsia="zh-CN"/>
        </w:rPr>
        <w:t>通过采取上述生态保护措施，能够确保本项目对区域生态的破坏得到有效控制，不会对区域生态产生较大影响，生态保护措施可行。</w:t>
      </w:r>
    </w:p>
    <w:p w14:paraId="40F82129">
      <w:pPr>
        <w:pStyle w:val="7"/>
        <w:keepNext w:val="0"/>
        <w:keepLines w:val="0"/>
        <w:widowControl w:val="0"/>
        <w:spacing w:before="60" w:after="60"/>
        <w:jc w:val="both"/>
        <w:rPr>
          <w:rFonts w:eastAsia="宋体"/>
          <w:b/>
          <w:color w:val="auto"/>
          <w:w w:val="99"/>
          <w:kern w:val="2"/>
          <w:sz w:val="24"/>
          <w:szCs w:val="24"/>
          <w:highlight w:val="none"/>
        </w:rPr>
      </w:pPr>
      <w:r>
        <w:rPr>
          <w:rFonts w:eastAsia="宋体"/>
          <w:b/>
          <w:color w:val="auto"/>
          <w:w w:val="99"/>
          <w:kern w:val="2"/>
          <w:sz w:val="24"/>
          <w:szCs w:val="24"/>
          <w:highlight w:val="none"/>
        </w:rPr>
        <w:t>6.1.7环境风险防范措施</w:t>
      </w:r>
      <w:bookmarkEnd w:id="1087"/>
      <w:bookmarkEnd w:id="1088"/>
      <w:bookmarkEnd w:id="1089"/>
      <w:bookmarkEnd w:id="1090"/>
      <w:bookmarkEnd w:id="1091"/>
      <w:bookmarkEnd w:id="1092"/>
      <w:bookmarkEnd w:id="1093"/>
      <w:bookmarkEnd w:id="1094"/>
      <w:bookmarkEnd w:id="1095"/>
    </w:p>
    <w:p w14:paraId="11CFE0A5">
      <w:pPr>
        <w:pStyle w:val="153"/>
        <w:widowControl w:val="0"/>
        <w:spacing w:line="440" w:lineRule="exact"/>
        <w:ind w:firstLine="0" w:firstLineChars="0"/>
        <w:jc w:val="both"/>
        <w:outlineLvl w:val="3"/>
        <w:rPr>
          <w:rFonts w:hint="eastAsia" w:ascii="Times New Roman" w:hAnsi="Times New Roman" w:eastAsiaTheme="minorEastAsia"/>
          <w:b/>
          <w:color w:val="auto"/>
          <w:w w:val="99"/>
          <w:highlight w:val="none"/>
          <w:lang w:eastAsia="zh-CN"/>
        </w:rPr>
      </w:pPr>
      <w:r>
        <w:rPr>
          <w:rFonts w:ascii="Times New Roman" w:hAnsi="Times New Roman" w:eastAsiaTheme="minorEastAsia"/>
          <w:b/>
          <w:color w:val="auto"/>
          <w:w w:val="99"/>
          <w:highlight w:val="none"/>
        </w:rPr>
        <w:t>6.1.7.</w:t>
      </w:r>
      <w:r>
        <w:rPr>
          <w:rFonts w:hint="eastAsia" w:ascii="Times New Roman" w:hAnsi="Times New Roman" w:eastAsiaTheme="minorEastAsia"/>
          <w:b/>
          <w:color w:val="auto"/>
          <w:w w:val="99"/>
          <w:highlight w:val="none"/>
          <w:lang w:val="en-US" w:eastAsia="zh-CN"/>
        </w:rPr>
        <w:t>1</w:t>
      </w:r>
      <w:r>
        <w:rPr>
          <w:rFonts w:ascii="Times New Roman" w:hAnsi="Times New Roman" w:eastAsiaTheme="minorEastAsia"/>
          <w:b/>
          <w:color w:val="auto"/>
          <w:w w:val="99"/>
          <w:highlight w:val="none"/>
        </w:rPr>
        <w:t>事故应急</w:t>
      </w:r>
      <w:r>
        <w:rPr>
          <w:rFonts w:hint="eastAsia" w:ascii="Times New Roman" w:hAnsi="Times New Roman" w:eastAsiaTheme="minorEastAsia"/>
          <w:b/>
          <w:color w:val="auto"/>
          <w:w w:val="99"/>
          <w:highlight w:val="none"/>
          <w:lang w:val="en-US" w:eastAsia="zh-CN"/>
        </w:rPr>
        <w:t>措施</w:t>
      </w:r>
    </w:p>
    <w:p w14:paraId="31FB38F0">
      <w:pPr>
        <w:pStyle w:val="153"/>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outlineLvl w:val="9"/>
        <w:rPr>
          <w:rFonts w:hint="eastAsia" w:ascii="Times New Roman" w:hAnsi="Times New Roman" w:eastAsia="宋体" w:cs="Times New Roman"/>
          <w:color w:val="auto"/>
          <w:w w:val="99"/>
          <w:kern w:val="2"/>
          <w:sz w:val="24"/>
          <w:szCs w:val="24"/>
          <w:highlight w:val="none"/>
          <w:lang w:val="en-US" w:eastAsia="zh-CN" w:bidi="ar-SA"/>
        </w:rPr>
      </w:pPr>
      <w:r>
        <w:rPr>
          <w:rFonts w:hint="eastAsia" w:ascii="Times New Roman" w:hAnsi="Times New Roman" w:eastAsia="宋体" w:cs="Times New Roman"/>
          <w:color w:val="auto"/>
          <w:w w:val="99"/>
          <w:kern w:val="2"/>
          <w:sz w:val="24"/>
          <w:szCs w:val="24"/>
          <w:highlight w:val="none"/>
          <w:lang w:val="en-US" w:eastAsia="zh-CN" w:bidi="ar-SA"/>
        </w:rPr>
        <w:t>各种事故无论是人为因素引起的，还是自然因素所致，都可以采取必要的预防措施，以减少事故的发生或使事故造成的危害降低到最低程度。对于人为因素引起的事故可以通过提高人员技术素质、加强责任心及采取技术手段和管理手段等方法来避免；对于自然因素引起的事故主要靠采取各种措施来预防。本工程施工期主要为土建施工，不涉及环境风险事故。</w:t>
      </w:r>
    </w:p>
    <w:p w14:paraId="349FFFC3">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（1）井场天然气泄漏风险防范措施</w:t>
      </w:r>
    </w:p>
    <w:p w14:paraId="709E804A">
      <w:pPr>
        <w:pStyle w:val="46"/>
        <w:spacing w:after="0" w:line="440" w:lineRule="exact"/>
        <w:ind w:left="0" w:leftChars="0" w:firstLine="474" w:firstLineChars="200"/>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①采气井场安装井口安全自动保护装置、井口减压设施和监测设施、报警系统，可保证超压时多余天然气能通过放空系统热放空。</w:t>
      </w:r>
    </w:p>
    <w:p w14:paraId="320A0118">
      <w:pPr>
        <w:pStyle w:val="46"/>
        <w:spacing w:after="0" w:line="440" w:lineRule="exact"/>
        <w:ind w:left="0" w:leftChars="0" w:firstLine="474" w:firstLineChars="200"/>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②加强井场、管线安全巡检频次，并重点检查管道接口、阀门是否发生腐蚀、损坏。</w:t>
      </w:r>
    </w:p>
    <w:p w14:paraId="0905BEE6">
      <w:pPr>
        <w:pStyle w:val="46"/>
        <w:spacing w:after="0" w:line="440" w:lineRule="exact"/>
        <w:ind w:left="0" w:leftChars="0" w:firstLine="474" w:firstLineChars="200"/>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③井场发生天然气泄漏后，立即停止采气作业，设立警戒区，随事故发展情况及时扩大范围；通知调度室关闭配套管线的阀组。组织专家及技术人员，开展事故分析，查找事故原因。</w:t>
      </w:r>
    </w:p>
    <w:p w14:paraId="4A006181">
      <w:pPr>
        <w:pStyle w:val="46"/>
        <w:spacing w:after="0" w:line="440" w:lineRule="exact"/>
        <w:ind w:left="0" w:leftChars="0" w:firstLine="474" w:firstLineChars="200"/>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④优化管道巡检人员技术水平，细化巡检范围和职责，确保巡检通讯畅通，同时加强井场围墙的保护，防止第三方破坏引发事故。</w:t>
      </w:r>
    </w:p>
    <w:p w14:paraId="385A5BFD">
      <w:pPr>
        <w:pStyle w:val="46"/>
        <w:spacing w:after="0" w:line="440" w:lineRule="exact"/>
        <w:ind w:left="0" w:leftChars="0" w:firstLine="474" w:firstLineChars="200"/>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（2）天然气管线泄漏风险防范措施</w:t>
      </w:r>
    </w:p>
    <w:p w14:paraId="6FAF4148">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①</w:t>
      </w:r>
      <w:r>
        <w:rPr>
          <w:rFonts w:hint="default" w:ascii="Times New Roman" w:hAnsi="Times New Roman" w:eastAsia="宋体" w:cs="Times New Roman"/>
          <w:color w:val="auto"/>
          <w:w w:val="99"/>
          <w:kern w:val="0"/>
          <w:sz w:val="24"/>
          <w:szCs w:val="24"/>
          <w:highlight w:val="none"/>
          <w:lang w:val="en-US" w:eastAsia="zh-CN" w:bidi="zh-CN"/>
        </w:rPr>
        <w:t>按规定进行设备维修、保养，及时更换易损及老化部件，防止天然气泄漏事故的发生。</w:t>
      </w:r>
    </w:p>
    <w:p w14:paraId="4930CC40">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②</w:t>
      </w:r>
      <w:r>
        <w:rPr>
          <w:rFonts w:hint="default" w:ascii="Times New Roman" w:hAnsi="Times New Roman" w:eastAsia="宋体" w:cs="Times New Roman"/>
          <w:color w:val="auto"/>
          <w:w w:val="99"/>
          <w:kern w:val="0"/>
          <w:sz w:val="24"/>
          <w:szCs w:val="24"/>
          <w:highlight w:val="none"/>
          <w:lang w:val="en-US" w:eastAsia="zh-CN" w:bidi="zh-CN"/>
        </w:rPr>
        <w:t>加强自动控制系统的管理和控制，严格控制压力平衡。</w:t>
      </w:r>
    </w:p>
    <w:p w14:paraId="0A6980D2">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③</w:t>
      </w:r>
      <w:r>
        <w:rPr>
          <w:rFonts w:hint="default" w:ascii="Times New Roman" w:hAnsi="Times New Roman" w:eastAsia="宋体" w:cs="Times New Roman"/>
          <w:color w:val="auto"/>
          <w:w w:val="99"/>
          <w:kern w:val="0"/>
          <w:sz w:val="24"/>
          <w:szCs w:val="24"/>
          <w:highlight w:val="none"/>
          <w:lang w:val="en-US" w:eastAsia="zh-CN" w:bidi="zh-CN"/>
        </w:rPr>
        <w:t>加强站场的环境保护工程，及时清除、处理各种污染物，保持安全设施的完好，杜绝火灾的发生。</w:t>
      </w:r>
    </w:p>
    <w:p w14:paraId="680436EF">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④</w:t>
      </w:r>
      <w:r>
        <w:rPr>
          <w:rFonts w:hint="default" w:ascii="Times New Roman" w:hAnsi="Times New Roman" w:eastAsia="宋体" w:cs="Times New Roman"/>
          <w:color w:val="auto"/>
          <w:w w:val="99"/>
          <w:kern w:val="0"/>
          <w:sz w:val="24"/>
          <w:szCs w:val="24"/>
          <w:highlight w:val="none"/>
          <w:lang w:val="en-US" w:eastAsia="zh-CN" w:bidi="zh-CN"/>
        </w:rPr>
        <w:t>在系统运行期间，定期对管线进行超声波检查，对壁厚低于规定要求的管段应及时更换，消除爆管的隐患；定期对管线上的安全保护设施，如截断阀、安全阀、放空系统等进行检查，使管道在超压时能够得到安全处理，在管道破裂时能够及时截断上下游管段，以减少事故时油气的释放量，使危害影响范围减小到最低程度。</w:t>
      </w:r>
    </w:p>
    <w:p w14:paraId="5EF18146">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⑤</w:t>
      </w:r>
      <w:r>
        <w:rPr>
          <w:rFonts w:hint="default" w:ascii="Times New Roman" w:hAnsi="Times New Roman" w:eastAsia="宋体" w:cs="Times New Roman"/>
          <w:color w:val="auto"/>
          <w:w w:val="99"/>
          <w:kern w:val="0"/>
          <w:sz w:val="24"/>
          <w:szCs w:val="24"/>
          <w:highlight w:val="none"/>
          <w:lang w:val="en-US" w:eastAsia="zh-CN" w:bidi="zh-CN"/>
        </w:rPr>
        <w:t>加强管线的巡检，并定期进行管道的检修或更换。管道沿线设置标志桩，优化管道巡检人员技术水平，细化巡检范围和职责，确保巡检通讯畅通，在及时发现管道事故隐患的同时能够迅速采取措施减少或避免事故隐患发生。</w:t>
      </w:r>
    </w:p>
    <w:p w14:paraId="2119DA8C">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⑥</w:t>
      </w:r>
      <w:r>
        <w:rPr>
          <w:rFonts w:hint="default" w:ascii="Times New Roman" w:hAnsi="Times New Roman" w:eastAsia="宋体" w:cs="Times New Roman"/>
          <w:color w:val="auto"/>
          <w:w w:val="99"/>
          <w:kern w:val="0"/>
          <w:sz w:val="24"/>
          <w:szCs w:val="24"/>
          <w:highlight w:val="none"/>
          <w:lang w:val="en-US" w:eastAsia="zh-CN" w:bidi="zh-CN"/>
        </w:rPr>
        <w:t>加强对集输管线沿线重点敏感地段的环保管理，定期进行环境监测。</w:t>
      </w:r>
    </w:p>
    <w:p w14:paraId="10C3CDB4">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⑦</w:t>
      </w:r>
      <w:r>
        <w:rPr>
          <w:rFonts w:hint="default" w:ascii="Times New Roman" w:hAnsi="Times New Roman" w:eastAsia="宋体" w:cs="Times New Roman"/>
          <w:color w:val="auto"/>
          <w:w w:val="99"/>
          <w:kern w:val="0"/>
          <w:sz w:val="24"/>
          <w:szCs w:val="24"/>
          <w:highlight w:val="none"/>
          <w:lang w:val="en-US" w:eastAsia="zh-CN" w:bidi="zh-CN"/>
        </w:rPr>
        <w:t>加强天然气管线压力输送系统的自动化管理，保证管道内物料的安全热放空。</w:t>
      </w:r>
    </w:p>
    <w:p w14:paraId="35EC93C5">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⑧</w:t>
      </w:r>
      <w:r>
        <w:rPr>
          <w:rFonts w:hint="default" w:ascii="Times New Roman" w:hAnsi="Times New Roman" w:eastAsia="宋体" w:cs="Times New Roman"/>
          <w:color w:val="auto"/>
          <w:w w:val="99"/>
          <w:kern w:val="0"/>
          <w:sz w:val="24"/>
          <w:szCs w:val="24"/>
          <w:highlight w:val="none"/>
          <w:lang w:val="en-US" w:eastAsia="zh-CN" w:bidi="zh-CN"/>
        </w:rPr>
        <w:t>每半年检查管道安全保护系统（如截断阀、安全阀、放空系统等)，使管道在超压时能够得到安全处理，使危害影响范围减小到最低程度。</w:t>
      </w:r>
    </w:p>
    <w:p w14:paraId="20558E19">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⑨</w:t>
      </w:r>
      <w:r>
        <w:rPr>
          <w:rFonts w:hint="default" w:ascii="Times New Roman" w:hAnsi="Times New Roman" w:eastAsia="宋体" w:cs="Times New Roman"/>
          <w:color w:val="auto"/>
          <w:w w:val="99"/>
          <w:kern w:val="0"/>
          <w:sz w:val="24"/>
          <w:szCs w:val="24"/>
          <w:highlight w:val="none"/>
          <w:lang w:val="en-US" w:eastAsia="zh-CN" w:bidi="zh-CN"/>
        </w:rPr>
        <w:t>运营期应将防止集气站生产工艺天然气泄漏等作为事故应急的重点，避免造成人员中毒危害和财产损失，按照现有应急预案加强风险防范。</w:t>
      </w:r>
    </w:p>
    <w:p w14:paraId="5A9CB02B">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⑩</w:t>
      </w:r>
      <w:r>
        <w:rPr>
          <w:rFonts w:hint="default" w:ascii="Times New Roman" w:hAnsi="Times New Roman" w:eastAsia="宋体" w:cs="Times New Roman"/>
          <w:color w:val="auto"/>
          <w:w w:val="99"/>
          <w:kern w:val="0"/>
          <w:sz w:val="24"/>
          <w:szCs w:val="24"/>
          <w:highlight w:val="none"/>
          <w:lang w:val="en-US" w:eastAsia="zh-CN" w:bidi="zh-CN"/>
        </w:rPr>
        <w:t>对采气管道进行阴极保护，采用强制电流保护进行永久阴极保护、牺牲阳极法进行临时阴极保护的方法。</w:t>
      </w:r>
    </w:p>
    <w:p w14:paraId="34AF84DC">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发生天然气泄漏后，立即停止采气作业，对泄漏点周围 500m  范围以内的居民进行人员疏散，并设立警戒区，随事故发展情况及时扩大范围；通知调度室关闭进/出配套管线的阀组。组织专家及技术人员，开展事故分析，查找事故原因，如是采气井或套管损坏，则开展修井作业；如是地面设施失效，则开展堵漏及抢维修作业。</w:t>
      </w:r>
    </w:p>
    <w:p w14:paraId="14B7945C">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w:t>
      </w:r>
      <w:r>
        <w:rPr>
          <w:rFonts w:hint="eastAsia" w:cs="Times New Roman"/>
          <w:color w:val="auto"/>
          <w:w w:val="99"/>
          <w:kern w:val="0"/>
          <w:sz w:val="24"/>
          <w:szCs w:val="24"/>
          <w:highlight w:val="none"/>
          <w:lang w:val="en-US" w:eastAsia="zh-CN" w:bidi="zh-CN"/>
        </w:rPr>
        <w:t>3</w:t>
      </w:r>
      <w:r>
        <w:rPr>
          <w:rFonts w:hint="default" w:ascii="Times New Roman" w:hAnsi="Times New Roman" w:eastAsia="宋体" w:cs="Times New Roman"/>
          <w:color w:val="auto"/>
          <w:w w:val="99"/>
          <w:kern w:val="0"/>
          <w:sz w:val="24"/>
          <w:szCs w:val="24"/>
          <w:highlight w:val="none"/>
          <w:lang w:val="en-US" w:eastAsia="zh-CN" w:bidi="zh-CN"/>
        </w:rPr>
        <w:t>）场站事故风险防范措施</w:t>
      </w:r>
    </w:p>
    <w:p w14:paraId="45371B2D">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①</w:t>
      </w:r>
      <w:r>
        <w:rPr>
          <w:rFonts w:hint="default" w:ascii="Times New Roman" w:hAnsi="Times New Roman" w:eastAsia="宋体" w:cs="Times New Roman"/>
          <w:color w:val="auto"/>
          <w:w w:val="99"/>
          <w:kern w:val="0"/>
          <w:sz w:val="24"/>
          <w:szCs w:val="24"/>
          <w:highlight w:val="none"/>
          <w:lang w:val="en-US" w:eastAsia="zh-CN" w:bidi="zh-CN"/>
        </w:rPr>
        <w:t>站场严格按防火规范布置平面，站场内的电气设备及仪表按防爆等级不同选用不同的设备；</w:t>
      </w:r>
    </w:p>
    <w:p w14:paraId="5A4AA0A4">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②</w:t>
      </w:r>
      <w:r>
        <w:rPr>
          <w:rFonts w:hint="default" w:ascii="Times New Roman" w:hAnsi="Times New Roman" w:eastAsia="宋体" w:cs="Times New Roman"/>
          <w:color w:val="auto"/>
          <w:w w:val="99"/>
          <w:kern w:val="0"/>
          <w:sz w:val="24"/>
          <w:szCs w:val="24"/>
          <w:highlight w:val="none"/>
          <w:lang w:val="en-US" w:eastAsia="zh-CN" w:bidi="zh-CN"/>
        </w:rPr>
        <w:t>站内所有设备、管线均应做防雷、防静电接地；</w:t>
      </w:r>
    </w:p>
    <w:p w14:paraId="28211475">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③</w:t>
      </w:r>
      <w:r>
        <w:rPr>
          <w:rFonts w:hint="default" w:ascii="Times New Roman" w:hAnsi="Times New Roman" w:eastAsia="宋体" w:cs="Times New Roman"/>
          <w:color w:val="auto"/>
          <w:w w:val="99"/>
          <w:kern w:val="0"/>
          <w:sz w:val="24"/>
          <w:szCs w:val="24"/>
          <w:highlight w:val="none"/>
          <w:lang w:val="en-US" w:eastAsia="zh-CN" w:bidi="zh-CN"/>
        </w:rPr>
        <w:t>安装火灾设备检测仪表、消防自控设施；</w:t>
      </w:r>
    </w:p>
    <w:p w14:paraId="7474814C">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④</w:t>
      </w:r>
      <w:r>
        <w:rPr>
          <w:rFonts w:hint="default" w:ascii="Times New Roman" w:hAnsi="Times New Roman" w:eastAsia="宋体" w:cs="Times New Roman"/>
          <w:color w:val="auto"/>
          <w:w w:val="99"/>
          <w:kern w:val="0"/>
          <w:sz w:val="24"/>
          <w:szCs w:val="24"/>
          <w:highlight w:val="none"/>
          <w:lang w:val="en-US" w:eastAsia="zh-CN" w:bidi="zh-CN"/>
        </w:rPr>
        <w:t>在可能发生天然气积聚的场所应按照《石油天然气工程可燃气体检测报警系统安全规范》(SY/T 6503-20</w:t>
      </w:r>
      <w:r>
        <w:rPr>
          <w:rFonts w:hint="eastAsia" w:cs="Times New Roman"/>
          <w:color w:val="auto"/>
          <w:w w:val="99"/>
          <w:kern w:val="0"/>
          <w:sz w:val="24"/>
          <w:szCs w:val="24"/>
          <w:highlight w:val="none"/>
          <w:lang w:val="en-US" w:eastAsia="zh-CN" w:bidi="zh-CN"/>
        </w:rPr>
        <w:t>22</w:t>
      </w:r>
      <w:r>
        <w:rPr>
          <w:rFonts w:hint="default" w:ascii="Times New Roman" w:hAnsi="Times New Roman" w:eastAsia="宋体" w:cs="Times New Roman"/>
          <w:color w:val="auto"/>
          <w:w w:val="99"/>
          <w:kern w:val="0"/>
          <w:sz w:val="24"/>
          <w:szCs w:val="24"/>
          <w:highlight w:val="none"/>
          <w:lang w:val="en-US" w:eastAsia="zh-CN" w:bidi="zh-CN"/>
        </w:rPr>
        <w:t>)的要求设置可燃气体报警装置；</w:t>
      </w:r>
    </w:p>
    <w:p w14:paraId="37F0DE4C">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⑤</w:t>
      </w:r>
      <w:r>
        <w:rPr>
          <w:rFonts w:hint="default" w:ascii="Times New Roman" w:hAnsi="Times New Roman" w:eastAsia="宋体" w:cs="Times New Roman"/>
          <w:color w:val="auto"/>
          <w:w w:val="99"/>
          <w:kern w:val="0"/>
          <w:sz w:val="24"/>
          <w:szCs w:val="24"/>
          <w:highlight w:val="none"/>
          <w:lang w:val="en-US" w:eastAsia="zh-CN" w:bidi="zh-CN"/>
        </w:rPr>
        <w:t>设立紧急关断系统。在管线进出站等处设置紧急切断阀，对一些明显故障实施直接切断，也可通过 SCADA  系统进行远程关断，还可以完成全系统关断；</w:t>
      </w:r>
    </w:p>
    <w:p w14:paraId="135EC1BA">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⑥</w:t>
      </w:r>
      <w:r>
        <w:rPr>
          <w:rFonts w:hint="default" w:ascii="Times New Roman" w:hAnsi="Times New Roman" w:eastAsia="宋体" w:cs="Times New Roman"/>
          <w:color w:val="auto"/>
          <w:w w:val="99"/>
          <w:kern w:val="0"/>
          <w:sz w:val="24"/>
          <w:szCs w:val="24"/>
          <w:highlight w:val="none"/>
          <w:lang w:val="en-US" w:eastAsia="zh-CN" w:bidi="zh-CN"/>
        </w:rPr>
        <w:t>站场内利用道路进行功能分区，将生产区和生活区分开，减少了生产区和生活区的相互干扰，减少危险隐患，同时便于生产管理；</w:t>
      </w:r>
    </w:p>
    <w:p w14:paraId="0D15BA61">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⑦</w:t>
      </w:r>
      <w:r>
        <w:rPr>
          <w:rFonts w:hint="default" w:ascii="Times New Roman" w:hAnsi="Times New Roman" w:eastAsia="宋体" w:cs="Times New Roman"/>
          <w:color w:val="auto"/>
          <w:w w:val="99"/>
          <w:kern w:val="0"/>
          <w:sz w:val="24"/>
          <w:szCs w:val="24"/>
          <w:highlight w:val="none"/>
          <w:lang w:val="en-US" w:eastAsia="zh-CN" w:bidi="zh-CN"/>
        </w:rPr>
        <w:t>加强设计单位相互间的配合，做好衔接、交叉部分的协调，减少设计误操作，使总体设计质量为优；</w:t>
      </w:r>
    </w:p>
    <w:p w14:paraId="47CB89EA">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⑧</w:t>
      </w:r>
      <w:r>
        <w:rPr>
          <w:rFonts w:hint="default" w:ascii="Times New Roman" w:hAnsi="Times New Roman" w:eastAsia="宋体" w:cs="Times New Roman"/>
          <w:color w:val="auto"/>
          <w:w w:val="99"/>
          <w:kern w:val="0"/>
          <w:sz w:val="24"/>
          <w:szCs w:val="24"/>
          <w:highlight w:val="none"/>
          <w:lang w:val="en-US" w:eastAsia="zh-CN" w:bidi="zh-CN"/>
        </w:rPr>
        <w:t>对集气站内污水储罐每日进行巡检，确保储罐完好无损且稳定运行。同时站内建设有监控系统，对场站进行实时监控，储罐发生泄漏，站内值班人员可以及时发现并进行处理。</w:t>
      </w:r>
    </w:p>
    <w:p w14:paraId="7B184E71">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⑨</w:t>
      </w:r>
      <w:r>
        <w:rPr>
          <w:rFonts w:hint="default" w:ascii="Times New Roman" w:hAnsi="Times New Roman" w:eastAsia="宋体" w:cs="Times New Roman"/>
          <w:color w:val="auto"/>
          <w:w w:val="99"/>
          <w:kern w:val="0"/>
          <w:sz w:val="24"/>
          <w:szCs w:val="24"/>
          <w:highlight w:val="none"/>
          <w:lang w:val="en-US" w:eastAsia="zh-CN" w:bidi="zh-CN"/>
        </w:rPr>
        <w:t>站场发生事故，立即启动事故应急预案；</w:t>
      </w:r>
    </w:p>
    <w:p w14:paraId="0DC44026">
      <w:pPr>
        <w:pStyle w:val="46"/>
        <w:spacing w:after="0" w:line="440" w:lineRule="exact"/>
        <w:ind w:left="0" w:leftChars="0" w:firstLine="474" w:firstLineChars="200"/>
        <w:rPr>
          <w:rFonts w:hint="eastAsia"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⑩</w:t>
      </w:r>
      <w:r>
        <w:rPr>
          <w:rFonts w:hint="default" w:ascii="Times New Roman" w:hAnsi="Times New Roman" w:eastAsia="宋体" w:cs="Times New Roman"/>
          <w:color w:val="auto"/>
          <w:w w:val="99"/>
          <w:kern w:val="0"/>
          <w:sz w:val="24"/>
          <w:szCs w:val="24"/>
          <w:highlight w:val="none"/>
          <w:lang w:val="en-US" w:eastAsia="zh-CN" w:bidi="zh-CN"/>
        </w:rPr>
        <w:t>应立即疏散站场附近的人员</w:t>
      </w:r>
      <w:r>
        <w:rPr>
          <w:rFonts w:hint="eastAsia" w:cs="Times New Roman"/>
          <w:color w:val="auto"/>
          <w:w w:val="99"/>
          <w:kern w:val="0"/>
          <w:sz w:val="24"/>
          <w:szCs w:val="24"/>
          <w:highlight w:val="none"/>
          <w:lang w:val="en-US" w:eastAsia="zh-CN" w:bidi="zh-CN"/>
        </w:rPr>
        <w:t>；</w:t>
      </w:r>
    </w:p>
    <w:p w14:paraId="2CD87239">
      <w:pPr>
        <w:pStyle w:val="46"/>
        <w:spacing w:after="0" w:line="440" w:lineRule="exact"/>
        <w:ind w:left="0" w:leftChars="0" w:firstLine="474" w:firstLineChars="200"/>
        <w:rPr>
          <w:rFonts w:hint="eastAsia"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⑪</w:t>
      </w:r>
      <w:r>
        <w:rPr>
          <w:rFonts w:hint="eastAsia" w:ascii="Times New Roman" w:hAnsi="Times New Roman" w:eastAsia="宋体" w:cs="Times New Roman"/>
          <w:color w:val="auto"/>
          <w:w w:val="99"/>
          <w:kern w:val="0"/>
          <w:sz w:val="24"/>
          <w:szCs w:val="24"/>
          <w:highlight w:val="none"/>
          <w:lang w:val="en-US" w:eastAsia="zh-CN" w:bidi="zh-CN"/>
        </w:rPr>
        <w:t>甲醇储罐周边设置0.5m高水泥防火堤，有效容积大于储罐容积，产生的废水由罐车抽排外委处置；</w:t>
      </w:r>
    </w:p>
    <w:p w14:paraId="6924A0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74" w:firstLineChars="200"/>
        <w:jc w:val="both"/>
        <w:textAlignment w:val="auto"/>
        <w:rPr>
          <w:rFonts w:hint="eastAsia"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⑫</w:t>
      </w:r>
      <w:r>
        <w:rPr>
          <w:rFonts w:hint="eastAsia" w:ascii="Times New Roman" w:hAnsi="Times New Roman" w:eastAsia="宋体" w:cs="Times New Roman"/>
          <w:color w:val="auto"/>
          <w:w w:val="99"/>
          <w:kern w:val="0"/>
          <w:sz w:val="24"/>
          <w:szCs w:val="24"/>
          <w:highlight w:val="none"/>
          <w:lang w:val="en-US" w:eastAsia="zh-CN" w:bidi="zh-CN"/>
        </w:rPr>
        <w:t>事故发生后，根据应急预案，制定应急监测计划，主要针对颗粒物、VOCs、泄漏的特征污染物的排放，在厂界四周布点，采样方法和频次：采用动力采样或气体检测管直接测定。空气动力采样频次为每2小时一次，流量0.5L/min，采样时间为40min。气体检测管直接测定频次为每半小时一次。</w:t>
      </w:r>
    </w:p>
    <w:p w14:paraId="3D0E358B">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w:t>
      </w:r>
      <w:r>
        <w:rPr>
          <w:rFonts w:hint="eastAsia" w:cs="Times New Roman"/>
          <w:color w:val="auto"/>
          <w:w w:val="99"/>
          <w:kern w:val="0"/>
          <w:sz w:val="24"/>
          <w:szCs w:val="24"/>
          <w:highlight w:val="none"/>
          <w:lang w:val="en-US" w:eastAsia="zh-CN" w:bidi="zh-CN"/>
        </w:rPr>
        <w:t>4</w:t>
      </w:r>
      <w:r>
        <w:rPr>
          <w:rFonts w:hint="default" w:ascii="Times New Roman" w:hAnsi="Times New Roman" w:eastAsia="宋体" w:cs="Times New Roman"/>
          <w:color w:val="auto"/>
          <w:w w:val="99"/>
          <w:kern w:val="0"/>
          <w:sz w:val="24"/>
          <w:szCs w:val="24"/>
          <w:highlight w:val="none"/>
          <w:lang w:val="en-US" w:eastAsia="zh-CN" w:bidi="zh-CN"/>
        </w:rPr>
        <w:t>）危险废物收集、贮存、运输过程风险防范措施</w:t>
      </w:r>
    </w:p>
    <w:p w14:paraId="6528EDAF">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根据《建设项目危险废物环境影响评价指南》本项目涉及的危险物质必须按照《危险废物收集贮存运输技术规范》（HJ 2025-2012）的要求处理处置。</w:t>
      </w:r>
    </w:p>
    <w:p w14:paraId="6E334AC2">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①</w:t>
      </w:r>
      <w:r>
        <w:rPr>
          <w:rFonts w:hint="default" w:ascii="Times New Roman" w:hAnsi="Times New Roman" w:eastAsia="宋体" w:cs="Times New Roman"/>
          <w:color w:val="auto"/>
          <w:w w:val="99"/>
          <w:kern w:val="0"/>
          <w:sz w:val="24"/>
          <w:szCs w:val="24"/>
          <w:highlight w:val="none"/>
          <w:lang w:val="en-US" w:eastAsia="zh-CN" w:bidi="zh-CN"/>
        </w:rPr>
        <w:t>从事危险废物收集贮存运输的单位在进行生产活动时应按照有关规定建立相应的规章制度和污染防治措施，包括危险废物分析管理制度、安全管理制度、污染防治措施等。并建立健全规章制度及操作流程，确保改过程安全可靠；</w:t>
      </w:r>
    </w:p>
    <w:p w14:paraId="40C7DBCE">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②</w:t>
      </w:r>
      <w:r>
        <w:rPr>
          <w:rFonts w:hint="default" w:ascii="Times New Roman" w:hAnsi="Times New Roman" w:eastAsia="宋体" w:cs="Times New Roman"/>
          <w:color w:val="auto"/>
          <w:w w:val="99"/>
          <w:kern w:val="0"/>
          <w:sz w:val="24"/>
          <w:szCs w:val="24"/>
          <w:highlight w:val="none"/>
          <w:lang w:val="en-US" w:eastAsia="zh-CN" w:bidi="zh-CN"/>
        </w:rPr>
        <w:t>危险废物转移过程中应按《危险废物转移管理办法》执行，单位应编制应急预案；</w:t>
      </w:r>
    </w:p>
    <w:p w14:paraId="4E4833E5">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③</w:t>
      </w:r>
      <w:r>
        <w:rPr>
          <w:rFonts w:hint="default" w:ascii="Times New Roman" w:hAnsi="Times New Roman" w:eastAsia="宋体" w:cs="Times New Roman"/>
          <w:color w:val="auto"/>
          <w:w w:val="99"/>
          <w:kern w:val="0"/>
          <w:sz w:val="24"/>
          <w:szCs w:val="24"/>
          <w:highlight w:val="none"/>
          <w:lang w:val="en-US" w:eastAsia="zh-CN" w:bidi="zh-CN"/>
        </w:rPr>
        <w:t>运输的车辆必须是专用车或经有关部门批准使用符合安全规定的运载工具，并符合相关要求；运输车辆、设备及管道进行定期的维护和检查，防患于未然，保持槽车和良好的工作状态，保证接地正常；</w:t>
      </w:r>
    </w:p>
    <w:p w14:paraId="42FBABA9">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④</w:t>
      </w:r>
      <w:r>
        <w:rPr>
          <w:rFonts w:hint="default" w:ascii="Times New Roman" w:hAnsi="Times New Roman" w:eastAsia="宋体" w:cs="Times New Roman"/>
          <w:color w:val="auto"/>
          <w:w w:val="99"/>
          <w:kern w:val="0"/>
          <w:sz w:val="24"/>
          <w:szCs w:val="24"/>
          <w:highlight w:val="none"/>
          <w:lang w:val="en-US" w:eastAsia="zh-CN" w:bidi="zh-CN"/>
        </w:rPr>
        <w:t>担任储运人员必须经过上岗培训，经定期考核通过后方能持证上岗。工作人员应熟悉事故应急设备的使用和维护，了解应急手册应急处理流程，一旦发生意外，在采取应急处理的同时，迅速报告公安、交通部门和环保等有关部门，必要时疏散群众，防止事态进一步步扩大和恶化；</w:t>
      </w:r>
    </w:p>
    <w:p w14:paraId="4BF55992">
      <w:pPr>
        <w:pStyle w:val="46"/>
        <w:spacing w:after="0" w:line="440" w:lineRule="exact"/>
        <w:ind w:left="0" w:leftChars="0" w:firstLine="473"/>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⑤</w:t>
      </w:r>
      <w:r>
        <w:rPr>
          <w:rFonts w:hint="default" w:ascii="Times New Roman" w:hAnsi="Times New Roman" w:eastAsia="宋体" w:cs="Times New Roman"/>
          <w:color w:val="auto"/>
          <w:w w:val="99"/>
          <w:kern w:val="0"/>
          <w:sz w:val="24"/>
          <w:szCs w:val="24"/>
          <w:highlight w:val="none"/>
          <w:lang w:val="en-US" w:eastAsia="zh-CN" w:bidi="zh-CN"/>
        </w:rPr>
        <w:t>运输、储存原料、溶剂、产品危险化学品所用的槽车、容器、设备必须符合《压力容器安全技术监察规程》的安全管理规定，企业对压力容器管理执行国家有关压力容器的规定。设备区设计应按照《石油化工企业设计防火标准</w:t>
      </w:r>
      <w:r>
        <w:rPr>
          <w:rFonts w:hint="eastAsia" w:ascii="Times New Roman" w:hAnsi="Times New Roman" w:eastAsia="宋体"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2018年版）》（GB50160-2018）要求进行必要的围堰、防火设计、修复。</w:t>
      </w:r>
    </w:p>
    <w:p w14:paraId="771E8BCB">
      <w:pPr>
        <w:widowControl w:val="0"/>
        <w:numPr>
          <w:ilvl w:val="0"/>
          <w:numId w:val="0"/>
        </w:numPr>
        <w:spacing w:line="440" w:lineRule="exact"/>
        <w:ind w:firstLine="474" w:firstLineChars="200"/>
        <w:jc w:val="both"/>
        <w:rPr>
          <w:rFonts w:hint="eastAsia" w:ascii="Times New Roman" w:hAnsi="Times New Roman" w:cs="Times New Roman"/>
          <w:color w:val="auto"/>
          <w:w w:val="99"/>
          <w:kern w:val="2"/>
          <w:sz w:val="24"/>
          <w:szCs w:val="24"/>
          <w:highlight w:val="none"/>
          <w:lang w:val="en-US" w:eastAsia="zh-CN" w:bidi="ar-SA"/>
        </w:rPr>
      </w:pPr>
      <w:r>
        <w:rPr>
          <w:rFonts w:hint="eastAsia" w:cs="Times New Roman"/>
          <w:color w:val="auto"/>
          <w:w w:val="99"/>
          <w:kern w:val="0"/>
          <w:sz w:val="24"/>
          <w:szCs w:val="24"/>
          <w:highlight w:val="none"/>
          <w:lang w:val="en-US" w:eastAsia="zh-CN" w:bidi="zh-CN"/>
        </w:rPr>
        <w:t>⑥变压器</w:t>
      </w:r>
      <w:r>
        <w:rPr>
          <w:rFonts w:hint="eastAsia" w:ascii="Times New Roman" w:hAnsi="Times New Roman" w:cs="Times New Roman"/>
          <w:color w:val="auto"/>
          <w:w w:val="99"/>
          <w:kern w:val="2"/>
          <w:sz w:val="24"/>
          <w:szCs w:val="24"/>
          <w:highlight w:val="none"/>
          <w:lang w:val="en-US" w:eastAsia="zh-CN" w:bidi="ar-SA"/>
        </w:rPr>
        <w:t>设置变压器油收集箱收集泄漏的变压器油，定期巡检，委托有资质单位处理。</w:t>
      </w:r>
    </w:p>
    <w:p w14:paraId="1E7A1473">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针对上述风险情况，本工程建设单位已经针对可能发生的风险事故提出相应风险防范措施，企业结合所处区域的自然条件、环境状况、地理位置等特点，制定了较完善的事故风险应急预案，本工程为扩建工程，如发生风险事故，可按已建立的事故风险应急预案执行。</w:t>
      </w:r>
    </w:p>
    <w:p w14:paraId="4C6F5485">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6.1.7.3事故应急救援预案</w:t>
      </w:r>
    </w:p>
    <w:p w14:paraId="660A5CDD">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大庆油田公司突发事件应急管理归口部门为公司生产运行部门，为及时应对突发事件，快速调动应急资源，以消防支队为依托，组建了国家级专业应急救援队伍1支，以及作业井喷应急救援队伍、原油泄漏应急救援队伍、天然气泄漏应急救援队伍、电力系统故障应急救援队伍、水上溢油应急救援队伍、医疗卫生救援队伍7个油田公司级应急救援队伍，在各二级单位建设综合应急救援队伍，基本形成了覆盖油田生产各专业的应急救援队伍体系。</w:t>
      </w:r>
    </w:p>
    <w:p w14:paraId="36996F5D">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根据突发环境事件级别确定上报部门及应急队伍响应级别。从发现环境事件后要上报突发环境事件初报，初判发生Ⅲ级突发环境事件时，由三级单位负责应对工作，具体为现场人员、三级单位应急救援队伍或区域消防队进行应对；初判发Ⅱ级突发环境事件时，由二级单位负责应对工作，具体为二级单位综合应急救援队伍和区域消防队进行应对，必要时向油田公司求援，调集油田公司级应急救援队伍；初判发生I级突发环境事件时，30分钟内向突发环境事件应急办公室初报，启动油田公司突发事件应急响应程序，启动油田公司级专业工作组、综合工作组、专业应急救援队伍。</w:t>
      </w:r>
    </w:p>
    <w:p w14:paraId="37521DE6">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建设单位目前拥有的应急预案内容较为完善，</w:t>
      </w:r>
      <w:r>
        <w:rPr>
          <w:rFonts w:hint="eastAsia" w:ascii="Times New Roman" w:hAnsi="Times New Roman" w:eastAsia="宋体" w:cs="Times New Roman"/>
          <w:color w:val="auto"/>
          <w:w w:val="99"/>
          <w:kern w:val="0"/>
          <w:sz w:val="24"/>
          <w:szCs w:val="24"/>
          <w:highlight w:val="none"/>
          <w:lang w:val="en-US" w:eastAsia="zh-CN" w:bidi="zh-CN"/>
        </w:rPr>
        <w:t>大庆油田有限责任公司采气分公司</w:t>
      </w:r>
      <w:r>
        <w:rPr>
          <w:rFonts w:hint="default" w:ascii="Times New Roman" w:hAnsi="Times New Roman" w:eastAsia="宋体" w:cs="Times New Roman"/>
          <w:color w:val="auto"/>
          <w:w w:val="99"/>
          <w:kern w:val="0"/>
          <w:sz w:val="24"/>
          <w:szCs w:val="24"/>
          <w:highlight w:val="none"/>
          <w:lang w:val="en-US" w:eastAsia="zh-CN" w:bidi="zh-CN"/>
        </w:rPr>
        <w:t>编制了《大庆油田有限责任公司采气分公司环境突发事件应急预案》，该应急预案主要针对项目运营过程中可能突发的各种环境风险事故等制定了详细的安全应急救援预案。预案中包含了应急救援任务和目标、原则、组织机构、应急救援职责、突发事件信息报送及处置、应急响应和处置、应急措施以及应急救援值班电话和联络电话，充分保证了项目运营期发生的风险事故得到及时救援和处理。降低了环境风险的危害。于202</w:t>
      </w:r>
      <w:r>
        <w:rPr>
          <w:rFonts w:hint="eastAsia" w:ascii="Times New Roman" w:hAnsi="Times New Roman" w:eastAsia="宋体" w:cs="Times New Roman"/>
          <w:color w:val="auto"/>
          <w:w w:val="99"/>
          <w:kern w:val="0"/>
          <w:sz w:val="24"/>
          <w:szCs w:val="24"/>
          <w:highlight w:val="none"/>
          <w:lang w:val="en-US" w:eastAsia="zh-CN" w:bidi="zh-CN"/>
        </w:rPr>
        <w:t>4</w:t>
      </w:r>
      <w:r>
        <w:rPr>
          <w:rFonts w:hint="default" w:ascii="Times New Roman" w:hAnsi="Times New Roman" w:eastAsia="宋体" w:cs="Times New Roman"/>
          <w:color w:val="auto"/>
          <w:w w:val="99"/>
          <w:kern w:val="0"/>
          <w:sz w:val="24"/>
          <w:szCs w:val="24"/>
          <w:highlight w:val="none"/>
          <w:lang w:val="en-US" w:eastAsia="zh-CN" w:bidi="zh-CN"/>
        </w:rPr>
        <w:t>年</w:t>
      </w:r>
      <w:r>
        <w:rPr>
          <w:rFonts w:hint="eastAsia" w:ascii="Times New Roman" w:hAnsi="Times New Roman" w:eastAsia="宋体" w:cs="Times New Roman"/>
          <w:color w:val="auto"/>
          <w:w w:val="99"/>
          <w:kern w:val="0"/>
          <w:sz w:val="24"/>
          <w:szCs w:val="24"/>
          <w:highlight w:val="none"/>
          <w:lang w:val="en-US" w:eastAsia="zh-CN" w:bidi="zh-CN"/>
        </w:rPr>
        <w:t>10</w:t>
      </w:r>
      <w:r>
        <w:rPr>
          <w:rFonts w:hint="default" w:ascii="Times New Roman" w:hAnsi="Times New Roman" w:eastAsia="宋体" w:cs="Times New Roman"/>
          <w:color w:val="auto"/>
          <w:w w:val="99"/>
          <w:kern w:val="0"/>
          <w:sz w:val="24"/>
          <w:szCs w:val="24"/>
          <w:highlight w:val="none"/>
          <w:lang w:val="en-US" w:eastAsia="zh-CN" w:bidi="zh-CN"/>
        </w:rPr>
        <w:t>月</w:t>
      </w:r>
      <w:r>
        <w:rPr>
          <w:rFonts w:hint="eastAsia" w:ascii="Times New Roman" w:hAnsi="Times New Roman" w:eastAsia="宋体" w:cs="Times New Roman"/>
          <w:color w:val="auto"/>
          <w:w w:val="99"/>
          <w:kern w:val="0"/>
          <w:sz w:val="24"/>
          <w:szCs w:val="24"/>
          <w:highlight w:val="none"/>
          <w:lang w:val="en-US" w:eastAsia="zh-CN" w:bidi="zh-CN"/>
        </w:rPr>
        <w:t>23</w:t>
      </w:r>
      <w:r>
        <w:rPr>
          <w:rFonts w:hint="default" w:ascii="Times New Roman" w:hAnsi="Times New Roman" w:eastAsia="宋体" w:cs="Times New Roman"/>
          <w:color w:val="auto"/>
          <w:w w:val="99"/>
          <w:kern w:val="0"/>
          <w:sz w:val="24"/>
          <w:szCs w:val="24"/>
          <w:highlight w:val="none"/>
          <w:lang w:val="en-US" w:eastAsia="zh-CN" w:bidi="zh-CN"/>
        </w:rPr>
        <w:t>日在大庆市让胡路生态环境局备案了企业环境风险应急预案（备案号230604-202</w:t>
      </w:r>
      <w:r>
        <w:rPr>
          <w:rFonts w:hint="eastAsia" w:ascii="Times New Roman" w:hAnsi="Times New Roman" w:eastAsia="宋体" w:cs="Times New Roman"/>
          <w:color w:val="auto"/>
          <w:w w:val="99"/>
          <w:kern w:val="0"/>
          <w:sz w:val="24"/>
          <w:szCs w:val="24"/>
          <w:highlight w:val="none"/>
          <w:lang w:val="en-US" w:eastAsia="zh-CN" w:bidi="zh-CN"/>
        </w:rPr>
        <w:t>4</w:t>
      </w: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eastAsia="宋体" w:cs="Times New Roman"/>
          <w:color w:val="auto"/>
          <w:w w:val="99"/>
          <w:kern w:val="0"/>
          <w:sz w:val="24"/>
          <w:szCs w:val="24"/>
          <w:highlight w:val="none"/>
          <w:lang w:val="en-US" w:eastAsia="zh-CN" w:bidi="zh-CN"/>
        </w:rPr>
        <w:t>47</w:t>
      </w:r>
      <w:r>
        <w:rPr>
          <w:rFonts w:hint="default" w:ascii="Times New Roman" w:hAnsi="Times New Roman" w:eastAsia="宋体" w:cs="Times New Roman"/>
          <w:color w:val="auto"/>
          <w:w w:val="99"/>
          <w:kern w:val="0"/>
          <w:sz w:val="24"/>
          <w:szCs w:val="24"/>
          <w:highlight w:val="none"/>
          <w:lang w:val="en-US" w:eastAsia="zh-CN" w:bidi="zh-CN"/>
        </w:rPr>
        <w:t>-L）。</w:t>
      </w:r>
    </w:p>
    <w:p w14:paraId="6451D599">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总体上看，</w:t>
      </w:r>
      <w:r>
        <w:rPr>
          <w:rFonts w:hint="eastAsia" w:ascii="Times New Roman" w:hAnsi="Times New Roman" w:eastAsia="宋体" w:cs="Times New Roman"/>
          <w:color w:val="auto"/>
          <w:w w:val="99"/>
          <w:kern w:val="0"/>
          <w:sz w:val="24"/>
          <w:szCs w:val="24"/>
          <w:highlight w:val="none"/>
          <w:lang w:val="en-US" w:eastAsia="zh-CN" w:bidi="zh-CN"/>
        </w:rPr>
        <w:t>采气分公司</w:t>
      </w:r>
      <w:r>
        <w:rPr>
          <w:rFonts w:hint="default" w:ascii="Times New Roman" w:hAnsi="Times New Roman" w:eastAsia="宋体" w:cs="Times New Roman"/>
          <w:color w:val="auto"/>
          <w:w w:val="99"/>
          <w:kern w:val="0"/>
          <w:sz w:val="24"/>
          <w:szCs w:val="24"/>
          <w:highlight w:val="none"/>
          <w:lang w:val="en-US" w:eastAsia="zh-CN" w:bidi="zh-CN"/>
        </w:rPr>
        <w:t>应急预案涵盖了环境突发事件、井喷、油气泄漏、</w:t>
      </w:r>
      <w:r>
        <w:rPr>
          <w:rFonts w:hint="eastAsia" w:ascii="Times New Roman" w:hAnsi="Times New Roman" w:eastAsia="宋体" w:cs="Times New Roman"/>
          <w:color w:val="auto"/>
          <w:w w:val="99"/>
          <w:kern w:val="0"/>
          <w:sz w:val="24"/>
          <w:szCs w:val="24"/>
          <w:highlight w:val="none"/>
          <w:lang w:val="en-US" w:eastAsia="zh-CN" w:bidi="zh-CN"/>
        </w:rPr>
        <w:t>天然气输送</w:t>
      </w:r>
      <w:r>
        <w:rPr>
          <w:rFonts w:hint="default" w:ascii="Times New Roman" w:hAnsi="Times New Roman" w:eastAsia="宋体" w:cs="Times New Roman"/>
          <w:color w:val="auto"/>
          <w:w w:val="99"/>
          <w:kern w:val="0"/>
          <w:sz w:val="24"/>
          <w:szCs w:val="24"/>
          <w:highlight w:val="none"/>
          <w:lang w:val="en-US" w:eastAsia="zh-CN" w:bidi="zh-CN"/>
        </w:rPr>
        <w:t>系统突发事件等事故情况，依托合理，现有应急预案依托可行。根据《企业事业单位突发环境事件应急预案备案管理办法（试行）》〔2015〕4 号），环境应急预案每3年至少修订一次，因此建设单位应及时对环境应急预案进行修订，且建议建设单位加强对应急预案的定期风险应急演练及员工培训。</w:t>
      </w:r>
    </w:p>
    <w:p w14:paraId="327C2EA4">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通过分析，工程在发生事故状态下可依托已经制定了相关应急预案及相关应急资源。不需对本工程提出新的应急预案，发生风险事故时按已建立的事故风险应急预案执行，在执行应急预案的同时，要加强区域应急联动体系，定期进行地企联动应急演练，提高突发事件的应急处理能力。</w:t>
      </w:r>
    </w:p>
    <w:p w14:paraId="61161E2C">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1、确定危害和风险</w:t>
      </w:r>
    </w:p>
    <w:p w14:paraId="28905A99">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本项目潜在的环境风险事故是泄漏、火灾和爆炸。</w:t>
      </w:r>
    </w:p>
    <w:p w14:paraId="44F0668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通过正确地判别和评价本项目潜在的环境风险事故，制定相应的应急措施，可将风险和影响降到合理实际并尽可能低的水平，最大程度地保护人、环境和财产不受或少受影响。</w:t>
      </w:r>
    </w:p>
    <w:p w14:paraId="559A967F">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2、应急预案基本内容</w:t>
      </w:r>
    </w:p>
    <w:p w14:paraId="268C623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针对本项目可能发生的风险事故，制定相应的应急预案，以处理突发事故，降低风险，并与当地政府应急预案衔接，报当地政府备案。本工程位于已建区块内，可以纳入</w:t>
      </w:r>
      <w:r>
        <w:rPr>
          <w:rFonts w:hint="eastAsia" w:ascii="Times New Roman" w:hAnsi="Times New Roman" w:eastAsia="宋体" w:cs="Times New Roman"/>
          <w:color w:val="auto"/>
          <w:w w:val="99"/>
          <w:kern w:val="0"/>
          <w:sz w:val="24"/>
          <w:szCs w:val="24"/>
          <w:highlight w:val="none"/>
          <w:lang w:val="en-US" w:eastAsia="zh-CN" w:bidi="zh-CN"/>
        </w:rPr>
        <w:t>采气分公司</w:t>
      </w:r>
      <w:r>
        <w:rPr>
          <w:rFonts w:hint="default" w:ascii="Times New Roman" w:hAnsi="Times New Roman" w:eastAsia="宋体" w:cs="Times New Roman"/>
          <w:color w:val="auto"/>
          <w:w w:val="99"/>
          <w:kern w:val="0"/>
          <w:sz w:val="24"/>
          <w:szCs w:val="24"/>
          <w:highlight w:val="none"/>
          <w:lang w:val="en-US" w:eastAsia="zh-CN" w:bidi="zh-CN"/>
        </w:rPr>
        <w:t>原有应急体系内，不需对本工程提出新的应急预案，发生风险事故时按已建立的事故风险应急预案执行，在执行应急预案的同时，要加强区域应急联动体系，发生事故必要时可直接向向邻近企业、单位和政府部门、消防队、环保局、安全生产监督管理局和市政府报告，申请求援并要求周围企业单位启动应急计划。该应急预案需补充内容如下：</w:t>
      </w:r>
    </w:p>
    <w:p w14:paraId="72A1079C">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（1）依托大庆油田公司监测机构建立事故应急监测机制，及时进行事故环境影响监测。</w:t>
      </w:r>
    </w:p>
    <w:p w14:paraId="26ADE2E2">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（2）环境监测内容</w:t>
      </w:r>
    </w:p>
    <w:p w14:paraId="77E5D1A3">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本项目发生污染事故时，对环境的影响主要是对生态（包括土壤、植被）和大气环境的影响，应急监测主要是这几方面的内容。</w:t>
      </w:r>
    </w:p>
    <w:p w14:paraId="46A85CBD">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①</w:t>
      </w:r>
      <w:r>
        <w:rPr>
          <w:rFonts w:hint="default" w:ascii="Times New Roman" w:hAnsi="Times New Roman" w:eastAsia="宋体" w:cs="Times New Roman"/>
          <w:color w:val="auto"/>
          <w:w w:val="99"/>
          <w:kern w:val="0"/>
          <w:sz w:val="24"/>
          <w:szCs w:val="24"/>
          <w:highlight w:val="none"/>
          <w:lang w:val="en-US" w:eastAsia="zh-CN" w:bidi="zh-CN"/>
        </w:rPr>
        <w:t>生态方面：对事故现场及周围区域的植物、土壤进行危害监测，并在事故后不定期的对生态环境的恢复状况进行监测；</w:t>
      </w:r>
    </w:p>
    <w:p w14:paraId="43FAA8AF">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②</w:t>
      </w:r>
      <w:r>
        <w:rPr>
          <w:rFonts w:hint="default" w:ascii="Times New Roman" w:hAnsi="Times New Roman" w:eastAsia="宋体" w:cs="Times New Roman"/>
          <w:color w:val="auto"/>
          <w:w w:val="99"/>
          <w:kern w:val="0"/>
          <w:sz w:val="24"/>
          <w:szCs w:val="24"/>
          <w:highlight w:val="none"/>
          <w:lang w:val="en-US" w:eastAsia="zh-CN" w:bidi="zh-CN"/>
        </w:rPr>
        <w:t>大气环境：应对事故全过程（发生时，控制时和事故后）进行监测，特别应对事故发生地附近的敏感区域进行大气监测；</w:t>
      </w:r>
    </w:p>
    <w:p w14:paraId="02261C3E">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③</w:t>
      </w:r>
      <w:r>
        <w:rPr>
          <w:rFonts w:hint="default" w:ascii="Times New Roman" w:hAnsi="Times New Roman" w:eastAsia="宋体" w:cs="Times New Roman"/>
          <w:color w:val="auto"/>
          <w:w w:val="99"/>
          <w:kern w:val="0"/>
          <w:sz w:val="24"/>
          <w:szCs w:val="24"/>
          <w:highlight w:val="none"/>
          <w:lang w:val="en-US" w:eastAsia="zh-CN" w:bidi="zh-CN"/>
        </w:rPr>
        <w:t>水环境：应对事故全过程（发生时，控制时和事故后）所影响的地表水环境和地下水环境进行监测；</w:t>
      </w:r>
    </w:p>
    <w:p w14:paraId="0B1621C3">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④</w:t>
      </w:r>
      <w:r>
        <w:rPr>
          <w:rFonts w:hint="default" w:ascii="Times New Roman" w:hAnsi="Times New Roman" w:eastAsia="宋体" w:cs="Times New Roman"/>
          <w:color w:val="auto"/>
          <w:w w:val="99"/>
          <w:kern w:val="0"/>
          <w:sz w:val="24"/>
          <w:szCs w:val="24"/>
          <w:highlight w:val="none"/>
          <w:lang w:val="en-US" w:eastAsia="zh-CN" w:bidi="zh-CN"/>
        </w:rPr>
        <w:t>土壤环境：应对事故全过程（发生时，控制时和事故后）进行监测，特别应对事故发生地附近的敏感区域进行土壤监测；</w:t>
      </w:r>
    </w:p>
    <w:p w14:paraId="6B19E1E6">
      <w:pPr>
        <w:pStyle w:val="46"/>
        <w:spacing w:after="0" w:line="440" w:lineRule="exact"/>
        <w:ind w:left="0" w:leftChars="0" w:firstLine="474" w:firstLineChars="200"/>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⑤</w:t>
      </w:r>
      <w:r>
        <w:rPr>
          <w:rFonts w:hint="default" w:ascii="Times New Roman" w:hAnsi="Times New Roman" w:eastAsia="宋体" w:cs="Times New Roman"/>
          <w:color w:val="auto"/>
          <w:w w:val="99"/>
          <w:kern w:val="0"/>
          <w:sz w:val="24"/>
          <w:szCs w:val="24"/>
          <w:highlight w:val="none"/>
          <w:lang w:val="en-US" w:eastAsia="zh-CN" w:bidi="zh-CN"/>
        </w:rPr>
        <w:t>负责单位要根据监测结果编制事故污染报告，确定事故影响范围，为制定治理措施提供依据。</w:t>
      </w:r>
    </w:p>
    <w:p w14:paraId="5AFC1DE5">
      <w:pPr>
        <w:widowControl w:val="0"/>
        <w:spacing w:line="440" w:lineRule="exact"/>
        <w:ind w:firstLine="474" w:firstLineChars="200"/>
        <w:jc w:val="both"/>
        <w:rPr>
          <w:rFonts w:ascii="Times New Roman" w:hAnsi="Times New Roman" w:cs="Times New Roman"/>
          <w:bCs/>
          <w:color w:val="auto"/>
          <w:w w:val="99"/>
          <w:kern w:val="2"/>
          <w:highlight w:val="none"/>
        </w:rPr>
      </w:pPr>
      <w:r>
        <w:rPr>
          <w:rFonts w:ascii="Times New Roman" w:hAnsi="Times New Roman" w:cs="Times New Roman"/>
          <w:bCs/>
          <w:color w:val="auto"/>
          <w:w w:val="99"/>
          <w:kern w:val="2"/>
          <w:highlight w:val="none"/>
        </w:rPr>
        <w:t>3、应急预案有效性分析</w:t>
      </w:r>
    </w:p>
    <w:p w14:paraId="1513B3BC">
      <w:pPr>
        <w:widowControl w:val="0"/>
        <w:spacing w:line="440" w:lineRule="exact"/>
        <w:ind w:firstLine="474" w:firstLineChars="200"/>
        <w:jc w:val="both"/>
        <w:rPr>
          <w:rFonts w:ascii="Times New Roman" w:hAnsi="Times New Roman" w:cs="Times New Roman"/>
          <w:color w:val="auto"/>
          <w:w w:val="99"/>
          <w:kern w:val="2"/>
          <w:highlight w:val="none"/>
        </w:rPr>
      </w:pPr>
      <w:r>
        <w:rPr>
          <w:rFonts w:hint="eastAsia" w:ascii="Times New Roman" w:hAnsi="Times New Roman" w:cs="Times New Roman"/>
          <w:bCs/>
          <w:color w:val="auto"/>
          <w:w w:val="99"/>
          <w:kern w:val="2"/>
          <w:highlight w:val="none"/>
          <w:lang w:eastAsia="zh-CN"/>
        </w:rPr>
        <w:t xml:space="preserve">大庆油田有限责任公司采气分公司 </w:t>
      </w:r>
      <w:r>
        <w:rPr>
          <w:rFonts w:ascii="Times New Roman" w:hAnsi="Times New Roman" w:cs="Times New Roman"/>
          <w:color w:val="auto"/>
          <w:w w:val="99"/>
          <w:kern w:val="2"/>
          <w:highlight w:val="none"/>
        </w:rPr>
        <w:t>编制了</w:t>
      </w:r>
      <w:r>
        <w:rPr>
          <w:rFonts w:ascii="Times New Roman" w:hAnsi="Times New Roman" w:cs="Times New Roman" w:eastAsiaTheme="minorEastAsia"/>
          <w:bCs/>
          <w:color w:val="auto"/>
          <w:w w:val="99"/>
          <w:highlight w:val="none"/>
        </w:rPr>
        <w:t>《环境突发事件专项应急预案》</w:t>
      </w:r>
      <w:r>
        <w:rPr>
          <w:rFonts w:ascii="Times New Roman" w:hAnsi="Times New Roman" w:cs="Times New Roman"/>
          <w:color w:val="auto"/>
          <w:w w:val="99"/>
          <w:kern w:val="2"/>
          <w:highlight w:val="none"/>
        </w:rPr>
        <w:t>，该应急预案主要针对项目运营过程中可能突发的各种环境风险事故等制定了详细的安全应急救援预案。预案中包含了应急救援任务和目标、原则、组织机构、应急救援职责、突发事件信息报送及处置、应急响应和处置、应急措施以及应急救援值班电话和联络电话，充分保证了项目运营期发生的风险事故得到及时救援和处理。降低了环境风险的危害。</w:t>
      </w:r>
    </w:p>
    <w:p w14:paraId="2FE2E919">
      <w:pPr>
        <w:widowControl w:val="0"/>
        <w:spacing w:line="440" w:lineRule="exact"/>
        <w:ind w:firstLine="474" w:firstLineChars="200"/>
        <w:jc w:val="both"/>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highlight w:val="none"/>
        </w:rPr>
        <w:t>应急预案制定完毕后，</w:t>
      </w:r>
      <w:r>
        <w:rPr>
          <w:rFonts w:hint="eastAsia" w:ascii="Times New Roman" w:hAnsi="Times New Roman" w:cs="Times New Roman"/>
          <w:bCs/>
          <w:color w:val="auto"/>
          <w:w w:val="99"/>
          <w:kern w:val="2"/>
          <w:highlight w:val="none"/>
          <w:lang w:eastAsia="zh-CN"/>
        </w:rPr>
        <w:t xml:space="preserve">大庆油田有限责任公司采气分公司 </w:t>
      </w:r>
      <w:r>
        <w:rPr>
          <w:rFonts w:ascii="Times New Roman" w:hAnsi="Times New Roman" w:cs="Times New Roman"/>
          <w:color w:val="auto"/>
          <w:w w:val="99"/>
          <w:kern w:val="2"/>
          <w:highlight w:val="none"/>
        </w:rPr>
        <w:t>各作业区平均每月开展一次应急预案的宣传教育及应急演练，保证每一个工作人员都熟悉预案的内容，熟练应急措施，检查预案的有效性和符合性，对存在的不足及时修正。</w:t>
      </w:r>
    </w:p>
    <w:p w14:paraId="2F152798">
      <w:pPr>
        <w:widowControl w:val="0"/>
        <w:spacing w:line="440" w:lineRule="exact"/>
        <w:ind w:firstLine="474" w:firstLineChars="200"/>
        <w:jc w:val="both"/>
        <w:rPr>
          <w:rFonts w:ascii="Times New Roman" w:hAnsi="Times New Roman" w:cs="Times New Roman"/>
          <w:bCs/>
          <w:color w:val="auto"/>
          <w:w w:val="99"/>
          <w:kern w:val="2"/>
          <w:highlight w:val="none"/>
        </w:rPr>
      </w:pPr>
      <w:r>
        <w:rPr>
          <w:rFonts w:ascii="Times New Roman" w:hAnsi="Times New Roman" w:cs="Times New Roman"/>
          <w:bCs/>
          <w:color w:val="auto"/>
          <w:w w:val="99"/>
          <w:kern w:val="2"/>
          <w:highlight w:val="none"/>
        </w:rPr>
        <w:t>4、应急状态地企联动</w:t>
      </w:r>
    </w:p>
    <w:p w14:paraId="599CBEF2">
      <w:pPr>
        <w:widowControl w:val="0"/>
        <w:spacing w:line="440" w:lineRule="exact"/>
        <w:ind w:firstLine="474" w:firstLineChars="200"/>
        <w:jc w:val="both"/>
        <w:rPr>
          <w:rFonts w:ascii="Times New Roman" w:hAnsi="Times New Roman" w:cs="Times New Roman"/>
          <w:bCs/>
          <w:color w:val="auto"/>
          <w:w w:val="99"/>
          <w:kern w:val="2"/>
          <w:highlight w:val="none"/>
        </w:rPr>
      </w:pPr>
      <w:r>
        <w:rPr>
          <w:rFonts w:hint="eastAsia" w:ascii="Times New Roman" w:hAnsi="Times New Roman" w:cs="Times New Roman"/>
          <w:bCs/>
          <w:color w:val="auto"/>
          <w:w w:val="99"/>
          <w:kern w:val="2"/>
          <w:highlight w:val="none"/>
          <w:lang w:eastAsia="zh-CN"/>
        </w:rPr>
        <w:t>大庆油田有限责任公司采气分公司</w:t>
      </w:r>
      <w:r>
        <w:rPr>
          <w:rFonts w:ascii="Times New Roman" w:hAnsi="Times New Roman" w:cs="Times New Roman"/>
          <w:color w:val="auto"/>
          <w:w w:val="99"/>
          <w:kern w:val="2"/>
          <w:highlight w:val="none"/>
        </w:rPr>
        <w:t>已在大庆油田有限责任公司备案登记，由大庆油田有限责任公司向市政府有</w:t>
      </w:r>
      <w:r>
        <w:rPr>
          <w:rFonts w:ascii="Times New Roman" w:hAnsi="Times New Roman" w:cs="Times New Roman"/>
          <w:bCs/>
          <w:color w:val="auto"/>
          <w:w w:val="99"/>
          <w:kern w:val="2"/>
          <w:highlight w:val="none"/>
        </w:rPr>
        <w:t>关部门及集团公司申请备案。</w:t>
      </w:r>
      <w:r>
        <w:rPr>
          <w:rFonts w:hint="eastAsia" w:ascii="Times New Roman" w:hAnsi="Times New Roman" w:cs="Times New Roman"/>
          <w:bCs/>
          <w:color w:val="auto"/>
          <w:w w:val="99"/>
          <w:kern w:val="2"/>
          <w:highlight w:val="none"/>
          <w:lang w:eastAsia="zh-CN"/>
        </w:rPr>
        <w:t xml:space="preserve">大庆油田有限责任公司采气分公司 </w:t>
      </w:r>
      <w:r>
        <w:rPr>
          <w:rFonts w:ascii="Times New Roman" w:hAnsi="Times New Roman" w:cs="Times New Roman"/>
          <w:bCs/>
          <w:color w:val="auto"/>
          <w:w w:val="99"/>
          <w:kern w:val="2"/>
          <w:highlight w:val="none"/>
        </w:rPr>
        <w:t>已备案登记《环境突发事件专项应急预案》、《生产场所泄漏、火灾、爆炸突发事件专项应急预案》、《输油气管道突发事件专项应急预案》、《注水系统突发事件专项应急预案》等专项应急预案，发生事故时，多个应急预案联动响应。同时，企业环保部门与地方社会力量保持应急状态联动，事故发生后，消防部门、医疗部门、生态环境部门及公安部门启动相应紧急预案，保障事故控制及事故救援得到有效迅捷地处理，详见下表。</w:t>
      </w:r>
    </w:p>
    <w:p w14:paraId="6D5623C0">
      <w:pPr>
        <w:widowControl w:val="0"/>
        <w:spacing w:line="440" w:lineRule="exact"/>
        <w:ind w:firstLine="476" w:firstLineChars="200"/>
        <w:jc w:val="both"/>
        <w:rPr>
          <w:rFonts w:ascii="Times New Roman" w:hAnsi="Times New Roman" w:cs="Times New Roman"/>
          <w:b/>
          <w:color w:val="auto"/>
          <w:w w:val="99"/>
          <w:kern w:val="2"/>
          <w:highlight w:val="none"/>
        </w:rPr>
      </w:pPr>
      <w:r>
        <w:rPr>
          <w:rFonts w:ascii="Times New Roman" w:hAnsi="Times New Roman" w:cs="Times New Roman"/>
          <w:b/>
          <w:color w:val="auto"/>
          <w:w w:val="99"/>
          <w:kern w:val="2"/>
          <w:highlight w:val="none"/>
        </w:rPr>
        <w:t>表6.1-</w:t>
      </w:r>
      <w:r>
        <w:rPr>
          <w:rFonts w:hint="eastAsia" w:ascii="Times New Roman" w:hAnsi="Times New Roman" w:cs="Times New Roman"/>
          <w:b/>
          <w:color w:val="auto"/>
          <w:w w:val="99"/>
          <w:kern w:val="2"/>
          <w:highlight w:val="none"/>
          <w:lang w:val="en-US" w:eastAsia="zh-CN"/>
        </w:rPr>
        <w:t>6</w:t>
      </w:r>
      <w:r>
        <w:rPr>
          <w:rFonts w:ascii="Times New Roman" w:hAnsi="Times New Roman" w:cs="Times New Roman"/>
          <w:b/>
          <w:color w:val="auto"/>
          <w:w w:val="99"/>
          <w:kern w:val="2"/>
          <w:highlight w:val="none"/>
        </w:rPr>
        <w:t xml:space="preserve">    地企联动各部门联系方式</w:t>
      </w:r>
    </w:p>
    <w:tbl>
      <w:tblPr>
        <w:tblStyle w:val="80"/>
        <w:tblW w:w="940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54"/>
        <w:gridCol w:w="5021"/>
        <w:gridCol w:w="3228"/>
      </w:tblGrid>
      <w:tr w14:paraId="014EA6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274478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序号</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70EB61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单位</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3B017E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电话</w:t>
            </w:r>
          </w:p>
        </w:tc>
      </w:tr>
      <w:tr w14:paraId="0E2CE8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3E7878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1</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0477FA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大庆油田公司总值班室</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58011B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lang w:eastAsia="zh-CN"/>
              </w:rPr>
            </w:pPr>
            <w:r>
              <w:rPr>
                <w:rFonts w:hint="eastAsia" w:ascii="Times New Roman" w:hAnsi="Times New Roman" w:eastAsia="宋体" w:cs="Times New Roman"/>
                <w:color w:val="auto"/>
                <w:w w:val="99"/>
                <w:sz w:val="21"/>
                <w:szCs w:val="21"/>
                <w:highlight w:val="none"/>
              </w:rPr>
              <w:t>0459-5963011</w:t>
            </w:r>
          </w:p>
        </w:tc>
      </w:tr>
      <w:tr w14:paraId="5CA913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39832B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2</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103745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大庆油田公司应急管理科</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3438F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lang w:eastAsia="zh-CN"/>
              </w:rPr>
            </w:pPr>
            <w:r>
              <w:rPr>
                <w:rFonts w:hint="eastAsia" w:ascii="Times New Roman" w:hAnsi="Times New Roman" w:eastAsia="宋体" w:cs="Times New Roman"/>
                <w:color w:val="auto"/>
                <w:w w:val="99"/>
                <w:sz w:val="21"/>
                <w:szCs w:val="21"/>
                <w:highlight w:val="none"/>
              </w:rPr>
              <w:t>0459-5936700</w:t>
            </w:r>
          </w:p>
        </w:tc>
      </w:tr>
      <w:tr w14:paraId="6AC9CA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262A11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3</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18D7AE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大庆市政府总值班室</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2FF2C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0459-4609222</w:t>
            </w:r>
          </w:p>
        </w:tc>
      </w:tr>
      <w:tr w14:paraId="56B23B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0A4455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4</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011FDB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大庆市让胡路区政府值班室</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7E3E28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0459-5596291</w:t>
            </w:r>
          </w:p>
        </w:tc>
      </w:tr>
      <w:tr w14:paraId="7A4DD8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71FD8C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5</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2193B3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大庆市红岗区政府值班室</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1E906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0459-4192147</w:t>
            </w:r>
          </w:p>
        </w:tc>
      </w:tr>
      <w:tr w14:paraId="5979F9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4B956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6</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498863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大庆市龙凤区政府值班室</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5E0218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0459-6243393</w:t>
            </w:r>
          </w:p>
        </w:tc>
      </w:tr>
      <w:tr w14:paraId="59BC46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4F00EB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7</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0D36F2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大庆市大同区政府值班室</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135C60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0459-4411305</w:t>
            </w:r>
          </w:p>
        </w:tc>
      </w:tr>
      <w:tr w14:paraId="79D013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649A3E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8</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11E39F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大庆市肇州县政府值班室</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386CA6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0459-8522310</w:t>
            </w:r>
          </w:p>
        </w:tc>
      </w:tr>
      <w:tr w14:paraId="6F93FC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0E3846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9</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566045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大庆市地震局</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14A6BF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0459-6398035</w:t>
            </w:r>
          </w:p>
        </w:tc>
      </w:tr>
      <w:tr w14:paraId="7F8231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208E2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10</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36EA1F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大庆市气象局</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126D6F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0459-8151615</w:t>
            </w:r>
          </w:p>
        </w:tc>
      </w:tr>
      <w:tr w14:paraId="6E69F6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2EEBAC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11</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414DA8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大庆市生态环境局</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780B2A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0459-4623818</w:t>
            </w:r>
          </w:p>
        </w:tc>
      </w:tr>
      <w:tr w14:paraId="44C33A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517D64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12</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4885B5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绥化市安达生态环境局</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5CCC21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0455-7349716</w:t>
            </w:r>
          </w:p>
        </w:tc>
      </w:tr>
      <w:tr w14:paraId="0EDDB9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70EA6D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13</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685927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绥化市肇东生态环境局</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4A893C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0455-7966009/0455-7966020</w:t>
            </w:r>
          </w:p>
        </w:tc>
      </w:tr>
      <w:tr w14:paraId="20AEAE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57BABC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14</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0C16DB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消防十三中队</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6B4EFA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0459-4515064</w:t>
            </w:r>
          </w:p>
        </w:tc>
      </w:tr>
      <w:tr w14:paraId="243A00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7F04C4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15</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4F0908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消防二十一中队</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2038BA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0459-4515693</w:t>
            </w:r>
          </w:p>
        </w:tc>
      </w:tr>
      <w:tr w14:paraId="680EC9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4B5D31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16</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47D125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消防十七中队</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4DCA6E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0459-4512699</w:t>
            </w:r>
          </w:p>
        </w:tc>
      </w:tr>
      <w:tr w14:paraId="28DA9F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21CC84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17</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68CE93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康泰医院</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6B12B0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0459-4513274</w:t>
            </w:r>
          </w:p>
        </w:tc>
      </w:tr>
      <w:tr w14:paraId="0F6130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26A0E4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18</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18DB0E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大庆油田总医院</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15FFFD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0459-5805068</w:t>
            </w:r>
          </w:p>
        </w:tc>
      </w:tr>
      <w:tr w14:paraId="5A7E61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692974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19</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5AD19A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龙南医院</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45A673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0459-5910111</w:t>
            </w:r>
          </w:p>
        </w:tc>
      </w:tr>
      <w:tr w14:paraId="0F715C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687CFB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20</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3B2E9F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高平派出所</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15F550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0459-4511574</w:t>
            </w:r>
          </w:p>
        </w:tc>
      </w:tr>
      <w:tr w14:paraId="21283D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3B969A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21</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2F8DE7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大庆市应急管理局</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688DDD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0459-6363781</w:t>
            </w:r>
          </w:p>
        </w:tc>
      </w:tr>
      <w:tr w14:paraId="7F377A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50AF09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22</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168194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安达市应急管理局</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010E21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0455-8139331</w:t>
            </w:r>
          </w:p>
        </w:tc>
      </w:tr>
      <w:tr w14:paraId="389975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54" w:type="dxa"/>
            <w:tcBorders>
              <w:top w:val="single" w:color="auto" w:sz="8" w:space="0"/>
              <w:left w:val="single" w:color="auto" w:sz="8" w:space="0"/>
              <w:bottom w:val="single" w:color="auto" w:sz="8" w:space="0"/>
              <w:right w:val="single" w:color="auto" w:sz="8" w:space="0"/>
            </w:tcBorders>
            <w:noWrap w:val="0"/>
            <w:vAlign w:val="center"/>
          </w:tcPr>
          <w:p w14:paraId="388CF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23</w:t>
            </w:r>
          </w:p>
        </w:tc>
        <w:tc>
          <w:tcPr>
            <w:tcW w:w="5021" w:type="dxa"/>
            <w:tcBorders>
              <w:top w:val="single" w:color="auto" w:sz="8" w:space="0"/>
              <w:left w:val="single" w:color="auto" w:sz="8" w:space="0"/>
              <w:bottom w:val="single" w:color="auto" w:sz="8" w:space="0"/>
              <w:right w:val="single" w:color="auto" w:sz="8" w:space="0"/>
            </w:tcBorders>
            <w:noWrap w:val="0"/>
            <w:vAlign w:val="center"/>
          </w:tcPr>
          <w:p w14:paraId="3D74A2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肇东市应急管理局</w:t>
            </w:r>
          </w:p>
        </w:tc>
        <w:tc>
          <w:tcPr>
            <w:tcW w:w="3228" w:type="dxa"/>
            <w:tcBorders>
              <w:top w:val="single" w:color="auto" w:sz="8" w:space="0"/>
              <w:left w:val="single" w:color="auto" w:sz="8" w:space="0"/>
              <w:bottom w:val="single" w:color="auto" w:sz="8" w:space="0"/>
              <w:right w:val="single" w:color="auto" w:sz="8" w:space="0"/>
            </w:tcBorders>
            <w:noWrap w:val="0"/>
            <w:vAlign w:val="center"/>
          </w:tcPr>
          <w:p w14:paraId="709624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w w:val="99"/>
                <w:sz w:val="21"/>
                <w:szCs w:val="21"/>
                <w:highlight w:val="none"/>
              </w:rPr>
            </w:pPr>
            <w:r>
              <w:rPr>
                <w:rFonts w:hint="eastAsia" w:ascii="Times New Roman" w:hAnsi="Times New Roman" w:eastAsia="宋体" w:cs="Times New Roman"/>
                <w:color w:val="auto"/>
                <w:w w:val="99"/>
                <w:sz w:val="21"/>
                <w:szCs w:val="21"/>
                <w:highlight w:val="none"/>
              </w:rPr>
              <w:t>0455-7900022</w:t>
            </w:r>
          </w:p>
        </w:tc>
      </w:tr>
    </w:tbl>
    <w:p w14:paraId="2D67D661">
      <w:pPr>
        <w:pStyle w:val="46"/>
        <w:spacing w:after="0" w:line="44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由前述分析可知以上提出的各项环境保护措施是切实有效的，同时工程对油田生产全过程采取环境保护管理措施和技术措施，有效的预防和减缓本次产能建设可能带来的不良环境影响。</w:t>
      </w:r>
    </w:p>
    <w:p w14:paraId="03981C5C">
      <w:pPr>
        <w:pStyle w:val="7"/>
        <w:widowControl w:val="0"/>
        <w:spacing w:before="60" w:after="60" w:line="440" w:lineRule="exact"/>
        <w:jc w:val="both"/>
        <w:rPr>
          <w:rFonts w:eastAsiaTheme="minorEastAsia"/>
          <w:b/>
          <w:color w:val="auto"/>
          <w:w w:val="99"/>
          <w:kern w:val="2"/>
          <w:sz w:val="24"/>
          <w:szCs w:val="24"/>
          <w:highlight w:val="none"/>
        </w:rPr>
      </w:pPr>
      <w:bookmarkStart w:id="1096" w:name="_Toc143099671"/>
      <w:bookmarkStart w:id="1097" w:name="_Toc84929327"/>
      <w:bookmarkStart w:id="1098" w:name="_Toc186444384"/>
      <w:bookmarkStart w:id="1099" w:name="_Toc131167384"/>
      <w:bookmarkStart w:id="1100" w:name="_Toc127192432"/>
      <w:bookmarkStart w:id="1101" w:name="_Toc86142026"/>
      <w:bookmarkStart w:id="1102" w:name="_Toc85640851"/>
      <w:bookmarkStart w:id="1103" w:name="_Toc126863483"/>
      <w:r>
        <w:rPr>
          <w:rFonts w:eastAsiaTheme="minorEastAsia"/>
          <w:b/>
          <w:color w:val="auto"/>
          <w:w w:val="99"/>
          <w:kern w:val="2"/>
          <w:sz w:val="24"/>
          <w:szCs w:val="24"/>
          <w:highlight w:val="none"/>
        </w:rPr>
        <w:t>6.1.8土壤保护措施</w:t>
      </w:r>
      <w:bookmarkEnd w:id="1096"/>
      <w:bookmarkEnd w:id="1097"/>
      <w:bookmarkEnd w:id="1098"/>
      <w:bookmarkEnd w:id="1099"/>
      <w:bookmarkEnd w:id="1100"/>
      <w:bookmarkEnd w:id="1101"/>
      <w:bookmarkEnd w:id="1102"/>
      <w:bookmarkEnd w:id="1103"/>
    </w:p>
    <w:p w14:paraId="7D84B615">
      <w:pPr>
        <w:widowControl w:val="0"/>
        <w:spacing w:line="440" w:lineRule="exact"/>
        <w:jc w:val="both"/>
        <w:outlineLvl w:val="3"/>
        <w:rPr>
          <w:rFonts w:ascii="Times New Roman" w:hAnsi="Times New Roman" w:cs="Times New Roman" w:eastAsiaTheme="minorEastAsia"/>
          <w:b/>
          <w:color w:val="auto"/>
          <w:w w:val="99"/>
          <w:szCs w:val="20"/>
          <w:highlight w:val="none"/>
        </w:rPr>
      </w:pPr>
      <w:r>
        <w:rPr>
          <w:rFonts w:ascii="Times New Roman" w:hAnsi="Times New Roman" w:cs="Times New Roman" w:eastAsiaTheme="minorEastAsia"/>
          <w:b/>
          <w:color w:val="auto"/>
          <w:w w:val="99"/>
          <w:szCs w:val="20"/>
          <w:highlight w:val="none"/>
        </w:rPr>
        <w:t>6.1.8.1施工期土壤污染防治措施</w:t>
      </w:r>
    </w:p>
    <w:p w14:paraId="674A3A77">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（1）加强施工中的环境管理，控制和消除土壤污染源。严禁随意倾倒污水、随意堆放固体废物，防止因“三废”处理不合理或处置措施不当对土壤造成污染；</w:t>
      </w:r>
    </w:p>
    <w:p w14:paraId="25B1C45E">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（2）井场布置必须遵守《大庆油田开发建设用地标准》规定，严格控制施工作业面积，以减少地表植被和土壤的破坏；</w:t>
      </w:r>
    </w:p>
    <w:p w14:paraId="2FC71B86">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（3）充分利用现有道路，尽量不再开辟新的临时通道；</w:t>
      </w:r>
    </w:p>
    <w:p w14:paraId="0477A133">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4）对于临时占地，在对土壤进行开挖施工时要采取措施降低土壤风蚀，减少水土流失：对土壤要分层开挖、分别堆放，按原土层回填（先填心土，后覆盖表土）平埋方式（不起土坝）进行，以便其尽快恢复植被生长；</w:t>
      </w:r>
    </w:p>
    <w:p w14:paraId="7C6FD9DF">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（5）加强管理，杜绝钻井泥浆跑冒滴漏，施工井场采取分区防渗措施，杜绝污染物泄漏对土壤造成影响；</w:t>
      </w:r>
    </w:p>
    <w:p w14:paraId="6A0630A0">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（6）加强管理，提高职工的环境保护意识，规范施工人员行为，严禁随意践踏、碾压施工区范围之外的植被。</w:t>
      </w:r>
    </w:p>
    <w:p w14:paraId="0A846AA1">
      <w:pPr>
        <w:widowControl w:val="0"/>
        <w:spacing w:line="440" w:lineRule="exact"/>
        <w:jc w:val="both"/>
        <w:outlineLvl w:val="3"/>
        <w:rPr>
          <w:rFonts w:ascii="Times New Roman" w:hAnsi="Times New Roman" w:cs="Times New Roman" w:eastAsiaTheme="minorEastAsia"/>
          <w:b/>
          <w:color w:val="auto"/>
          <w:w w:val="99"/>
          <w:szCs w:val="20"/>
          <w:highlight w:val="none"/>
        </w:rPr>
      </w:pPr>
      <w:r>
        <w:rPr>
          <w:rFonts w:ascii="Times New Roman" w:hAnsi="Times New Roman" w:cs="Times New Roman" w:eastAsiaTheme="minorEastAsia"/>
          <w:b/>
          <w:color w:val="auto"/>
          <w:w w:val="99"/>
          <w:szCs w:val="20"/>
          <w:highlight w:val="none"/>
        </w:rPr>
        <w:t>6.1.8.2运营期土壤污染防治措施</w:t>
      </w:r>
    </w:p>
    <w:p w14:paraId="14FB69AC">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针对工程可能发生的土壤污染，按照“源头控制、末端防治、污染监控、应急响应”相结合的原则，从污染物的产生、入渗、扩散、应急响应全阶段进行控制</w:t>
      </w:r>
      <w:r>
        <w:rPr>
          <w:rFonts w:ascii="Times New Roman" w:hAnsi="Times New Roman" w:cs="Times New Roman"/>
          <w:color w:val="auto"/>
          <w:w w:val="99"/>
          <w:highlight w:val="none"/>
          <w:lang w:bidi="zh-CN"/>
        </w:rPr>
        <w:t>。</w:t>
      </w:r>
    </w:p>
    <w:p w14:paraId="0C11B465">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（1）源头控制措施</w:t>
      </w:r>
    </w:p>
    <w:p w14:paraId="12B92066">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主要包括在井场、采气管道的工艺、设备等构筑物定期进行检测，提高管线的抗腐蚀能力，防止和降低污染物跑、冒、滴、漏，同时，将污染物泄漏的环境风险事故降到最低程度。</w:t>
      </w:r>
    </w:p>
    <w:p w14:paraId="631CAB37">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（2）过程控制措施</w:t>
      </w:r>
    </w:p>
    <w:p w14:paraId="5DE145BB">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lang w:bidi="zh-CN"/>
        </w:rPr>
        <w:t>对集输管线定期进行检测，防止腐蚀穿孔引起油水泄漏污染环境，同时对位于土壤腐蚀性较强的低洼地带，采用玻璃钢外防腐钢制管道，以延长埋地管道使用寿命；</w:t>
      </w:r>
      <w:r>
        <w:rPr>
          <w:rFonts w:ascii="Times New Roman" w:hAnsi="Times New Roman" w:cs="Times New Roman"/>
          <w:bCs/>
          <w:color w:val="auto"/>
          <w:w w:val="99"/>
          <w:highlight w:val="none"/>
          <w:lang w:bidi="zh-CN"/>
        </w:rPr>
        <w:t>井场永久占地采用地面夯实碾压平整处理</w:t>
      </w:r>
      <w:r>
        <w:rPr>
          <w:rFonts w:ascii="Times New Roman" w:hAnsi="Times New Roman" w:cs="Times New Roman"/>
          <w:color w:val="auto"/>
          <w:w w:val="99"/>
          <w:highlight w:val="none"/>
          <w:lang w:bidi="zh-CN"/>
        </w:rPr>
        <w:t>。同时企业在管理方面严加管理，并采取相应的防渗措施可有效防止管线和站场贮存设施发生</w:t>
      </w:r>
      <w:r>
        <w:rPr>
          <w:rFonts w:hint="eastAsia" w:ascii="Times New Roman" w:hAnsi="Times New Roman" w:cs="Times New Roman"/>
          <w:color w:val="auto"/>
          <w:w w:val="99"/>
          <w:highlight w:val="none"/>
          <w:lang w:val="en-US" w:bidi="zh-CN"/>
        </w:rPr>
        <w:t>含烃</w:t>
      </w:r>
      <w:r>
        <w:rPr>
          <w:rFonts w:ascii="Times New Roman" w:hAnsi="Times New Roman" w:cs="Times New Roman"/>
          <w:color w:val="auto"/>
          <w:w w:val="99"/>
          <w:highlight w:val="none"/>
          <w:lang w:bidi="zh-CN"/>
        </w:rPr>
        <w:t>污水泄漏事故造成对区域土壤环境的污染。</w:t>
      </w:r>
    </w:p>
    <w:p w14:paraId="263CEE3A">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（3）末端控制措施</w:t>
      </w:r>
    </w:p>
    <w:p w14:paraId="0A8BF201">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主要包括井场污染区地面的防渗措施和泄漏、渗漏污染物收集措施，即在污染区地面进行防渗处理，防止洒落地面的污染物渗入地下，并把滞留在地面的污染物收集起来集中处理；末端控制采取分区防渗原则。</w:t>
      </w:r>
    </w:p>
    <w:p w14:paraId="35CFB60E">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（4）应急响应措施</w:t>
      </w:r>
    </w:p>
    <w:p w14:paraId="7C87F892">
      <w:pPr>
        <w:pStyle w:val="2"/>
        <w:widowControl w:val="0"/>
        <w:spacing w:line="440" w:lineRule="exact"/>
        <w:ind w:firstLine="474" w:firstLineChars="200"/>
        <w:jc w:val="both"/>
        <w:rPr>
          <w:rFonts w:ascii="Times New Roman" w:hAnsi="Times New Roman"/>
          <w:color w:val="auto"/>
          <w:w w:val="99"/>
          <w:kern w:val="0"/>
          <w:szCs w:val="24"/>
          <w:highlight w:val="none"/>
          <w:lang w:bidi="zh-CN"/>
        </w:rPr>
      </w:pPr>
      <w:r>
        <w:rPr>
          <w:rFonts w:ascii="Times New Roman" w:hAnsi="Times New Roman"/>
          <w:color w:val="auto"/>
          <w:w w:val="99"/>
          <w:kern w:val="0"/>
          <w:szCs w:val="24"/>
          <w:highlight w:val="none"/>
          <w:lang w:bidi="zh-CN"/>
        </w:rPr>
        <w:t>包括一旦发现土壤污染事故，立即采取应急措施控制土壤、地下水污染，并使污染得到治理。</w:t>
      </w:r>
    </w:p>
    <w:p w14:paraId="0757EFCE">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（5）污染监控体系</w:t>
      </w:r>
    </w:p>
    <w:p w14:paraId="53976190">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为了及时了解项目场区及周边土壤环境质量状况和土壤中污染物的动态变化，根据《环境影响评价技术导则 土壤环境（试行）》（HJ964-2018）、《排污单位自行监测技术指南 陆上石油天然气开采工业》（HJ1248-2022）、《工业企业土壤和地下水自行监测技术指南（试行）》（HJ 1209-2021）相关要求，本项目拟制定土壤环境跟踪监测措施，包括制定跟踪监测计划，科学、合理地设置土壤监测点位，建立完善的跟踪监测制度，配备必要的取样设备，以便及时发现并有效控制。</w:t>
      </w:r>
    </w:p>
    <w:p w14:paraId="7186C633">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根据土壤环境影响分析结果，定期对重点影响区及土壤环境敏感点附近土壤环境进行监测，监测委托具有资质的单位进行，监测报告应存档，同时对监测结果进行信息公开。根据项目分布情况、现状监测布点情况和土壤类型分布情况，布置土壤监测点位</w:t>
      </w:r>
      <w:r>
        <w:rPr>
          <w:rFonts w:hint="eastAsia" w:ascii="Times New Roman" w:hAnsi="Times New Roman" w:cs="Times New Roman"/>
          <w:color w:val="auto"/>
          <w:w w:val="99"/>
          <w:highlight w:val="none"/>
          <w:lang w:val="en-US" w:eastAsia="zh-CN"/>
        </w:rPr>
        <w:t>2</w:t>
      </w:r>
      <w:r>
        <w:rPr>
          <w:rFonts w:ascii="Times New Roman" w:hAnsi="Times New Roman" w:cs="Times New Roman"/>
          <w:color w:val="auto"/>
          <w:w w:val="99"/>
          <w:highlight w:val="none"/>
        </w:rPr>
        <w:t>个。跟踪监测计划见表6.1-</w:t>
      </w:r>
      <w:r>
        <w:rPr>
          <w:rFonts w:hint="eastAsia" w:ascii="Times New Roman" w:hAnsi="Times New Roman" w:cs="Times New Roman"/>
          <w:color w:val="auto"/>
          <w:w w:val="99"/>
          <w:highlight w:val="none"/>
          <w:lang w:val="en-US" w:eastAsia="zh-CN"/>
        </w:rPr>
        <w:t>7</w:t>
      </w:r>
      <w:r>
        <w:rPr>
          <w:rFonts w:ascii="Times New Roman" w:hAnsi="Times New Roman" w:cs="Times New Roman"/>
          <w:color w:val="auto"/>
          <w:w w:val="99"/>
          <w:highlight w:val="none"/>
        </w:rPr>
        <w:t>，土壤跟踪监测布点图见附图</w:t>
      </w:r>
      <w:r>
        <w:rPr>
          <w:rFonts w:hint="eastAsia" w:ascii="Times New Roman" w:hAnsi="Times New Roman" w:cs="Times New Roman"/>
          <w:color w:val="auto"/>
          <w:w w:val="99"/>
          <w:highlight w:val="none"/>
          <w:lang w:val="en-US" w:eastAsia="zh-CN"/>
        </w:rPr>
        <w:t>10</w:t>
      </w:r>
      <w:r>
        <w:rPr>
          <w:rFonts w:ascii="Times New Roman" w:hAnsi="Times New Roman" w:cs="Times New Roman"/>
          <w:color w:val="auto"/>
          <w:w w:val="99"/>
          <w:highlight w:val="none"/>
        </w:rPr>
        <w:t>。</w:t>
      </w:r>
    </w:p>
    <w:p w14:paraId="5A6E7A27">
      <w:pPr>
        <w:widowControl w:val="0"/>
        <w:tabs>
          <w:tab w:val="left" w:pos="1300"/>
        </w:tabs>
        <w:spacing w:line="440" w:lineRule="exact"/>
        <w:ind w:firstLine="476" w:firstLineChars="200"/>
        <w:jc w:val="both"/>
        <w:rPr>
          <w:rFonts w:hint="eastAsia" w:ascii="Times New Roman" w:hAnsi="Times New Roman" w:cs="Times New Roman" w:eastAsiaTheme="minorEastAsia"/>
          <w:color w:val="auto"/>
          <w:w w:val="99"/>
          <w:highlight w:val="none"/>
          <w:lang w:eastAsia="zh-CN"/>
        </w:rPr>
      </w:pPr>
      <w:r>
        <w:rPr>
          <w:rFonts w:ascii="Times New Roman" w:hAnsi="Times New Roman" w:cs="Times New Roman" w:eastAsiaTheme="minorEastAsia"/>
          <w:b/>
          <w:color w:val="auto"/>
          <w:w w:val="99"/>
          <w:kern w:val="21"/>
          <w:highlight w:val="none"/>
        </w:rPr>
        <w:t>表6.1-</w:t>
      </w:r>
      <w:r>
        <w:rPr>
          <w:rFonts w:hint="eastAsia" w:ascii="Times New Roman" w:hAnsi="Times New Roman" w:cs="Times New Roman" w:eastAsiaTheme="minorEastAsia"/>
          <w:b/>
          <w:color w:val="auto"/>
          <w:w w:val="99"/>
          <w:kern w:val="21"/>
          <w:highlight w:val="none"/>
          <w:lang w:val="en-US" w:eastAsia="zh-CN"/>
        </w:rPr>
        <w:t>7</w:t>
      </w:r>
      <w:r>
        <w:rPr>
          <w:rFonts w:ascii="Times New Roman" w:hAnsi="Times New Roman" w:cs="Times New Roman" w:eastAsiaTheme="minorEastAsia"/>
          <w:b/>
          <w:color w:val="auto"/>
          <w:w w:val="99"/>
          <w:kern w:val="21"/>
          <w:highlight w:val="none"/>
        </w:rPr>
        <w:t xml:space="preserve">    </w:t>
      </w:r>
      <w:r>
        <w:rPr>
          <w:rFonts w:ascii="Times New Roman" w:hAnsi="Times New Roman" w:cs="Times New Roman"/>
          <w:b/>
          <w:color w:val="auto"/>
          <w:w w:val="99"/>
          <w:kern w:val="2"/>
          <w:highlight w:val="none"/>
        </w:rPr>
        <w:t>土壤环境</w:t>
      </w:r>
      <w:r>
        <w:rPr>
          <w:rFonts w:ascii="Times New Roman" w:hAnsi="Times New Roman" w:cs="Times New Roman" w:eastAsiaTheme="minorEastAsia"/>
          <w:b/>
          <w:color w:val="auto"/>
          <w:w w:val="99"/>
          <w:kern w:val="21"/>
          <w:highlight w:val="none"/>
        </w:rPr>
        <w:t>跟踪监测计划表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1527"/>
        <w:gridCol w:w="1308"/>
        <w:gridCol w:w="1889"/>
        <w:gridCol w:w="1162"/>
        <w:gridCol w:w="2753"/>
      </w:tblGrid>
      <w:tr w14:paraId="65E17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8" w:type="pct"/>
            <w:vAlign w:val="center"/>
          </w:tcPr>
          <w:p w14:paraId="2512BC6A">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点位</w:t>
            </w:r>
          </w:p>
        </w:tc>
        <w:tc>
          <w:tcPr>
            <w:tcW w:w="822" w:type="pct"/>
            <w:vAlign w:val="center"/>
          </w:tcPr>
          <w:p w14:paraId="0DCE2170">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位置</w:t>
            </w:r>
          </w:p>
        </w:tc>
        <w:tc>
          <w:tcPr>
            <w:tcW w:w="704" w:type="pct"/>
            <w:vAlign w:val="center"/>
          </w:tcPr>
          <w:p w14:paraId="5E69844D">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坐标</w:t>
            </w:r>
          </w:p>
        </w:tc>
        <w:tc>
          <w:tcPr>
            <w:tcW w:w="1017" w:type="pct"/>
            <w:vAlign w:val="center"/>
          </w:tcPr>
          <w:p w14:paraId="26F91F5C">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监测因子</w:t>
            </w:r>
          </w:p>
        </w:tc>
        <w:tc>
          <w:tcPr>
            <w:tcW w:w="625" w:type="pct"/>
            <w:vAlign w:val="center"/>
          </w:tcPr>
          <w:p w14:paraId="30154F1E">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监测频次</w:t>
            </w:r>
          </w:p>
        </w:tc>
        <w:tc>
          <w:tcPr>
            <w:tcW w:w="1482" w:type="pct"/>
            <w:vAlign w:val="center"/>
          </w:tcPr>
          <w:p w14:paraId="065FBC90">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执行标准</w:t>
            </w:r>
          </w:p>
        </w:tc>
      </w:tr>
      <w:tr w14:paraId="170A9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5" w:hRule="atLeast"/>
          <w:jc w:val="center"/>
        </w:trPr>
        <w:tc>
          <w:tcPr>
            <w:tcW w:w="348" w:type="pct"/>
            <w:vAlign w:val="center"/>
          </w:tcPr>
          <w:p w14:paraId="3A7F65E2">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822" w:type="pct"/>
            <w:vAlign w:val="center"/>
          </w:tcPr>
          <w:p w14:paraId="3309684C">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徐深27-H1井</w:t>
            </w:r>
            <w:r>
              <w:rPr>
                <w:rFonts w:ascii="Times New Roman" w:hAnsi="Times New Roman" w:cs="Times New Roman" w:eastAsiaTheme="minorEastAsia"/>
                <w:bCs/>
                <w:color w:val="auto"/>
                <w:w w:val="99"/>
                <w:kern w:val="2"/>
                <w:sz w:val="21"/>
                <w:szCs w:val="21"/>
                <w:highlight w:val="none"/>
              </w:rPr>
              <w:t>井场</w:t>
            </w:r>
          </w:p>
        </w:tc>
        <w:tc>
          <w:tcPr>
            <w:tcW w:w="704" w:type="pct"/>
            <w:vAlign w:val="center"/>
          </w:tcPr>
          <w:p w14:paraId="3FBB6306">
            <w:pPr>
              <w:widowControl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125.50852，45.89313</w:t>
            </w:r>
          </w:p>
        </w:tc>
        <w:tc>
          <w:tcPr>
            <w:tcW w:w="1017" w:type="pct"/>
            <w:vMerge w:val="restart"/>
            <w:vAlign w:val="center"/>
          </w:tcPr>
          <w:p w14:paraId="3B649B01">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pH、石油类、石油烃（C</w:t>
            </w:r>
            <w:r>
              <w:rPr>
                <w:rFonts w:ascii="Times New Roman" w:hAnsi="Times New Roman" w:cs="Times New Roman" w:eastAsiaTheme="minorEastAsia"/>
                <w:color w:val="auto"/>
                <w:w w:val="99"/>
                <w:sz w:val="21"/>
                <w:szCs w:val="21"/>
                <w:highlight w:val="none"/>
                <w:vertAlign w:val="subscript"/>
              </w:rPr>
              <w:t>6</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9</w:t>
            </w: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）、砷、六价铬</w:t>
            </w:r>
          </w:p>
        </w:tc>
        <w:tc>
          <w:tcPr>
            <w:tcW w:w="625" w:type="pct"/>
            <w:vMerge w:val="restart"/>
            <w:vAlign w:val="center"/>
          </w:tcPr>
          <w:p w14:paraId="3E481BA2">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1次/年</w:t>
            </w:r>
          </w:p>
        </w:tc>
        <w:tc>
          <w:tcPr>
            <w:tcW w:w="1482" w:type="pct"/>
            <w:vMerge w:val="restart"/>
            <w:vAlign w:val="center"/>
          </w:tcPr>
          <w:p w14:paraId="5D0B46C6">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《土壤环境质量 建设用地土壤污染风险管控标准（试行）》（GB36600-2018）表2（其他项目）中第二类用地石油烃筛选值</w:t>
            </w:r>
          </w:p>
        </w:tc>
      </w:tr>
      <w:tr w14:paraId="5A280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8" w:type="pct"/>
            <w:vAlign w:val="center"/>
          </w:tcPr>
          <w:p w14:paraId="17F1CF81">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822" w:type="pct"/>
            <w:vAlign w:val="center"/>
          </w:tcPr>
          <w:p w14:paraId="7CD162CD">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lang w:val="en-US" w:eastAsia="zh-CN"/>
              </w:rPr>
              <w:t>徐深27-H1井南侧</w:t>
            </w:r>
            <w:r>
              <w:rPr>
                <w:rFonts w:ascii="Times New Roman" w:hAnsi="Times New Roman" w:cs="Times New Roman" w:eastAsiaTheme="minorEastAsia"/>
                <w:bCs/>
                <w:color w:val="auto"/>
                <w:w w:val="99"/>
                <w:kern w:val="2"/>
                <w:sz w:val="21"/>
                <w:szCs w:val="21"/>
                <w:highlight w:val="none"/>
              </w:rPr>
              <w:t>200m耕地</w:t>
            </w:r>
          </w:p>
        </w:tc>
        <w:tc>
          <w:tcPr>
            <w:tcW w:w="704" w:type="pct"/>
            <w:vAlign w:val="center"/>
          </w:tcPr>
          <w:p w14:paraId="741414D1">
            <w:pPr>
              <w:widowControl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125.50857，45.89132</w:t>
            </w:r>
          </w:p>
        </w:tc>
        <w:tc>
          <w:tcPr>
            <w:tcW w:w="1017" w:type="pct"/>
            <w:vMerge w:val="continue"/>
            <w:vAlign w:val="center"/>
          </w:tcPr>
          <w:p w14:paraId="6A485F33">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625" w:type="pct"/>
            <w:vMerge w:val="continue"/>
            <w:vAlign w:val="center"/>
          </w:tcPr>
          <w:p w14:paraId="33B8A0F8">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1482" w:type="pct"/>
            <w:vMerge w:val="continue"/>
            <w:vAlign w:val="center"/>
          </w:tcPr>
          <w:p w14:paraId="22361B53">
            <w:pPr>
              <w:widowControl w:val="0"/>
              <w:spacing w:line="360" w:lineRule="exact"/>
              <w:jc w:val="center"/>
              <w:rPr>
                <w:rFonts w:ascii="Times New Roman" w:hAnsi="Times New Roman" w:cs="Times New Roman" w:eastAsiaTheme="minorEastAsia"/>
                <w:color w:val="auto"/>
                <w:w w:val="99"/>
                <w:sz w:val="21"/>
                <w:szCs w:val="21"/>
                <w:highlight w:val="none"/>
              </w:rPr>
            </w:pPr>
          </w:p>
        </w:tc>
      </w:tr>
    </w:tbl>
    <w:p w14:paraId="0226E37D">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上述监测结果应按照相关规定及时建立数据档案，并定期向社会公开监测信息。如发现异常或发生事故，需加密监测频次，确定影响源位置，分析影响结果，并及时采取应急措施。</w:t>
      </w:r>
    </w:p>
    <w:p w14:paraId="28F1DD32">
      <w:pPr>
        <w:widowControl w:val="0"/>
        <w:spacing w:line="440" w:lineRule="exact"/>
        <w:jc w:val="both"/>
        <w:outlineLvl w:val="3"/>
        <w:rPr>
          <w:rFonts w:ascii="Times New Roman" w:hAnsi="Times New Roman" w:cs="Times New Roman" w:eastAsiaTheme="minorEastAsia"/>
          <w:b/>
          <w:color w:val="auto"/>
          <w:w w:val="99"/>
          <w:szCs w:val="20"/>
          <w:highlight w:val="none"/>
        </w:rPr>
      </w:pPr>
      <w:r>
        <w:rPr>
          <w:rFonts w:ascii="Times New Roman" w:hAnsi="Times New Roman" w:cs="Times New Roman" w:eastAsiaTheme="minorEastAsia"/>
          <w:b/>
          <w:color w:val="auto"/>
          <w:w w:val="99"/>
          <w:szCs w:val="20"/>
          <w:highlight w:val="none"/>
        </w:rPr>
        <w:t>6.1.8.3退役期土壤环境保护措施</w:t>
      </w:r>
    </w:p>
    <w:p w14:paraId="61BF9624">
      <w:pPr>
        <w:widowControl w:val="0"/>
        <w:tabs>
          <w:tab w:val="left" w:pos="1300"/>
        </w:tabs>
        <w:spacing w:line="440" w:lineRule="exact"/>
        <w:ind w:firstLine="474" w:firstLineChars="200"/>
        <w:jc w:val="both"/>
        <w:rPr>
          <w:rFonts w:ascii="Times New Roman" w:hAnsi="Times New Roman" w:cs="Times New Roman"/>
          <w:color w:val="auto"/>
          <w:w w:val="99"/>
          <w:highlight w:val="none"/>
        </w:rPr>
      </w:pPr>
      <w:r>
        <w:rPr>
          <w:rFonts w:ascii="Times New Roman" w:hAnsi="Times New Roman" w:cs="Times New Roman"/>
          <w:color w:val="auto"/>
          <w:w w:val="99"/>
          <w:highlight w:val="none"/>
        </w:rPr>
        <w:t>井场退役期应按照《污染地块土壤环境管理办法（试行)》的有关规定，开展土壤环境调查及风险评估，并按照相关管理规定对污染地块采取治理与修复措施。通过采取以上污染控制措施，可保证闭井后项目用地土壤满足相关标准要求，处置措施可行。</w:t>
      </w:r>
    </w:p>
    <w:p w14:paraId="0DEFBECB">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104" w:name="_Toc7505"/>
      <w:bookmarkStart w:id="1105" w:name="_Toc173163555"/>
      <w:r>
        <w:rPr>
          <w:rFonts w:ascii="Times New Roman" w:hAnsi="Times New Roman" w:eastAsiaTheme="minorEastAsia"/>
          <w:b/>
          <w:snapToGrid w:val="0"/>
          <w:color w:val="auto"/>
          <w:w w:val="99"/>
          <w:highlight w:val="none"/>
        </w:rPr>
        <w:t>6.2“三同时”项目一览表</w:t>
      </w:r>
      <w:bookmarkEnd w:id="1104"/>
      <w:bookmarkEnd w:id="1105"/>
    </w:p>
    <w:p w14:paraId="417731CF">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为进一步落实本项目工程设计和环境影响评价提出的各项环保措施，确保环保工程发挥真正作用，本评价列出“三同时”项目表和竣工验收监测与调查的相关要求，具体内容见表6.2-1、表6.2-2。</w:t>
      </w:r>
    </w:p>
    <w:p w14:paraId="14BEB7A8">
      <w:pPr>
        <w:widowControl w:val="0"/>
        <w:spacing w:line="440" w:lineRule="exact"/>
        <w:ind w:firstLine="476" w:firstLineChars="200"/>
        <w:jc w:val="both"/>
        <w:rPr>
          <w:rFonts w:ascii="Times New Roman" w:hAnsi="Times New Roman" w:cs="Times New Roman" w:eastAsiaTheme="minorEastAsia"/>
          <w:b/>
          <w:color w:val="auto"/>
          <w:w w:val="99"/>
          <w:kern w:val="21"/>
          <w:highlight w:val="none"/>
        </w:rPr>
      </w:pPr>
      <w:r>
        <w:rPr>
          <w:rFonts w:ascii="Times New Roman" w:hAnsi="Times New Roman" w:cs="Times New Roman" w:eastAsiaTheme="minorEastAsia"/>
          <w:b/>
          <w:color w:val="auto"/>
          <w:w w:val="99"/>
          <w:kern w:val="21"/>
          <w:highlight w:val="none"/>
        </w:rPr>
        <w:t xml:space="preserve">表6.2-1     </w:t>
      </w:r>
      <w:r>
        <w:rPr>
          <w:rFonts w:ascii="Times New Roman" w:hAnsi="Times New Roman" w:cs="Times New Roman"/>
          <w:b/>
          <w:color w:val="auto"/>
          <w:w w:val="99"/>
          <w:kern w:val="2"/>
          <w:highlight w:val="none"/>
        </w:rPr>
        <w:t>“三同时”</w:t>
      </w:r>
      <w:r>
        <w:rPr>
          <w:rFonts w:ascii="Times New Roman" w:hAnsi="Times New Roman" w:cs="Times New Roman" w:eastAsiaTheme="minorEastAsia"/>
          <w:b/>
          <w:color w:val="auto"/>
          <w:w w:val="99"/>
          <w:kern w:val="21"/>
          <w:highlight w:val="none"/>
        </w:rPr>
        <w:t>项目一览表</w:t>
      </w:r>
    </w:p>
    <w:tbl>
      <w:tblPr>
        <w:tblStyle w:val="1662"/>
        <w:tblW w:w="51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6"/>
        <w:gridCol w:w="745"/>
        <w:gridCol w:w="1856"/>
        <w:gridCol w:w="2713"/>
        <w:gridCol w:w="3163"/>
      </w:tblGrid>
      <w:tr w14:paraId="47FB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1858" w:type="pct"/>
            <w:gridSpan w:val="3"/>
            <w:vAlign w:val="center"/>
          </w:tcPr>
          <w:p w14:paraId="0DF05BAA">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污染防治内容</w:t>
            </w:r>
          </w:p>
        </w:tc>
        <w:tc>
          <w:tcPr>
            <w:tcW w:w="1450" w:type="pct"/>
            <w:vAlign w:val="center"/>
          </w:tcPr>
          <w:p w14:paraId="72A2FE40">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环保措施</w:t>
            </w:r>
          </w:p>
        </w:tc>
        <w:tc>
          <w:tcPr>
            <w:tcW w:w="1691" w:type="pct"/>
            <w:vAlign w:val="center"/>
          </w:tcPr>
          <w:p w14:paraId="33527701">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验收标准</w:t>
            </w:r>
          </w:p>
        </w:tc>
      </w:tr>
      <w:tr w14:paraId="2F45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trPr>
        <w:tc>
          <w:tcPr>
            <w:tcW w:w="468" w:type="pct"/>
            <w:vMerge w:val="restart"/>
            <w:vAlign w:val="center"/>
          </w:tcPr>
          <w:p w14:paraId="15CF2023">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废 气</w:t>
            </w:r>
          </w:p>
        </w:tc>
        <w:tc>
          <w:tcPr>
            <w:tcW w:w="398" w:type="pct"/>
            <w:vAlign w:val="center"/>
          </w:tcPr>
          <w:p w14:paraId="36F05711">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施工期</w:t>
            </w:r>
          </w:p>
        </w:tc>
        <w:tc>
          <w:tcPr>
            <w:tcW w:w="992" w:type="pct"/>
            <w:shd w:val="clear" w:color="auto" w:fill="auto"/>
            <w:vAlign w:val="center"/>
          </w:tcPr>
          <w:p w14:paraId="5D085D4B">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扬尘、焊接烟尘</w:t>
            </w:r>
          </w:p>
        </w:tc>
        <w:tc>
          <w:tcPr>
            <w:tcW w:w="1450" w:type="pct"/>
            <w:vAlign w:val="center"/>
          </w:tcPr>
          <w:p w14:paraId="11E27F6B">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及时洒水、临时土方等加盖苫布等遮盖物</w:t>
            </w:r>
          </w:p>
        </w:tc>
        <w:tc>
          <w:tcPr>
            <w:tcW w:w="1691" w:type="pct"/>
            <w:vAlign w:val="center"/>
          </w:tcPr>
          <w:p w14:paraId="3D19F3A9">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施工场界执行《大气污染物综合排放标准》（GB16297-1996）颗粒物无组织排放限值：≤1.0mg/m</w:t>
            </w:r>
            <w:r>
              <w:rPr>
                <w:rFonts w:ascii="Times New Roman" w:hAnsi="Times New Roman" w:eastAsia="宋体" w:cs="Times New Roman"/>
                <w:color w:val="auto"/>
                <w:w w:val="99"/>
                <w:sz w:val="21"/>
                <w:szCs w:val="21"/>
                <w:highlight w:val="none"/>
                <w:vertAlign w:val="superscript"/>
                <w:lang w:val="en-US" w:eastAsia="zh-CN" w:bidi="ar-SA"/>
              </w:rPr>
              <w:t>3</w:t>
            </w:r>
          </w:p>
        </w:tc>
      </w:tr>
      <w:tr w14:paraId="6E3C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5" w:hRule="atLeast"/>
        </w:trPr>
        <w:tc>
          <w:tcPr>
            <w:tcW w:w="468" w:type="pct"/>
            <w:vMerge w:val="continue"/>
            <w:textDirection w:val="tbRlV"/>
            <w:vAlign w:val="center"/>
          </w:tcPr>
          <w:p w14:paraId="4B054DC7">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p>
        </w:tc>
        <w:tc>
          <w:tcPr>
            <w:tcW w:w="398" w:type="pct"/>
            <w:vMerge w:val="restart"/>
            <w:vAlign w:val="center"/>
          </w:tcPr>
          <w:p w14:paraId="73F8EA22">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运营期</w:t>
            </w:r>
          </w:p>
        </w:tc>
        <w:tc>
          <w:tcPr>
            <w:tcW w:w="992" w:type="pct"/>
            <w:shd w:val="clear" w:color="auto" w:fill="auto"/>
            <w:vAlign w:val="center"/>
          </w:tcPr>
          <w:p w14:paraId="48E7663A">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燃烧烟气（SO</w:t>
            </w:r>
            <w:r>
              <w:rPr>
                <w:rFonts w:ascii="Times New Roman" w:hAnsi="Times New Roman" w:eastAsia="宋体" w:cs="Times New Roman"/>
                <w:color w:val="auto"/>
                <w:w w:val="99"/>
                <w:sz w:val="21"/>
                <w:szCs w:val="21"/>
                <w:highlight w:val="none"/>
                <w:vertAlign w:val="subscript"/>
                <w:lang w:val="en-US" w:eastAsia="zh-CN" w:bidi="ar-SA"/>
              </w:rPr>
              <w:t>2</w:t>
            </w:r>
            <w:r>
              <w:rPr>
                <w:rFonts w:ascii="Times New Roman" w:hAnsi="Times New Roman" w:eastAsia="宋体" w:cs="Times New Roman"/>
                <w:color w:val="auto"/>
                <w:w w:val="99"/>
                <w:sz w:val="21"/>
                <w:szCs w:val="21"/>
                <w:highlight w:val="none"/>
                <w:lang w:val="en-US" w:eastAsia="zh-CN" w:bidi="ar-SA"/>
              </w:rPr>
              <w:t>、</w:t>
            </w:r>
          </w:p>
          <w:p w14:paraId="31EA4B5F">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NOx 、颗粒物、烟气黑度）</w:t>
            </w:r>
          </w:p>
        </w:tc>
        <w:tc>
          <w:tcPr>
            <w:tcW w:w="1450" w:type="pct"/>
            <w:vAlign w:val="center"/>
          </w:tcPr>
          <w:p w14:paraId="5777D350">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徐深27集气站</w:t>
            </w:r>
            <w:r>
              <w:rPr>
                <w:rFonts w:ascii="Times New Roman" w:hAnsi="Times New Roman" w:eastAsia="宋体" w:cs="Times New Roman"/>
                <w:color w:val="auto"/>
                <w:w w:val="99"/>
                <w:sz w:val="21"/>
                <w:szCs w:val="21"/>
                <w:highlight w:val="none"/>
                <w:lang w:val="en-US" w:eastAsia="zh-CN" w:bidi="ar-SA"/>
              </w:rPr>
              <w:t>加热炉采用清洁能源天然气为燃料 ，采用低氮燃烧器（国内一般），燃烧烟气通过</w:t>
            </w:r>
            <w:r>
              <w:rPr>
                <w:rFonts w:hint="eastAsia" w:ascii="Times New Roman" w:hAnsi="Times New Roman" w:eastAsia="宋体" w:cs="Times New Roman"/>
                <w:color w:val="auto"/>
                <w:w w:val="99"/>
                <w:sz w:val="21"/>
                <w:szCs w:val="21"/>
                <w:highlight w:val="none"/>
                <w:lang w:val="en-US" w:eastAsia="zh-CN" w:bidi="ar-SA"/>
              </w:rPr>
              <w:t>不低于8</w:t>
            </w:r>
            <w:r>
              <w:rPr>
                <w:rFonts w:ascii="Times New Roman" w:hAnsi="Times New Roman" w:eastAsia="宋体" w:cs="Times New Roman"/>
                <w:color w:val="auto"/>
                <w:w w:val="99"/>
                <w:sz w:val="21"/>
                <w:szCs w:val="21"/>
                <w:highlight w:val="none"/>
                <w:lang w:val="en-US" w:eastAsia="zh-CN" w:bidi="ar-SA"/>
              </w:rPr>
              <w:t>m 高排气筒排放</w:t>
            </w:r>
          </w:p>
        </w:tc>
        <w:tc>
          <w:tcPr>
            <w:tcW w:w="1691" w:type="pct"/>
            <w:vAlign w:val="center"/>
          </w:tcPr>
          <w:p w14:paraId="2B54D370">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依托场站</w:t>
            </w:r>
            <w:r>
              <w:rPr>
                <w:rFonts w:ascii="Times New Roman" w:hAnsi="Times New Roman" w:eastAsia="宋体" w:cs="Times New Roman"/>
                <w:color w:val="auto"/>
                <w:w w:val="99"/>
                <w:sz w:val="21"/>
                <w:szCs w:val="21"/>
                <w:highlight w:val="none"/>
                <w:lang w:val="en-US" w:eastAsia="zh-CN" w:bidi="ar-SA"/>
              </w:rPr>
              <w:t>加热炉燃烧烟气执行《锅炉大气污染物排放标准》（GB13271-2014）中表 2 新建锅炉大气污染物排放浓度限值中燃气锅炉标准限值</w:t>
            </w:r>
          </w:p>
        </w:tc>
      </w:tr>
      <w:tr w14:paraId="4D4D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6" w:hRule="atLeast"/>
        </w:trPr>
        <w:tc>
          <w:tcPr>
            <w:tcW w:w="468" w:type="pct"/>
            <w:vMerge w:val="continue"/>
            <w:textDirection w:val="tbRlV"/>
            <w:vAlign w:val="center"/>
          </w:tcPr>
          <w:p w14:paraId="3202CA64">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p>
        </w:tc>
        <w:tc>
          <w:tcPr>
            <w:tcW w:w="398" w:type="pct"/>
            <w:vMerge w:val="continue"/>
            <w:vAlign w:val="center"/>
          </w:tcPr>
          <w:p w14:paraId="79CC9F61">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p>
        </w:tc>
        <w:tc>
          <w:tcPr>
            <w:tcW w:w="992" w:type="pct"/>
            <w:shd w:val="clear" w:color="auto" w:fill="auto"/>
            <w:vAlign w:val="center"/>
          </w:tcPr>
          <w:p w14:paraId="73B236D3">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VOCs（以非甲烷总</w:t>
            </w:r>
          </w:p>
          <w:p w14:paraId="315EA0E4">
            <w:pPr>
              <w:pStyle w:val="2857"/>
              <w:keepNext w:val="0"/>
              <w:keepLines w:val="0"/>
              <w:pageBreakBefore w:val="0"/>
              <w:widowControl/>
              <w:kinsoku/>
              <w:wordWrap/>
              <w:overflowPunct/>
              <w:topLinePunct w:val="0"/>
              <w:autoSpaceDE/>
              <w:autoSpaceDN/>
              <w:bidi w:val="0"/>
              <w:adjustRightInd/>
              <w:snapToGrid/>
              <w:spacing w:line="360" w:lineRule="exact"/>
              <w:ind w:right="0" w:rightChars="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烃计）</w:t>
            </w:r>
          </w:p>
        </w:tc>
        <w:tc>
          <w:tcPr>
            <w:tcW w:w="1450" w:type="pct"/>
            <w:vAlign w:val="center"/>
          </w:tcPr>
          <w:p w14:paraId="499CE0BC">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采气</w:t>
            </w:r>
            <w:r>
              <w:rPr>
                <w:rFonts w:ascii="Times New Roman" w:hAnsi="Times New Roman" w:eastAsia="宋体" w:cs="Times New Roman"/>
                <w:color w:val="auto"/>
                <w:w w:val="99"/>
                <w:sz w:val="21"/>
                <w:szCs w:val="21"/>
                <w:highlight w:val="none"/>
                <w:lang w:val="en-US" w:eastAsia="zh-CN" w:bidi="ar-SA"/>
              </w:rPr>
              <w:t>管线采取密闭性良好的阀门等，确保密闭集输</w:t>
            </w:r>
          </w:p>
        </w:tc>
        <w:tc>
          <w:tcPr>
            <w:tcW w:w="1691" w:type="pct"/>
            <w:vAlign w:val="center"/>
          </w:tcPr>
          <w:p w14:paraId="6CC75D4A">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井场和依托站场厂界非甲烷总烃执行《陆上石油天然气开采工业大气污染 物 排 放 标 准 》 （GB39728-2020）中 5.9 企业边界污染物控制要求限值；</w:t>
            </w:r>
          </w:p>
          <w:p w14:paraId="2B8FA36E">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ascii="Times New Roman" w:hAnsi="Times New Roman" w:eastAsia="宋体" w:cs="Times New Roman"/>
                <w:color w:val="auto"/>
                <w:w w:val="99"/>
                <w:sz w:val="21"/>
                <w:szCs w:val="21"/>
                <w:highlight w:val="none"/>
                <w:lang w:val="en-US" w:eastAsia="zh-CN" w:bidi="ar-SA"/>
              </w:rPr>
            </w:pPr>
          </w:p>
        </w:tc>
      </w:tr>
      <w:tr w14:paraId="669A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8" w:hRule="atLeast"/>
        </w:trPr>
        <w:tc>
          <w:tcPr>
            <w:tcW w:w="468" w:type="pct"/>
            <w:vMerge w:val="restart"/>
            <w:vAlign w:val="center"/>
          </w:tcPr>
          <w:p w14:paraId="568CE4DE">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废水</w:t>
            </w:r>
          </w:p>
        </w:tc>
        <w:tc>
          <w:tcPr>
            <w:tcW w:w="398" w:type="pct"/>
            <w:vMerge w:val="restart"/>
            <w:vAlign w:val="center"/>
          </w:tcPr>
          <w:p w14:paraId="65AB0A7E">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施工期</w:t>
            </w:r>
          </w:p>
        </w:tc>
        <w:tc>
          <w:tcPr>
            <w:tcW w:w="992" w:type="pct"/>
            <w:vAlign w:val="center"/>
          </w:tcPr>
          <w:p w14:paraId="5D9EF392">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施工人员生活污水</w:t>
            </w:r>
          </w:p>
        </w:tc>
        <w:tc>
          <w:tcPr>
            <w:tcW w:w="1450" w:type="pct"/>
            <w:vAlign w:val="center"/>
          </w:tcPr>
          <w:p w14:paraId="102BD59C">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施工期生活污水排入本项目附近集气站已建生活污水收集设施，定期由大庆石油管理局有限公司庆南工矿服务公司红岗分公司拉运至大庆红岗区西巷污水回收站，管输至南区污水处理厂进行处理。</w:t>
            </w:r>
          </w:p>
        </w:tc>
        <w:tc>
          <w:tcPr>
            <w:tcW w:w="1691" w:type="pct"/>
            <w:vAlign w:val="center"/>
          </w:tcPr>
          <w:p w14:paraId="749215F0">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w:t>
            </w:r>
          </w:p>
        </w:tc>
      </w:tr>
      <w:tr w14:paraId="0ED8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7" w:hRule="atLeast"/>
        </w:trPr>
        <w:tc>
          <w:tcPr>
            <w:tcW w:w="468" w:type="pct"/>
            <w:vMerge w:val="continue"/>
            <w:textDirection w:val="tbRlV"/>
            <w:vAlign w:val="center"/>
          </w:tcPr>
          <w:p w14:paraId="290ED771">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p>
        </w:tc>
        <w:tc>
          <w:tcPr>
            <w:tcW w:w="398" w:type="pct"/>
            <w:vMerge w:val="continue"/>
            <w:vAlign w:val="center"/>
          </w:tcPr>
          <w:p w14:paraId="54BEF66D">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p>
        </w:tc>
        <w:tc>
          <w:tcPr>
            <w:tcW w:w="992" w:type="pct"/>
            <w:vAlign w:val="center"/>
          </w:tcPr>
          <w:p w14:paraId="4D31065B">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试压废水</w:t>
            </w:r>
          </w:p>
        </w:tc>
        <w:tc>
          <w:tcPr>
            <w:tcW w:w="1450" w:type="pct"/>
            <w:vAlign w:val="center"/>
          </w:tcPr>
          <w:p w14:paraId="5843DD2E">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经罐车拉运至升一联气田污水预处理站</w:t>
            </w:r>
            <w:r>
              <w:rPr>
                <w:rFonts w:hint="eastAsia" w:ascii="Times New Roman" w:hAnsi="Times New Roman" w:eastAsia="宋体" w:cs="Times New Roman"/>
                <w:color w:val="auto"/>
                <w:w w:val="99"/>
                <w:sz w:val="21"/>
                <w:szCs w:val="21"/>
                <w:highlight w:val="none"/>
                <w:lang w:val="en-US" w:eastAsia="zh-CN" w:bidi="ar-SA"/>
              </w:rPr>
              <w:t>，达标后回注地下油层，不外排</w:t>
            </w:r>
          </w:p>
        </w:tc>
        <w:tc>
          <w:tcPr>
            <w:tcW w:w="1691" w:type="pct"/>
            <w:vAlign w:val="center"/>
          </w:tcPr>
          <w:p w14:paraId="0F1B7DE1">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处理后的水质执行《大庆油田地面工程 建设设计 规定》（Q/SYDQ 0639-2015   ） 限 值 “   含 油 量≤10mg/L 、悬浮固体含量≤5mg/L 、粒径中值≤2μm” ，同时满足《碎屑岩油藏注水水质指标技术要求及分析方法》(SY/T5329-2022)中标准限值，回注地下</w:t>
            </w:r>
            <w:r>
              <w:rPr>
                <w:rFonts w:hint="eastAsia" w:ascii="Times New Roman" w:hAnsi="Times New Roman" w:eastAsia="宋体" w:cs="Times New Roman"/>
                <w:color w:val="auto"/>
                <w:w w:val="99"/>
                <w:sz w:val="21"/>
                <w:szCs w:val="21"/>
                <w:highlight w:val="none"/>
                <w:lang w:val="en-US" w:eastAsia="zh-CN" w:bidi="ar-SA"/>
              </w:rPr>
              <w:t>油层，不外排。</w:t>
            </w:r>
          </w:p>
        </w:tc>
      </w:tr>
      <w:tr w14:paraId="10FA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7" w:hRule="atLeast"/>
        </w:trPr>
        <w:tc>
          <w:tcPr>
            <w:tcW w:w="468" w:type="pct"/>
            <w:vMerge w:val="continue"/>
            <w:tcBorders>
              <w:bottom w:val="single" w:color="auto" w:sz="4" w:space="0"/>
            </w:tcBorders>
            <w:textDirection w:val="tbRlV"/>
            <w:vAlign w:val="center"/>
          </w:tcPr>
          <w:p w14:paraId="6489B2BA">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p>
        </w:tc>
        <w:tc>
          <w:tcPr>
            <w:tcW w:w="398" w:type="pct"/>
            <w:tcBorders>
              <w:bottom w:val="single" w:color="auto" w:sz="4" w:space="0"/>
            </w:tcBorders>
            <w:shd w:val="clear" w:color="auto" w:fill="auto"/>
            <w:vAlign w:val="top"/>
          </w:tcPr>
          <w:p w14:paraId="675DA7CE">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p>
          <w:p w14:paraId="4DD067F5">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运营期</w:t>
            </w:r>
          </w:p>
          <w:p w14:paraId="391C68C4">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p>
          <w:p w14:paraId="2C895251">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en-US" w:bidi="ar-SA"/>
              </w:rPr>
            </w:pPr>
          </w:p>
        </w:tc>
        <w:tc>
          <w:tcPr>
            <w:tcW w:w="992" w:type="pct"/>
            <w:tcBorders>
              <w:bottom w:val="single" w:color="auto" w:sz="4" w:space="0"/>
            </w:tcBorders>
            <w:shd w:val="clear" w:color="auto" w:fill="auto"/>
            <w:vAlign w:val="center"/>
          </w:tcPr>
          <w:p w14:paraId="4B340DD6">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r>
              <w:rPr>
                <w:rFonts w:ascii="Times New Roman" w:hAnsi="Times New Roman" w:eastAsia="宋体" w:cs="Times New Roman"/>
                <w:color w:val="auto"/>
                <w:w w:val="99"/>
                <w:sz w:val="21"/>
                <w:szCs w:val="21"/>
                <w:highlight w:val="none"/>
                <w:lang w:val="en-US" w:eastAsia="zh-CN" w:bidi="ar-SA"/>
              </w:rPr>
              <w:t>气田采出水</w:t>
            </w:r>
          </w:p>
        </w:tc>
        <w:tc>
          <w:tcPr>
            <w:tcW w:w="1450" w:type="pct"/>
            <w:tcBorders>
              <w:bottom w:val="single" w:color="auto" w:sz="4" w:space="0"/>
            </w:tcBorders>
            <w:shd w:val="clear" w:color="auto" w:fill="auto"/>
            <w:vAlign w:val="top"/>
          </w:tcPr>
          <w:p w14:paraId="3C1A36D9">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p>
          <w:p w14:paraId="6875A44F">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zh-CN" w:bidi="ar-SA"/>
              </w:rPr>
            </w:pPr>
          </w:p>
          <w:p w14:paraId="0A643345">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en-US" w:bidi="ar-SA"/>
              </w:rPr>
            </w:pPr>
            <w:r>
              <w:rPr>
                <w:rFonts w:ascii="Times New Roman" w:hAnsi="Times New Roman" w:eastAsia="宋体" w:cs="Times New Roman"/>
                <w:color w:val="auto"/>
                <w:w w:val="99"/>
                <w:sz w:val="21"/>
                <w:szCs w:val="21"/>
                <w:highlight w:val="none"/>
                <w:lang w:val="en-US" w:eastAsia="zh-CN" w:bidi="ar-SA"/>
              </w:rPr>
              <w:t>暂存在徐深</w:t>
            </w:r>
            <w:r>
              <w:rPr>
                <w:rFonts w:hint="eastAsia" w:ascii="Times New Roman" w:hAnsi="Times New Roman" w:cs="Times New Roman"/>
                <w:color w:val="auto"/>
                <w:w w:val="99"/>
                <w:sz w:val="21"/>
                <w:szCs w:val="21"/>
                <w:highlight w:val="none"/>
                <w:lang w:val="en-US" w:eastAsia="zh-CN" w:bidi="ar-SA"/>
              </w:rPr>
              <w:t>27</w:t>
            </w:r>
            <w:r>
              <w:rPr>
                <w:rFonts w:ascii="Times New Roman" w:hAnsi="Times New Roman" w:eastAsia="宋体" w:cs="Times New Roman"/>
                <w:color w:val="auto"/>
                <w:w w:val="99"/>
                <w:sz w:val="21"/>
                <w:szCs w:val="21"/>
                <w:highlight w:val="none"/>
                <w:lang w:val="en-US" w:eastAsia="zh-CN" w:bidi="ar-SA"/>
              </w:rPr>
              <w:t>集气站污水储罐内，经管线输送至升一联气田污水预处理站处理达标后回注地下</w:t>
            </w:r>
          </w:p>
        </w:tc>
        <w:tc>
          <w:tcPr>
            <w:tcW w:w="1691" w:type="pct"/>
            <w:tcBorders>
              <w:bottom w:val="single" w:color="auto" w:sz="4" w:space="0"/>
            </w:tcBorders>
            <w:shd w:val="clear" w:color="auto" w:fill="auto"/>
            <w:vAlign w:val="top"/>
          </w:tcPr>
          <w:p w14:paraId="4456E436">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ascii="Times New Roman" w:hAnsi="Times New Roman" w:eastAsia="宋体" w:cs="Times New Roman"/>
                <w:color w:val="auto"/>
                <w:w w:val="99"/>
                <w:sz w:val="21"/>
                <w:szCs w:val="21"/>
                <w:highlight w:val="none"/>
                <w:lang w:val="en-US" w:eastAsia="en-US" w:bidi="ar-SA"/>
              </w:rPr>
            </w:pPr>
            <w:r>
              <w:rPr>
                <w:rFonts w:ascii="Times New Roman" w:hAnsi="Times New Roman" w:eastAsia="宋体" w:cs="Times New Roman"/>
                <w:color w:val="auto"/>
                <w:w w:val="99"/>
                <w:sz w:val="21"/>
                <w:szCs w:val="21"/>
                <w:highlight w:val="none"/>
                <w:lang w:val="en-US" w:eastAsia="zh-CN" w:bidi="ar-SA"/>
              </w:rPr>
              <w:t>处理后的水质执行《大庆油田地面工程 建设设计 规定》（Q/SYDQ 0639-2015   ） 限 值 “   含 油 量≤10mg/L 、悬浮固体含量≤5mg/L 、粒径中值≤2μm” ，同时满足《碎屑岩油藏注水水质指标技术要求及分析方法》(SY/T5329-2022)中标准限值，回注地下。</w:t>
            </w:r>
          </w:p>
        </w:tc>
      </w:tr>
      <w:tr w14:paraId="31D5E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8" w:type="pct"/>
            <w:vMerge w:val="restart"/>
            <w:tcBorders>
              <w:top w:val="single" w:color="auto" w:sz="4" w:space="0"/>
              <w:left w:val="single" w:color="auto" w:sz="4" w:space="0"/>
              <w:bottom w:val="single" w:color="auto" w:sz="4" w:space="0"/>
              <w:right w:val="single" w:color="auto" w:sz="4" w:space="0"/>
            </w:tcBorders>
            <w:vAlign w:val="center"/>
          </w:tcPr>
          <w:p w14:paraId="6DFEA1F4">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噪声</w:t>
            </w:r>
          </w:p>
        </w:tc>
        <w:tc>
          <w:tcPr>
            <w:tcW w:w="398" w:type="pct"/>
            <w:tcBorders>
              <w:top w:val="single" w:color="auto" w:sz="4" w:space="0"/>
              <w:left w:val="single" w:color="auto" w:sz="4" w:space="0"/>
              <w:bottom w:val="single" w:color="auto" w:sz="4" w:space="0"/>
              <w:right w:val="single" w:color="auto" w:sz="4" w:space="0"/>
            </w:tcBorders>
            <w:vAlign w:val="center"/>
          </w:tcPr>
          <w:p w14:paraId="554E9F5E">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施工期</w:t>
            </w:r>
          </w:p>
        </w:tc>
        <w:tc>
          <w:tcPr>
            <w:tcW w:w="992" w:type="pct"/>
            <w:tcBorders>
              <w:top w:val="single" w:color="auto" w:sz="4" w:space="0"/>
              <w:left w:val="single" w:color="auto" w:sz="4" w:space="0"/>
              <w:bottom w:val="single" w:color="auto" w:sz="4" w:space="0"/>
              <w:right w:val="single" w:color="auto" w:sz="4" w:space="0"/>
            </w:tcBorders>
            <w:vAlign w:val="center"/>
          </w:tcPr>
          <w:p w14:paraId="55C65F20">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施工设备</w:t>
            </w:r>
          </w:p>
        </w:tc>
        <w:tc>
          <w:tcPr>
            <w:tcW w:w="1450" w:type="pct"/>
            <w:tcBorders>
              <w:top w:val="single" w:color="auto" w:sz="4" w:space="0"/>
              <w:left w:val="single" w:color="auto" w:sz="4" w:space="0"/>
              <w:bottom w:val="single" w:color="auto" w:sz="4" w:space="0"/>
              <w:right w:val="single" w:color="auto" w:sz="4" w:space="0"/>
            </w:tcBorders>
            <w:vAlign w:val="center"/>
          </w:tcPr>
          <w:p w14:paraId="7702577F">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选用低噪声设备、合理布局等</w:t>
            </w:r>
          </w:p>
        </w:tc>
        <w:tc>
          <w:tcPr>
            <w:tcW w:w="1691" w:type="pct"/>
            <w:tcBorders>
              <w:top w:val="single" w:color="auto" w:sz="4" w:space="0"/>
              <w:left w:val="single" w:color="auto" w:sz="4" w:space="0"/>
              <w:bottom w:val="single" w:color="auto" w:sz="4" w:space="0"/>
              <w:right w:val="single" w:color="auto" w:sz="4" w:space="0"/>
            </w:tcBorders>
            <w:vAlign w:val="top"/>
          </w:tcPr>
          <w:p w14:paraId="4E3D2A9A">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zh-CN" w:bidi="ar-SA"/>
              </w:rPr>
              <w:t>执行</w:t>
            </w:r>
            <w:r>
              <w:rPr>
                <w:rFonts w:ascii="Times New Roman" w:hAnsi="Times New Roman" w:eastAsia="宋体" w:cs="Times New Roman"/>
                <w:color w:val="auto"/>
                <w:w w:val="99"/>
                <w:sz w:val="21"/>
                <w:szCs w:val="21"/>
                <w:highlight w:val="none"/>
                <w:lang w:val="en-US" w:eastAsia="zh-CN" w:bidi="ar-SA"/>
              </w:rPr>
              <w:t>《</w:t>
            </w:r>
            <w:r>
              <w:rPr>
                <w:rFonts w:hint="eastAsia" w:ascii="Times New Roman" w:hAnsi="Times New Roman" w:eastAsia="宋体" w:cs="Times New Roman"/>
                <w:color w:val="auto"/>
                <w:w w:val="99"/>
                <w:sz w:val="21"/>
                <w:szCs w:val="21"/>
                <w:highlight w:val="none"/>
                <w:lang w:val="en-US" w:eastAsia="zh-CN" w:bidi="ar-SA"/>
              </w:rPr>
              <w:t>建筑施工噪声排放标准</w:t>
            </w:r>
            <w:r>
              <w:rPr>
                <w:rFonts w:ascii="Times New Roman" w:hAnsi="Times New Roman" w:eastAsia="宋体" w:cs="Times New Roman"/>
                <w:color w:val="auto"/>
                <w:w w:val="99"/>
                <w:sz w:val="21"/>
                <w:szCs w:val="21"/>
                <w:highlight w:val="none"/>
                <w:lang w:val="en-US" w:eastAsia="zh-CN" w:bidi="ar-SA"/>
              </w:rPr>
              <w:t>》（GB12523-20</w:t>
            </w:r>
            <w:r>
              <w:rPr>
                <w:rFonts w:hint="eastAsia" w:ascii="Times New Roman" w:hAnsi="Times New Roman" w:eastAsia="宋体" w:cs="Times New Roman"/>
                <w:color w:val="auto"/>
                <w:w w:val="99"/>
                <w:sz w:val="21"/>
                <w:szCs w:val="21"/>
                <w:highlight w:val="none"/>
                <w:lang w:val="en-US" w:eastAsia="zh-CN" w:bidi="ar-SA"/>
              </w:rPr>
              <w:t>25</w:t>
            </w:r>
            <w:r>
              <w:rPr>
                <w:rFonts w:ascii="Times New Roman" w:hAnsi="Times New Roman" w:eastAsia="宋体" w:cs="Times New Roman"/>
                <w:color w:val="auto"/>
                <w:w w:val="99"/>
                <w:sz w:val="21"/>
                <w:szCs w:val="21"/>
                <w:highlight w:val="none"/>
                <w:lang w:val="en-US" w:eastAsia="zh-CN" w:bidi="ar-SA"/>
              </w:rPr>
              <w:t>）</w:t>
            </w:r>
          </w:p>
        </w:tc>
      </w:tr>
      <w:tr w14:paraId="1C95D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68" w:type="pct"/>
            <w:vMerge w:val="continue"/>
            <w:tcBorders>
              <w:top w:val="single" w:color="auto" w:sz="4" w:space="0"/>
              <w:left w:val="single" w:color="auto" w:sz="4" w:space="0"/>
              <w:bottom w:val="single" w:color="auto" w:sz="4" w:space="0"/>
              <w:right w:val="single" w:color="auto" w:sz="4" w:space="0"/>
            </w:tcBorders>
            <w:textDirection w:val="tbRlV"/>
            <w:vAlign w:val="top"/>
          </w:tcPr>
          <w:p w14:paraId="7E44BDC3">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tc>
        <w:tc>
          <w:tcPr>
            <w:tcW w:w="398" w:type="pct"/>
            <w:tcBorders>
              <w:top w:val="single" w:color="auto" w:sz="4" w:space="0"/>
              <w:left w:val="single" w:color="auto" w:sz="4" w:space="0"/>
              <w:bottom w:val="single" w:color="auto" w:sz="4" w:space="0"/>
              <w:right w:val="single" w:color="auto" w:sz="4" w:space="0"/>
            </w:tcBorders>
            <w:vAlign w:val="center"/>
          </w:tcPr>
          <w:p w14:paraId="6CFCA7E9">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eastAsia" w:ascii="Times New Roman" w:hAnsi="Times New Roman" w:cs="Times New Roman"/>
                <w:color w:val="auto"/>
                <w:spacing w:val="0"/>
                <w:w w:val="99"/>
                <w:position w:val="0"/>
                <w:sz w:val="21"/>
                <w:szCs w:val="21"/>
                <w:highlight w:val="none"/>
                <w:lang w:val="en-US" w:eastAsia="zh-CN" w:bidi="ar-SA"/>
              </w:rPr>
              <w:t>运营期</w:t>
            </w:r>
          </w:p>
        </w:tc>
        <w:tc>
          <w:tcPr>
            <w:tcW w:w="992" w:type="pct"/>
            <w:tcBorders>
              <w:top w:val="single" w:color="auto" w:sz="4" w:space="0"/>
              <w:left w:val="single" w:color="auto" w:sz="4" w:space="0"/>
              <w:bottom w:val="single" w:color="auto" w:sz="4" w:space="0"/>
              <w:right w:val="single" w:color="auto" w:sz="4" w:space="0"/>
            </w:tcBorders>
            <w:vAlign w:val="center"/>
          </w:tcPr>
          <w:p w14:paraId="10AA580D">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井场、依托站场噪声</w:t>
            </w:r>
          </w:p>
        </w:tc>
        <w:tc>
          <w:tcPr>
            <w:tcW w:w="1450" w:type="pct"/>
            <w:tcBorders>
              <w:top w:val="single" w:color="auto" w:sz="4" w:space="0"/>
              <w:left w:val="single" w:color="auto" w:sz="4" w:space="0"/>
              <w:bottom w:val="single" w:color="auto" w:sz="4" w:space="0"/>
              <w:right w:val="single" w:color="auto" w:sz="4" w:space="0"/>
            </w:tcBorders>
            <w:vAlign w:val="center"/>
          </w:tcPr>
          <w:p w14:paraId="4603072D">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低噪声设备、机泵等设备安装减震基础等</w:t>
            </w:r>
          </w:p>
        </w:tc>
        <w:tc>
          <w:tcPr>
            <w:tcW w:w="1691" w:type="pct"/>
            <w:tcBorders>
              <w:top w:val="single" w:color="auto" w:sz="4" w:space="0"/>
              <w:left w:val="single" w:color="auto" w:sz="4" w:space="0"/>
              <w:bottom w:val="single" w:color="auto" w:sz="4" w:space="0"/>
              <w:right w:val="single" w:color="auto" w:sz="4" w:space="0"/>
            </w:tcBorders>
            <w:vAlign w:val="top"/>
          </w:tcPr>
          <w:p w14:paraId="28807AAC">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执行《工业企业厂界环境噪声排放标准》（GB12348-2008）中 2 类标准限值，昼间≤60dB（A） 、夜间≤50dB（A）</w:t>
            </w:r>
          </w:p>
        </w:tc>
      </w:tr>
      <w:tr w14:paraId="317E6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468" w:type="pct"/>
            <w:vMerge w:val="restart"/>
            <w:tcBorders>
              <w:top w:val="single" w:color="auto" w:sz="4" w:space="0"/>
              <w:left w:val="single" w:color="auto" w:sz="4" w:space="0"/>
              <w:right w:val="single" w:color="auto" w:sz="4" w:space="0"/>
            </w:tcBorders>
            <w:vAlign w:val="center"/>
          </w:tcPr>
          <w:p w14:paraId="179C2FA4">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固体废物</w:t>
            </w:r>
          </w:p>
        </w:tc>
        <w:tc>
          <w:tcPr>
            <w:tcW w:w="398" w:type="pct"/>
            <w:vMerge w:val="restart"/>
            <w:tcBorders>
              <w:top w:val="single" w:color="auto" w:sz="4" w:space="0"/>
              <w:left w:val="single" w:color="auto" w:sz="4" w:space="0"/>
              <w:right w:val="single" w:color="auto" w:sz="4" w:space="0"/>
            </w:tcBorders>
            <w:vAlign w:val="center"/>
          </w:tcPr>
          <w:p w14:paraId="6CEDC897">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Times New Roman" w:hAnsi="Times New Roman" w:eastAsia="宋体" w:cs="Times New Roman"/>
                <w:color w:val="auto"/>
                <w:w w:val="99"/>
                <w:sz w:val="21"/>
                <w:szCs w:val="21"/>
                <w:highlight w:val="none"/>
                <w:lang w:val="en-US" w:eastAsia="zh-CN" w:bidi="ar-SA"/>
              </w:rPr>
            </w:pPr>
            <w:r>
              <w:rPr>
                <w:rFonts w:hint="eastAsia" w:ascii="Times New Roman" w:hAnsi="Times New Roman" w:cs="Times New Roman"/>
                <w:color w:val="auto"/>
                <w:w w:val="99"/>
                <w:sz w:val="21"/>
                <w:szCs w:val="21"/>
                <w:highlight w:val="none"/>
                <w:lang w:val="en-US" w:eastAsia="zh-CN" w:bidi="ar-SA"/>
              </w:rPr>
              <w:t>施工期</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14:paraId="0F2215FF">
            <w:pPr>
              <w:pStyle w:val="2857"/>
              <w:keepNext w:val="0"/>
              <w:keepLines w:val="0"/>
              <w:pageBreakBefore w:val="0"/>
              <w:widowControl/>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施工人员生活垃圾</w:t>
            </w:r>
          </w:p>
        </w:tc>
        <w:tc>
          <w:tcPr>
            <w:tcW w:w="1450" w:type="pct"/>
            <w:tcBorders>
              <w:top w:val="single" w:color="auto" w:sz="4" w:space="0"/>
              <w:left w:val="single" w:color="auto" w:sz="4" w:space="0"/>
              <w:bottom w:val="single" w:color="auto" w:sz="4" w:space="0"/>
              <w:right w:val="single" w:color="auto" w:sz="4" w:space="0"/>
            </w:tcBorders>
            <w:vAlign w:val="top"/>
          </w:tcPr>
          <w:p w14:paraId="7B2308F1">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生活垃圾集中收集，统一收集后运至</w:t>
            </w:r>
            <w:r>
              <w:rPr>
                <w:rFonts w:hint="eastAsia" w:ascii="Times New Roman" w:hAnsi="Times New Roman" w:cs="Times New Roman"/>
                <w:color w:val="auto"/>
                <w:w w:val="99"/>
                <w:sz w:val="21"/>
                <w:szCs w:val="21"/>
                <w:highlight w:val="none"/>
                <w:lang w:val="en-US" w:eastAsia="zh-CN" w:bidi="ar-SA"/>
              </w:rPr>
              <w:t>肇东北控环境再生能源有限公司</w:t>
            </w:r>
            <w:r>
              <w:rPr>
                <w:rFonts w:hint="default" w:ascii="Times New Roman" w:hAnsi="Times New Roman" w:eastAsia="宋体" w:cs="Times New Roman"/>
                <w:color w:val="auto"/>
                <w:w w:val="99"/>
                <w:sz w:val="21"/>
                <w:szCs w:val="21"/>
                <w:highlight w:val="none"/>
                <w:lang w:val="en-US" w:eastAsia="en-US" w:bidi="ar-SA"/>
              </w:rPr>
              <w:t>垃圾处理厂进行处理</w:t>
            </w:r>
          </w:p>
        </w:tc>
        <w:tc>
          <w:tcPr>
            <w:tcW w:w="1691" w:type="pct"/>
            <w:tcBorders>
              <w:top w:val="single" w:color="auto" w:sz="4" w:space="0"/>
              <w:left w:val="single" w:color="auto" w:sz="4" w:space="0"/>
              <w:bottom w:val="single" w:color="auto" w:sz="4" w:space="0"/>
              <w:right w:val="single" w:color="auto" w:sz="4" w:space="0"/>
            </w:tcBorders>
            <w:vAlign w:val="center"/>
          </w:tcPr>
          <w:p w14:paraId="66532AEC">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妥善处理，不外排</w:t>
            </w:r>
          </w:p>
        </w:tc>
      </w:tr>
      <w:tr w14:paraId="62C1D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468" w:type="pct"/>
            <w:vMerge w:val="continue"/>
            <w:tcBorders>
              <w:left w:val="single" w:color="auto" w:sz="4" w:space="0"/>
              <w:right w:val="single" w:color="auto" w:sz="4" w:space="0"/>
            </w:tcBorders>
            <w:textDirection w:val="tbRlV"/>
            <w:vAlign w:val="top"/>
          </w:tcPr>
          <w:p w14:paraId="33B00AC4">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tc>
        <w:tc>
          <w:tcPr>
            <w:tcW w:w="398" w:type="pct"/>
            <w:vMerge w:val="continue"/>
            <w:tcBorders>
              <w:left w:val="single" w:color="auto" w:sz="4" w:space="0"/>
              <w:bottom w:val="single" w:color="auto" w:sz="4" w:space="0"/>
              <w:right w:val="single" w:color="auto" w:sz="4" w:space="0"/>
            </w:tcBorders>
            <w:vAlign w:val="center"/>
          </w:tcPr>
          <w:p w14:paraId="57117752">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14:paraId="58220F58">
            <w:pPr>
              <w:pStyle w:val="2857"/>
              <w:keepNext w:val="0"/>
              <w:keepLines w:val="0"/>
              <w:pageBreakBefore w:val="0"/>
              <w:widowControl/>
              <w:kinsoku/>
              <w:wordWrap/>
              <w:overflowPunct/>
              <w:topLinePunct w:val="0"/>
              <w:autoSpaceDE/>
              <w:autoSpaceDN/>
              <w:bidi w:val="0"/>
              <w:adjustRightInd/>
              <w:snapToGrid/>
              <w:spacing w:line="360" w:lineRule="exact"/>
              <w:ind w:right="0" w:rightChars="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施工废料</w:t>
            </w:r>
          </w:p>
        </w:tc>
        <w:tc>
          <w:tcPr>
            <w:tcW w:w="1450" w:type="pct"/>
            <w:tcBorders>
              <w:top w:val="single" w:color="auto" w:sz="4" w:space="0"/>
              <w:left w:val="single" w:color="auto" w:sz="4" w:space="0"/>
              <w:bottom w:val="single" w:color="auto" w:sz="4" w:space="0"/>
              <w:right w:val="single" w:color="auto" w:sz="4" w:space="0"/>
            </w:tcBorders>
            <w:vAlign w:val="center"/>
          </w:tcPr>
          <w:p w14:paraId="2A22C6BA">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集中收集统一安排拉运至第八采油厂工业固废填埋场进行填埋</w:t>
            </w:r>
          </w:p>
        </w:tc>
        <w:tc>
          <w:tcPr>
            <w:tcW w:w="1691" w:type="pct"/>
            <w:tcBorders>
              <w:top w:val="single" w:color="auto" w:sz="4" w:space="0"/>
              <w:left w:val="single" w:color="auto" w:sz="4" w:space="0"/>
              <w:bottom w:val="single" w:color="auto" w:sz="4" w:space="0"/>
              <w:right w:val="single" w:color="auto" w:sz="4" w:space="0"/>
            </w:tcBorders>
            <w:vAlign w:val="center"/>
          </w:tcPr>
          <w:p w14:paraId="10278990">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妥善处理，不外排</w:t>
            </w:r>
          </w:p>
        </w:tc>
      </w:tr>
      <w:tr w14:paraId="2BEE1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468" w:type="pct"/>
            <w:vMerge w:val="continue"/>
            <w:tcBorders>
              <w:left w:val="single" w:color="auto" w:sz="4" w:space="0"/>
              <w:bottom w:val="single" w:color="auto" w:sz="4" w:space="0"/>
              <w:right w:val="single" w:color="auto" w:sz="4" w:space="0"/>
            </w:tcBorders>
            <w:textDirection w:val="tbRlV"/>
            <w:vAlign w:val="top"/>
          </w:tcPr>
          <w:p w14:paraId="47C1E300">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tc>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14:paraId="37F0F318">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运营期</w:t>
            </w:r>
          </w:p>
        </w:tc>
        <w:tc>
          <w:tcPr>
            <w:tcW w:w="992" w:type="pct"/>
            <w:tcBorders>
              <w:top w:val="single" w:color="auto" w:sz="4" w:space="0"/>
              <w:left w:val="single" w:color="auto" w:sz="4" w:space="0"/>
              <w:bottom w:val="single" w:color="auto" w:sz="4" w:space="0"/>
              <w:right w:val="single" w:color="auto" w:sz="4" w:space="0"/>
            </w:tcBorders>
            <w:shd w:val="clear" w:color="auto" w:fill="auto"/>
            <w:vAlign w:val="center"/>
          </w:tcPr>
          <w:p w14:paraId="1141B00C">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99"/>
                <w:position w:val="0"/>
                <w:sz w:val="21"/>
                <w:szCs w:val="21"/>
                <w:highlight w:val="none"/>
                <w:lang w:val="en-US" w:eastAsia="zh-CN" w:bidi="ar-SA"/>
              </w:rPr>
            </w:pPr>
            <w:r>
              <w:rPr>
                <w:rFonts w:hint="eastAsia" w:ascii="Times New Roman" w:hAnsi="Times New Roman" w:cs="Times New Roman"/>
                <w:color w:val="auto"/>
                <w:spacing w:val="0"/>
                <w:w w:val="99"/>
                <w:position w:val="0"/>
                <w:sz w:val="21"/>
                <w:szCs w:val="21"/>
                <w:highlight w:val="none"/>
                <w:lang w:val="en-US" w:eastAsia="zh-CN" w:bidi="ar-SA"/>
              </w:rPr>
              <w:t>井口含油砂砾、废变压器油</w:t>
            </w:r>
          </w:p>
        </w:tc>
        <w:tc>
          <w:tcPr>
            <w:tcW w:w="1450" w:type="pct"/>
            <w:tcBorders>
              <w:top w:val="single" w:color="auto" w:sz="4" w:space="0"/>
              <w:left w:val="single" w:color="auto" w:sz="4" w:space="0"/>
              <w:bottom w:val="single" w:color="auto" w:sz="4" w:space="0"/>
              <w:right w:val="single" w:color="auto" w:sz="4" w:space="0"/>
            </w:tcBorders>
            <w:shd w:val="clear" w:color="auto" w:fill="auto"/>
            <w:vAlign w:val="center"/>
          </w:tcPr>
          <w:p w14:paraId="158D0121">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统一收集暂存于采气分公司危险废物贮存库内，定期委托有危废处置资质的单位处置</w:t>
            </w:r>
          </w:p>
        </w:tc>
        <w:tc>
          <w:tcPr>
            <w:tcW w:w="1691" w:type="pct"/>
            <w:tcBorders>
              <w:top w:val="single" w:color="auto" w:sz="4" w:space="0"/>
              <w:left w:val="single" w:color="auto" w:sz="4" w:space="0"/>
              <w:bottom w:val="single" w:color="auto" w:sz="4" w:space="0"/>
              <w:right w:val="single" w:color="auto" w:sz="4" w:space="0"/>
            </w:tcBorders>
            <w:shd w:val="clear" w:color="auto" w:fill="auto"/>
            <w:vAlign w:val="center"/>
          </w:tcPr>
          <w:p w14:paraId="73D0C503">
            <w:pPr>
              <w:pStyle w:val="2857"/>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default" w:ascii="Times New Roman" w:hAnsi="Times New Roman" w:eastAsia="宋体" w:cs="Times New Roman"/>
                <w:color w:val="auto"/>
                <w:spacing w:val="0"/>
                <w:w w:val="99"/>
                <w:position w:val="0"/>
                <w:sz w:val="21"/>
                <w:szCs w:val="21"/>
                <w:highlight w:val="none"/>
                <w:lang w:val="en-US" w:eastAsia="en-US" w:bidi="ar-SA"/>
              </w:rPr>
            </w:pPr>
            <w:r>
              <w:rPr>
                <w:rFonts w:hint="default" w:ascii="Times New Roman" w:hAnsi="Times New Roman" w:eastAsia="宋体" w:cs="Times New Roman"/>
                <w:color w:val="auto"/>
                <w:spacing w:val="0"/>
                <w:w w:val="99"/>
                <w:position w:val="0"/>
                <w:sz w:val="21"/>
                <w:szCs w:val="21"/>
                <w:highlight w:val="none"/>
                <w:lang w:val="en-US" w:eastAsia="en-US" w:bidi="ar-SA"/>
              </w:rPr>
              <w:t>执行《危险废物贮存污染控制标准》（GB18597-2023）</w:t>
            </w:r>
          </w:p>
        </w:tc>
      </w:tr>
      <w:tr w14:paraId="00B88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858" w:type="pct"/>
            <w:gridSpan w:val="3"/>
            <w:vMerge w:val="restart"/>
            <w:tcBorders>
              <w:top w:val="single" w:color="auto" w:sz="4" w:space="0"/>
              <w:left w:val="single" w:color="auto" w:sz="4" w:space="0"/>
              <w:right w:val="single" w:color="auto" w:sz="4" w:space="0"/>
            </w:tcBorders>
            <w:vAlign w:val="top"/>
          </w:tcPr>
          <w:p w14:paraId="41AAFEDD">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p w14:paraId="34CCE9A5">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p w14:paraId="1E0C45EB">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p w14:paraId="3E9641D1">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p w14:paraId="46DA4A99">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p w14:paraId="0BD15154">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p w14:paraId="0E6B4FB2">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地下水保护</w:t>
            </w:r>
          </w:p>
        </w:tc>
        <w:tc>
          <w:tcPr>
            <w:tcW w:w="1450" w:type="pct"/>
            <w:tcBorders>
              <w:top w:val="single" w:color="auto" w:sz="4" w:space="0"/>
              <w:left w:val="single" w:color="auto" w:sz="4" w:space="0"/>
              <w:bottom w:val="single" w:color="auto" w:sz="4" w:space="0"/>
              <w:right w:val="single" w:color="auto" w:sz="4" w:space="0"/>
            </w:tcBorders>
            <w:shd w:val="clear" w:color="auto" w:fill="auto"/>
            <w:vAlign w:val="center"/>
          </w:tcPr>
          <w:p w14:paraId="726809E5">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color w:val="auto"/>
                <w:w w:val="99"/>
                <w:sz w:val="21"/>
                <w:szCs w:val="21"/>
                <w:highlight w:val="none"/>
                <w:lang w:val="en-US" w:eastAsia="zh-CN" w:bidi="ar-SA"/>
              </w:rPr>
            </w:pPr>
            <w:r>
              <w:rPr>
                <w:rFonts w:hint="eastAsia" w:ascii="Times New Roman" w:hAnsi="Times New Roman" w:eastAsia="宋体" w:cs="Times New Roman"/>
                <w:color w:val="auto"/>
                <w:w w:val="99"/>
                <w:sz w:val="21"/>
                <w:szCs w:val="21"/>
                <w:highlight w:val="none"/>
                <w:lang w:val="en-US" w:eastAsia="zh-CN" w:bidi="ar-SA"/>
              </w:rPr>
              <w:t>采气</w:t>
            </w:r>
            <w:r>
              <w:rPr>
                <w:rFonts w:hint="default" w:ascii="Times New Roman" w:hAnsi="Times New Roman" w:eastAsia="宋体" w:cs="Times New Roman"/>
                <w:color w:val="auto"/>
                <w:w w:val="99"/>
                <w:sz w:val="21"/>
                <w:szCs w:val="21"/>
                <w:highlight w:val="none"/>
                <w:lang w:val="en-US" w:eastAsia="en-US" w:bidi="ar-SA"/>
              </w:rPr>
              <w:t>管道</w:t>
            </w:r>
          </w:p>
        </w:tc>
        <w:tc>
          <w:tcPr>
            <w:tcW w:w="1691" w:type="pct"/>
            <w:tcBorders>
              <w:top w:val="single" w:color="auto" w:sz="4" w:space="0"/>
              <w:left w:val="single" w:color="auto" w:sz="4" w:space="0"/>
              <w:bottom w:val="single" w:color="auto" w:sz="4" w:space="0"/>
              <w:right w:val="single" w:color="auto" w:sz="4" w:space="0"/>
            </w:tcBorders>
            <w:vAlign w:val="top"/>
          </w:tcPr>
          <w:p w14:paraId="69B0771A">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重点防渗区</w:t>
            </w:r>
            <w:r>
              <w:rPr>
                <w:rFonts w:hint="eastAsia" w:ascii="Times New Roman" w:hAnsi="Times New Roman" w:cs="Times New Roman"/>
                <w:color w:val="auto"/>
                <w:w w:val="99"/>
                <w:sz w:val="21"/>
                <w:szCs w:val="21"/>
                <w:highlight w:val="none"/>
                <w:lang w:val="en-US" w:eastAsia="zh-CN" w:bidi="ar-SA"/>
              </w:rPr>
              <w:t>，</w:t>
            </w:r>
            <w:r>
              <w:rPr>
                <w:rFonts w:hint="default" w:ascii="Times New Roman" w:hAnsi="Times New Roman" w:eastAsia="宋体" w:cs="Times New Roman"/>
                <w:color w:val="auto"/>
                <w:w w:val="99"/>
                <w:sz w:val="21"/>
                <w:szCs w:val="21"/>
                <w:highlight w:val="none"/>
                <w:lang w:val="en-US" w:eastAsia="en-US" w:bidi="ar-SA"/>
              </w:rPr>
              <w:t>满足《环境影响评价</w:t>
            </w:r>
          </w:p>
          <w:p w14:paraId="084E61DF">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技术导则地下水环境》（HJ610-</w:t>
            </w:r>
          </w:p>
          <w:p w14:paraId="68546A46">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2016）中重点防渗区防渗技术要求</w:t>
            </w:r>
          </w:p>
          <w:p w14:paraId="56AD4F25">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（等效黏土防渗层 Mb≥6m，</w:t>
            </w:r>
          </w:p>
          <w:p w14:paraId="3AA77CB0">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en-US" w:bidi="ar-SA"/>
              </w:rPr>
              <w:t>K≤1×10</w:t>
            </w:r>
            <w:r>
              <w:rPr>
                <w:rFonts w:hint="default" w:ascii="Times New Roman" w:hAnsi="Times New Roman" w:eastAsia="宋体" w:cs="Times New Roman"/>
                <w:color w:val="auto"/>
                <w:w w:val="99"/>
                <w:sz w:val="21"/>
                <w:szCs w:val="21"/>
                <w:highlight w:val="none"/>
                <w:vertAlign w:val="superscript"/>
                <w:lang w:val="en-US" w:eastAsia="en-US" w:bidi="ar-SA"/>
              </w:rPr>
              <w:t>-7</w:t>
            </w:r>
            <w:r>
              <w:rPr>
                <w:rFonts w:hint="default" w:ascii="Times New Roman" w:hAnsi="Times New Roman" w:eastAsia="宋体" w:cs="Times New Roman"/>
                <w:color w:val="auto"/>
                <w:w w:val="99"/>
                <w:sz w:val="21"/>
                <w:szCs w:val="21"/>
                <w:highlight w:val="none"/>
                <w:lang w:val="en-US" w:eastAsia="en-US" w:bidi="ar-SA"/>
              </w:rPr>
              <w:t>cm/s）</w:t>
            </w:r>
            <w:r>
              <w:rPr>
                <w:rFonts w:hint="eastAsia" w:ascii="Times New Roman" w:hAnsi="Times New Roman" w:eastAsia="宋体" w:cs="Times New Roman"/>
                <w:color w:val="auto"/>
                <w:w w:val="99"/>
                <w:sz w:val="21"/>
                <w:szCs w:val="21"/>
                <w:highlight w:val="none"/>
                <w:lang w:val="en-US" w:eastAsia="zh-CN" w:bidi="ar-SA"/>
              </w:rPr>
              <w:t>；</w:t>
            </w:r>
          </w:p>
        </w:tc>
      </w:tr>
      <w:tr w14:paraId="5DCE6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2" w:hRule="atLeast"/>
        </w:trPr>
        <w:tc>
          <w:tcPr>
            <w:tcW w:w="1858" w:type="pct"/>
            <w:gridSpan w:val="3"/>
            <w:vMerge w:val="continue"/>
            <w:tcBorders>
              <w:left w:val="single" w:color="auto" w:sz="4" w:space="0"/>
              <w:right w:val="single" w:color="auto" w:sz="4" w:space="0"/>
            </w:tcBorders>
            <w:vAlign w:val="top"/>
          </w:tcPr>
          <w:p w14:paraId="578C2184">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tc>
        <w:tc>
          <w:tcPr>
            <w:tcW w:w="1450" w:type="pct"/>
            <w:tcBorders>
              <w:top w:val="single" w:color="auto" w:sz="4" w:space="0"/>
              <w:left w:val="single" w:color="auto" w:sz="4" w:space="0"/>
              <w:bottom w:val="single" w:color="auto" w:sz="4" w:space="0"/>
              <w:right w:val="single" w:color="auto" w:sz="4" w:space="0"/>
            </w:tcBorders>
            <w:vAlign w:val="top"/>
          </w:tcPr>
          <w:p w14:paraId="3DF2861D">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eastAsia" w:ascii="Times New Roman" w:hAnsi="Times New Roman" w:eastAsia="宋体" w:cs="Times New Roman"/>
                <w:color w:val="auto"/>
                <w:w w:val="99"/>
                <w:sz w:val="21"/>
                <w:szCs w:val="21"/>
                <w:highlight w:val="none"/>
                <w:lang w:val="en-US" w:eastAsia="zh-CN" w:bidi="ar-SA"/>
              </w:rPr>
              <w:t>徐深</w:t>
            </w:r>
            <w:r>
              <w:rPr>
                <w:rFonts w:hint="eastAsia" w:ascii="Times New Roman" w:hAnsi="Times New Roman" w:cs="Times New Roman"/>
                <w:color w:val="auto"/>
                <w:w w:val="99"/>
                <w:sz w:val="21"/>
                <w:szCs w:val="21"/>
                <w:highlight w:val="none"/>
                <w:lang w:val="en-US" w:eastAsia="zh-CN" w:bidi="ar-SA"/>
              </w:rPr>
              <w:t>27</w:t>
            </w:r>
            <w:r>
              <w:rPr>
                <w:rFonts w:hint="eastAsia" w:ascii="Times New Roman" w:hAnsi="Times New Roman" w:eastAsia="宋体" w:cs="Times New Roman"/>
                <w:color w:val="auto"/>
                <w:w w:val="99"/>
                <w:sz w:val="21"/>
                <w:szCs w:val="21"/>
                <w:highlight w:val="none"/>
                <w:lang w:val="en-US" w:eastAsia="zh-CN" w:bidi="ar-SA"/>
              </w:rPr>
              <w:t>集气站新建的</w:t>
            </w:r>
            <w:r>
              <w:rPr>
                <w:rFonts w:hint="eastAsia" w:ascii="Times New Roman" w:hAnsi="Times New Roman" w:cs="Times New Roman"/>
                <w:color w:val="auto"/>
                <w:w w:val="99"/>
                <w:sz w:val="21"/>
                <w:szCs w:val="21"/>
                <w:highlight w:val="none"/>
                <w:lang w:val="en-US" w:eastAsia="zh-CN" w:bidi="ar-SA"/>
              </w:rPr>
              <w:t>进站阀组、生产阀组；</w:t>
            </w:r>
            <w:r>
              <w:rPr>
                <w:rFonts w:hint="eastAsia" w:ascii="Times New Roman" w:hAnsi="Times New Roman" w:eastAsia="宋体" w:cs="Times New Roman"/>
                <w:color w:val="auto"/>
                <w:w w:val="99"/>
                <w:sz w:val="21"/>
                <w:szCs w:val="21"/>
                <w:highlight w:val="none"/>
                <w:lang w:val="en-US" w:eastAsia="zh-CN" w:bidi="ar-SA"/>
              </w:rPr>
              <w:t>井场</w:t>
            </w:r>
            <w:r>
              <w:rPr>
                <w:rFonts w:hint="eastAsia" w:ascii="Times New Roman" w:hAnsi="Times New Roman" w:cs="Times New Roman"/>
                <w:color w:val="auto"/>
                <w:w w:val="99"/>
                <w:sz w:val="21"/>
                <w:szCs w:val="21"/>
                <w:highlight w:val="none"/>
                <w:lang w:val="en-US" w:eastAsia="zh-CN" w:bidi="ar-SA"/>
              </w:rPr>
              <w:t>阀组、</w:t>
            </w:r>
            <w:r>
              <w:rPr>
                <w:rFonts w:hint="eastAsia" w:ascii="Times New Roman" w:hAnsi="Times New Roman" w:eastAsia="宋体" w:cs="Times New Roman"/>
                <w:color w:val="auto"/>
                <w:w w:val="99"/>
                <w:sz w:val="21"/>
                <w:szCs w:val="21"/>
                <w:highlight w:val="none"/>
                <w:lang w:val="en-US" w:eastAsia="zh-CN" w:bidi="ar-SA"/>
              </w:rPr>
              <w:t>放空池</w:t>
            </w:r>
            <w:r>
              <w:rPr>
                <w:rFonts w:hint="default" w:ascii="Times New Roman" w:hAnsi="Times New Roman" w:eastAsia="宋体" w:cs="Times New Roman"/>
                <w:color w:val="auto"/>
                <w:w w:val="99"/>
                <w:sz w:val="21"/>
                <w:szCs w:val="21"/>
                <w:highlight w:val="none"/>
                <w:lang w:val="en-US" w:eastAsia="en-US" w:bidi="ar-SA"/>
              </w:rPr>
              <w:t>；</w:t>
            </w:r>
          </w:p>
        </w:tc>
        <w:tc>
          <w:tcPr>
            <w:tcW w:w="1691" w:type="pct"/>
            <w:tcBorders>
              <w:top w:val="single" w:color="auto" w:sz="4" w:space="0"/>
              <w:left w:val="single" w:color="auto" w:sz="4" w:space="0"/>
              <w:bottom w:val="single" w:color="auto" w:sz="4" w:space="0"/>
              <w:right w:val="single" w:color="auto" w:sz="4" w:space="0"/>
            </w:tcBorders>
            <w:vAlign w:val="top"/>
          </w:tcPr>
          <w:p w14:paraId="3CAE2C9C">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一般防渗区</w:t>
            </w:r>
            <w:r>
              <w:rPr>
                <w:rFonts w:hint="eastAsia" w:ascii="Times New Roman" w:hAnsi="Times New Roman" w:cs="Times New Roman"/>
                <w:color w:val="auto"/>
                <w:w w:val="99"/>
                <w:sz w:val="21"/>
                <w:szCs w:val="21"/>
                <w:highlight w:val="none"/>
                <w:lang w:val="en-US" w:eastAsia="zh-CN" w:bidi="ar-SA"/>
              </w:rPr>
              <w:t>，</w:t>
            </w:r>
            <w:r>
              <w:rPr>
                <w:rFonts w:hint="default" w:ascii="Times New Roman" w:hAnsi="Times New Roman" w:eastAsia="宋体" w:cs="Times New Roman"/>
                <w:color w:val="auto"/>
                <w:w w:val="99"/>
                <w:sz w:val="21"/>
                <w:szCs w:val="21"/>
                <w:highlight w:val="none"/>
                <w:lang w:val="en-US" w:eastAsia="en-US" w:bidi="ar-SA"/>
              </w:rPr>
              <w:t>满足《环境影响评价</w:t>
            </w:r>
          </w:p>
          <w:p w14:paraId="4DF0A0BA">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技术导则地下水环境》（HJ610-</w:t>
            </w:r>
          </w:p>
          <w:p w14:paraId="5C8811FF">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2016）中一般防渗区防渗技术要求</w:t>
            </w:r>
          </w:p>
          <w:p w14:paraId="7B002E4F">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（等效黏土防渗层 Mb≥1.5m，</w:t>
            </w:r>
          </w:p>
          <w:p w14:paraId="1C66D4B6">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K≤1×10</w:t>
            </w:r>
            <w:r>
              <w:rPr>
                <w:rFonts w:hint="default" w:ascii="Times New Roman" w:hAnsi="Times New Roman" w:eastAsia="宋体" w:cs="Times New Roman"/>
                <w:color w:val="auto"/>
                <w:w w:val="99"/>
                <w:sz w:val="21"/>
                <w:szCs w:val="21"/>
                <w:highlight w:val="none"/>
                <w:vertAlign w:val="superscript"/>
                <w:lang w:val="en-US" w:eastAsia="en-US" w:bidi="ar-SA"/>
              </w:rPr>
              <w:t>-7</w:t>
            </w:r>
            <w:r>
              <w:rPr>
                <w:rFonts w:hint="default" w:ascii="Times New Roman" w:hAnsi="Times New Roman" w:eastAsia="宋体" w:cs="Times New Roman"/>
                <w:color w:val="auto"/>
                <w:w w:val="99"/>
                <w:sz w:val="21"/>
                <w:szCs w:val="21"/>
                <w:highlight w:val="none"/>
                <w:lang w:val="en-US" w:eastAsia="en-US" w:bidi="ar-SA"/>
              </w:rPr>
              <w:t>cm/s）</w:t>
            </w:r>
          </w:p>
        </w:tc>
      </w:tr>
      <w:tr w14:paraId="0A87E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858" w:type="pct"/>
            <w:gridSpan w:val="3"/>
            <w:vMerge w:val="continue"/>
            <w:tcBorders>
              <w:left w:val="single" w:color="auto" w:sz="4" w:space="0"/>
              <w:right w:val="single" w:color="auto" w:sz="4" w:space="0"/>
            </w:tcBorders>
            <w:vAlign w:val="top"/>
          </w:tcPr>
          <w:p w14:paraId="5FDE7614">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tc>
        <w:tc>
          <w:tcPr>
            <w:tcW w:w="1450" w:type="pct"/>
            <w:tcBorders>
              <w:top w:val="single" w:color="auto" w:sz="4" w:space="0"/>
              <w:left w:val="single" w:color="auto" w:sz="4" w:space="0"/>
              <w:bottom w:val="single" w:color="auto" w:sz="4" w:space="0"/>
              <w:right w:val="single" w:color="auto" w:sz="4" w:space="0"/>
            </w:tcBorders>
            <w:vAlign w:val="center"/>
          </w:tcPr>
          <w:p w14:paraId="3806CC5B">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Times New Roman" w:hAnsi="Times New Roman" w:eastAsia="宋体" w:cs="Times New Roman"/>
                <w:color w:val="auto"/>
                <w:w w:val="99"/>
                <w:sz w:val="21"/>
                <w:szCs w:val="21"/>
                <w:highlight w:val="none"/>
                <w:lang w:val="en-US" w:eastAsia="zh-CN" w:bidi="ar-SA"/>
              </w:rPr>
            </w:pPr>
            <w:r>
              <w:rPr>
                <w:rFonts w:hint="default" w:ascii="Times New Roman" w:hAnsi="Times New Roman" w:eastAsia="宋体" w:cs="Times New Roman"/>
                <w:color w:val="auto"/>
                <w:w w:val="99"/>
                <w:sz w:val="21"/>
                <w:szCs w:val="21"/>
                <w:highlight w:val="none"/>
                <w:lang w:val="en-US" w:eastAsia="en-US" w:bidi="ar-SA"/>
              </w:rPr>
              <w:t>井场其他区域</w:t>
            </w:r>
          </w:p>
        </w:tc>
        <w:tc>
          <w:tcPr>
            <w:tcW w:w="1691" w:type="pct"/>
            <w:tcBorders>
              <w:top w:val="single" w:color="auto" w:sz="4" w:space="0"/>
              <w:left w:val="single" w:color="auto" w:sz="4" w:space="0"/>
              <w:bottom w:val="single" w:color="auto" w:sz="4" w:space="0"/>
              <w:right w:val="single" w:color="auto" w:sz="4" w:space="0"/>
            </w:tcBorders>
            <w:vAlign w:val="top"/>
          </w:tcPr>
          <w:p w14:paraId="2DA8F88C">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简单防渗区，采取地面夯实、碾压平整等措施，执行《环境影响评价技术导则 地下水环境》（HJ610- 2016）中要求：进行一般地面硬化</w:t>
            </w:r>
          </w:p>
        </w:tc>
      </w:tr>
      <w:tr w14:paraId="563D2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858" w:type="pct"/>
            <w:gridSpan w:val="3"/>
            <w:vMerge w:val="continue"/>
            <w:tcBorders>
              <w:left w:val="single" w:color="auto" w:sz="4" w:space="0"/>
              <w:bottom w:val="single" w:color="auto" w:sz="4" w:space="0"/>
              <w:right w:val="single" w:color="auto" w:sz="4" w:space="0"/>
            </w:tcBorders>
            <w:vAlign w:val="top"/>
          </w:tcPr>
          <w:p w14:paraId="2801AFFF">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tc>
        <w:tc>
          <w:tcPr>
            <w:tcW w:w="1450" w:type="pct"/>
            <w:tcBorders>
              <w:top w:val="single" w:color="auto" w:sz="4" w:space="0"/>
              <w:left w:val="single" w:color="auto" w:sz="4" w:space="0"/>
              <w:bottom w:val="single" w:color="auto" w:sz="4" w:space="0"/>
              <w:right w:val="single" w:color="auto" w:sz="4" w:space="0"/>
            </w:tcBorders>
            <w:vAlign w:val="center"/>
          </w:tcPr>
          <w:p w14:paraId="55182E61">
            <w:pPr>
              <w:widowControl w:val="0"/>
              <w:snapToGrid w:val="0"/>
              <w:spacing w:line="320" w:lineRule="exact"/>
              <w:jc w:val="center"/>
              <w:rPr>
                <w:rFonts w:hint="default" w:ascii="Times New Roman" w:hAnsi="Times New Roman" w:eastAsia="宋体" w:cs="Times New Roman"/>
                <w:color w:val="auto"/>
                <w:w w:val="99"/>
                <w:sz w:val="21"/>
                <w:szCs w:val="21"/>
                <w:highlight w:val="none"/>
                <w:lang w:val="en-US" w:eastAsia="en-US" w:bidi="ar-SA"/>
              </w:rPr>
            </w:pPr>
            <w:r>
              <w:rPr>
                <w:rFonts w:hint="eastAsia" w:ascii="Times New Roman" w:hAnsi="Times New Roman" w:cs="Times New Roman"/>
                <w:color w:val="auto"/>
                <w:w w:val="99"/>
                <w:sz w:val="21"/>
                <w:szCs w:val="21"/>
                <w:highlight w:val="none"/>
                <w:lang w:val="en-US" w:eastAsia="zh-CN" w:bidi="ar-SA"/>
              </w:rPr>
              <w:t>区域、下游布设3口</w:t>
            </w:r>
            <w:r>
              <w:rPr>
                <w:rFonts w:hint="default" w:ascii="Times New Roman" w:hAnsi="Times New Roman" w:eastAsia="宋体" w:cs="Times New Roman"/>
                <w:color w:val="auto"/>
                <w:w w:val="99"/>
                <w:sz w:val="21"/>
                <w:szCs w:val="21"/>
                <w:highlight w:val="none"/>
                <w:lang w:val="en-US" w:eastAsia="en-US" w:bidi="ar-SA"/>
              </w:rPr>
              <w:t>跟踪监测井</w:t>
            </w:r>
            <w:r>
              <w:rPr>
                <w:rFonts w:hint="eastAsia" w:ascii="Times New Roman" w:hAnsi="Times New Roman" w:cs="Times New Roman"/>
                <w:color w:val="auto"/>
                <w:w w:val="99"/>
                <w:sz w:val="21"/>
                <w:szCs w:val="21"/>
                <w:highlight w:val="none"/>
                <w:lang w:val="en-US" w:eastAsia="zh-CN" w:bidi="ar-SA"/>
              </w:rPr>
              <w:t>，</w:t>
            </w:r>
            <w:r>
              <w:rPr>
                <w:rFonts w:hint="default" w:ascii="Times New Roman" w:hAnsi="Times New Roman" w:eastAsia="宋体" w:cs="Times New Roman"/>
                <w:color w:val="auto"/>
                <w:w w:val="99"/>
                <w:sz w:val="21"/>
                <w:szCs w:val="21"/>
                <w:highlight w:val="none"/>
                <w:lang w:val="en-US" w:eastAsia="en-US" w:bidi="ar-SA"/>
              </w:rPr>
              <w:t xml:space="preserve"> </w:t>
            </w:r>
            <w:r>
              <w:rPr>
                <w:rFonts w:hint="eastAsia" w:ascii="Times New Roman" w:hAnsi="Times New Roman" w:cs="Times New Roman"/>
                <w:color w:val="auto"/>
                <w:w w:val="99"/>
                <w:sz w:val="21"/>
                <w:szCs w:val="21"/>
                <w:highlight w:val="none"/>
                <w:lang w:val="en-US" w:eastAsia="zh-CN" w:bidi="ar-SA"/>
              </w:rPr>
              <w:t>分别为</w:t>
            </w:r>
            <w:r>
              <w:rPr>
                <w:rFonts w:hint="eastAsia" w:ascii="Times New Roman" w:hAnsi="Times New Roman" w:cs="Times New Roman" w:eastAsiaTheme="minorEastAsia"/>
                <w:color w:val="auto"/>
                <w:w w:val="99"/>
                <w:sz w:val="21"/>
                <w:szCs w:val="21"/>
                <w:highlight w:val="none"/>
                <w:lang w:val="en-US" w:eastAsia="zh-CN"/>
              </w:rPr>
              <w:t>王家围子屯潜水</w:t>
            </w:r>
            <w:r>
              <w:rPr>
                <w:rFonts w:ascii="Times New Roman" w:hAnsi="Times New Roman" w:cs="Times New Roman" w:eastAsiaTheme="minorEastAsia"/>
                <w:color w:val="auto"/>
                <w:w w:val="99"/>
                <w:sz w:val="21"/>
                <w:szCs w:val="21"/>
                <w:highlight w:val="none"/>
              </w:rPr>
              <w:t>井</w:t>
            </w:r>
            <w:r>
              <w:rPr>
                <w:rFonts w:hint="eastAsia" w:ascii="Times New Roman" w:hAnsi="Times New Roman" w:cs="Times New Roman" w:eastAsiaTheme="minorEastAsia"/>
                <w:color w:val="auto"/>
                <w:w w:val="99"/>
                <w:sz w:val="21"/>
                <w:szCs w:val="21"/>
                <w:highlight w:val="none"/>
                <w:lang w:eastAsia="zh-CN"/>
              </w:rPr>
              <w:t>（125.51499，45.90631），</w:t>
            </w:r>
            <w:r>
              <w:rPr>
                <w:rFonts w:hint="eastAsia" w:ascii="Times New Roman" w:hAnsi="Times New Roman" w:cs="Times New Roman" w:eastAsiaTheme="minorEastAsia"/>
                <w:color w:val="auto"/>
                <w:w w:val="99"/>
                <w:sz w:val="21"/>
                <w:szCs w:val="21"/>
                <w:highlight w:val="none"/>
                <w:lang w:val="en-US" w:eastAsia="zh-CN"/>
              </w:rPr>
              <w:t>位于拟建管线东北侧850m（上游）；福龙村（尚家围子屯）潜水</w:t>
            </w:r>
            <w:r>
              <w:rPr>
                <w:rFonts w:ascii="Times New Roman" w:hAnsi="Times New Roman" w:cs="Times New Roman" w:eastAsiaTheme="minorEastAsia"/>
                <w:color w:val="auto"/>
                <w:w w:val="99"/>
                <w:sz w:val="21"/>
                <w:szCs w:val="21"/>
                <w:highlight w:val="none"/>
              </w:rPr>
              <w:t>井</w:t>
            </w:r>
            <w:r>
              <w:rPr>
                <w:rFonts w:hint="eastAsia" w:ascii="Times New Roman" w:hAnsi="Times New Roman" w:cs="Times New Roman" w:eastAsiaTheme="minorEastAsia"/>
                <w:color w:val="auto"/>
                <w:w w:val="99"/>
                <w:sz w:val="21"/>
                <w:szCs w:val="21"/>
                <w:highlight w:val="none"/>
                <w:lang w:eastAsia="zh-CN"/>
              </w:rPr>
              <w:t>（125.50506，45.89648），</w:t>
            </w:r>
            <w:r>
              <w:rPr>
                <w:rFonts w:hint="eastAsia" w:ascii="Times New Roman" w:hAnsi="Times New Roman" w:cs="Times New Roman" w:eastAsiaTheme="minorEastAsia"/>
                <w:color w:val="auto"/>
                <w:w w:val="99"/>
                <w:sz w:val="21"/>
                <w:szCs w:val="21"/>
                <w:highlight w:val="none"/>
                <w:lang w:val="en-US" w:eastAsia="zh-CN"/>
              </w:rPr>
              <w:t>位于拟建管线西南侧300m（下游）；杨家屯潜水</w:t>
            </w:r>
            <w:r>
              <w:rPr>
                <w:rFonts w:ascii="Times New Roman" w:hAnsi="Times New Roman" w:cs="Times New Roman" w:eastAsiaTheme="minorEastAsia"/>
                <w:color w:val="auto"/>
                <w:w w:val="99"/>
                <w:sz w:val="21"/>
                <w:szCs w:val="21"/>
                <w:highlight w:val="none"/>
              </w:rPr>
              <w:t>井</w:t>
            </w:r>
            <w:r>
              <w:rPr>
                <w:rFonts w:hint="eastAsia" w:ascii="Times New Roman" w:hAnsi="Times New Roman" w:cs="Times New Roman" w:eastAsiaTheme="minorEastAsia"/>
                <w:color w:val="auto"/>
                <w:w w:val="99"/>
                <w:sz w:val="21"/>
                <w:szCs w:val="21"/>
                <w:highlight w:val="none"/>
                <w:lang w:eastAsia="zh-CN"/>
              </w:rPr>
              <w:t>（125.50161，45.88171），</w:t>
            </w:r>
            <w:r>
              <w:rPr>
                <w:rFonts w:hint="eastAsia" w:ascii="Times New Roman" w:hAnsi="Times New Roman" w:cs="Times New Roman" w:eastAsiaTheme="minorEastAsia"/>
                <w:color w:val="auto"/>
                <w:w w:val="99"/>
                <w:sz w:val="21"/>
                <w:szCs w:val="21"/>
                <w:highlight w:val="none"/>
                <w:lang w:val="en-US" w:eastAsia="zh-CN"/>
              </w:rPr>
              <w:t>位于拟建27-H1井场西南侧1200m（下游）。</w:t>
            </w:r>
          </w:p>
        </w:tc>
        <w:tc>
          <w:tcPr>
            <w:tcW w:w="1691" w:type="pct"/>
            <w:tcBorders>
              <w:top w:val="single" w:color="auto" w:sz="4" w:space="0"/>
              <w:left w:val="single" w:color="auto" w:sz="4" w:space="0"/>
              <w:bottom w:val="single" w:color="auto" w:sz="4" w:space="0"/>
              <w:right w:val="single" w:color="auto" w:sz="4" w:space="0"/>
            </w:tcBorders>
            <w:vAlign w:val="top"/>
          </w:tcPr>
          <w:p w14:paraId="0CF562D7">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布设</w:t>
            </w:r>
            <w:r>
              <w:rPr>
                <w:rFonts w:hint="eastAsia" w:ascii="Times New Roman" w:hAnsi="Times New Roman" w:cs="Times New Roman"/>
                <w:color w:val="auto"/>
                <w:w w:val="99"/>
                <w:sz w:val="21"/>
                <w:szCs w:val="21"/>
                <w:highlight w:val="none"/>
                <w:lang w:val="en-US" w:eastAsia="zh-CN" w:bidi="ar-SA"/>
              </w:rPr>
              <w:t>3</w:t>
            </w:r>
            <w:r>
              <w:rPr>
                <w:rFonts w:hint="default" w:ascii="Times New Roman" w:hAnsi="Times New Roman" w:eastAsia="宋体" w:cs="Times New Roman"/>
                <w:color w:val="auto"/>
                <w:w w:val="99"/>
                <w:sz w:val="21"/>
                <w:szCs w:val="21"/>
                <w:highlight w:val="none"/>
                <w:lang w:val="en-US" w:eastAsia="en-US" w:bidi="ar-SA"/>
              </w:rPr>
              <w:t>口地下水跟踪监测井，定期监测，地下水水质执行《地下水质量标准》（GB/T14848-2017）III 类标准，石油类参照《地表水环境质量标准》（GB3838-2002）中 II 类标准</w:t>
            </w:r>
          </w:p>
        </w:tc>
      </w:tr>
      <w:tr w14:paraId="72071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858" w:type="pct"/>
            <w:gridSpan w:val="3"/>
            <w:tcBorders>
              <w:top w:val="single" w:color="auto" w:sz="4" w:space="0"/>
              <w:left w:val="single" w:color="auto" w:sz="4" w:space="0"/>
              <w:bottom w:val="single" w:color="auto" w:sz="4" w:space="0"/>
              <w:right w:val="single" w:color="auto" w:sz="4" w:space="0"/>
            </w:tcBorders>
            <w:vAlign w:val="center"/>
          </w:tcPr>
          <w:p w14:paraId="187323BA">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土壤保护</w:t>
            </w:r>
          </w:p>
        </w:tc>
        <w:tc>
          <w:tcPr>
            <w:tcW w:w="1450" w:type="pct"/>
            <w:tcBorders>
              <w:top w:val="single" w:color="auto" w:sz="4" w:space="0"/>
              <w:left w:val="single" w:color="auto" w:sz="4" w:space="0"/>
              <w:bottom w:val="single" w:color="auto" w:sz="4" w:space="0"/>
              <w:right w:val="single" w:color="auto" w:sz="4" w:space="0"/>
            </w:tcBorders>
            <w:vAlign w:val="center"/>
          </w:tcPr>
          <w:p w14:paraId="32A6BF0F">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eastAsia" w:ascii="Times New Roman" w:hAnsi="Times New Roman" w:cs="Times New Roman" w:eastAsiaTheme="minorEastAsia"/>
                <w:bCs/>
                <w:color w:val="auto"/>
                <w:w w:val="99"/>
                <w:kern w:val="2"/>
                <w:sz w:val="21"/>
                <w:szCs w:val="21"/>
                <w:highlight w:val="none"/>
                <w:lang w:val="en-US" w:eastAsia="zh-CN"/>
              </w:rPr>
              <w:t>徐深27-H1井</w:t>
            </w:r>
            <w:r>
              <w:rPr>
                <w:rFonts w:ascii="Times New Roman" w:hAnsi="Times New Roman" w:cs="Times New Roman" w:eastAsiaTheme="minorEastAsia"/>
                <w:bCs/>
                <w:color w:val="auto"/>
                <w:w w:val="99"/>
                <w:kern w:val="2"/>
                <w:sz w:val="21"/>
                <w:szCs w:val="21"/>
                <w:highlight w:val="none"/>
              </w:rPr>
              <w:t>井场</w:t>
            </w:r>
            <w:r>
              <w:rPr>
                <w:rFonts w:hint="default" w:ascii="Times New Roman" w:hAnsi="Times New Roman" w:eastAsia="宋体" w:cs="Times New Roman"/>
                <w:color w:val="auto"/>
                <w:w w:val="99"/>
                <w:sz w:val="21"/>
                <w:szCs w:val="21"/>
                <w:highlight w:val="none"/>
                <w:lang w:val="en-US" w:eastAsia="en-US" w:bidi="ar-SA"/>
              </w:rPr>
              <w:t>永久占地内、</w:t>
            </w:r>
            <w:r>
              <w:rPr>
                <w:rFonts w:hint="eastAsia" w:ascii="Times New Roman" w:hAnsi="Times New Roman" w:cs="Times New Roman" w:eastAsiaTheme="minorEastAsia"/>
                <w:bCs/>
                <w:color w:val="auto"/>
                <w:w w:val="99"/>
                <w:kern w:val="2"/>
                <w:sz w:val="21"/>
                <w:szCs w:val="21"/>
                <w:highlight w:val="none"/>
                <w:lang w:val="en-US" w:eastAsia="zh-CN"/>
              </w:rPr>
              <w:t>徐深27-H1</w:t>
            </w:r>
            <w:r>
              <w:rPr>
                <w:rFonts w:ascii="Times New Roman" w:hAnsi="Times New Roman" w:cs="Times New Roman" w:eastAsiaTheme="minorEastAsia"/>
                <w:bCs/>
                <w:color w:val="auto"/>
                <w:w w:val="99"/>
                <w:kern w:val="2"/>
                <w:sz w:val="21"/>
                <w:szCs w:val="21"/>
                <w:highlight w:val="none"/>
              </w:rPr>
              <w:t>井场</w:t>
            </w:r>
            <w:r>
              <w:rPr>
                <w:rFonts w:hint="default" w:ascii="Times New Roman" w:hAnsi="Times New Roman" w:eastAsia="宋体" w:cs="Times New Roman"/>
                <w:color w:val="auto"/>
                <w:w w:val="99"/>
                <w:sz w:val="21"/>
                <w:szCs w:val="21"/>
                <w:highlight w:val="none"/>
                <w:lang w:val="en-US" w:eastAsia="en-US" w:bidi="ar-SA"/>
              </w:rPr>
              <w:t>永久占地</w:t>
            </w:r>
            <w:r>
              <w:rPr>
                <w:rFonts w:hint="eastAsia" w:ascii="Times New Roman" w:hAnsi="Times New Roman" w:cs="Times New Roman"/>
                <w:color w:val="auto"/>
                <w:w w:val="99"/>
                <w:sz w:val="21"/>
                <w:szCs w:val="21"/>
                <w:highlight w:val="none"/>
                <w:lang w:val="en-US" w:eastAsia="zh-CN" w:bidi="ar-SA"/>
              </w:rPr>
              <w:t>南</w:t>
            </w:r>
            <w:r>
              <w:rPr>
                <w:rFonts w:hint="eastAsia" w:ascii="Times New Roman" w:hAnsi="Times New Roman" w:eastAsia="宋体" w:cs="Times New Roman"/>
                <w:color w:val="auto"/>
                <w:w w:val="99"/>
                <w:sz w:val="21"/>
                <w:szCs w:val="21"/>
                <w:highlight w:val="none"/>
                <w:lang w:val="en-US" w:eastAsia="zh-CN" w:bidi="ar-SA"/>
              </w:rPr>
              <w:t>侧</w:t>
            </w:r>
            <w:r>
              <w:rPr>
                <w:rFonts w:hint="default" w:ascii="Times New Roman" w:hAnsi="Times New Roman" w:eastAsia="宋体" w:cs="Times New Roman"/>
                <w:color w:val="auto"/>
                <w:w w:val="99"/>
                <w:sz w:val="21"/>
                <w:szCs w:val="21"/>
                <w:highlight w:val="none"/>
                <w:lang w:val="en-US" w:eastAsia="en-US" w:bidi="ar-SA"/>
              </w:rPr>
              <w:t xml:space="preserve"> </w:t>
            </w:r>
            <w:r>
              <w:rPr>
                <w:rFonts w:hint="eastAsia" w:ascii="Times New Roman" w:hAnsi="Times New Roman" w:eastAsia="宋体" w:cs="Times New Roman"/>
                <w:color w:val="auto"/>
                <w:w w:val="99"/>
                <w:sz w:val="21"/>
                <w:szCs w:val="21"/>
                <w:highlight w:val="none"/>
                <w:lang w:val="en-US" w:eastAsia="zh-CN" w:bidi="ar-SA"/>
              </w:rPr>
              <w:t>200</w:t>
            </w:r>
            <w:r>
              <w:rPr>
                <w:rFonts w:hint="default" w:ascii="Times New Roman" w:hAnsi="Times New Roman" w:eastAsia="宋体" w:cs="Times New Roman"/>
                <w:color w:val="auto"/>
                <w:w w:val="99"/>
                <w:sz w:val="21"/>
                <w:szCs w:val="21"/>
                <w:highlight w:val="none"/>
                <w:lang w:val="en-US" w:eastAsia="en-US" w:bidi="ar-SA"/>
              </w:rPr>
              <w:t>m处耕地处土壤分别布设土壤跟踪监测点</w:t>
            </w:r>
          </w:p>
        </w:tc>
        <w:tc>
          <w:tcPr>
            <w:tcW w:w="1691" w:type="pct"/>
            <w:tcBorders>
              <w:top w:val="single" w:color="auto" w:sz="4" w:space="0"/>
              <w:left w:val="single" w:color="auto" w:sz="4" w:space="0"/>
              <w:bottom w:val="single" w:color="auto" w:sz="4" w:space="0"/>
              <w:right w:val="single" w:color="auto" w:sz="4" w:space="0"/>
            </w:tcBorders>
            <w:vAlign w:val="top"/>
          </w:tcPr>
          <w:p w14:paraId="0682A18D">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布设 2 个土壤跟踪监测点，定期对土壤环境进行监测，井场永久占地内执行《土壤环境质量 建设用地土壤污染风险管控标准（试行）》 （GB36600-2018）中第二类用地风险筛选值； 井场永久 占地外执行《土壤环境质量 农用地土壤污染风险管控标准（试行）》（GB15618- 2018）表 1  农用地土壤污染风险筛选值</w:t>
            </w:r>
          </w:p>
        </w:tc>
      </w:tr>
      <w:tr w14:paraId="1D4B5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68" w:type="pct"/>
            <w:vMerge w:val="restart"/>
            <w:tcBorders>
              <w:top w:val="single" w:color="auto" w:sz="4" w:space="0"/>
              <w:left w:val="single" w:color="auto" w:sz="4" w:space="0"/>
              <w:bottom w:val="single" w:color="auto" w:sz="4" w:space="0"/>
              <w:right w:val="single" w:color="auto" w:sz="4" w:space="0"/>
            </w:tcBorders>
            <w:vAlign w:val="center"/>
          </w:tcPr>
          <w:p w14:paraId="351A4536">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生态恢复</w:t>
            </w:r>
          </w:p>
        </w:tc>
        <w:tc>
          <w:tcPr>
            <w:tcW w:w="1390" w:type="pct"/>
            <w:gridSpan w:val="2"/>
            <w:tcBorders>
              <w:top w:val="single" w:color="auto" w:sz="4" w:space="0"/>
              <w:left w:val="single" w:color="auto" w:sz="4" w:space="0"/>
              <w:bottom w:val="single" w:color="auto" w:sz="4" w:space="0"/>
              <w:right w:val="single" w:color="auto" w:sz="4" w:space="0"/>
            </w:tcBorders>
            <w:vAlign w:val="center"/>
          </w:tcPr>
          <w:p w14:paraId="43512BB8">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临时占地</w:t>
            </w:r>
          </w:p>
        </w:tc>
        <w:tc>
          <w:tcPr>
            <w:tcW w:w="1450" w:type="pct"/>
            <w:tcBorders>
              <w:top w:val="single" w:color="auto" w:sz="4" w:space="0"/>
              <w:left w:val="single" w:color="auto" w:sz="4" w:space="0"/>
              <w:bottom w:val="single" w:color="auto" w:sz="4" w:space="0"/>
              <w:right w:val="single" w:color="auto" w:sz="4" w:space="0"/>
            </w:tcBorders>
            <w:vAlign w:val="center"/>
          </w:tcPr>
          <w:p w14:paraId="0492D443">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 xml:space="preserve">临时占地 </w:t>
            </w:r>
            <w:r>
              <w:rPr>
                <w:rFonts w:hint="eastAsia" w:ascii="Times New Roman" w:hAnsi="Times New Roman" w:cs="Times New Roman"/>
                <w:color w:val="auto"/>
                <w:w w:val="99"/>
                <w:sz w:val="21"/>
                <w:szCs w:val="21"/>
                <w:highlight w:val="none"/>
                <w:lang w:val="en-US" w:eastAsia="zh-CN" w:bidi="ar-SA"/>
              </w:rPr>
              <w:t>1.9229</w:t>
            </w:r>
            <w:r>
              <w:rPr>
                <w:rFonts w:hint="default" w:ascii="Times New Roman" w:hAnsi="Times New Roman" w:eastAsia="宋体" w:cs="Times New Roman"/>
                <w:color w:val="auto"/>
                <w:w w:val="99"/>
                <w:sz w:val="21"/>
                <w:szCs w:val="21"/>
                <w:highlight w:val="none"/>
                <w:lang w:val="en-US" w:eastAsia="en-US" w:bidi="ar-SA"/>
              </w:rPr>
              <w:t>hm</w:t>
            </w:r>
            <w:r>
              <w:rPr>
                <w:rFonts w:hint="default" w:ascii="Times New Roman" w:hAnsi="Times New Roman" w:eastAsia="宋体" w:cs="Times New Roman"/>
                <w:color w:val="auto"/>
                <w:w w:val="99"/>
                <w:sz w:val="21"/>
                <w:szCs w:val="21"/>
                <w:highlight w:val="none"/>
                <w:vertAlign w:val="superscript"/>
                <w:lang w:val="en-US" w:eastAsia="en-US" w:bidi="ar-SA"/>
              </w:rPr>
              <w:t>2</w:t>
            </w:r>
            <w:r>
              <w:rPr>
                <w:rFonts w:hint="default" w:ascii="Times New Roman" w:hAnsi="Times New Roman" w:eastAsia="宋体" w:cs="Times New Roman"/>
                <w:color w:val="auto"/>
                <w:w w:val="99"/>
                <w:sz w:val="21"/>
                <w:szCs w:val="21"/>
                <w:highlight w:val="none"/>
                <w:lang w:val="en-US" w:eastAsia="en-US" w:bidi="ar-SA"/>
              </w:rPr>
              <w:t>，进行经济补偿。施工结束后恢复地表形态，并留存影像资料</w:t>
            </w:r>
          </w:p>
        </w:tc>
        <w:tc>
          <w:tcPr>
            <w:tcW w:w="1691" w:type="pct"/>
            <w:tcBorders>
              <w:top w:val="single" w:color="auto" w:sz="4" w:space="0"/>
              <w:left w:val="single" w:color="auto" w:sz="4" w:space="0"/>
              <w:bottom w:val="single" w:color="auto" w:sz="4" w:space="0"/>
              <w:right w:val="single" w:color="auto" w:sz="4" w:space="0"/>
            </w:tcBorders>
            <w:vAlign w:val="center"/>
          </w:tcPr>
          <w:p w14:paraId="553417F4">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 xml:space="preserve">施工结束后恢复临时占地 </w:t>
            </w:r>
            <w:r>
              <w:rPr>
                <w:rFonts w:hint="eastAsia" w:ascii="Times New Roman" w:hAnsi="Times New Roman" w:cs="Times New Roman"/>
                <w:color w:val="auto"/>
                <w:w w:val="99"/>
                <w:sz w:val="21"/>
                <w:szCs w:val="21"/>
                <w:highlight w:val="none"/>
                <w:lang w:val="en-US" w:eastAsia="zh-CN" w:bidi="ar-SA"/>
              </w:rPr>
              <w:t>1.9229</w:t>
            </w:r>
            <w:r>
              <w:rPr>
                <w:rFonts w:hint="default" w:ascii="Times New Roman" w:hAnsi="Times New Roman" w:eastAsia="宋体" w:cs="Times New Roman"/>
                <w:color w:val="auto"/>
                <w:w w:val="99"/>
                <w:sz w:val="21"/>
                <w:szCs w:val="21"/>
                <w:highlight w:val="none"/>
                <w:lang w:val="en-US" w:eastAsia="en-US" w:bidi="ar-SA"/>
              </w:rPr>
              <w:t>hm</w:t>
            </w:r>
            <w:r>
              <w:rPr>
                <w:rFonts w:hint="default" w:ascii="Times New Roman" w:hAnsi="Times New Roman" w:eastAsia="宋体" w:cs="Times New Roman"/>
                <w:color w:val="auto"/>
                <w:w w:val="99"/>
                <w:sz w:val="21"/>
                <w:szCs w:val="21"/>
                <w:highlight w:val="none"/>
                <w:vertAlign w:val="superscript"/>
                <w:lang w:val="en-US" w:eastAsia="en-US" w:bidi="ar-SA"/>
              </w:rPr>
              <w:t>2</w:t>
            </w:r>
          </w:p>
        </w:tc>
      </w:tr>
      <w:tr w14:paraId="7EBE0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468" w:type="pct"/>
            <w:vMerge w:val="continue"/>
            <w:tcBorders>
              <w:top w:val="single" w:color="auto" w:sz="4" w:space="0"/>
              <w:left w:val="single" w:color="auto" w:sz="4" w:space="0"/>
              <w:bottom w:val="single" w:color="auto" w:sz="4" w:space="0"/>
              <w:right w:val="single" w:color="auto" w:sz="4" w:space="0"/>
            </w:tcBorders>
            <w:textDirection w:val="tbRlV"/>
            <w:vAlign w:val="top"/>
          </w:tcPr>
          <w:p w14:paraId="3FC390BB">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tc>
        <w:tc>
          <w:tcPr>
            <w:tcW w:w="1390" w:type="pct"/>
            <w:gridSpan w:val="2"/>
            <w:tcBorders>
              <w:top w:val="single" w:color="auto" w:sz="4" w:space="0"/>
              <w:left w:val="single" w:color="auto" w:sz="4" w:space="0"/>
              <w:bottom w:val="single" w:color="auto" w:sz="4" w:space="0"/>
              <w:right w:val="single" w:color="auto" w:sz="4" w:space="0"/>
            </w:tcBorders>
            <w:vAlign w:val="center"/>
          </w:tcPr>
          <w:p w14:paraId="398F13D2">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永久占地</w:t>
            </w:r>
          </w:p>
        </w:tc>
        <w:tc>
          <w:tcPr>
            <w:tcW w:w="1450" w:type="pct"/>
            <w:tcBorders>
              <w:top w:val="single" w:color="auto" w:sz="4" w:space="0"/>
              <w:left w:val="single" w:color="auto" w:sz="4" w:space="0"/>
              <w:bottom w:val="single" w:color="auto" w:sz="4" w:space="0"/>
              <w:right w:val="single" w:color="auto" w:sz="4" w:space="0"/>
            </w:tcBorders>
            <w:vAlign w:val="center"/>
          </w:tcPr>
          <w:p w14:paraId="1F93C41E">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 xml:space="preserve">永久 占 地 </w:t>
            </w:r>
            <w:r>
              <w:rPr>
                <w:rFonts w:hint="eastAsia" w:ascii="Times New Roman" w:hAnsi="Times New Roman" w:cs="Times New Roman"/>
                <w:color w:val="auto"/>
                <w:w w:val="99"/>
                <w:sz w:val="21"/>
                <w:szCs w:val="21"/>
                <w:highlight w:val="none"/>
                <w:lang w:val="en-US" w:eastAsia="zh-CN" w:bidi="ar-SA"/>
              </w:rPr>
              <w:t>0.0901</w:t>
            </w:r>
            <w:r>
              <w:rPr>
                <w:rFonts w:hint="default" w:ascii="Times New Roman" w:hAnsi="Times New Roman" w:eastAsia="宋体" w:cs="Times New Roman"/>
                <w:color w:val="auto"/>
                <w:w w:val="99"/>
                <w:sz w:val="21"/>
                <w:szCs w:val="21"/>
                <w:highlight w:val="none"/>
                <w:lang w:val="en-US" w:eastAsia="en-US" w:bidi="ar-SA"/>
              </w:rPr>
              <w:t>hm</w:t>
            </w:r>
            <w:r>
              <w:rPr>
                <w:rFonts w:hint="default" w:ascii="Times New Roman" w:hAnsi="Times New Roman" w:eastAsia="宋体" w:cs="Times New Roman"/>
                <w:color w:val="auto"/>
                <w:w w:val="99"/>
                <w:sz w:val="21"/>
                <w:szCs w:val="21"/>
                <w:highlight w:val="none"/>
                <w:vertAlign w:val="superscript"/>
                <w:lang w:val="en-US" w:eastAsia="en-US" w:bidi="ar-SA"/>
              </w:rPr>
              <w:t>2</w:t>
            </w:r>
            <w:r>
              <w:rPr>
                <w:rFonts w:hint="default" w:ascii="Times New Roman" w:hAnsi="Times New Roman" w:eastAsia="宋体" w:cs="Times New Roman"/>
                <w:color w:val="auto"/>
                <w:w w:val="99"/>
                <w:sz w:val="21"/>
                <w:szCs w:val="21"/>
                <w:highlight w:val="none"/>
                <w:lang w:val="en-US" w:eastAsia="en-US" w:bidi="ar-SA"/>
              </w:rPr>
              <w:t xml:space="preserve"> ，永久占地中基本农田按照“占一补一”进行补偿，基本农田应取得土地管理部门的占地许可手续</w:t>
            </w:r>
          </w:p>
        </w:tc>
        <w:tc>
          <w:tcPr>
            <w:tcW w:w="1691" w:type="pct"/>
            <w:tcBorders>
              <w:top w:val="single" w:color="auto" w:sz="4" w:space="0"/>
              <w:left w:val="single" w:color="auto" w:sz="4" w:space="0"/>
              <w:bottom w:val="single" w:color="auto" w:sz="4" w:space="0"/>
              <w:right w:val="single" w:color="auto" w:sz="4" w:space="0"/>
            </w:tcBorders>
            <w:vAlign w:val="center"/>
          </w:tcPr>
          <w:p w14:paraId="24DBADDA">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p w14:paraId="2C6338C8">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 xml:space="preserve">补偿永久占地 </w:t>
            </w:r>
            <w:r>
              <w:rPr>
                <w:rFonts w:hint="eastAsia" w:ascii="Times New Roman" w:hAnsi="Times New Roman" w:cs="Times New Roman"/>
                <w:color w:val="auto"/>
                <w:w w:val="99"/>
                <w:sz w:val="21"/>
                <w:szCs w:val="21"/>
                <w:highlight w:val="none"/>
                <w:lang w:val="en-US" w:eastAsia="zh-CN" w:bidi="ar-SA"/>
              </w:rPr>
              <w:t>0.0901</w:t>
            </w:r>
            <w:r>
              <w:rPr>
                <w:rFonts w:hint="default" w:ascii="Times New Roman" w:hAnsi="Times New Roman" w:eastAsia="宋体" w:cs="Times New Roman"/>
                <w:color w:val="auto"/>
                <w:w w:val="99"/>
                <w:sz w:val="21"/>
                <w:szCs w:val="21"/>
                <w:highlight w:val="none"/>
                <w:lang w:val="en-US" w:eastAsia="en-US" w:bidi="ar-SA"/>
              </w:rPr>
              <w:t>hm</w:t>
            </w:r>
            <w:r>
              <w:rPr>
                <w:rFonts w:hint="default" w:ascii="Times New Roman" w:hAnsi="Times New Roman" w:eastAsia="宋体" w:cs="Times New Roman"/>
                <w:color w:val="auto"/>
                <w:w w:val="99"/>
                <w:sz w:val="21"/>
                <w:szCs w:val="21"/>
                <w:highlight w:val="none"/>
                <w:vertAlign w:val="superscript"/>
                <w:lang w:val="en-US" w:eastAsia="en-US" w:bidi="ar-SA"/>
              </w:rPr>
              <w:t>2</w:t>
            </w:r>
          </w:p>
        </w:tc>
      </w:tr>
      <w:tr w14:paraId="286A6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468" w:type="pct"/>
            <w:vMerge w:val="continue"/>
            <w:tcBorders>
              <w:top w:val="single" w:color="auto" w:sz="4" w:space="0"/>
              <w:left w:val="single" w:color="auto" w:sz="4" w:space="0"/>
              <w:bottom w:val="single" w:color="auto" w:sz="4" w:space="0"/>
              <w:right w:val="single" w:color="auto" w:sz="4" w:space="0"/>
            </w:tcBorders>
            <w:textDirection w:val="tbRlV"/>
            <w:vAlign w:val="top"/>
          </w:tcPr>
          <w:p w14:paraId="5AAC6E3E">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tc>
        <w:tc>
          <w:tcPr>
            <w:tcW w:w="1390" w:type="pct"/>
            <w:gridSpan w:val="2"/>
            <w:tcBorders>
              <w:top w:val="single" w:color="auto" w:sz="4" w:space="0"/>
              <w:left w:val="single" w:color="auto" w:sz="4" w:space="0"/>
              <w:bottom w:val="single" w:color="auto" w:sz="4" w:space="0"/>
              <w:right w:val="single" w:color="auto" w:sz="4" w:space="0"/>
            </w:tcBorders>
            <w:vAlign w:val="top"/>
          </w:tcPr>
          <w:p w14:paraId="0CF1190B">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p w14:paraId="12DBB880">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水土流失防治措施</w:t>
            </w:r>
          </w:p>
        </w:tc>
        <w:tc>
          <w:tcPr>
            <w:tcW w:w="1450" w:type="pct"/>
            <w:tcBorders>
              <w:top w:val="single" w:color="auto" w:sz="4" w:space="0"/>
              <w:left w:val="single" w:color="auto" w:sz="4" w:space="0"/>
              <w:bottom w:val="single" w:color="auto" w:sz="4" w:space="0"/>
              <w:right w:val="single" w:color="auto" w:sz="4" w:space="0"/>
            </w:tcBorders>
            <w:vAlign w:val="top"/>
          </w:tcPr>
          <w:p w14:paraId="37390947">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做好原有植被恢复工作和人工绿化工作，对占用基本农田的表土进行剥离，设置表土剥离临时堆放场，同时进行养护和管理；因地制宜选择施工季节</w:t>
            </w:r>
          </w:p>
        </w:tc>
        <w:tc>
          <w:tcPr>
            <w:tcW w:w="1691" w:type="pct"/>
            <w:tcBorders>
              <w:top w:val="single" w:color="auto" w:sz="4" w:space="0"/>
              <w:left w:val="single" w:color="auto" w:sz="4" w:space="0"/>
              <w:bottom w:val="single" w:color="auto" w:sz="4" w:space="0"/>
              <w:right w:val="single" w:color="auto" w:sz="4" w:space="0"/>
            </w:tcBorders>
            <w:vAlign w:val="top"/>
          </w:tcPr>
          <w:p w14:paraId="39ADB146">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p w14:paraId="4278280C">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施工过程中采取相应的水土流失防治措施，并留存影响资料</w:t>
            </w:r>
          </w:p>
        </w:tc>
      </w:tr>
      <w:tr w14:paraId="5F993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68" w:type="pct"/>
            <w:vMerge w:val="continue"/>
            <w:tcBorders>
              <w:top w:val="single" w:color="auto" w:sz="4" w:space="0"/>
              <w:left w:val="single" w:color="auto" w:sz="4" w:space="0"/>
              <w:bottom w:val="single" w:color="auto" w:sz="4" w:space="0"/>
              <w:right w:val="single" w:color="auto" w:sz="4" w:space="0"/>
            </w:tcBorders>
            <w:textDirection w:val="tbRlV"/>
            <w:vAlign w:val="top"/>
          </w:tcPr>
          <w:p w14:paraId="6A00CF71">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p>
        </w:tc>
        <w:tc>
          <w:tcPr>
            <w:tcW w:w="1390" w:type="pct"/>
            <w:gridSpan w:val="2"/>
            <w:tcBorders>
              <w:top w:val="single" w:color="auto" w:sz="4" w:space="0"/>
              <w:left w:val="single" w:color="auto" w:sz="4" w:space="0"/>
              <w:bottom w:val="single" w:color="auto" w:sz="4" w:space="0"/>
              <w:right w:val="single" w:color="auto" w:sz="4" w:space="0"/>
            </w:tcBorders>
            <w:vAlign w:val="top"/>
          </w:tcPr>
          <w:p w14:paraId="02FA7266">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防沙治沙</w:t>
            </w:r>
          </w:p>
        </w:tc>
        <w:tc>
          <w:tcPr>
            <w:tcW w:w="1450" w:type="pct"/>
            <w:tcBorders>
              <w:top w:val="single" w:color="auto" w:sz="4" w:space="0"/>
              <w:left w:val="single" w:color="auto" w:sz="4" w:space="0"/>
              <w:bottom w:val="single" w:color="auto" w:sz="4" w:space="0"/>
              <w:right w:val="single" w:color="auto" w:sz="4" w:space="0"/>
            </w:tcBorders>
            <w:vAlign w:val="top"/>
          </w:tcPr>
          <w:p w14:paraId="03572ACF">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施工均在临时占地内进行，车辆采用“ 一”字型作业法</w:t>
            </w:r>
          </w:p>
        </w:tc>
        <w:tc>
          <w:tcPr>
            <w:tcW w:w="1691" w:type="pct"/>
            <w:tcBorders>
              <w:top w:val="single" w:color="auto" w:sz="4" w:space="0"/>
              <w:left w:val="single" w:color="auto" w:sz="4" w:space="0"/>
              <w:bottom w:val="single" w:color="auto" w:sz="4" w:space="0"/>
              <w:right w:val="single" w:color="auto" w:sz="4" w:space="0"/>
            </w:tcBorders>
            <w:vAlign w:val="top"/>
          </w:tcPr>
          <w:p w14:paraId="49AFDEE5">
            <w:pPr>
              <w:pStyle w:val="2857"/>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color w:val="auto"/>
                <w:w w:val="99"/>
                <w:sz w:val="21"/>
                <w:szCs w:val="21"/>
                <w:highlight w:val="none"/>
                <w:lang w:val="en-US" w:eastAsia="en-US" w:bidi="ar-SA"/>
              </w:rPr>
            </w:pPr>
            <w:r>
              <w:rPr>
                <w:rFonts w:hint="default" w:ascii="Times New Roman" w:hAnsi="Times New Roman" w:eastAsia="宋体" w:cs="Times New Roman"/>
                <w:color w:val="auto"/>
                <w:w w:val="99"/>
                <w:sz w:val="21"/>
                <w:szCs w:val="21"/>
                <w:highlight w:val="none"/>
                <w:lang w:val="en-US" w:eastAsia="en-US" w:bidi="ar-SA"/>
              </w:rPr>
              <w:t>施工过程中采取相应的防沙治沙措施，并留存影响资料</w:t>
            </w:r>
          </w:p>
        </w:tc>
      </w:tr>
    </w:tbl>
    <w:p w14:paraId="0FEFA196">
      <w:pPr>
        <w:pStyle w:val="153"/>
        <w:widowControl w:val="0"/>
        <w:spacing w:line="440" w:lineRule="exact"/>
        <w:ind w:firstLine="478"/>
        <w:rPr>
          <w:rFonts w:ascii="Times New Roman" w:hAnsi="Times New Roman" w:eastAsiaTheme="minorEastAsia"/>
          <w:b/>
          <w:color w:val="auto"/>
          <w:w w:val="99"/>
          <w:kern w:val="21"/>
          <w:highlight w:val="none"/>
        </w:rPr>
      </w:pPr>
      <w:r>
        <w:rPr>
          <w:rFonts w:ascii="Times New Roman" w:hAnsi="Times New Roman" w:eastAsiaTheme="minorEastAsia"/>
          <w:b/>
          <w:color w:val="auto"/>
          <w:w w:val="99"/>
          <w:kern w:val="21"/>
          <w:highlight w:val="none"/>
        </w:rPr>
        <w:t>表6.2-2    竣工</w:t>
      </w:r>
      <w:r>
        <w:rPr>
          <w:rFonts w:ascii="Times New Roman" w:hAnsi="Times New Roman"/>
          <w:b/>
          <w:color w:val="auto"/>
          <w:w w:val="99"/>
          <w:kern w:val="2"/>
          <w:highlight w:val="none"/>
        </w:rPr>
        <w:t>验收</w:t>
      </w:r>
      <w:r>
        <w:rPr>
          <w:rFonts w:ascii="Times New Roman" w:hAnsi="Times New Roman" w:eastAsiaTheme="minorEastAsia"/>
          <w:b/>
          <w:color w:val="auto"/>
          <w:w w:val="99"/>
          <w:kern w:val="21"/>
          <w:highlight w:val="none"/>
        </w:rPr>
        <w:t>监测与调查主要内容</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46"/>
        <w:gridCol w:w="6241"/>
      </w:tblGrid>
      <w:tr w14:paraId="752BC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Align w:val="center"/>
          </w:tcPr>
          <w:p w14:paraId="7716C019">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项目</w:t>
            </w:r>
          </w:p>
        </w:tc>
        <w:tc>
          <w:tcPr>
            <w:tcW w:w="6089" w:type="dxa"/>
            <w:vAlign w:val="center"/>
          </w:tcPr>
          <w:p w14:paraId="3ED464CC">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内容</w:t>
            </w:r>
          </w:p>
        </w:tc>
      </w:tr>
      <w:tr w14:paraId="6B391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restart"/>
            <w:vAlign w:val="center"/>
          </w:tcPr>
          <w:p w14:paraId="2AE299C7">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环境保护管理检查</w:t>
            </w:r>
          </w:p>
        </w:tc>
        <w:tc>
          <w:tcPr>
            <w:tcW w:w="6089" w:type="dxa"/>
            <w:vAlign w:val="center"/>
          </w:tcPr>
          <w:p w14:paraId="52323571">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项目各阶段环境保护法律、法规、规章制度的执行情况</w:t>
            </w:r>
          </w:p>
        </w:tc>
      </w:tr>
      <w:tr w14:paraId="4ECFC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2972" w:type="dxa"/>
            <w:vMerge w:val="continue"/>
            <w:vAlign w:val="center"/>
          </w:tcPr>
          <w:p w14:paraId="08D543A1">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789031B4">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环境保护审批手续及环境保护档案资料</w:t>
            </w:r>
          </w:p>
        </w:tc>
      </w:tr>
      <w:tr w14:paraId="663C7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14C8DDF8">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78F83CAC">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环保组织机构及规章管理制度</w:t>
            </w:r>
          </w:p>
        </w:tc>
      </w:tr>
      <w:tr w14:paraId="174F2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3936A554">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00715825">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bCs/>
                <w:snapToGrid w:val="0"/>
                <w:color w:val="auto"/>
                <w:w w:val="99"/>
                <w:sz w:val="21"/>
                <w:szCs w:val="21"/>
                <w:highlight w:val="none"/>
              </w:rPr>
              <w:t>污水回收装置</w:t>
            </w:r>
            <w:r>
              <w:rPr>
                <w:rFonts w:ascii="Times New Roman" w:hAnsi="Times New Roman" w:cs="Times New Roman" w:eastAsiaTheme="minorEastAsia"/>
                <w:snapToGrid w:val="0"/>
                <w:color w:val="auto"/>
                <w:w w:val="99"/>
                <w:sz w:val="21"/>
                <w:szCs w:val="21"/>
                <w:highlight w:val="none"/>
              </w:rPr>
              <w:t>等环保设施建成及运行情况，生态恢复、占地补偿等措施的落实情况</w:t>
            </w:r>
          </w:p>
        </w:tc>
      </w:tr>
      <w:tr w14:paraId="4E622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51CA4BC6">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58C9BCF0">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本项目环评报告及其批复提出的环保措施落实情况及其效果</w:t>
            </w:r>
          </w:p>
        </w:tc>
      </w:tr>
      <w:tr w14:paraId="4B577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2972" w:type="dxa"/>
            <w:vMerge w:val="continue"/>
            <w:vAlign w:val="center"/>
          </w:tcPr>
          <w:p w14:paraId="26C3B2EA">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3CB37334">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运营期环境保护监测计划实施情况</w:t>
            </w:r>
          </w:p>
        </w:tc>
      </w:tr>
      <w:tr w14:paraId="2F5A6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2972" w:type="dxa"/>
            <w:vMerge w:val="continue"/>
            <w:vAlign w:val="center"/>
          </w:tcPr>
          <w:p w14:paraId="751FE758">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63FB00CB">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本项目事故风险的环保应急计划，包括物质配备、防范措施，应急处置等</w:t>
            </w:r>
          </w:p>
        </w:tc>
      </w:tr>
      <w:tr w14:paraId="49E85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3A11A4C7">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51EB45FA">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施工期、运营期扰民现象的调查</w:t>
            </w:r>
          </w:p>
        </w:tc>
      </w:tr>
      <w:tr w14:paraId="7272F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72B5450A">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2F267C15">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固体废物种类、产生量、处理处置情况、综合利用情况</w:t>
            </w:r>
          </w:p>
        </w:tc>
      </w:tr>
      <w:tr w14:paraId="136BF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restart"/>
            <w:vAlign w:val="center"/>
          </w:tcPr>
          <w:p w14:paraId="3F896EED">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污染物达标排放监测</w:t>
            </w:r>
          </w:p>
        </w:tc>
        <w:tc>
          <w:tcPr>
            <w:tcW w:w="6089" w:type="dxa"/>
            <w:vAlign w:val="center"/>
          </w:tcPr>
          <w:p w14:paraId="16714B8C">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无组织排放烃类气体监测</w:t>
            </w:r>
          </w:p>
        </w:tc>
      </w:tr>
      <w:tr w14:paraId="1B412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3109508F">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6089" w:type="dxa"/>
            <w:vAlign w:val="center"/>
          </w:tcPr>
          <w:p w14:paraId="4D644894">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燃烧烟气排放监测</w:t>
            </w:r>
          </w:p>
        </w:tc>
      </w:tr>
      <w:tr w14:paraId="3B477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2E4DA4AC">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73B32962">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厂界噪声声达标排放监测</w:t>
            </w:r>
          </w:p>
        </w:tc>
      </w:tr>
      <w:tr w14:paraId="63D49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3FEE8501">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3C715B9E">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lang w:val="en-US" w:eastAsia="zh-CN"/>
              </w:rPr>
              <w:t>采出水</w:t>
            </w:r>
            <w:r>
              <w:rPr>
                <w:rFonts w:ascii="Times New Roman" w:hAnsi="Times New Roman" w:cs="Times New Roman" w:eastAsiaTheme="minorEastAsia"/>
                <w:snapToGrid w:val="0"/>
                <w:color w:val="auto"/>
                <w:w w:val="99"/>
                <w:sz w:val="21"/>
                <w:szCs w:val="21"/>
                <w:highlight w:val="none"/>
              </w:rPr>
              <w:t>达标监测</w:t>
            </w:r>
          </w:p>
        </w:tc>
      </w:tr>
      <w:tr w14:paraId="4A587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2972" w:type="dxa"/>
            <w:vMerge w:val="continue"/>
            <w:vAlign w:val="center"/>
          </w:tcPr>
          <w:p w14:paraId="6DC83180">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341FFDCD">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事故时对大气，地下水、地表水、土壤等进行事故监测</w:t>
            </w:r>
          </w:p>
        </w:tc>
      </w:tr>
      <w:tr w14:paraId="7A1A1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Align w:val="center"/>
          </w:tcPr>
          <w:p w14:paraId="3EC78603">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环境保护敏感点环境质量监测</w:t>
            </w:r>
          </w:p>
        </w:tc>
        <w:tc>
          <w:tcPr>
            <w:tcW w:w="6089" w:type="dxa"/>
            <w:vAlign w:val="center"/>
          </w:tcPr>
          <w:p w14:paraId="076CF5B0">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油</w:t>
            </w:r>
            <w:r>
              <w:rPr>
                <w:rFonts w:hint="eastAsia" w:ascii="Times New Roman" w:hAnsi="Times New Roman" w:cs="Times New Roman" w:eastAsiaTheme="minorEastAsia"/>
                <w:snapToGrid w:val="0"/>
                <w:color w:val="auto"/>
                <w:w w:val="99"/>
                <w:sz w:val="21"/>
                <w:szCs w:val="21"/>
                <w:highlight w:val="none"/>
                <w:lang w:val="en-US" w:eastAsia="zh-CN"/>
              </w:rPr>
              <w:t>气</w:t>
            </w:r>
            <w:r>
              <w:rPr>
                <w:rFonts w:ascii="Times New Roman" w:hAnsi="Times New Roman" w:cs="Times New Roman" w:eastAsiaTheme="minorEastAsia"/>
                <w:snapToGrid w:val="0"/>
                <w:color w:val="auto"/>
                <w:w w:val="99"/>
                <w:sz w:val="21"/>
                <w:szCs w:val="21"/>
                <w:highlight w:val="none"/>
              </w:rPr>
              <w:t>田开发区域内的环境空气、地下水以及生态环境质量</w:t>
            </w:r>
          </w:p>
        </w:tc>
      </w:tr>
      <w:tr w14:paraId="5E0AE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restart"/>
            <w:vAlign w:val="center"/>
          </w:tcPr>
          <w:p w14:paraId="55F85365">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生态调查主要内容</w:t>
            </w:r>
          </w:p>
        </w:tc>
        <w:tc>
          <w:tcPr>
            <w:tcW w:w="6089" w:type="dxa"/>
            <w:vAlign w:val="center"/>
          </w:tcPr>
          <w:p w14:paraId="32A42422">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项目在施工、运营期落实环境影响评价、工程设计文件以及各级环境保护行政主管部门批复文件中生态保护措施的情况</w:t>
            </w:r>
          </w:p>
        </w:tc>
      </w:tr>
      <w:tr w14:paraId="2CA7C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639B29C7">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529EAEE1">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耕地复垦、草地恢复情况，永久占地补偿情况</w:t>
            </w:r>
          </w:p>
        </w:tc>
      </w:tr>
      <w:tr w14:paraId="0CDB7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3B0AD12A">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p>
        </w:tc>
        <w:tc>
          <w:tcPr>
            <w:tcW w:w="6089" w:type="dxa"/>
            <w:vAlign w:val="center"/>
          </w:tcPr>
          <w:p w14:paraId="290701C4">
            <w:pPr>
              <w:adjustRightInd w:val="0"/>
              <w:snapToGrid w:val="0"/>
              <w:spacing w:line="360" w:lineRule="exact"/>
              <w:jc w:val="both"/>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针对水土流失、防沙治沙环境破坏或潜在环境影响提出补救措施的落实情况</w:t>
            </w:r>
          </w:p>
        </w:tc>
      </w:tr>
    </w:tbl>
    <w:p w14:paraId="5A6F0B56">
      <w:pPr>
        <w:pStyle w:val="4"/>
        <w:widowControl w:val="0"/>
        <w:spacing w:before="180" w:after="180" w:line="500" w:lineRule="exact"/>
        <w:rPr>
          <w:rFonts w:ascii="Times New Roman" w:hAnsi="Times New Roman" w:eastAsiaTheme="minorEastAsia"/>
          <w:b/>
          <w:snapToGrid w:val="0"/>
          <w:color w:val="auto"/>
          <w:w w:val="99"/>
          <w:sz w:val="30"/>
          <w:szCs w:val="30"/>
          <w:highlight w:val="none"/>
        </w:rPr>
        <w:sectPr>
          <w:headerReference r:id="rId11" w:type="default"/>
          <w:footerReference r:id="rId12" w:type="default"/>
          <w:pgSz w:w="11907" w:h="16840"/>
          <w:pgMar w:top="1418" w:right="1418" w:bottom="1418" w:left="1418" w:header="851" w:footer="425" w:gutter="0"/>
          <w:pgBorders>
            <w:top w:val="none" w:sz="0" w:space="0"/>
            <w:left w:val="none" w:sz="0" w:space="0"/>
            <w:bottom w:val="none" w:sz="0" w:space="0"/>
            <w:right w:val="none" w:sz="0" w:space="0"/>
          </w:pgBorders>
          <w:pgNumType w:fmt="decimal"/>
          <w:cols w:space="720" w:num="1"/>
          <w:docGrid w:linePitch="326" w:charSpace="0"/>
        </w:sectPr>
      </w:pPr>
    </w:p>
    <w:p w14:paraId="7112D1E2">
      <w:pPr>
        <w:pStyle w:val="4"/>
        <w:widowControl w:val="0"/>
        <w:spacing w:before="180" w:after="180" w:line="440" w:lineRule="exact"/>
        <w:jc w:val="both"/>
        <w:rPr>
          <w:rFonts w:ascii="Times New Roman" w:hAnsi="Times New Roman" w:eastAsiaTheme="minorEastAsia"/>
          <w:b/>
          <w:snapToGrid w:val="0"/>
          <w:color w:val="auto"/>
          <w:w w:val="99"/>
          <w:sz w:val="30"/>
          <w:szCs w:val="30"/>
          <w:highlight w:val="none"/>
        </w:rPr>
      </w:pPr>
      <w:bookmarkStart w:id="1106" w:name="_Toc173163556"/>
      <w:bookmarkStart w:id="1107" w:name="_Toc19931"/>
      <w:r>
        <w:rPr>
          <w:rFonts w:ascii="Times New Roman" w:hAnsi="Times New Roman" w:eastAsiaTheme="minorEastAsia"/>
          <w:b/>
          <w:snapToGrid w:val="0"/>
          <w:color w:val="auto"/>
          <w:w w:val="99"/>
          <w:sz w:val="30"/>
          <w:szCs w:val="30"/>
          <w:highlight w:val="none"/>
        </w:rPr>
        <w:t>7环境影响经济损益分析</w:t>
      </w:r>
      <w:bookmarkEnd w:id="1106"/>
      <w:bookmarkEnd w:id="1107"/>
    </w:p>
    <w:p w14:paraId="7A0ABDA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本项目的开发建设，除对所在区域的经济发展起着促进作用外，也在一定程度上影响着项目拟建地区环境的变化。本评价将通过对拟建项目的经济和环境效益分析，对项目建设的合理性进行分析。</w:t>
      </w:r>
    </w:p>
    <w:p w14:paraId="091B18A0">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108" w:name="_Toc11584"/>
      <w:bookmarkStart w:id="1109" w:name="_Toc173163557"/>
      <w:r>
        <w:rPr>
          <w:rFonts w:ascii="Times New Roman" w:hAnsi="Times New Roman" w:eastAsiaTheme="minorEastAsia"/>
          <w:b/>
          <w:snapToGrid w:val="0"/>
          <w:color w:val="auto"/>
          <w:w w:val="99"/>
          <w:highlight w:val="none"/>
        </w:rPr>
        <w:t>7.1环境损失费估算</w:t>
      </w:r>
      <w:bookmarkEnd w:id="1108"/>
      <w:bookmarkEnd w:id="1109"/>
    </w:p>
    <w:p w14:paraId="6F8C5AF5">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的开发建设，由于井场、道路建设、管道铺设等，需要占用一定面积土地，而且由此产生的污染物对周围环境也会造成一定污染，因此引起的环境损失费往往很难直接用经济价值来计算，因此，我们仅用植被损失费和资源损失费来估算。</w:t>
      </w:r>
    </w:p>
    <w:p w14:paraId="768A68F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（1）植被损失费</w:t>
      </w:r>
    </w:p>
    <w:p w14:paraId="54E50AE4">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本工程永久占用耕地面积为</w:t>
      </w:r>
      <w:r>
        <w:rPr>
          <w:rFonts w:hint="eastAsia" w:ascii="Times New Roman" w:hAnsi="Times New Roman" w:cs="Times New Roman"/>
          <w:color w:val="auto"/>
          <w:w w:val="99"/>
          <w:kern w:val="0"/>
          <w:sz w:val="24"/>
          <w:szCs w:val="24"/>
          <w:highlight w:val="none"/>
          <w:lang w:val="en-US" w:eastAsia="zh-CN" w:bidi="zh-CN"/>
        </w:rPr>
        <w:t>0.0901</w:t>
      </w:r>
      <w:r>
        <w:rPr>
          <w:rFonts w:hint="default" w:ascii="Times New Roman" w:hAnsi="Times New Roman" w:eastAsia="宋体" w:cs="Times New Roman"/>
          <w:color w:val="auto"/>
          <w:w w:val="99"/>
          <w:kern w:val="0"/>
          <w:sz w:val="24"/>
          <w:szCs w:val="24"/>
          <w:highlight w:val="none"/>
          <w:lang w:val="en-US" w:eastAsia="zh-CN" w:bidi="zh-CN"/>
        </w:rPr>
        <w: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，占用的农作物主要为玉米，玉米产量按 7t/hm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计算，永久占地按15年损失计算，共损失玉米</w:t>
      </w:r>
      <w:r>
        <w:rPr>
          <w:rFonts w:hint="eastAsia" w:ascii="Times New Roman" w:hAnsi="Times New Roman" w:cs="Times New Roman"/>
          <w:color w:val="auto"/>
          <w:w w:val="99"/>
          <w:kern w:val="0"/>
          <w:sz w:val="24"/>
          <w:szCs w:val="24"/>
          <w:highlight w:val="none"/>
          <w:lang w:val="en-US" w:eastAsia="zh-CN" w:bidi="zh-CN"/>
        </w:rPr>
        <w:t>9.46</w:t>
      </w:r>
      <w:r>
        <w:rPr>
          <w:rFonts w:hint="default" w:ascii="Times New Roman" w:hAnsi="Times New Roman" w:eastAsia="宋体" w:cs="Times New Roman"/>
          <w:color w:val="auto"/>
          <w:w w:val="99"/>
          <w:kern w:val="0"/>
          <w:sz w:val="24"/>
          <w:szCs w:val="24"/>
          <w:highlight w:val="none"/>
          <w:lang w:val="en-US" w:eastAsia="zh-CN" w:bidi="zh-CN"/>
        </w:rPr>
        <w:t>t，玉米价格按1500元/t计算，其经济价值约为</w:t>
      </w:r>
      <w:r>
        <w:rPr>
          <w:rFonts w:hint="eastAsia" w:ascii="Times New Roman" w:hAnsi="Times New Roman" w:cs="Times New Roman"/>
          <w:color w:val="auto"/>
          <w:w w:val="99"/>
          <w:kern w:val="0"/>
          <w:sz w:val="24"/>
          <w:szCs w:val="24"/>
          <w:highlight w:val="none"/>
          <w:lang w:val="en-US" w:eastAsia="zh-CN" w:bidi="zh-CN"/>
        </w:rPr>
        <w:t>1.42</w:t>
      </w:r>
      <w:r>
        <w:rPr>
          <w:rFonts w:hint="default" w:ascii="Times New Roman" w:hAnsi="Times New Roman" w:eastAsia="宋体" w:cs="Times New Roman"/>
          <w:color w:val="auto"/>
          <w:w w:val="99"/>
          <w:kern w:val="0"/>
          <w:sz w:val="24"/>
          <w:szCs w:val="24"/>
          <w:highlight w:val="none"/>
          <w:lang w:val="en-US" w:eastAsia="zh-CN" w:bidi="zh-CN"/>
        </w:rPr>
        <w:t>万元。临时占地上层翻动使肥力下降，第二、三年产量将下降 20%-40%，本工程临时占用耕地</w:t>
      </w:r>
      <w:r>
        <w:rPr>
          <w:rFonts w:hint="eastAsia" w:ascii="Times New Roman" w:hAnsi="Times New Roman" w:cs="Times New Roman"/>
          <w:color w:val="auto"/>
          <w:w w:val="99"/>
          <w:kern w:val="0"/>
          <w:sz w:val="24"/>
          <w:szCs w:val="24"/>
          <w:highlight w:val="none"/>
          <w:lang w:val="en-US" w:eastAsia="zh-CN" w:bidi="zh-CN"/>
        </w:rPr>
        <w:t>1.9229</w:t>
      </w:r>
      <w:r>
        <w:rPr>
          <w:rFonts w:hint="default" w:ascii="Times New Roman" w:hAnsi="Times New Roman" w:eastAsia="宋体" w:cs="Times New Roman"/>
          <w:color w:val="auto"/>
          <w:w w:val="99"/>
          <w:kern w:val="0"/>
          <w:sz w:val="24"/>
          <w:szCs w:val="24"/>
          <w:highlight w:val="none"/>
          <w:lang w:val="en-US" w:eastAsia="zh-CN" w:bidi="zh-CN"/>
        </w:rPr>
        <w: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，玉米产量按7t/hm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计算，临时占地按第1年产量完全损失，第2、3年损失30%计算，三年间总共损失玉米为</w:t>
      </w:r>
      <w:r>
        <w:rPr>
          <w:rFonts w:hint="eastAsia" w:ascii="Times New Roman" w:hAnsi="Times New Roman" w:cs="Times New Roman"/>
          <w:color w:val="auto"/>
          <w:w w:val="99"/>
          <w:kern w:val="0"/>
          <w:sz w:val="24"/>
          <w:szCs w:val="24"/>
          <w:highlight w:val="none"/>
          <w:lang w:val="en-US" w:eastAsia="zh-CN" w:bidi="zh-CN"/>
        </w:rPr>
        <w:t>21.54</w:t>
      </w:r>
      <w:r>
        <w:rPr>
          <w:rFonts w:hint="default" w:ascii="Times New Roman" w:hAnsi="Times New Roman" w:eastAsia="宋体" w:cs="Times New Roman"/>
          <w:color w:val="auto"/>
          <w:w w:val="99"/>
          <w:kern w:val="0"/>
          <w:sz w:val="24"/>
          <w:szCs w:val="24"/>
          <w:highlight w:val="none"/>
          <w:lang w:val="en-US" w:eastAsia="zh-CN" w:bidi="zh-CN"/>
        </w:rPr>
        <w:t>t。玉米价格按1500元/t计算，其经济价值为</w:t>
      </w:r>
      <w:r>
        <w:rPr>
          <w:rFonts w:hint="eastAsia" w:ascii="Times New Roman" w:hAnsi="Times New Roman" w:cs="Times New Roman"/>
          <w:color w:val="auto"/>
          <w:w w:val="99"/>
          <w:kern w:val="0"/>
          <w:sz w:val="24"/>
          <w:szCs w:val="24"/>
          <w:highlight w:val="none"/>
          <w:lang w:val="en-US" w:eastAsia="zh-CN" w:bidi="zh-CN"/>
        </w:rPr>
        <w:t>3.23</w:t>
      </w:r>
      <w:r>
        <w:rPr>
          <w:rFonts w:hint="default" w:ascii="Times New Roman" w:hAnsi="Times New Roman" w:eastAsia="宋体" w:cs="Times New Roman"/>
          <w:color w:val="auto"/>
          <w:w w:val="99"/>
          <w:kern w:val="0"/>
          <w:sz w:val="24"/>
          <w:szCs w:val="24"/>
          <w:highlight w:val="none"/>
          <w:lang w:val="en-US" w:eastAsia="zh-CN" w:bidi="zh-CN"/>
        </w:rPr>
        <w:t>万元。耕地植被损失费约</w:t>
      </w:r>
      <w:r>
        <w:rPr>
          <w:rFonts w:hint="eastAsia" w:ascii="Times New Roman" w:hAnsi="Times New Roman" w:cs="Times New Roman"/>
          <w:color w:val="auto"/>
          <w:w w:val="99"/>
          <w:kern w:val="0"/>
          <w:sz w:val="24"/>
          <w:szCs w:val="24"/>
          <w:highlight w:val="none"/>
          <w:lang w:val="en-US" w:eastAsia="zh-CN" w:bidi="zh-CN"/>
        </w:rPr>
        <w:t>4.65</w:t>
      </w:r>
      <w:r>
        <w:rPr>
          <w:rFonts w:hint="default" w:ascii="Times New Roman" w:hAnsi="Times New Roman" w:eastAsia="宋体" w:cs="Times New Roman"/>
          <w:color w:val="auto"/>
          <w:w w:val="99"/>
          <w:kern w:val="0"/>
          <w:sz w:val="24"/>
          <w:szCs w:val="24"/>
          <w:highlight w:val="none"/>
          <w:lang w:val="en-US" w:eastAsia="zh-CN" w:bidi="zh-CN"/>
        </w:rPr>
        <w:t>万元。</w:t>
      </w:r>
    </w:p>
    <w:p w14:paraId="71DFA0E5">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（2）资源损失费</w:t>
      </w:r>
    </w:p>
    <w:p w14:paraId="224301C6">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该项目资源损失主要为气田开发过程中天然气逸散损失。该项目采出气采用管网密闭集输，气田天然气逸散量约占产气量的 0.5‰ ，投产 10年间该项目将有</w:t>
      </w:r>
      <w:r>
        <w:rPr>
          <w:rFonts w:hint="eastAsia" w:ascii="Times New Roman" w:hAnsi="Times New Roman" w:cs="Times New Roman"/>
          <w:color w:val="auto"/>
          <w:w w:val="99"/>
          <w:kern w:val="0"/>
          <w:sz w:val="24"/>
          <w:szCs w:val="24"/>
          <w:highlight w:val="none"/>
          <w:lang w:val="en-US" w:eastAsia="zh-CN" w:bidi="zh-CN"/>
        </w:rPr>
        <w:t>116.8</w:t>
      </w:r>
      <w:r>
        <w:rPr>
          <w:rFonts w:hint="default" w:ascii="Times New Roman" w:hAnsi="Times New Roman" w:eastAsia="宋体" w:cs="Times New Roman"/>
          <w:color w:val="auto"/>
          <w:w w:val="99"/>
          <w:kern w:val="0"/>
          <w:sz w:val="24"/>
          <w:szCs w:val="24"/>
          <w:highlight w:val="none"/>
          <w:lang w:val="en-US" w:eastAsia="zh-CN" w:bidi="zh-CN"/>
        </w:rPr>
        <w:t>t 烃类排入大气，每吨按 1529.7 元计，相当于损失</w:t>
      </w:r>
      <w:r>
        <w:rPr>
          <w:rFonts w:hint="eastAsia" w:ascii="Times New Roman" w:hAnsi="Times New Roman" w:cs="Times New Roman"/>
          <w:color w:val="auto"/>
          <w:w w:val="99"/>
          <w:kern w:val="0"/>
          <w:sz w:val="24"/>
          <w:szCs w:val="24"/>
          <w:highlight w:val="none"/>
          <w:lang w:val="en-US" w:eastAsia="zh-CN" w:bidi="zh-CN"/>
        </w:rPr>
        <w:t>17.87</w:t>
      </w:r>
      <w:r>
        <w:rPr>
          <w:rFonts w:hint="default" w:ascii="Times New Roman" w:hAnsi="Times New Roman" w:eastAsia="宋体" w:cs="Times New Roman"/>
          <w:color w:val="auto"/>
          <w:w w:val="99"/>
          <w:kern w:val="0"/>
          <w:sz w:val="24"/>
          <w:szCs w:val="24"/>
          <w:highlight w:val="none"/>
          <w:lang w:val="en-US" w:eastAsia="zh-CN" w:bidi="zh-CN"/>
        </w:rPr>
        <w:t>万元。</w:t>
      </w:r>
    </w:p>
    <w:p w14:paraId="44146D9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 xml:space="preserve">植被损失和资源损失两项合计为 </w:t>
      </w:r>
      <w:r>
        <w:rPr>
          <w:rFonts w:hint="eastAsia" w:ascii="Times New Roman" w:hAnsi="Times New Roman" w:cs="Times New Roman"/>
          <w:color w:val="auto"/>
          <w:w w:val="99"/>
          <w:kern w:val="0"/>
          <w:sz w:val="24"/>
          <w:szCs w:val="24"/>
          <w:highlight w:val="none"/>
          <w:lang w:val="en-US" w:eastAsia="zh-CN" w:bidi="zh-CN"/>
        </w:rPr>
        <w:t>22.52</w:t>
      </w:r>
      <w:r>
        <w:rPr>
          <w:rFonts w:hint="default" w:ascii="Times New Roman" w:hAnsi="Times New Roman" w:eastAsia="宋体" w:cs="Times New Roman"/>
          <w:color w:val="auto"/>
          <w:w w:val="99"/>
          <w:kern w:val="0"/>
          <w:sz w:val="24"/>
          <w:szCs w:val="24"/>
          <w:highlight w:val="none"/>
          <w:lang w:val="en-US" w:eastAsia="zh-CN" w:bidi="zh-CN"/>
        </w:rPr>
        <w:t>万元。</w:t>
      </w:r>
    </w:p>
    <w:p w14:paraId="61E1CEA1">
      <w:pPr>
        <w:pStyle w:val="5"/>
        <w:keepNext w:val="0"/>
        <w:keepLines w:val="0"/>
        <w:widowControl w:val="0"/>
        <w:spacing w:before="120" w:after="120" w:line="440" w:lineRule="exact"/>
        <w:jc w:val="both"/>
        <w:rPr>
          <w:rFonts w:hint="eastAsia" w:ascii="Times New Roman" w:hAnsi="Times New Roman" w:eastAsiaTheme="minorEastAsia"/>
          <w:b/>
          <w:snapToGrid w:val="0"/>
          <w:color w:val="auto"/>
          <w:w w:val="99"/>
          <w:highlight w:val="none"/>
          <w:lang w:val="en-US" w:eastAsia="zh-CN"/>
        </w:rPr>
      </w:pPr>
      <w:bookmarkStart w:id="1110" w:name="_Toc173163558"/>
      <w:bookmarkStart w:id="1111" w:name="_Toc16760"/>
      <w:r>
        <w:rPr>
          <w:rFonts w:ascii="Times New Roman" w:hAnsi="Times New Roman" w:eastAsiaTheme="minorEastAsia"/>
          <w:b/>
          <w:snapToGrid w:val="0"/>
          <w:color w:val="auto"/>
          <w:w w:val="99"/>
          <w:highlight w:val="none"/>
        </w:rPr>
        <w:t>7.2环保投资估算及环境效益分析</w:t>
      </w:r>
      <w:bookmarkEnd w:id="1110"/>
      <w:bookmarkEnd w:id="1111"/>
      <w:r>
        <w:rPr>
          <w:rFonts w:hint="eastAsia" w:ascii="Times New Roman" w:hAnsi="Times New Roman" w:eastAsiaTheme="minorEastAsia"/>
          <w:b/>
          <w:snapToGrid w:val="0"/>
          <w:color w:val="auto"/>
          <w:w w:val="99"/>
          <w:highlight w:val="none"/>
          <w:lang w:val="en-US" w:eastAsia="zh-CN"/>
        </w:rPr>
        <w:tab/>
      </w:r>
    </w:p>
    <w:p w14:paraId="2EC0D533">
      <w:pPr>
        <w:pStyle w:val="7"/>
        <w:widowControl w:val="0"/>
        <w:spacing w:before="60" w:after="60" w:line="440" w:lineRule="exact"/>
        <w:jc w:val="both"/>
        <w:rPr>
          <w:rFonts w:eastAsiaTheme="minorEastAsia"/>
          <w:b/>
          <w:color w:val="auto"/>
          <w:w w:val="99"/>
          <w:kern w:val="2"/>
          <w:sz w:val="24"/>
          <w:szCs w:val="24"/>
          <w:highlight w:val="none"/>
        </w:rPr>
      </w:pPr>
      <w:bookmarkStart w:id="1112" w:name="_Toc127192438"/>
      <w:bookmarkStart w:id="1113" w:name="_Toc186444389"/>
      <w:bookmarkStart w:id="1114" w:name="_Toc143099677"/>
      <w:bookmarkStart w:id="1115" w:name="_Toc84929333"/>
      <w:bookmarkStart w:id="1116" w:name="_Toc85640857"/>
      <w:bookmarkStart w:id="1117" w:name="_Toc126863489"/>
      <w:bookmarkStart w:id="1118" w:name="_Toc131167390"/>
      <w:bookmarkStart w:id="1119" w:name="_Toc86142032"/>
      <w:r>
        <w:rPr>
          <w:rFonts w:eastAsiaTheme="minorEastAsia"/>
          <w:b/>
          <w:color w:val="auto"/>
          <w:w w:val="99"/>
          <w:kern w:val="2"/>
          <w:sz w:val="24"/>
          <w:szCs w:val="24"/>
          <w:highlight w:val="none"/>
        </w:rPr>
        <w:t>7.2.1环保投资估算</w:t>
      </w:r>
      <w:bookmarkEnd w:id="1112"/>
      <w:bookmarkEnd w:id="1113"/>
      <w:bookmarkEnd w:id="1114"/>
      <w:bookmarkEnd w:id="1115"/>
      <w:bookmarkEnd w:id="1116"/>
      <w:bookmarkEnd w:id="1117"/>
      <w:bookmarkEnd w:id="1118"/>
      <w:bookmarkEnd w:id="1119"/>
    </w:p>
    <w:p w14:paraId="36BFCFC8">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本项目总投资</w:t>
      </w:r>
      <w:r>
        <w:rPr>
          <w:rFonts w:hint="eastAsia" w:ascii="Times New Roman" w:hAnsi="Times New Roman" w:cs="Times New Roman"/>
          <w:color w:val="auto"/>
          <w:w w:val="99"/>
          <w:kern w:val="0"/>
          <w:sz w:val="24"/>
          <w:szCs w:val="24"/>
          <w:highlight w:val="none"/>
          <w:lang w:val="en-US" w:eastAsia="zh-CN" w:bidi="zh-CN"/>
        </w:rPr>
        <w:t>567</w:t>
      </w:r>
      <w:r>
        <w:rPr>
          <w:rFonts w:hint="default" w:ascii="Times New Roman" w:hAnsi="Times New Roman" w:eastAsia="宋体" w:cs="Times New Roman"/>
          <w:color w:val="auto"/>
          <w:w w:val="99"/>
          <w:kern w:val="0"/>
          <w:sz w:val="24"/>
          <w:szCs w:val="24"/>
          <w:highlight w:val="none"/>
          <w:lang w:val="en-US" w:eastAsia="zh-CN" w:bidi="zh-CN"/>
        </w:rPr>
        <w:t>万元，其中环保投资</w:t>
      </w:r>
      <w:r>
        <w:rPr>
          <w:rFonts w:hint="eastAsia" w:ascii="Times New Roman" w:hAnsi="Times New Roman" w:cs="Times New Roman"/>
          <w:color w:val="auto"/>
          <w:w w:val="99"/>
          <w:kern w:val="0"/>
          <w:sz w:val="24"/>
          <w:szCs w:val="24"/>
          <w:highlight w:val="none"/>
          <w:lang w:val="en-US" w:eastAsia="zh-CN" w:bidi="zh-CN"/>
        </w:rPr>
        <w:t>25.47</w:t>
      </w:r>
      <w:r>
        <w:rPr>
          <w:rFonts w:hint="default" w:ascii="Times New Roman" w:hAnsi="Times New Roman" w:eastAsia="宋体" w:cs="Times New Roman"/>
          <w:color w:val="auto"/>
          <w:w w:val="99"/>
          <w:kern w:val="0"/>
          <w:sz w:val="24"/>
          <w:szCs w:val="24"/>
          <w:highlight w:val="none"/>
          <w:lang w:val="en-US" w:eastAsia="zh-CN" w:bidi="zh-CN"/>
        </w:rPr>
        <w:t>万元，环保投资占总投资的</w:t>
      </w:r>
      <w:r>
        <w:rPr>
          <w:rFonts w:hint="eastAsia" w:ascii="Times New Roman" w:hAnsi="Times New Roman" w:cs="Times New Roman"/>
          <w:color w:val="auto"/>
          <w:w w:val="99"/>
          <w:kern w:val="0"/>
          <w:sz w:val="24"/>
          <w:szCs w:val="24"/>
          <w:highlight w:val="none"/>
          <w:lang w:val="en-US" w:eastAsia="zh-CN" w:bidi="zh-CN"/>
        </w:rPr>
        <w:t>4.49</w:t>
      </w:r>
      <w:r>
        <w:rPr>
          <w:rFonts w:hint="default" w:ascii="Times New Roman" w:hAnsi="Times New Roman" w:eastAsia="宋体" w:cs="Times New Roman"/>
          <w:color w:val="auto"/>
          <w:w w:val="99"/>
          <w:kern w:val="0"/>
          <w:sz w:val="24"/>
          <w:szCs w:val="24"/>
          <w:highlight w:val="none"/>
          <w:lang w:val="en-US" w:eastAsia="zh-CN" w:bidi="zh-CN"/>
        </w:rPr>
        <w:t>%，本工程环保投资详见表7.2-1。</w:t>
      </w:r>
    </w:p>
    <w:p w14:paraId="779305B8">
      <w:pPr>
        <w:widowControl w:val="0"/>
        <w:spacing w:line="440" w:lineRule="exact"/>
        <w:ind w:firstLine="476" w:firstLineChars="200"/>
        <w:jc w:val="both"/>
        <w:rPr>
          <w:rFonts w:ascii="Times New Roman" w:hAnsi="Times New Roman" w:cs="Times New Roman" w:eastAsiaTheme="minorEastAsia"/>
          <w:b/>
          <w:color w:val="auto"/>
          <w:w w:val="99"/>
          <w:kern w:val="21"/>
          <w:highlight w:val="none"/>
        </w:rPr>
      </w:pPr>
      <w:r>
        <w:rPr>
          <w:rFonts w:ascii="Times New Roman" w:hAnsi="Times New Roman" w:cs="Times New Roman" w:eastAsiaTheme="minorEastAsia"/>
          <w:b/>
          <w:color w:val="auto"/>
          <w:w w:val="99"/>
          <w:kern w:val="21"/>
          <w:highlight w:val="none"/>
        </w:rPr>
        <w:t xml:space="preserve">表7.2-1    </w:t>
      </w:r>
      <w:r>
        <w:rPr>
          <w:rFonts w:ascii="Times New Roman" w:hAnsi="Times New Roman" w:cs="Times New Roman" w:eastAsiaTheme="minorEastAsia"/>
          <w:b/>
          <w:color w:val="auto"/>
          <w:w w:val="99"/>
          <w:szCs w:val="22"/>
          <w:highlight w:val="none"/>
        </w:rPr>
        <w:t>环保</w:t>
      </w:r>
      <w:r>
        <w:rPr>
          <w:rFonts w:ascii="Times New Roman" w:hAnsi="Times New Roman" w:cs="Times New Roman" w:eastAsiaTheme="minorEastAsia"/>
          <w:b/>
          <w:color w:val="auto"/>
          <w:w w:val="99"/>
          <w:kern w:val="21"/>
          <w:highlight w:val="none"/>
        </w:rPr>
        <w:t>投资统计</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1"/>
        <w:gridCol w:w="728"/>
        <w:gridCol w:w="3340"/>
        <w:gridCol w:w="3288"/>
        <w:gridCol w:w="1210"/>
      </w:tblGrid>
      <w:tr w14:paraId="60526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80" w:type="pct"/>
            <w:gridSpan w:val="2"/>
            <w:vAlign w:val="center"/>
          </w:tcPr>
          <w:p w14:paraId="5E4F4A6B">
            <w:pPr>
              <w:snapToGrid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环保工程名称</w:t>
            </w:r>
          </w:p>
        </w:tc>
        <w:tc>
          <w:tcPr>
            <w:tcW w:w="1798" w:type="pct"/>
            <w:vAlign w:val="center"/>
          </w:tcPr>
          <w:p w14:paraId="22E6DE56">
            <w:pPr>
              <w:snapToGrid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措施内容</w:t>
            </w:r>
          </w:p>
        </w:tc>
        <w:tc>
          <w:tcPr>
            <w:tcW w:w="1770" w:type="pct"/>
            <w:vAlign w:val="center"/>
          </w:tcPr>
          <w:p w14:paraId="0DEC5F90">
            <w:pPr>
              <w:snapToGrid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工程量</w:t>
            </w:r>
          </w:p>
        </w:tc>
        <w:tc>
          <w:tcPr>
            <w:tcW w:w="651" w:type="pct"/>
            <w:vAlign w:val="center"/>
          </w:tcPr>
          <w:p w14:paraId="401AD461">
            <w:pPr>
              <w:snapToGrid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环保投资（万元）</w:t>
            </w:r>
          </w:p>
        </w:tc>
      </w:tr>
      <w:tr w14:paraId="278D9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restart"/>
            <w:vAlign w:val="center"/>
          </w:tcPr>
          <w:p w14:paraId="547FD97B">
            <w:pPr>
              <w:snapToGrid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施工期</w:t>
            </w:r>
          </w:p>
        </w:tc>
        <w:tc>
          <w:tcPr>
            <w:tcW w:w="391" w:type="pct"/>
            <w:vAlign w:val="center"/>
          </w:tcPr>
          <w:p w14:paraId="47C71B80">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废气</w:t>
            </w:r>
          </w:p>
        </w:tc>
        <w:tc>
          <w:tcPr>
            <w:tcW w:w="1798" w:type="pct"/>
            <w:vAlign w:val="center"/>
          </w:tcPr>
          <w:p w14:paraId="3C76D2D8">
            <w:pPr>
              <w:pStyle w:val="41"/>
              <w:snapToGrid w:val="0"/>
              <w:spacing w:line="320" w:lineRule="exact"/>
              <w:jc w:val="center"/>
              <w:rPr>
                <w:rFonts w:ascii="Times New Roman" w:hAnsi="Times New Roman" w:eastAsiaTheme="minorEastAsia"/>
                <w:bCs/>
                <w:snapToGrid w:val="0"/>
                <w:color w:val="auto"/>
                <w:w w:val="99"/>
                <w:kern w:val="28"/>
                <w:szCs w:val="21"/>
                <w:highlight w:val="none"/>
              </w:rPr>
            </w:pPr>
            <w:r>
              <w:rPr>
                <w:rFonts w:ascii="Times New Roman" w:hAnsi="Times New Roman"/>
                <w:color w:val="auto"/>
                <w:w w:val="99"/>
                <w:szCs w:val="21"/>
                <w:highlight w:val="none"/>
              </w:rPr>
              <w:t>施工场地洒水抑尘，临时土方等加盖苫布等遮盖物，施工运输车辆采取密闭措施或加盖防尘布</w:t>
            </w:r>
          </w:p>
        </w:tc>
        <w:tc>
          <w:tcPr>
            <w:tcW w:w="1770" w:type="pct"/>
            <w:vAlign w:val="center"/>
          </w:tcPr>
          <w:p w14:paraId="35837E0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0.1万元/口井，共</w:t>
            </w:r>
            <w:r>
              <w:rPr>
                <w:rFonts w:hint="eastAsia" w:ascii="Times New Roman" w:hAnsi="Times New Roman" w:cs="Times New Roman" w:eastAsiaTheme="minorEastAsia"/>
                <w:color w:val="auto"/>
                <w:w w:val="99"/>
                <w:sz w:val="21"/>
                <w:szCs w:val="21"/>
                <w:highlight w:val="none"/>
                <w:lang w:val="en-US" w:eastAsia="zh-CN"/>
              </w:rPr>
              <w:t>1</w:t>
            </w:r>
            <w:r>
              <w:rPr>
                <w:rFonts w:ascii="Times New Roman" w:hAnsi="Times New Roman" w:cs="Times New Roman" w:eastAsiaTheme="minorEastAsia"/>
                <w:color w:val="auto"/>
                <w:w w:val="99"/>
                <w:sz w:val="21"/>
                <w:szCs w:val="21"/>
                <w:highlight w:val="none"/>
              </w:rPr>
              <w:t>口</w:t>
            </w:r>
            <w:r>
              <w:rPr>
                <w:rFonts w:hint="eastAsia" w:ascii="Times New Roman" w:hAnsi="Times New Roman" w:cs="Times New Roman" w:eastAsiaTheme="minorEastAsia"/>
                <w:color w:val="auto"/>
                <w:w w:val="99"/>
                <w:sz w:val="21"/>
                <w:szCs w:val="21"/>
                <w:highlight w:val="none"/>
                <w:lang w:val="en-US" w:eastAsia="zh-CN"/>
              </w:rPr>
              <w:t>采气</w:t>
            </w:r>
            <w:r>
              <w:rPr>
                <w:rFonts w:ascii="Times New Roman" w:hAnsi="Times New Roman" w:cs="Times New Roman" w:eastAsiaTheme="minorEastAsia"/>
                <w:color w:val="auto"/>
                <w:w w:val="99"/>
                <w:sz w:val="21"/>
                <w:szCs w:val="21"/>
                <w:highlight w:val="none"/>
              </w:rPr>
              <w:t>井</w:t>
            </w:r>
          </w:p>
        </w:tc>
        <w:tc>
          <w:tcPr>
            <w:tcW w:w="651" w:type="pct"/>
            <w:vAlign w:val="center"/>
          </w:tcPr>
          <w:p w14:paraId="108709BF">
            <w:pPr>
              <w:spacing w:line="320" w:lineRule="exact"/>
              <w:jc w:val="center"/>
              <w:rPr>
                <w:rFonts w:hint="default" w:ascii="Times New Roman" w:hAnsi="Times New Roman" w:cs="Times New Roman" w:eastAsiaTheme="minorEastAsia"/>
                <w:bCs/>
                <w:snapToGrid w:val="0"/>
                <w:color w:val="auto"/>
                <w:w w:val="99"/>
                <w:kern w:val="28"/>
                <w:sz w:val="21"/>
                <w:szCs w:val="21"/>
                <w:highlight w:val="none"/>
                <w:lang w:val="en-US" w:eastAsia="zh-CN"/>
              </w:rPr>
            </w:pPr>
            <w:r>
              <w:rPr>
                <w:rFonts w:hint="eastAsia" w:ascii="Times New Roman" w:hAnsi="Times New Roman" w:cs="Times New Roman" w:eastAsiaTheme="minorEastAsia"/>
                <w:bCs/>
                <w:snapToGrid w:val="0"/>
                <w:color w:val="auto"/>
                <w:w w:val="99"/>
                <w:kern w:val="28"/>
                <w:sz w:val="21"/>
                <w:szCs w:val="21"/>
                <w:highlight w:val="none"/>
                <w:lang w:val="en-US" w:eastAsia="zh-CN"/>
              </w:rPr>
              <w:t>0.1</w:t>
            </w:r>
          </w:p>
        </w:tc>
      </w:tr>
      <w:tr w14:paraId="04189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7EABA395">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vMerge w:val="restart"/>
            <w:vAlign w:val="center"/>
          </w:tcPr>
          <w:p w14:paraId="19AF862A">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废水</w:t>
            </w:r>
          </w:p>
        </w:tc>
        <w:tc>
          <w:tcPr>
            <w:tcW w:w="1798" w:type="pct"/>
            <w:vAlign w:val="center"/>
          </w:tcPr>
          <w:p w14:paraId="7DBAB69F">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试压废水由罐车拉运至</w:t>
            </w:r>
            <w:r>
              <w:rPr>
                <w:rFonts w:ascii="Times New Roman" w:hAnsi="Times New Roman" w:cs="Times New Roman" w:eastAsiaTheme="minorEastAsia"/>
                <w:bCs/>
                <w:snapToGrid w:val="0"/>
                <w:color w:val="auto"/>
                <w:w w:val="99"/>
                <w:kern w:val="28"/>
                <w:sz w:val="21"/>
                <w:szCs w:val="21"/>
                <w:highlight w:val="none"/>
                <w:lang w:val="en-US" w:eastAsia="zh-CN"/>
              </w:rPr>
              <w:t>升一联气田污水预处理站</w:t>
            </w:r>
            <w:r>
              <w:rPr>
                <w:rFonts w:ascii="Times New Roman" w:hAnsi="Times New Roman" w:cs="Times New Roman" w:eastAsiaTheme="minorEastAsia"/>
                <w:bCs/>
                <w:snapToGrid w:val="0"/>
                <w:color w:val="auto"/>
                <w:w w:val="99"/>
                <w:kern w:val="28"/>
                <w:sz w:val="21"/>
                <w:szCs w:val="21"/>
                <w:highlight w:val="none"/>
              </w:rPr>
              <w:t>处理</w:t>
            </w:r>
          </w:p>
        </w:tc>
        <w:tc>
          <w:tcPr>
            <w:tcW w:w="1770" w:type="pct"/>
            <w:vAlign w:val="center"/>
          </w:tcPr>
          <w:p w14:paraId="7EFCE8E5">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0.005万元/m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，共计</w:t>
            </w:r>
            <w:r>
              <w:rPr>
                <w:rFonts w:hint="eastAsia" w:ascii="Times New Roman" w:hAnsi="Times New Roman" w:cs="Times New Roman" w:eastAsiaTheme="minorEastAsia"/>
                <w:bCs/>
                <w:color w:val="auto"/>
                <w:w w:val="99"/>
                <w:sz w:val="21"/>
                <w:szCs w:val="21"/>
                <w:highlight w:val="none"/>
                <w:lang w:val="en-US" w:eastAsia="zh-CN"/>
              </w:rPr>
              <w:t>4.17</w:t>
            </w:r>
            <w:r>
              <w:rPr>
                <w:rFonts w:ascii="Times New Roman" w:hAnsi="Times New Roman" w:cs="Times New Roman" w:eastAsiaTheme="minorEastAsia"/>
                <w:color w:val="auto"/>
                <w:w w:val="99"/>
                <w:sz w:val="21"/>
                <w:szCs w:val="21"/>
                <w:highlight w:val="none"/>
              </w:rPr>
              <w:t>m</w:t>
            </w:r>
            <w:r>
              <w:rPr>
                <w:rFonts w:ascii="Times New Roman" w:hAnsi="Times New Roman" w:cs="Times New Roman" w:eastAsiaTheme="minorEastAsia"/>
                <w:color w:val="auto"/>
                <w:w w:val="99"/>
                <w:sz w:val="21"/>
                <w:szCs w:val="21"/>
                <w:highlight w:val="none"/>
                <w:vertAlign w:val="superscript"/>
              </w:rPr>
              <w:t>3</w:t>
            </w:r>
          </w:p>
        </w:tc>
        <w:tc>
          <w:tcPr>
            <w:tcW w:w="651" w:type="pct"/>
            <w:vAlign w:val="center"/>
          </w:tcPr>
          <w:p w14:paraId="477F9233">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0.02</w:t>
            </w:r>
          </w:p>
        </w:tc>
      </w:tr>
      <w:tr w14:paraId="4C71D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3E39B88B">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vMerge w:val="continue"/>
            <w:vAlign w:val="center"/>
          </w:tcPr>
          <w:p w14:paraId="476978FF">
            <w:pPr>
              <w:spacing w:line="320" w:lineRule="exact"/>
              <w:jc w:val="center"/>
              <w:rPr>
                <w:rFonts w:ascii="Times New Roman" w:hAnsi="Times New Roman" w:cs="Times New Roman" w:eastAsiaTheme="minorEastAsia"/>
                <w:bCs/>
                <w:snapToGrid w:val="0"/>
                <w:color w:val="auto"/>
                <w:w w:val="99"/>
                <w:kern w:val="28"/>
                <w:sz w:val="21"/>
                <w:szCs w:val="21"/>
                <w:highlight w:val="none"/>
              </w:rPr>
            </w:pPr>
          </w:p>
        </w:tc>
        <w:tc>
          <w:tcPr>
            <w:tcW w:w="1798" w:type="pct"/>
            <w:vAlign w:val="center"/>
          </w:tcPr>
          <w:p w14:paraId="3453B9EF">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hint="default" w:ascii="Times New Roman" w:hAnsi="Times New Roman" w:cs="Times New Roman" w:eastAsiaTheme="minorEastAsia"/>
                <w:bCs/>
                <w:snapToGrid w:val="0"/>
                <w:color w:val="auto"/>
                <w:w w:val="99"/>
                <w:kern w:val="28"/>
                <w:sz w:val="21"/>
                <w:szCs w:val="21"/>
                <w:highlight w:val="none"/>
                <w:lang w:val="en-US" w:eastAsia="zh-CN"/>
              </w:rPr>
              <w:t>生活污水排入本项目附近集气站已建生活污水收集设施，定期由大庆石油管理局有限公司庆南工矿服务公司红岗分公司拉运至大庆红岗区西巷污水回收站，管输至南区污水处理厂进行处理。</w:t>
            </w:r>
          </w:p>
        </w:tc>
        <w:tc>
          <w:tcPr>
            <w:tcW w:w="1770" w:type="pct"/>
            <w:vAlign w:val="center"/>
          </w:tcPr>
          <w:p w14:paraId="0B10E3DD">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0.005万元/m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，共计</w:t>
            </w:r>
            <w:r>
              <w:rPr>
                <w:rFonts w:hint="eastAsia" w:ascii="Times New Roman" w:hAnsi="Times New Roman" w:cs="Times New Roman" w:eastAsiaTheme="minorEastAsia"/>
                <w:bCs/>
                <w:color w:val="auto"/>
                <w:w w:val="99"/>
                <w:sz w:val="21"/>
                <w:szCs w:val="21"/>
                <w:highlight w:val="none"/>
                <w:lang w:val="en-US" w:eastAsia="zh-CN"/>
              </w:rPr>
              <w:t>576</w:t>
            </w:r>
            <w:r>
              <w:rPr>
                <w:rFonts w:ascii="Times New Roman" w:hAnsi="Times New Roman" w:cs="Times New Roman" w:eastAsiaTheme="minorEastAsia"/>
                <w:color w:val="auto"/>
                <w:w w:val="99"/>
                <w:sz w:val="21"/>
                <w:szCs w:val="21"/>
                <w:highlight w:val="none"/>
              </w:rPr>
              <w:t>m</w:t>
            </w:r>
            <w:r>
              <w:rPr>
                <w:rFonts w:ascii="Times New Roman" w:hAnsi="Times New Roman" w:cs="Times New Roman" w:eastAsiaTheme="minorEastAsia"/>
                <w:color w:val="auto"/>
                <w:w w:val="99"/>
                <w:sz w:val="21"/>
                <w:szCs w:val="21"/>
                <w:highlight w:val="none"/>
                <w:vertAlign w:val="superscript"/>
              </w:rPr>
              <w:t>3</w:t>
            </w:r>
          </w:p>
        </w:tc>
        <w:tc>
          <w:tcPr>
            <w:tcW w:w="651" w:type="pct"/>
            <w:vAlign w:val="center"/>
          </w:tcPr>
          <w:p w14:paraId="22024731">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2.88</w:t>
            </w:r>
          </w:p>
        </w:tc>
      </w:tr>
      <w:tr w14:paraId="47D9D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280B3562">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vAlign w:val="center"/>
          </w:tcPr>
          <w:p w14:paraId="510BBDC7">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噪声</w:t>
            </w:r>
          </w:p>
        </w:tc>
        <w:tc>
          <w:tcPr>
            <w:tcW w:w="1798" w:type="pct"/>
            <w:shd w:val="clear" w:color="auto" w:fill="auto"/>
            <w:vAlign w:val="center"/>
          </w:tcPr>
          <w:p w14:paraId="4A7C5894">
            <w:pPr>
              <w:spacing w:line="320" w:lineRule="exact"/>
              <w:jc w:val="center"/>
              <w:rPr>
                <w:rFonts w:hint="default" w:ascii="Times New Roman" w:hAnsi="Times New Roman" w:eastAsia="宋体" w:cs="Times New Roman"/>
                <w:bCs/>
                <w:snapToGrid w:val="0"/>
                <w:color w:val="auto"/>
                <w:w w:val="99"/>
                <w:kern w:val="28"/>
                <w:sz w:val="21"/>
                <w:szCs w:val="21"/>
                <w:highlight w:val="none"/>
                <w:lang w:val="en-US" w:eastAsia="zh-CN" w:bidi="ar-SA"/>
              </w:rPr>
            </w:pPr>
            <w:r>
              <w:rPr>
                <w:rFonts w:ascii="Times New Roman" w:hAnsi="Times New Roman" w:cs="Times New Roman" w:eastAsiaTheme="minorEastAsia"/>
                <w:bCs/>
                <w:snapToGrid w:val="0"/>
                <w:color w:val="auto"/>
                <w:w w:val="99"/>
                <w:kern w:val="28"/>
                <w:sz w:val="21"/>
                <w:szCs w:val="21"/>
                <w:highlight w:val="none"/>
              </w:rPr>
              <w:t>距离敏感目标较近的施工场地设置声屏障</w:t>
            </w:r>
          </w:p>
        </w:tc>
        <w:tc>
          <w:tcPr>
            <w:tcW w:w="1770" w:type="pct"/>
            <w:shd w:val="clear" w:color="auto" w:fill="auto"/>
            <w:vAlign w:val="center"/>
          </w:tcPr>
          <w:p w14:paraId="1F5F0514">
            <w:pPr>
              <w:adjustRightInd w:val="0"/>
              <w:snapToGrid w:val="0"/>
              <w:spacing w:line="320" w:lineRule="exact"/>
              <w:jc w:val="center"/>
              <w:rPr>
                <w:rFonts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rPr>
              <w:t>设</w:t>
            </w:r>
            <w:r>
              <w:rPr>
                <w:rFonts w:hint="eastAsia" w:ascii="Times New Roman" w:hAnsi="Times New Roman" w:cs="Times New Roman" w:eastAsiaTheme="minorEastAsia"/>
                <w:color w:val="auto"/>
                <w:w w:val="99"/>
                <w:sz w:val="21"/>
                <w:szCs w:val="21"/>
                <w:highlight w:val="none"/>
                <w:lang w:val="en-US" w:eastAsia="zh-CN"/>
              </w:rPr>
              <w:t>1</w:t>
            </w:r>
            <w:r>
              <w:rPr>
                <w:rFonts w:hint="eastAsia" w:ascii="Times New Roman" w:hAnsi="Times New Roman" w:cs="Times New Roman" w:eastAsiaTheme="minorEastAsia"/>
                <w:color w:val="auto"/>
                <w:w w:val="99"/>
                <w:sz w:val="21"/>
                <w:szCs w:val="21"/>
                <w:highlight w:val="none"/>
              </w:rPr>
              <w:t>套声屏障，0</w:t>
            </w:r>
            <w:r>
              <w:rPr>
                <w:rFonts w:ascii="Times New Roman" w:hAnsi="Times New Roman" w:cs="Times New Roman" w:eastAsiaTheme="minorEastAsia"/>
                <w:color w:val="auto"/>
                <w:w w:val="99"/>
                <w:sz w:val="21"/>
                <w:szCs w:val="21"/>
                <w:highlight w:val="none"/>
              </w:rPr>
              <w:t>.5万元</w:t>
            </w:r>
            <w:r>
              <w:rPr>
                <w:rFonts w:hint="eastAsia" w:ascii="Times New Roman" w:hAnsi="Times New Roman" w:cs="Times New Roman" w:eastAsiaTheme="minorEastAsia"/>
                <w:color w:val="auto"/>
                <w:w w:val="99"/>
                <w:sz w:val="21"/>
                <w:szCs w:val="21"/>
                <w:highlight w:val="none"/>
              </w:rPr>
              <w:t>/套</w:t>
            </w:r>
          </w:p>
        </w:tc>
        <w:tc>
          <w:tcPr>
            <w:tcW w:w="651" w:type="pct"/>
            <w:shd w:val="clear" w:color="auto" w:fill="auto"/>
            <w:vAlign w:val="center"/>
          </w:tcPr>
          <w:p w14:paraId="1B52858B">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0.5</w:t>
            </w:r>
          </w:p>
        </w:tc>
      </w:tr>
      <w:tr w14:paraId="64D4D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12FFFAED">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vMerge w:val="restart"/>
            <w:vAlign w:val="center"/>
          </w:tcPr>
          <w:p w14:paraId="2277C32E">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固体废物</w:t>
            </w:r>
          </w:p>
        </w:tc>
        <w:tc>
          <w:tcPr>
            <w:tcW w:w="1798" w:type="pct"/>
            <w:shd w:val="clear" w:color="auto" w:fill="auto"/>
            <w:vAlign w:val="center"/>
          </w:tcPr>
          <w:p w14:paraId="67877FAB">
            <w:pPr>
              <w:spacing w:line="320" w:lineRule="exact"/>
              <w:jc w:val="center"/>
              <w:rPr>
                <w:rFonts w:ascii="Times New Roman" w:hAnsi="Times New Roman" w:cs="Times New Roman" w:eastAsiaTheme="minorEastAsia"/>
                <w:bCs/>
                <w:snapToGrid w:val="0"/>
                <w:color w:val="auto"/>
                <w:w w:val="99"/>
                <w:kern w:val="28"/>
                <w:sz w:val="21"/>
                <w:szCs w:val="21"/>
                <w:highlight w:val="none"/>
                <w:lang w:val="en-US" w:eastAsia="zh-CN" w:bidi="ar-SA"/>
              </w:rPr>
            </w:pPr>
            <w:r>
              <w:rPr>
                <w:rFonts w:ascii="Times New Roman" w:hAnsi="Times New Roman" w:cs="Times New Roman" w:eastAsiaTheme="minorEastAsia"/>
                <w:bCs/>
                <w:snapToGrid w:val="0"/>
                <w:color w:val="auto"/>
                <w:w w:val="99"/>
                <w:kern w:val="28"/>
                <w:sz w:val="21"/>
                <w:szCs w:val="21"/>
                <w:highlight w:val="none"/>
              </w:rPr>
              <w:t>施工废料</w:t>
            </w:r>
            <w:r>
              <w:rPr>
                <w:rFonts w:ascii="Times New Roman" w:hAnsi="Times New Roman" w:cs="Times New Roman"/>
                <w:color w:val="auto"/>
                <w:w w:val="99"/>
                <w:kern w:val="2"/>
                <w:sz w:val="21"/>
                <w:szCs w:val="21"/>
                <w:highlight w:val="none"/>
              </w:rPr>
              <w:t>拉运至第八采油厂工业固废填埋场处理</w:t>
            </w:r>
          </w:p>
        </w:tc>
        <w:tc>
          <w:tcPr>
            <w:tcW w:w="1770" w:type="pct"/>
            <w:shd w:val="clear" w:color="auto" w:fill="auto"/>
            <w:vAlign w:val="center"/>
          </w:tcPr>
          <w:p w14:paraId="5439B9A8">
            <w:pPr>
              <w:spacing w:line="32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0.1万元/吨，共计</w:t>
            </w:r>
            <w:r>
              <w:rPr>
                <w:rFonts w:hint="eastAsia" w:ascii="Times New Roman" w:hAnsi="Times New Roman" w:cs="Times New Roman" w:eastAsiaTheme="minorEastAsia"/>
                <w:color w:val="auto"/>
                <w:w w:val="99"/>
                <w:sz w:val="21"/>
                <w:szCs w:val="21"/>
                <w:highlight w:val="none"/>
                <w:lang w:val="en-US" w:eastAsia="zh-CN"/>
              </w:rPr>
              <w:t>0.04</w:t>
            </w:r>
            <w:r>
              <w:rPr>
                <w:rFonts w:ascii="Times New Roman" w:hAnsi="Times New Roman" w:cs="Times New Roman" w:eastAsiaTheme="minorEastAsia"/>
                <w:color w:val="auto"/>
                <w:w w:val="99"/>
                <w:sz w:val="21"/>
                <w:szCs w:val="21"/>
                <w:highlight w:val="none"/>
              </w:rPr>
              <w:t>t</w:t>
            </w:r>
          </w:p>
        </w:tc>
        <w:tc>
          <w:tcPr>
            <w:tcW w:w="651" w:type="pct"/>
            <w:shd w:val="clear" w:color="auto" w:fill="auto"/>
            <w:vAlign w:val="center"/>
          </w:tcPr>
          <w:p w14:paraId="45944982">
            <w:pPr>
              <w:spacing w:line="32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0.004</w:t>
            </w:r>
          </w:p>
        </w:tc>
      </w:tr>
      <w:tr w14:paraId="5173A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665DD2BE">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vMerge w:val="continue"/>
            <w:vAlign w:val="center"/>
          </w:tcPr>
          <w:p w14:paraId="386AC0FB">
            <w:pPr>
              <w:spacing w:line="320" w:lineRule="exact"/>
              <w:jc w:val="center"/>
              <w:rPr>
                <w:rFonts w:ascii="Times New Roman" w:hAnsi="Times New Roman" w:cs="Times New Roman" w:eastAsiaTheme="minorEastAsia"/>
                <w:bCs/>
                <w:snapToGrid w:val="0"/>
                <w:color w:val="auto"/>
                <w:w w:val="99"/>
                <w:kern w:val="28"/>
                <w:sz w:val="21"/>
                <w:szCs w:val="21"/>
                <w:highlight w:val="none"/>
              </w:rPr>
            </w:pPr>
          </w:p>
        </w:tc>
        <w:tc>
          <w:tcPr>
            <w:tcW w:w="1798" w:type="pct"/>
            <w:shd w:val="clear" w:color="auto" w:fill="auto"/>
            <w:vAlign w:val="center"/>
          </w:tcPr>
          <w:p w14:paraId="727A1D9F">
            <w:pPr>
              <w:spacing w:line="320" w:lineRule="exact"/>
              <w:jc w:val="center"/>
              <w:rPr>
                <w:rFonts w:ascii="Times New Roman" w:hAnsi="Times New Roman" w:cs="Times New Roman" w:eastAsiaTheme="minorEastAsia"/>
                <w:bCs/>
                <w:snapToGrid w:val="0"/>
                <w:color w:val="auto"/>
                <w:w w:val="99"/>
                <w:kern w:val="28"/>
                <w:sz w:val="21"/>
                <w:szCs w:val="21"/>
                <w:highlight w:val="none"/>
                <w:lang w:val="en-US" w:eastAsia="zh-CN" w:bidi="ar-SA"/>
              </w:rPr>
            </w:pPr>
            <w:r>
              <w:rPr>
                <w:rFonts w:ascii="Times New Roman" w:hAnsi="Times New Roman" w:cs="Times New Roman" w:eastAsiaTheme="minorEastAsia"/>
                <w:bCs/>
                <w:snapToGrid w:val="0"/>
                <w:color w:val="auto"/>
                <w:w w:val="99"/>
                <w:kern w:val="28"/>
                <w:sz w:val="21"/>
                <w:szCs w:val="21"/>
                <w:highlight w:val="none"/>
              </w:rPr>
              <w:t>生活垃圾统一收集后拉运至</w:t>
            </w:r>
            <w:r>
              <w:rPr>
                <w:rFonts w:hint="eastAsia" w:ascii="Times New Roman" w:hAnsi="Times New Roman" w:cs="Times New Roman" w:eastAsiaTheme="minorEastAsia"/>
                <w:bCs/>
                <w:snapToGrid w:val="0"/>
                <w:color w:val="auto"/>
                <w:w w:val="99"/>
                <w:kern w:val="28"/>
                <w:sz w:val="21"/>
                <w:szCs w:val="21"/>
                <w:highlight w:val="none"/>
                <w:lang w:eastAsia="zh-CN"/>
              </w:rPr>
              <w:t>肇东北控环境再生能源有限公司</w:t>
            </w:r>
            <w:r>
              <w:rPr>
                <w:rFonts w:ascii="Times New Roman" w:hAnsi="Times New Roman" w:cs="Times New Roman" w:eastAsiaTheme="minorEastAsia"/>
                <w:bCs/>
                <w:snapToGrid w:val="0"/>
                <w:color w:val="auto"/>
                <w:w w:val="99"/>
                <w:kern w:val="28"/>
                <w:sz w:val="21"/>
                <w:szCs w:val="21"/>
                <w:highlight w:val="none"/>
              </w:rPr>
              <w:t>处理</w:t>
            </w:r>
          </w:p>
        </w:tc>
        <w:tc>
          <w:tcPr>
            <w:tcW w:w="1770" w:type="pct"/>
            <w:shd w:val="clear" w:color="auto" w:fill="auto"/>
            <w:vAlign w:val="center"/>
          </w:tcPr>
          <w:p w14:paraId="51CF3EB1">
            <w:pPr>
              <w:spacing w:line="32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0.02万元/吨，共计</w:t>
            </w:r>
            <w:r>
              <w:rPr>
                <w:rFonts w:hint="eastAsia" w:ascii="Times New Roman" w:hAnsi="Times New Roman" w:cs="Times New Roman" w:eastAsiaTheme="minorEastAsia"/>
                <w:color w:val="auto"/>
                <w:w w:val="99"/>
                <w:sz w:val="21"/>
                <w:szCs w:val="21"/>
                <w:highlight w:val="none"/>
                <w:lang w:val="en-US" w:eastAsia="zh-CN"/>
              </w:rPr>
              <w:t>0.45</w:t>
            </w:r>
            <w:r>
              <w:rPr>
                <w:rFonts w:ascii="Times New Roman" w:hAnsi="Times New Roman" w:cs="Times New Roman" w:eastAsiaTheme="minorEastAsia"/>
                <w:color w:val="auto"/>
                <w:w w:val="99"/>
                <w:sz w:val="21"/>
                <w:szCs w:val="21"/>
                <w:highlight w:val="none"/>
              </w:rPr>
              <w:t>t</w:t>
            </w:r>
          </w:p>
        </w:tc>
        <w:tc>
          <w:tcPr>
            <w:tcW w:w="651" w:type="pct"/>
            <w:shd w:val="clear" w:color="auto" w:fill="auto"/>
            <w:vAlign w:val="center"/>
          </w:tcPr>
          <w:p w14:paraId="16A4F5BA">
            <w:pPr>
              <w:spacing w:line="32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0.009</w:t>
            </w:r>
          </w:p>
        </w:tc>
      </w:tr>
      <w:tr w14:paraId="41555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6ED23970">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vMerge w:val="restart"/>
            <w:vAlign w:val="center"/>
          </w:tcPr>
          <w:p w14:paraId="627E1ACB">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生态</w:t>
            </w:r>
          </w:p>
        </w:tc>
        <w:tc>
          <w:tcPr>
            <w:tcW w:w="1798" w:type="pct"/>
            <w:vAlign w:val="center"/>
          </w:tcPr>
          <w:p w14:paraId="1AD6C29A">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color w:val="auto"/>
                <w:w w:val="99"/>
                <w:kern w:val="2"/>
                <w:sz w:val="21"/>
                <w:szCs w:val="21"/>
                <w:highlight w:val="none"/>
              </w:rPr>
              <w:t>对于项目永久占地进行经济补偿，补偿面积</w:t>
            </w:r>
            <w:r>
              <w:rPr>
                <w:rFonts w:hint="eastAsia" w:ascii="Times New Roman" w:hAnsi="Times New Roman" w:cs="Times New Roman"/>
                <w:color w:val="auto"/>
                <w:w w:val="99"/>
                <w:kern w:val="2"/>
                <w:sz w:val="21"/>
                <w:szCs w:val="21"/>
                <w:highlight w:val="none"/>
                <w:lang w:eastAsia="zh-CN"/>
              </w:rPr>
              <w:t>0.0901</w:t>
            </w:r>
            <w:r>
              <w:rPr>
                <w:rFonts w:ascii="Times New Roman" w:hAnsi="Times New Roman" w:cs="Times New Roman"/>
                <w:color w:val="auto"/>
                <w:w w:val="99"/>
                <w:kern w:val="2"/>
                <w:sz w:val="21"/>
                <w:szCs w:val="21"/>
                <w:highlight w:val="none"/>
              </w:rPr>
              <w:t>hm</w:t>
            </w:r>
            <w:r>
              <w:rPr>
                <w:rFonts w:ascii="Times New Roman" w:hAnsi="Times New Roman" w:cs="Times New Roman"/>
                <w:color w:val="auto"/>
                <w:w w:val="99"/>
                <w:kern w:val="2"/>
                <w:sz w:val="21"/>
                <w:szCs w:val="21"/>
                <w:highlight w:val="none"/>
                <w:vertAlign w:val="superscript"/>
              </w:rPr>
              <w:t>2</w:t>
            </w:r>
          </w:p>
        </w:tc>
        <w:tc>
          <w:tcPr>
            <w:tcW w:w="1770" w:type="pct"/>
            <w:vAlign w:val="center"/>
          </w:tcPr>
          <w:p w14:paraId="3BF45F9E">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根据《大庆市人民政府关于调整大庆市征地区片综合地价执行标准的通告》庆政规[2023]2号，永久征地费用为</w:t>
            </w:r>
            <w:r>
              <w:rPr>
                <w:rFonts w:hint="eastAsia" w:ascii="Times New Roman" w:hAnsi="Times New Roman" w:cs="Times New Roman" w:eastAsiaTheme="minorEastAsia"/>
                <w:color w:val="auto"/>
                <w:w w:val="99"/>
                <w:sz w:val="21"/>
                <w:szCs w:val="21"/>
                <w:highlight w:val="none"/>
                <w:lang w:val="en-US" w:eastAsia="zh-CN"/>
              </w:rPr>
              <w:t>35.21</w:t>
            </w:r>
            <w:r>
              <w:rPr>
                <w:rFonts w:ascii="Times New Roman" w:hAnsi="Times New Roman" w:cs="Times New Roman" w:eastAsiaTheme="minorEastAsia"/>
                <w:color w:val="auto"/>
                <w:w w:val="99"/>
                <w:sz w:val="21"/>
                <w:szCs w:val="21"/>
                <w:highlight w:val="none"/>
              </w:rPr>
              <w:t>元/m</w:t>
            </w:r>
            <w:r>
              <w:rPr>
                <w:rFonts w:ascii="Times New Roman" w:hAnsi="Times New Roman" w:cs="Times New Roman" w:eastAsiaTheme="minorEastAsia"/>
                <w:color w:val="auto"/>
                <w:w w:val="99"/>
                <w:sz w:val="21"/>
                <w:szCs w:val="21"/>
                <w:highlight w:val="none"/>
                <w:vertAlign w:val="superscript"/>
              </w:rPr>
              <w:t>2</w:t>
            </w:r>
          </w:p>
        </w:tc>
        <w:tc>
          <w:tcPr>
            <w:tcW w:w="651" w:type="pct"/>
            <w:vAlign w:val="center"/>
          </w:tcPr>
          <w:p w14:paraId="290509CA">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3.17</w:t>
            </w:r>
          </w:p>
        </w:tc>
      </w:tr>
      <w:tr w14:paraId="2515C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0235246E">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vMerge w:val="continue"/>
            <w:vAlign w:val="center"/>
          </w:tcPr>
          <w:p w14:paraId="4BC33593">
            <w:pPr>
              <w:spacing w:line="320" w:lineRule="exact"/>
              <w:jc w:val="center"/>
              <w:rPr>
                <w:rFonts w:ascii="Times New Roman" w:hAnsi="Times New Roman" w:cs="Times New Roman" w:eastAsiaTheme="minorEastAsia"/>
                <w:bCs/>
                <w:snapToGrid w:val="0"/>
                <w:color w:val="auto"/>
                <w:w w:val="99"/>
                <w:kern w:val="28"/>
                <w:sz w:val="21"/>
                <w:szCs w:val="21"/>
                <w:highlight w:val="none"/>
              </w:rPr>
            </w:pPr>
          </w:p>
        </w:tc>
        <w:tc>
          <w:tcPr>
            <w:tcW w:w="1798" w:type="pct"/>
            <w:vAlign w:val="center"/>
          </w:tcPr>
          <w:p w14:paraId="1AEB294A">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color w:val="auto"/>
                <w:w w:val="99"/>
                <w:kern w:val="2"/>
                <w:sz w:val="21"/>
                <w:szCs w:val="21"/>
                <w:highlight w:val="none"/>
              </w:rPr>
              <w:t>对临时占用的土地进行植被恢复，恢复临时占地</w:t>
            </w:r>
            <w:r>
              <w:rPr>
                <w:rFonts w:hint="eastAsia" w:ascii="Times New Roman" w:hAnsi="Times New Roman" w:cs="Times New Roman"/>
                <w:color w:val="auto"/>
                <w:w w:val="99"/>
                <w:kern w:val="2"/>
                <w:sz w:val="21"/>
                <w:szCs w:val="21"/>
                <w:highlight w:val="none"/>
                <w:lang w:eastAsia="zh-CN"/>
              </w:rPr>
              <w:t>1.9229</w:t>
            </w:r>
            <w:r>
              <w:rPr>
                <w:rFonts w:ascii="Times New Roman" w:hAnsi="Times New Roman" w:cs="Times New Roman"/>
                <w:color w:val="auto"/>
                <w:w w:val="99"/>
                <w:kern w:val="2"/>
                <w:sz w:val="21"/>
                <w:szCs w:val="21"/>
                <w:highlight w:val="none"/>
              </w:rPr>
              <w:t>hm</w:t>
            </w:r>
            <w:r>
              <w:rPr>
                <w:rFonts w:ascii="Times New Roman" w:hAnsi="Times New Roman" w:cs="Times New Roman"/>
                <w:color w:val="auto"/>
                <w:w w:val="99"/>
                <w:kern w:val="2"/>
                <w:sz w:val="21"/>
                <w:szCs w:val="21"/>
                <w:highlight w:val="none"/>
                <w:vertAlign w:val="superscript"/>
              </w:rPr>
              <w:t>2</w:t>
            </w:r>
          </w:p>
        </w:tc>
        <w:tc>
          <w:tcPr>
            <w:tcW w:w="1770" w:type="pct"/>
            <w:vAlign w:val="center"/>
          </w:tcPr>
          <w:p w14:paraId="4A9BC10B">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临时征地费用按5.8元/m</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rPr>
              <w:t>，旱田青苗补偿费为2.1元/ m</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rPr>
              <w:t>；</w:t>
            </w:r>
          </w:p>
        </w:tc>
        <w:tc>
          <w:tcPr>
            <w:tcW w:w="651" w:type="pct"/>
            <w:vAlign w:val="center"/>
          </w:tcPr>
          <w:p w14:paraId="54498F92">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15.19</w:t>
            </w:r>
          </w:p>
        </w:tc>
      </w:tr>
      <w:tr w14:paraId="49FBF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4F657840">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vMerge w:val="continue"/>
            <w:vAlign w:val="center"/>
          </w:tcPr>
          <w:p w14:paraId="02C307E5">
            <w:pPr>
              <w:spacing w:line="320" w:lineRule="exact"/>
              <w:jc w:val="center"/>
              <w:rPr>
                <w:rFonts w:ascii="Times New Roman" w:hAnsi="Times New Roman" w:cs="Times New Roman" w:eastAsiaTheme="minorEastAsia"/>
                <w:bCs/>
                <w:snapToGrid w:val="0"/>
                <w:color w:val="auto"/>
                <w:w w:val="99"/>
                <w:kern w:val="28"/>
                <w:sz w:val="21"/>
                <w:szCs w:val="21"/>
                <w:highlight w:val="none"/>
              </w:rPr>
            </w:pPr>
          </w:p>
        </w:tc>
        <w:tc>
          <w:tcPr>
            <w:tcW w:w="1798" w:type="pct"/>
            <w:vAlign w:val="center"/>
          </w:tcPr>
          <w:p w14:paraId="0F128B1A">
            <w:pPr>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水土流失防护、防沙治沙、黑土地保护</w:t>
            </w:r>
          </w:p>
        </w:tc>
        <w:tc>
          <w:tcPr>
            <w:tcW w:w="1770" w:type="pct"/>
            <w:vAlign w:val="center"/>
          </w:tcPr>
          <w:p w14:paraId="556F0CAF">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0.2万元/</w:t>
            </w:r>
            <w:r>
              <w:rPr>
                <w:rFonts w:ascii="Times New Roman" w:hAnsi="Times New Roman" w:cs="Times New Roman" w:eastAsiaTheme="minorEastAsia"/>
                <w:bCs/>
                <w:snapToGrid w:val="0"/>
                <w:color w:val="auto"/>
                <w:w w:val="99"/>
                <w:kern w:val="28"/>
                <w:sz w:val="21"/>
                <w:szCs w:val="21"/>
                <w:highlight w:val="none"/>
              </w:rPr>
              <w:t xml:space="preserve"> </w:t>
            </w:r>
            <w:r>
              <w:rPr>
                <w:rFonts w:ascii="Times New Roman" w:hAnsi="Times New Roman" w:cs="Times New Roman" w:eastAsiaTheme="minorEastAsia"/>
                <w:bCs/>
                <w:color w:val="auto"/>
                <w:w w:val="99"/>
                <w:sz w:val="21"/>
                <w:szCs w:val="21"/>
                <w:highlight w:val="none"/>
              </w:rPr>
              <w:t>hm</w:t>
            </w:r>
            <w:r>
              <w:rPr>
                <w:rFonts w:ascii="Times New Roman" w:hAnsi="Times New Roman" w:cs="Times New Roman" w:eastAsiaTheme="minorEastAsia"/>
                <w:bCs/>
                <w:color w:val="auto"/>
                <w:w w:val="99"/>
                <w:sz w:val="21"/>
                <w:szCs w:val="21"/>
                <w:highlight w:val="none"/>
                <w:vertAlign w:val="superscript"/>
              </w:rPr>
              <w:t>2</w:t>
            </w:r>
            <w:r>
              <w:rPr>
                <w:rFonts w:ascii="Times New Roman" w:hAnsi="Times New Roman" w:cs="Times New Roman" w:eastAsiaTheme="minorEastAsia"/>
                <w:bCs/>
                <w:snapToGrid w:val="0"/>
                <w:color w:val="auto"/>
                <w:w w:val="99"/>
                <w:kern w:val="28"/>
                <w:sz w:val="21"/>
                <w:szCs w:val="21"/>
                <w:highlight w:val="none"/>
              </w:rPr>
              <w:t>，本项目新增总占地面积为</w:t>
            </w:r>
            <w:r>
              <w:rPr>
                <w:rFonts w:hint="eastAsia" w:ascii="Times New Roman" w:hAnsi="Times New Roman" w:cs="Times New Roman" w:eastAsiaTheme="minorEastAsia"/>
                <w:bCs/>
                <w:snapToGrid w:val="0"/>
                <w:color w:val="auto"/>
                <w:w w:val="99"/>
                <w:kern w:val="28"/>
                <w:sz w:val="21"/>
                <w:szCs w:val="21"/>
                <w:highlight w:val="none"/>
                <w:lang w:eastAsia="zh-CN"/>
              </w:rPr>
              <w:t>2.013</w:t>
            </w:r>
            <w:r>
              <w:rPr>
                <w:rFonts w:ascii="Times New Roman" w:hAnsi="Times New Roman" w:cs="Times New Roman" w:eastAsiaTheme="minorEastAsia"/>
                <w:bCs/>
                <w:snapToGrid w:val="0"/>
                <w:color w:val="auto"/>
                <w:w w:val="99"/>
                <w:kern w:val="28"/>
                <w:sz w:val="21"/>
                <w:szCs w:val="21"/>
                <w:highlight w:val="none"/>
              </w:rPr>
              <w:t>hm</w:t>
            </w:r>
            <w:r>
              <w:rPr>
                <w:rFonts w:ascii="Times New Roman" w:hAnsi="Times New Roman" w:cs="Times New Roman" w:eastAsiaTheme="minorEastAsia"/>
                <w:bCs/>
                <w:snapToGrid w:val="0"/>
                <w:color w:val="auto"/>
                <w:w w:val="99"/>
                <w:kern w:val="28"/>
                <w:sz w:val="21"/>
                <w:szCs w:val="21"/>
                <w:highlight w:val="none"/>
                <w:vertAlign w:val="superscript"/>
              </w:rPr>
              <w:t>2</w:t>
            </w:r>
          </w:p>
        </w:tc>
        <w:tc>
          <w:tcPr>
            <w:tcW w:w="651" w:type="pct"/>
            <w:vAlign w:val="center"/>
          </w:tcPr>
          <w:p w14:paraId="204674CF">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0.40</w:t>
            </w:r>
          </w:p>
        </w:tc>
      </w:tr>
      <w:tr w14:paraId="0781A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restart"/>
            <w:vAlign w:val="center"/>
          </w:tcPr>
          <w:p w14:paraId="6347113A">
            <w:pPr>
              <w:snapToGrid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运营期</w:t>
            </w:r>
          </w:p>
        </w:tc>
        <w:tc>
          <w:tcPr>
            <w:tcW w:w="391" w:type="pct"/>
            <w:shd w:val="clear" w:color="auto" w:fill="auto"/>
            <w:vAlign w:val="center"/>
          </w:tcPr>
          <w:p w14:paraId="386CC745">
            <w:pPr>
              <w:spacing w:line="320" w:lineRule="exact"/>
              <w:jc w:val="center"/>
              <w:rPr>
                <w:rFonts w:ascii="Times New Roman" w:hAnsi="Times New Roman" w:cs="Times New Roman" w:eastAsiaTheme="minorEastAsia"/>
                <w:bCs/>
                <w:snapToGrid w:val="0"/>
                <w:color w:val="auto"/>
                <w:w w:val="99"/>
                <w:kern w:val="28"/>
                <w:sz w:val="21"/>
                <w:szCs w:val="21"/>
                <w:highlight w:val="none"/>
                <w:lang w:val="en-US" w:eastAsia="zh-CN" w:bidi="ar-SA"/>
              </w:rPr>
            </w:pPr>
            <w:r>
              <w:rPr>
                <w:rFonts w:ascii="Times New Roman" w:hAnsi="Times New Roman" w:cs="Times New Roman" w:eastAsiaTheme="minorEastAsia"/>
                <w:bCs/>
                <w:snapToGrid w:val="0"/>
                <w:color w:val="auto"/>
                <w:w w:val="99"/>
                <w:kern w:val="28"/>
                <w:sz w:val="21"/>
                <w:szCs w:val="21"/>
                <w:highlight w:val="none"/>
              </w:rPr>
              <w:t>噪声</w:t>
            </w:r>
          </w:p>
        </w:tc>
        <w:tc>
          <w:tcPr>
            <w:tcW w:w="1798" w:type="pct"/>
            <w:shd w:val="clear" w:color="auto" w:fill="auto"/>
            <w:vAlign w:val="center"/>
          </w:tcPr>
          <w:p w14:paraId="40257CCE">
            <w:pPr>
              <w:spacing w:line="320" w:lineRule="exact"/>
              <w:jc w:val="center"/>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低噪声设备、基础减振、隔声</w:t>
            </w:r>
          </w:p>
        </w:tc>
        <w:tc>
          <w:tcPr>
            <w:tcW w:w="1770" w:type="pct"/>
            <w:shd w:val="clear" w:color="auto" w:fill="auto"/>
            <w:vAlign w:val="center"/>
          </w:tcPr>
          <w:p w14:paraId="7931C366">
            <w:pPr>
              <w:spacing w:line="32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0.2万元/台设备</w:t>
            </w:r>
            <w:r>
              <w:rPr>
                <w:rFonts w:ascii="Times New Roman" w:hAnsi="Times New Roman" w:cs="Times New Roman" w:eastAsiaTheme="minorEastAsia"/>
                <w:bCs/>
                <w:color w:val="auto"/>
                <w:w w:val="99"/>
                <w:sz w:val="21"/>
                <w:szCs w:val="21"/>
                <w:highlight w:val="none"/>
              </w:rPr>
              <w:t>，合计</w:t>
            </w:r>
            <w:r>
              <w:rPr>
                <w:rFonts w:hint="eastAsia" w:ascii="Times New Roman" w:hAnsi="Times New Roman" w:cs="Times New Roman" w:eastAsiaTheme="minorEastAsia"/>
                <w:bCs/>
                <w:color w:val="auto"/>
                <w:w w:val="99"/>
                <w:sz w:val="21"/>
                <w:szCs w:val="21"/>
                <w:highlight w:val="none"/>
                <w:lang w:val="en-US" w:eastAsia="zh-CN"/>
              </w:rPr>
              <w:t>1</w:t>
            </w:r>
            <w:r>
              <w:rPr>
                <w:rFonts w:ascii="Times New Roman" w:hAnsi="Times New Roman" w:cs="Times New Roman" w:eastAsiaTheme="minorEastAsia"/>
                <w:bCs/>
                <w:color w:val="auto"/>
                <w:w w:val="99"/>
                <w:sz w:val="21"/>
                <w:szCs w:val="21"/>
                <w:highlight w:val="none"/>
              </w:rPr>
              <w:t>台套</w:t>
            </w:r>
          </w:p>
        </w:tc>
        <w:tc>
          <w:tcPr>
            <w:tcW w:w="651" w:type="pct"/>
            <w:shd w:val="clear" w:color="auto" w:fill="auto"/>
            <w:vAlign w:val="center"/>
          </w:tcPr>
          <w:p w14:paraId="052214B9">
            <w:pPr>
              <w:spacing w:line="32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0.2</w:t>
            </w:r>
          </w:p>
        </w:tc>
      </w:tr>
      <w:tr w14:paraId="359B2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654DB450">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shd w:val="clear" w:color="auto" w:fill="auto"/>
            <w:vAlign w:val="center"/>
          </w:tcPr>
          <w:p w14:paraId="1840FAD4">
            <w:pPr>
              <w:spacing w:line="320" w:lineRule="exact"/>
              <w:jc w:val="center"/>
              <w:rPr>
                <w:rFonts w:hint="default" w:ascii="Times New Roman" w:hAnsi="Times New Roman" w:cs="Times New Roman" w:eastAsiaTheme="minorEastAsia"/>
                <w:bCs/>
                <w:snapToGrid w:val="0"/>
                <w:color w:val="auto"/>
                <w:w w:val="99"/>
                <w:kern w:val="28"/>
                <w:sz w:val="21"/>
                <w:szCs w:val="21"/>
                <w:highlight w:val="none"/>
                <w:lang w:val="en-US" w:eastAsia="zh-CN" w:bidi="ar-SA"/>
              </w:rPr>
            </w:pPr>
            <w:r>
              <w:rPr>
                <w:rFonts w:hint="eastAsia" w:ascii="Times New Roman" w:hAnsi="Times New Roman" w:cs="Times New Roman" w:eastAsiaTheme="minorEastAsia"/>
                <w:bCs/>
                <w:snapToGrid w:val="0"/>
                <w:color w:val="auto"/>
                <w:w w:val="99"/>
                <w:kern w:val="28"/>
                <w:sz w:val="21"/>
                <w:szCs w:val="21"/>
                <w:highlight w:val="none"/>
                <w:lang w:val="en-US" w:eastAsia="zh-CN"/>
              </w:rPr>
              <w:t>固体废物</w:t>
            </w:r>
          </w:p>
        </w:tc>
        <w:tc>
          <w:tcPr>
            <w:tcW w:w="1798" w:type="pct"/>
            <w:shd w:val="clear" w:color="auto" w:fill="auto"/>
            <w:vAlign w:val="center"/>
          </w:tcPr>
          <w:p w14:paraId="7F378C98">
            <w:pPr>
              <w:spacing w:line="320" w:lineRule="exact"/>
              <w:jc w:val="center"/>
              <w:rPr>
                <w:rFonts w:ascii="Times New Roman" w:hAnsi="Times New Roman" w:cs="Times New Roman" w:eastAsiaTheme="minorEastAsia"/>
                <w:bCs/>
                <w:snapToGrid w:val="0"/>
                <w:color w:val="auto"/>
                <w:w w:val="99"/>
                <w:kern w:val="28"/>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井口含油砂砾、废变压器油由检维修队送采气分公司危险废物贮存库内，定期委托有危废处置资质的单位处置</w:t>
            </w:r>
          </w:p>
        </w:tc>
        <w:tc>
          <w:tcPr>
            <w:tcW w:w="1770" w:type="pct"/>
            <w:shd w:val="clear" w:color="auto" w:fill="auto"/>
            <w:vAlign w:val="center"/>
          </w:tcPr>
          <w:p w14:paraId="4912DE8D">
            <w:pPr>
              <w:spacing w:line="32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0.1万元/吨，共计0</w:t>
            </w:r>
            <w:r>
              <w:rPr>
                <w:rFonts w:hint="eastAsia" w:ascii="Times New Roman" w:hAnsi="Times New Roman" w:cs="Times New Roman" w:eastAsiaTheme="minorEastAsia"/>
                <w:color w:val="auto"/>
                <w:w w:val="99"/>
                <w:sz w:val="21"/>
                <w:szCs w:val="21"/>
                <w:highlight w:val="none"/>
                <w:lang w:val="en-US" w:eastAsia="zh-CN"/>
              </w:rPr>
              <w:t>.06</w:t>
            </w:r>
            <w:r>
              <w:rPr>
                <w:rFonts w:ascii="Times New Roman" w:hAnsi="Times New Roman" w:cs="Times New Roman" w:eastAsiaTheme="minorEastAsia"/>
                <w:color w:val="auto"/>
                <w:w w:val="99"/>
                <w:sz w:val="21"/>
                <w:szCs w:val="21"/>
                <w:highlight w:val="none"/>
              </w:rPr>
              <w:t>t/a</w:t>
            </w:r>
          </w:p>
        </w:tc>
        <w:tc>
          <w:tcPr>
            <w:tcW w:w="651" w:type="pct"/>
            <w:shd w:val="clear" w:color="auto" w:fill="auto"/>
            <w:vAlign w:val="center"/>
          </w:tcPr>
          <w:p w14:paraId="325F910F">
            <w:pPr>
              <w:spacing w:line="32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bidi="ar-SA"/>
              </w:rPr>
              <w:t>0.006</w:t>
            </w:r>
          </w:p>
        </w:tc>
      </w:tr>
      <w:tr w14:paraId="585DE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restart"/>
            <w:vAlign w:val="center"/>
          </w:tcPr>
          <w:p w14:paraId="49C2A02F">
            <w:pPr>
              <w:snapToGrid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退役期</w:t>
            </w:r>
          </w:p>
        </w:tc>
        <w:tc>
          <w:tcPr>
            <w:tcW w:w="391" w:type="pct"/>
            <w:vAlign w:val="center"/>
          </w:tcPr>
          <w:p w14:paraId="4A87FF85">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废气</w:t>
            </w:r>
          </w:p>
        </w:tc>
        <w:tc>
          <w:tcPr>
            <w:tcW w:w="1798" w:type="pct"/>
            <w:vAlign w:val="center"/>
          </w:tcPr>
          <w:p w14:paraId="5E625FFD">
            <w:pPr>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eastAsiaTheme="minorEastAsia"/>
                <w:bCs/>
                <w:snapToGrid w:val="0"/>
                <w:color w:val="auto"/>
                <w:w w:val="99"/>
                <w:kern w:val="28"/>
                <w:sz w:val="21"/>
                <w:szCs w:val="21"/>
                <w:highlight w:val="none"/>
              </w:rPr>
              <w:t>施工扬尘</w:t>
            </w:r>
            <w:r>
              <w:rPr>
                <w:rFonts w:ascii="Times New Roman" w:hAnsi="Times New Roman" w:cs="Times New Roman"/>
                <w:color w:val="auto"/>
                <w:w w:val="99"/>
                <w:kern w:val="2"/>
                <w:sz w:val="21"/>
                <w:szCs w:val="21"/>
                <w:highlight w:val="none"/>
              </w:rPr>
              <w:t>采取车辆密闭运输、洒水抑尘</w:t>
            </w:r>
          </w:p>
        </w:tc>
        <w:tc>
          <w:tcPr>
            <w:tcW w:w="1770" w:type="pct"/>
            <w:vAlign w:val="center"/>
          </w:tcPr>
          <w:p w14:paraId="7F096278">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0.1万元/口井，共</w:t>
            </w:r>
            <w:r>
              <w:rPr>
                <w:rFonts w:hint="eastAsia" w:ascii="Times New Roman" w:hAnsi="Times New Roman" w:cs="Times New Roman" w:eastAsiaTheme="minorEastAsia"/>
                <w:color w:val="auto"/>
                <w:w w:val="99"/>
                <w:sz w:val="21"/>
                <w:szCs w:val="21"/>
                <w:highlight w:val="none"/>
                <w:lang w:val="en-US" w:eastAsia="zh-CN"/>
              </w:rPr>
              <w:t>1</w:t>
            </w:r>
            <w:r>
              <w:rPr>
                <w:rFonts w:ascii="Times New Roman" w:hAnsi="Times New Roman" w:cs="Times New Roman" w:eastAsiaTheme="minorEastAsia"/>
                <w:color w:val="auto"/>
                <w:w w:val="99"/>
                <w:sz w:val="21"/>
                <w:szCs w:val="21"/>
                <w:highlight w:val="none"/>
              </w:rPr>
              <w:t>口</w:t>
            </w:r>
            <w:r>
              <w:rPr>
                <w:rFonts w:hint="eastAsia" w:ascii="Times New Roman" w:hAnsi="Times New Roman" w:cs="Times New Roman" w:eastAsiaTheme="minorEastAsia"/>
                <w:color w:val="auto"/>
                <w:w w:val="99"/>
                <w:sz w:val="21"/>
                <w:szCs w:val="21"/>
                <w:highlight w:val="none"/>
                <w:lang w:val="en-US" w:eastAsia="zh-CN"/>
              </w:rPr>
              <w:t>气</w:t>
            </w:r>
            <w:r>
              <w:rPr>
                <w:rFonts w:ascii="Times New Roman" w:hAnsi="Times New Roman" w:cs="Times New Roman" w:eastAsiaTheme="minorEastAsia"/>
                <w:color w:val="auto"/>
                <w:w w:val="99"/>
                <w:sz w:val="21"/>
                <w:szCs w:val="21"/>
                <w:highlight w:val="none"/>
              </w:rPr>
              <w:t>井</w:t>
            </w:r>
          </w:p>
        </w:tc>
        <w:tc>
          <w:tcPr>
            <w:tcW w:w="651" w:type="pct"/>
            <w:vAlign w:val="center"/>
          </w:tcPr>
          <w:p w14:paraId="26139593">
            <w:pPr>
              <w:spacing w:line="320" w:lineRule="exact"/>
              <w:jc w:val="center"/>
              <w:rPr>
                <w:rFonts w:hint="default" w:ascii="Times New Roman" w:hAnsi="Times New Roman" w:cs="Times New Roman" w:eastAsiaTheme="minorEastAsia"/>
                <w:bCs/>
                <w:snapToGrid w:val="0"/>
                <w:color w:val="auto"/>
                <w:w w:val="99"/>
                <w:kern w:val="28"/>
                <w:sz w:val="21"/>
                <w:szCs w:val="21"/>
                <w:highlight w:val="none"/>
                <w:lang w:val="en-US" w:eastAsia="zh-CN"/>
              </w:rPr>
            </w:pPr>
            <w:r>
              <w:rPr>
                <w:rFonts w:hint="eastAsia" w:ascii="Times New Roman" w:hAnsi="Times New Roman" w:cs="Times New Roman" w:eastAsiaTheme="minorEastAsia"/>
                <w:bCs/>
                <w:snapToGrid w:val="0"/>
                <w:color w:val="auto"/>
                <w:w w:val="99"/>
                <w:kern w:val="28"/>
                <w:sz w:val="21"/>
                <w:szCs w:val="21"/>
                <w:highlight w:val="none"/>
                <w:lang w:val="en-US" w:eastAsia="zh-CN"/>
              </w:rPr>
              <w:t>0.01</w:t>
            </w:r>
          </w:p>
        </w:tc>
      </w:tr>
      <w:tr w14:paraId="3596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252D8860">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vMerge w:val="restart"/>
            <w:vAlign w:val="center"/>
          </w:tcPr>
          <w:p w14:paraId="5ED597FA">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固体废物</w:t>
            </w:r>
          </w:p>
        </w:tc>
        <w:tc>
          <w:tcPr>
            <w:tcW w:w="1798" w:type="pct"/>
            <w:vAlign w:val="center"/>
          </w:tcPr>
          <w:p w14:paraId="43342823">
            <w:pPr>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封井建筑垃圾</w:t>
            </w:r>
            <w:r>
              <w:rPr>
                <w:rFonts w:ascii="Times New Roman" w:hAnsi="Times New Roman" w:cs="Times New Roman"/>
                <w:bCs/>
                <w:color w:val="auto"/>
                <w:w w:val="99"/>
                <w:kern w:val="2"/>
                <w:sz w:val="21"/>
                <w:szCs w:val="21"/>
                <w:highlight w:val="none"/>
              </w:rPr>
              <w:t>统一收集后由施工单位清运至建筑垃圾调配场处理</w:t>
            </w:r>
          </w:p>
        </w:tc>
        <w:tc>
          <w:tcPr>
            <w:tcW w:w="1770" w:type="pct"/>
            <w:vAlign w:val="center"/>
          </w:tcPr>
          <w:p w14:paraId="42F4AA25">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0.01万元/吨，共计</w:t>
            </w:r>
            <w:r>
              <w:rPr>
                <w:rFonts w:hint="eastAsia" w:ascii="Times New Roman" w:hAnsi="Times New Roman" w:cs="Times New Roman" w:eastAsiaTheme="minorEastAsia"/>
                <w:color w:val="auto"/>
                <w:w w:val="99"/>
                <w:sz w:val="21"/>
                <w:szCs w:val="21"/>
                <w:highlight w:val="none"/>
                <w:lang w:val="en-US" w:eastAsia="zh-CN"/>
              </w:rPr>
              <w:t>0.2</w:t>
            </w:r>
            <w:r>
              <w:rPr>
                <w:rFonts w:ascii="Times New Roman" w:hAnsi="Times New Roman" w:cs="Times New Roman" w:eastAsiaTheme="minorEastAsia"/>
                <w:color w:val="auto"/>
                <w:w w:val="99"/>
                <w:sz w:val="21"/>
                <w:szCs w:val="21"/>
                <w:highlight w:val="none"/>
              </w:rPr>
              <w:t>t</w:t>
            </w:r>
          </w:p>
        </w:tc>
        <w:tc>
          <w:tcPr>
            <w:tcW w:w="651" w:type="pct"/>
            <w:vAlign w:val="center"/>
          </w:tcPr>
          <w:p w14:paraId="3F3028B4">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0.002</w:t>
            </w:r>
          </w:p>
        </w:tc>
      </w:tr>
      <w:tr w14:paraId="232C7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65956853">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vMerge w:val="continue"/>
            <w:vAlign w:val="center"/>
          </w:tcPr>
          <w:p w14:paraId="2FD033DC">
            <w:pPr>
              <w:spacing w:line="320" w:lineRule="exact"/>
              <w:jc w:val="center"/>
              <w:rPr>
                <w:rFonts w:ascii="Times New Roman" w:hAnsi="Times New Roman" w:cs="Times New Roman" w:eastAsiaTheme="minorEastAsia"/>
                <w:bCs/>
                <w:snapToGrid w:val="0"/>
                <w:color w:val="auto"/>
                <w:w w:val="99"/>
                <w:kern w:val="28"/>
                <w:sz w:val="21"/>
                <w:szCs w:val="21"/>
                <w:highlight w:val="none"/>
              </w:rPr>
            </w:pPr>
          </w:p>
        </w:tc>
        <w:tc>
          <w:tcPr>
            <w:tcW w:w="1798" w:type="pct"/>
            <w:vAlign w:val="center"/>
          </w:tcPr>
          <w:p w14:paraId="6162547D">
            <w:pPr>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生活垃圾统一收集后拉运至</w:t>
            </w:r>
            <w:r>
              <w:rPr>
                <w:rFonts w:hint="eastAsia" w:ascii="Times New Roman" w:hAnsi="Times New Roman" w:cs="Times New Roman"/>
                <w:color w:val="auto"/>
                <w:w w:val="99"/>
                <w:kern w:val="2"/>
                <w:sz w:val="21"/>
                <w:szCs w:val="21"/>
                <w:highlight w:val="none"/>
                <w:lang w:eastAsia="zh-CN"/>
              </w:rPr>
              <w:t>肇东北控环境再生能源有限公司</w:t>
            </w:r>
            <w:r>
              <w:rPr>
                <w:rFonts w:ascii="Times New Roman" w:hAnsi="Times New Roman" w:cs="Times New Roman"/>
                <w:color w:val="auto"/>
                <w:w w:val="99"/>
                <w:kern w:val="2"/>
                <w:sz w:val="21"/>
                <w:szCs w:val="21"/>
                <w:highlight w:val="none"/>
              </w:rPr>
              <w:t>处理</w:t>
            </w:r>
          </w:p>
        </w:tc>
        <w:tc>
          <w:tcPr>
            <w:tcW w:w="1770" w:type="pct"/>
            <w:vAlign w:val="center"/>
          </w:tcPr>
          <w:p w14:paraId="145029E3">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0.02万元/吨，共计0.</w:t>
            </w:r>
            <w:r>
              <w:rPr>
                <w:rFonts w:hint="eastAsia" w:ascii="Times New Roman" w:hAnsi="Times New Roman" w:cs="Times New Roman" w:eastAsiaTheme="minorEastAsia"/>
                <w:color w:val="auto"/>
                <w:w w:val="99"/>
                <w:sz w:val="21"/>
                <w:szCs w:val="21"/>
                <w:highlight w:val="none"/>
                <w:lang w:val="en-US" w:eastAsia="zh-CN"/>
              </w:rPr>
              <w:t>05</w:t>
            </w:r>
            <w:r>
              <w:rPr>
                <w:rFonts w:ascii="Times New Roman" w:hAnsi="Times New Roman" w:cs="Times New Roman" w:eastAsiaTheme="minorEastAsia"/>
                <w:color w:val="auto"/>
                <w:w w:val="99"/>
                <w:sz w:val="21"/>
                <w:szCs w:val="21"/>
                <w:highlight w:val="none"/>
              </w:rPr>
              <w:t>t</w:t>
            </w:r>
          </w:p>
        </w:tc>
        <w:tc>
          <w:tcPr>
            <w:tcW w:w="651" w:type="pct"/>
            <w:vAlign w:val="center"/>
          </w:tcPr>
          <w:p w14:paraId="6263A136">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0.001</w:t>
            </w:r>
          </w:p>
        </w:tc>
      </w:tr>
      <w:tr w14:paraId="2E955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54942E4E">
            <w:pPr>
              <w:snapToGrid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91" w:type="pct"/>
            <w:vMerge w:val="continue"/>
            <w:vAlign w:val="center"/>
          </w:tcPr>
          <w:p w14:paraId="32B47497">
            <w:pPr>
              <w:spacing w:line="320" w:lineRule="exact"/>
              <w:jc w:val="center"/>
              <w:rPr>
                <w:rFonts w:ascii="Times New Roman" w:hAnsi="Times New Roman" w:cs="Times New Roman" w:eastAsiaTheme="minorEastAsia"/>
                <w:bCs/>
                <w:snapToGrid w:val="0"/>
                <w:color w:val="auto"/>
                <w:w w:val="99"/>
                <w:kern w:val="28"/>
                <w:sz w:val="21"/>
                <w:szCs w:val="21"/>
                <w:highlight w:val="none"/>
              </w:rPr>
            </w:pPr>
          </w:p>
        </w:tc>
        <w:tc>
          <w:tcPr>
            <w:tcW w:w="1798" w:type="pct"/>
            <w:vAlign w:val="center"/>
          </w:tcPr>
          <w:p w14:paraId="55FB8BA6">
            <w:pPr>
              <w:spacing w:line="320" w:lineRule="exact"/>
              <w:jc w:val="center"/>
              <w:rPr>
                <w:rFonts w:hint="eastAsia" w:ascii="Times New Roman" w:hAnsi="Times New Roman" w:eastAsia="宋体" w:cs="Times New Roman"/>
                <w:color w:val="auto"/>
                <w:w w:val="99"/>
                <w:kern w:val="2"/>
                <w:sz w:val="21"/>
                <w:szCs w:val="21"/>
                <w:highlight w:val="none"/>
                <w:lang w:val="en-US" w:eastAsia="zh-CN"/>
              </w:rPr>
            </w:pPr>
            <w:r>
              <w:rPr>
                <w:rFonts w:hint="eastAsia" w:ascii="Times New Roman" w:hAnsi="Times New Roman" w:eastAsia="宋体" w:cs="Times New Roman"/>
                <w:color w:val="auto"/>
                <w:w w:val="99"/>
                <w:kern w:val="2"/>
                <w:sz w:val="21"/>
                <w:szCs w:val="21"/>
                <w:highlight w:val="none"/>
                <w:lang w:val="en-US" w:eastAsia="zh-CN"/>
              </w:rPr>
              <w:t>含油废防渗布在作业结束后，委托有资质单位转运处置</w:t>
            </w:r>
          </w:p>
        </w:tc>
        <w:tc>
          <w:tcPr>
            <w:tcW w:w="1770" w:type="pct"/>
            <w:shd w:val="clear" w:color="auto" w:fill="auto"/>
            <w:vAlign w:val="center"/>
          </w:tcPr>
          <w:p w14:paraId="6AF138B0">
            <w:pPr>
              <w:spacing w:line="32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0.1万元/吨，共计</w:t>
            </w:r>
            <w:r>
              <w:rPr>
                <w:rFonts w:hint="eastAsia" w:ascii="Times New Roman" w:hAnsi="Times New Roman" w:cs="Times New Roman" w:eastAsiaTheme="minorEastAsia"/>
                <w:color w:val="auto"/>
                <w:w w:val="99"/>
                <w:sz w:val="21"/>
                <w:szCs w:val="21"/>
                <w:highlight w:val="none"/>
                <w:lang w:val="en-US" w:eastAsia="zh-CN"/>
              </w:rPr>
              <w:t>0.75</w:t>
            </w:r>
            <w:r>
              <w:rPr>
                <w:rFonts w:ascii="Times New Roman" w:hAnsi="Times New Roman" w:cs="Times New Roman" w:eastAsiaTheme="minorEastAsia"/>
                <w:color w:val="auto"/>
                <w:w w:val="99"/>
                <w:sz w:val="21"/>
                <w:szCs w:val="21"/>
                <w:highlight w:val="none"/>
              </w:rPr>
              <w:t>t/a</w:t>
            </w:r>
          </w:p>
        </w:tc>
        <w:tc>
          <w:tcPr>
            <w:tcW w:w="651" w:type="pct"/>
            <w:shd w:val="clear" w:color="auto" w:fill="auto"/>
            <w:vAlign w:val="center"/>
          </w:tcPr>
          <w:p w14:paraId="23DC7E41">
            <w:pPr>
              <w:spacing w:line="320" w:lineRule="exact"/>
              <w:jc w:val="center"/>
              <w:rPr>
                <w:rFonts w:hint="default"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075</w:t>
            </w:r>
          </w:p>
        </w:tc>
      </w:tr>
      <w:tr w14:paraId="222E3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80" w:type="pct"/>
            <w:gridSpan w:val="2"/>
            <w:vAlign w:val="center"/>
          </w:tcPr>
          <w:p w14:paraId="7B6546DC">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风险防范</w:t>
            </w:r>
          </w:p>
        </w:tc>
        <w:tc>
          <w:tcPr>
            <w:tcW w:w="1798" w:type="pct"/>
            <w:vAlign w:val="center"/>
          </w:tcPr>
          <w:p w14:paraId="775C6FDD">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配备围油栏、吸油毡、消油剂等应急物资，定期进行应急演练等风险防范措施及应急措施</w:t>
            </w:r>
          </w:p>
        </w:tc>
        <w:tc>
          <w:tcPr>
            <w:tcW w:w="1770" w:type="pct"/>
            <w:vAlign w:val="center"/>
          </w:tcPr>
          <w:p w14:paraId="303C5A90">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配备1套</w:t>
            </w:r>
          </w:p>
        </w:tc>
        <w:tc>
          <w:tcPr>
            <w:tcW w:w="651" w:type="pct"/>
            <w:vAlign w:val="center"/>
          </w:tcPr>
          <w:p w14:paraId="166B01BC">
            <w:pPr>
              <w:spacing w:line="32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w:t>
            </w:r>
          </w:p>
        </w:tc>
      </w:tr>
      <w:tr w14:paraId="7BC3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trPr>
        <w:tc>
          <w:tcPr>
            <w:tcW w:w="780" w:type="pct"/>
            <w:gridSpan w:val="2"/>
            <w:vMerge w:val="restart"/>
            <w:vAlign w:val="center"/>
          </w:tcPr>
          <w:p w14:paraId="631AA6E2">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地下水及土壤防范措施</w:t>
            </w:r>
          </w:p>
        </w:tc>
        <w:tc>
          <w:tcPr>
            <w:tcW w:w="1798" w:type="pct"/>
            <w:vAlign w:val="center"/>
          </w:tcPr>
          <w:p w14:paraId="1081220B">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采取分区防渗措施</w:t>
            </w:r>
          </w:p>
        </w:tc>
        <w:tc>
          <w:tcPr>
            <w:tcW w:w="1770" w:type="pct"/>
            <w:vAlign w:val="center"/>
          </w:tcPr>
          <w:p w14:paraId="4503AFBA">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color w:val="auto"/>
                <w:w w:val="99"/>
                <w:sz w:val="21"/>
                <w:szCs w:val="21"/>
                <w:highlight w:val="none"/>
              </w:rPr>
              <w:t>0.2</w:t>
            </w:r>
            <w:r>
              <w:rPr>
                <w:rFonts w:ascii="Times New Roman" w:hAnsi="Times New Roman" w:cs="Times New Roman" w:eastAsiaTheme="minorEastAsia"/>
                <w:bCs/>
                <w:snapToGrid w:val="0"/>
                <w:color w:val="auto"/>
                <w:w w:val="99"/>
                <w:kern w:val="28"/>
                <w:sz w:val="21"/>
                <w:szCs w:val="21"/>
                <w:highlight w:val="none"/>
              </w:rPr>
              <w:t>万元/口井，共</w:t>
            </w:r>
            <w:r>
              <w:rPr>
                <w:rFonts w:hint="eastAsia" w:ascii="Times New Roman" w:hAnsi="Times New Roman" w:cs="Times New Roman" w:eastAsiaTheme="minorEastAsia"/>
                <w:bCs/>
                <w:snapToGrid w:val="0"/>
                <w:color w:val="auto"/>
                <w:w w:val="99"/>
                <w:kern w:val="28"/>
                <w:sz w:val="21"/>
                <w:szCs w:val="21"/>
                <w:highlight w:val="none"/>
                <w:lang w:val="en-US" w:eastAsia="zh-CN"/>
              </w:rPr>
              <w:t>1</w:t>
            </w:r>
            <w:r>
              <w:rPr>
                <w:rFonts w:ascii="Times New Roman" w:hAnsi="Times New Roman" w:cs="Times New Roman" w:eastAsiaTheme="minorEastAsia"/>
                <w:bCs/>
                <w:snapToGrid w:val="0"/>
                <w:color w:val="auto"/>
                <w:w w:val="99"/>
                <w:kern w:val="28"/>
                <w:sz w:val="21"/>
                <w:szCs w:val="21"/>
                <w:highlight w:val="none"/>
              </w:rPr>
              <w:t xml:space="preserve">口基建井 </w:t>
            </w:r>
          </w:p>
        </w:tc>
        <w:tc>
          <w:tcPr>
            <w:tcW w:w="651" w:type="pct"/>
            <w:vAlign w:val="center"/>
          </w:tcPr>
          <w:p w14:paraId="39794119">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0.2</w:t>
            </w:r>
          </w:p>
        </w:tc>
      </w:tr>
      <w:tr w14:paraId="22A91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80" w:type="pct"/>
            <w:gridSpan w:val="2"/>
            <w:vMerge w:val="continue"/>
            <w:vAlign w:val="center"/>
          </w:tcPr>
          <w:p w14:paraId="07499AD4">
            <w:pPr>
              <w:spacing w:line="320" w:lineRule="exact"/>
              <w:jc w:val="center"/>
              <w:rPr>
                <w:rFonts w:ascii="Times New Roman" w:hAnsi="Times New Roman" w:cs="Times New Roman" w:eastAsiaTheme="minorEastAsia"/>
                <w:bCs/>
                <w:snapToGrid w:val="0"/>
                <w:color w:val="auto"/>
                <w:w w:val="99"/>
                <w:kern w:val="28"/>
                <w:sz w:val="21"/>
                <w:szCs w:val="21"/>
                <w:highlight w:val="none"/>
              </w:rPr>
            </w:pPr>
          </w:p>
        </w:tc>
        <w:tc>
          <w:tcPr>
            <w:tcW w:w="1798" w:type="pct"/>
            <w:vAlign w:val="center"/>
          </w:tcPr>
          <w:p w14:paraId="2DC5732F">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井布设</w:t>
            </w:r>
            <w:r>
              <w:rPr>
                <w:rFonts w:hint="eastAsia" w:ascii="Times New Roman" w:hAnsi="Times New Roman" w:cs="Times New Roman" w:eastAsiaTheme="minorEastAsia"/>
                <w:bCs/>
                <w:snapToGrid w:val="0"/>
                <w:color w:val="auto"/>
                <w:w w:val="99"/>
                <w:kern w:val="28"/>
                <w:sz w:val="21"/>
                <w:szCs w:val="21"/>
                <w:highlight w:val="none"/>
                <w:lang w:val="en-US" w:eastAsia="zh-CN"/>
              </w:rPr>
              <w:t>3</w:t>
            </w:r>
            <w:r>
              <w:rPr>
                <w:rFonts w:ascii="Times New Roman" w:hAnsi="Times New Roman" w:cs="Times New Roman" w:eastAsiaTheme="minorEastAsia"/>
                <w:bCs/>
                <w:snapToGrid w:val="0"/>
                <w:color w:val="auto"/>
                <w:w w:val="99"/>
                <w:kern w:val="28"/>
                <w:sz w:val="21"/>
                <w:szCs w:val="21"/>
                <w:highlight w:val="none"/>
              </w:rPr>
              <w:t>口跟踪监测井，定期跟踪监测地下水</w:t>
            </w:r>
          </w:p>
        </w:tc>
        <w:tc>
          <w:tcPr>
            <w:tcW w:w="1770" w:type="pct"/>
            <w:vAlign w:val="center"/>
          </w:tcPr>
          <w:p w14:paraId="0AE0A672">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0.1万元/点位，共</w:t>
            </w:r>
            <w:r>
              <w:rPr>
                <w:rFonts w:hint="eastAsia" w:ascii="Times New Roman" w:hAnsi="Times New Roman" w:cs="Times New Roman" w:eastAsiaTheme="minorEastAsia"/>
                <w:bCs/>
                <w:snapToGrid w:val="0"/>
                <w:color w:val="auto"/>
                <w:w w:val="99"/>
                <w:kern w:val="28"/>
                <w:sz w:val="21"/>
                <w:szCs w:val="21"/>
                <w:highlight w:val="none"/>
                <w:lang w:val="en-US" w:eastAsia="zh-CN"/>
              </w:rPr>
              <w:t>3</w:t>
            </w:r>
            <w:r>
              <w:rPr>
                <w:rFonts w:ascii="Times New Roman" w:hAnsi="Times New Roman" w:cs="Times New Roman" w:eastAsiaTheme="minorEastAsia"/>
                <w:bCs/>
                <w:snapToGrid w:val="0"/>
                <w:color w:val="auto"/>
                <w:w w:val="99"/>
                <w:kern w:val="28"/>
                <w:sz w:val="21"/>
                <w:szCs w:val="21"/>
                <w:highlight w:val="none"/>
              </w:rPr>
              <w:t>个监测点位</w:t>
            </w:r>
          </w:p>
        </w:tc>
        <w:tc>
          <w:tcPr>
            <w:tcW w:w="651" w:type="pct"/>
            <w:vAlign w:val="center"/>
          </w:tcPr>
          <w:p w14:paraId="675E2B1E">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0.3</w:t>
            </w:r>
          </w:p>
        </w:tc>
      </w:tr>
      <w:tr w14:paraId="1AF32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80" w:type="pct"/>
            <w:gridSpan w:val="2"/>
            <w:vMerge w:val="continue"/>
            <w:vAlign w:val="center"/>
          </w:tcPr>
          <w:p w14:paraId="4BFA885E">
            <w:pPr>
              <w:spacing w:line="320" w:lineRule="exact"/>
              <w:jc w:val="center"/>
              <w:rPr>
                <w:rFonts w:ascii="Times New Roman" w:hAnsi="Times New Roman" w:cs="Times New Roman" w:eastAsiaTheme="minorEastAsia"/>
                <w:bCs/>
                <w:snapToGrid w:val="0"/>
                <w:color w:val="auto"/>
                <w:w w:val="99"/>
                <w:kern w:val="28"/>
                <w:sz w:val="21"/>
                <w:szCs w:val="21"/>
                <w:highlight w:val="none"/>
              </w:rPr>
            </w:pPr>
          </w:p>
        </w:tc>
        <w:tc>
          <w:tcPr>
            <w:tcW w:w="1798" w:type="pct"/>
            <w:vAlign w:val="center"/>
          </w:tcPr>
          <w:p w14:paraId="654E64CC">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设</w:t>
            </w:r>
            <w:r>
              <w:rPr>
                <w:rFonts w:hint="eastAsia" w:ascii="Times New Roman" w:hAnsi="Times New Roman" w:cs="Times New Roman" w:eastAsiaTheme="minorEastAsia"/>
                <w:bCs/>
                <w:snapToGrid w:val="0"/>
                <w:color w:val="auto"/>
                <w:w w:val="99"/>
                <w:kern w:val="28"/>
                <w:sz w:val="21"/>
                <w:szCs w:val="21"/>
                <w:highlight w:val="none"/>
                <w:lang w:val="en-US" w:eastAsia="zh-CN"/>
              </w:rPr>
              <w:t>2</w:t>
            </w:r>
            <w:r>
              <w:rPr>
                <w:rFonts w:ascii="Times New Roman" w:hAnsi="Times New Roman" w:cs="Times New Roman" w:eastAsiaTheme="minorEastAsia"/>
                <w:bCs/>
                <w:snapToGrid w:val="0"/>
                <w:color w:val="auto"/>
                <w:w w:val="99"/>
                <w:kern w:val="28"/>
                <w:sz w:val="21"/>
                <w:szCs w:val="21"/>
                <w:highlight w:val="none"/>
              </w:rPr>
              <w:t>个土壤跟踪监测点，定期跟踪监测土壤</w:t>
            </w:r>
          </w:p>
        </w:tc>
        <w:tc>
          <w:tcPr>
            <w:tcW w:w="1770" w:type="pct"/>
            <w:vAlign w:val="center"/>
          </w:tcPr>
          <w:p w14:paraId="0B7DE079">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0.2万元/点位，共</w:t>
            </w:r>
            <w:r>
              <w:rPr>
                <w:rFonts w:hint="eastAsia" w:ascii="Times New Roman" w:hAnsi="Times New Roman" w:cs="Times New Roman" w:eastAsiaTheme="minorEastAsia"/>
                <w:bCs/>
                <w:snapToGrid w:val="0"/>
                <w:color w:val="auto"/>
                <w:w w:val="99"/>
                <w:kern w:val="28"/>
                <w:sz w:val="21"/>
                <w:szCs w:val="21"/>
                <w:highlight w:val="none"/>
                <w:lang w:val="en-US" w:eastAsia="zh-CN"/>
              </w:rPr>
              <w:t>2</w:t>
            </w:r>
            <w:r>
              <w:rPr>
                <w:rFonts w:ascii="Times New Roman" w:hAnsi="Times New Roman" w:cs="Times New Roman" w:eastAsiaTheme="minorEastAsia"/>
                <w:bCs/>
                <w:snapToGrid w:val="0"/>
                <w:color w:val="auto"/>
                <w:w w:val="99"/>
                <w:kern w:val="28"/>
                <w:sz w:val="21"/>
                <w:szCs w:val="21"/>
                <w:highlight w:val="none"/>
              </w:rPr>
              <w:t>个监测点位</w:t>
            </w:r>
          </w:p>
        </w:tc>
        <w:tc>
          <w:tcPr>
            <w:tcW w:w="651" w:type="pct"/>
            <w:vAlign w:val="center"/>
          </w:tcPr>
          <w:p w14:paraId="771926D2">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0.4</w:t>
            </w:r>
          </w:p>
        </w:tc>
      </w:tr>
      <w:tr w14:paraId="2F8AF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48" w:type="pct"/>
            <w:gridSpan w:val="4"/>
            <w:vAlign w:val="center"/>
          </w:tcPr>
          <w:p w14:paraId="7E40CB6B">
            <w:pPr>
              <w:spacing w:line="320" w:lineRule="exact"/>
              <w:jc w:val="center"/>
              <w:rPr>
                <w:rFonts w:ascii="Times New Roman" w:hAnsi="Times New Roman" w:cs="Times New Roman" w:eastAsiaTheme="minorEastAsia"/>
                <w:bCs/>
                <w:snapToGrid w:val="0"/>
                <w:color w:val="auto"/>
                <w:w w:val="99"/>
                <w:kern w:val="28"/>
                <w:sz w:val="21"/>
                <w:szCs w:val="21"/>
                <w:highlight w:val="none"/>
              </w:rPr>
            </w:pPr>
            <w:r>
              <w:rPr>
                <w:rFonts w:ascii="Times New Roman" w:hAnsi="Times New Roman" w:cs="Times New Roman" w:eastAsiaTheme="minorEastAsia"/>
                <w:bCs/>
                <w:snapToGrid w:val="0"/>
                <w:color w:val="auto"/>
                <w:w w:val="99"/>
                <w:kern w:val="28"/>
                <w:sz w:val="21"/>
                <w:szCs w:val="21"/>
                <w:highlight w:val="none"/>
              </w:rPr>
              <w:t>合计</w:t>
            </w:r>
          </w:p>
        </w:tc>
        <w:tc>
          <w:tcPr>
            <w:tcW w:w="651" w:type="pct"/>
            <w:vAlign w:val="center"/>
          </w:tcPr>
          <w:p w14:paraId="16C8C71A">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25.47</w:t>
            </w:r>
          </w:p>
        </w:tc>
      </w:tr>
    </w:tbl>
    <w:p w14:paraId="00CF09F5">
      <w:pPr>
        <w:pStyle w:val="7"/>
        <w:widowControl w:val="0"/>
        <w:spacing w:before="60" w:after="60" w:line="440" w:lineRule="exact"/>
        <w:jc w:val="both"/>
        <w:rPr>
          <w:rFonts w:eastAsiaTheme="minorEastAsia"/>
          <w:b/>
          <w:color w:val="auto"/>
          <w:w w:val="99"/>
          <w:kern w:val="2"/>
          <w:sz w:val="24"/>
          <w:szCs w:val="24"/>
          <w:highlight w:val="none"/>
        </w:rPr>
      </w:pPr>
      <w:bookmarkStart w:id="1120" w:name="_Toc86142033"/>
      <w:bookmarkStart w:id="1121" w:name="_Toc143099678"/>
      <w:bookmarkStart w:id="1122" w:name="_Toc131167391"/>
      <w:bookmarkStart w:id="1123" w:name="_Toc126863490"/>
      <w:bookmarkStart w:id="1124" w:name="_Toc127192439"/>
      <w:bookmarkStart w:id="1125" w:name="_Toc186444390"/>
      <w:bookmarkStart w:id="1126" w:name="_Toc85640858"/>
      <w:bookmarkStart w:id="1127" w:name="_Toc84929334"/>
      <w:r>
        <w:rPr>
          <w:rFonts w:eastAsiaTheme="minorEastAsia"/>
          <w:b/>
          <w:color w:val="auto"/>
          <w:w w:val="99"/>
          <w:kern w:val="2"/>
          <w:sz w:val="24"/>
          <w:szCs w:val="24"/>
          <w:highlight w:val="none"/>
        </w:rPr>
        <w:t>7.2.2环境效益简要分析</w:t>
      </w:r>
      <w:bookmarkEnd w:id="1120"/>
      <w:bookmarkEnd w:id="1121"/>
      <w:bookmarkEnd w:id="1122"/>
      <w:bookmarkEnd w:id="1123"/>
      <w:bookmarkEnd w:id="1124"/>
      <w:bookmarkEnd w:id="1125"/>
      <w:bookmarkEnd w:id="1126"/>
      <w:bookmarkEnd w:id="1127"/>
    </w:p>
    <w:p w14:paraId="21BDBD1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项目建设运营中排放的污染物采取了一系列治理措施，大大降低了排入环境中污染物的数量，将取得一定的环境效益。</w:t>
      </w:r>
    </w:p>
    <w:p w14:paraId="070CFBD3">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128" w:name="_Toc7495"/>
      <w:bookmarkStart w:id="1129" w:name="_Toc173163559"/>
      <w:r>
        <w:rPr>
          <w:rFonts w:ascii="Times New Roman" w:hAnsi="Times New Roman" w:eastAsiaTheme="minorEastAsia"/>
          <w:b/>
          <w:snapToGrid w:val="0"/>
          <w:color w:val="auto"/>
          <w:w w:val="99"/>
          <w:highlight w:val="none"/>
        </w:rPr>
        <w:t>7.3环境经济损益分析结论</w:t>
      </w:r>
      <w:bookmarkEnd w:id="1128"/>
      <w:bookmarkEnd w:id="1129"/>
    </w:p>
    <w:p w14:paraId="1825770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总体而言，本项目的建设，为确保大庆油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田的可持续发展、建设百年油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p>
    <w:p w14:paraId="7055020D">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sectPr>
          <w:type w:val="nextColumn"/>
          <w:pgSz w:w="11907" w:h="16840"/>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9" w:charSpace="0"/>
        </w:sectPr>
      </w:pPr>
    </w:p>
    <w:p w14:paraId="083CAA7E">
      <w:pPr>
        <w:pStyle w:val="4"/>
        <w:widowControl w:val="0"/>
        <w:spacing w:before="180" w:after="180" w:line="440" w:lineRule="exact"/>
        <w:jc w:val="both"/>
        <w:rPr>
          <w:rFonts w:ascii="Times New Roman" w:hAnsi="Times New Roman" w:eastAsiaTheme="minorEastAsia"/>
          <w:b/>
          <w:snapToGrid w:val="0"/>
          <w:color w:val="auto"/>
          <w:w w:val="99"/>
          <w:sz w:val="30"/>
          <w:szCs w:val="30"/>
          <w:highlight w:val="none"/>
        </w:rPr>
      </w:pPr>
      <w:bookmarkStart w:id="1130" w:name="_Toc173163560"/>
      <w:bookmarkStart w:id="1131" w:name="_Toc29029"/>
      <w:r>
        <w:rPr>
          <w:rFonts w:ascii="Times New Roman" w:hAnsi="Times New Roman" w:eastAsiaTheme="minorEastAsia"/>
          <w:b/>
          <w:snapToGrid w:val="0"/>
          <w:color w:val="auto"/>
          <w:w w:val="99"/>
          <w:sz w:val="30"/>
          <w:szCs w:val="30"/>
          <w:highlight w:val="none"/>
        </w:rPr>
        <w:t>8环境管理与监测计划</w:t>
      </w:r>
      <w:bookmarkEnd w:id="1130"/>
      <w:bookmarkEnd w:id="1131"/>
    </w:p>
    <w:p w14:paraId="1A656616">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132" w:name="_Toc173163561"/>
      <w:bookmarkStart w:id="1133" w:name="_Toc27549"/>
      <w:r>
        <w:rPr>
          <w:rFonts w:ascii="Times New Roman" w:hAnsi="Times New Roman" w:eastAsiaTheme="minorEastAsia"/>
          <w:b/>
          <w:snapToGrid w:val="0"/>
          <w:color w:val="auto"/>
          <w:w w:val="99"/>
          <w:highlight w:val="none"/>
        </w:rPr>
        <w:t>8.1 HSE管理体系的建立和运行</w:t>
      </w:r>
      <w:bookmarkEnd w:id="1132"/>
      <w:bookmarkEnd w:id="1133"/>
    </w:p>
    <w:p w14:paraId="3F0A2A51">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本项目应依据《石油天然气工业健康、安全与环境管理体系》（SY/T6276-2014）的要求，在项目的建设期、运营期和退役期等3个阶段建立和实施HSE管理体系。建设期、运营期和退役期的HSE管理分别包括以下内容：</w:t>
      </w:r>
    </w:p>
    <w:p w14:paraId="0406347B">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（1）建设期HSE管理主要包括良好的工程（高</w:t>
      </w:r>
      <w:r>
        <w:rPr>
          <w:rFonts w:hint="eastAsia" w:ascii="Times New Roman" w:hAnsi="Times New Roman" w:cs="Times New Roman"/>
          <w:color w:val="auto"/>
          <w:w w:val="99"/>
          <w:kern w:val="0"/>
          <w:sz w:val="24"/>
          <w:szCs w:val="24"/>
          <w:highlight w:val="none"/>
          <w:lang w:val="en-US" w:eastAsia="zh-CN" w:bidi="zh-CN"/>
        </w:rPr>
        <w:t>质</w:t>
      </w:r>
      <w:r>
        <w:rPr>
          <w:rFonts w:hint="default" w:ascii="Times New Roman" w:hAnsi="Times New Roman" w:eastAsia="宋体" w:cs="Times New Roman"/>
          <w:color w:val="auto"/>
          <w:w w:val="99"/>
          <w:kern w:val="0"/>
          <w:sz w:val="24"/>
          <w:szCs w:val="24"/>
          <w:highlight w:val="none"/>
          <w:lang w:val="en-US" w:eastAsia="zh-CN" w:bidi="zh-CN"/>
        </w:rPr>
        <w:t>、节水、节能）设计、安全、健康与环境保护设施的同时设计、同时施工和同时投入使用，安全、绿色施工等；</w:t>
      </w:r>
    </w:p>
    <w:p w14:paraId="7D17F7FF">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（2）运营期HSE管理主要包括：HSE组织机构的建立及职责的确定、文件的编写、风险的识别和管理、应急措施的建立、人员的培训、HSE管理体系的运行及保持、清洁生产等；</w:t>
      </w:r>
    </w:p>
    <w:p w14:paraId="1B91DD0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（3）退役期HSE管理主要考虑</w:t>
      </w:r>
      <w:r>
        <w:rPr>
          <w:rFonts w:hint="eastAsia" w:ascii="Times New Roman" w:hAnsi="Times New Roman" w:eastAsia="宋体"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区退役的安全与环境影响。</w:t>
      </w:r>
    </w:p>
    <w:p w14:paraId="45D87AC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本项目</w:t>
      </w:r>
      <w:r>
        <w:rPr>
          <w:rFonts w:hint="default" w:ascii="Times New Roman" w:hAnsi="Times New Roman" w:eastAsia="宋体" w:cs="Times New Roman"/>
          <w:color w:val="auto"/>
          <w:w w:val="99"/>
          <w:kern w:val="0"/>
          <w:sz w:val="24"/>
          <w:szCs w:val="24"/>
          <w:highlight w:val="none"/>
          <w:lang w:val="en-US" w:eastAsia="zh-CN" w:bidi="zh-CN"/>
        </w:rPr>
        <w:t>开发建设对环境主要影响是建设期的各种施工作业活动和运营期的风险事故。为最大限度地减轻油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田生产对区域内空气环境、水环境及生态环境的影响，减少温室气体的排放，减少事故的发生，以确保油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田安全运行，必须建立科学有效的环境管理体制，制定详细周密的环境保护管理计划。</w:t>
      </w:r>
    </w:p>
    <w:p w14:paraId="1CEC0BF4">
      <w:pPr>
        <w:pStyle w:val="7"/>
        <w:widowControl w:val="0"/>
        <w:spacing w:before="60" w:after="60" w:line="440" w:lineRule="exact"/>
        <w:jc w:val="both"/>
        <w:rPr>
          <w:rFonts w:eastAsiaTheme="minorEastAsia"/>
          <w:b/>
          <w:color w:val="auto"/>
          <w:w w:val="99"/>
          <w:kern w:val="2"/>
          <w:sz w:val="24"/>
          <w:szCs w:val="24"/>
          <w:highlight w:val="none"/>
        </w:rPr>
      </w:pPr>
      <w:bookmarkStart w:id="1134" w:name="_Toc127192443"/>
      <w:bookmarkStart w:id="1135" w:name="_Toc143099682"/>
      <w:bookmarkStart w:id="1136" w:name="_Toc86142037"/>
      <w:bookmarkStart w:id="1137" w:name="_Toc131167395"/>
      <w:bookmarkStart w:id="1138" w:name="_Toc186444394"/>
      <w:bookmarkStart w:id="1139" w:name="_Toc84929338"/>
      <w:bookmarkStart w:id="1140" w:name="_Toc85640862"/>
      <w:bookmarkStart w:id="1141" w:name="_Toc126863494"/>
      <w:r>
        <w:rPr>
          <w:rFonts w:eastAsiaTheme="minorEastAsia"/>
          <w:b/>
          <w:color w:val="auto"/>
          <w:w w:val="99"/>
          <w:kern w:val="2"/>
          <w:sz w:val="24"/>
          <w:szCs w:val="24"/>
          <w:highlight w:val="none"/>
        </w:rPr>
        <w:t>8.1.1组织结构</w:t>
      </w:r>
      <w:bookmarkEnd w:id="1134"/>
      <w:bookmarkEnd w:id="1135"/>
      <w:bookmarkEnd w:id="1136"/>
      <w:bookmarkEnd w:id="1137"/>
      <w:bookmarkEnd w:id="1138"/>
      <w:bookmarkEnd w:id="1139"/>
      <w:bookmarkEnd w:id="1140"/>
      <w:bookmarkEnd w:id="1141"/>
    </w:p>
    <w:p w14:paraId="26933E5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本工程环境管理工作由大庆油田有限责任公司采气分公司负责。由</w:t>
      </w:r>
      <w:r>
        <w:rPr>
          <w:rFonts w:hint="eastAsia" w:ascii="Times New Roman" w:hAnsi="Times New Roman" w:eastAsia="宋体" w:cs="Times New Roman"/>
          <w:color w:val="auto"/>
          <w:w w:val="99"/>
          <w:kern w:val="0"/>
          <w:sz w:val="24"/>
          <w:szCs w:val="24"/>
          <w:highlight w:val="none"/>
          <w:lang w:val="en-US" w:eastAsia="zh-CN" w:bidi="zh-CN"/>
        </w:rPr>
        <w:t>采气分公司</w:t>
      </w:r>
      <w:r>
        <w:rPr>
          <w:rFonts w:hint="default" w:ascii="Times New Roman" w:hAnsi="Times New Roman" w:eastAsia="宋体" w:cs="Times New Roman"/>
          <w:color w:val="auto"/>
          <w:w w:val="99"/>
          <w:kern w:val="0"/>
          <w:sz w:val="24"/>
          <w:szCs w:val="24"/>
          <w:highlight w:val="none"/>
          <w:lang w:val="en-US" w:eastAsia="zh-CN" w:bidi="zh-CN"/>
        </w:rPr>
        <w:t>施工业务主管部门对油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田建设环境保护工作进行全过程监控，对环境保护措施强制推行，控制施工阶段的环境污染和生态破坏。施工期除设置1名专职环保员外，还应根据现场实际情况，建立健全相应的二级HSE管理网络，在</w:t>
      </w:r>
      <w:r>
        <w:rPr>
          <w:rFonts w:hint="eastAsia" w:ascii="Times New Roman" w:hAnsi="Times New Roman" w:cs="Times New Roman"/>
          <w:color w:val="auto"/>
          <w:w w:val="99"/>
          <w:kern w:val="0"/>
          <w:sz w:val="24"/>
          <w:szCs w:val="24"/>
          <w:highlight w:val="none"/>
          <w:lang w:val="en-US" w:eastAsia="zh-CN" w:bidi="zh-CN"/>
        </w:rPr>
        <w:t>大庆</w:t>
      </w:r>
      <w:r>
        <w:rPr>
          <w:rFonts w:hint="default" w:ascii="Times New Roman" w:hAnsi="Times New Roman" w:eastAsia="宋体" w:cs="Times New Roman"/>
          <w:color w:val="auto"/>
          <w:w w:val="99"/>
          <w:kern w:val="0"/>
          <w:sz w:val="24"/>
          <w:szCs w:val="24"/>
          <w:highlight w:val="none"/>
          <w:lang w:val="en-US" w:eastAsia="zh-CN" w:bidi="zh-CN"/>
        </w:rPr>
        <w:t>油田已有HSE指挥部的基础上，配备数名HSE现场监督人员</w:t>
      </w:r>
      <w:r>
        <w:rPr>
          <w:rFonts w:hint="eastAsia" w:ascii="Times New Roman" w:hAnsi="Times New Roman"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协调员，实行逐级负责制。</w:t>
      </w:r>
    </w:p>
    <w:p w14:paraId="231550A3">
      <w:pPr>
        <w:pStyle w:val="7"/>
        <w:widowControl w:val="0"/>
        <w:spacing w:before="60" w:after="60" w:line="440" w:lineRule="exact"/>
        <w:jc w:val="both"/>
        <w:rPr>
          <w:rFonts w:eastAsiaTheme="minorEastAsia"/>
          <w:b/>
          <w:color w:val="auto"/>
          <w:w w:val="99"/>
          <w:kern w:val="2"/>
          <w:sz w:val="24"/>
          <w:szCs w:val="24"/>
          <w:highlight w:val="none"/>
        </w:rPr>
      </w:pPr>
      <w:bookmarkStart w:id="1142" w:name="_Toc85640863"/>
      <w:bookmarkStart w:id="1143" w:name="_Toc131167396"/>
      <w:bookmarkStart w:id="1144" w:name="_Toc143099683"/>
      <w:bookmarkStart w:id="1145" w:name="_Toc127192444"/>
      <w:bookmarkStart w:id="1146" w:name="_Toc186444395"/>
      <w:bookmarkStart w:id="1147" w:name="_Toc126863495"/>
      <w:bookmarkStart w:id="1148" w:name="_Toc86142038"/>
      <w:bookmarkStart w:id="1149" w:name="_Toc84929339"/>
      <w:r>
        <w:rPr>
          <w:rFonts w:eastAsiaTheme="minorEastAsia"/>
          <w:b/>
          <w:color w:val="auto"/>
          <w:w w:val="99"/>
          <w:kern w:val="2"/>
          <w:sz w:val="24"/>
          <w:szCs w:val="24"/>
          <w:highlight w:val="none"/>
        </w:rPr>
        <w:t>8.1.2</w:t>
      </w:r>
      <w:r>
        <w:rPr>
          <w:rFonts w:hint="eastAsia" w:eastAsiaTheme="minorEastAsia"/>
          <w:b/>
          <w:color w:val="auto"/>
          <w:w w:val="99"/>
          <w:kern w:val="2"/>
          <w:sz w:val="24"/>
          <w:szCs w:val="24"/>
          <w:highlight w:val="none"/>
        </w:rPr>
        <w:t>管理内容</w:t>
      </w:r>
    </w:p>
    <w:p w14:paraId="03C35556">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在项目建设期引入环境监理制度，推行环保监理和检查制度。由大庆油田有限责任公司采气分公司安全环保部对油</w:t>
      </w:r>
      <w:r>
        <w:rPr>
          <w:rFonts w:hint="eastAsia" w:ascii="Times New Roman" w:hAnsi="Times New Roman" w:cs="Times New Roman"/>
          <w:color w:val="auto"/>
          <w:w w:val="99"/>
          <w:kern w:val="0"/>
          <w:sz w:val="24"/>
          <w:szCs w:val="24"/>
          <w:highlight w:val="none"/>
          <w:lang w:val="en-US" w:eastAsia="zh-CN" w:bidi="zh-CN"/>
        </w:rPr>
        <w:t>气</w:t>
      </w:r>
      <w:r>
        <w:rPr>
          <w:rFonts w:hint="eastAsia" w:ascii="Times New Roman" w:hAnsi="Times New Roman" w:eastAsia="宋体" w:cs="Times New Roman"/>
          <w:color w:val="auto"/>
          <w:w w:val="99"/>
          <w:kern w:val="0"/>
          <w:sz w:val="24"/>
          <w:szCs w:val="24"/>
          <w:highlight w:val="none"/>
          <w:lang w:val="en-US" w:eastAsia="zh-CN" w:bidi="zh-CN"/>
        </w:rPr>
        <w:t>田建设环境保护工作进行全过程监控，对环境保护措施强制推行，控制施工阶段的环境污染和生态破坏。</w:t>
      </w:r>
    </w:p>
    <w:p w14:paraId="77AD68BB">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施工期除设置</w:t>
      </w:r>
      <w:r>
        <w:rPr>
          <w:rFonts w:hint="default" w:ascii="Times New Roman" w:hAnsi="Times New Roman" w:eastAsia="宋体" w:cs="Times New Roman"/>
          <w:color w:val="auto"/>
          <w:w w:val="99"/>
          <w:kern w:val="0"/>
          <w:sz w:val="24"/>
          <w:szCs w:val="24"/>
          <w:highlight w:val="none"/>
          <w:lang w:val="en-US" w:eastAsia="zh-CN" w:bidi="zh-CN"/>
        </w:rPr>
        <w:t>1名专职环保员外，还应根据施工现场实际情况，建立健全相应的二</w:t>
      </w:r>
      <w:r>
        <w:rPr>
          <w:rFonts w:hint="eastAsia" w:ascii="Times New Roman" w:hAnsi="Times New Roman" w:eastAsia="宋体" w:cs="Times New Roman"/>
          <w:color w:val="auto"/>
          <w:w w:val="99"/>
          <w:kern w:val="0"/>
          <w:sz w:val="24"/>
          <w:szCs w:val="24"/>
          <w:highlight w:val="none"/>
          <w:lang w:val="en-US" w:eastAsia="zh-CN" w:bidi="zh-CN"/>
        </w:rPr>
        <w:t>级</w:t>
      </w:r>
      <w:r>
        <w:rPr>
          <w:rFonts w:hint="default" w:ascii="Times New Roman" w:hAnsi="Times New Roman" w:eastAsia="宋体" w:cs="Times New Roman"/>
          <w:color w:val="auto"/>
          <w:w w:val="99"/>
          <w:kern w:val="0"/>
          <w:sz w:val="24"/>
          <w:szCs w:val="24"/>
          <w:highlight w:val="none"/>
          <w:lang w:val="en-US" w:eastAsia="zh-CN" w:bidi="zh-CN"/>
        </w:rPr>
        <w:t>HSE管理网络，在油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田已有HSE指挥部的基础上，分别配备数名HSE现场监督人员</w:t>
      </w:r>
      <w:r>
        <w:rPr>
          <w:rFonts w:hint="eastAsia" w:ascii="Times New Roman" w:hAnsi="Times New Roman" w:eastAsia="宋体" w:cs="Times New Roman"/>
          <w:color w:val="auto"/>
          <w:w w:val="99"/>
          <w:kern w:val="0"/>
          <w:sz w:val="24"/>
          <w:szCs w:val="24"/>
          <w:highlight w:val="none"/>
          <w:lang w:val="en-US" w:eastAsia="zh-CN" w:bidi="zh-CN"/>
        </w:rPr>
        <w:t>，分别配备协调员，实行逐级负责制，对施工期环境进行严格管理。</w:t>
      </w:r>
    </w:p>
    <w:p w14:paraId="79CAAFD8">
      <w:pPr>
        <w:pStyle w:val="7"/>
        <w:widowControl w:val="0"/>
        <w:spacing w:before="60" w:after="60" w:line="440" w:lineRule="exact"/>
        <w:jc w:val="both"/>
        <w:rPr>
          <w:rFonts w:eastAsiaTheme="minorEastAsia"/>
          <w:b/>
          <w:color w:val="auto"/>
          <w:w w:val="99"/>
          <w:kern w:val="2"/>
          <w:sz w:val="24"/>
          <w:szCs w:val="24"/>
          <w:highlight w:val="none"/>
        </w:rPr>
      </w:pPr>
      <w:r>
        <w:rPr>
          <w:rFonts w:eastAsiaTheme="minorEastAsia"/>
          <w:b/>
          <w:color w:val="auto"/>
          <w:w w:val="99"/>
          <w:kern w:val="2"/>
          <w:sz w:val="24"/>
          <w:szCs w:val="24"/>
          <w:highlight w:val="none"/>
        </w:rPr>
        <w:t>8.1.3规章制度</w:t>
      </w:r>
      <w:bookmarkEnd w:id="1142"/>
      <w:bookmarkEnd w:id="1143"/>
      <w:bookmarkEnd w:id="1144"/>
      <w:bookmarkEnd w:id="1145"/>
      <w:bookmarkEnd w:id="1146"/>
      <w:bookmarkEnd w:id="1147"/>
      <w:bookmarkEnd w:id="1148"/>
      <w:bookmarkEnd w:id="1149"/>
    </w:p>
    <w:p w14:paraId="0A22EE4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油田环保工作必须严格执行国家、黑龙江省的环保法律法规，同时还应制定相应的环境管理规章制度，环保法规及油田内部的各种环境管理规章制度应下发到相应人员，并组织有关人员学习和贯彻执行，以确保环境管理工作的顺利进行。相关法规和规章制度详见表8.1-1。</w:t>
      </w:r>
    </w:p>
    <w:p w14:paraId="791C3484">
      <w:pPr>
        <w:widowControl w:val="0"/>
        <w:spacing w:line="44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color w:val="auto"/>
          <w:w w:val="99"/>
          <w:kern w:val="21"/>
          <w:highlight w:val="none"/>
        </w:rPr>
        <w:t>表8.1-1    环保</w:t>
      </w:r>
      <w:r>
        <w:rPr>
          <w:rFonts w:ascii="Times New Roman" w:hAnsi="Times New Roman" w:cs="Times New Roman" w:eastAsiaTheme="minorEastAsia"/>
          <w:b/>
          <w:color w:val="auto"/>
          <w:w w:val="99"/>
          <w:szCs w:val="22"/>
          <w:highlight w:val="none"/>
        </w:rPr>
        <w:t>法规</w:t>
      </w:r>
      <w:r>
        <w:rPr>
          <w:rFonts w:ascii="Times New Roman" w:hAnsi="Times New Roman" w:cs="Times New Roman" w:eastAsiaTheme="minorEastAsia"/>
          <w:b/>
          <w:color w:val="auto"/>
          <w:w w:val="99"/>
          <w:kern w:val="21"/>
          <w:highlight w:val="none"/>
        </w:rPr>
        <w:t>和规章制度一览表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2168"/>
        <w:gridCol w:w="6443"/>
      </w:tblGrid>
      <w:tr w14:paraId="2084F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75" w:type="dxa"/>
            <w:tcMar>
              <w:top w:w="28" w:type="dxa"/>
              <w:bottom w:w="28" w:type="dxa"/>
            </w:tcMar>
            <w:vAlign w:val="center"/>
          </w:tcPr>
          <w:p w14:paraId="4A17AF87">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序号</w:t>
            </w:r>
          </w:p>
        </w:tc>
        <w:tc>
          <w:tcPr>
            <w:tcW w:w="2168" w:type="dxa"/>
            <w:tcMar>
              <w:top w:w="28" w:type="dxa"/>
              <w:bottom w:w="28" w:type="dxa"/>
            </w:tcMar>
            <w:vAlign w:val="center"/>
          </w:tcPr>
          <w:p w14:paraId="09B5A663">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规章名称</w:t>
            </w:r>
          </w:p>
        </w:tc>
        <w:tc>
          <w:tcPr>
            <w:tcW w:w="6444" w:type="dxa"/>
            <w:tcMar>
              <w:top w:w="28" w:type="dxa"/>
              <w:bottom w:w="28" w:type="dxa"/>
            </w:tcMar>
            <w:vAlign w:val="center"/>
          </w:tcPr>
          <w:p w14:paraId="18BCDD5D">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主要内容</w:t>
            </w:r>
          </w:p>
        </w:tc>
      </w:tr>
      <w:tr w14:paraId="69C30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5" w:type="dxa"/>
            <w:tcMar>
              <w:top w:w="28" w:type="dxa"/>
              <w:bottom w:w="28" w:type="dxa"/>
            </w:tcMar>
            <w:vAlign w:val="center"/>
          </w:tcPr>
          <w:p w14:paraId="2731CEF6">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w:t>
            </w:r>
          </w:p>
        </w:tc>
        <w:tc>
          <w:tcPr>
            <w:tcW w:w="2168" w:type="dxa"/>
            <w:tcMar>
              <w:top w:w="28" w:type="dxa"/>
              <w:bottom w:w="28" w:type="dxa"/>
            </w:tcMar>
            <w:vAlign w:val="center"/>
          </w:tcPr>
          <w:p w14:paraId="3CDD78D4">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国家、省市级的相关环保法律法规</w:t>
            </w:r>
          </w:p>
        </w:tc>
        <w:tc>
          <w:tcPr>
            <w:tcW w:w="6444" w:type="dxa"/>
            <w:tcMar>
              <w:top w:w="28" w:type="dxa"/>
              <w:bottom w:w="28" w:type="dxa"/>
            </w:tcMar>
            <w:vAlign w:val="center"/>
          </w:tcPr>
          <w:p w14:paraId="17711F1B">
            <w:pPr>
              <w:snapToGrid w:val="0"/>
              <w:spacing w:line="360" w:lineRule="exact"/>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国家、省市颁发的环境保护法律、法规。</w:t>
            </w:r>
          </w:p>
        </w:tc>
      </w:tr>
      <w:tr w14:paraId="72B09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5" w:type="dxa"/>
            <w:tcMar>
              <w:top w:w="28" w:type="dxa"/>
              <w:bottom w:w="28" w:type="dxa"/>
            </w:tcMar>
            <w:vAlign w:val="center"/>
          </w:tcPr>
          <w:p w14:paraId="7A6C2E7B">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w:t>
            </w:r>
          </w:p>
        </w:tc>
        <w:tc>
          <w:tcPr>
            <w:tcW w:w="2168" w:type="dxa"/>
            <w:tcMar>
              <w:top w:w="28" w:type="dxa"/>
              <w:bottom w:w="28" w:type="dxa"/>
            </w:tcMar>
            <w:vAlign w:val="center"/>
          </w:tcPr>
          <w:p w14:paraId="2340159A">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油田公司制定的相关环保法律法规</w:t>
            </w:r>
          </w:p>
        </w:tc>
        <w:tc>
          <w:tcPr>
            <w:tcW w:w="6444" w:type="dxa"/>
            <w:tcMar>
              <w:top w:w="28" w:type="dxa"/>
              <w:bottom w:w="28" w:type="dxa"/>
            </w:tcMar>
            <w:vAlign w:val="center"/>
          </w:tcPr>
          <w:p w14:paraId="6C898497">
            <w:pPr>
              <w:snapToGrid w:val="0"/>
              <w:spacing w:line="360" w:lineRule="exact"/>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油田公司的环境管理规定及环境管理规章制度（或环境保护条例及事故预案）。</w:t>
            </w:r>
          </w:p>
        </w:tc>
      </w:tr>
      <w:tr w14:paraId="71BD1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5" w:type="dxa"/>
            <w:tcMar>
              <w:top w:w="28" w:type="dxa"/>
              <w:bottom w:w="28" w:type="dxa"/>
            </w:tcMar>
            <w:vAlign w:val="center"/>
          </w:tcPr>
          <w:p w14:paraId="7BCECCB5">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3</w:t>
            </w:r>
          </w:p>
        </w:tc>
        <w:tc>
          <w:tcPr>
            <w:tcW w:w="2168" w:type="dxa"/>
            <w:tcMar>
              <w:top w:w="28" w:type="dxa"/>
              <w:bottom w:w="28" w:type="dxa"/>
            </w:tcMar>
            <w:vAlign w:val="center"/>
          </w:tcPr>
          <w:p w14:paraId="479031C4">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环保技术规程及标准</w:t>
            </w:r>
          </w:p>
        </w:tc>
        <w:tc>
          <w:tcPr>
            <w:tcW w:w="6444" w:type="dxa"/>
            <w:tcMar>
              <w:top w:w="28" w:type="dxa"/>
              <w:bottom w:w="28" w:type="dxa"/>
            </w:tcMar>
            <w:vAlign w:val="center"/>
          </w:tcPr>
          <w:p w14:paraId="01D20958">
            <w:pPr>
              <w:pStyle w:val="75"/>
              <w:snapToGrid w:val="0"/>
              <w:spacing w:line="360" w:lineRule="exact"/>
              <w:rPr>
                <w:rFonts w:eastAsiaTheme="minorEastAsia"/>
                <w:snapToGrid w:val="0"/>
                <w:color w:val="auto"/>
                <w:w w:val="99"/>
                <w:kern w:val="0"/>
                <w:szCs w:val="21"/>
                <w:highlight w:val="none"/>
              </w:rPr>
            </w:pPr>
            <w:r>
              <w:rPr>
                <w:rFonts w:eastAsiaTheme="minorEastAsia"/>
                <w:snapToGrid w:val="0"/>
                <w:color w:val="auto"/>
                <w:w w:val="99"/>
                <w:kern w:val="0"/>
                <w:szCs w:val="21"/>
                <w:highlight w:val="none"/>
              </w:rPr>
              <w:t>各级有关环境管理的技术规程、标准，主要包括：国家及省市颁布的相关污染物排放控制标准；油田公司及厂矿等各级单位制定的生产工艺、设备的环境技术管理规程，环境保护设备的操作规程等。</w:t>
            </w:r>
          </w:p>
        </w:tc>
      </w:tr>
      <w:tr w14:paraId="5FBCF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5" w:type="dxa"/>
            <w:tcMar>
              <w:top w:w="28" w:type="dxa"/>
              <w:bottom w:w="28" w:type="dxa"/>
            </w:tcMar>
            <w:vAlign w:val="center"/>
          </w:tcPr>
          <w:p w14:paraId="7F809DB3">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4</w:t>
            </w:r>
          </w:p>
        </w:tc>
        <w:tc>
          <w:tcPr>
            <w:tcW w:w="2168" w:type="dxa"/>
            <w:tcMar>
              <w:top w:w="28" w:type="dxa"/>
              <w:bottom w:w="28" w:type="dxa"/>
            </w:tcMar>
            <w:vAlign w:val="center"/>
          </w:tcPr>
          <w:p w14:paraId="042ED1BE">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环境保护责任制</w:t>
            </w:r>
          </w:p>
        </w:tc>
        <w:tc>
          <w:tcPr>
            <w:tcW w:w="6444" w:type="dxa"/>
            <w:tcMar>
              <w:top w:w="28" w:type="dxa"/>
              <w:bottom w:w="28" w:type="dxa"/>
            </w:tcMar>
            <w:vAlign w:val="center"/>
          </w:tcPr>
          <w:p w14:paraId="1331274A">
            <w:pPr>
              <w:snapToGrid w:val="0"/>
              <w:spacing w:line="360" w:lineRule="exact"/>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公司各类人员环境保护工作范围，应负的责任以及相应的权力。</w:t>
            </w:r>
          </w:p>
        </w:tc>
      </w:tr>
      <w:tr w14:paraId="0F0AA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5" w:type="dxa"/>
            <w:tcMar>
              <w:top w:w="28" w:type="dxa"/>
              <w:bottom w:w="28" w:type="dxa"/>
            </w:tcMar>
            <w:vAlign w:val="center"/>
          </w:tcPr>
          <w:p w14:paraId="70512E41">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5</w:t>
            </w:r>
          </w:p>
        </w:tc>
        <w:tc>
          <w:tcPr>
            <w:tcW w:w="2168" w:type="dxa"/>
            <w:tcMar>
              <w:top w:w="28" w:type="dxa"/>
              <w:bottom w:w="28" w:type="dxa"/>
            </w:tcMar>
            <w:vAlign w:val="center"/>
          </w:tcPr>
          <w:p w14:paraId="75686068">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三废管理制度</w:t>
            </w:r>
          </w:p>
        </w:tc>
        <w:tc>
          <w:tcPr>
            <w:tcW w:w="6444" w:type="dxa"/>
            <w:tcMar>
              <w:top w:w="28" w:type="dxa"/>
              <w:bottom w:w="28" w:type="dxa"/>
            </w:tcMar>
            <w:vAlign w:val="center"/>
          </w:tcPr>
          <w:p w14:paraId="40476C18">
            <w:pPr>
              <w:snapToGrid w:val="0"/>
              <w:spacing w:line="360" w:lineRule="exact"/>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包括油</w:t>
            </w:r>
            <w:r>
              <w:rPr>
                <w:rFonts w:hint="eastAsia" w:ascii="Times New Roman" w:hAnsi="Times New Roman" w:cs="Times New Roman" w:eastAsiaTheme="minorEastAsia"/>
                <w:snapToGrid w:val="0"/>
                <w:color w:val="auto"/>
                <w:w w:val="99"/>
                <w:sz w:val="21"/>
                <w:szCs w:val="21"/>
                <w:highlight w:val="none"/>
                <w:lang w:val="en-US" w:eastAsia="zh-CN"/>
              </w:rPr>
              <w:t>气</w:t>
            </w:r>
            <w:r>
              <w:rPr>
                <w:rFonts w:ascii="Times New Roman" w:hAnsi="Times New Roman" w:cs="Times New Roman" w:eastAsiaTheme="minorEastAsia"/>
                <w:snapToGrid w:val="0"/>
                <w:color w:val="auto"/>
                <w:w w:val="99"/>
                <w:sz w:val="21"/>
                <w:szCs w:val="21"/>
                <w:highlight w:val="none"/>
              </w:rPr>
              <w:t>田开发建设期及生产运营期废水、废气、废渣及噪声等方面的管理制度：在油</w:t>
            </w:r>
            <w:r>
              <w:rPr>
                <w:rFonts w:hint="eastAsia" w:ascii="Times New Roman" w:hAnsi="Times New Roman" w:cs="Times New Roman" w:eastAsiaTheme="minorEastAsia"/>
                <w:snapToGrid w:val="0"/>
                <w:color w:val="auto"/>
                <w:w w:val="99"/>
                <w:sz w:val="21"/>
                <w:szCs w:val="21"/>
                <w:highlight w:val="none"/>
                <w:lang w:val="en-US" w:eastAsia="zh-CN"/>
              </w:rPr>
              <w:t>气</w:t>
            </w:r>
            <w:r>
              <w:rPr>
                <w:rFonts w:ascii="Times New Roman" w:hAnsi="Times New Roman" w:cs="Times New Roman" w:eastAsiaTheme="minorEastAsia"/>
                <w:snapToGrid w:val="0"/>
                <w:color w:val="auto"/>
                <w:w w:val="99"/>
                <w:sz w:val="21"/>
                <w:szCs w:val="21"/>
                <w:highlight w:val="none"/>
              </w:rPr>
              <w:t>田投入正常生产过程后，</w:t>
            </w:r>
            <w:r>
              <w:rPr>
                <w:rFonts w:hint="eastAsia" w:ascii="Times New Roman" w:hAnsi="Times New Roman" w:cs="Times New Roman" w:eastAsiaTheme="minorEastAsia"/>
                <w:snapToGrid w:val="0"/>
                <w:color w:val="auto"/>
                <w:w w:val="99"/>
                <w:sz w:val="21"/>
                <w:szCs w:val="21"/>
                <w:highlight w:val="none"/>
                <w:lang w:val="en-US" w:eastAsia="zh-CN"/>
              </w:rPr>
              <w:t>三废</w:t>
            </w:r>
            <w:r>
              <w:rPr>
                <w:rFonts w:ascii="Times New Roman" w:hAnsi="Times New Roman" w:cs="Times New Roman" w:eastAsiaTheme="minorEastAsia"/>
                <w:snapToGrid w:val="0"/>
                <w:color w:val="auto"/>
                <w:w w:val="99"/>
                <w:sz w:val="21"/>
                <w:szCs w:val="21"/>
                <w:highlight w:val="none"/>
              </w:rPr>
              <w:t>的管理制度。</w:t>
            </w:r>
          </w:p>
        </w:tc>
      </w:tr>
      <w:tr w14:paraId="39579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5" w:type="dxa"/>
            <w:tcMar>
              <w:top w:w="28" w:type="dxa"/>
              <w:bottom w:w="28" w:type="dxa"/>
            </w:tcMar>
            <w:vAlign w:val="center"/>
          </w:tcPr>
          <w:p w14:paraId="26C3820A">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6</w:t>
            </w:r>
          </w:p>
        </w:tc>
        <w:tc>
          <w:tcPr>
            <w:tcW w:w="2168" w:type="dxa"/>
            <w:tcMar>
              <w:top w:w="28" w:type="dxa"/>
              <w:bottom w:w="28" w:type="dxa"/>
            </w:tcMar>
            <w:vAlign w:val="center"/>
          </w:tcPr>
          <w:p w14:paraId="356078A6">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生态保护管理制度</w:t>
            </w:r>
          </w:p>
        </w:tc>
        <w:tc>
          <w:tcPr>
            <w:tcW w:w="6444" w:type="dxa"/>
            <w:tcMar>
              <w:top w:w="28" w:type="dxa"/>
              <w:bottom w:w="28" w:type="dxa"/>
            </w:tcMar>
            <w:vAlign w:val="center"/>
          </w:tcPr>
          <w:p w14:paraId="510148ED">
            <w:pPr>
              <w:pStyle w:val="75"/>
              <w:snapToGrid w:val="0"/>
              <w:spacing w:line="360" w:lineRule="exact"/>
              <w:rPr>
                <w:rFonts w:eastAsiaTheme="minorEastAsia"/>
                <w:snapToGrid w:val="0"/>
                <w:color w:val="auto"/>
                <w:w w:val="99"/>
                <w:kern w:val="0"/>
                <w:szCs w:val="21"/>
                <w:highlight w:val="none"/>
              </w:rPr>
            </w:pPr>
            <w:r>
              <w:rPr>
                <w:rFonts w:eastAsiaTheme="minorEastAsia"/>
                <w:snapToGrid w:val="0"/>
                <w:color w:val="auto"/>
                <w:w w:val="99"/>
                <w:kern w:val="0"/>
                <w:szCs w:val="21"/>
                <w:highlight w:val="none"/>
              </w:rPr>
              <w:t>主要包括油</w:t>
            </w:r>
            <w:r>
              <w:rPr>
                <w:rFonts w:hint="eastAsia" w:eastAsiaTheme="minorEastAsia"/>
                <w:snapToGrid w:val="0"/>
                <w:color w:val="auto"/>
                <w:w w:val="99"/>
                <w:kern w:val="0"/>
                <w:szCs w:val="21"/>
                <w:highlight w:val="none"/>
                <w:lang w:val="en-US" w:eastAsia="zh-CN"/>
              </w:rPr>
              <w:t>气</w:t>
            </w:r>
            <w:r>
              <w:rPr>
                <w:rFonts w:eastAsiaTheme="minorEastAsia"/>
                <w:snapToGrid w:val="0"/>
                <w:color w:val="auto"/>
                <w:w w:val="99"/>
                <w:kern w:val="0"/>
                <w:szCs w:val="21"/>
                <w:highlight w:val="none"/>
              </w:rPr>
              <w:t>田建设期井场、场站。道路和管道的建设过程对区域内生态环境产生的影响后所做出的恢复计划及生态补偿措施等；在油</w:t>
            </w:r>
            <w:r>
              <w:rPr>
                <w:rFonts w:hint="eastAsia" w:eastAsiaTheme="minorEastAsia"/>
                <w:snapToGrid w:val="0"/>
                <w:color w:val="auto"/>
                <w:w w:val="99"/>
                <w:kern w:val="0"/>
                <w:szCs w:val="21"/>
                <w:highlight w:val="none"/>
                <w:lang w:val="en-US" w:eastAsia="zh-CN"/>
              </w:rPr>
              <w:t>气</w:t>
            </w:r>
            <w:r>
              <w:rPr>
                <w:rFonts w:eastAsiaTheme="minorEastAsia"/>
                <w:snapToGrid w:val="0"/>
                <w:color w:val="auto"/>
                <w:w w:val="99"/>
                <w:kern w:val="0"/>
                <w:szCs w:val="21"/>
                <w:highlight w:val="none"/>
              </w:rPr>
              <w:t>田进入正常生产运营期后，生态保护制度主要包括油</w:t>
            </w:r>
            <w:r>
              <w:rPr>
                <w:rFonts w:hint="eastAsia" w:eastAsiaTheme="minorEastAsia"/>
                <w:snapToGrid w:val="0"/>
                <w:color w:val="auto"/>
                <w:w w:val="99"/>
                <w:kern w:val="0"/>
                <w:szCs w:val="21"/>
                <w:highlight w:val="none"/>
                <w:lang w:val="en-US" w:eastAsia="zh-CN"/>
              </w:rPr>
              <w:t>气</w:t>
            </w:r>
            <w:r>
              <w:rPr>
                <w:rFonts w:eastAsiaTheme="minorEastAsia"/>
                <w:snapToGrid w:val="0"/>
                <w:color w:val="auto"/>
                <w:w w:val="99"/>
                <w:kern w:val="0"/>
                <w:szCs w:val="21"/>
                <w:highlight w:val="none"/>
              </w:rPr>
              <w:t>田生产过程中所进行的</w:t>
            </w:r>
            <w:r>
              <w:rPr>
                <w:rFonts w:hint="eastAsia" w:eastAsiaTheme="minorEastAsia"/>
                <w:snapToGrid w:val="0"/>
                <w:color w:val="auto"/>
                <w:w w:val="99"/>
                <w:kern w:val="0"/>
                <w:szCs w:val="21"/>
                <w:highlight w:val="none"/>
                <w:lang w:eastAsia="zh-CN"/>
              </w:rPr>
              <w:t>采气井</w:t>
            </w:r>
            <w:r>
              <w:rPr>
                <w:rFonts w:eastAsiaTheme="minorEastAsia"/>
                <w:snapToGrid w:val="0"/>
                <w:color w:val="auto"/>
                <w:w w:val="99"/>
                <w:kern w:val="0"/>
                <w:szCs w:val="21"/>
                <w:highlight w:val="none"/>
              </w:rPr>
              <w:t>作业过程，同时包括在生产过程中对于一些突发事故可能对周围生态环境产生的影响而制定的生态恢复计划和补偿措施等内容。</w:t>
            </w:r>
          </w:p>
        </w:tc>
      </w:tr>
      <w:tr w14:paraId="44EEE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5" w:type="dxa"/>
            <w:tcMar>
              <w:top w:w="28" w:type="dxa"/>
              <w:bottom w:w="28" w:type="dxa"/>
            </w:tcMar>
            <w:vAlign w:val="center"/>
          </w:tcPr>
          <w:p w14:paraId="70497C5F">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7</w:t>
            </w:r>
          </w:p>
        </w:tc>
        <w:tc>
          <w:tcPr>
            <w:tcW w:w="2168" w:type="dxa"/>
            <w:tcMar>
              <w:top w:w="28" w:type="dxa"/>
              <w:bottom w:w="28" w:type="dxa"/>
            </w:tcMar>
            <w:vAlign w:val="center"/>
          </w:tcPr>
          <w:p w14:paraId="4E353562">
            <w:pPr>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事故管理预案</w:t>
            </w:r>
          </w:p>
        </w:tc>
        <w:tc>
          <w:tcPr>
            <w:tcW w:w="6444" w:type="dxa"/>
            <w:tcMar>
              <w:top w:w="28" w:type="dxa"/>
              <w:bottom w:w="28" w:type="dxa"/>
            </w:tcMar>
            <w:vAlign w:val="center"/>
          </w:tcPr>
          <w:p w14:paraId="6A4DC797">
            <w:pPr>
              <w:snapToGrid w:val="0"/>
              <w:spacing w:line="360" w:lineRule="exact"/>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明确油</w:t>
            </w:r>
            <w:r>
              <w:rPr>
                <w:rFonts w:hint="eastAsia" w:ascii="Times New Roman" w:hAnsi="Times New Roman" w:cs="Times New Roman" w:eastAsiaTheme="minorEastAsia"/>
                <w:snapToGrid w:val="0"/>
                <w:color w:val="auto"/>
                <w:w w:val="99"/>
                <w:sz w:val="21"/>
                <w:szCs w:val="21"/>
                <w:highlight w:val="none"/>
                <w:lang w:val="en-US" w:eastAsia="zh-CN"/>
              </w:rPr>
              <w:t>气</w:t>
            </w:r>
            <w:r>
              <w:rPr>
                <w:rFonts w:ascii="Times New Roman" w:hAnsi="Times New Roman" w:cs="Times New Roman" w:eastAsiaTheme="minorEastAsia"/>
                <w:snapToGrid w:val="0"/>
                <w:color w:val="auto"/>
                <w:w w:val="99"/>
                <w:sz w:val="21"/>
                <w:szCs w:val="21"/>
                <w:highlight w:val="none"/>
              </w:rPr>
              <w:t>田开发建设过程中的诸如</w:t>
            </w:r>
            <w:r>
              <w:rPr>
                <w:rFonts w:hint="eastAsia" w:ascii="Times New Roman" w:hAnsi="Times New Roman" w:cs="Times New Roman" w:eastAsiaTheme="minorEastAsia"/>
                <w:snapToGrid w:val="0"/>
                <w:color w:val="auto"/>
                <w:w w:val="99"/>
                <w:sz w:val="21"/>
                <w:szCs w:val="21"/>
                <w:highlight w:val="none"/>
                <w:lang w:eastAsia="zh-CN"/>
              </w:rPr>
              <w:t>采气井</w:t>
            </w:r>
            <w:r>
              <w:rPr>
                <w:rFonts w:ascii="Times New Roman" w:hAnsi="Times New Roman" w:cs="Times New Roman" w:eastAsiaTheme="minorEastAsia"/>
                <w:snapToGrid w:val="0"/>
                <w:color w:val="auto"/>
                <w:w w:val="99"/>
                <w:sz w:val="21"/>
                <w:szCs w:val="21"/>
                <w:highlight w:val="none"/>
              </w:rPr>
              <w:t>作业、集油管道所可能存在的突发事故的预防管理措施。</w:t>
            </w:r>
          </w:p>
        </w:tc>
      </w:tr>
    </w:tbl>
    <w:p w14:paraId="1C3934C1">
      <w:pPr>
        <w:pStyle w:val="7"/>
        <w:widowControl w:val="0"/>
        <w:spacing w:before="60" w:after="60" w:line="440" w:lineRule="exact"/>
        <w:jc w:val="both"/>
        <w:rPr>
          <w:rFonts w:eastAsiaTheme="minorEastAsia"/>
          <w:b/>
          <w:color w:val="auto"/>
          <w:w w:val="99"/>
          <w:kern w:val="2"/>
          <w:sz w:val="24"/>
          <w:szCs w:val="24"/>
          <w:highlight w:val="none"/>
        </w:rPr>
      </w:pPr>
      <w:bookmarkStart w:id="1150" w:name="_Toc131167397"/>
      <w:bookmarkStart w:id="1151" w:name="_Toc84929340"/>
      <w:bookmarkStart w:id="1152" w:name="_Toc126863496"/>
      <w:bookmarkStart w:id="1153" w:name="_Toc143099684"/>
      <w:bookmarkStart w:id="1154" w:name="_Toc186444396"/>
      <w:bookmarkStart w:id="1155" w:name="_Toc85640864"/>
      <w:bookmarkStart w:id="1156" w:name="_Toc86142039"/>
      <w:bookmarkStart w:id="1157" w:name="_Toc127192445"/>
      <w:r>
        <w:rPr>
          <w:rFonts w:eastAsiaTheme="minorEastAsia"/>
          <w:b/>
          <w:color w:val="auto"/>
          <w:w w:val="99"/>
          <w:kern w:val="2"/>
          <w:sz w:val="24"/>
          <w:szCs w:val="24"/>
          <w:highlight w:val="none"/>
        </w:rPr>
        <w:t>8.1.4管理措施</w:t>
      </w:r>
      <w:bookmarkEnd w:id="1150"/>
      <w:bookmarkEnd w:id="1151"/>
      <w:bookmarkEnd w:id="1152"/>
      <w:bookmarkEnd w:id="1153"/>
      <w:bookmarkEnd w:id="1154"/>
      <w:bookmarkEnd w:id="1155"/>
      <w:bookmarkEnd w:id="1156"/>
      <w:bookmarkEnd w:id="1157"/>
    </w:p>
    <w:p w14:paraId="59A9901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（1）最高领导层将HSE管理放在与企业生产和经营管理同等重要的位置上；</w:t>
      </w:r>
    </w:p>
    <w:p w14:paraId="590A13E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（2）公司员工时刻将HSE责任放在心中；</w:t>
      </w:r>
    </w:p>
    <w:p w14:paraId="72AB6D2C">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（3）制定和落实一岗一责制；</w:t>
      </w:r>
    </w:p>
    <w:p w14:paraId="3588176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（4）加强生产技术及HSE教育和培训；</w:t>
      </w:r>
    </w:p>
    <w:p w14:paraId="40F6FCAC">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（5）做好现场审核和整改；</w:t>
      </w:r>
    </w:p>
    <w:p w14:paraId="128E55A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（6）奖优罚劣，持续改进HSE表现。</w:t>
      </w:r>
    </w:p>
    <w:p w14:paraId="7979B027">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158" w:name="_Toc173163562"/>
      <w:bookmarkStart w:id="1159" w:name="_Toc20907"/>
      <w:r>
        <w:rPr>
          <w:rFonts w:ascii="Times New Roman" w:hAnsi="Times New Roman" w:eastAsiaTheme="minorEastAsia"/>
          <w:b/>
          <w:snapToGrid w:val="0"/>
          <w:color w:val="auto"/>
          <w:w w:val="99"/>
          <w:highlight w:val="none"/>
        </w:rPr>
        <w:t>8.2环境监控</w:t>
      </w:r>
      <w:bookmarkEnd w:id="1158"/>
      <w:bookmarkEnd w:id="1159"/>
    </w:p>
    <w:p w14:paraId="4C67ADFF">
      <w:pPr>
        <w:pStyle w:val="7"/>
        <w:widowControl w:val="0"/>
        <w:spacing w:before="60" w:after="60" w:line="440" w:lineRule="exact"/>
        <w:jc w:val="both"/>
        <w:rPr>
          <w:rFonts w:eastAsiaTheme="minorEastAsia"/>
          <w:b/>
          <w:color w:val="auto"/>
          <w:w w:val="99"/>
          <w:kern w:val="2"/>
          <w:sz w:val="24"/>
          <w:szCs w:val="24"/>
          <w:highlight w:val="none"/>
        </w:rPr>
      </w:pPr>
      <w:bookmarkStart w:id="1160" w:name="_Toc86142041"/>
      <w:bookmarkStart w:id="1161" w:name="_Toc186444398"/>
      <w:bookmarkStart w:id="1162" w:name="_Toc143099686"/>
      <w:bookmarkStart w:id="1163" w:name="_Toc126863498"/>
      <w:bookmarkStart w:id="1164" w:name="_Toc85640866"/>
      <w:bookmarkStart w:id="1165" w:name="_Toc127192447"/>
      <w:bookmarkStart w:id="1166" w:name="_Toc131167399"/>
      <w:bookmarkStart w:id="1167" w:name="_Toc84929342"/>
      <w:r>
        <w:rPr>
          <w:rFonts w:eastAsiaTheme="minorEastAsia"/>
          <w:b/>
          <w:color w:val="auto"/>
          <w:w w:val="99"/>
          <w:kern w:val="2"/>
          <w:sz w:val="24"/>
          <w:szCs w:val="24"/>
          <w:highlight w:val="none"/>
        </w:rPr>
        <w:t>8.2.1环境监控实施计划</w:t>
      </w:r>
      <w:bookmarkEnd w:id="1160"/>
      <w:bookmarkEnd w:id="1161"/>
      <w:bookmarkEnd w:id="1162"/>
      <w:bookmarkEnd w:id="1163"/>
      <w:bookmarkEnd w:id="1164"/>
      <w:bookmarkEnd w:id="1165"/>
      <w:bookmarkEnd w:id="1166"/>
      <w:bookmarkEnd w:id="1167"/>
    </w:p>
    <w:p w14:paraId="408AE3C8">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本项目由</w:t>
      </w:r>
      <w:r>
        <w:rPr>
          <w:rFonts w:hint="eastAsia" w:ascii="Times New Roman" w:hAnsi="Times New Roman" w:eastAsia="宋体" w:cs="Times New Roman"/>
          <w:color w:val="auto"/>
          <w:w w:val="99"/>
          <w:kern w:val="0"/>
          <w:sz w:val="24"/>
          <w:szCs w:val="24"/>
          <w:highlight w:val="none"/>
          <w:lang w:val="en-US" w:eastAsia="zh-CN" w:bidi="zh-CN"/>
        </w:rPr>
        <w:t>采气分公司</w:t>
      </w:r>
      <w:r>
        <w:rPr>
          <w:rFonts w:hint="default" w:ascii="Times New Roman" w:hAnsi="Times New Roman" w:eastAsia="宋体" w:cs="Times New Roman"/>
          <w:color w:val="auto"/>
          <w:w w:val="99"/>
          <w:kern w:val="0"/>
          <w:sz w:val="24"/>
          <w:szCs w:val="24"/>
          <w:highlight w:val="none"/>
          <w:lang w:val="en-US" w:eastAsia="zh-CN" w:bidi="zh-CN"/>
        </w:rPr>
        <w:t>安全环保部对油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建设环境保护工作进行全过程监控，对环境保护措施强制推行，以加强设计和施工阶段的环境管理，控制施工阶段的环境污染和生态破坏；同时在日常生产管理过程中对相应的环境管理机构、人员及环境管理制度必须切实落实和执行。尤其在建设施工期，除设置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田专职环保员一名外，还应根据现场实际情况，建立健全相应的二级HSE管理网络，在油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田已有HSE指挥部的基础上，分别配备数名HS</w:t>
      </w:r>
      <w:r>
        <w:rPr>
          <w:rFonts w:hint="eastAsia" w:ascii="Times New Roman" w:hAnsi="Times New Roman" w:cs="Times New Roman"/>
          <w:color w:val="auto"/>
          <w:w w:val="99"/>
          <w:kern w:val="0"/>
          <w:sz w:val="24"/>
          <w:szCs w:val="24"/>
          <w:highlight w:val="none"/>
          <w:lang w:val="en-US" w:eastAsia="zh-CN" w:bidi="zh-CN"/>
        </w:rPr>
        <w:t>E</w:t>
      </w:r>
      <w:r>
        <w:rPr>
          <w:rFonts w:hint="default" w:ascii="Times New Roman" w:hAnsi="Times New Roman" w:eastAsia="宋体" w:cs="Times New Roman"/>
          <w:color w:val="auto"/>
          <w:w w:val="99"/>
          <w:kern w:val="0"/>
          <w:sz w:val="24"/>
          <w:szCs w:val="24"/>
          <w:highlight w:val="none"/>
          <w:lang w:val="en-US" w:eastAsia="zh-CN" w:bidi="zh-CN"/>
        </w:rPr>
        <w:t>现场监督人员</w:t>
      </w:r>
      <w:r>
        <w:rPr>
          <w:rFonts w:hint="eastAsia" w:ascii="Times New Roman" w:hAnsi="Times New Roman"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协调员，实行逐级负责制。</w:t>
      </w:r>
    </w:p>
    <w:p w14:paraId="2B5148D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HSE机构在环境管理上的主要任务包括；负责制定本油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田施工作业的环境管理方案，制定发生事故的应急计划，监督各项环保措施的落实及环保工程的检查和预验收，负责协调与地方环保、水利、土地等部门的关系以及负责有关环保文件、技术资料的收集建档等。</w:t>
      </w:r>
    </w:p>
    <w:p w14:paraId="68637FF8">
      <w:pPr>
        <w:pStyle w:val="7"/>
        <w:widowControl w:val="0"/>
        <w:spacing w:before="60" w:after="60" w:line="440" w:lineRule="exact"/>
        <w:jc w:val="both"/>
        <w:rPr>
          <w:rFonts w:eastAsiaTheme="minorEastAsia"/>
          <w:b/>
          <w:color w:val="auto"/>
          <w:w w:val="99"/>
          <w:kern w:val="2"/>
          <w:sz w:val="24"/>
          <w:szCs w:val="24"/>
          <w:highlight w:val="none"/>
        </w:rPr>
      </w:pPr>
      <w:bookmarkStart w:id="1168" w:name="_Toc143099687"/>
      <w:bookmarkStart w:id="1169" w:name="_Toc131167400"/>
      <w:bookmarkStart w:id="1170" w:name="_Toc186444399"/>
      <w:bookmarkStart w:id="1171" w:name="_Toc85640867"/>
      <w:bookmarkStart w:id="1172" w:name="_Toc126863499"/>
      <w:bookmarkStart w:id="1173" w:name="_Toc86142042"/>
      <w:bookmarkStart w:id="1174" w:name="_Toc84929343"/>
      <w:bookmarkStart w:id="1175" w:name="_Toc127192448"/>
      <w:r>
        <w:rPr>
          <w:rFonts w:eastAsiaTheme="minorEastAsia"/>
          <w:b/>
          <w:color w:val="auto"/>
          <w:w w:val="99"/>
          <w:kern w:val="2"/>
          <w:sz w:val="24"/>
          <w:szCs w:val="24"/>
          <w:highlight w:val="none"/>
        </w:rPr>
        <w:t>8.2.2环境管理工作的重点</w:t>
      </w:r>
      <w:bookmarkEnd w:id="1168"/>
      <w:bookmarkEnd w:id="1169"/>
      <w:bookmarkEnd w:id="1170"/>
      <w:bookmarkEnd w:id="1171"/>
      <w:bookmarkEnd w:id="1172"/>
      <w:bookmarkEnd w:id="1173"/>
      <w:bookmarkEnd w:id="1174"/>
      <w:bookmarkEnd w:id="1175"/>
    </w:p>
    <w:p w14:paraId="52156FC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工程投产运行后，环境管理工作由</w:t>
      </w:r>
      <w:r>
        <w:rPr>
          <w:rFonts w:hint="eastAsia" w:ascii="Times New Roman" w:hAnsi="Times New Roman" w:eastAsia="宋体" w:cs="Times New Roman"/>
          <w:color w:val="auto"/>
          <w:w w:val="99"/>
          <w:kern w:val="0"/>
          <w:sz w:val="24"/>
          <w:szCs w:val="24"/>
          <w:highlight w:val="none"/>
          <w:lang w:val="en-US" w:eastAsia="zh-CN" w:bidi="zh-CN"/>
        </w:rPr>
        <w:t>采气分公司</w:t>
      </w:r>
      <w:r>
        <w:rPr>
          <w:rFonts w:hint="default" w:ascii="Times New Roman" w:hAnsi="Times New Roman" w:eastAsia="宋体" w:cs="Times New Roman"/>
          <w:color w:val="auto"/>
          <w:w w:val="99"/>
          <w:kern w:val="0"/>
          <w:sz w:val="24"/>
          <w:szCs w:val="24"/>
          <w:highlight w:val="none"/>
          <w:lang w:val="en-US" w:eastAsia="zh-CN" w:bidi="zh-CN"/>
        </w:rPr>
        <w:t>安全环保部负责，在天然气生产运营期，环境管理除抓好日常站场各种环保设施的运行、维护等工作外，工作重点应针对天然气集输生产和管理情况及气井作业过程管理、场站事故等事故的预防和处理上。为此，必须制定相应的事故预防措施、事故应急措施以及恢复补偿措施等。正常天然气开采过程中的检查重点为气井及采气管道。采气管道的监控内容为管道运营是否正常，是否有穿孔等潜在危害存在，以杜绝天然气泄漏。</w:t>
      </w:r>
    </w:p>
    <w:p w14:paraId="1A2D1142">
      <w:pPr>
        <w:pStyle w:val="7"/>
        <w:widowControl w:val="0"/>
        <w:spacing w:before="60" w:after="60" w:line="440" w:lineRule="exact"/>
        <w:jc w:val="both"/>
        <w:rPr>
          <w:rFonts w:eastAsiaTheme="minorEastAsia"/>
          <w:b/>
          <w:color w:val="auto"/>
          <w:w w:val="99"/>
          <w:kern w:val="2"/>
          <w:sz w:val="24"/>
          <w:szCs w:val="24"/>
          <w:highlight w:val="none"/>
        </w:rPr>
      </w:pPr>
      <w:bookmarkStart w:id="1176" w:name="_Toc131167401"/>
      <w:bookmarkStart w:id="1177" w:name="_Toc84929344"/>
      <w:bookmarkStart w:id="1178" w:name="_Toc186444400"/>
      <w:bookmarkStart w:id="1179" w:name="_Toc127192449"/>
      <w:bookmarkStart w:id="1180" w:name="_Toc86142043"/>
      <w:bookmarkStart w:id="1181" w:name="_Toc143099688"/>
      <w:bookmarkStart w:id="1182" w:name="_Toc85640868"/>
      <w:bookmarkStart w:id="1183" w:name="_Toc126863500"/>
      <w:r>
        <w:rPr>
          <w:rFonts w:eastAsiaTheme="minorEastAsia"/>
          <w:b/>
          <w:color w:val="auto"/>
          <w:w w:val="99"/>
          <w:kern w:val="2"/>
          <w:sz w:val="24"/>
          <w:szCs w:val="24"/>
          <w:highlight w:val="none"/>
        </w:rPr>
        <w:t>8.2.3环境管理人员的基本职责</w:t>
      </w:r>
      <w:bookmarkEnd w:id="1176"/>
      <w:bookmarkEnd w:id="1177"/>
      <w:bookmarkEnd w:id="1178"/>
      <w:bookmarkEnd w:id="1179"/>
      <w:bookmarkEnd w:id="1180"/>
      <w:bookmarkEnd w:id="1181"/>
      <w:bookmarkEnd w:id="1182"/>
      <w:bookmarkEnd w:id="1183"/>
    </w:p>
    <w:p w14:paraId="4DFBD60F">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（1）协助有关生态环境部门进行环境保护设施的竣工验收工作；</w:t>
      </w:r>
    </w:p>
    <w:p w14:paraId="514FE96C">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（2）定期进行环保安全检查和召开有关会议；</w:t>
      </w:r>
    </w:p>
    <w:p w14:paraId="01BAA44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（3）对领导和职工特别是兼职环保人员进行环保安全方面的培训；</w:t>
      </w:r>
    </w:p>
    <w:p w14:paraId="703C518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（4）制定各种可能发生事故的应急计划，定期进行演练；配备各种必要的维护、抢修器材和设备，保证在发生事故时能及时到位；</w:t>
      </w:r>
    </w:p>
    <w:p w14:paraId="5510111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（5）主管环保的人员应参加生产调度和管理工作会议，针对生产运行中存在的环境问题，向公司领导和生产部门提出建议和技术处理措施。</w:t>
      </w:r>
    </w:p>
    <w:p w14:paraId="646D867C">
      <w:pPr>
        <w:pStyle w:val="7"/>
        <w:widowControl w:val="0"/>
        <w:spacing w:before="60" w:after="60" w:line="440" w:lineRule="exact"/>
        <w:jc w:val="both"/>
        <w:rPr>
          <w:rFonts w:eastAsiaTheme="minorEastAsia"/>
          <w:b/>
          <w:color w:val="auto"/>
          <w:w w:val="99"/>
          <w:kern w:val="2"/>
          <w:sz w:val="24"/>
          <w:szCs w:val="24"/>
          <w:highlight w:val="none"/>
        </w:rPr>
      </w:pPr>
      <w:bookmarkStart w:id="1184" w:name="_Toc131167402"/>
      <w:bookmarkStart w:id="1185" w:name="_Toc186444401"/>
      <w:bookmarkStart w:id="1186" w:name="_Toc127192450"/>
      <w:bookmarkStart w:id="1187" w:name="_Toc85640869"/>
      <w:bookmarkStart w:id="1188" w:name="_Toc86142044"/>
      <w:bookmarkStart w:id="1189" w:name="_Toc126863501"/>
      <w:bookmarkStart w:id="1190" w:name="_Toc84929345"/>
      <w:bookmarkStart w:id="1191" w:name="_Toc143099689"/>
      <w:r>
        <w:rPr>
          <w:rFonts w:eastAsiaTheme="minorEastAsia"/>
          <w:b/>
          <w:color w:val="auto"/>
          <w:w w:val="99"/>
          <w:kern w:val="2"/>
          <w:sz w:val="24"/>
          <w:szCs w:val="24"/>
          <w:highlight w:val="none"/>
        </w:rPr>
        <w:t>8.2.4环境监控基本内容</w:t>
      </w:r>
      <w:bookmarkEnd w:id="1184"/>
      <w:bookmarkEnd w:id="1185"/>
      <w:bookmarkEnd w:id="1186"/>
      <w:bookmarkEnd w:id="1187"/>
      <w:bookmarkEnd w:id="1188"/>
      <w:bookmarkEnd w:id="1189"/>
      <w:bookmarkEnd w:id="1190"/>
      <w:bookmarkEnd w:id="1191"/>
    </w:p>
    <w:p w14:paraId="7B7A4CA2">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为了</w:t>
      </w:r>
      <w:r>
        <w:rPr>
          <w:rFonts w:hint="eastAsia" w:ascii="Times New Roman" w:hAnsi="Times New Roman" w:eastAsia="宋体" w:cs="Times New Roman"/>
          <w:color w:val="auto"/>
          <w:w w:val="99"/>
          <w:kern w:val="0"/>
          <w:sz w:val="24"/>
          <w:szCs w:val="24"/>
          <w:highlight w:val="none"/>
          <w:lang w:val="en-US" w:eastAsia="zh-CN" w:bidi="zh-CN"/>
        </w:rPr>
        <w:t>气田</w:t>
      </w:r>
      <w:r>
        <w:rPr>
          <w:rFonts w:hint="default" w:ascii="Times New Roman" w:hAnsi="Times New Roman" w:eastAsia="宋体" w:cs="Times New Roman"/>
          <w:color w:val="auto"/>
          <w:w w:val="99"/>
          <w:kern w:val="0"/>
          <w:sz w:val="24"/>
          <w:szCs w:val="24"/>
          <w:highlight w:val="none"/>
          <w:lang w:val="en-US" w:eastAsia="zh-CN" w:bidi="zh-CN"/>
        </w:rPr>
        <w:t>开发区域内环境的持续改进，对</w:t>
      </w:r>
      <w:r>
        <w:rPr>
          <w:rFonts w:hint="eastAsia" w:ascii="Times New Roman" w:hAnsi="Times New Roman" w:eastAsia="宋体" w:cs="Times New Roman"/>
          <w:color w:val="auto"/>
          <w:w w:val="99"/>
          <w:kern w:val="0"/>
          <w:sz w:val="24"/>
          <w:szCs w:val="24"/>
          <w:highlight w:val="none"/>
          <w:lang w:val="en-US" w:eastAsia="zh-CN" w:bidi="zh-CN"/>
        </w:rPr>
        <w:t>气田</w:t>
      </w:r>
      <w:r>
        <w:rPr>
          <w:rFonts w:hint="default" w:ascii="Times New Roman" w:hAnsi="Times New Roman" w:eastAsia="宋体" w:cs="Times New Roman"/>
          <w:color w:val="auto"/>
          <w:w w:val="99"/>
          <w:kern w:val="0"/>
          <w:sz w:val="24"/>
          <w:szCs w:val="24"/>
          <w:highlight w:val="none"/>
          <w:lang w:val="en-US" w:eastAsia="zh-CN" w:bidi="zh-CN"/>
        </w:rPr>
        <w:t>开发建设的各项活动进行全过程、全方位的监控。包括井场、场站建设及相应配套设施建设，以及</w:t>
      </w:r>
      <w:r>
        <w:rPr>
          <w:rFonts w:hint="eastAsia" w:ascii="Times New Roman" w:hAnsi="Times New Roman" w:eastAsia="宋体" w:cs="Times New Roman"/>
          <w:color w:val="auto"/>
          <w:w w:val="99"/>
          <w:kern w:val="0"/>
          <w:sz w:val="24"/>
          <w:szCs w:val="24"/>
          <w:highlight w:val="none"/>
          <w:lang w:val="en-US" w:eastAsia="zh-CN" w:bidi="zh-CN"/>
        </w:rPr>
        <w:t>气田</w:t>
      </w:r>
      <w:r>
        <w:rPr>
          <w:rFonts w:hint="default" w:ascii="Times New Roman" w:hAnsi="Times New Roman" w:eastAsia="宋体" w:cs="Times New Roman"/>
          <w:color w:val="auto"/>
          <w:w w:val="99"/>
          <w:kern w:val="0"/>
          <w:sz w:val="24"/>
          <w:szCs w:val="24"/>
          <w:highlight w:val="none"/>
          <w:lang w:val="en-US" w:eastAsia="zh-CN" w:bidi="zh-CN"/>
        </w:rPr>
        <w:t>正常生产情况下的相应作业施工建设等过程。</w:t>
      </w:r>
      <w:r>
        <w:rPr>
          <w:rFonts w:hint="eastAsia" w:ascii="Times New Roman" w:hAnsi="Times New Roman" w:eastAsia="宋体" w:cs="Times New Roman"/>
          <w:color w:val="auto"/>
          <w:w w:val="99"/>
          <w:kern w:val="0"/>
          <w:sz w:val="24"/>
          <w:szCs w:val="24"/>
          <w:highlight w:val="none"/>
          <w:lang w:val="en-US" w:eastAsia="zh-CN" w:bidi="zh-CN"/>
        </w:rPr>
        <w:t>气田</w:t>
      </w:r>
      <w:r>
        <w:rPr>
          <w:rFonts w:hint="default" w:ascii="Times New Roman" w:hAnsi="Times New Roman" w:eastAsia="宋体" w:cs="Times New Roman"/>
          <w:color w:val="auto"/>
          <w:w w:val="99"/>
          <w:kern w:val="0"/>
          <w:sz w:val="24"/>
          <w:szCs w:val="24"/>
          <w:highlight w:val="none"/>
          <w:lang w:val="en-US" w:eastAsia="zh-CN" w:bidi="zh-CN"/>
        </w:rPr>
        <w:t>运营期的环境监控主要是</w:t>
      </w:r>
      <w:r>
        <w:rPr>
          <w:rFonts w:hint="eastAsia" w:ascii="Times New Roman" w:hAnsi="Times New Roman" w:eastAsia="宋体" w:cs="Times New Roman"/>
          <w:color w:val="auto"/>
          <w:w w:val="99"/>
          <w:kern w:val="0"/>
          <w:sz w:val="24"/>
          <w:szCs w:val="24"/>
          <w:highlight w:val="none"/>
          <w:lang w:val="en-US" w:eastAsia="zh-CN" w:bidi="zh-CN"/>
        </w:rPr>
        <w:t>采气</w:t>
      </w:r>
      <w:r>
        <w:rPr>
          <w:rFonts w:hint="default" w:ascii="Times New Roman" w:hAnsi="Times New Roman" w:eastAsia="宋体" w:cs="Times New Roman"/>
          <w:color w:val="auto"/>
          <w:w w:val="99"/>
          <w:kern w:val="0"/>
          <w:sz w:val="24"/>
          <w:szCs w:val="24"/>
          <w:highlight w:val="none"/>
          <w:lang w:val="en-US" w:eastAsia="zh-CN" w:bidi="zh-CN"/>
        </w:rPr>
        <w:t>和</w:t>
      </w:r>
      <w:r>
        <w:rPr>
          <w:rFonts w:hint="eastAsia" w:ascii="Times New Roman" w:hAnsi="Times New Roman" w:eastAsia="宋体" w:cs="Times New Roman"/>
          <w:color w:val="auto"/>
          <w:w w:val="99"/>
          <w:kern w:val="0"/>
          <w:sz w:val="24"/>
          <w:szCs w:val="24"/>
          <w:highlight w:val="none"/>
          <w:lang w:val="en-US" w:eastAsia="zh-CN" w:bidi="zh-CN"/>
        </w:rPr>
        <w:t>天然气集输</w:t>
      </w:r>
      <w:r>
        <w:rPr>
          <w:rFonts w:hint="default" w:ascii="Times New Roman" w:hAnsi="Times New Roman" w:eastAsia="宋体" w:cs="Times New Roman"/>
          <w:color w:val="auto"/>
          <w:w w:val="99"/>
          <w:kern w:val="0"/>
          <w:sz w:val="24"/>
          <w:szCs w:val="24"/>
          <w:highlight w:val="none"/>
          <w:lang w:val="en-US" w:eastAsia="zh-CN" w:bidi="zh-CN"/>
        </w:rPr>
        <w:t>过程中的环境保护措施执行情况。日常监控主要由本站的环保员组织定期进行，由上级部门核查。核查采用检查现场、检查记录、与员工座谈等形式进行；检查和核查应形成记录。</w:t>
      </w:r>
    </w:p>
    <w:p w14:paraId="53523A2D">
      <w:pPr>
        <w:pStyle w:val="7"/>
        <w:widowControl w:val="0"/>
        <w:spacing w:before="60" w:after="60" w:line="440" w:lineRule="exact"/>
        <w:jc w:val="both"/>
        <w:rPr>
          <w:rFonts w:eastAsiaTheme="minorEastAsia"/>
          <w:b/>
          <w:color w:val="auto"/>
          <w:w w:val="99"/>
          <w:kern w:val="2"/>
          <w:sz w:val="24"/>
          <w:szCs w:val="24"/>
          <w:highlight w:val="none"/>
        </w:rPr>
      </w:pPr>
      <w:bookmarkStart w:id="1192" w:name="_Toc131167403"/>
      <w:bookmarkStart w:id="1193" w:name="_Toc127192451"/>
      <w:bookmarkStart w:id="1194" w:name="_Toc126863502"/>
      <w:bookmarkStart w:id="1195" w:name="_Toc143099690"/>
      <w:bookmarkStart w:id="1196" w:name="_Toc186444402"/>
      <w:bookmarkStart w:id="1197" w:name="_Toc85640870"/>
      <w:bookmarkStart w:id="1198" w:name="_Toc84929346"/>
      <w:bookmarkStart w:id="1199" w:name="_Toc86142045"/>
      <w:r>
        <w:rPr>
          <w:rFonts w:eastAsiaTheme="minorEastAsia"/>
          <w:b/>
          <w:color w:val="auto"/>
          <w:w w:val="99"/>
          <w:kern w:val="2"/>
          <w:sz w:val="24"/>
          <w:szCs w:val="24"/>
          <w:highlight w:val="none"/>
        </w:rPr>
        <w:t>8.2.5本工程污染源排放清单</w:t>
      </w:r>
      <w:bookmarkEnd w:id="1192"/>
      <w:bookmarkEnd w:id="1193"/>
      <w:bookmarkEnd w:id="1194"/>
      <w:bookmarkEnd w:id="1195"/>
      <w:bookmarkEnd w:id="1196"/>
      <w:bookmarkEnd w:id="1197"/>
      <w:bookmarkEnd w:id="1198"/>
      <w:bookmarkEnd w:id="1199"/>
    </w:p>
    <w:p w14:paraId="148EA252">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本工程施工期污染物排放清单见表8.2-1。</w:t>
      </w:r>
    </w:p>
    <w:p w14:paraId="3EF5F2B0">
      <w:pPr>
        <w:widowControl w:val="0"/>
        <w:spacing w:line="44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color w:val="auto"/>
          <w:w w:val="99"/>
          <w:kern w:val="21"/>
          <w:highlight w:val="none"/>
        </w:rPr>
        <w:t>8.2-1    施工期污染物排放清单</w:t>
      </w:r>
    </w:p>
    <w:tbl>
      <w:tblPr>
        <w:tblStyle w:val="8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8"/>
        <w:gridCol w:w="1522"/>
        <w:gridCol w:w="1017"/>
        <w:gridCol w:w="1033"/>
        <w:gridCol w:w="2633"/>
        <w:gridCol w:w="2212"/>
      </w:tblGrid>
      <w:tr w14:paraId="1B1FB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pct"/>
            <w:vAlign w:val="center"/>
          </w:tcPr>
          <w:p w14:paraId="7C6C2E0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污染物种类</w:t>
            </w:r>
          </w:p>
        </w:tc>
        <w:tc>
          <w:tcPr>
            <w:tcW w:w="819" w:type="pct"/>
            <w:vAlign w:val="center"/>
          </w:tcPr>
          <w:p w14:paraId="5D2F293F">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污染物名称</w:t>
            </w:r>
          </w:p>
        </w:tc>
        <w:tc>
          <w:tcPr>
            <w:tcW w:w="547" w:type="pct"/>
            <w:vAlign w:val="center"/>
          </w:tcPr>
          <w:p w14:paraId="754E3A36">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主要污染因子</w:t>
            </w:r>
          </w:p>
        </w:tc>
        <w:tc>
          <w:tcPr>
            <w:tcW w:w="556" w:type="pct"/>
            <w:vAlign w:val="center"/>
          </w:tcPr>
          <w:p w14:paraId="551C3223">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排放量</w:t>
            </w:r>
          </w:p>
        </w:tc>
        <w:tc>
          <w:tcPr>
            <w:tcW w:w="1417" w:type="pct"/>
            <w:vAlign w:val="center"/>
          </w:tcPr>
          <w:p w14:paraId="35BC40C2">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控制措施及去向</w:t>
            </w:r>
          </w:p>
        </w:tc>
        <w:tc>
          <w:tcPr>
            <w:tcW w:w="1191" w:type="pct"/>
            <w:vAlign w:val="center"/>
          </w:tcPr>
          <w:p w14:paraId="120D165D">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排放管理要求</w:t>
            </w:r>
          </w:p>
        </w:tc>
      </w:tr>
      <w:tr w14:paraId="3A8DF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restart"/>
            <w:vAlign w:val="center"/>
          </w:tcPr>
          <w:p w14:paraId="2ABBF382">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废气</w:t>
            </w:r>
          </w:p>
        </w:tc>
        <w:tc>
          <w:tcPr>
            <w:tcW w:w="819" w:type="pct"/>
            <w:vAlign w:val="center"/>
          </w:tcPr>
          <w:p w14:paraId="077995C6">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扬尘</w:t>
            </w:r>
          </w:p>
        </w:tc>
        <w:tc>
          <w:tcPr>
            <w:tcW w:w="547" w:type="pct"/>
            <w:vAlign w:val="center"/>
          </w:tcPr>
          <w:p w14:paraId="5E7394B6">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颗粒物</w:t>
            </w:r>
          </w:p>
        </w:tc>
        <w:tc>
          <w:tcPr>
            <w:tcW w:w="556" w:type="pct"/>
            <w:vAlign w:val="center"/>
          </w:tcPr>
          <w:p w14:paraId="131CE469">
            <w:pPr>
              <w:spacing w:line="320" w:lineRule="exact"/>
              <w:jc w:val="center"/>
              <w:rPr>
                <w:rFonts w:hint="default" w:ascii="Times New Roman" w:hAnsi="Times New Roman" w:cs="Times New Roman" w:eastAsiaTheme="minorEastAsia"/>
                <w:color w:val="auto"/>
                <w:w w:val="99"/>
                <w:sz w:val="21"/>
                <w:szCs w:val="21"/>
                <w:highlight w:val="none"/>
                <w:lang w:val="en-US"/>
              </w:rPr>
            </w:pPr>
            <w:r>
              <w:rPr>
                <w:rFonts w:hint="eastAsia" w:ascii="Times New Roman" w:hAnsi="Times New Roman" w:cs="Times New Roman" w:eastAsiaTheme="minorEastAsia"/>
                <w:bCs/>
                <w:color w:val="auto"/>
                <w:w w:val="99"/>
                <w:kern w:val="2"/>
                <w:sz w:val="21"/>
                <w:szCs w:val="21"/>
                <w:highlight w:val="none"/>
                <w:lang w:val="en-US" w:eastAsia="zh-CN"/>
              </w:rPr>
              <w:t>0.069t</w:t>
            </w:r>
          </w:p>
        </w:tc>
        <w:tc>
          <w:tcPr>
            <w:tcW w:w="1417" w:type="pct"/>
            <w:vAlign w:val="center"/>
          </w:tcPr>
          <w:p w14:paraId="56733EE6">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对施工场地采取洒水抑尘，对易起尘的临时土方等加盖苫布，</w:t>
            </w:r>
            <w:r>
              <w:rPr>
                <w:rFonts w:ascii="Times New Roman" w:hAnsi="Times New Roman" w:cs="Times New Roman" w:eastAsiaTheme="minorEastAsia"/>
                <w:bCs/>
                <w:color w:val="auto"/>
                <w:w w:val="99"/>
                <w:sz w:val="21"/>
                <w:szCs w:val="21"/>
                <w:highlight w:val="none"/>
              </w:rPr>
              <w:t>施工运输车辆采取密闭措施或加盖苫布，</w:t>
            </w:r>
            <w:r>
              <w:rPr>
                <w:rFonts w:ascii="Times New Roman" w:hAnsi="Times New Roman" w:cs="Times New Roman" w:eastAsiaTheme="minorEastAsia"/>
                <w:color w:val="auto"/>
                <w:w w:val="99"/>
                <w:sz w:val="21"/>
                <w:szCs w:val="21"/>
                <w:highlight w:val="none"/>
              </w:rPr>
              <w:t>加强施工管理。</w:t>
            </w:r>
          </w:p>
        </w:tc>
        <w:tc>
          <w:tcPr>
            <w:tcW w:w="1191" w:type="pct"/>
            <w:vMerge w:val="restart"/>
            <w:vAlign w:val="center"/>
          </w:tcPr>
          <w:p w14:paraId="1E40E495">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执行</w:t>
            </w:r>
            <w:r>
              <w:rPr>
                <w:rFonts w:ascii="Times New Roman" w:hAnsi="Times New Roman" w:cs="Times New Roman" w:eastAsiaTheme="minorEastAsia"/>
                <w:snapToGrid w:val="0"/>
                <w:color w:val="auto"/>
                <w:w w:val="99"/>
                <w:sz w:val="21"/>
                <w:szCs w:val="21"/>
                <w:highlight w:val="none"/>
              </w:rPr>
              <w:t>《大气污染物综合排放标准》（GB16297-1996）表2中无组织排放监控浓度限值要求</w:t>
            </w:r>
          </w:p>
        </w:tc>
      </w:tr>
      <w:tr w14:paraId="078A6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tcBorders>
              <w:bottom w:val="single" w:color="auto" w:sz="4" w:space="0"/>
            </w:tcBorders>
            <w:vAlign w:val="center"/>
          </w:tcPr>
          <w:p w14:paraId="738708EE">
            <w:pPr>
              <w:spacing w:line="320" w:lineRule="exact"/>
              <w:jc w:val="center"/>
              <w:rPr>
                <w:rFonts w:ascii="Times New Roman" w:hAnsi="Times New Roman" w:cs="Times New Roman" w:eastAsiaTheme="minorEastAsia"/>
                <w:color w:val="auto"/>
                <w:w w:val="99"/>
                <w:sz w:val="21"/>
                <w:szCs w:val="21"/>
                <w:highlight w:val="none"/>
              </w:rPr>
            </w:pPr>
          </w:p>
        </w:tc>
        <w:tc>
          <w:tcPr>
            <w:tcW w:w="819" w:type="pct"/>
            <w:tcBorders>
              <w:bottom w:val="single" w:color="auto" w:sz="4" w:space="0"/>
            </w:tcBorders>
            <w:vAlign w:val="center"/>
          </w:tcPr>
          <w:p w14:paraId="1E6E7C43">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焊接烟尘</w:t>
            </w:r>
          </w:p>
        </w:tc>
        <w:tc>
          <w:tcPr>
            <w:tcW w:w="547" w:type="pct"/>
            <w:vAlign w:val="center"/>
          </w:tcPr>
          <w:p w14:paraId="0FA1DC1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颗粒物</w:t>
            </w:r>
          </w:p>
        </w:tc>
        <w:tc>
          <w:tcPr>
            <w:tcW w:w="556" w:type="pct"/>
            <w:vAlign w:val="center"/>
          </w:tcPr>
          <w:p w14:paraId="4F85890B">
            <w:pPr>
              <w:spacing w:line="320" w:lineRule="exact"/>
              <w:jc w:val="center"/>
              <w:rPr>
                <w:rFonts w:hint="default" w:ascii="Times New Roman" w:hAnsi="Times New Roman" w:cs="Times New Roman" w:eastAsiaTheme="minorEastAsia"/>
                <w:bCs/>
                <w:color w:val="auto"/>
                <w:w w:val="99"/>
                <w:sz w:val="21"/>
                <w:szCs w:val="21"/>
                <w:highlight w:val="none"/>
                <w:lang w:val="en-US"/>
              </w:rPr>
            </w:pPr>
            <w:r>
              <w:rPr>
                <w:rFonts w:ascii="Times New Roman" w:hAnsi="Times New Roman" w:cs="Times New Roman" w:eastAsiaTheme="minorEastAsia"/>
                <w:bCs/>
                <w:color w:val="auto"/>
                <w:w w:val="99"/>
                <w:kern w:val="2"/>
                <w:sz w:val="21"/>
                <w:szCs w:val="21"/>
                <w:highlight w:val="none"/>
              </w:rPr>
              <w:t>0.00</w:t>
            </w:r>
            <w:r>
              <w:rPr>
                <w:rFonts w:hint="eastAsia" w:ascii="Times New Roman" w:hAnsi="Times New Roman" w:cs="Times New Roman" w:eastAsiaTheme="minorEastAsia"/>
                <w:bCs/>
                <w:color w:val="auto"/>
                <w:w w:val="99"/>
                <w:kern w:val="2"/>
                <w:sz w:val="21"/>
                <w:szCs w:val="21"/>
                <w:highlight w:val="none"/>
                <w:lang w:val="en-US" w:eastAsia="zh-CN"/>
              </w:rPr>
              <w:t>2t</w:t>
            </w:r>
          </w:p>
        </w:tc>
        <w:tc>
          <w:tcPr>
            <w:tcW w:w="1417" w:type="pct"/>
            <w:vAlign w:val="center"/>
          </w:tcPr>
          <w:p w14:paraId="50E73C4B">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由于项目焊接点较少，产生的焊接烟尘量较小，且项目位于室外，空气扩散条件较好</w:t>
            </w:r>
          </w:p>
        </w:tc>
        <w:tc>
          <w:tcPr>
            <w:tcW w:w="1191" w:type="pct"/>
            <w:vMerge w:val="continue"/>
            <w:vAlign w:val="center"/>
          </w:tcPr>
          <w:p w14:paraId="5200E628">
            <w:pPr>
              <w:spacing w:line="320" w:lineRule="exact"/>
              <w:jc w:val="center"/>
              <w:rPr>
                <w:rFonts w:ascii="Times New Roman" w:hAnsi="Times New Roman" w:cs="Times New Roman" w:eastAsiaTheme="minorEastAsia"/>
                <w:color w:val="auto"/>
                <w:w w:val="99"/>
                <w:sz w:val="21"/>
                <w:szCs w:val="21"/>
                <w:highlight w:val="none"/>
              </w:rPr>
            </w:pPr>
          </w:p>
        </w:tc>
      </w:tr>
      <w:tr w14:paraId="7ABA2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restart"/>
            <w:tcBorders>
              <w:top w:val="single" w:color="auto" w:sz="4" w:space="0"/>
            </w:tcBorders>
            <w:vAlign w:val="center"/>
          </w:tcPr>
          <w:p w14:paraId="6E4A19BB">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w:t>
            </w:r>
          </w:p>
        </w:tc>
        <w:tc>
          <w:tcPr>
            <w:tcW w:w="819" w:type="pct"/>
            <w:tcBorders>
              <w:top w:val="single" w:color="auto" w:sz="4" w:space="0"/>
            </w:tcBorders>
            <w:vAlign w:val="center"/>
          </w:tcPr>
          <w:p w14:paraId="2BCA04F5">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生活污水</w:t>
            </w:r>
          </w:p>
        </w:tc>
        <w:tc>
          <w:tcPr>
            <w:tcW w:w="547" w:type="pct"/>
            <w:vAlign w:val="center"/>
          </w:tcPr>
          <w:p w14:paraId="002D05BF">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COD、NH</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-N</w:t>
            </w:r>
          </w:p>
        </w:tc>
        <w:tc>
          <w:tcPr>
            <w:tcW w:w="556" w:type="pct"/>
            <w:vAlign w:val="center"/>
          </w:tcPr>
          <w:p w14:paraId="5A422296">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576m</w:t>
            </w:r>
            <w:r>
              <w:rPr>
                <w:rFonts w:hint="eastAsia" w:ascii="Times New Roman" w:hAnsi="Times New Roman" w:cs="Times New Roman" w:eastAsiaTheme="minorEastAsia"/>
                <w:color w:val="auto"/>
                <w:w w:val="99"/>
                <w:kern w:val="2"/>
                <w:sz w:val="21"/>
                <w:szCs w:val="21"/>
                <w:highlight w:val="none"/>
                <w:vertAlign w:val="superscript"/>
                <w:lang w:val="en-US" w:eastAsia="zh-CN"/>
              </w:rPr>
              <w:t>3</w:t>
            </w:r>
          </w:p>
        </w:tc>
        <w:tc>
          <w:tcPr>
            <w:tcW w:w="1417" w:type="pct"/>
            <w:vAlign w:val="center"/>
          </w:tcPr>
          <w:p w14:paraId="04FB0DFF">
            <w:pPr>
              <w:spacing w:line="320" w:lineRule="exact"/>
              <w:jc w:val="center"/>
              <w:rPr>
                <w:rFonts w:hint="eastAsia" w:ascii="Times New Roman" w:hAnsi="Times New Roman" w:eastAsia="宋体" w:cs="Times New Roman"/>
                <w:bCs/>
                <w:color w:val="auto"/>
                <w:w w:val="99"/>
                <w:kern w:val="2"/>
                <w:sz w:val="21"/>
                <w:szCs w:val="21"/>
                <w:highlight w:val="none"/>
                <w:lang w:eastAsia="zh-CN"/>
              </w:rPr>
            </w:pPr>
            <w:r>
              <w:rPr>
                <w:rFonts w:hint="eastAsia" w:ascii="Times New Roman" w:hAnsi="Times New Roman" w:eastAsia="宋体" w:cs="Times New Roman"/>
                <w:bCs/>
                <w:color w:val="auto"/>
                <w:w w:val="99"/>
                <w:kern w:val="2"/>
                <w:sz w:val="21"/>
                <w:szCs w:val="21"/>
                <w:highlight w:val="none"/>
                <w:lang w:val="en-US" w:eastAsia="zh-CN"/>
              </w:rPr>
              <w:t>施工期生活污水排入附近场站已建生活污水收集设施，定期由大庆石油管理局有限公司庆南工矿服务公司红岗分公司拉运至大庆红岗区西巷污水回收站，管输至南区污水处理厂进行处理。</w:t>
            </w:r>
          </w:p>
        </w:tc>
        <w:tc>
          <w:tcPr>
            <w:tcW w:w="1191" w:type="pct"/>
            <w:vAlign w:val="center"/>
          </w:tcPr>
          <w:p w14:paraId="4872E4A3">
            <w:pPr>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不直接排放</w:t>
            </w:r>
          </w:p>
        </w:tc>
      </w:tr>
      <w:tr w14:paraId="2C16B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vAlign w:val="center"/>
          </w:tcPr>
          <w:p w14:paraId="53029EDB">
            <w:pPr>
              <w:spacing w:line="320" w:lineRule="exact"/>
              <w:jc w:val="center"/>
              <w:rPr>
                <w:rFonts w:ascii="Times New Roman" w:hAnsi="Times New Roman" w:cs="Times New Roman" w:eastAsiaTheme="minorEastAsia"/>
                <w:color w:val="auto"/>
                <w:w w:val="99"/>
                <w:sz w:val="21"/>
                <w:szCs w:val="21"/>
                <w:highlight w:val="none"/>
              </w:rPr>
            </w:pPr>
          </w:p>
        </w:tc>
        <w:tc>
          <w:tcPr>
            <w:tcW w:w="819" w:type="pct"/>
            <w:vAlign w:val="center"/>
          </w:tcPr>
          <w:p w14:paraId="26952A47">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管线试压废水</w:t>
            </w:r>
          </w:p>
        </w:tc>
        <w:tc>
          <w:tcPr>
            <w:tcW w:w="547" w:type="pct"/>
            <w:vAlign w:val="center"/>
          </w:tcPr>
          <w:p w14:paraId="43839CC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SS</w:t>
            </w:r>
          </w:p>
        </w:tc>
        <w:tc>
          <w:tcPr>
            <w:tcW w:w="556" w:type="pct"/>
            <w:vAlign w:val="center"/>
          </w:tcPr>
          <w:p w14:paraId="2B22D7A9">
            <w:pPr>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4.17</w:t>
            </w:r>
            <w:r>
              <w:rPr>
                <w:rFonts w:hint="eastAsia" w:ascii="Times New Roman" w:hAnsi="Times New Roman" w:cs="Times New Roman" w:eastAsiaTheme="minorEastAsia"/>
                <w:color w:val="auto"/>
                <w:w w:val="99"/>
                <w:kern w:val="2"/>
                <w:sz w:val="21"/>
                <w:szCs w:val="21"/>
                <w:highlight w:val="none"/>
                <w:lang w:val="en-US" w:eastAsia="zh-CN"/>
              </w:rPr>
              <w:t>m</w:t>
            </w:r>
            <w:r>
              <w:rPr>
                <w:rFonts w:hint="eastAsia" w:ascii="Times New Roman" w:hAnsi="Times New Roman" w:cs="Times New Roman" w:eastAsiaTheme="minorEastAsia"/>
                <w:color w:val="auto"/>
                <w:w w:val="99"/>
                <w:kern w:val="2"/>
                <w:sz w:val="21"/>
                <w:szCs w:val="21"/>
                <w:highlight w:val="none"/>
                <w:vertAlign w:val="superscript"/>
                <w:lang w:val="en-US" w:eastAsia="zh-CN"/>
              </w:rPr>
              <w:t>3</w:t>
            </w:r>
          </w:p>
        </w:tc>
        <w:tc>
          <w:tcPr>
            <w:tcW w:w="1417" w:type="pct"/>
            <w:vAlign w:val="center"/>
          </w:tcPr>
          <w:p w14:paraId="72B845E8">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snapToGrid w:val="0"/>
                <w:color w:val="auto"/>
                <w:w w:val="99"/>
                <w:sz w:val="21"/>
                <w:szCs w:val="21"/>
                <w:highlight w:val="none"/>
              </w:rPr>
              <w:t>由罐车拉运至升一联气田污水预处理站处理达标后回注油层</w:t>
            </w:r>
          </w:p>
        </w:tc>
        <w:tc>
          <w:tcPr>
            <w:tcW w:w="1191" w:type="pct"/>
            <w:vAlign w:val="center"/>
          </w:tcPr>
          <w:p w14:paraId="225EDB7B">
            <w:pPr>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不外排</w:t>
            </w:r>
          </w:p>
        </w:tc>
      </w:tr>
      <w:tr w14:paraId="3AA3F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467" w:type="pct"/>
            <w:vMerge w:val="restart"/>
            <w:vAlign w:val="center"/>
          </w:tcPr>
          <w:p w14:paraId="7F6EAE5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固废</w:t>
            </w:r>
          </w:p>
        </w:tc>
        <w:tc>
          <w:tcPr>
            <w:tcW w:w="819" w:type="pct"/>
            <w:shd w:val="clear" w:color="auto" w:fill="auto"/>
            <w:vAlign w:val="center"/>
          </w:tcPr>
          <w:p w14:paraId="5423C122">
            <w:pP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施工废料</w:t>
            </w:r>
          </w:p>
        </w:tc>
        <w:tc>
          <w:tcPr>
            <w:tcW w:w="547" w:type="pct"/>
            <w:shd w:val="clear" w:color="auto" w:fill="auto"/>
            <w:vAlign w:val="center"/>
          </w:tcPr>
          <w:p w14:paraId="7AB51ABA">
            <w:pPr>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bidi="ar-SA"/>
              </w:rPr>
            </w:pPr>
            <w:r>
              <w:rPr>
                <w:rFonts w:hint="eastAsia" w:ascii="Times New Roman" w:hAnsi="Times New Roman" w:cs="Times New Roman" w:eastAsiaTheme="minorEastAsia"/>
                <w:snapToGrid w:val="0"/>
                <w:color w:val="auto"/>
                <w:w w:val="99"/>
                <w:sz w:val="21"/>
                <w:szCs w:val="21"/>
                <w:highlight w:val="none"/>
                <w:lang w:val="en-US" w:eastAsia="zh-CN"/>
              </w:rPr>
              <w:t>/</w:t>
            </w:r>
          </w:p>
        </w:tc>
        <w:tc>
          <w:tcPr>
            <w:tcW w:w="556" w:type="pct"/>
            <w:shd w:val="clear" w:color="auto" w:fill="auto"/>
            <w:vAlign w:val="center"/>
          </w:tcPr>
          <w:p w14:paraId="10CF488F">
            <w:pPr>
              <w:spacing w:line="320" w:lineRule="exact"/>
              <w:jc w:val="center"/>
              <w:rPr>
                <w:rFonts w:ascii="Times New Roman" w:hAnsi="Times New Roman" w:cs="Times New Roman" w:eastAsiaTheme="minorEastAsia"/>
                <w:color w:val="auto"/>
                <w:w w:val="99"/>
                <w:kern w:val="2"/>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0.04</w:t>
            </w:r>
            <w:r>
              <w:rPr>
                <w:rFonts w:ascii="Times New Roman" w:hAnsi="Times New Roman" w:cs="Times New Roman" w:eastAsiaTheme="minorEastAsia"/>
                <w:color w:val="auto"/>
                <w:w w:val="99"/>
                <w:sz w:val="21"/>
                <w:szCs w:val="21"/>
                <w:highlight w:val="none"/>
              </w:rPr>
              <w:t>t</w:t>
            </w:r>
          </w:p>
        </w:tc>
        <w:tc>
          <w:tcPr>
            <w:tcW w:w="1417" w:type="pct"/>
            <w:shd w:val="clear" w:color="auto" w:fill="auto"/>
            <w:vAlign w:val="center"/>
          </w:tcPr>
          <w:p w14:paraId="7B1F5A81">
            <w:pPr>
              <w:spacing w:line="320" w:lineRule="exact"/>
              <w:jc w:val="center"/>
              <w:rPr>
                <w:rFonts w:ascii="Times New Roman" w:hAnsi="Times New Roman" w:eastAsia="宋体" w:cs="Times New Roman"/>
                <w:color w:val="auto"/>
                <w:w w:val="99"/>
                <w:sz w:val="21"/>
                <w:szCs w:val="21"/>
                <w:highlight w:val="none"/>
                <w:lang w:val="en-US" w:eastAsia="zh-CN" w:bidi="ar"/>
              </w:rPr>
            </w:pPr>
            <w:r>
              <w:rPr>
                <w:rFonts w:ascii="Times New Roman" w:hAnsi="Times New Roman" w:cs="Times New Roman"/>
                <w:bCs/>
                <w:color w:val="auto"/>
                <w:w w:val="99"/>
                <w:sz w:val="21"/>
                <w:szCs w:val="21"/>
                <w:highlight w:val="none"/>
                <w:lang w:bidi="ar"/>
              </w:rPr>
              <w:t>由施工单位拉运至第八采油厂工业固废填埋场处理</w:t>
            </w:r>
          </w:p>
        </w:tc>
        <w:tc>
          <w:tcPr>
            <w:tcW w:w="1191" w:type="pct"/>
            <w:shd w:val="clear" w:color="auto" w:fill="auto"/>
            <w:vAlign w:val="center"/>
          </w:tcPr>
          <w:p w14:paraId="7CE00EC8">
            <w:pPr>
              <w:spacing w:line="320" w:lineRule="exact"/>
              <w:jc w:val="center"/>
              <w:rPr>
                <w:rFonts w:ascii="Times New Roman" w:hAnsi="Times New Roman" w:eastAsia="宋体" w:cs="Times New Roman"/>
                <w:color w:val="auto"/>
                <w:w w:val="99"/>
                <w:kern w:val="2"/>
                <w:sz w:val="21"/>
                <w:szCs w:val="21"/>
                <w:highlight w:val="none"/>
                <w:lang w:val="en-US" w:eastAsia="zh-CN" w:bidi="ar-SA"/>
              </w:rPr>
            </w:pPr>
            <w:r>
              <w:rPr>
                <w:rFonts w:ascii="Times New Roman" w:hAnsi="Times New Roman" w:cs="Times New Roman"/>
                <w:color w:val="auto"/>
                <w:w w:val="99"/>
                <w:kern w:val="2"/>
                <w:sz w:val="21"/>
                <w:szCs w:val="21"/>
                <w:highlight w:val="none"/>
              </w:rPr>
              <w:t>100%处置</w:t>
            </w:r>
          </w:p>
        </w:tc>
      </w:tr>
      <w:tr w14:paraId="3D0CD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vAlign w:val="center"/>
          </w:tcPr>
          <w:p w14:paraId="02B2272A">
            <w:pPr>
              <w:spacing w:line="320" w:lineRule="exact"/>
              <w:jc w:val="center"/>
              <w:rPr>
                <w:rFonts w:ascii="Times New Roman" w:hAnsi="Times New Roman" w:cs="Times New Roman" w:eastAsiaTheme="minorEastAsia"/>
                <w:color w:val="auto"/>
                <w:w w:val="99"/>
                <w:sz w:val="21"/>
                <w:szCs w:val="21"/>
                <w:highlight w:val="none"/>
              </w:rPr>
            </w:pPr>
          </w:p>
        </w:tc>
        <w:tc>
          <w:tcPr>
            <w:tcW w:w="819" w:type="pct"/>
            <w:shd w:val="clear" w:color="auto" w:fill="auto"/>
            <w:vAlign w:val="center"/>
          </w:tcPr>
          <w:p w14:paraId="0795314E">
            <w:pPr>
              <w:spacing w:line="320" w:lineRule="exact"/>
              <w:jc w:val="center"/>
              <w:rPr>
                <w:rFonts w:ascii="Times New Roman" w:hAnsi="Times New Roman" w:cs="Times New Roman" w:eastAsiaTheme="minorEastAsia"/>
                <w:snapToGrid w:val="0"/>
                <w:color w:val="auto"/>
                <w:w w:val="99"/>
                <w:sz w:val="21"/>
                <w:szCs w:val="21"/>
                <w:highlight w:val="none"/>
                <w:lang w:val="en-US" w:eastAsia="zh-CN" w:bidi="ar-SA"/>
              </w:rPr>
            </w:pPr>
            <w:r>
              <w:rPr>
                <w:rFonts w:ascii="Times New Roman" w:hAnsi="Times New Roman" w:cs="Times New Roman"/>
                <w:color w:val="auto"/>
                <w:w w:val="99"/>
                <w:kern w:val="2"/>
                <w:sz w:val="21"/>
                <w:szCs w:val="21"/>
                <w:highlight w:val="none"/>
              </w:rPr>
              <w:t>生活垃圾</w:t>
            </w:r>
          </w:p>
        </w:tc>
        <w:tc>
          <w:tcPr>
            <w:tcW w:w="547" w:type="pct"/>
            <w:shd w:val="clear" w:color="auto" w:fill="auto"/>
            <w:vAlign w:val="center"/>
          </w:tcPr>
          <w:p w14:paraId="019135EA">
            <w:pPr>
              <w:spacing w:line="320" w:lineRule="exact"/>
              <w:jc w:val="center"/>
              <w:rPr>
                <w:rFonts w:ascii="Times New Roman" w:hAnsi="Times New Roman" w:cs="Times New Roman" w:eastAsiaTheme="minorEastAsia"/>
                <w:snapToGrid w:val="0"/>
                <w:color w:val="auto"/>
                <w:w w:val="99"/>
                <w:sz w:val="21"/>
                <w:szCs w:val="21"/>
                <w:highlight w:val="none"/>
                <w:lang w:val="en-US" w:eastAsia="zh-CN" w:bidi="ar-SA"/>
              </w:rPr>
            </w:pPr>
            <w:r>
              <w:rPr>
                <w:rFonts w:hint="eastAsia" w:ascii="Times New Roman" w:hAnsi="Times New Roman" w:cs="Times New Roman" w:eastAsiaTheme="minorEastAsia"/>
                <w:snapToGrid w:val="0"/>
                <w:color w:val="auto"/>
                <w:w w:val="99"/>
                <w:sz w:val="21"/>
                <w:szCs w:val="21"/>
                <w:highlight w:val="none"/>
                <w:lang w:val="en-US" w:eastAsia="zh-CN"/>
              </w:rPr>
              <w:t>/</w:t>
            </w:r>
          </w:p>
        </w:tc>
        <w:tc>
          <w:tcPr>
            <w:tcW w:w="556" w:type="pct"/>
            <w:shd w:val="clear" w:color="auto" w:fill="auto"/>
            <w:vAlign w:val="center"/>
          </w:tcPr>
          <w:p w14:paraId="3ACDFB6F">
            <w:pPr>
              <w:spacing w:line="320" w:lineRule="exact"/>
              <w:jc w:val="center"/>
              <w:rPr>
                <w:rFonts w:ascii="Times New Roman" w:hAnsi="Times New Roman" w:cs="Times New Roman" w:eastAsiaTheme="minorEastAsia"/>
                <w:snapToGrid w:val="0"/>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0.45</w:t>
            </w:r>
            <w:r>
              <w:rPr>
                <w:rFonts w:ascii="Times New Roman" w:hAnsi="Times New Roman" w:cs="Times New Roman" w:eastAsiaTheme="minorEastAsia"/>
                <w:color w:val="auto"/>
                <w:w w:val="99"/>
                <w:sz w:val="21"/>
                <w:szCs w:val="21"/>
                <w:highlight w:val="none"/>
              </w:rPr>
              <w:t>t</w:t>
            </w:r>
          </w:p>
        </w:tc>
        <w:tc>
          <w:tcPr>
            <w:tcW w:w="1417" w:type="pct"/>
            <w:tcBorders>
              <w:top w:val="single" w:color="auto" w:sz="4" w:space="0"/>
            </w:tcBorders>
            <w:shd w:val="clear" w:color="auto" w:fill="auto"/>
            <w:vAlign w:val="center"/>
          </w:tcPr>
          <w:p w14:paraId="0B33AD12">
            <w:pPr>
              <w:spacing w:line="320" w:lineRule="exact"/>
              <w:jc w:val="center"/>
              <w:rPr>
                <w:rFonts w:ascii="Times New Roman" w:hAnsi="Times New Roman" w:cs="Times New Roman" w:eastAsiaTheme="minorEastAsia"/>
                <w:snapToGrid w:val="0"/>
                <w:color w:val="auto"/>
                <w:w w:val="99"/>
                <w:sz w:val="21"/>
                <w:szCs w:val="21"/>
                <w:highlight w:val="none"/>
                <w:lang w:val="en-US" w:eastAsia="zh-CN" w:bidi="ar-SA"/>
              </w:rPr>
            </w:pPr>
            <w:r>
              <w:rPr>
                <w:rFonts w:ascii="Times New Roman" w:hAnsi="Times New Roman" w:cs="Times New Roman" w:eastAsiaTheme="minorEastAsia"/>
                <w:bCs/>
                <w:color w:val="auto"/>
                <w:w w:val="99"/>
                <w:kern w:val="2"/>
                <w:sz w:val="21"/>
                <w:szCs w:val="21"/>
                <w:highlight w:val="none"/>
              </w:rPr>
              <w:t>统一收集后拉运至</w:t>
            </w:r>
            <w:r>
              <w:rPr>
                <w:rFonts w:hint="eastAsia" w:ascii="Times New Roman" w:hAnsi="Times New Roman" w:cs="Times New Roman" w:eastAsiaTheme="minorEastAsia"/>
                <w:bCs/>
                <w:color w:val="auto"/>
                <w:w w:val="99"/>
                <w:kern w:val="2"/>
                <w:sz w:val="21"/>
                <w:szCs w:val="21"/>
                <w:highlight w:val="none"/>
                <w:lang w:eastAsia="zh-CN"/>
              </w:rPr>
              <w:t>肇东北控环境再生能源有限公司</w:t>
            </w:r>
            <w:r>
              <w:rPr>
                <w:rFonts w:ascii="Times New Roman" w:hAnsi="Times New Roman" w:cs="Times New Roman" w:eastAsiaTheme="minorEastAsia"/>
                <w:bCs/>
                <w:color w:val="auto"/>
                <w:w w:val="99"/>
                <w:kern w:val="2"/>
                <w:sz w:val="21"/>
                <w:szCs w:val="21"/>
                <w:highlight w:val="none"/>
              </w:rPr>
              <w:t>处理</w:t>
            </w:r>
          </w:p>
        </w:tc>
        <w:tc>
          <w:tcPr>
            <w:tcW w:w="1191" w:type="pct"/>
            <w:tcBorders>
              <w:top w:val="single" w:color="auto" w:sz="4" w:space="0"/>
            </w:tcBorders>
            <w:shd w:val="clear" w:color="auto" w:fill="auto"/>
            <w:vAlign w:val="center"/>
          </w:tcPr>
          <w:p w14:paraId="5883381F">
            <w:pPr>
              <w:spacing w:line="320" w:lineRule="exact"/>
              <w:jc w:val="center"/>
              <w:rPr>
                <w:rFonts w:ascii="Times New Roman" w:hAnsi="Times New Roman" w:cs="Times New Roman" w:eastAsiaTheme="minorEastAsia"/>
                <w:snapToGrid w:val="0"/>
                <w:color w:val="auto"/>
                <w:w w:val="99"/>
                <w:sz w:val="21"/>
                <w:szCs w:val="21"/>
                <w:highlight w:val="none"/>
                <w:lang w:val="en-US" w:eastAsia="zh-CN" w:bidi="ar-SA"/>
              </w:rPr>
            </w:pPr>
            <w:r>
              <w:rPr>
                <w:rFonts w:ascii="Times New Roman" w:hAnsi="Times New Roman" w:cs="Times New Roman"/>
                <w:color w:val="auto"/>
                <w:w w:val="99"/>
                <w:kern w:val="2"/>
                <w:sz w:val="21"/>
                <w:szCs w:val="21"/>
                <w:highlight w:val="none"/>
              </w:rPr>
              <w:t>100%处置</w:t>
            </w:r>
          </w:p>
        </w:tc>
      </w:tr>
      <w:tr w14:paraId="1519C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7" w:type="pct"/>
            <w:vAlign w:val="center"/>
          </w:tcPr>
          <w:p w14:paraId="7207E7CE">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噪声</w:t>
            </w:r>
          </w:p>
        </w:tc>
        <w:tc>
          <w:tcPr>
            <w:tcW w:w="819" w:type="pct"/>
            <w:vAlign w:val="center"/>
          </w:tcPr>
          <w:p w14:paraId="3454B0B4">
            <w:pPr>
              <w:snapToGrid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sz w:val="21"/>
                <w:szCs w:val="21"/>
                <w:highlight w:val="none"/>
              </w:rPr>
              <w:t>机械噪声</w:t>
            </w:r>
          </w:p>
        </w:tc>
        <w:tc>
          <w:tcPr>
            <w:tcW w:w="547" w:type="pct"/>
            <w:vAlign w:val="center"/>
          </w:tcPr>
          <w:p w14:paraId="300BC315">
            <w:pPr>
              <w:snapToGrid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sz w:val="21"/>
                <w:szCs w:val="21"/>
                <w:highlight w:val="none"/>
              </w:rPr>
              <w:t>噪声</w:t>
            </w:r>
          </w:p>
        </w:tc>
        <w:tc>
          <w:tcPr>
            <w:tcW w:w="556" w:type="pct"/>
            <w:vAlign w:val="center"/>
          </w:tcPr>
          <w:p w14:paraId="4E47C05D">
            <w:pPr>
              <w:snapToGrid w:val="0"/>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95-105</w:t>
            </w:r>
            <w:r>
              <w:rPr>
                <w:rFonts w:ascii="Times New Roman" w:hAnsi="Times New Roman" w:cs="Times New Roman" w:eastAsiaTheme="minorEastAsia"/>
                <w:snapToGrid w:val="0"/>
                <w:color w:val="auto"/>
                <w:w w:val="99"/>
                <w:sz w:val="21"/>
                <w:szCs w:val="21"/>
                <w:highlight w:val="none"/>
              </w:rPr>
              <w:t>dB(A)</w:t>
            </w:r>
          </w:p>
        </w:tc>
        <w:tc>
          <w:tcPr>
            <w:tcW w:w="1417" w:type="pct"/>
            <w:vAlign w:val="center"/>
          </w:tcPr>
          <w:p w14:paraId="31AB916B">
            <w:pPr>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选用低噪声设备，并采取基础减震、隔声等措施</w:t>
            </w:r>
          </w:p>
        </w:tc>
        <w:tc>
          <w:tcPr>
            <w:tcW w:w="1191" w:type="pct"/>
            <w:vAlign w:val="center"/>
          </w:tcPr>
          <w:p w14:paraId="1DF68359">
            <w:pPr>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sz w:val="21"/>
                <w:szCs w:val="21"/>
                <w:highlight w:val="none"/>
              </w:rPr>
              <w:t>执行《</w:t>
            </w:r>
            <w:r>
              <w:rPr>
                <w:rFonts w:hint="eastAsia" w:ascii="Times New Roman" w:hAnsi="Times New Roman" w:cs="Times New Roman" w:eastAsiaTheme="minorEastAsia"/>
                <w:color w:val="auto"/>
                <w:w w:val="99"/>
                <w:sz w:val="21"/>
                <w:szCs w:val="21"/>
                <w:highlight w:val="none"/>
                <w:lang w:eastAsia="zh-CN"/>
              </w:rPr>
              <w:t>建筑施工噪声排放标准</w:t>
            </w:r>
            <w:r>
              <w:rPr>
                <w:rFonts w:ascii="Times New Roman" w:hAnsi="Times New Roman" w:cs="Times New Roman" w:eastAsiaTheme="minorEastAsia"/>
                <w:color w:val="auto"/>
                <w:w w:val="99"/>
                <w:sz w:val="21"/>
                <w:szCs w:val="21"/>
                <w:highlight w:val="none"/>
              </w:rPr>
              <w:t>》（GB 12523-20</w:t>
            </w:r>
            <w:r>
              <w:rPr>
                <w:rFonts w:hint="eastAsia" w:ascii="Times New Roman" w:hAnsi="Times New Roman" w:cs="Times New Roman" w:eastAsiaTheme="minorEastAsia"/>
                <w:color w:val="auto"/>
                <w:w w:val="99"/>
                <w:sz w:val="21"/>
                <w:szCs w:val="21"/>
                <w:highlight w:val="none"/>
                <w:lang w:val="en-US" w:eastAsia="zh-CN"/>
              </w:rPr>
              <w:t>25</w:t>
            </w:r>
            <w:r>
              <w:rPr>
                <w:rFonts w:ascii="Times New Roman" w:hAnsi="Times New Roman" w:cs="Times New Roman" w:eastAsiaTheme="minorEastAsia"/>
                <w:color w:val="auto"/>
                <w:w w:val="99"/>
                <w:sz w:val="21"/>
                <w:szCs w:val="21"/>
                <w:highlight w:val="none"/>
              </w:rPr>
              <w:t>）要求</w:t>
            </w:r>
          </w:p>
        </w:tc>
      </w:tr>
    </w:tbl>
    <w:p w14:paraId="17EC80D1">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本工程运营期污染物排放清单见表8.2-2。</w:t>
      </w:r>
    </w:p>
    <w:p w14:paraId="671688B2">
      <w:pPr>
        <w:widowControl w:val="0"/>
        <w:spacing w:line="44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color w:val="auto"/>
          <w:w w:val="99"/>
          <w:kern w:val="21"/>
          <w:highlight w:val="none"/>
        </w:rPr>
        <w:t>表8.2-2    本工程运营期污染物排放清单</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937"/>
        <w:gridCol w:w="1217"/>
        <w:gridCol w:w="1295"/>
        <w:gridCol w:w="1959"/>
        <w:gridCol w:w="3229"/>
      </w:tblGrid>
      <w:tr w14:paraId="3ED79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9" w:type="pct"/>
            <w:vAlign w:val="center"/>
          </w:tcPr>
          <w:p w14:paraId="3F1CE790">
            <w:pPr>
              <w:shd w:val="clear"/>
              <w:spacing w:line="360" w:lineRule="exact"/>
              <w:jc w:val="center"/>
              <w:rPr>
                <w:rFonts w:ascii="Times New Roman" w:hAnsi="Times New Roman" w:cs="Times New Roman" w:eastAsiaTheme="minorEastAsia"/>
                <w:color w:val="auto"/>
                <w:w w:val="99"/>
                <w:sz w:val="21"/>
                <w:szCs w:val="21"/>
                <w:highlight w:val="none"/>
              </w:rPr>
            </w:pPr>
            <w:bookmarkStart w:id="1200" w:name="_Toc186444403"/>
            <w:bookmarkStart w:id="1201" w:name="_Toc86142046"/>
            <w:bookmarkStart w:id="1202" w:name="_Toc85640871"/>
            <w:bookmarkStart w:id="1203" w:name="_Toc131167404"/>
            <w:bookmarkStart w:id="1204" w:name="_Toc143099691"/>
            <w:bookmarkStart w:id="1205" w:name="_Toc127192452"/>
            <w:bookmarkStart w:id="1206" w:name="_Toc84929347"/>
            <w:bookmarkStart w:id="1207" w:name="_Toc126863503"/>
            <w:r>
              <w:rPr>
                <w:rFonts w:ascii="Times New Roman" w:hAnsi="Times New Roman" w:cs="Times New Roman" w:eastAsiaTheme="minorEastAsia"/>
                <w:color w:val="auto"/>
                <w:w w:val="99"/>
                <w:sz w:val="21"/>
                <w:szCs w:val="21"/>
                <w:highlight w:val="none"/>
              </w:rPr>
              <w:t>种类</w:t>
            </w:r>
          </w:p>
        </w:tc>
        <w:tc>
          <w:tcPr>
            <w:tcW w:w="504" w:type="pct"/>
            <w:vAlign w:val="center"/>
          </w:tcPr>
          <w:p w14:paraId="1099948C">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污染物名称</w:t>
            </w:r>
          </w:p>
        </w:tc>
        <w:tc>
          <w:tcPr>
            <w:tcW w:w="655" w:type="pct"/>
            <w:vAlign w:val="center"/>
          </w:tcPr>
          <w:p w14:paraId="15195B89">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1"/>
                <w:sz w:val="21"/>
                <w:szCs w:val="21"/>
                <w:highlight w:val="none"/>
              </w:rPr>
              <w:t>主要污染因子</w:t>
            </w:r>
          </w:p>
        </w:tc>
        <w:tc>
          <w:tcPr>
            <w:tcW w:w="697" w:type="pct"/>
            <w:vAlign w:val="center"/>
          </w:tcPr>
          <w:p w14:paraId="189F11E7">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排放量</w:t>
            </w:r>
          </w:p>
        </w:tc>
        <w:tc>
          <w:tcPr>
            <w:tcW w:w="1054" w:type="pct"/>
            <w:vAlign w:val="center"/>
          </w:tcPr>
          <w:p w14:paraId="190966B0">
            <w:pPr>
              <w:shd w:val="clea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控制措施及去向</w:t>
            </w:r>
          </w:p>
        </w:tc>
        <w:tc>
          <w:tcPr>
            <w:tcW w:w="1737" w:type="pct"/>
            <w:vAlign w:val="center"/>
          </w:tcPr>
          <w:p w14:paraId="1A30B204">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排放管理要求</w:t>
            </w:r>
          </w:p>
        </w:tc>
      </w:tr>
      <w:tr w14:paraId="7D654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9" w:type="pct"/>
            <w:vMerge w:val="restart"/>
            <w:vAlign w:val="center"/>
          </w:tcPr>
          <w:p w14:paraId="3C505A7E">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废气</w:t>
            </w:r>
          </w:p>
        </w:tc>
        <w:tc>
          <w:tcPr>
            <w:tcW w:w="504" w:type="pct"/>
            <w:vAlign w:val="center"/>
          </w:tcPr>
          <w:p w14:paraId="497CDC31">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烃类气体</w:t>
            </w:r>
          </w:p>
        </w:tc>
        <w:tc>
          <w:tcPr>
            <w:tcW w:w="655" w:type="pct"/>
            <w:vAlign w:val="center"/>
          </w:tcPr>
          <w:p w14:paraId="3ABE31F4">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非甲烷总烃</w:t>
            </w:r>
          </w:p>
        </w:tc>
        <w:tc>
          <w:tcPr>
            <w:tcW w:w="697" w:type="pct"/>
            <w:vAlign w:val="center"/>
          </w:tcPr>
          <w:p w14:paraId="19329EBA">
            <w:pPr>
              <w:shd w:val="clea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11.66</w:t>
            </w:r>
            <w:r>
              <w:rPr>
                <w:rFonts w:ascii="Times New Roman" w:hAnsi="Times New Roman" w:cs="Times New Roman" w:eastAsiaTheme="minorEastAsia"/>
                <w:color w:val="auto"/>
                <w:w w:val="99"/>
                <w:sz w:val="21"/>
                <w:szCs w:val="21"/>
                <w:highlight w:val="none"/>
              </w:rPr>
              <w:t>t/a</w:t>
            </w:r>
          </w:p>
        </w:tc>
        <w:tc>
          <w:tcPr>
            <w:tcW w:w="1054" w:type="pct"/>
            <w:vAlign w:val="center"/>
          </w:tcPr>
          <w:p w14:paraId="6A078B9A">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color w:val="auto"/>
                <w:w w:val="99"/>
                <w:kern w:val="2"/>
                <w:sz w:val="21"/>
                <w:szCs w:val="21"/>
                <w:highlight w:val="none"/>
              </w:rPr>
              <w:t>排入大气</w:t>
            </w:r>
          </w:p>
        </w:tc>
        <w:tc>
          <w:tcPr>
            <w:tcW w:w="1737" w:type="pct"/>
            <w:vAlign w:val="center"/>
          </w:tcPr>
          <w:p w14:paraId="46AE68B2">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井场及场站厂界执行</w:t>
            </w:r>
            <w:r>
              <w:rPr>
                <w:rFonts w:ascii="Times New Roman" w:hAnsi="Times New Roman" w:cs="Times New Roman"/>
                <w:color w:val="auto"/>
                <w:w w:val="99"/>
                <w:kern w:val="2"/>
                <w:sz w:val="21"/>
                <w:szCs w:val="21"/>
                <w:highlight w:val="none"/>
              </w:rPr>
              <w:t>《陆上石油天然气开采工业大气污染物排放标准》（GB39728-2020）5.9中规定要求</w:t>
            </w:r>
          </w:p>
        </w:tc>
      </w:tr>
      <w:tr w14:paraId="70D2F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9" w:type="pct"/>
            <w:vMerge w:val="continue"/>
            <w:vAlign w:val="center"/>
          </w:tcPr>
          <w:p w14:paraId="04F356D6">
            <w:pPr>
              <w:shd w:val="clear"/>
              <w:spacing w:line="360" w:lineRule="exact"/>
              <w:jc w:val="center"/>
              <w:rPr>
                <w:rFonts w:ascii="Times New Roman" w:hAnsi="Times New Roman" w:cs="Times New Roman" w:eastAsiaTheme="minorEastAsia"/>
                <w:color w:val="auto"/>
                <w:w w:val="99"/>
                <w:sz w:val="21"/>
                <w:szCs w:val="21"/>
                <w:highlight w:val="none"/>
              </w:rPr>
            </w:pPr>
          </w:p>
        </w:tc>
        <w:tc>
          <w:tcPr>
            <w:tcW w:w="504" w:type="pct"/>
            <w:vAlign w:val="center"/>
          </w:tcPr>
          <w:p w14:paraId="547515D2">
            <w:pPr>
              <w:shd w:val="clea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ascii="Times New Roman" w:hAnsi="Times New Roman" w:eastAsia="宋体" w:cs="Times New Roman"/>
                <w:color w:val="auto"/>
                <w:w w:val="99"/>
                <w:kern w:val="2"/>
                <w:sz w:val="21"/>
                <w:szCs w:val="21"/>
                <w:highlight w:val="none"/>
                <w:lang w:val="en-US" w:eastAsia="zh-CN" w:bidi="ar-SA"/>
              </w:rPr>
              <w:t>徐深</w:t>
            </w:r>
            <w:r>
              <w:rPr>
                <w:rFonts w:hint="eastAsia" w:ascii="Times New Roman" w:hAnsi="Times New Roman" w:cs="Times New Roman"/>
                <w:color w:val="auto"/>
                <w:w w:val="99"/>
                <w:kern w:val="2"/>
                <w:sz w:val="21"/>
                <w:szCs w:val="21"/>
                <w:highlight w:val="none"/>
                <w:lang w:val="en-US" w:eastAsia="zh-CN" w:bidi="ar-SA"/>
              </w:rPr>
              <w:t>27</w:t>
            </w:r>
            <w:r>
              <w:rPr>
                <w:rFonts w:ascii="Times New Roman" w:hAnsi="Times New Roman" w:eastAsia="宋体" w:cs="Times New Roman"/>
                <w:color w:val="auto"/>
                <w:w w:val="99"/>
                <w:kern w:val="2"/>
                <w:sz w:val="21"/>
                <w:szCs w:val="21"/>
                <w:highlight w:val="none"/>
                <w:lang w:val="en-US" w:eastAsia="zh-CN" w:bidi="ar-SA"/>
              </w:rPr>
              <w:t>集气站</w:t>
            </w:r>
            <w:r>
              <w:rPr>
                <w:rFonts w:hint="eastAsia" w:ascii="Times New Roman" w:hAnsi="Times New Roman" w:cs="Times New Roman" w:eastAsiaTheme="minorEastAsia"/>
                <w:color w:val="auto"/>
                <w:w w:val="99"/>
                <w:sz w:val="21"/>
                <w:szCs w:val="21"/>
                <w:highlight w:val="none"/>
                <w:lang w:val="en-US" w:eastAsia="zh-CN"/>
              </w:rPr>
              <w:t>燃烧烟气</w:t>
            </w:r>
          </w:p>
        </w:tc>
        <w:tc>
          <w:tcPr>
            <w:tcW w:w="655" w:type="pct"/>
            <w:vAlign w:val="center"/>
          </w:tcPr>
          <w:p w14:paraId="721E45FA">
            <w:pPr>
              <w:shd w:val="clea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ascii="Times New Roman" w:hAnsi="Times New Roman" w:cs="Times New Roman" w:eastAsiaTheme="minorEastAsia"/>
                <w:color w:val="auto"/>
                <w:w w:val="99"/>
                <w:sz w:val="21"/>
                <w:szCs w:val="21"/>
                <w:highlight w:val="none"/>
              </w:rPr>
              <w:t>颗粒物</w:t>
            </w:r>
            <w:r>
              <w:rPr>
                <w:rFonts w:hint="eastAsia" w:ascii="Times New Roman" w:hAnsi="Times New Roman" w:cs="Times New Roman" w:eastAsiaTheme="minorEastAsia"/>
                <w:color w:val="auto"/>
                <w:w w:val="99"/>
                <w:sz w:val="21"/>
                <w:szCs w:val="21"/>
                <w:highlight w:val="none"/>
                <w:lang w:eastAsia="zh-CN"/>
              </w:rPr>
              <w:t>、</w:t>
            </w:r>
            <w:r>
              <w:rPr>
                <w:rFonts w:ascii="Times New Roman" w:hAnsi="Times New Roman" w:cs="Times New Roman" w:eastAsiaTheme="minorEastAsia"/>
                <w:color w:val="auto"/>
                <w:w w:val="99"/>
                <w:sz w:val="21"/>
                <w:szCs w:val="21"/>
                <w:highlight w:val="none"/>
              </w:rPr>
              <w:t>NO</w:t>
            </w:r>
            <w:r>
              <w:rPr>
                <w:rFonts w:ascii="Times New Roman" w:hAnsi="Times New Roman" w:cs="Times New Roman" w:eastAsiaTheme="minorEastAsia"/>
                <w:color w:val="auto"/>
                <w:w w:val="99"/>
                <w:sz w:val="21"/>
                <w:szCs w:val="21"/>
                <w:highlight w:val="none"/>
                <w:vertAlign w:val="subscript"/>
              </w:rPr>
              <w:t>x</w:t>
            </w:r>
            <w:r>
              <w:rPr>
                <w:rFonts w:ascii="Times New Roman" w:hAnsi="Times New Roman" w:cs="Times New Roman" w:eastAsiaTheme="minorEastAsia"/>
                <w:color w:val="auto"/>
                <w:w w:val="99"/>
                <w:sz w:val="21"/>
                <w:szCs w:val="21"/>
                <w:highlight w:val="none"/>
              </w:rPr>
              <w:t xml:space="preserve"> </w:t>
            </w:r>
            <w:r>
              <w:rPr>
                <w:rFonts w:hint="eastAsia" w:ascii="Times New Roman" w:hAnsi="Times New Roman" w:cs="Times New Roman" w:eastAsiaTheme="minorEastAsia"/>
                <w:color w:val="auto"/>
                <w:w w:val="99"/>
                <w:sz w:val="21"/>
                <w:szCs w:val="21"/>
                <w:highlight w:val="none"/>
                <w:lang w:eastAsia="zh-CN"/>
              </w:rPr>
              <w:t>、</w:t>
            </w: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2</w:t>
            </w:r>
          </w:p>
        </w:tc>
        <w:tc>
          <w:tcPr>
            <w:tcW w:w="697" w:type="pct"/>
            <w:vAlign w:val="center"/>
          </w:tcPr>
          <w:p w14:paraId="5778BA08">
            <w:pPr>
              <w:shd w:val="clear"/>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98.88×</w:t>
            </w:r>
            <w:r>
              <w:rPr>
                <w:rFonts w:hint="eastAsia" w:ascii="Times New Roman" w:hAnsi="Times New Roman" w:cs="Times New Roman"/>
                <w:color w:val="auto"/>
                <w:spacing w:val="0"/>
                <w:w w:val="99"/>
                <w:position w:val="0"/>
                <w:sz w:val="21"/>
                <w:szCs w:val="21"/>
                <w:highlight w:val="none"/>
                <w:lang w:val="en-US" w:eastAsia="zh-CN" w:bidi="ar-SA"/>
              </w:rPr>
              <w:t>10</w:t>
            </w:r>
            <w:r>
              <w:rPr>
                <w:rFonts w:hint="eastAsia" w:ascii="Times New Roman" w:hAnsi="Times New Roman" w:cs="Times New Roman"/>
                <w:color w:val="auto"/>
                <w:spacing w:val="0"/>
                <w:w w:val="99"/>
                <w:position w:val="0"/>
                <w:sz w:val="21"/>
                <w:szCs w:val="21"/>
                <w:highlight w:val="none"/>
                <w:vertAlign w:val="superscript"/>
                <w:lang w:val="en-US" w:eastAsia="zh-CN" w:bidi="ar-SA"/>
              </w:rPr>
              <w:t>4</w:t>
            </w:r>
            <w:r>
              <w:rPr>
                <w:rFonts w:hint="eastAsia" w:ascii="Times New Roman" w:hAnsi="Times New Roman" w:cs="Times New Roman" w:eastAsiaTheme="minorEastAsia"/>
                <w:color w:val="auto"/>
                <w:w w:val="99"/>
                <w:kern w:val="2"/>
                <w:sz w:val="21"/>
                <w:szCs w:val="21"/>
                <w:highlight w:val="none"/>
                <w:lang w:val="en-US" w:eastAsia="zh-CN"/>
              </w:rPr>
              <w:t>m</w:t>
            </w:r>
            <w:r>
              <w:rPr>
                <w:rFonts w:hint="eastAsia" w:ascii="Times New Roman" w:hAnsi="Times New Roman" w:cs="Times New Roman" w:eastAsiaTheme="minorEastAsia"/>
                <w:color w:val="auto"/>
                <w:w w:val="99"/>
                <w:kern w:val="2"/>
                <w:sz w:val="21"/>
                <w:szCs w:val="21"/>
                <w:highlight w:val="none"/>
                <w:vertAlign w:val="superscript"/>
                <w:lang w:val="en-US" w:eastAsia="zh-CN"/>
              </w:rPr>
              <w:t>3</w:t>
            </w:r>
            <w:r>
              <w:rPr>
                <w:rFonts w:hint="eastAsia" w:ascii="Times New Roman" w:hAnsi="Times New Roman" w:cs="Times New Roman" w:eastAsiaTheme="minorEastAsia"/>
                <w:color w:val="auto"/>
                <w:w w:val="99"/>
                <w:kern w:val="2"/>
                <w:sz w:val="21"/>
                <w:szCs w:val="21"/>
                <w:highlight w:val="none"/>
                <w:lang w:val="en-US" w:eastAsia="zh-CN"/>
              </w:rPr>
              <w:t>/a</w:t>
            </w:r>
          </w:p>
        </w:tc>
        <w:tc>
          <w:tcPr>
            <w:tcW w:w="1054" w:type="pct"/>
            <w:vAlign w:val="center"/>
          </w:tcPr>
          <w:p w14:paraId="166D425C">
            <w:pPr>
              <w:shd w:val="clear"/>
              <w:spacing w:line="360" w:lineRule="exact"/>
              <w:jc w:val="center"/>
              <w:rPr>
                <w:rFonts w:ascii="Times New Roman" w:hAnsi="Times New Roman" w:cs="Times New Roman"/>
                <w:color w:val="auto"/>
                <w:w w:val="99"/>
                <w:kern w:val="2"/>
                <w:sz w:val="21"/>
                <w:szCs w:val="21"/>
                <w:highlight w:val="none"/>
              </w:rPr>
            </w:pPr>
            <w:r>
              <w:rPr>
                <w:rFonts w:hint="default" w:ascii="Times New Roman" w:hAnsi="Times New Roman" w:cs="Times New Roman"/>
                <w:color w:val="auto"/>
                <w:w w:val="99"/>
                <w:kern w:val="2"/>
                <w:sz w:val="21"/>
                <w:szCs w:val="21"/>
                <w:highlight w:val="none"/>
              </w:rPr>
              <w:t>采用清洁能源天然气作为燃料，并采用低氮燃烧器</w:t>
            </w:r>
          </w:p>
        </w:tc>
        <w:tc>
          <w:tcPr>
            <w:tcW w:w="1737" w:type="pct"/>
            <w:vAlign w:val="center"/>
          </w:tcPr>
          <w:p w14:paraId="5F3FE886">
            <w:pPr>
              <w:shd w:val="clear"/>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default" w:ascii="Times New Roman" w:hAnsi="Times New Roman" w:cs="Times New Roman" w:eastAsiaTheme="minorEastAsia"/>
                <w:snapToGrid w:val="0"/>
                <w:color w:val="auto"/>
                <w:w w:val="99"/>
                <w:sz w:val="21"/>
                <w:szCs w:val="21"/>
                <w:highlight w:val="none"/>
              </w:rPr>
              <w:t>《锅炉大气污染物排放标准》（GB13271-2014）表2</w:t>
            </w:r>
            <w:r>
              <w:rPr>
                <w:rFonts w:hint="eastAsia" w:ascii="Times New Roman" w:hAnsi="Times New Roman" w:cs="Times New Roman" w:eastAsiaTheme="minorEastAsia"/>
                <w:snapToGrid w:val="0"/>
                <w:color w:val="auto"/>
                <w:w w:val="99"/>
                <w:sz w:val="21"/>
                <w:szCs w:val="21"/>
                <w:highlight w:val="none"/>
                <w:lang w:val="en-US" w:eastAsia="zh-CN"/>
              </w:rPr>
              <w:t>标准限值</w:t>
            </w:r>
          </w:p>
        </w:tc>
      </w:tr>
      <w:tr w14:paraId="7EDEB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9" w:type="pct"/>
            <w:vMerge w:val="continue"/>
            <w:vAlign w:val="center"/>
          </w:tcPr>
          <w:p w14:paraId="6BDBDEF6">
            <w:pPr>
              <w:shd w:val="clear"/>
              <w:spacing w:line="360" w:lineRule="exact"/>
              <w:jc w:val="center"/>
              <w:rPr>
                <w:rFonts w:ascii="Times New Roman" w:hAnsi="Times New Roman" w:cs="Times New Roman" w:eastAsiaTheme="minorEastAsia"/>
                <w:color w:val="auto"/>
                <w:w w:val="99"/>
                <w:sz w:val="21"/>
                <w:szCs w:val="21"/>
                <w:highlight w:val="none"/>
              </w:rPr>
            </w:pPr>
          </w:p>
        </w:tc>
        <w:tc>
          <w:tcPr>
            <w:tcW w:w="504" w:type="pct"/>
            <w:vAlign w:val="center"/>
          </w:tcPr>
          <w:p w14:paraId="0DC29995">
            <w:pPr>
              <w:shd w:val="clea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 xml:space="preserve">井场放空池 </w:t>
            </w:r>
          </w:p>
        </w:tc>
        <w:tc>
          <w:tcPr>
            <w:tcW w:w="655" w:type="pct"/>
            <w:vAlign w:val="center"/>
          </w:tcPr>
          <w:p w14:paraId="70B2C194">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颗粒物</w:t>
            </w:r>
            <w:r>
              <w:rPr>
                <w:rFonts w:hint="eastAsia" w:ascii="Times New Roman" w:hAnsi="Times New Roman" w:cs="Times New Roman" w:eastAsiaTheme="minorEastAsia"/>
                <w:color w:val="auto"/>
                <w:w w:val="99"/>
                <w:sz w:val="21"/>
                <w:szCs w:val="21"/>
                <w:highlight w:val="none"/>
                <w:lang w:eastAsia="zh-CN"/>
              </w:rPr>
              <w:t>、</w:t>
            </w:r>
            <w:r>
              <w:rPr>
                <w:rFonts w:ascii="Times New Roman" w:hAnsi="Times New Roman" w:cs="Times New Roman" w:eastAsiaTheme="minorEastAsia"/>
                <w:color w:val="auto"/>
                <w:w w:val="99"/>
                <w:sz w:val="21"/>
                <w:szCs w:val="21"/>
                <w:highlight w:val="none"/>
              </w:rPr>
              <w:t>NO</w:t>
            </w:r>
            <w:r>
              <w:rPr>
                <w:rFonts w:ascii="Times New Roman" w:hAnsi="Times New Roman" w:cs="Times New Roman" w:eastAsiaTheme="minorEastAsia"/>
                <w:color w:val="auto"/>
                <w:w w:val="99"/>
                <w:sz w:val="21"/>
                <w:szCs w:val="21"/>
                <w:highlight w:val="none"/>
                <w:vertAlign w:val="subscript"/>
              </w:rPr>
              <w:t>x</w:t>
            </w:r>
            <w:r>
              <w:rPr>
                <w:rFonts w:ascii="Times New Roman" w:hAnsi="Times New Roman" w:cs="Times New Roman" w:eastAsiaTheme="minorEastAsia"/>
                <w:color w:val="auto"/>
                <w:w w:val="99"/>
                <w:sz w:val="21"/>
                <w:szCs w:val="21"/>
                <w:highlight w:val="none"/>
              </w:rPr>
              <w:t xml:space="preserve"> </w:t>
            </w:r>
            <w:r>
              <w:rPr>
                <w:rFonts w:hint="eastAsia" w:ascii="Times New Roman" w:hAnsi="Times New Roman" w:cs="Times New Roman" w:eastAsiaTheme="minorEastAsia"/>
                <w:color w:val="auto"/>
                <w:w w:val="99"/>
                <w:sz w:val="21"/>
                <w:szCs w:val="21"/>
                <w:highlight w:val="none"/>
                <w:lang w:eastAsia="zh-CN"/>
              </w:rPr>
              <w:t>、</w:t>
            </w: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2</w:t>
            </w:r>
          </w:p>
        </w:tc>
        <w:tc>
          <w:tcPr>
            <w:tcW w:w="697" w:type="pct"/>
            <w:vAlign w:val="center"/>
          </w:tcPr>
          <w:p w14:paraId="25A6217D">
            <w:pPr>
              <w:shd w:val="clear"/>
              <w:spacing w:line="360" w:lineRule="exact"/>
              <w:jc w:val="center"/>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2500m</w:t>
            </w:r>
            <w:r>
              <w:rPr>
                <w:rFonts w:hint="eastAsia" w:ascii="Times New Roman" w:hAnsi="Times New Roman" w:cs="Times New Roman" w:eastAsiaTheme="minorEastAsia"/>
                <w:color w:val="auto"/>
                <w:w w:val="99"/>
                <w:kern w:val="2"/>
                <w:sz w:val="21"/>
                <w:szCs w:val="21"/>
                <w:highlight w:val="none"/>
                <w:vertAlign w:val="superscript"/>
                <w:lang w:val="en-US" w:eastAsia="zh-CN"/>
              </w:rPr>
              <w:t>3</w:t>
            </w:r>
            <w:r>
              <w:rPr>
                <w:rFonts w:hint="eastAsia" w:ascii="Times New Roman" w:hAnsi="Times New Roman" w:cs="Times New Roman" w:eastAsiaTheme="minorEastAsia"/>
                <w:color w:val="auto"/>
                <w:w w:val="99"/>
                <w:kern w:val="2"/>
                <w:sz w:val="21"/>
                <w:szCs w:val="21"/>
                <w:highlight w:val="none"/>
                <w:lang w:val="en-US" w:eastAsia="zh-CN"/>
              </w:rPr>
              <w:t>/a</w:t>
            </w:r>
          </w:p>
        </w:tc>
        <w:tc>
          <w:tcPr>
            <w:tcW w:w="1054" w:type="pct"/>
            <w:vAlign w:val="center"/>
          </w:tcPr>
          <w:p w14:paraId="5CB64142">
            <w:pPr>
              <w:shd w:val="clear"/>
              <w:spacing w:line="360" w:lineRule="exact"/>
              <w:jc w:val="center"/>
              <w:rPr>
                <w:rFonts w:hint="eastAsia" w:ascii="Times New Roman" w:hAnsi="Times New Roman" w:eastAsia="宋体" w:cs="Times New Roman"/>
                <w:color w:val="auto"/>
                <w:w w:val="99"/>
                <w:kern w:val="2"/>
                <w:sz w:val="21"/>
                <w:szCs w:val="21"/>
                <w:highlight w:val="none"/>
                <w:lang w:val="en-US" w:eastAsia="zh-CN"/>
              </w:rPr>
            </w:pPr>
            <w:r>
              <w:rPr>
                <w:rFonts w:hint="eastAsia" w:ascii="Times New Roman" w:hAnsi="Times New Roman" w:cs="Times New Roman"/>
                <w:color w:val="auto"/>
                <w:w w:val="99"/>
                <w:kern w:val="2"/>
                <w:sz w:val="21"/>
                <w:szCs w:val="21"/>
                <w:highlight w:val="none"/>
                <w:lang w:val="en-US" w:eastAsia="zh-CN"/>
              </w:rPr>
              <w:t>/</w:t>
            </w:r>
          </w:p>
        </w:tc>
        <w:tc>
          <w:tcPr>
            <w:tcW w:w="1737" w:type="pct"/>
            <w:vAlign w:val="center"/>
          </w:tcPr>
          <w:p w14:paraId="62DDF2AD">
            <w:pPr>
              <w:shd w:val="clear"/>
              <w:spacing w:line="36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w:t>
            </w:r>
          </w:p>
        </w:tc>
      </w:tr>
      <w:tr w14:paraId="29570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9" w:type="pct"/>
            <w:vAlign w:val="center"/>
          </w:tcPr>
          <w:p w14:paraId="28B59B35">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w:t>
            </w:r>
          </w:p>
        </w:tc>
        <w:tc>
          <w:tcPr>
            <w:tcW w:w="504" w:type="pct"/>
            <w:vAlign w:val="center"/>
          </w:tcPr>
          <w:p w14:paraId="7CA37DD7">
            <w:pPr>
              <w:shd w:val="clea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气田采出水</w:t>
            </w:r>
          </w:p>
        </w:tc>
        <w:tc>
          <w:tcPr>
            <w:tcW w:w="655" w:type="pct"/>
            <w:vAlign w:val="center"/>
          </w:tcPr>
          <w:p w14:paraId="10D6CCC2">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697" w:type="pct"/>
            <w:vAlign w:val="center"/>
          </w:tcPr>
          <w:p w14:paraId="7ABBF778">
            <w:pPr>
              <w:shd w:val="clea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lang w:val="en-US" w:eastAsia="zh-CN"/>
              </w:rPr>
              <w:t>1095</w:t>
            </w:r>
            <w:r>
              <w:rPr>
                <w:rFonts w:hint="eastAsia" w:ascii="Times New Roman" w:hAnsi="Times New Roman" w:cs="Times New Roman" w:eastAsiaTheme="minorEastAsia"/>
                <w:color w:val="auto"/>
                <w:w w:val="99"/>
                <w:sz w:val="21"/>
                <w:szCs w:val="21"/>
                <w:highlight w:val="none"/>
                <w:lang w:val="en-US" w:eastAsia="zh-CN"/>
              </w:rPr>
              <w:t>m</w:t>
            </w:r>
            <w:r>
              <w:rPr>
                <w:rFonts w:hint="eastAsia" w:ascii="Times New Roman" w:hAnsi="Times New Roman" w:cs="Times New Roman" w:eastAsiaTheme="minorEastAsia"/>
                <w:color w:val="auto"/>
                <w:w w:val="99"/>
                <w:sz w:val="21"/>
                <w:szCs w:val="21"/>
                <w:highlight w:val="none"/>
                <w:vertAlign w:val="superscript"/>
                <w:lang w:val="en-US" w:eastAsia="zh-CN"/>
              </w:rPr>
              <w:t>3</w:t>
            </w:r>
            <w:r>
              <w:rPr>
                <w:rFonts w:ascii="Times New Roman" w:hAnsi="Times New Roman" w:cs="Times New Roman" w:eastAsiaTheme="minorEastAsia"/>
                <w:color w:val="auto"/>
                <w:w w:val="99"/>
                <w:sz w:val="21"/>
                <w:szCs w:val="21"/>
                <w:highlight w:val="none"/>
              </w:rPr>
              <w:t>/a</w:t>
            </w:r>
          </w:p>
        </w:tc>
        <w:tc>
          <w:tcPr>
            <w:tcW w:w="1054" w:type="pct"/>
            <w:vAlign w:val="center"/>
          </w:tcPr>
          <w:p w14:paraId="22B1F994">
            <w:pPr>
              <w:shd w:val="clea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kern w:val="21"/>
                <w:sz w:val="21"/>
                <w:szCs w:val="21"/>
                <w:highlight w:val="none"/>
              </w:rPr>
              <w:t>暂存</w:t>
            </w:r>
            <w:r>
              <w:rPr>
                <w:rFonts w:hint="eastAsia" w:ascii="Times New Roman" w:hAnsi="Times New Roman" w:cs="Times New Roman" w:eastAsiaTheme="minorEastAsia"/>
                <w:color w:val="auto"/>
                <w:w w:val="99"/>
                <w:kern w:val="21"/>
                <w:sz w:val="21"/>
                <w:szCs w:val="21"/>
                <w:highlight w:val="none"/>
                <w:lang w:val="en-US" w:eastAsia="zh-CN"/>
              </w:rPr>
              <w:t>在站内现有污水罐暂存，然后定期由罐车拉运至升一联气田污水处理站集中处理</w:t>
            </w:r>
          </w:p>
        </w:tc>
        <w:tc>
          <w:tcPr>
            <w:tcW w:w="1737" w:type="pct"/>
            <w:vAlign w:val="center"/>
          </w:tcPr>
          <w:p w14:paraId="0A1E851B">
            <w:pPr>
              <w:shd w:val="clea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ascii="Times New Roman" w:hAnsi="Times New Roman" w:cs="Times New Roman" w:eastAsiaTheme="minorEastAsia"/>
                <w:color w:val="auto"/>
                <w:w w:val="99"/>
                <w:sz w:val="21"/>
                <w:szCs w:val="21"/>
                <w:highlight w:val="none"/>
              </w:rPr>
              <w:t>处理后的废水</w:t>
            </w:r>
            <w:r>
              <w:rPr>
                <w:rFonts w:hint="eastAsia" w:ascii="Times New Roman" w:hAnsi="Times New Roman" w:cs="Times New Roman" w:eastAsiaTheme="minorEastAsia"/>
                <w:color w:val="auto"/>
                <w:w w:val="99"/>
                <w:sz w:val="21"/>
                <w:szCs w:val="21"/>
                <w:highlight w:val="none"/>
              </w:rPr>
              <w:t>满足</w:t>
            </w:r>
            <w:r>
              <w:rPr>
                <w:rFonts w:hint="eastAsia" w:ascii="Times New Roman" w:hAnsi="Times New Roman" w:cs="Times New Roman" w:eastAsiaTheme="minorEastAsia"/>
                <w:color w:val="auto"/>
                <w:w w:val="99"/>
                <w:kern w:val="21"/>
                <w:sz w:val="21"/>
                <w:szCs w:val="21"/>
                <w:highlight w:val="none"/>
                <w:lang w:val="en-US" w:eastAsia="zh-CN"/>
              </w:rPr>
              <w:t>《大庆油田地面工程建设设计规定》(Q/SYDQ0639-2015)、《碎屑岩油藏注水水质指标技术要求及分析方法》(SY/T5329-2022)中标准限值“含油量≤10mg/L、悬浮固体含量≤5mg/L、粒径中值≤2</w:t>
            </w:r>
            <w:r>
              <w:rPr>
                <w:rFonts w:hint="default" w:ascii="Times New Roman" w:hAnsi="Times New Roman" w:cs="Times New Roman" w:eastAsiaTheme="minorEastAsia"/>
                <w:color w:val="auto"/>
                <w:w w:val="99"/>
                <w:kern w:val="21"/>
                <w:sz w:val="21"/>
                <w:szCs w:val="21"/>
                <w:highlight w:val="none"/>
                <w:lang w:val="en-US" w:eastAsia="zh-CN"/>
              </w:rPr>
              <w:t>µ</w:t>
            </w:r>
            <w:r>
              <w:rPr>
                <w:rFonts w:hint="eastAsia" w:ascii="Times New Roman" w:hAnsi="Times New Roman" w:cs="Times New Roman" w:eastAsiaTheme="minorEastAsia"/>
                <w:color w:val="auto"/>
                <w:w w:val="99"/>
                <w:kern w:val="21"/>
                <w:sz w:val="21"/>
                <w:szCs w:val="21"/>
                <w:highlight w:val="none"/>
                <w:lang w:val="en-US" w:eastAsia="zh-CN"/>
              </w:rPr>
              <w:t>m”</w:t>
            </w:r>
            <w:r>
              <w:rPr>
                <w:rFonts w:ascii="Times New Roman" w:hAnsi="Times New Roman" w:cs="Times New Roman" w:eastAsiaTheme="minorEastAsia"/>
                <w:color w:val="auto"/>
                <w:w w:val="99"/>
                <w:sz w:val="21"/>
                <w:szCs w:val="21"/>
                <w:highlight w:val="none"/>
              </w:rPr>
              <w:t>要求后</w:t>
            </w:r>
            <w:r>
              <w:rPr>
                <w:rFonts w:hint="eastAsia" w:ascii="Times New Roman" w:hAnsi="Times New Roman" w:cs="Times New Roman" w:eastAsiaTheme="minorEastAsia"/>
                <w:color w:val="auto"/>
                <w:w w:val="99"/>
                <w:sz w:val="21"/>
                <w:szCs w:val="21"/>
                <w:highlight w:val="none"/>
                <w:lang w:eastAsia="zh-CN"/>
              </w:rPr>
              <w:t>回注现役油层</w:t>
            </w:r>
          </w:p>
        </w:tc>
      </w:tr>
      <w:tr w14:paraId="1314C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9" w:type="pct"/>
            <w:vAlign w:val="center"/>
          </w:tcPr>
          <w:p w14:paraId="768B2E0B">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噪声</w:t>
            </w:r>
          </w:p>
        </w:tc>
        <w:tc>
          <w:tcPr>
            <w:tcW w:w="504" w:type="pct"/>
            <w:vAlign w:val="center"/>
          </w:tcPr>
          <w:p w14:paraId="7A2342A3">
            <w:pPr>
              <w:shd w:val="clea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机泵噪声</w:t>
            </w:r>
          </w:p>
        </w:tc>
        <w:tc>
          <w:tcPr>
            <w:tcW w:w="655" w:type="pct"/>
            <w:vAlign w:val="center"/>
          </w:tcPr>
          <w:p w14:paraId="48D4F9A4">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噪声</w:t>
            </w:r>
          </w:p>
        </w:tc>
        <w:tc>
          <w:tcPr>
            <w:tcW w:w="697" w:type="pct"/>
            <w:vAlign w:val="center"/>
          </w:tcPr>
          <w:p w14:paraId="617A4BC8">
            <w:pPr>
              <w:shd w:val="clea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95</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lang w:val="en-US" w:eastAsia="zh-CN"/>
              </w:rPr>
              <w:t>105</w:t>
            </w:r>
            <w:r>
              <w:rPr>
                <w:rFonts w:ascii="Times New Roman" w:hAnsi="Times New Roman" w:cs="Times New Roman" w:eastAsiaTheme="minorEastAsia"/>
                <w:color w:val="auto"/>
                <w:w w:val="99"/>
                <w:sz w:val="21"/>
                <w:szCs w:val="21"/>
                <w:highlight w:val="none"/>
              </w:rPr>
              <w:t>dB(A)</w:t>
            </w:r>
          </w:p>
        </w:tc>
        <w:tc>
          <w:tcPr>
            <w:tcW w:w="1054" w:type="pct"/>
            <w:vAlign w:val="center"/>
          </w:tcPr>
          <w:p w14:paraId="11ABD6E7">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定期维护保养</w:t>
            </w:r>
          </w:p>
        </w:tc>
        <w:tc>
          <w:tcPr>
            <w:tcW w:w="1737" w:type="pct"/>
            <w:vAlign w:val="center"/>
          </w:tcPr>
          <w:p w14:paraId="10C28017">
            <w:pPr>
              <w:shd w:val="clea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执行《工业企业厂界环境噪声排放标准》（GB 12348-2008）中2类标准</w:t>
            </w:r>
          </w:p>
        </w:tc>
      </w:tr>
      <w:tr w14:paraId="6E442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9" w:type="pct"/>
            <w:vMerge w:val="restart"/>
            <w:shd w:val="clear" w:color="auto" w:fill="auto"/>
            <w:vAlign w:val="center"/>
          </w:tcPr>
          <w:p w14:paraId="03DC8B22">
            <w:pPr>
              <w:shd w:val="clea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cs="Times New Roman" w:eastAsiaTheme="minorEastAsia"/>
                <w:color w:val="auto"/>
                <w:w w:val="99"/>
                <w:sz w:val="21"/>
                <w:szCs w:val="21"/>
                <w:highlight w:val="none"/>
              </w:rPr>
              <w:t>固废</w:t>
            </w:r>
          </w:p>
        </w:tc>
        <w:tc>
          <w:tcPr>
            <w:tcW w:w="504" w:type="pct"/>
            <w:shd w:val="clear" w:color="auto" w:fill="auto"/>
            <w:vAlign w:val="center"/>
          </w:tcPr>
          <w:p w14:paraId="1CA8CFD7">
            <w:pPr>
              <w:shd w:val="clea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井口含油砂砾</w:t>
            </w:r>
          </w:p>
        </w:tc>
        <w:tc>
          <w:tcPr>
            <w:tcW w:w="655" w:type="pct"/>
            <w:shd w:val="clear" w:color="auto" w:fill="auto"/>
            <w:vAlign w:val="center"/>
          </w:tcPr>
          <w:p w14:paraId="07B5C150">
            <w:pPr>
              <w:shd w:val="clea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石油类</w:t>
            </w:r>
          </w:p>
        </w:tc>
        <w:tc>
          <w:tcPr>
            <w:tcW w:w="697" w:type="pct"/>
            <w:shd w:val="clear" w:color="auto" w:fill="auto"/>
            <w:vAlign w:val="center"/>
          </w:tcPr>
          <w:p w14:paraId="7966FE3E">
            <w:pPr>
              <w:shd w:val="clea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eastAsiaTheme="minorEastAsia"/>
                <w:color w:val="auto"/>
                <w:w w:val="99"/>
                <w:sz w:val="21"/>
                <w:szCs w:val="21"/>
                <w:highlight w:val="none"/>
                <w:lang w:val="en-US" w:eastAsia="zh-CN"/>
              </w:rPr>
              <w:t>0.01t/a</w:t>
            </w:r>
          </w:p>
        </w:tc>
        <w:tc>
          <w:tcPr>
            <w:tcW w:w="1054" w:type="pct"/>
            <w:vMerge w:val="restart"/>
            <w:shd w:val="clear" w:color="auto" w:fill="auto"/>
            <w:vAlign w:val="center"/>
          </w:tcPr>
          <w:p w14:paraId="460EB9F9">
            <w:pPr>
              <w:shd w:val="clear"/>
              <w:spacing w:line="360" w:lineRule="exact"/>
              <w:jc w:val="center"/>
              <w:rPr>
                <w:rFonts w:hint="eastAsia" w:ascii="Times New Roman" w:hAnsi="Times New Roman" w:cs="Times New Roman" w:eastAsiaTheme="minorEastAsia"/>
                <w:color w:val="auto"/>
                <w:w w:val="99"/>
                <w:sz w:val="21"/>
                <w:szCs w:val="21"/>
                <w:highlight w:val="none"/>
                <w:lang w:val="en-US" w:eastAsia="zh-CN" w:bidi="ar-SA"/>
              </w:rPr>
            </w:pPr>
            <w:r>
              <w:rPr>
                <w:rFonts w:hint="eastAsia" w:ascii="Times New Roman" w:hAnsi="Times New Roman" w:cs="Times New Roman"/>
                <w:color w:val="auto"/>
                <w:w w:val="99"/>
                <w:kern w:val="2"/>
                <w:sz w:val="21"/>
                <w:szCs w:val="21"/>
                <w:highlight w:val="none"/>
                <w:lang w:val="en-US" w:eastAsia="zh-CN"/>
              </w:rPr>
              <w:t>由检维修队送采气分公司危险废物贮存库内，定期委托有危废处置资质的单位处置</w:t>
            </w:r>
          </w:p>
        </w:tc>
        <w:tc>
          <w:tcPr>
            <w:tcW w:w="1737" w:type="pct"/>
            <w:vMerge w:val="restart"/>
            <w:shd w:val="clear" w:color="auto" w:fill="auto"/>
            <w:vAlign w:val="center"/>
          </w:tcPr>
          <w:p w14:paraId="214A4B51">
            <w:pPr>
              <w:shd w:val="clear"/>
              <w:spacing w:line="360" w:lineRule="exact"/>
              <w:jc w:val="center"/>
              <w:rPr>
                <w:rFonts w:ascii="Times New Roman" w:hAnsi="Times New Roman" w:cs="Times New Roman" w:eastAsiaTheme="minorEastAsia"/>
                <w:color w:val="auto"/>
                <w:w w:val="99"/>
                <w:sz w:val="21"/>
                <w:szCs w:val="21"/>
                <w:highlight w:val="none"/>
                <w:lang w:val="en-US" w:eastAsia="zh-CN" w:bidi="ar-SA"/>
              </w:rPr>
            </w:pPr>
            <w:r>
              <w:rPr>
                <w:rFonts w:ascii="Times New Roman" w:hAnsi="Times New Roman" w:eastAsia="宋体" w:cs="Times New Roman"/>
                <w:color w:val="auto"/>
                <w:w w:val="99"/>
                <w:kern w:val="2"/>
                <w:sz w:val="21"/>
                <w:szCs w:val="21"/>
                <w:highlight w:val="none"/>
              </w:rPr>
              <w:t>执行《危险废物贮存污染控制标准》（GB18597-2023）中的相关规定，实行危险废物转移制度</w:t>
            </w:r>
          </w:p>
        </w:tc>
      </w:tr>
      <w:tr w14:paraId="43754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9" w:type="pct"/>
            <w:vMerge w:val="continue"/>
            <w:shd w:val="clear" w:color="auto" w:fill="auto"/>
            <w:vAlign w:val="center"/>
          </w:tcPr>
          <w:p w14:paraId="7B38E6A9">
            <w:pPr>
              <w:shd w:val="clear"/>
              <w:spacing w:line="360" w:lineRule="exact"/>
              <w:jc w:val="center"/>
              <w:rPr>
                <w:rFonts w:ascii="Times New Roman" w:hAnsi="Times New Roman" w:cs="Times New Roman" w:eastAsiaTheme="minorEastAsia"/>
                <w:color w:val="auto"/>
                <w:w w:val="99"/>
                <w:sz w:val="21"/>
                <w:szCs w:val="21"/>
                <w:highlight w:val="none"/>
              </w:rPr>
            </w:pPr>
          </w:p>
        </w:tc>
        <w:tc>
          <w:tcPr>
            <w:tcW w:w="504" w:type="pct"/>
            <w:shd w:val="clear" w:color="auto" w:fill="auto"/>
            <w:vAlign w:val="center"/>
          </w:tcPr>
          <w:p w14:paraId="70A68A84">
            <w:pPr>
              <w:shd w:val="clea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废变压器油</w:t>
            </w:r>
          </w:p>
        </w:tc>
        <w:tc>
          <w:tcPr>
            <w:tcW w:w="655" w:type="pct"/>
            <w:shd w:val="clear" w:color="auto" w:fill="auto"/>
            <w:vAlign w:val="center"/>
          </w:tcPr>
          <w:p w14:paraId="6A3DBF00">
            <w:pPr>
              <w:shd w:val="clea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石油类</w:t>
            </w:r>
          </w:p>
        </w:tc>
        <w:tc>
          <w:tcPr>
            <w:tcW w:w="697" w:type="pct"/>
            <w:shd w:val="clear" w:color="auto" w:fill="auto"/>
            <w:vAlign w:val="center"/>
          </w:tcPr>
          <w:p w14:paraId="3D1E99F2">
            <w:pPr>
              <w:shd w:val="clea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0.05t/a</w:t>
            </w:r>
          </w:p>
        </w:tc>
        <w:tc>
          <w:tcPr>
            <w:tcW w:w="1054" w:type="pct"/>
            <w:vMerge w:val="continue"/>
            <w:shd w:val="clear" w:color="auto" w:fill="auto"/>
            <w:vAlign w:val="center"/>
          </w:tcPr>
          <w:p w14:paraId="3C2B9DAA">
            <w:pPr>
              <w:shd w:val="clear"/>
              <w:spacing w:line="360" w:lineRule="exact"/>
              <w:jc w:val="center"/>
              <w:rPr>
                <w:rFonts w:hint="eastAsia" w:ascii="Times New Roman" w:hAnsi="Times New Roman" w:cs="Times New Roman"/>
                <w:color w:val="auto"/>
                <w:w w:val="99"/>
                <w:kern w:val="2"/>
                <w:sz w:val="21"/>
                <w:szCs w:val="21"/>
                <w:highlight w:val="none"/>
                <w:lang w:val="en-US" w:eastAsia="zh-CN"/>
              </w:rPr>
            </w:pPr>
          </w:p>
        </w:tc>
        <w:tc>
          <w:tcPr>
            <w:tcW w:w="1737" w:type="pct"/>
            <w:vMerge w:val="continue"/>
            <w:shd w:val="clear" w:color="auto" w:fill="auto"/>
            <w:vAlign w:val="center"/>
          </w:tcPr>
          <w:p w14:paraId="7F656CD5">
            <w:pPr>
              <w:shd w:val="clear"/>
              <w:spacing w:line="360" w:lineRule="exact"/>
              <w:jc w:val="center"/>
              <w:rPr>
                <w:rFonts w:ascii="Times New Roman" w:hAnsi="Times New Roman" w:eastAsia="宋体" w:cs="Times New Roman"/>
                <w:color w:val="auto"/>
                <w:w w:val="99"/>
                <w:kern w:val="2"/>
                <w:sz w:val="21"/>
                <w:szCs w:val="21"/>
                <w:highlight w:val="none"/>
              </w:rPr>
            </w:pPr>
          </w:p>
        </w:tc>
      </w:tr>
    </w:tbl>
    <w:p w14:paraId="280DD686">
      <w:pPr>
        <w:pStyle w:val="7"/>
        <w:widowControl w:val="0"/>
        <w:spacing w:before="60" w:after="60" w:line="440" w:lineRule="exact"/>
        <w:jc w:val="both"/>
        <w:rPr>
          <w:rFonts w:eastAsiaTheme="minorEastAsia"/>
          <w:b/>
          <w:color w:val="auto"/>
          <w:w w:val="99"/>
          <w:kern w:val="2"/>
          <w:sz w:val="24"/>
          <w:szCs w:val="24"/>
          <w:highlight w:val="none"/>
        </w:rPr>
      </w:pPr>
      <w:r>
        <w:rPr>
          <w:rFonts w:eastAsiaTheme="minorEastAsia"/>
          <w:b/>
          <w:color w:val="auto"/>
          <w:w w:val="99"/>
          <w:kern w:val="2"/>
          <w:sz w:val="24"/>
          <w:szCs w:val="24"/>
          <w:highlight w:val="none"/>
        </w:rPr>
        <w:t>8.2.6总量控制</w:t>
      </w:r>
      <w:bookmarkEnd w:id="1200"/>
      <w:bookmarkEnd w:id="1201"/>
      <w:bookmarkEnd w:id="1202"/>
      <w:bookmarkEnd w:id="1203"/>
      <w:bookmarkEnd w:id="1204"/>
      <w:bookmarkEnd w:id="1205"/>
      <w:bookmarkEnd w:id="1206"/>
      <w:bookmarkEnd w:id="1207"/>
    </w:p>
    <w:p w14:paraId="35EBA879">
      <w:pPr>
        <w:pStyle w:val="104"/>
        <w:spacing w:line="440" w:lineRule="exact"/>
        <w:ind w:left="0" w:firstLine="474" w:firstLineChars="200"/>
        <w:jc w:val="both"/>
        <w:rPr>
          <w:rFonts w:hint="default" w:ascii="Times New Roman" w:hAnsi="Times New Roman" w:eastAsia="宋体"/>
          <w:color w:val="auto"/>
          <w:w w:val="99"/>
          <w:sz w:val="24"/>
          <w:szCs w:val="24"/>
          <w:highlight w:val="none"/>
        </w:rPr>
      </w:pPr>
      <w:r>
        <w:rPr>
          <w:rFonts w:hint="default" w:ascii="Times New Roman" w:hAnsi="Times New Roman" w:eastAsia="宋体"/>
          <w:color w:val="auto"/>
          <w:w w:val="99"/>
          <w:sz w:val="24"/>
          <w:szCs w:val="24"/>
          <w:highlight w:val="none"/>
        </w:rPr>
        <w:t>本工程新增废气污染物为依托场站加热炉排放的 SO</w:t>
      </w:r>
      <w:r>
        <w:rPr>
          <w:rFonts w:hint="default" w:ascii="Times New Roman" w:hAnsi="Times New Roman" w:eastAsia="宋体"/>
          <w:color w:val="auto"/>
          <w:w w:val="99"/>
          <w:sz w:val="24"/>
          <w:szCs w:val="24"/>
          <w:highlight w:val="none"/>
          <w:vertAlign w:val="subscript"/>
        </w:rPr>
        <w:t>2</w:t>
      </w:r>
      <w:r>
        <w:rPr>
          <w:rFonts w:hint="default" w:ascii="Times New Roman" w:hAnsi="Times New Roman" w:eastAsia="宋体"/>
          <w:color w:val="auto"/>
          <w:w w:val="99"/>
          <w:sz w:val="24"/>
          <w:szCs w:val="24"/>
          <w:highlight w:val="none"/>
        </w:rPr>
        <w:t>、NO</w:t>
      </w:r>
      <w:r>
        <w:rPr>
          <w:rFonts w:hint="default" w:ascii="Times New Roman" w:hAnsi="Times New Roman" w:eastAsia="宋体"/>
          <w:color w:val="auto"/>
          <w:w w:val="99"/>
          <w:sz w:val="24"/>
          <w:szCs w:val="24"/>
          <w:highlight w:val="none"/>
          <w:vertAlign w:val="subscript"/>
        </w:rPr>
        <w:t>X</w:t>
      </w:r>
      <w:r>
        <w:rPr>
          <w:rFonts w:hint="default" w:ascii="Times New Roman" w:hAnsi="Times New Roman" w:eastAsia="宋体"/>
          <w:color w:val="auto"/>
          <w:w w:val="99"/>
          <w:sz w:val="24"/>
          <w:szCs w:val="24"/>
          <w:highlight w:val="none"/>
        </w:rPr>
        <w:t>、颗粒物及新增产能排放的VOCs。本项目依托的场站未新增加热炉，产生的污染物量在原有申请总量内，整体区域总量不增加，因此本项目外排污染物涉及的总量控制因子为 VOCs，总量由所在区域削减平衡，本项目污染物排放总量情况见表8.2-3。</w:t>
      </w:r>
    </w:p>
    <w:p w14:paraId="2CAB02F9">
      <w:pPr>
        <w:pStyle w:val="104"/>
        <w:spacing w:line="440" w:lineRule="exact"/>
        <w:ind w:left="0" w:firstLine="476" w:firstLineChars="200"/>
        <w:jc w:val="both"/>
        <w:rPr>
          <w:rFonts w:hint="default" w:ascii="Times New Roman" w:hAnsi="Times New Roman" w:eastAsia="宋体"/>
          <w:color w:val="auto"/>
          <w:w w:val="99"/>
          <w:sz w:val="24"/>
          <w:szCs w:val="24"/>
          <w:highlight w:val="none"/>
        </w:rPr>
      </w:pPr>
      <w:r>
        <w:rPr>
          <w:rFonts w:hint="default" w:ascii="Times New Roman" w:hAnsi="Times New Roman"/>
          <w:b/>
          <w:color w:val="auto"/>
          <w:w w:val="99"/>
          <w:sz w:val="24"/>
          <w:szCs w:val="24"/>
          <w:highlight w:val="none"/>
        </w:rPr>
        <w:t>表8.2-3    本项目</w:t>
      </w:r>
      <w:r>
        <w:rPr>
          <w:rFonts w:hint="default" w:ascii="Times New Roman" w:hAnsi="Times New Roman" w:eastAsiaTheme="minorEastAsia"/>
          <w:b/>
          <w:color w:val="auto"/>
          <w:w w:val="99"/>
          <w:kern w:val="21"/>
          <w:sz w:val="24"/>
          <w:szCs w:val="24"/>
          <w:highlight w:val="none"/>
        </w:rPr>
        <w:t>污染物</w:t>
      </w:r>
      <w:r>
        <w:rPr>
          <w:rFonts w:hint="default" w:ascii="Times New Roman" w:hAnsi="Times New Roman"/>
          <w:b/>
          <w:color w:val="auto"/>
          <w:w w:val="99"/>
          <w:sz w:val="24"/>
          <w:szCs w:val="24"/>
          <w:highlight w:val="none"/>
        </w:rPr>
        <w:t>排放总量一览表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49"/>
        <w:gridCol w:w="3307"/>
        <w:gridCol w:w="4124"/>
      </w:tblGrid>
      <w:tr w14:paraId="1D103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908" w:type="pct"/>
            <w:vAlign w:val="center"/>
          </w:tcPr>
          <w:p w14:paraId="379DDC34">
            <w:pPr>
              <w:pStyle w:val="104"/>
              <w:rPr>
                <w:rFonts w:hint="default" w:ascii="Times New Roman" w:hAnsi="Times New Roman" w:eastAsia="宋体"/>
                <w:color w:val="auto"/>
                <w:w w:val="99"/>
                <w:highlight w:val="none"/>
              </w:rPr>
            </w:pPr>
            <w:r>
              <w:rPr>
                <w:rFonts w:hint="default" w:ascii="Times New Roman" w:hAnsi="Times New Roman" w:eastAsia="宋体"/>
                <w:color w:val="auto"/>
                <w:w w:val="99"/>
                <w:highlight w:val="none"/>
              </w:rPr>
              <w:t>序号</w:t>
            </w:r>
          </w:p>
        </w:tc>
        <w:tc>
          <w:tcPr>
            <w:tcW w:w="1821" w:type="pct"/>
            <w:vAlign w:val="center"/>
          </w:tcPr>
          <w:p w14:paraId="3E159740">
            <w:pPr>
              <w:pStyle w:val="104"/>
              <w:rPr>
                <w:rFonts w:hint="default" w:ascii="Times New Roman" w:hAnsi="Times New Roman" w:eastAsia="宋体"/>
                <w:color w:val="auto"/>
                <w:w w:val="99"/>
                <w:highlight w:val="none"/>
              </w:rPr>
            </w:pPr>
            <w:r>
              <w:rPr>
                <w:rFonts w:hint="default" w:ascii="Times New Roman" w:hAnsi="Times New Roman" w:eastAsia="宋体"/>
                <w:color w:val="auto"/>
                <w:w w:val="99"/>
                <w:highlight w:val="none"/>
              </w:rPr>
              <w:t>污染物</w:t>
            </w:r>
          </w:p>
        </w:tc>
        <w:tc>
          <w:tcPr>
            <w:tcW w:w="2271" w:type="pct"/>
            <w:vAlign w:val="center"/>
          </w:tcPr>
          <w:p w14:paraId="5D583C5A">
            <w:pPr>
              <w:pStyle w:val="104"/>
              <w:rPr>
                <w:rFonts w:hint="default" w:ascii="Times New Roman" w:hAnsi="Times New Roman" w:eastAsia="宋体"/>
                <w:color w:val="auto"/>
                <w:w w:val="99"/>
                <w:highlight w:val="none"/>
              </w:rPr>
            </w:pPr>
            <w:r>
              <w:rPr>
                <w:rFonts w:hint="default" w:ascii="Times New Roman" w:hAnsi="Times New Roman" w:eastAsia="宋体"/>
                <w:color w:val="auto"/>
                <w:w w:val="99"/>
                <w:highlight w:val="none"/>
              </w:rPr>
              <w:t>核定排放量（t/a）</w:t>
            </w:r>
          </w:p>
        </w:tc>
      </w:tr>
      <w:tr w14:paraId="75C4D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908" w:type="pct"/>
            <w:vAlign w:val="center"/>
          </w:tcPr>
          <w:p w14:paraId="106AAD44">
            <w:pPr>
              <w:pStyle w:val="104"/>
              <w:rPr>
                <w:rFonts w:hint="default" w:ascii="Times New Roman" w:hAnsi="Times New Roman" w:eastAsia="宋体"/>
                <w:color w:val="auto"/>
                <w:w w:val="99"/>
                <w:highlight w:val="none"/>
              </w:rPr>
            </w:pPr>
            <w:r>
              <w:rPr>
                <w:rFonts w:hint="default" w:ascii="Times New Roman" w:hAnsi="Times New Roman" w:eastAsia="宋体"/>
                <w:color w:val="auto"/>
                <w:w w:val="99"/>
                <w:highlight w:val="none"/>
              </w:rPr>
              <w:t>1</w:t>
            </w:r>
          </w:p>
        </w:tc>
        <w:tc>
          <w:tcPr>
            <w:tcW w:w="1821" w:type="pct"/>
            <w:vAlign w:val="center"/>
          </w:tcPr>
          <w:p w14:paraId="6785B589">
            <w:pPr>
              <w:pStyle w:val="104"/>
              <w:rPr>
                <w:rFonts w:hint="default" w:ascii="Times New Roman" w:hAnsi="Times New Roman" w:eastAsia="宋体"/>
                <w:color w:val="auto"/>
                <w:w w:val="99"/>
                <w:highlight w:val="none"/>
              </w:rPr>
            </w:pPr>
            <w:r>
              <w:rPr>
                <w:rFonts w:hint="default" w:ascii="Times New Roman" w:hAnsi="Times New Roman" w:eastAsia="宋体"/>
                <w:color w:val="auto"/>
                <w:w w:val="99"/>
                <w:highlight w:val="none"/>
              </w:rPr>
              <w:t>VOCs</w:t>
            </w:r>
          </w:p>
        </w:tc>
        <w:tc>
          <w:tcPr>
            <w:tcW w:w="2271" w:type="pct"/>
            <w:vAlign w:val="center"/>
          </w:tcPr>
          <w:p w14:paraId="0F922C94">
            <w:pPr>
              <w:pStyle w:val="104"/>
              <w:rPr>
                <w:rFonts w:hint="default" w:ascii="Times New Roman" w:hAnsi="Times New Roman" w:eastAsia="宋体"/>
                <w:color w:val="auto"/>
                <w:w w:val="99"/>
                <w:highlight w:val="none"/>
                <w:lang w:val="en-US" w:eastAsia="zh-CN"/>
              </w:rPr>
            </w:pPr>
            <w:r>
              <w:rPr>
                <w:rFonts w:hint="eastAsia" w:ascii="Times New Roman" w:hAnsi="Times New Roman" w:eastAsia="宋体"/>
                <w:color w:val="auto"/>
                <w:w w:val="99"/>
                <w:highlight w:val="none"/>
                <w:lang w:val="en-US" w:eastAsia="zh-CN"/>
              </w:rPr>
              <w:t>11.66</w:t>
            </w:r>
          </w:p>
        </w:tc>
      </w:tr>
    </w:tbl>
    <w:p w14:paraId="1C17E8D2">
      <w:pPr>
        <w:pStyle w:val="7"/>
        <w:widowControl w:val="0"/>
        <w:spacing w:before="60" w:after="60" w:line="440" w:lineRule="exact"/>
        <w:jc w:val="both"/>
        <w:rPr>
          <w:rFonts w:eastAsiaTheme="minorEastAsia"/>
          <w:b/>
          <w:color w:val="auto"/>
          <w:w w:val="99"/>
          <w:kern w:val="2"/>
          <w:sz w:val="24"/>
          <w:szCs w:val="24"/>
          <w:highlight w:val="none"/>
        </w:rPr>
      </w:pPr>
      <w:bookmarkStart w:id="1208" w:name="_Toc143099692"/>
      <w:bookmarkStart w:id="1209" w:name="_Toc126863504"/>
      <w:bookmarkStart w:id="1210" w:name="_Toc127192453"/>
      <w:bookmarkStart w:id="1211" w:name="_Toc85640872"/>
      <w:bookmarkStart w:id="1212" w:name="_Toc86142047"/>
      <w:bookmarkStart w:id="1213" w:name="_Toc84929348"/>
      <w:bookmarkStart w:id="1214" w:name="_Toc131167405"/>
      <w:bookmarkStart w:id="1215" w:name="_Toc186444404"/>
      <w:r>
        <w:rPr>
          <w:rFonts w:eastAsiaTheme="minorEastAsia"/>
          <w:b/>
          <w:color w:val="auto"/>
          <w:w w:val="99"/>
          <w:kern w:val="2"/>
          <w:sz w:val="24"/>
          <w:szCs w:val="24"/>
          <w:highlight w:val="none"/>
        </w:rPr>
        <w:t>8.2.7施工期环境管理</w:t>
      </w:r>
      <w:bookmarkEnd w:id="1208"/>
      <w:bookmarkEnd w:id="1209"/>
      <w:bookmarkEnd w:id="1210"/>
      <w:bookmarkEnd w:id="1211"/>
      <w:bookmarkEnd w:id="1212"/>
      <w:bookmarkEnd w:id="1213"/>
      <w:bookmarkEnd w:id="1214"/>
      <w:bookmarkEnd w:id="1215"/>
    </w:p>
    <w:p w14:paraId="5C4B73C3">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8.2.7.1加强工程承包方管理</w:t>
      </w:r>
    </w:p>
    <w:p w14:paraId="55A4F7E0">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要与具有相关资质的施工作业单位签定《工程服务安全生产合同》，执行HSE管理体系，对项目实施HSE</w:t>
      </w:r>
      <w:r>
        <w:rPr>
          <w:rFonts w:hint="eastAsia" w:ascii="Times New Roman" w:hAnsi="Times New Roman" w:cs="Times New Roman"/>
          <w:color w:val="auto"/>
          <w:w w:val="99"/>
          <w:kern w:val="0"/>
          <w:sz w:val="24"/>
          <w:szCs w:val="24"/>
          <w:highlight w:val="none"/>
          <w:lang w:val="en-US" w:eastAsia="zh-CN" w:bidi="zh-CN"/>
        </w:rPr>
        <w:t>立案</w:t>
      </w:r>
      <w:r>
        <w:rPr>
          <w:rFonts w:hint="default" w:ascii="Times New Roman" w:hAnsi="Times New Roman" w:eastAsia="宋体" w:cs="Times New Roman"/>
          <w:color w:val="auto"/>
          <w:w w:val="99"/>
          <w:kern w:val="0"/>
          <w:sz w:val="24"/>
          <w:szCs w:val="24"/>
          <w:highlight w:val="none"/>
          <w:lang w:val="en-US" w:eastAsia="zh-CN" w:bidi="zh-CN"/>
        </w:rPr>
        <w:t>管理，并按其内容执行。针对工程的承包方，应加强环境管理，制定出严格的环保管理制度：</w:t>
      </w:r>
    </w:p>
    <w:p w14:paraId="34C625C4">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（1）在承包方的选择上应优先选择那些环保管理水平高、环保业绩好的单位；</w:t>
      </w:r>
    </w:p>
    <w:p w14:paraId="30A39E6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（2）在承包合同中应明确有关环境保护条款，如环境保护目标，采取的水、气、声和生态保护措施等，将环保工作的好坏作为工程验收的标准之一；</w:t>
      </w:r>
    </w:p>
    <w:p w14:paraId="1001ADB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（3）各分承包方应按照项目部的环境管理制度要求，建立相应的环境管理机构，明确环保管理人员，明确人员职责等；</w:t>
      </w:r>
    </w:p>
    <w:p w14:paraId="2B721176">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hint="default" w:ascii="Times New Roman" w:hAnsi="Times New Roman" w:eastAsia="宋体" w:cs="Times New Roman"/>
          <w:color w:val="auto"/>
          <w:w w:val="99"/>
          <w:kern w:val="0"/>
          <w:sz w:val="24"/>
          <w:szCs w:val="24"/>
          <w:highlight w:val="none"/>
          <w:lang w:val="en-US" w:eastAsia="zh-CN" w:bidi="zh-CN"/>
        </w:rPr>
        <w:t>（4）各分承包方在施工之前，编制详细的“环境管理方案”，并连同施工计划一起呈报项目经理部以及有关的生态环境部门，批准后方可以开工。</w:t>
      </w:r>
    </w:p>
    <w:p w14:paraId="52149663">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8.2.7.2注重人员培训</w:t>
      </w:r>
    </w:p>
    <w:p w14:paraId="7ADA287B">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施工作业之前必须对全体施工人员进行包括环保知识、意识和能力的培训。其中环保能力的培训主要包括：保护生态环境的规定；减少和收集、处理固体废物的方法；管理、存放及处理危险品的方法；国家及当地政府的环境保护法律、法规等。</w:t>
      </w:r>
    </w:p>
    <w:p w14:paraId="105E40E6">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bookmarkStart w:id="1216" w:name="_Toc127192454"/>
      <w:bookmarkStart w:id="1217" w:name="_Toc186444405"/>
      <w:bookmarkStart w:id="1218" w:name="_Toc126863505"/>
      <w:bookmarkStart w:id="1219" w:name="_Toc86142048"/>
      <w:bookmarkStart w:id="1220" w:name="_Toc85640873"/>
      <w:bookmarkStart w:id="1221" w:name="_Toc143099693"/>
      <w:bookmarkStart w:id="1222" w:name="_Toc84929349"/>
      <w:bookmarkStart w:id="1223" w:name="_Toc131167406"/>
      <w:r>
        <w:rPr>
          <w:rFonts w:ascii="Times New Roman" w:hAnsi="Times New Roman" w:eastAsiaTheme="minorEastAsia"/>
          <w:b/>
          <w:color w:val="auto"/>
          <w:w w:val="99"/>
          <w:highlight w:val="none"/>
        </w:rPr>
        <w:t>8.2.7.3施工期环境监测计划</w:t>
      </w:r>
    </w:p>
    <w:p w14:paraId="0AEC802A">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施工期的环境监测可包括对作业场所的控制监测和事故发生后的影响监测。施工单位可委托取得相关资质的地方环境监测站对施工场界的噪声、扬尘等进行一次性监测，发生事故时对周围的空气、土壤等进行监测。对作业场所的控制监测根据当地具体情况、当地生态环境部门要求等情况而定。施工期监测计划见下表8.2-4。</w:t>
      </w:r>
    </w:p>
    <w:p w14:paraId="2DFD7F1C">
      <w:pPr>
        <w:pStyle w:val="153"/>
        <w:widowControl w:val="0"/>
        <w:spacing w:line="440" w:lineRule="exact"/>
        <w:ind w:firstLine="478"/>
        <w:rPr>
          <w:rFonts w:ascii="Times New Roman" w:hAnsi="Times New Roman" w:eastAsiaTheme="minorEastAsia"/>
          <w:b/>
          <w:color w:val="auto"/>
          <w:w w:val="99"/>
          <w:kern w:val="21"/>
          <w:highlight w:val="none"/>
        </w:rPr>
      </w:pPr>
      <w:r>
        <w:rPr>
          <w:rFonts w:ascii="Times New Roman" w:hAnsi="Times New Roman" w:eastAsiaTheme="minorEastAsia"/>
          <w:b/>
          <w:color w:val="auto"/>
          <w:w w:val="99"/>
          <w:kern w:val="21"/>
          <w:highlight w:val="none"/>
        </w:rPr>
        <w:t>表8.2-4    工程施工期污染物排放监测计划表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736"/>
        <w:gridCol w:w="1057"/>
        <w:gridCol w:w="3057"/>
        <w:gridCol w:w="2958"/>
        <w:gridCol w:w="1318"/>
      </w:tblGrid>
      <w:tr w14:paraId="247FF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blHeader/>
          <w:jc w:val="center"/>
        </w:trPr>
        <w:tc>
          <w:tcPr>
            <w:tcW w:w="403" w:type="pct"/>
            <w:tcMar>
              <w:top w:w="28" w:type="dxa"/>
              <w:bottom w:w="28" w:type="dxa"/>
            </w:tcMar>
            <w:vAlign w:val="center"/>
          </w:tcPr>
          <w:p w14:paraId="7102235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579" w:type="pct"/>
            <w:tcMar>
              <w:top w:w="28" w:type="dxa"/>
              <w:bottom w:w="28" w:type="dxa"/>
            </w:tcMar>
            <w:vAlign w:val="center"/>
          </w:tcPr>
          <w:p w14:paraId="7A11EBEF">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监测内容</w:t>
            </w:r>
          </w:p>
        </w:tc>
        <w:tc>
          <w:tcPr>
            <w:tcW w:w="1674" w:type="pct"/>
            <w:tcMar>
              <w:top w:w="28" w:type="dxa"/>
              <w:bottom w:w="28" w:type="dxa"/>
            </w:tcMar>
            <w:vAlign w:val="center"/>
          </w:tcPr>
          <w:p w14:paraId="1C95267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监测（检查）项目</w:t>
            </w:r>
          </w:p>
        </w:tc>
        <w:tc>
          <w:tcPr>
            <w:tcW w:w="1620" w:type="pct"/>
            <w:tcMar>
              <w:top w:w="28" w:type="dxa"/>
              <w:bottom w:w="28" w:type="dxa"/>
            </w:tcMar>
            <w:vAlign w:val="center"/>
          </w:tcPr>
          <w:p w14:paraId="20F05ED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w:t>
            </w:r>
          </w:p>
        </w:tc>
        <w:tc>
          <w:tcPr>
            <w:tcW w:w="722" w:type="pct"/>
            <w:tcMar>
              <w:top w:w="28" w:type="dxa"/>
              <w:bottom w:w="28" w:type="dxa"/>
            </w:tcMar>
            <w:vAlign w:val="center"/>
          </w:tcPr>
          <w:p w14:paraId="40735B3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监测频次</w:t>
            </w:r>
          </w:p>
        </w:tc>
      </w:tr>
      <w:tr w14:paraId="06817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3" w:type="pct"/>
            <w:tcMar>
              <w:top w:w="28" w:type="dxa"/>
              <w:bottom w:w="28" w:type="dxa"/>
            </w:tcMar>
            <w:vAlign w:val="center"/>
          </w:tcPr>
          <w:p w14:paraId="5BB3F66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579" w:type="pct"/>
            <w:tcMar>
              <w:top w:w="28" w:type="dxa"/>
              <w:bottom w:w="28" w:type="dxa"/>
            </w:tcMar>
            <w:vAlign w:val="center"/>
          </w:tcPr>
          <w:p w14:paraId="21FFF2D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噪声</w:t>
            </w:r>
          </w:p>
        </w:tc>
        <w:tc>
          <w:tcPr>
            <w:tcW w:w="1674" w:type="pct"/>
            <w:tcMar>
              <w:top w:w="28" w:type="dxa"/>
              <w:bottom w:w="28" w:type="dxa"/>
            </w:tcMar>
            <w:vAlign w:val="center"/>
          </w:tcPr>
          <w:p w14:paraId="7313981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连续等效A声级</w:t>
            </w:r>
          </w:p>
        </w:tc>
        <w:tc>
          <w:tcPr>
            <w:tcW w:w="1620" w:type="pct"/>
            <w:tcMar>
              <w:top w:w="28" w:type="dxa"/>
              <w:bottom w:w="28" w:type="dxa"/>
            </w:tcMar>
            <w:vAlign w:val="center"/>
          </w:tcPr>
          <w:p w14:paraId="51BD90F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场界外1m</w:t>
            </w:r>
          </w:p>
        </w:tc>
        <w:tc>
          <w:tcPr>
            <w:tcW w:w="722" w:type="pct"/>
            <w:tcMar>
              <w:top w:w="28" w:type="dxa"/>
              <w:bottom w:w="28" w:type="dxa"/>
            </w:tcMar>
            <w:vAlign w:val="center"/>
          </w:tcPr>
          <w:p w14:paraId="706FA7B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1次/施工期</w:t>
            </w:r>
          </w:p>
        </w:tc>
      </w:tr>
      <w:tr w14:paraId="7AEE0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3" w:type="pct"/>
            <w:tcMar>
              <w:top w:w="28" w:type="dxa"/>
              <w:bottom w:w="28" w:type="dxa"/>
            </w:tcMar>
            <w:vAlign w:val="center"/>
          </w:tcPr>
          <w:p w14:paraId="3008584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579" w:type="pct"/>
            <w:tcMar>
              <w:top w:w="28" w:type="dxa"/>
              <w:bottom w:w="28" w:type="dxa"/>
            </w:tcMar>
            <w:vAlign w:val="center"/>
          </w:tcPr>
          <w:p w14:paraId="4B2FD9F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废气</w:t>
            </w:r>
          </w:p>
        </w:tc>
        <w:tc>
          <w:tcPr>
            <w:tcW w:w="1674" w:type="pct"/>
            <w:tcMar>
              <w:top w:w="28" w:type="dxa"/>
              <w:bottom w:w="28" w:type="dxa"/>
            </w:tcMar>
            <w:vAlign w:val="center"/>
          </w:tcPr>
          <w:p w14:paraId="05C98C5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颗粒物</w:t>
            </w:r>
          </w:p>
        </w:tc>
        <w:tc>
          <w:tcPr>
            <w:tcW w:w="1620" w:type="pct"/>
            <w:tcMar>
              <w:top w:w="28" w:type="dxa"/>
              <w:bottom w:w="28" w:type="dxa"/>
            </w:tcMar>
            <w:vAlign w:val="center"/>
          </w:tcPr>
          <w:p w14:paraId="201A5EA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场界外10m范围内</w:t>
            </w:r>
          </w:p>
        </w:tc>
        <w:tc>
          <w:tcPr>
            <w:tcW w:w="722" w:type="pct"/>
            <w:tcMar>
              <w:top w:w="28" w:type="dxa"/>
              <w:bottom w:w="28" w:type="dxa"/>
            </w:tcMar>
            <w:vAlign w:val="center"/>
          </w:tcPr>
          <w:p w14:paraId="2EAE974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1次/施工期</w:t>
            </w:r>
          </w:p>
        </w:tc>
      </w:tr>
      <w:tr w14:paraId="7626B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3" w:type="pct"/>
            <w:tcMar>
              <w:top w:w="28" w:type="dxa"/>
              <w:bottom w:w="28" w:type="dxa"/>
            </w:tcMar>
            <w:vAlign w:val="center"/>
          </w:tcPr>
          <w:p w14:paraId="17AAC7B5">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579" w:type="pct"/>
            <w:shd w:val="clear" w:color="auto" w:fill="auto"/>
            <w:tcMar>
              <w:top w:w="28" w:type="dxa"/>
              <w:bottom w:w="28" w:type="dxa"/>
            </w:tcMar>
            <w:vAlign w:val="center"/>
          </w:tcPr>
          <w:p w14:paraId="0DBC33F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事故监测</w:t>
            </w:r>
          </w:p>
        </w:tc>
        <w:tc>
          <w:tcPr>
            <w:tcW w:w="1674" w:type="pct"/>
            <w:shd w:val="clear" w:color="auto" w:fill="auto"/>
            <w:tcMar>
              <w:top w:w="28" w:type="dxa"/>
              <w:bottom w:w="28" w:type="dxa"/>
            </w:tcMar>
            <w:vAlign w:val="center"/>
          </w:tcPr>
          <w:p w14:paraId="0822299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空气：非甲烷总烃；土壤：石油烃；地下水：石油类；地表水：石油类</w:t>
            </w:r>
          </w:p>
        </w:tc>
        <w:tc>
          <w:tcPr>
            <w:tcW w:w="1620" w:type="pct"/>
            <w:shd w:val="clear" w:color="auto" w:fill="auto"/>
            <w:tcMar>
              <w:top w:w="28" w:type="dxa"/>
              <w:bottom w:w="28" w:type="dxa"/>
            </w:tcMar>
            <w:vAlign w:val="center"/>
          </w:tcPr>
          <w:p w14:paraId="21A2CC7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空气及土壤为事故地点；地下水、地表水为事故地点周围区域</w:t>
            </w:r>
          </w:p>
        </w:tc>
        <w:tc>
          <w:tcPr>
            <w:tcW w:w="722" w:type="pct"/>
            <w:shd w:val="clear" w:color="auto" w:fill="auto"/>
            <w:tcMar>
              <w:top w:w="28" w:type="dxa"/>
              <w:bottom w:w="28" w:type="dxa"/>
            </w:tcMar>
            <w:vAlign w:val="center"/>
          </w:tcPr>
          <w:p w14:paraId="7D8BC58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事故发生24小时内</w:t>
            </w:r>
          </w:p>
        </w:tc>
      </w:tr>
    </w:tbl>
    <w:p w14:paraId="1FFAE529">
      <w:pPr>
        <w:pStyle w:val="7"/>
        <w:widowControl w:val="0"/>
        <w:spacing w:before="60" w:after="60" w:line="440" w:lineRule="exact"/>
        <w:jc w:val="both"/>
        <w:rPr>
          <w:rFonts w:eastAsiaTheme="minorEastAsia"/>
          <w:b/>
          <w:color w:val="auto"/>
          <w:w w:val="99"/>
          <w:kern w:val="2"/>
          <w:sz w:val="24"/>
          <w:szCs w:val="24"/>
          <w:highlight w:val="none"/>
        </w:rPr>
      </w:pPr>
      <w:r>
        <w:rPr>
          <w:rFonts w:eastAsiaTheme="minorEastAsia"/>
          <w:b/>
          <w:color w:val="auto"/>
          <w:w w:val="99"/>
          <w:kern w:val="2"/>
          <w:sz w:val="24"/>
          <w:szCs w:val="24"/>
          <w:highlight w:val="none"/>
        </w:rPr>
        <w:t>8.2.8运营期环境管理与监测计划</w:t>
      </w:r>
      <w:bookmarkEnd w:id="1216"/>
      <w:bookmarkEnd w:id="1217"/>
      <w:bookmarkEnd w:id="1218"/>
      <w:bookmarkEnd w:id="1219"/>
      <w:bookmarkEnd w:id="1220"/>
      <w:bookmarkEnd w:id="1221"/>
      <w:bookmarkEnd w:id="1222"/>
      <w:bookmarkEnd w:id="1223"/>
    </w:p>
    <w:p w14:paraId="77361DD3">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8.2.8.1运营期环境管理</w:t>
      </w:r>
    </w:p>
    <w:p w14:paraId="72230FE0">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（1）进行环境监测，掌握污染现状；</w:t>
      </w:r>
    </w:p>
    <w:p w14:paraId="4624F7B1">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（2）定时定点监测周围环境，及时掌握环境状况的资料，促进环境管理的深入和污染治理的落实；</w:t>
      </w:r>
    </w:p>
    <w:p w14:paraId="133F09C2">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（3）落实环境管理制度；</w:t>
      </w:r>
    </w:p>
    <w:p w14:paraId="746623C0">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（4）制定环保经济责任考核制度，提高各部门对环境保护的责任感；</w:t>
      </w:r>
    </w:p>
    <w:p w14:paraId="0D767982">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（5）强化专业人员培训。</w:t>
      </w:r>
    </w:p>
    <w:p w14:paraId="15203457">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8.2.8.2运营期环境监测计划</w:t>
      </w:r>
    </w:p>
    <w:p w14:paraId="0F84A55B">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工程生产运营期需要进行的环境监测任务委托取得相关资质的地方环境监测站进行。环境监测应按国家和地方的环保要求进行，应采用国家规定的标准监测方法，并应按照规定，定期向有关环境保护主管部门上报监测结果。</w:t>
      </w:r>
    </w:p>
    <w:p w14:paraId="6EC84CED">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运营期根据《环境影响评价技术导则 地下水环境》（HJ610-2016）、《环境影响评价技术导则 土壤环境（试行）》（HJ964-2018）、《工业企业土壤和地下水自行监测技术指南（试行）》（HJ1209-2021）、《排污单位自行监测技术指南 陆上石油天然气开采工业》（HJ 1248-2022）及生态环境部门要求，结合油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田运营期环境污染的特点，主要针对</w:t>
      </w:r>
      <w:r>
        <w:rPr>
          <w:rFonts w:hint="eastAsia" w:ascii="Times New Roman" w:hAnsi="Times New Roman" w:eastAsia="宋体" w:cs="Times New Roman"/>
          <w:color w:val="auto"/>
          <w:w w:val="99"/>
          <w:kern w:val="0"/>
          <w:sz w:val="24"/>
          <w:szCs w:val="24"/>
          <w:highlight w:val="none"/>
          <w:lang w:val="en-US" w:eastAsia="zh-CN" w:bidi="zh-CN"/>
        </w:rPr>
        <w:t>气田</w:t>
      </w:r>
      <w:r>
        <w:rPr>
          <w:rFonts w:hint="default" w:ascii="Times New Roman" w:hAnsi="Times New Roman" w:eastAsia="宋体" w:cs="Times New Roman"/>
          <w:color w:val="auto"/>
          <w:w w:val="99"/>
          <w:kern w:val="0"/>
          <w:sz w:val="24"/>
          <w:szCs w:val="24"/>
          <w:highlight w:val="none"/>
          <w:lang w:val="en-US" w:eastAsia="zh-CN" w:bidi="zh-CN"/>
        </w:rPr>
        <w:t>污染物排放、</w:t>
      </w:r>
      <w:r>
        <w:rPr>
          <w:rFonts w:hint="eastAsia" w:ascii="Times New Roman" w:hAnsi="Times New Roman" w:eastAsia="宋体" w:cs="Times New Roman"/>
          <w:color w:val="auto"/>
          <w:w w:val="99"/>
          <w:kern w:val="0"/>
          <w:sz w:val="24"/>
          <w:szCs w:val="24"/>
          <w:highlight w:val="none"/>
          <w:lang w:val="en-US" w:eastAsia="zh-CN" w:bidi="zh-CN"/>
        </w:rPr>
        <w:t>气田</w:t>
      </w:r>
      <w:r>
        <w:rPr>
          <w:rFonts w:hint="default" w:ascii="Times New Roman" w:hAnsi="Times New Roman" w:eastAsia="宋体" w:cs="Times New Roman"/>
          <w:color w:val="auto"/>
          <w:w w:val="99"/>
          <w:kern w:val="0"/>
          <w:sz w:val="24"/>
          <w:szCs w:val="24"/>
          <w:highlight w:val="none"/>
          <w:lang w:val="en-US" w:eastAsia="zh-CN" w:bidi="zh-CN"/>
        </w:rPr>
        <w:t>开发区生态恢复情况、事故等，同时考虑已批复现有工程等制定监测计划，包括污染源监测计划、环境质量监测计划及生态调查方案，具体见下表：</w:t>
      </w:r>
    </w:p>
    <w:p w14:paraId="153C1B22">
      <w:pPr>
        <w:widowControl w:val="0"/>
        <w:spacing w:line="44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color w:val="auto"/>
          <w:w w:val="99"/>
          <w:kern w:val="21"/>
          <w:highlight w:val="none"/>
        </w:rPr>
        <w:t>表8.2-5    项目运营期污染源监测计划表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734"/>
        <w:gridCol w:w="546"/>
        <w:gridCol w:w="2284"/>
        <w:gridCol w:w="3713"/>
        <w:gridCol w:w="1849"/>
      </w:tblGrid>
      <w:tr w14:paraId="21267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2" w:type="pct"/>
            <w:tcMar>
              <w:top w:w="28" w:type="dxa"/>
              <w:bottom w:w="28" w:type="dxa"/>
            </w:tcMar>
            <w:vAlign w:val="center"/>
          </w:tcPr>
          <w:p w14:paraId="3DE9A4B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299" w:type="pct"/>
            <w:tcMar>
              <w:top w:w="28" w:type="dxa"/>
              <w:bottom w:w="28" w:type="dxa"/>
            </w:tcMar>
            <w:vAlign w:val="center"/>
          </w:tcPr>
          <w:p w14:paraId="4760F79E">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监测内容</w:t>
            </w:r>
          </w:p>
        </w:tc>
        <w:tc>
          <w:tcPr>
            <w:tcW w:w="1251" w:type="pct"/>
            <w:tcMar>
              <w:top w:w="28" w:type="dxa"/>
              <w:bottom w:w="28" w:type="dxa"/>
            </w:tcMar>
            <w:vAlign w:val="center"/>
          </w:tcPr>
          <w:p w14:paraId="6E083AE4">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监测因子</w:t>
            </w:r>
          </w:p>
        </w:tc>
        <w:tc>
          <w:tcPr>
            <w:tcW w:w="2034" w:type="pct"/>
            <w:tcMar>
              <w:top w:w="28" w:type="dxa"/>
              <w:bottom w:w="28" w:type="dxa"/>
            </w:tcMar>
            <w:vAlign w:val="center"/>
          </w:tcPr>
          <w:p w14:paraId="4CC83C8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w:t>
            </w:r>
          </w:p>
        </w:tc>
        <w:tc>
          <w:tcPr>
            <w:tcW w:w="1013" w:type="pct"/>
            <w:tcMar>
              <w:top w:w="28" w:type="dxa"/>
              <w:bottom w:w="28" w:type="dxa"/>
            </w:tcMar>
            <w:vAlign w:val="center"/>
          </w:tcPr>
          <w:p w14:paraId="38C60E7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监测频次</w:t>
            </w:r>
          </w:p>
        </w:tc>
      </w:tr>
      <w:tr w14:paraId="30B59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2" w:type="pct"/>
            <w:tcMar>
              <w:top w:w="28" w:type="dxa"/>
              <w:bottom w:w="28" w:type="dxa"/>
            </w:tcMar>
            <w:vAlign w:val="center"/>
          </w:tcPr>
          <w:p w14:paraId="5C467B5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299" w:type="pct"/>
            <w:tcMar>
              <w:top w:w="28" w:type="dxa"/>
              <w:bottom w:w="28" w:type="dxa"/>
            </w:tcMar>
            <w:vAlign w:val="center"/>
          </w:tcPr>
          <w:p w14:paraId="16F676A6">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废气</w:t>
            </w:r>
          </w:p>
        </w:tc>
        <w:tc>
          <w:tcPr>
            <w:tcW w:w="1251" w:type="pct"/>
            <w:tcMar>
              <w:top w:w="28" w:type="dxa"/>
              <w:bottom w:w="28" w:type="dxa"/>
            </w:tcMar>
            <w:vAlign w:val="center"/>
          </w:tcPr>
          <w:p w14:paraId="08328112">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非甲烷总烃</w:t>
            </w:r>
          </w:p>
        </w:tc>
        <w:tc>
          <w:tcPr>
            <w:tcW w:w="2034" w:type="pct"/>
            <w:tcMar>
              <w:top w:w="28" w:type="dxa"/>
              <w:bottom w:w="28" w:type="dxa"/>
            </w:tcMar>
            <w:vAlign w:val="center"/>
          </w:tcPr>
          <w:p w14:paraId="148E3CF3">
            <w:pPr>
              <w:adjustRightInd w:val="0"/>
              <w:spacing w:line="360" w:lineRule="exact"/>
              <w:jc w:val="both"/>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徐深</w:t>
            </w:r>
            <w:r>
              <w:rPr>
                <w:rFonts w:hint="eastAsia" w:ascii="Times New Roman" w:hAnsi="Times New Roman" w:cs="Times New Roman" w:eastAsiaTheme="minorEastAsia"/>
                <w:color w:val="auto"/>
                <w:w w:val="99"/>
                <w:sz w:val="21"/>
                <w:szCs w:val="21"/>
                <w:highlight w:val="none"/>
                <w:lang w:val="en-US" w:eastAsia="zh-CN"/>
              </w:rPr>
              <w:t>27-H1</w:t>
            </w:r>
            <w:r>
              <w:rPr>
                <w:rFonts w:ascii="Times New Roman" w:hAnsi="Times New Roman" w:cs="Times New Roman" w:eastAsiaTheme="minorEastAsia"/>
                <w:color w:val="auto"/>
                <w:w w:val="99"/>
                <w:sz w:val="21"/>
                <w:szCs w:val="21"/>
                <w:highlight w:val="none"/>
              </w:rPr>
              <w:t>井场上风向1个、下风向3个</w:t>
            </w:r>
          </w:p>
        </w:tc>
        <w:tc>
          <w:tcPr>
            <w:tcW w:w="1013" w:type="pct"/>
            <w:tcMar>
              <w:top w:w="28" w:type="dxa"/>
              <w:bottom w:w="28" w:type="dxa"/>
            </w:tcMar>
            <w:vAlign w:val="center"/>
          </w:tcPr>
          <w:p w14:paraId="2FC4EC9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1次/季</w:t>
            </w:r>
          </w:p>
        </w:tc>
      </w:tr>
      <w:tr w14:paraId="080A0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2" w:type="pct"/>
            <w:tcMar>
              <w:top w:w="28" w:type="dxa"/>
              <w:bottom w:w="28" w:type="dxa"/>
            </w:tcMar>
            <w:vAlign w:val="center"/>
          </w:tcPr>
          <w:p w14:paraId="21BAACB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299" w:type="pct"/>
            <w:tcMar>
              <w:top w:w="28" w:type="dxa"/>
              <w:bottom w:w="28" w:type="dxa"/>
            </w:tcMar>
            <w:vAlign w:val="center"/>
          </w:tcPr>
          <w:p w14:paraId="11812F5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噪声</w:t>
            </w:r>
          </w:p>
        </w:tc>
        <w:tc>
          <w:tcPr>
            <w:tcW w:w="1251" w:type="pct"/>
            <w:tcMar>
              <w:top w:w="28" w:type="dxa"/>
              <w:bottom w:w="28" w:type="dxa"/>
            </w:tcMar>
            <w:vAlign w:val="center"/>
          </w:tcPr>
          <w:p w14:paraId="2401F94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连续等效A声级</w:t>
            </w:r>
          </w:p>
        </w:tc>
        <w:tc>
          <w:tcPr>
            <w:tcW w:w="2034" w:type="pct"/>
            <w:tcMar>
              <w:top w:w="28" w:type="dxa"/>
              <w:bottom w:w="28" w:type="dxa"/>
            </w:tcMar>
            <w:vAlign w:val="center"/>
          </w:tcPr>
          <w:p w14:paraId="7AC5802B">
            <w:pPr>
              <w:adjustRightInd w:val="0"/>
              <w:spacing w:line="360" w:lineRule="exact"/>
              <w:jc w:val="both"/>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徐深</w:t>
            </w:r>
            <w:r>
              <w:rPr>
                <w:rFonts w:hint="eastAsia" w:ascii="Times New Roman" w:hAnsi="Times New Roman" w:cs="Times New Roman" w:eastAsiaTheme="minorEastAsia"/>
                <w:color w:val="auto"/>
                <w:w w:val="99"/>
                <w:sz w:val="21"/>
                <w:szCs w:val="21"/>
                <w:highlight w:val="none"/>
                <w:lang w:val="en-US" w:eastAsia="zh-CN"/>
              </w:rPr>
              <w:t>27-H1</w:t>
            </w:r>
            <w:r>
              <w:rPr>
                <w:rFonts w:ascii="Times New Roman" w:hAnsi="Times New Roman" w:cs="Times New Roman" w:eastAsiaTheme="minorEastAsia"/>
                <w:color w:val="auto"/>
                <w:w w:val="99"/>
                <w:sz w:val="21"/>
                <w:szCs w:val="21"/>
                <w:highlight w:val="none"/>
              </w:rPr>
              <w:t>井场占地外1m</w:t>
            </w:r>
          </w:p>
        </w:tc>
        <w:tc>
          <w:tcPr>
            <w:tcW w:w="1013" w:type="pct"/>
            <w:tcMar>
              <w:top w:w="28" w:type="dxa"/>
              <w:bottom w:w="28" w:type="dxa"/>
            </w:tcMar>
            <w:vAlign w:val="center"/>
          </w:tcPr>
          <w:p w14:paraId="05D2EE3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1次/季，昼、夜间监测</w:t>
            </w:r>
          </w:p>
        </w:tc>
      </w:tr>
      <w:tr w14:paraId="47F93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2" w:type="pct"/>
            <w:tcMar>
              <w:top w:w="28" w:type="dxa"/>
              <w:bottom w:w="28" w:type="dxa"/>
            </w:tcMar>
            <w:vAlign w:val="center"/>
          </w:tcPr>
          <w:p w14:paraId="033937AA">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299" w:type="pct"/>
            <w:tcMar>
              <w:top w:w="28" w:type="dxa"/>
              <w:bottom w:w="28" w:type="dxa"/>
            </w:tcMar>
            <w:vAlign w:val="center"/>
          </w:tcPr>
          <w:p w14:paraId="45192CE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事故监测</w:t>
            </w:r>
          </w:p>
        </w:tc>
        <w:tc>
          <w:tcPr>
            <w:tcW w:w="1251" w:type="pct"/>
            <w:tcMar>
              <w:top w:w="28" w:type="dxa"/>
              <w:bottom w:w="28" w:type="dxa"/>
            </w:tcMar>
            <w:vAlign w:val="center"/>
          </w:tcPr>
          <w:p w14:paraId="71DB8F73">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空气：非甲烷总烃；土壤：石油烃；地下水：石油类；地表水：石油类</w:t>
            </w:r>
          </w:p>
        </w:tc>
        <w:tc>
          <w:tcPr>
            <w:tcW w:w="2034" w:type="pct"/>
            <w:tcMar>
              <w:top w:w="28" w:type="dxa"/>
              <w:bottom w:w="28" w:type="dxa"/>
            </w:tcMar>
            <w:vAlign w:val="center"/>
          </w:tcPr>
          <w:p w14:paraId="0F1B2C36">
            <w:pPr>
              <w:adjustRightInd w:val="0"/>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空气及土壤为事故地点；地表水及地下水为事故地点周围区域。</w:t>
            </w:r>
          </w:p>
        </w:tc>
        <w:tc>
          <w:tcPr>
            <w:tcW w:w="1013" w:type="pct"/>
            <w:tcMar>
              <w:top w:w="28" w:type="dxa"/>
              <w:bottom w:w="28" w:type="dxa"/>
            </w:tcMar>
            <w:vAlign w:val="center"/>
          </w:tcPr>
          <w:p w14:paraId="207BC9CB">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事故发生24小时内</w:t>
            </w:r>
          </w:p>
        </w:tc>
      </w:tr>
    </w:tbl>
    <w:p w14:paraId="3DCF7AC8">
      <w:pPr>
        <w:pStyle w:val="153"/>
        <w:widowControl w:val="0"/>
        <w:spacing w:line="440" w:lineRule="exact"/>
        <w:ind w:firstLine="478"/>
        <w:rPr>
          <w:rFonts w:ascii="Times New Roman" w:hAnsi="Times New Roman" w:eastAsiaTheme="minorEastAsia"/>
          <w:b/>
          <w:color w:val="auto"/>
          <w:w w:val="99"/>
          <w:kern w:val="21"/>
          <w:highlight w:val="none"/>
        </w:rPr>
      </w:pPr>
      <w:r>
        <w:rPr>
          <w:rFonts w:ascii="Times New Roman" w:hAnsi="Times New Roman" w:eastAsiaTheme="minorEastAsia"/>
          <w:b/>
          <w:color w:val="auto"/>
          <w:w w:val="99"/>
          <w:kern w:val="21"/>
          <w:highlight w:val="none"/>
        </w:rPr>
        <w:t>表8.2-6    项目运营期环境质量监测计划表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471"/>
        <w:gridCol w:w="707"/>
        <w:gridCol w:w="1552"/>
        <w:gridCol w:w="1914"/>
        <w:gridCol w:w="2049"/>
        <w:gridCol w:w="1649"/>
        <w:gridCol w:w="784"/>
      </w:tblGrid>
      <w:tr w14:paraId="7968C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tcMar>
              <w:top w:w="28" w:type="dxa"/>
              <w:bottom w:w="28" w:type="dxa"/>
            </w:tcMar>
            <w:vAlign w:val="center"/>
          </w:tcPr>
          <w:p w14:paraId="34A3F483">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387" w:type="pct"/>
            <w:tcMar>
              <w:top w:w="28" w:type="dxa"/>
              <w:bottom w:w="28" w:type="dxa"/>
            </w:tcMar>
            <w:vAlign w:val="center"/>
          </w:tcPr>
          <w:p w14:paraId="779AD5BE">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监测内容</w:t>
            </w:r>
          </w:p>
        </w:tc>
        <w:tc>
          <w:tcPr>
            <w:tcW w:w="850" w:type="pct"/>
            <w:tcMar>
              <w:top w:w="28" w:type="dxa"/>
              <w:bottom w:w="28" w:type="dxa"/>
            </w:tcMar>
            <w:vAlign w:val="center"/>
          </w:tcPr>
          <w:p w14:paraId="0A9BF86B">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监测因子</w:t>
            </w:r>
          </w:p>
        </w:tc>
        <w:tc>
          <w:tcPr>
            <w:tcW w:w="1048" w:type="pct"/>
            <w:tcMar>
              <w:top w:w="28" w:type="dxa"/>
              <w:bottom w:w="28" w:type="dxa"/>
            </w:tcMar>
            <w:vAlign w:val="center"/>
          </w:tcPr>
          <w:p w14:paraId="2F74545B">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w:t>
            </w:r>
          </w:p>
        </w:tc>
        <w:tc>
          <w:tcPr>
            <w:tcW w:w="1122" w:type="pct"/>
            <w:vAlign w:val="center"/>
          </w:tcPr>
          <w:p w14:paraId="4E75CC40">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坐标</w:t>
            </w:r>
          </w:p>
        </w:tc>
        <w:tc>
          <w:tcPr>
            <w:tcW w:w="903" w:type="pct"/>
            <w:vAlign w:val="center"/>
          </w:tcPr>
          <w:p w14:paraId="1E22D65F">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与本项目的位置关系</w:t>
            </w:r>
          </w:p>
        </w:tc>
        <w:tc>
          <w:tcPr>
            <w:tcW w:w="429" w:type="pct"/>
            <w:tcMar>
              <w:top w:w="28" w:type="dxa"/>
              <w:bottom w:w="28" w:type="dxa"/>
            </w:tcMar>
            <w:vAlign w:val="center"/>
          </w:tcPr>
          <w:p w14:paraId="639E765F">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监测频次</w:t>
            </w:r>
          </w:p>
        </w:tc>
      </w:tr>
      <w:tr w14:paraId="58242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vMerge w:val="restart"/>
            <w:tcMar>
              <w:top w:w="28" w:type="dxa"/>
              <w:bottom w:w="28" w:type="dxa"/>
            </w:tcMar>
            <w:vAlign w:val="center"/>
          </w:tcPr>
          <w:p w14:paraId="49678964">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387" w:type="pct"/>
            <w:vMerge w:val="restart"/>
            <w:tcMar>
              <w:top w:w="28" w:type="dxa"/>
              <w:bottom w:w="28" w:type="dxa"/>
            </w:tcMar>
            <w:vAlign w:val="center"/>
          </w:tcPr>
          <w:p w14:paraId="26E5555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地下水</w:t>
            </w:r>
          </w:p>
        </w:tc>
        <w:tc>
          <w:tcPr>
            <w:tcW w:w="850" w:type="pct"/>
            <w:vMerge w:val="restart"/>
            <w:tcMar>
              <w:top w:w="28" w:type="dxa"/>
              <w:bottom w:w="28" w:type="dxa"/>
            </w:tcMar>
            <w:vAlign w:val="center"/>
          </w:tcPr>
          <w:p w14:paraId="6739A1BE">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pH、石油类、石油烃（C</w:t>
            </w:r>
            <w:r>
              <w:rPr>
                <w:rFonts w:ascii="Times New Roman" w:hAnsi="Times New Roman" w:cs="Times New Roman" w:eastAsiaTheme="minorEastAsia"/>
                <w:color w:val="auto"/>
                <w:w w:val="99"/>
                <w:sz w:val="21"/>
                <w:szCs w:val="21"/>
                <w:highlight w:val="none"/>
                <w:vertAlign w:val="subscript"/>
              </w:rPr>
              <w:t>6</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9</w:t>
            </w: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）、汞、砷、六价铬</w:t>
            </w:r>
          </w:p>
        </w:tc>
        <w:tc>
          <w:tcPr>
            <w:tcW w:w="1048" w:type="pct"/>
            <w:tcMar>
              <w:top w:w="28" w:type="dxa"/>
              <w:bottom w:w="28" w:type="dxa"/>
            </w:tcMar>
            <w:vAlign w:val="center"/>
          </w:tcPr>
          <w:p w14:paraId="45BCCBAF">
            <w:pPr>
              <w:widowControl w:val="0"/>
              <w:snapToGrid w:val="0"/>
              <w:spacing w:line="320" w:lineRule="exact"/>
              <w:jc w:val="center"/>
              <w:rPr>
                <w:rFonts w:ascii="Times New Roman" w:hAnsi="Times New Roman" w:eastAsiaTheme="minorEastAsia"/>
                <w:color w:val="auto"/>
                <w:w w:val="99"/>
                <w:szCs w:val="21"/>
                <w:highlight w:val="none"/>
              </w:rPr>
            </w:pPr>
            <w:r>
              <w:rPr>
                <w:rFonts w:hint="eastAsia" w:ascii="Times New Roman" w:hAnsi="Times New Roman" w:cs="Times New Roman" w:eastAsiaTheme="minorEastAsia"/>
                <w:color w:val="auto"/>
                <w:w w:val="99"/>
                <w:sz w:val="21"/>
                <w:szCs w:val="21"/>
                <w:highlight w:val="none"/>
                <w:lang w:val="en-US" w:eastAsia="zh-CN"/>
              </w:rPr>
              <w:t>王家围子屯水</w:t>
            </w:r>
            <w:r>
              <w:rPr>
                <w:rFonts w:ascii="Times New Roman" w:hAnsi="Times New Roman" w:cs="Times New Roman" w:eastAsiaTheme="minorEastAsia"/>
                <w:color w:val="auto"/>
                <w:w w:val="99"/>
                <w:sz w:val="21"/>
                <w:szCs w:val="21"/>
                <w:highlight w:val="none"/>
              </w:rPr>
              <w:t>井</w:t>
            </w:r>
          </w:p>
        </w:tc>
        <w:tc>
          <w:tcPr>
            <w:tcW w:w="1122" w:type="pct"/>
            <w:vAlign w:val="center"/>
          </w:tcPr>
          <w:p w14:paraId="1A260266">
            <w:pPr>
              <w:widowControl w:val="0"/>
              <w:snapToGrid w:val="0"/>
              <w:spacing w:line="320" w:lineRule="exact"/>
              <w:jc w:val="center"/>
              <w:rPr>
                <w:rFonts w:ascii="Times New Roman" w:hAnsi="Times New Roman" w:eastAsiaTheme="minorEastAsia"/>
                <w:color w:val="auto"/>
                <w:w w:val="99"/>
                <w:szCs w:val="21"/>
                <w:highlight w:val="none"/>
              </w:rPr>
            </w:pPr>
            <w:r>
              <w:rPr>
                <w:rFonts w:hint="eastAsia" w:ascii="Times New Roman" w:hAnsi="Times New Roman" w:cs="Times New Roman" w:eastAsiaTheme="minorEastAsia"/>
                <w:color w:val="auto"/>
                <w:w w:val="99"/>
                <w:sz w:val="21"/>
                <w:szCs w:val="21"/>
                <w:highlight w:val="none"/>
                <w:lang w:eastAsia="zh-CN"/>
              </w:rPr>
              <w:t>125.51499，45.90631</w:t>
            </w:r>
          </w:p>
        </w:tc>
        <w:tc>
          <w:tcPr>
            <w:tcW w:w="903" w:type="pct"/>
            <w:vAlign w:val="center"/>
          </w:tcPr>
          <w:p w14:paraId="1CA3FD4D">
            <w:pPr>
              <w:widowControl w:val="0"/>
              <w:snapToGrid w:val="0"/>
              <w:spacing w:line="320" w:lineRule="exact"/>
              <w:jc w:val="center"/>
              <w:rPr>
                <w:rFonts w:ascii="Times New Roman" w:hAnsi="Times New Roman" w:eastAsiaTheme="minorEastAsia"/>
                <w:color w:val="auto"/>
                <w:w w:val="99"/>
                <w:szCs w:val="21"/>
                <w:highlight w:val="none"/>
              </w:rPr>
            </w:pPr>
            <w:r>
              <w:rPr>
                <w:rFonts w:hint="eastAsia" w:ascii="Times New Roman" w:hAnsi="Times New Roman" w:cs="Times New Roman" w:eastAsiaTheme="minorEastAsia"/>
                <w:color w:val="auto"/>
                <w:w w:val="99"/>
                <w:sz w:val="21"/>
                <w:szCs w:val="21"/>
                <w:highlight w:val="none"/>
                <w:lang w:val="en-US" w:eastAsia="zh-CN"/>
              </w:rPr>
              <w:t>拟建管线东北侧850m（上游）</w:t>
            </w:r>
          </w:p>
        </w:tc>
        <w:tc>
          <w:tcPr>
            <w:tcW w:w="429" w:type="pct"/>
            <w:vMerge w:val="restart"/>
            <w:tcMar>
              <w:top w:w="28" w:type="dxa"/>
              <w:bottom w:w="28" w:type="dxa"/>
            </w:tcMar>
            <w:vAlign w:val="center"/>
          </w:tcPr>
          <w:p w14:paraId="30A89330">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1次/半年</w:t>
            </w:r>
          </w:p>
        </w:tc>
      </w:tr>
      <w:tr w14:paraId="6EF30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vMerge w:val="continue"/>
            <w:tcMar>
              <w:top w:w="28" w:type="dxa"/>
              <w:bottom w:w="28" w:type="dxa"/>
            </w:tcMar>
            <w:vAlign w:val="center"/>
          </w:tcPr>
          <w:p w14:paraId="414670F4">
            <w:pPr>
              <w:spacing w:line="320" w:lineRule="exact"/>
              <w:jc w:val="center"/>
              <w:rPr>
                <w:rFonts w:ascii="Times New Roman" w:hAnsi="Times New Roman" w:cs="Times New Roman" w:eastAsiaTheme="minorEastAsia"/>
                <w:color w:val="auto"/>
                <w:w w:val="99"/>
                <w:sz w:val="21"/>
                <w:szCs w:val="21"/>
                <w:highlight w:val="none"/>
              </w:rPr>
            </w:pPr>
          </w:p>
        </w:tc>
        <w:tc>
          <w:tcPr>
            <w:tcW w:w="387" w:type="pct"/>
            <w:vMerge w:val="continue"/>
            <w:tcMar>
              <w:top w:w="28" w:type="dxa"/>
              <w:bottom w:w="28" w:type="dxa"/>
            </w:tcMar>
            <w:vAlign w:val="center"/>
          </w:tcPr>
          <w:p w14:paraId="3C56B7CE">
            <w:pPr>
              <w:spacing w:line="320" w:lineRule="exact"/>
              <w:jc w:val="center"/>
              <w:rPr>
                <w:rFonts w:ascii="Times New Roman" w:hAnsi="Times New Roman" w:cs="Times New Roman" w:eastAsiaTheme="minorEastAsia"/>
                <w:color w:val="auto"/>
                <w:w w:val="99"/>
                <w:sz w:val="21"/>
                <w:szCs w:val="21"/>
                <w:highlight w:val="none"/>
              </w:rPr>
            </w:pPr>
          </w:p>
        </w:tc>
        <w:tc>
          <w:tcPr>
            <w:tcW w:w="850" w:type="pct"/>
            <w:vMerge w:val="continue"/>
            <w:tcMar>
              <w:top w:w="28" w:type="dxa"/>
              <w:bottom w:w="28" w:type="dxa"/>
            </w:tcMar>
            <w:vAlign w:val="center"/>
          </w:tcPr>
          <w:p w14:paraId="786AD2BA">
            <w:pPr>
              <w:spacing w:line="320" w:lineRule="exact"/>
              <w:jc w:val="center"/>
              <w:rPr>
                <w:rFonts w:ascii="Times New Roman" w:hAnsi="Times New Roman" w:cs="Times New Roman" w:eastAsiaTheme="minorEastAsia"/>
                <w:color w:val="auto"/>
                <w:w w:val="99"/>
                <w:sz w:val="21"/>
                <w:szCs w:val="21"/>
                <w:highlight w:val="none"/>
              </w:rPr>
            </w:pPr>
          </w:p>
        </w:tc>
        <w:tc>
          <w:tcPr>
            <w:tcW w:w="1048" w:type="pct"/>
            <w:tcMar>
              <w:top w:w="28" w:type="dxa"/>
              <w:bottom w:w="28" w:type="dxa"/>
            </w:tcMar>
            <w:vAlign w:val="center"/>
          </w:tcPr>
          <w:p w14:paraId="137AF02F">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val="en-US" w:eastAsia="zh-CN"/>
              </w:rPr>
            </w:pPr>
            <w:r>
              <w:rPr>
                <w:rFonts w:hint="eastAsia" w:ascii="Times New Roman" w:hAnsi="Times New Roman" w:cs="Times New Roman" w:eastAsiaTheme="minorEastAsia"/>
                <w:color w:val="auto"/>
                <w:w w:val="99"/>
                <w:sz w:val="21"/>
                <w:szCs w:val="21"/>
                <w:highlight w:val="none"/>
                <w:lang w:val="en-US" w:eastAsia="zh-CN"/>
              </w:rPr>
              <w:t>福龙村（尚家围子屯）水</w:t>
            </w:r>
            <w:r>
              <w:rPr>
                <w:rFonts w:ascii="Times New Roman" w:hAnsi="Times New Roman" w:cs="Times New Roman" w:eastAsiaTheme="minorEastAsia"/>
                <w:color w:val="auto"/>
                <w:w w:val="99"/>
                <w:sz w:val="21"/>
                <w:szCs w:val="21"/>
                <w:highlight w:val="none"/>
              </w:rPr>
              <w:t>井</w:t>
            </w:r>
          </w:p>
        </w:tc>
        <w:tc>
          <w:tcPr>
            <w:tcW w:w="1122" w:type="pct"/>
            <w:vAlign w:val="center"/>
          </w:tcPr>
          <w:p w14:paraId="00664BF2">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eastAsia="zh-CN"/>
              </w:rPr>
            </w:pPr>
            <w:r>
              <w:rPr>
                <w:rFonts w:hint="eastAsia" w:ascii="Times New Roman" w:hAnsi="Times New Roman" w:cs="Times New Roman" w:eastAsiaTheme="minorEastAsia"/>
                <w:color w:val="auto"/>
                <w:w w:val="99"/>
                <w:sz w:val="21"/>
                <w:szCs w:val="21"/>
                <w:highlight w:val="none"/>
                <w:lang w:eastAsia="zh-CN"/>
              </w:rPr>
              <w:t>125.50506，45.89648</w:t>
            </w:r>
          </w:p>
        </w:tc>
        <w:tc>
          <w:tcPr>
            <w:tcW w:w="903" w:type="pct"/>
            <w:vAlign w:val="center"/>
          </w:tcPr>
          <w:p w14:paraId="33D6FAA5">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val="en-US" w:eastAsia="zh-CN"/>
              </w:rPr>
            </w:pPr>
            <w:r>
              <w:rPr>
                <w:rFonts w:hint="eastAsia" w:ascii="Times New Roman" w:hAnsi="Times New Roman" w:cs="Times New Roman" w:eastAsiaTheme="minorEastAsia"/>
                <w:color w:val="auto"/>
                <w:w w:val="99"/>
                <w:sz w:val="21"/>
                <w:szCs w:val="21"/>
                <w:highlight w:val="none"/>
                <w:lang w:val="en-US" w:eastAsia="zh-CN"/>
              </w:rPr>
              <w:t>拟建管线西南侧300m（下游）</w:t>
            </w:r>
          </w:p>
        </w:tc>
        <w:tc>
          <w:tcPr>
            <w:tcW w:w="429" w:type="pct"/>
            <w:vMerge w:val="continue"/>
            <w:tcMar>
              <w:top w:w="28" w:type="dxa"/>
              <w:bottom w:w="28" w:type="dxa"/>
            </w:tcMar>
            <w:vAlign w:val="center"/>
          </w:tcPr>
          <w:p w14:paraId="1ACC0DCE">
            <w:pPr>
              <w:spacing w:line="320" w:lineRule="exact"/>
              <w:jc w:val="center"/>
              <w:rPr>
                <w:rFonts w:ascii="Times New Roman" w:hAnsi="Times New Roman" w:cs="Times New Roman" w:eastAsiaTheme="minorEastAsia"/>
                <w:color w:val="auto"/>
                <w:w w:val="99"/>
                <w:sz w:val="21"/>
                <w:szCs w:val="21"/>
                <w:highlight w:val="yellow"/>
              </w:rPr>
            </w:pPr>
          </w:p>
        </w:tc>
      </w:tr>
      <w:tr w14:paraId="0E7BD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vMerge w:val="continue"/>
            <w:tcMar>
              <w:top w:w="28" w:type="dxa"/>
              <w:bottom w:w="28" w:type="dxa"/>
            </w:tcMar>
            <w:vAlign w:val="center"/>
          </w:tcPr>
          <w:p w14:paraId="69857960">
            <w:pPr>
              <w:spacing w:line="320" w:lineRule="exact"/>
              <w:jc w:val="center"/>
              <w:rPr>
                <w:rFonts w:ascii="Times New Roman" w:hAnsi="Times New Roman" w:cs="Times New Roman" w:eastAsiaTheme="minorEastAsia"/>
                <w:color w:val="auto"/>
                <w:w w:val="99"/>
                <w:sz w:val="21"/>
                <w:szCs w:val="21"/>
                <w:highlight w:val="none"/>
              </w:rPr>
            </w:pPr>
          </w:p>
        </w:tc>
        <w:tc>
          <w:tcPr>
            <w:tcW w:w="387" w:type="pct"/>
            <w:vMerge w:val="continue"/>
            <w:tcMar>
              <w:top w:w="28" w:type="dxa"/>
              <w:bottom w:w="28" w:type="dxa"/>
            </w:tcMar>
            <w:vAlign w:val="center"/>
          </w:tcPr>
          <w:p w14:paraId="2078AE4A">
            <w:pPr>
              <w:spacing w:line="320" w:lineRule="exact"/>
              <w:jc w:val="center"/>
              <w:rPr>
                <w:rFonts w:ascii="Times New Roman" w:hAnsi="Times New Roman" w:cs="Times New Roman" w:eastAsiaTheme="minorEastAsia"/>
                <w:color w:val="auto"/>
                <w:w w:val="99"/>
                <w:sz w:val="21"/>
                <w:szCs w:val="21"/>
                <w:highlight w:val="none"/>
              </w:rPr>
            </w:pPr>
          </w:p>
        </w:tc>
        <w:tc>
          <w:tcPr>
            <w:tcW w:w="850" w:type="pct"/>
            <w:vMerge w:val="continue"/>
            <w:tcMar>
              <w:top w:w="28" w:type="dxa"/>
              <w:bottom w:w="28" w:type="dxa"/>
            </w:tcMar>
            <w:vAlign w:val="center"/>
          </w:tcPr>
          <w:p w14:paraId="604CB198">
            <w:pPr>
              <w:spacing w:line="320" w:lineRule="exact"/>
              <w:jc w:val="center"/>
              <w:rPr>
                <w:rFonts w:ascii="Times New Roman" w:hAnsi="Times New Roman" w:cs="Times New Roman" w:eastAsiaTheme="minorEastAsia"/>
                <w:color w:val="auto"/>
                <w:w w:val="99"/>
                <w:sz w:val="21"/>
                <w:szCs w:val="21"/>
                <w:highlight w:val="none"/>
              </w:rPr>
            </w:pPr>
          </w:p>
        </w:tc>
        <w:tc>
          <w:tcPr>
            <w:tcW w:w="1048" w:type="pct"/>
            <w:tcMar>
              <w:top w:w="28" w:type="dxa"/>
              <w:bottom w:w="28" w:type="dxa"/>
            </w:tcMar>
            <w:vAlign w:val="center"/>
          </w:tcPr>
          <w:p w14:paraId="49704521">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val="en-US" w:eastAsia="zh-CN"/>
              </w:rPr>
            </w:pPr>
            <w:r>
              <w:rPr>
                <w:rFonts w:hint="eastAsia" w:ascii="Times New Roman" w:hAnsi="Times New Roman" w:cs="Times New Roman" w:eastAsiaTheme="minorEastAsia"/>
                <w:color w:val="auto"/>
                <w:w w:val="99"/>
                <w:sz w:val="21"/>
                <w:szCs w:val="21"/>
                <w:highlight w:val="none"/>
                <w:lang w:val="en-US" w:eastAsia="zh-CN"/>
              </w:rPr>
              <w:t>杨家屯水</w:t>
            </w:r>
            <w:r>
              <w:rPr>
                <w:rFonts w:ascii="Times New Roman" w:hAnsi="Times New Roman" w:cs="Times New Roman" w:eastAsiaTheme="minorEastAsia"/>
                <w:color w:val="auto"/>
                <w:w w:val="99"/>
                <w:sz w:val="21"/>
                <w:szCs w:val="21"/>
                <w:highlight w:val="none"/>
              </w:rPr>
              <w:t>井</w:t>
            </w:r>
          </w:p>
        </w:tc>
        <w:tc>
          <w:tcPr>
            <w:tcW w:w="1122" w:type="pct"/>
            <w:vAlign w:val="center"/>
          </w:tcPr>
          <w:p w14:paraId="0E1B4045">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eastAsia="zh-CN"/>
              </w:rPr>
            </w:pPr>
            <w:r>
              <w:rPr>
                <w:rFonts w:hint="eastAsia" w:ascii="Times New Roman" w:hAnsi="Times New Roman" w:cs="Times New Roman" w:eastAsiaTheme="minorEastAsia"/>
                <w:color w:val="auto"/>
                <w:w w:val="99"/>
                <w:sz w:val="21"/>
                <w:szCs w:val="21"/>
                <w:highlight w:val="none"/>
                <w:lang w:eastAsia="zh-CN"/>
              </w:rPr>
              <w:t>125.50161，45.88171</w:t>
            </w:r>
          </w:p>
        </w:tc>
        <w:tc>
          <w:tcPr>
            <w:tcW w:w="903" w:type="pct"/>
            <w:vAlign w:val="center"/>
          </w:tcPr>
          <w:p w14:paraId="6EB611BF">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val="en-US" w:eastAsia="zh-CN"/>
              </w:rPr>
            </w:pPr>
            <w:r>
              <w:rPr>
                <w:rFonts w:hint="eastAsia" w:ascii="Times New Roman" w:hAnsi="Times New Roman" w:cs="Times New Roman" w:eastAsiaTheme="minorEastAsia"/>
                <w:color w:val="auto"/>
                <w:w w:val="99"/>
                <w:sz w:val="21"/>
                <w:szCs w:val="21"/>
                <w:highlight w:val="none"/>
                <w:lang w:val="en-US" w:eastAsia="zh-CN"/>
              </w:rPr>
              <w:t>拟建27-H1井场西南侧1200m（下游）</w:t>
            </w:r>
          </w:p>
        </w:tc>
        <w:tc>
          <w:tcPr>
            <w:tcW w:w="429" w:type="pct"/>
            <w:vMerge w:val="continue"/>
            <w:tcMar>
              <w:top w:w="28" w:type="dxa"/>
              <w:bottom w:w="28" w:type="dxa"/>
            </w:tcMar>
            <w:vAlign w:val="center"/>
          </w:tcPr>
          <w:p w14:paraId="031ABEEA">
            <w:pPr>
              <w:spacing w:line="320" w:lineRule="exact"/>
              <w:jc w:val="center"/>
              <w:rPr>
                <w:rFonts w:ascii="Times New Roman" w:hAnsi="Times New Roman" w:cs="Times New Roman" w:eastAsiaTheme="minorEastAsia"/>
                <w:color w:val="auto"/>
                <w:w w:val="99"/>
                <w:sz w:val="21"/>
                <w:szCs w:val="21"/>
                <w:highlight w:val="yellow"/>
              </w:rPr>
            </w:pPr>
          </w:p>
        </w:tc>
      </w:tr>
      <w:tr w14:paraId="46FE3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vMerge w:val="restart"/>
            <w:tcMar>
              <w:top w:w="28" w:type="dxa"/>
              <w:bottom w:w="28" w:type="dxa"/>
            </w:tcMar>
            <w:vAlign w:val="center"/>
          </w:tcPr>
          <w:p w14:paraId="56CE101D">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387" w:type="pct"/>
            <w:vMerge w:val="restart"/>
            <w:tcMar>
              <w:top w:w="28" w:type="dxa"/>
              <w:bottom w:w="28" w:type="dxa"/>
            </w:tcMar>
            <w:vAlign w:val="center"/>
          </w:tcPr>
          <w:p w14:paraId="06EE815A">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土壤</w:t>
            </w:r>
          </w:p>
        </w:tc>
        <w:tc>
          <w:tcPr>
            <w:tcW w:w="850" w:type="pct"/>
            <w:vMerge w:val="restart"/>
            <w:tcMar>
              <w:top w:w="28" w:type="dxa"/>
              <w:bottom w:w="28" w:type="dxa"/>
            </w:tcMar>
            <w:vAlign w:val="center"/>
          </w:tcPr>
          <w:p w14:paraId="069D3FCC">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pH、石油类、石油烃（C</w:t>
            </w:r>
            <w:r>
              <w:rPr>
                <w:rFonts w:ascii="Times New Roman" w:hAnsi="Times New Roman" w:cs="Times New Roman" w:eastAsiaTheme="minorEastAsia"/>
                <w:color w:val="auto"/>
                <w:w w:val="99"/>
                <w:sz w:val="21"/>
                <w:szCs w:val="21"/>
                <w:highlight w:val="none"/>
                <w:vertAlign w:val="subscript"/>
              </w:rPr>
              <w:t>6</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9</w:t>
            </w: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）、汞、砷、六价铬</w:t>
            </w:r>
          </w:p>
        </w:tc>
        <w:tc>
          <w:tcPr>
            <w:tcW w:w="1048" w:type="pct"/>
            <w:tcMar>
              <w:top w:w="28" w:type="dxa"/>
              <w:bottom w:w="28" w:type="dxa"/>
            </w:tcMar>
            <w:vAlign w:val="center"/>
          </w:tcPr>
          <w:p w14:paraId="5228A143">
            <w:pPr>
              <w:widowControl w:val="0"/>
              <w:spacing w:line="360" w:lineRule="exact"/>
              <w:jc w:val="center"/>
              <w:rPr>
                <w:rFonts w:ascii="Times New Roman" w:hAnsi="Times New Roman" w:cs="Times New Roman" w:eastAsiaTheme="minorEastAsia"/>
                <w:bCs/>
                <w:color w:val="auto"/>
                <w:w w:val="99"/>
                <w:sz w:val="21"/>
                <w:szCs w:val="21"/>
                <w:highlight w:val="yellow"/>
              </w:rPr>
            </w:pPr>
            <w:r>
              <w:rPr>
                <w:rFonts w:hint="eastAsia" w:ascii="Times New Roman" w:hAnsi="Times New Roman" w:cs="Times New Roman" w:eastAsiaTheme="minorEastAsia"/>
                <w:bCs/>
                <w:color w:val="auto"/>
                <w:w w:val="99"/>
                <w:kern w:val="2"/>
                <w:sz w:val="21"/>
                <w:szCs w:val="21"/>
                <w:highlight w:val="none"/>
                <w:lang w:val="en-US" w:eastAsia="zh-CN"/>
              </w:rPr>
              <w:t>徐深27-H1井</w:t>
            </w:r>
            <w:r>
              <w:rPr>
                <w:rFonts w:ascii="Times New Roman" w:hAnsi="Times New Roman" w:cs="Times New Roman" w:eastAsiaTheme="minorEastAsia"/>
                <w:bCs/>
                <w:color w:val="auto"/>
                <w:w w:val="99"/>
                <w:kern w:val="2"/>
                <w:sz w:val="21"/>
                <w:szCs w:val="21"/>
                <w:highlight w:val="none"/>
              </w:rPr>
              <w:t>井场</w:t>
            </w:r>
          </w:p>
        </w:tc>
        <w:tc>
          <w:tcPr>
            <w:tcW w:w="1122" w:type="pct"/>
            <w:vAlign w:val="center"/>
          </w:tcPr>
          <w:p w14:paraId="22285B56">
            <w:pPr>
              <w:widowControl w:val="0"/>
              <w:spacing w:line="360" w:lineRule="exact"/>
              <w:jc w:val="center"/>
              <w:rPr>
                <w:rFonts w:ascii="Times New Roman" w:hAnsi="Times New Roman" w:cs="Times New Roman" w:eastAsiaTheme="minorEastAsia"/>
                <w:bCs/>
                <w:color w:val="auto"/>
                <w:w w:val="99"/>
                <w:sz w:val="21"/>
                <w:szCs w:val="21"/>
                <w:highlight w:val="yellow"/>
              </w:rPr>
            </w:pPr>
            <w:r>
              <w:rPr>
                <w:rFonts w:hint="eastAsia" w:ascii="Times New Roman" w:hAnsi="Times New Roman" w:cs="Times New Roman" w:eastAsiaTheme="minorEastAsia"/>
                <w:color w:val="auto"/>
                <w:w w:val="99"/>
                <w:sz w:val="21"/>
                <w:szCs w:val="21"/>
                <w:highlight w:val="none"/>
                <w:lang w:eastAsia="zh-CN"/>
              </w:rPr>
              <w:t>125.50852，45.89313</w:t>
            </w:r>
          </w:p>
        </w:tc>
        <w:tc>
          <w:tcPr>
            <w:tcW w:w="903" w:type="pct"/>
            <w:vAlign w:val="center"/>
          </w:tcPr>
          <w:p w14:paraId="63830AEF">
            <w:pPr>
              <w:spacing w:line="320" w:lineRule="exact"/>
              <w:jc w:val="center"/>
              <w:rPr>
                <w:rFonts w:ascii="Times New Roman" w:hAnsi="Times New Roman" w:cs="Times New Roman" w:eastAsiaTheme="minorEastAsia"/>
                <w:bCs/>
                <w:color w:val="auto"/>
                <w:w w:val="99"/>
                <w:sz w:val="21"/>
                <w:szCs w:val="21"/>
                <w:highlight w:val="yellow"/>
              </w:rPr>
            </w:pPr>
            <w:r>
              <w:rPr>
                <w:rFonts w:ascii="Times New Roman" w:hAnsi="Times New Roman" w:cs="Times New Roman" w:eastAsiaTheme="minorEastAsia"/>
                <w:bCs/>
                <w:color w:val="auto"/>
                <w:w w:val="99"/>
                <w:sz w:val="21"/>
                <w:szCs w:val="21"/>
                <w:highlight w:val="none"/>
              </w:rPr>
              <w:t>拟建井场</w:t>
            </w:r>
          </w:p>
        </w:tc>
        <w:tc>
          <w:tcPr>
            <w:tcW w:w="429" w:type="pct"/>
            <w:vMerge w:val="restart"/>
            <w:tcMar>
              <w:top w:w="28" w:type="dxa"/>
              <w:bottom w:w="28" w:type="dxa"/>
            </w:tcMar>
            <w:vAlign w:val="center"/>
          </w:tcPr>
          <w:p w14:paraId="64399411">
            <w:pPr>
              <w:spacing w:line="320" w:lineRule="exact"/>
              <w:jc w:val="center"/>
              <w:rPr>
                <w:rFonts w:ascii="Times New Roman" w:hAnsi="Times New Roman" w:cs="Times New Roman" w:eastAsiaTheme="minorEastAsia"/>
                <w:color w:val="auto"/>
                <w:w w:val="99"/>
                <w:sz w:val="21"/>
                <w:szCs w:val="21"/>
                <w:highlight w:val="yellow"/>
              </w:rPr>
            </w:pPr>
            <w:r>
              <w:rPr>
                <w:rFonts w:ascii="Times New Roman" w:hAnsi="Times New Roman" w:cs="Times New Roman" w:eastAsiaTheme="minorEastAsia"/>
                <w:color w:val="auto"/>
                <w:w w:val="99"/>
                <w:sz w:val="21"/>
                <w:szCs w:val="21"/>
                <w:highlight w:val="none"/>
              </w:rPr>
              <w:t>1次/</w:t>
            </w:r>
            <w:r>
              <w:rPr>
                <w:rFonts w:hint="eastAsia" w:ascii="Times New Roman" w:hAnsi="Times New Roman" w:cs="Times New Roman" w:eastAsiaTheme="minorEastAsia"/>
                <w:color w:val="auto"/>
                <w:w w:val="99"/>
                <w:sz w:val="21"/>
                <w:szCs w:val="21"/>
                <w:highlight w:val="none"/>
                <w:lang w:val="en-US" w:eastAsia="zh-CN"/>
              </w:rPr>
              <w:t>5</w:t>
            </w:r>
            <w:r>
              <w:rPr>
                <w:rFonts w:ascii="Times New Roman" w:hAnsi="Times New Roman" w:cs="Times New Roman" w:eastAsiaTheme="minorEastAsia"/>
                <w:color w:val="auto"/>
                <w:w w:val="99"/>
                <w:sz w:val="21"/>
                <w:szCs w:val="21"/>
                <w:highlight w:val="none"/>
              </w:rPr>
              <w:t>年</w:t>
            </w:r>
          </w:p>
        </w:tc>
      </w:tr>
      <w:tr w14:paraId="1D600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vMerge w:val="continue"/>
            <w:tcMar>
              <w:top w:w="28" w:type="dxa"/>
              <w:bottom w:w="28" w:type="dxa"/>
            </w:tcMar>
            <w:vAlign w:val="center"/>
          </w:tcPr>
          <w:p w14:paraId="22EA45C0">
            <w:pPr>
              <w:spacing w:line="320" w:lineRule="exact"/>
              <w:jc w:val="center"/>
              <w:rPr>
                <w:rFonts w:ascii="Times New Roman" w:hAnsi="Times New Roman" w:cs="Times New Roman" w:eastAsiaTheme="minorEastAsia"/>
                <w:color w:val="auto"/>
                <w:w w:val="99"/>
                <w:sz w:val="21"/>
                <w:szCs w:val="21"/>
                <w:highlight w:val="none"/>
              </w:rPr>
            </w:pPr>
          </w:p>
        </w:tc>
        <w:tc>
          <w:tcPr>
            <w:tcW w:w="387" w:type="pct"/>
            <w:vMerge w:val="continue"/>
            <w:tcMar>
              <w:top w:w="28" w:type="dxa"/>
              <w:bottom w:w="28" w:type="dxa"/>
            </w:tcMar>
            <w:vAlign w:val="center"/>
          </w:tcPr>
          <w:p w14:paraId="06FDDE90">
            <w:pPr>
              <w:spacing w:line="320" w:lineRule="exact"/>
              <w:jc w:val="center"/>
              <w:rPr>
                <w:rFonts w:ascii="Times New Roman" w:hAnsi="Times New Roman" w:cs="Times New Roman" w:eastAsiaTheme="minorEastAsia"/>
                <w:color w:val="auto"/>
                <w:w w:val="99"/>
                <w:sz w:val="21"/>
                <w:szCs w:val="21"/>
                <w:highlight w:val="none"/>
              </w:rPr>
            </w:pPr>
          </w:p>
        </w:tc>
        <w:tc>
          <w:tcPr>
            <w:tcW w:w="850" w:type="pct"/>
            <w:vMerge w:val="continue"/>
            <w:tcMar>
              <w:top w:w="28" w:type="dxa"/>
              <w:bottom w:w="28" w:type="dxa"/>
            </w:tcMar>
            <w:vAlign w:val="center"/>
          </w:tcPr>
          <w:p w14:paraId="18A983D0">
            <w:pPr>
              <w:spacing w:line="320" w:lineRule="exact"/>
              <w:jc w:val="center"/>
              <w:rPr>
                <w:rFonts w:ascii="Times New Roman" w:hAnsi="Times New Roman" w:cs="Times New Roman" w:eastAsiaTheme="minorEastAsia"/>
                <w:color w:val="auto"/>
                <w:w w:val="99"/>
                <w:sz w:val="21"/>
                <w:szCs w:val="21"/>
                <w:highlight w:val="none"/>
              </w:rPr>
            </w:pPr>
          </w:p>
        </w:tc>
        <w:tc>
          <w:tcPr>
            <w:tcW w:w="1048" w:type="pct"/>
            <w:tcMar>
              <w:top w:w="28" w:type="dxa"/>
              <w:bottom w:w="28" w:type="dxa"/>
            </w:tcMar>
            <w:vAlign w:val="center"/>
          </w:tcPr>
          <w:p w14:paraId="0E506939">
            <w:pPr>
              <w:widowControl w:val="0"/>
              <w:spacing w:line="360" w:lineRule="exact"/>
              <w:jc w:val="center"/>
              <w:rPr>
                <w:rFonts w:ascii="Times New Roman" w:hAnsi="Times New Roman" w:cs="Times New Roman" w:eastAsiaTheme="minorEastAsia"/>
                <w:bCs/>
                <w:color w:val="auto"/>
                <w:w w:val="99"/>
                <w:sz w:val="21"/>
                <w:szCs w:val="21"/>
                <w:highlight w:val="yellow"/>
              </w:rPr>
            </w:pPr>
            <w:r>
              <w:rPr>
                <w:rFonts w:hint="eastAsia" w:ascii="Times New Roman" w:hAnsi="Times New Roman" w:cs="Times New Roman" w:eastAsiaTheme="minorEastAsia"/>
                <w:bCs/>
                <w:color w:val="auto"/>
                <w:w w:val="99"/>
                <w:kern w:val="2"/>
                <w:sz w:val="21"/>
                <w:szCs w:val="21"/>
                <w:highlight w:val="none"/>
                <w:lang w:val="en-US" w:eastAsia="zh-CN"/>
              </w:rPr>
              <w:t>徐深27-H1井南侧</w:t>
            </w:r>
            <w:r>
              <w:rPr>
                <w:rFonts w:ascii="Times New Roman" w:hAnsi="Times New Roman" w:cs="Times New Roman" w:eastAsiaTheme="minorEastAsia"/>
                <w:bCs/>
                <w:color w:val="auto"/>
                <w:w w:val="99"/>
                <w:kern w:val="2"/>
                <w:sz w:val="21"/>
                <w:szCs w:val="21"/>
                <w:highlight w:val="none"/>
              </w:rPr>
              <w:t>200m耕地</w:t>
            </w:r>
          </w:p>
        </w:tc>
        <w:tc>
          <w:tcPr>
            <w:tcW w:w="1122" w:type="pct"/>
            <w:vAlign w:val="center"/>
          </w:tcPr>
          <w:p w14:paraId="1648DB58">
            <w:pPr>
              <w:widowControl w:val="0"/>
              <w:spacing w:line="360" w:lineRule="exact"/>
              <w:jc w:val="center"/>
              <w:rPr>
                <w:rFonts w:ascii="Times New Roman" w:hAnsi="Times New Roman" w:cs="Times New Roman" w:eastAsiaTheme="minorEastAsia"/>
                <w:bCs/>
                <w:color w:val="auto"/>
                <w:w w:val="99"/>
                <w:sz w:val="21"/>
                <w:szCs w:val="21"/>
                <w:highlight w:val="yellow"/>
              </w:rPr>
            </w:pPr>
            <w:r>
              <w:rPr>
                <w:rFonts w:hint="eastAsia" w:ascii="Times New Roman" w:hAnsi="Times New Roman" w:cs="Times New Roman" w:eastAsiaTheme="minorEastAsia"/>
                <w:color w:val="auto"/>
                <w:w w:val="99"/>
                <w:sz w:val="21"/>
                <w:szCs w:val="21"/>
                <w:highlight w:val="none"/>
                <w:lang w:val="en-US" w:eastAsia="zh-CN"/>
              </w:rPr>
              <w:t>125.50857，45.89132</w:t>
            </w:r>
          </w:p>
        </w:tc>
        <w:tc>
          <w:tcPr>
            <w:tcW w:w="903" w:type="pct"/>
            <w:vAlign w:val="center"/>
          </w:tcPr>
          <w:p w14:paraId="1DD875BA">
            <w:pPr>
              <w:spacing w:line="320" w:lineRule="exact"/>
              <w:jc w:val="center"/>
              <w:rPr>
                <w:rFonts w:ascii="Times New Roman" w:hAnsi="Times New Roman" w:cs="Times New Roman" w:eastAsiaTheme="minorEastAsia"/>
                <w:bCs/>
                <w:color w:val="auto"/>
                <w:w w:val="99"/>
                <w:sz w:val="21"/>
                <w:szCs w:val="21"/>
                <w:highlight w:val="yellow"/>
              </w:rPr>
            </w:pPr>
            <w:r>
              <w:rPr>
                <w:rFonts w:ascii="Times New Roman" w:hAnsi="Times New Roman" w:cs="Times New Roman" w:eastAsiaTheme="minorEastAsia"/>
                <w:bCs/>
                <w:color w:val="auto"/>
                <w:w w:val="99"/>
                <w:sz w:val="21"/>
                <w:szCs w:val="21"/>
                <w:highlight w:val="none"/>
              </w:rPr>
              <w:t>拟建井场</w:t>
            </w:r>
            <w:r>
              <w:rPr>
                <w:rFonts w:hint="eastAsia" w:ascii="Times New Roman" w:hAnsi="Times New Roman" w:cs="Times New Roman" w:eastAsiaTheme="minorEastAsia"/>
                <w:bCs/>
                <w:color w:val="auto"/>
                <w:w w:val="99"/>
                <w:sz w:val="21"/>
                <w:szCs w:val="21"/>
                <w:highlight w:val="none"/>
                <w:lang w:val="en-US" w:eastAsia="zh-CN"/>
              </w:rPr>
              <w:t>南</w:t>
            </w:r>
            <w:r>
              <w:rPr>
                <w:rFonts w:ascii="Times New Roman" w:hAnsi="Times New Roman" w:cs="Times New Roman" w:eastAsiaTheme="minorEastAsia"/>
                <w:bCs/>
                <w:color w:val="auto"/>
                <w:w w:val="99"/>
                <w:sz w:val="21"/>
                <w:szCs w:val="21"/>
                <w:highlight w:val="none"/>
              </w:rPr>
              <w:t>侧200m</w:t>
            </w:r>
          </w:p>
        </w:tc>
        <w:tc>
          <w:tcPr>
            <w:tcW w:w="429" w:type="pct"/>
            <w:vMerge w:val="continue"/>
            <w:tcMar>
              <w:top w:w="28" w:type="dxa"/>
              <w:bottom w:w="28" w:type="dxa"/>
            </w:tcMar>
            <w:vAlign w:val="center"/>
          </w:tcPr>
          <w:p w14:paraId="52F57C32">
            <w:pPr>
              <w:spacing w:line="320" w:lineRule="exact"/>
              <w:jc w:val="center"/>
              <w:rPr>
                <w:rFonts w:ascii="Times New Roman" w:hAnsi="Times New Roman" w:cs="Times New Roman" w:eastAsiaTheme="minorEastAsia"/>
                <w:color w:val="auto"/>
                <w:w w:val="99"/>
                <w:sz w:val="21"/>
                <w:szCs w:val="21"/>
                <w:highlight w:val="yellow"/>
              </w:rPr>
            </w:pPr>
          </w:p>
        </w:tc>
      </w:tr>
    </w:tbl>
    <w:p w14:paraId="374FDD9B">
      <w:pPr>
        <w:pStyle w:val="153"/>
        <w:widowControl w:val="0"/>
        <w:spacing w:line="440" w:lineRule="exact"/>
        <w:ind w:firstLine="478"/>
        <w:rPr>
          <w:rFonts w:ascii="Times New Roman" w:hAnsi="Times New Roman" w:eastAsiaTheme="minorEastAsia"/>
          <w:b/>
          <w:color w:val="auto"/>
          <w:w w:val="99"/>
          <w:kern w:val="21"/>
          <w:highlight w:val="none"/>
        </w:rPr>
      </w:pPr>
      <w:r>
        <w:rPr>
          <w:rFonts w:ascii="Times New Roman" w:hAnsi="Times New Roman" w:eastAsiaTheme="minorEastAsia"/>
          <w:b/>
          <w:color w:val="auto"/>
          <w:w w:val="99"/>
          <w:kern w:val="21"/>
          <w:highlight w:val="none"/>
        </w:rPr>
        <w:t>表8.2-7    生态调查方案</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747"/>
        <w:gridCol w:w="1605"/>
        <w:gridCol w:w="2820"/>
        <w:gridCol w:w="1676"/>
        <w:gridCol w:w="2277"/>
      </w:tblGrid>
      <w:tr w14:paraId="03D3E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742" w:type="dxa"/>
            <w:tcMar>
              <w:top w:w="28" w:type="dxa"/>
              <w:left w:w="28" w:type="dxa"/>
              <w:bottom w:w="28" w:type="dxa"/>
              <w:right w:w="28" w:type="dxa"/>
            </w:tcMar>
            <w:vAlign w:val="center"/>
          </w:tcPr>
          <w:p w14:paraId="0DF551E9">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1593" w:type="dxa"/>
            <w:tcMar>
              <w:top w:w="28" w:type="dxa"/>
              <w:left w:w="28" w:type="dxa"/>
              <w:bottom w:w="28" w:type="dxa"/>
              <w:right w:w="28" w:type="dxa"/>
            </w:tcMar>
            <w:vAlign w:val="center"/>
          </w:tcPr>
          <w:p w14:paraId="17541FE1">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调查内容</w:t>
            </w:r>
          </w:p>
        </w:tc>
        <w:tc>
          <w:tcPr>
            <w:tcW w:w="2800" w:type="dxa"/>
            <w:tcMar>
              <w:top w:w="28" w:type="dxa"/>
              <w:left w:w="28" w:type="dxa"/>
              <w:bottom w:w="28" w:type="dxa"/>
              <w:right w:w="28" w:type="dxa"/>
            </w:tcMar>
            <w:vAlign w:val="center"/>
          </w:tcPr>
          <w:p w14:paraId="1157B21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调查方法</w:t>
            </w:r>
          </w:p>
        </w:tc>
        <w:tc>
          <w:tcPr>
            <w:tcW w:w="1664" w:type="dxa"/>
            <w:tcMar>
              <w:top w:w="28" w:type="dxa"/>
              <w:left w:w="28" w:type="dxa"/>
              <w:bottom w:w="28" w:type="dxa"/>
              <w:right w:w="28" w:type="dxa"/>
            </w:tcMar>
            <w:vAlign w:val="center"/>
          </w:tcPr>
          <w:p w14:paraId="6C58BEED">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点位</w:t>
            </w:r>
          </w:p>
        </w:tc>
        <w:tc>
          <w:tcPr>
            <w:tcW w:w="2261" w:type="dxa"/>
            <w:tcMar>
              <w:top w:w="28" w:type="dxa"/>
              <w:left w:w="28" w:type="dxa"/>
              <w:bottom w:w="28" w:type="dxa"/>
              <w:right w:w="28" w:type="dxa"/>
            </w:tcMar>
            <w:vAlign w:val="center"/>
          </w:tcPr>
          <w:p w14:paraId="23A17360">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监测频次</w:t>
            </w:r>
          </w:p>
        </w:tc>
      </w:tr>
      <w:tr w14:paraId="61086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742" w:type="dxa"/>
            <w:tcMar>
              <w:top w:w="28" w:type="dxa"/>
              <w:left w:w="28" w:type="dxa"/>
              <w:bottom w:w="28" w:type="dxa"/>
              <w:right w:w="28" w:type="dxa"/>
            </w:tcMar>
            <w:vAlign w:val="center"/>
          </w:tcPr>
          <w:p w14:paraId="731049A8">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1593" w:type="dxa"/>
            <w:tcMar>
              <w:top w:w="28" w:type="dxa"/>
              <w:left w:w="28" w:type="dxa"/>
              <w:bottom w:w="28" w:type="dxa"/>
              <w:right w:w="28" w:type="dxa"/>
            </w:tcMar>
            <w:vAlign w:val="center"/>
          </w:tcPr>
          <w:p w14:paraId="52E6A2F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植被恢复情况</w:t>
            </w:r>
          </w:p>
        </w:tc>
        <w:tc>
          <w:tcPr>
            <w:tcW w:w="2800" w:type="dxa"/>
            <w:tcMar>
              <w:top w:w="28" w:type="dxa"/>
              <w:left w:w="28" w:type="dxa"/>
              <w:bottom w:w="28" w:type="dxa"/>
              <w:right w:w="28" w:type="dxa"/>
            </w:tcMar>
            <w:vAlign w:val="center"/>
          </w:tcPr>
          <w:p w14:paraId="750613EC">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样方调查</w:t>
            </w:r>
          </w:p>
        </w:tc>
        <w:tc>
          <w:tcPr>
            <w:tcW w:w="1664" w:type="dxa"/>
            <w:tcMar>
              <w:top w:w="28" w:type="dxa"/>
              <w:left w:w="28" w:type="dxa"/>
              <w:bottom w:w="28" w:type="dxa"/>
              <w:right w:w="28" w:type="dxa"/>
            </w:tcMar>
            <w:vAlign w:val="center"/>
          </w:tcPr>
          <w:p w14:paraId="0537482A">
            <w:pPr>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临时占地内</w:t>
            </w:r>
          </w:p>
        </w:tc>
        <w:tc>
          <w:tcPr>
            <w:tcW w:w="2261" w:type="dxa"/>
            <w:tcMar>
              <w:top w:w="28" w:type="dxa"/>
              <w:left w:w="28" w:type="dxa"/>
              <w:bottom w:w="28" w:type="dxa"/>
              <w:right w:w="28" w:type="dxa"/>
            </w:tcMar>
            <w:vAlign w:val="center"/>
          </w:tcPr>
          <w:p w14:paraId="34D81773">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1次/年，直至恢复至与周边地表植被相协调</w:t>
            </w:r>
          </w:p>
        </w:tc>
      </w:tr>
    </w:tbl>
    <w:p w14:paraId="1A4B60CA">
      <w:pPr>
        <w:pStyle w:val="7"/>
        <w:widowControl w:val="0"/>
        <w:spacing w:before="60" w:after="60" w:line="440" w:lineRule="exact"/>
        <w:jc w:val="both"/>
        <w:rPr>
          <w:rFonts w:eastAsiaTheme="minorEastAsia"/>
          <w:b/>
          <w:color w:val="auto"/>
          <w:w w:val="99"/>
          <w:kern w:val="2"/>
          <w:sz w:val="24"/>
          <w:szCs w:val="24"/>
          <w:highlight w:val="none"/>
        </w:rPr>
      </w:pPr>
      <w:bookmarkStart w:id="1224" w:name="_Toc186444406"/>
      <w:bookmarkStart w:id="1225" w:name="_Toc141286423"/>
      <w:r>
        <w:rPr>
          <w:rFonts w:eastAsiaTheme="minorEastAsia"/>
          <w:b/>
          <w:color w:val="auto"/>
          <w:w w:val="99"/>
          <w:kern w:val="2"/>
          <w:sz w:val="24"/>
          <w:szCs w:val="24"/>
          <w:highlight w:val="none"/>
        </w:rPr>
        <w:t>8.2.9退役期环境管理与监测计划</w:t>
      </w:r>
      <w:bookmarkEnd w:id="1224"/>
    </w:p>
    <w:p w14:paraId="58CCF3E8">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对退役期封井的</w:t>
      </w:r>
      <w:r>
        <w:rPr>
          <w:rFonts w:hint="eastAsia" w:ascii="Times New Roman" w:hAnsi="Times New Roman" w:eastAsia="宋体" w:cs="Times New Roman"/>
          <w:color w:val="auto"/>
          <w:w w:val="99"/>
          <w:kern w:val="0"/>
          <w:sz w:val="24"/>
          <w:szCs w:val="24"/>
          <w:highlight w:val="none"/>
          <w:lang w:val="en-US" w:eastAsia="zh-CN" w:bidi="zh-CN"/>
        </w:rPr>
        <w:t>采气</w:t>
      </w:r>
      <w:r>
        <w:rPr>
          <w:rFonts w:hint="default" w:ascii="Times New Roman" w:hAnsi="Times New Roman" w:eastAsia="宋体" w:cs="Times New Roman"/>
          <w:color w:val="auto"/>
          <w:w w:val="99"/>
          <w:kern w:val="0"/>
          <w:sz w:val="24"/>
          <w:szCs w:val="24"/>
          <w:highlight w:val="none"/>
          <w:lang w:val="en-US" w:eastAsia="zh-CN" w:bidi="zh-CN"/>
        </w:rPr>
        <w:t>井井场进行场地土壤环境调查与评价，确定未造成场地污染后，应跟踪其生态恢复情况。</w:t>
      </w:r>
    </w:p>
    <w:p w14:paraId="49B5F2E8">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8.2.9.1 退役期环境管理</w:t>
      </w:r>
    </w:p>
    <w:p w14:paraId="6434902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（1）进行环境监测，掌握污染现状；</w:t>
      </w:r>
    </w:p>
    <w:p w14:paraId="4F8A7118">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（2）定时定点监测周围环境，及时掌握环境状况的资料，促进环境管理的深入和污染治理的落实；</w:t>
      </w:r>
    </w:p>
    <w:p w14:paraId="0D219285">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（3）落实环境管理制度；</w:t>
      </w:r>
    </w:p>
    <w:p w14:paraId="5BFEA1E6">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（4）检查环保措施可行性。</w:t>
      </w:r>
    </w:p>
    <w:p w14:paraId="5295ED7D">
      <w:pPr>
        <w:pStyle w:val="153"/>
        <w:widowControl w:val="0"/>
        <w:spacing w:line="440" w:lineRule="exact"/>
        <w:ind w:firstLine="0" w:firstLineChars="0"/>
        <w:jc w:val="both"/>
        <w:outlineLvl w:val="3"/>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8.2.9.2 退役期环境监测计划</w:t>
      </w:r>
    </w:p>
    <w:p w14:paraId="5CC4B4B1">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工程退役期需要进行的环境监测任务委托取得相关资质的地方环境监测站进行。环境监测应按国家和地方的环保要求进行，应采用国家规定的标准监测方法，并应按照规定，定期向有关环境保护主管部门上报监测结果。</w:t>
      </w:r>
    </w:p>
    <w:p w14:paraId="0154D3C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根据《排污单位自行监测技术指南总则》（HJ819-2017）、《排污单位自行监测技术指南 陆上石油天然气开采工业》（HJ 1248-2022）、《环境影响评价技术导则 陆地石油天然气开发建设项目》（HJ349-2023）中要求：重点对退役期的气井井口周边地下水环境、井口周边土壤环境开展跟踪监测，具体见表 8.2-8。考虑油</w:t>
      </w:r>
      <w:r>
        <w:rPr>
          <w:rFonts w:hint="eastAsia" w:ascii="Times New Roman" w:hAnsi="Times New Roman" w:cs="Times New Roman"/>
          <w:color w:val="auto"/>
          <w:w w:val="99"/>
          <w:kern w:val="0"/>
          <w:sz w:val="24"/>
          <w:szCs w:val="24"/>
          <w:highlight w:val="none"/>
          <w:lang w:val="en-US" w:eastAsia="zh-CN" w:bidi="zh-CN"/>
        </w:rPr>
        <w:t>气</w:t>
      </w:r>
      <w:r>
        <w:rPr>
          <w:rFonts w:hint="default" w:ascii="Times New Roman" w:hAnsi="Times New Roman" w:eastAsia="宋体" w:cs="Times New Roman"/>
          <w:color w:val="auto"/>
          <w:w w:val="99"/>
          <w:kern w:val="0"/>
          <w:sz w:val="24"/>
          <w:szCs w:val="24"/>
          <w:highlight w:val="none"/>
          <w:lang w:val="en-US" w:eastAsia="zh-CN" w:bidi="zh-CN"/>
        </w:rPr>
        <w:t>田为滚动开发，建议企业结合区块内后期计划项目的运营期及退役期跟踪监测计划统筹考虑。</w:t>
      </w:r>
    </w:p>
    <w:p w14:paraId="2E4E2FB9">
      <w:pPr>
        <w:widowControl w:val="0"/>
        <w:spacing w:line="440" w:lineRule="exact"/>
        <w:ind w:firstLine="476" w:firstLineChars="200"/>
        <w:jc w:val="both"/>
        <w:rPr>
          <w:rFonts w:ascii="Times New Roman" w:hAnsi="Times New Roman" w:cs="Times New Roman" w:eastAsiaTheme="minorEastAsia"/>
          <w:b/>
          <w:color w:val="auto"/>
          <w:w w:val="99"/>
          <w:kern w:val="21"/>
          <w:highlight w:val="none"/>
        </w:rPr>
      </w:pPr>
      <w:r>
        <w:rPr>
          <w:rFonts w:ascii="Times New Roman" w:hAnsi="Times New Roman" w:cs="Times New Roman" w:eastAsiaTheme="minorEastAsia"/>
          <w:b/>
          <w:color w:val="auto"/>
          <w:w w:val="99"/>
          <w:kern w:val="21"/>
          <w:highlight w:val="none"/>
        </w:rPr>
        <w:t>表8.2-8    项目退役期监测计划表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471"/>
        <w:gridCol w:w="707"/>
        <w:gridCol w:w="1552"/>
        <w:gridCol w:w="1914"/>
        <w:gridCol w:w="2049"/>
        <w:gridCol w:w="1649"/>
        <w:gridCol w:w="784"/>
      </w:tblGrid>
      <w:tr w14:paraId="40994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tcMar>
              <w:top w:w="28" w:type="dxa"/>
              <w:bottom w:w="28" w:type="dxa"/>
            </w:tcMar>
            <w:vAlign w:val="center"/>
          </w:tcPr>
          <w:p w14:paraId="6BC50AAE">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387" w:type="pct"/>
            <w:tcMar>
              <w:top w:w="28" w:type="dxa"/>
              <w:bottom w:w="28" w:type="dxa"/>
            </w:tcMar>
            <w:vAlign w:val="center"/>
          </w:tcPr>
          <w:p w14:paraId="01379F17">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监测内容</w:t>
            </w:r>
          </w:p>
        </w:tc>
        <w:tc>
          <w:tcPr>
            <w:tcW w:w="850" w:type="pct"/>
            <w:tcMar>
              <w:top w:w="28" w:type="dxa"/>
              <w:bottom w:w="28" w:type="dxa"/>
            </w:tcMar>
            <w:vAlign w:val="center"/>
          </w:tcPr>
          <w:p w14:paraId="4DDEDBCB">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监测因子</w:t>
            </w:r>
          </w:p>
        </w:tc>
        <w:tc>
          <w:tcPr>
            <w:tcW w:w="1048" w:type="pct"/>
            <w:tcMar>
              <w:top w:w="28" w:type="dxa"/>
              <w:bottom w:w="28" w:type="dxa"/>
            </w:tcMar>
            <w:vAlign w:val="center"/>
          </w:tcPr>
          <w:p w14:paraId="79A2DB8D">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w:t>
            </w:r>
          </w:p>
        </w:tc>
        <w:tc>
          <w:tcPr>
            <w:tcW w:w="1122" w:type="pct"/>
            <w:vAlign w:val="center"/>
          </w:tcPr>
          <w:p w14:paraId="77CDAF99">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坐标</w:t>
            </w:r>
          </w:p>
        </w:tc>
        <w:tc>
          <w:tcPr>
            <w:tcW w:w="903" w:type="pct"/>
            <w:vAlign w:val="center"/>
          </w:tcPr>
          <w:p w14:paraId="28D678B2">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与本项目的位置关系</w:t>
            </w:r>
          </w:p>
        </w:tc>
        <w:tc>
          <w:tcPr>
            <w:tcW w:w="429" w:type="pct"/>
            <w:tcMar>
              <w:top w:w="28" w:type="dxa"/>
              <w:bottom w:w="28" w:type="dxa"/>
            </w:tcMar>
            <w:vAlign w:val="center"/>
          </w:tcPr>
          <w:p w14:paraId="46E0FEBC">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监测频次</w:t>
            </w:r>
          </w:p>
        </w:tc>
      </w:tr>
      <w:tr w14:paraId="79672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vMerge w:val="restart"/>
            <w:tcMar>
              <w:top w:w="28" w:type="dxa"/>
              <w:bottom w:w="28" w:type="dxa"/>
            </w:tcMar>
            <w:vAlign w:val="center"/>
          </w:tcPr>
          <w:p w14:paraId="52BA5B84">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387" w:type="pct"/>
            <w:vMerge w:val="restart"/>
            <w:tcMar>
              <w:top w:w="28" w:type="dxa"/>
              <w:bottom w:w="28" w:type="dxa"/>
            </w:tcMar>
            <w:vAlign w:val="center"/>
          </w:tcPr>
          <w:p w14:paraId="5255C625">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地下水</w:t>
            </w:r>
          </w:p>
        </w:tc>
        <w:tc>
          <w:tcPr>
            <w:tcW w:w="850" w:type="pct"/>
            <w:vMerge w:val="restart"/>
            <w:tcMar>
              <w:top w:w="28" w:type="dxa"/>
              <w:bottom w:w="28" w:type="dxa"/>
            </w:tcMar>
            <w:vAlign w:val="center"/>
          </w:tcPr>
          <w:p w14:paraId="3F9F688F">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pH、石油类、石油烃（C</w:t>
            </w:r>
            <w:r>
              <w:rPr>
                <w:rFonts w:ascii="Times New Roman" w:hAnsi="Times New Roman" w:cs="Times New Roman" w:eastAsiaTheme="minorEastAsia"/>
                <w:color w:val="auto"/>
                <w:w w:val="99"/>
                <w:sz w:val="21"/>
                <w:szCs w:val="21"/>
                <w:highlight w:val="none"/>
                <w:vertAlign w:val="subscript"/>
              </w:rPr>
              <w:t>6</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9</w:t>
            </w: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）、汞、砷、六价铬</w:t>
            </w:r>
          </w:p>
        </w:tc>
        <w:tc>
          <w:tcPr>
            <w:tcW w:w="1048" w:type="pct"/>
            <w:tcMar>
              <w:top w:w="28" w:type="dxa"/>
              <w:bottom w:w="28" w:type="dxa"/>
            </w:tcMar>
            <w:vAlign w:val="center"/>
          </w:tcPr>
          <w:p w14:paraId="617B1E19">
            <w:pPr>
              <w:widowControl w:val="0"/>
              <w:snapToGrid w:val="0"/>
              <w:spacing w:line="320" w:lineRule="exact"/>
              <w:jc w:val="center"/>
              <w:rPr>
                <w:rFonts w:ascii="Times New Roman" w:hAnsi="Times New Roman" w:eastAsiaTheme="minorEastAsia"/>
                <w:color w:val="auto"/>
                <w:w w:val="99"/>
                <w:szCs w:val="21"/>
                <w:highlight w:val="none"/>
              </w:rPr>
            </w:pPr>
            <w:r>
              <w:rPr>
                <w:rFonts w:hint="eastAsia" w:ascii="Times New Roman" w:hAnsi="Times New Roman" w:cs="Times New Roman" w:eastAsiaTheme="minorEastAsia"/>
                <w:color w:val="auto"/>
                <w:w w:val="99"/>
                <w:sz w:val="21"/>
                <w:szCs w:val="21"/>
                <w:highlight w:val="none"/>
                <w:lang w:val="en-US" w:eastAsia="zh-CN"/>
              </w:rPr>
              <w:t>王家围子屯水</w:t>
            </w:r>
            <w:r>
              <w:rPr>
                <w:rFonts w:ascii="Times New Roman" w:hAnsi="Times New Roman" w:cs="Times New Roman" w:eastAsiaTheme="minorEastAsia"/>
                <w:color w:val="auto"/>
                <w:w w:val="99"/>
                <w:sz w:val="21"/>
                <w:szCs w:val="21"/>
                <w:highlight w:val="none"/>
              </w:rPr>
              <w:t>井</w:t>
            </w:r>
          </w:p>
        </w:tc>
        <w:tc>
          <w:tcPr>
            <w:tcW w:w="1122" w:type="pct"/>
            <w:vAlign w:val="center"/>
          </w:tcPr>
          <w:p w14:paraId="4B3E915A">
            <w:pPr>
              <w:widowControl w:val="0"/>
              <w:snapToGrid w:val="0"/>
              <w:spacing w:line="320" w:lineRule="exact"/>
              <w:jc w:val="center"/>
              <w:rPr>
                <w:rFonts w:ascii="Times New Roman" w:hAnsi="Times New Roman" w:eastAsiaTheme="minorEastAsia"/>
                <w:color w:val="auto"/>
                <w:w w:val="99"/>
                <w:szCs w:val="21"/>
                <w:highlight w:val="none"/>
              </w:rPr>
            </w:pPr>
            <w:r>
              <w:rPr>
                <w:rFonts w:hint="eastAsia" w:ascii="Times New Roman" w:hAnsi="Times New Roman" w:cs="Times New Roman" w:eastAsiaTheme="minorEastAsia"/>
                <w:color w:val="auto"/>
                <w:w w:val="99"/>
                <w:sz w:val="21"/>
                <w:szCs w:val="21"/>
                <w:highlight w:val="none"/>
                <w:lang w:eastAsia="zh-CN"/>
              </w:rPr>
              <w:t>125.51499，45.90631</w:t>
            </w:r>
          </w:p>
        </w:tc>
        <w:tc>
          <w:tcPr>
            <w:tcW w:w="903" w:type="pct"/>
            <w:vAlign w:val="center"/>
          </w:tcPr>
          <w:p w14:paraId="36A14CCE">
            <w:pPr>
              <w:widowControl w:val="0"/>
              <w:snapToGrid w:val="0"/>
              <w:spacing w:line="320" w:lineRule="exact"/>
              <w:jc w:val="center"/>
              <w:rPr>
                <w:rFonts w:ascii="Times New Roman" w:hAnsi="Times New Roman" w:eastAsiaTheme="minorEastAsia"/>
                <w:color w:val="auto"/>
                <w:w w:val="99"/>
                <w:szCs w:val="21"/>
                <w:highlight w:val="none"/>
              </w:rPr>
            </w:pPr>
            <w:r>
              <w:rPr>
                <w:rFonts w:hint="eastAsia" w:ascii="Times New Roman" w:hAnsi="Times New Roman" w:cs="Times New Roman" w:eastAsiaTheme="minorEastAsia"/>
                <w:color w:val="auto"/>
                <w:w w:val="99"/>
                <w:sz w:val="21"/>
                <w:szCs w:val="21"/>
                <w:highlight w:val="none"/>
                <w:lang w:val="en-US" w:eastAsia="zh-CN"/>
              </w:rPr>
              <w:t>拟建管线东北侧850m（上游）</w:t>
            </w:r>
          </w:p>
        </w:tc>
        <w:tc>
          <w:tcPr>
            <w:tcW w:w="429" w:type="pct"/>
            <w:vMerge w:val="restart"/>
            <w:tcMar>
              <w:top w:w="28" w:type="dxa"/>
              <w:bottom w:w="28" w:type="dxa"/>
            </w:tcMar>
            <w:vAlign w:val="center"/>
          </w:tcPr>
          <w:p w14:paraId="53583146">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1次/半年</w:t>
            </w:r>
          </w:p>
        </w:tc>
      </w:tr>
      <w:tr w14:paraId="25797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vMerge w:val="continue"/>
            <w:tcMar>
              <w:top w:w="28" w:type="dxa"/>
              <w:bottom w:w="28" w:type="dxa"/>
            </w:tcMar>
            <w:vAlign w:val="center"/>
          </w:tcPr>
          <w:p w14:paraId="3F15325F">
            <w:pPr>
              <w:spacing w:line="320" w:lineRule="exact"/>
              <w:jc w:val="center"/>
              <w:rPr>
                <w:rFonts w:ascii="Times New Roman" w:hAnsi="Times New Roman" w:cs="Times New Roman" w:eastAsiaTheme="minorEastAsia"/>
                <w:color w:val="auto"/>
                <w:w w:val="99"/>
                <w:sz w:val="21"/>
                <w:szCs w:val="21"/>
                <w:highlight w:val="none"/>
              </w:rPr>
            </w:pPr>
          </w:p>
        </w:tc>
        <w:tc>
          <w:tcPr>
            <w:tcW w:w="387" w:type="pct"/>
            <w:vMerge w:val="continue"/>
            <w:tcMar>
              <w:top w:w="28" w:type="dxa"/>
              <w:bottom w:w="28" w:type="dxa"/>
            </w:tcMar>
            <w:vAlign w:val="center"/>
          </w:tcPr>
          <w:p w14:paraId="5910099F">
            <w:pPr>
              <w:spacing w:line="320" w:lineRule="exact"/>
              <w:jc w:val="center"/>
              <w:rPr>
                <w:rFonts w:ascii="Times New Roman" w:hAnsi="Times New Roman" w:cs="Times New Roman" w:eastAsiaTheme="minorEastAsia"/>
                <w:color w:val="auto"/>
                <w:w w:val="99"/>
                <w:sz w:val="21"/>
                <w:szCs w:val="21"/>
                <w:highlight w:val="none"/>
              </w:rPr>
            </w:pPr>
          </w:p>
        </w:tc>
        <w:tc>
          <w:tcPr>
            <w:tcW w:w="850" w:type="pct"/>
            <w:vMerge w:val="continue"/>
            <w:tcMar>
              <w:top w:w="28" w:type="dxa"/>
              <w:bottom w:w="28" w:type="dxa"/>
            </w:tcMar>
            <w:vAlign w:val="center"/>
          </w:tcPr>
          <w:p w14:paraId="7AC0AC8D">
            <w:pPr>
              <w:spacing w:line="320" w:lineRule="exact"/>
              <w:jc w:val="center"/>
              <w:rPr>
                <w:rFonts w:ascii="Times New Roman" w:hAnsi="Times New Roman" w:cs="Times New Roman" w:eastAsiaTheme="minorEastAsia"/>
                <w:color w:val="auto"/>
                <w:w w:val="99"/>
                <w:sz w:val="21"/>
                <w:szCs w:val="21"/>
                <w:highlight w:val="none"/>
              </w:rPr>
            </w:pPr>
          </w:p>
        </w:tc>
        <w:tc>
          <w:tcPr>
            <w:tcW w:w="1048" w:type="pct"/>
            <w:tcMar>
              <w:top w:w="28" w:type="dxa"/>
              <w:bottom w:w="28" w:type="dxa"/>
            </w:tcMar>
            <w:vAlign w:val="center"/>
          </w:tcPr>
          <w:p w14:paraId="1FCB391E">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val="en-US" w:eastAsia="zh-CN"/>
              </w:rPr>
            </w:pPr>
            <w:r>
              <w:rPr>
                <w:rFonts w:hint="eastAsia" w:ascii="Times New Roman" w:hAnsi="Times New Roman" w:cs="Times New Roman" w:eastAsiaTheme="minorEastAsia"/>
                <w:color w:val="auto"/>
                <w:w w:val="99"/>
                <w:sz w:val="21"/>
                <w:szCs w:val="21"/>
                <w:highlight w:val="none"/>
                <w:lang w:val="en-US" w:eastAsia="zh-CN"/>
              </w:rPr>
              <w:t>福龙村（尚家围子屯）水</w:t>
            </w:r>
            <w:r>
              <w:rPr>
                <w:rFonts w:ascii="Times New Roman" w:hAnsi="Times New Roman" w:cs="Times New Roman" w:eastAsiaTheme="minorEastAsia"/>
                <w:color w:val="auto"/>
                <w:w w:val="99"/>
                <w:sz w:val="21"/>
                <w:szCs w:val="21"/>
                <w:highlight w:val="none"/>
              </w:rPr>
              <w:t>井</w:t>
            </w:r>
          </w:p>
        </w:tc>
        <w:tc>
          <w:tcPr>
            <w:tcW w:w="1122" w:type="pct"/>
            <w:vAlign w:val="center"/>
          </w:tcPr>
          <w:p w14:paraId="23EA995F">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eastAsia="zh-CN"/>
              </w:rPr>
            </w:pPr>
            <w:r>
              <w:rPr>
                <w:rFonts w:hint="eastAsia" w:ascii="Times New Roman" w:hAnsi="Times New Roman" w:cs="Times New Roman" w:eastAsiaTheme="minorEastAsia"/>
                <w:color w:val="auto"/>
                <w:w w:val="99"/>
                <w:sz w:val="21"/>
                <w:szCs w:val="21"/>
                <w:highlight w:val="none"/>
                <w:lang w:eastAsia="zh-CN"/>
              </w:rPr>
              <w:t>125.50506，45.89648</w:t>
            </w:r>
          </w:p>
        </w:tc>
        <w:tc>
          <w:tcPr>
            <w:tcW w:w="903" w:type="pct"/>
            <w:vAlign w:val="center"/>
          </w:tcPr>
          <w:p w14:paraId="3EDCB611">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val="en-US" w:eastAsia="zh-CN"/>
              </w:rPr>
            </w:pPr>
            <w:r>
              <w:rPr>
                <w:rFonts w:hint="eastAsia" w:ascii="Times New Roman" w:hAnsi="Times New Roman" w:cs="Times New Roman" w:eastAsiaTheme="minorEastAsia"/>
                <w:color w:val="auto"/>
                <w:w w:val="99"/>
                <w:sz w:val="21"/>
                <w:szCs w:val="21"/>
                <w:highlight w:val="none"/>
                <w:lang w:val="en-US" w:eastAsia="zh-CN"/>
              </w:rPr>
              <w:t>拟建管线西南侧300m（下游）</w:t>
            </w:r>
          </w:p>
        </w:tc>
        <w:tc>
          <w:tcPr>
            <w:tcW w:w="429" w:type="pct"/>
            <w:vMerge w:val="continue"/>
            <w:tcMar>
              <w:top w:w="28" w:type="dxa"/>
              <w:bottom w:w="28" w:type="dxa"/>
            </w:tcMar>
            <w:vAlign w:val="center"/>
          </w:tcPr>
          <w:p w14:paraId="201354BE">
            <w:pPr>
              <w:spacing w:line="320" w:lineRule="exact"/>
              <w:jc w:val="center"/>
              <w:rPr>
                <w:rFonts w:ascii="Times New Roman" w:hAnsi="Times New Roman" w:cs="Times New Roman" w:eastAsiaTheme="minorEastAsia"/>
                <w:color w:val="auto"/>
                <w:w w:val="99"/>
                <w:sz w:val="21"/>
                <w:szCs w:val="21"/>
                <w:highlight w:val="yellow"/>
              </w:rPr>
            </w:pPr>
          </w:p>
        </w:tc>
      </w:tr>
      <w:tr w14:paraId="0CCB1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vMerge w:val="continue"/>
            <w:tcMar>
              <w:top w:w="28" w:type="dxa"/>
              <w:bottom w:w="28" w:type="dxa"/>
            </w:tcMar>
            <w:vAlign w:val="center"/>
          </w:tcPr>
          <w:p w14:paraId="167144A1">
            <w:pPr>
              <w:spacing w:line="320" w:lineRule="exact"/>
              <w:jc w:val="center"/>
              <w:rPr>
                <w:rFonts w:ascii="Times New Roman" w:hAnsi="Times New Roman" w:cs="Times New Roman" w:eastAsiaTheme="minorEastAsia"/>
                <w:color w:val="auto"/>
                <w:w w:val="99"/>
                <w:sz w:val="21"/>
                <w:szCs w:val="21"/>
                <w:highlight w:val="none"/>
              </w:rPr>
            </w:pPr>
          </w:p>
        </w:tc>
        <w:tc>
          <w:tcPr>
            <w:tcW w:w="387" w:type="pct"/>
            <w:vMerge w:val="continue"/>
            <w:tcMar>
              <w:top w:w="28" w:type="dxa"/>
              <w:bottom w:w="28" w:type="dxa"/>
            </w:tcMar>
            <w:vAlign w:val="center"/>
          </w:tcPr>
          <w:p w14:paraId="61948325">
            <w:pPr>
              <w:spacing w:line="320" w:lineRule="exact"/>
              <w:jc w:val="center"/>
              <w:rPr>
                <w:rFonts w:ascii="Times New Roman" w:hAnsi="Times New Roman" w:cs="Times New Roman" w:eastAsiaTheme="minorEastAsia"/>
                <w:color w:val="auto"/>
                <w:w w:val="99"/>
                <w:sz w:val="21"/>
                <w:szCs w:val="21"/>
                <w:highlight w:val="none"/>
              </w:rPr>
            </w:pPr>
          </w:p>
        </w:tc>
        <w:tc>
          <w:tcPr>
            <w:tcW w:w="850" w:type="pct"/>
            <w:vMerge w:val="continue"/>
            <w:tcMar>
              <w:top w:w="28" w:type="dxa"/>
              <w:bottom w:w="28" w:type="dxa"/>
            </w:tcMar>
            <w:vAlign w:val="center"/>
          </w:tcPr>
          <w:p w14:paraId="5B78A55D">
            <w:pPr>
              <w:spacing w:line="320" w:lineRule="exact"/>
              <w:jc w:val="center"/>
              <w:rPr>
                <w:rFonts w:ascii="Times New Roman" w:hAnsi="Times New Roman" w:cs="Times New Roman" w:eastAsiaTheme="minorEastAsia"/>
                <w:color w:val="auto"/>
                <w:w w:val="99"/>
                <w:sz w:val="21"/>
                <w:szCs w:val="21"/>
                <w:highlight w:val="none"/>
              </w:rPr>
            </w:pPr>
          </w:p>
        </w:tc>
        <w:tc>
          <w:tcPr>
            <w:tcW w:w="1048" w:type="pct"/>
            <w:tcMar>
              <w:top w:w="28" w:type="dxa"/>
              <w:bottom w:w="28" w:type="dxa"/>
            </w:tcMar>
            <w:vAlign w:val="center"/>
          </w:tcPr>
          <w:p w14:paraId="2B7988F1">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val="en-US" w:eastAsia="zh-CN"/>
              </w:rPr>
            </w:pPr>
            <w:r>
              <w:rPr>
                <w:rFonts w:hint="eastAsia" w:ascii="Times New Roman" w:hAnsi="Times New Roman" w:cs="Times New Roman" w:eastAsiaTheme="minorEastAsia"/>
                <w:color w:val="auto"/>
                <w:w w:val="99"/>
                <w:sz w:val="21"/>
                <w:szCs w:val="21"/>
                <w:highlight w:val="none"/>
                <w:lang w:val="en-US" w:eastAsia="zh-CN"/>
              </w:rPr>
              <w:t>杨家屯水</w:t>
            </w:r>
            <w:r>
              <w:rPr>
                <w:rFonts w:ascii="Times New Roman" w:hAnsi="Times New Roman" w:cs="Times New Roman" w:eastAsiaTheme="minorEastAsia"/>
                <w:color w:val="auto"/>
                <w:w w:val="99"/>
                <w:sz w:val="21"/>
                <w:szCs w:val="21"/>
                <w:highlight w:val="none"/>
              </w:rPr>
              <w:t>井</w:t>
            </w:r>
          </w:p>
        </w:tc>
        <w:tc>
          <w:tcPr>
            <w:tcW w:w="1122" w:type="pct"/>
            <w:vAlign w:val="center"/>
          </w:tcPr>
          <w:p w14:paraId="41492AE4">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eastAsia="zh-CN"/>
              </w:rPr>
            </w:pPr>
            <w:r>
              <w:rPr>
                <w:rFonts w:hint="eastAsia" w:ascii="Times New Roman" w:hAnsi="Times New Roman" w:cs="Times New Roman" w:eastAsiaTheme="minorEastAsia"/>
                <w:color w:val="auto"/>
                <w:w w:val="99"/>
                <w:sz w:val="21"/>
                <w:szCs w:val="21"/>
                <w:highlight w:val="none"/>
                <w:lang w:eastAsia="zh-CN"/>
              </w:rPr>
              <w:t>125.50161，45.88171</w:t>
            </w:r>
          </w:p>
        </w:tc>
        <w:tc>
          <w:tcPr>
            <w:tcW w:w="903" w:type="pct"/>
            <w:vAlign w:val="center"/>
          </w:tcPr>
          <w:p w14:paraId="2CF192A3">
            <w:pPr>
              <w:widowControl w:val="0"/>
              <w:snapToGrid w:val="0"/>
              <w:spacing w:line="320" w:lineRule="exact"/>
              <w:jc w:val="center"/>
              <w:rPr>
                <w:rFonts w:hint="eastAsia" w:ascii="Times New Roman" w:hAnsi="Times New Roman" w:cs="Times New Roman" w:eastAsiaTheme="minorEastAsia"/>
                <w:color w:val="auto"/>
                <w:w w:val="99"/>
                <w:sz w:val="21"/>
                <w:szCs w:val="21"/>
                <w:highlight w:val="yellow"/>
                <w:lang w:val="en-US" w:eastAsia="zh-CN"/>
              </w:rPr>
            </w:pPr>
            <w:r>
              <w:rPr>
                <w:rFonts w:hint="eastAsia" w:ascii="Times New Roman" w:hAnsi="Times New Roman" w:cs="Times New Roman" w:eastAsiaTheme="minorEastAsia"/>
                <w:color w:val="auto"/>
                <w:w w:val="99"/>
                <w:sz w:val="21"/>
                <w:szCs w:val="21"/>
                <w:highlight w:val="none"/>
                <w:lang w:val="en-US" w:eastAsia="zh-CN"/>
              </w:rPr>
              <w:t>拟建27-H1井场西南侧1200m（下游）</w:t>
            </w:r>
          </w:p>
        </w:tc>
        <w:tc>
          <w:tcPr>
            <w:tcW w:w="429" w:type="pct"/>
            <w:vMerge w:val="continue"/>
            <w:tcMar>
              <w:top w:w="28" w:type="dxa"/>
              <w:bottom w:w="28" w:type="dxa"/>
            </w:tcMar>
            <w:vAlign w:val="center"/>
          </w:tcPr>
          <w:p w14:paraId="5BD131BD">
            <w:pPr>
              <w:spacing w:line="320" w:lineRule="exact"/>
              <w:jc w:val="center"/>
              <w:rPr>
                <w:rFonts w:ascii="Times New Roman" w:hAnsi="Times New Roman" w:cs="Times New Roman" w:eastAsiaTheme="minorEastAsia"/>
                <w:color w:val="auto"/>
                <w:w w:val="99"/>
                <w:sz w:val="21"/>
                <w:szCs w:val="21"/>
                <w:highlight w:val="yellow"/>
              </w:rPr>
            </w:pPr>
          </w:p>
        </w:tc>
      </w:tr>
      <w:tr w14:paraId="0DB5E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vMerge w:val="restart"/>
            <w:tcMar>
              <w:top w:w="28" w:type="dxa"/>
              <w:bottom w:w="28" w:type="dxa"/>
            </w:tcMar>
            <w:vAlign w:val="center"/>
          </w:tcPr>
          <w:p w14:paraId="414C58C5">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387" w:type="pct"/>
            <w:vMerge w:val="restart"/>
            <w:tcMar>
              <w:top w:w="28" w:type="dxa"/>
              <w:bottom w:w="28" w:type="dxa"/>
            </w:tcMar>
            <w:vAlign w:val="center"/>
          </w:tcPr>
          <w:p w14:paraId="28F6615F">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土壤</w:t>
            </w:r>
          </w:p>
        </w:tc>
        <w:tc>
          <w:tcPr>
            <w:tcW w:w="850" w:type="pct"/>
            <w:vMerge w:val="restart"/>
            <w:tcMar>
              <w:top w:w="28" w:type="dxa"/>
              <w:bottom w:w="28" w:type="dxa"/>
            </w:tcMar>
            <w:vAlign w:val="center"/>
          </w:tcPr>
          <w:p w14:paraId="0F025142">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pH、石油类、石油烃（C</w:t>
            </w:r>
            <w:r>
              <w:rPr>
                <w:rFonts w:ascii="Times New Roman" w:hAnsi="Times New Roman" w:cs="Times New Roman" w:eastAsiaTheme="minorEastAsia"/>
                <w:color w:val="auto"/>
                <w:w w:val="99"/>
                <w:sz w:val="21"/>
                <w:szCs w:val="21"/>
                <w:highlight w:val="none"/>
                <w:vertAlign w:val="subscript"/>
              </w:rPr>
              <w:t>6</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9</w:t>
            </w: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）、汞、砷、六价铬</w:t>
            </w:r>
          </w:p>
        </w:tc>
        <w:tc>
          <w:tcPr>
            <w:tcW w:w="1048" w:type="pct"/>
            <w:tcMar>
              <w:top w:w="28" w:type="dxa"/>
              <w:bottom w:w="28" w:type="dxa"/>
            </w:tcMar>
            <w:vAlign w:val="center"/>
          </w:tcPr>
          <w:p w14:paraId="66F3F8FC">
            <w:pPr>
              <w:widowControl w:val="0"/>
              <w:spacing w:line="360" w:lineRule="exact"/>
              <w:jc w:val="center"/>
              <w:rPr>
                <w:rFonts w:ascii="Times New Roman" w:hAnsi="Times New Roman" w:cs="Times New Roman" w:eastAsiaTheme="minorEastAsia"/>
                <w:bCs/>
                <w:color w:val="auto"/>
                <w:w w:val="99"/>
                <w:sz w:val="21"/>
                <w:szCs w:val="21"/>
                <w:highlight w:val="yellow"/>
              </w:rPr>
            </w:pPr>
            <w:r>
              <w:rPr>
                <w:rFonts w:hint="eastAsia" w:ascii="Times New Roman" w:hAnsi="Times New Roman" w:cs="Times New Roman" w:eastAsiaTheme="minorEastAsia"/>
                <w:bCs/>
                <w:color w:val="auto"/>
                <w:w w:val="99"/>
                <w:kern w:val="2"/>
                <w:sz w:val="21"/>
                <w:szCs w:val="21"/>
                <w:highlight w:val="none"/>
                <w:lang w:val="en-US" w:eastAsia="zh-CN"/>
              </w:rPr>
              <w:t>徐深27-H1井</w:t>
            </w:r>
            <w:r>
              <w:rPr>
                <w:rFonts w:ascii="Times New Roman" w:hAnsi="Times New Roman" w:cs="Times New Roman" w:eastAsiaTheme="minorEastAsia"/>
                <w:bCs/>
                <w:color w:val="auto"/>
                <w:w w:val="99"/>
                <w:kern w:val="2"/>
                <w:sz w:val="21"/>
                <w:szCs w:val="21"/>
                <w:highlight w:val="none"/>
              </w:rPr>
              <w:t>井场</w:t>
            </w:r>
          </w:p>
        </w:tc>
        <w:tc>
          <w:tcPr>
            <w:tcW w:w="1122" w:type="pct"/>
            <w:vAlign w:val="center"/>
          </w:tcPr>
          <w:p w14:paraId="38A3DB9A">
            <w:pPr>
              <w:widowControl w:val="0"/>
              <w:spacing w:line="360" w:lineRule="exact"/>
              <w:jc w:val="center"/>
              <w:rPr>
                <w:rFonts w:ascii="Times New Roman" w:hAnsi="Times New Roman" w:cs="Times New Roman" w:eastAsiaTheme="minorEastAsia"/>
                <w:bCs/>
                <w:color w:val="auto"/>
                <w:w w:val="99"/>
                <w:sz w:val="21"/>
                <w:szCs w:val="21"/>
                <w:highlight w:val="yellow"/>
              </w:rPr>
            </w:pPr>
            <w:r>
              <w:rPr>
                <w:rFonts w:hint="eastAsia" w:ascii="Times New Roman" w:hAnsi="Times New Roman" w:cs="Times New Roman" w:eastAsiaTheme="minorEastAsia"/>
                <w:color w:val="auto"/>
                <w:w w:val="99"/>
                <w:sz w:val="21"/>
                <w:szCs w:val="21"/>
                <w:highlight w:val="none"/>
                <w:lang w:eastAsia="zh-CN"/>
              </w:rPr>
              <w:t>125.50852，45.89313</w:t>
            </w:r>
          </w:p>
        </w:tc>
        <w:tc>
          <w:tcPr>
            <w:tcW w:w="903" w:type="pct"/>
            <w:vAlign w:val="center"/>
          </w:tcPr>
          <w:p w14:paraId="012C66AF">
            <w:pPr>
              <w:spacing w:line="320" w:lineRule="exact"/>
              <w:jc w:val="center"/>
              <w:rPr>
                <w:rFonts w:ascii="Times New Roman" w:hAnsi="Times New Roman" w:cs="Times New Roman" w:eastAsiaTheme="minorEastAsia"/>
                <w:bCs/>
                <w:color w:val="auto"/>
                <w:w w:val="99"/>
                <w:sz w:val="21"/>
                <w:szCs w:val="21"/>
                <w:highlight w:val="yellow"/>
              </w:rPr>
            </w:pPr>
            <w:r>
              <w:rPr>
                <w:rFonts w:ascii="Times New Roman" w:hAnsi="Times New Roman" w:cs="Times New Roman" w:eastAsiaTheme="minorEastAsia"/>
                <w:bCs/>
                <w:color w:val="auto"/>
                <w:w w:val="99"/>
                <w:sz w:val="21"/>
                <w:szCs w:val="21"/>
                <w:highlight w:val="none"/>
              </w:rPr>
              <w:t>拟建井场</w:t>
            </w:r>
          </w:p>
        </w:tc>
        <w:tc>
          <w:tcPr>
            <w:tcW w:w="429" w:type="pct"/>
            <w:vMerge w:val="restart"/>
            <w:tcMar>
              <w:top w:w="28" w:type="dxa"/>
              <w:bottom w:w="28" w:type="dxa"/>
            </w:tcMar>
            <w:vAlign w:val="center"/>
          </w:tcPr>
          <w:p w14:paraId="1F6C02D8">
            <w:pPr>
              <w:spacing w:line="320" w:lineRule="exact"/>
              <w:jc w:val="center"/>
              <w:rPr>
                <w:rFonts w:ascii="Times New Roman" w:hAnsi="Times New Roman" w:cs="Times New Roman" w:eastAsiaTheme="minorEastAsia"/>
                <w:color w:val="auto"/>
                <w:w w:val="99"/>
                <w:sz w:val="21"/>
                <w:szCs w:val="21"/>
                <w:highlight w:val="yellow"/>
              </w:rPr>
            </w:pPr>
            <w:r>
              <w:rPr>
                <w:rFonts w:ascii="Times New Roman" w:hAnsi="Times New Roman" w:cs="Times New Roman" w:eastAsiaTheme="minorEastAsia"/>
                <w:color w:val="auto"/>
                <w:w w:val="99"/>
                <w:sz w:val="21"/>
                <w:szCs w:val="21"/>
                <w:highlight w:val="none"/>
              </w:rPr>
              <w:t>1次/</w:t>
            </w:r>
            <w:r>
              <w:rPr>
                <w:rFonts w:hint="eastAsia" w:ascii="Times New Roman" w:hAnsi="Times New Roman" w:cs="Times New Roman" w:eastAsiaTheme="minorEastAsia"/>
                <w:color w:val="auto"/>
                <w:w w:val="99"/>
                <w:sz w:val="21"/>
                <w:szCs w:val="21"/>
                <w:highlight w:val="none"/>
                <w:lang w:val="en-US" w:eastAsia="zh-CN"/>
              </w:rPr>
              <w:t>5</w:t>
            </w:r>
            <w:r>
              <w:rPr>
                <w:rFonts w:ascii="Times New Roman" w:hAnsi="Times New Roman" w:cs="Times New Roman" w:eastAsiaTheme="minorEastAsia"/>
                <w:color w:val="auto"/>
                <w:w w:val="99"/>
                <w:sz w:val="21"/>
                <w:szCs w:val="21"/>
                <w:highlight w:val="none"/>
              </w:rPr>
              <w:t>年</w:t>
            </w:r>
          </w:p>
        </w:tc>
      </w:tr>
      <w:tr w14:paraId="258B1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58" w:type="pct"/>
            <w:vMerge w:val="continue"/>
            <w:tcMar>
              <w:top w:w="28" w:type="dxa"/>
              <w:bottom w:w="28" w:type="dxa"/>
            </w:tcMar>
            <w:vAlign w:val="center"/>
          </w:tcPr>
          <w:p w14:paraId="16435337">
            <w:pPr>
              <w:spacing w:line="320" w:lineRule="exact"/>
              <w:jc w:val="center"/>
              <w:rPr>
                <w:rFonts w:ascii="Times New Roman" w:hAnsi="Times New Roman" w:cs="Times New Roman" w:eastAsiaTheme="minorEastAsia"/>
                <w:color w:val="auto"/>
                <w:w w:val="99"/>
                <w:sz w:val="21"/>
                <w:szCs w:val="21"/>
                <w:highlight w:val="none"/>
              </w:rPr>
            </w:pPr>
          </w:p>
        </w:tc>
        <w:tc>
          <w:tcPr>
            <w:tcW w:w="387" w:type="pct"/>
            <w:vMerge w:val="continue"/>
            <w:tcMar>
              <w:top w:w="28" w:type="dxa"/>
              <w:bottom w:w="28" w:type="dxa"/>
            </w:tcMar>
            <w:vAlign w:val="center"/>
          </w:tcPr>
          <w:p w14:paraId="2FDC1C17">
            <w:pPr>
              <w:spacing w:line="320" w:lineRule="exact"/>
              <w:jc w:val="center"/>
              <w:rPr>
                <w:rFonts w:ascii="Times New Roman" w:hAnsi="Times New Roman" w:cs="Times New Roman" w:eastAsiaTheme="minorEastAsia"/>
                <w:color w:val="auto"/>
                <w:w w:val="99"/>
                <w:sz w:val="21"/>
                <w:szCs w:val="21"/>
                <w:highlight w:val="none"/>
              </w:rPr>
            </w:pPr>
          </w:p>
        </w:tc>
        <w:tc>
          <w:tcPr>
            <w:tcW w:w="850" w:type="pct"/>
            <w:vMerge w:val="continue"/>
            <w:tcMar>
              <w:top w:w="28" w:type="dxa"/>
              <w:bottom w:w="28" w:type="dxa"/>
            </w:tcMar>
            <w:vAlign w:val="center"/>
          </w:tcPr>
          <w:p w14:paraId="2A2E7BE8">
            <w:pPr>
              <w:spacing w:line="320" w:lineRule="exact"/>
              <w:jc w:val="center"/>
              <w:rPr>
                <w:rFonts w:ascii="Times New Roman" w:hAnsi="Times New Roman" w:cs="Times New Roman" w:eastAsiaTheme="minorEastAsia"/>
                <w:color w:val="auto"/>
                <w:w w:val="99"/>
                <w:sz w:val="21"/>
                <w:szCs w:val="21"/>
                <w:highlight w:val="none"/>
              </w:rPr>
            </w:pPr>
          </w:p>
        </w:tc>
        <w:tc>
          <w:tcPr>
            <w:tcW w:w="1048" w:type="pct"/>
            <w:tcMar>
              <w:top w:w="28" w:type="dxa"/>
              <w:bottom w:w="28" w:type="dxa"/>
            </w:tcMar>
            <w:vAlign w:val="center"/>
          </w:tcPr>
          <w:p w14:paraId="5454316F">
            <w:pPr>
              <w:widowControl w:val="0"/>
              <w:spacing w:line="360" w:lineRule="exact"/>
              <w:jc w:val="center"/>
              <w:rPr>
                <w:rFonts w:ascii="Times New Roman" w:hAnsi="Times New Roman" w:cs="Times New Roman" w:eastAsiaTheme="minorEastAsia"/>
                <w:bCs/>
                <w:color w:val="auto"/>
                <w:w w:val="99"/>
                <w:sz w:val="21"/>
                <w:szCs w:val="21"/>
                <w:highlight w:val="yellow"/>
              </w:rPr>
            </w:pPr>
            <w:r>
              <w:rPr>
                <w:rFonts w:hint="eastAsia" w:ascii="Times New Roman" w:hAnsi="Times New Roman" w:cs="Times New Roman" w:eastAsiaTheme="minorEastAsia"/>
                <w:bCs/>
                <w:color w:val="auto"/>
                <w:w w:val="99"/>
                <w:kern w:val="2"/>
                <w:sz w:val="21"/>
                <w:szCs w:val="21"/>
                <w:highlight w:val="none"/>
                <w:lang w:val="en-US" w:eastAsia="zh-CN"/>
              </w:rPr>
              <w:t>徐深27-H1井南侧</w:t>
            </w:r>
            <w:r>
              <w:rPr>
                <w:rFonts w:ascii="Times New Roman" w:hAnsi="Times New Roman" w:cs="Times New Roman" w:eastAsiaTheme="minorEastAsia"/>
                <w:bCs/>
                <w:color w:val="auto"/>
                <w:w w:val="99"/>
                <w:kern w:val="2"/>
                <w:sz w:val="21"/>
                <w:szCs w:val="21"/>
                <w:highlight w:val="none"/>
              </w:rPr>
              <w:t>200m耕地</w:t>
            </w:r>
          </w:p>
        </w:tc>
        <w:tc>
          <w:tcPr>
            <w:tcW w:w="1122" w:type="pct"/>
            <w:vAlign w:val="center"/>
          </w:tcPr>
          <w:p w14:paraId="3CF94FB8">
            <w:pPr>
              <w:widowControl w:val="0"/>
              <w:spacing w:line="360" w:lineRule="exact"/>
              <w:jc w:val="center"/>
              <w:rPr>
                <w:rFonts w:ascii="Times New Roman" w:hAnsi="Times New Roman" w:cs="Times New Roman" w:eastAsiaTheme="minorEastAsia"/>
                <w:bCs/>
                <w:color w:val="auto"/>
                <w:w w:val="99"/>
                <w:sz w:val="21"/>
                <w:szCs w:val="21"/>
                <w:highlight w:val="yellow"/>
              </w:rPr>
            </w:pPr>
            <w:r>
              <w:rPr>
                <w:rFonts w:hint="eastAsia" w:ascii="Times New Roman" w:hAnsi="Times New Roman" w:cs="Times New Roman" w:eastAsiaTheme="minorEastAsia"/>
                <w:color w:val="auto"/>
                <w:w w:val="99"/>
                <w:sz w:val="21"/>
                <w:szCs w:val="21"/>
                <w:highlight w:val="none"/>
                <w:lang w:val="en-US" w:eastAsia="zh-CN"/>
              </w:rPr>
              <w:t>125.50857，45.89132</w:t>
            </w:r>
          </w:p>
        </w:tc>
        <w:tc>
          <w:tcPr>
            <w:tcW w:w="903" w:type="pct"/>
            <w:vAlign w:val="center"/>
          </w:tcPr>
          <w:p w14:paraId="437426A7">
            <w:pPr>
              <w:spacing w:line="320" w:lineRule="exact"/>
              <w:jc w:val="center"/>
              <w:rPr>
                <w:rFonts w:ascii="Times New Roman" w:hAnsi="Times New Roman" w:cs="Times New Roman" w:eastAsiaTheme="minorEastAsia"/>
                <w:bCs/>
                <w:color w:val="auto"/>
                <w:w w:val="99"/>
                <w:sz w:val="21"/>
                <w:szCs w:val="21"/>
                <w:highlight w:val="yellow"/>
              </w:rPr>
            </w:pPr>
            <w:r>
              <w:rPr>
                <w:rFonts w:ascii="Times New Roman" w:hAnsi="Times New Roman" w:cs="Times New Roman" w:eastAsiaTheme="minorEastAsia"/>
                <w:bCs/>
                <w:color w:val="auto"/>
                <w:w w:val="99"/>
                <w:sz w:val="21"/>
                <w:szCs w:val="21"/>
                <w:highlight w:val="none"/>
              </w:rPr>
              <w:t>拟建井场</w:t>
            </w:r>
            <w:r>
              <w:rPr>
                <w:rFonts w:hint="eastAsia" w:ascii="Times New Roman" w:hAnsi="Times New Roman" w:cs="Times New Roman" w:eastAsiaTheme="minorEastAsia"/>
                <w:bCs/>
                <w:color w:val="auto"/>
                <w:w w:val="99"/>
                <w:sz w:val="21"/>
                <w:szCs w:val="21"/>
                <w:highlight w:val="none"/>
                <w:lang w:val="en-US" w:eastAsia="zh-CN"/>
              </w:rPr>
              <w:t>南</w:t>
            </w:r>
            <w:r>
              <w:rPr>
                <w:rFonts w:ascii="Times New Roman" w:hAnsi="Times New Roman" w:cs="Times New Roman" w:eastAsiaTheme="minorEastAsia"/>
                <w:bCs/>
                <w:color w:val="auto"/>
                <w:w w:val="99"/>
                <w:sz w:val="21"/>
                <w:szCs w:val="21"/>
                <w:highlight w:val="none"/>
              </w:rPr>
              <w:t>侧200m</w:t>
            </w:r>
          </w:p>
        </w:tc>
        <w:tc>
          <w:tcPr>
            <w:tcW w:w="429" w:type="pct"/>
            <w:vMerge w:val="continue"/>
            <w:tcMar>
              <w:top w:w="28" w:type="dxa"/>
              <w:bottom w:w="28" w:type="dxa"/>
            </w:tcMar>
            <w:vAlign w:val="center"/>
          </w:tcPr>
          <w:p w14:paraId="59FBA238">
            <w:pPr>
              <w:spacing w:line="320" w:lineRule="exact"/>
              <w:jc w:val="center"/>
              <w:rPr>
                <w:rFonts w:ascii="Times New Roman" w:hAnsi="Times New Roman" w:cs="Times New Roman" w:eastAsiaTheme="minorEastAsia"/>
                <w:color w:val="auto"/>
                <w:w w:val="99"/>
                <w:sz w:val="21"/>
                <w:szCs w:val="21"/>
                <w:highlight w:val="yellow"/>
              </w:rPr>
            </w:pPr>
          </w:p>
        </w:tc>
      </w:tr>
    </w:tbl>
    <w:p w14:paraId="0A688325">
      <w:pPr>
        <w:pStyle w:val="7"/>
        <w:widowControl w:val="0"/>
        <w:spacing w:before="60" w:after="60" w:line="440" w:lineRule="exact"/>
        <w:jc w:val="both"/>
        <w:rPr>
          <w:rFonts w:eastAsiaTheme="minorEastAsia"/>
          <w:b/>
          <w:color w:val="auto"/>
          <w:w w:val="99"/>
          <w:kern w:val="2"/>
          <w:sz w:val="24"/>
          <w:szCs w:val="24"/>
          <w:highlight w:val="none"/>
        </w:rPr>
      </w:pPr>
      <w:bookmarkStart w:id="1226" w:name="_Toc186444407"/>
      <w:r>
        <w:rPr>
          <w:rFonts w:eastAsiaTheme="minorEastAsia"/>
          <w:b/>
          <w:color w:val="auto"/>
          <w:w w:val="99"/>
          <w:kern w:val="2"/>
          <w:sz w:val="24"/>
          <w:szCs w:val="24"/>
          <w:highlight w:val="none"/>
        </w:rPr>
        <w:t>8.2.10排污许可管理</w:t>
      </w:r>
      <w:bookmarkEnd w:id="1226"/>
    </w:p>
    <w:p w14:paraId="667BE739">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yellow"/>
          <w:lang w:val="en-US" w:eastAsia="zh-CN" w:bidi="zh-CN"/>
        </w:rPr>
      </w:pPr>
      <w:r>
        <w:rPr>
          <w:rFonts w:hint="default" w:ascii="Times New Roman" w:hAnsi="Times New Roman" w:eastAsia="宋体" w:cs="Times New Roman"/>
          <w:color w:val="auto"/>
          <w:w w:val="99"/>
          <w:kern w:val="0"/>
          <w:sz w:val="24"/>
          <w:szCs w:val="24"/>
          <w:highlight w:val="yellow"/>
          <w:lang w:val="en-US" w:eastAsia="zh-CN" w:bidi="zh-CN"/>
        </w:rPr>
        <w:t>依据《排污许可管理条例》中相关要求，环境影响评价制度是建设项目的环境准入门槛，排污许可制是企业单位在生产营运期排污的法律依据，必须做好充分衔接，实现从污染预防到污染治理和排放控制的全过程监管。新建项目必须在发生实际排污行为之前申领排污许可证，不得无证或不按证排污，环境影响评价文件及批复中与污染物排放相关的主要内容应当纳入排污许可证。</w:t>
      </w:r>
    </w:p>
    <w:p w14:paraId="0ECC7BE1">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yellow"/>
          <w:lang w:val="en-US" w:eastAsia="zh-CN" w:bidi="zh-CN"/>
        </w:rPr>
      </w:pPr>
      <w:r>
        <w:rPr>
          <w:rFonts w:hint="default" w:ascii="Times New Roman" w:hAnsi="Times New Roman" w:eastAsia="宋体" w:cs="Times New Roman"/>
          <w:color w:val="auto"/>
          <w:w w:val="99"/>
          <w:kern w:val="0"/>
          <w:sz w:val="24"/>
          <w:szCs w:val="24"/>
          <w:highlight w:val="yellow"/>
          <w:lang w:val="en-US" w:eastAsia="zh-CN" w:bidi="zh-CN"/>
        </w:rPr>
        <w:t>大庆油田有限责任公司采气分公司已办理固定污染源排污许可证登记，登记编号：91230607716675409L007W。</w:t>
      </w:r>
    </w:p>
    <w:p w14:paraId="64456007">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根据生态环境部部令第11号《固定污染源排污许可证分类管理名录（2019年版）》的有关规定，本项目均属于“三、石油和天然气开采业 07中的4</w:t>
      </w:r>
      <w:r>
        <w:rPr>
          <w:rFonts w:hint="eastAsia" w:ascii="Times New Roman" w:hAnsi="Times New Roman" w:eastAsia="宋体" w:cs="Times New Roman"/>
          <w:color w:val="auto"/>
          <w:w w:val="99"/>
          <w:kern w:val="0"/>
          <w:sz w:val="24"/>
          <w:szCs w:val="24"/>
          <w:highlight w:val="none"/>
          <w:lang w:val="en-US" w:eastAsia="zh-CN" w:bidi="zh-CN"/>
        </w:rPr>
        <w:t>天然气</w:t>
      </w:r>
      <w:r>
        <w:rPr>
          <w:rFonts w:hint="default" w:ascii="Times New Roman" w:hAnsi="Times New Roman" w:eastAsia="宋体" w:cs="Times New Roman"/>
          <w:color w:val="auto"/>
          <w:w w:val="99"/>
          <w:kern w:val="0"/>
          <w:sz w:val="24"/>
          <w:szCs w:val="24"/>
          <w:highlight w:val="none"/>
          <w:lang w:val="en-US" w:eastAsia="zh-CN" w:bidi="zh-CN"/>
        </w:rPr>
        <w:t>开采 07</w:t>
      </w:r>
      <w:r>
        <w:rPr>
          <w:rFonts w:hint="eastAsia" w:ascii="Times New Roman" w:hAnsi="Times New Roman" w:eastAsia="宋体" w:cs="Times New Roman"/>
          <w:color w:val="auto"/>
          <w:w w:val="99"/>
          <w:kern w:val="0"/>
          <w:sz w:val="24"/>
          <w:szCs w:val="24"/>
          <w:highlight w:val="none"/>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”，相关要求为“涉及通用工序重点管理的实施重点管理，涉及通用工序简化管理的实施简化管理，其他实施登记管理”。 本项目不涉及新建锅炉、工业炉窑、表面处理、水处理等，且采气分公司未纳入重点排污单位名录，因此本项目实施登记管理，需在更新排污许可证时，在申请表中填写补充登记表。</w:t>
      </w:r>
    </w:p>
    <w:p w14:paraId="5481D6DE">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227" w:name="_Toc173163563"/>
      <w:bookmarkStart w:id="1228" w:name="_Toc14351"/>
      <w:r>
        <w:rPr>
          <w:rFonts w:ascii="Times New Roman" w:hAnsi="Times New Roman" w:eastAsiaTheme="minorEastAsia"/>
          <w:b/>
          <w:snapToGrid w:val="0"/>
          <w:color w:val="auto"/>
          <w:w w:val="99"/>
          <w:highlight w:val="none"/>
        </w:rPr>
        <w:t>8.3</w:t>
      </w:r>
      <w:bookmarkEnd w:id="1225"/>
      <w:r>
        <w:rPr>
          <w:rFonts w:ascii="Times New Roman" w:hAnsi="Times New Roman" w:eastAsiaTheme="minorEastAsia"/>
          <w:b/>
          <w:snapToGrid w:val="0"/>
          <w:color w:val="auto"/>
          <w:w w:val="99"/>
          <w:highlight w:val="none"/>
        </w:rPr>
        <w:t>占地审批流程</w:t>
      </w:r>
      <w:bookmarkEnd w:id="1227"/>
      <w:bookmarkEnd w:id="1228"/>
    </w:p>
    <w:p w14:paraId="141CD2D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本项目总占地面积为</w:t>
      </w:r>
      <w:r>
        <w:rPr>
          <w:rFonts w:hint="eastAsia" w:ascii="Times New Roman" w:hAnsi="Times New Roman" w:cs="Times New Roman"/>
          <w:color w:val="auto"/>
          <w:w w:val="99"/>
          <w:kern w:val="0"/>
          <w:sz w:val="24"/>
          <w:szCs w:val="24"/>
          <w:highlight w:val="none"/>
          <w:lang w:val="en-US" w:eastAsia="zh-CN" w:bidi="zh-CN"/>
        </w:rPr>
        <w:t>2.013</w:t>
      </w:r>
      <w:r>
        <w:rPr>
          <w:rFonts w:hint="default" w:ascii="Times New Roman" w:hAnsi="Times New Roman" w:eastAsia="宋体" w:cs="Times New Roman"/>
          <w:color w:val="auto"/>
          <w:w w:val="99"/>
          <w:kern w:val="0"/>
          <w:sz w:val="24"/>
          <w:szCs w:val="24"/>
          <w:highlight w:val="none"/>
          <w:lang w:val="en-US" w:eastAsia="zh-CN" w:bidi="zh-CN"/>
        </w:rPr>
        <w: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，其中永久占地</w:t>
      </w:r>
      <w:r>
        <w:rPr>
          <w:rFonts w:hint="eastAsia" w:ascii="Times New Roman" w:hAnsi="Times New Roman" w:cs="Times New Roman"/>
          <w:color w:val="auto"/>
          <w:w w:val="99"/>
          <w:kern w:val="0"/>
          <w:sz w:val="24"/>
          <w:szCs w:val="24"/>
          <w:highlight w:val="none"/>
          <w:lang w:val="en-US" w:eastAsia="zh-CN" w:bidi="zh-CN"/>
        </w:rPr>
        <w:t>0.0901</w:t>
      </w:r>
      <w:r>
        <w:rPr>
          <w:rFonts w:hint="default" w:ascii="Times New Roman" w:hAnsi="Times New Roman" w:eastAsia="宋体" w:cs="Times New Roman"/>
          <w:color w:val="auto"/>
          <w:w w:val="99"/>
          <w:kern w:val="0"/>
          <w:sz w:val="24"/>
          <w:szCs w:val="24"/>
          <w:highlight w:val="none"/>
          <w:lang w:val="en-US" w:eastAsia="zh-CN" w:bidi="zh-CN"/>
        </w:rPr>
        <w: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，临时占地</w:t>
      </w:r>
      <w:r>
        <w:rPr>
          <w:rFonts w:hint="eastAsia" w:ascii="Times New Roman" w:hAnsi="Times New Roman" w:cs="Times New Roman"/>
          <w:color w:val="auto"/>
          <w:w w:val="99"/>
          <w:kern w:val="0"/>
          <w:sz w:val="24"/>
          <w:szCs w:val="24"/>
          <w:highlight w:val="none"/>
          <w:lang w:val="en-US" w:eastAsia="zh-CN" w:bidi="zh-CN"/>
        </w:rPr>
        <w:t>1.9229</w:t>
      </w:r>
      <w:r>
        <w:rPr>
          <w:rFonts w:hint="default" w:ascii="Times New Roman" w:hAnsi="Times New Roman" w:eastAsia="宋体" w:cs="Times New Roman"/>
          <w:color w:val="auto"/>
          <w:w w:val="99"/>
          <w:kern w:val="0"/>
          <w:sz w:val="24"/>
          <w:szCs w:val="24"/>
          <w:highlight w:val="none"/>
          <w:lang w:val="en-US" w:eastAsia="zh-CN" w:bidi="zh-CN"/>
        </w:rPr>
        <w: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，占地类型为耕地（永久基本农田）。</w:t>
      </w:r>
    </w:p>
    <w:p w14:paraId="500D981F">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①大庆油田有限责任公司采气分公司</w:t>
      </w:r>
      <w:r>
        <w:rPr>
          <w:rFonts w:hint="default" w:ascii="Times New Roman" w:hAnsi="Times New Roman" w:eastAsia="宋体" w:cs="Times New Roman"/>
          <w:color w:val="auto"/>
          <w:w w:val="99"/>
          <w:kern w:val="0"/>
          <w:sz w:val="24"/>
          <w:szCs w:val="24"/>
          <w:highlight w:val="none"/>
          <w:lang w:val="en-US" w:eastAsia="zh-CN" w:bidi="zh-CN"/>
        </w:rPr>
        <w:t>监督管理中心土地管理室依据项目设计资料、投资计划等基础资料，核实项目用地范围、面积、地类，准备临时用地申请、平面布置图、勘测定界图、临时使用土地合同、土地复垦方案、表土剥离方案等相关材料，提交给</w:t>
      </w:r>
      <w:r>
        <w:rPr>
          <w:rFonts w:hint="eastAsia" w:ascii="Times New Roman" w:hAnsi="Times New Roman" w:cs="Times New Roman"/>
          <w:color w:val="auto"/>
          <w:w w:val="99"/>
          <w:kern w:val="0"/>
          <w:sz w:val="24"/>
          <w:szCs w:val="24"/>
          <w:highlight w:val="none"/>
          <w:lang w:val="en-US" w:eastAsia="zh-CN" w:bidi="zh-CN"/>
        </w:rPr>
        <w:t>肇东市</w:t>
      </w:r>
      <w:r>
        <w:rPr>
          <w:rFonts w:hint="default" w:ascii="Times New Roman" w:hAnsi="Times New Roman" w:eastAsia="宋体" w:cs="Times New Roman"/>
          <w:color w:val="auto"/>
          <w:w w:val="99"/>
          <w:kern w:val="0"/>
          <w:sz w:val="24"/>
          <w:szCs w:val="24"/>
          <w:highlight w:val="none"/>
          <w:lang w:val="en-US" w:eastAsia="zh-CN" w:bidi="zh-CN"/>
        </w:rPr>
        <w:t>自然资源部门。</w:t>
      </w:r>
    </w:p>
    <w:p w14:paraId="3491C7E3">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②</w:t>
      </w:r>
      <w:r>
        <w:rPr>
          <w:rFonts w:hint="eastAsia" w:ascii="Times New Roman" w:hAnsi="Times New Roman" w:cs="Times New Roman"/>
          <w:color w:val="auto"/>
          <w:w w:val="99"/>
          <w:kern w:val="0"/>
          <w:sz w:val="24"/>
          <w:szCs w:val="24"/>
          <w:highlight w:val="none"/>
          <w:lang w:val="en-US" w:eastAsia="zh-CN" w:bidi="zh-CN"/>
        </w:rPr>
        <w:t>肇东市</w:t>
      </w:r>
      <w:r>
        <w:rPr>
          <w:rFonts w:hint="default" w:ascii="Times New Roman" w:hAnsi="Times New Roman" w:eastAsia="宋体" w:cs="Times New Roman"/>
          <w:color w:val="auto"/>
          <w:w w:val="99"/>
          <w:kern w:val="0"/>
          <w:sz w:val="24"/>
          <w:szCs w:val="24"/>
          <w:highlight w:val="none"/>
          <w:lang w:val="en-US" w:eastAsia="zh-CN" w:bidi="zh-CN"/>
        </w:rPr>
        <w:t>自然资源部门初审。</w:t>
      </w:r>
      <w:r>
        <w:rPr>
          <w:rFonts w:hint="eastAsia" w:ascii="Times New Roman" w:hAnsi="Times New Roman" w:cs="Times New Roman"/>
          <w:color w:val="auto"/>
          <w:w w:val="99"/>
          <w:kern w:val="0"/>
          <w:sz w:val="24"/>
          <w:szCs w:val="24"/>
          <w:highlight w:val="none"/>
          <w:lang w:val="en-US" w:eastAsia="zh-CN" w:bidi="zh-CN"/>
        </w:rPr>
        <w:t>肇东市</w:t>
      </w:r>
      <w:r>
        <w:rPr>
          <w:rFonts w:hint="default" w:ascii="Times New Roman" w:hAnsi="Times New Roman" w:eastAsia="宋体" w:cs="Times New Roman"/>
          <w:color w:val="auto"/>
          <w:w w:val="99"/>
          <w:kern w:val="0"/>
          <w:sz w:val="24"/>
          <w:szCs w:val="24"/>
          <w:highlight w:val="none"/>
          <w:lang w:val="en-US" w:eastAsia="zh-CN" w:bidi="zh-CN"/>
        </w:rPr>
        <w:t>自然资源部门组织对</w:t>
      </w:r>
      <w:r>
        <w:rPr>
          <w:rFonts w:hint="eastAsia" w:ascii="Times New Roman" w:hAnsi="Times New Roman" w:eastAsia="宋体" w:cs="Times New Roman"/>
          <w:color w:val="auto"/>
          <w:w w:val="99"/>
          <w:kern w:val="0"/>
          <w:sz w:val="24"/>
          <w:szCs w:val="24"/>
          <w:highlight w:val="none"/>
          <w:lang w:val="en-US" w:eastAsia="zh-CN" w:bidi="zh-CN"/>
        </w:rPr>
        <w:t xml:space="preserve">大庆油田有限责任公司采气分公司 </w:t>
      </w:r>
      <w:r>
        <w:rPr>
          <w:rFonts w:hint="default" w:ascii="Times New Roman" w:hAnsi="Times New Roman" w:eastAsia="宋体" w:cs="Times New Roman"/>
          <w:color w:val="auto"/>
          <w:w w:val="99"/>
          <w:kern w:val="0"/>
          <w:sz w:val="24"/>
          <w:szCs w:val="24"/>
          <w:highlight w:val="none"/>
          <w:lang w:val="en-US" w:eastAsia="zh-CN" w:bidi="zh-CN"/>
        </w:rPr>
        <w:t>监督管理中心土地管理室提交的临时用地申请资料进行初审，开展实地探勘核验，审查同意的出具审查意见。</w:t>
      </w:r>
    </w:p>
    <w:p w14:paraId="57AE1526">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③</w:t>
      </w:r>
      <w:r>
        <w:rPr>
          <w:rFonts w:hint="eastAsia" w:ascii="Times New Roman" w:hAnsi="Times New Roman" w:cs="Times New Roman"/>
          <w:color w:val="auto"/>
          <w:w w:val="99"/>
          <w:kern w:val="0"/>
          <w:sz w:val="24"/>
          <w:szCs w:val="24"/>
          <w:highlight w:val="none"/>
          <w:lang w:val="en-US" w:eastAsia="zh-CN" w:bidi="zh-CN"/>
        </w:rPr>
        <w:t>绥化</w:t>
      </w:r>
      <w:r>
        <w:rPr>
          <w:rFonts w:hint="default" w:ascii="Times New Roman" w:hAnsi="Times New Roman" w:eastAsia="宋体" w:cs="Times New Roman"/>
          <w:color w:val="auto"/>
          <w:w w:val="99"/>
          <w:kern w:val="0"/>
          <w:sz w:val="24"/>
          <w:szCs w:val="24"/>
          <w:highlight w:val="none"/>
          <w:lang w:val="en-US" w:eastAsia="zh-CN" w:bidi="zh-CN"/>
        </w:rPr>
        <w:t>市自然资源局审批。</w:t>
      </w:r>
      <w:r>
        <w:rPr>
          <w:rFonts w:hint="eastAsia" w:ascii="Times New Roman" w:hAnsi="Times New Roman" w:cs="Times New Roman"/>
          <w:color w:val="auto"/>
          <w:w w:val="99"/>
          <w:kern w:val="0"/>
          <w:sz w:val="24"/>
          <w:szCs w:val="24"/>
          <w:highlight w:val="none"/>
          <w:lang w:val="en-US" w:eastAsia="zh-CN" w:bidi="zh-CN"/>
        </w:rPr>
        <w:t>绥化</w:t>
      </w:r>
      <w:r>
        <w:rPr>
          <w:rFonts w:hint="default" w:ascii="Times New Roman" w:hAnsi="Times New Roman" w:eastAsia="宋体" w:cs="Times New Roman"/>
          <w:color w:val="auto"/>
          <w:w w:val="99"/>
          <w:kern w:val="0"/>
          <w:sz w:val="24"/>
          <w:szCs w:val="24"/>
          <w:highlight w:val="none"/>
          <w:lang w:val="en-US" w:eastAsia="zh-CN" w:bidi="zh-CN"/>
        </w:rPr>
        <w:t>市自然资源局组织审查</w:t>
      </w:r>
      <w:r>
        <w:rPr>
          <w:rFonts w:hint="eastAsia" w:ascii="Times New Roman" w:hAnsi="Times New Roman" w:cs="Times New Roman"/>
          <w:color w:val="auto"/>
          <w:w w:val="99"/>
          <w:kern w:val="0"/>
          <w:sz w:val="24"/>
          <w:szCs w:val="24"/>
          <w:highlight w:val="none"/>
          <w:lang w:val="en-US" w:eastAsia="zh-CN" w:bidi="zh-CN"/>
        </w:rPr>
        <w:t>肇东市</w:t>
      </w:r>
      <w:r>
        <w:rPr>
          <w:rFonts w:hint="default" w:ascii="Times New Roman" w:hAnsi="Times New Roman" w:eastAsia="宋体" w:cs="Times New Roman"/>
          <w:color w:val="auto"/>
          <w:w w:val="99"/>
          <w:kern w:val="0"/>
          <w:sz w:val="24"/>
          <w:szCs w:val="24"/>
          <w:highlight w:val="none"/>
          <w:lang w:val="en-US" w:eastAsia="zh-CN" w:bidi="zh-CN"/>
        </w:rPr>
        <w:t>自然资源部门提交的</w:t>
      </w:r>
      <w:r>
        <w:rPr>
          <w:rFonts w:hint="eastAsia" w:ascii="Times New Roman" w:hAnsi="Times New Roman" w:eastAsia="宋体" w:cs="Times New Roman"/>
          <w:color w:val="auto"/>
          <w:w w:val="99"/>
          <w:kern w:val="0"/>
          <w:sz w:val="24"/>
          <w:szCs w:val="24"/>
          <w:highlight w:val="none"/>
          <w:lang w:val="en-US" w:eastAsia="zh-CN" w:bidi="zh-CN"/>
        </w:rPr>
        <w:t xml:space="preserve">大庆油田有限责任公司采气分公司 </w:t>
      </w:r>
      <w:r>
        <w:rPr>
          <w:rFonts w:hint="default" w:ascii="Times New Roman" w:hAnsi="Times New Roman" w:eastAsia="宋体" w:cs="Times New Roman"/>
          <w:color w:val="auto"/>
          <w:w w:val="99"/>
          <w:kern w:val="0"/>
          <w:sz w:val="24"/>
          <w:szCs w:val="24"/>
          <w:highlight w:val="none"/>
          <w:lang w:val="en-US" w:eastAsia="zh-CN" w:bidi="zh-CN"/>
        </w:rPr>
        <w:t>监督管理中心土地管理室关于本项目临时用地申请是否已完成初审、是否符合相关要求，对满足要求的用地申请组织审批，下发临时用地批复文件。</w:t>
      </w:r>
    </w:p>
    <w:p w14:paraId="5ADF4414">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eastAsia="宋体" w:cs="Times New Roman"/>
          <w:color w:val="auto"/>
          <w:w w:val="99"/>
          <w:kern w:val="0"/>
          <w:sz w:val="24"/>
          <w:szCs w:val="24"/>
          <w:highlight w:val="none"/>
          <w:lang w:val="en-US" w:eastAsia="zh-CN" w:bidi="zh-CN"/>
        </w:rPr>
        <w:t>④大庆油田有限责任公司采气分公司</w:t>
      </w:r>
      <w:r>
        <w:rPr>
          <w:rFonts w:hint="default" w:ascii="Times New Roman" w:hAnsi="Times New Roman" w:eastAsia="宋体" w:cs="Times New Roman"/>
          <w:color w:val="auto"/>
          <w:w w:val="99"/>
          <w:kern w:val="0"/>
          <w:sz w:val="24"/>
          <w:szCs w:val="24"/>
          <w:highlight w:val="none"/>
          <w:lang w:val="en-US" w:eastAsia="zh-CN" w:bidi="zh-CN"/>
        </w:rPr>
        <w:t>监督管理中心土地管理室根据批复文件，办理征地手续，组织进场施工。</w:t>
      </w:r>
    </w:p>
    <w:p w14:paraId="4243968C">
      <w:pPr>
        <w:rPr>
          <w:rFonts w:ascii="Times New Roman" w:hAnsi="Times New Roman" w:cs="Times New Roman"/>
          <w:color w:val="auto"/>
          <w:w w:val="99"/>
          <w:highlight w:val="none"/>
        </w:rPr>
        <w:sectPr>
          <w:footerReference r:id="rId13" w:type="default"/>
          <w:type w:val="nextColumn"/>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14:paraId="35F34630">
      <w:pPr>
        <w:pStyle w:val="4"/>
        <w:widowControl w:val="0"/>
        <w:spacing w:before="180" w:after="180" w:line="440" w:lineRule="exact"/>
        <w:jc w:val="both"/>
        <w:rPr>
          <w:rFonts w:ascii="Times New Roman" w:hAnsi="Times New Roman" w:eastAsiaTheme="minorEastAsia"/>
          <w:b/>
          <w:snapToGrid w:val="0"/>
          <w:color w:val="auto"/>
          <w:w w:val="99"/>
          <w:sz w:val="30"/>
          <w:szCs w:val="30"/>
          <w:highlight w:val="none"/>
        </w:rPr>
      </w:pPr>
      <w:bookmarkStart w:id="1229" w:name="_Toc14120"/>
      <w:bookmarkStart w:id="1230" w:name="_Toc173163564"/>
      <w:bookmarkStart w:id="1231" w:name="_Toc480447686"/>
      <w:bookmarkStart w:id="1232" w:name="_Toc346267817"/>
      <w:bookmarkStart w:id="1233" w:name="_Toc277178465"/>
      <w:bookmarkStart w:id="1234" w:name="_Toc502736556"/>
      <w:bookmarkStart w:id="1235" w:name="_Toc255202340"/>
      <w:bookmarkStart w:id="1236" w:name="_Toc456590420"/>
      <w:bookmarkStart w:id="1237" w:name="_Toc277178450"/>
      <w:bookmarkStart w:id="1238" w:name="_Toc255202323"/>
      <w:r>
        <w:rPr>
          <w:rFonts w:ascii="Times New Roman" w:hAnsi="Times New Roman" w:eastAsiaTheme="minorEastAsia"/>
          <w:b/>
          <w:snapToGrid w:val="0"/>
          <w:color w:val="auto"/>
          <w:w w:val="99"/>
          <w:sz w:val="30"/>
          <w:szCs w:val="30"/>
          <w:highlight w:val="none"/>
        </w:rPr>
        <w:t>9环境影响评价结论</w:t>
      </w:r>
      <w:bookmarkEnd w:id="1229"/>
      <w:bookmarkEnd w:id="1230"/>
    </w:p>
    <w:p w14:paraId="50D8644C">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239" w:name="_Toc173163565"/>
      <w:bookmarkStart w:id="1240" w:name="_Toc28479"/>
      <w:r>
        <w:rPr>
          <w:rFonts w:ascii="Times New Roman" w:hAnsi="Times New Roman" w:eastAsiaTheme="minorEastAsia"/>
          <w:b/>
          <w:snapToGrid w:val="0"/>
          <w:color w:val="auto"/>
          <w:w w:val="99"/>
          <w:highlight w:val="none"/>
        </w:rPr>
        <w:t>9.1建设项目概况</w:t>
      </w:r>
      <w:bookmarkEnd w:id="1239"/>
      <w:bookmarkEnd w:id="1240"/>
    </w:p>
    <w:p w14:paraId="188C8EAE">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大庆油田有限责任公司采气分公司</w:t>
      </w:r>
      <w:r>
        <w:rPr>
          <w:rFonts w:hint="default" w:ascii="Times New Roman" w:hAnsi="Times New Roman" w:eastAsia="宋体" w:cs="Times New Roman"/>
          <w:color w:val="auto"/>
          <w:w w:val="99"/>
          <w:kern w:val="0"/>
          <w:sz w:val="24"/>
          <w:szCs w:val="24"/>
          <w:highlight w:val="none"/>
          <w:lang w:val="en-US" w:eastAsia="zh-CN" w:bidi="zh-CN"/>
        </w:rPr>
        <w:t>拟建</w:t>
      </w:r>
      <w:r>
        <w:rPr>
          <w:rFonts w:hint="eastAsia" w:ascii="Times New Roman" w:hAnsi="Times New Roman" w:cs="Times New Roman"/>
          <w:color w:val="auto"/>
          <w:w w:val="99"/>
          <w:kern w:val="0"/>
          <w:sz w:val="24"/>
          <w:szCs w:val="24"/>
          <w:highlight w:val="none"/>
          <w:lang w:val="en-US" w:eastAsia="zh-CN" w:bidi="zh-CN"/>
        </w:rPr>
        <w:t>徐深27-H1井地面工程项目</w:t>
      </w:r>
      <w:r>
        <w:rPr>
          <w:rFonts w:hint="default" w:ascii="Times New Roman" w:hAnsi="Times New Roman" w:eastAsia="宋体" w:cs="Times New Roman"/>
          <w:color w:val="auto"/>
          <w:w w:val="99"/>
          <w:kern w:val="0"/>
          <w:sz w:val="24"/>
          <w:szCs w:val="24"/>
          <w:highlight w:val="none"/>
          <w:lang w:val="en-US" w:eastAsia="zh-CN" w:bidi="zh-CN"/>
        </w:rPr>
        <w:t>，为改扩建项目，位于</w:t>
      </w:r>
      <w:r>
        <w:rPr>
          <w:rFonts w:hint="default" w:ascii="Times New Roman" w:hAnsi="Times New Roman" w:eastAsia="宋体" w:cs="Times New Roman"/>
          <w:bCs/>
          <w:snapToGrid w:val="0"/>
          <w:color w:val="auto"/>
          <w:w w:val="99"/>
          <w:highlight w:val="none"/>
          <w:lang w:val="en-US" w:eastAsia="zh-CN"/>
        </w:rPr>
        <w:t>绥化市肇东市跃进乡邢家围子屯西侧300m处</w:t>
      </w:r>
      <w:r>
        <w:rPr>
          <w:rFonts w:hint="default" w:ascii="Times New Roman" w:hAnsi="Times New Roman" w:eastAsia="宋体" w:cs="Times New Roman"/>
          <w:color w:val="auto"/>
          <w:w w:val="99"/>
          <w:kern w:val="0"/>
          <w:sz w:val="24"/>
          <w:szCs w:val="24"/>
          <w:highlight w:val="none"/>
          <w:lang w:val="en-US" w:eastAsia="zh-CN" w:bidi="zh-CN"/>
        </w:rPr>
        <w:t>，地理坐标为东经125°</w:t>
      </w:r>
      <w:r>
        <w:rPr>
          <w:rFonts w:hint="eastAsia" w:ascii="Times New Roman" w:hAnsi="Times New Roman" w:cs="Times New Roman"/>
          <w:color w:val="auto"/>
          <w:w w:val="99"/>
          <w:kern w:val="0"/>
          <w:sz w:val="24"/>
          <w:szCs w:val="24"/>
          <w:highlight w:val="none"/>
          <w:lang w:val="en-US" w:eastAsia="zh-CN" w:bidi="zh-CN"/>
        </w:rPr>
        <w:t>30</w:t>
      </w: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43</w:t>
      </w:r>
      <w:r>
        <w:rPr>
          <w:rFonts w:hint="default" w:ascii="Times New Roman" w:hAnsi="Times New Roman" w:eastAsia="宋体" w:cs="Times New Roman"/>
          <w:color w:val="auto"/>
          <w:w w:val="99"/>
          <w:kern w:val="0"/>
          <w:sz w:val="24"/>
          <w:szCs w:val="24"/>
          <w:highlight w:val="none"/>
          <w:lang w:val="en-US" w:eastAsia="zh-CN" w:bidi="zh-CN"/>
        </w:rPr>
        <w:t>″~125°</w:t>
      </w:r>
      <w:r>
        <w:rPr>
          <w:rFonts w:hint="eastAsia" w:ascii="Times New Roman" w:hAnsi="Times New Roman" w:cs="Times New Roman"/>
          <w:color w:val="auto"/>
          <w:w w:val="99"/>
          <w:kern w:val="0"/>
          <w:sz w:val="24"/>
          <w:szCs w:val="24"/>
          <w:highlight w:val="none"/>
          <w:lang w:val="en-US" w:eastAsia="zh-CN" w:bidi="zh-CN"/>
        </w:rPr>
        <w:t>31</w:t>
      </w: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02</w:t>
      </w:r>
      <w:r>
        <w:rPr>
          <w:rFonts w:hint="default" w:ascii="Times New Roman" w:hAnsi="Times New Roman" w:eastAsia="宋体" w:cs="Times New Roman"/>
          <w:color w:val="auto"/>
          <w:w w:val="99"/>
          <w:kern w:val="0"/>
          <w:sz w:val="24"/>
          <w:szCs w:val="24"/>
          <w:highlight w:val="none"/>
          <w:lang w:val="en-US" w:eastAsia="zh-CN" w:bidi="zh-CN"/>
        </w:rPr>
        <w:t>″，北纬4</w:t>
      </w:r>
      <w:r>
        <w:rPr>
          <w:rFonts w:hint="eastAsia" w:ascii="Times New Roman" w:hAnsi="Times New Roman" w:cs="Times New Roman"/>
          <w:color w:val="auto"/>
          <w:w w:val="99"/>
          <w:kern w:val="0"/>
          <w:sz w:val="24"/>
          <w:szCs w:val="24"/>
          <w:highlight w:val="none"/>
          <w:lang w:val="en-US" w:eastAsia="zh-CN" w:bidi="zh-CN"/>
        </w:rPr>
        <w:t>5</w:t>
      </w: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53</w:t>
      </w: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40</w:t>
      </w:r>
      <w:r>
        <w:rPr>
          <w:rFonts w:hint="default" w:ascii="Times New Roman" w:hAnsi="Times New Roman" w:eastAsia="宋体" w:cs="Times New Roman"/>
          <w:color w:val="auto"/>
          <w:w w:val="99"/>
          <w:kern w:val="0"/>
          <w:sz w:val="24"/>
          <w:szCs w:val="24"/>
          <w:highlight w:val="none"/>
          <w:lang w:val="en-US" w:eastAsia="zh-CN" w:bidi="zh-CN"/>
        </w:rPr>
        <w:t>″~4</w:t>
      </w:r>
      <w:r>
        <w:rPr>
          <w:rFonts w:hint="eastAsia" w:ascii="Times New Roman" w:hAnsi="Times New Roman" w:cs="Times New Roman"/>
          <w:color w:val="auto"/>
          <w:w w:val="99"/>
          <w:kern w:val="0"/>
          <w:sz w:val="24"/>
          <w:szCs w:val="24"/>
          <w:highlight w:val="none"/>
          <w:lang w:val="en-US" w:eastAsia="zh-CN" w:bidi="zh-CN"/>
        </w:rPr>
        <w:t>5</w:t>
      </w: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54</w:t>
      </w:r>
      <w:r>
        <w:rPr>
          <w:rFonts w:hint="default"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39</w:t>
      </w:r>
      <w:r>
        <w:rPr>
          <w:rFonts w:hint="default" w:ascii="Times New Roman" w:hAnsi="Times New Roman" w:eastAsia="宋体" w:cs="Times New Roman"/>
          <w:color w:val="auto"/>
          <w:w w:val="99"/>
          <w:kern w:val="0"/>
          <w:sz w:val="24"/>
          <w:szCs w:val="24"/>
          <w:highlight w:val="none"/>
          <w:lang w:val="en-US" w:eastAsia="zh-CN" w:bidi="zh-CN"/>
        </w:rPr>
        <w:t>″。</w:t>
      </w:r>
    </w:p>
    <w:p w14:paraId="5EA9AF1B">
      <w:pPr>
        <w:pStyle w:val="153"/>
        <w:widowControl w:val="0"/>
        <w:ind w:firstLine="473"/>
        <w:jc w:val="both"/>
        <w:rPr>
          <w:rFonts w:hint="default" w:ascii="Times New Roman" w:hAnsi="Times New Roman" w:cs="Times New Roman" w:eastAsiaTheme="minorEastAsia"/>
          <w:snapToGrid w:val="0"/>
          <w:color w:val="auto"/>
          <w:w w:val="99"/>
          <w:highlight w:val="none"/>
          <w:lang w:val="en-US" w:eastAsia="zh-CN"/>
        </w:rPr>
      </w:pPr>
      <w:r>
        <w:rPr>
          <w:rFonts w:hint="eastAsia" w:ascii="Times New Roman" w:hAnsi="Times New Roman" w:eastAsia="宋体" w:cs="Times New Roman"/>
          <w:color w:val="auto"/>
          <w:w w:val="99"/>
          <w:kern w:val="0"/>
          <w:sz w:val="24"/>
          <w:szCs w:val="24"/>
          <w:highlight w:val="none"/>
          <w:lang w:val="en-US" w:eastAsia="zh-CN" w:bidi="zh-CN"/>
        </w:rPr>
        <w:t>本项目拟在已开发的徐深气田徐深</w:t>
      </w:r>
      <w:r>
        <w:rPr>
          <w:rFonts w:hint="eastAsia" w:ascii="Times New Roman" w:hAnsi="Times New Roman" w:cs="Times New Roman"/>
          <w:color w:val="auto"/>
          <w:w w:val="99"/>
          <w:kern w:val="0"/>
          <w:sz w:val="24"/>
          <w:szCs w:val="24"/>
          <w:highlight w:val="none"/>
          <w:lang w:val="en-US" w:eastAsia="zh-CN" w:bidi="zh-CN"/>
        </w:rPr>
        <w:t>27</w:t>
      </w:r>
      <w:r>
        <w:rPr>
          <w:rFonts w:hint="eastAsia" w:ascii="Times New Roman" w:hAnsi="Times New Roman" w:eastAsia="宋体" w:cs="Times New Roman"/>
          <w:color w:val="auto"/>
          <w:w w:val="99"/>
          <w:kern w:val="0"/>
          <w:sz w:val="24"/>
          <w:szCs w:val="24"/>
          <w:highlight w:val="none"/>
          <w:lang w:val="en-US" w:eastAsia="zh-CN" w:bidi="zh-CN"/>
        </w:rPr>
        <w:t>区块</w:t>
      </w:r>
      <w:r>
        <w:rPr>
          <w:rFonts w:hint="eastAsia" w:ascii="Times New Roman" w:hAnsi="Times New Roman" w:cs="Times New Roman" w:eastAsiaTheme="minorEastAsia"/>
          <w:snapToGrid w:val="0"/>
          <w:color w:val="auto"/>
          <w:w w:val="99"/>
          <w:highlight w:val="none"/>
          <w:lang w:val="en-US" w:eastAsia="zh-CN"/>
        </w:rPr>
        <w:t>基建1口气井，井场设置80kW电磁涡流加热装置1座</w:t>
      </w:r>
      <w:r>
        <w:rPr>
          <w:rFonts w:hint="default" w:ascii="Times New Roman" w:hAnsi="Times New Roman" w:cs="Times New Roman" w:eastAsiaTheme="minorEastAsia"/>
          <w:snapToGrid w:val="0"/>
          <w:color w:val="auto"/>
          <w:w w:val="99"/>
          <w:highlight w:val="none"/>
          <w:lang w:val="en-US" w:eastAsia="zh-CN"/>
        </w:rPr>
        <w:t>；</w:t>
      </w:r>
      <w:r>
        <w:rPr>
          <w:rFonts w:hint="eastAsia" w:ascii="Times New Roman" w:hAnsi="Times New Roman" w:cs="Times New Roman" w:eastAsiaTheme="minorEastAsia"/>
          <w:snapToGrid w:val="0"/>
          <w:color w:val="auto"/>
          <w:w w:val="99"/>
          <w:highlight w:val="none"/>
          <w:lang w:val="en-US" w:eastAsia="zh-CN"/>
        </w:rPr>
        <w:t>新建采气管道1.92km；对徐深27集气站</w:t>
      </w:r>
      <w:r>
        <w:rPr>
          <w:rFonts w:hint="default" w:ascii="Times New Roman" w:hAnsi="Times New Roman" w:cs="Times New Roman" w:eastAsiaTheme="minorEastAsia"/>
          <w:snapToGrid w:val="0"/>
          <w:color w:val="auto"/>
          <w:w w:val="99"/>
          <w:highlight w:val="none"/>
          <w:lang w:val="en-US" w:eastAsia="zh-CN"/>
        </w:rPr>
        <w:t>配套新建1口气井进站阀组和生产阀组，新建低压电力电缆0.2km，敷设至用电设备</w:t>
      </w:r>
      <w:r>
        <w:rPr>
          <w:rFonts w:hint="eastAsia" w:ascii="Times New Roman" w:hAnsi="Times New Roman" w:cs="Times New Roman" w:eastAsiaTheme="minorEastAsia"/>
          <w:snapToGrid w:val="0"/>
          <w:color w:val="auto"/>
          <w:w w:val="99"/>
          <w:highlight w:val="none"/>
          <w:lang w:val="en-US" w:eastAsia="zh-CN"/>
        </w:rPr>
        <w:t>；井口新建柱上变1座，新建10kV线路0.8km；新建沥青砼通井路0.2km，建成产能为</w:t>
      </w:r>
      <w:r>
        <w:rPr>
          <w:rFonts w:hint="eastAsia" w:ascii="Times New Roman" w:hAnsi="Times New Roman" w:cs="Times New Roman" w:eastAsiaTheme="minorEastAsia"/>
          <w:snapToGrid w:val="0"/>
          <w:color w:val="auto"/>
          <w:w w:val="99"/>
          <w:sz w:val="24"/>
          <w:szCs w:val="24"/>
          <w:highlight w:val="none"/>
          <w:lang w:val="en-US" w:eastAsia="zh-CN"/>
        </w:rPr>
        <w:t>9.0</w:t>
      </w:r>
      <w:r>
        <w:rPr>
          <w:rFonts w:hint="default" w:ascii="Times New Roman" w:hAnsi="Times New Roman" w:cs="Times New Roman"/>
          <w:color w:val="auto"/>
          <w:w w:val="99"/>
          <w:sz w:val="24"/>
          <w:szCs w:val="24"/>
          <w:highlight w:val="none"/>
        </w:rPr>
        <w:t>×10</w:t>
      </w:r>
      <w:r>
        <w:rPr>
          <w:rFonts w:hint="eastAsia" w:ascii="Times New Roman" w:hAnsi="Times New Roman" w:cs="Times New Roman"/>
          <w:color w:val="auto"/>
          <w:w w:val="99"/>
          <w:sz w:val="24"/>
          <w:szCs w:val="24"/>
          <w:highlight w:val="none"/>
          <w:vertAlign w:val="superscript"/>
          <w:lang w:val="en-US" w:eastAsia="zh-CN"/>
        </w:rPr>
        <w:t>4</w:t>
      </w:r>
      <w:r>
        <w:rPr>
          <w:rFonts w:hint="default" w:ascii="Times New Roman" w:hAnsi="Times New Roman" w:cs="Times New Roman"/>
          <w:color w:val="auto"/>
          <w:w w:val="99"/>
          <w:sz w:val="24"/>
          <w:szCs w:val="24"/>
          <w:highlight w:val="none"/>
        </w:rPr>
        <w:t>m</w:t>
      </w:r>
      <w:r>
        <w:rPr>
          <w:rFonts w:hint="default" w:ascii="Times New Roman" w:hAnsi="Times New Roman" w:cs="Times New Roman"/>
          <w:color w:val="auto"/>
          <w:w w:val="99"/>
          <w:sz w:val="24"/>
          <w:szCs w:val="24"/>
          <w:highlight w:val="none"/>
          <w:vertAlign w:val="superscript"/>
        </w:rPr>
        <w:t>3</w:t>
      </w:r>
      <w:r>
        <w:rPr>
          <w:rFonts w:hint="default" w:ascii="Times New Roman" w:hAnsi="Times New Roman" w:cs="Times New Roman"/>
          <w:color w:val="auto"/>
          <w:w w:val="99"/>
          <w:sz w:val="24"/>
          <w:szCs w:val="24"/>
          <w:highlight w:val="none"/>
        </w:rPr>
        <w:t>/</w:t>
      </w:r>
      <w:r>
        <w:rPr>
          <w:rFonts w:hint="eastAsia" w:ascii="Times New Roman" w:hAnsi="Times New Roman" w:cs="Times New Roman"/>
          <w:color w:val="auto"/>
          <w:w w:val="99"/>
          <w:sz w:val="24"/>
          <w:szCs w:val="24"/>
          <w:highlight w:val="none"/>
          <w:lang w:val="en-US" w:eastAsia="zh-CN"/>
        </w:rPr>
        <w:t>d</w:t>
      </w:r>
      <w:r>
        <w:rPr>
          <w:rFonts w:hint="default" w:ascii="Times New Roman" w:hAnsi="Times New Roman" w:cs="Times New Roman"/>
          <w:bCs/>
          <w:color w:val="auto"/>
          <w:w w:val="99"/>
          <w:kern w:val="2"/>
          <w:sz w:val="24"/>
          <w:szCs w:val="24"/>
          <w:highlight w:val="none"/>
          <w:lang w:val="en-US" w:eastAsia="zh-CN"/>
        </w:rPr>
        <w:t>。</w:t>
      </w:r>
    </w:p>
    <w:p w14:paraId="634A5F3B">
      <w:pPr>
        <w:widowControl w:val="0"/>
        <w:spacing w:line="440" w:lineRule="exact"/>
        <w:ind w:firstLine="474" w:firstLineChars="200"/>
        <w:jc w:val="both"/>
        <w:rPr>
          <w:rFonts w:hint="default"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本项目新增总占地面积为</w:t>
      </w:r>
      <w:r>
        <w:rPr>
          <w:rFonts w:hint="eastAsia" w:ascii="Times New Roman" w:hAnsi="Times New Roman" w:cs="Times New Roman"/>
          <w:color w:val="auto"/>
          <w:w w:val="99"/>
          <w:kern w:val="0"/>
          <w:sz w:val="24"/>
          <w:szCs w:val="24"/>
          <w:highlight w:val="none"/>
          <w:lang w:val="en-US" w:eastAsia="zh-CN" w:bidi="zh-CN"/>
        </w:rPr>
        <w:t>2.013</w:t>
      </w:r>
      <w:r>
        <w:rPr>
          <w:rFonts w:hint="default" w:ascii="Times New Roman" w:hAnsi="Times New Roman" w:eastAsia="宋体" w:cs="Times New Roman"/>
          <w:color w:val="auto"/>
          <w:w w:val="99"/>
          <w:kern w:val="0"/>
          <w:sz w:val="24"/>
          <w:szCs w:val="24"/>
          <w:highlight w:val="none"/>
          <w:lang w:val="en-US" w:eastAsia="zh-CN" w:bidi="zh-CN"/>
        </w:rPr>
        <w: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，其中永久占地面积为</w:t>
      </w:r>
      <w:r>
        <w:rPr>
          <w:rFonts w:hint="eastAsia" w:ascii="Times New Roman" w:hAnsi="Times New Roman" w:cs="Times New Roman"/>
          <w:color w:val="auto"/>
          <w:w w:val="99"/>
          <w:kern w:val="0"/>
          <w:sz w:val="24"/>
          <w:szCs w:val="24"/>
          <w:highlight w:val="none"/>
          <w:lang w:val="en-US" w:eastAsia="zh-CN" w:bidi="zh-CN"/>
        </w:rPr>
        <w:t>0.0901</w:t>
      </w:r>
      <w:r>
        <w:rPr>
          <w:rFonts w:hint="default" w:ascii="Times New Roman" w:hAnsi="Times New Roman" w:eastAsia="宋体" w:cs="Times New Roman"/>
          <w:color w:val="auto"/>
          <w:w w:val="99"/>
          <w:kern w:val="0"/>
          <w:sz w:val="24"/>
          <w:szCs w:val="24"/>
          <w:highlight w:val="none"/>
          <w:lang w:val="en-US" w:eastAsia="zh-CN" w:bidi="zh-CN"/>
        </w:rPr>
        <w: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，临时占地面积为</w:t>
      </w:r>
      <w:r>
        <w:rPr>
          <w:rFonts w:hint="eastAsia" w:ascii="Times New Roman" w:hAnsi="Times New Roman" w:cs="Times New Roman"/>
          <w:color w:val="auto"/>
          <w:w w:val="99"/>
          <w:kern w:val="0"/>
          <w:sz w:val="24"/>
          <w:szCs w:val="24"/>
          <w:highlight w:val="none"/>
          <w:lang w:val="en-US" w:eastAsia="zh-CN" w:bidi="zh-CN"/>
        </w:rPr>
        <w:t>1.9229</w:t>
      </w:r>
      <w:r>
        <w:rPr>
          <w:rFonts w:hint="default" w:ascii="Times New Roman" w:hAnsi="Times New Roman" w:eastAsia="宋体" w:cs="Times New Roman"/>
          <w:color w:val="auto"/>
          <w:w w:val="99"/>
          <w:kern w:val="0"/>
          <w:sz w:val="24"/>
          <w:szCs w:val="24"/>
          <w:highlight w:val="none"/>
          <w:lang w:val="en-US" w:eastAsia="zh-CN" w:bidi="zh-CN"/>
        </w:rPr>
        <w:t>hm</w:t>
      </w:r>
      <w:r>
        <w:rPr>
          <w:rFonts w:hint="default" w:ascii="Times New Roman" w:hAnsi="Times New Roman" w:eastAsia="宋体" w:cs="Times New Roman"/>
          <w:color w:val="auto"/>
          <w:w w:val="99"/>
          <w:kern w:val="0"/>
          <w:sz w:val="24"/>
          <w:szCs w:val="24"/>
          <w:highlight w:val="none"/>
          <w:vertAlign w:val="superscript"/>
          <w:lang w:val="en-US" w:eastAsia="zh-CN" w:bidi="zh-CN"/>
        </w:rPr>
        <w:t>2</w:t>
      </w:r>
      <w:r>
        <w:rPr>
          <w:rFonts w:hint="default" w:ascii="Times New Roman" w:hAnsi="Times New Roman" w:eastAsia="宋体" w:cs="Times New Roman"/>
          <w:color w:val="auto"/>
          <w:w w:val="99"/>
          <w:kern w:val="0"/>
          <w:sz w:val="24"/>
          <w:szCs w:val="24"/>
          <w:highlight w:val="none"/>
          <w:lang w:val="en-US" w:eastAsia="zh-CN" w:bidi="zh-CN"/>
        </w:rPr>
        <w:t>，占地类型为耕地（永久基本农田</w:t>
      </w:r>
      <w:r>
        <w:rPr>
          <w:rFonts w:hint="eastAsia" w:ascii="Times New Roman" w:hAnsi="Times New Roman" w:cs="Times New Roman"/>
          <w:color w:val="auto"/>
          <w:w w:val="99"/>
          <w:kern w:val="0"/>
          <w:sz w:val="24"/>
          <w:szCs w:val="24"/>
          <w:highlight w:val="none"/>
          <w:lang w:val="en-US" w:eastAsia="zh-CN" w:bidi="zh-CN"/>
        </w:rPr>
        <w:t>）</w:t>
      </w:r>
      <w:r>
        <w:rPr>
          <w:rFonts w:hint="default" w:ascii="Times New Roman" w:hAnsi="Times New Roman" w:eastAsia="宋体" w:cs="Times New Roman"/>
          <w:color w:val="auto"/>
          <w:w w:val="99"/>
          <w:kern w:val="0"/>
          <w:sz w:val="24"/>
          <w:szCs w:val="24"/>
          <w:highlight w:val="none"/>
          <w:lang w:val="en-US" w:eastAsia="zh-CN" w:bidi="zh-CN"/>
        </w:rPr>
        <w:t>。本项目总投资</w:t>
      </w:r>
      <w:r>
        <w:rPr>
          <w:rFonts w:hint="eastAsia" w:ascii="Times New Roman" w:hAnsi="Times New Roman" w:cs="Times New Roman"/>
          <w:color w:val="auto"/>
          <w:w w:val="99"/>
          <w:kern w:val="0"/>
          <w:sz w:val="24"/>
          <w:szCs w:val="24"/>
          <w:highlight w:val="none"/>
          <w:lang w:val="en-US" w:eastAsia="zh-CN" w:bidi="zh-CN"/>
        </w:rPr>
        <w:t>567</w:t>
      </w:r>
      <w:r>
        <w:rPr>
          <w:rFonts w:hint="default" w:ascii="Times New Roman" w:hAnsi="Times New Roman" w:eastAsia="宋体" w:cs="Times New Roman"/>
          <w:color w:val="auto"/>
          <w:w w:val="99"/>
          <w:kern w:val="0"/>
          <w:sz w:val="24"/>
          <w:szCs w:val="24"/>
          <w:highlight w:val="none"/>
          <w:lang w:val="en-US" w:eastAsia="zh-CN" w:bidi="zh-CN"/>
        </w:rPr>
        <w:t>万元，其中环保投资</w:t>
      </w:r>
      <w:r>
        <w:rPr>
          <w:rFonts w:hint="eastAsia" w:ascii="Times New Roman" w:hAnsi="Times New Roman" w:cs="Times New Roman"/>
          <w:color w:val="auto"/>
          <w:w w:val="99"/>
          <w:kern w:val="0"/>
          <w:sz w:val="24"/>
          <w:szCs w:val="24"/>
          <w:highlight w:val="none"/>
          <w:lang w:val="en-US" w:eastAsia="zh-CN" w:bidi="zh-CN"/>
        </w:rPr>
        <w:t>25.47</w:t>
      </w:r>
      <w:r>
        <w:rPr>
          <w:rFonts w:hint="default" w:ascii="Times New Roman" w:hAnsi="Times New Roman" w:eastAsia="宋体" w:cs="Times New Roman"/>
          <w:color w:val="auto"/>
          <w:w w:val="99"/>
          <w:kern w:val="0"/>
          <w:sz w:val="24"/>
          <w:szCs w:val="24"/>
          <w:highlight w:val="none"/>
          <w:lang w:val="en-US" w:eastAsia="zh-CN" w:bidi="zh-CN"/>
        </w:rPr>
        <w:t>万元，环保投资占比为</w:t>
      </w:r>
      <w:r>
        <w:rPr>
          <w:rFonts w:hint="eastAsia" w:ascii="Times New Roman" w:hAnsi="Times New Roman" w:cs="Times New Roman"/>
          <w:color w:val="auto"/>
          <w:w w:val="99"/>
          <w:kern w:val="0"/>
          <w:sz w:val="24"/>
          <w:szCs w:val="24"/>
          <w:highlight w:val="none"/>
          <w:lang w:val="en-US" w:eastAsia="zh-CN" w:bidi="zh-CN"/>
        </w:rPr>
        <w:t>4.49</w:t>
      </w:r>
      <w:r>
        <w:rPr>
          <w:rFonts w:hint="default" w:ascii="Times New Roman" w:hAnsi="Times New Roman" w:eastAsia="宋体" w:cs="Times New Roman"/>
          <w:color w:val="auto"/>
          <w:w w:val="99"/>
          <w:kern w:val="0"/>
          <w:sz w:val="24"/>
          <w:szCs w:val="24"/>
          <w:highlight w:val="none"/>
          <w:lang w:val="en-US" w:eastAsia="zh-CN" w:bidi="zh-CN"/>
        </w:rPr>
        <w:t>%。</w:t>
      </w:r>
    </w:p>
    <w:p w14:paraId="37345937">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241" w:name="_Toc173163566"/>
      <w:bookmarkStart w:id="1242" w:name="_Toc585"/>
      <w:r>
        <w:rPr>
          <w:rFonts w:ascii="Times New Roman" w:hAnsi="Times New Roman" w:eastAsiaTheme="minorEastAsia"/>
          <w:b/>
          <w:snapToGrid w:val="0"/>
          <w:color w:val="auto"/>
          <w:w w:val="99"/>
          <w:highlight w:val="none"/>
        </w:rPr>
        <w:t>9.2环境质量现状评价结论</w:t>
      </w:r>
      <w:bookmarkEnd w:id="1241"/>
      <w:bookmarkEnd w:id="1242"/>
    </w:p>
    <w:p w14:paraId="6E4F5357">
      <w:pPr>
        <w:pStyle w:val="7"/>
        <w:widowControl w:val="0"/>
        <w:spacing w:before="60" w:after="60" w:line="440" w:lineRule="exact"/>
        <w:jc w:val="both"/>
        <w:rPr>
          <w:rFonts w:eastAsiaTheme="minorEastAsia"/>
          <w:b/>
          <w:color w:val="auto"/>
          <w:w w:val="99"/>
          <w:kern w:val="2"/>
          <w:sz w:val="24"/>
          <w:szCs w:val="24"/>
          <w:highlight w:val="none"/>
        </w:rPr>
      </w:pPr>
      <w:bookmarkStart w:id="1243" w:name="_Toc84929355"/>
      <w:bookmarkStart w:id="1244" w:name="_Toc131167412"/>
      <w:bookmarkStart w:id="1245" w:name="_Toc85640879"/>
      <w:bookmarkStart w:id="1246" w:name="_Toc186444412"/>
      <w:bookmarkStart w:id="1247" w:name="_Toc127192460"/>
      <w:bookmarkStart w:id="1248" w:name="_Toc143099699"/>
      <w:bookmarkStart w:id="1249" w:name="_Toc126863511"/>
      <w:bookmarkStart w:id="1250" w:name="_Toc86142054"/>
      <w:r>
        <w:rPr>
          <w:rFonts w:eastAsiaTheme="minorEastAsia"/>
          <w:b/>
          <w:color w:val="auto"/>
          <w:w w:val="99"/>
          <w:kern w:val="2"/>
          <w:sz w:val="24"/>
          <w:szCs w:val="24"/>
          <w:highlight w:val="none"/>
        </w:rPr>
        <w:t>9.2.1大气环境质量现状评价结论</w:t>
      </w:r>
      <w:bookmarkEnd w:id="1243"/>
      <w:bookmarkEnd w:id="1244"/>
      <w:bookmarkEnd w:id="1245"/>
      <w:bookmarkEnd w:id="1246"/>
      <w:bookmarkEnd w:id="1247"/>
      <w:bookmarkEnd w:id="1248"/>
      <w:bookmarkEnd w:id="1249"/>
      <w:bookmarkEnd w:id="1250"/>
    </w:p>
    <w:p w14:paraId="743D31EE">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根据《202</w:t>
      </w:r>
      <w:r>
        <w:rPr>
          <w:rFonts w:hint="eastAsia" w:ascii="Times New Roman" w:hAnsi="Times New Roman" w:cs="Times New Roman"/>
          <w:color w:val="auto"/>
          <w:w w:val="99"/>
          <w:kern w:val="0"/>
          <w:sz w:val="24"/>
          <w:szCs w:val="24"/>
          <w:highlight w:val="none"/>
          <w:lang w:val="en-US" w:eastAsia="zh-CN" w:bidi="zh-CN"/>
        </w:rPr>
        <w:t>4</w:t>
      </w:r>
      <w:r>
        <w:rPr>
          <w:rFonts w:hint="eastAsia" w:ascii="Times New Roman" w:hAnsi="Times New Roman" w:eastAsia="宋体" w:cs="Times New Roman"/>
          <w:color w:val="auto"/>
          <w:w w:val="99"/>
          <w:kern w:val="0"/>
          <w:sz w:val="24"/>
          <w:szCs w:val="24"/>
          <w:highlight w:val="none"/>
          <w:lang w:val="en-US" w:eastAsia="zh-CN" w:bidi="zh-CN"/>
        </w:rPr>
        <w:t>年</w:t>
      </w:r>
      <w:r>
        <w:rPr>
          <w:rFonts w:hint="eastAsia" w:ascii="Times New Roman" w:hAnsi="Times New Roman" w:cs="Times New Roman"/>
          <w:color w:val="auto"/>
          <w:w w:val="99"/>
          <w:kern w:val="0"/>
          <w:sz w:val="24"/>
          <w:szCs w:val="24"/>
          <w:highlight w:val="none"/>
          <w:lang w:val="en-US" w:eastAsia="zh-CN" w:bidi="zh-CN"/>
        </w:rPr>
        <w:t>绥化</w:t>
      </w:r>
      <w:r>
        <w:rPr>
          <w:rFonts w:hint="eastAsia" w:ascii="Times New Roman" w:hAnsi="Times New Roman" w:eastAsia="宋体" w:cs="Times New Roman"/>
          <w:color w:val="auto"/>
          <w:w w:val="99"/>
          <w:kern w:val="0"/>
          <w:sz w:val="24"/>
          <w:szCs w:val="24"/>
          <w:highlight w:val="none"/>
          <w:lang w:val="en-US" w:eastAsia="zh-CN" w:bidi="zh-CN"/>
        </w:rPr>
        <w:t>市生态环境状况公报》统计数据可知，项目所在区域属于</w:t>
      </w:r>
      <w:r>
        <w:rPr>
          <w:rFonts w:hint="eastAsia" w:ascii="Times New Roman" w:hAnsi="Times New Roman" w:cs="Times New Roman"/>
          <w:color w:val="auto"/>
          <w:w w:val="99"/>
          <w:kern w:val="0"/>
          <w:sz w:val="24"/>
          <w:szCs w:val="24"/>
          <w:highlight w:val="none"/>
          <w:lang w:val="en-US" w:eastAsia="zh-CN" w:bidi="zh-CN"/>
        </w:rPr>
        <w:t>不</w:t>
      </w:r>
      <w:r>
        <w:rPr>
          <w:rFonts w:hint="eastAsia" w:ascii="Times New Roman" w:hAnsi="Times New Roman" w:eastAsia="宋体" w:cs="Times New Roman"/>
          <w:color w:val="auto"/>
          <w:w w:val="99"/>
          <w:kern w:val="0"/>
          <w:sz w:val="24"/>
          <w:szCs w:val="24"/>
          <w:highlight w:val="none"/>
          <w:lang w:val="en-US" w:eastAsia="zh-CN" w:bidi="zh-CN"/>
        </w:rPr>
        <w:t>达标区，</w:t>
      </w:r>
      <w:r>
        <w:rPr>
          <w:rFonts w:hint="eastAsia" w:ascii="Times New Roman" w:hAnsi="Times New Roman" w:cs="Times New Roman"/>
          <w:color w:val="auto"/>
          <w:w w:val="99"/>
          <w:kern w:val="0"/>
          <w:sz w:val="24"/>
          <w:szCs w:val="24"/>
          <w:highlight w:val="none"/>
          <w:lang w:val="en-US" w:eastAsia="zh-CN" w:bidi="zh-CN"/>
        </w:rPr>
        <w:t>除PM</w:t>
      </w:r>
      <w:r>
        <w:rPr>
          <w:rFonts w:hint="eastAsia" w:ascii="Times New Roman" w:hAnsi="Times New Roman" w:cs="Times New Roman"/>
          <w:color w:val="auto"/>
          <w:w w:val="99"/>
          <w:kern w:val="0"/>
          <w:sz w:val="24"/>
          <w:szCs w:val="24"/>
          <w:highlight w:val="none"/>
          <w:vertAlign w:val="subscript"/>
          <w:lang w:val="en-US" w:eastAsia="zh-CN" w:bidi="zh-CN"/>
        </w:rPr>
        <w:t>2.5</w:t>
      </w:r>
      <w:r>
        <w:rPr>
          <w:rFonts w:hint="eastAsia" w:ascii="Times New Roman" w:hAnsi="Times New Roman" w:eastAsia="宋体" w:cs="Times New Roman"/>
          <w:color w:val="auto"/>
          <w:w w:val="99"/>
          <w:kern w:val="0"/>
          <w:sz w:val="24"/>
          <w:szCs w:val="24"/>
          <w:highlight w:val="none"/>
          <w:lang w:val="en-US" w:eastAsia="zh-CN" w:bidi="zh-CN"/>
        </w:rPr>
        <w:t>均能满足《环境空气质量标准》（GB3095-20</w:t>
      </w:r>
      <w:r>
        <w:rPr>
          <w:rFonts w:hint="eastAsia" w:ascii="Times New Roman" w:hAnsi="Times New Roman" w:cs="Times New Roman"/>
          <w:color w:val="auto"/>
          <w:w w:val="99"/>
          <w:kern w:val="0"/>
          <w:sz w:val="24"/>
          <w:szCs w:val="24"/>
          <w:highlight w:val="none"/>
          <w:lang w:val="en-US" w:eastAsia="zh-CN" w:bidi="zh-CN"/>
        </w:rPr>
        <w:t>26</w:t>
      </w:r>
      <w:r>
        <w:rPr>
          <w:rFonts w:hint="eastAsia" w:ascii="Times New Roman" w:hAnsi="Times New Roman" w:eastAsia="宋体" w:cs="Times New Roman"/>
          <w:color w:val="auto"/>
          <w:w w:val="99"/>
          <w:kern w:val="0"/>
          <w:sz w:val="24"/>
          <w:szCs w:val="24"/>
          <w:highlight w:val="none"/>
          <w:lang w:val="en-US" w:eastAsia="zh-CN" w:bidi="zh-CN"/>
        </w:rPr>
        <w:t>）二级标准要求。根据补充监测可知，区域特征污染物非甲烷总烃满足《大气污染物综合排放标准详解》中的2.0mg/m</w:t>
      </w:r>
      <w:r>
        <w:rPr>
          <w:rFonts w:hint="eastAsia" w:ascii="Times New Roman" w:hAnsi="Times New Roman" w:eastAsia="宋体" w:cs="Times New Roman"/>
          <w:color w:val="auto"/>
          <w:w w:val="99"/>
          <w:kern w:val="0"/>
          <w:sz w:val="24"/>
          <w:szCs w:val="24"/>
          <w:highlight w:val="none"/>
          <w:vertAlign w:val="superscript"/>
          <w:lang w:val="en-US" w:eastAsia="zh-CN" w:bidi="zh-CN"/>
        </w:rPr>
        <w:t>3</w:t>
      </w:r>
      <w:r>
        <w:rPr>
          <w:rFonts w:hint="eastAsia" w:ascii="Times New Roman" w:hAnsi="Times New Roman" w:eastAsia="宋体" w:cs="Times New Roman"/>
          <w:color w:val="auto"/>
          <w:w w:val="99"/>
          <w:kern w:val="0"/>
          <w:sz w:val="24"/>
          <w:szCs w:val="24"/>
          <w:highlight w:val="none"/>
          <w:lang w:val="en-US" w:eastAsia="zh-CN" w:bidi="zh-CN"/>
        </w:rPr>
        <w:t xml:space="preserve">标准要求， </w:t>
      </w:r>
      <w:r>
        <w:rPr>
          <w:rFonts w:ascii="Times New Roman" w:hAnsi="Times New Roman" w:cs="Times New Roman" w:eastAsiaTheme="minorEastAsia"/>
          <w:color w:val="auto"/>
          <w:w w:val="99"/>
          <w:szCs w:val="28"/>
          <w:highlight w:val="none"/>
        </w:rPr>
        <w:t>甲醇</w:t>
      </w:r>
      <w:r>
        <w:rPr>
          <w:rFonts w:hint="eastAsia" w:ascii="Times New Roman" w:hAnsi="Times New Roman" w:cs="Times New Roman" w:eastAsiaTheme="minorEastAsia"/>
          <w:color w:val="auto"/>
          <w:w w:val="99"/>
          <w:szCs w:val="28"/>
          <w:highlight w:val="none"/>
          <w:lang w:val="en-US" w:eastAsia="zh-CN"/>
        </w:rPr>
        <w:t>满足</w:t>
      </w:r>
      <w:r>
        <w:rPr>
          <w:rFonts w:ascii="Times New Roman" w:hAnsi="Times New Roman" w:cs="Times New Roman" w:eastAsiaTheme="minorEastAsia"/>
          <w:color w:val="auto"/>
          <w:w w:val="99"/>
          <w:szCs w:val="28"/>
          <w:highlight w:val="none"/>
        </w:rPr>
        <w:t>标准《环境影响评价技术导则 大气环境》(HJ2.2-2018）附录 D 中甲醇 1h平均浓度参考限值3.0mg/m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w:t>
      </w:r>
      <w:r>
        <w:rPr>
          <w:rFonts w:ascii="Times New Roman" w:hAnsi="Times New Roman" w:cs="Times New Roman" w:eastAsiaTheme="minorEastAsia"/>
          <w:bCs/>
          <w:color w:val="auto"/>
          <w:w w:val="99"/>
          <w:kern w:val="21"/>
          <w:highlight w:val="none"/>
        </w:rPr>
        <w:t>说明评价区域内大气环境质量较好。</w:t>
      </w:r>
    </w:p>
    <w:p w14:paraId="6AB16514">
      <w:pPr>
        <w:pStyle w:val="7"/>
        <w:keepNext w:val="0"/>
        <w:keepLines w:val="0"/>
        <w:widowControl w:val="0"/>
        <w:spacing w:before="60" w:after="60" w:line="440" w:lineRule="exact"/>
        <w:jc w:val="both"/>
        <w:rPr>
          <w:rFonts w:eastAsiaTheme="minorEastAsia"/>
          <w:b/>
          <w:color w:val="auto"/>
          <w:w w:val="99"/>
          <w:kern w:val="2"/>
          <w:sz w:val="24"/>
          <w:szCs w:val="24"/>
          <w:highlight w:val="none"/>
        </w:rPr>
      </w:pPr>
      <w:bookmarkStart w:id="1251" w:name="_Toc84929356"/>
      <w:bookmarkStart w:id="1252" w:name="_Toc143099700"/>
      <w:bookmarkStart w:id="1253" w:name="_Toc85640880"/>
      <w:bookmarkStart w:id="1254" w:name="_Toc100822236"/>
      <w:bookmarkStart w:id="1255" w:name="_Toc103610995"/>
      <w:bookmarkStart w:id="1256" w:name="_Toc106810423"/>
      <w:bookmarkStart w:id="1257" w:name="_Toc186444413"/>
      <w:bookmarkStart w:id="1258" w:name="_Toc86142055"/>
      <w:bookmarkStart w:id="1259" w:name="_Toc126863513"/>
      <w:bookmarkStart w:id="1260" w:name="_Toc86142056"/>
      <w:bookmarkStart w:id="1261" w:name="_Toc85640881"/>
      <w:bookmarkStart w:id="1262" w:name="_Toc131167413"/>
      <w:bookmarkStart w:id="1263" w:name="_Toc127192462"/>
      <w:bookmarkStart w:id="1264" w:name="_Toc84929357"/>
      <w:r>
        <w:rPr>
          <w:rFonts w:eastAsiaTheme="minorEastAsia"/>
          <w:b/>
          <w:color w:val="auto"/>
          <w:w w:val="99"/>
          <w:kern w:val="2"/>
          <w:sz w:val="24"/>
          <w:szCs w:val="24"/>
          <w:highlight w:val="none"/>
        </w:rPr>
        <w:t>9.2.2地表水环境质量现状评价结论</w:t>
      </w:r>
      <w:bookmarkEnd w:id="1251"/>
      <w:bookmarkEnd w:id="1252"/>
      <w:bookmarkEnd w:id="1253"/>
      <w:bookmarkEnd w:id="1254"/>
      <w:bookmarkEnd w:id="1255"/>
      <w:bookmarkEnd w:id="1256"/>
      <w:bookmarkEnd w:id="1257"/>
      <w:bookmarkEnd w:id="1258"/>
    </w:p>
    <w:p w14:paraId="327FA694">
      <w:pPr>
        <w:pStyle w:val="153"/>
        <w:widowControl w:val="0"/>
        <w:spacing w:line="440" w:lineRule="exact"/>
        <w:ind w:firstLine="473"/>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cs="Times New Roman"/>
          <w:color w:val="auto"/>
          <w:w w:val="99"/>
          <w:kern w:val="0"/>
          <w:sz w:val="24"/>
          <w:szCs w:val="24"/>
          <w:highlight w:val="none"/>
          <w:lang w:val="en-US" w:eastAsia="zh-CN" w:bidi="zh-CN"/>
        </w:rPr>
        <w:t>本项目距离最近的地表水体为北大干渠</w:t>
      </w:r>
      <w:r>
        <w:rPr>
          <w:rFonts w:hint="eastAsia" w:ascii="Times New Roman" w:hAnsi="Times New Roman" w:eastAsia="宋体" w:cs="Times New Roman"/>
          <w:color w:val="auto"/>
          <w:w w:val="99"/>
          <w:kern w:val="0"/>
          <w:sz w:val="24"/>
          <w:szCs w:val="24"/>
          <w:highlight w:val="none"/>
          <w:lang w:val="en-US" w:eastAsia="zh-CN" w:bidi="zh-CN"/>
        </w:rPr>
        <w:t>，</w:t>
      </w:r>
      <w:r>
        <w:rPr>
          <w:rFonts w:hint="eastAsia" w:ascii="Times New Roman" w:hAnsi="Times New Roman" w:cs="Times New Roman"/>
          <w:color w:val="auto"/>
          <w:w w:val="99"/>
          <w:kern w:val="0"/>
          <w:sz w:val="24"/>
          <w:szCs w:val="24"/>
          <w:highlight w:val="none"/>
          <w:lang w:val="en-US" w:eastAsia="zh-CN" w:bidi="zh-CN"/>
        </w:rPr>
        <w:t>北大</w:t>
      </w:r>
      <w:r>
        <w:rPr>
          <w:rFonts w:hint="eastAsia" w:ascii="Times New Roman" w:hAnsi="Times New Roman" w:eastAsia="宋体" w:cs="Times New Roman"/>
          <w:color w:val="auto"/>
          <w:w w:val="99"/>
          <w:kern w:val="0"/>
          <w:sz w:val="24"/>
          <w:szCs w:val="24"/>
          <w:highlight w:val="none"/>
          <w:lang w:val="en-US" w:eastAsia="zh-CN" w:bidi="zh-CN"/>
        </w:rPr>
        <w:t>干渠未划分水体功能，不执行《地表水环境质量标准》（GB3838-2002）中的标准限值要求，本项目仅对</w:t>
      </w:r>
      <w:r>
        <w:rPr>
          <w:rFonts w:hint="eastAsia" w:ascii="Times New Roman" w:hAnsi="Times New Roman" w:cs="Times New Roman"/>
          <w:color w:val="auto"/>
          <w:w w:val="99"/>
          <w:kern w:val="0"/>
          <w:sz w:val="24"/>
          <w:szCs w:val="24"/>
          <w:highlight w:val="none"/>
          <w:lang w:val="en-US" w:eastAsia="zh-CN" w:bidi="zh-CN"/>
        </w:rPr>
        <w:t>北大干渠</w:t>
      </w:r>
      <w:r>
        <w:rPr>
          <w:rFonts w:hint="eastAsia" w:ascii="Times New Roman" w:hAnsi="Times New Roman" w:eastAsia="宋体" w:cs="Times New Roman"/>
          <w:color w:val="auto"/>
          <w:w w:val="99"/>
          <w:kern w:val="0"/>
          <w:sz w:val="24"/>
          <w:szCs w:val="24"/>
          <w:highlight w:val="none"/>
          <w:lang w:val="en-US" w:eastAsia="zh-CN" w:bidi="zh-CN"/>
        </w:rPr>
        <w:t>现状进行监测，监测结果显示本项目特征因子石油类未检出。</w:t>
      </w:r>
    </w:p>
    <w:p w14:paraId="66264E56">
      <w:pPr>
        <w:pStyle w:val="7"/>
        <w:widowControl w:val="0"/>
        <w:spacing w:before="60" w:after="60" w:line="440" w:lineRule="exact"/>
        <w:jc w:val="both"/>
        <w:rPr>
          <w:rFonts w:eastAsiaTheme="minorEastAsia"/>
          <w:b/>
          <w:color w:val="auto"/>
          <w:w w:val="99"/>
          <w:kern w:val="2"/>
          <w:sz w:val="24"/>
          <w:szCs w:val="24"/>
          <w:highlight w:val="none"/>
        </w:rPr>
      </w:pPr>
      <w:bookmarkStart w:id="1265" w:name="_Toc143099701"/>
      <w:bookmarkStart w:id="1266" w:name="_Toc186444414"/>
      <w:r>
        <w:rPr>
          <w:rFonts w:eastAsiaTheme="minorEastAsia"/>
          <w:b/>
          <w:color w:val="auto"/>
          <w:w w:val="99"/>
          <w:kern w:val="2"/>
          <w:sz w:val="24"/>
          <w:szCs w:val="24"/>
          <w:highlight w:val="none"/>
        </w:rPr>
        <w:t>9.2.3地下水环境质量现状评价结论</w:t>
      </w:r>
      <w:bookmarkEnd w:id="1259"/>
      <w:bookmarkEnd w:id="1260"/>
      <w:bookmarkEnd w:id="1261"/>
      <w:bookmarkEnd w:id="1262"/>
      <w:bookmarkEnd w:id="1263"/>
      <w:bookmarkEnd w:id="1264"/>
      <w:bookmarkEnd w:id="1265"/>
      <w:bookmarkEnd w:id="1266"/>
    </w:p>
    <w:p w14:paraId="66981986">
      <w:pPr>
        <w:pStyle w:val="153"/>
        <w:widowControl w:val="0"/>
        <w:spacing w:line="440" w:lineRule="exact"/>
        <w:ind w:firstLine="473"/>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评价区域地下水水质除潜水中锰外均满足《地下水质量标准》（GB/T14848-2017）中的Ⅲ类标准要求。其中锰因子水质监测浓度占标率偏高，主要是由于评价区域地层中富含锰矿物，还原条件下转化的可溶性Mn</w:t>
      </w:r>
      <w:r>
        <w:rPr>
          <w:rFonts w:hint="eastAsia" w:ascii="Times New Roman" w:hAnsi="Times New Roman" w:eastAsia="宋体" w:cs="Times New Roman"/>
          <w:color w:val="auto"/>
          <w:w w:val="99"/>
          <w:kern w:val="0"/>
          <w:sz w:val="24"/>
          <w:szCs w:val="24"/>
          <w:highlight w:val="none"/>
          <w:vertAlign w:val="superscript"/>
          <w:lang w:val="en-US" w:eastAsia="zh-CN" w:bidi="zh-CN"/>
        </w:rPr>
        <w:t>2+</w:t>
      </w:r>
      <w:r>
        <w:rPr>
          <w:rFonts w:hint="eastAsia" w:ascii="Times New Roman" w:hAnsi="Times New Roman" w:eastAsia="宋体" w:cs="Times New Roman"/>
          <w:color w:val="auto"/>
          <w:w w:val="99"/>
          <w:kern w:val="0"/>
          <w:sz w:val="24"/>
          <w:szCs w:val="24"/>
          <w:highlight w:val="none"/>
          <w:lang w:val="en-US" w:eastAsia="zh-CN" w:bidi="zh-CN"/>
        </w:rPr>
        <w:t>溶入地下水中，形成锰浓度偏高的水文地质化学环境。评价区域地下水化学类型主要为4-A型HCO</w:t>
      </w:r>
      <w:r>
        <w:rPr>
          <w:rFonts w:hint="eastAsia" w:ascii="Times New Roman" w:hAnsi="Times New Roman" w:eastAsia="宋体" w:cs="Times New Roman"/>
          <w:color w:val="auto"/>
          <w:w w:val="99"/>
          <w:kern w:val="0"/>
          <w:sz w:val="24"/>
          <w:szCs w:val="24"/>
          <w:highlight w:val="none"/>
          <w:vertAlign w:val="subscript"/>
          <w:lang w:val="en-US" w:eastAsia="zh-CN" w:bidi="zh-CN"/>
        </w:rPr>
        <w:t>3</w:t>
      </w:r>
      <w:r>
        <w:rPr>
          <w:rFonts w:hint="eastAsia" w:ascii="Times New Roman" w:hAnsi="Times New Roman" w:eastAsia="宋体" w:cs="Times New Roman"/>
          <w:color w:val="auto"/>
          <w:w w:val="99"/>
          <w:kern w:val="0"/>
          <w:sz w:val="24"/>
          <w:szCs w:val="24"/>
          <w:highlight w:val="none"/>
          <w:lang w:val="en-US" w:eastAsia="zh-CN" w:bidi="zh-CN"/>
        </w:rPr>
        <w:t>- Na+Ca淡水型淡水。</w:t>
      </w:r>
    </w:p>
    <w:p w14:paraId="7418132D">
      <w:pPr>
        <w:pStyle w:val="153"/>
        <w:widowControl w:val="0"/>
        <w:spacing w:line="440" w:lineRule="exact"/>
        <w:ind w:firstLine="473"/>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评价区域内包气带中汞、砷均未检出，且污染控制点与清洁对照点油田特征污染物石油类、挥发酚所测数值相差不大，评价区域内包气带未被污染。</w:t>
      </w:r>
    </w:p>
    <w:p w14:paraId="5AA49BF5">
      <w:pPr>
        <w:pStyle w:val="7"/>
        <w:widowControl w:val="0"/>
        <w:spacing w:before="60" w:after="60" w:line="440" w:lineRule="exact"/>
        <w:jc w:val="both"/>
        <w:rPr>
          <w:rFonts w:eastAsiaTheme="minorEastAsia"/>
          <w:b/>
          <w:color w:val="auto"/>
          <w:w w:val="99"/>
          <w:kern w:val="2"/>
          <w:sz w:val="24"/>
          <w:szCs w:val="24"/>
          <w:highlight w:val="none"/>
        </w:rPr>
      </w:pPr>
      <w:bookmarkStart w:id="1267" w:name="_Toc86142057"/>
      <w:bookmarkStart w:id="1268" w:name="_Toc131167414"/>
      <w:bookmarkStart w:id="1269" w:name="_Toc186444415"/>
      <w:bookmarkStart w:id="1270" w:name="_Toc84929358"/>
      <w:bookmarkStart w:id="1271" w:name="_Toc127192463"/>
      <w:bookmarkStart w:id="1272" w:name="_Toc85640882"/>
      <w:bookmarkStart w:id="1273" w:name="_Toc143099702"/>
      <w:bookmarkStart w:id="1274" w:name="_Toc126863514"/>
      <w:r>
        <w:rPr>
          <w:rFonts w:eastAsiaTheme="minorEastAsia"/>
          <w:b/>
          <w:color w:val="auto"/>
          <w:w w:val="99"/>
          <w:kern w:val="2"/>
          <w:sz w:val="24"/>
          <w:szCs w:val="24"/>
          <w:highlight w:val="none"/>
        </w:rPr>
        <w:t>9.2.4声环境质量现状评价结论</w:t>
      </w:r>
      <w:bookmarkEnd w:id="1267"/>
      <w:bookmarkEnd w:id="1268"/>
      <w:bookmarkEnd w:id="1269"/>
      <w:bookmarkEnd w:id="1270"/>
      <w:bookmarkEnd w:id="1271"/>
      <w:bookmarkEnd w:id="1272"/>
      <w:bookmarkEnd w:id="1273"/>
      <w:bookmarkEnd w:id="1274"/>
    </w:p>
    <w:p w14:paraId="77FFF485">
      <w:pPr>
        <w:pStyle w:val="153"/>
        <w:widowControl w:val="0"/>
        <w:spacing w:line="440" w:lineRule="exact"/>
        <w:ind w:firstLine="473"/>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项目区域声环境满足《声环境质量标准》（GB3096-2008）2类标准，项目周边村屯声环境满足《声环境质量标准》（GB3096-2008）1类标准。</w:t>
      </w:r>
    </w:p>
    <w:p w14:paraId="31548F73">
      <w:pPr>
        <w:pStyle w:val="7"/>
        <w:widowControl w:val="0"/>
        <w:spacing w:before="60" w:after="60" w:line="440" w:lineRule="exact"/>
        <w:jc w:val="both"/>
        <w:rPr>
          <w:rFonts w:eastAsiaTheme="minorEastAsia"/>
          <w:b/>
          <w:color w:val="auto"/>
          <w:w w:val="99"/>
          <w:kern w:val="2"/>
          <w:sz w:val="24"/>
          <w:szCs w:val="24"/>
          <w:highlight w:val="none"/>
        </w:rPr>
      </w:pPr>
      <w:bookmarkStart w:id="1275" w:name="_Toc86142058"/>
      <w:bookmarkStart w:id="1276" w:name="_Toc143099703"/>
      <w:bookmarkStart w:id="1277" w:name="_Toc126863515"/>
      <w:bookmarkStart w:id="1278" w:name="_Toc127192464"/>
      <w:bookmarkStart w:id="1279" w:name="_Toc131167415"/>
      <w:bookmarkStart w:id="1280" w:name="_Toc186444416"/>
      <w:bookmarkStart w:id="1281" w:name="_Toc85640883"/>
      <w:bookmarkStart w:id="1282" w:name="_Toc84929359"/>
      <w:r>
        <w:rPr>
          <w:rFonts w:eastAsiaTheme="minorEastAsia"/>
          <w:b/>
          <w:color w:val="auto"/>
          <w:w w:val="99"/>
          <w:kern w:val="2"/>
          <w:sz w:val="24"/>
          <w:szCs w:val="24"/>
          <w:highlight w:val="none"/>
        </w:rPr>
        <w:t>9.2.5土壤现状评价结论</w:t>
      </w:r>
      <w:bookmarkEnd w:id="1275"/>
      <w:bookmarkEnd w:id="1276"/>
      <w:bookmarkEnd w:id="1277"/>
      <w:bookmarkEnd w:id="1278"/>
      <w:bookmarkEnd w:id="1279"/>
      <w:bookmarkEnd w:id="1280"/>
      <w:bookmarkEnd w:id="1281"/>
      <w:bookmarkEnd w:id="1282"/>
    </w:p>
    <w:p w14:paraId="140FEF72">
      <w:pPr>
        <w:pStyle w:val="160"/>
        <w:widowControl w:val="0"/>
        <w:spacing w:line="440" w:lineRule="exact"/>
        <w:ind w:firstLine="473"/>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评价区域内土壤环境质量较好，没有出现超标情况。本项目永久占地内土壤及现有井场、场站土壤满足《土壤环境质量 建设用地土壤污染风险管控标准（试行）》（GB36600-2018）中第二类用地筛选值标准，评价范围内居住区土壤满足《土壤环境质量 建设用地土壤污染风险管控标准（试行）》（GB36600-2018）中第一类用地筛选值标准，评价范围内农用地土壤满足《土壤环境质量 农用地土壤污染风险管控标准（试行）》（GB15618-2018）表1农用地土壤风险筛选值。</w:t>
      </w:r>
    </w:p>
    <w:p w14:paraId="42619286">
      <w:pPr>
        <w:pStyle w:val="7"/>
        <w:widowControl w:val="0"/>
        <w:spacing w:before="60" w:after="60" w:line="440" w:lineRule="exact"/>
        <w:jc w:val="both"/>
        <w:rPr>
          <w:rFonts w:eastAsiaTheme="minorEastAsia"/>
          <w:b/>
          <w:color w:val="auto"/>
          <w:w w:val="99"/>
          <w:kern w:val="2"/>
          <w:sz w:val="24"/>
          <w:szCs w:val="24"/>
          <w:highlight w:val="none"/>
        </w:rPr>
      </w:pPr>
      <w:bookmarkStart w:id="1283" w:name="_Toc86142059"/>
      <w:bookmarkStart w:id="1284" w:name="_Toc186444417"/>
      <w:bookmarkStart w:id="1285" w:name="_Toc131167416"/>
      <w:bookmarkStart w:id="1286" w:name="_Toc85640884"/>
      <w:bookmarkStart w:id="1287" w:name="_Toc84929360"/>
      <w:bookmarkStart w:id="1288" w:name="_Toc143099704"/>
      <w:bookmarkStart w:id="1289" w:name="_Toc127192465"/>
      <w:bookmarkStart w:id="1290" w:name="_Toc126863516"/>
      <w:r>
        <w:rPr>
          <w:rFonts w:eastAsiaTheme="minorEastAsia"/>
          <w:b/>
          <w:color w:val="auto"/>
          <w:w w:val="99"/>
          <w:kern w:val="2"/>
          <w:sz w:val="24"/>
          <w:szCs w:val="24"/>
          <w:highlight w:val="none"/>
        </w:rPr>
        <w:t>9.2.6生态环境现状评价结论</w:t>
      </w:r>
      <w:bookmarkEnd w:id="1283"/>
      <w:bookmarkEnd w:id="1284"/>
      <w:bookmarkEnd w:id="1285"/>
      <w:bookmarkEnd w:id="1286"/>
      <w:bookmarkEnd w:id="1287"/>
      <w:bookmarkEnd w:id="1288"/>
      <w:bookmarkEnd w:id="1289"/>
      <w:bookmarkEnd w:id="1290"/>
    </w:p>
    <w:p w14:paraId="343EFBAB">
      <w:pPr>
        <w:pStyle w:val="160"/>
        <w:widowControl w:val="0"/>
        <w:spacing w:line="440" w:lineRule="exact"/>
        <w:ind w:firstLine="473"/>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项目评价范围内生态系统类型主要为农田生态系统。本项目评价范围内土地利用类型以草地及耕地为主，工程所在区域内主要土壤类型以黑钙土为主，工程所在区域人类活动频繁，野生动物较少，区域生态环境总体质量较好。</w:t>
      </w:r>
    </w:p>
    <w:p w14:paraId="6F49928E">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291" w:name="_Toc173163567"/>
      <w:bookmarkStart w:id="1292" w:name="_Toc17645"/>
      <w:r>
        <w:rPr>
          <w:rFonts w:ascii="Times New Roman" w:hAnsi="Times New Roman" w:eastAsiaTheme="minorEastAsia"/>
          <w:b/>
          <w:snapToGrid w:val="0"/>
          <w:color w:val="auto"/>
          <w:w w:val="99"/>
          <w:highlight w:val="none"/>
        </w:rPr>
        <w:t>9.3环境影响分析和污染防治措施可行性结论</w:t>
      </w:r>
      <w:bookmarkEnd w:id="1291"/>
      <w:bookmarkEnd w:id="1292"/>
    </w:p>
    <w:p w14:paraId="74883DB4">
      <w:pPr>
        <w:pStyle w:val="7"/>
        <w:widowControl w:val="0"/>
        <w:spacing w:before="60" w:after="60" w:line="440" w:lineRule="exact"/>
        <w:jc w:val="both"/>
        <w:rPr>
          <w:rFonts w:eastAsiaTheme="minorEastAsia"/>
          <w:b/>
          <w:color w:val="auto"/>
          <w:w w:val="99"/>
          <w:kern w:val="2"/>
          <w:sz w:val="24"/>
          <w:szCs w:val="24"/>
          <w:highlight w:val="none"/>
        </w:rPr>
      </w:pPr>
      <w:bookmarkStart w:id="1293" w:name="_Toc126863518"/>
      <w:bookmarkStart w:id="1294" w:name="_Toc85640886"/>
      <w:bookmarkStart w:id="1295" w:name="_Toc127192467"/>
      <w:bookmarkStart w:id="1296" w:name="_Toc143099706"/>
      <w:bookmarkStart w:id="1297" w:name="_Toc131167418"/>
      <w:bookmarkStart w:id="1298" w:name="_Toc84929362"/>
      <w:bookmarkStart w:id="1299" w:name="_Toc186444419"/>
      <w:bookmarkStart w:id="1300" w:name="_Toc86142061"/>
      <w:r>
        <w:rPr>
          <w:rFonts w:eastAsiaTheme="minorEastAsia"/>
          <w:b/>
          <w:color w:val="auto"/>
          <w:w w:val="99"/>
          <w:kern w:val="2"/>
          <w:sz w:val="24"/>
          <w:szCs w:val="24"/>
          <w:highlight w:val="none"/>
        </w:rPr>
        <w:t>9.3.1大气环境影响分析和污染防治措施可行性结论</w:t>
      </w:r>
      <w:bookmarkEnd w:id="1293"/>
      <w:bookmarkEnd w:id="1294"/>
      <w:bookmarkEnd w:id="1295"/>
      <w:bookmarkEnd w:id="1296"/>
      <w:bookmarkEnd w:id="1297"/>
      <w:bookmarkEnd w:id="1298"/>
      <w:bookmarkEnd w:id="1299"/>
      <w:bookmarkEnd w:id="1300"/>
    </w:p>
    <w:p w14:paraId="29B426CA">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施工期对施工场地采取洒水抑尘，对易起尘的临时土方等加盖苫布，施工运输车辆采取密闭措施或加盖苫布，加强施工管理，施工期界外扬尘满足《大气污染物综合排放标准》（GB16297-1996）中无组织排放监控浓度限值。</w:t>
      </w:r>
    </w:p>
    <w:p w14:paraId="7F40EBB8">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运营期天然气采用密闭集输工艺，井口安装密封垫，新建采气管道、阀组、法兰等动静密封系统要加强密闭措施，防止烃类气体的无组织挥发。井场及场站厂界外非甲烷总烃满足《陆上石油天然气开采工业大气污染物排放标准》（GB39728-2020）5.9中规定要求。</w:t>
      </w:r>
    </w:p>
    <w:p w14:paraId="789FF7F6">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依托场站内加热炉采用清洁能源天然气作为燃料，并采用低氮燃烧器，加热炉燃烧产生的废气均经不低于8m的烟囱高空排放，能够达到《锅炉大气污染物排放标准》（GB13271-2014）表2中新建燃气锅炉标准限值要求。</w:t>
      </w:r>
    </w:p>
    <w:p w14:paraId="2BF89DF7">
      <w:pPr>
        <w:pStyle w:val="7"/>
        <w:widowControl w:val="0"/>
        <w:spacing w:before="60" w:after="60" w:line="440" w:lineRule="exact"/>
        <w:jc w:val="both"/>
        <w:rPr>
          <w:rFonts w:eastAsiaTheme="minorEastAsia"/>
          <w:b/>
          <w:color w:val="auto"/>
          <w:w w:val="99"/>
          <w:kern w:val="2"/>
          <w:sz w:val="24"/>
          <w:szCs w:val="24"/>
          <w:highlight w:val="none"/>
        </w:rPr>
      </w:pPr>
      <w:bookmarkStart w:id="1301" w:name="_Toc143099707"/>
      <w:bookmarkStart w:id="1302" w:name="_Toc126863519"/>
      <w:bookmarkStart w:id="1303" w:name="_Toc131167419"/>
      <w:bookmarkStart w:id="1304" w:name="_Toc84929363"/>
      <w:bookmarkStart w:id="1305" w:name="_Toc85640887"/>
      <w:bookmarkStart w:id="1306" w:name="_Toc86142062"/>
      <w:bookmarkStart w:id="1307" w:name="_Toc127192468"/>
      <w:bookmarkStart w:id="1308" w:name="_Toc186444420"/>
      <w:r>
        <w:rPr>
          <w:rFonts w:eastAsiaTheme="minorEastAsia"/>
          <w:b/>
          <w:color w:val="auto"/>
          <w:w w:val="99"/>
          <w:kern w:val="2"/>
          <w:sz w:val="24"/>
          <w:szCs w:val="24"/>
          <w:highlight w:val="none"/>
        </w:rPr>
        <w:t>9.3.2水环境影响分析和污染防治措施可行性结论</w:t>
      </w:r>
      <w:bookmarkEnd w:id="1301"/>
      <w:bookmarkEnd w:id="1302"/>
      <w:bookmarkEnd w:id="1303"/>
      <w:bookmarkEnd w:id="1304"/>
      <w:bookmarkEnd w:id="1305"/>
      <w:bookmarkEnd w:id="1306"/>
      <w:bookmarkEnd w:id="1307"/>
      <w:bookmarkEnd w:id="1308"/>
    </w:p>
    <w:p w14:paraId="70545EE9">
      <w:pPr>
        <w:pStyle w:val="153"/>
        <w:widowControl w:val="0"/>
        <w:spacing w:line="440" w:lineRule="exact"/>
        <w:ind w:firstLine="473"/>
        <w:jc w:val="both"/>
        <w:rPr>
          <w:rFonts w:hint="default" w:ascii="Times New Roman" w:hAnsi="Times New Roman" w:eastAsia="宋体" w:cs="Times New Roman"/>
          <w:color w:val="auto"/>
          <w:spacing w:val="0"/>
          <w:w w:val="99"/>
          <w:position w:val="0"/>
          <w:sz w:val="24"/>
          <w:szCs w:val="24"/>
          <w:highlight w:val="none"/>
          <w:lang w:val="en-US" w:eastAsia="zh-CN" w:bidi="ar-SA"/>
        </w:rPr>
      </w:pPr>
      <w:r>
        <w:rPr>
          <w:rFonts w:hint="default" w:ascii="Times New Roman" w:hAnsi="Times New Roman" w:eastAsia="宋体" w:cs="Times New Roman"/>
          <w:color w:val="auto"/>
          <w:w w:val="99"/>
          <w:kern w:val="0"/>
          <w:sz w:val="24"/>
          <w:szCs w:val="24"/>
          <w:highlight w:val="none"/>
          <w:lang w:val="en-US" w:eastAsia="zh-CN" w:bidi="zh-CN"/>
        </w:rPr>
        <w:t>施工期施工人员产生的生活污水排入周边集气站已建生活污水收集设施，</w:t>
      </w:r>
      <w:r>
        <w:rPr>
          <w:rFonts w:hint="eastAsia" w:ascii="Times New Roman" w:hAnsi="Times New Roman" w:eastAsia="宋体" w:cs="Times New Roman"/>
          <w:color w:val="auto"/>
          <w:spacing w:val="0"/>
          <w:w w:val="99"/>
          <w:position w:val="0"/>
          <w:sz w:val="24"/>
          <w:szCs w:val="24"/>
          <w:highlight w:val="none"/>
          <w:lang w:val="en-US" w:eastAsia="zh-CN" w:bidi="ar-SA"/>
        </w:rPr>
        <w:t>定期由</w:t>
      </w:r>
      <w:r>
        <w:rPr>
          <w:rFonts w:hint="eastAsia" w:ascii="Times New Roman" w:hAnsi="Times New Roman" w:cs="Times New Roman"/>
          <w:color w:val="auto"/>
          <w:spacing w:val="0"/>
          <w:w w:val="99"/>
          <w:position w:val="0"/>
          <w:sz w:val="24"/>
          <w:szCs w:val="24"/>
          <w:highlight w:val="none"/>
          <w:lang w:val="en-US" w:eastAsia="zh-CN" w:bidi="ar-SA"/>
        </w:rPr>
        <w:t>大庆石油管理局有限公司庆南工矿服务公司红岗分公司</w:t>
      </w:r>
      <w:r>
        <w:rPr>
          <w:rFonts w:hint="eastAsia" w:ascii="Times New Roman" w:hAnsi="Times New Roman" w:eastAsia="宋体" w:cs="Times New Roman"/>
          <w:color w:val="auto"/>
          <w:spacing w:val="0"/>
          <w:w w:val="99"/>
          <w:position w:val="0"/>
          <w:sz w:val="24"/>
          <w:szCs w:val="24"/>
          <w:highlight w:val="none"/>
          <w:lang w:val="en-US" w:eastAsia="zh-CN" w:bidi="ar-SA"/>
        </w:rPr>
        <w:t>拉运至大庆红岗区西巷污水回收站</w:t>
      </w:r>
      <w:r>
        <w:rPr>
          <w:rFonts w:hint="eastAsia" w:ascii="Times New Roman" w:hAnsi="Times New Roman" w:cs="Times New Roman"/>
          <w:color w:val="auto"/>
          <w:spacing w:val="0"/>
          <w:w w:val="99"/>
          <w:position w:val="0"/>
          <w:sz w:val="24"/>
          <w:szCs w:val="24"/>
          <w:highlight w:val="none"/>
          <w:lang w:val="en-US" w:eastAsia="zh-CN" w:bidi="ar-SA"/>
        </w:rPr>
        <w:t>，管输至南区污水处理厂</w:t>
      </w:r>
      <w:r>
        <w:rPr>
          <w:rFonts w:hint="eastAsia" w:ascii="Times New Roman" w:hAnsi="Times New Roman" w:eastAsia="宋体" w:cs="Times New Roman"/>
          <w:color w:val="auto"/>
          <w:spacing w:val="0"/>
          <w:w w:val="99"/>
          <w:position w:val="0"/>
          <w:sz w:val="24"/>
          <w:szCs w:val="24"/>
          <w:highlight w:val="none"/>
          <w:lang w:val="en-US" w:eastAsia="zh-CN" w:bidi="ar-SA"/>
        </w:rPr>
        <w:t>进行处理。</w:t>
      </w:r>
    </w:p>
    <w:p w14:paraId="54600E7F">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default" w:ascii="Times New Roman" w:hAnsi="Times New Roman" w:eastAsia="宋体" w:cs="Times New Roman"/>
          <w:color w:val="auto"/>
          <w:w w:val="99"/>
          <w:kern w:val="0"/>
          <w:sz w:val="24"/>
          <w:szCs w:val="24"/>
          <w:highlight w:val="none"/>
          <w:lang w:val="en-US" w:eastAsia="zh-CN" w:bidi="zh-CN"/>
        </w:rPr>
        <w:t>试压废水</w:t>
      </w:r>
      <w:r>
        <w:rPr>
          <w:rFonts w:hint="eastAsia" w:ascii="Times New Roman" w:hAnsi="Times New Roman" w:eastAsia="宋体" w:cs="Times New Roman"/>
          <w:color w:val="auto"/>
          <w:w w:val="99"/>
          <w:kern w:val="0"/>
          <w:sz w:val="24"/>
          <w:szCs w:val="24"/>
          <w:highlight w:val="none"/>
          <w:lang w:val="en-US" w:eastAsia="zh-CN" w:bidi="zh-CN"/>
        </w:rPr>
        <w:t>由罐车拉运至升一联气田污水预处理站，满足《大庆油田地面工程建设设计规定》（Q/SYDQ0639-2015）及《碎屑岩油藏注水水质指标技术要求及分析方法》（SY/T5329-2022）限值要求后回注油层，不外排。</w:t>
      </w:r>
    </w:p>
    <w:p w14:paraId="1766C982">
      <w:pPr>
        <w:snapToGrid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气田采出水暂存于徐深</w:t>
      </w:r>
      <w:r>
        <w:rPr>
          <w:rFonts w:hint="eastAsia" w:ascii="Times New Roman" w:hAnsi="Times New Roman" w:cs="Times New Roman"/>
          <w:color w:val="auto"/>
          <w:w w:val="99"/>
          <w:kern w:val="0"/>
          <w:sz w:val="24"/>
          <w:szCs w:val="24"/>
          <w:highlight w:val="none"/>
          <w:lang w:val="en-US" w:eastAsia="zh-CN" w:bidi="zh-CN"/>
        </w:rPr>
        <w:t>27</w:t>
      </w:r>
      <w:r>
        <w:rPr>
          <w:rFonts w:hint="eastAsia" w:ascii="Times New Roman" w:hAnsi="Times New Roman" w:eastAsia="宋体" w:cs="Times New Roman"/>
          <w:color w:val="auto"/>
          <w:w w:val="99"/>
          <w:kern w:val="0"/>
          <w:sz w:val="24"/>
          <w:szCs w:val="24"/>
          <w:highlight w:val="none"/>
          <w:lang w:val="en-US" w:eastAsia="zh-CN" w:bidi="zh-CN"/>
        </w:rPr>
        <w:t>集气站污水储罐，再定期通过外输泵升压外输至气田采出水集输管网，并统一外输至升一联气田污水预处理站处理满足《大庆油田地面工程建设设计规定》（Q/SYDQ 0639-2015）、及《碎屑岩油藏注水水质指标技术要求及分析方法》（SY/T5329-2022）限值要求后回注油层。</w:t>
      </w:r>
    </w:p>
    <w:p w14:paraId="5D4D3F17">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本工程产生的</w:t>
      </w:r>
      <w:r>
        <w:rPr>
          <w:rFonts w:hint="eastAsia" w:ascii="Times New Roman" w:hAnsi="Times New Roman" w:cs="Times New Roman"/>
          <w:color w:val="auto"/>
          <w:w w:val="99"/>
          <w:kern w:val="0"/>
          <w:sz w:val="24"/>
          <w:szCs w:val="24"/>
          <w:highlight w:val="none"/>
          <w:lang w:val="en-US" w:eastAsia="zh-CN" w:bidi="zh-CN"/>
        </w:rPr>
        <w:t>各</w:t>
      </w:r>
      <w:r>
        <w:rPr>
          <w:rFonts w:hint="eastAsia" w:ascii="Times New Roman" w:hAnsi="Times New Roman" w:eastAsia="宋体" w:cs="Times New Roman"/>
          <w:color w:val="auto"/>
          <w:w w:val="99"/>
          <w:kern w:val="0"/>
          <w:sz w:val="24"/>
          <w:szCs w:val="24"/>
          <w:highlight w:val="none"/>
          <w:lang w:val="en-US" w:eastAsia="zh-CN" w:bidi="zh-CN"/>
        </w:rPr>
        <w:t>类废水均进行了妥善处理，不排入地表水体，不会对地表水环境产生影响。</w:t>
      </w:r>
    </w:p>
    <w:p w14:paraId="777A3E67">
      <w:pPr>
        <w:pStyle w:val="7"/>
        <w:widowControl w:val="0"/>
        <w:spacing w:before="60" w:after="60" w:line="440" w:lineRule="exact"/>
        <w:jc w:val="both"/>
        <w:rPr>
          <w:rFonts w:eastAsiaTheme="minorEastAsia"/>
          <w:b/>
          <w:color w:val="auto"/>
          <w:w w:val="99"/>
          <w:kern w:val="2"/>
          <w:sz w:val="24"/>
          <w:szCs w:val="24"/>
          <w:highlight w:val="none"/>
        </w:rPr>
      </w:pPr>
      <w:bookmarkStart w:id="1309" w:name="_Toc131167420"/>
      <w:bookmarkStart w:id="1310" w:name="_Toc127192469"/>
      <w:bookmarkStart w:id="1311" w:name="_Toc186444421"/>
      <w:bookmarkStart w:id="1312" w:name="_Toc126863520"/>
      <w:bookmarkStart w:id="1313" w:name="_Toc86142063"/>
      <w:bookmarkStart w:id="1314" w:name="_Toc143099708"/>
      <w:bookmarkStart w:id="1315" w:name="_Toc84929364"/>
      <w:bookmarkStart w:id="1316" w:name="_Toc85640888"/>
      <w:r>
        <w:rPr>
          <w:rFonts w:eastAsiaTheme="minorEastAsia"/>
          <w:b/>
          <w:color w:val="auto"/>
          <w:w w:val="99"/>
          <w:kern w:val="2"/>
          <w:sz w:val="24"/>
          <w:szCs w:val="24"/>
          <w:highlight w:val="none"/>
        </w:rPr>
        <w:t>9.3.3地下水</w:t>
      </w:r>
      <w:r>
        <w:rPr>
          <w:rFonts w:hint="eastAsia" w:eastAsiaTheme="minorEastAsia"/>
          <w:b/>
          <w:color w:val="auto"/>
          <w:w w:val="99"/>
          <w:kern w:val="2"/>
          <w:sz w:val="24"/>
          <w:szCs w:val="24"/>
          <w:highlight w:val="none"/>
          <w:lang w:val="en-US" w:eastAsia="zh-CN"/>
        </w:rPr>
        <w:t>环</w:t>
      </w:r>
      <w:r>
        <w:rPr>
          <w:rFonts w:eastAsiaTheme="minorEastAsia"/>
          <w:b/>
          <w:color w:val="auto"/>
          <w:w w:val="99"/>
          <w:kern w:val="2"/>
          <w:sz w:val="24"/>
          <w:szCs w:val="24"/>
          <w:highlight w:val="none"/>
        </w:rPr>
        <w:t>境影响分析和污染防治措施可行性结论</w:t>
      </w:r>
      <w:bookmarkEnd w:id="1309"/>
      <w:bookmarkEnd w:id="1310"/>
      <w:bookmarkEnd w:id="1311"/>
      <w:bookmarkEnd w:id="1312"/>
      <w:bookmarkEnd w:id="1313"/>
      <w:bookmarkEnd w:id="1314"/>
      <w:bookmarkEnd w:id="1315"/>
      <w:bookmarkEnd w:id="1316"/>
    </w:p>
    <w:p w14:paraId="27B8E896">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本工程在正常且各项环境保护措施落实到位情况下对地下水环境影响较小，但在事故状态下可能对地下水环境造成影响，但在各项地下水污染防控措施及应急措施落实到位的情况下，对地下水环境影响较小。</w:t>
      </w:r>
    </w:p>
    <w:p w14:paraId="7BBF7D02">
      <w:pPr>
        <w:pStyle w:val="7"/>
        <w:widowControl w:val="0"/>
        <w:spacing w:before="60" w:after="60" w:line="440" w:lineRule="exact"/>
        <w:jc w:val="both"/>
        <w:rPr>
          <w:rFonts w:eastAsiaTheme="minorEastAsia"/>
          <w:b/>
          <w:color w:val="auto"/>
          <w:w w:val="99"/>
          <w:kern w:val="2"/>
          <w:sz w:val="24"/>
          <w:szCs w:val="24"/>
          <w:highlight w:val="none"/>
        </w:rPr>
      </w:pPr>
      <w:bookmarkStart w:id="1317" w:name="_Toc127192470"/>
      <w:bookmarkStart w:id="1318" w:name="_Toc186444422"/>
      <w:bookmarkStart w:id="1319" w:name="_Toc86142064"/>
      <w:bookmarkStart w:id="1320" w:name="_Toc84929365"/>
      <w:bookmarkStart w:id="1321" w:name="_Toc126863521"/>
      <w:bookmarkStart w:id="1322" w:name="_Toc85640889"/>
      <w:bookmarkStart w:id="1323" w:name="_Toc143099709"/>
      <w:bookmarkStart w:id="1324" w:name="_Toc131167421"/>
      <w:r>
        <w:rPr>
          <w:rFonts w:eastAsiaTheme="minorEastAsia"/>
          <w:b/>
          <w:color w:val="auto"/>
          <w:w w:val="99"/>
          <w:kern w:val="2"/>
          <w:sz w:val="24"/>
          <w:szCs w:val="24"/>
          <w:highlight w:val="none"/>
        </w:rPr>
        <w:t>9.3.4声环境影响分析和污染防治措施可行性结论</w:t>
      </w:r>
      <w:bookmarkEnd w:id="1317"/>
      <w:bookmarkEnd w:id="1318"/>
      <w:bookmarkEnd w:id="1319"/>
      <w:bookmarkEnd w:id="1320"/>
      <w:bookmarkEnd w:id="1321"/>
      <w:bookmarkEnd w:id="1322"/>
      <w:bookmarkEnd w:id="1323"/>
      <w:bookmarkEnd w:id="1324"/>
    </w:p>
    <w:p w14:paraId="7C2BB09B">
      <w:pPr>
        <w:widowControl w:val="0"/>
        <w:spacing w:line="44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eastAsia="宋体" w:cs="Times New Roman"/>
          <w:color w:val="auto"/>
          <w:w w:val="99"/>
          <w:kern w:val="0"/>
          <w:sz w:val="24"/>
          <w:szCs w:val="24"/>
          <w:highlight w:val="none"/>
          <w:lang w:val="en-US" w:eastAsia="zh-CN" w:bidi="zh-CN"/>
        </w:rPr>
        <w:t>在采取选用低噪声设备，采用减振、隔声等降噪措施，注意对设备的维护保养适当的降噪措施后，施工期场界噪声满足《建筑施</w:t>
      </w:r>
      <w:bookmarkStart w:id="1381" w:name="_GoBack"/>
      <w:bookmarkEnd w:id="1381"/>
      <w:r>
        <w:rPr>
          <w:rFonts w:hint="eastAsia" w:ascii="Times New Roman" w:hAnsi="Times New Roman" w:eastAsia="宋体" w:cs="Times New Roman"/>
          <w:color w:val="auto"/>
          <w:w w:val="99"/>
          <w:kern w:val="0"/>
          <w:sz w:val="24"/>
          <w:szCs w:val="24"/>
          <w:highlight w:val="none"/>
          <w:lang w:val="en-US" w:eastAsia="zh-CN" w:bidi="zh-CN"/>
        </w:rPr>
        <w:t>工噪声排放标准》（GB12523-2025）要求，运营期井场及场站噪声满足《工业企业厂界环境噪声排放标准》（GB12348-2008）2类标准要求，对周围环境及环保目标影响很小。</w:t>
      </w:r>
    </w:p>
    <w:p w14:paraId="33232651">
      <w:pPr>
        <w:pStyle w:val="7"/>
        <w:widowControl w:val="0"/>
        <w:spacing w:before="60" w:after="60" w:line="440" w:lineRule="exact"/>
        <w:jc w:val="both"/>
        <w:rPr>
          <w:rFonts w:eastAsiaTheme="minorEastAsia"/>
          <w:b/>
          <w:color w:val="auto"/>
          <w:w w:val="99"/>
          <w:kern w:val="2"/>
          <w:sz w:val="24"/>
          <w:szCs w:val="24"/>
          <w:highlight w:val="none"/>
        </w:rPr>
      </w:pPr>
      <w:bookmarkStart w:id="1325" w:name="_Toc127192471"/>
      <w:bookmarkStart w:id="1326" w:name="_Toc85640890"/>
      <w:bookmarkStart w:id="1327" w:name="_Toc143099710"/>
      <w:bookmarkStart w:id="1328" w:name="_Toc86142065"/>
      <w:bookmarkStart w:id="1329" w:name="_Toc84929366"/>
      <w:bookmarkStart w:id="1330" w:name="_Toc131167422"/>
      <w:bookmarkStart w:id="1331" w:name="_Toc186444423"/>
      <w:bookmarkStart w:id="1332" w:name="_Toc126863522"/>
      <w:r>
        <w:rPr>
          <w:rFonts w:eastAsiaTheme="minorEastAsia"/>
          <w:b/>
          <w:color w:val="auto"/>
          <w:w w:val="99"/>
          <w:kern w:val="2"/>
          <w:sz w:val="24"/>
          <w:szCs w:val="24"/>
          <w:highlight w:val="none"/>
        </w:rPr>
        <w:t>9.3.5固体废物环境影响分析和污染防治措施可行性结论</w:t>
      </w:r>
      <w:bookmarkEnd w:id="1325"/>
      <w:bookmarkEnd w:id="1326"/>
      <w:bookmarkEnd w:id="1327"/>
      <w:bookmarkEnd w:id="1328"/>
      <w:bookmarkEnd w:id="1329"/>
      <w:bookmarkEnd w:id="1330"/>
      <w:bookmarkEnd w:id="1331"/>
      <w:bookmarkEnd w:id="1332"/>
    </w:p>
    <w:p w14:paraId="0C067EFF">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本项目施工期施工废料，由施工单位拉运至第八采油厂工业固废填埋场处理。施工人员产生的生活垃圾统一收集后拉运至</w:t>
      </w:r>
      <w:r>
        <w:rPr>
          <w:rFonts w:hint="eastAsia" w:ascii="Times New Roman" w:hAnsi="Times New Roman" w:cs="Times New Roman"/>
          <w:color w:val="auto"/>
          <w:w w:val="99"/>
          <w:kern w:val="0"/>
          <w:sz w:val="24"/>
          <w:szCs w:val="24"/>
          <w:highlight w:val="none"/>
          <w:lang w:val="en-US" w:eastAsia="zh-CN" w:bidi="zh-CN"/>
        </w:rPr>
        <w:t>肇东北控环境再生能源有限公司</w:t>
      </w:r>
      <w:r>
        <w:rPr>
          <w:rFonts w:hint="eastAsia" w:ascii="Times New Roman" w:hAnsi="Times New Roman" w:eastAsia="宋体" w:cs="Times New Roman"/>
          <w:color w:val="auto"/>
          <w:w w:val="99"/>
          <w:kern w:val="0"/>
          <w:sz w:val="24"/>
          <w:szCs w:val="24"/>
          <w:highlight w:val="none"/>
          <w:lang w:val="en-US" w:eastAsia="zh-CN" w:bidi="zh-CN"/>
        </w:rPr>
        <w:t>处理。</w:t>
      </w:r>
    </w:p>
    <w:p w14:paraId="7B7EBAD6">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运营期产生的</w:t>
      </w:r>
      <w:r>
        <w:rPr>
          <w:rFonts w:hint="eastAsia" w:ascii="Times New Roman" w:hAnsi="Times New Roman" w:cs="Times New Roman"/>
          <w:color w:val="auto"/>
          <w:w w:val="99"/>
          <w:kern w:val="0"/>
          <w:sz w:val="24"/>
          <w:szCs w:val="24"/>
          <w:highlight w:val="none"/>
          <w:lang w:val="en-US" w:eastAsia="zh-CN" w:bidi="zh-CN"/>
        </w:rPr>
        <w:t>井口含油砂砾、废变压器油</w:t>
      </w:r>
      <w:r>
        <w:rPr>
          <w:rFonts w:hint="eastAsia" w:ascii="Times New Roman" w:hAnsi="Times New Roman" w:eastAsia="宋体" w:cs="Times New Roman"/>
          <w:color w:val="auto"/>
          <w:w w:val="99"/>
          <w:kern w:val="0"/>
          <w:sz w:val="24"/>
          <w:szCs w:val="24"/>
          <w:highlight w:val="none"/>
          <w:lang w:val="en-US" w:eastAsia="zh-CN" w:bidi="zh-CN"/>
        </w:rPr>
        <w:t>属于危险废物，</w:t>
      </w:r>
      <w:r>
        <w:rPr>
          <w:rFonts w:hint="eastAsia" w:ascii="Times New Roman" w:hAnsi="Times New Roman" w:cs="Times New Roman"/>
          <w:color w:val="auto"/>
          <w:w w:val="99"/>
          <w:kern w:val="0"/>
          <w:sz w:val="24"/>
          <w:szCs w:val="24"/>
          <w:highlight w:val="none"/>
          <w:lang w:val="en-US" w:eastAsia="zh-CN" w:bidi="zh-CN"/>
        </w:rPr>
        <w:t>均</w:t>
      </w:r>
      <w:r>
        <w:rPr>
          <w:rFonts w:hint="eastAsia" w:ascii="Times New Roman" w:hAnsi="Times New Roman" w:eastAsia="宋体" w:cs="Times New Roman"/>
          <w:color w:val="auto"/>
          <w:w w:val="99"/>
          <w:kern w:val="0"/>
          <w:sz w:val="24"/>
          <w:szCs w:val="24"/>
          <w:highlight w:val="none"/>
          <w:lang w:val="en-US" w:eastAsia="zh-CN" w:bidi="zh-CN"/>
        </w:rPr>
        <w:t>由检维修队送采气分公司危险废物贮存库内，定期委托有危废处置资质的单位处置。</w:t>
      </w:r>
    </w:p>
    <w:p w14:paraId="32A146B2">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本工程对施工期和运营期产生的各类固体废弃物均进行了合理的处置，能够实现固废的减量化、资源化和无害化，对环境影响较小。</w:t>
      </w:r>
    </w:p>
    <w:p w14:paraId="7021EC2F">
      <w:pPr>
        <w:pStyle w:val="7"/>
        <w:widowControl w:val="0"/>
        <w:spacing w:before="60" w:after="60" w:line="440" w:lineRule="exact"/>
        <w:jc w:val="both"/>
        <w:rPr>
          <w:rFonts w:eastAsiaTheme="minorEastAsia"/>
          <w:b/>
          <w:color w:val="auto"/>
          <w:w w:val="99"/>
          <w:kern w:val="2"/>
          <w:sz w:val="24"/>
          <w:szCs w:val="24"/>
          <w:highlight w:val="none"/>
        </w:rPr>
      </w:pPr>
      <w:bookmarkStart w:id="1333" w:name="_Toc86142066"/>
      <w:bookmarkStart w:id="1334" w:name="_Toc84929367"/>
      <w:bookmarkStart w:id="1335" w:name="_Toc127192472"/>
      <w:bookmarkStart w:id="1336" w:name="_Toc131167423"/>
      <w:bookmarkStart w:id="1337" w:name="_Toc186444424"/>
      <w:bookmarkStart w:id="1338" w:name="_Toc85640891"/>
      <w:bookmarkStart w:id="1339" w:name="_Toc143099711"/>
      <w:bookmarkStart w:id="1340" w:name="_Toc126863523"/>
      <w:r>
        <w:rPr>
          <w:rFonts w:eastAsiaTheme="minorEastAsia"/>
          <w:b/>
          <w:color w:val="auto"/>
          <w:w w:val="99"/>
          <w:kern w:val="2"/>
          <w:sz w:val="24"/>
          <w:szCs w:val="24"/>
          <w:highlight w:val="none"/>
        </w:rPr>
        <w:t>9.3.6生态环境影响分析和生态保护减缓措施可行性结论</w:t>
      </w:r>
      <w:bookmarkEnd w:id="1333"/>
      <w:bookmarkEnd w:id="1334"/>
      <w:bookmarkEnd w:id="1335"/>
      <w:bookmarkEnd w:id="1336"/>
      <w:bookmarkEnd w:id="1337"/>
      <w:bookmarkEnd w:id="1338"/>
      <w:bookmarkEnd w:id="1339"/>
      <w:bookmarkEnd w:id="1340"/>
    </w:p>
    <w:p w14:paraId="606EB8E3">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该项目的井场及场站、管道和道路建设对土地的侵占，对植被的破坏，将使气田开发区内的第一生产者的生物量有一定程度的下降。通过选择适当时机施工，并在建设过程中采取必要的生态保护措施，可最大程度减小该项目建设对生态环境的不利影响，使生态环境在尽可能短的时间内得到恢复。</w:t>
      </w:r>
    </w:p>
    <w:p w14:paraId="12B7D960">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项目永久占用部分耕地，使土地利用类型转变为工业用地，永久占地按照“占一补一”原则开垦与所占用耕地的数量与质量相当的耕地，并采用分层剥离的方式保存所占用农田耕作层土壤，用于新开垦耕地、劣质地或者其他耕地的土壤改良等农田保护措施，对区域内农田分布不会造成较大影响。</w:t>
      </w:r>
    </w:p>
    <w:p w14:paraId="321AE37C">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在制定相应的生态保护及恢复措施，并能够确保其切实执行的前提下，工程建设不会对现有生态环境造成太大的影响，在生态上是可行的。</w:t>
      </w:r>
    </w:p>
    <w:p w14:paraId="4C95DAF2">
      <w:pPr>
        <w:pStyle w:val="7"/>
        <w:widowControl w:val="0"/>
        <w:spacing w:before="60" w:after="60" w:line="440" w:lineRule="exact"/>
        <w:jc w:val="both"/>
        <w:rPr>
          <w:rFonts w:eastAsiaTheme="minorEastAsia"/>
          <w:b/>
          <w:color w:val="auto"/>
          <w:w w:val="99"/>
          <w:kern w:val="2"/>
          <w:sz w:val="24"/>
          <w:szCs w:val="24"/>
          <w:highlight w:val="none"/>
        </w:rPr>
      </w:pPr>
      <w:bookmarkStart w:id="1341" w:name="_Toc84929368"/>
      <w:bookmarkStart w:id="1342" w:name="_Toc85640892"/>
      <w:bookmarkStart w:id="1343" w:name="_Toc126863524"/>
      <w:bookmarkStart w:id="1344" w:name="_Toc186444425"/>
      <w:bookmarkStart w:id="1345" w:name="_Toc127192473"/>
      <w:bookmarkStart w:id="1346" w:name="_Toc86142067"/>
      <w:bookmarkStart w:id="1347" w:name="_Toc143099712"/>
      <w:bookmarkStart w:id="1348" w:name="_Toc131167424"/>
      <w:r>
        <w:rPr>
          <w:rFonts w:eastAsiaTheme="minorEastAsia"/>
          <w:b/>
          <w:color w:val="auto"/>
          <w:w w:val="99"/>
          <w:kern w:val="2"/>
          <w:sz w:val="24"/>
          <w:szCs w:val="24"/>
          <w:highlight w:val="none"/>
        </w:rPr>
        <w:t>9.3.7土壤环境影响分析和保护措施可行性结论</w:t>
      </w:r>
      <w:bookmarkEnd w:id="1341"/>
      <w:bookmarkEnd w:id="1342"/>
      <w:bookmarkEnd w:id="1343"/>
      <w:bookmarkEnd w:id="1344"/>
      <w:bookmarkEnd w:id="1345"/>
      <w:bookmarkEnd w:id="1346"/>
      <w:bookmarkEnd w:id="1347"/>
      <w:bookmarkEnd w:id="1348"/>
    </w:p>
    <w:p w14:paraId="1C617025">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项目井场、站场、管线、道路等施工过程对土壤的扰动，大型、重型机械设备的碾压，施工人员的践踏、材料堆放等都会破坏地表植被，使土壤紧实度增高，加上管道、道路修建时翻动土体，都会造成局部大片裸地出现，容易引起土壤风蚀和水土流失。气田在运行期对土壤环境影响较小。</w:t>
      </w:r>
    </w:p>
    <w:p w14:paraId="31733F12">
      <w:pPr>
        <w:pStyle w:val="7"/>
        <w:widowControl w:val="0"/>
        <w:spacing w:before="60" w:after="60" w:line="440" w:lineRule="exact"/>
        <w:jc w:val="both"/>
        <w:rPr>
          <w:rFonts w:eastAsiaTheme="minorEastAsia"/>
          <w:b/>
          <w:color w:val="auto"/>
          <w:w w:val="99"/>
          <w:kern w:val="2"/>
          <w:sz w:val="24"/>
          <w:szCs w:val="24"/>
          <w:highlight w:val="none"/>
        </w:rPr>
      </w:pPr>
      <w:bookmarkStart w:id="1349" w:name="_Toc84929369"/>
      <w:bookmarkStart w:id="1350" w:name="_Toc131167425"/>
      <w:bookmarkStart w:id="1351" w:name="_Toc126863525"/>
      <w:bookmarkStart w:id="1352" w:name="_Toc85640893"/>
      <w:bookmarkStart w:id="1353" w:name="_Toc127192474"/>
      <w:bookmarkStart w:id="1354" w:name="_Toc143099713"/>
      <w:bookmarkStart w:id="1355" w:name="_Toc86142068"/>
      <w:bookmarkStart w:id="1356" w:name="_Toc186444426"/>
      <w:r>
        <w:rPr>
          <w:rFonts w:eastAsiaTheme="minorEastAsia"/>
          <w:b/>
          <w:color w:val="auto"/>
          <w:w w:val="99"/>
          <w:kern w:val="2"/>
          <w:sz w:val="24"/>
          <w:szCs w:val="24"/>
          <w:highlight w:val="none"/>
        </w:rPr>
        <w:t>9.3.8环境风险分析可行性结论</w:t>
      </w:r>
      <w:bookmarkEnd w:id="1349"/>
      <w:bookmarkEnd w:id="1350"/>
      <w:bookmarkEnd w:id="1351"/>
      <w:bookmarkEnd w:id="1352"/>
      <w:bookmarkEnd w:id="1353"/>
      <w:bookmarkEnd w:id="1354"/>
      <w:bookmarkEnd w:id="1355"/>
      <w:bookmarkEnd w:id="1356"/>
    </w:p>
    <w:p w14:paraId="2D47536E">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通过对本工程产能建设工程的环境风险分析可知，本工程的主要环境风险是泄漏、火灾和爆炸，对区域内的地下水环境、地表水环境、土壤环境和空气环境有潜在危害性。在工程采取一系列风险防范措施、应急措施和建立环境风险防控体系后，火灾爆炸等事故影响可控，可以降低事故的发生率和事故情况下对周围环境的影响。但建设单位应加强员工的环保教育和培训，完善项目的事故应急预案，增加事故应急监测及事故评估等规定内容并定期演习，避免重大污染事故的发生。</w:t>
      </w:r>
    </w:p>
    <w:p w14:paraId="24587E27">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357" w:name="_Toc173163568"/>
      <w:bookmarkStart w:id="1358" w:name="_Toc16558"/>
      <w:r>
        <w:rPr>
          <w:rFonts w:ascii="Times New Roman" w:hAnsi="Times New Roman" w:eastAsiaTheme="minorEastAsia"/>
          <w:b/>
          <w:snapToGrid w:val="0"/>
          <w:color w:val="auto"/>
          <w:w w:val="99"/>
          <w:highlight w:val="none"/>
        </w:rPr>
        <w:t>9.4公众意见采纳情况</w:t>
      </w:r>
      <w:bookmarkEnd w:id="1357"/>
      <w:bookmarkEnd w:id="1358"/>
    </w:p>
    <w:p w14:paraId="26DC8571">
      <w:pPr>
        <w:pStyle w:val="153"/>
        <w:widowControl w:val="0"/>
        <w:spacing w:line="440" w:lineRule="exac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本项目首次环境影响评价信息公开之日为2025年</w:t>
      </w:r>
      <w:r>
        <w:rPr>
          <w:rFonts w:hint="eastAsia" w:ascii="Times New Roman" w:hAnsi="Times New Roman" w:eastAsiaTheme="minorEastAsia"/>
          <w:snapToGrid w:val="0"/>
          <w:color w:val="auto"/>
          <w:w w:val="99"/>
          <w:highlight w:val="none"/>
          <w:lang w:val="en-US" w:eastAsia="zh-CN"/>
        </w:rPr>
        <w:t>11</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lang w:val="en-US" w:eastAsia="zh-CN"/>
        </w:rPr>
        <w:t>11</w:t>
      </w:r>
      <w:r>
        <w:rPr>
          <w:rFonts w:ascii="Times New Roman" w:hAnsi="Times New Roman" w:eastAsiaTheme="minorEastAsia"/>
          <w:snapToGrid w:val="0"/>
          <w:color w:val="auto"/>
          <w:w w:val="99"/>
          <w:highlight w:val="none"/>
        </w:rPr>
        <w:t>日（黑龙江环保技术服务网）</w:t>
      </w:r>
      <w:r>
        <w:rPr>
          <w:rFonts w:hint="eastAsia" w:ascii="Times New Roman" w:hAnsi="Times New Roman" w:eastAsiaTheme="minorEastAsia"/>
          <w:snapToGrid w:val="0"/>
          <w:color w:val="auto"/>
          <w:w w:val="99"/>
          <w:highlight w:val="none"/>
          <w:lang w:eastAsia="zh-CN"/>
        </w:rPr>
        <w:t>，</w:t>
      </w:r>
      <w:r>
        <w:rPr>
          <w:rFonts w:hint="eastAsia" w:ascii="Times New Roman" w:hAnsi="Times New Roman" w:eastAsiaTheme="minorEastAsia"/>
          <w:snapToGrid w:val="0"/>
          <w:color w:val="auto"/>
          <w:w w:val="99"/>
          <w:highlight w:val="none"/>
          <w:lang w:val="en-US" w:eastAsia="zh-CN"/>
        </w:rPr>
        <w:t>网址：</w:t>
      </w:r>
      <w:r>
        <w:rPr>
          <w:rFonts w:hint="eastAsia" w:ascii="Times New Roman" w:hAnsi="Times New Roman" w:eastAsiaTheme="minorEastAsia"/>
          <w:snapToGrid w:val="0"/>
          <w:color w:val="auto"/>
          <w:w w:val="99"/>
          <w:highlight w:val="none"/>
        </w:rPr>
        <w:t>http://www.hljhbjsfw.cn/NewsDetail.aspx?ID=85</w:t>
      </w:r>
      <w:r>
        <w:rPr>
          <w:rFonts w:hint="eastAsia" w:ascii="Times New Roman" w:hAnsi="Times New Roman" w:eastAsiaTheme="minorEastAsia"/>
          <w:snapToGrid w:val="0"/>
          <w:color w:val="auto"/>
          <w:w w:val="99"/>
          <w:highlight w:val="none"/>
          <w:lang w:val="en-US" w:eastAsia="zh-CN"/>
        </w:rPr>
        <w:t>5</w:t>
      </w:r>
      <w:r>
        <w:rPr>
          <w:rFonts w:ascii="Times New Roman" w:hAnsi="Times New Roman" w:eastAsiaTheme="minorEastAsia"/>
          <w:snapToGrid w:val="0"/>
          <w:color w:val="auto"/>
          <w:w w:val="99"/>
          <w:highlight w:val="none"/>
        </w:rPr>
        <w:t>。</w:t>
      </w:r>
    </w:p>
    <w:p w14:paraId="09ABD8C6">
      <w:pPr>
        <w:pStyle w:val="153"/>
        <w:widowControl w:val="0"/>
        <w:spacing w:line="440" w:lineRule="exact"/>
        <w:ind w:firstLine="473"/>
        <w:jc w:val="both"/>
        <w:rPr>
          <w:rFonts w:hint="eastAsia" w:ascii="Times New Roman" w:hAnsi="Times New Roman" w:eastAsiaTheme="minorEastAsia"/>
          <w:snapToGrid w:val="0"/>
          <w:color w:val="auto"/>
          <w:w w:val="99"/>
          <w:highlight w:val="none"/>
          <w:lang w:val="en-US" w:eastAsia="zh-CN"/>
        </w:rPr>
      </w:pPr>
      <w:r>
        <w:rPr>
          <w:rFonts w:ascii="Times New Roman" w:hAnsi="Times New Roman" w:eastAsiaTheme="minorEastAsia"/>
          <w:snapToGrid w:val="0"/>
          <w:color w:val="auto"/>
          <w:w w:val="99"/>
          <w:highlight w:val="none"/>
        </w:rPr>
        <w:t>征求意见稿公示日期为202</w:t>
      </w:r>
      <w:r>
        <w:rPr>
          <w:rFonts w:hint="eastAsia" w:ascii="Times New Roman" w:hAnsi="Times New Roman" w:eastAsiaTheme="minorEastAsia"/>
          <w:snapToGrid w:val="0"/>
          <w:color w:val="auto"/>
          <w:w w:val="99"/>
          <w:highlight w:val="none"/>
          <w:lang w:val="en-US" w:eastAsia="zh-CN"/>
        </w:rPr>
        <w:t>6</w:t>
      </w:r>
      <w:r>
        <w:rPr>
          <w:rFonts w:ascii="Times New Roman" w:hAnsi="Times New Roman" w:eastAsiaTheme="minorEastAsia"/>
          <w:snapToGrid w:val="0"/>
          <w:color w:val="auto"/>
          <w:w w:val="99"/>
          <w:highlight w:val="none"/>
        </w:rPr>
        <w:t>年</w:t>
      </w:r>
      <w:r>
        <w:rPr>
          <w:rFonts w:hint="eastAsia" w:ascii="Times New Roman" w:hAnsi="Times New Roman" w:eastAsiaTheme="minorEastAsia"/>
          <w:snapToGrid w:val="0"/>
          <w:color w:val="auto"/>
          <w:w w:val="99"/>
          <w:highlight w:val="none"/>
          <w:lang w:val="en-US" w:eastAsia="zh-CN"/>
        </w:rPr>
        <w:t>6</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lang w:val="en-US" w:eastAsia="zh-CN"/>
        </w:rPr>
        <w:t>9</w:t>
      </w:r>
      <w:r>
        <w:rPr>
          <w:rFonts w:ascii="Times New Roman" w:hAnsi="Times New Roman" w:eastAsiaTheme="minorEastAsia"/>
          <w:snapToGrid w:val="0"/>
          <w:color w:val="auto"/>
          <w:w w:val="99"/>
          <w:highlight w:val="none"/>
        </w:rPr>
        <w:t>日~</w:t>
      </w:r>
      <w:r>
        <w:rPr>
          <w:rFonts w:hint="eastAsia" w:ascii="Times New Roman" w:hAnsi="Times New Roman" w:eastAsiaTheme="minorEastAsia"/>
          <w:snapToGrid w:val="0"/>
          <w:color w:val="auto"/>
          <w:w w:val="99"/>
          <w:highlight w:val="none"/>
          <w:lang w:val="en-US" w:eastAsia="zh-CN"/>
        </w:rPr>
        <w:t>6</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lang w:val="en-US" w:eastAsia="zh-CN"/>
        </w:rPr>
        <w:t>23</w:t>
      </w:r>
      <w:r>
        <w:rPr>
          <w:rFonts w:ascii="Times New Roman" w:hAnsi="Times New Roman" w:eastAsiaTheme="minorEastAsia"/>
          <w:snapToGrid w:val="0"/>
          <w:color w:val="auto"/>
          <w:w w:val="99"/>
          <w:highlight w:val="none"/>
        </w:rPr>
        <w:t>日（黑龙江环保技术服务网</w:t>
      </w:r>
      <w:r>
        <w:rPr>
          <w:color w:val="auto"/>
          <w:highlight w:val="none"/>
        </w:rPr>
        <w:fldChar w:fldCharType="begin"/>
      </w:r>
      <w:r>
        <w:rPr>
          <w:color w:val="auto"/>
          <w:highlight w:val="none"/>
        </w:rPr>
        <w:instrText xml:space="preserve"> HYPERLINK "http://www.hljhbjsfw.cn/NewsDetail.aspx?id=841" </w:instrText>
      </w:r>
      <w:r>
        <w:rPr>
          <w:color w:val="auto"/>
          <w:highlight w:val="none"/>
        </w:rPr>
        <w:fldChar w:fldCharType="separate"/>
      </w:r>
      <w:r>
        <w:rPr>
          <w:rStyle w:val="94"/>
          <w:rFonts w:hint="eastAsia" w:eastAsiaTheme="minorEastAsia"/>
          <w:snapToGrid w:val="0"/>
          <w:color w:val="auto"/>
          <w:w w:val="99"/>
          <w:szCs w:val="24"/>
          <w:highlight w:val="none"/>
          <w:lang w:eastAsia="zh-CN"/>
        </w:rPr>
        <w:t>徐深27-H1井地面工程项目</w:t>
      </w:r>
      <w:r>
        <w:rPr>
          <w:rStyle w:val="94"/>
          <w:rFonts w:eastAsiaTheme="minorEastAsia"/>
          <w:snapToGrid w:val="0"/>
          <w:color w:val="auto"/>
          <w:w w:val="99"/>
          <w:szCs w:val="24"/>
          <w:highlight w:val="none"/>
        </w:rPr>
        <w:t>环境影响报告书征求意见稿公示-黑龙江环保技术服务网</w:t>
      </w:r>
      <w:r>
        <w:rPr>
          <w:rStyle w:val="94"/>
          <w:rFonts w:eastAsiaTheme="minorEastAsia"/>
          <w:snapToGrid w:val="0"/>
          <w:color w:val="auto"/>
          <w:w w:val="99"/>
          <w:szCs w:val="24"/>
          <w:highlight w:val="none"/>
        </w:rPr>
        <w:fldChar w:fldCharType="end"/>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lang w:val="en-US" w:eastAsia="zh-CN"/>
        </w:rPr>
        <w:t>网址：</w:t>
      </w:r>
      <w:r>
        <w:rPr>
          <w:rFonts w:hint="eastAsia" w:ascii="Times New Roman" w:hAnsi="Times New Roman" w:eastAsiaTheme="minorEastAsia"/>
          <w:snapToGrid w:val="0"/>
          <w:color w:val="auto"/>
          <w:w w:val="99"/>
          <w:highlight w:val="none"/>
        </w:rPr>
        <w:t>http://www.hljhbjsfw.cn/NewsDetail.aspx?ID=95</w:t>
      </w:r>
      <w:r>
        <w:rPr>
          <w:rFonts w:hint="eastAsia" w:ascii="Times New Roman" w:hAnsi="Times New Roman" w:eastAsiaTheme="minorEastAsia"/>
          <w:snapToGrid w:val="0"/>
          <w:color w:val="auto"/>
          <w:w w:val="99"/>
          <w:highlight w:val="none"/>
          <w:lang w:val="en-US" w:eastAsia="zh-CN"/>
        </w:rPr>
        <w:t>4</w:t>
      </w:r>
    </w:p>
    <w:p w14:paraId="411CD7E8">
      <w:pPr>
        <w:pStyle w:val="153"/>
        <w:widowControl w:val="0"/>
        <w:spacing w:line="440" w:lineRule="exac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报纸第一次公告日期为202</w:t>
      </w:r>
      <w:r>
        <w:rPr>
          <w:rFonts w:hint="eastAsia" w:ascii="Times New Roman" w:hAnsi="Times New Roman" w:eastAsiaTheme="minorEastAsia"/>
          <w:snapToGrid w:val="0"/>
          <w:color w:val="auto"/>
          <w:w w:val="99"/>
          <w:highlight w:val="none"/>
          <w:lang w:val="en-US" w:eastAsia="zh-CN"/>
        </w:rPr>
        <w:t>6</w:t>
      </w:r>
      <w:r>
        <w:rPr>
          <w:rFonts w:ascii="Times New Roman" w:hAnsi="Times New Roman" w:eastAsiaTheme="minorEastAsia"/>
          <w:snapToGrid w:val="0"/>
          <w:color w:val="auto"/>
          <w:w w:val="99"/>
          <w:highlight w:val="none"/>
        </w:rPr>
        <w:t>年</w:t>
      </w:r>
      <w:r>
        <w:rPr>
          <w:rFonts w:hint="eastAsia" w:ascii="Times New Roman" w:hAnsi="Times New Roman" w:eastAsiaTheme="minorEastAsia"/>
          <w:snapToGrid w:val="0"/>
          <w:color w:val="auto"/>
          <w:w w:val="99"/>
          <w:highlight w:val="none"/>
          <w:lang w:val="en-US" w:eastAsia="zh-CN"/>
        </w:rPr>
        <w:t>6</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lang w:val="en-US" w:eastAsia="zh-CN"/>
        </w:rPr>
        <w:t>16</w:t>
      </w:r>
      <w:r>
        <w:rPr>
          <w:rFonts w:ascii="Times New Roman" w:hAnsi="Times New Roman" w:eastAsiaTheme="minorEastAsia"/>
          <w:snapToGrid w:val="0"/>
          <w:color w:val="auto"/>
          <w:w w:val="99"/>
          <w:highlight w:val="none"/>
        </w:rPr>
        <w:t>日（</w:t>
      </w:r>
      <w:r>
        <w:rPr>
          <w:rFonts w:hint="eastAsia" w:ascii="Times New Roman" w:hAnsi="Times New Roman" w:eastAsiaTheme="minorEastAsia"/>
          <w:snapToGrid w:val="0"/>
          <w:color w:val="auto"/>
          <w:w w:val="99"/>
          <w:highlight w:val="none"/>
          <w:lang w:val="en-US" w:eastAsia="zh-CN"/>
        </w:rPr>
        <w:t>绥化日</w:t>
      </w:r>
      <w:r>
        <w:rPr>
          <w:rFonts w:ascii="Times New Roman" w:hAnsi="Times New Roman" w:eastAsiaTheme="minorEastAsia"/>
          <w:snapToGrid w:val="0"/>
          <w:color w:val="auto"/>
          <w:w w:val="99"/>
          <w:highlight w:val="none"/>
        </w:rPr>
        <w:t>报），报纸第二次公告日期为202</w:t>
      </w:r>
      <w:r>
        <w:rPr>
          <w:rFonts w:hint="eastAsia" w:ascii="Times New Roman" w:hAnsi="Times New Roman" w:eastAsiaTheme="minorEastAsia"/>
          <w:snapToGrid w:val="0"/>
          <w:color w:val="auto"/>
          <w:w w:val="99"/>
          <w:highlight w:val="none"/>
          <w:lang w:val="en-US" w:eastAsia="zh-CN"/>
        </w:rPr>
        <w:t>6</w:t>
      </w:r>
      <w:r>
        <w:rPr>
          <w:rFonts w:ascii="Times New Roman" w:hAnsi="Times New Roman" w:eastAsiaTheme="minorEastAsia"/>
          <w:snapToGrid w:val="0"/>
          <w:color w:val="auto"/>
          <w:w w:val="99"/>
          <w:highlight w:val="none"/>
        </w:rPr>
        <w:t>年</w:t>
      </w:r>
      <w:r>
        <w:rPr>
          <w:rFonts w:hint="eastAsia" w:ascii="Times New Roman" w:hAnsi="Times New Roman" w:eastAsiaTheme="minorEastAsia"/>
          <w:snapToGrid w:val="0"/>
          <w:color w:val="auto"/>
          <w:w w:val="99"/>
          <w:highlight w:val="none"/>
          <w:lang w:val="en-US" w:eastAsia="zh-CN"/>
        </w:rPr>
        <w:t>6</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lang w:val="en-US" w:eastAsia="zh-CN"/>
        </w:rPr>
        <w:t>17</w:t>
      </w:r>
      <w:r>
        <w:rPr>
          <w:rFonts w:ascii="Times New Roman" w:hAnsi="Times New Roman" w:eastAsiaTheme="minorEastAsia"/>
          <w:snapToGrid w:val="0"/>
          <w:color w:val="auto"/>
          <w:w w:val="99"/>
          <w:highlight w:val="none"/>
        </w:rPr>
        <w:t>日（</w:t>
      </w:r>
      <w:r>
        <w:rPr>
          <w:rFonts w:hint="eastAsia" w:ascii="Times New Roman" w:hAnsi="Times New Roman" w:eastAsiaTheme="minorEastAsia"/>
          <w:snapToGrid w:val="0"/>
          <w:color w:val="auto"/>
          <w:w w:val="99"/>
          <w:highlight w:val="none"/>
          <w:lang w:val="en-US" w:eastAsia="zh-CN"/>
        </w:rPr>
        <w:t>绥化日</w:t>
      </w:r>
      <w:r>
        <w:rPr>
          <w:rFonts w:ascii="Times New Roman" w:hAnsi="Times New Roman" w:eastAsiaTheme="minorEastAsia"/>
          <w:snapToGrid w:val="0"/>
          <w:color w:val="auto"/>
          <w:w w:val="99"/>
          <w:highlight w:val="none"/>
        </w:rPr>
        <w:t>报）；</w:t>
      </w:r>
    </w:p>
    <w:p w14:paraId="18EBB8A6">
      <w:pPr>
        <w:pStyle w:val="153"/>
        <w:widowControl w:val="0"/>
        <w:spacing w:line="440" w:lineRule="exac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现场张贴公示日期为202</w:t>
      </w:r>
      <w:r>
        <w:rPr>
          <w:rFonts w:hint="eastAsia" w:ascii="Times New Roman" w:hAnsi="Times New Roman" w:eastAsiaTheme="minorEastAsia"/>
          <w:snapToGrid w:val="0"/>
          <w:color w:val="auto"/>
          <w:w w:val="99"/>
          <w:highlight w:val="none"/>
          <w:lang w:val="en-US" w:eastAsia="zh-CN"/>
        </w:rPr>
        <w:t>6</w:t>
      </w:r>
      <w:r>
        <w:rPr>
          <w:rFonts w:ascii="Times New Roman" w:hAnsi="Times New Roman" w:eastAsiaTheme="minorEastAsia"/>
          <w:snapToGrid w:val="0"/>
          <w:color w:val="auto"/>
          <w:w w:val="99"/>
          <w:highlight w:val="none"/>
        </w:rPr>
        <w:t>年</w:t>
      </w:r>
      <w:r>
        <w:rPr>
          <w:rFonts w:hint="eastAsia" w:ascii="Times New Roman" w:hAnsi="Times New Roman" w:eastAsiaTheme="minorEastAsia"/>
          <w:snapToGrid w:val="0"/>
          <w:color w:val="auto"/>
          <w:w w:val="99"/>
          <w:highlight w:val="none"/>
          <w:lang w:val="en-US" w:eastAsia="zh-CN"/>
        </w:rPr>
        <w:t>6</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lang w:val="en-US" w:eastAsia="zh-CN"/>
        </w:rPr>
        <w:t>9</w:t>
      </w:r>
      <w:r>
        <w:rPr>
          <w:rFonts w:ascii="Times New Roman" w:hAnsi="Times New Roman" w:eastAsiaTheme="minorEastAsia"/>
          <w:snapToGrid w:val="0"/>
          <w:color w:val="auto"/>
          <w:w w:val="99"/>
          <w:highlight w:val="none"/>
        </w:rPr>
        <w:t>日~</w:t>
      </w:r>
      <w:r>
        <w:rPr>
          <w:rFonts w:hint="eastAsia" w:ascii="Times New Roman" w:hAnsi="Times New Roman" w:eastAsiaTheme="minorEastAsia"/>
          <w:snapToGrid w:val="0"/>
          <w:color w:val="auto"/>
          <w:w w:val="99"/>
          <w:highlight w:val="none"/>
          <w:lang w:val="en-US" w:eastAsia="zh-CN"/>
        </w:rPr>
        <w:t>6</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lang w:val="en-US" w:eastAsia="zh-CN"/>
        </w:rPr>
        <w:t>23</w:t>
      </w:r>
      <w:r>
        <w:rPr>
          <w:rFonts w:ascii="Times New Roman" w:hAnsi="Times New Roman" w:eastAsiaTheme="minorEastAsia"/>
          <w:snapToGrid w:val="0"/>
          <w:color w:val="auto"/>
          <w:w w:val="99"/>
          <w:highlight w:val="none"/>
        </w:rPr>
        <w:t>日，公示地点为评价范围内村屯。</w:t>
      </w:r>
    </w:p>
    <w:p w14:paraId="11A19065">
      <w:pPr>
        <w:pStyle w:val="153"/>
        <w:widowControl w:val="0"/>
        <w:spacing w:line="440" w:lineRule="exac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报批前公示日期为202</w:t>
      </w:r>
      <w:r>
        <w:rPr>
          <w:rFonts w:hint="eastAsia" w:ascii="Times New Roman" w:hAnsi="Times New Roman" w:eastAsiaTheme="minorEastAsia"/>
          <w:snapToGrid w:val="0"/>
          <w:color w:val="auto"/>
          <w:w w:val="99"/>
          <w:highlight w:val="none"/>
          <w:lang w:val="en-US" w:eastAsia="zh-CN"/>
        </w:rPr>
        <w:t>6</w:t>
      </w:r>
      <w:r>
        <w:rPr>
          <w:rFonts w:ascii="Times New Roman" w:hAnsi="Times New Roman" w:eastAsiaTheme="minorEastAsia"/>
          <w:snapToGrid w:val="0"/>
          <w:color w:val="auto"/>
          <w:w w:val="99"/>
          <w:highlight w:val="none"/>
        </w:rPr>
        <w:t>年</w:t>
      </w:r>
      <w:r>
        <w:rPr>
          <w:rFonts w:hint="eastAsia" w:ascii="Times New Roman" w:hAnsi="Times New Roman" w:eastAsiaTheme="minorEastAsia"/>
          <w:snapToGrid w:val="0"/>
          <w:color w:val="auto"/>
          <w:w w:val="99"/>
          <w:highlight w:val="none"/>
          <w:lang w:val="en-US" w:eastAsia="zh-CN"/>
        </w:rPr>
        <w:t>**</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lang w:val="en-US" w:eastAsia="zh-CN"/>
        </w:rPr>
        <w:t>**</w:t>
      </w:r>
      <w:r>
        <w:rPr>
          <w:rFonts w:ascii="Times New Roman" w:hAnsi="Times New Roman" w:eastAsiaTheme="minorEastAsia"/>
          <w:snapToGrid w:val="0"/>
          <w:color w:val="auto"/>
          <w:w w:val="99"/>
          <w:highlight w:val="none"/>
        </w:rPr>
        <w:t>日（黑龙江环保技术服务网）。</w:t>
      </w:r>
    </w:p>
    <w:p w14:paraId="616E724E">
      <w:pPr>
        <w:pStyle w:val="153"/>
        <w:widowControl w:val="0"/>
        <w:spacing w:line="440" w:lineRule="exact"/>
        <w:ind w:firstLine="473"/>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至信息公告的截止日期没有收到相关反馈信息。</w:t>
      </w:r>
    </w:p>
    <w:p w14:paraId="2CF0AD35">
      <w:pPr>
        <w:pStyle w:val="153"/>
        <w:widowControl w:val="0"/>
        <w:spacing w:line="440" w:lineRule="exact"/>
        <w:ind w:firstLine="473"/>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网络公示起到了应有的告知作用。在现场公示期间，对居民进行了必要的讲解和说明，让附近居民充分了解本项目的各项情况。选择了黑龙江环保技术服务网和《大庆油田报》进行公示，起到了网络和报纸传播较广，受众广泛的作用。在网上两次公示过程中、公示期间及问卷调查过程中没有接到任何人反映意见或建议的电话和邮件、传真等。</w:t>
      </w:r>
    </w:p>
    <w:p w14:paraId="2831A4B2">
      <w:pPr>
        <w:pStyle w:val="153"/>
        <w:widowControl w:val="0"/>
        <w:spacing w:line="440" w:lineRule="exact"/>
        <w:ind w:firstLine="473"/>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建设单位的公参调查结果表明，</w:t>
      </w:r>
      <w:r>
        <w:rPr>
          <w:rFonts w:hint="eastAsia" w:ascii="Times New Roman" w:hAnsi="Times New Roman" w:cs="Times New Roman"/>
          <w:color w:val="auto"/>
          <w:w w:val="99"/>
          <w:kern w:val="0"/>
          <w:sz w:val="24"/>
          <w:szCs w:val="24"/>
          <w:highlight w:val="none"/>
          <w:lang w:val="en-US" w:eastAsia="zh-CN" w:bidi="zh-CN"/>
        </w:rPr>
        <w:t>徐深27-H1井地面工程项目</w:t>
      </w:r>
      <w:r>
        <w:rPr>
          <w:rFonts w:hint="eastAsia" w:ascii="Times New Roman" w:hAnsi="Times New Roman" w:eastAsia="宋体" w:cs="Times New Roman"/>
          <w:color w:val="auto"/>
          <w:w w:val="99"/>
          <w:kern w:val="0"/>
          <w:sz w:val="24"/>
          <w:szCs w:val="24"/>
          <w:highlight w:val="none"/>
          <w:lang w:val="en-US" w:eastAsia="zh-CN" w:bidi="zh-CN"/>
        </w:rPr>
        <w:t>的建设周围民众是支持的。建设单位认真执行环保“三同时”制度，加强环境管理，使环境的负效应降至最低。并对周围环境的影响减至最小程度，达到公众对项目建设的环境要求愿望。</w:t>
      </w:r>
    </w:p>
    <w:p w14:paraId="1387FD5C">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359" w:name="_Toc7572"/>
      <w:bookmarkStart w:id="1360" w:name="_Toc173163569"/>
      <w:r>
        <w:rPr>
          <w:rFonts w:ascii="Times New Roman" w:hAnsi="Times New Roman" w:eastAsiaTheme="minorEastAsia"/>
          <w:b/>
          <w:snapToGrid w:val="0"/>
          <w:color w:val="auto"/>
          <w:w w:val="99"/>
          <w:highlight w:val="none"/>
        </w:rPr>
        <w:t>9.5环境经济损益分析结论</w:t>
      </w:r>
      <w:bookmarkEnd w:id="1359"/>
      <w:bookmarkEnd w:id="1360"/>
    </w:p>
    <w:p w14:paraId="630F6AD7">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本项目的建设具有重要的社会意义和可观的经济效益，同时，通过采取有效的生态环境恢复治理措施，能够取得环境效益的协调和统一。因此，从环境经济角度来讲，本项目的建设是可行的。</w:t>
      </w:r>
    </w:p>
    <w:p w14:paraId="6182B1B0">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361" w:name="_Toc1238"/>
      <w:bookmarkStart w:id="1362" w:name="_Toc173163570"/>
      <w:r>
        <w:rPr>
          <w:rFonts w:ascii="Times New Roman" w:hAnsi="Times New Roman" w:eastAsiaTheme="minorEastAsia"/>
          <w:b/>
          <w:snapToGrid w:val="0"/>
          <w:color w:val="auto"/>
          <w:w w:val="99"/>
          <w:highlight w:val="none"/>
        </w:rPr>
        <w:t>9.6环境管理与监测计划结论</w:t>
      </w:r>
      <w:bookmarkEnd w:id="1361"/>
      <w:bookmarkEnd w:id="1362"/>
    </w:p>
    <w:p w14:paraId="30473C30">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工程投产运行后环境管理工作由大庆油田有限责任公司采气分公司负责，在施工期对施工现场的环保设施、作业环境，以及环保措施的落实执行情况加强管理，在生产运营期，环境管理除抓好环保设施的运行、维护等工作外，工作重点应针对天然气集输、处理和管理情况及管线破裂后天然气泄漏等事故的预防和处理上。施工期的环境监测可包括对作业场所的控制监测和事故发生后的影响监测 ，运营期根据《排污单位自行监测技术指南 总则》（ HJ819- 2017）、《排污单位自行监测技术指南 陆上石油天然气开采工业》（HJ1248- 2022）和运营期环境污染的特点，环境监测计划主要针对污染物排放、区域生态恢复情况、事故而制定。</w:t>
      </w:r>
    </w:p>
    <w:p w14:paraId="6B549679">
      <w:pPr>
        <w:pStyle w:val="5"/>
        <w:keepNext w:val="0"/>
        <w:keepLines w:val="0"/>
        <w:widowControl w:val="0"/>
        <w:spacing w:before="120" w:after="120" w:line="440" w:lineRule="exact"/>
        <w:jc w:val="both"/>
        <w:rPr>
          <w:rFonts w:ascii="Times New Roman" w:hAnsi="Times New Roman" w:eastAsiaTheme="minorEastAsia"/>
          <w:b/>
          <w:snapToGrid w:val="0"/>
          <w:color w:val="auto"/>
          <w:w w:val="99"/>
          <w:highlight w:val="none"/>
        </w:rPr>
      </w:pPr>
      <w:bookmarkStart w:id="1363" w:name="_Toc173163571"/>
      <w:bookmarkStart w:id="1364" w:name="_Toc18910"/>
      <w:r>
        <w:rPr>
          <w:rFonts w:ascii="Times New Roman" w:hAnsi="Times New Roman" w:eastAsiaTheme="minorEastAsia"/>
          <w:b/>
          <w:snapToGrid w:val="0"/>
          <w:color w:val="auto"/>
          <w:w w:val="99"/>
          <w:highlight w:val="none"/>
        </w:rPr>
        <w:t>9.7综合评价结论</w:t>
      </w:r>
      <w:bookmarkEnd w:id="1363"/>
      <w:bookmarkEnd w:id="1364"/>
    </w:p>
    <w:p w14:paraId="271D8FFA">
      <w:pPr>
        <w:widowControl w:val="0"/>
        <w:spacing w:line="440" w:lineRule="exact"/>
        <w:ind w:firstLine="474" w:firstLineChars="200"/>
        <w:jc w:val="both"/>
        <w:rPr>
          <w:rFonts w:hint="eastAsia" w:ascii="Times New Roman" w:hAnsi="Times New Roman" w:eastAsia="宋体" w:cs="Times New Roman"/>
          <w:color w:val="auto"/>
          <w:w w:val="99"/>
          <w:kern w:val="0"/>
          <w:sz w:val="24"/>
          <w:szCs w:val="24"/>
          <w:highlight w:val="none"/>
          <w:lang w:val="en-US" w:eastAsia="zh-CN" w:bidi="zh-CN"/>
        </w:rPr>
      </w:pPr>
      <w:r>
        <w:rPr>
          <w:rFonts w:hint="eastAsia" w:ascii="Times New Roman" w:hAnsi="Times New Roman" w:eastAsia="宋体" w:cs="Times New Roman"/>
          <w:color w:val="auto"/>
          <w:w w:val="99"/>
          <w:kern w:val="0"/>
          <w:sz w:val="24"/>
          <w:szCs w:val="24"/>
          <w:highlight w:val="none"/>
          <w:lang w:val="en-US" w:eastAsia="zh-CN" w:bidi="zh-CN"/>
        </w:rPr>
        <w:t>综上所述，</w:t>
      </w:r>
      <w:r>
        <w:rPr>
          <w:rFonts w:hint="eastAsia" w:ascii="Times New Roman" w:hAnsi="Times New Roman" w:cs="Times New Roman"/>
          <w:color w:val="auto"/>
          <w:w w:val="99"/>
          <w:kern w:val="0"/>
          <w:sz w:val="24"/>
          <w:szCs w:val="24"/>
          <w:highlight w:val="none"/>
          <w:lang w:val="en-US" w:eastAsia="zh-CN" w:bidi="zh-CN"/>
        </w:rPr>
        <w:t>徐深27-H1井地面工程项目</w:t>
      </w:r>
      <w:r>
        <w:rPr>
          <w:rFonts w:hint="eastAsia" w:ascii="Times New Roman" w:hAnsi="Times New Roman" w:eastAsia="宋体" w:cs="Times New Roman"/>
          <w:color w:val="auto"/>
          <w:w w:val="99"/>
          <w:kern w:val="0"/>
          <w:sz w:val="24"/>
          <w:szCs w:val="24"/>
          <w:highlight w:val="none"/>
          <w:lang w:val="en-US" w:eastAsia="zh-CN" w:bidi="zh-CN"/>
        </w:rPr>
        <w:t>符合国家产业政策和区域发展规划。油田正常生产情况下对环境的影响较小，工程施工及生产运行过程中可能出现的各类风险事故，在相应的污染防治措施、生态保护措施及事故应急措施得以切实有效实施的前提下，能够确保区域环境不受污染。公众参与调查结果表明，公众参与对该项目无反对意见。在确保落实好各项环保措施并保证其正常运行的前提下，从环境保护角度分析，本项目的建设可行。</w:t>
      </w:r>
    </w:p>
    <w:p w14:paraId="34293294">
      <w:pPr>
        <w:pStyle w:val="104"/>
        <w:rPr>
          <w:rFonts w:hint="default" w:ascii="Times New Roman" w:hAnsi="Times New Roman"/>
          <w:color w:val="auto"/>
          <w:w w:val="99"/>
          <w:highlight w:val="none"/>
        </w:rPr>
      </w:pPr>
    </w:p>
    <w:p w14:paraId="2B86198E">
      <w:pPr>
        <w:widowControl w:val="0"/>
        <w:spacing w:line="440" w:lineRule="exact"/>
        <w:jc w:val="both"/>
        <w:outlineLvl w:val="0"/>
        <w:rPr>
          <w:rFonts w:ascii="Times New Roman" w:hAnsi="Times New Roman" w:cs="Times New Roman" w:eastAsiaTheme="minorEastAsia"/>
          <w:color w:val="auto"/>
          <w:w w:val="99"/>
          <w:kern w:val="21"/>
          <w:highlight w:val="none"/>
        </w:rPr>
        <w:sectPr>
          <w:footerReference r:id="rId14" w:type="default"/>
          <w:type w:val="nextColumn"/>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bookmarkStart w:id="1365" w:name="_Toc173163572"/>
    </w:p>
    <w:p w14:paraId="528F227E">
      <w:pPr>
        <w:widowControl w:val="0"/>
        <w:spacing w:line="440" w:lineRule="exact"/>
        <w:jc w:val="both"/>
        <w:outlineLvl w:val="0"/>
        <w:rPr>
          <w:rFonts w:hint="eastAsia" w:ascii="Times New Roman" w:hAnsi="Times New Roman" w:eastAsia="宋体" w:cs="Times New Roman"/>
          <w:color w:val="auto"/>
          <w:w w:val="99"/>
          <w:kern w:val="0"/>
          <w:sz w:val="24"/>
          <w:szCs w:val="24"/>
          <w:highlight w:val="none"/>
          <w:lang w:val="en-US" w:eastAsia="zh-CN" w:bidi="zh-CN"/>
        </w:rPr>
      </w:pPr>
      <w:bookmarkStart w:id="1366" w:name="_Toc27719"/>
      <w:r>
        <w:rPr>
          <w:rFonts w:hint="eastAsia" w:ascii="Times New Roman" w:hAnsi="Times New Roman" w:eastAsia="宋体" w:cs="Times New Roman"/>
          <w:color w:val="auto"/>
          <w:w w:val="99"/>
          <w:kern w:val="0"/>
          <w:sz w:val="24"/>
          <w:szCs w:val="24"/>
          <w:highlight w:val="none"/>
          <w:lang w:val="en-US" w:eastAsia="zh-CN" w:bidi="zh-CN"/>
        </w:rPr>
        <w:t>附表</w:t>
      </w:r>
      <w:bookmarkEnd w:id="1365"/>
      <w:bookmarkEnd w:id="1366"/>
    </w:p>
    <w:p w14:paraId="582B27AB">
      <w:pPr>
        <w:widowControl w:val="0"/>
        <w:spacing w:line="440" w:lineRule="exact"/>
        <w:jc w:val="both"/>
        <w:outlineLvl w:val="1"/>
        <w:rPr>
          <w:rFonts w:hint="eastAsia" w:ascii="Times New Roman" w:hAnsi="Times New Roman" w:eastAsia="宋体" w:cs="Times New Roman"/>
          <w:color w:val="auto"/>
          <w:w w:val="99"/>
          <w:kern w:val="0"/>
          <w:sz w:val="24"/>
          <w:szCs w:val="24"/>
          <w:highlight w:val="none"/>
          <w:lang w:val="en-US" w:eastAsia="zh-CN" w:bidi="zh-CN"/>
        </w:rPr>
      </w:pPr>
      <w:bookmarkStart w:id="1367" w:name="_Toc173163573"/>
      <w:bookmarkStart w:id="1368" w:name="_Toc19130"/>
      <w:r>
        <w:rPr>
          <w:rFonts w:hint="eastAsia" w:ascii="Times New Roman" w:hAnsi="Times New Roman" w:eastAsia="宋体" w:cs="Times New Roman"/>
          <w:color w:val="auto"/>
          <w:w w:val="99"/>
          <w:kern w:val="0"/>
          <w:sz w:val="24"/>
          <w:szCs w:val="24"/>
          <w:highlight w:val="none"/>
          <w:lang w:val="en-US" w:eastAsia="zh-CN" w:bidi="zh-CN"/>
        </w:rPr>
        <w:t>附表1：建设项目大气环境影响评价自查表</w:t>
      </w:r>
      <w:bookmarkEnd w:id="1367"/>
      <w:bookmarkEnd w:id="1368"/>
    </w:p>
    <w:tbl>
      <w:tblPr>
        <w:tblStyle w:val="8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81"/>
        <w:gridCol w:w="1150"/>
        <w:gridCol w:w="417"/>
        <w:gridCol w:w="206"/>
        <w:gridCol w:w="202"/>
        <w:gridCol w:w="194"/>
        <w:gridCol w:w="390"/>
        <w:gridCol w:w="473"/>
        <w:gridCol w:w="443"/>
        <w:gridCol w:w="155"/>
        <w:gridCol w:w="64"/>
        <w:gridCol w:w="584"/>
        <w:gridCol w:w="172"/>
        <w:gridCol w:w="75"/>
        <w:gridCol w:w="203"/>
        <w:gridCol w:w="240"/>
        <w:gridCol w:w="127"/>
        <w:gridCol w:w="645"/>
        <w:gridCol w:w="650"/>
      </w:tblGrid>
      <w:tr w14:paraId="7F25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1" w:type="dxa"/>
            <w:gridSpan w:val="2"/>
            <w:vAlign w:val="center"/>
          </w:tcPr>
          <w:p w14:paraId="0A9DBA8B">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6390" w:type="dxa"/>
            <w:gridSpan w:val="18"/>
            <w:vAlign w:val="center"/>
          </w:tcPr>
          <w:p w14:paraId="600A1DCB">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自查项目</w:t>
            </w:r>
          </w:p>
        </w:tc>
      </w:tr>
      <w:tr w14:paraId="2A6A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68BDDECD">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评价等级与范围</w:t>
            </w:r>
          </w:p>
        </w:tc>
        <w:tc>
          <w:tcPr>
            <w:tcW w:w="1581" w:type="dxa"/>
            <w:vAlign w:val="center"/>
          </w:tcPr>
          <w:p w14:paraId="57193FC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w:t>
            </w:r>
          </w:p>
        </w:tc>
        <w:tc>
          <w:tcPr>
            <w:tcW w:w="2169" w:type="dxa"/>
            <w:gridSpan w:val="5"/>
            <w:vAlign w:val="center"/>
          </w:tcPr>
          <w:p w14:paraId="7EB199CC">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FE"/>
            </w:r>
          </w:p>
        </w:tc>
        <w:tc>
          <w:tcPr>
            <w:tcW w:w="2356" w:type="dxa"/>
            <w:gridSpan w:val="8"/>
            <w:vAlign w:val="center"/>
          </w:tcPr>
          <w:p w14:paraId="7E6630C0">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二级</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14:paraId="3169298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三级</w:t>
            </w:r>
            <w:r>
              <w:rPr>
                <w:rFonts w:ascii="Times New Roman" w:hAnsi="Times New Roman" w:cs="Times New Roman" w:eastAsiaTheme="minorEastAsia"/>
                <w:color w:val="auto"/>
                <w:w w:val="99"/>
                <w:kern w:val="21"/>
                <w:sz w:val="21"/>
                <w:szCs w:val="21"/>
                <w:highlight w:val="none"/>
              </w:rPr>
              <w:sym w:font="Wingdings" w:char="00A8"/>
            </w:r>
          </w:p>
        </w:tc>
      </w:tr>
      <w:tr w14:paraId="3C22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51AB4379">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32485199">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评价范围</w:t>
            </w:r>
          </w:p>
        </w:tc>
        <w:tc>
          <w:tcPr>
            <w:tcW w:w="2169" w:type="dxa"/>
            <w:gridSpan w:val="5"/>
            <w:vAlign w:val="center"/>
          </w:tcPr>
          <w:p w14:paraId="1B6F2FD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边长=50km</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14:paraId="138B8CCC">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边长5~50km</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14:paraId="6BA53657">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边长&lt;5km</w:t>
            </w:r>
            <w:r>
              <w:rPr>
                <w:rFonts w:ascii="Times New Roman" w:hAnsi="Times New Roman" w:cs="Times New Roman" w:eastAsiaTheme="minorEastAsia"/>
                <w:color w:val="auto"/>
                <w:w w:val="99"/>
                <w:kern w:val="21"/>
                <w:sz w:val="21"/>
                <w:szCs w:val="21"/>
                <w:highlight w:val="none"/>
              </w:rPr>
              <w:sym w:font="Wingdings" w:char="00FE"/>
            </w:r>
          </w:p>
        </w:tc>
      </w:tr>
      <w:tr w14:paraId="7535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13623D70">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1581" w:type="dxa"/>
            <w:vAlign w:val="center"/>
          </w:tcPr>
          <w:p w14:paraId="3ADBBB91">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SO</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color w:val="auto"/>
                <w:w w:val="99"/>
                <w:kern w:val="21"/>
                <w:sz w:val="21"/>
                <w:szCs w:val="21"/>
                <w:highlight w:val="none"/>
              </w:rPr>
              <w:t>+NO</w:t>
            </w:r>
            <w:r>
              <w:rPr>
                <w:rFonts w:ascii="Times New Roman" w:hAnsi="Times New Roman" w:cs="Times New Roman" w:eastAsiaTheme="minorEastAsia"/>
                <w:color w:val="auto"/>
                <w:w w:val="99"/>
                <w:kern w:val="21"/>
                <w:sz w:val="21"/>
                <w:szCs w:val="21"/>
                <w:highlight w:val="none"/>
                <w:vertAlign w:val="subscript"/>
              </w:rPr>
              <w:t>X</w:t>
            </w:r>
            <w:r>
              <w:rPr>
                <w:rFonts w:ascii="Times New Roman" w:hAnsi="Times New Roman" w:cs="Times New Roman" w:eastAsiaTheme="minorEastAsia"/>
                <w:color w:val="auto"/>
                <w:w w:val="99"/>
                <w:kern w:val="21"/>
                <w:sz w:val="21"/>
                <w:szCs w:val="21"/>
                <w:highlight w:val="none"/>
              </w:rPr>
              <w:t>排放</w:t>
            </w:r>
          </w:p>
        </w:tc>
        <w:tc>
          <w:tcPr>
            <w:tcW w:w="2169" w:type="dxa"/>
            <w:gridSpan w:val="5"/>
            <w:vAlign w:val="center"/>
          </w:tcPr>
          <w:p w14:paraId="1AB7874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2000t/a</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14:paraId="0DCCEA29">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500~2000t/a</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14:paraId="093FF20D">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&lt;500t/a</w:t>
            </w:r>
            <w:r>
              <w:rPr>
                <w:rFonts w:ascii="Times New Roman" w:hAnsi="Times New Roman" w:cs="Times New Roman" w:eastAsiaTheme="minorEastAsia"/>
                <w:color w:val="auto"/>
                <w:w w:val="99"/>
                <w:kern w:val="21"/>
                <w:sz w:val="21"/>
                <w:szCs w:val="21"/>
                <w:highlight w:val="none"/>
              </w:rPr>
              <w:sym w:font="Wingdings" w:char="00FE"/>
            </w:r>
          </w:p>
        </w:tc>
      </w:tr>
      <w:tr w14:paraId="54D2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23FAD9EA">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6986B79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4525" w:type="dxa"/>
            <w:gridSpan w:val="13"/>
            <w:vAlign w:val="center"/>
          </w:tcPr>
          <w:p w14:paraId="703E87B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基本污染物：PM</w:t>
            </w:r>
            <w:r>
              <w:rPr>
                <w:rFonts w:ascii="Times New Roman" w:hAnsi="Times New Roman" w:cs="Times New Roman" w:eastAsiaTheme="minorEastAsia"/>
                <w:color w:val="auto"/>
                <w:w w:val="99"/>
                <w:kern w:val="21"/>
                <w:sz w:val="21"/>
                <w:szCs w:val="21"/>
                <w:highlight w:val="none"/>
                <w:vertAlign w:val="subscript"/>
              </w:rPr>
              <w:t>10</w:t>
            </w:r>
            <w:r>
              <w:rPr>
                <w:rFonts w:ascii="Times New Roman" w:hAnsi="Times New Roman" w:cs="Times New Roman" w:eastAsiaTheme="minorEastAsia"/>
                <w:color w:val="auto"/>
                <w:w w:val="99"/>
                <w:kern w:val="21"/>
                <w:sz w:val="21"/>
                <w:szCs w:val="21"/>
                <w:highlight w:val="none"/>
              </w:rPr>
              <w:t>、NO</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color w:val="auto"/>
                <w:w w:val="99"/>
                <w:kern w:val="21"/>
                <w:sz w:val="21"/>
                <w:szCs w:val="21"/>
                <w:highlight w:val="none"/>
              </w:rPr>
              <w:t>、SO</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color w:val="auto"/>
                <w:w w:val="99"/>
                <w:kern w:val="21"/>
                <w:sz w:val="21"/>
                <w:szCs w:val="21"/>
                <w:highlight w:val="none"/>
              </w:rPr>
              <w:t>、</w:t>
            </w:r>
            <w:r>
              <w:rPr>
                <w:rFonts w:ascii="Times New Roman" w:hAnsi="Times New Roman" w:cs="Times New Roman" w:eastAsiaTheme="minorEastAsia"/>
                <w:bCs/>
                <w:color w:val="auto"/>
                <w:w w:val="99"/>
                <w:kern w:val="21"/>
                <w:sz w:val="21"/>
                <w:szCs w:val="21"/>
                <w:highlight w:val="none"/>
              </w:rPr>
              <w:t>PM</w:t>
            </w:r>
            <w:r>
              <w:rPr>
                <w:rFonts w:ascii="Times New Roman" w:hAnsi="Times New Roman" w:cs="Times New Roman" w:eastAsiaTheme="minorEastAsia"/>
                <w:bCs/>
                <w:color w:val="auto"/>
                <w:w w:val="99"/>
                <w:kern w:val="21"/>
                <w:sz w:val="21"/>
                <w:szCs w:val="21"/>
                <w:highlight w:val="none"/>
                <w:vertAlign w:val="subscript"/>
              </w:rPr>
              <w:t>2.5</w:t>
            </w:r>
            <w:r>
              <w:rPr>
                <w:rFonts w:ascii="Times New Roman" w:hAnsi="Times New Roman" w:cs="Times New Roman" w:eastAsiaTheme="minorEastAsia"/>
                <w:bCs/>
                <w:color w:val="auto"/>
                <w:w w:val="99"/>
                <w:kern w:val="21"/>
                <w:sz w:val="21"/>
                <w:szCs w:val="21"/>
                <w:highlight w:val="none"/>
              </w:rPr>
              <w:t>、CO、O</w:t>
            </w:r>
            <w:r>
              <w:rPr>
                <w:rFonts w:ascii="Times New Roman" w:hAnsi="Times New Roman" w:cs="Times New Roman" w:eastAsiaTheme="minorEastAsia"/>
                <w:bCs/>
                <w:color w:val="auto"/>
                <w:w w:val="99"/>
                <w:kern w:val="21"/>
                <w:sz w:val="21"/>
                <w:szCs w:val="21"/>
                <w:highlight w:val="none"/>
                <w:vertAlign w:val="subscript"/>
              </w:rPr>
              <w:t>3</w:t>
            </w:r>
          </w:p>
          <w:p w14:paraId="29E9E348">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其他污染物：</w:t>
            </w:r>
            <w:r>
              <w:rPr>
                <w:rFonts w:ascii="Times New Roman" w:hAnsi="Times New Roman" w:cs="Times New Roman" w:eastAsiaTheme="minorEastAsia"/>
                <w:bCs/>
                <w:color w:val="auto"/>
                <w:w w:val="99"/>
                <w:kern w:val="21"/>
                <w:sz w:val="21"/>
                <w:szCs w:val="21"/>
                <w:highlight w:val="none"/>
              </w:rPr>
              <w:t>TSP、</w:t>
            </w:r>
            <w:r>
              <w:rPr>
                <w:rFonts w:ascii="Times New Roman" w:hAnsi="Times New Roman" w:cs="Times New Roman" w:eastAsiaTheme="minorEastAsia"/>
                <w:color w:val="auto"/>
                <w:w w:val="99"/>
                <w:kern w:val="21"/>
                <w:sz w:val="21"/>
                <w:szCs w:val="21"/>
                <w:highlight w:val="none"/>
              </w:rPr>
              <w:t>非甲烷总烃</w:t>
            </w:r>
          </w:p>
        </w:tc>
        <w:tc>
          <w:tcPr>
            <w:tcW w:w="1865" w:type="dxa"/>
            <w:gridSpan w:val="5"/>
            <w:vAlign w:val="center"/>
          </w:tcPr>
          <w:p w14:paraId="0CC10C9D">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p w14:paraId="650D9323">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FE"/>
            </w:r>
          </w:p>
        </w:tc>
      </w:tr>
      <w:tr w14:paraId="5ACB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14:paraId="2DFAD3A7">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1581" w:type="dxa"/>
            <w:vAlign w:val="center"/>
          </w:tcPr>
          <w:p w14:paraId="0A966B0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2169" w:type="dxa"/>
            <w:gridSpan w:val="5"/>
            <w:vAlign w:val="center"/>
          </w:tcPr>
          <w:p w14:paraId="4795090B">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国家标准</w:t>
            </w:r>
            <w:r>
              <w:rPr>
                <w:rFonts w:ascii="Times New Roman" w:hAnsi="Times New Roman" w:cs="Times New Roman" w:eastAsiaTheme="minorEastAsia"/>
                <w:color w:val="auto"/>
                <w:w w:val="99"/>
                <w:kern w:val="21"/>
                <w:sz w:val="21"/>
                <w:szCs w:val="21"/>
                <w:highlight w:val="none"/>
              </w:rPr>
              <w:sym w:font="Wingdings" w:char="00FE"/>
            </w:r>
          </w:p>
        </w:tc>
        <w:tc>
          <w:tcPr>
            <w:tcW w:w="1461" w:type="dxa"/>
            <w:gridSpan w:val="4"/>
            <w:vAlign w:val="center"/>
          </w:tcPr>
          <w:p w14:paraId="3B88BD7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地方标准</w:t>
            </w:r>
            <w:r>
              <w:rPr>
                <w:rFonts w:ascii="Times New Roman" w:hAnsi="Times New Roman" w:cs="Times New Roman" w:eastAsiaTheme="minorEastAsia"/>
                <w:color w:val="auto"/>
                <w:w w:val="99"/>
                <w:kern w:val="21"/>
                <w:sz w:val="21"/>
                <w:szCs w:val="21"/>
                <w:highlight w:val="none"/>
              </w:rPr>
              <w:sym w:font="Wingdings" w:char="00A8"/>
            </w:r>
          </w:p>
        </w:tc>
        <w:tc>
          <w:tcPr>
            <w:tcW w:w="1465" w:type="dxa"/>
            <w:gridSpan w:val="7"/>
            <w:vAlign w:val="center"/>
          </w:tcPr>
          <w:p w14:paraId="07DA6417">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附录D</w:t>
            </w:r>
            <w:r>
              <w:rPr>
                <w:rFonts w:ascii="Times New Roman" w:hAnsi="Times New Roman" w:cs="Times New Roman" w:eastAsiaTheme="minorEastAsia"/>
                <w:color w:val="auto"/>
                <w:w w:val="99"/>
                <w:kern w:val="21"/>
                <w:sz w:val="21"/>
                <w:szCs w:val="21"/>
                <w:highlight w:val="none"/>
              </w:rPr>
              <w:sym w:font="Wingdings" w:char="00A8"/>
            </w:r>
          </w:p>
        </w:tc>
        <w:tc>
          <w:tcPr>
            <w:tcW w:w="1295" w:type="dxa"/>
            <w:gridSpan w:val="2"/>
            <w:vAlign w:val="center"/>
          </w:tcPr>
          <w:p w14:paraId="603E8D9C">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其他标准</w:t>
            </w:r>
            <w:r>
              <w:rPr>
                <w:rFonts w:ascii="Times New Roman" w:hAnsi="Times New Roman" w:cs="Times New Roman" w:eastAsiaTheme="minorEastAsia"/>
                <w:color w:val="auto"/>
                <w:w w:val="99"/>
                <w:kern w:val="21"/>
                <w:sz w:val="21"/>
                <w:szCs w:val="21"/>
                <w:highlight w:val="none"/>
              </w:rPr>
              <w:sym w:font="Wingdings" w:char="00FE"/>
            </w:r>
          </w:p>
        </w:tc>
      </w:tr>
      <w:tr w14:paraId="7653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4E5CA93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1581" w:type="dxa"/>
            <w:vAlign w:val="center"/>
          </w:tcPr>
          <w:p w14:paraId="53D5BA4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环境功能区</w:t>
            </w:r>
          </w:p>
        </w:tc>
        <w:tc>
          <w:tcPr>
            <w:tcW w:w="2169" w:type="dxa"/>
            <w:gridSpan w:val="5"/>
            <w:vAlign w:val="center"/>
          </w:tcPr>
          <w:p w14:paraId="49589202">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14:paraId="65E62A7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二类区</w:t>
            </w:r>
            <w:r>
              <w:rPr>
                <w:rFonts w:ascii="Times New Roman" w:hAnsi="Times New Roman" w:cs="Times New Roman" w:eastAsiaTheme="minorEastAsia"/>
                <w:color w:val="auto"/>
                <w:w w:val="99"/>
                <w:kern w:val="21"/>
                <w:sz w:val="21"/>
                <w:szCs w:val="21"/>
                <w:highlight w:val="none"/>
              </w:rPr>
              <w:sym w:font="Wingdings" w:char="00FE"/>
            </w:r>
          </w:p>
        </w:tc>
        <w:tc>
          <w:tcPr>
            <w:tcW w:w="1865" w:type="dxa"/>
            <w:gridSpan w:val="5"/>
            <w:vAlign w:val="center"/>
          </w:tcPr>
          <w:p w14:paraId="49F926D3">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一类区和二类区</w:t>
            </w:r>
            <w:r>
              <w:rPr>
                <w:rFonts w:ascii="Times New Roman" w:hAnsi="Times New Roman" w:cs="Times New Roman" w:eastAsiaTheme="minorEastAsia"/>
                <w:color w:val="auto"/>
                <w:w w:val="99"/>
                <w:kern w:val="21"/>
                <w:sz w:val="21"/>
                <w:szCs w:val="21"/>
                <w:highlight w:val="none"/>
              </w:rPr>
              <w:sym w:font="Wingdings" w:char="00A8"/>
            </w:r>
          </w:p>
        </w:tc>
      </w:tr>
      <w:tr w14:paraId="6AD1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71FB1601">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48882743">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评价基准年</w:t>
            </w:r>
          </w:p>
        </w:tc>
        <w:tc>
          <w:tcPr>
            <w:tcW w:w="6390" w:type="dxa"/>
            <w:gridSpan w:val="18"/>
            <w:vAlign w:val="center"/>
          </w:tcPr>
          <w:p w14:paraId="2A571BC5">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（202</w:t>
            </w:r>
            <w:r>
              <w:rPr>
                <w:rFonts w:hint="eastAsia" w:ascii="Times New Roman" w:hAnsi="Times New Roman" w:cs="Times New Roman" w:eastAsiaTheme="minorEastAsia"/>
                <w:color w:val="auto"/>
                <w:w w:val="99"/>
                <w:kern w:val="21"/>
                <w:sz w:val="21"/>
                <w:szCs w:val="21"/>
                <w:highlight w:val="none"/>
                <w:lang w:val="en-US" w:eastAsia="zh-CN"/>
              </w:rPr>
              <w:t>4</w:t>
            </w:r>
            <w:r>
              <w:rPr>
                <w:rFonts w:ascii="Times New Roman" w:hAnsi="Times New Roman" w:cs="Times New Roman" w:eastAsiaTheme="minorEastAsia"/>
                <w:color w:val="auto"/>
                <w:w w:val="99"/>
                <w:kern w:val="21"/>
                <w:sz w:val="21"/>
                <w:szCs w:val="21"/>
                <w:highlight w:val="none"/>
              </w:rPr>
              <w:t>）年</w:t>
            </w:r>
          </w:p>
        </w:tc>
      </w:tr>
      <w:tr w14:paraId="670C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71EBEB9F">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02BB19A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环境空气质量</w:t>
            </w:r>
          </w:p>
          <w:p w14:paraId="5ED36B30">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现状调查数据来源</w:t>
            </w:r>
          </w:p>
        </w:tc>
        <w:tc>
          <w:tcPr>
            <w:tcW w:w="2169" w:type="dxa"/>
            <w:gridSpan w:val="5"/>
            <w:vAlign w:val="center"/>
          </w:tcPr>
          <w:p w14:paraId="6FC3FCA2">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长期例行监测数据</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14:paraId="4CBFCEC8">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主管部门发布的数据</w:t>
            </w:r>
            <w:r>
              <w:rPr>
                <w:rFonts w:ascii="Times New Roman" w:hAnsi="Times New Roman" w:cs="Times New Roman" w:eastAsiaTheme="minorEastAsia"/>
                <w:color w:val="auto"/>
                <w:w w:val="99"/>
                <w:kern w:val="21"/>
                <w:sz w:val="21"/>
                <w:szCs w:val="21"/>
                <w:highlight w:val="none"/>
              </w:rPr>
              <w:sym w:font="Wingdings" w:char="00FE"/>
            </w:r>
          </w:p>
        </w:tc>
        <w:tc>
          <w:tcPr>
            <w:tcW w:w="1865" w:type="dxa"/>
            <w:gridSpan w:val="5"/>
            <w:vAlign w:val="center"/>
          </w:tcPr>
          <w:p w14:paraId="756CB947">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现状补充监测</w:t>
            </w:r>
            <w:r>
              <w:rPr>
                <w:rFonts w:ascii="Times New Roman" w:hAnsi="Times New Roman" w:cs="Times New Roman" w:eastAsiaTheme="minorEastAsia"/>
                <w:color w:val="auto"/>
                <w:w w:val="99"/>
                <w:kern w:val="21"/>
                <w:sz w:val="21"/>
                <w:szCs w:val="21"/>
                <w:highlight w:val="none"/>
              </w:rPr>
              <w:sym w:font="Wingdings" w:char="00FE"/>
            </w:r>
          </w:p>
        </w:tc>
      </w:tr>
      <w:tr w14:paraId="4648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6FE8433F">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3C68AB3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3694" w:type="dxa"/>
            <w:gridSpan w:val="10"/>
            <w:vAlign w:val="center"/>
          </w:tcPr>
          <w:p w14:paraId="167E3DF8">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达标区</w:t>
            </w:r>
            <w:r>
              <w:rPr>
                <w:rFonts w:ascii="Times New Roman" w:hAnsi="Times New Roman" w:cs="Times New Roman" w:eastAsiaTheme="minorEastAsia"/>
                <w:color w:val="auto"/>
                <w:w w:val="99"/>
                <w:kern w:val="21"/>
                <w:sz w:val="21"/>
                <w:szCs w:val="21"/>
                <w:highlight w:val="none"/>
              </w:rPr>
              <w:sym w:font="Wingdings" w:char="00A8"/>
            </w:r>
          </w:p>
        </w:tc>
        <w:tc>
          <w:tcPr>
            <w:tcW w:w="2696" w:type="dxa"/>
            <w:gridSpan w:val="8"/>
            <w:vAlign w:val="center"/>
          </w:tcPr>
          <w:p w14:paraId="041C21C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不达标区</w:t>
            </w:r>
            <w:r>
              <w:rPr>
                <w:rFonts w:ascii="Times New Roman" w:hAnsi="Times New Roman" w:cs="Times New Roman" w:eastAsiaTheme="minorEastAsia"/>
                <w:color w:val="auto"/>
                <w:w w:val="99"/>
                <w:kern w:val="21"/>
                <w:sz w:val="21"/>
                <w:szCs w:val="21"/>
                <w:highlight w:val="none"/>
              </w:rPr>
              <w:sym w:font="Wingdings" w:char="00A8"/>
            </w:r>
          </w:p>
        </w:tc>
      </w:tr>
      <w:tr w14:paraId="2653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14:paraId="5F75A5D1">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w:t>
            </w:r>
          </w:p>
          <w:p w14:paraId="3F67260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调查</w:t>
            </w:r>
          </w:p>
        </w:tc>
        <w:tc>
          <w:tcPr>
            <w:tcW w:w="1581" w:type="dxa"/>
            <w:vAlign w:val="center"/>
          </w:tcPr>
          <w:p w14:paraId="732BCCD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调查内容</w:t>
            </w:r>
          </w:p>
        </w:tc>
        <w:tc>
          <w:tcPr>
            <w:tcW w:w="2559" w:type="dxa"/>
            <w:gridSpan w:val="6"/>
            <w:vAlign w:val="center"/>
          </w:tcPr>
          <w:p w14:paraId="725E213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建设项目正常排放源</w:t>
            </w:r>
            <w:r>
              <w:rPr>
                <w:rFonts w:ascii="Times New Roman" w:hAnsi="Times New Roman" w:cs="Times New Roman" w:eastAsiaTheme="minorEastAsia"/>
                <w:color w:val="auto"/>
                <w:w w:val="99"/>
                <w:kern w:val="21"/>
                <w:sz w:val="21"/>
                <w:szCs w:val="21"/>
                <w:highlight w:val="none"/>
              </w:rPr>
              <w:sym w:font="Wingdings" w:char="00FE"/>
            </w:r>
          </w:p>
          <w:p w14:paraId="202CC4A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建设项目非正常排放源</w:t>
            </w:r>
            <w:r>
              <w:rPr>
                <w:rFonts w:ascii="Times New Roman" w:hAnsi="Times New Roman" w:cs="Times New Roman" w:eastAsiaTheme="minorEastAsia"/>
                <w:color w:val="auto"/>
                <w:w w:val="99"/>
                <w:kern w:val="21"/>
                <w:sz w:val="21"/>
                <w:szCs w:val="21"/>
                <w:highlight w:val="none"/>
              </w:rPr>
              <w:sym w:font="Wingdings" w:char="00FE"/>
            </w:r>
          </w:p>
          <w:p w14:paraId="7080D869">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现有污染源</w:t>
            </w:r>
            <w:r>
              <w:rPr>
                <w:rFonts w:ascii="Times New Roman" w:hAnsi="Times New Roman" w:cs="Times New Roman" w:eastAsiaTheme="minorEastAsia"/>
                <w:color w:val="auto"/>
                <w:w w:val="99"/>
                <w:kern w:val="21"/>
                <w:sz w:val="21"/>
                <w:szCs w:val="21"/>
                <w:highlight w:val="none"/>
              </w:rPr>
              <w:sym w:font="Wingdings" w:char="00A8"/>
            </w:r>
          </w:p>
        </w:tc>
        <w:tc>
          <w:tcPr>
            <w:tcW w:w="1135" w:type="dxa"/>
            <w:gridSpan w:val="4"/>
            <w:vAlign w:val="center"/>
          </w:tcPr>
          <w:p w14:paraId="19FB389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拟替代的污染源</w:t>
            </w:r>
            <w:r>
              <w:rPr>
                <w:rFonts w:ascii="Times New Roman" w:hAnsi="Times New Roman" w:cs="Times New Roman" w:eastAsiaTheme="minorEastAsia"/>
                <w:color w:val="auto"/>
                <w:w w:val="99"/>
                <w:kern w:val="21"/>
                <w:sz w:val="21"/>
                <w:szCs w:val="21"/>
                <w:highlight w:val="none"/>
              </w:rPr>
              <w:sym w:font="Wingdings" w:char="00A8"/>
            </w:r>
          </w:p>
        </w:tc>
        <w:tc>
          <w:tcPr>
            <w:tcW w:w="1401" w:type="dxa"/>
            <w:gridSpan w:val="6"/>
            <w:vAlign w:val="center"/>
          </w:tcPr>
          <w:p w14:paraId="55B7E4A2">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其他在建、拟建项目污染源</w:t>
            </w:r>
            <w:r>
              <w:rPr>
                <w:rFonts w:ascii="Times New Roman" w:hAnsi="Times New Roman" w:cs="Times New Roman" w:eastAsiaTheme="minorEastAsia"/>
                <w:color w:val="auto"/>
                <w:w w:val="99"/>
                <w:kern w:val="21"/>
                <w:sz w:val="21"/>
                <w:szCs w:val="21"/>
                <w:highlight w:val="none"/>
              </w:rPr>
              <w:sym w:font="Wingdings" w:char="00A8"/>
            </w:r>
          </w:p>
        </w:tc>
        <w:tc>
          <w:tcPr>
            <w:tcW w:w="1295" w:type="dxa"/>
            <w:gridSpan w:val="2"/>
            <w:vAlign w:val="center"/>
          </w:tcPr>
          <w:p w14:paraId="0ACAEF8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区域污染源</w:t>
            </w:r>
            <w:r>
              <w:rPr>
                <w:rFonts w:ascii="Times New Roman" w:hAnsi="Times New Roman" w:cs="Times New Roman" w:eastAsiaTheme="minorEastAsia"/>
                <w:color w:val="auto"/>
                <w:w w:val="99"/>
                <w:kern w:val="21"/>
                <w:sz w:val="21"/>
                <w:szCs w:val="21"/>
                <w:highlight w:val="none"/>
              </w:rPr>
              <w:sym w:font="Wingdings" w:char="00FE"/>
            </w:r>
          </w:p>
        </w:tc>
      </w:tr>
      <w:tr w14:paraId="450A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71E9CE63">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大气环境影响预测与评价</w:t>
            </w:r>
          </w:p>
        </w:tc>
        <w:tc>
          <w:tcPr>
            <w:tcW w:w="1581" w:type="dxa"/>
            <w:vAlign w:val="center"/>
          </w:tcPr>
          <w:p w14:paraId="319FAD11">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预测模型</w:t>
            </w:r>
          </w:p>
        </w:tc>
        <w:tc>
          <w:tcPr>
            <w:tcW w:w="1150" w:type="dxa"/>
            <w:vAlign w:val="center"/>
          </w:tcPr>
          <w:p w14:paraId="55BF3DD1">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AERMOD</w:t>
            </w:r>
          </w:p>
          <w:p w14:paraId="24B35032">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825" w:type="dxa"/>
            <w:gridSpan w:val="3"/>
            <w:vAlign w:val="center"/>
          </w:tcPr>
          <w:p w14:paraId="0E185CC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ADMS</w:t>
            </w:r>
          </w:p>
          <w:p w14:paraId="57AB936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4"/>
            <w:vAlign w:val="center"/>
          </w:tcPr>
          <w:p w14:paraId="6C43E70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AUSTAL2000</w:t>
            </w:r>
          </w:p>
          <w:p w14:paraId="04040D35">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975" w:type="dxa"/>
            <w:gridSpan w:val="4"/>
            <w:vAlign w:val="center"/>
          </w:tcPr>
          <w:p w14:paraId="2A7B6D51">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EDMS</w:t>
            </w:r>
          </w:p>
          <w:p w14:paraId="5C1D85B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1290" w:type="dxa"/>
            <w:gridSpan w:val="5"/>
            <w:vAlign w:val="center"/>
          </w:tcPr>
          <w:p w14:paraId="739F3CF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CALPUFF</w:t>
            </w:r>
          </w:p>
          <w:p w14:paraId="3EF2526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650" w:type="dxa"/>
            <w:vAlign w:val="center"/>
          </w:tcPr>
          <w:p w14:paraId="71510E1D">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w:t>
            </w:r>
          </w:p>
          <w:p w14:paraId="4D976BA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r>
      <w:tr w14:paraId="06AF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353DD27E">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1FC108C3">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预测范围</w:t>
            </w:r>
          </w:p>
        </w:tc>
        <w:tc>
          <w:tcPr>
            <w:tcW w:w="2169" w:type="dxa"/>
            <w:gridSpan w:val="5"/>
            <w:vAlign w:val="center"/>
          </w:tcPr>
          <w:p w14:paraId="4B79E44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50km</w:t>
            </w:r>
            <w:r>
              <w:rPr>
                <w:rFonts w:ascii="Times New Roman" w:hAnsi="Times New Roman" w:cs="Times New Roman" w:eastAsiaTheme="minorEastAsia"/>
                <w:color w:val="auto"/>
                <w:w w:val="99"/>
                <w:kern w:val="21"/>
                <w:sz w:val="21"/>
                <w:szCs w:val="21"/>
                <w:highlight w:val="none"/>
              </w:rPr>
              <w:sym w:font="Wingdings" w:char="00A8"/>
            </w:r>
          </w:p>
        </w:tc>
        <w:tc>
          <w:tcPr>
            <w:tcW w:w="2281" w:type="dxa"/>
            <w:gridSpan w:val="7"/>
            <w:vAlign w:val="center"/>
          </w:tcPr>
          <w:p w14:paraId="1E373D8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边长5~50km</w:t>
            </w:r>
            <w:r>
              <w:rPr>
                <w:rFonts w:ascii="Times New Roman" w:hAnsi="Times New Roman" w:cs="Times New Roman" w:eastAsiaTheme="minorEastAsia"/>
                <w:color w:val="auto"/>
                <w:w w:val="99"/>
                <w:kern w:val="21"/>
                <w:sz w:val="21"/>
                <w:szCs w:val="21"/>
                <w:highlight w:val="none"/>
              </w:rPr>
              <w:sym w:font="Wingdings" w:char="00FE"/>
            </w:r>
          </w:p>
        </w:tc>
        <w:tc>
          <w:tcPr>
            <w:tcW w:w="1940" w:type="dxa"/>
            <w:gridSpan w:val="6"/>
            <w:vAlign w:val="center"/>
          </w:tcPr>
          <w:p w14:paraId="4841282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边长&lt;5km</w:t>
            </w:r>
            <w:r>
              <w:rPr>
                <w:rFonts w:ascii="Times New Roman" w:hAnsi="Times New Roman" w:cs="Times New Roman" w:eastAsiaTheme="minorEastAsia"/>
                <w:color w:val="auto"/>
                <w:w w:val="99"/>
                <w:kern w:val="21"/>
                <w:sz w:val="21"/>
                <w:szCs w:val="21"/>
                <w:highlight w:val="none"/>
              </w:rPr>
              <w:sym w:font="Wingdings" w:char="00A8"/>
            </w:r>
          </w:p>
        </w:tc>
      </w:tr>
      <w:tr w14:paraId="19C7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11AA6D6D">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5234AB10">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预测因子</w:t>
            </w:r>
          </w:p>
        </w:tc>
        <w:tc>
          <w:tcPr>
            <w:tcW w:w="3032" w:type="dxa"/>
            <w:gridSpan w:val="7"/>
            <w:vAlign w:val="center"/>
          </w:tcPr>
          <w:p w14:paraId="4993750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预测因子（</w:t>
            </w:r>
            <w:r>
              <w:rPr>
                <w:rFonts w:hint="eastAsia" w:ascii="Times New Roman" w:hAnsi="Times New Roman" w:cs="Times New Roman" w:eastAsiaTheme="minorEastAsia"/>
                <w:color w:val="auto"/>
                <w:w w:val="99"/>
                <w:kern w:val="21"/>
                <w:sz w:val="21"/>
                <w:szCs w:val="21"/>
                <w:highlight w:val="none"/>
                <w:lang w:val="en-US" w:eastAsia="zh-CN"/>
              </w:rPr>
              <w:t>NMHC</w:t>
            </w:r>
            <w:r>
              <w:rPr>
                <w:rFonts w:ascii="Times New Roman" w:hAnsi="Times New Roman" w:cs="Times New Roman" w:eastAsiaTheme="minorEastAsia"/>
                <w:color w:val="auto"/>
                <w:w w:val="99"/>
                <w:kern w:val="21"/>
                <w:sz w:val="21"/>
                <w:szCs w:val="21"/>
                <w:highlight w:val="none"/>
              </w:rPr>
              <w:t>）</w:t>
            </w:r>
          </w:p>
        </w:tc>
        <w:tc>
          <w:tcPr>
            <w:tcW w:w="3358" w:type="dxa"/>
            <w:gridSpan w:val="11"/>
            <w:vAlign w:val="center"/>
          </w:tcPr>
          <w:p w14:paraId="38FE77AC">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p w14:paraId="1541D64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tc>
      </w:tr>
      <w:tr w14:paraId="2125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0AF5515F">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003F5EA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正常排放短期浓度贡献值</w:t>
            </w:r>
          </w:p>
        </w:tc>
        <w:tc>
          <w:tcPr>
            <w:tcW w:w="3032" w:type="dxa"/>
            <w:gridSpan w:val="7"/>
            <w:vAlign w:val="center"/>
          </w:tcPr>
          <w:p w14:paraId="1A1E64BD">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本项目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100%</w:t>
            </w:r>
            <w:r>
              <w:rPr>
                <w:rFonts w:ascii="Times New Roman" w:hAnsi="Times New Roman" w:cs="Times New Roman" w:eastAsiaTheme="minorEastAsia"/>
                <w:color w:val="auto"/>
                <w:w w:val="99"/>
                <w:kern w:val="21"/>
                <w:sz w:val="21"/>
                <w:szCs w:val="21"/>
                <w:highlight w:val="none"/>
              </w:rPr>
              <w:sym w:font="Wingdings" w:char="00FE"/>
            </w:r>
          </w:p>
        </w:tc>
        <w:tc>
          <w:tcPr>
            <w:tcW w:w="3358" w:type="dxa"/>
            <w:gridSpan w:val="11"/>
            <w:vAlign w:val="center"/>
          </w:tcPr>
          <w:p w14:paraId="1B0B721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最大占标率&gt;100%</w:t>
            </w:r>
            <w:r>
              <w:rPr>
                <w:rFonts w:ascii="Times New Roman" w:hAnsi="Times New Roman" w:cs="Times New Roman" w:eastAsiaTheme="minorEastAsia"/>
                <w:color w:val="auto"/>
                <w:w w:val="99"/>
                <w:kern w:val="21"/>
                <w:sz w:val="21"/>
                <w:szCs w:val="21"/>
                <w:highlight w:val="none"/>
              </w:rPr>
              <w:sym w:font="Wingdings" w:char="00A8"/>
            </w:r>
          </w:p>
        </w:tc>
      </w:tr>
      <w:tr w14:paraId="15AC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3C92B596">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Merge w:val="restart"/>
            <w:vAlign w:val="center"/>
          </w:tcPr>
          <w:p w14:paraId="634D1FAB">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正常排放年均浓度贡献值</w:t>
            </w:r>
          </w:p>
        </w:tc>
        <w:tc>
          <w:tcPr>
            <w:tcW w:w="1773" w:type="dxa"/>
            <w:gridSpan w:val="3"/>
            <w:vAlign w:val="center"/>
          </w:tcPr>
          <w:p w14:paraId="20C4DDB5">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w:t>
            </w:r>
          </w:p>
        </w:tc>
        <w:tc>
          <w:tcPr>
            <w:tcW w:w="2505" w:type="dxa"/>
            <w:gridSpan w:val="8"/>
            <w:vAlign w:val="center"/>
          </w:tcPr>
          <w:p w14:paraId="3B7A228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本项目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w:t>
            </w:r>
            <w:r>
              <w:rPr>
                <w:rFonts w:ascii="Times New Roman" w:hAnsi="Times New Roman" w:cs="Times New Roman" w:eastAsiaTheme="minorEastAsia"/>
                <w:color w:val="auto"/>
                <w:w w:val="99"/>
                <w:kern w:val="21"/>
                <w:sz w:val="21"/>
                <w:szCs w:val="21"/>
                <w:highlight w:val="none"/>
              </w:rPr>
              <w:sym w:font="Wingdings" w:char="00A8"/>
            </w:r>
          </w:p>
        </w:tc>
        <w:tc>
          <w:tcPr>
            <w:tcW w:w="2112" w:type="dxa"/>
            <w:gridSpan w:val="7"/>
            <w:vAlign w:val="center"/>
          </w:tcPr>
          <w:p w14:paraId="578B4A3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本项目</w:t>
            </w:r>
            <w:r>
              <w:rPr>
                <w:rFonts w:ascii="Times New Roman" w:hAnsi="Times New Roman" w:cs="Times New Roman" w:eastAsiaTheme="minorEastAsia"/>
                <w:color w:val="auto"/>
                <w:w w:val="99"/>
                <w:kern w:val="21"/>
                <w:sz w:val="21"/>
                <w:szCs w:val="21"/>
                <w:highlight w:val="none"/>
              </w:rPr>
              <w:t>最大占标率＞10%</w:t>
            </w:r>
            <w:r>
              <w:rPr>
                <w:rFonts w:ascii="Times New Roman" w:hAnsi="Times New Roman" w:cs="Times New Roman" w:eastAsiaTheme="minorEastAsia"/>
                <w:color w:val="auto"/>
                <w:w w:val="99"/>
                <w:kern w:val="21"/>
                <w:sz w:val="21"/>
                <w:szCs w:val="21"/>
                <w:highlight w:val="none"/>
              </w:rPr>
              <w:sym w:font="Wingdings" w:char="00A8"/>
            </w:r>
          </w:p>
        </w:tc>
      </w:tr>
      <w:tr w14:paraId="1017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034931CA">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Merge w:val="continue"/>
            <w:vAlign w:val="center"/>
          </w:tcPr>
          <w:p w14:paraId="2A07C2DD">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773" w:type="dxa"/>
            <w:gridSpan w:val="3"/>
            <w:vAlign w:val="center"/>
          </w:tcPr>
          <w:p w14:paraId="06CB5FC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二类区</w:t>
            </w:r>
          </w:p>
        </w:tc>
        <w:tc>
          <w:tcPr>
            <w:tcW w:w="2505" w:type="dxa"/>
            <w:gridSpan w:val="8"/>
            <w:vAlign w:val="center"/>
          </w:tcPr>
          <w:p w14:paraId="4325DDFC">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本项目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30%</w:t>
            </w:r>
            <w:r>
              <w:rPr>
                <w:rFonts w:ascii="Times New Roman" w:hAnsi="Times New Roman" w:cs="Times New Roman" w:eastAsiaTheme="minorEastAsia"/>
                <w:color w:val="auto"/>
                <w:w w:val="99"/>
                <w:kern w:val="21"/>
                <w:sz w:val="21"/>
                <w:szCs w:val="21"/>
                <w:highlight w:val="none"/>
              </w:rPr>
              <w:sym w:font="Wingdings" w:char="00FE"/>
            </w:r>
          </w:p>
        </w:tc>
        <w:tc>
          <w:tcPr>
            <w:tcW w:w="2112" w:type="dxa"/>
            <w:gridSpan w:val="7"/>
            <w:vAlign w:val="center"/>
          </w:tcPr>
          <w:p w14:paraId="1EC1E91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本项目</w:t>
            </w:r>
            <w:r>
              <w:rPr>
                <w:rFonts w:ascii="Times New Roman" w:hAnsi="Times New Roman" w:cs="Times New Roman" w:eastAsiaTheme="minorEastAsia"/>
                <w:color w:val="auto"/>
                <w:w w:val="99"/>
                <w:kern w:val="21"/>
                <w:sz w:val="21"/>
                <w:szCs w:val="21"/>
                <w:highlight w:val="none"/>
              </w:rPr>
              <w:t>最大占标率＞30%</w:t>
            </w:r>
            <w:r>
              <w:rPr>
                <w:rFonts w:ascii="Times New Roman" w:hAnsi="Times New Roman" w:cs="Times New Roman" w:eastAsiaTheme="minorEastAsia"/>
                <w:color w:val="auto"/>
                <w:w w:val="99"/>
                <w:kern w:val="21"/>
                <w:sz w:val="21"/>
                <w:szCs w:val="21"/>
                <w:highlight w:val="none"/>
              </w:rPr>
              <w:sym w:font="Wingdings" w:char="00A8"/>
            </w:r>
          </w:p>
        </w:tc>
      </w:tr>
      <w:tr w14:paraId="50AA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77ED6BAA">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6A485AD5">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非正常排放1h浓度贡献值</w:t>
            </w:r>
          </w:p>
        </w:tc>
        <w:tc>
          <w:tcPr>
            <w:tcW w:w="2169" w:type="dxa"/>
            <w:gridSpan w:val="5"/>
            <w:vAlign w:val="center"/>
          </w:tcPr>
          <w:p w14:paraId="74D183C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非正常持续时长（</w:t>
            </w:r>
            <w:r>
              <w:rPr>
                <w:rFonts w:hint="eastAsia" w:ascii="Times New Roman" w:hAnsi="Times New Roman" w:cs="Times New Roman" w:eastAsiaTheme="minorEastAsia"/>
                <w:color w:val="auto"/>
                <w:w w:val="99"/>
                <w:kern w:val="21"/>
                <w:sz w:val="21"/>
                <w:szCs w:val="21"/>
                <w:highlight w:val="none"/>
                <w:lang w:val="en-US" w:eastAsia="zh-CN"/>
              </w:rPr>
              <w:t>1</w:t>
            </w:r>
            <w:r>
              <w:rPr>
                <w:rFonts w:ascii="Times New Roman" w:hAnsi="Times New Roman" w:cs="Times New Roman" w:eastAsiaTheme="minorEastAsia"/>
                <w:color w:val="auto"/>
                <w:w w:val="99"/>
                <w:kern w:val="21"/>
                <w:sz w:val="21"/>
                <w:szCs w:val="21"/>
                <w:highlight w:val="none"/>
              </w:rPr>
              <w:t xml:space="preserve"> ）h</w:t>
            </w:r>
          </w:p>
        </w:tc>
        <w:tc>
          <w:tcPr>
            <w:tcW w:w="2356" w:type="dxa"/>
            <w:gridSpan w:val="8"/>
            <w:vAlign w:val="center"/>
          </w:tcPr>
          <w:p w14:paraId="24BA5B4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非正常</w:t>
            </w:r>
            <w:r>
              <w:rPr>
                <w:rFonts w:ascii="Times New Roman" w:hAnsi="Times New Roman" w:cs="Times New Roman" w:eastAsiaTheme="minorEastAsia"/>
                <w:color w:val="auto"/>
                <w:w w:val="99"/>
                <w:kern w:val="21"/>
                <w:sz w:val="21"/>
                <w:szCs w:val="21"/>
                <w:highlight w:val="none"/>
              </w:rPr>
              <w:t>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100%</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14:paraId="1C4CFDA0">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非正常</w:t>
            </w:r>
            <w:r>
              <w:rPr>
                <w:rFonts w:ascii="Times New Roman" w:hAnsi="Times New Roman" w:cs="Times New Roman" w:eastAsiaTheme="minorEastAsia"/>
                <w:color w:val="auto"/>
                <w:w w:val="99"/>
                <w:kern w:val="21"/>
                <w:sz w:val="21"/>
                <w:szCs w:val="21"/>
                <w:highlight w:val="none"/>
              </w:rPr>
              <w:t>占标率&gt;100%</w:t>
            </w:r>
            <w:r>
              <w:rPr>
                <w:rFonts w:ascii="Times New Roman" w:hAnsi="Times New Roman" w:cs="Times New Roman" w:eastAsiaTheme="minorEastAsia"/>
                <w:color w:val="auto"/>
                <w:w w:val="99"/>
                <w:kern w:val="21"/>
                <w:sz w:val="21"/>
                <w:szCs w:val="21"/>
                <w:highlight w:val="none"/>
              </w:rPr>
              <w:sym w:font="Wingdings" w:char="00A8"/>
            </w:r>
          </w:p>
        </w:tc>
      </w:tr>
      <w:tr w14:paraId="4FF6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3F685531">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2098FC8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保证率日平均浓度和年评价浓度叠加值</w:t>
            </w:r>
          </w:p>
        </w:tc>
        <w:tc>
          <w:tcPr>
            <w:tcW w:w="3032" w:type="dxa"/>
            <w:gridSpan w:val="7"/>
            <w:vAlign w:val="center"/>
          </w:tcPr>
          <w:p w14:paraId="281CF567">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叠加</w:t>
            </w:r>
            <w:r>
              <w:rPr>
                <w:rFonts w:ascii="Times New Roman" w:hAnsi="Times New Roman" w:cs="Times New Roman" w:eastAsiaTheme="minorEastAsia"/>
                <w:color w:val="auto"/>
                <w:w w:val="99"/>
                <w:kern w:val="21"/>
                <w:sz w:val="21"/>
                <w:szCs w:val="21"/>
                <w:highlight w:val="none"/>
              </w:rPr>
              <w:t>达标</w:t>
            </w:r>
            <w:r>
              <w:rPr>
                <w:rFonts w:ascii="Times New Roman" w:hAnsi="Times New Roman" w:cs="Times New Roman" w:eastAsiaTheme="minorEastAsia"/>
                <w:color w:val="auto"/>
                <w:w w:val="99"/>
                <w:kern w:val="21"/>
                <w:sz w:val="21"/>
                <w:szCs w:val="21"/>
                <w:highlight w:val="none"/>
              </w:rPr>
              <w:sym w:font="Wingdings" w:char="00FE"/>
            </w:r>
          </w:p>
        </w:tc>
        <w:tc>
          <w:tcPr>
            <w:tcW w:w="3358" w:type="dxa"/>
            <w:gridSpan w:val="11"/>
            <w:vAlign w:val="center"/>
          </w:tcPr>
          <w:p w14:paraId="79FF3DE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叠加</w:t>
            </w:r>
            <w:r>
              <w:rPr>
                <w:rFonts w:ascii="Times New Roman" w:hAnsi="Times New Roman" w:cs="Times New Roman" w:eastAsiaTheme="minorEastAsia"/>
                <w:color w:val="auto"/>
                <w:w w:val="99"/>
                <w:kern w:val="21"/>
                <w:sz w:val="21"/>
                <w:szCs w:val="21"/>
                <w:highlight w:val="none"/>
              </w:rPr>
              <w:t>不达标</w:t>
            </w:r>
            <w:r>
              <w:rPr>
                <w:rFonts w:ascii="Times New Roman" w:hAnsi="Times New Roman" w:cs="Times New Roman" w:eastAsiaTheme="minorEastAsia"/>
                <w:color w:val="auto"/>
                <w:w w:val="99"/>
                <w:kern w:val="21"/>
                <w:sz w:val="21"/>
                <w:szCs w:val="21"/>
                <w:highlight w:val="none"/>
              </w:rPr>
              <w:sym w:font="Wingdings" w:char="00A8"/>
            </w:r>
          </w:p>
        </w:tc>
      </w:tr>
      <w:tr w14:paraId="60A1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36F454CF">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56666D4D">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区域环境质量的整体变化情况</w:t>
            </w:r>
          </w:p>
        </w:tc>
        <w:tc>
          <w:tcPr>
            <w:tcW w:w="3032" w:type="dxa"/>
            <w:gridSpan w:val="7"/>
            <w:vAlign w:val="center"/>
          </w:tcPr>
          <w:p w14:paraId="327C1697">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-20%</w:t>
            </w:r>
            <w:r>
              <w:rPr>
                <w:rFonts w:ascii="Times New Roman" w:hAnsi="Times New Roman" w:cs="Times New Roman" w:eastAsiaTheme="minorEastAsia"/>
                <w:color w:val="auto"/>
                <w:w w:val="99"/>
                <w:kern w:val="21"/>
                <w:sz w:val="21"/>
                <w:szCs w:val="21"/>
                <w:highlight w:val="none"/>
              </w:rPr>
              <w:sym w:font="Wingdings" w:char="00FE"/>
            </w:r>
          </w:p>
        </w:tc>
        <w:tc>
          <w:tcPr>
            <w:tcW w:w="3358" w:type="dxa"/>
            <w:gridSpan w:val="11"/>
            <w:vAlign w:val="center"/>
          </w:tcPr>
          <w:p w14:paraId="5D7B5CB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K&gt;-20%</w:t>
            </w:r>
            <w:r>
              <w:rPr>
                <w:rFonts w:ascii="Times New Roman" w:hAnsi="Times New Roman" w:cs="Times New Roman" w:eastAsiaTheme="minorEastAsia"/>
                <w:color w:val="auto"/>
                <w:w w:val="99"/>
                <w:kern w:val="21"/>
                <w:sz w:val="21"/>
                <w:szCs w:val="21"/>
                <w:highlight w:val="none"/>
              </w:rPr>
              <w:sym w:font="Wingdings" w:char="00A8"/>
            </w:r>
          </w:p>
        </w:tc>
      </w:tr>
      <w:tr w14:paraId="6B0F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3E17716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环境监测计划</w:t>
            </w:r>
          </w:p>
        </w:tc>
        <w:tc>
          <w:tcPr>
            <w:tcW w:w="1581" w:type="dxa"/>
            <w:vAlign w:val="center"/>
          </w:tcPr>
          <w:p w14:paraId="2466CB72">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污染源监测</w:t>
            </w:r>
          </w:p>
        </w:tc>
        <w:tc>
          <w:tcPr>
            <w:tcW w:w="3032" w:type="dxa"/>
            <w:gridSpan w:val="7"/>
            <w:vAlign w:val="center"/>
          </w:tcPr>
          <w:p w14:paraId="1697A963">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监测因子：（非甲烷总烃）</w:t>
            </w:r>
          </w:p>
        </w:tc>
        <w:tc>
          <w:tcPr>
            <w:tcW w:w="1936" w:type="dxa"/>
            <w:gridSpan w:val="8"/>
            <w:vAlign w:val="center"/>
          </w:tcPr>
          <w:p w14:paraId="5349EDB1">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有组织废气监测</w:t>
            </w:r>
            <w:r>
              <w:rPr>
                <w:rFonts w:ascii="Times New Roman" w:hAnsi="Times New Roman" w:cs="Times New Roman" w:eastAsiaTheme="minorEastAsia"/>
                <w:color w:val="auto"/>
                <w:w w:val="99"/>
                <w:kern w:val="21"/>
                <w:sz w:val="21"/>
                <w:szCs w:val="21"/>
                <w:highlight w:val="none"/>
              </w:rPr>
              <w:sym w:font="Wingdings" w:char="00A8"/>
            </w:r>
          </w:p>
          <w:p w14:paraId="5630780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无组织废气监测</w:t>
            </w:r>
            <w:r>
              <w:rPr>
                <w:rFonts w:ascii="Times New Roman" w:hAnsi="Times New Roman" w:cs="Times New Roman" w:eastAsiaTheme="minorEastAsia"/>
                <w:color w:val="auto"/>
                <w:w w:val="99"/>
                <w:kern w:val="21"/>
                <w:sz w:val="21"/>
                <w:szCs w:val="21"/>
                <w:highlight w:val="none"/>
              </w:rPr>
              <w:sym w:font="Wingdings" w:char="00FE"/>
            </w:r>
          </w:p>
        </w:tc>
        <w:tc>
          <w:tcPr>
            <w:tcW w:w="1422" w:type="dxa"/>
            <w:gridSpan w:val="3"/>
            <w:vAlign w:val="center"/>
          </w:tcPr>
          <w:p w14:paraId="1C790DB1">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无监测</w:t>
            </w:r>
            <w:r>
              <w:rPr>
                <w:rFonts w:ascii="Times New Roman" w:hAnsi="Times New Roman" w:cs="Times New Roman" w:eastAsiaTheme="minorEastAsia"/>
                <w:color w:val="auto"/>
                <w:w w:val="99"/>
                <w:kern w:val="21"/>
                <w:sz w:val="21"/>
                <w:szCs w:val="21"/>
                <w:highlight w:val="none"/>
              </w:rPr>
              <w:sym w:font="Wingdings" w:char="00A8"/>
            </w:r>
          </w:p>
        </w:tc>
      </w:tr>
      <w:tr w14:paraId="1B73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3AF70643">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31B812A1">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环境质量监测</w:t>
            </w:r>
          </w:p>
        </w:tc>
        <w:tc>
          <w:tcPr>
            <w:tcW w:w="3032" w:type="dxa"/>
            <w:gridSpan w:val="7"/>
            <w:vAlign w:val="center"/>
          </w:tcPr>
          <w:p w14:paraId="7DAF7F9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监测因子：（）</w:t>
            </w:r>
          </w:p>
        </w:tc>
        <w:tc>
          <w:tcPr>
            <w:tcW w:w="1936" w:type="dxa"/>
            <w:gridSpan w:val="8"/>
            <w:vAlign w:val="center"/>
          </w:tcPr>
          <w:p w14:paraId="50BF445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监测点位数（）</w:t>
            </w:r>
          </w:p>
        </w:tc>
        <w:tc>
          <w:tcPr>
            <w:tcW w:w="1422" w:type="dxa"/>
            <w:gridSpan w:val="3"/>
            <w:vAlign w:val="center"/>
          </w:tcPr>
          <w:p w14:paraId="54AD67C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无监测</w:t>
            </w:r>
            <w:r>
              <w:rPr>
                <w:rFonts w:ascii="Times New Roman" w:hAnsi="Times New Roman" w:cs="Times New Roman" w:eastAsiaTheme="minorEastAsia"/>
                <w:color w:val="auto"/>
                <w:w w:val="99"/>
                <w:kern w:val="21"/>
                <w:sz w:val="21"/>
                <w:szCs w:val="21"/>
                <w:highlight w:val="none"/>
              </w:rPr>
              <w:sym w:font="Wingdings" w:char="00FE"/>
            </w:r>
          </w:p>
        </w:tc>
      </w:tr>
      <w:tr w14:paraId="40B6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3C0E8CEC">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环评结论</w:t>
            </w:r>
          </w:p>
        </w:tc>
        <w:tc>
          <w:tcPr>
            <w:tcW w:w="1581" w:type="dxa"/>
            <w:vAlign w:val="center"/>
          </w:tcPr>
          <w:p w14:paraId="1540FFD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环境影响</w:t>
            </w:r>
          </w:p>
        </w:tc>
        <w:tc>
          <w:tcPr>
            <w:tcW w:w="6390" w:type="dxa"/>
            <w:gridSpan w:val="18"/>
            <w:vAlign w:val="center"/>
          </w:tcPr>
          <w:p w14:paraId="79A4C215">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可以接受</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不可以接受</w:t>
            </w:r>
            <w:r>
              <w:rPr>
                <w:rFonts w:ascii="Times New Roman" w:hAnsi="Times New Roman" w:cs="Times New Roman" w:eastAsiaTheme="minorEastAsia"/>
                <w:color w:val="auto"/>
                <w:w w:val="99"/>
                <w:kern w:val="21"/>
                <w:sz w:val="21"/>
                <w:szCs w:val="21"/>
                <w:highlight w:val="none"/>
              </w:rPr>
              <w:sym w:font="Wingdings" w:char="00A8"/>
            </w:r>
          </w:p>
        </w:tc>
      </w:tr>
      <w:tr w14:paraId="02BB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3A80104B">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5DFDEC67">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大气防护距离</w:t>
            </w:r>
          </w:p>
        </w:tc>
        <w:tc>
          <w:tcPr>
            <w:tcW w:w="6390" w:type="dxa"/>
            <w:gridSpan w:val="18"/>
            <w:vAlign w:val="center"/>
          </w:tcPr>
          <w:p w14:paraId="71631F7B">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距（）厂界最远（）m</w:t>
            </w:r>
          </w:p>
        </w:tc>
      </w:tr>
      <w:tr w14:paraId="557C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71F82D6C">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14:paraId="58F38CDC">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w:t>
            </w:r>
          </w:p>
          <w:p w14:paraId="126FB1C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年排放量</w:t>
            </w:r>
          </w:p>
        </w:tc>
        <w:tc>
          <w:tcPr>
            <w:tcW w:w="1567" w:type="dxa"/>
            <w:gridSpan w:val="2"/>
            <w:vAlign w:val="center"/>
          </w:tcPr>
          <w:p w14:paraId="62051C87">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NO</w:t>
            </w:r>
            <w:r>
              <w:rPr>
                <w:rFonts w:ascii="Times New Roman" w:hAnsi="Times New Roman" w:cs="Times New Roman" w:eastAsiaTheme="minorEastAsia"/>
                <w:color w:val="auto"/>
                <w:w w:val="99"/>
                <w:kern w:val="21"/>
                <w:sz w:val="21"/>
                <w:szCs w:val="21"/>
                <w:highlight w:val="none"/>
                <w:vertAlign w:val="subscript"/>
              </w:rPr>
              <w:t>x</w:t>
            </w:r>
            <w:r>
              <w:rPr>
                <w:rFonts w:ascii="Times New Roman" w:hAnsi="Times New Roman" w:cs="Times New Roman" w:eastAsiaTheme="minorEastAsia"/>
                <w:color w:val="auto"/>
                <w:w w:val="99"/>
                <w:kern w:val="21"/>
                <w:sz w:val="21"/>
                <w:szCs w:val="21"/>
                <w:highlight w:val="none"/>
              </w:rPr>
              <w:t>：（）t/a</w:t>
            </w:r>
          </w:p>
        </w:tc>
        <w:tc>
          <w:tcPr>
            <w:tcW w:w="1465" w:type="dxa"/>
            <w:gridSpan w:val="5"/>
            <w:vAlign w:val="center"/>
          </w:tcPr>
          <w:p w14:paraId="79244812">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SO</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color w:val="auto"/>
                <w:w w:val="99"/>
                <w:kern w:val="21"/>
                <w:sz w:val="21"/>
                <w:szCs w:val="21"/>
                <w:highlight w:val="none"/>
              </w:rPr>
              <w:t>：（）t/a</w:t>
            </w:r>
          </w:p>
        </w:tc>
        <w:tc>
          <w:tcPr>
            <w:tcW w:w="1696" w:type="dxa"/>
            <w:gridSpan w:val="7"/>
            <w:vAlign w:val="center"/>
          </w:tcPr>
          <w:p w14:paraId="7FEDE35B">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颗粒物：（）t/a</w:t>
            </w:r>
          </w:p>
        </w:tc>
        <w:tc>
          <w:tcPr>
            <w:tcW w:w="1662" w:type="dxa"/>
            <w:gridSpan w:val="4"/>
            <w:vAlign w:val="center"/>
          </w:tcPr>
          <w:p w14:paraId="64380DF9">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NMHC：（</w:t>
            </w:r>
            <w:r>
              <w:rPr>
                <w:rFonts w:hint="eastAsia" w:ascii="Times New Roman" w:hAnsi="Times New Roman" w:cs="Times New Roman" w:eastAsiaTheme="minorEastAsia"/>
                <w:color w:val="auto"/>
                <w:w w:val="99"/>
                <w:kern w:val="21"/>
                <w:sz w:val="21"/>
                <w:szCs w:val="21"/>
                <w:highlight w:val="none"/>
                <w:lang w:val="en-US" w:eastAsia="zh-CN"/>
              </w:rPr>
              <w:t>11.66</w:t>
            </w:r>
            <w:r>
              <w:rPr>
                <w:rFonts w:ascii="Times New Roman" w:hAnsi="Times New Roman" w:cs="Times New Roman" w:eastAsiaTheme="minorEastAsia"/>
                <w:color w:val="auto"/>
                <w:w w:val="99"/>
                <w:kern w:val="21"/>
                <w:sz w:val="21"/>
                <w:szCs w:val="21"/>
                <w:highlight w:val="none"/>
              </w:rPr>
              <w:t>）t/a</w:t>
            </w:r>
          </w:p>
        </w:tc>
      </w:tr>
      <w:tr w14:paraId="3A66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20"/>
            <w:vAlign w:val="center"/>
          </w:tcPr>
          <w:p w14:paraId="3328AC48">
            <w:pPr>
              <w:widowControl w:val="0"/>
              <w:spacing w:line="280" w:lineRule="exact"/>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w:t>
            </w:r>
            <w:r>
              <w:rPr>
                <w:rFonts w:ascii="Times New Roman" w:hAnsi="Times New Roman" w:cs="Times New Roman" w:eastAsiaTheme="minorEastAsia"/>
                <w:color w:val="auto"/>
                <w:w w:val="99"/>
                <w:kern w:val="21"/>
                <w:sz w:val="21"/>
                <w:szCs w:val="21"/>
                <w:highlight w:val="none"/>
              </w:rPr>
              <w:sym w:font="Wingdings" w:char="00A8"/>
            </w:r>
            <w:r>
              <w:rPr>
                <w:rFonts w:ascii="Times New Roman" w:hAnsi="Times New Roman" w:cs="Times New Roman" w:eastAsiaTheme="minorEastAsia"/>
                <w:color w:val="auto"/>
                <w:w w:val="99"/>
                <w:kern w:val="21"/>
                <w:sz w:val="21"/>
                <w:szCs w:val="21"/>
                <w:highlight w:val="none"/>
              </w:rPr>
              <w:t>”为勾选项，填“√”；“（）”为内容填写项</w:t>
            </w:r>
          </w:p>
        </w:tc>
      </w:tr>
    </w:tbl>
    <w:p w14:paraId="13FA6BF6">
      <w:pPr>
        <w:widowControl w:val="0"/>
        <w:spacing w:line="440" w:lineRule="exact"/>
        <w:jc w:val="both"/>
        <w:outlineLvl w:val="1"/>
        <w:rPr>
          <w:rFonts w:hint="eastAsia" w:ascii="Times New Roman" w:hAnsi="Times New Roman" w:eastAsia="宋体" w:cs="Times New Roman"/>
          <w:color w:val="auto"/>
          <w:w w:val="99"/>
          <w:kern w:val="0"/>
          <w:sz w:val="24"/>
          <w:szCs w:val="24"/>
          <w:highlight w:val="none"/>
          <w:lang w:val="en-US" w:eastAsia="zh-CN" w:bidi="zh-CN"/>
        </w:rPr>
      </w:pPr>
      <w:bookmarkStart w:id="1369" w:name="_Toc173163574"/>
    </w:p>
    <w:p w14:paraId="5A3D73BE">
      <w:pPr>
        <w:widowControl w:val="0"/>
        <w:spacing w:line="440" w:lineRule="exact"/>
        <w:jc w:val="both"/>
        <w:outlineLvl w:val="1"/>
        <w:rPr>
          <w:rFonts w:hint="eastAsia" w:ascii="Times New Roman" w:hAnsi="Times New Roman" w:eastAsia="宋体" w:cs="Times New Roman"/>
          <w:color w:val="auto"/>
          <w:w w:val="99"/>
          <w:kern w:val="0"/>
          <w:sz w:val="24"/>
          <w:szCs w:val="24"/>
          <w:highlight w:val="none"/>
          <w:lang w:val="en-US" w:eastAsia="zh-CN" w:bidi="zh-CN"/>
        </w:rPr>
      </w:pPr>
      <w:bookmarkStart w:id="1370" w:name="_Toc20425"/>
      <w:r>
        <w:rPr>
          <w:rFonts w:hint="eastAsia" w:ascii="Times New Roman" w:hAnsi="Times New Roman" w:eastAsia="宋体" w:cs="Times New Roman"/>
          <w:color w:val="auto"/>
          <w:w w:val="99"/>
          <w:kern w:val="0"/>
          <w:sz w:val="24"/>
          <w:szCs w:val="24"/>
          <w:highlight w:val="none"/>
          <w:lang w:val="en-US" w:eastAsia="zh-CN" w:bidi="zh-CN"/>
        </w:rPr>
        <w:t>附表2：建设项目环境风险评价自查表</w:t>
      </w:r>
      <w:bookmarkEnd w:id="1369"/>
      <w:bookmarkEnd w:id="1370"/>
    </w:p>
    <w:tbl>
      <w:tblPr>
        <w:tblStyle w:val="80"/>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12"/>
        <w:gridCol w:w="1076"/>
        <w:gridCol w:w="431"/>
        <w:gridCol w:w="634"/>
        <w:gridCol w:w="855"/>
        <w:gridCol w:w="1315"/>
        <w:gridCol w:w="667"/>
        <w:gridCol w:w="808"/>
        <w:gridCol w:w="1505"/>
      </w:tblGrid>
      <w:tr w14:paraId="2799B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14:paraId="028E3271">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7291" w:type="dxa"/>
            <w:gridSpan w:val="8"/>
            <w:tcBorders>
              <w:top w:val="single" w:color="auto" w:sz="4" w:space="0"/>
              <w:left w:val="single" w:color="auto" w:sz="4" w:space="0"/>
              <w:bottom w:val="single" w:color="auto" w:sz="4" w:space="0"/>
              <w:right w:val="single" w:color="auto" w:sz="4" w:space="0"/>
            </w:tcBorders>
            <w:vAlign w:val="center"/>
          </w:tcPr>
          <w:p w14:paraId="2431DA8A">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完成情况</w:t>
            </w:r>
          </w:p>
        </w:tc>
      </w:tr>
      <w:tr w14:paraId="5F471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14:paraId="4E163E6D">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风险调查</w:t>
            </w:r>
          </w:p>
        </w:tc>
        <w:tc>
          <w:tcPr>
            <w:tcW w:w="1212" w:type="dxa"/>
            <w:vMerge w:val="restart"/>
            <w:tcBorders>
              <w:top w:val="single" w:color="auto" w:sz="4" w:space="0"/>
              <w:left w:val="single" w:color="auto" w:sz="4" w:space="0"/>
              <w:right w:val="single" w:color="auto" w:sz="4" w:space="0"/>
            </w:tcBorders>
            <w:vAlign w:val="center"/>
          </w:tcPr>
          <w:p w14:paraId="4665C073">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危险物质</w:t>
            </w:r>
          </w:p>
        </w:tc>
        <w:tc>
          <w:tcPr>
            <w:tcW w:w="1076" w:type="dxa"/>
            <w:tcBorders>
              <w:top w:val="single" w:color="auto" w:sz="4" w:space="0"/>
              <w:left w:val="single" w:color="auto" w:sz="4" w:space="0"/>
              <w:bottom w:val="single" w:color="auto" w:sz="4" w:space="0"/>
              <w:right w:val="single" w:color="auto" w:sz="4" w:space="0"/>
            </w:tcBorders>
            <w:vAlign w:val="center"/>
          </w:tcPr>
          <w:p w14:paraId="4894E859">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名称</w:t>
            </w:r>
          </w:p>
        </w:tc>
        <w:tc>
          <w:tcPr>
            <w:tcW w:w="19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3A27FBE">
            <w:pPr>
              <w:widowControl w:val="0"/>
              <w:spacing w:line="320" w:lineRule="exact"/>
              <w:jc w:val="center"/>
              <w:rPr>
                <w:rFonts w:hint="default" w:ascii="Times New Roman" w:hAnsi="Times New Roman" w:cs="Times New Roman" w:eastAsiaTheme="minorEastAsia"/>
                <w:color w:val="auto"/>
                <w:w w:val="99"/>
                <w:kern w:val="21"/>
                <w:sz w:val="21"/>
                <w:szCs w:val="21"/>
                <w:highlight w:val="none"/>
                <w:lang w:val="en-US" w:eastAsia="zh-CN" w:bidi="ar-SA"/>
              </w:rPr>
            </w:pPr>
            <w:r>
              <w:rPr>
                <w:rFonts w:ascii="Times New Roman" w:hAnsi="Times New Roman" w:cs="Times New Roman" w:eastAsiaTheme="minorEastAsia"/>
                <w:color w:val="auto"/>
                <w:w w:val="99"/>
                <w:kern w:val="21"/>
                <w:sz w:val="21"/>
                <w:szCs w:val="21"/>
                <w:highlight w:val="none"/>
              </w:rPr>
              <w:t>天然气</w:t>
            </w:r>
          </w:p>
        </w:tc>
        <w:tc>
          <w:tcPr>
            <w:tcW w:w="1315" w:type="dxa"/>
            <w:tcBorders>
              <w:top w:val="single" w:color="auto" w:sz="4" w:space="0"/>
              <w:left w:val="single" w:color="auto" w:sz="4" w:space="0"/>
              <w:bottom w:val="single" w:color="auto" w:sz="4" w:space="0"/>
              <w:right w:val="single" w:color="auto" w:sz="4" w:space="0"/>
            </w:tcBorders>
            <w:vAlign w:val="center"/>
          </w:tcPr>
          <w:p w14:paraId="5C0B5498">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39B92A61">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14:paraId="0F9B98F1">
            <w:pPr>
              <w:widowControl w:val="0"/>
              <w:spacing w:line="320" w:lineRule="exact"/>
              <w:jc w:val="center"/>
              <w:rPr>
                <w:rFonts w:hint="default" w:ascii="Times New Roman" w:hAnsi="Times New Roman" w:cs="Times New Roman" w:eastAsiaTheme="minorEastAsia"/>
                <w:color w:val="auto"/>
                <w:w w:val="99"/>
                <w:kern w:val="21"/>
                <w:sz w:val="21"/>
                <w:szCs w:val="21"/>
                <w:highlight w:val="none"/>
                <w:lang w:val="en-US" w:eastAsia="zh-CN"/>
              </w:rPr>
            </w:pPr>
          </w:p>
        </w:tc>
      </w:tr>
      <w:tr w14:paraId="60EC2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013AD07A">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14:paraId="26605425">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14:paraId="5888D63F">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存在总量</w:t>
            </w:r>
          </w:p>
        </w:tc>
        <w:tc>
          <w:tcPr>
            <w:tcW w:w="19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9021AE">
            <w:pPr>
              <w:widowControl w:val="0"/>
              <w:spacing w:line="320" w:lineRule="exact"/>
              <w:jc w:val="center"/>
              <w:rPr>
                <w:rFonts w:hint="default" w:ascii="Times New Roman" w:hAnsi="Times New Roman" w:cs="Times New Roman" w:eastAsiaTheme="minorEastAsia"/>
                <w:color w:val="auto"/>
                <w:w w:val="99"/>
                <w:kern w:val="21"/>
                <w:sz w:val="21"/>
                <w:szCs w:val="21"/>
                <w:highlight w:val="none"/>
                <w:lang w:val="en-US" w:eastAsia="zh-CN" w:bidi="ar-SA"/>
              </w:rPr>
            </w:pPr>
            <w:r>
              <w:rPr>
                <w:rFonts w:hint="eastAsia" w:ascii="Times New Roman" w:hAnsi="Times New Roman" w:cs="Times New Roman" w:eastAsiaTheme="minorEastAsia"/>
                <w:color w:val="auto"/>
                <w:w w:val="99"/>
                <w:kern w:val="21"/>
                <w:sz w:val="21"/>
                <w:szCs w:val="21"/>
                <w:highlight w:val="none"/>
                <w:lang w:val="en-US" w:eastAsia="zh-CN"/>
              </w:rPr>
              <w:t>1.005t</w:t>
            </w:r>
          </w:p>
        </w:tc>
        <w:tc>
          <w:tcPr>
            <w:tcW w:w="1315" w:type="dxa"/>
            <w:tcBorders>
              <w:top w:val="single" w:color="auto" w:sz="4" w:space="0"/>
              <w:left w:val="single" w:color="auto" w:sz="4" w:space="0"/>
              <w:bottom w:val="single" w:color="auto" w:sz="4" w:space="0"/>
              <w:right w:val="single" w:color="auto" w:sz="4" w:space="0"/>
            </w:tcBorders>
            <w:vAlign w:val="center"/>
          </w:tcPr>
          <w:p w14:paraId="7868CE2C">
            <w:pPr>
              <w:widowControl w:val="0"/>
              <w:spacing w:line="320" w:lineRule="exact"/>
              <w:jc w:val="center"/>
              <w:rPr>
                <w:rFonts w:hint="default" w:ascii="Times New Roman" w:hAnsi="Times New Roman" w:cs="Times New Roman" w:eastAsiaTheme="minorEastAsia"/>
                <w:color w:val="auto"/>
                <w:w w:val="99"/>
                <w:kern w:val="21"/>
                <w:sz w:val="21"/>
                <w:szCs w:val="21"/>
                <w:highlight w:val="none"/>
                <w:lang w:val="en-US" w:eastAsia="zh-CN"/>
              </w:rPr>
            </w:pP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67BA7680">
            <w:pPr>
              <w:widowControl w:val="0"/>
              <w:spacing w:line="320" w:lineRule="exact"/>
              <w:jc w:val="center"/>
              <w:rPr>
                <w:rFonts w:hint="default" w:ascii="Times New Roman" w:hAnsi="Times New Roman" w:cs="Times New Roman" w:eastAsiaTheme="minorEastAsia"/>
                <w:color w:val="auto"/>
                <w:w w:val="99"/>
                <w:kern w:val="21"/>
                <w:sz w:val="21"/>
                <w:szCs w:val="21"/>
                <w:highlight w:val="none"/>
                <w:lang w:val="en-US" w:eastAsia="zh-CN"/>
              </w:rPr>
            </w:pPr>
          </w:p>
        </w:tc>
        <w:tc>
          <w:tcPr>
            <w:tcW w:w="1505" w:type="dxa"/>
            <w:tcBorders>
              <w:top w:val="single" w:color="auto" w:sz="4" w:space="0"/>
              <w:left w:val="single" w:color="auto" w:sz="4" w:space="0"/>
              <w:bottom w:val="single" w:color="auto" w:sz="4" w:space="0"/>
              <w:right w:val="single" w:color="auto" w:sz="4" w:space="0"/>
            </w:tcBorders>
            <w:vAlign w:val="center"/>
          </w:tcPr>
          <w:p w14:paraId="77610AE7">
            <w:pPr>
              <w:widowControl w:val="0"/>
              <w:spacing w:line="320" w:lineRule="exact"/>
              <w:jc w:val="center"/>
              <w:rPr>
                <w:rFonts w:hint="default" w:ascii="Times New Roman" w:hAnsi="Times New Roman" w:cs="Times New Roman" w:eastAsiaTheme="minorEastAsia"/>
                <w:color w:val="auto"/>
                <w:w w:val="99"/>
                <w:kern w:val="21"/>
                <w:sz w:val="21"/>
                <w:szCs w:val="21"/>
                <w:highlight w:val="none"/>
                <w:lang w:val="en-US" w:eastAsia="zh-CN"/>
              </w:rPr>
            </w:pPr>
          </w:p>
        </w:tc>
      </w:tr>
      <w:tr w14:paraId="48D39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5F1A7CF9">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restart"/>
            <w:tcBorders>
              <w:left w:val="single" w:color="auto" w:sz="4" w:space="0"/>
              <w:right w:val="single" w:color="auto" w:sz="4" w:space="0"/>
            </w:tcBorders>
            <w:vAlign w:val="center"/>
          </w:tcPr>
          <w:p w14:paraId="163955FE">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w:t>
            </w:r>
          </w:p>
          <w:p w14:paraId="30A4BC94">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敏感性</w:t>
            </w:r>
          </w:p>
        </w:tc>
        <w:tc>
          <w:tcPr>
            <w:tcW w:w="1076" w:type="dxa"/>
            <w:vMerge w:val="restart"/>
            <w:tcBorders>
              <w:top w:val="single" w:color="auto" w:sz="4" w:space="0"/>
              <w:left w:val="single" w:color="auto" w:sz="4" w:space="0"/>
              <w:right w:val="single" w:color="auto" w:sz="4" w:space="0"/>
            </w:tcBorders>
            <w:vAlign w:val="center"/>
          </w:tcPr>
          <w:p w14:paraId="3AE3424C">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p>
        </w:tc>
        <w:tc>
          <w:tcPr>
            <w:tcW w:w="3235" w:type="dxa"/>
            <w:gridSpan w:val="4"/>
            <w:tcBorders>
              <w:top w:val="single" w:color="auto" w:sz="4" w:space="0"/>
              <w:left w:val="single" w:color="auto" w:sz="4" w:space="0"/>
              <w:bottom w:val="single" w:color="auto" w:sz="4" w:space="0"/>
              <w:right w:val="single" w:color="auto" w:sz="4" w:space="0"/>
            </w:tcBorders>
            <w:vAlign w:val="center"/>
          </w:tcPr>
          <w:p w14:paraId="3B7330DB">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500m范围内人口数</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c>
          <w:tcPr>
            <w:tcW w:w="2980" w:type="dxa"/>
            <w:gridSpan w:val="3"/>
            <w:tcBorders>
              <w:top w:val="single" w:color="auto" w:sz="4" w:space="0"/>
              <w:left w:val="single" w:color="auto" w:sz="4" w:space="0"/>
              <w:bottom w:val="single" w:color="auto" w:sz="4" w:space="0"/>
              <w:right w:val="single" w:color="auto" w:sz="4" w:space="0"/>
            </w:tcBorders>
            <w:vAlign w:val="center"/>
          </w:tcPr>
          <w:p w14:paraId="4D2613D4">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5km范围内人口数</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r>
      <w:tr w14:paraId="5FA1F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784C9700">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14:paraId="2D49D01D">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14:paraId="03C1BEC8">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4710" w:type="dxa"/>
            <w:gridSpan w:val="6"/>
            <w:tcBorders>
              <w:top w:val="single" w:color="auto" w:sz="4" w:space="0"/>
              <w:left w:val="single" w:color="auto" w:sz="4" w:space="0"/>
              <w:bottom w:val="single" w:color="auto" w:sz="4" w:space="0"/>
              <w:right w:val="single" w:color="auto" w:sz="4" w:space="0"/>
            </w:tcBorders>
            <w:vAlign w:val="center"/>
          </w:tcPr>
          <w:p w14:paraId="3AC0B4C1">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每公里管段周边200m范围内人口数（最大）</w:t>
            </w:r>
          </w:p>
        </w:tc>
        <w:tc>
          <w:tcPr>
            <w:tcW w:w="1505" w:type="dxa"/>
            <w:tcBorders>
              <w:top w:val="single" w:color="auto" w:sz="4" w:space="0"/>
              <w:left w:val="single" w:color="auto" w:sz="4" w:space="0"/>
              <w:bottom w:val="single" w:color="auto" w:sz="4" w:space="0"/>
              <w:right w:val="single" w:color="auto" w:sz="4" w:space="0"/>
            </w:tcBorders>
            <w:vAlign w:val="center"/>
          </w:tcPr>
          <w:p w14:paraId="0DE32F80">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r>
      <w:tr w14:paraId="3B3E3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64903D5C">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14:paraId="0C8EDC60">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restart"/>
            <w:tcBorders>
              <w:top w:val="single" w:color="auto" w:sz="4" w:space="0"/>
              <w:left w:val="single" w:color="auto" w:sz="4" w:space="0"/>
              <w:right w:val="single" w:color="auto" w:sz="4" w:space="0"/>
            </w:tcBorders>
            <w:vAlign w:val="center"/>
          </w:tcPr>
          <w:p w14:paraId="5FA8FC34">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70E052F8">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地表水功能敏感性</w:t>
            </w:r>
          </w:p>
        </w:tc>
        <w:tc>
          <w:tcPr>
            <w:tcW w:w="1315" w:type="dxa"/>
            <w:tcBorders>
              <w:top w:val="single" w:color="auto" w:sz="4" w:space="0"/>
              <w:left w:val="single" w:color="auto" w:sz="4" w:space="0"/>
              <w:bottom w:val="single" w:color="auto" w:sz="4" w:space="0"/>
              <w:right w:val="single" w:color="auto" w:sz="4" w:space="0"/>
            </w:tcBorders>
            <w:vAlign w:val="center"/>
          </w:tcPr>
          <w:p w14:paraId="68DBEC80">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F1</w:t>
            </w:r>
            <w:r>
              <w:rPr>
                <w:rFonts w:ascii="Times New Roman" w:hAnsi="Times New Roman" w:cs="Times New Roman" w:eastAsiaTheme="minorEastAsia"/>
                <w:color w:val="auto"/>
                <w:w w:val="99"/>
                <w:kern w:val="21"/>
                <w:sz w:val="21"/>
                <w:szCs w:val="21"/>
                <w:highlight w:val="none"/>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580CE6CE">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01FF53CB">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F3</w:t>
            </w:r>
            <w:r>
              <w:rPr>
                <w:rFonts w:ascii="Times New Roman" w:hAnsi="Times New Roman" w:cs="Times New Roman" w:eastAsiaTheme="minorEastAsia"/>
                <w:color w:val="auto"/>
                <w:w w:val="99"/>
                <w:kern w:val="21"/>
                <w:sz w:val="21"/>
                <w:szCs w:val="21"/>
                <w:highlight w:val="none"/>
              </w:rPr>
              <w:sym w:font="Wingdings" w:char="00A8"/>
            </w:r>
          </w:p>
        </w:tc>
      </w:tr>
      <w:tr w14:paraId="6DB07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5CA62693">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14:paraId="6D22AF77">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14:paraId="66B24ECE">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6186284C">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环境敏感目标分级</w:t>
            </w:r>
          </w:p>
        </w:tc>
        <w:tc>
          <w:tcPr>
            <w:tcW w:w="1315" w:type="dxa"/>
            <w:tcBorders>
              <w:top w:val="single" w:color="auto" w:sz="4" w:space="0"/>
              <w:left w:val="single" w:color="auto" w:sz="4" w:space="0"/>
              <w:bottom w:val="single" w:color="auto" w:sz="4" w:space="0"/>
              <w:right w:val="single" w:color="auto" w:sz="4" w:space="0"/>
            </w:tcBorders>
            <w:vAlign w:val="center"/>
          </w:tcPr>
          <w:p w14:paraId="72C4E84A">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S1</w:t>
            </w:r>
            <w:r>
              <w:rPr>
                <w:rFonts w:ascii="Times New Roman" w:hAnsi="Times New Roman" w:cs="Times New Roman" w:eastAsiaTheme="minorEastAsia"/>
                <w:color w:val="auto"/>
                <w:w w:val="99"/>
                <w:kern w:val="21"/>
                <w:sz w:val="21"/>
                <w:szCs w:val="21"/>
                <w:highlight w:val="none"/>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07104251">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15CCD267">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S3</w:t>
            </w:r>
            <w:r>
              <w:rPr>
                <w:rFonts w:ascii="Times New Roman" w:hAnsi="Times New Roman" w:cs="Times New Roman" w:eastAsiaTheme="minorEastAsia"/>
                <w:color w:val="auto"/>
                <w:w w:val="99"/>
                <w:kern w:val="21"/>
                <w:sz w:val="21"/>
                <w:szCs w:val="21"/>
                <w:highlight w:val="none"/>
              </w:rPr>
              <w:sym w:font="Wingdings" w:char="00A8"/>
            </w:r>
          </w:p>
        </w:tc>
      </w:tr>
      <w:tr w14:paraId="4D9A1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26B8630F">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14:paraId="0ABD0C3F">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restart"/>
            <w:tcBorders>
              <w:top w:val="single" w:color="auto" w:sz="4" w:space="0"/>
              <w:left w:val="single" w:color="auto" w:sz="4" w:space="0"/>
              <w:right w:val="single" w:color="auto" w:sz="4" w:space="0"/>
            </w:tcBorders>
            <w:vAlign w:val="center"/>
          </w:tcPr>
          <w:p w14:paraId="118B7F8B">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2FA8A2E2">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地下水功能敏感性</w:t>
            </w:r>
          </w:p>
        </w:tc>
        <w:tc>
          <w:tcPr>
            <w:tcW w:w="1315" w:type="dxa"/>
            <w:tcBorders>
              <w:top w:val="single" w:color="auto" w:sz="4" w:space="0"/>
              <w:left w:val="single" w:color="auto" w:sz="4" w:space="0"/>
              <w:bottom w:val="single" w:color="auto" w:sz="4" w:space="0"/>
              <w:right w:val="single" w:color="auto" w:sz="4" w:space="0"/>
            </w:tcBorders>
            <w:vAlign w:val="center"/>
          </w:tcPr>
          <w:p w14:paraId="737D7218">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G1</w:t>
            </w:r>
            <w:r>
              <w:rPr>
                <w:rFonts w:ascii="Times New Roman" w:hAnsi="Times New Roman" w:cs="Times New Roman" w:eastAsiaTheme="minorEastAsia"/>
                <w:color w:val="auto"/>
                <w:w w:val="99"/>
                <w:kern w:val="21"/>
                <w:sz w:val="21"/>
                <w:szCs w:val="21"/>
                <w:highlight w:val="none"/>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2E8EF330">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3D1444A4">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G3</w:t>
            </w:r>
            <w:r>
              <w:rPr>
                <w:rFonts w:ascii="Times New Roman" w:hAnsi="Times New Roman" w:cs="Times New Roman" w:eastAsiaTheme="minorEastAsia"/>
                <w:color w:val="auto"/>
                <w:w w:val="99"/>
                <w:kern w:val="21"/>
                <w:sz w:val="21"/>
                <w:szCs w:val="21"/>
                <w:highlight w:val="none"/>
              </w:rPr>
              <w:sym w:font="Wingdings" w:char="00A8"/>
            </w:r>
          </w:p>
        </w:tc>
      </w:tr>
      <w:tr w14:paraId="20F40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2B714985">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14:paraId="341E4A16">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14:paraId="090CEE82">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5026B3C3">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包气带防污性能</w:t>
            </w:r>
          </w:p>
        </w:tc>
        <w:tc>
          <w:tcPr>
            <w:tcW w:w="1315" w:type="dxa"/>
            <w:tcBorders>
              <w:top w:val="single" w:color="auto" w:sz="4" w:space="0"/>
              <w:left w:val="single" w:color="auto" w:sz="4" w:space="0"/>
              <w:bottom w:val="single" w:color="auto" w:sz="4" w:space="0"/>
              <w:right w:val="single" w:color="auto" w:sz="4" w:space="0"/>
            </w:tcBorders>
            <w:vAlign w:val="center"/>
          </w:tcPr>
          <w:p w14:paraId="77CB2511">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D1</w:t>
            </w:r>
            <w:r>
              <w:rPr>
                <w:rFonts w:ascii="Times New Roman" w:hAnsi="Times New Roman" w:cs="Times New Roman" w:eastAsiaTheme="minorEastAsia"/>
                <w:color w:val="auto"/>
                <w:w w:val="99"/>
                <w:kern w:val="21"/>
                <w:sz w:val="21"/>
                <w:szCs w:val="21"/>
                <w:highlight w:val="none"/>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4759E63A">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5EE20C05">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D3</w:t>
            </w:r>
            <w:r>
              <w:rPr>
                <w:rFonts w:ascii="Times New Roman" w:hAnsi="Times New Roman" w:cs="Times New Roman" w:eastAsiaTheme="minorEastAsia"/>
                <w:color w:val="auto"/>
                <w:w w:val="99"/>
                <w:kern w:val="21"/>
                <w:sz w:val="21"/>
                <w:szCs w:val="21"/>
                <w:highlight w:val="none"/>
              </w:rPr>
              <w:sym w:font="Wingdings" w:char="00A8"/>
            </w:r>
          </w:p>
        </w:tc>
      </w:tr>
      <w:tr w14:paraId="60D7A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restart"/>
            <w:tcBorders>
              <w:top w:val="single" w:color="auto" w:sz="4" w:space="0"/>
              <w:left w:val="single" w:color="auto" w:sz="4" w:space="0"/>
              <w:right w:val="single" w:color="auto" w:sz="4" w:space="0"/>
            </w:tcBorders>
            <w:vAlign w:val="center"/>
          </w:tcPr>
          <w:p w14:paraId="4D45FB9F">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物质及工艺系数危险性</w:t>
            </w:r>
          </w:p>
        </w:tc>
        <w:tc>
          <w:tcPr>
            <w:tcW w:w="1076" w:type="dxa"/>
            <w:tcBorders>
              <w:top w:val="single" w:color="auto" w:sz="4" w:space="0"/>
              <w:left w:val="single" w:color="auto" w:sz="4" w:space="0"/>
              <w:bottom w:val="single" w:color="auto" w:sz="4" w:space="0"/>
              <w:right w:val="single" w:color="auto" w:sz="4" w:space="0"/>
            </w:tcBorders>
            <w:vAlign w:val="center"/>
          </w:tcPr>
          <w:p w14:paraId="10D2DD47">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047FB075">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Q＜1</w:t>
            </w:r>
            <w:r>
              <w:rPr>
                <w:rFonts w:ascii="Times New Roman" w:hAnsi="Times New Roman" w:cs="Times New Roman" w:eastAsiaTheme="minorEastAsia"/>
                <w:color w:val="auto"/>
                <w:w w:val="99"/>
                <w:sz w:val="18"/>
                <w:szCs w:val="18"/>
                <w:highlight w:val="none"/>
              </w:rPr>
              <w:sym w:font="Wingdings" w:char="00FE"/>
            </w:r>
          </w:p>
        </w:tc>
        <w:tc>
          <w:tcPr>
            <w:tcW w:w="1315" w:type="dxa"/>
            <w:tcBorders>
              <w:top w:val="single" w:color="auto" w:sz="4" w:space="0"/>
              <w:left w:val="single" w:color="auto" w:sz="4" w:space="0"/>
              <w:bottom w:val="single" w:color="auto" w:sz="4" w:space="0"/>
              <w:right w:val="single" w:color="auto" w:sz="4" w:space="0"/>
            </w:tcBorders>
            <w:vAlign w:val="center"/>
          </w:tcPr>
          <w:p w14:paraId="31A12CCE">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1≤Q＜10</w:t>
            </w:r>
            <w:r>
              <w:rPr>
                <w:rFonts w:ascii="Times New Roman" w:hAnsi="Times New Roman" w:cs="Times New Roman" w:eastAsiaTheme="minorEastAsia"/>
                <w:color w:val="auto"/>
                <w:w w:val="99"/>
                <w:kern w:val="21"/>
                <w:sz w:val="21"/>
                <w:szCs w:val="21"/>
                <w:highlight w:val="none"/>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0F40AC70">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10≤Q＜100</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3F23F0BF">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Q＞100</w:t>
            </w:r>
            <w:r>
              <w:rPr>
                <w:rFonts w:ascii="Times New Roman" w:hAnsi="Times New Roman" w:cs="Times New Roman" w:eastAsiaTheme="minorEastAsia"/>
                <w:color w:val="auto"/>
                <w:w w:val="99"/>
                <w:kern w:val="21"/>
                <w:sz w:val="21"/>
                <w:szCs w:val="21"/>
                <w:highlight w:val="none"/>
              </w:rPr>
              <w:sym w:font="Wingdings" w:char="00A8"/>
            </w:r>
          </w:p>
        </w:tc>
      </w:tr>
      <w:tr w14:paraId="6DBA6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continue"/>
            <w:tcBorders>
              <w:left w:val="single" w:color="auto" w:sz="4" w:space="0"/>
              <w:right w:val="single" w:color="auto" w:sz="4" w:space="0"/>
            </w:tcBorders>
            <w:vAlign w:val="center"/>
          </w:tcPr>
          <w:p w14:paraId="4B6474AD">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14:paraId="67DCE058">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1F978575">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M1</w:t>
            </w:r>
            <w:r>
              <w:rPr>
                <w:rFonts w:ascii="Times New Roman" w:hAnsi="Times New Roman" w:cs="Times New Roman" w:eastAsiaTheme="minorEastAsia"/>
                <w:color w:val="auto"/>
                <w:w w:val="99"/>
                <w:kern w:val="21"/>
                <w:sz w:val="21"/>
                <w:szCs w:val="21"/>
                <w:highlight w:val="none"/>
              </w:rPr>
              <w:sym w:font="Wingdings" w:char="00A8"/>
            </w:r>
          </w:p>
        </w:tc>
        <w:tc>
          <w:tcPr>
            <w:tcW w:w="1315" w:type="dxa"/>
            <w:tcBorders>
              <w:top w:val="single" w:color="auto" w:sz="4" w:space="0"/>
              <w:left w:val="single" w:color="auto" w:sz="4" w:space="0"/>
              <w:bottom w:val="single" w:color="auto" w:sz="4" w:space="0"/>
              <w:right w:val="single" w:color="auto" w:sz="4" w:space="0"/>
            </w:tcBorders>
            <w:vAlign w:val="center"/>
          </w:tcPr>
          <w:p w14:paraId="12E7AC27">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M2</w:t>
            </w:r>
            <w:r>
              <w:rPr>
                <w:rFonts w:ascii="Times New Roman" w:hAnsi="Times New Roman" w:cs="Times New Roman" w:eastAsiaTheme="minorEastAsia"/>
                <w:color w:val="auto"/>
                <w:w w:val="99"/>
                <w:kern w:val="21"/>
                <w:sz w:val="21"/>
                <w:szCs w:val="21"/>
                <w:highlight w:val="none"/>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5CC4150E">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M3</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69689F76">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M4</w:t>
            </w:r>
            <w:r>
              <w:rPr>
                <w:rFonts w:ascii="Times New Roman" w:hAnsi="Times New Roman" w:cs="Times New Roman" w:eastAsiaTheme="minorEastAsia"/>
                <w:color w:val="auto"/>
                <w:w w:val="99"/>
                <w:kern w:val="21"/>
                <w:sz w:val="21"/>
                <w:szCs w:val="21"/>
                <w:highlight w:val="none"/>
              </w:rPr>
              <w:sym w:font="Wingdings" w:char="00A8"/>
            </w:r>
          </w:p>
        </w:tc>
      </w:tr>
      <w:tr w14:paraId="74968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continue"/>
            <w:tcBorders>
              <w:left w:val="single" w:color="auto" w:sz="4" w:space="0"/>
              <w:bottom w:val="single" w:color="auto" w:sz="4" w:space="0"/>
              <w:right w:val="single" w:color="auto" w:sz="4" w:space="0"/>
            </w:tcBorders>
            <w:vAlign w:val="center"/>
          </w:tcPr>
          <w:p w14:paraId="23555E1F">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14:paraId="1D088688">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6B1DDCE1">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P1</w:t>
            </w:r>
            <w:r>
              <w:rPr>
                <w:rFonts w:ascii="Times New Roman" w:hAnsi="Times New Roman" w:cs="Times New Roman" w:eastAsiaTheme="minorEastAsia"/>
                <w:color w:val="auto"/>
                <w:w w:val="99"/>
                <w:kern w:val="21"/>
                <w:sz w:val="21"/>
                <w:szCs w:val="21"/>
                <w:highlight w:val="none"/>
              </w:rPr>
              <w:sym w:font="Wingdings" w:char="00A8"/>
            </w:r>
          </w:p>
        </w:tc>
        <w:tc>
          <w:tcPr>
            <w:tcW w:w="1315" w:type="dxa"/>
            <w:tcBorders>
              <w:top w:val="single" w:color="auto" w:sz="4" w:space="0"/>
              <w:left w:val="single" w:color="auto" w:sz="4" w:space="0"/>
              <w:bottom w:val="single" w:color="auto" w:sz="4" w:space="0"/>
              <w:right w:val="single" w:color="auto" w:sz="4" w:space="0"/>
            </w:tcBorders>
            <w:vAlign w:val="center"/>
          </w:tcPr>
          <w:p w14:paraId="73AF9CE5">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P2</w:t>
            </w:r>
            <w:r>
              <w:rPr>
                <w:rFonts w:ascii="Times New Roman" w:hAnsi="Times New Roman" w:cs="Times New Roman" w:eastAsiaTheme="minorEastAsia"/>
                <w:color w:val="auto"/>
                <w:w w:val="99"/>
                <w:kern w:val="21"/>
                <w:sz w:val="21"/>
                <w:szCs w:val="21"/>
                <w:highlight w:val="none"/>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3322F275">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P3</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5EBC3051">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P4</w:t>
            </w:r>
            <w:r>
              <w:rPr>
                <w:rFonts w:ascii="Times New Roman" w:hAnsi="Times New Roman" w:cs="Times New Roman" w:eastAsiaTheme="minorEastAsia"/>
                <w:color w:val="auto"/>
                <w:w w:val="99"/>
                <w:kern w:val="21"/>
                <w:sz w:val="21"/>
                <w:szCs w:val="21"/>
                <w:highlight w:val="none"/>
              </w:rPr>
              <w:sym w:font="Wingdings" w:char="00A8"/>
            </w:r>
          </w:p>
        </w:tc>
      </w:tr>
      <w:tr w14:paraId="499A0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14:paraId="4ED2C2DC">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环境风险潜势</w:t>
            </w:r>
          </w:p>
        </w:tc>
        <w:tc>
          <w:tcPr>
            <w:tcW w:w="1507" w:type="dxa"/>
            <w:gridSpan w:val="2"/>
            <w:tcBorders>
              <w:top w:val="single" w:color="auto" w:sz="4" w:space="0"/>
              <w:left w:val="single" w:color="auto" w:sz="4" w:space="0"/>
              <w:bottom w:val="single" w:color="auto" w:sz="4" w:space="0"/>
              <w:right w:val="single" w:color="auto" w:sz="4" w:space="0"/>
            </w:tcBorders>
            <w:vAlign w:val="center"/>
          </w:tcPr>
          <w:p w14:paraId="068A4D90">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sym w:font="Wingdings" w:char="00A8"/>
            </w:r>
          </w:p>
        </w:tc>
        <w:tc>
          <w:tcPr>
            <w:tcW w:w="1489" w:type="dxa"/>
            <w:gridSpan w:val="2"/>
            <w:tcBorders>
              <w:top w:val="single" w:color="auto" w:sz="4" w:space="0"/>
              <w:left w:val="single" w:color="auto" w:sz="4" w:space="0"/>
              <w:bottom w:val="single" w:color="auto" w:sz="4" w:space="0"/>
              <w:right w:val="single" w:color="auto" w:sz="4" w:space="0"/>
            </w:tcBorders>
            <w:vAlign w:val="center"/>
          </w:tcPr>
          <w:p w14:paraId="02CE4669">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sym w:font="Wingdings" w:char="00A8"/>
            </w:r>
          </w:p>
        </w:tc>
        <w:tc>
          <w:tcPr>
            <w:tcW w:w="1315" w:type="dxa"/>
            <w:tcBorders>
              <w:top w:val="single" w:color="auto" w:sz="4" w:space="0"/>
              <w:left w:val="single" w:color="auto" w:sz="4" w:space="0"/>
              <w:bottom w:val="single" w:color="auto" w:sz="4" w:space="0"/>
              <w:right w:val="single" w:color="auto" w:sz="4" w:space="0"/>
            </w:tcBorders>
            <w:vAlign w:val="center"/>
          </w:tcPr>
          <w:p w14:paraId="3E6FED5B">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color w:val="auto"/>
                <w:w w:val="99"/>
                <w:kern w:val="21"/>
                <w:sz w:val="21"/>
                <w:szCs w:val="21"/>
                <w:highlight w:val="none"/>
              </w:rPr>
              <w:t>Ⅲ</w:t>
            </w:r>
            <w:r>
              <w:rPr>
                <w:rFonts w:ascii="Times New Roman" w:hAnsi="Times New Roman" w:cs="Times New Roman" w:eastAsiaTheme="minorEastAsia"/>
                <w:color w:val="auto"/>
                <w:w w:val="99"/>
                <w:kern w:val="21"/>
                <w:sz w:val="21"/>
                <w:szCs w:val="21"/>
                <w:highlight w:val="none"/>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66F19347">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color w:val="auto"/>
                <w:w w:val="99"/>
                <w:kern w:val="21"/>
                <w:sz w:val="21"/>
                <w:szCs w:val="21"/>
                <w:highlight w:val="none"/>
              </w:rPr>
              <w:t>Ⅱ</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5CABE5C1">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color w:val="auto"/>
                <w:w w:val="99"/>
                <w:kern w:val="21"/>
                <w:sz w:val="21"/>
                <w:szCs w:val="21"/>
                <w:highlight w:val="none"/>
              </w:rPr>
              <w:t>Ⅰ</w:t>
            </w:r>
            <w:r>
              <w:rPr>
                <w:rFonts w:ascii="Times New Roman" w:hAnsi="Times New Roman" w:cs="Times New Roman" w:eastAsiaTheme="minorEastAsia"/>
                <w:color w:val="auto"/>
                <w:w w:val="99"/>
                <w:kern w:val="21"/>
                <w:sz w:val="21"/>
                <w:szCs w:val="21"/>
                <w:highlight w:val="none"/>
              </w:rPr>
              <w:sym w:font="Wingdings" w:char="00FE"/>
            </w:r>
          </w:p>
        </w:tc>
      </w:tr>
      <w:tr w14:paraId="28830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14:paraId="3594DE6E">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w:t>
            </w:r>
          </w:p>
        </w:tc>
        <w:tc>
          <w:tcPr>
            <w:tcW w:w="2996" w:type="dxa"/>
            <w:gridSpan w:val="4"/>
            <w:tcBorders>
              <w:top w:val="single" w:color="auto" w:sz="4" w:space="0"/>
              <w:left w:val="single" w:color="auto" w:sz="4" w:space="0"/>
              <w:bottom w:val="single" w:color="auto" w:sz="4" w:space="0"/>
              <w:right w:val="single" w:color="auto" w:sz="4" w:space="0"/>
            </w:tcBorders>
            <w:vAlign w:val="center"/>
          </w:tcPr>
          <w:p w14:paraId="2B25F5CF">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A8"/>
            </w:r>
          </w:p>
        </w:tc>
        <w:tc>
          <w:tcPr>
            <w:tcW w:w="1315" w:type="dxa"/>
            <w:tcBorders>
              <w:top w:val="single" w:color="auto" w:sz="4" w:space="0"/>
              <w:left w:val="single" w:color="auto" w:sz="4" w:space="0"/>
              <w:bottom w:val="single" w:color="auto" w:sz="4" w:space="0"/>
              <w:right w:val="single" w:color="auto" w:sz="4" w:space="0"/>
            </w:tcBorders>
            <w:vAlign w:val="center"/>
          </w:tcPr>
          <w:p w14:paraId="6A53C37D">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二级</w:t>
            </w:r>
            <w:r>
              <w:rPr>
                <w:rFonts w:ascii="Times New Roman" w:hAnsi="Times New Roman" w:cs="Times New Roman" w:eastAsiaTheme="minorEastAsia"/>
                <w:color w:val="auto"/>
                <w:w w:val="99"/>
                <w:kern w:val="21"/>
                <w:sz w:val="21"/>
                <w:szCs w:val="21"/>
                <w:highlight w:val="none"/>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2A7F8294">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三级</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78C13E61">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简单分析</w:t>
            </w:r>
            <w:r>
              <w:rPr>
                <w:rFonts w:ascii="Times New Roman" w:hAnsi="Times New Roman" w:cs="Times New Roman" w:eastAsiaTheme="minorEastAsia"/>
                <w:color w:val="auto"/>
                <w:w w:val="99"/>
                <w:kern w:val="21"/>
                <w:sz w:val="21"/>
                <w:szCs w:val="21"/>
                <w:highlight w:val="none"/>
              </w:rPr>
              <w:sym w:font="Wingdings" w:char="00FE"/>
            </w:r>
          </w:p>
        </w:tc>
      </w:tr>
      <w:tr w14:paraId="20940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14:paraId="46D1B559">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风险识别</w:t>
            </w:r>
          </w:p>
        </w:tc>
        <w:tc>
          <w:tcPr>
            <w:tcW w:w="1212" w:type="dxa"/>
            <w:tcBorders>
              <w:top w:val="single" w:color="auto" w:sz="4" w:space="0"/>
              <w:left w:val="single" w:color="auto" w:sz="4" w:space="0"/>
              <w:bottom w:val="single" w:color="auto" w:sz="4" w:space="0"/>
              <w:right w:val="single" w:color="auto" w:sz="4" w:space="0"/>
            </w:tcBorders>
            <w:vAlign w:val="center"/>
          </w:tcPr>
          <w:p w14:paraId="762702C7">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物质</w:t>
            </w:r>
          </w:p>
          <w:p w14:paraId="51A27844">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危险性</w:t>
            </w:r>
          </w:p>
        </w:tc>
        <w:tc>
          <w:tcPr>
            <w:tcW w:w="4311" w:type="dxa"/>
            <w:gridSpan w:val="5"/>
            <w:tcBorders>
              <w:top w:val="single" w:color="auto" w:sz="4" w:space="0"/>
              <w:left w:val="single" w:color="auto" w:sz="4" w:space="0"/>
              <w:bottom w:val="single" w:color="auto" w:sz="4" w:space="0"/>
              <w:right w:val="single" w:color="auto" w:sz="4" w:space="0"/>
            </w:tcBorders>
            <w:vAlign w:val="center"/>
          </w:tcPr>
          <w:p w14:paraId="60EC98CD">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有毒有害</w:t>
            </w:r>
            <w:r>
              <w:rPr>
                <w:rFonts w:ascii="Times New Roman" w:hAnsi="Times New Roman" w:cs="Times New Roman" w:eastAsiaTheme="minorEastAsia"/>
                <w:color w:val="auto"/>
                <w:w w:val="99"/>
                <w:kern w:val="21"/>
                <w:sz w:val="21"/>
                <w:szCs w:val="21"/>
                <w:highlight w:val="none"/>
              </w:rPr>
              <w:sym w:font="Wingdings" w:char="00FE"/>
            </w:r>
          </w:p>
        </w:tc>
        <w:tc>
          <w:tcPr>
            <w:tcW w:w="2980" w:type="dxa"/>
            <w:gridSpan w:val="3"/>
            <w:tcBorders>
              <w:top w:val="single" w:color="auto" w:sz="4" w:space="0"/>
              <w:left w:val="single" w:color="auto" w:sz="4" w:space="0"/>
              <w:bottom w:val="single" w:color="auto" w:sz="4" w:space="0"/>
              <w:right w:val="single" w:color="auto" w:sz="4" w:space="0"/>
            </w:tcBorders>
            <w:vAlign w:val="center"/>
          </w:tcPr>
          <w:p w14:paraId="6FAED0FA">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易燃易爆</w:t>
            </w:r>
            <w:r>
              <w:rPr>
                <w:rFonts w:ascii="Times New Roman" w:hAnsi="Times New Roman" w:cs="Times New Roman" w:eastAsiaTheme="minorEastAsia"/>
                <w:color w:val="auto"/>
                <w:w w:val="99"/>
                <w:kern w:val="21"/>
                <w:sz w:val="21"/>
                <w:szCs w:val="21"/>
                <w:highlight w:val="none"/>
              </w:rPr>
              <w:sym w:font="Wingdings" w:char="00FE"/>
            </w:r>
          </w:p>
        </w:tc>
      </w:tr>
      <w:tr w14:paraId="4C8ED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69994607">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top w:val="single" w:color="auto" w:sz="4" w:space="0"/>
              <w:left w:val="single" w:color="auto" w:sz="4" w:space="0"/>
              <w:bottom w:val="single" w:color="auto" w:sz="4" w:space="0"/>
              <w:right w:val="single" w:color="auto" w:sz="4" w:space="0"/>
            </w:tcBorders>
            <w:vAlign w:val="center"/>
          </w:tcPr>
          <w:p w14:paraId="38207115">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w:t>
            </w:r>
          </w:p>
          <w:p w14:paraId="4F9EF3BE">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风险类型</w:t>
            </w:r>
          </w:p>
        </w:tc>
        <w:tc>
          <w:tcPr>
            <w:tcW w:w="4311" w:type="dxa"/>
            <w:gridSpan w:val="5"/>
            <w:tcBorders>
              <w:top w:val="single" w:color="auto" w:sz="4" w:space="0"/>
              <w:left w:val="single" w:color="auto" w:sz="4" w:space="0"/>
              <w:bottom w:val="single" w:color="auto" w:sz="4" w:space="0"/>
              <w:right w:val="single" w:color="auto" w:sz="4" w:space="0"/>
            </w:tcBorders>
            <w:vAlign w:val="center"/>
          </w:tcPr>
          <w:p w14:paraId="1FF993F2">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泄漏</w:t>
            </w:r>
            <w:r>
              <w:rPr>
                <w:rFonts w:ascii="Times New Roman" w:hAnsi="Times New Roman" w:cs="Times New Roman" w:eastAsiaTheme="minorEastAsia"/>
                <w:color w:val="auto"/>
                <w:w w:val="99"/>
                <w:kern w:val="21"/>
                <w:sz w:val="21"/>
                <w:szCs w:val="21"/>
                <w:highlight w:val="none"/>
              </w:rPr>
              <w:sym w:font="Wingdings" w:char="00FE"/>
            </w:r>
          </w:p>
        </w:tc>
        <w:tc>
          <w:tcPr>
            <w:tcW w:w="2980" w:type="dxa"/>
            <w:gridSpan w:val="3"/>
            <w:tcBorders>
              <w:top w:val="single" w:color="auto" w:sz="4" w:space="0"/>
              <w:left w:val="single" w:color="auto" w:sz="4" w:space="0"/>
              <w:bottom w:val="single" w:color="auto" w:sz="4" w:space="0"/>
              <w:right w:val="single" w:color="auto" w:sz="4" w:space="0"/>
            </w:tcBorders>
            <w:vAlign w:val="center"/>
          </w:tcPr>
          <w:p w14:paraId="44AD6F2C">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火灾、爆炸引发伴生/次生污染物排放</w:t>
            </w:r>
            <w:r>
              <w:rPr>
                <w:rFonts w:ascii="Times New Roman" w:hAnsi="Times New Roman" w:cs="Times New Roman" w:eastAsiaTheme="minorEastAsia"/>
                <w:color w:val="auto"/>
                <w:w w:val="99"/>
                <w:kern w:val="21"/>
                <w:sz w:val="21"/>
                <w:szCs w:val="21"/>
                <w:highlight w:val="none"/>
              </w:rPr>
              <w:sym w:font="Wingdings" w:char="00FE"/>
            </w:r>
          </w:p>
        </w:tc>
      </w:tr>
      <w:tr w14:paraId="4E478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1EDC24E6">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top w:val="single" w:color="auto" w:sz="4" w:space="0"/>
              <w:left w:val="single" w:color="auto" w:sz="4" w:space="0"/>
              <w:bottom w:val="single" w:color="auto" w:sz="4" w:space="0"/>
              <w:right w:val="single" w:color="auto" w:sz="4" w:space="0"/>
            </w:tcBorders>
            <w:vAlign w:val="center"/>
          </w:tcPr>
          <w:p w14:paraId="7E8060F8">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影响途径</w:t>
            </w:r>
          </w:p>
        </w:tc>
        <w:tc>
          <w:tcPr>
            <w:tcW w:w="2141" w:type="dxa"/>
            <w:gridSpan w:val="3"/>
            <w:tcBorders>
              <w:top w:val="single" w:color="auto" w:sz="4" w:space="0"/>
              <w:left w:val="single" w:color="auto" w:sz="4" w:space="0"/>
              <w:bottom w:val="single" w:color="auto" w:sz="4" w:space="0"/>
              <w:right w:val="single" w:color="auto" w:sz="4" w:space="0"/>
            </w:tcBorders>
            <w:vAlign w:val="center"/>
          </w:tcPr>
          <w:p w14:paraId="1E150CFF">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r>
              <w:rPr>
                <w:rFonts w:ascii="Times New Roman" w:hAnsi="Times New Roman" w:cs="Times New Roman" w:eastAsiaTheme="minorEastAsia"/>
                <w:color w:val="auto"/>
                <w:w w:val="99"/>
                <w:kern w:val="21"/>
                <w:sz w:val="21"/>
                <w:szCs w:val="21"/>
                <w:highlight w:val="none"/>
              </w:rPr>
              <w:sym w:font="Wingdings" w:char="00FE"/>
            </w:r>
          </w:p>
        </w:tc>
        <w:tc>
          <w:tcPr>
            <w:tcW w:w="2837" w:type="dxa"/>
            <w:gridSpan w:val="3"/>
            <w:tcBorders>
              <w:top w:val="single" w:color="auto" w:sz="4" w:space="0"/>
              <w:left w:val="single" w:color="auto" w:sz="4" w:space="0"/>
              <w:bottom w:val="single" w:color="auto" w:sz="4" w:space="0"/>
              <w:right w:val="single" w:color="auto" w:sz="4" w:space="0"/>
            </w:tcBorders>
            <w:vAlign w:val="center"/>
          </w:tcPr>
          <w:p w14:paraId="28A052B4">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r>
              <w:rPr>
                <w:rFonts w:ascii="Times New Roman" w:hAnsi="Times New Roman" w:cs="Times New Roman" w:eastAsiaTheme="minorEastAsia"/>
                <w:color w:val="auto"/>
                <w:w w:val="99"/>
                <w:kern w:val="21"/>
                <w:sz w:val="21"/>
                <w:szCs w:val="21"/>
                <w:highlight w:val="none"/>
              </w:rPr>
              <w:sym w:font="Wingdings" w:char="00FE"/>
            </w:r>
          </w:p>
        </w:tc>
        <w:tc>
          <w:tcPr>
            <w:tcW w:w="2313" w:type="dxa"/>
            <w:gridSpan w:val="2"/>
            <w:tcBorders>
              <w:top w:val="single" w:color="auto" w:sz="4" w:space="0"/>
              <w:left w:val="single" w:color="auto" w:sz="4" w:space="0"/>
              <w:bottom w:val="single" w:color="auto" w:sz="4" w:space="0"/>
              <w:right w:val="single" w:color="auto" w:sz="4" w:space="0"/>
            </w:tcBorders>
            <w:vAlign w:val="center"/>
          </w:tcPr>
          <w:p w14:paraId="2991827B">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r>
              <w:rPr>
                <w:rFonts w:ascii="Times New Roman" w:hAnsi="Times New Roman" w:cs="Times New Roman" w:eastAsiaTheme="minorEastAsia"/>
                <w:color w:val="auto"/>
                <w:w w:val="99"/>
                <w:kern w:val="21"/>
                <w:sz w:val="21"/>
                <w:szCs w:val="21"/>
                <w:highlight w:val="none"/>
              </w:rPr>
              <w:sym w:font="Wingdings" w:char="00FE"/>
            </w:r>
          </w:p>
        </w:tc>
      </w:tr>
      <w:tr w14:paraId="160B2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14:paraId="2810E43C">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事故情形分析</w:t>
            </w:r>
          </w:p>
        </w:tc>
        <w:tc>
          <w:tcPr>
            <w:tcW w:w="2141" w:type="dxa"/>
            <w:gridSpan w:val="3"/>
            <w:tcBorders>
              <w:top w:val="single" w:color="auto" w:sz="4" w:space="0"/>
              <w:left w:val="single" w:color="auto" w:sz="4" w:space="0"/>
              <w:bottom w:val="single" w:color="auto" w:sz="4" w:space="0"/>
              <w:right w:val="single" w:color="auto" w:sz="4" w:space="0"/>
            </w:tcBorders>
            <w:vAlign w:val="center"/>
          </w:tcPr>
          <w:p w14:paraId="2B108D5E">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源强设定方法</w:t>
            </w:r>
          </w:p>
        </w:tc>
        <w:tc>
          <w:tcPr>
            <w:tcW w:w="2170" w:type="dxa"/>
            <w:gridSpan w:val="2"/>
            <w:tcBorders>
              <w:top w:val="single" w:color="auto" w:sz="4" w:space="0"/>
              <w:left w:val="single" w:color="auto" w:sz="4" w:space="0"/>
              <w:bottom w:val="single" w:color="auto" w:sz="4" w:space="0"/>
              <w:right w:val="single" w:color="auto" w:sz="4" w:space="0"/>
            </w:tcBorders>
            <w:vAlign w:val="center"/>
          </w:tcPr>
          <w:p w14:paraId="350C1223">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计算法</w:t>
            </w:r>
            <w:r>
              <w:rPr>
                <w:rFonts w:ascii="Times New Roman" w:hAnsi="Times New Roman" w:cs="Times New Roman" w:eastAsiaTheme="minorEastAsia"/>
                <w:color w:val="auto"/>
                <w:w w:val="99"/>
                <w:kern w:val="21"/>
                <w:sz w:val="21"/>
                <w:szCs w:val="21"/>
                <w:highlight w:val="none"/>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2B208B07">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经验估算法</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1A825BDE">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其他估算法</w:t>
            </w:r>
            <w:r>
              <w:rPr>
                <w:rFonts w:ascii="Times New Roman" w:hAnsi="Times New Roman" w:cs="Times New Roman" w:eastAsiaTheme="minorEastAsia"/>
                <w:color w:val="auto"/>
                <w:w w:val="99"/>
                <w:kern w:val="21"/>
                <w:sz w:val="21"/>
                <w:szCs w:val="21"/>
                <w:highlight w:val="none"/>
              </w:rPr>
              <w:sym w:font="Wingdings" w:char="00FE"/>
            </w:r>
          </w:p>
        </w:tc>
      </w:tr>
      <w:tr w14:paraId="14D9A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14:paraId="443EF8B4">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风险预测与评价</w:t>
            </w:r>
          </w:p>
        </w:tc>
        <w:tc>
          <w:tcPr>
            <w:tcW w:w="1212" w:type="dxa"/>
            <w:vMerge w:val="restart"/>
            <w:tcBorders>
              <w:top w:val="single" w:color="auto" w:sz="4" w:space="0"/>
              <w:left w:val="single" w:color="auto" w:sz="4" w:space="0"/>
              <w:right w:val="single" w:color="auto" w:sz="4" w:space="0"/>
            </w:tcBorders>
            <w:vAlign w:val="center"/>
          </w:tcPr>
          <w:p w14:paraId="3ED7FCC3">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p>
        </w:tc>
        <w:tc>
          <w:tcPr>
            <w:tcW w:w="2141" w:type="dxa"/>
            <w:gridSpan w:val="3"/>
            <w:tcBorders>
              <w:top w:val="single" w:color="auto" w:sz="4" w:space="0"/>
              <w:left w:val="single" w:color="auto" w:sz="4" w:space="0"/>
              <w:bottom w:val="single" w:color="auto" w:sz="4" w:space="0"/>
              <w:right w:val="single" w:color="auto" w:sz="4" w:space="0"/>
            </w:tcBorders>
            <w:vAlign w:val="center"/>
          </w:tcPr>
          <w:p w14:paraId="7F08A9D7">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预测模型</w:t>
            </w:r>
          </w:p>
        </w:tc>
        <w:tc>
          <w:tcPr>
            <w:tcW w:w="2170" w:type="dxa"/>
            <w:gridSpan w:val="2"/>
            <w:tcBorders>
              <w:top w:val="single" w:color="auto" w:sz="4" w:space="0"/>
              <w:left w:val="single" w:color="auto" w:sz="4" w:space="0"/>
              <w:bottom w:val="single" w:color="auto" w:sz="4" w:space="0"/>
              <w:right w:val="single" w:color="auto" w:sz="4" w:space="0"/>
            </w:tcBorders>
            <w:vAlign w:val="center"/>
          </w:tcPr>
          <w:p w14:paraId="0A68979E">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SLAB</w:t>
            </w:r>
            <w:r>
              <w:rPr>
                <w:rFonts w:ascii="Times New Roman" w:hAnsi="Times New Roman" w:cs="Times New Roman" w:eastAsiaTheme="minorEastAsia"/>
                <w:color w:val="auto"/>
                <w:w w:val="99"/>
                <w:kern w:val="21"/>
                <w:sz w:val="21"/>
                <w:szCs w:val="21"/>
                <w:highlight w:val="none"/>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698D3B46">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AFTOX</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6A27D314">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w:t>
            </w:r>
            <w:r>
              <w:rPr>
                <w:rFonts w:ascii="Times New Roman" w:hAnsi="Times New Roman" w:cs="Times New Roman" w:eastAsiaTheme="minorEastAsia"/>
                <w:color w:val="auto"/>
                <w:w w:val="99"/>
                <w:kern w:val="21"/>
                <w:sz w:val="21"/>
                <w:szCs w:val="21"/>
                <w:highlight w:val="none"/>
              </w:rPr>
              <w:sym w:font="Wingdings" w:char="00A8"/>
            </w:r>
          </w:p>
        </w:tc>
      </w:tr>
      <w:tr w14:paraId="7DC93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7BF3E55A">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14:paraId="56B2959F">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2141" w:type="dxa"/>
            <w:gridSpan w:val="3"/>
            <w:vMerge w:val="restart"/>
            <w:tcBorders>
              <w:top w:val="single" w:color="auto" w:sz="4" w:space="0"/>
              <w:left w:val="single" w:color="auto" w:sz="4" w:space="0"/>
              <w:right w:val="single" w:color="auto" w:sz="4" w:space="0"/>
            </w:tcBorders>
            <w:vAlign w:val="center"/>
          </w:tcPr>
          <w:p w14:paraId="1C22CC35">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预测结果</w:t>
            </w:r>
          </w:p>
        </w:tc>
        <w:tc>
          <w:tcPr>
            <w:tcW w:w="5150" w:type="dxa"/>
            <w:gridSpan w:val="5"/>
            <w:tcBorders>
              <w:top w:val="single" w:color="auto" w:sz="4" w:space="0"/>
              <w:left w:val="single" w:color="auto" w:sz="4" w:space="0"/>
              <w:bottom w:val="single" w:color="auto" w:sz="4" w:space="0"/>
              <w:right w:val="single" w:color="auto" w:sz="4" w:space="0"/>
            </w:tcBorders>
            <w:vAlign w:val="center"/>
          </w:tcPr>
          <w:p w14:paraId="7E00BFC1">
            <w:pPr>
              <w:widowControl w:val="0"/>
              <w:spacing w:line="320" w:lineRule="exact"/>
              <w:jc w:val="center"/>
              <w:rPr>
                <w:rFonts w:ascii="Times New Roman" w:hAnsi="Times New Roman" w:cs="Times New Roman" w:eastAsiaTheme="minorEastAsia"/>
                <w:color w:val="auto"/>
                <w:w w:val="99"/>
                <w:kern w:val="21"/>
                <w:sz w:val="21"/>
                <w:szCs w:val="21"/>
                <w:highlight w:val="none"/>
                <w:u w:val="single"/>
              </w:rPr>
            </w:pPr>
            <w:r>
              <w:rPr>
                <w:rFonts w:ascii="Times New Roman" w:hAnsi="Times New Roman" w:cs="Times New Roman" w:eastAsiaTheme="minorEastAsia"/>
                <w:color w:val="auto"/>
                <w:w w:val="99"/>
                <w:kern w:val="21"/>
                <w:sz w:val="21"/>
                <w:szCs w:val="21"/>
                <w:highlight w:val="none"/>
              </w:rPr>
              <w:t>大气毒性终点浓度-1 最大影响范围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m</w:t>
            </w:r>
          </w:p>
        </w:tc>
      </w:tr>
      <w:tr w14:paraId="05843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2BA78E32">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14:paraId="5606E490">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2141" w:type="dxa"/>
            <w:gridSpan w:val="3"/>
            <w:vMerge w:val="continue"/>
            <w:tcBorders>
              <w:left w:val="single" w:color="auto" w:sz="4" w:space="0"/>
              <w:bottom w:val="single" w:color="auto" w:sz="4" w:space="0"/>
              <w:right w:val="single" w:color="auto" w:sz="4" w:space="0"/>
            </w:tcBorders>
            <w:vAlign w:val="center"/>
          </w:tcPr>
          <w:p w14:paraId="617B3E54">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5150" w:type="dxa"/>
            <w:gridSpan w:val="5"/>
            <w:tcBorders>
              <w:top w:val="single" w:color="auto" w:sz="4" w:space="0"/>
              <w:left w:val="single" w:color="auto" w:sz="4" w:space="0"/>
              <w:bottom w:val="single" w:color="auto" w:sz="4" w:space="0"/>
              <w:right w:val="single" w:color="auto" w:sz="4" w:space="0"/>
            </w:tcBorders>
            <w:vAlign w:val="center"/>
          </w:tcPr>
          <w:p w14:paraId="50130A6F">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大气毒性终点浓度-2 最大影响范围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m</w:t>
            </w:r>
          </w:p>
        </w:tc>
      </w:tr>
      <w:tr w14:paraId="43BCE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3B350405">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left w:val="single" w:color="auto" w:sz="4" w:space="0"/>
              <w:bottom w:val="single" w:color="auto" w:sz="4" w:space="0"/>
              <w:right w:val="single" w:color="auto" w:sz="4" w:space="0"/>
            </w:tcBorders>
            <w:vAlign w:val="center"/>
          </w:tcPr>
          <w:p w14:paraId="7BE819B7">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p>
        </w:tc>
        <w:tc>
          <w:tcPr>
            <w:tcW w:w="7291" w:type="dxa"/>
            <w:gridSpan w:val="8"/>
            <w:tcBorders>
              <w:left w:val="single" w:color="auto" w:sz="4" w:space="0"/>
              <w:bottom w:val="single" w:color="auto" w:sz="4" w:space="0"/>
              <w:right w:val="single" w:color="auto" w:sz="4" w:space="0"/>
            </w:tcBorders>
            <w:vAlign w:val="center"/>
          </w:tcPr>
          <w:p w14:paraId="122F82E2">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最近敏感目标</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h</w:t>
            </w:r>
          </w:p>
        </w:tc>
      </w:tr>
      <w:tr w14:paraId="378A8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40DA1066">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restart"/>
            <w:tcBorders>
              <w:left w:val="single" w:color="auto" w:sz="4" w:space="0"/>
              <w:right w:val="single" w:color="auto" w:sz="4" w:space="0"/>
            </w:tcBorders>
            <w:vAlign w:val="center"/>
          </w:tcPr>
          <w:p w14:paraId="08B3E928">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p>
        </w:tc>
        <w:tc>
          <w:tcPr>
            <w:tcW w:w="7291" w:type="dxa"/>
            <w:gridSpan w:val="8"/>
            <w:tcBorders>
              <w:left w:val="single" w:color="auto" w:sz="4" w:space="0"/>
              <w:bottom w:val="single" w:color="auto" w:sz="4" w:space="0"/>
              <w:right w:val="single" w:color="auto" w:sz="4" w:space="0"/>
            </w:tcBorders>
            <w:vAlign w:val="center"/>
          </w:tcPr>
          <w:p w14:paraId="79045DAC">
            <w:pPr>
              <w:widowControl w:val="0"/>
              <w:spacing w:line="320" w:lineRule="exact"/>
              <w:jc w:val="center"/>
              <w:rPr>
                <w:rFonts w:ascii="Times New Roman" w:hAnsi="Times New Roman" w:cs="Times New Roman" w:eastAsiaTheme="minorEastAsia"/>
                <w:color w:val="auto"/>
                <w:w w:val="99"/>
                <w:kern w:val="21"/>
                <w:sz w:val="21"/>
                <w:szCs w:val="21"/>
                <w:highlight w:val="none"/>
                <w:u w:val="single"/>
              </w:rPr>
            </w:pPr>
            <w:r>
              <w:rPr>
                <w:rFonts w:ascii="Times New Roman" w:hAnsi="Times New Roman" w:cs="Times New Roman" w:eastAsiaTheme="minorEastAsia"/>
                <w:color w:val="auto"/>
                <w:w w:val="99"/>
                <w:kern w:val="21"/>
                <w:sz w:val="21"/>
                <w:szCs w:val="21"/>
                <w:highlight w:val="none"/>
              </w:rPr>
              <w:t>下游厂区边界到达时间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d</w:t>
            </w:r>
          </w:p>
        </w:tc>
      </w:tr>
      <w:tr w14:paraId="6A7B8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597227C9">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14:paraId="0B6D408F">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7291" w:type="dxa"/>
            <w:gridSpan w:val="8"/>
            <w:tcBorders>
              <w:top w:val="single" w:color="auto" w:sz="4" w:space="0"/>
              <w:left w:val="single" w:color="auto" w:sz="4" w:space="0"/>
              <w:bottom w:val="single" w:color="auto" w:sz="4" w:space="0"/>
              <w:right w:val="single" w:color="auto" w:sz="4" w:space="0"/>
            </w:tcBorders>
            <w:vAlign w:val="center"/>
          </w:tcPr>
          <w:p w14:paraId="79526F0F">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最近环境敏感目标</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d</w:t>
            </w:r>
          </w:p>
        </w:tc>
      </w:tr>
      <w:tr w14:paraId="0BF5C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right w:val="single" w:color="auto" w:sz="4" w:space="0"/>
            </w:tcBorders>
            <w:vAlign w:val="center"/>
          </w:tcPr>
          <w:p w14:paraId="20D2CC8F">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重点风险</w:t>
            </w:r>
          </w:p>
          <w:p w14:paraId="51FE4FA2">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防范措施</w:t>
            </w:r>
          </w:p>
        </w:tc>
        <w:tc>
          <w:tcPr>
            <w:tcW w:w="7291" w:type="dxa"/>
            <w:gridSpan w:val="8"/>
            <w:tcBorders>
              <w:top w:val="single" w:color="auto" w:sz="4" w:space="0"/>
              <w:left w:val="single" w:color="auto" w:sz="4" w:space="0"/>
              <w:right w:val="single" w:color="auto" w:sz="4" w:space="0"/>
            </w:tcBorders>
            <w:vAlign w:val="center"/>
          </w:tcPr>
          <w:p w14:paraId="2441D0D8">
            <w:pPr>
              <w:widowControl w:val="0"/>
              <w:spacing w:line="32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bCs/>
                <w:color w:val="auto"/>
                <w:w w:val="99"/>
                <w:sz w:val="21"/>
                <w:szCs w:val="21"/>
                <w:highlight w:val="none"/>
              </w:rPr>
              <w:t>管道密闭输送、防腐、试压等，运营期制定操作规程、巡线、检测、应急等管理措施</w:t>
            </w:r>
          </w:p>
        </w:tc>
      </w:tr>
      <w:tr w14:paraId="20FE6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right w:val="single" w:color="auto" w:sz="4" w:space="0"/>
            </w:tcBorders>
            <w:vAlign w:val="center"/>
          </w:tcPr>
          <w:p w14:paraId="6E68B800">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评价结论与建议</w:t>
            </w:r>
          </w:p>
        </w:tc>
        <w:tc>
          <w:tcPr>
            <w:tcW w:w="7291" w:type="dxa"/>
            <w:gridSpan w:val="8"/>
            <w:tcBorders>
              <w:top w:val="single" w:color="auto" w:sz="4" w:space="0"/>
              <w:left w:val="single" w:color="auto" w:sz="4" w:space="0"/>
              <w:right w:val="single" w:color="auto" w:sz="4" w:space="0"/>
            </w:tcBorders>
            <w:vAlign w:val="center"/>
          </w:tcPr>
          <w:p w14:paraId="4267BE5A">
            <w:pPr>
              <w:widowControl w:val="0"/>
              <w:spacing w:line="32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本工程的主要环境风险是泄漏和火灾爆炸</w:t>
            </w:r>
            <w:r>
              <w:rPr>
                <w:rFonts w:ascii="Times New Roman" w:hAnsi="Times New Roman" w:cs="Times New Roman" w:eastAsiaTheme="minorEastAsia"/>
                <w:color w:val="auto"/>
                <w:w w:val="99"/>
                <w:kern w:val="21"/>
                <w:sz w:val="21"/>
                <w:szCs w:val="21"/>
                <w:highlight w:val="none"/>
              </w:rPr>
              <w:t>，对区域内的大气环境、地表水环境、地下水环境和土壤植被危害性不大。在工程采取一系列风险防范措施和应急措施后，可以控制和降低工程发生事故情况下对周围环境的影响。</w:t>
            </w:r>
          </w:p>
        </w:tc>
      </w:tr>
      <w:tr w14:paraId="50ADD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71" w:type="dxa"/>
            <w:gridSpan w:val="10"/>
            <w:tcBorders>
              <w:top w:val="single" w:color="auto" w:sz="4" w:space="0"/>
              <w:left w:val="single" w:color="auto" w:sz="4" w:space="0"/>
              <w:bottom w:val="single" w:color="auto" w:sz="4" w:space="0"/>
              <w:right w:val="single" w:color="auto" w:sz="4" w:space="0"/>
            </w:tcBorders>
            <w:vAlign w:val="center"/>
          </w:tcPr>
          <w:p w14:paraId="59E8BD2A">
            <w:pPr>
              <w:widowControl w:val="0"/>
              <w:spacing w:line="320" w:lineRule="exact"/>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w:t>
            </w:r>
            <w:r>
              <w:rPr>
                <w:rFonts w:ascii="Times New Roman" w:hAnsi="Times New Roman" w:cs="Times New Roman" w:eastAsiaTheme="minorEastAsia"/>
                <w:color w:val="auto"/>
                <w:w w:val="99"/>
                <w:kern w:val="21"/>
                <w:sz w:val="21"/>
                <w:szCs w:val="21"/>
                <w:highlight w:val="none"/>
              </w:rPr>
              <w:sym w:font="Wingdings" w:char="00A8"/>
            </w:r>
            <w:r>
              <w:rPr>
                <w:rFonts w:ascii="Times New Roman" w:hAnsi="Times New Roman" w:cs="Times New Roman" w:eastAsiaTheme="minorEastAsia"/>
                <w:color w:val="auto"/>
                <w:w w:val="99"/>
                <w:kern w:val="21"/>
                <w:sz w:val="21"/>
                <w:szCs w:val="21"/>
                <w:highlight w:val="none"/>
              </w:rPr>
              <w:t>”为勾选项， “</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”为内容填写项</w:t>
            </w:r>
          </w:p>
        </w:tc>
      </w:tr>
    </w:tbl>
    <w:p w14:paraId="085B5EAA">
      <w:pPr>
        <w:widowControl w:val="0"/>
        <w:rPr>
          <w:rFonts w:ascii="Times New Roman" w:hAnsi="Times New Roman" w:cs="Times New Roman" w:eastAsiaTheme="minorEastAsia"/>
          <w:color w:val="auto"/>
          <w:w w:val="99"/>
          <w:kern w:val="21"/>
          <w:highlight w:val="none"/>
        </w:rPr>
      </w:pPr>
    </w:p>
    <w:p w14:paraId="3D0ED129">
      <w:pPr>
        <w:rPr>
          <w:rFonts w:ascii="Times New Roman" w:hAnsi="Times New Roman" w:cs="Times New Roman"/>
          <w:color w:val="auto"/>
          <w:w w:val="99"/>
          <w:highlight w:val="none"/>
        </w:rPr>
      </w:pPr>
    </w:p>
    <w:p w14:paraId="7C7AF5D8">
      <w:pPr>
        <w:pStyle w:val="104"/>
        <w:rPr>
          <w:rFonts w:hint="default" w:ascii="Times New Roman" w:hAnsi="Times New Roman"/>
          <w:color w:val="auto"/>
          <w:w w:val="99"/>
          <w:highlight w:val="none"/>
        </w:rPr>
      </w:pPr>
    </w:p>
    <w:p w14:paraId="14366B83">
      <w:pPr>
        <w:pStyle w:val="104"/>
        <w:rPr>
          <w:rFonts w:hint="default" w:ascii="Times New Roman" w:hAnsi="Times New Roman"/>
          <w:color w:val="auto"/>
          <w:w w:val="99"/>
          <w:highlight w:val="none"/>
        </w:rPr>
      </w:pPr>
    </w:p>
    <w:p w14:paraId="06C746CD">
      <w:pPr>
        <w:pStyle w:val="104"/>
        <w:rPr>
          <w:rFonts w:hint="default" w:ascii="Times New Roman" w:hAnsi="Times New Roman"/>
          <w:color w:val="auto"/>
          <w:w w:val="99"/>
          <w:highlight w:val="none"/>
        </w:rPr>
      </w:pPr>
    </w:p>
    <w:p w14:paraId="25F3E185">
      <w:pPr>
        <w:pStyle w:val="104"/>
        <w:rPr>
          <w:rFonts w:hint="default" w:ascii="Times New Roman" w:hAnsi="Times New Roman"/>
          <w:color w:val="auto"/>
          <w:w w:val="99"/>
          <w:highlight w:val="none"/>
        </w:rPr>
      </w:pPr>
    </w:p>
    <w:p w14:paraId="181F63E4">
      <w:pPr>
        <w:pStyle w:val="104"/>
        <w:rPr>
          <w:rFonts w:hint="default" w:ascii="Times New Roman" w:hAnsi="Times New Roman"/>
          <w:color w:val="auto"/>
          <w:w w:val="99"/>
          <w:highlight w:val="none"/>
        </w:rPr>
      </w:pPr>
    </w:p>
    <w:p w14:paraId="08E49BD4">
      <w:pPr>
        <w:rPr>
          <w:rFonts w:hint="default"/>
          <w:color w:val="auto"/>
          <w:highlight w:val="none"/>
        </w:rPr>
      </w:pPr>
    </w:p>
    <w:p w14:paraId="6A9AF9D3">
      <w:pPr>
        <w:widowControl w:val="0"/>
        <w:spacing w:line="440" w:lineRule="exact"/>
        <w:jc w:val="both"/>
        <w:outlineLvl w:val="1"/>
        <w:rPr>
          <w:rFonts w:hint="eastAsia" w:ascii="Times New Roman" w:hAnsi="Times New Roman" w:eastAsia="宋体" w:cs="Times New Roman"/>
          <w:color w:val="auto"/>
          <w:w w:val="99"/>
          <w:kern w:val="0"/>
          <w:sz w:val="24"/>
          <w:szCs w:val="24"/>
          <w:highlight w:val="none"/>
          <w:lang w:val="en-US" w:eastAsia="zh-CN" w:bidi="zh-CN"/>
        </w:rPr>
      </w:pPr>
      <w:bookmarkStart w:id="1371" w:name="_Toc173163575"/>
      <w:bookmarkStart w:id="1372" w:name="_Toc19222"/>
      <w:r>
        <w:rPr>
          <w:rFonts w:hint="eastAsia" w:ascii="Times New Roman" w:hAnsi="Times New Roman" w:eastAsia="宋体" w:cs="Times New Roman"/>
          <w:color w:val="auto"/>
          <w:w w:val="99"/>
          <w:kern w:val="0"/>
          <w:sz w:val="24"/>
          <w:szCs w:val="24"/>
          <w:highlight w:val="none"/>
          <w:lang w:val="en-US" w:eastAsia="zh-CN" w:bidi="zh-CN"/>
        </w:rPr>
        <w:t>附表3：建设项目土壤环境影响评价自查表</w:t>
      </w:r>
      <w:bookmarkEnd w:id="1371"/>
      <w:bookmarkEnd w:id="1372"/>
    </w:p>
    <w:tbl>
      <w:tblPr>
        <w:tblStyle w:val="8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663"/>
        <w:gridCol w:w="1000"/>
        <w:gridCol w:w="334"/>
        <w:gridCol w:w="1317"/>
        <w:gridCol w:w="1316"/>
        <w:gridCol w:w="577"/>
        <w:gridCol w:w="1312"/>
        <w:gridCol w:w="1101"/>
      </w:tblGrid>
      <w:tr w14:paraId="38E2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566EFB5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5856" w:type="dxa"/>
            <w:gridSpan w:val="6"/>
            <w:vAlign w:val="center"/>
          </w:tcPr>
          <w:p w14:paraId="7AAD948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完成情况</w:t>
            </w:r>
          </w:p>
        </w:tc>
        <w:tc>
          <w:tcPr>
            <w:tcW w:w="1101" w:type="dxa"/>
            <w:vAlign w:val="center"/>
          </w:tcPr>
          <w:p w14:paraId="70279093">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备注</w:t>
            </w:r>
          </w:p>
        </w:tc>
      </w:tr>
      <w:tr w14:paraId="41BC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14:paraId="5B7347A5">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w:t>
            </w:r>
          </w:p>
          <w:p w14:paraId="709067F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响</w:t>
            </w:r>
          </w:p>
          <w:p w14:paraId="6EF2806B">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识</w:t>
            </w:r>
          </w:p>
          <w:p w14:paraId="68358088">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别</w:t>
            </w:r>
          </w:p>
        </w:tc>
        <w:tc>
          <w:tcPr>
            <w:tcW w:w="1663" w:type="dxa"/>
            <w:vAlign w:val="center"/>
          </w:tcPr>
          <w:p w14:paraId="6790BE6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影响类型</w:t>
            </w:r>
          </w:p>
        </w:tc>
        <w:tc>
          <w:tcPr>
            <w:tcW w:w="5856" w:type="dxa"/>
            <w:gridSpan w:val="6"/>
            <w:vAlign w:val="center"/>
          </w:tcPr>
          <w:p w14:paraId="36E4EC21">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污染影响型</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；生态影响型□；两种兼有□</w:t>
            </w:r>
          </w:p>
        </w:tc>
        <w:tc>
          <w:tcPr>
            <w:tcW w:w="1101" w:type="dxa"/>
            <w:vAlign w:val="center"/>
          </w:tcPr>
          <w:p w14:paraId="074373C0">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6732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6E96DBA0">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2C748C67">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土地利用类型</w:t>
            </w:r>
          </w:p>
        </w:tc>
        <w:tc>
          <w:tcPr>
            <w:tcW w:w="5856" w:type="dxa"/>
            <w:gridSpan w:val="6"/>
            <w:vAlign w:val="center"/>
          </w:tcPr>
          <w:p w14:paraId="0E3B07E3">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建设用地</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；农用地</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；未利用地□</w:t>
            </w:r>
          </w:p>
        </w:tc>
        <w:tc>
          <w:tcPr>
            <w:tcW w:w="1101" w:type="dxa"/>
            <w:vAlign w:val="center"/>
          </w:tcPr>
          <w:p w14:paraId="09AA5959">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土地利用类型图</w:t>
            </w:r>
          </w:p>
        </w:tc>
      </w:tr>
      <w:tr w14:paraId="0848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12FBB668">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5D917EE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占地规模</w:t>
            </w:r>
          </w:p>
        </w:tc>
        <w:tc>
          <w:tcPr>
            <w:tcW w:w="5856" w:type="dxa"/>
            <w:gridSpan w:val="6"/>
            <w:vAlign w:val="center"/>
          </w:tcPr>
          <w:p w14:paraId="31BF77C8">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w:t>
            </w:r>
            <w:r>
              <w:rPr>
                <w:rFonts w:hint="eastAsia" w:ascii="Times New Roman" w:hAnsi="Times New Roman" w:cs="Times New Roman" w:eastAsiaTheme="minorEastAsia"/>
                <w:bCs/>
                <w:color w:val="auto"/>
                <w:w w:val="99"/>
                <w:kern w:val="21"/>
                <w:sz w:val="21"/>
                <w:szCs w:val="21"/>
                <w:highlight w:val="none"/>
                <w:lang w:eastAsia="zh-CN"/>
              </w:rPr>
              <w:t>0.0901</w:t>
            </w:r>
            <w:r>
              <w:rPr>
                <w:rFonts w:ascii="Times New Roman" w:hAnsi="Times New Roman" w:cs="Times New Roman" w:eastAsiaTheme="minorEastAsia"/>
                <w:color w:val="auto"/>
                <w:w w:val="99"/>
                <w:kern w:val="21"/>
                <w:sz w:val="21"/>
                <w:szCs w:val="21"/>
                <w:highlight w:val="none"/>
              </w:rPr>
              <w:t>）hm</w:t>
            </w:r>
            <w:r>
              <w:rPr>
                <w:rFonts w:ascii="Times New Roman" w:hAnsi="Times New Roman" w:cs="Times New Roman" w:eastAsiaTheme="minorEastAsia"/>
                <w:color w:val="auto"/>
                <w:w w:val="99"/>
                <w:kern w:val="21"/>
                <w:sz w:val="21"/>
                <w:szCs w:val="21"/>
                <w:highlight w:val="none"/>
                <w:vertAlign w:val="superscript"/>
              </w:rPr>
              <w:t>2</w:t>
            </w:r>
          </w:p>
        </w:tc>
        <w:tc>
          <w:tcPr>
            <w:tcW w:w="1101" w:type="dxa"/>
            <w:vAlign w:val="center"/>
          </w:tcPr>
          <w:p w14:paraId="19630F25">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48C6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6C5F022E">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13E39B8B">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敏感目标信息</w:t>
            </w:r>
          </w:p>
        </w:tc>
        <w:tc>
          <w:tcPr>
            <w:tcW w:w="5856" w:type="dxa"/>
            <w:gridSpan w:val="6"/>
            <w:vAlign w:val="center"/>
          </w:tcPr>
          <w:p w14:paraId="1DD2EEA7">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敏感目标（）、方位（）、距离（）</w:t>
            </w:r>
          </w:p>
        </w:tc>
        <w:tc>
          <w:tcPr>
            <w:tcW w:w="1101" w:type="dxa"/>
            <w:vAlign w:val="center"/>
          </w:tcPr>
          <w:p w14:paraId="401A3743">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616C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10ABF68A">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301DD79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影响途径</w:t>
            </w:r>
          </w:p>
        </w:tc>
        <w:tc>
          <w:tcPr>
            <w:tcW w:w="5856" w:type="dxa"/>
            <w:gridSpan w:val="6"/>
            <w:vAlign w:val="center"/>
          </w:tcPr>
          <w:p w14:paraId="03E46BF7">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大气沉降□；地面漫流□；垂直入渗</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；地下水位□；其他</w:t>
            </w:r>
            <w:r>
              <w:rPr>
                <w:rFonts w:ascii="Times New Roman" w:hAnsi="Times New Roman" w:cs="Times New Roman" w:eastAsiaTheme="minorEastAsia"/>
                <w:color w:val="auto"/>
                <w:w w:val="99"/>
                <w:kern w:val="21"/>
                <w:sz w:val="21"/>
                <w:szCs w:val="21"/>
                <w:highlight w:val="none"/>
              </w:rPr>
              <w:sym w:font="Wingdings" w:char="00A8"/>
            </w:r>
          </w:p>
        </w:tc>
        <w:tc>
          <w:tcPr>
            <w:tcW w:w="1101" w:type="dxa"/>
            <w:vAlign w:val="center"/>
          </w:tcPr>
          <w:p w14:paraId="6D0E875E">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3FC7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0B42B724">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19788A7D">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特征因子</w:t>
            </w:r>
          </w:p>
        </w:tc>
        <w:tc>
          <w:tcPr>
            <w:tcW w:w="5856" w:type="dxa"/>
            <w:gridSpan w:val="6"/>
            <w:vAlign w:val="center"/>
          </w:tcPr>
          <w:p w14:paraId="4065AFE8">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石油烃</w:t>
            </w:r>
          </w:p>
        </w:tc>
        <w:tc>
          <w:tcPr>
            <w:tcW w:w="1101" w:type="dxa"/>
            <w:vAlign w:val="center"/>
          </w:tcPr>
          <w:p w14:paraId="181A3099">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29D4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55DD1BFA">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1E8737C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土壤环境影响评价项目类别</w:t>
            </w:r>
          </w:p>
        </w:tc>
        <w:tc>
          <w:tcPr>
            <w:tcW w:w="5856" w:type="dxa"/>
            <w:gridSpan w:val="6"/>
            <w:vAlign w:val="center"/>
          </w:tcPr>
          <w:p w14:paraId="4473FE6C">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color w:val="auto"/>
                <w:w w:val="99"/>
                <w:kern w:val="21"/>
                <w:sz w:val="21"/>
                <w:szCs w:val="21"/>
                <w:highlight w:val="none"/>
              </w:rPr>
              <w:t>Ⅰ</w:t>
            </w:r>
            <w:r>
              <w:rPr>
                <w:rFonts w:ascii="Times New Roman" w:hAnsi="Times New Roman" w:cs="Times New Roman" w:eastAsiaTheme="minorEastAsia"/>
                <w:color w:val="auto"/>
                <w:w w:val="99"/>
                <w:kern w:val="21"/>
                <w:sz w:val="21"/>
                <w:szCs w:val="21"/>
                <w:highlight w:val="none"/>
              </w:rPr>
              <w:t>类</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w:t>
            </w:r>
            <w:r>
              <w:rPr>
                <w:rFonts w:ascii="Times New Roman" w:hAnsi="Times New Roman" w:cs="Times New Roman"/>
                <w:color w:val="auto"/>
                <w:w w:val="99"/>
                <w:kern w:val="21"/>
                <w:sz w:val="21"/>
                <w:szCs w:val="21"/>
                <w:highlight w:val="none"/>
              </w:rPr>
              <w:t>Ⅱ</w:t>
            </w:r>
            <w:r>
              <w:rPr>
                <w:rFonts w:ascii="Times New Roman" w:hAnsi="Times New Roman" w:cs="Times New Roman" w:eastAsiaTheme="minorEastAsia"/>
                <w:color w:val="auto"/>
                <w:w w:val="99"/>
                <w:kern w:val="21"/>
                <w:sz w:val="21"/>
                <w:szCs w:val="21"/>
                <w:highlight w:val="none"/>
              </w:rPr>
              <w:t>类□；</w:t>
            </w:r>
            <w:r>
              <w:rPr>
                <w:rFonts w:ascii="Times New Roman" w:hAnsi="Times New Roman" w:cs="Times New Roman"/>
                <w:color w:val="auto"/>
                <w:w w:val="99"/>
                <w:kern w:val="21"/>
                <w:sz w:val="21"/>
                <w:szCs w:val="21"/>
                <w:highlight w:val="none"/>
              </w:rPr>
              <w:t>Ⅲ</w:t>
            </w:r>
            <w:r>
              <w:rPr>
                <w:rFonts w:ascii="Times New Roman" w:hAnsi="Times New Roman" w:cs="Times New Roman" w:eastAsiaTheme="minorEastAsia"/>
                <w:color w:val="auto"/>
                <w:w w:val="99"/>
                <w:kern w:val="21"/>
                <w:sz w:val="21"/>
                <w:szCs w:val="21"/>
                <w:highlight w:val="none"/>
              </w:rPr>
              <w:t>类□；</w:t>
            </w:r>
            <w:r>
              <w:rPr>
                <w:rFonts w:ascii="Times New Roman" w:hAnsi="Times New Roman" w:cs="Times New Roman"/>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t>类□</w:t>
            </w:r>
          </w:p>
        </w:tc>
        <w:tc>
          <w:tcPr>
            <w:tcW w:w="1101" w:type="dxa"/>
            <w:vAlign w:val="center"/>
          </w:tcPr>
          <w:p w14:paraId="30F45E5C">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4156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62510B7C">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5A32885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敏感程度</w:t>
            </w:r>
          </w:p>
        </w:tc>
        <w:tc>
          <w:tcPr>
            <w:tcW w:w="5856" w:type="dxa"/>
            <w:gridSpan w:val="6"/>
            <w:vAlign w:val="center"/>
          </w:tcPr>
          <w:p w14:paraId="5FA5217C">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；较敏感□；不敏感□</w:t>
            </w:r>
          </w:p>
        </w:tc>
        <w:tc>
          <w:tcPr>
            <w:tcW w:w="1101" w:type="dxa"/>
            <w:vAlign w:val="center"/>
          </w:tcPr>
          <w:p w14:paraId="5D026E82">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1D19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275F5348">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评价工作等级</w:t>
            </w:r>
          </w:p>
        </w:tc>
        <w:tc>
          <w:tcPr>
            <w:tcW w:w="5856" w:type="dxa"/>
            <w:gridSpan w:val="6"/>
            <w:vAlign w:val="center"/>
          </w:tcPr>
          <w:p w14:paraId="0F0AA622">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A8"/>
            </w:r>
            <w:r>
              <w:rPr>
                <w:rFonts w:ascii="Times New Roman" w:hAnsi="Times New Roman" w:cs="Times New Roman" w:eastAsiaTheme="minorEastAsia"/>
                <w:color w:val="auto"/>
                <w:w w:val="99"/>
                <w:kern w:val="21"/>
                <w:sz w:val="21"/>
                <w:szCs w:val="21"/>
                <w:highlight w:val="none"/>
              </w:rPr>
              <w:t>；二级</w:t>
            </w:r>
            <w:r>
              <w:rPr>
                <w:rFonts w:hint="eastAsia" w:ascii="Times New Roman" w:hAnsi="Times New Roman" w:cs="Times New Roman" w:eastAsiaTheme="minorEastAsia"/>
                <w:color w:val="auto"/>
                <w:w w:val="99"/>
                <w:kern w:val="21"/>
                <w:sz w:val="21"/>
                <w:szCs w:val="21"/>
                <w:highlight w:val="none"/>
                <w:lang w:eastAsia="zh-CN"/>
              </w:rPr>
              <w:t>☑</w:t>
            </w:r>
            <w:r>
              <w:rPr>
                <w:rFonts w:ascii="Times New Roman" w:hAnsi="Times New Roman" w:cs="Times New Roman" w:eastAsiaTheme="minorEastAsia"/>
                <w:color w:val="auto"/>
                <w:w w:val="99"/>
                <w:kern w:val="21"/>
                <w:sz w:val="21"/>
                <w:szCs w:val="21"/>
                <w:highlight w:val="none"/>
              </w:rPr>
              <w:t>；三级□</w:t>
            </w:r>
          </w:p>
        </w:tc>
        <w:tc>
          <w:tcPr>
            <w:tcW w:w="1101" w:type="dxa"/>
            <w:vAlign w:val="center"/>
          </w:tcPr>
          <w:p w14:paraId="269429F0">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08DF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14:paraId="7D7D46D1">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w:t>
            </w:r>
          </w:p>
          <w:p w14:paraId="4A12B856">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状</w:t>
            </w:r>
          </w:p>
          <w:p w14:paraId="4B36912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w:t>
            </w:r>
          </w:p>
          <w:p w14:paraId="076C9F08">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查内容</w:t>
            </w:r>
          </w:p>
        </w:tc>
        <w:tc>
          <w:tcPr>
            <w:tcW w:w="1663" w:type="dxa"/>
            <w:vAlign w:val="center"/>
          </w:tcPr>
          <w:p w14:paraId="6D1D990C">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资料收集</w:t>
            </w:r>
          </w:p>
        </w:tc>
        <w:tc>
          <w:tcPr>
            <w:tcW w:w="5856" w:type="dxa"/>
            <w:gridSpan w:val="6"/>
            <w:vAlign w:val="center"/>
          </w:tcPr>
          <w:p w14:paraId="23854278">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；b）</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；d）</w:t>
            </w:r>
            <w:r>
              <w:rPr>
                <w:rFonts w:ascii="Times New Roman" w:hAnsi="Times New Roman" w:cs="Times New Roman" w:eastAsiaTheme="minorEastAsia"/>
                <w:color w:val="auto"/>
                <w:w w:val="99"/>
                <w:kern w:val="21"/>
                <w:sz w:val="21"/>
                <w:szCs w:val="21"/>
                <w:highlight w:val="none"/>
              </w:rPr>
              <w:sym w:font="Wingdings" w:char="00FE"/>
            </w:r>
          </w:p>
        </w:tc>
        <w:tc>
          <w:tcPr>
            <w:tcW w:w="1101" w:type="dxa"/>
            <w:vAlign w:val="center"/>
          </w:tcPr>
          <w:p w14:paraId="4A53B8A7">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1693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0CFA9F45">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05BCC322">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理化特性</w:t>
            </w:r>
          </w:p>
        </w:tc>
        <w:tc>
          <w:tcPr>
            <w:tcW w:w="5856" w:type="dxa"/>
            <w:gridSpan w:val="6"/>
            <w:vAlign w:val="center"/>
          </w:tcPr>
          <w:p w14:paraId="35969125">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w:t>
            </w:r>
          </w:p>
        </w:tc>
        <w:tc>
          <w:tcPr>
            <w:tcW w:w="1101" w:type="dxa"/>
            <w:vAlign w:val="center"/>
          </w:tcPr>
          <w:p w14:paraId="6C4B0F35">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见5.8</w:t>
            </w:r>
          </w:p>
        </w:tc>
      </w:tr>
      <w:tr w14:paraId="2DAB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2BB619F7">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Merge w:val="restart"/>
            <w:vAlign w:val="center"/>
          </w:tcPr>
          <w:p w14:paraId="040EDE91">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现状监测点位</w:t>
            </w:r>
          </w:p>
        </w:tc>
        <w:tc>
          <w:tcPr>
            <w:tcW w:w="1334" w:type="dxa"/>
            <w:gridSpan w:val="2"/>
            <w:vAlign w:val="center"/>
          </w:tcPr>
          <w:p w14:paraId="497D1F3E">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317" w:type="dxa"/>
            <w:vAlign w:val="center"/>
          </w:tcPr>
          <w:p w14:paraId="60245AB3">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占地范围内</w:t>
            </w:r>
          </w:p>
        </w:tc>
        <w:tc>
          <w:tcPr>
            <w:tcW w:w="1316" w:type="dxa"/>
            <w:vAlign w:val="center"/>
          </w:tcPr>
          <w:p w14:paraId="6DB86250">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占地范围外</w:t>
            </w:r>
          </w:p>
        </w:tc>
        <w:tc>
          <w:tcPr>
            <w:tcW w:w="1889" w:type="dxa"/>
            <w:gridSpan w:val="2"/>
            <w:vAlign w:val="center"/>
          </w:tcPr>
          <w:p w14:paraId="55A0765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深度</w:t>
            </w:r>
          </w:p>
        </w:tc>
        <w:tc>
          <w:tcPr>
            <w:tcW w:w="1101" w:type="dxa"/>
            <w:vMerge w:val="restart"/>
            <w:vAlign w:val="center"/>
          </w:tcPr>
          <w:p w14:paraId="07E9F627">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点位</w:t>
            </w:r>
          </w:p>
          <w:p w14:paraId="3594EF4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布置图</w:t>
            </w:r>
          </w:p>
        </w:tc>
      </w:tr>
      <w:tr w14:paraId="540B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31FAD63A">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14:paraId="7EF93307">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334" w:type="dxa"/>
            <w:gridSpan w:val="2"/>
            <w:vAlign w:val="center"/>
          </w:tcPr>
          <w:p w14:paraId="39278A15">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表层样点数</w:t>
            </w:r>
          </w:p>
        </w:tc>
        <w:tc>
          <w:tcPr>
            <w:tcW w:w="1317" w:type="dxa"/>
            <w:vAlign w:val="center"/>
          </w:tcPr>
          <w:p w14:paraId="3CE908E4">
            <w:pPr>
              <w:widowControl w:val="0"/>
              <w:spacing w:line="280" w:lineRule="exact"/>
              <w:jc w:val="center"/>
              <w:rPr>
                <w:rFonts w:hint="eastAsia" w:ascii="Times New Roman" w:hAnsi="Times New Roman" w:cs="Times New Roman" w:eastAsiaTheme="minorEastAsia"/>
                <w:color w:val="auto"/>
                <w:w w:val="99"/>
                <w:kern w:val="21"/>
                <w:sz w:val="21"/>
                <w:szCs w:val="21"/>
                <w:highlight w:val="yellow"/>
                <w:lang w:eastAsia="zh-CN"/>
              </w:rPr>
            </w:pPr>
            <w:r>
              <w:rPr>
                <w:rFonts w:hint="eastAsia" w:ascii="Times New Roman" w:hAnsi="Times New Roman" w:cs="Times New Roman" w:eastAsiaTheme="minorEastAsia"/>
                <w:color w:val="auto"/>
                <w:w w:val="99"/>
                <w:kern w:val="21"/>
                <w:sz w:val="21"/>
                <w:szCs w:val="21"/>
                <w:highlight w:val="yellow"/>
                <w:lang w:val="en-US" w:eastAsia="zh-CN"/>
              </w:rPr>
              <w:t>0</w:t>
            </w:r>
          </w:p>
        </w:tc>
        <w:tc>
          <w:tcPr>
            <w:tcW w:w="1316" w:type="dxa"/>
            <w:vAlign w:val="center"/>
          </w:tcPr>
          <w:p w14:paraId="5306F4AF">
            <w:pPr>
              <w:widowControl w:val="0"/>
              <w:spacing w:line="280" w:lineRule="exact"/>
              <w:jc w:val="center"/>
              <w:rPr>
                <w:rFonts w:hint="eastAsia" w:ascii="Times New Roman" w:hAnsi="Times New Roman" w:cs="Times New Roman" w:eastAsiaTheme="minorEastAsia"/>
                <w:color w:val="auto"/>
                <w:w w:val="99"/>
                <w:kern w:val="21"/>
                <w:sz w:val="21"/>
                <w:szCs w:val="21"/>
                <w:highlight w:val="yellow"/>
                <w:lang w:eastAsia="zh-CN"/>
              </w:rPr>
            </w:pPr>
            <w:r>
              <w:rPr>
                <w:rFonts w:hint="eastAsia" w:ascii="Times New Roman" w:hAnsi="Times New Roman" w:cs="Times New Roman" w:eastAsiaTheme="minorEastAsia"/>
                <w:color w:val="auto"/>
                <w:w w:val="99"/>
                <w:kern w:val="21"/>
                <w:sz w:val="21"/>
                <w:szCs w:val="21"/>
                <w:highlight w:val="yellow"/>
                <w:lang w:val="en-US" w:eastAsia="zh-CN"/>
              </w:rPr>
              <w:t>5</w:t>
            </w:r>
          </w:p>
        </w:tc>
        <w:tc>
          <w:tcPr>
            <w:tcW w:w="1889" w:type="dxa"/>
            <w:gridSpan w:val="2"/>
            <w:vAlign w:val="center"/>
          </w:tcPr>
          <w:p w14:paraId="4CE5BFF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0-20cm</w:t>
            </w:r>
          </w:p>
        </w:tc>
        <w:tc>
          <w:tcPr>
            <w:tcW w:w="1101" w:type="dxa"/>
            <w:vMerge w:val="continue"/>
            <w:vAlign w:val="center"/>
          </w:tcPr>
          <w:p w14:paraId="2501E070">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06A4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1" w:type="dxa"/>
            <w:vMerge w:val="continue"/>
            <w:vAlign w:val="center"/>
          </w:tcPr>
          <w:p w14:paraId="6A4E57C9">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14:paraId="5A8A9A4D">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334" w:type="dxa"/>
            <w:gridSpan w:val="2"/>
            <w:vAlign w:val="center"/>
          </w:tcPr>
          <w:p w14:paraId="124E657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柱状样点数</w:t>
            </w:r>
          </w:p>
        </w:tc>
        <w:tc>
          <w:tcPr>
            <w:tcW w:w="1317" w:type="dxa"/>
            <w:vAlign w:val="center"/>
          </w:tcPr>
          <w:p w14:paraId="6497A334">
            <w:pPr>
              <w:widowControl w:val="0"/>
              <w:spacing w:line="280" w:lineRule="exact"/>
              <w:jc w:val="center"/>
              <w:rPr>
                <w:rFonts w:ascii="Times New Roman" w:hAnsi="Times New Roman" w:cs="Times New Roman" w:eastAsiaTheme="minorEastAsia"/>
                <w:color w:val="auto"/>
                <w:w w:val="99"/>
                <w:kern w:val="21"/>
                <w:sz w:val="21"/>
                <w:szCs w:val="21"/>
                <w:highlight w:val="yellow"/>
              </w:rPr>
            </w:pPr>
            <w:r>
              <w:rPr>
                <w:rFonts w:hint="eastAsia" w:ascii="Times New Roman" w:hAnsi="Times New Roman" w:cs="Times New Roman" w:eastAsiaTheme="minorEastAsia"/>
                <w:color w:val="auto"/>
                <w:w w:val="99"/>
                <w:kern w:val="21"/>
                <w:sz w:val="21"/>
                <w:szCs w:val="21"/>
                <w:highlight w:val="yellow"/>
                <w:lang w:val="en-US" w:eastAsia="zh-CN"/>
              </w:rPr>
              <w:t>3</w:t>
            </w:r>
          </w:p>
        </w:tc>
        <w:tc>
          <w:tcPr>
            <w:tcW w:w="1316" w:type="dxa"/>
            <w:vAlign w:val="center"/>
          </w:tcPr>
          <w:p w14:paraId="285CF056">
            <w:pPr>
              <w:widowControl w:val="0"/>
              <w:spacing w:line="280" w:lineRule="exact"/>
              <w:jc w:val="center"/>
              <w:rPr>
                <w:rFonts w:ascii="Times New Roman" w:hAnsi="Times New Roman" w:cs="Times New Roman" w:eastAsiaTheme="minorEastAsia"/>
                <w:color w:val="auto"/>
                <w:w w:val="99"/>
                <w:kern w:val="21"/>
                <w:sz w:val="21"/>
                <w:szCs w:val="21"/>
                <w:highlight w:val="yellow"/>
              </w:rPr>
            </w:pPr>
            <w:r>
              <w:rPr>
                <w:rFonts w:ascii="Times New Roman" w:hAnsi="Times New Roman" w:cs="Times New Roman" w:eastAsiaTheme="minorEastAsia"/>
                <w:color w:val="auto"/>
                <w:w w:val="99"/>
                <w:kern w:val="21"/>
                <w:sz w:val="21"/>
                <w:szCs w:val="21"/>
                <w:highlight w:val="yellow"/>
              </w:rPr>
              <w:t>0</w:t>
            </w:r>
          </w:p>
        </w:tc>
        <w:tc>
          <w:tcPr>
            <w:tcW w:w="1889" w:type="dxa"/>
            <w:gridSpan w:val="2"/>
            <w:vAlign w:val="center"/>
          </w:tcPr>
          <w:p w14:paraId="107CE30B">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0-50cm</w:t>
            </w:r>
          </w:p>
          <w:p w14:paraId="221EE1A2">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50-150cm</w:t>
            </w:r>
          </w:p>
          <w:p w14:paraId="15C2C60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150-300cm</w:t>
            </w:r>
          </w:p>
        </w:tc>
        <w:tc>
          <w:tcPr>
            <w:tcW w:w="1101" w:type="dxa"/>
            <w:vMerge w:val="continue"/>
            <w:vAlign w:val="center"/>
          </w:tcPr>
          <w:p w14:paraId="6C3349D6">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561D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72DDD80E">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43B68A78">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现状监测因子</w:t>
            </w:r>
          </w:p>
        </w:tc>
        <w:tc>
          <w:tcPr>
            <w:tcW w:w="5856" w:type="dxa"/>
            <w:gridSpan w:val="6"/>
            <w:vAlign w:val="center"/>
          </w:tcPr>
          <w:p w14:paraId="4CEB0153">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50项（包括建设用地土壤基本项目45项，其他项目石油烃（C</w:t>
            </w:r>
            <w:r>
              <w:rPr>
                <w:rFonts w:ascii="Times New Roman" w:hAnsi="Times New Roman" w:cs="Times New Roman" w:eastAsiaTheme="minorEastAsia"/>
                <w:color w:val="auto"/>
                <w:w w:val="99"/>
                <w:kern w:val="21"/>
                <w:sz w:val="21"/>
                <w:szCs w:val="21"/>
                <w:highlight w:val="none"/>
                <w:vertAlign w:val="subscript"/>
              </w:rPr>
              <w:t>10</w:t>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40</w:t>
            </w:r>
            <w:r>
              <w:rPr>
                <w:rFonts w:ascii="Times New Roman" w:hAnsi="Times New Roman" w:cs="Times New Roman" w:eastAsiaTheme="minorEastAsia"/>
                <w:color w:val="auto"/>
                <w:w w:val="99"/>
                <w:kern w:val="21"/>
                <w:sz w:val="21"/>
                <w:szCs w:val="21"/>
                <w:highlight w:val="none"/>
              </w:rPr>
              <w:t>）及pH值、石油类、石油烃（C</w:t>
            </w:r>
            <w:r>
              <w:rPr>
                <w:rFonts w:ascii="Times New Roman" w:hAnsi="Times New Roman" w:cs="Times New Roman" w:eastAsiaTheme="minorEastAsia"/>
                <w:color w:val="auto"/>
                <w:w w:val="99"/>
                <w:kern w:val="21"/>
                <w:sz w:val="21"/>
                <w:szCs w:val="21"/>
                <w:highlight w:val="none"/>
                <w:vertAlign w:val="subscript"/>
              </w:rPr>
              <w:t>6</w:t>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9</w:t>
            </w:r>
            <w:r>
              <w:rPr>
                <w:rFonts w:ascii="Times New Roman" w:hAnsi="Times New Roman" w:cs="Times New Roman" w:eastAsiaTheme="minorEastAsia"/>
                <w:color w:val="auto"/>
                <w:w w:val="99"/>
                <w:kern w:val="21"/>
                <w:sz w:val="21"/>
                <w:szCs w:val="21"/>
                <w:highlight w:val="none"/>
              </w:rPr>
              <w:t>）、水溶性盐总量）及农用地土壤监测项目（pH、镉、汞、砷、铅、铬、铜、镍、锌、石油烃（C</w:t>
            </w:r>
            <w:r>
              <w:rPr>
                <w:rFonts w:ascii="Times New Roman" w:hAnsi="Times New Roman" w:cs="Times New Roman" w:eastAsiaTheme="minorEastAsia"/>
                <w:color w:val="auto"/>
                <w:w w:val="99"/>
                <w:kern w:val="21"/>
                <w:sz w:val="21"/>
                <w:szCs w:val="21"/>
                <w:highlight w:val="none"/>
                <w:vertAlign w:val="subscript"/>
              </w:rPr>
              <w:t>10</w:t>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40</w:t>
            </w:r>
            <w:r>
              <w:rPr>
                <w:rFonts w:ascii="Times New Roman" w:hAnsi="Times New Roman" w:cs="Times New Roman" w:eastAsiaTheme="minorEastAsia"/>
                <w:color w:val="auto"/>
                <w:w w:val="99"/>
                <w:kern w:val="21"/>
                <w:sz w:val="21"/>
                <w:szCs w:val="21"/>
                <w:highlight w:val="none"/>
              </w:rPr>
              <w:t>）、石油类、石油烃（C</w:t>
            </w:r>
            <w:r>
              <w:rPr>
                <w:rFonts w:ascii="Times New Roman" w:hAnsi="Times New Roman" w:cs="Times New Roman" w:eastAsiaTheme="minorEastAsia"/>
                <w:color w:val="auto"/>
                <w:w w:val="99"/>
                <w:kern w:val="21"/>
                <w:sz w:val="21"/>
                <w:szCs w:val="21"/>
                <w:highlight w:val="none"/>
                <w:vertAlign w:val="subscript"/>
              </w:rPr>
              <w:t>6</w:t>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9</w:t>
            </w:r>
            <w:r>
              <w:rPr>
                <w:rFonts w:ascii="Times New Roman" w:hAnsi="Times New Roman" w:cs="Times New Roman" w:eastAsiaTheme="minorEastAsia"/>
                <w:color w:val="auto"/>
                <w:w w:val="99"/>
                <w:kern w:val="21"/>
                <w:sz w:val="21"/>
                <w:szCs w:val="21"/>
                <w:highlight w:val="none"/>
              </w:rPr>
              <w:t>）、水溶性盐总量）</w:t>
            </w:r>
          </w:p>
        </w:tc>
        <w:tc>
          <w:tcPr>
            <w:tcW w:w="1101" w:type="dxa"/>
            <w:vAlign w:val="center"/>
          </w:tcPr>
          <w:p w14:paraId="6E9E9DEC">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64CA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14:paraId="3FE9239C">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1663" w:type="dxa"/>
            <w:vAlign w:val="center"/>
          </w:tcPr>
          <w:p w14:paraId="6E07E5E5">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5856" w:type="dxa"/>
            <w:gridSpan w:val="6"/>
            <w:vAlign w:val="center"/>
          </w:tcPr>
          <w:p w14:paraId="400B744F">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50项（包括建设用地土壤基本项目45项，其他项目石油烃（C</w:t>
            </w:r>
            <w:r>
              <w:rPr>
                <w:rFonts w:ascii="Times New Roman" w:hAnsi="Times New Roman" w:cs="Times New Roman" w:eastAsiaTheme="minorEastAsia"/>
                <w:color w:val="auto"/>
                <w:w w:val="99"/>
                <w:kern w:val="21"/>
                <w:sz w:val="21"/>
                <w:szCs w:val="21"/>
                <w:highlight w:val="none"/>
                <w:vertAlign w:val="subscript"/>
              </w:rPr>
              <w:t>10</w:t>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40</w:t>
            </w:r>
            <w:r>
              <w:rPr>
                <w:rFonts w:ascii="Times New Roman" w:hAnsi="Times New Roman" w:cs="Times New Roman" w:eastAsiaTheme="minorEastAsia"/>
                <w:color w:val="auto"/>
                <w:w w:val="99"/>
                <w:kern w:val="21"/>
                <w:sz w:val="21"/>
                <w:szCs w:val="21"/>
                <w:highlight w:val="none"/>
              </w:rPr>
              <w:t>）及pH值、石油类、石油烃（C</w:t>
            </w:r>
            <w:r>
              <w:rPr>
                <w:rFonts w:ascii="Times New Roman" w:hAnsi="Times New Roman" w:cs="Times New Roman" w:eastAsiaTheme="minorEastAsia"/>
                <w:color w:val="auto"/>
                <w:w w:val="99"/>
                <w:kern w:val="21"/>
                <w:sz w:val="21"/>
                <w:szCs w:val="21"/>
                <w:highlight w:val="none"/>
                <w:vertAlign w:val="subscript"/>
              </w:rPr>
              <w:t>6</w:t>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9</w:t>
            </w:r>
            <w:r>
              <w:rPr>
                <w:rFonts w:ascii="Times New Roman" w:hAnsi="Times New Roman" w:cs="Times New Roman" w:eastAsiaTheme="minorEastAsia"/>
                <w:color w:val="auto"/>
                <w:w w:val="99"/>
                <w:kern w:val="21"/>
                <w:sz w:val="21"/>
                <w:szCs w:val="21"/>
                <w:highlight w:val="none"/>
              </w:rPr>
              <w:t>）、水溶性盐总量）及农用地土壤监测项目（pH、镉、汞、砷、铅、铬、铜、镍、锌、石油烃（C</w:t>
            </w:r>
            <w:r>
              <w:rPr>
                <w:rFonts w:ascii="Times New Roman" w:hAnsi="Times New Roman" w:cs="Times New Roman" w:eastAsiaTheme="minorEastAsia"/>
                <w:color w:val="auto"/>
                <w:w w:val="99"/>
                <w:kern w:val="21"/>
                <w:sz w:val="21"/>
                <w:szCs w:val="21"/>
                <w:highlight w:val="none"/>
                <w:vertAlign w:val="subscript"/>
              </w:rPr>
              <w:t>10</w:t>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40</w:t>
            </w:r>
            <w:r>
              <w:rPr>
                <w:rFonts w:ascii="Times New Roman" w:hAnsi="Times New Roman" w:cs="Times New Roman" w:eastAsiaTheme="minorEastAsia"/>
                <w:color w:val="auto"/>
                <w:w w:val="99"/>
                <w:kern w:val="21"/>
                <w:sz w:val="21"/>
                <w:szCs w:val="21"/>
                <w:highlight w:val="none"/>
              </w:rPr>
              <w:t>）、石油类、石油烃（C</w:t>
            </w:r>
            <w:r>
              <w:rPr>
                <w:rFonts w:ascii="Times New Roman" w:hAnsi="Times New Roman" w:cs="Times New Roman" w:eastAsiaTheme="minorEastAsia"/>
                <w:color w:val="auto"/>
                <w:w w:val="99"/>
                <w:kern w:val="21"/>
                <w:sz w:val="21"/>
                <w:szCs w:val="21"/>
                <w:highlight w:val="none"/>
                <w:vertAlign w:val="subscript"/>
              </w:rPr>
              <w:t>6</w:t>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9</w:t>
            </w:r>
            <w:r>
              <w:rPr>
                <w:rFonts w:ascii="Times New Roman" w:hAnsi="Times New Roman" w:cs="Times New Roman" w:eastAsiaTheme="minorEastAsia"/>
                <w:color w:val="auto"/>
                <w:w w:val="99"/>
                <w:kern w:val="21"/>
                <w:sz w:val="21"/>
                <w:szCs w:val="21"/>
                <w:highlight w:val="none"/>
              </w:rPr>
              <w:t>）、水溶性盐总量）</w:t>
            </w:r>
          </w:p>
        </w:tc>
        <w:tc>
          <w:tcPr>
            <w:tcW w:w="1101" w:type="dxa"/>
            <w:vAlign w:val="center"/>
          </w:tcPr>
          <w:p w14:paraId="1279C6C1">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6330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4BC03358">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277E8CFD">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5856" w:type="dxa"/>
            <w:gridSpan w:val="6"/>
            <w:vAlign w:val="center"/>
          </w:tcPr>
          <w:p w14:paraId="3CF38D78">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GB 15618</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；GB 36600</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；表D.1□；表D.2□；其他（）</w:t>
            </w:r>
          </w:p>
        </w:tc>
        <w:tc>
          <w:tcPr>
            <w:tcW w:w="1101" w:type="dxa"/>
            <w:vAlign w:val="center"/>
          </w:tcPr>
          <w:p w14:paraId="6686F9FA">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1D4D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51" w:type="dxa"/>
            <w:vMerge w:val="continue"/>
            <w:vAlign w:val="center"/>
          </w:tcPr>
          <w:p w14:paraId="6240E8E0">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6F32B469">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现状评价结论</w:t>
            </w:r>
          </w:p>
        </w:tc>
        <w:tc>
          <w:tcPr>
            <w:tcW w:w="5856" w:type="dxa"/>
            <w:gridSpan w:val="6"/>
            <w:vAlign w:val="center"/>
          </w:tcPr>
          <w:p w14:paraId="07401496">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本项目永久占地内土壤、现有井场及场站土壤、居民区土壤满足《土壤环境质量 建设用地土壤污染风险管控标准（试行）》（GB36600-2018）中的标准要求，评价范围内农用地土壤满足《土壤环境质量 农用地土壤污染风险管控标准（试行）》（GB15618-2018）中的标准要求。</w:t>
            </w:r>
          </w:p>
        </w:tc>
        <w:tc>
          <w:tcPr>
            <w:tcW w:w="1101" w:type="dxa"/>
            <w:vAlign w:val="center"/>
          </w:tcPr>
          <w:p w14:paraId="40627C75">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45B7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14:paraId="3FCE0949">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w:t>
            </w:r>
          </w:p>
          <w:p w14:paraId="5E4711D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响</w:t>
            </w:r>
          </w:p>
          <w:p w14:paraId="6783E9D3">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w:t>
            </w:r>
          </w:p>
          <w:p w14:paraId="4AAE2E80">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测</w:t>
            </w:r>
          </w:p>
        </w:tc>
        <w:tc>
          <w:tcPr>
            <w:tcW w:w="1663" w:type="dxa"/>
            <w:vAlign w:val="center"/>
          </w:tcPr>
          <w:p w14:paraId="173ABF17">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预测方法</w:t>
            </w:r>
          </w:p>
        </w:tc>
        <w:tc>
          <w:tcPr>
            <w:tcW w:w="5856" w:type="dxa"/>
            <w:gridSpan w:val="6"/>
            <w:vAlign w:val="center"/>
          </w:tcPr>
          <w:p w14:paraId="43C19FFC">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附录E□；附录F□；其他</w:t>
            </w:r>
            <w:r>
              <w:rPr>
                <w:rFonts w:ascii="Segoe UI Symbol" w:hAnsi="Segoe UI Symbol" w:cs="Segoe UI Symbol" w:eastAsiaTheme="minorEastAsia"/>
                <w:color w:val="auto"/>
                <w:w w:val="99"/>
                <w:kern w:val="21"/>
                <w:sz w:val="21"/>
                <w:szCs w:val="21"/>
                <w:highlight w:val="none"/>
              </w:rPr>
              <w:t>☑</w:t>
            </w:r>
          </w:p>
        </w:tc>
        <w:tc>
          <w:tcPr>
            <w:tcW w:w="1101" w:type="dxa"/>
            <w:vAlign w:val="center"/>
          </w:tcPr>
          <w:p w14:paraId="76235D16">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50B7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1A871E91">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4CAC6C5A">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预测分析内容</w:t>
            </w:r>
          </w:p>
        </w:tc>
        <w:tc>
          <w:tcPr>
            <w:tcW w:w="5856" w:type="dxa"/>
            <w:gridSpan w:val="6"/>
            <w:vAlign w:val="center"/>
          </w:tcPr>
          <w:p w14:paraId="0DC5A412">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影响范围（）影响程度（）</w:t>
            </w:r>
          </w:p>
        </w:tc>
        <w:tc>
          <w:tcPr>
            <w:tcW w:w="1101" w:type="dxa"/>
            <w:vAlign w:val="center"/>
          </w:tcPr>
          <w:p w14:paraId="7234052D">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60E0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2C306FCD">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14:paraId="593DCBC3">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预测结论</w:t>
            </w:r>
          </w:p>
        </w:tc>
        <w:tc>
          <w:tcPr>
            <w:tcW w:w="5856" w:type="dxa"/>
            <w:gridSpan w:val="6"/>
            <w:vAlign w:val="center"/>
          </w:tcPr>
          <w:p w14:paraId="32BECBD6">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达标结论：a）</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；b）□；c）□</w:t>
            </w:r>
          </w:p>
          <w:p w14:paraId="5C9E9BF8">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不达标结论：a）□；b）□</w:t>
            </w:r>
          </w:p>
        </w:tc>
        <w:tc>
          <w:tcPr>
            <w:tcW w:w="1101" w:type="dxa"/>
            <w:vAlign w:val="center"/>
          </w:tcPr>
          <w:p w14:paraId="4BD26105">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64FD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14:paraId="2C38E0F9">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w:t>
            </w:r>
          </w:p>
          <w:p w14:paraId="1D1B7864">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治</w:t>
            </w:r>
          </w:p>
          <w:p w14:paraId="41E65631">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措</w:t>
            </w:r>
          </w:p>
          <w:p w14:paraId="3C8562A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施</w:t>
            </w:r>
          </w:p>
        </w:tc>
        <w:tc>
          <w:tcPr>
            <w:tcW w:w="1663" w:type="dxa"/>
            <w:vAlign w:val="center"/>
          </w:tcPr>
          <w:p w14:paraId="64276E9F">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防控措施</w:t>
            </w:r>
          </w:p>
        </w:tc>
        <w:tc>
          <w:tcPr>
            <w:tcW w:w="5856" w:type="dxa"/>
            <w:gridSpan w:val="6"/>
            <w:vAlign w:val="center"/>
          </w:tcPr>
          <w:p w14:paraId="57CBB98E">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土壤环境质量现状保障□；源头控制</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；过程防控</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；其他（跟踪监测）</w:t>
            </w:r>
          </w:p>
        </w:tc>
        <w:tc>
          <w:tcPr>
            <w:tcW w:w="1101" w:type="dxa"/>
            <w:vAlign w:val="center"/>
          </w:tcPr>
          <w:p w14:paraId="3D9A56BA">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43D0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7B3D8904">
            <w:pPr>
              <w:widowControl w:val="0"/>
              <w:spacing w:line="280" w:lineRule="exact"/>
              <w:jc w:val="both"/>
              <w:rPr>
                <w:rFonts w:ascii="Times New Roman" w:hAnsi="Times New Roman" w:cs="Times New Roman" w:eastAsiaTheme="minorEastAsia"/>
                <w:color w:val="auto"/>
                <w:w w:val="99"/>
                <w:kern w:val="21"/>
                <w:sz w:val="21"/>
                <w:szCs w:val="21"/>
                <w:highlight w:val="none"/>
              </w:rPr>
            </w:pPr>
          </w:p>
        </w:tc>
        <w:tc>
          <w:tcPr>
            <w:tcW w:w="1663" w:type="dxa"/>
            <w:vMerge w:val="restart"/>
            <w:vAlign w:val="center"/>
          </w:tcPr>
          <w:p w14:paraId="02BE548B">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跟踪监测</w:t>
            </w:r>
          </w:p>
        </w:tc>
        <w:tc>
          <w:tcPr>
            <w:tcW w:w="1000" w:type="dxa"/>
            <w:vAlign w:val="center"/>
          </w:tcPr>
          <w:p w14:paraId="5ABE1629">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监测点数</w:t>
            </w:r>
          </w:p>
        </w:tc>
        <w:tc>
          <w:tcPr>
            <w:tcW w:w="3544" w:type="dxa"/>
            <w:gridSpan w:val="4"/>
            <w:vAlign w:val="center"/>
          </w:tcPr>
          <w:p w14:paraId="49650F8B">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监测指标</w:t>
            </w:r>
          </w:p>
        </w:tc>
        <w:tc>
          <w:tcPr>
            <w:tcW w:w="1312" w:type="dxa"/>
            <w:vAlign w:val="center"/>
          </w:tcPr>
          <w:p w14:paraId="45122083">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监测频次</w:t>
            </w:r>
          </w:p>
        </w:tc>
        <w:tc>
          <w:tcPr>
            <w:tcW w:w="1101" w:type="dxa"/>
            <w:vAlign w:val="center"/>
          </w:tcPr>
          <w:p w14:paraId="63761356">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3D42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372DA00D">
            <w:pPr>
              <w:widowControl w:val="0"/>
              <w:spacing w:line="280" w:lineRule="exact"/>
              <w:jc w:val="both"/>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14:paraId="6C61DED9">
            <w:pPr>
              <w:widowControl w:val="0"/>
              <w:spacing w:line="280" w:lineRule="exact"/>
              <w:jc w:val="both"/>
              <w:rPr>
                <w:rFonts w:ascii="Times New Roman" w:hAnsi="Times New Roman" w:cs="Times New Roman" w:eastAsiaTheme="minorEastAsia"/>
                <w:color w:val="auto"/>
                <w:w w:val="99"/>
                <w:kern w:val="21"/>
                <w:sz w:val="21"/>
                <w:szCs w:val="21"/>
                <w:highlight w:val="none"/>
              </w:rPr>
            </w:pPr>
          </w:p>
        </w:tc>
        <w:tc>
          <w:tcPr>
            <w:tcW w:w="1000" w:type="dxa"/>
            <w:vAlign w:val="center"/>
          </w:tcPr>
          <w:p w14:paraId="01AF19A8">
            <w:pPr>
              <w:widowControl w:val="0"/>
              <w:spacing w:line="280" w:lineRule="exact"/>
              <w:jc w:val="center"/>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w:t>
            </w:r>
          </w:p>
        </w:tc>
        <w:tc>
          <w:tcPr>
            <w:tcW w:w="3544" w:type="dxa"/>
            <w:gridSpan w:val="4"/>
            <w:vAlign w:val="center"/>
          </w:tcPr>
          <w:p w14:paraId="3577E805">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pH、石油类、石油烃（C</w:t>
            </w:r>
            <w:r>
              <w:rPr>
                <w:rFonts w:ascii="Times New Roman" w:hAnsi="Times New Roman" w:cs="Times New Roman" w:eastAsiaTheme="minorEastAsia"/>
                <w:color w:val="auto"/>
                <w:w w:val="99"/>
                <w:kern w:val="21"/>
                <w:sz w:val="21"/>
                <w:szCs w:val="21"/>
                <w:highlight w:val="none"/>
                <w:vertAlign w:val="subscript"/>
              </w:rPr>
              <w:t>6</w:t>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9</w:t>
            </w:r>
            <w:r>
              <w:rPr>
                <w:rFonts w:ascii="Times New Roman" w:hAnsi="Times New Roman" w:cs="Times New Roman" w:eastAsiaTheme="minorEastAsia"/>
                <w:color w:val="auto"/>
                <w:w w:val="99"/>
                <w:kern w:val="21"/>
                <w:sz w:val="21"/>
                <w:szCs w:val="21"/>
                <w:highlight w:val="none"/>
              </w:rPr>
              <w:t>）、石油烃（C</w:t>
            </w:r>
            <w:r>
              <w:rPr>
                <w:rFonts w:ascii="Times New Roman" w:hAnsi="Times New Roman" w:cs="Times New Roman" w:eastAsiaTheme="minorEastAsia"/>
                <w:color w:val="auto"/>
                <w:w w:val="99"/>
                <w:kern w:val="21"/>
                <w:sz w:val="21"/>
                <w:szCs w:val="21"/>
                <w:highlight w:val="none"/>
                <w:vertAlign w:val="subscript"/>
              </w:rPr>
              <w:t>10</w:t>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40</w:t>
            </w:r>
            <w:r>
              <w:rPr>
                <w:rFonts w:ascii="Times New Roman" w:hAnsi="Times New Roman" w:cs="Times New Roman" w:eastAsiaTheme="minorEastAsia"/>
                <w:color w:val="auto"/>
                <w:w w:val="99"/>
                <w:kern w:val="21"/>
                <w:sz w:val="21"/>
                <w:szCs w:val="21"/>
                <w:highlight w:val="none"/>
              </w:rPr>
              <w:t>）、汞、砷、六价铬</w:t>
            </w:r>
          </w:p>
        </w:tc>
        <w:tc>
          <w:tcPr>
            <w:tcW w:w="1312" w:type="dxa"/>
            <w:vAlign w:val="center"/>
          </w:tcPr>
          <w:p w14:paraId="540CE52E">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1次/</w:t>
            </w:r>
            <w:r>
              <w:rPr>
                <w:rFonts w:hint="eastAsia" w:ascii="Times New Roman" w:hAnsi="Times New Roman" w:cs="Times New Roman" w:eastAsiaTheme="minorEastAsia"/>
                <w:color w:val="auto"/>
                <w:w w:val="99"/>
                <w:kern w:val="21"/>
                <w:sz w:val="21"/>
                <w:szCs w:val="21"/>
                <w:highlight w:val="none"/>
                <w:lang w:val="en-US" w:eastAsia="zh-CN"/>
              </w:rPr>
              <w:t>5</w:t>
            </w:r>
            <w:r>
              <w:rPr>
                <w:rFonts w:ascii="Times New Roman" w:hAnsi="Times New Roman" w:cs="Times New Roman" w:eastAsiaTheme="minorEastAsia"/>
                <w:color w:val="auto"/>
                <w:w w:val="99"/>
                <w:kern w:val="21"/>
                <w:sz w:val="21"/>
                <w:szCs w:val="21"/>
                <w:highlight w:val="none"/>
              </w:rPr>
              <w:t>年</w:t>
            </w:r>
          </w:p>
        </w:tc>
        <w:tc>
          <w:tcPr>
            <w:tcW w:w="1101" w:type="dxa"/>
            <w:vAlign w:val="center"/>
          </w:tcPr>
          <w:p w14:paraId="0DC0ECA2">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5664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41A499D8">
            <w:pPr>
              <w:widowControl w:val="0"/>
              <w:spacing w:line="280" w:lineRule="exact"/>
              <w:jc w:val="both"/>
              <w:rPr>
                <w:rFonts w:ascii="Times New Roman" w:hAnsi="Times New Roman" w:cs="Times New Roman" w:eastAsiaTheme="minorEastAsia"/>
                <w:color w:val="auto"/>
                <w:w w:val="99"/>
                <w:kern w:val="21"/>
                <w:sz w:val="21"/>
                <w:szCs w:val="21"/>
                <w:highlight w:val="none"/>
              </w:rPr>
            </w:pPr>
          </w:p>
        </w:tc>
        <w:tc>
          <w:tcPr>
            <w:tcW w:w="1663" w:type="dxa"/>
            <w:vAlign w:val="center"/>
          </w:tcPr>
          <w:p w14:paraId="62AED972">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信息公开指标</w:t>
            </w:r>
          </w:p>
        </w:tc>
        <w:tc>
          <w:tcPr>
            <w:tcW w:w="5856" w:type="dxa"/>
            <w:gridSpan w:val="6"/>
            <w:vAlign w:val="center"/>
          </w:tcPr>
          <w:p w14:paraId="68D8CC6B">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监测点位和监测值</w:t>
            </w:r>
          </w:p>
        </w:tc>
        <w:tc>
          <w:tcPr>
            <w:tcW w:w="1101" w:type="dxa"/>
            <w:vAlign w:val="center"/>
          </w:tcPr>
          <w:p w14:paraId="60271530">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320D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70CCFEF8">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评价结论</w:t>
            </w:r>
          </w:p>
        </w:tc>
        <w:tc>
          <w:tcPr>
            <w:tcW w:w="5856" w:type="dxa"/>
            <w:gridSpan w:val="6"/>
            <w:vAlign w:val="center"/>
          </w:tcPr>
          <w:p w14:paraId="035E61FD">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采取环评提出的措施，影响可接受</w:t>
            </w:r>
          </w:p>
        </w:tc>
        <w:tc>
          <w:tcPr>
            <w:tcW w:w="1101" w:type="dxa"/>
            <w:vAlign w:val="center"/>
          </w:tcPr>
          <w:p w14:paraId="56E1DDFB">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r>
      <w:tr w14:paraId="719D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071" w:type="dxa"/>
            <w:gridSpan w:val="9"/>
            <w:vAlign w:val="center"/>
          </w:tcPr>
          <w:p w14:paraId="5774F65B">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注1：“□”为勾选项，可√；“（ ）”为内容填写项；“备注”为其他补充内容。</w:t>
            </w:r>
          </w:p>
          <w:p w14:paraId="3D1BE144">
            <w:pPr>
              <w:widowControl w:val="0"/>
              <w:spacing w:line="28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注2：需要分别开展土壤环境影响评级工作的，分别填写自查表。</w:t>
            </w:r>
          </w:p>
        </w:tc>
      </w:tr>
    </w:tbl>
    <w:p w14:paraId="4E4A622A">
      <w:pPr>
        <w:widowControl w:val="0"/>
        <w:spacing w:line="440" w:lineRule="exact"/>
        <w:jc w:val="both"/>
        <w:outlineLvl w:val="1"/>
        <w:rPr>
          <w:rFonts w:hint="eastAsia" w:ascii="Times New Roman" w:hAnsi="Times New Roman" w:eastAsia="宋体" w:cs="Times New Roman"/>
          <w:color w:val="auto"/>
          <w:w w:val="99"/>
          <w:kern w:val="0"/>
          <w:sz w:val="24"/>
          <w:szCs w:val="24"/>
          <w:highlight w:val="none"/>
          <w:lang w:val="en-US" w:eastAsia="zh-CN" w:bidi="zh-CN"/>
        </w:rPr>
      </w:pPr>
      <w:bookmarkStart w:id="1373" w:name="_Toc173163576"/>
      <w:bookmarkStart w:id="1374" w:name="_Toc13999"/>
      <w:r>
        <w:rPr>
          <w:rFonts w:hint="eastAsia" w:ascii="Times New Roman" w:hAnsi="Times New Roman" w:eastAsia="宋体" w:cs="Times New Roman"/>
          <w:color w:val="auto"/>
          <w:w w:val="99"/>
          <w:kern w:val="0"/>
          <w:sz w:val="24"/>
          <w:szCs w:val="24"/>
          <w:highlight w:val="none"/>
          <w:lang w:val="en-US" w:eastAsia="zh-CN" w:bidi="zh-CN"/>
        </w:rPr>
        <w:t>附表4：地表水自查表</w:t>
      </w:r>
      <w:bookmarkEnd w:id="1373"/>
      <w:bookmarkEnd w:id="1374"/>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923"/>
        <w:gridCol w:w="1391"/>
        <w:gridCol w:w="617"/>
        <w:gridCol w:w="123"/>
        <w:gridCol w:w="496"/>
        <w:gridCol w:w="310"/>
        <w:gridCol w:w="1083"/>
        <w:gridCol w:w="617"/>
        <w:gridCol w:w="306"/>
        <w:gridCol w:w="310"/>
        <w:gridCol w:w="927"/>
        <w:gridCol w:w="165"/>
        <w:gridCol w:w="299"/>
        <w:gridCol w:w="1291"/>
      </w:tblGrid>
      <w:tr w14:paraId="79BB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pct"/>
            <w:gridSpan w:val="2"/>
            <w:vAlign w:val="center"/>
          </w:tcPr>
          <w:p w14:paraId="16A4D37B">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工作内容</w:t>
            </w:r>
          </w:p>
        </w:tc>
        <w:tc>
          <w:tcPr>
            <w:tcW w:w="4272" w:type="pct"/>
            <w:gridSpan w:val="13"/>
            <w:vAlign w:val="center"/>
          </w:tcPr>
          <w:p w14:paraId="4C51D094">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自查项目</w:t>
            </w:r>
          </w:p>
        </w:tc>
      </w:tr>
      <w:tr w14:paraId="2FA9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restart"/>
            <w:vAlign w:val="center"/>
          </w:tcPr>
          <w:p w14:paraId="2B60B63E">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影</w:t>
            </w:r>
          </w:p>
          <w:p w14:paraId="383C357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响</w:t>
            </w:r>
          </w:p>
          <w:p w14:paraId="78DC51B3">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识</w:t>
            </w:r>
          </w:p>
          <w:p w14:paraId="37372BB3">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别</w:t>
            </w:r>
          </w:p>
        </w:tc>
        <w:tc>
          <w:tcPr>
            <w:tcW w:w="497" w:type="pct"/>
            <w:vAlign w:val="center"/>
          </w:tcPr>
          <w:p w14:paraId="5A944C9D">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影响类型</w:t>
            </w:r>
          </w:p>
        </w:tc>
        <w:tc>
          <w:tcPr>
            <w:tcW w:w="4272" w:type="pct"/>
            <w:gridSpan w:val="13"/>
            <w:vAlign w:val="center"/>
          </w:tcPr>
          <w:p w14:paraId="064C1408">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水污染影响型√；水文要素影响型 □</w:t>
            </w:r>
          </w:p>
        </w:tc>
      </w:tr>
      <w:tr w14:paraId="2318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074D48F8">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3AF4FAA1">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水环境保护目标</w:t>
            </w:r>
          </w:p>
        </w:tc>
        <w:tc>
          <w:tcPr>
            <w:tcW w:w="4272" w:type="pct"/>
            <w:gridSpan w:val="13"/>
            <w:vAlign w:val="center"/>
          </w:tcPr>
          <w:p w14:paraId="633FD697">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饮用水水源保护区 □；饮用水取水口 □；涉水的自然保护区 □；重要湿地 □；重点保护与珍稀水生生物的栖息地 □；重要水生生物的自然产卵场及索饵场、越冬场和洄游通道、天然渔场等渔业水体 □；涉水的风景名胜区 □；其他 √</w:t>
            </w:r>
          </w:p>
        </w:tc>
      </w:tr>
      <w:tr w14:paraId="1717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7720A9D8">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restart"/>
            <w:vAlign w:val="center"/>
          </w:tcPr>
          <w:p w14:paraId="3B20C505">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影响途径</w:t>
            </w:r>
          </w:p>
        </w:tc>
        <w:tc>
          <w:tcPr>
            <w:tcW w:w="2163" w:type="pct"/>
            <w:gridSpan w:val="6"/>
            <w:vAlign w:val="center"/>
          </w:tcPr>
          <w:p w14:paraId="73332CE7">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水污染影响型</w:t>
            </w:r>
          </w:p>
        </w:tc>
        <w:tc>
          <w:tcPr>
            <w:tcW w:w="2109" w:type="pct"/>
            <w:gridSpan w:val="7"/>
            <w:vAlign w:val="center"/>
          </w:tcPr>
          <w:p w14:paraId="0D4E7CD4">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水文要素影响型</w:t>
            </w:r>
          </w:p>
        </w:tc>
      </w:tr>
      <w:tr w14:paraId="0D6C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7AE9B6F6">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continue"/>
            <w:vAlign w:val="center"/>
          </w:tcPr>
          <w:p w14:paraId="731CF6EC">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2163" w:type="pct"/>
            <w:gridSpan w:val="6"/>
            <w:vAlign w:val="center"/>
          </w:tcPr>
          <w:p w14:paraId="3939A9CE">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直接排放 □；间接排放 □；其他√</w:t>
            </w:r>
          </w:p>
        </w:tc>
        <w:tc>
          <w:tcPr>
            <w:tcW w:w="2109" w:type="pct"/>
            <w:gridSpan w:val="7"/>
            <w:vAlign w:val="center"/>
          </w:tcPr>
          <w:p w14:paraId="7434173A">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水温 □；径流 □；水域面积 □</w:t>
            </w:r>
          </w:p>
        </w:tc>
      </w:tr>
      <w:tr w14:paraId="4AEE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0614001D">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4855068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影响因子</w:t>
            </w:r>
          </w:p>
        </w:tc>
        <w:tc>
          <w:tcPr>
            <w:tcW w:w="2163" w:type="pct"/>
            <w:gridSpan w:val="6"/>
            <w:vAlign w:val="center"/>
          </w:tcPr>
          <w:p w14:paraId="00E8CA35">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持久性污染物 □；有毒有害污染物 □；非持久性污染物 □；pH 值 □；热污染 □；富营养化 □；其他 √</w:t>
            </w:r>
          </w:p>
        </w:tc>
        <w:tc>
          <w:tcPr>
            <w:tcW w:w="2109" w:type="pct"/>
            <w:gridSpan w:val="7"/>
            <w:vAlign w:val="center"/>
          </w:tcPr>
          <w:p w14:paraId="7DA20035">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水温 □；水位（水深） □；流速□；流量 □；其他 □</w:t>
            </w:r>
          </w:p>
        </w:tc>
      </w:tr>
      <w:tr w14:paraId="1BDB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pct"/>
            <w:gridSpan w:val="2"/>
            <w:vMerge w:val="restart"/>
            <w:vAlign w:val="center"/>
          </w:tcPr>
          <w:p w14:paraId="4B9AF3D3">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评价等级</w:t>
            </w:r>
          </w:p>
        </w:tc>
        <w:tc>
          <w:tcPr>
            <w:tcW w:w="2163" w:type="pct"/>
            <w:gridSpan w:val="6"/>
            <w:vAlign w:val="center"/>
          </w:tcPr>
          <w:p w14:paraId="1288BF92">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水污染影响型</w:t>
            </w:r>
          </w:p>
        </w:tc>
        <w:tc>
          <w:tcPr>
            <w:tcW w:w="2109" w:type="pct"/>
            <w:gridSpan w:val="7"/>
            <w:vAlign w:val="center"/>
          </w:tcPr>
          <w:p w14:paraId="2329F651">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水文要素影响型</w:t>
            </w:r>
          </w:p>
        </w:tc>
      </w:tr>
      <w:tr w14:paraId="764E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pct"/>
            <w:gridSpan w:val="2"/>
            <w:vMerge w:val="continue"/>
            <w:vAlign w:val="center"/>
          </w:tcPr>
          <w:p w14:paraId="4899B943">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2163" w:type="pct"/>
            <w:gridSpan w:val="6"/>
            <w:vAlign w:val="center"/>
          </w:tcPr>
          <w:p w14:paraId="4C652DEF">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一级 □；二级 □；三级 A □；三级 B √</w:t>
            </w:r>
          </w:p>
        </w:tc>
        <w:tc>
          <w:tcPr>
            <w:tcW w:w="2109" w:type="pct"/>
            <w:gridSpan w:val="7"/>
            <w:vAlign w:val="center"/>
          </w:tcPr>
          <w:p w14:paraId="60A0078F">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一级 □；二级 □；三级 □</w:t>
            </w:r>
          </w:p>
        </w:tc>
      </w:tr>
      <w:tr w14:paraId="6741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restart"/>
            <w:vAlign w:val="center"/>
          </w:tcPr>
          <w:p w14:paraId="4A4F71A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现</w:t>
            </w:r>
          </w:p>
          <w:p w14:paraId="64C8688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状</w:t>
            </w:r>
          </w:p>
          <w:p w14:paraId="775F518B">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调</w:t>
            </w:r>
          </w:p>
          <w:p w14:paraId="1EC8326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查</w:t>
            </w:r>
          </w:p>
        </w:tc>
        <w:tc>
          <w:tcPr>
            <w:tcW w:w="497" w:type="pct"/>
            <w:vMerge w:val="restart"/>
            <w:vAlign w:val="center"/>
          </w:tcPr>
          <w:p w14:paraId="0142DC29">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区域污染源</w:t>
            </w:r>
          </w:p>
        </w:tc>
        <w:tc>
          <w:tcPr>
            <w:tcW w:w="2163" w:type="pct"/>
            <w:gridSpan w:val="6"/>
            <w:vAlign w:val="center"/>
          </w:tcPr>
          <w:p w14:paraId="7D04C797">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调查项目</w:t>
            </w:r>
          </w:p>
        </w:tc>
        <w:tc>
          <w:tcPr>
            <w:tcW w:w="2109" w:type="pct"/>
            <w:gridSpan w:val="7"/>
            <w:vAlign w:val="center"/>
          </w:tcPr>
          <w:p w14:paraId="3B69DCA0">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数据来源</w:t>
            </w:r>
          </w:p>
        </w:tc>
      </w:tr>
      <w:tr w14:paraId="64C8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5E8B4E21">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continue"/>
            <w:vAlign w:val="center"/>
          </w:tcPr>
          <w:p w14:paraId="2141232E">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1147" w:type="pct"/>
            <w:gridSpan w:val="3"/>
            <w:vAlign w:val="center"/>
          </w:tcPr>
          <w:p w14:paraId="5AEF515C">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已建 □；在建 □；</w:t>
            </w:r>
          </w:p>
          <w:p w14:paraId="2A11125C">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拟建 □；其他 □</w:t>
            </w:r>
          </w:p>
        </w:tc>
        <w:tc>
          <w:tcPr>
            <w:tcW w:w="1017" w:type="pct"/>
            <w:gridSpan w:val="3"/>
            <w:vAlign w:val="center"/>
          </w:tcPr>
          <w:p w14:paraId="6BFA2863">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拟替代的污染源 □</w:t>
            </w:r>
          </w:p>
        </w:tc>
        <w:tc>
          <w:tcPr>
            <w:tcW w:w="2109" w:type="pct"/>
            <w:gridSpan w:val="7"/>
            <w:vAlign w:val="center"/>
          </w:tcPr>
          <w:p w14:paraId="76EC5D6A">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排污许可证 □；环评 □；环保验收 □；既有实测 □；现场监测 □；入河排放口数据 □；其他 □</w:t>
            </w:r>
          </w:p>
        </w:tc>
      </w:tr>
      <w:tr w14:paraId="07B1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0147F8AE">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restart"/>
            <w:vAlign w:val="center"/>
          </w:tcPr>
          <w:p w14:paraId="411BD22D">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受影响水体水环境质量</w:t>
            </w:r>
          </w:p>
        </w:tc>
        <w:tc>
          <w:tcPr>
            <w:tcW w:w="2163" w:type="pct"/>
            <w:gridSpan w:val="6"/>
            <w:vAlign w:val="center"/>
          </w:tcPr>
          <w:p w14:paraId="700E5847">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调查时期</w:t>
            </w:r>
          </w:p>
        </w:tc>
        <w:tc>
          <w:tcPr>
            <w:tcW w:w="2109" w:type="pct"/>
            <w:gridSpan w:val="7"/>
            <w:vAlign w:val="center"/>
          </w:tcPr>
          <w:p w14:paraId="2D7F4CC9">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数据来源</w:t>
            </w:r>
          </w:p>
        </w:tc>
      </w:tr>
      <w:tr w14:paraId="427E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41D6B709">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continue"/>
            <w:vAlign w:val="center"/>
          </w:tcPr>
          <w:p w14:paraId="6538A796">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2163" w:type="pct"/>
            <w:gridSpan w:val="6"/>
            <w:vAlign w:val="center"/>
          </w:tcPr>
          <w:p w14:paraId="49822518">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丰水期 √；平水期 □；枯水期 □；冰封期 □</w:t>
            </w:r>
          </w:p>
          <w:p w14:paraId="20D5F05F">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春季 □；夏季 □；秋季 √；冬季□</w:t>
            </w:r>
          </w:p>
        </w:tc>
        <w:tc>
          <w:tcPr>
            <w:tcW w:w="2109" w:type="pct"/>
            <w:gridSpan w:val="7"/>
            <w:vAlign w:val="center"/>
          </w:tcPr>
          <w:p w14:paraId="4A734082">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生态环境保护主管部门 □；补充监测 √；其他 □</w:t>
            </w:r>
          </w:p>
        </w:tc>
      </w:tr>
      <w:tr w14:paraId="0DC1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0AF8F812">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0C517B8C">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区域水资源开发利用状况</w:t>
            </w:r>
          </w:p>
        </w:tc>
        <w:tc>
          <w:tcPr>
            <w:tcW w:w="4272" w:type="pct"/>
            <w:gridSpan w:val="13"/>
            <w:vAlign w:val="center"/>
          </w:tcPr>
          <w:p w14:paraId="2CFD5565">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未开发 □；开发量 40%以下 □；开发量 40%以上 □</w:t>
            </w:r>
          </w:p>
        </w:tc>
      </w:tr>
      <w:tr w14:paraId="7B7D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5EAD7AFC">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restart"/>
            <w:vAlign w:val="center"/>
          </w:tcPr>
          <w:p w14:paraId="405408C9">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水文情势调查</w:t>
            </w:r>
          </w:p>
        </w:tc>
        <w:tc>
          <w:tcPr>
            <w:tcW w:w="2163" w:type="pct"/>
            <w:gridSpan w:val="6"/>
            <w:vAlign w:val="center"/>
          </w:tcPr>
          <w:p w14:paraId="72E1EECB">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xml:space="preserve">调查时期  </w:t>
            </w:r>
          </w:p>
        </w:tc>
        <w:tc>
          <w:tcPr>
            <w:tcW w:w="2109" w:type="pct"/>
            <w:gridSpan w:val="7"/>
            <w:vAlign w:val="center"/>
          </w:tcPr>
          <w:p w14:paraId="6092D18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数据来源</w:t>
            </w:r>
          </w:p>
        </w:tc>
      </w:tr>
      <w:tr w14:paraId="550F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1708C59D">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continue"/>
            <w:vAlign w:val="center"/>
          </w:tcPr>
          <w:p w14:paraId="4691E117">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2163" w:type="pct"/>
            <w:gridSpan w:val="6"/>
            <w:vAlign w:val="center"/>
          </w:tcPr>
          <w:p w14:paraId="65750D04">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丰水期 □；平水期 □；枯水期 □；冰封期 □</w:t>
            </w:r>
          </w:p>
          <w:p w14:paraId="56812E3D">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春季 □；夏季 □；秋季 □；冬季□</w:t>
            </w:r>
          </w:p>
        </w:tc>
        <w:tc>
          <w:tcPr>
            <w:tcW w:w="2109" w:type="pct"/>
            <w:gridSpan w:val="7"/>
            <w:vAlign w:val="center"/>
          </w:tcPr>
          <w:p w14:paraId="34D7C78E">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水行政主管部门 □；补充监测 □；其他 □</w:t>
            </w:r>
          </w:p>
        </w:tc>
      </w:tr>
      <w:tr w14:paraId="4729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4CDED656">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restart"/>
            <w:vAlign w:val="center"/>
          </w:tcPr>
          <w:p w14:paraId="1BD18486">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补充监测</w:t>
            </w:r>
          </w:p>
        </w:tc>
        <w:tc>
          <w:tcPr>
            <w:tcW w:w="2163" w:type="pct"/>
            <w:gridSpan w:val="6"/>
            <w:vAlign w:val="center"/>
          </w:tcPr>
          <w:p w14:paraId="4FD5D601">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监测时期</w:t>
            </w:r>
          </w:p>
        </w:tc>
        <w:tc>
          <w:tcPr>
            <w:tcW w:w="1252" w:type="pct"/>
            <w:gridSpan w:val="5"/>
            <w:vAlign w:val="center"/>
          </w:tcPr>
          <w:p w14:paraId="597FCF96">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监测因子</w:t>
            </w:r>
          </w:p>
        </w:tc>
        <w:tc>
          <w:tcPr>
            <w:tcW w:w="857" w:type="pct"/>
            <w:gridSpan w:val="2"/>
            <w:vAlign w:val="center"/>
          </w:tcPr>
          <w:p w14:paraId="174B8490">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监测断面或点位</w:t>
            </w:r>
          </w:p>
        </w:tc>
      </w:tr>
      <w:tr w14:paraId="20DA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144941A9">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continue"/>
            <w:vAlign w:val="center"/>
          </w:tcPr>
          <w:p w14:paraId="5968B0C2">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2163" w:type="pct"/>
            <w:gridSpan w:val="6"/>
            <w:vAlign w:val="center"/>
          </w:tcPr>
          <w:p w14:paraId="2051DD71">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丰水期 √；平水期 □；枯水期 □；冰封期 □</w:t>
            </w:r>
          </w:p>
          <w:p w14:paraId="7FA8FF27">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春季 □；夏季 □；秋季 √；冬季□</w:t>
            </w:r>
          </w:p>
        </w:tc>
        <w:tc>
          <w:tcPr>
            <w:tcW w:w="1252" w:type="pct"/>
            <w:gridSpan w:val="5"/>
            <w:vAlign w:val="center"/>
          </w:tcPr>
          <w:p w14:paraId="115189D6">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（pH 值、悬浮物、COD、BOD</w:t>
            </w:r>
            <w:r>
              <w:rPr>
                <w:rFonts w:ascii="Times New Roman" w:hAnsi="Times New Roman" w:cs="Times New Roman" w:eastAsiaTheme="minorEastAsia"/>
                <w:color w:val="auto"/>
                <w:w w:val="99"/>
                <w:sz w:val="18"/>
                <w:szCs w:val="18"/>
                <w:highlight w:val="none"/>
                <w:vertAlign w:val="subscript"/>
              </w:rPr>
              <w:t>5</w:t>
            </w:r>
            <w:r>
              <w:rPr>
                <w:rFonts w:ascii="Times New Roman" w:hAnsi="Times New Roman" w:cs="Times New Roman" w:eastAsiaTheme="minorEastAsia"/>
                <w:color w:val="auto"/>
                <w:w w:val="99"/>
                <w:sz w:val="18"/>
                <w:szCs w:val="18"/>
                <w:highlight w:val="none"/>
              </w:rPr>
              <w:t>、氨氮、总磷、石油类、挥发酚、硫化物、阴离子表面活性剂、汞、总铬、六价铬、镉、砷、镍、铅、溶解氧、水温）</w:t>
            </w:r>
          </w:p>
        </w:tc>
        <w:tc>
          <w:tcPr>
            <w:tcW w:w="857" w:type="pct"/>
            <w:gridSpan w:val="2"/>
            <w:vAlign w:val="center"/>
          </w:tcPr>
          <w:p w14:paraId="0021843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监测断面或点位个数（</w:t>
            </w:r>
            <w:r>
              <w:rPr>
                <w:rFonts w:hint="eastAsia" w:ascii="Times New Roman" w:hAnsi="Times New Roman" w:cs="Times New Roman" w:eastAsiaTheme="minorEastAsia"/>
                <w:color w:val="auto"/>
                <w:w w:val="99"/>
                <w:sz w:val="18"/>
                <w:szCs w:val="18"/>
                <w:highlight w:val="none"/>
                <w:lang w:val="en-US" w:eastAsia="zh-CN"/>
              </w:rPr>
              <w:t>2</w:t>
            </w:r>
            <w:r>
              <w:rPr>
                <w:rFonts w:ascii="Times New Roman" w:hAnsi="Times New Roman" w:cs="Times New Roman" w:eastAsiaTheme="minorEastAsia"/>
                <w:color w:val="auto"/>
                <w:w w:val="99"/>
                <w:sz w:val="18"/>
                <w:szCs w:val="18"/>
                <w:highlight w:val="none"/>
              </w:rPr>
              <w:t>）个</w:t>
            </w:r>
          </w:p>
        </w:tc>
      </w:tr>
      <w:tr w14:paraId="54E4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restart"/>
            <w:vAlign w:val="center"/>
          </w:tcPr>
          <w:p w14:paraId="74FC5397">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现</w:t>
            </w:r>
          </w:p>
          <w:p w14:paraId="0F1FACDD">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状</w:t>
            </w:r>
          </w:p>
          <w:p w14:paraId="4D374811">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评</w:t>
            </w:r>
          </w:p>
          <w:p w14:paraId="5CD48D57">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价</w:t>
            </w:r>
          </w:p>
        </w:tc>
        <w:tc>
          <w:tcPr>
            <w:tcW w:w="497" w:type="pct"/>
            <w:vAlign w:val="center"/>
          </w:tcPr>
          <w:p w14:paraId="613F224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评价范围</w:t>
            </w:r>
          </w:p>
        </w:tc>
        <w:tc>
          <w:tcPr>
            <w:tcW w:w="4272" w:type="pct"/>
            <w:gridSpan w:val="13"/>
            <w:vAlign w:val="center"/>
          </w:tcPr>
          <w:p w14:paraId="4E1348FF">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河流：长度（ ）km；湖库、河口及近岸海域：面积（ ）km</w:t>
            </w:r>
            <w:r>
              <w:rPr>
                <w:rFonts w:ascii="Times New Roman" w:hAnsi="Times New Roman" w:cs="Times New Roman" w:eastAsiaTheme="minorEastAsia"/>
                <w:color w:val="auto"/>
                <w:w w:val="99"/>
                <w:sz w:val="18"/>
                <w:szCs w:val="18"/>
                <w:highlight w:val="none"/>
                <w:vertAlign w:val="superscript"/>
              </w:rPr>
              <w:t>2</w:t>
            </w:r>
          </w:p>
        </w:tc>
      </w:tr>
      <w:tr w14:paraId="11A5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55D849A4">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658E048C">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评价因子</w:t>
            </w:r>
          </w:p>
        </w:tc>
        <w:tc>
          <w:tcPr>
            <w:tcW w:w="4272" w:type="pct"/>
            <w:gridSpan w:val="13"/>
            <w:vAlign w:val="center"/>
          </w:tcPr>
          <w:p w14:paraId="14516540">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（pH 值、悬浮物、COD、BOD</w:t>
            </w:r>
            <w:r>
              <w:rPr>
                <w:rFonts w:ascii="Times New Roman" w:hAnsi="Times New Roman" w:cs="Times New Roman" w:eastAsiaTheme="minorEastAsia"/>
                <w:color w:val="auto"/>
                <w:w w:val="99"/>
                <w:sz w:val="18"/>
                <w:szCs w:val="18"/>
                <w:highlight w:val="none"/>
                <w:vertAlign w:val="subscript"/>
              </w:rPr>
              <w:t>5</w:t>
            </w:r>
            <w:r>
              <w:rPr>
                <w:rFonts w:ascii="Times New Roman" w:hAnsi="Times New Roman" w:cs="Times New Roman" w:eastAsiaTheme="minorEastAsia"/>
                <w:color w:val="auto"/>
                <w:w w:val="99"/>
                <w:sz w:val="18"/>
                <w:szCs w:val="18"/>
                <w:highlight w:val="none"/>
              </w:rPr>
              <w:t>、氨氮、总磷、石油类、挥发酚、硫化物、阴离子表面活性剂、汞、总铬、六价铬、镉、砷、镍、铅、溶解氧、水温）</w:t>
            </w:r>
          </w:p>
        </w:tc>
      </w:tr>
      <w:tr w14:paraId="54DE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27AB60C3">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74ABDC59">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评价标准</w:t>
            </w:r>
          </w:p>
        </w:tc>
        <w:tc>
          <w:tcPr>
            <w:tcW w:w="4272" w:type="pct"/>
            <w:gridSpan w:val="13"/>
            <w:vAlign w:val="center"/>
          </w:tcPr>
          <w:p w14:paraId="0031356D">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河流、湖库、河口：Ⅰ类 □；Ⅱ类 □；Ⅲ类 □；Ⅳ类 □；Ⅴ类 □</w:t>
            </w:r>
          </w:p>
          <w:p w14:paraId="7ADB4A12">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近岸海域：第一类 □；第二类 □；第三类 □；第四类 □</w:t>
            </w:r>
          </w:p>
          <w:p w14:paraId="49B58C93">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规划年评价标准（ ）</w:t>
            </w:r>
          </w:p>
        </w:tc>
      </w:tr>
      <w:tr w14:paraId="7E70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02256D25">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70D8D837">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评价时期</w:t>
            </w:r>
          </w:p>
        </w:tc>
        <w:tc>
          <w:tcPr>
            <w:tcW w:w="4272" w:type="pct"/>
            <w:gridSpan w:val="13"/>
            <w:vAlign w:val="center"/>
          </w:tcPr>
          <w:p w14:paraId="49EBA387">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丰水期 √；平水期 □；枯水期 □；冰封期 □</w:t>
            </w:r>
          </w:p>
          <w:p w14:paraId="6FED5206">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春季 □；夏季 □；秋季√；冬季□</w:t>
            </w:r>
          </w:p>
        </w:tc>
      </w:tr>
      <w:tr w14:paraId="291D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4256E65B">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1ACFF7B8">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评价结论</w:t>
            </w:r>
          </w:p>
        </w:tc>
        <w:tc>
          <w:tcPr>
            <w:tcW w:w="3577" w:type="pct"/>
            <w:gridSpan w:val="12"/>
            <w:vAlign w:val="center"/>
          </w:tcPr>
          <w:p w14:paraId="375F0C56">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水环境功能区或水功能区、近岸海域环境功能区水质达标状况□：达标 □；不达标 □</w:t>
            </w:r>
          </w:p>
          <w:p w14:paraId="54690573">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水环境控制单元或断面水质达标状况 □：达标 □；不达标 □</w:t>
            </w:r>
          </w:p>
          <w:p w14:paraId="5C02EE2F">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水环境保护目标质量状况 □：达标 □；不达标 □</w:t>
            </w:r>
          </w:p>
          <w:p w14:paraId="77786001">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对照断面、控制断面等代表性断面的水质状况 □：达标 □；不达标□</w:t>
            </w:r>
          </w:p>
          <w:p w14:paraId="60080BE2">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底泥污染评价 □</w:t>
            </w:r>
          </w:p>
          <w:p w14:paraId="2FBCD151">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水资源与开发利用程度及其水文情势评价 □</w:t>
            </w:r>
          </w:p>
          <w:p w14:paraId="79B6DFB2">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水环境质量回顾评价 □</w:t>
            </w:r>
          </w:p>
          <w:p w14:paraId="77B0B69B">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流域（区域）水资源（包括水能资源）与开发利用总体状况、生态流量管理要求与现状满足程度、建设项目占用水域空间的水流状况与河湖演变状况 □</w:t>
            </w:r>
          </w:p>
        </w:tc>
        <w:tc>
          <w:tcPr>
            <w:tcW w:w="695" w:type="pct"/>
            <w:vAlign w:val="center"/>
          </w:tcPr>
          <w:p w14:paraId="515A5DC1">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达标区□</w:t>
            </w:r>
          </w:p>
          <w:p w14:paraId="12CBA249">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不达标区□</w:t>
            </w:r>
          </w:p>
        </w:tc>
      </w:tr>
      <w:tr w14:paraId="5A62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restart"/>
            <w:vAlign w:val="center"/>
          </w:tcPr>
          <w:p w14:paraId="6F34A63E">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影</w:t>
            </w:r>
          </w:p>
          <w:p w14:paraId="51DA7AAE">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响</w:t>
            </w:r>
          </w:p>
          <w:p w14:paraId="45A13D40">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预</w:t>
            </w:r>
          </w:p>
          <w:p w14:paraId="55B7AA7F">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测</w:t>
            </w:r>
          </w:p>
        </w:tc>
        <w:tc>
          <w:tcPr>
            <w:tcW w:w="497" w:type="pct"/>
            <w:vAlign w:val="center"/>
          </w:tcPr>
          <w:p w14:paraId="0214B9B6">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预测范围</w:t>
            </w:r>
          </w:p>
        </w:tc>
        <w:tc>
          <w:tcPr>
            <w:tcW w:w="4272" w:type="pct"/>
            <w:gridSpan w:val="13"/>
            <w:vAlign w:val="center"/>
          </w:tcPr>
          <w:p w14:paraId="702519FC">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河流：长度（ ）km；湖库、河口及近岸海域：面积（ ）km</w:t>
            </w:r>
            <w:r>
              <w:rPr>
                <w:rFonts w:ascii="Times New Roman" w:hAnsi="Times New Roman" w:cs="Times New Roman" w:eastAsiaTheme="minorEastAsia"/>
                <w:color w:val="auto"/>
                <w:w w:val="99"/>
                <w:sz w:val="18"/>
                <w:szCs w:val="18"/>
                <w:highlight w:val="none"/>
                <w:vertAlign w:val="superscript"/>
              </w:rPr>
              <w:t>2</w:t>
            </w:r>
          </w:p>
        </w:tc>
      </w:tr>
      <w:tr w14:paraId="6FFA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1C30B14A">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130E351C">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预测因子</w:t>
            </w:r>
          </w:p>
        </w:tc>
        <w:tc>
          <w:tcPr>
            <w:tcW w:w="4272" w:type="pct"/>
            <w:gridSpan w:val="13"/>
            <w:vAlign w:val="center"/>
          </w:tcPr>
          <w:p w14:paraId="231822C1">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w:t>
            </w:r>
          </w:p>
        </w:tc>
      </w:tr>
      <w:tr w14:paraId="5F4A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65DFF0E5">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5B29625F">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预测时期</w:t>
            </w:r>
          </w:p>
        </w:tc>
        <w:tc>
          <w:tcPr>
            <w:tcW w:w="4272" w:type="pct"/>
            <w:gridSpan w:val="13"/>
            <w:vAlign w:val="center"/>
          </w:tcPr>
          <w:p w14:paraId="5DAFC6E7">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丰水期 □；平水期 □；枯水期 □；冰封期 □</w:t>
            </w:r>
          </w:p>
          <w:p w14:paraId="3B6E7771">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春季 □；夏季 □；秋季 □；冬季 □</w:t>
            </w:r>
          </w:p>
          <w:p w14:paraId="17E8F6A1">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设计水文条件 □</w:t>
            </w:r>
          </w:p>
        </w:tc>
      </w:tr>
      <w:tr w14:paraId="3780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4014B83E">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75ECFB29">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预测情景</w:t>
            </w:r>
          </w:p>
        </w:tc>
        <w:tc>
          <w:tcPr>
            <w:tcW w:w="4272" w:type="pct"/>
            <w:gridSpan w:val="13"/>
            <w:vAlign w:val="center"/>
          </w:tcPr>
          <w:p w14:paraId="1F6C4F87">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建设期 □；生产运行期 □；服务期满后 □</w:t>
            </w:r>
          </w:p>
          <w:p w14:paraId="1933BCCC">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正常工况 □；非正常工况 □</w:t>
            </w:r>
          </w:p>
          <w:p w14:paraId="70DE8DE9">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污染控制和减缓措施方案 □</w:t>
            </w:r>
          </w:p>
          <w:p w14:paraId="24F71F81">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区（流）域环境质量改善目标要求情景 □</w:t>
            </w:r>
          </w:p>
        </w:tc>
      </w:tr>
      <w:tr w14:paraId="0685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514CC977">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09D9B4F9">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预测方法</w:t>
            </w:r>
          </w:p>
        </w:tc>
        <w:tc>
          <w:tcPr>
            <w:tcW w:w="4272" w:type="pct"/>
            <w:gridSpan w:val="13"/>
            <w:vAlign w:val="center"/>
          </w:tcPr>
          <w:p w14:paraId="000066AA">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数值解 □：解析解 □；其他 □</w:t>
            </w:r>
          </w:p>
          <w:p w14:paraId="2A6F2FB2">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导则推荐模式 □：其他 □</w:t>
            </w:r>
          </w:p>
        </w:tc>
      </w:tr>
      <w:tr w14:paraId="22DD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restart"/>
            <w:vAlign w:val="center"/>
          </w:tcPr>
          <w:p w14:paraId="4D4DB59B">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影</w:t>
            </w:r>
          </w:p>
          <w:p w14:paraId="393CECC0">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响</w:t>
            </w:r>
          </w:p>
          <w:p w14:paraId="71535BBC">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评</w:t>
            </w:r>
          </w:p>
          <w:p w14:paraId="25F34145">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价</w:t>
            </w:r>
          </w:p>
        </w:tc>
        <w:tc>
          <w:tcPr>
            <w:tcW w:w="497" w:type="pct"/>
            <w:vAlign w:val="center"/>
          </w:tcPr>
          <w:p w14:paraId="001BC538">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水污染控制和水环境影响减缓措施有效性评价</w:t>
            </w:r>
          </w:p>
        </w:tc>
        <w:tc>
          <w:tcPr>
            <w:tcW w:w="4272" w:type="pct"/>
            <w:gridSpan w:val="13"/>
            <w:vAlign w:val="center"/>
          </w:tcPr>
          <w:p w14:paraId="44699DF4">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区（流）域水环境质量改善目标 □；替代削减源 □</w:t>
            </w:r>
          </w:p>
        </w:tc>
      </w:tr>
      <w:tr w14:paraId="31C7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27393800">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59261178">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水环境影响评价</w:t>
            </w:r>
          </w:p>
        </w:tc>
        <w:tc>
          <w:tcPr>
            <w:tcW w:w="4272" w:type="pct"/>
            <w:gridSpan w:val="13"/>
            <w:vAlign w:val="center"/>
          </w:tcPr>
          <w:p w14:paraId="24790EA6">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排放口混合区外满足水环境管理要求 □</w:t>
            </w:r>
          </w:p>
          <w:p w14:paraId="5333B8EA">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水环境功能区或水功能区、近岸海域环境功能区水质达标 □</w:t>
            </w:r>
          </w:p>
          <w:p w14:paraId="0249D535">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满足水环境保护目标水域水环境质量要求 □</w:t>
            </w:r>
          </w:p>
          <w:p w14:paraId="658510D1">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水环境控制单元或断面水质达标 □</w:t>
            </w:r>
          </w:p>
          <w:p w14:paraId="3CE31578">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满足重点水污染物排放总量控制指标要求，重点行业建设项目， 主要污染物排放满足等量或减量替代要求□</w:t>
            </w:r>
          </w:p>
          <w:p w14:paraId="6EBB6A84">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满足区（流）域水环境质量改善目标要求 □</w:t>
            </w:r>
          </w:p>
          <w:p w14:paraId="26F24690">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水文要素影响型建设项目同时应包括水文情势变化评价、主要水文特征值影响评价、生态流量符合性评价 □</w:t>
            </w:r>
          </w:p>
          <w:p w14:paraId="3789B87D">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对于新设或调整入河（湖库、近岸海域）排放口的建设项目，应包括排放口设置的环境合理性评价 □</w:t>
            </w:r>
          </w:p>
          <w:p w14:paraId="39775366">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满足生态保护红线、水环境质量底线、资源利用上线和环境准入清单管理要求 □</w:t>
            </w:r>
          </w:p>
        </w:tc>
      </w:tr>
      <w:tr w14:paraId="2355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461CDFD8">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restart"/>
            <w:vAlign w:val="center"/>
          </w:tcPr>
          <w:p w14:paraId="5CC447E5">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污染源排放量核算</w:t>
            </w:r>
          </w:p>
        </w:tc>
        <w:tc>
          <w:tcPr>
            <w:tcW w:w="1414" w:type="pct"/>
            <w:gridSpan w:val="4"/>
            <w:vAlign w:val="center"/>
          </w:tcPr>
          <w:p w14:paraId="710701A4">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污染物名称</w:t>
            </w:r>
          </w:p>
        </w:tc>
        <w:tc>
          <w:tcPr>
            <w:tcW w:w="1414" w:type="pct"/>
            <w:gridSpan w:val="5"/>
            <w:vAlign w:val="center"/>
          </w:tcPr>
          <w:p w14:paraId="34D6EE89">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排放量/（t/a）</w:t>
            </w:r>
          </w:p>
        </w:tc>
        <w:tc>
          <w:tcPr>
            <w:tcW w:w="1444" w:type="pct"/>
            <w:gridSpan w:val="4"/>
            <w:vAlign w:val="center"/>
          </w:tcPr>
          <w:p w14:paraId="3489BE49">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排放浓度/（mg/L）</w:t>
            </w:r>
          </w:p>
        </w:tc>
      </w:tr>
      <w:tr w14:paraId="6215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2AA93351">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continue"/>
            <w:vAlign w:val="center"/>
          </w:tcPr>
          <w:p w14:paraId="38226D1D">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1414" w:type="pct"/>
            <w:gridSpan w:val="4"/>
            <w:vAlign w:val="center"/>
          </w:tcPr>
          <w:p w14:paraId="1BC0BE57">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w:t>
            </w:r>
          </w:p>
        </w:tc>
        <w:tc>
          <w:tcPr>
            <w:tcW w:w="1414" w:type="pct"/>
            <w:gridSpan w:val="5"/>
            <w:vAlign w:val="center"/>
          </w:tcPr>
          <w:p w14:paraId="4C52CA0D">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w:t>
            </w:r>
          </w:p>
        </w:tc>
        <w:tc>
          <w:tcPr>
            <w:tcW w:w="1444" w:type="pct"/>
            <w:gridSpan w:val="4"/>
            <w:vAlign w:val="center"/>
          </w:tcPr>
          <w:p w14:paraId="1F1E2247">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w:t>
            </w:r>
          </w:p>
        </w:tc>
      </w:tr>
      <w:tr w14:paraId="4EE1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753B95DD">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restart"/>
            <w:vAlign w:val="center"/>
          </w:tcPr>
          <w:p w14:paraId="09F1432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替代源排放情况</w:t>
            </w:r>
          </w:p>
        </w:tc>
        <w:tc>
          <w:tcPr>
            <w:tcW w:w="749" w:type="pct"/>
            <w:vAlign w:val="center"/>
          </w:tcPr>
          <w:p w14:paraId="07AA49C0">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污染源名称</w:t>
            </w:r>
          </w:p>
        </w:tc>
        <w:tc>
          <w:tcPr>
            <w:tcW w:w="832" w:type="pct"/>
            <w:gridSpan w:val="4"/>
            <w:vAlign w:val="center"/>
          </w:tcPr>
          <w:p w14:paraId="2ADBF3A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排污许可证编号</w:t>
            </w:r>
          </w:p>
        </w:tc>
        <w:tc>
          <w:tcPr>
            <w:tcW w:w="915" w:type="pct"/>
            <w:gridSpan w:val="2"/>
            <w:vAlign w:val="center"/>
          </w:tcPr>
          <w:p w14:paraId="531F7AF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污染物名称</w:t>
            </w:r>
          </w:p>
        </w:tc>
        <w:tc>
          <w:tcPr>
            <w:tcW w:w="831" w:type="pct"/>
            <w:gridSpan w:val="3"/>
            <w:vAlign w:val="center"/>
          </w:tcPr>
          <w:p w14:paraId="79BDA7D4">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排放量/（t/a）</w:t>
            </w:r>
          </w:p>
        </w:tc>
        <w:tc>
          <w:tcPr>
            <w:tcW w:w="945" w:type="pct"/>
            <w:gridSpan w:val="3"/>
            <w:vAlign w:val="center"/>
          </w:tcPr>
          <w:p w14:paraId="7BDC5624">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排放浓度/（mg/L）</w:t>
            </w:r>
          </w:p>
        </w:tc>
      </w:tr>
      <w:tr w14:paraId="246C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3ED4EED6">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continue"/>
            <w:vAlign w:val="center"/>
          </w:tcPr>
          <w:p w14:paraId="09DB6FE5">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749" w:type="pct"/>
            <w:vAlign w:val="center"/>
          </w:tcPr>
          <w:p w14:paraId="42606A1A">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xml:space="preserve">（ ）  </w:t>
            </w:r>
          </w:p>
        </w:tc>
        <w:tc>
          <w:tcPr>
            <w:tcW w:w="832" w:type="pct"/>
            <w:gridSpan w:val="4"/>
            <w:vAlign w:val="center"/>
          </w:tcPr>
          <w:p w14:paraId="07D32CFC">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xml:space="preserve">（ ）  </w:t>
            </w:r>
          </w:p>
        </w:tc>
        <w:tc>
          <w:tcPr>
            <w:tcW w:w="915" w:type="pct"/>
            <w:gridSpan w:val="2"/>
            <w:vAlign w:val="center"/>
          </w:tcPr>
          <w:p w14:paraId="4B71623D">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xml:space="preserve">（ ）  </w:t>
            </w:r>
          </w:p>
        </w:tc>
        <w:tc>
          <w:tcPr>
            <w:tcW w:w="831" w:type="pct"/>
            <w:gridSpan w:val="3"/>
            <w:vAlign w:val="center"/>
          </w:tcPr>
          <w:p w14:paraId="57D29BD2">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xml:space="preserve">（ ）  </w:t>
            </w:r>
          </w:p>
        </w:tc>
        <w:tc>
          <w:tcPr>
            <w:tcW w:w="945" w:type="pct"/>
            <w:gridSpan w:val="3"/>
            <w:vAlign w:val="center"/>
          </w:tcPr>
          <w:p w14:paraId="45B0A314">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xml:space="preserve">（ ）  </w:t>
            </w:r>
          </w:p>
        </w:tc>
      </w:tr>
      <w:tr w14:paraId="7F3E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043E2DF2">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60754E84">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生态流量确定</w:t>
            </w:r>
          </w:p>
        </w:tc>
        <w:tc>
          <w:tcPr>
            <w:tcW w:w="4272" w:type="pct"/>
            <w:gridSpan w:val="13"/>
            <w:vAlign w:val="center"/>
          </w:tcPr>
          <w:p w14:paraId="0F52013D">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生态流量：一般水期（ ）m</w:t>
            </w:r>
            <w:r>
              <w:rPr>
                <w:rFonts w:ascii="Times New Roman" w:hAnsi="Times New Roman" w:cs="Times New Roman" w:eastAsiaTheme="minorEastAsia"/>
                <w:color w:val="auto"/>
                <w:w w:val="99"/>
                <w:sz w:val="18"/>
                <w:szCs w:val="18"/>
                <w:highlight w:val="none"/>
                <w:vertAlign w:val="superscript"/>
              </w:rPr>
              <w:t>3</w:t>
            </w:r>
            <w:r>
              <w:rPr>
                <w:rFonts w:ascii="Times New Roman" w:hAnsi="Times New Roman" w:cs="Times New Roman" w:eastAsiaTheme="minorEastAsia"/>
                <w:color w:val="auto"/>
                <w:w w:val="99"/>
                <w:sz w:val="18"/>
                <w:szCs w:val="18"/>
                <w:highlight w:val="none"/>
              </w:rPr>
              <w:t>/s；鱼类繁殖期（ ）m</w:t>
            </w:r>
            <w:r>
              <w:rPr>
                <w:rFonts w:ascii="Times New Roman" w:hAnsi="Times New Roman" w:cs="Times New Roman" w:eastAsiaTheme="minorEastAsia"/>
                <w:color w:val="auto"/>
                <w:w w:val="99"/>
                <w:sz w:val="18"/>
                <w:szCs w:val="18"/>
                <w:highlight w:val="none"/>
                <w:vertAlign w:val="superscript"/>
              </w:rPr>
              <w:t>3</w:t>
            </w:r>
            <w:r>
              <w:rPr>
                <w:rFonts w:ascii="Times New Roman" w:hAnsi="Times New Roman" w:cs="Times New Roman" w:eastAsiaTheme="minorEastAsia"/>
                <w:color w:val="auto"/>
                <w:w w:val="99"/>
                <w:sz w:val="18"/>
                <w:szCs w:val="18"/>
                <w:highlight w:val="none"/>
              </w:rPr>
              <w:t>/s；其他（ ）m</w:t>
            </w:r>
            <w:r>
              <w:rPr>
                <w:rFonts w:ascii="Times New Roman" w:hAnsi="Times New Roman" w:cs="Times New Roman" w:eastAsiaTheme="minorEastAsia"/>
                <w:color w:val="auto"/>
                <w:w w:val="99"/>
                <w:sz w:val="18"/>
                <w:szCs w:val="18"/>
                <w:highlight w:val="none"/>
                <w:vertAlign w:val="superscript"/>
              </w:rPr>
              <w:t>3</w:t>
            </w:r>
            <w:r>
              <w:rPr>
                <w:rFonts w:ascii="Times New Roman" w:hAnsi="Times New Roman" w:cs="Times New Roman" w:eastAsiaTheme="minorEastAsia"/>
                <w:color w:val="auto"/>
                <w:w w:val="99"/>
                <w:sz w:val="18"/>
                <w:szCs w:val="18"/>
                <w:highlight w:val="none"/>
              </w:rPr>
              <w:t>/s</w:t>
            </w:r>
          </w:p>
          <w:p w14:paraId="5806281F">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生态水位：一般水期（ ）m；鱼类繁殖期（ ）m；其他（ ）m</w:t>
            </w:r>
          </w:p>
        </w:tc>
      </w:tr>
      <w:tr w14:paraId="3C39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restart"/>
            <w:vAlign w:val="center"/>
          </w:tcPr>
          <w:p w14:paraId="0C3E241E">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防</w:t>
            </w:r>
          </w:p>
          <w:p w14:paraId="46FC4912">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治</w:t>
            </w:r>
          </w:p>
          <w:p w14:paraId="578C1DE4">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措</w:t>
            </w:r>
          </w:p>
          <w:p w14:paraId="35639250">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施</w:t>
            </w:r>
          </w:p>
        </w:tc>
        <w:tc>
          <w:tcPr>
            <w:tcW w:w="497" w:type="pct"/>
            <w:vAlign w:val="center"/>
          </w:tcPr>
          <w:p w14:paraId="47F0E2C6">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环保措施</w:t>
            </w:r>
          </w:p>
        </w:tc>
        <w:tc>
          <w:tcPr>
            <w:tcW w:w="4272" w:type="pct"/>
            <w:gridSpan w:val="13"/>
            <w:vAlign w:val="center"/>
          </w:tcPr>
          <w:p w14:paraId="7F38AC5A">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污水处理设施 □；水文减缓设施 □；生态流量保障设施 □；区域削减 □；依托其他工程措施 √；其他 □</w:t>
            </w:r>
          </w:p>
        </w:tc>
      </w:tr>
      <w:tr w14:paraId="0C11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726EED54">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restart"/>
            <w:vAlign w:val="center"/>
          </w:tcPr>
          <w:p w14:paraId="2493A442">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监测计划</w:t>
            </w:r>
          </w:p>
        </w:tc>
        <w:tc>
          <w:tcPr>
            <w:tcW w:w="1081" w:type="pct"/>
            <w:gridSpan w:val="2"/>
            <w:vAlign w:val="center"/>
          </w:tcPr>
          <w:p w14:paraId="4F112B74">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1580" w:type="pct"/>
            <w:gridSpan w:val="6"/>
            <w:vAlign w:val="center"/>
          </w:tcPr>
          <w:p w14:paraId="60BCD2D0">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环境质量</w:t>
            </w:r>
          </w:p>
        </w:tc>
        <w:tc>
          <w:tcPr>
            <w:tcW w:w="1611" w:type="pct"/>
            <w:gridSpan w:val="5"/>
            <w:vAlign w:val="center"/>
          </w:tcPr>
          <w:p w14:paraId="46F04EF4">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污染源</w:t>
            </w:r>
          </w:p>
        </w:tc>
      </w:tr>
      <w:tr w14:paraId="4449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1E547467">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continue"/>
            <w:vAlign w:val="center"/>
          </w:tcPr>
          <w:p w14:paraId="29025F66">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1081" w:type="pct"/>
            <w:gridSpan w:val="2"/>
            <w:vAlign w:val="center"/>
          </w:tcPr>
          <w:p w14:paraId="5B128693">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监测方式</w:t>
            </w:r>
          </w:p>
        </w:tc>
        <w:tc>
          <w:tcPr>
            <w:tcW w:w="1580" w:type="pct"/>
            <w:gridSpan w:val="6"/>
            <w:vAlign w:val="center"/>
          </w:tcPr>
          <w:p w14:paraId="70C189EB">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手动 □；自动 □；无监测 √</w:t>
            </w:r>
          </w:p>
        </w:tc>
        <w:tc>
          <w:tcPr>
            <w:tcW w:w="1611" w:type="pct"/>
            <w:gridSpan w:val="5"/>
            <w:vAlign w:val="center"/>
          </w:tcPr>
          <w:p w14:paraId="4BD4F861">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手动 □；自动 □；无监测 √</w:t>
            </w:r>
          </w:p>
        </w:tc>
      </w:tr>
      <w:tr w14:paraId="3084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4FD01949">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continue"/>
            <w:vAlign w:val="center"/>
          </w:tcPr>
          <w:p w14:paraId="7D66E101">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1081" w:type="pct"/>
            <w:gridSpan w:val="2"/>
            <w:vAlign w:val="center"/>
          </w:tcPr>
          <w:p w14:paraId="6ED2DB3F">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监测点位</w:t>
            </w:r>
          </w:p>
        </w:tc>
        <w:tc>
          <w:tcPr>
            <w:tcW w:w="1580" w:type="pct"/>
            <w:gridSpan w:val="6"/>
            <w:vAlign w:val="center"/>
          </w:tcPr>
          <w:p w14:paraId="2A31F1B4">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xml:space="preserve">（ ）  </w:t>
            </w:r>
          </w:p>
        </w:tc>
        <w:tc>
          <w:tcPr>
            <w:tcW w:w="1611" w:type="pct"/>
            <w:gridSpan w:val="5"/>
            <w:vAlign w:val="center"/>
          </w:tcPr>
          <w:p w14:paraId="59125CEE">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xml:space="preserve">（ ）  </w:t>
            </w:r>
          </w:p>
        </w:tc>
      </w:tr>
      <w:tr w14:paraId="6C38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55387702">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Merge w:val="continue"/>
            <w:vAlign w:val="center"/>
          </w:tcPr>
          <w:p w14:paraId="723A6BD4">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1081" w:type="pct"/>
            <w:gridSpan w:val="2"/>
            <w:vAlign w:val="center"/>
          </w:tcPr>
          <w:p w14:paraId="464797A1">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监测因子</w:t>
            </w:r>
          </w:p>
        </w:tc>
        <w:tc>
          <w:tcPr>
            <w:tcW w:w="1580" w:type="pct"/>
            <w:gridSpan w:val="6"/>
            <w:vAlign w:val="center"/>
          </w:tcPr>
          <w:p w14:paraId="4390DFD1">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xml:space="preserve">（ ）  </w:t>
            </w:r>
          </w:p>
        </w:tc>
        <w:tc>
          <w:tcPr>
            <w:tcW w:w="1611" w:type="pct"/>
            <w:gridSpan w:val="5"/>
            <w:vAlign w:val="center"/>
          </w:tcPr>
          <w:p w14:paraId="27E73715">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 xml:space="preserve">（ ）  </w:t>
            </w:r>
          </w:p>
        </w:tc>
      </w:tr>
      <w:tr w14:paraId="0649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 w:type="pct"/>
            <w:vMerge w:val="continue"/>
            <w:vAlign w:val="center"/>
          </w:tcPr>
          <w:p w14:paraId="60A2E2A0">
            <w:pPr>
              <w:widowControl w:val="0"/>
              <w:spacing w:line="220" w:lineRule="atLeast"/>
              <w:jc w:val="center"/>
              <w:rPr>
                <w:rFonts w:ascii="Times New Roman" w:hAnsi="Times New Roman" w:cs="Times New Roman" w:eastAsiaTheme="minorEastAsia"/>
                <w:color w:val="auto"/>
                <w:w w:val="99"/>
                <w:sz w:val="18"/>
                <w:szCs w:val="18"/>
                <w:highlight w:val="none"/>
              </w:rPr>
            </w:pPr>
          </w:p>
        </w:tc>
        <w:tc>
          <w:tcPr>
            <w:tcW w:w="497" w:type="pct"/>
            <w:vAlign w:val="center"/>
          </w:tcPr>
          <w:p w14:paraId="63DD0BEF">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污染物排放清单</w:t>
            </w:r>
          </w:p>
        </w:tc>
        <w:tc>
          <w:tcPr>
            <w:tcW w:w="4272" w:type="pct"/>
            <w:gridSpan w:val="13"/>
            <w:vAlign w:val="center"/>
          </w:tcPr>
          <w:p w14:paraId="321FBAAC">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w:t>
            </w:r>
          </w:p>
        </w:tc>
      </w:tr>
      <w:tr w14:paraId="2450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pct"/>
            <w:gridSpan w:val="2"/>
            <w:vAlign w:val="center"/>
          </w:tcPr>
          <w:p w14:paraId="41392A88">
            <w:pPr>
              <w:widowControl w:val="0"/>
              <w:spacing w:line="220" w:lineRule="atLeast"/>
              <w:jc w:val="center"/>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评价结论</w:t>
            </w:r>
          </w:p>
        </w:tc>
        <w:tc>
          <w:tcPr>
            <w:tcW w:w="4272" w:type="pct"/>
            <w:gridSpan w:val="13"/>
            <w:vAlign w:val="center"/>
          </w:tcPr>
          <w:p w14:paraId="492179F3">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可以接受 √；不可以接受 □</w:t>
            </w:r>
          </w:p>
        </w:tc>
      </w:tr>
      <w:tr w14:paraId="0B7D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5"/>
            <w:vAlign w:val="center"/>
          </w:tcPr>
          <w:p w14:paraId="337E3327">
            <w:pPr>
              <w:widowControl w:val="0"/>
              <w:spacing w:line="220" w:lineRule="atLeast"/>
              <w:jc w:val="both"/>
              <w:rPr>
                <w:rFonts w:ascii="Times New Roman" w:hAnsi="Times New Roman" w:cs="Times New Roman" w:eastAsiaTheme="minorEastAsia"/>
                <w:color w:val="auto"/>
                <w:w w:val="99"/>
                <w:sz w:val="18"/>
                <w:szCs w:val="18"/>
                <w:highlight w:val="none"/>
              </w:rPr>
            </w:pPr>
            <w:r>
              <w:rPr>
                <w:rFonts w:ascii="Times New Roman" w:hAnsi="Times New Roman" w:cs="Times New Roman" w:eastAsiaTheme="minorEastAsia"/>
                <w:color w:val="auto"/>
                <w:w w:val="99"/>
                <w:sz w:val="18"/>
                <w:szCs w:val="18"/>
                <w:highlight w:val="none"/>
              </w:rPr>
              <w:t>注：“□”为勾选项，可√；“（ ）”为内容填写项；“备注”为其他补充内容。</w:t>
            </w:r>
          </w:p>
        </w:tc>
      </w:tr>
    </w:tbl>
    <w:p w14:paraId="59CAE3E5">
      <w:pPr>
        <w:pStyle w:val="101"/>
        <w:ind w:left="0"/>
        <w:jc w:val="left"/>
        <w:rPr>
          <w:rFonts w:ascii="Times New Roman" w:hAnsi="Times New Roman"/>
          <w:color w:val="auto"/>
          <w:w w:val="99"/>
          <w:highlight w:val="none"/>
        </w:rPr>
      </w:pPr>
    </w:p>
    <w:p w14:paraId="5795AC72">
      <w:pPr>
        <w:pStyle w:val="104"/>
        <w:rPr>
          <w:rFonts w:hint="default" w:ascii="Times New Roman" w:hAnsi="Times New Roman"/>
          <w:color w:val="auto"/>
          <w:w w:val="99"/>
          <w:highlight w:val="none"/>
        </w:rPr>
      </w:pPr>
    </w:p>
    <w:p w14:paraId="7F242BF4">
      <w:pPr>
        <w:widowControl w:val="0"/>
        <w:spacing w:line="440" w:lineRule="exact"/>
        <w:jc w:val="both"/>
        <w:outlineLvl w:val="1"/>
        <w:rPr>
          <w:rFonts w:hint="eastAsia" w:ascii="Times New Roman" w:hAnsi="Times New Roman" w:eastAsia="宋体" w:cs="Times New Roman"/>
          <w:color w:val="auto"/>
          <w:w w:val="99"/>
          <w:kern w:val="0"/>
          <w:sz w:val="24"/>
          <w:szCs w:val="24"/>
          <w:highlight w:val="none"/>
          <w:lang w:val="en-US" w:eastAsia="zh-CN" w:bidi="zh-CN"/>
        </w:rPr>
      </w:pPr>
      <w:bookmarkStart w:id="1375" w:name="_Toc106810445"/>
      <w:bookmarkStart w:id="1376" w:name="_Toc173163577"/>
      <w:bookmarkStart w:id="1377" w:name="_Toc9364"/>
      <w:r>
        <w:rPr>
          <w:rFonts w:hint="eastAsia" w:ascii="Times New Roman" w:hAnsi="Times New Roman" w:eastAsia="宋体" w:cs="Times New Roman"/>
          <w:color w:val="auto"/>
          <w:w w:val="99"/>
          <w:kern w:val="0"/>
          <w:sz w:val="24"/>
          <w:szCs w:val="24"/>
          <w:highlight w:val="none"/>
          <w:lang w:val="en-US" w:eastAsia="zh-CN" w:bidi="zh-CN"/>
        </w:rPr>
        <w:t>附表5：生态影响评价自查表</w:t>
      </w:r>
      <w:bookmarkEnd w:id="1375"/>
      <w:bookmarkEnd w:id="1376"/>
      <w:bookmarkEnd w:id="1377"/>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701"/>
        <w:gridCol w:w="6230"/>
      </w:tblGrid>
      <w:tr w14:paraId="4EDA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0" w:type="dxa"/>
            <w:gridSpan w:val="2"/>
            <w:vAlign w:val="center"/>
          </w:tcPr>
          <w:p w14:paraId="29B731F1">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工作内容</w:t>
            </w:r>
          </w:p>
        </w:tc>
        <w:tc>
          <w:tcPr>
            <w:tcW w:w="6230" w:type="dxa"/>
            <w:vAlign w:val="center"/>
          </w:tcPr>
          <w:p w14:paraId="7403BF97">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自查项目</w:t>
            </w:r>
          </w:p>
        </w:tc>
      </w:tr>
      <w:tr w14:paraId="5612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1DC91A8A">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生态影响识别</w:t>
            </w:r>
          </w:p>
        </w:tc>
        <w:tc>
          <w:tcPr>
            <w:tcW w:w="1701" w:type="dxa"/>
            <w:vAlign w:val="center"/>
          </w:tcPr>
          <w:p w14:paraId="470BE451">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生态保护目标</w:t>
            </w:r>
          </w:p>
        </w:tc>
        <w:tc>
          <w:tcPr>
            <w:tcW w:w="6230" w:type="dxa"/>
            <w:vAlign w:val="center"/>
          </w:tcPr>
          <w:p w14:paraId="2E42DC81">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重要物种□；国家公园□；自然保护区□；自然公园□；世界自然遗产□；生态保护红线□；重要生境□；其他具有重要生态功能、对保护生物多样性具有重要意义的区域□；其他</w:t>
            </w:r>
            <w:r>
              <w:rPr>
                <w:rFonts w:ascii="Times New Roman" w:hAnsi="Times New Roman" w:cs="Times New Roman" w:eastAsiaTheme="minorEastAsia"/>
                <w:color w:val="auto"/>
                <w:w w:val="99"/>
                <w:kern w:val="21"/>
                <w:sz w:val="21"/>
                <w:szCs w:val="21"/>
                <w:highlight w:val="none"/>
              </w:rPr>
              <w:sym w:font="Wingdings" w:char="00FE"/>
            </w:r>
          </w:p>
        </w:tc>
      </w:tr>
      <w:tr w14:paraId="2F08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0FC81ADE">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701" w:type="dxa"/>
            <w:vAlign w:val="center"/>
          </w:tcPr>
          <w:p w14:paraId="0ABB7059">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影响方式</w:t>
            </w:r>
          </w:p>
        </w:tc>
        <w:tc>
          <w:tcPr>
            <w:tcW w:w="6230" w:type="dxa"/>
            <w:vAlign w:val="center"/>
          </w:tcPr>
          <w:p w14:paraId="53D1B490">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工程占用</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；施工活动干扰</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；改变环境条件□；其他□</w:t>
            </w:r>
          </w:p>
        </w:tc>
      </w:tr>
      <w:tr w14:paraId="15EA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00DD4F0F">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701" w:type="dxa"/>
            <w:vAlign w:val="center"/>
          </w:tcPr>
          <w:p w14:paraId="452EA673">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评价因子</w:t>
            </w:r>
          </w:p>
        </w:tc>
        <w:tc>
          <w:tcPr>
            <w:tcW w:w="6230" w:type="dxa"/>
            <w:vAlign w:val="center"/>
          </w:tcPr>
          <w:p w14:paraId="29B465DE">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物种</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（分布范围、种群数量、种群结构、行为）</w:t>
            </w:r>
          </w:p>
          <w:p w14:paraId="08B4BDA9">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生境</w:t>
            </w:r>
            <w:r>
              <w:rPr>
                <w:rFonts w:ascii="Times New Roman" w:hAnsi="Times New Roman" w:cs="Times New Roman" w:eastAsiaTheme="minorEastAsia"/>
                <w:color w:val="auto"/>
                <w:w w:val="99"/>
                <w:sz w:val="21"/>
                <w:szCs w:val="21"/>
                <w:highlight w:val="none"/>
              </w:rPr>
              <w:sym w:font="Wingdings" w:char="00FE"/>
            </w:r>
            <w:r>
              <w:rPr>
                <w:rFonts w:ascii="Times New Roman" w:hAnsi="Times New Roman" w:cs="Times New Roman" w:eastAsiaTheme="minorEastAsia"/>
                <w:color w:val="auto"/>
                <w:w w:val="99"/>
                <w:sz w:val="21"/>
                <w:szCs w:val="21"/>
                <w:highlight w:val="none"/>
              </w:rPr>
              <w:t>（生境面积、质量、连通性）</w:t>
            </w:r>
          </w:p>
          <w:p w14:paraId="18DC9EDD">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生物群落</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（物种组成、群落结构）</w:t>
            </w:r>
          </w:p>
          <w:p w14:paraId="62C74D0A">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生态系统</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（植被覆盖度、生产力、生物量、生态系统功能）</w:t>
            </w:r>
          </w:p>
          <w:p w14:paraId="12E360C9">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生物多样性</w:t>
            </w:r>
            <w:r>
              <w:rPr>
                <w:rFonts w:ascii="Times New Roman" w:hAnsi="Times New Roman" w:cs="Times New Roman" w:eastAsiaTheme="minorEastAsia"/>
                <w:color w:val="auto"/>
                <w:w w:val="99"/>
                <w:sz w:val="21"/>
                <w:szCs w:val="21"/>
                <w:highlight w:val="none"/>
              </w:rPr>
              <w:sym w:font="Wingdings" w:char="00FE"/>
            </w:r>
            <w:r>
              <w:rPr>
                <w:rFonts w:ascii="Times New Roman" w:hAnsi="Times New Roman" w:cs="Times New Roman" w:eastAsiaTheme="minorEastAsia"/>
                <w:color w:val="auto"/>
                <w:w w:val="99"/>
                <w:sz w:val="21"/>
                <w:szCs w:val="21"/>
                <w:highlight w:val="none"/>
              </w:rPr>
              <w:t>（物种丰富度、均匀度、优势度）</w:t>
            </w:r>
          </w:p>
          <w:p w14:paraId="3804C4EE">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生态敏感区□（ ）</w:t>
            </w:r>
          </w:p>
          <w:p w14:paraId="2A03A3FF">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自然景观□（ ）</w:t>
            </w:r>
          </w:p>
          <w:p w14:paraId="68B736B1">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自然遗迹□（ ）</w:t>
            </w:r>
          </w:p>
          <w:p w14:paraId="57BA01F6">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其他□（ ）</w:t>
            </w:r>
          </w:p>
        </w:tc>
      </w:tr>
      <w:tr w14:paraId="1CF8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0" w:type="dxa"/>
            <w:gridSpan w:val="2"/>
            <w:vAlign w:val="center"/>
          </w:tcPr>
          <w:p w14:paraId="5060C390">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评价等级</w:t>
            </w:r>
          </w:p>
        </w:tc>
        <w:tc>
          <w:tcPr>
            <w:tcW w:w="6230" w:type="dxa"/>
            <w:vAlign w:val="center"/>
          </w:tcPr>
          <w:p w14:paraId="2B3B4CA5">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 二级</w:t>
            </w:r>
            <w:r>
              <w:rPr>
                <w:rFonts w:ascii="Times New Roman" w:hAnsi="Times New Roman" w:cs="Times New Roman" w:eastAsiaTheme="minorEastAsia"/>
                <w:color w:val="auto"/>
                <w:w w:val="99"/>
                <w:sz w:val="21"/>
                <w:szCs w:val="21"/>
                <w:highlight w:val="none"/>
              </w:rPr>
              <w:sym w:font="Wingdings" w:char="00A8"/>
            </w:r>
            <w:r>
              <w:rPr>
                <w:rFonts w:ascii="Times New Roman" w:hAnsi="Times New Roman" w:cs="Times New Roman" w:eastAsiaTheme="minorEastAsia"/>
                <w:color w:val="auto"/>
                <w:w w:val="99"/>
                <w:sz w:val="21"/>
                <w:szCs w:val="21"/>
                <w:highlight w:val="none"/>
              </w:rPr>
              <w:t xml:space="preserve"> 三级</w:t>
            </w:r>
            <w:r>
              <w:rPr>
                <w:rFonts w:hint="eastAsia" w:ascii="Times New Roman" w:hAnsi="Times New Roman" w:cs="Times New Roman" w:eastAsiaTheme="minorEastAsia"/>
                <w:color w:val="auto"/>
                <w:w w:val="99"/>
                <w:kern w:val="21"/>
                <w:sz w:val="21"/>
                <w:szCs w:val="21"/>
                <w:highlight w:val="none"/>
                <w:lang w:eastAsia="zh-CN"/>
              </w:rPr>
              <w:t>☑</w:t>
            </w:r>
            <w:r>
              <w:rPr>
                <w:rFonts w:ascii="Times New Roman" w:hAnsi="Times New Roman" w:cs="Times New Roman" w:eastAsiaTheme="minorEastAsia"/>
                <w:color w:val="auto"/>
                <w:w w:val="99"/>
                <w:sz w:val="21"/>
                <w:szCs w:val="21"/>
                <w:highlight w:val="none"/>
              </w:rPr>
              <w:t xml:space="preserve"> 生态影响简单分析□</w:t>
            </w:r>
          </w:p>
        </w:tc>
      </w:tr>
      <w:tr w14:paraId="3BBE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0" w:type="dxa"/>
            <w:gridSpan w:val="2"/>
            <w:vAlign w:val="center"/>
          </w:tcPr>
          <w:p w14:paraId="7806008F">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评价范围</w:t>
            </w:r>
          </w:p>
        </w:tc>
        <w:tc>
          <w:tcPr>
            <w:tcW w:w="6230" w:type="dxa"/>
            <w:vAlign w:val="center"/>
          </w:tcPr>
          <w:p w14:paraId="195061A4">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陆域面积：（ ）km</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rPr>
              <w:t>；水域面积：（ ）km</w:t>
            </w:r>
            <w:r>
              <w:rPr>
                <w:rFonts w:ascii="Times New Roman" w:hAnsi="Times New Roman" w:cs="Times New Roman" w:eastAsiaTheme="minorEastAsia"/>
                <w:color w:val="auto"/>
                <w:w w:val="99"/>
                <w:sz w:val="21"/>
                <w:szCs w:val="21"/>
                <w:highlight w:val="none"/>
                <w:vertAlign w:val="superscript"/>
              </w:rPr>
              <w:t>2</w:t>
            </w:r>
          </w:p>
        </w:tc>
      </w:tr>
      <w:tr w14:paraId="6882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1977C0C2">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生态现状调查与评价</w:t>
            </w:r>
          </w:p>
        </w:tc>
        <w:tc>
          <w:tcPr>
            <w:tcW w:w="1701" w:type="dxa"/>
            <w:vAlign w:val="center"/>
          </w:tcPr>
          <w:p w14:paraId="222A8881">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调查方法</w:t>
            </w:r>
          </w:p>
        </w:tc>
        <w:tc>
          <w:tcPr>
            <w:tcW w:w="6230" w:type="dxa"/>
            <w:vAlign w:val="center"/>
          </w:tcPr>
          <w:p w14:paraId="54C36EEA">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资料收集</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；遥感调查</w:t>
            </w:r>
            <w:r>
              <w:rPr>
                <w:rFonts w:ascii="Times New Roman" w:hAnsi="Times New Roman" w:cs="Times New Roman" w:eastAsiaTheme="minorEastAsia"/>
                <w:color w:val="auto"/>
                <w:w w:val="99"/>
                <w:sz w:val="21"/>
                <w:szCs w:val="21"/>
                <w:highlight w:val="none"/>
              </w:rPr>
              <w:sym w:font="Wingdings" w:char="00FE"/>
            </w:r>
            <w:r>
              <w:rPr>
                <w:rFonts w:ascii="Times New Roman" w:hAnsi="Times New Roman" w:cs="Times New Roman" w:eastAsiaTheme="minorEastAsia"/>
                <w:color w:val="auto"/>
                <w:w w:val="99"/>
                <w:sz w:val="21"/>
                <w:szCs w:val="21"/>
                <w:highlight w:val="none"/>
              </w:rPr>
              <w:t>；调查样方、样线□；调查点位、断面□；专家和公众咨询法□；其他□</w:t>
            </w:r>
          </w:p>
        </w:tc>
      </w:tr>
      <w:tr w14:paraId="504A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01E72044">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701" w:type="dxa"/>
            <w:vAlign w:val="center"/>
          </w:tcPr>
          <w:p w14:paraId="1ACD7173">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调查时间</w:t>
            </w:r>
          </w:p>
        </w:tc>
        <w:tc>
          <w:tcPr>
            <w:tcW w:w="6230" w:type="dxa"/>
            <w:vAlign w:val="center"/>
          </w:tcPr>
          <w:p w14:paraId="56860AB7">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春季□；夏季</w:t>
            </w:r>
            <w:r>
              <w:rPr>
                <w:rFonts w:ascii="Times New Roman" w:hAnsi="Times New Roman" w:cs="Times New Roman" w:eastAsiaTheme="minorEastAsia"/>
                <w:color w:val="auto"/>
                <w:w w:val="99"/>
                <w:kern w:val="21"/>
                <w:sz w:val="21"/>
                <w:szCs w:val="21"/>
                <w:highlight w:val="none"/>
              </w:rPr>
              <w:t>□</w:t>
            </w:r>
            <w:r>
              <w:rPr>
                <w:rFonts w:ascii="Times New Roman" w:hAnsi="Times New Roman" w:cs="Times New Roman" w:eastAsiaTheme="minorEastAsia"/>
                <w:color w:val="auto"/>
                <w:w w:val="99"/>
                <w:sz w:val="21"/>
                <w:szCs w:val="21"/>
                <w:highlight w:val="none"/>
              </w:rPr>
              <w:t>；秋季</w:t>
            </w:r>
            <w:r>
              <w:rPr>
                <w:rFonts w:ascii="Times New Roman" w:hAnsi="Times New Roman" w:cs="Times New Roman" w:eastAsiaTheme="minorEastAsia"/>
                <w:color w:val="auto"/>
                <w:w w:val="99"/>
                <w:sz w:val="21"/>
                <w:szCs w:val="21"/>
                <w:highlight w:val="none"/>
              </w:rPr>
              <w:sym w:font="Wingdings" w:char="00FE"/>
            </w:r>
            <w:r>
              <w:rPr>
                <w:rFonts w:ascii="Times New Roman" w:hAnsi="Times New Roman" w:cs="Times New Roman" w:eastAsiaTheme="minorEastAsia"/>
                <w:color w:val="auto"/>
                <w:w w:val="99"/>
                <w:sz w:val="21"/>
                <w:szCs w:val="21"/>
                <w:highlight w:val="none"/>
              </w:rPr>
              <w:t>；冬季□</w:t>
            </w:r>
          </w:p>
          <w:p w14:paraId="6F55F953">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丰水期□；枯水期□；平水期□</w:t>
            </w:r>
          </w:p>
        </w:tc>
      </w:tr>
      <w:tr w14:paraId="7635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646A6483">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701" w:type="dxa"/>
            <w:vAlign w:val="center"/>
          </w:tcPr>
          <w:p w14:paraId="609ED319">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所在区域的生态问题</w:t>
            </w:r>
          </w:p>
        </w:tc>
        <w:tc>
          <w:tcPr>
            <w:tcW w:w="6230" w:type="dxa"/>
            <w:vAlign w:val="center"/>
          </w:tcPr>
          <w:p w14:paraId="48155A4C">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水土流失□；沙漠化□；石漠化□；盐渍化□；生物入侵□；污染危害□；其他□</w:t>
            </w:r>
          </w:p>
        </w:tc>
      </w:tr>
      <w:tr w14:paraId="0D43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0C9A92B0">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701" w:type="dxa"/>
            <w:vAlign w:val="center"/>
          </w:tcPr>
          <w:p w14:paraId="20FA22A9">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评价内容</w:t>
            </w:r>
          </w:p>
        </w:tc>
        <w:tc>
          <w:tcPr>
            <w:tcW w:w="6230" w:type="dxa"/>
            <w:vAlign w:val="center"/>
          </w:tcPr>
          <w:p w14:paraId="37107421">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植被/植物群落</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；土地利用</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；生态系统</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；生物多样性</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；重要物种□；生态敏感区□；其他□</w:t>
            </w:r>
          </w:p>
        </w:tc>
      </w:tr>
      <w:tr w14:paraId="03E7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7F468CDC">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生态影响预测与评价</w:t>
            </w:r>
          </w:p>
        </w:tc>
        <w:tc>
          <w:tcPr>
            <w:tcW w:w="1701" w:type="dxa"/>
            <w:vAlign w:val="center"/>
          </w:tcPr>
          <w:p w14:paraId="5096DC11">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评价方法</w:t>
            </w:r>
          </w:p>
        </w:tc>
        <w:tc>
          <w:tcPr>
            <w:tcW w:w="6230" w:type="dxa"/>
            <w:vAlign w:val="center"/>
          </w:tcPr>
          <w:p w14:paraId="468553AA">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定性</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；定性和定量□</w:t>
            </w:r>
          </w:p>
        </w:tc>
      </w:tr>
      <w:tr w14:paraId="0A85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6117FF9B">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701" w:type="dxa"/>
            <w:vAlign w:val="center"/>
          </w:tcPr>
          <w:p w14:paraId="70B5DA23">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评价内容</w:t>
            </w:r>
          </w:p>
        </w:tc>
        <w:tc>
          <w:tcPr>
            <w:tcW w:w="6230" w:type="dxa"/>
            <w:vAlign w:val="center"/>
          </w:tcPr>
          <w:p w14:paraId="0B7E6216">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植被/植物群落</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；土地利用</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；生态系统</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；生物多样性</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；重要物种□；生态敏感区□；生物入侵风险□；其他□</w:t>
            </w:r>
          </w:p>
        </w:tc>
      </w:tr>
      <w:tr w14:paraId="4E9A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415AADE8">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生态保护对策措施</w:t>
            </w:r>
          </w:p>
        </w:tc>
        <w:tc>
          <w:tcPr>
            <w:tcW w:w="1701" w:type="dxa"/>
            <w:vAlign w:val="center"/>
          </w:tcPr>
          <w:p w14:paraId="4ECE69EF">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对策措施</w:t>
            </w:r>
          </w:p>
        </w:tc>
        <w:tc>
          <w:tcPr>
            <w:tcW w:w="6230" w:type="dxa"/>
            <w:vAlign w:val="center"/>
          </w:tcPr>
          <w:p w14:paraId="5FC2C8B1">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避让□；减缓</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；生态修复</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；生态补偿</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；科研□；其他□</w:t>
            </w:r>
          </w:p>
        </w:tc>
      </w:tr>
      <w:tr w14:paraId="179C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0B5BA386">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701" w:type="dxa"/>
            <w:vAlign w:val="center"/>
          </w:tcPr>
          <w:p w14:paraId="559CF710">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生态监测计划</w:t>
            </w:r>
          </w:p>
        </w:tc>
        <w:tc>
          <w:tcPr>
            <w:tcW w:w="6230" w:type="dxa"/>
            <w:vAlign w:val="center"/>
          </w:tcPr>
          <w:p w14:paraId="01BF012D">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全生命周期</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；长期跟踪□；常规□；无□</w:t>
            </w:r>
          </w:p>
        </w:tc>
      </w:tr>
      <w:tr w14:paraId="58F6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735BA17B">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701" w:type="dxa"/>
            <w:vAlign w:val="center"/>
          </w:tcPr>
          <w:p w14:paraId="1D4EF182">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环境管理</w:t>
            </w:r>
          </w:p>
        </w:tc>
        <w:tc>
          <w:tcPr>
            <w:tcW w:w="6230" w:type="dxa"/>
            <w:vAlign w:val="center"/>
          </w:tcPr>
          <w:p w14:paraId="7893CB95">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环境监理</w:t>
            </w:r>
            <w:r>
              <w:rPr>
                <w:rFonts w:ascii="Times New Roman" w:hAnsi="Times New Roman" w:cs="Times New Roman" w:eastAsiaTheme="minorEastAsia"/>
                <w:color w:val="auto"/>
                <w:w w:val="99"/>
                <w:kern w:val="21"/>
                <w:sz w:val="21"/>
                <w:szCs w:val="21"/>
                <w:highlight w:val="none"/>
              </w:rPr>
              <w:t>□</w:t>
            </w:r>
            <w:r>
              <w:rPr>
                <w:rFonts w:ascii="Times New Roman" w:hAnsi="Times New Roman" w:cs="Times New Roman" w:eastAsiaTheme="minorEastAsia"/>
                <w:color w:val="auto"/>
                <w:w w:val="99"/>
                <w:sz w:val="21"/>
                <w:szCs w:val="21"/>
                <w:highlight w:val="none"/>
              </w:rPr>
              <w:t>；环境影响后评价□；其他</w:t>
            </w:r>
            <w:r>
              <w:rPr>
                <w:rFonts w:ascii="Times New Roman" w:hAnsi="Times New Roman" w:cs="Times New Roman" w:eastAsiaTheme="minorEastAsia"/>
                <w:color w:val="auto"/>
                <w:w w:val="99"/>
                <w:sz w:val="21"/>
                <w:szCs w:val="21"/>
                <w:highlight w:val="none"/>
              </w:rPr>
              <w:sym w:font="Wingdings" w:char="00FE"/>
            </w:r>
          </w:p>
        </w:tc>
      </w:tr>
      <w:tr w14:paraId="3F9E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Align w:val="center"/>
          </w:tcPr>
          <w:p w14:paraId="7502822B">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评价结论</w:t>
            </w:r>
          </w:p>
        </w:tc>
        <w:tc>
          <w:tcPr>
            <w:tcW w:w="1701" w:type="dxa"/>
            <w:vAlign w:val="center"/>
          </w:tcPr>
          <w:p w14:paraId="7C48B0D7">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生态影响</w:t>
            </w:r>
          </w:p>
        </w:tc>
        <w:tc>
          <w:tcPr>
            <w:tcW w:w="6230" w:type="dxa"/>
            <w:vAlign w:val="center"/>
          </w:tcPr>
          <w:p w14:paraId="0BB526D0">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可行</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；不可行□</w:t>
            </w:r>
          </w:p>
        </w:tc>
      </w:tr>
      <w:tr w14:paraId="31A1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0" w:type="dxa"/>
            <w:gridSpan w:val="3"/>
            <w:vAlign w:val="center"/>
          </w:tcPr>
          <w:p w14:paraId="46471FF5">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注： “□” 为勾选项 ，可√ ；“（ ）” 为内容填写项。</w:t>
            </w:r>
          </w:p>
        </w:tc>
      </w:tr>
    </w:tbl>
    <w:p w14:paraId="2A8D7D05">
      <w:pPr>
        <w:rPr>
          <w:rFonts w:ascii="Times New Roman" w:hAnsi="Times New Roman" w:cs="Times New Roman"/>
          <w:color w:val="auto"/>
          <w:w w:val="99"/>
          <w:highlight w:val="none"/>
        </w:rPr>
      </w:pPr>
    </w:p>
    <w:p w14:paraId="1101E762">
      <w:pPr>
        <w:pStyle w:val="104"/>
        <w:rPr>
          <w:rFonts w:hint="default" w:ascii="Times New Roman" w:hAnsi="Times New Roman"/>
          <w:color w:val="auto"/>
          <w:w w:val="99"/>
          <w:highlight w:val="none"/>
        </w:rPr>
      </w:pPr>
    </w:p>
    <w:p w14:paraId="111667C8">
      <w:pPr>
        <w:pStyle w:val="104"/>
        <w:rPr>
          <w:rFonts w:hint="default" w:ascii="Times New Roman" w:hAnsi="Times New Roman"/>
          <w:color w:val="auto"/>
          <w:w w:val="99"/>
          <w:highlight w:val="none"/>
        </w:rPr>
      </w:pPr>
    </w:p>
    <w:p w14:paraId="23981A95">
      <w:pPr>
        <w:pStyle w:val="104"/>
        <w:rPr>
          <w:rFonts w:hint="default" w:ascii="Times New Roman" w:hAnsi="Times New Roman"/>
          <w:color w:val="auto"/>
          <w:w w:val="99"/>
          <w:highlight w:val="none"/>
        </w:rPr>
      </w:pPr>
    </w:p>
    <w:p w14:paraId="1D407F14">
      <w:pPr>
        <w:pStyle w:val="104"/>
        <w:rPr>
          <w:rFonts w:hint="default" w:ascii="Times New Roman" w:hAnsi="Times New Roman"/>
          <w:color w:val="auto"/>
          <w:w w:val="99"/>
          <w:highlight w:val="none"/>
        </w:rPr>
      </w:pPr>
    </w:p>
    <w:p w14:paraId="4E57D78A">
      <w:pPr>
        <w:pStyle w:val="104"/>
        <w:rPr>
          <w:rFonts w:hint="default" w:ascii="Times New Roman" w:hAnsi="Times New Roman"/>
          <w:color w:val="auto"/>
          <w:w w:val="99"/>
          <w:highlight w:val="none"/>
        </w:rPr>
      </w:pPr>
    </w:p>
    <w:p w14:paraId="1AF4A898">
      <w:pPr>
        <w:pStyle w:val="104"/>
        <w:rPr>
          <w:rFonts w:hint="default" w:ascii="Times New Roman" w:hAnsi="Times New Roman"/>
          <w:color w:val="auto"/>
          <w:w w:val="99"/>
          <w:highlight w:val="none"/>
        </w:rPr>
      </w:pPr>
    </w:p>
    <w:p w14:paraId="17FEA404">
      <w:pPr>
        <w:pStyle w:val="104"/>
        <w:rPr>
          <w:rFonts w:hint="default" w:ascii="Times New Roman" w:hAnsi="Times New Roman"/>
          <w:color w:val="auto"/>
          <w:w w:val="99"/>
          <w:highlight w:val="none"/>
        </w:rPr>
      </w:pPr>
    </w:p>
    <w:p w14:paraId="36F4926E">
      <w:pPr>
        <w:widowControl w:val="0"/>
        <w:spacing w:line="440" w:lineRule="exact"/>
        <w:jc w:val="both"/>
        <w:outlineLvl w:val="1"/>
        <w:rPr>
          <w:rFonts w:hint="eastAsia" w:ascii="Times New Roman" w:hAnsi="Times New Roman" w:eastAsia="宋体" w:cs="Times New Roman"/>
          <w:color w:val="auto"/>
          <w:w w:val="99"/>
          <w:kern w:val="0"/>
          <w:sz w:val="24"/>
          <w:szCs w:val="24"/>
          <w:highlight w:val="none"/>
          <w:lang w:val="en-US" w:eastAsia="zh-CN" w:bidi="zh-CN"/>
        </w:rPr>
      </w:pPr>
      <w:bookmarkStart w:id="1378" w:name="_Toc106810446"/>
      <w:bookmarkStart w:id="1379" w:name="_Toc173163578"/>
      <w:bookmarkStart w:id="1380" w:name="_Toc11592"/>
      <w:r>
        <w:rPr>
          <w:rFonts w:hint="eastAsia" w:ascii="Times New Roman" w:hAnsi="Times New Roman" w:eastAsia="宋体" w:cs="Times New Roman"/>
          <w:color w:val="auto"/>
          <w:w w:val="99"/>
          <w:kern w:val="0"/>
          <w:sz w:val="24"/>
          <w:szCs w:val="24"/>
          <w:highlight w:val="none"/>
          <w:lang w:val="en-US" w:eastAsia="zh-CN" w:bidi="zh-CN"/>
        </w:rPr>
        <w:t>附表6：声环境影响评价自查表</w:t>
      </w:r>
      <w:bookmarkEnd w:id="1378"/>
      <w:bookmarkEnd w:id="1379"/>
      <w:bookmarkEnd w:id="1380"/>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132"/>
        <w:gridCol w:w="1132"/>
        <w:gridCol w:w="568"/>
        <w:gridCol w:w="284"/>
        <w:gridCol w:w="280"/>
        <w:gridCol w:w="1133"/>
        <w:gridCol w:w="1133"/>
        <w:gridCol w:w="572"/>
        <w:gridCol w:w="561"/>
        <w:gridCol w:w="1133"/>
      </w:tblGrid>
      <w:tr w14:paraId="345E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4" w:type="dxa"/>
            <w:gridSpan w:val="2"/>
            <w:vAlign w:val="center"/>
          </w:tcPr>
          <w:p w14:paraId="5FA25D2D">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工作内容</w:t>
            </w:r>
          </w:p>
        </w:tc>
        <w:tc>
          <w:tcPr>
            <w:tcW w:w="6796" w:type="dxa"/>
            <w:gridSpan w:val="9"/>
            <w:vAlign w:val="center"/>
          </w:tcPr>
          <w:p w14:paraId="72DD71AB">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自查项目</w:t>
            </w:r>
          </w:p>
        </w:tc>
      </w:tr>
      <w:tr w14:paraId="44C8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restart"/>
            <w:vAlign w:val="center"/>
          </w:tcPr>
          <w:p w14:paraId="2DB94BA9">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评价等级与范围</w:t>
            </w:r>
          </w:p>
        </w:tc>
        <w:tc>
          <w:tcPr>
            <w:tcW w:w="1132" w:type="dxa"/>
            <w:vAlign w:val="center"/>
          </w:tcPr>
          <w:p w14:paraId="38984DE3">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评价等级</w:t>
            </w:r>
          </w:p>
        </w:tc>
        <w:tc>
          <w:tcPr>
            <w:tcW w:w="6796" w:type="dxa"/>
            <w:gridSpan w:val="9"/>
            <w:vAlign w:val="center"/>
          </w:tcPr>
          <w:p w14:paraId="45F0DFD8">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 二级</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三级□</w:t>
            </w:r>
          </w:p>
        </w:tc>
      </w:tr>
      <w:tr w14:paraId="5DFE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536F56A7">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132" w:type="dxa"/>
            <w:vAlign w:val="center"/>
          </w:tcPr>
          <w:p w14:paraId="715C173C">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评价范围</w:t>
            </w:r>
          </w:p>
        </w:tc>
        <w:tc>
          <w:tcPr>
            <w:tcW w:w="6796" w:type="dxa"/>
            <w:gridSpan w:val="9"/>
            <w:vAlign w:val="center"/>
          </w:tcPr>
          <w:p w14:paraId="74F45F71">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 m</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大于 200 m□ 小于 200 m□</w:t>
            </w:r>
          </w:p>
        </w:tc>
      </w:tr>
      <w:tr w14:paraId="6F36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020DE06C">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评价因子</w:t>
            </w:r>
          </w:p>
        </w:tc>
        <w:tc>
          <w:tcPr>
            <w:tcW w:w="1132" w:type="dxa"/>
            <w:vAlign w:val="center"/>
          </w:tcPr>
          <w:p w14:paraId="696733CC">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评价因子</w:t>
            </w:r>
          </w:p>
        </w:tc>
        <w:tc>
          <w:tcPr>
            <w:tcW w:w="6796" w:type="dxa"/>
            <w:gridSpan w:val="9"/>
            <w:vAlign w:val="center"/>
          </w:tcPr>
          <w:p w14:paraId="373B0B87">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等效连续A声级</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最大A声级□ 计权等效连续感觉噪声级□</w:t>
            </w:r>
          </w:p>
        </w:tc>
      </w:tr>
      <w:tr w14:paraId="536B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0871D91B">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评价标准</w:t>
            </w:r>
          </w:p>
        </w:tc>
        <w:tc>
          <w:tcPr>
            <w:tcW w:w="1132" w:type="dxa"/>
            <w:vAlign w:val="center"/>
          </w:tcPr>
          <w:p w14:paraId="12A2914A">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评价标准</w:t>
            </w:r>
          </w:p>
        </w:tc>
        <w:tc>
          <w:tcPr>
            <w:tcW w:w="6796" w:type="dxa"/>
            <w:gridSpan w:val="9"/>
            <w:vAlign w:val="center"/>
          </w:tcPr>
          <w:p w14:paraId="01AC8B5E">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国家标准</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地方标准□ 国外标准□</w:t>
            </w:r>
          </w:p>
        </w:tc>
      </w:tr>
      <w:tr w14:paraId="4AA6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restart"/>
            <w:vAlign w:val="center"/>
          </w:tcPr>
          <w:p w14:paraId="5771A0EB">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现状评价</w:t>
            </w:r>
          </w:p>
        </w:tc>
        <w:tc>
          <w:tcPr>
            <w:tcW w:w="1132" w:type="dxa"/>
            <w:vAlign w:val="center"/>
          </w:tcPr>
          <w:p w14:paraId="3D372D8A">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环境功能区</w:t>
            </w:r>
          </w:p>
        </w:tc>
        <w:tc>
          <w:tcPr>
            <w:tcW w:w="1132" w:type="dxa"/>
            <w:vAlign w:val="center"/>
          </w:tcPr>
          <w:p w14:paraId="08DADCA1">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 类区□</w:t>
            </w:r>
          </w:p>
        </w:tc>
        <w:tc>
          <w:tcPr>
            <w:tcW w:w="1132" w:type="dxa"/>
            <w:gridSpan w:val="3"/>
            <w:vAlign w:val="center"/>
          </w:tcPr>
          <w:p w14:paraId="4F4EC9A1">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 类区</w:t>
            </w:r>
            <w:r>
              <w:rPr>
                <w:rFonts w:ascii="Times New Roman" w:hAnsi="Times New Roman" w:cs="Times New Roman" w:eastAsiaTheme="minorEastAsia"/>
                <w:color w:val="auto"/>
                <w:w w:val="99"/>
                <w:kern w:val="21"/>
                <w:sz w:val="21"/>
                <w:szCs w:val="21"/>
                <w:highlight w:val="none"/>
              </w:rPr>
              <w:sym w:font="Wingdings" w:char="00FE"/>
            </w:r>
          </w:p>
        </w:tc>
        <w:tc>
          <w:tcPr>
            <w:tcW w:w="1133" w:type="dxa"/>
            <w:vAlign w:val="center"/>
          </w:tcPr>
          <w:p w14:paraId="1C9A07B9">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 类区</w:t>
            </w:r>
            <w:r>
              <w:rPr>
                <w:rFonts w:ascii="Times New Roman" w:hAnsi="Times New Roman" w:cs="Times New Roman" w:eastAsiaTheme="minorEastAsia"/>
                <w:color w:val="auto"/>
                <w:w w:val="99"/>
                <w:kern w:val="21"/>
                <w:sz w:val="21"/>
                <w:szCs w:val="21"/>
                <w:highlight w:val="none"/>
              </w:rPr>
              <w:sym w:font="Wingdings" w:char="00FE"/>
            </w:r>
          </w:p>
        </w:tc>
        <w:tc>
          <w:tcPr>
            <w:tcW w:w="1133" w:type="dxa"/>
            <w:vAlign w:val="center"/>
          </w:tcPr>
          <w:p w14:paraId="5C26FCB4">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 类区□</w:t>
            </w:r>
          </w:p>
        </w:tc>
        <w:tc>
          <w:tcPr>
            <w:tcW w:w="1133" w:type="dxa"/>
            <w:gridSpan w:val="2"/>
            <w:vAlign w:val="center"/>
          </w:tcPr>
          <w:p w14:paraId="5EB95D94">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4a 类区□</w:t>
            </w:r>
          </w:p>
        </w:tc>
        <w:tc>
          <w:tcPr>
            <w:tcW w:w="1133" w:type="dxa"/>
            <w:vAlign w:val="center"/>
          </w:tcPr>
          <w:p w14:paraId="0847EEF4">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4b 类区□</w:t>
            </w:r>
          </w:p>
        </w:tc>
      </w:tr>
      <w:tr w14:paraId="17B6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7B444B4A">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132" w:type="dxa"/>
            <w:vAlign w:val="center"/>
          </w:tcPr>
          <w:p w14:paraId="060948C0">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评价年度</w:t>
            </w:r>
          </w:p>
        </w:tc>
        <w:tc>
          <w:tcPr>
            <w:tcW w:w="1700" w:type="dxa"/>
            <w:gridSpan w:val="2"/>
            <w:vAlign w:val="center"/>
          </w:tcPr>
          <w:p w14:paraId="2D38B2C3">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初期□</w:t>
            </w:r>
          </w:p>
        </w:tc>
        <w:tc>
          <w:tcPr>
            <w:tcW w:w="1697" w:type="dxa"/>
            <w:gridSpan w:val="3"/>
            <w:vAlign w:val="center"/>
          </w:tcPr>
          <w:p w14:paraId="732EA17A">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近期</w:t>
            </w:r>
            <w:r>
              <w:rPr>
                <w:rFonts w:ascii="Times New Roman" w:hAnsi="Times New Roman" w:cs="Times New Roman" w:eastAsiaTheme="minorEastAsia"/>
                <w:color w:val="auto"/>
                <w:w w:val="99"/>
                <w:kern w:val="21"/>
                <w:sz w:val="21"/>
                <w:szCs w:val="21"/>
                <w:highlight w:val="none"/>
              </w:rPr>
              <w:sym w:font="Wingdings" w:char="00FE"/>
            </w:r>
          </w:p>
        </w:tc>
        <w:tc>
          <w:tcPr>
            <w:tcW w:w="1705" w:type="dxa"/>
            <w:gridSpan w:val="2"/>
            <w:vAlign w:val="center"/>
          </w:tcPr>
          <w:p w14:paraId="5EF5BFD4">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中期□</w:t>
            </w:r>
          </w:p>
        </w:tc>
        <w:tc>
          <w:tcPr>
            <w:tcW w:w="1694" w:type="dxa"/>
            <w:gridSpan w:val="2"/>
            <w:vAlign w:val="center"/>
          </w:tcPr>
          <w:p w14:paraId="14CD0142">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远期□</w:t>
            </w:r>
          </w:p>
        </w:tc>
      </w:tr>
      <w:tr w14:paraId="472B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3C5B61B3">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132" w:type="dxa"/>
            <w:vAlign w:val="center"/>
          </w:tcPr>
          <w:p w14:paraId="18BFDB42">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现状调查方法</w:t>
            </w:r>
          </w:p>
        </w:tc>
        <w:tc>
          <w:tcPr>
            <w:tcW w:w="6796" w:type="dxa"/>
            <w:gridSpan w:val="9"/>
            <w:vAlign w:val="center"/>
          </w:tcPr>
          <w:p w14:paraId="134B348B">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现场实测法</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现场实测加模型计算法□ 收集资料□</w:t>
            </w:r>
          </w:p>
        </w:tc>
      </w:tr>
      <w:tr w14:paraId="6AEC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677B2565">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132" w:type="dxa"/>
            <w:vAlign w:val="center"/>
          </w:tcPr>
          <w:p w14:paraId="7A5681FC">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现状评价</w:t>
            </w:r>
          </w:p>
        </w:tc>
        <w:tc>
          <w:tcPr>
            <w:tcW w:w="1984" w:type="dxa"/>
            <w:gridSpan w:val="3"/>
            <w:vAlign w:val="center"/>
          </w:tcPr>
          <w:p w14:paraId="63C588C5">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达标百分比</w:t>
            </w:r>
          </w:p>
        </w:tc>
        <w:tc>
          <w:tcPr>
            <w:tcW w:w="4812" w:type="dxa"/>
            <w:gridSpan w:val="6"/>
            <w:vAlign w:val="center"/>
          </w:tcPr>
          <w:p w14:paraId="2C1CE0E2">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100%</w:t>
            </w:r>
          </w:p>
        </w:tc>
      </w:tr>
      <w:tr w14:paraId="5D3B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7BC1885A">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噪声源调查</w:t>
            </w:r>
          </w:p>
        </w:tc>
        <w:tc>
          <w:tcPr>
            <w:tcW w:w="1132" w:type="dxa"/>
            <w:vAlign w:val="center"/>
          </w:tcPr>
          <w:p w14:paraId="4A98E5A6">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噪声源调查方法</w:t>
            </w:r>
          </w:p>
        </w:tc>
        <w:tc>
          <w:tcPr>
            <w:tcW w:w="6796" w:type="dxa"/>
            <w:gridSpan w:val="9"/>
            <w:vAlign w:val="center"/>
          </w:tcPr>
          <w:p w14:paraId="66AEDC02">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现场实测</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已有资料</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研究成果□</w:t>
            </w:r>
          </w:p>
        </w:tc>
      </w:tr>
      <w:tr w14:paraId="7970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restart"/>
            <w:vAlign w:val="center"/>
          </w:tcPr>
          <w:p w14:paraId="3ED0F003">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声环境影响预测与评价</w:t>
            </w:r>
          </w:p>
        </w:tc>
        <w:tc>
          <w:tcPr>
            <w:tcW w:w="1132" w:type="dxa"/>
            <w:vAlign w:val="center"/>
          </w:tcPr>
          <w:p w14:paraId="7094725D">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预测模型</w:t>
            </w:r>
          </w:p>
        </w:tc>
        <w:tc>
          <w:tcPr>
            <w:tcW w:w="6796" w:type="dxa"/>
            <w:gridSpan w:val="9"/>
            <w:vAlign w:val="center"/>
          </w:tcPr>
          <w:p w14:paraId="09F43A5F">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导则推荐模型</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其他□</w:t>
            </w:r>
            <w:r>
              <w:rPr>
                <w:rFonts w:ascii="Times New Roman" w:hAnsi="Times New Roman" w:cs="Times New Roman" w:eastAsiaTheme="minorEastAsia"/>
                <w:color w:val="auto"/>
                <w:w w:val="99"/>
                <w:sz w:val="21"/>
                <w:szCs w:val="21"/>
                <w:highlight w:val="none"/>
                <w:u w:val="single"/>
              </w:rPr>
              <w:t xml:space="preserve">    </w:t>
            </w:r>
          </w:p>
        </w:tc>
      </w:tr>
      <w:tr w14:paraId="1BAD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59D24F87">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132" w:type="dxa"/>
            <w:vAlign w:val="center"/>
          </w:tcPr>
          <w:p w14:paraId="7441D9DD">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预测范围</w:t>
            </w:r>
          </w:p>
        </w:tc>
        <w:tc>
          <w:tcPr>
            <w:tcW w:w="6796" w:type="dxa"/>
            <w:gridSpan w:val="9"/>
            <w:vAlign w:val="center"/>
          </w:tcPr>
          <w:p w14:paraId="1D4FDBBD">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 m</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大于 200 m□ 小于 200 m□</w:t>
            </w:r>
          </w:p>
        </w:tc>
      </w:tr>
      <w:tr w14:paraId="59C9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6E75A36B">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132" w:type="dxa"/>
            <w:vAlign w:val="center"/>
          </w:tcPr>
          <w:p w14:paraId="320B288C">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预测因子</w:t>
            </w:r>
          </w:p>
        </w:tc>
        <w:tc>
          <w:tcPr>
            <w:tcW w:w="6796" w:type="dxa"/>
            <w:gridSpan w:val="9"/>
            <w:vAlign w:val="center"/>
          </w:tcPr>
          <w:p w14:paraId="711F5341">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等效连续 A 声级</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最大 A 声级□ 计权等效连续感觉噪声级□</w:t>
            </w:r>
          </w:p>
        </w:tc>
      </w:tr>
      <w:tr w14:paraId="71CD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30C95E32">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132" w:type="dxa"/>
            <w:vAlign w:val="center"/>
          </w:tcPr>
          <w:p w14:paraId="382F698C">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厂界噪声贡献值</w:t>
            </w:r>
          </w:p>
        </w:tc>
        <w:tc>
          <w:tcPr>
            <w:tcW w:w="6796" w:type="dxa"/>
            <w:gridSpan w:val="9"/>
            <w:vAlign w:val="center"/>
          </w:tcPr>
          <w:p w14:paraId="0DF10158">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达标 </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不达标□</w:t>
            </w:r>
          </w:p>
        </w:tc>
      </w:tr>
      <w:tr w14:paraId="2E84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6BFCF243">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132" w:type="dxa"/>
            <w:vAlign w:val="center"/>
          </w:tcPr>
          <w:p w14:paraId="61E6E8DA">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声环境保护目标处噪声值</w:t>
            </w:r>
          </w:p>
        </w:tc>
        <w:tc>
          <w:tcPr>
            <w:tcW w:w="6796" w:type="dxa"/>
            <w:gridSpan w:val="9"/>
            <w:vAlign w:val="center"/>
          </w:tcPr>
          <w:p w14:paraId="727FDE6A">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达标 </w:t>
            </w:r>
            <w:r>
              <w:rPr>
                <w:rFonts w:ascii="Times New Roman" w:hAnsi="Times New Roman" w:cs="Times New Roman" w:eastAsiaTheme="minorEastAsia"/>
                <w:color w:val="auto"/>
                <w:w w:val="99"/>
                <w:kern w:val="21"/>
                <w:sz w:val="21"/>
                <w:szCs w:val="21"/>
                <w:highlight w:val="none"/>
              </w:rPr>
              <w:sym w:font="Wingdings" w:char="00A8"/>
            </w:r>
            <w:r>
              <w:rPr>
                <w:rFonts w:ascii="Times New Roman" w:hAnsi="Times New Roman" w:cs="Times New Roman" w:eastAsiaTheme="minorEastAsia"/>
                <w:color w:val="auto"/>
                <w:w w:val="99"/>
                <w:sz w:val="21"/>
                <w:szCs w:val="21"/>
                <w:highlight w:val="none"/>
              </w:rPr>
              <w:t xml:space="preserve"> 不达标□</w:t>
            </w:r>
          </w:p>
        </w:tc>
      </w:tr>
      <w:tr w14:paraId="00A2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restart"/>
            <w:vAlign w:val="center"/>
          </w:tcPr>
          <w:p w14:paraId="2D1324BA">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环境监测计划</w:t>
            </w:r>
          </w:p>
        </w:tc>
        <w:tc>
          <w:tcPr>
            <w:tcW w:w="1132" w:type="dxa"/>
            <w:vAlign w:val="center"/>
          </w:tcPr>
          <w:p w14:paraId="5274B38F">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排放监测</w:t>
            </w:r>
          </w:p>
        </w:tc>
        <w:tc>
          <w:tcPr>
            <w:tcW w:w="6796" w:type="dxa"/>
            <w:gridSpan w:val="9"/>
            <w:vAlign w:val="center"/>
          </w:tcPr>
          <w:p w14:paraId="6219536F">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厂界监测</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固定位置监测□ 自动监测□ 手动监测□ 无监测□</w:t>
            </w:r>
          </w:p>
        </w:tc>
      </w:tr>
      <w:tr w14:paraId="1E08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7AA230B1">
            <w:pPr>
              <w:widowControl w:val="0"/>
              <w:spacing w:line="320" w:lineRule="exact"/>
              <w:jc w:val="center"/>
              <w:rPr>
                <w:rFonts w:ascii="Times New Roman" w:hAnsi="Times New Roman" w:cs="Times New Roman" w:eastAsiaTheme="minorEastAsia"/>
                <w:color w:val="auto"/>
                <w:w w:val="99"/>
                <w:sz w:val="21"/>
                <w:szCs w:val="21"/>
                <w:highlight w:val="none"/>
              </w:rPr>
            </w:pPr>
          </w:p>
        </w:tc>
        <w:tc>
          <w:tcPr>
            <w:tcW w:w="1132" w:type="dxa"/>
            <w:vAlign w:val="center"/>
          </w:tcPr>
          <w:p w14:paraId="3B33021E">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声环境保护目标处噪声监测</w:t>
            </w:r>
          </w:p>
        </w:tc>
        <w:tc>
          <w:tcPr>
            <w:tcW w:w="2264" w:type="dxa"/>
            <w:gridSpan w:val="4"/>
            <w:vAlign w:val="center"/>
          </w:tcPr>
          <w:p w14:paraId="2EE51C08">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监测因子：（ ）</w:t>
            </w:r>
          </w:p>
        </w:tc>
        <w:tc>
          <w:tcPr>
            <w:tcW w:w="2266" w:type="dxa"/>
            <w:gridSpan w:val="2"/>
            <w:vAlign w:val="center"/>
          </w:tcPr>
          <w:p w14:paraId="26711E4C">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监测点位数（ ）</w:t>
            </w:r>
          </w:p>
        </w:tc>
        <w:tc>
          <w:tcPr>
            <w:tcW w:w="2266" w:type="dxa"/>
            <w:gridSpan w:val="3"/>
            <w:vAlign w:val="center"/>
          </w:tcPr>
          <w:p w14:paraId="5CA416B6">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无监测</w:t>
            </w:r>
            <w:r>
              <w:rPr>
                <w:rFonts w:ascii="Times New Roman" w:hAnsi="Times New Roman" w:cs="Times New Roman" w:eastAsiaTheme="minorEastAsia"/>
                <w:color w:val="auto"/>
                <w:w w:val="99"/>
                <w:kern w:val="21"/>
                <w:sz w:val="21"/>
                <w:szCs w:val="21"/>
                <w:highlight w:val="none"/>
              </w:rPr>
              <w:sym w:font="Wingdings" w:char="00FE"/>
            </w:r>
          </w:p>
        </w:tc>
      </w:tr>
      <w:tr w14:paraId="629A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37EAF7C1">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评价结论</w:t>
            </w:r>
          </w:p>
        </w:tc>
        <w:tc>
          <w:tcPr>
            <w:tcW w:w="1132" w:type="dxa"/>
            <w:vAlign w:val="center"/>
          </w:tcPr>
          <w:p w14:paraId="4C2F8260">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环境影响</w:t>
            </w:r>
          </w:p>
        </w:tc>
        <w:tc>
          <w:tcPr>
            <w:tcW w:w="6796" w:type="dxa"/>
            <w:gridSpan w:val="9"/>
            <w:vAlign w:val="center"/>
          </w:tcPr>
          <w:p w14:paraId="55A97FDB">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可行</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sz w:val="21"/>
                <w:szCs w:val="21"/>
                <w:highlight w:val="none"/>
              </w:rPr>
              <w:t xml:space="preserve"> 不可行□</w:t>
            </w:r>
          </w:p>
        </w:tc>
      </w:tr>
      <w:tr w14:paraId="666E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0" w:type="dxa"/>
            <w:gridSpan w:val="11"/>
            <w:vAlign w:val="center"/>
          </w:tcPr>
          <w:p w14:paraId="679F5437">
            <w:pPr>
              <w:widowControl w:val="0"/>
              <w:spacing w:line="32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注：“□” 为勾选项 ，可√ ；“（ ）” 为内容填写项。</w:t>
            </w:r>
          </w:p>
        </w:tc>
      </w:tr>
      <w:bookmarkEnd w:id="1231"/>
      <w:bookmarkEnd w:id="1232"/>
      <w:bookmarkEnd w:id="1233"/>
      <w:bookmarkEnd w:id="1234"/>
      <w:bookmarkEnd w:id="1235"/>
      <w:bookmarkEnd w:id="1236"/>
      <w:bookmarkEnd w:id="1237"/>
      <w:bookmarkEnd w:id="1238"/>
    </w:tbl>
    <w:p w14:paraId="41787E1E">
      <w:pPr>
        <w:widowControl w:val="0"/>
        <w:spacing w:line="440" w:lineRule="exact"/>
        <w:jc w:val="both"/>
        <w:outlineLvl w:val="0"/>
        <w:rPr>
          <w:rFonts w:ascii="Times New Roman" w:hAnsi="Times New Roman" w:cs="Times New Roman"/>
          <w:color w:val="auto"/>
          <w:w w:val="99"/>
          <w:highlight w:val="none"/>
        </w:rPr>
      </w:pPr>
    </w:p>
    <w:p w14:paraId="0CE0104E">
      <w:pPr>
        <w:widowControl w:val="0"/>
        <w:spacing w:line="440" w:lineRule="exact"/>
        <w:jc w:val="both"/>
        <w:outlineLvl w:val="0"/>
        <w:rPr>
          <w:rFonts w:ascii="Times New Roman" w:hAnsi="Times New Roman" w:cs="Times New Roman"/>
          <w:color w:val="auto"/>
          <w:w w:val="99"/>
          <w:highlight w:val="none"/>
        </w:rPr>
      </w:pPr>
    </w:p>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eorgia">
    <w:panose1 w:val="02040502050405020303"/>
    <w:charset w:val="00"/>
    <w:family w:val="roman"/>
    <w:pitch w:val="default"/>
    <w:sig w:usb0="00000287" w:usb1="00000000" w:usb2="00000000" w:usb3="00000000" w:csb0="2000009F" w:csb1="00000000"/>
  </w:font>
  <w:font w:name="方正宋三简体">
    <w:altName w:val="宋体"/>
    <w:panose1 w:val="02000000000000000000"/>
    <w:charset w:val="86"/>
    <w:family w:val="auto"/>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隶书">
    <w:altName w:val="微软雅黑"/>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ngsanaUPC">
    <w:altName w:val="Times New Roman"/>
    <w:panose1 w:val="02020603050405020304"/>
    <w:charset w:val="00"/>
    <w:family w:val="roman"/>
    <w:pitch w:val="default"/>
    <w:sig w:usb0="00000000" w:usb1="00000000" w:usb2="00000000" w:usb3="00000000" w:csb0="00010001" w:csb1="00000000"/>
  </w:font>
  <w:font w:name="Arail">
    <w:altName w:val="仿宋"/>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BankGothic Lt BT">
    <w:altName w:val="MS UI Gothic"/>
    <w:panose1 w:val="00000000000000000000"/>
    <w:charset w:val="00"/>
    <w:family w:val="swiss"/>
    <w:pitch w:val="default"/>
    <w:sig w:usb0="00000000" w:usb1="00000000" w:usb2="00000000" w:usb3="00000000" w:csb0="0000001B" w:csb1="00000000"/>
  </w:font>
  <w:font w:name="MS UI Gothic">
    <w:panose1 w:val="020B0600070205080204"/>
    <w:charset w:val="80"/>
    <w:family w:val="auto"/>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华文楷体">
    <w:altName w:val="宋体"/>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经典叠圆体简">
    <w:altName w:val="宋体"/>
    <w:panose1 w:val="00000000000000000000"/>
    <w:charset w:val="86"/>
    <w:family w:val="modern"/>
    <w:pitch w:val="default"/>
    <w:sig w:usb0="00000000" w:usb1="00000000" w:usb2="0000001E"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方正仿宋简体">
    <w:altName w:val="微软雅黑"/>
    <w:panose1 w:val="02000000000000000000"/>
    <w:charset w:val="86"/>
    <w:family w:val="auto"/>
    <w:pitch w:val="default"/>
    <w:sig w:usb0="00000000" w:usb1="00000000" w:usb2="00000012"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Times">
    <w:altName w:val="Times New Roman"/>
    <w:panose1 w:val="02020603050405020304"/>
    <w:charset w:val="00"/>
    <w:family w:val="roman"/>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
    <w:altName w:val="Malgun Gothic"/>
    <w:panose1 w:val="00000000000000000000"/>
    <w:charset w:val="81"/>
    <w:family w:val="auto"/>
    <w:pitch w:val="default"/>
    <w:sig w:usb0="00000000" w:usb1="00000000" w:usb2="00000010" w:usb3="00000000" w:csb0="00080000" w:csb1="00000000"/>
  </w:font>
  <w:font w:name="TimesNewRomanPSMT">
    <w:altName w:val="MS Gothic"/>
    <w:panose1 w:val="00000000000000000000"/>
    <w:charset w:val="80"/>
    <w:family w:val="auto"/>
    <w:pitch w:val="default"/>
    <w:sig w:usb0="00000000" w:usb1="00000000" w:usb2="00000010" w:usb3="00000000" w:csb0="00060000" w:csb1="00000000"/>
  </w:font>
  <w:font w:name="MS Gothic">
    <w:panose1 w:val="020B0609070205080204"/>
    <w:charset w:val="80"/>
    <w:family w:val="modern"/>
    <w:pitch w:val="default"/>
    <w:sig w:usb0="E00002FF" w:usb1="6AC7FDFB" w:usb2="08000012" w:usb3="00000000" w:csb0="4002009F" w:csb1="DFD70000"/>
  </w:font>
  <w:font w:name="方正黑体简体">
    <w:altName w:val="微软雅黑"/>
    <w:panose1 w:val="02000000000000000000"/>
    <w:charset w:val="86"/>
    <w:family w:val="auto"/>
    <w:pitch w:val="default"/>
    <w:sig w:usb0="00000000" w:usb1="00000000" w:usb2="00000012" w:usb3="00000000" w:csb0="00040001" w:csb1="00000000"/>
  </w:font>
  <w:font w:name="方正书宋简体">
    <w:altName w:val="宋体"/>
    <w:panose1 w:val="02000000000000000000"/>
    <w:charset w:val="86"/>
    <w:family w:val="auto"/>
    <w:pitch w:val="default"/>
    <w:sig w:usb0="00000000" w:usb1="00000000" w:usb2="00000012" w:usb3="00000000" w:csb0="00040001" w:csb1="00000000"/>
  </w:font>
  <w:font w:name="等线 Light">
    <w:panose1 w:val="02010600030101010101"/>
    <w:charset w:val="86"/>
    <w:family w:val="auto"/>
    <w:pitch w:val="default"/>
    <w:sig w:usb0="A00002BF" w:usb1="38CF7CFA" w:usb2="00000016" w:usb3="00000000" w:csb0="0004000F" w:csb1="00000000"/>
  </w:font>
  <w:font w:name="方正楷体简体">
    <w:altName w:val="宋体"/>
    <w:panose1 w:val="02000000000000000000"/>
    <w:charset w:val="86"/>
    <w:family w:val="auto"/>
    <w:pitch w:val="default"/>
    <w:sig w:usb0="00000000" w:usb1="00000000" w:usb2="00000012" w:usb3="00000000" w:csb0="00040001" w:csb1="00000000"/>
  </w:font>
  <w:font w:name="方正综艺简体">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MS PGothic">
    <w:panose1 w:val="020B0600070205080204"/>
    <w:charset w:val="80"/>
    <w:family w:val="auto"/>
    <w:pitch w:val="default"/>
    <w:sig w:usb0="E00002FF" w:usb1="6AC7FDFB" w:usb2="08000012" w:usb3="00000000" w:csb0="4002009F" w:csb1="DF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60648">
    <w:pPr>
      <w:pStyle w:val="50"/>
      <w:tabs>
        <w:tab w:val="left" w:pos="3960"/>
        <w:tab w:val="center" w:pos="4333"/>
        <w:tab w:val="left" w:pos="5049"/>
      </w:tabs>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45B22">
    <w:pPr>
      <w:pStyle w:val="50"/>
      <w:tabs>
        <w:tab w:val="left" w:pos="3960"/>
        <w:tab w:val="center" w:pos="4333"/>
        <w:tab w:val="left" w:pos="5049"/>
      </w:tabs>
      <w:rPr>
        <w:b/>
      </w:rPr>
    </w:pPr>
    <w:r>
      <w:rPr>
        <w:sz w:val="18"/>
      </w:rPr>
      <mc:AlternateContent>
        <mc:Choice Requires="wps">
          <w:drawing>
            <wp:anchor distT="0" distB="0" distL="114300" distR="114300" simplePos="0" relativeHeight="251660288" behindDoc="0" locked="0" layoutInCell="1" allowOverlap="1">
              <wp:simplePos x="0" y="0"/>
              <wp:positionH relativeFrom="margin">
                <wp:posOffset>2818765</wp:posOffset>
              </wp:positionH>
              <wp:positionV relativeFrom="paragraph">
                <wp:posOffset>0</wp:posOffset>
              </wp:positionV>
              <wp:extent cx="205105"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5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A136A">
                          <w:pPr>
                            <w:pStyle w:val="5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1.95pt;margin-top:0pt;height:144pt;width:16.15pt;mso-position-horizontal-relative:margin;z-index:251660288;mso-width-relative:page;mso-height-relative:page;" filled="f" stroked="f" coordsize="21600,21600" o:gfxdata="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jNJkLXAAAACAEAAA8AAAAAAAAAAQAgAAAAIgAAAGRycy9kb3ducmV2&#10;LnhtbFBLAQIUABQAAAAIAIdO4kAU0oWHNgIAAGIEAAAOAAAAAAAAAAEAIAAAACYBAABkcnMvZTJv&#10;RG9jLnhtbFBLBQYAAAAABgAGAFkBAADOBQAAAAA=&#10;">
              <v:fill on="f" focussize="0,0"/>
              <v:stroke on="f" weight="0.5pt"/>
              <v:imagedata o:title=""/>
              <o:lock v:ext="edit" aspectratio="f"/>
              <v:textbox inset="0mm,0mm,0mm,0mm" style="mso-fit-shape-to-text:t;">
                <w:txbxContent>
                  <w:p w14:paraId="7CEA136A">
                    <w:pPr>
                      <w:pStyle w:val="5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FE88D">
    <w:pPr>
      <w:pStyle w:val="5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2E811">
                          <w:pPr>
                            <w:pStyle w:val="50"/>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762E811">
                    <w:pPr>
                      <w:pStyle w:val="50"/>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0B717">
    <w:pPr>
      <w:pStyle w:val="5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132FD">
                          <w:pPr>
                            <w:pStyle w:val="50"/>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CA132FD">
                    <w:pPr>
                      <w:pStyle w:val="50"/>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FFD10">
    <w:pPr>
      <w:pStyle w:val="50"/>
      <w:tabs>
        <w:tab w:val="center" w:pos="4535"/>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0F48B">
                          <w:pPr>
                            <w:pStyle w:val="50"/>
                          </w:pPr>
                          <w:r>
                            <w:fldChar w:fldCharType="begin"/>
                          </w:r>
                          <w:r>
                            <w:instrText xml:space="preserve"> PAGE  \* MERGEFORMAT </w:instrText>
                          </w:r>
                          <w:r>
                            <w:fldChar w:fldCharType="separate"/>
                          </w:r>
                          <w:r>
                            <w:t>310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740F48B">
                    <w:pPr>
                      <w:pStyle w:val="50"/>
                    </w:pPr>
                    <w:r>
                      <w:fldChar w:fldCharType="begin"/>
                    </w:r>
                    <w:r>
                      <w:instrText xml:space="preserve"> PAGE  \* MERGEFORMAT </w:instrText>
                    </w:r>
                    <w:r>
                      <w:fldChar w:fldCharType="separate"/>
                    </w:r>
                    <w:r>
                      <w:t>310</w:t>
                    </w:r>
                    <w:r>
                      <w:fldChar w:fldCharType="end"/>
                    </w:r>
                  </w:p>
                </w:txbxContent>
              </v:textbox>
            </v:shap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8CC3D">
    <w:pPr>
      <w:pStyle w:val="5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CD774">
                          <w:pPr>
                            <w:pStyle w:val="50"/>
                          </w:pPr>
                          <w:r>
                            <w:fldChar w:fldCharType="begin"/>
                          </w:r>
                          <w:r>
                            <w:instrText xml:space="preserve"> PAGE  \* MERGEFORMAT </w:instrText>
                          </w:r>
                          <w:r>
                            <w:fldChar w:fldCharType="separate"/>
                          </w:r>
                          <w:r>
                            <w:t>350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147CD774">
                    <w:pPr>
                      <w:pStyle w:val="50"/>
                    </w:pPr>
                    <w:r>
                      <w:fldChar w:fldCharType="begin"/>
                    </w:r>
                    <w:r>
                      <w:instrText xml:space="preserve"> PAGE  \* MERGEFORMAT </w:instrText>
                    </w:r>
                    <w:r>
                      <w:fldChar w:fldCharType="separate"/>
                    </w:r>
                    <w:r>
                      <w:t>350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6FE6D">
    <w:pPr>
      <w:pStyle w:val="5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F6B2A">
                          <w:pPr>
                            <w:pStyle w:val="50"/>
                          </w:pPr>
                          <w:r>
                            <w:fldChar w:fldCharType="begin"/>
                          </w:r>
                          <w:r>
                            <w:instrText xml:space="preserve"> PAGE  \* MERGEFORMAT </w:instrText>
                          </w:r>
                          <w:r>
                            <w:fldChar w:fldCharType="separate"/>
                          </w:r>
                          <w:r>
                            <w:t>361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9F6B2A">
                    <w:pPr>
                      <w:pStyle w:val="50"/>
                    </w:pPr>
                    <w:r>
                      <w:fldChar w:fldCharType="begin"/>
                    </w:r>
                    <w:r>
                      <w:instrText xml:space="preserve"> PAGE  \* MERGEFORMAT </w:instrText>
                    </w:r>
                    <w:r>
                      <w:fldChar w:fldCharType="separate"/>
                    </w:r>
                    <w:r>
                      <w:t>361</w:t>
                    </w:r>
                    <w:r>
                      <w:fldChar w:fldCharType="end"/>
                    </w:r>
                  </w:p>
                </w:txbxContent>
              </v:textbox>
            </v:shape>
          </w:pict>
        </mc:Fallback>
      </mc:AlternateContent>
    </w:r>
    <w:r>
      <w:rPr>
        <w:rFonts w:hint="eastAsia"/>
      </w:rPr>
      <w:t xml:space="preserve"> </w:t>
    </w:r>
  </w:p>
  <w:p w14:paraId="7F3B8C36">
    <w:pPr>
      <w:pStyle w:val="5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BC605">
    <w:pPr>
      <w:pStyle w:val="5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C5687">
    <w:pPr>
      <w:pStyle w:val="5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F41ED">
    <w:pPr>
      <w:pStyle w:val="5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79ED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E4517">
    <w:pPr>
      <w:pStyle w:val="5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AD970D"/>
    <w:multiLevelType w:val="singleLevel"/>
    <w:tmpl w:val="C3AD970D"/>
    <w:lvl w:ilvl="0" w:tentative="0">
      <w:start w:val="1"/>
      <w:numFmt w:val="decimal"/>
      <w:suff w:val="nothing"/>
      <w:lvlText w:val="（%1）"/>
      <w:lvlJc w:val="left"/>
    </w:lvl>
  </w:abstractNum>
  <w:abstractNum w:abstractNumId="1">
    <w:nsid w:val="C4B2B2B1"/>
    <w:multiLevelType w:val="singleLevel"/>
    <w:tmpl w:val="C4B2B2B1"/>
    <w:lvl w:ilvl="0" w:tentative="0">
      <w:start w:val="1"/>
      <w:numFmt w:val="decimal"/>
      <w:suff w:val="nothing"/>
      <w:lvlText w:val="（%1）"/>
      <w:lvlJc w:val="left"/>
    </w:lvl>
  </w:abstractNum>
  <w:abstractNum w:abstractNumId="2">
    <w:nsid w:val="16C123DC"/>
    <w:multiLevelType w:val="multilevel"/>
    <w:tmpl w:val="16C123DC"/>
    <w:lvl w:ilvl="0" w:tentative="0">
      <w:start w:val="1"/>
      <w:numFmt w:val="decimal"/>
      <w:pStyle w:val="2765"/>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B80D03F"/>
    <w:multiLevelType w:val="singleLevel"/>
    <w:tmpl w:val="1B80D03F"/>
    <w:lvl w:ilvl="0" w:tentative="0">
      <w:start w:val="1"/>
      <w:numFmt w:val="decimal"/>
      <w:suff w:val="nothing"/>
      <w:lvlText w:val="（%1）"/>
      <w:lvlJc w:val="left"/>
    </w:lvl>
  </w:abstractNum>
  <w:abstractNum w:abstractNumId="4">
    <w:nsid w:val="2D334942"/>
    <w:multiLevelType w:val="singleLevel"/>
    <w:tmpl w:val="2D334942"/>
    <w:lvl w:ilvl="0" w:tentative="0">
      <w:start w:val="4"/>
      <w:numFmt w:val="decimal"/>
      <w:suff w:val="nothing"/>
      <w:lvlText w:val="（%1）"/>
      <w:lvlJc w:val="left"/>
    </w:lvl>
  </w:abstractNum>
  <w:abstractNum w:abstractNumId="5">
    <w:nsid w:val="3BC3583F"/>
    <w:multiLevelType w:val="multilevel"/>
    <w:tmpl w:val="3BC3583F"/>
    <w:lvl w:ilvl="0" w:tentative="0">
      <w:start w:val="1"/>
      <w:numFmt w:val="decimal"/>
      <w:pStyle w:val="285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2A89DEE"/>
    <w:multiLevelType w:val="singleLevel"/>
    <w:tmpl w:val="42A89DEE"/>
    <w:lvl w:ilvl="0" w:tentative="0">
      <w:start w:val="2"/>
      <w:numFmt w:val="decimal"/>
      <w:suff w:val="nothing"/>
      <w:lvlText w:val="%1、"/>
      <w:lvlJc w:val="left"/>
    </w:lvl>
  </w:abstractNum>
  <w:abstractNum w:abstractNumId="7">
    <w:nsid w:val="4C1B2AA9"/>
    <w:multiLevelType w:val="singleLevel"/>
    <w:tmpl w:val="4C1B2AA9"/>
    <w:lvl w:ilvl="0" w:tentative="0">
      <w:start w:val="1"/>
      <w:numFmt w:val="decimal"/>
      <w:lvlText w:val="%1."/>
      <w:lvlJc w:val="left"/>
      <w:pPr>
        <w:tabs>
          <w:tab w:val="left" w:pos="312"/>
        </w:tabs>
      </w:pPr>
    </w:lvl>
  </w:abstractNum>
  <w:abstractNum w:abstractNumId="8">
    <w:nsid w:val="4F006C0E"/>
    <w:multiLevelType w:val="multilevel"/>
    <w:tmpl w:val="4F006C0E"/>
    <w:lvl w:ilvl="0" w:tentative="0">
      <w:start w:val="1"/>
      <w:numFmt w:val="decimal"/>
      <w:pStyle w:val="2761"/>
      <w:suff w:val="nothing"/>
      <w:lvlText w:val="附件%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99B31E6"/>
    <w:multiLevelType w:val="multilevel"/>
    <w:tmpl w:val="699B31E6"/>
    <w:lvl w:ilvl="0" w:tentative="0">
      <w:start w:val="1"/>
      <w:numFmt w:val="decimal"/>
      <w:pStyle w:val="2763"/>
      <w:suff w:val="nothing"/>
      <w:lvlText w:val="附图%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1B21497"/>
    <w:multiLevelType w:val="multilevel"/>
    <w:tmpl w:val="71B21497"/>
    <w:lvl w:ilvl="0" w:tentative="0">
      <w:start w:val="1"/>
      <w:numFmt w:val="decimal"/>
      <w:isLgl/>
      <w:suff w:val="nothing"/>
      <w:lvlText w:val="（%1）"/>
      <w:lvlJc w:val="left"/>
      <w:pPr>
        <w:ind w:left="0" w:firstLine="476"/>
      </w:pPr>
      <w:rPr>
        <w:rFonts w:hint="eastAsia" w:ascii="宋体" w:eastAsia="宋体"/>
      </w:rPr>
    </w:lvl>
    <w:lvl w:ilvl="1" w:tentative="0">
      <w:start w:val="1"/>
      <w:numFmt w:val="decimalEnclosedCircle"/>
      <w:pStyle w:val="2774"/>
      <w:isLgl/>
      <w:suff w:val="nothing"/>
      <w:lvlText w:val="%2）"/>
      <w:lvlJc w:val="left"/>
      <w:pPr>
        <w:ind w:left="0" w:firstLine="476"/>
      </w:pPr>
      <w:rPr>
        <w:rFonts w:hint="eastAsia" w:ascii="宋体" w:eastAsia="宋体"/>
      </w:rPr>
    </w:lvl>
    <w:lvl w:ilvl="2" w:tentative="0">
      <w:start w:val="1"/>
      <w:numFmt w:val="decimalEnclosedCircle"/>
      <w:pStyle w:val="2776"/>
      <w:suff w:val="nothing"/>
      <w:lvlText w:val="%3"/>
      <w:lvlJc w:val="left"/>
      <w:pPr>
        <w:ind w:left="0" w:firstLine="476"/>
      </w:pPr>
      <w:rPr>
        <w:rFonts w:hint="eastAsia" w:ascii="宋体" w:eastAsia="宋体"/>
      </w:rPr>
    </w:lvl>
    <w:lvl w:ilvl="3" w:tentative="0">
      <w:start w:val="1"/>
      <w:numFmt w:val="lowerLetter"/>
      <w:suff w:val="nothing"/>
      <w:lvlText w:val="%4."/>
      <w:lvlJc w:val="left"/>
      <w:pPr>
        <w:ind w:left="0" w:firstLine="476"/>
      </w:pPr>
      <w:rPr>
        <w:rFonts w:hint="eastAsia" w:ascii="宋体" w:eastAsia="宋体"/>
      </w:rPr>
    </w:lvl>
    <w:lvl w:ilvl="4" w:tentative="0">
      <w:start w:val="1"/>
      <w:numFmt w:val="upperRoman"/>
      <w:suff w:val="nothing"/>
      <w:lvlText w:val="%5."/>
      <w:lvlJc w:val="left"/>
      <w:pPr>
        <w:ind w:left="0" w:firstLine="476"/>
      </w:pPr>
      <w:rPr>
        <w:rFonts w:hint="eastAsia" w:ascii="宋体" w:eastAsia="宋体"/>
      </w:rPr>
    </w:lvl>
    <w:lvl w:ilvl="5" w:tentative="0">
      <w:start w:val="1"/>
      <w:numFmt w:val="lowerRoman"/>
      <w:suff w:val="nothing"/>
      <w:lvlText w:val="%6."/>
      <w:lvlJc w:val="left"/>
      <w:pPr>
        <w:ind w:left="0" w:firstLine="476"/>
      </w:pPr>
      <w:rPr>
        <w:rFonts w:hint="eastAsia" w:ascii="宋体" w:eastAsia="宋体"/>
      </w:rPr>
    </w:lvl>
    <w:lvl w:ilvl="6" w:tentative="0">
      <w:start w:val="1"/>
      <w:numFmt w:val="ordinal"/>
      <w:suff w:val="nothing"/>
      <w:lvlText w:val="%7."/>
      <w:lvlJc w:val="left"/>
      <w:pPr>
        <w:ind w:left="0" w:firstLine="476"/>
      </w:pPr>
      <w:rPr>
        <w:rFonts w:hint="eastAsia"/>
      </w:rPr>
    </w:lvl>
    <w:lvl w:ilvl="7" w:tentative="0">
      <w:start w:val="1"/>
      <w:numFmt w:val="none"/>
      <w:suff w:val="nothing"/>
      <w:lvlText w:val=""/>
      <w:lvlJc w:val="left"/>
      <w:pPr>
        <w:ind w:left="0" w:firstLine="476"/>
      </w:pPr>
      <w:rPr>
        <w:rFonts w:hint="eastAsia"/>
      </w:rPr>
    </w:lvl>
    <w:lvl w:ilvl="8" w:tentative="0">
      <w:start w:val="1"/>
      <w:numFmt w:val="none"/>
      <w:suff w:val="nothing"/>
      <w:lvlText w:val=""/>
      <w:lvlJc w:val="left"/>
      <w:pPr>
        <w:ind w:left="0" w:firstLine="476"/>
      </w:pPr>
      <w:rPr>
        <w:rFonts w:hint="eastAsia"/>
      </w:rPr>
    </w:lvl>
  </w:abstractNum>
  <w:abstractNum w:abstractNumId="11">
    <w:nsid w:val="7E752ED4"/>
    <w:multiLevelType w:val="multilevel"/>
    <w:tmpl w:val="7E752ED4"/>
    <w:lvl w:ilvl="0" w:tentative="0">
      <w:start w:val="1"/>
      <w:numFmt w:val="decimal"/>
      <w:pStyle w:val="2759"/>
      <w:suff w:val="nothing"/>
      <w:lvlText w:val="附表%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8"/>
  </w:num>
  <w:num w:numId="3">
    <w:abstractNumId w:val="9"/>
  </w:num>
  <w:num w:numId="4">
    <w:abstractNumId w:val="2"/>
  </w:num>
  <w:num w:numId="5">
    <w:abstractNumId w:val="10"/>
  </w:num>
  <w:num w:numId="6">
    <w:abstractNumId w:val="5"/>
  </w:num>
  <w:num w:numId="7">
    <w:abstractNumId w:val="6"/>
  </w:num>
  <w:num w:numId="8">
    <w:abstractNumId w:val="7"/>
  </w:num>
  <w:num w:numId="9">
    <w:abstractNumId w:val="4"/>
  </w:num>
  <w:num w:numId="10">
    <w:abstractNumId w:val="0"/>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hideSpellingErrors/>
  <w:hideGrammatical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FlNDQ1Y2RlN2QwYTY4ZDE0YjFlNTdmYjUwMTRhNGYifQ=="/>
  </w:docVars>
  <w:rsids>
    <w:rsidRoot w:val="65467660"/>
    <w:rsid w:val="00000AC2"/>
    <w:rsid w:val="00001989"/>
    <w:rsid w:val="00001AE0"/>
    <w:rsid w:val="00001F65"/>
    <w:rsid w:val="00002205"/>
    <w:rsid w:val="00002612"/>
    <w:rsid w:val="00002818"/>
    <w:rsid w:val="00003692"/>
    <w:rsid w:val="000045D0"/>
    <w:rsid w:val="00004A4D"/>
    <w:rsid w:val="000053EA"/>
    <w:rsid w:val="00005466"/>
    <w:rsid w:val="000061BD"/>
    <w:rsid w:val="00006384"/>
    <w:rsid w:val="000063F4"/>
    <w:rsid w:val="00006459"/>
    <w:rsid w:val="00006DF0"/>
    <w:rsid w:val="00007790"/>
    <w:rsid w:val="000101E0"/>
    <w:rsid w:val="00010807"/>
    <w:rsid w:val="00010D9B"/>
    <w:rsid w:val="00010DA3"/>
    <w:rsid w:val="00010EB9"/>
    <w:rsid w:val="00010F5D"/>
    <w:rsid w:val="0001108F"/>
    <w:rsid w:val="000111FB"/>
    <w:rsid w:val="0001181A"/>
    <w:rsid w:val="00011875"/>
    <w:rsid w:val="00011B67"/>
    <w:rsid w:val="000124DF"/>
    <w:rsid w:val="000125B1"/>
    <w:rsid w:val="0001281E"/>
    <w:rsid w:val="0001298F"/>
    <w:rsid w:val="00012DE0"/>
    <w:rsid w:val="00013021"/>
    <w:rsid w:val="00013BB0"/>
    <w:rsid w:val="00014921"/>
    <w:rsid w:val="00014C18"/>
    <w:rsid w:val="00014C26"/>
    <w:rsid w:val="00014C8A"/>
    <w:rsid w:val="00015B04"/>
    <w:rsid w:val="0001608C"/>
    <w:rsid w:val="00016B1B"/>
    <w:rsid w:val="000175B2"/>
    <w:rsid w:val="00020006"/>
    <w:rsid w:val="00020AF2"/>
    <w:rsid w:val="000212DC"/>
    <w:rsid w:val="000212E1"/>
    <w:rsid w:val="0002135F"/>
    <w:rsid w:val="00021518"/>
    <w:rsid w:val="00022E6A"/>
    <w:rsid w:val="00023059"/>
    <w:rsid w:val="000233F1"/>
    <w:rsid w:val="00023C5D"/>
    <w:rsid w:val="00023CD2"/>
    <w:rsid w:val="00023F9E"/>
    <w:rsid w:val="00024030"/>
    <w:rsid w:val="000240A0"/>
    <w:rsid w:val="000242A6"/>
    <w:rsid w:val="00024718"/>
    <w:rsid w:val="0002472B"/>
    <w:rsid w:val="00024917"/>
    <w:rsid w:val="0002503A"/>
    <w:rsid w:val="00025518"/>
    <w:rsid w:val="0002597E"/>
    <w:rsid w:val="0002604F"/>
    <w:rsid w:val="00026162"/>
    <w:rsid w:val="00026578"/>
    <w:rsid w:val="000269B3"/>
    <w:rsid w:val="00026FBF"/>
    <w:rsid w:val="000276FF"/>
    <w:rsid w:val="0002781E"/>
    <w:rsid w:val="00027A67"/>
    <w:rsid w:val="00027C31"/>
    <w:rsid w:val="00027F8B"/>
    <w:rsid w:val="0003049C"/>
    <w:rsid w:val="0003058E"/>
    <w:rsid w:val="00030909"/>
    <w:rsid w:val="00030D61"/>
    <w:rsid w:val="00030D95"/>
    <w:rsid w:val="00030E5E"/>
    <w:rsid w:val="00031ACC"/>
    <w:rsid w:val="00032E9D"/>
    <w:rsid w:val="0003371A"/>
    <w:rsid w:val="0003395E"/>
    <w:rsid w:val="00033CB4"/>
    <w:rsid w:val="00034B6A"/>
    <w:rsid w:val="00034F8D"/>
    <w:rsid w:val="0003558F"/>
    <w:rsid w:val="00035641"/>
    <w:rsid w:val="00035C40"/>
    <w:rsid w:val="000361C0"/>
    <w:rsid w:val="000365B3"/>
    <w:rsid w:val="00036B4F"/>
    <w:rsid w:val="000378EC"/>
    <w:rsid w:val="00037B09"/>
    <w:rsid w:val="00040795"/>
    <w:rsid w:val="00041CA0"/>
    <w:rsid w:val="0004272A"/>
    <w:rsid w:val="00043E3B"/>
    <w:rsid w:val="00044CD1"/>
    <w:rsid w:val="00044F5E"/>
    <w:rsid w:val="000455F6"/>
    <w:rsid w:val="00045997"/>
    <w:rsid w:val="00045AF3"/>
    <w:rsid w:val="00045E44"/>
    <w:rsid w:val="00045EFC"/>
    <w:rsid w:val="0004626B"/>
    <w:rsid w:val="0004643B"/>
    <w:rsid w:val="000466EA"/>
    <w:rsid w:val="00046BCB"/>
    <w:rsid w:val="000470C8"/>
    <w:rsid w:val="000473D4"/>
    <w:rsid w:val="00047575"/>
    <w:rsid w:val="00047A93"/>
    <w:rsid w:val="000502E1"/>
    <w:rsid w:val="00050B71"/>
    <w:rsid w:val="00050F46"/>
    <w:rsid w:val="00051120"/>
    <w:rsid w:val="00051156"/>
    <w:rsid w:val="00051BF7"/>
    <w:rsid w:val="00051E19"/>
    <w:rsid w:val="00052195"/>
    <w:rsid w:val="0005275E"/>
    <w:rsid w:val="000527BE"/>
    <w:rsid w:val="00052ABD"/>
    <w:rsid w:val="00052DD1"/>
    <w:rsid w:val="00053002"/>
    <w:rsid w:val="00053170"/>
    <w:rsid w:val="0005330B"/>
    <w:rsid w:val="0005349B"/>
    <w:rsid w:val="00053808"/>
    <w:rsid w:val="000541FB"/>
    <w:rsid w:val="00054AEB"/>
    <w:rsid w:val="00054D65"/>
    <w:rsid w:val="00055C40"/>
    <w:rsid w:val="00055EC0"/>
    <w:rsid w:val="0005672F"/>
    <w:rsid w:val="000569E8"/>
    <w:rsid w:val="00056A49"/>
    <w:rsid w:val="0005715A"/>
    <w:rsid w:val="00057907"/>
    <w:rsid w:val="00057BCF"/>
    <w:rsid w:val="00057DF3"/>
    <w:rsid w:val="00060156"/>
    <w:rsid w:val="00060C44"/>
    <w:rsid w:val="00060C87"/>
    <w:rsid w:val="000615E7"/>
    <w:rsid w:val="0006175F"/>
    <w:rsid w:val="00061A4C"/>
    <w:rsid w:val="00061D2C"/>
    <w:rsid w:val="0006202D"/>
    <w:rsid w:val="00062727"/>
    <w:rsid w:val="00062927"/>
    <w:rsid w:val="0006345C"/>
    <w:rsid w:val="0006390A"/>
    <w:rsid w:val="00064544"/>
    <w:rsid w:val="00064D9F"/>
    <w:rsid w:val="000650FD"/>
    <w:rsid w:val="0006581B"/>
    <w:rsid w:val="00065C71"/>
    <w:rsid w:val="00065F70"/>
    <w:rsid w:val="00066A7F"/>
    <w:rsid w:val="0006749E"/>
    <w:rsid w:val="000676CC"/>
    <w:rsid w:val="00067D25"/>
    <w:rsid w:val="00070CE5"/>
    <w:rsid w:val="00070D64"/>
    <w:rsid w:val="000716EB"/>
    <w:rsid w:val="0007199E"/>
    <w:rsid w:val="00071A64"/>
    <w:rsid w:val="00071B3A"/>
    <w:rsid w:val="00071CC3"/>
    <w:rsid w:val="00072071"/>
    <w:rsid w:val="00072813"/>
    <w:rsid w:val="00072824"/>
    <w:rsid w:val="00072DA4"/>
    <w:rsid w:val="00073929"/>
    <w:rsid w:val="00073D77"/>
    <w:rsid w:val="000742DC"/>
    <w:rsid w:val="00074DDB"/>
    <w:rsid w:val="00074ECF"/>
    <w:rsid w:val="00075035"/>
    <w:rsid w:val="00075094"/>
    <w:rsid w:val="000752DE"/>
    <w:rsid w:val="0007575B"/>
    <w:rsid w:val="00075928"/>
    <w:rsid w:val="00075A78"/>
    <w:rsid w:val="00075DA6"/>
    <w:rsid w:val="000764DA"/>
    <w:rsid w:val="0007664C"/>
    <w:rsid w:val="000775F5"/>
    <w:rsid w:val="0007779C"/>
    <w:rsid w:val="000777E8"/>
    <w:rsid w:val="00077E46"/>
    <w:rsid w:val="00080515"/>
    <w:rsid w:val="00080842"/>
    <w:rsid w:val="00080A30"/>
    <w:rsid w:val="00081515"/>
    <w:rsid w:val="000818F2"/>
    <w:rsid w:val="00081AA5"/>
    <w:rsid w:val="00081CBA"/>
    <w:rsid w:val="00081D00"/>
    <w:rsid w:val="000832DC"/>
    <w:rsid w:val="00083BF6"/>
    <w:rsid w:val="000844E3"/>
    <w:rsid w:val="00084C47"/>
    <w:rsid w:val="00084F52"/>
    <w:rsid w:val="00085A9C"/>
    <w:rsid w:val="00086BE2"/>
    <w:rsid w:val="00087923"/>
    <w:rsid w:val="00087BA4"/>
    <w:rsid w:val="00087C99"/>
    <w:rsid w:val="000908B1"/>
    <w:rsid w:val="00090E2B"/>
    <w:rsid w:val="0009199D"/>
    <w:rsid w:val="00091B1B"/>
    <w:rsid w:val="00092011"/>
    <w:rsid w:val="00092621"/>
    <w:rsid w:val="0009274C"/>
    <w:rsid w:val="00093122"/>
    <w:rsid w:val="00093314"/>
    <w:rsid w:val="0009355C"/>
    <w:rsid w:val="00093993"/>
    <w:rsid w:val="00093CBF"/>
    <w:rsid w:val="000948A5"/>
    <w:rsid w:val="00094C54"/>
    <w:rsid w:val="00095715"/>
    <w:rsid w:val="000959AD"/>
    <w:rsid w:val="00096855"/>
    <w:rsid w:val="00096C0E"/>
    <w:rsid w:val="00096C6F"/>
    <w:rsid w:val="00097242"/>
    <w:rsid w:val="00097F6C"/>
    <w:rsid w:val="000A048C"/>
    <w:rsid w:val="000A0654"/>
    <w:rsid w:val="000A0670"/>
    <w:rsid w:val="000A09DD"/>
    <w:rsid w:val="000A0EE4"/>
    <w:rsid w:val="000A11BD"/>
    <w:rsid w:val="000A14EF"/>
    <w:rsid w:val="000A1AF2"/>
    <w:rsid w:val="000A1C49"/>
    <w:rsid w:val="000A20C5"/>
    <w:rsid w:val="000A270A"/>
    <w:rsid w:val="000A2975"/>
    <w:rsid w:val="000A29BC"/>
    <w:rsid w:val="000A373B"/>
    <w:rsid w:val="000A3DE3"/>
    <w:rsid w:val="000A40AC"/>
    <w:rsid w:val="000A40F6"/>
    <w:rsid w:val="000A464B"/>
    <w:rsid w:val="000A4ABF"/>
    <w:rsid w:val="000A5323"/>
    <w:rsid w:val="000A69AC"/>
    <w:rsid w:val="000A6AFC"/>
    <w:rsid w:val="000A6E4B"/>
    <w:rsid w:val="000A73AE"/>
    <w:rsid w:val="000A7ACE"/>
    <w:rsid w:val="000B0106"/>
    <w:rsid w:val="000B01DF"/>
    <w:rsid w:val="000B0417"/>
    <w:rsid w:val="000B092B"/>
    <w:rsid w:val="000B09EC"/>
    <w:rsid w:val="000B1BC2"/>
    <w:rsid w:val="000B200D"/>
    <w:rsid w:val="000B2B7B"/>
    <w:rsid w:val="000B2CDF"/>
    <w:rsid w:val="000B34AB"/>
    <w:rsid w:val="000B3567"/>
    <w:rsid w:val="000B50AA"/>
    <w:rsid w:val="000B5CA8"/>
    <w:rsid w:val="000B5CC1"/>
    <w:rsid w:val="000B5ED0"/>
    <w:rsid w:val="000B5ED5"/>
    <w:rsid w:val="000B6116"/>
    <w:rsid w:val="000B6EE7"/>
    <w:rsid w:val="000B72B5"/>
    <w:rsid w:val="000B744E"/>
    <w:rsid w:val="000B7C3D"/>
    <w:rsid w:val="000C0BF4"/>
    <w:rsid w:val="000C117F"/>
    <w:rsid w:val="000C14FE"/>
    <w:rsid w:val="000C1BB5"/>
    <w:rsid w:val="000C1D29"/>
    <w:rsid w:val="000C1D7E"/>
    <w:rsid w:val="000C2FFD"/>
    <w:rsid w:val="000C30D3"/>
    <w:rsid w:val="000C38EF"/>
    <w:rsid w:val="000C41C4"/>
    <w:rsid w:val="000C46E3"/>
    <w:rsid w:val="000C4B22"/>
    <w:rsid w:val="000C50B5"/>
    <w:rsid w:val="000C5621"/>
    <w:rsid w:val="000C5D6A"/>
    <w:rsid w:val="000C646D"/>
    <w:rsid w:val="000C6699"/>
    <w:rsid w:val="000C6873"/>
    <w:rsid w:val="000C6DA3"/>
    <w:rsid w:val="000C6DCF"/>
    <w:rsid w:val="000C6EE0"/>
    <w:rsid w:val="000C7372"/>
    <w:rsid w:val="000C75A9"/>
    <w:rsid w:val="000C79A0"/>
    <w:rsid w:val="000C7E6E"/>
    <w:rsid w:val="000D0111"/>
    <w:rsid w:val="000D01F1"/>
    <w:rsid w:val="000D0538"/>
    <w:rsid w:val="000D12F6"/>
    <w:rsid w:val="000D16AC"/>
    <w:rsid w:val="000D16EA"/>
    <w:rsid w:val="000D1FDF"/>
    <w:rsid w:val="000D1FF4"/>
    <w:rsid w:val="000D282F"/>
    <w:rsid w:val="000D2939"/>
    <w:rsid w:val="000D2D75"/>
    <w:rsid w:val="000D2FCF"/>
    <w:rsid w:val="000D309E"/>
    <w:rsid w:val="000D3388"/>
    <w:rsid w:val="000D342E"/>
    <w:rsid w:val="000D3518"/>
    <w:rsid w:val="000D4710"/>
    <w:rsid w:val="000D5799"/>
    <w:rsid w:val="000D5976"/>
    <w:rsid w:val="000D6039"/>
    <w:rsid w:val="000D60C2"/>
    <w:rsid w:val="000D6267"/>
    <w:rsid w:val="000D6FF9"/>
    <w:rsid w:val="000D7511"/>
    <w:rsid w:val="000D7C5A"/>
    <w:rsid w:val="000E0CC1"/>
    <w:rsid w:val="000E10E6"/>
    <w:rsid w:val="000E1333"/>
    <w:rsid w:val="000E13DD"/>
    <w:rsid w:val="000E16E1"/>
    <w:rsid w:val="000E23ED"/>
    <w:rsid w:val="000E2B63"/>
    <w:rsid w:val="000E2F19"/>
    <w:rsid w:val="000E367D"/>
    <w:rsid w:val="000E36C2"/>
    <w:rsid w:val="000E3B9D"/>
    <w:rsid w:val="000E53AD"/>
    <w:rsid w:val="000E551D"/>
    <w:rsid w:val="000E5DCF"/>
    <w:rsid w:val="000E5E2D"/>
    <w:rsid w:val="000E65A3"/>
    <w:rsid w:val="000E7455"/>
    <w:rsid w:val="000E7464"/>
    <w:rsid w:val="000E75EE"/>
    <w:rsid w:val="000E7676"/>
    <w:rsid w:val="000F0105"/>
    <w:rsid w:val="000F0E5D"/>
    <w:rsid w:val="000F0ECC"/>
    <w:rsid w:val="000F116E"/>
    <w:rsid w:val="000F170E"/>
    <w:rsid w:val="000F1711"/>
    <w:rsid w:val="000F172F"/>
    <w:rsid w:val="000F18B3"/>
    <w:rsid w:val="000F1CDF"/>
    <w:rsid w:val="000F213B"/>
    <w:rsid w:val="000F2A95"/>
    <w:rsid w:val="000F2AAE"/>
    <w:rsid w:val="000F2D31"/>
    <w:rsid w:val="000F36D5"/>
    <w:rsid w:val="000F3717"/>
    <w:rsid w:val="000F3791"/>
    <w:rsid w:val="000F3A03"/>
    <w:rsid w:val="000F3DF9"/>
    <w:rsid w:val="000F44A2"/>
    <w:rsid w:val="000F4A63"/>
    <w:rsid w:val="000F4D54"/>
    <w:rsid w:val="000F4FF1"/>
    <w:rsid w:val="000F549B"/>
    <w:rsid w:val="000F569F"/>
    <w:rsid w:val="000F59DE"/>
    <w:rsid w:val="000F6326"/>
    <w:rsid w:val="000F63CA"/>
    <w:rsid w:val="000F6682"/>
    <w:rsid w:val="000F6C6C"/>
    <w:rsid w:val="000F6D13"/>
    <w:rsid w:val="000F72F6"/>
    <w:rsid w:val="000F74E0"/>
    <w:rsid w:val="000F7582"/>
    <w:rsid w:val="0010046B"/>
    <w:rsid w:val="001009E2"/>
    <w:rsid w:val="00101158"/>
    <w:rsid w:val="0010115C"/>
    <w:rsid w:val="00101E5C"/>
    <w:rsid w:val="00102575"/>
    <w:rsid w:val="001027B6"/>
    <w:rsid w:val="001028AE"/>
    <w:rsid w:val="00102DFF"/>
    <w:rsid w:val="00102ECB"/>
    <w:rsid w:val="001031D3"/>
    <w:rsid w:val="0010323D"/>
    <w:rsid w:val="001037B7"/>
    <w:rsid w:val="00103BDF"/>
    <w:rsid w:val="00103C05"/>
    <w:rsid w:val="00103C91"/>
    <w:rsid w:val="00103CE5"/>
    <w:rsid w:val="00104CA2"/>
    <w:rsid w:val="001053CE"/>
    <w:rsid w:val="00105548"/>
    <w:rsid w:val="001055A1"/>
    <w:rsid w:val="0010658C"/>
    <w:rsid w:val="001065F0"/>
    <w:rsid w:val="001067C1"/>
    <w:rsid w:val="001067E7"/>
    <w:rsid w:val="00106BA6"/>
    <w:rsid w:val="00106C15"/>
    <w:rsid w:val="001070D1"/>
    <w:rsid w:val="00107775"/>
    <w:rsid w:val="00107A5B"/>
    <w:rsid w:val="00107CF7"/>
    <w:rsid w:val="0011009F"/>
    <w:rsid w:val="001104CE"/>
    <w:rsid w:val="0011063D"/>
    <w:rsid w:val="00111F93"/>
    <w:rsid w:val="00112690"/>
    <w:rsid w:val="00113AFE"/>
    <w:rsid w:val="00114043"/>
    <w:rsid w:val="00114046"/>
    <w:rsid w:val="00114169"/>
    <w:rsid w:val="00114471"/>
    <w:rsid w:val="001153C5"/>
    <w:rsid w:val="0011558C"/>
    <w:rsid w:val="00115A15"/>
    <w:rsid w:val="00116086"/>
    <w:rsid w:val="00116098"/>
    <w:rsid w:val="0011627D"/>
    <w:rsid w:val="001164A1"/>
    <w:rsid w:val="001166E4"/>
    <w:rsid w:val="001167CA"/>
    <w:rsid w:val="001169CC"/>
    <w:rsid w:val="0011713A"/>
    <w:rsid w:val="00117C78"/>
    <w:rsid w:val="00117E45"/>
    <w:rsid w:val="00117FEA"/>
    <w:rsid w:val="00120275"/>
    <w:rsid w:val="0012095B"/>
    <w:rsid w:val="00121077"/>
    <w:rsid w:val="00121105"/>
    <w:rsid w:val="00121558"/>
    <w:rsid w:val="001216DB"/>
    <w:rsid w:val="00121ABC"/>
    <w:rsid w:val="00121BDE"/>
    <w:rsid w:val="00121D75"/>
    <w:rsid w:val="00121F2F"/>
    <w:rsid w:val="001220D3"/>
    <w:rsid w:val="001220E2"/>
    <w:rsid w:val="00122179"/>
    <w:rsid w:val="001229F0"/>
    <w:rsid w:val="00123159"/>
    <w:rsid w:val="0012323A"/>
    <w:rsid w:val="00123545"/>
    <w:rsid w:val="00123878"/>
    <w:rsid w:val="00123BD4"/>
    <w:rsid w:val="00123D63"/>
    <w:rsid w:val="00123F6A"/>
    <w:rsid w:val="0012473E"/>
    <w:rsid w:val="0012482A"/>
    <w:rsid w:val="001255B8"/>
    <w:rsid w:val="00125786"/>
    <w:rsid w:val="00125B4D"/>
    <w:rsid w:val="00125F9B"/>
    <w:rsid w:val="00126E5E"/>
    <w:rsid w:val="00127133"/>
    <w:rsid w:val="0012733E"/>
    <w:rsid w:val="001273E1"/>
    <w:rsid w:val="00127D67"/>
    <w:rsid w:val="00127E53"/>
    <w:rsid w:val="00130448"/>
    <w:rsid w:val="001306A6"/>
    <w:rsid w:val="001306AC"/>
    <w:rsid w:val="00130AC3"/>
    <w:rsid w:val="001316FC"/>
    <w:rsid w:val="00131828"/>
    <w:rsid w:val="00131C47"/>
    <w:rsid w:val="00131E50"/>
    <w:rsid w:val="0013256C"/>
    <w:rsid w:val="00132753"/>
    <w:rsid w:val="00132C72"/>
    <w:rsid w:val="0013392D"/>
    <w:rsid w:val="00134037"/>
    <w:rsid w:val="001359F8"/>
    <w:rsid w:val="00135E49"/>
    <w:rsid w:val="00135EE2"/>
    <w:rsid w:val="00136271"/>
    <w:rsid w:val="00136573"/>
    <w:rsid w:val="001368E5"/>
    <w:rsid w:val="00136CCF"/>
    <w:rsid w:val="00137328"/>
    <w:rsid w:val="0013775F"/>
    <w:rsid w:val="00137761"/>
    <w:rsid w:val="00137E75"/>
    <w:rsid w:val="00140082"/>
    <w:rsid w:val="001401BB"/>
    <w:rsid w:val="001401C0"/>
    <w:rsid w:val="001406E5"/>
    <w:rsid w:val="001412DE"/>
    <w:rsid w:val="00142676"/>
    <w:rsid w:val="001427C0"/>
    <w:rsid w:val="00142C16"/>
    <w:rsid w:val="00143A43"/>
    <w:rsid w:val="00143A8F"/>
    <w:rsid w:val="001447C0"/>
    <w:rsid w:val="00144948"/>
    <w:rsid w:val="0014515E"/>
    <w:rsid w:val="001451AE"/>
    <w:rsid w:val="00145AC9"/>
    <w:rsid w:val="0014623E"/>
    <w:rsid w:val="00146819"/>
    <w:rsid w:val="00146D5F"/>
    <w:rsid w:val="00146D65"/>
    <w:rsid w:val="00146D6B"/>
    <w:rsid w:val="00147D13"/>
    <w:rsid w:val="00150173"/>
    <w:rsid w:val="001503A0"/>
    <w:rsid w:val="001503AA"/>
    <w:rsid w:val="0015073B"/>
    <w:rsid w:val="00150D0C"/>
    <w:rsid w:val="00150DF2"/>
    <w:rsid w:val="00150FB7"/>
    <w:rsid w:val="0015110F"/>
    <w:rsid w:val="001516B8"/>
    <w:rsid w:val="001517AA"/>
    <w:rsid w:val="0015181B"/>
    <w:rsid w:val="00151898"/>
    <w:rsid w:val="00151E96"/>
    <w:rsid w:val="00152750"/>
    <w:rsid w:val="00152915"/>
    <w:rsid w:val="00152B6A"/>
    <w:rsid w:val="00153FD1"/>
    <w:rsid w:val="0015453A"/>
    <w:rsid w:val="00154A83"/>
    <w:rsid w:val="00154D24"/>
    <w:rsid w:val="00155369"/>
    <w:rsid w:val="001556A0"/>
    <w:rsid w:val="001556F5"/>
    <w:rsid w:val="00156584"/>
    <w:rsid w:val="00156918"/>
    <w:rsid w:val="00156A5E"/>
    <w:rsid w:val="00157924"/>
    <w:rsid w:val="00157BA1"/>
    <w:rsid w:val="00157E5B"/>
    <w:rsid w:val="001604B4"/>
    <w:rsid w:val="001607F7"/>
    <w:rsid w:val="001609DC"/>
    <w:rsid w:val="00160DDC"/>
    <w:rsid w:val="00161574"/>
    <w:rsid w:val="00161B84"/>
    <w:rsid w:val="00161EB9"/>
    <w:rsid w:val="00161F2A"/>
    <w:rsid w:val="00162B05"/>
    <w:rsid w:val="00162E87"/>
    <w:rsid w:val="00163067"/>
    <w:rsid w:val="001638AE"/>
    <w:rsid w:val="00163FC0"/>
    <w:rsid w:val="00164973"/>
    <w:rsid w:val="00164BAC"/>
    <w:rsid w:val="00164BEC"/>
    <w:rsid w:val="0016536F"/>
    <w:rsid w:val="00165EF2"/>
    <w:rsid w:val="00166163"/>
    <w:rsid w:val="001668B0"/>
    <w:rsid w:val="00166D6B"/>
    <w:rsid w:val="00167009"/>
    <w:rsid w:val="00170941"/>
    <w:rsid w:val="00170BFC"/>
    <w:rsid w:val="00170E73"/>
    <w:rsid w:val="00170FF3"/>
    <w:rsid w:val="001716B2"/>
    <w:rsid w:val="00171A21"/>
    <w:rsid w:val="00171E82"/>
    <w:rsid w:val="00172856"/>
    <w:rsid w:val="001728D4"/>
    <w:rsid w:val="00172A07"/>
    <w:rsid w:val="00172CE5"/>
    <w:rsid w:val="00172D9F"/>
    <w:rsid w:val="00173414"/>
    <w:rsid w:val="001739C8"/>
    <w:rsid w:val="0017420A"/>
    <w:rsid w:val="00174971"/>
    <w:rsid w:val="00174D6E"/>
    <w:rsid w:val="00175376"/>
    <w:rsid w:val="00175BF8"/>
    <w:rsid w:val="00175CFC"/>
    <w:rsid w:val="001768FF"/>
    <w:rsid w:val="00176D3E"/>
    <w:rsid w:val="0017758D"/>
    <w:rsid w:val="00177CA5"/>
    <w:rsid w:val="00180202"/>
    <w:rsid w:val="001802BF"/>
    <w:rsid w:val="00180322"/>
    <w:rsid w:val="00180431"/>
    <w:rsid w:val="00180E98"/>
    <w:rsid w:val="001811DF"/>
    <w:rsid w:val="0018141B"/>
    <w:rsid w:val="001815E4"/>
    <w:rsid w:val="00181D29"/>
    <w:rsid w:val="00181FA5"/>
    <w:rsid w:val="00181FC1"/>
    <w:rsid w:val="001826A2"/>
    <w:rsid w:val="001826BA"/>
    <w:rsid w:val="00182B4A"/>
    <w:rsid w:val="00182FFA"/>
    <w:rsid w:val="001831B9"/>
    <w:rsid w:val="001842AD"/>
    <w:rsid w:val="00184708"/>
    <w:rsid w:val="00184ADC"/>
    <w:rsid w:val="00185131"/>
    <w:rsid w:val="00185404"/>
    <w:rsid w:val="001854DD"/>
    <w:rsid w:val="001869AC"/>
    <w:rsid w:val="00186B91"/>
    <w:rsid w:val="0018700D"/>
    <w:rsid w:val="0018769A"/>
    <w:rsid w:val="001903C4"/>
    <w:rsid w:val="00190775"/>
    <w:rsid w:val="001908BB"/>
    <w:rsid w:val="00190924"/>
    <w:rsid w:val="00190CE4"/>
    <w:rsid w:val="00190CF7"/>
    <w:rsid w:val="00190FE5"/>
    <w:rsid w:val="00191AB3"/>
    <w:rsid w:val="00191B1E"/>
    <w:rsid w:val="00191D97"/>
    <w:rsid w:val="00192EAB"/>
    <w:rsid w:val="00192EF0"/>
    <w:rsid w:val="0019348F"/>
    <w:rsid w:val="001938F1"/>
    <w:rsid w:val="001939D2"/>
    <w:rsid w:val="00193BAD"/>
    <w:rsid w:val="00194074"/>
    <w:rsid w:val="00194143"/>
    <w:rsid w:val="001942F4"/>
    <w:rsid w:val="00194708"/>
    <w:rsid w:val="00194742"/>
    <w:rsid w:val="00194FA5"/>
    <w:rsid w:val="0019547E"/>
    <w:rsid w:val="00195A11"/>
    <w:rsid w:val="00195B84"/>
    <w:rsid w:val="00195F75"/>
    <w:rsid w:val="00196556"/>
    <w:rsid w:val="0019697B"/>
    <w:rsid w:val="00196A9C"/>
    <w:rsid w:val="00196A9D"/>
    <w:rsid w:val="0019703E"/>
    <w:rsid w:val="0019704E"/>
    <w:rsid w:val="0019735D"/>
    <w:rsid w:val="001974F6"/>
    <w:rsid w:val="001977BF"/>
    <w:rsid w:val="00197B0C"/>
    <w:rsid w:val="00197FB3"/>
    <w:rsid w:val="00197FFD"/>
    <w:rsid w:val="001A07EA"/>
    <w:rsid w:val="001A14D9"/>
    <w:rsid w:val="001A15C0"/>
    <w:rsid w:val="001A1CA2"/>
    <w:rsid w:val="001A24F7"/>
    <w:rsid w:val="001A2B44"/>
    <w:rsid w:val="001A42B5"/>
    <w:rsid w:val="001A42DB"/>
    <w:rsid w:val="001A445D"/>
    <w:rsid w:val="001A4E2E"/>
    <w:rsid w:val="001A5399"/>
    <w:rsid w:val="001A54E9"/>
    <w:rsid w:val="001A6868"/>
    <w:rsid w:val="001A6A51"/>
    <w:rsid w:val="001A6ACC"/>
    <w:rsid w:val="001A73E3"/>
    <w:rsid w:val="001A75D7"/>
    <w:rsid w:val="001A765F"/>
    <w:rsid w:val="001B09AC"/>
    <w:rsid w:val="001B0E72"/>
    <w:rsid w:val="001B12C4"/>
    <w:rsid w:val="001B17A7"/>
    <w:rsid w:val="001B2419"/>
    <w:rsid w:val="001B2D4E"/>
    <w:rsid w:val="001B3376"/>
    <w:rsid w:val="001B35E6"/>
    <w:rsid w:val="001B3BC7"/>
    <w:rsid w:val="001B3BDF"/>
    <w:rsid w:val="001B4165"/>
    <w:rsid w:val="001B4B70"/>
    <w:rsid w:val="001B4C9B"/>
    <w:rsid w:val="001B4E15"/>
    <w:rsid w:val="001B5626"/>
    <w:rsid w:val="001B5BB9"/>
    <w:rsid w:val="001B5BDB"/>
    <w:rsid w:val="001B5E78"/>
    <w:rsid w:val="001B64A6"/>
    <w:rsid w:val="001B6646"/>
    <w:rsid w:val="001B733C"/>
    <w:rsid w:val="001B744F"/>
    <w:rsid w:val="001B7CB7"/>
    <w:rsid w:val="001C0C84"/>
    <w:rsid w:val="001C0EF5"/>
    <w:rsid w:val="001C1D5B"/>
    <w:rsid w:val="001C1F0A"/>
    <w:rsid w:val="001C23E5"/>
    <w:rsid w:val="001C2986"/>
    <w:rsid w:val="001C3526"/>
    <w:rsid w:val="001C3939"/>
    <w:rsid w:val="001C463A"/>
    <w:rsid w:val="001C4E04"/>
    <w:rsid w:val="001C5464"/>
    <w:rsid w:val="001C558C"/>
    <w:rsid w:val="001C5619"/>
    <w:rsid w:val="001C5778"/>
    <w:rsid w:val="001C6985"/>
    <w:rsid w:val="001C69FE"/>
    <w:rsid w:val="001C6DB4"/>
    <w:rsid w:val="001C7DA7"/>
    <w:rsid w:val="001D038E"/>
    <w:rsid w:val="001D048C"/>
    <w:rsid w:val="001D167B"/>
    <w:rsid w:val="001D171F"/>
    <w:rsid w:val="001D189F"/>
    <w:rsid w:val="001D190E"/>
    <w:rsid w:val="001D1B37"/>
    <w:rsid w:val="001D1F8B"/>
    <w:rsid w:val="001D25E6"/>
    <w:rsid w:val="001D2673"/>
    <w:rsid w:val="001D2B46"/>
    <w:rsid w:val="001D2CDC"/>
    <w:rsid w:val="001D2FA0"/>
    <w:rsid w:val="001D3031"/>
    <w:rsid w:val="001D3EAB"/>
    <w:rsid w:val="001D422F"/>
    <w:rsid w:val="001D48F1"/>
    <w:rsid w:val="001D4A20"/>
    <w:rsid w:val="001D4EC9"/>
    <w:rsid w:val="001D55BA"/>
    <w:rsid w:val="001D581E"/>
    <w:rsid w:val="001D6319"/>
    <w:rsid w:val="001D683D"/>
    <w:rsid w:val="001D6F29"/>
    <w:rsid w:val="001D7352"/>
    <w:rsid w:val="001D7EFB"/>
    <w:rsid w:val="001E0095"/>
    <w:rsid w:val="001E052A"/>
    <w:rsid w:val="001E0B28"/>
    <w:rsid w:val="001E0C2D"/>
    <w:rsid w:val="001E19D1"/>
    <w:rsid w:val="001E1CBE"/>
    <w:rsid w:val="001E206E"/>
    <w:rsid w:val="001E212C"/>
    <w:rsid w:val="001E249F"/>
    <w:rsid w:val="001E2852"/>
    <w:rsid w:val="001E2B27"/>
    <w:rsid w:val="001E30DD"/>
    <w:rsid w:val="001E310F"/>
    <w:rsid w:val="001E31EB"/>
    <w:rsid w:val="001E3247"/>
    <w:rsid w:val="001E38A4"/>
    <w:rsid w:val="001E44CE"/>
    <w:rsid w:val="001E4D43"/>
    <w:rsid w:val="001E50B7"/>
    <w:rsid w:val="001E5215"/>
    <w:rsid w:val="001E56B6"/>
    <w:rsid w:val="001E5AD9"/>
    <w:rsid w:val="001E618C"/>
    <w:rsid w:val="001E6655"/>
    <w:rsid w:val="001E671C"/>
    <w:rsid w:val="001E698D"/>
    <w:rsid w:val="001E72A8"/>
    <w:rsid w:val="001E7C94"/>
    <w:rsid w:val="001E7FC6"/>
    <w:rsid w:val="001F0558"/>
    <w:rsid w:val="001F0A9E"/>
    <w:rsid w:val="001F1B3B"/>
    <w:rsid w:val="001F23CA"/>
    <w:rsid w:val="001F27B2"/>
    <w:rsid w:val="001F36D9"/>
    <w:rsid w:val="001F3769"/>
    <w:rsid w:val="001F3CD5"/>
    <w:rsid w:val="001F41EB"/>
    <w:rsid w:val="001F44E5"/>
    <w:rsid w:val="001F45B2"/>
    <w:rsid w:val="001F50BA"/>
    <w:rsid w:val="001F56C1"/>
    <w:rsid w:val="001F5841"/>
    <w:rsid w:val="001F6194"/>
    <w:rsid w:val="001F6749"/>
    <w:rsid w:val="001F6C6C"/>
    <w:rsid w:val="001F6D23"/>
    <w:rsid w:val="001F6F9F"/>
    <w:rsid w:val="001F6FDC"/>
    <w:rsid w:val="001F75EC"/>
    <w:rsid w:val="001F78FE"/>
    <w:rsid w:val="001F7C71"/>
    <w:rsid w:val="001F7E4E"/>
    <w:rsid w:val="00200032"/>
    <w:rsid w:val="00200197"/>
    <w:rsid w:val="002012BC"/>
    <w:rsid w:val="002018A0"/>
    <w:rsid w:val="00202B44"/>
    <w:rsid w:val="00202FB3"/>
    <w:rsid w:val="00203575"/>
    <w:rsid w:val="002045B4"/>
    <w:rsid w:val="00204744"/>
    <w:rsid w:val="0020494E"/>
    <w:rsid w:val="00204AE0"/>
    <w:rsid w:val="00204C89"/>
    <w:rsid w:val="00204EEF"/>
    <w:rsid w:val="002054FD"/>
    <w:rsid w:val="002067EA"/>
    <w:rsid w:val="00207283"/>
    <w:rsid w:val="00207404"/>
    <w:rsid w:val="002077B5"/>
    <w:rsid w:val="002078EA"/>
    <w:rsid w:val="002079A5"/>
    <w:rsid w:val="00207D7D"/>
    <w:rsid w:val="00210223"/>
    <w:rsid w:val="002104E4"/>
    <w:rsid w:val="0021076F"/>
    <w:rsid w:val="00211003"/>
    <w:rsid w:val="002114FC"/>
    <w:rsid w:val="002118D8"/>
    <w:rsid w:val="002119BD"/>
    <w:rsid w:val="00211B32"/>
    <w:rsid w:val="00211B9B"/>
    <w:rsid w:val="00211D4C"/>
    <w:rsid w:val="00211DF3"/>
    <w:rsid w:val="00211EEC"/>
    <w:rsid w:val="00212585"/>
    <w:rsid w:val="00212CA5"/>
    <w:rsid w:val="002136CF"/>
    <w:rsid w:val="002143A8"/>
    <w:rsid w:val="002145CD"/>
    <w:rsid w:val="00214958"/>
    <w:rsid w:val="00214C77"/>
    <w:rsid w:val="00214E65"/>
    <w:rsid w:val="00214F31"/>
    <w:rsid w:val="00214F64"/>
    <w:rsid w:val="002153BE"/>
    <w:rsid w:val="00215542"/>
    <w:rsid w:val="00215737"/>
    <w:rsid w:val="00215A65"/>
    <w:rsid w:val="00215D3F"/>
    <w:rsid w:val="0021643F"/>
    <w:rsid w:val="00216551"/>
    <w:rsid w:val="002166C8"/>
    <w:rsid w:val="00217661"/>
    <w:rsid w:val="0021775E"/>
    <w:rsid w:val="0021796A"/>
    <w:rsid w:val="0021798D"/>
    <w:rsid w:val="00217DF4"/>
    <w:rsid w:val="002205F9"/>
    <w:rsid w:val="00221A1E"/>
    <w:rsid w:val="002220A5"/>
    <w:rsid w:val="0022312A"/>
    <w:rsid w:val="00223240"/>
    <w:rsid w:val="002232C3"/>
    <w:rsid w:val="0022335E"/>
    <w:rsid w:val="00223F92"/>
    <w:rsid w:val="00224008"/>
    <w:rsid w:val="00224CE0"/>
    <w:rsid w:val="00224EB5"/>
    <w:rsid w:val="002251CC"/>
    <w:rsid w:val="00225546"/>
    <w:rsid w:val="0022575E"/>
    <w:rsid w:val="00225B90"/>
    <w:rsid w:val="00226363"/>
    <w:rsid w:val="00227A15"/>
    <w:rsid w:val="00230110"/>
    <w:rsid w:val="00230150"/>
    <w:rsid w:val="0023044E"/>
    <w:rsid w:val="0023045E"/>
    <w:rsid w:val="002304E2"/>
    <w:rsid w:val="00230EAB"/>
    <w:rsid w:val="002316FF"/>
    <w:rsid w:val="00231B48"/>
    <w:rsid w:val="0023202B"/>
    <w:rsid w:val="002337E6"/>
    <w:rsid w:val="00233FF5"/>
    <w:rsid w:val="00234FFA"/>
    <w:rsid w:val="002358C3"/>
    <w:rsid w:val="00235D17"/>
    <w:rsid w:val="00235E3C"/>
    <w:rsid w:val="002367DA"/>
    <w:rsid w:val="002368B0"/>
    <w:rsid w:val="00236EF5"/>
    <w:rsid w:val="002370D1"/>
    <w:rsid w:val="00237342"/>
    <w:rsid w:val="002375E7"/>
    <w:rsid w:val="002378CD"/>
    <w:rsid w:val="00237A24"/>
    <w:rsid w:val="00237AAD"/>
    <w:rsid w:val="0024144C"/>
    <w:rsid w:val="002416B5"/>
    <w:rsid w:val="00241AD0"/>
    <w:rsid w:val="00241DB6"/>
    <w:rsid w:val="0024229C"/>
    <w:rsid w:val="00242571"/>
    <w:rsid w:val="00242B36"/>
    <w:rsid w:val="00242B6E"/>
    <w:rsid w:val="00242CE0"/>
    <w:rsid w:val="00242EBB"/>
    <w:rsid w:val="00242F5A"/>
    <w:rsid w:val="0024319B"/>
    <w:rsid w:val="0024338B"/>
    <w:rsid w:val="00244AA0"/>
    <w:rsid w:val="002451AA"/>
    <w:rsid w:val="00245F40"/>
    <w:rsid w:val="00246775"/>
    <w:rsid w:val="002467C7"/>
    <w:rsid w:val="00246872"/>
    <w:rsid w:val="00247390"/>
    <w:rsid w:val="00250FD8"/>
    <w:rsid w:val="0025102F"/>
    <w:rsid w:val="002514A7"/>
    <w:rsid w:val="00251707"/>
    <w:rsid w:val="00252224"/>
    <w:rsid w:val="00252911"/>
    <w:rsid w:val="00252A9E"/>
    <w:rsid w:val="00253730"/>
    <w:rsid w:val="0025395E"/>
    <w:rsid w:val="00253CAC"/>
    <w:rsid w:val="00253CB2"/>
    <w:rsid w:val="00254232"/>
    <w:rsid w:val="00254371"/>
    <w:rsid w:val="002544AE"/>
    <w:rsid w:val="00254AB6"/>
    <w:rsid w:val="00254B1E"/>
    <w:rsid w:val="0025537B"/>
    <w:rsid w:val="0025564D"/>
    <w:rsid w:val="002557EF"/>
    <w:rsid w:val="0025590A"/>
    <w:rsid w:val="00256889"/>
    <w:rsid w:val="00256A85"/>
    <w:rsid w:val="00257C62"/>
    <w:rsid w:val="00260833"/>
    <w:rsid w:val="00261063"/>
    <w:rsid w:val="002614F4"/>
    <w:rsid w:val="00261846"/>
    <w:rsid w:val="00261BB6"/>
    <w:rsid w:val="0026225E"/>
    <w:rsid w:val="0026252E"/>
    <w:rsid w:val="00262753"/>
    <w:rsid w:val="002629D3"/>
    <w:rsid w:val="00262C96"/>
    <w:rsid w:val="00263294"/>
    <w:rsid w:val="002634D3"/>
    <w:rsid w:val="00264218"/>
    <w:rsid w:val="00264B0F"/>
    <w:rsid w:val="00265562"/>
    <w:rsid w:val="00265756"/>
    <w:rsid w:val="00265933"/>
    <w:rsid w:val="00265ECF"/>
    <w:rsid w:val="0026649A"/>
    <w:rsid w:val="00266E5C"/>
    <w:rsid w:val="00267283"/>
    <w:rsid w:val="0026731D"/>
    <w:rsid w:val="00267BE7"/>
    <w:rsid w:val="00267E90"/>
    <w:rsid w:val="0027007E"/>
    <w:rsid w:val="00270D9B"/>
    <w:rsid w:val="002713BA"/>
    <w:rsid w:val="00271856"/>
    <w:rsid w:val="002718BC"/>
    <w:rsid w:val="00271B5A"/>
    <w:rsid w:val="00271B98"/>
    <w:rsid w:val="00271BB0"/>
    <w:rsid w:val="00272B62"/>
    <w:rsid w:val="00272BBC"/>
    <w:rsid w:val="00272E25"/>
    <w:rsid w:val="0027368D"/>
    <w:rsid w:val="002737A0"/>
    <w:rsid w:val="00273B6F"/>
    <w:rsid w:val="00273DDF"/>
    <w:rsid w:val="002744D6"/>
    <w:rsid w:val="0027544A"/>
    <w:rsid w:val="00275658"/>
    <w:rsid w:val="0027587D"/>
    <w:rsid w:val="0027598F"/>
    <w:rsid w:val="00275A27"/>
    <w:rsid w:val="00276596"/>
    <w:rsid w:val="002768A2"/>
    <w:rsid w:val="00276A5D"/>
    <w:rsid w:val="00276C86"/>
    <w:rsid w:val="00277DCE"/>
    <w:rsid w:val="00277F11"/>
    <w:rsid w:val="002808BA"/>
    <w:rsid w:val="00280C60"/>
    <w:rsid w:val="00281A9D"/>
    <w:rsid w:val="00282DF3"/>
    <w:rsid w:val="00282E2C"/>
    <w:rsid w:val="00283080"/>
    <w:rsid w:val="002834D1"/>
    <w:rsid w:val="00283628"/>
    <w:rsid w:val="0028407D"/>
    <w:rsid w:val="00284101"/>
    <w:rsid w:val="0028434E"/>
    <w:rsid w:val="002847A6"/>
    <w:rsid w:val="00284AC5"/>
    <w:rsid w:val="00285E23"/>
    <w:rsid w:val="00285F9A"/>
    <w:rsid w:val="00287472"/>
    <w:rsid w:val="002878BF"/>
    <w:rsid w:val="00287D15"/>
    <w:rsid w:val="00290560"/>
    <w:rsid w:val="00290740"/>
    <w:rsid w:val="00291E5B"/>
    <w:rsid w:val="0029230C"/>
    <w:rsid w:val="002923E0"/>
    <w:rsid w:val="002934C7"/>
    <w:rsid w:val="0029353F"/>
    <w:rsid w:val="00293691"/>
    <w:rsid w:val="0029379F"/>
    <w:rsid w:val="0029459B"/>
    <w:rsid w:val="002945C6"/>
    <w:rsid w:val="00294C50"/>
    <w:rsid w:val="00294F85"/>
    <w:rsid w:val="00295556"/>
    <w:rsid w:val="002955C4"/>
    <w:rsid w:val="00295B63"/>
    <w:rsid w:val="00295FD3"/>
    <w:rsid w:val="00296717"/>
    <w:rsid w:val="002967A4"/>
    <w:rsid w:val="00296D28"/>
    <w:rsid w:val="00297015"/>
    <w:rsid w:val="00297605"/>
    <w:rsid w:val="002978D8"/>
    <w:rsid w:val="002978F7"/>
    <w:rsid w:val="00297E98"/>
    <w:rsid w:val="002A0218"/>
    <w:rsid w:val="002A04FE"/>
    <w:rsid w:val="002A05B7"/>
    <w:rsid w:val="002A06BE"/>
    <w:rsid w:val="002A06CB"/>
    <w:rsid w:val="002A10BE"/>
    <w:rsid w:val="002A15C0"/>
    <w:rsid w:val="002A1AD7"/>
    <w:rsid w:val="002A1B3F"/>
    <w:rsid w:val="002A1DEC"/>
    <w:rsid w:val="002A2A31"/>
    <w:rsid w:val="002A2B27"/>
    <w:rsid w:val="002A37F2"/>
    <w:rsid w:val="002A3F58"/>
    <w:rsid w:val="002A4B2C"/>
    <w:rsid w:val="002A4D3E"/>
    <w:rsid w:val="002A542C"/>
    <w:rsid w:val="002A54F7"/>
    <w:rsid w:val="002A5781"/>
    <w:rsid w:val="002A5910"/>
    <w:rsid w:val="002A5CB4"/>
    <w:rsid w:val="002A682A"/>
    <w:rsid w:val="002A6EF7"/>
    <w:rsid w:val="002A7D13"/>
    <w:rsid w:val="002B0345"/>
    <w:rsid w:val="002B1155"/>
    <w:rsid w:val="002B1668"/>
    <w:rsid w:val="002B1A2B"/>
    <w:rsid w:val="002B243C"/>
    <w:rsid w:val="002B25A7"/>
    <w:rsid w:val="002B3FC0"/>
    <w:rsid w:val="002B453B"/>
    <w:rsid w:val="002B465D"/>
    <w:rsid w:val="002B48E1"/>
    <w:rsid w:val="002B4E01"/>
    <w:rsid w:val="002B58D6"/>
    <w:rsid w:val="002B5AC8"/>
    <w:rsid w:val="002B6696"/>
    <w:rsid w:val="002B7031"/>
    <w:rsid w:val="002B7366"/>
    <w:rsid w:val="002B7538"/>
    <w:rsid w:val="002B7712"/>
    <w:rsid w:val="002B7BDC"/>
    <w:rsid w:val="002B7D66"/>
    <w:rsid w:val="002C003E"/>
    <w:rsid w:val="002C0268"/>
    <w:rsid w:val="002C0C8F"/>
    <w:rsid w:val="002C10FE"/>
    <w:rsid w:val="002C18B5"/>
    <w:rsid w:val="002C1A88"/>
    <w:rsid w:val="002C1AD4"/>
    <w:rsid w:val="002C1C23"/>
    <w:rsid w:val="002C1D20"/>
    <w:rsid w:val="002C254E"/>
    <w:rsid w:val="002C2562"/>
    <w:rsid w:val="002C3724"/>
    <w:rsid w:val="002C373E"/>
    <w:rsid w:val="002C3930"/>
    <w:rsid w:val="002C3D3F"/>
    <w:rsid w:val="002C4449"/>
    <w:rsid w:val="002C451D"/>
    <w:rsid w:val="002C4794"/>
    <w:rsid w:val="002C47EE"/>
    <w:rsid w:val="002C5509"/>
    <w:rsid w:val="002C5B78"/>
    <w:rsid w:val="002C5C18"/>
    <w:rsid w:val="002C5E49"/>
    <w:rsid w:val="002C647B"/>
    <w:rsid w:val="002C66E4"/>
    <w:rsid w:val="002C7569"/>
    <w:rsid w:val="002C7578"/>
    <w:rsid w:val="002D09B6"/>
    <w:rsid w:val="002D11C5"/>
    <w:rsid w:val="002D150D"/>
    <w:rsid w:val="002D1627"/>
    <w:rsid w:val="002D1A20"/>
    <w:rsid w:val="002D1B1A"/>
    <w:rsid w:val="002D1D36"/>
    <w:rsid w:val="002D209B"/>
    <w:rsid w:val="002D235B"/>
    <w:rsid w:val="002D2BD2"/>
    <w:rsid w:val="002D33FB"/>
    <w:rsid w:val="002D3751"/>
    <w:rsid w:val="002D3AB4"/>
    <w:rsid w:val="002D417B"/>
    <w:rsid w:val="002D45F2"/>
    <w:rsid w:val="002D4890"/>
    <w:rsid w:val="002D48C9"/>
    <w:rsid w:val="002D6B67"/>
    <w:rsid w:val="002D6DA3"/>
    <w:rsid w:val="002D6E7B"/>
    <w:rsid w:val="002D7ABF"/>
    <w:rsid w:val="002E0103"/>
    <w:rsid w:val="002E0121"/>
    <w:rsid w:val="002E0A53"/>
    <w:rsid w:val="002E0D64"/>
    <w:rsid w:val="002E0F36"/>
    <w:rsid w:val="002E17EF"/>
    <w:rsid w:val="002E1BAE"/>
    <w:rsid w:val="002E1EDA"/>
    <w:rsid w:val="002E36AB"/>
    <w:rsid w:val="002E3778"/>
    <w:rsid w:val="002E37E0"/>
    <w:rsid w:val="002E3D94"/>
    <w:rsid w:val="002E4382"/>
    <w:rsid w:val="002E462E"/>
    <w:rsid w:val="002E4643"/>
    <w:rsid w:val="002E47B9"/>
    <w:rsid w:val="002E47BE"/>
    <w:rsid w:val="002E4CB3"/>
    <w:rsid w:val="002E4D5E"/>
    <w:rsid w:val="002E4FA3"/>
    <w:rsid w:val="002E5297"/>
    <w:rsid w:val="002E5303"/>
    <w:rsid w:val="002E62ED"/>
    <w:rsid w:val="002E646F"/>
    <w:rsid w:val="002E65BB"/>
    <w:rsid w:val="002E6A7F"/>
    <w:rsid w:val="002E78D5"/>
    <w:rsid w:val="002E7BD7"/>
    <w:rsid w:val="002E7D4B"/>
    <w:rsid w:val="002F0162"/>
    <w:rsid w:val="002F0301"/>
    <w:rsid w:val="002F1061"/>
    <w:rsid w:val="002F122C"/>
    <w:rsid w:val="002F1453"/>
    <w:rsid w:val="002F1B3A"/>
    <w:rsid w:val="002F1B73"/>
    <w:rsid w:val="002F205F"/>
    <w:rsid w:val="002F276C"/>
    <w:rsid w:val="002F27F2"/>
    <w:rsid w:val="002F2E72"/>
    <w:rsid w:val="002F5397"/>
    <w:rsid w:val="002F5B2F"/>
    <w:rsid w:val="002F5E7C"/>
    <w:rsid w:val="002F65C5"/>
    <w:rsid w:val="002F7061"/>
    <w:rsid w:val="002F71DC"/>
    <w:rsid w:val="002F7575"/>
    <w:rsid w:val="002F7D9A"/>
    <w:rsid w:val="002F7FC9"/>
    <w:rsid w:val="00300B7A"/>
    <w:rsid w:val="0030112C"/>
    <w:rsid w:val="0030133F"/>
    <w:rsid w:val="00301ADF"/>
    <w:rsid w:val="00301D77"/>
    <w:rsid w:val="00301ED3"/>
    <w:rsid w:val="00301FE0"/>
    <w:rsid w:val="003027FE"/>
    <w:rsid w:val="00302FB5"/>
    <w:rsid w:val="003035D7"/>
    <w:rsid w:val="00303E4D"/>
    <w:rsid w:val="00304794"/>
    <w:rsid w:val="003047C0"/>
    <w:rsid w:val="00305524"/>
    <w:rsid w:val="0030595D"/>
    <w:rsid w:val="003059E2"/>
    <w:rsid w:val="00305A1C"/>
    <w:rsid w:val="00305FD2"/>
    <w:rsid w:val="00306BDB"/>
    <w:rsid w:val="0030736D"/>
    <w:rsid w:val="003073E0"/>
    <w:rsid w:val="003079CC"/>
    <w:rsid w:val="00307BA9"/>
    <w:rsid w:val="00307C02"/>
    <w:rsid w:val="00307C55"/>
    <w:rsid w:val="00307F60"/>
    <w:rsid w:val="00310067"/>
    <w:rsid w:val="003106B3"/>
    <w:rsid w:val="00310B82"/>
    <w:rsid w:val="00310BA9"/>
    <w:rsid w:val="00311233"/>
    <w:rsid w:val="0031146D"/>
    <w:rsid w:val="00311874"/>
    <w:rsid w:val="00311CA2"/>
    <w:rsid w:val="00311CED"/>
    <w:rsid w:val="00311DEA"/>
    <w:rsid w:val="00311EB4"/>
    <w:rsid w:val="003128C7"/>
    <w:rsid w:val="00312E49"/>
    <w:rsid w:val="0031301E"/>
    <w:rsid w:val="00313754"/>
    <w:rsid w:val="00314274"/>
    <w:rsid w:val="003142FD"/>
    <w:rsid w:val="00314DB6"/>
    <w:rsid w:val="003153DF"/>
    <w:rsid w:val="00315A7A"/>
    <w:rsid w:val="00316163"/>
    <w:rsid w:val="003163E9"/>
    <w:rsid w:val="003166A8"/>
    <w:rsid w:val="003171F4"/>
    <w:rsid w:val="00317399"/>
    <w:rsid w:val="003175F7"/>
    <w:rsid w:val="003207C7"/>
    <w:rsid w:val="00320858"/>
    <w:rsid w:val="00320D47"/>
    <w:rsid w:val="00320DB8"/>
    <w:rsid w:val="00321B30"/>
    <w:rsid w:val="00321B85"/>
    <w:rsid w:val="003228B6"/>
    <w:rsid w:val="00322A17"/>
    <w:rsid w:val="003237D9"/>
    <w:rsid w:val="003238C1"/>
    <w:rsid w:val="00323BD9"/>
    <w:rsid w:val="00324A5D"/>
    <w:rsid w:val="00324B16"/>
    <w:rsid w:val="0032519F"/>
    <w:rsid w:val="003252BD"/>
    <w:rsid w:val="0032653D"/>
    <w:rsid w:val="003269FC"/>
    <w:rsid w:val="00326A0F"/>
    <w:rsid w:val="00327069"/>
    <w:rsid w:val="003270D7"/>
    <w:rsid w:val="00327B9D"/>
    <w:rsid w:val="003301EE"/>
    <w:rsid w:val="00330328"/>
    <w:rsid w:val="003304B9"/>
    <w:rsid w:val="003304FF"/>
    <w:rsid w:val="0033134C"/>
    <w:rsid w:val="003319B6"/>
    <w:rsid w:val="003325A7"/>
    <w:rsid w:val="00332975"/>
    <w:rsid w:val="00332C7A"/>
    <w:rsid w:val="003340EE"/>
    <w:rsid w:val="00334165"/>
    <w:rsid w:val="00334EEE"/>
    <w:rsid w:val="003356BE"/>
    <w:rsid w:val="003356D7"/>
    <w:rsid w:val="003361E9"/>
    <w:rsid w:val="0033671A"/>
    <w:rsid w:val="00336DA2"/>
    <w:rsid w:val="00336DB6"/>
    <w:rsid w:val="00337144"/>
    <w:rsid w:val="00337195"/>
    <w:rsid w:val="003371DE"/>
    <w:rsid w:val="00337D31"/>
    <w:rsid w:val="00340612"/>
    <w:rsid w:val="003409F8"/>
    <w:rsid w:val="00340C35"/>
    <w:rsid w:val="003414B0"/>
    <w:rsid w:val="003417DE"/>
    <w:rsid w:val="00341CA0"/>
    <w:rsid w:val="00342EEC"/>
    <w:rsid w:val="0034304D"/>
    <w:rsid w:val="00343050"/>
    <w:rsid w:val="0034338F"/>
    <w:rsid w:val="0034367F"/>
    <w:rsid w:val="003436B0"/>
    <w:rsid w:val="0034387F"/>
    <w:rsid w:val="003440CD"/>
    <w:rsid w:val="003443CF"/>
    <w:rsid w:val="0034490E"/>
    <w:rsid w:val="00344AAA"/>
    <w:rsid w:val="00344D58"/>
    <w:rsid w:val="00344F14"/>
    <w:rsid w:val="00344FCE"/>
    <w:rsid w:val="00345BA4"/>
    <w:rsid w:val="003467B0"/>
    <w:rsid w:val="00346AEB"/>
    <w:rsid w:val="00346C61"/>
    <w:rsid w:val="00347089"/>
    <w:rsid w:val="00347191"/>
    <w:rsid w:val="00347E07"/>
    <w:rsid w:val="00350B3F"/>
    <w:rsid w:val="00350C7A"/>
    <w:rsid w:val="00350E38"/>
    <w:rsid w:val="003516C6"/>
    <w:rsid w:val="003517EF"/>
    <w:rsid w:val="00351A5A"/>
    <w:rsid w:val="0035270B"/>
    <w:rsid w:val="00352723"/>
    <w:rsid w:val="00352F08"/>
    <w:rsid w:val="00353490"/>
    <w:rsid w:val="003538A2"/>
    <w:rsid w:val="003548F5"/>
    <w:rsid w:val="00354E42"/>
    <w:rsid w:val="00354EC5"/>
    <w:rsid w:val="00355370"/>
    <w:rsid w:val="0035542F"/>
    <w:rsid w:val="003557A4"/>
    <w:rsid w:val="00355F1E"/>
    <w:rsid w:val="0035606C"/>
    <w:rsid w:val="003573A2"/>
    <w:rsid w:val="00357E4F"/>
    <w:rsid w:val="003602BF"/>
    <w:rsid w:val="0036037B"/>
    <w:rsid w:val="003607AB"/>
    <w:rsid w:val="00360BAC"/>
    <w:rsid w:val="0036125E"/>
    <w:rsid w:val="003613FB"/>
    <w:rsid w:val="0036143A"/>
    <w:rsid w:val="00362564"/>
    <w:rsid w:val="00362702"/>
    <w:rsid w:val="00362D01"/>
    <w:rsid w:val="00363762"/>
    <w:rsid w:val="00363EE9"/>
    <w:rsid w:val="00363F65"/>
    <w:rsid w:val="00364550"/>
    <w:rsid w:val="00364F19"/>
    <w:rsid w:val="00365502"/>
    <w:rsid w:val="00365807"/>
    <w:rsid w:val="003666A8"/>
    <w:rsid w:val="0036678B"/>
    <w:rsid w:val="00366893"/>
    <w:rsid w:val="00366CEE"/>
    <w:rsid w:val="0036713C"/>
    <w:rsid w:val="0036723C"/>
    <w:rsid w:val="003676A0"/>
    <w:rsid w:val="00367AC8"/>
    <w:rsid w:val="00370779"/>
    <w:rsid w:val="0037099E"/>
    <w:rsid w:val="00370A58"/>
    <w:rsid w:val="00370FC5"/>
    <w:rsid w:val="003714FA"/>
    <w:rsid w:val="00371B87"/>
    <w:rsid w:val="00371DB2"/>
    <w:rsid w:val="00371F21"/>
    <w:rsid w:val="003720EC"/>
    <w:rsid w:val="0037349F"/>
    <w:rsid w:val="00373BBE"/>
    <w:rsid w:val="00373FF7"/>
    <w:rsid w:val="00374906"/>
    <w:rsid w:val="00375156"/>
    <w:rsid w:val="003752DF"/>
    <w:rsid w:val="0037533D"/>
    <w:rsid w:val="00375363"/>
    <w:rsid w:val="003754AB"/>
    <w:rsid w:val="003758C8"/>
    <w:rsid w:val="00375B4D"/>
    <w:rsid w:val="00375E36"/>
    <w:rsid w:val="00375FCD"/>
    <w:rsid w:val="003761F8"/>
    <w:rsid w:val="00376496"/>
    <w:rsid w:val="00376AEE"/>
    <w:rsid w:val="00377CF6"/>
    <w:rsid w:val="003807AC"/>
    <w:rsid w:val="00380E76"/>
    <w:rsid w:val="0038146F"/>
    <w:rsid w:val="003817A6"/>
    <w:rsid w:val="00381A3C"/>
    <w:rsid w:val="0038354D"/>
    <w:rsid w:val="003835CA"/>
    <w:rsid w:val="00383815"/>
    <w:rsid w:val="0038435D"/>
    <w:rsid w:val="003849F7"/>
    <w:rsid w:val="00384B4C"/>
    <w:rsid w:val="00385070"/>
    <w:rsid w:val="00385779"/>
    <w:rsid w:val="003860DC"/>
    <w:rsid w:val="003869A0"/>
    <w:rsid w:val="00386EA3"/>
    <w:rsid w:val="00387A2B"/>
    <w:rsid w:val="00387BE1"/>
    <w:rsid w:val="00387F3E"/>
    <w:rsid w:val="003905C0"/>
    <w:rsid w:val="00390883"/>
    <w:rsid w:val="00390B3F"/>
    <w:rsid w:val="00391274"/>
    <w:rsid w:val="0039162C"/>
    <w:rsid w:val="0039167E"/>
    <w:rsid w:val="003922F4"/>
    <w:rsid w:val="003924BB"/>
    <w:rsid w:val="0039281C"/>
    <w:rsid w:val="00392943"/>
    <w:rsid w:val="00392D93"/>
    <w:rsid w:val="0039407C"/>
    <w:rsid w:val="00394435"/>
    <w:rsid w:val="003945A3"/>
    <w:rsid w:val="00394936"/>
    <w:rsid w:val="00394BD8"/>
    <w:rsid w:val="00395AF4"/>
    <w:rsid w:val="00395C20"/>
    <w:rsid w:val="003962A4"/>
    <w:rsid w:val="003969C9"/>
    <w:rsid w:val="00397755"/>
    <w:rsid w:val="00397783"/>
    <w:rsid w:val="00397881"/>
    <w:rsid w:val="003979C7"/>
    <w:rsid w:val="003A00ED"/>
    <w:rsid w:val="003A03FC"/>
    <w:rsid w:val="003A0487"/>
    <w:rsid w:val="003A05AA"/>
    <w:rsid w:val="003A0692"/>
    <w:rsid w:val="003A09DF"/>
    <w:rsid w:val="003A0CD2"/>
    <w:rsid w:val="003A101A"/>
    <w:rsid w:val="003A135F"/>
    <w:rsid w:val="003A169E"/>
    <w:rsid w:val="003A2090"/>
    <w:rsid w:val="003A2662"/>
    <w:rsid w:val="003A2738"/>
    <w:rsid w:val="003A345F"/>
    <w:rsid w:val="003A3836"/>
    <w:rsid w:val="003A4CB5"/>
    <w:rsid w:val="003A50C9"/>
    <w:rsid w:val="003A5266"/>
    <w:rsid w:val="003A5AB3"/>
    <w:rsid w:val="003A63F6"/>
    <w:rsid w:val="003A640F"/>
    <w:rsid w:val="003A6461"/>
    <w:rsid w:val="003A66D6"/>
    <w:rsid w:val="003A67B0"/>
    <w:rsid w:val="003A69CE"/>
    <w:rsid w:val="003A7ABF"/>
    <w:rsid w:val="003A7DAE"/>
    <w:rsid w:val="003B0248"/>
    <w:rsid w:val="003B0C87"/>
    <w:rsid w:val="003B0CC6"/>
    <w:rsid w:val="003B114B"/>
    <w:rsid w:val="003B226D"/>
    <w:rsid w:val="003B2828"/>
    <w:rsid w:val="003B34B7"/>
    <w:rsid w:val="003B3BD1"/>
    <w:rsid w:val="003B3E23"/>
    <w:rsid w:val="003B435B"/>
    <w:rsid w:val="003B4452"/>
    <w:rsid w:val="003B4477"/>
    <w:rsid w:val="003B452E"/>
    <w:rsid w:val="003B483C"/>
    <w:rsid w:val="003B5599"/>
    <w:rsid w:val="003B5A0A"/>
    <w:rsid w:val="003B5DA1"/>
    <w:rsid w:val="003B635C"/>
    <w:rsid w:val="003B6483"/>
    <w:rsid w:val="003B6D6B"/>
    <w:rsid w:val="003B6F49"/>
    <w:rsid w:val="003B70F4"/>
    <w:rsid w:val="003B7EDC"/>
    <w:rsid w:val="003C05C7"/>
    <w:rsid w:val="003C05E6"/>
    <w:rsid w:val="003C0E23"/>
    <w:rsid w:val="003C0EDF"/>
    <w:rsid w:val="003C117B"/>
    <w:rsid w:val="003C12D3"/>
    <w:rsid w:val="003C1490"/>
    <w:rsid w:val="003C1BE6"/>
    <w:rsid w:val="003C2221"/>
    <w:rsid w:val="003C2C4E"/>
    <w:rsid w:val="003C3666"/>
    <w:rsid w:val="003C3804"/>
    <w:rsid w:val="003C47AB"/>
    <w:rsid w:val="003C4CD7"/>
    <w:rsid w:val="003C4DDD"/>
    <w:rsid w:val="003C57EC"/>
    <w:rsid w:val="003C5B4C"/>
    <w:rsid w:val="003C650C"/>
    <w:rsid w:val="003C6A1C"/>
    <w:rsid w:val="003C7F83"/>
    <w:rsid w:val="003D012B"/>
    <w:rsid w:val="003D08B2"/>
    <w:rsid w:val="003D0CF0"/>
    <w:rsid w:val="003D1231"/>
    <w:rsid w:val="003D1B47"/>
    <w:rsid w:val="003D1B94"/>
    <w:rsid w:val="003D203D"/>
    <w:rsid w:val="003D244F"/>
    <w:rsid w:val="003D28B1"/>
    <w:rsid w:val="003D2F61"/>
    <w:rsid w:val="003D3336"/>
    <w:rsid w:val="003D377C"/>
    <w:rsid w:val="003D3CA0"/>
    <w:rsid w:val="003D3DD4"/>
    <w:rsid w:val="003D43DC"/>
    <w:rsid w:val="003D4F01"/>
    <w:rsid w:val="003D50D8"/>
    <w:rsid w:val="003D535B"/>
    <w:rsid w:val="003D5369"/>
    <w:rsid w:val="003D58C5"/>
    <w:rsid w:val="003D5B60"/>
    <w:rsid w:val="003D5BFC"/>
    <w:rsid w:val="003D5CD7"/>
    <w:rsid w:val="003D62A5"/>
    <w:rsid w:val="003D6E69"/>
    <w:rsid w:val="003D7151"/>
    <w:rsid w:val="003D750F"/>
    <w:rsid w:val="003D75A8"/>
    <w:rsid w:val="003D7C12"/>
    <w:rsid w:val="003E05C0"/>
    <w:rsid w:val="003E08CB"/>
    <w:rsid w:val="003E1082"/>
    <w:rsid w:val="003E1D76"/>
    <w:rsid w:val="003E1FDA"/>
    <w:rsid w:val="003E21B7"/>
    <w:rsid w:val="003E2599"/>
    <w:rsid w:val="003E27B0"/>
    <w:rsid w:val="003E28D4"/>
    <w:rsid w:val="003E30A5"/>
    <w:rsid w:val="003E3738"/>
    <w:rsid w:val="003E3A7E"/>
    <w:rsid w:val="003E3CF6"/>
    <w:rsid w:val="003E3D67"/>
    <w:rsid w:val="003E3FAA"/>
    <w:rsid w:val="003E44F4"/>
    <w:rsid w:val="003E586E"/>
    <w:rsid w:val="003E6018"/>
    <w:rsid w:val="003E6029"/>
    <w:rsid w:val="003E6037"/>
    <w:rsid w:val="003E6113"/>
    <w:rsid w:val="003E641D"/>
    <w:rsid w:val="003E6597"/>
    <w:rsid w:val="003E6D3E"/>
    <w:rsid w:val="003E7123"/>
    <w:rsid w:val="003E7604"/>
    <w:rsid w:val="003E7A1C"/>
    <w:rsid w:val="003E7DD6"/>
    <w:rsid w:val="003F01A1"/>
    <w:rsid w:val="003F0776"/>
    <w:rsid w:val="003F167E"/>
    <w:rsid w:val="003F1968"/>
    <w:rsid w:val="003F1AAC"/>
    <w:rsid w:val="003F1F91"/>
    <w:rsid w:val="003F24E7"/>
    <w:rsid w:val="003F27DA"/>
    <w:rsid w:val="003F2A08"/>
    <w:rsid w:val="003F2B93"/>
    <w:rsid w:val="003F3176"/>
    <w:rsid w:val="003F35E6"/>
    <w:rsid w:val="003F389C"/>
    <w:rsid w:val="003F3FD3"/>
    <w:rsid w:val="003F4250"/>
    <w:rsid w:val="003F49AF"/>
    <w:rsid w:val="003F5581"/>
    <w:rsid w:val="003F5840"/>
    <w:rsid w:val="003F5BC2"/>
    <w:rsid w:val="003F6604"/>
    <w:rsid w:val="003F6616"/>
    <w:rsid w:val="003F6DD2"/>
    <w:rsid w:val="003F700C"/>
    <w:rsid w:val="003F7563"/>
    <w:rsid w:val="003F7B8B"/>
    <w:rsid w:val="003F7E6B"/>
    <w:rsid w:val="00400300"/>
    <w:rsid w:val="00400457"/>
    <w:rsid w:val="004004A9"/>
    <w:rsid w:val="004005B4"/>
    <w:rsid w:val="00400751"/>
    <w:rsid w:val="0040078A"/>
    <w:rsid w:val="00401198"/>
    <w:rsid w:val="0040192A"/>
    <w:rsid w:val="00401FE7"/>
    <w:rsid w:val="004023EF"/>
    <w:rsid w:val="004025F8"/>
    <w:rsid w:val="004036DB"/>
    <w:rsid w:val="00403CED"/>
    <w:rsid w:val="00403FAF"/>
    <w:rsid w:val="00404069"/>
    <w:rsid w:val="00404180"/>
    <w:rsid w:val="00406286"/>
    <w:rsid w:val="00406346"/>
    <w:rsid w:val="00406BA7"/>
    <w:rsid w:val="00406C16"/>
    <w:rsid w:val="00406D3C"/>
    <w:rsid w:val="00406F6E"/>
    <w:rsid w:val="00407F8C"/>
    <w:rsid w:val="004105E6"/>
    <w:rsid w:val="00410881"/>
    <w:rsid w:val="00410E48"/>
    <w:rsid w:val="00411293"/>
    <w:rsid w:val="004116E3"/>
    <w:rsid w:val="00411D88"/>
    <w:rsid w:val="00411FF4"/>
    <w:rsid w:val="0041207B"/>
    <w:rsid w:val="0041233B"/>
    <w:rsid w:val="0041238A"/>
    <w:rsid w:val="00412922"/>
    <w:rsid w:val="00412DCD"/>
    <w:rsid w:val="00413046"/>
    <w:rsid w:val="004131DD"/>
    <w:rsid w:val="00413AB2"/>
    <w:rsid w:val="00414186"/>
    <w:rsid w:val="0041422B"/>
    <w:rsid w:val="0041451E"/>
    <w:rsid w:val="00414969"/>
    <w:rsid w:val="00415118"/>
    <w:rsid w:val="00415138"/>
    <w:rsid w:val="00415382"/>
    <w:rsid w:val="00415E0E"/>
    <w:rsid w:val="0041630C"/>
    <w:rsid w:val="00416734"/>
    <w:rsid w:val="00416BDA"/>
    <w:rsid w:val="00417263"/>
    <w:rsid w:val="00417835"/>
    <w:rsid w:val="00417AAD"/>
    <w:rsid w:val="00417E2B"/>
    <w:rsid w:val="00417F03"/>
    <w:rsid w:val="0042038A"/>
    <w:rsid w:val="00420F65"/>
    <w:rsid w:val="0042112A"/>
    <w:rsid w:val="004217D6"/>
    <w:rsid w:val="00421F02"/>
    <w:rsid w:val="00422088"/>
    <w:rsid w:val="0042214F"/>
    <w:rsid w:val="0042252D"/>
    <w:rsid w:val="00422F7B"/>
    <w:rsid w:val="00422FB4"/>
    <w:rsid w:val="004230F2"/>
    <w:rsid w:val="00423421"/>
    <w:rsid w:val="00423BFE"/>
    <w:rsid w:val="00424C65"/>
    <w:rsid w:val="0042504E"/>
    <w:rsid w:val="00425170"/>
    <w:rsid w:val="004254F3"/>
    <w:rsid w:val="00425A4E"/>
    <w:rsid w:val="0042632E"/>
    <w:rsid w:val="0042695E"/>
    <w:rsid w:val="00426DE6"/>
    <w:rsid w:val="00426EA3"/>
    <w:rsid w:val="00426ECF"/>
    <w:rsid w:val="00427480"/>
    <w:rsid w:val="00427B87"/>
    <w:rsid w:val="00427D91"/>
    <w:rsid w:val="004300E2"/>
    <w:rsid w:val="00430347"/>
    <w:rsid w:val="004304A9"/>
    <w:rsid w:val="00431025"/>
    <w:rsid w:val="00431371"/>
    <w:rsid w:val="00431713"/>
    <w:rsid w:val="00431C90"/>
    <w:rsid w:val="00431D0B"/>
    <w:rsid w:val="00431FFB"/>
    <w:rsid w:val="004324F1"/>
    <w:rsid w:val="00432B4C"/>
    <w:rsid w:val="00432D16"/>
    <w:rsid w:val="0043390F"/>
    <w:rsid w:val="00433CCC"/>
    <w:rsid w:val="00433D73"/>
    <w:rsid w:val="004343DF"/>
    <w:rsid w:val="00435086"/>
    <w:rsid w:val="004359F1"/>
    <w:rsid w:val="00435E3E"/>
    <w:rsid w:val="00436122"/>
    <w:rsid w:val="004368A8"/>
    <w:rsid w:val="004370BB"/>
    <w:rsid w:val="0044008C"/>
    <w:rsid w:val="00440B2E"/>
    <w:rsid w:val="00440BFE"/>
    <w:rsid w:val="00440DD8"/>
    <w:rsid w:val="00441381"/>
    <w:rsid w:val="004415DF"/>
    <w:rsid w:val="004420F8"/>
    <w:rsid w:val="00442107"/>
    <w:rsid w:val="004421E5"/>
    <w:rsid w:val="00442588"/>
    <w:rsid w:val="00442743"/>
    <w:rsid w:val="004431BA"/>
    <w:rsid w:val="00443240"/>
    <w:rsid w:val="00443B60"/>
    <w:rsid w:val="0044430F"/>
    <w:rsid w:val="004443CF"/>
    <w:rsid w:val="0044457A"/>
    <w:rsid w:val="004449B8"/>
    <w:rsid w:val="004453EB"/>
    <w:rsid w:val="00445679"/>
    <w:rsid w:val="00445F14"/>
    <w:rsid w:val="004463BF"/>
    <w:rsid w:val="00446544"/>
    <w:rsid w:val="00446A5E"/>
    <w:rsid w:val="00446AF9"/>
    <w:rsid w:val="00446D9A"/>
    <w:rsid w:val="0044738A"/>
    <w:rsid w:val="00447ACE"/>
    <w:rsid w:val="00450690"/>
    <w:rsid w:val="00450750"/>
    <w:rsid w:val="00451120"/>
    <w:rsid w:val="004517A1"/>
    <w:rsid w:val="00451ACD"/>
    <w:rsid w:val="004520D1"/>
    <w:rsid w:val="00452224"/>
    <w:rsid w:val="00452443"/>
    <w:rsid w:val="00452624"/>
    <w:rsid w:val="0045299E"/>
    <w:rsid w:val="00452A66"/>
    <w:rsid w:val="00453B7F"/>
    <w:rsid w:val="00453C81"/>
    <w:rsid w:val="0045422B"/>
    <w:rsid w:val="00454AF4"/>
    <w:rsid w:val="00454DB3"/>
    <w:rsid w:val="004559EF"/>
    <w:rsid w:val="00455DD0"/>
    <w:rsid w:val="00455DFF"/>
    <w:rsid w:val="00455F4B"/>
    <w:rsid w:val="00456222"/>
    <w:rsid w:val="00456A42"/>
    <w:rsid w:val="00456AF4"/>
    <w:rsid w:val="00456D39"/>
    <w:rsid w:val="004571B5"/>
    <w:rsid w:val="004574C6"/>
    <w:rsid w:val="00457EF5"/>
    <w:rsid w:val="00460C25"/>
    <w:rsid w:val="00460D4A"/>
    <w:rsid w:val="00460EC3"/>
    <w:rsid w:val="00461181"/>
    <w:rsid w:val="00461EE4"/>
    <w:rsid w:val="00463785"/>
    <w:rsid w:val="0046397B"/>
    <w:rsid w:val="00464F76"/>
    <w:rsid w:val="004652CC"/>
    <w:rsid w:val="004652DF"/>
    <w:rsid w:val="0046594F"/>
    <w:rsid w:val="00465A09"/>
    <w:rsid w:val="00465CCB"/>
    <w:rsid w:val="00465EC7"/>
    <w:rsid w:val="00465F7B"/>
    <w:rsid w:val="00466962"/>
    <w:rsid w:val="00466CA7"/>
    <w:rsid w:val="00466E60"/>
    <w:rsid w:val="0046730E"/>
    <w:rsid w:val="004675AC"/>
    <w:rsid w:val="004679FC"/>
    <w:rsid w:val="00467E20"/>
    <w:rsid w:val="00467F35"/>
    <w:rsid w:val="00470AC7"/>
    <w:rsid w:val="00470FF4"/>
    <w:rsid w:val="00471008"/>
    <w:rsid w:val="004713DB"/>
    <w:rsid w:val="004715A6"/>
    <w:rsid w:val="004718B8"/>
    <w:rsid w:val="00471F42"/>
    <w:rsid w:val="004727BC"/>
    <w:rsid w:val="00472EAA"/>
    <w:rsid w:val="004731DB"/>
    <w:rsid w:val="0047325C"/>
    <w:rsid w:val="00473665"/>
    <w:rsid w:val="00473903"/>
    <w:rsid w:val="00473917"/>
    <w:rsid w:val="00473938"/>
    <w:rsid w:val="00473E83"/>
    <w:rsid w:val="0047404E"/>
    <w:rsid w:val="0047445B"/>
    <w:rsid w:val="00474472"/>
    <w:rsid w:val="004746B0"/>
    <w:rsid w:val="00474788"/>
    <w:rsid w:val="00474AD3"/>
    <w:rsid w:val="00474ED9"/>
    <w:rsid w:val="004755B5"/>
    <w:rsid w:val="00475DE2"/>
    <w:rsid w:val="00476A9D"/>
    <w:rsid w:val="00476F19"/>
    <w:rsid w:val="00477347"/>
    <w:rsid w:val="00477994"/>
    <w:rsid w:val="00477E36"/>
    <w:rsid w:val="00477FB3"/>
    <w:rsid w:val="0048005F"/>
    <w:rsid w:val="00480BB1"/>
    <w:rsid w:val="00480EE5"/>
    <w:rsid w:val="00480FE0"/>
    <w:rsid w:val="004815A7"/>
    <w:rsid w:val="00481CE2"/>
    <w:rsid w:val="00482062"/>
    <w:rsid w:val="00482562"/>
    <w:rsid w:val="004827C3"/>
    <w:rsid w:val="00483547"/>
    <w:rsid w:val="0048357A"/>
    <w:rsid w:val="004848E8"/>
    <w:rsid w:val="004851DD"/>
    <w:rsid w:val="00485230"/>
    <w:rsid w:val="004858EF"/>
    <w:rsid w:val="00485AFF"/>
    <w:rsid w:val="00485EE1"/>
    <w:rsid w:val="00486365"/>
    <w:rsid w:val="0048639D"/>
    <w:rsid w:val="004868B2"/>
    <w:rsid w:val="00486B26"/>
    <w:rsid w:val="00487497"/>
    <w:rsid w:val="0049072C"/>
    <w:rsid w:val="00490AC6"/>
    <w:rsid w:val="00490F39"/>
    <w:rsid w:val="00491A85"/>
    <w:rsid w:val="00491D70"/>
    <w:rsid w:val="0049265C"/>
    <w:rsid w:val="00492E35"/>
    <w:rsid w:val="00493249"/>
    <w:rsid w:val="004934B7"/>
    <w:rsid w:val="00493A6C"/>
    <w:rsid w:val="00493A75"/>
    <w:rsid w:val="00493F6F"/>
    <w:rsid w:val="00493FB8"/>
    <w:rsid w:val="0049405F"/>
    <w:rsid w:val="00494121"/>
    <w:rsid w:val="00494636"/>
    <w:rsid w:val="00495479"/>
    <w:rsid w:val="00495B73"/>
    <w:rsid w:val="00495BEE"/>
    <w:rsid w:val="004960FB"/>
    <w:rsid w:val="00496112"/>
    <w:rsid w:val="0049616E"/>
    <w:rsid w:val="004966A0"/>
    <w:rsid w:val="00496DA8"/>
    <w:rsid w:val="004971C3"/>
    <w:rsid w:val="004972C1"/>
    <w:rsid w:val="00497C69"/>
    <w:rsid w:val="004A05D4"/>
    <w:rsid w:val="004A0BCD"/>
    <w:rsid w:val="004A1DDD"/>
    <w:rsid w:val="004A20DC"/>
    <w:rsid w:val="004A2E7A"/>
    <w:rsid w:val="004A31DE"/>
    <w:rsid w:val="004A3E6E"/>
    <w:rsid w:val="004A4037"/>
    <w:rsid w:val="004A4148"/>
    <w:rsid w:val="004A4169"/>
    <w:rsid w:val="004A44C3"/>
    <w:rsid w:val="004A49E4"/>
    <w:rsid w:val="004A4E0C"/>
    <w:rsid w:val="004A5694"/>
    <w:rsid w:val="004A5BE7"/>
    <w:rsid w:val="004A645A"/>
    <w:rsid w:val="004A6CE4"/>
    <w:rsid w:val="004A7324"/>
    <w:rsid w:val="004A757C"/>
    <w:rsid w:val="004A7BED"/>
    <w:rsid w:val="004B0185"/>
    <w:rsid w:val="004B0EFF"/>
    <w:rsid w:val="004B18CA"/>
    <w:rsid w:val="004B1BA5"/>
    <w:rsid w:val="004B1C4E"/>
    <w:rsid w:val="004B1FFE"/>
    <w:rsid w:val="004B2371"/>
    <w:rsid w:val="004B2F19"/>
    <w:rsid w:val="004B3767"/>
    <w:rsid w:val="004B37FF"/>
    <w:rsid w:val="004B3C12"/>
    <w:rsid w:val="004B3C7B"/>
    <w:rsid w:val="004B42DD"/>
    <w:rsid w:val="004B4323"/>
    <w:rsid w:val="004B4CE5"/>
    <w:rsid w:val="004B4FA0"/>
    <w:rsid w:val="004B53B2"/>
    <w:rsid w:val="004B5495"/>
    <w:rsid w:val="004B58FE"/>
    <w:rsid w:val="004B5C5F"/>
    <w:rsid w:val="004B6086"/>
    <w:rsid w:val="004B675D"/>
    <w:rsid w:val="004B690E"/>
    <w:rsid w:val="004B6BD9"/>
    <w:rsid w:val="004B6EEE"/>
    <w:rsid w:val="004B6FD3"/>
    <w:rsid w:val="004B7730"/>
    <w:rsid w:val="004B78C4"/>
    <w:rsid w:val="004B79CA"/>
    <w:rsid w:val="004B79E2"/>
    <w:rsid w:val="004B7F86"/>
    <w:rsid w:val="004C013E"/>
    <w:rsid w:val="004C0630"/>
    <w:rsid w:val="004C19B0"/>
    <w:rsid w:val="004C1BA1"/>
    <w:rsid w:val="004C1BA7"/>
    <w:rsid w:val="004C1E35"/>
    <w:rsid w:val="004C23F7"/>
    <w:rsid w:val="004C249E"/>
    <w:rsid w:val="004C27CD"/>
    <w:rsid w:val="004C2953"/>
    <w:rsid w:val="004C2A71"/>
    <w:rsid w:val="004C2D5B"/>
    <w:rsid w:val="004C2D79"/>
    <w:rsid w:val="004C2F4A"/>
    <w:rsid w:val="004C3676"/>
    <w:rsid w:val="004C40A9"/>
    <w:rsid w:val="004C482F"/>
    <w:rsid w:val="004C4D99"/>
    <w:rsid w:val="004C4FDA"/>
    <w:rsid w:val="004C50C1"/>
    <w:rsid w:val="004C5674"/>
    <w:rsid w:val="004C57C8"/>
    <w:rsid w:val="004C5951"/>
    <w:rsid w:val="004C616D"/>
    <w:rsid w:val="004C62ED"/>
    <w:rsid w:val="004C6EBD"/>
    <w:rsid w:val="004C70B2"/>
    <w:rsid w:val="004C7DB0"/>
    <w:rsid w:val="004C7DF3"/>
    <w:rsid w:val="004D004C"/>
    <w:rsid w:val="004D066F"/>
    <w:rsid w:val="004D140D"/>
    <w:rsid w:val="004D14CD"/>
    <w:rsid w:val="004D1542"/>
    <w:rsid w:val="004D19B3"/>
    <w:rsid w:val="004D1D5C"/>
    <w:rsid w:val="004D1E52"/>
    <w:rsid w:val="004D20AA"/>
    <w:rsid w:val="004D2393"/>
    <w:rsid w:val="004D23C3"/>
    <w:rsid w:val="004D2576"/>
    <w:rsid w:val="004D285F"/>
    <w:rsid w:val="004D3224"/>
    <w:rsid w:val="004D38D7"/>
    <w:rsid w:val="004D3C01"/>
    <w:rsid w:val="004D4128"/>
    <w:rsid w:val="004D4620"/>
    <w:rsid w:val="004D470C"/>
    <w:rsid w:val="004D4B40"/>
    <w:rsid w:val="004D4F12"/>
    <w:rsid w:val="004D530D"/>
    <w:rsid w:val="004D61CD"/>
    <w:rsid w:val="004D626F"/>
    <w:rsid w:val="004D6B7E"/>
    <w:rsid w:val="004D6C8A"/>
    <w:rsid w:val="004D741E"/>
    <w:rsid w:val="004D7BF0"/>
    <w:rsid w:val="004D7CFA"/>
    <w:rsid w:val="004D7E78"/>
    <w:rsid w:val="004D7EBC"/>
    <w:rsid w:val="004E04FA"/>
    <w:rsid w:val="004E0D7E"/>
    <w:rsid w:val="004E1A23"/>
    <w:rsid w:val="004E1A4A"/>
    <w:rsid w:val="004E1F3B"/>
    <w:rsid w:val="004E212C"/>
    <w:rsid w:val="004E22D1"/>
    <w:rsid w:val="004E294E"/>
    <w:rsid w:val="004E2ADA"/>
    <w:rsid w:val="004E2CCD"/>
    <w:rsid w:val="004E2D9D"/>
    <w:rsid w:val="004E33D6"/>
    <w:rsid w:val="004E3685"/>
    <w:rsid w:val="004E3D13"/>
    <w:rsid w:val="004E48F7"/>
    <w:rsid w:val="004E5092"/>
    <w:rsid w:val="004E5362"/>
    <w:rsid w:val="004E5613"/>
    <w:rsid w:val="004E5918"/>
    <w:rsid w:val="004E5C92"/>
    <w:rsid w:val="004E6738"/>
    <w:rsid w:val="004E6C5D"/>
    <w:rsid w:val="004E6E7C"/>
    <w:rsid w:val="004E7A60"/>
    <w:rsid w:val="004E7D9E"/>
    <w:rsid w:val="004F05D6"/>
    <w:rsid w:val="004F1038"/>
    <w:rsid w:val="004F1C78"/>
    <w:rsid w:val="004F23A5"/>
    <w:rsid w:val="004F2712"/>
    <w:rsid w:val="004F2A26"/>
    <w:rsid w:val="004F2B33"/>
    <w:rsid w:val="004F31AC"/>
    <w:rsid w:val="004F31CC"/>
    <w:rsid w:val="004F3210"/>
    <w:rsid w:val="004F3EF9"/>
    <w:rsid w:val="004F4154"/>
    <w:rsid w:val="004F445D"/>
    <w:rsid w:val="004F466D"/>
    <w:rsid w:val="004F4788"/>
    <w:rsid w:val="004F4A09"/>
    <w:rsid w:val="004F57E4"/>
    <w:rsid w:val="004F584D"/>
    <w:rsid w:val="004F58D4"/>
    <w:rsid w:val="004F5B47"/>
    <w:rsid w:val="004F5D57"/>
    <w:rsid w:val="004F6027"/>
    <w:rsid w:val="004F777E"/>
    <w:rsid w:val="004F7AF6"/>
    <w:rsid w:val="00500171"/>
    <w:rsid w:val="00500665"/>
    <w:rsid w:val="00500F87"/>
    <w:rsid w:val="00501B0B"/>
    <w:rsid w:val="00501DB7"/>
    <w:rsid w:val="00501EF5"/>
    <w:rsid w:val="00502354"/>
    <w:rsid w:val="00502AF4"/>
    <w:rsid w:val="00502B54"/>
    <w:rsid w:val="00502C63"/>
    <w:rsid w:val="005037D2"/>
    <w:rsid w:val="00503DFA"/>
    <w:rsid w:val="00504303"/>
    <w:rsid w:val="00504D27"/>
    <w:rsid w:val="00505A35"/>
    <w:rsid w:val="0050616B"/>
    <w:rsid w:val="005065E5"/>
    <w:rsid w:val="00507197"/>
    <w:rsid w:val="00507A75"/>
    <w:rsid w:val="00507A95"/>
    <w:rsid w:val="00507DFC"/>
    <w:rsid w:val="005100D4"/>
    <w:rsid w:val="00510670"/>
    <w:rsid w:val="00510C35"/>
    <w:rsid w:val="00510E0C"/>
    <w:rsid w:val="00510EA3"/>
    <w:rsid w:val="00510F47"/>
    <w:rsid w:val="0051192A"/>
    <w:rsid w:val="00511BB3"/>
    <w:rsid w:val="00511E35"/>
    <w:rsid w:val="0051229A"/>
    <w:rsid w:val="005123F4"/>
    <w:rsid w:val="005126DE"/>
    <w:rsid w:val="00512E9B"/>
    <w:rsid w:val="00512F1C"/>
    <w:rsid w:val="005131B1"/>
    <w:rsid w:val="0051342E"/>
    <w:rsid w:val="00515818"/>
    <w:rsid w:val="005159A7"/>
    <w:rsid w:val="00515F3B"/>
    <w:rsid w:val="00516ABE"/>
    <w:rsid w:val="00516BC9"/>
    <w:rsid w:val="005176B3"/>
    <w:rsid w:val="005176EB"/>
    <w:rsid w:val="00517AE6"/>
    <w:rsid w:val="00517C65"/>
    <w:rsid w:val="00520809"/>
    <w:rsid w:val="00520DBE"/>
    <w:rsid w:val="0052103E"/>
    <w:rsid w:val="005217EC"/>
    <w:rsid w:val="005224C5"/>
    <w:rsid w:val="005228FA"/>
    <w:rsid w:val="00522B88"/>
    <w:rsid w:val="00524317"/>
    <w:rsid w:val="005249E3"/>
    <w:rsid w:val="00524B89"/>
    <w:rsid w:val="00524C49"/>
    <w:rsid w:val="00524DEA"/>
    <w:rsid w:val="00524E12"/>
    <w:rsid w:val="00524E3E"/>
    <w:rsid w:val="0052532E"/>
    <w:rsid w:val="005254BB"/>
    <w:rsid w:val="00525D55"/>
    <w:rsid w:val="00526147"/>
    <w:rsid w:val="00526884"/>
    <w:rsid w:val="005270A0"/>
    <w:rsid w:val="0052734F"/>
    <w:rsid w:val="00527420"/>
    <w:rsid w:val="00527484"/>
    <w:rsid w:val="005276BF"/>
    <w:rsid w:val="0052794D"/>
    <w:rsid w:val="00527C3D"/>
    <w:rsid w:val="00527D7B"/>
    <w:rsid w:val="00527E98"/>
    <w:rsid w:val="00527F74"/>
    <w:rsid w:val="00530B11"/>
    <w:rsid w:val="00530CD6"/>
    <w:rsid w:val="00531162"/>
    <w:rsid w:val="005312B5"/>
    <w:rsid w:val="0053166F"/>
    <w:rsid w:val="005316ED"/>
    <w:rsid w:val="005318AA"/>
    <w:rsid w:val="00531AEA"/>
    <w:rsid w:val="00531F6C"/>
    <w:rsid w:val="00531FD6"/>
    <w:rsid w:val="0053216A"/>
    <w:rsid w:val="0053230F"/>
    <w:rsid w:val="00532A58"/>
    <w:rsid w:val="00532BF7"/>
    <w:rsid w:val="005331A0"/>
    <w:rsid w:val="00533695"/>
    <w:rsid w:val="00533A48"/>
    <w:rsid w:val="0053449F"/>
    <w:rsid w:val="005345EB"/>
    <w:rsid w:val="00534837"/>
    <w:rsid w:val="00534CC5"/>
    <w:rsid w:val="005356F3"/>
    <w:rsid w:val="00535707"/>
    <w:rsid w:val="0053572F"/>
    <w:rsid w:val="00535988"/>
    <w:rsid w:val="00535CA8"/>
    <w:rsid w:val="0053635B"/>
    <w:rsid w:val="0053666E"/>
    <w:rsid w:val="00536876"/>
    <w:rsid w:val="00536BFE"/>
    <w:rsid w:val="00537358"/>
    <w:rsid w:val="00537429"/>
    <w:rsid w:val="00537901"/>
    <w:rsid w:val="00537BAF"/>
    <w:rsid w:val="005407C2"/>
    <w:rsid w:val="005407FE"/>
    <w:rsid w:val="00540874"/>
    <w:rsid w:val="00540ACB"/>
    <w:rsid w:val="00540ACE"/>
    <w:rsid w:val="00540AD7"/>
    <w:rsid w:val="00541691"/>
    <w:rsid w:val="00541DD2"/>
    <w:rsid w:val="00541E49"/>
    <w:rsid w:val="00542062"/>
    <w:rsid w:val="00543341"/>
    <w:rsid w:val="00543A51"/>
    <w:rsid w:val="00543A88"/>
    <w:rsid w:val="0054431E"/>
    <w:rsid w:val="0054459C"/>
    <w:rsid w:val="00544F1F"/>
    <w:rsid w:val="00545049"/>
    <w:rsid w:val="00545111"/>
    <w:rsid w:val="00545D8D"/>
    <w:rsid w:val="005463F0"/>
    <w:rsid w:val="00546846"/>
    <w:rsid w:val="00546A32"/>
    <w:rsid w:val="00546B65"/>
    <w:rsid w:val="00546CF2"/>
    <w:rsid w:val="00547216"/>
    <w:rsid w:val="0054763C"/>
    <w:rsid w:val="005477D7"/>
    <w:rsid w:val="00547F57"/>
    <w:rsid w:val="0055023F"/>
    <w:rsid w:val="0055069A"/>
    <w:rsid w:val="00550C85"/>
    <w:rsid w:val="00550F27"/>
    <w:rsid w:val="005512CA"/>
    <w:rsid w:val="00551C08"/>
    <w:rsid w:val="00551F09"/>
    <w:rsid w:val="00552356"/>
    <w:rsid w:val="005523A2"/>
    <w:rsid w:val="005525AD"/>
    <w:rsid w:val="0055313A"/>
    <w:rsid w:val="005539D1"/>
    <w:rsid w:val="00553FB1"/>
    <w:rsid w:val="00554476"/>
    <w:rsid w:val="0055467F"/>
    <w:rsid w:val="005549EC"/>
    <w:rsid w:val="005553EE"/>
    <w:rsid w:val="005557F6"/>
    <w:rsid w:val="00555CC6"/>
    <w:rsid w:val="00555DC6"/>
    <w:rsid w:val="00555E45"/>
    <w:rsid w:val="00555FEF"/>
    <w:rsid w:val="00557373"/>
    <w:rsid w:val="0055745D"/>
    <w:rsid w:val="00560D5A"/>
    <w:rsid w:val="005612C8"/>
    <w:rsid w:val="00561685"/>
    <w:rsid w:val="00561799"/>
    <w:rsid w:val="00561923"/>
    <w:rsid w:val="00562009"/>
    <w:rsid w:val="005621E0"/>
    <w:rsid w:val="005626D1"/>
    <w:rsid w:val="00562A7E"/>
    <w:rsid w:val="00563106"/>
    <w:rsid w:val="0056335F"/>
    <w:rsid w:val="005638CE"/>
    <w:rsid w:val="005639EE"/>
    <w:rsid w:val="00563E4F"/>
    <w:rsid w:val="0056409D"/>
    <w:rsid w:val="0056483E"/>
    <w:rsid w:val="00564880"/>
    <w:rsid w:val="0056541C"/>
    <w:rsid w:val="005658EF"/>
    <w:rsid w:val="005661B5"/>
    <w:rsid w:val="005664BC"/>
    <w:rsid w:val="005668D1"/>
    <w:rsid w:val="00566F09"/>
    <w:rsid w:val="00566FAE"/>
    <w:rsid w:val="00567271"/>
    <w:rsid w:val="005676B4"/>
    <w:rsid w:val="0056790C"/>
    <w:rsid w:val="00570065"/>
    <w:rsid w:val="0057063D"/>
    <w:rsid w:val="00570ECF"/>
    <w:rsid w:val="005714F3"/>
    <w:rsid w:val="00571C90"/>
    <w:rsid w:val="005722AF"/>
    <w:rsid w:val="00572474"/>
    <w:rsid w:val="00572E43"/>
    <w:rsid w:val="00572EBC"/>
    <w:rsid w:val="00573346"/>
    <w:rsid w:val="00573867"/>
    <w:rsid w:val="00573B01"/>
    <w:rsid w:val="005742A1"/>
    <w:rsid w:val="00574ED6"/>
    <w:rsid w:val="00575342"/>
    <w:rsid w:val="005757DD"/>
    <w:rsid w:val="00575D39"/>
    <w:rsid w:val="00575D76"/>
    <w:rsid w:val="005760C5"/>
    <w:rsid w:val="005764C3"/>
    <w:rsid w:val="0057678F"/>
    <w:rsid w:val="0057696D"/>
    <w:rsid w:val="00576B62"/>
    <w:rsid w:val="00576FA2"/>
    <w:rsid w:val="0058105B"/>
    <w:rsid w:val="0058127E"/>
    <w:rsid w:val="005812B0"/>
    <w:rsid w:val="0058180E"/>
    <w:rsid w:val="00581E2E"/>
    <w:rsid w:val="00581F46"/>
    <w:rsid w:val="005820CE"/>
    <w:rsid w:val="00582903"/>
    <w:rsid w:val="00582935"/>
    <w:rsid w:val="00582B75"/>
    <w:rsid w:val="0058317A"/>
    <w:rsid w:val="00584174"/>
    <w:rsid w:val="005841E2"/>
    <w:rsid w:val="00584D22"/>
    <w:rsid w:val="0058518C"/>
    <w:rsid w:val="0058546E"/>
    <w:rsid w:val="005855A9"/>
    <w:rsid w:val="00585FE6"/>
    <w:rsid w:val="005862A2"/>
    <w:rsid w:val="00586712"/>
    <w:rsid w:val="0058698D"/>
    <w:rsid w:val="00586BCA"/>
    <w:rsid w:val="00587897"/>
    <w:rsid w:val="00587F9A"/>
    <w:rsid w:val="005902BA"/>
    <w:rsid w:val="005908D2"/>
    <w:rsid w:val="00590CF2"/>
    <w:rsid w:val="00590DAF"/>
    <w:rsid w:val="00590F3B"/>
    <w:rsid w:val="0059149B"/>
    <w:rsid w:val="00591878"/>
    <w:rsid w:val="005927CB"/>
    <w:rsid w:val="005927E9"/>
    <w:rsid w:val="00592B14"/>
    <w:rsid w:val="00592D42"/>
    <w:rsid w:val="00593319"/>
    <w:rsid w:val="00594301"/>
    <w:rsid w:val="00594E76"/>
    <w:rsid w:val="00595349"/>
    <w:rsid w:val="005959B6"/>
    <w:rsid w:val="005965E5"/>
    <w:rsid w:val="0059665A"/>
    <w:rsid w:val="00596736"/>
    <w:rsid w:val="005967CD"/>
    <w:rsid w:val="005967EC"/>
    <w:rsid w:val="00596A83"/>
    <w:rsid w:val="00596B25"/>
    <w:rsid w:val="00596F7E"/>
    <w:rsid w:val="005970BC"/>
    <w:rsid w:val="005A0017"/>
    <w:rsid w:val="005A01D5"/>
    <w:rsid w:val="005A020B"/>
    <w:rsid w:val="005A0296"/>
    <w:rsid w:val="005A02F4"/>
    <w:rsid w:val="005A08CF"/>
    <w:rsid w:val="005A09EF"/>
    <w:rsid w:val="005A0B02"/>
    <w:rsid w:val="005A1685"/>
    <w:rsid w:val="005A16D9"/>
    <w:rsid w:val="005A1C8C"/>
    <w:rsid w:val="005A3079"/>
    <w:rsid w:val="005A31C5"/>
    <w:rsid w:val="005A4BF2"/>
    <w:rsid w:val="005A4BFB"/>
    <w:rsid w:val="005A5CA6"/>
    <w:rsid w:val="005A6149"/>
    <w:rsid w:val="005A64D3"/>
    <w:rsid w:val="005A6BBA"/>
    <w:rsid w:val="005A6DB2"/>
    <w:rsid w:val="005A6EF1"/>
    <w:rsid w:val="005A71A6"/>
    <w:rsid w:val="005A7950"/>
    <w:rsid w:val="005A7C85"/>
    <w:rsid w:val="005B0260"/>
    <w:rsid w:val="005B04DC"/>
    <w:rsid w:val="005B069F"/>
    <w:rsid w:val="005B0F00"/>
    <w:rsid w:val="005B1731"/>
    <w:rsid w:val="005B1A5A"/>
    <w:rsid w:val="005B1F1A"/>
    <w:rsid w:val="005B1F5C"/>
    <w:rsid w:val="005B2435"/>
    <w:rsid w:val="005B2810"/>
    <w:rsid w:val="005B298B"/>
    <w:rsid w:val="005B2DDE"/>
    <w:rsid w:val="005B3363"/>
    <w:rsid w:val="005B3CE2"/>
    <w:rsid w:val="005B3E56"/>
    <w:rsid w:val="005B46CD"/>
    <w:rsid w:val="005B49FD"/>
    <w:rsid w:val="005B4D9D"/>
    <w:rsid w:val="005B5F8D"/>
    <w:rsid w:val="005B629C"/>
    <w:rsid w:val="005B62C8"/>
    <w:rsid w:val="005B6486"/>
    <w:rsid w:val="005B6C89"/>
    <w:rsid w:val="005B6E5B"/>
    <w:rsid w:val="005B7057"/>
    <w:rsid w:val="005B7361"/>
    <w:rsid w:val="005B781A"/>
    <w:rsid w:val="005B787D"/>
    <w:rsid w:val="005C0437"/>
    <w:rsid w:val="005C0632"/>
    <w:rsid w:val="005C0A63"/>
    <w:rsid w:val="005C13B5"/>
    <w:rsid w:val="005C140A"/>
    <w:rsid w:val="005C28FC"/>
    <w:rsid w:val="005C2991"/>
    <w:rsid w:val="005C3340"/>
    <w:rsid w:val="005C3389"/>
    <w:rsid w:val="005C3613"/>
    <w:rsid w:val="005C53C1"/>
    <w:rsid w:val="005C5ED1"/>
    <w:rsid w:val="005C5F4D"/>
    <w:rsid w:val="005C63F0"/>
    <w:rsid w:val="005C66F2"/>
    <w:rsid w:val="005C6C75"/>
    <w:rsid w:val="005C6F78"/>
    <w:rsid w:val="005C761D"/>
    <w:rsid w:val="005C7982"/>
    <w:rsid w:val="005C7B16"/>
    <w:rsid w:val="005D02E1"/>
    <w:rsid w:val="005D0C88"/>
    <w:rsid w:val="005D173D"/>
    <w:rsid w:val="005D1E7E"/>
    <w:rsid w:val="005D2161"/>
    <w:rsid w:val="005D3F3C"/>
    <w:rsid w:val="005D4A71"/>
    <w:rsid w:val="005D4BCF"/>
    <w:rsid w:val="005D561C"/>
    <w:rsid w:val="005D5BE7"/>
    <w:rsid w:val="005D5C68"/>
    <w:rsid w:val="005D6398"/>
    <w:rsid w:val="005D65E2"/>
    <w:rsid w:val="005D6F25"/>
    <w:rsid w:val="005D784D"/>
    <w:rsid w:val="005E0296"/>
    <w:rsid w:val="005E05A9"/>
    <w:rsid w:val="005E1004"/>
    <w:rsid w:val="005E10E6"/>
    <w:rsid w:val="005E1235"/>
    <w:rsid w:val="005E1987"/>
    <w:rsid w:val="005E1C1B"/>
    <w:rsid w:val="005E1EF8"/>
    <w:rsid w:val="005E1F0E"/>
    <w:rsid w:val="005E2768"/>
    <w:rsid w:val="005E29DE"/>
    <w:rsid w:val="005E2B31"/>
    <w:rsid w:val="005E3A18"/>
    <w:rsid w:val="005E3C56"/>
    <w:rsid w:val="005E4D66"/>
    <w:rsid w:val="005E5069"/>
    <w:rsid w:val="005E523A"/>
    <w:rsid w:val="005E5819"/>
    <w:rsid w:val="005E5AAB"/>
    <w:rsid w:val="005E63F5"/>
    <w:rsid w:val="005E6526"/>
    <w:rsid w:val="005E6D25"/>
    <w:rsid w:val="005E71D3"/>
    <w:rsid w:val="005E7277"/>
    <w:rsid w:val="005E7523"/>
    <w:rsid w:val="005E7A5B"/>
    <w:rsid w:val="005E7B23"/>
    <w:rsid w:val="005E7D05"/>
    <w:rsid w:val="005E7DDF"/>
    <w:rsid w:val="005F06DF"/>
    <w:rsid w:val="005F0883"/>
    <w:rsid w:val="005F09F8"/>
    <w:rsid w:val="005F0E8D"/>
    <w:rsid w:val="005F0E9E"/>
    <w:rsid w:val="005F1916"/>
    <w:rsid w:val="005F1C84"/>
    <w:rsid w:val="005F28A4"/>
    <w:rsid w:val="005F2C11"/>
    <w:rsid w:val="005F3E1D"/>
    <w:rsid w:val="005F4370"/>
    <w:rsid w:val="005F47A7"/>
    <w:rsid w:val="005F488D"/>
    <w:rsid w:val="005F4BF8"/>
    <w:rsid w:val="005F4F85"/>
    <w:rsid w:val="005F523B"/>
    <w:rsid w:val="005F5CF5"/>
    <w:rsid w:val="005F63B0"/>
    <w:rsid w:val="005F669B"/>
    <w:rsid w:val="005F6AA1"/>
    <w:rsid w:val="005F6C19"/>
    <w:rsid w:val="005F71DB"/>
    <w:rsid w:val="005F76D7"/>
    <w:rsid w:val="005F7B0E"/>
    <w:rsid w:val="00600A80"/>
    <w:rsid w:val="00601F4D"/>
    <w:rsid w:val="006026C6"/>
    <w:rsid w:val="00602EB4"/>
    <w:rsid w:val="006031EB"/>
    <w:rsid w:val="00603489"/>
    <w:rsid w:val="00603A3E"/>
    <w:rsid w:val="00603AAE"/>
    <w:rsid w:val="0060416E"/>
    <w:rsid w:val="00604980"/>
    <w:rsid w:val="00605061"/>
    <w:rsid w:val="00605392"/>
    <w:rsid w:val="00605573"/>
    <w:rsid w:val="0060591B"/>
    <w:rsid w:val="006059A4"/>
    <w:rsid w:val="00605AC9"/>
    <w:rsid w:val="00605E24"/>
    <w:rsid w:val="00606E8E"/>
    <w:rsid w:val="00607277"/>
    <w:rsid w:val="0060734E"/>
    <w:rsid w:val="00607BE5"/>
    <w:rsid w:val="0061066F"/>
    <w:rsid w:val="0061070C"/>
    <w:rsid w:val="00610EC1"/>
    <w:rsid w:val="006124F3"/>
    <w:rsid w:val="00612E52"/>
    <w:rsid w:val="00612E62"/>
    <w:rsid w:val="00613ADB"/>
    <w:rsid w:val="0061429F"/>
    <w:rsid w:val="006148B4"/>
    <w:rsid w:val="00614C39"/>
    <w:rsid w:val="0061566A"/>
    <w:rsid w:val="00615908"/>
    <w:rsid w:val="0061655C"/>
    <w:rsid w:val="006168D6"/>
    <w:rsid w:val="00616971"/>
    <w:rsid w:val="00617016"/>
    <w:rsid w:val="006170DE"/>
    <w:rsid w:val="00617467"/>
    <w:rsid w:val="0061788F"/>
    <w:rsid w:val="00617C14"/>
    <w:rsid w:val="00620038"/>
    <w:rsid w:val="00620149"/>
    <w:rsid w:val="0062128A"/>
    <w:rsid w:val="0062132C"/>
    <w:rsid w:val="0062199A"/>
    <w:rsid w:val="00621AC1"/>
    <w:rsid w:val="00622DBD"/>
    <w:rsid w:val="006230E6"/>
    <w:rsid w:val="006232AA"/>
    <w:rsid w:val="00623510"/>
    <w:rsid w:val="006237E9"/>
    <w:rsid w:val="006240AD"/>
    <w:rsid w:val="006249E0"/>
    <w:rsid w:val="00624AA6"/>
    <w:rsid w:val="006252B0"/>
    <w:rsid w:val="006261D4"/>
    <w:rsid w:val="0062661A"/>
    <w:rsid w:val="0062778E"/>
    <w:rsid w:val="00627EBB"/>
    <w:rsid w:val="006301DD"/>
    <w:rsid w:val="00630F1E"/>
    <w:rsid w:val="0063149B"/>
    <w:rsid w:val="006315FC"/>
    <w:rsid w:val="006317B5"/>
    <w:rsid w:val="00631BCD"/>
    <w:rsid w:val="00631D88"/>
    <w:rsid w:val="00632CD4"/>
    <w:rsid w:val="00633048"/>
    <w:rsid w:val="006332E0"/>
    <w:rsid w:val="00633416"/>
    <w:rsid w:val="0063428C"/>
    <w:rsid w:val="006349F8"/>
    <w:rsid w:val="00634F01"/>
    <w:rsid w:val="00635028"/>
    <w:rsid w:val="0063519E"/>
    <w:rsid w:val="00635330"/>
    <w:rsid w:val="00636296"/>
    <w:rsid w:val="00636437"/>
    <w:rsid w:val="006366C4"/>
    <w:rsid w:val="00637403"/>
    <w:rsid w:val="00637D42"/>
    <w:rsid w:val="00640212"/>
    <w:rsid w:val="0064079A"/>
    <w:rsid w:val="00641365"/>
    <w:rsid w:val="00641911"/>
    <w:rsid w:val="00641A03"/>
    <w:rsid w:val="00641B69"/>
    <w:rsid w:val="006420EE"/>
    <w:rsid w:val="00642633"/>
    <w:rsid w:val="006426F7"/>
    <w:rsid w:val="00643006"/>
    <w:rsid w:val="006434D4"/>
    <w:rsid w:val="00644866"/>
    <w:rsid w:val="00644923"/>
    <w:rsid w:val="006449B8"/>
    <w:rsid w:val="00644B32"/>
    <w:rsid w:val="0064500D"/>
    <w:rsid w:val="0064618A"/>
    <w:rsid w:val="00646584"/>
    <w:rsid w:val="006466CD"/>
    <w:rsid w:val="0064671B"/>
    <w:rsid w:val="00646E49"/>
    <w:rsid w:val="00647106"/>
    <w:rsid w:val="006471B9"/>
    <w:rsid w:val="00647383"/>
    <w:rsid w:val="00647838"/>
    <w:rsid w:val="00650593"/>
    <w:rsid w:val="00650F5D"/>
    <w:rsid w:val="00651724"/>
    <w:rsid w:val="00651750"/>
    <w:rsid w:val="00651947"/>
    <w:rsid w:val="00652120"/>
    <w:rsid w:val="00652C1E"/>
    <w:rsid w:val="0065390C"/>
    <w:rsid w:val="0065430B"/>
    <w:rsid w:val="006546EB"/>
    <w:rsid w:val="006547DF"/>
    <w:rsid w:val="00654EF2"/>
    <w:rsid w:val="00655197"/>
    <w:rsid w:val="00655235"/>
    <w:rsid w:val="006554DC"/>
    <w:rsid w:val="00655AD4"/>
    <w:rsid w:val="00655E95"/>
    <w:rsid w:val="00656A01"/>
    <w:rsid w:val="00657137"/>
    <w:rsid w:val="00657B11"/>
    <w:rsid w:val="00657D62"/>
    <w:rsid w:val="00660145"/>
    <w:rsid w:val="006610FA"/>
    <w:rsid w:val="00661591"/>
    <w:rsid w:val="00661855"/>
    <w:rsid w:val="00661ADC"/>
    <w:rsid w:val="00661AFF"/>
    <w:rsid w:val="00662034"/>
    <w:rsid w:val="006630C5"/>
    <w:rsid w:val="00663549"/>
    <w:rsid w:val="00663B74"/>
    <w:rsid w:val="00663E30"/>
    <w:rsid w:val="006645F7"/>
    <w:rsid w:val="00665C30"/>
    <w:rsid w:val="006660F6"/>
    <w:rsid w:val="006662DC"/>
    <w:rsid w:val="006667CD"/>
    <w:rsid w:val="0066685E"/>
    <w:rsid w:val="0066729A"/>
    <w:rsid w:val="00667B5C"/>
    <w:rsid w:val="006700CC"/>
    <w:rsid w:val="006709C5"/>
    <w:rsid w:val="00670BA3"/>
    <w:rsid w:val="00671964"/>
    <w:rsid w:val="006719BA"/>
    <w:rsid w:val="00672967"/>
    <w:rsid w:val="006733A8"/>
    <w:rsid w:val="00673662"/>
    <w:rsid w:val="00674574"/>
    <w:rsid w:val="006745A2"/>
    <w:rsid w:val="00675B1D"/>
    <w:rsid w:val="00675CB2"/>
    <w:rsid w:val="00675DC8"/>
    <w:rsid w:val="00675EFC"/>
    <w:rsid w:val="006761FF"/>
    <w:rsid w:val="0067655A"/>
    <w:rsid w:val="00676725"/>
    <w:rsid w:val="00676E5E"/>
    <w:rsid w:val="00677474"/>
    <w:rsid w:val="006777A2"/>
    <w:rsid w:val="00677B85"/>
    <w:rsid w:val="00677EA7"/>
    <w:rsid w:val="00677ED0"/>
    <w:rsid w:val="00680ABC"/>
    <w:rsid w:val="00680B6A"/>
    <w:rsid w:val="00680FCD"/>
    <w:rsid w:val="00680FF8"/>
    <w:rsid w:val="006811F1"/>
    <w:rsid w:val="00681675"/>
    <w:rsid w:val="006817D6"/>
    <w:rsid w:val="0068182B"/>
    <w:rsid w:val="006820BD"/>
    <w:rsid w:val="00682A96"/>
    <w:rsid w:val="006830FA"/>
    <w:rsid w:val="0068341F"/>
    <w:rsid w:val="00683586"/>
    <w:rsid w:val="0068370E"/>
    <w:rsid w:val="00683E52"/>
    <w:rsid w:val="00683E6C"/>
    <w:rsid w:val="00683EFE"/>
    <w:rsid w:val="00684BD5"/>
    <w:rsid w:val="00685059"/>
    <w:rsid w:val="006857AB"/>
    <w:rsid w:val="006859B3"/>
    <w:rsid w:val="00685AD4"/>
    <w:rsid w:val="00685C4A"/>
    <w:rsid w:val="006860C2"/>
    <w:rsid w:val="006868B7"/>
    <w:rsid w:val="00687017"/>
    <w:rsid w:val="006874EB"/>
    <w:rsid w:val="0068795A"/>
    <w:rsid w:val="0068796D"/>
    <w:rsid w:val="006879F3"/>
    <w:rsid w:val="006907ED"/>
    <w:rsid w:val="006918AA"/>
    <w:rsid w:val="00691B7F"/>
    <w:rsid w:val="00692265"/>
    <w:rsid w:val="006922E1"/>
    <w:rsid w:val="006926E8"/>
    <w:rsid w:val="00692CE7"/>
    <w:rsid w:val="00692D95"/>
    <w:rsid w:val="00692F80"/>
    <w:rsid w:val="006932B1"/>
    <w:rsid w:val="006934BD"/>
    <w:rsid w:val="006935D2"/>
    <w:rsid w:val="00693724"/>
    <w:rsid w:val="0069373F"/>
    <w:rsid w:val="006937B1"/>
    <w:rsid w:val="0069383A"/>
    <w:rsid w:val="006941C0"/>
    <w:rsid w:val="00694446"/>
    <w:rsid w:val="006945BA"/>
    <w:rsid w:val="00694BEE"/>
    <w:rsid w:val="00694D25"/>
    <w:rsid w:val="006951D6"/>
    <w:rsid w:val="006955E5"/>
    <w:rsid w:val="00695799"/>
    <w:rsid w:val="006957CE"/>
    <w:rsid w:val="00695921"/>
    <w:rsid w:val="006962B3"/>
    <w:rsid w:val="006962BF"/>
    <w:rsid w:val="0069693B"/>
    <w:rsid w:val="006969F1"/>
    <w:rsid w:val="00696DE5"/>
    <w:rsid w:val="00697330"/>
    <w:rsid w:val="006976D0"/>
    <w:rsid w:val="006978C8"/>
    <w:rsid w:val="00697A74"/>
    <w:rsid w:val="00697C77"/>
    <w:rsid w:val="006A0495"/>
    <w:rsid w:val="006A04EC"/>
    <w:rsid w:val="006A0CF3"/>
    <w:rsid w:val="006A0D67"/>
    <w:rsid w:val="006A229C"/>
    <w:rsid w:val="006A2538"/>
    <w:rsid w:val="006A2FDB"/>
    <w:rsid w:val="006A476C"/>
    <w:rsid w:val="006A4B7A"/>
    <w:rsid w:val="006A4C39"/>
    <w:rsid w:val="006A4CDD"/>
    <w:rsid w:val="006A536C"/>
    <w:rsid w:val="006A5372"/>
    <w:rsid w:val="006A539A"/>
    <w:rsid w:val="006A5420"/>
    <w:rsid w:val="006A557E"/>
    <w:rsid w:val="006A67A7"/>
    <w:rsid w:val="006A731A"/>
    <w:rsid w:val="006A7798"/>
    <w:rsid w:val="006A7813"/>
    <w:rsid w:val="006A7D3C"/>
    <w:rsid w:val="006A7EE6"/>
    <w:rsid w:val="006B02D7"/>
    <w:rsid w:val="006B0333"/>
    <w:rsid w:val="006B0809"/>
    <w:rsid w:val="006B11FF"/>
    <w:rsid w:val="006B121F"/>
    <w:rsid w:val="006B17D4"/>
    <w:rsid w:val="006B18B8"/>
    <w:rsid w:val="006B1B1A"/>
    <w:rsid w:val="006B1D08"/>
    <w:rsid w:val="006B1F2F"/>
    <w:rsid w:val="006B2104"/>
    <w:rsid w:val="006B27BA"/>
    <w:rsid w:val="006B2DA0"/>
    <w:rsid w:val="006B2EDF"/>
    <w:rsid w:val="006B3469"/>
    <w:rsid w:val="006B362F"/>
    <w:rsid w:val="006B3718"/>
    <w:rsid w:val="006B3C21"/>
    <w:rsid w:val="006B3F56"/>
    <w:rsid w:val="006B400D"/>
    <w:rsid w:val="006B481D"/>
    <w:rsid w:val="006B48BD"/>
    <w:rsid w:val="006B494D"/>
    <w:rsid w:val="006B4F77"/>
    <w:rsid w:val="006B56FA"/>
    <w:rsid w:val="006B5735"/>
    <w:rsid w:val="006B5A88"/>
    <w:rsid w:val="006B6096"/>
    <w:rsid w:val="006B61A0"/>
    <w:rsid w:val="006B634D"/>
    <w:rsid w:val="006B6839"/>
    <w:rsid w:val="006B757C"/>
    <w:rsid w:val="006B7BE3"/>
    <w:rsid w:val="006B7E0C"/>
    <w:rsid w:val="006C0D06"/>
    <w:rsid w:val="006C1052"/>
    <w:rsid w:val="006C1204"/>
    <w:rsid w:val="006C1804"/>
    <w:rsid w:val="006C1B78"/>
    <w:rsid w:val="006C243B"/>
    <w:rsid w:val="006C26BE"/>
    <w:rsid w:val="006C2917"/>
    <w:rsid w:val="006C2B35"/>
    <w:rsid w:val="006C2BA1"/>
    <w:rsid w:val="006C2F70"/>
    <w:rsid w:val="006C3128"/>
    <w:rsid w:val="006C331A"/>
    <w:rsid w:val="006C34E3"/>
    <w:rsid w:val="006C3517"/>
    <w:rsid w:val="006C3E75"/>
    <w:rsid w:val="006C4171"/>
    <w:rsid w:val="006C45BF"/>
    <w:rsid w:val="006C4EEF"/>
    <w:rsid w:val="006C505A"/>
    <w:rsid w:val="006C5115"/>
    <w:rsid w:val="006C5A9E"/>
    <w:rsid w:val="006C5E71"/>
    <w:rsid w:val="006C6853"/>
    <w:rsid w:val="006C6DA3"/>
    <w:rsid w:val="006C6E20"/>
    <w:rsid w:val="006C7094"/>
    <w:rsid w:val="006C70C3"/>
    <w:rsid w:val="006C7405"/>
    <w:rsid w:val="006C744F"/>
    <w:rsid w:val="006C76AE"/>
    <w:rsid w:val="006D01AF"/>
    <w:rsid w:val="006D0C38"/>
    <w:rsid w:val="006D10B7"/>
    <w:rsid w:val="006D10C8"/>
    <w:rsid w:val="006D18C3"/>
    <w:rsid w:val="006D1AEB"/>
    <w:rsid w:val="006D1CC5"/>
    <w:rsid w:val="006D22E6"/>
    <w:rsid w:val="006D2591"/>
    <w:rsid w:val="006D34FB"/>
    <w:rsid w:val="006D36ED"/>
    <w:rsid w:val="006D3A50"/>
    <w:rsid w:val="006D3A97"/>
    <w:rsid w:val="006D4319"/>
    <w:rsid w:val="006D4DBA"/>
    <w:rsid w:val="006D531D"/>
    <w:rsid w:val="006D6A02"/>
    <w:rsid w:val="006D6DCE"/>
    <w:rsid w:val="006D73EB"/>
    <w:rsid w:val="006D7478"/>
    <w:rsid w:val="006E1331"/>
    <w:rsid w:val="006E1B62"/>
    <w:rsid w:val="006E21F7"/>
    <w:rsid w:val="006E2252"/>
    <w:rsid w:val="006E300D"/>
    <w:rsid w:val="006E42A6"/>
    <w:rsid w:val="006E4451"/>
    <w:rsid w:val="006E479C"/>
    <w:rsid w:val="006E4848"/>
    <w:rsid w:val="006E4F6A"/>
    <w:rsid w:val="006E5229"/>
    <w:rsid w:val="006E78E2"/>
    <w:rsid w:val="006E7C42"/>
    <w:rsid w:val="006F0274"/>
    <w:rsid w:val="006F0354"/>
    <w:rsid w:val="006F0D26"/>
    <w:rsid w:val="006F1686"/>
    <w:rsid w:val="006F18F7"/>
    <w:rsid w:val="006F19AB"/>
    <w:rsid w:val="006F1BE6"/>
    <w:rsid w:val="006F1FDB"/>
    <w:rsid w:val="006F21EB"/>
    <w:rsid w:val="006F23B6"/>
    <w:rsid w:val="006F2AD4"/>
    <w:rsid w:val="006F3172"/>
    <w:rsid w:val="006F3524"/>
    <w:rsid w:val="006F35A8"/>
    <w:rsid w:val="006F35B2"/>
    <w:rsid w:val="006F3882"/>
    <w:rsid w:val="006F3F31"/>
    <w:rsid w:val="006F4747"/>
    <w:rsid w:val="006F4C4A"/>
    <w:rsid w:val="006F4C5D"/>
    <w:rsid w:val="006F5164"/>
    <w:rsid w:val="006F53FE"/>
    <w:rsid w:val="006F556D"/>
    <w:rsid w:val="006F5FCC"/>
    <w:rsid w:val="006F69E1"/>
    <w:rsid w:val="006F73A9"/>
    <w:rsid w:val="006F74A4"/>
    <w:rsid w:val="006F75A0"/>
    <w:rsid w:val="006F7969"/>
    <w:rsid w:val="006F7E1D"/>
    <w:rsid w:val="0070177D"/>
    <w:rsid w:val="00702037"/>
    <w:rsid w:val="0070229E"/>
    <w:rsid w:val="007023CB"/>
    <w:rsid w:val="0070267B"/>
    <w:rsid w:val="00702D54"/>
    <w:rsid w:val="00702D92"/>
    <w:rsid w:val="00702DA6"/>
    <w:rsid w:val="00702FBA"/>
    <w:rsid w:val="00703CB3"/>
    <w:rsid w:val="00703F57"/>
    <w:rsid w:val="00704536"/>
    <w:rsid w:val="007045A9"/>
    <w:rsid w:val="007048DB"/>
    <w:rsid w:val="007049C0"/>
    <w:rsid w:val="00705124"/>
    <w:rsid w:val="00705190"/>
    <w:rsid w:val="0070523E"/>
    <w:rsid w:val="007058E8"/>
    <w:rsid w:val="00705A8D"/>
    <w:rsid w:val="00705CD5"/>
    <w:rsid w:val="00705ECA"/>
    <w:rsid w:val="00706B70"/>
    <w:rsid w:val="00706FB9"/>
    <w:rsid w:val="00707010"/>
    <w:rsid w:val="00707FEA"/>
    <w:rsid w:val="0071018B"/>
    <w:rsid w:val="007107CF"/>
    <w:rsid w:val="00710939"/>
    <w:rsid w:val="00710967"/>
    <w:rsid w:val="00710D84"/>
    <w:rsid w:val="00710DDA"/>
    <w:rsid w:val="0071114C"/>
    <w:rsid w:val="00711797"/>
    <w:rsid w:val="00711AE9"/>
    <w:rsid w:val="00711C99"/>
    <w:rsid w:val="00711FD9"/>
    <w:rsid w:val="0071249E"/>
    <w:rsid w:val="0071298A"/>
    <w:rsid w:val="00712AD4"/>
    <w:rsid w:val="00713D35"/>
    <w:rsid w:val="00714E61"/>
    <w:rsid w:val="007150E2"/>
    <w:rsid w:val="0071536F"/>
    <w:rsid w:val="00716840"/>
    <w:rsid w:val="007176C0"/>
    <w:rsid w:val="007204C3"/>
    <w:rsid w:val="00720B9E"/>
    <w:rsid w:val="00720BFD"/>
    <w:rsid w:val="00720CD8"/>
    <w:rsid w:val="007211D3"/>
    <w:rsid w:val="00721644"/>
    <w:rsid w:val="00721718"/>
    <w:rsid w:val="007218A5"/>
    <w:rsid w:val="00721D73"/>
    <w:rsid w:val="00721FE3"/>
    <w:rsid w:val="00722317"/>
    <w:rsid w:val="007223DB"/>
    <w:rsid w:val="0072254F"/>
    <w:rsid w:val="007228EE"/>
    <w:rsid w:val="007230D3"/>
    <w:rsid w:val="007232F6"/>
    <w:rsid w:val="007235B6"/>
    <w:rsid w:val="007236CC"/>
    <w:rsid w:val="00723C6E"/>
    <w:rsid w:val="00724F5B"/>
    <w:rsid w:val="00724FBF"/>
    <w:rsid w:val="00725587"/>
    <w:rsid w:val="007259BE"/>
    <w:rsid w:val="00725EC2"/>
    <w:rsid w:val="007265C4"/>
    <w:rsid w:val="00726F7F"/>
    <w:rsid w:val="00727D81"/>
    <w:rsid w:val="00727F64"/>
    <w:rsid w:val="00730156"/>
    <w:rsid w:val="00730212"/>
    <w:rsid w:val="0073022F"/>
    <w:rsid w:val="007302AC"/>
    <w:rsid w:val="007302F7"/>
    <w:rsid w:val="0073054C"/>
    <w:rsid w:val="007307A9"/>
    <w:rsid w:val="00730C07"/>
    <w:rsid w:val="00731BA2"/>
    <w:rsid w:val="00732290"/>
    <w:rsid w:val="00732312"/>
    <w:rsid w:val="00732A2B"/>
    <w:rsid w:val="00733412"/>
    <w:rsid w:val="007335A7"/>
    <w:rsid w:val="00733647"/>
    <w:rsid w:val="00734389"/>
    <w:rsid w:val="00734D21"/>
    <w:rsid w:val="0073520F"/>
    <w:rsid w:val="00735331"/>
    <w:rsid w:val="00735756"/>
    <w:rsid w:val="00735827"/>
    <w:rsid w:val="007358CB"/>
    <w:rsid w:val="007360CB"/>
    <w:rsid w:val="007361CF"/>
    <w:rsid w:val="00736B86"/>
    <w:rsid w:val="007370A7"/>
    <w:rsid w:val="00737A87"/>
    <w:rsid w:val="00737EBA"/>
    <w:rsid w:val="007409A8"/>
    <w:rsid w:val="00740E3C"/>
    <w:rsid w:val="00740F95"/>
    <w:rsid w:val="00741477"/>
    <w:rsid w:val="007414F6"/>
    <w:rsid w:val="007418E8"/>
    <w:rsid w:val="007419DC"/>
    <w:rsid w:val="00741B02"/>
    <w:rsid w:val="007429F6"/>
    <w:rsid w:val="00742B56"/>
    <w:rsid w:val="00743601"/>
    <w:rsid w:val="00744670"/>
    <w:rsid w:val="007449B5"/>
    <w:rsid w:val="00744E45"/>
    <w:rsid w:val="00745140"/>
    <w:rsid w:val="00745193"/>
    <w:rsid w:val="00745C48"/>
    <w:rsid w:val="007461B2"/>
    <w:rsid w:val="00747793"/>
    <w:rsid w:val="00747D84"/>
    <w:rsid w:val="0075013A"/>
    <w:rsid w:val="00750279"/>
    <w:rsid w:val="007504BB"/>
    <w:rsid w:val="00750B7B"/>
    <w:rsid w:val="00750D4E"/>
    <w:rsid w:val="00751767"/>
    <w:rsid w:val="00751A04"/>
    <w:rsid w:val="00751E89"/>
    <w:rsid w:val="00752550"/>
    <w:rsid w:val="007525D6"/>
    <w:rsid w:val="007528A3"/>
    <w:rsid w:val="00752A87"/>
    <w:rsid w:val="0075408B"/>
    <w:rsid w:val="0075414F"/>
    <w:rsid w:val="00754365"/>
    <w:rsid w:val="00754CA9"/>
    <w:rsid w:val="0075517E"/>
    <w:rsid w:val="007556D3"/>
    <w:rsid w:val="00756020"/>
    <w:rsid w:val="007566C3"/>
    <w:rsid w:val="0076041E"/>
    <w:rsid w:val="007604D9"/>
    <w:rsid w:val="0076071B"/>
    <w:rsid w:val="007613A6"/>
    <w:rsid w:val="00761405"/>
    <w:rsid w:val="0076141F"/>
    <w:rsid w:val="0076152B"/>
    <w:rsid w:val="0076155E"/>
    <w:rsid w:val="00761706"/>
    <w:rsid w:val="00761F37"/>
    <w:rsid w:val="00762750"/>
    <w:rsid w:val="007639B9"/>
    <w:rsid w:val="00763A0C"/>
    <w:rsid w:val="00763B34"/>
    <w:rsid w:val="007646C9"/>
    <w:rsid w:val="007646D9"/>
    <w:rsid w:val="00765012"/>
    <w:rsid w:val="00765444"/>
    <w:rsid w:val="00765D3F"/>
    <w:rsid w:val="007668D0"/>
    <w:rsid w:val="00766BFA"/>
    <w:rsid w:val="0076749A"/>
    <w:rsid w:val="007676F1"/>
    <w:rsid w:val="0076796C"/>
    <w:rsid w:val="00767C85"/>
    <w:rsid w:val="00770575"/>
    <w:rsid w:val="00773357"/>
    <w:rsid w:val="0077341C"/>
    <w:rsid w:val="007735FB"/>
    <w:rsid w:val="00774C97"/>
    <w:rsid w:val="007750D5"/>
    <w:rsid w:val="0077539D"/>
    <w:rsid w:val="0077599F"/>
    <w:rsid w:val="007764DC"/>
    <w:rsid w:val="0077667B"/>
    <w:rsid w:val="007766DA"/>
    <w:rsid w:val="00776933"/>
    <w:rsid w:val="00776C18"/>
    <w:rsid w:val="00776E2B"/>
    <w:rsid w:val="00776F6B"/>
    <w:rsid w:val="0077734E"/>
    <w:rsid w:val="00777EFD"/>
    <w:rsid w:val="007800BB"/>
    <w:rsid w:val="00780E57"/>
    <w:rsid w:val="00780FF1"/>
    <w:rsid w:val="007810D0"/>
    <w:rsid w:val="00781538"/>
    <w:rsid w:val="0078165B"/>
    <w:rsid w:val="007818A2"/>
    <w:rsid w:val="00781BA6"/>
    <w:rsid w:val="00782554"/>
    <w:rsid w:val="007826F8"/>
    <w:rsid w:val="007827D5"/>
    <w:rsid w:val="00782958"/>
    <w:rsid w:val="00782F6A"/>
    <w:rsid w:val="00783983"/>
    <w:rsid w:val="007844DF"/>
    <w:rsid w:val="00784EC8"/>
    <w:rsid w:val="00785018"/>
    <w:rsid w:val="00785754"/>
    <w:rsid w:val="00785875"/>
    <w:rsid w:val="00785D4C"/>
    <w:rsid w:val="00786055"/>
    <w:rsid w:val="0078608C"/>
    <w:rsid w:val="007867EE"/>
    <w:rsid w:val="00786F6F"/>
    <w:rsid w:val="00787BCC"/>
    <w:rsid w:val="00787D6D"/>
    <w:rsid w:val="00790130"/>
    <w:rsid w:val="00790155"/>
    <w:rsid w:val="007901EC"/>
    <w:rsid w:val="007910BF"/>
    <w:rsid w:val="00791298"/>
    <w:rsid w:val="00791302"/>
    <w:rsid w:val="007915E0"/>
    <w:rsid w:val="007915E6"/>
    <w:rsid w:val="00791C4A"/>
    <w:rsid w:val="00792056"/>
    <w:rsid w:val="0079206C"/>
    <w:rsid w:val="0079238F"/>
    <w:rsid w:val="00792600"/>
    <w:rsid w:val="0079307A"/>
    <w:rsid w:val="00793746"/>
    <w:rsid w:val="00793798"/>
    <w:rsid w:val="00793E88"/>
    <w:rsid w:val="00794089"/>
    <w:rsid w:val="00794288"/>
    <w:rsid w:val="0079437D"/>
    <w:rsid w:val="007944AF"/>
    <w:rsid w:val="007952BF"/>
    <w:rsid w:val="00795E36"/>
    <w:rsid w:val="00796142"/>
    <w:rsid w:val="00796150"/>
    <w:rsid w:val="00796ACC"/>
    <w:rsid w:val="00796B02"/>
    <w:rsid w:val="00797521"/>
    <w:rsid w:val="007A0422"/>
    <w:rsid w:val="007A0585"/>
    <w:rsid w:val="007A097C"/>
    <w:rsid w:val="007A0AB6"/>
    <w:rsid w:val="007A0E11"/>
    <w:rsid w:val="007A0F1C"/>
    <w:rsid w:val="007A1A22"/>
    <w:rsid w:val="007A1B9B"/>
    <w:rsid w:val="007A1DAB"/>
    <w:rsid w:val="007A200F"/>
    <w:rsid w:val="007A2CE4"/>
    <w:rsid w:val="007A2FB2"/>
    <w:rsid w:val="007A303F"/>
    <w:rsid w:val="007A3C79"/>
    <w:rsid w:val="007A3D2E"/>
    <w:rsid w:val="007A43A5"/>
    <w:rsid w:val="007A4430"/>
    <w:rsid w:val="007A4B2C"/>
    <w:rsid w:val="007A5187"/>
    <w:rsid w:val="007A585E"/>
    <w:rsid w:val="007A5B7F"/>
    <w:rsid w:val="007A5D2F"/>
    <w:rsid w:val="007A60E6"/>
    <w:rsid w:val="007A6185"/>
    <w:rsid w:val="007A62B2"/>
    <w:rsid w:val="007A6561"/>
    <w:rsid w:val="007A6C13"/>
    <w:rsid w:val="007A6C55"/>
    <w:rsid w:val="007A6D5D"/>
    <w:rsid w:val="007A6E3F"/>
    <w:rsid w:val="007A6E90"/>
    <w:rsid w:val="007A71E8"/>
    <w:rsid w:val="007A74BD"/>
    <w:rsid w:val="007A773D"/>
    <w:rsid w:val="007A77B9"/>
    <w:rsid w:val="007A77C6"/>
    <w:rsid w:val="007A780F"/>
    <w:rsid w:val="007A7881"/>
    <w:rsid w:val="007A7910"/>
    <w:rsid w:val="007B0060"/>
    <w:rsid w:val="007B04DB"/>
    <w:rsid w:val="007B071B"/>
    <w:rsid w:val="007B086B"/>
    <w:rsid w:val="007B0AC0"/>
    <w:rsid w:val="007B17C5"/>
    <w:rsid w:val="007B17CC"/>
    <w:rsid w:val="007B1805"/>
    <w:rsid w:val="007B1885"/>
    <w:rsid w:val="007B19F9"/>
    <w:rsid w:val="007B2119"/>
    <w:rsid w:val="007B2DAB"/>
    <w:rsid w:val="007B3168"/>
    <w:rsid w:val="007B3170"/>
    <w:rsid w:val="007B32D3"/>
    <w:rsid w:val="007B334A"/>
    <w:rsid w:val="007B3F17"/>
    <w:rsid w:val="007B3F9F"/>
    <w:rsid w:val="007B446A"/>
    <w:rsid w:val="007B46FB"/>
    <w:rsid w:val="007B5477"/>
    <w:rsid w:val="007B569C"/>
    <w:rsid w:val="007B56A4"/>
    <w:rsid w:val="007B5A5E"/>
    <w:rsid w:val="007B5ADE"/>
    <w:rsid w:val="007B60F5"/>
    <w:rsid w:val="007B61CB"/>
    <w:rsid w:val="007B683E"/>
    <w:rsid w:val="007B69B0"/>
    <w:rsid w:val="007B70C7"/>
    <w:rsid w:val="007B768D"/>
    <w:rsid w:val="007B7849"/>
    <w:rsid w:val="007B7D31"/>
    <w:rsid w:val="007B7E9B"/>
    <w:rsid w:val="007C084F"/>
    <w:rsid w:val="007C10D4"/>
    <w:rsid w:val="007C157B"/>
    <w:rsid w:val="007C1F18"/>
    <w:rsid w:val="007C1F67"/>
    <w:rsid w:val="007C2234"/>
    <w:rsid w:val="007C26AF"/>
    <w:rsid w:val="007C2DBD"/>
    <w:rsid w:val="007C35EC"/>
    <w:rsid w:val="007C38C0"/>
    <w:rsid w:val="007C55FB"/>
    <w:rsid w:val="007C5FBB"/>
    <w:rsid w:val="007C605B"/>
    <w:rsid w:val="007C64E7"/>
    <w:rsid w:val="007C6EEA"/>
    <w:rsid w:val="007C71B1"/>
    <w:rsid w:val="007C7351"/>
    <w:rsid w:val="007C7AF0"/>
    <w:rsid w:val="007D0310"/>
    <w:rsid w:val="007D0587"/>
    <w:rsid w:val="007D0C92"/>
    <w:rsid w:val="007D0F06"/>
    <w:rsid w:val="007D12B5"/>
    <w:rsid w:val="007D12D0"/>
    <w:rsid w:val="007D1D4B"/>
    <w:rsid w:val="007D2BD0"/>
    <w:rsid w:val="007D3681"/>
    <w:rsid w:val="007D3AC9"/>
    <w:rsid w:val="007D42C4"/>
    <w:rsid w:val="007D45B6"/>
    <w:rsid w:val="007D46E4"/>
    <w:rsid w:val="007D471F"/>
    <w:rsid w:val="007D4D4F"/>
    <w:rsid w:val="007D4EC1"/>
    <w:rsid w:val="007D5007"/>
    <w:rsid w:val="007D62DE"/>
    <w:rsid w:val="007D69DB"/>
    <w:rsid w:val="007D6DB9"/>
    <w:rsid w:val="007D6FDC"/>
    <w:rsid w:val="007D7202"/>
    <w:rsid w:val="007D7261"/>
    <w:rsid w:val="007D78A5"/>
    <w:rsid w:val="007D7C4E"/>
    <w:rsid w:val="007D7FD1"/>
    <w:rsid w:val="007E040D"/>
    <w:rsid w:val="007E0CC8"/>
    <w:rsid w:val="007E161F"/>
    <w:rsid w:val="007E1D2C"/>
    <w:rsid w:val="007E1FE0"/>
    <w:rsid w:val="007E261F"/>
    <w:rsid w:val="007E2767"/>
    <w:rsid w:val="007E27B5"/>
    <w:rsid w:val="007E309E"/>
    <w:rsid w:val="007E31F8"/>
    <w:rsid w:val="007E3286"/>
    <w:rsid w:val="007E3D9B"/>
    <w:rsid w:val="007E42FB"/>
    <w:rsid w:val="007E451D"/>
    <w:rsid w:val="007E456C"/>
    <w:rsid w:val="007E4A91"/>
    <w:rsid w:val="007E4F0E"/>
    <w:rsid w:val="007E4FE0"/>
    <w:rsid w:val="007E5AEE"/>
    <w:rsid w:val="007E5EF4"/>
    <w:rsid w:val="007E697B"/>
    <w:rsid w:val="007E6D47"/>
    <w:rsid w:val="007E717B"/>
    <w:rsid w:val="007E73DE"/>
    <w:rsid w:val="007E7D2F"/>
    <w:rsid w:val="007E7E38"/>
    <w:rsid w:val="007F0244"/>
    <w:rsid w:val="007F09D4"/>
    <w:rsid w:val="007F0B29"/>
    <w:rsid w:val="007F0E1D"/>
    <w:rsid w:val="007F120E"/>
    <w:rsid w:val="007F1671"/>
    <w:rsid w:val="007F2A63"/>
    <w:rsid w:val="007F2C87"/>
    <w:rsid w:val="007F325C"/>
    <w:rsid w:val="007F347D"/>
    <w:rsid w:val="007F3D25"/>
    <w:rsid w:val="007F4B95"/>
    <w:rsid w:val="007F4F0E"/>
    <w:rsid w:val="007F554B"/>
    <w:rsid w:val="007F58C0"/>
    <w:rsid w:val="007F5F85"/>
    <w:rsid w:val="007F5FB6"/>
    <w:rsid w:val="007F6F3C"/>
    <w:rsid w:val="007F70FF"/>
    <w:rsid w:val="007F7AB0"/>
    <w:rsid w:val="007F7D47"/>
    <w:rsid w:val="0080155A"/>
    <w:rsid w:val="008015D3"/>
    <w:rsid w:val="00801983"/>
    <w:rsid w:val="00802846"/>
    <w:rsid w:val="00802BAB"/>
    <w:rsid w:val="00802E39"/>
    <w:rsid w:val="008031B0"/>
    <w:rsid w:val="00803349"/>
    <w:rsid w:val="00803EE6"/>
    <w:rsid w:val="00804442"/>
    <w:rsid w:val="008046C6"/>
    <w:rsid w:val="00804AE1"/>
    <w:rsid w:val="008050F9"/>
    <w:rsid w:val="008054AD"/>
    <w:rsid w:val="008055F4"/>
    <w:rsid w:val="00805E3D"/>
    <w:rsid w:val="00805E97"/>
    <w:rsid w:val="00805F0D"/>
    <w:rsid w:val="0080621B"/>
    <w:rsid w:val="00806D97"/>
    <w:rsid w:val="0080726F"/>
    <w:rsid w:val="00807A1A"/>
    <w:rsid w:val="00807A47"/>
    <w:rsid w:val="0081059A"/>
    <w:rsid w:val="00810DDE"/>
    <w:rsid w:val="0081127D"/>
    <w:rsid w:val="00811467"/>
    <w:rsid w:val="00811578"/>
    <w:rsid w:val="00811FEA"/>
    <w:rsid w:val="008121DE"/>
    <w:rsid w:val="00814067"/>
    <w:rsid w:val="00814500"/>
    <w:rsid w:val="008145F7"/>
    <w:rsid w:val="00814624"/>
    <w:rsid w:val="00814986"/>
    <w:rsid w:val="00814B2F"/>
    <w:rsid w:val="00815358"/>
    <w:rsid w:val="00815763"/>
    <w:rsid w:val="00815784"/>
    <w:rsid w:val="00816110"/>
    <w:rsid w:val="00816F76"/>
    <w:rsid w:val="0081719E"/>
    <w:rsid w:val="00817553"/>
    <w:rsid w:val="00817B8D"/>
    <w:rsid w:val="00817C67"/>
    <w:rsid w:val="00817C96"/>
    <w:rsid w:val="00817F22"/>
    <w:rsid w:val="00817F37"/>
    <w:rsid w:val="00820A74"/>
    <w:rsid w:val="008211F6"/>
    <w:rsid w:val="008219C9"/>
    <w:rsid w:val="008222FC"/>
    <w:rsid w:val="0082292D"/>
    <w:rsid w:val="00822ADE"/>
    <w:rsid w:val="00822DF3"/>
    <w:rsid w:val="00823B89"/>
    <w:rsid w:val="00823D9F"/>
    <w:rsid w:val="0082458C"/>
    <w:rsid w:val="00824900"/>
    <w:rsid w:val="00824AD3"/>
    <w:rsid w:val="00824DF7"/>
    <w:rsid w:val="008250A5"/>
    <w:rsid w:val="00825E66"/>
    <w:rsid w:val="00825F52"/>
    <w:rsid w:val="00826353"/>
    <w:rsid w:val="00826377"/>
    <w:rsid w:val="00826450"/>
    <w:rsid w:val="00826942"/>
    <w:rsid w:val="00826A92"/>
    <w:rsid w:val="00826AE5"/>
    <w:rsid w:val="00826E97"/>
    <w:rsid w:val="00827322"/>
    <w:rsid w:val="00827575"/>
    <w:rsid w:val="008275E7"/>
    <w:rsid w:val="00827D3D"/>
    <w:rsid w:val="00830954"/>
    <w:rsid w:val="00830CCA"/>
    <w:rsid w:val="0083117A"/>
    <w:rsid w:val="00831817"/>
    <w:rsid w:val="0083186F"/>
    <w:rsid w:val="00831B14"/>
    <w:rsid w:val="008320E7"/>
    <w:rsid w:val="00832A0D"/>
    <w:rsid w:val="00832AC8"/>
    <w:rsid w:val="00832F46"/>
    <w:rsid w:val="00833209"/>
    <w:rsid w:val="0083430D"/>
    <w:rsid w:val="00834594"/>
    <w:rsid w:val="00834803"/>
    <w:rsid w:val="008349D9"/>
    <w:rsid w:val="00834A18"/>
    <w:rsid w:val="00834BA0"/>
    <w:rsid w:val="008358B3"/>
    <w:rsid w:val="00835972"/>
    <w:rsid w:val="00835CCC"/>
    <w:rsid w:val="00836205"/>
    <w:rsid w:val="0083670F"/>
    <w:rsid w:val="00836C2F"/>
    <w:rsid w:val="00836CC2"/>
    <w:rsid w:val="00836E06"/>
    <w:rsid w:val="008375EF"/>
    <w:rsid w:val="00837796"/>
    <w:rsid w:val="00837B6B"/>
    <w:rsid w:val="00837E09"/>
    <w:rsid w:val="0084008F"/>
    <w:rsid w:val="0084026B"/>
    <w:rsid w:val="0084038B"/>
    <w:rsid w:val="00840394"/>
    <w:rsid w:val="0084125F"/>
    <w:rsid w:val="00841495"/>
    <w:rsid w:val="00841DA4"/>
    <w:rsid w:val="00842F18"/>
    <w:rsid w:val="0084344A"/>
    <w:rsid w:val="0084358A"/>
    <w:rsid w:val="0084370D"/>
    <w:rsid w:val="008437A7"/>
    <w:rsid w:val="00843E66"/>
    <w:rsid w:val="00844FDB"/>
    <w:rsid w:val="0084510D"/>
    <w:rsid w:val="00846030"/>
    <w:rsid w:val="00846C62"/>
    <w:rsid w:val="00846F78"/>
    <w:rsid w:val="00846FC9"/>
    <w:rsid w:val="00847035"/>
    <w:rsid w:val="008479C0"/>
    <w:rsid w:val="00847B1E"/>
    <w:rsid w:val="00847BA1"/>
    <w:rsid w:val="00850131"/>
    <w:rsid w:val="00850409"/>
    <w:rsid w:val="008505C0"/>
    <w:rsid w:val="00850AB2"/>
    <w:rsid w:val="00850BF8"/>
    <w:rsid w:val="00850C0A"/>
    <w:rsid w:val="00852101"/>
    <w:rsid w:val="0085218E"/>
    <w:rsid w:val="00852274"/>
    <w:rsid w:val="008525C2"/>
    <w:rsid w:val="0085268C"/>
    <w:rsid w:val="0085367E"/>
    <w:rsid w:val="008536EA"/>
    <w:rsid w:val="00853BF4"/>
    <w:rsid w:val="00853E1D"/>
    <w:rsid w:val="00854A29"/>
    <w:rsid w:val="00854B4F"/>
    <w:rsid w:val="00854D87"/>
    <w:rsid w:val="00855145"/>
    <w:rsid w:val="00855248"/>
    <w:rsid w:val="00856050"/>
    <w:rsid w:val="00856622"/>
    <w:rsid w:val="008566BC"/>
    <w:rsid w:val="008567B3"/>
    <w:rsid w:val="00856E16"/>
    <w:rsid w:val="008570C7"/>
    <w:rsid w:val="008572BC"/>
    <w:rsid w:val="00857438"/>
    <w:rsid w:val="0085752E"/>
    <w:rsid w:val="008577A5"/>
    <w:rsid w:val="00857B1C"/>
    <w:rsid w:val="00857B36"/>
    <w:rsid w:val="008602AE"/>
    <w:rsid w:val="0086132E"/>
    <w:rsid w:val="00861B1A"/>
    <w:rsid w:val="00861C5A"/>
    <w:rsid w:val="008628D2"/>
    <w:rsid w:val="00862BCA"/>
    <w:rsid w:val="00862D12"/>
    <w:rsid w:val="0086421A"/>
    <w:rsid w:val="00864746"/>
    <w:rsid w:val="0086490C"/>
    <w:rsid w:val="00864BDD"/>
    <w:rsid w:val="00864CF5"/>
    <w:rsid w:val="00864DE2"/>
    <w:rsid w:val="00865CE3"/>
    <w:rsid w:val="00866E6B"/>
    <w:rsid w:val="00866E72"/>
    <w:rsid w:val="00866EBD"/>
    <w:rsid w:val="00866FB0"/>
    <w:rsid w:val="00867F32"/>
    <w:rsid w:val="0087097D"/>
    <w:rsid w:val="00870A11"/>
    <w:rsid w:val="00870B2F"/>
    <w:rsid w:val="00870EDA"/>
    <w:rsid w:val="00871754"/>
    <w:rsid w:val="0087234A"/>
    <w:rsid w:val="00872445"/>
    <w:rsid w:val="00873176"/>
    <w:rsid w:val="008742DA"/>
    <w:rsid w:val="008744A2"/>
    <w:rsid w:val="0087471E"/>
    <w:rsid w:val="0087487C"/>
    <w:rsid w:val="00875260"/>
    <w:rsid w:val="00875480"/>
    <w:rsid w:val="00875551"/>
    <w:rsid w:val="00875ACF"/>
    <w:rsid w:val="008761A4"/>
    <w:rsid w:val="0087656D"/>
    <w:rsid w:val="00876A9F"/>
    <w:rsid w:val="00876F24"/>
    <w:rsid w:val="00877257"/>
    <w:rsid w:val="00877283"/>
    <w:rsid w:val="008777DC"/>
    <w:rsid w:val="00877E6A"/>
    <w:rsid w:val="0088026C"/>
    <w:rsid w:val="008805CF"/>
    <w:rsid w:val="008809F0"/>
    <w:rsid w:val="0088154C"/>
    <w:rsid w:val="0088195D"/>
    <w:rsid w:val="0088220E"/>
    <w:rsid w:val="00882492"/>
    <w:rsid w:val="00882B88"/>
    <w:rsid w:val="00883255"/>
    <w:rsid w:val="00883A07"/>
    <w:rsid w:val="00883D8E"/>
    <w:rsid w:val="00883D9B"/>
    <w:rsid w:val="008842FB"/>
    <w:rsid w:val="0088483E"/>
    <w:rsid w:val="00884A60"/>
    <w:rsid w:val="00884B78"/>
    <w:rsid w:val="00884BF7"/>
    <w:rsid w:val="008852B9"/>
    <w:rsid w:val="008854FC"/>
    <w:rsid w:val="008865B6"/>
    <w:rsid w:val="008866D8"/>
    <w:rsid w:val="0088679E"/>
    <w:rsid w:val="008869BA"/>
    <w:rsid w:val="00886BED"/>
    <w:rsid w:val="00887092"/>
    <w:rsid w:val="00887119"/>
    <w:rsid w:val="00887866"/>
    <w:rsid w:val="00890220"/>
    <w:rsid w:val="00890485"/>
    <w:rsid w:val="008911DD"/>
    <w:rsid w:val="008917D8"/>
    <w:rsid w:val="00891999"/>
    <w:rsid w:val="00891AD8"/>
    <w:rsid w:val="00891E8B"/>
    <w:rsid w:val="00892A38"/>
    <w:rsid w:val="00892D26"/>
    <w:rsid w:val="00893211"/>
    <w:rsid w:val="00893807"/>
    <w:rsid w:val="00893BC9"/>
    <w:rsid w:val="00893F22"/>
    <w:rsid w:val="00894DB2"/>
    <w:rsid w:val="0089521E"/>
    <w:rsid w:val="00895727"/>
    <w:rsid w:val="00895EE3"/>
    <w:rsid w:val="008962D9"/>
    <w:rsid w:val="00896F9A"/>
    <w:rsid w:val="008975AD"/>
    <w:rsid w:val="008A09B6"/>
    <w:rsid w:val="008A0A9B"/>
    <w:rsid w:val="008A0D10"/>
    <w:rsid w:val="008A0D83"/>
    <w:rsid w:val="008A1038"/>
    <w:rsid w:val="008A1308"/>
    <w:rsid w:val="008A1661"/>
    <w:rsid w:val="008A18AF"/>
    <w:rsid w:val="008A1FB1"/>
    <w:rsid w:val="008A253F"/>
    <w:rsid w:val="008A305F"/>
    <w:rsid w:val="008A3BFD"/>
    <w:rsid w:val="008A41BD"/>
    <w:rsid w:val="008A4708"/>
    <w:rsid w:val="008A4974"/>
    <w:rsid w:val="008A527D"/>
    <w:rsid w:val="008A58F2"/>
    <w:rsid w:val="008A6A3F"/>
    <w:rsid w:val="008A7103"/>
    <w:rsid w:val="008A7813"/>
    <w:rsid w:val="008A7999"/>
    <w:rsid w:val="008B00E3"/>
    <w:rsid w:val="008B0275"/>
    <w:rsid w:val="008B0602"/>
    <w:rsid w:val="008B0A9E"/>
    <w:rsid w:val="008B0FA4"/>
    <w:rsid w:val="008B1C64"/>
    <w:rsid w:val="008B29D6"/>
    <w:rsid w:val="008B2DA2"/>
    <w:rsid w:val="008B2FDE"/>
    <w:rsid w:val="008B36E0"/>
    <w:rsid w:val="008B37C8"/>
    <w:rsid w:val="008B3982"/>
    <w:rsid w:val="008B3B91"/>
    <w:rsid w:val="008B4248"/>
    <w:rsid w:val="008B450D"/>
    <w:rsid w:val="008B4885"/>
    <w:rsid w:val="008B4ABB"/>
    <w:rsid w:val="008B5B95"/>
    <w:rsid w:val="008B616B"/>
    <w:rsid w:val="008B69D0"/>
    <w:rsid w:val="008B6FCD"/>
    <w:rsid w:val="008B7041"/>
    <w:rsid w:val="008B73C5"/>
    <w:rsid w:val="008B7A23"/>
    <w:rsid w:val="008B7A96"/>
    <w:rsid w:val="008C0AD5"/>
    <w:rsid w:val="008C0C9A"/>
    <w:rsid w:val="008C0D12"/>
    <w:rsid w:val="008C0D76"/>
    <w:rsid w:val="008C1BD1"/>
    <w:rsid w:val="008C1D69"/>
    <w:rsid w:val="008C1F44"/>
    <w:rsid w:val="008C1F5C"/>
    <w:rsid w:val="008C246B"/>
    <w:rsid w:val="008C27E4"/>
    <w:rsid w:val="008C2A73"/>
    <w:rsid w:val="008C2C79"/>
    <w:rsid w:val="008C361D"/>
    <w:rsid w:val="008C3BD5"/>
    <w:rsid w:val="008C3D7C"/>
    <w:rsid w:val="008C4248"/>
    <w:rsid w:val="008C46B8"/>
    <w:rsid w:val="008C4CC5"/>
    <w:rsid w:val="008C58B4"/>
    <w:rsid w:val="008C5999"/>
    <w:rsid w:val="008C59DE"/>
    <w:rsid w:val="008C6470"/>
    <w:rsid w:val="008C663B"/>
    <w:rsid w:val="008C75AB"/>
    <w:rsid w:val="008C799A"/>
    <w:rsid w:val="008C7D29"/>
    <w:rsid w:val="008D05C5"/>
    <w:rsid w:val="008D07D5"/>
    <w:rsid w:val="008D0DBE"/>
    <w:rsid w:val="008D1600"/>
    <w:rsid w:val="008D1C95"/>
    <w:rsid w:val="008D2064"/>
    <w:rsid w:val="008D21FC"/>
    <w:rsid w:val="008D227E"/>
    <w:rsid w:val="008D2D58"/>
    <w:rsid w:val="008D3201"/>
    <w:rsid w:val="008D3490"/>
    <w:rsid w:val="008D37B2"/>
    <w:rsid w:val="008D385E"/>
    <w:rsid w:val="008D410F"/>
    <w:rsid w:val="008D45D9"/>
    <w:rsid w:val="008D4880"/>
    <w:rsid w:val="008D48D1"/>
    <w:rsid w:val="008D4AFB"/>
    <w:rsid w:val="008D4D19"/>
    <w:rsid w:val="008D5D4E"/>
    <w:rsid w:val="008D6200"/>
    <w:rsid w:val="008D6306"/>
    <w:rsid w:val="008D6BF3"/>
    <w:rsid w:val="008D6DE6"/>
    <w:rsid w:val="008D6F33"/>
    <w:rsid w:val="008D793D"/>
    <w:rsid w:val="008D7A34"/>
    <w:rsid w:val="008E0194"/>
    <w:rsid w:val="008E0668"/>
    <w:rsid w:val="008E077F"/>
    <w:rsid w:val="008E15B2"/>
    <w:rsid w:val="008E1DF9"/>
    <w:rsid w:val="008E21EA"/>
    <w:rsid w:val="008E2BDC"/>
    <w:rsid w:val="008E2C42"/>
    <w:rsid w:val="008E2FE5"/>
    <w:rsid w:val="008E3421"/>
    <w:rsid w:val="008E34D7"/>
    <w:rsid w:val="008E425A"/>
    <w:rsid w:val="008E450E"/>
    <w:rsid w:val="008E48E4"/>
    <w:rsid w:val="008E53F1"/>
    <w:rsid w:val="008E5AC8"/>
    <w:rsid w:val="008E6029"/>
    <w:rsid w:val="008E6068"/>
    <w:rsid w:val="008E61F8"/>
    <w:rsid w:val="008E660B"/>
    <w:rsid w:val="008E66FC"/>
    <w:rsid w:val="008E720D"/>
    <w:rsid w:val="008E7272"/>
    <w:rsid w:val="008F0381"/>
    <w:rsid w:val="008F07AA"/>
    <w:rsid w:val="008F0F86"/>
    <w:rsid w:val="008F1C32"/>
    <w:rsid w:val="008F3754"/>
    <w:rsid w:val="008F38B3"/>
    <w:rsid w:val="008F3CD6"/>
    <w:rsid w:val="008F4F78"/>
    <w:rsid w:val="008F5482"/>
    <w:rsid w:val="008F57EF"/>
    <w:rsid w:val="008F6B75"/>
    <w:rsid w:val="008F7727"/>
    <w:rsid w:val="008F7864"/>
    <w:rsid w:val="00900674"/>
    <w:rsid w:val="00900F9C"/>
    <w:rsid w:val="009014D0"/>
    <w:rsid w:val="009019EE"/>
    <w:rsid w:val="00901D24"/>
    <w:rsid w:val="00902045"/>
    <w:rsid w:val="00902359"/>
    <w:rsid w:val="00902440"/>
    <w:rsid w:val="009025BC"/>
    <w:rsid w:val="009029EE"/>
    <w:rsid w:val="00902D18"/>
    <w:rsid w:val="00903287"/>
    <w:rsid w:val="009032B3"/>
    <w:rsid w:val="009034FD"/>
    <w:rsid w:val="00903AC5"/>
    <w:rsid w:val="00903CBC"/>
    <w:rsid w:val="009041FD"/>
    <w:rsid w:val="00904454"/>
    <w:rsid w:val="00904EE4"/>
    <w:rsid w:val="00905203"/>
    <w:rsid w:val="009064CD"/>
    <w:rsid w:val="00906BAC"/>
    <w:rsid w:val="00907B05"/>
    <w:rsid w:val="00907F6B"/>
    <w:rsid w:val="00907FB7"/>
    <w:rsid w:val="00910BA6"/>
    <w:rsid w:val="00911123"/>
    <w:rsid w:val="009112BD"/>
    <w:rsid w:val="00911929"/>
    <w:rsid w:val="0091278C"/>
    <w:rsid w:val="00912D06"/>
    <w:rsid w:val="00912D66"/>
    <w:rsid w:val="00912FA8"/>
    <w:rsid w:val="00913377"/>
    <w:rsid w:val="009137AA"/>
    <w:rsid w:val="009137C6"/>
    <w:rsid w:val="009137F7"/>
    <w:rsid w:val="00914310"/>
    <w:rsid w:val="00914533"/>
    <w:rsid w:val="00914EB6"/>
    <w:rsid w:val="00915481"/>
    <w:rsid w:val="0091559F"/>
    <w:rsid w:val="0091575C"/>
    <w:rsid w:val="00917BB2"/>
    <w:rsid w:val="00920268"/>
    <w:rsid w:val="00920A62"/>
    <w:rsid w:val="00920B1F"/>
    <w:rsid w:val="009214B4"/>
    <w:rsid w:val="009216E5"/>
    <w:rsid w:val="00921AE4"/>
    <w:rsid w:val="00921E8F"/>
    <w:rsid w:val="00921E98"/>
    <w:rsid w:val="00921FA2"/>
    <w:rsid w:val="009222CF"/>
    <w:rsid w:val="0092237E"/>
    <w:rsid w:val="0092248E"/>
    <w:rsid w:val="009225F4"/>
    <w:rsid w:val="009229F2"/>
    <w:rsid w:val="00922B07"/>
    <w:rsid w:val="00922DE8"/>
    <w:rsid w:val="0092360E"/>
    <w:rsid w:val="00923618"/>
    <w:rsid w:val="00924052"/>
    <w:rsid w:val="00924508"/>
    <w:rsid w:val="00924A4B"/>
    <w:rsid w:val="00924E45"/>
    <w:rsid w:val="009252E7"/>
    <w:rsid w:val="00925480"/>
    <w:rsid w:val="009258ED"/>
    <w:rsid w:val="00925CC6"/>
    <w:rsid w:val="00925FE3"/>
    <w:rsid w:val="009263B7"/>
    <w:rsid w:val="0092640D"/>
    <w:rsid w:val="00926720"/>
    <w:rsid w:val="009267DD"/>
    <w:rsid w:val="00926B0B"/>
    <w:rsid w:val="00926D18"/>
    <w:rsid w:val="0092729A"/>
    <w:rsid w:val="00927676"/>
    <w:rsid w:val="009279BD"/>
    <w:rsid w:val="009306FC"/>
    <w:rsid w:val="009308A9"/>
    <w:rsid w:val="00931587"/>
    <w:rsid w:val="00931658"/>
    <w:rsid w:val="009324F7"/>
    <w:rsid w:val="0093271A"/>
    <w:rsid w:val="00932A75"/>
    <w:rsid w:val="009335AD"/>
    <w:rsid w:val="00933AB1"/>
    <w:rsid w:val="00933F5E"/>
    <w:rsid w:val="00934B5D"/>
    <w:rsid w:val="00934BA4"/>
    <w:rsid w:val="00935112"/>
    <w:rsid w:val="0093520A"/>
    <w:rsid w:val="009353A7"/>
    <w:rsid w:val="00935648"/>
    <w:rsid w:val="00935E50"/>
    <w:rsid w:val="00935F11"/>
    <w:rsid w:val="0093659F"/>
    <w:rsid w:val="009367A5"/>
    <w:rsid w:val="00936E91"/>
    <w:rsid w:val="00936EDA"/>
    <w:rsid w:val="00940ADC"/>
    <w:rsid w:val="00940C12"/>
    <w:rsid w:val="00940F29"/>
    <w:rsid w:val="00940F7C"/>
    <w:rsid w:val="00941F3E"/>
    <w:rsid w:val="0094241F"/>
    <w:rsid w:val="00942458"/>
    <w:rsid w:val="0094281D"/>
    <w:rsid w:val="00943938"/>
    <w:rsid w:val="00943A34"/>
    <w:rsid w:val="00943CD9"/>
    <w:rsid w:val="00943DC8"/>
    <w:rsid w:val="009447C6"/>
    <w:rsid w:val="009448C7"/>
    <w:rsid w:val="00944932"/>
    <w:rsid w:val="00944D43"/>
    <w:rsid w:val="00944FDA"/>
    <w:rsid w:val="00945A1B"/>
    <w:rsid w:val="00945A6C"/>
    <w:rsid w:val="00946C54"/>
    <w:rsid w:val="00950385"/>
    <w:rsid w:val="009506B2"/>
    <w:rsid w:val="00950DCC"/>
    <w:rsid w:val="0095101F"/>
    <w:rsid w:val="00951276"/>
    <w:rsid w:val="00951C9F"/>
    <w:rsid w:val="00951E3D"/>
    <w:rsid w:val="00952AF5"/>
    <w:rsid w:val="00952D94"/>
    <w:rsid w:val="00952DCF"/>
    <w:rsid w:val="0095337C"/>
    <w:rsid w:val="009535FC"/>
    <w:rsid w:val="0095367D"/>
    <w:rsid w:val="00954299"/>
    <w:rsid w:val="00954396"/>
    <w:rsid w:val="00954ABB"/>
    <w:rsid w:val="00954E53"/>
    <w:rsid w:val="0095559D"/>
    <w:rsid w:val="00955ED8"/>
    <w:rsid w:val="00955FEC"/>
    <w:rsid w:val="009560F4"/>
    <w:rsid w:val="00957AE5"/>
    <w:rsid w:val="00957B2A"/>
    <w:rsid w:val="00960115"/>
    <w:rsid w:val="009603E4"/>
    <w:rsid w:val="00960546"/>
    <w:rsid w:val="00960A58"/>
    <w:rsid w:val="009616F6"/>
    <w:rsid w:val="00961740"/>
    <w:rsid w:val="009617FF"/>
    <w:rsid w:val="00961D00"/>
    <w:rsid w:val="00962CAB"/>
    <w:rsid w:val="00962EDD"/>
    <w:rsid w:val="00962FC1"/>
    <w:rsid w:val="009631FE"/>
    <w:rsid w:val="009632C6"/>
    <w:rsid w:val="009638D6"/>
    <w:rsid w:val="009643BB"/>
    <w:rsid w:val="00965E51"/>
    <w:rsid w:val="00966271"/>
    <w:rsid w:val="00966826"/>
    <w:rsid w:val="00966A50"/>
    <w:rsid w:val="00966B8D"/>
    <w:rsid w:val="009672AE"/>
    <w:rsid w:val="009673C1"/>
    <w:rsid w:val="0096750E"/>
    <w:rsid w:val="00967FC6"/>
    <w:rsid w:val="00970222"/>
    <w:rsid w:val="0097131C"/>
    <w:rsid w:val="00971512"/>
    <w:rsid w:val="009716CD"/>
    <w:rsid w:val="009717B0"/>
    <w:rsid w:val="00971EA3"/>
    <w:rsid w:val="00971FDB"/>
    <w:rsid w:val="009722D0"/>
    <w:rsid w:val="00972529"/>
    <w:rsid w:val="009725D3"/>
    <w:rsid w:val="00972615"/>
    <w:rsid w:val="00972700"/>
    <w:rsid w:val="009735B1"/>
    <w:rsid w:val="0097380E"/>
    <w:rsid w:val="00974AF5"/>
    <w:rsid w:val="0097530F"/>
    <w:rsid w:val="00975F32"/>
    <w:rsid w:val="009761F0"/>
    <w:rsid w:val="00976EC4"/>
    <w:rsid w:val="00976FC6"/>
    <w:rsid w:val="00977EF0"/>
    <w:rsid w:val="00977EF5"/>
    <w:rsid w:val="00980531"/>
    <w:rsid w:val="00980586"/>
    <w:rsid w:val="0098061C"/>
    <w:rsid w:val="009809EA"/>
    <w:rsid w:val="00980F75"/>
    <w:rsid w:val="00981392"/>
    <w:rsid w:val="009816B1"/>
    <w:rsid w:val="009817CA"/>
    <w:rsid w:val="00981D9C"/>
    <w:rsid w:val="00981FAB"/>
    <w:rsid w:val="009821DD"/>
    <w:rsid w:val="009824EF"/>
    <w:rsid w:val="0098255B"/>
    <w:rsid w:val="00982D31"/>
    <w:rsid w:val="00982E66"/>
    <w:rsid w:val="00983FF2"/>
    <w:rsid w:val="00984023"/>
    <w:rsid w:val="0098428B"/>
    <w:rsid w:val="009842D3"/>
    <w:rsid w:val="00984CED"/>
    <w:rsid w:val="00985330"/>
    <w:rsid w:val="00985B2D"/>
    <w:rsid w:val="00985F19"/>
    <w:rsid w:val="00986028"/>
    <w:rsid w:val="00986045"/>
    <w:rsid w:val="009863AF"/>
    <w:rsid w:val="0098678E"/>
    <w:rsid w:val="009868B2"/>
    <w:rsid w:val="009874E4"/>
    <w:rsid w:val="009876F5"/>
    <w:rsid w:val="009878A8"/>
    <w:rsid w:val="00987A71"/>
    <w:rsid w:val="00990E87"/>
    <w:rsid w:val="009913CE"/>
    <w:rsid w:val="00991938"/>
    <w:rsid w:val="00991AF5"/>
    <w:rsid w:val="00991B17"/>
    <w:rsid w:val="00991BDE"/>
    <w:rsid w:val="00992595"/>
    <w:rsid w:val="009927B5"/>
    <w:rsid w:val="00992BAE"/>
    <w:rsid w:val="00992CEB"/>
    <w:rsid w:val="00992FBD"/>
    <w:rsid w:val="00993189"/>
    <w:rsid w:val="009932B8"/>
    <w:rsid w:val="0099363F"/>
    <w:rsid w:val="0099415F"/>
    <w:rsid w:val="0099460B"/>
    <w:rsid w:val="009947B1"/>
    <w:rsid w:val="00994AFE"/>
    <w:rsid w:val="0099570D"/>
    <w:rsid w:val="00995D52"/>
    <w:rsid w:val="00996548"/>
    <w:rsid w:val="009968D5"/>
    <w:rsid w:val="00997EB8"/>
    <w:rsid w:val="00997EDA"/>
    <w:rsid w:val="009A0A7A"/>
    <w:rsid w:val="009A1268"/>
    <w:rsid w:val="009A1972"/>
    <w:rsid w:val="009A1C58"/>
    <w:rsid w:val="009A2039"/>
    <w:rsid w:val="009A287C"/>
    <w:rsid w:val="009A3159"/>
    <w:rsid w:val="009A3546"/>
    <w:rsid w:val="009A3763"/>
    <w:rsid w:val="009A3AE9"/>
    <w:rsid w:val="009A4399"/>
    <w:rsid w:val="009A4CE2"/>
    <w:rsid w:val="009A4DDF"/>
    <w:rsid w:val="009A526D"/>
    <w:rsid w:val="009A533B"/>
    <w:rsid w:val="009A54C3"/>
    <w:rsid w:val="009A5669"/>
    <w:rsid w:val="009A5767"/>
    <w:rsid w:val="009A5867"/>
    <w:rsid w:val="009A5AAE"/>
    <w:rsid w:val="009A5E91"/>
    <w:rsid w:val="009A61F4"/>
    <w:rsid w:val="009A6366"/>
    <w:rsid w:val="009A66CD"/>
    <w:rsid w:val="009A7B1F"/>
    <w:rsid w:val="009B070E"/>
    <w:rsid w:val="009B07E1"/>
    <w:rsid w:val="009B08EF"/>
    <w:rsid w:val="009B12AD"/>
    <w:rsid w:val="009B1696"/>
    <w:rsid w:val="009B2126"/>
    <w:rsid w:val="009B2A43"/>
    <w:rsid w:val="009B2BDD"/>
    <w:rsid w:val="009B2E34"/>
    <w:rsid w:val="009B3597"/>
    <w:rsid w:val="009B3968"/>
    <w:rsid w:val="009B3E5A"/>
    <w:rsid w:val="009B3E99"/>
    <w:rsid w:val="009B43EC"/>
    <w:rsid w:val="009B4B09"/>
    <w:rsid w:val="009B4B36"/>
    <w:rsid w:val="009B4CD3"/>
    <w:rsid w:val="009B5A13"/>
    <w:rsid w:val="009B5ACF"/>
    <w:rsid w:val="009B6094"/>
    <w:rsid w:val="009B630E"/>
    <w:rsid w:val="009B7C95"/>
    <w:rsid w:val="009C0027"/>
    <w:rsid w:val="009C13EB"/>
    <w:rsid w:val="009C1879"/>
    <w:rsid w:val="009C19A2"/>
    <w:rsid w:val="009C26ED"/>
    <w:rsid w:val="009C2731"/>
    <w:rsid w:val="009C2801"/>
    <w:rsid w:val="009C42CF"/>
    <w:rsid w:val="009C45A3"/>
    <w:rsid w:val="009C4AA0"/>
    <w:rsid w:val="009C4FF7"/>
    <w:rsid w:val="009C5B6C"/>
    <w:rsid w:val="009C5E9C"/>
    <w:rsid w:val="009C5ECB"/>
    <w:rsid w:val="009C6EFA"/>
    <w:rsid w:val="009C718A"/>
    <w:rsid w:val="009C742D"/>
    <w:rsid w:val="009C7736"/>
    <w:rsid w:val="009C774B"/>
    <w:rsid w:val="009C7884"/>
    <w:rsid w:val="009C7922"/>
    <w:rsid w:val="009C7F32"/>
    <w:rsid w:val="009D06F1"/>
    <w:rsid w:val="009D0F11"/>
    <w:rsid w:val="009D10DA"/>
    <w:rsid w:val="009D122F"/>
    <w:rsid w:val="009D2563"/>
    <w:rsid w:val="009D27AF"/>
    <w:rsid w:val="009D280C"/>
    <w:rsid w:val="009D28C9"/>
    <w:rsid w:val="009D2BB3"/>
    <w:rsid w:val="009D2CCD"/>
    <w:rsid w:val="009D2D19"/>
    <w:rsid w:val="009D3A7A"/>
    <w:rsid w:val="009D4A7A"/>
    <w:rsid w:val="009D4C7F"/>
    <w:rsid w:val="009D4CD4"/>
    <w:rsid w:val="009D4F6E"/>
    <w:rsid w:val="009D54A0"/>
    <w:rsid w:val="009D69AE"/>
    <w:rsid w:val="009D72B0"/>
    <w:rsid w:val="009D736A"/>
    <w:rsid w:val="009E0207"/>
    <w:rsid w:val="009E10D6"/>
    <w:rsid w:val="009E1B32"/>
    <w:rsid w:val="009E1BCF"/>
    <w:rsid w:val="009E2070"/>
    <w:rsid w:val="009E2826"/>
    <w:rsid w:val="009E2AD3"/>
    <w:rsid w:val="009E2FCD"/>
    <w:rsid w:val="009E3087"/>
    <w:rsid w:val="009E3258"/>
    <w:rsid w:val="009E38B3"/>
    <w:rsid w:val="009E3D44"/>
    <w:rsid w:val="009E407F"/>
    <w:rsid w:val="009E5B8F"/>
    <w:rsid w:val="009E5F3E"/>
    <w:rsid w:val="009E6BA7"/>
    <w:rsid w:val="009E76ED"/>
    <w:rsid w:val="009E7894"/>
    <w:rsid w:val="009E7A34"/>
    <w:rsid w:val="009E7A3D"/>
    <w:rsid w:val="009F098B"/>
    <w:rsid w:val="009F174C"/>
    <w:rsid w:val="009F2C20"/>
    <w:rsid w:val="009F2C94"/>
    <w:rsid w:val="009F3100"/>
    <w:rsid w:val="009F3185"/>
    <w:rsid w:val="009F3E70"/>
    <w:rsid w:val="009F427B"/>
    <w:rsid w:val="009F474C"/>
    <w:rsid w:val="009F4D6C"/>
    <w:rsid w:val="009F5675"/>
    <w:rsid w:val="009F58D2"/>
    <w:rsid w:val="009F595A"/>
    <w:rsid w:val="009F5DD4"/>
    <w:rsid w:val="009F631B"/>
    <w:rsid w:val="009F6D95"/>
    <w:rsid w:val="009F6FC4"/>
    <w:rsid w:val="00A0008A"/>
    <w:rsid w:val="00A00D11"/>
    <w:rsid w:val="00A00E59"/>
    <w:rsid w:val="00A0171C"/>
    <w:rsid w:val="00A01729"/>
    <w:rsid w:val="00A02317"/>
    <w:rsid w:val="00A02C9A"/>
    <w:rsid w:val="00A02F62"/>
    <w:rsid w:val="00A036DC"/>
    <w:rsid w:val="00A03C36"/>
    <w:rsid w:val="00A03DC9"/>
    <w:rsid w:val="00A0477B"/>
    <w:rsid w:val="00A0579E"/>
    <w:rsid w:val="00A05B17"/>
    <w:rsid w:val="00A05BCE"/>
    <w:rsid w:val="00A06834"/>
    <w:rsid w:val="00A0780E"/>
    <w:rsid w:val="00A07EE1"/>
    <w:rsid w:val="00A07F82"/>
    <w:rsid w:val="00A107D9"/>
    <w:rsid w:val="00A10BC5"/>
    <w:rsid w:val="00A11D72"/>
    <w:rsid w:val="00A122DB"/>
    <w:rsid w:val="00A12684"/>
    <w:rsid w:val="00A1340C"/>
    <w:rsid w:val="00A1346E"/>
    <w:rsid w:val="00A13A68"/>
    <w:rsid w:val="00A14CC4"/>
    <w:rsid w:val="00A14CD5"/>
    <w:rsid w:val="00A14FB1"/>
    <w:rsid w:val="00A15654"/>
    <w:rsid w:val="00A15DCE"/>
    <w:rsid w:val="00A16014"/>
    <w:rsid w:val="00A162A8"/>
    <w:rsid w:val="00A1651C"/>
    <w:rsid w:val="00A1669D"/>
    <w:rsid w:val="00A16785"/>
    <w:rsid w:val="00A168EF"/>
    <w:rsid w:val="00A170F2"/>
    <w:rsid w:val="00A17279"/>
    <w:rsid w:val="00A174DF"/>
    <w:rsid w:val="00A17547"/>
    <w:rsid w:val="00A2007D"/>
    <w:rsid w:val="00A201D0"/>
    <w:rsid w:val="00A20407"/>
    <w:rsid w:val="00A20C89"/>
    <w:rsid w:val="00A213BA"/>
    <w:rsid w:val="00A21731"/>
    <w:rsid w:val="00A22032"/>
    <w:rsid w:val="00A221EE"/>
    <w:rsid w:val="00A22571"/>
    <w:rsid w:val="00A229F3"/>
    <w:rsid w:val="00A22FC0"/>
    <w:rsid w:val="00A22FFD"/>
    <w:rsid w:val="00A23A52"/>
    <w:rsid w:val="00A24228"/>
    <w:rsid w:val="00A24619"/>
    <w:rsid w:val="00A24B09"/>
    <w:rsid w:val="00A24EB5"/>
    <w:rsid w:val="00A25103"/>
    <w:rsid w:val="00A252DE"/>
    <w:rsid w:val="00A252FB"/>
    <w:rsid w:val="00A254AB"/>
    <w:rsid w:val="00A26933"/>
    <w:rsid w:val="00A26EC9"/>
    <w:rsid w:val="00A30046"/>
    <w:rsid w:val="00A301C8"/>
    <w:rsid w:val="00A303B8"/>
    <w:rsid w:val="00A308A2"/>
    <w:rsid w:val="00A3092D"/>
    <w:rsid w:val="00A309D5"/>
    <w:rsid w:val="00A31699"/>
    <w:rsid w:val="00A316F6"/>
    <w:rsid w:val="00A31CD8"/>
    <w:rsid w:val="00A3213C"/>
    <w:rsid w:val="00A32746"/>
    <w:rsid w:val="00A32AB5"/>
    <w:rsid w:val="00A32D28"/>
    <w:rsid w:val="00A33165"/>
    <w:rsid w:val="00A33791"/>
    <w:rsid w:val="00A34383"/>
    <w:rsid w:val="00A34387"/>
    <w:rsid w:val="00A3490C"/>
    <w:rsid w:val="00A34E55"/>
    <w:rsid w:val="00A35606"/>
    <w:rsid w:val="00A35C0B"/>
    <w:rsid w:val="00A3747D"/>
    <w:rsid w:val="00A37888"/>
    <w:rsid w:val="00A37B5E"/>
    <w:rsid w:val="00A40D6F"/>
    <w:rsid w:val="00A412CD"/>
    <w:rsid w:val="00A41383"/>
    <w:rsid w:val="00A41B14"/>
    <w:rsid w:val="00A41DDF"/>
    <w:rsid w:val="00A41E9F"/>
    <w:rsid w:val="00A42238"/>
    <w:rsid w:val="00A4304B"/>
    <w:rsid w:val="00A43290"/>
    <w:rsid w:val="00A432D1"/>
    <w:rsid w:val="00A43D58"/>
    <w:rsid w:val="00A44071"/>
    <w:rsid w:val="00A44505"/>
    <w:rsid w:val="00A4490E"/>
    <w:rsid w:val="00A44D4E"/>
    <w:rsid w:val="00A45667"/>
    <w:rsid w:val="00A4566C"/>
    <w:rsid w:val="00A461A5"/>
    <w:rsid w:val="00A461EE"/>
    <w:rsid w:val="00A4697B"/>
    <w:rsid w:val="00A46C4E"/>
    <w:rsid w:val="00A46D9A"/>
    <w:rsid w:val="00A470B1"/>
    <w:rsid w:val="00A478E8"/>
    <w:rsid w:val="00A47900"/>
    <w:rsid w:val="00A5006F"/>
    <w:rsid w:val="00A50650"/>
    <w:rsid w:val="00A50A97"/>
    <w:rsid w:val="00A50BEA"/>
    <w:rsid w:val="00A50DFC"/>
    <w:rsid w:val="00A51164"/>
    <w:rsid w:val="00A512FC"/>
    <w:rsid w:val="00A515B2"/>
    <w:rsid w:val="00A515C4"/>
    <w:rsid w:val="00A51C49"/>
    <w:rsid w:val="00A51E39"/>
    <w:rsid w:val="00A524B1"/>
    <w:rsid w:val="00A52F8C"/>
    <w:rsid w:val="00A538F6"/>
    <w:rsid w:val="00A539AD"/>
    <w:rsid w:val="00A53D0E"/>
    <w:rsid w:val="00A5449E"/>
    <w:rsid w:val="00A54B05"/>
    <w:rsid w:val="00A5597F"/>
    <w:rsid w:val="00A55B53"/>
    <w:rsid w:val="00A563C9"/>
    <w:rsid w:val="00A564AF"/>
    <w:rsid w:val="00A56855"/>
    <w:rsid w:val="00A57655"/>
    <w:rsid w:val="00A57C64"/>
    <w:rsid w:val="00A57D99"/>
    <w:rsid w:val="00A57DA1"/>
    <w:rsid w:val="00A57FB0"/>
    <w:rsid w:val="00A602E3"/>
    <w:rsid w:val="00A608DF"/>
    <w:rsid w:val="00A60FAE"/>
    <w:rsid w:val="00A61007"/>
    <w:rsid w:val="00A614F6"/>
    <w:rsid w:val="00A62269"/>
    <w:rsid w:val="00A628A3"/>
    <w:rsid w:val="00A62911"/>
    <w:rsid w:val="00A629A3"/>
    <w:rsid w:val="00A62F84"/>
    <w:rsid w:val="00A640A9"/>
    <w:rsid w:val="00A64A70"/>
    <w:rsid w:val="00A64B6F"/>
    <w:rsid w:val="00A65034"/>
    <w:rsid w:val="00A658FF"/>
    <w:rsid w:val="00A6599A"/>
    <w:rsid w:val="00A65D9A"/>
    <w:rsid w:val="00A673D9"/>
    <w:rsid w:val="00A67776"/>
    <w:rsid w:val="00A6789E"/>
    <w:rsid w:val="00A67A9C"/>
    <w:rsid w:val="00A67EC4"/>
    <w:rsid w:val="00A708EB"/>
    <w:rsid w:val="00A71029"/>
    <w:rsid w:val="00A713DE"/>
    <w:rsid w:val="00A7143D"/>
    <w:rsid w:val="00A71638"/>
    <w:rsid w:val="00A71866"/>
    <w:rsid w:val="00A71B61"/>
    <w:rsid w:val="00A72279"/>
    <w:rsid w:val="00A723B1"/>
    <w:rsid w:val="00A724BE"/>
    <w:rsid w:val="00A7273A"/>
    <w:rsid w:val="00A72964"/>
    <w:rsid w:val="00A729E3"/>
    <w:rsid w:val="00A72E7F"/>
    <w:rsid w:val="00A735F1"/>
    <w:rsid w:val="00A73608"/>
    <w:rsid w:val="00A747DA"/>
    <w:rsid w:val="00A753E4"/>
    <w:rsid w:val="00A759B0"/>
    <w:rsid w:val="00A75A41"/>
    <w:rsid w:val="00A760F4"/>
    <w:rsid w:val="00A7639E"/>
    <w:rsid w:val="00A76E71"/>
    <w:rsid w:val="00A7715C"/>
    <w:rsid w:val="00A774F2"/>
    <w:rsid w:val="00A800F2"/>
    <w:rsid w:val="00A8069F"/>
    <w:rsid w:val="00A80CA0"/>
    <w:rsid w:val="00A80F26"/>
    <w:rsid w:val="00A81035"/>
    <w:rsid w:val="00A81516"/>
    <w:rsid w:val="00A8181F"/>
    <w:rsid w:val="00A81B38"/>
    <w:rsid w:val="00A821C8"/>
    <w:rsid w:val="00A82771"/>
    <w:rsid w:val="00A82822"/>
    <w:rsid w:val="00A82845"/>
    <w:rsid w:val="00A829BB"/>
    <w:rsid w:val="00A82AA7"/>
    <w:rsid w:val="00A83039"/>
    <w:rsid w:val="00A8344D"/>
    <w:rsid w:val="00A835CD"/>
    <w:rsid w:val="00A83D4E"/>
    <w:rsid w:val="00A8408E"/>
    <w:rsid w:val="00A844E4"/>
    <w:rsid w:val="00A847DF"/>
    <w:rsid w:val="00A857BD"/>
    <w:rsid w:val="00A857DD"/>
    <w:rsid w:val="00A85AFE"/>
    <w:rsid w:val="00A85E4C"/>
    <w:rsid w:val="00A8611E"/>
    <w:rsid w:val="00A8685C"/>
    <w:rsid w:val="00A86F84"/>
    <w:rsid w:val="00A86FF4"/>
    <w:rsid w:val="00A87270"/>
    <w:rsid w:val="00A87504"/>
    <w:rsid w:val="00A879BA"/>
    <w:rsid w:val="00A87B1A"/>
    <w:rsid w:val="00A87D16"/>
    <w:rsid w:val="00A90101"/>
    <w:rsid w:val="00A902CF"/>
    <w:rsid w:val="00A90F19"/>
    <w:rsid w:val="00A91EAD"/>
    <w:rsid w:val="00A9205E"/>
    <w:rsid w:val="00A92347"/>
    <w:rsid w:val="00A92879"/>
    <w:rsid w:val="00A92955"/>
    <w:rsid w:val="00A92B5C"/>
    <w:rsid w:val="00A930E3"/>
    <w:rsid w:val="00A931A4"/>
    <w:rsid w:val="00A94318"/>
    <w:rsid w:val="00A94F5C"/>
    <w:rsid w:val="00A953C0"/>
    <w:rsid w:val="00A95C29"/>
    <w:rsid w:val="00A960B6"/>
    <w:rsid w:val="00A963BB"/>
    <w:rsid w:val="00A97120"/>
    <w:rsid w:val="00A97164"/>
    <w:rsid w:val="00A97464"/>
    <w:rsid w:val="00A979F1"/>
    <w:rsid w:val="00A97CCE"/>
    <w:rsid w:val="00AA009F"/>
    <w:rsid w:val="00AA053E"/>
    <w:rsid w:val="00AA0999"/>
    <w:rsid w:val="00AA09A3"/>
    <w:rsid w:val="00AA1112"/>
    <w:rsid w:val="00AA127F"/>
    <w:rsid w:val="00AA1A96"/>
    <w:rsid w:val="00AA1BB2"/>
    <w:rsid w:val="00AA203C"/>
    <w:rsid w:val="00AA20E0"/>
    <w:rsid w:val="00AA2599"/>
    <w:rsid w:val="00AA2FD9"/>
    <w:rsid w:val="00AA39C4"/>
    <w:rsid w:val="00AA3B33"/>
    <w:rsid w:val="00AA3E8F"/>
    <w:rsid w:val="00AA408E"/>
    <w:rsid w:val="00AA40DE"/>
    <w:rsid w:val="00AA4849"/>
    <w:rsid w:val="00AA52A2"/>
    <w:rsid w:val="00AA531B"/>
    <w:rsid w:val="00AA5451"/>
    <w:rsid w:val="00AA5FBA"/>
    <w:rsid w:val="00AA6100"/>
    <w:rsid w:val="00AA645A"/>
    <w:rsid w:val="00AA6746"/>
    <w:rsid w:val="00AA72E5"/>
    <w:rsid w:val="00AA739B"/>
    <w:rsid w:val="00AA73DE"/>
    <w:rsid w:val="00AA7C2A"/>
    <w:rsid w:val="00AB0F1B"/>
    <w:rsid w:val="00AB1C8E"/>
    <w:rsid w:val="00AB298D"/>
    <w:rsid w:val="00AB2BC5"/>
    <w:rsid w:val="00AB2C21"/>
    <w:rsid w:val="00AB2F2F"/>
    <w:rsid w:val="00AB3576"/>
    <w:rsid w:val="00AB3FA4"/>
    <w:rsid w:val="00AB426F"/>
    <w:rsid w:val="00AB46D6"/>
    <w:rsid w:val="00AB4898"/>
    <w:rsid w:val="00AB49D7"/>
    <w:rsid w:val="00AB52EC"/>
    <w:rsid w:val="00AB58F4"/>
    <w:rsid w:val="00AB674A"/>
    <w:rsid w:val="00AB6DC9"/>
    <w:rsid w:val="00AB6FA1"/>
    <w:rsid w:val="00AB713F"/>
    <w:rsid w:val="00AB745E"/>
    <w:rsid w:val="00AC026B"/>
    <w:rsid w:val="00AC03BC"/>
    <w:rsid w:val="00AC08A7"/>
    <w:rsid w:val="00AC1552"/>
    <w:rsid w:val="00AC1563"/>
    <w:rsid w:val="00AC168B"/>
    <w:rsid w:val="00AC1958"/>
    <w:rsid w:val="00AC1C4E"/>
    <w:rsid w:val="00AC24A6"/>
    <w:rsid w:val="00AC2586"/>
    <w:rsid w:val="00AC25A3"/>
    <w:rsid w:val="00AC2F75"/>
    <w:rsid w:val="00AC31AD"/>
    <w:rsid w:val="00AC3397"/>
    <w:rsid w:val="00AC3A5E"/>
    <w:rsid w:val="00AC3B61"/>
    <w:rsid w:val="00AC3D27"/>
    <w:rsid w:val="00AC3F33"/>
    <w:rsid w:val="00AC4201"/>
    <w:rsid w:val="00AC4395"/>
    <w:rsid w:val="00AC4408"/>
    <w:rsid w:val="00AC460E"/>
    <w:rsid w:val="00AC4B22"/>
    <w:rsid w:val="00AC4E9B"/>
    <w:rsid w:val="00AC5CC5"/>
    <w:rsid w:val="00AC73FB"/>
    <w:rsid w:val="00AC7C2F"/>
    <w:rsid w:val="00AD0810"/>
    <w:rsid w:val="00AD0831"/>
    <w:rsid w:val="00AD22D8"/>
    <w:rsid w:val="00AD2D84"/>
    <w:rsid w:val="00AD2F2A"/>
    <w:rsid w:val="00AD32AC"/>
    <w:rsid w:val="00AD383B"/>
    <w:rsid w:val="00AD3D90"/>
    <w:rsid w:val="00AD45AA"/>
    <w:rsid w:val="00AD4920"/>
    <w:rsid w:val="00AD4B3E"/>
    <w:rsid w:val="00AD4FB0"/>
    <w:rsid w:val="00AD56A2"/>
    <w:rsid w:val="00AD62BB"/>
    <w:rsid w:val="00AD6970"/>
    <w:rsid w:val="00AD722B"/>
    <w:rsid w:val="00AD7FDE"/>
    <w:rsid w:val="00AE02E5"/>
    <w:rsid w:val="00AE0407"/>
    <w:rsid w:val="00AE07DF"/>
    <w:rsid w:val="00AE08BB"/>
    <w:rsid w:val="00AE0A7D"/>
    <w:rsid w:val="00AE10A2"/>
    <w:rsid w:val="00AE127D"/>
    <w:rsid w:val="00AE15B9"/>
    <w:rsid w:val="00AE1755"/>
    <w:rsid w:val="00AE1B23"/>
    <w:rsid w:val="00AE1BF5"/>
    <w:rsid w:val="00AE1C43"/>
    <w:rsid w:val="00AE2041"/>
    <w:rsid w:val="00AE20C9"/>
    <w:rsid w:val="00AE2DC3"/>
    <w:rsid w:val="00AE2F7D"/>
    <w:rsid w:val="00AE2FBE"/>
    <w:rsid w:val="00AE3426"/>
    <w:rsid w:val="00AE357F"/>
    <w:rsid w:val="00AE38DB"/>
    <w:rsid w:val="00AE3CE4"/>
    <w:rsid w:val="00AE4D6B"/>
    <w:rsid w:val="00AE5A56"/>
    <w:rsid w:val="00AE5C89"/>
    <w:rsid w:val="00AE642D"/>
    <w:rsid w:val="00AE65B2"/>
    <w:rsid w:val="00AE6B50"/>
    <w:rsid w:val="00AE74EB"/>
    <w:rsid w:val="00AE7AA6"/>
    <w:rsid w:val="00AF0217"/>
    <w:rsid w:val="00AF03A2"/>
    <w:rsid w:val="00AF0578"/>
    <w:rsid w:val="00AF0861"/>
    <w:rsid w:val="00AF0DB2"/>
    <w:rsid w:val="00AF1319"/>
    <w:rsid w:val="00AF1507"/>
    <w:rsid w:val="00AF1D63"/>
    <w:rsid w:val="00AF1EB2"/>
    <w:rsid w:val="00AF1ED1"/>
    <w:rsid w:val="00AF21C2"/>
    <w:rsid w:val="00AF239F"/>
    <w:rsid w:val="00AF3B0F"/>
    <w:rsid w:val="00AF3E3E"/>
    <w:rsid w:val="00AF3F41"/>
    <w:rsid w:val="00AF4506"/>
    <w:rsid w:val="00AF46BC"/>
    <w:rsid w:val="00AF4A41"/>
    <w:rsid w:val="00AF4F5E"/>
    <w:rsid w:val="00AF5514"/>
    <w:rsid w:val="00AF55FC"/>
    <w:rsid w:val="00AF5A81"/>
    <w:rsid w:val="00AF5F85"/>
    <w:rsid w:val="00AF62E3"/>
    <w:rsid w:val="00AF68BF"/>
    <w:rsid w:val="00AF6DB8"/>
    <w:rsid w:val="00B003DD"/>
    <w:rsid w:val="00B00849"/>
    <w:rsid w:val="00B008AE"/>
    <w:rsid w:val="00B00D8A"/>
    <w:rsid w:val="00B00E90"/>
    <w:rsid w:val="00B00EAD"/>
    <w:rsid w:val="00B01090"/>
    <w:rsid w:val="00B012EB"/>
    <w:rsid w:val="00B01945"/>
    <w:rsid w:val="00B024F5"/>
    <w:rsid w:val="00B02847"/>
    <w:rsid w:val="00B02A8E"/>
    <w:rsid w:val="00B031C8"/>
    <w:rsid w:val="00B03EC3"/>
    <w:rsid w:val="00B03F6F"/>
    <w:rsid w:val="00B050CE"/>
    <w:rsid w:val="00B055CD"/>
    <w:rsid w:val="00B056DA"/>
    <w:rsid w:val="00B05F4E"/>
    <w:rsid w:val="00B05F5E"/>
    <w:rsid w:val="00B06317"/>
    <w:rsid w:val="00B06856"/>
    <w:rsid w:val="00B0712B"/>
    <w:rsid w:val="00B0713D"/>
    <w:rsid w:val="00B072B0"/>
    <w:rsid w:val="00B074E3"/>
    <w:rsid w:val="00B100CE"/>
    <w:rsid w:val="00B10770"/>
    <w:rsid w:val="00B109C8"/>
    <w:rsid w:val="00B10CAC"/>
    <w:rsid w:val="00B10F3A"/>
    <w:rsid w:val="00B11902"/>
    <w:rsid w:val="00B11BE8"/>
    <w:rsid w:val="00B13114"/>
    <w:rsid w:val="00B13365"/>
    <w:rsid w:val="00B13B6F"/>
    <w:rsid w:val="00B13C90"/>
    <w:rsid w:val="00B1463F"/>
    <w:rsid w:val="00B1469E"/>
    <w:rsid w:val="00B146F2"/>
    <w:rsid w:val="00B15374"/>
    <w:rsid w:val="00B153E0"/>
    <w:rsid w:val="00B15ECD"/>
    <w:rsid w:val="00B16234"/>
    <w:rsid w:val="00B16C2A"/>
    <w:rsid w:val="00B177AF"/>
    <w:rsid w:val="00B17AC0"/>
    <w:rsid w:val="00B17E73"/>
    <w:rsid w:val="00B20198"/>
    <w:rsid w:val="00B20664"/>
    <w:rsid w:val="00B21202"/>
    <w:rsid w:val="00B21298"/>
    <w:rsid w:val="00B21749"/>
    <w:rsid w:val="00B21F12"/>
    <w:rsid w:val="00B21F57"/>
    <w:rsid w:val="00B22A39"/>
    <w:rsid w:val="00B22E53"/>
    <w:rsid w:val="00B23D9D"/>
    <w:rsid w:val="00B244C4"/>
    <w:rsid w:val="00B24A2A"/>
    <w:rsid w:val="00B24B43"/>
    <w:rsid w:val="00B25179"/>
    <w:rsid w:val="00B255A0"/>
    <w:rsid w:val="00B2596D"/>
    <w:rsid w:val="00B261B2"/>
    <w:rsid w:val="00B262E0"/>
    <w:rsid w:val="00B2661B"/>
    <w:rsid w:val="00B2725F"/>
    <w:rsid w:val="00B2767E"/>
    <w:rsid w:val="00B27AD3"/>
    <w:rsid w:val="00B30190"/>
    <w:rsid w:val="00B3024C"/>
    <w:rsid w:val="00B30A76"/>
    <w:rsid w:val="00B3109A"/>
    <w:rsid w:val="00B31526"/>
    <w:rsid w:val="00B31600"/>
    <w:rsid w:val="00B31F0D"/>
    <w:rsid w:val="00B32A7B"/>
    <w:rsid w:val="00B32C01"/>
    <w:rsid w:val="00B3354E"/>
    <w:rsid w:val="00B34372"/>
    <w:rsid w:val="00B345C8"/>
    <w:rsid w:val="00B348D3"/>
    <w:rsid w:val="00B34950"/>
    <w:rsid w:val="00B34A56"/>
    <w:rsid w:val="00B34FA5"/>
    <w:rsid w:val="00B35033"/>
    <w:rsid w:val="00B35056"/>
    <w:rsid w:val="00B352AB"/>
    <w:rsid w:val="00B35386"/>
    <w:rsid w:val="00B3559B"/>
    <w:rsid w:val="00B35815"/>
    <w:rsid w:val="00B35C8E"/>
    <w:rsid w:val="00B35CB0"/>
    <w:rsid w:val="00B36368"/>
    <w:rsid w:val="00B36EB3"/>
    <w:rsid w:val="00B37011"/>
    <w:rsid w:val="00B370D7"/>
    <w:rsid w:val="00B37461"/>
    <w:rsid w:val="00B3784C"/>
    <w:rsid w:val="00B37E0C"/>
    <w:rsid w:val="00B40561"/>
    <w:rsid w:val="00B40674"/>
    <w:rsid w:val="00B41414"/>
    <w:rsid w:val="00B41EB3"/>
    <w:rsid w:val="00B42B26"/>
    <w:rsid w:val="00B42BFA"/>
    <w:rsid w:val="00B43404"/>
    <w:rsid w:val="00B43668"/>
    <w:rsid w:val="00B4456A"/>
    <w:rsid w:val="00B44A52"/>
    <w:rsid w:val="00B4514D"/>
    <w:rsid w:val="00B4520D"/>
    <w:rsid w:val="00B45272"/>
    <w:rsid w:val="00B45482"/>
    <w:rsid w:val="00B46065"/>
    <w:rsid w:val="00B46DA7"/>
    <w:rsid w:val="00B47105"/>
    <w:rsid w:val="00B473C6"/>
    <w:rsid w:val="00B475D6"/>
    <w:rsid w:val="00B478B1"/>
    <w:rsid w:val="00B479E6"/>
    <w:rsid w:val="00B47ABB"/>
    <w:rsid w:val="00B47F62"/>
    <w:rsid w:val="00B501BA"/>
    <w:rsid w:val="00B515C4"/>
    <w:rsid w:val="00B5211F"/>
    <w:rsid w:val="00B5303D"/>
    <w:rsid w:val="00B53845"/>
    <w:rsid w:val="00B541EC"/>
    <w:rsid w:val="00B54499"/>
    <w:rsid w:val="00B54796"/>
    <w:rsid w:val="00B54D3D"/>
    <w:rsid w:val="00B54E3A"/>
    <w:rsid w:val="00B551C1"/>
    <w:rsid w:val="00B55333"/>
    <w:rsid w:val="00B55460"/>
    <w:rsid w:val="00B5562B"/>
    <w:rsid w:val="00B57560"/>
    <w:rsid w:val="00B575A4"/>
    <w:rsid w:val="00B57869"/>
    <w:rsid w:val="00B57AEC"/>
    <w:rsid w:val="00B57EB5"/>
    <w:rsid w:val="00B603D1"/>
    <w:rsid w:val="00B60CD4"/>
    <w:rsid w:val="00B61705"/>
    <w:rsid w:val="00B62C95"/>
    <w:rsid w:val="00B63019"/>
    <w:rsid w:val="00B642E2"/>
    <w:rsid w:val="00B64832"/>
    <w:rsid w:val="00B64E39"/>
    <w:rsid w:val="00B6595D"/>
    <w:rsid w:val="00B65C10"/>
    <w:rsid w:val="00B66075"/>
    <w:rsid w:val="00B66432"/>
    <w:rsid w:val="00B664CF"/>
    <w:rsid w:val="00B66B7B"/>
    <w:rsid w:val="00B66D6E"/>
    <w:rsid w:val="00B66E82"/>
    <w:rsid w:val="00B67355"/>
    <w:rsid w:val="00B6752C"/>
    <w:rsid w:val="00B67CCB"/>
    <w:rsid w:val="00B7012A"/>
    <w:rsid w:val="00B702B1"/>
    <w:rsid w:val="00B704F1"/>
    <w:rsid w:val="00B70A6F"/>
    <w:rsid w:val="00B71035"/>
    <w:rsid w:val="00B713B8"/>
    <w:rsid w:val="00B71B6E"/>
    <w:rsid w:val="00B71C74"/>
    <w:rsid w:val="00B72268"/>
    <w:rsid w:val="00B72690"/>
    <w:rsid w:val="00B72C63"/>
    <w:rsid w:val="00B73ACB"/>
    <w:rsid w:val="00B7442A"/>
    <w:rsid w:val="00B749B5"/>
    <w:rsid w:val="00B75284"/>
    <w:rsid w:val="00B756B9"/>
    <w:rsid w:val="00B75C9F"/>
    <w:rsid w:val="00B7616F"/>
    <w:rsid w:val="00B76398"/>
    <w:rsid w:val="00B7677D"/>
    <w:rsid w:val="00B7679A"/>
    <w:rsid w:val="00B767EA"/>
    <w:rsid w:val="00B77305"/>
    <w:rsid w:val="00B777FE"/>
    <w:rsid w:val="00B77A1A"/>
    <w:rsid w:val="00B77E23"/>
    <w:rsid w:val="00B8037C"/>
    <w:rsid w:val="00B80AFA"/>
    <w:rsid w:val="00B810CA"/>
    <w:rsid w:val="00B81E4D"/>
    <w:rsid w:val="00B81F0E"/>
    <w:rsid w:val="00B82165"/>
    <w:rsid w:val="00B825E7"/>
    <w:rsid w:val="00B82889"/>
    <w:rsid w:val="00B82A84"/>
    <w:rsid w:val="00B82DAC"/>
    <w:rsid w:val="00B83316"/>
    <w:rsid w:val="00B839A3"/>
    <w:rsid w:val="00B83BE3"/>
    <w:rsid w:val="00B841A8"/>
    <w:rsid w:val="00B8468D"/>
    <w:rsid w:val="00B84953"/>
    <w:rsid w:val="00B85C7F"/>
    <w:rsid w:val="00B86102"/>
    <w:rsid w:val="00B8676F"/>
    <w:rsid w:val="00B869D3"/>
    <w:rsid w:val="00B87430"/>
    <w:rsid w:val="00B87AE2"/>
    <w:rsid w:val="00B91134"/>
    <w:rsid w:val="00B9142D"/>
    <w:rsid w:val="00B9230B"/>
    <w:rsid w:val="00B92479"/>
    <w:rsid w:val="00B9302F"/>
    <w:rsid w:val="00B93586"/>
    <w:rsid w:val="00B94477"/>
    <w:rsid w:val="00B9467E"/>
    <w:rsid w:val="00B94715"/>
    <w:rsid w:val="00B949B1"/>
    <w:rsid w:val="00B94A54"/>
    <w:rsid w:val="00B9562B"/>
    <w:rsid w:val="00B95828"/>
    <w:rsid w:val="00B96584"/>
    <w:rsid w:val="00B96C44"/>
    <w:rsid w:val="00B96DAD"/>
    <w:rsid w:val="00B96EFE"/>
    <w:rsid w:val="00B96FE5"/>
    <w:rsid w:val="00B9701A"/>
    <w:rsid w:val="00B97D1D"/>
    <w:rsid w:val="00B97FED"/>
    <w:rsid w:val="00BA175C"/>
    <w:rsid w:val="00BA18F8"/>
    <w:rsid w:val="00BA1DAC"/>
    <w:rsid w:val="00BA226E"/>
    <w:rsid w:val="00BA26EE"/>
    <w:rsid w:val="00BA2D1B"/>
    <w:rsid w:val="00BA3102"/>
    <w:rsid w:val="00BA3626"/>
    <w:rsid w:val="00BA371A"/>
    <w:rsid w:val="00BA39EF"/>
    <w:rsid w:val="00BA40EA"/>
    <w:rsid w:val="00BA4313"/>
    <w:rsid w:val="00BA4B1A"/>
    <w:rsid w:val="00BA4B3C"/>
    <w:rsid w:val="00BA4B55"/>
    <w:rsid w:val="00BA4BB7"/>
    <w:rsid w:val="00BA50F3"/>
    <w:rsid w:val="00BA5880"/>
    <w:rsid w:val="00BA5BEE"/>
    <w:rsid w:val="00BA5E20"/>
    <w:rsid w:val="00BA634E"/>
    <w:rsid w:val="00BA717E"/>
    <w:rsid w:val="00BA7AEC"/>
    <w:rsid w:val="00BA7C7F"/>
    <w:rsid w:val="00BA7DA7"/>
    <w:rsid w:val="00BA7DAC"/>
    <w:rsid w:val="00BB0A90"/>
    <w:rsid w:val="00BB0C4C"/>
    <w:rsid w:val="00BB0FDB"/>
    <w:rsid w:val="00BB10AE"/>
    <w:rsid w:val="00BB1D74"/>
    <w:rsid w:val="00BB1DA0"/>
    <w:rsid w:val="00BB21D2"/>
    <w:rsid w:val="00BB280A"/>
    <w:rsid w:val="00BB2D78"/>
    <w:rsid w:val="00BB2FC8"/>
    <w:rsid w:val="00BB378B"/>
    <w:rsid w:val="00BB3F4A"/>
    <w:rsid w:val="00BB4202"/>
    <w:rsid w:val="00BB4570"/>
    <w:rsid w:val="00BB48BC"/>
    <w:rsid w:val="00BB4C24"/>
    <w:rsid w:val="00BB4D77"/>
    <w:rsid w:val="00BB4FBC"/>
    <w:rsid w:val="00BB524B"/>
    <w:rsid w:val="00BB53F7"/>
    <w:rsid w:val="00BB545C"/>
    <w:rsid w:val="00BB571A"/>
    <w:rsid w:val="00BB593A"/>
    <w:rsid w:val="00BB6227"/>
    <w:rsid w:val="00BB6843"/>
    <w:rsid w:val="00BB707F"/>
    <w:rsid w:val="00BB7720"/>
    <w:rsid w:val="00BB7F86"/>
    <w:rsid w:val="00BC078F"/>
    <w:rsid w:val="00BC13FE"/>
    <w:rsid w:val="00BC142F"/>
    <w:rsid w:val="00BC15F9"/>
    <w:rsid w:val="00BC2509"/>
    <w:rsid w:val="00BC2AB4"/>
    <w:rsid w:val="00BC2B27"/>
    <w:rsid w:val="00BC3107"/>
    <w:rsid w:val="00BC3217"/>
    <w:rsid w:val="00BC34D0"/>
    <w:rsid w:val="00BC3642"/>
    <w:rsid w:val="00BC3EA9"/>
    <w:rsid w:val="00BC4431"/>
    <w:rsid w:val="00BC4509"/>
    <w:rsid w:val="00BC4AEF"/>
    <w:rsid w:val="00BC5439"/>
    <w:rsid w:val="00BC5C79"/>
    <w:rsid w:val="00BC6082"/>
    <w:rsid w:val="00BC61BD"/>
    <w:rsid w:val="00BC65EA"/>
    <w:rsid w:val="00BC6903"/>
    <w:rsid w:val="00BC7620"/>
    <w:rsid w:val="00BD0727"/>
    <w:rsid w:val="00BD1114"/>
    <w:rsid w:val="00BD1169"/>
    <w:rsid w:val="00BD13B9"/>
    <w:rsid w:val="00BD14BA"/>
    <w:rsid w:val="00BD192E"/>
    <w:rsid w:val="00BD1EB7"/>
    <w:rsid w:val="00BD29B2"/>
    <w:rsid w:val="00BD2F1E"/>
    <w:rsid w:val="00BD3094"/>
    <w:rsid w:val="00BD37E1"/>
    <w:rsid w:val="00BD4F93"/>
    <w:rsid w:val="00BD577B"/>
    <w:rsid w:val="00BD592A"/>
    <w:rsid w:val="00BD592D"/>
    <w:rsid w:val="00BD5CAD"/>
    <w:rsid w:val="00BD6E1C"/>
    <w:rsid w:val="00BD7064"/>
    <w:rsid w:val="00BD733D"/>
    <w:rsid w:val="00BD749C"/>
    <w:rsid w:val="00BD76B5"/>
    <w:rsid w:val="00BD785A"/>
    <w:rsid w:val="00BD79C5"/>
    <w:rsid w:val="00BD7A53"/>
    <w:rsid w:val="00BE038B"/>
    <w:rsid w:val="00BE0737"/>
    <w:rsid w:val="00BE09B7"/>
    <w:rsid w:val="00BE0CB1"/>
    <w:rsid w:val="00BE0F6A"/>
    <w:rsid w:val="00BE17E6"/>
    <w:rsid w:val="00BE1936"/>
    <w:rsid w:val="00BE1C11"/>
    <w:rsid w:val="00BE1D00"/>
    <w:rsid w:val="00BE2599"/>
    <w:rsid w:val="00BE2BDF"/>
    <w:rsid w:val="00BE3435"/>
    <w:rsid w:val="00BE3AC5"/>
    <w:rsid w:val="00BE3EAA"/>
    <w:rsid w:val="00BE410D"/>
    <w:rsid w:val="00BE46B5"/>
    <w:rsid w:val="00BE47D2"/>
    <w:rsid w:val="00BE5076"/>
    <w:rsid w:val="00BE5677"/>
    <w:rsid w:val="00BE5C93"/>
    <w:rsid w:val="00BE6B26"/>
    <w:rsid w:val="00BE6DB6"/>
    <w:rsid w:val="00BE72EE"/>
    <w:rsid w:val="00BE733D"/>
    <w:rsid w:val="00BE76BA"/>
    <w:rsid w:val="00BF02E4"/>
    <w:rsid w:val="00BF0536"/>
    <w:rsid w:val="00BF073B"/>
    <w:rsid w:val="00BF0959"/>
    <w:rsid w:val="00BF132B"/>
    <w:rsid w:val="00BF138D"/>
    <w:rsid w:val="00BF15C9"/>
    <w:rsid w:val="00BF24C0"/>
    <w:rsid w:val="00BF2808"/>
    <w:rsid w:val="00BF2C56"/>
    <w:rsid w:val="00BF2FD0"/>
    <w:rsid w:val="00BF32AF"/>
    <w:rsid w:val="00BF3327"/>
    <w:rsid w:val="00BF354D"/>
    <w:rsid w:val="00BF3931"/>
    <w:rsid w:val="00BF56A2"/>
    <w:rsid w:val="00BF5D0A"/>
    <w:rsid w:val="00BF5D49"/>
    <w:rsid w:val="00BF63C5"/>
    <w:rsid w:val="00BF6BC3"/>
    <w:rsid w:val="00BF6C82"/>
    <w:rsid w:val="00BF6CE6"/>
    <w:rsid w:val="00BF793F"/>
    <w:rsid w:val="00BF7DEA"/>
    <w:rsid w:val="00C0092E"/>
    <w:rsid w:val="00C01F6C"/>
    <w:rsid w:val="00C02B43"/>
    <w:rsid w:val="00C02B63"/>
    <w:rsid w:val="00C02B81"/>
    <w:rsid w:val="00C0337F"/>
    <w:rsid w:val="00C036D5"/>
    <w:rsid w:val="00C038BC"/>
    <w:rsid w:val="00C04B3C"/>
    <w:rsid w:val="00C05091"/>
    <w:rsid w:val="00C051DB"/>
    <w:rsid w:val="00C05F8D"/>
    <w:rsid w:val="00C06E68"/>
    <w:rsid w:val="00C07047"/>
    <w:rsid w:val="00C077A6"/>
    <w:rsid w:val="00C07CF9"/>
    <w:rsid w:val="00C07D59"/>
    <w:rsid w:val="00C07E3D"/>
    <w:rsid w:val="00C07FB2"/>
    <w:rsid w:val="00C10326"/>
    <w:rsid w:val="00C1069E"/>
    <w:rsid w:val="00C10A5B"/>
    <w:rsid w:val="00C1112D"/>
    <w:rsid w:val="00C1214E"/>
    <w:rsid w:val="00C12FAA"/>
    <w:rsid w:val="00C14329"/>
    <w:rsid w:val="00C1459D"/>
    <w:rsid w:val="00C145D3"/>
    <w:rsid w:val="00C15258"/>
    <w:rsid w:val="00C15661"/>
    <w:rsid w:val="00C158A5"/>
    <w:rsid w:val="00C15C2B"/>
    <w:rsid w:val="00C16728"/>
    <w:rsid w:val="00C16DC6"/>
    <w:rsid w:val="00C1700B"/>
    <w:rsid w:val="00C17639"/>
    <w:rsid w:val="00C17C48"/>
    <w:rsid w:val="00C20158"/>
    <w:rsid w:val="00C204F3"/>
    <w:rsid w:val="00C20649"/>
    <w:rsid w:val="00C206E5"/>
    <w:rsid w:val="00C207CA"/>
    <w:rsid w:val="00C20DC0"/>
    <w:rsid w:val="00C2121E"/>
    <w:rsid w:val="00C21317"/>
    <w:rsid w:val="00C213BC"/>
    <w:rsid w:val="00C21661"/>
    <w:rsid w:val="00C21782"/>
    <w:rsid w:val="00C21899"/>
    <w:rsid w:val="00C21F33"/>
    <w:rsid w:val="00C224BE"/>
    <w:rsid w:val="00C22A17"/>
    <w:rsid w:val="00C2317A"/>
    <w:rsid w:val="00C23852"/>
    <w:rsid w:val="00C23A26"/>
    <w:rsid w:val="00C23B5E"/>
    <w:rsid w:val="00C24A6A"/>
    <w:rsid w:val="00C25293"/>
    <w:rsid w:val="00C2544C"/>
    <w:rsid w:val="00C25A1A"/>
    <w:rsid w:val="00C2678A"/>
    <w:rsid w:val="00C26B4C"/>
    <w:rsid w:val="00C26F6A"/>
    <w:rsid w:val="00C273CF"/>
    <w:rsid w:val="00C27D78"/>
    <w:rsid w:val="00C27FCD"/>
    <w:rsid w:val="00C27FF3"/>
    <w:rsid w:val="00C305A6"/>
    <w:rsid w:val="00C30667"/>
    <w:rsid w:val="00C3100E"/>
    <w:rsid w:val="00C32D8D"/>
    <w:rsid w:val="00C33649"/>
    <w:rsid w:val="00C33709"/>
    <w:rsid w:val="00C33757"/>
    <w:rsid w:val="00C33B30"/>
    <w:rsid w:val="00C33BAB"/>
    <w:rsid w:val="00C33C11"/>
    <w:rsid w:val="00C3487E"/>
    <w:rsid w:val="00C34A89"/>
    <w:rsid w:val="00C3539E"/>
    <w:rsid w:val="00C35514"/>
    <w:rsid w:val="00C35D85"/>
    <w:rsid w:val="00C36132"/>
    <w:rsid w:val="00C370F4"/>
    <w:rsid w:val="00C3718F"/>
    <w:rsid w:val="00C37191"/>
    <w:rsid w:val="00C37F3B"/>
    <w:rsid w:val="00C37F80"/>
    <w:rsid w:val="00C40A7D"/>
    <w:rsid w:val="00C40DC3"/>
    <w:rsid w:val="00C412F8"/>
    <w:rsid w:val="00C41818"/>
    <w:rsid w:val="00C41870"/>
    <w:rsid w:val="00C419BD"/>
    <w:rsid w:val="00C41DD1"/>
    <w:rsid w:val="00C4202F"/>
    <w:rsid w:val="00C42294"/>
    <w:rsid w:val="00C423D1"/>
    <w:rsid w:val="00C424D9"/>
    <w:rsid w:val="00C42786"/>
    <w:rsid w:val="00C42C99"/>
    <w:rsid w:val="00C43033"/>
    <w:rsid w:val="00C43191"/>
    <w:rsid w:val="00C43704"/>
    <w:rsid w:val="00C43FB0"/>
    <w:rsid w:val="00C44A31"/>
    <w:rsid w:val="00C44C22"/>
    <w:rsid w:val="00C45020"/>
    <w:rsid w:val="00C45340"/>
    <w:rsid w:val="00C456F7"/>
    <w:rsid w:val="00C463B9"/>
    <w:rsid w:val="00C46603"/>
    <w:rsid w:val="00C46756"/>
    <w:rsid w:val="00C46970"/>
    <w:rsid w:val="00C46CD0"/>
    <w:rsid w:val="00C46DFE"/>
    <w:rsid w:val="00C471F4"/>
    <w:rsid w:val="00C47581"/>
    <w:rsid w:val="00C47610"/>
    <w:rsid w:val="00C47ECF"/>
    <w:rsid w:val="00C501C8"/>
    <w:rsid w:val="00C50E52"/>
    <w:rsid w:val="00C51E9C"/>
    <w:rsid w:val="00C51ECC"/>
    <w:rsid w:val="00C52250"/>
    <w:rsid w:val="00C5248B"/>
    <w:rsid w:val="00C532F4"/>
    <w:rsid w:val="00C532F6"/>
    <w:rsid w:val="00C53550"/>
    <w:rsid w:val="00C53BF0"/>
    <w:rsid w:val="00C53D84"/>
    <w:rsid w:val="00C55092"/>
    <w:rsid w:val="00C5509C"/>
    <w:rsid w:val="00C555BB"/>
    <w:rsid w:val="00C557FA"/>
    <w:rsid w:val="00C55D31"/>
    <w:rsid w:val="00C568A6"/>
    <w:rsid w:val="00C5697F"/>
    <w:rsid w:val="00C56D05"/>
    <w:rsid w:val="00C56FA7"/>
    <w:rsid w:val="00C56FBA"/>
    <w:rsid w:val="00C57339"/>
    <w:rsid w:val="00C574C0"/>
    <w:rsid w:val="00C57720"/>
    <w:rsid w:val="00C579FA"/>
    <w:rsid w:val="00C57A4E"/>
    <w:rsid w:val="00C57BCC"/>
    <w:rsid w:val="00C57E84"/>
    <w:rsid w:val="00C60AD0"/>
    <w:rsid w:val="00C60F4B"/>
    <w:rsid w:val="00C61724"/>
    <w:rsid w:val="00C61BA9"/>
    <w:rsid w:val="00C6200B"/>
    <w:rsid w:val="00C62057"/>
    <w:rsid w:val="00C62284"/>
    <w:rsid w:val="00C624E8"/>
    <w:rsid w:val="00C627FC"/>
    <w:rsid w:val="00C62EA3"/>
    <w:rsid w:val="00C62FAA"/>
    <w:rsid w:val="00C635AE"/>
    <w:rsid w:val="00C63E05"/>
    <w:rsid w:val="00C6429D"/>
    <w:rsid w:val="00C64D55"/>
    <w:rsid w:val="00C65205"/>
    <w:rsid w:val="00C65BF9"/>
    <w:rsid w:val="00C65D15"/>
    <w:rsid w:val="00C65FE6"/>
    <w:rsid w:val="00C661A3"/>
    <w:rsid w:val="00C66C3D"/>
    <w:rsid w:val="00C677B6"/>
    <w:rsid w:val="00C67CCD"/>
    <w:rsid w:val="00C7007F"/>
    <w:rsid w:val="00C70C1A"/>
    <w:rsid w:val="00C70E48"/>
    <w:rsid w:val="00C71027"/>
    <w:rsid w:val="00C71C8B"/>
    <w:rsid w:val="00C71F2F"/>
    <w:rsid w:val="00C71FBA"/>
    <w:rsid w:val="00C72398"/>
    <w:rsid w:val="00C7252F"/>
    <w:rsid w:val="00C728EA"/>
    <w:rsid w:val="00C72A86"/>
    <w:rsid w:val="00C72BF6"/>
    <w:rsid w:val="00C73340"/>
    <w:rsid w:val="00C73572"/>
    <w:rsid w:val="00C73710"/>
    <w:rsid w:val="00C73CB5"/>
    <w:rsid w:val="00C73E73"/>
    <w:rsid w:val="00C74020"/>
    <w:rsid w:val="00C749F6"/>
    <w:rsid w:val="00C75B20"/>
    <w:rsid w:val="00C75B40"/>
    <w:rsid w:val="00C7635D"/>
    <w:rsid w:val="00C76B7D"/>
    <w:rsid w:val="00C76ECD"/>
    <w:rsid w:val="00C77C74"/>
    <w:rsid w:val="00C80093"/>
    <w:rsid w:val="00C805A7"/>
    <w:rsid w:val="00C808DA"/>
    <w:rsid w:val="00C80BE3"/>
    <w:rsid w:val="00C814FE"/>
    <w:rsid w:val="00C81FC5"/>
    <w:rsid w:val="00C82195"/>
    <w:rsid w:val="00C8229A"/>
    <w:rsid w:val="00C82653"/>
    <w:rsid w:val="00C82B14"/>
    <w:rsid w:val="00C82C8F"/>
    <w:rsid w:val="00C83229"/>
    <w:rsid w:val="00C83E0C"/>
    <w:rsid w:val="00C844A0"/>
    <w:rsid w:val="00C84740"/>
    <w:rsid w:val="00C84D9E"/>
    <w:rsid w:val="00C84F68"/>
    <w:rsid w:val="00C85546"/>
    <w:rsid w:val="00C857FD"/>
    <w:rsid w:val="00C85FC7"/>
    <w:rsid w:val="00C86201"/>
    <w:rsid w:val="00C86403"/>
    <w:rsid w:val="00C8666D"/>
    <w:rsid w:val="00C8674A"/>
    <w:rsid w:val="00C86A50"/>
    <w:rsid w:val="00C86E9C"/>
    <w:rsid w:val="00C872B9"/>
    <w:rsid w:val="00C87503"/>
    <w:rsid w:val="00C87A43"/>
    <w:rsid w:val="00C87B20"/>
    <w:rsid w:val="00C87B31"/>
    <w:rsid w:val="00C87C76"/>
    <w:rsid w:val="00C87D2D"/>
    <w:rsid w:val="00C87EB7"/>
    <w:rsid w:val="00C90AF4"/>
    <w:rsid w:val="00C90ED9"/>
    <w:rsid w:val="00C91097"/>
    <w:rsid w:val="00C911C9"/>
    <w:rsid w:val="00C91A06"/>
    <w:rsid w:val="00C91AC2"/>
    <w:rsid w:val="00C9287C"/>
    <w:rsid w:val="00C93251"/>
    <w:rsid w:val="00C93552"/>
    <w:rsid w:val="00C93588"/>
    <w:rsid w:val="00C9494F"/>
    <w:rsid w:val="00C94ED7"/>
    <w:rsid w:val="00C96326"/>
    <w:rsid w:val="00C96651"/>
    <w:rsid w:val="00C96750"/>
    <w:rsid w:val="00C96A3D"/>
    <w:rsid w:val="00C96A83"/>
    <w:rsid w:val="00C96AC8"/>
    <w:rsid w:val="00C96FD4"/>
    <w:rsid w:val="00C9727F"/>
    <w:rsid w:val="00C9729D"/>
    <w:rsid w:val="00CA0645"/>
    <w:rsid w:val="00CA0A39"/>
    <w:rsid w:val="00CA0D23"/>
    <w:rsid w:val="00CA1B81"/>
    <w:rsid w:val="00CA1D3D"/>
    <w:rsid w:val="00CA225C"/>
    <w:rsid w:val="00CA25E9"/>
    <w:rsid w:val="00CA26CC"/>
    <w:rsid w:val="00CA2E92"/>
    <w:rsid w:val="00CA312B"/>
    <w:rsid w:val="00CA3586"/>
    <w:rsid w:val="00CA3B25"/>
    <w:rsid w:val="00CA3CE7"/>
    <w:rsid w:val="00CA4396"/>
    <w:rsid w:val="00CA45C5"/>
    <w:rsid w:val="00CA4A0E"/>
    <w:rsid w:val="00CA4A6B"/>
    <w:rsid w:val="00CA4BEA"/>
    <w:rsid w:val="00CA55CE"/>
    <w:rsid w:val="00CA5724"/>
    <w:rsid w:val="00CA5D19"/>
    <w:rsid w:val="00CA5EBD"/>
    <w:rsid w:val="00CA5FD3"/>
    <w:rsid w:val="00CA62E4"/>
    <w:rsid w:val="00CA6CF0"/>
    <w:rsid w:val="00CA75CC"/>
    <w:rsid w:val="00CA7789"/>
    <w:rsid w:val="00CA7EDA"/>
    <w:rsid w:val="00CB0106"/>
    <w:rsid w:val="00CB0481"/>
    <w:rsid w:val="00CB0982"/>
    <w:rsid w:val="00CB0B7D"/>
    <w:rsid w:val="00CB0BC6"/>
    <w:rsid w:val="00CB0C1A"/>
    <w:rsid w:val="00CB1051"/>
    <w:rsid w:val="00CB158A"/>
    <w:rsid w:val="00CB17CD"/>
    <w:rsid w:val="00CB1B53"/>
    <w:rsid w:val="00CB1C44"/>
    <w:rsid w:val="00CB23DB"/>
    <w:rsid w:val="00CB2509"/>
    <w:rsid w:val="00CB252D"/>
    <w:rsid w:val="00CB2840"/>
    <w:rsid w:val="00CB33ED"/>
    <w:rsid w:val="00CB37BD"/>
    <w:rsid w:val="00CB3A44"/>
    <w:rsid w:val="00CB47F4"/>
    <w:rsid w:val="00CB596B"/>
    <w:rsid w:val="00CB69BC"/>
    <w:rsid w:val="00CB6D58"/>
    <w:rsid w:val="00CB6E44"/>
    <w:rsid w:val="00CB72D0"/>
    <w:rsid w:val="00CB7FE2"/>
    <w:rsid w:val="00CC022F"/>
    <w:rsid w:val="00CC05BE"/>
    <w:rsid w:val="00CC0CC1"/>
    <w:rsid w:val="00CC1082"/>
    <w:rsid w:val="00CC1132"/>
    <w:rsid w:val="00CC1207"/>
    <w:rsid w:val="00CC1775"/>
    <w:rsid w:val="00CC2008"/>
    <w:rsid w:val="00CC21E1"/>
    <w:rsid w:val="00CC26D1"/>
    <w:rsid w:val="00CC278E"/>
    <w:rsid w:val="00CC29C8"/>
    <w:rsid w:val="00CC2B26"/>
    <w:rsid w:val="00CC2B3A"/>
    <w:rsid w:val="00CC2B8B"/>
    <w:rsid w:val="00CC3196"/>
    <w:rsid w:val="00CC334D"/>
    <w:rsid w:val="00CC38EC"/>
    <w:rsid w:val="00CC3AAC"/>
    <w:rsid w:val="00CC3ABB"/>
    <w:rsid w:val="00CC3E3B"/>
    <w:rsid w:val="00CC3EDC"/>
    <w:rsid w:val="00CC40EB"/>
    <w:rsid w:val="00CC481A"/>
    <w:rsid w:val="00CC4A1B"/>
    <w:rsid w:val="00CC5476"/>
    <w:rsid w:val="00CC557A"/>
    <w:rsid w:val="00CC583C"/>
    <w:rsid w:val="00CC5C8B"/>
    <w:rsid w:val="00CC60C2"/>
    <w:rsid w:val="00CC6CA2"/>
    <w:rsid w:val="00CC6EC7"/>
    <w:rsid w:val="00CC78D9"/>
    <w:rsid w:val="00CC79E5"/>
    <w:rsid w:val="00CC7D27"/>
    <w:rsid w:val="00CC7D5D"/>
    <w:rsid w:val="00CC7F0C"/>
    <w:rsid w:val="00CD08A7"/>
    <w:rsid w:val="00CD0963"/>
    <w:rsid w:val="00CD09CA"/>
    <w:rsid w:val="00CD1153"/>
    <w:rsid w:val="00CD1982"/>
    <w:rsid w:val="00CD1D33"/>
    <w:rsid w:val="00CD23EA"/>
    <w:rsid w:val="00CD25F6"/>
    <w:rsid w:val="00CD26AD"/>
    <w:rsid w:val="00CD2E2C"/>
    <w:rsid w:val="00CD37E0"/>
    <w:rsid w:val="00CD41AD"/>
    <w:rsid w:val="00CD46D7"/>
    <w:rsid w:val="00CD49D1"/>
    <w:rsid w:val="00CD4B65"/>
    <w:rsid w:val="00CD5153"/>
    <w:rsid w:val="00CD585A"/>
    <w:rsid w:val="00CD6091"/>
    <w:rsid w:val="00CD61C7"/>
    <w:rsid w:val="00CD69CE"/>
    <w:rsid w:val="00CD7278"/>
    <w:rsid w:val="00CD7986"/>
    <w:rsid w:val="00CE0DE8"/>
    <w:rsid w:val="00CE11A5"/>
    <w:rsid w:val="00CE1CE2"/>
    <w:rsid w:val="00CE1F71"/>
    <w:rsid w:val="00CE2037"/>
    <w:rsid w:val="00CE24A4"/>
    <w:rsid w:val="00CE2DD2"/>
    <w:rsid w:val="00CE30E8"/>
    <w:rsid w:val="00CE34A3"/>
    <w:rsid w:val="00CE369D"/>
    <w:rsid w:val="00CE4119"/>
    <w:rsid w:val="00CE41DE"/>
    <w:rsid w:val="00CE48BD"/>
    <w:rsid w:val="00CE4FDB"/>
    <w:rsid w:val="00CE5EA2"/>
    <w:rsid w:val="00CE6374"/>
    <w:rsid w:val="00CE6416"/>
    <w:rsid w:val="00CE6E56"/>
    <w:rsid w:val="00CE70E8"/>
    <w:rsid w:val="00CE7869"/>
    <w:rsid w:val="00CE786A"/>
    <w:rsid w:val="00CE7C1E"/>
    <w:rsid w:val="00CF0357"/>
    <w:rsid w:val="00CF0374"/>
    <w:rsid w:val="00CF057C"/>
    <w:rsid w:val="00CF070D"/>
    <w:rsid w:val="00CF156F"/>
    <w:rsid w:val="00CF1760"/>
    <w:rsid w:val="00CF237A"/>
    <w:rsid w:val="00CF320C"/>
    <w:rsid w:val="00CF3DA4"/>
    <w:rsid w:val="00CF41B5"/>
    <w:rsid w:val="00CF507F"/>
    <w:rsid w:val="00CF5138"/>
    <w:rsid w:val="00CF54D9"/>
    <w:rsid w:val="00CF5779"/>
    <w:rsid w:val="00CF5E05"/>
    <w:rsid w:val="00CF6360"/>
    <w:rsid w:val="00CF65CB"/>
    <w:rsid w:val="00CF6694"/>
    <w:rsid w:val="00CF6D61"/>
    <w:rsid w:val="00CF7E25"/>
    <w:rsid w:val="00D000DF"/>
    <w:rsid w:val="00D00425"/>
    <w:rsid w:val="00D00679"/>
    <w:rsid w:val="00D006C6"/>
    <w:rsid w:val="00D00DA5"/>
    <w:rsid w:val="00D00F4C"/>
    <w:rsid w:val="00D01380"/>
    <w:rsid w:val="00D01FAA"/>
    <w:rsid w:val="00D02996"/>
    <w:rsid w:val="00D02ED7"/>
    <w:rsid w:val="00D03CB3"/>
    <w:rsid w:val="00D03D6E"/>
    <w:rsid w:val="00D03DC4"/>
    <w:rsid w:val="00D045E9"/>
    <w:rsid w:val="00D049EA"/>
    <w:rsid w:val="00D05638"/>
    <w:rsid w:val="00D056CE"/>
    <w:rsid w:val="00D0590F"/>
    <w:rsid w:val="00D05A36"/>
    <w:rsid w:val="00D05AE5"/>
    <w:rsid w:val="00D05AE9"/>
    <w:rsid w:val="00D05CEA"/>
    <w:rsid w:val="00D063C8"/>
    <w:rsid w:val="00D06C70"/>
    <w:rsid w:val="00D06CCF"/>
    <w:rsid w:val="00D070D8"/>
    <w:rsid w:val="00D0731F"/>
    <w:rsid w:val="00D07477"/>
    <w:rsid w:val="00D079F1"/>
    <w:rsid w:val="00D07F5E"/>
    <w:rsid w:val="00D1008D"/>
    <w:rsid w:val="00D10372"/>
    <w:rsid w:val="00D11566"/>
    <w:rsid w:val="00D11A8A"/>
    <w:rsid w:val="00D11D2A"/>
    <w:rsid w:val="00D123CE"/>
    <w:rsid w:val="00D1288E"/>
    <w:rsid w:val="00D130E9"/>
    <w:rsid w:val="00D13476"/>
    <w:rsid w:val="00D1378B"/>
    <w:rsid w:val="00D137F9"/>
    <w:rsid w:val="00D1389A"/>
    <w:rsid w:val="00D13AED"/>
    <w:rsid w:val="00D13D0C"/>
    <w:rsid w:val="00D13F71"/>
    <w:rsid w:val="00D146CB"/>
    <w:rsid w:val="00D14A89"/>
    <w:rsid w:val="00D14BF5"/>
    <w:rsid w:val="00D15265"/>
    <w:rsid w:val="00D15D4D"/>
    <w:rsid w:val="00D16172"/>
    <w:rsid w:val="00D16766"/>
    <w:rsid w:val="00D17241"/>
    <w:rsid w:val="00D17511"/>
    <w:rsid w:val="00D17FAA"/>
    <w:rsid w:val="00D20684"/>
    <w:rsid w:val="00D20DAA"/>
    <w:rsid w:val="00D21223"/>
    <w:rsid w:val="00D214BD"/>
    <w:rsid w:val="00D21511"/>
    <w:rsid w:val="00D22272"/>
    <w:rsid w:val="00D2246D"/>
    <w:rsid w:val="00D22B3A"/>
    <w:rsid w:val="00D233BC"/>
    <w:rsid w:val="00D2343C"/>
    <w:rsid w:val="00D23647"/>
    <w:rsid w:val="00D23AC0"/>
    <w:rsid w:val="00D2417D"/>
    <w:rsid w:val="00D2484B"/>
    <w:rsid w:val="00D24DB5"/>
    <w:rsid w:val="00D24EF0"/>
    <w:rsid w:val="00D25170"/>
    <w:rsid w:val="00D25303"/>
    <w:rsid w:val="00D256FC"/>
    <w:rsid w:val="00D257E1"/>
    <w:rsid w:val="00D25C74"/>
    <w:rsid w:val="00D2650D"/>
    <w:rsid w:val="00D305D4"/>
    <w:rsid w:val="00D308C7"/>
    <w:rsid w:val="00D309F5"/>
    <w:rsid w:val="00D3100D"/>
    <w:rsid w:val="00D313BE"/>
    <w:rsid w:val="00D31691"/>
    <w:rsid w:val="00D31C91"/>
    <w:rsid w:val="00D32240"/>
    <w:rsid w:val="00D32497"/>
    <w:rsid w:val="00D3260E"/>
    <w:rsid w:val="00D32A58"/>
    <w:rsid w:val="00D32D71"/>
    <w:rsid w:val="00D32FF7"/>
    <w:rsid w:val="00D33126"/>
    <w:rsid w:val="00D33539"/>
    <w:rsid w:val="00D33B31"/>
    <w:rsid w:val="00D33E6F"/>
    <w:rsid w:val="00D34884"/>
    <w:rsid w:val="00D34D71"/>
    <w:rsid w:val="00D353DC"/>
    <w:rsid w:val="00D35464"/>
    <w:rsid w:val="00D35552"/>
    <w:rsid w:val="00D35E08"/>
    <w:rsid w:val="00D36791"/>
    <w:rsid w:val="00D36D8C"/>
    <w:rsid w:val="00D37427"/>
    <w:rsid w:val="00D40F15"/>
    <w:rsid w:val="00D414C6"/>
    <w:rsid w:val="00D41AF3"/>
    <w:rsid w:val="00D41C1D"/>
    <w:rsid w:val="00D43503"/>
    <w:rsid w:val="00D44AE7"/>
    <w:rsid w:val="00D44BA6"/>
    <w:rsid w:val="00D454B4"/>
    <w:rsid w:val="00D46629"/>
    <w:rsid w:val="00D469A6"/>
    <w:rsid w:val="00D46C46"/>
    <w:rsid w:val="00D46F01"/>
    <w:rsid w:val="00D47095"/>
    <w:rsid w:val="00D479DA"/>
    <w:rsid w:val="00D47D39"/>
    <w:rsid w:val="00D47E19"/>
    <w:rsid w:val="00D50343"/>
    <w:rsid w:val="00D50560"/>
    <w:rsid w:val="00D50A22"/>
    <w:rsid w:val="00D5176A"/>
    <w:rsid w:val="00D517E9"/>
    <w:rsid w:val="00D51AEA"/>
    <w:rsid w:val="00D51F93"/>
    <w:rsid w:val="00D520F3"/>
    <w:rsid w:val="00D52174"/>
    <w:rsid w:val="00D52CD0"/>
    <w:rsid w:val="00D52EFC"/>
    <w:rsid w:val="00D531DE"/>
    <w:rsid w:val="00D5348F"/>
    <w:rsid w:val="00D535A1"/>
    <w:rsid w:val="00D539EF"/>
    <w:rsid w:val="00D53AB1"/>
    <w:rsid w:val="00D53CF7"/>
    <w:rsid w:val="00D54268"/>
    <w:rsid w:val="00D544EB"/>
    <w:rsid w:val="00D5512F"/>
    <w:rsid w:val="00D5519E"/>
    <w:rsid w:val="00D55292"/>
    <w:rsid w:val="00D55616"/>
    <w:rsid w:val="00D558D3"/>
    <w:rsid w:val="00D56273"/>
    <w:rsid w:val="00D568BD"/>
    <w:rsid w:val="00D56921"/>
    <w:rsid w:val="00D5737F"/>
    <w:rsid w:val="00D573D5"/>
    <w:rsid w:val="00D575F5"/>
    <w:rsid w:val="00D578D0"/>
    <w:rsid w:val="00D60118"/>
    <w:rsid w:val="00D603BA"/>
    <w:rsid w:val="00D603CB"/>
    <w:rsid w:val="00D60737"/>
    <w:rsid w:val="00D60A18"/>
    <w:rsid w:val="00D60E11"/>
    <w:rsid w:val="00D61811"/>
    <w:rsid w:val="00D61BDA"/>
    <w:rsid w:val="00D61E4A"/>
    <w:rsid w:val="00D61FEE"/>
    <w:rsid w:val="00D62EDE"/>
    <w:rsid w:val="00D644FD"/>
    <w:rsid w:val="00D65368"/>
    <w:rsid w:val="00D6627C"/>
    <w:rsid w:val="00D66489"/>
    <w:rsid w:val="00D664B3"/>
    <w:rsid w:val="00D66A0A"/>
    <w:rsid w:val="00D66E32"/>
    <w:rsid w:val="00D66F5C"/>
    <w:rsid w:val="00D67D95"/>
    <w:rsid w:val="00D70589"/>
    <w:rsid w:val="00D7081B"/>
    <w:rsid w:val="00D7137A"/>
    <w:rsid w:val="00D7153F"/>
    <w:rsid w:val="00D71560"/>
    <w:rsid w:val="00D7164E"/>
    <w:rsid w:val="00D71919"/>
    <w:rsid w:val="00D71BBB"/>
    <w:rsid w:val="00D72198"/>
    <w:rsid w:val="00D72501"/>
    <w:rsid w:val="00D7265B"/>
    <w:rsid w:val="00D7285D"/>
    <w:rsid w:val="00D735A7"/>
    <w:rsid w:val="00D73849"/>
    <w:rsid w:val="00D73F91"/>
    <w:rsid w:val="00D74077"/>
    <w:rsid w:val="00D74092"/>
    <w:rsid w:val="00D740F4"/>
    <w:rsid w:val="00D75036"/>
    <w:rsid w:val="00D752D1"/>
    <w:rsid w:val="00D756DE"/>
    <w:rsid w:val="00D75D9F"/>
    <w:rsid w:val="00D76522"/>
    <w:rsid w:val="00D76EC5"/>
    <w:rsid w:val="00D76F0D"/>
    <w:rsid w:val="00D779FE"/>
    <w:rsid w:val="00D800B1"/>
    <w:rsid w:val="00D80FED"/>
    <w:rsid w:val="00D81F99"/>
    <w:rsid w:val="00D82144"/>
    <w:rsid w:val="00D82840"/>
    <w:rsid w:val="00D8289F"/>
    <w:rsid w:val="00D82A9E"/>
    <w:rsid w:val="00D82EBA"/>
    <w:rsid w:val="00D83943"/>
    <w:rsid w:val="00D83A3C"/>
    <w:rsid w:val="00D84AE1"/>
    <w:rsid w:val="00D853B3"/>
    <w:rsid w:val="00D85F3C"/>
    <w:rsid w:val="00D87B69"/>
    <w:rsid w:val="00D87BBF"/>
    <w:rsid w:val="00D87C86"/>
    <w:rsid w:val="00D900C2"/>
    <w:rsid w:val="00D90503"/>
    <w:rsid w:val="00D90D8E"/>
    <w:rsid w:val="00D90E85"/>
    <w:rsid w:val="00D9307E"/>
    <w:rsid w:val="00D935AA"/>
    <w:rsid w:val="00D93A64"/>
    <w:rsid w:val="00D93B8D"/>
    <w:rsid w:val="00D93C5D"/>
    <w:rsid w:val="00D94660"/>
    <w:rsid w:val="00D94917"/>
    <w:rsid w:val="00D94C5A"/>
    <w:rsid w:val="00D95125"/>
    <w:rsid w:val="00D953A8"/>
    <w:rsid w:val="00D956A6"/>
    <w:rsid w:val="00D95A3E"/>
    <w:rsid w:val="00D95FDB"/>
    <w:rsid w:val="00D967D5"/>
    <w:rsid w:val="00D96858"/>
    <w:rsid w:val="00D96ADB"/>
    <w:rsid w:val="00D9763A"/>
    <w:rsid w:val="00D97741"/>
    <w:rsid w:val="00D97910"/>
    <w:rsid w:val="00D97AE6"/>
    <w:rsid w:val="00D97D27"/>
    <w:rsid w:val="00D97F36"/>
    <w:rsid w:val="00DA01FB"/>
    <w:rsid w:val="00DA021F"/>
    <w:rsid w:val="00DA0454"/>
    <w:rsid w:val="00DA07A9"/>
    <w:rsid w:val="00DA0ADA"/>
    <w:rsid w:val="00DA1152"/>
    <w:rsid w:val="00DA17E2"/>
    <w:rsid w:val="00DA2003"/>
    <w:rsid w:val="00DA28D9"/>
    <w:rsid w:val="00DA2B90"/>
    <w:rsid w:val="00DA3657"/>
    <w:rsid w:val="00DA3978"/>
    <w:rsid w:val="00DA4018"/>
    <w:rsid w:val="00DA4191"/>
    <w:rsid w:val="00DA4930"/>
    <w:rsid w:val="00DA4ACB"/>
    <w:rsid w:val="00DA53CA"/>
    <w:rsid w:val="00DA5FC7"/>
    <w:rsid w:val="00DA6006"/>
    <w:rsid w:val="00DA61FE"/>
    <w:rsid w:val="00DA6768"/>
    <w:rsid w:val="00DA69CA"/>
    <w:rsid w:val="00DA69E0"/>
    <w:rsid w:val="00DA6E69"/>
    <w:rsid w:val="00DA70E1"/>
    <w:rsid w:val="00DA711C"/>
    <w:rsid w:val="00DA7941"/>
    <w:rsid w:val="00DA7B5E"/>
    <w:rsid w:val="00DA7EE8"/>
    <w:rsid w:val="00DB054B"/>
    <w:rsid w:val="00DB0B5C"/>
    <w:rsid w:val="00DB233A"/>
    <w:rsid w:val="00DB2B9E"/>
    <w:rsid w:val="00DB367E"/>
    <w:rsid w:val="00DB3AF4"/>
    <w:rsid w:val="00DB425A"/>
    <w:rsid w:val="00DB42CD"/>
    <w:rsid w:val="00DB42DA"/>
    <w:rsid w:val="00DB4301"/>
    <w:rsid w:val="00DB4FC9"/>
    <w:rsid w:val="00DB5BA4"/>
    <w:rsid w:val="00DB62B0"/>
    <w:rsid w:val="00DB63BD"/>
    <w:rsid w:val="00DB64BF"/>
    <w:rsid w:val="00DB755B"/>
    <w:rsid w:val="00DB7D8C"/>
    <w:rsid w:val="00DB7FB0"/>
    <w:rsid w:val="00DC06F8"/>
    <w:rsid w:val="00DC0A4A"/>
    <w:rsid w:val="00DC1408"/>
    <w:rsid w:val="00DC146A"/>
    <w:rsid w:val="00DC15E9"/>
    <w:rsid w:val="00DC1894"/>
    <w:rsid w:val="00DC1988"/>
    <w:rsid w:val="00DC1ABC"/>
    <w:rsid w:val="00DC1F28"/>
    <w:rsid w:val="00DC1F68"/>
    <w:rsid w:val="00DC20FA"/>
    <w:rsid w:val="00DC2C4F"/>
    <w:rsid w:val="00DC32AD"/>
    <w:rsid w:val="00DC3A6C"/>
    <w:rsid w:val="00DC41CE"/>
    <w:rsid w:val="00DC41E1"/>
    <w:rsid w:val="00DC4447"/>
    <w:rsid w:val="00DC4741"/>
    <w:rsid w:val="00DC53E8"/>
    <w:rsid w:val="00DC5DF6"/>
    <w:rsid w:val="00DC6016"/>
    <w:rsid w:val="00DC6406"/>
    <w:rsid w:val="00DC67B1"/>
    <w:rsid w:val="00DC6A1E"/>
    <w:rsid w:val="00DC71FB"/>
    <w:rsid w:val="00DC7328"/>
    <w:rsid w:val="00DC75D4"/>
    <w:rsid w:val="00DC7BD9"/>
    <w:rsid w:val="00DC7C51"/>
    <w:rsid w:val="00DD00A7"/>
    <w:rsid w:val="00DD00E6"/>
    <w:rsid w:val="00DD0E0F"/>
    <w:rsid w:val="00DD0F92"/>
    <w:rsid w:val="00DD114B"/>
    <w:rsid w:val="00DD12C3"/>
    <w:rsid w:val="00DD1380"/>
    <w:rsid w:val="00DD1A88"/>
    <w:rsid w:val="00DD26DF"/>
    <w:rsid w:val="00DD2799"/>
    <w:rsid w:val="00DD2801"/>
    <w:rsid w:val="00DD2DD4"/>
    <w:rsid w:val="00DD36B1"/>
    <w:rsid w:val="00DD3AA6"/>
    <w:rsid w:val="00DD4185"/>
    <w:rsid w:val="00DD42AC"/>
    <w:rsid w:val="00DD43BA"/>
    <w:rsid w:val="00DD4462"/>
    <w:rsid w:val="00DD4C17"/>
    <w:rsid w:val="00DD4DCB"/>
    <w:rsid w:val="00DD4E4E"/>
    <w:rsid w:val="00DD5024"/>
    <w:rsid w:val="00DD5448"/>
    <w:rsid w:val="00DD6409"/>
    <w:rsid w:val="00DD6632"/>
    <w:rsid w:val="00DD6DC5"/>
    <w:rsid w:val="00DD6F39"/>
    <w:rsid w:val="00DD7095"/>
    <w:rsid w:val="00DD7921"/>
    <w:rsid w:val="00DE00CB"/>
    <w:rsid w:val="00DE042A"/>
    <w:rsid w:val="00DE0573"/>
    <w:rsid w:val="00DE058B"/>
    <w:rsid w:val="00DE083D"/>
    <w:rsid w:val="00DE10A4"/>
    <w:rsid w:val="00DE1224"/>
    <w:rsid w:val="00DE16EA"/>
    <w:rsid w:val="00DE17E2"/>
    <w:rsid w:val="00DE1CA2"/>
    <w:rsid w:val="00DE2671"/>
    <w:rsid w:val="00DE28ED"/>
    <w:rsid w:val="00DE2C76"/>
    <w:rsid w:val="00DE2EC4"/>
    <w:rsid w:val="00DE33A0"/>
    <w:rsid w:val="00DE37EB"/>
    <w:rsid w:val="00DE3CF3"/>
    <w:rsid w:val="00DE3EAA"/>
    <w:rsid w:val="00DE42A1"/>
    <w:rsid w:val="00DE4A78"/>
    <w:rsid w:val="00DE4B30"/>
    <w:rsid w:val="00DE4B38"/>
    <w:rsid w:val="00DE4C52"/>
    <w:rsid w:val="00DE4F0B"/>
    <w:rsid w:val="00DE53E7"/>
    <w:rsid w:val="00DE5522"/>
    <w:rsid w:val="00DE63B0"/>
    <w:rsid w:val="00DE660C"/>
    <w:rsid w:val="00DE7E35"/>
    <w:rsid w:val="00DF02A1"/>
    <w:rsid w:val="00DF04A0"/>
    <w:rsid w:val="00DF0914"/>
    <w:rsid w:val="00DF0B0D"/>
    <w:rsid w:val="00DF0CB8"/>
    <w:rsid w:val="00DF0D1E"/>
    <w:rsid w:val="00DF135E"/>
    <w:rsid w:val="00DF156A"/>
    <w:rsid w:val="00DF1748"/>
    <w:rsid w:val="00DF19BF"/>
    <w:rsid w:val="00DF21C4"/>
    <w:rsid w:val="00DF2429"/>
    <w:rsid w:val="00DF2BA4"/>
    <w:rsid w:val="00DF3A24"/>
    <w:rsid w:val="00DF3F13"/>
    <w:rsid w:val="00DF434B"/>
    <w:rsid w:val="00DF477A"/>
    <w:rsid w:val="00DF4AA6"/>
    <w:rsid w:val="00DF5DF3"/>
    <w:rsid w:val="00DF5EEF"/>
    <w:rsid w:val="00DF6AEF"/>
    <w:rsid w:val="00DF710A"/>
    <w:rsid w:val="00DF7161"/>
    <w:rsid w:val="00DF7906"/>
    <w:rsid w:val="00DF79D2"/>
    <w:rsid w:val="00DF7B3F"/>
    <w:rsid w:val="00E00CE5"/>
    <w:rsid w:val="00E01466"/>
    <w:rsid w:val="00E014F6"/>
    <w:rsid w:val="00E018C2"/>
    <w:rsid w:val="00E01AE2"/>
    <w:rsid w:val="00E0212D"/>
    <w:rsid w:val="00E02A3C"/>
    <w:rsid w:val="00E02ED2"/>
    <w:rsid w:val="00E03379"/>
    <w:rsid w:val="00E03608"/>
    <w:rsid w:val="00E036FA"/>
    <w:rsid w:val="00E0449D"/>
    <w:rsid w:val="00E0455C"/>
    <w:rsid w:val="00E04D10"/>
    <w:rsid w:val="00E05053"/>
    <w:rsid w:val="00E05FA8"/>
    <w:rsid w:val="00E063B3"/>
    <w:rsid w:val="00E07741"/>
    <w:rsid w:val="00E07788"/>
    <w:rsid w:val="00E07826"/>
    <w:rsid w:val="00E07E68"/>
    <w:rsid w:val="00E07E6C"/>
    <w:rsid w:val="00E07FB7"/>
    <w:rsid w:val="00E10680"/>
    <w:rsid w:val="00E10C51"/>
    <w:rsid w:val="00E11380"/>
    <w:rsid w:val="00E11CEA"/>
    <w:rsid w:val="00E11E85"/>
    <w:rsid w:val="00E1257F"/>
    <w:rsid w:val="00E125DB"/>
    <w:rsid w:val="00E1268C"/>
    <w:rsid w:val="00E12832"/>
    <w:rsid w:val="00E1308C"/>
    <w:rsid w:val="00E13215"/>
    <w:rsid w:val="00E136E0"/>
    <w:rsid w:val="00E1388A"/>
    <w:rsid w:val="00E13C78"/>
    <w:rsid w:val="00E13FBA"/>
    <w:rsid w:val="00E1408A"/>
    <w:rsid w:val="00E140A9"/>
    <w:rsid w:val="00E1420A"/>
    <w:rsid w:val="00E142AF"/>
    <w:rsid w:val="00E1458F"/>
    <w:rsid w:val="00E14ACC"/>
    <w:rsid w:val="00E1553B"/>
    <w:rsid w:val="00E15629"/>
    <w:rsid w:val="00E165AB"/>
    <w:rsid w:val="00E166F1"/>
    <w:rsid w:val="00E16A0F"/>
    <w:rsid w:val="00E16FE9"/>
    <w:rsid w:val="00E20D17"/>
    <w:rsid w:val="00E218F8"/>
    <w:rsid w:val="00E21ACA"/>
    <w:rsid w:val="00E21AD2"/>
    <w:rsid w:val="00E21ED3"/>
    <w:rsid w:val="00E22073"/>
    <w:rsid w:val="00E226D8"/>
    <w:rsid w:val="00E22BB4"/>
    <w:rsid w:val="00E233CF"/>
    <w:rsid w:val="00E23560"/>
    <w:rsid w:val="00E239A4"/>
    <w:rsid w:val="00E23BDF"/>
    <w:rsid w:val="00E240E4"/>
    <w:rsid w:val="00E24D01"/>
    <w:rsid w:val="00E25572"/>
    <w:rsid w:val="00E255A2"/>
    <w:rsid w:val="00E259C4"/>
    <w:rsid w:val="00E25BEA"/>
    <w:rsid w:val="00E25C45"/>
    <w:rsid w:val="00E260FF"/>
    <w:rsid w:val="00E26AD9"/>
    <w:rsid w:val="00E271BC"/>
    <w:rsid w:val="00E276FE"/>
    <w:rsid w:val="00E30030"/>
    <w:rsid w:val="00E302EB"/>
    <w:rsid w:val="00E307C5"/>
    <w:rsid w:val="00E30D58"/>
    <w:rsid w:val="00E30DC7"/>
    <w:rsid w:val="00E30EAE"/>
    <w:rsid w:val="00E31084"/>
    <w:rsid w:val="00E31116"/>
    <w:rsid w:val="00E31367"/>
    <w:rsid w:val="00E3141C"/>
    <w:rsid w:val="00E31422"/>
    <w:rsid w:val="00E314AB"/>
    <w:rsid w:val="00E31C68"/>
    <w:rsid w:val="00E31CBF"/>
    <w:rsid w:val="00E32018"/>
    <w:rsid w:val="00E32050"/>
    <w:rsid w:val="00E32651"/>
    <w:rsid w:val="00E32EA5"/>
    <w:rsid w:val="00E342C0"/>
    <w:rsid w:val="00E3499E"/>
    <w:rsid w:val="00E352CC"/>
    <w:rsid w:val="00E35F84"/>
    <w:rsid w:val="00E3645E"/>
    <w:rsid w:val="00E36E7D"/>
    <w:rsid w:val="00E37679"/>
    <w:rsid w:val="00E377F3"/>
    <w:rsid w:val="00E37CD7"/>
    <w:rsid w:val="00E40100"/>
    <w:rsid w:val="00E4052D"/>
    <w:rsid w:val="00E40CB7"/>
    <w:rsid w:val="00E40D50"/>
    <w:rsid w:val="00E40FD8"/>
    <w:rsid w:val="00E411E4"/>
    <w:rsid w:val="00E417A8"/>
    <w:rsid w:val="00E41ED2"/>
    <w:rsid w:val="00E41F6B"/>
    <w:rsid w:val="00E41FB9"/>
    <w:rsid w:val="00E421D3"/>
    <w:rsid w:val="00E425BA"/>
    <w:rsid w:val="00E43055"/>
    <w:rsid w:val="00E437C1"/>
    <w:rsid w:val="00E4385F"/>
    <w:rsid w:val="00E43E7C"/>
    <w:rsid w:val="00E44137"/>
    <w:rsid w:val="00E449A0"/>
    <w:rsid w:val="00E44D49"/>
    <w:rsid w:val="00E4566E"/>
    <w:rsid w:val="00E464C9"/>
    <w:rsid w:val="00E46674"/>
    <w:rsid w:val="00E46745"/>
    <w:rsid w:val="00E46B55"/>
    <w:rsid w:val="00E47006"/>
    <w:rsid w:val="00E475E2"/>
    <w:rsid w:val="00E47AC4"/>
    <w:rsid w:val="00E47B6B"/>
    <w:rsid w:val="00E50BC2"/>
    <w:rsid w:val="00E51123"/>
    <w:rsid w:val="00E52BB7"/>
    <w:rsid w:val="00E53564"/>
    <w:rsid w:val="00E543B7"/>
    <w:rsid w:val="00E56027"/>
    <w:rsid w:val="00E561F8"/>
    <w:rsid w:val="00E56292"/>
    <w:rsid w:val="00E56446"/>
    <w:rsid w:val="00E56A0A"/>
    <w:rsid w:val="00E5727B"/>
    <w:rsid w:val="00E57657"/>
    <w:rsid w:val="00E57833"/>
    <w:rsid w:val="00E60ECE"/>
    <w:rsid w:val="00E61316"/>
    <w:rsid w:val="00E61B85"/>
    <w:rsid w:val="00E62906"/>
    <w:rsid w:val="00E62D37"/>
    <w:rsid w:val="00E63081"/>
    <w:rsid w:val="00E630CE"/>
    <w:rsid w:val="00E637DA"/>
    <w:rsid w:val="00E63A92"/>
    <w:rsid w:val="00E64561"/>
    <w:rsid w:val="00E6492B"/>
    <w:rsid w:val="00E64B92"/>
    <w:rsid w:val="00E65F6B"/>
    <w:rsid w:val="00E664E8"/>
    <w:rsid w:val="00E66B91"/>
    <w:rsid w:val="00E674D6"/>
    <w:rsid w:val="00E703C5"/>
    <w:rsid w:val="00E71442"/>
    <w:rsid w:val="00E71615"/>
    <w:rsid w:val="00E717C2"/>
    <w:rsid w:val="00E71A7F"/>
    <w:rsid w:val="00E71B31"/>
    <w:rsid w:val="00E71F98"/>
    <w:rsid w:val="00E72248"/>
    <w:rsid w:val="00E723D4"/>
    <w:rsid w:val="00E7295C"/>
    <w:rsid w:val="00E7386B"/>
    <w:rsid w:val="00E7389B"/>
    <w:rsid w:val="00E74456"/>
    <w:rsid w:val="00E76002"/>
    <w:rsid w:val="00E7685D"/>
    <w:rsid w:val="00E76C59"/>
    <w:rsid w:val="00E76FF5"/>
    <w:rsid w:val="00E7705E"/>
    <w:rsid w:val="00E77786"/>
    <w:rsid w:val="00E778A2"/>
    <w:rsid w:val="00E77D68"/>
    <w:rsid w:val="00E80257"/>
    <w:rsid w:val="00E803D1"/>
    <w:rsid w:val="00E804EF"/>
    <w:rsid w:val="00E807A7"/>
    <w:rsid w:val="00E809F2"/>
    <w:rsid w:val="00E80F79"/>
    <w:rsid w:val="00E81EE7"/>
    <w:rsid w:val="00E8209C"/>
    <w:rsid w:val="00E82374"/>
    <w:rsid w:val="00E82E56"/>
    <w:rsid w:val="00E83155"/>
    <w:rsid w:val="00E8319B"/>
    <w:rsid w:val="00E83455"/>
    <w:rsid w:val="00E835AE"/>
    <w:rsid w:val="00E83731"/>
    <w:rsid w:val="00E83BB0"/>
    <w:rsid w:val="00E83FFF"/>
    <w:rsid w:val="00E842B6"/>
    <w:rsid w:val="00E8476F"/>
    <w:rsid w:val="00E84AA3"/>
    <w:rsid w:val="00E84B27"/>
    <w:rsid w:val="00E853E1"/>
    <w:rsid w:val="00E8589C"/>
    <w:rsid w:val="00E85A88"/>
    <w:rsid w:val="00E860C9"/>
    <w:rsid w:val="00E8656B"/>
    <w:rsid w:val="00E86600"/>
    <w:rsid w:val="00E866A9"/>
    <w:rsid w:val="00E870DA"/>
    <w:rsid w:val="00E87573"/>
    <w:rsid w:val="00E875BD"/>
    <w:rsid w:val="00E87757"/>
    <w:rsid w:val="00E8781B"/>
    <w:rsid w:val="00E87F0F"/>
    <w:rsid w:val="00E87FA8"/>
    <w:rsid w:val="00E90408"/>
    <w:rsid w:val="00E90755"/>
    <w:rsid w:val="00E90B12"/>
    <w:rsid w:val="00E91141"/>
    <w:rsid w:val="00E91D37"/>
    <w:rsid w:val="00E91EA4"/>
    <w:rsid w:val="00E92031"/>
    <w:rsid w:val="00E92374"/>
    <w:rsid w:val="00E923DE"/>
    <w:rsid w:val="00E926F0"/>
    <w:rsid w:val="00E9293B"/>
    <w:rsid w:val="00E9294E"/>
    <w:rsid w:val="00E92AF4"/>
    <w:rsid w:val="00E92CBD"/>
    <w:rsid w:val="00E92D40"/>
    <w:rsid w:val="00E92E56"/>
    <w:rsid w:val="00E9341D"/>
    <w:rsid w:val="00E93A0C"/>
    <w:rsid w:val="00E940A8"/>
    <w:rsid w:val="00E9427E"/>
    <w:rsid w:val="00E9489A"/>
    <w:rsid w:val="00E95010"/>
    <w:rsid w:val="00E95185"/>
    <w:rsid w:val="00E95CDE"/>
    <w:rsid w:val="00E95D74"/>
    <w:rsid w:val="00E96AC0"/>
    <w:rsid w:val="00E9702B"/>
    <w:rsid w:val="00E97552"/>
    <w:rsid w:val="00E976CD"/>
    <w:rsid w:val="00E97758"/>
    <w:rsid w:val="00E97A06"/>
    <w:rsid w:val="00E97C90"/>
    <w:rsid w:val="00E97DC8"/>
    <w:rsid w:val="00E97FEC"/>
    <w:rsid w:val="00EA0269"/>
    <w:rsid w:val="00EA0811"/>
    <w:rsid w:val="00EA09D0"/>
    <w:rsid w:val="00EA0B9B"/>
    <w:rsid w:val="00EA0E0E"/>
    <w:rsid w:val="00EA0EBF"/>
    <w:rsid w:val="00EA12EC"/>
    <w:rsid w:val="00EA1901"/>
    <w:rsid w:val="00EA211C"/>
    <w:rsid w:val="00EA2144"/>
    <w:rsid w:val="00EA231B"/>
    <w:rsid w:val="00EA3313"/>
    <w:rsid w:val="00EA3838"/>
    <w:rsid w:val="00EA457A"/>
    <w:rsid w:val="00EA5275"/>
    <w:rsid w:val="00EA52F7"/>
    <w:rsid w:val="00EA5559"/>
    <w:rsid w:val="00EA5CC2"/>
    <w:rsid w:val="00EA61B5"/>
    <w:rsid w:val="00EA74FE"/>
    <w:rsid w:val="00EA76C6"/>
    <w:rsid w:val="00EB05BA"/>
    <w:rsid w:val="00EB0616"/>
    <w:rsid w:val="00EB11EC"/>
    <w:rsid w:val="00EB16F9"/>
    <w:rsid w:val="00EB2F4D"/>
    <w:rsid w:val="00EB336C"/>
    <w:rsid w:val="00EB345A"/>
    <w:rsid w:val="00EB3A73"/>
    <w:rsid w:val="00EB3AD1"/>
    <w:rsid w:val="00EB444F"/>
    <w:rsid w:val="00EB4E48"/>
    <w:rsid w:val="00EB4F86"/>
    <w:rsid w:val="00EB513D"/>
    <w:rsid w:val="00EB53C9"/>
    <w:rsid w:val="00EB6184"/>
    <w:rsid w:val="00EB6377"/>
    <w:rsid w:val="00EB6C38"/>
    <w:rsid w:val="00EB6E7C"/>
    <w:rsid w:val="00EC014C"/>
    <w:rsid w:val="00EC01B0"/>
    <w:rsid w:val="00EC0474"/>
    <w:rsid w:val="00EC07D2"/>
    <w:rsid w:val="00EC0B5A"/>
    <w:rsid w:val="00EC0D26"/>
    <w:rsid w:val="00EC1126"/>
    <w:rsid w:val="00EC1ED5"/>
    <w:rsid w:val="00EC2172"/>
    <w:rsid w:val="00EC4249"/>
    <w:rsid w:val="00EC44EF"/>
    <w:rsid w:val="00EC540D"/>
    <w:rsid w:val="00EC5FFD"/>
    <w:rsid w:val="00EC67F3"/>
    <w:rsid w:val="00EC712D"/>
    <w:rsid w:val="00EC7312"/>
    <w:rsid w:val="00EC76DA"/>
    <w:rsid w:val="00ED0767"/>
    <w:rsid w:val="00ED0ACA"/>
    <w:rsid w:val="00ED0D5A"/>
    <w:rsid w:val="00ED0E82"/>
    <w:rsid w:val="00ED15CB"/>
    <w:rsid w:val="00ED2B69"/>
    <w:rsid w:val="00ED4314"/>
    <w:rsid w:val="00ED4469"/>
    <w:rsid w:val="00ED48DE"/>
    <w:rsid w:val="00ED4DD7"/>
    <w:rsid w:val="00ED4E27"/>
    <w:rsid w:val="00ED5533"/>
    <w:rsid w:val="00ED554B"/>
    <w:rsid w:val="00ED56A5"/>
    <w:rsid w:val="00ED5E5E"/>
    <w:rsid w:val="00ED607D"/>
    <w:rsid w:val="00ED628D"/>
    <w:rsid w:val="00ED6715"/>
    <w:rsid w:val="00ED6738"/>
    <w:rsid w:val="00ED74E0"/>
    <w:rsid w:val="00ED76CA"/>
    <w:rsid w:val="00ED7998"/>
    <w:rsid w:val="00ED7C39"/>
    <w:rsid w:val="00EE11DA"/>
    <w:rsid w:val="00EE159F"/>
    <w:rsid w:val="00EE18F5"/>
    <w:rsid w:val="00EE1C19"/>
    <w:rsid w:val="00EE1C77"/>
    <w:rsid w:val="00EE1CBC"/>
    <w:rsid w:val="00EE1F84"/>
    <w:rsid w:val="00EE2376"/>
    <w:rsid w:val="00EE358D"/>
    <w:rsid w:val="00EE3F3A"/>
    <w:rsid w:val="00EE43F4"/>
    <w:rsid w:val="00EE45C9"/>
    <w:rsid w:val="00EE4BC9"/>
    <w:rsid w:val="00EE4C50"/>
    <w:rsid w:val="00EE51D1"/>
    <w:rsid w:val="00EE559C"/>
    <w:rsid w:val="00EE5ACE"/>
    <w:rsid w:val="00EE6439"/>
    <w:rsid w:val="00EE7AF5"/>
    <w:rsid w:val="00EF054E"/>
    <w:rsid w:val="00EF089B"/>
    <w:rsid w:val="00EF09BB"/>
    <w:rsid w:val="00EF1460"/>
    <w:rsid w:val="00EF1467"/>
    <w:rsid w:val="00EF1850"/>
    <w:rsid w:val="00EF1C0B"/>
    <w:rsid w:val="00EF1F84"/>
    <w:rsid w:val="00EF256F"/>
    <w:rsid w:val="00EF288B"/>
    <w:rsid w:val="00EF2C8C"/>
    <w:rsid w:val="00EF2CCC"/>
    <w:rsid w:val="00EF36F6"/>
    <w:rsid w:val="00EF37D1"/>
    <w:rsid w:val="00EF43CE"/>
    <w:rsid w:val="00EF47C4"/>
    <w:rsid w:val="00EF4986"/>
    <w:rsid w:val="00EF4B88"/>
    <w:rsid w:val="00EF4B9F"/>
    <w:rsid w:val="00EF4C29"/>
    <w:rsid w:val="00EF4CA9"/>
    <w:rsid w:val="00EF4DBC"/>
    <w:rsid w:val="00EF4F7E"/>
    <w:rsid w:val="00EF51AD"/>
    <w:rsid w:val="00EF51E0"/>
    <w:rsid w:val="00EF5C03"/>
    <w:rsid w:val="00EF5C78"/>
    <w:rsid w:val="00EF5D12"/>
    <w:rsid w:val="00EF5F5A"/>
    <w:rsid w:val="00EF6D00"/>
    <w:rsid w:val="00EF7363"/>
    <w:rsid w:val="00EF7376"/>
    <w:rsid w:val="00EF7E5B"/>
    <w:rsid w:val="00F01209"/>
    <w:rsid w:val="00F01EFD"/>
    <w:rsid w:val="00F02A84"/>
    <w:rsid w:val="00F02ABC"/>
    <w:rsid w:val="00F0318C"/>
    <w:rsid w:val="00F039A6"/>
    <w:rsid w:val="00F03F84"/>
    <w:rsid w:val="00F04797"/>
    <w:rsid w:val="00F06340"/>
    <w:rsid w:val="00F0636F"/>
    <w:rsid w:val="00F0656D"/>
    <w:rsid w:val="00F0697C"/>
    <w:rsid w:val="00F079B9"/>
    <w:rsid w:val="00F1045C"/>
    <w:rsid w:val="00F10AB1"/>
    <w:rsid w:val="00F10AD7"/>
    <w:rsid w:val="00F10F5F"/>
    <w:rsid w:val="00F10FD7"/>
    <w:rsid w:val="00F11070"/>
    <w:rsid w:val="00F113F8"/>
    <w:rsid w:val="00F11443"/>
    <w:rsid w:val="00F115E8"/>
    <w:rsid w:val="00F11736"/>
    <w:rsid w:val="00F11AF7"/>
    <w:rsid w:val="00F11E0C"/>
    <w:rsid w:val="00F12063"/>
    <w:rsid w:val="00F12BA3"/>
    <w:rsid w:val="00F12CE1"/>
    <w:rsid w:val="00F1301C"/>
    <w:rsid w:val="00F13603"/>
    <w:rsid w:val="00F1381A"/>
    <w:rsid w:val="00F13CCD"/>
    <w:rsid w:val="00F14639"/>
    <w:rsid w:val="00F14796"/>
    <w:rsid w:val="00F14C8C"/>
    <w:rsid w:val="00F14DEB"/>
    <w:rsid w:val="00F14E49"/>
    <w:rsid w:val="00F15567"/>
    <w:rsid w:val="00F15E3A"/>
    <w:rsid w:val="00F16498"/>
    <w:rsid w:val="00F20106"/>
    <w:rsid w:val="00F2041B"/>
    <w:rsid w:val="00F204FD"/>
    <w:rsid w:val="00F20976"/>
    <w:rsid w:val="00F2123D"/>
    <w:rsid w:val="00F21379"/>
    <w:rsid w:val="00F21573"/>
    <w:rsid w:val="00F2161C"/>
    <w:rsid w:val="00F21A71"/>
    <w:rsid w:val="00F225A7"/>
    <w:rsid w:val="00F225DA"/>
    <w:rsid w:val="00F23352"/>
    <w:rsid w:val="00F23671"/>
    <w:rsid w:val="00F23831"/>
    <w:rsid w:val="00F23A71"/>
    <w:rsid w:val="00F24142"/>
    <w:rsid w:val="00F24402"/>
    <w:rsid w:val="00F2495F"/>
    <w:rsid w:val="00F24DB1"/>
    <w:rsid w:val="00F24DED"/>
    <w:rsid w:val="00F24F73"/>
    <w:rsid w:val="00F25204"/>
    <w:rsid w:val="00F25A66"/>
    <w:rsid w:val="00F26169"/>
    <w:rsid w:val="00F263E8"/>
    <w:rsid w:val="00F26D9E"/>
    <w:rsid w:val="00F2724F"/>
    <w:rsid w:val="00F27687"/>
    <w:rsid w:val="00F310FD"/>
    <w:rsid w:val="00F312C0"/>
    <w:rsid w:val="00F31355"/>
    <w:rsid w:val="00F3143D"/>
    <w:rsid w:val="00F31702"/>
    <w:rsid w:val="00F31765"/>
    <w:rsid w:val="00F317FE"/>
    <w:rsid w:val="00F31952"/>
    <w:rsid w:val="00F320A1"/>
    <w:rsid w:val="00F324F5"/>
    <w:rsid w:val="00F327A0"/>
    <w:rsid w:val="00F32B7B"/>
    <w:rsid w:val="00F32F63"/>
    <w:rsid w:val="00F33501"/>
    <w:rsid w:val="00F33DDB"/>
    <w:rsid w:val="00F342DD"/>
    <w:rsid w:val="00F3465D"/>
    <w:rsid w:val="00F34D6C"/>
    <w:rsid w:val="00F34F17"/>
    <w:rsid w:val="00F35953"/>
    <w:rsid w:val="00F35B22"/>
    <w:rsid w:val="00F35EB3"/>
    <w:rsid w:val="00F3601D"/>
    <w:rsid w:val="00F363DF"/>
    <w:rsid w:val="00F379BF"/>
    <w:rsid w:val="00F40AEA"/>
    <w:rsid w:val="00F41551"/>
    <w:rsid w:val="00F415F2"/>
    <w:rsid w:val="00F418BD"/>
    <w:rsid w:val="00F41EDE"/>
    <w:rsid w:val="00F41FE6"/>
    <w:rsid w:val="00F4239C"/>
    <w:rsid w:val="00F4276B"/>
    <w:rsid w:val="00F42AA4"/>
    <w:rsid w:val="00F42B03"/>
    <w:rsid w:val="00F435AD"/>
    <w:rsid w:val="00F43BFF"/>
    <w:rsid w:val="00F43C8B"/>
    <w:rsid w:val="00F44F1F"/>
    <w:rsid w:val="00F4555B"/>
    <w:rsid w:val="00F50870"/>
    <w:rsid w:val="00F50AC5"/>
    <w:rsid w:val="00F50EDA"/>
    <w:rsid w:val="00F50F8E"/>
    <w:rsid w:val="00F51475"/>
    <w:rsid w:val="00F517A4"/>
    <w:rsid w:val="00F524DD"/>
    <w:rsid w:val="00F52864"/>
    <w:rsid w:val="00F53149"/>
    <w:rsid w:val="00F53392"/>
    <w:rsid w:val="00F53CFA"/>
    <w:rsid w:val="00F53D4F"/>
    <w:rsid w:val="00F54144"/>
    <w:rsid w:val="00F546F0"/>
    <w:rsid w:val="00F558E3"/>
    <w:rsid w:val="00F55D3E"/>
    <w:rsid w:val="00F56905"/>
    <w:rsid w:val="00F56EA2"/>
    <w:rsid w:val="00F5706B"/>
    <w:rsid w:val="00F57153"/>
    <w:rsid w:val="00F579D1"/>
    <w:rsid w:val="00F57AA2"/>
    <w:rsid w:val="00F57FB9"/>
    <w:rsid w:val="00F60964"/>
    <w:rsid w:val="00F60F94"/>
    <w:rsid w:val="00F616F5"/>
    <w:rsid w:val="00F61D18"/>
    <w:rsid w:val="00F61F48"/>
    <w:rsid w:val="00F6200E"/>
    <w:rsid w:val="00F62276"/>
    <w:rsid w:val="00F626E5"/>
    <w:rsid w:val="00F63AD5"/>
    <w:rsid w:val="00F63D9E"/>
    <w:rsid w:val="00F63E97"/>
    <w:rsid w:val="00F63F02"/>
    <w:rsid w:val="00F643DA"/>
    <w:rsid w:val="00F64746"/>
    <w:rsid w:val="00F64C9B"/>
    <w:rsid w:val="00F64DF2"/>
    <w:rsid w:val="00F64E25"/>
    <w:rsid w:val="00F65104"/>
    <w:rsid w:val="00F653EE"/>
    <w:rsid w:val="00F6567E"/>
    <w:rsid w:val="00F6578E"/>
    <w:rsid w:val="00F65868"/>
    <w:rsid w:val="00F6621D"/>
    <w:rsid w:val="00F6646D"/>
    <w:rsid w:val="00F66560"/>
    <w:rsid w:val="00F66731"/>
    <w:rsid w:val="00F66C5C"/>
    <w:rsid w:val="00F66D13"/>
    <w:rsid w:val="00F66DCC"/>
    <w:rsid w:val="00F66FAA"/>
    <w:rsid w:val="00F70474"/>
    <w:rsid w:val="00F704A6"/>
    <w:rsid w:val="00F70C2C"/>
    <w:rsid w:val="00F71693"/>
    <w:rsid w:val="00F7177A"/>
    <w:rsid w:val="00F71DF0"/>
    <w:rsid w:val="00F7245E"/>
    <w:rsid w:val="00F725C1"/>
    <w:rsid w:val="00F72806"/>
    <w:rsid w:val="00F72837"/>
    <w:rsid w:val="00F72C8D"/>
    <w:rsid w:val="00F7364C"/>
    <w:rsid w:val="00F73DB8"/>
    <w:rsid w:val="00F74570"/>
    <w:rsid w:val="00F748C2"/>
    <w:rsid w:val="00F749D6"/>
    <w:rsid w:val="00F74E36"/>
    <w:rsid w:val="00F76244"/>
    <w:rsid w:val="00F76CA6"/>
    <w:rsid w:val="00F76EFF"/>
    <w:rsid w:val="00F77955"/>
    <w:rsid w:val="00F77B2B"/>
    <w:rsid w:val="00F77CC9"/>
    <w:rsid w:val="00F77D7D"/>
    <w:rsid w:val="00F77DC9"/>
    <w:rsid w:val="00F80106"/>
    <w:rsid w:val="00F804E7"/>
    <w:rsid w:val="00F80780"/>
    <w:rsid w:val="00F808A9"/>
    <w:rsid w:val="00F80C6D"/>
    <w:rsid w:val="00F80C7E"/>
    <w:rsid w:val="00F82541"/>
    <w:rsid w:val="00F8289A"/>
    <w:rsid w:val="00F82AA6"/>
    <w:rsid w:val="00F83EB8"/>
    <w:rsid w:val="00F84086"/>
    <w:rsid w:val="00F84235"/>
    <w:rsid w:val="00F84768"/>
    <w:rsid w:val="00F849A2"/>
    <w:rsid w:val="00F852A9"/>
    <w:rsid w:val="00F86F1D"/>
    <w:rsid w:val="00F87500"/>
    <w:rsid w:val="00F8750E"/>
    <w:rsid w:val="00F8762D"/>
    <w:rsid w:val="00F878C7"/>
    <w:rsid w:val="00F900FE"/>
    <w:rsid w:val="00F902B8"/>
    <w:rsid w:val="00F90B7B"/>
    <w:rsid w:val="00F90D15"/>
    <w:rsid w:val="00F9105A"/>
    <w:rsid w:val="00F911DF"/>
    <w:rsid w:val="00F91B62"/>
    <w:rsid w:val="00F91D1C"/>
    <w:rsid w:val="00F91E82"/>
    <w:rsid w:val="00F91FB3"/>
    <w:rsid w:val="00F92EB3"/>
    <w:rsid w:val="00F93A5C"/>
    <w:rsid w:val="00F94673"/>
    <w:rsid w:val="00F94F7C"/>
    <w:rsid w:val="00F95543"/>
    <w:rsid w:val="00F95975"/>
    <w:rsid w:val="00F96087"/>
    <w:rsid w:val="00F96374"/>
    <w:rsid w:val="00F96413"/>
    <w:rsid w:val="00F9648C"/>
    <w:rsid w:val="00F964EB"/>
    <w:rsid w:val="00F968EA"/>
    <w:rsid w:val="00F9788D"/>
    <w:rsid w:val="00FA048E"/>
    <w:rsid w:val="00FA0A78"/>
    <w:rsid w:val="00FA0F42"/>
    <w:rsid w:val="00FA240E"/>
    <w:rsid w:val="00FA2731"/>
    <w:rsid w:val="00FA2BC5"/>
    <w:rsid w:val="00FA3245"/>
    <w:rsid w:val="00FA367C"/>
    <w:rsid w:val="00FA3866"/>
    <w:rsid w:val="00FA4400"/>
    <w:rsid w:val="00FA4544"/>
    <w:rsid w:val="00FA4E2F"/>
    <w:rsid w:val="00FA5145"/>
    <w:rsid w:val="00FA53B4"/>
    <w:rsid w:val="00FA58EF"/>
    <w:rsid w:val="00FA6985"/>
    <w:rsid w:val="00FA7826"/>
    <w:rsid w:val="00FA7A93"/>
    <w:rsid w:val="00FB09B7"/>
    <w:rsid w:val="00FB1233"/>
    <w:rsid w:val="00FB1CC3"/>
    <w:rsid w:val="00FB1CE7"/>
    <w:rsid w:val="00FB21AB"/>
    <w:rsid w:val="00FB2215"/>
    <w:rsid w:val="00FB2722"/>
    <w:rsid w:val="00FB2A19"/>
    <w:rsid w:val="00FB37D1"/>
    <w:rsid w:val="00FB39A9"/>
    <w:rsid w:val="00FB4044"/>
    <w:rsid w:val="00FB4100"/>
    <w:rsid w:val="00FB4830"/>
    <w:rsid w:val="00FB52E5"/>
    <w:rsid w:val="00FB537F"/>
    <w:rsid w:val="00FB5670"/>
    <w:rsid w:val="00FB56B3"/>
    <w:rsid w:val="00FB5964"/>
    <w:rsid w:val="00FB603B"/>
    <w:rsid w:val="00FB63D2"/>
    <w:rsid w:val="00FB7261"/>
    <w:rsid w:val="00FB75CF"/>
    <w:rsid w:val="00FB7C21"/>
    <w:rsid w:val="00FB7D07"/>
    <w:rsid w:val="00FB7E83"/>
    <w:rsid w:val="00FC0241"/>
    <w:rsid w:val="00FC0339"/>
    <w:rsid w:val="00FC0637"/>
    <w:rsid w:val="00FC07E9"/>
    <w:rsid w:val="00FC1846"/>
    <w:rsid w:val="00FC2523"/>
    <w:rsid w:val="00FC2BA3"/>
    <w:rsid w:val="00FC2CE9"/>
    <w:rsid w:val="00FC2DC5"/>
    <w:rsid w:val="00FC2E45"/>
    <w:rsid w:val="00FC2F29"/>
    <w:rsid w:val="00FC322C"/>
    <w:rsid w:val="00FC3446"/>
    <w:rsid w:val="00FC35F4"/>
    <w:rsid w:val="00FC3C91"/>
    <w:rsid w:val="00FC3F14"/>
    <w:rsid w:val="00FC4A34"/>
    <w:rsid w:val="00FC4C03"/>
    <w:rsid w:val="00FC4C56"/>
    <w:rsid w:val="00FC5695"/>
    <w:rsid w:val="00FC5D6E"/>
    <w:rsid w:val="00FC66A5"/>
    <w:rsid w:val="00FC6C10"/>
    <w:rsid w:val="00FC70BE"/>
    <w:rsid w:val="00FC7340"/>
    <w:rsid w:val="00FC7581"/>
    <w:rsid w:val="00FC75C3"/>
    <w:rsid w:val="00FD02B3"/>
    <w:rsid w:val="00FD0527"/>
    <w:rsid w:val="00FD0906"/>
    <w:rsid w:val="00FD0D26"/>
    <w:rsid w:val="00FD0D34"/>
    <w:rsid w:val="00FD100C"/>
    <w:rsid w:val="00FD19A8"/>
    <w:rsid w:val="00FD1A0A"/>
    <w:rsid w:val="00FD1C2B"/>
    <w:rsid w:val="00FD20E7"/>
    <w:rsid w:val="00FD2267"/>
    <w:rsid w:val="00FD2469"/>
    <w:rsid w:val="00FD2ACE"/>
    <w:rsid w:val="00FD32D9"/>
    <w:rsid w:val="00FD382B"/>
    <w:rsid w:val="00FD4093"/>
    <w:rsid w:val="00FD446C"/>
    <w:rsid w:val="00FD498B"/>
    <w:rsid w:val="00FD4A1D"/>
    <w:rsid w:val="00FD4EFA"/>
    <w:rsid w:val="00FD4F48"/>
    <w:rsid w:val="00FD524A"/>
    <w:rsid w:val="00FD54E4"/>
    <w:rsid w:val="00FD5A6E"/>
    <w:rsid w:val="00FD6178"/>
    <w:rsid w:val="00FD716A"/>
    <w:rsid w:val="00FD7476"/>
    <w:rsid w:val="00FD79CC"/>
    <w:rsid w:val="00FD7C89"/>
    <w:rsid w:val="00FE009C"/>
    <w:rsid w:val="00FE03FB"/>
    <w:rsid w:val="00FE0489"/>
    <w:rsid w:val="00FE0863"/>
    <w:rsid w:val="00FE0AED"/>
    <w:rsid w:val="00FE0B74"/>
    <w:rsid w:val="00FE11A2"/>
    <w:rsid w:val="00FE1508"/>
    <w:rsid w:val="00FE1702"/>
    <w:rsid w:val="00FE1B55"/>
    <w:rsid w:val="00FE1EC3"/>
    <w:rsid w:val="00FE1F66"/>
    <w:rsid w:val="00FE208E"/>
    <w:rsid w:val="00FE30C4"/>
    <w:rsid w:val="00FE3B79"/>
    <w:rsid w:val="00FE3C8F"/>
    <w:rsid w:val="00FE412F"/>
    <w:rsid w:val="00FE4242"/>
    <w:rsid w:val="00FE49B7"/>
    <w:rsid w:val="00FE4FE3"/>
    <w:rsid w:val="00FE5259"/>
    <w:rsid w:val="00FE678F"/>
    <w:rsid w:val="00FE6A09"/>
    <w:rsid w:val="00FE6EE8"/>
    <w:rsid w:val="00FE71BF"/>
    <w:rsid w:val="00FE71DB"/>
    <w:rsid w:val="00FE7268"/>
    <w:rsid w:val="00FE72B0"/>
    <w:rsid w:val="00FE7395"/>
    <w:rsid w:val="00FE73FC"/>
    <w:rsid w:val="00FE7561"/>
    <w:rsid w:val="00FF028F"/>
    <w:rsid w:val="00FF0360"/>
    <w:rsid w:val="00FF03A6"/>
    <w:rsid w:val="00FF04EA"/>
    <w:rsid w:val="00FF0552"/>
    <w:rsid w:val="00FF0B44"/>
    <w:rsid w:val="00FF0C00"/>
    <w:rsid w:val="00FF0ECE"/>
    <w:rsid w:val="00FF1703"/>
    <w:rsid w:val="00FF1950"/>
    <w:rsid w:val="00FF1C88"/>
    <w:rsid w:val="00FF20F9"/>
    <w:rsid w:val="00FF273E"/>
    <w:rsid w:val="00FF29CB"/>
    <w:rsid w:val="00FF3096"/>
    <w:rsid w:val="00FF312A"/>
    <w:rsid w:val="00FF316F"/>
    <w:rsid w:val="00FF346B"/>
    <w:rsid w:val="00FF390A"/>
    <w:rsid w:val="00FF4126"/>
    <w:rsid w:val="00FF4F6D"/>
    <w:rsid w:val="00FF5243"/>
    <w:rsid w:val="00FF52C7"/>
    <w:rsid w:val="00FF54F0"/>
    <w:rsid w:val="00FF5571"/>
    <w:rsid w:val="00FF57BB"/>
    <w:rsid w:val="00FF59CC"/>
    <w:rsid w:val="00FF5A59"/>
    <w:rsid w:val="00FF5C75"/>
    <w:rsid w:val="00FF5DC3"/>
    <w:rsid w:val="00FF5ED4"/>
    <w:rsid w:val="00FF6AF0"/>
    <w:rsid w:val="00FF6E75"/>
    <w:rsid w:val="00FF717A"/>
    <w:rsid w:val="00FF7FEA"/>
    <w:rsid w:val="012A6BDB"/>
    <w:rsid w:val="0187136C"/>
    <w:rsid w:val="01A329DB"/>
    <w:rsid w:val="01D7535E"/>
    <w:rsid w:val="01DC3DEE"/>
    <w:rsid w:val="02160F0D"/>
    <w:rsid w:val="02180F66"/>
    <w:rsid w:val="024008A5"/>
    <w:rsid w:val="024D0A91"/>
    <w:rsid w:val="0261499F"/>
    <w:rsid w:val="026D328E"/>
    <w:rsid w:val="028922BF"/>
    <w:rsid w:val="029B7F51"/>
    <w:rsid w:val="029D094A"/>
    <w:rsid w:val="03004BDE"/>
    <w:rsid w:val="03323B3B"/>
    <w:rsid w:val="036068E4"/>
    <w:rsid w:val="03636F67"/>
    <w:rsid w:val="036D3CCD"/>
    <w:rsid w:val="03857F7D"/>
    <w:rsid w:val="03C14A50"/>
    <w:rsid w:val="04087CF8"/>
    <w:rsid w:val="04207E72"/>
    <w:rsid w:val="044C5F8B"/>
    <w:rsid w:val="045621AE"/>
    <w:rsid w:val="046C7D60"/>
    <w:rsid w:val="0471084F"/>
    <w:rsid w:val="04735EE6"/>
    <w:rsid w:val="048021E8"/>
    <w:rsid w:val="049A66EA"/>
    <w:rsid w:val="04C86AA0"/>
    <w:rsid w:val="04DC2049"/>
    <w:rsid w:val="04F95C85"/>
    <w:rsid w:val="052C0B96"/>
    <w:rsid w:val="05C57BB2"/>
    <w:rsid w:val="06052E78"/>
    <w:rsid w:val="060C03A1"/>
    <w:rsid w:val="060E174D"/>
    <w:rsid w:val="06201CF4"/>
    <w:rsid w:val="06256349"/>
    <w:rsid w:val="062D08D8"/>
    <w:rsid w:val="06423013"/>
    <w:rsid w:val="064C75F3"/>
    <w:rsid w:val="0671505C"/>
    <w:rsid w:val="06B92FD2"/>
    <w:rsid w:val="06D53D65"/>
    <w:rsid w:val="07091ECE"/>
    <w:rsid w:val="07424039"/>
    <w:rsid w:val="074F323F"/>
    <w:rsid w:val="075F4C9F"/>
    <w:rsid w:val="07625D4D"/>
    <w:rsid w:val="07927789"/>
    <w:rsid w:val="07A23142"/>
    <w:rsid w:val="07CC23CB"/>
    <w:rsid w:val="07CD7839"/>
    <w:rsid w:val="07DE1A99"/>
    <w:rsid w:val="07E64FE3"/>
    <w:rsid w:val="07EE660F"/>
    <w:rsid w:val="07FE3701"/>
    <w:rsid w:val="084A4867"/>
    <w:rsid w:val="085602B5"/>
    <w:rsid w:val="085F4411"/>
    <w:rsid w:val="08652EFC"/>
    <w:rsid w:val="088417F6"/>
    <w:rsid w:val="088A4403"/>
    <w:rsid w:val="088E219D"/>
    <w:rsid w:val="0891762E"/>
    <w:rsid w:val="08A321A5"/>
    <w:rsid w:val="08AE6343"/>
    <w:rsid w:val="08BF5E5A"/>
    <w:rsid w:val="08F67234"/>
    <w:rsid w:val="091E6F4E"/>
    <w:rsid w:val="09205EAC"/>
    <w:rsid w:val="09603AA6"/>
    <w:rsid w:val="096D4593"/>
    <w:rsid w:val="099D7E23"/>
    <w:rsid w:val="09AA066E"/>
    <w:rsid w:val="09AB4631"/>
    <w:rsid w:val="09C4787A"/>
    <w:rsid w:val="09DB5B0E"/>
    <w:rsid w:val="09F43AC6"/>
    <w:rsid w:val="0A371684"/>
    <w:rsid w:val="0A384DF5"/>
    <w:rsid w:val="0A4872F9"/>
    <w:rsid w:val="0A773FE8"/>
    <w:rsid w:val="0A7F448A"/>
    <w:rsid w:val="0A8D16B6"/>
    <w:rsid w:val="0AF8380B"/>
    <w:rsid w:val="0B1200DE"/>
    <w:rsid w:val="0B261D14"/>
    <w:rsid w:val="0B266665"/>
    <w:rsid w:val="0B33092C"/>
    <w:rsid w:val="0B5D5A96"/>
    <w:rsid w:val="0B605267"/>
    <w:rsid w:val="0B8C2A38"/>
    <w:rsid w:val="0BA96923"/>
    <w:rsid w:val="0BAD41C3"/>
    <w:rsid w:val="0C0B7609"/>
    <w:rsid w:val="0C1535A1"/>
    <w:rsid w:val="0C2B392B"/>
    <w:rsid w:val="0C534C59"/>
    <w:rsid w:val="0C69703D"/>
    <w:rsid w:val="0C9E222B"/>
    <w:rsid w:val="0CBD06F8"/>
    <w:rsid w:val="0CF35CA7"/>
    <w:rsid w:val="0D014834"/>
    <w:rsid w:val="0D0F4ED6"/>
    <w:rsid w:val="0D613984"/>
    <w:rsid w:val="0D921AC0"/>
    <w:rsid w:val="0D9228EA"/>
    <w:rsid w:val="0D9304EB"/>
    <w:rsid w:val="0D98003D"/>
    <w:rsid w:val="0DC221F5"/>
    <w:rsid w:val="0DD02725"/>
    <w:rsid w:val="0DE52DB5"/>
    <w:rsid w:val="0DF611B3"/>
    <w:rsid w:val="0E177B3B"/>
    <w:rsid w:val="0E734A4C"/>
    <w:rsid w:val="0E9C10D8"/>
    <w:rsid w:val="0EA66BF9"/>
    <w:rsid w:val="0ED47333"/>
    <w:rsid w:val="0EE70B43"/>
    <w:rsid w:val="0F120817"/>
    <w:rsid w:val="0F267736"/>
    <w:rsid w:val="0F3B6457"/>
    <w:rsid w:val="0F4B6C27"/>
    <w:rsid w:val="0F4D1BD5"/>
    <w:rsid w:val="0F7926C1"/>
    <w:rsid w:val="0FAA548B"/>
    <w:rsid w:val="0FB11EE2"/>
    <w:rsid w:val="0FB14362"/>
    <w:rsid w:val="0FE200C5"/>
    <w:rsid w:val="102B1B82"/>
    <w:rsid w:val="105B76CF"/>
    <w:rsid w:val="10624297"/>
    <w:rsid w:val="1069582F"/>
    <w:rsid w:val="106B2800"/>
    <w:rsid w:val="106C2D6C"/>
    <w:rsid w:val="109D6377"/>
    <w:rsid w:val="11382893"/>
    <w:rsid w:val="11494CB5"/>
    <w:rsid w:val="114A1199"/>
    <w:rsid w:val="115364CF"/>
    <w:rsid w:val="116013AE"/>
    <w:rsid w:val="117369BF"/>
    <w:rsid w:val="11967974"/>
    <w:rsid w:val="11B63E03"/>
    <w:rsid w:val="11D64215"/>
    <w:rsid w:val="12045CC0"/>
    <w:rsid w:val="121905A7"/>
    <w:rsid w:val="1233078C"/>
    <w:rsid w:val="125757A9"/>
    <w:rsid w:val="125A3479"/>
    <w:rsid w:val="12774C3A"/>
    <w:rsid w:val="129B31AF"/>
    <w:rsid w:val="12A227FC"/>
    <w:rsid w:val="12B24C82"/>
    <w:rsid w:val="12E64707"/>
    <w:rsid w:val="12FA2ED1"/>
    <w:rsid w:val="13034CC2"/>
    <w:rsid w:val="13037243"/>
    <w:rsid w:val="1320666D"/>
    <w:rsid w:val="134E79ED"/>
    <w:rsid w:val="139C1111"/>
    <w:rsid w:val="13AC3672"/>
    <w:rsid w:val="13BB1914"/>
    <w:rsid w:val="13F04D39"/>
    <w:rsid w:val="14065285"/>
    <w:rsid w:val="141C67FA"/>
    <w:rsid w:val="143C2A55"/>
    <w:rsid w:val="148B7538"/>
    <w:rsid w:val="149A2DFA"/>
    <w:rsid w:val="14AC5E4A"/>
    <w:rsid w:val="14B21B5D"/>
    <w:rsid w:val="14BC5B96"/>
    <w:rsid w:val="14CA4E5A"/>
    <w:rsid w:val="14CF0E39"/>
    <w:rsid w:val="14D45E95"/>
    <w:rsid w:val="14EA6274"/>
    <w:rsid w:val="15352978"/>
    <w:rsid w:val="153614F6"/>
    <w:rsid w:val="15407256"/>
    <w:rsid w:val="15481EED"/>
    <w:rsid w:val="15A875C5"/>
    <w:rsid w:val="15D24848"/>
    <w:rsid w:val="162B1871"/>
    <w:rsid w:val="16301C1D"/>
    <w:rsid w:val="163074CE"/>
    <w:rsid w:val="16890235"/>
    <w:rsid w:val="169F2EC4"/>
    <w:rsid w:val="16A83A1C"/>
    <w:rsid w:val="16B03286"/>
    <w:rsid w:val="16B22DDC"/>
    <w:rsid w:val="16FE1178"/>
    <w:rsid w:val="1703321E"/>
    <w:rsid w:val="17166096"/>
    <w:rsid w:val="17190E2C"/>
    <w:rsid w:val="1730678E"/>
    <w:rsid w:val="173B6ACB"/>
    <w:rsid w:val="17440D60"/>
    <w:rsid w:val="17603BA1"/>
    <w:rsid w:val="17665D64"/>
    <w:rsid w:val="17943A15"/>
    <w:rsid w:val="1834013D"/>
    <w:rsid w:val="18493F6B"/>
    <w:rsid w:val="184F5916"/>
    <w:rsid w:val="18562F63"/>
    <w:rsid w:val="18605EAA"/>
    <w:rsid w:val="18B51028"/>
    <w:rsid w:val="18D87E25"/>
    <w:rsid w:val="18F23E13"/>
    <w:rsid w:val="18FF0FCE"/>
    <w:rsid w:val="191C5A42"/>
    <w:rsid w:val="192B12EA"/>
    <w:rsid w:val="19AE50FE"/>
    <w:rsid w:val="19DB6001"/>
    <w:rsid w:val="1A050C7F"/>
    <w:rsid w:val="1A331252"/>
    <w:rsid w:val="1A4A1E37"/>
    <w:rsid w:val="1A6E5932"/>
    <w:rsid w:val="1A700CC5"/>
    <w:rsid w:val="1A8844E0"/>
    <w:rsid w:val="1B2F4C86"/>
    <w:rsid w:val="1B384624"/>
    <w:rsid w:val="1B773965"/>
    <w:rsid w:val="1B7E039F"/>
    <w:rsid w:val="1B891AFD"/>
    <w:rsid w:val="1BAF5778"/>
    <w:rsid w:val="1BFC66E3"/>
    <w:rsid w:val="1BFE34F5"/>
    <w:rsid w:val="1C2277C9"/>
    <w:rsid w:val="1C257E23"/>
    <w:rsid w:val="1C2F10F1"/>
    <w:rsid w:val="1C34139E"/>
    <w:rsid w:val="1C41793F"/>
    <w:rsid w:val="1C435308"/>
    <w:rsid w:val="1C4778C9"/>
    <w:rsid w:val="1C680956"/>
    <w:rsid w:val="1C7D66C0"/>
    <w:rsid w:val="1C7F7328"/>
    <w:rsid w:val="1CAF69A0"/>
    <w:rsid w:val="1CED2FBB"/>
    <w:rsid w:val="1D1C2BCE"/>
    <w:rsid w:val="1D3674F8"/>
    <w:rsid w:val="1D60372C"/>
    <w:rsid w:val="1D726A97"/>
    <w:rsid w:val="1D7D4070"/>
    <w:rsid w:val="1D8B45E4"/>
    <w:rsid w:val="1DA166D1"/>
    <w:rsid w:val="1DD371AF"/>
    <w:rsid w:val="1DD7758F"/>
    <w:rsid w:val="1E452368"/>
    <w:rsid w:val="1E95623E"/>
    <w:rsid w:val="1EA47901"/>
    <w:rsid w:val="1EA77665"/>
    <w:rsid w:val="1EBE6820"/>
    <w:rsid w:val="1EEF5843"/>
    <w:rsid w:val="1EFC4269"/>
    <w:rsid w:val="1F144072"/>
    <w:rsid w:val="1F266FEF"/>
    <w:rsid w:val="1F8C2A73"/>
    <w:rsid w:val="1F92189C"/>
    <w:rsid w:val="1FB2746D"/>
    <w:rsid w:val="200709BC"/>
    <w:rsid w:val="20184B06"/>
    <w:rsid w:val="204B3C7E"/>
    <w:rsid w:val="204E4588"/>
    <w:rsid w:val="20852362"/>
    <w:rsid w:val="20A36171"/>
    <w:rsid w:val="20B91459"/>
    <w:rsid w:val="20E55BFC"/>
    <w:rsid w:val="20E64474"/>
    <w:rsid w:val="20EC563B"/>
    <w:rsid w:val="21A4259C"/>
    <w:rsid w:val="21A65C64"/>
    <w:rsid w:val="21CB3F90"/>
    <w:rsid w:val="220F17A9"/>
    <w:rsid w:val="22145011"/>
    <w:rsid w:val="222A6F69"/>
    <w:rsid w:val="223E4D78"/>
    <w:rsid w:val="22531AE4"/>
    <w:rsid w:val="22AC1775"/>
    <w:rsid w:val="22C33B87"/>
    <w:rsid w:val="22D02D6B"/>
    <w:rsid w:val="22D442C6"/>
    <w:rsid w:val="22D57440"/>
    <w:rsid w:val="22DF6CED"/>
    <w:rsid w:val="22EA38D7"/>
    <w:rsid w:val="231A1BC5"/>
    <w:rsid w:val="233553CB"/>
    <w:rsid w:val="234902D9"/>
    <w:rsid w:val="236C40CC"/>
    <w:rsid w:val="236E0CE7"/>
    <w:rsid w:val="23785E6D"/>
    <w:rsid w:val="23A02EF4"/>
    <w:rsid w:val="23A7029C"/>
    <w:rsid w:val="23AE001C"/>
    <w:rsid w:val="23C452BF"/>
    <w:rsid w:val="23D4149A"/>
    <w:rsid w:val="23DF0CFE"/>
    <w:rsid w:val="2415687F"/>
    <w:rsid w:val="24194B61"/>
    <w:rsid w:val="242C48E2"/>
    <w:rsid w:val="24771887"/>
    <w:rsid w:val="24794637"/>
    <w:rsid w:val="24857B13"/>
    <w:rsid w:val="24A47828"/>
    <w:rsid w:val="24D82326"/>
    <w:rsid w:val="24EE02F3"/>
    <w:rsid w:val="2509367B"/>
    <w:rsid w:val="256F4FB0"/>
    <w:rsid w:val="25813A7E"/>
    <w:rsid w:val="258C5018"/>
    <w:rsid w:val="25D52801"/>
    <w:rsid w:val="25FA1686"/>
    <w:rsid w:val="26433CC0"/>
    <w:rsid w:val="26832978"/>
    <w:rsid w:val="26956616"/>
    <w:rsid w:val="26E02BAF"/>
    <w:rsid w:val="26E97B58"/>
    <w:rsid w:val="270A6969"/>
    <w:rsid w:val="27194B91"/>
    <w:rsid w:val="273C4291"/>
    <w:rsid w:val="27B278EB"/>
    <w:rsid w:val="27BF5EC8"/>
    <w:rsid w:val="27C61713"/>
    <w:rsid w:val="28301BC2"/>
    <w:rsid w:val="285223EF"/>
    <w:rsid w:val="28555138"/>
    <w:rsid w:val="285E3669"/>
    <w:rsid w:val="289F5599"/>
    <w:rsid w:val="28A8388D"/>
    <w:rsid w:val="28FC3266"/>
    <w:rsid w:val="29170E8E"/>
    <w:rsid w:val="29414C87"/>
    <w:rsid w:val="294A30C6"/>
    <w:rsid w:val="298365D8"/>
    <w:rsid w:val="2991607D"/>
    <w:rsid w:val="29934A6D"/>
    <w:rsid w:val="299C41E5"/>
    <w:rsid w:val="29A749BD"/>
    <w:rsid w:val="29B922E3"/>
    <w:rsid w:val="29E700AF"/>
    <w:rsid w:val="2A2B3D75"/>
    <w:rsid w:val="2A2D29D0"/>
    <w:rsid w:val="2A3B1FD1"/>
    <w:rsid w:val="2A43512D"/>
    <w:rsid w:val="2A662475"/>
    <w:rsid w:val="2A6B48DA"/>
    <w:rsid w:val="2A712F5A"/>
    <w:rsid w:val="2A7407B0"/>
    <w:rsid w:val="2AA71852"/>
    <w:rsid w:val="2AC5799B"/>
    <w:rsid w:val="2AE61515"/>
    <w:rsid w:val="2AF74DF0"/>
    <w:rsid w:val="2B2E2E6D"/>
    <w:rsid w:val="2B4019A6"/>
    <w:rsid w:val="2B7A1F9D"/>
    <w:rsid w:val="2BB1797F"/>
    <w:rsid w:val="2BEF7DF6"/>
    <w:rsid w:val="2C5073B7"/>
    <w:rsid w:val="2C5A469A"/>
    <w:rsid w:val="2C730CBC"/>
    <w:rsid w:val="2C742EF8"/>
    <w:rsid w:val="2CA500A0"/>
    <w:rsid w:val="2CA7770C"/>
    <w:rsid w:val="2CD05E13"/>
    <w:rsid w:val="2CF24CA2"/>
    <w:rsid w:val="2D001520"/>
    <w:rsid w:val="2D047E87"/>
    <w:rsid w:val="2D2533E8"/>
    <w:rsid w:val="2D267342"/>
    <w:rsid w:val="2D301F27"/>
    <w:rsid w:val="2D524C40"/>
    <w:rsid w:val="2D9374E4"/>
    <w:rsid w:val="2D984876"/>
    <w:rsid w:val="2DBB1197"/>
    <w:rsid w:val="2E1B4A8B"/>
    <w:rsid w:val="2E3517C2"/>
    <w:rsid w:val="2E3D4EAE"/>
    <w:rsid w:val="2EBF7311"/>
    <w:rsid w:val="2EFF0857"/>
    <w:rsid w:val="2F1D347C"/>
    <w:rsid w:val="2F284DAC"/>
    <w:rsid w:val="2F676650"/>
    <w:rsid w:val="2F7E09D2"/>
    <w:rsid w:val="2F833C20"/>
    <w:rsid w:val="2FA4262E"/>
    <w:rsid w:val="2FAC04EE"/>
    <w:rsid w:val="2FCD64F5"/>
    <w:rsid w:val="30206435"/>
    <w:rsid w:val="303E1BD8"/>
    <w:rsid w:val="304D454B"/>
    <w:rsid w:val="306E110D"/>
    <w:rsid w:val="308053A1"/>
    <w:rsid w:val="30894E1C"/>
    <w:rsid w:val="309D1BA5"/>
    <w:rsid w:val="30A05EE6"/>
    <w:rsid w:val="30BA05C7"/>
    <w:rsid w:val="30DA1947"/>
    <w:rsid w:val="30DB012F"/>
    <w:rsid w:val="30DD06C1"/>
    <w:rsid w:val="30E639E9"/>
    <w:rsid w:val="30F1045C"/>
    <w:rsid w:val="31100DB6"/>
    <w:rsid w:val="31106AF3"/>
    <w:rsid w:val="3138779D"/>
    <w:rsid w:val="31612F97"/>
    <w:rsid w:val="3183266E"/>
    <w:rsid w:val="31851E93"/>
    <w:rsid w:val="31990D8C"/>
    <w:rsid w:val="31A74CD8"/>
    <w:rsid w:val="31BB3EC1"/>
    <w:rsid w:val="31DF3EA7"/>
    <w:rsid w:val="32186458"/>
    <w:rsid w:val="323C4451"/>
    <w:rsid w:val="32542BDC"/>
    <w:rsid w:val="32595746"/>
    <w:rsid w:val="3292029A"/>
    <w:rsid w:val="32980010"/>
    <w:rsid w:val="32AE455D"/>
    <w:rsid w:val="32BE3BBF"/>
    <w:rsid w:val="32D85766"/>
    <w:rsid w:val="32E74531"/>
    <w:rsid w:val="32F7723A"/>
    <w:rsid w:val="330F34C3"/>
    <w:rsid w:val="3350775E"/>
    <w:rsid w:val="33943AEA"/>
    <w:rsid w:val="33BA12A8"/>
    <w:rsid w:val="33CB7AB0"/>
    <w:rsid w:val="342866FA"/>
    <w:rsid w:val="342D5ABF"/>
    <w:rsid w:val="343476E6"/>
    <w:rsid w:val="344053A1"/>
    <w:rsid w:val="34544A20"/>
    <w:rsid w:val="345C55B0"/>
    <w:rsid w:val="34651D91"/>
    <w:rsid w:val="34673628"/>
    <w:rsid w:val="34A4197E"/>
    <w:rsid w:val="34FF52B7"/>
    <w:rsid w:val="35377484"/>
    <w:rsid w:val="35521618"/>
    <w:rsid w:val="357E71DA"/>
    <w:rsid w:val="35D95EFE"/>
    <w:rsid w:val="35E34207"/>
    <w:rsid w:val="36043776"/>
    <w:rsid w:val="36387908"/>
    <w:rsid w:val="363F76E9"/>
    <w:rsid w:val="366A415E"/>
    <w:rsid w:val="36B655A8"/>
    <w:rsid w:val="36C144BC"/>
    <w:rsid w:val="36D609BA"/>
    <w:rsid w:val="36EE4F11"/>
    <w:rsid w:val="36FA7FC4"/>
    <w:rsid w:val="370E7FCC"/>
    <w:rsid w:val="371C7014"/>
    <w:rsid w:val="37204487"/>
    <w:rsid w:val="373F035A"/>
    <w:rsid w:val="373F0A15"/>
    <w:rsid w:val="37B37A39"/>
    <w:rsid w:val="37E4465E"/>
    <w:rsid w:val="37ED33C8"/>
    <w:rsid w:val="3807783E"/>
    <w:rsid w:val="381B3910"/>
    <w:rsid w:val="38586D42"/>
    <w:rsid w:val="38624DA0"/>
    <w:rsid w:val="389747CE"/>
    <w:rsid w:val="38CA011C"/>
    <w:rsid w:val="38D4122C"/>
    <w:rsid w:val="38DF0809"/>
    <w:rsid w:val="38E440CC"/>
    <w:rsid w:val="38FE7EE4"/>
    <w:rsid w:val="39190A8A"/>
    <w:rsid w:val="394B1AA0"/>
    <w:rsid w:val="39562AF0"/>
    <w:rsid w:val="396C0E37"/>
    <w:rsid w:val="398A4394"/>
    <w:rsid w:val="398B750F"/>
    <w:rsid w:val="399C796E"/>
    <w:rsid w:val="39BB0146"/>
    <w:rsid w:val="39F31AC4"/>
    <w:rsid w:val="3A125261"/>
    <w:rsid w:val="3A461688"/>
    <w:rsid w:val="3A5119C6"/>
    <w:rsid w:val="3A897546"/>
    <w:rsid w:val="3ABA17B0"/>
    <w:rsid w:val="3AE07D2F"/>
    <w:rsid w:val="3B1A0DCD"/>
    <w:rsid w:val="3BAD592B"/>
    <w:rsid w:val="3BB23933"/>
    <w:rsid w:val="3BB35406"/>
    <w:rsid w:val="3BCA3A3E"/>
    <w:rsid w:val="3C141433"/>
    <w:rsid w:val="3C3540FC"/>
    <w:rsid w:val="3C4A2D68"/>
    <w:rsid w:val="3C5C417F"/>
    <w:rsid w:val="3C787925"/>
    <w:rsid w:val="3C8C47DE"/>
    <w:rsid w:val="3CC50F8A"/>
    <w:rsid w:val="3CE32C25"/>
    <w:rsid w:val="3CE37662"/>
    <w:rsid w:val="3D2862C0"/>
    <w:rsid w:val="3D497E22"/>
    <w:rsid w:val="3D610642"/>
    <w:rsid w:val="3DBB3335"/>
    <w:rsid w:val="3DE22645"/>
    <w:rsid w:val="3DE41F53"/>
    <w:rsid w:val="3E1960BA"/>
    <w:rsid w:val="3E535F42"/>
    <w:rsid w:val="3E596261"/>
    <w:rsid w:val="3E6946D6"/>
    <w:rsid w:val="3E851A65"/>
    <w:rsid w:val="3EA62E96"/>
    <w:rsid w:val="3ED21DD7"/>
    <w:rsid w:val="3EF50134"/>
    <w:rsid w:val="3F2E3EB1"/>
    <w:rsid w:val="3F3A3A46"/>
    <w:rsid w:val="3F847CE4"/>
    <w:rsid w:val="3F8B74A4"/>
    <w:rsid w:val="3FEB51AC"/>
    <w:rsid w:val="401E2A4B"/>
    <w:rsid w:val="40273880"/>
    <w:rsid w:val="403246BC"/>
    <w:rsid w:val="406929C0"/>
    <w:rsid w:val="40965073"/>
    <w:rsid w:val="40AC5132"/>
    <w:rsid w:val="40F97EBF"/>
    <w:rsid w:val="413805E4"/>
    <w:rsid w:val="414D1313"/>
    <w:rsid w:val="416A08CB"/>
    <w:rsid w:val="41833AD0"/>
    <w:rsid w:val="41DD5999"/>
    <w:rsid w:val="42133F79"/>
    <w:rsid w:val="423155E5"/>
    <w:rsid w:val="426A19DE"/>
    <w:rsid w:val="42D31ABB"/>
    <w:rsid w:val="43413B0E"/>
    <w:rsid w:val="43640463"/>
    <w:rsid w:val="436A1270"/>
    <w:rsid w:val="4397785A"/>
    <w:rsid w:val="43DF452A"/>
    <w:rsid w:val="43E6788F"/>
    <w:rsid w:val="443133AD"/>
    <w:rsid w:val="443A4413"/>
    <w:rsid w:val="445541BC"/>
    <w:rsid w:val="446C1BE3"/>
    <w:rsid w:val="44B4450D"/>
    <w:rsid w:val="44B73B9E"/>
    <w:rsid w:val="44B8027E"/>
    <w:rsid w:val="44F05012"/>
    <w:rsid w:val="453745A9"/>
    <w:rsid w:val="455E0AF9"/>
    <w:rsid w:val="45746D73"/>
    <w:rsid w:val="459473A2"/>
    <w:rsid w:val="45F235C6"/>
    <w:rsid w:val="45F4643C"/>
    <w:rsid w:val="45FF1671"/>
    <w:rsid w:val="463902F3"/>
    <w:rsid w:val="467923C2"/>
    <w:rsid w:val="467D500D"/>
    <w:rsid w:val="468531A6"/>
    <w:rsid w:val="46CA5515"/>
    <w:rsid w:val="46E06017"/>
    <w:rsid w:val="46E618B0"/>
    <w:rsid w:val="46F64735"/>
    <w:rsid w:val="46FB2D36"/>
    <w:rsid w:val="47514A22"/>
    <w:rsid w:val="476D37CD"/>
    <w:rsid w:val="47BD559E"/>
    <w:rsid w:val="47D91A7B"/>
    <w:rsid w:val="47F4254D"/>
    <w:rsid w:val="47FA70F6"/>
    <w:rsid w:val="486A4813"/>
    <w:rsid w:val="48AA5A9E"/>
    <w:rsid w:val="48C91E02"/>
    <w:rsid w:val="48D16F41"/>
    <w:rsid w:val="48FD5774"/>
    <w:rsid w:val="493D21DC"/>
    <w:rsid w:val="498015A2"/>
    <w:rsid w:val="49B21E66"/>
    <w:rsid w:val="49B660D8"/>
    <w:rsid w:val="49D739E0"/>
    <w:rsid w:val="49DB50EF"/>
    <w:rsid w:val="4A2540DF"/>
    <w:rsid w:val="4A25579A"/>
    <w:rsid w:val="4A3374A3"/>
    <w:rsid w:val="4A8A23E2"/>
    <w:rsid w:val="4AA55879"/>
    <w:rsid w:val="4AC705C3"/>
    <w:rsid w:val="4ACE5EF4"/>
    <w:rsid w:val="4AF3384D"/>
    <w:rsid w:val="4B01279C"/>
    <w:rsid w:val="4B3E4DDD"/>
    <w:rsid w:val="4B4962F6"/>
    <w:rsid w:val="4B744926"/>
    <w:rsid w:val="4B7D0C82"/>
    <w:rsid w:val="4B8658F5"/>
    <w:rsid w:val="4BAE27C6"/>
    <w:rsid w:val="4BB4735A"/>
    <w:rsid w:val="4BBF68EA"/>
    <w:rsid w:val="4BF946A1"/>
    <w:rsid w:val="4C012077"/>
    <w:rsid w:val="4C087F6D"/>
    <w:rsid w:val="4C2B46CE"/>
    <w:rsid w:val="4C3C0B94"/>
    <w:rsid w:val="4C59524B"/>
    <w:rsid w:val="4C5A115B"/>
    <w:rsid w:val="4C9345C9"/>
    <w:rsid w:val="4CB10987"/>
    <w:rsid w:val="4CCA1EE3"/>
    <w:rsid w:val="4D77089F"/>
    <w:rsid w:val="4DD21759"/>
    <w:rsid w:val="4DF2296B"/>
    <w:rsid w:val="4E4D75AC"/>
    <w:rsid w:val="4E5452DD"/>
    <w:rsid w:val="4E994D66"/>
    <w:rsid w:val="4EBB1FBE"/>
    <w:rsid w:val="4F1C59B5"/>
    <w:rsid w:val="4F394A47"/>
    <w:rsid w:val="4F401F5A"/>
    <w:rsid w:val="4FC01D0B"/>
    <w:rsid w:val="4FDA7242"/>
    <w:rsid w:val="4FE86823"/>
    <w:rsid w:val="5001644B"/>
    <w:rsid w:val="50073CD8"/>
    <w:rsid w:val="501632B6"/>
    <w:rsid w:val="5035213F"/>
    <w:rsid w:val="503E5B12"/>
    <w:rsid w:val="50A05B3E"/>
    <w:rsid w:val="50AA5769"/>
    <w:rsid w:val="50B07B65"/>
    <w:rsid w:val="50BC3C56"/>
    <w:rsid w:val="50E21575"/>
    <w:rsid w:val="50E216EC"/>
    <w:rsid w:val="510058AF"/>
    <w:rsid w:val="510338CE"/>
    <w:rsid w:val="510B6206"/>
    <w:rsid w:val="515427B2"/>
    <w:rsid w:val="51842D6A"/>
    <w:rsid w:val="51B67F42"/>
    <w:rsid w:val="51BE172C"/>
    <w:rsid w:val="51C5500D"/>
    <w:rsid w:val="51D1690B"/>
    <w:rsid w:val="51E22966"/>
    <w:rsid w:val="520F52E0"/>
    <w:rsid w:val="523946BB"/>
    <w:rsid w:val="52A8230B"/>
    <w:rsid w:val="52E26672"/>
    <w:rsid w:val="52EA5E9A"/>
    <w:rsid w:val="5323217E"/>
    <w:rsid w:val="53304E78"/>
    <w:rsid w:val="5331495F"/>
    <w:rsid w:val="53B25189"/>
    <w:rsid w:val="53B26779"/>
    <w:rsid w:val="53B816DA"/>
    <w:rsid w:val="53DC7850"/>
    <w:rsid w:val="53FA1EB2"/>
    <w:rsid w:val="541765ED"/>
    <w:rsid w:val="542E3461"/>
    <w:rsid w:val="54304C3A"/>
    <w:rsid w:val="5452626F"/>
    <w:rsid w:val="546964A2"/>
    <w:rsid w:val="54887C10"/>
    <w:rsid w:val="54A8282A"/>
    <w:rsid w:val="54B648B4"/>
    <w:rsid w:val="54EC4B8A"/>
    <w:rsid w:val="552C45C5"/>
    <w:rsid w:val="5597368F"/>
    <w:rsid w:val="55AF412E"/>
    <w:rsid w:val="55BB53BC"/>
    <w:rsid w:val="561713C4"/>
    <w:rsid w:val="56185498"/>
    <w:rsid w:val="56E31D66"/>
    <w:rsid w:val="56EB1C87"/>
    <w:rsid w:val="56F76DC0"/>
    <w:rsid w:val="57106E4E"/>
    <w:rsid w:val="571D7657"/>
    <w:rsid w:val="574F106A"/>
    <w:rsid w:val="57BB1FCF"/>
    <w:rsid w:val="57FB066A"/>
    <w:rsid w:val="57FD6A7F"/>
    <w:rsid w:val="582A14DF"/>
    <w:rsid w:val="582A3264"/>
    <w:rsid w:val="58455451"/>
    <w:rsid w:val="58C171FD"/>
    <w:rsid w:val="58CD0F97"/>
    <w:rsid w:val="58DD6289"/>
    <w:rsid w:val="58E30B4A"/>
    <w:rsid w:val="592E2B23"/>
    <w:rsid w:val="59703DD6"/>
    <w:rsid w:val="59B048D4"/>
    <w:rsid w:val="59B31320"/>
    <w:rsid w:val="59B765C7"/>
    <w:rsid w:val="59D93328"/>
    <w:rsid w:val="59F4397E"/>
    <w:rsid w:val="59F82B59"/>
    <w:rsid w:val="59FB3737"/>
    <w:rsid w:val="5A0D56EE"/>
    <w:rsid w:val="5A1D5B0A"/>
    <w:rsid w:val="5A406B06"/>
    <w:rsid w:val="5A775DBA"/>
    <w:rsid w:val="5A8B5169"/>
    <w:rsid w:val="5AB04BD0"/>
    <w:rsid w:val="5AB306C8"/>
    <w:rsid w:val="5AB673D5"/>
    <w:rsid w:val="5AFC195D"/>
    <w:rsid w:val="5B177230"/>
    <w:rsid w:val="5B1D7D07"/>
    <w:rsid w:val="5B597015"/>
    <w:rsid w:val="5B886B8D"/>
    <w:rsid w:val="5BAF00C0"/>
    <w:rsid w:val="5BEA52B2"/>
    <w:rsid w:val="5C0B7337"/>
    <w:rsid w:val="5C162695"/>
    <w:rsid w:val="5C1B1468"/>
    <w:rsid w:val="5C1F6754"/>
    <w:rsid w:val="5C647F44"/>
    <w:rsid w:val="5C6A68BA"/>
    <w:rsid w:val="5C9F6008"/>
    <w:rsid w:val="5CE24159"/>
    <w:rsid w:val="5D026709"/>
    <w:rsid w:val="5D10361C"/>
    <w:rsid w:val="5D252794"/>
    <w:rsid w:val="5D551A5E"/>
    <w:rsid w:val="5D6A1742"/>
    <w:rsid w:val="5D915781"/>
    <w:rsid w:val="5DA51E73"/>
    <w:rsid w:val="5DF44EE5"/>
    <w:rsid w:val="5DFA021E"/>
    <w:rsid w:val="5E0003DB"/>
    <w:rsid w:val="5E654390"/>
    <w:rsid w:val="5E675F35"/>
    <w:rsid w:val="5EB84284"/>
    <w:rsid w:val="5F407013"/>
    <w:rsid w:val="5F8C7C28"/>
    <w:rsid w:val="5F955896"/>
    <w:rsid w:val="5FD35B6B"/>
    <w:rsid w:val="5FFE42E6"/>
    <w:rsid w:val="600279FB"/>
    <w:rsid w:val="600769A2"/>
    <w:rsid w:val="60120FE2"/>
    <w:rsid w:val="605639B6"/>
    <w:rsid w:val="605B472F"/>
    <w:rsid w:val="60737D98"/>
    <w:rsid w:val="607B6C7B"/>
    <w:rsid w:val="60830691"/>
    <w:rsid w:val="60874A2A"/>
    <w:rsid w:val="60DA6A9B"/>
    <w:rsid w:val="60DB66B3"/>
    <w:rsid w:val="60F80163"/>
    <w:rsid w:val="60FE202F"/>
    <w:rsid w:val="612467AC"/>
    <w:rsid w:val="615B4D31"/>
    <w:rsid w:val="61723D98"/>
    <w:rsid w:val="61734A90"/>
    <w:rsid w:val="617E62F8"/>
    <w:rsid w:val="61870A4A"/>
    <w:rsid w:val="6187699E"/>
    <w:rsid w:val="61D53A62"/>
    <w:rsid w:val="61D7564C"/>
    <w:rsid w:val="623021B6"/>
    <w:rsid w:val="625D7C3F"/>
    <w:rsid w:val="62605CA9"/>
    <w:rsid w:val="62653C7E"/>
    <w:rsid w:val="62A031D6"/>
    <w:rsid w:val="62BF3BAA"/>
    <w:rsid w:val="63366182"/>
    <w:rsid w:val="633772D8"/>
    <w:rsid w:val="63A54533"/>
    <w:rsid w:val="63B35731"/>
    <w:rsid w:val="63BD49B1"/>
    <w:rsid w:val="64B82FFF"/>
    <w:rsid w:val="64CD66F0"/>
    <w:rsid w:val="64D90F90"/>
    <w:rsid w:val="64DC70B9"/>
    <w:rsid w:val="64DF7B8D"/>
    <w:rsid w:val="64E33A79"/>
    <w:rsid w:val="650A5085"/>
    <w:rsid w:val="65182E40"/>
    <w:rsid w:val="651C26B1"/>
    <w:rsid w:val="65467660"/>
    <w:rsid w:val="654D435F"/>
    <w:rsid w:val="659B6B2D"/>
    <w:rsid w:val="659F7CF2"/>
    <w:rsid w:val="65CF2872"/>
    <w:rsid w:val="65E6594A"/>
    <w:rsid w:val="65F932BD"/>
    <w:rsid w:val="65FE60D1"/>
    <w:rsid w:val="66216BAA"/>
    <w:rsid w:val="66255CB7"/>
    <w:rsid w:val="666D5257"/>
    <w:rsid w:val="667E6A89"/>
    <w:rsid w:val="667E75FE"/>
    <w:rsid w:val="66891EC3"/>
    <w:rsid w:val="6691055B"/>
    <w:rsid w:val="669F5D64"/>
    <w:rsid w:val="66BF50EF"/>
    <w:rsid w:val="66CD4D5B"/>
    <w:rsid w:val="66FF7FE0"/>
    <w:rsid w:val="670F5E99"/>
    <w:rsid w:val="677107A5"/>
    <w:rsid w:val="677156E7"/>
    <w:rsid w:val="678B782A"/>
    <w:rsid w:val="67916E53"/>
    <w:rsid w:val="67B14789"/>
    <w:rsid w:val="67F64880"/>
    <w:rsid w:val="68190969"/>
    <w:rsid w:val="68221396"/>
    <w:rsid w:val="685B6D50"/>
    <w:rsid w:val="686F7BAE"/>
    <w:rsid w:val="687B51BA"/>
    <w:rsid w:val="689F14E3"/>
    <w:rsid w:val="68B30A78"/>
    <w:rsid w:val="68D26E7C"/>
    <w:rsid w:val="690101EE"/>
    <w:rsid w:val="69162901"/>
    <w:rsid w:val="693327CF"/>
    <w:rsid w:val="694F1A58"/>
    <w:rsid w:val="6965127B"/>
    <w:rsid w:val="697B0A9F"/>
    <w:rsid w:val="69A77547"/>
    <w:rsid w:val="69CC0026"/>
    <w:rsid w:val="69DE4E21"/>
    <w:rsid w:val="6A26597D"/>
    <w:rsid w:val="6A456EC8"/>
    <w:rsid w:val="6A4E464A"/>
    <w:rsid w:val="6A746F4B"/>
    <w:rsid w:val="6AD11DA8"/>
    <w:rsid w:val="6AD243DF"/>
    <w:rsid w:val="6AD76C05"/>
    <w:rsid w:val="6B5B283D"/>
    <w:rsid w:val="6B6237D8"/>
    <w:rsid w:val="6B8E3EFD"/>
    <w:rsid w:val="6B8F1062"/>
    <w:rsid w:val="6BA131EF"/>
    <w:rsid w:val="6BC75687"/>
    <w:rsid w:val="6BCD47FF"/>
    <w:rsid w:val="6C066C5A"/>
    <w:rsid w:val="6C1273A3"/>
    <w:rsid w:val="6C354788"/>
    <w:rsid w:val="6C6410BC"/>
    <w:rsid w:val="6C774E0A"/>
    <w:rsid w:val="6C79492F"/>
    <w:rsid w:val="6C8F0D21"/>
    <w:rsid w:val="6CAD0F6F"/>
    <w:rsid w:val="6CEF11F8"/>
    <w:rsid w:val="6D9A39A4"/>
    <w:rsid w:val="6DFD3218"/>
    <w:rsid w:val="6E8A76A2"/>
    <w:rsid w:val="6E925F89"/>
    <w:rsid w:val="6EA85492"/>
    <w:rsid w:val="6EB8659C"/>
    <w:rsid w:val="6EDC65A5"/>
    <w:rsid w:val="6F0E0896"/>
    <w:rsid w:val="6F1A3C6D"/>
    <w:rsid w:val="6F2D48F4"/>
    <w:rsid w:val="6F9D01D8"/>
    <w:rsid w:val="6FA13052"/>
    <w:rsid w:val="6FB2535F"/>
    <w:rsid w:val="6FC54822"/>
    <w:rsid w:val="6FCA14A7"/>
    <w:rsid w:val="6FE21D4C"/>
    <w:rsid w:val="6FEE40C8"/>
    <w:rsid w:val="70116E72"/>
    <w:rsid w:val="702D35FF"/>
    <w:rsid w:val="703325C4"/>
    <w:rsid w:val="70386C55"/>
    <w:rsid w:val="7060279C"/>
    <w:rsid w:val="707F2C23"/>
    <w:rsid w:val="70855473"/>
    <w:rsid w:val="70B14591"/>
    <w:rsid w:val="70B855B9"/>
    <w:rsid w:val="70DA1D7B"/>
    <w:rsid w:val="711D58FE"/>
    <w:rsid w:val="716B4BFD"/>
    <w:rsid w:val="717446DD"/>
    <w:rsid w:val="71861897"/>
    <w:rsid w:val="71DF72FF"/>
    <w:rsid w:val="72282783"/>
    <w:rsid w:val="72507AA6"/>
    <w:rsid w:val="72A11576"/>
    <w:rsid w:val="72BE1511"/>
    <w:rsid w:val="72CD593C"/>
    <w:rsid w:val="72D86C53"/>
    <w:rsid w:val="73431760"/>
    <w:rsid w:val="73544445"/>
    <w:rsid w:val="737A1DC7"/>
    <w:rsid w:val="7385098E"/>
    <w:rsid w:val="73A154A5"/>
    <w:rsid w:val="74063229"/>
    <w:rsid w:val="742E1998"/>
    <w:rsid w:val="74395578"/>
    <w:rsid w:val="74675FF8"/>
    <w:rsid w:val="753331DA"/>
    <w:rsid w:val="75470881"/>
    <w:rsid w:val="754F352F"/>
    <w:rsid w:val="759D2AF9"/>
    <w:rsid w:val="75B83D0F"/>
    <w:rsid w:val="75CB05D8"/>
    <w:rsid w:val="76010F6E"/>
    <w:rsid w:val="763728EB"/>
    <w:rsid w:val="7676578E"/>
    <w:rsid w:val="76DA1EB8"/>
    <w:rsid w:val="77180160"/>
    <w:rsid w:val="774360FA"/>
    <w:rsid w:val="77997D01"/>
    <w:rsid w:val="77A71182"/>
    <w:rsid w:val="77C63C43"/>
    <w:rsid w:val="77D25CB5"/>
    <w:rsid w:val="77E33269"/>
    <w:rsid w:val="77E720B2"/>
    <w:rsid w:val="783B7D77"/>
    <w:rsid w:val="78426B95"/>
    <w:rsid w:val="7845280D"/>
    <w:rsid w:val="784E4D60"/>
    <w:rsid w:val="788A03B6"/>
    <w:rsid w:val="78E8780E"/>
    <w:rsid w:val="78EF5552"/>
    <w:rsid w:val="78F84034"/>
    <w:rsid w:val="79252160"/>
    <w:rsid w:val="79292F02"/>
    <w:rsid w:val="795234E2"/>
    <w:rsid w:val="79641826"/>
    <w:rsid w:val="797B5B0C"/>
    <w:rsid w:val="797C073E"/>
    <w:rsid w:val="7986785C"/>
    <w:rsid w:val="799C2C38"/>
    <w:rsid w:val="79A129D5"/>
    <w:rsid w:val="79A8143C"/>
    <w:rsid w:val="7A146AD1"/>
    <w:rsid w:val="7A1C5028"/>
    <w:rsid w:val="7A53517D"/>
    <w:rsid w:val="7A592C57"/>
    <w:rsid w:val="7A6B1788"/>
    <w:rsid w:val="7AAE07DB"/>
    <w:rsid w:val="7AB03EDB"/>
    <w:rsid w:val="7AC92709"/>
    <w:rsid w:val="7AD41DBD"/>
    <w:rsid w:val="7AEC0FDA"/>
    <w:rsid w:val="7B1215B2"/>
    <w:rsid w:val="7B1C1B41"/>
    <w:rsid w:val="7B2B0C52"/>
    <w:rsid w:val="7B69568B"/>
    <w:rsid w:val="7B842AD5"/>
    <w:rsid w:val="7B8437E3"/>
    <w:rsid w:val="7BAC0C54"/>
    <w:rsid w:val="7BB21B7E"/>
    <w:rsid w:val="7BBF2AEC"/>
    <w:rsid w:val="7BDF574F"/>
    <w:rsid w:val="7BFA1F2E"/>
    <w:rsid w:val="7BFF2E69"/>
    <w:rsid w:val="7C0037E0"/>
    <w:rsid w:val="7C24639A"/>
    <w:rsid w:val="7C273D40"/>
    <w:rsid w:val="7C4052A7"/>
    <w:rsid w:val="7C67302C"/>
    <w:rsid w:val="7C6D071B"/>
    <w:rsid w:val="7C7A4EB1"/>
    <w:rsid w:val="7C971E4B"/>
    <w:rsid w:val="7D2B6F6B"/>
    <w:rsid w:val="7DBA394B"/>
    <w:rsid w:val="7DC51384"/>
    <w:rsid w:val="7DCD424D"/>
    <w:rsid w:val="7DF7756C"/>
    <w:rsid w:val="7DFA5FDE"/>
    <w:rsid w:val="7E3A287F"/>
    <w:rsid w:val="7E42596D"/>
    <w:rsid w:val="7E5F5E41"/>
    <w:rsid w:val="7E782E3F"/>
    <w:rsid w:val="7E790738"/>
    <w:rsid w:val="7EAB1EEB"/>
    <w:rsid w:val="7EB600BA"/>
    <w:rsid w:val="7EE00B18"/>
    <w:rsid w:val="7F107010"/>
    <w:rsid w:val="7F1E703D"/>
    <w:rsid w:val="7F2C5B21"/>
    <w:rsid w:val="7F8C608A"/>
    <w:rsid w:val="7FA93818"/>
    <w:rsid w:val="7FCE7723"/>
    <w:rsid w:val="7FDE799D"/>
    <w:rsid w:val="7FE06FC0"/>
    <w:rsid w:val="7FE7692A"/>
    <w:rsid w:val="7FF10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0" w:semiHidden="0" w:name="heading 1"/>
    <w:lsdException w:qFormat="1" w:unhideWhenUsed="0" w:uiPriority="6" w:semiHidden="0" w:name="heading 2"/>
    <w:lsdException w:qFormat="1" w:unhideWhenUsed="0" w:uiPriority="7" w:semiHidden="0" w:name="heading 3"/>
    <w:lsdException w:qFormat="1" w:unhideWhenUsed="0" w:uiPriority="8"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qFormat="1" w:unhideWhenUsed="0" w:uiPriority="0" w:semiHidden="0" w:name="macro"/>
    <w:lsdException w:qFormat="1" w:unhideWhenUsed="0" w:uiPriority="99" w:semiHidden="0" w:name="toa heading"/>
    <w:lsdException w:qFormat="1" w:unhideWhenUsed="0" w:uiPriority="0"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0" w:semiHidden="0" w:name="HTML Typewriter"/>
    <w:lsdException w:qFormat="1" w:unhideWhenUsed="0" w:uiPriority="99"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qFormat="1"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4">
    <w:name w:val="heading 1"/>
    <w:basedOn w:val="1"/>
    <w:next w:val="1"/>
    <w:link w:val="107"/>
    <w:qFormat/>
    <w:uiPriority w:val="10"/>
    <w:pPr>
      <w:outlineLvl w:val="0"/>
    </w:pPr>
    <w:rPr>
      <w:rFonts w:ascii="Calibri" w:hAnsi="Calibri" w:eastAsia="黑体" w:cs="Times New Roman"/>
      <w:kern w:val="2"/>
      <w:sz w:val="32"/>
      <w:szCs w:val="22"/>
    </w:rPr>
  </w:style>
  <w:style w:type="paragraph" w:styleId="5">
    <w:name w:val="heading 2"/>
    <w:basedOn w:val="1"/>
    <w:next w:val="6"/>
    <w:link w:val="108"/>
    <w:qFormat/>
    <w:uiPriority w:val="6"/>
    <w:pPr>
      <w:keepNext/>
      <w:keepLines/>
      <w:spacing w:line="500" w:lineRule="exact"/>
      <w:outlineLvl w:val="1"/>
    </w:pPr>
    <w:rPr>
      <w:rFonts w:ascii="Calibri" w:hAnsi="Calibri" w:eastAsia="黑体" w:cs="Times New Roman"/>
      <w:bCs/>
      <w:sz w:val="28"/>
      <w:szCs w:val="32"/>
    </w:rPr>
  </w:style>
  <w:style w:type="paragraph" w:styleId="7">
    <w:name w:val="heading 3"/>
    <w:basedOn w:val="1"/>
    <w:next w:val="1"/>
    <w:link w:val="109"/>
    <w:qFormat/>
    <w:uiPriority w:val="7"/>
    <w:pPr>
      <w:keepNext/>
      <w:keepLines/>
      <w:spacing w:line="500" w:lineRule="exact"/>
      <w:outlineLvl w:val="2"/>
    </w:pPr>
    <w:rPr>
      <w:rFonts w:ascii="Times New Roman" w:hAnsi="Times New Roman" w:eastAsia="黑体" w:cs="Times New Roman"/>
      <w:bCs/>
      <w:sz w:val="20"/>
      <w:szCs w:val="32"/>
    </w:rPr>
  </w:style>
  <w:style w:type="paragraph" w:styleId="8">
    <w:name w:val="heading 4"/>
    <w:basedOn w:val="1"/>
    <w:next w:val="1"/>
    <w:link w:val="110"/>
    <w:qFormat/>
    <w:uiPriority w:val="8"/>
    <w:pPr>
      <w:keepNext/>
      <w:keepLines/>
      <w:spacing w:line="500" w:lineRule="exact"/>
      <w:outlineLvl w:val="3"/>
    </w:pPr>
    <w:rPr>
      <w:rFonts w:ascii="Times New Roman" w:hAnsi="Times New Roman"/>
      <w:szCs w:val="20"/>
      <w:lang w:val="zh-CN"/>
    </w:rPr>
  </w:style>
  <w:style w:type="paragraph" w:styleId="9">
    <w:name w:val="heading 5"/>
    <w:basedOn w:val="1"/>
    <w:next w:val="1"/>
    <w:link w:val="111"/>
    <w:qFormat/>
    <w:uiPriority w:val="9"/>
    <w:pPr>
      <w:keepNext/>
      <w:keepLines/>
      <w:widowControl w:val="0"/>
      <w:topLinePunct/>
      <w:spacing w:before="280" w:after="290" w:line="376" w:lineRule="auto"/>
      <w:ind w:firstLine="200" w:firstLineChars="200"/>
      <w:outlineLvl w:val="4"/>
    </w:pPr>
    <w:rPr>
      <w:rFonts w:ascii="仿宋_GB2312" w:hAnsi="Times New Roman" w:eastAsia="仿宋_GB2312" w:cs="Times New Roman"/>
      <w:b/>
      <w:bCs/>
      <w:sz w:val="28"/>
      <w:szCs w:val="28"/>
    </w:rPr>
  </w:style>
  <w:style w:type="paragraph" w:styleId="10">
    <w:name w:val="heading 6"/>
    <w:basedOn w:val="1"/>
    <w:next w:val="1"/>
    <w:link w:val="112"/>
    <w:qFormat/>
    <w:uiPriority w:val="9"/>
    <w:pPr>
      <w:keepNext/>
      <w:widowControl w:val="0"/>
      <w:tabs>
        <w:tab w:val="left" w:pos="360"/>
      </w:tabs>
      <w:ind w:left="360" w:hanging="360"/>
      <w:jc w:val="both"/>
      <w:outlineLvl w:val="5"/>
    </w:pPr>
    <w:rPr>
      <w:rFonts w:ascii="Times New Roman" w:hAnsi="Times New Roman" w:cs="Times New Roman"/>
      <w:b/>
      <w:bCs/>
      <w:kern w:val="2"/>
      <w:szCs w:val="20"/>
    </w:rPr>
  </w:style>
  <w:style w:type="paragraph" w:styleId="11">
    <w:name w:val="heading 7"/>
    <w:basedOn w:val="1"/>
    <w:next w:val="1"/>
    <w:link w:val="113"/>
    <w:qFormat/>
    <w:uiPriority w:val="9"/>
    <w:pPr>
      <w:keepNext/>
      <w:widowControl w:val="0"/>
      <w:tabs>
        <w:tab w:val="left" w:pos="360"/>
      </w:tabs>
      <w:ind w:left="360" w:hanging="360"/>
      <w:jc w:val="both"/>
      <w:outlineLvl w:val="6"/>
    </w:pPr>
    <w:rPr>
      <w:rFonts w:ascii="Times New Roman" w:hAnsi="Times New Roman" w:cs="Times New Roman"/>
      <w:b/>
      <w:bCs/>
      <w:kern w:val="2"/>
      <w:sz w:val="28"/>
      <w:szCs w:val="28"/>
    </w:rPr>
  </w:style>
  <w:style w:type="paragraph" w:styleId="12">
    <w:name w:val="heading 8"/>
    <w:basedOn w:val="1"/>
    <w:next w:val="1"/>
    <w:link w:val="114"/>
    <w:qFormat/>
    <w:uiPriority w:val="9"/>
    <w:pPr>
      <w:keepNext/>
      <w:widowControl w:val="0"/>
      <w:tabs>
        <w:tab w:val="left" w:pos="645"/>
      </w:tabs>
      <w:ind w:left="645" w:hanging="645"/>
      <w:jc w:val="both"/>
      <w:outlineLvl w:val="7"/>
    </w:pPr>
    <w:rPr>
      <w:rFonts w:ascii="Times New Roman" w:hAnsi="Times New Roman" w:cs="Times New Roman"/>
      <w:b/>
      <w:bCs/>
      <w:kern w:val="2"/>
      <w:sz w:val="28"/>
      <w:szCs w:val="28"/>
    </w:rPr>
  </w:style>
  <w:style w:type="paragraph" w:styleId="13">
    <w:name w:val="heading 9"/>
    <w:basedOn w:val="1"/>
    <w:next w:val="1"/>
    <w:link w:val="115"/>
    <w:qFormat/>
    <w:uiPriority w:val="9"/>
    <w:pPr>
      <w:keepNext/>
      <w:keepLines/>
      <w:widowControl w:val="0"/>
      <w:topLinePunct/>
      <w:spacing w:before="240" w:after="64" w:line="320" w:lineRule="auto"/>
      <w:ind w:firstLine="200" w:firstLineChars="200"/>
      <w:outlineLvl w:val="8"/>
    </w:pPr>
    <w:rPr>
      <w:rFonts w:ascii="Arial" w:hAnsi="Arial" w:eastAsia="黑体" w:cs="Times New Roman"/>
      <w:sz w:val="28"/>
      <w:szCs w:val="21"/>
    </w:rPr>
  </w:style>
  <w:style w:type="character" w:default="1" w:styleId="83">
    <w:name w:val="Default Paragraph Font"/>
    <w:unhideWhenUsed/>
    <w:qFormat/>
    <w:uiPriority w:val="1"/>
  </w:style>
  <w:style w:type="table" w:default="1" w:styleId="8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26"/>
    <w:qFormat/>
    <w:uiPriority w:val="0"/>
    <w:rPr>
      <w:rFonts w:ascii="Calibri" w:hAnsi="Calibri" w:cs="Times New Roman"/>
      <w:color w:val="000000"/>
      <w:kern w:val="2"/>
      <w:szCs w:val="22"/>
    </w:rPr>
  </w:style>
  <w:style w:type="paragraph" w:styleId="3">
    <w:name w:val="macro"/>
    <w:link w:val="11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6">
    <w:name w:val="Normal Indent"/>
    <w:basedOn w:val="1"/>
    <w:link w:val="119"/>
    <w:qFormat/>
    <w:uiPriority w:val="0"/>
    <w:pPr>
      <w:spacing w:line="520" w:lineRule="exact"/>
      <w:ind w:firstLine="624"/>
    </w:pPr>
    <w:rPr>
      <w:rFonts w:ascii="Calibri" w:hAnsi="Calibri" w:cs="Times New Roman"/>
      <w:sz w:val="28"/>
      <w:szCs w:val="20"/>
    </w:rPr>
  </w:style>
  <w:style w:type="paragraph" w:styleId="14">
    <w:name w:val="List 3"/>
    <w:basedOn w:val="1"/>
    <w:qFormat/>
    <w:uiPriority w:val="99"/>
    <w:pPr>
      <w:widowControl w:val="0"/>
      <w:topLinePunct/>
      <w:spacing w:line="360" w:lineRule="auto"/>
      <w:ind w:left="100" w:leftChars="400" w:hanging="200" w:hangingChars="200"/>
    </w:pPr>
    <w:rPr>
      <w:rFonts w:ascii="仿宋_GB2312" w:hAnsi="Times New Roman" w:eastAsia="仿宋_GB2312" w:cs="Times New Roman"/>
      <w:kern w:val="2"/>
      <w:sz w:val="28"/>
      <w:szCs w:val="20"/>
    </w:rPr>
  </w:style>
  <w:style w:type="paragraph" w:styleId="15">
    <w:name w:val="toc 7"/>
    <w:basedOn w:val="1"/>
    <w:next w:val="1"/>
    <w:qFormat/>
    <w:uiPriority w:val="39"/>
    <w:pPr>
      <w:widowControl w:val="0"/>
      <w:ind w:left="1260"/>
    </w:pPr>
    <w:rPr>
      <w:rFonts w:ascii="Calibri" w:hAnsi="Calibri" w:cs="Times New Roman"/>
      <w:kern w:val="2"/>
      <w:sz w:val="18"/>
      <w:szCs w:val="18"/>
    </w:rPr>
  </w:style>
  <w:style w:type="paragraph" w:styleId="16">
    <w:name w:val="List Number 2"/>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17">
    <w:name w:val="table of authorities"/>
    <w:basedOn w:val="1"/>
    <w:next w:val="1"/>
    <w:unhideWhenUsed/>
    <w:qFormat/>
    <w:uiPriority w:val="99"/>
    <w:pPr>
      <w:widowControl w:val="0"/>
      <w:ind w:left="210" w:hanging="210"/>
    </w:pPr>
    <w:rPr>
      <w:rFonts w:ascii="Times New Roman" w:hAnsi="Times New Roman" w:cs="Times New Roman"/>
      <w:kern w:val="2"/>
      <w:sz w:val="20"/>
      <w:szCs w:val="20"/>
    </w:rPr>
  </w:style>
  <w:style w:type="paragraph" w:styleId="18">
    <w:name w:val="Note Heading"/>
    <w:basedOn w:val="1"/>
    <w:next w:val="1"/>
    <w:link w:val="117"/>
    <w:qFormat/>
    <w:uiPriority w:val="0"/>
    <w:pPr>
      <w:widowControl w:val="0"/>
      <w:jc w:val="center"/>
    </w:pPr>
    <w:rPr>
      <w:rFonts w:ascii="Times New Roman" w:hAnsi="Times New Roman" w:cs="Times New Roman"/>
      <w:sz w:val="20"/>
      <w:szCs w:val="20"/>
    </w:rPr>
  </w:style>
  <w:style w:type="paragraph" w:styleId="19">
    <w:name w:val="List Bullet 4"/>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0">
    <w:name w:val="E-mail Signature"/>
    <w:basedOn w:val="1"/>
    <w:link w:val="118"/>
    <w:qFormat/>
    <w:uiPriority w:val="0"/>
    <w:pPr>
      <w:widowControl w:val="0"/>
      <w:topLinePunct/>
      <w:spacing w:line="360" w:lineRule="auto"/>
      <w:ind w:firstLine="200" w:firstLineChars="200"/>
    </w:pPr>
    <w:rPr>
      <w:rFonts w:ascii="仿宋_GB2312" w:hAnsi="Times New Roman" w:eastAsia="仿宋_GB2312" w:cs="Times New Roman"/>
      <w:sz w:val="28"/>
      <w:szCs w:val="20"/>
    </w:rPr>
  </w:style>
  <w:style w:type="paragraph" w:styleId="21">
    <w:name w:val="List Number"/>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2">
    <w:name w:val="caption"/>
    <w:basedOn w:val="1"/>
    <w:next w:val="1"/>
    <w:link w:val="120"/>
    <w:qFormat/>
    <w:uiPriority w:val="0"/>
    <w:pPr>
      <w:widowControl w:val="0"/>
      <w:jc w:val="both"/>
    </w:pPr>
    <w:rPr>
      <w:rFonts w:ascii="Arial" w:hAnsi="Arial" w:eastAsia="黑体" w:cs="Arial"/>
      <w:sz w:val="20"/>
      <w:szCs w:val="20"/>
    </w:rPr>
  </w:style>
  <w:style w:type="paragraph" w:styleId="23">
    <w:name w:val="List Bullet"/>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4">
    <w:name w:val="envelope address"/>
    <w:basedOn w:val="1"/>
    <w:qFormat/>
    <w:uiPriority w:val="99"/>
    <w:pPr>
      <w:widowControl w:val="0"/>
      <w:topLinePunct/>
      <w:snapToGrid w:val="0"/>
      <w:spacing w:line="360" w:lineRule="auto"/>
      <w:ind w:left="100" w:leftChars="1400" w:firstLine="200" w:firstLineChars="200"/>
    </w:pPr>
    <w:rPr>
      <w:rFonts w:ascii="Arial" w:hAnsi="Arial" w:eastAsia="仿宋_GB2312" w:cs="Arial"/>
      <w:kern w:val="2"/>
      <w:szCs w:val="20"/>
    </w:rPr>
  </w:style>
  <w:style w:type="paragraph" w:styleId="25">
    <w:name w:val="Document Map"/>
    <w:basedOn w:val="1"/>
    <w:link w:val="121"/>
    <w:qFormat/>
    <w:uiPriority w:val="99"/>
    <w:pPr>
      <w:widowControl w:val="0"/>
      <w:shd w:val="clear" w:color="auto" w:fill="000080"/>
      <w:jc w:val="both"/>
    </w:pPr>
    <w:rPr>
      <w:rFonts w:ascii="Times New Roman" w:hAnsi="Times New Roman" w:cs="Times New Roman"/>
      <w:sz w:val="20"/>
    </w:rPr>
  </w:style>
  <w:style w:type="paragraph" w:styleId="26">
    <w:name w:val="toa heading"/>
    <w:basedOn w:val="1"/>
    <w:next w:val="1"/>
    <w:qFormat/>
    <w:uiPriority w:val="99"/>
    <w:pPr>
      <w:widowControl w:val="0"/>
      <w:spacing w:before="120"/>
      <w:jc w:val="both"/>
    </w:pPr>
    <w:rPr>
      <w:rFonts w:ascii="Arial" w:hAnsi="Arial" w:cs="Times New Roman"/>
      <w:kern w:val="2"/>
      <w:szCs w:val="20"/>
    </w:rPr>
  </w:style>
  <w:style w:type="paragraph" w:styleId="27">
    <w:name w:val="annotation text"/>
    <w:basedOn w:val="1"/>
    <w:link w:val="122"/>
    <w:qFormat/>
    <w:uiPriority w:val="0"/>
    <w:rPr>
      <w:rFonts w:ascii="Calibri" w:hAnsi="Calibri" w:cs="Times New Roman"/>
      <w:szCs w:val="22"/>
    </w:rPr>
  </w:style>
  <w:style w:type="paragraph" w:styleId="28">
    <w:name w:val="Salutation"/>
    <w:basedOn w:val="1"/>
    <w:next w:val="1"/>
    <w:link w:val="123"/>
    <w:qFormat/>
    <w:uiPriority w:val="0"/>
    <w:pPr>
      <w:widowControl w:val="0"/>
      <w:spacing w:line="360" w:lineRule="exact"/>
      <w:ind w:left="480"/>
      <w:jc w:val="both"/>
    </w:pPr>
    <w:rPr>
      <w:rFonts w:ascii="Times New Roman" w:hAnsi="Times New Roman" w:eastAsia="楷体_GB2312" w:cs="Times New Roman"/>
      <w:color w:val="000000"/>
      <w:kern w:val="28"/>
      <w:sz w:val="28"/>
      <w:szCs w:val="20"/>
    </w:rPr>
  </w:style>
  <w:style w:type="paragraph" w:styleId="29">
    <w:name w:val="Body Text 3"/>
    <w:basedOn w:val="1"/>
    <w:link w:val="124"/>
    <w:qFormat/>
    <w:uiPriority w:val="0"/>
    <w:pPr>
      <w:widowControl w:val="0"/>
      <w:spacing w:line="360" w:lineRule="exact"/>
      <w:jc w:val="center"/>
    </w:pPr>
    <w:rPr>
      <w:rFonts w:cs="Times New Roman"/>
      <w:color w:val="006600"/>
      <w:kern w:val="16"/>
    </w:rPr>
  </w:style>
  <w:style w:type="paragraph" w:styleId="30">
    <w:name w:val="Closing"/>
    <w:basedOn w:val="1"/>
    <w:link w:val="125"/>
    <w:qFormat/>
    <w:uiPriority w:val="0"/>
    <w:pPr>
      <w:widowControl w:val="0"/>
      <w:topLinePunct/>
      <w:spacing w:line="360" w:lineRule="auto"/>
      <w:ind w:left="100" w:leftChars="2100" w:firstLine="200" w:firstLineChars="200"/>
    </w:pPr>
    <w:rPr>
      <w:rFonts w:ascii="仿宋_GB2312" w:hAnsi="Times New Roman" w:eastAsia="仿宋_GB2312" w:cs="Times New Roman"/>
      <w:sz w:val="28"/>
      <w:szCs w:val="20"/>
    </w:rPr>
  </w:style>
  <w:style w:type="paragraph" w:styleId="31">
    <w:name w:val="List Bullet 3"/>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2">
    <w:name w:val="Body Text Indent"/>
    <w:basedOn w:val="1"/>
    <w:next w:val="1"/>
    <w:link w:val="127"/>
    <w:qFormat/>
    <w:uiPriority w:val="0"/>
    <w:pPr>
      <w:spacing w:after="120"/>
      <w:ind w:left="420" w:leftChars="200"/>
    </w:pPr>
    <w:rPr>
      <w:rFonts w:ascii="仿宋_GB2312" w:hAnsi="Calibri" w:eastAsia="仿宋_GB2312" w:cs="Times New Roman"/>
      <w:spacing w:val="-2"/>
      <w:sz w:val="20"/>
      <w:szCs w:val="20"/>
    </w:rPr>
  </w:style>
  <w:style w:type="paragraph" w:styleId="33">
    <w:name w:val="List Number 3"/>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4">
    <w:name w:val="List 2"/>
    <w:basedOn w:val="1"/>
    <w:qFormat/>
    <w:uiPriority w:val="99"/>
    <w:pPr>
      <w:widowControl w:val="0"/>
      <w:snapToGrid w:val="0"/>
      <w:jc w:val="center"/>
    </w:pPr>
    <w:rPr>
      <w:rFonts w:hAnsi="Times New Roman" w:cs="Times New Roman"/>
      <w:kern w:val="2"/>
      <w:sz w:val="21"/>
      <w:szCs w:val="20"/>
    </w:rPr>
  </w:style>
  <w:style w:type="paragraph" w:styleId="35">
    <w:name w:val="List Continue"/>
    <w:basedOn w:val="1"/>
    <w:qFormat/>
    <w:uiPriority w:val="99"/>
    <w:pPr>
      <w:widowControl w:val="0"/>
      <w:topLinePunct/>
      <w:spacing w:after="120" w:line="360" w:lineRule="auto"/>
      <w:ind w:left="420" w:leftChars="200" w:firstLine="200" w:firstLineChars="200"/>
    </w:pPr>
    <w:rPr>
      <w:rFonts w:ascii="仿宋_GB2312" w:hAnsi="Times New Roman" w:eastAsia="仿宋_GB2312" w:cs="Times New Roman"/>
      <w:kern w:val="2"/>
      <w:sz w:val="28"/>
      <w:szCs w:val="20"/>
    </w:rPr>
  </w:style>
  <w:style w:type="paragraph" w:styleId="36">
    <w:name w:val="Block Text"/>
    <w:basedOn w:val="1"/>
    <w:qFormat/>
    <w:uiPriority w:val="0"/>
    <w:pPr>
      <w:widowControl w:val="0"/>
      <w:topLinePunct/>
      <w:spacing w:after="120" w:line="360" w:lineRule="auto"/>
      <w:ind w:left="1440" w:leftChars="700" w:right="1440" w:rightChars="700" w:firstLine="200" w:firstLineChars="200"/>
    </w:pPr>
    <w:rPr>
      <w:rFonts w:ascii="仿宋_GB2312" w:hAnsi="Times New Roman" w:eastAsia="仿宋_GB2312" w:cs="Times New Roman"/>
      <w:kern w:val="2"/>
      <w:sz w:val="28"/>
      <w:szCs w:val="20"/>
    </w:rPr>
  </w:style>
  <w:style w:type="paragraph" w:styleId="37">
    <w:name w:val="List Bullet 2"/>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8">
    <w:name w:val="HTML Address"/>
    <w:basedOn w:val="1"/>
    <w:link w:val="128"/>
    <w:qFormat/>
    <w:uiPriority w:val="0"/>
    <w:pPr>
      <w:widowControl w:val="0"/>
      <w:jc w:val="both"/>
    </w:pPr>
    <w:rPr>
      <w:rFonts w:ascii="Times New Roman" w:hAnsi="Times New Roman" w:cs="Times New Roman"/>
      <w:i/>
      <w:iCs/>
      <w:sz w:val="20"/>
      <w:szCs w:val="20"/>
    </w:rPr>
  </w:style>
  <w:style w:type="paragraph" w:styleId="39">
    <w:name w:val="toc 5"/>
    <w:basedOn w:val="1"/>
    <w:next w:val="1"/>
    <w:qFormat/>
    <w:uiPriority w:val="39"/>
    <w:pPr>
      <w:widowControl w:val="0"/>
      <w:ind w:left="840"/>
    </w:pPr>
    <w:rPr>
      <w:rFonts w:ascii="Calibri" w:hAnsi="Calibri" w:cs="Times New Roman"/>
      <w:kern w:val="2"/>
      <w:sz w:val="18"/>
      <w:szCs w:val="18"/>
    </w:rPr>
  </w:style>
  <w:style w:type="paragraph" w:styleId="40">
    <w:name w:val="toc 3"/>
    <w:basedOn w:val="1"/>
    <w:next w:val="1"/>
    <w:qFormat/>
    <w:uiPriority w:val="39"/>
    <w:pPr>
      <w:widowControl w:val="0"/>
      <w:ind w:left="420"/>
    </w:pPr>
    <w:rPr>
      <w:rFonts w:ascii="Calibri" w:hAnsi="Calibri" w:cs="Times New Roman"/>
      <w:i/>
      <w:iCs/>
      <w:kern w:val="2"/>
      <w:sz w:val="20"/>
      <w:szCs w:val="20"/>
    </w:rPr>
  </w:style>
  <w:style w:type="paragraph" w:styleId="41">
    <w:name w:val="Plain Text"/>
    <w:basedOn w:val="1"/>
    <w:link w:val="129"/>
    <w:qFormat/>
    <w:uiPriority w:val="0"/>
    <w:rPr>
      <w:rFonts w:hAnsi="Courier New" w:cs="Times New Roman"/>
      <w:kern w:val="2"/>
      <w:sz w:val="21"/>
      <w:szCs w:val="22"/>
    </w:rPr>
  </w:style>
  <w:style w:type="paragraph" w:styleId="42">
    <w:name w:val="List Bullet 5"/>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43">
    <w:name w:val="List Number 4"/>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44">
    <w:name w:val="toc 8"/>
    <w:basedOn w:val="1"/>
    <w:next w:val="1"/>
    <w:qFormat/>
    <w:uiPriority w:val="39"/>
    <w:pPr>
      <w:widowControl w:val="0"/>
      <w:ind w:left="1470"/>
    </w:pPr>
    <w:rPr>
      <w:rFonts w:ascii="Calibri" w:hAnsi="Calibri" w:cs="Times New Roman"/>
      <w:kern w:val="2"/>
      <w:sz w:val="18"/>
      <w:szCs w:val="18"/>
    </w:rPr>
  </w:style>
  <w:style w:type="paragraph" w:styleId="45">
    <w:name w:val="Date"/>
    <w:basedOn w:val="1"/>
    <w:next w:val="1"/>
    <w:link w:val="130"/>
    <w:unhideWhenUsed/>
    <w:qFormat/>
    <w:uiPriority w:val="99"/>
    <w:pPr>
      <w:widowControl w:val="0"/>
      <w:ind w:left="100" w:leftChars="2500"/>
      <w:jc w:val="both"/>
    </w:pPr>
    <w:rPr>
      <w:rFonts w:ascii="Calibri" w:hAnsi="Calibri" w:cs="Times New Roman"/>
      <w:sz w:val="20"/>
      <w:szCs w:val="20"/>
    </w:rPr>
  </w:style>
  <w:style w:type="paragraph" w:styleId="46">
    <w:name w:val="Body Text Indent 2"/>
    <w:basedOn w:val="1"/>
    <w:link w:val="131"/>
    <w:qFormat/>
    <w:uiPriority w:val="0"/>
    <w:pPr>
      <w:widowControl w:val="0"/>
      <w:spacing w:after="120" w:line="480" w:lineRule="auto"/>
      <w:ind w:left="420" w:leftChars="200"/>
      <w:jc w:val="both"/>
    </w:pPr>
    <w:rPr>
      <w:rFonts w:ascii="Times New Roman" w:hAnsi="Times New Roman" w:cs="Times New Roman"/>
      <w:sz w:val="20"/>
    </w:rPr>
  </w:style>
  <w:style w:type="paragraph" w:styleId="47">
    <w:name w:val="endnote text"/>
    <w:basedOn w:val="1"/>
    <w:link w:val="132"/>
    <w:qFormat/>
    <w:uiPriority w:val="0"/>
    <w:pPr>
      <w:widowControl w:val="0"/>
      <w:adjustRightInd w:val="0"/>
      <w:spacing w:line="360" w:lineRule="atLeast"/>
      <w:textAlignment w:val="baseline"/>
    </w:pPr>
    <w:rPr>
      <w:rFonts w:ascii="Calibri" w:hAnsi="Calibri" w:cs="Times New Roman"/>
      <w:szCs w:val="20"/>
    </w:rPr>
  </w:style>
  <w:style w:type="paragraph" w:styleId="48">
    <w:name w:val="List Continue 5"/>
    <w:basedOn w:val="1"/>
    <w:qFormat/>
    <w:uiPriority w:val="99"/>
    <w:pPr>
      <w:widowControl w:val="0"/>
      <w:topLinePunct/>
      <w:spacing w:after="120" w:line="360" w:lineRule="auto"/>
      <w:ind w:left="2100" w:leftChars="1000" w:firstLine="200" w:firstLineChars="200"/>
    </w:pPr>
    <w:rPr>
      <w:rFonts w:ascii="仿宋_GB2312" w:hAnsi="Times New Roman" w:eastAsia="仿宋_GB2312" w:cs="Times New Roman"/>
      <w:kern w:val="2"/>
      <w:sz w:val="28"/>
      <w:szCs w:val="20"/>
    </w:rPr>
  </w:style>
  <w:style w:type="paragraph" w:styleId="49">
    <w:name w:val="Balloon Text"/>
    <w:basedOn w:val="1"/>
    <w:link w:val="133"/>
    <w:qFormat/>
    <w:uiPriority w:val="0"/>
    <w:rPr>
      <w:sz w:val="18"/>
      <w:szCs w:val="18"/>
    </w:rPr>
  </w:style>
  <w:style w:type="paragraph" w:styleId="50">
    <w:name w:val="footer"/>
    <w:basedOn w:val="1"/>
    <w:link w:val="134"/>
    <w:qFormat/>
    <w:uiPriority w:val="99"/>
    <w:pPr>
      <w:tabs>
        <w:tab w:val="center" w:pos="4153"/>
        <w:tab w:val="right" w:pos="8306"/>
      </w:tabs>
    </w:pPr>
    <w:rPr>
      <w:rFonts w:ascii="Calibri" w:hAnsi="Calibri" w:cs="Times New Roman"/>
      <w:kern w:val="2"/>
      <w:sz w:val="18"/>
      <w:szCs w:val="18"/>
    </w:rPr>
  </w:style>
  <w:style w:type="paragraph" w:styleId="51">
    <w:name w:val="envelope return"/>
    <w:basedOn w:val="1"/>
    <w:qFormat/>
    <w:uiPriority w:val="99"/>
    <w:pPr>
      <w:widowControl w:val="0"/>
      <w:topLinePunct/>
      <w:snapToGrid w:val="0"/>
      <w:spacing w:line="360" w:lineRule="auto"/>
      <w:ind w:firstLine="200" w:firstLineChars="200"/>
    </w:pPr>
    <w:rPr>
      <w:rFonts w:ascii="Arial" w:hAnsi="Arial" w:eastAsia="仿宋_GB2312" w:cs="Arial"/>
      <w:kern w:val="2"/>
      <w:sz w:val="28"/>
      <w:szCs w:val="20"/>
    </w:rPr>
  </w:style>
  <w:style w:type="paragraph" w:styleId="52">
    <w:name w:val="header"/>
    <w:basedOn w:val="1"/>
    <w:link w:val="135"/>
    <w:qFormat/>
    <w:uiPriority w:val="99"/>
    <w:pPr>
      <w:pBdr>
        <w:bottom w:val="single" w:color="auto" w:sz="6" w:space="1"/>
      </w:pBdr>
      <w:tabs>
        <w:tab w:val="center" w:pos="4153"/>
        <w:tab w:val="right" w:pos="8306"/>
      </w:tabs>
      <w:jc w:val="center"/>
    </w:pPr>
    <w:rPr>
      <w:rFonts w:ascii="Calibri" w:hAnsi="Calibri" w:cs="Times New Roman"/>
      <w:kern w:val="2"/>
      <w:sz w:val="18"/>
      <w:szCs w:val="18"/>
    </w:rPr>
  </w:style>
  <w:style w:type="paragraph" w:styleId="53">
    <w:name w:val="Signature"/>
    <w:basedOn w:val="1"/>
    <w:link w:val="136"/>
    <w:qFormat/>
    <w:uiPriority w:val="0"/>
    <w:pPr>
      <w:widowControl w:val="0"/>
      <w:topLinePunct/>
      <w:spacing w:line="360" w:lineRule="auto"/>
      <w:ind w:left="100" w:leftChars="2100" w:firstLine="200" w:firstLineChars="200"/>
    </w:pPr>
    <w:rPr>
      <w:rFonts w:ascii="仿宋_GB2312" w:hAnsi="Times New Roman" w:eastAsia="仿宋_GB2312" w:cs="Times New Roman"/>
      <w:sz w:val="28"/>
      <w:szCs w:val="20"/>
    </w:rPr>
  </w:style>
  <w:style w:type="paragraph" w:styleId="54">
    <w:name w:val="toc 1"/>
    <w:basedOn w:val="1"/>
    <w:next w:val="1"/>
    <w:link w:val="2756"/>
    <w:qFormat/>
    <w:uiPriority w:val="39"/>
    <w:pPr>
      <w:spacing w:before="120" w:after="120"/>
    </w:pPr>
    <w:rPr>
      <w:rFonts w:cs="Times New Roman"/>
      <w:b/>
      <w:caps/>
      <w:sz w:val="20"/>
      <w:szCs w:val="20"/>
    </w:rPr>
  </w:style>
  <w:style w:type="paragraph" w:styleId="55">
    <w:name w:val="List Continue 4"/>
    <w:basedOn w:val="1"/>
    <w:qFormat/>
    <w:uiPriority w:val="99"/>
    <w:pPr>
      <w:widowControl w:val="0"/>
      <w:topLinePunct/>
      <w:spacing w:after="120" w:line="360" w:lineRule="auto"/>
      <w:ind w:left="1680" w:leftChars="800" w:firstLine="200" w:firstLineChars="200"/>
    </w:pPr>
    <w:rPr>
      <w:rFonts w:ascii="仿宋_GB2312" w:hAnsi="Times New Roman" w:eastAsia="仿宋_GB2312" w:cs="Times New Roman"/>
      <w:kern w:val="2"/>
      <w:sz w:val="28"/>
      <w:szCs w:val="20"/>
    </w:rPr>
  </w:style>
  <w:style w:type="paragraph" w:styleId="56">
    <w:name w:val="toc 4"/>
    <w:basedOn w:val="1"/>
    <w:next w:val="1"/>
    <w:qFormat/>
    <w:uiPriority w:val="39"/>
    <w:pPr>
      <w:widowControl w:val="0"/>
      <w:ind w:left="630"/>
    </w:pPr>
    <w:rPr>
      <w:rFonts w:ascii="Calibri" w:hAnsi="Calibri" w:cs="Times New Roman"/>
      <w:kern w:val="2"/>
      <w:sz w:val="18"/>
      <w:szCs w:val="18"/>
    </w:rPr>
  </w:style>
  <w:style w:type="paragraph" w:styleId="57">
    <w:name w:val="Subtitle"/>
    <w:basedOn w:val="1"/>
    <w:next w:val="1"/>
    <w:link w:val="137"/>
    <w:qFormat/>
    <w:uiPriority w:val="0"/>
    <w:pPr>
      <w:spacing w:before="240" w:after="60" w:line="312" w:lineRule="auto"/>
      <w:jc w:val="center"/>
      <w:outlineLvl w:val="1"/>
    </w:pPr>
    <w:rPr>
      <w:rFonts w:ascii="Calibri Light" w:hAnsi="Calibri Light"/>
      <w:b/>
      <w:bCs/>
      <w:kern w:val="28"/>
      <w:sz w:val="32"/>
      <w:szCs w:val="32"/>
    </w:rPr>
  </w:style>
  <w:style w:type="paragraph" w:styleId="58">
    <w:name w:val="List Number 5"/>
    <w:basedOn w:val="1"/>
    <w:qFormat/>
    <w:uiPriority w:val="99"/>
    <w:pPr>
      <w:widowControl w:val="0"/>
      <w:tabs>
        <w:tab w:val="left" w:pos="726"/>
        <w:tab w:val="left" w:pos="2040"/>
      </w:tabs>
      <w:topLinePunct/>
      <w:spacing w:line="360" w:lineRule="auto"/>
      <w:ind w:left="2" w:firstLine="4"/>
    </w:pPr>
    <w:rPr>
      <w:rFonts w:ascii="仿宋_GB2312" w:hAnsi="Times New Roman" w:eastAsia="仿宋_GB2312" w:cs="Times New Roman"/>
      <w:kern w:val="2"/>
      <w:sz w:val="28"/>
      <w:szCs w:val="20"/>
    </w:rPr>
  </w:style>
  <w:style w:type="paragraph" w:styleId="59">
    <w:name w:val="List"/>
    <w:basedOn w:val="1"/>
    <w:link w:val="105"/>
    <w:qFormat/>
    <w:uiPriority w:val="0"/>
    <w:pPr>
      <w:widowControl w:val="0"/>
      <w:ind w:left="420" w:hanging="420"/>
      <w:jc w:val="both"/>
    </w:pPr>
    <w:rPr>
      <w:rFonts w:hint="eastAsia" w:ascii="黑体" w:hAnsi="Times New Roman" w:eastAsia="黑体" w:cs="Times New Roman"/>
      <w:kern w:val="2"/>
    </w:rPr>
  </w:style>
  <w:style w:type="paragraph" w:styleId="60">
    <w:name w:val="footnote text"/>
    <w:basedOn w:val="61"/>
    <w:link w:val="138"/>
    <w:qFormat/>
    <w:uiPriority w:val="99"/>
  </w:style>
  <w:style w:type="paragraph" w:customStyle="1" w:styleId="61">
    <w:name w:val="基准页脚样式"/>
    <w:basedOn w:val="2"/>
    <w:qFormat/>
    <w:uiPriority w:val="99"/>
    <w:pPr>
      <w:keepLines/>
      <w:spacing w:after="220" w:line="200" w:lineRule="atLeast"/>
      <w:jc w:val="center"/>
    </w:pPr>
    <w:rPr>
      <w:rFonts w:ascii="Times New Roman" w:hAnsi="Times New Roman"/>
      <w:color w:val="auto"/>
      <w:kern w:val="0"/>
      <w:sz w:val="16"/>
      <w:szCs w:val="20"/>
    </w:rPr>
  </w:style>
  <w:style w:type="paragraph" w:styleId="62">
    <w:name w:val="toc 6"/>
    <w:basedOn w:val="1"/>
    <w:next w:val="1"/>
    <w:qFormat/>
    <w:uiPriority w:val="39"/>
    <w:pPr>
      <w:ind w:left="1050" w:firstLine="200"/>
    </w:pPr>
    <w:rPr>
      <w:sz w:val="18"/>
      <w:szCs w:val="20"/>
    </w:rPr>
  </w:style>
  <w:style w:type="paragraph" w:styleId="63">
    <w:name w:val="List 5"/>
    <w:basedOn w:val="1"/>
    <w:qFormat/>
    <w:uiPriority w:val="99"/>
    <w:pPr>
      <w:widowControl w:val="0"/>
      <w:topLinePunct/>
      <w:spacing w:line="360" w:lineRule="auto"/>
      <w:ind w:left="100" w:leftChars="800" w:hanging="200" w:hangingChars="200"/>
    </w:pPr>
    <w:rPr>
      <w:rFonts w:ascii="仿宋_GB2312" w:hAnsi="Times New Roman" w:eastAsia="仿宋_GB2312" w:cs="Times New Roman"/>
      <w:kern w:val="2"/>
      <w:sz w:val="28"/>
      <w:szCs w:val="20"/>
    </w:rPr>
  </w:style>
  <w:style w:type="paragraph" w:styleId="64">
    <w:name w:val="Body Text Indent 3"/>
    <w:basedOn w:val="1"/>
    <w:link w:val="139"/>
    <w:qFormat/>
    <w:uiPriority w:val="0"/>
    <w:pPr>
      <w:widowControl w:val="0"/>
      <w:spacing w:after="120"/>
      <w:ind w:left="420" w:leftChars="200"/>
      <w:jc w:val="both"/>
    </w:pPr>
    <w:rPr>
      <w:rFonts w:ascii="Times New Roman" w:hAnsi="Times New Roman" w:cs="Times New Roman"/>
      <w:sz w:val="16"/>
      <w:szCs w:val="16"/>
    </w:rPr>
  </w:style>
  <w:style w:type="paragraph" w:styleId="65">
    <w:name w:val="table of figures"/>
    <w:next w:val="1"/>
    <w:qFormat/>
    <w:uiPriority w:val="99"/>
    <w:pPr>
      <w:adjustRightInd w:val="0"/>
      <w:snapToGrid w:val="0"/>
      <w:spacing w:before="120" w:line="240" w:lineRule="atLeast"/>
      <w:jc w:val="center"/>
    </w:pPr>
    <w:rPr>
      <w:rFonts w:ascii="Times New Roman" w:hAnsi="Times New Roman" w:eastAsia="宋体" w:cs="Times New Roman"/>
      <w:b/>
      <w:sz w:val="24"/>
      <w:lang w:val="en-US" w:eastAsia="zh-CN" w:bidi="ar-SA"/>
    </w:rPr>
  </w:style>
  <w:style w:type="paragraph" w:styleId="66">
    <w:name w:val="toc 2"/>
    <w:basedOn w:val="1"/>
    <w:next w:val="1"/>
    <w:link w:val="2757"/>
    <w:qFormat/>
    <w:uiPriority w:val="39"/>
    <w:pPr>
      <w:widowControl w:val="0"/>
      <w:ind w:left="210"/>
    </w:pPr>
    <w:rPr>
      <w:rFonts w:ascii="Calibri" w:hAnsi="Calibri" w:cs="Times New Roman"/>
      <w:smallCaps/>
      <w:kern w:val="2"/>
      <w:sz w:val="20"/>
      <w:szCs w:val="20"/>
    </w:rPr>
  </w:style>
  <w:style w:type="paragraph" w:styleId="67">
    <w:name w:val="toc 9"/>
    <w:basedOn w:val="1"/>
    <w:next w:val="1"/>
    <w:qFormat/>
    <w:uiPriority w:val="39"/>
    <w:pPr>
      <w:widowControl w:val="0"/>
      <w:ind w:left="1680"/>
    </w:pPr>
    <w:rPr>
      <w:rFonts w:ascii="Calibri" w:hAnsi="Calibri" w:cs="Times New Roman"/>
      <w:kern w:val="2"/>
      <w:sz w:val="18"/>
      <w:szCs w:val="18"/>
    </w:rPr>
  </w:style>
  <w:style w:type="paragraph" w:styleId="68">
    <w:name w:val="Body Text 2"/>
    <w:basedOn w:val="1"/>
    <w:link w:val="140"/>
    <w:qFormat/>
    <w:uiPriority w:val="99"/>
    <w:pPr>
      <w:widowControl w:val="0"/>
      <w:spacing w:line="400" w:lineRule="exact"/>
      <w:jc w:val="center"/>
    </w:pPr>
    <w:rPr>
      <w:rFonts w:ascii="Times New Roman" w:hAnsi="Times New Roman" w:cs="Times New Roman"/>
    </w:rPr>
  </w:style>
  <w:style w:type="paragraph" w:styleId="69">
    <w:name w:val="List 4"/>
    <w:basedOn w:val="1"/>
    <w:qFormat/>
    <w:uiPriority w:val="99"/>
    <w:pPr>
      <w:widowControl w:val="0"/>
      <w:topLinePunct/>
      <w:spacing w:line="360" w:lineRule="auto"/>
      <w:ind w:left="100" w:leftChars="600" w:hanging="200" w:hangingChars="200"/>
    </w:pPr>
    <w:rPr>
      <w:rFonts w:ascii="仿宋_GB2312" w:hAnsi="Times New Roman" w:eastAsia="仿宋_GB2312" w:cs="Times New Roman"/>
      <w:kern w:val="2"/>
      <w:sz w:val="28"/>
      <w:szCs w:val="20"/>
    </w:rPr>
  </w:style>
  <w:style w:type="paragraph" w:styleId="70">
    <w:name w:val="List Continue 2"/>
    <w:basedOn w:val="1"/>
    <w:qFormat/>
    <w:uiPriority w:val="99"/>
    <w:pPr>
      <w:widowControl w:val="0"/>
      <w:topLinePunct/>
      <w:spacing w:after="120" w:line="360" w:lineRule="auto"/>
      <w:ind w:left="840" w:leftChars="400" w:firstLine="200" w:firstLineChars="200"/>
    </w:pPr>
    <w:rPr>
      <w:rFonts w:ascii="仿宋_GB2312" w:hAnsi="Times New Roman" w:eastAsia="仿宋_GB2312" w:cs="Times New Roman"/>
      <w:kern w:val="2"/>
      <w:sz w:val="28"/>
      <w:szCs w:val="20"/>
    </w:rPr>
  </w:style>
  <w:style w:type="paragraph" w:styleId="71">
    <w:name w:val="Message Header"/>
    <w:basedOn w:val="1"/>
    <w:link w:val="141"/>
    <w:qFormat/>
    <w:uiPriority w:val="0"/>
    <w:pPr>
      <w:widowControl w:val="0"/>
      <w:pBdr>
        <w:top w:val="single" w:color="auto" w:sz="6" w:space="1"/>
        <w:left w:val="single" w:color="auto" w:sz="6" w:space="1"/>
        <w:bottom w:val="single" w:color="auto" w:sz="6" w:space="1"/>
        <w:right w:val="single" w:color="auto" w:sz="6" w:space="1"/>
      </w:pBdr>
      <w:shd w:val="pct20" w:color="auto" w:fill="auto"/>
      <w:topLinePunct/>
      <w:spacing w:line="360" w:lineRule="auto"/>
      <w:ind w:left="1080" w:leftChars="500" w:hanging="1080" w:hangingChars="500"/>
    </w:pPr>
    <w:rPr>
      <w:rFonts w:ascii="Arial" w:hAnsi="Arial" w:eastAsia="仿宋_GB2312" w:cs="Times New Roman"/>
      <w:szCs w:val="20"/>
    </w:rPr>
  </w:style>
  <w:style w:type="paragraph" w:styleId="72">
    <w:name w:val="HTML Preformatted"/>
    <w:basedOn w:val="1"/>
    <w:link w:val="142"/>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pPr>
    <w:rPr>
      <w:rFonts w:ascii="Arial" w:hAnsi="Arial" w:cs="Times New Roman"/>
      <w:sz w:val="19"/>
      <w:szCs w:val="19"/>
    </w:rPr>
  </w:style>
  <w:style w:type="paragraph" w:styleId="73">
    <w:name w:val="Normal (Web)"/>
    <w:basedOn w:val="1"/>
    <w:link w:val="143"/>
    <w:qFormat/>
    <w:uiPriority w:val="0"/>
    <w:pPr>
      <w:spacing w:before="100" w:beforeAutospacing="1" w:after="100" w:afterAutospacing="1"/>
    </w:pPr>
  </w:style>
  <w:style w:type="paragraph" w:styleId="74">
    <w:name w:val="List Continue 3"/>
    <w:basedOn w:val="1"/>
    <w:qFormat/>
    <w:uiPriority w:val="99"/>
    <w:pPr>
      <w:widowControl w:val="0"/>
      <w:topLinePunct/>
      <w:spacing w:after="120" w:line="360" w:lineRule="auto"/>
      <w:ind w:left="1260" w:leftChars="600" w:firstLine="200" w:firstLineChars="200"/>
    </w:pPr>
    <w:rPr>
      <w:rFonts w:ascii="仿宋_GB2312" w:hAnsi="Times New Roman" w:eastAsia="仿宋_GB2312" w:cs="Times New Roman"/>
      <w:kern w:val="2"/>
      <w:sz w:val="28"/>
      <w:szCs w:val="20"/>
    </w:rPr>
  </w:style>
  <w:style w:type="paragraph" w:styleId="75">
    <w:name w:val="index 1"/>
    <w:basedOn w:val="1"/>
    <w:next w:val="1"/>
    <w:qFormat/>
    <w:uiPriority w:val="99"/>
    <w:pPr>
      <w:widowControl w:val="0"/>
      <w:jc w:val="both"/>
    </w:pPr>
    <w:rPr>
      <w:rFonts w:ascii="Times New Roman" w:hAnsi="Times New Roman" w:cs="Times New Roman"/>
      <w:kern w:val="2"/>
      <w:sz w:val="21"/>
    </w:rPr>
  </w:style>
  <w:style w:type="paragraph" w:styleId="76">
    <w:name w:val="Title"/>
    <w:basedOn w:val="1"/>
    <w:link w:val="144"/>
    <w:qFormat/>
    <w:uiPriority w:val="0"/>
    <w:pPr>
      <w:widowControl w:val="0"/>
      <w:spacing w:before="240" w:after="60"/>
      <w:ind w:right="2687" w:firstLine="2760"/>
      <w:jc w:val="distribute"/>
      <w:outlineLvl w:val="0"/>
    </w:pPr>
    <w:rPr>
      <w:rFonts w:ascii="Arial" w:hAnsi="Arial" w:cs="Times New Roman"/>
      <w:b/>
      <w:sz w:val="32"/>
      <w:szCs w:val="20"/>
    </w:rPr>
  </w:style>
  <w:style w:type="paragraph" w:styleId="77">
    <w:name w:val="annotation subject"/>
    <w:basedOn w:val="27"/>
    <w:next w:val="27"/>
    <w:link w:val="145"/>
    <w:qFormat/>
    <w:uiPriority w:val="0"/>
    <w:rPr>
      <w:rFonts w:ascii="宋体" w:hAnsi="宋体" w:cs="宋体"/>
      <w:b/>
      <w:bCs/>
      <w:szCs w:val="24"/>
    </w:rPr>
  </w:style>
  <w:style w:type="paragraph" w:styleId="78">
    <w:name w:val="Body Text First Indent"/>
    <w:basedOn w:val="2"/>
    <w:next w:val="1"/>
    <w:link w:val="146"/>
    <w:qFormat/>
    <w:uiPriority w:val="0"/>
    <w:pPr>
      <w:spacing w:after="120"/>
      <w:ind w:firstLine="420" w:firstLineChars="100"/>
      <w:jc w:val="both"/>
    </w:pPr>
    <w:rPr>
      <w:sz w:val="20"/>
      <w:szCs w:val="20"/>
    </w:rPr>
  </w:style>
  <w:style w:type="paragraph" w:styleId="79">
    <w:name w:val="Body Text First Indent 2"/>
    <w:basedOn w:val="32"/>
    <w:link w:val="147"/>
    <w:qFormat/>
    <w:uiPriority w:val="0"/>
    <w:pPr>
      <w:widowControl w:val="0"/>
      <w:topLinePunct/>
      <w:spacing w:line="360" w:lineRule="auto"/>
      <w:ind w:firstLine="200" w:firstLineChars="200"/>
    </w:pPr>
    <w:rPr>
      <w:rFonts w:hAnsi="Times New Roman"/>
      <w:spacing w:val="0"/>
      <w:sz w:val="28"/>
    </w:rPr>
  </w:style>
  <w:style w:type="table" w:styleId="81">
    <w:name w:val="Table Grid"/>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2">
    <w:name w:val="Table Classic 1"/>
    <w:basedOn w:val="80"/>
    <w:unhideWhenUsed/>
    <w:qFormat/>
    <w:uiPriority w:val="0"/>
    <w:pPr>
      <w:widowControl w:val="0"/>
      <w:jc w:val="both"/>
    </w:pPr>
    <w:rPr>
      <w:rFonts w:eastAsia="Times New Roman"/>
    </w:r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84">
    <w:name w:val="Strong"/>
    <w:qFormat/>
    <w:uiPriority w:val="22"/>
    <w:rPr>
      <w:b/>
    </w:rPr>
  </w:style>
  <w:style w:type="character" w:styleId="85">
    <w:name w:val="endnote reference"/>
    <w:qFormat/>
    <w:uiPriority w:val="0"/>
    <w:rPr>
      <w:vertAlign w:val="superscript"/>
    </w:rPr>
  </w:style>
  <w:style w:type="character" w:styleId="86">
    <w:name w:val="page number"/>
    <w:qFormat/>
    <w:uiPriority w:val="0"/>
  </w:style>
  <w:style w:type="character" w:styleId="87">
    <w:name w:val="FollowedHyperlink"/>
    <w:qFormat/>
    <w:uiPriority w:val="99"/>
    <w:rPr>
      <w:rFonts w:hint="eastAsia" w:ascii="微软雅黑" w:hAnsi="微软雅黑" w:eastAsia="微软雅黑" w:cs="微软雅黑"/>
      <w:color w:val="000000"/>
      <w:sz w:val="22"/>
      <w:szCs w:val="22"/>
      <w:u w:val="none"/>
    </w:rPr>
  </w:style>
  <w:style w:type="character" w:styleId="88">
    <w:name w:val="Emphasis"/>
    <w:qFormat/>
    <w:uiPriority w:val="20"/>
    <w:rPr>
      <w:rFonts w:eastAsia="仿宋_GB2312"/>
      <w:i/>
      <w:iCs/>
      <w:spacing w:val="-2"/>
      <w:kern w:val="2"/>
      <w:sz w:val="28"/>
      <w:szCs w:val="28"/>
      <w:lang w:val="en-US" w:eastAsia="zh-CN" w:bidi="ar-SA"/>
    </w:rPr>
  </w:style>
  <w:style w:type="character" w:styleId="89">
    <w:name w:val="line number"/>
    <w:qFormat/>
    <w:uiPriority w:val="0"/>
    <w:rPr>
      <w:rFonts w:eastAsia="仿宋_GB2312"/>
      <w:spacing w:val="-2"/>
      <w:kern w:val="2"/>
      <w:sz w:val="28"/>
      <w:szCs w:val="28"/>
      <w:lang w:val="en-US" w:eastAsia="zh-CN" w:bidi="ar-SA"/>
    </w:rPr>
  </w:style>
  <w:style w:type="character" w:styleId="90">
    <w:name w:val="HTML Definition"/>
    <w:qFormat/>
    <w:uiPriority w:val="99"/>
    <w:rPr>
      <w:rFonts w:eastAsia="仿宋_GB2312"/>
      <w:i/>
      <w:iCs/>
      <w:spacing w:val="-2"/>
      <w:kern w:val="2"/>
      <w:sz w:val="28"/>
      <w:szCs w:val="28"/>
      <w:lang w:val="en-US" w:eastAsia="zh-CN" w:bidi="ar-SA"/>
    </w:rPr>
  </w:style>
  <w:style w:type="character" w:styleId="91">
    <w:name w:val="HTML Typewriter"/>
    <w:qFormat/>
    <w:uiPriority w:val="0"/>
    <w:rPr>
      <w:rFonts w:ascii="Courier New" w:hAnsi="Courier New" w:eastAsia="仿宋_GB2312" w:cs="Courier New"/>
      <w:spacing w:val="-2"/>
      <w:kern w:val="2"/>
      <w:sz w:val="20"/>
      <w:szCs w:val="20"/>
      <w:lang w:val="en-US" w:eastAsia="zh-CN" w:bidi="ar-SA"/>
    </w:rPr>
  </w:style>
  <w:style w:type="character" w:styleId="92">
    <w:name w:val="HTML Acronym"/>
    <w:qFormat/>
    <w:uiPriority w:val="0"/>
    <w:rPr>
      <w:rFonts w:eastAsia="仿宋_GB2312"/>
      <w:spacing w:val="-2"/>
      <w:kern w:val="2"/>
      <w:sz w:val="28"/>
      <w:szCs w:val="28"/>
      <w:lang w:val="en-US" w:eastAsia="zh-CN" w:bidi="ar-SA"/>
    </w:rPr>
  </w:style>
  <w:style w:type="character" w:styleId="93">
    <w:name w:val="HTML Variable"/>
    <w:qFormat/>
    <w:uiPriority w:val="99"/>
    <w:rPr>
      <w:rFonts w:eastAsia="仿宋_GB2312"/>
      <w:i/>
      <w:iCs/>
      <w:spacing w:val="-2"/>
      <w:kern w:val="2"/>
      <w:sz w:val="28"/>
      <w:szCs w:val="28"/>
      <w:lang w:val="en-US" w:eastAsia="zh-CN" w:bidi="ar-SA"/>
    </w:rPr>
  </w:style>
  <w:style w:type="character" w:styleId="94">
    <w:name w:val="Hyperlink"/>
    <w:qFormat/>
    <w:uiPriority w:val="99"/>
    <w:rPr>
      <w:rFonts w:ascii="Times New Roman" w:hAnsi="Times New Roman"/>
      <w:color w:val="000000"/>
      <w:szCs w:val="20"/>
      <w:u w:val="none"/>
    </w:rPr>
  </w:style>
  <w:style w:type="character" w:styleId="95">
    <w:name w:val="HTML Code"/>
    <w:qFormat/>
    <w:uiPriority w:val="99"/>
    <w:rPr>
      <w:rFonts w:ascii="Courier New" w:hAnsi="Courier New" w:eastAsia="仿宋_GB2312" w:cs="Courier New"/>
      <w:spacing w:val="-2"/>
      <w:kern w:val="2"/>
      <w:sz w:val="20"/>
      <w:szCs w:val="20"/>
      <w:lang w:val="en-US" w:eastAsia="zh-CN" w:bidi="ar-SA"/>
    </w:rPr>
  </w:style>
  <w:style w:type="character" w:styleId="96">
    <w:name w:val="annotation reference"/>
    <w:qFormat/>
    <w:uiPriority w:val="99"/>
    <w:rPr>
      <w:sz w:val="21"/>
      <w:szCs w:val="21"/>
    </w:rPr>
  </w:style>
  <w:style w:type="character" w:styleId="97">
    <w:name w:val="HTML Cite"/>
    <w:qFormat/>
    <w:uiPriority w:val="99"/>
    <w:rPr>
      <w:rFonts w:eastAsia="仿宋_GB2312"/>
      <w:i/>
      <w:iCs/>
      <w:spacing w:val="-2"/>
      <w:kern w:val="2"/>
      <w:sz w:val="28"/>
      <w:szCs w:val="28"/>
      <w:lang w:val="en-US" w:eastAsia="zh-CN" w:bidi="ar-SA"/>
    </w:rPr>
  </w:style>
  <w:style w:type="character" w:styleId="98">
    <w:name w:val="footnote reference"/>
    <w:qFormat/>
    <w:uiPriority w:val="99"/>
    <w:rPr>
      <w:vertAlign w:val="superscript"/>
    </w:rPr>
  </w:style>
  <w:style w:type="character" w:styleId="99">
    <w:name w:val="HTML Keyboard"/>
    <w:qFormat/>
    <w:uiPriority w:val="99"/>
    <w:rPr>
      <w:rFonts w:ascii="Courier New" w:hAnsi="Courier New" w:eastAsia="仿宋_GB2312" w:cs="Courier New"/>
      <w:spacing w:val="-2"/>
      <w:kern w:val="2"/>
      <w:sz w:val="20"/>
      <w:szCs w:val="20"/>
      <w:lang w:val="en-US" w:eastAsia="zh-CN" w:bidi="ar-SA"/>
    </w:rPr>
  </w:style>
  <w:style w:type="character" w:styleId="100">
    <w:name w:val="HTML Sample"/>
    <w:qFormat/>
    <w:uiPriority w:val="99"/>
    <w:rPr>
      <w:rFonts w:ascii="Courier New" w:hAnsi="Courier New" w:eastAsia="仿宋_GB2312" w:cs="Courier New"/>
      <w:spacing w:val="-2"/>
      <w:kern w:val="2"/>
      <w:sz w:val="28"/>
      <w:szCs w:val="28"/>
      <w:lang w:val="en-US" w:eastAsia="zh-CN" w:bidi="ar-SA"/>
    </w:rPr>
  </w:style>
  <w:style w:type="paragraph" w:customStyle="1" w:styleId="101">
    <w:name w:val="Default"/>
    <w:basedOn w:val="102"/>
    <w:next w:val="1"/>
    <w:qFormat/>
    <w:uiPriority w:val="99"/>
    <w:rPr>
      <w:rFonts w:eastAsia="宋体"/>
      <w:color w:val="000000"/>
    </w:rPr>
  </w:style>
  <w:style w:type="paragraph" w:customStyle="1" w:styleId="102">
    <w:name w:val="表头"/>
    <w:basedOn w:val="66"/>
    <w:next w:val="1"/>
    <w:link w:val="151"/>
    <w:qFormat/>
    <w:uiPriority w:val="0"/>
    <w:pPr>
      <w:snapToGrid w:val="0"/>
      <w:jc w:val="center"/>
    </w:pPr>
    <w:rPr>
      <w:rFonts w:eastAsia="黑体"/>
    </w:rPr>
  </w:style>
  <w:style w:type="paragraph" w:customStyle="1" w:styleId="103">
    <w:name w:val="正文格式"/>
    <w:basedOn w:val="1"/>
    <w:next w:val="1"/>
    <w:link w:val="148"/>
    <w:qFormat/>
    <w:uiPriority w:val="0"/>
    <w:pPr>
      <w:spacing w:line="360" w:lineRule="auto"/>
      <w:ind w:firstLine="544"/>
    </w:pPr>
    <w:rPr>
      <w:szCs w:val="20"/>
    </w:rPr>
  </w:style>
  <w:style w:type="paragraph" w:customStyle="1" w:styleId="104">
    <w:name w:val="表格内"/>
    <w:basedOn w:val="59"/>
    <w:next w:val="1"/>
    <w:link w:val="106"/>
    <w:qFormat/>
    <w:uiPriority w:val="0"/>
    <w:pPr>
      <w:snapToGrid w:val="0"/>
      <w:spacing w:line="360" w:lineRule="exact"/>
      <w:jc w:val="center"/>
    </w:pPr>
    <w:rPr>
      <w:rFonts w:ascii="Calibri" w:hAnsi="Calibri"/>
      <w:sz w:val="21"/>
      <w:szCs w:val="21"/>
    </w:rPr>
  </w:style>
  <w:style w:type="character" w:customStyle="1" w:styleId="105">
    <w:name w:val="列表 Char"/>
    <w:link w:val="59"/>
    <w:qFormat/>
    <w:uiPriority w:val="0"/>
    <w:rPr>
      <w:rFonts w:ascii="黑体" w:hAnsi="Times New Roman" w:eastAsia="黑体"/>
      <w:kern w:val="2"/>
      <w:sz w:val="24"/>
      <w:szCs w:val="24"/>
    </w:rPr>
  </w:style>
  <w:style w:type="character" w:customStyle="1" w:styleId="106">
    <w:name w:val="表格内 Char"/>
    <w:link w:val="104"/>
    <w:qFormat/>
    <w:uiPriority w:val="0"/>
    <w:rPr>
      <w:rFonts w:ascii="Calibri" w:hAnsi="Calibri" w:eastAsia="黑体"/>
      <w:kern w:val="2"/>
      <w:sz w:val="21"/>
      <w:szCs w:val="21"/>
    </w:rPr>
  </w:style>
  <w:style w:type="character" w:customStyle="1" w:styleId="107">
    <w:name w:val="标题 1 Char"/>
    <w:link w:val="4"/>
    <w:qFormat/>
    <w:uiPriority w:val="0"/>
    <w:rPr>
      <w:rFonts w:eastAsia="黑体"/>
      <w:kern w:val="2"/>
      <w:sz w:val="32"/>
      <w:szCs w:val="22"/>
    </w:rPr>
  </w:style>
  <w:style w:type="character" w:customStyle="1" w:styleId="108">
    <w:name w:val="标题 2 Char1"/>
    <w:link w:val="5"/>
    <w:qFormat/>
    <w:uiPriority w:val="0"/>
    <w:rPr>
      <w:rFonts w:eastAsia="黑体"/>
      <w:bCs/>
      <w:sz w:val="28"/>
      <w:szCs w:val="32"/>
    </w:rPr>
  </w:style>
  <w:style w:type="character" w:customStyle="1" w:styleId="109">
    <w:name w:val="标题 3 Char1"/>
    <w:link w:val="7"/>
    <w:qFormat/>
    <w:uiPriority w:val="9"/>
    <w:rPr>
      <w:rFonts w:ascii="Times New Roman" w:hAnsi="Times New Roman" w:eastAsia="黑体"/>
      <w:bCs/>
      <w:szCs w:val="32"/>
    </w:rPr>
  </w:style>
  <w:style w:type="character" w:customStyle="1" w:styleId="110">
    <w:name w:val="标题 4 Char1"/>
    <w:link w:val="8"/>
    <w:qFormat/>
    <w:uiPriority w:val="99"/>
    <w:rPr>
      <w:rFonts w:ascii="Times New Roman" w:hAnsi="Times New Roman" w:cs="宋体"/>
      <w:sz w:val="24"/>
      <w:lang w:val="zh-CN"/>
    </w:rPr>
  </w:style>
  <w:style w:type="character" w:customStyle="1" w:styleId="111">
    <w:name w:val="标题 5 Char"/>
    <w:link w:val="9"/>
    <w:qFormat/>
    <w:uiPriority w:val="0"/>
    <w:rPr>
      <w:rFonts w:ascii="仿宋_GB2312" w:hAnsi="Times New Roman" w:eastAsia="仿宋_GB2312"/>
      <w:b/>
      <w:bCs/>
      <w:sz w:val="28"/>
      <w:szCs w:val="28"/>
    </w:rPr>
  </w:style>
  <w:style w:type="character" w:customStyle="1" w:styleId="112">
    <w:name w:val="标题 6 Char"/>
    <w:link w:val="10"/>
    <w:qFormat/>
    <w:uiPriority w:val="0"/>
    <w:rPr>
      <w:rFonts w:ascii="Times New Roman" w:hAnsi="Times New Roman"/>
      <w:b/>
      <w:bCs/>
      <w:kern w:val="2"/>
      <w:sz w:val="24"/>
    </w:rPr>
  </w:style>
  <w:style w:type="character" w:customStyle="1" w:styleId="113">
    <w:name w:val="标题 7 Char"/>
    <w:link w:val="11"/>
    <w:qFormat/>
    <w:uiPriority w:val="0"/>
    <w:rPr>
      <w:rFonts w:ascii="Times New Roman" w:hAnsi="Times New Roman"/>
      <w:b/>
      <w:bCs/>
      <w:kern w:val="2"/>
      <w:sz w:val="28"/>
      <w:szCs w:val="28"/>
    </w:rPr>
  </w:style>
  <w:style w:type="character" w:customStyle="1" w:styleId="114">
    <w:name w:val="标题 8 Char1"/>
    <w:link w:val="12"/>
    <w:qFormat/>
    <w:uiPriority w:val="0"/>
    <w:rPr>
      <w:rFonts w:ascii="Times New Roman" w:hAnsi="Times New Roman"/>
      <w:b/>
      <w:bCs/>
      <w:kern w:val="2"/>
      <w:sz w:val="28"/>
      <w:szCs w:val="28"/>
    </w:rPr>
  </w:style>
  <w:style w:type="character" w:customStyle="1" w:styleId="115">
    <w:name w:val="标题 9 Char"/>
    <w:link w:val="13"/>
    <w:qFormat/>
    <w:uiPriority w:val="0"/>
    <w:rPr>
      <w:rFonts w:ascii="Arial" w:hAnsi="Arial" w:eastAsia="黑体"/>
      <w:sz w:val="28"/>
      <w:szCs w:val="21"/>
    </w:rPr>
  </w:style>
  <w:style w:type="character" w:customStyle="1" w:styleId="116">
    <w:name w:val="宏文本 Char2"/>
    <w:link w:val="3"/>
    <w:qFormat/>
    <w:uiPriority w:val="0"/>
    <w:rPr>
      <w:rFonts w:ascii="Courier New" w:hAnsi="Courier New" w:cs="Courier New"/>
      <w:kern w:val="2"/>
      <w:sz w:val="24"/>
      <w:szCs w:val="24"/>
    </w:rPr>
  </w:style>
  <w:style w:type="character" w:customStyle="1" w:styleId="117">
    <w:name w:val="注释标题 Char"/>
    <w:link w:val="18"/>
    <w:qFormat/>
    <w:uiPriority w:val="0"/>
    <w:rPr>
      <w:rFonts w:ascii="Times New Roman" w:hAnsi="Times New Roman"/>
    </w:rPr>
  </w:style>
  <w:style w:type="character" w:customStyle="1" w:styleId="118">
    <w:name w:val="电子邮件签名 Char"/>
    <w:link w:val="20"/>
    <w:qFormat/>
    <w:uiPriority w:val="0"/>
    <w:rPr>
      <w:rFonts w:ascii="仿宋_GB2312" w:hAnsi="Times New Roman" w:eastAsia="仿宋_GB2312"/>
      <w:sz w:val="28"/>
    </w:rPr>
  </w:style>
  <w:style w:type="character" w:customStyle="1" w:styleId="119">
    <w:name w:val="正文缩进 Char"/>
    <w:link w:val="6"/>
    <w:qFormat/>
    <w:uiPriority w:val="0"/>
    <w:rPr>
      <w:sz w:val="28"/>
    </w:rPr>
  </w:style>
  <w:style w:type="character" w:customStyle="1" w:styleId="120">
    <w:name w:val="题注 Char"/>
    <w:link w:val="22"/>
    <w:qFormat/>
    <w:uiPriority w:val="0"/>
    <w:rPr>
      <w:rFonts w:ascii="Arial" w:hAnsi="Arial" w:eastAsia="黑体" w:cs="Arial"/>
    </w:rPr>
  </w:style>
  <w:style w:type="character" w:customStyle="1" w:styleId="121">
    <w:name w:val="文档结构图 Char"/>
    <w:link w:val="25"/>
    <w:qFormat/>
    <w:uiPriority w:val="99"/>
    <w:rPr>
      <w:rFonts w:ascii="Times New Roman" w:hAnsi="Times New Roman"/>
      <w:szCs w:val="24"/>
      <w:shd w:val="clear" w:color="auto" w:fill="000080"/>
    </w:rPr>
  </w:style>
  <w:style w:type="character" w:customStyle="1" w:styleId="122">
    <w:name w:val="批注文字 Char"/>
    <w:link w:val="27"/>
    <w:qFormat/>
    <w:uiPriority w:val="99"/>
    <w:rPr>
      <w:sz w:val="24"/>
      <w:szCs w:val="22"/>
    </w:rPr>
  </w:style>
  <w:style w:type="character" w:customStyle="1" w:styleId="123">
    <w:name w:val="称呼 Char"/>
    <w:link w:val="28"/>
    <w:qFormat/>
    <w:uiPriority w:val="0"/>
    <w:rPr>
      <w:rFonts w:ascii="Times New Roman" w:hAnsi="Times New Roman" w:eastAsia="楷体_GB2312"/>
      <w:color w:val="000000"/>
      <w:kern w:val="28"/>
      <w:sz w:val="28"/>
    </w:rPr>
  </w:style>
  <w:style w:type="character" w:customStyle="1" w:styleId="124">
    <w:name w:val="正文文本 3 Char"/>
    <w:link w:val="29"/>
    <w:qFormat/>
    <w:uiPriority w:val="0"/>
    <w:rPr>
      <w:rFonts w:ascii="宋体" w:hAnsi="宋体"/>
      <w:color w:val="006600"/>
      <w:kern w:val="16"/>
      <w:sz w:val="24"/>
      <w:szCs w:val="24"/>
    </w:rPr>
  </w:style>
  <w:style w:type="character" w:customStyle="1" w:styleId="125">
    <w:name w:val="结束语 Char"/>
    <w:link w:val="30"/>
    <w:qFormat/>
    <w:uiPriority w:val="0"/>
    <w:rPr>
      <w:rFonts w:ascii="仿宋_GB2312" w:hAnsi="Times New Roman" w:eastAsia="仿宋_GB2312"/>
      <w:sz w:val="28"/>
    </w:rPr>
  </w:style>
  <w:style w:type="character" w:customStyle="1" w:styleId="126">
    <w:name w:val="正文文本 Char1"/>
    <w:link w:val="2"/>
    <w:qFormat/>
    <w:uiPriority w:val="1"/>
    <w:rPr>
      <w:color w:val="000000"/>
      <w:kern w:val="2"/>
      <w:sz w:val="24"/>
      <w:szCs w:val="22"/>
    </w:rPr>
  </w:style>
  <w:style w:type="character" w:customStyle="1" w:styleId="127">
    <w:name w:val="正文文本缩进 Char2"/>
    <w:link w:val="32"/>
    <w:qFormat/>
    <w:uiPriority w:val="0"/>
    <w:rPr>
      <w:rFonts w:ascii="仿宋_GB2312" w:eastAsia="仿宋_GB2312"/>
      <w:spacing w:val="-2"/>
    </w:rPr>
  </w:style>
  <w:style w:type="character" w:customStyle="1" w:styleId="128">
    <w:name w:val="HTML 地址 Char"/>
    <w:link w:val="38"/>
    <w:qFormat/>
    <w:uiPriority w:val="0"/>
    <w:rPr>
      <w:rFonts w:ascii="Times New Roman" w:hAnsi="Times New Roman"/>
      <w:i/>
      <w:iCs/>
    </w:rPr>
  </w:style>
  <w:style w:type="character" w:customStyle="1" w:styleId="129">
    <w:name w:val="纯文本 Char1"/>
    <w:link w:val="41"/>
    <w:qFormat/>
    <w:uiPriority w:val="0"/>
    <w:rPr>
      <w:rFonts w:ascii="宋体" w:hAnsi="Courier New"/>
      <w:kern w:val="2"/>
      <w:sz w:val="21"/>
      <w:szCs w:val="22"/>
    </w:rPr>
  </w:style>
  <w:style w:type="character" w:customStyle="1" w:styleId="130">
    <w:name w:val="日期 Char"/>
    <w:link w:val="45"/>
    <w:qFormat/>
    <w:uiPriority w:val="99"/>
  </w:style>
  <w:style w:type="character" w:customStyle="1" w:styleId="131">
    <w:name w:val="正文文本缩进 2 Char"/>
    <w:link w:val="46"/>
    <w:qFormat/>
    <w:uiPriority w:val="0"/>
    <w:rPr>
      <w:rFonts w:ascii="Times New Roman" w:hAnsi="Times New Roman"/>
      <w:szCs w:val="24"/>
    </w:rPr>
  </w:style>
  <w:style w:type="character" w:customStyle="1" w:styleId="132">
    <w:name w:val="尾注文本 Char"/>
    <w:link w:val="47"/>
    <w:qFormat/>
    <w:uiPriority w:val="0"/>
    <w:rPr>
      <w:sz w:val="24"/>
    </w:rPr>
  </w:style>
  <w:style w:type="character" w:customStyle="1" w:styleId="133">
    <w:name w:val="批注框文本 Char"/>
    <w:link w:val="49"/>
    <w:qFormat/>
    <w:uiPriority w:val="0"/>
    <w:rPr>
      <w:rFonts w:ascii="宋体" w:hAnsi="宋体" w:cs="宋体"/>
      <w:sz w:val="18"/>
      <w:szCs w:val="18"/>
    </w:rPr>
  </w:style>
  <w:style w:type="character" w:customStyle="1" w:styleId="134">
    <w:name w:val="页脚 Char"/>
    <w:link w:val="50"/>
    <w:qFormat/>
    <w:uiPriority w:val="99"/>
    <w:rPr>
      <w:kern w:val="2"/>
      <w:sz w:val="18"/>
      <w:szCs w:val="18"/>
    </w:rPr>
  </w:style>
  <w:style w:type="character" w:customStyle="1" w:styleId="135">
    <w:name w:val="页眉 Char"/>
    <w:link w:val="52"/>
    <w:qFormat/>
    <w:uiPriority w:val="99"/>
    <w:rPr>
      <w:kern w:val="2"/>
      <w:sz w:val="18"/>
      <w:szCs w:val="18"/>
    </w:rPr>
  </w:style>
  <w:style w:type="character" w:customStyle="1" w:styleId="136">
    <w:name w:val="签名 Char"/>
    <w:link w:val="53"/>
    <w:qFormat/>
    <w:uiPriority w:val="0"/>
    <w:rPr>
      <w:rFonts w:ascii="仿宋_GB2312" w:hAnsi="Times New Roman" w:eastAsia="仿宋_GB2312"/>
      <w:sz w:val="28"/>
    </w:rPr>
  </w:style>
  <w:style w:type="character" w:customStyle="1" w:styleId="137">
    <w:name w:val="副标题 Char"/>
    <w:link w:val="57"/>
    <w:qFormat/>
    <w:uiPriority w:val="0"/>
    <w:rPr>
      <w:rFonts w:ascii="Calibri Light" w:hAnsi="Calibri Light" w:cs="宋体"/>
      <w:b/>
      <w:bCs/>
      <w:kern w:val="28"/>
      <w:sz w:val="32"/>
      <w:szCs w:val="32"/>
    </w:rPr>
  </w:style>
  <w:style w:type="character" w:customStyle="1" w:styleId="138">
    <w:name w:val="脚注文本 Char"/>
    <w:link w:val="60"/>
    <w:qFormat/>
    <w:uiPriority w:val="99"/>
    <w:rPr>
      <w:rFonts w:ascii="Times New Roman" w:hAnsi="Times New Roman"/>
      <w:sz w:val="16"/>
    </w:rPr>
  </w:style>
  <w:style w:type="character" w:customStyle="1" w:styleId="139">
    <w:name w:val="正文文本缩进 3 Char"/>
    <w:link w:val="64"/>
    <w:qFormat/>
    <w:uiPriority w:val="0"/>
    <w:rPr>
      <w:rFonts w:ascii="Times New Roman" w:hAnsi="Times New Roman"/>
      <w:sz w:val="16"/>
      <w:szCs w:val="16"/>
    </w:rPr>
  </w:style>
  <w:style w:type="character" w:customStyle="1" w:styleId="140">
    <w:name w:val="正文文本 2 Char"/>
    <w:link w:val="68"/>
    <w:qFormat/>
    <w:uiPriority w:val="99"/>
    <w:rPr>
      <w:rFonts w:ascii="Times New Roman" w:hAnsi="Times New Roman"/>
      <w:sz w:val="24"/>
      <w:szCs w:val="24"/>
    </w:rPr>
  </w:style>
  <w:style w:type="character" w:customStyle="1" w:styleId="141">
    <w:name w:val="信息标题 Char"/>
    <w:link w:val="71"/>
    <w:qFormat/>
    <w:uiPriority w:val="0"/>
    <w:rPr>
      <w:rFonts w:ascii="Arial" w:hAnsi="Arial" w:eastAsia="仿宋_GB2312"/>
      <w:sz w:val="24"/>
      <w:shd w:val="pct20" w:color="auto" w:fill="auto"/>
    </w:rPr>
  </w:style>
  <w:style w:type="character" w:customStyle="1" w:styleId="142">
    <w:name w:val="HTML 预设格式 Char"/>
    <w:link w:val="72"/>
    <w:qFormat/>
    <w:uiPriority w:val="99"/>
    <w:rPr>
      <w:rFonts w:ascii="Arial" w:hAnsi="Arial"/>
      <w:sz w:val="19"/>
      <w:szCs w:val="19"/>
    </w:rPr>
  </w:style>
  <w:style w:type="character" w:customStyle="1" w:styleId="143">
    <w:name w:val="普通(网站) Char"/>
    <w:link w:val="73"/>
    <w:qFormat/>
    <w:uiPriority w:val="0"/>
    <w:rPr>
      <w:rFonts w:ascii="宋体" w:hAnsi="宋体" w:cs="宋体"/>
      <w:sz w:val="24"/>
      <w:szCs w:val="24"/>
    </w:rPr>
  </w:style>
  <w:style w:type="character" w:customStyle="1" w:styleId="144">
    <w:name w:val="标题 Char1"/>
    <w:link w:val="76"/>
    <w:qFormat/>
    <w:uiPriority w:val="0"/>
    <w:rPr>
      <w:rFonts w:ascii="Arial" w:hAnsi="Arial"/>
      <w:b/>
      <w:sz w:val="32"/>
    </w:rPr>
  </w:style>
  <w:style w:type="character" w:customStyle="1" w:styleId="145">
    <w:name w:val="批注主题 Char"/>
    <w:link w:val="77"/>
    <w:qFormat/>
    <w:uiPriority w:val="0"/>
    <w:rPr>
      <w:rFonts w:ascii="宋体" w:hAnsi="宋体" w:cs="宋体"/>
      <w:b/>
      <w:bCs/>
      <w:sz w:val="24"/>
      <w:szCs w:val="24"/>
    </w:rPr>
  </w:style>
  <w:style w:type="character" w:customStyle="1" w:styleId="146">
    <w:name w:val="正文首行缩进 Char"/>
    <w:link w:val="78"/>
    <w:qFormat/>
    <w:uiPriority w:val="0"/>
    <w:rPr>
      <w:color w:val="000000"/>
      <w:kern w:val="2"/>
      <w:sz w:val="24"/>
      <w:szCs w:val="22"/>
    </w:rPr>
  </w:style>
  <w:style w:type="character" w:customStyle="1" w:styleId="147">
    <w:name w:val="正文首行缩进 2 Char"/>
    <w:link w:val="79"/>
    <w:qFormat/>
    <w:uiPriority w:val="0"/>
    <w:rPr>
      <w:rFonts w:ascii="仿宋_GB2312" w:hAnsi="Times New Roman" w:eastAsia="仿宋_GB2312"/>
      <w:sz w:val="28"/>
    </w:rPr>
  </w:style>
  <w:style w:type="character" w:customStyle="1" w:styleId="148">
    <w:name w:val="正文格式 Char Char"/>
    <w:link w:val="103"/>
    <w:qFormat/>
    <w:uiPriority w:val="0"/>
    <w:rPr>
      <w:rFonts w:ascii="宋体" w:hAnsi="宋体" w:cs="宋体"/>
      <w:sz w:val="24"/>
    </w:rPr>
  </w:style>
  <w:style w:type="paragraph" w:customStyle="1" w:styleId="149">
    <w:name w:val="表名1"/>
    <w:basedOn w:val="150"/>
    <w:qFormat/>
    <w:uiPriority w:val="99"/>
  </w:style>
  <w:style w:type="paragraph" w:customStyle="1" w:styleId="150">
    <w:name w:val="报告"/>
    <w:basedOn w:val="1"/>
    <w:qFormat/>
    <w:uiPriority w:val="99"/>
    <w:pPr>
      <w:widowControl w:val="0"/>
      <w:autoSpaceDE w:val="0"/>
      <w:autoSpaceDN w:val="0"/>
      <w:adjustRightInd w:val="0"/>
      <w:spacing w:line="360" w:lineRule="auto"/>
      <w:ind w:firstLine="505"/>
      <w:textAlignment w:val="baseline"/>
    </w:pPr>
    <w:rPr>
      <w:rFonts w:ascii="Times New Roman" w:hAnsi="Times New Roman" w:cs="Times New Roman"/>
      <w:szCs w:val="20"/>
    </w:rPr>
  </w:style>
  <w:style w:type="character" w:customStyle="1" w:styleId="151">
    <w:name w:val="表头 Char"/>
    <w:link w:val="102"/>
    <w:qFormat/>
    <w:uiPriority w:val="0"/>
    <w:rPr>
      <w:rFonts w:ascii="Times New Roman" w:hAnsi="Times New Roman" w:eastAsia="黑体"/>
      <w:sz w:val="24"/>
      <w:szCs w:val="24"/>
    </w:rPr>
  </w:style>
  <w:style w:type="paragraph" w:customStyle="1" w:styleId="152">
    <w:name w:val="11111"/>
    <w:basedOn w:val="1"/>
    <w:next w:val="1"/>
    <w:qFormat/>
    <w:uiPriority w:val="0"/>
    <w:pPr>
      <w:spacing w:line="360" w:lineRule="auto"/>
      <w:ind w:firstLine="200" w:firstLineChars="200"/>
    </w:pPr>
  </w:style>
  <w:style w:type="paragraph" w:customStyle="1" w:styleId="153">
    <w:name w:val="【正文】"/>
    <w:basedOn w:val="1"/>
    <w:next w:val="1"/>
    <w:link w:val="626"/>
    <w:qFormat/>
    <w:uiPriority w:val="0"/>
    <w:pPr>
      <w:spacing w:line="500" w:lineRule="exact"/>
      <w:ind w:firstLine="200" w:firstLineChars="200"/>
    </w:pPr>
    <w:rPr>
      <w:rFonts w:cs="Times New Roman"/>
    </w:rPr>
  </w:style>
  <w:style w:type="character" w:customStyle="1" w:styleId="154">
    <w:name w:val="【正文】 Char Char"/>
    <w:link w:val="153"/>
    <w:qFormat/>
    <w:uiPriority w:val="0"/>
    <w:rPr>
      <w:rFonts w:ascii="宋体" w:hAnsi="宋体"/>
      <w:sz w:val="24"/>
      <w:szCs w:val="24"/>
    </w:rPr>
  </w:style>
  <w:style w:type="paragraph" w:customStyle="1" w:styleId="155">
    <w:name w:val="【表头】"/>
    <w:basedOn w:val="1"/>
    <w:link w:val="156"/>
    <w:qFormat/>
    <w:uiPriority w:val="0"/>
    <w:pPr>
      <w:spacing w:line="500" w:lineRule="exact"/>
      <w:jc w:val="center"/>
    </w:pPr>
    <w:rPr>
      <w:rFonts w:ascii="Calibri" w:hAnsi="Calibri" w:eastAsia="黑体" w:cs="Times New Roman"/>
      <w:sz w:val="20"/>
      <w:szCs w:val="20"/>
      <w:lang w:val="zh-CN"/>
    </w:rPr>
  </w:style>
  <w:style w:type="character" w:customStyle="1" w:styleId="156">
    <w:name w:val="【表头】 Char Char"/>
    <w:link w:val="155"/>
    <w:qFormat/>
    <w:uiPriority w:val="0"/>
    <w:rPr>
      <w:rFonts w:eastAsia="黑体"/>
      <w:lang w:val="zh-CN"/>
    </w:rPr>
  </w:style>
  <w:style w:type="paragraph" w:customStyle="1" w:styleId="157">
    <w:name w:val="【表中文字】"/>
    <w:basedOn w:val="1"/>
    <w:link w:val="158"/>
    <w:qFormat/>
    <w:uiPriority w:val="0"/>
    <w:pPr>
      <w:jc w:val="center"/>
    </w:pPr>
    <w:rPr>
      <w:rFonts w:ascii="Calibri" w:hAnsi="Calibri" w:cs="Times New Roman"/>
      <w:kern w:val="2"/>
      <w:sz w:val="21"/>
      <w:szCs w:val="22"/>
      <w:lang w:val="zh-CN"/>
    </w:rPr>
  </w:style>
  <w:style w:type="character" w:customStyle="1" w:styleId="158">
    <w:name w:val="【表中文字】 Char Char"/>
    <w:link w:val="157"/>
    <w:qFormat/>
    <w:uiPriority w:val="0"/>
    <w:rPr>
      <w:kern w:val="2"/>
      <w:sz w:val="21"/>
      <w:szCs w:val="22"/>
      <w:lang w:val="zh-CN"/>
    </w:rPr>
  </w:style>
  <w:style w:type="paragraph" w:customStyle="1" w:styleId="159">
    <w:name w:val="【表中文字】-"/>
    <w:basedOn w:val="1"/>
    <w:qFormat/>
    <w:uiPriority w:val="0"/>
    <w:pPr>
      <w:jc w:val="center"/>
    </w:pPr>
    <w:rPr>
      <w:sz w:val="20"/>
      <w:szCs w:val="20"/>
    </w:rPr>
  </w:style>
  <w:style w:type="paragraph" w:customStyle="1" w:styleId="160">
    <w:name w:val="Char Char Char Char Char Char Char"/>
    <w:basedOn w:val="1"/>
    <w:qFormat/>
    <w:uiPriority w:val="0"/>
    <w:pPr>
      <w:spacing w:line="360" w:lineRule="auto"/>
      <w:ind w:firstLine="200" w:firstLineChars="200"/>
    </w:pPr>
  </w:style>
  <w:style w:type="paragraph" w:customStyle="1" w:styleId="161">
    <w:name w:val="reader-word-layer reader-word-s1-13"/>
    <w:basedOn w:val="1"/>
    <w:qFormat/>
    <w:uiPriority w:val="0"/>
    <w:pPr>
      <w:spacing w:before="100" w:beforeAutospacing="1" w:after="100" w:afterAutospacing="1"/>
    </w:pPr>
  </w:style>
  <w:style w:type="paragraph" w:customStyle="1" w:styleId="162">
    <w:name w:val="p0"/>
    <w:basedOn w:val="1"/>
    <w:qFormat/>
    <w:uiPriority w:val="0"/>
    <w:pPr>
      <w:ind w:firstLine="200"/>
    </w:pPr>
    <w:rPr>
      <w:sz w:val="21"/>
      <w:szCs w:val="21"/>
    </w:rPr>
  </w:style>
  <w:style w:type="paragraph" w:customStyle="1" w:styleId="163">
    <w:name w:val="首行缩进"/>
    <w:basedOn w:val="1"/>
    <w:qFormat/>
    <w:uiPriority w:val="99"/>
    <w:pPr>
      <w:spacing w:line="460" w:lineRule="atLeast"/>
      <w:jc w:val="center"/>
    </w:pPr>
    <w:rPr>
      <w:rFonts w:eastAsia="黑体"/>
      <w:color w:val="000000"/>
      <w:spacing w:val="20"/>
    </w:rPr>
  </w:style>
  <w:style w:type="paragraph" w:customStyle="1" w:styleId="164">
    <w:name w:val="正文1"/>
    <w:link w:val="165"/>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character" w:customStyle="1" w:styleId="165">
    <w:name w:val="正文1 Char"/>
    <w:link w:val="164"/>
    <w:qFormat/>
    <w:uiPriority w:val="0"/>
    <w:rPr>
      <w:rFonts w:ascii="宋体" w:hAnsi="Times New Roman"/>
      <w:sz w:val="24"/>
    </w:rPr>
  </w:style>
  <w:style w:type="paragraph" w:customStyle="1" w:styleId="166">
    <w:name w:val="_Style 4"/>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167">
    <w:name w:val="font131"/>
    <w:qFormat/>
    <w:uiPriority w:val="0"/>
    <w:rPr>
      <w:rFonts w:hint="default" w:ascii="Calibri" w:hAnsi="Calibri" w:cs="Calibri"/>
      <w:color w:val="000000"/>
      <w:sz w:val="21"/>
      <w:szCs w:val="21"/>
      <w:u w:val="none"/>
      <w:vertAlign w:val="superscript"/>
    </w:rPr>
  </w:style>
  <w:style w:type="character" w:customStyle="1" w:styleId="168">
    <w:name w:val="font81"/>
    <w:qFormat/>
    <w:uiPriority w:val="0"/>
    <w:rPr>
      <w:rFonts w:hint="default" w:ascii="Calibri" w:hAnsi="Calibri" w:cs="Calibri"/>
      <w:color w:val="000000"/>
      <w:sz w:val="21"/>
      <w:szCs w:val="21"/>
      <w:u w:val="none"/>
    </w:rPr>
  </w:style>
  <w:style w:type="character" w:customStyle="1" w:styleId="169">
    <w:name w:val="font122"/>
    <w:qFormat/>
    <w:uiPriority w:val="0"/>
    <w:rPr>
      <w:rFonts w:hint="default" w:ascii="Calibri" w:hAnsi="Calibri" w:cs="Calibri"/>
      <w:color w:val="000000"/>
      <w:sz w:val="21"/>
      <w:szCs w:val="21"/>
      <w:u w:val="none"/>
      <w:vertAlign w:val="subscript"/>
    </w:rPr>
  </w:style>
  <w:style w:type="character" w:customStyle="1" w:styleId="170">
    <w:name w:val="font12"/>
    <w:qFormat/>
    <w:uiPriority w:val="99"/>
    <w:rPr>
      <w:rFonts w:ascii="宋体" w:hAnsi="宋体" w:eastAsia="宋体" w:cs="宋体"/>
      <w:color w:val="7030A0"/>
      <w:sz w:val="21"/>
      <w:szCs w:val="21"/>
      <w:u w:val="none"/>
    </w:rPr>
  </w:style>
  <w:style w:type="character" w:customStyle="1" w:styleId="171">
    <w:name w:val="font101"/>
    <w:qFormat/>
    <w:uiPriority w:val="99"/>
    <w:rPr>
      <w:rFonts w:ascii="宋体" w:hAnsi="宋体" w:eastAsia="宋体" w:cs="宋体"/>
      <w:color w:val="7030A0"/>
      <w:sz w:val="21"/>
      <w:szCs w:val="21"/>
      <w:u w:val="none"/>
      <w:vertAlign w:val="superscript"/>
    </w:rPr>
  </w:style>
  <w:style w:type="character" w:customStyle="1" w:styleId="172">
    <w:name w:val="font91"/>
    <w:qFormat/>
    <w:uiPriority w:val="99"/>
    <w:rPr>
      <w:rFonts w:ascii="宋体" w:hAnsi="宋体" w:eastAsia="宋体" w:cs="宋体"/>
      <w:color w:val="7030A0"/>
      <w:sz w:val="21"/>
      <w:szCs w:val="21"/>
      <w:u w:val="none"/>
      <w:vertAlign w:val="subscript"/>
    </w:rPr>
  </w:style>
  <w:style w:type="paragraph" w:customStyle="1" w:styleId="173">
    <w:name w:val="表格"/>
    <w:basedOn w:val="59"/>
    <w:next w:val="1"/>
    <w:link w:val="177"/>
    <w:qFormat/>
    <w:uiPriority w:val="0"/>
    <w:pPr>
      <w:jc w:val="center"/>
    </w:pPr>
    <w:rPr>
      <w:rFonts w:ascii="Calibri" w:hAnsi="Calibri"/>
      <w:color w:val="000000"/>
      <w:sz w:val="21"/>
      <w:szCs w:val="21"/>
    </w:rPr>
  </w:style>
  <w:style w:type="paragraph" w:customStyle="1" w:styleId="174">
    <w:name w:val="标准"/>
    <w:basedOn w:val="175"/>
    <w:qFormat/>
    <w:uiPriority w:val="0"/>
    <w:pPr>
      <w:adjustRightInd w:val="0"/>
      <w:spacing w:line="480" w:lineRule="exact"/>
      <w:textAlignment w:val="baseline"/>
    </w:pPr>
    <w:rPr>
      <w:rFonts w:ascii="Times New Roman" w:hAnsi="Times New Roman"/>
      <w:sz w:val="28"/>
      <w:szCs w:val="20"/>
      <w:lang w:val="en-GB"/>
    </w:rPr>
  </w:style>
  <w:style w:type="paragraph" w:customStyle="1" w:styleId="175">
    <w:name w:val="正文 New New"/>
    <w:link w:val="176"/>
    <w:qFormat/>
    <w:uiPriority w:val="99"/>
    <w:pPr>
      <w:widowControl w:val="0"/>
      <w:jc w:val="both"/>
    </w:pPr>
    <w:rPr>
      <w:rFonts w:ascii="Calibri" w:hAnsi="Calibri" w:eastAsia="宋体" w:cs="Times New Roman"/>
      <w:kern w:val="2"/>
      <w:sz w:val="21"/>
      <w:szCs w:val="24"/>
      <w:lang w:val="en-US" w:eastAsia="zh-CN" w:bidi="ar-SA"/>
    </w:rPr>
  </w:style>
  <w:style w:type="character" w:customStyle="1" w:styleId="176">
    <w:name w:val="正文 New New Char"/>
    <w:link w:val="175"/>
    <w:qFormat/>
    <w:uiPriority w:val="99"/>
    <w:rPr>
      <w:rFonts w:ascii="Calibri" w:hAnsi="Calibri"/>
      <w:kern w:val="2"/>
      <w:sz w:val="21"/>
      <w:szCs w:val="24"/>
    </w:rPr>
  </w:style>
  <w:style w:type="character" w:customStyle="1" w:styleId="177">
    <w:name w:val="表格 Char Char"/>
    <w:link w:val="173"/>
    <w:qFormat/>
    <w:locked/>
    <w:uiPriority w:val="0"/>
    <w:rPr>
      <w:rFonts w:cs="宋体"/>
      <w:color w:val="000000"/>
      <w:sz w:val="21"/>
      <w:szCs w:val="21"/>
    </w:rPr>
  </w:style>
  <w:style w:type="paragraph" w:customStyle="1" w:styleId="178">
    <w:name w:val="Table Paragraph"/>
    <w:basedOn w:val="1"/>
    <w:qFormat/>
    <w:uiPriority w:val="1"/>
    <w:pPr>
      <w:ind w:firstLine="200"/>
    </w:pPr>
    <w:rPr>
      <w:rFonts w:ascii="Calibri" w:hAnsi="Calibri"/>
      <w:sz w:val="22"/>
      <w:lang w:eastAsia="en-US"/>
    </w:rPr>
  </w:style>
  <w:style w:type="paragraph" w:customStyle="1" w:styleId="179">
    <w:name w:val="样式 正文文字-1 + 首行缩进:  2.1 字符1"/>
    <w:basedOn w:val="180"/>
    <w:qFormat/>
    <w:uiPriority w:val="0"/>
    <w:pPr>
      <w:spacing w:line="440" w:lineRule="exact"/>
      <w:ind w:firstLine="210"/>
    </w:pPr>
    <w:rPr>
      <w:rFonts w:cs="宋体"/>
      <w:szCs w:val="20"/>
    </w:rPr>
  </w:style>
  <w:style w:type="paragraph" w:customStyle="1" w:styleId="180">
    <w:name w:val="正文文字-1 Char"/>
    <w:qFormat/>
    <w:uiPriority w:val="0"/>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paragraph" w:customStyle="1" w:styleId="181">
    <w:name w:val="表格文字"/>
    <w:basedOn w:val="1"/>
    <w:link w:val="182"/>
    <w:qFormat/>
    <w:uiPriority w:val="0"/>
    <w:pPr>
      <w:tabs>
        <w:tab w:val="left" w:pos="146"/>
      </w:tabs>
      <w:spacing w:line="240" w:lineRule="exact"/>
      <w:ind w:right="-55" w:rightChars="-55" w:firstLine="200"/>
      <w:jc w:val="center"/>
    </w:pPr>
    <w:rPr>
      <w:rFonts w:ascii="Calibri" w:hAnsi="Calibri" w:cs="Times New Roman"/>
      <w:spacing w:val="6"/>
      <w:szCs w:val="20"/>
    </w:rPr>
  </w:style>
  <w:style w:type="character" w:customStyle="1" w:styleId="182">
    <w:name w:val="表格文字 Char Char"/>
    <w:link w:val="181"/>
    <w:qFormat/>
    <w:uiPriority w:val="0"/>
    <w:rPr>
      <w:spacing w:val="6"/>
      <w:sz w:val="24"/>
    </w:rPr>
  </w:style>
  <w:style w:type="character" w:customStyle="1" w:styleId="183">
    <w:name w:val="样式 样式 四号 蓝色 + 自动设置"/>
    <w:qFormat/>
    <w:uiPriority w:val="0"/>
    <w:rPr>
      <w:color w:val="auto"/>
      <w:sz w:val="24"/>
    </w:rPr>
  </w:style>
  <w:style w:type="paragraph" w:customStyle="1" w:styleId="184">
    <w:name w:val="报告表正文"/>
    <w:basedOn w:val="1"/>
    <w:qFormat/>
    <w:uiPriority w:val="99"/>
    <w:pPr>
      <w:spacing w:line="360" w:lineRule="auto"/>
      <w:ind w:firstLine="420" w:firstLineChars="200"/>
    </w:pPr>
    <w:rPr>
      <w:rFonts w:ascii="Calibri" w:hAnsi="Calibri" w:cs="Times New Roman"/>
      <w:szCs w:val="22"/>
      <w:lang w:val="zh-CN"/>
    </w:rPr>
  </w:style>
  <w:style w:type="paragraph" w:styleId="185">
    <w:name w:val="List Paragraph"/>
    <w:basedOn w:val="1"/>
    <w:link w:val="2793"/>
    <w:qFormat/>
    <w:uiPriority w:val="34"/>
    <w:pPr>
      <w:ind w:left="597" w:hanging="602"/>
    </w:pPr>
    <w:rPr>
      <w:lang w:val="zh-CN" w:bidi="zh-CN"/>
    </w:rPr>
  </w:style>
  <w:style w:type="character" w:customStyle="1" w:styleId="186">
    <w:name w:val="正文文本 (9)_"/>
    <w:link w:val="187"/>
    <w:qFormat/>
    <w:uiPriority w:val="99"/>
    <w:rPr>
      <w:rFonts w:ascii="MingLiU" w:eastAsia="MingLiU" w:cs="MingLiU"/>
      <w:shd w:val="clear" w:color="auto" w:fill="FFFFFF"/>
    </w:rPr>
  </w:style>
  <w:style w:type="paragraph" w:customStyle="1" w:styleId="187">
    <w:name w:val="正文文本 (9)1"/>
    <w:basedOn w:val="1"/>
    <w:link w:val="186"/>
    <w:qFormat/>
    <w:uiPriority w:val="99"/>
    <w:pPr>
      <w:widowControl w:val="0"/>
      <w:shd w:val="clear" w:color="auto" w:fill="FFFFFF"/>
      <w:spacing w:before="2040" w:after="660" w:line="240" w:lineRule="atLeast"/>
      <w:jc w:val="center"/>
    </w:pPr>
    <w:rPr>
      <w:rFonts w:ascii="MingLiU" w:hAnsi="Calibri" w:eastAsia="MingLiU" w:cs="MingLiU"/>
      <w:sz w:val="20"/>
      <w:szCs w:val="20"/>
    </w:rPr>
  </w:style>
  <w:style w:type="paragraph" w:customStyle="1" w:styleId="188">
    <w:name w:val="一级标题"/>
    <w:basedOn w:val="1"/>
    <w:qFormat/>
    <w:uiPriority w:val="0"/>
    <w:pPr>
      <w:widowControl w:val="0"/>
      <w:spacing w:line="520" w:lineRule="exact"/>
      <w:jc w:val="both"/>
    </w:pPr>
    <w:rPr>
      <w:rFonts w:ascii="Calibri" w:hAnsi="Calibri" w:eastAsia="仿宋_GB2312" w:cs="Times New Roman"/>
      <w:b/>
      <w:color w:val="000000"/>
      <w:kern w:val="2"/>
      <w:sz w:val="21"/>
      <w:szCs w:val="22"/>
    </w:rPr>
  </w:style>
  <w:style w:type="paragraph" w:styleId="189">
    <w:name w:val="No Spacing"/>
    <w:link w:val="190"/>
    <w:qFormat/>
    <w:uiPriority w:val="0"/>
    <w:rPr>
      <w:rFonts w:ascii="宋体" w:hAnsi="宋体" w:eastAsia="宋体" w:cs="宋体"/>
      <w:sz w:val="24"/>
      <w:szCs w:val="24"/>
      <w:lang w:val="en-US" w:eastAsia="zh-CN" w:bidi="ar-SA"/>
    </w:rPr>
  </w:style>
  <w:style w:type="character" w:customStyle="1" w:styleId="190">
    <w:name w:val="无间隔 Char"/>
    <w:link w:val="189"/>
    <w:qFormat/>
    <w:uiPriority w:val="0"/>
    <w:rPr>
      <w:rFonts w:ascii="宋体" w:hAnsi="宋体" w:cs="宋体"/>
      <w:sz w:val="24"/>
      <w:szCs w:val="24"/>
    </w:rPr>
  </w:style>
  <w:style w:type="character" w:customStyle="1" w:styleId="191">
    <w:name w:val="标题 8 Char"/>
    <w:qFormat/>
    <w:uiPriority w:val="99"/>
    <w:rPr>
      <w:rFonts w:ascii="Calibri Light" w:hAnsi="Calibri Light" w:eastAsia="宋体" w:cs="Times New Roman"/>
      <w:sz w:val="24"/>
      <w:szCs w:val="24"/>
    </w:rPr>
  </w:style>
  <w:style w:type="character" w:customStyle="1" w:styleId="192">
    <w:name w:val="sort1"/>
    <w:qFormat/>
    <w:uiPriority w:val="0"/>
    <w:rPr>
      <w:color w:val="FFFFFF"/>
      <w:bdr w:val="single" w:color="auto" w:sz="24" w:space="0"/>
    </w:rPr>
  </w:style>
  <w:style w:type="character" w:customStyle="1" w:styleId="193">
    <w:name w:val="p14"/>
    <w:qFormat/>
    <w:uiPriority w:val="0"/>
  </w:style>
  <w:style w:type="character" w:customStyle="1" w:styleId="194">
    <w:name w:val="正文样式 Char Char"/>
    <w:link w:val="195"/>
    <w:qFormat/>
    <w:uiPriority w:val="0"/>
    <w:rPr>
      <w:rFonts w:ascii="宋体" w:hAnsi="宋体"/>
      <w:sz w:val="24"/>
      <w:szCs w:val="24"/>
    </w:rPr>
  </w:style>
  <w:style w:type="paragraph" w:customStyle="1" w:styleId="195">
    <w:name w:val="正文样式"/>
    <w:basedOn w:val="1"/>
    <w:link w:val="194"/>
    <w:qFormat/>
    <w:uiPriority w:val="0"/>
    <w:pPr>
      <w:widowControl w:val="0"/>
      <w:spacing w:line="360" w:lineRule="auto"/>
      <w:ind w:firstLine="480" w:firstLineChars="200"/>
      <w:jc w:val="both"/>
    </w:pPr>
    <w:rPr>
      <w:rFonts w:cs="Times New Roman"/>
    </w:rPr>
  </w:style>
  <w:style w:type="character" w:customStyle="1" w:styleId="196">
    <w:name w:val="正文文本 (2) + Georgia9"/>
    <w:qFormat/>
    <w:uiPriority w:val="99"/>
    <w:rPr>
      <w:rFonts w:ascii="Georgia" w:hAnsi="Georgia" w:eastAsia="MingLiU" w:cs="Georgia"/>
      <w:sz w:val="20"/>
      <w:szCs w:val="20"/>
      <w:u w:val="none"/>
      <w:shd w:val="clear" w:color="auto" w:fill="FFFFFF"/>
      <w:lang w:val="en-US" w:eastAsia="en-US"/>
    </w:rPr>
  </w:style>
  <w:style w:type="character" w:customStyle="1" w:styleId="197">
    <w:name w:val="标题2 Char Char"/>
    <w:qFormat/>
    <w:uiPriority w:val="0"/>
    <w:rPr>
      <w:rFonts w:ascii="Arial" w:hAnsi="Arial" w:eastAsia="黑体"/>
      <w:b/>
      <w:bCs/>
      <w:kern w:val="2"/>
      <w:sz w:val="32"/>
      <w:szCs w:val="32"/>
      <w:lang w:val="en-US" w:eastAsia="zh-CN" w:bidi="ar-SA"/>
    </w:rPr>
  </w:style>
  <w:style w:type="character" w:customStyle="1" w:styleId="198">
    <w:name w:val="morelink-item"/>
    <w:qFormat/>
    <w:uiPriority w:val="0"/>
  </w:style>
  <w:style w:type="character" w:customStyle="1" w:styleId="199">
    <w:name w:val="Heading 4 Char"/>
    <w:qFormat/>
    <w:uiPriority w:val="0"/>
    <w:rPr>
      <w:rFonts w:ascii="黑体" w:hAnsi="宋体" w:eastAsia="黑体" w:cs="宋体"/>
      <w:bCs/>
      <w:sz w:val="24"/>
      <w:szCs w:val="24"/>
    </w:rPr>
  </w:style>
  <w:style w:type="character" w:customStyle="1" w:styleId="200">
    <w:name w:val="正文文本: Char Char"/>
    <w:link w:val="201"/>
    <w:semiHidden/>
    <w:qFormat/>
    <w:uiPriority w:val="0"/>
    <w:rPr>
      <w:rFonts w:ascii="仿宋_GB2312" w:eastAsia="仿宋_GB2312" w:cs="宋体"/>
      <w:sz w:val="28"/>
    </w:rPr>
  </w:style>
  <w:style w:type="paragraph" w:customStyle="1" w:styleId="201">
    <w:name w:val="正文文本:"/>
    <w:basedOn w:val="1"/>
    <w:link w:val="200"/>
    <w:semiHidden/>
    <w:qFormat/>
    <w:uiPriority w:val="0"/>
    <w:pPr>
      <w:widowControl w:val="0"/>
      <w:spacing w:line="360" w:lineRule="auto"/>
      <w:ind w:firstLine="200" w:firstLineChars="200"/>
    </w:pPr>
    <w:rPr>
      <w:rFonts w:ascii="仿宋_GB2312" w:hAnsi="Calibri" w:eastAsia="仿宋_GB2312"/>
      <w:sz w:val="28"/>
      <w:szCs w:val="20"/>
    </w:rPr>
  </w:style>
  <w:style w:type="character" w:customStyle="1" w:styleId="202">
    <w:name w:val="title41"/>
    <w:qFormat/>
    <w:uiPriority w:val="0"/>
    <w:rPr>
      <w:rFonts w:hint="eastAsia" w:ascii="宋体" w:hAnsi="宋体" w:eastAsia="宋体"/>
      <w:color w:val="FF6600"/>
      <w:sz w:val="36"/>
      <w:szCs w:val="36"/>
    </w:rPr>
  </w:style>
  <w:style w:type="character" w:customStyle="1" w:styleId="203">
    <w:name w:val="纯文本 Char"/>
    <w:qFormat/>
    <w:uiPriority w:val="0"/>
    <w:rPr>
      <w:rFonts w:ascii="宋体" w:hAnsi="Courier New" w:eastAsia="宋体" w:cs="Courier New"/>
      <w:szCs w:val="21"/>
    </w:rPr>
  </w:style>
  <w:style w:type="character" w:customStyle="1" w:styleId="204">
    <w:name w:val="polysemyexp"/>
    <w:qFormat/>
    <w:uiPriority w:val="0"/>
    <w:rPr>
      <w:color w:val="AAAAAA"/>
      <w:sz w:val="18"/>
      <w:szCs w:val="18"/>
    </w:rPr>
  </w:style>
  <w:style w:type="character" w:customStyle="1" w:styleId="205">
    <w:name w:val="表中文 Char Char"/>
    <w:link w:val="206"/>
    <w:qFormat/>
    <w:uiPriority w:val="0"/>
    <w:rPr>
      <w:rFonts w:ascii="Times New Roman" w:hAnsi="Times New Roman"/>
      <w:snapToGrid w:val="0"/>
      <w:kern w:val="2"/>
      <w:sz w:val="21"/>
      <w:szCs w:val="21"/>
    </w:rPr>
  </w:style>
  <w:style w:type="paragraph" w:customStyle="1" w:styleId="206">
    <w:name w:val="表中文"/>
    <w:link w:val="205"/>
    <w:qFormat/>
    <w:uiPriority w:val="0"/>
    <w:pPr>
      <w:jc w:val="center"/>
    </w:pPr>
    <w:rPr>
      <w:rFonts w:ascii="Times New Roman" w:hAnsi="Times New Roman" w:eastAsia="宋体" w:cs="Times New Roman"/>
      <w:snapToGrid w:val="0"/>
      <w:kern w:val="2"/>
      <w:sz w:val="21"/>
      <w:szCs w:val="21"/>
      <w:lang w:val="en-US" w:eastAsia="zh-CN" w:bidi="ar-SA"/>
    </w:rPr>
  </w:style>
  <w:style w:type="character" w:customStyle="1" w:styleId="207">
    <w:name w:val="正文首行缩进-修改 Char Char"/>
    <w:link w:val="208"/>
    <w:qFormat/>
    <w:uiPriority w:val="0"/>
    <w:rPr>
      <w:rFonts w:ascii="Times New Roman" w:hAnsi="Times New Roman"/>
      <w:sz w:val="24"/>
      <w:szCs w:val="24"/>
    </w:rPr>
  </w:style>
  <w:style w:type="paragraph" w:customStyle="1" w:styleId="208">
    <w:name w:val="正文首行缩进-修改"/>
    <w:basedOn w:val="1"/>
    <w:link w:val="207"/>
    <w:qFormat/>
    <w:uiPriority w:val="0"/>
    <w:pPr>
      <w:widowControl w:val="0"/>
      <w:spacing w:line="360" w:lineRule="auto"/>
      <w:ind w:firstLine="480" w:firstLineChars="200"/>
      <w:jc w:val="both"/>
    </w:pPr>
    <w:rPr>
      <w:rFonts w:ascii="Times New Roman" w:hAnsi="Times New Roman" w:cs="Times New Roman"/>
    </w:rPr>
  </w:style>
  <w:style w:type="character" w:customStyle="1" w:styleId="209">
    <w:name w:val="标题3--------------- Char Char"/>
    <w:link w:val="210"/>
    <w:qFormat/>
    <w:uiPriority w:val="0"/>
    <w:rPr>
      <w:b/>
      <w:bCs/>
      <w:sz w:val="30"/>
    </w:rPr>
  </w:style>
  <w:style w:type="paragraph" w:customStyle="1" w:styleId="210">
    <w:name w:val="标题3---------------"/>
    <w:basedOn w:val="7"/>
    <w:link w:val="209"/>
    <w:qFormat/>
    <w:uiPriority w:val="0"/>
    <w:pPr>
      <w:keepNext w:val="0"/>
      <w:widowControl w:val="0"/>
      <w:spacing w:before="160" w:after="160" w:line="240" w:lineRule="auto"/>
      <w:jc w:val="both"/>
    </w:pPr>
    <w:rPr>
      <w:rFonts w:ascii="Calibri" w:hAnsi="Calibri" w:eastAsia="宋体"/>
      <w:b/>
      <w:sz w:val="30"/>
      <w:szCs w:val="20"/>
    </w:rPr>
  </w:style>
  <w:style w:type="character" w:customStyle="1" w:styleId="211">
    <w:name w:val="表中 Char Char"/>
    <w:link w:val="212"/>
    <w:qFormat/>
    <w:uiPriority w:val="0"/>
    <w:rPr>
      <w:rFonts w:ascii="宋体" w:hAnsi="宋体"/>
      <w:color w:val="000000"/>
      <w:sz w:val="24"/>
    </w:rPr>
  </w:style>
  <w:style w:type="paragraph" w:customStyle="1" w:styleId="212">
    <w:name w:val="表中"/>
    <w:basedOn w:val="1"/>
    <w:link w:val="211"/>
    <w:qFormat/>
    <w:uiPriority w:val="0"/>
    <w:pPr>
      <w:tabs>
        <w:tab w:val="left" w:pos="425"/>
      </w:tabs>
      <w:snapToGrid w:val="0"/>
      <w:spacing w:beforeLines="20" w:afterLines="20" w:line="240" w:lineRule="exact"/>
      <w:ind w:hanging="425"/>
      <w:jc w:val="center"/>
    </w:pPr>
    <w:rPr>
      <w:rFonts w:cs="Times New Roman"/>
      <w:color w:val="000000"/>
      <w:szCs w:val="20"/>
    </w:rPr>
  </w:style>
  <w:style w:type="character" w:customStyle="1" w:styleId="213">
    <w:name w:val="lemmatitleh12"/>
    <w:qFormat/>
    <w:uiPriority w:val="0"/>
  </w:style>
  <w:style w:type="character" w:customStyle="1" w:styleId="214">
    <w:name w:val="德胜空行 Char Char"/>
    <w:link w:val="215"/>
    <w:qFormat/>
    <w:uiPriority w:val="0"/>
    <w:rPr>
      <w:snapToGrid w:val="0"/>
      <w:color w:val="0000FF"/>
      <w:szCs w:val="21"/>
    </w:rPr>
  </w:style>
  <w:style w:type="paragraph" w:customStyle="1" w:styleId="215">
    <w:name w:val="德胜空行"/>
    <w:basedOn w:val="1"/>
    <w:link w:val="214"/>
    <w:qFormat/>
    <w:uiPriority w:val="0"/>
    <w:pPr>
      <w:widowControl w:val="0"/>
      <w:adjustRightInd w:val="0"/>
      <w:snapToGrid w:val="0"/>
    </w:pPr>
    <w:rPr>
      <w:rFonts w:ascii="Calibri" w:hAnsi="Calibri" w:cs="Times New Roman"/>
      <w:snapToGrid w:val="0"/>
      <w:color w:val="0000FF"/>
      <w:sz w:val="20"/>
      <w:szCs w:val="21"/>
    </w:rPr>
  </w:style>
  <w:style w:type="character" w:customStyle="1" w:styleId="216">
    <w:name w:val="Char Char3"/>
    <w:qFormat/>
    <w:uiPriority w:val="0"/>
    <w:rPr>
      <w:rFonts w:ascii="黑体" w:hAnsi="Arial" w:eastAsia="黑体"/>
      <w:b/>
      <w:bCs/>
      <w:kern w:val="2"/>
      <w:sz w:val="28"/>
      <w:szCs w:val="28"/>
      <w:lang w:val="sq-AL" w:eastAsia="zh-CN" w:bidi="ar-SA"/>
    </w:rPr>
  </w:style>
  <w:style w:type="character" w:customStyle="1" w:styleId="217">
    <w:name w:val="正文文本 (2) + 10 pt11"/>
    <w:qFormat/>
    <w:uiPriority w:val="99"/>
    <w:rPr>
      <w:rFonts w:ascii="MingLiU" w:eastAsia="MingLiU" w:cs="MingLiU"/>
      <w:spacing w:val="10"/>
      <w:sz w:val="20"/>
      <w:szCs w:val="20"/>
      <w:u w:val="none"/>
      <w:shd w:val="clear" w:color="auto" w:fill="FFFFFF"/>
    </w:rPr>
  </w:style>
  <w:style w:type="character" w:customStyle="1" w:styleId="218">
    <w:name w:val="段落1 Char1"/>
    <w:link w:val="219"/>
    <w:qFormat/>
    <w:uiPriority w:val="0"/>
    <w:rPr>
      <w:bCs/>
      <w:spacing w:val="6"/>
      <w:sz w:val="24"/>
      <w:szCs w:val="24"/>
    </w:rPr>
  </w:style>
  <w:style w:type="paragraph" w:customStyle="1" w:styleId="219">
    <w:name w:val="段落1"/>
    <w:basedOn w:val="1"/>
    <w:link w:val="218"/>
    <w:qFormat/>
    <w:uiPriority w:val="0"/>
    <w:pPr>
      <w:widowControl w:val="0"/>
      <w:adjustRightInd w:val="0"/>
      <w:spacing w:before="120" w:after="120" w:line="360" w:lineRule="auto"/>
      <w:ind w:firstLine="504" w:firstLineChars="200"/>
      <w:jc w:val="both"/>
      <w:textAlignment w:val="baseline"/>
    </w:pPr>
    <w:rPr>
      <w:rFonts w:ascii="Calibri" w:hAnsi="Calibri" w:cs="Times New Roman"/>
      <w:bCs/>
      <w:spacing w:val="6"/>
    </w:rPr>
  </w:style>
  <w:style w:type="character" w:customStyle="1" w:styleId="220">
    <w:name w:val="h2 Char1"/>
    <w:qFormat/>
    <w:uiPriority w:val="0"/>
    <w:rPr>
      <w:rFonts w:ascii="Times New Roman" w:hAnsi="Times New Roman" w:eastAsia="黑体"/>
      <w:bCs/>
      <w:kern w:val="2"/>
      <w:sz w:val="30"/>
      <w:szCs w:val="32"/>
    </w:rPr>
  </w:style>
  <w:style w:type="character" w:customStyle="1" w:styleId="221">
    <w:name w:val="章节标题 Char3"/>
    <w:qFormat/>
    <w:uiPriority w:val="0"/>
    <w:rPr>
      <w:rFonts w:ascii="Times New Roman" w:hAnsi="Times New Roman" w:eastAsia="黑体" w:cs="Times New Roman"/>
      <w:b/>
      <w:kern w:val="44"/>
      <w:sz w:val="44"/>
      <w:szCs w:val="20"/>
    </w:rPr>
  </w:style>
  <w:style w:type="character" w:customStyle="1" w:styleId="222">
    <w:name w:val="表格内容1 Char Char1 Char Char Char"/>
    <w:link w:val="223"/>
    <w:semiHidden/>
    <w:qFormat/>
    <w:uiPriority w:val="0"/>
    <w:rPr>
      <w:rFonts w:ascii="Times New Roman" w:hAnsi="Times New Roman" w:eastAsia="仿宋_GB2312"/>
      <w:kern w:val="24"/>
      <w:szCs w:val="24"/>
    </w:rPr>
  </w:style>
  <w:style w:type="paragraph" w:customStyle="1" w:styleId="223">
    <w:name w:val="表格内容1 Char Char1 Char"/>
    <w:basedOn w:val="1"/>
    <w:link w:val="222"/>
    <w:semiHidden/>
    <w:qFormat/>
    <w:uiPriority w:val="0"/>
    <w:pPr>
      <w:widowControl w:val="0"/>
      <w:spacing w:line="240" w:lineRule="atLeast"/>
      <w:jc w:val="center"/>
    </w:pPr>
    <w:rPr>
      <w:rFonts w:ascii="Times New Roman" w:hAnsi="Times New Roman" w:eastAsia="仿宋_GB2312" w:cs="Times New Roman"/>
      <w:kern w:val="24"/>
      <w:sz w:val="20"/>
    </w:rPr>
  </w:style>
  <w:style w:type="character" w:customStyle="1" w:styleId="224">
    <w:name w:val="表头 Char Char Char"/>
    <w:qFormat/>
    <w:uiPriority w:val="0"/>
    <w:rPr>
      <w:rFonts w:ascii="仿宋_GB2312" w:eastAsia="黑体" w:cs="宋体"/>
      <w:spacing w:val="-2"/>
      <w:kern w:val="2"/>
      <w:sz w:val="28"/>
      <w:szCs w:val="28"/>
      <w:lang w:val="en-US" w:eastAsia="zh-CN" w:bidi="ar-SA"/>
    </w:rPr>
  </w:style>
  <w:style w:type="character" w:customStyle="1" w:styleId="225">
    <w:name w:val="zhengwen Char Char"/>
    <w:link w:val="226"/>
    <w:qFormat/>
    <w:uiPriority w:val="0"/>
    <w:rPr>
      <w:rFonts w:ascii="Times New Roman" w:hAnsi="Times New Roman"/>
      <w:snapToGrid w:val="0"/>
      <w:color w:val="000000"/>
      <w:kern w:val="2"/>
      <w:sz w:val="24"/>
      <w:szCs w:val="24"/>
    </w:rPr>
  </w:style>
  <w:style w:type="paragraph" w:customStyle="1" w:styleId="226">
    <w:name w:val="zhengwen"/>
    <w:basedOn w:val="227"/>
    <w:link w:val="225"/>
    <w:qFormat/>
    <w:uiPriority w:val="0"/>
    <w:pPr>
      <w:tabs>
        <w:tab w:val="left" w:pos="567"/>
      </w:tabs>
      <w:spacing w:line="360" w:lineRule="auto"/>
      <w:ind w:left="0" w:firstLine="476"/>
    </w:pPr>
    <w:rPr>
      <w:rFonts w:ascii="Times New Roman"/>
      <w:snapToGrid w:val="0"/>
      <w:color w:val="000000"/>
      <w:szCs w:val="24"/>
    </w:rPr>
  </w:style>
  <w:style w:type="paragraph" w:customStyle="1" w:styleId="227">
    <w:name w:val="正文11"/>
    <w:link w:val="228"/>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kern w:val="2"/>
      <w:sz w:val="24"/>
      <w:szCs w:val="22"/>
      <w:lang w:val="en-US" w:eastAsia="zh-CN" w:bidi="ar-SA"/>
    </w:rPr>
  </w:style>
  <w:style w:type="character" w:customStyle="1" w:styleId="228">
    <w:name w:val="正文11 Char Char Char Char"/>
    <w:link w:val="227"/>
    <w:qFormat/>
    <w:uiPriority w:val="0"/>
    <w:rPr>
      <w:rFonts w:ascii="宋体" w:hAnsi="Times New Roman"/>
      <w:kern w:val="2"/>
      <w:sz w:val="24"/>
      <w:szCs w:val="22"/>
    </w:rPr>
  </w:style>
  <w:style w:type="character" w:customStyle="1" w:styleId="229">
    <w:name w:val="小表左 Char Char"/>
    <w:link w:val="230"/>
    <w:qFormat/>
    <w:uiPriority w:val="0"/>
    <w:rPr>
      <w:rFonts w:ascii="Times New Roman" w:hAnsi="Times New Roman"/>
      <w:sz w:val="18"/>
      <w:szCs w:val="18"/>
    </w:rPr>
  </w:style>
  <w:style w:type="paragraph" w:customStyle="1" w:styleId="230">
    <w:name w:val="小表左"/>
    <w:basedOn w:val="1"/>
    <w:link w:val="229"/>
    <w:qFormat/>
    <w:uiPriority w:val="0"/>
    <w:pPr>
      <w:keepNext/>
      <w:widowControl w:val="0"/>
      <w:tabs>
        <w:tab w:val="left" w:pos="2190"/>
      </w:tabs>
      <w:adjustRightInd w:val="0"/>
      <w:snapToGrid w:val="0"/>
      <w:jc w:val="both"/>
    </w:pPr>
    <w:rPr>
      <w:rFonts w:ascii="Times New Roman" w:hAnsi="Times New Roman" w:cs="Times New Roman"/>
      <w:sz w:val="18"/>
      <w:szCs w:val="18"/>
    </w:rPr>
  </w:style>
  <w:style w:type="character" w:customStyle="1" w:styleId="231">
    <w:name w:val="表格文字居中 Char Char"/>
    <w:qFormat/>
    <w:uiPriority w:val="0"/>
    <w:rPr>
      <w:rFonts w:ascii="宋体" w:hAnsi="宋体" w:eastAsia="宋体" w:cs="宋体"/>
      <w:kern w:val="2"/>
      <w:sz w:val="24"/>
      <w:szCs w:val="24"/>
      <w:lang w:val="en-US" w:eastAsia="zh-CN"/>
    </w:rPr>
  </w:style>
  <w:style w:type="character" w:customStyle="1" w:styleId="232">
    <w:name w:val="nota"/>
    <w:qFormat/>
    <w:uiPriority w:val="0"/>
    <w:rPr>
      <w:i/>
      <w:iCs/>
      <w:sz w:val="20"/>
    </w:rPr>
  </w:style>
  <w:style w:type="character" w:customStyle="1" w:styleId="233">
    <w:name w:val="段落 Char1"/>
    <w:link w:val="234"/>
    <w:qFormat/>
    <w:uiPriority w:val="0"/>
    <w:rPr>
      <w:rFonts w:ascii="仿宋_GB2312" w:hAnsi="宋体" w:eastAsia="仿宋_GB2312"/>
      <w:bCs/>
      <w:snapToGrid w:val="0"/>
      <w:color w:val="3366FF"/>
      <w:sz w:val="24"/>
      <w:szCs w:val="24"/>
    </w:rPr>
  </w:style>
  <w:style w:type="paragraph" w:customStyle="1" w:styleId="234">
    <w:name w:val="段落"/>
    <w:link w:val="233"/>
    <w:qFormat/>
    <w:uiPriority w:val="0"/>
    <w:pPr>
      <w:spacing w:line="360" w:lineRule="auto"/>
      <w:ind w:firstLine="540" w:firstLineChars="225"/>
      <w:jc w:val="both"/>
    </w:pPr>
    <w:rPr>
      <w:rFonts w:ascii="仿宋_GB2312" w:hAnsi="宋体" w:eastAsia="仿宋_GB2312" w:cs="Times New Roman"/>
      <w:bCs/>
      <w:snapToGrid w:val="0"/>
      <w:color w:val="3366FF"/>
      <w:sz w:val="24"/>
      <w:szCs w:val="24"/>
      <w:lang w:val="en-US" w:eastAsia="zh-CN" w:bidi="ar-SA"/>
    </w:rPr>
  </w:style>
  <w:style w:type="character" w:customStyle="1" w:styleId="235">
    <w:name w:val="Char Char13"/>
    <w:qFormat/>
    <w:uiPriority w:val="0"/>
    <w:rPr>
      <w:rFonts w:eastAsia="楷体_GB2312"/>
      <w:snapToGrid w:val="0"/>
      <w:sz w:val="21"/>
      <w:szCs w:val="22"/>
      <w:lang w:val="en-US" w:eastAsia="zh-CN" w:bidi="ar-SA"/>
    </w:rPr>
  </w:style>
  <w:style w:type="character" w:customStyle="1" w:styleId="236">
    <w:name w:val="表号 Char Char"/>
    <w:qFormat/>
    <w:uiPriority w:val="0"/>
    <w:rPr>
      <w:rFonts w:ascii="黑体" w:eastAsia="黑体"/>
      <w:sz w:val="21"/>
      <w:lang w:val="en-US" w:eastAsia="zh-CN" w:bidi="ar-SA"/>
    </w:rPr>
  </w:style>
  <w:style w:type="character" w:customStyle="1" w:styleId="237">
    <w:name w:val="图表 Char Char"/>
    <w:link w:val="238"/>
    <w:qFormat/>
    <w:uiPriority w:val="0"/>
    <w:rPr>
      <w:rFonts w:eastAsia="Times New Roman"/>
      <w:color w:val="800000"/>
      <w:spacing w:val="20"/>
      <w:kern w:val="2"/>
      <w:sz w:val="21"/>
      <w:szCs w:val="24"/>
    </w:rPr>
  </w:style>
  <w:style w:type="paragraph" w:customStyle="1" w:styleId="238">
    <w:name w:val="图表"/>
    <w:link w:val="237"/>
    <w:qFormat/>
    <w:uiPriority w:val="0"/>
    <w:pPr>
      <w:jc w:val="center"/>
    </w:pPr>
    <w:rPr>
      <w:rFonts w:ascii="Calibri" w:hAnsi="Calibri" w:eastAsia="Times New Roman" w:cs="Times New Roman"/>
      <w:color w:val="800000"/>
      <w:spacing w:val="20"/>
      <w:kern w:val="2"/>
      <w:sz w:val="21"/>
      <w:szCs w:val="24"/>
      <w:lang w:val="en-US" w:eastAsia="zh-CN" w:bidi="ar-SA"/>
    </w:rPr>
  </w:style>
  <w:style w:type="character" w:customStyle="1" w:styleId="239">
    <w:name w:val="title_tab"/>
    <w:qFormat/>
    <w:uiPriority w:val="0"/>
  </w:style>
  <w:style w:type="character" w:customStyle="1" w:styleId="240">
    <w:name w:val="正文文本 (2) + 10 pt6"/>
    <w:qFormat/>
    <w:uiPriority w:val="99"/>
    <w:rPr>
      <w:rFonts w:ascii="MingLiU" w:eastAsia="MingLiU" w:cs="MingLiU"/>
      <w:spacing w:val="150"/>
      <w:sz w:val="20"/>
      <w:szCs w:val="20"/>
      <w:u w:val="none"/>
      <w:shd w:val="clear" w:color="auto" w:fill="FFFFFF"/>
    </w:rPr>
  </w:style>
  <w:style w:type="character" w:customStyle="1" w:styleId="241">
    <w:name w:val="编制日期 Char Char"/>
    <w:link w:val="242"/>
    <w:qFormat/>
    <w:uiPriority w:val="0"/>
    <w:rPr>
      <w:rFonts w:ascii="宋体" w:hAnsi="宋体"/>
      <w:sz w:val="32"/>
      <w:szCs w:val="28"/>
    </w:rPr>
  </w:style>
  <w:style w:type="paragraph" w:customStyle="1" w:styleId="242">
    <w:name w:val="编制日期"/>
    <w:basedOn w:val="1"/>
    <w:link w:val="241"/>
    <w:qFormat/>
    <w:uiPriority w:val="0"/>
    <w:pPr>
      <w:keepNext/>
      <w:widowControl w:val="0"/>
      <w:tabs>
        <w:tab w:val="left" w:pos="2190"/>
      </w:tabs>
      <w:adjustRightInd w:val="0"/>
      <w:snapToGrid w:val="0"/>
      <w:spacing w:line="360" w:lineRule="auto"/>
      <w:jc w:val="center"/>
    </w:pPr>
    <w:rPr>
      <w:rFonts w:cs="Times New Roman"/>
      <w:sz w:val="32"/>
      <w:szCs w:val="28"/>
    </w:rPr>
  </w:style>
  <w:style w:type="character" w:customStyle="1" w:styleId="243">
    <w:name w:val="正文文本 (2) + Georgia8"/>
    <w:qFormat/>
    <w:uiPriority w:val="99"/>
    <w:rPr>
      <w:rFonts w:ascii="Georgia" w:hAnsi="Georgia" w:eastAsia="MingLiU" w:cs="Georgia"/>
      <w:sz w:val="20"/>
      <w:szCs w:val="20"/>
      <w:u w:val="none"/>
      <w:shd w:val="clear" w:color="auto" w:fill="FFFFFF"/>
      <w:lang w:val="en-US" w:eastAsia="en-US"/>
    </w:rPr>
  </w:style>
  <w:style w:type="character" w:customStyle="1" w:styleId="244">
    <w:name w:val="环评正文 Char"/>
    <w:qFormat/>
    <w:uiPriority w:val="0"/>
    <w:rPr>
      <w:rFonts w:ascii="仿宋_GB2312" w:hAnsi="Times New Roman" w:eastAsia="仿宋_GB2312" w:cs="宋体"/>
      <w:sz w:val="28"/>
      <w:szCs w:val="20"/>
    </w:rPr>
  </w:style>
  <w:style w:type="character" w:customStyle="1" w:styleId="245">
    <w:name w:val="正文文本 (2) + 10 pt16"/>
    <w:qFormat/>
    <w:uiPriority w:val="99"/>
    <w:rPr>
      <w:rFonts w:ascii="MingLiU" w:eastAsia="MingLiU" w:cs="MingLiU"/>
      <w:spacing w:val="120"/>
      <w:sz w:val="20"/>
      <w:szCs w:val="20"/>
      <w:u w:val="none"/>
      <w:shd w:val="clear" w:color="auto" w:fill="FFFFFF"/>
    </w:rPr>
  </w:style>
  <w:style w:type="character" w:customStyle="1" w:styleId="246">
    <w:name w:val="干标题(a) Char Char"/>
    <w:qFormat/>
    <w:uiPriority w:val="0"/>
    <w:rPr>
      <w:rFonts w:ascii="Arial" w:hAnsi="Arial" w:eastAsia="黑体"/>
      <w:kern w:val="2"/>
      <w:sz w:val="21"/>
      <w:szCs w:val="21"/>
    </w:rPr>
  </w:style>
  <w:style w:type="character" w:customStyle="1" w:styleId="247">
    <w:name w:val="样式 样式 标题 3条标题头标题3H3h33rd level第二层条标题 3 Char小标题小节标题标题 3 C...3 + 自... Char"/>
    <w:link w:val="248"/>
    <w:qFormat/>
    <w:uiPriority w:val="0"/>
    <w:rPr>
      <w:rFonts w:ascii="黑体" w:hAnsi="Times New Roman" w:eastAsia="黑体"/>
      <w:sz w:val="24"/>
      <w:szCs w:val="24"/>
    </w:rPr>
  </w:style>
  <w:style w:type="paragraph" w:customStyle="1" w:styleId="248">
    <w:name w:val="样式 样式 标题 3条标题头标题3H3h33rd level第二层条标题 3 Char小标题小节标题标题 3 C...3 + 自..."/>
    <w:basedOn w:val="249"/>
    <w:link w:val="247"/>
    <w:qFormat/>
    <w:uiPriority w:val="0"/>
    <w:rPr>
      <w:rFonts w:ascii="黑体"/>
      <w:color w:val="auto"/>
    </w:rPr>
  </w:style>
  <w:style w:type="paragraph" w:customStyle="1" w:styleId="249">
    <w:name w:val="样式 标题 3条标题头标题3H3h33rd level第二层条标题 3 Char小标题小节标题标题 3 C...3"/>
    <w:basedOn w:val="7"/>
    <w:next w:val="1"/>
    <w:qFormat/>
    <w:uiPriority w:val="0"/>
    <w:pPr>
      <w:widowControl w:val="0"/>
      <w:spacing w:line="720" w:lineRule="auto"/>
      <w:jc w:val="both"/>
    </w:pPr>
    <w:rPr>
      <w:bCs w:val="0"/>
      <w:color w:val="000000"/>
      <w:sz w:val="24"/>
      <w:szCs w:val="24"/>
    </w:rPr>
  </w:style>
  <w:style w:type="character" w:customStyle="1" w:styleId="250">
    <w:name w:val="yyp Char Char"/>
    <w:link w:val="251"/>
    <w:qFormat/>
    <w:uiPriority w:val="0"/>
    <w:rPr>
      <w:rFonts w:ascii="Times New Roman" w:hAnsi="Times New Roman"/>
      <w:sz w:val="24"/>
      <w:szCs w:val="24"/>
    </w:rPr>
  </w:style>
  <w:style w:type="paragraph" w:customStyle="1" w:styleId="251">
    <w:name w:val="yyp"/>
    <w:basedOn w:val="78"/>
    <w:link w:val="250"/>
    <w:qFormat/>
    <w:uiPriority w:val="0"/>
    <w:pPr>
      <w:widowControl w:val="0"/>
      <w:spacing w:line="360" w:lineRule="auto"/>
      <w:ind w:firstLine="480" w:firstLineChars="200"/>
    </w:pPr>
    <w:rPr>
      <w:rFonts w:ascii="Times New Roman" w:hAnsi="Times New Roman"/>
      <w:sz w:val="24"/>
      <w:szCs w:val="24"/>
    </w:rPr>
  </w:style>
  <w:style w:type="character" w:customStyle="1" w:styleId="252">
    <w:name w:val="Char Char22"/>
    <w:qFormat/>
    <w:uiPriority w:val="0"/>
    <w:rPr>
      <w:rFonts w:eastAsia="宋体"/>
      <w:kern w:val="2"/>
      <w:sz w:val="24"/>
      <w:szCs w:val="24"/>
      <w:lang w:val="en-US" w:eastAsia="zh-CN" w:bidi="ar-SA"/>
    </w:rPr>
  </w:style>
  <w:style w:type="character" w:customStyle="1" w:styleId="253">
    <w:name w:val="正文1 Char Char"/>
    <w:link w:val="254"/>
    <w:qFormat/>
    <w:uiPriority w:val="0"/>
    <w:rPr>
      <w:rFonts w:ascii="宋体" w:eastAsia="Times New Roman"/>
      <w:kern w:val="2"/>
      <w:sz w:val="24"/>
      <w:szCs w:val="22"/>
    </w:rPr>
  </w:style>
  <w:style w:type="paragraph" w:customStyle="1" w:styleId="254">
    <w:name w:val="正文12"/>
    <w:link w:val="253"/>
    <w:qFormat/>
    <w:uiPriority w:val="0"/>
    <w:pPr>
      <w:widowControl w:val="0"/>
      <w:adjustRightInd w:val="0"/>
      <w:spacing w:line="360" w:lineRule="atLeast"/>
      <w:textAlignment w:val="baseline"/>
    </w:pPr>
    <w:rPr>
      <w:rFonts w:ascii="宋体" w:hAnsi="Calibri" w:eastAsia="Times New Roman" w:cs="Times New Roman"/>
      <w:kern w:val="2"/>
      <w:sz w:val="24"/>
      <w:szCs w:val="22"/>
      <w:lang w:val="en-US" w:eastAsia="zh-CN" w:bidi="ar-SA"/>
    </w:rPr>
  </w:style>
  <w:style w:type="character" w:customStyle="1" w:styleId="255">
    <w:name w:val="正文11 Char Char Char Char Char"/>
    <w:qFormat/>
    <w:uiPriority w:val="0"/>
    <w:rPr>
      <w:rFonts w:ascii="宋体" w:hAnsi="宋体" w:eastAsia="宋体"/>
      <w:snapToGrid w:val="0"/>
      <w:sz w:val="24"/>
      <w:szCs w:val="24"/>
      <w:lang w:val="en-US" w:eastAsia="zh-CN" w:bidi="ar-SA"/>
    </w:rPr>
  </w:style>
  <w:style w:type="character" w:customStyle="1" w:styleId="256">
    <w:name w:val="表文字 Char1"/>
    <w:qFormat/>
    <w:locked/>
    <w:uiPriority w:val="0"/>
    <w:rPr>
      <w:szCs w:val="21"/>
      <w:lang w:val="en-US" w:eastAsia="zh-CN" w:bidi="ar-SA"/>
    </w:rPr>
  </w:style>
  <w:style w:type="character" w:customStyle="1" w:styleId="257">
    <w:name w:val="正文00 Char"/>
    <w:link w:val="258"/>
    <w:qFormat/>
    <w:uiPriority w:val="0"/>
    <w:rPr>
      <w:rFonts w:ascii="Times New Roman" w:hAnsi="Times New Roman" w:cs="宋体"/>
      <w:kern w:val="2"/>
      <w:sz w:val="24"/>
      <w:szCs w:val="24"/>
    </w:rPr>
  </w:style>
  <w:style w:type="paragraph" w:customStyle="1" w:styleId="258">
    <w:name w:val="正文00"/>
    <w:basedOn w:val="1"/>
    <w:next w:val="259"/>
    <w:link w:val="257"/>
    <w:qFormat/>
    <w:uiPriority w:val="0"/>
    <w:pPr>
      <w:widowControl w:val="0"/>
      <w:spacing w:line="360" w:lineRule="auto"/>
      <w:ind w:firstLine="480" w:firstLineChars="200"/>
    </w:pPr>
    <w:rPr>
      <w:rFonts w:ascii="Times New Roman" w:hAnsi="Times New Roman"/>
      <w:kern w:val="2"/>
    </w:rPr>
  </w:style>
  <w:style w:type="paragraph" w:customStyle="1" w:styleId="259">
    <w:name w:val="样式 Times New Roman 五号 居中1"/>
    <w:basedOn w:val="1"/>
    <w:qFormat/>
    <w:uiPriority w:val="0"/>
    <w:pPr>
      <w:widowControl w:val="0"/>
      <w:jc w:val="center"/>
    </w:pPr>
    <w:rPr>
      <w:rFonts w:ascii="Times New Roman" w:hAnsi="Times New Roman"/>
      <w:kern w:val="2"/>
      <w:sz w:val="21"/>
      <w:szCs w:val="20"/>
    </w:rPr>
  </w:style>
  <w:style w:type="character" w:customStyle="1" w:styleId="260">
    <w:name w:val="小小标题 Char Char"/>
    <w:link w:val="261"/>
    <w:qFormat/>
    <w:uiPriority w:val="0"/>
    <w:rPr>
      <w:rFonts w:ascii="仿宋_GB2312" w:hAnsi="Times New Roman" w:eastAsia="黑体"/>
      <w:b/>
      <w:sz w:val="24"/>
      <w:szCs w:val="32"/>
      <w:lang w:val="zh-CN"/>
    </w:rPr>
  </w:style>
  <w:style w:type="paragraph" w:customStyle="1" w:styleId="261">
    <w:name w:val="小小标题"/>
    <w:basedOn w:val="1"/>
    <w:link w:val="260"/>
    <w:qFormat/>
    <w:uiPriority w:val="0"/>
    <w:pPr>
      <w:topLinePunct/>
      <w:spacing w:line="360" w:lineRule="auto"/>
      <w:ind w:firstLine="482"/>
    </w:pPr>
    <w:rPr>
      <w:rFonts w:ascii="仿宋_GB2312" w:hAnsi="Times New Roman" w:eastAsia="黑体" w:cs="Times New Roman"/>
      <w:b/>
      <w:szCs w:val="32"/>
      <w:lang w:val="zh-CN"/>
    </w:rPr>
  </w:style>
  <w:style w:type="character" w:customStyle="1" w:styleId="262">
    <w:name w:val="sort"/>
    <w:qFormat/>
    <w:uiPriority w:val="0"/>
  </w:style>
  <w:style w:type="character" w:customStyle="1" w:styleId="263">
    <w:name w:val="正文文本 (2) + 10 pt15"/>
    <w:qFormat/>
    <w:uiPriority w:val="99"/>
    <w:rPr>
      <w:rFonts w:ascii="MingLiU" w:eastAsia="MingLiU" w:cs="MingLiU"/>
      <w:sz w:val="20"/>
      <w:szCs w:val="20"/>
      <w:u w:val="none"/>
      <w:shd w:val="clear" w:color="auto" w:fill="FFFFFF"/>
    </w:rPr>
  </w:style>
  <w:style w:type="character" w:customStyle="1" w:styleId="264">
    <w:name w:val="bds_nopic1"/>
    <w:qFormat/>
    <w:uiPriority w:val="0"/>
  </w:style>
  <w:style w:type="character" w:customStyle="1" w:styleId="265">
    <w:name w:val="纯文本2"/>
    <w:qFormat/>
    <w:uiPriority w:val="0"/>
    <w:rPr>
      <w:rFonts w:ascii="宋体" w:hAnsi="Courier New" w:eastAsia="宋体"/>
      <w:kern w:val="2"/>
      <w:sz w:val="21"/>
      <w:lang w:val="en-US" w:eastAsia="zh-CN" w:bidi="ar-SA"/>
    </w:rPr>
  </w:style>
  <w:style w:type="character" w:customStyle="1" w:styleId="266">
    <w:name w:val="Char Char23"/>
    <w:qFormat/>
    <w:uiPriority w:val="0"/>
    <w:rPr>
      <w:sz w:val="18"/>
    </w:rPr>
  </w:style>
  <w:style w:type="character" w:customStyle="1" w:styleId="267">
    <w:name w:val="正文文字缩进 2 Char Char Char"/>
    <w:qFormat/>
    <w:uiPriority w:val="0"/>
    <w:rPr>
      <w:rFonts w:ascii="宋体" w:eastAsia="宋体"/>
      <w:kern w:val="2"/>
      <w:sz w:val="28"/>
      <w:lang w:val="en-US" w:eastAsia="zh-CN" w:bidi="ar-SA"/>
    </w:rPr>
  </w:style>
  <w:style w:type="character" w:customStyle="1" w:styleId="268">
    <w:name w:val="样式 样式 段前: 0.5 行 + 首行缩进:  2 字符 段前: 0.5 行 Char Char"/>
    <w:link w:val="269"/>
    <w:qFormat/>
    <w:uiPriority w:val="0"/>
    <w:rPr>
      <w:rFonts w:ascii="Times New Roman" w:hAnsi="Times New Roman"/>
      <w:color w:val="000000"/>
      <w:sz w:val="24"/>
    </w:rPr>
  </w:style>
  <w:style w:type="paragraph" w:customStyle="1" w:styleId="269">
    <w:name w:val="样式 样式 段前: 0.5 行 + 首行缩进:  2 字符 段前: 0.5 行"/>
    <w:basedOn w:val="1"/>
    <w:link w:val="268"/>
    <w:qFormat/>
    <w:uiPriority w:val="0"/>
    <w:pPr>
      <w:autoSpaceDE w:val="0"/>
      <w:autoSpaceDN w:val="0"/>
      <w:spacing w:beforeLines="50" w:line="360" w:lineRule="auto"/>
      <w:ind w:firstLine="480" w:firstLineChars="200"/>
      <w:jc w:val="both"/>
    </w:pPr>
    <w:rPr>
      <w:rFonts w:ascii="Times New Roman" w:hAnsi="Times New Roman" w:cs="Times New Roman"/>
      <w:color w:val="000000"/>
      <w:szCs w:val="20"/>
    </w:rPr>
  </w:style>
  <w:style w:type="character" w:customStyle="1" w:styleId="270">
    <w:name w:val="图1-1 Char Char"/>
    <w:qFormat/>
    <w:uiPriority w:val="0"/>
    <w:rPr>
      <w:rFonts w:eastAsia="宋体"/>
      <w:b/>
      <w:spacing w:val="12"/>
      <w:w w:val="90"/>
      <w:kern w:val="2"/>
      <w:sz w:val="21"/>
      <w:szCs w:val="24"/>
      <w:lang w:val="en-US" w:eastAsia="zh-CN" w:bidi="ar-SA"/>
    </w:rPr>
  </w:style>
  <w:style w:type="character" w:customStyle="1" w:styleId="271">
    <w:name w:val="正文文本 (2) + 10 pt5"/>
    <w:qFormat/>
    <w:uiPriority w:val="99"/>
    <w:rPr>
      <w:rFonts w:ascii="MingLiU" w:eastAsia="MingLiU" w:cs="MingLiU"/>
      <w:spacing w:val="50"/>
      <w:sz w:val="20"/>
      <w:szCs w:val="20"/>
      <w:u w:val="none"/>
      <w:shd w:val="clear" w:color="auto" w:fill="FFFFFF"/>
    </w:rPr>
  </w:style>
  <w:style w:type="character" w:customStyle="1" w:styleId="272">
    <w:name w:val="电子邮件签名 Char1"/>
    <w:qFormat/>
    <w:uiPriority w:val="99"/>
    <w:rPr>
      <w:rFonts w:ascii="Calibri" w:hAnsi="Calibri" w:eastAsia="宋体" w:cs="Times New Roman"/>
    </w:rPr>
  </w:style>
  <w:style w:type="character" w:customStyle="1" w:styleId="273">
    <w:name w:val="标题 Char4"/>
    <w:qFormat/>
    <w:locked/>
    <w:uiPriority w:val="0"/>
    <w:rPr>
      <w:rFonts w:ascii="Arial" w:hAnsi="Arial"/>
      <w:b/>
      <w:sz w:val="32"/>
    </w:rPr>
  </w:style>
  <w:style w:type="character" w:customStyle="1" w:styleId="274">
    <w:name w:val="样式 表4.1 + 黑色 Char Char"/>
    <w:link w:val="275"/>
    <w:qFormat/>
    <w:uiPriority w:val="99"/>
    <w:rPr>
      <w:rFonts w:ascii="黑体" w:hAnsi="Times New Roman" w:eastAsia="黑体"/>
      <w:b/>
      <w:bCs/>
      <w:color w:val="000000"/>
      <w:kern w:val="2"/>
      <w:sz w:val="24"/>
      <w:szCs w:val="26"/>
    </w:rPr>
  </w:style>
  <w:style w:type="paragraph" w:customStyle="1" w:styleId="275">
    <w:name w:val="样式 表4.1 + 黑色"/>
    <w:basedOn w:val="1"/>
    <w:link w:val="274"/>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bCs/>
      <w:color w:val="000000"/>
      <w:kern w:val="2"/>
      <w:szCs w:val="26"/>
    </w:rPr>
  </w:style>
  <w:style w:type="character" w:customStyle="1" w:styleId="276">
    <w:name w:val="Char Char18"/>
    <w:qFormat/>
    <w:uiPriority w:val="0"/>
    <w:rPr>
      <w:rFonts w:eastAsia="宋体"/>
      <w:kern w:val="2"/>
      <w:sz w:val="24"/>
      <w:szCs w:val="24"/>
      <w:lang w:val="en-US" w:eastAsia="zh-CN" w:bidi="ar-SA"/>
    </w:rPr>
  </w:style>
  <w:style w:type="character" w:customStyle="1" w:styleId="277">
    <w:name w:val="description"/>
    <w:qFormat/>
    <w:uiPriority w:val="0"/>
  </w:style>
  <w:style w:type="character" w:customStyle="1" w:styleId="278">
    <w:name w:val="Char Char28"/>
    <w:qFormat/>
    <w:uiPriority w:val="0"/>
    <w:rPr>
      <w:rFonts w:hint="default" w:ascii="Times New Roman" w:hAnsi="Times New Roman" w:eastAsia="黑体" w:cs="Times New Roman"/>
      <w:sz w:val="24"/>
      <w:szCs w:val="24"/>
    </w:rPr>
  </w:style>
  <w:style w:type="character" w:customStyle="1" w:styleId="279">
    <w:name w:val="样式 样式 方正宋三简体 14 磅 行距: 1.5 倍行距1 + 首行缩进:  2 字符 Char Char"/>
    <w:link w:val="280"/>
    <w:qFormat/>
    <w:uiPriority w:val="0"/>
    <w:rPr>
      <w:rFonts w:ascii="宋体" w:hAnsi="方正宋三简体"/>
      <w:sz w:val="27"/>
      <w:szCs w:val="27"/>
    </w:rPr>
  </w:style>
  <w:style w:type="paragraph" w:customStyle="1" w:styleId="280">
    <w:name w:val="样式 样式 方正宋三简体 14 磅 行距: 1.5 倍行距1 + 首行缩进:  2 字符"/>
    <w:basedOn w:val="1"/>
    <w:link w:val="279"/>
    <w:qFormat/>
    <w:uiPriority w:val="0"/>
    <w:pPr>
      <w:widowControl w:val="0"/>
      <w:ind w:firstLine="200" w:firstLineChars="200"/>
      <w:jc w:val="both"/>
    </w:pPr>
    <w:rPr>
      <w:rFonts w:hAnsi="方正宋三简体" w:cs="Times New Roman"/>
      <w:sz w:val="27"/>
      <w:szCs w:val="27"/>
    </w:rPr>
  </w:style>
  <w:style w:type="character" w:customStyle="1" w:styleId="281">
    <w:name w:val="Char Char25"/>
    <w:qFormat/>
    <w:uiPriority w:val="0"/>
    <w:rPr>
      <w:rFonts w:ascii="宋体" w:eastAsia="宋体"/>
      <w:color w:val="000000"/>
      <w:sz w:val="36"/>
      <w:lang w:val="en-US" w:eastAsia="zh-CN" w:bidi="ar-SA"/>
    </w:rPr>
  </w:style>
  <w:style w:type="character" w:customStyle="1" w:styleId="282">
    <w:name w:val="Char Char Char Char11"/>
    <w:qFormat/>
    <w:uiPriority w:val="0"/>
    <w:rPr>
      <w:rFonts w:hint="eastAsia" w:ascii="宋体" w:hAnsi="Courier New" w:eastAsia="宋体" w:cs="Courier New"/>
      <w:sz w:val="21"/>
      <w:szCs w:val="21"/>
      <w:lang w:val="en-US" w:eastAsia="zh-CN" w:bidi="ar-SA"/>
    </w:rPr>
  </w:style>
  <w:style w:type="character" w:customStyle="1" w:styleId="283">
    <w:name w:val="body text 1 Char Char Char"/>
    <w:link w:val="284"/>
    <w:qFormat/>
    <w:uiPriority w:val="0"/>
    <w:rPr>
      <w:rFonts w:ascii="Times New Roman" w:hAnsi="Times New Roman"/>
      <w:snapToGrid w:val="0"/>
      <w:kern w:val="2"/>
      <w:sz w:val="24"/>
      <w:szCs w:val="24"/>
    </w:rPr>
  </w:style>
  <w:style w:type="paragraph" w:customStyle="1" w:styleId="284">
    <w:name w:val="body text 1"/>
    <w:basedOn w:val="227"/>
    <w:link w:val="283"/>
    <w:qFormat/>
    <w:uiPriority w:val="0"/>
    <w:pPr>
      <w:tabs>
        <w:tab w:val="clear" w:pos="567"/>
      </w:tabs>
      <w:spacing w:line="360" w:lineRule="auto"/>
      <w:ind w:left="0" w:firstLine="475"/>
    </w:pPr>
    <w:rPr>
      <w:rFonts w:ascii="Times New Roman"/>
      <w:snapToGrid w:val="0"/>
      <w:szCs w:val="24"/>
    </w:rPr>
  </w:style>
  <w:style w:type="character" w:customStyle="1" w:styleId="285">
    <w:name w:val="bt Char1"/>
    <w:qFormat/>
    <w:uiPriority w:val="0"/>
    <w:rPr>
      <w:kern w:val="2"/>
      <w:sz w:val="21"/>
      <w:szCs w:val="22"/>
    </w:rPr>
  </w:style>
  <w:style w:type="character" w:customStyle="1" w:styleId="286">
    <w:name w:val="bds_more2"/>
    <w:qFormat/>
    <w:uiPriority w:val="0"/>
  </w:style>
  <w:style w:type="character" w:customStyle="1" w:styleId="287">
    <w:name w:val="font191"/>
    <w:qFormat/>
    <w:uiPriority w:val="0"/>
    <w:rPr>
      <w:rFonts w:hint="default" w:ascii="Times New Roman" w:hAnsi="Times New Roman" w:cs="Times New Roman"/>
      <w:b/>
      <w:bCs/>
      <w:color w:val="000000"/>
      <w:sz w:val="22"/>
      <w:szCs w:val="22"/>
      <w:u w:val="none"/>
    </w:rPr>
  </w:style>
  <w:style w:type="character" w:customStyle="1" w:styleId="288">
    <w:name w:val="样式 德胜表格内容 + 紧缩量  0.6 磅 Char Char"/>
    <w:link w:val="289"/>
    <w:qFormat/>
    <w:uiPriority w:val="0"/>
    <w:rPr>
      <w:snapToGrid w:val="0"/>
      <w:color w:val="0000FF"/>
      <w:szCs w:val="21"/>
    </w:rPr>
  </w:style>
  <w:style w:type="paragraph" w:customStyle="1" w:styleId="289">
    <w:name w:val="样式 德胜表格内容 + 紧缩量  0.6 磅"/>
    <w:basedOn w:val="290"/>
    <w:link w:val="288"/>
    <w:qFormat/>
    <w:uiPriority w:val="0"/>
  </w:style>
  <w:style w:type="paragraph" w:customStyle="1" w:styleId="290">
    <w:name w:val="德胜表格内容"/>
    <w:basedOn w:val="1"/>
    <w:link w:val="291"/>
    <w:qFormat/>
    <w:uiPriority w:val="0"/>
    <w:pPr>
      <w:widowControl w:val="0"/>
      <w:adjustRightInd w:val="0"/>
      <w:snapToGrid w:val="0"/>
      <w:jc w:val="center"/>
    </w:pPr>
    <w:rPr>
      <w:rFonts w:ascii="Calibri" w:hAnsi="Calibri" w:cs="Times New Roman"/>
      <w:snapToGrid w:val="0"/>
      <w:color w:val="0000FF"/>
      <w:sz w:val="20"/>
      <w:szCs w:val="21"/>
    </w:rPr>
  </w:style>
  <w:style w:type="character" w:customStyle="1" w:styleId="291">
    <w:name w:val="德胜表格内容 Char Char"/>
    <w:link w:val="290"/>
    <w:qFormat/>
    <w:uiPriority w:val="0"/>
    <w:rPr>
      <w:snapToGrid w:val="0"/>
      <w:color w:val="0000FF"/>
      <w:szCs w:val="21"/>
    </w:rPr>
  </w:style>
  <w:style w:type="character" w:customStyle="1" w:styleId="292">
    <w:name w:val="sidecatalog-index1"/>
    <w:qFormat/>
    <w:uiPriority w:val="0"/>
    <w:rPr>
      <w:rFonts w:ascii="Arial" w:hAnsi="Arial" w:cs="Arial"/>
      <w:b/>
      <w:color w:val="999999"/>
      <w:sz w:val="21"/>
      <w:szCs w:val="21"/>
    </w:rPr>
  </w:style>
  <w:style w:type="character" w:customStyle="1" w:styleId="293">
    <w:name w:val="font-family:times"/>
    <w:qFormat/>
    <w:uiPriority w:val="0"/>
  </w:style>
  <w:style w:type="character" w:customStyle="1" w:styleId="294">
    <w:name w:val="bds_more1"/>
    <w:qFormat/>
    <w:uiPriority w:val="0"/>
  </w:style>
  <w:style w:type="character" w:customStyle="1" w:styleId="295">
    <w:name w:val="Table Head Char Char"/>
    <w:link w:val="296"/>
    <w:qFormat/>
    <w:uiPriority w:val="0"/>
    <w:rPr>
      <w:rFonts w:ascii="Arial" w:hAnsi="Arial" w:eastAsia="仿宋_GB2312"/>
      <w:b/>
      <w:sz w:val="18"/>
      <w:szCs w:val="24"/>
    </w:rPr>
  </w:style>
  <w:style w:type="paragraph" w:customStyle="1" w:styleId="296">
    <w:name w:val="Table Head"/>
    <w:basedOn w:val="1"/>
    <w:next w:val="1"/>
    <w:link w:val="295"/>
    <w:qFormat/>
    <w:uiPriority w:val="0"/>
    <w:pPr>
      <w:widowControl w:val="0"/>
      <w:spacing w:before="80" w:after="80"/>
      <w:jc w:val="center"/>
    </w:pPr>
    <w:rPr>
      <w:rFonts w:ascii="Arial" w:hAnsi="Arial" w:eastAsia="仿宋_GB2312" w:cs="Times New Roman"/>
      <w:b/>
      <w:sz w:val="18"/>
    </w:rPr>
  </w:style>
  <w:style w:type="character" w:customStyle="1" w:styleId="297">
    <w:name w:val="css-text3"/>
    <w:qFormat/>
    <w:uiPriority w:val="0"/>
  </w:style>
  <w:style w:type="character" w:customStyle="1" w:styleId="298">
    <w:name w:val="正文11 Char Char1"/>
    <w:qFormat/>
    <w:uiPriority w:val="0"/>
    <w:rPr>
      <w:rFonts w:ascii="宋体" w:hAnsi="宋体" w:eastAsia="宋体"/>
      <w:snapToGrid w:val="0"/>
      <w:sz w:val="24"/>
      <w:szCs w:val="24"/>
      <w:lang w:val="en-US" w:eastAsia="zh-CN" w:bidi="ar-SA"/>
    </w:rPr>
  </w:style>
  <w:style w:type="character" w:customStyle="1" w:styleId="299">
    <w:name w:val="Normal Char Char"/>
    <w:link w:val="300"/>
    <w:qFormat/>
    <w:uiPriority w:val="0"/>
    <w:rPr>
      <w:rFonts w:ascii="宋体" w:hAnsi="Times New Roman"/>
      <w:kern w:val="2"/>
      <w:sz w:val="34"/>
      <w:szCs w:val="22"/>
    </w:rPr>
  </w:style>
  <w:style w:type="paragraph" w:customStyle="1" w:styleId="300">
    <w:name w:val="正文2"/>
    <w:link w:val="299"/>
    <w:qFormat/>
    <w:uiPriority w:val="0"/>
    <w:pPr>
      <w:widowControl w:val="0"/>
      <w:adjustRightInd w:val="0"/>
      <w:spacing w:line="360" w:lineRule="atLeast"/>
      <w:textAlignment w:val="baseline"/>
    </w:pPr>
    <w:rPr>
      <w:rFonts w:ascii="宋体" w:hAnsi="Times New Roman" w:eastAsia="宋体" w:cs="Times New Roman"/>
      <w:kern w:val="2"/>
      <w:sz w:val="34"/>
      <w:szCs w:val="22"/>
      <w:lang w:val="en-US" w:eastAsia="zh-CN" w:bidi="ar-SA"/>
    </w:rPr>
  </w:style>
  <w:style w:type="character" w:customStyle="1" w:styleId="301">
    <w:name w:val="Char Char131"/>
    <w:qFormat/>
    <w:uiPriority w:val="0"/>
    <w:rPr>
      <w:sz w:val="18"/>
      <w:szCs w:val="18"/>
    </w:rPr>
  </w:style>
  <w:style w:type="character" w:customStyle="1" w:styleId="302">
    <w:name w:val="标题 1 Char1 Char"/>
    <w:qFormat/>
    <w:uiPriority w:val="0"/>
    <w:rPr>
      <w:rFonts w:ascii="宋体" w:hAnsi="宋体"/>
      <w:b/>
      <w:kern w:val="44"/>
      <w:sz w:val="44"/>
      <w:szCs w:val="30"/>
    </w:rPr>
  </w:style>
  <w:style w:type="character" w:customStyle="1" w:styleId="303">
    <w:name w:val="表13.9 Char Char"/>
    <w:link w:val="304"/>
    <w:qFormat/>
    <w:uiPriority w:val="0"/>
    <w:rPr>
      <w:rFonts w:ascii="黑体" w:hAnsi="Times New Roman" w:eastAsia="黑体"/>
      <w:b/>
      <w:sz w:val="24"/>
      <w:szCs w:val="24"/>
    </w:rPr>
  </w:style>
  <w:style w:type="paragraph" w:customStyle="1" w:styleId="304">
    <w:name w:val="表13.9"/>
    <w:basedOn w:val="1"/>
    <w:link w:val="303"/>
    <w:qFormat/>
    <w:uiPriority w:val="0"/>
    <w:pPr>
      <w:widowControl w:val="0"/>
      <w:tabs>
        <w:tab w:val="left" w:pos="4080"/>
        <w:tab w:val="right" w:pos="8261"/>
      </w:tabs>
      <w:suppressAutoHyphens/>
      <w:adjustRightInd w:val="0"/>
      <w:spacing w:before="240" w:line="0" w:lineRule="atLeast"/>
      <w:ind w:left="3420" w:hanging="420"/>
      <w:jc w:val="both"/>
    </w:pPr>
    <w:rPr>
      <w:rFonts w:ascii="黑体" w:hAnsi="Times New Roman" w:eastAsia="黑体" w:cs="Times New Roman"/>
      <w:b/>
    </w:rPr>
  </w:style>
  <w:style w:type="character" w:customStyle="1" w:styleId="305">
    <w:name w:val="question-title2"/>
    <w:qFormat/>
    <w:uiPriority w:val="0"/>
  </w:style>
  <w:style w:type="character" w:customStyle="1" w:styleId="306">
    <w:name w:val="表格内容1 Char"/>
    <w:qFormat/>
    <w:uiPriority w:val="0"/>
    <w:rPr>
      <w:rFonts w:ascii="仿宋" w:hAnsi="仿宋" w:eastAsia="仿宋"/>
      <w:kern w:val="2"/>
      <w:sz w:val="21"/>
      <w:szCs w:val="21"/>
    </w:rPr>
  </w:style>
  <w:style w:type="character" w:customStyle="1" w:styleId="307">
    <w:name w:val="Char Char19"/>
    <w:qFormat/>
    <w:uiPriority w:val="0"/>
    <w:rPr>
      <w:rFonts w:eastAsia="黑体"/>
      <w:kern w:val="2"/>
      <w:sz w:val="24"/>
      <w:szCs w:val="24"/>
      <w:lang w:val="en-US" w:eastAsia="zh-CN" w:bidi="ar-SA"/>
    </w:rPr>
  </w:style>
  <w:style w:type="character" w:customStyle="1" w:styleId="308">
    <w:name w:val="Char Char251"/>
    <w:qFormat/>
    <w:uiPriority w:val="0"/>
    <w:rPr>
      <w:rFonts w:ascii="宋体" w:eastAsia="宋体"/>
      <w:color w:val="000000"/>
      <w:sz w:val="36"/>
      <w:lang w:val="en-US" w:eastAsia="zh-CN" w:bidi="ar-SA"/>
    </w:rPr>
  </w:style>
  <w:style w:type="character" w:customStyle="1" w:styleId="309">
    <w:name w:val="批注框文本 Char Char"/>
    <w:qFormat/>
    <w:uiPriority w:val="0"/>
    <w:rPr>
      <w:rFonts w:ascii="Times New Roman" w:hAnsi="Times New Roman" w:eastAsia="宋体" w:cs="Times New Roman"/>
      <w:sz w:val="18"/>
      <w:szCs w:val="18"/>
    </w:rPr>
  </w:style>
  <w:style w:type="character" w:customStyle="1" w:styleId="310">
    <w:name w:val="正文文本缩进 Char"/>
    <w:link w:val="311"/>
    <w:qFormat/>
    <w:uiPriority w:val="0"/>
    <w:rPr>
      <w:rFonts w:ascii="Times New Roman" w:hAnsi="Times New Roman" w:eastAsia="宋体" w:cs="Times New Roman"/>
      <w:szCs w:val="24"/>
    </w:rPr>
  </w:style>
  <w:style w:type="paragraph" w:customStyle="1" w:styleId="311">
    <w:name w:val="正文文本缩进1"/>
    <w:basedOn w:val="1"/>
    <w:link w:val="310"/>
    <w:qFormat/>
    <w:uiPriority w:val="0"/>
    <w:pPr>
      <w:widowControl w:val="0"/>
      <w:ind w:firstLine="574"/>
      <w:jc w:val="both"/>
    </w:pPr>
    <w:rPr>
      <w:rFonts w:ascii="Times New Roman" w:hAnsi="Times New Roman" w:cs="Times New Roman"/>
      <w:sz w:val="20"/>
    </w:rPr>
  </w:style>
  <w:style w:type="character" w:customStyle="1" w:styleId="312">
    <w:name w:val="签名 Char1"/>
    <w:semiHidden/>
    <w:qFormat/>
    <w:uiPriority w:val="99"/>
    <w:rPr>
      <w:rFonts w:ascii="Calibri" w:hAnsi="Calibri" w:eastAsia="宋体" w:cs="Times New Roman"/>
    </w:rPr>
  </w:style>
  <w:style w:type="character" w:customStyle="1" w:styleId="313">
    <w:name w:val="标题3.5 Char Char"/>
    <w:link w:val="314"/>
    <w:qFormat/>
    <w:uiPriority w:val="0"/>
    <w:rPr>
      <w:rFonts w:ascii="仿宋_GB2312" w:hAnsi="Times New Roman" w:eastAsia="黑体"/>
      <w:b/>
      <w:sz w:val="28"/>
      <w:szCs w:val="32"/>
    </w:rPr>
  </w:style>
  <w:style w:type="paragraph" w:customStyle="1" w:styleId="314">
    <w:name w:val="标题3.5"/>
    <w:basedOn w:val="315"/>
    <w:next w:val="316"/>
    <w:link w:val="313"/>
    <w:qFormat/>
    <w:uiPriority w:val="0"/>
    <w:pPr>
      <w:spacing w:beforeLines="100"/>
    </w:pPr>
    <w:rPr>
      <w:rFonts w:hAnsi="Times New Roman"/>
    </w:rPr>
  </w:style>
  <w:style w:type="paragraph" w:customStyle="1" w:styleId="315">
    <w:name w:val="标题3"/>
    <w:basedOn w:val="1"/>
    <w:next w:val="1"/>
    <w:link w:val="317"/>
    <w:qFormat/>
    <w:uiPriority w:val="0"/>
    <w:pPr>
      <w:widowControl w:val="0"/>
      <w:topLinePunct/>
      <w:spacing w:line="360" w:lineRule="auto"/>
      <w:outlineLvl w:val="2"/>
    </w:pPr>
    <w:rPr>
      <w:rFonts w:ascii="仿宋_GB2312" w:hAnsi="Calibri" w:eastAsia="黑体" w:cs="Times New Roman"/>
      <w:b/>
      <w:sz w:val="28"/>
      <w:szCs w:val="32"/>
    </w:rPr>
  </w:style>
  <w:style w:type="paragraph" w:customStyle="1" w:styleId="316">
    <w:name w:val="环评正文"/>
    <w:basedOn w:val="1"/>
    <w:next w:val="1"/>
    <w:link w:val="318"/>
    <w:qFormat/>
    <w:uiPriority w:val="0"/>
    <w:pPr>
      <w:spacing w:line="360" w:lineRule="auto"/>
      <w:ind w:firstLine="200" w:firstLineChars="200"/>
    </w:pPr>
    <w:rPr>
      <w:rFonts w:ascii="仿宋_GB2312" w:hAnsi="Times New Roman" w:eastAsia="仿宋_GB2312"/>
      <w:sz w:val="28"/>
      <w:szCs w:val="20"/>
    </w:rPr>
  </w:style>
  <w:style w:type="character" w:customStyle="1" w:styleId="317">
    <w:name w:val="标题3 Char Char"/>
    <w:link w:val="315"/>
    <w:qFormat/>
    <w:uiPriority w:val="0"/>
    <w:rPr>
      <w:rFonts w:ascii="仿宋_GB2312" w:eastAsia="黑体"/>
      <w:b/>
      <w:sz w:val="28"/>
      <w:szCs w:val="32"/>
    </w:rPr>
  </w:style>
  <w:style w:type="character" w:customStyle="1" w:styleId="318">
    <w:name w:val="环评正文 Char Char"/>
    <w:link w:val="316"/>
    <w:qFormat/>
    <w:uiPriority w:val="0"/>
    <w:rPr>
      <w:rFonts w:ascii="仿宋_GB2312" w:hAnsi="Times New Roman" w:eastAsia="仿宋_GB2312" w:cs="宋体"/>
      <w:sz w:val="28"/>
    </w:rPr>
  </w:style>
  <w:style w:type="character" w:customStyle="1" w:styleId="319">
    <w:name w:val="正文文本缩进 3 Char1"/>
    <w:qFormat/>
    <w:uiPriority w:val="0"/>
    <w:rPr>
      <w:rFonts w:ascii="Calibri" w:hAnsi="Calibri" w:eastAsia="宋体" w:cs="Times New Roman"/>
      <w:sz w:val="16"/>
      <w:szCs w:val="16"/>
    </w:rPr>
  </w:style>
  <w:style w:type="character" w:customStyle="1" w:styleId="320">
    <w:name w:val="span1"/>
    <w:qFormat/>
    <w:uiPriority w:val="0"/>
  </w:style>
  <w:style w:type="character" w:customStyle="1" w:styleId="321">
    <w:name w:val="Char Char21"/>
    <w:qFormat/>
    <w:uiPriority w:val="0"/>
    <w:rPr>
      <w:rFonts w:eastAsia="宋体"/>
      <w:kern w:val="2"/>
      <w:sz w:val="21"/>
      <w:szCs w:val="24"/>
      <w:lang w:val="en-US" w:eastAsia="zh-CN" w:bidi="ar-SA"/>
    </w:rPr>
  </w:style>
  <w:style w:type="character" w:customStyle="1" w:styleId="322">
    <w:name w:val="表4.10 Char Char"/>
    <w:link w:val="323"/>
    <w:qFormat/>
    <w:uiPriority w:val="99"/>
    <w:rPr>
      <w:rFonts w:ascii="黑体" w:hAnsi="Times New Roman" w:eastAsia="黑体" w:cs="宋体"/>
      <w:b/>
      <w:bCs/>
      <w:color w:val="000000"/>
      <w:spacing w:val="6"/>
      <w:kern w:val="2"/>
      <w:sz w:val="24"/>
      <w:szCs w:val="24"/>
    </w:rPr>
  </w:style>
  <w:style w:type="paragraph" w:customStyle="1" w:styleId="323">
    <w:name w:val="表4.10"/>
    <w:basedOn w:val="1"/>
    <w:link w:val="322"/>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color w:val="000000"/>
      <w:spacing w:val="6"/>
      <w:kern w:val="2"/>
    </w:rPr>
  </w:style>
  <w:style w:type="character" w:customStyle="1" w:styleId="324">
    <w:name w:val="样式 尾注引用"/>
    <w:qFormat/>
    <w:uiPriority w:val="0"/>
    <w:rPr>
      <w:rFonts w:ascii="Times New Roman" w:hAnsi="Times New Roman" w:eastAsia="宋体"/>
      <w:sz w:val="24"/>
      <w:szCs w:val="28"/>
      <w:vertAlign w:val="superscript"/>
    </w:rPr>
  </w:style>
  <w:style w:type="character" w:customStyle="1" w:styleId="325">
    <w:name w:val="表格备注 Char"/>
    <w:link w:val="326"/>
    <w:qFormat/>
    <w:uiPriority w:val="0"/>
    <w:rPr>
      <w:rFonts w:ascii="Times New Roman" w:hAnsi="Times New Roman" w:eastAsia="仿宋_GB2312"/>
    </w:rPr>
  </w:style>
  <w:style w:type="paragraph" w:customStyle="1" w:styleId="326">
    <w:name w:val="表格备注"/>
    <w:basedOn w:val="1"/>
    <w:link w:val="325"/>
    <w:qFormat/>
    <w:uiPriority w:val="0"/>
    <w:pPr>
      <w:widowControl w:val="0"/>
      <w:adjustRightInd w:val="0"/>
      <w:snapToGrid w:val="0"/>
      <w:ind w:firstLine="200" w:firstLineChars="200"/>
      <w:jc w:val="both"/>
    </w:pPr>
    <w:rPr>
      <w:rFonts w:ascii="Times New Roman" w:hAnsi="Times New Roman" w:eastAsia="仿宋_GB2312" w:cs="Times New Roman"/>
      <w:sz w:val="20"/>
      <w:szCs w:val="20"/>
    </w:rPr>
  </w:style>
  <w:style w:type="character" w:customStyle="1" w:styleId="327">
    <w:name w:val="表题 Char1"/>
    <w:link w:val="328"/>
    <w:qFormat/>
    <w:uiPriority w:val="0"/>
    <w:rPr>
      <w:rFonts w:ascii="仿宋_GB2312" w:hAnsi="Times New Roman"/>
      <w:b/>
      <w:sz w:val="24"/>
      <w:szCs w:val="28"/>
    </w:rPr>
  </w:style>
  <w:style w:type="paragraph" w:customStyle="1" w:styleId="328">
    <w:name w:val="表题"/>
    <w:basedOn w:val="1"/>
    <w:link w:val="327"/>
    <w:qFormat/>
    <w:uiPriority w:val="0"/>
    <w:pPr>
      <w:widowControl w:val="0"/>
      <w:tabs>
        <w:tab w:val="left" w:pos="0"/>
      </w:tabs>
      <w:spacing w:line="300" w:lineRule="exact"/>
      <w:ind w:firstLine="300" w:firstLineChars="300"/>
      <w:jc w:val="both"/>
    </w:pPr>
    <w:rPr>
      <w:rFonts w:ascii="仿宋_GB2312" w:hAnsi="Times New Roman" w:cs="Times New Roman"/>
      <w:b/>
      <w:szCs w:val="28"/>
    </w:rPr>
  </w:style>
  <w:style w:type="character" w:customStyle="1" w:styleId="329">
    <w:name w:val="Char Char2"/>
    <w:qFormat/>
    <w:uiPriority w:val="0"/>
    <w:rPr>
      <w:rFonts w:hint="eastAsia" w:ascii="宋体" w:hAnsi="宋体" w:eastAsia="宋体"/>
      <w:kern w:val="2"/>
      <w:sz w:val="36"/>
      <w:lang w:val="en-US" w:eastAsia="zh-CN" w:bidi="ar-SA"/>
    </w:rPr>
  </w:style>
  <w:style w:type="character" w:customStyle="1" w:styleId="330">
    <w:name w:val="正文 + 首行缩进:  2 字符 Char Char"/>
    <w:qFormat/>
    <w:uiPriority w:val="0"/>
    <w:rPr>
      <w:rFonts w:eastAsia="宋体"/>
      <w:spacing w:val="12"/>
      <w:kern w:val="2"/>
      <w:sz w:val="24"/>
      <w:lang w:val="en-US" w:eastAsia="zh-CN" w:bidi="ar-SA"/>
    </w:rPr>
  </w:style>
  <w:style w:type="character" w:customStyle="1" w:styleId="331">
    <w:name w:val="style131"/>
    <w:qFormat/>
    <w:uiPriority w:val="0"/>
    <w:rPr>
      <w:rFonts w:hint="default" w:ascii="Arial" w:hAnsi="Arial" w:cs="Arial"/>
      <w:sz w:val="18"/>
      <w:szCs w:val="18"/>
    </w:rPr>
  </w:style>
  <w:style w:type="character" w:customStyle="1" w:styleId="332">
    <w:name w:val="bgbt Char Char"/>
    <w:link w:val="333"/>
    <w:semiHidden/>
    <w:qFormat/>
    <w:uiPriority w:val="0"/>
    <w:rPr>
      <w:rFonts w:ascii="黑体" w:hAnsi="Times New Roman" w:eastAsia="黑体"/>
      <w:sz w:val="24"/>
    </w:rPr>
  </w:style>
  <w:style w:type="paragraph" w:customStyle="1" w:styleId="333">
    <w:name w:val="bgbt"/>
    <w:basedOn w:val="1"/>
    <w:link w:val="332"/>
    <w:semiHidden/>
    <w:qFormat/>
    <w:uiPriority w:val="0"/>
    <w:pPr>
      <w:widowControl w:val="0"/>
      <w:jc w:val="center"/>
    </w:pPr>
    <w:rPr>
      <w:rFonts w:ascii="黑体" w:hAnsi="Times New Roman" w:eastAsia="黑体" w:cs="Times New Roman"/>
      <w:szCs w:val="20"/>
    </w:rPr>
  </w:style>
  <w:style w:type="character" w:customStyle="1" w:styleId="334">
    <w:name w:val="st"/>
    <w:qFormat/>
    <w:uiPriority w:val="0"/>
  </w:style>
  <w:style w:type="character" w:customStyle="1" w:styleId="335">
    <w:name w:val="标题1.1.1.1.1 Char"/>
    <w:qFormat/>
    <w:uiPriority w:val="0"/>
    <w:rPr>
      <w:b/>
      <w:bCs/>
      <w:kern w:val="2"/>
      <w:sz w:val="28"/>
      <w:szCs w:val="28"/>
    </w:rPr>
  </w:style>
  <w:style w:type="character" w:customStyle="1" w:styleId="336">
    <w:name w:val="表格文字 Char Char Char"/>
    <w:qFormat/>
    <w:uiPriority w:val="0"/>
    <w:rPr>
      <w:rFonts w:eastAsia="宋体"/>
      <w:kern w:val="2"/>
      <w:sz w:val="21"/>
      <w:lang w:val="en-US" w:eastAsia="zh-CN" w:bidi="ar-SA"/>
    </w:rPr>
  </w:style>
  <w:style w:type="character" w:customStyle="1" w:styleId="337">
    <w:name w:val="11 Char Char"/>
    <w:link w:val="338"/>
    <w:qFormat/>
    <w:uiPriority w:val="0"/>
    <w:rPr>
      <w:rFonts w:ascii="仿宋_GB2312" w:hAnsi="Times New Roman" w:eastAsia="仿宋_GB2312"/>
      <w:color w:val="0000FF"/>
      <w:sz w:val="24"/>
      <w:szCs w:val="24"/>
      <w:lang w:val="en-US" w:eastAsia="zh-CN"/>
    </w:rPr>
  </w:style>
  <w:style w:type="paragraph" w:customStyle="1" w:styleId="338">
    <w:name w:val="11"/>
    <w:basedOn w:val="2"/>
    <w:link w:val="337"/>
    <w:qFormat/>
    <w:uiPriority w:val="0"/>
    <w:pPr>
      <w:widowControl w:val="0"/>
      <w:autoSpaceDE w:val="0"/>
      <w:autoSpaceDN w:val="0"/>
      <w:adjustRightInd w:val="0"/>
      <w:spacing w:line="360" w:lineRule="auto"/>
      <w:ind w:firstLine="480" w:firstLineChars="200"/>
      <w:textAlignment w:val="baseline"/>
    </w:pPr>
    <w:rPr>
      <w:rFonts w:ascii="仿宋_GB2312" w:hAnsi="Times New Roman" w:eastAsia="仿宋_GB2312"/>
      <w:color w:val="0000FF"/>
      <w:kern w:val="0"/>
      <w:szCs w:val="24"/>
    </w:rPr>
  </w:style>
  <w:style w:type="character" w:customStyle="1" w:styleId="339">
    <w:name w:val="Char21"/>
    <w:qFormat/>
    <w:uiPriority w:val="0"/>
    <w:rPr>
      <w:rFonts w:hint="eastAsia" w:ascii="宋体" w:hAnsi="宋体" w:eastAsia="宋体"/>
      <w:b/>
      <w:bCs/>
      <w:kern w:val="44"/>
      <w:sz w:val="44"/>
      <w:szCs w:val="44"/>
      <w:lang w:val="en-US" w:eastAsia="zh-CN" w:bidi="ar-SA"/>
    </w:rPr>
  </w:style>
  <w:style w:type="character" w:customStyle="1" w:styleId="340">
    <w:name w:val="样式 首行缩进:  2 字符 Char Char"/>
    <w:link w:val="341"/>
    <w:qFormat/>
    <w:uiPriority w:val="0"/>
    <w:rPr>
      <w:rFonts w:ascii="宋体" w:cs="宋体"/>
      <w:sz w:val="28"/>
      <w:szCs w:val="28"/>
    </w:rPr>
  </w:style>
  <w:style w:type="paragraph" w:customStyle="1" w:styleId="341">
    <w:name w:val="样式 首行缩进:  2 字符"/>
    <w:basedOn w:val="1"/>
    <w:link w:val="340"/>
    <w:qFormat/>
    <w:uiPriority w:val="0"/>
    <w:pPr>
      <w:widowControl w:val="0"/>
      <w:spacing w:line="440" w:lineRule="exact"/>
      <w:ind w:firstLine="200" w:firstLineChars="200"/>
      <w:jc w:val="both"/>
    </w:pPr>
    <w:rPr>
      <w:rFonts w:hAnsi="Calibri"/>
      <w:sz w:val="28"/>
      <w:szCs w:val="28"/>
    </w:rPr>
  </w:style>
  <w:style w:type="character" w:customStyle="1" w:styleId="342">
    <w:name w:val="标题 3 Char"/>
    <w:qFormat/>
    <w:uiPriority w:val="9"/>
    <w:rPr>
      <w:rFonts w:ascii="Calibri" w:hAnsi="Calibri" w:eastAsia="宋体" w:cs="Times New Roman"/>
      <w:b/>
      <w:bCs/>
      <w:sz w:val="32"/>
      <w:szCs w:val="32"/>
    </w:rPr>
  </w:style>
  <w:style w:type="character" w:customStyle="1" w:styleId="343">
    <w:name w:val="款 Char Char"/>
    <w:qFormat/>
    <w:uiPriority w:val="0"/>
    <w:rPr>
      <w:rFonts w:ascii="Arial" w:hAnsi="Arial" w:eastAsia="宋体" w:cs="Times New Roman"/>
      <w:b/>
      <w:bCs/>
      <w:sz w:val="24"/>
      <w:szCs w:val="28"/>
    </w:rPr>
  </w:style>
  <w:style w:type="character" w:customStyle="1" w:styleId="344">
    <w:name w:val="批注框文本 Char1"/>
    <w:qFormat/>
    <w:uiPriority w:val="99"/>
    <w:rPr>
      <w:rFonts w:ascii="Calibri" w:hAnsi="Calibri" w:eastAsia="宋体" w:cs="Times New Roman"/>
      <w:sz w:val="18"/>
      <w:szCs w:val="18"/>
    </w:rPr>
  </w:style>
  <w:style w:type="character" w:customStyle="1" w:styleId="345">
    <w:name w:val="赵一级标题 Char Char"/>
    <w:link w:val="346"/>
    <w:qFormat/>
    <w:uiPriority w:val="0"/>
    <w:rPr>
      <w:b/>
      <w:bCs/>
      <w:kern w:val="2"/>
      <w:sz w:val="24"/>
      <w:szCs w:val="24"/>
    </w:rPr>
  </w:style>
  <w:style w:type="paragraph" w:customStyle="1" w:styleId="346">
    <w:name w:val="赵一级标题"/>
    <w:basedOn w:val="1"/>
    <w:link w:val="345"/>
    <w:qFormat/>
    <w:uiPriority w:val="0"/>
    <w:pPr>
      <w:widowControl w:val="0"/>
      <w:jc w:val="both"/>
    </w:pPr>
    <w:rPr>
      <w:rFonts w:ascii="Calibri" w:hAnsi="Calibri" w:cs="Times New Roman"/>
      <w:b/>
      <w:bCs/>
      <w:kern w:val="2"/>
    </w:rPr>
  </w:style>
  <w:style w:type="character" w:customStyle="1" w:styleId="347">
    <w:name w:val="BG Char Char"/>
    <w:link w:val="348"/>
    <w:semiHidden/>
    <w:qFormat/>
    <w:uiPriority w:val="0"/>
    <w:rPr>
      <w:rFonts w:ascii="Times New Roman" w:hAnsi="Times New Roman"/>
    </w:rPr>
  </w:style>
  <w:style w:type="paragraph" w:customStyle="1" w:styleId="348">
    <w:name w:val="BG"/>
    <w:basedOn w:val="1"/>
    <w:link w:val="347"/>
    <w:semiHidden/>
    <w:qFormat/>
    <w:uiPriority w:val="0"/>
    <w:pPr>
      <w:widowControl w:val="0"/>
      <w:adjustRightInd w:val="0"/>
      <w:snapToGrid w:val="0"/>
      <w:jc w:val="center"/>
    </w:pPr>
    <w:rPr>
      <w:rFonts w:ascii="Times New Roman" w:hAnsi="Times New Roman" w:cs="Times New Roman"/>
      <w:sz w:val="20"/>
      <w:szCs w:val="20"/>
    </w:rPr>
  </w:style>
  <w:style w:type="character" w:customStyle="1" w:styleId="349">
    <w:name w:val="grame"/>
    <w:qFormat/>
    <w:uiPriority w:val="0"/>
  </w:style>
  <w:style w:type="character" w:customStyle="1" w:styleId="350">
    <w:name w:val="Char Char181"/>
    <w:qFormat/>
    <w:uiPriority w:val="0"/>
    <w:rPr>
      <w:rFonts w:eastAsia="宋体"/>
      <w:kern w:val="2"/>
      <w:sz w:val="24"/>
      <w:szCs w:val="24"/>
      <w:lang w:val="en-US" w:eastAsia="zh-CN" w:bidi="ar-SA"/>
    </w:rPr>
  </w:style>
  <w:style w:type="character" w:customStyle="1" w:styleId="351">
    <w:name w:val="正文1 Char Char Char"/>
    <w:qFormat/>
    <w:locked/>
    <w:uiPriority w:val="0"/>
    <w:rPr>
      <w:rFonts w:ascii="仿宋_GB2312" w:hAnsi="Times New Roman" w:eastAsia="仿宋_GB2312"/>
      <w:kern w:val="2"/>
      <w:sz w:val="28"/>
      <w:szCs w:val="28"/>
    </w:rPr>
  </w:style>
  <w:style w:type="character" w:customStyle="1" w:styleId="352">
    <w:name w:val="1.1.1标题 3 Char"/>
    <w:qFormat/>
    <w:uiPriority w:val="0"/>
    <w:rPr>
      <w:rFonts w:eastAsia="宋体"/>
      <w:spacing w:val="8"/>
      <w:kern w:val="2"/>
      <w:sz w:val="24"/>
      <w:lang w:bidi="ar-SA"/>
    </w:rPr>
  </w:style>
  <w:style w:type="character" w:customStyle="1" w:styleId="353">
    <w:name w:val="环评正文2 Char Char"/>
    <w:link w:val="354"/>
    <w:qFormat/>
    <w:uiPriority w:val="0"/>
    <w:rPr>
      <w:rFonts w:ascii="宋体" w:hAnsi="宋体" w:eastAsia="仿宋_GB2312"/>
      <w:color w:val="000000"/>
      <w:kern w:val="16"/>
      <w:sz w:val="24"/>
      <w:szCs w:val="24"/>
    </w:rPr>
  </w:style>
  <w:style w:type="paragraph" w:customStyle="1" w:styleId="354">
    <w:name w:val="环评正文2"/>
    <w:basedOn w:val="1"/>
    <w:link w:val="353"/>
    <w:qFormat/>
    <w:uiPriority w:val="0"/>
    <w:pPr>
      <w:widowControl w:val="0"/>
      <w:spacing w:line="360" w:lineRule="auto"/>
      <w:ind w:firstLine="200" w:firstLineChars="200"/>
      <w:jc w:val="both"/>
    </w:pPr>
    <w:rPr>
      <w:rFonts w:eastAsia="仿宋_GB2312" w:cs="Times New Roman"/>
      <w:color w:val="000000"/>
      <w:kern w:val="16"/>
    </w:rPr>
  </w:style>
  <w:style w:type="character" w:customStyle="1" w:styleId="355">
    <w:name w:val="content"/>
    <w:qFormat/>
    <w:uiPriority w:val="0"/>
  </w:style>
  <w:style w:type="character" w:customStyle="1" w:styleId="356">
    <w:name w:val="图表标题 Char"/>
    <w:qFormat/>
    <w:uiPriority w:val="0"/>
    <w:rPr>
      <w:rFonts w:ascii="Times New Roman" w:hAnsi="Times New Roman" w:eastAsia="仿宋_GB2312" w:cs="Times New Roman"/>
      <w:color w:val="000000"/>
      <w:kern w:val="0"/>
      <w:sz w:val="24"/>
      <w:szCs w:val="21"/>
    </w:rPr>
  </w:style>
  <w:style w:type="character" w:customStyle="1" w:styleId="357">
    <w:name w:val="123YJ Char"/>
    <w:qFormat/>
    <w:uiPriority w:val="0"/>
    <w:rPr>
      <w:rFonts w:eastAsia="宋体"/>
      <w:kern w:val="2"/>
      <w:sz w:val="18"/>
      <w:szCs w:val="18"/>
      <w:lang w:val="en-US" w:eastAsia="zh-CN" w:bidi="ar-SA"/>
    </w:rPr>
  </w:style>
  <w:style w:type="character" w:customStyle="1" w:styleId="358">
    <w:name w:val="表格-题注（OPCC宋体） Char Char"/>
    <w:link w:val="359"/>
    <w:qFormat/>
    <w:uiPriority w:val="0"/>
    <w:rPr>
      <w:rFonts w:ascii="楷体_GB2312" w:hAnsi="Times New Roman" w:eastAsia="楷体_GB2312" w:cs="宋体"/>
      <w:snapToGrid w:val="0"/>
      <w:szCs w:val="21"/>
    </w:rPr>
  </w:style>
  <w:style w:type="paragraph" w:customStyle="1" w:styleId="359">
    <w:name w:val="表格-题注（OPCC宋体）"/>
    <w:basedOn w:val="1"/>
    <w:link w:val="358"/>
    <w:qFormat/>
    <w:uiPriority w:val="0"/>
    <w:pPr>
      <w:widowControl w:val="0"/>
      <w:spacing w:line="336" w:lineRule="auto"/>
      <w:ind w:firstLine="420" w:firstLineChars="200"/>
      <w:jc w:val="center"/>
    </w:pPr>
    <w:rPr>
      <w:rFonts w:ascii="楷体_GB2312" w:hAnsi="Times New Roman" w:eastAsia="楷体_GB2312"/>
      <w:snapToGrid w:val="0"/>
      <w:sz w:val="20"/>
      <w:szCs w:val="21"/>
    </w:rPr>
  </w:style>
  <w:style w:type="character" w:customStyle="1" w:styleId="360">
    <w:name w:val="font31"/>
    <w:qFormat/>
    <w:uiPriority w:val="0"/>
    <w:rPr>
      <w:rFonts w:hint="default" w:ascii="ˎ̥" w:hAnsi="ˎ̥"/>
      <w:color w:val="000000"/>
      <w:sz w:val="36"/>
      <w:u w:val="none"/>
    </w:rPr>
  </w:style>
  <w:style w:type="character" w:customStyle="1" w:styleId="361">
    <w:name w:val="表内字 Char Char"/>
    <w:link w:val="362"/>
    <w:qFormat/>
    <w:uiPriority w:val="0"/>
    <w:rPr>
      <w:rFonts w:ascii="Times New Roman" w:hAnsi="Times New Roman"/>
      <w:color w:val="000000"/>
      <w:kern w:val="2"/>
      <w:sz w:val="21"/>
      <w:szCs w:val="22"/>
    </w:rPr>
  </w:style>
  <w:style w:type="paragraph" w:customStyle="1" w:styleId="362">
    <w:name w:val="表内字"/>
    <w:link w:val="361"/>
    <w:qFormat/>
    <w:uiPriority w:val="0"/>
    <w:pPr>
      <w:spacing w:line="312" w:lineRule="auto"/>
      <w:jc w:val="center"/>
    </w:pPr>
    <w:rPr>
      <w:rFonts w:ascii="Times New Roman" w:hAnsi="Times New Roman" w:eastAsia="宋体" w:cs="Times New Roman"/>
      <w:color w:val="000000"/>
      <w:kern w:val="2"/>
      <w:sz w:val="21"/>
      <w:szCs w:val="22"/>
      <w:lang w:val="en-US" w:eastAsia="zh-CN" w:bidi="ar-SA"/>
    </w:rPr>
  </w:style>
  <w:style w:type="character" w:customStyle="1" w:styleId="363">
    <w:name w:val="st1"/>
    <w:qFormat/>
    <w:uiPriority w:val="0"/>
  </w:style>
  <w:style w:type="character" w:customStyle="1" w:styleId="364">
    <w:name w:val="apple-style-span"/>
    <w:qFormat/>
    <w:uiPriority w:val="0"/>
  </w:style>
  <w:style w:type="character" w:customStyle="1" w:styleId="365">
    <w:name w:val="样式 正文首行缩进 + 隶书 Char Char"/>
    <w:link w:val="366"/>
    <w:qFormat/>
    <w:uiPriority w:val="0"/>
    <w:rPr>
      <w:rFonts w:ascii="宋体" w:hAnsi="隶书"/>
      <w:color w:val="000000"/>
      <w:sz w:val="24"/>
      <w:szCs w:val="24"/>
    </w:rPr>
  </w:style>
  <w:style w:type="paragraph" w:customStyle="1" w:styleId="366">
    <w:name w:val="样式 正文首行缩进 + 隶书"/>
    <w:basedOn w:val="2"/>
    <w:link w:val="365"/>
    <w:qFormat/>
    <w:uiPriority w:val="0"/>
    <w:pPr>
      <w:widowControl w:val="0"/>
      <w:spacing w:after="120"/>
      <w:jc w:val="both"/>
    </w:pPr>
    <w:rPr>
      <w:rFonts w:ascii="宋体" w:hAnsi="隶书"/>
      <w:kern w:val="0"/>
      <w:szCs w:val="24"/>
    </w:rPr>
  </w:style>
  <w:style w:type="character" w:customStyle="1" w:styleId="367">
    <w:name w:val="Char Char151"/>
    <w:qFormat/>
    <w:uiPriority w:val="0"/>
    <w:rPr>
      <w:kern w:val="2"/>
      <w:sz w:val="24"/>
      <w:lang w:bidi="ar-SA"/>
    </w:rPr>
  </w:style>
  <w:style w:type="character" w:customStyle="1" w:styleId="368">
    <w:name w:val="正文文本缩进 3 Char Char"/>
    <w:qFormat/>
    <w:uiPriority w:val="0"/>
    <w:rPr>
      <w:rFonts w:ascii="Times New Roman" w:hAnsi="Times New Roman" w:eastAsia="宋体" w:cs="Times New Roman"/>
      <w:sz w:val="24"/>
      <w:szCs w:val="20"/>
    </w:rPr>
  </w:style>
  <w:style w:type="character" w:customStyle="1" w:styleId="369">
    <w:name w:val="报告正文-连续目录 Char Char"/>
    <w:link w:val="370"/>
    <w:qFormat/>
    <w:uiPriority w:val="0"/>
    <w:rPr>
      <w:rFonts w:ascii="Arial" w:hAnsi="Arial"/>
      <w:snapToGrid w:val="0"/>
      <w:sz w:val="24"/>
      <w:szCs w:val="24"/>
    </w:rPr>
  </w:style>
  <w:style w:type="paragraph" w:customStyle="1" w:styleId="370">
    <w:name w:val="报告正文-连续目录"/>
    <w:basedOn w:val="1"/>
    <w:link w:val="369"/>
    <w:qFormat/>
    <w:uiPriority w:val="0"/>
    <w:pPr>
      <w:widowControl w:val="0"/>
      <w:spacing w:line="440" w:lineRule="exact"/>
      <w:ind w:firstLine="200" w:firstLineChars="200"/>
      <w:jc w:val="both"/>
    </w:pPr>
    <w:rPr>
      <w:rFonts w:ascii="Arial" w:hAnsi="Arial" w:cs="Times New Roman"/>
      <w:snapToGrid w:val="0"/>
    </w:rPr>
  </w:style>
  <w:style w:type="character" w:customStyle="1" w:styleId="371">
    <w:name w:val="font41"/>
    <w:qFormat/>
    <w:uiPriority w:val="0"/>
    <w:rPr>
      <w:rFonts w:hint="default" w:ascii="Times New Roman" w:hAnsi="Times New Roman" w:cs="Times New Roman"/>
      <w:color w:val="000000"/>
      <w:sz w:val="21"/>
      <w:szCs w:val="21"/>
      <w:u w:val="none"/>
      <w:vertAlign w:val="superscript"/>
    </w:rPr>
  </w:style>
  <w:style w:type="character" w:customStyle="1" w:styleId="372">
    <w:name w:val="正文文本缩进 2 Char1"/>
    <w:qFormat/>
    <w:uiPriority w:val="0"/>
    <w:rPr>
      <w:rFonts w:ascii="Times New Roman" w:hAnsi="Times New Roman" w:eastAsia="宋体" w:cs="Times New Roman"/>
      <w:szCs w:val="24"/>
    </w:rPr>
  </w:style>
  <w:style w:type="character" w:customStyle="1" w:styleId="373">
    <w:name w:val="font-family:宋体"/>
    <w:qFormat/>
    <w:uiPriority w:val="0"/>
  </w:style>
  <w:style w:type="character" w:customStyle="1" w:styleId="374">
    <w:name w:val="称呼 Char1"/>
    <w:semiHidden/>
    <w:qFormat/>
    <w:uiPriority w:val="99"/>
    <w:rPr>
      <w:rFonts w:ascii="Calibri" w:hAnsi="Calibri" w:eastAsia="宋体" w:cs="Times New Roman"/>
    </w:rPr>
  </w:style>
  <w:style w:type="character" w:customStyle="1" w:styleId="375">
    <w:name w:val="表格1 Char Char"/>
    <w:qFormat/>
    <w:uiPriority w:val="0"/>
    <w:rPr>
      <w:rFonts w:ascii="宋体" w:hAnsi="宋体" w:eastAsia="宋体"/>
      <w:snapToGrid w:val="0"/>
      <w:sz w:val="24"/>
      <w:szCs w:val="28"/>
      <w:lang w:bidi="ar-SA"/>
    </w:rPr>
  </w:style>
  <w:style w:type="character" w:customStyle="1" w:styleId="376">
    <w:name w:val="表格小四 Char Char"/>
    <w:link w:val="377"/>
    <w:qFormat/>
    <w:uiPriority w:val="0"/>
    <w:rPr>
      <w:rFonts w:ascii="宋体" w:hAnsi="宋体"/>
      <w:snapToGrid w:val="0"/>
      <w:sz w:val="24"/>
      <w:szCs w:val="28"/>
    </w:rPr>
  </w:style>
  <w:style w:type="paragraph" w:customStyle="1" w:styleId="377">
    <w:name w:val="表格小四"/>
    <w:basedOn w:val="1"/>
    <w:link w:val="376"/>
    <w:qFormat/>
    <w:uiPriority w:val="0"/>
    <w:pPr>
      <w:widowControl w:val="0"/>
      <w:adjustRightInd w:val="0"/>
      <w:snapToGrid w:val="0"/>
      <w:jc w:val="center"/>
    </w:pPr>
    <w:rPr>
      <w:rFonts w:cs="Times New Roman"/>
      <w:snapToGrid w:val="0"/>
      <w:szCs w:val="28"/>
    </w:rPr>
  </w:style>
  <w:style w:type="character" w:customStyle="1" w:styleId="378">
    <w:name w:val="标题 Char"/>
    <w:qFormat/>
    <w:uiPriority w:val="10"/>
    <w:rPr>
      <w:rFonts w:ascii="Cambria" w:hAnsi="Cambria" w:eastAsia="宋体" w:cs="Times New Roman"/>
      <w:b/>
      <w:bCs/>
      <w:sz w:val="32"/>
      <w:szCs w:val="32"/>
    </w:rPr>
  </w:style>
  <w:style w:type="character" w:customStyle="1" w:styleId="379">
    <w:name w:val="表中正文 Char Char Char Char Char Char Char Char Char Char Char Char Char Char Char Char Char Char Char Char Char Char Char Char Char Char Char Char Char Char Char Char Char Char Char Char Char Char Char Char Char Char"/>
    <w:link w:val="380"/>
    <w:qFormat/>
    <w:uiPriority w:val="0"/>
    <w:rPr>
      <w:rFonts w:ascii="宋体" w:hAnsi="Arial" w:eastAsia="仿宋_GB2312"/>
      <w:szCs w:val="24"/>
    </w:rPr>
  </w:style>
  <w:style w:type="paragraph" w:customStyle="1" w:styleId="380">
    <w:name w:val="表中正文 Char Char Char Char Char Char Char Char Char Char Char Char Char Char Char Char Char Char Char Char Char Char Char Char Char Char Char Char Char Char Char Char Char Char Char Char Char Char Char Char"/>
    <w:basedOn w:val="1"/>
    <w:link w:val="379"/>
    <w:qFormat/>
    <w:uiPriority w:val="0"/>
    <w:pPr>
      <w:widowControl w:val="0"/>
      <w:autoSpaceDE w:val="0"/>
      <w:autoSpaceDN w:val="0"/>
      <w:adjustRightInd w:val="0"/>
      <w:snapToGrid w:val="0"/>
      <w:jc w:val="center"/>
      <w:textAlignment w:val="baseline"/>
    </w:pPr>
    <w:rPr>
      <w:rFonts w:hAnsi="Arial" w:eastAsia="仿宋_GB2312" w:cs="Times New Roman"/>
      <w:sz w:val="20"/>
    </w:rPr>
  </w:style>
  <w:style w:type="character" w:customStyle="1" w:styleId="381">
    <w:name w:val="bds_more4"/>
    <w:qFormat/>
    <w:uiPriority w:val="0"/>
  </w:style>
  <w:style w:type="character" w:customStyle="1" w:styleId="382">
    <w:name w:val="标题 5 Char1"/>
    <w:qFormat/>
    <w:uiPriority w:val="0"/>
    <w:rPr>
      <w:rFonts w:ascii="Times New Roman" w:hAnsi="Times New Roman" w:eastAsia="宋体" w:cs="Times New Roman"/>
      <w:b/>
      <w:bCs/>
      <w:sz w:val="28"/>
      <w:szCs w:val="28"/>
    </w:rPr>
  </w:style>
  <w:style w:type="character" w:customStyle="1" w:styleId="383">
    <w:name w:val="Char Char9"/>
    <w:qFormat/>
    <w:uiPriority w:val="0"/>
    <w:rPr>
      <w:rFonts w:hint="eastAsia" w:ascii="宋体" w:hAnsi="宋体" w:eastAsia="宋体"/>
      <w:color w:val="000000"/>
      <w:sz w:val="36"/>
      <w:lang w:val="en-US" w:eastAsia="zh-CN" w:bidi="ar-SA"/>
    </w:rPr>
  </w:style>
  <w:style w:type="character" w:customStyle="1" w:styleId="384">
    <w:name w:val="style16 style57"/>
    <w:qFormat/>
    <w:uiPriority w:val="0"/>
  </w:style>
  <w:style w:type="character" w:customStyle="1" w:styleId="385">
    <w:name w:val="正文文本 (2) + AngsanaUPC10"/>
    <w:qFormat/>
    <w:uiPriority w:val="99"/>
    <w:rPr>
      <w:rFonts w:ascii="AngsanaUPC" w:hAnsi="AngsanaUPC" w:eastAsia="MingLiU" w:cs="AngsanaUPC"/>
      <w:sz w:val="22"/>
      <w:szCs w:val="22"/>
      <w:u w:val="none"/>
      <w:shd w:val="clear" w:color="auto" w:fill="FFFFFF"/>
      <w:lang w:val="en-US" w:eastAsia="en-US"/>
    </w:rPr>
  </w:style>
  <w:style w:type="character" w:customStyle="1" w:styleId="386">
    <w:name w:val="样式 样式 1.1标题2 Char + 小三 加粗 +"/>
    <w:qFormat/>
    <w:uiPriority w:val="0"/>
    <w:rPr>
      <w:rFonts w:ascii="Arial" w:hAnsi="Arial" w:eastAsia="黑体"/>
      <w:kern w:val="2"/>
      <w:sz w:val="30"/>
      <w:szCs w:val="32"/>
      <w:lang w:val="en-US" w:eastAsia="zh-CN" w:bidi="ar-SA"/>
    </w:rPr>
  </w:style>
  <w:style w:type="character" w:customStyle="1" w:styleId="387">
    <w:name w:val="样式 1.1标题2 Char + 小三 加粗"/>
    <w:qFormat/>
    <w:uiPriority w:val="0"/>
    <w:rPr>
      <w:rFonts w:ascii="Arial" w:hAnsi="Arial" w:eastAsia="黑体"/>
      <w:bCs/>
      <w:kern w:val="2"/>
      <w:sz w:val="30"/>
      <w:szCs w:val="32"/>
      <w:lang w:val="en-US" w:eastAsia="zh-CN" w:bidi="ar-SA"/>
    </w:rPr>
  </w:style>
  <w:style w:type="character" w:customStyle="1" w:styleId="388">
    <w:name w:val="正文文本 (9) + 间距 1 pt2"/>
    <w:qFormat/>
    <w:uiPriority w:val="99"/>
    <w:rPr>
      <w:rFonts w:ascii="MingLiU" w:eastAsia="MingLiU" w:cs="MingLiU"/>
      <w:spacing w:val="20"/>
      <w:shd w:val="clear" w:color="auto" w:fill="FFFFFF"/>
    </w:rPr>
  </w:style>
  <w:style w:type="character" w:customStyle="1" w:styleId="389">
    <w:name w:val="textjianju21"/>
    <w:qFormat/>
    <w:uiPriority w:val="0"/>
    <w:rPr>
      <w:color w:val="000000"/>
    </w:rPr>
  </w:style>
  <w:style w:type="character" w:customStyle="1" w:styleId="390">
    <w:name w:val="Page Number1"/>
    <w:qFormat/>
    <w:uiPriority w:val="0"/>
  </w:style>
  <w:style w:type="character" w:customStyle="1" w:styleId="391">
    <w:name w:val="style12"/>
    <w:qFormat/>
    <w:uiPriority w:val="0"/>
  </w:style>
  <w:style w:type="character" w:customStyle="1" w:styleId="392">
    <w:name w:val="正文文本最新 Char Char Char1 Char Char Char Char Char Char Char Char Char"/>
    <w:qFormat/>
    <w:uiPriority w:val="0"/>
    <w:rPr>
      <w:rFonts w:eastAsia="宋体"/>
      <w:b/>
      <w:bCs/>
      <w:kern w:val="2"/>
      <w:sz w:val="28"/>
      <w:szCs w:val="24"/>
      <w:lang w:val="en-US" w:eastAsia="zh-CN" w:bidi="ar-SA"/>
    </w:rPr>
  </w:style>
  <w:style w:type="character" w:customStyle="1" w:styleId="393">
    <w:name w:val="Char Char1 Char Char Char Char Char Char Char Char Char Char Char Char Char Char"/>
    <w:link w:val="394"/>
    <w:qFormat/>
    <w:uiPriority w:val="0"/>
    <w:rPr>
      <w:rFonts w:ascii="Times New Roman" w:hAnsi="Times New Roman"/>
    </w:rPr>
  </w:style>
  <w:style w:type="paragraph" w:customStyle="1" w:styleId="394">
    <w:name w:val="Char Char1 Char Char Char Char Char Char Char Char Char Char Char Char1"/>
    <w:basedOn w:val="1"/>
    <w:link w:val="393"/>
    <w:qFormat/>
    <w:uiPriority w:val="0"/>
    <w:pPr>
      <w:widowControl w:val="0"/>
    </w:pPr>
    <w:rPr>
      <w:rFonts w:ascii="Times New Roman" w:hAnsi="Times New Roman" w:cs="Times New Roman"/>
      <w:sz w:val="20"/>
      <w:szCs w:val="20"/>
    </w:rPr>
  </w:style>
  <w:style w:type="character" w:customStyle="1" w:styleId="395">
    <w:name w:val="Char Char8"/>
    <w:qFormat/>
    <w:uiPriority w:val="0"/>
    <w:rPr>
      <w:rFonts w:hint="eastAsia" w:ascii="黑体" w:eastAsia="黑体"/>
      <w:kern w:val="2"/>
      <w:sz w:val="24"/>
      <w:szCs w:val="24"/>
      <w:lang w:val="en-US" w:eastAsia="zh-CN" w:bidi="ar-SA"/>
    </w:rPr>
  </w:style>
  <w:style w:type="character" w:customStyle="1" w:styleId="396">
    <w:name w:val="表内正文 Char Char"/>
    <w:qFormat/>
    <w:uiPriority w:val="0"/>
    <w:rPr>
      <w:rFonts w:ascii="仿宋_GB2312" w:eastAsia="仿宋_GB2312"/>
      <w:kern w:val="2"/>
      <w:sz w:val="21"/>
      <w:szCs w:val="24"/>
      <w:lang w:val="en-US" w:eastAsia="zh-CN" w:bidi="ar-SA"/>
    </w:rPr>
  </w:style>
  <w:style w:type="character" w:customStyle="1" w:styleId="397">
    <w:name w:val="正文 Char"/>
    <w:qFormat/>
    <w:uiPriority w:val="0"/>
    <w:rPr>
      <w:rFonts w:ascii="Times New Roman" w:hAnsi="Times New Roman" w:eastAsia="宋体" w:cs="Times New Roman"/>
      <w:snapToGrid w:val="0"/>
      <w:kern w:val="0"/>
      <w:sz w:val="24"/>
      <w:szCs w:val="24"/>
    </w:rPr>
  </w:style>
  <w:style w:type="character" w:customStyle="1" w:styleId="398">
    <w:name w:val="样式1 Char Char Char Char Char Char Char"/>
    <w:link w:val="399"/>
    <w:semiHidden/>
    <w:qFormat/>
    <w:uiPriority w:val="0"/>
    <w:rPr>
      <w:rFonts w:ascii="Times New Roman" w:hAnsi="Times New Roman" w:eastAsia="仿宋_GB2312"/>
      <w:spacing w:val="-20"/>
      <w:sz w:val="18"/>
      <w:szCs w:val="24"/>
    </w:rPr>
  </w:style>
  <w:style w:type="paragraph" w:customStyle="1" w:styleId="399">
    <w:name w:val="样式1 Char Char Char Char Char"/>
    <w:basedOn w:val="1"/>
    <w:link w:val="398"/>
    <w:semiHidden/>
    <w:qFormat/>
    <w:uiPriority w:val="0"/>
    <w:pPr>
      <w:widowControl w:val="0"/>
      <w:jc w:val="center"/>
    </w:pPr>
    <w:rPr>
      <w:rFonts w:ascii="Times New Roman" w:hAnsi="Times New Roman" w:eastAsia="仿宋_GB2312" w:cs="Times New Roman"/>
      <w:spacing w:val="-20"/>
      <w:sz w:val="18"/>
    </w:rPr>
  </w:style>
  <w:style w:type="character" w:customStyle="1" w:styleId="400">
    <w:name w:val="目标题 1) Char1"/>
    <w:qFormat/>
    <w:uiPriority w:val="0"/>
    <w:rPr>
      <w:rFonts w:ascii="Arial" w:hAnsi="Arial" w:eastAsia="黑体"/>
      <w:color w:val="000000"/>
      <w:kern w:val="28"/>
      <w:sz w:val="24"/>
    </w:rPr>
  </w:style>
  <w:style w:type="character" w:customStyle="1" w:styleId="401">
    <w:name w:val="图表标题 Char Char"/>
    <w:link w:val="402"/>
    <w:qFormat/>
    <w:uiPriority w:val="0"/>
    <w:rPr>
      <w:rFonts w:ascii="黑体" w:hAnsi="Times New Roman" w:eastAsia="黑体"/>
      <w:b/>
      <w:color w:val="000000"/>
      <w:sz w:val="24"/>
      <w:szCs w:val="21"/>
    </w:rPr>
  </w:style>
  <w:style w:type="paragraph" w:customStyle="1" w:styleId="402">
    <w:name w:val="图表标题"/>
    <w:basedOn w:val="1"/>
    <w:link w:val="401"/>
    <w:qFormat/>
    <w:uiPriority w:val="0"/>
    <w:pPr>
      <w:widowControl w:val="0"/>
      <w:adjustRightInd w:val="0"/>
      <w:snapToGrid w:val="0"/>
      <w:spacing w:line="360" w:lineRule="auto"/>
      <w:jc w:val="center"/>
    </w:pPr>
    <w:rPr>
      <w:rFonts w:ascii="黑体" w:hAnsi="Times New Roman" w:eastAsia="黑体" w:cs="Times New Roman"/>
      <w:b/>
      <w:color w:val="000000"/>
      <w:szCs w:val="21"/>
    </w:rPr>
  </w:style>
  <w:style w:type="character" w:customStyle="1" w:styleId="403">
    <w:name w:val="正文文本 2 Char2"/>
    <w:semiHidden/>
    <w:qFormat/>
    <w:uiPriority w:val="99"/>
    <w:rPr>
      <w:rFonts w:ascii="Calibri" w:hAnsi="Calibri" w:eastAsia="宋体" w:cs="Times New Roman"/>
    </w:rPr>
  </w:style>
  <w:style w:type="character" w:customStyle="1" w:styleId="404">
    <w:name w:val="规划正文样式 Char Char"/>
    <w:qFormat/>
    <w:uiPriority w:val="0"/>
    <w:rPr>
      <w:rFonts w:eastAsia="宋体"/>
      <w:kern w:val="2"/>
      <w:sz w:val="24"/>
      <w:szCs w:val="24"/>
      <w:lang w:val="en-US" w:eastAsia="zh-CN" w:bidi="ar-SA"/>
    </w:rPr>
  </w:style>
  <w:style w:type="character" w:customStyle="1" w:styleId="405">
    <w:name w:val="注释标题 Char Char"/>
    <w:qFormat/>
    <w:uiPriority w:val="0"/>
    <w:rPr>
      <w:rFonts w:ascii="Times New Roman" w:hAnsi="Times New Roman" w:eastAsia="宋体" w:cs="Times New Roman"/>
      <w:szCs w:val="20"/>
    </w:rPr>
  </w:style>
  <w:style w:type="character" w:customStyle="1" w:styleId="406">
    <w:name w:val="航标 Char Char"/>
    <w:link w:val="407"/>
    <w:qFormat/>
    <w:uiPriority w:val="0"/>
    <w:rPr>
      <w:rFonts w:ascii="仿宋_GB2312" w:hAnsi="Times New Roman" w:eastAsia="仿宋_GB2312"/>
      <w:b/>
      <w:color w:val="000000"/>
      <w:sz w:val="28"/>
    </w:rPr>
  </w:style>
  <w:style w:type="paragraph" w:customStyle="1" w:styleId="407">
    <w:name w:val="航标"/>
    <w:basedOn w:val="1"/>
    <w:next w:val="1"/>
    <w:link w:val="406"/>
    <w:qFormat/>
    <w:uiPriority w:val="0"/>
    <w:pPr>
      <w:widowControl w:val="0"/>
      <w:topLinePunct/>
      <w:spacing w:line="486" w:lineRule="exact"/>
      <w:ind w:firstLine="200" w:firstLineChars="200"/>
    </w:pPr>
    <w:rPr>
      <w:rFonts w:ascii="仿宋_GB2312" w:hAnsi="Times New Roman" w:eastAsia="仿宋_GB2312" w:cs="Times New Roman"/>
      <w:b/>
      <w:color w:val="000000"/>
      <w:sz w:val="28"/>
      <w:szCs w:val="20"/>
    </w:rPr>
  </w:style>
  <w:style w:type="character" w:customStyle="1" w:styleId="408">
    <w:name w:val="表格内容1 Char Char1"/>
    <w:qFormat/>
    <w:uiPriority w:val="0"/>
    <w:rPr>
      <w:rFonts w:eastAsia="宋体"/>
      <w:kern w:val="24"/>
      <w:sz w:val="21"/>
      <w:szCs w:val="24"/>
      <w:lang w:val="en-US" w:eastAsia="zh-CN" w:bidi="ar-SA"/>
    </w:rPr>
  </w:style>
  <w:style w:type="character" w:customStyle="1" w:styleId="409">
    <w:name w:val="000 Char Char"/>
    <w:link w:val="410"/>
    <w:qFormat/>
    <w:uiPriority w:val="0"/>
    <w:rPr>
      <w:rFonts w:ascii="Times New Roman" w:hAnsi="Times New Roman"/>
      <w:sz w:val="24"/>
      <w:szCs w:val="24"/>
    </w:rPr>
  </w:style>
  <w:style w:type="paragraph" w:customStyle="1" w:styleId="410">
    <w:name w:val="000"/>
    <w:basedOn w:val="1"/>
    <w:link w:val="409"/>
    <w:qFormat/>
    <w:uiPriority w:val="0"/>
    <w:pPr>
      <w:widowControl w:val="0"/>
      <w:spacing w:line="360" w:lineRule="auto"/>
      <w:ind w:firstLine="200" w:firstLineChars="200"/>
      <w:jc w:val="both"/>
    </w:pPr>
    <w:rPr>
      <w:rFonts w:ascii="Times New Roman" w:hAnsi="Times New Roman" w:cs="Times New Roman"/>
    </w:rPr>
  </w:style>
  <w:style w:type="character" w:customStyle="1" w:styleId="411">
    <w:name w:val="正文首行缩进 Char2"/>
    <w:qFormat/>
    <w:uiPriority w:val="0"/>
    <w:rPr>
      <w:rFonts w:ascii="Times New Roman" w:hAnsi="Times New Roman" w:eastAsia="宋体" w:cs="Times New Roman"/>
      <w:kern w:val="0"/>
      <w:sz w:val="28"/>
      <w:szCs w:val="20"/>
    </w:rPr>
  </w:style>
  <w:style w:type="character" w:customStyle="1" w:styleId="412">
    <w:name w:val="Char Char"/>
    <w:qFormat/>
    <w:uiPriority w:val="0"/>
    <w:rPr>
      <w:rFonts w:eastAsia="黑体"/>
      <w:b/>
      <w:snapToGrid w:val="0"/>
      <w:sz w:val="24"/>
      <w:szCs w:val="32"/>
      <w:lang w:val="en-US" w:eastAsia="zh-CN" w:bidi="ar-SA"/>
    </w:rPr>
  </w:style>
  <w:style w:type="character" w:customStyle="1" w:styleId="413">
    <w:name w:val="公式说明 Char"/>
    <w:link w:val="414"/>
    <w:qFormat/>
    <w:uiPriority w:val="0"/>
    <w:rPr>
      <w:rFonts w:ascii="Times New Roman" w:hAnsi="Times New Roman" w:eastAsia="仿宋_GB2312"/>
      <w:sz w:val="32"/>
    </w:rPr>
  </w:style>
  <w:style w:type="paragraph" w:customStyle="1" w:styleId="414">
    <w:name w:val="公式说明"/>
    <w:basedOn w:val="1"/>
    <w:link w:val="413"/>
    <w:qFormat/>
    <w:uiPriority w:val="0"/>
    <w:pPr>
      <w:widowControl w:val="0"/>
      <w:tabs>
        <w:tab w:val="left" w:pos="1920"/>
      </w:tabs>
      <w:adjustRightInd w:val="0"/>
      <w:snapToGrid w:val="0"/>
      <w:spacing w:line="620" w:lineRule="exact"/>
      <w:ind w:firstLine="200" w:firstLineChars="200"/>
      <w:jc w:val="both"/>
    </w:pPr>
    <w:rPr>
      <w:rFonts w:ascii="Times New Roman" w:hAnsi="Times New Roman" w:eastAsia="仿宋_GB2312" w:cs="Times New Roman"/>
      <w:sz w:val="32"/>
      <w:szCs w:val="20"/>
    </w:rPr>
  </w:style>
  <w:style w:type="character" w:customStyle="1" w:styleId="415">
    <w:name w:val="正文文字缩进 31 Char Char"/>
    <w:qFormat/>
    <w:uiPriority w:val="0"/>
    <w:rPr>
      <w:rFonts w:eastAsia="宋体"/>
      <w:kern w:val="2"/>
      <w:sz w:val="16"/>
      <w:szCs w:val="16"/>
      <w:lang w:val="en-US" w:eastAsia="zh-CN" w:bidi="ar-SA"/>
    </w:rPr>
  </w:style>
  <w:style w:type="character" w:customStyle="1" w:styleId="416">
    <w:name w:val="正文1 Char Char Char Char"/>
    <w:qFormat/>
    <w:uiPriority w:val="0"/>
    <w:rPr>
      <w:rFonts w:ascii="仿宋_GB2312" w:hAnsi="Times New Roman" w:eastAsia="仿宋_GB2312" w:cs="Times New Roman"/>
      <w:sz w:val="28"/>
      <w:szCs w:val="28"/>
    </w:rPr>
  </w:style>
  <w:style w:type="character" w:customStyle="1" w:styleId="417">
    <w:name w:val="sidecatalog-index2"/>
    <w:qFormat/>
    <w:uiPriority w:val="0"/>
    <w:rPr>
      <w:rFonts w:ascii="Arail" w:hAnsi="Arail" w:eastAsia="Arail" w:cs="Arail"/>
      <w:color w:val="999999"/>
      <w:sz w:val="21"/>
      <w:szCs w:val="21"/>
    </w:rPr>
  </w:style>
  <w:style w:type="character" w:customStyle="1" w:styleId="418">
    <w:name w:val="style51"/>
    <w:qFormat/>
    <w:uiPriority w:val="0"/>
    <w:rPr>
      <w:b/>
      <w:bCs/>
      <w:color w:val="990000"/>
      <w:sz w:val="21"/>
      <w:szCs w:val="21"/>
    </w:rPr>
  </w:style>
  <w:style w:type="character" w:customStyle="1" w:styleId="419">
    <w:name w:val="A4"/>
    <w:qFormat/>
    <w:uiPriority w:val="0"/>
    <w:rPr>
      <w:rFonts w:ascii="新宋体" w:eastAsia="新宋体" w:cs="新宋体"/>
      <w:color w:val="000000"/>
      <w:sz w:val="28"/>
      <w:szCs w:val="28"/>
    </w:rPr>
  </w:style>
  <w:style w:type="character" w:customStyle="1" w:styleId="420">
    <w:name w:val="脚注文本 Char1"/>
    <w:qFormat/>
    <w:uiPriority w:val="99"/>
    <w:rPr>
      <w:rFonts w:ascii="Calibri" w:hAnsi="Calibri" w:eastAsia="宋体" w:cs="Times New Roman"/>
      <w:sz w:val="18"/>
      <w:szCs w:val="18"/>
    </w:rPr>
  </w:style>
  <w:style w:type="character" w:customStyle="1" w:styleId="421">
    <w:name w:val="正文-------- Char Char"/>
    <w:link w:val="422"/>
    <w:qFormat/>
    <w:uiPriority w:val="0"/>
    <w:rPr>
      <w:sz w:val="24"/>
    </w:rPr>
  </w:style>
  <w:style w:type="paragraph" w:customStyle="1" w:styleId="422">
    <w:name w:val="正文--------"/>
    <w:basedOn w:val="1"/>
    <w:link w:val="421"/>
    <w:qFormat/>
    <w:uiPriority w:val="0"/>
    <w:pPr>
      <w:widowControl w:val="0"/>
      <w:spacing w:line="460" w:lineRule="exact"/>
      <w:ind w:firstLine="480" w:firstLineChars="200"/>
    </w:pPr>
    <w:rPr>
      <w:rFonts w:ascii="Calibri" w:hAnsi="Calibri" w:cs="Times New Roman"/>
      <w:szCs w:val="20"/>
    </w:rPr>
  </w:style>
  <w:style w:type="character" w:customStyle="1" w:styleId="423">
    <w:name w:val="正文 + 宋体 Char"/>
    <w:link w:val="424"/>
    <w:qFormat/>
    <w:uiPriority w:val="0"/>
    <w:rPr>
      <w:rFonts w:ascii="宋体" w:hAnsi="宋体" w:cs="宋体"/>
      <w:b/>
      <w:szCs w:val="24"/>
    </w:rPr>
  </w:style>
  <w:style w:type="paragraph" w:customStyle="1" w:styleId="424">
    <w:name w:val="正文 + 宋体"/>
    <w:basedOn w:val="78"/>
    <w:link w:val="423"/>
    <w:qFormat/>
    <w:uiPriority w:val="0"/>
    <w:pPr>
      <w:widowControl w:val="0"/>
      <w:spacing w:after="0" w:line="360" w:lineRule="auto"/>
      <w:ind w:firstLine="200" w:firstLineChars="200"/>
    </w:pPr>
    <w:rPr>
      <w:b/>
      <w:szCs w:val="24"/>
    </w:rPr>
  </w:style>
  <w:style w:type="character" w:customStyle="1" w:styleId="425">
    <w:name w:val="headline-content2"/>
    <w:qFormat/>
    <w:uiPriority w:val="0"/>
  </w:style>
  <w:style w:type="character" w:customStyle="1" w:styleId="426">
    <w:name w:val="3级标题 Char"/>
    <w:link w:val="427"/>
    <w:qFormat/>
    <w:locked/>
    <w:uiPriority w:val="0"/>
    <w:rPr>
      <w:rFonts w:ascii="黑体" w:hAnsi="宋体" w:eastAsia="黑体" w:cs="Arial"/>
      <w:bCs/>
      <w:color w:val="000000"/>
      <w:sz w:val="24"/>
    </w:rPr>
  </w:style>
  <w:style w:type="paragraph" w:customStyle="1" w:styleId="427">
    <w:name w:val="3级标题"/>
    <w:basedOn w:val="7"/>
    <w:next w:val="164"/>
    <w:link w:val="426"/>
    <w:qFormat/>
    <w:uiPriority w:val="0"/>
    <w:pPr>
      <w:tabs>
        <w:tab w:val="left" w:pos="1021"/>
      </w:tabs>
    </w:pPr>
    <w:rPr>
      <w:rFonts w:ascii="黑体" w:hAnsi="宋体" w:cs="Arial"/>
      <w:color w:val="000000"/>
      <w:sz w:val="24"/>
      <w:szCs w:val="20"/>
    </w:rPr>
  </w:style>
  <w:style w:type="character" w:customStyle="1" w:styleId="428">
    <w:name w:val="style9 style60"/>
    <w:qFormat/>
    <w:uiPriority w:val="0"/>
  </w:style>
  <w:style w:type="character" w:customStyle="1" w:styleId="429">
    <w:name w:val="style621"/>
    <w:qFormat/>
    <w:uiPriority w:val="0"/>
    <w:rPr>
      <w:color w:val="335150"/>
    </w:rPr>
  </w:style>
  <w:style w:type="character" w:customStyle="1" w:styleId="430">
    <w:name w:val="标题 Char3"/>
    <w:qFormat/>
    <w:locked/>
    <w:uiPriority w:val="99"/>
    <w:rPr>
      <w:rFonts w:ascii="Arial" w:hAnsi="Arial"/>
      <w:b/>
      <w:sz w:val="32"/>
    </w:rPr>
  </w:style>
  <w:style w:type="character" w:customStyle="1" w:styleId="431">
    <w:name w:val="正文文本 (2) + 10 pt7"/>
    <w:qFormat/>
    <w:uiPriority w:val="99"/>
    <w:rPr>
      <w:rFonts w:ascii="MingLiU" w:eastAsia="MingLiU" w:cs="MingLiU"/>
      <w:spacing w:val="110"/>
      <w:sz w:val="20"/>
      <w:szCs w:val="20"/>
      <w:u w:val="none"/>
      <w:shd w:val="clear" w:color="auto" w:fill="FFFFFF"/>
    </w:rPr>
  </w:style>
  <w:style w:type="character" w:customStyle="1" w:styleId="432">
    <w:name w:val="表格1 Char Char Char"/>
    <w:link w:val="433"/>
    <w:qFormat/>
    <w:uiPriority w:val="0"/>
    <w:rPr>
      <w:rFonts w:ascii="宋体" w:hAnsi="宋体" w:eastAsia="仿宋_GB2312"/>
      <w:szCs w:val="24"/>
    </w:rPr>
  </w:style>
  <w:style w:type="paragraph" w:customStyle="1" w:styleId="433">
    <w:name w:val="表格1"/>
    <w:basedOn w:val="1"/>
    <w:next w:val="2"/>
    <w:link w:val="432"/>
    <w:qFormat/>
    <w:uiPriority w:val="0"/>
    <w:pPr>
      <w:widowControl w:val="0"/>
      <w:topLinePunct/>
      <w:jc w:val="center"/>
    </w:pPr>
    <w:rPr>
      <w:rFonts w:eastAsia="仿宋_GB2312" w:cs="Times New Roman"/>
      <w:sz w:val="20"/>
    </w:rPr>
  </w:style>
  <w:style w:type="character" w:customStyle="1" w:styleId="434">
    <w:name w:val="报告表格内容 Char Char"/>
    <w:link w:val="435"/>
    <w:qFormat/>
    <w:uiPriority w:val="0"/>
    <w:rPr>
      <w:rFonts w:ascii="Times New Roman" w:hAnsi="Times New Roman"/>
    </w:rPr>
  </w:style>
  <w:style w:type="paragraph" w:customStyle="1" w:styleId="435">
    <w:name w:val="报告表格内容"/>
    <w:basedOn w:val="1"/>
    <w:next w:val="1"/>
    <w:link w:val="434"/>
    <w:qFormat/>
    <w:uiPriority w:val="0"/>
    <w:pPr>
      <w:widowControl w:val="0"/>
      <w:adjustRightInd w:val="0"/>
      <w:snapToGrid w:val="0"/>
      <w:jc w:val="center"/>
    </w:pPr>
    <w:rPr>
      <w:rFonts w:ascii="Times New Roman" w:hAnsi="Times New Roman" w:cs="Times New Roman"/>
      <w:sz w:val="20"/>
      <w:szCs w:val="20"/>
    </w:rPr>
  </w:style>
  <w:style w:type="character" w:customStyle="1" w:styleId="436">
    <w:name w:val="newbody1"/>
    <w:qFormat/>
    <w:uiPriority w:val="0"/>
    <w:rPr>
      <w:sz w:val="21"/>
      <w:szCs w:val="21"/>
    </w:rPr>
  </w:style>
  <w:style w:type="character" w:customStyle="1" w:styleId="437">
    <w:name w:val="正文 Char1 Char Char"/>
    <w:link w:val="438"/>
    <w:qFormat/>
    <w:uiPriority w:val="0"/>
    <w:rPr>
      <w:rFonts w:ascii="Times New Roman" w:hAnsi="Times New Roman"/>
      <w:bCs/>
      <w:color w:val="000000"/>
      <w:sz w:val="24"/>
      <w:szCs w:val="21"/>
    </w:rPr>
  </w:style>
  <w:style w:type="paragraph" w:customStyle="1" w:styleId="438">
    <w:name w:val="正文 Char1"/>
    <w:basedOn w:val="1"/>
    <w:link w:val="437"/>
    <w:qFormat/>
    <w:uiPriority w:val="0"/>
    <w:pPr>
      <w:widowControl w:val="0"/>
      <w:tabs>
        <w:tab w:val="left" w:pos="1834"/>
      </w:tabs>
      <w:adjustRightInd w:val="0"/>
      <w:snapToGrid w:val="0"/>
      <w:spacing w:beforeLines="50" w:afterLines="50" w:line="360" w:lineRule="exact"/>
      <w:ind w:firstLine="480"/>
      <w:jc w:val="both"/>
      <w:textAlignment w:val="baseline"/>
    </w:pPr>
    <w:rPr>
      <w:rFonts w:ascii="Times New Roman" w:hAnsi="Times New Roman" w:cs="Times New Roman"/>
      <w:bCs/>
      <w:color w:val="000000"/>
      <w:szCs w:val="21"/>
    </w:rPr>
  </w:style>
  <w:style w:type="character" w:customStyle="1" w:styleId="439">
    <w:name w:val="正文文本 (2)_"/>
    <w:link w:val="440"/>
    <w:qFormat/>
    <w:uiPriority w:val="99"/>
    <w:rPr>
      <w:rFonts w:ascii="MingLiU" w:eastAsia="MingLiU" w:cs="MingLiU"/>
      <w:sz w:val="26"/>
      <w:szCs w:val="26"/>
      <w:shd w:val="clear" w:color="auto" w:fill="FFFFFF"/>
    </w:rPr>
  </w:style>
  <w:style w:type="paragraph" w:customStyle="1" w:styleId="440">
    <w:name w:val="正文文本 (2)1"/>
    <w:basedOn w:val="1"/>
    <w:link w:val="439"/>
    <w:qFormat/>
    <w:uiPriority w:val="99"/>
    <w:pPr>
      <w:widowControl w:val="0"/>
      <w:shd w:val="clear" w:color="auto" w:fill="FFFFFF"/>
      <w:spacing w:line="240" w:lineRule="atLeast"/>
      <w:ind w:hanging="160"/>
    </w:pPr>
    <w:rPr>
      <w:rFonts w:ascii="MingLiU" w:hAnsi="Calibri" w:eastAsia="MingLiU" w:cs="MingLiU"/>
      <w:sz w:val="26"/>
      <w:szCs w:val="26"/>
    </w:rPr>
  </w:style>
  <w:style w:type="character" w:customStyle="1" w:styleId="441">
    <w:name w:val="德胜正文 Char Char"/>
    <w:link w:val="442"/>
    <w:qFormat/>
    <w:uiPriority w:val="0"/>
    <w:rPr>
      <w:snapToGrid w:val="0"/>
      <w:color w:val="0000FF"/>
      <w:sz w:val="24"/>
      <w:szCs w:val="24"/>
    </w:rPr>
  </w:style>
  <w:style w:type="paragraph" w:customStyle="1" w:styleId="442">
    <w:name w:val="德胜正文"/>
    <w:basedOn w:val="1"/>
    <w:link w:val="441"/>
    <w:qFormat/>
    <w:uiPriority w:val="0"/>
    <w:pPr>
      <w:widowControl w:val="0"/>
      <w:adjustRightInd w:val="0"/>
      <w:snapToGrid w:val="0"/>
      <w:spacing w:line="360" w:lineRule="auto"/>
      <w:ind w:firstLine="200" w:firstLineChars="200"/>
      <w:jc w:val="both"/>
    </w:pPr>
    <w:rPr>
      <w:rFonts w:ascii="Calibri" w:hAnsi="Calibri" w:cs="Times New Roman"/>
      <w:snapToGrid w:val="0"/>
      <w:color w:val="0000FF"/>
    </w:rPr>
  </w:style>
  <w:style w:type="character" w:customStyle="1" w:styleId="443">
    <w:name w:val="正文文本 Char2"/>
    <w:semiHidden/>
    <w:qFormat/>
    <w:uiPriority w:val="0"/>
    <w:rPr>
      <w:rFonts w:ascii="Times New Roman" w:hAnsi="Times New Roman" w:eastAsia="宋体" w:cs="Times New Roman"/>
      <w:szCs w:val="24"/>
    </w:rPr>
  </w:style>
  <w:style w:type="character" w:customStyle="1" w:styleId="444">
    <w:name w:val="标题1"/>
    <w:qFormat/>
    <w:uiPriority w:val="0"/>
  </w:style>
  <w:style w:type="character" w:customStyle="1" w:styleId="445">
    <w:name w:val="副标题 Char2"/>
    <w:qFormat/>
    <w:locked/>
    <w:uiPriority w:val="11"/>
    <w:rPr>
      <w:rFonts w:ascii="Arial" w:hAnsi="Arial" w:eastAsia="仿宋_GB2312"/>
      <w:b/>
      <w:bCs/>
      <w:kern w:val="28"/>
      <w:sz w:val="32"/>
      <w:szCs w:val="32"/>
    </w:rPr>
  </w:style>
  <w:style w:type="character" w:customStyle="1" w:styleId="446">
    <w:name w:val="文章正文 Char Char"/>
    <w:link w:val="447"/>
    <w:qFormat/>
    <w:uiPriority w:val="0"/>
    <w:rPr>
      <w:rFonts w:hAnsi="宋体"/>
      <w:kern w:val="2"/>
      <w:sz w:val="24"/>
      <w:szCs w:val="24"/>
    </w:rPr>
  </w:style>
  <w:style w:type="paragraph" w:customStyle="1" w:styleId="447">
    <w:name w:val="文章正文"/>
    <w:basedOn w:val="1"/>
    <w:link w:val="446"/>
    <w:qFormat/>
    <w:uiPriority w:val="0"/>
    <w:pPr>
      <w:widowControl w:val="0"/>
      <w:spacing w:line="360" w:lineRule="auto"/>
      <w:jc w:val="both"/>
    </w:pPr>
    <w:rPr>
      <w:rFonts w:ascii="Calibri" w:cs="Times New Roman"/>
      <w:kern w:val="2"/>
    </w:rPr>
  </w:style>
  <w:style w:type="character" w:customStyle="1" w:styleId="448">
    <w:name w:val="表格 Char2"/>
    <w:qFormat/>
    <w:uiPriority w:val="0"/>
    <w:rPr>
      <w:kern w:val="2"/>
      <w:sz w:val="21"/>
      <w:szCs w:val="21"/>
    </w:rPr>
  </w:style>
  <w:style w:type="character" w:customStyle="1" w:styleId="449">
    <w:name w:val="Char Char241"/>
    <w:qFormat/>
    <w:uiPriority w:val="0"/>
    <w:rPr>
      <w:b/>
      <w:kern w:val="44"/>
      <w:sz w:val="44"/>
    </w:rPr>
  </w:style>
  <w:style w:type="character" w:customStyle="1" w:styleId="450">
    <w:name w:val="正文(首行缩进) Char Char"/>
    <w:link w:val="451"/>
    <w:qFormat/>
    <w:uiPriority w:val="0"/>
    <w:rPr>
      <w:snapToGrid w:val="0"/>
      <w:sz w:val="24"/>
      <w:szCs w:val="24"/>
    </w:rPr>
  </w:style>
  <w:style w:type="paragraph" w:customStyle="1" w:styleId="451">
    <w:name w:val="正文(首行缩进)"/>
    <w:basedOn w:val="1"/>
    <w:link w:val="450"/>
    <w:qFormat/>
    <w:uiPriority w:val="0"/>
    <w:pPr>
      <w:widowControl w:val="0"/>
      <w:tabs>
        <w:tab w:val="left" w:pos="4584"/>
      </w:tabs>
      <w:adjustRightInd w:val="0"/>
      <w:snapToGrid w:val="0"/>
      <w:jc w:val="center"/>
    </w:pPr>
    <w:rPr>
      <w:rFonts w:ascii="Calibri" w:hAnsi="Calibri" w:cs="Times New Roman"/>
      <w:snapToGrid w:val="0"/>
    </w:rPr>
  </w:style>
  <w:style w:type="character" w:customStyle="1" w:styleId="452">
    <w:name w:val="页脚 Char1"/>
    <w:qFormat/>
    <w:uiPriority w:val="0"/>
    <w:rPr>
      <w:rFonts w:ascii="Calibri" w:hAnsi="Calibri" w:eastAsia="宋体" w:cs="Times New Roman"/>
      <w:sz w:val="18"/>
      <w:szCs w:val="18"/>
    </w:rPr>
  </w:style>
  <w:style w:type="character" w:customStyle="1" w:styleId="453">
    <w:name w:val="样式 表格内容1 + Char"/>
    <w:qFormat/>
    <w:uiPriority w:val="0"/>
    <w:rPr>
      <w:rFonts w:ascii="仿宋" w:hAnsi="仿宋" w:eastAsia="仿宋"/>
      <w:kern w:val="2"/>
      <w:sz w:val="21"/>
      <w:szCs w:val="24"/>
      <w:lang w:val="en-US" w:eastAsia="zh-CN"/>
    </w:rPr>
  </w:style>
  <w:style w:type="character" w:customStyle="1" w:styleId="454">
    <w:name w:val="sidecatalog-dot"/>
    <w:qFormat/>
    <w:uiPriority w:val="0"/>
  </w:style>
  <w:style w:type="character" w:customStyle="1" w:styleId="455">
    <w:name w:val="正文文本 Char"/>
    <w:qFormat/>
    <w:uiPriority w:val="99"/>
    <w:rPr>
      <w:rFonts w:ascii="Times New Roman" w:hAnsi="Times New Roman" w:eastAsia="宋体" w:cs="Times New Roman"/>
      <w:szCs w:val="24"/>
    </w:rPr>
  </w:style>
  <w:style w:type="character" w:customStyle="1" w:styleId="456">
    <w:name w:val="sidecatalog-dot5"/>
    <w:qFormat/>
    <w:uiPriority w:val="0"/>
  </w:style>
  <w:style w:type="character" w:customStyle="1" w:styleId="457">
    <w:name w:val="z-窗体底端 Char1"/>
    <w:semiHidden/>
    <w:qFormat/>
    <w:uiPriority w:val="99"/>
    <w:rPr>
      <w:rFonts w:ascii="Arial" w:hAnsi="Arial" w:eastAsia="宋体" w:cs="Arial"/>
      <w:vanish/>
      <w:sz w:val="16"/>
      <w:szCs w:val="16"/>
    </w:rPr>
  </w:style>
  <w:style w:type="character" w:customStyle="1" w:styleId="458">
    <w:name w:val="Char Char6"/>
    <w:qFormat/>
    <w:uiPriority w:val="0"/>
    <w:rPr>
      <w:rFonts w:hint="default" w:ascii="Times New Roman" w:hAnsi="Times New Roman" w:eastAsia="宋体" w:cs="Times New Roman"/>
      <w:szCs w:val="20"/>
      <w:shd w:val="clear" w:color="auto" w:fill="000080"/>
    </w:rPr>
  </w:style>
  <w:style w:type="character" w:customStyle="1" w:styleId="459">
    <w:name w:val="正文小四首缩1.3行距 Char Char"/>
    <w:link w:val="460"/>
    <w:qFormat/>
    <w:uiPriority w:val="0"/>
    <w:rPr>
      <w:rFonts w:ascii="Times New Roman" w:hAnsi="Times New Roman"/>
      <w:sz w:val="24"/>
      <w:szCs w:val="24"/>
    </w:rPr>
  </w:style>
  <w:style w:type="paragraph" w:customStyle="1" w:styleId="460">
    <w:name w:val="正文小四首缩1.3行距"/>
    <w:basedOn w:val="1"/>
    <w:link w:val="459"/>
    <w:qFormat/>
    <w:uiPriority w:val="0"/>
    <w:pPr>
      <w:widowControl w:val="0"/>
      <w:spacing w:line="312" w:lineRule="auto"/>
      <w:ind w:firstLine="420" w:firstLineChars="200"/>
      <w:jc w:val="both"/>
    </w:pPr>
    <w:rPr>
      <w:rFonts w:ascii="Times New Roman" w:hAnsi="Times New Roman" w:cs="Times New Roman"/>
    </w:rPr>
  </w:style>
  <w:style w:type="character" w:customStyle="1" w:styleId="461">
    <w:name w:val="表格内容-小五（OPCC宋体） Char Char"/>
    <w:link w:val="462"/>
    <w:qFormat/>
    <w:uiPriority w:val="0"/>
    <w:rPr>
      <w:rFonts w:ascii="Times New Roman" w:hAnsi="Times New Roman" w:eastAsia="仿宋_GB2312" w:cs="宋体"/>
      <w:sz w:val="18"/>
      <w:szCs w:val="18"/>
    </w:rPr>
  </w:style>
  <w:style w:type="paragraph" w:customStyle="1" w:styleId="462">
    <w:name w:val="表格内容-小五（OPCC宋体）"/>
    <w:basedOn w:val="1"/>
    <w:link w:val="461"/>
    <w:qFormat/>
    <w:uiPriority w:val="0"/>
    <w:pPr>
      <w:widowControl w:val="0"/>
      <w:jc w:val="center"/>
    </w:pPr>
    <w:rPr>
      <w:rFonts w:ascii="Times New Roman" w:hAnsi="Times New Roman" w:eastAsia="仿宋_GB2312"/>
      <w:sz w:val="18"/>
      <w:szCs w:val="18"/>
    </w:rPr>
  </w:style>
  <w:style w:type="character" w:customStyle="1" w:styleId="463">
    <w:name w:val="desc"/>
    <w:qFormat/>
    <w:uiPriority w:val="0"/>
    <w:rPr>
      <w:color w:val="000000"/>
      <w:sz w:val="18"/>
      <w:szCs w:val="18"/>
    </w:rPr>
  </w:style>
  <w:style w:type="character" w:customStyle="1" w:styleId="464">
    <w:name w:val="样式3 Char Char"/>
    <w:link w:val="465"/>
    <w:qFormat/>
    <w:uiPriority w:val="0"/>
    <w:rPr>
      <w:rFonts w:ascii="Times New Roman" w:hAnsi="Times New Roman"/>
      <w:sz w:val="24"/>
    </w:rPr>
  </w:style>
  <w:style w:type="paragraph" w:customStyle="1" w:styleId="465">
    <w:name w:val="样式3"/>
    <w:basedOn w:val="6"/>
    <w:link w:val="464"/>
    <w:qFormat/>
    <w:uiPriority w:val="0"/>
    <w:pPr>
      <w:widowControl w:val="0"/>
      <w:adjustRightInd w:val="0"/>
      <w:snapToGrid w:val="0"/>
      <w:spacing w:line="360" w:lineRule="auto"/>
      <w:ind w:firstLine="420"/>
      <w:textAlignment w:val="baseline"/>
    </w:pPr>
    <w:rPr>
      <w:rFonts w:ascii="Times New Roman" w:hAnsi="Times New Roman"/>
      <w:sz w:val="24"/>
    </w:rPr>
  </w:style>
  <w:style w:type="character" w:customStyle="1" w:styleId="466">
    <w:name w:val="bb1"/>
    <w:qFormat/>
    <w:uiPriority w:val="0"/>
    <w:rPr>
      <w:sz w:val="23"/>
      <w:szCs w:val="23"/>
    </w:rPr>
  </w:style>
  <w:style w:type="character" w:customStyle="1" w:styleId="467">
    <w:name w:val="表正文 Char1 Char Char"/>
    <w:qFormat/>
    <w:uiPriority w:val="0"/>
    <w:rPr>
      <w:rFonts w:eastAsia="宋体"/>
      <w:sz w:val="28"/>
      <w:lang w:val="en-US" w:eastAsia="zh-CN" w:bidi="ar-SA"/>
    </w:rPr>
  </w:style>
  <w:style w:type="character" w:customStyle="1" w:styleId="468">
    <w:name w:val="图表标题wj Char Char"/>
    <w:link w:val="469"/>
    <w:qFormat/>
    <w:uiPriority w:val="0"/>
    <w:rPr>
      <w:rFonts w:ascii="黑体" w:hAnsi="Times New Roman"/>
      <w:b/>
      <w:kern w:val="2"/>
      <w:sz w:val="24"/>
      <w:szCs w:val="24"/>
    </w:rPr>
  </w:style>
  <w:style w:type="paragraph" w:customStyle="1" w:styleId="469">
    <w:name w:val="图表标题wj"/>
    <w:link w:val="468"/>
    <w:qFormat/>
    <w:uiPriority w:val="0"/>
    <w:pPr>
      <w:adjustRightInd w:val="0"/>
      <w:snapToGrid w:val="0"/>
      <w:jc w:val="center"/>
    </w:pPr>
    <w:rPr>
      <w:rFonts w:ascii="黑体" w:hAnsi="Times New Roman" w:eastAsia="宋体" w:cs="Times New Roman"/>
      <w:b/>
      <w:kern w:val="2"/>
      <w:sz w:val="24"/>
      <w:szCs w:val="24"/>
      <w:lang w:val="en-US" w:eastAsia="zh-CN" w:bidi="ar-SA"/>
    </w:rPr>
  </w:style>
  <w:style w:type="character" w:customStyle="1" w:styleId="470">
    <w:name w:val="文档结构图 Char Char"/>
    <w:link w:val="471"/>
    <w:qFormat/>
    <w:uiPriority w:val="0"/>
    <w:rPr>
      <w:rFonts w:ascii="Times New Roman" w:hAnsi="Times New Roman" w:eastAsia="宋体" w:cs="Times New Roman"/>
      <w:szCs w:val="20"/>
      <w:shd w:val="clear" w:color="auto" w:fill="000080"/>
    </w:rPr>
  </w:style>
  <w:style w:type="paragraph" w:customStyle="1" w:styleId="471">
    <w:name w:val="文档结构图1"/>
    <w:basedOn w:val="1"/>
    <w:link w:val="470"/>
    <w:qFormat/>
    <w:uiPriority w:val="0"/>
    <w:pPr>
      <w:widowControl w:val="0"/>
      <w:jc w:val="both"/>
    </w:pPr>
    <w:rPr>
      <w:rFonts w:ascii="Times New Roman" w:hAnsi="Times New Roman" w:cs="Times New Roman"/>
      <w:sz w:val="20"/>
      <w:szCs w:val="20"/>
    </w:rPr>
  </w:style>
  <w:style w:type="character" w:customStyle="1" w:styleId="472">
    <w:name w:val="正文文本缩进 Char1"/>
    <w:qFormat/>
    <w:uiPriority w:val="99"/>
    <w:rPr>
      <w:rFonts w:ascii="Times New Roman" w:hAnsi="Times New Roman" w:eastAsia="宋体" w:cs="Times New Roman"/>
      <w:szCs w:val="24"/>
    </w:rPr>
  </w:style>
  <w:style w:type="character" w:customStyle="1" w:styleId="473">
    <w:name w:val="批注主题 Char1"/>
    <w:qFormat/>
    <w:uiPriority w:val="99"/>
    <w:rPr>
      <w:rFonts w:ascii="Times New Roman" w:hAnsi="Times New Roman" w:eastAsia="宋体" w:cs="Times New Roman"/>
      <w:b/>
      <w:bCs/>
      <w:szCs w:val="24"/>
    </w:rPr>
  </w:style>
  <w:style w:type="character" w:customStyle="1" w:styleId="474">
    <w:name w:val="f241"/>
    <w:qFormat/>
    <w:uiPriority w:val="0"/>
    <w:rPr>
      <w:sz w:val="36"/>
      <w:szCs w:val="36"/>
    </w:rPr>
  </w:style>
  <w:style w:type="character" w:customStyle="1" w:styleId="475">
    <w:name w:val="unnamed11"/>
    <w:qFormat/>
    <w:uiPriority w:val="0"/>
    <w:rPr>
      <w:color w:val="000000"/>
      <w:spacing w:val="450"/>
      <w:sz w:val="18"/>
      <w:szCs w:val="18"/>
    </w:rPr>
  </w:style>
  <w:style w:type="character" w:customStyle="1" w:styleId="476">
    <w:name w:val="项 Char Char"/>
    <w:qFormat/>
    <w:uiPriority w:val="0"/>
    <w:rPr>
      <w:rFonts w:ascii="Times New Roman" w:hAnsi="Times New Roman" w:eastAsia="宋体" w:cs="Times New Roman"/>
      <w:sz w:val="28"/>
      <w:szCs w:val="20"/>
    </w:rPr>
  </w:style>
  <w:style w:type="character" w:customStyle="1" w:styleId="477">
    <w:name w:val="德胜表头 Char Char"/>
    <w:link w:val="478"/>
    <w:qFormat/>
    <w:uiPriority w:val="0"/>
    <w:rPr>
      <w:b/>
      <w:snapToGrid w:val="0"/>
      <w:color w:val="0000FF"/>
      <w:sz w:val="24"/>
      <w:szCs w:val="24"/>
    </w:rPr>
  </w:style>
  <w:style w:type="paragraph" w:customStyle="1" w:styleId="478">
    <w:name w:val="德胜表头"/>
    <w:basedOn w:val="442"/>
    <w:link w:val="477"/>
    <w:qFormat/>
    <w:uiPriority w:val="0"/>
    <w:pPr>
      <w:spacing w:line="240" w:lineRule="auto"/>
      <w:ind w:firstLine="0" w:firstLineChars="0"/>
      <w:jc w:val="center"/>
    </w:pPr>
    <w:rPr>
      <w:b/>
    </w:rPr>
  </w:style>
  <w:style w:type="character" w:customStyle="1" w:styleId="479">
    <w:name w:val="p21"/>
    <w:qFormat/>
    <w:uiPriority w:val="0"/>
    <w:rPr>
      <w:rFonts w:hint="default"/>
      <w:color w:val="0000A0"/>
    </w:rPr>
  </w:style>
  <w:style w:type="character" w:customStyle="1" w:styleId="480">
    <w:name w:val="Char Char221"/>
    <w:qFormat/>
    <w:uiPriority w:val="0"/>
    <w:rPr>
      <w:rFonts w:eastAsia="宋体"/>
      <w:kern w:val="2"/>
      <w:sz w:val="24"/>
      <w:szCs w:val="24"/>
      <w:lang w:val="en-US" w:eastAsia="zh-CN" w:bidi="ar-SA"/>
    </w:rPr>
  </w:style>
  <w:style w:type="character" w:customStyle="1" w:styleId="481">
    <w:name w:val="标题 4 Char"/>
    <w:qFormat/>
    <w:uiPriority w:val="9"/>
    <w:rPr>
      <w:rFonts w:ascii="Cambria" w:hAnsi="Cambria" w:eastAsia="宋体" w:cs="Times New Roman"/>
      <w:b/>
      <w:bCs/>
      <w:sz w:val="28"/>
      <w:szCs w:val="28"/>
    </w:rPr>
  </w:style>
  <w:style w:type="character" w:customStyle="1" w:styleId="482">
    <w:name w:val="标题 2 Char"/>
    <w:qFormat/>
    <w:uiPriority w:val="0"/>
    <w:rPr>
      <w:rFonts w:ascii="Cambria" w:hAnsi="Cambria" w:eastAsia="宋体" w:cs="Times New Roman"/>
      <w:b/>
      <w:bCs/>
      <w:sz w:val="32"/>
      <w:szCs w:val="32"/>
    </w:rPr>
  </w:style>
  <w:style w:type="character" w:customStyle="1" w:styleId="483">
    <w:name w:val="large1"/>
    <w:qFormat/>
    <w:uiPriority w:val="0"/>
    <w:rPr>
      <w:sz w:val="28"/>
    </w:rPr>
  </w:style>
  <w:style w:type="character" w:customStyle="1" w:styleId="484">
    <w:name w:val="样式 表格内容1 + Char Char"/>
    <w:link w:val="485"/>
    <w:qFormat/>
    <w:uiPriority w:val="0"/>
    <w:rPr>
      <w:rFonts w:ascii="Times New Roman" w:hAnsi="Times New Roman"/>
      <w:kern w:val="24"/>
      <w:szCs w:val="24"/>
      <w:lang w:val="en-US" w:eastAsia="zh-CN"/>
    </w:rPr>
  </w:style>
  <w:style w:type="paragraph" w:customStyle="1" w:styleId="485">
    <w:name w:val="样式 表格内容1 +"/>
    <w:basedOn w:val="486"/>
    <w:link w:val="484"/>
    <w:qFormat/>
    <w:uiPriority w:val="0"/>
    <w:rPr>
      <w:rFonts w:ascii="Times New Roman" w:hAnsi="Times New Roman"/>
    </w:rPr>
  </w:style>
  <w:style w:type="paragraph" w:customStyle="1" w:styleId="486">
    <w:name w:val="表格内容1"/>
    <w:basedOn w:val="1"/>
    <w:link w:val="487"/>
    <w:qFormat/>
    <w:uiPriority w:val="0"/>
    <w:pPr>
      <w:widowControl w:val="0"/>
      <w:jc w:val="center"/>
    </w:pPr>
    <w:rPr>
      <w:rFonts w:ascii="Calibri" w:hAnsi="Calibri" w:cs="Times New Roman"/>
      <w:kern w:val="24"/>
      <w:sz w:val="20"/>
    </w:rPr>
  </w:style>
  <w:style w:type="character" w:customStyle="1" w:styleId="487">
    <w:name w:val="表格内容1 Char Char"/>
    <w:link w:val="486"/>
    <w:qFormat/>
    <w:uiPriority w:val="0"/>
    <w:rPr>
      <w:kern w:val="24"/>
      <w:szCs w:val="24"/>
    </w:rPr>
  </w:style>
  <w:style w:type="character" w:customStyle="1" w:styleId="488">
    <w:name w:val="bititle"/>
    <w:qFormat/>
    <w:uiPriority w:val="0"/>
  </w:style>
  <w:style w:type="character" w:customStyle="1" w:styleId="489">
    <w:name w:val="【表格注释】"/>
    <w:qFormat/>
    <w:uiPriority w:val="0"/>
    <w:rPr>
      <w:rFonts w:eastAsia="宋体" w:cs="宋体"/>
      <w:spacing w:val="16"/>
      <w:kern w:val="0"/>
      <w:sz w:val="21"/>
    </w:rPr>
  </w:style>
  <w:style w:type="character" w:customStyle="1" w:styleId="490">
    <w:name w:val="spelle"/>
    <w:qFormat/>
    <w:uiPriority w:val="0"/>
  </w:style>
  <w:style w:type="character" w:customStyle="1" w:styleId="491">
    <w:name w:val="javascript"/>
    <w:qFormat/>
    <w:uiPriority w:val="0"/>
  </w:style>
  <w:style w:type="character" w:customStyle="1" w:styleId="492">
    <w:name w:val="polysemyred"/>
    <w:qFormat/>
    <w:uiPriority w:val="0"/>
    <w:rPr>
      <w:color w:val="FF6666"/>
      <w:sz w:val="18"/>
      <w:szCs w:val="18"/>
    </w:rPr>
  </w:style>
  <w:style w:type="character" w:customStyle="1" w:styleId="493">
    <w:name w:val="text-8"/>
    <w:qFormat/>
    <w:uiPriority w:val="0"/>
  </w:style>
  <w:style w:type="character" w:customStyle="1" w:styleId="494">
    <w:name w:val="上标"/>
    <w:qFormat/>
    <w:uiPriority w:val="0"/>
    <w:rPr>
      <w:vertAlign w:val="superscript"/>
    </w:rPr>
  </w:style>
  <w:style w:type="character" w:customStyle="1" w:styleId="495">
    <w:name w:val="正文首行缩进 Char Char Char"/>
    <w:qFormat/>
    <w:uiPriority w:val="0"/>
    <w:rPr>
      <w:rFonts w:ascii="Times New Roman" w:hAnsi="Times New Roman" w:eastAsia="宋体" w:cs="Times New Roman"/>
      <w:szCs w:val="24"/>
    </w:rPr>
  </w:style>
  <w:style w:type="character" w:customStyle="1" w:styleId="496">
    <w:name w:val="Char Char14"/>
    <w:qFormat/>
    <w:uiPriority w:val="0"/>
    <w:rPr>
      <w:sz w:val="18"/>
      <w:szCs w:val="18"/>
    </w:rPr>
  </w:style>
  <w:style w:type="character" w:customStyle="1" w:styleId="497">
    <w:name w:val="正文---------------- Char Char"/>
    <w:link w:val="498"/>
    <w:qFormat/>
    <w:uiPriority w:val="0"/>
    <w:rPr>
      <w:spacing w:val="16"/>
      <w:sz w:val="24"/>
    </w:rPr>
  </w:style>
  <w:style w:type="paragraph" w:customStyle="1" w:styleId="498">
    <w:name w:val="正文----------------"/>
    <w:basedOn w:val="1"/>
    <w:link w:val="497"/>
    <w:qFormat/>
    <w:uiPriority w:val="0"/>
    <w:pPr>
      <w:widowControl w:val="0"/>
      <w:spacing w:line="440" w:lineRule="exact"/>
      <w:ind w:firstLine="544" w:firstLineChars="200"/>
      <w:jc w:val="both"/>
    </w:pPr>
    <w:rPr>
      <w:rFonts w:ascii="Calibri" w:hAnsi="Calibri" w:cs="Times New Roman"/>
      <w:spacing w:val="16"/>
      <w:szCs w:val="20"/>
    </w:rPr>
  </w:style>
  <w:style w:type="character" w:customStyle="1" w:styleId="499">
    <w:name w:val="标题2----------------- Char Char"/>
    <w:link w:val="500"/>
    <w:qFormat/>
    <w:uiPriority w:val="0"/>
    <w:rPr>
      <w:b/>
      <w:bCs/>
      <w:sz w:val="32"/>
    </w:rPr>
  </w:style>
  <w:style w:type="paragraph" w:customStyle="1" w:styleId="500">
    <w:name w:val="标题2-----------------"/>
    <w:basedOn w:val="5"/>
    <w:link w:val="499"/>
    <w:qFormat/>
    <w:uiPriority w:val="0"/>
    <w:pPr>
      <w:keepNext w:val="0"/>
      <w:widowControl w:val="0"/>
      <w:spacing w:before="200" w:after="200" w:line="240" w:lineRule="auto"/>
      <w:jc w:val="both"/>
    </w:pPr>
    <w:rPr>
      <w:rFonts w:eastAsia="宋体"/>
      <w:b/>
      <w:sz w:val="32"/>
      <w:szCs w:val="20"/>
    </w:rPr>
  </w:style>
  <w:style w:type="character" w:customStyle="1" w:styleId="501">
    <w:name w:val="正文文本 (9) + Georgia"/>
    <w:qFormat/>
    <w:uiPriority w:val="99"/>
    <w:rPr>
      <w:rFonts w:ascii="Georgia" w:hAnsi="Georgia" w:eastAsia="MingLiU" w:cs="Georgia"/>
      <w:shd w:val="clear" w:color="auto" w:fill="FFFFFF"/>
      <w:lang w:val="en-US" w:eastAsia="en-US"/>
    </w:rPr>
  </w:style>
  <w:style w:type="character" w:customStyle="1" w:styleId="502">
    <w:name w:val="Char Char5"/>
    <w:qFormat/>
    <w:uiPriority w:val="0"/>
    <w:rPr>
      <w:rFonts w:hint="eastAsia" w:ascii="宋体" w:hAnsi="宋体" w:eastAsia="宋体"/>
      <w:kern w:val="2"/>
      <w:sz w:val="21"/>
      <w:szCs w:val="24"/>
      <w:lang w:val="en-US" w:eastAsia="zh-CN" w:bidi="ar-SA"/>
    </w:rPr>
  </w:style>
  <w:style w:type="character" w:customStyle="1" w:styleId="503">
    <w:name w:val="font71"/>
    <w:qFormat/>
    <w:uiPriority w:val="0"/>
    <w:rPr>
      <w:rFonts w:hint="eastAsia" w:ascii="宋体" w:hAnsi="宋体" w:eastAsia="宋体" w:cs="宋体"/>
      <w:b/>
      <w:color w:val="000000"/>
      <w:sz w:val="20"/>
      <w:szCs w:val="20"/>
      <w:u w:val="none"/>
    </w:rPr>
  </w:style>
  <w:style w:type="character" w:customStyle="1" w:styleId="504">
    <w:name w:val="书籍标题1"/>
    <w:qFormat/>
    <w:uiPriority w:val="0"/>
    <w:rPr>
      <w:b/>
      <w:bCs/>
      <w:smallCaps/>
      <w:spacing w:val="5"/>
    </w:rPr>
  </w:style>
  <w:style w:type="character" w:customStyle="1" w:styleId="505">
    <w:name w:val="font141"/>
    <w:qFormat/>
    <w:uiPriority w:val="0"/>
    <w:rPr>
      <w:rFonts w:hint="eastAsia" w:ascii="宋体" w:hAnsi="宋体" w:eastAsia="宋体"/>
      <w:color w:val="000000"/>
      <w:sz w:val="22"/>
      <w:szCs w:val="22"/>
      <w:u w:val="none"/>
    </w:rPr>
  </w:style>
  <w:style w:type="character" w:customStyle="1" w:styleId="506">
    <w:name w:val="文档结构图 Char1"/>
    <w:qFormat/>
    <w:uiPriority w:val="99"/>
    <w:rPr>
      <w:rFonts w:ascii="宋体" w:hAnsi="Times New Roman" w:eastAsia="宋体" w:cs="Times New Roman"/>
      <w:sz w:val="18"/>
      <w:szCs w:val="18"/>
    </w:rPr>
  </w:style>
  <w:style w:type="character" w:customStyle="1" w:styleId="507">
    <w:name w:val="表格左 Char Char"/>
    <w:link w:val="508"/>
    <w:qFormat/>
    <w:uiPriority w:val="0"/>
    <w:rPr>
      <w:rFonts w:ascii="宋体" w:hAnsi="宋体"/>
      <w:b/>
      <w:szCs w:val="24"/>
    </w:rPr>
  </w:style>
  <w:style w:type="paragraph" w:customStyle="1" w:styleId="508">
    <w:name w:val="表格左"/>
    <w:basedOn w:val="1"/>
    <w:link w:val="507"/>
    <w:qFormat/>
    <w:uiPriority w:val="0"/>
    <w:pPr>
      <w:widowControl w:val="0"/>
      <w:spacing w:line="240" w:lineRule="atLeast"/>
      <w:jc w:val="center"/>
    </w:pPr>
    <w:rPr>
      <w:rFonts w:cs="Times New Roman"/>
      <w:b/>
      <w:sz w:val="20"/>
    </w:rPr>
  </w:style>
  <w:style w:type="character" w:customStyle="1" w:styleId="509">
    <w:name w:val="样式 报告正文 + 首行缩进:  2 字符 Char Char Char"/>
    <w:link w:val="510"/>
    <w:qFormat/>
    <w:locked/>
    <w:uiPriority w:val="0"/>
    <w:rPr>
      <w:rFonts w:ascii="楷体_GB2312" w:eastAsia="楷体_GB2312" w:cs="宋体"/>
      <w:bCs/>
      <w:kern w:val="2"/>
      <w:sz w:val="30"/>
      <w:szCs w:val="24"/>
    </w:rPr>
  </w:style>
  <w:style w:type="paragraph" w:customStyle="1" w:styleId="510">
    <w:name w:val="样式 报告正文 + 首行缩进:  2 字符 Char Char"/>
    <w:basedOn w:val="1"/>
    <w:link w:val="509"/>
    <w:qFormat/>
    <w:uiPriority w:val="0"/>
    <w:pPr>
      <w:widowControl w:val="0"/>
      <w:spacing w:line="312" w:lineRule="auto"/>
      <w:ind w:firstLine="600" w:firstLineChars="200"/>
      <w:jc w:val="both"/>
    </w:pPr>
    <w:rPr>
      <w:rFonts w:ascii="楷体_GB2312" w:hAnsi="Calibri" w:eastAsia="楷体_GB2312"/>
      <w:bCs/>
      <w:kern w:val="2"/>
      <w:sz w:val="30"/>
    </w:rPr>
  </w:style>
  <w:style w:type="character" w:customStyle="1" w:styleId="511">
    <w:name w:val="正文文本缩进 2 Char2"/>
    <w:semiHidden/>
    <w:qFormat/>
    <w:uiPriority w:val="99"/>
    <w:rPr>
      <w:rFonts w:ascii="Calibri" w:hAnsi="Calibri" w:eastAsia="宋体" w:cs="Times New Roman"/>
    </w:rPr>
  </w:style>
  <w:style w:type="character" w:customStyle="1" w:styleId="512">
    <w:name w:val="hei11"/>
    <w:qFormat/>
    <w:uiPriority w:val="0"/>
  </w:style>
  <w:style w:type="character" w:customStyle="1" w:styleId="513">
    <w:name w:val="Char Char24"/>
    <w:qFormat/>
    <w:uiPriority w:val="0"/>
    <w:rPr>
      <w:b/>
      <w:kern w:val="44"/>
      <w:sz w:val="44"/>
    </w:rPr>
  </w:style>
  <w:style w:type="character" w:customStyle="1" w:styleId="514">
    <w:name w:val="样式 题注 + (西文) Arial (中文) 黑体 小四 Char Char Char"/>
    <w:qFormat/>
    <w:uiPriority w:val="0"/>
    <w:rPr>
      <w:rFonts w:ascii="Arial" w:hAnsi="Arial" w:eastAsia="黑体" w:cs="Arial"/>
      <w:b/>
      <w:bCs/>
      <w:snapToGrid w:val="0"/>
      <w:color w:val="000000"/>
      <w:kern w:val="2"/>
      <w:sz w:val="24"/>
      <w:szCs w:val="28"/>
      <w:lang w:val="en-US" w:eastAsia="zh-CN" w:bidi="ar-SA"/>
    </w:rPr>
  </w:style>
  <w:style w:type="character" w:customStyle="1" w:styleId="515">
    <w:name w:val="表头------------- Char Char"/>
    <w:link w:val="516"/>
    <w:qFormat/>
    <w:uiPriority w:val="0"/>
    <w:rPr>
      <w:rFonts w:eastAsia="黑体"/>
      <w:sz w:val="24"/>
    </w:rPr>
  </w:style>
  <w:style w:type="paragraph" w:customStyle="1" w:styleId="516">
    <w:name w:val="表头-------------"/>
    <w:basedOn w:val="1"/>
    <w:link w:val="515"/>
    <w:qFormat/>
    <w:uiPriority w:val="0"/>
    <w:pPr>
      <w:widowControl w:val="0"/>
      <w:spacing w:line="460" w:lineRule="exact"/>
      <w:jc w:val="center"/>
    </w:pPr>
    <w:rPr>
      <w:rFonts w:ascii="Calibri" w:hAnsi="Calibri" w:eastAsia="黑体" w:cs="Times New Roman"/>
      <w:szCs w:val="20"/>
    </w:rPr>
  </w:style>
  <w:style w:type="character" w:customStyle="1" w:styleId="517">
    <w:name w:val="尾注文本 Char1"/>
    <w:qFormat/>
    <w:uiPriority w:val="0"/>
    <w:rPr>
      <w:rFonts w:ascii="Times New Roman" w:hAnsi="Times New Roman" w:eastAsia="宋体" w:cs="Times New Roman"/>
      <w:szCs w:val="24"/>
    </w:rPr>
  </w:style>
  <w:style w:type="character" w:customStyle="1" w:styleId="518">
    <w:name w:val="小表中 Char Char"/>
    <w:link w:val="519"/>
    <w:qFormat/>
    <w:uiPriority w:val="0"/>
    <w:rPr>
      <w:rFonts w:ascii="宋体" w:hAnsi="宋体"/>
    </w:rPr>
  </w:style>
  <w:style w:type="paragraph" w:customStyle="1" w:styleId="519">
    <w:name w:val="小表中"/>
    <w:basedOn w:val="1"/>
    <w:link w:val="518"/>
    <w:qFormat/>
    <w:uiPriority w:val="0"/>
    <w:pPr>
      <w:keepNext/>
      <w:widowControl w:val="0"/>
      <w:tabs>
        <w:tab w:val="left" w:pos="1769"/>
      </w:tabs>
      <w:adjustRightInd w:val="0"/>
      <w:snapToGrid w:val="0"/>
      <w:spacing w:line="240" w:lineRule="atLeast"/>
      <w:jc w:val="center"/>
    </w:pPr>
    <w:rPr>
      <w:rFonts w:cs="Times New Roman"/>
      <w:sz w:val="20"/>
      <w:szCs w:val="20"/>
    </w:rPr>
  </w:style>
  <w:style w:type="character" w:customStyle="1" w:styleId="520">
    <w:name w:val="Char Char212"/>
    <w:qFormat/>
    <w:uiPriority w:val="0"/>
    <w:rPr>
      <w:rFonts w:eastAsia="宋体"/>
      <w:kern w:val="2"/>
      <w:sz w:val="21"/>
      <w:szCs w:val="24"/>
      <w:lang w:val="en-US" w:eastAsia="zh-CN" w:bidi="ar-SA"/>
    </w:rPr>
  </w:style>
  <w:style w:type="character" w:customStyle="1" w:styleId="521">
    <w:name w:val="content1"/>
    <w:qFormat/>
    <w:uiPriority w:val="0"/>
    <w:rPr>
      <w:rFonts w:ascii="黑体" w:hAnsi="宋体" w:eastAsia="黑体" w:cs="宋体"/>
      <w:b/>
      <w:kern w:val="2"/>
      <w:sz w:val="14"/>
      <w:szCs w:val="14"/>
      <w:lang w:val="en-US" w:eastAsia="zh-CN" w:bidi="ar-SA"/>
    </w:rPr>
  </w:style>
  <w:style w:type="character" w:customStyle="1" w:styleId="522">
    <w:name w:val="样式 标题 3条标题头标题3H3h33rd level第二层条标题 3 Char小标题小节标题标题 3 C...5 Char"/>
    <w:link w:val="523"/>
    <w:qFormat/>
    <w:uiPriority w:val="0"/>
    <w:rPr>
      <w:rFonts w:ascii="黑体" w:hAnsi="Times New Roman" w:eastAsia="黑体"/>
      <w:color w:val="000000"/>
      <w:sz w:val="24"/>
      <w:szCs w:val="24"/>
    </w:rPr>
  </w:style>
  <w:style w:type="paragraph" w:customStyle="1" w:styleId="523">
    <w:name w:val="样式 标题 3条标题头标题3H3h33rd level第二层条标题 3 Char小标题小节标题标题 3 C...5"/>
    <w:basedOn w:val="7"/>
    <w:link w:val="522"/>
    <w:qFormat/>
    <w:uiPriority w:val="0"/>
    <w:pPr>
      <w:widowControl w:val="0"/>
      <w:spacing w:line="720" w:lineRule="auto"/>
      <w:jc w:val="both"/>
    </w:pPr>
    <w:rPr>
      <w:rFonts w:ascii="黑体"/>
      <w:bCs w:val="0"/>
      <w:color w:val="000000"/>
      <w:sz w:val="24"/>
      <w:szCs w:val="24"/>
    </w:rPr>
  </w:style>
  <w:style w:type="character" w:customStyle="1" w:styleId="524">
    <w:name w:val="Char Char51"/>
    <w:semiHidden/>
    <w:qFormat/>
    <w:uiPriority w:val="0"/>
    <w:rPr>
      <w:rFonts w:ascii="Calibri" w:hAnsi="Calibri" w:eastAsia="宋体"/>
      <w:kern w:val="2"/>
      <w:sz w:val="18"/>
      <w:szCs w:val="18"/>
      <w:lang w:val="en-US" w:eastAsia="zh-CN" w:bidi="ar-SA"/>
    </w:rPr>
  </w:style>
  <w:style w:type="character" w:customStyle="1" w:styleId="525">
    <w:name w:val="样式 标题 3条标题头标题3H3h33rd level第二层条标题 3 Char小标题小节标题标题 3 C...4 Char"/>
    <w:link w:val="526"/>
    <w:qFormat/>
    <w:uiPriority w:val="0"/>
    <w:rPr>
      <w:rFonts w:ascii="黑体" w:hAnsi="Times New Roman" w:eastAsia="黑体"/>
      <w:bCs/>
      <w:color w:val="000000"/>
      <w:sz w:val="24"/>
      <w:szCs w:val="24"/>
    </w:rPr>
  </w:style>
  <w:style w:type="paragraph" w:customStyle="1" w:styleId="526">
    <w:name w:val="样式 标题 3条标题头标题3H3h33rd level第二层条标题 3 Char小标题小节标题标题 3 C...4"/>
    <w:basedOn w:val="7"/>
    <w:link w:val="525"/>
    <w:qFormat/>
    <w:uiPriority w:val="0"/>
    <w:pPr>
      <w:widowControl w:val="0"/>
      <w:spacing w:line="720" w:lineRule="auto"/>
      <w:jc w:val="both"/>
    </w:pPr>
    <w:rPr>
      <w:rFonts w:ascii="黑体"/>
      <w:color w:val="000000"/>
      <w:sz w:val="24"/>
      <w:szCs w:val="24"/>
    </w:rPr>
  </w:style>
  <w:style w:type="character" w:customStyle="1" w:styleId="527">
    <w:name w:val="正文文本 (9) + 间距 0 pt"/>
    <w:qFormat/>
    <w:uiPriority w:val="99"/>
    <w:rPr>
      <w:rFonts w:ascii="MingLiU" w:eastAsia="MingLiU" w:cs="MingLiU"/>
      <w:spacing w:val="10"/>
      <w:sz w:val="20"/>
      <w:szCs w:val="20"/>
      <w:u w:val="none"/>
      <w:shd w:val="clear" w:color="auto" w:fill="FFFFFF"/>
    </w:rPr>
  </w:style>
  <w:style w:type="character" w:customStyle="1" w:styleId="528">
    <w:name w:val="15"/>
    <w:qFormat/>
    <w:uiPriority w:val="0"/>
  </w:style>
  <w:style w:type="character" w:customStyle="1" w:styleId="529">
    <w:name w:val="表标题 Char Char"/>
    <w:link w:val="530"/>
    <w:qFormat/>
    <w:uiPriority w:val="0"/>
    <w:rPr>
      <w:rFonts w:ascii="Times New Roman" w:hAnsi="Times New Roman"/>
      <w:szCs w:val="24"/>
    </w:rPr>
  </w:style>
  <w:style w:type="paragraph" w:customStyle="1" w:styleId="530">
    <w:name w:val="表标题"/>
    <w:basedOn w:val="21"/>
    <w:link w:val="529"/>
    <w:qFormat/>
    <w:uiPriority w:val="0"/>
    <w:pPr>
      <w:tabs>
        <w:tab w:val="left" w:pos="360"/>
      </w:tabs>
      <w:topLinePunct w:val="0"/>
      <w:spacing w:line="240" w:lineRule="auto"/>
      <w:ind w:left="0" w:firstLine="0"/>
      <w:jc w:val="center"/>
    </w:pPr>
    <w:rPr>
      <w:rFonts w:ascii="Times New Roman" w:eastAsia="宋体"/>
      <w:kern w:val="0"/>
      <w:sz w:val="20"/>
      <w:szCs w:val="24"/>
    </w:rPr>
  </w:style>
  <w:style w:type="character" w:customStyle="1" w:styleId="531">
    <w:name w:val="Char Char20"/>
    <w:qFormat/>
    <w:uiPriority w:val="0"/>
    <w:rPr>
      <w:rFonts w:ascii="宋体" w:eastAsia="宋体"/>
      <w:color w:val="000000"/>
      <w:sz w:val="36"/>
      <w:lang w:val="en-US" w:eastAsia="zh-CN" w:bidi="ar-SA"/>
    </w:rPr>
  </w:style>
  <w:style w:type="character" w:customStyle="1" w:styleId="532">
    <w:name w:val="表1 Char Char"/>
    <w:link w:val="533"/>
    <w:qFormat/>
    <w:uiPriority w:val="0"/>
    <w:rPr>
      <w:rFonts w:ascii="Times New Roman" w:hAnsi="Times New Roman"/>
      <w:sz w:val="21"/>
    </w:rPr>
  </w:style>
  <w:style w:type="paragraph" w:customStyle="1" w:styleId="533">
    <w:name w:val="表1"/>
    <w:next w:val="1"/>
    <w:link w:val="532"/>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534">
    <w:name w:val="样式 小四 蓝色 首行缩进:  0.85 厘米 行距: 多倍行距 1.4 字行 Char Char"/>
    <w:link w:val="535"/>
    <w:qFormat/>
    <w:uiPriority w:val="0"/>
    <w:rPr>
      <w:color w:val="0000FF"/>
      <w:sz w:val="24"/>
    </w:rPr>
  </w:style>
  <w:style w:type="paragraph" w:customStyle="1" w:styleId="535">
    <w:name w:val="样式 小四 蓝色 首行缩进:  0.85 厘米 行距: 多倍行距 1.4 字行"/>
    <w:basedOn w:val="1"/>
    <w:link w:val="534"/>
    <w:qFormat/>
    <w:uiPriority w:val="0"/>
    <w:pPr>
      <w:widowControl w:val="0"/>
      <w:spacing w:line="336" w:lineRule="auto"/>
      <w:ind w:firstLine="482"/>
      <w:jc w:val="both"/>
    </w:pPr>
    <w:rPr>
      <w:rFonts w:ascii="Calibri" w:hAnsi="Calibri" w:cs="Times New Roman"/>
      <w:color w:val="0000FF"/>
      <w:szCs w:val="20"/>
    </w:rPr>
  </w:style>
  <w:style w:type="character" w:customStyle="1" w:styleId="536">
    <w:name w:val="注释标题 Char2"/>
    <w:semiHidden/>
    <w:qFormat/>
    <w:uiPriority w:val="99"/>
    <w:rPr>
      <w:rFonts w:ascii="Calibri" w:hAnsi="Calibri" w:eastAsia="宋体" w:cs="Times New Roman"/>
    </w:rPr>
  </w:style>
  <w:style w:type="character" w:customStyle="1" w:styleId="537">
    <w:name w:val="正文文本 (14)5"/>
    <w:qFormat/>
    <w:uiPriority w:val="0"/>
    <w:rPr>
      <w:rFonts w:ascii="宋体" w:eastAsia="宋体" w:cs="宋体"/>
      <w:sz w:val="10"/>
      <w:szCs w:val="10"/>
      <w:shd w:val="clear" w:color="auto" w:fill="FFFFFF"/>
    </w:rPr>
  </w:style>
  <w:style w:type="character" w:customStyle="1" w:styleId="538">
    <w:name w:val="Char Char191"/>
    <w:qFormat/>
    <w:uiPriority w:val="0"/>
    <w:rPr>
      <w:rFonts w:eastAsia="黑体"/>
      <w:kern w:val="2"/>
      <w:sz w:val="24"/>
      <w:szCs w:val="24"/>
      <w:lang w:val="en-US" w:eastAsia="zh-CN" w:bidi="ar-SA"/>
    </w:rPr>
  </w:style>
  <w:style w:type="character" w:customStyle="1" w:styleId="539">
    <w:name w:val="1正文段落 Char Char Char"/>
    <w:link w:val="540"/>
    <w:qFormat/>
    <w:uiPriority w:val="0"/>
    <w:rPr>
      <w:snapToGrid w:val="0"/>
      <w:kern w:val="2"/>
      <w:sz w:val="24"/>
      <w:szCs w:val="24"/>
    </w:rPr>
  </w:style>
  <w:style w:type="paragraph" w:customStyle="1" w:styleId="540">
    <w:name w:val="1正文段落 Char"/>
    <w:basedOn w:val="1"/>
    <w:link w:val="539"/>
    <w:qFormat/>
    <w:uiPriority w:val="0"/>
    <w:pPr>
      <w:widowControl w:val="0"/>
      <w:spacing w:line="360" w:lineRule="auto"/>
      <w:ind w:firstLine="200" w:firstLineChars="200"/>
    </w:pPr>
    <w:rPr>
      <w:rFonts w:ascii="Calibri" w:hAnsi="Calibri" w:cs="Times New Roman"/>
      <w:snapToGrid w:val="0"/>
      <w:kern w:val="2"/>
    </w:rPr>
  </w:style>
  <w:style w:type="character" w:customStyle="1" w:styleId="541">
    <w:name w:val="表 Char Char"/>
    <w:link w:val="542"/>
    <w:qFormat/>
    <w:locked/>
    <w:uiPriority w:val="0"/>
    <w:rPr>
      <w:rFonts w:ascii="Times New Roman" w:hAnsi="Times New Roman"/>
      <w:spacing w:val="2"/>
    </w:rPr>
  </w:style>
  <w:style w:type="paragraph" w:customStyle="1" w:styleId="542">
    <w:name w:val="表"/>
    <w:basedOn w:val="1"/>
    <w:link w:val="541"/>
    <w:qFormat/>
    <w:uiPriority w:val="0"/>
    <w:pPr>
      <w:widowControl w:val="0"/>
      <w:snapToGrid w:val="0"/>
      <w:jc w:val="center"/>
    </w:pPr>
    <w:rPr>
      <w:rFonts w:ascii="Times New Roman" w:hAnsi="Times New Roman" w:cs="Times New Roman"/>
      <w:spacing w:val="2"/>
      <w:sz w:val="20"/>
      <w:szCs w:val="20"/>
    </w:rPr>
  </w:style>
  <w:style w:type="character" w:customStyle="1" w:styleId="543">
    <w:name w:val="【标题3】 Char Char"/>
    <w:link w:val="544"/>
    <w:qFormat/>
    <w:uiPriority w:val="0"/>
    <w:rPr>
      <w:b/>
      <w:bCs/>
      <w:sz w:val="30"/>
    </w:rPr>
  </w:style>
  <w:style w:type="paragraph" w:customStyle="1" w:styleId="544">
    <w:name w:val="【标题3】"/>
    <w:basedOn w:val="7"/>
    <w:link w:val="543"/>
    <w:qFormat/>
    <w:uiPriority w:val="0"/>
    <w:pPr>
      <w:keepNext w:val="0"/>
      <w:widowControl w:val="0"/>
      <w:spacing w:before="240" w:after="240" w:line="240" w:lineRule="auto"/>
      <w:jc w:val="both"/>
    </w:pPr>
    <w:rPr>
      <w:rFonts w:ascii="Calibri" w:hAnsi="Calibri" w:eastAsia="宋体"/>
      <w:b/>
      <w:sz w:val="30"/>
      <w:szCs w:val="20"/>
    </w:rPr>
  </w:style>
  <w:style w:type="character" w:customStyle="1" w:styleId="545">
    <w:name w:val="批注文字 Char2"/>
    <w:qFormat/>
    <w:uiPriority w:val="99"/>
    <w:rPr>
      <w:rFonts w:ascii="Calibri" w:hAnsi="Calibri" w:eastAsia="宋体" w:cs="Times New Roman"/>
    </w:rPr>
  </w:style>
  <w:style w:type="character" w:customStyle="1" w:styleId="546">
    <w:name w:val="普通文字 Char Char Char Char3"/>
    <w:qFormat/>
    <w:uiPriority w:val="0"/>
    <w:rPr>
      <w:rFonts w:ascii="宋体" w:hAnsi="Courier New" w:eastAsia="宋体"/>
      <w:kern w:val="2"/>
      <w:sz w:val="28"/>
      <w:lang w:val="en-US" w:eastAsia="zh-CN" w:bidi="ar-SA"/>
    </w:rPr>
  </w:style>
  <w:style w:type="character" w:customStyle="1" w:styleId="547">
    <w:name w:val="表头 Char2"/>
    <w:qFormat/>
    <w:uiPriority w:val="0"/>
    <w:rPr>
      <w:rFonts w:ascii="黑体" w:eastAsia="黑体"/>
      <w:bCs/>
      <w:kern w:val="2"/>
      <w:sz w:val="21"/>
      <w:szCs w:val="24"/>
      <w:lang w:val="en-US" w:eastAsia="zh-CN" w:bidi="ar-SA"/>
    </w:rPr>
  </w:style>
  <w:style w:type="character" w:customStyle="1" w:styleId="548">
    <w:name w:val="Body text 1 Char Char Char"/>
    <w:qFormat/>
    <w:uiPriority w:val="0"/>
    <w:rPr>
      <w:snapToGrid/>
      <w:sz w:val="24"/>
      <w:szCs w:val="24"/>
      <w:lang w:eastAsia="zh-CN"/>
    </w:rPr>
  </w:style>
  <w:style w:type="character" w:customStyle="1" w:styleId="549">
    <w:name w:val="Char Char1"/>
    <w:qFormat/>
    <w:uiPriority w:val="0"/>
    <w:rPr>
      <w:rFonts w:eastAsia="宋体"/>
      <w:kern w:val="2"/>
      <w:sz w:val="21"/>
      <w:szCs w:val="24"/>
      <w:lang w:val="en-US" w:eastAsia="zh-CN" w:bidi="ar-SA"/>
    </w:rPr>
  </w:style>
  <w:style w:type="character" w:customStyle="1" w:styleId="550">
    <w:name w:val="txt"/>
    <w:qFormat/>
    <w:uiPriority w:val="0"/>
  </w:style>
  <w:style w:type="character" w:customStyle="1" w:styleId="551">
    <w:name w:val="Char Char11"/>
    <w:qFormat/>
    <w:uiPriority w:val="0"/>
    <w:rPr>
      <w:rFonts w:ascii="Calibri" w:hAnsi="Calibri" w:eastAsia="宋体"/>
      <w:kern w:val="2"/>
      <w:sz w:val="18"/>
      <w:szCs w:val="18"/>
      <w:lang w:val="en-US" w:eastAsia="zh-CN" w:bidi="ar-SA"/>
    </w:rPr>
  </w:style>
  <w:style w:type="character" w:customStyle="1" w:styleId="552">
    <w:name w:val="表内文字 Char Char"/>
    <w:qFormat/>
    <w:uiPriority w:val="0"/>
    <w:rPr>
      <w:rFonts w:ascii="宋体" w:hAnsi="Courier New" w:eastAsia="宋体" w:cs="Courier New"/>
      <w:kern w:val="2"/>
      <w:sz w:val="21"/>
      <w:szCs w:val="21"/>
      <w:lang w:val="en-US" w:eastAsia="zh-CN" w:bidi="ar-SA"/>
    </w:rPr>
  </w:style>
  <w:style w:type="character" w:customStyle="1" w:styleId="553">
    <w:name w:val="14p"/>
    <w:qFormat/>
    <w:uiPriority w:val="0"/>
  </w:style>
  <w:style w:type="character" w:customStyle="1" w:styleId="554">
    <w:name w:val="结束语 Char1"/>
    <w:semiHidden/>
    <w:qFormat/>
    <w:uiPriority w:val="99"/>
    <w:rPr>
      <w:rFonts w:ascii="Calibri" w:hAnsi="Calibri" w:eastAsia="宋体" w:cs="Times New Roman"/>
    </w:rPr>
  </w:style>
  <w:style w:type="character" w:customStyle="1" w:styleId="555">
    <w:name w:val="apple-converted-space"/>
    <w:qFormat/>
    <w:uiPriority w:val="0"/>
  </w:style>
  <w:style w:type="character" w:customStyle="1" w:styleId="556">
    <w:name w:val="副标题 Char1"/>
    <w:qFormat/>
    <w:uiPriority w:val="0"/>
    <w:rPr>
      <w:rFonts w:ascii="Cambria" w:hAnsi="Cambria" w:eastAsia="宋体" w:cs="Times New Roman"/>
      <w:b/>
      <w:bCs/>
      <w:kern w:val="28"/>
      <w:sz w:val="32"/>
      <w:szCs w:val="32"/>
    </w:rPr>
  </w:style>
  <w:style w:type="character" w:customStyle="1" w:styleId="557">
    <w:name w:val="H4 Char2"/>
    <w:qFormat/>
    <w:uiPriority w:val="0"/>
    <w:rPr>
      <w:rFonts w:ascii="Times New Roman" w:hAnsi="Times New Roman"/>
      <w:b/>
      <w:bCs/>
      <w:kern w:val="2"/>
      <w:sz w:val="24"/>
      <w:szCs w:val="28"/>
    </w:rPr>
  </w:style>
  <w:style w:type="character" w:customStyle="1" w:styleId="558">
    <w:name w:val="表头 + 居中 Char Char"/>
    <w:link w:val="559"/>
    <w:qFormat/>
    <w:uiPriority w:val="0"/>
    <w:rPr>
      <w:rFonts w:ascii="Arial" w:hAnsi="Arial" w:eastAsia="黑体"/>
      <w:szCs w:val="21"/>
    </w:rPr>
  </w:style>
  <w:style w:type="paragraph" w:customStyle="1" w:styleId="559">
    <w:name w:val="表头 + 居中"/>
    <w:basedOn w:val="1"/>
    <w:next w:val="1"/>
    <w:link w:val="558"/>
    <w:qFormat/>
    <w:uiPriority w:val="0"/>
    <w:pPr>
      <w:keepNext/>
      <w:keepLines/>
      <w:widowControl w:val="0"/>
      <w:spacing w:beforeLines="50" w:afterLines="50"/>
      <w:jc w:val="center"/>
    </w:pPr>
    <w:rPr>
      <w:rFonts w:ascii="Arial" w:hAnsi="Arial" w:eastAsia="黑体" w:cs="Times New Roman"/>
      <w:sz w:val="20"/>
      <w:szCs w:val="21"/>
    </w:rPr>
  </w:style>
  <w:style w:type="character" w:customStyle="1" w:styleId="560">
    <w:name w:val="表文字居中 Char Char"/>
    <w:link w:val="561"/>
    <w:qFormat/>
    <w:uiPriority w:val="0"/>
    <w:rPr>
      <w:rFonts w:ascii="Arial" w:hAnsi="Arial" w:eastAsia="Times New Roman"/>
      <w:kern w:val="2"/>
      <w:sz w:val="21"/>
      <w:szCs w:val="24"/>
    </w:rPr>
  </w:style>
  <w:style w:type="paragraph" w:customStyle="1" w:styleId="561">
    <w:name w:val="表文字居中"/>
    <w:link w:val="560"/>
    <w:qFormat/>
    <w:uiPriority w:val="0"/>
    <w:pPr>
      <w:adjustRightInd w:val="0"/>
      <w:spacing w:line="360" w:lineRule="auto"/>
      <w:jc w:val="center"/>
    </w:pPr>
    <w:rPr>
      <w:rFonts w:ascii="Arial" w:hAnsi="Arial" w:eastAsia="Times New Roman" w:cs="Times New Roman"/>
      <w:kern w:val="2"/>
      <w:sz w:val="21"/>
      <w:szCs w:val="24"/>
      <w:lang w:val="en-US" w:eastAsia="zh-CN" w:bidi="ar-SA"/>
    </w:rPr>
  </w:style>
  <w:style w:type="character" w:customStyle="1" w:styleId="562">
    <w:name w:val="标题 Char2"/>
    <w:qFormat/>
    <w:uiPriority w:val="0"/>
    <w:rPr>
      <w:rFonts w:ascii="Cambria" w:hAnsi="Cambria" w:eastAsia="宋体" w:cs="Times New Roman"/>
      <w:b/>
      <w:bCs/>
      <w:sz w:val="32"/>
      <w:szCs w:val="32"/>
    </w:rPr>
  </w:style>
  <w:style w:type="character" w:customStyle="1" w:styleId="563">
    <w:name w:val="表格文字居中 Char1"/>
    <w:link w:val="564"/>
    <w:qFormat/>
    <w:locked/>
    <w:uiPriority w:val="0"/>
    <w:rPr>
      <w:rFonts w:ascii="Times New Roman" w:hAnsi="宋体"/>
      <w:szCs w:val="21"/>
    </w:rPr>
  </w:style>
  <w:style w:type="paragraph" w:customStyle="1" w:styleId="564">
    <w:name w:val="表格文字居中"/>
    <w:basedOn w:val="1"/>
    <w:link w:val="563"/>
    <w:qFormat/>
    <w:uiPriority w:val="0"/>
    <w:pPr>
      <w:widowControl w:val="0"/>
      <w:adjustRightInd w:val="0"/>
      <w:snapToGrid w:val="0"/>
      <w:spacing w:line="320" w:lineRule="exact"/>
      <w:jc w:val="center"/>
    </w:pPr>
    <w:rPr>
      <w:rFonts w:ascii="Times New Roman" w:cs="Times New Roman"/>
      <w:sz w:val="20"/>
      <w:szCs w:val="21"/>
    </w:rPr>
  </w:style>
  <w:style w:type="character" w:customStyle="1" w:styleId="565">
    <w:name w:val="text121"/>
    <w:qFormat/>
    <w:uiPriority w:val="0"/>
    <w:rPr>
      <w:color w:val="333333"/>
      <w:sz w:val="18"/>
      <w:szCs w:val="18"/>
    </w:rPr>
  </w:style>
  <w:style w:type="character" w:customStyle="1" w:styleId="566">
    <w:name w:val="标题 3 Char Char"/>
    <w:qFormat/>
    <w:uiPriority w:val="0"/>
    <w:rPr>
      <w:rFonts w:ascii="仿宋_GB2312" w:eastAsia="仿宋_GB2312"/>
      <w:b/>
      <w:spacing w:val="-2"/>
      <w:kern w:val="2"/>
      <w:sz w:val="28"/>
      <w:szCs w:val="24"/>
      <w:lang w:val="en-US" w:eastAsia="zh-CN" w:bidi="ar-SA"/>
    </w:rPr>
  </w:style>
  <w:style w:type="character" w:customStyle="1" w:styleId="567">
    <w:name w:val="正文 + 首行缩进:  2 字符 Char1"/>
    <w:qFormat/>
    <w:uiPriority w:val="0"/>
    <w:rPr>
      <w:rFonts w:eastAsia="宋体" w:cs="宋体"/>
      <w:color w:val="000000"/>
      <w:kern w:val="2"/>
      <w:sz w:val="24"/>
      <w:lang w:val="en-US" w:eastAsia="zh-CN" w:bidi="ar-SA"/>
    </w:rPr>
  </w:style>
  <w:style w:type="character" w:customStyle="1" w:styleId="568">
    <w:name w:val="正式 Char Char"/>
    <w:link w:val="569"/>
    <w:semiHidden/>
    <w:qFormat/>
    <w:uiPriority w:val="0"/>
    <w:rPr>
      <w:rFonts w:ascii="Times New Roman" w:hAnsi="宋体"/>
      <w:spacing w:val="6"/>
      <w:sz w:val="24"/>
      <w:szCs w:val="21"/>
    </w:rPr>
  </w:style>
  <w:style w:type="paragraph" w:customStyle="1" w:styleId="569">
    <w:name w:val="正式"/>
    <w:basedOn w:val="1"/>
    <w:link w:val="568"/>
    <w:semiHidden/>
    <w:qFormat/>
    <w:uiPriority w:val="0"/>
    <w:pPr>
      <w:widowControl w:val="0"/>
      <w:spacing w:beforeLines="50" w:line="420" w:lineRule="auto"/>
      <w:ind w:firstLine="200" w:firstLineChars="200"/>
      <w:jc w:val="both"/>
    </w:pPr>
    <w:rPr>
      <w:rFonts w:ascii="Times New Roman" w:cs="Times New Roman"/>
      <w:spacing w:val="6"/>
      <w:szCs w:val="21"/>
    </w:rPr>
  </w:style>
  <w:style w:type="character" w:customStyle="1" w:styleId="570">
    <w:name w:val="Char Char231"/>
    <w:qFormat/>
    <w:uiPriority w:val="0"/>
    <w:rPr>
      <w:rFonts w:eastAsia="黑体"/>
      <w:kern w:val="2"/>
      <w:sz w:val="24"/>
      <w:szCs w:val="24"/>
      <w:lang w:val="en-US" w:eastAsia="zh-CN" w:bidi="ar-SA"/>
    </w:rPr>
  </w:style>
  <w:style w:type="character" w:customStyle="1" w:styleId="571">
    <w:name w:val="fs"/>
    <w:qFormat/>
    <w:uiPriority w:val="0"/>
  </w:style>
  <w:style w:type="character" w:customStyle="1" w:styleId="572">
    <w:name w:val="正文11 Char"/>
    <w:qFormat/>
    <w:uiPriority w:val="0"/>
    <w:rPr>
      <w:rFonts w:ascii="宋体" w:hAnsi="宋体" w:eastAsia="仿宋_GB2312"/>
      <w:snapToGrid w:val="0"/>
      <w:sz w:val="24"/>
      <w:szCs w:val="24"/>
    </w:rPr>
  </w:style>
  <w:style w:type="character" w:customStyle="1" w:styleId="573">
    <w:name w:val="pt9"/>
    <w:qFormat/>
    <w:uiPriority w:val="0"/>
  </w:style>
  <w:style w:type="character" w:customStyle="1" w:styleId="574">
    <w:name w:val="Char Char15"/>
    <w:link w:val="575"/>
    <w:qFormat/>
    <w:uiPriority w:val="0"/>
    <w:rPr>
      <w:sz w:val="24"/>
    </w:rPr>
  </w:style>
  <w:style w:type="paragraph" w:customStyle="1" w:styleId="575">
    <w:name w:val="正文文本11"/>
    <w:basedOn w:val="1"/>
    <w:link w:val="574"/>
    <w:qFormat/>
    <w:uiPriority w:val="0"/>
    <w:pPr>
      <w:widowControl w:val="0"/>
      <w:spacing w:line="240" w:lineRule="atLeast"/>
      <w:jc w:val="center"/>
    </w:pPr>
    <w:rPr>
      <w:rFonts w:ascii="Calibri" w:hAnsi="Calibri" w:cs="Times New Roman"/>
      <w:szCs w:val="20"/>
    </w:rPr>
  </w:style>
  <w:style w:type="character" w:customStyle="1" w:styleId="576">
    <w:name w:val="项标题(1) Char Char"/>
    <w:qFormat/>
    <w:uiPriority w:val="0"/>
    <w:rPr>
      <w:rFonts w:eastAsia="宋体"/>
      <w:sz w:val="24"/>
      <w:lang w:val="en-US" w:eastAsia="zh-CN" w:bidi="ar-SA"/>
    </w:rPr>
  </w:style>
  <w:style w:type="character" w:customStyle="1" w:styleId="577">
    <w:name w:val="表5.6 Char Char"/>
    <w:link w:val="578"/>
    <w:qFormat/>
    <w:uiPriority w:val="0"/>
    <w:rPr>
      <w:rFonts w:ascii="黑体" w:hAnsi="Times New Roman" w:eastAsia="黑体"/>
      <w:b/>
      <w:bCs/>
      <w:color w:val="FF0000"/>
      <w:sz w:val="24"/>
      <w:szCs w:val="24"/>
    </w:rPr>
  </w:style>
  <w:style w:type="paragraph" w:customStyle="1" w:styleId="578">
    <w:name w:val="表5.6"/>
    <w:basedOn w:val="579"/>
    <w:link w:val="577"/>
    <w:qFormat/>
    <w:uiPriority w:val="0"/>
    <w:pPr>
      <w:tabs>
        <w:tab w:val="left" w:pos="360"/>
        <w:tab w:val="left" w:pos="720"/>
        <w:tab w:val="left" w:pos="726"/>
        <w:tab w:val="left" w:pos="1080"/>
        <w:tab w:val="center" w:pos="4060"/>
        <w:tab w:val="right" w:pos="8261"/>
      </w:tabs>
      <w:ind w:left="720" w:hanging="720" w:hangingChars="200"/>
    </w:pPr>
    <w:rPr>
      <w:bCs/>
      <w:color w:val="FF0000"/>
      <w:szCs w:val="24"/>
    </w:rPr>
  </w:style>
  <w:style w:type="paragraph" w:customStyle="1" w:styleId="579">
    <w:name w:val="表2.1"/>
    <w:basedOn w:val="1"/>
    <w:link w:val="580"/>
    <w:qFormat/>
    <w:uiPriority w:val="0"/>
    <w:pPr>
      <w:widowControl w:val="0"/>
      <w:tabs>
        <w:tab w:val="left" w:pos="1080"/>
        <w:tab w:val="center" w:pos="4060"/>
        <w:tab w:val="right" w:pos="8261"/>
      </w:tabs>
      <w:suppressAutoHyphens/>
      <w:adjustRightInd w:val="0"/>
      <w:spacing w:before="240" w:line="0" w:lineRule="atLeast"/>
      <w:ind w:left="420" w:hanging="420"/>
      <w:jc w:val="both"/>
    </w:pPr>
    <w:rPr>
      <w:rFonts w:ascii="黑体" w:hAnsi="Times New Roman" w:eastAsia="黑体" w:cs="Times New Roman"/>
      <w:b/>
      <w:szCs w:val="26"/>
    </w:rPr>
  </w:style>
  <w:style w:type="character" w:customStyle="1" w:styleId="580">
    <w:name w:val="表2.1 Char Char"/>
    <w:link w:val="579"/>
    <w:qFormat/>
    <w:uiPriority w:val="0"/>
    <w:rPr>
      <w:rFonts w:ascii="黑体" w:hAnsi="Times New Roman" w:eastAsia="黑体"/>
      <w:b/>
      <w:sz w:val="24"/>
      <w:szCs w:val="26"/>
    </w:rPr>
  </w:style>
  <w:style w:type="character" w:customStyle="1" w:styleId="581">
    <w:name w:val="Char Char111"/>
    <w:qFormat/>
    <w:uiPriority w:val="0"/>
    <w:rPr>
      <w:rFonts w:ascii="宋体" w:eastAsia="宋体"/>
      <w:color w:val="000000"/>
      <w:sz w:val="36"/>
      <w:lang w:val="en-US" w:eastAsia="zh-CN" w:bidi="ar-SA"/>
    </w:rPr>
  </w:style>
  <w:style w:type="character" w:customStyle="1" w:styleId="582">
    <w:name w:val="font51"/>
    <w:qFormat/>
    <w:uiPriority w:val="0"/>
    <w:rPr>
      <w:rFonts w:hint="default" w:ascii="Times New Roman" w:hAnsi="Times New Roman" w:cs="Times New Roman"/>
      <w:b/>
      <w:bCs/>
      <w:color w:val="000000"/>
      <w:sz w:val="18"/>
      <w:szCs w:val="18"/>
      <w:u w:val="none"/>
    </w:rPr>
  </w:style>
  <w:style w:type="character" w:customStyle="1" w:styleId="583">
    <w:name w:val="highlight1"/>
    <w:qFormat/>
    <w:uiPriority w:val="0"/>
    <w:rPr>
      <w:sz w:val="21"/>
      <w:szCs w:val="21"/>
    </w:rPr>
  </w:style>
  <w:style w:type="character" w:customStyle="1" w:styleId="584">
    <w:name w:val="正文 Char Char"/>
    <w:qFormat/>
    <w:uiPriority w:val="0"/>
    <w:rPr>
      <w:rFonts w:ascii="Times New Roman" w:hAnsi="Times New Roman" w:eastAsia="宋体" w:cs="Times New Roman"/>
      <w:snapToGrid w:val="0"/>
      <w:kern w:val="0"/>
      <w:sz w:val="24"/>
      <w:szCs w:val="24"/>
      <w:lang w:val="en-US" w:eastAsia="zh-CN" w:bidi="ar-SA"/>
    </w:rPr>
  </w:style>
  <w:style w:type="character" w:customStyle="1" w:styleId="585">
    <w:name w:val="正文文本 3 Char1"/>
    <w:qFormat/>
    <w:uiPriority w:val="99"/>
    <w:rPr>
      <w:rFonts w:ascii="Calibri" w:hAnsi="Calibri" w:eastAsia="宋体" w:cs="Times New Roman"/>
      <w:sz w:val="16"/>
      <w:szCs w:val="16"/>
    </w:rPr>
  </w:style>
  <w:style w:type="character" w:customStyle="1" w:styleId="586">
    <w:name w:val="正文文本 (2) + 10 pt9"/>
    <w:qFormat/>
    <w:uiPriority w:val="99"/>
    <w:rPr>
      <w:rFonts w:ascii="MingLiU" w:eastAsia="MingLiU" w:cs="MingLiU"/>
      <w:spacing w:val="20"/>
      <w:sz w:val="20"/>
      <w:szCs w:val="20"/>
      <w:u w:val="none"/>
      <w:shd w:val="clear" w:color="auto" w:fill="FFFFFF"/>
    </w:rPr>
  </w:style>
  <w:style w:type="character" w:customStyle="1" w:styleId="587">
    <w:name w:val="扬巴正文 Char Char"/>
    <w:link w:val="588"/>
    <w:semiHidden/>
    <w:qFormat/>
    <w:uiPriority w:val="0"/>
    <w:rPr>
      <w:rFonts w:ascii="Times New Roman" w:hAnsi="Times New Roman"/>
      <w:sz w:val="24"/>
      <w:szCs w:val="24"/>
    </w:rPr>
  </w:style>
  <w:style w:type="paragraph" w:customStyle="1" w:styleId="588">
    <w:name w:val="扬巴正文"/>
    <w:basedOn w:val="1"/>
    <w:link w:val="587"/>
    <w:semiHidden/>
    <w:qFormat/>
    <w:uiPriority w:val="0"/>
    <w:pPr>
      <w:widowControl w:val="0"/>
      <w:adjustRightInd w:val="0"/>
      <w:snapToGrid w:val="0"/>
      <w:spacing w:line="360" w:lineRule="auto"/>
      <w:ind w:firstLine="200" w:firstLineChars="200"/>
      <w:jc w:val="both"/>
    </w:pPr>
    <w:rPr>
      <w:rFonts w:ascii="Times New Roman" w:hAnsi="Times New Roman" w:cs="Times New Roman"/>
    </w:rPr>
  </w:style>
  <w:style w:type="character" w:customStyle="1" w:styleId="589">
    <w:name w:val="style21"/>
    <w:qFormat/>
    <w:uiPriority w:val="0"/>
    <w:rPr>
      <w:rFonts w:hint="default" w:ascii="Arial" w:hAnsi="Arial" w:cs="Arial"/>
      <w:color w:val="000000"/>
      <w:sz w:val="18"/>
      <w:szCs w:val="18"/>
    </w:rPr>
  </w:style>
  <w:style w:type="character" w:customStyle="1" w:styleId="590">
    <w:name w:val="c-font-big"/>
    <w:qFormat/>
    <w:uiPriority w:val="0"/>
  </w:style>
  <w:style w:type="character" w:customStyle="1" w:styleId="591">
    <w:name w:val="Char12"/>
    <w:qFormat/>
    <w:uiPriority w:val="0"/>
    <w:rPr>
      <w:rFonts w:hint="default" w:ascii="Arial" w:hAnsi="Arial" w:eastAsia="黑体" w:cs="Arial"/>
      <w:b/>
      <w:kern w:val="2"/>
      <w:sz w:val="32"/>
      <w:szCs w:val="24"/>
      <w:lang w:val="en-US" w:eastAsia="zh-CN" w:bidi="ar-SA"/>
    </w:rPr>
  </w:style>
  <w:style w:type="character" w:customStyle="1" w:styleId="592">
    <w:name w:val="样式 表格文字居中 Char + 五号 黑色1"/>
    <w:qFormat/>
    <w:uiPriority w:val="0"/>
    <w:rPr>
      <w:rFonts w:ascii="宋体" w:hAnsi="宋体" w:eastAsia="宋体" w:cs="宋体"/>
      <w:color w:val="000000"/>
      <w:kern w:val="2"/>
      <w:sz w:val="24"/>
      <w:szCs w:val="24"/>
      <w:lang w:val="en-US" w:eastAsia="zh-CN" w:bidi="ar-SA"/>
    </w:rPr>
  </w:style>
  <w:style w:type="character" w:customStyle="1" w:styleId="593">
    <w:name w:val="正文文本 (2) + 10 pt14"/>
    <w:qFormat/>
    <w:uiPriority w:val="99"/>
    <w:rPr>
      <w:rFonts w:ascii="MingLiU" w:eastAsia="MingLiU" w:cs="MingLiU"/>
      <w:spacing w:val="-20"/>
      <w:sz w:val="20"/>
      <w:szCs w:val="20"/>
      <w:u w:val="none"/>
      <w:shd w:val="clear" w:color="auto" w:fill="FFFFFF"/>
      <w:lang w:val="en-US" w:eastAsia="en-US"/>
    </w:rPr>
  </w:style>
  <w:style w:type="character" w:customStyle="1" w:styleId="594">
    <w:name w:val="普通文字 Char Char Char Char2"/>
    <w:qFormat/>
    <w:uiPriority w:val="0"/>
    <w:rPr>
      <w:rFonts w:ascii="宋体" w:hAnsi="Courier New" w:eastAsia="宋体"/>
      <w:kern w:val="2"/>
      <w:sz w:val="28"/>
      <w:lang w:val="en-US" w:eastAsia="zh-CN" w:bidi="ar-SA"/>
    </w:rPr>
  </w:style>
  <w:style w:type="character" w:customStyle="1" w:styleId="595">
    <w:name w:val="正文首行缩进 2 Char1"/>
    <w:qFormat/>
    <w:uiPriority w:val="99"/>
    <w:rPr>
      <w:rFonts w:ascii="Times New Roman" w:hAnsi="Times New Roman" w:eastAsia="宋体" w:cs="Times New Roman"/>
      <w:szCs w:val="24"/>
    </w:rPr>
  </w:style>
  <w:style w:type="character" w:customStyle="1" w:styleId="596">
    <w:name w:val="Body text 1 Char Char"/>
    <w:link w:val="597"/>
    <w:qFormat/>
    <w:uiPriority w:val="0"/>
    <w:rPr>
      <w:rFonts w:ascii="Times New Roman" w:hAnsi="Times New Roman"/>
      <w:snapToGrid w:val="0"/>
      <w:sz w:val="24"/>
      <w:szCs w:val="24"/>
    </w:rPr>
  </w:style>
  <w:style w:type="paragraph" w:customStyle="1" w:styleId="597">
    <w:name w:val="Body text 1"/>
    <w:basedOn w:val="227"/>
    <w:link w:val="596"/>
    <w:qFormat/>
    <w:uiPriority w:val="0"/>
    <w:pPr>
      <w:tabs>
        <w:tab w:val="clear" w:pos="567"/>
      </w:tabs>
      <w:spacing w:line="360" w:lineRule="auto"/>
      <w:ind w:left="0" w:firstLine="475"/>
    </w:pPr>
    <w:rPr>
      <w:rFonts w:ascii="Times New Roman"/>
      <w:snapToGrid w:val="0"/>
      <w:kern w:val="0"/>
      <w:szCs w:val="24"/>
    </w:rPr>
  </w:style>
  <w:style w:type="character" w:customStyle="1" w:styleId="598">
    <w:name w:val="公式、图------------- Char Char"/>
    <w:link w:val="599"/>
    <w:qFormat/>
    <w:uiPriority w:val="0"/>
    <w:rPr>
      <w:spacing w:val="16"/>
      <w:sz w:val="24"/>
    </w:rPr>
  </w:style>
  <w:style w:type="paragraph" w:customStyle="1" w:styleId="599">
    <w:name w:val="公式、图-------------"/>
    <w:basedOn w:val="1"/>
    <w:link w:val="598"/>
    <w:qFormat/>
    <w:uiPriority w:val="0"/>
    <w:pPr>
      <w:widowControl w:val="0"/>
      <w:jc w:val="center"/>
      <w:textAlignment w:val="center"/>
    </w:pPr>
    <w:rPr>
      <w:rFonts w:ascii="Calibri" w:hAnsi="Calibri" w:cs="Times New Roman"/>
      <w:spacing w:val="16"/>
      <w:szCs w:val="20"/>
    </w:rPr>
  </w:style>
  <w:style w:type="character" w:customStyle="1" w:styleId="600">
    <w:name w:val="style6"/>
    <w:qFormat/>
    <w:uiPriority w:val="0"/>
  </w:style>
  <w:style w:type="character" w:customStyle="1" w:styleId="601">
    <w:name w:val="Char Char201"/>
    <w:qFormat/>
    <w:uiPriority w:val="0"/>
    <w:rPr>
      <w:rFonts w:ascii="宋体" w:eastAsia="宋体"/>
      <w:color w:val="000000"/>
      <w:sz w:val="36"/>
      <w:lang w:val="en-US" w:eastAsia="zh-CN" w:bidi="ar-SA"/>
    </w:rPr>
  </w:style>
  <w:style w:type="character" w:styleId="602">
    <w:name w:val="Placeholder Text"/>
    <w:semiHidden/>
    <w:qFormat/>
    <w:uiPriority w:val="99"/>
    <w:rPr>
      <w:color w:val="808080"/>
    </w:rPr>
  </w:style>
  <w:style w:type="character" w:customStyle="1" w:styleId="603">
    <w:name w:val="公式 Char"/>
    <w:link w:val="604"/>
    <w:qFormat/>
    <w:uiPriority w:val="0"/>
    <w:rPr>
      <w:rFonts w:ascii="Times New Roman" w:hAnsi="Times New Roman"/>
      <w:color w:val="000000"/>
      <w:spacing w:val="-8"/>
      <w:kern w:val="2"/>
      <w:sz w:val="18"/>
      <w:szCs w:val="24"/>
    </w:rPr>
  </w:style>
  <w:style w:type="paragraph" w:customStyle="1" w:styleId="604">
    <w:name w:val="公式"/>
    <w:basedOn w:val="1"/>
    <w:next w:val="1"/>
    <w:link w:val="603"/>
    <w:qFormat/>
    <w:uiPriority w:val="0"/>
    <w:pPr>
      <w:widowControl w:val="0"/>
      <w:ind w:left="-2" w:leftChars="-5" w:hanging="8" w:hangingChars="5"/>
      <w:jc w:val="center"/>
    </w:pPr>
    <w:rPr>
      <w:rFonts w:ascii="Times New Roman" w:hAnsi="Times New Roman" w:cs="Times New Roman"/>
      <w:color w:val="000000"/>
      <w:spacing w:val="-8"/>
      <w:kern w:val="2"/>
      <w:sz w:val="18"/>
    </w:rPr>
  </w:style>
  <w:style w:type="character" w:customStyle="1" w:styleId="605">
    <w:name w:val="标题 7 Char1"/>
    <w:qFormat/>
    <w:uiPriority w:val="0"/>
    <w:rPr>
      <w:rFonts w:ascii="Calibri" w:hAnsi="Calibri" w:eastAsia="宋体"/>
      <w:b/>
      <w:color w:val="000000"/>
      <w:kern w:val="28"/>
      <w:sz w:val="24"/>
      <w:lang w:bidi="ar-SA"/>
    </w:rPr>
  </w:style>
  <w:style w:type="character" w:customStyle="1" w:styleId="606">
    <w:name w:val="文档结构图 Char2"/>
    <w:qFormat/>
    <w:uiPriority w:val="99"/>
    <w:rPr>
      <w:rFonts w:ascii="宋体" w:hAnsi="Calibri" w:eastAsia="宋体" w:cs="Times New Roman"/>
      <w:sz w:val="18"/>
      <w:szCs w:val="18"/>
    </w:rPr>
  </w:style>
  <w:style w:type="character" w:customStyle="1" w:styleId="607">
    <w:name w:val="z-窗体顶端 Char"/>
    <w:link w:val="608"/>
    <w:qFormat/>
    <w:uiPriority w:val="0"/>
    <w:rPr>
      <w:rFonts w:ascii="Arial" w:hAnsi="Arial" w:cs="Arial"/>
      <w:vanish/>
      <w:sz w:val="16"/>
      <w:szCs w:val="16"/>
    </w:rPr>
  </w:style>
  <w:style w:type="paragraph" w:customStyle="1" w:styleId="608">
    <w:name w:val="z-窗体顶端1"/>
    <w:basedOn w:val="1"/>
    <w:next w:val="1"/>
    <w:link w:val="607"/>
    <w:qFormat/>
    <w:uiPriority w:val="0"/>
    <w:pPr>
      <w:pBdr>
        <w:bottom w:val="single" w:color="auto" w:sz="6" w:space="1"/>
      </w:pBdr>
      <w:jc w:val="center"/>
    </w:pPr>
    <w:rPr>
      <w:rFonts w:ascii="Arial" w:hAnsi="Arial" w:cs="Arial"/>
      <w:vanish/>
      <w:sz w:val="16"/>
      <w:szCs w:val="16"/>
    </w:rPr>
  </w:style>
  <w:style w:type="character" w:customStyle="1" w:styleId="609">
    <w:name w:val="z-窗体底端 Char"/>
    <w:link w:val="610"/>
    <w:qFormat/>
    <w:uiPriority w:val="0"/>
    <w:rPr>
      <w:rFonts w:ascii="Arial" w:hAnsi="Arial" w:cs="Arial"/>
      <w:vanish/>
      <w:sz w:val="16"/>
      <w:szCs w:val="16"/>
    </w:rPr>
  </w:style>
  <w:style w:type="paragraph" w:customStyle="1" w:styleId="610">
    <w:name w:val="z-窗体底端1"/>
    <w:basedOn w:val="1"/>
    <w:next w:val="1"/>
    <w:link w:val="609"/>
    <w:qFormat/>
    <w:uiPriority w:val="0"/>
    <w:pPr>
      <w:pBdr>
        <w:top w:val="single" w:color="auto" w:sz="6" w:space="1"/>
      </w:pBdr>
      <w:jc w:val="center"/>
    </w:pPr>
    <w:rPr>
      <w:rFonts w:ascii="Arial" w:hAnsi="Arial" w:cs="Arial"/>
      <w:vanish/>
      <w:sz w:val="16"/>
      <w:szCs w:val="16"/>
    </w:rPr>
  </w:style>
  <w:style w:type="character" w:customStyle="1" w:styleId="611">
    <w:name w:val="c1"/>
    <w:qFormat/>
    <w:uiPriority w:val="0"/>
    <w:rPr>
      <w:rFonts w:hint="default" w:ascii="ˎ̥" w:hAnsi="ˎ̥"/>
      <w:color w:val="000000"/>
      <w:sz w:val="21"/>
      <w:szCs w:val="21"/>
      <w:u w:val="none"/>
    </w:rPr>
  </w:style>
  <w:style w:type="character" w:customStyle="1" w:styleId="612">
    <w:name w:val="0031"/>
    <w:qFormat/>
    <w:uiPriority w:val="0"/>
    <w:rPr>
      <w:sz w:val="21"/>
      <w:szCs w:val="21"/>
    </w:rPr>
  </w:style>
  <w:style w:type="character" w:customStyle="1" w:styleId="613">
    <w:name w:val="Char Char16"/>
    <w:qFormat/>
    <w:uiPriority w:val="0"/>
    <w:rPr>
      <w:rFonts w:ascii="黑体" w:hAnsi="宋体" w:eastAsia="黑体"/>
      <w:b/>
      <w:kern w:val="16"/>
      <w:sz w:val="28"/>
      <w:szCs w:val="28"/>
      <w:lang w:val="en-US" w:eastAsia="zh-CN" w:bidi="ar-SA"/>
    </w:rPr>
  </w:style>
  <w:style w:type="character" w:customStyle="1" w:styleId="614">
    <w:name w:val="页脚1 Char"/>
    <w:qFormat/>
    <w:uiPriority w:val="0"/>
    <w:rPr>
      <w:rFonts w:eastAsia="宋体"/>
      <w:kern w:val="2"/>
      <w:sz w:val="18"/>
      <w:szCs w:val="18"/>
      <w:lang w:val="en-US" w:eastAsia="zh-CN" w:bidi="ar-SA"/>
    </w:rPr>
  </w:style>
  <w:style w:type="character" w:customStyle="1" w:styleId="615">
    <w:name w:val="cucd-0 Char1"/>
    <w:link w:val="616"/>
    <w:qFormat/>
    <w:uiPriority w:val="0"/>
    <w:rPr>
      <w:kern w:val="2"/>
      <w:sz w:val="24"/>
      <w:szCs w:val="24"/>
    </w:rPr>
  </w:style>
  <w:style w:type="paragraph" w:customStyle="1" w:styleId="616">
    <w:name w:val="cucd-0"/>
    <w:link w:val="615"/>
    <w:qFormat/>
    <w:uiPriority w:val="0"/>
    <w:pPr>
      <w:spacing w:line="360" w:lineRule="auto"/>
      <w:ind w:firstLine="480" w:firstLineChars="200"/>
    </w:pPr>
    <w:rPr>
      <w:rFonts w:ascii="Calibri" w:hAnsi="Calibri" w:eastAsia="宋体" w:cs="Times New Roman"/>
      <w:kern w:val="2"/>
      <w:sz w:val="24"/>
      <w:szCs w:val="24"/>
      <w:lang w:val="en-US" w:eastAsia="zh-CN" w:bidi="ar-SA"/>
    </w:rPr>
  </w:style>
  <w:style w:type="character" w:customStyle="1" w:styleId="617">
    <w:name w:val="报告正文 Char Char"/>
    <w:link w:val="618"/>
    <w:qFormat/>
    <w:uiPriority w:val="0"/>
    <w:rPr>
      <w:rFonts w:ascii="Times New Roman" w:hAnsi="Times New Roman"/>
      <w:color w:val="000000"/>
      <w:kern w:val="2"/>
      <w:sz w:val="24"/>
    </w:rPr>
  </w:style>
  <w:style w:type="paragraph" w:customStyle="1" w:styleId="618">
    <w:name w:val="报告正文"/>
    <w:basedOn w:val="1"/>
    <w:link w:val="617"/>
    <w:qFormat/>
    <w:uiPriority w:val="0"/>
    <w:pPr>
      <w:widowControl w:val="0"/>
      <w:adjustRightInd w:val="0"/>
      <w:snapToGrid w:val="0"/>
      <w:spacing w:line="312" w:lineRule="auto"/>
      <w:jc w:val="both"/>
    </w:pPr>
    <w:rPr>
      <w:rFonts w:ascii="Times New Roman" w:hAnsi="Times New Roman" w:cs="Times New Roman"/>
      <w:color w:val="000000"/>
      <w:kern w:val="2"/>
      <w:szCs w:val="20"/>
    </w:rPr>
  </w:style>
  <w:style w:type="character" w:customStyle="1" w:styleId="619">
    <w:name w:val="加粗正文 Char"/>
    <w:qFormat/>
    <w:uiPriority w:val="0"/>
    <w:rPr>
      <w:rFonts w:ascii="宋体" w:hAnsi="Courier New" w:eastAsia="宋体" w:cs="Courier New"/>
      <w:kern w:val="2"/>
      <w:sz w:val="21"/>
      <w:szCs w:val="21"/>
      <w:lang w:val="en-US" w:eastAsia="zh-CN" w:bidi="ar-SA"/>
    </w:rPr>
  </w:style>
  <w:style w:type="character" w:customStyle="1" w:styleId="620">
    <w:name w:val="表号 Char1"/>
    <w:link w:val="621"/>
    <w:qFormat/>
    <w:uiPriority w:val="0"/>
    <w:rPr>
      <w:rFonts w:ascii="黑体" w:hAnsi="Times New Roman" w:eastAsia="黑体"/>
      <w:b/>
      <w:sz w:val="24"/>
    </w:rPr>
  </w:style>
  <w:style w:type="paragraph" w:customStyle="1" w:styleId="621">
    <w:name w:val="表号"/>
    <w:basedOn w:val="362"/>
    <w:next w:val="362"/>
    <w:link w:val="620"/>
    <w:qFormat/>
    <w:uiPriority w:val="0"/>
    <w:pPr>
      <w:spacing w:before="120" w:after="120" w:line="240" w:lineRule="atLeast"/>
    </w:pPr>
    <w:rPr>
      <w:rFonts w:ascii="黑体" w:eastAsia="黑体"/>
      <w:b/>
      <w:color w:val="auto"/>
      <w:kern w:val="0"/>
      <w:sz w:val="24"/>
      <w:szCs w:val="20"/>
    </w:rPr>
  </w:style>
  <w:style w:type="character" w:customStyle="1" w:styleId="622">
    <w:name w:val="正文文本 2 Char Char"/>
    <w:qFormat/>
    <w:uiPriority w:val="0"/>
    <w:rPr>
      <w:rFonts w:ascii="Times New Roman" w:hAnsi="Times New Roman" w:eastAsia="宋体" w:cs="Times New Roman"/>
      <w:spacing w:val="16"/>
      <w:sz w:val="24"/>
      <w:szCs w:val="24"/>
    </w:rPr>
  </w:style>
  <w:style w:type="character" w:customStyle="1" w:styleId="623">
    <w:name w:val="正文部分 Char Char"/>
    <w:link w:val="624"/>
    <w:qFormat/>
    <w:uiPriority w:val="0"/>
    <w:rPr>
      <w:rFonts w:ascii="宋体" w:hAnsi="宋体"/>
      <w:bCs/>
      <w:sz w:val="28"/>
      <w:szCs w:val="32"/>
    </w:rPr>
  </w:style>
  <w:style w:type="paragraph" w:customStyle="1" w:styleId="624">
    <w:name w:val="正文部分"/>
    <w:basedOn w:val="1"/>
    <w:link w:val="623"/>
    <w:qFormat/>
    <w:uiPriority w:val="0"/>
    <w:pPr>
      <w:widowControl w:val="0"/>
      <w:spacing w:line="500" w:lineRule="exact"/>
      <w:ind w:firstLine="200" w:firstLineChars="200"/>
    </w:pPr>
    <w:rPr>
      <w:rFonts w:cs="Times New Roman"/>
      <w:bCs/>
      <w:sz w:val="28"/>
      <w:szCs w:val="32"/>
    </w:rPr>
  </w:style>
  <w:style w:type="character" w:customStyle="1" w:styleId="625">
    <w:name w:val="注释标题 Char1"/>
    <w:semiHidden/>
    <w:qFormat/>
    <w:uiPriority w:val="0"/>
    <w:rPr>
      <w:rFonts w:ascii="Times New Roman" w:hAnsi="Times New Roman" w:eastAsia="宋体" w:cs="Times New Roman"/>
      <w:szCs w:val="24"/>
    </w:rPr>
  </w:style>
  <w:style w:type="character" w:customStyle="1" w:styleId="626">
    <w:name w:val="【正文】 Char"/>
    <w:basedOn w:val="83"/>
    <w:link w:val="153"/>
    <w:qFormat/>
    <w:uiPriority w:val="0"/>
    <w:rPr>
      <w:rFonts w:ascii="宋体" w:hAnsi="宋体" w:cs="宋体"/>
      <w:sz w:val="24"/>
      <w:szCs w:val="24"/>
    </w:rPr>
  </w:style>
  <w:style w:type="character" w:customStyle="1" w:styleId="627">
    <w:name w:val="h Char"/>
    <w:qFormat/>
    <w:uiPriority w:val="0"/>
    <w:rPr>
      <w:rFonts w:eastAsia="楷体_GB2312"/>
      <w:snapToGrid w:val="0"/>
      <w:sz w:val="18"/>
      <w:szCs w:val="18"/>
      <w:lang w:val="en-US" w:eastAsia="zh-CN" w:bidi="ar-SA"/>
    </w:rPr>
  </w:style>
  <w:style w:type="character" w:customStyle="1" w:styleId="628">
    <w:name w:val="样式 正文首行缩进 + 首行缩进:  2 字符 Char Char"/>
    <w:link w:val="629"/>
    <w:qFormat/>
    <w:uiPriority w:val="0"/>
    <w:rPr>
      <w:rFonts w:ascii="宋体" w:hAnsi="Times New Roman" w:cs="宋体"/>
      <w:color w:val="000000"/>
      <w:sz w:val="28"/>
      <w:szCs w:val="28"/>
    </w:rPr>
  </w:style>
  <w:style w:type="paragraph" w:customStyle="1" w:styleId="629">
    <w:name w:val="样式 正文首行缩进 + 首行缩进:  2 字符"/>
    <w:basedOn w:val="78"/>
    <w:link w:val="628"/>
    <w:qFormat/>
    <w:uiPriority w:val="0"/>
    <w:pPr>
      <w:widowControl w:val="0"/>
      <w:tabs>
        <w:tab w:val="left" w:pos="628"/>
        <w:tab w:val="left" w:pos="1727"/>
        <w:tab w:val="left" w:pos="1884"/>
        <w:tab w:val="left" w:pos="2660"/>
        <w:tab w:val="left" w:pos="5460"/>
      </w:tabs>
      <w:adjustRightInd w:val="0"/>
      <w:snapToGrid w:val="0"/>
      <w:spacing w:after="0" w:line="360" w:lineRule="auto"/>
      <w:ind w:firstLine="560" w:firstLineChars="200"/>
    </w:pPr>
    <w:rPr>
      <w:rFonts w:hAnsi="Times New Roman"/>
      <w:sz w:val="28"/>
      <w:szCs w:val="28"/>
    </w:rPr>
  </w:style>
  <w:style w:type="character" w:customStyle="1" w:styleId="630">
    <w:name w:val="p4"/>
    <w:qFormat/>
    <w:uiPriority w:val="0"/>
  </w:style>
  <w:style w:type="character" w:customStyle="1" w:styleId="631">
    <w:name w:val="图表名称 Char Char"/>
    <w:link w:val="632"/>
    <w:qFormat/>
    <w:uiPriority w:val="0"/>
    <w:rPr>
      <w:rFonts w:eastAsia="黑体"/>
      <w:b/>
      <w:kern w:val="2"/>
      <w:sz w:val="21"/>
      <w:szCs w:val="24"/>
    </w:rPr>
  </w:style>
  <w:style w:type="paragraph" w:customStyle="1" w:styleId="632">
    <w:name w:val="图表名称"/>
    <w:basedOn w:val="1"/>
    <w:link w:val="631"/>
    <w:qFormat/>
    <w:uiPriority w:val="0"/>
    <w:pPr>
      <w:widowControl w:val="0"/>
      <w:jc w:val="center"/>
    </w:pPr>
    <w:rPr>
      <w:rFonts w:ascii="Calibri" w:hAnsi="Calibri" w:eastAsia="黑体" w:cs="Times New Roman"/>
      <w:b/>
      <w:kern w:val="2"/>
      <w:sz w:val="21"/>
    </w:rPr>
  </w:style>
  <w:style w:type="character" w:customStyle="1" w:styleId="633">
    <w:name w:val="h4 Char"/>
    <w:qFormat/>
    <w:uiPriority w:val="0"/>
    <w:rPr>
      <w:rFonts w:ascii="黑体" w:hAnsi="宋体" w:eastAsia="黑体" w:cs="宋体"/>
      <w:b/>
      <w:bCs/>
      <w:kern w:val="2"/>
      <w:sz w:val="24"/>
      <w:szCs w:val="24"/>
      <w:lang w:val="en-US" w:eastAsia="zh-CN" w:bidi="ar-SA"/>
    </w:rPr>
  </w:style>
  <w:style w:type="character" w:customStyle="1" w:styleId="634">
    <w:name w:val="【标题2】 Char Char"/>
    <w:link w:val="635"/>
    <w:qFormat/>
    <w:uiPriority w:val="0"/>
    <w:rPr>
      <w:b/>
      <w:bCs/>
      <w:sz w:val="32"/>
    </w:rPr>
  </w:style>
  <w:style w:type="paragraph" w:customStyle="1" w:styleId="635">
    <w:name w:val="【标题2】"/>
    <w:basedOn w:val="5"/>
    <w:link w:val="634"/>
    <w:qFormat/>
    <w:uiPriority w:val="0"/>
    <w:pPr>
      <w:keepNext w:val="0"/>
      <w:widowControl w:val="0"/>
      <w:spacing w:before="120" w:after="120" w:line="240" w:lineRule="auto"/>
      <w:jc w:val="both"/>
    </w:pPr>
    <w:rPr>
      <w:rFonts w:eastAsia="宋体"/>
      <w:b/>
      <w:sz w:val="32"/>
      <w:szCs w:val="20"/>
    </w:rPr>
  </w:style>
  <w:style w:type="character" w:customStyle="1" w:styleId="636">
    <w:name w:val="正文首行缩进 2 + Times New Roman Char1"/>
    <w:link w:val="637"/>
    <w:qFormat/>
    <w:uiPriority w:val="0"/>
    <w:rPr>
      <w:rFonts w:ascii="Times New Roman" w:hAnsi="Times New Roman"/>
      <w:sz w:val="24"/>
      <w:szCs w:val="24"/>
    </w:rPr>
  </w:style>
  <w:style w:type="paragraph" w:customStyle="1" w:styleId="637">
    <w:name w:val="正文首行缩进 2 + Times New Roman"/>
    <w:basedOn w:val="1"/>
    <w:link w:val="636"/>
    <w:qFormat/>
    <w:uiPriority w:val="0"/>
    <w:pPr>
      <w:widowControl w:val="0"/>
      <w:tabs>
        <w:tab w:val="left" w:pos="0"/>
        <w:tab w:val="left" w:pos="870"/>
        <w:tab w:val="left" w:pos="3150"/>
      </w:tabs>
      <w:autoSpaceDE w:val="0"/>
      <w:autoSpaceDN w:val="0"/>
      <w:spacing w:line="360" w:lineRule="auto"/>
      <w:ind w:firstLine="480" w:firstLineChars="200"/>
      <w:jc w:val="both"/>
    </w:pPr>
    <w:rPr>
      <w:rFonts w:ascii="Times New Roman" w:hAnsi="Times New Roman" w:cs="Times New Roman"/>
    </w:rPr>
  </w:style>
  <w:style w:type="character" w:customStyle="1" w:styleId="638">
    <w:name w:val="font111"/>
    <w:qFormat/>
    <w:uiPriority w:val="0"/>
    <w:rPr>
      <w:rFonts w:hint="eastAsia" w:ascii="宋体" w:hAnsi="宋体" w:eastAsia="宋体"/>
      <w:b/>
      <w:bCs/>
      <w:color w:val="000000"/>
      <w:sz w:val="18"/>
      <w:szCs w:val="18"/>
      <w:u w:val="none"/>
    </w:rPr>
  </w:style>
  <w:style w:type="character" w:customStyle="1" w:styleId="639">
    <w:name w:val="副标题 Char3"/>
    <w:qFormat/>
    <w:locked/>
    <w:uiPriority w:val="0"/>
    <w:rPr>
      <w:rFonts w:ascii="Arial" w:hAnsi="Arial" w:eastAsia="仿宋_GB2312"/>
      <w:b/>
      <w:bCs/>
      <w:kern w:val="28"/>
      <w:sz w:val="32"/>
      <w:szCs w:val="32"/>
    </w:rPr>
  </w:style>
  <w:style w:type="character" w:customStyle="1" w:styleId="640">
    <w:name w:val="正文文本 (2) + Georgia91"/>
    <w:qFormat/>
    <w:uiPriority w:val="99"/>
    <w:rPr>
      <w:rFonts w:ascii="Georgia" w:hAnsi="Georgia" w:eastAsia="MingLiU" w:cs="Georgia"/>
      <w:sz w:val="20"/>
      <w:szCs w:val="20"/>
      <w:u w:val="none"/>
      <w:shd w:val="clear" w:color="auto" w:fill="FFFFFF"/>
      <w:lang w:val="en-US" w:eastAsia="en-US"/>
    </w:rPr>
  </w:style>
  <w:style w:type="character" w:customStyle="1" w:styleId="641">
    <w:name w:val="标题 2 Char Char Char Char Char Char Char1"/>
    <w:qFormat/>
    <w:uiPriority w:val="0"/>
    <w:rPr>
      <w:rFonts w:eastAsia="黑体"/>
      <w:b/>
      <w:kern w:val="2"/>
      <w:sz w:val="32"/>
      <w:lang w:val="en-US" w:eastAsia="zh-CN" w:bidi="ar-SA"/>
    </w:rPr>
  </w:style>
  <w:style w:type="character" w:customStyle="1" w:styleId="642">
    <w:name w:val="style11"/>
    <w:qFormat/>
    <w:uiPriority w:val="0"/>
    <w:rPr>
      <w:rFonts w:eastAsia="宋体"/>
      <w:color w:val="000000"/>
      <w:kern w:val="2"/>
      <w:sz w:val="21"/>
      <w:szCs w:val="24"/>
      <w:lang w:val="en-US" w:eastAsia="zh-CN" w:bidi="ar-SA"/>
    </w:rPr>
  </w:style>
  <w:style w:type="character" w:customStyle="1" w:styleId="643">
    <w:name w:val="未命名11"/>
    <w:qFormat/>
    <w:uiPriority w:val="0"/>
    <w:rPr>
      <w:rFonts w:hint="eastAsia" w:ascii="宋体" w:hAnsi="宋体" w:eastAsia="宋体"/>
      <w:sz w:val="18"/>
      <w:szCs w:val="18"/>
    </w:rPr>
  </w:style>
  <w:style w:type="character" w:customStyle="1" w:styleId="644">
    <w:name w:val="r1"/>
    <w:qFormat/>
    <w:uiPriority w:val="0"/>
    <w:rPr>
      <w:sz w:val="20"/>
      <w:szCs w:val="20"/>
    </w:rPr>
  </w:style>
  <w:style w:type="character" w:customStyle="1" w:styleId="645">
    <w:name w:val="标题 11 Char"/>
    <w:qFormat/>
    <w:uiPriority w:val="0"/>
    <w:rPr>
      <w:rFonts w:ascii="黑体" w:eastAsia="黑体"/>
      <w:b/>
      <w:kern w:val="2"/>
      <w:sz w:val="28"/>
      <w:szCs w:val="24"/>
      <w:lang w:val="en-US" w:eastAsia="zh-CN" w:bidi="ar-SA"/>
    </w:rPr>
  </w:style>
  <w:style w:type="character" w:customStyle="1" w:styleId="646">
    <w:name w:val="可研-正文首行缩进 Char Char"/>
    <w:qFormat/>
    <w:uiPriority w:val="0"/>
    <w:rPr>
      <w:rFonts w:ascii="Calibri" w:hAnsi="Calibri" w:eastAsia="宋体"/>
      <w:kern w:val="2"/>
      <w:sz w:val="21"/>
      <w:szCs w:val="22"/>
      <w:lang w:val="en-US" w:eastAsia="zh-CN" w:bidi="ar-SA"/>
    </w:rPr>
  </w:style>
  <w:style w:type="character" w:customStyle="1" w:styleId="647">
    <w:name w:val="Char Char211"/>
    <w:qFormat/>
    <w:uiPriority w:val="0"/>
    <w:rPr>
      <w:rFonts w:eastAsia="宋体"/>
      <w:bCs/>
      <w:snapToGrid w:val="0"/>
      <w:spacing w:val="30"/>
      <w:sz w:val="30"/>
      <w:szCs w:val="30"/>
      <w:lang w:val="en-US" w:eastAsia="zh-CN" w:bidi="ar-SA"/>
    </w:rPr>
  </w:style>
  <w:style w:type="character" w:customStyle="1" w:styleId="648">
    <w:name w:val="规范正文 Char Char"/>
    <w:link w:val="649"/>
    <w:semiHidden/>
    <w:qFormat/>
    <w:uiPriority w:val="0"/>
    <w:rPr>
      <w:sz w:val="24"/>
    </w:rPr>
  </w:style>
  <w:style w:type="paragraph" w:customStyle="1" w:styleId="649">
    <w:name w:val="规范正文"/>
    <w:basedOn w:val="1"/>
    <w:link w:val="648"/>
    <w:semiHidden/>
    <w:qFormat/>
    <w:uiPriority w:val="0"/>
    <w:pPr>
      <w:widowControl w:val="0"/>
      <w:spacing w:line="360" w:lineRule="auto"/>
      <w:ind w:firstLine="480" w:firstLineChars="200"/>
      <w:jc w:val="both"/>
    </w:pPr>
    <w:rPr>
      <w:rFonts w:ascii="Calibri" w:hAnsi="Calibri" w:cs="Times New Roman"/>
      <w:szCs w:val="20"/>
    </w:rPr>
  </w:style>
  <w:style w:type="character" w:customStyle="1" w:styleId="650">
    <w:name w:val="纯文本 Char Char1"/>
    <w:qFormat/>
    <w:uiPriority w:val="0"/>
    <w:rPr>
      <w:rFonts w:ascii="宋体" w:hAnsi="Courier New" w:eastAsia="宋体" w:cs="Courier New"/>
      <w:bCs/>
      <w:iCs/>
      <w:kern w:val="2"/>
      <w:sz w:val="21"/>
      <w:szCs w:val="21"/>
      <w:lang w:val="en-US" w:eastAsia="zh-CN" w:bidi="ar-SA"/>
    </w:rPr>
  </w:style>
  <w:style w:type="character" w:customStyle="1" w:styleId="651">
    <w:name w:val="正文文本 (2) + 10 pt"/>
    <w:qFormat/>
    <w:uiPriority w:val="99"/>
    <w:rPr>
      <w:rFonts w:ascii="MingLiU" w:eastAsia="MingLiU" w:cs="MingLiU"/>
      <w:sz w:val="20"/>
      <w:szCs w:val="20"/>
      <w:u w:val="none"/>
      <w:shd w:val="clear" w:color="auto" w:fill="FFFFFF"/>
    </w:rPr>
  </w:style>
  <w:style w:type="character" w:customStyle="1" w:styleId="652">
    <w:name w:val="题注图名 Char Char"/>
    <w:link w:val="653"/>
    <w:qFormat/>
    <w:uiPriority w:val="0"/>
    <w:rPr>
      <w:rFonts w:ascii="Times New Roman" w:hAnsi="Times New Roman"/>
      <w:b/>
      <w:bCs/>
      <w:lang w:val="zh-CN"/>
    </w:rPr>
  </w:style>
  <w:style w:type="paragraph" w:customStyle="1" w:styleId="653">
    <w:name w:val="题注图名"/>
    <w:basedOn w:val="1"/>
    <w:link w:val="652"/>
    <w:qFormat/>
    <w:uiPriority w:val="0"/>
    <w:pPr>
      <w:widowControl w:val="0"/>
      <w:spacing w:after="120" w:line="300" w:lineRule="auto"/>
      <w:jc w:val="center"/>
    </w:pPr>
    <w:rPr>
      <w:rFonts w:ascii="Times New Roman" w:hAnsi="Times New Roman" w:cs="Times New Roman"/>
      <w:b/>
      <w:bCs/>
      <w:sz w:val="20"/>
      <w:szCs w:val="20"/>
      <w:lang w:val="zh-CN"/>
    </w:rPr>
  </w:style>
  <w:style w:type="character" w:customStyle="1" w:styleId="654">
    <w:name w:val="font-family:仿宋_gb2312"/>
    <w:qFormat/>
    <w:uiPriority w:val="0"/>
  </w:style>
  <w:style w:type="character" w:customStyle="1" w:styleId="655">
    <w:name w:val="规范正文 + 加粗 Char Char"/>
    <w:link w:val="656"/>
    <w:semiHidden/>
    <w:qFormat/>
    <w:uiPriority w:val="0"/>
    <w:rPr>
      <w:sz w:val="24"/>
    </w:rPr>
  </w:style>
  <w:style w:type="paragraph" w:customStyle="1" w:styleId="656">
    <w:name w:val="规范正文 + 加粗"/>
    <w:basedOn w:val="649"/>
    <w:link w:val="655"/>
    <w:semiHidden/>
    <w:qFormat/>
    <w:uiPriority w:val="0"/>
    <w:pPr>
      <w:ind w:firstLine="0" w:firstLineChars="0"/>
    </w:pPr>
  </w:style>
  <w:style w:type="character" w:customStyle="1" w:styleId="657">
    <w:name w:val="Char Char26"/>
    <w:qFormat/>
    <w:uiPriority w:val="0"/>
    <w:rPr>
      <w:rFonts w:hint="default" w:ascii="Times New Roman" w:hAnsi="Times New Roman" w:eastAsia="宋体" w:cs="Times New Roman"/>
      <w:szCs w:val="24"/>
    </w:rPr>
  </w:style>
  <w:style w:type="character" w:customStyle="1" w:styleId="658">
    <w:name w:val="标题1.1.1.1.1.1 Char"/>
    <w:qFormat/>
    <w:uiPriority w:val="0"/>
    <w:rPr>
      <w:rFonts w:ascii="Cambria" w:hAnsi="Cambria" w:eastAsia="宋体" w:cs="Times New Roman"/>
      <w:b/>
      <w:bCs/>
      <w:kern w:val="2"/>
      <w:sz w:val="24"/>
      <w:szCs w:val="24"/>
    </w:rPr>
  </w:style>
  <w:style w:type="character" w:customStyle="1" w:styleId="659">
    <w:name w:val="表文 Char Char"/>
    <w:link w:val="660"/>
    <w:qFormat/>
    <w:uiPriority w:val="0"/>
    <w:rPr>
      <w:rFonts w:ascii="Times New Roman" w:hAnsi="Times New Roman" w:eastAsia="仿宋_GB2312"/>
      <w:kern w:val="2"/>
      <w:sz w:val="21"/>
      <w:szCs w:val="22"/>
    </w:rPr>
  </w:style>
  <w:style w:type="paragraph" w:customStyle="1" w:styleId="660">
    <w:name w:val="表文"/>
    <w:next w:val="1"/>
    <w:link w:val="659"/>
    <w:qFormat/>
    <w:uiPriority w:val="0"/>
    <w:pPr>
      <w:spacing w:line="360" w:lineRule="exact"/>
    </w:pPr>
    <w:rPr>
      <w:rFonts w:ascii="Times New Roman" w:hAnsi="Times New Roman" w:eastAsia="仿宋_GB2312" w:cs="Times New Roman"/>
      <w:kern w:val="2"/>
      <w:sz w:val="21"/>
      <w:szCs w:val="22"/>
      <w:lang w:val="en-US" w:eastAsia="zh-CN" w:bidi="ar-SA"/>
    </w:rPr>
  </w:style>
  <w:style w:type="character" w:customStyle="1" w:styleId="661">
    <w:name w:val="1.1标题2 Char"/>
    <w:qFormat/>
    <w:uiPriority w:val="0"/>
    <w:rPr>
      <w:rFonts w:ascii="Arial" w:hAnsi="Arial" w:eastAsia="黑体"/>
      <w:bCs/>
      <w:kern w:val="2"/>
      <w:sz w:val="32"/>
      <w:szCs w:val="32"/>
      <w:lang w:val="en-US" w:eastAsia="zh-CN" w:bidi="ar-SA"/>
    </w:rPr>
  </w:style>
  <w:style w:type="character" w:customStyle="1" w:styleId="662">
    <w:name w:val="Char Char17"/>
    <w:qFormat/>
    <w:uiPriority w:val="0"/>
    <w:rPr>
      <w:rFonts w:eastAsia="宋体"/>
      <w:kern w:val="2"/>
      <w:sz w:val="21"/>
      <w:szCs w:val="24"/>
      <w:lang w:val="en-US" w:eastAsia="zh-CN" w:bidi="ar-SA"/>
    </w:rPr>
  </w:style>
  <w:style w:type="character" w:customStyle="1" w:styleId="663">
    <w:name w:val="font161"/>
    <w:qFormat/>
    <w:uiPriority w:val="0"/>
    <w:rPr>
      <w:rFonts w:hint="eastAsia" w:ascii="宋体" w:hAnsi="宋体" w:eastAsia="宋体"/>
      <w:color w:val="FF0000"/>
      <w:sz w:val="18"/>
      <w:szCs w:val="18"/>
      <w:u w:val="none"/>
    </w:rPr>
  </w:style>
  <w:style w:type="character" w:customStyle="1" w:styleId="664">
    <w:name w:val="HTML 地址 Char1"/>
    <w:semiHidden/>
    <w:qFormat/>
    <w:uiPriority w:val="99"/>
    <w:rPr>
      <w:rFonts w:ascii="Calibri" w:hAnsi="Calibri" w:eastAsia="宋体" w:cs="Times New Roman"/>
      <w:i/>
      <w:iCs/>
    </w:rPr>
  </w:style>
  <w:style w:type="character" w:customStyle="1" w:styleId="665">
    <w:name w:val="Char2"/>
    <w:qFormat/>
    <w:uiPriority w:val="0"/>
    <w:rPr>
      <w:rFonts w:eastAsia="宋体"/>
      <w:b/>
      <w:bCs/>
      <w:kern w:val="44"/>
      <w:sz w:val="44"/>
      <w:szCs w:val="44"/>
      <w:lang w:val="en-US" w:eastAsia="zh-CN" w:bidi="ar-SA"/>
    </w:rPr>
  </w:style>
  <w:style w:type="character" w:customStyle="1" w:styleId="666">
    <w:name w:val="Char1"/>
    <w:qFormat/>
    <w:uiPriority w:val="0"/>
    <w:rPr>
      <w:rFonts w:ascii="Arial" w:hAnsi="Arial" w:eastAsia="黑体"/>
      <w:b/>
      <w:kern w:val="2"/>
      <w:sz w:val="32"/>
      <w:szCs w:val="24"/>
      <w:lang w:val="en-US" w:eastAsia="zh-CN" w:bidi="ar-SA"/>
    </w:rPr>
  </w:style>
  <w:style w:type="character" w:customStyle="1" w:styleId="667">
    <w:name w:val="Char Char4"/>
    <w:qFormat/>
    <w:uiPriority w:val="0"/>
    <w:rPr>
      <w:rFonts w:hint="eastAsia" w:ascii="黑体" w:hAnsi="黑体" w:eastAsia="黑体"/>
      <w:b/>
      <w:snapToGrid w:val="0"/>
      <w:sz w:val="24"/>
      <w:szCs w:val="32"/>
      <w:lang w:val="en-US" w:eastAsia="zh-CN" w:bidi="ar-SA"/>
    </w:rPr>
  </w:style>
  <w:style w:type="character" w:customStyle="1" w:styleId="668">
    <w:name w:val="9dpi1"/>
    <w:qFormat/>
    <w:uiPriority w:val="0"/>
    <w:rPr>
      <w:spacing w:val="30"/>
      <w:sz w:val="18"/>
      <w:szCs w:val="18"/>
    </w:rPr>
  </w:style>
  <w:style w:type="character" w:customStyle="1" w:styleId="669">
    <w:name w:val="图 带文本框文字 Char Char"/>
    <w:link w:val="670"/>
    <w:qFormat/>
    <w:uiPriority w:val="0"/>
    <w:rPr>
      <w:rFonts w:ascii="Times New Roman" w:hAnsi="Times New Roman"/>
      <w:snapToGrid w:val="0"/>
      <w:kern w:val="21"/>
      <w:sz w:val="21"/>
      <w:szCs w:val="21"/>
    </w:rPr>
  </w:style>
  <w:style w:type="paragraph" w:customStyle="1" w:styleId="670">
    <w:name w:val="图 带文本框文字"/>
    <w:link w:val="669"/>
    <w:qFormat/>
    <w:uiPriority w:val="0"/>
    <w:pPr>
      <w:adjustRightInd w:val="0"/>
      <w:snapToGrid w:val="0"/>
      <w:jc w:val="center"/>
    </w:pPr>
    <w:rPr>
      <w:rFonts w:ascii="Times New Roman" w:hAnsi="Times New Roman" w:eastAsia="宋体" w:cs="Times New Roman"/>
      <w:snapToGrid w:val="0"/>
      <w:kern w:val="21"/>
      <w:sz w:val="21"/>
      <w:szCs w:val="21"/>
      <w:lang w:val="en-US" w:eastAsia="zh-CN" w:bidi="ar-SA"/>
    </w:rPr>
  </w:style>
  <w:style w:type="character" w:customStyle="1" w:styleId="671">
    <w:name w:val="章节标题 Char1"/>
    <w:qFormat/>
    <w:uiPriority w:val="0"/>
    <w:rPr>
      <w:rFonts w:eastAsia="宋体"/>
      <w:b/>
      <w:sz w:val="24"/>
      <w:szCs w:val="24"/>
      <w:lang w:val="en-US" w:eastAsia="zh-CN" w:bidi="ar-SA"/>
    </w:rPr>
  </w:style>
  <w:style w:type="character" w:customStyle="1" w:styleId="672">
    <w:name w:val="表号 Char"/>
    <w:qFormat/>
    <w:uiPriority w:val="0"/>
    <w:rPr>
      <w:b/>
    </w:rPr>
  </w:style>
  <w:style w:type="character" w:customStyle="1" w:styleId="673">
    <w:name w:val="Char Char7"/>
    <w:qFormat/>
    <w:uiPriority w:val="0"/>
    <w:rPr>
      <w:rFonts w:hint="eastAsia" w:ascii="宋体" w:hAnsi="宋体" w:eastAsia="宋体"/>
      <w:kern w:val="2"/>
      <w:sz w:val="24"/>
      <w:szCs w:val="24"/>
      <w:lang w:val="en-US" w:eastAsia="zh-CN" w:bidi="ar-SA"/>
    </w:rPr>
  </w:style>
  <w:style w:type="character" w:customStyle="1" w:styleId="674">
    <w:name w:val="项标题(1) Char"/>
    <w:qFormat/>
    <w:uiPriority w:val="0"/>
    <w:rPr>
      <w:rFonts w:ascii="Times New Roman" w:hAnsi="Times New Roman"/>
      <w:b/>
      <w:bCs/>
      <w:kern w:val="2"/>
      <w:sz w:val="24"/>
      <w:szCs w:val="24"/>
    </w:rPr>
  </w:style>
  <w:style w:type="character" w:customStyle="1" w:styleId="675">
    <w:name w:val="表格字 Char Char"/>
    <w:link w:val="676"/>
    <w:qFormat/>
    <w:uiPriority w:val="0"/>
    <w:rPr>
      <w:rFonts w:ascii="Times New Roman" w:hAnsi="Times New Roman"/>
    </w:rPr>
  </w:style>
  <w:style w:type="paragraph" w:customStyle="1" w:styleId="676">
    <w:name w:val="表格字"/>
    <w:basedOn w:val="59"/>
    <w:link w:val="675"/>
    <w:qFormat/>
    <w:uiPriority w:val="0"/>
    <w:pPr>
      <w:ind w:left="0" w:firstLine="0"/>
      <w:jc w:val="center"/>
    </w:pPr>
    <w:rPr>
      <w:rFonts w:hint="default" w:ascii="Times New Roman" w:eastAsia="宋体"/>
      <w:kern w:val="0"/>
      <w:sz w:val="20"/>
      <w:szCs w:val="20"/>
    </w:rPr>
  </w:style>
  <w:style w:type="character" w:customStyle="1" w:styleId="677">
    <w:name w:val="Char Char141"/>
    <w:qFormat/>
    <w:uiPriority w:val="0"/>
    <w:rPr>
      <w:rFonts w:eastAsia="宋体"/>
      <w:kern w:val="2"/>
      <w:sz w:val="18"/>
      <w:szCs w:val="18"/>
      <w:lang w:val="en-US" w:eastAsia="zh-CN" w:bidi="ar-SA"/>
    </w:rPr>
  </w:style>
  <w:style w:type="character" w:customStyle="1" w:styleId="678">
    <w:name w:val="样式 样式 样式 样式 (符号) 宋体 13 磅 首行缩进:  2 字符 行距: 1.5 倍行距 + 首行缩进:  2 字符 +... Char Char"/>
    <w:link w:val="679"/>
    <w:qFormat/>
    <w:uiPriority w:val="0"/>
    <w:rPr>
      <w:rFonts w:ascii="宋体" w:hAnsi="宋体"/>
      <w:sz w:val="26"/>
    </w:rPr>
  </w:style>
  <w:style w:type="paragraph" w:customStyle="1" w:styleId="679">
    <w:name w:val="样式 样式 样式 样式 (符号) 宋体 13 磅 首行缩进:  2 字符 行距: 1.5 倍行距 + 首行缩进:  2 字符 +..."/>
    <w:basedOn w:val="1"/>
    <w:link w:val="678"/>
    <w:qFormat/>
    <w:uiPriority w:val="0"/>
    <w:pPr>
      <w:widowControl w:val="0"/>
      <w:ind w:firstLine="563" w:firstLineChars="200"/>
      <w:jc w:val="both"/>
    </w:pPr>
    <w:rPr>
      <w:rFonts w:cs="Times New Roman"/>
      <w:sz w:val="26"/>
      <w:szCs w:val="20"/>
    </w:rPr>
  </w:style>
  <w:style w:type="character" w:customStyle="1" w:styleId="680">
    <w:name w:val="德胜正文顶格小标题 Char Char"/>
    <w:link w:val="681"/>
    <w:qFormat/>
    <w:uiPriority w:val="0"/>
    <w:rPr>
      <w:snapToGrid w:val="0"/>
      <w:color w:val="0000FF"/>
      <w:sz w:val="24"/>
      <w:szCs w:val="24"/>
    </w:rPr>
  </w:style>
  <w:style w:type="paragraph" w:customStyle="1" w:styleId="681">
    <w:name w:val="德胜正文顶格小标题"/>
    <w:basedOn w:val="215"/>
    <w:link w:val="680"/>
    <w:qFormat/>
    <w:uiPriority w:val="0"/>
    <w:pPr>
      <w:spacing w:line="360" w:lineRule="auto"/>
    </w:pPr>
    <w:rPr>
      <w:sz w:val="24"/>
      <w:szCs w:val="24"/>
    </w:rPr>
  </w:style>
  <w:style w:type="character" w:customStyle="1" w:styleId="682">
    <w:name w:val="style91"/>
    <w:qFormat/>
    <w:uiPriority w:val="0"/>
    <w:rPr>
      <w:b/>
      <w:bCs/>
      <w:color w:val="187CC8"/>
    </w:rPr>
  </w:style>
  <w:style w:type="character" w:customStyle="1" w:styleId="683">
    <w:name w:val="表文字 Char Char"/>
    <w:link w:val="684"/>
    <w:qFormat/>
    <w:uiPriority w:val="0"/>
    <w:rPr>
      <w:rFonts w:ascii="Times New Roman" w:hAnsi="Times New Roman" w:eastAsia="汉鼎简书宋"/>
      <w:szCs w:val="21"/>
    </w:rPr>
  </w:style>
  <w:style w:type="paragraph" w:customStyle="1" w:styleId="684">
    <w:name w:val="表文字"/>
    <w:basedOn w:val="1"/>
    <w:link w:val="683"/>
    <w:qFormat/>
    <w:uiPriority w:val="0"/>
    <w:pPr>
      <w:widowControl w:val="0"/>
      <w:topLinePunct/>
      <w:adjustRightInd w:val="0"/>
      <w:spacing w:line="240" w:lineRule="exact"/>
      <w:jc w:val="both"/>
      <w:textAlignment w:val="baseline"/>
    </w:pPr>
    <w:rPr>
      <w:rFonts w:ascii="Times New Roman" w:hAnsi="Times New Roman" w:eastAsia="汉鼎简书宋" w:cs="Times New Roman"/>
      <w:sz w:val="20"/>
      <w:szCs w:val="21"/>
    </w:rPr>
  </w:style>
  <w:style w:type="character" w:customStyle="1" w:styleId="685">
    <w:name w:val="页眉 Char Char"/>
    <w:qFormat/>
    <w:uiPriority w:val="0"/>
    <w:rPr>
      <w:sz w:val="18"/>
      <w:szCs w:val="18"/>
    </w:rPr>
  </w:style>
  <w:style w:type="character" w:customStyle="1" w:styleId="686">
    <w:name w:val="职卫正文 Char Char"/>
    <w:link w:val="687"/>
    <w:qFormat/>
    <w:uiPriority w:val="0"/>
    <w:rPr>
      <w:rFonts w:ascii="仿宋_GB2312" w:hAnsi="宋体" w:eastAsia="仿宋_GB2312"/>
      <w:color w:val="000000"/>
      <w:spacing w:val="-2"/>
      <w:kern w:val="16"/>
      <w:sz w:val="28"/>
      <w:szCs w:val="24"/>
    </w:rPr>
  </w:style>
  <w:style w:type="paragraph" w:customStyle="1" w:styleId="687">
    <w:name w:val="职卫正文"/>
    <w:basedOn w:val="1"/>
    <w:link w:val="686"/>
    <w:qFormat/>
    <w:uiPriority w:val="0"/>
    <w:pPr>
      <w:widowControl w:val="0"/>
      <w:spacing w:line="486" w:lineRule="exact"/>
      <w:ind w:firstLine="200" w:firstLineChars="200"/>
    </w:pPr>
    <w:rPr>
      <w:rFonts w:ascii="仿宋_GB2312" w:eastAsia="仿宋_GB2312" w:cs="Times New Roman"/>
      <w:color w:val="000000"/>
      <w:spacing w:val="-2"/>
      <w:kern w:val="16"/>
      <w:sz w:val="28"/>
    </w:rPr>
  </w:style>
  <w:style w:type="character" w:customStyle="1" w:styleId="688">
    <w:name w:val="图表内容 Char"/>
    <w:link w:val="689"/>
    <w:qFormat/>
    <w:uiPriority w:val="0"/>
    <w:rPr>
      <w:rFonts w:ascii="Times New Roman" w:hAnsi="Times New Roman" w:eastAsia="仿宋_GB2312"/>
    </w:rPr>
  </w:style>
  <w:style w:type="paragraph" w:customStyle="1" w:styleId="689">
    <w:name w:val="图表内容"/>
    <w:basedOn w:val="1"/>
    <w:link w:val="688"/>
    <w:qFormat/>
    <w:uiPriority w:val="0"/>
    <w:pPr>
      <w:widowControl w:val="0"/>
      <w:adjustRightInd w:val="0"/>
      <w:snapToGrid w:val="0"/>
      <w:jc w:val="center"/>
    </w:pPr>
    <w:rPr>
      <w:rFonts w:ascii="Times New Roman" w:hAnsi="Times New Roman" w:eastAsia="仿宋_GB2312" w:cs="Times New Roman"/>
      <w:sz w:val="20"/>
      <w:szCs w:val="20"/>
    </w:rPr>
  </w:style>
  <w:style w:type="character" w:customStyle="1" w:styleId="690">
    <w:name w:val="正文文本缩进 3 Char2"/>
    <w:semiHidden/>
    <w:qFormat/>
    <w:uiPriority w:val="0"/>
    <w:rPr>
      <w:rFonts w:ascii="Times New Roman" w:hAnsi="Times New Roman" w:eastAsia="宋体" w:cs="Times New Roman"/>
      <w:sz w:val="16"/>
      <w:szCs w:val="16"/>
    </w:rPr>
  </w:style>
  <w:style w:type="character" w:customStyle="1" w:styleId="691">
    <w:name w:val="正文. Char Char"/>
    <w:link w:val="692"/>
    <w:qFormat/>
    <w:uiPriority w:val="0"/>
    <w:rPr>
      <w:rFonts w:ascii="Times New Roman" w:hAnsi="Times New Roman"/>
      <w:snapToGrid w:val="0"/>
      <w:color w:val="000000"/>
      <w:sz w:val="24"/>
      <w:szCs w:val="24"/>
      <w:lang w:val="en-US" w:eastAsia="zh-CN"/>
    </w:rPr>
  </w:style>
  <w:style w:type="paragraph" w:customStyle="1" w:styleId="692">
    <w:name w:val="正文."/>
    <w:basedOn w:val="1"/>
    <w:link w:val="691"/>
    <w:qFormat/>
    <w:uiPriority w:val="0"/>
    <w:pPr>
      <w:widowControl w:val="0"/>
      <w:tabs>
        <w:tab w:val="left" w:leader="dot" w:pos="48"/>
      </w:tabs>
      <w:autoSpaceDE w:val="0"/>
      <w:autoSpaceDN w:val="0"/>
      <w:adjustRightInd w:val="0"/>
      <w:spacing w:line="360" w:lineRule="auto"/>
      <w:ind w:firstLine="480"/>
      <w:jc w:val="both"/>
    </w:pPr>
    <w:rPr>
      <w:rFonts w:ascii="Times New Roman" w:hAnsi="Times New Roman" w:cs="Times New Roman"/>
      <w:snapToGrid w:val="0"/>
      <w:color w:val="000000"/>
    </w:rPr>
  </w:style>
  <w:style w:type="character" w:customStyle="1" w:styleId="693">
    <w:name w:val="样式1 Char Char"/>
    <w:qFormat/>
    <w:uiPriority w:val="0"/>
    <w:rPr>
      <w:rFonts w:ascii="宋体" w:eastAsia="宋体"/>
      <w:color w:val="000000"/>
      <w:kern w:val="2"/>
      <w:sz w:val="21"/>
      <w:szCs w:val="21"/>
      <w:lang w:val="zh-CN" w:eastAsia="zh-CN" w:bidi="ar-SA"/>
    </w:rPr>
  </w:style>
  <w:style w:type="character" w:customStyle="1" w:styleId="694">
    <w:name w:val="model11"/>
    <w:qFormat/>
    <w:uiPriority w:val="0"/>
    <w:rPr>
      <w:rFonts w:hint="eastAsia" w:ascii="宋体" w:hAnsi="宋体" w:eastAsia="宋体"/>
      <w:sz w:val="18"/>
      <w:szCs w:val="18"/>
      <w:u w:val="none"/>
    </w:rPr>
  </w:style>
  <w:style w:type="character" w:customStyle="1" w:styleId="695">
    <w:name w:val="表内容 Char Char"/>
    <w:link w:val="696"/>
    <w:qFormat/>
    <w:uiPriority w:val="0"/>
    <w:rPr>
      <w:smallCaps/>
    </w:rPr>
  </w:style>
  <w:style w:type="paragraph" w:customStyle="1" w:styleId="696">
    <w:name w:val="表内容"/>
    <w:basedOn w:val="1"/>
    <w:link w:val="695"/>
    <w:qFormat/>
    <w:uiPriority w:val="0"/>
    <w:pPr>
      <w:autoSpaceDE w:val="0"/>
      <w:autoSpaceDN w:val="0"/>
      <w:adjustRightInd w:val="0"/>
      <w:jc w:val="center"/>
      <w:textAlignment w:val="bottom"/>
    </w:pPr>
    <w:rPr>
      <w:rFonts w:ascii="Calibri" w:hAnsi="Calibri" w:cs="Times New Roman"/>
      <w:smallCaps/>
      <w:sz w:val="20"/>
      <w:szCs w:val="20"/>
    </w:rPr>
  </w:style>
  <w:style w:type="character" w:customStyle="1" w:styleId="697">
    <w:name w:val="无节项 Char Char"/>
    <w:qFormat/>
    <w:uiPriority w:val="0"/>
    <w:rPr>
      <w:rFonts w:eastAsia="仿宋_GB2312"/>
      <w:kern w:val="21"/>
      <w:sz w:val="21"/>
      <w:lang w:val="en-US" w:eastAsia="zh-CN" w:bidi="ar-SA"/>
    </w:rPr>
  </w:style>
  <w:style w:type="character" w:customStyle="1" w:styleId="698">
    <w:name w:val="样式2 Char Char"/>
    <w:qFormat/>
    <w:uiPriority w:val="0"/>
    <w:rPr>
      <w:rFonts w:ascii="黑体" w:hAnsi="仿宋_GB2312" w:eastAsia="黑体"/>
      <w:b/>
      <w:bCs/>
      <w:kern w:val="2"/>
      <w:sz w:val="30"/>
      <w:szCs w:val="30"/>
      <w:lang w:val="en-US" w:eastAsia="zh-CN" w:bidi="ar-SA"/>
    </w:rPr>
  </w:style>
  <w:style w:type="character" w:customStyle="1" w:styleId="699">
    <w:name w:val="样式 宋体 13 磅 首行缩进:  0.99 厘米 Char Char"/>
    <w:link w:val="700"/>
    <w:qFormat/>
    <w:uiPriority w:val="0"/>
    <w:rPr>
      <w:rFonts w:ascii="宋体" w:hAnsi="宋体"/>
      <w:sz w:val="27"/>
      <w:szCs w:val="27"/>
    </w:rPr>
  </w:style>
  <w:style w:type="paragraph" w:customStyle="1" w:styleId="700">
    <w:name w:val="样式 宋体 13 磅 首行缩进:  0.99 厘米"/>
    <w:basedOn w:val="1"/>
    <w:link w:val="699"/>
    <w:qFormat/>
    <w:uiPriority w:val="0"/>
    <w:pPr>
      <w:widowControl w:val="0"/>
      <w:ind w:firstLine="560"/>
      <w:jc w:val="both"/>
    </w:pPr>
    <w:rPr>
      <w:rFonts w:cs="Times New Roman"/>
      <w:sz w:val="27"/>
      <w:szCs w:val="27"/>
    </w:rPr>
  </w:style>
  <w:style w:type="character" w:customStyle="1" w:styleId="701">
    <w:name w:val="Char Char132"/>
    <w:qFormat/>
    <w:uiPriority w:val="0"/>
    <w:rPr>
      <w:sz w:val="18"/>
      <w:szCs w:val="18"/>
    </w:rPr>
  </w:style>
  <w:style w:type="character" w:customStyle="1" w:styleId="702">
    <w:name w:val="plus"/>
    <w:qFormat/>
    <w:uiPriority w:val="0"/>
    <w:rPr>
      <w:b/>
      <w:vanish/>
      <w:color w:val="1F8DEF"/>
      <w:sz w:val="24"/>
      <w:szCs w:val="24"/>
    </w:rPr>
  </w:style>
  <w:style w:type="character" w:customStyle="1" w:styleId="703">
    <w:name w:val="【标题4】 Char Char"/>
    <w:link w:val="704"/>
    <w:qFormat/>
    <w:uiPriority w:val="0"/>
    <w:rPr>
      <w:b/>
      <w:bCs/>
      <w:sz w:val="28"/>
    </w:rPr>
  </w:style>
  <w:style w:type="paragraph" w:customStyle="1" w:styleId="704">
    <w:name w:val="【标题4】"/>
    <w:basedOn w:val="1"/>
    <w:link w:val="703"/>
    <w:qFormat/>
    <w:uiPriority w:val="0"/>
    <w:pPr>
      <w:keepLines/>
      <w:widowControl w:val="0"/>
      <w:spacing w:before="120" w:after="120"/>
      <w:outlineLvl w:val="3"/>
    </w:pPr>
    <w:rPr>
      <w:rFonts w:ascii="Calibri" w:hAnsi="Calibri" w:cs="Times New Roman"/>
      <w:b/>
      <w:bCs/>
      <w:sz w:val="28"/>
      <w:szCs w:val="20"/>
    </w:rPr>
  </w:style>
  <w:style w:type="character" w:customStyle="1" w:styleId="705">
    <w:name w:val="表格四号 Char Char"/>
    <w:link w:val="706"/>
    <w:qFormat/>
    <w:uiPriority w:val="0"/>
    <w:rPr>
      <w:rFonts w:ascii="宋体" w:hAnsi="宋体"/>
      <w:snapToGrid w:val="0"/>
      <w:sz w:val="28"/>
      <w:szCs w:val="28"/>
    </w:rPr>
  </w:style>
  <w:style w:type="paragraph" w:customStyle="1" w:styleId="706">
    <w:name w:val="表格四号"/>
    <w:basedOn w:val="1"/>
    <w:link w:val="705"/>
    <w:qFormat/>
    <w:uiPriority w:val="0"/>
    <w:pPr>
      <w:widowControl w:val="0"/>
      <w:adjustRightInd w:val="0"/>
      <w:snapToGrid w:val="0"/>
      <w:jc w:val="center"/>
    </w:pPr>
    <w:rPr>
      <w:rFonts w:cs="Times New Roman"/>
      <w:snapToGrid w:val="0"/>
      <w:sz w:val="28"/>
      <w:szCs w:val="28"/>
    </w:rPr>
  </w:style>
  <w:style w:type="character" w:customStyle="1" w:styleId="707">
    <w:name w:val="articlebody3"/>
    <w:qFormat/>
    <w:uiPriority w:val="0"/>
    <w:rPr>
      <w:sz w:val="21"/>
      <w:szCs w:val="21"/>
    </w:rPr>
  </w:style>
  <w:style w:type="character" w:customStyle="1" w:styleId="708">
    <w:name w:val="批注主题 Char2"/>
    <w:qFormat/>
    <w:uiPriority w:val="99"/>
    <w:rPr>
      <w:rFonts w:ascii="Calibri" w:hAnsi="Calibri" w:eastAsia="宋体" w:cs="Times New Roman"/>
      <w:b/>
      <w:bCs/>
    </w:rPr>
  </w:style>
  <w:style w:type="character" w:customStyle="1" w:styleId="709">
    <w:name w:val="正文首行缩进2字符 Char1"/>
    <w:link w:val="710"/>
    <w:qFormat/>
    <w:uiPriority w:val="0"/>
    <w:rPr>
      <w:rFonts w:ascii="Times New Roman" w:hAnsi="Times New Roman"/>
      <w:sz w:val="28"/>
      <w:szCs w:val="24"/>
    </w:rPr>
  </w:style>
  <w:style w:type="paragraph" w:customStyle="1" w:styleId="710">
    <w:name w:val="正文首行缩进2字符"/>
    <w:basedOn w:val="1"/>
    <w:link w:val="709"/>
    <w:qFormat/>
    <w:uiPriority w:val="0"/>
    <w:pPr>
      <w:widowControl w:val="0"/>
      <w:spacing w:line="480" w:lineRule="exact"/>
      <w:ind w:firstLine="200" w:firstLineChars="200"/>
      <w:jc w:val="both"/>
    </w:pPr>
    <w:rPr>
      <w:rFonts w:ascii="Times New Roman" w:hAnsi="Times New Roman" w:cs="Times New Roman"/>
      <w:sz w:val="28"/>
    </w:rPr>
  </w:style>
  <w:style w:type="character" w:customStyle="1" w:styleId="711">
    <w:name w:val="表内 Char"/>
    <w:link w:val="712"/>
    <w:qFormat/>
    <w:locked/>
    <w:uiPriority w:val="0"/>
    <w:rPr>
      <w:rFonts w:ascii="Times New Roman" w:hAnsi="Times New Roman"/>
      <w:snapToGrid w:val="0"/>
      <w:kern w:val="2"/>
      <w:sz w:val="21"/>
    </w:rPr>
  </w:style>
  <w:style w:type="paragraph" w:customStyle="1" w:styleId="712">
    <w:name w:val="表内"/>
    <w:basedOn w:val="104"/>
    <w:next w:val="1"/>
    <w:link w:val="711"/>
    <w:qFormat/>
    <w:uiPriority w:val="0"/>
    <w:pPr>
      <w:adjustRightInd w:val="0"/>
      <w:spacing w:before="120" w:after="120" w:line="288" w:lineRule="auto"/>
    </w:pPr>
    <w:rPr>
      <w:rFonts w:ascii="Times New Roman" w:hAnsi="Times New Roman"/>
      <w:snapToGrid w:val="0"/>
      <w:szCs w:val="20"/>
    </w:rPr>
  </w:style>
  <w:style w:type="character" w:customStyle="1" w:styleId="713">
    <w:name w:val="正文文本缩进 2 Char Char"/>
    <w:qFormat/>
    <w:uiPriority w:val="0"/>
    <w:rPr>
      <w:rFonts w:ascii="宋体" w:hAnsi="Times New Roman" w:eastAsia="宋体" w:cs="Times New Roman"/>
      <w:color w:val="000000"/>
      <w:kern w:val="0"/>
      <w:sz w:val="36"/>
      <w:szCs w:val="20"/>
    </w:rPr>
  </w:style>
  <w:style w:type="character" w:customStyle="1" w:styleId="714">
    <w:name w:val="目标题 1) Char Char"/>
    <w:qFormat/>
    <w:uiPriority w:val="0"/>
    <w:rPr>
      <w:rFonts w:ascii="Arial" w:hAnsi="Arial" w:eastAsia="黑体"/>
      <w:kern w:val="2"/>
      <w:sz w:val="24"/>
      <w:szCs w:val="24"/>
    </w:rPr>
  </w:style>
  <w:style w:type="character" w:customStyle="1" w:styleId="715">
    <w:name w:val="日期 Char Char"/>
    <w:qFormat/>
    <w:uiPriority w:val="0"/>
    <w:rPr>
      <w:rFonts w:ascii="Times New Roman" w:hAnsi="Times New Roman" w:eastAsia="宋体" w:cs="Times New Roman"/>
      <w:sz w:val="24"/>
      <w:szCs w:val="20"/>
    </w:rPr>
  </w:style>
  <w:style w:type="character" w:customStyle="1" w:styleId="716">
    <w:name w:val="epapagename"/>
    <w:qFormat/>
    <w:uiPriority w:val="0"/>
  </w:style>
  <w:style w:type="character" w:customStyle="1" w:styleId="717">
    <w:name w:val="表格内容1 Char Char Char Char Char"/>
    <w:link w:val="718"/>
    <w:qFormat/>
    <w:uiPriority w:val="0"/>
    <w:rPr>
      <w:rFonts w:ascii="Arial" w:hAnsi="Arial" w:eastAsia="仿宋_GB2312"/>
      <w:kern w:val="24"/>
      <w:szCs w:val="24"/>
    </w:rPr>
  </w:style>
  <w:style w:type="paragraph" w:customStyle="1" w:styleId="718">
    <w:name w:val="表格内容1 Char Char Char"/>
    <w:basedOn w:val="1"/>
    <w:link w:val="717"/>
    <w:qFormat/>
    <w:uiPriority w:val="0"/>
    <w:pPr>
      <w:widowControl w:val="0"/>
      <w:spacing w:line="240" w:lineRule="atLeast"/>
      <w:jc w:val="center"/>
    </w:pPr>
    <w:rPr>
      <w:rFonts w:ascii="Arial" w:hAnsi="Arial" w:eastAsia="仿宋_GB2312" w:cs="Times New Roman"/>
      <w:kern w:val="24"/>
      <w:sz w:val="20"/>
    </w:rPr>
  </w:style>
  <w:style w:type="character" w:customStyle="1" w:styleId="719">
    <w:name w:val="HTML 预设格式 Char1"/>
    <w:qFormat/>
    <w:uiPriority w:val="99"/>
    <w:rPr>
      <w:rFonts w:ascii="Courier New" w:hAnsi="Courier New" w:eastAsia="宋体" w:cs="Courier New"/>
      <w:sz w:val="20"/>
      <w:szCs w:val="20"/>
    </w:rPr>
  </w:style>
  <w:style w:type="character" w:customStyle="1" w:styleId="720">
    <w:name w:val="z-窗体顶端 Char1"/>
    <w:semiHidden/>
    <w:qFormat/>
    <w:uiPriority w:val="99"/>
    <w:rPr>
      <w:rFonts w:ascii="Arial" w:hAnsi="Arial" w:eastAsia="宋体" w:cs="Arial"/>
      <w:vanish/>
      <w:sz w:val="16"/>
      <w:szCs w:val="16"/>
    </w:rPr>
  </w:style>
  <w:style w:type="character" w:customStyle="1" w:styleId="721">
    <w:name w:val="图例 Char Char"/>
    <w:link w:val="722"/>
    <w:qFormat/>
    <w:uiPriority w:val="0"/>
    <w:rPr>
      <w:rFonts w:ascii="Times New Roman" w:hAnsi="Times New Roman"/>
      <w:b/>
      <w:bCs/>
      <w:szCs w:val="24"/>
      <w:lang w:val="zh-CN"/>
    </w:rPr>
  </w:style>
  <w:style w:type="paragraph" w:customStyle="1" w:styleId="722">
    <w:name w:val="图例"/>
    <w:basedOn w:val="653"/>
    <w:link w:val="721"/>
    <w:qFormat/>
    <w:uiPriority w:val="0"/>
    <w:rPr>
      <w:szCs w:val="24"/>
    </w:rPr>
  </w:style>
  <w:style w:type="character" w:customStyle="1" w:styleId="723">
    <w:name w:val="小标题 Char Char"/>
    <w:link w:val="724"/>
    <w:qFormat/>
    <w:uiPriority w:val="0"/>
    <w:rPr>
      <w:rFonts w:ascii="Times New Roman" w:hAnsi="Times New Roman" w:eastAsia="仿宋_GB2312"/>
      <w:b/>
      <w:sz w:val="28"/>
    </w:rPr>
  </w:style>
  <w:style w:type="paragraph" w:customStyle="1" w:styleId="724">
    <w:name w:val="小标题"/>
    <w:basedOn w:val="1"/>
    <w:next w:val="1"/>
    <w:link w:val="723"/>
    <w:qFormat/>
    <w:uiPriority w:val="0"/>
    <w:pPr>
      <w:widowControl w:val="0"/>
      <w:spacing w:line="486" w:lineRule="exact"/>
      <w:ind w:firstLine="200" w:firstLineChars="200"/>
    </w:pPr>
    <w:rPr>
      <w:rFonts w:ascii="Times New Roman" w:hAnsi="Times New Roman" w:eastAsia="仿宋_GB2312" w:cs="Times New Roman"/>
      <w:b/>
      <w:sz w:val="28"/>
      <w:szCs w:val="20"/>
    </w:rPr>
  </w:style>
  <w:style w:type="character" w:customStyle="1" w:styleId="725">
    <w:name w:val="正文11 Char Char Char Char1"/>
    <w:qFormat/>
    <w:uiPriority w:val="0"/>
    <w:rPr>
      <w:rFonts w:ascii="宋体" w:hAnsi="宋体" w:eastAsia="宋体"/>
      <w:snapToGrid w:val="0"/>
      <w:sz w:val="24"/>
      <w:szCs w:val="24"/>
      <w:lang w:val="en-US" w:eastAsia="zh-CN" w:bidi="ar-SA"/>
    </w:rPr>
  </w:style>
  <w:style w:type="character" w:customStyle="1" w:styleId="726">
    <w:name w:val="Char Char29"/>
    <w:qFormat/>
    <w:uiPriority w:val="0"/>
    <w:rPr>
      <w:rFonts w:hint="eastAsia" w:ascii="宋体" w:hAnsi="Times New Roman" w:eastAsia="宋体" w:cs="Times New Roman"/>
      <w:color w:val="000000"/>
      <w:kern w:val="0"/>
      <w:sz w:val="36"/>
      <w:szCs w:val="20"/>
    </w:rPr>
  </w:style>
  <w:style w:type="character" w:customStyle="1" w:styleId="727">
    <w:name w:val="正文缩进 Char1"/>
    <w:link w:val="728"/>
    <w:qFormat/>
    <w:uiPriority w:val="0"/>
    <w:rPr>
      <w:rFonts w:ascii="Times New Roman" w:hAnsi="Times New Roman" w:eastAsia="宋体" w:cs="Times New Roman"/>
      <w:szCs w:val="24"/>
    </w:rPr>
  </w:style>
  <w:style w:type="paragraph" w:customStyle="1" w:styleId="728">
    <w:name w:val="正文缩进1"/>
    <w:basedOn w:val="1"/>
    <w:link w:val="727"/>
    <w:qFormat/>
    <w:uiPriority w:val="0"/>
    <w:pPr>
      <w:widowControl w:val="0"/>
      <w:spacing w:line="360" w:lineRule="exact"/>
      <w:ind w:firstLine="510"/>
      <w:jc w:val="both"/>
    </w:pPr>
    <w:rPr>
      <w:rFonts w:ascii="Times New Roman" w:hAnsi="Times New Roman" w:cs="Times New Roman"/>
      <w:sz w:val="20"/>
    </w:rPr>
  </w:style>
  <w:style w:type="character" w:customStyle="1" w:styleId="729">
    <w:name w:val="日期 Char1"/>
    <w:qFormat/>
    <w:uiPriority w:val="99"/>
    <w:rPr>
      <w:rFonts w:ascii="Times New Roman" w:hAnsi="Times New Roman" w:eastAsia="宋体" w:cs="Times New Roman"/>
      <w:szCs w:val="24"/>
    </w:rPr>
  </w:style>
  <w:style w:type="character" w:customStyle="1" w:styleId="730">
    <w:name w:val="Char Char152"/>
    <w:link w:val="731"/>
    <w:qFormat/>
    <w:uiPriority w:val="0"/>
    <w:rPr>
      <w:sz w:val="24"/>
    </w:rPr>
  </w:style>
  <w:style w:type="paragraph" w:customStyle="1" w:styleId="731">
    <w:name w:val="正文文本1"/>
    <w:basedOn w:val="1"/>
    <w:link w:val="730"/>
    <w:qFormat/>
    <w:uiPriority w:val="0"/>
    <w:pPr>
      <w:widowControl w:val="0"/>
      <w:spacing w:line="240" w:lineRule="atLeast"/>
      <w:jc w:val="center"/>
    </w:pPr>
    <w:rPr>
      <w:rFonts w:ascii="Calibri" w:hAnsi="Calibri" w:cs="Times New Roman"/>
      <w:szCs w:val="20"/>
    </w:rPr>
  </w:style>
  <w:style w:type="character" w:customStyle="1" w:styleId="732">
    <w:name w:val="cucd-B Char Char Char Char"/>
    <w:link w:val="733"/>
    <w:qFormat/>
    <w:uiPriority w:val="0"/>
    <w:rPr>
      <w:rFonts w:ascii="宋体" w:hAnsi="宋体"/>
      <w:color w:val="000000"/>
      <w:sz w:val="21"/>
      <w:szCs w:val="21"/>
    </w:rPr>
  </w:style>
  <w:style w:type="paragraph" w:customStyle="1" w:styleId="733">
    <w:name w:val="cucd-B Char Char"/>
    <w:next w:val="1"/>
    <w:link w:val="732"/>
    <w:qFormat/>
    <w:uiPriority w:val="0"/>
    <w:pPr>
      <w:widowControl w:val="0"/>
      <w:spacing w:beforeLines="50" w:line="240" w:lineRule="atLeast"/>
      <w:jc w:val="both"/>
    </w:pPr>
    <w:rPr>
      <w:rFonts w:ascii="宋体" w:hAnsi="宋体" w:eastAsia="宋体" w:cs="Times New Roman"/>
      <w:color w:val="000000"/>
      <w:sz w:val="21"/>
      <w:szCs w:val="21"/>
      <w:lang w:val="en-US" w:eastAsia="zh-CN" w:bidi="ar-SA"/>
    </w:rPr>
  </w:style>
  <w:style w:type="character" w:customStyle="1" w:styleId="734">
    <w:name w:val="正文文本 3 Char Char"/>
    <w:qFormat/>
    <w:uiPriority w:val="0"/>
    <w:rPr>
      <w:rFonts w:ascii="Times New Roman" w:hAnsi="Times New Roman" w:eastAsia="宋体" w:cs="Times New Roman"/>
      <w:sz w:val="16"/>
      <w:szCs w:val="16"/>
    </w:rPr>
  </w:style>
  <w:style w:type="character" w:customStyle="1" w:styleId="735">
    <w:name w:val="不明显强调1"/>
    <w:qFormat/>
    <w:uiPriority w:val="19"/>
    <w:rPr>
      <w:i/>
      <w:iCs/>
      <w:color w:val="808080"/>
    </w:rPr>
  </w:style>
  <w:style w:type="character" w:customStyle="1" w:styleId="736">
    <w:name w:val="小表右 Char Char"/>
    <w:link w:val="737"/>
    <w:qFormat/>
    <w:uiPriority w:val="0"/>
    <w:rPr>
      <w:rFonts w:ascii="宋体" w:hAnsi="宋体"/>
    </w:rPr>
  </w:style>
  <w:style w:type="paragraph" w:customStyle="1" w:styleId="737">
    <w:name w:val="小表右"/>
    <w:basedOn w:val="1"/>
    <w:link w:val="736"/>
    <w:qFormat/>
    <w:uiPriority w:val="0"/>
    <w:pPr>
      <w:keepNext/>
      <w:widowControl w:val="0"/>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cs="Times New Roman"/>
      <w:sz w:val="20"/>
      <w:szCs w:val="20"/>
    </w:rPr>
  </w:style>
  <w:style w:type="character" w:customStyle="1" w:styleId="738">
    <w:name w:val="A3"/>
    <w:qFormat/>
    <w:uiPriority w:val="0"/>
    <w:rPr>
      <w:rFonts w:ascii="BankGothic Lt BT" w:hAnsi="BankGothic Lt BT" w:cs="BankGothic Lt BT"/>
      <w:color w:val="000000"/>
      <w:sz w:val="36"/>
      <w:szCs w:val="36"/>
    </w:rPr>
  </w:style>
  <w:style w:type="character" w:customStyle="1" w:styleId="739">
    <w:name w:val="表格和图片 Char Char"/>
    <w:link w:val="740"/>
    <w:semiHidden/>
    <w:qFormat/>
    <w:uiPriority w:val="0"/>
    <w:rPr>
      <w:color w:val="000000"/>
      <w:sz w:val="24"/>
    </w:rPr>
  </w:style>
  <w:style w:type="paragraph" w:customStyle="1" w:styleId="740">
    <w:name w:val="表格和图片"/>
    <w:basedOn w:val="1"/>
    <w:link w:val="739"/>
    <w:semiHidden/>
    <w:qFormat/>
    <w:uiPriority w:val="0"/>
    <w:pPr>
      <w:widowControl w:val="0"/>
      <w:spacing w:line="360" w:lineRule="auto"/>
      <w:jc w:val="center"/>
    </w:pPr>
    <w:rPr>
      <w:rFonts w:ascii="Calibri" w:hAnsi="Calibri" w:cs="Times New Roman"/>
      <w:color w:val="000000"/>
      <w:szCs w:val="20"/>
    </w:rPr>
  </w:style>
  <w:style w:type="character" w:customStyle="1" w:styleId="741">
    <w:name w:val="large"/>
    <w:qFormat/>
    <w:uiPriority w:val="0"/>
  </w:style>
  <w:style w:type="character" w:customStyle="1" w:styleId="742">
    <w:name w:val="background-color:#ffffff"/>
    <w:qFormat/>
    <w:uiPriority w:val="0"/>
  </w:style>
  <w:style w:type="character" w:customStyle="1" w:styleId="743">
    <w:name w:val="font21"/>
    <w:qFormat/>
    <w:uiPriority w:val="0"/>
    <w:rPr>
      <w:rFonts w:hint="eastAsia" w:ascii="宋体" w:hAnsi="宋体" w:eastAsia="宋体"/>
      <w:color w:val="000000"/>
      <w:sz w:val="22"/>
      <w:u w:val="none"/>
    </w:rPr>
  </w:style>
  <w:style w:type="character" w:customStyle="1" w:styleId="744">
    <w:name w:val="zy"/>
    <w:qFormat/>
    <w:uiPriority w:val="0"/>
  </w:style>
  <w:style w:type="character" w:customStyle="1" w:styleId="745">
    <w:name w:val="zhengwencolor1"/>
    <w:qFormat/>
    <w:uiPriority w:val="0"/>
    <w:rPr>
      <w:color w:val="000000"/>
      <w:sz w:val="16"/>
      <w:szCs w:val="16"/>
    </w:rPr>
  </w:style>
  <w:style w:type="character" w:customStyle="1" w:styleId="746">
    <w:name w:val="正文文本 2 Char1"/>
    <w:qFormat/>
    <w:uiPriority w:val="0"/>
    <w:rPr>
      <w:rFonts w:ascii="Times New Roman" w:hAnsi="Times New Roman" w:eastAsia="宋体" w:cs="Times New Roman"/>
      <w:szCs w:val="24"/>
    </w:rPr>
  </w:style>
  <w:style w:type="character" w:customStyle="1" w:styleId="747">
    <w:name w:val="aaa Char Char"/>
    <w:link w:val="748"/>
    <w:qFormat/>
    <w:uiPriority w:val="0"/>
    <w:rPr>
      <w:rFonts w:ascii="ˎ̥" w:hAnsi="ˎ̥"/>
      <w:bCs/>
      <w:color w:val="000000"/>
      <w:sz w:val="24"/>
    </w:rPr>
  </w:style>
  <w:style w:type="paragraph" w:customStyle="1" w:styleId="748">
    <w:name w:val="aaa"/>
    <w:basedOn w:val="1"/>
    <w:link w:val="747"/>
    <w:qFormat/>
    <w:uiPriority w:val="0"/>
    <w:pPr>
      <w:widowControl w:val="0"/>
      <w:spacing w:beforeLines="50" w:afterLines="50" w:line="360" w:lineRule="auto"/>
      <w:ind w:firstLine="480" w:firstLineChars="200"/>
      <w:jc w:val="both"/>
    </w:pPr>
    <w:rPr>
      <w:rFonts w:ascii="ˎ̥" w:hAnsi="ˎ̥" w:cs="Times New Roman"/>
      <w:bCs/>
      <w:color w:val="000000"/>
      <w:szCs w:val="20"/>
    </w:rPr>
  </w:style>
  <w:style w:type="character" w:customStyle="1" w:styleId="749">
    <w:name w:val="Char Char171"/>
    <w:qFormat/>
    <w:uiPriority w:val="0"/>
    <w:rPr>
      <w:rFonts w:eastAsia="宋体"/>
      <w:kern w:val="2"/>
      <w:sz w:val="21"/>
      <w:szCs w:val="24"/>
      <w:lang w:val="en-US" w:eastAsia="zh-CN" w:bidi="ar-SA"/>
    </w:rPr>
  </w:style>
  <w:style w:type="character" w:customStyle="1" w:styleId="750">
    <w:name w:val="表格内容1 Char Char Char Char"/>
    <w:qFormat/>
    <w:uiPriority w:val="0"/>
    <w:rPr>
      <w:rFonts w:ascii="Arial" w:hAnsi="Arial" w:eastAsia="仿宋_GB2312"/>
      <w:kern w:val="24"/>
      <w:sz w:val="21"/>
      <w:szCs w:val="24"/>
    </w:rPr>
  </w:style>
  <w:style w:type="character" w:customStyle="1" w:styleId="751">
    <w:name w:val="bds_nopic2"/>
    <w:qFormat/>
    <w:uiPriority w:val="0"/>
  </w:style>
  <w:style w:type="character" w:customStyle="1" w:styleId="752">
    <w:name w:val="sidecatalog-dot4"/>
    <w:qFormat/>
    <w:uiPriority w:val="0"/>
  </w:style>
  <w:style w:type="character" w:customStyle="1" w:styleId="753">
    <w:name w:val="sidecatalog-dot1"/>
    <w:qFormat/>
    <w:uiPriority w:val="0"/>
  </w:style>
  <w:style w:type="character" w:customStyle="1" w:styleId="754">
    <w:name w:val="Char Char Char Char1"/>
    <w:qFormat/>
    <w:uiPriority w:val="0"/>
    <w:rPr>
      <w:rFonts w:ascii="宋体" w:hAnsi="Courier New" w:eastAsia="宋体" w:cs="Courier New"/>
      <w:sz w:val="21"/>
      <w:szCs w:val="21"/>
      <w:lang w:val="en-US" w:eastAsia="zh-CN" w:bidi="ar-SA"/>
    </w:rPr>
  </w:style>
  <w:style w:type="character" w:customStyle="1" w:styleId="755">
    <w:name w:val="表格 Char Char Char"/>
    <w:qFormat/>
    <w:locked/>
    <w:uiPriority w:val="0"/>
    <w:rPr>
      <w:sz w:val="21"/>
      <w:lang w:val="en-US" w:eastAsia="zh-CN" w:bidi="ar-SA"/>
    </w:rPr>
  </w:style>
  <w:style w:type="character" w:customStyle="1" w:styleId="756">
    <w:name w:val="Char Char1 Char Char Char Char Char Char Char Char Char Char Char Char Char Char1"/>
    <w:link w:val="757"/>
    <w:qFormat/>
    <w:uiPriority w:val="0"/>
  </w:style>
  <w:style w:type="paragraph" w:customStyle="1" w:styleId="757">
    <w:name w:val="Char Char1 Char Char Char Char Char Char Char Char Char Char Char Char"/>
    <w:basedOn w:val="1"/>
    <w:link w:val="756"/>
    <w:qFormat/>
    <w:uiPriority w:val="0"/>
    <w:pPr>
      <w:widowControl w:val="0"/>
    </w:pPr>
    <w:rPr>
      <w:rFonts w:ascii="Calibri" w:hAnsi="Calibri" w:cs="Times New Roman"/>
      <w:sz w:val="20"/>
      <w:szCs w:val="20"/>
    </w:rPr>
  </w:style>
  <w:style w:type="character" w:customStyle="1" w:styleId="758">
    <w:name w:val="市局正文 Char Char"/>
    <w:link w:val="759"/>
    <w:qFormat/>
    <w:uiPriority w:val="0"/>
    <w:rPr>
      <w:rFonts w:ascii="Times New Roman" w:hAnsi="Times New Roman"/>
      <w:b/>
      <w:sz w:val="24"/>
      <w:szCs w:val="24"/>
      <w:lang w:val="de-DE"/>
    </w:rPr>
  </w:style>
  <w:style w:type="paragraph" w:customStyle="1" w:styleId="759">
    <w:name w:val="市局正文"/>
    <w:basedOn w:val="1"/>
    <w:link w:val="758"/>
    <w:qFormat/>
    <w:uiPriority w:val="0"/>
    <w:pPr>
      <w:keepNext/>
      <w:widowControl w:val="0"/>
      <w:adjustRightInd w:val="0"/>
      <w:snapToGrid w:val="0"/>
      <w:spacing w:line="360" w:lineRule="auto"/>
      <w:jc w:val="center"/>
    </w:pPr>
    <w:rPr>
      <w:rFonts w:ascii="Times New Roman" w:hAnsi="Times New Roman" w:cs="Times New Roman"/>
      <w:b/>
      <w:lang w:val="de-DE"/>
    </w:rPr>
  </w:style>
  <w:style w:type="character" w:customStyle="1" w:styleId="760">
    <w:name w:val="Char Char27"/>
    <w:qFormat/>
    <w:uiPriority w:val="0"/>
    <w:rPr>
      <w:rFonts w:hint="default" w:ascii="Times New Roman" w:hAnsi="Times New Roman" w:eastAsia="宋体" w:cs="Times New Roman"/>
      <w:sz w:val="24"/>
      <w:szCs w:val="24"/>
    </w:rPr>
  </w:style>
  <w:style w:type="character" w:customStyle="1" w:styleId="761">
    <w:name w:val="表格文字1 Char"/>
    <w:qFormat/>
    <w:uiPriority w:val="0"/>
    <w:rPr>
      <w:rFonts w:ascii="宋体" w:hAnsi="Courier New" w:eastAsia="宋体" w:cs="Courier New"/>
      <w:kern w:val="2"/>
      <w:sz w:val="21"/>
      <w:szCs w:val="21"/>
      <w:lang w:val="en-US" w:eastAsia="zh-CN" w:bidi="ar-SA"/>
    </w:rPr>
  </w:style>
  <w:style w:type="character" w:customStyle="1" w:styleId="762">
    <w:name w:val="燕山正文 Char Char"/>
    <w:link w:val="763"/>
    <w:qFormat/>
    <w:uiPriority w:val="0"/>
    <w:rPr>
      <w:rFonts w:ascii="Times New Roman" w:hAnsi="Times New Roman"/>
      <w:sz w:val="24"/>
      <w:szCs w:val="28"/>
      <w:shd w:val="clear" w:color="auto" w:fill="FFFFFF"/>
    </w:rPr>
  </w:style>
  <w:style w:type="paragraph" w:customStyle="1" w:styleId="763">
    <w:name w:val="燕山正文"/>
    <w:basedOn w:val="1"/>
    <w:link w:val="762"/>
    <w:qFormat/>
    <w:uiPriority w:val="0"/>
    <w:pPr>
      <w:widowControl w:val="0"/>
      <w:shd w:val="clear" w:color="auto" w:fill="FFFFFF"/>
      <w:tabs>
        <w:tab w:val="left" w:pos="4680"/>
      </w:tabs>
      <w:adjustRightInd w:val="0"/>
      <w:snapToGrid w:val="0"/>
      <w:spacing w:beforeLines="30" w:afterLines="30" w:line="360" w:lineRule="auto"/>
      <w:ind w:firstLine="480" w:firstLineChars="200"/>
    </w:pPr>
    <w:rPr>
      <w:rFonts w:ascii="Times New Roman" w:hAnsi="Times New Roman" w:cs="Times New Roman"/>
      <w:szCs w:val="28"/>
    </w:rPr>
  </w:style>
  <w:style w:type="character" w:customStyle="1" w:styleId="764">
    <w:name w:val="样式 小三"/>
    <w:qFormat/>
    <w:uiPriority w:val="0"/>
    <w:rPr>
      <w:rFonts w:ascii="宋体" w:eastAsia="宋体"/>
      <w:sz w:val="28"/>
      <w:szCs w:val="28"/>
    </w:rPr>
  </w:style>
  <w:style w:type="character" w:customStyle="1" w:styleId="765">
    <w:name w:val="3zw1"/>
    <w:qFormat/>
    <w:uiPriority w:val="0"/>
    <w:rPr>
      <w:color w:val="000000"/>
      <w:sz w:val="21"/>
      <w:szCs w:val="21"/>
    </w:rPr>
  </w:style>
  <w:style w:type="character" w:customStyle="1" w:styleId="766">
    <w:name w:val="标题 3 Char2"/>
    <w:qFormat/>
    <w:uiPriority w:val="0"/>
    <w:rPr>
      <w:rFonts w:ascii="Calibri" w:hAnsi="Calibri" w:eastAsia="宋体"/>
      <w:b/>
      <w:bCs/>
      <w:kern w:val="2"/>
      <w:sz w:val="32"/>
      <w:szCs w:val="32"/>
      <w:lang w:val="en-US" w:eastAsia="zh-CN" w:bidi="ar-SA"/>
    </w:rPr>
  </w:style>
  <w:style w:type="character" w:customStyle="1" w:styleId="767">
    <w:name w:val="Char Char242"/>
    <w:qFormat/>
    <w:uiPriority w:val="0"/>
    <w:rPr>
      <w:b/>
      <w:kern w:val="44"/>
      <w:sz w:val="44"/>
    </w:rPr>
  </w:style>
  <w:style w:type="character" w:customStyle="1" w:styleId="768">
    <w:name w:val="样式 (符号) 宋体 13 磅"/>
    <w:qFormat/>
    <w:uiPriority w:val="0"/>
    <w:rPr>
      <w:rFonts w:ascii="宋体" w:eastAsia="宋体"/>
      <w:sz w:val="27"/>
      <w:szCs w:val="27"/>
    </w:rPr>
  </w:style>
  <w:style w:type="character" w:customStyle="1" w:styleId="769">
    <w:name w:val="Body Text Indent 2 Char Char"/>
    <w:link w:val="770"/>
    <w:qFormat/>
    <w:uiPriority w:val="0"/>
    <w:rPr>
      <w:rFonts w:ascii="Times New Roman" w:hAnsi="Times New Roman"/>
      <w:sz w:val="24"/>
    </w:rPr>
  </w:style>
  <w:style w:type="paragraph" w:customStyle="1" w:styleId="770">
    <w:name w:val="Body Text Indent 21"/>
    <w:basedOn w:val="1"/>
    <w:link w:val="769"/>
    <w:qFormat/>
    <w:uiPriority w:val="0"/>
    <w:pPr>
      <w:widowControl w:val="0"/>
      <w:spacing w:line="440" w:lineRule="exact"/>
      <w:ind w:firstLine="540" w:firstLineChars="200"/>
    </w:pPr>
    <w:rPr>
      <w:rFonts w:ascii="Times New Roman" w:hAnsi="Times New Roman" w:cs="Times New Roman"/>
      <w:szCs w:val="20"/>
    </w:rPr>
  </w:style>
  <w:style w:type="character" w:customStyle="1" w:styleId="771">
    <w:name w:val="正文文字描述 Char Char"/>
    <w:link w:val="772"/>
    <w:qFormat/>
    <w:uiPriority w:val="0"/>
    <w:rPr>
      <w:color w:val="000000"/>
      <w:spacing w:val="20"/>
      <w:sz w:val="24"/>
      <w:szCs w:val="28"/>
    </w:rPr>
  </w:style>
  <w:style w:type="paragraph" w:customStyle="1" w:styleId="772">
    <w:name w:val="正文文字描述"/>
    <w:basedOn w:val="1"/>
    <w:link w:val="771"/>
    <w:qFormat/>
    <w:uiPriority w:val="0"/>
    <w:pPr>
      <w:widowControl w:val="0"/>
      <w:spacing w:line="480" w:lineRule="exact"/>
      <w:ind w:firstLine="200" w:firstLineChars="200"/>
      <w:jc w:val="both"/>
    </w:pPr>
    <w:rPr>
      <w:rFonts w:ascii="Calibri" w:hAnsi="Calibri" w:cs="Times New Roman"/>
      <w:color w:val="000000"/>
      <w:spacing w:val="20"/>
      <w:szCs w:val="28"/>
    </w:rPr>
  </w:style>
  <w:style w:type="character" w:customStyle="1" w:styleId="773">
    <w:name w:val="样式 (中文) 仿宋_GB2312 四号 行距: 1.5 倍行距 Char Char Char"/>
    <w:qFormat/>
    <w:uiPriority w:val="0"/>
    <w:rPr>
      <w:rFonts w:ascii="宋体" w:hAnsi="宋体" w:eastAsia="宋体"/>
      <w:kern w:val="2"/>
      <w:sz w:val="28"/>
      <w:szCs w:val="24"/>
      <w:lang w:val="en-US" w:eastAsia="zh-CN" w:bidi="ar-SA"/>
    </w:rPr>
  </w:style>
  <w:style w:type="character" w:customStyle="1" w:styleId="774">
    <w:name w:val="表头 Char Char"/>
    <w:qFormat/>
    <w:uiPriority w:val="0"/>
    <w:rPr>
      <w:rFonts w:ascii="宋体" w:hAnsi="宋体" w:eastAsia="宋体"/>
      <w:sz w:val="28"/>
      <w:szCs w:val="28"/>
      <w:lang w:bidi="ar-SA"/>
    </w:rPr>
  </w:style>
  <w:style w:type="character" w:customStyle="1" w:styleId="775">
    <w:name w:val="Footer-Even Char"/>
    <w:qFormat/>
    <w:uiPriority w:val="0"/>
    <w:rPr>
      <w:rFonts w:ascii="Calibri" w:hAnsi="Calibri" w:eastAsia="宋体"/>
      <w:kern w:val="2"/>
      <w:sz w:val="18"/>
      <w:szCs w:val="18"/>
      <w:lang w:val="en-US" w:eastAsia="zh-CN" w:bidi="ar-SA"/>
    </w:rPr>
  </w:style>
  <w:style w:type="character" w:customStyle="1" w:styleId="776">
    <w:name w:val="批注文字 Char1"/>
    <w:qFormat/>
    <w:uiPriority w:val="99"/>
    <w:rPr>
      <w:rFonts w:eastAsia="宋体"/>
      <w:szCs w:val="24"/>
      <w:lang w:bidi="ar-SA"/>
    </w:rPr>
  </w:style>
  <w:style w:type="character" w:customStyle="1" w:styleId="777">
    <w:name w:val="页眉 Char1"/>
    <w:qFormat/>
    <w:uiPriority w:val="0"/>
    <w:rPr>
      <w:rFonts w:ascii="Calibri" w:hAnsi="Calibri" w:eastAsia="宋体" w:cs="Times New Roman"/>
      <w:sz w:val="18"/>
      <w:szCs w:val="18"/>
    </w:rPr>
  </w:style>
  <w:style w:type="character" w:customStyle="1" w:styleId="778">
    <w:name w:val="yinwen1"/>
    <w:semiHidden/>
    <w:qFormat/>
    <w:uiPriority w:val="0"/>
    <w:rPr>
      <w:color w:val="3B4E9E"/>
    </w:rPr>
  </w:style>
  <w:style w:type="character" w:customStyle="1" w:styleId="779">
    <w:name w:val="bds_more"/>
    <w:qFormat/>
    <w:uiPriority w:val="0"/>
    <w:rPr>
      <w:rFonts w:hint="eastAsia" w:ascii="宋体" w:hAnsi="宋体" w:eastAsia="宋体" w:cs="宋体"/>
    </w:rPr>
  </w:style>
  <w:style w:type="character" w:customStyle="1" w:styleId="780">
    <w:name w:val="show-img-bd"/>
    <w:qFormat/>
    <w:uiPriority w:val="0"/>
  </w:style>
  <w:style w:type="character" w:customStyle="1" w:styleId="781">
    <w:name w:val="bds_more3"/>
    <w:qFormat/>
    <w:uiPriority w:val="0"/>
  </w:style>
  <w:style w:type="character" w:customStyle="1" w:styleId="782">
    <w:name w:val="bds_nopic"/>
    <w:qFormat/>
    <w:uiPriority w:val="0"/>
  </w:style>
  <w:style w:type="character" w:customStyle="1" w:styleId="783">
    <w:name w:val="a-size-large"/>
    <w:qFormat/>
    <w:uiPriority w:val="0"/>
  </w:style>
  <w:style w:type="character" w:customStyle="1" w:styleId="784">
    <w:name w:val="postbody1"/>
    <w:semiHidden/>
    <w:qFormat/>
    <w:uiPriority w:val="0"/>
    <w:rPr>
      <w:sz w:val="21"/>
      <w:szCs w:val="21"/>
    </w:rPr>
  </w:style>
  <w:style w:type="character" w:customStyle="1" w:styleId="785">
    <w:name w:val="body text 1 Char Char"/>
    <w:semiHidden/>
    <w:qFormat/>
    <w:uiPriority w:val="0"/>
    <w:rPr>
      <w:rFonts w:ascii="Times New Roman" w:hAnsi="Times New Roman" w:eastAsia="宋体" w:cs="Times New Roman"/>
      <w:snapToGrid w:val="0"/>
      <w:kern w:val="0"/>
      <w:sz w:val="24"/>
      <w:szCs w:val="24"/>
    </w:rPr>
  </w:style>
  <w:style w:type="character" w:customStyle="1" w:styleId="786">
    <w:name w:val="font01"/>
    <w:qFormat/>
    <w:uiPriority w:val="0"/>
    <w:rPr>
      <w:rFonts w:hint="default" w:ascii="Times New Roman" w:hAnsi="Times New Roman" w:cs="Times New Roman"/>
      <w:color w:val="FF0000"/>
      <w:sz w:val="18"/>
      <w:szCs w:val="18"/>
      <w:u w:val="none"/>
    </w:rPr>
  </w:style>
  <w:style w:type="character" w:customStyle="1" w:styleId="787">
    <w:name w:val="font201"/>
    <w:qFormat/>
    <w:uiPriority w:val="0"/>
    <w:rPr>
      <w:rFonts w:hint="default" w:ascii="Times New Roman" w:hAnsi="Times New Roman" w:cs="Times New Roman"/>
      <w:color w:val="000000"/>
      <w:sz w:val="18"/>
      <w:szCs w:val="18"/>
      <w:u w:val="none"/>
    </w:rPr>
  </w:style>
  <w:style w:type="character" w:customStyle="1" w:styleId="788">
    <w:name w:val="font121"/>
    <w:qFormat/>
    <w:uiPriority w:val="0"/>
    <w:rPr>
      <w:rFonts w:hint="default" w:ascii="Times New Roman" w:hAnsi="Times New Roman" w:cs="Times New Roman"/>
      <w:b/>
      <w:bCs/>
      <w:color w:val="000000"/>
      <w:sz w:val="18"/>
      <w:szCs w:val="18"/>
      <w:u w:val="none"/>
      <w:vertAlign w:val="superscript"/>
    </w:rPr>
  </w:style>
  <w:style w:type="character" w:customStyle="1" w:styleId="789">
    <w:name w:val="font181"/>
    <w:qFormat/>
    <w:uiPriority w:val="0"/>
    <w:rPr>
      <w:rFonts w:hint="eastAsia" w:ascii="宋体" w:hAnsi="宋体" w:eastAsia="宋体"/>
      <w:color w:val="000000"/>
      <w:sz w:val="18"/>
      <w:szCs w:val="18"/>
      <w:u w:val="none"/>
    </w:rPr>
  </w:style>
  <w:style w:type="character" w:customStyle="1" w:styleId="790">
    <w:name w:val="Char Char12"/>
    <w:semiHidden/>
    <w:qFormat/>
    <w:uiPriority w:val="0"/>
    <w:rPr>
      <w:rFonts w:eastAsia="宋体"/>
      <w:kern w:val="2"/>
      <w:sz w:val="18"/>
      <w:lang w:val="en-US" w:eastAsia="zh-CN" w:bidi="ar-SA"/>
    </w:rPr>
  </w:style>
  <w:style w:type="character" w:customStyle="1" w:styleId="791">
    <w:name w:val="标题 2 Char2"/>
    <w:semiHidden/>
    <w:qFormat/>
    <w:uiPriority w:val="0"/>
    <w:rPr>
      <w:rFonts w:ascii="黑体" w:eastAsia="黑体"/>
      <w:kern w:val="2"/>
      <w:sz w:val="24"/>
    </w:rPr>
  </w:style>
  <w:style w:type="character" w:customStyle="1" w:styleId="792">
    <w:name w:val="正文文本 (2) + 4 pt"/>
    <w:qFormat/>
    <w:uiPriority w:val="99"/>
    <w:rPr>
      <w:rFonts w:ascii="MingLiU" w:eastAsia="MingLiU" w:cs="MingLiU"/>
      <w:w w:val="200"/>
      <w:sz w:val="8"/>
      <w:szCs w:val="8"/>
      <w:u w:val="none"/>
      <w:shd w:val="clear" w:color="auto" w:fill="FFFFFF"/>
    </w:rPr>
  </w:style>
  <w:style w:type="character" w:customStyle="1" w:styleId="793">
    <w:name w:val="表格文字 Char"/>
    <w:qFormat/>
    <w:uiPriority w:val="0"/>
    <w:rPr>
      <w:rFonts w:ascii="Times New Roman" w:hAnsi="Times New Roman"/>
      <w:kern w:val="2"/>
      <w:sz w:val="21"/>
      <w:lang w:val="en-US" w:eastAsia="zh-CN" w:bidi="ar-DZ"/>
    </w:rPr>
  </w:style>
  <w:style w:type="character" w:customStyle="1" w:styleId="794">
    <w:name w:val="图名 Char"/>
    <w:link w:val="795"/>
    <w:qFormat/>
    <w:uiPriority w:val="0"/>
    <w:rPr>
      <w:rFonts w:ascii="宋体" w:hAnsi="宋体"/>
      <w:kern w:val="2"/>
      <w:sz w:val="24"/>
      <w:szCs w:val="24"/>
    </w:rPr>
  </w:style>
  <w:style w:type="paragraph" w:customStyle="1" w:styleId="795">
    <w:name w:val="图名"/>
    <w:link w:val="794"/>
    <w:qFormat/>
    <w:uiPriority w:val="0"/>
    <w:pPr>
      <w:widowControl w:val="0"/>
      <w:topLinePunct/>
      <w:jc w:val="center"/>
    </w:pPr>
    <w:rPr>
      <w:rFonts w:ascii="宋体" w:hAnsi="宋体" w:eastAsia="宋体" w:cs="Times New Roman"/>
      <w:kern w:val="2"/>
      <w:sz w:val="24"/>
      <w:szCs w:val="24"/>
      <w:lang w:val="en-US" w:eastAsia="zh-CN" w:bidi="ar-SA"/>
    </w:rPr>
  </w:style>
  <w:style w:type="character" w:customStyle="1" w:styleId="796">
    <w:name w:val="标题三 Char"/>
    <w:link w:val="797"/>
    <w:qFormat/>
    <w:uiPriority w:val="0"/>
    <w:rPr>
      <w:rFonts w:ascii="Times New Roman" w:hAnsi="Times New Roman" w:eastAsia="黑体"/>
      <w:b/>
      <w:bCs/>
      <w:kern w:val="2"/>
      <w:sz w:val="28"/>
      <w:szCs w:val="28"/>
    </w:rPr>
  </w:style>
  <w:style w:type="paragraph" w:customStyle="1" w:styleId="797">
    <w:name w:val="标题三"/>
    <w:basedOn w:val="185"/>
    <w:link w:val="796"/>
    <w:qFormat/>
    <w:uiPriority w:val="0"/>
    <w:pPr>
      <w:spacing w:beforeLines="50" w:afterLines="50" w:line="360" w:lineRule="auto"/>
      <w:ind w:firstLine="420" w:firstLineChars="200"/>
      <w:outlineLvl w:val="2"/>
    </w:pPr>
    <w:rPr>
      <w:rFonts w:ascii="Times New Roman" w:hAnsi="Times New Roman" w:eastAsia="黑体" w:cs="Times New Roman"/>
      <w:b/>
      <w:bCs/>
      <w:kern w:val="2"/>
      <w:sz w:val="28"/>
      <w:szCs w:val="28"/>
      <w:lang w:val="en-US" w:bidi="ar-SA"/>
    </w:rPr>
  </w:style>
  <w:style w:type="character" w:customStyle="1" w:styleId="798">
    <w:name w:val="普通(网站) Char1"/>
    <w:qFormat/>
    <w:uiPriority w:val="0"/>
    <w:rPr>
      <w:rFonts w:ascii="宋体" w:hAnsi="宋体" w:cs="宋体"/>
      <w:sz w:val="24"/>
      <w:szCs w:val="24"/>
    </w:rPr>
  </w:style>
  <w:style w:type="paragraph" w:customStyle="1" w:styleId="799">
    <w:name w:val="Char13"/>
    <w:basedOn w:val="1"/>
    <w:qFormat/>
    <w:uiPriority w:val="99"/>
    <w:pPr>
      <w:widowControl w:val="0"/>
      <w:jc w:val="both"/>
    </w:pPr>
    <w:rPr>
      <w:rFonts w:ascii="Tahoma" w:hAnsi="Tahoma" w:cs="Times New Roman"/>
      <w:kern w:val="2"/>
      <w:szCs w:val="20"/>
    </w:rPr>
  </w:style>
  <w:style w:type="paragraph" w:customStyle="1" w:styleId="800">
    <w:name w:val="Char Char Char Char"/>
    <w:basedOn w:val="1"/>
    <w:qFormat/>
    <w:uiPriority w:val="0"/>
    <w:pPr>
      <w:widowControl w:val="0"/>
      <w:jc w:val="both"/>
    </w:pPr>
    <w:rPr>
      <w:rFonts w:ascii="Times New Roman" w:hAnsi="Times New Roman" w:cs="Times New Roman"/>
      <w:kern w:val="2"/>
      <w:sz w:val="21"/>
      <w:szCs w:val="21"/>
    </w:rPr>
  </w:style>
  <w:style w:type="paragraph" w:customStyle="1" w:styleId="801">
    <w:name w:val="表标2.6"/>
    <w:next w:val="173"/>
    <w:qFormat/>
    <w:uiPriority w:val="99"/>
    <w:pPr>
      <w:tabs>
        <w:tab w:val="left" w:pos="8207"/>
      </w:tabs>
      <w:adjustRightInd w:val="0"/>
      <w:snapToGrid w:val="0"/>
      <w:spacing w:before="240" w:line="0" w:lineRule="atLeast"/>
      <w:ind w:left="-4" w:firstLine="4"/>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802">
    <w:name w:val="xl55"/>
    <w:basedOn w:val="1"/>
    <w:qFormat/>
    <w:uiPriority w:val="99"/>
    <w:pPr>
      <w:pBdr>
        <w:top w:val="single" w:color="auto" w:sz="8" w:space="0"/>
        <w:left w:val="single" w:color="auto" w:sz="4" w:space="0"/>
        <w:bottom w:val="single" w:color="auto" w:sz="8" w:space="0"/>
      </w:pBdr>
      <w:spacing w:before="100" w:beforeAutospacing="1" w:after="100" w:afterAutospacing="1"/>
      <w:jc w:val="center"/>
    </w:pPr>
    <w:rPr>
      <w:rFonts w:eastAsia="仿宋_GB2312" w:cs="Times New Roman"/>
      <w:position w:val="-6"/>
      <w:szCs w:val="21"/>
    </w:rPr>
  </w:style>
  <w:style w:type="paragraph" w:customStyle="1" w:styleId="803">
    <w:name w:val="样式 页眉 + 宋体 黑色 段前: 0 磅 段后: 0 磅 行距: 固定值 12 磅"/>
    <w:basedOn w:val="52"/>
    <w:qFormat/>
    <w:uiPriority w:val="0"/>
    <w:pPr>
      <w:widowControl w:val="0"/>
      <w:pBdr>
        <w:bottom w:val="none" w:color="auto" w:sz="0" w:space="0"/>
      </w:pBdr>
      <w:tabs>
        <w:tab w:val="clear" w:pos="4153"/>
        <w:tab w:val="clear" w:pos="8306"/>
      </w:tabs>
      <w:spacing w:line="240" w:lineRule="exact"/>
    </w:pPr>
    <w:rPr>
      <w:rFonts w:ascii="宋体" w:hAnsi="宋体"/>
      <w:color w:val="000000"/>
      <w:kern w:val="0"/>
      <w:sz w:val="21"/>
      <w:szCs w:val="20"/>
    </w:rPr>
  </w:style>
  <w:style w:type="paragraph" w:customStyle="1" w:styleId="804">
    <w:name w:val="xl58"/>
    <w:basedOn w:val="1"/>
    <w:qFormat/>
    <w:uiPriority w:val="99"/>
    <w:pPr>
      <w:pBdr>
        <w:top w:val="single" w:color="auto" w:sz="8" w:space="0"/>
        <w:bottom w:val="single" w:color="auto" w:sz="4" w:space="0"/>
        <w:right w:val="single" w:color="auto" w:sz="8" w:space="0"/>
      </w:pBdr>
      <w:spacing w:before="100" w:beforeAutospacing="1" w:after="100" w:afterAutospacing="1"/>
      <w:jc w:val="center"/>
    </w:pPr>
    <w:rPr>
      <w:rFonts w:eastAsia="仿宋_GB2312" w:cs="Times New Roman"/>
      <w:position w:val="-6"/>
      <w:szCs w:val="21"/>
    </w:rPr>
  </w:style>
  <w:style w:type="character" w:customStyle="1" w:styleId="805">
    <w:name w:val="尾注文本 Char2"/>
    <w:qFormat/>
    <w:uiPriority w:val="0"/>
    <w:rPr>
      <w:rFonts w:ascii="宋体" w:hAnsi="宋体" w:cs="宋体"/>
      <w:sz w:val="24"/>
      <w:szCs w:val="24"/>
    </w:rPr>
  </w:style>
  <w:style w:type="paragraph" w:customStyle="1" w:styleId="806">
    <w:name w:val="ksheet"/>
    <w:basedOn w:val="1"/>
    <w:qFormat/>
    <w:uiPriority w:val="99"/>
    <w:pPr>
      <w:widowControl w:val="0"/>
      <w:autoSpaceDE w:val="0"/>
      <w:autoSpaceDN w:val="0"/>
      <w:adjustRightInd w:val="0"/>
      <w:spacing w:line="300" w:lineRule="exact"/>
      <w:jc w:val="center"/>
      <w:textAlignment w:val="baseline"/>
    </w:pPr>
    <w:rPr>
      <w:rFonts w:hAnsi="Times New Roman" w:cs="Times New Roman"/>
      <w:snapToGrid w:val="0"/>
      <w:color w:val="000000"/>
      <w:sz w:val="21"/>
      <w:szCs w:val="20"/>
    </w:rPr>
  </w:style>
  <w:style w:type="paragraph" w:customStyle="1" w:styleId="807">
    <w:name w:val="xl26"/>
    <w:basedOn w:val="1"/>
    <w:qFormat/>
    <w:uiPriority w:val="99"/>
    <w:pPr>
      <w:pBdr>
        <w:right w:val="single" w:color="auto" w:sz="4" w:space="0"/>
      </w:pBdr>
      <w:spacing w:before="100" w:beforeAutospacing="1" w:after="100" w:afterAutospacing="1"/>
      <w:jc w:val="center"/>
    </w:pPr>
    <w:rPr>
      <w:rFonts w:ascii="Arial Unicode MS" w:hAnsi="Arial Unicode MS" w:eastAsia="Arial Unicode MS" w:cs="Times New Roman"/>
      <w:szCs w:val="20"/>
    </w:rPr>
  </w:style>
  <w:style w:type="paragraph" w:customStyle="1" w:styleId="808">
    <w:name w:val="表名"/>
    <w:basedOn w:val="1"/>
    <w:next w:val="1"/>
    <w:qFormat/>
    <w:uiPriority w:val="0"/>
    <w:pPr>
      <w:widowControl w:val="0"/>
      <w:tabs>
        <w:tab w:val="left" w:pos="8100"/>
      </w:tabs>
      <w:adjustRightInd w:val="0"/>
      <w:snapToGrid w:val="0"/>
      <w:spacing w:line="360" w:lineRule="auto"/>
      <w:ind w:right="32"/>
      <w:jc w:val="center"/>
    </w:pPr>
    <w:rPr>
      <w:rFonts w:ascii="Times New Roman" w:cs="Times New Roman"/>
      <w:b/>
      <w:snapToGrid w:val="0"/>
      <w:kern w:val="2"/>
    </w:rPr>
  </w:style>
  <w:style w:type="paragraph" w:customStyle="1" w:styleId="809">
    <w:name w:val="Char Char Char1 Char"/>
    <w:basedOn w:val="1"/>
    <w:qFormat/>
    <w:uiPriority w:val="99"/>
    <w:pPr>
      <w:widowControl w:val="0"/>
      <w:jc w:val="both"/>
    </w:pPr>
    <w:rPr>
      <w:rFonts w:ascii="Times New Roman" w:hAnsi="Times New Roman" w:cs="Times New Roman"/>
      <w:kern w:val="2"/>
      <w:sz w:val="21"/>
    </w:rPr>
  </w:style>
  <w:style w:type="paragraph" w:customStyle="1" w:styleId="810">
    <w:name w:val="列表 1"/>
    <w:basedOn w:val="1"/>
    <w:qFormat/>
    <w:uiPriority w:val="99"/>
    <w:pPr>
      <w:widowControl w:val="0"/>
      <w:tabs>
        <w:tab w:val="left" w:pos="432"/>
      </w:tabs>
      <w:spacing w:before="120" w:after="60" w:line="288" w:lineRule="auto"/>
      <w:ind w:left="432" w:hanging="432"/>
      <w:jc w:val="both"/>
    </w:pPr>
    <w:rPr>
      <w:rFonts w:ascii="Arial" w:hAnsi="Arial" w:cs="Times New Roman"/>
      <w:color w:val="FFCC99"/>
      <w:kern w:val="2"/>
      <w:szCs w:val="20"/>
    </w:rPr>
  </w:style>
  <w:style w:type="paragraph" w:customStyle="1" w:styleId="811">
    <w:name w:val="图题"/>
    <w:basedOn w:val="7"/>
    <w:qFormat/>
    <w:uiPriority w:val="99"/>
    <w:pPr>
      <w:keepNext w:val="0"/>
      <w:keepLines w:val="0"/>
      <w:widowControl w:val="0"/>
      <w:adjustRightInd w:val="0"/>
      <w:snapToGrid w:val="0"/>
      <w:spacing w:beforeLines="50" w:afterLines="50" w:line="40" w:lineRule="atLeast"/>
      <w:jc w:val="center"/>
      <w:outlineLvl w:val="9"/>
    </w:pPr>
    <w:rPr>
      <w:rFonts w:ascii="宋体" w:hAnsi="宋体" w:eastAsia="宋体"/>
      <w:b/>
      <w:sz w:val="24"/>
      <w:szCs w:val="28"/>
    </w:rPr>
  </w:style>
  <w:style w:type="character" w:customStyle="1" w:styleId="812">
    <w:name w:val="正文文本 3 Char2"/>
    <w:qFormat/>
    <w:uiPriority w:val="0"/>
    <w:rPr>
      <w:rFonts w:ascii="宋体" w:hAnsi="宋体" w:cs="宋体"/>
      <w:sz w:val="16"/>
      <w:szCs w:val="16"/>
    </w:rPr>
  </w:style>
  <w:style w:type="paragraph" w:customStyle="1" w:styleId="813">
    <w:name w:val="表格文字2"/>
    <w:basedOn w:val="1"/>
    <w:qFormat/>
    <w:uiPriority w:val="99"/>
    <w:pPr>
      <w:widowControl w:val="0"/>
      <w:tabs>
        <w:tab w:val="left" w:pos="277"/>
        <w:tab w:val="left" w:pos="600"/>
        <w:tab w:val="left" w:pos="780"/>
        <w:tab w:val="left" w:pos="2517"/>
      </w:tabs>
      <w:adjustRightInd w:val="0"/>
      <w:spacing w:before="60"/>
      <w:jc w:val="center"/>
    </w:pPr>
    <w:rPr>
      <w:rFonts w:ascii="Times New Roman" w:hAnsi="Times New Roman" w:cs="Times New Roman"/>
      <w:sz w:val="21"/>
      <w:szCs w:val="21"/>
    </w:rPr>
  </w:style>
  <w:style w:type="paragraph" w:customStyle="1" w:styleId="814">
    <w:name w:val="封面三号"/>
    <w:basedOn w:val="1"/>
    <w:qFormat/>
    <w:uiPriority w:val="99"/>
    <w:pPr>
      <w:widowControl w:val="0"/>
      <w:jc w:val="center"/>
    </w:pPr>
    <w:rPr>
      <w:spacing w:val="55"/>
      <w:sz w:val="32"/>
      <w:szCs w:val="32"/>
    </w:rPr>
  </w:style>
  <w:style w:type="character" w:customStyle="1" w:styleId="815">
    <w:name w:val="正文文本缩进 3 Char3"/>
    <w:qFormat/>
    <w:uiPriority w:val="0"/>
    <w:rPr>
      <w:rFonts w:ascii="宋体" w:hAnsi="宋体" w:cs="宋体"/>
      <w:sz w:val="16"/>
      <w:szCs w:val="16"/>
    </w:rPr>
  </w:style>
  <w:style w:type="paragraph" w:customStyle="1" w:styleId="816">
    <w:name w:val="样式 样式 表标题2.4 + 居中 段前: 1 行 + 两端对齐"/>
    <w:basedOn w:val="817"/>
    <w:qFormat/>
    <w:uiPriority w:val="99"/>
    <w:pPr>
      <w:tabs>
        <w:tab w:val="left" w:pos="726"/>
        <w:tab w:val="center" w:pos="4060"/>
        <w:tab w:val="right" w:pos="8261"/>
      </w:tabs>
      <w:ind w:left="2" w:firstLine="4"/>
      <w:jc w:val="both"/>
    </w:pPr>
  </w:style>
  <w:style w:type="paragraph" w:customStyle="1" w:styleId="817">
    <w:name w:val="样式 表标题2.4 + 居中 段前: 1 行"/>
    <w:basedOn w:val="818"/>
    <w:qFormat/>
    <w:uiPriority w:val="99"/>
    <w:pPr>
      <w:tabs>
        <w:tab w:val="center" w:pos="4060"/>
        <w:tab w:val="right" w:pos="8261"/>
      </w:tabs>
      <w:spacing w:beforeLines="0"/>
      <w:jc w:val="center"/>
    </w:pPr>
    <w:rPr>
      <w:rFonts w:cs="宋体"/>
      <w:bCs/>
      <w:szCs w:val="20"/>
    </w:rPr>
  </w:style>
  <w:style w:type="paragraph" w:customStyle="1" w:styleId="818">
    <w:name w:val="表标题2.4"/>
    <w:basedOn w:val="1"/>
    <w:qFormat/>
    <w:uiPriority w:val="99"/>
    <w:pPr>
      <w:widowControl w:val="0"/>
      <w:tabs>
        <w:tab w:val="center" w:pos="4060"/>
        <w:tab w:val="right" w:pos="8261"/>
      </w:tabs>
      <w:suppressAutoHyphens/>
      <w:adjustRightInd w:val="0"/>
      <w:spacing w:beforeLines="100" w:line="0" w:lineRule="atLeast"/>
      <w:jc w:val="both"/>
    </w:pPr>
    <w:rPr>
      <w:rFonts w:ascii="黑体" w:hAnsi="Times New Roman" w:eastAsia="黑体" w:cs="Times New Roman"/>
      <w:b/>
      <w:spacing w:val="6"/>
    </w:rPr>
  </w:style>
  <w:style w:type="paragraph" w:customStyle="1" w:styleId="819">
    <w:name w:val="表标题5.12"/>
    <w:basedOn w:val="1"/>
    <w:qFormat/>
    <w:uiPriority w:val="99"/>
    <w:pPr>
      <w:widowControl w:val="0"/>
      <w:tabs>
        <w:tab w:val="center" w:pos="4060"/>
        <w:tab w:val="right" w:pos="8261"/>
      </w:tabs>
      <w:suppressAutoHyphens/>
      <w:adjustRightInd w:val="0"/>
      <w:spacing w:beforeLines="100" w:line="0" w:lineRule="atLeast"/>
      <w:jc w:val="both"/>
    </w:pPr>
    <w:rPr>
      <w:rFonts w:ascii="黑体" w:hAnsi="Times New Roman" w:eastAsia="黑体" w:cs="Times New Roman"/>
      <w:b/>
      <w:spacing w:val="6"/>
      <w:szCs w:val="26"/>
    </w:rPr>
  </w:style>
  <w:style w:type="paragraph" w:customStyle="1" w:styleId="820">
    <w:name w:val="列表 B"/>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character" w:customStyle="1" w:styleId="821">
    <w:name w:val="HTML 地址 Char2"/>
    <w:qFormat/>
    <w:uiPriority w:val="0"/>
    <w:rPr>
      <w:rFonts w:ascii="宋体" w:hAnsi="宋体" w:cs="宋体"/>
      <w:i/>
      <w:iCs/>
      <w:sz w:val="24"/>
      <w:szCs w:val="24"/>
    </w:rPr>
  </w:style>
  <w:style w:type="paragraph" w:customStyle="1" w:styleId="822">
    <w:name w:val="列表 2L"/>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23">
    <w:name w:val="列表 2Z"/>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character" w:customStyle="1" w:styleId="824">
    <w:name w:val="结束语 Char2"/>
    <w:qFormat/>
    <w:uiPriority w:val="0"/>
    <w:rPr>
      <w:rFonts w:ascii="宋体" w:hAnsi="宋体" w:cs="宋体"/>
      <w:sz w:val="24"/>
      <w:szCs w:val="24"/>
    </w:rPr>
  </w:style>
  <w:style w:type="paragraph" w:customStyle="1" w:styleId="825">
    <w:name w:val="sub_body"/>
    <w:qFormat/>
    <w:uiPriority w:val="0"/>
    <w:pPr>
      <w:widowControl w:val="0"/>
      <w:autoSpaceDE w:val="0"/>
      <w:autoSpaceDN w:val="0"/>
      <w:adjustRightInd w:val="0"/>
      <w:spacing w:before="43" w:after="43" w:line="288" w:lineRule="atLeast"/>
      <w:ind w:left="288"/>
      <w:textAlignment w:val="baseline"/>
    </w:pPr>
    <w:rPr>
      <w:rFonts w:ascii="Arial" w:hAnsi="Arial" w:eastAsia="宋体" w:cs="Times New Roman"/>
      <w:color w:val="000000"/>
      <w:lang w:val="en-US" w:eastAsia="zh-CN" w:bidi="ar-SA"/>
    </w:rPr>
  </w:style>
  <w:style w:type="paragraph" w:customStyle="1" w:styleId="826">
    <w:name w:val="Char Char Char1 Char1 Char Char Char"/>
    <w:basedOn w:val="1"/>
    <w:qFormat/>
    <w:uiPriority w:val="0"/>
    <w:pPr>
      <w:widowControl w:val="0"/>
      <w:jc w:val="both"/>
    </w:pPr>
    <w:rPr>
      <w:rFonts w:ascii="Times New Roman" w:hAnsi="Times New Roman" w:cs="Times New Roman"/>
      <w:kern w:val="2"/>
      <w:sz w:val="21"/>
    </w:rPr>
  </w:style>
  <w:style w:type="paragraph" w:customStyle="1" w:styleId="827">
    <w:name w:val="报告名"/>
    <w:basedOn w:val="1"/>
    <w:qFormat/>
    <w:uiPriority w:val="99"/>
    <w:pPr>
      <w:widowControl w:val="0"/>
      <w:tabs>
        <w:tab w:val="left" w:pos="1727"/>
        <w:tab w:val="left" w:pos="1884"/>
      </w:tabs>
      <w:adjustRightInd w:val="0"/>
      <w:spacing w:line="312" w:lineRule="auto"/>
      <w:jc w:val="both"/>
      <w:outlineLvl w:val="0"/>
    </w:pPr>
    <w:rPr>
      <w:rFonts w:ascii="Times New Roman" w:hAnsi="Times New Roman" w:cs="Times New Roman"/>
      <w:b/>
      <w:kern w:val="2"/>
    </w:rPr>
  </w:style>
  <w:style w:type="paragraph" w:customStyle="1" w:styleId="828">
    <w:name w:val="正文样式3"/>
    <w:basedOn w:val="1"/>
    <w:qFormat/>
    <w:uiPriority w:val="99"/>
    <w:pPr>
      <w:widowControl w:val="0"/>
      <w:adjustRightInd w:val="0"/>
      <w:spacing w:line="20" w:lineRule="atLeast"/>
      <w:jc w:val="center"/>
      <w:textAlignment w:val="baseline"/>
    </w:pPr>
    <w:rPr>
      <w:rFonts w:ascii="Times New Roman" w:hAnsi="Times New Roman" w:cs="Times New Roman"/>
      <w:szCs w:val="20"/>
    </w:rPr>
  </w:style>
  <w:style w:type="paragraph" w:customStyle="1" w:styleId="829">
    <w:name w:val="样式 样式 宋体 小四 左 行距: 固定值 24 磅 + 黑色 居中 首行缩进:  2 字符 段前: 5 磅 段后: 5..."/>
    <w:basedOn w:val="830"/>
    <w:qFormat/>
    <w:uiPriority w:val="99"/>
    <w:pPr>
      <w:spacing w:before="100" w:after="100"/>
      <w:ind w:firstLine="0" w:firstLineChars="0"/>
      <w:jc w:val="center"/>
    </w:pPr>
    <w:rPr>
      <w:color w:val="000000"/>
    </w:rPr>
  </w:style>
  <w:style w:type="paragraph" w:customStyle="1" w:styleId="830">
    <w:name w:val="样式 宋体 小四 左 行距: 固定值 24 磅"/>
    <w:basedOn w:val="1"/>
    <w:qFormat/>
    <w:uiPriority w:val="99"/>
    <w:pPr>
      <w:widowControl w:val="0"/>
      <w:spacing w:line="480" w:lineRule="exact"/>
      <w:ind w:firstLine="200" w:firstLineChars="200"/>
    </w:pPr>
    <w:rPr>
      <w:rFonts w:hAnsi="Times New Roman"/>
      <w:szCs w:val="20"/>
    </w:rPr>
  </w:style>
  <w:style w:type="paragraph" w:customStyle="1" w:styleId="831">
    <w:name w:val="内容"/>
    <w:basedOn w:val="1"/>
    <w:link w:val="832"/>
    <w:qFormat/>
    <w:uiPriority w:val="0"/>
    <w:pPr>
      <w:widowControl w:val="0"/>
      <w:spacing w:beforeLines="50" w:afterLines="50"/>
      <w:ind w:firstLine="200" w:firstLineChars="200"/>
      <w:jc w:val="both"/>
    </w:pPr>
    <w:rPr>
      <w:rFonts w:ascii="Times New Roman" w:hAnsi="Times New Roman" w:cs="Times New Roman"/>
      <w:color w:val="000000"/>
      <w:kern w:val="2"/>
    </w:rPr>
  </w:style>
  <w:style w:type="character" w:customStyle="1" w:styleId="832">
    <w:name w:val="内容 Char Char"/>
    <w:link w:val="831"/>
    <w:qFormat/>
    <w:uiPriority w:val="0"/>
    <w:rPr>
      <w:color w:val="000000"/>
      <w:kern w:val="2"/>
      <w:sz w:val="24"/>
      <w:szCs w:val="24"/>
    </w:rPr>
  </w:style>
  <w:style w:type="paragraph" w:customStyle="1" w:styleId="833">
    <w:name w:val="小五表文"/>
    <w:qFormat/>
    <w:uiPriority w:val="99"/>
    <w:pPr>
      <w:spacing w:beforeLines="50"/>
      <w:ind w:firstLine="3304" w:firstLineChars="1180"/>
    </w:pPr>
    <w:rPr>
      <w:rFonts w:ascii="Times New Roman" w:hAnsi="Times New Roman" w:eastAsia="黑体" w:cs="Times New Roman"/>
      <w:bCs/>
      <w:spacing w:val="20"/>
      <w:sz w:val="24"/>
      <w:lang w:val="en-US" w:eastAsia="zh-CN" w:bidi="ar-SA"/>
    </w:rPr>
  </w:style>
  <w:style w:type="paragraph" w:customStyle="1" w:styleId="834">
    <w:name w:val="文章总标题"/>
    <w:basedOn w:val="1"/>
    <w:next w:val="1"/>
    <w:qFormat/>
    <w:uiPriority w:val="99"/>
    <w:pPr>
      <w:spacing w:before="566" w:after="544" w:line="566" w:lineRule="atLeast"/>
      <w:jc w:val="center"/>
      <w:textAlignment w:val="baseline"/>
    </w:pPr>
    <w:rPr>
      <w:rFonts w:ascii="Arial" w:hAnsi="Times New Roman" w:eastAsia="黑体" w:cs="Arial"/>
      <w:bCs/>
      <w:color w:val="000000"/>
      <w:sz w:val="54"/>
      <w:szCs w:val="54"/>
    </w:rPr>
  </w:style>
  <w:style w:type="paragraph" w:customStyle="1" w:styleId="835">
    <w:name w:val="插图标题"/>
    <w:basedOn w:val="1"/>
    <w:qFormat/>
    <w:uiPriority w:val="99"/>
    <w:pPr>
      <w:widowControl w:val="0"/>
      <w:tabs>
        <w:tab w:val="center" w:pos="6804"/>
        <w:tab w:val="right" w:pos="7371"/>
      </w:tabs>
      <w:overflowPunct w:val="0"/>
      <w:adjustRightInd w:val="0"/>
      <w:ind w:firstLine="567"/>
      <w:jc w:val="center"/>
      <w:textAlignment w:val="baseline"/>
    </w:pPr>
    <w:rPr>
      <w:rFonts w:ascii="黑体" w:hAnsi="Times New Roman" w:eastAsia="黑体" w:cs="Times New Roman"/>
      <w:sz w:val="28"/>
      <w:szCs w:val="20"/>
    </w:rPr>
  </w:style>
  <w:style w:type="paragraph" w:customStyle="1" w:styleId="836">
    <w:name w:val="CM62"/>
    <w:basedOn w:val="101"/>
    <w:next w:val="101"/>
    <w:qFormat/>
    <w:uiPriority w:val="99"/>
    <w:pPr>
      <w:spacing w:after="160"/>
    </w:pPr>
    <w:rPr>
      <w:color w:val="auto"/>
    </w:rPr>
  </w:style>
  <w:style w:type="paragraph" w:customStyle="1" w:styleId="837">
    <w:name w:val="xl78"/>
    <w:basedOn w:val="1"/>
    <w:qFormat/>
    <w:uiPriority w:val="99"/>
    <w:pPr>
      <w:pBdr>
        <w:top w:val="single" w:color="auto" w:sz="8" w:space="0"/>
        <w:bottom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838">
    <w:name w:val="小表右密"/>
    <w:basedOn w:val="1"/>
    <w:qFormat/>
    <w:uiPriority w:val="99"/>
    <w:pPr>
      <w:keepNext/>
      <w:widowControl w:val="0"/>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cs="Times New Roman"/>
      <w:kern w:val="2"/>
      <w:sz w:val="18"/>
      <w:szCs w:val="18"/>
    </w:rPr>
  </w:style>
  <w:style w:type="character" w:customStyle="1" w:styleId="839">
    <w:name w:val="正文文本 2 Char3"/>
    <w:qFormat/>
    <w:uiPriority w:val="0"/>
    <w:rPr>
      <w:rFonts w:ascii="宋体" w:hAnsi="宋体" w:cs="宋体"/>
      <w:sz w:val="24"/>
      <w:szCs w:val="24"/>
    </w:rPr>
  </w:style>
  <w:style w:type="paragraph" w:customStyle="1" w:styleId="840">
    <w:name w:val="Char Char Char Char Char Char Char Char Char Char Char1 Char Char Char Char"/>
    <w:basedOn w:val="1"/>
    <w:qFormat/>
    <w:uiPriority w:val="0"/>
    <w:pPr>
      <w:widowControl w:val="0"/>
      <w:jc w:val="both"/>
    </w:pPr>
    <w:rPr>
      <w:rFonts w:ascii="Times New Roman" w:hAnsi="Times New Roman" w:cs="Times New Roman"/>
      <w:kern w:val="2"/>
      <w:sz w:val="21"/>
    </w:rPr>
  </w:style>
  <w:style w:type="paragraph" w:customStyle="1" w:styleId="841">
    <w:name w:val="样式  + 首行缩进:  0.75 厘米"/>
    <w:basedOn w:val="1"/>
    <w:qFormat/>
    <w:uiPriority w:val="0"/>
    <w:pPr>
      <w:widowControl w:val="0"/>
      <w:ind w:firstLine="425"/>
    </w:pPr>
    <w:rPr>
      <w:rFonts w:ascii="Times New Roman" w:hAnsi="Times New Roman" w:cs="Times New Roman"/>
      <w:bCs/>
      <w:kern w:val="2"/>
    </w:rPr>
  </w:style>
  <w:style w:type="character" w:customStyle="1" w:styleId="842">
    <w:name w:val="注释标题 Char3"/>
    <w:qFormat/>
    <w:uiPriority w:val="0"/>
    <w:rPr>
      <w:rFonts w:ascii="宋体" w:hAnsi="宋体" w:cs="宋体"/>
      <w:sz w:val="24"/>
      <w:szCs w:val="24"/>
    </w:rPr>
  </w:style>
  <w:style w:type="paragraph" w:customStyle="1" w:styleId="843">
    <w:name w:val="样式 湛江钢铁表 +"/>
    <w:basedOn w:val="1"/>
    <w:next w:val="1"/>
    <w:qFormat/>
    <w:uiPriority w:val="99"/>
    <w:pPr>
      <w:widowControl w:val="0"/>
      <w:adjustRightInd w:val="0"/>
      <w:snapToGrid w:val="0"/>
      <w:spacing w:beforeLines="20" w:afterLines="20"/>
      <w:jc w:val="center"/>
      <w:textAlignment w:val="baseline"/>
    </w:pPr>
    <w:rPr>
      <w:rFonts w:ascii="Times New Roman" w:hAnsi="Times New Roman" w:eastAsia="仿宋_GB2312" w:cs="Times New Roman"/>
      <w:snapToGrid w:val="0"/>
      <w:sz w:val="21"/>
      <w:szCs w:val="21"/>
    </w:rPr>
  </w:style>
  <w:style w:type="paragraph" w:customStyle="1" w:styleId="844">
    <w:name w:val="调研内容"/>
    <w:basedOn w:val="1"/>
    <w:qFormat/>
    <w:uiPriority w:val="99"/>
    <w:pPr>
      <w:widowControl w:val="0"/>
      <w:spacing w:line="360" w:lineRule="auto"/>
      <w:jc w:val="both"/>
    </w:pPr>
    <w:rPr>
      <w:rFonts w:ascii="Times New Roman" w:hAnsi="Times New Roman" w:cs="Times New Roman"/>
      <w:kern w:val="2"/>
      <w:sz w:val="21"/>
      <w:szCs w:val="20"/>
    </w:rPr>
  </w:style>
  <w:style w:type="paragraph" w:customStyle="1" w:styleId="845">
    <w:name w:val="CM22"/>
    <w:basedOn w:val="101"/>
    <w:next w:val="101"/>
    <w:qFormat/>
    <w:uiPriority w:val="99"/>
    <w:rPr>
      <w:color w:val="auto"/>
    </w:rPr>
  </w:style>
  <w:style w:type="character" w:customStyle="1" w:styleId="846">
    <w:name w:val="签名 Char2"/>
    <w:qFormat/>
    <w:uiPriority w:val="0"/>
    <w:rPr>
      <w:rFonts w:ascii="宋体" w:hAnsi="宋体" w:cs="宋体"/>
      <w:sz w:val="24"/>
      <w:szCs w:val="24"/>
    </w:rPr>
  </w:style>
  <w:style w:type="paragraph" w:customStyle="1" w:styleId="847">
    <w:name w:val="正文3"/>
    <w:qFormat/>
    <w:uiPriority w:val="99"/>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848">
    <w:name w:val="列表 2J"/>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49">
    <w:name w:val="图文框"/>
    <w:basedOn w:val="1"/>
    <w:qFormat/>
    <w:uiPriority w:val="99"/>
    <w:pPr>
      <w:widowControl w:val="0"/>
      <w:tabs>
        <w:tab w:val="left" w:pos="0"/>
      </w:tabs>
      <w:autoSpaceDE w:val="0"/>
      <w:autoSpaceDN w:val="0"/>
      <w:adjustRightInd w:val="0"/>
      <w:snapToGrid w:val="0"/>
      <w:ind w:right="-107" w:rightChars="-51"/>
      <w:jc w:val="center"/>
      <w:textAlignment w:val="baseline"/>
    </w:pPr>
    <w:rPr>
      <w:rFonts w:cs="Times New Roman"/>
      <w:color w:val="000000"/>
      <w:kern w:val="2"/>
      <w:sz w:val="21"/>
      <w:szCs w:val="21"/>
    </w:rPr>
  </w:style>
  <w:style w:type="character" w:customStyle="1" w:styleId="850">
    <w:name w:val="日期 Char2"/>
    <w:qFormat/>
    <w:uiPriority w:val="0"/>
    <w:rPr>
      <w:rFonts w:ascii="宋体" w:hAnsi="宋体" w:cs="宋体"/>
      <w:sz w:val="24"/>
      <w:szCs w:val="24"/>
    </w:rPr>
  </w:style>
  <w:style w:type="paragraph" w:customStyle="1" w:styleId="851">
    <w:name w:val="列表 4Q"/>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52">
    <w:name w:val="表题 Char Char"/>
    <w:basedOn w:val="1"/>
    <w:qFormat/>
    <w:uiPriority w:val="99"/>
    <w:pPr>
      <w:widowControl w:val="0"/>
      <w:spacing w:line="360" w:lineRule="auto"/>
      <w:ind w:firstLine="480" w:firstLineChars="200"/>
      <w:jc w:val="both"/>
    </w:pPr>
    <w:rPr>
      <w:rFonts w:cs="Times New Roman"/>
      <w:bCs/>
      <w:kern w:val="2"/>
    </w:rPr>
  </w:style>
  <w:style w:type="paragraph" w:customStyle="1" w:styleId="853">
    <w:name w:val="列表 4W"/>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54">
    <w:name w:val="正文文字进缩1"/>
    <w:basedOn w:val="1"/>
    <w:qFormat/>
    <w:uiPriority w:val="0"/>
    <w:pPr>
      <w:widowControl w:val="0"/>
      <w:spacing w:line="360" w:lineRule="auto"/>
      <w:ind w:left="555"/>
      <w:jc w:val="both"/>
    </w:pPr>
    <w:rPr>
      <w:rFonts w:ascii="黑体" w:hAnsi="Times New Roman" w:eastAsia="黑体" w:cs="Times New Roman"/>
      <w:b/>
      <w:bCs/>
      <w:iCs/>
      <w:kern w:val="2"/>
      <w:sz w:val="28"/>
    </w:rPr>
  </w:style>
  <w:style w:type="paragraph" w:customStyle="1" w:styleId="855">
    <w:name w:val="xl97"/>
    <w:basedOn w:val="1"/>
    <w:qFormat/>
    <w:uiPriority w:val="99"/>
    <w:pPr>
      <w:pBdr>
        <w:left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sz w:val="16"/>
      <w:szCs w:val="16"/>
    </w:rPr>
  </w:style>
  <w:style w:type="paragraph" w:customStyle="1" w:styleId="856">
    <w:name w:val="Char Char Char1 Char3"/>
    <w:basedOn w:val="1"/>
    <w:qFormat/>
    <w:uiPriority w:val="0"/>
    <w:pPr>
      <w:widowControl w:val="0"/>
      <w:jc w:val="both"/>
    </w:pPr>
    <w:rPr>
      <w:rFonts w:ascii="Times New Roman" w:hAnsi="Times New Roman" w:cs="Times New Roman"/>
      <w:kern w:val="2"/>
      <w:sz w:val="21"/>
      <w:szCs w:val="20"/>
    </w:rPr>
  </w:style>
  <w:style w:type="paragraph" w:customStyle="1" w:styleId="857">
    <w:name w:val="表8.1-1"/>
    <w:basedOn w:val="1"/>
    <w:qFormat/>
    <w:uiPriority w:val="99"/>
    <w:pPr>
      <w:widowControl w:val="0"/>
      <w:tabs>
        <w:tab w:val="left" w:pos="726"/>
      </w:tabs>
      <w:adjustRightInd w:val="0"/>
      <w:snapToGrid w:val="0"/>
      <w:spacing w:beforeLines="100" w:line="0" w:lineRule="atLeast"/>
      <w:ind w:left="2" w:firstLine="4"/>
      <w:jc w:val="center"/>
    </w:pPr>
    <w:rPr>
      <w:rFonts w:ascii="黑体" w:hAnsi="Times New Roman" w:eastAsia="黑体" w:cs="Times New Roman"/>
      <w:b/>
      <w:kern w:val="2"/>
    </w:rPr>
  </w:style>
  <w:style w:type="paragraph" w:customStyle="1" w:styleId="858">
    <w:name w:val="正文 + 首行缩进:  2 字符"/>
    <w:basedOn w:val="1"/>
    <w:qFormat/>
    <w:uiPriority w:val="99"/>
    <w:pPr>
      <w:widowControl w:val="0"/>
      <w:spacing w:line="460" w:lineRule="atLeast"/>
      <w:ind w:firstLine="528" w:firstLineChars="200"/>
      <w:jc w:val="both"/>
    </w:pPr>
    <w:rPr>
      <w:rFonts w:ascii="Times New Roman" w:hAnsi="Times New Roman" w:cs="Times New Roman"/>
      <w:spacing w:val="12"/>
      <w:kern w:val="2"/>
      <w:szCs w:val="20"/>
    </w:rPr>
  </w:style>
  <w:style w:type="paragraph" w:customStyle="1" w:styleId="859">
    <w:name w:val="表格02"/>
    <w:basedOn w:val="1"/>
    <w:qFormat/>
    <w:uiPriority w:val="99"/>
    <w:pPr>
      <w:widowControl w:val="0"/>
      <w:spacing w:line="400" w:lineRule="exact"/>
      <w:jc w:val="center"/>
    </w:pPr>
    <w:rPr>
      <w:rFonts w:ascii="Times New Roman" w:hAnsi="Times New Roman" w:cs="Times New Roman"/>
      <w:snapToGrid w:val="0"/>
      <w:kern w:val="2"/>
      <w:lang w:val="en-GB"/>
    </w:rPr>
  </w:style>
  <w:style w:type="paragraph" w:customStyle="1" w:styleId="860">
    <w:name w:val="样式 左  0 字符 首行缩进:  2 字符"/>
    <w:basedOn w:val="1"/>
    <w:qFormat/>
    <w:uiPriority w:val="0"/>
    <w:pPr>
      <w:widowControl w:val="0"/>
      <w:ind w:firstLine="200" w:firstLineChars="200"/>
      <w:jc w:val="both"/>
    </w:pPr>
    <w:rPr>
      <w:rFonts w:ascii="Times New Roman" w:hAnsi="Times New Roman" w:cs="Times New Roman"/>
      <w:kern w:val="2"/>
      <w:sz w:val="28"/>
      <w:szCs w:val="28"/>
    </w:rPr>
  </w:style>
  <w:style w:type="paragraph" w:customStyle="1" w:styleId="861">
    <w:name w:val="Char Char Char Char Char Char Char Char Char Char1"/>
    <w:basedOn w:val="1"/>
    <w:qFormat/>
    <w:uiPriority w:val="99"/>
    <w:pPr>
      <w:widowControl w:val="0"/>
      <w:jc w:val="both"/>
    </w:pPr>
    <w:rPr>
      <w:color w:val="000000"/>
      <w:kern w:val="2"/>
      <w:sz w:val="21"/>
      <w:szCs w:val="21"/>
    </w:rPr>
  </w:style>
  <w:style w:type="paragraph" w:customStyle="1" w:styleId="862">
    <w:name w:val="样式7"/>
    <w:basedOn w:val="7"/>
    <w:qFormat/>
    <w:uiPriority w:val="99"/>
    <w:pPr>
      <w:keepNext w:val="0"/>
      <w:keepLines w:val="0"/>
      <w:adjustRightInd w:val="0"/>
      <w:snapToGrid w:val="0"/>
      <w:spacing w:beforeLines="30" w:afterLines="50" w:line="360" w:lineRule="auto"/>
      <w:textAlignment w:val="baseline"/>
    </w:pPr>
    <w:rPr>
      <w:rFonts w:ascii="宋体" w:hAnsi="Courier New" w:eastAsia="宋体"/>
      <w:b/>
      <w:bCs w:val="0"/>
      <w:sz w:val="24"/>
      <w:szCs w:val="20"/>
    </w:rPr>
  </w:style>
  <w:style w:type="paragraph" w:customStyle="1" w:styleId="863">
    <w:name w:val="表标题8.1"/>
    <w:basedOn w:val="530"/>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rPr>
  </w:style>
  <w:style w:type="character" w:customStyle="1" w:styleId="864">
    <w:name w:val="脚注文本 Char2"/>
    <w:qFormat/>
    <w:uiPriority w:val="0"/>
    <w:rPr>
      <w:rFonts w:ascii="宋体" w:hAnsi="宋体" w:cs="宋体"/>
      <w:sz w:val="18"/>
      <w:szCs w:val="18"/>
    </w:rPr>
  </w:style>
  <w:style w:type="paragraph" w:customStyle="1" w:styleId="865">
    <w:name w:val="填表内容"/>
    <w:basedOn w:val="1"/>
    <w:qFormat/>
    <w:uiPriority w:val="99"/>
    <w:pPr>
      <w:widowControl w:val="0"/>
      <w:adjustRightInd w:val="0"/>
      <w:spacing w:line="480" w:lineRule="exact"/>
      <w:ind w:firstLine="560" w:firstLineChars="200"/>
      <w:textAlignment w:val="baseline"/>
    </w:pPr>
    <w:rPr>
      <w:rFonts w:ascii="楷体_GB2312" w:hAnsi="Times New Roman" w:eastAsia="楷体_GB2312" w:cs="Times New Roman"/>
      <w:kern w:val="2"/>
      <w:sz w:val="28"/>
      <w:szCs w:val="20"/>
    </w:rPr>
  </w:style>
  <w:style w:type="paragraph" w:customStyle="1" w:styleId="866">
    <w:name w:val="样式 样式 正文首行缩进正文首行缩进 Char + 首行缩进:  2 字符 + 首行缩进:  2 字符"/>
    <w:basedOn w:val="1"/>
    <w:qFormat/>
    <w:uiPriority w:val="99"/>
    <w:pPr>
      <w:widowControl w:val="0"/>
      <w:adjustRightInd w:val="0"/>
      <w:snapToGrid w:val="0"/>
      <w:spacing w:line="360" w:lineRule="auto"/>
      <w:ind w:firstLine="480" w:firstLineChars="200"/>
      <w:jc w:val="both"/>
      <w:textAlignment w:val="baseline"/>
    </w:pPr>
    <w:rPr>
      <w:rFonts w:hAnsi="Times New Roman"/>
      <w:kern w:val="2"/>
      <w:szCs w:val="20"/>
      <w:lang w:val="zh-CN"/>
    </w:rPr>
  </w:style>
  <w:style w:type="paragraph" w:customStyle="1" w:styleId="867">
    <w:name w:val="章标题(不加入目录内)"/>
    <w:basedOn w:val="76"/>
    <w:qFormat/>
    <w:uiPriority w:val="99"/>
    <w:pPr>
      <w:keepLines/>
      <w:pageBreakBefore/>
      <w:spacing w:after="120"/>
      <w:ind w:right="0" w:firstLine="0"/>
      <w:jc w:val="center"/>
      <w:outlineLvl w:val="9"/>
    </w:pPr>
    <w:rPr>
      <w:rFonts w:ascii="Times New Roman" w:hAnsi="Times New Roman" w:eastAsia="黑体"/>
      <w:sz w:val="36"/>
      <w:szCs w:val="22"/>
    </w:rPr>
  </w:style>
  <w:style w:type="paragraph" w:customStyle="1" w:styleId="868">
    <w:name w:val="xl60"/>
    <w:basedOn w:val="1"/>
    <w:qFormat/>
    <w:uiPriority w:val="99"/>
    <w:pPr>
      <w:pBdr>
        <w:top w:val="single" w:color="auto" w:sz="4" w:space="0"/>
        <w:bottom w:val="single" w:color="auto" w:sz="8" w:space="0"/>
      </w:pBdr>
      <w:spacing w:before="100" w:beforeAutospacing="1" w:after="100" w:afterAutospacing="1"/>
      <w:jc w:val="center"/>
    </w:pPr>
    <w:rPr>
      <w:rFonts w:eastAsia="仿宋_GB2312" w:cs="Times New Roman"/>
      <w:b/>
      <w:bCs/>
      <w:position w:val="-6"/>
    </w:rPr>
  </w:style>
  <w:style w:type="paragraph" w:customStyle="1" w:styleId="869">
    <w:name w:val="xl61"/>
    <w:basedOn w:val="1"/>
    <w:qFormat/>
    <w:uiPriority w:val="99"/>
    <w:pPr>
      <w:pBdr>
        <w:bottom w:val="single" w:color="auto" w:sz="8" w:space="0"/>
        <w:right w:val="single" w:color="auto" w:sz="4" w:space="0"/>
      </w:pBdr>
      <w:spacing w:before="100" w:beforeAutospacing="1" w:after="100" w:afterAutospacing="1"/>
      <w:jc w:val="center"/>
    </w:pPr>
    <w:rPr>
      <w:rFonts w:eastAsia="仿宋_GB2312" w:cs="Times New Roman"/>
      <w:position w:val="-6"/>
      <w:szCs w:val="21"/>
    </w:rPr>
  </w:style>
  <w:style w:type="character" w:customStyle="1" w:styleId="870">
    <w:name w:val="标题 Char5"/>
    <w:qFormat/>
    <w:uiPriority w:val="0"/>
    <w:rPr>
      <w:rFonts w:ascii="Calibri Light" w:hAnsi="Calibri Light" w:cs="Times New Roman"/>
      <w:b/>
      <w:bCs/>
      <w:sz w:val="32"/>
      <w:szCs w:val="32"/>
    </w:rPr>
  </w:style>
  <w:style w:type="paragraph" w:customStyle="1" w:styleId="871">
    <w:name w:val="CM4"/>
    <w:basedOn w:val="101"/>
    <w:next w:val="101"/>
    <w:qFormat/>
    <w:uiPriority w:val="99"/>
    <w:pPr>
      <w:spacing w:line="468" w:lineRule="atLeast"/>
    </w:pPr>
    <w:rPr>
      <w:color w:val="auto"/>
    </w:rPr>
  </w:style>
  <w:style w:type="paragraph" w:customStyle="1" w:styleId="872">
    <w:name w:val="Char1 Char Char Char"/>
    <w:basedOn w:val="1"/>
    <w:qFormat/>
    <w:uiPriority w:val="0"/>
    <w:pPr>
      <w:spacing w:after="160" w:line="240" w:lineRule="exact"/>
    </w:pPr>
    <w:rPr>
      <w:rFonts w:ascii="Verdana" w:hAnsi="Verdana" w:cs="Times New Roman"/>
      <w:sz w:val="20"/>
      <w:szCs w:val="20"/>
      <w:lang w:eastAsia="en-US"/>
    </w:rPr>
  </w:style>
  <w:style w:type="character" w:customStyle="1" w:styleId="873">
    <w:name w:val="正文文本缩进 2 Char3"/>
    <w:qFormat/>
    <w:uiPriority w:val="0"/>
    <w:rPr>
      <w:rFonts w:ascii="宋体" w:hAnsi="宋体" w:cs="宋体"/>
      <w:sz w:val="24"/>
      <w:szCs w:val="24"/>
    </w:rPr>
  </w:style>
  <w:style w:type="paragraph" w:customStyle="1" w:styleId="874">
    <w:name w:val="样式 样式 标题 1标题 1 Char标1章 + 段前: 0.5 行 段后: 0.5 行 + 段前: 0.5 行 段后: 0...."/>
    <w:basedOn w:val="1"/>
    <w:qFormat/>
    <w:uiPriority w:val="99"/>
    <w:pPr>
      <w:keepNext/>
      <w:tabs>
        <w:tab w:val="left" w:pos="0"/>
      </w:tabs>
      <w:spacing w:beforeLines="50" w:afterLines="50"/>
      <w:jc w:val="both"/>
      <w:outlineLvl w:val="0"/>
    </w:pPr>
    <w:rPr>
      <w:rFonts w:ascii="黑体" w:hAnsi="Arial" w:eastAsia="黑体"/>
      <w:color w:val="000000"/>
      <w:kern w:val="24"/>
      <w:sz w:val="28"/>
      <w:szCs w:val="20"/>
      <w:lang w:val="zh-CN"/>
    </w:rPr>
  </w:style>
  <w:style w:type="paragraph" w:customStyle="1" w:styleId="875">
    <w:name w:val="正文缩进12"/>
    <w:basedOn w:val="1"/>
    <w:qFormat/>
    <w:uiPriority w:val="99"/>
    <w:pPr>
      <w:widowControl w:val="0"/>
      <w:ind w:firstLine="420"/>
      <w:jc w:val="both"/>
    </w:pPr>
    <w:rPr>
      <w:rFonts w:ascii="Times New Roman" w:hAnsi="Times New Roman" w:cs="Times New Roman"/>
      <w:kern w:val="2"/>
      <w:szCs w:val="20"/>
    </w:rPr>
  </w:style>
  <w:style w:type="paragraph" w:customStyle="1" w:styleId="876">
    <w:name w:val="xl22"/>
    <w:basedOn w:val="1"/>
    <w:qFormat/>
    <w:uiPriority w:val="99"/>
    <w:pPr>
      <w:spacing w:before="100" w:beforeAutospacing="1" w:after="100" w:afterAutospacing="1"/>
      <w:jc w:val="center"/>
    </w:pPr>
    <w:rPr>
      <w:rFonts w:ascii="Arial Unicode MS" w:hAnsi="Arial Unicode MS" w:eastAsia="Arial Unicode MS" w:cs="Times New Roman"/>
      <w:sz w:val="21"/>
      <w:szCs w:val="21"/>
    </w:rPr>
  </w:style>
  <w:style w:type="paragraph" w:customStyle="1" w:styleId="877">
    <w:name w:val="连续正文文字"/>
    <w:basedOn w:val="2"/>
    <w:qFormat/>
    <w:uiPriority w:val="99"/>
    <w:pPr>
      <w:keepNext/>
      <w:spacing w:after="220" w:line="280" w:lineRule="exact"/>
      <w:jc w:val="center"/>
    </w:pPr>
    <w:rPr>
      <w:rFonts w:ascii="Times New Roman" w:hAnsi="Times New Roman"/>
      <w:color w:val="auto"/>
      <w:kern w:val="0"/>
      <w:sz w:val="30"/>
      <w:szCs w:val="20"/>
    </w:rPr>
  </w:style>
  <w:style w:type="paragraph" w:customStyle="1" w:styleId="878">
    <w:name w:val="表格2"/>
    <w:basedOn w:val="25"/>
    <w:qFormat/>
    <w:uiPriority w:val="99"/>
    <w:pPr>
      <w:shd w:val="clear" w:color="auto" w:fill="auto"/>
      <w:spacing w:beforeLines="5"/>
      <w:jc w:val="center"/>
    </w:pPr>
    <w:rPr>
      <w:rFonts w:ascii="宋体"/>
      <w:szCs w:val="20"/>
    </w:rPr>
  </w:style>
  <w:style w:type="paragraph" w:customStyle="1" w:styleId="879">
    <w:name w:val="Char Char Char 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880">
    <w:name w:val="Char Char Char Char Char Char Char Char"/>
    <w:basedOn w:val="1"/>
    <w:qFormat/>
    <w:uiPriority w:val="99"/>
    <w:pPr>
      <w:widowControl w:val="0"/>
      <w:jc w:val="both"/>
    </w:pPr>
    <w:rPr>
      <w:rFonts w:ascii="Times New Roman" w:hAnsi="Times New Roman" w:cs="Times New Roman"/>
      <w:kern w:val="2"/>
      <w:sz w:val="21"/>
    </w:rPr>
  </w:style>
  <w:style w:type="paragraph" w:customStyle="1" w:styleId="881">
    <w:name w:val="普通(网站)1"/>
    <w:basedOn w:val="1"/>
    <w:qFormat/>
    <w:uiPriority w:val="0"/>
    <w:pPr>
      <w:spacing w:before="100" w:beforeAutospacing="1" w:after="100" w:afterAutospacing="1"/>
    </w:pPr>
    <w:rPr>
      <w:rFonts w:hint="eastAsia" w:cs="Times New Roman"/>
      <w:kern w:val="2"/>
      <w:szCs w:val="20"/>
    </w:rPr>
  </w:style>
  <w:style w:type="paragraph" w:customStyle="1" w:styleId="882">
    <w:name w:val="表标题16.9"/>
    <w:basedOn w:val="1"/>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spacing w:val="6"/>
      <w:sz w:val="26"/>
      <w:szCs w:val="26"/>
    </w:rPr>
  </w:style>
  <w:style w:type="paragraph" w:customStyle="1" w:styleId="883">
    <w:name w:val="列表 2R"/>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84">
    <w:name w:val="CM60"/>
    <w:basedOn w:val="101"/>
    <w:next w:val="101"/>
    <w:qFormat/>
    <w:uiPriority w:val="99"/>
    <w:pPr>
      <w:spacing w:after="343"/>
    </w:pPr>
    <w:rPr>
      <w:color w:val="auto"/>
    </w:rPr>
  </w:style>
  <w:style w:type="paragraph" w:customStyle="1" w:styleId="885">
    <w:name w:val="Char Char Char1 Char Char Char Char Char Char Char"/>
    <w:basedOn w:val="1"/>
    <w:qFormat/>
    <w:uiPriority w:val="0"/>
    <w:pPr>
      <w:widowControl w:val="0"/>
      <w:jc w:val="both"/>
    </w:pPr>
    <w:rPr>
      <w:rFonts w:ascii="Times New Roman" w:hAnsi="Times New Roman" w:cs="Times New Roman"/>
      <w:kern w:val="2"/>
      <w:sz w:val="21"/>
    </w:rPr>
  </w:style>
  <w:style w:type="paragraph" w:customStyle="1" w:styleId="886">
    <w:name w:val="样式111"/>
    <w:qFormat/>
    <w:uiPriority w:val="99"/>
    <w:pPr>
      <w:adjustRightInd w:val="0"/>
      <w:snapToGrid w:val="0"/>
      <w:jc w:val="both"/>
    </w:pPr>
    <w:rPr>
      <w:rFonts w:ascii="宋体" w:hAnsi="Times New Roman" w:eastAsia="宋体" w:cs="Times New Roman"/>
      <w:sz w:val="21"/>
      <w:lang w:val="en-US" w:eastAsia="zh-CN" w:bidi="ar-SA"/>
    </w:rPr>
  </w:style>
  <w:style w:type="paragraph" w:customStyle="1" w:styleId="887">
    <w:name w:val="样式 标题 3条标题1.1.1 + 宋体 加粗 段前: 13 磅 段后: 13 磅 行距: 多倍行距 1.73 字行"/>
    <w:basedOn w:val="7"/>
    <w:qFormat/>
    <w:uiPriority w:val="99"/>
    <w:pPr>
      <w:widowControl w:val="0"/>
      <w:adjustRightInd w:val="0"/>
      <w:snapToGrid w:val="0"/>
      <w:spacing w:beforeLines="50" w:afterLines="50" w:line="416" w:lineRule="auto"/>
      <w:jc w:val="both"/>
    </w:pPr>
    <w:rPr>
      <w:rFonts w:ascii="Arial" w:hAnsi="Arial" w:eastAsia="宋体"/>
      <w:sz w:val="28"/>
      <w:szCs w:val="28"/>
    </w:rPr>
  </w:style>
  <w:style w:type="paragraph" w:customStyle="1" w:styleId="888">
    <w:name w:val="xl71"/>
    <w:basedOn w:val="1"/>
    <w:qFormat/>
    <w:uiPriority w:val="99"/>
    <w:pPr>
      <w:pBdr>
        <w:top w:val="single" w:color="auto" w:sz="8" w:space="0"/>
        <w:left w:val="single" w:color="auto" w:sz="8" w:space="0"/>
      </w:pBdr>
      <w:spacing w:before="100" w:beforeAutospacing="1" w:after="100" w:afterAutospacing="1"/>
      <w:jc w:val="center"/>
    </w:pPr>
    <w:rPr>
      <w:rFonts w:eastAsia="仿宋_GB2312" w:cs="Times New Roman"/>
      <w:position w:val="-6"/>
      <w:szCs w:val="21"/>
    </w:rPr>
  </w:style>
  <w:style w:type="paragraph" w:customStyle="1" w:styleId="889">
    <w:name w:val="表内式样"/>
    <w:qFormat/>
    <w:uiPriority w:val="99"/>
    <w:pPr>
      <w:widowControl w:val="0"/>
      <w:jc w:val="center"/>
    </w:pPr>
    <w:rPr>
      <w:rFonts w:ascii="Times New Roman" w:hAnsi="Times New Roman" w:eastAsia="宋体" w:cs="Times New Roman"/>
      <w:sz w:val="18"/>
      <w:szCs w:val="24"/>
      <w:lang w:val="en-US" w:eastAsia="zh-CN" w:bidi="ar-SA"/>
    </w:rPr>
  </w:style>
  <w:style w:type="character" w:customStyle="1" w:styleId="890">
    <w:name w:val="信息标题 Char1"/>
    <w:qFormat/>
    <w:uiPriority w:val="0"/>
    <w:rPr>
      <w:rFonts w:ascii="Calibri Light" w:hAnsi="Calibri Light" w:eastAsia="宋体" w:cs="Times New Roman"/>
      <w:sz w:val="24"/>
      <w:szCs w:val="24"/>
      <w:shd w:val="pct20" w:color="auto" w:fill="auto"/>
    </w:rPr>
  </w:style>
  <w:style w:type="paragraph" w:customStyle="1" w:styleId="891">
    <w:name w:val="内蒙2"/>
    <w:basedOn w:val="5"/>
    <w:qFormat/>
    <w:uiPriority w:val="99"/>
    <w:pPr>
      <w:widowControl w:val="0"/>
      <w:spacing w:line="480" w:lineRule="exact"/>
      <w:jc w:val="both"/>
    </w:pPr>
    <w:rPr>
      <w:rFonts w:ascii="Times New Roman" w:hAnsi="Times New Roman"/>
      <w:b/>
      <w:bCs w:val="0"/>
      <w:color w:val="FF0000"/>
      <w:spacing w:val="20"/>
      <w:szCs w:val="28"/>
    </w:rPr>
  </w:style>
  <w:style w:type="character" w:customStyle="1" w:styleId="892">
    <w:name w:val="文档结构图 Char3"/>
    <w:qFormat/>
    <w:uiPriority w:val="0"/>
    <w:rPr>
      <w:rFonts w:ascii="Microsoft YaHei UI" w:hAnsi="宋体" w:eastAsia="Microsoft YaHei UI" w:cs="宋体"/>
      <w:sz w:val="18"/>
      <w:szCs w:val="18"/>
    </w:rPr>
  </w:style>
  <w:style w:type="paragraph" w:customStyle="1" w:styleId="893">
    <w:name w:val="CM68"/>
    <w:basedOn w:val="101"/>
    <w:next w:val="101"/>
    <w:qFormat/>
    <w:uiPriority w:val="99"/>
    <w:pPr>
      <w:spacing w:after="265"/>
    </w:pPr>
    <w:rPr>
      <w:color w:val="auto"/>
    </w:rPr>
  </w:style>
  <w:style w:type="character" w:customStyle="1" w:styleId="894">
    <w:name w:val="电子邮件签名 Char2"/>
    <w:qFormat/>
    <w:uiPriority w:val="0"/>
    <w:rPr>
      <w:rFonts w:ascii="宋体" w:hAnsi="宋体" w:cs="宋体"/>
      <w:sz w:val="24"/>
      <w:szCs w:val="24"/>
    </w:rPr>
  </w:style>
  <w:style w:type="paragraph" w:customStyle="1" w:styleId="895">
    <w:name w:val="样式 表格备注"/>
    <w:basedOn w:val="1"/>
    <w:qFormat/>
    <w:uiPriority w:val="99"/>
    <w:pPr>
      <w:keepNext/>
      <w:widowControl w:val="0"/>
      <w:tabs>
        <w:tab w:val="left" w:pos="628"/>
        <w:tab w:val="left" w:pos="1727"/>
        <w:tab w:val="left" w:pos="1884"/>
        <w:tab w:val="left" w:pos="4680"/>
        <w:tab w:val="left" w:pos="4900"/>
      </w:tabs>
      <w:adjustRightInd w:val="0"/>
      <w:snapToGrid w:val="0"/>
      <w:spacing w:line="360" w:lineRule="auto"/>
      <w:ind w:firstLine="480" w:firstLineChars="200"/>
      <w:jc w:val="both"/>
    </w:pPr>
    <w:rPr>
      <w:rFonts w:eastAsia="楷体_GB2312" w:cs="Times New Roman"/>
      <w:szCs w:val="20"/>
    </w:rPr>
  </w:style>
  <w:style w:type="paragraph" w:customStyle="1" w:styleId="896">
    <w:name w:val="CM1"/>
    <w:basedOn w:val="101"/>
    <w:next w:val="101"/>
    <w:qFormat/>
    <w:uiPriority w:val="99"/>
    <w:rPr>
      <w:rFonts w:ascii="宋体" w:cs="宋体"/>
      <w:color w:val="auto"/>
    </w:rPr>
  </w:style>
  <w:style w:type="paragraph" w:customStyle="1" w:styleId="897">
    <w:name w:val="xl80"/>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898">
    <w:name w:val="Achievement"/>
    <w:basedOn w:val="2"/>
    <w:qFormat/>
    <w:uiPriority w:val="99"/>
    <w:pPr>
      <w:spacing w:after="60" w:line="220" w:lineRule="atLeast"/>
      <w:ind w:left="245" w:right="-360" w:hanging="245"/>
    </w:pPr>
    <w:rPr>
      <w:rFonts w:ascii="Times New Roman" w:hAnsi="Times New Roman"/>
      <w:color w:val="auto"/>
      <w:kern w:val="0"/>
      <w:sz w:val="20"/>
      <w:szCs w:val="20"/>
    </w:rPr>
  </w:style>
  <w:style w:type="paragraph" w:customStyle="1" w:styleId="899">
    <w:name w:val="Exhibit--Caption"/>
    <w:basedOn w:val="900"/>
    <w:next w:val="2"/>
    <w:semiHidden/>
    <w:qFormat/>
    <w:uiPriority w:val="99"/>
    <w:rPr>
      <w:i/>
    </w:rPr>
  </w:style>
  <w:style w:type="paragraph" w:customStyle="1" w:styleId="900">
    <w:name w:val="Exhibit--Title"/>
    <w:basedOn w:val="901"/>
    <w:next w:val="899"/>
    <w:qFormat/>
    <w:uiPriority w:val="0"/>
    <w:rPr>
      <w:b w:val="0"/>
      <w:sz w:val="20"/>
    </w:rPr>
  </w:style>
  <w:style w:type="paragraph" w:customStyle="1" w:styleId="901">
    <w:name w:val="Exhibit--Number"/>
    <w:basedOn w:val="902"/>
    <w:next w:val="900"/>
    <w:semiHidden/>
    <w:qFormat/>
    <w:uiPriority w:val="99"/>
  </w:style>
  <w:style w:type="paragraph" w:customStyle="1" w:styleId="902">
    <w:name w:val="Main-Head"/>
    <w:basedOn w:val="1"/>
    <w:next w:val="2"/>
    <w:semiHidden/>
    <w:qFormat/>
    <w:uiPriority w:val="99"/>
    <w:pPr>
      <w:widowControl w:val="0"/>
      <w:jc w:val="both"/>
    </w:pPr>
    <w:rPr>
      <w:rFonts w:ascii="Arial Narrow" w:hAnsi="Arial Narrow" w:eastAsia="仿宋_GB2312" w:cs="Times New Roman"/>
      <w:b/>
      <w:kern w:val="2"/>
      <w:sz w:val="22"/>
    </w:rPr>
  </w:style>
  <w:style w:type="paragraph" w:customStyle="1" w:styleId="903">
    <w:name w:val="列表 4R"/>
    <w:basedOn w:val="69"/>
    <w:qFormat/>
    <w:uiPriority w:val="99"/>
    <w:pPr>
      <w:tabs>
        <w:tab w:val="left" w:pos="907"/>
      </w:tabs>
      <w:topLinePunct w:val="0"/>
      <w:spacing w:beforeLines="50" w:afterLines="30" w:line="288" w:lineRule="auto"/>
      <w:ind w:left="907" w:leftChars="0" w:hanging="567" w:firstLineChars="0"/>
      <w:jc w:val="both"/>
    </w:pPr>
    <w:rPr>
      <w:rFonts w:ascii="Arial" w:hAnsi="Arial" w:eastAsia="宋体"/>
      <w:color w:val="CCFFFF"/>
      <w:sz w:val="24"/>
    </w:rPr>
  </w:style>
  <w:style w:type="paragraph" w:customStyle="1" w:styleId="904">
    <w:name w:val="小标题2"/>
    <w:basedOn w:val="1"/>
    <w:qFormat/>
    <w:uiPriority w:val="0"/>
    <w:pPr>
      <w:widowControl w:val="0"/>
      <w:tabs>
        <w:tab w:val="left" w:pos="5400"/>
      </w:tabs>
      <w:overflowPunct w:val="0"/>
      <w:spacing w:line="336" w:lineRule="auto"/>
      <w:ind w:firstLine="480" w:firstLineChars="200"/>
      <w:jc w:val="both"/>
    </w:pPr>
    <w:rPr>
      <w:rFonts w:ascii="Times New Roman" w:hAnsi="Times New Roman" w:cs="Times New Roman"/>
      <w:kern w:val="2"/>
    </w:rPr>
  </w:style>
  <w:style w:type="paragraph" w:customStyle="1" w:styleId="905">
    <w:name w:val="font7"/>
    <w:basedOn w:val="1"/>
    <w:qFormat/>
    <w:uiPriority w:val="99"/>
    <w:pPr>
      <w:spacing w:before="100" w:beforeAutospacing="1" w:after="100" w:afterAutospacing="1"/>
    </w:pPr>
    <w:rPr>
      <w:rFonts w:ascii="Times New Roman" w:hAnsi="Times New Roman" w:eastAsia="Arial Unicode MS" w:cs="Times New Roman"/>
      <w:b/>
      <w:bCs/>
      <w:sz w:val="32"/>
      <w:szCs w:val="32"/>
    </w:rPr>
  </w:style>
  <w:style w:type="paragraph" w:customStyle="1" w:styleId="906">
    <w:name w:val="报告表  段"/>
    <w:basedOn w:val="1"/>
    <w:qFormat/>
    <w:uiPriority w:val="99"/>
    <w:pPr>
      <w:widowControl w:val="0"/>
      <w:adjustRightInd w:val="0"/>
      <w:spacing w:line="360" w:lineRule="auto"/>
      <w:ind w:firstLine="505"/>
      <w:jc w:val="both"/>
      <w:textAlignment w:val="baseline"/>
    </w:pPr>
    <w:rPr>
      <w:rFonts w:hAnsi="Times New Roman" w:cs="Times New Roman"/>
      <w:szCs w:val="20"/>
    </w:rPr>
  </w:style>
  <w:style w:type="character" w:customStyle="1" w:styleId="907">
    <w:name w:val="正文首行缩进 2 Char2"/>
    <w:qFormat/>
    <w:uiPriority w:val="0"/>
    <w:rPr>
      <w:rFonts w:ascii="宋体" w:hAnsi="宋体" w:eastAsia="仿宋_GB2312" w:cs="宋体"/>
      <w:spacing w:val="-2"/>
      <w:sz w:val="24"/>
      <w:szCs w:val="24"/>
    </w:rPr>
  </w:style>
  <w:style w:type="character" w:customStyle="1" w:styleId="908">
    <w:name w:val="称呼 Char2"/>
    <w:qFormat/>
    <w:uiPriority w:val="0"/>
    <w:rPr>
      <w:rFonts w:ascii="宋体" w:hAnsi="宋体" w:cs="宋体"/>
      <w:sz w:val="24"/>
      <w:szCs w:val="24"/>
    </w:rPr>
  </w:style>
  <w:style w:type="paragraph" w:customStyle="1" w:styleId="909">
    <w:name w:val="列表 E"/>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character" w:customStyle="1" w:styleId="910">
    <w:name w:val="HTML 预设格式 Char2"/>
    <w:qFormat/>
    <w:uiPriority w:val="0"/>
    <w:rPr>
      <w:rFonts w:ascii="Courier New" w:hAnsi="Courier New" w:cs="Courier New"/>
    </w:rPr>
  </w:style>
  <w:style w:type="paragraph" w:customStyle="1" w:styleId="911">
    <w:name w:val="粗体字"/>
    <w:basedOn w:val="1"/>
    <w:qFormat/>
    <w:uiPriority w:val="99"/>
    <w:pPr>
      <w:widowControl w:val="0"/>
      <w:spacing w:line="360" w:lineRule="auto"/>
      <w:ind w:firstLine="200" w:firstLineChars="200"/>
      <w:jc w:val="both"/>
    </w:pPr>
    <w:rPr>
      <w:rFonts w:cs="Times New Roman"/>
      <w:b/>
      <w:bCs/>
      <w:szCs w:val="20"/>
    </w:rPr>
  </w:style>
  <w:style w:type="paragraph" w:customStyle="1" w:styleId="912">
    <w:name w:val="样式 样式 宋体 13 磅 白色 首行缩进:  0.74 厘米 + 自动设置 首行缩进:  2 字符"/>
    <w:basedOn w:val="1"/>
    <w:qFormat/>
    <w:uiPriority w:val="99"/>
    <w:pPr>
      <w:widowControl w:val="0"/>
      <w:ind w:firstLine="520" w:firstLineChars="200"/>
      <w:jc w:val="both"/>
    </w:pPr>
    <w:rPr>
      <w:kern w:val="2"/>
      <w:sz w:val="27"/>
      <w:szCs w:val="27"/>
    </w:rPr>
  </w:style>
  <w:style w:type="paragraph" w:customStyle="1" w:styleId="913">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914">
    <w:name w:val="图表目录11"/>
    <w:basedOn w:val="254"/>
    <w:next w:val="254"/>
    <w:qFormat/>
    <w:uiPriority w:val="99"/>
    <w:pPr>
      <w:tabs>
        <w:tab w:val="right" w:leader="dot" w:pos="8051"/>
      </w:tabs>
      <w:ind w:left="840" w:hanging="840"/>
    </w:pPr>
  </w:style>
  <w:style w:type="paragraph" w:customStyle="1" w:styleId="915">
    <w:name w:val="正文一"/>
    <w:basedOn w:val="1"/>
    <w:qFormat/>
    <w:uiPriority w:val="99"/>
    <w:pPr>
      <w:widowControl w:val="0"/>
      <w:adjustRightInd w:val="0"/>
      <w:spacing w:line="520" w:lineRule="exact"/>
      <w:ind w:firstLine="200" w:firstLineChars="200"/>
      <w:jc w:val="both"/>
      <w:textAlignment w:val="baseline"/>
    </w:pPr>
    <w:rPr>
      <w:rFonts w:cs="Times New Roman"/>
    </w:rPr>
  </w:style>
  <w:style w:type="paragraph" w:customStyle="1" w:styleId="916">
    <w:name w:val="排序（1）（2）"/>
    <w:basedOn w:val="1"/>
    <w:qFormat/>
    <w:uiPriority w:val="99"/>
    <w:pPr>
      <w:widowControl w:val="0"/>
      <w:spacing w:line="460" w:lineRule="atLeast"/>
      <w:jc w:val="both"/>
    </w:pPr>
    <w:rPr>
      <w:rFonts w:ascii="Times New Roman" w:hAnsi="Times New Roman" w:cs="Times New Roman"/>
      <w:spacing w:val="12"/>
      <w:kern w:val="2"/>
    </w:rPr>
  </w:style>
  <w:style w:type="paragraph" w:customStyle="1" w:styleId="917">
    <w:name w:val="xl101"/>
    <w:basedOn w:val="1"/>
    <w:qFormat/>
    <w:uiPriority w:val="99"/>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918">
    <w:name w:val="样式 正文首行缩进 + 四号 首行缩进:  1 字符 段后: 2.5 磅 行距: 1.5 倍行距"/>
    <w:basedOn w:val="78"/>
    <w:qFormat/>
    <w:uiPriority w:val="99"/>
    <w:pPr>
      <w:widowControl w:val="0"/>
      <w:spacing w:after="0" w:line="360" w:lineRule="auto"/>
      <w:ind w:firstLine="100"/>
    </w:pPr>
    <w:rPr>
      <w:rFonts w:ascii="Times New Roman" w:hAnsi="Times New Roman"/>
      <w:sz w:val="28"/>
    </w:rPr>
  </w:style>
  <w:style w:type="paragraph" w:customStyle="1" w:styleId="919">
    <w:name w:val="南郊正文"/>
    <w:basedOn w:val="1"/>
    <w:next w:val="1"/>
    <w:qFormat/>
    <w:uiPriority w:val="99"/>
    <w:pPr>
      <w:widowControl w:val="0"/>
      <w:jc w:val="both"/>
    </w:pPr>
    <w:rPr>
      <w:rFonts w:ascii="Times New Roman" w:hAnsi="Times New Roman" w:cs="Times New Roman"/>
      <w:kern w:val="2"/>
    </w:rPr>
  </w:style>
  <w:style w:type="paragraph" w:customStyle="1" w:styleId="920">
    <w:name w:val="表标题3.10"/>
    <w:basedOn w:val="818"/>
    <w:qFormat/>
    <w:uiPriority w:val="99"/>
  </w:style>
  <w:style w:type="paragraph" w:customStyle="1" w:styleId="921">
    <w:name w:val="Char Char Char Char Char Char Char Char Char Char"/>
    <w:basedOn w:val="1"/>
    <w:qFormat/>
    <w:uiPriority w:val="0"/>
    <w:pPr>
      <w:widowControl w:val="0"/>
      <w:jc w:val="both"/>
    </w:pPr>
    <w:rPr>
      <w:color w:val="000000"/>
      <w:kern w:val="2"/>
      <w:sz w:val="21"/>
      <w:szCs w:val="21"/>
    </w:rPr>
  </w:style>
  <w:style w:type="paragraph" w:customStyle="1" w:styleId="922">
    <w:name w:val="xl98"/>
    <w:basedOn w:val="1"/>
    <w:qFormat/>
    <w:uiPriority w:val="99"/>
    <w:pPr>
      <w:pBdr>
        <w:left w:val="single" w:color="auto" w:sz="8"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sz w:val="16"/>
      <w:szCs w:val="16"/>
    </w:rPr>
  </w:style>
  <w:style w:type="paragraph" w:customStyle="1" w:styleId="923">
    <w:name w:val="列表 2N"/>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24">
    <w:name w:val="列表 5N"/>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25">
    <w:name w:val="条(二级)"/>
    <w:basedOn w:val="5"/>
    <w:next w:val="1"/>
    <w:qFormat/>
    <w:uiPriority w:val="99"/>
    <w:pPr>
      <w:widowControl w:val="0"/>
      <w:autoSpaceDE w:val="0"/>
      <w:autoSpaceDN w:val="0"/>
      <w:adjustRightInd w:val="0"/>
      <w:spacing w:line="460" w:lineRule="exact"/>
      <w:textAlignment w:val="baseline"/>
      <w:outlineLvl w:val="9"/>
    </w:pPr>
    <w:rPr>
      <w:rFonts w:ascii="宋体" w:hAnsi="Times New Roman" w:eastAsia="宋体"/>
      <w:b/>
      <w:bCs w:val="0"/>
      <w:spacing w:val="3"/>
      <w:kern w:val="24"/>
      <w:sz w:val="26"/>
      <w:szCs w:val="20"/>
    </w:rPr>
  </w:style>
  <w:style w:type="paragraph" w:customStyle="1" w:styleId="926">
    <w:name w:val="新标题2"/>
    <w:basedOn w:val="1"/>
    <w:next w:val="78"/>
    <w:qFormat/>
    <w:uiPriority w:val="99"/>
    <w:pPr>
      <w:widowControl w:val="0"/>
      <w:spacing w:beforeLines="50" w:afterLines="50" w:line="360" w:lineRule="auto"/>
      <w:ind w:firstLine="200" w:firstLineChars="200"/>
      <w:jc w:val="center"/>
    </w:pPr>
  </w:style>
  <w:style w:type="paragraph" w:customStyle="1" w:styleId="927">
    <w:name w:val="条(三级)"/>
    <w:basedOn w:val="925"/>
    <w:next w:val="928"/>
    <w:qFormat/>
    <w:uiPriority w:val="99"/>
    <w:rPr>
      <w:b w:val="0"/>
    </w:rPr>
  </w:style>
  <w:style w:type="paragraph" w:customStyle="1" w:styleId="928">
    <w:name w:val="条(四级)"/>
    <w:basedOn w:val="1"/>
    <w:next w:val="1"/>
    <w:qFormat/>
    <w:uiPriority w:val="99"/>
    <w:pPr>
      <w:keepNext/>
      <w:keepLines/>
      <w:widowControl w:val="0"/>
      <w:autoSpaceDE w:val="0"/>
      <w:autoSpaceDN w:val="0"/>
      <w:adjustRightInd w:val="0"/>
      <w:spacing w:line="460" w:lineRule="exact"/>
      <w:textAlignment w:val="baseline"/>
    </w:pPr>
    <w:rPr>
      <w:rFonts w:hAnsi="Times New Roman" w:cs="Times New Roman"/>
      <w:spacing w:val="3"/>
      <w:kern w:val="24"/>
      <w:sz w:val="26"/>
      <w:szCs w:val="20"/>
    </w:rPr>
  </w:style>
  <w:style w:type="paragraph" w:customStyle="1" w:styleId="929">
    <w:name w:val="Char Char Char1 Char Char Char Char Char Char Char2"/>
    <w:basedOn w:val="1"/>
    <w:qFormat/>
    <w:uiPriority w:val="99"/>
    <w:pPr>
      <w:widowControl w:val="0"/>
      <w:jc w:val="both"/>
    </w:pPr>
    <w:rPr>
      <w:rFonts w:ascii="Times New Roman" w:hAnsi="Times New Roman" w:cs="Times New Roman"/>
      <w:kern w:val="2"/>
      <w:sz w:val="21"/>
    </w:rPr>
  </w:style>
  <w:style w:type="paragraph" w:customStyle="1" w:styleId="930">
    <w:name w:val="Char Char Char Char Char Char1 Char"/>
    <w:basedOn w:val="1"/>
    <w:qFormat/>
    <w:uiPriority w:val="0"/>
    <w:pPr>
      <w:spacing w:after="160" w:line="240" w:lineRule="exact"/>
    </w:pPr>
    <w:rPr>
      <w:rFonts w:ascii="Arial" w:hAnsi="Arial" w:eastAsia="Times New Roman" w:cs="Times New Roman"/>
      <w:b/>
      <w:szCs w:val="20"/>
      <w:lang w:eastAsia="en-US"/>
    </w:rPr>
  </w:style>
  <w:style w:type="paragraph" w:customStyle="1" w:styleId="931">
    <w:name w:val="xl53"/>
    <w:basedOn w:val="1"/>
    <w:qFormat/>
    <w:uiPriority w:val="99"/>
    <w:pPr>
      <w:pBdr>
        <w:top w:val="single" w:color="auto" w:sz="8" w:space="0"/>
        <w:left w:val="single" w:color="auto" w:sz="4" w:space="0"/>
        <w:bottom w:val="single" w:color="auto" w:sz="8" w:space="0"/>
      </w:pBdr>
      <w:spacing w:before="100" w:beforeAutospacing="1" w:after="100" w:afterAutospacing="1"/>
    </w:pPr>
    <w:rPr>
      <w:rFonts w:eastAsia="仿宋_GB2312" w:cs="Times New Roman"/>
      <w:b/>
      <w:bCs/>
      <w:position w:val="-6"/>
      <w:szCs w:val="21"/>
    </w:rPr>
  </w:style>
  <w:style w:type="paragraph" w:customStyle="1" w:styleId="932">
    <w:name w:val="标题样式3"/>
    <w:basedOn w:val="7"/>
    <w:qFormat/>
    <w:uiPriority w:val="99"/>
    <w:pPr>
      <w:keepNext w:val="0"/>
      <w:widowControl w:val="0"/>
      <w:spacing w:line="360" w:lineRule="auto"/>
      <w:jc w:val="both"/>
    </w:pPr>
    <w:rPr>
      <w:rFonts w:ascii="黑体" w:cs="黑体"/>
      <w:b/>
      <w:color w:val="000000"/>
      <w:sz w:val="28"/>
      <w:szCs w:val="28"/>
      <w:lang w:val="zh-CN"/>
    </w:rPr>
  </w:style>
  <w:style w:type="paragraph" w:customStyle="1" w:styleId="933">
    <w:name w:val="Char Char Char1 Char Char Char"/>
    <w:basedOn w:val="1"/>
    <w:qFormat/>
    <w:uiPriority w:val="0"/>
    <w:pPr>
      <w:widowControl w:val="0"/>
      <w:jc w:val="both"/>
    </w:pPr>
    <w:rPr>
      <w:rFonts w:ascii="Times New Roman" w:hAnsi="Times New Roman" w:cs="Times New Roman"/>
      <w:kern w:val="2"/>
      <w:sz w:val="21"/>
    </w:rPr>
  </w:style>
  <w:style w:type="paragraph" w:customStyle="1" w:styleId="934">
    <w:name w:val="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935">
    <w:name w:val="列表 5R"/>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36">
    <w:name w:val="xl64"/>
    <w:basedOn w:val="1"/>
    <w:qFormat/>
    <w:uiPriority w:val="99"/>
    <w:pPr>
      <w:pBdr>
        <w:left w:val="single" w:color="auto" w:sz="4" w:space="0"/>
      </w:pBdr>
      <w:spacing w:before="100" w:beforeAutospacing="1" w:after="100" w:afterAutospacing="1"/>
      <w:jc w:val="right"/>
    </w:pPr>
    <w:rPr>
      <w:rFonts w:eastAsia="仿宋_GB2312" w:cs="Times New Roman"/>
      <w:position w:val="-6"/>
    </w:rPr>
  </w:style>
  <w:style w:type="paragraph" w:customStyle="1" w:styleId="937">
    <w:name w:val="封面标准文稿类别"/>
    <w:semiHidden/>
    <w:qFormat/>
    <w:uiPriority w:val="99"/>
    <w:pPr>
      <w:spacing w:before="440" w:line="400" w:lineRule="exact"/>
      <w:jc w:val="center"/>
    </w:pPr>
    <w:rPr>
      <w:rFonts w:ascii="宋体" w:hAnsi="Times New Roman" w:eastAsia="宋体" w:cs="Times New Roman"/>
      <w:sz w:val="24"/>
      <w:lang w:val="en-US" w:eastAsia="zh-CN" w:bidi="ar-SA"/>
    </w:rPr>
  </w:style>
  <w:style w:type="paragraph" w:customStyle="1" w:styleId="938">
    <w:name w:val="xl51"/>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939">
    <w:name w:val="标题11"/>
    <w:basedOn w:val="1"/>
    <w:next w:val="1"/>
    <w:qFormat/>
    <w:uiPriority w:val="99"/>
    <w:pPr>
      <w:widowControl w:val="0"/>
      <w:spacing w:beforeLines="100" w:afterLines="50" w:line="360" w:lineRule="auto"/>
      <w:outlineLvl w:val="0"/>
    </w:pPr>
    <w:rPr>
      <w:rFonts w:ascii="仿宋_GB2312" w:hAnsi="Times New Roman" w:eastAsia="黑体" w:cs="Times New Roman"/>
      <w:b/>
      <w:kern w:val="2"/>
      <w:sz w:val="28"/>
      <w:szCs w:val="20"/>
    </w:rPr>
  </w:style>
  <w:style w:type="paragraph" w:customStyle="1" w:styleId="940">
    <w:name w:val="样式 标题 2 + Times New Roman 小三 居中 行距: 固定值 20 磅"/>
    <w:basedOn w:val="5"/>
    <w:qFormat/>
    <w:uiPriority w:val="99"/>
    <w:pPr>
      <w:spacing w:before="260" w:after="260" w:line="400" w:lineRule="exact"/>
      <w:ind w:firstLine="538" w:firstLineChars="192"/>
    </w:pPr>
    <w:rPr>
      <w:rFonts w:ascii="Times New Roman" w:hAnsi="Times New Roman" w:cs="宋体"/>
      <w:b/>
      <w:bCs w:val="0"/>
      <w:sz w:val="30"/>
      <w:szCs w:val="20"/>
    </w:rPr>
  </w:style>
  <w:style w:type="paragraph" w:customStyle="1" w:styleId="941">
    <w:name w:val="Char Char Char Char Char Char1 Char1"/>
    <w:basedOn w:val="1"/>
    <w:qFormat/>
    <w:uiPriority w:val="99"/>
    <w:pPr>
      <w:widowControl w:val="0"/>
      <w:jc w:val="both"/>
    </w:pPr>
    <w:rPr>
      <w:rFonts w:ascii="Times New Roman" w:hAnsi="Times New Roman" w:cs="Times New Roman"/>
      <w:kern w:val="2"/>
      <w:sz w:val="21"/>
    </w:rPr>
  </w:style>
  <w:style w:type="paragraph" w:customStyle="1" w:styleId="942">
    <w:name w:val="标题样工7"/>
    <w:basedOn w:val="1"/>
    <w:qFormat/>
    <w:uiPriority w:val="99"/>
    <w:pPr>
      <w:jc w:val="both"/>
    </w:pPr>
    <w:rPr>
      <w:rFonts w:ascii="华文楷体" w:hAnsi="华文楷体" w:eastAsia="仿宋_GB2312" w:cs="Times New Roman"/>
      <w:position w:val="-6"/>
      <w:szCs w:val="20"/>
    </w:rPr>
  </w:style>
  <w:style w:type="paragraph" w:customStyle="1" w:styleId="943">
    <w:name w:val="xl109"/>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944">
    <w:name w:val="xl49"/>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945">
    <w:name w:val="CM8"/>
    <w:basedOn w:val="101"/>
    <w:next w:val="101"/>
    <w:qFormat/>
    <w:uiPriority w:val="99"/>
    <w:pPr>
      <w:spacing w:line="466" w:lineRule="atLeast"/>
    </w:pPr>
    <w:rPr>
      <w:color w:val="auto"/>
    </w:rPr>
  </w:style>
  <w:style w:type="paragraph" w:customStyle="1" w:styleId="946">
    <w:name w:val="CM17"/>
    <w:basedOn w:val="101"/>
    <w:next w:val="101"/>
    <w:qFormat/>
    <w:uiPriority w:val="99"/>
    <w:rPr>
      <w:color w:val="auto"/>
    </w:rPr>
  </w:style>
  <w:style w:type="paragraph" w:customStyle="1" w:styleId="947">
    <w:name w:val="湛江钢铁表标题"/>
    <w:basedOn w:val="1"/>
    <w:qFormat/>
    <w:uiPriority w:val="99"/>
    <w:pPr>
      <w:widowControl w:val="0"/>
      <w:spacing w:beforeLines="50" w:line="360" w:lineRule="auto"/>
      <w:ind w:firstLine="480" w:firstLineChars="200"/>
      <w:jc w:val="center"/>
    </w:pPr>
    <w:rPr>
      <w:rFonts w:ascii="Times New Roman" w:hAnsi="Times New Roman" w:eastAsia="仿宋_GB2312" w:cs="Times New Roman"/>
      <w:color w:val="000000"/>
    </w:rPr>
  </w:style>
  <w:style w:type="paragraph" w:customStyle="1" w:styleId="948">
    <w:name w:val="样式 四号 行距: 1.5 倍行距"/>
    <w:basedOn w:val="1"/>
    <w:qFormat/>
    <w:uiPriority w:val="0"/>
    <w:pPr>
      <w:widowControl w:val="0"/>
      <w:spacing w:line="360" w:lineRule="auto"/>
      <w:ind w:firstLine="560" w:firstLineChars="200"/>
      <w:jc w:val="both"/>
    </w:pPr>
    <w:rPr>
      <w:rFonts w:ascii="Times New Roman" w:hAnsi="Times New Roman"/>
      <w:kern w:val="2"/>
      <w:sz w:val="28"/>
      <w:szCs w:val="20"/>
    </w:rPr>
  </w:style>
  <w:style w:type="paragraph" w:customStyle="1" w:styleId="949">
    <w:name w:val="表中文字----------------"/>
    <w:basedOn w:val="1"/>
    <w:qFormat/>
    <w:uiPriority w:val="99"/>
    <w:pPr>
      <w:widowControl w:val="0"/>
      <w:jc w:val="center"/>
    </w:pPr>
    <w:rPr>
      <w:rFonts w:ascii="Times New Roman" w:hAnsi="Times New Roman" w:cs="Times New Roman"/>
      <w:kern w:val="2"/>
      <w:sz w:val="21"/>
      <w:szCs w:val="20"/>
    </w:rPr>
  </w:style>
  <w:style w:type="paragraph" w:customStyle="1" w:styleId="950">
    <w:name w:val="nub2.4"/>
    <w:qFormat/>
    <w:uiPriority w:val="0"/>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hAnsi="Arial" w:eastAsia="宋体" w:cs="Times New Roman"/>
      <w:color w:val="000000"/>
      <w:lang w:val="en-US" w:eastAsia="zh-CN" w:bidi="ar-SA"/>
    </w:rPr>
  </w:style>
  <w:style w:type="paragraph" w:customStyle="1" w:styleId="951">
    <w:name w:val="样式 标题 3 + 宋体 小四 非加粗"/>
    <w:basedOn w:val="7"/>
    <w:qFormat/>
    <w:uiPriority w:val="99"/>
    <w:pPr>
      <w:widowControl w:val="0"/>
      <w:tabs>
        <w:tab w:val="left" w:pos="720"/>
      </w:tabs>
      <w:spacing w:before="260" w:after="260" w:line="416" w:lineRule="auto"/>
      <w:ind w:left="720" w:hanging="720"/>
      <w:jc w:val="both"/>
    </w:pPr>
    <w:rPr>
      <w:rFonts w:ascii="宋体" w:hAnsi="宋体" w:eastAsia="宋体"/>
      <w:bCs w:val="0"/>
      <w:sz w:val="24"/>
    </w:rPr>
  </w:style>
  <w:style w:type="paragraph" w:customStyle="1" w:styleId="952">
    <w:name w:val="xl68"/>
    <w:basedOn w:val="1"/>
    <w:qFormat/>
    <w:uiPriority w:val="99"/>
    <w:pPr>
      <w:pBdr>
        <w:bottom w:val="single" w:color="auto" w:sz="4" w:space="0"/>
        <w:right w:val="single" w:color="auto" w:sz="8" w:space="0"/>
      </w:pBdr>
      <w:spacing w:before="100" w:beforeAutospacing="1" w:after="100" w:afterAutospacing="1"/>
      <w:jc w:val="center"/>
    </w:pPr>
    <w:rPr>
      <w:rFonts w:eastAsia="仿宋_GB2312" w:cs="Times New Roman"/>
      <w:position w:val="-6"/>
      <w:szCs w:val="21"/>
    </w:rPr>
  </w:style>
  <w:style w:type="paragraph" w:customStyle="1" w:styleId="953">
    <w:name w:val="小5"/>
    <w:basedOn w:val="1"/>
    <w:qFormat/>
    <w:uiPriority w:val="99"/>
    <w:pPr>
      <w:adjustRightInd w:val="0"/>
      <w:snapToGrid w:val="0"/>
      <w:spacing w:line="400" w:lineRule="exact"/>
      <w:jc w:val="center"/>
    </w:pPr>
    <w:rPr>
      <w:rFonts w:cs="Times New Roman"/>
      <w:sz w:val="21"/>
      <w:szCs w:val="21"/>
    </w:rPr>
  </w:style>
  <w:style w:type="paragraph" w:customStyle="1" w:styleId="954">
    <w:name w:val="列表 2U"/>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55">
    <w:name w:val="表内小5中"/>
    <w:basedOn w:val="1"/>
    <w:qFormat/>
    <w:uiPriority w:val="99"/>
    <w:pPr>
      <w:widowControl w:val="0"/>
      <w:jc w:val="both"/>
    </w:pPr>
    <w:rPr>
      <w:rFonts w:hAnsi="Times New Roman" w:cs="Times New Roman"/>
      <w:kern w:val="2"/>
      <w:sz w:val="18"/>
      <w:szCs w:val="18"/>
    </w:rPr>
  </w:style>
  <w:style w:type="paragraph" w:customStyle="1" w:styleId="956">
    <w:name w:val="样式 标题 2节标题 1.1标题节第一层条H2Heading 2 HiddenHeading 2 CCBSPIM2..."/>
    <w:basedOn w:val="5"/>
    <w:qFormat/>
    <w:uiPriority w:val="99"/>
    <w:pPr>
      <w:widowControl w:val="0"/>
      <w:spacing w:before="260" w:after="260" w:line="415" w:lineRule="auto"/>
      <w:jc w:val="both"/>
    </w:pPr>
    <w:rPr>
      <w:rFonts w:ascii="Arial" w:hAnsi="Arial"/>
      <w:b/>
      <w:sz w:val="32"/>
      <w:szCs w:val="20"/>
    </w:rPr>
  </w:style>
  <w:style w:type="paragraph" w:customStyle="1" w:styleId="957">
    <w:name w:val="font11"/>
    <w:basedOn w:val="1"/>
    <w:qFormat/>
    <w:uiPriority w:val="99"/>
    <w:pPr>
      <w:spacing w:before="100" w:beforeAutospacing="1" w:after="100" w:afterAutospacing="1"/>
    </w:pPr>
    <w:rPr>
      <w:rFonts w:hint="eastAsia" w:cs="Arial Unicode MS"/>
      <w:b/>
      <w:bCs/>
      <w:sz w:val="20"/>
      <w:szCs w:val="20"/>
    </w:rPr>
  </w:style>
  <w:style w:type="paragraph" w:customStyle="1" w:styleId="958">
    <w:name w:val="表格内容格式"/>
    <w:basedOn w:val="1"/>
    <w:qFormat/>
    <w:uiPriority w:val="99"/>
    <w:pPr>
      <w:widowControl w:val="0"/>
      <w:adjustRightInd w:val="0"/>
      <w:snapToGrid w:val="0"/>
      <w:jc w:val="center"/>
      <w:textAlignment w:val="baseline"/>
    </w:pPr>
    <w:rPr>
      <w:rFonts w:cs="Times New Roman"/>
      <w:snapToGrid w:val="0"/>
      <w:sz w:val="21"/>
      <w:szCs w:val="20"/>
    </w:rPr>
  </w:style>
  <w:style w:type="paragraph" w:customStyle="1" w:styleId="959">
    <w:name w:val="xl76"/>
    <w:basedOn w:val="1"/>
    <w:qFormat/>
    <w:uiPriority w:val="99"/>
    <w:pPr>
      <w:pBdr>
        <w:top w:val="single" w:color="auto" w:sz="8"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960">
    <w:name w:val="xl56"/>
    <w:basedOn w:val="1"/>
    <w:qFormat/>
    <w:uiPriority w:val="99"/>
    <w:pPr>
      <w:pBdr>
        <w:top w:val="single" w:color="auto" w:sz="8" w:space="0"/>
        <w:left w:val="single" w:color="auto" w:sz="4" w:space="0"/>
        <w:bottom w:val="single" w:color="auto" w:sz="4" w:space="0"/>
      </w:pBdr>
      <w:spacing w:before="100" w:beforeAutospacing="1" w:after="100" w:afterAutospacing="1"/>
      <w:jc w:val="center"/>
    </w:pPr>
    <w:rPr>
      <w:rFonts w:eastAsia="仿宋_GB2312" w:cs="Times New Roman"/>
      <w:position w:val="-6"/>
      <w:szCs w:val="21"/>
    </w:rPr>
  </w:style>
  <w:style w:type="paragraph" w:customStyle="1" w:styleId="961">
    <w:name w:val="报告书正文"/>
    <w:basedOn w:val="1"/>
    <w:qFormat/>
    <w:uiPriority w:val="0"/>
    <w:pPr>
      <w:widowControl w:val="0"/>
      <w:adjustRightInd w:val="0"/>
      <w:spacing w:line="360" w:lineRule="exact"/>
      <w:ind w:firstLine="454"/>
      <w:jc w:val="both"/>
      <w:textAlignment w:val="baseline"/>
    </w:pPr>
    <w:rPr>
      <w:rFonts w:ascii="Times New Roman" w:hAnsi="Times New Roman" w:cs="Times New Roman"/>
      <w:szCs w:val="20"/>
    </w:rPr>
  </w:style>
  <w:style w:type="paragraph" w:customStyle="1" w:styleId="962">
    <w:name w:val="列表 4M"/>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963">
    <w:name w:val="Job Title"/>
    <w:next w:val="898"/>
    <w:qFormat/>
    <w:uiPriority w:val="99"/>
    <w:pPr>
      <w:spacing w:after="40" w:line="220" w:lineRule="atLeast"/>
    </w:pPr>
    <w:rPr>
      <w:rFonts w:ascii="Arial" w:hAnsi="Arial" w:eastAsia="宋体" w:cs="Times New Roman"/>
      <w:b/>
      <w:spacing w:val="-10"/>
      <w:lang w:val="en-US" w:eastAsia="zh-CN" w:bidi="ar-SA"/>
    </w:rPr>
  </w:style>
  <w:style w:type="paragraph" w:customStyle="1" w:styleId="964">
    <w:name w:val="列表 M"/>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965">
    <w:name w:val="编制人员"/>
    <w:basedOn w:val="1"/>
    <w:qFormat/>
    <w:uiPriority w:val="99"/>
    <w:pPr>
      <w:keepNext/>
      <w:widowControl w:val="0"/>
      <w:tabs>
        <w:tab w:val="left" w:pos="2190"/>
      </w:tabs>
      <w:adjustRightInd w:val="0"/>
      <w:snapToGrid w:val="0"/>
      <w:spacing w:line="360" w:lineRule="auto"/>
      <w:jc w:val="center"/>
    </w:pPr>
    <w:rPr>
      <w:rFonts w:ascii="黑体" w:eastAsia="黑体" w:cs="Times New Roman"/>
      <w:kern w:val="2"/>
      <w:sz w:val="32"/>
      <w:szCs w:val="28"/>
    </w:rPr>
  </w:style>
  <w:style w:type="paragraph" w:customStyle="1" w:styleId="966">
    <w:name w:val="样式 正文缩进 + 小四1"/>
    <w:basedOn w:val="6"/>
    <w:qFormat/>
    <w:uiPriority w:val="99"/>
    <w:pPr>
      <w:keepNext/>
      <w:widowControl w:val="0"/>
      <w:tabs>
        <w:tab w:val="left" w:pos="1727"/>
        <w:tab w:val="left" w:pos="1884"/>
      </w:tabs>
      <w:spacing w:line="360" w:lineRule="auto"/>
      <w:ind w:firstLine="480"/>
      <w:outlineLvl w:val="0"/>
    </w:pPr>
    <w:rPr>
      <w:rFonts w:ascii="宋体" w:hAnsi="宋体" w:cs="宋体"/>
      <w:snapToGrid w:val="0"/>
      <w:color w:val="000000"/>
    </w:rPr>
  </w:style>
  <w:style w:type="character" w:customStyle="1" w:styleId="967">
    <w:name w:val="z-窗体顶端 Char2"/>
    <w:semiHidden/>
    <w:qFormat/>
    <w:uiPriority w:val="99"/>
    <w:rPr>
      <w:rFonts w:ascii="Arial" w:hAnsi="Arial" w:cs="Arial"/>
      <w:vanish/>
      <w:sz w:val="16"/>
      <w:szCs w:val="16"/>
    </w:rPr>
  </w:style>
  <w:style w:type="paragraph" w:customStyle="1" w:styleId="968">
    <w:name w:val="内蒙4="/>
    <w:basedOn w:val="1"/>
    <w:qFormat/>
    <w:uiPriority w:val="99"/>
    <w:pPr>
      <w:widowControl w:val="0"/>
      <w:spacing w:line="480" w:lineRule="exact"/>
      <w:jc w:val="both"/>
      <w:outlineLvl w:val="3"/>
    </w:pPr>
    <w:rPr>
      <w:rFonts w:ascii="Times New Roman" w:cs="Times New Roman"/>
      <w:b/>
      <w:color w:val="FF0000"/>
      <w:spacing w:val="20"/>
      <w:kern w:val="2"/>
    </w:rPr>
  </w:style>
  <w:style w:type="paragraph" w:customStyle="1" w:styleId="969">
    <w:name w:val="小四表文左齐"/>
    <w:basedOn w:val="1"/>
    <w:qFormat/>
    <w:uiPriority w:val="99"/>
    <w:pPr>
      <w:jc w:val="center"/>
    </w:pPr>
    <w:rPr>
      <w:rFonts w:ascii="Times New Roman" w:hAnsi="Times New Roman" w:eastAsia="仿宋_GB2312" w:cs="Times New Roman"/>
      <w:bCs/>
      <w:spacing w:val="6"/>
      <w:kern w:val="16"/>
      <w:sz w:val="28"/>
      <w:szCs w:val="21"/>
    </w:rPr>
  </w:style>
  <w:style w:type="paragraph" w:customStyle="1" w:styleId="970">
    <w:name w:val="xl57"/>
    <w:basedOn w:val="1"/>
    <w:qFormat/>
    <w:uiPriority w:val="99"/>
    <w:pPr>
      <w:pBdr>
        <w:top w:val="single" w:color="auto" w:sz="8" w:space="0"/>
        <w:bottom w:val="single" w:color="auto" w:sz="4" w:space="0"/>
      </w:pBdr>
      <w:spacing w:before="100" w:beforeAutospacing="1" w:after="100" w:afterAutospacing="1"/>
      <w:jc w:val="center"/>
    </w:pPr>
    <w:rPr>
      <w:rFonts w:eastAsia="仿宋_GB2312" w:cs="Times New Roman"/>
      <w:position w:val="-6"/>
      <w:szCs w:val="21"/>
    </w:rPr>
  </w:style>
  <w:style w:type="paragraph" w:customStyle="1" w:styleId="971">
    <w:name w:val="样式 标题 2h22Header 2nd PageA.B.C.h2 main h标题2 + 仿宋_GB2312 行距..."/>
    <w:basedOn w:val="5"/>
    <w:qFormat/>
    <w:uiPriority w:val="0"/>
    <w:pPr>
      <w:spacing w:before="260" w:after="260" w:line="360" w:lineRule="auto"/>
      <w:ind w:firstLine="455" w:firstLineChars="162"/>
    </w:pPr>
    <w:rPr>
      <w:rFonts w:ascii="仿宋_GB2312" w:hAnsi="ˎ̥" w:eastAsia="仿宋_GB2312"/>
      <w:szCs w:val="20"/>
    </w:rPr>
  </w:style>
  <w:style w:type="paragraph" w:customStyle="1" w:styleId="972">
    <w:name w:val="Char1 Char Char Char Char Char1 Char1"/>
    <w:basedOn w:val="1"/>
    <w:qFormat/>
    <w:uiPriority w:val="99"/>
    <w:pPr>
      <w:widowControl w:val="0"/>
      <w:jc w:val="both"/>
    </w:pPr>
    <w:rPr>
      <w:rFonts w:ascii="Tahoma" w:hAnsi="Tahoma" w:cs="Times New Roman"/>
      <w:kern w:val="2"/>
      <w:szCs w:val="20"/>
    </w:rPr>
  </w:style>
  <w:style w:type="paragraph" w:customStyle="1" w:styleId="973">
    <w:name w:val="样式 标题 1 + 两端对齐"/>
    <w:basedOn w:val="4"/>
    <w:qFormat/>
    <w:uiPriority w:val="99"/>
    <w:pPr>
      <w:keepLines/>
      <w:widowControl w:val="0"/>
      <w:tabs>
        <w:tab w:val="left" w:pos="720"/>
      </w:tabs>
      <w:spacing w:beforeLines="100" w:afterLines="100" w:line="312" w:lineRule="auto"/>
      <w:ind w:left="-4" w:firstLine="4"/>
    </w:pPr>
    <w:rPr>
      <w:rFonts w:ascii="Times New Roman" w:hAnsi="Times New Roman" w:cs="宋体"/>
      <w:bCs/>
      <w:kern w:val="44"/>
      <w:szCs w:val="20"/>
    </w:rPr>
  </w:style>
  <w:style w:type="paragraph" w:customStyle="1" w:styleId="974">
    <w:name w:val="121111111111"/>
    <w:basedOn w:val="1"/>
    <w:qFormat/>
    <w:uiPriority w:val="99"/>
    <w:pPr>
      <w:widowControl w:val="0"/>
      <w:spacing w:line="460" w:lineRule="exact"/>
      <w:jc w:val="center"/>
    </w:pPr>
    <w:rPr>
      <w:rFonts w:ascii="Times New Roman" w:hAnsi="Times New Roman" w:eastAsia="黑体" w:cs="Times New Roman"/>
      <w:color w:val="000000"/>
      <w:spacing w:val="16"/>
      <w:kern w:val="2"/>
    </w:rPr>
  </w:style>
  <w:style w:type="paragraph" w:customStyle="1" w:styleId="975">
    <w:name w:val="Main"/>
    <w:basedOn w:val="1"/>
    <w:qFormat/>
    <w:uiPriority w:val="0"/>
    <w:pPr>
      <w:widowControl w:val="0"/>
      <w:spacing w:line="480" w:lineRule="atLeast"/>
      <w:ind w:left="400" w:leftChars="400" w:right="400" w:firstLine="200"/>
      <w:jc w:val="both"/>
    </w:pPr>
    <w:rPr>
      <w:rFonts w:hint="eastAsia" w:ascii="Tahoma" w:hAnsi="Tahoma" w:cs="Times New Roman"/>
      <w:kern w:val="2"/>
      <w:sz w:val="21"/>
      <w:szCs w:val="21"/>
    </w:rPr>
  </w:style>
  <w:style w:type="paragraph" w:customStyle="1" w:styleId="976">
    <w:name w:val="表标题1.7－2"/>
    <w:basedOn w:val="1"/>
    <w:qFormat/>
    <w:uiPriority w:val="99"/>
    <w:pPr>
      <w:widowControl w:val="0"/>
      <w:spacing w:beforeLines="100" w:line="0" w:lineRule="atLeast"/>
      <w:jc w:val="both"/>
    </w:pPr>
    <w:rPr>
      <w:rFonts w:ascii="Times New Roman" w:hAnsi="Times New Roman" w:cs="Times New Roman"/>
      <w:color w:val="000000"/>
      <w:kern w:val="2"/>
    </w:rPr>
  </w:style>
  <w:style w:type="paragraph" w:customStyle="1" w:styleId="977">
    <w:name w:val="样式 标题 3H3条标题1.1.11.1.1标题 3H31H32H33u3标题 3 Char Char Char...1"/>
    <w:basedOn w:val="7"/>
    <w:qFormat/>
    <w:uiPriority w:val="99"/>
    <w:pPr>
      <w:spacing w:beforeLines="100" w:afterLines="50" w:line="240" w:lineRule="auto"/>
    </w:pPr>
    <w:rPr>
      <w:rFonts w:cs="宋体"/>
      <w:b/>
      <w:kern w:val="28"/>
      <w:sz w:val="30"/>
      <w:szCs w:val="20"/>
    </w:rPr>
  </w:style>
  <w:style w:type="paragraph" w:customStyle="1" w:styleId="978">
    <w:name w:val="xl67"/>
    <w:basedOn w:val="1"/>
    <w:qFormat/>
    <w:uiPriority w:val="99"/>
    <w:pPr>
      <w:pBdr>
        <w:bottom w:val="single" w:color="auto" w:sz="8" w:space="0"/>
      </w:pBdr>
      <w:spacing w:before="100" w:beforeAutospacing="1" w:after="100" w:afterAutospacing="1"/>
      <w:jc w:val="right"/>
    </w:pPr>
    <w:rPr>
      <w:rFonts w:eastAsia="仿宋_GB2312" w:cs="Times New Roman"/>
      <w:position w:val="-6"/>
      <w:szCs w:val="21"/>
    </w:rPr>
  </w:style>
  <w:style w:type="paragraph" w:customStyle="1" w:styleId="979">
    <w:name w:val="表内5中9"/>
    <w:basedOn w:val="1"/>
    <w:qFormat/>
    <w:uiPriority w:val="99"/>
    <w:pPr>
      <w:widowControl w:val="0"/>
      <w:adjustRightInd w:val="0"/>
      <w:snapToGrid w:val="0"/>
      <w:jc w:val="center"/>
    </w:pPr>
    <w:rPr>
      <w:rFonts w:ascii="Times New Roman" w:cs="Times New Roman"/>
      <w:snapToGrid w:val="0"/>
      <w:sz w:val="18"/>
      <w:szCs w:val="18"/>
    </w:rPr>
  </w:style>
  <w:style w:type="paragraph" w:customStyle="1" w:styleId="980">
    <w:name w:val="简单回函地址"/>
    <w:basedOn w:val="1"/>
    <w:qFormat/>
    <w:uiPriority w:val="99"/>
    <w:pPr>
      <w:widowControl w:val="0"/>
      <w:jc w:val="both"/>
    </w:pPr>
    <w:rPr>
      <w:rFonts w:cs="Times New Roman"/>
      <w:kern w:val="2"/>
      <w:szCs w:val="32"/>
    </w:rPr>
  </w:style>
  <w:style w:type="paragraph" w:customStyle="1" w:styleId="981">
    <w:name w:val="样式 页眉 + 宋体 黑色 段前: 0 磅 段后: 0 磅 行距: 固定值 12 磅2"/>
    <w:basedOn w:val="52"/>
    <w:qFormat/>
    <w:uiPriority w:val="0"/>
    <w:pPr>
      <w:widowControl w:val="0"/>
      <w:pBdr>
        <w:bottom w:val="none" w:color="auto" w:sz="0" w:space="0"/>
      </w:pBdr>
      <w:tabs>
        <w:tab w:val="clear" w:pos="4153"/>
        <w:tab w:val="clear" w:pos="8306"/>
      </w:tabs>
      <w:spacing w:line="240" w:lineRule="exact"/>
    </w:pPr>
    <w:rPr>
      <w:rFonts w:ascii="宋体" w:hAnsi="宋体"/>
      <w:color w:val="000000"/>
      <w:kern w:val="0"/>
      <w:sz w:val="21"/>
      <w:szCs w:val="20"/>
    </w:rPr>
  </w:style>
  <w:style w:type="paragraph" w:customStyle="1" w:styleId="982">
    <w:name w:val="tian"/>
    <w:basedOn w:val="1"/>
    <w:qFormat/>
    <w:uiPriority w:val="99"/>
    <w:pPr>
      <w:widowControl w:val="0"/>
      <w:jc w:val="both"/>
    </w:pPr>
    <w:rPr>
      <w:rFonts w:ascii="Times New Roman" w:hAnsi="Times New Roman" w:cs="Times New Roman"/>
      <w:kern w:val="2"/>
      <w:szCs w:val="20"/>
    </w:rPr>
  </w:style>
  <w:style w:type="paragraph" w:customStyle="1" w:styleId="983">
    <w:name w:val="xl75"/>
    <w:basedOn w:val="1"/>
    <w:qFormat/>
    <w:uiPriority w:val="99"/>
    <w:pPr>
      <w:pBdr>
        <w:top w:val="single" w:color="auto" w:sz="4" w:space="0"/>
        <w:bottom w:val="single" w:color="auto" w:sz="4" w:space="0"/>
        <w:right w:val="single" w:color="auto" w:sz="4" w:space="0"/>
      </w:pBdr>
      <w:spacing w:before="100" w:beforeAutospacing="1" w:after="100" w:afterAutospacing="1"/>
    </w:pPr>
    <w:rPr>
      <w:rFonts w:eastAsia="仿宋_GB2312" w:cs="Times New Roman"/>
      <w:position w:val="-6"/>
    </w:rPr>
  </w:style>
  <w:style w:type="paragraph" w:customStyle="1" w:styleId="984">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sz w:val="18"/>
      <w:szCs w:val="18"/>
    </w:rPr>
  </w:style>
  <w:style w:type="paragraph" w:customStyle="1" w:styleId="985">
    <w:name w:val="4级样式"/>
    <w:basedOn w:val="8"/>
    <w:qFormat/>
    <w:uiPriority w:val="0"/>
    <w:pPr>
      <w:widowControl w:val="0"/>
      <w:spacing w:line="360" w:lineRule="auto"/>
      <w:jc w:val="both"/>
    </w:pPr>
    <w:rPr>
      <w:rFonts w:ascii="黑体" w:hAnsi="黑体" w:eastAsia="黑体" w:cs="Times New Roman"/>
      <w:szCs w:val="24"/>
    </w:rPr>
  </w:style>
  <w:style w:type="paragraph" w:customStyle="1" w:styleId="986">
    <w:name w:val="表内字新"/>
    <w:next w:val="1"/>
    <w:qFormat/>
    <w:uiPriority w:val="99"/>
    <w:pPr>
      <w:suppressAutoHyphens/>
      <w:adjustRightInd w:val="0"/>
      <w:spacing w:line="0" w:lineRule="atLeast"/>
      <w:jc w:val="center"/>
    </w:pPr>
    <w:rPr>
      <w:rFonts w:ascii="Times New Roman" w:hAnsi="Times New Roman" w:eastAsia="宋体" w:cs="Times New Roman"/>
      <w:sz w:val="21"/>
      <w:lang w:val="en-US" w:eastAsia="zh-CN" w:bidi="ar-SA"/>
    </w:rPr>
  </w:style>
  <w:style w:type="paragraph" w:customStyle="1" w:styleId="987">
    <w:name w:val="样式 标题 1 + 自动设置"/>
    <w:basedOn w:val="4"/>
    <w:qFormat/>
    <w:uiPriority w:val="99"/>
    <w:pPr>
      <w:keepNext/>
      <w:keepLines/>
      <w:widowControl w:val="0"/>
      <w:tabs>
        <w:tab w:val="left" w:pos="700"/>
        <w:tab w:val="left" w:pos="1440"/>
      </w:tabs>
      <w:autoSpaceDE w:val="0"/>
      <w:autoSpaceDN w:val="0"/>
      <w:adjustRightInd w:val="0"/>
      <w:spacing w:line="700" w:lineRule="exact"/>
      <w:ind w:left="431" w:hanging="431"/>
      <w:jc w:val="center"/>
    </w:pPr>
    <w:rPr>
      <w:rFonts w:ascii="Times New Roman" w:hAnsi="Times New Roman" w:eastAsia="宋体"/>
      <w:bCs/>
      <w:kern w:val="44"/>
      <w:szCs w:val="20"/>
    </w:rPr>
  </w:style>
  <w:style w:type="paragraph" w:customStyle="1" w:styleId="988">
    <w:name w:val="标题样式1"/>
    <w:basedOn w:val="2"/>
    <w:qFormat/>
    <w:uiPriority w:val="99"/>
    <w:pPr>
      <w:widowControl w:val="0"/>
      <w:adjustRightInd w:val="0"/>
      <w:snapToGrid w:val="0"/>
      <w:spacing w:line="0" w:lineRule="atLeast"/>
      <w:jc w:val="center"/>
      <w:textAlignment w:val="baseline"/>
    </w:pPr>
    <w:rPr>
      <w:rFonts w:ascii="Times New Roman" w:hAnsi="Times New Roman"/>
      <w:b/>
      <w:bCs/>
      <w:snapToGrid w:val="0"/>
      <w:color w:val="auto"/>
      <w:kern w:val="0"/>
      <w:szCs w:val="20"/>
    </w:rPr>
  </w:style>
  <w:style w:type="paragraph" w:customStyle="1" w:styleId="989">
    <w:name w:val="表格03"/>
    <w:basedOn w:val="1"/>
    <w:qFormat/>
    <w:uiPriority w:val="0"/>
    <w:pPr>
      <w:widowControl w:val="0"/>
      <w:spacing w:line="400" w:lineRule="atLeast"/>
      <w:jc w:val="center"/>
    </w:pPr>
    <w:rPr>
      <w:rFonts w:ascii="Times New Roman" w:hAnsi="Times New Roman" w:cs="Times New Roman"/>
      <w:kern w:val="2"/>
      <w:sz w:val="21"/>
      <w:szCs w:val="21"/>
    </w:rPr>
  </w:style>
  <w:style w:type="paragraph" w:customStyle="1" w:styleId="990">
    <w:name w:val="样式4"/>
    <w:basedOn w:val="6"/>
    <w:qFormat/>
    <w:uiPriority w:val="99"/>
    <w:pPr>
      <w:widowControl w:val="0"/>
      <w:adjustRightInd w:val="0"/>
      <w:snapToGrid w:val="0"/>
      <w:spacing w:line="360" w:lineRule="auto"/>
      <w:ind w:firstLine="420"/>
      <w:textAlignment w:val="baseline"/>
    </w:pPr>
    <w:rPr>
      <w:rFonts w:ascii="Times New Roman" w:hAnsi="Times New Roman"/>
      <w:sz w:val="24"/>
    </w:rPr>
  </w:style>
  <w:style w:type="paragraph" w:customStyle="1" w:styleId="991">
    <w:name w:val="CM10"/>
    <w:basedOn w:val="101"/>
    <w:next w:val="101"/>
    <w:qFormat/>
    <w:uiPriority w:val="99"/>
    <w:pPr>
      <w:spacing w:line="468" w:lineRule="atLeast"/>
    </w:pPr>
    <w:rPr>
      <w:color w:val="auto"/>
    </w:rPr>
  </w:style>
  <w:style w:type="paragraph" w:customStyle="1" w:styleId="992">
    <w:name w:val="默认段落字体 Para Char Char Char Char Char Char Char Char Char Char Char Char Char Char Char Char"/>
    <w:basedOn w:val="1"/>
    <w:qFormat/>
    <w:uiPriority w:val="99"/>
    <w:pPr>
      <w:widowControl w:val="0"/>
      <w:spacing w:line="360" w:lineRule="auto"/>
      <w:ind w:firstLine="200" w:firstLineChars="200"/>
      <w:jc w:val="both"/>
    </w:pPr>
    <w:rPr>
      <w:kern w:val="2"/>
    </w:rPr>
  </w:style>
  <w:style w:type="paragraph" w:customStyle="1" w:styleId="993">
    <w:name w:val="lyh 正文"/>
    <w:basedOn w:val="64"/>
    <w:qFormat/>
    <w:uiPriority w:val="0"/>
    <w:pPr>
      <w:adjustRightInd w:val="0"/>
      <w:snapToGrid w:val="0"/>
      <w:spacing w:after="0" w:line="360" w:lineRule="auto"/>
      <w:ind w:left="0" w:leftChars="0" w:firstLine="200" w:firstLineChars="200"/>
    </w:pPr>
    <w:rPr>
      <w:rFonts w:ascii="宋体"/>
      <w:sz w:val="28"/>
      <w:szCs w:val="28"/>
    </w:rPr>
  </w:style>
  <w:style w:type="paragraph" w:customStyle="1" w:styleId="994">
    <w:name w:val="Char1 Char Char Char Char Char1 Char"/>
    <w:basedOn w:val="1"/>
    <w:qFormat/>
    <w:uiPriority w:val="0"/>
    <w:pPr>
      <w:widowControl w:val="0"/>
      <w:jc w:val="both"/>
    </w:pPr>
    <w:rPr>
      <w:rFonts w:ascii="Tahoma" w:hAnsi="Tahoma" w:cs="Times New Roman"/>
      <w:kern w:val="2"/>
      <w:szCs w:val="20"/>
    </w:rPr>
  </w:style>
  <w:style w:type="paragraph" w:customStyle="1" w:styleId="995">
    <w:name w:val="CM70"/>
    <w:basedOn w:val="101"/>
    <w:next w:val="101"/>
    <w:qFormat/>
    <w:uiPriority w:val="99"/>
    <w:pPr>
      <w:spacing w:after="300"/>
    </w:pPr>
    <w:rPr>
      <w:color w:val="auto"/>
    </w:rPr>
  </w:style>
  <w:style w:type="paragraph" w:customStyle="1" w:styleId="996">
    <w:name w:val="样式 燕山正文 + 首行缩进:  2 字符"/>
    <w:basedOn w:val="1"/>
    <w:qFormat/>
    <w:uiPriority w:val="99"/>
    <w:pPr>
      <w:widowControl w:val="0"/>
      <w:tabs>
        <w:tab w:val="left" w:pos="4680"/>
      </w:tabs>
      <w:adjustRightInd w:val="0"/>
      <w:snapToGrid w:val="0"/>
      <w:spacing w:beforeLines="30" w:afterLines="30" w:line="360" w:lineRule="auto"/>
      <w:ind w:firstLine="480" w:firstLineChars="200"/>
    </w:pPr>
    <w:rPr>
      <w:rFonts w:ascii="Times New Roman" w:hAnsi="Times New Roman" w:cs="Times New Roman"/>
      <w:kern w:val="2"/>
      <w:szCs w:val="20"/>
    </w:rPr>
  </w:style>
  <w:style w:type="paragraph" w:customStyle="1" w:styleId="997">
    <w:name w:val="表格标题2"/>
    <w:basedOn w:val="354"/>
    <w:next w:val="354"/>
    <w:qFormat/>
    <w:uiPriority w:val="0"/>
    <w:pPr>
      <w:spacing w:line="240" w:lineRule="auto"/>
    </w:pPr>
    <w:rPr>
      <w:rFonts w:eastAsia="宋体"/>
      <w:b/>
    </w:rPr>
  </w:style>
  <w:style w:type="paragraph" w:customStyle="1" w:styleId="998">
    <w:name w:val="表内5"/>
    <w:basedOn w:val="328"/>
    <w:qFormat/>
    <w:uiPriority w:val="99"/>
    <w:pPr>
      <w:tabs>
        <w:tab w:val="left" w:pos="4305"/>
        <w:tab w:val="clear" w:pos="0"/>
      </w:tabs>
      <w:adjustRightInd w:val="0"/>
      <w:snapToGrid w:val="0"/>
      <w:spacing w:line="400" w:lineRule="exact"/>
      <w:ind w:firstLine="480" w:firstLineChars="200"/>
      <w:jc w:val="center"/>
    </w:pPr>
    <w:rPr>
      <w:rFonts w:ascii="宋体" w:hAnsi="宋体"/>
      <w:b w:val="0"/>
      <w:color w:val="000000"/>
      <w:sz w:val="21"/>
      <w:szCs w:val="21"/>
      <w:shd w:val="pct10" w:color="auto" w:fill="FFFFFF"/>
    </w:rPr>
  </w:style>
  <w:style w:type="paragraph" w:customStyle="1" w:styleId="999">
    <w:name w:val="xl74"/>
    <w:basedOn w:val="1"/>
    <w:qFormat/>
    <w:uiPriority w:val="99"/>
    <w:pPr>
      <w:pBdr>
        <w:right w:val="single" w:color="auto" w:sz="4" w:space="0"/>
      </w:pBdr>
      <w:spacing w:before="100" w:beforeAutospacing="1" w:after="100" w:afterAutospacing="1"/>
    </w:pPr>
    <w:rPr>
      <w:rFonts w:eastAsia="仿宋_GB2312" w:cs="Times New Roman"/>
      <w:position w:val="-6"/>
    </w:rPr>
  </w:style>
  <w:style w:type="paragraph" w:customStyle="1" w:styleId="1000">
    <w:name w:val="列表 3K"/>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001">
    <w:name w:val="图表目录1"/>
    <w:basedOn w:val="164"/>
    <w:next w:val="164"/>
    <w:qFormat/>
    <w:uiPriority w:val="99"/>
    <w:pPr>
      <w:tabs>
        <w:tab w:val="right" w:leader="dot" w:pos="8051"/>
      </w:tabs>
      <w:ind w:left="840" w:hanging="840"/>
    </w:pPr>
    <w:rPr>
      <w:rFonts w:eastAsia="Times New Roman"/>
      <w:szCs w:val="22"/>
    </w:rPr>
  </w:style>
  <w:style w:type="paragraph" w:customStyle="1" w:styleId="1002">
    <w:name w:val="样式 标题 21.1标题 21.1标题2标题 2 Char1节_Heading 2标2二级标题1.1标题一..."/>
    <w:basedOn w:val="5"/>
    <w:qFormat/>
    <w:uiPriority w:val="99"/>
    <w:pPr>
      <w:widowControl w:val="0"/>
      <w:tabs>
        <w:tab w:val="left" w:pos="840"/>
      </w:tabs>
      <w:spacing w:before="120" w:after="120" w:line="312" w:lineRule="auto"/>
      <w:ind w:left="840" w:hanging="420"/>
      <w:jc w:val="both"/>
    </w:pPr>
    <w:rPr>
      <w:rFonts w:ascii="Arial" w:hAnsi="Arial"/>
      <w:b/>
      <w:color w:val="000000"/>
      <w:sz w:val="24"/>
      <w:szCs w:val="24"/>
    </w:rPr>
  </w:style>
  <w:style w:type="paragraph" w:customStyle="1" w:styleId="1003">
    <w:name w:val="表格文本"/>
    <w:basedOn w:val="1"/>
    <w:next w:val="1"/>
    <w:qFormat/>
    <w:uiPriority w:val="99"/>
    <w:pPr>
      <w:widowControl w:val="0"/>
      <w:spacing w:line="240" w:lineRule="exact"/>
      <w:jc w:val="both"/>
    </w:pPr>
    <w:rPr>
      <w:rFonts w:ascii="Times New Roman" w:hAnsi="Times New Roman" w:cs="Times New Roman"/>
      <w:kern w:val="2"/>
      <w:sz w:val="21"/>
      <w:szCs w:val="20"/>
    </w:rPr>
  </w:style>
  <w:style w:type="paragraph" w:customStyle="1" w:styleId="1004">
    <w:name w:val="CM29"/>
    <w:basedOn w:val="101"/>
    <w:next w:val="101"/>
    <w:qFormat/>
    <w:uiPriority w:val="99"/>
    <w:pPr>
      <w:spacing w:line="456" w:lineRule="atLeast"/>
    </w:pPr>
    <w:rPr>
      <w:rFonts w:ascii="宋体" w:cs="宋体"/>
      <w:color w:val="auto"/>
    </w:rPr>
  </w:style>
  <w:style w:type="paragraph" w:customStyle="1" w:styleId="1005">
    <w:name w:val="In Table (II)"/>
    <w:basedOn w:val="1006"/>
    <w:qFormat/>
    <w:uiPriority w:val="99"/>
    <w:pPr>
      <w:tabs>
        <w:tab w:val="left" w:pos="2200"/>
        <w:tab w:val="left" w:pos="3960"/>
        <w:tab w:val="left" w:pos="5280"/>
      </w:tabs>
      <w:spacing w:beforeLines="25" w:afterLines="25"/>
      <w:ind w:left="52" w:leftChars="20"/>
      <w:jc w:val="left"/>
    </w:pPr>
    <w:rPr>
      <w:bCs/>
    </w:rPr>
  </w:style>
  <w:style w:type="paragraph" w:customStyle="1" w:styleId="1006">
    <w:name w:val="In Table"/>
    <w:basedOn w:val="1"/>
    <w:qFormat/>
    <w:uiPriority w:val="99"/>
    <w:pPr>
      <w:widowControl w:val="0"/>
      <w:tabs>
        <w:tab w:val="left" w:pos="3960"/>
        <w:tab w:val="left" w:pos="5280"/>
      </w:tabs>
      <w:spacing w:before="96" w:after="96" w:line="0" w:lineRule="atLeast"/>
      <w:jc w:val="center"/>
    </w:pPr>
    <w:rPr>
      <w:rFonts w:ascii="Tahoma" w:hAnsi="Tahoma" w:eastAsia="华文中宋" w:cs="Times New Roman"/>
      <w:kern w:val="2"/>
      <w:sz w:val="21"/>
      <w:szCs w:val="20"/>
    </w:rPr>
  </w:style>
  <w:style w:type="paragraph" w:customStyle="1" w:styleId="1007">
    <w:name w:val="CM9"/>
    <w:basedOn w:val="101"/>
    <w:next w:val="101"/>
    <w:qFormat/>
    <w:uiPriority w:val="0"/>
    <w:pPr>
      <w:spacing w:line="468" w:lineRule="atLeast"/>
    </w:pPr>
    <w:rPr>
      <w:color w:val="auto"/>
    </w:rPr>
  </w:style>
  <w:style w:type="paragraph" w:customStyle="1" w:styleId="1008">
    <w:name w:val="Char Char210"/>
    <w:basedOn w:val="1"/>
    <w:qFormat/>
    <w:uiPriority w:val="0"/>
    <w:pPr>
      <w:widowControl w:val="0"/>
      <w:spacing w:beforeLines="100"/>
      <w:jc w:val="both"/>
    </w:pPr>
    <w:rPr>
      <w:rFonts w:ascii="Times New Roman" w:hAnsi="Times New Roman" w:cs="Times New Roman"/>
      <w:kern w:val="2"/>
      <w:sz w:val="21"/>
    </w:rPr>
  </w:style>
  <w:style w:type="paragraph" w:customStyle="1" w:styleId="1009">
    <w:name w:val="样式 黑体 加粗 居中"/>
    <w:basedOn w:val="1"/>
    <w:qFormat/>
    <w:uiPriority w:val="99"/>
    <w:pPr>
      <w:widowControl w:val="0"/>
      <w:spacing w:line="312" w:lineRule="auto"/>
      <w:ind w:firstLine="573"/>
      <w:jc w:val="center"/>
    </w:pPr>
    <w:rPr>
      <w:rFonts w:ascii="Times New Roman" w:hAnsi="Times New Roman" w:eastAsia="黑体"/>
      <w:b/>
      <w:bCs/>
      <w:kern w:val="2"/>
    </w:rPr>
  </w:style>
  <w:style w:type="paragraph" w:customStyle="1" w:styleId="1010">
    <w:name w:val="标题6"/>
    <w:basedOn w:val="1"/>
    <w:next w:val="78"/>
    <w:qFormat/>
    <w:uiPriority w:val="99"/>
    <w:pPr>
      <w:keepNext/>
      <w:widowControl w:val="0"/>
      <w:spacing w:line="360" w:lineRule="auto"/>
      <w:ind w:firstLine="567"/>
      <w:outlineLvl w:val="5"/>
    </w:pPr>
    <w:rPr>
      <w:rFonts w:ascii="Times New Roman" w:hAnsi="Times New Roman" w:cs="Times New Roman"/>
      <w:kern w:val="2"/>
      <w:sz w:val="28"/>
      <w:szCs w:val="21"/>
    </w:rPr>
  </w:style>
  <w:style w:type="paragraph" w:customStyle="1" w:styleId="1011">
    <w:name w:val="标题5"/>
    <w:basedOn w:val="164"/>
    <w:qFormat/>
    <w:uiPriority w:val="99"/>
    <w:pPr>
      <w:snapToGrid w:val="0"/>
      <w:spacing w:beforeLines="50" w:line="360" w:lineRule="auto"/>
      <w:ind w:firstLine="520" w:firstLineChars="200"/>
      <w:jc w:val="both"/>
      <w:textAlignment w:val="auto"/>
    </w:pPr>
    <w:rPr>
      <w:rFonts w:ascii="Times New Roman"/>
      <w:snapToGrid w:val="0"/>
      <w:color w:val="000000"/>
      <w:szCs w:val="24"/>
    </w:rPr>
  </w:style>
  <w:style w:type="paragraph" w:customStyle="1" w:styleId="1012">
    <w:name w:val="Char Char Char Char Char Char Char Char Char Char Char Char1 Char"/>
    <w:basedOn w:val="1"/>
    <w:next w:val="1"/>
    <w:qFormat/>
    <w:uiPriority w:val="0"/>
    <w:pPr>
      <w:widowControl w:val="0"/>
      <w:spacing w:line="336" w:lineRule="auto"/>
      <w:ind w:firstLine="200" w:firstLineChars="200"/>
      <w:jc w:val="both"/>
    </w:pPr>
    <w:rPr>
      <w:rFonts w:eastAsia="汉鼎简书宋"/>
      <w:kern w:val="2"/>
    </w:rPr>
  </w:style>
  <w:style w:type="paragraph" w:customStyle="1" w:styleId="1013">
    <w:name w:val="正文标题3"/>
    <w:basedOn w:val="7"/>
    <w:qFormat/>
    <w:uiPriority w:val="99"/>
    <w:pPr>
      <w:widowControl w:val="0"/>
      <w:spacing w:line="240" w:lineRule="auto"/>
      <w:jc w:val="both"/>
    </w:pPr>
    <w:rPr>
      <w:sz w:val="28"/>
    </w:rPr>
  </w:style>
  <w:style w:type="paragraph" w:customStyle="1" w:styleId="1014">
    <w:name w:val="正文文字缩进1"/>
    <w:basedOn w:val="46"/>
    <w:qFormat/>
    <w:uiPriority w:val="0"/>
    <w:pPr>
      <w:spacing w:after="0" w:line="360" w:lineRule="auto"/>
      <w:ind w:left="0" w:leftChars="0" w:firstLine="560"/>
    </w:pPr>
    <w:rPr>
      <w:rFonts w:ascii="黑体" w:hAnsi="Arial Black" w:eastAsia="黑体"/>
      <w:b/>
      <w:bCs/>
      <w:sz w:val="28"/>
      <w:szCs w:val="20"/>
    </w:rPr>
  </w:style>
  <w:style w:type="paragraph" w:customStyle="1" w:styleId="1015">
    <w:name w:val="前言"/>
    <w:basedOn w:val="102"/>
    <w:qFormat/>
    <w:uiPriority w:val="99"/>
    <w:pPr>
      <w:widowControl/>
      <w:snapToGrid/>
      <w:ind w:firstLine="300" w:firstLineChars="300"/>
      <w:jc w:val="left"/>
      <w:outlineLvl w:val="0"/>
    </w:pPr>
    <w:rPr>
      <w:rFonts w:ascii="仿宋_GB2312" w:eastAsia="宋体"/>
      <w:b/>
      <w:bCs/>
      <w:szCs w:val="28"/>
    </w:rPr>
  </w:style>
  <w:style w:type="paragraph" w:customStyle="1" w:styleId="1016">
    <w:name w:val="默认段落字体 Para Char Char Char Char"/>
    <w:basedOn w:val="1"/>
    <w:qFormat/>
    <w:uiPriority w:val="99"/>
    <w:pPr>
      <w:widowControl w:val="0"/>
      <w:jc w:val="both"/>
    </w:pPr>
    <w:rPr>
      <w:rFonts w:ascii="Times New Roman" w:hAnsi="Times New Roman" w:cs="Times New Roman"/>
      <w:kern w:val="2"/>
      <w:sz w:val="21"/>
    </w:rPr>
  </w:style>
  <w:style w:type="paragraph" w:customStyle="1" w:styleId="1017">
    <w:name w:val="表标题1"/>
    <w:basedOn w:val="1"/>
    <w:qFormat/>
    <w:uiPriority w:val="99"/>
    <w:pPr>
      <w:keepNext/>
      <w:widowControl w:val="0"/>
      <w:adjustRightInd w:val="0"/>
      <w:spacing w:before="60" w:after="60" w:line="397" w:lineRule="atLeast"/>
      <w:jc w:val="center"/>
      <w:textAlignment w:val="baseline"/>
    </w:pPr>
    <w:rPr>
      <w:rFonts w:ascii="Times New Roman" w:hAnsi="Times New Roman" w:cs="Times New Roman"/>
      <w:b/>
      <w:szCs w:val="20"/>
    </w:rPr>
  </w:style>
  <w:style w:type="paragraph" w:customStyle="1" w:styleId="1018">
    <w:name w:val="样式 样式 标题 1 + 两端对齐 + 居中"/>
    <w:basedOn w:val="1"/>
    <w:qFormat/>
    <w:uiPriority w:val="99"/>
    <w:pPr>
      <w:keepLines/>
      <w:widowControl w:val="0"/>
      <w:tabs>
        <w:tab w:val="left" w:pos="1424"/>
      </w:tabs>
      <w:spacing w:before="840" w:after="360" w:line="312" w:lineRule="auto"/>
      <w:ind w:left="573"/>
      <w:jc w:val="center"/>
      <w:outlineLvl w:val="0"/>
    </w:pPr>
    <w:rPr>
      <w:rFonts w:ascii="Times New Roman" w:hAnsi="Times New Roman" w:eastAsia="黑体"/>
      <w:b/>
      <w:bCs/>
      <w:kern w:val="44"/>
      <w:sz w:val="36"/>
      <w:szCs w:val="36"/>
    </w:rPr>
  </w:style>
  <w:style w:type="paragraph" w:customStyle="1" w:styleId="1019">
    <w:name w:val="正文-使用"/>
    <w:basedOn w:val="1"/>
    <w:qFormat/>
    <w:uiPriority w:val="0"/>
    <w:pPr>
      <w:widowControl w:val="0"/>
      <w:spacing w:line="360" w:lineRule="auto"/>
      <w:ind w:firstLine="482" w:firstLineChars="200"/>
      <w:jc w:val="both"/>
    </w:pPr>
    <w:rPr>
      <w:rFonts w:ascii="Times New Roman" w:hAnsi="Times New Roman" w:cs="Times New Roman"/>
      <w:kern w:val="2"/>
      <w:szCs w:val="20"/>
    </w:rPr>
  </w:style>
  <w:style w:type="paragraph" w:customStyle="1" w:styleId="1020">
    <w:name w:val="xl89"/>
    <w:basedOn w:val="1"/>
    <w:qFormat/>
    <w:uiPriority w:val="99"/>
    <w:pPr>
      <w:pBdr>
        <w:top w:val="single" w:color="auto" w:sz="4" w:space="0"/>
        <w:bottom w:val="single" w:color="auto" w:sz="4"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021">
    <w:name w:val="样式 小四"/>
    <w:basedOn w:val="1"/>
    <w:qFormat/>
    <w:uiPriority w:val="99"/>
    <w:pPr>
      <w:widowControl w:val="0"/>
      <w:ind w:firstLine="200" w:firstLineChars="200"/>
      <w:jc w:val="both"/>
    </w:pPr>
    <w:rPr>
      <w:rFonts w:ascii="Times New Roman" w:hAnsi="Times New Roman"/>
      <w:kern w:val="2"/>
      <w:szCs w:val="20"/>
    </w:rPr>
  </w:style>
  <w:style w:type="paragraph" w:customStyle="1" w:styleId="1022">
    <w:name w:val="表中文字"/>
    <w:basedOn w:val="1"/>
    <w:link w:val="1023"/>
    <w:qFormat/>
    <w:uiPriority w:val="99"/>
    <w:pPr>
      <w:widowControl w:val="0"/>
      <w:topLinePunct/>
      <w:spacing w:line="360" w:lineRule="auto"/>
      <w:jc w:val="center"/>
    </w:pPr>
    <w:rPr>
      <w:rFonts w:ascii="仿宋_GB2312" w:hAnsi="Times New Roman" w:eastAsia="仿宋_GB2312" w:cs="Times New Roman"/>
      <w:kern w:val="2"/>
      <w:sz w:val="28"/>
      <w:szCs w:val="20"/>
    </w:rPr>
  </w:style>
  <w:style w:type="character" w:customStyle="1" w:styleId="1023">
    <w:name w:val="表中文字 Char"/>
    <w:link w:val="1022"/>
    <w:qFormat/>
    <w:uiPriority w:val="99"/>
    <w:rPr>
      <w:rFonts w:ascii="仿宋_GB2312" w:eastAsia="仿宋_GB2312"/>
      <w:kern w:val="2"/>
      <w:sz w:val="28"/>
    </w:rPr>
  </w:style>
  <w:style w:type="paragraph" w:customStyle="1" w:styleId="1024">
    <w:name w:val="Section Title"/>
    <w:basedOn w:val="1"/>
    <w:next w:val="1"/>
    <w:qFormat/>
    <w:uiPriority w:val="99"/>
    <w:pPr>
      <w:pBdr>
        <w:top w:val="single" w:color="FFFFFF" w:sz="6" w:space="2"/>
        <w:left w:val="single" w:color="FFFFFF" w:sz="6" w:space="2"/>
        <w:bottom w:val="single" w:color="FFFFFF" w:sz="6" w:space="2"/>
        <w:right w:val="single" w:color="FFFFFF" w:sz="6" w:space="2"/>
      </w:pBdr>
      <w:shd w:val="pct10" w:color="auto" w:fill="auto"/>
      <w:spacing w:before="120" w:line="280" w:lineRule="atLeast"/>
    </w:pPr>
    <w:rPr>
      <w:rFonts w:ascii="Arial" w:hAnsi="Arial" w:cs="Times New Roman"/>
      <w:b/>
      <w:spacing w:val="-10"/>
      <w:position w:val="7"/>
      <w:sz w:val="20"/>
      <w:szCs w:val="20"/>
    </w:rPr>
  </w:style>
  <w:style w:type="paragraph" w:customStyle="1" w:styleId="1025">
    <w:name w:val="样式 段落1 + 自动设置"/>
    <w:basedOn w:val="219"/>
    <w:qFormat/>
    <w:uiPriority w:val="99"/>
    <w:pPr>
      <w:ind w:firstLine="840" w:firstLineChars="400"/>
    </w:pPr>
    <w:rPr>
      <w:rFonts w:ascii="黑体" w:hAnsi="宋体"/>
      <w:bCs w:val="0"/>
      <w:spacing w:val="0"/>
      <w:szCs w:val="21"/>
    </w:rPr>
  </w:style>
  <w:style w:type="paragraph" w:customStyle="1" w:styleId="1026">
    <w:name w:val="02"/>
    <w:basedOn w:val="5"/>
    <w:qFormat/>
    <w:uiPriority w:val="99"/>
    <w:pPr>
      <w:widowControl w:val="0"/>
      <w:spacing w:line="480" w:lineRule="auto"/>
      <w:jc w:val="both"/>
    </w:pPr>
    <w:rPr>
      <w:rFonts w:ascii="Times New Roman" w:hAnsi="Times New Roman" w:eastAsia="宋体"/>
      <w:b/>
      <w:color w:val="333333"/>
      <w:sz w:val="24"/>
      <w:szCs w:val="20"/>
    </w:rPr>
  </w:style>
  <w:style w:type="paragraph" w:customStyle="1" w:styleId="1027">
    <w:name w:val="样式 样式 小四 段后: 6 磅 行距: 1.5 倍行距 + 首行缩进:  2 字符"/>
    <w:basedOn w:val="1"/>
    <w:qFormat/>
    <w:uiPriority w:val="99"/>
    <w:pPr>
      <w:keepNext/>
      <w:widowControl w:val="0"/>
      <w:spacing w:line="360" w:lineRule="auto"/>
      <w:ind w:firstLine="200" w:firstLineChars="200"/>
    </w:pPr>
    <w:rPr>
      <w:kern w:val="2"/>
      <w:sz w:val="28"/>
      <w:szCs w:val="20"/>
    </w:rPr>
  </w:style>
  <w:style w:type="paragraph" w:customStyle="1" w:styleId="1028">
    <w:name w:val="注×："/>
    <w:qFormat/>
    <w:uiPriority w:val="99"/>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029">
    <w:name w:val="xl44"/>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30">
    <w:name w:val="表号文字"/>
    <w:basedOn w:val="1"/>
    <w:qFormat/>
    <w:uiPriority w:val="99"/>
    <w:pPr>
      <w:widowControl w:val="0"/>
      <w:adjustRightInd w:val="0"/>
      <w:snapToGrid w:val="0"/>
      <w:spacing w:before="120" w:line="300" w:lineRule="auto"/>
    </w:pPr>
    <w:rPr>
      <w:rFonts w:ascii="Times New Roman" w:hAnsi="Times New Roman" w:eastAsia="黑体" w:cs="Times New Roman"/>
      <w:kern w:val="2"/>
    </w:rPr>
  </w:style>
  <w:style w:type="paragraph" w:customStyle="1" w:styleId="1031">
    <w:name w:val="0"/>
    <w:basedOn w:val="1"/>
    <w:qFormat/>
    <w:uiPriority w:val="0"/>
    <w:pPr>
      <w:jc w:val="both"/>
    </w:pPr>
    <w:rPr>
      <w:rFonts w:ascii="Times New Roman" w:hAnsi="Times New Roman" w:cs="Times New Roman"/>
      <w:sz w:val="21"/>
      <w:szCs w:val="20"/>
    </w:rPr>
  </w:style>
  <w:style w:type="paragraph" w:customStyle="1" w:styleId="1032">
    <w:name w:val="列表 2W"/>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33">
    <w:name w:val="列表 2T"/>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34">
    <w:name w:val="Char4 Char Char Char Char Char Char"/>
    <w:basedOn w:val="1"/>
    <w:qFormat/>
    <w:uiPriority w:val="0"/>
    <w:pPr>
      <w:widowControl w:val="0"/>
      <w:spacing w:line="360" w:lineRule="auto"/>
      <w:ind w:firstLine="200" w:firstLineChars="200"/>
      <w:jc w:val="both"/>
    </w:pPr>
    <w:rPr>
      <w:kern w:val="2"/>
    </w:rPr>
  </w:style>
  <w:style w:type="paragraph" w:customStyle="1" w:styleId="1035">
    <w:name w:val="列表 5A"/>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036">
    <w:name w:val="xl29"/>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37">
    <w:name w:val="CM13"/>
    <w:basedOn w:val="101"/>
    <w:next w:val="101"/>
    <w:qFormat/>
    <w:uiPriority w:val="99"/>
    <w:pPr>
      <w:spacing w:line="468" w:lineRule="atLeast"/>
    </w:pPr>
    <w:rPr>
      <w:color w:val="auto"/>
    </w:rPr>
  </w:style>
  <w:style w:type="paragraph" w:customStyle="1" w:styleId="1038">
    <w:name w:val="表头样式"/>
    <w:basedOn w:val="1"/>
    <w:qFormat/>
    <w:uiPriority w:val="99"/>
    <w:pPr>
      <w:keepNext/>
      <w:spacing w:beforeLines="50" w:afterLines="50" w:line="520" w:lineRule="exact"/>
      <w:ind w:firstLine="280" w:firstLineChars="100"/>
      <w:jc w:val="both"/>
    </w:pPr>
    <w:rPr>
      <w:bCs/>
      <w:kern w:val="2"/>
      <w:sz w:val="28"/>
      <w:szCs w:val="28"/>
    </w:rPr>
  </w:style>
  <w:style w:type="paragraph" w:customStyle="1" w:styleId="1039">
    <w:name w:val="灯泡注释(打印无效)"/>
    <w:basedOn w:val="78"/>
    <w:qFormat/>
    <w:uiPriority w:val="99"/>
    <w:pPr>
      <w:widowControl w:val="0"/>
      <w:snapToGrid w:val="0"/>
      <w:spacing w:after="0"/>
      <w:ind w:firstLine="0" w:firstLineChars="0"/>
    </w:pPr>
    <w:rPr>
      <w:rFonts w:ascii="Times New Roman" w:hAnsi="Times New Roman"/>
      <w:i/>
      <w:vanish/>
      <w:color w:val="FF0000"/>
      <w:szCs w:val="21"/>
    </w:rPr>
  </w:style>
  <w:style w:type="paragraph" w:customStyle="1" w:styleId="1040">
    <w:name w:val="图文字"/>
    <w:basedOn w:val="1"/>
    <w:next w:val="1"/>
    <w:qFormat/>
    <w:uiPriority w:val="0"/>
    <w:pPr>
      <w:widowControl w:val="0"/>
      <w:snapToGrid w:val="0"/>
      <w:jc w:val="both"/>
    </w:pPr>
    <w:rPr>
      <w:rFonts w:ascii="Arial" w:hAnsi="Arial" w:eastAsia="楷体_GB2312" w:cs="Times New Roman"/>
      <w:kern w:val="2"/>
      <w:szCs w:val="20"/>
    </w:rPr>
  </w:style>
  <w:style w:type="paragraph" w:customStyle="1" w:styleId="1041">
    <w:name w:val="表中样式"/>
    <w:basedOn w:val="1"/>
    <w:qFormat/>
    <w:uiPriority w:val="99"/>
    <w:pPr>
      <w:spacing w:line="240" w:lineRule="exact"/>
      <w:ind w:left="-25" w:leftChars="-25" w:right="-31" w:rightChars="-31"/>
      <w:jc w:val="center"/>
    </w:pPr>
    <w:rPr>
      <w:bCs/>
      <w:sz w:val="21"/>
      <w:szCs w:val="32"/>
    </w:rPr>
  </w:style>
  <w:style w:type="paragraph" w:customStyle="1" w:styleId="1042">
    <w:name w:val="表标题5.14"/>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043">
    <w:name w:val="Char Char Char1 Char Char Char1"/>
    <w:basedOn w:val="1"/>
    <w:qFormat/>
    <w:uiPriority w:val="99"/>
    <w:pPr>
      <w:widowControl w:val="0"/>
      <w:jc w:val="both"/>
    </w:pPr>
    <w:rPr>
      <w:rFonts w:ascii="Times New Roman" w:hAnsi="Times New Roman" w:cs="Times New Roman"/>
      <w:kern w:val="2"/>
      <w:sz w:val="21"/>
    </w:rPr>
  </w:style>
  <w:style w:type="paragraph" w:customStyle="1" w:styleId="1044">
    <w:name w:val="xl100"/>
    <w:basedOn w:val="1"/>
    <w:qFormat/>
    <w:uiPriority w:val="99"/>
    <w:pPr>
      <w:pBdr>
        <w:top w:val="single" w:color="auto" w:sz="8" w:space="0"/>
        <w:bottom w:val="single" w:color="auto" w:sz="4"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045">
    <w:name w:val="样式 标题 4款标题1.1.1.1 南陵标题 4标题 4 CharH4PIM 4h4First Subheadin..."/>
    <w:basedOn w:val="8"/>
    <w:qFormat/>
    <w:uiPriority w:val="0"/>
    <w:pPr>
      <w:keepNext w:val="0"/>
      <w:keepLines w:val="0"/>
      <w:widowControl w:val="0"/>
      <w:spacing w:line="360" w:lineRule="auto"/>
      <w:jc w:val="both"/>
    </w:pPr>
    <w:rPr>
      <w:rFonts w:ascii="黑体" w:eastAsia="黑体" w:cs="Times New Roman"/>
      <w:bCs/>
      <w:color w:val="000000"/>
      <w:lang w:val="en-US"/>
    </w:rPr>
  </w:style>
  <w:style w:type="paragraph" w:customStyle="1" w:styleId="1046">
    <w:name w:val="列表 4S"/>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047">
    <w:name w:val="条文2"/>
    <w:basedOn w:val="8"/>
    <w:qFormat/>
    <w:uiPriority w:val="99"/>
    <w:pPr>
      <w:keepNext w:val="0"/>
      <w:keepLines w:val="0"/>
      <w:widowControl w:val="0"/>
      <w:tabs>
        <w:tab w:val="left" w:pos="360"/>
      </w:tabs>
      <w:adjustRightInd w:val="0"/>
      <w:spacing w:line="460" w:lineRule="exact"/>
      <w:ind w:left="1151" w:hanging="425"/>
      <w:textAlignment w:val="baseline"/>
      <w:outlineLvl w:val="9"/>
    </w:pPr>
    <w:rPr>
      <w:rFonts w:ascii="宋体" w:hAnsi="Arial" w:cs="Times New Roman"/>
      <w:spacing w:val="3"/>
      <w:kern w:val="24"/>
      <w:lang w:val="en-US"/>
    </w:rPr>
  </w:style>
  <w:style w:type="paragraph" w:customStyle="1" w:styleId="1048">
    <w:name w:val="Char4 Char Char Char Char Char Char2"/>
    <w:basedOn w:val="1"/>
    <w:qFormat/>
    <w:uiPriority w:val="99"/>
    <w:pPr>
      <w:widowControl w:val="0"/>
      <w:spacing w:line="360" w:lineRule="auto"/>
      <w:ind w:firstLine="200" w:firstLineChars="200"/>
      <w:jc w:val="both"/>
    </w:pPr>
    <w:rPr>
      <w:kern w:val="2"/>
    </w:rPr>
  </w:style>
  <w:style w:type="paragraph" w:customStyle="1" w:styleId="1049">
    <w:name w:val="表格11"/>
    <w:basedOn w:val="362"/>
    <w:qFormat/>
    <w:uiPriority w:val="99"/>
    <w:pPr>
      <w:widowControl w:val="0"/>
      <w:spacing w:line="240" w:lineRule="auto"/>
    </w:pPr>
    <w:rPr>
      <w:rFonts w:ascii="黑体" w:eastAsia="仿宋_GB2312"/>
      <w:szCs w:val="28"/>
    </w:rPr>
  </w:style>
  <w:style w:type="paragraph" w:customStyle="1" w:styleId="1050">
    <w:name w:val="xl87"/>
    <w:basedOn w:val="1"/>
    <w:qFormat/>
    <w:uiPriority w:val="99"/>
    <w:pPr>
      <w:pBdr>
        <w:top w:val="single" w:color="auto" w:sz="8" w:space="0"/>
        <w:bottom w:val="single" w:color="auto" w:sz="4"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051">
    <w:name w:val="列表 2V"/>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52">
    <w:name w:val="列表 4A"/>
    <w:basedOn w:val="69"/>
    <w:qFormat/>
    <w:uiPriority w:val="99"/>
    <w:pPr>
      <w:tabs>
        <w:tab w:val="left" w:pos="360"/>
      </w:tabs>
      <w:topLinePunct w:val="0"/>
      <w:spacing w:beforeLines="50" w:afterLines="30" w:line="288" w:lineRule="auto"/>
      <w:ind w:left="360" w:leftChars="0" w:hanging="360"/>
      <w:jc w:val="both"/>
    </w:pPr>
    <w:rPr>
      <w:rFonts w:ascii="Arial" w:hAnsi="Arial" w:eastAsia="宋体"/>
      <w:color w:val="CCFFFF"/>
      <w:sz w:val="24"/>
    </w:rPr>
  </w:style>
  <w:style w:type="paragraph" w:customStyle="1" w:styleId="1053">
    <w:name w:val="正文王"/>
    <w:basedOn w:val="1"/>
    <w:qFormat/>
    <w:uiPriority w:val="99"/>
    <w:pPr>
      <w:tabs>
        <w:tab w:val="left" w:pos="7080"/>
      </w:tabs>
      <w:adjustRightInd w:val="0"/>
      <w:snapToGrid w:val="0"/>
      <w:spacing w:line="360" w:lineRule="auto"/>
      <w:ind w:firstLine="480" w:firstLineChars="200"/>
      <w:jc w:val="both"/>
    </w:pPr>
    <w:rPr>
      <w:rFonts w:ascii="Times New Roman" w:hAnsi="Times New Roman" w:eastAsia="仿宋_GB2312" w:cs="Times New Roman"/>
      <w:snapToGrid w:val="0"/>
      <w:szCs w:val="28"/>
    </w:rPr>
  </w:style>
  <w:style w:type="paragraph" w:customStyle="1" w:styleId="1054">
    <w:name w:val="表标题17.21"/>
    <w:basedOn w:val="1"/>
    <w:qFormat/>
    <w:uiPriority w:val="99"/>
    <w:pPr>
      <w:widowControl w:val="0"/>
      <w:tabs>
        <w:tab w:val="left" w:pos="284"/>
        <w:tab w:val="center" w:pos="4060"/>
        <w:tab w:val="right" w:pos="8261"/>
      </w:tabs>
      <w:suppressAutoHyphens/>
      <w:adjustRightInd w:val="0"/>
      <w:spacing w:before="240" w:line="0" w:lineRule="atLeast"/>
      <w:jc w:val="center"/>
    </w:pPr>
    <w:rPr>
      <w:rFonts w:ascii="黑体" w:hAnsi="Times New Roman" w:eastAsia="黑体" w:cs="Times New Roman"/>
      <w:b/>
      <w:spacing w:val="6"/>
    </w:rPr>
  </w:style>
  <w:style w:type="paragraph" w:customStyle="1" w:styleId="1055">
    <w:name w:val="style18"/>
    <w:basedOn w:val="1"/>
    <w:qFormat/>
    <w:uiPriority w:val="99"/>
    <w:pPr>
      <w:spacing w:before="100" w:beforeAutospacing="1" w:after="100" w:afterAutospacing="1"/>
    </w:pPr>
    <w:rPr>
      <w:rFonts w:cs="Times New Roman"/>
      <w:color w:val="000000"/>
      <w:sz w:val="21"/>
      <w:szCs w:val="21"/>
    </w:rPr>
  </w:style>
  <w:style w:type="paragraph" w:customStyle="1" w:styleId="1056">
    <w:name w:val="样式8"/>
    <w:basedOn w:val="7"/>
    <w:qFormat/>
    <w:uiPriority w:val="99"/>
    <w:pPr>
      <w:keepNext w:val="0"/>
      <w:keepLines w:val="0"/>
      <w:adjustRightInd w:val="0"/>
      <w:snapToGrid w:val="0"/>
      <w:spacing w:beforeLines="20" w:afterLines="50" w:line="360" w:lineRule="auto"/>
      <w:textAlignment w:val="baseline"/>
    </w:pPr>
    <w:rPr>
      <w:rFonts w:ascii="宋体" w:hAnsi="Courier New" w:eastAsia="宋体"/>
      <w:b/>
      <w:bCs w:val="0"/>
      <w:sz w:val="24"/>
      <w:szCs w:val="20"/>
    </w:rPr>
  </w:style>
  <w:style w:type="paragraph" w:customStyle="1" w:styleId="1057">
    <w:name w:val="标标题1.9"/>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sz w:val="26"/>
      <w:szCs w:val="26"/>
    </w:rPr>
  </w:style>
  <w:style w:type="paragraph" w:customStyle="1" w:styleId="1058">
    <w:name w:val="CM66"/>
    <w:basedOn w:val="101"/>
    <w:next w:val="101"/>
    <w:qFormat/>
    <w:uiPriority w:val="99"/>
    <w:pPr>
      <w:spacing w:after="215"/>
    </w:pPr>
    <w:rPr>
      <w:color w:val="auto"/>
    </w:rPr>
  </w:style>
  <w:style w:type="paragraph" w:customStyle="1" w:styleId="1059">
    <w:name w:val="表右"/>
    <w:basedOn w:val="1"/>
    <w:qFormat/>
    <w:uiPriority w:val="99"/>
    <w:pPr>
      <w:keepNext/>
      <w:widowControl w:val="0"/>
      <w:tabs>
        <w:tab w:val="left" w:pos="2190"/>
      </w:tabs>
      <w:adjustRightInd w:val="0"/>
      <w:snapToGrid w:val="0"/>
      <w:spacing w:line="240" w:lineRule="atLeast"/>
      <w:ind w:right="20" w:rightChars="20"/>
      <w:jc w:val="right"/>
    </w:pPr>
    <w:rPr>
      <w:rFonts w:cs="Times New Roman"/>
      <w:kern w:val="2"/>
      <w:szCs w:val="28"/>
    </w:rPr>
  </w:style>
  <w:style w:type="paragraph" w:customStyle="1" w:styleId="1060">
    <w:name w:val="副题目"/>
    <w:basedOn w:val="57"/>
    <w:qFormat/>
    <w:uiPriority w:val="99"/>
    <w:pPr>
      <w:keepNext/>
      <w:keepLines/>
      <w:spacing w:beforeLines="100" w:after="100" w:afterAutospacing="1" w:line="600" w:lineRule="atLeast"/>
      <w:outlineLvl w:val="9"/>
    </w:pPr>
    <w:rPr>
      <w:rFonts w:ascii="Arial" w:hAnsi="Arial" w:eastAsia="经典叠圆体简" w:cs="Times New Roman"/>
      <w:b w:val="0"/>
      <w:bCs w:val="0"/>
      <w:iCs/>
      <w:color w:val="CC99FF"/>
      <w:spacing w:val="36"/>
      <w:sz w:val="36"/>
      <w:szCs w:val="20"/>
      <w:lang w:bidi="he-IL"/>
    </w:rPr>
  </w:style>
  <w:style w:type="paragraph" w:customStyle="1" w:styleId="1061">
    <w:name w:val="样式 标题3"/>
    <w:basedOn w:val="7"/>
    <w:qFormat/>
    <w:uiPriority w:val="0"/>
    <w:pPr>
      <w:widowControl w:val="0"/>
      <w:spacing w:beforeLines="50" w:afterLines="50" w:line="360" w:lineRule="auto"/>
      <w:ind w:firstLine="200"/>
    </w:pPr>
    <w:rPr>
      <w:rFonts w:ascii="宋体" w:hAnsi="宋体" w:eastAsia="宋体" w:cs="宋体"/>
      <w:b/>
      <w:sz w:val="28"/>
      <w:szCs w:val="24"/>
    </w:rPr>
  </w:style>
  <w:style w:type="paragraph" w:customStyle="1" w:styleId="1062">
    <w:name w:val="列表 H"/>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063">
    <w:name w:val="CM61"/>
    <w:basedOn w:val="101"/>
    <w:next w:val="101"/>
    <w:qFormat/>
    <w:uiPriority w:val="99"/>
    <w:pPr>
      <w:spacing w:after="78"/>
    </w:pPr>
    <w:rPr>
      <w:color w:val="auto"/>
    </w:rPr>
  </w:style>
  <w:style w:type="paragraph" w:customStyle="1" w:styleId="1064">
    <w:name w:val="xl30"/>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65">
    <w:name w:val="普通(Web)1"/>
    <w:basedOn w:val="1"/>
    <w:qFormat/>
    <w:uiPriority w:val="99"/>
    <w:rPr>
      <w:rFonts w:eastAsia="仿宋_GB2312"/>
      <w:color w:val="000000"/>
    </w:rPr>
  </w:style>
  <w:style w:type="paragraph" w:customStyle="1" w:styleId="1066">
    <w:name w:val="xl94"/>
    <w:basedOn w:val="1"/>
    <w:qFormat/>
    <w:uiPriority w:val="99"/>
    <w:pPr>
      <w:spacing w:before="100" w:beforeAutospacing="1" w:after="100" w:afterAutospacing="1"/>
      <w:jc w:val="center"/>
    </w:pPr>
    <w:rPr>
      <w:rFonts w:ascii="Times New Roman" w:hAnsi="Times New Roman" w:eastAsia="Arial Unicode MS" w:cs="Times New Roman"/>
      <w:sz w:val="20"/>
      <w:szCs w:val="20"/>
    </w:rPr>
  </w:style>
  <w:style w:type="paragraph" w:customStyle="1" w:styleId="1067">
    <w:name w:val="标题2.5"/>
    <w:basedOn w:val="1068"/>
    <w:next w:val="316"/>
    <w:qFormat/>
    <w:uiPriority w:val="99"/>
    <w:pPr>
      <w:topLinePunct/>
      <w:spacing w:beforeLines="0" w:line="360" w:lineRule="auto"/>
    </w:pPr>
    <w:rPr>
      <w:rFonts w:ascii="仿宋_GB2312"/>
      <w:b w:val="0"/>
    </w:rPr>
  </w:style>
  <w:style w:type="paragraph" w:customStyle="1" w:styleId="1068">
    <w:name w:val="标题2"/>
    <w:basedOn w:val="1"/>
    <w:next w:val="1"/>
    <w:semiHidden/>
    <w:qFormat/>
    <w:uiPriority w:val="99"/>
    <w:pPr>
      <w:widowControl w:val="0"/>
      <w:spacing w:beforeLines="100" w:afterLines="100" w:line="640" w:lineRule="exact"/>
      <w:outlineLvl w:val="1"/>
    </w:pPr>
    <w:rPr>
      <w:rFonts w:ascii="黑体" w:hAnsi="Times New Roman" w:eastAsia="黑体" w:cs="Times New Roman"/>
      <w:b/>
      <w:color w:val="000000"/>
      <w:kern w:val="2"/>
      <w:sz w:val="28"/>
      <w:szCs w:val="28"/>
    </w:rPr>
  </w:style>
  <w:style w:type="paragraph" w:customStyle="1" w:styleId="1069">
    <w:name w:val="表格中"/>
    <w:basedOn w:val="1"/>
    <w:qFormat/>
    <w:uiPriority w:val="99"/>
    <w:pPr>
      <w:widowControl w:val="0"/>
      <w:snapToGrid w:val="0"/>
      <w:spacing w:line="360" w:lineRule="auto"/>
      <w:jc w:val="both"/>
    </w:pPr>
    <w:rPr>
      <w:rFonts w:cs="Times New Roman"/>
      <w:spacing w:val="-20"/>
      <w:kern w:val="2"/>
      <w:sz w:val="28"/>
      <w:szCs w:val="28"/>
    </w:rPr>
  </w:style>
  <w:style w:type="paragraph" w:customStyle="1" w:styleId="1070">
    <w:name w:val="表格编号"/>
    <w:basedOn w:val="1"/>
    <w:qFormat/>
    <w:uiPriority w:val="99"/>
    <w:pPr>
      <w:widowControl w:val="0"/>
      <w:spacing w:line="400" w:lineRule="exact"/>
      <w:jc w:val="both"/>
    </w:pPr>
    <w:rPr>
      <w:rFonts w:ascii="Times New Roman" w:hAnsi="Times New Roman" w:cs="Times New Roman"/>
      <w:sz w:val="28"/>
      <w:szCs w:val="28"/>
    </w:rPr>
  </w:style>
  <w:style w:type="paragraph" w:customStyle="1" w:styleId="1071">
    <w:name w:val="表字"/>
    <w:basedOn w:val="1"/>
    <w:qFormat/>
    <w:uiPriority w:val="99"/>
    <w:pPr>
      <w:widowControl w:val="0"/>
      <w:jc w:val="center"/>
    </w:pPr>
    <w:rPr>
      <w:rFonts w:hAnsi="Times New Roman" w:cs="Times New Roman"/>
      <w:kern w:val="2"/>
      <w:sz w:val="21"/>
      <w:szCs w:val="20"/>
    </w:rPr>
  </w:style>
  <w:style w:type="paragraph" w:customStyle="1" w:styleId="1072">
    <w:name w:val="xl33"/>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eastAsia="仿宋_GB2312" w:cs="Times New Roman"/>
      <w:szCs w:val="20"/>
    </w:rPr>
  </w:style>
  <w:style w:type="paragraph" w:customStyle="1" w:styleId="1073">
    <w:name w:val="xl69"/>
    <w:basedOn w:val="1"/>
    <w:qFormat/>
    <w:uiPriority w:val="99"/>
    <w:pPr>
      <w:pBdr>
        <w:bottom w:val="single" w:color="auto" w:sz="4" w:space="0"/>
      </w:pBdr>
      <w:spacing w:before="100" w:beforeAutospacing="1" w:after="100" w:afterAutospacing="1"/>
      <w:jc w:val="right"/>
    </w:pPr>
    <w:rPr>
      <w:rFonts w:eastAsia="仿宋_GB2312" w:cs="Times New Roman"/>
      <w:b/>
      <w:bCs/>
      <w:position w:val="-6"/>
    </w:rPr>
  </w:style>
  <w:style w:type="paragraph" w:customStyle="1" w:styleId="1074">
    <w:name w:val="样式 标题 4 + 左侧:  0 厘米 悬挂缩进: 8.64 字符 段前: 6 磅 段后: 6 磅 行距: 单倍行距"/>
    <w:basedOn w:val="8"/>
    <w:qFormat/>
    <w:uiPriority w:val="99"/>
    <w:pPr>
      <w:widowControl w:val="0"/>
      <w:tabs>
        <w:tab w:val="left" w:pos="360"/>
      </w:tabs>
      <w:spacing w:before="120" w:after="120" w:line="312" w:lineRule="auto"/>
      <w:jc w:val="both"/>
    </w:pPr>
    <w:rPr>
      <w:rFonts w:ascii="Arial" w:hAnsi="Arial" w:eastAsia="黑体"/>
      <w:b/>
      <w:bCs/>
      <w:kern w:val="2"/>
      <w:lang w:val="en-US"/>
    </w:rPr>
  </w:style>
  <w:style w:type="paragraph" w:customStyle="1" w:styleId="1075">
    <w:name w:val="样式 标题 4款标题1.1.1.1 南陵标题 4标题 4 CharH4PIM 4h4First Subheadin...2"/>
    <w:basedOn w:val="8"/>
    <w:qFormat/>
    <w:uiPriority w:val="0"/>
    <w:pPr>
      <w:keepNext w:val="0"/>
      <w:keepLines w:val="0"/>
      <w:widowControl w:val="0"/>
      <w:spacing w:line="360" w:lineRule="auto"/>
      <w:jc w:val="both"/>
    </w:pPr>
    <w:rPr>
      <w:rFonts w:ascii="黑体" w:eastAsia="黑体"/>
      <w:color w:val="000000"/>
      <w:kern w:val="2"/>
      <w:szCs w:val="24"/>
      <w:lang w:val="en-US"/>
    </w:rPr>
  </w:style>
  <w:style w:type="paragraph" w:customStyle="1" w:styleId="1076">
    <w:name w:val="xl105"/>
    <w:basedOn w:val="1"/>
    <w:qFormat/>
    <w:uiPriority w:val="99"/>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077">
    <w:name w:val="表后空行"/>
    <w:basedOn w:val="1"/>
    <w:next w:val="1"/>
    <w:qFormat/>
    <w:uiPriority w:val="99"/>
    <w:pPr>
      <w:widowControl w:val="0"/>
      <w:jc w:val="both"/>
    </w:pPr>
    <w:rPr>
      <w:rFonts w:ascii="Times New Roman" w:hAnsi="Times New Roman" w:cs="Times New Roman"/>
      <w:kern w:val="18"/>
      <w:sz w:val="18"/>
    </w:rPr>
  </w:style>
  <w:style w:type="paragraph" w:customStyle="1" w:styleId="1078">
    <w:name w:val="项目点符号"/>
    <w:basedOn w:val="1"/>
    <w:qFormat/>
    <w:uiPriority w:val="99"/>
    <w:pPr>
      <w:widowControl w:val="0"/>
      <w:snapToGrid w:val="0"/>
      <w:jc w:val="both"/>
    </w:pPr>
    <w:rPr>
      <w:rFonts w:ascii="Times New Roman" w:hAnsi="Times New Roman" w:cs="Times New Roman"/>
      <w:bCs/>
      <w:sz w:val="21"/>
      <w:szCs w:val="21"/>
    </w:rPr>
  </w:style>
  <w:style w:type="paragraph" w:customStyle="1" w:styleId="1079">
    <w:name w:val="CM23"/>
    <w:basedOn w:val="101"/>
    <w:next w:val="101"/>
    <w:qFormat/>
    <w:uiPriority w:val="99"/>
    <w:rPr>
      <w:color w:val="auto"/>
    </w:rPr>
  </w:style>
  <w:style w:type="paragraph" w:customStyle="1" w:styleId="1080">
    <w:name w:val="样式 样式 注意 + 首行缩进:  2 字符 + 首行缩进:  2 字符"/>
    <w:basedOn w:val="78"/>
    <w:next w:val="78"/>
    <w:qFormat/>
    <w:uiPriority w:val="99"/>
    <w:pPr>
      <w:widowControl w:val="0"/>
      <w:tabs>
        <w:tab w:val="left" w:pos="628"/>
        <w:tab w:val="left" w:pos="1727"/>
        <w:tab w:val="left" w:pos="1884"/>
        <w:tab w:val="left" w:pos="2514"/>
        <w:tab w:val="left" w:pos="4900"/>
      </w:tabs>
      <w:autoSpaceDE w:val="0"/>
      <w:autoSpaceDN w:val="0"/>
      <w:adjustRightInd w:val="0"/>
      <w:snapToGrid w:val="0"/>
      <w:spacing w:after="0" w:line="360" w:lineRule="auto"/>
      <w:ind w:left="-2" w:leftChars="-1" w:right="-99" w:rightChars="-47" w:firstLine="480" w:firstLineChars="0"/>
    </w:pPr>
    <w:rPr>
      <w:szCs w:val="21"/>
      <w:lang w:val="zh-CN"/>
    </w:rPr>
  </w:style>
  <w:style w:type="paragraph" w:customStyle="1" w:styleId="1081">
    <w:name w:val="表11"/>
    <w:basedOn w:val="13"/>
    <w:qFormat/>
    <w:uiPriority w:val="99"/>
    <w:pPr>
      <w:keepNext w:val="0"/>
      <w:keepLines w:val="0"/>
      <w:topLinePunct w:val="0"/>
      <w:adjustRightInd w:val="0"/>
      <w:snapToGrid w:val="0"/>
      <w:spacing w:before="0" w:after="0" w:line="360" w:lineRule="exact"/>
      <w:ind w:firstLine="0" w:firstLineChars="0"/>
      <w:outlineLvl w:val="9"/>
    </w:pPr>
    <w:rPr>
      <w:rFonts w:ascii="Times New Roman" w:hAnsi="Times New Roman" w:eastAsia="宋体"/>
      <w:sz w:val="21"/>
    </w:rPr>
  </w:style>
  <w:style w:type="paragraph" w:customStyle="1" w:styleId="1082">
    <w:name w:val="小表中密"/>
    <w:basedOn w:val="1"/>
    <w:qFormat/>
    <w:uiPriority w:val="99"/>
    <w:pPr>
      <w:keepNext/>
      <w:widowControl w:val="0"/>
      <w:adjustRightInd w:val="0"/>
      <w:snapToGrid w:val="0"/>
      <w:spacing w:line="240" w:lineRule="atLeast"/>
      <w:jc w:val="center"/>
    </w:pPr>
    <w:rPr>
      <w:rFonts w:cs="Times New Roman"/>
      <w:kern w:val="2"/>
      <w:sz w:val="18"/>
      <w:szCs w:val="18"/>
    </w:rPr>
  </w:style>
  <w:style w:type="paragraph" w:customStyle="1" w:styleId="1083">
    <w:name w:val="四级标题"/>
    <w:basedOn w:val="8"/>
    <w:next w:val="858"/>
    <w:qFormat/>
    <w:uiPriority w:val="0"/>
    <w:pPr>
      <w:keepNext w:val="0"/>
      <w:keepLines w:val="0"/>
      <w:widowControl w:val="0"/>
      <w:snapToGrid w:val="0"/>
      <w:spacing w:line="480" w:lineRule="exact"/>
      <w:jc w:val="both"/>
    </w:pPr>
    <w:rPr>
      <w:rFonts w:eastAsia="黑体" w:cs="Times New Roman"/>
      <w:bCs/>
      <w:color w:val="0070C0"/>
      <w:kern w:val="2"/>
      <w:szCs w:val="28"/>
      <w:lang w:val="en-US"/>
    </w:rPr>
  </w:style>
  <w:style w:type="paragraph" w:customStyle="1" w:styleId="1084">
    <w:name w:val="样式 表标12.2 + 段前: 1 行"/>
    <w:basedOn w:val="1"/>
    <w:qFormat/>
    <w:uiPriority w:val="99"/>
    <w:pPr>
      <w:widowControl w:val="0"/>
      <w:tabs>
        <w:tab w:val="left" w:pos="280"/>
        <w:tab w:val="left" w:pos="726"/>
      </w:tabs>
      <w:adjustRightInd w:val="0"/>
      <w:snapToGrid w:val="0"/>
      <w:spacing w:beforeLines="100" w:line="0" w:lineRule="atLeast"/>
      <w:ind w:left="2" w:firstLine="4"/>
      <w:jc w:val="center"/>
    </w:pPr>
    <w:rPr>
      <w:rFonts w:ascii="黑体" w:eastAsia="黑体"/>
      <w:b/>
      <w:bCs/>
      <w:kern w:val="2"/>
      <w:szCs w:val="20"/>
    </w:rPr>
  </w:style>
  <w:style w:type="paragraph" w:customStyle="1" w:styleId="1085">
    <w:name w:val="样式 燕山正文 + 首行缩进:  3.5 字符1"/>
    <w:basedOn w:val="763"/>
    <w:qFormat/>
    <w:uiPriority w:val="99"/>
    <w:pPr>
      <w:shd w:val="clear" w:color="auto" w:fill="auto"/>
      <w:ind w:firstLine="200"/>
      <w:jc w:val="both"/>
    </w:pPr>
    <w:rPr>
      <w:color w:val="000000"/>
      <w:sz w:val="28"/>
      <w:szCs w:val="20"/>
    </w:rPr>
  </w:style>
  <w:style w:type="paragraph" w:customStyle="1" w:styleId="1086">
    <w:name w:val="样式 标题 1 + 宋体 二号 加粗 两端对齐 段前: 17 磅 段后: 16.5 磅 行距: 多倍行距 2.41 ..."/>
    <w:basedOn w:val="4"/>
    <w:qFormat/>
    <w:uiPriority w:val="99"/>
    <w:pPr>
      <w:keepNext/>
      <w:keepLines/>
      <w:widowControl w:val="0"/>
      <w:spacing w:beforeLines="100" w:afterLines="100" w:line="578" w:lineRule="auto"/>
      <w:jc w:val="both"/>
    </w:pPr>
    <w:rPr>
      <w:rFonts w:ascii="Arial" w:hAnsi="Arial" w:eastAsia="宋体"/>
      <w:bCs/>
      <w:kern w:val="44"/>
      <w:sz w:val="44"/>
      <w:szCs w:val="44"/>
    </w:rPr>
  </w:style>
  <w:style w:type="paragraph" w:customStyle="1" w:styleId="1087">
    <w:name w:val="Company Name"/>
    <w:basedOn w:val="1"/>
    <w:next w:val="1"/>
    <w:qFormat/>
    <w:uiPriority w:val="99"/>
    <w:pPr>
      <w:tabs>
        <w:tab w:val="left" w:pos="2160"/>
        <w:tab w:val="right" w:pos="6480"/>
      </w:tabs>
      <w:spacing w:before="220" w:after="40" w:line="220" w:lineRule="atLeast"/>
      <w:ind w:right="-360"/>
    </w:pPr>
    <w:rPr>
      <w:rFonts w:ascii="Times New Roman" w:hAnsi="Times New Roman" w:cs="Times New Roman"/>
      <w:sz w:val="20"/>
      <w:szCs w:val="20"/>
    </w:rPr>
  </w:style>
  <w:style w:type="paragraph" w:customStyle="1" w:styleId="1088">
    <w:name w:val="表格字2"/>
    <w:basedOn w:val="1"/>
    <w:qFormat/>
    <w:uiPriority w:val="0"/>
    <w:pPr>
      <w:widowControl w:val="0"/>
      <w:jc w:val="both"/>
    </w:pPr>
    <w:rPr>
      <w:rFonts w:cs="Times New Roman"/>
      <w:color w:val="000000"/>
      <w:kern w:val="16"/>
      <w:sz w:val="21"/>
      <w:szCs w:val="21"/>
    </w:rPr>
  </w:style>
  <w:style w:type="paragraph" w:customStyle="1" w:styleId="1089">
    <w:name w:val="表内5中4"/>
    <w:basedOn w:val="998"/>
    <w:qFormat/>
    <w:uiPriority w:val="99"/>
    <w:pPr>
      <w:tabs>
        <w:tab w:val="clear" w:pos="4305"/>
      </w:tabs>
      <w:spacing w:line="240" w:lineRule="auto"/>
      <w:ind w:firstLine="0" w:firstLineChars="0"/>
    </w:pPr>
    <w:rPr>
      <w:rFonts w:hAnsi="Times New Roman"/>
      <w:bCs/>
      <w:color w:val="auto"/>
      <w:szCs w:val="20"/>
      <w:shd w:val="clear" w:color="auto" w:fill="auto"/>
    </w:rPr>
  </w:style>
  <w:style w:type="paragraph" w:customStyle="1" w:styleId="1090">
    <w:name w:val="样式 标题 4 + 宋体 小四 非加粗"/>
    <w:basedOn w:val="8"/>
    <w:qFormat/>
    <w:uiPriority w:val="99"/>
    <w:pPr>
      <w:widowControl w:val="0"/>
      <w:tabs>
        <w:tab w:val="left" w:pos="360"/>
        <w:tab w:val="left" w:pos="1984"/>
      </w:tabs>
      <w:spacing w:before="280" w:after="290" w:line="376" w:lineRule="auto"/>
      <w:ind w:left="1984" w:hanging="708"/>
      <w:jc w:val="both"/>
    </w:pPr>
    <w:rPr>
      <w:rFonts w:ascii="宋体" w:hAnsi="宋体" w:cs="Times New Roman"/>
      <w:szCs w:val="28"/>
      <w:lang w:val="en-US"/>
    </w:rPr>
  </w:style>
  <w:style w:type="paragraph" w:customStyle="1" w:styleId="1091">
    <w:name w:val="列表 J"/>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092">
    <w:name w:val="xl27"/>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93">
    <w:name w:val="章标题"/>
    <w:next w:val="1"/>
    <w:qFormat/>
    <w:uiPriority w:val="0"/>
    <w:pPr>
      <w:tabs>
        <w:tab w:val="left" w:pos="425"/>
      </w:tabs>
      <w:spacing w:beforeLines="50" w:afterLines="50"/>
      <w:ind w:left="425" w:hanging="425"/>
      <w:jc w:val="both"/>
      <w:outlineLvl w:val="1"/>
    </w:pPr>
    <w:rPr>
      <w:rFonts w:ascii="黑体" w:hAnsi="Times New Roman" w:eastAsia="黑体" w:cs="Times New Roman"/>
      <w:sz w:val="21"/>
      <w:lang w:val="en-US" w:eastAsia="zh-CN" w:bidi="ar-SA"/>
    </w:rPr>
  </w:style>
  <w:style w:type="paragraph" w:customStyle="1" w:styleId="1094">
    <w:name w:val="正文段落（缩进）"/>
    <w:basedOn w:val="1"/>
    <w:next w:val="41"/>
    <w:qFormat/>
    <w:uiPriority w:val="99"/>
    <w:pPr>
      <w:widowControl w:val="0"/>
      <w:spacing w:line="360" w:lineRule="auto"/>
    </w:pPr>
    <w:rPr>
      <w:rFonts w:ascii="Times New Roman" w:hAnsi="Times New Roman" w:cs="Times New Roman"/>
      <w:szCs w:val="20"/>
    </w:rPr>
  </w:style>
  <w:style w:type="paragraph" w:customStyle="1" w:styleId="1095">
    <w:name w:val="[1]正文"/>
    <w:basedOn w:val="1"/>
    <w:qFormat/>
    <w:uiPriority w:val="99"/>
    <w:pPr>
      <w:widowControl w:val="0"/>
      <w:adjustRightInd w:val="0"/>
      <w:snapToGrid w:val="0"/>
      <w:spacing w:line="500" w:lineRule="exact"/>
      <w:ind w:firstLine="200" w:firstLineChars="200"/>
    </w:pPr>
    <w:rPr>
      <w:rFonts w:ascii="Times New Roman" w:hAnsi="Times New Roman" w:cs="Times New Roman"/>
      <w:sz w:val="28"/>
      <w:szCs w:val="28"/>
    </w:rPr>
  </w:style>
  <w:style w:type="paragraph" w:customStyle="1" w:styleId="1096">
    <w:name w:val="Char Char Char1 Char1"/>
    <w:basedOn w:val="1"/>
    <w:qFormat/>
    <w:uiPriority w:val="99"/>
    <w:pPr>
      <w:widowControl w:val="0"/>
      <w:jc w:val="both"/>
    </w:pPr>
    <w:rPr>
      <w:rFonts w:ascii="Times New Roman" w:hAnsi="Times New Roman" w:cs="Times New Roman"/>
      <w:kern w:val="2"/>
      <w:sz w:val="21"/>
    </w:rPr>
  </w:style>
  <w:style w:type="paragraph" w:customStyle="1" w:styleId="1097">
    <w:name w:val="CM2"/>
    <w:basedOn w:val="101"/>
    <w:next w:val="101"/>
    <w:qFormat/>
    <w:uiPriority w:val="99"/>
    <w:pPr>
      <w:spacing w:line="468" w:lineRule="atLeast"/>
    </w:pPr>
    <w:rPr>
      <w:color w:val="auto"/>
    </w:rPr>
  </w:style>
  <w:style w:type="paragraph" w:customStyle="1" w:styleId="1098">
    <w:name w:val="font9"/>
    <w:basedOn w:val="1"/>
    <w:qFormat/>
    <w:uiPriority w:val="99"/>
    <w:pPr>
      <w:spacing w:before="100" w:beforeAutospacing="1" w:after="100" w:afterAutospacing="1"/>
    </w:pPr>
    <w:rPr>
      <w:rFonts w:hint="eastAsia" w:cs="Arial Unicode MS"/>
      <w:b/>
      <w:bCs/>
      <w:sz w:val="44"/>
      <w:szCs w:val="44"/>
    </w:rPr>
  </w:style>
  <w:style w:type="paragraph" w:customStyle="1" w:styleId="1099">
    <w:name w:val="样式 加粗 黑色 首行缩进:  0 厘米"/>
    <w:basedOn w:val="1"/>
    <w:qFormat/>
    <w:uiPriority w:val="99"/>
    <w:pPr>
      <w:widowControl w:val="0"/>
      <w:tabs>
        <w:tab w:val="left" w:pos="425"/>
      </w:tabs>
      <w:spacing w:line="312" w:lineRule="auto"/>
      <w:ind w:left="425" w:hanging="425"/>
      <w:jc w:val="both"/>
    </w:pPr>
    <w:rPr>
      <w:rFonts w:ascii="Times New Roman" w:hAnsi="Times New Roman"/>
      <w:b/>
      <w:bCs/>
      <w:color w:val="000000"/>
      <w:kern w:val="2"/>
      <w:szCs w:val="20"/>
    </w:rPr>
  </w:style>
  <w:style w:type="paragraph" w:customStyle="1" w:styleId="1100">
    <w:name w:val="Char Char Char Char Char Char Char Char Char Char Char1 Char Char Char Char Char Char Char"/>
    <w:basedOn w:val="1"/>
    <w:qFormat/>
    <w:uiPriority w:val="0"/>
    <w:pPr>
      <w:widowControl w:val="0"/>
      <w:jc w:val="both"/>
    </w:pPr>
    <w:rPr>
      <w:rFonts w:ascii="Times New Roman" w:hAnsi="Times New Roman" w:cs="Times New Roman"/>
      <w:kern w:val="2"/>
      <w:sz w:val="21"/>
    </w:rPr>
  </w:style>
  <w:style w:type="paragraph" w:customStyle="1" w:styleId="1101">
    <w:name w:val="No Title"/>
    <w:basedOn w:val="1"/>
    <w:qFormat/>
    <w:uiPriority w:val="99"/>
    <w:pPr>
      <w:pBdr>
        <w:top w:val="single" w:color="FFFFFF" w:sz="6" w:space="2"/>
        <w:left w:val="single" w:color="FFFFFF" w:sz="6" w:space="2"/>
        <w:bottom w:val="single" w:color="FFFFFF" w:sz="6" w:space="2"/>
        <w:right w:val="single" w:color="FFFFFF" w:sz="6" w:space="2"/>
      </w:pBdr>
      <w:spacing w:before="120" w:line="280" w:lineRule="atLeast"/>
    </w:pPr>
    <w:rPr>
      <w:rFonts w:ascii="Arial" w:hAnsi="Arial" w:cs="Times New Roman"/>
      <w:b/>
      <w:spacing w:val="-10"/>
      <w:position w:val="7"/>
      <w:sz w:val="20"/>
      <w:szCs w:val="20"/>
    </w:rPr>
  </w:style>
  <w:style w:type="paragraph" w:customStyle="1" w:styleId="1102">
    <w:name w:val="CM3"/>
    <w:basedOn w:val="101"/>
    <w:next w:val="101"/>
    <w:qFormat/>
    <w:uiPriority w:val="99"/>
    <w:pPr>
      <w:spacing w:line="468" w:lineRule="atLeast"/>
    </w:pPr>
    <w:rPr>
      <w:color w:val="auto"/>
    </w:rPr>
  </w:style>
  <w:style w:type="paragraph" w:customStyle="1" w:styleId="1103">
    <w:name w:val="hei12"/>
    <w:basedOn w:val="1"/>
    <w:qFormat/>
    <w:uiPriority w:val="99"/>
    <w:pPr>
      <w:spacing w:before="100" w:beforeAutospacing="1" w:after="100" w:afterAutospacing="1" w:line="360" w:lineRule="atLeast"/>
    </w:pPr>
    <w:rPr>
      <w:rFonts w:ascii="Verdana" w:hAnsi="Verdana" w:cs="Times New Roman"/>
      <w:color w:val="000000"/>
      <w:sz w:val="22"/>
      <w:szCs w:val="20"/>
    </w:rPr>
  </w:style>
  <w:style w:type="paragraph" w:customStyle="1" w:styleId="1104">
    <w:name w:val="font5"/>
    <w:basedOn w:val="1"/>
    <w:link w:val="1105"/>
    <w:qFormat/>
    <w:uiPriority w:val="99"/>
    <w:pPr>
      <w:spacing w:before="100" w:beforeAutospacing="1" w:after="100" w:afterAutospacing="1"/>
    </w:pPr>
    <w:rPr>
      <w:rFonts w:hint="eastAsia" w:cs="Arial Unicode MS"/>
      <w:sz w:val="18"/>
      <w:szCs w:val="18"/>
    </w:rPr>
  </w:style>
  <w:style w:type="character" w:customStyle="1" w:styleId="1105">
    <w:name w:val="font5 Char1"/>
    <w:link w:val="1104"/>
    <w:qFormat/>
    <w:uiPriority w:val="99"/>
    <w:rPr>
      <w:rFonts w:ascii="宋体" w:hAnsi="宋体" w:cs="Arial Unicode MS"/>
      <w:sz w:val="18"/>
      <w:szCs w:val="18"/>
    </w:rPr>
  </w:style>
  <w:style w:type="paragraph" w:customStyle="1" w:styleId="1106">
    <w:name w:val="正文首行缩进1"/>
    <w:basedOn w:val="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4"/>
    </w:rPr>
  </w:style>
  <w:style w:type="paragraph" w:customStyle="1" w:styleId="1107">
    <w:name w:val="Char11"/>
    <w:basedOn w:val="1"/>
    <w:qFormat/>
    <w:uiPriority w:val="99"/>
    <w:pPr>
      <w:widowControl w:val="0"/>
      <w:jc w:val="both"/>
    </w:pPr>
    <w:rPr>
      <w:rFonts w:ascii="Tahoma" w:hAnsi="Tahoma" w:cs="Times New Roman"/>
      <w:kern w:val="2"/>
      <w:szCs w:val="20"/>
    </w:rPr>
  </w:style>
  <w:style w:type="paragraph" w:customStyle="1" w:styleId="1108">
    <w:name w:val="样式 表头样式 + 两端对齐 段前: 0.5 行 段后: 0.5 行 首行缩进:  1 字符"/>
    <w:basedOn w:val="1038"/>
    <w:qFormat/>
    <w:uiPriority w:val="99"/>
    <w:pPr>
      <w:keepLines/>
      <w:spacing w:beforeLines="0"/>
      <w:ind w:firstLine="560" w:firstLineChars="200"/>
    </w:pPr>
    <w:rPr>
      <w:bCs w:val="0"/>
      <w:sz w:val="24"/>
      <w:szCs w:val="20"/>
    </w:rPr>
  </w:style>
  <w:style w:type="paragraph" w:customStyle="1" w:styleId="1109">
    <w:name w:val="列表 4U"/>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110">
    <w:name w:val="xl52"/>
    <w:basedOn w:val="1"/>
    <w:qFormat/>
    <w:uiPriority w:val="99"/>
    <w:pPr>
      <w:pBdr>
        <w:top w:val="single" w:color="auto" w:sz="8" w:space="0"/>
        <w:bottom w:val="single" w:color="auto" w:sz="8" w:space="0"/>
        <w:right w:val="single" w:color="auto" w:sz="4" w:space="0"/>
      </w:pBdr>
      <w:spacing w:before="100" w:beforeAutospacing="1" w:after="100" w:afterAutospacing="1"/>
      <w:jc w:val="right"/>
    </w:pPr>
    <w:rPr>
      <w:rFonts w:eastAsia="仿宋_GB2312" w:cs="Times New Roman"/>
      <w:position w:val="-6"/>
      <w:szCs w:val="21"/>
    </w:rPr>
  </w:style>
  <w:style w:type="paragraph" w:customStyle="1" w:styleId="1111">
    <w:name w:val="表2"/>
    <w:basedOn w:val="2"/>
    <w:qFormat/>
    <w:uiPriority w:val="99"/>
    <w:pPr>
      <w:tabs>
        <w:tab w:val="left" w:pos="1260"/>
      </w:tabs>
      <w:autoSpaceDE w:val="0"/>
      <w:autoSpaceDN w:val="0"/>
      <w:adjustRightInd w:val="0"/>
      <w:snapToGrid w:val="0"/>
      <w:ind w:right="-91"/>
      <w:jc w:val="both"/>
      <w:textAlignment w:val="bottom"/>
    </w:pPr>
    <w:rPr>
      <w:rFonts w:ascii="Times New Roman" w:hAnsi="Times New Roman" w:eastAsia="仿宋_GB2312" w:cs="Arial"/>
      <w:color w:val="auto"/>
      <w:kern w:val="0"/>
      <w:sz w:val="20"/>
      <w:szCs w:val="21"/>
    </w:rPr>
  </w:style>
  <w:style w:type="paragraph" w:customStyle="1" w:styleId="1112">
    <w:name w:val="样式 表内小5中 + 下划线 居中"/>
    <w:basedOn w:val="955"/>
    <w:qFormat/>
    <w:uiPriority w:val="99"/>
    <w:pPr>
      <w:jc w:val="center"/>
    </w:pPr>
    <w:rPr>
      <w:szCs w:val="20"/>
      <w:u w:val="single"/>
    </w:rPr>
  </w:style>
  <w:style w:type="paragraph" w:customStyle="1" w:styleId="1113">
    <w:name w:val="尾消息标题"/>
    <w:basedOn w:val="1"/>
    <w:next w:val="2"/>
    <w:qFormat/>
    <w:uiPriority w:val="99"/>
    <w:pPr>
      <w:pBdr>
        <w:bottom w:val="single" w:color="auto" w:sz="6" w:space="19"/>
        <w:between w:val="single" w:color="auto" w:sz="6" w:space="19"/>
      </w:pBdr>
      <w:tabs>
        <w:tab w:val="left" w:pos="1260"/>
        <w:tab w:val="left" w:pos="2940"/>
      </w:tabs>
      <w:spacing w:line="0" w:lineRule="atLeast"/>
    </w:pPr>
    <w:rPr>
      <w:rFonts w:ascii="Times New Roman" w:hAnsi="Times New Roman" w:cs="Times New Roman"/>
      <w:sz w:val="18"/>
      <w:szCs w:val="18"/>
    </w:rPr>
  </w:style>
  <w:style w:type="paragraph" w:customStyle="1" w:styleId="1114">
    <w:name w:val="样式 标题 1 + 两端对齐1"/>
    <w:basedOn w:val="4"/>
    <w:qFormat/>
    <w:uiPriority w:val="99"/>
    <w:pPr>
      <w:keepLines/>
      <w:widowControl w:val="0"/>
      <w:tabs>
        <w:tab w:val="left" w:pos="720"/>
      </w:tabs>
      <w:spacing w:beforeLines="100" w:afterLines="100" w:line="312" w:lineRule="auto"/>
      <w:ind w:left="-4" w:firstLine="4"/>
      <w:jc w:val="both"/>
    </w:pPr>
    <w:rPr>
      <w:rFonts w:ascii="Times New Roman" w:hAnsi="Times New Roman" w:cs="宋体"/>
      <w:bCs/>
      <w:kern w:val="44"/>
      <w:szCs w:val="20"/>
    </w:rPr>
  </w:style>
  <w:style w:type="paragraph" w:customStyle="1" w:styleId="1115">
    <w:name w:val="特殊标题３"/>
    <w:basedOn w:val="1"/>
    <w:qFormat/>
    <w:uiPriority w:val="0"/>
    <w:pPr>
      <w:widowControl w:val="0"/>
      <w:overflowPunct w:val="0"/>
      <w:autoSpaceDE w:val="0"/>
      <w:autoSpaceDN w:val="0"/>
      <w:adjustRightInd w:val="0"/>
      <w:spacing w:line="360" w:lineRule="auto"/>
      <w:jc w:val="both"/>
    </w:pPr>
    <w:rPr>
      <w:rFonts w:ascii="Times New Roman" w:hAnsi="Times New Roman" w:eastAsia="仿宋_GB2312" w:cs="Times New Roman"/>
      <w:sz w:val="28"/>
      <w:szCs w:val="20"/>
    </w:rPr>
  </w:style>
  <w:style w:type="paragraph" w:customStyle="1" w:styleId="1116">
    <w:name w:val="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117">
    <w:name w:val="正文样式1"/>
    <w:basedOn w:val="1"/>
    <w:qFormat/>
    <w:uiPriority w:val="99"/>
    <w:pPr>
      <w:widowControl w:val="0"/>
      <w:ind w:firstLine="200" w:firstLineChars="200"/>
      <w:jc w:val="both"/>
    </w:pPr>
    <w:rPr>
      <w:rFonts w:ascii="Times New Roman" w:hAnsi="Times New Roman" w:eastAsia="仿宋_GB2312" w:cs="Times New Roman"/>
      <w:kern w:val="2"/>
    </w:rPr>
  </w:style>
  <w:style w:type="paragraph" w:customStyle="1" w:styleId="1118">
    <w:name w:val="xl73"/>
    <w:basedOn w:val="1"/>
    <w:qFormat/>
    <w:uiPriority w:val="99"/>
    <w:pPr>
      <w:pBdr>
        <w:top w:val="single" w:color="auto" w:sz="4" w:space="0"/>
        <w:left w:val="single" w:color="auto" w:sz="4" w:space="0"/>
        <w:bottom w:val="single" w:color="auto" w:sz="4" w:space="0"/>
      </w:pBdr>
      <w:spacing w:before="100" w:beforeAutospacing="1" w:after="100" w:afterAutospacing="1"/>
      <w:jc w:val="right"/>
    </w:pPr>
    <w:rPr>
      <w:rFonts w:eastAsia="仿宋_GB2312" w:cs="Times New Roman"/>
      <w:position w:val="-6"/>
    </w:rPr>
  </w:style>
  <w:style w:type="paragraph" w:customStyle="1" w:styleId="1119">
    <w:name w:val="Char Char Char1 Char Char Char Char Char Char Char1"/>
    <w:basedOn w:val="1"/>
    <w:qFormat/>
    <w:uiPriority w:val="99"/>
    <w:pPr>
      <w:widowControl w:val="0"/>
      <w:jc w:val="both"/>
    </w:pPr>
    <w:rPr>
      <w:rFonts w:ascii="Times New Roman" w:hAnsi="Times New Roman" w:cs="Times New Roman"/>
      <w:kern w:val="2"/>
      <w:sz w:val="21"/>
    </w:rPr>
  </w:style>
  <w:style w:type="paragraph" w:customStyle="1" w:styleId="1120">
    <w:name w:val="列表 4G"/>
    <w:basedOn w:val="69"/>
    <w:qFormat/>
    <w:uiPriority w:val="99"/>
    <w:pPr>
      <w:tabs>
        <w:tab w:val="left" w:pos="645"/>
      </w:tabs>
      <w:topLinePunct w:val="0"/>
      <w:spacing w:beforeLines="50" w:afterLines="30" w:line="288" w:lineRule="auto"/>
      <w:ind w:left="645" w:leftChars="0" w:hanging="645" w:firstLineChars="0"/>
      <w:jc w:val="both"/>
    </w:pPr>
    <w:rPr>
      <w:rFonts w:ascii="Arial" w:hAnsi="Arial" w:eastAsia="宋体"/>
      <w:color w:val="CCFFFF"/>
      <w:sz w:val="24"/>
    </w:rPr>
  </w:style>
  <w:style w:type="paragraph" w:customStyle="1" w:styleId="1121">
    <w:name w:val="Char Char Char Char Char Char Char1"/>
    <w:basedOn w:val="1"/>
    <w:qFormat/>
    <w:uiPriority w:val="0"/>
    <w:pPr>
      <w:widowControl w:val="0"/>
      <w:jc w:val="both"/>
    </w:pPr>
    <w:rPr>
      <w:rFonts w:ascii="Times New Roman" w:hAnsi="Times New Roman" w:cs="Times New Roman"/>
      <w:kern w:val="2"/>
      <w:sz w:val="21"/>
    </w:rPr>
  </w:style>
  <w:style w:type="paragraph" w:customStyle="1" w:styleId="1122">
    <w:name w:val="表 头"/>
    <w:basedOn w:val="1"/>
    <w:qFormat/>
    <w:uiPriority w:val="99"/>
    <w:pPr>
      <w:widowControl w:val="0"/>
      <w:adjustRightInd w:val="0"/>
      <w:spacing w:before="120" w:after="120" w:line="360" w:lineRule="atLeast"/>
      <w:jc w:val="center"/>
    </w:pPr>
    <w:rPr>
      <w:rFonts w:ascii="Times New Roman" w:hAnsi="Times New Roman" w:eastAsia="黑体" w:cs="Times New Roman"/>
      <w:spacing w:val="10"/>
      <w:szCs w:val="20"/>
    </w:rPr>
  </w:style>
  <w:style w:type="paragraph" w:customStyle="1" w:styleId="1123">
    <w:name w:val="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24">
    <w:name w:val="xl38"/>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int="eastAsia" w:ascii="仿宋_GB2312" w:hAnsi="Arial Unicode MS" w:eastAsia="仿宋_GB2312" w:cs="Arial Unicode MS"/>
      <w:szCs w:val="20"/>
    </w:rPr>
  </w:style>
  <w:style w:type="paragraph" w:customStyle="1" w:styleId="1125">
    <w:name w:val="表头王"/>
    <w:basedOn w:val="1"/>
    <w:qFormat/>
    <w:uiPriority w:val="99"/>
    <w:pPr>
      <w:widowControl w:val="0"/>
      <w:adjustRightInd w:val="0"/>
      <w:snapToGrid w:val="0"/>
      <w:spacing w:line="360" w:lineRule="auto"/>
      <w:jc w:val="center"/>
    </w:pPr>
    <w:rPr>
      <w:rFonts w:ascii="黑体" w:eastAsia="黑体" w:cs="Times New Roman"/>
      <w:b/>
      <w:kern w:val="2"/>
    </w:rPr>
  </w:style>
  <w:style w:type="paragraph" w:customStyle="1" w:styleId="1126">
    <w:name w:val="S表格"/>
    <w:basedOn w:val="1"/>
    <w:qFormat/>
    <w:uiPriority w:val="99"/>
    <w:pPr>
      <w:widowControl w:val="0"/>
      <w:spacing w:before="240" w:line="360" w:lineRule="auto"/>
      <w:jc w:val="both"/>
      <w:outlineLvl w:val="2"/>
    </w:pPr>
    <w:rPr>
      <w:rFonts w:ascii="Times New Roman" w:hAnsi="Times New Roman" w:cs="Times New Roman"/>
      <w:bCs/>
      <w:kern w:val="2"/>
    </w:rPr>
  </w:style>
  <w:style w:type="paragraph" w:customStyle="1" w:styleId="1127">
    <w:name w:val="xl59"/>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eastAsia="仿宋_GB2312" w:cs="Times New Roman"/>
      <w:position w:val="-6"/>
      <w:szCs w:val="21"/>
    </w:rPr>
  </w:style>
  <w:style w:type="paragraph" w:customStyle="1" w:styleId="1128">
    <w:name w:val="Char Char Char2 Char Char Char Char Char Char Char Char Char Char"/>
    <w:basedOn w:val="1"/>
    <w:qFormat/>
    <w:uiPriority w:val="99"/>
    <w:pPr>
      <w:widowControl w:val="0"/>
      <w:jc w:val="both"/>
    </w:pPr>
    <w:rPr>
      <w:rFonts w:ascii="Times New Roman" w:hAnsi="Times New Roman" w:cs="Times New Roman"/>
      <w:kern w:val="2"/>
      <w:sz w:val="21"/>
    </w:rPr>
  </w:style>
  <w:style w:type="paragraph" w:customStyle="1" w:styleId="1129">
    <w:name w:val="Institution"/>
    <w:basedOn w:val="1"/>
    <w:next w:val="898"/>
    <w:qFormat/>
    <w:uiPriority w:val="99"/>
    <w:pPr>
      <w:tabs>
        <w:tab w:val="left" w:pos="2160"/>
        <w:tab w:val="right" w:pos="6480"/>
      </w:tabs>
      <w:spacing w:before="220" w:after="60" w:line="220" w:lineRule="atLeast"/>
      <w:ind w:right="-360"/>
    </w:pPr>
    <w:rPr>
      <w:rFonts w:ascii="Times New Roman" w:hAnsi="Times New Roman" w:cs="Times New Roman"/>
      <w:sz w:val="20"/>
      <w:szCs w:val="20"/>
    </w:rPr>
  </w:style>
  <w:style w:type="paragraph" w:customStyle="1" w:styleId="1130">
    <w:name w:val="13点"/>
    <w:basedOn w:val="1"/>
    <w:qFormat/>
    <w:uiPriority w:val="99"/>
    <w:pPr>
      <w:widowControl w:val="0"/>
      <w:adjustRightInd w:val="0"/>
      <w:snapToGrid w:val="0"/>
      <w:jc w:val="center"/>
    </w:pPr>
    <w:rPr>
      <w:rFonts w:cs="Times New Roman"/>
      <w:kern w:val="2"/>
      <w:szCs w:val="28"/>
    </w:rPr>
  </w:style>
  <w:style w:type="paragraph" w:customStyle="1" w:styleId="1131">
    <w:name w:val="正文表标题"/>
    <w:next w:val="8"/>
    <w:qFormat/>
    <w:uiPriority w:val="99"/>
    <w:pPr>
      <w:jc w:val="center"/>
    </w:pPr>
    <w:rPr>
      <w:rFonts w:ascii="黑体" w:hAnsi="Times New Roman" w:eastAsia="黑体" w:cs="Times New Roman"/>
      <w:sz w:val="21"/>
      <w:lang w:val="en-US" w:eastAsia="zh-CN" w:bidi="ar-SA"/>
    </w:rPr>
  </w:style>
  <w:style w:type="paragraph" w:customStyle="1" w:styleId="1132">
    <w:name w:val="列表 5T"/>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33">
    <w:name w:val="yxp_表格内文字"/>
    <w:basedOn w:val="1"/>
    <w:qFormat/>
    <w:uiPriority w:val="0"/>
    <w:pPr>
      <w:widowControl w:val="0"/>
      <w:jc w:val="both"/>
    </w:pPr>
    <w:rPr>
      <w:rFonts w:ascii="Times New Roman" w:hAnsi="Times New Roman"/>
      <w:sz w:val="28"/>
    </w:rPr>
  </w:style>
  <w:style w:type="paragraph" w:customStyle="1" w:styleId="1134">
    <w:name w:val="表标题2.2"/>
    <w:basedOn w:val="1"/>
    <w:qFormat/>
    <w:uiPriority w:val="99"/>
    <w:pPr>
      <w:tabs>
        <w:tab w:val="left" w:pos="726"/>
        <w:tab w:val="left" w:pos="8207"/>
      </w:tabs>
      <w:adjustRightInd w:val="0"/>
      <w:snapToGrid w:val="0"/>
      <w:spacing w:before="240" w:line="0" w:lineRule="atLeast"/>
      <w:ind w:left="2" w:firstLine="4"/>
      <w:jc w:val="center"/>
      <w:textAlignment w:val="baseline"/>
    </w:pPr>
    <w:rPr>
      <w:rFonts w:ascii="Times New Roman" w:hAnsi="Times New Roman" w:eastAsia="黑体" w:cs="Times New Roman"/>
      <w:b/>
      <w:color w:val="000000"/>
      <w:kern w:val="2"/>
    </w:rPr>
  </w:style>
  <w:style w:type="paragraph" w:customStyle="1" w:styleId="1135">
    <w:name w:val="font0"/>
    <w:basedOn w:val="1"/>
    <w:qFormat/>
    <w:uiPriority w:val="99"/>
    <w:pPr>
      <w:spacing w:before="100" w:beforeAutospacing="1" w:after="100" w:afterAutospacing="1"/>
    </w:pPr>
    <w:rPr>
      <w:rFonts w:hint="eastAsia" w:cs="Arial Unicode MS"/>
      <w:szCs w:val="20"/>
    </w:rPr>
  </w:style>
  <w:style w:type="paragraph" w:customStyle="1" w:styleId="1136">
    <w:name w:val="0005左缩2"/>
    <w:basedOn w:val="1"/>
    <w:qFormat/>
    <w:uiPriority w:val="99"/>
    <w:pPr>
      <w:autoSpaceDE w:val="0"/>
      <w:autoSpaceDN w:val="0"/>
      <w:adjustRightInd w:val="0"/>
      <w:spacing w:afterLines="30" w:line="500" w:lineRule="exact"/>
      <w:ind w:firstLine="200" w:firstLineChars="200"/>
      <w:jc w:val="both"/>
    </w:pPr>
    <w:rPr>
      <w:rFonts w:cs="Times New Roman"/>
      <w:kern w:val="2"/>
      <w:sz w:val="28"/>
      <w:szCs w:val="28"/>
    </w:rPr>
  </w:style>
  <w:style w:type="paragraph" w:customStyle="1" w:styleId="1137">
    <w:name w:val="样式 样式 样式 正文首行缩进 + 黑体 四号 黑色 + 右侧:  -0.47 字符 + 左侧:  1.52 厘米 首行缩进:..."/>
    <w:basedOn w:val="8"/>
    <w:next w:val="8"/>
    <w:qFormat/>
    <w:uiPriority w:val="99"/>
    <w:pPr>
      <w:widowControl w:val="0"/>
      <w:tabs>
        <w:tab w:val="left" w:pos="360"/>
        <w:tab w:val="left" w:pos="1680"/>
        <w:tab w:val="left" w:pos="3316"/>
      </w:tabs>
      <w:spacing w:line="360" w:lineRule="auto"/>
      <w:ind w:left="1680" w:hanging="420"/>
      <w:jc w:val="both"/>
    </w:pPr>
    <w:rPr>
      <w:rFonts w:ascii="宋体" w:hAnsi="Arial" w:cs="Times New Roman"/>
      <w:bCs/>
      <w:kern w:val="2"/>
      <w:sz w:val="28"/>
      <w:lang w:val="en-US"/>
    </w:rPr>
  </w:style>
  <w:style w:type="paragraph" w:customStyle="1" w:styleId="1138">
    <w:name w:val="表4.14－1"/>
    <w:basedOn w:val="1"/>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spacing w:val="6"/>
      <w:szCs w:val="20"/>
    </w:rPr>
  </w:style>
  <w:style w:type="paragraph" w:customStyle="1" w:styleId="1139">
    <w:name w:val="样式5"/>
    <w:basedOn w:val="6"/>
    <w:link w:val="1140"/>
    <w:qFormat/>
    <w:uiPriority w:val="99"/>
    <w:pPr>
      <w:widowControl w:val="0"/>
      <w:adjustRightInd w:val="0"/>
      <w:snapToGrid w:val="0"/>
      <w:spacing w:line="360" w:lineRule="auto"/>
      <w:ind w:firstLine="420"/>
      <w:textAlignment w:val="baseline"/>
    </w:pPr>
    <w:rPr>
      <w:rFonts w:ascii="Times New Roman" w:hAnsi="Times New Roman"/>
      <w:sz w:val="24"/>
    </w:rPr>
  </w:style>
  <w:style w:type="character" w:customStyle="1" w:styleId="1140">
    <w:name w:val="样式5 Char"/>
    <w:link w:val="1139"/>
    <w:qFormat/>
    <w:uiPriority w:val="99"/>
    <w:rPr>
      <w:sz w:val="24"/>
    </w:rPr>
  </w:style>
  <w:style w:type="paragraph" w:customStyle="1" w:styleId="1141">
    <w:name w:val="样式 样式 首行缩进:  2 字符 + 首行缩进:  2 字符"/>
    <w:basedOn w:val="1"/>
    <w:qFormat/>
    <w:uiPriority w:val="99"/>
    <w:pPr>
      <w:widowControl w:val="0"/>
      <w:ind w:firstLine="587" w:firstLineChars="200"/>
      <w:jc w:val="both"/>
    </w:pPr>
    <w:rPr>
      <w:rFonts w:hAnsi="Times New Roman" w:cs="Times New Roman"/>
      <w:kern w:val="2"/>
      <w:sz w:val="27"/>
      <w:szCs w:val="27"/>
    </w:rPr>
  </w:style>
  <w:style w:type="paragraph" w:customStyle="1" w:styleId="1142">
    <w:name w:val="列表 2E"/>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43">
    <w:name w:val="样式 样式 样式 正文首行缩进 + 首行缩进:  2 字符 + 首行缩进:  2 字符 + 首行缩进:  2 字符"/>
    <w:basedOn w:val="1"/>
    <w:qFormat/>
    <w:uiPriority w:val="99"/>
    <w:pPr>
      <w:tabs>
        <w:tab w:val="left" w:pos="628"/>
        <w:tab w:val="left" w:pos="1727"/>
        <w:tab w:val="left" w:pos="1884"/>
        <w:tab w:val="left" w:pos="2660"/>
        <w:tab w:val="left" w:pos="5460"/>
      </w:tabs>
      <w:autoSpaceDE w:val="0"/>
      <w:snapToGrid w:val="0"/>
      <w:spacing w:line="360" w:lineRule="auto"/>
      <w:ind w:firstLine="200" w:firstLineChars="200"/>
    </w:pPr>
    <w:rPr>
      <w:rFonts w:hAnsi="Times New Roman"/>
      <w:snapToGrid w:val="0"/>
      <w:color w:val="000000"/>
      <w:sz w:val="28"/>
      <w:szCs w:val="20"/>
    </w:rPr>
  </w:style>
  <w:style w:type="paragraph" w:customStyle="1" w:styleId="1144">
    <w:name w:val="正文表格"/>
    <w:basedOn w:val="1"/>
    <w:qFormat/>
    <w:uiPriority w:val="0"/>
    <w:pPr>
      <w:keepNext/>
      <w:keepLines/>
      <w:widowControl w:val="0"/>
      <w:tabs>
        <w:tab w:val="center" w:pos="6804"/>
      </w:tabs>
      <w:overflowPunct w:val="0"/>
      <w:adjustRightInd w:val="0"/>
      <w:spacing w:before="80"/>
      <w:jc w:val="center"/>
      <w:textAlignment w:val="bottom"/>
    </w:pPr>
    <w:rPr>
      <w:rFonts w:ascii="Times New Roman" w:hAnsi="Times New Roman" w:cs="Times New Roman"/>
      <w:sz w:val="28"/>
      <w:szCs w:val="20"/>
    </w:rPr>
  </w:style>
  <w:style w:type="paragraph" w:customStyle="1" w:styleId="1145">
    <w:name w:val="CM11"/>
    <w:basedOn w:val="101"/>
    <w:next w:val="101"/>
    <w:qFormat/>
    <w:uiPriority w:val="99"/>
    <w:pPr>
      <w:spacing w:line="456" w:lineRule="atLeast"/>
    </w:pPr>
    <w:rPr>
      <w:rFonts w:ascii="宋体" w:cs="宋体"/>
      <w:color w:val="auto"/>
    </w:rPr>
  </w:style>
  <w:style w:type="paragraph" w:customStyle="1" w:styleId="1146">
    <w:name w:val="Personal Info"/>
    <w:basedOn w:val="898"/>
    <w:qFormat/>
    <w:uiPriority w:val="99"/>
    <w:pPr>
      <w:spacing w:before="220"/>
    </w:pPr>
  </w:style>
  <w:style w:type="paragraph" w:customStyle="1" w:styleId="1147">
    <w:name w:val="符号说明"/>
    <w:basedOn w:val="1"/>
    <w:qFormat/>
    <w:uiPriority w:val="99"/>
    <w:pPr>
      <w:widowControl w:val="0"/>
      <w:tabs>
        <w:tab w:val="left" w:pos="1260"/>
        <w:tab w:val="left" w:pos="3780"/>
        <w:tab w:val="left" w:pos="4680"/>
      </w:tabs>
      <w:spacing w:line="360" w:lineRule="auto"/>
      <w:ind w:firstLine="840" w:firstLineChars="400"/>
      <w:jc w:val="both"/>
    </w:pPr>
    <w:rPr>
      <w:rFonts w:ascii="Times New Roman" w:hAnsi="Times New Roman" w:cs="Times New Roman"/>
      <w:kern w:val="2"/>
      <w:sz w:val="21"/>
      <w:szCs w:val="21"/>
    </w:rPr>
  </w:style>
  <w:style w:type="paragraph" w:customStyle="1" w:styleId="1148">
    <w:name w:val="二级条标题"/>
    <w:basedOn w:val="1149"/>
    <w:next w:val="1"/>
    <w:qFormat/>
    <w:uiPriority w:val="99"/>
    <w:pPr>
      <w:tabs>
        <w:tab w:val="left" w:pos="360"/>
        <w:tab w:val="left" w:pos="709"/>
        <w:tab w:val="left" w:pos="851"/>
        <w:tab w:val="left" w:pos="903"/>
        <w:tab w:val="left" w:pos="1260"/>
        <w:tab w:val="left" w:pos="1680"/>
      </w:tabs>
      <w:ind w:left="1680"/>
      <w:outlineLvl w:val="3"/>
    </w:pPr>
  </w:style>
  <w:style w:type="paragraph" w:customStyle="1" w:styleId="1149">
    <w:name w:val="一级条标题"/>
    <w:basedOn w:val="4"/>
    <w:next w:val="1"/>
    <w:qFormat/>
    <w:uiPriority w:val="99"/>
    <w:pPr>
      <w:tabs>
        <w:tab w:val="left" w:pos="360"/>
        <w:tab w:val="left" w:pos="709"/>
        <w:tab w:val="left" w:pos="903"/>
        <w:tab w:val="left" w:pos="1260"/>
      </w:tabs>
      <w:spacing w:beforeLines="100" w:afterLines="100"/>
      <w:ind w:left="1260" w:hanging="420"/>
      <w:jc w:val="both"/>
      <w:outlineLvl w:val="2"/>
    </w:pPr>
    <w:rPr>
      <w:rFonts w:ascii="黑体" w:hAnsi="Times New Roman"/>
      <w:b/>
      <w:kern w:val="0"/>
      <w:sz w:val="21"/>
      <w:szCs w:val="20"/>
    </w:rPr>
  </w:style>
  <w:style w:type="paragraph" w:customStyle="1" w:styleId="1150">
    <w:name w:val="表内宋5中"/>
    <w:basedOn w:val="6"/>
    <w:qFormat/>
    <w:uiPriority w:val="99"/>
    <w:pPr>
      <w:widowControl w:val="0"/>
      <w:autoSpaceDE w:val="0"/>
      <w:autoSpaceDN w:val="0"/>
      <w:adjustRightInd w:val="0"/>
      <w:snapToGrid w:val="0"/>
      <w:spacing w:line="240" w:lineRule="auto"/>
      <w:ind w:firstLine="0"/>
      <w:jc w:val="center"/>
    </w:pPr>
    <w:rPr>
      <w:rFonts w:ascii="宋体" w:hAnsi="宋体"/>
      <w:sz w:val="20"/>
    </w:rPr>
  </w:style>
  <w:style w:type="paragraph" w:customStyle="1" w:styleId="1151">
    <w:name w:val="环正文"/>
    <w:basedOn w:val="1"/>
    <w:semiHidden/>
    <w:qFormat/>
    <w:uiPriority w:val="99"/>
    <w:pPr>
      <w:tabs>
        <w:tab w:val="left" w:pos="5094"/>
      </w:tabs>
      <w:adjustRightInd w:val="0"/>
      <w:spacing w:line="440" w:lineRule="exact"/>
      <w:ind w:firstLine="464" w:firstLineChars="200"/>
      <w:jc w:val="both"/>
      <w:textAlignment w:val="baseline"/>
    </w:pPr>
    <w:rPr>
      <w:rFonts w:cs="Times New Roman"/>
      <w:color w:val="000000"/>
      <w:spacing w:val="-4"/>
      <w:szCs w:val="20"/>
    </w:rPr>
  </w:style>
  <w:style w:type="paragraph" w:customStyle="1" w:styleId="1152">
    <w:name w:val="WPS Plain"/>
    <w:qFormat/>
    <w:uiPriority w:val="99"/>
    <w:rPr>
      <w:rFonts w:ascii="Times New Roman" w:hAnsi="Times New Roman" w:eastAsia="宋体" w:cs="Times New Roman"/>
      <w:lang w:val="en-US" w:eastAsia="zh-CN" w:bidi="ar-SA"/>
    </w:rPr>
  </w:style>
  <w:style w:type="paragraph" w:customStyle="1" w:styleId="1153">
    <w:name w:val="样式 标题 4常用标题 4 + 段前: 6 磅 段后: 6 磅 行距: 固定值 26 磅"/>
    <w:basedOn w:val="8"/>
    <w:qFormat/>
    <w:uiPriority w:val="99"/>
    <w:pPr>
      <w:widowControl w:val="0"/>
      <w:tabs>
        <w:tab w:val="left" w:pos="360"/>
        <w:tab w:val="left" w:pos="800"/>
        <w:tab w:val="left" w:pos="1440"/>
      </w:tabs>
      <w:spacing w:before="120" w:after="120" w:line="520" w:lineRule="exact"/>
      <w:jc w:val="both"/>
    </w:pPr>
    <w:rPr>
      <w:rFonts w:ascii="Arial" w:hAnsi="Arial" w:eastAsia="黑体"/>
      <w:bCs/>
      <w:sz w:val="28"/>
      <w:lang w:val="en-US"/>
    </w:rPr>
  </w:style>
  <w:style w:type="paragraph" w:customStyle="1" w:styleId="1154">
    <w:name w:val="内蒙正文"/>
    <w:basedOn w:val="1"/>
    <w:qFormat/>
    <w:uiPriority w:val="99"/>
    <w:pPr>
      <w:widowControl w:val="0"/>
      <w:spacing w:line="480" w:lineRule="exact"/>
      <w:ind w:firstLine="560" w:firstLineChars="200"/>
      <w:jc w:val="both"/>
    </w:pPr>
    <w:rPr>
      <w:rFonts w:ascii="Times New Roman" w:eastAsia="Times New Roman" w:cs="Times New Roman"/>
      <w:color w:val="FF0000"/>
      <w:spacing w:val="20"/>
      <w:kern w:val="2"/>
    </w:rPr>
  </w:style>
  <w:style w:type="paragraph" w:customStyle="1" w:styleId="1155">
    <w:name w:val="xl70"/>
    <w:basedOn w:val="1"/>
    <w:qFormat/>
    <w:uiPriority w:val="99"/>
    <w:pPr>
      <w:pBdr>
        <w:bottom w:val="single" w:color="auto" w:sz="4" w:space="0"/>
      </w:pBdr>
      <w:spacing w:before="100" w:beforeAutospacing="1" w:after="100" w:afterAutospacing="1"/>
      <w:jc w:val="right"/>
    </w:pPr>
    <w:rPr>
      <w:rFonts w:eastAsia="仿宋_GB2312" w:cs="Times New Roman"/>
      <w:position w:val="-6"/>
      <w:szCs w:val="21"/>
    </w:rPr>
  </w:style>
  <w:style w:type="paragraph" w:customStyle="1" w:styleId="1156">
    <w:name w:val="样式 表标题3.10 + 段前: 1 行"/>
    <w:basedOn w:val="920"/>
    <w:qFormat/>
    <w:uiPriority w:val="99"/>
    <w:pPr>
      <w:tabs>
        <w:tab w:val="left" w:pos="726"/>
        <w:tab w:val="clear" w:pos="4060"/>
        <w:tab w:val="clear" w:pos="8261"/>
      </w:tabs>
      <w:ind w:left="2" w:firstLine="4"/>
    </w:pPr>
    <w:rPr>
      <w:rFonts w:cs="宋体"/>
      <w:bCs/>
      <w:spacing w:val="0"/>
    </w:rPr>
  </w:style>
  <w:style w:type="paragraph" w:customStyle="1" w:styleId="1157">
    <w:name w:val="码头表"/>
    <w:basedOn w:val="1"/>
    <w:qFormat/>
    <w:uiPriority w:val="99"/>
    <w:pPr>
      <w:widowControl w:val="0"/>
      <w:jc w:val="center"/>
    </w:pPr>
    <w:rPr>
      <w:rFonts w:cs="Times New Roman"/>
      <w:color w:val="000000"/>
      <w:kern w:val="2"/>
      <w:sz w:val="18"/>
    </w:rPr>
  </w:style>
  <w:style w:type="paragraph" w:customStyle="1" w:styleId="1158">
    <w:name w:val="lyh正文"/>
    <w:basedOn w:val="1"/>
    <w:qFormat/>
    <w:uiPriority w:val="0"/>
    <w:pPr>
      <w:widowControl w:val="0"/>
      <w:adjustRightInd w:val="0"/>
      <w:snapToGrid w:val="0"/>
      <w:spacing w:line="360" w:lineRule="auto"/>
      <w:ind w:firstLine="200" w:firstLineChars="200"/>
    </w:pPr>
    <w:rPr>
      <w:rFonts w:cs="Times New Roman"/>
      <w:bCs/>
      <w:kern w:val="2"/>
      <w:sz w:val="28"/>
      <w:szCs w:val="32"/>
    </w:rPr>
  </w:style>
  <w:style w:type="paragraph" w:customStyle="1" w:styleId="1159">
    <w:name w:val="表格标题"/>
    <w:basedOn w:val="1"/>
    <w:next w:val="1"/>
    <w:link w:val="1160"/>
    <w:qFormat/>
    <w:uiPriority w:val="0"/>
    <w:pPr>
      <w:adjustRightInd w:val="0"/>
      <w:snapToGrid w:val="0"/>
      <w:ind w:firstLine="200" w:firstLineChars="200"/>
      <w:jc w:val="center"/>
    </w:pPr>
    <w:rPr>
      <w:rFonts w:ascii="Times New Roman" w:hAnsi="Times New Roman" w:eastAsia="黑体" w:cs="黑体"/>
      <w:b/>
      <w:sz w:val="21"/>
      <w:szCs w:val="22"/>
    </w:rPr>
  </w:style>
  <w:style w:type="character" w:customStyle="1" w:styleId="1160">
    <w:name w:val="表格标题 Char Char"/>
    <w:link w:val="1159"/>
    <w:qFormat/>
    <w:uiPriority w:val="0"/>
    <w:rPr>
      <w:rFonts w:eastAsia="黑体" w:cs="黑体"/>
      <w:b/>
      <w:sz w:val="21"/>
      <w:szCs w:val="22"/>
    </w:rPr>
  </w:style>
  <w:style w:type="paragraph" w:customStyle="1" w:styleId="1161">
    <w:name w:val="CM65"/>
    <w:basedOn w:val="101"/>
    <w:next w:val="101"/>
    <w:qFormat/>
    <w:uiPriority w:val="99"/>
    <w:pPr>
      <w:spacing w:after="418"/>
    </w:pPr>
    <w:rPr>
      <w:color w:val="auto"/>
    </w:rPr>
  </w:style>
  <w:style w:type="paragraph" w:customStyle="1" w:styleId="1162">
    <w:name w:val="样式 标题 2 + Times New Roman 小三 居中 行距: 单倍行距"/>
    <w:basedOn w:val="5"/>
    <w:qFormat/>
    <w:uiPriority w:val="99"/>
    <w:pPr>
      <w:spacing w:before="260" w:after="260" w:line="240" w:lineRule="auto"/>
      <w:ind w:firstLine="538" w:firstLineChars="192"/>
    </w:pPr>
    <w:rPr>
      <w:rFonts w:ascii="Times New Roman" w:hAnsi="Times New Roman" w:cs="宋体"/>
      <w:b/>
      <w:bCs w:val="0"/>
      <w:sz w:val="30"/>
      <w:szCs w:val="20"/>
    </w:rPr>
  </w:style>
  <w:style w:type="paragraph" w:customStyle="1" w:styleId="1163">
    <w:name w:val="表格式"/>
    <w:basedOn w:val="59"/>
    <w:qFormat/>
    <w:uiPriority w:val="99"/>
    <w:pPr>
      <w:spacing w:beforeLines="50" w:afterLines="50" w:line="200" w:lineRule="exact"/>
      <w:ind w:left="0" w:firstLine="0"/>
      <w:jc w:val="center"/>
    </w:pPr>
    <w:rPr>
      <w:rFonts w:hint="default" w:ascii="Times New Roman" w:eastAsia="宋体"/>
      <w:kern w:val="0"/>
      <w:sz w:val="20"/>
      <w:szCs w:val="20"/>
    </w:rPr>
  </w:style>
  <w:style w:type="paragraph" w:customStyle="1" w:styleId="1164">
    <w:name w:val="样式 样式 题注 + (西文) 宋体 + 段后: 1 行"/>
    <w:basedOn w:val="1"/>
    <w:qFormat/>
    <w:uiPriority w:val="99"/>
    <w:pPr>
      <w:keepNext/>
      <w:widowControl w:val="0"/>
      <w:spacing w:line="360" w:lineRule="auto"/>
      <w:ind w:firstLine="200" w:firstLineChars="200"/>
    </w:pPr>
    <w:rPr>
      <w:color w:val="000000"/>
      <w:kern w:val="2"/>
      <w:sz w:val="28"/>
      <w:szCs w:val="20"/>
    </w:rPr>
  </w:style>
  <w:style w:type="paragraph" w:customStyle="1" w:styleId="1165">
    <w:name w:val="列表 2G"/>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66">
    <w:name w:val="列表1"/>
    <w:basedOn w:val="34"/>
    <w:qFormat/>
    <w:uiPriority w:val="0"/>
    <w:pPr>
      <w:widowControl/>
      <w:snapToGrid/>
      <w:jc w:val="left"/>
    </w:pPr>
    <w:rPr>
      <w:rFonts w:ascii="Times New Roman"/>
      <w:kern w:val="0"/>
    </w:rPr>
  </w:style>
  <w:style w:type="paragraph" w:customStyle="1" w:styleId="1167">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168">
    <w:name w:val="CM12"/>
    <w:basedOn w:val="1"/>
    <w:next w:val="1"/>
    <w:qFormat/>
    <w:uiPriority w:val="99"/>
    <w:pPr>
      <w:widowControl w:val="0"/>
      <w:autoSpaceDE w:val="0"/>
      <w:autoSpaceDN w:val="0"/>
      <w:adjustRightInd w:val="0"/>
      <w:spacing w:line="456" w:lineRule="atLeast"/>
    </w:pPr>
    <w:rPr>
      <w:rFonts w:hAnsi="Times New Roman"/>
    </w:rPr>
  </w:style>
  <w:style w:type="paragraph" w:customStyle="1" w:styleId="1169">
    <w:name w:val="标题样式2"/>
    <w:basedOn w:val="5"/>
    <w:qFormat/>
    <w:uiPriority w:val="99"/>
    <w:pPr>
      <w:keepNext w:val="0"/>
      <w:keepLines w:val="0"/>
      <w:widowControl w:val="0"/>
      <w:tabs>
        <w:tab w:val="left" w:pos="1260"/>
        <w:tab w:val="left" w:pos="4142"/>
        <w:tab w:val="left" w:pos="6833"/>
        <w:tab w:val="left" w:pos="9030"/>
        <w:tab w:val="left" w:pos="9287"/>
      </w:tabs>
      <w:overflowPunct w:val="0"/>
      <w:topLinePunct/>
      <w:autoSpaceDE w:val="0"/>
      <w:autoSpaceDN w:val="0"/>
      <w:adjustRightInd w:val="0"/>
      <w:snapToGrid w:val="0"/>
      <w:spacing w:beforeLines="5" w:afterLines="5" w:line="360" w:lineRule="atLeast"/>
      <w:ind w:left="1260" w:hanging="420"/>
      <w:jc w:val="center"/>
      <w:textAlignment w:val="baseline"/>
      <w:outlineLvl w:val="9"/>
    </w:pPr>
    <w:rPr>
      <w:rFonts w:ascii="Times New Roman" w:hAnsi="Times New Roman" w:eastAsia="宋体"/>
      <w:sz w:val="24"/>
      <w:szCs w:val="20"/>
    </w:rPr>
  </w:style>
  <w:style w:type="paragraph" w:customStyle="1" w:styleId="1170">
    <w:name w:val="T表格"/>
    <w:semiHidden/>
    <w:qFormat/>
    <w:uiPriority w:val="99"/>
    <w:pPr>
      <w:adjustRightInd w:val="0"/>
      <w:snapToGrid w:val="0"/>
      <w:spacing w:line="360" w:lineRule="auto"/>
      <w:jc w:val="center"/>
    </w:pPr>
    <w:rPr>
      <w:rFonts w:ascii="Times New Roman" w:hAnsi="Times New Roman" w:eastAsia="宋体" w:cs="Times New Roman"/>
      <w:color w:val="000000"/>
      <w:sz w:val="21"/>
      <w:lang w:val="en-US" w:eastAsia="zh-CN" w:bidi="ar-SA"/>
    </w:rPr>
  </w:style>
  <w:style w:type="paragraph" w:customStyle="1" w:styleId="1171">
    <w:name w:val="Name"/>
    <w:basedOn w:val="1"/>
    <w:next w:val="1"/>
    <w:qFormat/>
    <w:uiPriority w:val="99"/>
    <w:pPr>
      <w:spacing w:after="440" w:line="240" w:lineRule="atLeast"/>
      <w:ind w:left="2160"/>
    </w:pPr>
    <w:rPr>
      <w:rFonts w:ascii="Times New Roman" w:hAnsi="Times New Roman" w:cs="Times New Roman"/>
      <w:spacing w:val="-20"/>
      <w:sz w:val="48"/>
      <w:szCs w:val="20"/>
    </w:rPr>
  </w:style>
  <w:style w:type="paragraph" w:customStyle="1" w:styleId="1172">
    <w:name w:val="表16.4-1"/>
    <w:basedOn w:val="1"/>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spacing w:val="6"/>
      <w:szCs w:val="20"/>
    </w:rPr>
  </w:style>
  <w:style w:type="paragraph" w:customStyle="1" w:styleId="1173">
    <w:name w:val="小表左密"/>
    <w:basedOn w:val="1"/>
    <w:qFormat/>
    <w:uiPriority w:val="99"/>
    <w:pPr>
      <w:keepNext/>
      <w:widowControl w:val="0"/>
      <w:adjustRightInd w:val="0"/>
      <w:snapToGrid w:val="0"/>
      <w:spacing w:line="240" w:lineRule="atLeast"/>
      <w:jc w:val="both"/>
    </w:pPr>
    <w:rPr>
      <w:rFonts w:cs="Times New Roman"/>
      <w:kern w:val="2"/>
      <w:sz w:val="18"/>
      <w:szCs w:val="18"/>
    </w:rPr>
  </w:style>
  <w:style w:type="paragraph" w:customStyle="1" w:styleId="1174">
    <w:name w:val="样式 标题 1 + 黑体 三号"/>
    <w:basedOn w:val="4"/>
    <w:qFormat/>
    <w:uiPriority w:val="99"/>
    <w:pPr>
      <w:keepNext/>
      <w:keepLines/>
      <w:topLinePunct/>
      <w:autoSpaceDE w:val="0"/>
      <w:autoSpaceDN w:val="0"/>
      <w:adjustRightInd w:val="0"/>
      <w:snapToGrid w:val="0"/>
      <w:spacing w:before="340" w:after="330"/>
      <w:ind w:firstLine="538" w:firstLineChars="224"/>
      <w:jc w:val="both"/>
    </w:pPr>
    <w:rPr>
      <w:rFonts w:ascii="黑体" w:hAnsi="黑体"/>
      <w:b/>
      <w:snapToGrid w:val="0"/>
      <w:kern w:val="44"/>
      <w:szCs w:val="44"/>
    </w:rPr>
  </w:style>
  <w:style w:type="paragraph" w:customStyle="1" w:styleId="1175">
    <w:name w:val="xl66"/>
    <w:basedOn w:val="1"/>
    <w:qFormat/>
    <w:uiPriority w:val="99"/>
    <w:pPr>
      <w:pBdr>
        <w:bottom w:val="single" w:color="auto" w:sz="8" w:space="0"/>
      </w:pBdr>
      <w:spacing w:before="100" w:beforeAutospacing="1" w:after="100" w:afterAutospacing="1"/>
      <w:jc w:val="right"/>
    </w:pPr>
    <w:rPr>
      <w:rFonts w:eastAsia="仿宋_GB2312" w:cs="Times New Roman"/>
      <w:b/>
      <w:bCs/>
      <w:position w:val="-6"/>
      <w:szCs w:val="21"/>
    </w:rPr>
  </w:style>
  <w:style w:type="paragraph" w:customStyle="1" w:styleId="1176">
    <w:name w:val="环保篇"/>
    <w:basedOn w:val="1"/>
    <w:qFormat/>
    <w:uiPriority w:val="99"/>
    <w:pPr>
      <w:widowControl w:val="0"/>
      <w:tabs>
        <w:tab w:val="left" w:pos="360"/>
      </w:tabs>
      <w:adjustRightInd w:val="0"/>
      <w:spacing w:line="360" w:lineRule="auto"/>
      <w:jc w:val="both"/>
      <w:textAlignment w:val="baseline"/>
    </w:pPr>
    <w:rPr>
      <w:rFonts w:ascii="Times New Roman" w:hAnsi="Times New Roman" w:cs="Times New Roman"/>
      <w:kern w:val="2"/>
      <w:sz w:val="28"/>
      <w:szCs w:val="20"/>
    </w:rPr>
  </w:style>
  <w:style w:type="paragraph" w:customStyle="1" w:styleId="1177">
    <w:name w:val="表标题5.9"/>
    <w:basedOn w:val="1"/>
    <w:qFormat/>
    <w:uiPriority w:val="99"/>
    <w:pPr>
      <w:widowControl w:val="0"/>
      <w:tabs>
        <w:tab w:val="left" w:pos="1653"/>
      </w:tabs>
      <w:spacing w:beforeLines="100" w:line="0" w:lineRule="atLeast"/>
      <w:ind w:left="993" w:hanging="420"/>
      <w:jc w:val="both"/>
    </w:pPr>
    <w:rPr>
      <w:rFonts w:ascii="Times New Roman" w:hAnsi="Times New Roman" w:eastAsia="黑体" w:cs="Times New Roman"/>
      <w:b/>
      <w:kern w:val="2"/>
    </w:rPr>
  </w:style>
  <w:style w:type="paragraph" w:customStyle="1" w:styleId="1178">
    <w:name w:val="说明书正文"/>
    <w:basedOn w:val="1"/>
    <w:link w:val="1179"/>
    <w:qFormat/>
    <w:uiPriority w:val="99"/>
    <w:pPr>
      <w:widowControl w:val="0"/>
      <w:spacing w:line="560" w:lineRule="exact"/>
      <w:ind w:firstLine="200" w:firstLineChars="200"/>
      <w:jc w:val="both"/>
    </w:pPr>
    <w:rPr>
      <w:rFonts w:ascii="Arial Unicode MS" w:hAnsi="Arial Unicode MS" w:eastAsia="幼圆"/>
      <w:kern w:val="2"/>
      <w:szCs w:val="28"/>
    </w:rPr>
  </w:style>
  <w:style w:type="character" w:customStyle="1" w:styleId="1179">
    <w:name w:val="说明书正文 Char"/>
    <w:link w:val="1178"/>
    <w:qFormat/>
    <w:uiPriority w:val="99"/>
    <w:rPr>
      <w:rFonts w:ascii="Arial Unicode MS" w:hAnsi="Arial Unicode MS" w:eastAsia="幼圆" w:cs="宋体"/>
      <w:kern w:val="2"/>
      <w:sz w:val="24"/>
      <w:szCs w:val="28"/>
    </w:rPr>
  </w:style>
  <w:style w:type="paragraph" w:customStyle="1" w:styleId="1180">
    <w:name w:val="样式 表格文字居中 + 右侧:  -0.06 字符1"/>
    <w:basedOn w:val="564"/>
    <w:qFormat/>
    <w:uiPriority w:val="99"/>
    <w:pPr>
      <w:keepNext/>
      <w:adjustRightInd/>
      <w:snapToGrid/>
      <w:spacing w:line="0" w:lineRule="atLeast"/>
      <w:ind w:left="-6"/>
    </w:pPr>
    <w:rPr>
      <w:rFonts w:cs="宋体"/>
      <w:kern w:val="2"/>
      <w:sz w:val="18"/>
      <w:szCs w:val="20"/>
    </w:rPr>
  </w:style>
  <w:style w:type="paragraph" w:customStyle="1" w:styleId="1181">
    <w:name w:val="列表 5I"/>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82">
    <w:name w:val="样式 正文首行缩进 + 四号 首行缩进:  2 字符"/>
    <w:basedOn w:val="78"/>
    <w:qFormat/>
    <w:uiPriority w:val="99"/>
    <w:pPr>
      <w:widowControl w:val="0"/>
      <w:tabs>
        <w:tab w:val="left" w:pos="628"/>
        <w:tab w:val="left" w:pos="1727"/>
        <w:tab w:val="left" w:pos="1884"/>
        <w:tab w:val="left" w:pos="4900"/>
      </w:tabs>
      <w:autoSpaceDE w:val="0"/>
      <w:autoSpaceDN w:val="0"/>
      <w:adjustRightInd w:val="0"/>
      <w:snapToGrid w:val="0"/>
      <w:spacing w:after="0" w:line="360" w:lineRule="auto"/>
      <w:ind w:firstLine="0" w:firstLineChars="0"/>
      <w:jc w:val="left"/>
    </w:pPr>
    <w:rPr>
      <w:sz w:val="28"/>
      <w:szCs w:val="28"/>
      <w:lang w:val="zh-CN"/>
    </w:rPr>
  </w:style>
  <w:style w:type="paragraph" w:customStyle="1" w:styleId="1183">
    <w:name w:val="样式 标题 51)项标5标题 5 Char1) Char项 Char一级项 +"/>
    <w:basedOn w:val="9"/>
    <w:qFormat/>
    <w:uiPriority w:val="99"/>
    <w:pPr>
      <w:keepNext w:val="0"/>
      <w:keepLines w:val="0"/>
      <w:tabs>
        <w:tab w:val="left" w:pos="2138"/>
      </w:tabs>
      <w:topLinePunct w:val="0"/>
      <w:adjustRightInd w:val="0"/>
      <w:spacing w:before="0" w:after="0" w:line="360" w:lineRule="auto"/>
      <w:ind w:hanging="992" w:firstLineChars="0"/>
      <w:textAlignment w:val="baseline"/>
    </w:pPr>
    <w:rPr>
      <w:rFonts w:ascii="宋体" w:hAnsi="宋体" w:eastAsia="宋体"/>
      <w:b w:val="0"/>
      <w:bCs w:val="0"/>
      <w:color w:val="000000"/>
    </w:rPr>
  </w:style>
  <w:style w:type="paragraph" w:customStyle="1" w:styleId="1184">
    <w:name w:val="xl3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185">
    <w:name w:val="列表 2D"/>
    <w:basedOn w:val="34"/>
    <w:qFormat/>
    <w:uiPriority w:val="99"/>
    <w:pPr>
      <w:tabs>
        <w:tab w:val="left" w:pos="885"/>
      </w:tabs>
      <w:snapToGrid/>
      <w:spacing w:before="100" w:beforeAutospacing="1" w:after="100" w:afterAutospacing="1" w:line="288" w:lineRule="auto"/>
      <w:ind w:left="885" w:hanging="315"/>
      <w:jc w:val="both"/>
    </w:pPr>
    <w:rPr>
      <w:rFonts w:ascii="Arial" w:hAnsi="Arial"/>
      <w:color w:val="FFFF99"/>
      <w:sz w:val="24"/>
    </w:rPr>
  </w:style>
  <w:style w:type="paragraph" w:customStyle="1" w:styleId="1186">
    <w:name w:val="列表 3L"/>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187">
    <w:name w:val="我的标题3"/>
    <w:basedOn w:val="1"/>
    <w:qFormat/>
    <w:uiPriority w:val="99"/>
    <w:pPr>
      <w:widowControl w:val="0"/>
      <w:jc w:val="both"/>
    </w:pPr>
    <w:rPr>
      <w:rFonts w:ascii="Times New Roman" w:hAnsi="Times New Roman" w:cs="Times New Roman"/>
      <w:b/>
      <w:kern w:val="2"/>
      <w:sz w:val="28"/>
    </w:rPr>
  </w:style>
  <w:style w:type="paragraph" w:customStyle="1" w:styleId="1188">
    <w:name w:val="Char Char Char1 Char12"/>
    <w:basedOn w:val="1"/>
    <w:qFormat/>
    <w:uiPriority w:val="0"/>
    <w:pPr>
      <w:widowControl w:val="0"/>
      <w:jc w:val="both"/>
    </w:pPr>
    <w:rPr>
      <w:rFonts w:ascii="Times New Roman" w:hAnsi="Times New Roman" w:cs="Times New Roman"/>
      <w:kern w:val="2"/>
      <w:sz w:val="21"/>
    </w:rPr>
  </w:style>
  <w:style w:type="paragraph" w:customStyle="1" w:styleId="1189">
    <w:name w:val="xl46"/>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190">
    <w:name w:val="101"/>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191">
    <w:name w:val="表内5中"/>
    <w:basedOn w:val="1"/>
    <w:qFormat/>
    <w:uiPriority w:val="99"/>
    <w:pPr>
      <w:widowControl w:val="0"/>
      <w:jc w:val="center"/>
    </w:pPr>
    <w:rPr>
      <w:rFonts w:hAnsi="Times New Roman" w:cs="Times New Roman"/>
      <w:kern w:val="2"/>
      <w:sz w:val="21"/>
      <w:szCs w:val="21"/>
    </w:rPr>
  </w:style>
  <w:style w:type="paragraph" w:customStyle="1" w:styleId="1192">
    <w:name w:val="样式 仿宋_GB2312 四号 行距: 1.5 倍行距 首行缩进:  2 字符"/>
    <w:basedOn w:val="1"/>
    <w:qFormat/>
    <w:uiPriority w:val="0"/>
    <w:pPr>
      <w:widowControl w:val="0"/>
      <w:spacing w:line="360" w:lineRule="auto"/>
      <w:ind w:firstLine="560" w:firstLineChars="200"/>
      <w:jc w:val="both"/>
    </w:pPr>
    <w:rPr>
      <w:rFonts w:ascii="仿宋_GB2312" w:hAnsi="Times New Roman" w:eastAsia="仿宋_GB2312" w:cs="Times New Roman"/>
      <w:kern w:val="2"/>
      <w:sz w:val="28"/>
      <w:szCs w:val="20"/>
    </w:rPr>
  </w:style>
  <w:style w:type="paragraph" w:customStyle="1" w:styleId="1193">
    <w:name w:val="列表 2B"/>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94">
    <w:name w:val="样式 表标题5.12 + 居中 段前: 1 行"/>
    <w:basedOn w:val="819"/>
    <w:qFormat/>
    <w:uiPriority w:val="99"/>
    <w:pPr>
      <w:tabs>
        <w:tab w:val="left" w:pos="726"/>
        <w:tab w:val="clear" w:pos="4060"/>
        <w:tab w:val="clear" w:pos="8261"/>
      </w:tabs>
      <w:spacing w:beforeLines="0"/>
      <w:ind w:left="2" w:firstLine="4"/>
      <w:jc w:val="center"/>
    </w:pPr>
    <w:rPr>
      <w:rFonts w:cs="宋体"/>
      <w:bCs/>
      <w:szCs w:val="20"/>
    </w:rPr>
  </w:style>
  <w:style w:type="paragraph" w:customStyle="1" w:styleId="1195">
    <w:name w:val="xl63"/>
    <w:basedOn w:val="1"/>
    <w:qFormat/>
    <w:uiPriority w:val="99"/>
    <w:pPr>
      <w:pBdr>
        <w:left w:val="single" w:color="auto" w:sz="4" w:space="0"/>
        <w:bottom w:val="single" w:color="auto" w:sz="8" w:space="0"/>
      </w:pBdr>
      <w:spacing w:before="100" w:beforeAutospacing="1" w:after="100" w:afterAutospacing="1"/>
      <w:jc w:val="center"/>
    </w:pPr>
    <w:rPr>
      <w:rFonts w:eastAsia="仿宋_GB2312" w:cs="Times New Roman"/>
      <w:b/>
      <w:bCs/>
      <w:position w:val="-6"/>
    </w:rPr>
  </w:style>
  <w:style w:type="paragraph" w:customStyle="1" w:styleId="1196">
    <w:name w:val="Char Char Char Char Char Char Char Char Char Char Char Char1 Char Char Char Char Char Char Char Char Char Char Char Char1 Char1"/>
    <w:basedOn w:val="1"/>
    <w:next w:val="1"/>
    <w:qFormat/>
    <w:uiPriority w:val="99"/>
    <w:pPr>
      <w:widowControl w:val="0"/>
      <w:spacing w:line="336" w:lineRule="auto"/>
      <w:ind w:firstLine="200" w:firstLineChars="200"/>
      <w:jc w:val="both"/>
    </w:pPr>
    <w:rPr>
      <w:rFonts w:eastAsia="汉鼎简书宋"/>
      <w:kern w:val="2"/>
    </w:rPr>
  </w:style>
  <w:style w:type="paragraph" w:customStyle="1" w:styleId="1197">
    <w:name w:val="Company Name One"/>
    <w:basedOn w:val="1087"/>
    <w:next w:val="1"/>
    <w:qFormat/>
    <w:uiPriority w:val="99"/>
  </w:style>
  <w:style w:type="paragraph" w:customStyle="1" w:styleId="1198">
    <w:name w:val="材料正文"/>
    <w:basedOn w:val="1"/>
    <w:link w:val="1199"/>
    <w:qFormat/>
    <w:uiPriority w:val="99"/>
    <w:pPr>
      <w:widowControl w:val="0"/>
      <w:adjustRightInd w:val="0"/>
      <w:snapToGrid w:val="0"/>
      <w:spacing w:line="480" w:lineRule="exact"/>
      <w:ind w:firstLine="480" w:firstLineChars="200"/>
      <w:jc w:val="both"/>
    </w:pPr>
    <w:rPr>
      <w:rFonts w:ascii="Times New Roman" w:hAnsi="Times New Roman" w:eastAsia="方正仿宋简体"/>
      <w:kern w:val="2"/>
      <w:szCs w:val="20"/>
    </w:rPr>
  </w:style>
  <w:style w:type="character" w:customStyle="1" w:styleId="1199">
    <w:name w:val="材料正文 Char"/>
    <w:link w:val="1198"/>
    <w:qFormat/>
    <w:uiPriority w:val="99"/>
    <w:rPr>
      <w:rFonts w:eastAsia="方正仿宋简体" w:cs="宋体"/>
      <w:kern w:val="2"/>
      <w:sz w:val="24"/>
    </w:rPr>
  </w:style>
  <w:style w:type="paragraph" w:customStyle="1" w:styleId="1200">
    <w:name w:val="列表 4N"/>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01">
    <w:name w:val="正文样式一"/>
    <w:basedOn w:val="1"/>
    <w:qFormat/>
    <w:uiPriority w:val="99"/>
    <w:pPr>
      <w:widowControl w:val="0"/>
      <w:adjustRightInd w:val="0"/>
      <w:spacing w:line="400" w:lineRule="atLeast"/>
      <w:ind w:firstLine="510"/>
      <w:jc w:val="both"/>
      <w:textAlignment w:val="baseline"/>
    </w:pPr>
    <w:rPr>
      <w:rFonts w:ascii="Times New Roman" w:hAnsi="Times New Roman" w:cs="Times New Roman"/>
      <w:szCs w:val="20"/>
    </w:rPr>
  </w:style>
  <w:style w:type="paragraph" w:customStyle="1" w:styleId="1202">
    <w:name w:val="样式 样式 样式 标题 3条标题头标题3H3h33rd level第二层条标题 3 Char小标题小节标题标题 3 C...3 ..."/>
    <w:basedOn w:val="248"/>
    <w:qFormat/>
    <w:uiPriority w:val="0"/>
    <w:rPr>
      <w:color w:val="000000"/>
    </w:rPr>
  </w:style>
  <w:style w:type="paragraph" w:customStyle="1" w:styleId="1203">
    <w:name w:val="条文1"/>
    <w:basedOn w:val="1"/>
    <w:qFormat/>
    <w:uiPriority w:val="99"/>
    <w:pPr>
      <w:widowControl w:val="0"/>
      <w:autoSpaceDE w:val="0"/>
      <w:autoSpaceDN w:val="0"/>
      <w:adjustRightInd w:val="0"/>
      <w:spacing w:line="460" w:lineRule="exact"/>
      <w:ind w:left="907" w:hanging="425"/>
      <w:textAlignment w:val="baseline"/>
    </w:pPr>
    <w:rPr>
      <w:rFonts w:hAnsi="Times New Roman" w:cs="Times New Roman"/>
      <w:spacing w:val="3"/>
      <w:kern w:val="24"/>
      <w:sz w:val="26"/>
      <w:szCs w:val="20"/>
    </w:rPr>
  </w:style>
  <w:style w:type="paragraph" w:customStyle="1" w:styleId="1204">
    <w:name w:val="font10"/>
    <w:basedOn w:val="1"/>
    <w:qFormat/>
    <w:uiPriority w:val="99"/>
    <w:pPr>
      <w:spacing w:before="100" w:beforeAutospacing="1" w:after="100" w:afterAutospacing="1"/>
    </w:pPr>
    <w:rPr>
      <w:rFonts w:hint="eastAsia" w:cs="Arial Unicode MS"/>
      <w:b/>
      <w:bCs/>
      <w:sz w:val="36"/>
      <w:szCs w:val="36"/>
    </w:rPr>
  </w:style>
  <w:style w:type="paragraph" w:customStyle="1" w:styleId="1205">
    <w:name w:val="Char Char Char1 Char1 Char Char Char2"/>
    <w:basedOn w:val="1"/>
    <w:qFormat/>
    <w:uiPriority w:val="99"/>
    <w:pPr>
      <w:widowControl w:val="0"/>
      <w:jc w:val="both"/>
    </w:pPr>
    <w:rPr>
      <w:rFonts w:ascii="Times New Roman" w:hAnsi="Times New Roman" w:cs="Times New Roman"/>
      <w:kern w:val="2"/>
      <w:sz w:val="21"/>
    </w:rPr>
  </w:style>
  <w:style w:type="paragraph" w:customStyle="1" w:styleId="1206">
    <w:name w:val="SCIDI正文"/>
    <w:basedOn w:val="1"/>
    <w:qFormat/>
    <w:uiPriority w:val="99"/>
    <w:pPr>
      <w:widowControl w:val="0"/>
      <w:adjustRightInd w:val="0"/>
      <w:snapToGrid w:val="0"/>
      <w:spacing w:line="360" w:lineRule="auto"/>
      <w:ind w:firstLine="560" w:firstLineChars="200"/>
      <w:jc w:val="both"/>
    </w:pPr>
    <w:rPr>
      <w:rFonts w:ascii="Times New Roman" w:hAnsi="Times New Roman" w:eastAsia="仿宋_GB2312" w:cs="Times New Roman"/>
      <w:kern w:val="2"/>
      <w:sz w:val="28"/>
      <w:szCs w:val="20"/>
    </w:rPr>
  </w:style>
  <w:style w:type="paragraph" w:customStyle="1" w:styleId="1207">
    <w:name w:val="标题10"/>
    <w:basedOn w:val="1"/>
    <w:next w:val="1"/>
    <w:qFormat/>
    <w:uiPriority w:val="0"/>
    <w:pPr>
      <w:widowControl w:val="0"/>
      <w:tabs>
        <w:tab w:val="left" w:pos="360"/>
      </w:tabs>
      <w:snapToGrid w:val="0"/>
      <w:spacing w:before="120" w:after="120"/>
      <w:jc w:val="both"/>
    </w:pPr>
    <w:rPr>
      <w:rFonts w:ascii="Times New Roman" w:hAnsi="Times New Roman" w:eastAsia="楷体_GB2312" w:cs="Times New Roman"/>
      <w:b/>
      <w:bCs/>
      <w:kern w:val="2"/>
      <w:sz w:val="30"/>
      <w:szCs w:val="30"/>
    </w:rPr>
  </w:style>
  <w:style w:type="paragraph" w:customStyle="1" w:styleId="1208">
    <w:name w:val="列表 3A"/>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209">
    <w:name w:val="表标题4.5"/>
    <w:basedOn w:val="1"/>
    <w:qFormat/>
    <w:uiPriority w:val="99"/>
    <w:pPr>
      <w:widowControl w:val="0"/>
      <w:tabs>
        <w:tab w:val="center" w:pos="4060"/>
        <w:tab w:val="right" w:pos="8261"/>
      </w:tabs>
      <w:suppressAutoHyphens/>
      <w:adjustRightInd w:val="0"/>
      <w:spacing w:before="240" w:line="0" w:lineRule="atLeast"/>
      <w:jc w:val="both"/>
    </w:pPr>
    <w:rPr>
      <w:rFonts w:ascii="黑体" w:hAnsi="Times New Roman" w:eastAsia="黑体" w:cs="Times New Roman"/>
      <w:b/>
      <w:spacing w:val="6"/>
      <w:sz w:val="26"/>
      <w:szCs w:val="26"/>
    </w:rPr>
  </w:style>
  <w:style w:type="paragraph" w:customStyle="1" w:styleId="1210">
    <w:name w:val="列表D"/>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211">
    <w:name w:val="font16"/>
    <w:basedOn w:val="1"/>
    <w:qFormat/>
    <w:uiPriority w:val="99"/>
    <w:pPr>
      <w:spacing w:before="100" w:beforeAutospacing="1" w:after="100" w:afterAutospacing="1"/>
    </w:pPr>
    <w:rPr>
      <w:rFonts w:hint="eastAsia" w:cs="Arial Unicode MS"/>
      <w:sz w:val="20"/>
      <w:szCs w:val="20"/>
      <w:u w:val="single"/>
    </w:rPr>
  </w:style>
  <w:style w:type="paragraph" w:customStyle="1" w:styleId="1212">
    <w:name w:val="样式 表标题4.5 + 居中"/>
    <w:basedOn w:val="1209"/>
    <w:qFormat/>
    <w:uiPriority w:val="99"/>
    <w:pPr>
      <w:tabs>
        <w:tab w:val="left" w:pos="726"/>
        <w:tab w:val="clear" w:pos="4060"/>
        <w:tab w:val="clear" w:pos="8261"/>
      </w:tabs>
      <w:ind w:left="2" w:firstLine="4"/>
      <w:jc w:val="center"/>
    </w:pPr>
    <w:rPr>
      <w:rFonts w:cs="宋体"/>
      <w:bCs/>
      <w:szCs w:val="20"/>
    </w:rPr>
  </w:style>
  <w:style w:type="paragraph" w:customStyle="1" w:styleId="1213">
    <w:name w:val="Char Char Char1"/>
    <w:basedOn w:val="1"/>
    <w:qFormat/>
    <w:uiPriority w:val="0"/>
    <w:pPr>
      <w:widowControl w:val="0"/>
      <w:spacing w:beforeLines="100"/>
      <w:jc w:val="both"/>
    </w:pPr>
    <w:rPr>
      <w:rFonts w:ascii="Times New Roman" w:hAnsi="Times New Roman" w:cs="Times New Roman"/>
      <w:kern w:val="2"/>
      <w:sz w:val="21"/>
    </w:rPr>
  </w:style>
  <w:style w:type="paragraph" w:customStyle="1" w:styleId="1214">
    <w:name w:val="标标题13.1"/>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rPr>
  </w:style>
  <w:style w:type="paragraph" w:customStyle="1" w:styleId="1215">
    <w:name w:val="图片"/>
    <w:basedOn w:val="1"/>
    <w:next w:val="1"/>
    <w:qFormat/>
    <w:uiPriority w:val="99"/>
    <w:pPr>
      <w:keepNext/>
      <w:spacing w:line="360" w:lineRule="auto"/>
      <w:jc w:val="center"/>
    </w:pPr>
    <w:rPr>
      <w:rFonts w:ascii="Times New Roman" w:hAnsi="Times New Roman" w:eastAsia="仿宋_GB2312" w:cs="Times New Roman"/>
      <w:b/>
      <w:bCs/>
      <w:color w:val="000000"/>
      <w:kern w:val="2"/>
      <w:szCs w:val="20"/>
      <w:lang w:val="zh-CN"/>
    </w:rPr>
  </w:style>
  <w:style w:type="paragraph" w:customStyle="1" w:styleId="1216">
    <w:name w:val="列表 4X"/>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17">
    <w:name w:val="xl3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szCs w:val="20"/>
    </w:rPr>
  </w:style>
  <w:style w:type="paragraph" w:customStyle="1" w:styleId="1218">
    <w:name w:val="列表 5O"/>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19">
    <w:name w:val="样式 正文文字 + 左 首行缩进:  2 字符 行距: 1.5 倍行距"/>
    <w:basedOn w:val="2"/>
    <w:qFormat/>
    <w:uiPriority w:val="99"/>
    <w:pPr>
      <w:widowControl w:val="0"/>
      <w:spacing w:line="360" w:lineRule="auto"/>
      <w:ind w:firstLine="560" w:firstLineChars="200"/>
    </w:pPr>
    <w:rPr>
      <w:rFonts w:ascii="Times New Roman" w:hAnsi="Times New Roman"/>
      <w:color w:val="auto"/>
      <w:kern w:val="0"/>
      <w:szCs w:val="24"/>
    </w:rPr>
  </w:style>
  <w:style w:type="paragraph" w:customStyle="1" w:styleId="1220">
    <w:name w:val="Char1 Char Char Char Char Char Char2 Char 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221">
    <w:name w:val="样式 燕山正文 + 首行缩进:  3.5 字符"/>
    <w:basedOn w:val="763"/>
    <w:qFormat/>
    <w:uiPriority w:val="99"/>
    <w:pPr>
      <w:shd w:val="clear" w:color="auto" w:fill="auto"/>
      <w:jc w:val="both"/>
    </w:pPr>
    <w:rPr>
      <w:color w:val="000000"/>
      <w:szCs w:val="20"/>
    </w:rPr>
  </w:style>
  <w:style w:type="paragraph" w:customStyle="1" w:styleId="1222">
    <w:name w:val="正文首行缩进2"/>
    <w:basedOn w:val="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4"/>
    </w:rPr>
  </w:style>
  <w:style w:type="paragraph" w:customStyle="1" w:styleId="1223">
    <w:name w:val="表标题2.1"/>
    <w:basedOn w:val="801"/>
    <w:qFormat/>
    <w:uiPriority w:val="99"/>
    <w:pPr>
      <w:tabs>
        <w:tab w:val="left" w:pos="3060"/>
        <w:tab w:val="clear" w:pos="8207"/>
      </w:tabs>
      <w:ind w:left="2400" w:hanging="420"/>
    </w:pPr>
  </w:style>
  <w:style w:type="paragraph" w:customStyle="1" w:styleId="1224">
    <w:name w:val="表标题5.3"/>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225">
    <w:name w:val="样式1"/>
    <w:basedOn w:val="1"/>
    <w:qFormat/>
    <w:uiPriority w:val="99"/>
    <w:pPr>
      <w:widowControl w:val="0"/>
      <w:spacing w:line="560" w:lineRule="exact"/>
      <w:ind w:firstLine="567"/>
      <w:jc w:val="both"/>
    </w:pPr>
    <w:rPr>
      <w:rFonts w:ascii="Times New Roman" w:hAnsi="Times New Roman" w:cs="Times New Roman"/>
      <w:kern w:val="2"/>
      <w:szCs w:val="20"/>
    </w:rPr>
  </w:style>
  <w:style w:type="paragraph" w:customStyle="1" w:styleId="1226">
    <w:name w:val="标题 3，第三标题"/>
    <w:basedOn w:val="1"/>
    <w:qFormat/>
    <w:uiPriority w:val="99"/>
    <w:pPr>
      <w:widowControl w:val="0"/>
      <w:tabs>
        <w:tab w:val="left" w:pos="628"/>
        <w:tab w:val="left" w:pos="1727"/>
        <w:tab w:val="left" w:pos="1840"/>
        <w:tab w:val="left" w:pos="1884"/>
        <w:tab w:val="left" w:pos="2520"/>
        <w:tab w:val="left" w:pos="2660"/>
        <w:tab w:val="left" w:pos="5460"/>
      </w:tabs>
      <w:snapToGrid w:val="0"/>
      <w:spacing w:beforeLines="50" w:afterLines="50" w:line="440" w:lineRule="exact"/>
      <w:ind w:left="1840" w:hanging="720"/>
      <w:outlineLvl w:val="2"/>
    </w:pPr>
    <w:rPr>
      <w:rFonts w:ascii="Times New Roman" w:hAnsi="Times New Roman" w:eastAsia="黑体"/>
      <w:kern w:val="2"/>
      <w:szCs w:val="20"/>
    </w:rPr>
  </w:style>
  <w:style w:type="paragraph" w:customStyle="1" w:styleId="1227">
    <w:name w:val="报告表格"/>
    <w:basedOn w:val="1"/>
    <w:qFormat/>
    <w:uiPriority w:val="99"/>
    <w:pPr>
      <w:widowControl w:val="0"/>
      <w:autoSpaceDE w:val="0"/>
      <w:autoSpaceDN w:val="0"/>
      <w:adjustRightInd w:val="0"/>
      <w:spacing w:before="40" w:after="40"/>
      <w:jc w:val="center"/>
      <w:textAlignment w:val="bottom"/>
    </w:pPr>
    <w:rPr>
      <w:rFonts w:ascii="Times New Roman" w:hAnsi="Times New Roman" w:cs="Times New Roman"/>
      <w:sz w:val="21"/>
      <w:szCs w:val="20"/>
    </w:rPr>
  </w:style>
  <w:style w:type="paragraph" w:customStyle="1" w:styleId="1228">
    <w:name w:val="段"/>
    <w:semiHidden/>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29">
    <w:name w:val="1正文段落"/>
    <w:basedOn w:val="1"/>
    <w:qFormat/>
    <w:uiPriority w:val="99"/>
    <w:pPr>
      <w:widowControl w:val="0"/>
      <w:spacing w:line="360" w:lineRule="auto"/>
      <w:ind w:firstLine="200" w:firstLineChars="200"/>
    </w:pPr>
    <w:rPr>
      <w:rFonts w:ascii="Times New Roman" w:hAnsi="Times New Roman" w:cs="Times New Roman"/>
      <w:snapToGrid w:val="0"/>
    </w:rPr>
  </w:style>
  <w:style w:type="paragraph" w:customStyle="1" w:styleId="1230">
    <w:name w:val="表标题4.9"/>
    <w:basedOn w:val="1"/>
    <w:qFormat/>
    <w:uiPriority w:val="99"/>
    <w:pPr>
      <w:widowControl w:val="0"/>
      <w:tabs>
        <w:tab w:val="center" w:pos="4060"/>
        <w:tab w:val="right" w:pos="8261"/>
      </w:tabs>
      <w:suppressAutoHyphens/>
      <w:adjustRightInd w:val="0"/>
      <w:spacing w:before="240" w:line="0" w:lineRule="atLeast"/>
      <w:jc w:val="both"/>
    </w:pPr>
    <w:rPr>
      <w:rFonts w:ascii="黑体" w:hAnsi="Times New Roman" w:eastAsia="黑体" w:cs="Times New Roman"/>
      <w:b/>
      <w:spacing w:val="6"/>
      <w:sz w:val="26"/>
      <w:szCs w:val="26"/>
    </w:rPr>
  </w:style>
  <w:style w:type="paragraph" w:customStyle="1" w:styleId="1231">
    <w:name w:val="样式 表格文字居中 + 段前: 自动 行距: 单倍行距"/>
    <w:basedOn w:val="1"/>
    <w:qFormat/>
    <w:uiPriority w:val="99"/>
    <w:pPr>
      <w:widowControl w:val="0"/>
      <w:tabs>
        <w:tab w:val="left" w:pos="0"/>
        <w:tab w:val="left" w:pos="628"/>
        <w:tab w:val="left" w:pos="700"/>
        <w:tab w:val="left" w:pos="1400"/>
        <w:tab w:val="left" w:pos="1884"/>
      </w:tabs>
      <w:adjustRightInd w:val="0"/>
      <w:snapToGrid w:val="0"/>
    </w:pPr>
    <w:rPr>
      <w:kern w:val="2"/>
      <w:sz w:val="21"/>
      <w:szCs w:val="28"/>
    </w:rPr>
  </w:style>
  <w:style w:type="paragraph" w:customStyle="1" w:styleId="1232">
    <w:name w:val="德胜三级标题"/>
    <w:basedOn w:val="1"/>
    <w:qFormat/>
    <w:uiPriority w:val="99"/>
    <w:pPr>
      <w:keepNext/>
      <w:keepLines/>
      <w:widowControl w:val="0"/>
      <w:adjustRightInd w:val="0"/>
      <w:snapToGrid w:val="0"/>
      <w:spacing w:line="360" w:lineRule="auto"/>
      <w:outlineLvl w:val="2"/>
    </w:pPr>
    <w:rPr>
      <w:rFonts w:ascii="Times New Roman" w:hAnsi="Times New Roman" w:cs="Times New Roman"/>
      <w:b/>
      <w:bCs/>
      <w:snapToGrid w:val="0"/>
      <w:color w:val="0000FF"/>
    </w:rPr>
  </w:style>
  <w:style w:type="paragraph" w:customStyle="1" w:styleId="1233">
    <w:name w:val="font6"/>
    <w:basedOn w:val="1"/>
    <w:qFormat/>
    <w:uiPriority w:val="99"/>
    <w:pPr>
      <w:spacing w:before="100" w:beforeAutospacing="1" w:after="100" w:afterAutospacing="1"/>
    </w:pPr>
    <w:rPr>
      <w:rFonts w:hint="eastAsia" w:cs="Arial Unicode MS"/>
      <w:b/>
      <w:bCs/>
      <w:sz w:val="32"/>
      <w:szCs w:val="32"/>
    </w:rPr>
  </w:style>
  <w:style w:type="paragraph" w:customStyle="1" w:styleId="1234">
    <w:name w:val="xl2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235">
    <w:name w:val="标题1.5"/>
    <w:basedOn w:val="939"/>
    <w:next w:val="316"/>
    <w:qFormat/>
    <w:uiPriority w:val="99"/>
    <w:rPr>
      <w:szCs w:val="28"/>
    </w:rPr>
  </w:style>
  <w:style w:type="paragraph" w:customStyle="1" w:styleId="1236">
    <w:name w:val="xl62"/>
    <w:basedOn w:val="1"/>
    <w:qFormat/>
    <w:uiPriority w:val="99"/>
    <w:pPr>
      <w:pBdr>
        <w:top w:val="single" w:color="auto" w:sz="4" w:space="0"/>
        <w:left w:val="single" w:color="auto" w:sz="4" w:space="0"/>
      </w:pBdr>
      <w:spacing w:before="100" w:beforeAutospacing="1" w:after="100" w:afterAutospacing="1"/>
      <w:jc w:val="center"/>
    </w:pPr>
    <w:rPr>
      <w:rFonts w:eastAsia="仿宋_GB2312" w:cs="Times New Roman"/>
      <w:b/>
      <w:bCs/>
      <w:position w:val="-6"/>
    </w:rPr>
  </w:style>
  <w:style w:type="paragraph" w:customStyle="1" w:styleId="1237">
    <w:name w:val="xl35"/>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Cs w:val="20"/>
    </w:rPr>
  </w:style>
  <w:style w:type="paragraph" w:customStyle="1" w:styleId="1238">
    <w:name w:val="附录"/>
    <w:basedOn w:val="4"/>
    <w:next w:val="1"/>
    <w:qFormat/>
    <w:uiPriority w:val="99"/>
    <w:pPr>
      <w:keepNext/>
      <w:keepLines/>
      <w:tabs>
        <w:tab w:val="left" w:pos="720"/>
      </w:tabs>
      <w:spacing w:after="220" w:line="700" w:lineRule="exact"/>
      <w:ind w:left="680" w:hanging="680"/>
      <w:jc w:val="center"/>
    </w:pPr>
    <w:rPr>
      <w:rFonts w:ascii="Times New Roman" w:hAnsi="Times New Roman" w:eastAsia="宋体"/>
      <w:spacing w:val="-10"/>
      <w:kern w:val="28"/>
      <w:sz w:val="30"/>
      <w:szCs w:val="20"/>
    </w:rPr>
  </w:style>
  <w:style w:type="paragraph" w:customStyle="1" w:styleId="1239">
    <w:name w:val="xl42"/>
    <w:basedOn w:val="1"/>
    <w:qFormat/>
    <w:uiPriority w:val="99"/>
    <w:pPr>
      <w:spacing w:before="100" w:beforeAutospacing="1" w:after="100" w:afterAutospacing="1"/>
      <w:textAlignment w:val="center"/>
    </w:pPr>
    <w:rPr>
      <w:rFonts w:ascii="Arial Unicode MS" w:hAnsi="Arial Unicode MS" w:eastAsia="Arial Unicode MS" w:cs="Arial Unicode MS"/>
      <w:b/>
      <w:bCs/>
      <w:sz w:val="32"/>
      <w:szCs w:val="32"/>
    </w:rPr>
  </w:style>
  <w:style w:type="paragraph" w:customStyle="1" w:styleId="1240">
    <w:name w:val="样式 标题 3H3H31H32H33u3条标题1.1.1Heading 3 - oldBold Headbh..."/>
    <w:basedOn w:val="7"/>
    <w:qFormat/>
    <w:uiPriority w:val="99"/>
    <w:pPr>
      <w:widowControl w:val="0"/>
      <w:adjustRightInd w:val="0"/>
      <w:snapToGrid w:val="0"/>
      <w:spacing w:beforeLines="25" w:afterLines="25" w:line="312" w:lineRule="auto"/>
      <w:jc w:val="both"/>
    </w:pPr>
    <w:rPr>
      <w:rFonts w:ascii="宋体" w:cs="宋体"/>
      <w:b/>
      <w:spacing w:val="16"/>
      <w:sz w:val="28"/>
      <w:szCs w:val="20"/>
    </w:rPr>
  </w:style>
  <w:style w:type="paragraph" w:customStyle="1" w:styleId="1241">
    <w:name w:val="样式 标题 7 + 段前: 0.5 行1"/>
    <w:basedOn w:val="11"/>
    <w:qFormat/>
    <w:uiPriority w:val="99"/>
    <w:pPr>
      <w:keepNext w:val="0"/>
      <w:widowControl/>
      <w:tabs>
        <w:tab w:val="left" w:pos="420"/>
        <w:tab w:val="left" w:pos="1820"/>
      </w:tabs>
      <w:adjustRightInd w:val="0"/>
      <w:snapToGrid w:val="0"/>
      <w:spacing w:before="120" w:line="300" w:lineRule="auto"/>
      <w:ind w:left="0" w:firstLine="1120" w:firstLineChars="400"/>
      <w:outlineLvl w:val="3"/>
    </w:pPr>
    <w:rPr>
      <w:rFonts w:ascii="宋体" w:hAnsi="宋体"/>
      <w:b w:val="0"/>
      <w:bCs w:val="0"/>
      <w:color w:val="000000"/>
    </w:rPr>
  </w:style>
  <w:style w:type="paragraph" w:customStyle="1" w:styleId="1242">
    <w:name w:val="xl90"/>
    <w:basedOn w:val="1"/>
    <w:qFormat/>
    <w:uiPriority w:val="99"/>
    <w:pPr>
      <w:pBdr>
        <w:top w:val="single" w:color="auto" w:sz="4" w:space="0"/>
        <w:left w:val="single" w:color="auto" w:sz="8" w:space="0"/>
        <w:bottom w:val="single" w:color="auto" w:sz="8" w:space="0"/>
      </w:pBdr>
      <w:spacing w:before="100" w:beforeAutospacing="1" w:after="100" w:afterAutospacing="1"/>
    </w:pPr>
    <w:rPr>
      <w:rFonts w:ascii="Times New Roman" w:hAnsi="Times New Roman" w:eastAsia="Arial Unicode MS" w:cs="Times New Roman"/>
      <w:sz w:val="16"/>
      <w:szCs w:val="16"/>
    </w:rPr>
  </w:style>
  <w:style w:type="paragraph" w:customStyle="1" w:styleId="1243">
    <w:name w:val="列表 4O"/>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44">
    <w:name w:val="列表 5S"/>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45">
    <w:name w:val="样式1 + 四号 居中"/>
    <w:basedOn w:val="1"/>
    <w:qFormat/>
    <w:uiPriority w:val="0"/>
    <w:pPr>
      <w:widowControl w:val="0"/>
      <w:spacing w:line="336" w:lineRule="auto"/>
      <w:jc w:val="center"/>
    </w:pPr>
    <w:rPr>
      <w:rFonts w:ascii="Times New Roman" w:hAnsi="Times New Roman" w:cs="Times New Roman"/>
      <w:kern w:val="2"/>
      <w:sz w:val="28"/>
      <w:szCs w:val="20"/>
    </w:rPr>
  </w:style>
  <w:style w:type="paragraph" w:customStyle="1" w:styleId="1246">
    <w:name w:val="xl48"/>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247">
    <w:name w:val="xl91"/>
    <w:basedOn w:val="1"/>
    <w:qFormat/>
    <w:uiPriority w:val="99"/>
    <w:pPr>
      <w:pBdr>
        <w:top w:val="single" w:color="auto" w:sz="4" w:space="0"/>
        <w:bottom w:val="single" w:color="auto" w:sz="8"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248">
    <w:name w:val="font13"/>
    <w:basedOn w:val="1"/>
    <w:qFormat/>
    <w:uiPriority w:val="99"/>
    <w:pPr>
      <w:spacing w:before="100" w:beforeAutospacing="1" w:after="100" w:afterAutospacing="1"/>
    </w:pPr>
    <w:rPr>
      <w:rFonts w:ascii="Times New Roman" w:hAnsi="Times New Roman" w:eastAsia="Arial Unicode MS" w:cs="Times New Roman"/>
      <w:b/>
      <w:bCs/>
      <w:sz w:val="20"/>
      <w:szCs w:val="20"/>
    </w:rPr>
  </w:style>
  <w:style w:type="paragraph" w:customStyle="1" w:styleId="1249">
    <w:name w:val="样式 表2.1 + 居中"/>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b/>
      <w:bCs/>
      <w:szCs w:val="20"/>
    </w:rPr>
  </w:style>
  <w:style w:type="paragraph" w:customStyle="1" w:styleId="1250">
    <w:name w:val="列表 D"/>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251">
    <w:name w:val="Char Char Char1 Char Char Char Char Char Char Char Char Char Char"/>
    <w:basedOn w:val="1"/>
    <w:qFormat/>
    <w:uiPriority w:val="99"/>
    <w:pPr>
      <w:widowControl w:val="0"/>
      <w:jc w:val="both"/>
    </w:pPr>
    <w:rPr>
      <w:rFonts w:hAnsi="Times New Roman" w:cs="Times New Roman"/>
      <w:kern w:val="2"/>
      <w:sz w:val="21"/>
      <w:szCs w:val="21"/>
    </w:rPr>
  </w:style>
  <w:style w:type="paragraph" w:customStyle="1" w:styleId="1252">
    <w:name w:val="xl96"/>
    <w:basedOn w:val="1"/>
    <w:qFormat/>
    <w:uiPriority w:val="99"/>
    <w:pPr>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53">
    <w:name w:val="附录1"/>
    <w:basedOn w:val="4"/>
    <w:next w:val="1"/>
    <w:qFormat/>
    <w:uiPriority w:val="99"/>
    <w:pPr>
      <w:keepNext/>
      <w:keepLines/>
      <w:tabs>
        <w:tab w:val="left" w:pos="720"/>
      </w:tabs>
      <w:spacing w:after="220" w:line="700" w:lineRule="exact"/>
      <w:ind w:left="680" w:hanging="680"/>
      <w:jc w:val="center"/>
    </w:pPr>
    <w:rPr>
      <w:rFonts w:ascii="Times New Roman" w:hAnsi="Times New Roman" w:eastAsia="宋体"/>
      <w:spacing w:val="-10"/>
      <w:kern w:val="28"/>
      <w:sz w:val="30"/>
      <w:szCs w:val="20"/>
    </w:rPr>
  </w:style>
  <w:style w:type="paragraph" w:customStyle="1" w:styleId="1254">
    <w:name w:val="Char Char Char1 Char1 Char Char Char1"/>
    <w:basedOn w:val="1"/>
    <w:qFormat/>
    <w:uiPriority w:val="99"/>
    <w:pPr>
      <w:widowControl w:val="0"/>
      <w:jc w:val="both"/>
    </w:pPr>
    <w:rPr>
      <w:rFonts w:ascii="Times New Roman" w:hAnsi="Times New Roman" w:cs="Times New Roman"/>
      <w:kern w:val="2"/>
      <w:sz w:val="21"/>
    </w:rPr>
  </w:style>
  <w:style w:type="paragraph" w:customStyle="1" w:styleId="1255">
    <w:name w:val="Char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256">
    <w:name w:val="xl106"/>
    <w:basedOn w:val="1"/>
    <w:qFormat/>
    <w:uiPriority w:val="99"/>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57">
    <w:name w:val="xl37"/>
    <w:basedOn w:val="1"/>
    <w:qFormat/>
    <w:uiPriority w:val="99"/>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258">
    <w:name w:val="Char1 Char Char Char1"/>
    <w:basedOn w:val="1"/>
    <w:qFormat/>
    <w:uiPriority w:val="99"/>
    <w:pPr>
      <w:widowControl w:val="0"/>
      <w:snapToGrid w:val="0"/>
      <w:spacing w:line="360" w:lineRule="auto"/>
      <w:ind w:firstLine="529" w:firstLineChars="200"/>
      <w:jc w:val="both"/>
    </w:pPr>
    <w:rPr>
      <w:rFonts w:cs="Times New Roman"/>
      <w:b/>
      <w:kern w:val="2"/>
      <w:sz w:val="21"/>
    </w:rPr>
  </w:style>
  <w:style w:type="paragraph" w:customStyle="1" w:styleId="1259">
    <w:name w:val="9点"/>
    <w:basedOn w:val="1"/>
    <w:qFormat/>
    <w:uiPriority w:val="99"/>
    <w:pPr>
      <w:widowControl w:val="0"/>
      <w:spacing w:line="360" w:lineRule="exact"/>
      <w:jc w:val="both"/>
    </w:pPr>
    <w:rPr>
      <w:rFonts w:ascii="Times New Roman" w:hAnsi="Times New Roman" w:cs="Times New Roman"/>
      <w:kern w:val="2"/>
      <w:sz w:val="21"/>
    </w:rPr>
  </w:style>
  <w:style w:type="paragraph" w:customStyle="1" w:styleId="1260">
    <w:name w:val="样式 样式 标题 2h22Header 2nd PageA.B.C.h2 main h标题2 + 仿宋_GB2312 行距......1"/>
    <w:basedOn w:val="971"/>
    <w:qFormat/>
    <w:uiPriority w:val="0"/>
    <w:pPr>
      <w:ind w:firstLine="454"/>
    </w:pPr>
    <w:rPr>
      <w:b/>
      <w:bCs w:val="0"/>
    </w:rPr>
  </w:style>
  <w:style w:type="paragraph" w:customStyle="1" w:styleId="1261">
    <w:name w:val="表格文字（居中）"/>
    <w:basedOn w:val="1"/>
    <w:qFormat/>
    <w:uiPriority w:val="99"/>
    <w:pPr>
      <w:widowControl w:val="0"/>
      <w:jc w:val="center"/>
    </w:pPr>
    <w:rPr>
      <w:rFonts w:ascii="Times New Roman" w:hAnsi="Times New Roman" w:cs="Times New Roman"/>
      <w:kern w:val="2"/>
      <w:sz w:val="21"/>
      <w:szCs w:val="21"/>
    </w:rPr>
  </w:style>
  <w:style w:type="paragraph" w:customStyle="1" w:styleId="1262">
    <w:name w:val="xl72"/>
    <w:basedOn w:val="1"/>
    <w:qFormat/>
    <w:uiPriority w:val="99"/>
    <w:pPr>
      <w:pBdr>
        <w:top w:val="single" w:color="auto" w:sz="8" w:space="0"/>
        <w:right w:val="single" w:color="auto" w:sz="4" w:space="0"/>
      </w:pBdr>
      <w:spacing w:before="100" w:beforeAutospacing="1" w:after="100" w:afterAutospacing="1"/>
      <w:jc w:val="center"/>
    </w:pPr>
    <w:rPr>
      <w:rFonts w:eastAsia="仿宋_GB2312" w:cs="Times New Roman"/>
      <w:position w:val="-6"/>
      <w:szCs w:val="21"/>
    </w:rPr>
  </w:style>
  <w:style w:type="paragraph" w:customStyle="1" w:styleId="1263">
    <w:name w:val="列表 5G"/>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64">
    <w:name w:val="样式 样式 样式 首行缩进:  2 字符 + 首行缩进:  2 字符 + 首行缩进:  2 字符"/>
    <w:basedOn w:val="1141"/>
    <w:qFormat/>
    <w:uiPriority w:val="99"/>
    <w:pPr>
      <w:ind w:firstLine="567"/>
    </w:pPr>
    <w:rPr>
      <w:szCs w:val="20"/>
    </w:rPr>
  </w:style>
  <w:style w:type="paragraph" w:customStyle="1" w:styleId="1265">
    <w:name w:val="IDC A-Head (2nd Line)"/>
    <w:basedOn w:val="1"/>
    <w:next w:val="1"/>
    <w:qFormat/>
    <w:uiPriority w:val="99"/>
    <w:pPr>
      <w:jc w:val="center"/>
    </w:pPr>
    <w:rPr>
      <w:rFonts w:ascii="Times New Roman" w:hAnsi="Times New Roman" w:cs="Times New Roman"/>
      <w:caps/>
      <w:szCs w:val="20"/>
    </w:rPr>
  </w:style>
  <w:style w:type="paragraph" w:customStyle="1" w:styleId="1266">
    <w:name w:val="样式 正文首行缩进 2 +"/>
    <w:basedOn w:val="79"/>
    <w:qFormat/>
    <w:uiPriority w:val="99"/>
    <w:pPr>
      <w:topLinePunct w:val="0"/>
      <w:spacing w:after="0"/>
      <w:ind w:left="0" w:leftChars="0" w:firstLine="420"/>
    </w:pPr>
    <w:rPr>
      <w:rFonts w:ascii="宋体" w:eastAsia="宋体" w:cs="宋体"/>
      <w:sz w:val="21"/>
      <w:szCs w:val="21"/>
    </w:rPr>
  </w:style>
  <w:style w:type="paragraph" w:customStyle="1" w:styleId="1267">
    <w:name w:val="xl213"/>
    <w:basedOn w:val="1"/>
    <w:qFormat/>
    <w:uiPriority w:val="99"/>
    <w:pPr>
      <w:pBdr>
        <w:left w:val="single" w:color="auto" w:sz="4" w:space="0"/>
        <w:right w:val="single" w:color="auto" w:sz="4" w:space="0"/>
      </w:pBdr>
      <w:spacing w:before="100" w:after="100"/>
    </w:pPr>
    <w:rPr>
      <w:rFonts w:ascii="Arial" w:hAnsi="Arial" w:eastAsia="Arial Unicode MS" w:cs="Times New Roman"/>
      <w:szCs w:val="20"/>
    </w:rPr>
  </w:style>
  <w:style w:type="paragraph" w:customStyle="1" w:styleId="1268">
    <w:name w:val="列表 4Z"/>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69">
    <w:name w:val="样式 标题 1章节H11.标题 1一、标题 1（修改）1 南陵标题 1标题标题 1章标题 1b1章文章标题..."/>
    <w:basedOn w:val="4"/>
    <w:qFormat/>
    <w:uiPriority w:val="99"/>
    <w:pPr>
      <w:keepNext/>
      <w:keepLines/>
      <w:tabs>
        <w:tab w:val="left" w:pos="726"/>
      </w:tabs>
      <w:snapToGrid w:val="0"/>
      <w:spacing w:line="700" w:lineRule="exact"/>
      <w:ind w:left="2" w:firstLine="4"/>
      <w:jc w:val="both"/>
    </w:pPr>
    <w:rPr>
      <w:rFonts w:ascii="Times New Roman" w:hAnsi="Times New Roman"/>
      <w:bCs/>
      <w:color w:val="000000"/>
      <w:kern w:val="44"/>
      <w:sz w:val="30"/>
      <w:szCs w:val="20"/>
      <w:lang w:val="zh-CN"/>
    </w:rPr>
  </w:style>
  <w:style w:type="paragraph" w:customStyle="1" w:styleId="1270">
    <w:name w:val="初设正文"/>
    <w:basedOn w:val="1"/>
    <w:qFormat/>
    <w:uiPriority w:val="99"/>
    <w:pPr>
      <w:widowControl w:val="0"/>
      <w:spacing w:after="120" w:line="440" w:lineRule="exact"/>
      <w:ind w:left="425" w:firstLine="425"/>
      <w:jc w:val="both"/>
    </w:pPr>
    <w:rPr>
      <w:rFonts w:ascii="Arial" w:hAnsi="Arial" w:cs="Times New Roman"/>
      <w:szCs w:val="20"/>
    </w:rPr>
  </w:style>
  <w:style w:type="paragraph" w:customStyle="1" w:styleId="1271">
    <w:name w:val="xl82"/>
    <w:basedOn w:val="1"/>
    <w:qFormat/>
    <w:uiPriority w:val="99"/>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72">
    <w:name w:val="页脚2"/>
    <w:basedOn w:val="254"/>
    <w:qFormat/>
    <w:uiPriority w:val="99"/>
    <w:pPr>
      <w:tabs>
        <w:tab w:val="center" w:pos="4153"/>
        <w:tab w:val="right" w:pos="8306"/>
      </w:tabs>
      <w:spacing w:line="240" w:lineRule="atLeast"/>
    </w:pPr>
    <w:rPr>
      <w:sz w:val="18"/>
    </w:rPr>
  </w:style>
  <w:style w:type="paragraph" w:customStyle="1" w:styleId="1273">
    <w:name w:val="样式 标题 2节标题标题2H2h2第一层条节二级 标题 21.1标题 21.1_Heading 2标2标...1"/>
    <w:basedOn w:val="5"/>
    <w:qFormat/>
    <w:uiPriority w:val="0"/>
    <w:pPr>
      <w:widowControl w:val="0"/>
      <w:spacing w:line="720" w:lineRule="auto"/>
    </w:pPr>
    <w:rPr>
      <w:rFonts w:ascii="黑体" w:hAnsi="Times New Roman"/>
      <w:szCs w:val="28"/>
    </w:rPr>
  </w:style>
  <w:style w:type="paragraph" w:customStyle="1" w:styleId="1274">
    <w:name w:val="2"/>
    <w:basedOn w:val="1"/>
    <w:next w:val="41"/>
    <w:qFormat/>
    <w:uiPriority w:val="0"/>
    <w:pPr>
      <w:widowControl w:val="0"/>
      <w:jc w:val="both"/>
    </w:pPr>
    <w:rPr>
      <w:rFonts w:hAnsi="Courier New" w:cs="Courier New"/>
      <w:kern w:val="2"/>
      <w:sz w:val="21"/>
      <w:szCs w:val="21"/>
    </w:rPr>
  </w:style>
  <w:style w:type="paragraph" w:customStyle="1" w:styleId="1275">
    <w:name w:val="列表 2H"/>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276">
    <w:name w:val="xl65"/>
    <w:basedOn w:val="1"/>
    <w:qFormat/>
    <w:uiPriority w:val="99"/>
    <w:pPr>
      <w:pBdr>
        <w:bottom w:val="single" w:color="auto" w:sz="8" w:space="0"/>
      </w:pBdr>
      <w:spacing w:before="100" w:beforeAutospacing="1" w:after="100" w:afterAutospacing="1"/>
      <w:jc w:val="center"/>
    </w:pPr>
    <w:rPr>
      <w:rFonts w:eastAsia="仿宋_GB2312" w:cs="Times New Roman"/>
      <w:b/>
      <w:bCs/>
      <w:position w:val="-6"/>
    </w:rPr>
  </w:style>
  <w:style w:type="paragraph" w:customStyle="1" w:styleId="1277">
    <w:name w:val="三级条标题"/>
    <w:basedOn w:val="1148"/>
    <w:next w:val="1"/>
    <w:qFormat/>
    <w:uiPriority w:val="99"/>
    <w:pPr>
      <w:tabs>
        <w:tab w:val="left" w:pos="992"/>
        <w:tab w:val="left" w:pos="2100"/>
        <w:tab w:val="clear" w:pos="851"/>
        <w:tab w:val="clear" w:pos="1680"/>
      </w:tabs>
      <w:ind w:left="2100"/>
      <w:outlineLvl w:val="4"/>
    </w:pPr>
  </w:style>
  <w:style w:type="paragraph" w:customStyle="1" w:styleId="1278">
    <w:name w:val="四级条标题"/>
    <w:basedOn w:val="1277"/>
    <w:next w:val="1"/>
    <w:qFormat/>
    <w:uiPriority w:val="99"/>
    <w:pPr>
      <w:tabs>
        <w:tab w:val="left" w:pos="1134"/>
        <w:tab w:val="left" w:pos="2520"/>
        <w:tab w:val="clear" w:pos="992"/>
        <w:tab w:val="clear" w:pos="2100"/>
      </w:tabs>
      <w:ind w:left="2520"/>
      <w:outlineLvl w:val="5"/>
    </w:pPr>
  </w:style>
  <w:style w:type="paragraph" w:customStyle="1" w:styleId="1279">
    <w:name w:val="前言、引言标题"/>
    <w:next w:val="1"/>
    <w:qFormat/>
    <w:uiPriority w:val="99"/>
    <w:pPr>
      <w:shd w:val="clear" w:color="FFFFFF" w:fill="FFFFFF"/>
      <w:tabs>
        <w:tab w:val="left" w:pos="72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280">
    <w:name w:val="Char Char Char Char Char Char1 Char Char Char Char Char Char Char Char Char1 Char Char Char Char Char Char Char Char Char Char Char Char Char"/>
    <w:basedOn w:val="1"/>
    <w:qFormat/>
    <w:uiPriority w:val="0"/>
    <w:rPr>
      <w:rFonts w:cs="Times New Roman"/>
    </w:rPr>
  </w:style>
  <w:style w:type="paragraph" w:customStyle="1" w:styleId="1281">
    <w:name w:val="表第一列"/>
    <w:basedOn w:val="78"/>
    <w:qFormat/>
    <w:uiPriority w:val="0"/>
    <w:pPr>
      <w:keepNext/>
      <w:keepLines/>
      <w:widowControl w:val="0"/>
      <w:tabs>
        <w:tab w:val="left" w:pos="1727"/>
        <w:tab w:val="left" w:pos="1884"/>
        <w:tab w:val="left" w:pos="2940"/>
      </w:tabs>
      <w:adjustRightInd w:val="0"/>
      <w:snapToGrid w:val="0"/>
      <w:spacing w:after="0" w:line="0" w:lineRule="atLeast"/>
      <w:ind w:firstLine="0" w:firstLineChars="0"/>
      <w:jc w:val="center"/>
    </w:pPr>
    <w:rPr>
      <w:spacing w:val="-4"/>
    </w:rPr>
  </w:style>
  <w:style w:type="paragraph" w:customStyle="1" w:styleId="1282">
    <w:name w:val="列表 4K"/>
    <w:basedOn w:val="69"/>
    <w:qFormat/>
    <w:uiPriority w:val="99"/>
    <w:pPr>
      <w:tabs>
        <w:tab w:val="left" w:pos="1000"/>
      </w:tabs>
      <w:topLinePunct w:val="0"/>
      <w:spacing w:beforeLines="50" w:afterLines="30" w:line="288" w:lineRule="auto"/>
      <w:ind w:left="1000" w:leftChars="0" w:hanging="720" w:firstLineChars="0"/>
      <w:jc w:val="both"/>
    </w:pPr>
    <w:rPr>
      <w:rFonts w:ascii="Arial" w:hAnsi="Arial" w:eastAsia="宋体"/>
      <w:color w:val="CCFFFF"/>
      <w:sz w:val="24"/>
    </w:rPr>
  </w:style>
  <w:style w:type="paragraph" w:customStyle="1" w:styleId="1283">
    <w:name w:val="Char2 Char Char Char Char Char Char Char Char Char"/>
    <w:basedOn w:val="1"/>
    <w:qFormat/>
    <w:uiPriority w:val="0"/>
    <w:pPr>
      <w:widowControl w:val="0"/>
      <w:spacing w:line="360" w:lineRule="auto"/>
      <w:ind w:firstLine="200" w:firstLineChars="200"/>
      <w:jc w:val="both"/>
    </w:pPr>
    <w:rPr>
      <w:kern w:val="2"/>
    </w:rPr>
  </w:style>
  <w:style w:type="paragraph" w:customStyle="1" w:styleId="1284">
    <w:name w:val="样式 内容部分 + 段前: 1 行 段后: 1 行"/>
    <w:basedOn w:val="1"/>
    <w:qFormat/>
    <w:uiPriority w:val="0"/>
    <w:pPr>
      <w:widowControl w:val="0"/>
      <w:tabs>
        <w:tab w:val="right" w:pos="7980"/>
      </w:tabs>
      <w:snapToGrid w:val="0"/>
      <w:spacing w:beforeLines="50" w:afterLines="100" w:line="560" w:lineRule="exact"/>
      <w:jc w:val="both"/>
    </w:pPr>
    <w:rPr>
      <w:rFonts w:ascii="黑体" w:hAnsi="Times New Roman" w:eastAsia="黑体"/>
      <w:kern w:val="36"/>
      <w:sz w:val="28"/>
      <w:szCs w:val="20"/>
    </w:rPr>
  </w:style>
  <w:style w:type="paragraph" w:customStyle="1" w:styleId="1285">
    <w:name w:val="Char Char Char1 Char11"/>
    <w:basedOn w:val="1"/>
    <w:qFormat/>
    <w:uiPriority w:val="99"/>
    <w:pPr>
      <w:widowControl w:val="0"/>
      <w:jc w:val="both"/>
    </w:pPr>
    <w:rPr>
      <w:rFonts w:ascii="Times New Roman" w:hAnsi="Times New Roman" w:cs="Times New Roman"/>
      <w:kern w:val="2"/>
      <w:sz w:val="21"/>
    </w:rPr>
  </w:style>
  <w:style w:type="character" w:customStyle="1" w:styleId="1286">
    <w:name w:val="z-窗体底端 Char2"/>
    <w:semiHidden/>
    <w:qFormat/>
    <w:uiPriority w:val="99"/>
    <w:rPr>
      <w:rFonts w:ascii="Arial" w:hAnsi="Arial" w:cs="Arial"/>
      <w:vanish/>
      <w:sz w:val="16"/>
      <w:szCs w:val="16"/>
    </w:rPr>
  </w:style>
  <w:style w:type="paragraph" w:customStyle="1" w:styleId="1287">
    <w:name w:val="xl95"/>
    <w:basedOn w:val="1"/>
    <w:qFormat/>
    <w:uiPriority w:val="99"/>
    <w:pPr>
      <w:pBdr>
        <w:top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288">
    <w:name w:val="内蒙1"/>
    <w:basedOn w:val="4"/>
    <w:qFormat/>
    <w:uiPriority w:val="99"/>
    <w:pPr>
      <w:keepNext/>
      <w:widowControl w:val="0"/>
      <w:autoSpaceDE w:val="0"/>
      <w:autoSpaceDN w:val="0"/>
      <w:adjustRightInd w:val="0"/>
      <w:spacing w:line="480" w:lineRule="exact"/>
    </w:pPr>
    <w:rPr>
      <w:rFonts w:ascii="Times New Roman" w:hAnsi="Times New Roman"/>
      <w:color w:val="FF0000"/>
      <w:spacing w:val="20"/>
      <w:kern w:val="0"/>
      <w:szCs w:val="32"/>
    </w:rPr>
  </w:style>
  <w:style w:type="paragraph" w:customStyle="1" w:styleId="1289">
    <w:name w:val="xl43"/>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290">
    <w:name w:val="表标题5.16"/>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291">
    <w:name w:val="表7.4"/>
    <w:basedOn w:val="1"/>
    <w:qFormat/>
    <w:uiPriority w:val="99"/>
    <w:pPr>
      <w:widowControl w:val="0"/>
      <w:tabs>
        <w:tab w:val="left" w:pos="3660"/>
        <w:tab w:val="center" w:pos="4060"/>
        <w:tab w:val="right" w:pos="8261"/>
      </w:tabs>
      <w:suppressAutoHyphens/>
      <w:adjustRightInd w:val="0"/>
      <w:spacing w:beforeLines="100" w:line="0" w:lineRule="atLeast"/>
      <w:ind w:left="6480"/>
      <w:jc w:val="center"/>
    </w:pPr>
    <w:rPr>
      <w:rFonts w:ascii="黑体" w:hAnsi="Times New Roman" w:eastAsia="黑体"/>
      <w:b/>
      <w:bCs/>
      <w:spacing w:val="6"/>
      <w:szCs w:val="20"/>
    </w:rPr>
  </w:style>
  <w:style w:type="paragraph" w:customStyle="1" w:styleId="1292">
    <w:name w:val="样式 样式 燕山正文 + 首行缩进:  2 字符 + 首行缩进:  2 字符"/>
    <w:basedOn w:val="996"/>
    <w:qFormat/>
    <w:uiPriority w:val="99"/>
    <w:pPr>
      <w:jc w:val="both"/>
    </w:pPr>
  </w:style>
  <w:style w:type="paragraph" w:customStyle="1" w:styleId="1293">
    <w:name w:val="biaoq"/>
    <w:basedOn w:val="1"/>
    <w:qFormat/>
    <w:uiPriority w:val="99"/>
    <w:pPr>
      <w:spacing w:before="100" w:beforeAutospacing="1" w:after="100" w:afterAutospacing="1"/>
    </w:pPr>
    <w:rPr>
      <w:rFonts w:cs="Times New Roman"/>
      <w:b/>
      <w:color w:val="333366"/>
      <w:sz w:val="18"/>
      <w:szCs w:val="20"/>
    </w:rPr>
  </w:style>
  <w:style w:type="paragraph" w:customStyle="1" w:styleId="1294">
    <w:name w:val="Char Char Char Char Char Char1 Char Char Char Char"/>
    <w:basedOn w:val="1"/>
    <w:qFormat/>
    <w:uiPriority w:val="99"/>
    <w:pPr>
      <w:widowControl w:val="0"/>
      <w:jc w:val="both"/>
    </w:pPr>
    <w:rPr>
      <w:rFonts w:ascii="Times New Roman" w:hAnsi="Times New Roman" w:cs="Times New Roman"/>
      <w:kern w:val="2"/>
      <w:sz w:val="21"/>
    </w:rPr>
  </w:style>
  <w:style w:type="paragraph" w:customStyle="1" w:styleId="1295">
    <w:name w:val="列表 4P"/>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96">
    <w:name w:val="样式 标题 1 + 黑体 小三 非加粗"/>
    <w:basedOn w:val="4"/>
    <w:qFormat/>
    <w:uiPriority w:val="99"/>
    <w:pPr>
      <w:keepNext/>
      <w:keepLines/>
      <w:widowControl w:val="0"/>
      <w:tabs>
        <w:tab w:val="left" w:pos="432"/>
      </w:tabs>
      <w:spacing w:before="340" w:after="330" w:line="578" w:lineRule="auto"/>
      <w:ind w:left="432" w:hanging="432"/>
      <w:jc w:val="both"/>
    </w:pPr>
    <w:rPr>
      <w:rFonts w:ascii="黑体" w:hAnsi="黑体"/>
      <w:b/>
      <w:kern w:val="44"/>
      <w:sz w:val="30"/>
      <w:szCs w:val="44"/>
    </w:rPr>
  </w:style>
  <w:style w:type="paragraph" w:customStyle="1" w:styleId="1297">
    <w:name w:val="xl81"/>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98">
    <w:name w:val="Section Subtitle"/>
    <w:basedOn w:val="1024"/>
    <w:next w:val="1"/>
    <w:qFormat/>
    <w:uiPriority w:val="99"/>
    <w:pPr>
      <w:pBdr>
        <w:top w:val="none" w:color="auto" w:sz="0" w:space="0"/>
      </w:pBdr>
    </w:pPr>
    <w:rPr>
      <w:b w:val="0"/>
      <w:spacing w:val="0"/>
      <w:position w:val="6"/>
    </w:rPr>
  </w:style>
  <w:style w:type="paragraph" w:customStyle="1" w:styleId="1299">
    <w:name w:val="表3.8-1"/>
    <w:basedOn w:val="817"/>
    <w:qFormat/>
    <w:uiPriority w:val="99"/>
    <w:pPr>
      <w:tabs>
        <w:tab w:val="left" w:pos="420"/>
        <w:tab w:val="clear" w:pos="4060"/>
        <w:tab w:val="clear" w:pos="8261"/>
      </w:tabs>
    </w:pPr>
  </w:style>
  <w:style w:type="paragraph" w:customStyle="1" w:styleId="1300">
    <w:name w:val="样式2"/>
    <w:basedOn w:val="8"/>
    <w:qFormat/>
    <w:uiPriority w:val="99"/>
    <w:pPr>
      <w:widowControl w:val="0"/>
      <w:tabs>
        <w:tab w:val="left" w:pos="360"/>
      </w:tabs>
      <w:spacing w:line="360" w:lineRule="auto"/>
      <w:jc w:val="both"/>
    </w:pPr>
    <w:rPr>
      <w:rFonts w:ascii="黑体" w:hAnsi="Arial" w:eastAsia="黑体" w:cs="Times New Roman"/>
      <w:bCs/>
      <w:kern w:val="2"/>
      <w:sz w:val="28"/>
      <w:szCs w:val="28"/>
      <w:lang w:val="en-US"/>
    </w:rPr>
  </w:style>
  <w:style w:type="paragraph" w:customStyle="1" w:styleId="1301">
    <w:name w:val="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1302">
    <w:name w:val="样式 正文首行缩进 + 首行缩进:  2 字符1"/>
    <w:basedOn w:val="78"/>
    <w:qFormat/>
    <w:uiPriority w:val="99"/>
    <w:pPr>
      <w:widowControl w:val="0"/>
      <w:spacing w:after="0" w:line="360" w:lineRule="auto"/>
      <w:ind w:firstLine="480" w:firstLineChars="200"/>
    </w:pPr>
    <w:rPr>
      <w:rFonts w:ascii="Times New Roman" w:hAnsi="Times New Roman"/>
      <w:sz w:val="24"/>
      <w:szCs w:val="24"/>
    </w:rPr>
  </w:style>
  <w:style w:type="paragraph" w:customStyle="1" w:styleId="1303">
    <w:name w:val="表格文字中"/>
    <w:basedOn w:val="1"/>
    <w:qFormat/>
    <w:uiPriority w:val="99"/>
    <w:pPr>
      <w:widowControl w:val="0"/>
      <w:tabs>
        <w:tab w:val="left" w:pos="1727"/>
        <w:tab w:val="left" w:pos="1884"/>
      </w:tabs>
      <w:adjustRightInd w:val="0"/>
      <w:snapToGrid w:val="0"/>
      <w:jc w:val="center"/>
    </w:pPr>
    <w:rPr>
      <w:rFonts w:cs="Times New Roman"/>
      <w:color w:val="000000"/>
    </w:rPr>
  </w:style>
  <w:style w:type="paragraph" w:customStyle="1" w:styleId="1304">
    <w:name w:val="Char4 Char Char Char Char Char Char1"/>
    <w:basedOn w:val="1"/>
    <w:qFormat/>
    <w:uiPriority w:val="0"/>
    <w:pPr>
      <w:widowControl w:val="0"/>
      <w:spacing w:line="360" w:lineRule="auto"/>
      <w:ind w:firstLine="200" w:firstLineChars="200"/>
      <w:jc w:val="both"/>
    </w:pPr>
    <w:rPr>
      <w:kern w:val="2"/>
    </w:rPr>
  </w:style>
  <w:style w:type="paragraph" w:customStyle="1" w:styleId="1305">
    <w:name w:val="Body Text 22"/>
    <w:basedOn w:val="1"/>
    <w:qFormat/>
    <w:uiPriority w:val="99"/>
    <w:pPr>
      <w:widowControl w:val="0"/>
      <w:adjustRightInd w:val="0"/>
      <w:spacing w:line="440" w:lineRule="atLeast"/>
      <w:ind w:firstLine="480"/>
      <w:jc w:val="both"/>
      <w:textAlignment w:val="baseline"/>
    </w:pPr>
    <w:rPr>
      <w:rFonts w:ascii="Times New Roman" w:hAnsi="Times New Roman" w:eastAsia="仿宋_GB2312" w:cs="Times New Roman"/>
      <w:kern w:val="2"/>
      <w:szCs w:val="20"/>
    </w:rPr>
  </w:style>
  <w:style w:type="paragraph" w:customStyle="1" w:styleId="1306">
    <w:name w:val="表标题7.2"/>
    <w:basedOn w:val="1307"/>
    <w:qFormat/>
    <w:uiPriority w:val="99"/>
    <w:pPr>
      <w:tabs>
        <w:tab w:val="left" w:pos="726"/>
        <w:tab w:val="center" w:pos="4060"/>
        <w:tab w:val="right" w:pos="8261"/>
      </w:tabs>
      <w:ind w:left="2" w:firstLine="4"/>
    </w:pPr>
    <w:rPr>
      <w:szCs w:val="24"/>
    </w:rPr>
  </w:style>
  <w:style w:type="paragraph" w:customStyle="1" w:styleId="1307">
    <w:name w:val="表标题8.3"/>
    <w:basedOn w:val="530"/>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szCs w:val="20"/>
    </w:rPr>
  </w:style>
  <w:style w:type="paragraph" w:customStyle="1" w:styleId="1308">
    <w:name w:val="样式 燕山正文 + 首行缩进:  3.5 字符2"/>
    <w:basedOn w:val="763"/>
    <w:qFormat/>
    <w:uiPriority w:val="99"/>
    <w:pPr>
      <w:shd w:val="clear" w:color="auto" w:fill="auto"/>
      <w:jc w:val="both"/>
    </w:pPr>
    <w:rPr>
      <w:color w:val="000000"/>
      <w:szCs w:val="24"/>
    </w:rPr>
  </w:style>
  <w:style w:type="paragraph" w:customStyle="1" w:styleId="1309">
    <w:name w:val="表格样式1"/>
    <w:basedOn w:val="1"/>
    <w:qFormat/>
    <w:uiPriority w:val="99"/>
    <w:pPr>
      <w:widowControl w:val="0"/>
      <w:spacing w:line="360" w:lineRule="exact"/>
      <w:jc w:val="center"/>
    </w:pPr>
    <w:rPr>
      <w:rFonts w:ascii="Times New Roman" w:hAnsi="Times New Roman" w:eastAsia="仿宋_GB2312" w:cs="Times New Roman"/>
      <w:color w:val="000080"/>
      <w:kern w:val="2"/>
      <w:sz w:val="21"/>
    </w:rPr>
  </w:style>
  <w:style w:type="paragraph" w:customStyle="1" w:styleId="1310">
    <w:name w:val="font17"/>
    <w:basedOn w:val="1"/>
    <w:qFormat/>
    <w:uiPriority w:val="99"/>
    <w:pPr>
      <w:spacing w:before="100" w:beforeAutospacing="1" w:after="100" w:afterAutospacing="1"/>
    </w:pPr>
    <w:rPr>
      <w:rFonts w:ascii="Times New Roman" w:hAnsi="Times New Roman" w:eastAsia="Arial Unicode MS" w:cs="Times New Roman"/>
      <w:sz w:val="20"/>
      <w:szCs w:val="20"/>
      <w:u w:val="single"/>
    </w:rPr>
  </w:style>
  <w:style w:type="paragraph" w:customStyle="1" w:styleId="1311">
    <w:name w:val="我的正文"/>
    <w:basedOn w:val="1"/>
    <w:qFormat/>
    <w:uiPriority w:val="99"/>
    <w:pPr>
      <w:widowControl w:val="0"/>
      <w:jc w:val="both"/>
    </w:pPr>
    <w:rPr>
      <w:rFonts w:ascii="Times New Roman" w:hAnsi="Times New Roman" w:cs="Times New Roman"/>
      <w:kern w:val="2"/>
      <w:szCs w:val="20"/>
    </w:rPr>
  </w:style>
  <w:style w:type="paragraph" w:customStyle="1" w:styleId="1312">
    <w:name w:val="6表格"/>
    <w:basedOn w:val="1"/>
    <w:qFormat/>
    <w:uiPriority w:val="99"/>
    <w:pPr>
      <w:widowControl w:val="0"/>
      <w:adjustRightInd w:val="0"/>
      <w:snapToGrid w:val="0"/>
      <w:spacing w:before="60" w:line="312" w:lineRule="auto"/>
      <w:jc w:val="center"/>
    </w:pPr>
    <w:rPr>
      <w:rFonts w:ascii="Times New Roman" w:hAnsi="Times New Roman" w:cs="Times New Roman"/>
      <w:snapToGrid w:val="0"/>
      <w:sz w:val="21"/>
      <w:szCs w:val="20"/>
    </w:rPr>
  </w:style>
  <w:style w:type="paragraph" w:customStyle="1" w:styleId="1313">
    <w:name w:val="五级条标题"/>
    <w:basedOn w:val="1278"/>
    <w:next w:val="1"/>
    <w:qFormat/>
    <w:uiPriority w:val="99"/>
    <w:pPr>
      <w:tabs>
        <w:tab w:val="left" w:pos="1276"/>
        <w:tab w:val="left" w:pos="2940"/>
        <w:tab w:val="clear" w:pos="1134"/>
        <w:tab w:val="clear" w:pos="1260"/>
        <w:tab w:val="clear" w:pos="2520"/>
      </w:tabs>
      <w:ind w:left="2940"/>
      <w:outlineLvl w:val="6"/>
    </w:pPr>
  </w:style>
  <w:style w:type="paragraph" w:customStyle="1" w:styleId="1314">
    <w:name w:val="CM59"/>
    <w:basedOn w:val="101"/>
    <w:next w:val="101"/>
    <w:qFormat/>
    <w:uiPriority w:val="99"/>
    <w:pPr>
      <w:spacing w:after="498"/>
    </w:pPr>
    <w:rPr>
      <w:color w:val="auto"/>
    </w:rPr>
  </w:style>
  <w:style w:type="paragraph" w:customStyle="1" w:styleId="1315">
    <w:name w:val="列表 5L"/>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16">
    <w:name w:val="表内序号"/>
    <w:basedOn w:val="1"/>
    <w:qFormat/>
    <w:uiPriority w:val="99"/>
    <w:pPr>
      <w:tabs>
        <w:tab w:val="left" w:pos="425"/>
      </w:tabs>
      <w:adjustRightInd w:val="0"/>
      <w:snapToGrid w:val="0"/>
      <w:spacing w:line="360" w:lineRule="auto"/>
      <w:ind w:left="425" w:hanging="425"/>
    </w:pPr>
    <w:rPr>
      <w:rFonts w:ascii="Times New Roman" w:hAnsi="Times New Roman" w:cs="Times New Roman"/>
      <w:szCs w:val="20"/>
    </w:rPr>
  </w:style>
  <w:style w:type="paragraph" w:customStyle="1" w:styleId="1317">
    <w:name w:val="样式 标题 41.1.1.1标题 4.1.1.1.1标题 4 Char款1.1.1.1 Char标4段1.1.1..."/>
    <w:basedOn w:val="8"/>
    <w:qFormat/>
    <w:uiPriority w:val="99"/>
    <w:pPr>
      <w:widowControl w:val="0"/>
      <w:tabs>
        <w:tab w:val="left" w:pos="0"/>
        <w:tab w:val="left" w:pos="360"/>
      </w:tabs>
      <w:spacing w:before="120" w:after="120" w:line="312" w:lineRule="auto"/>
      <w:ind w:left="284" w:hanging="284"/>
      <w:jc w:val="both"/>
    </w:pPr>
    <w:rPr>
      <w:rFonts w:ascii="Arial" w:hAnsi="Arial" w:eastAsia="黑体"/>
      <w:b/>
      <w:bCs/>
      <w:kern w:val="2"/>
      <w:lang w:val="en-US"/>
    </w:rPr>
  </w:style>
  <w:style w:type="paragraph" w:customStyle="1" w:styleId="1318">
    <w:name w:val="样式6"/>
    <w:basedOn w:val="1"/>
    <w:link w:val="1319"/>
    <w:qFormat/>
    <w:uiPriority w:val="99"/>
    <w:pPr>
      <w:widowControl w:val="0"/>
      <w:adjustRightInd w:val="0"/>
      <w:snapToGrid w:val="0"/>
      <w:spacing w:line="360" w:lineRule="auto"/>
      <w:ind w:firstLine="200" w:firstLineChars="200"/>
      <w:textAlignment w:val="baseline"/>
    </w:pPr>
    <w:rPr>
      <w:rFonts w:hAnsi="Times New Roman" w:cs="Times New Roman"/>
    </w:rPr>
  </w:style>
  <w:style w:type="character" w:customStyle="1" w:styleId="1319">
    <w:name w:val="样式6 Char"/>
    <w:link w:val="1318"/>
    <w:qFormat/>
    <w:uiPriority w:val="99"/>
    <w:rPr>
      <w:rFonts w:ascii="宋体"/>
      <w:sz w:val="24"/>
      <w:szCs w:val="24"/>
    </w:rPr>
  </w:style>
  <w:style w:type="paragraph" w:customStyle="1" w:styleId="1320">
    <w:name w:val="Char4 Char Char Char Char Char Char12"/>
    <w:basedOn w:val="1"/>
    <w:qFormat/>
    <w:uiPriority w:val="99"/>
    <w:pPr>
      <w:widowControl w:val="0"/>
      <w:spacing w:line="360" w:lineRule="auto"/>
      <w:ind w:firstLine="200" w:firstLineChars="200"/>
      <w:jc w:val="both"/>
    </w:pPr>
    <w:rPr>
      <w:kern w:val="2"/>
    </w:rPr>
  </w:style>
  <w:style w:type="paragraph" w:customStyle="1" w:styleId="1321">
    <w:name w:val="源代码"/>
    <w:basedOn w:val="1"/>
    <w:qFormat/>
    <w:uiPriority w:val="0"/>
    <w:pPr>
      <w:kinsoku w:val="0"/>
      <w:overflowPunct w:val="0"/>
      <w:autoSpaceDE w:val="0"/>
      <w:autoSpaceDN w:val="0"/>
      <w:adjustRightInd w:val="0"/>
      <w:snapToGrid w:val="0"/>
    </w:pPr>
    <w:rPr>
      <w:rFonts w:ascii="Courier New" w:hAnsi="Courier New" w:cs="Times New Roman"/>
      <w:b/>
      <w:snapToGrid w:val="0"/>
    </w:rPr>
  </w:style>
  <w:style w:type="paragraph" w:customStyle="1" w:styleId="1322">
    <w:name w:val="德胜二级标题"/>
    <w:basedOn w:val="1"/>
    <w:qFormat/>
    <w:uiPriority w:val="99"/>
    <w:pPr>
      <w:keepNext/>
      <w:keepLines/>
      <w:widowControl w:val="0"/>
      <w:adjustRightInd w:val="0"/>
      <w:snapToGrid w:val="0"/>
      <w:spacing w:line="360" w:lineRule="auto"/>
      <w:outlineLvl w:val="1"/>
    </w:pPr>
    <w:rPr>
      <w:rFonts w:ascii="Times New Roman" w:hAnsi="Times New Roman" w:cs="Times New Roman"/>
      <w:b/>
      <w:bCs/>
      <w:snapToGrid w:val="0"/>
      <w:color w:val="0000FF"/>
      <w:sz w:val="28"/>
      <w:szCs w:val="28"/>
    </w:rPr>
  </w:style>
  <w:style w:type="paragraph" w:customStyle="1" w:styleId="1323">
    <w:name w:val="City/State"/>
    <w:basedOn w:val="2"/>
    <w:next w:val="2"/>
    <w:qFormat/>
    <w:uiPriority w:val="99"/>
    <w:pPr>
      <w:keepNext/>
      <w:spacing w:after="220" w:line="220" w:lineRule="atLeast"/>
      <w:ind w:right="-360"/>
    </w:pPr>
    <w:rPr>
      <w:rFonts w:ascii="Times New Roman" w:hAnsi="Times New Roman"/>
      <w:color w:val="auto"/>
      <w:kern w:val="0"/>
      <w:sz w:val="20"/>
      <w:szCs w:val="20"/>
    </w:rPr>
  </w:style>
  <w:style w:type="paragraph" w:customStyle="1" w:styleId="1324">
    <w:name w:val="BG1"/>
    <w:basedOn w:val="1"/>
    <w:qFormat/>
    <w:uiPriority w:val="99"/>
    <w:pPr>
      <w:widowControl w:val="0"/>
      <w:adjustRightInd w:val="0"/>
      <w:jc w:val="center"/>
    </w:pPr>
    <w:rPr>
      <w:rFonts w:ascii="Times New Roman" w:hAnsi="Times New Roman" w:cs="Times New Roman"/>
      <w:spacing w:val="20"/>
      <w:kern w:val="2"/>
      <w:sz w:val="21"/>
      <w:szCs w:val="20"/>
    </w:rPr>
  </w:style>
  <w:style w:type="paragraph" w:customStyle="1" w:styleId="1325">
    <w:name w:val="Char Char Char Char Char Char Char Char Char Char Char Char Char Char Char Char Char1"/>
    <w:basedOn w:val="1"/>
    <w:qFormat/>
    <w:uiPriority w:val="99"/>
    <w:pPr>
      <w:widowControl w:val="0"/>
      <w:jc w:val="both"/>
    </w:pPr>
    <w:rPr>
      <w:rFonts w:ascii="Times New Roman" w:hAnsi="Times New Roman" w:eastAsia="仿宋_GB2312" w:cs="Times New Roman"/>
      <w:kern w:val="2"/>
      <w:sz w:val="21"/>
      <w:szCs w:val="21"/>
    </w:rPr>
  </w:style>
  <w:style w:type="paragraph" w:customStyle="1" w:styleId="1326">
    <w:name w:val="列表 3E"/>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27">
    <w:name w:val="规划正文样式"/>
    <w:basedOn w:val="1"/>
    <w:qFormat/>
    <w:uiPriority w:val="99"/>
    <w:pPr>
      <w:widowControl w:val="0"/>
      <w:spacing w:line="400" w:lineRule="exact"/>
      <w:ind w:firstLine="480" w:firstLineChars="200"/>
      <w:jc w:val="both"/>
    </w:pPr>
    <w:rPr>
      <w:rFonts w:ascii="Times New Roman" w:hAnsi="Times New Roman" w:cs="Times New Roman"/>
      <w:kern w:val="2"/>
    </w:rPr>
  </w:style>
  <w:style w:type="paragraph" w:customStyle="1" w:styleId="1328">
    <w:name w:val="xl28"/>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top"/>
    </w:pPr>
    <w:rPr>
      <w:rFonts w:cs="Times New Roman"/>
      <w:szCs w:val="20"/>
    </w:rPr>
  </w:style>
  <w:style w:type="paragraph" w:customStyle="1" w:styleId="1329">
    <w:name w:val="图题7"/>
    <w:basedOn w:val="1"/>
    <w:qFormat/>
    <w:uiPriority w:val="99"/>
    <w:pPr>
      <w:widowControl w:val="0"/>
      <w:adjustRightInd w:val="0"/>
      <w:snapToGrid w:val="0"/>
      <w:spacing w:line="360" w:lineRule="auto"/>
      <w:jc w:val="center"/>
    </w:pPr>
    <w:rPr>
      <w:rFonts w:ascii="Times New Roman" w:hAnsi="Times New Roman" w:eastAsia="仿宋_GB2312" w:cs="Times New Roman"/>
      <w:b/>
      <w:snapToGrid w:val="0"/>
    </w:rPr>
  </w:style>
  <w:style w:type="paragraph" w:customStyle="1" w:styleId="1330">
    <w:name w:val="Address 2"/>
    <w:basedOn w:val="1"/>
    <w:qFormat/>
    <w:uiPriority w:val="99"/>
    <w:pPr>
      <w:spacing w:line="200" w:lineRule="atLeast"/>
    </w:pPr>
    <w:rPr>
      <w:rFonts w:ascii="Times New Roman" w:hAnsi="Times New Roman" w:cs="Times New Roman"/>
      <w:sz w:val="16"/>
      <w:szCs w:val="20"/>
    </w:rPr>
  </w:style>
  <w:style w:type="paragraph" w:customStyle="1" w:styleId="1331">
    <w:name w:val="xl107"/>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332">
    <w:name w:val="列表 3B"/>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33">
    <w:name w:val="样式 (符号) 宋体 首行缩进:  2 字符1"/>
    <w:basedOn w:val="1"/>
    <w:qFormat/>
    <w:uiPriority w:val="99"/>
    <w:pPr>
      <w:widowControl w:val="0"/>
      <w:ind w:firstLine="567" w:firstLineChars="200"/>
      <w:jc w:val="both"/>
    </w:pPr>
    <w:rPr>
      <w:kern w:val="2"/>
      <w:sz w:val="27"/>
      <w:szCs w:val="20"/>
    </w:rPr>
  </w:style>
  <w:style w:type="paragraph" w:customStyle="1" w:styleId="1334">
    <w:name w:val="表中文字 + 居中"/>
    <w:basedOn w:val="1022"/>
    <w:qFormat/>
    <w:uiPriority w:val="99"/>
  </w:style>
  <w:style w:type="paragraph" w:customStyle="1" w:styleId="1335">
    <w:name w:val="列表 2K"/>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336">
    <w:name w:val="Objective"/>
    <w:basedOn w:val="1"/>
    <w:next w:val="2"/>
    <w:qFormat/>
    <w:uiPriority w:val="99"/>
    <w:pPr>
      <w:spacing w:before="220" w:after="220" w:line="220" w:lineRule="atLeast"/>
    </w:pPr>
    <w:rPr>
      <w:rFonts w:ascii="Times New Roman" w:hAnsi="Times New Roman" w:cs="Times New Roman"/>
      <w:sz w:val="20"/>
      <w:szCs w:val="20"/>
    </w:rPr>
  </w:style>
  <w:style w:type="paragraph" w:customStyle="1" w:styleId="1337">
    <w:name w:val="居中"/>
    <w:basedOn w:val="1"/>
    <w:qFormat/>
    <w:uiPriority w:val="99"/>
    <w:pPr>
      <w:widowControl w:val="0"/>
      <w:spacing w:before="40" w:after="40" w:line="480" w:lineRule="exact"/>
      <w:jc w:val="center"/>
    </w:pPr>
    <w:rPr>
      <w:rFonts w:ascii="Arial" w:hAnsi="Arial" w:cs="Times New Roman"/>
      <w:kern w:val="2"/>
      <w:szCs w:val="20"/>
    </w:rPr>
  </w:style>
  <w:style w:type="paragraph" w:customStyle="1" w:styleId="1338">
    <w:name w:val="CM15"/>
    <w:basedOn w:val="1"/>
    <w:next w:val="1"/>
    <w:qFormat/>
    <w:uiPriority w:val="99"/>
    <w:pPr>
      <w:widowControl w:val="0"/>
      <w:autoSpaceDE w:val="0"/>
      <w:autoSpaceDN w:val="0"/>
      <w:adjustRightInd w:val="0"/>
      <w:spacing w:line="456" w:lineRule="atLeast"/>
    </w:pPr>
    <w:rPr>
      <w:rFonts w:hAnsi="Times New Roman"/>
    </w:rPr>
  </w:style>
  <w:style w:type="paragraph" w:customStyle="1" w:styleId="1339">
    <w:name w:val="样式 标题 2 + Times New Roman"/>
    <w:basedOn w:val="5"/>
    <w:qFormat/>
    <w:uiPriority w:val="99"/>
    <w:pPr>
      <w:spacing w:before="260" w:after="260" w:line="415" w:lineRule="auto"/>
      <w:ind w:firstLine="538" w:firstLineChars="192"/>
    </w:pPr>
    <w:rPr>
      <w:rFonts w:ascii="Times New Roman" w:hAnsi="Times New Roman"/>
      <w:b/>
      <w:bCs w:val="0"/>
      <w:sz w:val="32"/>
    </w:rPr>
  </w:style>
  <w:style w:type="paragraph" w:customStyle="1" w:styleId="1340">
    <w:name w:val="表标"/>
    <w:next w:val="1"/>
    <w:link w:val="1341"/>
    <w:qFormat/>
    <w:uiPriority w:val="99"/>
    <w:pPr>
      <w:widowControl w:val="0"/>
      <w:tabs>
        <w:tab w:val="left" w:pos="280"/>
      </w:tabs>
      <w:adjustRightInd w:val="0"/>
      <w:snapToGrid w:val="0"/>
      <w:jc w:val="center"/>
    </w:pPr>
    <w:rPr>
      <w:rFonts w:ascii="Times New Roman" w:hAnsi="Times New Roman" w:eastAsia="宋体" w:cs="Times New Roman"/>
      <w:b/>
      <w:kern w:val="2"/>
      <w:sz w:val="24"/>
      <w:szCs w:val="24"/>
      <w:lang w:val="en-US" w:eastAsia="zh-CN" w:bidi="ar-SA"/>
    </w:rPr>
  </w:style>
  <w:style w:type="character" w:customStyle="1" w:styleId="1341">
    <w:name w:val="表标 Char Char"/>
    <w:link w:val="1340"/>
    <w:qFormat/>
    <w:uiPriority w:val="99"/>
    <w:rPr>
      <w:b/>
      <w:kern w:val="2"/>
      <w:sz w:val="24"/>
      <w:szCs w:val="24"/>
    </w:rPr>
  </w:style>
  <w:style w:type="paragraph" w:customStyle="1" w:styleId="1342">
    <w:name w:val="pl正文"/>
    <w:basedOn w:val="1"/>
    <w:qFormat/>
    <w:uiPriority w:val="99"/>
    <w:pPr>
      <w:widowControl w:val="0"/>
      <w:snapToGrid w:val="0"/>
      <w:spacing w:line="360" w:lineRule="auto"/>
      <w:ind w:firstLine="492"/>
      <w:jc w:val="both"/>
    </w:pPr>
    <w:rPr>
      <w:rFonts w:cs="Times New Roman"/>
      <w:color w:val="000000"/>
      <w:spacing w:val="6"/>
      <w:kern w:val="2"/>
      <w:sz w:val="28"/>
    </w:rPr>
  </w:style>
  <w:style w:type="paragraph" w:customStyle="1" w:styleId="1343">
    <w:name w:val="样式 (西文) Times New Roman 五号 居中"/>
    <w:basedOn w:val="1"/>
    <w:qFormat/>
    <w:uiPriority w:val="0"/>
    <w:pPr>
      <w:widowControl w:val="0"/>
      <w:jc w:val="center"/>
    </w:pPr>
    <w:rPr>
      <w:rFonts w:ascii="Times New Roman" w:hAnsi="Times New Roman"/>
      <w:sz w:val="21"/>
      <w:szCs w:val="20"/>
    </w:rPr>
  </w:style>
  <w:style w:type="paragraph" w:customStyle="1" w:styleId="1344">
    <w:name w:val="样式 正文首行缩进 + 黑体 四号 黑色"/>
    <w:basedOn w:val="1"/>
    <w:next w:val="1"/>
    <w:qFormat/>
    <w:uiPriority w:val="99"/>
    <w:pPr>
      <w:widowControl w:val="0"/>
      <w:tabs>
        <w:tab w:val="left" w:pos="2514"/>
      </w:tabs>
      <w:spacing w:line="360" w:lineRule="auto"/>
      <w:ind w:left="864" w:right="-132" w:rightChars="-47" w:hanging="864"/>
      <w:jc w:val="both"/>
      <w:outlineLvl w:val="3"/>
    </w:pPr>
    <w:rPr>
      <w:rFonts w:ascii="黑体" w:hAnsi="Arial" w:eastAsia="黑体"/>
      <w:color w:val="000000"/>
      <w:kern w:val="2"/>
      <w:sz w:val="28"/>
      <w:szCs w:val="20"/>
    </w:rPr>
  </w:style>
  <w:style w:type="paragraph" w:customStyle="1" w:styleId="1345">
    <w:name w:val="xl40"/>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346">
    <w:name w:val="日期1"/>
    <w:basedOn w:val="1"/>
    <w:next w:val="1"/>
    <w:qFormat/>
    <w:uiPriority w:val="99"/>
    <w:pPr>
      <w:widowControl w:val="0"/>
      <w:adjustRightInd w:val="0"/>
      <w:spacing w:line="360" w:lineRule="atLeast"/>
      <w:jc w:val="both"/>
      <w:textAlignment w:val="baseline"/>
    </w:pPr>
    <w:rPr>
      <w:rFonts w:hAnsi="Times New Roman" w:cs="Times New Roman"/>
      <w:spacing w:val="20"/>
      <w:sz w:val="28"/>
      <w:szCs w:val="20"/>
    </w:rPr>
  </w:style>
  <w:style w:type="paragraph" w:customStyle="1" w:styleId="1347">
    <w:name w:val="xl88"/>
    <w:basedOn w:val="1"/>
    <w:qFormat/>
    <w:uiPriority w:val="99"/>
    <w:pPr>
      <w:pBdr>
        <w:top w:val="single" w:color="auto" w:sz="4" w:space="0"/>
        <w:left w:val="single" w:color="auto" w:sz="8" w:space="0"/>
        <w:bottom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348">
    <w:name w:val="Char Char Char"/>
    <w:basedOn w:val="1"/>
    <w:qFormat/>
    <w:uiPriority w:val="0"/>
    <w:pPr>
      <w:widowControl w:val="0"/>
      <w:jc w:val="both"/>
    </w:pPr>
    <w:rPr>
      <w:rFonts w:ascii="Times New Roman" w:hAnsi="Times New Roman" w:cs="Times New Roman"/>
      <w:kern w:val="2"/>
    </w:rPr>
  </w:style>
  <w:style w:type="paragraph" w:customStyle="1" w:styleId="1349">
    <w:name w:val="!Texte courant"/>
    <w:qFormat/>
    <w:uiPriority w:val="99"/>
    <w:pPr>
      <w:spacing w:before="120" w:line="280" w:lineRule="atLeast"/>
      <w:jc w:val="both"/>
    </w:pPr>
    <w:rPr>
      <w:rFonts w:ascii="Times New Roman" w:hAnsi="Times New Roman" w:eastAsia="宋体" w:cs="Times New Roman"/>
      <w:sz w:val="24"/>
      <w:lang w:val="fr-FR" w:eastAsia="en-US" w:bidi="ar-SA"/>
    </w:rPr>
  </w:style>
  <w:style w:type="paragraph" w:customStyle="1" w:styleId="1350">
    <w:name w:val="xl31"/>
    <w:basedOn w:val="1"/>
    <w:qFormat/>
    <w:uiPriority w:val="99"/>
    <w:pPr>
      <w:spacing w:before="100" w:beforeAutospacing="1" w:after="100" w:afterAutospacing="1"/>
      <w:jc w:val="center"/>
    </w:pPr>
    <w:rPr>
      <w:rFonts w:ascii="Times New Roman" w:hAnsi="Times New Roman" w:cs="Times New Roman"/>
    </w:rPr>
  </w:style>
  <w:style w:type="paragraph" w:customStyle="1" w:styleId="1351">
    <w:name w:val="章(一级)"/>
    <w:basedOn w:val="4"/>
    <w:next w:val="925"/>
    <w:qFormat/>
    <w:uiPriority w:val="99"/>
    <w:pPr>
      <w:widowControl w:val="0"/>
      <w:tabs>
        <w:tab w:val="left" w:pos="360"/>
        <w:tab w:val="left" w:pos="915"/>
      </w:tabs>
      <w:adjustRightInd w:val="0"/>
      <w:spacing w:beforeLines="100" w:afterLines="100" w:line="700" w:lineRule="exact"/>
      <w:ind w:left="915" w:hanging="435"/>
      <w:textAlignment w:val="baseline"/>
      <w:outlineLvl w:val="9"/>
    </w:pPr>
    <w:rPr>
      <w:rFonts w:ascii="宋体" w:hAnsi="宋体" w:eastAsia="宋体"/>
      <w:kern w:val="24"/>
      <w:sz w:val="24"/>
      <w:szCs w:val="20"/>
    </w:rPr>
  </w:style>
  <w:style w:type="paragraph" w:customStyle="1" w:styleId="1352">
    <w:name w:val="表题74"/>
    <w:basedOn w:val="32"/>
    <w:qFormat/>
    <w:uiPriority w:val="99"/>
    <w:pPr>
      <w:widowControl w:val="0"/>
      <w:tabs>
        <w:tab w:val="left" w:pos="4305"/>
      </w:tabs>
      <w:adjustRightInd w:val="0"/>
      <w:snapToGrid w:val="0"/>
      <w:spacing w:after="0"/>
      <w:ind w:left="0" w:leftChars="0"/>
      <w:jc w:val="center"/>
    </w:pPr>
    <w:rPr>
      <w:rFonts w:ascii="黑体" w:hAnsi="宋体" w:eastAsia="黑体"/>
      <w:spacing w:val="0"/>
      <w:sz w:val="24"/>
      <w:szCs w:val="24"/>
    </w:rPr>
  </w:style>
  <w:style w:type="paragraph" w:customStyle="1" w:styleId="1353">
    <w:name w:val="xl85"/>
    <w:basedOn w:val="1"/>
    <w:qFormat/>
    <w:uiPriority w:val="99"/>
    <w:pPr>
      <w:spacing w:before="100" w:beforeAutospacing="1" w:after="100" w:afterAutospacing="1"/>
      <w:textAlignment w:val="center"/>
    </w:pPr>
    <w:rPr>
      <w:rFonts w:ascii="Arial Unicode MS" w:hAnsi="Arial Unicode MS" w:eastAsia="Arial Unicode MS" w:cs="Arial Unicode MS"/>
      <w:sz w:val="20"/>
      <w:szCs w:val="20"/>
    </w:rPr>
  </w:style>
  <w:style w:type="paragraph" w:customStyle="1" w:styleId="1354">
    <w:name w:val="brdrw15brsp20 tqctx4153t"/>
    <w:qFormat/>
    <w:uiPriority w:val="99"/>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1355">
    <w:name w:val="Char Char10"/>
    <w:basedOn w:val="1"/>
    <w:qFormat/>
    <w:uiPriority w:val="0"/>
    <w:pPr>
      <w:widowControl w:val="0"/>
      <w:jc w:val="both"/>
    </w:pPr>
    <w:rPr>
      <w:rFonts w:ascii="Times New Roman" w:hAnsi="Times New Roman" w:cs="Times New Roman"/>
      <w:kern w:val="2"/>
      <w:sz w:val="21"/>
    </w:rPr>
  </w:style>
  <w:style w:type="paragraph" w:customStyle="1" w:styleId="1356">
    <w:name w:val="2 Char Char Char"/>
    <w:basedOn w:val="1"/>
    <w:qFormat/>
    <w:uiPriority w:val="0"/>
    <w:pPr>
      <w:widowControl w:val="0"/>
      <w:jc w:val="both"/>
    </w:pPr>
    <w:rPr>
      <w:rFonts w:ascii="Times New Roman" w:hAnsi="Times New Roman" w:cs="Times New Roman"/>
      <w:kern w:val="2"/>
      <w:sz w:val="21"/>
    </w:rPr>
  </w:style>
  <w:style w:type="paragraph" w:customStyle="1" w:styleId="1357">
    <w:name w:val="表格内容"/>
    <w:basedOn w:val="1"/>
    <w:qFormat/>
    <w:uiPriority w:val="0"/>
    <w:pPr>
      <w:widowControl w:val="0"/>
      <w:tabs>
        <w:tab w:val="left" w:pos="1800"/>
        <w:tab w:val="left" w:pos="2805"/>
      </w:tabs>
      <w:overflowPunct w:val="0"/>
      <w:adjustRightInd w:val="0"/>
      <w:snapToGrid w:val="0"/>
      <w:spacing w:before="40" w:after="60" w:line="200" w:lineRule="atLeast"/>
      <w:ind w:firstLine="200" w:firstLineChars="200"/>
      <w:jc w:val="both"/>
      <w:textAlignment w:val="baseline"/>
    </w:pPr>
    <w:rPr>
      <w:rFonts w:ascii="Arial" w:hAnsi="Arial" w:eastAsia="仿宋_GB2312" w:cs="Arial"/>
    </w:rPr>
  </w:style>
  <w:style w:type="paragraph" w:customStyle="1" w:styleId="1358">
    <w:name w:val="MTDisplayEquation"/>
    <w:basedOn w:val="1"/>
    <w:next w:val="1"/>
    <w:qFormat/>
    <w:uiPriority w:val="0"/>
    <w:pPr>
      <w:widowControl w:val="0"/>
      <w:tabs>
        <w:tab w:val="center" w:pos="4080"/>
        <w:tab w:val="right" w:pos="8160"/>
      </w:tabs>
      <w:spacing w:line="360" w:lineRule="auto"/>
      <w:ind w:firstLine="480" w:firstLineChars="200"/>
      <w:jc w:val="both"/>
    </w:pPr>
    <w:rPr>
      <w:rFonts w:ascii="Times New Roman" w:hAnsi="Times New Roman" w:cs="Times New Roman"/>
      <w:kern w:val="2"/>
    </w:rPr>
  </w:style>
  <w:style w:type="paragraph" w:customStyle="1" w:styleId="1359">
    <w:name w:val="表标题3.7"/>
    <w:basedOn w:val="1"/>
    <w:qFormat/>
    <w:uiPriority w:val="99"/>
    <w:pPr>
      <w:widowControl w:val="0"/>
      <w:tabs>
        <w:tab w:val="left" w:pos="2444"/>
        <w:tab w:val="center" w:pos="4060"/>
        <w:tab w:val="right" w:pos="8261"/>
      </w:tabs>
      <w:suppressAutoHyphens/>
      <w:adjustRightInd w:val="0"/>
      <w:spacing w:before="240" w:line="0" w:lineRule="atLeast"/>
      <w:ind w:left="1720" w:firstLine="4"/>
      <w:jc w:val="both"/>
    </w:pPr>
    <w:rPr>
      <w:rFonts w:ascii="黑体" w:hAnsi="Times New Roman" w:eastAsia="黑体" w:cs="Times New Roman"/>
      <w:b/>
      <w:spacing w:val="6"/>
      <w:sz w:val="26"/>
      <w:szCs w:val="26"/>
    </w:rPr>
  </w:style>
  <w:style w:type="paragraph" w:customStyle="1" w:styleId="1360">
    <w:name w:val="页号"/>
    <w:basedOn w:val="50"/>
    <w:qFormat/>
    <w:uiPriority w:val="99"/>
    <w:pPr>
      <w:widowControl w:val="0"/>
      <w:tabs>
        <w:tab w:val="center" w:pos="4320"/>
        <w:tab w:val="right" w:pos="8640"/>
        <w:tab w:val="clear" w:pos="4153"/>
        <w:tab w:val="clear" w:pos="8306"/>
      </w:tabs>
      <w:adjustRightInd w:val="0"/>
      <w:jc w:val="center"/>
      <w:textAlignment w:val="baseline"/>
    </w:pPr>
    <w:rPr>
      <w:rFonts w:ascii="宋体" w:hAnsi="Arial"/>
      <w:spacing w:val="3"/>
      <w:kern w:val="24"/>
      <w:sz w:val="24"/>
      <w:szCs w:val="20"/>
    </w:rPr>
  </w:style>
  <w:style w:type="paragraph" w:customStyle="1" w:styleId="1361">
    <w:name w:val="reader-word-layer"/>
    <w:basedOn w:val="1"/>
    <w:qFormat/>
    <w:uiPriority w:val="0"/>
    <w:pPr>
      <w:spacing w:before="100" w:beforeAutospacing="1" w:after="100" w:afterAutospacing="1"/>
    </w:pPr>
  </w:style>
  <w:style w:type="paragraph" w:customStyle="1" w:styleId="1362">
    <w:name w:val="Char1 Char Char Char Char Char1 Char2"/>
    <w:basedOn w:val="1"/>
    <w:qFormat/>
    <w:uiPriority w:val="99"/>
    <w:pPr>
      <w:widowControl w:val="0"/>
      <w:jc w:val="both"/>
    </w:pPr>
    <w:rPr>
      <w:rFonts w:ascii="Tahoma" w:hAnsi="Tahoma" w:cs="Times New Roman"/>
      <w:kern w:val="2"/>
      <w:szCs w:val="20"/>
    </w:rPr>
  </w:style>
  <w:style w:type="paragraph" w:customStyle="1" w:styleId="1363">
    <w:name w:val="页脚1"/>
    <w:basedOn w:val="164"/>
    <w:qFormat/>
    <w:uiPriority w:val="99"/>
    <w:pPr>
      <w:tabs>
        <w:tab w:val="center" w:pos="4153"/>
        <w:tab w:val="right" w:pos="8306"/>
      </w:tabs>
      <w:spacing w:line="240" w:lineRule="atLeast"/>
    </w:pPr>
    <w:rPr>
      <w:rFonts w:eastAsia="Times New Roman"/>
      <w:sz w:val="18"/>
      <w:szCs w:val="22"/>
    </w:rPr>
  </w:style>
  <w:style w:type="paragraph" w:customStyle="1" w:styleId="1364">
    <w:name w:val="正文21"/>
    <w:basedOn w:val="1"/>
    <w:next w:val="1"/>
    <w:qFormat/>
    <w:uiPriority w:val="99"/>
    <w:pPr>
      <w:widowControl w:val="0"/>
      <w:spacing w:line="360" w:lineRule="auto"/>
      <w:jc w:val="both"/>
    </w:pPr>
    <w:rPr>
      <w:rFonts w:ascii="仿宋_GB2312" w:hAnsi="Times New Roman" w:eastAsia="仿宋_GB2312" w:cs="Times New Roman"/>
      <w:kern w:val="2"/>
      <w:sz w:val="28"/>
      <w:szCs w:val="28"/>
    </w:rPr>
  </w:style>
  <w:style w:type="paragraph" w:customStyle="1" w:styleId="1365">
    <w:name w:val="基准标题"/>
    <w:basedOn w:val="2"/>
    <w:next w:val="2"/>
    <w:qFormat/>
    <w:uiPriority w:val="99"/>
    <w:pPr>
      <w:keepNext/>
      <w:keepLines/>
      <w:spacing w:line="280" w:lineRule="exact"/>
    </w:pPr>
    <w:rPr>
      <w:rFonts w:ascii="Arial Black" w:hAnsi="Arial Black"/>
      <w:color w:val="auto"/>
      <w:spacing w:val="-10"/>
      <w:kern w:val="28"/>
      <w:sz w:val="30"/>
      <w:szCs w:val="20"/>
    </w:rPr>
  </w:style>
  <w:style w:type="paragraph" w:customStyle="1" w:styleId="1366">
    <w:name w:val="样式 表内5 + 首行缩进:  2 字符"/>
    <w:basedOn w:val="998"/>
    <w:qFormat/>
    <w:uiPriority w:val="99"/>
    <w:pPr>
      <w:ind w:firstLine="420"/>
    </w:pPr>
    <w:rPr>
      <w:szCs w:val="20"/>
    </w:rPr>
  </w:style>
  <w:style w:type="paragraph" w:customStyle="1" w:styleId="1367">
    <w:name w:val="标题16.1.1.1"/>
    <w:basedOn w:val="8"/>
    <w:qFormat/>
    <w:uiPriority w:val="99"/>
    <w:pPr>
      <w:widowControl w:val="0"/>
      <w:tabs>
        <w:tab w:val="left" w:pos="360"/>
        <w:tab w:val="left" w:pos="1680"/>
      </w:tabs>
      <w:spacing w:before="120" w:after="120" w:line="312" w:lineRule="auto"/>
      <w:ind w:left="1680" w:hanging="420"/>
      <w:jc w:val="both"/>
    </w:pPr>
    <w:rPr>
      <w:rFonts w:ascii="Arial" w:hAnsi="Arial" w:eastAsia="黑体" w:cs="Times New Roman"/>
      <w:b/>
      <w:bCs/>
      <w:kern w:val="2"/>
      <w:szCs w:val="24"/>
      <w:lang w:val="en-US"/>
    </w:rPr>
  </w:style>
  <w:style w:type="paragraph" w:customStyle="1" w:styleId="1368">
    <w:name w:val="xl79"/>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369">
    <w:name w:val="CM138"/>
    <w:basedOn w:val="1"/>
    <w:next w:val="1"/>
    <w:qFormat/>
    <w:uiPriority w:val="99"/>
    <w:pPr>
      <w:widowControl w:val="0"/>
      <w:autoSpaceDE w:val="0"/>
      <w:autoSpaceDN w:val="0"/>
      <w:adjustRightInd w:val="0"/>
      <w:spacing w:after="130"/>
    </w:pPr>
    <w:rPr>
      <w:rFonts w:hAnsi="Times New Roman"/>
    </w:rPr>
  </w:style>
  <w:style w:type="paragraph" w:customStyle="1" w:styleId="1370">
    <w:name w:val="xl45"/>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371">
    <w:name w:val="样式 宋体 四号 黑色 行距: 1.5 倍行距"/>
    <w:basedOn w:val="1"/>
    <w:qFormat/>
    <w:uiPriority w:val="99"/>
    <w:pPr>
      <w:widowControl w:val="0"/>
      <w:autoSpaceDE w:val="0"/>
      <w:autoSpaceDN w:val="0"/>
      <w:spacing w:line="360" w:lineRule="auto"/>
      <w:ind w:firstLine="200" w:firstLineChars="200"/>
      <w:jc w:val="both"/>
    </w:pPr>
    <w:rPr>
      <w:color w:val="000000"/>
      <w:kern w:val="2"/>
      <w:sz w:val="28"/>
      <w:szCs w:val="20"/>
    </w:rPr>
  </w:style>
  <w:style w:type="paragraph" w:customStyle="1" w:styleId="1372">
    <w:name w:val="表标题2"/>
    <w:basedOn w:val="1"/>
    <w:qFormat/>
    <w:uiPriority w:val="0"/>
    <w:pPr>
      <w:keepNext/>
      <w:widowControl w:val="0"/>
      <w:adjustRightInd w:val="0"/>
      <w:spacing w:before="60" w:after="60" w:line="397" w:lineRule="atLeast"/>
      <w:jc w:val="center"/>
      <w:textAlignment w:val="baseline"/>
    </w:pPr>
    <w:rPr>
      <w:rFonts w:ascii="Times New Roman" w:hAnsi="Times New Roman" w:cs="Times New Roman"/>
      <w:b/>
      <w:szCs w:val="20"/>
    </w:rPr>
  </w:style>
  <w:style w:type="paragraph" w:customStyle="1" w:styleId="1373">
    <w:name w:val="CM63"/>
    <w:basedOn w:val="101"/>
    <w:next w:val="101"/>
    <w:qFormat/>
    <w:uiPriority w:val="99"/>
    <w:pPr>
      <w:spacing w:after="270"/>
    </w:pPr>
    <w:rPr>
      <w:color w:val="auto"/>
    </w:rPr>
  </w:style>
  <w:style w:type="paragraph" w:customStyle="1" w:styleId="1374">
    <w:name w:val="CM16"/>
    <w:basedOn w:val="101"/>
    <w:next w:val="101"/>
    <w:qFormat/>
    <w:uiPriority w:val="99"/>
    <w:pPr>
      <w:spacing w:line="468" w:lineRule="atLeast"/>
    </w:pPr>
    <w:rPr>
      <w:color w:val="auto"/>
    </w:rPr>
  </w:style>
  <w:style w:type="paragraph" w:customStyle="1" w:styleId="1375">
    <w:name w:val="Char Char1 Char"/>
    <w:basedOn w:val="1"/>
    <w:qFormat/>
    <w:uiPriority w:val="0"/>
    <w:pPr>
      <w:widowControl w:val="0"/>
      <w:jc w:val="both"/>
    </w:pPr>
    <w:rPr>
      <w:rFonts w:ascii="Times New Roman" w:hAnsi="Times New Roman" w:cs="Times New Roman"/>
      <w:kern w:val="2"/>
      <w:sz w:val="21"/>
    </w:rPr>
  </w:style>
  <w:style w:type="paragraph" w:customStyle="1" w:styleId="1376">
    <w:name w:val="样式 样式 样式 标题 4款标题1.1.1.1 南陵标题 4标题 4 CharH4PIM 4h4First Subheadin...."/>
    <w:basedOn w:val="1"/>
    <w:qFormat/>
    <w:uiPriority w:val="0"/>
    <w:pPr>
      <w:widowControl w:val="0"/>
      <w:spacing w:line="360" w:lineRule="auto"/>
      <w:jc w:val="both"/>
      <w:outlineLvl w:val="3"/>
    </w:pPr>
    <w:rPr>
      <w:rFonts w:ascii="黑体" w:hAnsi="Times New Roman" w:eastAsia="黑体" w:cs="Times New Roman"/>
    </w:rPr>
  </w:style>
  <w:style w:type="paragraph" w:customStyle="1" w:styleId="1377">
    <w:name w:val="char"/>
    <w:basedOn w:val="1"/>
    <w:qFormat/>
    <w:uiPriority w:val="99"/>
    <w:pPr>
      <w:spacing w:after="160" w:line="240" w:lineRule="exact"/>
    </w:pPr>
    <w:rPr>
      <w:rFonts w:ascii="Verdana" w:hAnsi="Verdana" w:eastAsia="仿宋_GB2312" w:cs="”“Times New Roman”“"/>
      <w:szCs w:val="20"/>
      <w:lang w:eastAsia="en-US"/>
    </w:rPr>
  </w:style>
  <w:style w:type="paragraph" w:customStyle="1" w:styleId="1378">
    <w:name w:val="kk"/>
    <w:basedOn w:val="2"/>
    <w:qFormat/>
    <w:uiPriority w:val="99"/>
    <w:pPr>
      <w:widowControl w:val="0"/>
      <w:autoSpaceDE w:val="0"/>
      <w:autoSpaceDN w:val="0"/>
      <w:adjustRightInd w:val="0"/>
      <w:spacing w:line="360" w:lineRule="auto"/>
      <w:jc w:val="both"/>
      <w:textAlignment w:val="baseline"/>
    </w:pPr>
    <w:rPr>
      <w:rFonts w:ascii="Times New Roman" w:hAnsi="Times New Roman"/>
      <w:color w:val="auto"/>
      <w:spacing w:val="10"/>
      <w:kern w:val="0"/>
      <w:szCs w:val="20"/>
    </w:rPr>
  </w:style>
  <w:style w:type="paragraph" w:customStyle="1" w:styleId="1379">
    <w:name w:val="样式 标题 2标题 21标题 121节H2SeHead wsa2标题 1.1 + 黑体 四号 非加粗"/>
    <w:basedOn w:val="5"/>
    <w:qFormat/>
    <w:uiPriority w:val="99"/>
    <w:pPr>
      <w:widowControl w:val="0"/>
      <w:tabs>
        <w:tab w:val="left" w:pos="576"/>
      </w:tabs>
      <w:spacing w:before="260" w:after="260" w:line="416" w:lineRule="auto"/>
      <w:ind w:left="576" w:hanging="576"/>
      <w:jc w:val="both"/>
    </w:pPr>
    <w:rPr>
      <w:rFonts w:ascii="黑体" w:hAnsi="黑体"/>
      <w:bCs w:val="0"/>
    </w:rPr>
  </w:style>
  <w:style w:type="paragraph" w:customStyle="1" w:styleId="1380">
    <w:name w:val="样式3wf"/>
    <w:basedOn w:val="1300"/>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z w:val="21"/>
      <w:szCs w:val="21"/>
    </w:rPr>
  </w:style>
  <w:style w:type="paragraph" w:customStyle="1" w:styleId="1381">
    <w:name w:val="样式 表格文字居中 + 五号"/>
    <w:basedOn w:val="564"/>
    <w:qFormat/>
    <w:uiPriority w:val="99"/>
    <w:pPr>
      <w:spacing w:line="240" w:lineRule="exact"/>
    </w:pPr>
    <w:rPr>
      <w:rFonts w:hAnsi="Times New Roman"/>
      <w:snapToGrid w:val="0"/>
      <w:color w:val="000000"/>
      <w:spacing w:val="-6"/>
    </w:rPr>
  </w:style>
  <w:style w:type="paragraph" w:customStyle="1" w:styleId="1382">
    <w:name w:val="Address 1"/>
    <w:basedOn w:val="1"/>
    <w:qFormat/>
    <w:uiPriority w:val="99"/>
    <w:pPr>
      <w:spacing w:line="200" w:lineRule="atLeast"/>
    </w:pPr>
    <w:rPr>
      <w:rFonts w:ascii="Times New Roman" w:hAnsi="Times New Roman" w:cs="Times New Roman"/>
      <w:sz w:val="16"/>
      <w:szCs w:val="20"/>
    </w:rPr>
  </w:style>
  <w:style w:type="paragraph" w:customStyle="1" w:styleId="1383">
    <w:name w:val="font15"/>
    <w:basedOn w:val="1"/>
    <w:qFormat/>
    <w:uiPriority w:val="99"/>
    <w:pPr>
      <w:spacing w:before="100" w:beforeAutospacing="1" w:after="100" w:afterAutospacing="1"/>
    </w:pPr>
    <w:rPr>
      <w:rFonts w:ascii="Times New Roman" w:hAnsi="Times New Roman" w:eastAsia="Arial Unicode MS" w:cs="Times New Roman"/>
      <w:b/>
      <w:bCs/>
      <w:sz w:val="16"/>
      <w:szCs w:val="16"/>
    </w:rPr>
  </w:style>
  <w:style w:type="paragraph" w:customStyle="1" w:styleId="1384">
    <w:name w:val="xl93"/>
    <w:basedOn w:val="1"/>
    <w:qFormat/>
    <w:uiPriority w:val="99"/>
    <w:pPr>
      <w:pBdr>
        <w:top w:val="single" w:color="auto" w:sz="4" w:space="0"/>
        <w:bottom w:val="single" w:color="auto" w:sz="8"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385">
    <w:name w:val="列表 4C"/>
    <w:basedOn w:val="69"/>
    <w:next w:val="69"/>
    <w:qFormat/>
    <w:uiPriority w:val="99"/>
    <w:pPr>
      <w:tabs>
        <w:tab w:val="left" w:pos="562"/>
      </w:tabs>
      <w:topLinePunct w:val="0"/>
      <w:spacing w:beforeLines="20" w:afterLines="20" w:line="288" w:lineRule="auto"/>
      <w:ind w:left="562" w:leftChars="0" w:hanging="420" w:firstLineChars="0"/>
      <w:jc w:val="both"/>
    </w:pPr>
    <w:rPr>
      <w:rFonts w:ascii="Arial" w:hAnsi="Arial" w:eastAsia="宋体"/>
      <w:color w:val="CCFFFF"/>
      <w:sz w:val="24"/>
    </w:rPr>
  </w:style>
  <w:style w:type="paragraph" w:customStyle="1" w:styleId="1386">
    <w:name w:val="xl47"/>
    <w:basedOn w:val="1"/>
    <w:qFormat/>
    <w:uiPriority w:val="99"/>
    <w:pPr>
      <w:pBdr>
        <w:left w:val="single" w:color="auto" w:sz="4" w:space="0"/>
        <w:bottom w:val="single" w:color="auto" w:sz="4" w:space="0"/>
        <w:right w:val="single" w:color="auto" w:sz="4" w:space="0"/>
      </w:pBdr>
      <w:spacing w:before="100" w:beforeAutospacing="1" w:after="100" w:afterAutospacing="1"/>
      <w:jc w:val="both"/>
    </w:pPr>
    <w:rPr>
      <w:rFonts w:ascii="Arial Unicode MS" w:hAnsi="Arial Unicode MS" w:eastAsia="Arial Unicode MS" w:cs="Times New Roman"/>
      <w:sz w:val="21"/>
      <w:szCs w:val="21"/>
    </w:rPr>
  </w:style>
  <w:style w:type="paragraph" w:customStyle="1" w:styleId="1387">
    <w:name w:val="CM21"/>
    <w:basedOn w:val="101"/>
    <w:next w:val="101"/>
    <w:qFormat/>
    <w:uiPriority w:val="99"/>
    <w:pPr>
      <w:spacing w:line="468" w:lineRule="atLeast"/>
    </w:pPr>
    <w:rPr>
      <w:color w:val="auto"/>
    </w:rPr>
  </w:style>
  <w:style w:type="paragraph" w:customStyle="1" w:styleId="1388">
    <w:name w:val="列表 4V"/>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389">
    <w:name w:val="样式9"/>
    <w:basedOn w:val="7"/>
    <w:link w:val="1390"/>
    <w:qFormat/>
    <w:uiPriority w:val="99"/>
    <w:pPr>
      <w:keepNext w:val="0"/>
      <w:keepLines w:val="0"/>
      <w:adjustRightInd w:val="0"/>
      <w:snapToGrid w:val="0"/>
      <w:spacing w:beforeLines="50" w:afterLines="50" w:line="360" w:lineRule="auto"/>
      <w:textAlignment w:val="baseline"/>
    </w:pPr>
    <w:rPr>
      <w:rFonts w:ascii="宋体" w:eastAsia="宋体"/>
      <w:b/>
      <w:bCs w:val="0"/>
      <w:sz w:val="24"/>
      <w:szCs w:val="20"/>
    </w:rPr>
  </w:style>
  <w:style w:type="character" w:customStyle="1" w:styleId="1390">
    <w:name w:val="样式9 Char"/>
    <w:link w:val="1389"/>
    <w:qFormat/>
    <w:uiPriority w:val="99"/>
    <w:rPr>
      <w:rFonts w:ascii="宋体"/>
      <w:b/>
      <w:sz w:val="24"/>
    </w:rPr>
  </w:style>
  <w:style w:type="paragraph" w:customStyle="1" w:styleId="1391">
    <w:name w:val="xl54"/>
    <w:basedOn w:val="1"/>
    <w:qFormat/>
    <w:uiPriority w:val="99"/>
    <w:pPr>
      <w:pBdr>
        <w:top w:val="single" w:color="auto" w:sz="8" w:space="0"/>
        <w:bottom w:val="single" w:color="auto" w:sz="8" w:space="0"/>
        <w:right w:val="single" w:color="auto" w:sz="4" w:space="0"/>
      </w:pBdr>
      <w:spacing w:before="100" w:beforeAutospacing="1" w:after="100" w:afterAutospacing="1"/>
      <w:jc w:val="center"/>
      <w:textAlignment w:val="top"/>
    </w:pPr>
    <w:rPr>
      <w:rFonts w:eastAsia="仿宋_GB2312" w:cs="Times New Roman"/>
      <w:position w:val="-6"/>
      <w:szCs w:val="21"/>
    </w:rPr>
  </w:style>
  <w:style w:type="paragraph" w:customStyle="1" w:styleId="1392">
    <w:name w:val="表中居中文字"/>
    <w:basedOn w:val="1"/>
    <w:qFormat/>
    <w:uiPriority w:val="99"/>
    <w:pPr>
      <w:widowControl w:val="0"/>
      <w:jc w:val="both"/>
    </w:pPr>
    <w:rPr>
      <w:rFonts w:cs="Arial"/>
      <w:bCs/>
      <w:color w:val="FF0000"/>
      <w:kern w:val="2"/>
      <w:szCs w:val="18"/>
    </w:rPr>
  </w:style>
  <w:style w:type="paragraph" w:customStyle="1" w:styleId="1393">
    <w:name w:val="备注"/>
    <w:basedOn w:val="78"/>
    <w:qFormat/>
    <w:uiPriority w:val="99"/>
    <w:pPr>
      <w:keepNext/>
      <w:tabs>
        <w:tab w:val="left" w:pos="628"/>
        <w:tab w:val="left" w:pos="1727"/>
        <w:tab w:val="left" w:pos="1884"/>
        <w:tab w:val="left" w:pos="4900"/>
      </w:tabs>
      <w:adjustRightInd w:val="0"/>
      <w:snapToGrid w:val="0"/>
      <w:spacing w:after="0" w:line="0" w:lineRule="atLeast"/>
      <w:ind w:firstLine="0" w:firstLineChars="0"/>
    </w:pPr>
    <w:rPr>
      <w:rFonts w:cs="Arial"/>
      <w:sz w:val="18"/>
      <w:szCs w:val="18"/>
    </w:rPr>
  </w:style>
  <w:style w:type="paragraph" w:customStyle="1" w:styleId="1394">
    <w:name w:val="列表 5M"/>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95">
    <w:name w:val="Char Char Char2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396">
    <w:name w:val="表标16.6"/>
    <w:next w:val="173"/>
    <w:qFormat/>
    <w:uiPriority w:val="99"/>
    <w:pPr>
      <w:tabs>
        <w:tab w:val="left" w:pos="1560"/>
        <w:tab w:val="left" w:pos="2160"/>
      </w:tabs>
      <w:adjustRightInd w:val="0"/>
      <w:snapToGrid w:val="0"/>
      <w:spacing w:line="360" w:lineRule="auto"/>
      <w:jc w:val="center"/>
      <w:textAlignment w:val="baseline"/>
    </w:pPr>
    <w:rPr>
      <w:rFonts w:ascii="Times New Roman" w:hAnsi="Times New Roman" w:eastAsia="仿宋_GB2312" w:cs="Times New Roman"/>
      <w:b/>
      <w:color w:val="000000"/>
      <w:kern w:val="2"/>
      <w:sz w:val="24"/>
      <w:szCs w:val="24"/>
      <w:lang w:val="en-US" w:eastAsia="zh-CN" w:bidi="ar-SA"/>
    </w:rPr>
  </w:style>
  <w:style w:type="paragraph" w:customStyle="1" w:styleId="1397">
    <w:name w:val="表3.3"/>
    <w:basedOn w:val="1"/>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spacing w:val="6"/>
      <w:sz w:val="26"/>
      <w:szCs w:val="26"/>
    </w:rPr>
  </w:style>
  <w:style w:type="paragraph" w:customStyle="1" w:styleId="1398">
    <w:name w:val="表格内容（OPCC宋体）"/>
    <w:basedOn w:val="1"/>
    <w:qFormat/>
    <w:uiPriority w:val="99"/>
    <w:pPr>
      <w:widowControl w:val="0"/>
      <w:adjustRightInd w:val="0"/>
      <w:snapToGrid w:val="0"/>
      <w:jc w:val="center"/>
    </w:pPr>
    <w:rPr>
      <w:rFonts w:ascii="Times New Roman" w:hAnsi="Times New Roman" w:eastAsia="仿宋_GB2312"/>
      <w:snapToGrid w:val="0"/>
      <w:sz w:val="21"/>
      <w:szCs w:val="21"/>
    </w:rPr>
  </w:style>
  <w:style w:type="paragraph" w:customStyle="1" w:styleId="1399">
    <w:name w:val="样式 表标题4.9 + 居中"/>
    <w:basedOn w:val="1230"/>
    <w:qFormat/>
    <w:uiPriority w:val="99"/>
    <w:pPr>
      <w:tabs>
        <w:tab w:val="left" w:pos="726"/>
        <w:tab w:val="clear" w:pos="4060"/>
        <w:tab w:val="clear" w:pos="8261"/>
      </w:tabs>
      <w:ind w:left="2" w:firstLine="4"/>
      <w:jc w:val="center"/>
    </w:pPr>
    <w:rPr>
      <w:rFonts w:cs="宋体"/>
      <w:bCs/>
      <w:szCs w:val="20"/>
    </w:rPr>
  </w:style>
  <w:style w:type="paragraph" w:customStyle="1" w:styleId="1400">
    <w:name w:val="威顿报告正文"/>
    <w:basedOn w:val="1"/>
    <w:qFormat/>
    <w:uiPriority w:val="99"/>
    <w:pPr>
      <w:widowControl w:val="0"/>
      <w:adjustRightInd w:val="0"/>
      <w:snapToGrid w:val="0"/>
      <w:spacing w:beforeLines="25" w:line="440" w:lineRule="exact"/>
      <w:ind w:firstLine="200" w:firstLineChars="200"/>
      <w:jc w:val="both"/>
    </w:pPr>
    <w:rPr>
      <w:rFonts w:ascii="Times New Roman" w:hAnsi="Times New Roman" w:cs="Times New Roman"/>
      <w:color w:val="000000"/>
      <w:kern w:val="2"/>
    </w:rPr>
  </w:style>
  <w:style w:type="paragraph" w:customStyle="1" w:styleId="1401">
    <w:name w:val="字元 字元 Char Char 字元 字元1 Char Char Char"/>
    <w:basedOn w:val="1"/>
    <w:qFormat/>
    <w:uiPriority w:val="0"/>
    <w:pPr>
      <w:widowControl w:val="0"/>
      <w:jc w:val="both"/>
    </w:pPr>
    <w:rPr>
      <w:rFonts w:ascii="Times New Roman" w:hAnsi="Times New Roman" w:cs="Times New Roman"/>
      <w:kern w:val="2"/>
    </w:rPr>
  </w:style>
  <w:style w:type="paragraph" w:customStyle="1" w:styleId="1402">
    <w:name w:val="样式 样式 样式 方正宋三简体 14 磅 行距: 1.5 倍行距1 + 首行缩进:  2 字符 + 首行缩进:  2 字符"/>
    <w:basedOn w:val="1"/>
    <w:qFormat/>
    <w:uiPriority w:val="99"/>
    <w:pPr>
      <w:widowControl w:val="0"/>
      <w:ind w:firstLine="574" w:firstLineChars="200"/>
      <w:jc w:val="both"/>
    </w:pPr>
    <w:rPr>
      <w:rFonts w:hAnsi="方正宋三简体" w:cs="Times New Roman"/>
      <w:kern w:val="2"/>
      <w:sz w:val="27"/>
      <w:szCs w:val="20"/>
    </w:rPr>
  </w:style>
  <w:style w:type="paragraph" w:customStyle="1" w:styleId="1403">
    <w:name w:val="001"/>
    <w:basedOn w:val="1"/>
    <w:qFormat/>
    <w:uiPriority w:val="0"/>
    <w:pPr>
      <w:widowControl w:val="0"/>
      <w:ind w:firstLine="200" w:firstLineChars="200"/>
      <w:jc w:val="both"/>
    </w:pPr>
    <w:rPr>
      <w:rFonts w:ascii="Times New Roman" w:hAnsi="Times New Roman" w:eastAsia="黑体" w:cs="Times New Roman"/>
      <w:kern w:val="2"/>
      <w:sz w:val="28"/>
      <w:szCs w:val="20"/>
    </w:rPr>
  </w:style>
  <w:style w:type="paragraph" w:customStyle="1" w:styleId="1404">
    <w:name w:val="样式 标题 3 + 五号 非加粗 段前: 0 磅 段后: 0 磅 行距: 最小值 0 磅"/>
    <w:basedOn w:val="7"/>
    <w:qFormat/>
    <w:uiPriority w:val="99"/>
    <w:pPr>
      <w:keepNext w:val="0"/>
      <w:tabs>
        <w:tab w:val="left" w:pos="1260"/>
      </w:tabs>
      <w:spacing w:beforeLines="50" w:afterLines="50" w:line="0" w:lineRule="atLeast"/>
      <w:jc w:val="center"/>
    </w:pPr>
    <w:rPr>
      <w:b/>
      <w:bCs w:val="0"/>
      <w:snapToGrid w:val="0"/>
      <w:sz w:val="21"/>
      <w:szCs w:val="20"/>
    </w:rPr>
  </w:style>
  <w:style w:type="paragraph" w:customStyle="1" w:styleId="1405">
    <w:name w:val="表格王"/>
    <w:basedOn w:val="1"/>
    <w:qFormat/>
    <w:uiPriority w:val="99"/>
    <w:pPr>
      <w:widowControl w:val="0"/>
      <w:spacing w:line="360" w:lineRule="exact"/>
      <w:jc w:val="center"/>
    </w:pPr>
    <w:rPr>
      <w:rFonts w:ascii="Times New Roman" w:hAnsi="Times New Roman" w:cs="Times New Roman"/>
      <w:kern w:val="2"/>
      <w:sz w:val="21"/>
    </w:rPr>
  </w:style>
  <w:style w:type="paragraph" w:customStyle="1" w:styleId="1406">
    <w:name w:val="Qzy样式1"/>
    <w:basedOn w:val="4"/>
    <w:qFormat/>
    <w:uiPriority w:val="99"/>
    <w:pPr>
      <w:keepLines/>
      <w:spacing w:line="240" w:lineRule="atLeast"/>
      <w:jc w:val="both"/>
    </w:pPr>
    <w:rPr>
      <w:rFonts w:ascii="Times New Roman" w:hAnsi="Times New Roman" w:eastAsia="宋体"/>
      <w:kern w:val="44"/>
      <w:sz w:val="36"/>
      <w:szCs w:val="20"/>
    </w:rPr>
  </w:style>
  <w:style w:type="paragraph" w:customStyle="1" w:styleId="1407">
    <w:name w:val="样式"/>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408">
    <w:name w:val="标题 1 + 段前: 0.5 行 段后: 0.5 行1"/>
    <w:basedOn w:val="1"/>
    <w:qFormat/>
    <w:uiPriority w:val="99"/>
    <w:pPr>
      <w:widowControl w:val="0"/>
      <w:tabs>
        <w:tab w:val="left" w:pos="3480"/>
      </w:tabs>
      <w:spacing w:before="120" w:after="120"/>
      <w:ind w:left="2820" w:hanging="420"/>
      <w:outlineLvl w:val="0"/>
    </w:pPr>
    <w:rPr>
      <w:rFonts w:ascii="Times New Roman" w:hAnsi="Times New Roman" w:eastAsia="黑体"/>
      <w:kern w:val="2"/>
      <w:sz w:val="28"/>
      <w:szCs w:val="20"/>
    </w:rPr>
  </w:style>
  <w:style w:type="paragraph" w:customStyle="1" w:styleId="1409">
    <w:name w:val="CM20"/>
    <w:basedOn w:val="101"/>
    <w:next w:val="101"/>
    <w:qFormat/>
    <w:uiPriority w:val="99"/>
    <w:rPr>
      <w:color w:val="auto"/>
    </w:rPr>
  </w:style>
  <w:style w:type="paragraph" w:customStyle="1" w:styleId="1410">
    <w:name w:val="Char Char Char Char12"/>
    <w:basedOn w:val="1"/>
    <w:qFormat/>
    <w:uiPriority w:val="99"/>
    <w:pPr>
      <w:widowControl w:val="0"/>
      <w:snapToGrid w:val="0"/>
      <w:spacing w:line="440" w:lineRule="atLeast"/>
      <w:jc w:val="both"/>
    </w:pPr>
    <w:rPr>
      <w:rFonts w:hAnsi="Times New Roman" w:cs="Times New Roman"/>
      <w:kern w:val="2"/>
    </w:rPr>
  </w:style>
  <w:style w:type="paragraph" w:customStyle="1" w:styleId="1411">
    <w:name w:val="CM64"/>
    <w:basedOn w:val="101"/>
    <w:next w:val="101"/>
    <w:qFormat/>
    <w:uiPriority w:val="99"/>
    <w:pPr>
      <w:spacing w:after="583"/>
    </w:pPr>
    <w:rPr>
      <w:color w:val="auto"/>
    </w:rPr>
  </w:style>
  <w:style w:type="paragraph" w:customStyle="1" w:styleId="1412">
    <w:name w:val="Char Char Char1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413">
    <w:name w:val="样式 样式 标题 2 + 左侧:  2 字符1 + 左侧:  2 字符"/>
    <w:basedOn w:val="1"/>
    <w:qFormat/>
    <w:uiPriority w:val="99"/>
    <w:pPr>
      <w:keepNext/>
      <w:keepLines/>
      <w:widowControl w:val="0"/>
      <w:tabs>
        <w:tab w:val="left" w:pos="840"/>
      </w:tabs>
      <w:spacing w:beforeLines="50" w:afterLines="50"/>
      <w:ind w:left="210" w:right="210" w:rightChars="100"/>
      <w:jc w:val="both"/>
      <w:outlineLvl w:val="1"/>
    </w:pPr>
    <w:rPr>
      <w:rFonts w:ascii="黑体" w:hAnsi="Arial" w:eastAsia="黑体" w:cs="Times New Roman"/>
      <w:kern w:val="2"/>
      <w:sz w:val="52"/>
      <w:szCs w:val="20"/>
    </w:rPr>
  </w:style>
  <w:style w:type="paragraph" w:customStyle="1" w:styleId="1414">
    <w:name w:val="自定义正文 Char Char Char"/>
    <w:qFormat/>
    <w:uiPriority w:val="99"/>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415">
    <w:name w:val="表格文字小四"/>
    <w:basedOn w:val="1"/>
    <w:next w:val="2"/>
    <w:qFormat/>
    <w:uiPriority w:val="99"/>
    <w:pPr>
      <w:widowControl w:val="0"/>
      <w:adjustRightInd w:val="0"/>
      <w:snapToGrid w:val="0"/>
      <w:ind w:left="-593"/>
      <w:jc w:val="center"/>
    </w:pPr>
    <w:rPr>
      <w:rFonts w:cs="Times New Roman"/>
      <w:kern w:val="2"/>
    </w:rPr>
  </w:style>
  <w:style w:type="paragraph" w:customStyle="1" w:styleId="1416">
    <w:name w:val="WW-Body Text Indent 3"/>
    <w:basedOn w:val="1"/>
    <w:qFormat/>
    <w:uiPriority w:val="99"/>
    <w:pPr>
      <w:widowControl w:val="0"/>
      <w:suppressAutoHyphens/>
      <w:spacing w:after="120" w:line="360" w:lineRule="auto"/>
      <w:ind w:firstLine="420"/>
      <w:jc w:val="both"/>
    </w:pPr>
    <w:rPr>
      <w:rFonts w:ascii="Arial" w:hAnsi="Arial" w:cs="Times New Roman"/>
      <w:kern w:val="20481"/>
      <w:szCs w:val="20"/>
    </w:rPr>
  </w:style>
  <w:style w:type="paragraph" w:customStyle="1" w:styleId="1417">
    <w:name w:val="Char Char Char Char Char Char1 Char Char Char Char2"/>
    <w:basedOn w:val="1"/>
    <w:qFormat/>
    <w:uiPriority w:val="0"/>
    <w:pPr>
      <w:widowControl w:val="0"/>
      <w:jc w:val="both"/>
    </w:pPr>
    <w:rPr>
      <w:rFonts w:ascii="Times New Roman" w:hAnsi="Times New Roman" w:cs="Times New Roman"/>
      <w:kern w:val="2"/>
      <w:sz w:val="21"/>
    </w:rPr>
  </w:style>
  <w:style w:type="paragraph" w:customStyle="1" w:styleId="1418">
    <w:name w:val="xl84"/>
    <w:basedOn w:val="1"/>
    <w:qFormat/>
    <w:uiPriority w:val="99"/>
    <w:pPr>
      <w:pBdr>
        <w:bottom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419">
    <w:name w:val="表标题5.7"/>
    <w:basedOn w:val="1"/>
    <w:qFormat/>
    <w:uiPriority w:val="99"/>
    <w:pPr>
      <w:widowControl w:val="0"/>
      <w:tabs>
        <w:tab w:val="left" w:pos="726"/>
      </w:tabs>
      <w:spacing w:beforeLines="100" w:line="0" w:lineRule="atLeast"/>
      <w:ind w:left="2" w:firstLine="4"/>
      <w:jc w:val="center"/>
    </w:pPr>
    <w:rPr>
      <w:rFonts w:ascii="Times New Roman" w:hAnsi="Times New Roman" w:eastAsia="黑体" w:cs="Times New Roman"/>
      <w:b/>
      <w:kern w:val="2"/>
    </w:rPr>
  </w:style>
  <w:style w:type="paragraph" w:customStyle="1" w:styleId="1420">
    <w:name w:val="列表 3J"/>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21">
    <w:name w:val="列表 5C"/>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22">
    <w:name w:val="样式 标题 3 + Arial"/>
    <w:basedOn w:val="1"/>
    <w:qFormat/>
    <w:uiPriority w:val="99"/>
    <w:pPr>
      <w:widowControl w:val="0"/>
      <w:jc w:val="both"/>
    </w:pPr>
    <w:rPr>
      <w:rFonts w:ascii="Times New Roman" w:hAnsi="Times New Roman" w:cs="Times New Roman"/>
      <w:kern w:val="2"/>
      <w:sz w:val="21"/>
      <w:szCs w:val="20"/>
    </w:rPr>
  </w:style>
  <w:style w:type="paragraph" w:customStyle="1" w:styleId="1423">
    <w:name w:val="样式 标题 3样式　标题 3　自动设置标题 3 Char章 + Times New 表题3"/>
    <w:basedOn w:val="7"/>
    <w:qFormat/>
    <w:uiPriority w:val="99"/>
    <w:pPr>
      <w:widowControl w:val="0"/>
      <w:tabs>
        <w:tab w:val="left" w:pos="3800"/>
        <w:tab w:val="left" w:pos="5200"/>
      </w:tabs>
      <w:autoSpaceDE w:val="0"/>
      <w:autoSpaceDN w:val="0"/>
      <w:adjustRightInd w:val="0"/>
      <w:snapToGrid w:val="0"/>
      <w:spacing w:beforeLines="50" w:afterLines="50" w:line="240" w:lineRule="auto"/>
      <w:ind w:left="-1523" w:firstLine="1523"/>
      <w:jc w:val="both"/>
    </w:pPr>
    <w:rPr>
      <w:rFonts w:eastAsia="宋体" w:cs="宋体"/>
      <w:b/>
      <w:sz w:val="28"/>
      <w:szCs w:val="28"/>
    </w:rPr>
  </w:style>
  <w:style w:type="paragraph" w:customStyle="1" w:styleId="1424">
    <w:name w:val="环标3"/>
    <w:basedOn w:val="1151"/>
    <w:next w:val="1151"/>
    <w:qFormat/>
    <w:uiPriority w:val="0"/>
    <w:pPr>
      <w:keepNext/>
      <w:keepLines/>
      <w:spacing w:line="360" w:lineRule="auto"/>
      <w:ind w:right="-11" w:firstLine="0" w:firstLineChars="0"/>
      <w:jc w:val="left"/>
      <w:outlineLvl w:val="2"/>
    </w:pPr>
    <w:rPr>
      <w:rFonts w:ascii="黑体" w:eastAsia="黑体"/>
      <w:color w:val="auto"/>
      <w:spacing w:val="0"/>
      <w:kern w:val="2"/>
    </w:rPr>
  </w:style>
  <w:style w:type="paragraph" w:customStyle="1" w:styleId="1425">
    <w:name w:val="默认段落字体 Para Char"/>
    <w:basedOn w:val="1"/>
    <w:qFormat/>
    <w:uiPriority w:val="99"/>
    <w:pPr>
      <w:widowControl w:val="0"/>
      <w:spacing w:line="360" w:lineRule="auto"/>
      <w:ind w:firstLine="200" w:firstLineChars="200"/>
      <w:jc w:val="both"/>
    </w:pPr>
    <w:rPr>
      <w:kern w:val="2"/>
    </w:rPr>
  </w:style>
  <w:style w:type="paragraph" w:customStyle="1" w:styleId="1426">
    <w:name w:val="样式 正文缩进 + 小四 首行缩进:  2 字符1"/>
    <w:basedOn w:val="6"/>
    <w:qFormat/>
    <w:uiPriority w:val="99"/>
    <w:pPr>
      <w:keepNext/>
      <w:widowControl w:val="0"/>
      <w:tabs>
        <w:tab w:val="left" w:pos="1727"/>
        <w:tab w:val="left" w:pos="1884"/>
      </w:tabs>
      <w:spacing w:line="360" w:lineRule="auto"/>
      <w:ind w:firstLine="480" w:firstLineChars="200"/>
      <w:outlineLvl w:val="0"/>
    </w:pPr>
    <w:rPr>
      <w:rFonts w:ascii="宋体" w:hAnsi="宋体" w:cs="宋体"/>
      <w:snapToGrid w:val="0"/>
      <w:color w:val="000000"/>
    </w:rPr>
  </w:style>
  <w:style w:type="paragraph" w:customStyle="1" w:styleId="1427">
    <w:name w:val="表内小5"/>
    <w:basedOn w:val="1"/>
    <w:qFormat/>
    <w:uiPriority w:val="99"/>
    <w:pPr>
      <w:widowControl w:val="0"/>
      <w:adjustRightInd w:val="0"/>
      <w:snapToGrid w:val="0"/>
      <w:spacing w:line="300" w:lineRule="auto"/>
      <w:ind w:left="176"/>
      <w:jc w:val="both"/>
    </w:pPr>
    <w:rPr>
      <w:rFonts w:cs="Times New Roman"/>
      <w:kern w:val="2"/>
      <w:sz w:val="18"/>
    </w:rPr>
  </w:style>
  <w:style w:type="paragraph" w:customStyle="1" w:styleId="1428">
    <w:name w:val="正文文本缩进 311"/>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429">
    <w:name w:val="列表 3F"/>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30">
    <w:name w:val="列表 5Q"/>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31">
    <w:name w:val="样式 正文首行缩进 + 四号 段后: 0 磅 行距: 1.5 倍行距"/>
    <w:basedOn w:val="78"/>
    <w:qFormat/>
    <w:uiPriority w:val="99"/>
    <w:pPr>
      <w:widowControl w:val="0"/>
      <w:spacing w:after="0" w:line="360" w:lineRule="auto"/>
      <w:ind w:firstLine="560" w:firstLineChars="200"/>
    </w:pPr>
    <w:rPr>
      <w:rFonts w:hAnsi="Times New Roman"/>
      <w:sz w:val="28"/>
    </w:rPr>
  </w:style>
  <w:style w:type="paragraph" w:customStyle="1" w:styleId="1432">
    <w:name w:val="TOC 标题1"/>
    <w:basedOn w:val="4"/>
    <w:next w:val="1"/>
    <w:qFormat/>
    <w:uiPriority w:val="39"/>
    <w:pPr>
      <w:keepNext/>
      <w:keepLines/>
      <w:spacing w:before="480" w:line="276" w:lineRule="auto"/>
      <w:outlineLvl w:val="9"/>
    </w:pPr>
    <w:rPr>
      <w:rFonts w:ascii="Cambria" w:hAnsi="Cambria" w:eastAsia="宋体"/>
      <w:bCs/>
      <w:color w:val="365F91"/>
      <w:kern w:val="0"/>
      <w:szCs w:val="32"/>
    </w:rPr>
  </w:style>
  <w:style w:type="paragraph" w:customStyle="1" w:styleId="1433">
    <w:name w:val="TY"/>
    <w:basedOn w:val="1"/>
    <w:qFormat/>
    <w:uiPriority w:val="99"/>
    <w:pPr>
      <w:widowControl w:val="0"/>
      <w:adjustRightInd w:val="0"/>
      <w:snapToGrid w:val="0"/>
      <w:spacing w:before="40" w:after="40"/>
      <w:jc w:val="both"/>
    </w:pPr>
    <w:rPr>
      <w:rFonts w:cs="Times New Roman"/>
      <w:kern w:val="2"/>
      <w:szCs w:val="20"/>
    </w:rPr>
  </w:style>
  <w:style w:type="paragraph" w:customStyle="1" w:styleId="1434">
    <w:name w:val="样式 正文首行缩进 + 首行缩进:  0 字符"/>
    <w:basedOn w:val="78"/>
    <w:qFormat/>
    <w:uiPriority w:val="99"/>
    <w:pPr>
      <w:widowControl w:val="0"/>
      <w:adjustRightInd w:val="0"/>
      <w:snapToGrid w:val="0"/>
      <w:spacing w:after="0" w:line="360" w:lineRule="auto"/>
      <w:ind w:firstLine="567" w:firstLineChars="0"/>
    </w:pPr>
    <w:rPr>
      <w:rFonts w:hAnsi="Times New Roman"/>
      <w:sz w:val="24"/>
      <w:szCs w:val="28"/>
    </w:rPr>
  </w:style>
  <w:style w:type="paragraph" w:customStyle="1" w:styleId="1435">
    <w:name w:val="列表 4B"/>
    <w:basedOn w:val="69"/>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436">
    <w:name w:val="附图编号"/>
    <w:basedOn w:val="1"/>
    <w:qFormat/>
    <w:uiPriority w:val="99"/>
    <w:pPr>
      <w:widowControl w:val="0"/>
      <w:tabs>
        <w:tab w:val="left" w:pos="1760"/>
      </w:tabs>
      <w:spacing w:line="288" w:lineRule="auto"/>
      <w:ind w:left="1021" w:hanging="341"/>
      <w:jc w:val="both"/>
    </w:pPr>
    <w:rPr>
      <w:rFonts w:ascii="Arial" w:hAnsi="Arial" w:cs="Times New Roman"/>
      <w:color w:val="CC99FF"/>
      <w:kern w:val="2"/>
      <w:szCs w:val="20"/>
    </w:rPr>
  </w:style>
  <w:style w:type="paragraph" w:customStyle="1" w:styleId="1437">
    <w:name w:val="列表 4I"/>
    <w:basedOn w:val="69"/>
    <w:qFormat/>
    <w:uiPriority w:val="99"/>
    <w:pPr>
      <w:tabs>
        <w:tab w:val="left" w:pos="785"/>
      </w:tabs>
      <w:topLinePunct w:val="0"/>
      <w:spacing w:beforeLines="50" w:afterLines="30" w:line="288" w:lineRule="auto"/>
      <w:ind w:left="0" w:leftChars="0" w:firstLine="425" w:firstLineChars="0"/>
      <w:jc w:val="both"/>
    </w:pPr>
    <w:rPr>
      <w:rFonts w:ascii="Arial" w:hAnsi="Arial" w:eastAsia="宋体"/>
      <w:color w:val="CCFFFF"/>
      <w:sz w:val="24"/>
    </w:rPr>
  </w:style>
  <w:style w:type="paragraph" w:customStyle="1" w:styleId="1438">
    <w:name w:val="font8"/>
    <w:basedOn w:val="1"/>
    <w:qFormat/>
    <w:uiPriority w:val="99"/>
    <w:pPr>
      <w:spacing w:before="100" w:beforeAutospacing="1" w:after="100" w:afterAutospacing="1"/>
    </w:pPr>
    <w:rPr>
      <w:rFonts w:ascii="Times New Roman" w:hAnsi="Times New Roman" w:eastAsia="Arial Unicode MS" w:cs="Times New Roman"/>
      <w:b/>
      <w:bCs/>
      <w:sz w:val="44"/>
      <w:szCs w:val="44"/>
    </w:rPr>
  </w:style>
  <w:style w:type="paragraph" w:customStyle="1" w:styleId="1439">
    <w:name w:val="222"/>
    <w:basedOn w:val="1"/>
    <w:qFormat/>
    <w:uiPriority w:val="99"/>
    <w:pPr>
      <w:spacing w:line="360" w:lineRule="auto"/>
    </w:pPr>
    <w:rPr>
      <w:rFonts w:ascii="Times New Roman" w:hAnsi="Times New Roman" w:cs="Times New Roman"/>
      <w:b/>
      <w:sz w:val="28"/>
      <w:szCs w:val="20"/>
      <w:lang w:eastAsia="zh-TW"/>
    </w:rPr>
  </w:style>
  <w:style w:type="paragraph" w:customStyle="1" w:styleId="1440">
    <w:name w:val="二级无标题条"/>
    <w:basedOn w:val="1"/>
    <w:qFormat/>
    <w:uiPriority w:val="99"/>
    <w:pPr>
      <w:widowControl w:val="0"/>
      <w:jc w:val="both"/>
    </w:pPr>
    <w:rPr>
      <w:rFonts w:ascii="Times New Roman" w:hAnsi="Times New Roman" w:cs="Times New Roman"/>
      <w:kern w:val="2"/>
      <w:sz w:val="21"/>
    </w:rPr>
  </w:style>
  <w:style w:type="paragraph" w:customStyle="1" w:styleId="1441">
    <w:name w:val="Char Char1 Char1"/>
    <w:basedOn w:val="1"/>
    <w:qFormat/>
    <w:uiPriority w:val="0"/>
    <w:pPr>
      <w:widowControl w:val="0"/>
      <w:jc w:val="both"/>
    </w:pPr>
    <w:rPr>
      <w:rFonts w:ascii="Times New Roman" w:hAnsi="Times New Roman" w:cs="Times New Roman"/>
      <w:kern w:val="2"/>
      <w:sz w:val="21"/>
    </w:rPr>
  </w:style>
  <w:style w:type="paragraph" w:customStyle="1" w:styleId="1442">
    <w:name w:val="xl36"/>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443">
    <w:name w:val="列表 4L"/>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444">
    <w:name w:val="xl50"/>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445">
    <w:name w:val="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446">
    <w:name w:val="正文文字缩进2"/>
    <w:basedOn w:val="32"/>
    <w:qFormat/>
    <w:uiPriority w:val="0"/>
    <w:pPr>
      <w:widowControl w:val="0"/>
      <w:spacing w:after="0" w:line="360" w:lineRule="auto"/>
      <w:ind w:left="0" w:leftChars="0" w:firstLine="600"/>
      <w:jc w:val="both"/>
    </w:pPr>
    <w:rPr>
      <w:rFonts w:ascii="黑体" w:hAnsi="宋体" w:eastAsia="黑体"/>
      <w:b/>
      <w:bCs/>
      <w:spacing w:val="0"/>
      <w:sz w:val="28"/>
    </w:rPr>
  </w:style>
  <w:style w:type="paragraph" w:customStyle="1" w:styleId="1447">
    <w:name w:val="Heading Base"/>
    <w:basedOn w:val="2"/>
    <w:next w:val="2"/>
    <w:qFormat/>
    <w:uiPriority w:val="99"/>
    <w:pPr>
      <w:keepNext/>
      <w:keepLines/>
      <w:spacing w:line="220" w:lineRule="atLeast"/>
      <w:ind w:right="-360"/>
    </w:pPr>
    <w:rPr>
      <w:rFonts w:ascii="Arial" w:hAnsi="Arial"/>
      <w:color w:val="auto"/>
      <w:spacing w:val="-4"/>
      <w:kern w:val="0"/>
      <w:sz w:val="18"/>
      <w:szCs w:val="20"/>
    </w:rPr>
  </w:style>
  <w:style w:type="paragraph" w:customStyle="1" w:styleId="1448">
    <w:name w:val="Char Char Char Char3"/>
    <w:basedOn w:val="1"/>
    <w:qFormat/>
    <w:uiPriority w:val="0"/>
    <w:pPr>
      <w:widowControl w:val="0"/>
      <w:jc w:val="both"/>
    </w:pPr>
    <w:rPr>
      <w:rFonts w:ascii="Times New Roman" w:hAnsi="Times New Roman" w:cs="Times New Roman"/>
      <w:kern w:val="2"/>
      <w:sz w:val="21"/>
    </w:rPr>
  </w:style>
  <w:style w:type="paragraph" w:customStyle="1" w:styleId="1449">
    <w:name w:val="正文（1）"/>
    <w:basedOn w:val="6"/>
    <w:next w:val="78"/>
    <w:qFormat/>
    <w:uiPriority w:val="99"/>
    <w:pPr>
      <w:adjustRightInd w:val="0"/>
      <w:snapToGrid w:val="0"/>
      <w:spacing w:line="480" w:lineRule="exact"/>
      <w:ind w:firstLine="480" w:firstLineChars="200"/>
      <w:jc w:val="both"/>
    </w:pPr>
    <w:rPr>
      <w:rFonts w:ascii="Times New Roman" w:hAnsi="Times New Roman"/>
      <w:sz w:val="24"/>
      <w:szCs w:val="24"/>
    </w:rPr>
  </w:style>
  <w:style w:type="paragraph" w:customStyle="1" w:styleId="1450">
    <w:name w:val="Char Char Char Char Char Char Char 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451">
    <w:name w:val="图"/>
    <w:basedOn w:val="2"/>
    <w:qFormat/>
    <w:uiPriority w:val="99"/>
    <w:pPr>
      <w:widowControl w:val="0"/>
      <w:adjustRightInd w:val="0"/>
      <w:spacing w:line="288" w:lineRule="auto"/>
      <w:jc w:val="center"/>
      <w:textAlignment w:val="baseline"/>
    </w:pPr>
    <w:rPr>
      <w:rFonts w:ascii="黑体" w:hAnsi="Times New Roman" w:eastAsia="黑体"/>
      <w:b/>
      <w:color w:val="auto"/>
      <w:kern w:val="0"/>
      <w:sz w:val="20"/>
      <w:szCs w:val="20"/>
    </w:rPr>
  </w:style>
  <w:style w:type="paragraph" w:customStyle="1" w:styleId="1452">
    <w:name w:val="副标题3"/>
    <w:basedOn w:val="1"/>
    <w:qFormat/>
    <w:uiPriority w:val="0"/>
    <w:pPr>
      <w:keepLines/>
      <w:widowControl w:val="0"/>
      <w:tabs>
        <w:tab w:val="left" w:pos="672"/>
        <w:tab w:val="left" w:pos="720"/>
      </w:tabs>
      <w:adjustRightInd w:val="0"/>
      <w:snapToGrid w:val="0"/>
      <w:spacing w:line="400" w:lineRule="atLeast"/>
      <w:ind w:left="672" w:hanging="348"/>
      <w:jc w:val="both"/>
      <w:outlineLvl w:val="3"/>
    </w:pPr>
    <w:rPr>
      <w:rFonts w:hAnsi="Times New Roman" w:cs="Times New Roman"/>
      <w:snapToGrid w:val="0"/>
    </w:rPr>
  </w:style>
  <w:style w:type="paragraph" w:customStyle="1" w:styleId="1453">
    <w:name w:val="列表 5J"/>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54">
    <w:name w:val="2-标准-表头"/>
    <w:basedOn w:val="1"/>
    <w:qFormat/>
    <w:uiPriority w:val="0"/>
    <w:pPr>
      <w:topLinePunct/>
      <w:adjustRightInd w:val="0"/>
      <w:snapToGrid w:val="0"/>
      <w:spacing w:beforeLines="50"/>
      <w:jc w:val="center"/>
    </w:pPr>
    <w:rPr>
      <w:rFonts w:ascii="Times New Roman" w:hAnsi="Times New Roman" w:eastAsia="黑体" w:cs="Times New Roman"/>
      <w:b/>
      <w:szCs w:val="20"/>
      <w:lang w:val="zh-CN"/>
    </w:rPr>
  </w:style>
  <w:style w:type="paragraph" w:customStyle="1" w:styleId="1455">
    <w:name w:val="列表 5D"/>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56">
    <w:name w:val="Char Char Char Char Char Char Char Char Char Char Char Char1 Char1"/>
    <w:basedOn w:val="1"/>
    <w:next w:val="1"/>
    <w:qFormat/>
    <w:uiPriority w:val="99"/>
    <w:pPr>
      <w:widowControl w:val="0"/>
      <w:spacing w:line="336" w:lineRule="auto"/>
      <w:ind w:firstLine="200" w:firstLineChars="200"/>
      <w:jc w:val="both"/>
    </w:pPr>
    <w:rPr>
      <w:rFonts w:eastAsia="汉鼎简书宋"/>
      <w:kern w:val="2"/>
    </w:rPr>
  </w:style>
  <w:style w:type="paragraph" w:customStyle="1" w:styleId="1457">
    <w:name w:val="表内文"/>
    <w:qFormat/>
    <w:uiPriority w:val="0"/>
    <w:pPr>
      <w:spacing w:line="360" w:lineRule="exact"/>
      <w:jc w:val="center"/>
    </w:pPr>
    <w:rPr>
      <w:rFonts w:ascii="Times New Roman" w:hAnsi="Times New Roman" w:eastAsia="仿宋_GB2312" w:cs="Times New Roman"/>
      <w:bCs/>
      <w:kern w:val="20"/>
      <w:sz w:val="21"/>
      <w:lang w:val="en-US" w:eastAsia="zh-CN" w:bidi="ar-SA"/>
    </w:rPr>
  </w:style>
  <w:style w:type="paragraph" w:customStyle="1" w:styleId="1458">
    <w:name w:val="样式 正文文本缩进 + 首行缩进:  2.25 字符"/>
    <w:basedOn w:val="32"/>
    <w:qFormat/>
    <w:uiPriority w:val="99"/>
    <w:pPr>
      <w:widowControl w:val="0"/>
      <w:jc w:val="both"/>
    </w:pPr>
    <w:rPr>
      <w:rFonts w:ascii="Times New Roman" w:hAnsi="Times New Roman" w:eastAsia="宋体"/>
      <w:spacing w:val="0"/>
      <w:szCs w:val="24"/>
    </w:rPr>
  </w:style>
  <w:style w:type="paragraph" w:customStyle="1" w:styleId="1459">
    <w:name w:val="xl41"/>
    <w:basedOn w:val="1"/>
    <w:qFormat/>
    <w:uiPriority w:val="0"/>
    <w:pPr>
      <w:spacing w:before="100" w:beforeAutospacing="1" w:after="100" w:afterAutospacing="1"/>
      <w:textAlignment w:val="center"/>
    </w:pPr>
    <w:rPr>
      <w:rFonts w:ascii="Arial Unicode MS" w:hAnsi="Arial Unicode MS" w:eastAsia="Arial Unicode MS" w:cs="Arial Unicode MS"/>
      <w:b/>
      <w:bCs/>
      <w:sz w:val="36"/>
      <w:szCs w:val="36"/>
    </w:rPr>
  </w:style>
  <w:style w:type="paragraph" w:customStyle="1" w:styleId="1460">
    <w:name w:val="xl39"/>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461">
    <w:name w:val="段落2"/>
    <w:basedOn w:val="1"/>
    <w:qFormat/>
    <w:uiPriority w:val="99"/>
    <w:pPr>
      <w:widowControl w:val="0"/>
      <w:adjustRightInd w:val="0"/>
      <w:spacing w:line="440" w:lineRule="atLeast"/>
      <w:jc w:val="both"/>
    </w:pPr>
    <w:rPr>
      <w:rFonts w:ascii="Times New Roman" w:hAnsi="Times New Roman" w:cs="Times New Roman"/>
      <w:spacing w:val="6"/>
      <w:kern w:val="2"/>
      <w:sz w:val="28"/>
      <w:szCs w:val="20"/>
    </w:rPr>
  </w:style>
  <w:style w:type="paragraph" w:customStyle="1" w:styleId="1462">
    <w:name w:val="预测表格"/>
    <w:basedOn w:val="433"/>
    <w:next w:val="1"/>
    <w:qFormat/>
    <w:uiPriority w:val="99"/>
    <w:pPr>
      <w:topLinePunct w:val="0"/>
      <w:ind w:left="-15" w:leftChars="-15" w:right="-15" w:rightChars="-15"/>
    </w:pPr>
    <w:rPr>
      <w:rFonts w:eastAsia="宋体"/>
      <w:bCs/>
      <w:spacing w:val="-10"/>
      <w:sz w:val="18"/>
      <w:szCs w:val="15"/>
    </w:rPr>
  </w:style>
  <w:style w:type="paragraph" w:customStyle="1" w:styleId="1463">
    <w:name w:val="列表 5B"/>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64">
    <w:name w:val="Document Label"/>
    <w:basedOn w:val="1"/>
    <w:next w:val="1"/>
    <w:qFormat/>
    <w:uiPriority w:val="99"/>
    <w:pPr>
      <w:spacing w:after="220"/>
      <w:ind w:right="-360"/>
    </w:pPr>
    <w:rPr>
      <w:rFonts w:ascii="Times New Roman" w:hAnsi="Times New Roman" w:cs="Times New Roman"/>
      <w:spacing w:val="-20"/>
      <w:sz w:val="48"/>
      <w:szCs w:val="20"/>
    </w:rPr>
  </w:style>
  <w:style w:type="paragraph" w:customStyle="1" w:styleId="1465">
    <w:name w:val="18"/>
    <w:basedOn w:val="1"/>
    <w:qFormat/>
    <w:uiPriority w:val="99"/>
    <w:pPr>
      <w:snapToGrid w:val="0"/>
      <w:spacing w:before="120" w:after="100" w:afterAutospacing="1" w:line="240" w:lineRule="atLeast"/>
      <w:jc w:val="center"/>
    </w:pPr>
    <w:rPr>
      <w:rFonts w:ascii="Times New Roman" w:hAnsi="Times New Roman" w:cs="Times New Roman"/>
      <w:b/>
      <w:bCs/>
    </w:rPr>
  </w:style>
  <w:style w:type="paragraph" w:customStyle="1" w:styleId="1466">
    <w:name w:val="正文（首行缩进）"/>
    <w:basedOn w:val="1"/>
    <w:qFormat/>
    <w:uiPriority w:val="0"/>
    <w:pPr>
      <w:spacing w:line="360" w:lineRule="auto"/>
      <w:ind w:firstLine="480" w:firstLineChars="200"/>
    </w:pPr>
    <w:rPr>
      <w:rFonts w:cs="Times New Roman"/>
      <w:color w:val="000000"/>
      <w:kern w:val="2"/>
      <w:szCs w:val="20"/>
    </w:rPr>
  </w:style>
  <w:style w:type="paragraph" w:customStyle="1" w:styleId="1467">
    <w:name w:val="列表 3H"/>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68">
    <w:name w:val="表格正文"/>
    <w:qFormat/>
    <w:uiPriority w:val="0"/>
    <w:pPr>
      <w:spacing w:before="60" w:after="60"/>
      <w:ind w:left="32"/>
      <w:jc w:val="center"/>
    </w:pPr>
    <w:rPr>
      <w:rFonts w:ascii="Times New Roman" w:hAnsi="Times New Roman" w:eastAsia="宋体" w:cs="Times New Roman"/>
      <w:color w:val="FF0000"/>
      <w:sz w:val="21"/>
      <w:lang w:val="en-US" w:eastAsia="zh-CN" w:bidi="ar-SA"/>
    </w:rPr>
  </w:style>
  <w:style w:type="paragraph" w:customStyle="1" w:styleId="1469">
    <w:name w:val="列表 5E"/>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70">
    <w:name w:val="列表 4D"/>
    <w:basedOn w:val="69"/>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471">
    <w:name w:val="档案号"/>
    <w:basedOn w:val="52"/>
    <w:qFormat/>
    <w:uiPriority w:val="99"/>
    <w:pPr>
      <w:widowControl w:val="0"/>
      <w:pBdr>
        <w:bottom w:val="none" w:color="auto" w:sz="0" w:space="0"/>
      </w:pBdr>
      <w:tabs>
        <w:tab w:val="center" w:pos="4320"/>
        <w:tab w:val="right" w:pos="8640"/>
        <w:tab w:val="clear" w:pos="4153"/>
        <w:tab w:val="clear" w:pos="8306"/>
      </w:tabs>
      <w:adjustRightInd w:val="0"/>
      <w:spacing w:line="460" w:lineRule="exact"/>
      <w:jc w:val="right"/>
      <w:textAlignment w:val="baseline"/>
    </w:pPr>
    <w:rPr>
      <w:rFonts w:ascii="宋体" w:hAnsi="Arial"/>
      <w:spacing w:val="3"/>
      <w:kern w:val="24"/>
      <w:sz w:val="24"/>
      <w:szCs w:val="20"/>
    </w:rPr>
  </w:style>
  <w:style w:type="paragraph" w:customStyle="1" w:styleId="1472">
    <w:name w:val="样式 (中文) 仿宋_GB2312 四号 行距: 1.5 倍行距 Char"/>
    <w:basedOn w:val="1"/>
    <w:qFormat/>
    <w:uiPriority w:val="0"/>
    <w:pPr>
      <w:widowControl w:val="0"/>
      <w:jc w:val="center"/>
    </w:pPr>
    <w:rPr>
      <w:rFonts w:ascii="Times New Roman" w:hAnsi="Times New Roman" w:cs="Times New Roman"/>
      <w:kern w:val="2"/>
      <w:szCs w:val="28"/>
    </w:rPr>
  </w:style>
  <w:style w:type="paragraph" w:customStyle="1" w:styleId="1473">
    <w:name w:val="Header Base"/>
    <w:basedOn w:val="1"/>
    <w:qFormat/>
    <w:uiPriority w:val="99"/>
    <w:pPr>
      <w:ind w:right="-360"/>
    </w:pPr>
    <w:rPr>
      <w:rFonts w:ascii="Times New Roman" w:hAnsi="Times New Roman" w:cs="Times New Roman"/>
      <w:sz w:val="20"/>
      <w:szCs w:val="20"/>
    </w:rPr>
  </w:style>
  <w:style w:type="paragraph" w:customStyle="1" w:styleId="1474">
    <w:name w:val="列表 C"/>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5">
    <w:name w:val="xl92"/>
    <w:basedOn w:val="1"/>
    <w:qFormat/>
    <w:uiPriority w:val="99"/>
    <w:pPr>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1476">
    <w:name w:val="样式－表"/>
    <w:basedOn w:val="1"/>
    <w:qFormat/>
    <w:uiPriority w:val="99"/>
    <w:pPr>
      <w:widowControl w:val="0"/>
      <w:adjustRightInd w:val="0"/>
      <w:snapToGrid w:val="0"/>
      <w:spacing w:before="62"/>
      <w:jc w:val="center"/>
    </w:pPr>
    <w:rPr>
      <w:rFonts w:ascii="Times New Roman" w:hAnsi="Times New Roman" w:cs="Times New Roman"/>
      <w:snapToGrid w:val="0"/>
      <w:color w:val="000000"/>
      <w:szCs w:val="20"/>
    </w:rPr>
  </w:style>
  <w:style w:type="paragraph" w:customStyle="1" w:styleId="1477">
    <w:name w:val="font1"/>
    <w:basedOn w:val="1"/>
    <w:qFormat/>
    <w:uiPriority w:val="99"/>
    <w:pPr>
      <w:spacing w:before="100" w:beforeAutospacing="1" w:after="100" w:afterAutospacing="1"/>
    </w:pPr>
    <w:rPr>
      <w:rFonts w:hint="eastAsia" w:cs="Times New Roman"/>
    </w:rPr>
  </w:style>
  <w:style w:type="paragraph" w:customStyle="1" w:styleId="1478">
    <w:name w:val="列表 2S"/>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79">
    <w:name w:val="蒲表头"/>
    <w:basedOn w:val="1"/>
    <w:qFormat/>
    <w:uiPriority w:val="99"/>
    <w:pPr>
      <w:widowControl w:val="0"/>
      <w:adjustRightInd w:val="0"/>
      <w:snapToGrid w:val="0"/>
      <w:spacing w:beforeLines="20"/>
      <w:ind w:firstLine="480" w:firstLineChars="200"/>
      <w:jc w:val="both"/>
    </w:pPr>
    <w:rPr>
      <w:rFonts w:ascii="Times New Roman" w:hAnsi="Times New Roman" w:cs="Times New Roman"/>
      <w:b/>
      <w:kern w:val="2"/>
    </w:rPr>
  </w:style>
  <w:style w:type="paragraph" w:customStyle="1" w:styleId="1480">
    <w:name w:val="CM67"/>
    <w:basedOn w:val="101"/>
    <w:next w:val="101"/>
    <w:qFormat/>
    <w:uiPriority w:val="99"/>
    <w:pPr>
      <w:spacing w:after="142"/>
    </w:pPr>
    <w:rPr>
      <w:color w:val="auto"/>
    </w:rPr>
  </w:style>
  <w:style w:type="paragraph" w:customStyle="1" w:styleId="1481">
    <w:name w:val="样式 正文缩进正文缩进 Char + 首行缩进:  2 字符"/>
    <w:basedOn w:val="6"/>
    <w:qFormat/>
    <w:uiPriority w:val="99"/>
    <w:pPr>
      <w:widowControl w:val="0"/>
      <w:adjustRightInd w:val="0"/>
      <w:snapToGrid w:val="0"/>
      <w:spacing w:line="360" w:lineRule="auto"/>
      <w:ind w:firstLine="480" w:firstLineChars="200"/>
      <w:jc w:val="both"/>
    </w:pPr>
    <w:rPr>
      <w:rFonts w:ascii="Times New Roman" w:hAnsi="Times New Roman"/>
      <w:snapToGrid w:val="0"/>
      <w:sz w:val="24"/>
      <w:szCs w:val="24"/>
    </w:rPr>
  </w:style>
  <w:style w:type="paragraph" w:customStyle="1" w:styleId="1482">
    <w:name w:val="正文(a)"/>
    <w:basedOn w:val="2"/>
    <w:qFormat/>
    <w:uiPriority w:val="99"/>
    <w:pPr>
      <w:tabs>
        <w:tab w:val="left" w:pos="1139"/>
      </w:tabs>
      <w:spacing w:line="351" w:lineRule="atLeast"/>
      <w:ind w:left="-141" w:firstLine="566"/>
      <w:jc w:val="both"/>
      <w:textAlignment w:val="baseline"/>
    </w:pPr>
    <w:rPr>
      <w:rFonts w:ascii="宋体" w:hAnsi="Times New Roman" w:cs="宋体"/>
      <w:bCs/>
      <w:spacing w:val="5"/>
      <w:kern w:val="0"/>
      <w:sz w:val="20"/>
      <w:szCs w:val="21"/>
    </w:rPr>
  </w:style>
  <w:style w:type="paragraph" w:customStyle="1" w:styleId="1483">
    <w:name w:val="尾注文本1"/>
    <w:basedOn w:val="164"/>
    <w:qFormat/>
    <w:uiPriority w:val="99"/>
    <w:rPr>
      <w:rFonts w:eastAsia="Times New Roman"/>
      <w:sz w:val="21"/>
      <w:szCs w:val="22"/>
    </w:rPr>
  </w:style>
  <w:style w:type="paragraph" w:customStyle="1" w:styleId="1484">
    <w:name w:val="列表 G"/>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85">
    <w:name w:val="CM69"/>
    <w:basedOn w:val="101"/>
    <w:next w:val="101"/>
    <w:qFormat/>
    <w:uiPriority w:val="99"/>
    <w:pPr>
      <w:spacing w:after="67"/>
    </w:pPr>
    <w:rPr>
      <w:color w:val="auto"/>
    </w:rPr>
  </w:style>
  <w:style w:type="paragraph" w:customStyle="1" w:styleId="1486">
    <w:name w:val="样式 样式2 + 段前: 6 磅 行距: 单倍行距2"/>
    <w:basedOn w:val="1300"/>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pacing w:val="-16"/>
      <w:sz w:val="21"/>
      <w:szCs w:val="21"/>
    </w:rPr>
  </w:style>
  <w:style w:type="paragraph" w:customStyle="1" w:styleId="1487">
    <w:name w:val="列表 4F"/>
    <w:basedOn w:val="69"/>
    <w:qFormat/>
    <w:uiPriority w:val="99"/>
    <w:pPr>
      <w:tabs>
        <w:tab w:val="left" w:pos="980"/>
      </w:tabs>
      <w:topLinePunct w:val="0"/>
      <w:spacing w:beforeLines="50" w:afterLines="30" w:line="288" w:lineRule="auto"/>
      <w:ind w:left="980" w:leftChars="0" w:hanging="420" w:firstLineChars="0"/>
      <w:jc w:val="both"/>
    </w:pPr>
    <w:rPr>
      <w:rFonts w:ascii="Arial" w:hAnsi="Arial" w:eastAsia="宋体"/>
      <w:color w:val="CCFFFF"/>
      <w:sz w:val="24"/>
    </w:rPr>
  </w:style>
  <w:style w:type="paragraph" w:customStyle="1" w:styleId="1488">
    <w:name w:val="Table Body"/>
    <w:basedOn w:val="1"/>
    <w:qFormat/>
    <w:uiPriority w:val="99"/>
    <w:pPr>
      <w:spacing w:before="80" w:after="80"/>
    </w:pPr>
    <w:rPr>
      <w:rFonts w:ascii="Arial" w:hAnsi="Arial" w:eastAsia="Batang" w:cs="Times New Roman"/>
      <w:sz w:val="18"/>
      <w:szCs w:val="20"/>
      <w:lang w:eastAsia="ko-KR"/>
    </w:rPr>
  </w:style>
  <w:style w:type="paragraph" w:customStyle="1" w:styleId="1489">
    <w:name w:val="CM6"/>
    <w:basedOn w:val="101"/>
    <w:next w:val="101"/>
    <w:qFormat/>
    <w:uiPriority w:val="99"/>
    <w:rPr>
      <w:color w:val="auto"/>
    </w:rPr>
  </w:style>
  <w:style w:type="paragraph" w:customStyle="1" w:styleId="1490">
    <w:name w:val="Body Text First Indent3"/>
    <w:basedOn w:val="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0"/>
    </w:rPr>
  </w:style>
  <w:style w:type="paragraph" w:customStyle="1" w:styleId="1491">
    <w:name w:val="样式 题注 + 五号 加粗 居中"/>
    <w:basedOn w:val="1"/>
    <w:qFormat/>
    <w:uiPriority w:val="99"/>
    <w:pPr>
      <w:widowControl w:val="0"/>
      <w:spacing w:beforeLines="20" w:afterLines="20" w:line="360" w:lineRule="auto"/>
      <w:jc w:val="center"/>
    </w:pPr>
    <w:rPr>
      <w:rFonts w:ascii="Arial" w:hAnsi="Arial" w:eastAsia="黑体" w:cs="Times New Roman"/>
      <w:b/>
      <w:bCs/>
      <w:kern w:val="2"/>
      <w:szCs w:val="21"/>
    </w:rPr>
  </w:style>
  <w:style w:type="paragraph" w:customStyle="1" w:styleId="1492">
    <w:name w:val="列表 L"/>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93">
    <w:name w:val="列表 K"/>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94">
    <w:name w:val="Char Char Char Char Char Char Char Char Char Char Char Char1 Char Char Char Char Char Char Char Char Char Char Char Char1 Char"/>
    <w:basedOn w:val="1"/>
    <w:next w:val="1"/>
    <w:qFormat/>
    <w:uiPriority w:val="99"/>
    <w:pPr>
      <w:widowControl w:val="0"/>
      <w:spacing w:line="336" w:lineRule="auto"/>
      <w:ind w:firstLine="200" w:firstLineChars="200"/>
      <w:jc w:val="both"/>
    </w:pPr>
    <w:rPr>
      <w:rFonts w:eastAsia="汉鼎简书宋"/>
      <w:kern w:val="2"/>
    </w:rPr>
  </w:style>
  <w:style w:type="paragraph" w:customStyle="1" w:styleId="1495">
    <w:name w:val="列表 2Q"/>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96">
    <w:name w:val="列表 5H"/>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97">
    <w:name w:val="列表 2Y"/>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98">
    <w:name w:val="Char Char Char Char2"/>
    <w:basedOn w:val="1"/>
    <w:qFormat/>
    <w:uiPriority w:val="99"/>
    <w:pPr>
      <w:spacing w:after="160" w:line="240" w:lineRule="exact"/>
    </w:pPr>
    <w:rPr>
      <w:rFonts w:ascii="Verdana" w:hAnsi="Verdana" w:cs="Times New Roman"/>
      <w:sz w:val="20"/>
      <w:szCs w:val="20"/>
      <w:lang w:eastAsia="en-US"/>
    </w:rPr>
  </w:style>
  <w:style w:type="paragraph" w:customStyle="1" w:styleId="1499">
    <w:name w:val="Char Char Char Char Char Char1"/>
    <w:basedOn w:val="1"/>
    <w:qFormat/>
    <w:uiPriority w:val="0"/>
    <w:pPr>
      <w:jc w:val="both"/>
    </w:pPr>
    <w:rPr>
      <w:rFonts w:ascii="Times New Roman" w:hAnsi="Times New Roman" w:cs="Times New Roman"/>
    </w:rPr>
  </w:style>
  <w:style w:type="paragraph" w:customStyle="1" w:styleId="1500">
    <w:name w:val="6"/>
    <w:basedOn w:val="1"/>
    <w:next w:val="32"/>
    <w:qFormat/>
    <w:uiPriority w:val="99"/>
    <w:pPr>
      <w:widowControl w:val="0"/>
      <w:spacing w:line="300" w:lineRule="auto"/>
      <w:ind w:firstLine="480" w:firstLineChars="200"/>
      <w:jc w:val="both"/>
    </w:pPr>
    <w:rPr>
      <w:rFonts w:ascii="Times New Roman" w:hAnsi="Times New Roman" w:cs="Times New Roman"/>
      <w:kern w:val="2"/>
    </w:rPr>
  </w:style>
  <w:style w:type="paragraph" w:customStyle="1" w:styleId="1501">
    <w:name w:val="标题 3 + Arial 小四 非加粗 段前: 0 磅 段后: 6 磅 行距: 固定值 22 磅"/>
    <w:basedOn w:val="7"/>
    <w:next w:val="1"/>
    <w:qFormat/>
    <w:uiPriority w:val="99"/>
    <w:pPr>
      <w:widowControl w:val="0"/>
      <w:adjustRightInd w:val="0"/>
      <w:snapToGrid w:val="0"/>
      <w:spacing w:line="360" w:lineRule="auto"/>
      <w:jc w:val="both"/>
    </w:pPr>
    <w:rPr>
      <w:rFonts w:ascii="黑体" w:hAnsi="Arial"/>
      <w:bCs w:val="0"/>
      <w:color w:val="000000"/>
      <w:sz w:val="24"/>
      <w:szCs w:val="20"/>
    </w:rPr>
  </w:style>
  <w:style w:type="paragraph" w:customStyle="1" w:styleId="1502">
    <w:name w:val="表内文字"/>
    <w:basedOn w:val="1"/>
    <w:qFormat/>
    <w:uiPriority w:val="99"/>
    <w:pPr>
      <w:ind w:left="57" w:right="57"/>
      <w:jc w:val="center"/>
    </w:pPr>
    <w:rPr>
      <w:rFonts w:ascii="Times" w:hAnsi="Times" w:cs="Times"/>
      <w:snapToGrid w:val="0"/>
      <w:spacing w:val="-20"/>
      <w:sz w:val="21"/>
      <w:szCs w:val="21"/>
    </w:rPr>
  </w:style>
  <w:style w:type="paragraph" w:customStyle="1" w:styleId="1503">
    <w:name w:val="正文文本 小4"/>
    <w:qFormat/>
    <w:uiPriority w:val="99"/>
    <w:pPr>
      <w:widowControl w:val="0"/>
      <w:autoSpaceDE w:val="0"/>
      <w:autoSpaceDN w:val="0"/>
      <w:adjustRightInd w:val="0"/>
      <w:snapToGrid w:val="0"/>
      <w:spacing w:line="360" w:lineRule="auto"/>
      <w:ind w:firstLine="480" w:firstLineChars="200"/>
      <w:jc w:val="both"/>
    </w:pPr>
    <w:rPr>
      <w:rFonts w:ascii="仿宋_GB2312" w:hAnsi="Arial" w:eastAsia="仿宋_GB2312" w:cs="Times New Roman"/>
      <w:snapToGrid w:val="0"/>
      <w:color w:val="000000"/>
      <w:sz w:val="24"/>
      <w:lang w:val="en-US" w:eastAsia="zh-CN" w:bidi="ar-SA"/>
    </w:rPr>
  </w:style>
  <w:style w:type="paragraph" w:customStyle="1" w:styleId="1504">
    <w:name w:val="Char Char Char Char Char Char Char Char Char Char2"/>
    <w:basedOn w:val="1"/>
    <w:qFormat/>
    <w:uiPriority w:val="99"/>
    <w:pPr>
      <w:widowControl w:val="0"/>
      <w:jc w:val="both"/>
    </w:pPr>
    <w:rPr>
      <w:color w:val="000000"/>
      <w:kern w:val="2"/>
      <w:sz w:val="21"/>
      <w:szCs w:val="21"/>
    </w:rPr>
  </w:style>
  <w:style w:type="paragraph" w:customStyle="1" w:styleId="1505">
    <w:name w:val="表标题16.8－1"/>
    <w:basedOn w:val="1"/>
    <w:qFormat/>
    <w:uiPriority w:val="99"/>
    <w:pPr>
      <w:tabs>
        <w:tab w:val="left" w:pos="1560"/>
        <w:tab w:val="left" w:pos="2160"/>
        <w:tab w:val="left" w:pos="3060"/>
      </w:tabs>
      <w:adjustRightInd w:val="0"/>
      <w:snapToGrid w:val="0"/>
      <w:spacing w:line="0" w:lineRule="atLeast"/>
      <w:ind w:left="2400" w:hanging="420"/>
      <w:jc w:val="center"/>
      <w:textAlignment w:val="baseline"/>
    </w:pPr>
    <w:rPr>
      <w:rFonts w:ascii="Times New Roman" w:hAnsi="Times New Roman" w:eastAsia="黑体" w:cs="Times New Roman"/>
      <w:b/>
      <w:color w:val="000000"/>
      <w:kern w:val="2"/>
    </w:rPr>
  </w:style>
  <w:style w:type="paragraph" w:customStyle="1" w:styleId="1506">
    <w:name w:val="p15"/>
    <w:basedOn w:val="1"/>
    <w:qFormat/>
    <w:uiPriority w:val="99"/>
    <w:pPr>
      <w:snapToGrid w:val="0"/>
    </w:pPr>
    <w:rPr>
      <w:rFonts w:ascii="Times New Roman" w:hAnsi="Times New Roman" w:cs="Times New Roman"/>
      <w:color w:val="0000FF"/>
      <w:sz w:val="21"/>
      <w:szCs w:val="20"/>
    </w:rPr>
  </w:style>
  <w:style w:type="paragraph" w:customStyle="1" w:styleId="1507">
    <w:name w:val="表左"/>
    <w:basedOn w:val="1059"/>
    <w:qFormat/>
    <w:uiPriority w:val="99"/>
    <w:pPr>
      <w:tabs>
        <w:tab w:val="clear" w:pos="2190"/>
      </w:tabs>
      <w:ind w:right="0" w:rightChars="0"/>
      <w:jc w:val="both"/>
    </w:pPr>
  </w:style>
  <w:style w:type="paragraph" w:customStyle="1" w:styleId="1508">
    <w:name w:val="样式 样式 样式 样式 正文 首行缩进 + 首行缩进:  2 字符 行距: 单倍行距 + 首行缩进:  2 字符 + 小四 首行...2"/>
    <w:basedOn w:val="1"/>
    <w:qFormat/>
    <w:uiPriority w:val="99"/>
    <w:pPr>
      <w:widowControl w:val="0"/>
      <w:spacing w:line="312" w:lineRule="auto"/>
      <w:ind w:firstLine="480" w:firstLineChars="200"/>
      <w:jc w:val="both"/>
    </w:pPr>
    <w:rPr>
      <w:rFonts w:ascii="Arial" w:hAnsi="Arial"/>
      <w:kern w:val="2"/>
      <w:szCs w:val="20"/>
    </w:rPr>
  </w:style>
  <w:style w:type="paragraph" w:customStyle="1" w:styleId="1509">
    <w:name w:val="Char Char Char Char Char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510">
    <w:name w:val="xl83"/>
    <w:basedOn w:val="1"/>
    <w:qFormat/>
    <w:uiPriority w:val="99"/>
    <w:pPr>
      <w:pBdr>
        <w:top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11">
    <w:name w:val="xl103"/>
    <w:basedOn w:val="1"/>
    <w:qFormat/>
    <w:uiPriority w:val="99"/>
    <w:pPr>
      <w:pBdr>
        <w:top w:val="single" w:color="auto" w:sz="4" w:space="0"/>
        <w:left w:val="single" w:color="auto" w:sz="8"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512">
    <w:name w:val="列表 I"/>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513">
    <w:name w:val="样式 标题 2节标题2H2h2第一层条二级 标题 2标题 2 Char节标题1MVA21.1Headin..."/>
    <w:basedOn w:val="5"/>
    <w:qFormat/>
    <w:uiPriority w:val="99"/>
    <w:pPr>
      <w:keepNext w:val="0"/>
      <w:keepLines w:val="0"/>
      <w:widowControl w:val="0"/>
      <w:tabs>
        <w:tab w:val="left" w:pos="786"/>
      </w:tabs>
      <w:adjustRightInd w:val="0"/>
      <w:snapToGrid w:val="0"/>
      <w:spacing w:line="360" w:lineRule="auto"/>
      <w:ind w:left="786" w:hanging="786"/>
    </w:pPr>
    <w:rPr>
      <w:rFonts w:ascii="Times New Roman" w:hAnsi="宋体" w:eastAsia="宋体"/>
      <w:b/>
      <w:sz w:val="24"/>
      <w:szCs w:val="20"/>
    </w:rPr>
  </w:style>
  <w:style w:type="paragraph" w:customStyle="1" w:styleId="1514">
    <w:name w:val="xl110"/>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15">
    <w:name w:val="列表 1A"/>
    <w:basedOn w:val="810"/>
    <w:qFormat/>
    <w:uiPriority w:val="99"/>
    <w:pPr>
      <w:tabs>
        <w:tab w:val="left" w:pos="907"/>
        <w:tab w:val="clear" w:pos="432"/>
      </w:tabs>
      <w:ind w:left="907" w:hanging="567"/>
    </w:pPr>
  </w:style>
  <w:style w:type="paragraph" w:customStyle="1" w:styleId="1516">
    <w:name w:val="公司名"/>
    <w:basedOn w:val="1"/>
    <w:qFormat/>
    <w:uiPriority w:val="99"/>
    <w:pPr>
      <w:keepNext/>
      <w:keepLines/>
      <w:spacing w:beforeLines="50" w:afterLines="50" w:line="320" w:lineRule="atLeast"/>
      <w:jc w:val="center"/>
    </w:pPr>
    <w:rPr>
      <w:rFonts w:ascii="Arial" w:hAnsi="Arial" w:eastAsia="楷体_GB2312" w:cs="Times New Roman"/>
      <w:b/>
      <w:bCs/>
      <w:color w:val="CCFFCC"/>
      <w:kern w:val="28"/>
      <w:sz w:val="32"/>
      <w:szCs w:val="20"/>
      <w:lang w:bidi="he-IL"/>
    </w:rPr>
  </w:style>
  <w:style w:type="paragraph" w:customStyle="1" w:styleId="1517">
    <w:name w:val="样式 标题 2 + Times New Roman 小三 居中"/>
    <w:basedOn w:val="5"/>
    <w:qFormat/>
    <w:uiPriority w:val="99"/>
    <w:pPr>
      <w:spacing w:before="260" w:after="260" w:line="415" w:lineRule="auto"/>
      <w:ind w:firstLine="538" w:firstLineChars="192"/>
    </w:pPr>
    <w:rPr>
      <w:rFonts w:ascii="Times New Roman" w:hAnsi="Times New Roman" w:cs="宋体"/>
      <w:b/>
      <w:bCs w:val="0"/>
      <w:sz w:val="30"/>
      <w:szCs w:val="20"/>
    </w:rPr>
  </w:style>
  <w:style w:type="paragraph" w:customStyle="1" w:styleId="1518">
    <w:name w:val="列表 F"/>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519">
    <w:name w:val="样式 段前: 0.5 行 首行缩进:  2 字符"/>
    <w:basedOn w:val="1"/>
    <w:qFormat/>
    <w:uiPriority w:val="99"/>
    <w:pPr>
      <w:widowControl w:val="0"/>
      <w:adjustRightInd w:val="0"/>
      <w:snapToGrid w:val="0"/>
      <w:spacing w:before="156" w:line="360" w:lineRule="auto"/>
      <w:ind w:firstLine="480" w:firstLineChars="200"/>
      <w:jc w:val="both"/>
    </w:pPr>
    <w:rPr>
      <w:rFonts w:ascii="Times New Roman" w:hAnsi="Times New Roman"/>
      <w:kern w:val="2"/>
      <w:szCs w:val="20"/>
    </w:rPr>
  </w:style>
  <w:style w:type="paragraph" w:customStyle="1" w:styleId="1520">
    <w:name w:val="悬挂式正文"/>
    <w:basedOn w:val="1"/>
    <w:qFormat/>
    <w:uiPriority w:val="99"/>
    <w:pPr>
      <w:widowControl w:val="0"/>
      <w:tabs>
        <w:tab w:val="center" w:pos="6804"/>
        <w:tab w:val="right" w:pos="7371"/>
      </w:tabs>
      <w:overflowPunct w:val="0"/>
      <w:adjustRightInd w:val="0"/>
      <w:spacing w:line="360" w:lineRule="auto"/>
      <w:ind w:left="1701" w:hanging="1134"/>
      <w:jc w:val="both"/>
      <w:textAlignment w:val="baseline"/>
    </w:pPr>
    <w:rPr>
      <w:rFonts w:ascii="Times New Roman" w:hAnsi="Times New Roman" w:cs="Times New Roman"/>
      <w:sz w:val="28"/>
      <w:szCs w:val="20"/>
    </w:rPr>
  </w:style>
  <w:style w:type="paragraph" w:customStyle="1" w:styleId="1521">
    <w:name w:val="xl86"/>
    <w:basedOn w:val="1"/>
    <w:qFormat/>
    <w:uiPriority w:val="99"/>
    <w:pPr>
      <w:pBdr>
        <w:top w:val="single" w:color="auto" w:sz="8" w:space="0"/>
        <w:left w:val="single" w:color="auto" w:sz="8" w:space="0"/>
        <w:bottom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522">
    <w:name w:val="样式1－表头"/>
    <w:basedOn w:val="1"/>
    <w:qFormat/>
    <w:uiPriority w:val="99"/>
    <w:pPr>
      <w:widowControl w:val="0"/>
      <w:adjustRightInd w:val="0"/>
      <w:snapToGrid w:val="0"/>
      <w:spacing w:beforeLines="50" w:afterLines="50" w:line="336" w:lineRule="auto"/>
      <w:jc w:val="center"/>
    </w:pPr>
    <w:rPr>
      <w:rFonts w:ascii="Times New Roman" w:hAnsi="Times New Roman" w:eastAsia="黑体" w:cs="Times New Roman"/>
      <w:spacing w:val="6"/>
      <w:kern w:val="2"/>
      <w:szCs w:val="20"/>
    </w:rPr>
  </w:style>
  <w:style w:type="paragraph" w:customStyle="1" w:styleId="1523">
    <w:name w:val="xl104"/>
    <w:basedOn w:val="1"/>
    <w:qFormat/>
    <w:uiPriority w:val="99"/>
    <w:pPr>
      <w:pBdr>
        <w:left w:val="single" w:color="auto" w:sz="8"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524">
    <w:name w:val="列表 A"/>
    <w:basedOn w:val="59"/>
    <w:qFormat/>
    <w:uiPriority w:val="99"/>
    <w:pPr>
      <w:tabs>
        <w:tab w:val="left" w:pos="1021"/>
      </w:tabs>
      <w:spacing w:beforeLines="100" w:afterLines="50" w:line="288" w:lineRule="auto"/>
      <w:ind w:left="1021" w:hanging="454"/>
    </w:pPr>
    <w:rPr>
      <w:rFonts w:hint="default" w:ascii="Arial" w:hAnsi="Arial" w:eastAsia="宋体"/>
      <w:b/>
      <w:bCs/>
      <w:color w:val="FF99CC"/>
      <w:kern w:val="0"/>
      <w:szCs w:val="20"/>
    </w:rPr>
  </w:style>
  <w:style w:type="paragraph" w:customStyle="1" w:styleId="1525">
    <w:name w:val="04"/>
    <w:basedOn w:val="1"/>
    <w:qFormat/>
    <w:uiPriority w:val="99"/>
    <w:pPr>
      <w:widowControl w:val="0"/>
      <w:spacing w:line="312" w:lineRule="auto"/>
      <w:jc w:val="both"/>
    </w:pPr>
    <w:rPr>
      <w:rFonts w:ascii="Times New Roman" w:hAnsi="Times New Roman" w:eastAsia="华文仿宋" w:cs="Times New Roman"/>
      <w:kern w:val="2"/>
      <w:szCs w:val="30"/>
    </w:rPr>
  </w:style>
  <w:style w:type="paragraph" w:customStyle="1" w:styleId="1526">
    <w:name w:val="列表 5K"/>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27">
    <w:name w:val="正文文字进缩"/>
    <w:basedOn w:val="1"/>
    <w:qFormat/>
    <w:uiPriority w:val="0"/>
    <w:pPr>
      <w:widowControl w:val="0"/>
      <w:spacing w:line="360" w:lineRule="auto"/>
      <w:ind w:firstLine="539"/>
      <w:jc w:val="both"/>
    </w:pPr>
    <w:rPr>
      <w:rFonts w:hAnsi="Arial Black" w:cs="Times New Roman"/>
      <w:bCs/>
      <w:iCs/>
      <w:kern w:val="2"/>
      <w:sz w:val="28"/>
    </w:rPr>
  </w:style>
  <w:style w:type="paragraph" w:customStyle="1" w:styleId="1528">
    <w:name w:val="xl102"/>
    <w:basedOn w:val="1"/>
    <w:qFormat/>
    <w:uiPriority w:val="99"/>
    <w:pPr>
      <w:pBdr>
        <w:top w:val="single" w:color="auto" w:sz="4" w:space="0"/>
        <w:bottom w:val="single" w:color="auto" w:sz="4"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529">
    <w:name w:val="列表 4J"/>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30">
    <w:name w:val="奉读大示，心折殊深。"/>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531">
    <w:name w:val="16"/>
    <w:basedOn w:val="1"/>
    <w:qFormat/>
    <w:uiPriority w:val="0"/>
    <w:pPr>
      <w:spacing w:before="100" w:beforeAutospacing="1" w:after="100" w:afterAutospacing="1"/>
    </w:pPr>
  </w:style>
  <w:style w:type="paragraph" w:customStyle="1" w:styleId="1532">
    <w:name w:val="acee正文"/>
    <w:basedOn w:val="1"/>
    <w:qFormat/>
    <w:uiPriority w:val="99"/>
    <w:pPr>
      <w:widowControl w:val="0"/>
      <w:adjustRightInd w:val="0"/>
      <w:snapToGrid w:val="0"/>
      <w:spacing w:line="480" w:lineRule="exact"/>
      <w:ind w:firstLine="640" w:firstLineChars="200"/>
      <w:jc w:val="both"/>
    </w:pPr>
    <w:rPr>
      <w:rFonts w:ascii="仿宋_GB2312" w:eastAsia="仿宋_GB2312" w:cs="Times New Roman"/>
      <w:kern w:val="2"/>
      <w:sz w:val="32"/>
    </w:rPr>
  </w:style>
  <w:style w:type="paragraph" w:customStyle="1" w:styleId="1533">
    <w:name w:val="列表 2C"/>
    <w:basedOn w:val="34"/>
    <w:qFormat/>
    <w:uiPriority w:val="99"/>
    <w:pPr>
      <w:tabs>
        <w:tab w:val="left" w:pos="1275"/>
      </w:tabs>
      <w:snapToGrid/>
      <w:spacing w:before="100" w:beforeAutospacing="1" w:after="100" w:afterAutospacing="1" w:line="288" w:lineRule="auto"/>
      <w:ind w:left="1275" w:hanging="705"/>
      <w:jc w:val="both"/>
    </w:pPr>
    <w:rPr>
      <w:rFonts w:ascii="Arial" w:hAnsi="Arial"/>
      <w:color w:val="FFFF99"/>
      <w:sz w:val="24"/>
    </w:rPr>
  </w:style>
  <w:style w:type="paragraph" w:customStyle="1" w:styleId="1534">
    <w:name w:val="xl99"/>
    <w:basedOn w:val="1"/>
    <w:qFormat/>
    <w:uiPriority w:val="99"/>
    <w:pPr>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1535">
    <w:name w:val="图目"/>
    <w:basedOn w:val="1"/>
    <w:qFormat/>
    <w:uiPriority w:val="99"/>
    <w:pPr>
      <w:widowControl w:val="0"/>
      <w:adjustRightInd w:val="0"/>
      <w:spacing w:line="0" w:lineRule="atLeast"/>
      <w:jc w:val="center"/>
      <w:textAlignment w:val="baseline"/>
    </w:pPr>
    <w:rPr>
      <w:rFonts w:ascii="Arial" w:hAnsi="Arial" w:cs="Arial"/>
      <w:kern w:val="2"/>
      <w:sz w:val="21"/>
      <w:szCs w:val="20"/>
    </w:rPr>
  </w:style>
  <w:style w:type="paragraph" w:customStyle="1" w:styleId="1536">
    <w:name w:val="样式 黑体 居中 行距: 1.5 倍行距"/>
    <w:basedOn w:val="1"/>
    <w:qFormat/>
    <w:uiPriority w:val="0"/>
    <w:pPr>
      <w:widowControl w:val="0"/>
      <w:spacing w:line="360" w:lineRule="auto"/>
      <w:jc w:val="center"/>
    </w:pPr>
    <w:rPr>
      <w:rFonts w:ascii="黑体" w:hAnsi="黑体" w:eastAsia="黑体"/>
      <w:szCs w:val="20"/>
    </w:rPr>
  </w:style>
  <w:style w:type="paragraph" w:customStyle="1" w:styleId="1537">
    <w:name w:val="Char Char Char Char Char Char Char Char Char Char Char Char1 Char2"/>
    <w:basedOn w:val="1"/>
    <w:next w:val="1"/>
    <w:qFormat/>
    <w:uiPriority w:val="99"/>
    <w:pPr>
      <w:widowControl w:val="0"/>
      <w:spacing w:line="336" w:lineRule="auto"/>
      <w:ind w:firstLine="200" w:firstLineChars="200"/>
      <w:jc w:val="both"/>
    </w:pPr>
    <w:rPr>
      <w:rFonts w:eastAsia="汉鼎简书宋"/>
      <w:kern w:val="2"/>
    </w:rPr>
  </w:style>
  <w:style w:type="paragraph" w:customStyle="1" w:styleId="1538">
    <w:name w:val="内蒙3"/>
    <w:basedOn w:val="7"/>
    <w:qFormat/>
    <w:uiPriority w:val="99"/>
    <w:pPr>
      <w:widowControl w:val="0"/>
      <w:adjustRightInd w:val="0"/>
      <w:snapToGrid w:val="0"/>
      <w:spacing w:line="480" w:lineRule="exact"/>
      <w:jc w:val="both"/>
    </w:pPr>
    <w:rPr>
      <w:b/>
      <w:color w:val="FF0000"/>
      <w:spacing w:val="20"/>
      <w:sz w:val="24"/>
    </w:rPr>
  </w:style>
  <w:style w:type="paragraph" w:customStyle="1" w:styleId="1539">
    <w:name w:val="样式 标题 1 + (中文) 黑体 三号 居中 行距: 单倍行距"/>
    <w:basedOn w:val="4"/>
    <w:qFormat/>
    <w:uiPriority w:val="99"/>
    <w:pPr>
      <w:keepNext/>
      <w:keepLines/>
      <w:topLinePunct/>
      <w:autoSpaceDE w:val="0"/>
      <w:autoSpaceDN w:val="0"/>
      <w:adjustRightInd w:val="0"/>
      <w:snapToGrid w:val="0"/>
      <w:spacing w:before="340" w:after="330"/>
      <w:ind w:firstLine="538" w:firstLineChars="224"/>
    </w:pPr>
    <w:rPr>
      <w:rFonts w:ascii="宋体" w:hAnsi="Times New Roman" w:cs="宋体"/>
      <w:b/>
      <w:snapToGrid w:val="0"/>
      <w:kern w:val="44"/>
      <w:szCs w:val="20"/>
    </w:rPr>
  </w:style>
  <w:style w:type="paragraph" w:customStyle="1" w:styleId="1540">
    <w:name w:val="t12"/>
    <w:basedOn w:val="1"/>
    <w:qFormat/>
    <w:uiPriority w:val="99"/>
    <w:pPr>
      <w:spacing w:before="100" w:beforeAutospacing="1" w:after="100" w:afterAutospacing="1"/>
    </w:pPr>
  </w:style>
  <w:style w:type="paragraph" w:customStyle="1" w:styleId="1541">
    <w:name w:val="列表 2X"/>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42">
    <w:name w:val="文字表格"/>
    <w:basedOn w:val="181"/>
    <w:qFormat/>
    <w:uiPriority w:val="99"/>
    <w:pPr>
      <w:widowControl w:val="0"/>
      <w:tabs>
        <w:tab w:val="clear" w:pos="146"/>
      </w:tabs>
      <w:autoSpaceDE w:val="0"/>
      <w:autoSpaceDN w:val="0"/>
      <w:adjustRightInd w:val="0"/>
      <w:snapToGrid w:val="0"/>
      <w:spacing w:line="360" w:lineRule="atLeast"/>
      <w:ind w:right="0" w:rightChars="0" w:firstLine="0"/>
    </w:pPr>
    <w:rPr>
      <w:rFonts w:ascii="Times New Roman" w:hAnsi="Times New Roman" w:cs="宋体"/>
      <w:snapToGrid w:val="0"/>
      <w:color w:val="000000"/>
      <w:spacing w:val="0"/>
      <w:sz w:val="20"/>
      <w:szCs w:val="21"/>
      <w:lang w:val="zh-CN"/>
    </w:rPr>
  </w:style>
  <w:style w:type="paragraph" w:customStyle="1" w:styleId="1543">
    <w:name w:val="xl77"/>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44">
    <w:name w:val="s0"/>
    <w:qFormat/>
    <w:uiPriority w:val="99"/>
    <w:pPr>
      <w:widowControl w:val="0"/>
      <w:autoSpaceDE w:val="0"/>
      <w:autoSpaceDN w:val="0"/>
      <w:adjustRightInd w:val="0"/>
    </w:pPr>
    <w:rPr>
      <w:rFonts w:ascii="????" w:hAnsi="Times New Roman" w:eastAsia="????" w:cs="Times New Roman"/>
      <w:lang w:val="en-US" w:eastAsia="zh-CN" w:bidi="ar-SA"/>
    </w:rPr>
  </w:style>
  <w:style w:type="paragraph" w:customStyle="1" w:styleId="1545">
    <w:name w:val="xl108"/>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46">
    <w:name w:val="列表 3M"/>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47">
    <w:name w:val="正文文本缩进 31"/>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548">
    <w:name w:val="列表 2M"/>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49">
    <w:name w:val="表样式"/>
    <w:basedOn w:val="1038"/>
    <w:qFormat/>
    <w:uiPriority w:val="99"/>
    <w:pPr>
      <w:keepNext w:val="0"/>
      <w:widowControl w:val="0"/>
      <w:spacing w:beforeLines="0" w:line="240" w:lineRule="auto"/>
    </w:pPr>
    <w:rPr>
      <w:rFonts w:ascii="仿宋_GB2312" w:eastAsia="黑体"/>
      <w:sz w:val="21"/>
    </w:rPr>
  </w:style>
  <w:style w:type="paragraph" w:customStyle="1" w:styleId="1550">
    <w:name w:val="列表 3G"/>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51">
    <w:name w:val="默认段落字体 Para Char Char Char Char Char Char Char"/>
    <w:basedOn w:val="1"/>
    <w:qFormat/>
    <w:uiPriority w:val="99"/>
    <w:pPr>
      <w:widowControl w:val="0"/>
      <w:jc w:val="both"/>
    </w:pPr>
    <w:rPr>
      <w:rFonts w:ascii="Times New Roman" w:hAnsi="Times New Roman" w:cs="Times New Roman"/>
      <w:kern w:val="2"/>
      <w:sz w:val="21"/>
    </w:rPr>
  </w:style>
  <w:style w:type="paragraph" w:customStyle="1" w:styleId="1552">
    <w:name w:val="Char Char Char Char Char Char Char Char Char Char Char Char Char Char Char Char Char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553">
    <w:name w:val="样式 标题 1 + 黑体 三号 居中 行距: 固定值 20 磅"/>
    <w:basedOn w:val="4"/>
    <w:qFormat/>
    <w:uiPriority w:val="99"/>
    <w:pPr>
      <w:keepNext/>
      <w:keepLines/>
      <w:topLinePunct/>
      <w:autoSpaceDE w:val="0"/>
      <w:autoSpaceDN w:val="0"/>
      <w:adjustRightInd w:val="0"/>
      <w:snapToGrid w:val="0"/>
      <w:spacing w:before="340" w:after="330" w:line="400" w:lineRule="exact"/>
      <w:ind w:firstLine="538" w:firstLineChars="224"/>
    </w:pPr>
    <w:rPr>
      <w:rFonts w:ascii="黑体" w:hAnsi="黑体" w:cs="宋体"/>
      <w:b/>
      <w:snapToGrid w:val="0"/>
      <w:kern w:val="44"/>
      <w:szCs w:val="20"/>
    </w:rPr>
  </w:style>
  <w:style w:type="paragraph" w:customStyle="1" w:styleId="1554">
    <w:name w:val="论文正文"/>
    <w:basedOn w:val="1"/>
    <w:qFormat/>
    <w:uiPriority w:val="0"/>
    <w:pPr>
      <w:widowControl w:val="0"/>
      <w:ind w:firstLine="567"/>
      <w:jc w:val="both"/>
    </w:pPr>
    <w:rPr>
      <w:rFonts w:ascii="Times New Roman" w:hAnsi="Times New Roman" w:cs="Times New Roman"/>
      <w:kern w:val="2"/>
      <w:sz w:val="28"/>
      <w:szCs w:val="20"/>
    </w:rPr>
  </w:style>
  <w:style w:type="paragraph" w:customStyle="1" w:styleId="1555">
    <w:name w:val="样式 标题2　自动设置"/>
    <w:basedOn w:val="5"/>
    <w:qFormat/>
    <w:uiPriority w:val="99"/>
    <w:pPr>
      <w:widowControl w:val="0"/>
      <w:tabs>
        <w:tab w:val="left" w:pos="576"/>
      </w:tabs>
      <w:spacing w:beforeLines="50" w:afterLines="50" w:line="240" w:lineRule="auto"/>
      <w:ind w:left="576" w:hanging="576"/>
      <w:jc w:val="both"/>
    </w:pPr>
    <w:rPr>
      <w:rFonts w:ascii="宋体" w:hAnsi="宋体" w:eastAsia="宋体" w:cs="宋体"/>
      <w:b/>
      <w:szCs w:val="20"/>
    </w:rPr>
  </w:style>
  <w:style w:type="paragraph" w:customStyle="1" w:styleId="1556">
    <w:name w:val="标题样式4"/>
    <w:basedOn w:val="8"/>
    <w:qFormat/>
    <w:uiPriority w:val="99"/>
    <w:pPr>
      <w:keepNext w:val="0"/>
      <w:keepLines w:val="0"/>
      <w:widowControl w:val="0"/>
      <w:tabs>
        <w:tab w:val="left" w:pos="360"/>
      </w:tabs>
      <w:spacing w:line="360" w:lineRule="auto"/>
      <w:jc w:val="both"/>
    </w:pPr>
    <w:rPr>
      <w:rFonts w:ascii="黑体" w:eastAsia="黑体" w:cs="Times New Roman"/>
      <w:b/>
      <w:bCs/>
      <w:sz w:val="28"/>
      <w:szCs w:val="24"/>
    </w:rPr>
  </w:style>
  <w:style w:type="paragraph" w:customStyle="1" w:styleId="1557">
    <w:name w:val="列表 3D"/>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58">
    <w:name w:val="font14"/>
    <w:basedOn w:val="1"/>
    <w:qFormat/>
    <w:uiPriority w:val="99"/>
    <w:pPr>
      <w:spacing w:before="100" w:beforeAutospacing="1" w:after="100" w:afterAutospacing="1"/>
    </w:pPr>
    <w:rPr>
      <w:rFonts w:hint="eastAsia" w:cs="Arial Unicode MS"/>
      <w:b/>
      <w:bCs/>
      <w:sz w:val="16"/>
      <w:szCs w:val="16"/>
    </w:rPr>
  </w:style>
  <w:style w:type="paragraph" w:customStyle="1" w:styleId="1559">
    <w:name w:val="正文文本最新 Char Char Char1 Char Char Char Char Char"/>
    <w:qFormat/>
    <w:uiPriority w:val="99"/>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1560">
    <w:name w:val="正文文本缩进 21"/>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561">
    <w:name w:val="列表 5P"/>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62">
    <w:name w:val="Char22"/>
    <w:basedOn w:val="1"/>
    <w:qFormat/>
    <w:uiPriority w:val="99"/>
    <w:pPr>
      <w:widowControl w:val="0"/>
      <w:spacing w:line="360" w:lineRule="auto"/>
      <w:ind w:firstLine="200" w:firstLineChars="200"/>
      <w:jc w:val="both"/>
    </w:pPr>
    <w:rPr>
      <w:kern w:val="2"/>
    </w:rPr>
  </w:style>
  <w:style w:type="paragraph" w:customStyle="1" w:styleId="1563">
    <w:name w:val="列表 4E"/>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64">
    <w:name w:val="样式 标题 1章1.标题 1章节H1一、标题标题 1PartHeading 1pHeading 1p1Hea..."/>
    <w:basedOn w:val="4"/>
    <w:qFormat/>
    <w:uiPriority w:val="99"/>
    <w:pPr>
      <w:keepNext/>
      <w:keepLines/>
      <w:tabs>
        <w:tab w:val="left" w:pos="0"/>
        <w:tab w:val="left" w:pos="1260"/>
      </w:tabs>
      <w:adjustRightInd w:val="0"/>
      <w:spacing w:line="240" w:lineRule="atLeast"/>
      <w:ind w:left="896" w:hanging="420"/>
      <w:textAlignment w:val="baseline"/>
    </w:pPr>
    <w:rPr>
      <w:rFonts w:ascii="Times New Roman" w:hAnsi="Times New Roman"/>
      <w:bCs/>
      <w:color w:val="000000"/>
      <w:kern w:val="44"/>
      <w:sz w:val="30"/>
      <w:szCs w:val="30"/>
    </w:rPr>
  </w:style>
  <w:style w:type="paragraph" w:customStyle="1" w:styleId="1565">
    <w:name w:val="Char3"/>
    <w:basedOn w:val="1"/>
    <w:qFormat/>
    <w:uiPriority w:val="99"/>
    <w:pPr>
      <w:widowControl w:val="0"/>
      <w:jc w:val="both"/>
    </w:pPr>
    <w:rPr>
      <w:rFonts w:ascii="Times New Roman" w:hAnsi="Times New Roman" w:cs="Times New Roman"/>
      <w:kern w:val="2"/>
      <w:sz w:val="21"/>
    </w:rPr>
  </w:style>
  <w:style w:type="paragraph" w:customStyle="1" w:styleId="1566">
    <w:name w:val="列表 2A"/>
    <w:basedOn w:val="34"/>
    <w:qFormat/>
    <w:uiPriority w:val="99"/>
    <w:pPr>
      <w:tabs>
        <w:tab w:val="left" w:pos="1335"/>
      </w:tabs>
      <w:snapToGrid/>
      <w:spacing w:before="100" w:beforeAutospacing="1" w:after="100" w:afterAutospacing="1" w:line="288" w:lineRule="auto"/>
      <w:ind w:left="1335" w:hanging="705"/>
      <w:jc w:val="both"/>
    </w:pPr>
    <w:rPr>
      <w:rFonts w:ascii="Arial" w:hAnsi="Arial"/>
      <w:color w:val="FFFF99"/>
      <w:sz w:val="24"/>
    </w:rPr>
  </w:style>
  <w:style w:type="paragraph" w:customStyle="1" w:styleId="1567">
    <w:name w:val="hb3"/>
    <w:basedOn w:val="7"/>
    <w:qFormat/>
    <w:uiPriority w:val="99"/>
    <w:pPr>
      <w:widowControl w:val="0"/>
      <w:adjustRightInd w:val="0"/>
      <w:spacing w:before="260" w:after="260"/>
      <w:textAlignment w:val="baseline"/>
    </w:pPr>
    <w:rPr>
      <w:rFonts w:eastAsia="宋体"/>
      <w:b/>
      <w:bCs w:val="0"/>
      <w:sz w:val="28"/>
      <w:szCs w:val="28"/>
    </w:rPr>
  </w:style>
  <w:style w:type="paragraph" w:customStyle="1" w:styleId="1568">
    <w:name w:val="列表 4Y"/>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69">
    <w:name w:val="列表 2P"/>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70">
    <w:name w:val="样式 标题 1一、1.标题 1标题 1 Char标1章节标题-*+章标题 1文章标题h11st level..."/>
    <w:basedOn w:val="4"/>
    <w:qFormat/>
    <w:uiPriority w:val="99"/>
    <w:pPr>
      <w:widowControl w:val="0"/>
      <w:tabs>
        <w:tab w:val="left" w:pos="57"/>
      </w:tabs>
      <w:adjustRightInd w:val="0"/>
      <w:snapToGrid w:val="0"/>
      <w:spacing w:before="240" w:afterLines="50" w:line="312" w:lineRule="auto"/>
      <w:ind w:right="227"/>
      <w:jc w:val="both"/>
      <w:textAlignment w:val="baseline"/>
    </w:pPr>
    <w:rPr>
      <w:rFonts w:ascii="Times New Roman" w:hAnsi="Times New Roman"/>
      <w:bCs/>
      <w:snapToGrid w:val="0"/>
      <w:kern w:val="0"/>
      <w:sz w:val="36"/>
      <w:szCs w:val="20"/>
    </w:rPr>
  </w:style>
  <w:style w:type="paragraph" w:customStyle="1" w:styleId="1571">
    <w:name w:val="环保表内字（五号）"/>
    <w:basedOn w:val="1"/>
    <w:link w:val="1572"/>
    <w:qFormat/>
    <w:uiPriority w:val="0"/>
    <w:pPr>
      <w:widowControl w:val="0"/>
      <w:jc w:val="both"/>
    </w:pPr>
    <w:rPr>
      <w:rFonts w:ascii="Times New Roman" w:hAnsi="Times New Roman"/>
      <w:kern w:val="2"/>
      <w:sz w:val="21"/>
      <w:szCs w:val="21"/>
    </w:rPr>
  </w:style>
  <w:style w:type="character" w:customStyle="1" w:styleId="1572">
    <w:name w:val="环保表内字（五号） Char Char"/>
    <w:link w:val="1571"/>
    <w:qFormat/>
    <w:uiPriority w:val="0"/>
    <w:rPr>
      <w:rFonts w:cs="宋体"/>
      <w:kern w:val="2"/>
      <w:sz w:val="21"/>
      <w:szCs w:val="21"/>
    </w:rPr>
  </w:style>
  <w:style w:type="paragraph" w:customStyle="1" w:styleId="1573">
    <w:name w:val="目录"/>
    <w:basedOn w:val="54"/>
    <w:qFormat/>
    <w:uiPriority w:val="99"/>
    <w:pPr>
      <w:widowControl w:val="0"/>
      <w:tabs>
        <w:tab w:val="right" w:leader="dot" w:pos="9060"/>
      </w:tabs>
      <w:spacing w:line="420" w:lineRule="atLeast"/>
      <w:jc w:val="center"/>
    </w:pPr>
    <w:rPr>
      <w:rFonts w:ascii="黑体" w:hAnsi="Times New Roman"/>
      <w:b w:val="0"/>
      <w:caps w:val="0"/>
      <w:spacing w:val="12"/>
      <w:kern w:val="44"/>
      <w:sz w:val="44"/>
    </w:rPr>
  </w:style>
  <w:style w:type="paragraph" w:customStyle="1" w:styleId="1574">
    <w:name w:val="赵文本"/>
    <w:basedOn w:val="1"/>
    <w:qFormat/>
    <w:uiPriority w:val="0"/>
    <w:pPr>
      <w:widowControl w:val="0"/>
      <w:ind w:firstLine="480" w:firstLineChars="200"/>
    </w:pPr>
    <w:rPr>
      <w:rFonts w:ascii="Times New Roman" w:hAnsi="Times New Roman" w:eastAsia="仿宋_GB2312" w:cs="Times New Roman"/>
      <w:kern w:val="2"/>
      <w:szCs w:val="32"/>
    </w:rPr>
  </w:style>
  <w:style w:type="paragraph" w:customStyle="1" w:styleId="1575">
    <w:name w:val="正文11 Char Char"/>
    <w:basedOn w:val="1"/>
    <w:qFormat/>
    <w:uiPriority w:val="99"/>
    <w:pPr>
      <w:widowControl w:val="0"/>
      <w:adjustRightInd w:val="0"/>
      <w:spacing w:line="360" w:lineRule="auto"/>
      <w:ind w:left="6" w:firstLine="474"/>
      <w:textAlignment w:val="baseline"/>
    </w:pPr>
    <w:rPr>
      <w:rFonts w:eastAsia="仿宋_GB2312" w:cs="Times New Roman"/>
      <w:snapToGrid w:val="0"/>
    </w:rPr>
  </w:style>
  <w:style w:type="paragraph" w:customStyle="1" w:styleId="1576">
    <w:name w:val="列表 5F"/>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77">
    <w:name w:val="样式 黑色 首行缩进:  2 字符"/>
    <w:basedOn w:val="1"/>
    <w:qFormat/>
    <w:uiPriority w:val="99"/>
    <w:pPr>
      <w:widowControl w:val="0"/>
      <w:spacing w:line="360" w:lineRule="auto"/>
      <w:ind w:firstLine="560" w:firstLineChars="200"/>
      <w:jc w:val="both"/>
    </w:pPr>
    <w:rPr>
      <w:rFonts w:hAnsi="Times New Roman"/>
      <w:color w:val="000000"/>
      <w:kern w:val="2"/>
      <w:sz w:val="28"/>
      <w:szCs w:val="28"/>
    </w:rPr>
  </w:style>
  <w:style w:type="paragraph" w:customStyle="1" w:styleId="1578">
    <w:name w:val="列出段落1"/>
    <w:basedOn w:val="1"/>
    <w:qFormat/>
    <w:uiPriority w:val="99"/>
    <w:pPr>
      <w:widowControl w:val="0"/>
      <w:ind w:firstLine="420" w:firstLineChars="200"/>
      <w:jc w:val="both"/>
    </w:pPr>
    <w:rPr>
      <w:rFonts w:ascii="Calibri" w:hAnsi="Calibri" w:cs="Times New Roman"/>
      <w:kern w:val="2"/>
      <w:sz w:val="21"/>
      <w:szCs w:val="20"/>
    </w:rPr>
  </w:style>
  <w:style w:type="paragraph" w:customStyle="1" w:styleId="1579">
    <w:name w:val="列表 4H"/>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80">
    <w:name w:val="表头1"/>
    <w:basedOn w:val="1"/>
    <w:qFormat/>
    <w:uiPriority w:val="0"/>
    <w:pPr>
      <w:widowControl w:val="0"/>
      <w:jc w:val="center"/>
    </w:pPr>
    <w:rPr>
      <w:rFonts w:ascii="Times New Roman" w:hAnsi="Times New Roman" w:cs="Times New Roman"/>
      <w:bCs/>
      <w:kern w:val="2"/>
      <w:sz w:val="18"/>
    </w:rPr>
  </w:style>
  <w:style w:type="paragraph" w:customStyle="1" w:styleId="1581">
    <w:name w:val="列表 2F"/>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82">
    <w:name w:val="基准页眉样式"/>
    <w:basedOn w:val="2"/>
    <w:qFormat/>
    <w:uiPriority w:val="99"/>
    <w:pPr>
      <w:keepLines/>
      <w:tabs>
        <w:tab w:val="center" w:pos="4320"/>
        <w:tab w:val="right" w:pos="8640"/>
      </w:tabs>
      <w:spacing w:line="280" w:lineRule="exact"/>
      <w:jc w:val="center"/>
    </w:pPr>
    <w:rPr>
      <w:rFonts w:ascii="Times New Roman" w:hAnsi="Times New Roman"/>
      <w:color w:val="auto"/>
      <w:kern w:val="0"/>
      <w:sz w:val="30"/>
      <w:szCs w:val="20"/>
    </w:rPr>
  </w:style>
  <w:style w:type="paragraph" w:customStyle="1" w:styleId="1583">
    <w:name w:val="Char Char Char Char Char Char1 Char2"/>
    <w:basedOn w:val="1"/>
    <w:qFormat/>
    <w:uiPriority w:val="99"/>
    <w:pPr>
      <w:widowControl w:val="0"/>
      <w:jc w:val="both"/>
    </w:pPr>
    <w:rPr>
      <w:rFonts w:ascii="Times New Roman" w:hAnsi="Times New Roman" w:cs="Times New Roman"/>
      <w:kern w:val="2"/>
      <w:sz w:val="21"/>
    </w:rPr>
  </w:style>
  <w:style w:type="paragraph" w:customStyle="1" w:styleId="1584">
    <w:name w:val="正文文本 21"/>
    <w:basedOn w:val="1"/>
    <w:qFormat/>
    <w:uiPriority w:val="99"/>
    <w:pPr>
      <w:widowControl w:val="0"/>
      <w:adjustRightInd w:val="0"/>
      <w:ind w:left="425"/>
      <w:textAlignment w:val="baseline"/>
    </w:pPr>
    <w:rPr>
      <w:rFonts w:hAnsi="Times New Roman" w:cs="Times New Roman"/>
      <w:szCs w:val="20"/>
    </w:rPr>
  </w:style>
  <w:style w:type="paragraph" w:customStyle="1" w:styleId="1585">
    <w:name w:val="Pa0"/>
    <w:basedOn w:val="1"/>
    <w:next w:val="1"/>
    <w:qFormat/>
    <w:uiPriority w:val="99"/>
    <w:pPr>
      <w:widowControl w:val="0"/>
      <w:autoSpaceDE w:val="0"/>
      <w:autoSpaceDN w:val="0"/>
      <w:adjustRightInd w:val="0"/>
      <w:spacing w:line="241" w:lineRule="atLeast"/>
    </w:pPr>
    <w:rPr>
      <w:rFonts w:ascii="黑体" w:hAnsi="Times New Roman" w:eastAsia="黑体" w:cs="Times New Roman"/>
    </w:rPr>
  </w:style>
  <w:style w:type="paragraph" w:customStyle="1" w:styleId="1586">
    <w:name w:val="列表 2I"/>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87">
    <w:name w:val="图表目录2"/>
    <w:basedOn w:val="300"/>
    <w:next w:val="300"/>
    <w:qFormat/>
    <w:uiPriority w:val="99"/>
    <w:pPr>
      <w:tabs>
        <w:tab w:val="right" w:leader="dot" w:pos="8051"/>
      </w:tabs>
      <w:ind w:left="840" w:hanging="840"/>
    </w:pPr>
    <w:rPr>
      <w:sz w:val="24"/>
    </w:rPr>
  </w:style>
  <w:style w:type="paragraph" w:customStyle="1" w:styleId="1588">
    <w:name w:val="sec（1）"/>
    <w:basedOn w:val="1"/>
    <w:qFormat/>
    <w:uiPriority w:val="99"/>
    <w:pPr>
      <w:widowControl w:val="0"/>
      <w:tabs>
        <w:tab w:val="left" w:pos="1134"/>
      </w:tabs>
      <w:spacing w:beforeLines="20" w:afterLines="20"/>
      <w:ind w:left="1134" w:hanging="964"/>
      <w:jc w:val="both"/>
    </w:pPr>
    <w:rPr>
      <w:rFonts w:cs="Times New Roman"/>
      <w:color w:val="000000"/>
      <w:kern w:val="2"/>
      <w:szCs w:val="20"/>
    </w:rPr>
  </w:style>
  <w:style w:type="paragraph" w:customStyle="1" w:styleId="1589">
    <w:name w:val="列表 3I"/>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90">
    <w:name w:val="样式 行距: 1.5 倍行距"/>
    <w:basedOn w:val="1"/>
    <w:qFormat/>
    <w:uiPriority w:val="99"/>
    <w:pPr>
      <w:widowControl w:val="0"/>
      <w:spacing w:line="360" w:lineRule="auto"/>
      <w:ind w:firstLine="200" w:firstLineChars="200"/>
      <w:jc w:val="both"/>
    </w:pPr>
    <w:rPr>
      <w:rFonts w:ascii="Times New Roman" w:hAnsi="Times New Roman"/>
      <w:kern w:val="2"/>
    </w:rPr>
  </w:style>
  <w:style w:type="paragraph" w:customStyle="1" w:styleId="1591">
    <w:name w:val="图1-1"/>
    <w:basedOn w:val="328"/>
    <w:qFormat/>
    <w:uiPriority w:val="99"/>
    <w:pPr>
      <w:keepLines/>
      <w:tabs>
        <w:tab w:val="clear" w:pos="0"/>
      </w:tabs>
      <w:spacing w:line="240" w:lineRule="auto"/>
      <w:ind w:firstLine="0" w:firstLineChars="0"/>
      <w:jc w:val="center"/>
    </w:pPr>
    <w:rPr>
      <w:rFonts w:ascii="Times New Roman"/>
      <w:b w:val="0"/>
      <w:sz w:val="21"/>
      <w:szCs w:val="24"/>
    </w:rPr>
  </w:style>
  <w:style w:type="paragraph" w:customStyle="1" w:styleId="1592">
    <w:name w:val="列表 3N"/>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93">
    <w:name w:val="列表 4T"/>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94">
    <w:name w:val="列表 3C"/>
    <w:basedOn w:val="14"/>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95">
    <w:name w:val="正文5"/>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596">
    <w:name w:val="样式 样式 标题 3H3H31H32H33u3条标题1.1.1Heading 3 - oldBold Headbh... + 非..."/>
    <w:basedOn w:val="1240"/>
    <w:next w:val="1240"/>
    <w:qFormat/>
    <w:uiPriority w:val="99"/>
    <w:rPr>
      <w:b w:val="0"/>
      <w:bCs w:val="0"/>
    </w:rPr>
  </w:style>
  <w:style w:type="paragraph" w:customStyle="1" w:styleId="1597">
    <w:name w:val="列表 N"/>
    <w:basedOn w:val="59"/>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598">
    <w:name w:val="样式 湛江钢铁正文 +"/>
    <w:basedOn w:val="1"/>
    <w:qFormat/>
    <w:uiPriority w:val="99"/>
    <w:pPr>
      <w:widowControl w:val="0"/>
      <w:adjustRightInd w:val="0"/>
      <w:spacing w:afterLines="25" w:line="360" w:lineRule="auto"/>
      <w:ind w:firstLine="480" w:firstLineChars="200"/>
      <w:textAlignment w:val="baseline"/>
    </w:pPr>
    <w:rPr>
      <w:rFonts w:ascii="Times New Roman" w:hAnsi="Times New Roman" w:eastAsia="仿宋_GB2312" w:cs="Times New Roman"/>
      <w:color w:val="000000"/>
    </w:rPr>
  </w:style>
  <w:style w:type="paragraph" w:customStyle="1" w:styleId="1599">
    <w:name w:val="列表 2O"/>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600">
    <w:name w:val="a4"/>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601">
    <w:name w:val="日期11"/>
    <w:basedOn w:val="1"/>
    <w:next w:val="1"/>
    <w:qFormat/>
    <w:uiPriority w:val="99"/>
    <w:pPr>
      <w:widowControl w:val="0"/>
      <w:adjustRightInd w:val="0"/>
      <w:spacing w:line="360" w:lineRule="atLeast"/>
      <w:jc w:val="both"/>
      <w:textAlignment w:val="baseline"/>
    </w:pPr>
    <w:rPr>
      <w:rFonts w:hAnsi="Times New Roman" w:cs="Times New Roman"/>
      <w:spacing w:val="20"/>
      <w:sz w:val="28"/>
      <w:szCs w:val="20"/>
    </w:rPr>
  </w:style>
  <w:style w:type="paragraph" w:customStyle="1" w:styleId="1602">
    <w:name w:val="Char Char Char1 Char2"/>
    <w:basedOn w:val="1"/>
    <w:qFormat/>
    <w:uiPriority w:val="99"/>
    <w:pPr>
      <w:widowControl w:val="0"/>
      <w:jc w:val="both"/>
    </w:pPr>
    <w:rPr>
      <w:rFonts w:ascii="Times New Roman" w:hAnsi="Times New Roman" w:cs="Times New Roman"/>
      <w:kern w:val="2"/>
      <w:sz w:val="21"/>
    </w:rPr>
  </w:style>
  <w:style w:type="paragraph" w:customStyle="1" w:styleId="1603">
    <w:name w:val="表体"/>
    <w:basedOn w:val="1"/>
    <w:qFormat/>
    <w:uiPriority w:val="99"/>
    <w:pPr>
      <w:widowControl w:val="0"/>
      <w:adjustRightInd w:val="0"/>
      <w:snapToGrid w:val="0"/>
      <w:spacing w:beforeLines="20" w:afterLines="20"/>
      <w:jc w:val="center"/>
    </w:pPr>
    <w:rPr>
      <w:rFonts w:ascii="Times New Roman" w:hAnsi="Times New Roman" w:cs="Times New Roman"/>
      <w:kern w:val="2"/>
      <w:sz w:val="21"/>
    </w:rPr>
  </w:style>
  <w:style w:type="paragraph" w:customStyle="1" w:styleId="1604">
    <w:name w:val="reader-word-layer reader-word-s1-2"/>
    <w:basedOn w:val="1"/>
    <w:qFormat/>
    <w:uiPriority w:val="99"/>
    <w:pPr>
      <w:spacing w:before="100" w:beforeAutospacing="1" w:after="100" w:afterAutospacing="1"/>
    </w:pPr>
  </w:style>
  <w:style w:type="paragraph" w:customStyle="1" w:styleId="1605">
    <w:name w:val="样式 标题 2H2节标题 1.1节标题 1.1 Char1.1  标题 2  节标题 1.1第一章 标题 2Head..."/>
    <w:basedOn w:val="5"/>
    <w:qFormat/>
    <w:uiPriority w:val="99"/>
    <w:pPr>
      <w:widowControl w:val="0"/>
      <w:spacing w:line="360" w:lineRule="auto"/>
      <w:jc w:val="both"/>
    </w:pPr>
    <w:rPr>
      <w:rFonts w:ascii="Times New Roman" w:hAnsi="Times New Roman" w:eastAsia="宋体" w:cs="宋体"/>
      <w:b/>
      <w:sz w:val="24"/>
      <w:szCs w:val="20"/>
    </w:rPr>
  </w:style>
  <w:style w:type="paragraph" w:customStyle="1" w:styleId="1606">
    <w:name w:val="a"/>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607">
    <w:name w:val="样式 目录 2 + 左侧:  2 字符 首行缩进:  2 字符"/>
    <w:basedOn w:val="66"/>
    <w:qFormat/>
    <w:uiPriority w:val="99"/>
    <w:pPr>
      <w:tabs>
        <w:tab w:val="right" w:leader="dot" w:pos="8296"/>
        <w:tab w:val="right" w:leader="dot" w:pos="9060"/>
      </w:tabs>
      <w:snapToGrid w:val="0"/>
      <w:spacing w:after="40" w:line="360" w:lineRule="auto"/>
      <w:ind w:left="0" w:firstLine="476"/>
      <w:jc w:val="both"/>
    </w:pPr>
    <w:rPr>
      <w:rFonts w:ascii="Times New Roman" w:eastAsia="黑体" w:cs="宋体"/>
      <w:spacing w:val="20"/>
      <w:sz w:val="24"/>
    </w:rPr>
  </w:style>
  <w:style w:type="paragraph" w:customStyle="1" w:styleId="1608">
    <w:name w:val="样式 标题 2H2H21b2h2l22nd levelTitre22Header 2sect 1.2DO ..."/>
    <w:basedOn w:val="5"/>
    <w:qFormat/>
    <w:uiPriority w:val="99"/>
    <w:pPr>
      <w:widowControl w:val="0"/>
      <w:spacing w:before="240" w:after="240" w:line="240" w:lineRule="auto"/>
      <w:jc w:val="both"/>
    </w:pPr>
    <w:rPr>
      <w:rFonts w:ascii="Times New Roman" w:hAnsi="Times New Roman"/>
      <w:color w:val="FF0000"/>
      <w:spacing w:val="20"/>
      <w:szCs w:val="20"/>
    </w:rPr>
  </w:style>
  <w:style w:type="paragraph" w:customStyle="1" w:styleId="1609">
    <w:name w:val="Char Char Char Char Char Char1 Char Char Char Char1"/>
    <w:basedOn w:val="1"/>
    <w:qFormat/>
    <w:uiPriority w:val="99"/>
    <w:pPr>
      <w:widowControl w:val="0"/>
      <w:jc w:val="both"/>
    </w:pPr>
    <w:rPr>
      <w:rFonts w:ascii="Times New Roman" w:hAnsi="Times New Roman" w:cs="Times New Roman"/>
      <w:kern w:val="2"/>
      <w:sz w:val="21"/>
    </w:rPr>
  </w:style>
  <w:style w:type="paragraph" w:customStyle="1" w:styleId="1610">
    <w:name w:val="报告书"/>
    <w:basedOn w:val="1"/>
    <w:qFormat/>
    <w:uiPriority w:val="99"/>
    <w:pPr>
      <w:widowControl w:val="0"/>
      <w:autoSpaceDE w:val="0"/>
      <w:autoSpaceDN w:val="0"/>
      <w:adjustRightInd w:val="0"/>
      <w:spacing w:line="360" w:lineRule="auto"/>
      <w:ind w:firstLine="505"/>
      <w:textAlignment w:val="bottom"/>
    </w:pPr>
    <w:rPr>
      <w:rFonts w:ascii="Times New Roman" w:hAnsi="Times New Roman" w:cs="Times New Roman"/>
      <w:szCs w:val="20"/>
    </w:rPr>
  </w:style>
  <w:style w:type="paragraph" w:customStyle="1" w:styleId="1611">
    <w:name w:val="lyh 0.0.0.0"/>
    <w:next w:val="1"/>
    <w:qFormat/>
    <w:uiPriority w:val="0"/>
    <w:pPr>
      <w:adjustRightInd w:val="0"/>
      <w:snapToGrid w:val="0"/>
      <w:spacing w:line="360" w:lineRule="auto"/>
      <w:outlineLvl w:val="3"/>
    </w:pPr>
    <w:rPr>
      <w:rFonts w:ascii="宋体" w:hAnsi="宋体" w:eastAsia="宋体" w:cs="Times New Roman"/>
      <w:sz w:val="28"/>
      <w:szCs w:val="24"/>
      <w:lang w:val="en-US" w:eastAsia="zh-CN" w:bidi="ar-SA"/>
    </w:rPr>
  </w:style>
  <w:style w:type="paragraph" w:customStyle="1" w:styleId="1612">
    <w:name w:val="样式 (符号) 宋体 首行缩进:  0.93 厘米 段前: 6 磅 段后: 6 磅 行距: 固定值 18 磅1"/>
    <w:basedOn w:val="1"/>
    <w:qFormat/>
    <w:uiPriority w:val="0"/>
    <w:pPr>
      <w:widowControl w:val="0"/>
      <w:spacing w:before="160" w:after="160" w:line="320" w:lineRule="exact"/>
      <w:ind w:firstLine="527"/>
      <w:jc w:val="both"/>
    </w:pPr>
    <w:rPr>
      <w:rFonts w:ascii="Times New Roman" w:cs="Times New Roman"/>
      <w:kern w:val="2"/>
      <w:szCs w:val="20"/>
    </w:rPr>
  </w:style>
  <w:style w:type="paragraph" w:customStyle="1" w:styleId="1613">
    <w:name w:val="二级标题"/>
    <w:basedOn w:val="1"/>
    <w:next w:val="1"/>
    <w:qFormat/>
    <w:uiPriority w:val="0"/>
    <w:pPr>
      <w:keepNext/>
      <w:widowControl w:val="0"/>
      <w:adjustRightInd w:val="0"/>
      <w:spacing w:before="240" w:after="240" w:line="312" w:lineRule="atLeast"/>
      <w:jc w:val="center"/>
    </w:pPr>
    <w:rPr>
      <w:rFonts w:ascii="Times New Roman" w:hAnsi="Times New Roman" w:cs="Times New Roman"/>
      <w:sz w:val="28"/>
      <w:szCs w:val="20"/>
    </w:rPr>
  </w:style>
  <w:style w:type="paragraph" w:customStyle="1" w:styleId="1614">
    <w:name w:val="尾注文本11"/>
    <w:basedOn w:val="254"/>
    <w:qFormat/>
    <w:uiPriority w:val="99"/>
    <w:rPr>
      <w:sz w:val="21"/>
    </w:rPr>
  </w:style>
  <w:style w:type="paragraph" w:customStyle="1" w:styleId="1615">
    <w:name w:val="Char Char Char Char Char Char Char Char Char Char Char Char1 Char Char Char Char Char Char Char Char Char Char Char Char1 Char2"/>
    <w:basedOn w:val="1"/>
    <w:next w:val="1"/>
    <w:qFormat/>
    <w:uiPriority w:val="0"/>
    <w:pPr>
      <w:widowControl w:val="0"/>
      <w:spacing w:line="336" w:lineRule="auto"/>
      <w:ind w:firstLine="200" w:firstLineChars="200"/>
      <w:jc w:val="both"/>
    </w:pPr>
    <w:rPr>
      <w:rFonts w:eastAsia="汉鼎简书宋"/>
      <w:kern w:val="2"/>
    </w:rPr>
  </w:style>
  <w:style w:type="paragraph" w:customStyle="1" w:styleId="1616">
    <w:name w:val="正文文本缩进 32"/>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617">
    <w:name w:val="正文文本缩进 211"/>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618">
    <w:name w:val="内蒙图"/>
    <w:basedOn w:val="1154"/>
    <w:qFormat/>
    <w:uiPriority w:val="99"/>
    <w:pPr>
      <w:jc w:val="center"/>
    </w:pPr>
    <w:rPr>
      <w:rFonts w:eastAsia="黑体"/>
    </w:rPr>
  </w:style>
  <w:style w:type="paragraph" w:customStyle="1" w:styleId="1619">
    <w:name w:val="Char4 Char Char Char Char Char Char11"/>
    <w:basedOn w:val="1"/>
    <w:qFormat/>
    <w:uiPriority w:val="99"/>
    <w:pPr>
      <w:widowControl w:val="0"/>
      <w:spacing w:line="360" w:lineRule="auto"/>
      <w:ind w:firstLine="200" w:firstLineChars="200"/>
      <w:jc w:val="both"/>
    </w:pPr>
    <w:rPr>
      <w:kern w:val="2"/>
    </w:rPr>
  </w:style>
  <w:style w:type="paragraph" w:customStyle="1" w:styleId="1620">
    <w:name w:val="xl123"/>
    <w:basedOn w:val="1"/>
    <w:qFormat/>
    <w:uiPriority w:val="99"/>
    <w:pPr>
      <w:pBdr>
        <w:left w:val="single" w:color="auto" w:sz="4" w:space="0"/>
        <w:bottom w:val="single" w:color="auto" w:sz="4" w:space="0"/>
        <w:right w:val="single" w:color="auto" w:sz="8" w:space="0"/>
      </w:pBdr>
      <w:spacing w:before="100" w:beforeAutospacing="1" w:after="100" w:afterAutospacing="1"/>
      <w:jc w:val="right"/>
    </w:pPr>
    <w:rPr>
      <w:rFonts w:ascii="Arial Unicode MS" w:hAnsi="Arial Unicode MS" w:eastAsia="Arial Unicode MS" w:cs="Arial Unicode MS"/>
    </w:rPr>
  </w:style>
  <w:style w:type="paragraph" w:customStyle="1" w:styleId="1621">
    <w:name w:val="表的格式（小四）"/>
    <w:basedOn w:val="1"/>
    <w:qFormat/>
    <w:uiPriority w:val="99"/>
    <w:pPr>
      <w:widowControl w:val="0"/>
      <w:adjustRightInd w:val="0"/>
      <w:spacing w:line="360" w:lineRule="atLeast"/>
      <w:jc w:val="center"/>
    </w:pPr>
    <w:rPr>
      <w:rFonts w:ascii="Times New Roman" w:hAnsi="Times New Roman" w:cs="Times New Roman"/>
      <w:szCs w:val="20"/>
    </w:rPr>
  </w:style>
  <w:style w:type="paragraph" w:customStyle="1" w:styleId="1622">
    <w:name w:val="项目符号2"/>
    <w:basedOn w:val="1623"/>
    <w:qFormat/>
    <w:uiPriority w:val="0"/>
    <w:pPr>
      <w:tabs>
        <w:tab w:val="left" w:pos="1146"/>
      </w:tabs>
      <w:spacing w:line="312" w:lineRule="auto"/>
      <w:ind w:left="850" w:hanging="720"/>
    </w:pPr>
    <w:rPr>
      <w:b/>
    </w:rPr>
  </w:style>
  <w:style w:type="paragraph" w:customStyle="1" w:styleId="1623">
    <w:name w:val="项目符号1"/>
    <w:basedOn w:val="1"/>
    <w:qFormat/>
    <w:uiPriority w:val="0"/>
    <w:pPr>
      <w:widowControl w:val="0"/>
      <w:spacing w:line="336" w:lineRule="auto"/>
      <w:jc w:val="both"/>
    </w:pPr>
    <w:rPr>
      <w:rFonts w:ascii="Times New Roman" w:hAnsi="Times New Roman" w:cs="Times New Roman"/>
      <w:kern w:val="2"/>
      <w:szCs w:val="20"/>
    </w:rPr>
  </w:style>
  <w:style w:type="paragraph" w:customStyle="1" w:styleId="1624">
    <w:name w:val="正文4"/>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625">
    <w:name w:val="公式样式1"/>
    <w:basedOn w:val="1"/>
    <w:qFormat/>
    <w:uiPriority w:val="99"/>
    <w:pPr>
      <w:widowControl w:val="0"/>
      <w:jc w:val="center"/>
    </w:pPr>
    <w:rPr>
      <w:rFonts w:ascii="Times New Roman" w:hAnsi="Times New Roman" w:cs="Times New Roman"/>
      <w:kern w:val="2"/>
      <w:sz w:val="21"/>
      <w:szCs w:val="21"/>
    </w:rPr>
  </w:style>
  <w:style w:type="paragraph" w:customStyle="1" w:styleId="1626">
    <w:name w:val="列出段落2"/>
    <w:basedOn w:val="1"/>
    <w:qFormat/>
    <w:uiPriority w:val="99"/>
    <w:pPr>
      <w:widowControl w:val="0"/>
      <w:ind w:firstLine="420" w:firstLineChars="200"/>
      <w:jc w:val="both"/>
    </w:pPr>
    <w:rPr>
      <w:rFonts w:ascii="Calibri" w:hAnsi="Calibri" w:cs="Times New Roman"/>
      <w:kern w:val="2"/>
      <w:sz w:val="21"/>
      <w:szCs w:val="20"/>
    </w:rPr>
  </w:style>
  <w:style w:type="paragraph" w:customStyle="1" w:styleId="1627">
    <w:name w:val="页脚3"/>
    <w:basedOn w:val="300"/>
    <w:qFormat/>
    <w:uiPriority w:val="99"/>
    <w:pPr>
      <w:tabs>
        <w:tab w:val="center" w:pos="4153"/>
        <w:tab w:val="right" w:pos="8306"/>
      </w:tabs>
      <w:spacing w:line="240" w:lineRule="atLeast"/>
    </w:pPr>
    <w:rPr>
      <w:sz w:val="18"/>
    </w:rPr>
  </w:style>
  <w:style w:type="paragraph" w:customStyle="1" w:styleId="1628">
    <w:name w:val="尾注文本2"/>
    <w:basedOn w:val="300"/>
    <w:qFormat/>
    <w:uiPriority w:val="99"/>
    <w:rPr>
      <w:sz w:val="21"/>
    </w:rPr>
  </w:style>
  <w:style w:type="paragraph" w:customStyle="1" w:styleId="1629">
    <w:name w:val="正文文本缩进 22"/>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630">
    <w:name w:val="Char Char Char Char Char Char Char Char Char Char Char11"/>
    <w:basedOn w:val="1"/>
    <w:qFormat/>
    <w:uiPriority w:val="0"/>
    <w:pPr>
      <w:widowControl w:val="0"/>
      <w:jc w:val="both"/>
    </w:pPr>
    <w:rPr>
      <w:rFonts w:ascii="Times New Roman" w:hAnsi="Times New Roman" w:cs="Times New Roman"/>
      <w:kern w:val="2"/>
      <w:sz w:val="21"/>
    </w:rPr>
  </w:style>
  <w:style w:type="paragraph" w:customStyle="1" w:styleId="1631">
    <w:name w:val="样式 样式 标题 4款标题1.1.1.1 南陵标题 4标题 4 CharH4PIM 4h4First Subheadin... ..."/>
    <w:basedOn w:val="1045"/>
    <w:qFormat/>
    <w:uiPriority w:val="0"/>
    <w:pPr>
      <w:jc w:val="left"/>
    </w:pPr>
    <w:rPr>
      <w:kern w:val="2"/>
    </w:rPr>
  </w:style>
  <w:style w:type="paragraph" w:customStyle="1" w:styleId="1632">
    <w:name w:val="reader-word-layer reader-word-s33-6"/>
    <w:basedOn w:val="1"/>
    <w:qFormat/>
    <w:uiPriority w:val="99"/>
    <w:pPr>
      <w:spacing w:before="100" w:beforeAutospacing="1" w:after="100" w:afterAutospacing="1"/>
    </w:pPr>
  </w:style>
  <w:style w:type="paragraph" w:customStyle="1" w:styleId="1633">
    <w:name w:val="CSI  Body 2"/>
    <w:basedOn w:val="1"/>
    <w:qFormat/>
    <w:uiPriority w:val="99"/>
    <w:pPr>
      <w:spacing w:after="240"/>
      <w:ind w:left="1440"/>
    </w:pPr>
    <w:rPr>
      <w:rFonts w:ascii="Arial" w:hAnsi="Arial" w:eastAsia="Batang" w:cs="Times New Roman"/>
      <w:lang w:eastAsia="ko-KR"/>
    </w:rPr>
  </w:style>
  <w:style w:type="paragraph" w:customStyle="1" w:styleId="1634">
    <w:name w:val="表格文字2wj"/>
    <w:qFormat/>
    <w:uiPriority w:val="99"/>
    <w:pPr>
      <w:adjustRightInd w:val="0"/>
      <w:snapToGrid w:val="0"/>
      <w:jc w:val="center"/>
    </w:pPr>
    <w:rPr>
      <w:rFonts w:ascii="Times New Roman" w:hAnsi="Times New Roman" w:eastAsia="宋体" w:cs="Times New Roman"/>
      <w:sz w:val="21"/>
      <w:szCs w:val="21"/>
      <w:lang w:val="en-US" w:eastAsia="zh-CN" w:bidi="ar-SA"/>
    </w:rPr>
  </w:style>
  <w:style w:type="paragraph" w:customStyle="1" w:styleId="1635">
    <w:name w:val="正文编号"/>
    <w:basedOn w:val="1"/>
    <w:qFormat/>
    <w:uiPriority w:val="99"/>
    <w:pPr>
      <w:widowControl w:val="0"/>
      <w:tabs>
        <w:tab w:val="left" w:pos="726"/>
      </w:tabs>
      <w:adjustRightInd w:val="0"/>
      <w:spacing w:line="300" w:lineRule="auto"/>
      <w:ind w:left="2" w:firstLine="4"/>
      <w:textAlignment w:val="baseline"/>
    </w:pPr>
    <w:rPr>
      <w:rFonts w:eastAsia="仿宋_GB2312" w:cs="Times New Roman"/>
      <w:snapToGrid w:val="0"/>
    </w:rPr>
  </w:style>
  <w:style w:type="paragraph" w:customStyle="1" w:styleId="1636">
    <w:name w:val="样式 样式 标题 3 + 段前: 1 行 段后: 1 行 + 段前: 0.5 行1"/>
    <w:basedOn w:val="1"/>
    <w:qFormat/>
    <w:uiPriority w:val="99"/>
    <w:pPr>
      <w:keepNext/>
      <w:tabs>
        <w:tab w:val="left" w:pos="1931"/>
      </w:tabs>
      <w:overflowPunct w:val="0"/>
      <w:autoSpaceDE w:val="0"/>
      <w:autoSpaceDN w:val="0"/>
      <w:adjustRightInd w:val="0"/>
      <w:snapToGrid w:val="0"/>
      <w:spacing w:beforeLines="50" w:after="240"/>
      <w:ind w:left="1418" w:hanging="567"/>
      <w:textAlignment w:val="baseline"/>
      <w:outlineLvl w:val="2"/>
    </w:pPr>
    <w:rPr>
      <w:rFonts w:ascii="Times New Roman" w:hAnsi="Times New Roman" w:eastAsia="黑体"/>
      <w:bCs/>
      <w:color w:val="000000"/>
      <w:kern w:val="10"/>
      <w:sz w:val="28"/>
      <w:szCs w:val="28"/>
    </w:rPr>
  </w:style>
  <w:style w:type="paragraph" w:customStyle="1" w:styleId="1637">
    <w:name w:val="修订1"/>
    <w:qFormat/>
    <w:uiPriority w:val="99"/>
    <w:rPr>
      <w:rFonts w:ascii="Calibri" w:hAnsi="Calibri" w:eastAsia="宋体" w:cs="Times New Roman"/>
      <w:kern w:val="2"/>
      <w:sz w:val="21"/>
      <w:szCs w:val="22"/>
      <w:lang w:val="en-US" w:eastAsia="zh-CN" w:bidi="ar-SA"/>
    </w:rPr>
  </w:style>
  <w:style w:type="paragraph" w:customStyle="1" w:styleId="1638">
    <w:name w:val="正文（英）"/>
    <w:basedOn w:val="1"/>
    <w:qFormat/>
    <w:uiPriority w:val="99"/>
    <w:pPr>
      <w:widowControl w:val="0"/>
      <w:adjustRightInd w:val="0"/>
      <w:jc w:val="both"/>
      <w:textAlignment w:val="baseline"/>
    </w:pPr>
    <w:rPr>
      <w:rFonts w:ascii="Arial" w:hAnsi="Arial" w:eastAsia="仿宋_GB2312" w:cs="Times New Roman"/>
      <w:color w:val="FF0000"/>
    </w:rPr>
  </w:style>
  <w:style w:type="paragraph" w:customStyle="1" w:styleId="1639">
    <w:name w:val="样式 楷体_GB2312 居中"/>
    <w:basedOn w:val="1"/>
    <w:qFormat/>
    <w:uiPriority w:val="99"/>
    <w:pPr>
      <w:widowControl w:val="0"/>
      <w:spacing w:line="360" w:lineRule="auto"/>
      <w:jc w:val="center"/>
    </w:pPr>
    <w:rPr>
      <w:rFonts w:ascii="楷体_GB2312" w:hAnsi="Times New Roman" w:eastAsia="楷体_GB2312" w:cs="Times New Roman"/>
      <w:kern w:val="2"/>
      <w:sz w:val="21"/>
      <w:szCs w:val="20"/>
    </w:rPr>
  </w:style>
  <w:style w:type="paragraph" w:customStyle="1" w:styleId="1640">
    <w:name w:val="表格单位"/>
    <w:basedOn w:val="1"/>
    <w:qFormat/>
    <w:uiPriority w:val="99"/>
    <w:pPr>
      <w:widowControl w:val="0"/>
      <w:spacing w:line="240" w:lineRule="atLeast"/>
      <w:jc w:val="right"/>
    </w:pPr>
    <w:rPr>
      <w:rFonts w:ascii="Times New Roman" w:hAnsi="Times New Roman" w:eastAsia="仿宋_GB2312" w:cs="Times New Roman"/>
      <w:kern w:val="2"/>
      <w:sz w:val="18"/>
    </w:rPr>
  </w:style>
  <w:style w:type="paragraph" w:customStyle="1" w:styleId="1641">
    <w:name w:val="SCIDI章标题"/>
    <w:basedOn w:val="5"/>
    <w:next w:val="1"/>
    <w:qFormat/>
    <w:uiPriority w:val="99"/>
    <w:pPr>
      <w:widowControl w:val="0"/>
      <w:adjustRightInd w:val="0"/>
      <w:snapToGrid w:val="0"/>
      <w:spacing w:after="260" w:line="360" w:lineRule="auto"/>
      <w:jc w:val="center"/>
    </w:pPr>
    <w:rPr>
      <w:rFonts w:ascii="Times New Roman" w:hAnsi="Times New Roman" w:eastAsia="宋体"/>
      <w:sz w:val="32"/>
    </w:rPr>
  </w:style>
  <w:style w:type="paragraph" w:customStyle="1" w:styleId="1642">
    <w:name w:val="style3"/>
    <w:basedOn w:val="1"/>
    <w:qFormat/>
    <w:uiPriority w:val="99"/>
    <w:pPr>
      <w:spacing w:before="100" w:beforeAutospacing="1" w:after="100" w:afterAutospacing="1"/>
    </w:pPr>
    <w:rPr>
      <w:rFonts w:eastAsia="仿宋_GB2312"/>
    </w:rPr>
  </w:style>
  <w:style w:type="paragraph" w:customStyle="1" w:styleId="1643">
    <w:name w:val="Char1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644">
    <w:name w:val="style4"/>
    <w:basedOn w:val="1"/>
    <w:qFormat/>
    <w:uiPriority w:val="99"/>
    <w:pPr>
      <w:spacing w:before="100" w:beforeAutospacing="1" w:after="100" w:afterAutospacing="1"/>
    </w:pPr>
    <w:rPr>
      <w:rFonts w:cs="Times New Roman"/>
      <w:szCs w:val="20"/>
    </w:rPr>
  </w:style>
  <w:style w:type="paragraph" w:customStyle="1" w:styleId="1645">
    <w:name w:val="Char Char Char Char Char Char Char Char Char1 Char Char Char Char Char Char Char Char Char Char Char Char Char Char Char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646">
    <w:name w:val="Char Char Char2"/>
    <w:basedOn w:val="1"/>
    <w:qFormat/>
    <w:uiPriority w:val="0"/>
    <w:pPr>
      <w:widowControl w:val="0"/>
      <w:jc w:val="both"/>
    </w:pPr>
    <w:rPr>
      <w:rFonts w:ascii="Tahoma" w:hAnsi="Tahoma" w:eastAsia="黑体" w:cs="Times New Roman"/>
      <w:kern w:val="2"/>
      <w:sz w:val="28"/>
      <w:szCs w:val="28"/>
    </w:rPr>
  </w:style>
  <w:style w:type="paragraph" w:customStyle="1" w:styleId="1647">
    <w:name w:val="字元 字元 Char Char 字元 字元1 Char Char Char1"/>
    <w:basedOn w:val="1"/>
    <w:qFormat/>
    <w:uiPriority w:val="99"/>
    <w:pPr>
      <w:widowControl w:val="0"/>
      <w:jc w:val="both"/>
    </w:pPr>
    <w:rPr>
      <w:rFonts w:ascii="Times New Roman" w:hAnsi="Times New Roman" w:cs="Times New Roman"/>
      <w:kern w:val="2"/>
    </w:rPr>
  </w:style>
  <w:style w:type="paragraph" w:customStyle="1" w:styleId="1648">
    <w:name w:val="Char1 Char Char Char Char Char Char2 Char Char Char Char Char Char Char Char Char Char Char Char Char Char Char Char Char Char1"/>
    <w:basedOn w:val="1"/>
    <w:qFormat/>
    <w:uiPriority w:val="99"/>
    <w:pPr>
      <w:widowControl w:val="0"/>
      <w:jc w:val="both"/>
    </w:pPr>
    <w:rPr>
      <w:rFonts w:ascii="Times New Roman" w:hAnsi="Times New Roman" w:cs="Times New Roman"/>
      <w:kern w:val="2"/>
      <w:sz w:val="21"/>
    </w:rPr>
  </w:style>
  <w:style w:type="paragraph" w:customStyle="1" w:styleId="1649">
    <w:name w:val="Char Char Char Char Char Char Char Char Char Char Char1 Char Char Char Char1"/>
    <w:basedOn w:val="1"/>
    <w:qFormat/>
    <w:uiPriority w:val="0"/>
    <w:pPr>
      <w:widowControl w:val="0"/>
      <w:jc w:val="both"/>
    </w:pPr>
    <w:rPr>
      <w:rFonts w:ascii="Times New Roman" w:hAnsi="Times New Roman" w:cs="Times New Roman"/>
      <w:kern w:val="2"/>
      <w:sz w:val="21"/>
    </w:rPr>
  </w:style>
  <w:style w:type="paragraph" w:customStyle="1" w:styleId="1650">
    <w:name w:val="lyh 0.0.0"/>
    <w:next w:val="1"/>
    <w:qFormat/>
    <w:uiPriority w:val="0"/>
    <w:pPr>
      <w:adjustRightInd w:val="0"/>
      <w:snapToGrid w:val="0"/>
      <w:spacing w:line="360" w:lineRule="auto"/>
      <w:outlineLvl w:val="2"/>
    </w:pPr>
    <w:rPr>
      <w:rFonts w:ascii="宋体" w:hAnsi="宋体" w:eastAsia="宋体" w:cs="Times New Roman"/>
      <w:b/>
      <w:sz w:val="28"/>
      <w:szCs w:val="24"/>
      <w:lang w:val="en-US" w:eastAsia="zh-CN" w:bidi="ar-SA"/>
    </w:rPr>
  </w:style>
  <w:style w:type="paragraph" w:customStyle="1" w:styleId="1651">
    <w:name w:val="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652">
    <w:name w:val="小标题@"/>
    <w:basedOn w:val="1"/>
    <w:qFormat/>
    <w:uiPriority w:val="0"/>
    <w:pPr>
      <w:widowControl w:val="0"/>
      <w:tabs>
        <w:tab w:val="left" w:pos="840"/>
      </w:tabs>
      <w:adjustRightInd w:val="0"/>
      <w:spacing w:before="60" w:after="60"/>
      <w:ind w:left="828" w:hanging="348"/>
      <w:jc w:val="both"/>
      <w:textAlignment w:val="baseline"/>
    </w:pPr>
    <w:rPr>
      <w:rFonts w:ascii="Times New Roman" w:hAnsi="Times New Roman" w:cs="Times New Roman"/>
      <w:kern w:val="2"/>
      <w:szCs w:val="20"/>
    </w:rPr>
  </w:style>
  <w:style w:type="paragraph" w:customStyle="1" w:styleId="1653">
    <w:name w:val="4"/>
    <w:basedOn w:val="1"/>
    <w:next w:val="1"/>
    <w:qFormat/>
    <w:uiPriority w:val="0"/>
    <w:pPr>
      <w:widowControl w:val="0"/>
      <w:jc w:val="both"/>
    </w:pPr>
    <w:rPr>
      <w:rFonts w:hAnsi="Courier New" w:cs="Times New Roman"/>
      <w:kern w:val="2"/>
      <w:sz w:val="21"/>
      <w:szCs w:val="20"/>
    </w:rPr>
  </w:style>
  <w:style w:type="paragraph" w:customStyle="1" w:styleId="1654">
    <w:name w:val="样式 标题 1 + 左侧:  0 厘米 首行缩进:  0 厘米"/>
    <w:basedOn w:val="4"/>
    <w:qFormat/>
    <w:uiPriority w:val="0"/>
    <w:pPr>
      <w:keepNext/>
      <w:keepLines/>
      <w:widowControl w:val="0"/>
      <w:tabs>
        <w:tab w:val="left" w:pos="425"/>
        <w:tab w:val="left" w:pos="720"/>
        <w:tab w:val="left" w:pos="1200"/>
      </w:tabs>
      <w:spacing w:before="120" w:after="120"/>
      <w:ind w:left="720"/>
    </w:pPr>
    <w:rPr>
      <w:rFonts w:ascii="Times New Roman" w:hAnsi="Times New Roman"/>
      <w:b/>
      <w:bCs/>
      <w:color w:val="000000"/>
      <w:kern w:val="44"/>
      <w:sz w:val="28"/>
      <w:szCs w:val="28"/>
    </w:rPr>
  </w:style>
  <w:style w:type="paragraph" w:customStyle="1" w:styleId="1655">
    <w:name w:val="Char Char Char Char Char Char Char Char Char Char Char2"/>
    <w:basedOn w:val="1"/>
    <w:qFormat/>
    <w:uiPriority w:val="0"/>
    <w:pPr>
      <w:widowControl w:val="0"/>
      <w:jc w:val="both"/>
    </w:pPr>
    <w:rPr>
      <w:rFonts w:ascii="Times New Roman" w:hAnsi="Times New Roman" w:cs="Times New Roman"/>
      <w:kern w:val="2"/>
      <w:sz w:val="21"/>
    </w:rPr>
  </w:style>
  <w:style w:type="paragraph" w:customStyle="1" w:styleId="1656">
    <w:name w:val="副标题4"/>
    <w:basedOn w:val="1452"/>
    <w:qFormat/>
    <w:uiPriority w:val="0"/>
    <w:pPr>
      <w:tabs>
        <w:tab w:val="left" w:pos="1275"/>
        <w:tab w:val="left" w:pos="1575"/>
        <w:tab w:val="left" w:pos="2100"/>
        <w:tab w:val="clear" w:pos="672"/>
        <w:tab w:val="clear" w:pos="720"/>
      </w:tabs>
      <w:ind w:left="1275" w:hanging="705"/>
      <w:outlineLvl w:val="4"/>
    </w:pPr>
  </w:style>
  <w:style w:type="paragraph" w:customStyle="1" w:styleId="1657">
    <w:name w:val="样式 标题 1 + 首行缩进:  2 字符"/>
    <w:basedOn w:val="4"/>
    <w:next w:val="1159"/>
    <w:qFormat/>
    <w:uiPriority w:val="0"/>
    <w:pPr>
      <w:keepNext/>
      <w:widowControl w:val="0"/>
      <w:spacing w:line="720" w:lineRule="auto"/>
      <w:ind w:firstLine="200" w:firstLineChars="200"/>
      <w:jc w:val="center"/>
    </w:pPr>
    <w:rPr>
      <w:rFonts w:ascii="黑体" w:hAnsi="Times New Roman" w:cs="宋体"/>
      <w:b/>
      <w:sz w:val="36"/>
      <w:szCs w:val="20"/>
    </w:rPr>
  </w:style>
  <w:style w:type="paragraph" w:customStyle="1" w:styleId="1658">
    <w:name w:val="样式 Times New Roman 五号 居中"/>
    <w:basedOn w:val="1"/>
    <w:qFormat/>
    <w:uiPriority w:val="0"/>
    <w:pPr>
      <w:widowControl w:val="0"/>
      <w:jc w:val="center"/>
    </w:pPr>
    <w:rPr>
      <w:rFonts w:ascii="Times New Roman" w:hAnsi="Times New Roman"/>
      <w:kern w:val="2"/>
      <w:sz w:val="21"/>
      <w:szCs w:val="20"/>
    </w:rPr>
  </w:style>
  <w:style w:type="paragraph" w:customStyle="1" w:styleId="1659">
    <w:name w:val="Char Char Char Char Char Char Char Char Char Char Char1 Char Char Char Char Char Char Char1"/>
    <w:basedOn w:val="1"/>
    <w:qFormat/>
    <w:uiPriority w:val="0"/>
    <w:pPr>
      <w:widowControl w:val="0"/>
      <w:jc w:val="both"/>
    </w:pPr>
    <w:rPr>
      <w:rFonts w:ascii="Times New Roman" w:hAnsi="Times New Roman" w:cs="Times New Roman"/>
      <w:kern w:val="2"/>
      <w:sz w:val="21"/>
    </w:rPr>
  </w:style>
  <w:style w:type="paragraph" w:customStyle="1" w:styleId="1660">
    <w:name w:val="Char2 Char Char Char Char Char Char Char Char Char1"/>
    <w:basedOn w:val="1"/>
    <w:qFormat/>
    <w:uiPriority w:val="0"/>
    <w:pPr>
      <w:widowControl w:val="0"/>
      <w:spacing w:line="360" w:lineRule="auto"/>
      <w:ind w:firstLine="200" w:firstLineChars="200"/>
      <w:jc w:val="both"/>
    </w:pPr>
    <w:rPr>
      <w:kern w:val="2"/>
    </w:rPr>
  </w:style>
  <w:style w:type="paragraph" w:customStyle="1" w:styleId="1661">
    <w:name w:val="Char Char Char Char Char Char Char Char Char Char Char Char Char Char Char Char Char Char Char Char Char Char Char Char1"/>
    <w:basedOn w:val="1"/>
    <w:qFormat/>
    <w:uiPriority w:val="0"/>
    <w:pPr>
      <w:widowControl w:val="0"/>
      <w:jc w:val="both"/>
    </w:pPr>
    <w:rPr>
      <w:rFonts w:ascii="Times New Roman" w:hAnsi="Times New Roman" w:cs="Times New Roman"/>
      <w:kern w:val="2"/>
      <w:sz w:val="21"/>
    </w:rPr>
  </w:style>
  <w:style w:type="table" w:customStyle="1" w:styleId="1662">
    <w:name w:val="Table Normal"/>
    <w:unhideWhenUsed/>
    <w:qFormat/>
    <w:uiPriority w:val="0"/>
    <w:pPr>
      <w:widowControl w:val="0"/>
    </w:pPr>
    <w:rPr>
      <w:sz w:val="22"/>
      <w:szCs w:val="22"/>
      <w:lang w:eastAsia="en-US"/>
    </w:rPr>
    <w:tblPr>
      <w:tblCellMar>
        <w:top w:w="0" w:type="dxa"/>
        <w:left w:w="0" w:type="dxa"/>
        <w:bottom w:w="0" w:type="dxa"/>
        <w:right w:w="0" w:type="dxa"/>
      </w:tblCellMar>
    </w:tblPr>
  </w:style>
  <w:style w:type="table" w:customStyle="1" w:styleId="1663">
    <w:name w:val="HIT-EIA"/>
    <w:basedOn w:val="82"/>
    <w:qFormat/>
    <w:uiPriority w:val="0"/>
    <w:pPr>
      <w:jc w:val="center"/>
    </w:pPr>
    <w:rPr>
      <w:sz w:val="21"/>
      <w:szCs w:val="21"/>
    </w:rPr>
    <w:tblPr>
      <w:tblBorders>
        <w:insideH w:val="single" w:color="auto" w:sz="4" w:space="0"/>
        <w:insideV w:val="single" w:color="auto" w:sz="4" w:space="0"/>
      </w:tblBorders>
      <w:tblCellMar>
        <w:top w:w="0" w:type="dxa"/>
        <w:left w:w="108" w:type="dxa"/>
        <w:bottom w:w="0" w:type="dxa"/>
        <w:right w:w="108" w:type="dxa"/>
      </w:tblCellMar>
    </w:tblPr>
    <w:tcPr>
      <w:vAlign w:val="center"/>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paragraph" w:customStyle="1" w:styleId="1664">
    <w:name w:val="Char Char Char Char Char Char Char9"/>
    <w:basedOn w:val="1"/>
    <w:qFormat/>
    <w:uiPriority w:val="0"/>
    <w:pPr>
      <w:widowControl w:val="0"/>
      <w:spacing w:line="360" w:lineRule="auto"/>
      <w:ind w:firstLine="200" w:firstLineChars="200"/>
      <w:jc w:val="both"/>
    </w:pPr>
    <w:rPr>
      <w:kern w:val="2"/>
      <w:szCs w:val="21"/>
    </w:rPr>
  </w:style>
  <w:style w:type="paragraph" w:customStyle="1" w:styleId="1665">
    <w:name w:val="环保表内字（小五）"/>
    <w:basedOn w:val="1571"/>
    <w:qFormat/>
    <w:uiPriority w:val="0"/>
    <w:pPr>
      <w:tabs>
        <w:tab w:val="left" w:pos="540"/>
        <w:tab w:val="left" w:pos="4095"/>
      </w:tabs>
      <w:topLinePunct/>
      <w:spacing w:line="240" w:lineRule="atLeast"/>
    </w:pPr>
    <w:rPr>
      <w:snapToGrid w:val="0"/>
      <w:sz w:val="18"/>
      <w:szCs w:val="20"/>
    </w:rPr>
  </w:style>
  <w:style w:type="paragraph" w:customStyle="1" w:styleId="1666">
    <w:name w:val="R-表中文字"/>
    <w:basedOn w:val="1"/>
    <w:qFormat/>
    <w:uiPriority w:val="6"/>
    <w:pPr>
      <w:jc w:val="center"/>
    </w:pPr>
  </w:style>
  <w:style w:type="paragraph" w:customStyle="1" w:styleId="1667">
    <w:name w:val="正文缩进2"/>
    <w:basedOn w:val="1"/>
    <w:qFormat/>
    <w:uiPriority w:val="0"/>
    <w:pPr>
      <w:widowControl w:val="0"/>
      <w:spacing w:line="520" w:lineRule="exact"/>
      <w:ind w:firstLine="624"/>
      <w:jc w:val="both"/>
    </w:pPr>
    <w:rPr>
      <w:rFonts w:ascii="Times New Roman" w:hAnsi="Times New Roman" w:cs="Times New Roman"/>
      <w:kern w:val="2"/>
      <w:sz w:val="28"/>
      <w:szCs w:val="20"/>
    </w:rPr>
  </w:style>
  <w:style w:type="paragraph" w:customStyle="1" w:styleId="1668">
    <w:name w:val="列出段落3"/>
    <w:basedOn w:val="1"/>
    <w:qFormat/>
    <w:uiPriority w:val="34"/>
    <w:pPr>
      <w:adjustRightInd w:val="0"/>
      <w:snapToGrid w:val="0"/>
      <w:spacing w:after="200"/>
      <w:ind w:firstLine="420" w:firstLineChars="200"/>
    </w:pPr>
    <w:rPr>
      <w:rFonts w:ascii="Tahoma" w:hAnsi="Tahoma" w:eastAsia="微软雅黑" w:cs="Times New Roman"/>
      <w:sz w:val="22"/>
      <w:szCs w:val="22"/>
    </w:rPr>
  </w:style>
  <w:style w:type="character" w:customStyle="1" w:styleId="1669">
    <w:name w:val="summary"/>
    <w:qFormat/>
    <w:uiPriority w:val="0"/>
    <w:rPr>
      <w:color w:val="999999"/>
      <w:sz w:val="18"/>
      <w:szCs w:val="18"/>
    </w:rPr>
  </w:style>
  <w:style w:type="character" w:customStyle="1" w:styleId="1670">
    <w:name w:val="answer-title2"/>
    <w:qFormat/>
    <w:uiPriority w:val="0"/>
  </w:style>
  <w:style w:type="character" w:customStyle="1" w:styleId="1671">
    <w:name w:val="field-label10"/>
    <w:qFormat/>
    <w:uiPriority w:val="0"/>
    <w:rPr>
      <w:b/>
    </w:rPr>
  </w:style>
  <w:style w:type="character" w:customStyle="1" w:styleId="1672">
    <w:name w:val="bg"/>
    <w:qFormat/>
    <w:uiPriority w:val="0"/>
    <w:rPr>
      <w:shd w:val="clear" w:color="auto" w:fill="000000"/>
    </w:rPr>
  </w:style>
  <w:style w:type="character" w:customStyle="1" w:styleId="1673">
    <w:name w:val="bsharetext"/>
    <w:qFormat/>
    <w:uiPriority w:val="0"/>
  </w:style>
  <w:style w:type="character" w:customStyle="1" w:styleId="1674">
    <w:name w:val="fontstyle01"/>
    <w:qFormat/>
    <w:uiPriority w:val="0"/>
    <w:rPr>
      <w:rFonts w:hint="eastAsia" w:ascii="宋体" w:hAnsi="宋体" w:eastAsia="宋体"/>
      <w:color w:val="000000"/>
      <w:sz w:val="24"/>
      <w:szCs w:val="24"/>
    </w:rPr>
  </w:style>
  <w:style w:type="character" w:customStyle="1" w:styleId="1675">
    <w:name w:val="hover27"/>
    <w:qFormat/>
    <w:uiPriority w:val="0"/>
  </w:style>
  <w:style w:type="character" w:customStyle="1" w:styleId="1676">
    <w:name w:val="fontstyle21"/>
    <w:qFormat/>
    <w:uiPriority w:val="0"/>
    <w:rPr>
      <w:rFonts w:hint="default" w:ascii="TimesNewRomanPSMT" w:hAnsi="TimesNewRomanPSMT"/>
      <w:color w:val="000000"/>
      <w:sz w:val="18"/>
      <w:szCs w:val="18"/>
    </w:rPr>
  </w:style>
  <w:style w:type="character" w:customStyle="1" w:styleId="1677">
    <w:name w:val="del-btn1"/>
    <w:qFormat/>
    <w:uiPriority w:val="0"/>
    <w:rPr>
      <w:shd w:val="clear" w:color="auto" w:fill="000000"/>
    </w:rPr>
  </w:style>
  <w:style w:type="character" w:customStyle="1" w:styleId="1678">
    <w:name w:val="环保-正文内容 Char"/>
    <w:link w:val="1679"/>
    <w:qFormat/>
    <w:uiPriority w:val="0"/>
    <w:rPr>
      <w:sz w:val="24"/>
    </w:rPr>
  </w:style>
  <w:style w:type="paragraph" w:customStyle="1" w:styleId="1679">
    <w:name w:val="环保-正文内容"/>
    <w:basedOn w:val="1"/>
    <w:link w:val="1678"/>
    <w:qFormat/>
    <w:uiPriority w:val="0"/>
    <w:pPr>
      <w:adjustRightInd w:val="0"/>
      <w:snapToGrid w:val="0"/>
      <w:spacing w:after="200"/>
      <w:ind w:firstLine="200" w:firstLineChars="200"/>
    </w:pPr>
    <w:rPr>
      <w:rFonts w:ascii="Times New Roman" w:hAnsi="Times New Roman" w:cs="Times New Roman"/>
      <w:szCs w:val="20"/>
    </w:rPr>
  </w:style>
  <w:style w:type="character" w:customStyle="1" w:styleId="1680">
    <w:name w:val="del-btn"/>
    <w:qFormat/>
    <w:uiPriority w:val="0"/>
  </w:style>
  <w:style w:type="character" w:customStyle="1" w:styleId="1681">
    <w:name w:val="标题 2 Char11"/>
    <w:qFormat/>
    <w:uiPriority w:val="0"/>
    <w:rPr>
      <w:kern w:val="2"/>
      <w:sz w:val="24"/>
    </w:rPr>
  </w:style>
  <w:style w:type="paragraph" w:customStyle="1" w:styleId="1682">
    <w:name w:val="LY-表头"/>
    <w:next w:val="1"/>
    <w:qFormat/>
    <w:uiPriority w:val="0"/>
    <w:pPr>
      <w:jc w:val="center"/>
    </w:pPr>
    <w:rPr>
      <w:rFonts w:ascii="Times New Roman" w:hAnsi="Times New Roman" w:eastAsia="黑体" w:cs="Times New Roman"/>
      <w:b/>
      <w:sz w:val="24"/>
      <w:lang w:val="en-US" w:eastAsia="zh-CN" w:bidi="ar-SA"/>
    </w:rPr>
  </w:style>
  <w:style w:type="paragraph" w:customStyle="1" w:styleId="1683">
    <w:name w:val="副标题2"/>
    <w:basedOn w:val="1"/>
    <w:qFormat/>
    <w:uiPriority w:val="0"/>
    <w:pPr>
      <w:adjustRightInd w:val="0"/>
      <w:snapToGrid w:val="0"/>
      <w:spacing w:after="200"/>
      <w:ind w:firstLine="200" w:firstLineChars="200"/>
    </w:pPr>
    <w:rPr>
      <w:rFonts w:ascii="Tahoma" w:hAnsi="Tahoma" w:eastAsia="微软雅黑" w:cs="Times New Roman"/>
      <w:b/>
      <w:sz w:val="22"/>
    </w:rPr>
  </w:style>
  <w:style w:type="paragraph" w:customStyle="1" w:styleId="1684">
    <w:name w:val="列出段落4"/>
    <w:basedOn w:val="1"/>
    <w:qFormat/>
    <w:uiPriority w:val="34"/>
    <w:pPr>
      <w:adjustRightInd w:val="0"/>
      <w:snapToGrid w:val="0"/>
      <w:spacing w:after="200"/>
      <w:ind w:firstLine="420" w:firstLineChars="200"/>
    </w:pPr>
    <w:rPr>
      <w:rFonts w:ascii="Tahoma" w:hAnsi="Tahoma" w:eastAsia="微软雅黑" w:cs="Times New Roman"/>
      <w:sz w:val="22"/>
      <w:szCs w:val="22"/>
    </w:rPr>
  </w:style>
  <w:style w:type="paragraph" w:customStyle="1" w:styleId="1685">
    <w:name w:val="正文文本 22"/>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paragraph" w:customStyle="1" w:styleId="1686">
    <w:name w:val="OK 1.1.1"/>
    <w:basedOn w:val="1687"/>
    <w:next w:val="1"/>
    <w:link w:val="1689"/>
    <w:qFormat/>
    <w:uiPriority w:val="0"/>
    <w:pPr>
      <w:spacing w:line="360" w:lineRule="auto"/>
      <w:outlineLvl w:val="2"/>
    </w:pPr>
  </w:style>
  <w:style w:type="paragraph" w:customStyle="1" w:styleId="1687">
    <w:name w:val="OK 1.1"/>
    <w:basedOn w:val="1688"/>
    <w:next w:val="73"/>
    <w:qFormat/>
    <w:uiPriority w:val="0"/>
    <w:rPr>
      <w:rFonts w:ascii="Calibri" w:hAnsi="Calibri" w:eastAsia="微软雅黑" w:cs="Times New Roman"/>
      <w:sz w:val="22"/>
      <w:lang w:val="zh-CN"/>
    </w:rPr>
  </w:style>
  <w:style w:type="paragraph" w:customStyle="1" w:styleId="1688">
    <w:name w:val="标题 2环保 + 段前: 0.5 行"/>
    <w:basedOn w:val="5"/>
    <w:next w:val="1"/>
    <w:qFormat/>
    <w:uiPriority w:val="0"/>
    <w:pPr>
      <w:keepLines w:val="0"/>
      <w:adjustRightInd w:val="0"/>
      <w:snapToGrid w:val="0"/>
      <w:spacing w:after="200" w:line="240" w:lineRule="auto"/>
      <w:ind w:left="40" w:firstLine="200" w:firstLineChars="200"/>
    </w:pPr>
    <w:rPr>
      <w:rFonts w:ascii="Times New Roman" w:hAnsi="Times New Roman" w:cs="宋体"/>
      <w:b/>
      <w:szCs w:val="28"/>
    </w:rPr>
  </w:style>
  <w:style w:type="character" w:customStyle="1" w:styleId="1689">
    <w:name w:val="OK 1.1.1 Char"/>
    <w:link w:val="1686"/>
    <w:qFormat/>
    <w:uiPriority w:val="0"/>
    <w:rPr>
      <w:rFonts w:ascii="Calibri" w:hAnsi="Calibri" w:eastAsia="微软雅黑"/>
      <w:b/>
      <w:sz w:val="22"/>
      <w:szCs w:val="24"/>
      <w:lang w:val="zh-CN"/>
    </w:rPr>
  </w:style>
  <w:style w:type="paragraph" w:customStyle="1" w:styleId="1690">
    <w:name w:val="正文-报告表"/>
    <w:basedOn w:val="1"/>
    <w:qFormat/>
    <w:uiPriority w:val="0"/>
    <w:pPr>
      <w:adjustRightInd w:val="0"/>
      <w:snapToGrid w:val="0"/>
      <w:spacing w:after="200"/>
      <w:ind w:firstLine="482"/>
    </w:pPr>
    <w:rPr>
      <w:rFonts w:ascii="Tahoma" w:hAnsi="Tahoma" w:eastAsia="微软雅黑" w:cs="Times New Roman"/>
      <w:szCs w:val="20"/>
    </w:rPr>
  </w:style>
  <w:style w:type="paragraph" w:customStyle="1" w:styleId="1691">
    <w:name w:val="副标题1"/>
    <w:basedOn w:val="4"/>
    <w:next w:val="1690"/>
    <w:qFormat/>
    <w:uiPriority w:val="0"/>
    <w:pPr>
      <w:keepNext/>
      <w:keepLines/>
      <w:widowControl w:val="0"/>
      <w:wordWrap w:val="0"/>
      <w:adjustRightInd w:val="0"/>
      <w:snapToGrid w:val="0"/>
      <w:spacing w:before="340" w:after="330" w:line="360" w:lineRule="auto"/>
      <w:ind w:firstLine="482" w:firstLineChars="200"/>
      <w:outlineLvl w:val="1"/>
    </w:pPr>
    <w:rPr>
      <w:rFonts w:ascii="Times New Roman" w:hAnsi="Times New Roman" w:eastAsia="宋体"/>
      <w:b/>
      <w:bCs/>
      <w:snapToGrid w:val="0"/>
      <w:kern w:val="44"/>
      <w:sz w:val="24"/>
      <w:szCs w:val="44"/>
    </w:rPr>
  </w:style>
  <w:style w:type="paragraph" w:customStyle="1" w:styleId="1692">
    <w:name w:val="Char"/>
    <w:basedOn w:val="1"/>
    <w:qFormat/>
    <w:uiPriority w:val="0"/>
    <w:pPr>
      <w:adjustRightInd w:val="0"/>
      <w:snapToGrid w:val="0"/>
      <w:spacing w:after="200"/>
    </w:pPr>
    <w:rPr>
      <w:rFonts w:ascii="Tahoma" w:hAnsi="Tahoma" w:eastAsia="微软雅黑" w:cs="Times New Roman"/>
      <w:sz w:val="22"/>
      <w:szCs w:val="22"/>
    </w:rPr>
  </w:style>
  <w:style w:type="paragraph" w:customStyle="1" w:styleId="1693">
    <w:name w:val="正文内容"/>
    <w:basedOn w:val="1"/>
    <w:qFormat/>
    <w:uiPriority w:val="0"/>
    <w:pPr>
      <w:adjustRightInd w:val="0"/>
      <w:snapToGrid w:val="0"/>
      <w:spacing w:after="200"/>
      <w:ind w:firstLine="200" w:firstLineChars="200"/>
    </w:pPr>
    <w:rPr>
      <w:rFonts w:ascii="Tahoma" w:hAnsi="Tahoma" w:eastAsia="微软雅黑" w:cs="Times New Roman"/>
      <w:szCs w:val="20"/>
    </w:rPr>
  </w:style>
  <w:style w:type="paragraph" w:customStyle="1" w:styleId="1694">
    <w:name w:val="WPSOffice手动目录 1"/>
    <w:qFormat/>
    <w:uiPriority w:val="0"/>
    <w:rPr>
      <w:rFonts w:ascii="Times New Roman" w:hAnsi="Times New Roman" w:eastAsia="宋体" w:cs="Times New Roman"/>
      <w:lang w:val="en-US" w:eastAsia="zh-CN" w:bidi="ar-SA"/>
    </w:rPr>
  </w:style>
  <w:style w:type="paragraph" w:customStyle="1" w:styleId="1695">
    <w:name w:val="Char4"/>
    <w:basedOn w:val="1"/>
    <w:qFormat/>
    <w:uiPriority w:val="0"/>
    <w:pPr>
      <w:widowControl w:val="0"/>
      <w:adjustRightInd w:val="0"/>
      <w:snapToGrid w:val="0"/>
      <w:spacing w:line="480" w:lineRule="exact"/>
      <w:ind w:firstLine="200" w:firstLineChars="200"/>
      <w:jc w:val="both"/>
    </w:pPr>
    <w:rPr>
      <w:rFonts w:ascii="Times New Roman" w:hAnsi="Times New Roman" w:cs="Times New Roman"/>
      <w:snapToGrid w:val="0"/>
      <w:sz w:val="28"/>
    </w:rPr>
  </w:style>
  <w:style w:type="paragraph" w:customStyle="1" w:styleId="1696">
    <w:name w:val="L表格文字"/>
    <w:basedOn w:val="78"/>
    <w:qFormat/>
    <w:uiPriority w:val="0"/>
    <w:pPr>
      <w:adjustRightInd w:val="0"/>
      <w:snapToGrid w:val="0"/>
      <w:spacing w:line="0" w:lineRule="atLeast"/>
      <w:ind w:firstLine="0" w:firstLineChars="0"/>
      <w:jc w:val="center"/>
    </w:pPr>
    <w:rPr>
      <w:rFonts w:ascii="Tahoma" w:hAnsi="Tahoma" w:eastAsia="微软雅黑"/>
      <w:sz w:val="21"/>
      <w:szCs w:val="22"/>
    </w:rPr>
  </w:style>
  <w:style w:type="paragraph" w:customStyle="1" w:styleId="1697">
    <w:name w:val="OK 表头"/>
    <w:basedOn w:val="6"/>
    <w:link w:val="1698"/>
    <w:qFormat/>
    <w:uiPriority w:val="0"/>
    <w:pPr>
      <w:widowControl w:val="0"/>
      <w:adjustRightInd w:val="0"/>
      <w:snapToGrid w:val="0"/>
      <w:spacing w:after="200" w:line="240" w:lineRule="auto"/>
      <w:ind w:firstLine="0"/>
      <w:jc w:val="center"/>
      <w:textAlignment w:val="baseline"/>
    </w:pPr>
    <w:rPr>
      <w:rFonts w:ascii="Times New Roman" w:hAnsi="Times New Roman" w:eastAsia="微软雅黑"/>
      <w:b/>
      <w:spacing w:val="-10"/>
      <w:kern w:val="2"/>
      <w:sz w:val="21"/>
      <w:szCs w:val="21"/>
    </w:rPr>
  </w:style>
  <w:style w:type="character" w:customStyle="1" w:styleId="1698">
    <w:name w:val="OK 表头 Char Char"/>
    <w:link w:val="1697"/>
    <w:qFormat/>
    <w:uiPriority w:val="0"/>
    <w:rPr>
      <w:rFonts w:eastAsia="微软雅黑"/>
      <w:b/>
      <w:spacing w:val="-10"/>
      <w:kern w:val="2"/>
      <w:sz w:val="21"/>
      <w:szCs w:val="21"/>
    </w:rPr>
  </w:style>
  <w:style w:type="paragraph" w:customStyle="1" w:styleId="1699">
    <w:name w:val="标题 3环保 + 段前: 0.5 行"/>
    <w:basedOn w:val="7"/>
    <w:next w:val="1"/>
    <w:qFormat/>
    <w:uiPriority w:val="0"/>
    <w:pPr>
      <w:keepNext w:val="0"/>
      <w:keepLines w:val="0"/>
      <w:adjustRightInd w:val="0"/>
      <w:snapToGrid w:val="0"/>
      <w:spacing w:before="100" w:beforeAutospacing="1" w:after="100" w:afterAutospacing="1" w:line="240" w:lineRule="auto"/>
    </w:pPr>
    <w:rPr>
      <w:rFonts w:hint="eastAsia" w:eastAsia="宋体" w:cs="宋体"/>
      <w:b/>
      <w:bCs w:val="0"/>
      <w:sz w:val="27"/>
      <w:szCs w:val="27"/>
    </w:rPr>
  </w:style>
  <w:style w:type="paragraph" w:customStyle="1" w:styleId="1700">
    <w:name w:val="11111表头"/>
    <w:basedOn w:val="1697"/>
    <w:qFormat/>
    <w:uiPriority w:val="0"/>
    <w:rPr>
      <w:rFonts w:eastAsia="黑体" w:cs="Calibri"/>
      <w:bCs/>
      <w:kern w:val="0"/>
      <w:sz w:val="24"/>
      <w:szCs w:val="24"/>
    </w:rPr>
  </w:style>
  <w:style w:type="paragraph" w:customStyle="1" w:styleId="1701">
    <w:name w:val="0报告书正文"/>
    <w:basedOn w:val="1"/>
    <w:qFormat/>
    <w:uiPriority w:val="0"/>
    <w:pPr>
      <w:adjustRightInd w:val="0"/>
      <w:snapToGrid w:val="0"/>
      <w:spacing w:after="200"/>
      <w:ind w:firstLine="480" w:firstLineChars="200"/>
    </w:pPr>
    <w:rPr>
      <w:rFonts w:ascii="Tahoma" w:hAnsi="Tahoma" w:eastAsia="微软雅黑" w:cs="Times New Roman"/>
      <w:szCs w:val="20"/>
    </w:rPr>
  </w:style>
  <w:style w:type="paragraph" w:customStyle="1" w:styleId="1702">
    <w:name w:val="正文内容（环科院）"/>
    <w:basedOn w:val="1"/>
    <w:qFormat/>
    <w:uiPriority w:val="0"/>
    <w:pPr>
      <w:adjustRightInd w:val="0"/>
      <w:snapToGrid w:val="0"/>
      <w:spacing w:after="200"/>
      <w:ind w:firstLine="200" w:firstLineChars="200"/>
    </w:pPr>
    <w:rPr>
      <w:rFonts w:ascii="Tahoma" w:hAnsi="Tahoma" w:eastAsia="微软雅黑" w:cs="Times New Roman"/>
      <w:szCs w:val="20"/>
    </w:rPr>
  </w:style>
  <w:style w:type="paragraph" w:customStyle="1" w:styleId="1703">
    <w:name w:val="样式45"/>
    <w:basedOn w:val="104"/>
    <w:qFormat/>
    <w:uiPriority w:val="0"/>
    <w:pPr>
      <w:widowControl/>
      <w:adjustRightInd w:val="0"/>
      <w:spacing w:after="200"/>
    </w:pPr>
    <w:rPr>
      <w:rFonts w:ascii="Tahoma" w:hAnsi="Tahoma" w:eastAsia="微软雅黑"/>
      <w:kern w:val="0"/>
    </w:rPr>
  </w:style>
  <w:style w:type="paragraph" w:customStyle="1" w:styleId="1704">
    <w:name w:val="图片-报告表"/>
    <w:basedOn w:val="1690"/>
    <w:qFormat/>
    <w:uiPriority w:val="0"/>
    <w:pPr>
      <w:ind w:firstLine="0"/>
      <w:jc w:val="center"/>
    </w:pPr>
  </w:style>
  <w:style w:type="paragraph" w:customStyle="1" w:styleId="1705">
    <w:name w:val="正文内容（环科院报告书）"/>
    <w:basedOn w:val="1"/>
    <w:link w:val="1706"/>
    <w:qFormat/>
    <w:uiPriority w:val="0"/>
    <w:pPr>
      <w:adjustRightInd w:val="0"/>
      <w:snapToGrid w:val="0"/>
      <w:spacing w:after="200"/>
      <w:ind w:firstLine="480" w:firstLineChars="200"/>
    </w:pPr>
    <w:rPr>
      <w:rFonts w:ascii="Tahoma" w:hAnsi="Tahoma" w:eastAsia="微软雅黑" w:cs="Times New Roman"/>
      <w:szCs w:val="20"/>
    </w:rPr>
  </w:style>
  <w:style w:type="character" w:customStyle="1" w:styleId="1706">
    <w:name w:val="正文内容（环科院报告书） Char Char"/>
    <w:link w:val="1705"/>
    <w:qFormat/>
    <w:uiPriority w:val="0"/>
    <w:rPr>
      <w:rFonts w:ascii="Tahoma" w:hAnsi="Tahoma" w:eastAsia="微软雅黑"/>
      <w:sz w:val="24"/>
    </w:rPr>
  </w:style>
  <w:style w:type="paragraph" w:customStyle="1" w:styleId="1707">
    <w:name w:val="表格格式"/>
    <w:basedOn w:val="1"/>
    <w:qFormat/>
    <w:uiPriority w:val="0"/>
    <w:pPr>
      <w:adjustRightInd w:val="0"/>
      <w:snapToGrid w:val="0"/>
      <w:spacing w:after="200" w:line="280" w:lineRule="exact"/>
      <w:jc w:val="center"/>
    </w:pPr>
    <w:rPr>
      <w:rFonts w:ascii="Tahoma" w:hAnsi="Tahoma" w:eastAsia="微软雅黑" w:cs="Times New Roman"/>
      <w:sz w:val="18"/>
      <w:szCs w:val="22"/>
    </w:rPr>
  </w:style>
  <w:style w:type="paragraph" w:customStyle="1" w:styleId="1708">
    <w:name w:val="AP-正文无级"/>
    <w:basedOn w:val="1"/>
    <w:qFormat/>
    <w:uiPriority w:val="0"/>
    <w:pPr>
      <w:adjustRightInd w:val="0"/>
      <w:snapToGrid w:val="0"/>
      <w:spacing w:after="200" w:line="360" w:lineRule="auto"/>
      <w:ind w:firstLine="480" w:firstLineChars="200"/>
    </w:pPr>
    <w:rPr>
      <w:rFonts w:ascii="Tahoma" w:hAnsi="Tahoma" w:eastAsia="微软雅黑" w:cs="Times New Roman"/>
      <w:szCs w:val="20"/>
    </w:rPr>
  </w:style>
  <w:style w:type="paragraph" w:customStyle="1" w:styleId="1709">
    <w:name w:val="O.K.表格内容"/>
    <w:basedOn w:val="1"/>
    <w:link w:val="1710"/>
    <w:qFormat/>
    <w:uiPriority w:val="0"/>
    <w:pPr>
      <w:adjustRightInd w:val="0"/>
      <w:snapToGrid w:val="0"/>
      <w:spacing w:after="200"/>
    </w:pPr>
    <w:rPr>
      <w:rFonts w:ascii="Tahoma" w:hAnsi="Tahoma" w:eastAsia="微软雅黑" w:cs="Times New Roman"/>
    </w:rPr>
  </w:style>
  <w:style w:type="character" w:customStyle="1" w:styleId="1710">
    <w:name w:val="O.K.表格内容 Char Char"/>
    <w:link w:val="1709"/>
    <w:qFormat/>
    <w:uiPriority w:val="0"/>
    <w:rPr>
      <w:rFonts w:ascii="Tahoma" w:hAnsi="Tahoma" w:eastAsia="微软雅黑"/>
      <w:sz w:val="24"/>
      <w:szCs w:val="24"/>
    </w:rPr>
  </w:style>
  <w:style w:type="paragraph" w:customStyle="1" w:styleId="1711">
    <w:name w:val="R-正文文本"/>
    <w:basedOn w:val="1"/>
    <w:qFormat/>
    <w:uiPriority w:val="4"/>
    <w:pPr>
      <w:spacing w:line="360" w:lineRule="auto"/>
      <w:ind w:firstLine="200" w:firstLineChars="200"/>
      <w:jc w:val="both"/>
    </w:pPr>
    <w:rPr>
      <w:rFonts w:ascii="Times New Roman" w:hAnsi="Times New Roman" w:cs="Times New Roman"/>
      <w:szCs w:val="20"/>
    </w:rPr>
  </w:style>
  <w:style w:type="table" w:customStyle="1" w:styleId="1712">
    <w:name w:val="网格型1"/>
    <w:basedOn w:val="8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13">
    <w:name w:val="List Paragraph1"/>
    <w:basedOn w:val="1"/>
    <w:qFormat/>
    <w:uiPriority w:val="34"/>
    <w:pPr>
      <w:adjustRightInd w:val="0"/>
      <w:snapToGrid w:val="0"/>
      <w:spacing w:after="200"/>
      <w:ind w:firstLine="420" w:firstLineChars="200"/>
    </w:pPr>
    <w:rPr>
      <w:rFonts w:ascii="Tahoma" w:hAnsi="Tahoma" w:eastAsia="微软雅黑" w:cs="Times New Roman"/>
      <w:sz w:val="22"/>
      <w:szCs w:val="22"/>
    </w:rPr>
  </w:style>
  <w:style w:type="paragraph" w:customStyle="1" w:styleId="1714">
    <w:name w:val="正文文本 23"/>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paragraph" w:customStyle="1" w:styleId="1715">
    <w:name w:val="Char5"/>
    <w:basedOn w:val="1"/>
    <w:qFormat/>
    <w:uiPriority w:val="0"/>
    <w:pPr>
      <w:adjustRightInd w:val="0"/>
      <w:snapToGrid w:val="0"/>
      <w:spacing w:after="200"/>
    </w:pPr>
    <w:rPr>
      <w:rFonts w:ascii="Tahoma" w:hAnsi="Tahoma" w:eastAsia="微软雅黑" w:cs="Times New Roman"/>
      <w:sz w:val="22"/>
      <w:szCs w:val="22"/>
    </w:rPr>
  </w:style>
  <w:style w:type="paragraph" w:customStyle="1" w:styleId="1716">
    <w:name w:val="环保表头"/>
    <w:link w:val="1717"/>
    <w:qFormat/>
    <w:uiPriority w:val="0"/>
    <w:pPr>
      <w:spacing w:beforeLines="50"/>
      <w:jc w:val="center"/>
    </w:pPr>
    <w:rPr>
      <w:rFonts w:ascii="宋体" w:hAnsi="宋体" w:eastAsia="黑体" w:cs="Times New Roman"/>
      <w:sz w:val="24"/>
      <w:lang w:val="en-US" w:eastAsia="zh-CN" w:bidi="ar-SA"/>
    </w:rPr>
  </w:style>
  <w:style w:type="character" w:customStyle="1" w:styleId="1717">
    <w:name w:val="环保表头 Char"/>
    <w:link w:val="1716"/>
    <w:qFormat/>
    <w:uiPriority w:val="0"/>
    <w:rPr>
      <w:rFonts w:ascii="宋体" w:hAnsi="宋体" w:eastAsia="黑体"/>
      <w:sz w:val="24"/>
    </w:rPr>
  </w:style>
  <w:style w:type="character" w:customStyle="1" w:styleId="1718">
    <w:name w:val="表头 Char1"/>
    <w:qFormat/>
    <w:uiPriority w:val="0"/>
    <w:rPr>
      <w:rFonts w:eastAsia="宋体"/>
      <w:snapToGrid w:val="0"/>
      <w:sz w:val="28"/>
      <w:szCs w:val="24"/>
    </w:rPr>
  </w:style>
  <w:style w:type="paragraph" w:customStyle="1" w:styleId="1719">
    <w:name w:val="自定表格"/>
    <w:basedOn w:val="1"/>
    <w:qFormat/>
    <w:uiPriority w:val="0"/>
    <w:pPr>
      <w:spacing w:line="360" w:lineRule="exact"/>
      <w:jc w:val="center"/>
    </w:pPr>
    <w:rPr>
      <w:rFonts w:ascii="Times New Roman" w:cs="Times New Roman"/>
      <w:color w:val="000000"/>
      <w:kern w:val="2"/>
      <w:sz w:val="21"/>
      <w:szCs w:val="21"/>
    </w:rPr>
  </w:style>
  <w:style w:type="character" w:customStyle="1" w:styleId="1720">
    <w:name w:val="表格 Char Char Char Char Char Char"/>
    <w:qFormat/>
    <w:uiPriority w:val="0"/>
    <w:rPr>
      <w:rFonts w:hint="eastAsia" w:ascii="Times New Roman" w:hAnsi="Times New Roman" w:eastAsia="宋体"/>
      <w:sz w:val="21"/>
    </w:rPr>
  </w:style>
  <w:style w:type="character" w:customStyle="1" w:styleId="1721">
    <w:name w:val="纯文本 字符"/>
    <w:qFormat/>
    <w:uiPriority w:val="0"/>
    <w:rPr>
      <w:rFonts w:ascii="宋体" w:hAnsi="Courier New" w:eastAsia="宋体"/>
      <w:kern w:val="2"/>
      <w:sz w:val="24"/>
      <w:lang w:val="en-US" w:eastAsia="zh-CN" w:bidi="ar-SA"/>
    </w:rPr>
  </w:style>
  <w:style w:type="paragraph" w:customStyle="1" w:styleId="1722">
    <w:name w:val="标题04"/>
    <w:basedOn w:val="8"/>
    <w:qFormat/>
    <w:uiPriority w:val="0"/>
    <w:pPr>
      <w:widowControl w:val="0"/>
      <w:adjustRightInd w:val="0"/>
      <w:snapToGrid w:val="0"/>
      <w:spacing w:before="200" w:after="200" w:line="480" w:lineRule="exact"/>
      <w:jc w:val="both"/>
    </w:pPr>
    <w:rPr>
      <w:rFonts w:ascii="Arial" w:hAnsi="Arial" w:eastAsia="黑体"/>
      <w:snapToGrid w:val="0"/>
      <w:kern w:val="28"/>
      <w:sz w:val="28"/>
      <w:szCs w:val="28"/>
      <w:lang w:val="en-US"/>
    </w:rPr>
  </w:style>
  <w:style w:type="character" w:customStyle="1" w:styleId="1723">
    <w:name w:val="标题 7 Char Char"/>
    <w:qFormat/>
    <w:uiPriority w:val="0"/>
    <w:rPr>
      <w:b/>
      <w:bCs/>
      <w:kern w:val="2"/>
      <w:sz w:val="24"/>
      <w:szCs w:val="24"/>
    </w:rPr>
  </w:style>
  <w:style w:type="character" w:customStyle="1" w:styleId="1724">
    <w:name w:val="样式 列表 + 黑色 Char"/>
    <w:qFormat/>
    <w:uiPriority w:val="0"/>
    <w:rPr>
      <w:rFonts w:ascii="黑体" w:eastAsia="黑体"/>
      <w:color w:val="000000"/>
      <w:kern w:val="2"/>
      <w:sz w:val="24"/>
      <w:szCs w:val="24"/>
      <w:lang w:val="en-US" w:eastAsia="zh-CN" w:bidi="ar-SA"/>
    </w:rPr>
  </w:style>
  <w:style w:type="character" w:customStyle="1" w:styleId="1725">
    <w:name w:val="王　正文 Char Char Char"/>
    <w:qFormat/>
    <w:uiPriority w:val="0"/>
    <w:rPr>
      <w:rFonts w:hAnsi="宋体"/>
      <w:kern w:val="24"/>
      <w:sz w:val="28"/>
      <w:szCs w:val="28"/>
    </w:rPr>
  </w:style>
  <w:style w:type="character" w:customStyle="1" w:styleId="1726">
    <w:name w:val="正文文本 3 字符"/>
    <w:qFormat/>
    <w:uiPriority w:val="0"/>
    <w:rPr>
      <w:rFonts w:ascii="Arial" w:hAnsi="Arial" w:eastAsia="宋体"/>
      <w:kern w:val="2"/>
      <w:sz w:val="24"/>
      <w:lang w:val="en-US" w:eastAsia="zh-CN" w:bidi="ar-SA"/>
    </w:rPr>
  </w:style>
  <w:style w:type="character" w:customStyle="1" w:styleId="1727">
    <w:name w:val="标2 Char"/>
    <w:link w:val="1728"/>
    <w:qFormat/>
    <w:uiPriority w:val="0"/>
    <w:rPr>
      <w:rFonts w:ascii="黑体" w:hAnsi="Arial" w:eastAsia="黑体"/>
      <w:b/>
      <w:color w:val="000000"/>
      <w:position w:val="-6"/>
      <w:sz w:val="24"/>
      <w:szCs w:val="24"/>
    </w:rPr>
  </w:style>
  <w:style w:type="paragraph" w:customStyle="1" w:styleId="1728">
    <w:name w:val="标2"/>
    <w:basedOn w:val="5"/>
    <w:link w:val="1727"/>
    <w:qFormat/>
    <w:uiPriority w:val="0"/>
    <w:pPr>
      <w:widowControl w:val="0"/>
      <w:adjustRightInd w:val="0"/>
      <w:spacing w:before="120" w:after="120" w:line="520" w:lineRule="exact"/>
      <w:textAlignment w:val="baseline"/>
    </w:pPr>
    <w:rPr>
      <w:rFonts w:ascii="黑体" w:hAnsi="Arial"/>
      <w:b/>
      <w:bCs w:val="0"/>
      <w:color w:val="000000"/>
      <w:position w:val="-6"/>
      <w:sz w:val="24"/>
      <w:szCs w:val="24"/>
    </w:rPr>
  </w:style>
  <w:style w:type="character" w:customStyle="1" w:styleId="1729">
    <w:name w:val="表格 Char"/>
    <w:qFormat/>
    <w:uiPriority w:val="0"/>
    <w:rPr>
      <w:kern w:val="2"/>
      <w:sz w:val="21"/>
      <w:szCs w:val="24"/>
    </w:rPr>
  </w:style>
  <w:style w:type="character" w:customStyle="1" w:styleId="1730">
    <w:name w:val="标题2T Char1"/>
    <w:link w:val="1731"/>
    <w:qFormat/>
    <w:uiPriority w:val="0"/>
    <w:rPr>
      <w:kern w:val="2"/>
      <w:sz w:val="28"/>
      <w:szCs w:val="24"/>
    </w:rPr>
  </w:style>
  <w:style w:type="paragraph" w:customStyle="1" w:styleId="1731">
    <w:name w:val="标题2T"/>
    <w:basedOn w:val="1"/>
    <w:next w:val="1"/>
    <w:link w:val="1730"/>
    <w:qFormat/>
    <w:uiPriority w:val="0"/>
    <w:pPr>
      <w:keepNext/>
      <w:keepLines/>
      <w:widowControl w:val="0"/>
      <w:adjustRightInd w:val="0"/>
      <w:snapToGrid w:val="0"/>
      <w:spacing w:beforeLines="50" w:afterLines="50" w:line="440" w:lineRule="exact"/>
      <w:jc w:val="center"/>
      <w:outlineLvl w:val="0"/>
    </w:pPr>
    <w:rPr>
      <w:rFonts w:ascii="Times New Roman" w:hAnsi="Times New Roman" w:cs="Times New Roman"/>
      <w:kern w:val="2"/>
      <w:sz w:val="28"/>
    </w:rPr>
  </w:style>
  <w:style w:type="character" w:customStyle="1" w:styleId="1732">
    <w:name w:val="标题 9 字符1"/>
    <w:qFormat/>
    <w:uiPriority w:val="0"/>
    <w:rPr>
      <w:rFonts w:ascii="Arial" w:hAnsi="Arial" w:eastAsia="黑体"/>
      <w:kern w:val="2"/>
      <w:sz w:val="21"/>
      <w:szCs w:val="21"/>
    </w:rPr>
  </w:style>
  <w:style w:type="character" w:customStyle="1" w:styleId="1733">
    <w:name w:val="simjour"/>
    <w:qFormat/>
    <w:uiPriority w:val="0"/>
  </w:style>
  <w:style w:type="character" w:customStyle="1" w:styleId="1734">
    <w:name w:val="样式正文 Char Char"/>
    <w:qFormat/>
    <w:uiPriority w:val="0"/>
    <w:rPr>
      <w:rFonts w:eastAsia="宋体"/>
      <w:kern w:val="2"/>
      <w:sz w:val="28"/>
      <w:lang w:val="en-US" w:eastAsia="zh-CN" w:bidi="ar-SA"/>
    </w:rPr>
  </w:style>
  <w:style w:type="character" w:customStyle="1" w:styleId="1735">
    <w:name w:val="设计正文 Char Char"/>
    <w:link w:val="1736"/>
    <w:qFormat/>
    <w:uiPriority w:val="0"/>
    <w:rPr>
      <w:rFonts w:ascii="宋体"/>
      <w:kern w:val="2"/>
      <w:sz w:val="24"/>
    </w:rPr>
  </w:style>
  <w:style w:type="paragraph" w:customStyle="1" w:styleId="1736">
    <w:name w:val="设计正文 Char"/>
    <w:basedOn w:val="1"/>
    <w:link w:val="1735"/>
    <w:qFormat/>
    <w:uiPriority w:val="0"/>
    <w:pPr>
      <w:widowControl w:val="0"/>
      <w:spacing w:line="420" w:lineRule="exact"/>
      <w:ind w:firstLine="200" w:firstLineChars="200"/>
      <w:jc w:val="both"/>
    </w:pPr>
    <w:rPr>
      <w:rFonts w:hAnsi="Times New Roman" w:cs="Times New Roman"/>
      <w:kern w:val="2"/>
      <w:szCs w:val="20"/>
    </w:rPr>
  </w:style>
  <w:style w:type="character" w:customStyle="1" w:styleId="1737">
    <w:name w:val="脚注文本 字符1"/>
    <w:qFormat/>
    <w:uiPriority w:val="0"/>
    <w:rPr>
      <w:sz w:val="18"/>
      <w:szCs w:val="18"/>
    </w:rPr>
  </w:style>
  <w:style w:type="character" w:customStyle="1" w:styleId="1738">
    <w:name w:val="emtidy-1"/>
    <w:qFormat/>
    <w:uiPriority w:val="0"/>
  </w:style>
  <w:style w:type="character" w:customStyle="1" w:styleId="1739">
    <w:name w:val="图标注 Char Char"/>
    <w:qFormat/>
    <w:uiPriority w:val="0"/>
    <w:rPr>
      <w:b/>
      <w:kern w:val="24"/>
      <w:sz w:val="24"/>
      <w:szCs w:val="22"/>
      <w:lang w:bidi="ar-SA"/>
    </w:rPr>
  </w:style>
  <w:style w:type="character" w:customStyle="1" w:styleId="1740">
    <w:name w:val="报告正文 Char"/>
    <w:qFormat/>
    <w:uiPriority w:val="0"/>
    <w:rPr>
      <w:rFonts w:ascii="宋体" w:eastAsia="宋体"/>
      <w:kern w:val="2"/>
      <w:sz w:val="28"/>
      <w:lang w:val="en-US" w:eastAsia="zh-CN" w:bidi="ar-SA"/>
    </w:rPr>
  </w:style>
  <w:style w:type="character" w:customStyle="1" w:styleId="1741">
    <w:name w:val="正文文字缩进 Char"/>
    <w:qFormat/>
    <w:uiPriority w:val="0"/>
    <w:rPr>
      <w:rFonts w:ascii="宋体" w:hAnsi="Arial"/>
      <w:kern w:val="2"/>
      <w:sz w:val="24"/>
    </w:rPr>
  </w:style>
  <w:style w:type="character" w:customStyle="1" w:styleId="1742">
    <w:name w:val="页码1"/>
    <w:qFormat/>
    <w:uiPriority w:val="0"/>
  </w:style>
  <w:style w:type="character" w:customStyle="1" w:styleId="1743">
    <w:name w:val="批注文字 字符3"/>
    <w:qFormat/>
    <w:uiPriority w:val="0"/>
    <w:rPr>
      <w:kern w:val="2"/>
      <w:sz w:val="24"/>
    </w:rPr>
  </w:style>
  <w:style w:type="character" w:customStyle="1" w:styleId="1744">
    <w:name w:val="标题 3 字符1"/>
    <w:qFormat/>
    <w:uiPriority w:val="0"/>
    <w:rPr>
      <w:b/>
      <w:bCs/>
      <w:kern w:val="2"/>
      <w:sz w:val="32"/>
      <w:szCs w:val="32"/>
    </w:rPr>
  </w:style>
  <w:style w:type="character" w:customStyle="1" w:styleId="1745">
    <w:name w:val="电子邮件签名 字符1"/>
    <w:qFormat/>
    <w:uiPriority w:val="0"/>
    <w:rPr>
      <w:kern w:val="2"/>
      <w:sz w:val="24"/>
    </w:rPr>
  </w:style>
  <w:style w:type="character" w:customStyle="1" w:styleId="1746">
    <w:name w:val="0正文 Char Char"/>
    <w:qFormat/>
    <w:uiPriority w:val="0"/>
    <w:rPr>
      <w:rFonts w:ascii="宋体" w:hAnsi="宋体"/>
      <w:snapToGrid/>
      <w:kern w:val="44"/>
      <w:sz w:val="28"/>
      <w:szCs w:val="24"/>
      <w:lang w:val="zh-CN"/>
    </w:rPr>
  </w:style>
  <w:style w:type="character" w:customStyle="1" w:styleId="1747">
    <w:name w:val="页码11"/>
    <w:qFormat/>
    <w:uiPriority w:val="0"/>
  </w:style>
  <w:style w:type="character" w:customStyle="1" w:styleId="1748">
    <w:name w:val="表格文字居中 Char"/>
    <w:qFormat/>
    <w:locked/>
    <w:uiPriority w:val="0"/>
    <w:rPr>
      <w:rFonts w:eastAsia="宋体"/>
      <w:kern w:val="2"/>
      <w:sz w:val="21"/>
      <w:szCs w:val="24"/>
      <w:lang w:val="en-US" w:eastAsia="zh-CN" w:bidi="ar-SA"/>
    </w:rPr>
  </w:style>
  <w:style w:type="character" w:customStyle="1" w:styleId="1749">
    <w:name w:val="标题2，， Char Char"/>
    <w:qFormat/>
    <w:uiPriority w:val="0"/>
    <w:rPr>
      <w:rFonts w:ascii="黑体" w:eastAsia="黑体"/>
      <w:bCs/>
      <w:kern w:val="44"/>
      <w:sz w:val="32"/>
      <w:szCs w:val="32"/>
      <w:lang w:bidi="ar-SA"/>
    </w:rPr>
  </w:style>
  <w:style w:type="character" w:customStyle="1" w:styleId="1750">
    <w:name w:val="HTML 预设格式 字符"/>
    <w:qFormat/>
    <w:uiPriority w:val="0"/>
    <w:rPr>
      <w:rFonts w:ascii="宋体" w:hAnsi="宋体" w:eastAsia="宋体"/>
      <w:color w:val="000000"/>
      <w:sz w:val="24"/>
      <w:szCs w:val="24"/>
      <w:lang w:bidi="ar-SA"/>
    </w:rPr>
  </w:style>
  <w:style w:type="character" w:customStyle="1" w:styleId="1751">
    <w:name w:val="正文1111111 Char Char"/>
    <w:link w:val="1752"/>
    <w:qFormat/>
    <w:uiPriority w:val="0"/>
    <w:rPr>
      <w:rFonts w:ascii="宋体" w:hAnsi="Arial Narrow"/>
      <w:kern w:val="2"/>
      <w:sz w:val="24"/>
      <w:szCs w:val="24"/>
    </w:rPr>
  </w:style>
  <w:style w:type="paragraph" w:customStyle="1" w:styleId="1752">
    <w:name w:val="正文1111111"/>
    <w:basedOn w:val="1"/>
    <w:link w:val="1751"/>
    <w:qFormat/>
    <w:uiPriority w:val="0"/>
    <w:pPr>
      <w:widowControl w:val="0"/>
      <w:spacing w:line="460" w:lineRule="exact"/>
      <w:ind w:firstLine="200" w:firstLineChars="200"/>
      <w:jc w:val="both"/>
    </w:pPr>
    <w:rPr>
      <w:rFonts w:hAnsi="Arial Narrow" w:cs="Times New Roman"/>
      <w:kern w:val="2"/>
    </w:rPr>
  </w:style>
  <w:style w:type="character" w:customStyle="1" w:styleId="1753">
    <w:name w:val="表头 + 居中 Char"/>
    <w:qFormat/>
    <w:uiPriority w:val="0"/>
    <w:rPr>
      <w:rFonts w:ascii="Arial" w:hAnsi="Arial" w:eastAsia="黑体"/>
      <w:kern w:val="2"/>
      <w:sz w:val="21"/>
      <w:szCs w:val="21"/>
      <w:lang w:val="en-US" w:eastAsia="zh-CN" w:bidi="ar-SA"/>
    </w:rPr>
  </w:style>
  <w:style w:type="character" w:customStyle="1" w:styleId="1754">
    <w:name w:val="正文样式 Char1"/>
    <w:qFormat/>
    <w:locked/>
    <w:uiPriority w:val="0"/>
    <w:rPr>
      <w:rFonts w:ascii="宋体" w:hAnsi="宋体" w:eastAsia="宋体"/>
      <w:kern w:val="2"/>
      <w:sz w:val="24"/>
      <w:szCs w:val="24"/>
      <w:lang w:val="en-US" w:eastAsia="zh-CN" w:bidi="ar-SA"/>
    </w:rPr>
  </w:style>
  <w:style w:type="character" w:customStyle="1" w:styleId="1755">
    <w:name w:val="样式 宋体 四号 行距: 1.5 倍行距 Char Char Char"/>
    <w:link w:val="1756"/>
    <w:qFormat/>
    <w:uiPriority w:val="0"/>
    <w:rPr>
      <w:rFonts w:ascii="宋体" w:hAnsi="宋体"/>
      <w:kern w:val="2"/>
      <w:sz w:val="28"/>
      <w:szCs w:val="24"/>
    </w:rPr>
  </w:style>
  <w:style w:type="paragraph" w:customStyle="1" w:styleId="1756">
    <w:name w:val="样式 宋体 四号 行距: 1.5 倍行距 Char Char"/>
    <w:basedOn w:val="1"/>
    <w:link w:val="1755"/>
    <w:qFormat/>
    <w:uiPriority w:val="0"/>
    <w:pPr>
      <w:widowControl w:val="0"/>
      <w:spacing w:line="360" w:lineRule="auto"/>
      <w:ind w:firstLine="560" w:firstLineChars="200"/>
      <w:jc w:val="both"/>
    </w:pPr>
    <w:rPr>
      <w:rFonts w:cs="Times New Roman"/>
      <w:kern w:val="2"/>
      <w:sz w:val="28"/>
    </w:rPr>
  </w:style>
  <w:style w:type="character" w:customStyle="1" w:styleId="1757">
    <w:name w:val="标题标题 Char"/>
    <w:qFormat/>
    <w:uiPriority w:val="0"/>
    <w:rPr>
      <w:rFonts w:eastAsia="黑体"/>
      <w:kern w:val="11"/>
      <w:sz w:val="21"/>
      <w:szCs w:val="28"/>
      <w:lang w:val="en-US" w:eastAsia="zh-CN" w:bidi="ar-SA"/>
    </w:rPr>
  </w:style>
  <w:style w:type="character" w:customStyle="1" w:styleId="1758">
    <w:name w:val="表格头 Char Char"/>
    <w:qFormat/>
    <w:uiPriority w:val="0"/>
    <w:rPr>
      <w:rFonts w:ascii="Arial" w:hAnsi="Arial" w:eastAsia="黑体"/>
      <w:snapToGrid w:val="0"/>
      <w:color w:val="000000"/>
      <w:sz w:val="21"/>
      <w:szCs w:val="24"/>
    </w:rPr>
  </w:style>
  <w:style w:type="character" w:customStyle="1" w:styleId="1759">
    <w:name w:val="批注文字 字符6"/>
    <w:qFormat/>
    <w:uiPriority w:val="99"/>
    <w:rPr>
      <w:kern w:val="2"/>
      <w:sz w:val="21"/>
      <w:szCs w:val="24"/>
    </w:rPr>
  </w:style>
  <w:style w:type="character" w:customStyle="1" w:styleId="1760">
    <w:name w:val="样式3 Char"/>
    <w:qFormat/>
    <w:uiPriority w:val="0"/>
    <w:rPr>
      <w:rFonts w:ascii="黑体" w:eastAsia="黑体"/>
      <w:sz w:val="28"/>
      <w:lang w:val="en-US" w:eastAsia="zh-CN" w:bidi="ar-SA"/>
    </w:rPr>
  </w:style>
  <w:style w:type="character" w:customStyle="1" w:styleId="1761">
    <w:name w:val="表格 文字 Char Char"/>
    <w:link w:val="1762"/>
    <w:qFormat/>
    <w:uiPriority w:val="0"/>
    <w:rPr>
      <w:bCs/>
      <w:kern w:val="2"/>
      <w:sz w:val="21"/>
      <w:szCs w:val="21"/>
    </w:rPr>
  </w:style>
  <w:style w:type="paragraph" w:customStyle="1" w:styleId="1762">
    <w:name w:val="表格 文字"/>
    <w:basedOn w:val="78"/>
    <w:link w:val="1761"/>
    <w:qFormat/>
    <w:uiPriority w:val="0"/>
    <w:pPr>
      <w:widowControl w:val="0"/>
      <w:tabs>
        <w:tab w:val="left" w:pos="628"/>
        <w:tab w:val="left" w:pos="1727"/>
        <w:tab w:val="left" w:pos="1884"/>
      </w:tabs>
      <w:snapToGrid w:val="0"/>
      <w:spacing w:after="0" w:line="312" w:lineRule="auto"/>
      <w:ind w:firstLine="0" w:firstLineChars="0"/>
    </w:pPr>
    <w:rPr>
      <w:rFonts w:ascii="Times New Roman" w:hAnsi="Times New Roman"/>
      <w:bCs/>
      <w:sz w:val="21"/>
      <w:szCs w:val="21"/>
    </w:rPr>
  </w:style>
  <w:style w:type="character" w:customStyle="1" w:styleId="1763">
    <w:name w:val="H2 Char Char"/>
    <w:qFormat/>
    <w:uiPriority w:val="0"/>
    <w:rPr>
      <w:rFonts w:ascii="宋体" w:hAnsi="Arial" w:eastAsia="宋体"/>
      <w:kern w:val="2"/>
      <w:sz w:val="28"/>
      <w:lang w:val="en-US" w:eastAsia="zh-CN" w:bidi="ar-SA"/>
    </w:rPr>
  </w:style>
  <w:style w:type="character" w:customStyle="1" w:styleId="1764">
    <w:name w:val="正文样式 Char"/>
    <w:qFormat/>
    <w:uiPriority w:val="0"/>
    <w:rPr>
      <w:rFonts w:ascii="宋体" w:hAnsi="宋体" w:eastAsia="宋体"/>
      <w:kern w:val="2"/>
      <w:sz w:val="24"/>
      <w:szCs w:val="24"/>
      <w:lang w:val="en-US" w:eastAsia="zh-CN" w:bidi="ar-SA"/>
    </w:rPr>
  </w:style>
  <w:style w:type="character" w:customStyle="1" w:styleId="1765">
    <w:name w:val="text"/>
    <w:qFormat/>
    <w:uiPriority w:val="0"/>
  </w:style>
  <w:style w:type="character" w:customStyle="1" w:styleId="1766">
    <w:name w:val="Char Char142"/>
    <w:qFormat/>
    <w:uiPriority w:val="0"/>
    <w:rPr>
      <w:rFonts w:eastAsia="宋体"/>
      <w:kern w:val="2"/>
      <w:sz w:val="21"/>
      <w:szCs w:val="24"/>
      <w:lang w:val="en-US" w:eastAsia="zh-CN" w:bidi="ar-SA"/>
    </w:rPr>
  </w:style>
  <w:style w:type="character" w:customStyle="1" w:styleId="1767">
    <w:name w:val="标题4，， Char"/>
    <w:link w:val="1768"/>
    <w:qFormat/>
    <w:locked/>
    <w:uiPriority w:val="0"/>
    <w:rPr>
      <w:rFonts w:ascii="宋体" w:hAnsi="宋体"/>
      <w:kern w:val="2"/>
      <w:sz w:val="24"/>
    </w:rPr>
  </w:style>
  <w:style w:type="paragraph" w:customStyle="1" w:styleId="1768">
    <w:name w:val="标题4，，"/>
    <w:basedOn w:val="8"/>
    <w:link w:val="1767"/>
    <w:qFormat/>
    <w:uiPriority w:val="0"/>
    <w:pPr>
      <w:widowControl w:val="0"/>
      <w:spacing w:line="360" w:lineRule="auto"/>
    </w:pPr>
    <w:rPr>
      <w:rFonts w:ascii="宋体" w:hAnsi="宋体" w:cs="Times New Roman"/>
      <w:kern w:val="2"/>
      <w:lang w:val="en-US"/>
    </w:rPr>
  </w:style>
  <w:style w:type="character" w:customStyle="1" w:styleId="1769">
    <w:name w:val="titlebig"/>
    <w:qFormat/>
    <w:uiPriority w:val="0"/>
  </w:style>
  <w:style w:type="character" w:customStyle="1" w:styleId="1770">
    <w:name w:val="标3 Char"/>
    <w:link w:val="1771"/>
    <w:qFormat/>
    <w:uiPriority w:val="0"/>
    <w:rPr>
      <w:rFonts w:ascii="黑体" w:hAnsi="宋体" w:eastAsia="黑体"/>
      <w:b/>
      <w:bCs/>
      <w:color w:val="000000"/>
      <w:sz w:val="24"/>
      <w:szCs w:val="24"/>
    </w:rPr>
  </w:style>
  <w:style w:type="paragraph" w:customStyle="1" w:styleId="1771">
    <w:name w:val="标3"/>
    <w:basedOn w:val="7"/>
    <w:link w:val="1770"/>
    <w:qFormat/>
    <w:uiPriority w:val="0"/>
    <w:pPr>
      <w:widowControl w:val="0"/>
      <w:adjustRightInd w:val="0"/>
      <w:spacing w:before="120" w:after="120" w:line="520" w:lineRule="exact"/>
      <w:textAlignment w:val="baseline"/>
    </w:pPr>
    <w:rPr>
      <w:rFonts w:ascii="黑体" w:hAnsi="宋体"/>
      <w:b/>
      <w:color w:val="000000"/>
      <w:sz w:val="24"/>
      <w:szCs w:val="24"/>
    </w:rPr>
  </w:style>
  <w:style w:type="character" w:customStyle="1" w:styleId="1772">
    <w:name w:val="正文升平 Char"/>
    <w:link w:val="1773"/>
    <w:qFormat/>
    <w:uiPriority w:val="0"/>
    <w:rPr>
      <w:rFonts w:ascii="楷体_GB2312" w:hAnsi="宋体" w:eastAsia="楷体_GB2312"/>
      <w:bCs/>
      <w:color w:val="000000"/>
      <w:sz w:val="28"/>
      <w:szCs w:val="28"/>
      <w:lang w:val="zh-CN"/>
    </w:rPr>
  </w:style>
  <w:style w:type="paragraph" w:customStyle="1" w:styleId="1773">
    <w:name w:val="正文升平"/>
    <w:basedOn w:val="1"/>
    <w:link w:val="1772"/>
    <w:qFormat/>
    <w:uiPriority w:val="0"/>
    <w:pPr>
      <w:widowControl w:val="0"/>
      <w:tabs>
        <w:tab w:val="left" w:pos="5040"/>
      </w:tabs>
      <w:spacing w:line="500" w:lineRule="exact"/>
      <w:ind w:firstLine="560" w:firstLineChars="200"/>
      <w:jc w:val="both"/>
    </w:pPr>
    <w:rPr>
      <w:rFonts w:ascii="楷体_GB2312" w:eastAsia="楷体_GB2312" w:cs="Times New Roman"/>
      <w:bCs/>
      <w:color w:val="000000"/>
      <w:sz w:val="28"/>
      <w:szCs w:val="28"/>
      <w:lang w:val="zh-CN"/>
    </w:rPr>
  </w:style>
  <w:style w:type="character" w:customStyle="1" w:styleId="1774">
    <w:name w:val="样式14 Char Char"/>
    <w:qFormat/>
    <w:uiPriority w:val="0"/>
    <w:rPr>
      <w:rFonts w:ascii="方正黑体简体" w:eastAsia="方正黑体简体"/>
      <w:sz w:val="24"/>
      <w:szCs w:val="21"/>
    </w:rPr>
  </w:style>
  <w:style w:type="character" w:customStyle="1" w:styleId="1775">
    <w:name w:val="页脚 字符"/>
    <w:qFormat/>
    <w:uiPriority w:val="99"/>
    <w:rPr>
      <w:kern w:val="2"/>
      <w:sz w:val="18"/>
    </w:rPr>
  </w:style>
  <w:style w:type="character" w:customStyle="1" w:styleId="1776">
    <w:name w:val="正文文字缩进 Char2"/>
    <w:qFormat/>
    <w:uiPriority w:val="0"/>
    <w:rPr>
      <w:kern w:val="2"/>
      <w:sz w:val="24"/>
    </w:rPr>
  </w:style>
  <w:style w:type="character" w:customStyle="1" w:styleId="1777">
    <w:name w:val="正文首行缩进 2 Char Char"/>
    <w:link w:val="1778"/>
    <w:qFormat/>
    <w:uiPriority w:val="0"/>
    <w:rPr>
      <w:rFonts w:ascii="楷体_GB2312" w:eastAsia="楷体_GB2312"/>
      <w:sz w:val="28"/>
      <w:szCs w:val="24"/>
    </w:rPr>
  </w:style>
  <w:style w:type="paragraph" w:customStyle="1" w:styleId="1778">
    <w:name w:val="正文首行缩进 21"/>
    <w:basedOn w:val="1779"/>
    <w:link w:val="1777"/>
    <w:qFormat/>
    <w:uiPriority w:val="0"/>
    <w:pPr>
      <w:widowControl w:val="0"/>
      <w:snapToGrid w:val="0"/>
      <w:spacing w:after="120" w:line="480" w:lineRule="exact"/>
      <w:ind w:left="420" w:leftChars="200" w:firstLine="420" w:firstLineChars="200"/>
      <w:jc w:val="both"/>
      <w:textAlignment w:val="auto"/>
    </w:pPr>
    <w:rPr>
      <w:rFonts w:ascii="楷体_GB2312" w:hAnsi="Times New Roman" w:eastAsia="楷体_GB2312" w:cs="Times New Roman"/>
      <w:sz w:val="28"/>
    </w:rPr>
  </w:style>
  <w:style w:type="paragraph" w:customStyle="1" w:styleId="1779">
    <w:name w:val="正文文本缩进2"/>
    <w:basedOn w:val="1"/>
    <w:qFormat/>
    <w:uiPriority w:val="0"/>
    <w:pPr>
      <w:adjustRightInd w:val="0"/>
      <w:spacing w:line="360" w:lineRule="atLeast"/>
      <w:ind w:left="280" w:firstLine="560"/>
      <w:textAlignment w:val="baseline"/>
    </w:pPr>
  </w:style>
  <w:style w:type="character" w:customStyle="1" w:styleId="1780">
    <w:name w:val="标题3 Char"/>
    <w:qFormat/>
    <w:uiPriority w:val="0"/>
    <w:rPr>
      <w:rFonts w:eastAsia="黑体" w:cs="宋体"/>
      <w:kern w:val="2"/>
      <w:sz w:val="28"/>
      <w:szCs w:val="32"/>
      <w:lang w:val="en-US" w:eastAsia="zh-CN" w:bidi="ar-SA"/>
    </w:rPr>
  </w:style>
  <w:style w:type="character" w:customStyle="1" w:styleId="1781">
    <w:name w:val="报告名称副标题 Char Char"/>
    <w:link w:val="1782"/>
    <w:qFormat/>
    <w:uiPriority w:val="0"/>
    <w:rPr>
      <w:rFonts w:eastAsia="黑体"/>
      <w:kern w:val="2"/>
      <w:sz w:val="44"/>
    </w:rPr>
  </w:style>
  <w:style w:type="paragraph" w:customStyle="1" w:styleId="1782">
    <w:name w:val="报告名称副标题"/>
    <w:basedOn w:val="1"/>
    <w:next w:val="1"/>
    <w:link w:val="1781"/>
    <w:qFormat/>
    <w:uiPriority w:val="0"/>
    <w:pPr>
      <w:adjustRightInd w:val="0"/>
      <w:snapToGrid w:val="0"/>
      <w:spacing w:before="140" w:after="120" w:line="700" w:lineRule="exact"/>
      <w:jc w:val="center"/>
    </w:pPr>
    <w:rPr>
      <w:rFonts w:ascii="Times New Roman" w:hAnsi="Times New Roman" w:eastAsia="黑体" w:cs="Times New Roman"/>
      <w:kern w:val="2"/>
      <w:sz w:val="44"/>
      <w:szCs w:val="20"/>
    </w:rPr>
  </w:style>
  <w:style w:type="character" w:customStyle="1" w:styleId="1783">
    <w:name w:val="表格内 Char Char"/>
    <w:qFormat/>
    <w:uiPriority w:val="0"/>
    <w:rPr>
      <w:snapToGrid w:val="0"/>
      <w:sz w:val="21"/>
      <w:szCs w:val="21"/>
    </w:rPr>
  </w:style>
  <w:style w:type="character" w:customStyle="1" w:styleId="1784">
    <w:name w:val="正文文本 2 字符"/>
    <w:qFormat/>
    <w:uiPriority w:val="0"/>
    <w:rPr>
      <w:rFonts w:eastAsia="宋体"/>
      <w:snapToGrid w:val="0"/>
      <w:kern w:val="28"/>
      <w:sz w:val="24"/>
      <w:lang w:val="en-US" w:eastAsia="zh-CN" w:bidi="ar-SA"/>
    </w:rPr>
  </w:style>
  <w:style w:type="character" w:customStyle="1" w:styleId="1785">
    <w:name w:val="王　正文 Char"/>
    <w:link w:val="1786"/>
    <w:qFormat/>
    <w:uiPriority w:val="0"/>
    <w:rPr>
      <w:rFonts w:hAnsi="宋体" w:cs="宋体"/>
      <w:kern w:val="24"/>
      <w:sz w:val="28"/>
      <w:szCs w:val="28"/>
    </w:rPr>
  </w:style>
  <w:style w:type="paragraph" w:customStyle="1" w:styleId="1786">
    <w:name w:val="王　正文"/>
    <w:basedOn w:val="1"/>
    <w:link w:val="1785"/>
    <w:qFormat/>
    <w:uiPriority w:val="0"/>
    <w:pPr>
      <w:widowControl w:val="0"/>
      <w:spacing w:line="480" w:lineRule="exact"/>
      <w:ind w:firstLine="560" w:firstLineChars="200"/>
      <w:jc w:val="both"/>
    </w:pPr>
    <w:rPr>
      <w:rFonts w:ascii="Times New Roman"/>
      <w:kern w:val="24"/>
      <w:sz w:val="28"/>
      <w:szCs w:val="28"/>
    </w:rPr>
  </w:style>
  <w:style w:type="character" w:customStyle="1" w:styleId="1787">
    <w:name w:val="日期 字符"/>
    <w:qFormat/>
    <w:uiPriority w:val="0"/>
    <w:rPr>
      <w:rFonts w:ascii="宋体" w:eastAsia="宋体"/>
      <w:kern w:val="2"/>
      <w:sz w:val="21"/>
      <w:lang w:val="en-US" w:eastAsia="zh-CN" w:bidi="ar-SA"/>
    </w:rPr>
  </w:style>
  <w:style w:type="character" w:customStyle="1" w:styleId="1788">
    <w:name w:val="普通(网站) 字符"/>
    <w:qFormat/>
    <w:uiPriority w:val="0"/>
    <w:rPr>
      <w:rFonts w:eastAsia="宋体"/>
      <w:kern w:val="2"/>
      <w:sz w:val="24"/>
      <w:szCs w:val="24"/>
      <w:lang w:val="en-US" w:eastAsia="zh-CN" w:bidi="ar-SA"/>
    </w:rPr>
  </w:style>
  <w:style w:type="character" w:customStyle="1" w:styleId="1789">
    <w:name w:val="cucd-0 Char"/>
    <w:qFormat/>
    <w:uiPriority w:val="0"/>
    <w:rPr>
      <w:kern w:val="2"/>
      <w:sz w:val="24"/>
      <w:szCs w:val="24"/>
      <w:lang w:val="en-US" w:eastAsia="zh-CN" w:bidi="ar-SA"/>
    </w:rPr>
  </w:style>
  <w:style w:type="character" w:customStyle="1" w:styleId="1790">
    <w:name w:val="正文新 Char"/>
    <w:link w:val="1791"/>
    <w:qFormat/>
    <w:uiPriority w:val="0"/>
    <w:rPr>
      <w:rFonts w:ascii="宋体" w:hAnsi="宋体"/>
      <w:kern w:val="2"/>
      <w:sz w:val="24"/>
      <w:szCs w:val="24"/>
    </w:rPr>
  </w:style>
  <w:style w:type="paragraph" w:customStyle="1" w:styleId="1791">
    <w:name w:val="正文新"/>
    <w:basedOn w:val="1"/>
    <w:link w:val="1790"/>
    <w:qFormat/>
    <w:uiPriority w:val="0"/>
    <w:pPr>
      <w:widowControl w:val="0"/>
      <w:spacing w:line="460" w:lineRule="exact"/>
      <w:ind w:firstLine="482"/>
      <w:jc w:val="both"/>
    </w:pPr>
    <w:rPr>
      <w:rFonts w:cs="Times New Roman"/>
      <w:kern w:val="2"/>
    </w:rPr>
  </w:style>
  <w:style w:type="character" w:customStyle="1" w:styleId="1792">
    <w:name w:val="样式 标题 2 Char + Times New Roman Char Char"/>
    <w:qFormat/>
    <w:uiPriority w:val="0"/>
    <w:rPr>
      <w:rFonts w:eastAsia="黑体"/>
      <w:kern w:val="2"/>
      <w:sz w:val="28"/>
    </w:rPr>
  </w:style>
  <w:style w:type="character" w:customStyle="1" w:styleId="1793">
    <w:name w:val="样式 标题 2 + 四号 Char Char Char"/>
    <w:qFormat/>
    <w:uiPriority w:val="0"/>
    <w:rPr>
      <w:rFonts w:eastAsia="黑体"/>
      <w:bCs/>
      <w:snapToGrid/>
      <w:sz w:val="28"/>
      <w:szCs w:val="32"/>
      <w:lang w:bidi="ar-SA"/>
    </w:rPr>
  </w:style>
  <w:style w:type="character" w:customStyle="1" w:styleId="1794">
    <w:name w:val="宏文本 Char1"/>
    <w:qFormat/>
    <w:uiPriority w:val="0"/>
    <w:rPr>
      <w:rFonts w:ascii="Courier New" w:hAnsi="Courier New" w:cs="Courier New"/>
      <w:sz w:val="24"/>
      <w:szCs w:val="24"/>
    </w:rPr>
  </w:style>
  <w:style w:type="character" w:customStyle="1" w:styleId="1795">
    <w:name w:val="表格sms Char"/>
    <w:link w:val="1796"/>
    <w:qFormat/>
    <w:uiPriority w:val="0"/>
    <w:rPr>
      <w:snapToGrid w:val="0"/>
      <w:w w:val="99"/>
      <w:sz w:val="21"/>
      <w:szCs w:val="21"/>
    </w:rPr>
  </w:style>
  <w:style w:type="paragraph" w:customStyle="1" w:styleId="1796">
    <w:name w:val="表格sms"/>
    <w:link w:val="1795"/>
    <w:qFormat/>
    <w:uiPriority w:val="0"/>
    <w:pPr>
      <w:spacing w:line="360" w:lineRule="exact"/>
      <w:jc w:val="center"/>
    </w:pPr>
    <w:rPr>
      <w:rFonts w:ascii="Times New Roman" w:hAnsi="Times New Roman" w:eastAsia="宋体" w:cs="Times New Roman"/>
      <w:snapToGrid w:val="0"/>
      <w:w w:val="99"/>
      <w:sz w:val="21"/>
      <w:szCs w:val="21"/>
      <w:lang w:val="en-US" w:eastAsia="zh-CN" w:bidi="ar-SA"/>
    </w:rPr>
  </w:style>
  <w:style w:type="character" w:customStyle="1" w:styleId="1797">
    <w:name w:val="emtidy-5"/>
    <w:qFormat/>
    <w:uiPriority w:val="0"/>
  </w:style>
  <w:style w:type="character" w:customStyle="1" w:styleId="1798">
    <w:name w:val="正文首行缩进-修改 Char"/>
    <w:qFormat/>
    <w:uiPriority w:val="0"/>
    <w:rPr>
      <w:rFonts w:eastAsia="宋体"/>
      <w:kern w:val="2"/>
      <w:sz w:val="24"/>
      <w:szCs w:val="24"/>
      <w:lang w:val="en-US" w:eastAsia="zh-CN" w:bidi="ar-SA"/>
    </w:rPr>
  </w:style>
  <w:style w:type="character" w:customStyle="1" w:styleId="1799">
    <w:name w:val="emtidy-7"/>
    <w:qFormat/>
    <w:uiPriority w:val="0"/>
  </w:style>
  <w:style w:type="character" w:customStyle="1" w:styleId="1800">
    <w:name w:val="脚注文本 字符"/>
    <w:qFormat/>
    <w:uiPriority w:val="0"/>
    <w:rPr>
      <w:kern w:val="2"/>
      <w:sz w:val="18"/>
      <w:szCs w:val="18"/>
    </w:rPr>
  </w:style>
  <w:style w:type="character" w:customStyle="1" w:styleId="1801">
    <w:name w:val="批注框文本 Char2"/>
    <w:qFormat/>
    <w:uiPriority w:val="0"/>
    <w:rPr>
      <w:kern w:val="2"/>
      <w:sz w:val="18"/>
      <w:szCs w:val="18"/>
    </w:rPr>
  </w:style>
  <w:style w:type="character" w:customStyle="1" w:styleId="1802">
    <w:name w:val="正文－图表内文字 Char"/>
    <w:link w:val="1803"/>
    <w:qFormat/>
    <w:uiPriority w:val="0"/>
    <w:rPr>
      <w:color w:val="000000"/>
      <w:kern w:val="2"/>
      <w:sz w:val="21"/>
      <w:szCs w:val="24"/>
    </w:rPr>
  </w:style>
  <w:style w:type="paragraph" w:customStyle="1" w:styleId="1803">
    <w:name w:val="正文－图表内文字"/>
    <w:basedOn w:val="1"/>
    <w:next w:val="1"/>
    <w:link w:val="1802"/>
    <w:qFormat/>
    <w:uiPriority w:val="0"/>
    <w:pPr>
      <w:widowControl w:val="0"/>
      <w:adjustRightInd w:val="0"/>
      <w:snapToGrid w:val="0"/>
      <w:jc w:val="center"/>
    </w:pPr>
    <w:rPr>
      <w:rFonts w:ascii="Times New Roman" w:hAnsi="Times New Roman" w:cs="Times New Roman"/>
      <w:color w:val="000000"/>
      <w:kern w:val="2"/>
      <w:sz w:val="21"/>
    </w:rPr>
  </w:style>
  <w:style w:type="character" w:customStyle="1" w:styleId="1804">
    <w:name w:val="书籍标题2"/>
    <w:qFormat/>
    <w:uiPriority w:val="0"/>
    <w:rPr>
      <w:b/>
      <w:bCs/>
      <w:smallCaps/>
      <w:spacing w:val="5"/>
    </w:rPr>
  </w:style>
  <w:style w:type="character" w:customStyle="1" w:styleId="1805">
    <w:name w:val="内容1 Char"/>
    <w:link w:val="1806"/>
    <w:qFormat/>
    <w:uiPriority w:val="0"/>
    <w:rPr>
      <w:rFonts w:hAnsi="宋体"/>
      <w:sz w:val="28"/>
      <w:szCs w:val="28"/>
    </w:rPr>
  </w:style>
  <w:style w:type="paragraph" w:customStyle="1" w:styleId="1806">
    <w:name w:val="内容1"/>
    <w:basedOn w:val="1"/>
    <w:link w:val="1805"/>
    <w:qFormat/>
    <w:uiPriority w:val="0"/>
    <w:pPr>
      <w:spacing w:line="500" w:lineRule="exact"/>
      <w:ind w:firstLine="538" w:firstLineChars="192"/>
    </w:pPr>
    <w:rPr>
      <w:rFonts w:ascii="Times New Roman" w:cs="Times New Roman"/>
      <w:sz w:val="28"/>
      <w:szCs w:val="28"/>
    </w:rPr>
  </w:style>
  <w:style w:type="character" w:customStyle="1" w:styleId="1807">
    <w:name w:val="样式 标题 1一级标题(章)标题 1 Char封面标题封皮 + (中文) 仿宋_GB2312 四号 左 左侧:  ... Char Char Char Char"/>
    <w:qFormat/>
    <w:uiPriority w:val="0"/>
    <w:rPr>
      <w:rFonts w:eastAsia="黑体" w:cs="宋体"/>
      <w:bCs/>
      <w:snapToGrid w:val="0"/>
      <w:kern w:val="44"/>
      <w:sz w:val="32"/>
      <w:szCs w:val="32"/>
    </w:rPr>
  </w:style>
  <w:style w:type="character" w:customStyle="1" w:styleId="1808">
    <w:name w:val="说明书正文 Char Char"/>
    <w:qFormat/>
    <w:uiPriority w:val="0"/>
    <w:rPr>
      <w:rFonts w:eastAsia="宋体"/>
      <w:sz w:val="24"/>
      <w:szCs w:val="24"/>
      <w:lang w:val="en-US" w:eastAsia="zh-CN" w:bidi="ar-SA"/>
    </w:rPr>
  </w:style>
  <w:style w:type="character" w:customStyle="1" w:styleId="1809">
    <w:name w:val="正文 首行缩进:  2 字符 Char Char"/>
    <w:qFormat/>
    <w:uiPriority w:val="0"/>
    <w:rPr>
      <w:rFonts w:cs="宋体"/>
      <w:kern w:val="2"/>
      <w:sz w:val="24"/>
    </w:rPr>
  </w:style>
  <w:style w:type="character" w:customStyle="1" w:styleId="1810">
    <w:name w:val="样式13 Char Char"/>
    <w:qFormat/>
    <w:uiPriority w:val="0"/>
    <w:rPr>
      <w:rFonts w:ascii="方正书宋简体" w:eastAsia="方正书宋简体"/>
      <w:b/>
      <w:color w:val="000000"/>
      <w:kern w:val="2"/>
      <w:sz w:val="28"/>
      <w:szCs w:val="28"/>
      <w:lang w:val="en-US" w:eastAsia="zh-CN" w:bidi="ar-SA"/>
    </w:rPr>
  </w:style>
  <w:style w:type="character" w:customStyle="1" w:styleId="1811">
    <w:name w:val="样式6 Char Char"/>
    <w:qFormat/>
    <w:uiPriority w:val="0"/>
    <w:rPr>
      <w:kern w:val="2"/>
      <w:sz w:val="21"/>
      <w:szCs w:val="21"/>
    </w:rPr>
  </w:style>
  <w:style w:type="character" w:customStyle="1" w:styleId="1812">
    <w:name w:val="正文－图表内文字 Char Char"/>
    <w:qFormat/>
    <w:uiPriority w:val="0"/>
    <w:rPr>
      <w:color w:val="000000"/>
      <w:kern w:val="2"/>
      <w:sz w:val="21"/>
      <w:szCs w:val="28"/>
    </w:rPr>
  </w:style>
  <w:style w:type="character" w:customStyle="1" w:styleId="1813">
    <w:name w:val="font5 Char Char"/>
    <w:qFormat/>
    <w:uiPriority w:val="0"/>
    <w:rPr>
      <w:rFonts w:ascii="宋体" w:hAnsi="宋体" w:eastAsia="宋体"/>
      <w:sz w:val="18"/>
      <w:szCs w:val="18"/>
      <w:lang w:val="en-US" w:eastAsia="zh-CN" w:bidi="ar-SA"/>
    </w:rPr>
  </w:style>
  <w:style w:type="character" w:customStyle="1" w:styleId="1814">
    <w:name w:val="keyword1"/>
    <w:qFormat/>
    <w:uiPriority w:val="0"/>
    <w:rPr>
      <w:color w:val="FF0000"/>
    </w:rPr>
  </w:style>
  <w:style w:type="character" w:customStyle="1" w:styleId="1815">
    <w:name w:val="emtidy-3"/>
    <w:qFormat/>
    <w:uiPriority w:val="0"/>
  </w:style>
  <w:style w:type="character" w:customStyle="1" w:styleId="1816">
    <w:name w:val="新正文 Char"/>
    <w:link w:val="1817"/>
    <w:qFormat/>
    <w:uiPriority w:val="0"/>
    <w:rPr>
      <w:rFonts w:ascii="宋体"/>
      <w:kern w:val="2"/>
      <w:sz w:val="24"/>
      <w:szCs w:val="24"/>
    </w:rPr>
  </w:style>
  <w:style w:type="paragraph" w:customStyle="1" w:styleId="1817">
    <w:name w:val="新正文"/>
    <w:basedOn w:val="1"/>
    <w:link w:val="1816"/>
    <w:qFormat/>
    <w:uiPriority w:val="0"/>
    <w:pPr>
      <w:widowControl w:val="0"/>
      <w:tabs>
        <w:tab w:val="left" w:pos="8295"/>
      </w:tabs>
      <w:spacing w:line="460" w:lineRule="exact"/>
      <w:ind w:firstLine="200" w:firstLineChars="200"/>
      <w:jc w:val="both"/>
    </w:pPr>
    <w:rPr>
      <w:rFonts w:hAnsi="Times New Roman" w:cs="Times New Roman"/>
      <w:kern w:val="2"/>
    </w:rPr>
  </w:style>
  <w:style w:type="character" w:customStyle="1" w:styleId="1818">
    <w:name w:val="样式正文 Char Char1"/>
    <w:qFormat/>
    <w:uiPriority w:val="0"/>
    <w:rPr>
      <w:rFonts w:eastAsia="宋体"/>
      <w:kern w:val="2"/>
      <w:sz w:val="28"/>
      <w:szCs w:val="24"/>
      <w:lang w:val="en-US" w:eastAsia="zh-CN" w:bidi="ar-SA"/>
    </w:rPr>
  </w:style>
  <w:style w:type="character" w:customStyle="1" w:styleId="1819">
    <w:name w:val="zt41"/>
    <w:qFormat/>
    <w:uiPriority w:val="0"/>
    <w:rPr>
      <w:sz w:val="18"/>
      <w:szCs w:val="18"/>
    </w:rPr>
  </w:style>
  <w:style w:type="character" w:customStyle="1" w:styleId="1820">
    <w:name w:val="表头-文字 Char"/>
    <w:link w:val="1821"/>
    <w:qFormat/>
    <w:locked/>
    <w:uiPriority w:val="0"/>
    <w:rPr>
      <w:b/>
      <w:kern w:val="24"/>
      <w:sz w:val="24"/>
      <w:szCs w:val="22"/>
    </w:rPr>
  </w:style>
  <w:style w:type="paragraph" w:customStyle="1" w:styleId="1821">
    <w:name w:val="表头-文字"/>
    <w:basedOn w:val="1"/>
    <w:link w:val="1820"/>
    <w:qFormat/>
    <w:uiPriority w:val="0"/>
    <w:pPr>
      <w:widowControl w:val="0"/>
      <w:adjustRightInd w:val="0"/>
      <w:snapToGrid w:val="0"/>
      <w:spacing w:beforeLines="50"/>
      <w:jc w:val="center"/>
    </w:pPr>
    <w:rPr>
      <w:rFonts w:ascii="Times New Roman" w:hAnsi="Times New Roman" w:cs="Times New Roman"/>
      <w:b/>
      <w:kern w:val="24"/>
      <w:szCs w:val="22"/>
    </w:rPr>
  </w:style>
  <w:style w:type="character" w:customStyle="1" w:styleId="1822">
    <w:name w:val="电子邮件签名 字符3"/>
    <w:qFormat/>
    <w:uiPriority w:val="0"/>
    <w:rPr>
      <w:kern w:val="2"/>
      <w:sz w:val="24"/>
    </w:rPr>
  </w:style>
  <w:style w:type="character" w:customStyle="1" w:styleId="1823">
    <w:name w:val="正文首行缩进 2 字符1"/>
    <w:qFormat/>
    <w:uiPriority w:val="0"/>
  </w:style>
  <w:style w:type="character" w:customStyle="1" w:styleId="1824">
    <w:name w:val="正文文本 2 字符4"/>
    <w:qFormat/>
    <w:uiPriority w:val="0"/>
    <w:rPr>
      <w:kern w:val="2"/>
      <w:sz w:val="24"/>
    </w:rPr>
  </w:style>
  <w:style w:type="character" w:customStyle="1" w:styleId="1825">
    <w:name w:val="标题 6 字符2"/>
    <w:qFormat/>
    <w:uiPriority w:val="0"/>
    <w:rPr>
      <w:rFonts w:ascii="Arial" w:hAnsi="Arial" w:eastAsia="黑体"/>
      <w:b/>
      <w:bCs/>
      <w:kern w:val="2"/>
      <w:sz w:val="24"/>
      <w:szCs w:val="24"/>
    </w:rPr>
  </w:style>
  <w:style w:type="character" w:customStyle="1" w:styleId="1826">
    <w:name w:val="正文 New New Char Char"/>
    <w:qFormat/>
    <w:uiPriority w:val="0"/>
    <w:rPr>
      <w:kern w:val="2"/>
      <w:sz w:val="21"/>
      <w:szCs w:val="24"/>
      <w:lang w:bidi="ar-SA"/>
    </w:rPr>
  </w:style>
  <w:style w:type="character" w:customStyle="1" w:styleId="1827">
    <w:name w:val="标题 3 字符2"/>
    <w:qFormat/>
    <w:uiPriority w:val="0"/>
    <w:rPr>
      <w:b/>
      <w:bCs/>
      <w:kern w:val="2"/>
      <w:sz w:val="32"/>
      <w:szCs w:val="32"/>
    </w:rPr>
  </w:style>
  <w:style w:type="character" w:customStyle="1" w:styleId="1828">
    <w:name w:val="正文文字缩进 2 Char2"/>
    <w:qFormat/>
    <w:uiPriority w:val="0"/>
    <w:rPr>
      <w:kern w:val="2"/>
      <w:sz w:val="24"/>
    </w:rPr>
  </w:style>
  <w:style w:type="character" w:customStyle="1" w:styleId="1829">
    <w:name w:val="正文文字 Char1"/>
    <w:qFormat/>
    <w:uiPriority w:val="0"/>
    <w:rPr>
      <w:rFonts w:eastAsia="宋体"/>
      <w:b/>
      <w:kern w:val="2"/>
      <w:sz w:val="24"/>
      <w:lang w:val="en-US" w:eastAsia="zh-CN" w:bidi="ar-SA"/>
    </w:rPr>
  </w:style>
  <w:style w:type="character" w:customStyle="1" w:styleId="1830">
    <w:name w:val="表格1 Char"/>
    <w:qFormat/>
    <w:uiPriority w:val="0"/>
    <w:rPr>
      <w:rFonts w:ascii="宋体" w:hAnsi="宋体" w:eastAsia="宋体" w:cs="Arial"/>
      <w:color w:val="000000"/>
      <w:sz w:val="21"/>
      <w:szCs w:val="21"/>
      <w:lang w:val="en-US" w:eastAsia="zh-CN" w:bidi="ar-SA"/>
    </w:rPr>
  </w:style>
  <w:style w:type="character" w:customStyle="1" w:styleId="1831">
    <w:name w:val="正文缩进 字符"/>
    <w:qFormat/>
    <w:uiPriority w:val="0"/>
    <w:rPr>
      <w:rFonts w:eastAsia="宋体"/>
      <w:kern w:val="2"/>
      <w:sz w:val="21"/>
      <w:lang w:val="en-US" w:eastAsia="zh-CN" w:bidi="ar-SA"/>
    </w:rPr>
  </w:style>
  <w:style w:type="character" w:customStyle="1" w:styleId="1832">
    <w:name w:val="标题标题 Char Char Char"/>
    <w:qFormat/>
    <w:uiPriority w:val="0"/>
    <w:rPr>
      <w:rFonts w:eastAsia="黑体"/>
      <w:kern w:val="11"/>
      <w:sz w:val="21"/>
      <w:szCs w:val="28"/>
      <w:lang w:val="en-US" w:eastAsia="zh-CN" w:bidi="ar-SA"/>
    </w:rPr>
  </w:style>
  <w:style w:type="character" w:customStyle="1" w:styleId="1833">
    <w:name w:val="纯文本1 Char"/>
    <w:link w:val="1834"/>
    <w:qFormat/>
    <w:uiPriority w:val="0"/>
    <w:rPr>
      <w:rFonts w:ascii="宋体" w:hAnsi="Courier New"/>
      <w:kern w:val="2"/>
      <w:sz w:val="21"/>
    </w:rPr>
  </w:style>
  <w:style w:type="paragraph" w:customStyle="1" w:styleId="1834">
    <w:name w:val="纯文本1"/>
    <w:basedOn w:val="1"/>
    <w:link w:val="1833"/>
    <w:qFormat/>
    <w:uiPriority w:val="0"/>
    <w:pPr>
      <w:widowControl w:val="0"/>
      <w:jc w:val="both"/>
    </w:pPr>
    <w:rPr>
      <w:rFonts w:hAnsi="Courier New" w:cs="Times New Roman"/>
      <w:kern w:val="2"/>
      <w:sz w:val="21"/>
      <w:szCs w:val="20"/>
    </w:rPr>
  </w:style>
  <w:style w:type="character" w:customStyle="1" w:styleId="1835">
    <w:name w:val="页码2"/>
    <w:qFormat/>
    <w:uiPriority w:val="0"/>
  </w:style>
  <w:style w:type="character" w:customStyle="1" w:styleId="1836">
    <w:name w:val="页脚 字符1"/>
    <w:qFormat/>
    <w:uiPriority w:val="0"/>
    <w:rPr>
      <w:sz w:val="18"/>
    </w:rPr>
  </w:style>
  <w:style w:type="character" w:customStyle="1" w:styleId="1837">
    <w:name w:val="OK 1.1.1 Char Char"/>
    <w:qFormat/>
    <w:uiPriority w:val="0"/>
    <w:rPr>
      <w:rFonts w:ascii="Calibri" w:hAnsi="Calibri" w:cs="Calibri"/>
      <w:b/>
      <w:sz w:val="24"/>
      <w:szCs w:val="24"/>
    </w:rPr>
  </w:style>
  <w:style w:type="character" w:customStyle="1" w:styleId="1838">
    <w:name w:val="正文文字 2 Char Char"/>
    <w:qFormat/>
    <w:uiPriority w:val="0"/>
    <w:rPr>
      <w:snapToGrid/>
      <w:kern w:val="28"/>
      <w:sz w:val="24"/>
    </w:rPr>
  </w:style>
  <w:style w:type="character" w:customStyle="1" w:styleId="1839">
    <w:name w:val="日期 字符3"/>
    <w:qFormat/>
    <w:uiPriority w:val="0"/>
    <w:rPr>
      <w:kern w:val="2"/>
      <w:sz w:val="21"/>
    </w:rPr>
  </w:style>
  <w:style w:type="character" w:customStyle="1" w:styleId="1840">
    <w:name w:val="标题 9 字符3"/>
    <w:qFormat/>
    <w:uiPriority w:val="0"/>
    <w:rPr>
      <w:rFonts w:ascii="Arial" w:hAnsi="Arial" w:eastAsia="黑体"/>
      <w:sz w:val="24"/>
      <w:szCs w:val="21"/>
      <w:lang w:bidi="ar-SA"/>
    </w:rPr>
  </w:style>
  <w:style w:type="character" w:customStyle="1" w:styleId="1841">
    <w:name w:val="正文文本 2 字符5"/>
    <w:qFormat/>
    <w:uiPriority w:val="0"/>
    <w:rPr>
      <w:rFonts w:eastAsia="宋体"/>
      <w:kern w:val="2"/>
      <w:sz w:val="18"/>
      <w:lang w:val="en-US" w:eastAsia="zh-CN" w:bidi="ar-SA"/>
    </w:rPr>
  </w:style>
  <w:style w:type="character" w:customStyle="1" w:styleId="1842">
    <w:name w:val="标题 3 字符4"/>
    <w:qFormat/>
    <w:uiPriority w:val="0"/>
    <w:rPr>
      <w:b/>
      <w:bCs/>
      <w:kern w:val="2"/>
      <w:sz w:val="32"/>
      <w:szCs w:val="32"/>
    </w:rPr>
  </w:style>
  <w:style w:type="character" w:customStyle="1" w:styleId="1843">
    <w:name w:val="页眉 Char2"/>
    <w:qFormat/>
    <w:uiPriority w:val="0"/>
    <w:rPr>
      <w:kern w:val="2"/>
      <w:sz w:val="18"/>
      <w:szCs w:val="18"/>
    </w:rPr>
  </w:style>
  <w:style w:type="character" w:customStyle="1" w:styleId="1844">
    <w:name w:val="标题 8 字符3"/>
    <w:qFormat/>
    <w:uiPriority w:val="0"/>
    <w:rPr>
      <w:rFonts w:ascii="Arial" w:hAnsi="Arial" w:eastAsia="黑体"/>
      <w:sz w:val="24"/>
      <w:szCs w:val="24"/>
      <w:lang w:bidi="ar-SA"/>
    </w:rPr>
  </w:style>
  <w:style w:type="character" w:customStyle="1" w:styleId="1845">
    <w:name w:val="正文缩进 字符2"/>
    <w:qFormat/>
    <w:uiPriority w:val="0"/>
    <w:rPr>
      <w:rFonts w:eastAsia="宋体"/>
      <w:kern w:val="2"/>
      <w:sz w:val="24"/>
      <w:lang w:val="en-US" w:eastAsia="zh-CN" w:bidi="ar-SA"/>
    </w:rPr>
  </w:style>
  <w:style w:type="character" w:customStyle="1" w:styleId="1846">
    <w:name w:val="标题 9 Char Char"/>
    <w:qFormat/>
    <w:uiPriority w:val="0"/>
    <w:rPr>
      <w:rFonts w:ascii="Cambria" w:hAnsi="Cambria" w:eastAsia="宋体" w:cs="Times New Roman"/>
      <w:kern w:val="2"/>
      <w:sz w:val="21"/>
      <w:szCs w:val="21"/>
    </w:rPr>
  </w:style>
  <w:style w:type="character" w:customStyle="1" w:styleId="1847">
    <w:name w:val="正文文本首行缩进 字符"/>
    <w:qFormat/>
    <w:uiPriority w:val="0"/>
    <w:rPr>
      <w:rFonts w:eastAsia="宋体"/>
      <w:b/>
      <w:kern w:val="2"/>
      <w:sz w:val="24"/>
      <w:lang w:val="en-US" w:eastAsia="zh-CN" w:bidi="ar-SA"/>
    </w:rPr>
  </w:style>
  <w:style w:type="character" w:customStyle="1" w:styleId="1848">
    <w:name w:val="614表格样式 Char Char"/>
    <w:link w:val="1849"/>
    <w:qFormat/>
    <w:uiPriority w:val="0"/>
    <w:rPr>
      <w:rFonts w:hAnsi="宋体"/>
      <w:kern w:val="2"/>
      <w:sz w:val="21"/>
      <w:szCs w:val="21"/>
    </w:rPr>
  </w:style>
  <w:style w:type="paragraph" w:customStyle="1" w:styleId="1849">
    <w:name w:val="614表格样式"/>
    <w:basedOn w:val="1"/>
    <w:link w:val="1848"/>
    <w:qFormat/>
    <w:uiPriority w:val="0"/>
    <w:pPr>
      <w:widowControl w:val="0"/>
      <w:spacing w:line="320" w:lineRule="exact"/>
      <w:jc w:val="center"/>
    </w:pPr>
    <w:rPr>
      <w:rFonts w:ascii="Times New Roman" w:cs="Times New Roman"/>
      <w:kern w:val="2"/>
      <w:sz w:val="21"/>
      <w:szCs w:val="21"/>
    </w:rPr>
  </w:style>
  <w:style w:type="character" w:customStyle="1" w:styleId="1850">
    <w:name w:val="标题 4 字符3"/>
    <w:qFormat/>
    <w:uiPriority w:val="0"/>
    <w:rPr>
      <w:rFonts w:ascii="Arial" w:hAnsi="Arial" w:eastAsia="黑体"/>
      <w:b/>
      <w:bCs/>
      <w:kern w:val="2"/>
      <w:sz w:val="28"/>
      <w:szCs w:val="28"/>
    </w:rPr>
  </w:style>
  <w:style w:type="character" w:customStyle="1" w:styleId="1851">
    <w:name w:val="标题 5 Char Char"/>
    <w:qFormat/>
    <w:uiPriority w:val="0"/>
    <w:rPr>
      <w:b/>
      <w:bCs/>
      <w:kern w:val="2"/>
      <w:sz w:val="28"/>
      <w:szCs w:val="28"/>
    </w:rPr>
  </w:style>
  <w:style w:type="character" w:customStyle="1" w:styleId="1852">
    <w:name w:val="正文 + Char"/>
    <w:link w:val="1853"/>
    <w:qFormat/>
    <w:uiPriority w:val="0"/>
    <w:rPr>
      <w:rFonts w:eastAsia="Times New Roman"/>
      <w:snapToGrid w:val="0"/>
      <w:kern w:val="24"/>
      <w:sz w:val="24"/>
      <w:szCs w:val="24"/>
    </w:rPr>
  </w:style>
  <w:style w:type="paragraph" w:customStyle="1" w:styleId="1853">
    <w:name w:val="正文 +"/>
    <w:link w:val="1852"/>
    <w:qFormat/>
    <w:uiPriority w:val="0"/>
    <w:pPr>
      <w:adjustRightInd w:val="0"/>
      <w:snapToGrid w:val="0"/>
      <w:spacing w:line="360" w:lineRule="auto"/>
      <w:ind w:firstLine="480" w:firstLineChars="200"/>
    </w:pPr>
    <w:rPr>
      <w:rFonts w:ascii="Times New Roman" w:hAnsi="Times New Roman" w:eastAsia="Times New Roman" w:cs="Times New Roman"/>
      <w:snapToGrid w:val="0"/>
      <w:kern w:val="24"/>
      <w:sz w:val="24"/>
      <w:szCs w:val="24"/>
      <w:lang w:val="en-US" w:eastAsia="zh-CN" w:bidi="ar-SA"/>
    </w:rPr>
  </w:style>
  <w:style w:type="character" w:customStyle="1" w:styleId="1854">
    <w:name w:val="Char Char161"/>
    <w:qFormat/>
    <w:uiPriority w:val="0"/>
    <w:rPr>
      <w:kern w:val="2"/>
      <w:sz w:val="18"/>
      <w:szCs w:val="18"/>
    </w:rPr>
  </w:style>
  <w:style w:type="character" w:customStyle="1" w:styleId="1855">
    <w:name w:val="y正 文 Char Char"/>
    <w:link w:val="1856"/>
    <w:qFormat/>
    <w:uiPriority w:val="0"/>
    <w:rPr>
      <w:rFonts w:ascii="宋体" w:hAnsi="宋体"/>
      <w:bCs/>
      <w:kern w:val="2"/>
      <w:sz w:val="24"/>
      <w:szCs w:val="24"/>
    </w:rPr>
  </w:style>
  <w:style w:type="paragraph" w:customStyle="1" w:styleId="1856">
    <w:name w:val="y正 文"/>
    <w:basedOn w:val="1"/>
    <w:link w:val="1855"/>
    <w:qFormat/>
    <w:uiPriority w:val="0"/>
    <w:pPr>
      <w:adjustRightInd w:val="0"/>
      <w:spacing w:line="360" w:lineRule="auto"/>
      <w:ind w:firstLine="200" w:firstLineChars="200"/>
    </w:pPr>
    <w:rPr>
      <w:rFonts w:cs="Times New Roman"/>
      <w:bCs/>
      <w:kern w:val="2"/>
    </w:rPr>
  </w:style>
  <w:style w:type="character" w:customStyle="1" w:styleId="1857">
    <w:name w:val="h Char Char1"/>
    <w:qFormat/>
    <w:uiPriority w:val="0"/>
    <w:rPr>
      <w:kern w:val="2"/>
      <w:sz w:val="18"/>
      <w:szCs w:val="18"/>
    </w:rPr>
  </w:style>
  <w:style w:type="character" w:customStyle="1" w:styleId="1858">
    <w:name w:val="尾注文本 字符"/>
    <w:qFormat/>
    <w:uiPriority w:val="0"/>
    <w:rPr>
      <w:rFonts w:eastAsia="宋体"/>
      <w:kern w:val="2"/>
      <w:sz w:val="21"/>
      <w:szCs w:val="24"/>
      <w:lang w:bidi="ar-SA"/>
    </w:rPr>
  </w:style>
  <w:style w:type="character" w:customStyle="1" w:styleId="1859">
    <w:name w:val="韩要点1 Char Char Char"/>
    <w:qFormat/>
    <w:uiPriority w:val="0"/>
    <w:rPr>
      <w:sz w:val="28"/>
      <w:lang w:bidi="ar-SA"/>
    </w:rPr>
  </w:style>
  <w:style w:type="character" w:customStyle="1" w:styleId="1860">
    <w:name w:val="设计正文 Char Char Char"/>
    <w:qFormat/>
    <w:uiPriority w:val="0"/>
    <w:rPr>
      <w:rFonts w:ascii="宋体"/>
      <w:kern w:val="2"/>
      <w:sz w:val="24"/>
      <w:lang w:bidi="ar-SA"/>
    </w:rPr>
  </w:style>
  <w:style w:type="character" w:customStyle="1" w:styleId="1861">
    <w:name w:val="正文文字 3 Char Char1"/>
    <w:qFormat/>
    <w:uiPriority w:val="0"/>
    <w:rPr>
      <w:kern w:val="2"/>
      <w:sz w:val="18"/>
    </w:rPr>
  </w:style>
  <w:style w:type="character" w:customStyle="1" w:styleId="1862">
    <w:name w:val="5m5"/>
    <w:qFormat/>
    <w:uiPriority w:val="0"/>
  </w:style>
  <w:style w:type="character" w:customStyle="1" w:styleId="1863">
    <w:name w:val="Char Char102"/>
    <w:qFormat/>
    <w:uiPriority w:val="0"/>
    <w:rPr>
      <w:kern w:val="2"/>
      <w:sz w:val="21"/>
    </w:rPr>
  </w:style>
  <w:style w:type="character" w:customStyle="1" w:styleId="1864">
    <w:name w:val="页眉 字符3"/>
    <w:qFormat/>
    <w:uiPriority w:val="99"/>
    <w:rPr>
      <w:kern w:val="2"/>
      <w:sz w:val="18"/>
      <w:szCs w:val="18"/>
    </w:rPr>
  </w:style>
  <w:style w:type="character" w:customStyle="1" w:styleId="1865">
    <w:name w:val="正文首行缩进2字符 Char Char Char"/>
    <w:qFormat/>
    <w:uiPriority w:val="0"/>
    <w:rPr>
      <w:rFonts w:ascii="仿宋_GB2312" w:eastAsia="仿宋_GB2312"/>
      <w:kern w:val="2"/>
      <w:sz w:val="28"/>
      <w:szCs w:val="24"/>
      <w:lang w:bidi="ar-SA"/>
    </w:rPr>
  </w:style>
  <w:style w:type="character" w:customStyle="1" w:styleId="1866">
    <w:name w:val="样式 宋体 四号 行距: 1.5 倍行距 Char Char Char Char Char"/>
    <w:qFormat/>
    <w:uiPriority w:val="0"/>
    <w:rPr>
      <w:rFonts w:ascii="宋体" w:hAnsi="宋体"/>
      <w:kern w:val="2"/>
      <w:sz w:val="28"/>
      <w:szCs w:val="24"/>
      <w:lang w:bidi="ar-SA"/>
    </w:rPr>
  </w:style>
  <w:style w:type="character" w:customStyle="1" w:styleId="1867">
    <w:name w:val="HTML 预设格式 字符3"/>
    <w:qFormat/>
    <w:uiPriority w:val="0"/>
    <w:rPr>
      <w:rFonts w:ascii="宋体" w:hAnsi="宋体" w:cs="宋体"/>
      <w:color w:val="000000"/>
      <w:sz w:val="24"/>
      <w:szCs w:val="24"/>
    </w:rPr>
  </w:style>
  <w:style w:type="character" w:customStyle="1" w:styleId="1868">
    <w:name w:val="标题 5 字符3"/>
    <w:qFormat/>
    <w:uiPriority w:val="0"/>
    <w:rPr>
      <w:rFonts w:ascii="楷体_GB2312" w:eastAsia="楷体_GB2312"/>
      <w:b/>
      <w:spacing w:val="20"/>
      <w:kern w:val="2"/>
      <w:sz w:val="28"/>
    </w:rPr>
  </w:style>
  <w:style w:type="character" w:customStyle="1" w:styleId="1869">
    <w:name w:val="王　正文 Char Char"/>
    <w:qFormat/>
    <w:uiPriority w:val="0"/>
    <w:rPr>
      <w:rFonts w:hAnsi="宋体" w:eastAsia="宋体"/>
      <w:kern w:val="24"/>
      <w:sz w:val="28"/>
      <w:szCs w:val="28"/>
      <w:lang w:bidi="ar-SA"/>
    </w:rPr>
  </w:style>
  <w:style w:type="character" w:customStyle="1" w:styleId="1870">
    <w:name w:val="批注文字 字符5"/>
    <w:qFormat/>
    <w:uiPriority w:val="0"/>
    <w:rPr>
      <w:kern w:val="2"/>
      <w:sz w:val="24"/>
    </w:rPr>
  </w:style>
  <w:style w:type="character" w:customStyle="1" w:styleId="1871">
    <w:name w:val="宏文本 Char Char"/>
    <w:link w:val="1872"/>
    <w:qFormat/>
    <w:uiPriority w:val="0"/>
    <w:rPr>
      <w:rFonts w:ascii="Courier New" w:hAnsi="Courier New" w:eastAsia="Times New Roman" w:cs="Courier New"/>
      <w:kern w:val="2"/>
      <w:sz w:val="24"/>
      <w:szCs w:val="24"/>
    </w:rPr>
  </w:style>
  <w:style w:type="paragraph" w:customStyle="1" w:styleId="1872">
    <w:name w:val="宏文本2"/>
    <w:link w:val="187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Courier New"/>
      <w:kern w:val="2"/>
      <w:sz w:val="24"/>
      <w:szCs w:val="24"/>
      <w:lang w:val="en-US" w:eastAsia="zh-CN" w:bidi="ar-SA"/>
    </w:rPr>
  </w:style>
  <w:style w:type="character" w:customStyle="1" w:styleId="1873">
    <w:name w:val="批注框文本 字符1"/>
    <w:qFormat/>
    <w:uiPriority w:val="0"/>
    <w:rPr>
      <w:rFonts w:ascii="Times New Roman" w:hAnsi="Times New Roman" w:eastAsia="宋体" w:cs="Times New Roman"/>
      <w:sz w:val="18"/>
      <w:szCs w:val="18"/>
    </w:rPr>
  </w:style>
  <w:style w:type="character" w:customStyle="1" w:styleId="1874">
    <w:name w:val="尾注文本 字符3"/>
    <w:qFormat/>
    <w:uiPriority w:val="0"/>
    <w:rPr>
      <w:kern w:val="2"/>
      <w:sz w:val="21"/>
      <w:szCs w:val="24"/>
    </w:rPr>
  </w:style>
  <w:style w:type="character" w:customStyle="1" w:styleId="1875">
    <w:name w:val="标2 Char Char"/>
    <w:qFormat/>
    <w:uiPriority w:val="0"/>
    <w:rPr>
      <w:rFonts w:ascii="黑体" w:hAnsi="Arial" w:eastAsia="黑体"/>
      <w:b/>
      <w:color w:val="000000"/>
      <w:position w:val="-6"/>
      <w:sz w:val="24"/>
      <w:szCs w:val="24"/>
      <w:lang w:val="en-US" w:eastAsia="zh-CN" w:bidi="ar-SA"/>
    </w:rPr>
  </w:style>
  <w:style w:type="character" w:customStyle="1" w:styleId="1876">
    <w:name w:val="样式 列表 + 黑色 Char Char"/>
    <w:qFormat/>
    <w:uiPriority w:val="0"/>
    <w:rPr>
      <w:rFonts w:ascii="黑体" w:eastAsia="黑体"/>
      <w:color w:val="000000"/>
      <w:kern w:val="2"/>
      <w:sz w:val="24"/>
      <w:szCs w:val="24"/>
      <w:lang w:val="en-US" w:eastAsia="zh-CN" w:bidi="ar-SA"/>
    </w:rPr>
  </w:style>
  <w:style w:type="character" w:customStyle="1" w:styleId="1877">
    <w:name w:val="已访问的超链接 Char"/>
    <w:qFormat/>
    <w:uiPriority w:val="0"/>
    <w:rPr>
      <w:color w:val="800080"/>
      <w:u w:val="single"/>
    </w:rPr>
  </w:style>
  <w:style w:type="character" w:customStyle="1" w:styleId="1878">
    <w:name w:val="批注文字 字符2"/>
    <w:qFormat/>
    <w:uiPriority w:val="0"/>
    <w:rPr>
      <w:kern w:val="2"/>
      <w:sz w:val="24"/>
    </w:rPr>
  </w:style>
  <w:style w:type="character" w:customStyle="1" w:styleId="1879">
    <w:name w:val="标题 4 字符1"/>
    <w:qFormat/>
    <w:uiPriority w:val="0"/>
    <w:rPr>
      <w:rFonts w:ascii="Arial" w:hAnsi="Arial" w:eastAsia="黑体"/>
      <w:b/>
      <w:bCs/>
      <w:kern w:val="2"/>
      <w:sz w:val="28"/>
      <w:szCs w:val="28"/>
    </w:rPr>
  </w:style>
  <w:style w:type="character" w:customStyle="1" w:styleId="1880">
    <w:name w:val="表格sms Char Char"/>
    <w:qFormat/>
    <w:uiPriority w:val="0"/>
    <w:rPr>
      <w:rFonts w:eastAsia="Times New Roman"/>
      <w:w w:val="99"/>
      <w:sz w:val="21"/>
      <w:szCs w:val="21"/>
      <w:lang w:val="en-US" w:eastAsia="zh-CN" w:bidi="ar-SA"/>
    </w:rPr>
  </w:style>
  <w:style w:type="character" w:customStyle="1" w:styleId="1881">
    <w:name w:val="页脚 Char2"/>
    <w:qFormat/>
    <w:uiPriority w:val="0"/>
    <w:rPr>
      <w:rFonts w:hint="eastAsia" w:ascii="宋体" w:hAnsi="宋体" w:eastAsia="宋体"/>
      <w:kern w:val="2"/>
      <w:sz w:val="18"/>
      <w:lang w:val="en-US" w:eastAsia="zh-CN" w:bidi="ar-SA"/>
    </w:rPr>
  </w:style>
  <w:style w:type="character" w:customStyle="1" w:styleId="1882">
    <w:name w:val="电子邮件签名 字符"/>
    <w:qFormat/>
    <w:uiPriority w:val="0"/>
    <w:rPr>
      <w:kern w:val="2"/>
      <w:sz w:val="24"/>
    </w:rPr>
  </w:style>
  <w:style w:type="character" w:customStyle="1" w:styleId="1883">
    <w:name w:val="正文 首行缩进:  2 字符 SL CON Char Char"/>
    <w:link w:val="1884"/>
    <w:qFormat/>
    <w:uiPriority w:val="0"/>
    <w:rPr>
      <w:rFonts w:ascii="宋体" w:hAnsi="宋体"/>
      <w:sz w:val="24"/>
      <w:szCs w:val="24"/>
    </w:rPr>
  </w:style>
  <w:style w:type="paragraph" w:customStyle="1" w:styleId="1884">
    <w:name w:val="正文 首行缩进:  2 字符 SL CON"/>
    <w:basedOn w:val="1"/>
    <w:link w:val="1883"/>
    <w:qFormat/>
    <w:uiPriority w:val="0"/>
    <w:pPr>
      <w:tabs>
        <w:tab w:val="left" w:pos="377"/>
      </w:tabs>
      <w:spacing w:line="360" w:lineRule="auto"/>
      <w:ind w:firstLine="200" w:firstLineChars="200"/>
      <w:jc w:val="both"/>
    </w:pPr>
    <w:rPr>
      <w:rFonts w:cs="Times New Roman"/>
    </w:rPr>
  </w:style>
  <w:style w:type="character" w:customStyle="1" w:styleId="1885">
    <w:name w:val="批注框文本 字符"/>
    <w:qFormat/>
    <w:uiPriority w:val="0"/>
    <w:rPr>
      <w:kern w:val="2"/>
      <w:sz w:val="18"/>
      <w:szCs w:val="18"/>
    </w:rPr>
  </w:style>
  <w:style w:type="character" w:customStyle="1" w:styleId="1886">
    <w:name w:val="aa1 l01 style8"/>
    <w:qFormat/>
    <w:uiPriority w:val="0"/>
  </w:style>
  <w:style w:type="character" w:customStyle="1" w:styleId="1887">
    <w:name w:val="普通(网站) Char Char"/>
    <w:qFormat/>
    <w:uiPriority w:val="0"/>
    <w:rPr>
      <w:rFonts w:ascii="宋体" w:hAnsi="宋体" w:cs="宋体"/>
      <w:sz w:val="24"/>
      <w:szCs w:val="24"/>
    </w:rPr>
  </w:style>
  <w:style w:type="character" w:customStyle="1" w:styleId="1888">
    <w:name w:val="标题 字符1"/>
    <w:qFormat/>
    <w:uiPriority w:val="0"/>
    <w:rPr>
      <w:rFonts w:hint="eastAsia" w:ascii="等线 Light" w:hAnsi="等线 Light" w:eastAsia="等线 Light" w:cs="Times New Roman"/>
      <w:b/>
      <w:bCs/>
      <w:kern w:val="2"/>
      <w:sz w:val="32"/>
      <w:szCs w:val="32"/>
    </w:rPr>
  </w:style>
  <w:style w:type="character" w:customStyle="1" w:styleId="1889">
    <w:name w:val="HTML 预设格式 字符1"/>
    <w:qFormat/>
    <w:uiPriority w:val="0"/>
    <w:rPr>
      <w:rFonts w:ascii="Courier New" w:hAnsi="Courier New" w:eastAsia="宋体" w:cs="Times New Roman"/>
      <w:sz w:val="20"/>
      <w:szCs w:val="20"/>
    </w:rPr>
  </w:style>
  <w:style w:type="character" w:customStyle="1" w:styleId="1890">
    <w:name w:val="批注文字 Char Char Char"/>
    <w:qFormat/>
    <w:uiPriority w:val="0"/>
    <w:rPr>
      <w:kern w:val="2"/>
      <w:sz w:val="24"/>
    </w:rPr>
  </w:style>
  <w:style w:type="character" w:customStyle="1" w:styleId="1891">
    <w:name w:val="宏文本 Char"/>
    <w:qFormat/>
    <w:uiPriority w:val="0"/>
    <w:rPr>
      <w:rFonts w:ascii="Courier New" w:hAnsi="Courier New" w:eastAsia="Times New Roman" w:cs="Courier New"/>
      <w:kern w:val="2"/>
      <w:sz w:val="24"/>
      <w:szCs w:val="24"/>
      <w:lang w:val="en-US" w:eastAsia="zh-CN" w:bidi="ar-SA"/>
    </w:rPr>
  </w:style>
  <w:style w:type="character" w:customStyle="1" w:styleId="1892">
    <w:name w:val="纯文本 字符2"/>
    <w:qFormat/>
    <w:uiPriority w:val="0"/>
    <w:rPr>
      <w:rFonts w:ascii="宋体" w:hAnsi="Courier New" w:eastAsia="宋体"/>
      <w:kern w:val="2"/>
      <w:sz w:val="24"/>
      <w:lang w:val="en-US" w:eastAsia="zh-CN" w:bidi="ar-SA"/>
    </w:rPr>
  </w:style>
  <w:style w:type="character" w:customStyle="1" w:styleId="1893">
    <w:name w:val="标题 2 字符3"/>
    <w:qFormat/>
    <w:uiPriority w:val="0"/>
    <w:rPr>
      <w:rFonts w:ascii="Arial" w:hAnsi="Arial" w:eastAsia="黑体"/>
      <w:b/>
      <w:bCs/>
      <w:kern w:val="2"/>
      <w:sz w:val="32"/>
      <w:szCs w:val="32"/>
    </w:rPr>
  </w:style>
  <w:style w:type="character" w:customStyle="1" w:styleId="1894">
    <w:name w:val="页码21"/>
    <w:qFormat/>
    <w:uiPriority w:val="0"/>
  </w:style>
  <w:style w:type="character" w:customStyle="1" w:styleId="1895">
    <w:name w:val="正文文本缩进 字符2"/>
    <w:qFormat/>
    <w:uiPriority w:val="0"/>
    <w:rPr>
      <w:kern w:val="2"/>
      <w:sz w:val="24"/>
    </w:rPr>
  </w:style>
  <w:style w:type="character" w:customStyle="1" w:styleId="1896">
    <w:name w:val="批注主题 字符2"/>
    <w:qFormat/>
    <w:uiPriority w:val="0"/>
    <w:rPr>
      <w:b/>
      <w:bCs/>
      <w:kern w:val="2"/>
      <w:sz w:val="24"/>
    </w:rPr>
  </w:style>
  <w:style w:type="character" w:customStyle="1" w:styleId="1897">
    <w:name w:val="正文文本缩进 2 字符2"/>
    <w:qFormat/>
    <w:uiPriority w:val="0"/>
    <w:rPr>
      <w:kern w:val="2"/>
      <w:sz w:val="24"/>
    </w:rPr>
  </w:style>
  <w:style w:type="character" w:customStyle="1" w:styleId="1898">
    <w:name w:val="正文文本 字符2"/>
    <w:qFormat/>
    <w:uiPriority w:val="0"/>
    <w:rPr>
      <w:rFonts w:eastAsia="宋体"/>
      <w:b/>
      <w:kern w:val="2"/>
      <w:sz w:val="24"/>
      <w:lang w:val="en-US" w:eastAsia="zh-CN" w:bidi="ar-SA"/>
    </w:rPr>
  </w:style>
  <w:style w:type="character" w:customStyle="1" w:styleId="1899">
    <w:name w:val="正文文本缩进 3 字符3"/>
    <w:qFormat/>
    <w:uiPriority w:val="0"/>
    <w:rPr>
      <w:kern w:val="2"/>
      <w:sz w:val="16"/>
      <w:szCs w:val="16"/>
    </w:rPr>
  </w:style>
  <w:style w:type="character" w:customStyle="1" w:styleId="1900">
    <w:name w:val="表中文字 Char Char Char"/>
    <w:qFormat/>
    <w:uiPriority w:val="0"/>
    <w:rPr>
      <w:rFonts w:eastAsia="宋体"/>
      <w:sz w:val="21"/>
      <w:lang w:val="en-US" w:eastAsia="zh-CN" w:bidi="ar-SA"/>
    </w:rPr>
  </w:style>
  <w:style w:type="character" w:customStyle="1" w:styleId="1901">
    <w:name w:val="正文文本缩进 3 字符2"/>
    <w:qFormat/>
    <w:uiPriority w:val="0"/>
    <w:rPr>
      <w:kern w:val="2"/>
      <w:sz w:val="16"/>
      <w:szCs w:val="16"/>
    </w:rPr>
  </w:style>
  <w:style w:type="character" w:customStyle="1" w:styleId="1902">
    <w:name w:val="正文文本 2 字符3"/>
    <w:qFormat/>
    <w:uiPriority w:val="0"/>
    <w:rPr>
      <w:kern w:val="28"/>
      <w:sz w:val="24"/>
    </w:rPr>
  </w:style>
  <w:style w:type="character" w:customStyle="1" w:styleId="1903">
    <w:name w:val="表格内 Char Char Char"/>
    <w:qFormat/>
    <w:uiPriority w:val="0"/>
    <w:rPr>
      <w:rFonts w:eastAsia="宋体"/>
      <w:snapToGrid/>
      <w:sz w:val="21"/>
      <w:szCs w:val="21"/>
      <w:lang w:bidi="ar-SA"/>
    </w:rPr>
  </w:style>
  <w:style w:type="character" w:customStyle="1" w:styleId="1904">
    <w:name w:val="尾注文本 字符2"/>
    <w:qFormat/>
    <w:uiPriority w:val="0"/>
    <w:rPr>
      <w:kern w:val="2"/>
      <w:sz w:val="21"/>
      <w:szCs w:val="24"/>
    </w:rPr>
  </w:style>
  <w:style w:type="character" w:customStyle="1" w:styleId="1905">
    <w:name w:val="HTML 预设格式 Char Char"/>
    <w:link w:val="1906"/>
    <w:qFormat/>
    <w:uiPriority w:val="0"/>
    <w:rPr>
      <w:rFonts w:ascii="宋体" w:hAnsi="宋体"/>
      <w:color w:val="000000"/>
      <w:sz w:val="24"/>
      <w:szCs w:val="24"/>
    </w:rPr>
  </w:style>
  <w:style w:type="paragraph" w:customStyle="1" w:styleId="1906">
    <w:name w:val="HTML 预设格式1"/>
    <w:basedOn w:val="1"/>
    <w:link w:val="190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000000"/>
    </w:rPr>
  </w:style>
  <w:style w:type="character" w:customStyle="1" w:styleId="1907">
    <w:name w:val="标题 7 字符2"/>
    <w:qFormat/>
    <w:uiPriority w:val="0"/>
    <w:rPr>
      <w:b/>
      <w:bCs/>
      <w:kern w:val="2"/>
      <w:sz w:val="24"/>
      <w:szCs w:val="24"/>
    </w:rPr>
  </w:style>
  <w:style w:type="character" w:customStyle="1" w:styleId="1908">
    <w:name w:val="页眉 字符2"/>
    <w:qFormat/>
    <w:uiPriority w:val="0"/>
    <w:rPr>
      <w:kern w:val="2"/>
      <w:sz w:val="18"/>
      <w:szCs w:val="18"/>
    </w:rPr>
  </w:style>
  <w:style w:type="character" w:customStyle="1" w:styleId="1909">
    <w:name w:val="标题 1 Char1"/>
    <w:qFormat/>
    <w:uiPriority w:val="0"/>
    <w:rPr>
      <w:b/>
      <w:bCs/>
      <w:kern w:val="44"/>
      <w:sz w:val="44"/>
      <w:szCs w:val="44"/>
    </w:rPr>
  </w:style>
  <w:style w:type="character" w:customStyle="1" w:styleId="1910">
    <w:name w:val="标题 1 字符"/>
    <w:qFormat/>
    <w:uiPriority w:val="0"/>
    <w:rPr>
      <w:rFonts w:eastAsia="宋体"/>
      <w:b/>
      <w:bCs/>
      <w:kern w:val="44"/>
      <w:sz w:val="44"/>
      <w:szCs w:val="44"/>
      <w:lang w:val="en-US" w:eastAsia="zh-CN" w:bidi="ar-SA"/>
    </w:rPr>
  </w:style>
  <w:style w:type="character" w:customStyle="1" w:styleId="1911">
    <w:name w:val="标题 2 字符"/>
    <w:qFormat/>
    <w:uiPriority w:val="0"/>
    <w:rPr>
      <w:rFonts w:ascii="Arial" w:hAnsi="Arial" w:eastAsia="黑体"/>
      <w:b/>
      <w:bCs/>
      <w:kern w:val="2"/>
      <w:sz w:val="32"/>
      <w:szCs w:val="32"/>
    </w:rPr>
  </w:style>
  <w:style w:type="character" w:customStyle="1" w:styleId="1912">
    <w:name w:val="标题 3 字符"/>
    <w:qFormat/>
    <w:uiPriority w:val="0"/>
    <w:rPr>
      <w:rFonts w:eastAsia="宋体"/>
      <w:b/>
      <w:bCs/>
      <w:kern w:val="2"/>
      <w:sz w:val="32"/>
      <w:szCs w:val="32"/>
      <w:lang w:val="en-US" w:eastAsia="zh-CN" w:bidi="ar-SA"/>
    </w:rPr>
  </w:style>
  <w:style w:type="character" w:customStyle="1" w:styleId="1913">
    <w:name w:val="标题 4 字符"/>
    <w:qFormat/>
    <w:uiPriority w:val="0"/>
    <w:rPr>
      <w:rFonts w:ascii="Arial" w:hAnsi="Arial" w:eastAsia="黑体"/>
      <w:b/>
      <w:bCs/>
      <w:kern w:val="2"/>
      <w:sz w:val="28"/>
      <w:szCs w:val="28"/>
    </w:rPr>
  </w:style>
  <w:style w:type="character" w:customStyle="1" w:styleId="1914">
    <w:name w:val="标题 5 字符"/>
    <w:qFormat/>
    <w:uiPriority w:val="0"/>
    <w:rPr>
      <w:rFonts w:eastAsia="宋体"/>
      <w:b/>
      <w:bCs/>
      <w:kern w:val="2"/>
      <w:sz w:val="28"/>
      <w:szCs w:val="28"/>
      <w:lang w:val="en-US" w:eastAsia="zh-CN" w:bidi="ar-SA"/>
    </w:rPr>
  </w:style>
  <w:style w:type="character" w:customStyle="1" w:styleId="1915">
    <w:name w:val="标题 7 字符"/>
    <w:qFormat/>
    <w:uiPriority w:val="0"/>
    <w:rPr>
      <w:rFonts w:eastAsia="宋体"/>
      <w:b/>
      <w:bCs/>
      <w:kern w:val="2"/>
      <w:sz w:val="24"/>
      <w:szCs w:val="24"/>
      <w:lang w:val="en-US" w:eastAsia="zh-CN" w:bidi="ar-SA"/>
    </w:rPr>
  </w:style>
  <w:style w:type="character" w:customStyle="1" w:styleId="1916">
    <w:name w:val="标题 8 字符"/>
    <w:qFormat/>
    <w:uiPriority w:val="0"/>
    <w:rPr>
      <w:rFonts w:ascii="Arial" w:hAnsi="Arial" w:eastAsia="黑体"/>
      <w:kern w:val="2"/>
      <w:sz w:val="24"/>
      <w:szCs w:val="24"/>
      <w:lang w:val="en-US" w:eastAsia="zh-CN" w:bidi="ar-SA"/>
    </w:rPr>
  </w:style>
  <w:style w:type="character" w:customStyle="1" w:styleId="1917">
    <w:name w:val="标题 9 字符"/>
    <w:qFormat/>
    <w:uiPriority w:val="0"/>
    <w:rPr>
      <w:rFonts w:ascii="Arial" w:hAnsi="Arial" w:eastAsia="黑体"/>
      <w:kern w:val="2"/>
      <w:sz w:val="21"/>
      <w:szCs w:val="21"/>
      <w:lang w:val="en-US" w:eastAsia="zh-CN" w:bidi="ar-SA"/>
    </w:rPr>
  </w:style>
  <w:style w:type="character" w:customStyle="1" w:styleId="1918">
    <w:name w:val="正文文本缩进 2 字符"/>
    <w:qFormat/>
    <w:uiPriority w:val="0"/>
    <w:rPr>
      <w:rFonts w:ascii="宋体" w:eastAsia="宋体"/>
      <w:kern w:val="2"/>
      <w:sz w:val="24"/>
      <w:lang w:val="en-US" w:eastAsia="zh-CN" w:bidi="ar-SA"/>
    </w:rPr>
  </w:style>
  <w:style w:type="character" w:customStyle="1" w:styleId="1919">
    <w:name w:val="正文文本缩进 字符"/>
    <w:qFormat/>
    <w:uiPriority w:val="0"/>
    <w:rPr>
      <w:rFonts w:ascii="宋体" w:hAnsi="Arial"/>
      <w:kern w:val="2"/>
      <w:sz w:val="24"/>
    </w:rPr>
  </w:style>
  <w:style w:type="character" w:customStyle="1" w:styleId="1920">
    <w:name w:val="正文文本 字符"/>
    <w:qFormat/>
    <w:uiPriority w:val="0"/>
    <w:rPr>
      <w:kern w:val="2"/>
      <w:sz w:val="28"/>
      <w:szCs w:val="24"/>
    </w:rPr>
  </w:style>
  <w:style w:type="character" w:customStyle="1" w:styleId="1921">
    <w:name w:val="HTML 预设格式 字符2"/>
    <w:qFormat/>
    <w:uiPriority w:val="0"/>
    <w:rPr>
      <w:rFonts w:ascii="Courier New" w:hAnsi="Courier New" w:cs="Courier New"/>
      <w:kern w:val="2"/>
    </w:rPr>
  </w:style>
  <w:style w:type="character" w:customStyle="1" w:styleId="1922">
    <w:name w:val="页眉 字符"/>
    <w:qFormat/>
    <w:uiPriority w:val="99"/>
    <w:rPr>
      <w:kern w:val="2"/>
      <w:sz w:val="18"/>
      <w:szCs w:val="18"/>
    </w:rPr>
  </w:style>
  <w:style w:type="character" w:customStyle="1" w:styleId="1923">
    <w:name w:val="正文（首行缩进两字） Char"/>
    <w:qFormat/>
    <w:uiPriority w:val="0"/>
    <w:rPr>
      <w:rFonts w:eastAsia="宋体"/>
      <w:kern w:val="2"/>
      <w:sz w:val="28"/>
      <w:lang w:val="en-US" w:eastAsia="zh-CN" w:bidi="ar-SA"/>
    </w:rPr>
  </w:style>
  <w:style w:type="character" w:customStyle="1" w:styleId="1924">
    <w:name w:val="样式正文 Char"/>
    <w:qFormat/>
    <w:uiPriority w:val="0"/>
    <w:rPr>
      <w:rFonts w:eastAsia="宋体"/>
      <w:kern w:val="2"/>
      <w:sz w:val="28"/>
      <w:lang w:val="en-US" w:eastAsia="zh-CN" w:bidi="ar-SA"/>
    </w:rPr>
  </w:style>
  <w:style w:type="character" w:customStyle="1" w:styleId="1925">
    <w:name w:val="正文文本缩进 3 字符"/>
    <w:qFormat/>
    <w:uiPriority w:val="0"/>
    <w:rPr>
      <w:rFonts w:eastAsia="宋体"/>
      <w:kern w:val="2"/>
      <w:sz w:val="16"/>
      <w:szCs w:val="16"/>
      <w:lang w:val="en-US" w:eastAsia="zh-CN" w:bidi="ar-SA"/>
    </w:rPr>
  </w:style>
  <w:style w:type="character" w:customStyle="1" w:styleId="1926">
    <w:name w:val="正文缩进 字符1"/>
    <w:qFormat/>
    <w:uiPriority w:val="0"/>
    <w:rPr>
      <w:kern w:val="2"/>
      <w:sz w:val="21"/>
    </w:rPr>
  </w:style>
  <w:style w:type="character" w:customStyle="1" w:styleId="1927">
    <w:name w:val="文档结构图 字符"/>
    <w:qFormat/>
    <w:uiPriority w:val="0"/>
    <w:rPr>
      <w:rFonts w:eastAsia="宋体"/>
      <w:kern w:val="2"/>
      <w:sz w:val="21"/>
      <w:szCs w:val="24"/>
      <w:lang w:val="en-US" w:eastAsia="zh-CN" w:bidi="ar-SA"/>
    </w:rPr>
  </w:style>
  <w:style w:type="character" w:customStyle="1" w:styleId="1928">
    <w:name w:val="正5 Char"/>
    <w:link w:val="1929"/>
    <w:qFormat/>
    <w:uiPriority w:val="0"/>
    <w:rPr>
      <w:rFonts w:ascii="宋体"/>
      <w:color w:val="000000"/>
      <w:kern w:val="2"/>
      <w:sz w:val="24"/>
      <w:szCs w:val="24"/>
    </w:rPr>
  </w:style>
  <w:style w:type="paragraph" w:customStyle="1" w:styleId="1929">
    <w:name w:val="正5"/>
    <w:basedOn w:val="1"/>
    <w:link w:val="1928"/>
    <w:qFormat/>
    <w:uiPriority w:val="0"/>
    <w:pPr>
      <w:widowControl w:val="0"/>
      <w:spacing w:line="460" w:lineRule="exact"/>
      <w:ind w:firstLine="200" w:firstLineChars="200"/>
      <w:jc w:val="both"/>
    </w:pPr>
    <w:rPr>
      <w:rFonts w:hAnsi="Times New Roman" w:cs="Times New Roman"/>
      <w:color w:val="000000"/>
      <w:kern w:val="2"/>
    </w:rPr>
  </w:style>
  <w:style w:type="character" w:customStyle="1" w:styleId="1930">
    <w:name w:val="正文首行缩进 2 字符"/>
    <w:qFormat/>
    <w:uiPriority w:val="0"/>
    <w:rPr>
      <w:rFonts w:ascii="宋体" w:hAnsi="Arial"/>
      <w:snapToGrid/>
      <w:kern w:val="2"/>
      <w:sz w:val="28"/>
      <w:szCs w:val="24"/>
    </w:rPr>
  </w:style>
  <w:style w:type="character" w:customStyle="1" w:styleId="1931">
    <w:name w:val="emtidy-2"/>
    <w:qFormat/>
    <w:uiPriority w:val="0"/>
  </w:style>
  <w:style w:type="character" w:customStyle="1" w:styleId="1932">
    <w:name w:val="emtidy-4"/>
    <w:qFormat/>
    <w:uiPriority w:val="0"/>
  </w:style>
  <w:style w:type="character" w:customStyle="1" w:styleId="1933">
    <w:name w:val="emtidy-6"/>
    <w:qFormat/>
    <w:uiPriority w:val="0"/>
  </w:style>
  <w:style w:type="character" w:customStyle="1" w:styleId="1934">
    <w:name w:val="emtidy-8"/>
    <w:qFormat/>
    <w:uiPriority w:val="0"/>
  </w:style>
  <w:style w:type="character" w:customStyle="1" w:styleId="1935">
    <w:name w:val="正文（首行缩进两字）1 Char3"/>
    <w:qFormat/>
    <w:uiPriority w:val="0"/>
    <w:rPr>
      <w:rFonts w:eastAsia="宋体"/>
      <w:kern w:val="2"/>
      <w:sz w:val="21"/>
      <w:lang w:val="en-US" w:eastAsia="zh-CN" w:bidi="ar-SA"/>
    </w:rPr>
  </w:style>
  <w:style w:type="character" w:customStyle="1" w:styleId="1936">
    <w:name w:val="图标注 Char"/>
    <w:link w:val="1937"/>
    <w:qFormat/>
    <w:locked/>
    <w:uiPriority w:val="0"/>
    <w:rPr>
      <w:b/>
      <w:kern w:val="24"/>
      <w:sz w:val="24"/>
      <w:szCs w:val="22"/>
    </w:rPr>
  </w:style>
  <w:style w:type="paragraph" w:customStyle="1" w:styleId="1937">
    <w:name w:val="图标注"/>
    <w:basedOn w:val="1"/>
    <w:link w:val="1936"/>
    <w:qFormat/>
    <w:uiPriority w:val="0"/>
    <w:pPr>
      <w:widowControl w:val="0"/>
      <w:adjustRightInd w:val="0"/>
      <w:snapToGrid w:val="0"/>
      <w:spacing w:before="100" w:line="360" w:lineRule="auto"/>
      <w:jc w:val="center"/>
    </w:pPr>
    <w:rPr>
      <w:rFonts w:ascii="Times New Roman" w:hAnsi="Times New Roman" w:cs="Times New Roman"/>
      <w:b/>
      <w:kern w:val="24"/>
      <w:szCs w:val="22"/>
    </w:rPr>
  </w:style>
  <w:style w:type="character" w:customStyle="1" w:styleId="1938">
    <w:name w:val="Char Char72"/>
    <w:qFormat/>
    <w:uiPriority w:val="0"/>
    <w:rPr>
      <w:kern w:val="2"/>
      <w:sz w:val="18"/>
    </w:rPr>
  </w:style>
  <w:style w:type="character" w:customStyle="1" w:styleId="1939">
    <w:name w:val="无间隔 字符"/>
    <w:qFormat/>
    <w:uiPriority w:val="0"/>
    <w:rPr>
      <w:rFonts w:ascii="Calibri" w:hAnsi="Calibri"/>
      <w:sz w:val="22"/>
      <w:szCs w:val="22"/>
      <w:lang w:val="en-US" w:eastAsia="zh-CN" w:bidi="ar-SA"/>
    </w:rPr>
  </w:style>
  <w:style w:type="character" w:customStyle="1" w:styleId="1940">
    <w:name w:val="样式 楷体_GB2312 四号 加粗"/>
    <w:qFormat/>
    <w:uiPriority w:val="0"/>
    <w:rPr>
      <w:rFonts w:ascii="楷体_GB2312" w:hAnsi="楷体_GB2312" w:eastAsia="宋体"/>
      <w:b/>
      <w:bCs/>
      <w:sz w:val="28"/>
    </w:rPr>
  </w:style>
  <w:style w:type="character" w:customStyle="1" w:styleId="1941">
    <w:name w:val="Char Char153"/>
    <w:qFormat/>
    <w:uiPriority w:val="0"/>
    <w:rPr>
      <w:rFonts w:ascii="宋体" w:hAnsi="宋体" w:eastAsia="宋体" w:cs="宋体"/>
      <w:sz w:val="18"/>
      <w:lang w:val="en-US" w:eastAsia="zh-CN" w:bidi="ar-SA"/>
    </w:rPr>
  </w:style>
  <w:style w:type="character" w:customStyle="1" w:styleId="1942">
    <w:name w:val="样式12 Char"/>
    <w:link w:val="1943"/>
    <w:qFormat/>
    <w:uiPriority w:val="0"/>
    <w:rPr>
      <w:rFonts w:eastAsia="方正楷体简体"/>
      <w:kern w:val="2"/>
      <w:sz w:val="28"/>
      <w:szCs w:val="28"/>
    </w:rPr>
  </w:style>
  <w:style w:type="paragraph" w:customStyle="1" w:styleId="1943">
    <w:name w:val="样式12"/>
    <w:basedOn w:val="1"/>
    <w:link w:val="1942"/>
    <w:qFormat/>
    <w:uiPriority w:val="0"/>
    <w:pPr>
      <w:topLinePunct/>
      <w:spacing w:line="460" w:lineRule="exact"/>
      <w:ind w:firstLine="561"/>
    </w:pPr>
    <w:rPr>
      <w:rFonts w:ascii="Times New Roman" w:hAnsi="Times New Roman" w:eastAsia="方正楷体简体" w:cs="Times New Roman"/>
      <w:kern w:val="2"/>
      <w:sz w:val="28"/>
      <w:szCs w:val="28"/>
    </w:rPr>
  </w:style>
  <w:style w:type="character" w:customStyle="1" w:styleId="1944">
    <w:name w:val="标题 8 Char Char"/>
    <w:qFormat/>
    <w:uiPriority w:val="0"/>
    <w:rPr>
      <w:rFonts w:ascii="Cambria" w:hAnsi="Cambria" w:eastAsia="宋体" w:cs="Times New Roman"/>
      <w:kern w:val="2"/>
      <w:sz w:val="24"/>
      <w:szCs w:val="24"/>
    </w:rPr>
  </w:style>
  <w:style w:type="character" w:customStyle="1" w:styleId="1945">
    <w:name w:val="材料正文 Char Char"/>
    <w:qFormat/>
    <w:uiPriority w:val="0"/>
    <w:rPr>
      <w:rFonts w:eastAsia="方正仿宋简体"/>
      <w:kern w:val="2"/>
      <w:sz w:val="24"/>
    </w:rPr>
  </w:style>
  <w:style w:type="character" w:customStyle="1" w:styleId="1946">
    <w:name w:val="样式正文 Char Char Char"/>
    <w:qFormat/>
    <w:uiPriority w:val="0"/>
    <w:rPr>
      <w:kern w:val="2"/>
      <w:sz w:val="28"/>
    </w:rPr>
  </w:style>
  <w:style w:type="character" w:customStyle="1" w:styleId="1947">
    <w:name w:val="正文文本 3 字符2"/>
    <w:qFormat/>
    <w:uiPriority w:val="0"/>
    <w:rPr>
      <w:kern w:val="2"/>
      <w:sz w:val="16"/>
      <w:szCs w:val="16"/>
    </w:rPr>
  </w:style>
  <w:style w:type="character" w:customStyle="1" w:styleId="1948">
    <w:name w:val="正文文字缩进2字符 Char Char Char"/>
    <w:qFormat/>
    <w:uiPriority w:val="0"/>
    <w:rPr>
      <w:rFonts w:ascii="宋体" w:eastAsia="宋体"/>
      <w:spacing w:val="6"/>
      <w:kern w:val="2"/>
      <w:sz w:val="28"/>
      <w:lang w:val="en-US" w:eastAsia="zh-CN" w:bidi="ar-SA"/>
    </w:rPr>
  </w:style>
  <w:style w:type="character" w:customStyle="1" w:styleId="1949">
    <w:name w:val="批注主题 Char Char"/>
    <w:link w:val="1950"/>
    <w:qFormat/>
    <w:uiPriority w:val="0"/>
    <w:rPr>
      <w:rFonts w:ascii="Calibri" w:hAnsi="Calibri"/>
      <w:b/>
      <w:bCs/>
      <w:sz w:val="24"/>
    </w:rPr>
  </w:style>
  <w:style w:type="paragraph" w:customStyle="1" w:styleId="1950">
    <w:name w:val="批注主题11"/>
    <w:basedOn w:val="27"/>
    <w:next w:val="27"/>
    <w:link w:val="1949"/>
    <w:qFormat/>
    <w:uiPriority w:val="0"/>
    <w:pPr>
      <w:widowControl w:val="0"/>
    </w:pPr>
    <w:rPr>
      <w:b/>
      <w:bCs/>
      <w:szCs w:val="20"/>
    </w:rPr>
  </w:style>
  <w:style w:type="character" w:customStyle="1" w:styleId="1951">
    <w:name w:val="标题 字符2"/>
    <w:qFormat/>
    <w:uiPriority w:val="0"/>
    <w:rPr>
      <w:rFonts w:hint="eastAsia" w:ascii="宋体" w:hAnsi="Courier New" w:eastAsia="宋体"/>
      <w:kern w:val="2"/>
      <w:sz w:val="21"/>
    </w:rPr>
  </w:style>
  <w:style w:type="character" w:customStyle="1" w:styleId="1952">
    <w:name w:val="正文文字缩进 3 Char Char"/>
    <w:qFormat/>
    <w:uiPriority w:val="0"/>
    <w:rPr>
      <w:rFonts w:ascii="宋体" w:hAnsi="宋体" w:cs="宋体"/>
      <w:sz w:val="16"/>
      <w:szCs w:val="16"/>
    </w:rPr>
  </w:style>
  <w:style w:type="character" w:customStyle="1" w:styleId="1953">
    <w:name w:val="标题 6 Char Char"/>
    <w:qFormat/>
    <w:uiPriority w:val="0"/>
    <w:rPr>
      <w:rFonts w:ascii="Cambria" w:hAnsi="Cambria" w:eastAsia="宋体" w:cs="Times New Roman"/>
      <w:b/>
      <w:bCs/>
      <w:kern w:val="2"/>
      <w:sz w:val="24"/>
      <w:szCs w:val="24"/>
    </w:rPr>
  </w:style>
  <w:style w:type="character" w:customStyle="1" w:styleId="1954">
    <w:name w:val="font61"/>
    <w:qFormat/>
    <w:uiPriority w:val="0"/>
    <w:rPr>
      <w:rFonts w:hint="eastAsia" w:ascii="宋体" w:hAnsi="宋体" w:eastAsia="宋体"/>
      <w:color w:val="000000"/>
      <w:sz w:val="21"/>
      <w:szCs w:val="21"/>
      <w:u w:val="none"/>
    </w:rPr>
  </w:style>
  <w:style w:type="character" w:customStyle="1" w:styleId="1955">
    <w:name w:val="日期 字符2"/>
    <w:qFormat/>
    <w:uiPriority w:val="0"/>
    <w:rPr>
      <w:rFonts w:ascii="宋体"/>
      <w:kern w:val="2"/>
      <w:sz w:val="21"/>
    </w:rPr>
  </w:style>
  <w:style w:type="character" w:customStyle="1" w:styleId="1956">
    <w:name w:val="脚注文本 字符2"/>
    <w:qFormat/>
    <w:uiPriority w:val="0"/>
    <w:rPr>
      <w:kern w:val="2"/>
      <w:sz w:val="18"/>
      <w:szCs w:val="18"/>
    </w:rPr>
  </w:style>
  <w:style w:type="character" w:customStyle="1" w:styleId="1957">
    <w:name w:val="标题 2 字符2"/>
    <w:qFormat/>
    <w:uiPriority w:val="0"/>
    <w:rPr>
      <w:rFonts w:ascii="Arial" w:hAnsi="Arial" w:eastAsia="黑体"/>
      <w:b/>
      <w:bCs/>
      <w:kern w:val="2"/>
      <w:sz w:val="32"/>
      <w:szCs w:val="32"/>
    </w:rPr>
  </w:style>
  <w:style w:type="character" w:customStyle="1" w:styleId="1958">
    <w:name w:val="报告名称"/>
    <w:qFormat/>
    <w:uiPriority w:val="0"/>
    <w:rPr>
      <w:rFonts w:eastAsia="黑体"/>
      <w:kern w:val="2"/>
      <w:sz w:val="52"/>
    </w:rPr>
  </w:style>
  <w:style w:type="character" w:customStyle="1" w:styleId="1959">
    <w:name w:val="标题 3 字符3"/>
    <w:qFormat/>
    <w:uiPriority w:val="0"/>
    <w:rPr>
      <w:b/>
      <w:bCs/>
      <w:kern w:val="2"/>
      <w:sz w:val="32"/>
      <w:szCs w:val="32"/>
    </w:rPr>
  </w:style>
  <w:style w:type="character" w:customStyle="1" w:styleId="1960">
    <w:name w:val="标题标题 Char Char"/>
    <w:qFormat/>
    <w:uiPriority w:val="0"/>
    <w:rPr>
      <w:rFonts w:eastAsia="黑体"/>
      <w:color w:val="000000"/>
      <w:kern w:val="11"/>
      <w:sz w:val="21"/>
      <w:lang w:val="en-US" w:eastAsia="zh-CN" w:bidi="ar-SA"/>
    </w:rPr>
  </w:style>
  <w:style w:type="character" w:customStyle="1" w:styleId="1961">
    <w:name w:val="标题 8 字符2"/>
    <w:qFormat/>
    <w:uiPriority w:val="0"/>
    <w:rPr>
      <w:rFonts w:ascii="Arial" w:hAnsi="Arial" w:eastAsia="黑体"/>
      <w:kern w:val="2"/>
      <w:sz w:val="24"/>
      <w:szCs w:val="24"/>
    </w:rPr>
  </w:style>
  <w:style w:type="character" w:customStyle="1" w:styleId="1962">
    <w:name w:val="样式9 Char Char"/>
    <w:qFormat/>
    <w:uiPriority w:val="0"/>
    <w:rPr>
      <w:rFonts w:eastAsia="方正黑体简体"/>
      <w:color w:val="000000"/>
      <w:sz w:val="24"/>
      <w:szCs w:val="24"/>
    </w:rPr>
  </w:style>
  <w:style w:type="character" w:customStyle="1" w:styleId="1963">
    <w:name w:val="Char Char61"/>
    <w:qFormat/>
    <w:uiPriority w:val="0"/>
    <w:rPr>
      <w:rFonts w:ascii="宋体" w:hAnsi="宋体" w:eastAsia="宋体"/>
      <w:kern w:val="2"/>
      <w:sz w:val="18"/>
      <w:szCs w:val="18"/>
      <w:lang w:val="en-US" w:eastAsia="zh-CN" w:bidi="ar-SA"/>
    </w:rPr>
  </w:style>
  <w:style w:type="character" w:customStyle="1" w:styleId="1964">
    <w:name w:val="电子邮件签名 字符2"/>
    <w:qFormat/>
    <w:uiPriority w:val="0"/>
    <w:rPr>
      <w:sz w:val="24"/>
      <w:szCs w:val="28"/>
    </w:rPr>
  </w:style>
  <w:style w:type="character" w:customStyle="1" w:styleId="1965">
    <w:name w:val="韩要点1 Char Char"/>
    <w:qFormat/>
    <w:uiPriority w:val="0"/>
    <w:rPr>
      <w:sz w:val="28"/>
    </w:rPr>
  </w:style>
  <w:style w:type="character" w:customStyle="1" w:styleId="1966">
    <w:name w:val="电子邮件签名 Char Char"/>
    <w:qFormat/>
    <w:uiPriority w:val="0"/>
    <w:rPr>
      <w:kern w:val="2"/>
      <w:sz w:val="24"/>
    </w:rPr>
  </w:style>
  <w:style w:type="character" w:customStyle="1" w:styleId="1967">
    <w:name w:val="样式13 Char"/>
    <w:link w:val="1968"/>
    <w:qFormat/>
    <w:uiPriority w:val="0"/>
    <w:rPr>
      <w:rFonts w:ascii="黑体" w:eastAsia="黑体"/>
      <w:sz w:val="28"/>
    </w:rPr>
  </w:style>
  <w:style w:type="paragraph" w:customStyle="1" w:styleId="1968">
    <w:name w:val="样式13"/>
    <w:basedOn w:val="465"/>
    <w:link w:val="1967"/>
    <w:qFormat/>
    <w:uiPriority w:val="0"/>
    <w:pPr>
      <w:snapToGrid/>
      <w:spacing w:before="240" w:line="460" w:lineRule="exact"/>
      <w:ind w:firstLine="0"/>
    </w:pPr>
    <w:rPr>
      <w:rFonts w:ascii="黑体" w:eastAsia="黑体"/>
      <w:sz w:val="28"/>
    </w:rPr>
  </w:style>
  <w:style w:type="character" w:customStyle="1" w:styleId="1969">
    <w:name w:val="标题 1 字符3"/>
    <w:qFormat/>
    <w:uiPriority w:val="0"/>
    <w:rPr>
      <w:b/>
      <w:bCs/>
      <w:kern w:val="44"/>
      <w:sz w:val="44"/>
      <w:szCs w:val="44"/>
    </w:rPr>
  </w:style>
  <w:style w:type="character" w:customStyle="1" w:styleId="1970">
    <w:name w:val="样式14 Char"/>
    <w:link w:val="1971"/>
    <w:qFormat/>
    <w:uiPriority w:val="0"/>
    <w:rPr>
      <w:rFonts w:ascii="方正黑体简体" w:eastAsia="方正黑体简体"/>
      <w:sz w:val="24"/>
      <w:szCs w:val="21"/>
    </w:rPr>
  </w:style>
  <w:style w:type="paragraph" w:customStyle="1" w:styleId="1971">
    <w:name w:val="样式14"/>
    <w:basedOn w:val="1"/>
    <w:link w:val="1970"/>
    <w:qFormat/>
    <w:uiPriority w:val="0"/>
    <w:pPr>
      <w:widowControl w:val="0"/>
      <w:topLinePunct/>
      <w:snapToGrid w:val="0"/>
      <w:spacing w:beforeLines="100" w:line="480" w:lineRule="exact"/>
      <w:jc w:val="center"/>
    </w:pPr>
    <w:rPr>
      <w:rFonts w:ascii="方正黑体简体" w:hAnsi="Times New Roman" w:eastAsia="方正黑体简体" w:cs="Times New Roman"/>
      <w:szCs w:val="21"/>
    </w:rPr>
  </w:style>
  <w:style w:type="character" w:customStyle="1" w:styleId="1972">
    <w:name w:val="正文首行缩进2字符 Char Char"/>
    <w:qFormat/>
    <w:uiPriority w:val="0"/>
    <w:rPr>
      <w:rFonts w:ascii="仿宋_GB2312" w:eastAsia="仿宋_GB2312"/>
      <w:kern w:val="2"/>
      <w:sz w:val="28"/>
      <w:szCs w:val="24"/>
    </w:rPr>
  </w:style>
  <w:style w:type="character" w:customStyle="1" w:styleId="1973">
    <w:name w:val="纯文本 字符3"/>
    <w:qFormat/>
    <w:uiPriority w:val="0"/>
    <w:rPr>
      <w:rFonts w:ascii="宋体" w:hAnsi="Courier New" w:eastAsia="宋体"/>
      <w:kern w:val="2"/>
      <w:sz w:val="24"/>
      <w:lang w:val="en-US" w:eastAsia="zh-CN" w:bidi="ar-SA"/>
    </w:rPr>
  </w:style>
  <w:style w:type="character" w:customStyle="1" w:styleId="1974">
    <w:name w:val="图表标题 Char Char Char1"/>
    <w:qFormat/>
    <w:uiPriority w:val="0"/>
    <w:rPr>
      <w:rFonts w:ascii="黑体" w:eastAsia="黑体"/>
      <w:kern w:val="2"/>
      <w:sz w:val="24"/>
      <w:szCs w:val="24"/>
      <w:lang w:val="en-US" w:eastAsia="zh-CN" w:bidi="ar-SA"/>
    </w:rPr>
  </w:style>
  <w:style w:type="character" w:customStyle="1" w:styleId="1975">
    <w:name w:val="正文首行缩进 字符2"/>
    <w:qFormat/>
    <w:uiPriority w:val="0"/>
    <w:rPr>
      <w:b/>
      <w:kern w:val="2"/>
      <w:sz w:val="24"/>
    </w:rPr>
  </w:style>
  <w:style w:type="character" w:customStyle="1" w:styleId="1976">
    <w:name w:val="图表标题 Char Char Char Char Char Char Char"/>
    <w:qFormat/>
    <w:uiPriority w:val="0"/>
    <w:rPr>
      <w:rFonts w:ascii="黑体" w:eastAsia="黑体"/>
      <w:kern w:val="2"/>
      <w:sz w:val="24"/>
      <w:szCs w:val="24"/>
      <w:lang w:val="en-US" w:eastAsia="zh-CN" w:bidi="ar-SA"/>
    </w:rPr>
  </w:style>
  <w:style w:type="character" w:customStyle="1" w:styleId="1977">
    <w:name w:val="Char Char101"/>
    <w:qFormat/>
    <w:uiPriority w:val="0"/>
    <w:rPr>
      <w:rFonts w:ascii="Cambria" w:hAnsi="Cambria" w:eastAsia="宋体"/>
      <w:b/>
      <w:bCs/>
      <w:kern w:val="2"/>
      <w:sz w:val="30"/>
      <w:szCs w:val="32"/>
      <w:lang w:val="en-US" w:eastAsia="zh-CN" w:bidi="ar-SA"/>
    </w:rPr>
  </w:style>
  <w:style w:type="character" w:customStyle="1" w:styleId="1978">
    <w:name w:val="表头 + 居中 Char Char Char"/>
    <w:qFormat/>
    <w:uiPriority w:val="0"/>
    <w:rPr>
      <w:rFonts w:ascii="Arial" w:hAnsi="Arial" w:eastAsia="黑体"/>
      <w:kern w:val="2"/>
      <w:sz w:val="21"/>
      <w:szCs w:val="21"/>
      <w:lang w:val="en-US" w:eastAsia="zh-CN" w:bidi="ar-SA"/>
    </w:rPr>
  </w:style>
  <w:style w:type="character" w:customStyle="1" w:styleId="1979">
    <w:name w:val="样式 标题 2 Char + Times New Roman Char"/>
    <w:link w:val="1980"/>
    <w:qFormat/>
    <w:uiPriority w:val="0"/>
    <w:rPr>
      <w:rFonts w:eastAsia="黑体"/>
      <w:kern w:val="2"/>
      <w:sz w:val="28"/>
    </w:rPr>
  </w:style>
  <w:style w:type="paragraph" w:customStyle="1" w:styleId="1980">
    <w:name w:val="样式 标题 2 Char + Times New Roman"/>
    <w:basedOn w:val="5"/>
    <w:link w:val="1979"/>
    <w:qFormat/>
    <w:uiPriority w:val="0"/>
    <w:pPr>
      <w:widowControl w:val="0"/>
      <w:spacing w:beforeLines="50" w:afterLines="50" w:line="480" w:lineRule="exact"/>
      <w:jc w:val="both"/>
    </w:pPr>
    <w:rPr>
      <w:rFonts w:ascii="Times New Roman" w:hAnsi="Times New Roman"/>
      <w:bCs w:val="0"/>
      <w:kern w:val="2"/>
      <w:szCs w:val="20"/>
    </w:rPr>
  </w:style>
  <w:style w:type="character" w:customStyle="1" w:styleId="1981">
    <w:name w:val="表格sms Char Char Char"/>
    <w:qFormat/>
    <w:uiPriority w:val="0"/>
    <w:rPr>
      <w:snapToGrid/>
      <w:w w:val="99"/>
      <w:sz w:val="21"/>
      <w:szCs w:val="21"/>
      <w:lang w:val="en-US" w:eastAsia="zh-CN" w:bidi="ar-SA"/>
    </w:rPr>
  </w:style>
  <w:style w:type="character" w:customStyle="1" w:styleId="1982">
    <w:name w:val="页脚 字符2"/>
    <w:qFormat/>
    <w:uiPriority w:val="0"/>
    <w:rPr>
      <w:kern w:val="2"/>
      <w:sz w:val="18"/>
    </w:rPr>
  </w:style>
  <w:style w:type="character" w:customStyle="1" w:styleId="1983">
    <w:name w:val="样式 宋体 四号 行距: 1.5 倍行距 Char Char Char Char"/>
    <w:qFormat/>
    <w:uiPriority w:val="0"/>
    <w:rPr>
      <w:rFonts w:ascii="宋体" w:hAnsi="宋体" w:cs="宋体"/>
      <w:kern w:val="2"/>
      <w:sz w:val="28"/>
      <w:szCs w:val="28"/>
    </w:rPr>
  </w:style>
  <w:style w:type="character" w:customStyle="1" w:styleId="1984">
    <w:name w:val="标题 9 字符2"/>
    <w:qFormat/>
    <w:uiPriority w:val="0"/>
    <w:rPr>
      <w:rFonts w:ascii="Arial" w:hAnsi="Arial" w:eastAsia="黑体"/>
      <w:kern w:val="2"/>
      <w:sz w:val="21"/>
      <w:szCs w:val="21"/>
    </w:rPr>
  </w:style>
  <w:style w:type="character" w:customStyle="1" w:styleId="1985">
    <w:name w:val="正文首行缩进2字符 Char"/>
    <w:qFormat/>
    <w:uiPriority w:val="0"/>
    <w:rPr>
      <w:rFonts w:ascii="仿宋_GB2312" w:eastAsia="仿宋_GB2312"/>
      <w:kern w:val="2"/>
      <w:sz w:val="28"/>
      <w:szCs w:val="24"/>
      <w:lang w:bidi="ar-SA"/>
    </w:rPr>
  </w:style>
  <w:style w:type="character" w:customStyle="1" w:styleId="1986">
    <w:name w:val="标题 4 字符2"/>
    <w:qFormat/>
    <w:uiPriority w:val="0"/>
    <w:rPr>
      <w:rFonts w:ascii="Arial" w:hAnsi="Arial" w:eastAsia="黑体"/>
      <w:b/>
      <w:bCs/>
      <w:kern w:val="2"/>
      <w:sz w:val="28"/>
      <w:szCs w:val="28"/>
    </w:rPr>
  </w:style>
  <w:style w:type="character" w:customStyle="1" w:styleId="1987">
    <w:name w:val="样式 标题 1一级标题(章)标题 1 Char封面标题封皮 + (中文) 仿宋_GB2312 四号 左 左侧:  ... Char"/>
    <w:link w:val="1988"/>
    <w:qFormat/>
    <w:uiPriority w:val="0"/>
    <w:rPr>
      <w:rFonts w:eastAsia="黑体"/>
      <w:bCs/>
      <w:snapToGrid w:val="0"/>
      <w:kern w:val="44"/>
      <w:sz w:val="32"/>
      <w:szCs w:val="32"/>
    </w:rPr>
  </w:style>
  <w:style w:type="paragraph" w:customStyle="1" w:styleId="1988">
    <w:name w:val="样式 标题 1一级标题(章)标题 1 Char封面标题封皮 + (中文) 仿宋_GB2312 四号 左 左侧:  ..."/>
    <w:basedOn w:val="4"/>
    <w:link w:val="1987"/>
    <w:qFormat/>
    <w:uiPriority w:val="0"/>
    <w:pPr>
      <w:keepNext/>
      <w:keepLines/>
      <w:widowControl w:val="0"/>
      <w:tabs>
        <w:tab w:val="left" w:pos="720"/>
      </w:tabs>
      <w:adjustRightInd w:val="0"/>
      <w:snapToGrid w:val="0"/>
      <w:spacing w:before="240" w:after="240" w:line="460" w:lineRule="exact"/>
      <w:jc w:val="center"/>
    </w:pPr>
    <w:rPr>
      <w:rFonts w:ascii="Times New Roman" w:hAnsi="Times New Roman"/>
      <w:bCs/>
      <w:snapToGrid w:val="0"/>
      <w:kern w:val="44"/>
      <w:szCs w:val="32"/>
    </w:rPr>
  </w:style>
  <w:style w:type="character" w:customStyle="1" w:styleId="1989">
    <w:name w:val="无间隔 Char Char"/>
    <w:link w:val="1990"/>
    <w:qFormat/>
    <w:uiPriority w:val="0"/>
    <w:rPr>
      <w:rFonts w:ascii="Calibri" w:hAnsi="Calibri" w:eastAsia="Times New Roman"/>
      <w:sz w:val="22"/>
      <w:szCs w:val="22"/>
    </w:rPr>
  </w:style>
  <w:style w:type="paragraph" w:customStyle="1" w:styleId="1990">
    <w:name w:val="无间隔2"/>
    <w:link w:val="1989"/>
    <w:qFormat/>
    <w:uiPriority w:val="0"/>
    <w:rPr>
      <w:rFonts w:ascii="Calibri" w:hAnsi="Calibri" w:eastAsia="Times New Roman" w:cs="Times New Roman"/>
      <w:sz w:val="22"/>
      <w:szCs w:val="22"/>
      <w:lang w:val="en-US" w:eastAsia="zh-CN" w:bidi="ar-SA"/>
    </w:rPr>
  </w:style>
  <w:style w:type="character" w:customStyle="1" w:styleId="1991">
    <w:name w:val="标题3T Char"/>
    <w:link w:val="1992"/>
    <w:qFormat/>
    <w:uiPriority w:val="0"/>
    <w:rPr>
      <w:snapToGrid w:val="0"/>
      <w:color w:val="000000"/>
      <w:sz w:val="24"/>
      <w:szCs w:val="24"/>
    </w:rPr>
  </w:style>
  <w:style w:type="paragraph" w:customStyle="1" w:styleId="1992">
    <w:name w:val="标题3T"/>
    <w:basedOn w:val="1"/>
    <w:next w:val="7"/>
    <w:link w:val="1991"/>
    <w:qFormat/>
    <w:uiPriority w:val="0"/>
    <w:pPr>
      <w:widowControl w:val="0"/>
      <w:adjustRightInd w:val="0"/>
      <w:spacing w:line="440" w:lineRule="exact"/>
      <w:jc w:val="center"/>
      <w:textAlignment w:val="baseline"/>
    </w:pPr>
    <w:rPr>
      <w:rFonts w:ascii="Times New Roman" w:hAnsi="Times New Roman" w:cs="Times New Roman"/>
      <w:snapToGrid w:val="0"/>
      <w:color w:val="000000"/>
    </w:rPr>
  </w:style>
  <w:style w:type="character" w:customStyle="1" w:styleId="1993">
    <w:name w:val="正文首行缩进-修改 Char Char Char"/>
    <w:qFormat/>
    <w:uiPriority w:val="0"/>
    <w:rPr>
      <w:rFonts w:ascii="宋体" w:hAnsi="宋体" w:eastAsia="宋体"/>
      <w:kern w:val="2"/>
      <w:sz w:val="24"/>
      <w:szCs w:val="24"/>
      <w:lang w:val="en-US" w:eastAsia="zh-CN" w:bidi="ar-SA"/>
    </w:rPr>
  </w:style>
  <w:style w:type="character" w:customStyle="1" w:styleId="1994">
    <w:name w:val="正文 + 四号 Char"/>
    <w:qFormat/>
    <w:uiPriority w:val="0"/>
    <w:rPr>
      <w:rFonts w:eastAsia="宋体"/>
      <w:kern w:val="2"/>
      <w:sz w:val="28"/>
      <w:szCs w:val="28"/>
      <w:lang w:val="en-US" w:eastAsia="zh-CN" w:bidi="ar-SA"/>
    </w:rPr>
  </w:style>
  <w:style w:type="character" w:customStyle="1" w:styleId="1995">
    <w:name w:val="标题 5 字符2"/>
    <w:qFormat/>
    <w:uiPriority w:val="0"/>
    <w:rPr>
      <w:b/>
      <w:bCs/>
      <w:kern w:val="2"/>
      <w:sz w:val="28"/>
      <w:szCs w:val="28"/>
    </w:rPr>
  </w:style>
  <w:style w:type="character" w:customStyle="1" w:styleId="1996">
    <w:name w:val="样式 标题 1一级标题(章)标题 1 Char封面标题封皮 + (中文) 仿宋_GB2312 四号 左 左侧:  ... Char Char"/>
    <w:qFormat/>
    <w:uiPriority w:val="0"/>
    <w:rPr>
      <w:rFonts w:eastAsia="黑体" w:cs="宋体"/>
      <w:bCs/>
      <w:snapToGrid w:val="0"/>
      <w:kern w:val="44"/>
      <w:sz w:val="32"/>
      <w:szCs w:val="32"/>
      <w:lang w:val="en-US" w:eastAsia="zh-CN" w:bidi="ar-SA"/>
    </w:rPr>
  </w:style>
  <w:style w:type="character" w:customStyle="1" w:styleId="1997">
    <w:name w:val="正文首行缩进 2 Char Char Char"/>
    <w:qFormat/>
    <w:uiPriority w:val="0"/>
  </w:style>
  <w:style w:type="character" w:customStyle="1" w:styleId="1998">
    <w:name w:val="表格头 Char"/>
    <w:link w:val="1999"/>
    <w:qFormat/>
    <w:uiPriority w:val="0"/>
    <w:rPr>
      <w:rFonts w:ascii="Arial" w:hAnsi="Arial" w:eastAsia="黑体"/>
      <w:snapToGrid w:val="0"/>
      <w:color w:val="000000"/>
      <w:sz w:val="21"/>
      <w:szCs w:val="24"/>
    </w:rPr>
  </w:style>
  <w:style w:type="paragraph" w:customStyle="1" w:styleId="1999">
    <w:name w:val="表格头"/>
    <w:basedOn w:val="1"/>
    <w:link w:val="1998"/>
    <w:qFormat/>
    <w:uiPriority w:val="0"/>
    <w:pPr>
      <w:keepNext/>
      <w:keepLines/>
      <w:widowControl w:val="0"/>
      <w:adjustRightInd w:val="0"/>
      <w:snapToGrid w:val="0"/>
      <w:spacing w:beforeLines="50" w:line="400" w:lineRule="exact"/>
      <w:jc w:val="center"/>
    </w:pPr>
    <w:rPr>
      <w:rFonts w:ascii="Arial" w:hAnsi="Arial" w:eastAsia="黑体" w:cs="Times New Roman"/>
      <w:snapToGrid w:val="0"/>
      <w:color w:val="000000"/>
      <w:sz w:val="21"/>
    </w:rPr>
  </w:style>
  <w:style w:type="character" w:customStyle="1" w:styleId="2000">
    <w:name w:val="表内5号正文 字符"/>
    <w:link w:val="2001"/>
    <w:qFormat/>
    <w:uiPriority w:val="0"/>
    <w:rPr>
      <w:color w:val="FF0000"/>
      <w:sz w:val="21"/>
      <w:szCs w:val="21"/>
    </w:rPr>
  </w:style>
  <w:style w:type="paragraph" w:customStyle="1" w:styleId="2001">
    <w:name w:val="表内5号正文"/>
    <w:basedOn w:val="1"/>
    <w:link w:val="2000"/>
    <w:qFormat/>
    <w:uiPriority w:val="0"/>
    <w:pPr>
      <w:widowControl w:val="0"/>
      <w:spacing w:line="240" w:lineRule="exact"/>
    </w:pPr>
    <w:rPr>
      <w:rFonts w:ascii="Times New Roman" w:hAnsi="Times New Roman" w:cs="Times New Roman"/>
      <w:color w:val="FF0000"/>
      <w:sz w:val="21"/>
      <w:szCs w:val="21"/>
    </w:rPr>
  </w:style>
  <w:style w:type="character" w:customStyle="1" w:styleId="2002">
    <w:name w:val="正文 首行缩进:  2 字符 Char"/>
    <w:link w:val="2003"/>
    <w:qFormat/>
    <w:uiPriority w:val="0"/>
    <w:rPr>
      <w:kern w:val="2"/>
      <w:sz w:val="24"/>
    </w:rPr>
  </w:style>
  <w:style w:type="paragraph" w:customStyle="1" w:styleId="2003">
    <w:name w:val="正文 首行缩进:  2 字符"/>
    <w:basedOn w:val="1"/>
    <w:link w:val="2002"/>
    <w:qFormat/>
    <w:uiPriority w:val="0"/>
    <w:pPr>
      <w:widowControl w:val="0"/>
      <w:spacing w:line="312" w:lineRule="auto"/>
      <w:ind w:firstLine="200" w:firstLineChars="200"/>
      <w:jc w:val="both"/>
    </w:pPr>
    <w:rPr>
      <w:rFonts w:ascii="Times New Roman" w:hAnsi="Times New Roman" w:cs="Times New Roman"/>
      <w:kern w:val="2"/>
      <w:szCs w:val="20"/>
    </w:rPr>
  </w:style>
  <w:style w:type="character" w:customStyle="1" w:styleId="2004">
    <w:name w:val="datatitle1"/>
    <w:qFormat/>
    <w:uiPriority w:val="0"/>
    <w:rPr>
      <w:b/>
      <w:bCs/>
      <w:color w:val="10619F"/>
      <w:sz w:val="21"/>
      <w:szCs w:val="21"/>
    </w:rPr>
  </w:style>
  <w:style w:type="character" w:customStyle="1" w:styleId="2005">
    <w:name w:val="fontstyle31"/>
    <w:qFormat/>
    <w:uiPriority w:val="0"/>
    <w:rPr>
      <w:rFonts w:hint="default" w:ascii="TimesNewRomanPSMT" w:hAnsi="TimesNewRomanPSMT"/>
      <w:color w:val="000000"/>
      <w:sz w:val="22"/>
      <w:szCs w:val="22"/>
    </w:rPr>
  </w:style>
  <w:style w:type="character" w:customStyle="1" w:styleId="2006">
    <w:name w:val="font5 Char"/>
    <w:qFormat/>
    <w:uiPriority w:val="0"/>
    <w:rPr>
      <w:rFonts w:ascii="宋体" w:hAnsi="宋体" w:eastAsia="宋体"/>
      <w:sz w:val="18"/>
      <w:szCs w:val="18"/>
      <w:lang w:val="en-US" w:eastAsia="zh-CN" w:bidi="ar-SA"/>
    </w:rPr>
  </w:style>
  <w:style w:type="character" w:customStyle="1" w:styleId="2007">
    <w:name w:val="样式 标题 2 + 四号 Char Char"/>
    <w:qFormat/>
    <w:uiPriority w:val="0"/>
    <w:rPr>
      <w:rFonts w:eastAsia="黑体"/>
      <w:snapToGrid w:val="0"/>
      <w:sz w:val="28"/>
      <w:szCs w:val="32"/>
    </w:rPr>
  </w:style>
  <w:style w:type="character" w:customStyle="1" w:styleId="2008">
    <w:name w:val="批注文字 字符1"/>
    <w:qFormat/>
    <w:uiPriority w:val="0"/>
    <w:rPr>
      <w:kern w:val="2"/>
      <w:sz w:val="21"/>
      <w:szCs w:val="24"/>
    </w:rPr>
  </w:style>
  <w:style w:type="character" w:customStyle="1" w:styleId="2009">
    <w:name w:val="韩要点1 Char"/>
    <w:link w:val="2010"/>
    <w:qFormat/>
    <w:uiPriority w:val="0"/>
    <w:rPr>
      <w:sz w:val="28"/>
    </w:rPr>
  </w:style>
  <w:style w:type="paragraph" w:customStyle="1" w:styleId="2010">
    <w:name w:val="韩要点1"/>
    <w:basedOn w:val="20"/>
    <w:link w:val="2009"/>
    <w:qFormat/>
    <w:uiPriority w:val="0"/>
    <w:pPr>
      <w:topLinePunct w:val="0"/>
      <w:spacing w:line="240" w:lineRule="auto"/>
      <w:ind w:left="560" w:firstLine="0" w:firstLineChars="0"/>
      <w:jc w:val="both"/>
    </w:pPr>
    <w:rPr>
      <w:rFonts w:ascii="Times New Roman" w:eastAsia="宋体"/>
    </w:rPr>
  </w:style>
  <w:style w:type="character" w:customStyle="1" w:styleId="2011">
    <w:name w:val="标题2T Char"/>
    <w:qFormat/>
    <w:uiPriority w:val="0"/>
    <w:rPr>
      <w:rFonts w:ascii="宋体" w:hAnsi="宋体"/>
      <w:kern w:val="2"/>
      <w:sz w:val="21"/>
      <w:szCs w:val="21"/>
      <w:lang w:bidi="ar-SA"/>
    </w:rPr>
  </w:style>
  <w:style w:type="character" w:customStyle="1" w:styleId="2012">
    <w:name w:val="图表说明 Char Char"/>
    <w:qFormat/>
    <w:locked/>
    <w:uiPriority w:val="0"/>
    <w:rPr>
      <w:rFonts w:ascii="宋体" w:hAnsi="Courier New" w:eastAsia="宋体"/>
      <w:kern w:val="2"/>
      <w:sz w:val="21"/>
      <w:lang w:val="en-US" w:eastAsia="zh-CN" w:bidi="ar-SA"/>
    </w:rPr>
  </w:style>
  <w:style w:type="character" w:customStyle="1" w:styleId="2013">
    <w:name w:val="普通文字 Char3"/>
    <w:qFormat/>
    <w:locked/>
    <w:uiPriority w:val="0"/>
    <w:rPr>
      <w:rFonts w:ascii="宋体" w:hAnsi="Courier New" w:eastAsia="宋体"/>
      <w:kern w:val="2"/>
      <w:sz w:val="21"/>
      <w:lang w:val="en-US" w:eastAsia="zh-CN" w:bidi="ar-SA"/>
    </w:rPr>
  </w:style>
  <w:style w:type="character" w:customStyle="1" w:styleId="2014">
    <w:name w:val="样式15 Char"/>
    <w:link w:val="2015"/>
    <w:qFormat/>
    <w:uiPriority w:val="0"/>
    <w:rPr>
      <w:rFonts w:ascii="黑体" w:eastAsia="黑体"/>
      <w:sz w:val="28"/>
    </w:rPr>
  </w:style>
  <w:style w:type="paragraph" w:customStyle="1" w:styleId="2015">
    <w:name w:val="样式15"/>
    <w:basedOn w:val="465"/>
    <w:link w:val="2014"/>
    <w:qFormat/>
    <w:uiPriority w:val="0"/>
    <w:pPr>
      <w:snapToGrid/>
      <w:spacing w:before="240" w:line="460" w:lineRule="exact"/>
      <w:ind w:firstLine="0"/>
    </w:pPr>
    <w:rPr>
      <w:rFonts w:ascii="黑体" w:eastAsia="黑体"/>
      <w:sz w:val="28"/>
    </w:rPr>
  </w:style>
  <w:style w:type="character" w:customStyle="1" w:styleId="2016">
    <w:name w:val="样式 样式9 + (中文) 方正黑体简体 非加粗 段后: 0.8 行 Char"/>
    <w:link w:val="2017"/>
    <w:qFormat/>
    <w:uiPriority w:val="0"/>
    <w:rPr>
      <w:rFonts w:eastAsia="方正黑体简体"/>
      <w:kern w:val="2"/>
      <w:sz w:val="32"/>
    </w:rPr>
  </w:style>
  <w:style w:type="paragraph" w:customStyle="1" w:styleId="2017">
    <w:name w:val="样式 样式9 + (中文) 方正黑体简体 非加粗 段后: 0.8 行"/>
    <w:basedOn w:val="1389"/>
    <w:link w:val="2016"/>
    <w:qFormat/>
    <w:uiPriority w:val="0"/>
    <w:pPr>
      <w:widowControl w:val="0"/>
      <w:topLinePunct/>
      <w:adjustRightInd/>
      <w:snapToGrid/>
      <w:spacing w:beforeLines="0" w:afterLines="80" w:line="460" w:lineRule="exact"/>
      <w:jc w:val="both"/>
      <w:textAlignment w:val="auto"/>
      <w:outlineLvl w:val="9"/>
    </w:pPr>
    <w:rPr>
      <w:rFonts w:ascii="Times New Roman" w:eastAsia="方正黑体简体"/>
      <w:b w:val="0"/>
      <w:kern w:val="2"/>
      <w:sz w:val="32"/>
    </w:rPr>
  </w:style>
  <w:style w:type="character" w:customStyle="1" w:styleId="2018">
    <w:name w:val="图表标题 Char Char Char"/>
    <w:qFormat/>
    <w:uiPriority w:val="0"/>
    <w:rPr>
      <w:rFonts w:ascii="黑体" w:eastAsia="黑体"/>
      <w:kern w:val="2"/>
      <w:sz w:val="24"/>
      <w:szCs w:val="24"/>
      <w:lang w:val="en-US" w:eastAsia="zh-CN" w:bidi="ar-SA"/>
    </w:rPr>
  </w:style>
  <w:style w:type="character" w:customStyle="1" w:styleId="2019">
    <w:name w:val="图表标题 Char Char Char Char"/>
    <w:qFormat/>
    <w:uiPriority w:val="0"/>
    <w:rPr>
      <w:rFonts w:eastAsia="黑体"/>
      <w:kern w:val="2"/>
      <w:sz w:val="21"/>
      <w:szCs w:val="24"/>
      <w:lang w:val="en-US" w:eastAsia="zh-CN" w:bidi="ar-SA"/>
    </w:rPr>
  </w:style>
  <w:style w:type="character" w:customStyle="1" w:styleId="2020">
    <w:name w:val="正文－首行缩进:2 字符 Char"/>
    <w:qFormat/>
    <w:uiPriority w:val="0"/>
    <w:rPr>
      <w:rFonts w:eastAsia="宋体" w:cs="宋体"/>
      <w:kern w:val="2"/>
      <w:sz w:val="28"/>
      <w:lang w:val="en-US" w:eastAsia="zh-CN" w:bidi="ar-SA"/>
    </w:rPr>
  </w:style>
  <w:style w:type="character" w:customStyle="1" w:styleId="2021">
    <w:name w:val="11 Char"/>
    <w:qFormat/>
    <w:uiPriority w:val="0"/>
    <w:rPr>
      <w:sz w:val="24"/>
      <w:szCs w:val="28"/>
      <w:lang w:bidi="ar-SA"/>
    </w:rPr>
  </w:style>
  <w:style w:type="character" w:customStyle="1" w:styleId="2022">
    <w:name w:val="WW-Absatz-Standardschriftart"/>
    <w:qFormat/>
    <w:uiPriority w:val="0"/>
  </w:style>
  <w:style w:type="character" w:customStyle="1" w:styleId="2023">
    <w:name w:val="正文缩进2字符 Char"/>
    <w:qFormat/>
    <w:uiPriority w:val="0"/>
    <w:rPr>
      <w:rFonts w:eastAsia="宋体"/>
      <w:kern w:val="2"/>
      <w:sz w:val="28"/>
      <w:szCs w:val="24"/>
      <w:lang w:val="en-US" w:eastAsia="zh-CN" w:bidi="ar-SA"/>
    </w:rPr>
  </w:style>
  <w:style w:type="character" w:customStyle="1" w:styleId="2024">
    <w:name w:val="正文－图表标题 Char"/>
    <w:link w:val="2025"/>
    <w:qFormat/>
    <w:uiPriority w:val="0"/>
    <w:rPr>
      <w:rFonts w:eastAsia="黑体"/>
      <w:color w:val="000000"/>
      <w:kern w:val="2"/>
      <w:sz w:val="21"/>
      <w:szCs w:val="24"/>
    </w:rPr>
  </w:style>
  <w:style w:type="paragraph" w:customStyle="1" w:styleId="2025">
    <w:name w:val="正文－图表标题"/>
    <w:basedOn w:val="1"/>
    <w:next w:val="1"/>
    <w:link w:val="2024"/>
    <w:qFormat/>
    <w:uiPriority w:val="0"/>
    <w:pPr>
      <w:widowControl w:val="0"/>
      <w:adjustRightInd w:val="0"/>
      <w:snapToGrid w:val="0"/>
      <w:spacing w:beforeLines="50" w:afterLines="50"/>
      <w:jc w:val="center"/>
    </w:pPr>
    <w:rPr>
      <w:rFonts w:ascii="Times New Roman" w:hAnsi="Times New Roman" w:eastAsia="黑体" w:cs="Times New Roman"/>
      <w:color w:val="000000"/>
      <w:kern w:val="2"/>
      <w:sz w:val="21"/>
    </w:rPr>
  </w:style>
  <w:style w:type="character" w:customStyle="1" w:styleId="2026">
    <w:name w:val="样式 标题 2 + 四号 Char"/>
    <w:link w:val="2027"/>
    <w:qFormat/>
    <w:uiPriority w:val="0"/>
    <w:rPr>
      <w:rFonts w:eastAsia="黑体"/>
      <w:bCs/>
      <w:snapToGrid w:val="0"/>
      <w:sz w:val="28"/>
      <w:szCs w:val="32"/>
    </w:rPr>
  </w:style>
  <w:style w:type="paragraph" w:customStyle="1" w:styleId="2027">
    <w:name w:val="样式 标题 2 + 四号"/>
    <w:basedOn w:val="5"/>
    <w:link w:val="2026"/>
    <w:qFormat/>
    <w:uiPriority w:val="0"/>
    <w:pPr>
      <w:widowControl w:val="0"/>
      <w:adjustRightInd w:val="0"/>
      <w:snapToGrid w:val="0"/>
      <w:spacing w:before="240" w:after="120" w:line="240" w:lineRule="auto"/>
      <w:jc w:val="both"/>
    </w:pPr>
    <w:rPr>
      <w:rFonts w:ascii="Times New Roman" w:hAnsi="Times New Roman"/>
      <w:snapToGrid w:val="0"/>
    </w:rPr>
  </w:style>
  <w:style w:type="character" w:customStyle="1" w:styleId="2028">
    <w:name w:val="Char Char71"/>
    <w:qFormat/>
    <w:uiPriority w:val="0"/>
    <w:rPr>
      <w:rFonts w:eastAsia="宋体"/>
      <w:b/>
      <w:bCs/>
      <w:kern w:val="2"/>
      <w:sz w:val="32"/>
      <w:szCs w:val="32"/>
      <w:lang w:val="en-US" w:eastAsia="zh-CN" w:bidi="ar-SA"/>
    </w:rPr>
  </w:style>
  <w:style w:type="character" w:customStyle="1" w:styleId="2029">
    <w:name w:val="lmj题注 + 居中 + 黑体 Char Char"/>
    <w:link w:val="2030"/>
    <w:qFormat/>
    <w:uiPriority w:val="0"/>
    <w:rPr>
      <w:rFonts w:ascii="黑体" w:hAnsi="黑体" w:eastAsia="黑体"/>
      <w:kern w:val="2"/>
      <w:sz w:val="21"/>
    </w:rPr>
  </w:style>
  <w:style w:type="paragraph" w:customStyle="1" w:styleId="2030">
    <w:name w:val="lmj题注 + 居中 + 黑体"/>
    <w:basedOn w:val="1"/>
    <w:next w:val="1"/>
    <w:link w:val="2029"/>
    <w:qFormat/>
    <w:uiPriority w:val="0"/>
    <w:pPr>
      <w:widowControl w:val="0"/>
      <w:spacing w:line="240" w:lineRule="exact"/>
      <w:ind w:left="560"/>
      <w:jc w:val="center"/>
    </w:pPr>
    <w:rPr>
      <w:rFonts w:ascii="黑体" w:hAnsi="黑体" w:eastAsia="黑体" w:cs="Times New Roman"/>
      <w:kern w:val="2"/>
      <w:sz w:val="21"/>
      <w:szCs w:val="20"/>
    </w:rPr>
  </w:style>
  <w:style w:type="character" w:customStyle="1" w:styleId="2031">
    <w:name w:val="cucd-0 Char Char"/>
    <w:qFormat/>
    <w:uiPriority w:val="0"/>
    <w:rPr>
      <w:kern w:val="2"/>
      <w:sz w:val="24"/>
      <w:szCs w:val="24"/>
      <w:lang w:val="en-US" w:eastAsia="zh-CN" w:bidi="ar-SA"/>
    </w:rPr>
  </w:style>
  <w:style w:type="character" w:customStyle="1" w:styleId="2032">
    <w:name w:val="正文－首行缩进:2 字符 Char Char"/>
    <w:qFormat/>
    <w:uiPriority w:val="0"/>
    <w:rPr>
      <w:rFonts w:eastAsia="宋体" w:cs="宋体"/>
      <w:kern w:val="2"/>
      <w:sz w:val="28"/>
      <w:lang w:val="en-US" w:eastAsia="zh-CN" w:bidi="ar-SA"/>
    </w:rPr>
  </w:style>
  <w:style w:type="character" w:customStyle="1" w:styleId="2033">
    <w:name w:val="标题2T Char Char"/>
    <w:qFormat/>
    <w:uiPriority w:val="0"/>
    <w:rPr>
      <w:rFonts w:eastAsia="方正黑体简体"/>
      <w:kern w:val="2"/>
      <w:sz w:val="32"/>
      <w:szCs w:val="32"/>
      <w:lang w:val="en-US" w:eastAsia="zh-CN" w:bidi="ar-SA"/>
    </w:rPr>
  </w:style>
  <w:style w:type="character" w:customStyle="1" w:styleId="2034">
    <w:name w:val="样式 样式9 + (中文) 方正黑体简体 非加粗 段后: 0.8 行 Char Char"/>
    <w:qFormat/>
    <w:uiPriority w:val="0"/>
    <w:rPr>
      <w:rFonts w:eastAsia="方正黑体简体" w:cs="宋体"/>
      <w:kern w:val="2"/>
      <w:sz w:val="32"/>
    </w:rPr>
  </w:style>
  <w:style w:type="character" w:customStyle="1" w:styleId="2035">
    <w:name w:val="图表标题 Char Char Char Char Char Char Char Char"/>
    <w:qFormat/>
    <w:uiPriority w:val="0"/>
    <w:rPr>
      <w:rFonts w:ascii="黑体" w:eastAsia="黑体"/>
      <w:kern w:val="2"/>
      <w:sz w:val="24"/>
      <w:szCs w:val="24"/>
      <w:lang w:val="en-US" w:eastAsia="zh-CN" w:bidi="ar-SA"/>
    </w:rPr>
  </w:style>
  <w:style w:type="character" w:customStyle="1" w:styleId="2036">
    <w:name w:val="批注文字 Char Char"/>
    <w:qFormat/>
    <w:uiPriority w:val="0"/>
    <w:rPr>
      <w:rFonts w:ascii="Times New Roman" w:hAnsi="Times New Roman"/>
      <w:kern w:val="2"/>
      <w:sz w:val="21"/>
      <w:szCs w:val="24"/>
    </w:rPr>
  </w:style>
  <w:style w:type="character" w:customStyle="1" w:styleId="2037">
    <w:name w:val="样式5 Char Char"/>
    <w:qFormat/>
    <w:uiPriority w:val="0"/>
    <w:rPr>
      <w:rFonts w:eastAsia="黑体"/>
      <w:bCs/>
      <w:snapToGrid w:val="0"/>
      <w:sz w:val="28"/>
      <w:szCs w:val="28"/>
    </w:rPr>
  </w:style>
  <w:style w:type="character" w:customStyle="1" w:styleId="2038">
    <w:name w:val="样式15 Char Char"/>
    <w:qFormat/>
    <w:uiPriority w:val="0"/>
    <w:rPr>
      <w:rFonts w:ascii="方正黑体简体" w:eastAsia="方正黑体简体"/>
      <w:color w:val="000000"/>
      <w:kern w:val="2"/>
      <w:sz w:val="21"/>
      <w:szCs w:val="21"/>
      <w:lang w:val="en-US" w:eastAsia="zh-CN" w:bidi="ar-SA"/>
    </w:rPr>
  </w:style>
  <w:style w:type="character" w:customStyle="1" w:styleId="2039">
    <w:name w:val="样式12 Char Char"/>
    <w:qFormat/>
    <w:uiPriority w:val="0"/>
    <w:rPr>
      <w:rFonts w:eastAsia="方正楷体简体"/>
      <w:kern w:val="2"/>
      <w:sz w:val="28"/>
      <w:szCs w:val="28"/>
    </w:rPr>
  </w:style>
  <w:style w:type="character" w:customStyle="1" w:styleId="2040">
    <w:name w:val="正文缩进2字符 Char Char"/>
    <w:qFormat/>
    <w:uiPriority w:val="0"/>
    <w:rPr>
      <w:rFonts w:eastAsia="宋体"/>
      <w:kern w:val="2"/>
      <w:sz w:val="28"/>
      <w:szCs w:val="24"/>
      <w:lang w:val="en-US" w:eastAsia="zh-CN" w:bidi="ar-SA"/>
    </w:rPr>
  </w:style>
  <w:style w:type="character" w:customStyle="1" w:styleId="2041">
    <w:name w:val="正文－图表标题 Char Char"/>
    <w:qFormat/>
    <w:uiPriority w:val="0"/>
    <w:rPr>
      <w:rFonts w:eastAsia="黑体"/>
      <w:color w:val="000000"/>
      <w:kern w:val="2"/>
      <w:sz w:val="21"/>
      <w:szCs w:val="28"/>
    </w:rPr>
  </w:style>
  <w:style w:type="character" w:customStyle="1" w:styleId="2042">
    <w:name w:val="样式 报告名称 + 26 磅 Char"/>
    <w:qFormat/>
    <w:uiPriority w:val="0"/>
    <w:rPr>
      <w:rFonts w:eastAsia="黑体"/>
      <w:kern w:val="2"/>
      <w:sz w:val="52"/>
    </w:rPr>
  </w:style>
  <w:style w:type="character" w:customStyle="1" w:styleId="2043">
    <w:name w:val="Char Char91"/>
    <w:qFormat/>
    <w:uiPriority w:val="0"/>
    <w:rPr>
      <w:snapToGrid w:val="0"/>
      <w:sz w:val="28"/>
      <w:szCs w:val="24"/>
    </w:rPr>
  </w:style>
  <w:style w:type="character" w:customStyle="1" w:styleId="2044">
    <w:name w:val="t_tag"/>
    <w:qFormat/>
    <w:uiPriority w:val="0"/>
  </w:style>
  <w:style w:type="character" w:customStyle="1" w:styleId="2045">
    <w:name w:val="报告正文 Char1"/>
    <w:qFormat/>
    <w:uiPriority w:val="0"/>
    <w:rPr>
      <w:rFonts w:ascii="宋体" w:eastAsia="宋体"/>
      <w:kern w:val="2"/>
      <w:sz w:val="28"/>
      <w:szCs w:val="28"/>
      <w:lang w:val="en-US" w:eastAsia="zh-CN" w:bidi="ar-SA"/>
    </w:rPr>
  </w:style>
  <w:style w:type="character" w:customStyle="1" w:styleId="2046">
    <w:name w:val="标题 字符"/>
    <w:qFormat/>
    <w:uiPriority w:val="0"/>
    <w:rPr>
      <w:rFonts w:ascii="宋体" w:hAnsi="Courier New"/>
    </w:rPr>
  </w:style>
  <w:style w:type="character" w:customStyle="1" w:styleId="2047">
    <w:name w:val="my标题1 Char"/>
    <w:qFormat/>
    <w:uiPriority w:val="0"/>
    <w:rPr>
      <w:rFonts w:eastAsia="宋体"/>
      <w:bCs/>
      <w:kern w:val="44"/>
      <w:sz w:val="30"/>
      <w:szCs w:val="30"/>
      <w:lang w:val="en-US" w:eastAsia="zh-CN" w:bidi="ar-SA"/>
    </w:rPr>
  </w:style>
  <w:style w:type="character" w:customStyle="1" w:styleId="2048">
    <w:name w:val="批注文字 字符4"/>
    <w:qFormat/>
    <w:uiPriority w:val="0"/>
    <w:rPr>
      <w:rFonts w:eastAsia="宋体"/>
      <w:kern w:val="2"/>
      <w:sz w:val="21"/>
      <w:szCs w:val="24"/>
      <w:lang w:bidi="ar-SA"/>
    </w:rPr>
  </w:style>
  <w:style w:type="character" w:customStyle="1" w:styleId="2049">
    <w:name w:val="正文首行缩进 Char3"/>
    <w:qFormat/>
    <w:uiPriority w:val="0"/>
    <w:rPr>
      <w:rFonts w:ascii="Times New Roman" w:hAnsi="Times New Roman" w:eastAsia="宋体" w:cs="Times New Roman"/>
      <w:sz w:val="24"/>
      <w:szCs w:val="20"/>
    </w:rPr>
  </w:style>
  <w:style w:type="character" w:customStyle="1" w:styleId="2050">
    <w:name w:val="标题2，， Char"/>
    <w:link w:val="2051"/>
    <w:qFormat/>
    <w:locked/>
    <w:uiPriority w:val="0"/>
    <w:rPr>
      <w:rFonts w:ascii="黑体" w:eastAsia="黑体"/>
      <w:bCs/>
      <w:kern w:val="44"/>
      <w:sz w:val="32"/>
      <w:szCs w:val="32"/>
    </w:rPr>
  </w:style>
  <w:style w:type="paragraph" w:customStyle="1" w:styleId="2051">
    <w:name w:val="标题2，，"/>
    <w:basedOn w:val="5"/>
    <w:link w:val="2050"/>
    <w:qFormat/>
    <w:uiPriority w:val="0"/>
    <w:pPr>
      <w:widowControl w:val="0"/>
      <w:adjustRightInd w:val="0"/>
      <w:spacing w:line="360" w:lineRule="auto"/>
    </w:pPr>
    <w:rPr>
      <w:rFonts w:ascii="黑体" w:hAnsi="Times New Roman"/>
      <w:kern w:val="44"/>
      <w:sz w:val="32"/>
    </w:rPr>
  </w:style>
  <w:style w:type="character" w:customStyle="1" w:styleId="2052">
    <w:name w:val="二级标题 Char2"/>
    <w:qFormat/>
    <w:uiPriority w:val="0"/>
    <w:rPr>
      <w:rFonts w:eastAsia="黑体"/>
      <w:bCs/>
      <w:snapToGrid w:val="0"/>
      <w:sz w:val="32"/>
      <w:szCs w:val="32"/>
      <w:lang w:val="en-US" w:eastAsia="zh-CN"/>
    </w:rPr>
  </w:style>
  <w:style w:type="character" w:customStyle="1" w:styleId="2053">
    <w:name w:val="报告正文 Char Char Char"/>
    <w:qFormat/>
    <w:uiPriority w:val="0"/>
    <w:rPr>
      <w:rFonts w:ascii="宋体" w:hAnsi="Times New Roman" w:eastAsia="宋体" w:cs="Times New Roman"/>
      <w:snapToGrid w:val="0"/>
      <w:kern w:val="0"/>
      <w:sz w:val="28"/>
      <w:szCs w:val="24"/>
    </w:rPr>
  </w:style>
  <w:style w:type="character" w:customStyle="1" w:styleId="2054">
    <w:name w:val="0正文 Char"/>
    <w:link w:val="2055"/>
    <w:qFormat/>
    <w:uiPriority w:val="0"/>
    <w:rPr>
      <w:rFonts w:ascii="宋体" w:hAnsi="宋体"/>
      <w:snapToGrid w:val="0"/>
      <w:kern w:val="44"/>
      <w:sz w:val="28"/>
      <w:szCs w:val="24"/>
      <w:lang w:val="zh-CN"/>
    </w:rPr>
  </w:style>
  <w:style w:type="paragraph" w:customStyle="1" w:styleId="2055">
    <w:name w:val="0正文"/>
    <w:basedOn w:val="1"/>
    <w:link w:val="2054"/>
    <w:qFormat/>
    <w:uiPriority w:val="0"/>
    <w:pPr>
      <w:widowControl w:val="0"/>
      <w:adjustRightInd w:val="0"/>
      <w:snapToGrid w:val="0"/>
      <w:spacing w:line="360" w:lineRule="auto"/>
      <w:ind w:firstLine="200" w:firstLineChars="200"/>
      <w:jc w:val="both"/>
      <w:textAlignment w:val="baseline"/>
    </w:pPr>
    <w:rPr>
      <w:rFonts w:cs="Times New Roman"/>
      <w:snapToGrid w:val="0"/>
      <w:kern w:val="44"/>
      <w:sz w:val="28"/>
      <w:lang w:val="zh-CN"/>
    </w:rPr>
  </w:style>
  <w:style w:type="character" w:customStyle="1" w:styleId="2056">
    <w:name w:val="正文文字 Char2"/>
    <w:qFormat/>
    <w:uiPriority w:val="0"/>
    <w:rPr>
      <w:b/>
      <w:kern w:val="2"/>
      <w:sz w:val="24"/>
    </w:rPr>
  </w:style>
  <w:style w:type="character" w:customStyle="1" w:styleId="2057">
    <w:name w:val="h Char Char"/>
    <w:qFormat/>
    <w:uiPriority w:val="0"/>
    <w:rPr>
      <w:kern w:val="2"/>
      <w:sz w:val="18"/>
      <w:szCs w:val="18"/>
    </w:rPr>
  </w:style>
  <w:style w:type="character" w:customStyle="1" w:styleId="2058">
    <w:name w:val="批注引用1"/>
    <w:qFormat/>
    <w:uiPriority w:val="0"/>
    <w:rPr>
      <w:sz w:val="21"/>
      <w:szCs w:val="21"/>
    </w:rPr>
  </w:style>
  <w:style w:type="character" w:customStyle="1" w:styleId="2059">
    <w:name w:val="批注文字 字符"/>
    <w:qFormat/>
    <w:uiPriority w:val="0"/>
    <w:rPr>
      <w:kern w:val="2"/>
      <w:sz w:val="24"/>
    </w:rPr>
  </w:style>
  <w:style w:type="character" w:customStyle="1" w:styleId="2060">
    <w:name w:val="Char Char92"/>
    <w:qFormat/>
    <w:uiPriority w:val="0"/>
    <w:rPr>
      <w:rFonts w:ascii="Arial" w:hAnsi="Arial" w:eastAsia="黑体"/>
      <w:sz w:val="24"/>
      <w:szCs w:val="21"/>
      <w:lang w:bidi="ar-SA"/>
    </w:rPr>
  </w:style>
  <w:style w:type="character" w:customStyle="1" w:styleId="2061">
    <w:name w:val="正文格式 Char"/>
    <w:qFormat/>
    <w:locked/>
    <w:uiPriority w:val="0"/>
    <w:rPr>
      <w:rFonts w:eastAsia="宋体"/>
      <w:kern w:val="2"/>
      <w:sz w:val="24"/>
      <w:szCs w:val="24"/>
      <w:lang w:bidi="ar-SA"/>
    </w:rPr>
  </w:style>
  <w:style w:type="character" w:customStyle="1" w:styleId="2062">
    <w:name w:val="fontstyle11"/>
    <w:qFormat/>
    <w:uiPriority w:val="0"/>
    <w:rPr>
      <w:rFonts w:hint="eastAsia" w:ascii="宋体" w:hAnsi="宋体" w:eastAsia="宋体"/>
      <w:color w:val="000000"/>
      <w:sz w:val="22"/>
      <w:szCs w:val="22"/>
    </w:rPr>
  </w:style>
  <w:style w:type="character" w:customStyle="1" w:styleId="2063">
    <w:name w:val="批注引用2"/>
    <w:qFormat/>
    <w:uiPriority w:val="0"/>
    <w:rPr>
      <w:sz w:val="21"/>
      <w:szCs w:val="21"/>
    </w:rPr>
  </w:style>
  <w:style w:type="character" w:customStyle="1" w:styleId="2064">
    <w:name w:val="正文文本 2 字符2"/>
    <w:qFormat/>
    <w:uiPriority w:val="0"/>
    <w:rPr>
      <w:kern w:val="28"/>
      <w:sz w:val="24"/>
    </w:rPr>
  </w:style>
  <w:style w:type="character" w:customStyle="1" w:styleId="2065">
    <w:name w:val="正文 + Char Char"/>
    <w:qFormat/>
    <w:uiPriority w:val="0"/>
    <w:rPr>
      <w:rFonts w:eastAsia="Times New Roman"/>
      <w:snapToGrid/>
      <w:kern w:val="24"/>
      <w:sz w:val="24"/>
      <w:szCs w:val="24"/>
      <w:lang w:val="en-US" w:eastAsia="zh-CN" w:bidi="ar-SA"/>
    </w:rPr>
  </w:style>
  <w:style w:type="character" w:customStyle="1" w:styleId="2066">
    <w:name w:val="正文首行缩进 2 字符2"/>
    <w:qFormat/>
    <w:uiPriority w:val="0"/>
    <w:rPr>
      <w:kern w:val="2"/>
      <w:sz w:val="24"/>
    </w:rPr>
  </w:style>
  <w:style w:type="character" w:customStyle="1" w:styleId="2067">
    <w:name w:val="正文文本 字符1"/>
    <w:qFormat/>
    <w:uiPriority w:val="0"/>
    <w:rPr>
      <w:rFonts w:ascii="Times New Roman" w:hAnsi="Times New Roman" w:eastAsia="宋体" w:cs="Times New Roman"/>
      <w:b/>
      <w:sz w:val="24"/>
      <w:szCs w:val="20"/>
    </w:rPr>
  </w:style>
  <w:style w:type="character" w:customStyle="1" w:styleId="2068">
    <w:name w:val="正文升平 Char Char"/>
    <w:qFormat/>
    <w:uiPriority w:val="0"/>
    <w:rPr>
      <w:rFonts w:ascii="楷体_GB2312" w:hAnsi="宋体" w:eastAsia="楷体_GB2312" w:cs="楷体_GB2312"/>
      <w:bCs/>
      <w:color w:val="000000"/>
      <w:sz w:val="28"/>
      <w:szCs w:val="28"/>
      <w:lang w:val="zh-CN"/>
    </w:rPr>
  </w:style>
  <w:style w:type="character" w:customStyle="1" w:styleId="2069">
    <w:name w:val="批注主题 字符1"/>
    <w:qFormat/>
    <w:uiPriority w:val="0"/>
    <w:rPr>
      <w:rFonts w:ascii="Times New Roman" w:hAnsi="Times New Roman" w:eastAsia="宋体" w:cs="Times New Roman"/>
      <w:b/>
      <w:bCs/>
      <w:sz w:val="24"/>
      <w:szCs w:val="20"/>
    </w:rPr>
  </w:style>
  <w:style w:type="character" w:customStyle="1" w:styleId="2070">
    <w:name w:val="批注框文本 字符2"/>
    <w:qFormat/>
    <w:uiPriority w:val="0"/>
    <w:rPr>
      <w:kern w:val="2"/>
      <w:sz w:val="18"/>
      <w:szCs w:val="18"/>
    </w:rPr>
  </w:style>
  <w:style w:type="character" w:customStyle="1" w:styleId="2071">
    <w:name w:val="f24"/>
    <w:qFormat/>
    <w:uiPriority w:val="0"/>
  </w:style>
  <w:style w:type="character" w:customStyle="1" w:styleId="2072">
    <w:name w:val="正文文本缩进 字符3"/>
    <w:qFormat/>
    <w:uiPriority w:val="0"/>
    <w:rPr>
      <w:kern w:val="2"/>
      <w:sz w:val="24"/>
    </w:rPr>
  </w:style>
  <w:style w:type="character" w:customStyle="1" w:styleId="2073">
    <w:name w:val="标题 2 字符4"/>
    <w:qFormat/>
    <w:uiPriority w:val="0"/>
    <w:rPr>
      <w:rFonts w:ascii="宋体" w:hAnsi="Arial"/>
      <w:kern w:val="2"/>
      <w:sz w:val="28"/>
    </w:rPr>
  </w:style>
  <w:style w:type="character" w:customStyle="1" w:styleId="2074">
    <w:name w:val="批注主题 字符3"/>
    <w:qFormat/>
    <w:uiPriority w:val="0"/>
    <w:rPr>
      <w:b/>
      <w:bCs/>
      <w:kern w:val="2"/>
      <w:sz w:val="21"/>
      <w:szCs w:val="24"/>
    </w:rPr>
  </w:style>
  <w:style w:type="character" w:customStyle="1" w:styleId="2075">
    <w:name w:val="正文文本 3 字符3"/>
    <w:qFormat/>
    <w:uiPriority w:val="0"/>
    <w:rPr>
      <w:rFonts w:eastAsia="宋体"/>
      <w:kern w:val="2"/>
      <w:sz w:val="18"/>
      <w:lang w:val="en-US" w:eastAsia="zh-CN" w:bidi="ar-SA"/>
    </w:rPr>
  </w:style>
  <w:style w:type="character" w:customStyle="1" w:styleId="2076">
    <w:name w:val="文档结构图 字符1"/>
    <w:qFormat/>
    <w:uiPriority w:val="0"/>
    <w:rPr>
      <w:rFonts w:ascii="宋体"/>
      <w:kern w:val="2"/>
      <w:sz w:val="18"/>
      <w:szCs w:val="18"/>
    </w:rPr>
  </w:style>
  <w:style w:type="character" w:customStyle="1" w:styleId="2077">
    <w:name w:val="脚注文本 字符3"/>
    <w:qFormat/>
    <w:uiPriority w:val="0"/>
    <w:rPr>
      <w:kern w:val="2"/>
      <w:sz w:val="18"/>
      <w:szCs w:val="18"/>
    </w:rPr>
  </w:style>
  <w:style w:type="character" w:customStyle="1" w:styleId="2078">
    <w:name w:val="正文首行缩进 字符3"/>
    <w:qFormat/>
    <w:uiPriority w:val="0"/>
    <w:rPr>
      <w:kern w:val="2"/>
      <w:sz w:val="21"/>
      <w:szCs w:val="24"/>
    </w:rPr>
  </w:style>
  <w:style w:type="character" w:customStyle="1" w:styleId="2079">
    <w:name w:val="正文文本 字符4"/>
    <w:qFormat/>
    <w:uiPriority w:val="0"/>
    <w:rPr>
      <w:rFonts w:eastAsia="宋体"/>
      <w:b/>
      <w:kern w:val="2"/>
      <w:sz w:val="24"/>
      <w:lang w:val="en-US" w:eastAsia="zh-CN" w:bidi="ar-SA"/>
    </w:rPr>
  </w:style>
  <w:style w:type="character" w:customStyle="1" w:styleId="2080">
    <w:name w:val="正文文本缩进 2 字符3"/>
    <w:qFormat/>
    <w:uiPriority w:val="0"/>
    <w:rPr>
      <w:kern w:val="2"/>
      <w:sz w:val="24"/>
    </w:rPr>
  </w:style>
  <w:style w:type="character" w:customStyle="1" w:styleId="2081">
    <w:name w:val="页脚 字符3"/>
    <w:qFormat/>
    <w:uiPriority w:val="99"/>
    <w:rPr>
      <w:kern w:val="2"/>
      <w:sz w:val="18"/>
    </w:rPr>
  </w:style>
  <w:style w:type="character" w:customStyle="1" w:styleId="2082">
    <w:name w:val="尾注文本 字符1"/>
    <w:qFormat/>
    <w:uiPriority w:val="0"/>
    <w:rPr>
      <w:szCs w:val="24"/>
    </w:rPr>
  </w:style>
  <w:style w:type="character" w:customStyle="1" w:styleId="2083">
    <w:name w:val="无间隔 字符1"/>
    <w:qFormat/>
    <w:uiPriority w:val="0"/>
    <w:rPr>
      <w:rFonts w:ascii="Calibri" w:hAnsi="Calibri"/>
      <w:sz w:val="22"/>
      <w:szCs w:val="22"/>
      <w:lang w:val="en-US" w:eastAsia="zh-CN" w:bidi="ar-SA"/>
    </w:rPr>
  </w:style>
  <w:style w:type="character" w:customStyle="1" w:styleId="2084">
    <w:name w:val="正5 Char Char"/>
    <w:qFormat/>
    <w:uiPriority w:val="0"/>
    <w:rPr>
      <w:rFonts w:ascii="宋体" w:eastAsia="宋体"/>
      <w:color w:val="000000"/>
      <w:kern w:val="2"/>
      <w:sz w:val="24"/>
      <w:szCs w:val="24"/>
      <w:lang w:val="en-US" w:eastAsia="zh-CN" w:bidi="ar-SA"/>
    </w:rPr>
  </w:style>
  <w:style w:type="character" w:customStyle="1" w:styleId="2085">
    <w:name w:val="表中文字 Char Char"/>
    <w:qFormat/>
    <w:uiPriority w:val="0"/>
    <w:rPr>
      <w:rFonts w:eastAsia="宋体"/>
      <w:sz w:val="21"/>
      <w:lang w:val="en-US" w:eastAsia="zh-CN" w:bidi="ar-SA"/>
    </w:rPr>
  </w:style>
  <w:style w:type="character" w:customStyle="1" w:styleId="2086">
    <w:name w:val="纯文本 字符4"/>
    <w:qFormat/>
    <w:uiPriority w:val="0"/>
    <w:rPr>
      <w:rFonts w:ascii="宋体" w:hAnsi="Courier New" w:eastAsia="宋体"/>
      <w:kern w:val="2"/>
      <w:sz w:val="21"/>
      <w:lang w:val="en-US" w:eastAsia="zh-CN" w:bidi="ar-SA"/>
    </w:rPr>
  </w:style>
  <w:style w:type="character" w:customStyle="1" w:styleId="2087">
    <w:name w:val="正文（首行缩进两字）1 Char2"/>
    <w:qFormat/>
    <w:uiPriority w:val="0"/>
    <w:rPr>
      <w:rFonts w:eastAsia="方正仿宋简体"/>
      <w:kern w:val="2"/>
      <w:sz w:val="28"/>
      <w:szCs w:val="24"/>
      <w:lang w:val="en-US" w:eastAsia="zh-CN" w:bidi="ar-SA"/>
    </w:rPr>
  </w:style>
  <w:style w:type="character" w:customStyle="1" w:styleId="2088">
    <w:name w:val="标题 1 字符4"/>
    <w:qFormat/>
    <w:uiPriority w:val="0"/>
    <w:rPr>
      <w:b/>
      <w:bCs/>
      <w:kern w:val="44"/>
      <w:sz w:val="44"/>
      <w:szCs w:val="44"/>
    </w:rPr>
  </w:style>
  <w:style w:type="character" w:customStyle="1" w:styleId="2089">
    <w:name w:val="标题 7 字符3"/>
    <w:qFormat/>
    <w:uiPriority w:val="0"/>
    <w:rPr>
      <w:b/>
      <w:kern w:val="2"/>
      <w:sz w:val="28"/>
    </w:rPr>
  </w:style>
  <w:style w:type="character" w:customStyle="1" w:styleId="2090">
    <w:name w:val="正文文本缩进 3 字符4"/>
    <w:qFormat/>
    <w:uiPriority w:val="0"/>
    <w:rPr>
      <w:kern w:val="2"/>
      <w:sz w:val="24"/>
    </w:rPr>
  </w:style>
  <w:style w:type="character" w:customStyle="1" w:styleId="2091">
    <w:name w:val="批注引用11"/>
    <w:qFormat/>
    <w:uiPriority w:val="0"/>
    <w:rPr>
      <w:sz w:val="21"/>
      <w:szCs w:val="21"/>
    </w:rPr>
  </w:style>
  <w:style w:type="character" w:customStyle="1" w:styleId="2092">
    <w:name w:val="正文文字 3 Char Char"/>
    <w:qFormat/>
    <w:uiPriority w:val="0"/>
    <w:rPr>
      <w:rFonts w:hint="default" w:ascii="Arial" w:hAnsi="Arial" w:cs="Arial"/>
      <w:kern w:val="2"/>
      <w:sz w:val="24"/>
    </w:rPr>
  </w:style>
  <w:style w:type="character" w:customStyle="1" w:styleId="2093">
    <w:name w:val="正文新 Char Char"/>
    <w:qFormat/>
    <w:uiPriority w:val="0"/>
    <w:rPr>
      <w:rFonts w:ascii="宋体" w:hAnsi="宋体" w:eastAsia="宋体"/>
      <w:kern w:val="2"/>
      <w:sz w:val="24"/>
      <w:szCs w:val="24"/>
      <w:lang w:val="en-US" w:eastAsia="zh-CN" w:bidi="ar-SA"/>
    </w:rPr>
  </w:style>
  <w:style w:type="character" w:customStyle="1" w:styleId="2094">
    <w:name w:val="新正文 Char Char"/>
    <w:qFormat/>
    <w:uiPriority w:val="0"/>
    <w:rPr>
      <w:rFonts w:ascii="宋体" w:eastAsia="宋体"/>
      <w:kern w:val="2"/>
      <w:sz w:val="24"/>
      <w:szCs w:val="24"/>
      <w:lang w:val="en-US" w:eastAsia="zh-CN" w:bidi="ar-SA"/>
    </w:rPr>
  </w:style>
  <w:style w:type="character" w:customStyle="1" w:styleId="2095">
    <w:name w:val="标3 Char Char"/>
    <w:qFormat/>
    <w:uiPriority w:val="0"/>
    <w:rPr>
      <w:rFonts w:hint="eastAsia" w:ascii="黑体" w:hAnsi="宋体" w:eastAsia="黑体"/>
      <w:b/>
      <w:bCs/>
      <w:color w:val="000000"/>
      <w:sz w:val="24"/>
      <w:szCs w:val="24"/>
      <w:lang w:val="en-US" w:eastAsia="zh-CN" w:bidi="ar-SA"/>
    </w:rPr>
  </w:style>
  <w:style w:type="character" w:customStyle="1" w:styleId="2096">
    <w:name w:val="body text Char"/>
    <w:qFormat/>
    <w:uiPriority w:val="0"/>
    <w:rPr>
      <w:rFonts w:ascii="宋体" w:hAnsi="宋体" w:cs="宋体"/>
      <w:sz w:val="28"/>
      <w:szCs w:val="24"/>
    </w:rPr>
  </w:style>
  <w:style w:type="character" w:customStyle="1" w:styleId="2097">
    <w:name w:val="标题3T Char Char"/>
    <w:qFormat/>
    <w:uiPriority w:val="0"/>
    <w:rPr>
      <w:snapToGrid/>
      <w:color w:val="000000"/>
      <w:sz w:val="24"/>
      <w:szCs w:val="24"/>
      <w:lang w:bidi="ar-SA"/>
    </w:rPr>
  </w:style>
  <w:style w:type="character" w:customStyle="1" w:styleId="2098">
    <w:name w:val="材料正文 Char Char Char"/>
    <w:qFormat/>
    <w:uiPriority w:val="0"/>
    <w:rPr>
      <w:rFonts w:eastAsia="方正仿宋简体"/>
      <w:kern w:val="2"/>
      <w:sz w:val="24"/>
      <w:lang w:bidi="ar-SA"/>
    </w:rPr>
  </w:style>
  <w:style w:type="character" w:customStyle="1" w:styleId="2099">
    <w:name w:val="我的样式 字符"/>
    <w:link w:val="2100"/>
    <w:qFormat/>
    <w:uiPriority w:val="0"/>
    <w:rPr>
      <w:color w:val="000000"/>
      <w:kern w:val="2"/>
      <w:sz w:val="24"/>
      <w:szCs w:val="24"/>
    </w:rPr>
  </w:style>
  <w:style w:type="paragraph" w:customStyle="1" w:styleId="2100">
    <w:name w:val="我的样式"/>
    <w:basedOn w:val="1"/>
    <w:link w:val="2099"/>
    <w:qFormat/>
    <w:uiPriority w:val="0"/>
    <w:pPr>
      <w:widowControl w:val="0"/>
      <w:spacing w:line="500" w:lineRule="exact"/>
      <w:ind w:firstLine="200" w:firstLineChars="200"/>
      <w:jc w:val="both"/>
    </w:pPr>
    <w:rPr>
      <w:rFonts w:ascii="Times New Roman" w:hAnsi="Times New Roman" w:cs="Times New Roman"/>
      <w:color w:val="000000"/>
      <w:kern w:val="2"/>
    </w:rPr>
  </w:style>
  <w:style w:type="character" w:customStyle="1" w:styleId="2101">
    <w:name w:val="样式9 Char Char Char"/>
    <w:qFormat/>
    <w:uiPriority w:val="0"/>
    <w:rPr>
      <w:rFonts w:ascii="黑体" w:eastAsia="黑体"/>
      <w:sz w:val="28"/>
      <w:lang w:bidi="ar-SA"/>
    </w:rPr>
  </w:style>
  <w:style w:type="character" w:customStyle="1" w:styleId="2102">
    <w:name w:val="正文首行缩进 字符"/>
    <w:qFormat/>
    <w:uiPriority w:val="0"/>
  </w:style>
  <w:style w:type="character" w:customStyle="1" w:styleId="2103">
    <w:name w:val="内容1 Char Char"/>
    <w:qFormat/>
    <w:uiPriority w:val="0"/>
    <w:rPr>
      <w:rFonts w:hAnsi="宋体"/>
      <w:sz w:val="28"/>
      <w:szCs w:val="28"/>
      <w:lang w:val="en-US" w:eastAsia="zh-CN" w:bidi="ar-SA"/>
    </w:rPr>
  </w:style>
  <w:style w:type="character" w:customStyle="1" w:styleId="2104">
    <w:name w:val="标题 6 字符1"/>
    <w:qFormat/>
    <w:uiPriority w:val="0"/>
    <w:rPr>
      <w:rFonts w:ascii="Arial" w:hAnsi="Arial" w:eastAsia="黑体"/>
      <w:b/>
      <w:bCs/>
      <w:kern w:val="2"/>
      <w:sz w:val="24"/>
      <w:szCs w:val="24"/>
    </w:rPr>
  </w:style>
  <w:style w:type="character" w:customStyle="1" w:styleId="2105">
    <w:name w:val="页脚 Char Char"/>
    <w:qFormat/>
    <w:uiPriority w:val="0"/>
    <w:rPr>
      <w:kern w:val="2"/>
      <w:sz w:val="18"/>
    </w:rPr>
  </w:style>
  <w:style w:type="character" w:customStyle="1" w:styleId="2106">
    <w:name w:val="表头-文字 Char Char"/>
    <w:qFormat/>
    <w:uiPriority w:val="0"/>
    <w:rPr>
      <w:b/>
      <w:kern w:val="24"/>
      <w:sz w:val="24"/>
      <w:szCs w:val="22"/>
      <w:lang w:bidi="ar-SA"/>
    </w:rPr>
  </w:style>
  <w:style w:type="character" w:customStyle="1" w:styleId="2107">
    <w:name w:val="标题4，， Char Char"/>
    <w:qFormat/>
    <w:uiPriority w:val="0"/>
    <w:rPr>
      <w:rFonts w:ascii="宋体" w:hAnsi="宋体" w:eastAsia="宋体"/>
      <w:kern w:val="2"/>
      <w:sz w:val="24"/>
      <w:lang w:bidi="ar-SA"/>
    </w:rPr>
  </w:style>
  <w:style w:type="character" w:customStyle="1" w:styleId="2108">
    <w:name w:val="标题 6 字符"/>
    <w:qFormat/>
    <w:uiPriority w:val="0"/>
    <w:rPr>
      <w:rFonts w:ascii="等线 Light" w:hAnsi="等线 Light" w:eastAsia="等线 Light" w:cs="Times New Roman"/>
      <w:b/>
      <w:bCs/>
      <w:kern w:val="2"/>
      <w:sz w:val="24"/>
      <w:szCs w:val="24"/>
    </w:rPr>
  </w:style>
  <w:style w:type="character" w:customStyle="1" w:styleId="2109">
    <w:name w:val="标题 字符3"/>
    <w:qFormat/>
    <w:uiPriority w:val="0"/>
    <w:rPr>
      <w:rFonts w:ascii="宋体" w:hAnsi="Courier New"/>
    </w:rPr>
  </w:style>
  <w:style w:type="character" w:customStyle="1" w:styleId="2110">
    <w:name w:val="批注主题 字符"/>
    <w:qFormat/>
    <w:uiPriority w:val="0"/>
    <w:rPr>
      <w:b/>
      <w:bCs/>
      <w:kern w:val="2"/>
      <w:sz w:val="24"/>
    </w:rPr>
  </w:style>
  <w:style w:type="character" w:customStyle="1" w:styleId="2111">
    <w:name w:val="标题 Char Char"/>
    <w:qFormat/>
    <w:uiPriority w:val="0"/>
    <w:rPr>
      <w:rFonts w:hint="eastAsia" w:ascii="宋体" w:hAnsi="Courier New" w:eastAsia="宋体"/>
      <w:kern w:val="2"/>
      <w:sz w:val="21"/>
    </w:rPr>
  </w:style>
  <w:style w:type="character" w:customStyle="1" w:styleId="2112">
    <w:name w:val="标题 1 字符1"/>
    <w:qFormat/>
    <w:uiPriority w:val="0"/>
    <w:rPr>
      <w:b/>
      <w:bCs/>
      <w:kern w:val="44"/>
      <w:sz w:val="44"/>
      <w:szCs w:val="44"/>
    </w:rPr>
  </w:style>
  <w:style w:type="character" w:customStyle="1" w:styleId="2113">
    <w:name w:val="批注引用3"/>
    <w:qFormat/>
    <w:uiPriority w:val="0"/>
    <w:rPr>
      <w:sz w:val="21"/>
      <w:szCs w:val="21"/>
    </w:rPr>
  </w:style>
  <w:style w:type="character" w:customStyle="1" w:styleId="2114">
    <w:name w:val="普通文字 Char4"/>
    <w:qFormat/>
    <w:uiPriority w:val="0"/>
    <w:rPr>
      <w:rFonts w:hint="eastAsia" w:ascii="宋体" w:hAnsi="Courier New" w:eastAsia="宋体"/>
      <w:kern w:val="2"/>
      <w:sz w:val="21"/>
      <w:lang w:val="en-US" w:eastAsia="zh-CN"/>
    </w:rPr>
  </w:style>
  <w:style w:type="character" w:customStyle="1" w:styleId="2115">
    <w:name w:val="标题 9 Char1"/>
    <w:qFormat/>
    <w:uiPriority w:val="0"/>
    <w:rPr>
      <w:rFonts w:hint="default" w:ascii="Cambria" w:hAnsi="Cambria" w:eastAsia="宋体" w:cs="Times New Roman"/>
      <w:sz w:val="21"/>
      <w:szCs w:val="21"/>
    </w:rPr>
  </w:style>
  <w:style w:type="character" w:customStyle="1" w:styleId="2116">
    <w:name w:val="正文首行缩进 Char1"/>
    <w:qFormat/>
    <w:uiPriority w:val="0"/>
  </w:style>
  <w:style w:type="character" w:customStyle="1" w:styleId="2117">
    <w:name w:val="电子邮件签名 字符4"/>
    <w:qFormat/>
    <w:uiPriority w:val="0"/>
    <w:rPr>
      <w:snapToGrid/>
      <w:sz w:val="24"/>
      <w:szCs w:val="28"/>
    </w:rPr>
  </w:style>
  <w:style w:type="character" w:customStyle="1" w:styleId="2118">
    <w:name w:val="日期 字符1"/>
    <w:qFormat/>
    <w:uiPriority w:val="0"/>
    <w:rPr>
      <w:rFonts w:ascii="宋体" w:hAnsi="Times New Roman" w:eastAsia="宋体" w:cs="Times New Roman"/>
      <w:szCs w:val="20"/>
    </w:rPr>
  </w:style>
  <w:style w:type="character" w:customStyle="1" w:styleId="2119">
    <w:name w:val="正文首行缩进 字符1"/>
    <w:qFormat/>
    <w:uiPriority w:val="0"/>
    <w:rPr>
      <w:rFonts w:ascii="Times New Roman" w:hAnsi="Times New Roman" w:eastAsia="宋体" w:cs="Times New Roman"/>
      <w:sz w:val="24"/>
      <w:szCs w:val="20"/>
    </w:rPr>
  </w:style>
  <w:style w:type="character" w:customStyle="1" w:styleId="2120">
    <w:name w:val="OK 修改正文 Char Char"/>
    <w:link w:val="2121"/>
    <w:qFormat/>
    <w:uiPriority w:val="0"/>
    <w:rPr>
      <w:rFonts w:ascii="宋体" w:hAnsi="宋体"/>
      <w:sz w:val="24"/>
      <w:u w:val="single"/>
    </w:rPr>
  </w:style>
  <w:style w:type="paragraph" w:customStyle="1" w:styleId="2121">
    <w:name w:val="OK 修改正文"/>
    <w:basedOn w:val="1"/>
    <w:link w:val="2120"/>
    <w:qFormat/>
    <w:uiPriority w:val="0"/>
    <w:pPr>
      <w:widowControl w:val="0"/>
      <w:spacing w:line="300" w:lineRule="auto"/>
      <w:ind w:firstLine="480" w:firstLineChars="200"/>
      <w:jc w:val="both"/>
    </w:pPr>
    <w:rPr>
      <w:rFonts w:cs="Times New Roman"/>
      <w:szCs w:val="20"/>
      <w:u w:val="single"/>
    </w:rPr>
  </w:style>
  <w:style w:type="character" w:customStyle="1" w:styleId="2122">
    <w:name w:val="正文文本 字符3"/>
    <w:qFormat/>
    <w:uiPriority w:val="0"/>
    <w:rPr>
      <w:b/>
      <w:kern w:val="2"/>
      <w:sz w:val="24"/>
    </w:rPr>
  </w:style>
  <w:style w:type="paragraph" w:customStyle="1" w:styleId="2123">
    <w:name w:val="标题标题"/>
    <w:basedOn w:val="1"/>
    <w:next w:val="1"/>
    <w:qFormat/>
    <w:uiPriority w:val="0"/>
    <w:pPr>
      <w:autoSpaceDE w:val="0"/>
      <w:autoSpaceDN w:val="0"/>
      <w:adjustRightInd w:val="0"/>
      <w:snapToGrid w:val="0"/>
      <w:spacing w:beforeLines="50" w:afterLines="50"/>
      <w:jc w:val="center"/>
    </w:pPr>
    <w:rPr>
      <w:rFonts w:cs="Times New Roman"/>
      <w:kern w:val="11"/>
      <w:sz w:val="28"/>
      <w:szCs w:val="28"/>
    </w:rPr>
  </w:style>
  <w:style w:type="paragraph" w:customStyle="1" w:styleId="2124">
    <w:name w:val="引文目录标题2"/>
    <w:basedOn w:val="1"/>
    <w:next w:val="1"/>
    <w:qFormat/>
    <w:uiPriority w:val="0"/>
    <w:pPr>
      <w:widowControl w:val="0"/>
      <w:spacing w:before="120" w:line="480" w:lineRule="exact"/>
      <w:jc w:val="both"/>
    </w:pPr>
    <w:rPr>
      <w:rFonts w:ascii="Arial" w:hAnsi="Arial" w:cs="Arial"/>
      <w:kern w:val="2"/>
    </w:rPr>
  </w:style>
  <w:style w:type="paragraph" w:customStyle="1" w:styleId="2125">
    <w:name w:val="样式 标题 3"/>
    <w:basedOn w:val="7"/>
    <w:qFormat/>
    <w:uiPriority w:val="0"/>
    <w:pPr>
      <w:widowControl w:val="0"/>
      <w:adjustRightInd w:val="0"/>
      <w:snapToGrid w:val="0"/>
      <w:spacing w:before="120" w:after="120" w:line="480" w:lineRule="exact"/>
      <w:jc w:val="both"/>
    </w:pPr>
    <w:rPr>
      <w:rFonts w:eastAsia="方正黑体简体"/>
      <w:b/>
      <w:bCs w:val="0"/>
      <w:kern w:val="2"/>
      <w:sz w:val="30"/>
      <w:szCs w:val="30"/>
    </w:rPr>
  </w:style>
  <w:style w:type="paragraph" w:customStyle="1" w:styleId="2126">
    <w:name w:val="报告名称 +"/>
    <w:basedOn w:val="1782"/>
    <w:qFormat/>
    <w:uiPriority w:val="0"/>
    <w:pPr>
      <w:spacing w:beforeLines="50" w:afterLines="50"/>
    </w:pPr>
    <w:rPr>
      <w:rFonts w:hint="eastAsia" w:ascii="黑体" w:hAnsi="黑体" w:cs="宋体"/>
      <w:sz w:val="52"/>
      <w:szCs w:val="24"/>
    </w:rPr>
  </w:style>
  <w:style w:type="paragraph" w:customStyle="1" w:styleId="2127">
    <w:name w:val="样式31"/>
    <w:basedOn w:val="1"/>
    <w:qFormat/>
    <w:uiPriority w:val="0"/>
    <w:pPr>
      <w:widowControl w:val="0"/>
      <w:adjustRightInd w:val="0"/>
      <w:snapToGrid w:val="0"/>
      <w:spacing w:line="480" w:lineRule="exact"/>
      <w:ind w:firstLine="560" w:firstLineChars="200"/>
      <w:jc w:val="center"/>
    </w:pPr>
    <w:rPr>
      <w:rFonts w:ascii="Times New Roman" w:hAnsi="Times New Roman" w:cs="Times New Roman"/>
      <w:snapToGrid w:val="0"/>
      <w:sz w:val="28"/>
      <w:szCs w:val="28"/>
    </w:rPr>
  </w:style>
  <w:style w:type="paragraph" w:customStyle="1" w:styleId="2128">
    <w:name w:val="样式 样式 样式5 + 段前: 0.5 行 段后: 0.3 行 + 段前: 0.5 行 段后: 0.3 行"/>
    <w:basedOn w:val="2129"/>
    <w:qFormat/>
    <w:uiPriority w:val="0"/>
    <w:pPr>
      <w:spacing w:before="120" w:afterLines="0"/>
    </w:pPr>
  </w:style>
  <w:style w:type="paragraph" w:customStyle="1" w:styleId="2129">
    <w:name w:val="样式 样式5 + 段前: 0.5 行 段后: 0.3 行"/>
    <w:basedOn w:val="1139"/>
    <w:qFormat/>
    <w:uiPriority w:val="0"/>
    <w:pPr>
      <w:topLinePunct/>
      <w:adjustRightInd/>
      <w:snapToGrid/>
      <w:spacing w:before="200" w:afterLines="30" w:line="240" w:lineRule="auto"/>
      <w:ind w:firstLine="0"/>
      <w:jc w:val="center"/>
      <w:textAlignment w:val="auto"/>
    </w:pPr>
    <w:rPr>
      <w:rFonts w:hint="eastAsia" w:ascii="方正黑体简体" w:hAnsi="Arial" w:eastAsia="方正黑体简体"/>
      <w:snapToGrid w:val="0"/>
      <w:szCs w:val="28"/>
    </w:rPr>
  </w:style>
  <w:style w:type="paragraph" w:customStyle="1" w:styleId="2130">
    <w:name w:val="环保表内字（六号）"/>
    <w:basedOn w:val="1665"/>
    <w:qFormat/>
    <w:uiPriority w:val="0"/>
    <w:pPr>
      <w:tabs>
        <w:tab w:val="clear" w:pos="540"/>
        <w:tab w:val="clear" w:pos="4095"/>
      </w:tabs>
      <w:topLinePunct w:val="0"/>
      <w:adjustRightInd w:val="0"/>
      <w:snapToGrid w:val="0"/>
      <w:spacing w:line="0" w:lineRule="atLeast"/>
    </w:pPr>
    <w:rPr>
      <w:rFonts w:ascii="Calibri" w:hAnsi="Calibri" w:cs="Times New Roman"/>
      <w:kern w:val="0"/>
      <w:sz w:val="15"/>
    </w:rPr>
  </w:style>
  <w:style w:type="paragraph" w:customStyle="1" w:styleId="2131">
    <w:name w:val="xl21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2132">
    <w:name w:val="xl1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2133">
    <w:name w:val="Знак Знак12"/>
    <w:basedOn w:val="1"/>
    <w:qFormat/>
    <w:uiPriority w:val="0"/>
    <w:pPr>
      <w:widowControl w:val="0"/>
      <w:jc w:val="both"/>
    </w:pPr>
    <w:rPr>
      <w:rFonts w:ascii="Times New Roman" w:hAnsi="Times New Roman" w:cs="Times New Roman"/>
      <w:kern w:val="2"/>
      <w:sz w:val="21"/>
    </w:rPr>
  </w:style>
  <w:style w:type="paragraph" w:customStyle="1" w:styleId="2134">
    <w:name w:val="样式27"/>
    <w:basedOn w:val="1"/>
    <w:qFormat/>
    <w:uiPriority w:val="0"/>
    <w:pPr>
      <w:widowControl w:val="0"/>
      <w:adjustRightInd w:val="0"/>
      <w:snapToGrid w:val="0"/>
      <w:spacing w:line="480" w:lineRule="exact"/>
      <w:ind w:firstLine="700" w:firstLineChars="250"/>
      <w:jc w:val="both"/>
    </w:pPr>
    <w:rPr>
      <w:rFonts w:ascii="Times New Roman" w:hAnsi="Times New Roman" w:cs="Times New Roman"/>
      <w:snapToGrid w:val="0"/>
      <w:sz w:val="28"/>
      <w:szCs w:val="28"/>
    </w:rPr>
  </w:style>
  <w:style w:type="paragraph" w:customStyle="1" w:styleId="2135">
    <w:name w:val="索引 32"/>
    <w:basedOn w:val="1"/>
    <w:next w:val="1"/>
    <w:qFormat/>
    <w:uiPriority w:val="0"/>
    <w:pPr>
      <w:widowControl w:val="0"/>
      <w:spacing w:line="480" w:lineRule="exact"/>
      <w:ind w:left="400" w:leftChars="400"/>
      <w:jc w:val="both"/>
    </w:pPr>
    <w:rPr>
      <w:rFonts w:ascii="Times New Roman" w:hAnsi="Times New Roman" w:cs="Times New Roman"/>
      <w:kern w:val="2"/>
    </w:rPr>
  </w:style>
  <w:style w:type="paragraph" w:customStyle="1" w:styleId="2136">
    <w:name w:val="表格文字居中（五号）"/>
    <w:basedOn w:val="1178"/>
    <w:qFormat/>
    <w:uiPriority w:val="0"/>
    <w:pPr>
      <w:adjustRightInd w:val="0"/>
      <w:spacing w:line="400" w:lineRule="exact"/>
      <w:ind w:firstLine="480" w:firstLineChars="0"/>
    </w:pPr>
    <w:rPr>
      <w:rFonts w:ascii="Verdana" w:hAnsi="Verdana" w:eastAsia="宋体" w:cs="Times New Roman"/>
      <w:kern w:val="0"/>
      <w:sz w:val="21"/>
      <w:szCs w:val="24"/>
    </w:rPr>
  </w:style>
  <w:style w:type="paragraph" w:customStyle="1" w:styleId="2137">
    <w:name w:val="Char Char Char Char Char Char Char Char Char Char3"/>
    <w:basedOn w:val="1"/>
    <w:qFormat/>
    <w:uiPriority w:val="0"/>
    <w:rPr>
      <w:szCs w:val="21"/>
    </w:rPr>
  </w:style>
  <w:style w:type="paragraph" w:customStyle="1" w:styleId="2138">
    <w:name w:val="Char Char Char Char Char Char Char Char Char Char Char Char Char1"/>
    <w:basedOn w:val="1"/>
    <w:qFormat/>
    <w:uiPriority w:val="0"/>
    <w:pPr>
      <w:widowControl w:val="0"/>
      <w:adjustRightInd w:val="0"/>
      <w:spacing w:line="360" w:lineRule="auto"/>
      <w:jc w:val="both"/>
    </w:pPr>
    <w:rPr>
      <w:rFonts w:ascii="Times New Roman" w:hAnsi="Times New Roman" w:cs="Times New Roman"/>
    </w:rPr>
  </w:style>
  <w:style w:type="paragraph" w:customStyle="1" w:styleId="2139">
    <w:name w:val="样式 样式5 + 段前: 0.5 行 段后: 0.3 行1"/>
    <w:basedOn w:val="1139"/>
    <w:qFormat/>
    <w:uiPriority w:val="0"/>
    <w:pPr>
      <w:topLinePunct/>
      <w:adjustRightInd/>
      <w:snapToGrid/>
      <w:spacing w:beforeLines="20" w:afterLines="30" w:line="240" w:lineRule="auto"/>
      <w:ind w:firstLine="0"/>
      <w:jc w:val="center"/>
      <w:textAlignment w:val="auto"/>
    </w:pPr>
    <w:rPr>
      <w:rFonts w:hint="eastAsia" w:ascii="方正黑体简体" w:hAnsi="Arial" w:eastAsia="方正黑体简体"/>
      <w:snapToGrid w:val="0"/>
      <w:kern w:val="2"/>
      <w:szCs w:val="28"/>
    </w:rPr>
  </w:style>
  <w:style w:type="paragraph" w:customStyle="1" w:styleId="2140">
    <w:name w:val="样式 (中文) 方正黑体简体 居中"/>
    <w:basedOn w:val="1"/>
    <w:qFormat/>
    <w:uiPriority w:val="0"/>
    <w:pPr>
      <w:widowControl w:val="0"/>
      <w:snapToGrid w:val="0"/>
      <w:spacing w:beforeLines="100" w:line="480" w:lineRule="exact"/>
      <w:jc w:val="center"/>
    </w:pPr>
    <w:rPr>
      <w:rFonts w:ascii="Times New Roman" w:hAnsi="Times New Roman" w:eastAsia="方正黑体简体"/>
      <w:szCs w:val="20"/>
    </w:rPr>
  </w:style>
  <w:style w:type="paragraph" w:customStyle="1" w:styleId="2141">
    <w:name w:val="xl179"/>
    <w:basedOn w:val="1"/>
    <w:qFormat/>
    <w:uiPriority w:val="0"/>
    <w:pPr>
      <w:shd w:val="clear" w:color="auto" w:fill="FF8080"/>
      <w:spacing w:before="100" w:beforeAutospacing="1" w:after="100" w:afterAutospacing="1"/>
    </w:pPr>
    <w:rPr>
      <w:rFonts w:ascii="方正综艺简体" w:eastAsia="方正综艺简体"/>
      <w:color w:val="000000"/>
      <w:sz w:val="20"/>
      <w:szCs w:val="20"/>
    </w:rPr>
  </w:style>
  <w:style w:type="paragraph" w:customStyle="1" w:styleId="2142">
    <w:name w:val="xl1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143">
    <w:name w:val="样式 样式 标题 7 + 首行缩进:  2 字符1 + 首行缩进:  2 字符"/>
    <w:basedOn w:val="2144"/>
    <w:qFormat/>
    <w:uiPriority w:val="0"/>
    <w:pPr>
      <w:tabs>
        <w:tab w:val="left" w:pos="425"/>
      </w:tabs>
      <w:spacing w:before="100"/>
    </w:pPr>
  </w:style>
  <w:style w:type="paragraph" w:customStyle="1" w:styleId="2144">
    <w:name w:val="样式 标题 7 + 首行缩进:  2 字符1"/>
    <w:basedOn w:val="11"/>
    <w:qFormat/>
    <w:uiPriority w:val="0"/>
    <w:pPr>
      <w:keepLines/>
      <w:tabs>
        <w:tab w:val="left" w:pos="425"/>
        <w:tab w:val="clear" w:pos="360"/>
      </w:tabs>
      <w:snapToGrid w:val="0"/>
      <w:spacing w:before="60" w:after="64" w:line="360" w:lineRule="auto"/>
      <w:ind w:left="0" w:firstLine="562" w:firstLineChars="200"/>
    </w:pPr>
    <w:rPr>
      <w:rFonts w:ascii="宋体" w:hAnsi="宋体" w:cs="宋体"/>
      <w:color w:val="000000"/>
      <w:kern w:val="0"/>
      <w:szCs w:val="20"/>
    </w:rPr>
  </w:style>
  <w:style w:type="paragraph" w:customStyle="1" w:styleId="2145">
    <w:name w:val="xl165"/>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color w:val="000000"/>
      <w:sz w:val="20"/>
      <w:szCs w:val="20"/>
    </w:rPr>
  </w:style>
  <w:style w:type="paragraph" w:customStyle="1" w:styleId="2146">
    <w:name w:val="xl161"/>
    <w:basedOn w:val="1"/>
    <w:qFormat/>
    <w:uiPriority w:val="0"/>
    <w:pPr>
      <w:spacing w:before="100" w:beforeAutospacing="1" w:after="100" w:afterAutospacing="1"/>
      <w:jc w:val="center"/>
    </w:pPr>
    <w:rPr>
      <w:color w:val="000000"/>
      <w:sz w:val="20"/>
      <w:szCs w:val="20"/>
    </w:rPr>
  </w:style>
  <w:style w:type="paragraph" w:customStyle="1" w:styleId="2147">
    <w:name w:val="xl312"/>
    <w:basedOn w:val="1"/>
    <w:qFormat/>
    <w:uiPriority w:val="0"/>
    <w:pPr>
      <w:pBdr>
        <w:top w:val="single" w:color="auto" w:sz="4" w:space="0"/>
        <w:left w:val="single" w:color="auto" w:sz="4" w:space="0"/>
      </w:pBdr>
      <w:shd w:val="clear" w:color="auto" w:fill="FFCC00"/>
      <w:spacing w:before="100" w:beforeAutospacing="1" w:after="100" w:afterAutospacing="1"/>
      <w:jc w:val="center"/>
    </w:pPr>
    <w:rPr>
      <w:rFonts w:ascii="方正综艺简体" w:eastAsia="方正综艺简体"/>
      <w:color w:val="000000"/>
      <w:sz w:val="20"/>
      <w:szCs w:val="20"/>
    </w:rPr>
  </w:style>
  <w:style w:type="paragraph" w:customStyle="1" w:styleId="2148">
    <w:name w:val="图表标题 Char Char Char Char Char Char"/>
    <w:basedOn w:val="1"/>
    <w:next w:val="1"/>
    <w:qFormat/>
    <w:uiPriority w:val="0"/>
    <w:pPr>
      <w:widowControl w:val="0"/>
      <w:adjustRightInd w:val="0"/>
      <w:snapToGrid w:val="0"/>
      <w:ind w:left="1120"/>
      <w:jc w:val="center"/>
    </w:pPr>
    <w:rPr>
      <w:rFonts w:ascii="黑体" w:hAnsi="Times New Roman" w:eastAsia="黑体" w:cs="Times New Roman"/>
      <w:kern w:val="2"/>
    </w:rPr>
  </w:style>
  <w:style w:type="paragraph" w:customStyle="1" w:styleId="2149">
    <w:name w:val="xl2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150">
    <w:name w:val="xl259"/>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151">
    <w:name w:val="样式49"/>
    <w:basedOn w:val="1"/>
    <w:qFormat/>
    <w:uiPriority w:val="0"/>
    <w:pPr>
      <w:widowControl w:val="0"/>
      <w:adjustRightInd w:val="0"/>
      <w:snapToGrid w:val="0"/>
      <w:spacing w:line="480" w:lineRule="exact"/>
      <w:ind w:left="-140" w:right="31"/>
      <w:jc w:val="center"/>
    </w:pPr>
    <w:rPr>
      <w:rFonts w:ascii="Times New Roman" w:hAnsi="Times New Roman" w:cs="Times New Roman"/>
      <w:snapToGrid w:val="0"/>
      <w:sz w:val="21"/>
      <w:szCs w:val="21"/>
    </w:rPr>
  </w:style>
  <w:style w:type="paragraph" w:customStyle="1" w:styleId="2152">
    <w:name w:val="xl270"/>
    <w:basedOn w:val="1"/>
    <w:qFormat/>
    <w:uiPriority w:val="0"/>
    <w:pPr>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pPr>
    <w:rPr>
      <w:rFonts w:ascii="方正综艺简体" w:eastAsia="方正综艺简体"/>
      <w:color w:val="000000"/>
      <w:sz w:val="20"/>
      <w:szCs w:val="20"/>
    </w:rPr>
  </w:style>
  <w:style w:type="paragraph" w:customStyle="1" w:styleId="2153">
    <w:name w:val="HTML 预设格式2"/>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color w:val="000000"/>
      <w:kern w:val="2"/>
    </w:rPr>
  </w:style>
  <w:style w:type="paragraph" w:customStyle="1" w:styleId="2154">
    <w:name w:val="Char111"/>
    <w:basedOn w:val="1"/>
    <w:qFormat/>
    <w:uiPriority w:val="0"/>
    <w:pPr>
      <w:widowControl w:val="0"/>
      <w:jc w:val="both"/>
    </w:pPr>
    <w:rPr>
      <w:rFonts w:ascii="Times New Roman" w:hAnsi="Times New Roman" w:cs="Times New Roman"/>
      <w:kern w:val="2"/>
      <w:sz w:val="21"/>
    </w:rPr>
  </w:style>
  <w:style w:type="paragraph" w:customStyle="1" w:styleId="2155">
    <w:name w:val="单位名称"/>
    <w:qFormat/>
    <w:uiPriority w:val="0"/>
    <w:pPr>
      <w:spacing w:line="700" w:lineRule="exact"/>
      <w:jc w:val="center"/>
    </w:pPr>
    <w:rPr>
      <w:rFonts w:ascii="Arial" w:hAnsi="Arial" w:eastAsia="楷体_GB2312" w:cs="Arial"/>
      <w:bCs/>
      <w:kern w:val="2"/>
      <w:sz w:val="36"/>
      <w:szCs w:val="36"/>
      <w:lang w:val="en-US" w:eastAsia="zh-CN" w:bidi="ar-SA"/>
    </w:rPr>
  </w:style>
  <w:style w:type="paragraph" w:customStyle="1" w:styleId="2156">
    <w:name w:val="样式46"/>
    <w:basedOn w:val="1"/>
    <w:qFormat/>
    <w:uiPriority w:val="0"/>
    <w:pPr>
      <w:widowControl w:val="0"/>
      <w:adjustRightInd w:val="0"/>
      <w:snapToGrid w:val="0"/>
      <w:spacing w:line="480" w:lineRule="exact"/>
      <w:ind w:firstLine="560" w:firstLineChars="200"/>
      <w:jc w:val="both"/>
    </w:pPr>
    <w:rPr>
      <w:rFonts w:ascii="Times New Roman" w:hAnsi="Times New Roman" w:cs="Times New Roman"/>
      <w:snapToGrid w:val="0"/>
      <w:sz w:val="28"/>
    </w:rPr>
  </w:style>
  <w:style w:type="paragraph" w:customStyle="1" w:styleId="2157">
    <w:name w:val="xl1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158">
    <w:name w:val="xl145"/>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sz w:val="22"/>
      <w:szCs w:val="22"/>
    </w:rPr>
  </w:style>
  <w:style w:type="paragraph" w:customStyle="1" w:styleId="2159">
    <w:name w:val="档案号内容"/>
    <w:basedOn w:val="2160"/>
    <w:qFormat/>
    <w:uiPriority w:val="0"/>
    <w:pPr>
      <w:spacing w:beforeLines="0"/>
    </w:pPr>
    <w:rPr>
      <w:rFonts w:eastAsia="宋体"/>
    </w:rPr>
  </w:style>
  <w:style w:type="paragraph" w:customStyle="1" w:styleId="2160">
    <w:name w:val="封面档案号"/>
    <w:basedOn w:val="2161"/>
    <w:qFormat/>
    <w:uiPriority w:val="0"/>
    <w:pPr>
      <w:spacing w:beforeLines="100" w:line="480" w:lineRule="exact"/>
    </w:pPr>
    <w:rPr>
      <w:sz w:val="32"/>
      <w:szCs w:val="32"/>
    </w:rPr>
  </w:style>
  <w:style w:type="paragraph" w:customStyle="1" w:styleId="2161">
    <w:name w:val="封面题目"/>
    <w:basedOn w:val="1"/>
    <w:qFormat/>
    <w:uiPriority w:val="0"/>
    <w:pPr>
      <w:widowControl w:val="0"/>
      <w:spacing w:beforeLines="700" w:line="700" w:lineRule="exact"/>
      <w:jc w:val="center"/>
    </w:pPr>
    <w:rPr>
      <w:rFonts w:ascii="Times New Roman" w:hAnsi="Times New Roman" w:eastAsia="黑体" w:cs="Times New Roman"/>
      <w:kern w:val="2"/>
      <w:sz w:val="52"/>
      <w:szCs w:val="52"/>
    </w:rPr>
  </w:style>
  <w:style w:type="paragraph" w:customStyle="1" w:styleId="2162">
    <w:name w:val="标题4+"/>
    <w:basedOn w:val="8"/>
    <w:qFormat/>
    <w:uiPriority w:val="0"/>
    <w:pPr>
      <w:widowControl w:val="0"/>
      <w:adjustRightInd w:val="0"/>
      <w:snapToGrid w:val="0"/>
      <w:spacing w:before="120" w:after="120" w:line="600" w:lineRule="exact"/>
    </w:pPr>
    <w:rPr>
      <w:rFonts w:eastAsia="黑体" w:cs="Times New Roman"/>
      <w:bCs/>
      <w:snapToGrid w:val="0"/>
      <w:sz w:val="28"/>
      <w:szCs w:val="28"/>
      <w:lang w:val="en-US"/>
    </w:rPr>
  </w:style>
  <w:style w:type="paragraph" w:customStyle="1" w:styleId="2163">
    <w:name w:val="样式92"/>
    <w:basedOn w:val="2164"/>
    <w:qFormat/>
    <w:uiPriority w:val="0"/>
    <w:pPr>
      <w:spacing w:before="0" w:after="0" w:line="240" w:lineRule="auto"/>
      <w:ind w:firstLine="420" w:firstLineChars="150"/>
    </w:pPr>
    <w:rPr>
      <w:rFonts w:ascii="宋体" w:hAnsi="宋体" w:eastAsia="宋体"/>
      <w:color w:val="FF0000"/>
      <w:sz w:val="28"/>
      <w:szCs w:val="28"/>
    </w:rPr>
  </w:style>
  <w:style w:type="paragraph" w:customStyle="1" w:styleId="2164">
    <w:name w:val="标题2+"/>
    <w:basedOn w:val="5"/>
    <w:qFormat/>
    <w:uiPriority w:val="0"/>
    <w:pPr>
      <w:widowControl w:val="0"/>
      <w:adjustRightInd w:val="0"/>
      <w:snapToGrid w:val="0"/>
      <w:spacing w:before="240" w:after="120" w:line="480" w:lineRule="exact"/>
    </w:pPr>
    <w:rPr>
      <w:rFonts w:ascii="Times New Roman" w:hAnsi="Times New Roman" w:cs="宋体"/>
      <w:snapToGrid w:val="0"/>
      <w:sz w:val="32"/>
      <w:szCs w:val="20"/>
    </w:rPr>
  </w:style>
  <w:style w:type="paragraph" w:customStyle="1" w:styleId="2165">
    <w:name w:val="样式 正文二级标题 + 首行缩进:  2 字符"/>
    <w:basedOn w:val="2166"/>
    <w:qFormat/>
    <w:uiPriority w:val="0"/>
    <w:pPr>
      <w:spacing w:line="480" w:lineRule="exact"/>
      <w:ind w:firstLine="0" w:firstLineChars="0"/>
      <w:jc w:val="center"/>
    </w:pPr>
    <w:rPr>
      <w:rFonts w:cs="宋体"/>
      <w:sz w:val="44"/>
      <w:szCs w:val="44"/>
    </w:rPr>
  </w:style>
  <w:style w:type="paragraph" w:customStyle="1" w:styleId="2166">
    <w:name w:val="正文二级标题"/>
    <w:basedOn w:val="1"/>
    <w:qFormat/>
    <w:uiPriority w:val="0"/>
    <w:pPr>
      <w:widowControl w:val="0"/>
      <w:spacing w:before="240" w:after="120" w:line="240" w:lineRule="exact"/>
      <w:ind w:firstLine="200" w:firstLineChars="200"/>
      <w:jc w:val="both"/>
      <w:outlineLvl w:val="1"/>
    </w:pPr>
    <w:rPr>
      <w:rFonts w:ascii="Times New Roman" w:hAnsi="Times New Roman" w:eastAsia="黑体" w:cs="Times New Roman"/>
      <w:kern w:val="2"/>
      <w:sz w:val="32"/>
    </w:rPr>
  </w:style>
  <w:style w:type="paragraph" w:customStyle="1" w:styleId="2167">
    <w:name w:val="3"/>
    <w:basedOn w:val="1"/>
    <w:next w:val="2"/>
    <w:qFormat/>
    <w:uiPriority w:val="0"/>
    <w:pPr>
      <w:widowControl w:val="0"/>
      <w:jc w:val="both"/>
    </w:pPr>
    <w:rPr>
      <w:rFonts w:ascii="Times New Roman" w:hAnsi="Times New Roman" w:cs="Times New Roman"/>
      <w:kern w:val="2"/>
      <w:sz w:val="28"/>
    </w:rPr>
  </w:style>
  <w:style w:type="paragraph" w:customStyle="1" w:styleId="2168">
    <w:name w:val="xl308"/>
    <w:basedOn w:val="1"/>
    <w:qFormat/>
    <w:uiPriority w:val="0"/>
    <w:pPr>
      <w:pBdr>
        <w:top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169">
    <w:name w:val="xl1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rPr>
  </w:style>
  <w:style w:type="paragraph" w:customStyle="1" w:styleId="2170">
    <w:name w:val="文字内容"/>
    <w:basedOn w:val="2"/>
    <w:qFormat/>
    <w:uiPriority w:val="0"/>
    <w:pPr>
      <w:adjustRightInd w:val="0"/>
      <w:snapToGrid w:val="0"/>
      <w:spacing w:line="400" w:lineRule="exact"/>
      <w:ind w:firstLine="200" w:firstLineChars="200"/>
      <w:jc w:val="both"/>
    </w:pPr>
    <w:rPr>
      <w:rFonts w:ascii="Arial" w:hAnsi="Arial" w:cs="宋体"/>
      <w:kern w:val="24"/>
      <w:szCs w:val="24"/>
    </w:rPr>
  </w:style>
  <w:style w:type="paragraph" w:customStyle="1" w:styleId="2171">
    <w:name w:val="Char Char1 Char Char Char Char Char Char"/>
    <w:basedOn w:val="1"/>
    <w:qFormat/>
    <w:uiPriority w:val="0"/>
    <w:pPr>
      <w:spacing w:after="160" w:line="240" w:lineRule="exact"/>
    </w:pPr>
    <w:rPr>
      <w:rFonts w:ascii="Verdana" w:hAnsi="Verdana" w:cs="Times New Roman"/>
      <w:b/>
      <w:szCs w:val="20"/>
      <w:lang w:eastAsia="en-US"/>
    </w:rPr>
  </w:style>
  <w:style w:type="paragraph" w:customStyle="1" w:styleId="2172">
    <w:name w:val="xl2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173">
    <w:name w:val="xl2139"/>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b/>
      <w:bCs/>
      <w:sz w:val="22"/>
      <w:szCs w:val="22"/>
    </w:rPr>
  </w:style>
  <w:style w:type="paragraph" w:customStyle="1" w:styleId="2174">
    <w:name w:val="样式36"/>
    <w:basedOn w:val="1"/>
    <w:qFormat/>
    <w:uiPriority w:val="0"/>
    <w:pPr>
      <w:widowControl w:val="0"/>
      <w:adjustRightInd w:val="0"/>
      <w:snapToGrid w:val="0"/>
      <w:spacing w:line="480" w:lineRule="exact"/>
      <w:ind w:firstLine="560" w:firstLineChars="200"/>
      <w:jc w:val="both"/>
    </w:pPr>
    <w:rPr>
      <w:rFonts w:ascii="Times New Roman" w:hAnsi="Times New Roman" w:cs="Times New Roman"/>
      <w:sz w:val="28"/>
    </w:rPr>
  </w:style>
  <w:style w:type="paragraph" w:customStyle="1" w:styleId="2175">
    <w:name w:val="xl144"/>
    <w:basedOn w:val="1"/>
    <w:qFormat/>
    <w:uiPriority w:val="0"/>
    <w:pPr>
      <w:pBdr>
        <w:top w:val="single" w:color="auto" w:sz="4" w:space="0"/>
        <w:left w:val="single" w:color="auto" w:sz="4" w:space="0"/>
        <w:right w:val="single" w:color="auto" w:sz="4" w:space="0"/>
      </w:pBdr>
      <w:spacing w:before="100" w:beforeAutospacing="1" w:after="100" w:afterAutospacing="1"/>
      <w:jc w:val="center"/>
    </w:pPr>
    <w:rPr>
      <w:sz w:val="22"/>
      <w:szCs w:val="22"/>
    </w:rPr>
  </w:style>
  <w:style w:type="paragraph" w:customStyle="1" w:styleId="2176">
    <w:name w:val="样式 居中 行距: 固定值 22 磅"/>
    <w:basedOn w:val="1"/>
    <w:qFormat/>
    <w:uiPriority w:val="0"/>
    <w:pPr>
      <w:widowControl w:val="0"/>
      <w:spacing w:line="480" w:lineRule="exact"/>
      <w:jc w:val="center"/>
    </w:pPr>
    <w:rPr>
      <w:rFonts w:ascii="Times New Roman" w:hAnsi="Times New Roman"/>
      <w:kern w:val="2"/>
      <w:szCs w:val="20"/>
    </w:rPr>
  </w:style>
  <w:style w:type="paragraph" w:customStyle="1" w:styleId="2177">
    <w:name w:val="xl1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2178">
    <w:name w:val="xl217"/>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color w:val="000000"/>
      <w:sz w:val="20"/>
      <w:szCs w:val="20"/>
    </w:rPr>
  </w:style>
  <w:style w:type="paragraph" w:customStyle="1" w:styleId="2179">
    <w:name w:val="xl281"/>
    <w:basedOn w:val="1"/>
    <w:qFormat/>
    <w:uiPriority w:val="0"/>
    <w:pPr>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pPr>
    <w:rPr>
      <w:rFonts w:ascii="方正综艺简体" w:eastAsia="方正综艺简体"/>
      <w:color w:val="000000"/>
      <w:sz w:val="20"/>
      <w:szCs w:val="20"/>
    </w:rPr>
  </w:style>
  <w:style w:type="paragraph" w:customStyle="1" w:styleId="2180">
    <w:name w:val="样式 标题3 + 段前: 0.5 行 段后: 0.5 行"/>
    <w:basedOn w:val="1"/>
    <w:qFormat/>
    <w:uiPriority w:val="0"/>
    <w:pPr>
      <w:keepNext/>
      <w:keepLines/>
      <w:widowControl w:val="0"/>
      <w:adjustRightInd w:val="0"/>
      <w:snapToGrid w:val="0"/>
      <w:spacing w:beforeLines="50" w:afterLines="50" w:line="480" w:lineRule="exact"/>
      <w:jc w:val="both"/>
      <w:outlineLvl w:val="2"/>
    </w:pPr>
    <w:rPr>
      <w:rFonts w:ascii="Times New Roman" w:hAnsi="Times New Roman" w:eastAsia="黑体"/>
      <w:kern w:val="2"/>
      <w:sz w:val="28"/>
      <w:szCs w:val="20"/>
    </w:rPr>
  </w:style>
  <w:style w:type="paragraph" w:customStyle="1" w:styleId="2181">
    <w:name w:val="xl213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Times New Roman" w:hAnsi="Times New Roman" w:cs="Times New Roman"/>
      <w:b/>
      <w:bCs/>
      <w:sz w:val="21"/>
      <w:szCs w:val="21"/>
    </w:rPr>
  </w:style>
  <w:style w:type="paragraph" w:customStyle="1" w:styleId="2182">
    <w:name w:val="样式32"/>
    <w:basedOn w:val="1"/>
    <w:qFormat/>
    <w:uiPriority w:val="0"/>
    <w:pPr>
      <w:widowControl w:val="0"/>
      <w:adjustRightInd w:val="0"/>
      <w:snapToGrid w:val="0"/>
      <w:spacing w:line="480" w:lineRule="exact"/>
      <w:ind w:firstLine="1680" w:firstLineChars="600"/>
      <w:jc w:val="both"/>
    </w:pPr>
    <w:rPr>
      <w:rFonts w:ascii="Times New Roman" w:hAnsi="Times New Roman" w:cs="Times New Roman"/>
      <w:snapToGrid w:val="0"/>
      <w:sz w:val="28"/>
      <w:szCs w:val="28"/>
    </w:rPr>
  </w:style>
  <w:style w:type="paragraph" w:customStyle="1" w:styleId="2183">
    <w:name w:val="寄信人地址1"/>
    <w:basedOn w:val="1"/>
    <w:qFormat/>
    <w:uiPriority w:val="0"/>
    <w:pPr>
      <w:widowControl w:val="0"/>
      <w:snapToGrid w:val="0"/>
      <w:jc w:val="both"/>
    </w:pPr>
    <w:rPr>
      <w:rFonts w:ascii="Arial" w:hAnsi="Arial" w:cs="Arial"/>
      <w:kern w:val="2"/>
      <w:sz w:val="21"/>
      <w:szCs w:val="20"/>
    </w:rPr>
  </w:style>
  <w:style w:type="paragraph" w:customStyle="1" w:styleId="2184">
    <w:name w:val="框图"/>
    <w:basedOn w:val="1"/>
    <w:qFormat/>
    <w:uiPriority w:val="0"/>
    <w:pPr>
      <w:widowControl w:val="0"/>
      <w:jc w:val="center"/>
    </w:pPr>
    <w:rPr>
      <w:rFonts w:ascii="Times New Roman" w:hAnsi="Times New Roman" w:cs="Times New Roman"/>
      <w:kern w:val="2"/>
      <w:sz w:val="18"/>
    </w:rPr>
  </w:style>
  <w:style w:type="paragraph" w:customStyle="1" w:styleId="2185">
    <w:name w:val="正文文本缩进13"/>
    <w:basedOn w:val="1"/>
    <w:qFormat/>
    <w:uiPriority w:val="0"/>
    <w:pPr>
      <w:widowControl w:val="0"/>
      <w:adjustRightInd w:val="0"/>
      <w:spacing w:line="360" w:lineRule="atLeast"/>
      <w:ind w:left="280" w:firstLine="560"/>
      <w:textAlignment w:val="baseline"/>
    </w:pPr>
    <w:rPr>
      <w:rFonts w:ascii="Times New Roman" w:hAnsi="Times New Roman" w:cs="Times New Roman"/>
    </w:rPr>
  </w:style>
  <w:style w:type="paragraph" w:customStyle="1" w:styleId="2186">
    <w:name w:val="样式84"/>
    <w:basedOn w:val="1"/>
    <w:qFormat/>
    <w:uiPriority w:val="0"/>
    <w:pPr>
      <w:widowControl w:val="0"/>
      <w:adjustRightInd w:val="0"/>
      <w:snapToGrid w:val="0"/>
      <w:spacing w:line="480" w:lineRule="exact"/>
      <w:ind w:firstLine="560" w:firstLineChars="200"/>
      <w:jc w:val="both"/>
    </w:pPr>
    <w:rPr>
      <w:rFonts w:ascii="Times New Roman" w:hAnsi="Times New Roman" w:cs="Times New Roman"/>
      <w:snapToGrid w:val="0"/>
      <w:sz w:val="28"/>
    </w:rPr>
  </w:style>
  <w:style w:type="paragraph" w:customStyle="1" w:styleId="2187">
    <w:name w:val="样式86"/>
    <w:basedOn w:val="1"/>
    <w:qFormat/>
    <w:uiPriority w:val="0"/>
    <w:pPr>
      <w:widowControl w:val="0"/>
      <w:adjustRightInd w:val="0"/>
      <w:snapToGrid w:val="0"/>
      <w:spacing w:line="480" w:lineRule="exact"/>
      <w:jc w:val="both"/>
    </w:pPr>
    <w:rPr>
      <w:rFonts w:ascii="Times New Roman" w:hAnsi="Times New Roman" w:cs="Times New Roman"/>
      <w:snapToGrid w:val="0"/>
      <w:color w:val="000000"/>
      <w:sz w:val="28"/>
      <w:szCs w:val="21"/>
    </w:rPr>
  </w:style>
  <w:style w:type="paragraph" w:customStyle="1" w:styleId="2188">
    <w:name w:val="批注主题1"/>
    <w:basedOn w:val="27"/>
    <w:next w:val="27"/>
    <w:qFormat/>
    <w:uiPriority w:val="0"/>
    <w:pPr>
      <w:widowControl w:val="0"/>
    </w:pPr>
    <w:rPr>
      <w:rFonts w:ascii="Times New Roman" w:hAnsi="Times New Roman"/>
      <w:b/>
      <w:bCs/>
      <w:kern w:val="2"/>
      <w:szCs w:val="20"/>
    </w:rPr>
  </w:style>
  <w:style w:type="paragraph" w:customStyle="1" w:styleId="2189">
    <w:name w:val="样式87"/>
    <w:basedOn w:val="2187"/>
    <w:qFormat/>
    <w:uiPriority w:val="0"/>
    <w:pPr>
      <w:ind w:firstLine="560" w:firstLineChars="200"/>
    </w:pPr>
    <w:rPr>
      <w:rFonts w:ascii="宋体" w:hAnsi="宋体" w:cs="宋体"/>
      <w:szCs w:val="28"/>
    </w:rPr>
  </w:style>
  <w:style w:type="paragraph" w:customStyle="1" w:styleId="2190">
    <w:name w:val="xl1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191">
    <w:name w:val="表格样式"/>
    <w:basedOn w:val="1"/>
    <w:qFormat/>
    <w:uiPriority w:val="0"/>
    <w:pPr>
      <w:widowControl w:val="0"/>
      <w:adjustRightInd w:val="0"/>
      <w:snapToGrid w:val="0"/>
      <w:spacing w:line="0" w:lineRule="atLeast"/>
      <w:jc w:val="center"/>
    </w:pPr>
    <w:rPr>
      <w:rFonts w:ascii="Times New Roman" w:hAnsi="Times New Roman" w:cs="Times New Roman"/>
      <w:kern w:val="2"/>
      <w:sz w:val="21"/>
    </w:rPr>
  </w:style>
  <w:style w:type="paragraph" w:customStyle="1" w:styleId="2192">
    <w:name w:val="xl1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FF0000"/>
      <w:sz w:val="21"/>
      <w:szCs w:val="21"/>
    </w:rPr>
  </w:style>
  <w:style w:type="paragraph" w:customStyle="1" w:styleId="2193">
    <w:name w:val="xl306"/>
    <w:basedOn w:val="1"/>
    <w:qFormat/>
    <w:uiPriority w:val="0"/>
    <w:pPr>
      <w:pBdr>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194">
    <w:name w:val="xl1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1"/>
      <w:szCs w:val="21"/>
    </w:rPr>
  </w:style>
  <w:style w:type="paragraph" w:customStyle="1" w:styleId="2195">
    <w:name w:val="xl1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FF0000"/>
      <w:sz w:val="22"/>
      <w:szCs w:val="22"/>
    </w:rPr>
  </w:style>
  <w:style w:type="paragraph" w:customStyle="1" w:styleId="2196">
    <w:name w:val="样式 (符号) 宋体 右"/>
    <w:basedOn w:val="1"/>
    <w:qFormat/>
    <w:uiPriority w:val="0"/>
    <w:pPr>
      <w:widowControl w:val="0"/>
      <w:adjustRightInd w:val="0"/>
      <w:snapToGrid w:val="0"/>
      <w:spacing w:line="500" w:lineRule="exact"/>
      <w:ind w:firstLine="200" w:firstLineChars="200"/>
      <w:jc w:val="right"/>
    </w:pPr>
    <w:rPr>
      <w:rFonts w:ascii="Times New Roman"/>
      <w:sz w:val="28"/>
      <w:szCs w:val="20"/>
    </w:rPr>
  </w:style>
  <w:style w:type="paragraph" w:customStyle="1" w:styleId="2197">
    <w:name w:val="xl21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2198">
    <w:name w:val="xl255"/>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sz w:val="20"/>
      <w:szCs w:val="20"/>
    </w:rPr>
  </w:style>
  <w:style w:type="paragraph" w:customStyle="1" w:styleId="2199">
    <w:name w:val="样式30"/>
    <w:basedOn w:val="1"/>
    <w:qFormat/>
    <w:uiPriority w:val="0"/>
    <w:pPr>
      <w:widowControl w:val="0"/>
      <w:adjustRightInd w:val="0"/>
      <w:snapToGrid w:val="0"/>
      <w:spacing w:line="480" w:lineRule="exact"/>
      <w:ind w:firstLine="560" w:firstLineChars="200"/>
      <w:jc w:val="center"/>
    </w:pPr>
    <w:rPr>
      <w:rFonts w:ascii="Times New Roman" w:hAnsi="Times New Roman" w:cs="Times New Roman"/>
      <w:snapToGrid w:val="0"/>
      <w:sz w:val="28"/>
    </w:rPr>
  </w:style>
  <w:style w:type="paragraph" w:customStyle="1" w:styleId="2200">
    <w:name w:val="普通(网站)2"/>
    <w:basedOn w:val="1"/>
    <w:qFormat/>
    <w:uiPriority w:val="0"/>
    <w:pPr>
      <w:spacing w:before="100" w:beforeAutospacing="1" w:after="100" w:afterAutospacing="1"/>
    </w:pPr>
  </w:style>
  <w:style w:type="paragraph" w:customStyle="1" w:styleId="2201">
    <w:name w:val="p16"/>
    <w:basedOn w:val="1"/>
    <w:qFormat/>
    <w:uiPriority w:val="0"/>
    <w:pPr>
      <w:spacing w:before="100" w:beforeAutospacing="1" w:after="100" w:afterAutospacing="1"/>
    </w:pPr>
  </w:style>
  <w:style w:type="paragraph" w:customStyle="1" w:styleId="2202">
    <w:name w:val="xl304"/>
    <w:basedOn w:val="1"/>
    <w:qFormat/>
    <w:uiPriority w:val="0"/>
    <w:pPr>
      <w:pBdr>
        <w:top w:val="single" w:color="auto" w:sz="4" w:space="0"/>
        <w:lef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203">
    <w:name w:val="Char Char2 Char Char Char1 Char Char Char Char Char Char Char"/>
    <w:basedOn w:val="1"/>
    <w:qFormat/>
    <w:uiPriority w:val="0"/>
    <w:pPr>
      <w:widowControl w:val="0"/>
      <w:jc w:val="both"/>
    </w:pPr>
    <w:rPr>
      <w:rFonts w:ascii="Times New Roman" w:hAnsi="Times New Roman" w:cs="Times New Roman"/>
      <w:kern w:val="2"/>
      <w:sz w:val="21"/>
    </w:rPr>
  </w:style>
  <w:style w:type="paragraph" w:customStyle="1" w:styleId="2204">
    <w:name w:val="批注主题2"/>
    <w:basedOn w:val="27"/>
    <w:next w:val="27"/>
    <w:qFormat/>
    <w:uiPriority w:val="0"/>
    <w:pPr>
      <w:widowControl w:val="0"/>
      <w:adjustRightInd w:val="0"/>
      <w:snapToGrid w:val="0"/>
      <w:spacing w:line="480" w:lineRule="exact"/>
    </w:pPr>
    <w:rPr>
      <w:rFonts w:ascii="Times New Roman" w:hAnsi="Times New Roman"/>
      <w:b/>
      <w:bCs/>
      <w:kern w:val="2"/>
      <w:szCs w:val="24"/>
    </w:rPr>
  </w:style>
  <w:style w:type="paragraph" w:customStyle="1" w:styleId="2205">
    <w:name w:val="正文缩进5"/>
    <w:basedOn w:val="1"/>
    <w:qFormat/>
    <w:uiPriority w:val="0"/>
    <w:pPr>
      <w:spacing w:line="360" w:lineRule="exact"/>
      <w:ind w:firstLine="510"/>
    </w:pPr>
    <w:rPr>
      <w:szCs w:val="20"/>
    </w:rPr>
  </w:style>
  <w:style w:type="paragraph" w:customStyle="1" w:styleId="2206">
    <w:name w:val="样式41"/>
    <w:basedOn w:val="104"/>
    <w:qFormat/>
    <w:uiPriority w:val="0"/>
    <w:pPr>
      <w:adjustRightInd w:val="0"/>
      <w:spacing w:line="300" w:lineRule="exact"/>
      <w:ind w:left="-140" w:leftChars="-50" w:right="-140" w:rightChars="-50" w:firstLine="0"/>
    </w:pPr>
    <w:rPr>
      <w:rFonts w:hint="default" w:ascii="Times New Roman" w:hAnsi="Times New Roman" w:eastAsia="宋体"/>
      <w:color w:val="000000"/>
      <w:kern w:val="0"/>
      <w:szCs w:val="28"/>
    </w:rPr>
  </w:style>
  <w:style w:type="paragraph" w:customStyle="1" w:styleId="2207">
    <w:name w:val="xl1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208">
    <w:name w:val="正文－表格两端对齐"/>
    <w:basedOn w:val="1"/>
    <w:qFormat/>
    <w:uiPriority w:val="0"/>
    <w:pPr>
      <w:widowControl w:val="0"/>
      <w:adjustRightInd w:val="0"/>
      <w:snapToGrid w:val="0"/>
      <w:jc w:val="both"/>
    </w:pPr>
    <w:rPr>
      <w:rFonts w:ascii="Times New Roman" w:hAnsi="Times New Roman" w:cs="Times New Roman"/>
      <w:kern w:val="2"/>
      <w:sz w:val="21"/>
    </w:rPr>
  </w:style>
  <w:style w:type="paragraph" w:customStyle="1" w:styleId="2209">
    <w:name w:val="引文目录1"/>
    <w:basedOn w:val="1"/>
    <w:next w:val="1"/>
    <w:qFormat/>
    <w:uiPriority w:val="0"/>
    <w:pPr>
      <w:widowControl w:val="0"/>
      <w:spacing w:line="480" w:lineRule="exact"/>
      <w:ind w:left="420" w:leftChars="200"/>
      <w:jc w:val="both"/>
    </w:pPr>
    <w:rPr>
      <w:rFonts w:ascii="Times New Roman" w:hAnsi="Times New Roman" w:cs="Times New Roman"/>
      <w:kern w:val="2"/>
    </w:rPr>
  </w:style>
  <w:style w:type="paragraph" w:customStyle="1" w:styleId="2210">
    <w:name w:val="0L表"/>
    <w:basedOn w:val="1"/>
    <w:qFormat/>
    <w:uiPriority w:val="0"/>
    <w:pPr>
      <w:widowControl w:val="0"/>
      <w:adjustRightInd w:val="0"/>
      <w:spacing w:line="360" w:lineRule="auto"/>
      <w:jc w:val="center"/>
      <w:textAlignment w:val="baseline"/>
    </w:pPr>
    <w:rPr>
      <w:rFonts w:cs="Times New Roman"/>
    </w:rPr>
  </w:style>
  <w:style w:type="paragraph" w:customStyle="1" w:styleId="2211">
    <w:name w:val="正文（首行缩进两字）"/>
    <w:basedOn w:val="1"/>
    <w:qFormat/>
    <w:uiPriority w:val="0"/>
    <w:pPr>
      <w:widowControl w:val="0"/>
      <w:adjustRightInd w:val="0"/>
      <w:snapToGrid w:val="0"/>
      <w:spacing w:line="480" w:lineRule="atLeast"/>
      <w:ind w:firstLine="420"/>
      <w:jc w:val="both"/>
    </w:pPr>
    <w:rPr>
      <w:rFonts w:ascii="Times New Roman" w:hAnsi="Times New Roman" w:cs="Times New Roman"/>
      <w:kern w:val="2"/>
      <w:sz w:val="28"/>
      <w:szCs w:val="20"/>
    </w:rPr>
  </w:style>
  <w:style w:type="paragraph" w:customStyle="1" w:styleId="2212">
    <w:name w:val="1"/>
    <w:basedOn w:val="1"/>
    <w:next w:val="73"/>
    <w:qFormat/>
    <w:uiPriority w:val="0"/>
    <w:pPr>
      <w:spacing w:before="100" w:beforeAutospacing="1" w:after="100" w:afterAutospacing="1"/>
    </w:pPr>
    <w:rPr>
      <w:rFonts w:cs="Times New Roman"/>
    </w:rPr>
  </w:style>
  <w:style w:type="paragraph" w:customStyle="1" w:styleId="2213">
    <w:name w:val="xl1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214">
    <w:name w:val="签署页"/>
    <w:basedOn w:val="2155"/>
    <w:qFormat/>
    <w:uiPriority w:val="0"/>
    <w:pPr>
      <w:spacing w:line="900" w:lineRule="exact"/>
      <w:ind w:left="500" w:leftChars="500"/>
      <w:jc w:val="left"/>
    </w:pPr>
    <w:rPr>
      <w:rFonts w:eastAsia="黑体" w:cs="Times New Roman"/>
      <w:sz w:val="32"/>
    </w:rPr>
  </w:style>
  <w:style w:type="paragraph" w:customStyle="1" w:styleId="2215">
    <w:name w:val="寄信人地址11"/>
    <w:basedOn w:val="1"/>
    <w:qFormat/>
    <w:uiPriority w:val="0"/>
    <w:pPr>
      <w:widowControl w:val="0"/>
      <w:snapToGrid w:val="0"/>
      <w:jc w:val="both"/>
    </w:pPr>
    <w:rPr>
      <w:rFonts w:ascii="Arial" w:hAnsi="Arial" w:cs="Arial"/>
      <w:kern w:val="2"/>
      <w:sz w:val="21"/>
      <w:szCs w:val="20"/>
    </w:rPr>
  </w:style>
  <w:style w:type="paragraph" w:customStyle="1" w:styleId="2216">
    <w:name w:val="xl1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000000"/>
      <w:sz w:val="20"/>
      <w:szCs w:val="20"/>
    </w:rPr>
  </w:style>
  <w:style w:type="paragraph" w:customStyle="1" w:styleId="2217">
    <w:name w:val="样式82"/>
    <w:basedOn w:val="2218"/>
    <w:qFormat/>
    <w:uiPriority w:val="0"/>
    <w:pPr>
      <w:keepNext w:val="0"/>
      <w:keepLines w:val="0"/>
      <w:widowControl/>
      <w:spacing w:line="480" w:lineRule="exact"/>
      <w:ind w:firstLine="450" w:firstLineChars="150"/>
    </w:pPr>
    <w:rPr>
      <w:rFonts w:hAnsi="宋体"/>
      <w:color w:val="000000"/>
      <w:sz w:val="28"/>
      <w:szCs w:val="28"/>
    </w:rPr>
  </w:style>
  <w:style w:type="paragraph" w:customStyle="1" w:styleId="2218">
    <w:name w:val="标题3+"/>
    <w:basedOn w:val="7"/>
    <w:qFormat/>
    <w:uiPriority w:val="0"/>
    <w:pPr>
      <w:widowControl w:val="0"/>
      <w:adjustRightInd w:val="0"/>
      <w:snapToGrid w:val="0"/>
      <w:spacing w:before="120" w:after="120" w:line="600" w:lineRule="exact"/>
      <w:jc w:val="both"/>
    </w:pPr>
    <w:rPr>
      <w:bCs w:val="0"/>
      <w:snapToGrid w:val="0"/>
      <w:sz w:val="30"/>
    </w:rPr>
  </w:style>
  <w:style w:type="paragraph" w:customStyle="1" w:styleId="2219">
    <w:name w:val="引文目录标题1"/>
    <w:basedOn w:val="1"/>
    <w:next w:val="1"/>
    <w:qFormat/>
    <w:uiPriority w:val="0"/>
    <w:pPr>
      <w:widowControl w:val="0"/>
      <w:spacing w:before="120" w:line="480" w:lineRule="exact"/>
      <w:jc w:val="both"/>
    </w:pPr>
    <w:rPr>
      <w:rFonts w:ascii="Arial" w:hAnsi="Arial" w:cs="Arial"/>
      <w:kern w:val="2"/>
    </w:rPr>
  </w:style>
  <w:style w:type="paragraph" w:customStyle="1" w:styleId="2220">
    <w:name w:val="xl158"/>
    <w:basedOn w:val="1"/>
    <w:qFormat/>
    <w:uiPriority w:val="0"/>
    <w:pPr>
      <w:spacing w:before="100" w:beforeAutospacing="1" w:after="100" w:afterAutospacing="1"/>
    </w:pPr>
    <w:rPr>
      <w:color w:val="000000"/>
      <w:sz w:val="20"/>
      <w:szCs w:val="20"/>
    </w:rPr>
  </w:style>
  <w:style w:type="paragraph" w:customStyle="1" w:styleId="2221">
    <w:name w:val="样式57"/>
    <w:basedOn w:val="2222"/>
    <w:qFormat/>
    <w:uiPriority w:val="0"/>
    <w:pPr>
      <w:spacing w:line="500" w:lineRule="exact"/>
      <w:ind w:firstLine="560"/>
    </w:pPr>
    <w:rPr>
      <w:b w:val="0"/>
    </w:rPr>
  </w:style>
  <w:style w:type="paragraph" w:customStyle="1" w:styleId="2222">
    <w:name w:val="样式55"/>
    <w:basedOn w:val="6"/>
    <w:qFormat/>
    <w:uiPriority w:val="0"/>
    <w:pPr>
      <w:widowControl w:val="0"/>
      <w:spacing w:line="360" w:lineRule="auto"/>
      <w:ind w:firstLine="562" w:firstLineChars="200"/>
      <w:jc w:val="both"/>
    </w:pPr>
    <w:rPr>
      <w:rFonts w:ascii="宋体" w:hAnsi="宋体"/>
      <w:b/>
      <w:kern w:val="2"/>
      <w:szCs w:val="28"/>
    </w:rPr>
  </w:style>
  <w:style w:type="paragraph" w:customStyle="1" w:styleId="2223">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Courier New"/>
      <w:kern w:val="2"/>
      <w:sz w:val="24"/>
      <w:szCs w:val="24"/>
      <w:lang w:val="en-US" w:eastAsia="zh-CN" w:bidi="ar-SA"/>
    </w:rPr>
  </w:style>
  <w:style w:type="paragraph" w:customStyle="1" w:styleId="2224">
    <w:name w:val="正文6"/>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225">
    <w:name w:val="xl260"/>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226">
    <w:name w:val="Char Char1 Char Char Char Char Char Char Char Char Char Char Char Char Char Char Char Char Char Char"/>
    <w:basedOn w:val="1"/>
    <w:qFormat/>
    <w:uiPriority w:val="0"/>
    <w:pPr>
      <w:widowControl w:val="0"/>
      <w:adjustRightInd w:val="0"/>
      <w:spacing w:line="360" w:lineRule="auto"/>
      <w:jc w:val="both"/>
      <w:textAlignment w:val="baseline"/>
    </w:pPr>
    <w:rPr>
      <w:rFonts w:ascii="Times New Roman" w:hAnsi="Times New Roman" w:cs="Times New Roman"/>
    </w:rPr>
  </w:style>
  <w:style w:type="paragraph" w:customStyle="1" w:styleId="2227">
    <w:name w:val="项目号"/>
    <w:basedOn w:val="1"/>
    <w:qFormat/>
    <w:uiPriority w:val="0"/>
    <w:pPr>
      <w:widowControl w:val="0"/>
      <w:spacing w:afterLines="50" w:line="480" w:lineRule="exact"/>
      <w:ind w:firstLine="560" w:firstLineChars="200"/>
      <w:jc w:val="both"/>
    </w:pPr>
    <w:rPr>
      <w:rFonts w:cs="Times New Roman"/>
      <w:sz w:val="28"/>
      <w:szCs w:val="28"/>
    </w:rPr>
  </w:style>
  <w:style w:type="paragraph" w:customStyle="1" w:styleId="2228">
    <w:name w:val="样式80"/>
    <w:basedOn w:val="1178"/>
    <w:qFormat/>
    <w:uiPriority w:val="0"/>
    <w:pPr>
      <w:adjustRightInd w:val="0"/>
      <w:spacing w:line="480" w:lineRule="exact"/>
      <w:ind w:firstLine="420"/>
      <w:jc w:val="center"/>
      <w:textAlignment w:val="baseline"/>
    </w:pPr>
    <w:rPr>
      <w:rFonts w:ascii="Times New Roman" w:hAnsi="Times New Roman" w:eastAsia="宋体" w:cs="Times New Roman"/>
      <w:snapToGrid w:val="0"/>
      <w:color w:val="000000"/>
      <w:kern w:val="0"/>
      <w:sz w:val="21"/>
      <w:szCs w:val="21"/>
    </w:rPr>
  </w:style>
  <w:style w:type="paragraph" w:customStyle="1" w:styleId="2229">
    <w:name w:val="样式 非加粗 行距: 固定值 22 磅"/>
    <w:basedOn w:val="1"/>
    <w:qFormat/>
    <w:uiPriority w:val="0"/>
    <w:pPr>
      <w:widowControl w:val="0"/>
      <w:spacing w:line="360" w:lineRule="auto"/>
      <w:ind w:firstLine="544" w:firstLineChars="200"/>
      <w:jc w:val="both"/>
    </w:pPr>
    <w:rPr>
      <w:rFonts w:cs="Times New Roman"/>
      <w:color w:val="000000"/>
      <w:spacing w:val="-4"/>
      <w:kern w:val="2"/>
      <w:sz w:val="28"/>
      <w:szCs w:val="28"/>
    </w:rPr>
  </w:style>
  <w:style w:type="paragraph" w:customStyle="1" w:styleId="2230">
    <w:name w:val="参考文献、索引标题"/>
    <w:basedOn w:val="1"/>
    <w:next w:val="1"/>
    <w:qFormat/>
    <w:uiPriority w:val="0"/>
    <w:pPr>
      <w:shd w:val="clear" w:color="FFFFFF" w:fill="FFFFFF"/>
      <w:spacing w:before="640" w:after="200"/>
      <w:jc w:val="center"/>
      <w:outlineLvl w:val="0"/>
    </w:pPr>
    <w:rPr>
      <w:rFonts w:ascii="黑体" w:hAnsi="Times New Roman" w:eastAsia="黑体" w:cs="Times New Roman"/>
      <w:sz w:val="21"/>
      <w:szCs w:val="20"/>
    </w:rPr>
  </w:style>
  <w:style w:type="paragraph" w:customStyle="1" w:styleId="2231">
    <w:name w:val="Char1 Char Char Char3"/>
    <w:basedOn w:val="1"/>
    <w:qFormat/>
    <w:uiPriority w:val="0"/>
    <w:pPr>
      <w:widowControl w:val="0"/>
      <w:jc w:val="both"/>
    </w:pPr>
    <w:rPr>
      <w:rFonts w:ascii="Times New Roman" w:hAnsi="Times New Roman" w:cs="Times New Roman"/>
      <w:kern w:val="2"/>
      <w:sz w:val="21"/>
    </w:rPr>
  </w:style>
  <w:style w:type="paragraph" w:customStyle="1" w:styleId="2232">
    <w:name w:val="xl311"/>
    <w:basedOn w:val="1"/>
    <w:qFormat/>
    <w:uiPriority w:val="0"/>
    <w:pPr>
      <w:pBdr>
        <w:bottom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233">
    <w:name w:val="样式 样式 (符号) 宋体 右 + 首行缩进:  2 字符"/>
    <w:basedOn w:val="2196"/>
    <w:qFormat/>
    <w:uiPriority w:val="0"/>
    <w:pPr>
      <w:ind w:firstLine="560"/>
      <w:jc w:val="both"/>
    </w:pPr>
  </w:style>
  <w:style w:type="paragraph" w:customStyle="1" w:styleId="2234">
    <w:name w:val="样式81"/>
    <w:basedOn w:val="1178"/>
    <w:qFormat/>
    <w:uiPriority w:val="0"/>
    <w:pPr>
      <w:adjustRightInd w:val="0"/>
      <w:spacing w:line="480" w:lineRule="exact"/>
      <w:ind w:firstLine="560"/>
      <w:textAlignment w:val="baseline"/>
    </w:pPr>
    <w:rPr>
      <w:rFonts w:ascii="Times New Roman" w:hAnsi="Times New Roman" w:eastAsia="宋体" w:cs="Times New Roman"/>
      <w:snapToGrid w:val="0"/>
      <w:color w:val="000000"/>
      <w:kern w:val="0"/>
      <w:sz w:val="28"/>
    </w:rPr>
  </w:style>
  <w:style w:type="paragraph" w:customStyle="1" w:styleId="2235">
    <w:name w:val="_Style 77"/>
    <w:basedOn w:val="1"/>
    <w:qFormat/>
    <w:uiPriority w:val="0"/>
    <w:pPr>
      <w:widowControl w:val="0"/>
      <w:jc w:val="both"/>
    </w:pPr>
    <w:rPr>
      <w:rFonts w:ascii="Times New Roman" w:hAnsi="Times New Roman" w:cs="Times New Roman"/>
      <w:kern w:val="2"/>
      <w:sz w:val="21"/>
    </w:rPr>
  </w:style>
  <w:style w:type="paragraph" w:customStyle="1" w:styleId="2236">
    <w:name w:val="索引 51"/>
    <w:basedOn w:val="1"/>
    <w:next w:val="1"/>
    <w:qFormat/>
    <w:uiPriority w:val="0"/>
    <w:pPr>
      <w:widowControl w:val="0"/>
      <w:spacing w:line="480" w:lineRule="exact"/>
      <w:ind w:left="800" w:leftChars="800"/>
      <w:jc w:val="both"/>
    </w:pPr>
    <w:rPr>
      <w:rFonts w:ascii="Times New Roman" w:hAnsi="Times New Roman" w:cs="Times New Roman"/>
      <w:kern w:val="2"/>
    </w:rPr>
  </w:style>
  <w:style w:type="paragraph" w:customStyle="1" w:styleId="2237">
    <w:name w:val="索引 21"/>
    <w:basedOn w:val="1"/>
    <w:next w:val="1"/>
    <w:qFormat/>
    <w:uiPriority w:val="0"/>
    <w:pPr>
      <w:widowControl w:val="0"/>
      <w:spacing w:line="480" w:lineRule="exact"/>
      <w:ind w:left="200" w:leftChars="200"/>
      <w:jc w:val="both"/>
    </w:pPr>
    <w:rPr>
      <w:rFonts w:ascii="Times New Roman" w:hAnsi="Times New Roman" w:cs="Times New Roman"/>
      <w:kern w:val="2"/>
    </w:rPr>
  </w:style>
  <w:style w:type="paragraph" w:customStyle="1" w:styleId="2238">
    <w:name w:val="xl258"/>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239">
    <w:name w:val="表格内的文字"/>
    <w:basedOn w:val="1178"/>
    <w:qFormat/>
    <w:uiPriority w:val="0"/>
    <w:pPr>
      <w:adjustRightInd w:val="0"/>
      <w:spacing w:line="360" w:lineRule="exact"/>
      <w:ind w:firstLine="0" w:firstLineChars="0"/>
      <w:jc w:val="center"/>
      <w:textAlignment w:val="baseline"/>
    </w:pPr>
    <w:rPr>
      <w:rFonts w:ascii="Times New Roman" w:hAnsi="Times New Roman" w:eastAsia="宋体" w:cs="Times New Roman"/>
      <w:kern w:val="0"/>
      <w:sz w:val="21"/>
      <w:szCs w:val="21"/>
    </w:rPr>
  </w:style>
  <w:style w:type="paragraph" w:customStyle="1" w:styleId="2240">
    <w:name w:val="样式 标题 2 + (符号) 宋体 四号 两端对齐 段前: 10 磅 段后: 10 磅"/>
    <w:basedOn w:val="5"/>
    <w:qFormat/>
    <w:uiPriority w:val="0"/>
    <w:pPr>
      <w:keepLines w:val="0"/>
      <w:widowControl w:val="0"/>
      <w:adjustRightInd w:val="0"/>
      <w:snapToGrid w:val="0"/>
      <w:spacing w:before="200" w:after="200" w:line="600" w:lineRule="exact"/>
      <w:jc w:val="both"/>
    </w:pPr>
    <w:rPr>
      <w:rFonts w:ascii="Times New Roman" w:hAnsi="宋体" w:cs="宋体"/>
      <w:b/>
      <w:kern w:val="2"/>
      <w:sz w:val="30"/>
      <w:szCs w:val="20"/>
    </w:rPr>
  </w:style>
  <w:style w:type="paragraph" w:customStyle="1" w:styleId="2241">
    <w:name w:val="xl2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242">
    <w:name w:val="reader-word-layer reader-word-s4-3"/>
    <w:basedOn w:val="1"/>
    <w:qFormat/>
    <w:uiPriority w:val="0"/>
    <w:pPr>
      <w:spacing w:before="100" w:beforeAutospacing="1" w:after="100" w:afterAutospacing="1"/>
    </w:pPr>
  </w:style>
  <w:style w:type="paragraph" w:customStyle="1" w:styleId="2243">
    <w:name w:val="xl1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2244">
    <w:name w:val="文档结构图2"/>
    <w:basedOn w:val="1"/>
    <w:qFormat/>
    <w:uiPriority w:val="0"/>
    <w:pPr>
      <w:widowControl w:val="0"/>
      <w:jc w:val="both"/>
    </w:pPr>
    <w:rPr>
      <w:rFonts w:hAnsi="Times New Roman" w:cs="Times New Roman"/>
      <w:kern w:val="2"/>
      <w:sz w:val="18"/>
      <w:szCs w:val="18"/>
    </w:rPr>
  </w:style>
  <w:style w:type="paragraph" w:customStyle="1" w:styleId="2245">
    <w:name w:val="xl2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2246">
    <w:name w:val="xl291"/>
    <w:basedOn w:val="1"/>
    <w:qFormat/>
    <w:uiPriority w:val="0"/>
    <w:pPr>
      <w:pBdr>
        <w:top w:val="single" w:color="auto" w:sz="4" w:space="0"/>
        <w:left w:val="single" w:color="auto" w:sz="4" w:space="0"/>
        <w:right w:val="single" w:color="auto" w:sz="4" w:space="0"/>
      </w:pBdr>
      <w:shd w:val="clear" w:color="auto" w:fill="FF8080"/>
      <w:spacing w:before="100" w:beforeAutospacing="1" w:after="100" w:afterAutospacing="1"/>
      <w:jc w:val="center"/>
    </w:pPr>
    <w:rPr>
      <w:rFonts w:ascii="方正综艺简体" w:eastAsia="方正综艺简体"/>
      <w:color w:val="000000"/>
      <w:sz w:val="20"/>
      <w:szCs w:val="20"/>
    </w:rPr>
  </w:style>
  <w:style w:type="paragraph" w:customStyle="1" w:styleId="2247">
    <w:name w:val="xl2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2248">
    <w:name w:val="xl284"/>
    <w:basedOn w:val="1"/>
    <w:qFormat/>
    <w:uiPriority w:val="0"/>
    <w:pPr>
      <w:pBdr>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249">
    <w:name w:val="目录目次"/>
    <w:basedOn w:val="2214"/>
    <w:qFormat/>
    <w:uiPriority w:val="0"/>
    <w:pPr>
      <w:spacing w:beforeLines="100" w:afterLines="100" w:line="480" w:lineRule="exact"/>
      <w:ind w:left="0" w:leftChars="0"/>
      <w:jc w:val="center"/>
    </w:pPr>
  </w:style>
  <w:style w:type="paragraph" w:customStyle="1" w:styleId="2250">
    <w:name w:val="时间"/>
    <w:qFormat/>
    <w:uiPriority w:val="0"/>
    <w:pPr>
      <w:spacing w:before="240" w:line="480" w:lineRule="exact"/>
      <w:jc w:val="center"/>
    </w:pPr>
    <w:rPr>
      <w:rFonts w:ascii="Times New Roman" w:hAnsi="Times New Roman" w:eastAsia="楷体_GB2312" w:cs="Arial"/>
      <w:bCs/>
      <w:kern w:val="2"/>
      <w:sz w:val="36"/>
      <w:szCs w:val="36"/>
      <w:lang w:val="en-US" w:eastAsia="zh-CN" w:bidi="ar-SA"/>
    </w:rPr>
  </w:style>
  <w:style w:type="paragraph" w:customStyle="1" w:styleId="2251">
    <w:name w:val="样式29"/>
    <w:basedOn w:val="1"/>
    <w:qFormat/>
    <w:uiPriority w:val="0"/>
    <w:pPr>
      <w:widowControl w:val="0"/>
      <w:adjustRightInd w:val="0"/>
      <w:snapToGrid w:val="0"/>
      <w:spacing w:line="480" w:lineRule="exact"/>
      <w:ind w:firstLine="560" w:firstLineChars="200"/>
      <w:jc w:val="center"/>
    </w:pPr>
    <w:rPr>
      <w:rFonts w:ascii="Times New Roman" w:hAnsi="Times New Roman" w:cs="Times New Roman"/>
      <w:snapToGrid w:val="0"/>
      <w:sz w:val="28"/>
      <w:szCs w:val="28"/>
    </w:rPr>
  </w:style>
  <w:style w:type="paragraph" w:customStyle="1" w:styleId="2252">
    <w:name w:val="xl2130"/>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style>
  <w:style w:type="paragraph" w:customStyle="1" w:styleId="2253">
    <w:name w:val="正文文本 24"/>
    <w:basedOn w:val="1"/>
    <w:qFormat/>
    <w:uiPriority w:val="0"/>
    <w:pPr>
      <w:widowControl w:val="0"/>
      <w:adjustRightInd w:val="0"/>
      <w:jc w:val="center"/>
      <w:textAlignment w:val="baseline"/>
    </w:pPr>
    <w:rPr>
      <w:rFonts w:ascii="Arial" w:hAnsi="Arial" w:eastAsia="Arial" w:cs="Times New Roman"/>
      <w:kern w:val="2"/>
      <w:sz w:val="21"/>
      <w:szCs w:val="20"/>
    </w:rPr>
  </w:style>
  <w:style w:type="paragraph" w:customStyle="1" w:styleId="2254">
    <w:name w:val="正文－首行缩进2字符"/>
    <w:basedOn w:val="1"/>
    <w:qFormat/>
    <w:uiPriority w:val="0"/>
    <w:pPr>
      <w:widowControl w:val="0"/>
      <w:adjustRightInd w:val="0"/>
      <w:snapToGrid w:val="0"/>
      <w:spacing w:line="480" w:lineRule="exact"/>
      <w:ind w:firstLine="560" w:firstLineChars="200"/>
      <w:jc w:val="both"/>
    </w:pPr>
    <w:rPr>
      <w:rFonts w:ascii="Times New Roman" w:hAnsi="Times New Roman" w:cs="Times New Roman"/>
      <w:kern w:val="2"/>
    </w:rPr>
  </w:style>
  <w:style w:type="paragraph" w:customStyle="1" w:styleId="2255">
    <w:name w:val="签署及档案号"/>
    <w:basedOn w:val="1"/>
    <w:next w:val="1"/>
    <w:qFormat/>
    <w:uiPriority w:val="0"/>
    <w:pPr>
      <w:widowControl w:val="0"/>
      <w:adjustRightInd w:val="0"/>
      <w:snapToGrid w:val="0"/>
      <w:spacing w:line="480" w:lineRule="exact"/>
      <w:jc w:val="center"/>
    </w:pPr>
    <w:rPr>
      <w:rFonts w:ascii="Times New Roman" w:hAnsi="Times New Roman" w:cs="Times New Roman"/>
      <w:sz w:val="21"/>
      <w:szCs w:val="21"/>
    </w:rPr>
  </w:style>
  <w:style w:type="paragraph" w:customStyle="1" w:styleId="2256">
    <w:name w:val="xl2140"/>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b/>
      <w:bCs/>
    </w:rPr>
  </w:style>
  <w:style w:type="paragraph" w:customStyle="1" w:styleId="2257">
    <w:name w:val="Char Char Char Char Char Char Char Char2"/>
    <w:basedOn w:val="1"/>
    <w:qFormat/>
    <w:uiPriority w:val="0"/>
    <w:pPr>
      <w:spacing w:after="160" w:line="240" w:lineRule="exact"/>
    </w:pPr>
    <w:rPr>
      <w:rFonts w:ascii="Verdana" w:hAnsi="Verdana" w:cs="Times New Roman"/>
      <w:sz w:val="20"/>
      <w:szCs w:val="20"/>
      <w:lang w:eastAsia="en-US"/>
    </w:rPr>
  </w:style>
  <w:style w:type="paragraph" w:customStyle="1" w:styleId="2258">
    <w:name w:val="文本块1"/>
    <w:basedOn w:val="1"/>
    <w:qFormat/>
    <w:uiPriority w:val="0"/>
    <w:pPr>
      <w:widowControl w:val="0"/>
      <w:ind w:left="144" w:right="90" w:firstLine="645"/>
      <w:jc w:val="both"/>
    </w:pPr>
    <w:rPr>
      <w:rFonts w:ascii="Times New Roman" w:hAnsi="Times New Roman" w:eastAsia="楷体_GB2312" w:cs="Times New Roman"/>
      <w:kern w:val="2"/>
      <w:szCs w:val="20"/>
    </w:rPr>
  </w:style>
  <w:style w:type="paragraph" w:customStyle="1" w:styleId="2259">
    <w:name w:val="xl309"/>
    <w:basedOn w:val="1"/>
    <w:qFormat/>
    <w:uiPriority w:val="0"/>
    <w:pPr>
      <w:pBdr>
        <w:left w:val="single" w:color="auto" w:sz="4" w:space="0"/>
        <w:bottom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260">
    <w:name w:val="样式26"/>
    <w:basedOn w:val="1"/>
    <w:qFormat/>
    <w:uiPriority w:val="0"/>
    <w:pPr>
      <w:widowControl w:val="0"/>
      <w:adjustRightInd w:val="0"/>
      <w:snapToGrid w:val="0"/>
      <w:spacing w:line="480" w:lineRule="exact"/>
      <w:ind w:firstLine="700" w:firstLineChars="250"/>
      <w:jc w:val="both"/>
    </w:pPr>
    <w:rPr>
      <w:rFonts w:ascii="Times New Roman" w:hAnsi="Times New Roman" w:cs="Times New Roman"/>
      <w:snapToGrid w:val="0"/>
      <w:sz w:val="28"/>
      <w:szCs w:val="28"/>
    </w:rPr>
  </w:style>
  <w:style w:type="paragraph" w:customStyle="1" w:styleId="2261">
    <w:name w:val="样式78"/>
    <w:basedOn w:val="1"/>
    <w:qFormat/>
    <w:uiPriority w:val="0"/>
    <w:pPr>
      <w:widowControl w:val="0"/>
      <w:adjustRightInd w:val="0"/>
      <w:snapToGrid w:val="0"/>
      <w:spacing w:line="500" w:lineRule="exact"/>
      <w:ind w:firstLine="480" w:firstLineChars="200"/>
      <w:jc w:val="both"/>
    </w:pPr>
    <w:rPr>
      <w:rFonts w:ascii="Times New Roman" w:hAnsi="Times New Roman" w:cs="Times New Roman"/>
      <w:snapToGrid w:val="0"/>
    </w:rPr>
  </w:style>
  <w:style w:type="paragraph" w:customStyle="1" w:styleId="2262">
    <w:name w:val="列表 21"/>
    <w:basedOn w:val="1"/>
    <w:qFormat/>
    <w:uiPriority w:val="0"/>
    <w:pPr>
      <w:widowControl w:val="0"/>
      <w:spacing w:line="480" w:lineRule="exact"/>
      <w:ind w:left="840" w:hanging="420"/>
      <w:jc w:val="both"/>
    </w:pPr>
    <w:rPr>
      <w:rFonts w:ascii="Times New Roman" w:hAnsi="Times New Roman" w:cs="Times New Roman"/>
      <w:kern w:val="2"/>
      <w:szCs w:val="20"/>
    </w:rPr>
  </w:style>
  <w:style w:type="paragraph" w:customStyle="1" w:styleId="2263">
    <w:name w:val="lxb正文 Char Char Char"/>
    <w:basedOn w:val="1"/>
    <w:next w:val="46"/>
    <w:qFormat/>
    <w:uiPriority w:val="0"/>
    <w:pPr>
      <w:widowControl w:val="0"/>
      <w:spacing w:line="360" w:lineRule="auto"/>
      <w:ind w:firstLine="480" w:firstLineChars="200"/>
      <w:jc w:val="both"/>
    </w:pPr>
    <w:rPr>
      <w:rFonts w:ascii="Times New Roman" w:hAnsi="Times New Roman" w:cs="Times New Roman"/>
    </w:rPr>
  </w:style>
  <w:style w:type="paragraph" w:customStyle="1" w:styleId="2264">
    <w:name w:val="样式54"/>
    <w:basedOn w:val="1"/>
    <w:qFormat/>
    <w:uiPriority w:val="0"/>
    <w:pPr>
      <w:widowControl w:val="0"/>
      <w:adjustRightInd w:val="0"/>
      <w:snapToGrid w:val="0"/>
      <w:spacing w:line="480" w:lineRule="exact"/>
      <w:ind w:firstLine="538" w:firstLineChars="192"/>
      <w:jc w:val="both"/>
    </w:pPr>
    <w:rPr>
      <w:rFonts w:ascii="Times New Roman" w:hAnsi="Times New Roman" w:cs="Times New Roman"/>
      <w:snapToGrid w:val="0"/>
      <w:sz w:val="28"/>
    </w:rPr>
  </w:style>
  <w:style w:type="paragraph" w:customStyle="1" w:styleId="2265">
    <w:name w:val="索引 41"/>
    <w:basedOn w:val="1"/>
    <w:next w:val="1"/>
    <w:qFormat/>
    <w:uiPriority w:val="0"/>
    <w:pPr>
      <w:widowControl w:val="0"/>
      <w:spacing w:line="480" w:lineRule="exact"/>
      <w:ind w:left="600" w:leftChars="600"/>
      <w:jc w:val="both"/>
    </w:pPr>
    <w:rPr>
      <w:rFonts w:ascii="Times New Roman" w:hAnsi="Times New Roman" w:cs="Times New Roman"/>
      <w:kern w:val="2"/>
    </w:rPr>
  </w:style>
  <w:style w:type="paragraph" w:customStyle="1" w:styleId="2266">
    <w:name w:val="Знак Знак1"/>
    <w:basedOn w:val="1"/>
    <w:qFormat/>
    <w:uiPriority w:val="0"/>
    <w:pPr>
      <w:widowControl w:val="0"/>
      <w:jc w:val="both"/>
    </w:pPr>
    <w:rPr>
      <w:rFonts w:ascii="Times New Roman" w:hAnsi="Times New Roman" w:cs="Times New Roman"/>
      <w:kern w:val="2"/>
      <w:sz w:val="21"/>
    </w:rPr>
  </w:style>
  <w:style w:type="paragraph" w:customStyle="1" w:styleId="2267">
    <w:name w:val="表中正文"/>
    <w:basedOn w:val="1"/>
    <w:qFormat/>
    <w:uiPriority w:val="0"/>
    <w:pPr>
      <w:widowControl w:val="0"/>
      <w:spacing w:before="60" w:after="60" w:line="240" w:lineRule="exact"/>
      <w:jc w:val="center"/>
    </w:pPr>
    <w:rPr>
      <w:rFonts w:cs="Times New Roman"/>
      <w:spacing w:val="-8"/>
      <w:kern w:val="2"/>
      <w:sz w:val="21"/>
    </w:rPr>
  </w:style>
  <w:style w:type="paragraph" w:customStyle="1" w:styleId="2268">
    <w:name w:val="正文文本 241"/>
    <w:basedOn w:val="1"/>
    <w:qFormat/>
    <w:uiPriority w:val="0"/>
    <w:pPr>
      <w:widowControl w:val="0"/>
      <w:adjustRightInd w:val="0"/>
      <w:jc w:val="center"/>
      <w:textAlignment w:val="baseline"/>
    </w:pPr>
    <w:rPr>
      <w:rFonts w:ascii="Arial" w:hAnsi="Arial" w:cs="Times New Roman"/>
      <w:kern w:val="2"/>
      <w:sz w:val="21"/>
      <w:szCs w:val="20"/>
    </w:rPr>
  </w:style>
  <w:style w:type="paragraph" w:customStyle="1" w:styleId="2269">
    <w:name w:val="lsw表格文字"/>
    <w:basedOn w:val="1"/>
    <w:qFormat/>
    <w:uiPriority w:val="0"/>
    <w:pPr>
      <w:widowControl w:val="0"/>
      <w:spacing w:line="320" w:lineRule="exact"/>
      <w:ind w:left="-10" w:leftChars="-32" w:hanging="67" w:hangingChars="32"/>
      <w:jc w:val="center"/>
    </w:pPr>
    <w:rPr>
      <w:rFonts w:ascii="Times New Roman" w:hAnsi="Times New Roman" w:cs="Times New Roman"/>
      <w:kern w:val="2"/>
      <w:sz w:val="21"/>
    </w:rPr>
  </w:style>
  <w:style w:type="paragraph" w:customStyle="1" w:styleId="2270">
    <w:name w:val="正文缩进4"/>
    <w:basedOn w:val="1"/>
    <w:qFormat/>
    <w:uiPriority w:val="0"/>
    <w:pPr>
      <w:widowControl w:val="0"/>
      <w:adjustRightInd w:val="0"/>
      <w:ind w:firstLine="420"/>
      <w:jc w:val="both"/>
      <w:textAlignment w:val="baseline"/>
    </w:pPr>
    <w:rPr>
      <w:rFonts w:ascii="Times New Roman" w:hAnsi="Times New Roman" w:cs="Times New Roman"/>
      <w:kern w:val="2"/>
      <w:szCs w:val="20"/>
    </w:rPr>
  </w:style>
  <w:style w:type="paragraph" w:customStyle="1" w:styleId="2271">
    <w:name w:val="索引 52"/>
    <w:basedOn w:val="1"/>
    <w:next w:val="1"/>
    <w:qFormat/>
    <w:uiPriority w:val="0"/>
    <w:pPr>
      <w:widowControl w:val="0"/>
      <w:spacing w:line="480" w:lineRule="exact"/>
      <w:ind w:left="800" w:leftChars="800"/>
      <w:jc w:val="both"/>
    </w:pPr>
    <w:rPr>
      <w:rFonts w:ascii="Times New Roman" w:hAnsi="Times New Roman" w:cs="Times New Roman"/>
      <w:kern w:val="2"/>
    </w:rPr>
  </w:style>
  <w:style w:type="paragraph" w:customStyle="1" w:styleId="2272">
    <w:name w:val="默认段落字体 Para Char Char Char1 Char Char Char Char"/>
    <w:basedOn w:val="1"/>
    <w:qFormat/>
    <w:uiPriority w:val="0"/>
    <w:pPr>
      <w:widowControl w:val="0"/>
      <w:spacing w:line="360" w:lineRule="auto"/>
      <w:jc w:val="both"/>
    </w:pPr>
    <w:rPr>
      <w:rFonts w:hAnsi="Times New Roman" w:eastAsia="方正仿宋简体" w:cs="Times New Roman"/>
      <w:color w:val="000000"/>
      <w:kern w:val="2"/>
      <w:szCs w:val="32"/>
    </w:rPr>
  </w:style>
  <w:style w:type="paragraph" w:customStyle="1" w:styleId="2273">
    <w:name w:val="小表格"/>
    <w:basedOn w:val="1"/>
    <w:qFormat/>
    <w:uiPriority w:val="0"/>
    <w:pPr>
      <w:widowControl w:val="0"/>
      <w:jc w:val="center"/>
    </w:pPr>
    <w:rPr>
      <w:rFonts w:cs="Times New Roman"/>
      <w:kern w:val="2"/>
      <w:sz w:val="18"/>
      <w:szCs w:val="20"/>
    </w:rPr>
  </w:style>
  <w:style w:type="paragraph" w:customStyle="1" w:styleId="2274">
    <w:name w:val="样式56"/>
    <w:basedOn w:val="2222"/>
    <w:qFormat/>
    <w:uiPriority w:val="0"/>
    <w:pPr>
      <w:spacing w:line="500" w:lineRule="exact"/>
      <w:ind w:firstLine="560"/>
    </w:pPr>
    <w:rPr>
      <w:b w:val="0"/>
    </w:rPr>
  </w:style>
  <w:style w:type="paragraph" w:customStyle="1" w:styleId="2275">
    <w:name w:val="正文表格头"/>
    <w:basedOn w:val="1"/>
    <w:qFormat/>
    <w:uiPriority w:val="0"/>
    <w:pPr>
      <w:widowControl w:val="0"/>
      <w:jc w:val="center"/>
    </w:pPr>
    <w:rPr>
      <w:rFonts w:ascii="Times New Roman" w:hAnsi="Times New Roman" w:eastAsia="黑体" w:cs="Times New Roman"/>
      <w:kern w:val="2"/>
      <w:sz w:val="28"/>
    </w:rPr>
  </w:style>
  <w:style w:type="paragraph" w:customStyle="1" w:styleId="2276">
    <w:name w:val="样式75"/>
    <w:basedOn w:val="1"/>
    <w:qFormat/>
    <w:uiPriority w:val="0"/>
    <w:pPr>
      <w:widowControl w:val="0"/>
      <w:adjustRightInd w:val="0"/>
      <w:snapToGrid w:val="0"/>
      <w:spacing w:line="480" w:lineRule="exact"/>
      <w:ind w:firstLine="560" w:firstLineChars="200"/>
      <w:jc w:val="center"/>
    </w:pPr>
    <w:rPr>
      <w:rFonts w:ascii="Times New Roman" w:hAnsi="Times New Roman" w:cs="Times New Roman"/>
      <w:snapToGrid w:val="0"/>
      <w:color w:val="000000"/>
      <w:sz w:val="28"/>
      <w:szCs w:val="21"/>
    </w:rPr>
  </w:style>
  <w:style w:type="paragraph" w:customStyle="1" w:styleId="2277">
    <w:name w:val="样式17"/>
    <w:basedOn w:val="1"/>
    <w:qFormat/>
    <w:uiPriority w:val="0"/>
    <w:pPr>
      <w:widowControl w:val="0"/>
      <w:tabs>
        <w:tab w:val="left" w:pos="0"/>
      </w:tabs>
      <w:adjustRightInd w:val="0"/>
      <w:snapToGrid w:val="0"/>
      <w:spacing w:line="500" w:lineRule="exact"/>
      <w:ind w:firstLine="560" w:firstLineChars="200"/>
      <w:jc w:val="center"/>
    </w:pPr>
    <w:rPr>
      <w:rFonts w:ascii="Times New Roman" w:hAnsi="Times New Roman" w:eastAsia="黑体" w:cs="Times New Roman"/>
      <w:snapToGrid w:val="0"/>
      <w:sz w:val="28"/>
      <w:szCs w:val="28"/>
    </w:rPr>
  </w:style>
  <w:style w:type="paragraph" w:customStyle="1" w:styleId="2278">
    <w:name w:val="报告标3"/>
    <w:basedOn w:val="1"/>
    <w:qFormat/>
    <w:uiPriority w:val="0"/>
    <w:pPr>
      <w:widowControl w:val="0"/>
      <w:adjustRightInd w:val="0"/>
      <w:snapToGrid w:val="0"/>
      <w:spacing w:line="300" w:lineRule="auto"/>
      <w:jc w:val="both"/>
    </w:pPr>
    <w:rPr>
      <w:rFonts w:hAnsi="Times New Roman" w:cs="Times New Roman"/>
      <w:kern w:val="2"/>
      <w:szCs w:val="20"/>
    </w:rPr>
  </w:style>
  <w:style w:type="paragraph" w:customStyle="1" w:styleId="2279">
    <w:name w:val="样式 标题 6 + 首行缩进:  2 字符"/>
    <w:basedOn w:val="10"/>
    <w:qFormat/>
    <w:uiPriority w:val="0"/>
    <w:pPr>
      <w:keepLines/>
      <w:tabs>
        <w:tab w:val="left" w:pos="1372"/>
        <w:tab w:val="clear" w:pos="360"/>
      </w:tabs>
      <w:adjustRightInd w:val="0"/>
      <w:snapToGrid w:val="0"/>
      <w:spacing w:beforeLines="50" w:line="460" w:lineRule="exact"/>
      <w:ind w:left="0" w:firstLine="200" w:firstLineChars="200"/>
    </w:pPr>
    <w:rPr>
      <w:rFonts w:cs="宋体"/>
      <w:sz w:val="28"/>
      <w:lang w:val="zh-CN"/>
    </w:rPr>
  </w:style>
  <w:style w:type="paragraph" w:customStyle="1" w:styleId="2280">
    <w:name w:val="样式24"/>
    <w:basedOn w:val="1"/>
    <w:qFormat/>
    <w:uiPriority w:val="0"/>
    <w:pPr>
      <w:widowControl w:val="0"/>
      <w:adjustRightInd w:val="0"/>
      <w:snapToGrid w:val="0"/>
      <w:spacing w:line="480" w:lineRule="exact"/>
      <w:ind w:firstLine="560" w:firstLineChars="200"/>
      <w:jc w:val="both"/>
    </w:pPr>
    <w:rPr>
      <w:rFonts w:ascii="Times New Roman" w:hAnsi="Times New Roman" w:cs="Times New Roman"/>
      <w:snapToGrid w:val="0"/>
      <w:sz w:val="28"/>
    </w:rPr>
  </w:style>
  <w:style w:type="paragraph" w:customStyle="1" w:styleId="2281">
    <w:name w:val="Char Char Char Char Char Char Char Char Char Char Char Char Char"/>
    <w:basedOn w:val="1"/>
    <w:qFormat/>
    <w:uiPriority w:val="0"/>
    <w:pPr>
      <w:widowControl w:val="0"/>
      <w:adjustRightInd w:val="0"/>
      <w:spacing w:line="360" w:lineRule="auto"/>
      <w:jc w:val="both"/>
    </w:pPr>
    <w:rPr>
      <w:rFonts w:ascii="Times New Roman" w:hAnsi="Times New Roman" w:cs="Times New Roman"/>
    </w:rPr>
  </w:style>
  <w:style w:type="paragraph" w:customStyle="1" w:styleId="2282">
    <w:name w:val="样式91"/>
    <w:basedOn w:val="1"/>
    <w:qFormat/>
    <w:uiPriority w:val="0"/>
    <w:pPr>
      <w:widowControl w:val="0"/>
      <w:adjustRightInd w:val="0"/>
      <w:snapToGrid w:val="0"/>
      <w:spacing w:line="480" w:lineRule="exact"/>
      <w:ind w:left="-77" w:firstLine="560" w:firstLineChars="200"/>
      <w:jc w:val="both"/>
    </w:pPr>
    <w:rPr>
      <w:rFonts w:ascii="Times New Roman" w:hAnsi="Times New Roman" w:cs="Times New Roman"/>
      <w:snapToGrid w:val="0"/>
      <w:color w:val="FF0000"/>
      <w:sz w:val="28"/>
      <w:szCs w:val="28"/>
    </w:rPr>
  </w:style>
  <w:style w:type="paragraph" w:customStyle="1" w:styleId="2283">
    <w:name w:val="样式77"/>
    <w:basedOn w:val="2284"/>
    <w:qFormat/>
    <w:uiPriority w:val="0"/>
    <w:pPr>
      <w:spacing w:line="320" w:lineRule="exact"/>
      <w:ind w:firstLine="0" w:firstLineChars="0"/>
      <w:jc w:val="left"/>
    </w:pPr>
    <w:rPr>
      <w:rFonts w:hAnsi="宋体"/>
      <w:sz w:val="21"/>
      <w:szCs w:val="21"/>
    </w:rPr>
  </w:style>
  <w:style w:type="paragraph" w:customStyle="1" w:styleId="2284">
    <w:name w:val="样式47"/>
    <w:basedOn w:val="2156"/>
    <w:qFormat/>
    <w:uiPriority w:val="0"/>
  </w:style>
  <w:style w:type="paragraph" w:customStyle="1" w:styleId="2285">
    <w:name w:val="流程图"/>
    <w:basedOn w:val="1"/>
    <w:qFormat/>
    <w:uiPriority w:val="0"/>
    <w:pPr>
      <w:widowControl w:val="0"/>
      <w:tabs>
        <w:tab w:val="left" w:pos="0"/>
      </w:tabs>
      <w:autoSpaceDE w:val="0"/>
      <w:autoSpaceDN w:val="0"/>
      <w:adjustRightInd w:val="0"/>
      <w:spacing w:line="240" w:lineRule="atLeast"/>
      <w:jc w:val="center"/>
      <w:textAlignment w:val="bottom"/>
    </w:pPr>
    <w:rPr>
      <w:rFonts w:hAnsi="Times New Roman" w:cs="Times New Roman"/>
      <w:kern w:val="2"/>
      <w:sz w:val="21"/>
      <w:szCs w:val="20"/>
    </w:rPr>
  </w:style>
  <w:style w:type="paragraph" w:customStyle="1" w:styleId="2286">
    <w:name w:val="样式65"/>
    <w:basedOn w:val="6"/>
    <w:qFormat/>
    <w:uiPriority w:val="0"/>
    <w:pPr>
      <w:widowControl w:val="0"/>
      <w:spacing w:line="480" w:lineRule="exact"/>
      <w:ind w:firstLine="560" w:firstLineChars="200"/>
      <w:jc w:val="both"/>
    </w:pPr>
    <w:rPr>
      <w:rFonts w:ascii="Times New Roman" w:hAnsi="宋体"/>
      <w:kern w:val="2"/>
      <w:szCs w:val="28"/>
    </w:rPr>
  </w:style>
  <w:style w:type="paragraph" w:customStyle="1" w:styleId="2287">
    <w:name w:val="Char Char Char Char Char Char Char Char Char Char Char Char Char Char Char Char Char Char Char Char Char Char Char Char Char Char Char Char Char Char Char Char Char Char Char Char Char Char Char Char Char Char Char Char Char Char Char Char Char"/>
    <w:basedOn w:val="1"/>
    <w:qFormat/>
    <w:uiPriority w:val="0"/>
    <w:pPr>
      <w:spacing w:after="160" w:line="240" w:lineRule="exact"/>
    </w:pPr>
    <w:rPr>
      <w:rFonts w:ascii="Verdana" w:hAnsi="Verdana" w:cs="Times New Roman"/>
      <w:sz w:val="20"/>
      <w:szCs w:val="20"/>
      <w:lang w:eastAsia="en-US"/>
    </w:rPr>
  </w:style>
  <w:style w:type="paragraph" w:customStyle="1" w:styleId="2288">
    <w:name w:val="样式33"/>
    <w:basedOn w:val="1"/>
    <w:qFormat/>
    <w:uiPriority w:val="0"/>
    <w:pPr>
      <w:widowControl w:val="0"/>
      <w:adjustRightInd w:val="0"/>
      <w:snapToGrid w:val="0"/>
      <w:spacing w:line="480" w:lineRule="exact"/>
      <w:ind w:firstLine="560" w:firstLineChars="200"/>
      <w:jc w:val="both"/>
    </w:pPr>
    <w:rPr>
      <w:rFonts w:ascii="Times New Roman" w:hAnsi="Times New Roman" w:cs="Times New Roman"/>
      <w:snapToGrid w:val="0"/>
      <w:sz w:val="28"/>
      <w:szCs w:val="28"/>
    </w:rPr>
  </w:style>
  <w:style w:type="paragraph" w:customStyle="1" w:styleId="2289">
    <w:name w:val="表格式 Char Char"/>
    <w:basedOn w:val="59"/>
    <w:qFormat/>
    <w:uiPriority w:val="0"/>
    <w:pPr>
      <w:spacing w:before="60" w:after="60"/>
      <w:ind w:left="0" w:firstLine="0"/>
      <w:jc w:val="center"/>
    </w:pPr>
    <w:rPr>
      <w:rFonts w:hint="default" w:ascii="宋体" w:hAnsi="宋体" w:eastAsia="宋体"/>
      <w:color w:val="000000"/>
      <w:sz w:val="21"/>
      <w:szCs w:val="20"/>
    </w:rPr>
  </w:style>
  <w:style w:type="paragraph" w:customStyle="1" w:styleId="2290">
    <w:name w:val="样式40"/>
    <w:basedOn w:val="1"/>
    <w:qFormat/>
    <w:uiPriority w:val="0"/>
    <w:pPr>
      <w:widowControl w:val="0"/>
      <w:adjustRightInd w:val="0"/>
      <w:snapToGrid w:val="0"/>
      <w:spacing w:line="480" w:lineRule="exact"/>
      <w:ind w:firstLine="420" w:firstLineChars="200"/>
      <w:jc w:val="both"/>
    </w:pPr>
    <w:rPr>
      <w:rFonts w:ascii="Times New Roman" w:hAnsi="Times New Roman" w:cs="Times New Roman"/>
      <w:snapToGrid w:val="0"/>
      <w:sz w:val="21"/>
      <w:szCs w:val="21"/>
    </w:rPr>
  </w:style>
  <w:style w:type="paragraph" w:customStyle="1" w:styleId="2291">
    <w:name w:val="样式58"/>
    <w:basedOn w:val="2292"/>
    <w:qFormat/>
    <w:uiPriority w:val="0"/>
    <w:pPr>
      <w:tabs>
        <w:tab w:val="left" w:pos="0"/>
      </w:tabs>
    </w:pPr>
  </w:style>
  <w:style w:type="paragraph" w:customStyle="1" w:styleId="2292">
    <w:name w:val="样式20"/>
    <w:basedOn w:val="1"/>
    <w:qFormat/>
    <w:uiPriority w:val="0"/>
    <w:pPr>
      <w:widowControl w:val="0"/>
      <w:tabs>
        <w:tab w:val="left" w:pos="0"/>
      </w:tabs>
      <w:adjustRightInd w:val="0"/>
      <w:snapToGrid w:val="0"/>
      <w:spacing w:line="500" w:lineRule="exact"/>
      <w:ind w:firstLine="560" w:firstLineChars="200"/>
      <w:jc w:val="center"/>
    </w:pPr>
    <w:rPr>
      <w:rFonts w:ascii="Times New Roman" w:hAnsi="Times New Roman" w:eastAsia="黑体" w:cs="Times New Roman"/>
      <w:snapToGrid w:val="0"/>
      <w:sz w:val="28"/>
      <w:szCs w:val="28"/>
    </w:rPr>
  </w:style>
  <w:style w:type="paragraph" w:customStyle="1" w:styleId="2293">
    <w:name w:val="BIG BOLD"/>
    <w:basedOn w:val="1"/>
    <w:qFormat/>
    <w:uiPriority w:val="0"/>
    <w:pPr>
      <w:widowControl w:val="0"/>
      <w:tabs>
        <w:tab w:val="left" w:leader="underscore" w:pos="1134"/>
      </w:tabs>
      <w:jc w:val="both"/>
    </w:pPr>
    <w:rPr>
      <w:rFonts w:ascii="Times New Roman" w:hAnsi="Times New Roman" w:cs="Times New Roman"/>
      <w:kern w:val="2"/>
      <w:sz w:val="21"/>
      <w:szCs w:val="20"/>
    </w:rPr>
  </w:style>
  <w:style w:type="paragraph" w:customStyle="1" w:styleId="2294">
    <w:name w:val="正文－首行缩进:2 字符"/>
    <w:basedOn w:val="1"/>
    <w:qFormat/>
    <w:uiPriority w:val="0"/>
    <w:pPr>
      <w:widowControl w:val="0"/>
      <w:spacing w:line="440" w:lineRule="exact"/>
      <w:ind w:firstLine="560" w:firstLineChars="200"/>
      <w:jc w:val="both"/>
    </w:pPr>
    <w:rPr>
      <w:rFonts w:ascii="Times New Roman" w:hAnsi="Times New Roman"/>
      <w:kern w:val="2"/>
      <w:sz w:val="28"/>
      <w:szCs w:val="20"/>
    </w:rPr>
  </w:style>
  <w:style w:type="paragraph" w:customStyle="1" w:styleId="2295">
    <w:name w:val="Char Char Char Char Char Char Char Char Char Char4"/>
    <w:basedOn w:val="1"/>
    <w:qFormat/>
    <w:uiPriority w:val="0"/>
    <w:pPr>
      <w:widowControl w:val="0"/>
      <w:jc w:val="both"/>
    </w:pPr>
    <w:rPr>
      <w:rFonts w:ascii="Times New Roman" w:hAnsi="Times New Roman" w:cs="Times New Roman"/>
      <w:kern w:val="2"/>
      <w:sz w:val="21"/>
    </w:rPr>
  </w:style>
  <w:style w:type="paragraph" w:customStyle="1" w:styleId="2296">
    <w:name w:val="样式 样式 标题 3标题4标题 3 Char1标题 3 Char Char标题 3 Char + (中文) 仿宋_GB2312...."/>
    <w:basedOn w:val="1"/>
    <w:qFormat/>
    <w:uiPriority w:val="0"/>
    <w:pPr>
      <w:keepNext/>
      <w:keepLines/>
      <w:widowControl w:val="0"/>
      <w:adjustRightInd w:val="0"/>
      <w:snapToGrid w:val="0"/>
      <w:spacing w:line="460" w:lineRule="exact"/>
      <w:ind w:firstLine="480" w:firstLineChars="200"/>
      <w:outlineLvl w:val="2"/>
    </w:pPr>
    <w:rPr>
      <w:rFonts w:ascii="Times New Roman" w:hAnsi="Times New Roman"/>
      <w:sz w:val="28"/>
      <w:szCs w:val="28"/>
    </w:rPr>
  </w:style>
  <w:style w:type="paragraph" w:customStyle="1" w:styleId="2297">
    <w:name w:val="xl286"/>
    <w:basedOn w:val="1"/>
    <w:qFormat/>
    <w:uiPriority w:val="0"/>
    <w:pPr>
      <w:pBdr>
        <w:top w:val="single" w:color="auto" w:sz="4" w:space="0"/>
        <w:left w:val="single" w:color="auto" w:sz="4" w:space="0"/>
        <w:bottom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298">
    <w:name w:val="样式 表文字 + 字符缩放: 90%"/>
    <w:basedOn w:val="1"/>
    <w:qFormat/>
    <w:uiPriority w:val="0"/>
    <w:pPr>
      <w:keepNext/>
      <w:adjustRightInd w:val="0"/>
      <w:spacing w:line="240" w:lineRule="exact"/>
      <w:ind w:left="-50" w:leftChars="-50" w:right="-50" w:rightChars="-50"/>
      <w:jc w:val="center"/>
      <w:textAlignment w:val="baseline"/>
    </w:pPr>
    <w:rPr>
      <w:snapToGrid w:val="0"/>
      <w:sz w:val="18"/>
      <w:szCs w:val="18"/>
    </w:rPr>
  </w:style>
  <w:style w:type="paragraph" w:customStyle="1" w:styleId="2299">
    <w:name w:val="样式50"/>
    <w:basedOn w:val="104"/>
    <w:qFormat/>
    <w:uiPriority w:val="0"/>
    <w:pPr>
      <w:adjustRightInd w:val="0"/>
      <w:spacing w:line="240" w:lineRule="exact"/>
      <w:ind w:left="-140" w:leftChars="-50" w:right="-140" w:rightChars="-50" w:firstLine="0"/>
    </w:pPr>
    <w:rPr>
      <w:rFonts w:hint="default" w:ascii="Times New Roman" w:hAnsi="Times New Roman" w:eastAsia="宋体"/>
      <w:color w:val="000000"/>
      <w:kern w:val="0"/>
      <w:szCs w:val="28"/>
    </w:rPr>
  </w:style>
  <w:style w:type="paragraph" w:customStyle="1" w:styleId="2300">
    <w:name w:val="正文文本缩进 23"/>
    <w:basedOn w:val="1"/>
    <w:qFormat/>
    <w:uiPriority w:val="0"/>
    <w:pPr>
      <w:widowControl w:val="0"/>
      <w:spacing w:line="300" w:lineRule="auto"/>
      <w:ind w:firstLine="482" w:firstLineChars="200"/>
      <w:jc w:val="both"/>
    </w:pPr>
    <w:rPr>
      <w:rFonts w:ascii="Times New Roman" w:hAnsi="Times New Roman" w:cs="Times New Roman"/>
      <w:kern w:val="2"/>
      <w:szCs w:val="20"/>
    </w:rPr>
  </w:style>
  <w:style w:type="paragraph" w:customStyle="1" w:styleId="2301">
    <w:name w:val="样式 样式4 +"/>
    <w:basedOn w:val="990"/>
    <w:qFormat/>
    <w:uiPriority w:val="0"/>
    <w:pPr>
      <w:spacing w:line="480" w:lineRule="exact"/>
      <w:ind w:firstLine="200" w:firstLineChars="200"/>
      <w:jc w:val="both"/>
      <w:textAlignment w:val="auto"/>
      <w:outlineLvl w:val="3"/>
    </w:pPr>
    <w:rPr>
      <w:rFonts w:eastAsia="楷体_GB2312" w:cs="宋体"/>
      <w:b/>
      <w:bCs/>
      <w:snapToGrid w:val="0"/>
      <w:sz w:val="30"/>
    </w:rPr>
  </w:style>
  <w:style w:type="paragraph" w:customStyle="1" w:styleId="2302">
    <w:name w:val="xl2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2303">
    <w:name w:val="样式10"/>
    <w:basedOn w:val="1056"/>
    <w:qFormat/>
    <w:uiPriority w:val="0"/>
    <w:pPr>
      <w:widowControl w:val="0"/>
      <w:topLinePunct/>
      <w:adjustRightInd/>
      <w:snapToGrid/>
      <w:spacing w:beforeLines="0" w:afterLines="0" w:line="240" w:lineRule="auto"/>
      <w:jc w:val="center"/>
      <w:textAlignment w:val="auto"/>
      <w:outlineLvl w:val="9"/>
    </w:pPr>
    <w:rPr>
      <w:rFonts w:ascii="Times New Roman" w:hAnsi="Times New Roman" w:cs="宋体"/>
      <w:b w:val="0"/>
      <w:sz w:val="21"/>
      <w:szCs w:val="21"/>
    </w:rPr>
  </w:style>
  <w:style w:type="paragraph" w:customStyle="1" w:styleId="2304">
    <w:name w:val="表格内部"/>
    <w:basedOn w:val="1"/>
    <w:qFormat/>
    <w:uiPriority w:val="0"/>
    <w:pPr>
      <w:widowControl w:val="0"/>
      <w:adjustRightInd w:val="0"/>
      <w:snapToGrid w:val="0"/>
      <w:spacing w:line="300" w:lineRule="auto"/>
      <w:jc w:val="center"/>
    </w:pPr>
    <w:rPr>
      <w:rFonts w:ascii="Arial" w:hAnsi="Arial" w:eastAsia="仿宋_GB2312" w:cs="Times New Roman"/>
      <w:kern w:val="2"/>
      <w:sz w:val="21"/>
    </w:rPr>
  </w:style>
  <w:style w:type="paragraph" w:customStyle="1" w:styleId="2305">
    <w:name w:val="xl2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306">
    <w:name w:val="Char1 Char Char Char5"/>
    <w:basedOn w:val="1"/>
    <w:qFormat/>
    <w:uiPriority w:val="0"/>
    <w:pPr>
      <w:widowControl w:val="0"/>
      <w:jc w:val="both"/>
    </w:pPr>
    <w:rPr>
      <w:rFonts w:ascii="Times New Roman" w:hAnsi="Times New Roman" w:cs="Times New Roman"/>
      <w:kern w:val="2"/>
      <w:sz w:val="21"/>
    </w:rPr>
  </w:style>
  <w:style w:type="paragraph" w:customStyle="1" w:styleId="2307">
    <w:name w:val="报告标题2"/>
    <w:basedOn w:val="5"/>
    <w:qFormat/>
    <w:uiPriority w:val="0"/>
    <w:pPr>
      <w:keepNext w:val="0"/>
      <w:keepLines w:val="0"/>
      <w:widowControl w:val="0"/>
      <w:spacing w:line="240" w:lineRule="auto"/>
      <w:jc w:val="center"/>
      <w:outlineLvl w:val="9"/>
    </w:pPr>
    <w:rPr>
      <w:rFonts w:ascii="方正书宋简体" w:hAnsi="Times New Roman" w:eastAsia="方正书宋简体"/>
      <w:bCs w:val="0"/>
      <w:kern w:val="2"/>
      <w:sz w:val="21"/>
      <w:szCs w:val="24"/>
    </w:rPr>
  </w:style>
  <w:style w:type="paragraph" w:customStyle="1" w:styleId="2308">
    <w:name w:val="样式 仿宋_GB2312 四号"/>
    <w:basedOn w:val="1"/>
    <w:qFormat/>
    <w:uiPriority w:val="0"/>
    <w:pPr>
      <w:widowControl w:val="0"/>
      <w:adjustRightInd w:val="0"/>
      <w:snapToGrid w:val="0"/>
      <w:spacing w:beforeLines="50" w:line="480" w:lineRule="exact"/>
      <w:ind w:firstLine="560" w:firstLineChars="200"/>
      <w:jc w:val="both"/>
    </w:pPr>
    <w:rPr>
      <w:rFonts w:cs="Times New Roman"/>
      <w:sz w:val="28"/>
      <w:szCs w:val="28"/>
    </w:rPr>
  </w:style>
  <w:style w:type="paragraph" w:customStyle="1" w:styleId="2309">
    <w:name w:val="Char7"/>
    <w:basedOn w:val="1"/>
    <w:next w:val="1560"/>
    <w:qFormat/>
    <w:uiPriority w:val="0"/>
    <w:pPr>
      <w:widowControl w:val="0"/>
      <w:spacing w:line="360" w:lineRule="auto"/>
      <w:ind w:firstLine="480" w:firstLineChars="200"/>
      <w:jc w:val="both"/>
    </w:pPr>
    <w:rPr>
      <w:rFonts w:ascii="Times New Roman" w:hAnsi="Times New Roman" w:cs="Times New Roman"/>
    </w:rPr>
  </w:style>
  <w:style w:type="paragraph" w:customStyle="1" w:styleId="2310">
    <w:name w:val="xl1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2"/>
      <w:szCs w:val="22"/>
    </w:rPr>
  </w:style>
  <w:style w:type="paragraph" w:customStyle="1" w:styleId="2311">
    <w:name w:val="样式64"/>
    <w:basedOn w:val="2218"/>
    <w:qFormat/>
    <w:uiPriority w:val="0"/>
    <w:pPr>
      <w:keepNext w:val="0"/>
      <w:keepLines w:val="0"/>
      <w:widowControl/>
      <w:spacing w:line="480" w:lineRule="exact"/>
      <w:ind w:left="-140" w:right="31" w:firstLine="450" w:firstLineChars="150"/>
    </w:pPr>
  </w:style>
  <w:style w:type="paragraph" w:customStyle="1" w:styleId="2312">
    <w:name w:val="标题 4环保 + 段前: 0.3 行"/>
    <w:basedOn w:val="8"/>
    <w:next w:val="1"/>
    <w:qFormat/>
    <w:uiPriority w:val="0"/>
    <w:pPr>
      <w:keepNext w:val="0"/>
      <w:keepLines w:val="0"/>
      <w:widowControl w:val="0"/>
      <w:tabs>
        <w:tab w:val="left" w:pos="780"/>
      </w:tabs>
      <w:spacing w:beforeLines="30" w:line="300" w:lineRule="auto"/>
      <w:ind w:left="780" w:leftChars="200" w:hanging="360" w:hangingChars="200"/>
      <w:jc w:val="both"/>
    </w:pPr>
    <w:rPr>
      <w:rFonts w:eastAsia="黑体"/>
      <w:lang w:val="en-US"/>
    </w:rPr>
  </w:style>
  <w:style w:type="paragraph" w:customStyle="1" w:styleId="2313">
    <w:name w:val="图表内文字"/>
    <w:basedOn w:val="1"/>
    <w:next w:val="1"/>
    <w:qFormat/>
    <w:uiPriority w:val="0"/>
    <w:pPr>
      <w:widowControl w:val="0"/>
      <w:adjustRightInd w:val="0"/>
      <w:snapToGrid w:val="0"/>
      <w:spacing w:line="240" w:lineRule="atLeast"/>
      <w:jc w:val="center"/>
    </w:pPr>
    <w:rPr>
      <w:rFonts w:ascii="黑体" w:hAnsi="Times New Roman" w:cs="Times New Roman"/>
      <w:kern w:val="2"/>
      <w:sz w:val="21"/>
      <w:szCs w:val="21"/>
    </w:rPr>
  </w:style>
  <w:style w:type="paragraph" w:customStyle="1" w:styleId="2314">
    <w:name w:val="图表内文字（居中）"/>
    <w:basedOn w:val="1"/>
    <w:qFormat/>
    <w:uiPriority w:val="0"/>
    <w:pPr>
      <w:adjustRightInd w:val="0"/>
      <w:snapToGrid w:val="0"/>
      <w:jc w:val="center"/>
    </w:pPr>
    <w:rPr>
      <w:rFonts w:cs="Times New Roman"/>
      <w:kern w:val="2"/>
      <w:sz w:val="21"/>
    </w:rPr>
  </w:style>
  <w:style w:type="paragraph" w:customStyle="1" w:styleId="2315">
    <w:name w:val="目录二级"/>
    <w:basedOn w:val="1"/>
    <w:qFormat/>
    <w:uiPriority w:val="0"/>
    <w:pPr>
      <w:spacing w:line="480" w:lineRule="exact"/>
      <w:jc w:val="center"/>
    </w:pPr>
    <w:rPr>
      <w:rFonts w:ascii="Times New Roman" w:hAnsi="Times New Roman" w:cs="Times New Roman"/>
      <w:bCs/>
      <w:kern w:val="2"/>
      <w:sz w:val="21"/>
      <w:szCs w:val="21"/>
    </w:rPr>
  </w:style>
  <w:style w:type="paragraph" w:customStyle="1" w:styleId="2316">
    <w:name w:val="正文六级标题"/>
    <w:basedOn w:val="1"/>
    <w:qFormat/>
    <w:uiPriority w:val="0"/>
    <w:pPr>
      <w:widowControl w:val="0"/>
      <w:spacing w:line="480" w:lineRule="exact"/>
      <w:ind w:firstLine="200" w:firstLineChars="200"/>
      <w:jc w:val="both"/>
      <w:outlineLvl w:val="5"/>
    </w:pPr>
    <w:rPr>
      <w:rFonts w:ascii="Times New Roman" w:hAnsi="Times New Roman" w:cs="Times New Roman"/>
      <w:b/>
      <w:kern w:val="2"/>
      <w:sz w:val="28"/>
    </w:rPr>
  </w:style>
  <w:style w:type="paragraph" w:customStyle="1" w:styleId="2317">
    <w:name w:val="5正文"/>
    <w:basedOn w:val="1"/>
    <w:qFormat/>
    <w:uiPriority w:val="0"/>
    <w:pPr>
      <w:snapToGrid w:val="0"/>
      <w:spacing w:line="400" w:lineRule="exact"/>
      <w:ind w:firstLine="200" w:firstLineChars="200"/>
    </w:pPr>
    <w:rPr>
      <w:color w:val="000000"/>
      <w:szCs w:val="18"/>
    </w:rPr>
  </w:style>
  <w:style w:type="paragraph" w:customStyle="1" w:styleId="2318">
    <w:name w:val="样式 四号 首行缩进:  2 字符 字符缩放: 90% 行距: 固定值 28 磅"/>
    <w:basedOn w:val="1"/>
    <w:qFormat/>
    <w:uiPriority w:val="0"/>
    <w:pPr>
      <w:widowControl w:val="0"/>
      <w:spacing w:line="480" w:lineRule="exact"/>
      <w:ind w:firstLine="200" w:firstLineChars="200"/>
      <w:jc w:val="both"/>
    </w:pPr>
    <w:rPr>
      <w:rFonts w:ascii="Times New Roman" w:hAnsi="Times New Roman" w:eastAsia="方正书宋简体" w:cs="Times New Roman"/>
      <w:w w:val="90"/>
      <w:kern w:val="2"/>
      <w:sz w:val="28"/>
      <w:szCs w:val="20"/>
    </w:rPr>
  </w:style>
  <w:style w:type="paragraph" w:customStyle="1" w:styleId="2319">
    <w:name w:val="样式 标题 4标题 4 Char + 宋体 段前: 5 磅 段后: 5 磅 行距: 1.5 倍行距"/>
    <w:basedOn w:val="8"/>
    <w:qFormat/>
    <w:uiPriority w:val="0"/>
    <w:pPr>
      <w:widowControl w:val="0"/>
      <w:adjustRightInd w:val="0"/>
      <w:snapToGrid w:val="0"/>
      <w:spacing w:line="360" w:lineRule="auto"/>
      <w:jc w:val="both"/>
    </w:pPr>
    <w:rPr>
      <w:rFonts w:cs="Times New Roman"/>
      <w:bCs/>
      <w:kern w:val="2"/>
      <w:sz w:val="28"/>
      <w:lang w:val="en-US"/>
    </w:rPr>
  </w:style>
  <w:style w:type="paragraph" w:customStyle="1" w:styleId="2320">
    <w:name w:val="样式37"/>
    <w:basedOn w:val="6"/>
    <w:qFormat/>
    <w:uiPriority w:val="0"/>
    <w:pPr>
      <w:widowControl w:val="0"/>
      <w:spacing w:line="480" w:lineRule="exact"/>
      <w:ind w:firstLine="560" w:firstLineChars="200"/>
      <w:jc w:val="both"/>
    </w:pPr>
    <w:rPr>
      <w:rFonts w:ascii="Times New Roman" w:hAnsi="Times New Roman"/>
      <w:kern w:val="2"/>
      <w:szCs w:val="28"/>
    </w:rPr>
  </w:style>
  <w:style w:type="paragraph" w:customStyle="1" w:styleId="2321">
    <w:name w:val="样式正文"/>
    <w:basedOn w:val="2211"/>
    <w:qFormat/>
    <w:uiPriority w:val="0"/>
    <w:pPr>
      <w:spacing w:line="360" w:lineRule="auto"/>
      <w:ind w:firstLine="624"/>
    </w:pPr>
  </w:style>
  <w:style w:type="paragraph" w:customStyle="1" w:styleId="2322">
    <w:name w:val="xl285"/>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323">
    <w:name w:val="5正文 + 两端对齐"/>
    <w:basedOn w:val="1"/>
    <w:qFormat/>
    <w:uiPriority w:val="0"/>
    <w:pPr>
      <w:snapToGrid w:val="0"/>
      <w:spacing w:line="480" w:lineRule="exact"/>
      <w:ind w:firstLine="200" w:firstLineChars="200"/>
      <w:jc w:val="both"/>
    </w:pPr>
    <w:rPr>
      <w:color w:val="000000"/>
      <w:szCs w:val="18"/>
    </w:rPr>
  </w:style>
  <w:style w:type="paragraph" w:customStyle="1" w:styleId="2324">
    <w:name w:val="样式28"/>
    <w:basedOn w:val="2134"/>
    <w:qFormat/>
    <w:uiPriority w:val="0"/>
    <w:pPr>
      <w:spacing w:line="500" w:lineRule="exact"/>
      <w:ind w:firstLine="560" w:firstLineChars="200"/>
    </w:pPr>
  </w:style>
  <w:style w:type="paragraph" w:customStyle="1" w:styleId="2325">
    <w:name w:val="样式88"/>
    <w:basedOn w:val="2162"/>
    <w:qFormat/>
    <w:uiPriority w:val="0"/>
    <w:pPr>
      <w:spacing w:before="0" w:after="0"/>
      <w:ind w:firstLine="560" w:firstLineChars="200"/>
    </w:pPr>
    <w:rPr>
      <w:rFonts w:eastAsia="仿宋_GB2312"/>
      <w:bCs w:val="0"/>
    </w:rPr>
  </w:style>
  <w:style w:type="paragraph" w:customStyle="1" w:styleId="2326">
    <w:name w:val="xl283"/>
    <w:basedOn w:val="1"/>
    <w:qFormat/>
    <w:uiPriority w:val="0"/>
    <w:pPr>
      <w:pBdr>
        <w:top w:val="single" w:color="auto" w:sz="4" w:space="0"/>
        <w:left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327">
    <w:name w:val="xl296"/>
    <w:basedOn w:val="1"/>
    <w:qFormat/>
    <w:uiPriority w:val="0"/>
    <w:pPr>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pPr>
    <w:rPr>
      <w:rFonts w:ascii="方正综艺简体" w:eastAsia="方正综艺简体"/>
      <w:color w:val="000000"/>
      <w:sz w:val="20"/>
      <w:szCs w:val="20"/>
    </w:rPr>
  </w:style>
  <w:style w:type="paragraph" w:customStyle="1" w:styleId="2328">
    <w:name w:val="样式71"/>
    <w:basedOn w:val="1"/>
    <w:qFormat/>
    <w:uiPriority w:val="0"/>
    <w:pPr>
      <w:widowControl w:val="0"/>
      <w:adjustRightInd w:val="0"/>
      <w:snapToGrid w:val="0"/>
      <w:spacing w:line="480" w:lineRule="exact"/>
      <w:ind w:firstLine="560" w:firstLineChars="200"/>
      <w:jc w:val="both"/>
    </w:pPr>
    <w:rPr>
      <w:rFonts w:cs="Times New Roman"/>
      <w:snapToGrid w:val="0"/>
      <w:color w:val="FF0000"/>
      <w:sz w:val="28"/>
      <w:szCs w:val="28"/>
    </w:rPr>
  </w:style>
  <w:style w:type="paragraph" w:customStyle="1" w:styleId="2329">
    <w:name w:val="样式 标题 1一级标题(章)标题 1 Char封皮名1h11st levelSection Headl1my标..."/>
    <w:basedOn w:val="4"/>
    <w:qFormat/>
    <w:uiPriority w:val="0"/>
    <w:pPr>
      <w:keepNext/>
      <w:keepLines/>
      <w:widowControl w:val="0"/>
      <w:adjustRightInd w:val="0"/>
      <w:snapToGrid w:val="0"/>
      <w:spacing w:before="360" w:after="240"/>
      <w:jc w:val="center"/>
    </w:pPr>
    <w:rPr>
      <w:rFonts w:ascii="Times New Roman" w:hAnsi="Times New Roman" w:eastAsia="宋体" w:cs="宋体"/>
      <w:kern w:val="44"/>
      <w:sz w:val="36"/>
      <w:szCs w:val="20"/>
    </w:rPr>
  </w:style>
  <w:style w:type="paragraph" w:customStyle="1" w:styleId="2330">
    <w:name w:val="xl254"/>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331">
    <w:name w:val="xl146"/>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cs="Times New Roman"/>
      <w:sz w:val="21"/>
      <w:szCs w:val="21"/>
    </w:rPr>
  </w:style>
  <w:style w:type="paragraph" w:customStyle="1" w:styleId="2332">
    <w:name w:val="xl14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b/>
      <w:bCs/>
      <w:sz w:val="22"/>
      <w:szCs w:val="22"/>
    </w:rPr>
  </w:style>
  <w:style w:type="paragraph" w:customStyle="1" w:styleId="2333">
    <w:name w:val="xl267"/>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334">
    <w:name w:val="标题 1+"/>
    <w:basedOn w:val="4"/>
    <w:qFormat/>
    <w:uiPriority w:val="0"/>
    <w:pPr>
      <w:keepNext/>
      <w:keepLines/>
      <w:widowControl w:val="0"/>
      <w:adjustRightInd w:val="0"/>
      <w:snapToGrid w:val="0"/>
      <w:spacing w:before="400" w:after="240" w:line="480" w:lineRule="exact"/>
      <w:jc w:val="center"/>
    </w:pPr>
    <w:rPr>
      <w:rFonts w:ascii="Times New Roman" w:hAnsi="Times New Roman" w:eastAsia="楷体_GB2312"/>
      <w:bCs/>
      <w:kern w:val="44"/>
      <w:sz w:val="36"/>
      <w:szCs w:val="36"/>
    </w:rPr>
  </w:style>
  <w:style w:type="paragraph" w:customStyle="1" w:styleId="2335">
    <w:name w:val="正文表格内容"/>
    <w:basedOn w:val="1"/>
    <w:qFormat/>
    <w:uiPriority w:val="0"/>
    <w:pPr>
      <w:widowControl w:val="0"/>
      <w:jc w:val="center"/>
    </w:pPr>
    <w:rPr>
      <w:rFonts w:ascii="Times New Roman" w:hAnsi="Times New Roman" w:cs="Times New Roman"/>
      <w:kern w:val="2"/>
      <w:sz w:val="21"/>
    </w:rPr>
  </w:style>
  <w:style w:type="paragraph" w:customStyle="1" w:styleId="2336">
    <w:name w:val="表格文字两端对齐"/>
    <w:basedOn w:val="1"/>
    <w:qFormat/>
    <w:uiPriority w:val="0"/>
    <w:pPr>
      <w:widowControl w:val="0"/>
      <w:spacing w:line="300" w:lineRule="auto"/>
      <w:jc w:val="both"/>
    </w:pPr>
    <w:rPr>
      <w:rFonts w:ascii="Times New Roman" w:hAnsi="Times New Roman" w:cs="Times New Roman"/>
      <w:kern w:val="2"/>
      <w:sz w:val="21"/>
    </w:rPr>
  </w:style>
  <w:style w:type="paragraph" w:customStyle="1" w:styleId="2337">
    <w:name w:val="xl2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333399"/>
      <w:sz w:val="20"/>
      <w:szCs w:val="20"/>
    </w:rPr>
  </w:style>
  <w:style w:type="paragraph" w:customStyle="1" w:styleId="2338">
    <w:name w:val="xl141"/>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b/>
      <w:bCs/>
      <w:sz w:val="22"/>
      <w:szCs w:val="22"/>
    </w:rPr>
  </w:style>
  <w:style w:type="paragraph" w:customStyle="1" w:styleId="2339">
    <w:name w:val="xl277"/>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b/>
      <w:bCs/>
      <w:color w:val="FF0000"/>
      <w:sz w:val="20"/>
      <w:szCs w:val="20"/>
    </w:rPr>
  </w:style>
  <w:style w:type="paragraph" w:customStyle="1" w:styleId="2340">
    <w:name w:val="xl164"/>
    <w:basedOn w:val="1"/>
    <w:qFormat/>
    <w:uiPriority w:val="0"/>
    <w:pPr>
      <w:shd w:val="clear" w:color="auto" w:fill="FFFFFF"/>
      <w:spacing w:before="100" w:beforeAutospacing="1" w:after="100" w:afterAutospacing="1"/>
    </w:pPr>
    <w:rPr>
      <w:color w:val="000000"/>
      <w:sz w:val="20"/>
      <w:szCs w:val="20"/>
    </w:rPr>
  </w:style>
  <w:style w:type="paragraph" w:customStyle="1" w:styleId="2341">
    <w:name w:val="样式66"/>
    <w:basedOn w:val="6"/>
    <w:qFormat/>
    <w:uiPriority w:val="0"/>
    <w:pPr>
      <w:widowControl w:val="0"/>
      <w:spacing w:line="480" w:lineRule="exact"/>
      <w:ind w:left="-140" w:right="31" w:firstLine="560" w:firstLineChars="200"/>
      <w:jc w:val="both"/>
    </w:pPr>
    <w:rPr>
      <w:rFonts w:ascii="Times New Roman" w:hAnsi="宋体"/>
      <w:kern w:val="2"/>
      <w:szCs w:val="28"/>
    </w:rPr>
  </w:style>
  <w:style w:type="paragraph" w:customStyle="1" w:styleId="2342">
    <w:name w:val="样式 样式 标题 1 + 黑体 二号 段前: 20 磅 段后: 20 磅 行距: 固定值 28 磅 + 非加粗 段前: 1 行..."/>
    <w:basedOn w:val="1"/>
    <w:qFormat/>
    <w:uiPriority w:val="0"/>
    <w:pPr>
      <w:keepNext/>
      <w:widowControl w:val="0"/>
      <w:adjustRightInd w:val="0"/>
      <w:snapToGrid w:val="0"/>
      <w:spacing w:beforeLines="100" w:afterLines="100" w:line="480" w:lineRule="auto"/>
      <w:jc w:val="center"/>
      <w:outlineLvl w:val="0"/>
    </w:pPr>
    <w:rPr>
      <w:rFonts w:ascii="黑体" w:hAnsi="黑体" w:eastAsia="黑体"/>
      <w:kern w:val="2"/>
      <w:sz w:val="44"/>
      <w:szCs w:val="20"/>
    </w:rPr>
  </w:style>
  <w:style w:type="paragraph" w:customStyle="1" w:styleId="2343">
    <w:name w:val="格式"/>
    <w:basedOn w:val="1"/>
    <w:qFormat/>
    <w:uiPriority w:val="0"/>
    <w:pPr>
      <w:widowControl w:val="0"/>
      <w:spacing w:line="360" w:lineRule="auto"/>
      <w:ind w:firstLine="200" w:firstLineChars="200"/>
      <w:jc w:val="both"/>
    </w:pPr>
    <w:rPr>
      <w:rFonts w:ascii="Times New Roman" w:hAnsi="Times New Roman" w:cs="Times New Roman"/>
      <w:kern w:val="2"/>
    </w:rPr>
  </w:style>
  <w:style w:type="paragraph" w:customStyle="1" w:styleId="2344">
    <w:name w:val="Char1 Char Char Char2"/>
    <w:basedOn w:val="1"/>
    <w:qFormat/>
    <w:uiPriority w:val="0"/>
    <w:pPr>
      <w:widowControl w:val="0"/>
      <w:jc w:val="both"/>
    </w:pPr>
    <w:rPr>
      <w:rFonts w:ascii="Times New Roman" w:hAnsi="Times New Roman" w:cs="Times New Roman"/>
      <w:kern w:val="2"/>
      <w:sz w:val="21"/>
      <w:szCs w:val="28"/>
    </w:rPr>
  </w:style>
  <w:style w:type="paragraph" w:customStyle="1" w:styleId="2345">
    <w:name w:val="样式73"/>
    <w:basedOn w:val="1"/>
    <w:qFormat/>
    <w:uiPriority w:val="0"/>
    <w:pPr>
      <w:widowControl w:val="0"/>
      <w:adjustRightInd w:val="0"/>
      <w:snapToGrid w:val="0"/>
      <w:spacing w:line="480" w:lineRule="exact"/>
      <w:ind w:firstLine="560" w:firstLineChars="200"/>
      <w:jc w:val="both"/>
    </w:pPr>
    <w:rPr>
      <w:rFonts w:cs="Times New Roman"/>
      <w:snapToGrid w:val="0"/>
      <w:color w:val="FF0000"/>
      <w:sz w:val="28"/>
      <w:szCs w:val="28"/>
    </w:rPr>
  </w:style>
  <w:style w:type="paragraph" w:customStyle="1" w:styleId="2346">
    <w:name w:val="样式83"/>
    <w:basedOn w:val="2218"/>
    <w:qFormat/>
    <w:uiPriority w:val="0"/>
    <w:pPr>
      <w:keepNext w:val="0"/>
      <w:keepLines w:val="0"/>
      <w:widowControl/>
      <w:spacing w:line="480" w:lineRule="exact"/>
      <w:ind w:firstLine="450" w:firstLineChars="150"/>
    </w:pPr>
  </w:style>
  <w:style w:type="paragraph" w:customStyle="1" w:styleId="2347">
    <w:name w:val="样式68"/>
    <w:basedOn w:val="1"/>
    <w:qFormat/>
    <w:uiPriority w:val="0"/>
    <w:pPr>
      <w:widowControl w:val="0"/>
      <w:adjustRightInd w:val="0"/>
      <w:snapToGrid w:val="0"/>
      <w:spacing w:line="480" w:lineRule="exact"/>
      <w:ind w:firstLine="560" w:firstLineChars="200"/>
      <w:jc w:val="both"/>
    </w:pPr>
    <w:rPr>
      <w:rFonts w:cs="Times New Roman"/>
      <w:snapToGrid w:val="0"/>
      <w:color w:val="FF0000"/>
      <w:sz w:val="28"/>
      <w:szCs w:val="28"/>
    </w:rPr>
  </w:style>
  <w:style w:type="paragraph" w:customStyle="1" w:styleId="2348">
    <w:name w:val="索引 91"/>
    <w:basedOn w:val="1"/>
    <w:next w:val="1"/>
    <w:qFormat/>
    <w:uiPriority w:val="0"/>
    <w:pPr>
      <w:widowControl w:val="0"/>
      <w:ind w:left="1600" w:leftChars="1600"/>
      <w:jc w:val="both"/>
    </w:pPr>
    <w:rPr>
      <w:rFonts w:ascii="Times New Roman" w:hAnsi="Times New Roman" w:cs="Times New Roman"/>
      <w:kern w:val="2"/>
      <w:sz w:val="21"/>
    </w:rPr>
  </w:style>
  <w:style w:type="paragraph" w:customStyle="1" w:styleId="2349">
    <w:name w:val="修订2"/>
    <w:qFormat/>
    <w:uiPriority w:val="99"/>
    <w:rPr>
      <w:rFonts w:ascii="Times New Roman" w:hAnsi="Times New Roman" w:eastAsia="宋体" w:cs="Times New Roman"/>
      <w:kern w:val="2"/>
      <w:sz w:val="21"/>
      <w:szCs w:val="24"/>
      <w:lang w:val="en-US" w:eastAsia="zh-CN" w:bidi="ar-SA"/>
    </w:rPr>
  </w:style>
  <w:style w:type="paragraph" w:customStyle="1" w:styleId="2350">
    <w:name w:val="reader-word-layer reader-word-s11-14"/>
    <w:basedOn w:val="1"/>
    <w:qFormat/>
    <w:uiPriority w:val="0"/>
    <w:pPr>
      <w:spacing w:before="100" w:beforeAutospacing="1" w:after="100" w:afterAutospacing="1"/>
    </w:pPr>
  </w:style>
  <w:style w:type="paragraph" w:customStyle="1" w:styleId="2351">
    <w:name w:val="样式53"/>
    <w:basedOn w:val="104"/>
    <w:qFormat/>
    <w:uiPriority w:val="0"/>
    <w:pPr>
      <w:adjustRightInd w:val="0"/>
      <w:spacing w:line="240" w:lineRule="exact"/>
      <w:ind w:left="-140" w:leftChars="-50" w:right="-140" w:rightChars="-50" w:firstLine="0"/>
    </w:pPr>
    <w:rPr>
      <w:rFonts w:hint="default" w:ascii="Times New Roman" w:hAnsi="Times New Roman" w:eastAsia="宋体"/>
      <w:color w:val="000000"/>
      <w:kern w:val="0"/>
      <w:szCs w:val="28"/>
    </w:rPr>
  </w:style>
  <w:style w:type="paragraph" w:customStyle="1" w:styleId="2352">
    <w:name w:val="样式79"/>
    <w:basedOn w:val="2261"/>
    <w:qFormat/>
    <w:uiPriority w:val="0"/>
    <w:pPr>
      <w:ind w:firstLine="562"/>
    </w:pPr>
    <w:rPr>
      <w:rFonts w:hAnsi="宋体"/>
      <w:b/>
      <w:bCs/>
      <w:sz w:val="28"/>
      <w:szCs w:val="28"/>
    </w:rPr>
  </w:style>
  <w:style w:type="paragraph" w:customStyle="1" w:styleId="2353">
    <w:name w:val="xl147"/>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sz w:val="21"/>
      <w:szCs w:val="21"/>
    </w:rPr>
  </w:style>
  <w:style w:type="paragraph" w:customStyle="1" w:styleId="2354">
    <w:name w:val="xl119"/>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rFonts w:ascii="Times New Roman" w:hAnsi="Times New Roman" w:cs="Times New Roman"/>
      <w:b/>
      <w:bCs/>
      <w:sz w:val="21"/>
      <w:szCs w:val="21"/>
    </w:rPr>
  </w:style>
  <w:style w:type="paragraph" w:customStyle="1" w:styleId="2355">
    <w:name w:val="样式89"/>
    <w:basedOn w:val="1"/>
    <w:qFormat/>
    <w:uiPriority w:val="0"/>
    <w:pPr>
      <w:widowControl w:val="0"/>
      <w:adjustRightInd w:val="0"/>
      <w:snapToGrid w:val="0"/>
      <w:spacing w:line="480" w:lineRule="exact"/>
      <w:ind w:firstLine="560" w:firstLineChars="200"/>
      <w:jc w:val="both"/>
    </w:pPr>
    <w:rPr>
      <w:snapToGrid w:val="0"/>
      <w:sz w:val="28"/>
      <w:szCs w:val="28"/>
    </w:rPr>
  </w:style>
  <w:style w:type="paragraph" w:customStyle="1" w:styleId="2356">
    <w:name w:val="样式59"/>
    <w:basedOn w:val="102"/>
    <w:qFormat/>
    <w:uiPriority w:val="0"/>
    <w:pPr>
      <w:spacing w:line="480" w:lineRule="exact"/>
      <w:ind w:left="-140" w:leftChars="-6" w:right="31" w:hanging="8" w:hangingChars="8"/>
    </w:pPr>
    <w:rPr>
      <w:rFonts w:ascii="方正黑体简体" w:eastAsia="方正黑体简体"/>
      <w:sz w:val="30"/>
    </w:rPr>
  </w:style>
  <w:style w:type="paragraph" w:customStyle="1" w:styleId="2357">
    <w:name w:val="样式72"/>
    <w:basedOn w:val="1"/>
    <w:qFormat/>
    <w:uiPriority w:val="0"/>
    <w:pPr>
      <w:widowControl w:val="0"/>
      <w:adjustRightInd w:val="0"/>
      <w:snapToGrid w:val="0"/>
      <w:spacing w:line="480" w:lineRule="exact"/>
      <w:ind w:firstLine="560" w:firstLineChars="200"/>
      <w:jc w:val="both"/>
    </w:pPr>
    <w:rPr>
      <w:rFonts w:cs="Times New Roman"/>
      <w:snapToGrid w:val="0"/>
      <w:color w:val="FF0000"/>
      <w:sz w:val="28"/>
      <w:szCs w:val="28"/>
    </w:rPr>
  </w:style>
  <w:style w:type="paragraph" w:customStyle="1" w:styleId="2358">
    <w:name w:val="正文首行缩进 22"/>
    <w:basedOn w:val="311"/>
    <w:qFormat/>
    <w:uiPriority w:val="0"/>
    <w:pPr>
      <w:spacing w:after="120"/>
      <w:ind w:left="420" w:firstLine="420"/>
    </w:pPr>
  </w:style>
  <w:style w:type="paragraph" w:customStyle="1" w:styleId="2359">
    <w:name w:val="样式25"/>
    <w:basedOn w:val="1"/>
    <w:qFormat/>
    <w:uiPriority w:val="0"/>
    <w:pPr>
      <w:widowControl w:val="0"/>
      <w:adjustRightInd w:val="0"/>
      <w:snapToGrid w:val="0"/>
      <w:spacing w:line="500" w:lineRule="exact"/>
      <w:ind w:firstLine="560" w:firstLineChars="200"/>
      <w:jc w:val="both"/>
    </w:pPr>
    <w:rPr>
      <w:rFonts w:ascii="Times New Roman" w:hAnsi="Times New Roman" w:cs="Times New Roman"/>
      <w:snapToGrid w:val="0"/>
      <w:sz w:val="28"/>
      <w:szCs w:val="28"/>
    </w:rPr>
  </w:style>
  <w:style w:type="paragraph" w:customStyle="1" w:styleId="2360">
    <w:name w:val="xl195"/>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color w:val="000000"/>
      <w:sz w:val="20"/>
      <w:szCs w:val="20"/>
    </w:rPr>
  </w:style>
  <w:style w:type="paragraph" w:customStyle="1" w:styleId="2361">
    <w:name w:val="样式43"/>
    <w:basedOn w:val="1"/>
    <w:qFormat/>
    <w:uiPriority w:val="0"/>
    <w:pPr>
      <w:widowControl w:val="0"/>
      <w:adjustRightInd w:val="0"/>
      <w:snapToGrid w:val="0"/>
      <w:spacing w:line="480" w:lineRule="exact"/>
      <w:ind w:firstLine="560" w:firstLineChars="200"/>
      <w:jc w:val="both"/>
    </w:pPr>
    <w:rPr>
      <w:rFonts w:ascii="Times New Roman" w:hAnsi="Times New Roman" w:cs="Times New Roman"/>
      <w:snapToGrid w:val="0"/>
      <w:sz w:val="28"/>
    </w:rPr>
  </w:style>
  <w:style w:type="paragraph" w:customStyle="1" w:styleId="2362">
    <w:name w:val="样式 标题 1 + 黑体 二号 段前: 20 磅 段后: 20 磅 行距: 固定值 28 磅"/>
    <w:basedOn w:val="4"/>
    <w:qFormat/>
    <w:uiPriority w:val="0"/>
    <w:pPr>
      <w:keepNext/>
      <w:widowControl w:val="0"/>
      <w:adjustRightInd w:val="0"/>
      <w:snapToGrid w:val="0"/>
      <w:spacing w:beforeLines="100" w:afterLines="100" w:line="480" w:lineRule="auto"/>
      <w:jc w:val="center"/>
    </w:pPr>
    <w:rPr>
      <w:rFonts w:ascii="黑体" w:hAnsi="黑体" w:cs="宋体"/>
      <w:b/>
      <w:bCs/>
      <w:sz w:val="44"/>
      <w:szCs w:val="20"/>
    </w:rPr>
  </w:style>
  <w:style w:type="paragraph" w:customStyle="1" w:styleId="2363">
    <w:name w:val="样式69"/>
    <w:basedOn w:val="1"/>
    <w:qFormat/>
    <w:uiPriority w:val="0"/>
    <w:pPr>
      <w:widowControl w:val="0"/>
      <w:adjustRightInd w:val="0"/>
      <w:snapToGrid w:val="0"/>
      <w:spacing w:line="480" w:lineRule="exact"/>
      <w:ind w:firstLine="560" w:firstLineChars="200"/>
      <w:jc w:val="both"/>
    </w:pPr>
    <w:rPr>
      <w:rFonts w:cs="Times New Roman"/>
      <w:snapToGrid w:val="0"/>
      <w:color w:val="FF0000"/>
      <w:sz w:val="28"/>
      <w:szCs w:val="28"/>
    </w:rPr>
  </w:style>
  <w:style w:type="paragraph" w:customStyle="1" w:styleId="2364">
    <w:name w:val="标题1T"/>
    <w:next w:val="4"/>
    <w:qFormat/>
    <w:uiPriority w:val="0"/>
    <w:pPr>
      <w:spacing w:beforeLines="100" w:afterLines="100" w:line="480" w:lineRule="exact"/>
      <w:jc w:val="center"/>
    </w:pPr>
    <w:rPr>
      <w:rFonts w:ascii="Times New Roman" w:hAnsi="Times New Roman" w:eastAsia="楷体_GB2312" w:cs="Times New Roman"/>
      <w:kern w:val="2"/>
      <w:sz w:val="32"/>
      <w:szCs w:val="32"/>
      <w:lang w:val="en-US" w:eastAsia="zh-CN" w:bidi="ar-SA"/>
    </w:rPr>
  </w:style>
  <w:style w:type="paragraph" w:customStyle="1" w:styleId="2365">
    <w:name w:val="xl2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366">
    <w:name w:val="正文五级标题"/>
    <w:basedOn w:val="1"/>
    <w:qFormat/>
    <w:uiPriority w:val="0"/>
    <w:pPr>
      <w:widowControl w:val="0"/>
      <w:spacing w:line="480" w:lineRule="exact"/>
      <w:ind w:firstLine="200" w:firstLineChars="200"/>
      <w:jc w:val="both"/>
      <w:outlineLvl w:val="4"/>
    </w:pPr>
    <w:rPr>
      <w:rFonts w:ascii="Times New Roman" w:hAnsi="Times New Roman" w:eastAsia="仿宋_GB2312" w:cs="Times New Roman"/>
      <w:b/>
      <w:kern w:val="2"/>
      <w:sz w:val="30"/>
    </w:rPr>
  </w:style>
  <w:style w:type="paragraph" w:customStyle="1" w:styleId="2367">
    <w:name w:val="正文一级"/>
    <w:qFormat/>
    <w:uiPriority w:val="0"/>
    <w:pPr>
      <w:tabs>
        <w:tab w:val="left" w:pos="200"/>
      </w:tabs>
      <w:spacing w:before="360" w:after="240"/>
      <w:ind w:left="200"/>
      <w:jc w:val="center"/>
      <w:outlineLvl w:val="0"/>
    </w:pPr>
    <w:rPr>
      <w:rFonts w:ascii="Times New Roman" w:hAnsi="Times New Roman" w:eastAsia="黑体" w:cs="Times New Roman"/>
      <w:bCs/>
      <w:kern w:val="44"/>
      <w:sz w:val="36"/>
      <w:szCs w:val="36"/>
      <w:lang w:val="en-US" w:eastAsia="zh-CN" w:bidi="ar-SA"/>
    </w:rPr>
  </w:style>
  <w:style w:type="paragraph" w:customStyle="1" w:styleId="2368">
    <w:name w:val="注"/>
    <w:basedOn w:val="1"/>
    <w:qFormat/>
    <w:uiPriority w:val="0"/>
    <w:pPr>
      <w:widowControl w:val="0"/>
      <w:ind w:firstLine="57"/>
      <w:jc w:val="both"/>
    </w:pPr>
    <w:rPr>
      <w:rFonts w:hAnsi="Times New Roman" w:cs="Times New Roman"/>
      <w:kern w:val="2"/>
      <w:sz w:val="21"/>
      <w:szCs w:val="20"/>
    </w:rPr>
  </w:style>
  <w:style w:type="paragraph" w:customStyle="1" w:styleId="2369">
    <w:name w:val="正文+"/>
    <w:basedOn w:val="1"/>
    <w:qFormat/>
    <w:uiPriority w:val="0"/>
    <w:pPr>
      <w:adjustRightInd w:val="0"/>
      <w:snapToGrid w:val="0"/>
      <w:spacing w:line="480" w:lineRule="exact"/>
      <w:ind w:firstLine="560" w:firstLineChars="200"/>
    </w:pPr>
    <w:rPr>
      <w:snapToGrid w:val="0"/>
      <w:sz w:val="28"/>
      <w:szCs w:val="20"/>
    </w:rPr>
  </w:style>
  <w:style w:type="paragraph" w:customStyle="1" w:styleId="2370">
    <w:name w:val="样式39"/>
    <w:basedOn w:val="104"/>
    <w:qFormat/>
    <w:uiPriority w:val="0"/>
    <w:pPr>
      <w:adjustRightInd w:val="0"/>
      <w:spacing w:line="300" w:lineRule="exact"/>
      <w:ind w:left="-140" w:leftChars="-50" w:right="-140" w:rightChars="-50" w:firstLine="0"/>
    </w:pPr>
    <w:rPr>
      <w:rFonts w:hint="default" w:ascii="Times New Roman" w:hAnsi="Times New Roman" w:eastAsia="宋体"/>
      <w:color w:val="000000"/>
      <w:kern w:val="0"/>
      <w:szCs w:val="28"/>
    </w:rPr>
  </w:style>
  <w:style w:type="paragraph" w:customStyle="1" w:styleId="2371">
    <w:name w:val="xl1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372">
    <w:name w:val="样式85"/>
    <w:basedOn w:val="1"/>
    <w:qFormat/>
    <w:uiPriority w:val="0"/>
    <w:pPr>
      <w:widowControl w:val="0"/>
      <w:adjustRightInd w:val="0"/>
      <w:snapToGrid w:val="0"/>
      <w:spacing w:line="480" w:lineRule="exact"/>
      <w:ind w:firstLine="560" w:firstLineChars="200"/>
      <w:jc w:val="both"/>
    </w:pPr>
    <w:rPr>
      <w:rFonts w:ascii="Times New Roman" w:hAnsi="Times New Roman" w:cs="Times New Roman"/>
      <w:snapToGrid w:val="0"/>
      <w:color w:val="000000"/>
      <w:sz w:val="28"/>
      <w:szCs w:val="21"/>
    </w:rPr>
  </w:style>
  <w:style w:type="paragraph" w:customStyle="1" w:styleId="2373">
    <w:name w:val="xl2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374">
    <w:name w:val="正文文本缩进 33"/>
    <w:basedOn w:val="1"/>
    <w:qFormat/>
    <w:uiPriority w:val="0"/>
    <w:pPr>
      <w:widowControl w:val="0"/>
      <w:spacing w:line="300" w:lineRule="auto"/>
      <w:ind w:firstLine="525"/>
      <w:jc w:val="both"/>
    </w:pPr>
    <w:rPr>
      <w:rFonts w:ascii="Times New Roman" w:hAnsi="Times New Roman" w:cs="Times New Roman"/>
      <w:kern w:val="2"/>
      <w:szCs w:val="20"/>
    </w:rPr>
  </w:style>
  <w:style w:type="paragraph" w:customStyle="1" w:styleId="2375">
    <w:name w:val="xl318"/>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b/>
      <w:bCs/>
      <w:sz w:val="20"/>
      <w:szCs w:val="20"/>
    </w:rPr>
  </w:style>
  <w:style w:type="paragraph" w:customStyle="1" w:styleId="2376">
    <w:name w:val="样式42"/>
    <w:basedOn w:val="102"/>
    <w:qFormat/>
    <w:uiPriority w:val="0"/>
    <w:pPr>
      <w:spacing w:line="480" w:lineRule="exact"/>
      <w:ind w:left="-6" w:leftChars="-6" w:hanging="17" w:hangingChars="8"/>
    </w:pPr>
    <w:rPr>
      <w:rFonts w:ascii="方正黑体简体" w:eastAsia="方正黑体简体"/>
      <w:snapToGrid w:val="0"/>
      <w:sz w:val="30"/>
    </w:rPr>
  </w:style>
  <w:style w:type="paragraph" w:customStyle="1" w:styleId="2377">
    <w:name w:val="日期2"/>
    <w:basedOn w:val="1"/>
    <w:next w:val="1"/>
    <w:qFormat/>
    <w:uiPriority w:val="0"/>
    <w:pPr>
      <w:widowControl w:val="0"/>
      <w:jc w:val="both"/>
    </w:pPr>
    <w:rPr>
      <w:rFonts w:ascii="Times New Roman" w:hAnsi="Times New Roman" w:cs="Times New Roman"/>
      <w:kern w:val="2"/>
      <w:sz w:val="21"/>
      <w:szCs w:val="20"/>
    </w:rPr>
  </w:style>
  <w:style w:type="paragraph" w:customStyle="1" w:styleId="2378">
    <w:name w:val="正文题目"/>
    <w:basedOn w:val="1"/>
    <w:qFormat/>
    <w:uiPriority w:val="0"/>
    <w:pPr>
      <w:widowControl w:val="0"/>
      <w:spacing w:beforeLines="50" w:afterLines="100" w:line="700" w:lineRule="exact"/>
      <w:jc w:val="center"/>
    </w:pPr>
    <w:rPr>
      <w:rFonts w:ascii="Times New Roman" w:hAnsi="Times New Roman" w:eastAsia="黑体" w:cs="Times New Roman"/>
      <w:kern w:val="2"/>
      <w:sz w:val="44"/>
    </w:rPr>
  </w:style>
  <w:style w:type="paragraph" w:customStyle="1" w:styleId="2379">
    <w:name w:val="样式63"/>
    <w:basedOn w:val="2380"/>
    <w:qFormat/>
    <w:uiPriority w:val="0"/>
    <w:pPr>
      <w:spacing w:line="500" w:lineRule="exact"/>
      <w:ind w:left="0" w:leftChars="0" w:right="0" w:rightChars="0"/>
    </w:pPr>
    <w:rPr>
      <w:rFonts w:ascii="Times New Roman" w:hAnsi="Times New Roman" w:cs="Times New Roman"/>
      <w:color w:val="auto"/>
    </w:rPr>
  </w:style>
  <w:style w:type="paragraph" w:customStyle="1" w:styleId="2380">
    <w:name w:val="样式62"/>
    <w:basedOn w:val="1"/>
    <w:qFormat/>
    <w:uiPriority w:val="0"/>
    <w:pPr>
      <w:widowControl w:val="0"/>
      <w:adjustRightInd w:val="0"/>
      <w:snapToGrid w:val="0"/>
      <w:spacing w:line="480" w:lineRule="exact"/>
      <w:ind w:left="140" w:leftChars="50" w:right="140" w:rightChars="50" w:firstLine="560" w:firstLineChars="200"/>
      <w:jc w:val="both"/>
    </w:pPr>
    <w:rPr>
      <w:bCs/>
      <w:snapToGrid w:val="0"/>
      <w:color w:val="FF0000"/>
      <w:sz w:val="28"/>
      <w:szCs w:val="28"/>
    </w:rPr>
  </w:style>
  <w:style w:type="paragraph" w:customStyle="1" w:styleId="2381">
    <w:name w:val="索引 31"/>
    <w:basedOn w:val="1"/>
    <w:next w:val="1"/>
    <w:qFormat/>
    <w:uiPriority w:val="0"/>
    <w:pPr>
      <w:widowControl w:val="0"/>
      <w:spacing w:line="480" w:lineRule="exact"/>
      <w:ind w:left="400" w:leftChars="400"/>
      <w:jc w:val="both"/>
    </w:pPr>
    <w:rPr>
      <w:rFonts w:ascii="Times New Roman" w:hAnsi="Times New Roman" w:cs="Times New Roman"/>
      <w:kern w:val="2"/>
    </w:rPr>
  </w:style>
  <w:style w:type="paragraph" w:customStyle="1" w:styleId="2382">
    <w:name w:val="设料表居中"/>
    <w:basedOn w:val="1"/>
    <w:qFormat/>
    <w:uiPriority w:val="0"/>
    <w:pPr>
      <w:widowControl w:val="0"/>
      <w:adjustRightInd w:val="0"/>
      <w:ind w:left="-101" w:leftChars="-48"/>
      <w:jc w:val="center"/>
    </w:pPr>
    <w:rPr>
      <w:rFonts w:ascii="Times New Roman" w:hAnsi="Times New Roman" w:eastAsia="仿宋_GB2312" w:cs="Times New Roman"/>
      <w:kern w:val="2"/>
      <w:sz w:val="18"/>
      <w:szCs w:val="20"/>
    </w:rPr>
  </w:style>
  <w:style w:type="paragraph" w:customStyle="1" w:styleId="2383">
    <w:name w:val="xl263"/>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384">
    <w:name w:val="正文四级"/>
    <w:basedOn w:val="1"/>
    <w:qFormat/>
    <w:uiPriority w:val="0"/>
    <w:pPr>
      <w:widowControl w:val="0"/>
      <w:tabs>
        <w:tab w:val="left" w:pos="1022"/>
      </w:tabs>
      <w:ind w:left="1022" w:hanging="420"/>
      <w:outlineLvl w:val="3"/>
    </w:pPr>
    <w:rPr>
      <w:rFonts w:ascii="Times New Roman" w:hAnsi="Times New Roman" w:cs="Times New Roman"/>
      <w:b/>
      <w:kern w:val="2"/>
      <w:sz w:val="30"/>
    </w:rPr>
  </w:style>
  <w:style w:type="paragraph" w:customStyle="1" w:styleId="2385">
    <w:name w:val="Char Char Char Char Char 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2386">
    <w:name w:val="Char Char Char Char Char Char Char Char Char Char Char Char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2387">
    <w:name w:val="TOC 标题2"/>
    <w:basedOn w:val="4"/>
    <w:next w:val="1"/>
    <w:qFormat/>
    <w:uiPriority w:val="0"/>
    <w:pPr>
      <w:keepNext/>
      <w:keepLines/>
      <w:spacing w:before="480" w:line="276" w:lineRule="auto"/>
      <w:outlineLvl w:val="9"/>
    </w:pPr>
    <w:rPr>
      <w:rFonts w:ascii="Cambria" w:hAnsi="Cambria" w:eastAsia="宋体"/>
      <w:b/>
      <w:bCs/>
      <w:color w:val="365F91"/>
      <w:kern w:val="0"/>
      <w:sz w:val="28"/>
      <w:szCs w:val="28"/>
    </w:rPr>
  </w:style>
  <w:style w:type="paragraph" w:customStyle="1" w:styleId="2388">
    <w:name w:val="cucd-2"/>
    <w:next w:val="1"/>
    <w:qFormat/>
    <w:uiPriority w:val="0"/>
    <w:pPr>
      <w:tabs>
        <w:tab w:val="left" w:pos="567"/>
      </w:tabs>
      <w:spacing w:line="360" w:lineRule="auto"/>
      <w:ind w:left="567" w:hanging="567"/>
      <w:outlineLvl w:val="1"/>
    </w:pPr>
    <w:rPr>
      <w:rFonts w:ascii="Times New Roman" w:hAnsi="Times New Roman" w:eastAsia="黑体" w:cs="Times New Roman"/>
      <w:b/>
      <w:kern w:val="2"/>
      <w:sz w:val="30"/>
      <w:szCs w:val="24"/>
      <w:lang w:val="en-US" w:eastAsia="zh-CN" w:bidi="ar-SA"/>
    </w:rPr>
  </w:style>
  <w:style w:type="paragraph" w:customStyle="1" w:styleId="2389">
    <w:name w:val="样式52"/>
    <w:basedOn w:val="1"/>
    <w:qFormat/>
    <w:uiPriority w:val="0"/>
    <w:pPr>
      <w:widowControl w:val="0"/>
      <w:adjustRightInd w:val="0"/>
      <w:snapToGrid w:val="0"/>
      <w:spacing w:line="480" w:lineRule="exact"/>
      <w:ind w:left="-140" w:right="31"/>
      <w:jc w:val="center"/>
    </w:pPr>
    <w:rPr>
      <w:rFonts w:ascii="Times New Roman" w:hAnsi="Times New Roman" w:cs="Times New Roman"/>
      <w:snapToGrid w:val="0"/>
      <w:sz w:val="21"/>
      <w:szCs w:val="21"/>
    </w:rPr>
  </w:style>
  <w:style w:type="paragraph" w:customStyle="1" w:styleId="2390">
    <w:name w:val="样式 zw + Times New Roman"/>
    <w:basedOn w:val="1"/>
    <w:qFormat/>
    <w:uiPriority w:val="0"/>
    <w:pPr>
      <w:widowControl w:val="0"/>
      <w:snapToGrid w:val="0"/>
      <w:spacing w:line="300" w:lineRule="auto"/>
      <w:ind w:firstLine="200" w:firstLineChars="200"/>
      <w:jc w:val="both"/>
    </w:pPr>
    <w:rPr>
      <w:rFonts w:ascii="Times New Roman" w:hAnsi="Times New Roman" w:eastAsia="楷体_GB2312" w:cs="Times New Roman"/>
      <w:kern w:val="2"/>
      <w:sz w:val="28"/>
      <w:szCs w:val="20"/>
    </w:rPr>
  </w:style>
  <w:style w:type="paragraph" w:customStyle="1" w:styleId="2391">
    <w:name w:val="xl2141"/>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b/>
      <w:bCs/>
    </w:rPr>
  </w:style>
  <w:style w:type="paragraph" w:customStyle="1" w:styleId="2392">
    <w:name w:val="样式 小四 黑色 首行缩进:  0.77 厘米 行距: 1.5 倍行距"/>
    <w:basedOn w:val="1"/>
    <w:qFormat/>
    <w:uiPriority w:val="0"/>
    <w:pPr>
      <w:widowControl w:val="0"/>
      <w:spacing w:line="360" w:lineRule="auto"/>
      <w:ind w:firstLine="437"/>
      <w:jc w:val="both"/>
    </w:pPr>
    <w:rPr>
      <w:rFonts w:ascii="Times New Roman" w:hAnsi="Times New Roman" w:cs="Times New Roman"/>
      <w:color w:val="000000"/>
      <w:kern w:val="2"/>
    </w:rPr>
  </w:style>
  <w:style w:type="paragraph" w:customStyle="1" w:styleId="2393">
    <w:name w:val="样式70"/>
    <w:basedOn w:val="1"/>
    <w:qFormat/>
    <w:uiPriority w:val="0"/>
    <w:pPr>
      <w:widowControl w:val="0"/>
      <w:adjustRightInd w:val="0"/>
      <w:snapToGrid w:val="0"/>
      <w:spacing w:line="480" w:lineRule="exact"/>
      <w:ind w:firstLine="560" w:firstLineChars="200"/>
      <w:jc w:val="both"/>
    </w:pPr>
    <w:rPr>
      <w:rFonts w:cs="Times New Roman"/>
      <w:snapToGrid w:val="0"/>
      <w:color w:val="FF0000"/>
      <w:sz w:val="28"/>
      <w:szCs w:val="28"/>
    </w:rPr>
  </w:style>
  <w:style w:type="paragraph" w:customStyle="1" w:styleId="2394">
    <w:name w:val="xl1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395">
    <w:name w:val="样式90"/>
    <w:basedOn w:val="1"/>
    <w:qFormat/>
    <w:uiPriority w:val="0"/>
    <w:pPr>
      <w:widowControl w:val="0"/>
      <w:adjustRightInd w:val="0"/>
      <w:snapToGrid w:val="0"/>
      <w:spacing w:line="320" w:lineRule="exact"/>
      <w:jc w:val="both"/>
    </w:pPr>
    <w:rPr>
      <w:rFonts w:ascii="Times New Roman" w:cs="Times New Roman"/>
      <w:snapToGrid w:val="0"/>
      <w:color w:val="000000"/>
      <w:sz w:val="21"/>
      <w:szCs w:val="21"/>
    </w:rPr>
  </w:style>
  <w:style w:type="paragraph" w:customStyle="1" w:styleId="2396">
    <w:name w:val="样式 表格标注 + 首行缩进:  2 字符"/>
    <w:basedOn w:val="1"/>
    <w:qFormat/>
    <w:uiPriority w:val="0"/>
    <w:pPr>
      <w:widowControl w:val="0"/>
      <w:spacing w:beforeLines="50" w:afterLines="50"/>
      <w:ind w:firstLine="420" w:firstLineChars="200"/>
      <w:jc w:val="both"/>
    </w:pPr>
    <w:rPr>
      <w:rFonts w:ascii="Times New Roman" w:hAnsi="Times New Roman"/>
      <w:kern w:val="2"/>
      <w:sz w:val="21"/>
      <w:szCs w:val="20"/>
    </w:rPr>
  </w:style>
  <w:style w:type="paragraph" w:customStyle="1" w:styleId="2397">
    <w:name w:val="xl2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398">
    <w:name w:val="样式76"/>
    <w:basedOn w:val="104"/>
    <w:qFormat/>
    <w:uiPriority w:val="0"/>
    <w:pPr>
      <w:adjustRightInd w:val="0"/>
      <w:spacing w:line="300" w:lineRule="exact"/>
      <w:ind w:left="-140" w:leftChars="-50" w:right="-140" w:rightChars="-50" w:firstLine="420"/>
    </w:pPr>
    <w:rPr>
      <w:rFonts w:hint="default" w:ascii="Times New Roman" w:hAnsi="Times New Roman" w:eastAsia="宋体"/>
      <w:color w:val="000000"/>
      <w:kern w:val="0"/>
      <w:szCs w:val="28"/>
    </w:rPr>
  </w:style>
  <w:style w:type="paragraph" w:customStyle="1" w:styleId="2399">
    <w:name w:val="样式 表格头 + (符号) 宋体 段前: 0.5 行"/>
    <w:basedOn w:val="1"/>
    <w:qFormat/>
    <w:uiPriority w:val="0"/>
    <w:pPr>
      <w:keepNext/>
      <w:keepLines/>
      <w:adjustRightInd w:val="0"/>
      <w:snapToGrid w:val="0"/>
      <w:spacing w:beforeLines="50" w:line="400" w:lineRule="exact"/>
      <w:jc w:val="center"/>
    </w:pPr>
    <w:rPr>
      <w:rFonts w:ascii="Arial"/>
      <w:snapToGrid w:val="0"/>
      <w:color w:val="000000"/>
      <w:sz w:val="28"/>
      <w:szCs w:val="20"/>
    </w:rPr>
  </w:style>
  <w:style w:type="paragraph" w:customStyle="1" w:styleId="2400">
    <w:name w:val="xl303"/>
    <w:basedOn w:val="1"/>
    <w:qFormat/>
    <w:uiPriority w:val="0"/>
    <w:pPr>
      <w:pBdr>
        <w:bottom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401">
    <w:name w:val="123"/>
    <w:basedOn w:val="1"/>
    <w:qFormat/>
    <w:uiPriority w:val="0"/>
    <w:pPr>
      <w:widowControl w:val="0"/>
      <w:spacing w:line="360" w:lineRule="auto"/>
      <w:ind w:firstLine="420"/>
      <w:jc w:val="both"/>
    </w:pPr>
    <w:rPr>
      <w:rFonts w:ascii="Times New Roman" w:hAnsi="Times New Roman" w:cs="Times New Roman"/>
      <w:kern w:val="2"/>
    </w:rPr>
  </w:style>
  <w:style w:type="paragraph" w:customStyle="1" w:styleId="2402">
    <w:name w:val="xl21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sz w:val="22"/>
      <w:szCs w:val="22"/>
    </w:rPr>
  </w:style>
  <w:style w:type="paragraph" w:customStyle="1" w:styleId="2403">
    <w:name w:val="标题 4 + 四号"/>
    <w:basedOn w:val="7"/>
    <w:qFormat/>
    <w:uiPriority w:val="0"/>
    <w:pPr>
      <w:widowControl w:val="0"/>
      <w:spacing w:beforeLines="50" w:afterLines="50" w:line="480" w:lineRule="exact"/>
      <w:jc w:val="both"/>
    </w:pPr>
    <w:rPr>
      <w:sz w:val="28"/>
      <w:szCs w:val="28"/>
    </w:rPr>
  </w:style>
  <w:style w:type="paragraph" w:customStyle="1" w:styleId="2404">
    <w:name w:val="正文缩进3"/>
    <w:basedOn w:val="1"/>
    <w:qFormat/>
    <w:uiPriority w:val="0"/>
    <w:pPr>
      <w:widowControl w:val="0"/>
      <w:adjustRightInd w:val="0"/>
      <w:snapToGrid w:val="0"/>
      <w:spacing w:line="480" w:lineRule="exact"/>
      <w:ind w:firstLine="200" w:firstLineChars="200"/>
      <w:jc w:val="both"/>
    </w:pPr>
    <w:rPr>
      <w:rFonts w:ascii="Times New Roman" w:hAnsi="Times New Roman" w:eastAsia="方正仿宋简体" w:cs="Times New Roman"/>
      <w:kern w:val="2"/>
      <w:sz w:val="28"/>
      <w:szCs w:val="20"/>
    </w:rPr>
  </w:style>
  <w:style w:type="paragraph" w:customStyle="1" w:styleId="2405">
    <w:name w:val="样式 标题2 + 行距: 固定值 23 磅"/>
    <w:basedOn w:val="1"/>
    <w:qFormat/>
    <w:uiPriority w:val="0"/>
    <w:pPr>
      <w:keepNext/>
      <w:keepLines/>
      <w:widowControl w:val="0"/>
      <w:adjustRightInd w:val="0"/>
      <w:spacing w:line="460" w:lineRule="exact"/>
      <w:jc w:val="both"/>
      <w:outlineLvl w:val="1"/>
    </w:pPr>
    <w:rPr>
      <w:rFonts w:ascii="黑体" w:hAnsi="Times New Roman" w:eastAsia="黑体"/>
      <w:bCs/>
      <w:color w:val="000000"/>
      <w:sz w:val="28"/>
      <w:szCs w:val="20"/>
    </w:rPr>
  </w:style>
  <w:style w:type="paragraph" w:customStyle="1" w:styleId="2406">
    <w:name w:val="正文文本 31"/>
    <w:basedOn w:val="1"/>
    <w:qFormat/>
    <w:uiPriority w:val="0"/>
    <w:pPr>
      <w:widowControl w:val="0"/>
      <w:adjustRightInd w:val="0"/>
      <w:snapToGrid w:val="0"/>
      <w:spacing w:after="120" w:line="480" w:lineRule="exact"/>
      <w:ind w:firstLine="200" w:firstLineChars="200"/>
      <w:jc w:val="both"/>
    </w:pPr>
    <w:rPr>
      <w:rFonts w:ascii="Times New Roman" w:hAnsi="Times New Roman" w:cs="Times New Roman"/>
      <w:sz w:val="16"/>
      <w:szCs w:val="16"/>
    </w:rPr>
  </w:style>
  <w:style w:type="paragraph" w:customStyle="1" w:styleId="2407">
    <w:name w:val="样式 标题 3条标题1.1.1BSH-3H3h33rd levell3CT段二级节名条 1二级节名1二级...1"/>
    <w:basedOn w:val="7"/>
    <w:qFormat/>
    <w:uiPriority w:val="0"/>
    <w:pPr>
      <w:widowControl w:val="0"/>
      <w:adjustRightInd w:val="0"/>
      <w:spacing w:line="360" w:lineRule="auto"/>
      <w:jc w:val="both"/>
    </w:pPr>
    <w:rPr>
      <w:rFonts w:eastAsia="宋体" w:cs="宋体"/>
      <w:b/>
      <w:sz w:val="28"/>
      <w:szCs w:val="20"/>
    </w:rPr>
  </w:style>
  <w:style w:type="paragraph" w:customStyle="1" w:styleId="2408">
    <w:name w:val="样式21"/>
    <w:basedOn w:val="1"/>
    <w:qFormat/>
    <w:uiPriority w:val="0"/>
    <w:pPr>
      <w:widowControl w:val="0"/>
      <w:adjustRightInd w:val="0"/>
      <w:snapToGrid w:val="0"/>
      <w:spacing w:line="480" w:lineRule="exact"/>
      <w:ind w:firstLine="560" w:firstLineChars="200"/>
      <w:jc w:val="both"/>
    </w:pPr>
    <w:rPr>
      <w:rFonts w:ascii="Times New Roman" w:hAnsi="Times New Roman" w:cs="Times New Roman"/>
      <w:snapToGrid w:val="0"/>
      <w:sz w:val="28"/>
      <w:szCs w:val="28"/>
    </w:rPr>
  </w:style>
  <w:style w:type="paragraph" w:customStyle="1" w:styleId="2409">
    <w:name w:val="文本框文字"/>
    <w:basedOn w:val="41"/>
    <w:next w:val="41"/>
    <w:qFormat/>
    <w:uiPriority w:val="0"/>
    <w:pPr>
      <w:widowControl w:val="0"/>
      <w:spacing w:line="360" w:lineRule="exact"/>
      <w:jc w:val="both"/>
    </w:pPr>
    <w:rPr>
      <w:sz w:val="24"/>
      <w:szCs w:val="20"/>
    </w:rPr>
  </w:style>
  <w:style w:type="paragraph" w:customStyle="1" w:styleId="2410">
    <w:name w:val="封面落款"/>
    <w:basedOn w:val="1"/>
    <w:next w:val="1"/>
    <w:qFormat/>
    <w:uiPriority w:val="0"/>
    <w:pPr>
      <w:widowControl w:val="0"/>
      <w:spacing w:line="460" w:lineRule="exact"/>
      <w:ind w:firstLine="200" w:firstLineChars="200"/>
      <w:jc w:val="center"/>
    </w:pPr>
    <w:rPr>
      <w:rFonts w:ascii="Times New Roman" w:hAnsi="Times New Roman" w:cs="Times New Roman"/>
      <w:kern w:val="2"/>
      <w:sz w:val="28"/>
    </w:rPr>
  </w:style>
  <w:style w:type="paragraph" w:customStyle="1" w:styleId="2411">
    <w:name w:val="列出段落5"/>
    <w:basedOn w:val="1"/>
    <w:qFormat/>
    <w:uiPriority w:val="34"/>
    <w:pPr>
      <w:widowControl w:val="0"/>
      <w:ind w:firstLine="420" w:firstLineChars="200"/>
      <w:jc w:val="both"/>
    </w:pPr>
    <w:rPr>
      <w:rFonts w:ascii="Times New Roman" w:hAnsi="Times New Roman" w:cs="Times New Roman"/>
      <w:kern w:val="2"/>
      <w:szCs w:val="20"/>
    </w:rPr>
  </w:style>
  <w:style w:type="paragraph" w:customStyle="1" w:styleId="2412">
    <w:name w:val="正文-表格居中"/>
    <w:basedOn w:val="1225"/>
    <w:qFormat/>
    <w:uiPriority w:val="0"/>
    <w:pPr>
      <w:adjustRightInd w:val="0"/>
      <w:snapToGrid w:val="0"/>
      <w:spacing w:line="240" w:lineRule="auto"/>
      <w:ind w:firstLine="0"/>
      <w:jc w:val="center"/>
    </w:pPr>
    <w:rPr>
      <w:sz w:val="21"/>
      <w:szCs w:val="24"/>
    </w:rPr>
  </w:style>
  <w:style w:type="paragraph" w:customStyle="1" w:styleId="2413">
    <w:name w:val="图形标题"/>
    <w:basedOn w:val="6"/>
    <w:next w:val="1"/>
    <w:qFormat/>
    <w:uiPriority w:val="0"/>
    <w:pPr>
      <w:widowControl w:val="0"/>
      <w:tabs>
        <w:tab w:val="left" w:pos="1120"/>
      </w:tabs>
      <w:spacing w:before="120" w:after="120" w:line="290" w:lineRule="auto"/>
      <w:ind w:right="-108" w:firstLine="0"/>
      <w:jc w:val="center"/>
    </w:pPr>
    <w:rPr>
      <w:rFonts w:ascii="Times New Roman" w:hAnsi="Times New Roman"/>
      <w:kern w:val="24"/>
      <w:sz w:val="24"/>
    </w:rPr>
  </w:style>
  <w:style w:type="paragraph" w:customStyle="1" w:styleId="2414">
    <w:name w:val="样式  表头"/>
    <w:basedOn w:val="102"/>
    <w:qFormat/>
    <w:uiPriority w:val="0"/>
    <w:pPr>
      <w:spacing w:line="520" w:lineRule="exact"/>
    </w:pPr>
    <w:rPr>
      <w:snapToGrid w:val="0"/>
    </w:rPr>
  </w:style>
  <w:style w:type="paragraph" w:customStyle="1" w:styleId="2415">
    <w:name w:val="xl273"/>
    <w:basedOn w:val="1"/>
    <w:qFormat/>
    <w:uiPriority w:val="0"/>
    <w:pPr>
      <w:pBdr>
        <w:top w:val="single" w:color="auto" w:sz="4" w:space="0"/>
        <w:left w:val="single" w:color="auto" w:sz="4" w:space="0"/>
        <w:bottom w:val="single" w:color="auto" w:sz="4" w:space="0"/>
        <w:right w:val="single" w:color="auto" w:sz="4" w:space="0"/>
      </w:pBdr>
      <w:shd w:val="clear" w:color="auto" w:fill="800080"/>
      <w:spacing w:before="100" w:beforeAutospacing="1" w:after="100" w:afterAutospacing="1"/>
    </w:pPr>
    <w:rPr>
      <w:b/>
      <w:bCs/>
      <w:sz w:val="20"/>
      <w:szCs w:val="20"/>
    </w:rPr>
  </w:style>
  <w:style w:type="paragraph" w:customStyle="1" w:styleId="2416">
    <w:name w:val="样式23"/>
    <w:basedOn w:val="1"/>
    <w:qFormat/>
    <w:uiPriority w:val="0"/>
    <w:pPr>
      <w:spacing w:line="240" w:lineRule="exact"/>
      <w:jc w:val="center"/>
    </w:pPr>
    <w:rPr>
      <w:rFonts w:ascii="Times New Roman" w:cs="Times New Roman"/>
      <w:sz w:val="18"/>
      <w:szCs w:val="18"/>
    </w:rPr>
  </w:style>
  <w:style w:type="paragraph" w:customStyle="1" w:styleId="2417">
    <w:name w:val="样式60"/>
    <w:basedOn w:val="2222"/>
    <w:qFormat/>
    <w:uiPriority w:val="0"/>
    <w:pPr>
      <w:spacing w:line="500" w:lineRule="exact"/>
      <w:ind w:firstLine="560"/>
    </w:pPr>
    <w:rPr>
      <w:b w:val="0"/>
      <w:color w:val="FF0000"/>
    </w:rPr>
  </w:style>
  <w:style w:type="paragraph" w:customStyle="1" w:styleId="2418">
    <w:name w:val="17"/>
    <w:basedOn w:val="1"/>
    <w:next w:val="32"/>
    <w:qFormat/>
    <w:uiPriority w:val="0"/>
    <w:pPr>
      <w:widowControl w:val="0"/>
      <w:adjustRightInd w:val="0"/>
      <w:snapToGrid w:val="0"/>
      <w:ind w:firstLine="645"/>
      <w:jc w:val="both"/>
    </w:pPr>
    <w:rPr>
      <w:rFonts w:hAnsi="Times New Roman" w:cs="Times New Roman"/>
      <w:kern w:val="2"/>
      <w:sz w:val="28"/>
      <w:szCs w:val="20"/>
    </w:rPr>
  </w:style>
  <w:style w:type="paragraph" w:customStyle="1" w:styleId="2419">
    <w:name w:val="Char Char Char Char Char Char Char2"/>
    <w:basedOn w:val="1"/>
    <w:qFormat/>
    <w:uiPriority w:val="0"/>
    <w:pPr>
      <w:spacing w:after="160" w:line="240" w:lineRule="exact"/>
    </w:pPr>
    <w:rPr>
      <w:rFonts w:ascii="Verdana" w:hAnsi="Verdana" w:cs="Times New Roman"/>
      <w:sz w:val="20"/>
      <w:szCs w:val="20"/>
      <w:lang w:eastAsia="en-US"/>
    </w:rPr>
  </w:style>
  <w:style w:type="paragraph" w:customStyle="1" w:styleId="2420">
    <w:name w:val="xl1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421">
    <w:name w:val="样式34"/>
    <w:basedOn w:val="2288"/>
    <w:qFormat/>
    <w:uiPriority w:val="0"/>
    <w:pPr>
      <w:spacing w:line="500" w:lineRule="exact"/>
    </w:pPr>
  </w:style>
  <w:style w:type="paragraph" w:customStyle="1" w:styleId="2422">
    <w:name w:val="Char Char Char1 Char Char Char Char Char Char Char Char Char Char Char Char Char Char Char Char Char Char Char Char Char Char"/>
    <w:basedOn w:val="1"/>
    <w:qFormat/>
    <w:uiPriority w:val="0"/>
    <w:pPr>
      <w:widowControl w:val="0"/>
      <w:adjustRightInd w:val="0"/>
      <w:snapToGrid w:val="0"/>
      <w:spacing w:line="360" w:lineRule="auto"/>
      <w:ind w:firstLine="200" w:firstLineChars="200"/>
      <w:jc w:val="both"/>
    </w:pPr>
    <w:rPr>
      <w:kern w:val="2"/>
      <w:szCs w:val="26"/>
    </w:rPr>
  </w:style>
  <w:style w:type="paragraph" w:customStyle="1" w:styleId="2423">
    <w:name w:val="xl1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b/>
      <w:bCs/>
      <w:sz w:val="21"/>
      <w:szCs w:val="21"/>
    </w:rPr>
  </w:style>
  <w:style w:type="paragraph" w:customStyle="1" w:styleId="2424">
    <w:name w:val="样式44"/>
    <w:basedOn w:val="1"/>
    <w:qFormat/>
    <w:uiPriority w:val="0"/>
    <w:pPr>
      <w:widowControl w:val="0"/>
      <w:adjustRightInd w:val="0"/>
      <w:snapToGrid w:val="0"/>
      <w:spacing w:line="480" w:lineRule="exact"/>
      <w:ind w:firstLine="560" w:firstLineChars="200"/>
      <w:jc w:val="both"/>
    </w:pPr>
    <w:rPr>
      <w:rFonts w:ascii="Times New Roman" w:hAnsi="Times New Roman" w:cs="Times New Roman"/>
      <w:snapToGrid w:val="0"/>
      <w:sz w:val="28"/>
    </w:rPr>
  </w:style>
  <w:style w:type="paragraph" w:customStyle="1" w:styleId="2425">
    <w:name w:val="样式67"/>
    <w:basedOn w:val="1"/>
    <w:qFormat/>
    <w:uiPriority w:val="0"/>
    <w:pPr>
      <w:widowControl w:val="0"/>
      <w:tabs>
        <w:tab w:val="left" w:pos="720"/>
      </w:tabs>
      <w:adjustRightInd w:val="0"/>
      <w:snapToGrid w:val="0"/>
      <w:spacing w:afterLines="50" w:line="480" w:lineRule="exact"/>
      <w:ind w:firstLine="560" w:firstLineChars="200"/>
      <w:jc w:val="both"/>
    </w:pPr>
    <w:rPr>
      <w:rFonts w:ascii="Times New Roman" w:hAnsi="Times New Roman" w:cs="Times New Roman"/>
      <w:snapToGrid w:val="0"/>
      <w:color w:val="FF0000"/>
      <w:sz w:val="28"/>
      <w:szCs w:val="28"/>
    </w:rPr>
  </w:style>
  <w:style w:type="paragraph" w:customStyle="1" w:styleId="2426">
    <w:name w:val="样式48"/>
    <w:basedOn w:val="1"/>
    <w:qFormat/>
    <w:uiPriority w:val="0"/>
    <w:pPr>
      <w:widowControl w:val="0"/>
      <w:adjustRightInd w:val="0"/>
      <w:snapToGrid w:val="0"/>
      <w:spacing w:line="480" w:lineRule="exact"/>
      <w:ind w:firstLine="480" w:firstLineChars="200"/>
      <w:jc w:val="both"/>
    </w:pPr>
    <w:rPr>
      <w:rFonts w:ascii="Times New Roman" w:hAnsi="Times New Roman" w:cs="Times New Roman"/>
      <w:snapToGrid w:val="0"/>
    </w:rPr>
  </w:style>
  <w:style w:type="paragraph" w:customStyle="1" w:styleId="2427">
    <w:name w:val="文本块2"/>
    <w:basedOn w:val="1"/>
    <w:qFormat/>
    <w:uiPriority w:val="0"/>
    <w:pPr>
      <w:widowControl w:val="0"/>
      <w:spacing w:line="480" w:lineRule="exact"/>
      <w:ind w:left="-143" w:leftChars="-68" w:right="-120" w:rightChars="-57"/>
      <w:jc w:val="center"/>
    </w:pPr>
    <w:rPr>
      <w:rFonts w:cs="Times New Roman"/>
      <w:color w:val="000000"/>
      <w:kern w:val="2"/>
    </w:rPr>
  </w:style>
  <w:style w:type="paragraph" w:customStyle="1" w:styleId="2428">
    <w:name w:val="多"/>
    <w:basedOn w:val="1"/>
    <w:qFormat/>
    <w:uiPriority w:val="0"/>
    <w:pPr>
      <w:widowControl w:val="0"/>
      <w:spacing w:line="300" w:lineRule="auto"/>
      <w:ind w:firstLine="200" w:firstLineChars="200"/>
      <w:jc w:val="both"/>
    </w:pPr>
    <w:rPr>
      <w:kern w:val="2"/>
    </w:rPr>
  </w:style>
  <w:style w:type="paragraph" w:customStyle="1" w:styleId="2429">
    <w:name w:val="标题 5 + 四号"/>
    <w:basedOn w:val="2403"/>
    <w:qFormat/>
    <w:uiPriority w:val="0"/>
    <w:pPr>
      <w:spacing w:line="415" w:lineRule="auto"/>
    </w:pPr>
    <w:rPr>
      <w:rFonts w:eastAsia="宋体"/>
      <w:b/>
      <w:kern w:val="2"/>
    </w:rPr>
  </w:style>
  <w:style w:type="paragraph" w:customStyle="1" w:styleId="2430">
    <w:name w:val="样式 标题 1 + (中文) 黑体 二号"/>
    <w:basedOn w:val="4"/>
    <w:qFormat/>
    <w:uiPriority w:val="0"/>
    <w:pPr>
      <w:keepNext/>
      <w:widowControl w:val="0"/>
      <w:adjustRightInd w:val="0"/>
      <w:snapToGrid w:val="0"/>
      <w:spacing w:beforeLines="100" w:afterLines="100" w:line="480" w:lineRule="auto"/>
      <w:jc w:val="center"/>
    </w:pPr>
    <w:rPr>
      <w:rFonts w:ascii="Times New Roman" w:hAnsi="Times New Roman"/>
      <w:b/>
      <w:bCs/>
      <w:sz w:val="44"/>
      <w:szCs w:val="20"/>
    </w:rPr>
  </w:style>
  <w:style w:type="paragraph" w:customStyle="1" w:styleId="2431">
    <w:name w:val="xl21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00"/>
      <w:sz w:val="21"/>
      <w:szCs w:val="21"/>
    </w:rPr>
  </w:style>
  <w:style w:type="paragraph" w:customStyle="1" w:styleId="2432">
    <w:name w:val="样式 列表 + 黑色"/>
    <w:basedOn w:val="59"/>
    <w:qFormat/>
    <w:uiPriority w:val="0"/>
    <w:pPr>
      <w:spacing w:afterLines="150"/>
      <w:ind w:left="0" w:firstLine="0"/>
      <w:jc w:val="right"/>
    </w:pPr>
    <w:rPr>
      <w:rFonts w:hint="default"/>
      <w:b/>
      <w:color w:val="000000"/>
    </w:rPr>
  </w:style>
  <w:style w:type="paragraph" w:customStyle="1" w:styleId="2433">
    <w:name w:val="Char Char Char1 Char41"/>
    <w:basedOn w:val="1"/>
    <w:qFormat/>
    <w:uiPriority w:val="0"/>
    <w:pPr>
      <w:widowControl w:val="0"/>
      <w:adjustRightInd w:val="0"/>
      <w:spacing w:line="360" w:lineRule="auto"/>
      <w:jc w:val="both"/>
      <w:textAlignment w:val="baseline"/>
    </w:pPr>
    <w:rPr>
      <w:rFonts w:ascii="Times New Roman" w:hAnsi="Times New Roman" w:cs="Times New Roman"/>
    </w:rPr>
  </w:style>
  <w:style w:type="paragraph" w:customStyle="1" w:styleId="2434">
    <w:name w:val="xl11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Times New Roman" w:hAnsi="Times New Roman" w:cs="Times New Roman"/>
      <w:color w:val="FF0000"/>
      <w:sz w:val="20"/>
      <w:szCs w:val="20"/>
    </w:rPr>
  </w:style>
  <w:style w:type="paragraph" w:customStyle="1" w:styleId="2435">
    <w:name w:val="样式 首行缩进:  2 字符1"/>
    <w:basedOn w:val="1"/>
    <w:qFormat/>
    <w:uiPriority w:val="0"/>
    <w:pPr>
      <w:widowControl w:val="0"/>
      <w:adjustRightInd w:val="0"/>
      <w:snapToGrid w:val="0"/>
      <w:spacing w:line="480" w:lineRule="exact"/>
      <w:ind w:firstLine="620" w:firstLineChars="200"/>
      <w:jc w:val="both"/>
    </w:pPr>
    <w:rPr>
      <w:rFonts w:ascii="Times New Roman" w:hAnsi="Times New Roman" w:eastAsia="楷体_GB2312"/>
      <w:sz w:val="28"/>
      <w:szCs w:val="20"/>
    </w:rPr>
  </w:style>
  <w:style w:type="paragraph" w:customStyle="1" w:styleId="2436">
    <w:name w:val="正文文本 32"/>
    <w:basedOn w:val="1"/>
    <w:qFormat/>
    <w:uiPriority w:val="0"/>
    <w:pPr>
      <w:widowControl w:val="0"/>
      <w:spacing w:line="240" w:lineRule="exact"/>
      <w:jc w:val="both"/>
    </w:pPr>
    <w:rPr>
      <w:rFonts w:ascii="Times New Roman" w:hAnsi="Times New Roman" w:cs="Times New Roman"/>
      <w:kern w:val="2"/>
      <w:sz w:val="18"/>
      <w:szCs w:val="20"/>
    </w:rPr>
  </w:style>
  <w:style w:type="paragraph" w:customStyle="1" w:styleId="2437">
    <w:name w:val="样式 列表 + 段前: 0.5 行"/>
    <w:basedOn w:val="1"/>
    <w:qFormat/>
    <w:uiPriority w:val="0"/>
    <w:pPr>
      <w:widowControl w:val="0"/>
      <w:spacing w:line="480" w:lineRule="exact"/>
      <w:ind w:firstLine="480" w:firstLineChars="200"/>
      <w:jc w:val="both"/>
    </w:pPr>
    <w:rPr>
      <w:rFonts w:ascii="黑体" w:eastAsia="黑体" w:cs="Times New Roman"/>
      <w:szCs w:val="32"/>
    </w:rPr>
  </w:style>
  <w:style w:type="paragraph" w:customStyle="1" w:styleId="2438">
    <w:name w:val="样式 样式 5正文 + 两端对齐 + 首行缩进:  2 字符 + 首行缩进:  2 字符"/>
    <w:basedOn w:val="2439"/>
    <w:qFormat/>
    <w:uiPriority w:val="0"/>
  </w:style>
  <w:style w:type="paragraph" w:customStyle="1" w:styleId="2439">
    <w:name w:val="样式 5正文 + 两端对齐 + 首行缩进:  2 字符"/>
    <w:basedOn w:val="2323"/>
    <w:qFormat/>
    <w:uiPriority w:val="0"/>
  </w:style>
  <w:style w:type="paragraph" w:customStyle="1" w:styleId="2440">
    <w:name w:val="xl112"/>
    <w:basedOn w:val="1"/>
    <w:qFormat/>
    <w:uiPriority w:val="0"/>
    <w:pPr>
      <w:pBdr>
        <w:top w:val="single" w:color="auto" w:sz="4" w:space="0"/>
        <w:left w:val="single" w:color="auto" w:sz="4" w:space="0"/>
        <w:right w:val="single" w:color="auto" w:sz="4" w:space="0"/>
      </w:pBdr>
      <w:spacing w:before="100" w:beforeAutospacing="1" w:after="100" w:afterAutospacing="1"/>
      <w:jc w:val="center"/>
    </w:pPr>
    <w:rPr>
      <w:b/>
      <w:bCs/>
      <w:color w:val="000000"/>
      <w:sz w:val="20"/>
      <w:szCs w:val="20"/>
    </w:rPr>
  </w:style>
  <w:style w:type="paragraph" w:customStyle="1" w:styleId="2441">
    <w:name w:val="文本块11"/>
    <w:basedOn w:val="1"/>
    <w:qFormat/>
    <w:uiPriority w:val="0"/>
    <w:pPr>
      <w:widowControl w:val="0"/>
      <w:ind w:left="144" w:right="90" w:firstLine="645"/>
      <w:jc w:val="both"/>
    </w:pPr>
    <w:rPr>
      <w:rFonts w:ascii="Times New Roman" w:hAnsi="Times New Roman" w:eastAsia="楷体_GB2312" w:cs="Times New Roman"/>
      <w:kern w:val="2"/>
      <w:szCs w:val="20"/>
    </w:rPr>
  </w:style>
  <w:style w:type="paragraph" w:customStyle="1" w:styleId="2442">
    <w:name w:val="图标"/>
    <w:basedOn w:val="1"/>
    <w:qFormat/>
    <w:uiPriority w:val="0"/>
    <w:pPr>
      <w:widowControl w:val="0"/>
      <w:tabs>
        <w:tab w:val="left" w:pos="6395"/>
      </w:tabs>
      <w:spacing w:line="480" w:lineRule="exact"/>
      <w:jc w:val="center"/>
      <w:outlineLvl w:val="5"/>
    </w:pPr>
    <w:rPr>
      <w:rFonts w:cs="Times New Roman"/>
      <w:b/>
      <w:bCs/>
      <w:kern w:val="2"/>
      <w:sz w:val="36"/>
      <w:szCs w:val="20"/>
    </w:rPr>
  </w:style>
  <w:style w:type="paragraph" w:customStyle="1" w:styleId="2443">
    <w:name w:val="Char Char2 Char Char Char1 Char Char Char Char Char Char Char2"/>
    <w:basedOn w:val="1"/>
    <w:qFormat/>
    <w:uiPriority w:val="0"/>
    <w:pPr>
      <w:widowControl w:val="0"/>
      <w:jc w:val="both"/>
    </w:pPr>
    <w:rPr>
      <w:rFonts w:ascii="Times New Roman" w:hAnsi="Times New Roman" w:cs="Times New Roman"/>
      <w:kern w:val="2"/>
      <w:sz w:val="21"/>
    </w:rPr>
  </w:style>
  <w:style w:type="paragraph" w:customStyle="1" w:styleId="2444">
    <w:name w:val="xl313"/>
    <w:basedOn w:val="1"/>
    <w:qFormat/>
    <w:uiPriority w:val="0"/>
    <w:pPr>
      <w:pBdr>
        <w:left w:val="single" w:color="auto" w:sz="4" w:space="0"/>
        <w:bottom w:val="single" w:color="auto" w:sz="4" w:space="0"/>
      </w:pBdr>
      <w:shd w:val="clear" w:color="auto" w:fill="FFCC00"/>
      <w:spacing w:before="100" w:beforeAutospacing="1" w:after="100" w:afterAutospacing="1"/>
      <w:jc w:val="center"/>
    </w:pPr>
    <w:rPr>
      <w:rFonts w:ascii="方正综艺简体" w:eastAsia="方正综艺简体"/>
      <w:color w:val="000000"/>
      <w:sz w:val="20"/>
      <w:szCs w:val="20"/>
    </w:rPr>
  </w:style>
  <w:style w:type="paragraph" w:customStyle="1" w:styleId="2445">
    <w:name w:val="索引 11"/>
    <w:basedOn w:val="1"/>
    <w:next w:val="1"/>
    <w:qFormat/>
    <w:uiPriority w:val="0"/>
    <w:pPr>
      <w:widowControl w:val="0"/>
      <w:spacing w:line="360" w:lineRule="exact"/>
      <w:jc w:val="center"/>
    </w:pPr>
    <w:rPr>
      <w:rFonts w:cs="Times New Roman"/>
      <w:kern w:val="2"/>
      <w:sz w:val="21"/>
    </w:rPr>
  </w:style>
  <w:style w:type="paragraph" w:customStyle="1" w:styleId="2446">
    <w:name w:val="xl253"/>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447">
    <w:name w:val="样式74"/>
    <w:basedOn w:val="2345"/>
    <w:qFormat/>
    <w:uiPriority w:val="0"/>
    <w:pPr>
      <w:ind w:firstLine="480"/>
    </w:pPr>
    <w:rPr>
      <w:color w:val="000000"/>
      <w:sz w:val="24"/>
      <w:szCs w:val="24"/>
    </w:rPr>
  </w:style>
  <w:style w:type="paragraph" w:customStyle="1" w:styleId="2448">
    <w:name w:val="缩进正文"/>
    <w:basedOn w:val="1779"/>
    <w:qFormat/>
    <w:uiPriority w:val="0"/>
    <w:pPr>
      <w:widowControl w:val="0"/>
      <w:spacing w:line="310" w:lineRule="atLeast"/>
      <w:ind w:left="0" w:firstLine="525"/>
      <w:jc w:val="both"/>
      <w:textAlignment w:val="auto"/>
    </w:pPr>
    <w:rPr>
      <w:rFonts w:ascii="楷体_GB2312" w:hAnsi="Times New Roman" w:eastAsia="楷体_GB2312" w:cs="Times New Roman"/>
      <w:sz w:val="28"/>
      <w:szCs w:val="20"/>
    </w:rPr>
  </w:style>
  <w:style w:type="paragraph" w:customStyle="1" w:styleId="2449">
    <w:name w:val="样式61"/>
    <w:basedOn w:val="1"/>
    <w:qFormat/>
    <w:uiPriority w:val="0"/>
    <w:pPr>
      <w:widowControl w:val="0"/>
      <w:spacing w:line="500" w:lineRule="exact"/>
      <w:ind w:firstLine="560" w:firstLineChars="200"/>
      <w:jc w:val="both"/>
    </w:pPr>
    <w:rPr>
      <w:rFonts w:cs="Times New Roman"/>
      <w:color w:val="000000"/>
      <w:kern w:val="2"/>
      <w:sz w:val="28"/>
      <w:szCs w:val="28"/>
    </w:rPr>
  </w:style>
  <w:style w:type="paragraph" w:customStyle="1" w:styleId="2450">
    <w:name w:val="正文三级"/>
    <w:qFormat/>
    <w:uiPriority w:val="0"/>
    <w:pPr>
      <w:tabs>
        <w:tab w:val="left" w:pos="1204"/>
      </w:tabs>
      <w:spacing w:before="120" w:after="120" w:line="480" w:lineRule="exact"/>
      <w:ind w:left="1204"/>
      <w:jc w:val="both"/>
      <w:outlineLvl w:val="2"/>
    </w:pPr>
    <w:rPr>
      <w:rFonts w:ascii="Times New Roman" w:hAnsi="Times New Roman" w:eastAsia="黑体" w:cs="Times New Roman"/>
      <w:bCs/>
      <w:kern w:val="44"/>
      <w:sz w:val="30"/>
      <w:szCs w:val="30"/>
      <w:lang w:val="en-US" w:eastAsia="zh-CN" w:bidi="ar-SA"/>
    </w:rPr>
  </w:style>
  <w:style w:type="paragraph" w:customStyle="1" w:styleId="2451">
    <w:name w:val="标题4"/>
    <w:basedOn w:val="1"/>
    <w:qFormat/>
    <w:uiPriority w:val="0"/>
    <w:pPr>
      <w:widowControl w:val="0"/>
      <w:adjustRightInd w:val="0"/>
      <w:snapToGrid w:val="0"/>
      <w:spacing w:line="480" w:lineRule="atLeast"/>
      <w:jc w:val="both"/>
    </w:pPr>
    <w:rPr>
      <w:rFonts w:ascii="Times New Roman" w:hAnsi="Times New Roman" w:cs="Times New Roman"/>
      <w:b/>
      <w:snapToGrid w:val="0"/>
      <w:kern w:val="28"/>
      <w:sz w:val="30"/>
      <w:szCs w:val="20"/>
    </w:rPr>
  </w:style>
  <w:style w:type="paragraph" w:customStyle="1" w:styleId="2452">
    <w:name w:val="xl264"/>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453">
    <w:name w:val="样式 5正文"/>
    <w:basedOn w:val="2317"/>
    <w:qFormat/>
    <w:uiPriority w:val="0"/>
    <w:pPr>
      <w:spacing w:line="440" w:lineRule="exact"/>
      <w:ind w:firstLine="480"/>
    </w:pPr>
  </w:style>
  <w:style w:type="paragraph" w:customStyle="1" w:styleId="2454">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2455">
    <w:name w:val="Char31"/>
    <w:basedOn w:val="1"/>
    <w:next w:val="46"/>
    <w:qFormat/>
    <w:uiPriority w:val="0"/>
    <w:pPr>
      <w:widowControl w:val="0"/>
      <w:spacing w:line="360" w:lineRule="auto"/>
      <w:ind w:firstLine="480" w:firstLineChars="200"/>
      <w:jc w:val="both"/>
    </w:pPr>
    <w:rPr>
      <w:rFonts w:ascii="Times New Roman" w:hAnsi="Times New Roman" w:cs="Times New Roman"/>
    </w:rPr>
  </w:style>
  <w:style w:type="paragraph" w:customStyle="1" w:styleId="2456">
    <w:name w:val="样式51"/>
    <w:basedOn w:val="104"/>
    <w:qFormat/>
    <w:uiPriority w:val="0"/>
    <w:pPr>
      <w:adjustRightInd w:val="0"/>
      <w:spacing w:line="240" w:lineRule="exact"/>
      <w:ind w:left="-140" w:leftChars="-50" w:right="-140" w:rightChars="-50" w:firstLine="0"/>
    </w:pPr>
    <w:rPr>
      <w:rFonts w:hint="default" w:ascii="Times New Roman" w:hAnsi="Times New Roman" w:eastAsia="宋体"/>
      <w:color w:val="000000"/>
      <w:kern w:val="0"/>
      <w:szCs w:val="28"/>
    </w:rPr>
  </w:style>
  <w:style w:type="paragraph" w:customStyle="1" w:styleId="2457">
    <w:name w:val="样式22"/>
    <w:basedOn w:val="1"/>
    <w:qFormat/>
    <w:uiPriority w:val="0"/>
    <w:pPr>
      <w:widowControl w:val="0"/>
      <w:adjustRightInd w:val="0"/>
      <w:snapToGrid w:val="0"/>
      <w:spacing w:line="500" w:lineRule="exact"/>
      <w:ind w:firstLine="560" w:firstLineChars="200"/>
      <w:jc w:val="both"/>
    </w:pPr>
    <w:rPr>
      <w:rFonts w:ascii="Times New Roman" w:hAnsi="Times New Roman" w:cs="Times New Roman"/>
      <w:snapToGrid w:val="0"/>
      <w:sz w:val="28"/>
    </w:rPr>
  </w:style>
  <w:style w:type="paragraph" w:customStyle="1" w:styleId="2458">
    <w:name w:val="Char Char Char Char Char Char Char Char Char Char Char Char Char Char Char Char Char Char Char Char Char Char11"/>
    <w:basedOn w:val="1"/>
    <w:qFormat/>
    <w:uiPriority w:val="0"/>
    <w:pPr>
      <w:widowControl w:val="0"/>
      <w:jc w:val="both"/>
    </w:pPr>
    <w:rPr>
      <w:rFonts w:ascii="Times New Roman" w:hAnsi="Times New Roman" w:cs="Times New Roman"/>
      <w:kern w:val="2"/>
      <w:sz w:val="21"/>
    </w:rPr>
  </w:style>
  <w:style w:type="paragraph" w:customStyle="1" w:styleId="2459">
    <w:name w:val="列表 31"/>
    <w:basedOn w:val="1"/>
    <w:qFormat/>
    <w:uiPriority w:val="0"/>
    <w:pPr>
      <w:widowControl w:val="0"/>
      <w:ind w:left="1260" w:hanging="420"/>
      <w:jc w:val="both"/>
    </w:pPr>
    <w:rPr>
      <w:rFonts w:ascii="Times New Roman" w:hAnsi="Times New Roman" w:cs="Times New Roman"/>
      <w:kern w:val="2"/>
      <w:sz w:val="21"/>
    </w:rPr>
  </w:style>
  <w:style w:type="paragraph" w:customStyle="1" w:styleId="2460">
    <w:name w:val="列表2"/>
    <w:basedOn w:val="1"/>
    <w:qFormat/>
    <w:uiPriority w:val="0"/>
    <w:pPr>
      <w:widowControl w:val="0"/>
      <w:jc w:val="center"/>
    </w:pPr>
    <w:rPr>
      <w:rFonts w:ascii="Times New Roman" w:hAnsi="Times New Roman" w:cs="Times New Roman"/>
      <w:sz w:val="21"/>
      <w:szCs w:val="20"/>
    </w:rPr>
  </w:style>
  <w:style w:type="paragraph" w:customStyle="1" w:styleId="2461">
    <w:name w:val="样式35"/>
    <w:basedOn w:val="2164"/>
    <w:qFormat/>
    <w:uiPriority w:val="0"/>
    <w:pPr>
      <w:spacing w:before="0" w:after="0" w:line="240" w:lineRule="auto"/>
      <w:ind w:firstLine="1366" w:firstLineChars="427"/>
    </w:pPr>
    <w:rPr>
      <w:rFonts w:ascii="方正黑体简体" w:eastAsia="方正黑体简体"/>
      <w:sz w:val="28"/>
      <w:szCs w:val="28"/>
    </w:rPr>
  </w:style>
  <w:style w:type="paragraph" w:customStyle="1" w:styleId="2462">
    <w:name w:val="无间隔1"/>
    <w:qFormat/>
    <w:uiPriority w:val="0"/>
    <w:rPr>
      <w:rFonts w:ascii="Calibri" w:hAnsi="Calibri" w:eastAsia="Times New Roman" w:cs="Times New Roman"/>
      <w:kern w:val="2"/>
      <w:sz w:val="22"/>
      <w:szCs w:val="22"/>
      <w:lang w:val="en-US" w:eastAsia="zh-CN" w:bidi="ar-SA"/>
    </w:rPr>
  </w:style>
  <w:style w:type="paragraph" w:customStyle="1" w:styleId="2463">
    <w:name w:val="xl1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464">
    <w:name w:val="样式38"/>
    <w:basedOn w:val="6"/>
    <w:qFormat/>
    <w:uiPriority w:val="0"/>
    <w:pPr>
      <w:widowControl w:val="0"/>
      <w:spacing w:line="480" w:lineRule="exact"/>
      <w:ind w:firstLine="560" w:firstLineChars="200"/>
      <w:jc w:val="both"/>
    </w:pPr>
    <w:rPr>
      <w:rFonts w:ascii="Times New Roman" w:hAnsi="Times New Roman"/>
      <w:kern w:val="2"/>
      <w:szCs w:val="28"/>
    </w:rPr>
  </w:style>
  <w:style w:type="paragraph" w:customStyle="1" w:styleId="2465">
    <w:name w:val="xl2129"/>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style>
  <w:style w:type="paragraph" w:customStyle="1" w:styleId="2466">
    <w:name w:val="HTML 预设格式3"/>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000000"/>
    </w:rPr>
  </w:style>
  <w:style w:type="paragraph" w:customStyle="1" w:styleId="2467">
    <w:name w:val="正文首行缩进 221"/>
    <w:basedOn w:val="2468"/>
    <w:qFormat/>
    <w:uiPriority w:val="0"/>
    <w:pPr>
      <w:widowControl w:val="0"/>
      <w:snapToGrid w:val="0"/>
      <w:spacing w:after="120" w:line="480" w:lineRule="exact"/>
      <w:ind w:left="420" w:leftChars="200" w:firstLine="420" w:firstLineChars="200"/>
      <w:jc w:val="both"/>
      <w:textAlignment w:val="auto"/>
    </w:pPr>
    <w:rPr>
      <w:rFonts w:ascii="楷体_GB2312" w:hAnsi="等线" w:eastAsia="楷体_GB2312" w:cs="Times New Roman"/>
      <w:kern w:val="2"/>
      <w:sz w:val="28"/>
    </w:rPr>
  </w:style>
  <w:style w:type="paragraph" w:customStyle="1" w:styleId="2468">
    <w:name w:val="正文文本缩进21"/>
    <w:basedOn w:val="1"/>
    <w:qFormat/>
    <w:uiPriority w:val="0"/>
    <w:pPr>
      <w:adjustRightInd w:val="0"/>
      <w:spacing w:line="360" w:lineRule="atLeast"/>
      <w:ind w:left="280" w:firstLine="560"/>
      <w:textAlignment w:val="baseline"/>
    </w:pPr>
  </w:style>
  <w:style w:type="paragraph" w:customStyle="1" w:styleId="2469">
    <w:name w:val="xl305"/>
    <w:basedOn w:val="1"/>
    <w:qFormat/>
    <w:uiPriority w:val="0"/>
    <w:pPr>
      <w:pBdr>
        <w:top w:val="single" w:color="auto" w:sz="4" w:space="0"/>
        <w:left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470">
    <w:name w:val="xl23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color w:val="000000"/>
      <w:sz w:val="20"/>
      <w:szCs w:val="20"/>
    </w:rPr>
  </w:style>
  <w:style w:type="paragraph" w:customStyle="1" w:styleId="2471">
    <w:name w:val="xl257"/>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sz w:val="20"/>
      <w:szCs w:val="20"/>
    </w:rPr>
  </w:style>
  <w:style w:type="paragraph" w:customStyle="1" w:styleId="2472">
    <w:name w:val="xl2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2473">
    <w:name w:val="样式 样式6 + 居中"/>
    <w:basedOn w:val="1318"/>
    <w:qFormat/>
    <w:uiPriority w:val="0"/>
    <w:pPr>
      <w:topLinePunct/>
      <w:adjustRightInd/>
      <w:snapToGrid/>
      <w:spacing w:line="240" w:lineRule="auto"/>
      <w:ind w:firstLine="360" w:firstLineChars="0"/>
      <w:jc w:val="center"/>
      <w:textAlignment w:val="auto"/>
    </w:pPr>
    <w:rPr>
      <w:rFonts w:ascii="Times New Roman"/>
      <w:sz w:val="18"/>
      <w:szCs w:val="20"/>
    </w:rPr>
  </w:style>
  <w:style w:type="paragraph" w:customStyle="1" w:styleId="2474">
    <w:name w:val="xl2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475">
    <w:name w:val="xl1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2"/>
      <w:szCs w:val="22"/>
    </w:rPr>
  </w:style>
  <w:style w:type="paragraph" w:customStyle="1" w:styleId="2476">
    <w:name w:val="xl2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477">
    <w:name w:val="xl128"/>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b/>
      <w:bCs/>
    </w:rPr>
  </w:style>
  <w:style w:type="paragraph" w:customStyle="1" w:styleId="2478">
    <w:name w:val="xl21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2479">
    <w:name w:val="xl1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480">
    <w:name w:val="Знак Знак13"/>
    <w:basedOn w:val="1"/>
    <w:qFormat/>
    <w:uiPriority w:val="0"/>
    <w:pPr>
      <w:widowControl w:val="0"/>
      <w:jc w:val="both"/>
    </w:pPr>
    <w:rPr>
      <w:rFonts w:ascii="Times New Roman" w:hAnsi="Times New Roman" w:cs="Times New Roman"/>
      <w:kern w:val="2"/>
      <w:sz w:val="21"/>
    </w:rPr>
  </w:style>
  <w:style w:type="paragraph" w:customStyle="1" w:styleId="2481">
    <w:name w:val="xl1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sz w:val="20"/>
      <w:szCs w:val="20"/>
    </w:rPr>
  </w:style>
  <w:style w:type="paragraph" w:customStyle="1" w:styleId="2482">
    <w:name w:val="xl1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0"/>
      <w:szCs w:val="20"/>
    </w:rPr>
  </w:style>
  <w:style w:type="paragraph" w:customStyle="1" w:styleId="2483">
    <w:name w:val="xl194"/>
    <w:basedOn w:val="1"/>
    <w:qFormat/>
    <w:uiPriority w:val="0"/>
    <w:pPr>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pPr>
    <w:rPr>
      <w:rFonts w:ascii="方正综艺简体" w:eastAsia="方正综艺简体"/>
      <w:color w:val="000000"/>
      <w:sz w:val="20"/>
      <w:szCs w:val="20"/>
    </w:rPr>
  </w:style>
  <w:style w:type="paragraph" w:customStyle="1" w:styleId="2484">
    <w:name w:val="xl1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485">
    <w:name w:val="xl2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486">
    <w:name w:val="文本"/>
    <w:basedOn w:val="1"/>
    <w:next w:val="2"/>
    <w:qFormat/>
    <w:uiPriority w:val="0"/>
    <w:pPr>
      <w:widowControl w:val="0"/>
      <w:jc w:val="both"/>
    </w:pPr>
    <w:rPr>
      <w:rFonts w:ascii="Times New Roman" w:hAnsi="Times New Roman" w:cs="Times New Roman"/>
      <w:kern w:val="2"/>
      <w:sz w:val="28"/>
    </w:rPr>
  </w:style>
  <w:style w:type="paragraph" w:customStyle="1" w:styleId="2487">
    <w:name w:val="A标题2"/>
    <w:basedOn w:val="5"/>
    <w:qFormat/>
    <w:uiPriority w:val="0"/>
    <w:pPr>
      <w:widowControl w:val="0"/>
      <w:adjustRightInd w:val="0"/>
      <w:snapToGrid w:val="0"/>
      <w:spacing w:before="240" w:after="240" w:line="480" w:lineRule="exact"/>
      <w:ind w:firstLine="480" w:firstLineChars="200"/>
      <w:jc w:val="both"/>
    </w:pPr>
    <w:rPr>
      <w:rFonts w:ascii="Times New Roman" w:hAnsi="Times New Roman" w:eastAsia="方正黑体简体"/>
      <w:bCs w:val="0"/>
      <w:kern w:val="2"/>
      <w:sz w:val="24"/>
      <w:szCs w:val="24"/>
    </w:rPr>
  </w:style>
  <w:style w:type="paragraph" w:customStyle="1" w:styleId="2488">
    <w:name w:val="xl2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489">
    <w:name w:val="索引 211"/>
    <w:basedOn w:val="1"/>
    <w:next w:val="1"/>
    <w:qFormat/>
    <w:uiPriority w:val="0"/>
    <w:pPr>
      <w:widowControl w:val="0"/>
      <w:spacing w:line="480" w:lineRule="exact"/>
      <w:ind w:left="200" w:leftChars="200"/>
      <w:jc w:val="both"/>
    </w:pPr>
    <w:rPr>
      <w:rFonts w:ascii="Times New Roman" w:hAnsi="Times New Roman" w:cs="Times New Roman"/>
      <w:kern w:val="2"/>
    </w:rPr>
  </w:style>
  <w:style w:type="paragraph" w:customStyle="1" w:styleId="2490">
    <w:name w:val="Char Char2 Char Char Char1 Char Char Char Char Char Char Char1"/>
    <w:basedOn w:val="1"/>
    <w:qFormat/>
    <w:uiPriority w:val="0"/>
    <w:pPr>
      <w:widowControl w:val="0"/>
      <w:jc w:val="both"/>
    </w:pPr>
    <w:rPr>
      <w:rFonts w:ascii="Times New Roman" w:hAnsi="Times New Roman" w:cs="Times New Roman"/>
      <w:kern w:val="2"/>
      <w:sz w:val="21"/>
    </w:rPr>
  </w:style>
  <w:style w:type="paragraph" w:customStyle="1" w:styleId="2491">
    <w:name w:val="样式 非加粗"/>
    <w:basedOn w:val="1"/>
    <w:qFormat/>
    <w:uiPriority w:val="0"/>
    <w:pPr>
      <w:widowControl w:val="0"/>
      <w:spacing w:line="440" w:lineRule="exact"/>
      <w:ind w:firstLine="480" w:firstLineChars="200"/>
      <w:jc w:val="both"/>
    </w:pPr>
    <w:rPr>
      <w:rFonts w:ascii="Times New Roman" w:hAnsi="Times New Roman" w:cs="Times New Roman"/>
      <w:kern w:val="2"/>
    </w:rPr>
  </w:style>
  <w:style w:type="paragraph" w:customStyle="1" w:styleId="2492">
    <w:name w:val="xl2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493">
    <w:name w:val="xl14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b/>
      <w:bCs/>
      <w:sz w:val="21"/>
      <w:szCs w:val="21"/>
    </w:rPr>
  </w:style>
  <w:style w:type="paragraph" w:customStyle="1" w:styleId="2494">
    <w:name w:val="列出段落11"/>
    <w:basedOn w:val="1"/>
    <w:qFormat/>
    <w:uiPriority w:val="99"/>
    <w:pPr>
      <w:widowControl w:val="0"/>
      <w:ind w:firstLine="420" w:firstLineChars="200"/>
      <w:jc w:val="both"/>
    </w:pPr>
    <w:rPr>
      <w:rFonts w:ascii="Calibri" w:hAnsi="Calibri" w:cs="Times New Roman"/>
      <w:kern w:val="2"/>
      <w:sz w:val="21"/>
      <w:szCs w:val="22"/>
    </w:rPr>
  </w:style>
  <w:style w:type="paragraph" w:customStyle="1" w:styleId="2495">
    <w:name w:val="xl278"/>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496">
    <w:name w:val="xl2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497">
    <w:name w:val="xl1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b/>
      <w:bCs/>
      <w:color w:val="FF0000"/>
      <w:sz w:val="21"/>
      <w:szCs w:val="21"/>
    </w:rPr>
  </w:style>
  <w:style w:type="paragraph" w:customStyle="1" w:styleId="2498">
    <w:name w:val="xl1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499">
    <w:name w:val="正文三级标题"/>
    <w:basedOn w:val="1"/>
    <w:qFormat/>
    <w:uiPriority w:val="0"/>
    <w:pPr>
      <w:widowControl w:val="0"/>
      <w:spacing w:before="120" w:after="120" w:line="480" w:lineRule="exact"/>
      <w:ind w:firstLine="600" w:firstLineChars="200"/>
      <w:jc w:val="both"/>
      <w:outlineLvl w:val="2"/>
    </w:pPr>
    <w:rPr>
      <w:rFonts w:ascii="Times New Roman" w:hAnsi="Times New Roman" w:eastAsia="黑体" w:cs="Times New Roman"/>
      <w:kern w:val="2"/>
      <w:sz w:val="30"/>
    </w:rPr>
  </w:style>
  <w:style w:type="paragraph" w:customStyle="1" w:styleId="2500">
    <w:name w:val="xl261"/>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501">
    <w:name w:val="样式 表头 + 左侧:  0.99 字符"/>
    <w:basedOn w:val="102"/>
    <w:qFormat/>
    <w:uiPriority w:val="0"/>
    <w:pPr>
      <w:ind w:left="277" w:leftChars="350" w:firstLine="480"/>
      <w:jc w:val="left"/>
    </w:pPr>
    <w:rPr>
      <w:rFonts w:eastAsia="宋体" w:cs="宋体"/>
      <w:b/>
      <w:bCs/>
      <w:snapToGrid w:val="0"/>
      <w:sz w:val="28"/>
      <w:lang w:val="zh-CN"/>
    </w:rPr>
  </w:style>
  <w:style w:type="paragraph" w:customStyle="1" w:styleId="2502">
    <w:name w:val="xl1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03">
    <w:name w:val="xl2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04">
    <w:name w:val="正文文本 25"/>
    <w:basedOn w:val="1"/>
    <w:qFormat/>
    <w:uiPriority w:val="0"/>
    <w:pPr>
      <w:widowControl w:val="0"/>
      <w:adjustRightInd w:val="0"/>
      <w:jc w:val="center"/>
      <w:textAlignment w:val="baseline"/>
    </w:pPr>
    <w:rPr>
      <w:rFonts w:ascii="Arial" w:hAnsi="Arial" w:eastAsia="Arial" w:cs="Times New Roman"/>
      <w:kern w:val="2"/>
      <w:sz w:val="21"/>
      <w:szCs w:val="20"/>
    </w:rPr>
  </w:style>
  <w:style w:type="paragraph" w:customStyle="1" w:styleId="2505">
    <w:name w:val="xl1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1"/>
      <w:szCs w:val="21"/>
    </w:rPr>
  </w:style>
  <w:style w:type="paragraph" w:customStyle="1" w:styleId="2506">
    <w:name w:val="xl1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2507">
    <w:name w:val="xl265"/>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508">
    <w:name w:val="xl1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00"/>
      <w:sz w:val="21"/>
      <w:szCs w:val="21"/>
    </w:rPr>
  </w:style>
  <w:style w:type="paragraph" w:customStyle="1" w:styleId="2509">
    <w:name w:val="xl21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2510">
    <w:name w:val="xl125"/>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sz w:val="22"/>
      <w:szCs w:val="22"/>
    </w:rPr>
  </w:style>
  <w:style w:type="paragraph" w:customStyle="1" w:styleId="2511">
    <w:name w:val="xl2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12">
    <w:name w:val="标题0"/>
    <w:basedOn w:val="1"/>
    <w:qFormat/>
    <w:uiPriority w:val="0"/>
    <w:pPr>
      <w:widowControl w:val="0"/>
      <w:adjustRightInd w:val="0"/>
      <w:snapToGrid w:val="0"/>
      <w:spacing w:beforeLines="50" w:afterLines="100" w:line="700" w:lineRule="exact"/>
      <w:jc w:val="center"/>
    </w:pPr>
    <w:rPr>
      <w:rFonts w:ascii="黑体" w:hAnsi="Times New Roman" w:eastAsia="黑体" w:cs="Times New Roman"/>
      <w:sz w:val="44"/>
      <w:szCs w:val="44"/>
    </w:rPr>
  </w:style>
  <w:style w:type="paragraph" w:customStyle="1" w:styleId="2513">
    <w:name w:val="索引标题1"/>
    <w:basedOn w:val="1"/>
    <w:next w:val="2445"/>
    <w:qFormat/>
    <w:uiPriority w:val="0"/>
    <w:pPr>
      <w:widowControl w:val="0"/>
      <w:spacing w:line="480" w:lineRule="exact"/>
      <w:jc w:val="both"/>
    </w:pPr>
    <w:rPr>
      <w:rFonts w:ascii="Arial" w:hAnsi="Arial" w:cs="Arial"/>
      <w:b/>
      <w:bCs/>
      <w:kern w:val="2"/>
    </w:rPr>
  </w:style>
  <w:style w:type="paragraph" w:customStyle="1" w:styleId="2514">
    <w:name w:val="样式 样式5 + 段前: 0.5 行 段后: 0.3 行2"/>
    <w:basedOn w:val="1139"/>
    <w:qFormat/>
    <w:uiPriority w:val="0"/>
    <w:pPr>
      <w:topLinePunct/>
      <w:adjustRightInd/>
      <w:snapToGrid/>
      <w:spacing w:before="200" w:afterLines="30" w:line="240" w:lineRule="auto"/>
      <w:ind w:firstLine="0"/>
      <w:jc w:val="center"/>
      <w:textAlignment w:val="auto"/>
    </w:pPr>
    <w:rPr>
      <w:rFonts w:hint="eastAsia" w:ascii="方正黑体简体" w:hAnsi="Arial" w:eastAsia="方正黑体简体"/>
      <w:snapToGrid w:val="0"/>
      <w:kern w:val="2"/>
      <w:szCs w:val="28"/>
    </w:rPr>
  </w:style>
  <w:style w:type="paragraph" w:customStyle="1" w:styleId="2515">
    <w:name w:val="xl163"/>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color w:val="000000"/>
      <w:sz w:val="20"/>
      <w:szCs w:val="20"/>
    </w:rPr>
  </w:style>
  <w:style w:type="paragraph" w:customStyle="1" w:styleId="2516">
    <w:name w:val="Char81"/>
    <w:basedOn w:val="1"/>
    <w:next w:val="1560"/>
    <w:qFormat/>
    <w:uiPriority w:val="0"/>
    <w:pPr>
      <w:widowControl w:val="0"/>
      <w:spacing w:line="360" w:lineRule="auto"/>
      <w:ind w:firstLine="480" w:firstLineChars="200"/>
      <w:jc w:val="both"/>
    </w:pPr>
    <w:rPr>
      <w:rFonts w:ascii="Times New Roman" w:hAnsi="Times New Roman" w:cs="Times New Roman"/>
    </w:rPr>
  </w:style>
  <w:style w:type="paragraph" w:customStyle="1" w:styleId="2517">
    <w:name w:val="xl252"/>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518">
    <w:name w:val="xl21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2"/>
      <w:szCs w:val="22"/>
    </w:rPr>
  </w:style>
  <w:style w:type="paragraph" w:customStyle="1" w:styleId="2519">
    <w:name w:val="正文五级"/>
    <w:basedOn w:val="1"/>
    <w:qFormat/>
    <w:uiPriority w:val="0"/>
    <w:pPr>
      <w:widowControl w:val="0"/>
      <w:tabs>
        <w:tab w:val="left" w:pos="840"/>
      </w:tabs>
      <w:spacing w:line="480" w:lineRule="exact"/>
      <w:ind w:left="840" w:hanging="420"/>
      <w:outlineLvl w:val="4"/>
    </w:pPr>
    <w:rPr>
      <w:rFonts w:ascii="Times New Roman" w:hAnsi="Times New Roman" w:eastAsia="仿宋_GB2312" w:cs="Times New Roman"/>
      <w:b/>
      <w:kern w:val="2"/>
      <w:sz w:val="30"/>
      <w:szCs w:val="30"/>
    </w:rPr>
  </w:style>
  <w:style w:type="paragraph" w:customStyle="1" w:styleId="2520">
    <w:name w:val="xl275"/>
    <w:basedOn w:val="1"/>
    <w:qFormat/>
    <w:uiPriority w:val="0"/>
    <w:pPr>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pPr>
    <w:rPr>
      <w:b/>
      <w:bCs/>
      <w:sz w:val="20"/>
      <w:szCs w:val="20"/>
    </w:rPr>
  </w:style>
  <w:style w:type="paragraph" w:customStyle="1" w:styleId="2521">
    <w:name w:val="xl292"/>
    <w:basedOn w:val="1"/>
    <w:qFormat/>
    <w:uiPriority w:val="0"/>
    <w:pPr>
      <w:pBdr>
        <w:left w:val="single" w:color="auto" w:sz="4" w:space="0"/>
        <w:right w:val="single" w:color="auto" w:sz="4" w:space="0"/>
      </w:pBdr>
      <w:shd w:val="clear" w:color="auto" w:fill="FF8080"/>
      <w:spacing w:before="100" w:beforeAutospacing="1" w:after="100" w:afterAutospacing="1"/>
      <w:jc w:val="center"/>
    </w:pPr>
    <w:rPr>
      <w:rFonts w:ascii="方正综艺简体" w:eastAsia="方正综艺简体"/>
      <w:color w:val="000000"/>
      <w:sz w:val="20"/>
      <w:szCs w:val="20"/>
    </w:rPr>
  </w:style>
  <w:style w:type="paragraph" w:customStyle="1" w:styleId="2522">
    <w:name w:val="样式11"/>
    <w:basedOn w:val="4"/>
    <w:qFormat/>
    <w:uiPriority w:val="0"/>
    <w:pPr>
      <w:keepNext/>
      <w:keepLines/>
      <w:widowControl w:val="0"/>
      <w:spacing w:before="340" w:after="330" w:line="520" w:lineRule="exact"/>
      <w:jc w:val="both"/>
    </w:pPr>
    <w:rPr>
      <w:rFonts w:ascii="Times New Roman" w:hAnsi="Times New Roman" w:eastAsia="仿宋_GB2312"/>
      <w:bCs/>
      <w:kern w:val="44"/>
      <w:sz w:val="28"/>
      <w:szCs w:val="28"/>
    </w:rPr>
  </w:style>
  <w:style w:type="paragraph" w:customStyle="1" w:styleId="2523">
    <w:name w:val="样式 首行缩进:  2 字符2"/>
    <w:basedOn w:val="1"/>
    <w:qFormat/>
    <w:uiPriority w:val="0"/>
    <w:pPr>
      <w:widowControl w:val="0"/>
      <w:adjustRightInd w:val="0"/>
      <w:snapToGrid w:val="0"/>
      <w:spacing w:line="400" w:lineRule="exact"/>
      <w:ind w:firstLine="200" w:firstLineChars="200"/>
      <w:jc w:val="both"/>
    </w:pPr>
    <w:rPr>
      <w:rFonts w:ascii="Times New Roman" w:hAnsi="Times New Roman"/>
      <w:szCs w:val="28"/>
    </w:rPr>
  </w:style>
  <w:style w:type="paragraph" w:customStyle="1" w:styleId="2524">
    <w:name w:val="xl301"/>
    <w:basedOn w:val="1"/>
    <w:qFormat/>
    <w:uiPriority w:val="0"/>
    <w:pPr>
      <w:pBdr>
        <w:bottom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525">
    <w:name w:val="xl21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2"/>
      <w:szCs w:val="22"/>
    </w:rPr>
  </w:style>
  <w:style w:type="paragraph" w:customStyle="1" w:styleId="2526">
    <w:name w:val="xl140"/>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b/>
      <w:bCs/>
      <w:sz w:val="22"/>
      <w:szCs w:val="22"/>
    </w:rPr>
  </w:style>
  <w:style w:type="paragraph" w:customStyle="1" w:styleId="2527">
    <w:name w:val="xl21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olor w:val="FF0000"/>
      <w:sz w:val="21"/>
      <w:szCs w:val="21"/>
    </w:rPr>
  </w:style>
  <w:style w:type="paragraph" w:customStyle="1" w:styleId="2528">
    <w:name w:val="xl1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29">
    <w:name w:val="xl1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30">
    <w:name w:val="xl2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2531">
    <w:name w:val="xl2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32">
    <w:name w:val="xl314"/>
    <w:basedOn w:val="1"/>
    <w:qFormat/>
    <w:uiPriority w:val="0"/>
    <w:pPr>
      <w:pBdr>
        <w:top w:val="single" w:color="auto" w:sz="4" w:space="0"/>
      </w:pBdr>
      <w:shd w:val="clear" w:color="auto" w:fill="FFCC00"/>
      <w:spacing w:before="100" w:beforeAutospacing="1" w:after="100" w:afterAutospacing="1"/>
      <w:jc w:val="center"/>
    </w:pPr>
    <w:rPr>
      <w:rFonts w:ascii="方正综艺简体" w:eastAsia="方正综艺简体"/>
      <w:color w:val="000000"/>
      <w:sz w:val="20"/>
      <w:szCs w:val="20"/>
    </w:rPr>
  </w:style>
  <w:style w:type="paragraph" w:customStyle="1" w:styleId="2533">
    <w:name w:val="xl1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FF0000"/>
      <w:sz w:val="21"/>
      <w:szCs w:val="21"/>
    </w:rPr>
  </w:style>
  <w:style w:type="paragraph" w:customStyle="1" w:styleId="2534">
    <w:name w:val="Char Char Char Char Char Char Char11"/>
    <w:basedOn w:val="1"/>
    <w:qFormat/>
    <w:uiPriority w:val="0"/>
    <w:pPr>
      <w:spacing w:after="160" w:line="240" w:lineRule="exact"/>
    </w:pPr>
    <w:rPr>
      <w:rFonts w:ascii="Verdana" w:hAnsi="Verdana" w:cs="Times New Roman"/>
      <w:sz w:val="20"/>
      <w:szCs w:val="20"/>
      <w:lang w:eastAsia="en-US"/>
    </w:rPr>
  </w:style>
  <w:style w:type="paragraph" w:customStyle="1" w:styleId="2535">
    <w:name w:val="样式 黑体 小二 居中 段前: 140 磅 行距: 固定值 35 磅"/>
    <w:basedOn w:val="1"/>
    <w:qFormat/>
    <w:uiPriority w:val="0"/>
    <w:pPr>
      <w:widowControl w:val="0"/>
      <w:adjustRightInd w:val="0"/>
      <w:snapToGrid w:val="0"/>
      <w:spacing w:before="2000" w:line="700" w:lineRule="exact"/>
      <w:jc w:val="center"/>
    </w:pPr>
    <w:rPr>
      <w:rFonts w:ascii="黑体" w:hAnsi="Times New Roman" w:eastAsia="黑体"/>
      <w:sz w:val="36"/>
      <w:szCs w:val="20"/>
    </w:rPr>
  </w:style>
  <w:style w:type="paragraph" w:customStyle="1" w:styleId="2536">
    <w:name w:val="xl2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37">
    <w:name w:val="xl2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38">
    <w:name w:val="WPSOffice手动目录 2"/>
    <w:qFormat/>
    <w:uiPriority w:val="0"/>
    <w:pPr>
      <w:ind w:left="200" w:leftChars="200"/>
    </w:pPr>
    <w:rPr>
      <w:rFonts w:ascii="Calibri" w:hAnsi="Calibri" w:eastAsia="宋体" w:cs="Times New Roman"/>
      <w:lang w:val="en-US" w:eastAsia="zh-CN" w:bidi="ar-SA"/>
    </w:rPr>
  </w:style>
  <w:style w:type="paragraph" w:customStyle="1" w:styleId="2539">
    <w:name w:val="xl21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2540">
    <w:name w:val="正文首行缩进 211"/>
    <w:basedOn w:val="1"/>
    <w:qFormat/>
    <w:uiPriority w:val="0"/>
    <w:pPr>
      <w:widowControl w:val="0"/>
      <w:spacing w:after="120"/>
      <w:ind w:left="420" w:firstLine="420"/>
      <w:jc w:val="both"/>
    </w:pPr>
    <w:rPr>
      <w:rFonts w:ascii="Times New Roman" w:hAnsi="Times New Roman" w:cs="Times New Roman"/>
      <w:kern w:val="2"/>
      <w:szCs w:val="20"/>
    </w:rPr>
  </w:style>
  <w:style w:type="paragraph" w:customStyle="1" w:styleId="2541">
    <w:name w:val="Знак Знак11"/>
    <w:basedOn w:val="1"/>
    <w:qFormat/>
    <w:uiPriority w:val="0"/>
    <w:pPr>
      <w:widowControl w:val="0"/>
      <w:jc w:val="both"/>
    </w:pPr>
    <w:rPr>
      <w:rFonts w:ascii="Times New Roman" w:hAnsi="Times New Roman" w:cs="Times New Roman"/>
      <w:kern w:val="2"/>
      <w:sz w:val="21"/>
    </w:rPr>
  </w:style>
  <w:style w:type="paragraph" w:customStyle="1" w:styleId="2542">
    <w:name w:val="xl2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43">
    <w:name w:val="xl2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44">
    <w:name w:val="xl2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45">
    <w:name w:val="xl1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1"/>
      <w:szCs w:val="21"/>
    </w:rPr>
  </w:style>
  <w:style w:type="paragraph" w:customStyle="1" w:styleId="2546">
    <w:name w:val="样式 宋体 10 磅 左 行距: 单倍行距"/>
    <w:basedOn w:val="1"/>
    <w:qFormat/>
    <w:uiPriority w:val="0"/>
    <w:pPr>
      <w:widowControl w:val="0"/>
      <w:adjustRightInd w:val="0"/>
      <w:snapToGrid w:val="0"/>
      <w:jc w:val="center"/>
    </w:pPr>
    <w:rPr>
      <w:rFonts w:hAnsi="Times New Roman"/>
      <w:sz w:val="20"/>
      <w:szCs w:val="20"/>
    </w:rPr>
  </w:style>
  <w:style w:type="paragraph" w:customStyle="1" w:styleId="2547">
    <w:name w:val="日期3"/>
    <w:basedOn w:val="1"/>
    <w:next w:val="1"/>
    <w:qFormat/>
    <w:uiPriority w:val="0"/>
    <w:pPr>
      <w:widowControl w:val="0"/>
      <w:jc w:val="both"/>
    </w:pPr>
    <w:rPr>
      <w:rFonts w:hAnsi="Times New Roman" w:cs="Times New Roman"/>
      <w:kern w:val="2"/>
      <w:sz w:val="28"/>
      <w:szCs w:val="20"/>
    </w:rPr>
  </w:style>
  <w:style w:type="paragraph" w:customStyle="1" w:styleId="2548">
    <w:name w:val="zw"/>
    <w:basedOn w:val="1"/>
    <w:qFormat/>
    <w:uiPriority w:val="0"/>
    <w:pPr>
      <w:widowControl w:val="0"/>
      <w:snapToGrid w:val="0"/>
      <w:spacing w:line="400" w:lineRule="exact"/>
      <w:jc w:val="both"/>
      <w:outlineLvl w:val="0"/>
    </w:pPr>
    <w:rPr>
      <w:rFonts w:ascii="Times New Roman" w:hAnsi="Times New Roman" w:eastAsia="楷体_GB2312" w:cs="Times New Roman"/>
      <w:kern w:val="2"/>
      <w:sz w:val="28"/>
      <w:szCs w:val="20"/>
    </w:rPr>
  </w:style>
  <w:style w:type="paragraph" w:customStyle="1" w:styleId="2549">
    <w:name w:val="普通(网站)21"/>
    <w:basedOn w:val="1"/>
    <w:qFormat/>
    <w:uiPriority w:val="0"/>
    <w:pPr>
      <w:spacing w:before="100" w:beforeAutospacing="1" w:after="100" w:afterAutospacing="1"/>
    </w:pPr>
  </w:style>
  <w:style w:type="paragraph" w:customStyle="1" w:styleId="2550">
    <w:name w:val="标题 5 + 首行缩进:  2 字符"/>
    <w:basedOn w:val="9"/>
    <w:next w:val="1"/>
    <w:qFormat/>
    <w:uiPriority w:val="0"/>
    <w:pPr>
      <w:tabs>
        <w:tab w:val="left" w:pos="1260"/>
      </w:tabs>
      <w:topLinePunct w:val="0"/>
      <w:spacing w:before="0" w:after="0" w:line="440" w:lineRule="exact"/>
      <w:ind w:firstLine="562"/>
      <w:jc w:val="both"/>
    </w:pPr>
    <w:rPr>
      <w:rFonts w:ascii="Times New Roman" w:eastAsia="宋体" w:cs="宋体"/>
      <w:kern w:val="2"/>
      <w:szCs w:val="20"/>
    </w:rPr>
  </w:style>
  <w:style w:type="paragraph" w:customStyle="1" w:styleId="2551">
    <w:name w:val="xl139"/>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b/>
      <w:bCs/>
    </w:rPr>
  </w:style>
  <w:style w:type="paragraph" w:customStyle="1" w:styleId="2552">
    <w:name w:val="Char Char2 Char Char Char Char Char Char Char Char Char Char Char Char Char Char"/>
    <w:basedOn w:val="1"/>
    <w:qFormat/>
    <w:uiPriority w:val="0"/>
    <w:pPr>
      <w:widowControl w:val="0"/>
      <w:spacing w:beforeLines="20" w:afterLines="20" w:line="300" w:lineRule="auto"/>
      <w:jc w:val="both"/>
    </w:pPr>
    <w:rPr>
      <w:rFonts w:ascii="Times New Roman" w:hAnsi="Times New Roman" w:cs="Times New Roman"/>
      <w:kern w:val="2"/>
      <w:sz w:val="28"/>
    </w:rPr>
  </w:style>
  <w:style w:type="paragraph" w:customStyle="1" w:styleId="2553">
    <w:name w:val="目录一级标题"/>
    <w:basedOn w:val="2249"/>
    <w:qFormat/>
    <w:uiPriority w:val="0"/>
    <w:pPr>
      <w:jc w:val="left"/>
    </w:pPr>
    <w:rPr>
      <w:rFonts w:eastAsia="宋体"/>
      <w:sz w:val="28"/>
    </w:rPr>
  </w:style>
  <w:style w:type="paragraph" w:customStyle="1" w:styleId="2554">
    <w:name w:val="xl1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55">
    <w:name w:val="xl2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56">
    <w:name w:val="正文二级"/>
    <w:basedOn w:val="1"/>
    <w:qFormat/>
    <w:uiPriority w:val="0"/>
    <w:pPr>
      <w:widowControl w:val="0"/>
      <w:tabs>
        <w:tab w:val="left" w:pos="0"/>
      </w:tabs>
      <w:spacing w:before="240" w:after="120"/>
      <w:jc w:val="both"/>
      <w:outlineLvl w:val="1"/>
    </w:pPr>
    <w:rPr>
      <w:rFonts w:ascii="Times New Roman" w:hAnsi="Times New Roman" w:eastAsia="黑体" w:cs="Times New Roman"/>
      <w:bCs/>
      <w:kern w:val="44"/>
      <w:sz w:val="32"/>
      <w:szCs w:val="36"/>
    </w:rPr>
  </w:style>
  <w:style w:type="paragraph" w:customStyle="1" w:styleId="2557">
    <w:name w:val="样式 表头 + 左侧:  0.99 字符 首行缩进:  3.19 厘米"/>
    <w:basedOn w:val="102"/>
    <w:qFormat/>
    <w:uiPriority w:val="0"/>
    <w:pPr>
      <w:ind w:left="1120" w:leftChars="400" w:firstLine="480"/>
      <w:jc w:val="left"/>
    </w:pPr>
    <w:rPr>
      <w:rFonts w:eastAsia="宋体" w:cs="宋体"/>
      <w:b/>
      <w:bCs/>
      <w:snapToGrid w:val="0"/>
      <w:sz w:val="28"/>
      <w:lang w:val="zh-CN"/>
    </w:rPr>
  </w:style>
  <w:style w:type="paragraph" w:customStyle="1" w:styleId="2558">
    <w:name w:val="批注主题12"/>
    <w:basedOn w:val="27"/>
    <w:next w:val="27"/>
    <w:qFormat/>
    <w:uiPriority w:val="0"/>
    <w:pPr>
      <w:widowControl w:val="0"/>
      <w:adjustRightInd w:val="0"/>
      <w:snapToGrid w:val="0"/>
      <w:spacing w:line="480" w:lineRule="exact"/>
    </w:pPr>
    <w:rPr>
      <w:rFonts w:ascii="Times New Roman" w:hAnsi="Times New Roman"/>
      <w:b/>
      <w:bCs/>
      <w:kern w:val="2"/>
      <w:szCs w:val="24"/>
    </w:rPr>
  </w:style>
  <w:style w:type="paragraph" w:customStyle="1" w:styleId="2559">
    <w:name w:val="xl316"/>
    <w:basedOn w:val="1"/>
    <w:qFormat/>
    <w:uiPriority w:val="0"/>
    <w:pPr>
      <w:pBdr>
        <w:top w:val="single" w:color="auto" w:sz="4" w:space="0"/>
        <w:right w:val="single" w:color="auto" w:sz="4" w:space="0"/>
      </w:pBdr>
      <w:shd w:val="clear" w:color="auto" w:fill="FFCC00"/>
      <w:spacing w:before="100" w:beforeAutospacing="1" w:after="100" w:afterAutospacing="1"/>
      <w:jc w:val="center"/>
    </w:pPr>
    <w:rPr>
      <w:rFonts w:ascii="方正综艺简体" w:eastAsia="方正综艺简体"/>
      <w:color w:val="000000"/>
      <w:sz w:val="20"/>
      <w:szCs w:val="20"/>
    </w:rPr>
  </w:style>
  <w:style w:type="paragraph" w:customStyle="1" w:styleId="2560">
    <w:name w:val="xl1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1"/>
      <w:szCs w:val="21"/>
    </w:rPr>
  </w:style>
  <w:style w:type="paragraph" w:customStyle="1" w:styleId="2561">
    <w:name w:val="xl2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62">
    <w:name w:val="样式 标题 2节标题 + 小三 加粗 段前: 6 磅 行距: 1.5 倍行距"/>
    <w:basedOn w:val="5"/>
    <w:qFormat/>
    <w:uiPriority w:val="0"/>
    <w:pPr>
      <w:widowControl w:val="0"/>
      <w:adjustRightInd w:val="0"/>
      <w:snapToGrid w:val="0"/>
      <w:spacing w:before="240" w:after="240" w:line="240" w:lineRule="auto"/>
      <w:jc w:val="center"/>
    </w:pPr>
    <w:rPr>
      <w:rFonts w:ascii="Times New Roman" w:hAnsi="Times New Roman" w:cs="宋体"/>
      <w:b/>
      <w:kern w:val="2"/>
      <w:sz w:val="30"/>
      <w:szCs w:val="20"/>
    </w:rPr>
  </w:style>
  <w:style w:type="paragraph" w:customStyle="1" w:styleId="2563">
    <w:name w:val="样式 标题3 + 黑体 行距: 固定值 23 磅"/>
    <w:basedOn w:val="1"/>
    <w:qFormat/>
    <w:uiPriority w:val="0"/>
    <w:pPr>
      <w:keepNext/>
      <w:keepLines/>
      <w:widowControl w:val="0"/>
      <w:topLinePunct/>
      <w:adjustRightInd w:val="0"/>
      <w:spacing w:line="460" w:lineRule="exact"/>
      <w:jc w:val="both"/>
      <w:outlineLvl w:val="2"/>
    </w:pPr>
    <w:rPr>
      <w:rFonts w:ascii="Times New Roman" w:hAnsi="Times New Roman" w:eastAsia="楷体_GB2312"/>
      <w:b/>
      <w:color w:val="000000"/>
      <w:sz w:val="28"/>
      <w:szCs w:val="20"/>
    </w:rPr>
  </w:style>
  <w:style w:type="paragraph" w:customStyle="1" w:styleId="2564">
    <w:name w:val="xl2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65">
    <w:name w:val="xl280"/>
    <w:basedOn w:val="1"/>
    <w:qFormat/>
    <w:uiPriority w:val="0"/>
    <w:pPr>
      <w:pBdr>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566">
    <w:name w:val="正文居中"/>
    <w:basedOn w:val="1"/>
    <w:qFormat/>
    <w:uiPriority w:val="0"/>
    <w:pPr>
      <w:widowControl w:val="0"/>
      <w:jc w:val="center"/>
    </w:pPr>
    <w:rPr>
      <w:rFonts w:ascii="Times New Roman" w:hAnsi="Times New Roman" w:cs="Times New Roman"/>
      <w:kern w:val="2"/>
      <w:sz w:val="21"/>
      <w:szCs w:val="20"/>
    </w:rPr>
  </w:style>
  <w:style w:type="paragraph" w:customStyle="1" w:styleId="2567">
    <w:name w:val="正文文本 311"/>
    <w:basedOn w:val="1"/>
    <w:qFormat/>
    <w:uiPriority w:val="0"/>
    <w:pPr>
      <w:widowControl w:val="0"/>
      <w:spacing w:line="240" w:lineRule="exact"/>
      <w:jc w:val="both"/>
    </w:pPr>
    <w:rPr>
      <w:rFonts w:ascii="Times New Roman" w:hAnsi="Times New Roman" w:cs="Times New Roman"/>
      <w:kern w:val="2"/>
      <w:sz w:val="18"/>
      <w:szCs w:val="20"/>
    </w:rPr>
  </w:style>
  <w:style w:type="paragraph" w:customStyle="1" w:styleId="2568">
    <w:name w:val="索引 12"/>
    <w:basedOn w:val="1"/>
    <w:next w:val="1"/>
    <w:qFormat/>
    <w:uiPriority w:val="0"/>
    <w:pPr>
      <w:widowControl w:val="0"/>
      <w:spacing w:line="360" w:lineRule="exact"/>
      <w:jc w:val="center"/>
    </w:pPr>
    <w:rPr>
      <w:rFonts w:cs="Times New Roman"/>
      <w:kern w:val="2"/>
      <w:sz w:val="21"/>
    </w:rPr>
  </w:style>
  <w:style w:type="paragraph" w:customStyle="1" w:styleId="2569">
    <w:name w:val="121"/>
    <w:basedOn w:val="1"/>
    <w:qFormat/>
    <w:uiPriority w:val="0"/>
    <w:pPr>
      <w:widowControl w:val="0"/>
      <w:adjustRightInd w:val="0"/>
      <w:spacing w:before="120" w:line="460" w:lineRule="exact"/>
      <w:jc w:val="center"/>
      <w:outlineLvl w:val="3"/>
    </w:pPr>
    <w:rPr>
      <w:rFonts w:ascii="Times New Roman" w:hAnsi="Times New Roman" w:eastAsia="黑体" w:cs="Times New Roman"/>
    </w:rPr>
  </w:style>
  <w:style w:type="paragraph" w:customStyle="1" w:styleId="2570">
    <w:name w:val="xl1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71">
    <w:name w:val="日期21"/>
    <w:basedOn w:val="1"/>
    <w:next w:val="1"/>
    <w:qFormat/>
    <w:uiPriority w:val="0"/>
    <w:pPr>
      <w:widowControl w:val="0"/>
      <w:jc w:val="both"/>
    </w:pPr>
    <w:rPr>
      <w:rFonts w:hAnsi="Times New Roman" w:cs="Times New Roman"/>
      <w:kern w:val="2"/>
      <w:sz w:val="28"/>
      <w:szCs w:val="20"/>
    </w:rPr>
  </w:style>
  <w:style w:type="paragraph" w:customStyle="1" w:styleId="2572">
    <w:name w:val="xl213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rFonts w:ascii="Times New Roman" w:hAnsi="Times New Roman" w:cs="Times New Roman"/>
      <w:b/>
      <w:bCs/>
      <w:sz w:val="21"/>
      <w:szCs w:val="21"/>
    </w:rPr>
  </w:style>
  <w:style w:type="paragraph" w:customStyle="1" w:styleId="2573">
    <w:name w:val="xl310"/>
    <w:basedOn w:val="1"/>
    <w:qFormat/>
    <w:uiPriority w:val="0"/>
    <w:pPr>
      <w:pBdr>
        <w:bottom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574">
    <w:name w:val="xl214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b/>
      <w:bCs/>
    </w:rPr>
  </w:style>
  <w:style w:type="paragraph" w:customStyle="1" w:styleId="2575">
    <w:name w:val="xl2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76">
    <w:name w:val="Char Char Char Char Char Char Char Char Char Char11"/>
    <w:basedOn w:val="1"/>
    <w:qFormat/>
    <w:uiPriority w:val="0"/>
    <w:pPr>
      <w:widowControl w:val="0"/>
      <w:jc w:val="both"/>
    </w:pPr>
    <w:rPr>
      <w:rFonts w:ascii="Times New Roman" w:hAnsi="Times New Roman" w:cs="Times New Roman"/>
      <w:kern w:val="2"/>
      <w:sz w:val="21"/>
    </w:rPr>
  </w:style>
  <w:style w:type="paragraph" w:customStyle="1" w:styleId="2577">
    <w:name w:val="xl298"/>
    <w:basedOn w:val="1"/>
    <w:qFormat/>
    <w:uiPriority w:val="0"/>
    <w:pPr>
      <w:pBdr>
        <w:lef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578">
    <w:name w:val="正文四级标题"/>
    <w:basedOn w:val="1"/>
    <w:qFormat/>
    <w:uiPriority w:val="0"/>
    <w:pPr>
      <w:widowControl w:val="0"/>
      <w:adjustRightInd w:val="0"/>
      <w:snapToGrid w:val="0"/>
      <w:spacing w:line="480" w:lineRule="exact"/>
      <w:ind w:firstLine="560" w:firstLineChars="200"/>
      <w:jc w:val="both"/>
    </w:pPr>
    <w:rPr>
      <w:rFonts w:cs="Times New Roman"/>
      <w:bCs/>
      <w:sz w:val="28"/>
      <w:szCs w:val="28"/>
    </w:rPr>
  </w:style>
  <w:style w:type="paragraph" w:customStyle="1" w:styleId="2579">
    <w:name w:val="xl21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FF0000"/>
      <w:sz w:val="21"/>
      <w:szCs w:val="21"/>
    </w:rPr>
  </w:style>
  <w:style w:type="paragraph" w:customStyle="1" w:styleId="2580">
    <w:name w:val="索引 61"/>
    <w:basedOn w:val="1"/>
    <w:next w:val="1"/>
    <w:qFormat/>
    <w:uiPriority w:val="0"/>
    <w:pPr>
      <w:widowControl w:val="0"/>
      <w:spacing w:line="480" w:lineRule="exact"/>
      <w:ind w:left="1000" w:leftChars="1000"/>
      <w:jc w:val="both"/>
    </w:pPr>
    <w:rPr>
      <w:rFonts w:ascii="Times New Roman" w:hAnsi="Times New Roman" w:cs="Times New Roman"/>
      <w:kern w:val="2"/>
    </w:rPr>
  </w:style>
  <w:style w:type="paragraph" w:customStyle="1" w:styleId="2581">
    <w:name w:val="xl2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2582">
    <w:name w:val="xl2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83">
    <w:name w:val="xl2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84">
    <w:name w:val="普通(网站)3"/>
    <w:basedOn w:val="1"/>
    <w:qFormat/>
    <w:uiPriority w:val="0"/>
    <w:pPr>
      <w:spacing w:before="100" w:beforeAutospacing="1" w:after="100" w:afterAutospacing="1"/>
    </w:pPr>
  </w:style>
  <w:style w:type="paragraph" w:customStyle="1" w:styleId="2585">
    <w:name w:val="xl181"/>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color w:val="000000"/>
      <w:sz w:val="20"/>
      <w:szCs w:val="20"/>
    </w:rPr>
  </w:style>
  <w:style w:type="paragraph" w:customStyle="1" w:styleId="2586">
    <w:name w:val="四级"/>
    <w:basedOn w:val="1560"/>
    <w:qFormat/>
    <w:uiPriority w:val="0"/>
    <w:pPr>
      <w:adjustRightInd/>
      <w:snapToGrid w:val="0"/>
      <w:ind w:firstLine="0"/>
      <w:textAlignment w:val="auto"/>
    </w:pPr>
    <w:rPr>
      <w:rFonts w:ascii="Times New Roman" w:hAnsi="Times New Roman" w:eastAsia="楷体_GB2312"/>
    </w:rPr>
  </w:style>
  <w:style w:type="paragraph" w:customStyle="1" w:styleId="2587">
    <w:name w:val="正文缩进11"/>
    <w:basedOn w:val="1"/>
    <w:qFormat/>
    <w:uiPriority w:val="0"/>
    <w:pPr>
      <w:widowControl w:val="0"/>
      <w:adjustRightInd w:val="0"/>
      <w:snapToGrid w:val="0"/>
      <w:spacing w:line="480" w:lineRule="exact"/>
      <w:ind w:firstLine="200" w:firstLineChars="200"/>
      <w:jc w:val="both"/>
    </w:pPr>
    <w:rPr>
      <w:rFonts w:ascii="Times New Roman" w:hAnsi="Times New Roman" w:eastAsia="方正仿宋简体" w:cs="Times New Roman"/>
      <w:kern w:val="2"/>
      <w:sz w:val="28"/>
    </w:rPr>
  </w:style>
  <w:style w:type="paragraph" w:customStyle="1" w:styleId="2588">
    <w:name w:val="xl1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89">
    <w:name w:val="xl21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style>
  <w:style w:type="paragraph" w:customStyle="1" w:styleId="2590">
    <w:name w:val="xl2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91">
    <w:name w:val="xl288"/>
    <w:basedOn w:val="1"/>
    <w:qFormat/>
    <w:uiPriority w:val="0"/>
    <w:pPr>
      <w:pBdr>
        <w:top w:val="single" w:color="auto" w:sz="4" w:space="0"/>
        <w:left w:val="single" w:color="auto" w:sz="4" w:space="0"/>
        <w:right w:val="single" w:color="auto" w:sz="4" w:space="0"/>
      </w:pBdr>
      <w:spacing w:before="100" w:beforeAutospacing="1" w:after="100" w:afterAutospacing="1"/>
    </w:pPr>
    <w:rPr>
      <w:color w:val="0000FF"/>
      <w:sz w:val="20"/>
      <w:szCs w:val="20"/>
    </w:rPr>
  </w:style>
  <w:style w:type="paragraph" w:customStyle="1" w:styleId="2592">
    <w:name w:val="xl1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593">
    <w:name w:val="列表 311"/>
    <w:basedOn w:val="1"/>
    <w:qFormat/>
    <w:uiPriority w:val="0"/>
    <w:pPr>
      <w:widowControl w:val="0"/>
      <w:ind w:left="1260" w:hanging="420"/>
      <w:jc w:val="both"/>
    </w:pPr>
    <w:rPr>
      <w:rFonts w:ascii="Times New Roman" w:hAnsi="Times New Roman" w:cs="Times New Roman"/>
      <w:kern w:val="2"/>
      <w:sz w:val="21"/>
    </w:rPr>
  </w:style>
  <w:style w:type="paragraph" w:customStyle="1" w:styleId="2594">
    <w:name w:val="样式 样式 标题 3 + 首行缩进:  2 字符 + 首行缩进:  2 字符"/>
    <w:basedOn w:val="1"/>
    <w:qFormat/>
    <w:uiPriority w:val="0"/>
    <w:pPr>
      <w:keepNext/>
      <w:keepLines/>
      <w:widowControl w:val="0"/>
      <w:tabs>
        <w:tab w:val="left" w:pos="3900"/>
      </w:tabs>
      <w:adjustRightInd w:val="0"/>
      <w:snapToGrid w:val="0"/>
      <w:spacing w:beforeLines="50" w:line="480" w:lineRule="exact"/>
      <w:ind w:firstLine="620" w:firstLineChars="200"/>
      <w:jc w:val="both"/>
      <w:outlineLvl w:val="2"/>
    </w:pPr>
    <w:rPr>
      <w:rFonts w:ascii="Times New Roman" w:hAnsi="Times New Roman" w:eastAsia="黑体"/>
      <w:bCs/>
      <w:color w:val="000000"/>
      <w:szCs w:val="20"/>
    </w:rPr>
  </w:style>
  <w:style w:type="paragraph" w:customStyle="1" w:styleId="2595">
    <w:name w:val="xl294"/>
    <w:basedOn w:val="1"/>
    <w:qFormat/>
    <w:uiPriority w:val="0"/>
    <w:pPr>
      <w:pBdr>
        <w:top w:val="single" w:color="auto" w:sz="4" w:space="0"/>
        <w:lef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596">
    <w:name w:val="文本块3"/>
    <w:basedOn w:val="1"/>
    <w:qFormat/>
    <w:uiPriority w:val="0"/>
    <w:pPr>
      <w:widowControl w:val="0"/>
      <w:spacing w:line="480" w:lineRule="exact"/>
      <w:ind w:left="-143" w:leftChars="-68" w:right="-120" w:rightChars="-57"/>
      <w:jc w:val="center"/>
    </w:pPr>
    <w:rPr>
      <w:rFonts w:cs="Times New Roman"/>
      <w:color w:val="000000"/>
      <w:kern w:val="2"/>
    </w:rPr>
  </w:style>
  <w:style w:type="paragraph" w:customStyle="1" w:styleId="2597">
    <w:name w:val="索引 71"/>
    <w:basedOn w:val="1"/>
    <w:next w:val="1"/>
    <w:qFormat/>
    <w:uiPriority w:val="0"/>
    <w:pPr>
      <w:widowControl w:val="0"/>
      <w:spacing w:line="480" w:lineRule="exact"/>
      <w:ind w:left="1200" w:leftChars="1200"/>
      <w:jc w:val="both"/>
    </w:pPr>
    <w:rPr>
      <w:rFonts w:ascii="Times New Roman" w:hAnsi="Times New Roman" w:cs="Times New Roman"/>
      <w:kern w:val="2"/>
    </w:rPr>
  </w:style>
  <w:style w:type="paragraph" w:customStyle="1" w:styleId="2598">
    <w:name w:val="封面副标题"/>
    <w:basedOn w:val="2161"/>
    <w:qFormat/>
    <w:uiPriority w:val="0"/>
    <w:pPr>
      <w:spacing w:line="1100" w:lineRule="exact"/>
    </w:pPr>
    <w:rPr>
      <w:sz w:val="44"/>
    </w:rPr>
  </w:style>
  <w:style w:type="paragraph" w:customStyle="1" w:styleId="2599">
    <w:name w:val="xl1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00">
    <w:name w:val="文档结构图22"/>
    <w:basedOn w:val="1"/>
    <w:qFormat/>
    <w:uiPriority w:val="0"/>
    <w:pPr>
      <w:widowControl w:val="0"/>
      <w:shd w:val="clear" w:color="auto" w:fill="000080"/>
      <w:adjustRightInd w:val="0"/>
      <w:snapToGrid w:val="0"/>
      <w:spacing w:line="480" w:lineRule="exact"/>
      <w:ind w:firstLine="560" w:firstLineChars="200"/>
      <w:jc w:val="both"/>
    </w:pPr>
    <w:rPr>
      <w:rFonts w:ascii="Times New Roman" w:hAnsi="Times New Roman" w:cs="Times New Roman"/>
      <w:sz w:val="28"/>
    </w:rPr>
  </w:style>
  <w:style w:type="paragraph" w:customStyle="1" w:styleId="2601">
    <w:name w:val="样式 正文缩进 + 仿宋_GB2312 行距: 固定值 20 磅"/>
    <w:basedOn w:val="6"/>
    <w:qFormat/>
    <w:uiPriority w:val="0"/>
    <w:pPr>
      <w:widowControl w:val="0"/>
      <w:topLinePunct/>
      <w:adjustRightInd w:val="0"/>
      <w:spacing w:line="400" w:lineRule="exact"/>
      <w:ind w:firstLine="560" w:firstLineChars="200"/>
      <w:jc w:val="both"/>
    </w:pPr>
    <w:rPr>
      <w:rFonts w:ascii="仿宋_GB2312" w:hAnsi="Times New Roman" w:eastAsia="仿宋_GB2312" w:cs="宋体"/>
      <w:kern w:val="2"/>
      <w:sz w:val="24"/>
    </w:rPr>
  </w:style>
  <w:style w:type="paragraph" w:customStyle="1" w:styleId="2602">
    <w:name w:val="xl180"/>
    <w:basedOn w:val="1"/>
    <w:qFormat/>
    <w:uiPriority w:val="0"/>
    <w:pPr>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pPr>
    <w:rPr>
      <w:rFonts w:ascii="方正综艺简体" w:eastAsia="方正综艺简体"/>
      <w:color w:val="000000"/>
      <w:sz w:val="20"/>
      <w:szCs w:val="20"/>
    </w:rPr>
  </w:style>
  <w:style w:type="paragraph" w:customStyle="1" w:styleId="2603">
    <w:name w:val="样式 标题 4图标题1.1.1.1标题 4 Char + 首行缩进:  2 字符"/>
    <w:basedOn w:val="8"/>
    <w:qFormat/>
    <w:uiPriority w:val="0"/>
    <w:pPr>
      <w:keepNext w:val="0"/>
      <w:keepLines w:val="0"/>
      <w:widowControl w:val="0"/>
      <w:adjustRightInd w:val="0"/>
      <w:snapToGrid w:val="0"/>
      <w:spacing w:line="460" w:lineRule="exact"/>
      <w:ind w:firstLine="602" w:firstLineChars="200"/>
      <w:jc w:val="both"/>
    </w:pPr>
    <w:rPr>
      <w:rFonts w:eastAsia="楷体_GB2312"/>
      <w:b/>
      <w:bCs/>
      <w:sz w:val="30"/>
      <w:lang w:val="en-US"/>
    </w:rPr>
  </w:style>
  <w:style w:type="paragraph" w:customStyle="1" w:styleId="2604">
    <w:name w:val="xl2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FF"/>
      <w:sz w:val="20"/>
      <w:szCs w:val="20"/>
    </w:rPr>
  </w:style>
  <w:style w:type="paragraph" w:customStyle="1" w:styleId="2605">
    <w:name w:val="xl2138"/>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b/>
      <w:bCs/>
      <w:sz w:val="22"/>
      <w:szCs w:val="22"/>
    </w:rPr>
  </w:style>
  <w:style w:type="paragraph" w:customStyle="1" w:styleId="2606">
    <w:name w:val="正文一级标题"/>
    <w:basedOn w:val="1"/>
    <w:qFormat/>
    <w:uiPriority w:val="0"/>
    <w:pPr>
      <w:widowControl w:val="0"/>
      <w:spacing w:before="360" w:after="240"/>
      <w:jc w:val="center"/>
      <w:outlineLvl w:val="0"/>
    </w:pPr>
    <w:rPr>
      <w:rFonts w:ascii="Times New Roman" w:hAnsi="Times New Roman" w:eastAsia="楷体_GB2312" w:cs="Times New Roman"/>
      <w:kern w:val="2"/>
      <w:sz w:val="36"/>
    </w:rPr>
  </w:style>
  <w:style w:type="paragraph" w:customStyle="1" w:styleId="2607">
    <w:name w:val="xl21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FF0000"/>
      <w:sz w:val="21"/>
      <w:szCs w:val="21"/>
    </w:rPr>
  </w:style>
  <w:style w:type="paragraph" w:customStyle="1" w:styleId="2608">
    <w:name w:val="Char9"/>
    <w:basedOn w:val="1"/>
    <w:qFormat/>
    <w:uiPriority w:val="0"/>
    <w:pPr>
      <w:widowControl w:val="0"/>
      <w:jc w:val="both"/>
    </w:pPr>
    <w:rPr>
      <w:rFonts w:ascii="Times New Roman" w:hAnsi="Times New Roman" w:cs="Times New Roman"/>
      <w:kern w:val="2"/>
      <w:sz w:val="21"/>
    </w:rPr>
  </w:style>
  <w:style w:type="paragraph" w:customStyle="1" w:styleId="2609">
    <w:name w:val="xl16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color w:val="000000"/>
      <w:sz w:val="20"/>
      <w:szCs w:val="20"/>
    </w:rPr>
  </w:style>
  <w:style w:type="paragraph" w:customStyle="1" w:styleId="2610">
    <w:name w:val="xl1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1"/>
      <w:szCs w:val="21"/>
    </w:rPr>
  </w:style>
  <w:style w:type="paragraph" w:customStyle="1" w:styleId="2611">
    <w:name w:val="xl1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12">
    <w:name w:val="xl237"/>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color w:val="000000"/>
      <w:sz w:val="20"/>
      <w:szCs w:val="20"/>
    </w:rPr>
  </w:style>
  <w:style w:type="paragraph" w:customStyle="1" w:styleId="2613">
    <w:name w:val="xl21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sz w:val="21"/>
      <w:szCs w:val="21"/>
    </w:rPr>
  </w:style>
  <w:style w:type="paragraph" w:customStyle="1" w:styleId="2614">
    <w:name w:val="xl21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color w:val="FF0000"/>
    </w:rPr>
  </w:style>
  <w:style w:type="paragraph" w:customStyle="1" w:styleId="2615">
    <w:name w:val="xl2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2616">
    <w:name w:val="xl268"/>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617">
    <w:name w:val="xl1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sz w:val="21"/>
      <w:szCs w:val="21"/>
    </w:rPr>
  </w:style>
  <w:style w:type="paragraph" w:customStyle="1" w:styleId="2618">
    <w:name w:val="xl2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19">
    <w:name w:val="xl274"/>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color w:val="000000"/>
      <w:sz w:val="20"/>
      <w:szCs w:val="20"/>
    </w:rPr>
  </w:style>
  <w:style w:type="paragraph" w:customStyle="1" w:styleId="2620">
    <w:name w:val="xl2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21">
    <w:name w:val="样式19"/>
    <w:basedOn w:val="2622"/>
    <w:qFormat/>
    <w:uiPriority w:val="0"/>
    <w:pPr>
      <w:spacing w:afterLines="50"/>
    </w:pPr>
  </w:style>
  <w:style w:type="paragraph" w:customStyle="1" w:styleId="2622">
    <w:name w:val="样式18"/>
    <w:basedOn w:val="1"/>
    <w:qFormat/>
    <w:uiPriority w:val="0"/>
    <w:pPr>
      <w:widowControl w:val="0"/>
      <w:snapToGrid w:val="0"/>
      <w:spacing w:line="480" w:lineRule="exact"/>
      <w:jc w:val="center"/>
    </w:pPr>
    <w:rPr>
      <w:rFonts w:ascii="Times New Roman" w:hAnsi="Times New Roman"/>
      <w:szCs w:val="21"/>
    </w:rPr>
  </w:style>
  <w:style w:type="paragraph" w:customStyle="1" w:styleId="2623">
    <w:name w:val="签署"/>
    <w:basedOn w:val="1"/>
    <w:qFormat/>
    <w:uiPriority w:val="0"/>
    <w:pPr>
      <w:widowControl w:val="0"/>
      <w:adjustRightInd w:val="0"/>
      <w:snapToGrid w:val="0"/>
      <w:spacing w:line="900" w:lineRule="exact"/>
      <w:ind w:firstLine="1280" w:firstLineChars="400"/>
    </w:pPr>
    <w:rPr>
      <w:rFonts w:ascii="Times New Roman" w:hAnsi="Times New Roman" w:eastAsia="黑体"/>
      <w:kern w:val="2"/>
      <w:sz w:val="32"/>
      <w:szCs w:val="20"/>
    </w:rPr>
  </w:style>
  <w:style w:type="paragraph" w:customStyle="1" w:styleId="2624">
    <w:name w:val="xl1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25">
    <w:name w:val="Char Char1 Char Char Char Char Char Char Char Char"/>
    <w:basedOn w:val="1"/>
    <w:next w:val="46"/>
    <w:qFormat/>
    <w:uiPriority w:val="0"/>
    <w:pPr>
      <w:widowControl w:val="0"/>
      <w:spacing w:line="360" w:lineRule="auto"/>
      <w:ind w:firstLine="480" w:firstLineChars="200"/>
      <w:jc w:val="both"/>
    </w:pPr>
    <w:rPr>
      <w:rFonts w:ascii="Times New Roman" w:hAnsi="Times New Roman" w:cs="Times New Roman"/>
    </w:rPr>
  </w:style>
  <w:style w:type="paragraph" w:customStyle="1" w:styleId="2626">
    <w:name w:val="修订21"/>
    <w:qFormat/>
    <w:uiPriority w:val="0"/>
    <w:rPr>
      <w:rFonts w:ascii="Times New Roman" w:hAnsi="Times New Roman" w:eastAsia="宋体" w:cs="Times New Roman"/>
      <w:kern w:val="2"/>
      <w:sz w:val="21"/>
      <w:szCs w:val="24"/>
      <w:lang w:val="en-US" w:eastAsia="zh-CN" w:bidi="ar-SA"/>
    </w:rPr>
  </w:style>
  <w:style w:type="paragraph" w:customStyle="1" w:styleId="2627">
    <w:name w:val="正文缩进2字符"/>
    <w:basedOn w:val="1"/>
    <w:next w:val="1"/>
    <w:qFormat/>
    <w:uiPriority w:val="0"/>
    <w:pPr>
      <w:adjustRightInd w:val="0"/>
      <w:snapToGrid w:val="0"/>
      <w:spacing w:line="288" w:lineRule="auto"/>
      <w:ind w:firstLine="200" w:firstLineChars="200"/>
    </w:pPr>
    <w:rPr>
      <w:rFonts w:cs="Times New Roman"/>
      <w:kern w:val="2"/>
    </w:rPr>
  </w:style>
  <w:style w:type="paragraph" w:customStyle="1" w:styleId="2628">
    <w:name w:val="xl192"/>
    <w:basedOn w:val="1"/>
    <w:qFormat/>
    <w:uiPriority w:val="0"/>
    <w:pPr>
      <w:spacing w:before="100" w:beforeAutospacing="1" w:after="100" w:afterAutospacing="1"/>
    </w:pPr>
    <w:rPr>
      <w:color w:val="000000"/>
      <w:sz w:val="20"/>
      <w:szCs w:val="20"/>
    </w:rPr>
  </w:style>
  <w:style w:type="paragraph" w:customStyle="1" w:styleId="2629">
    <w:name w:val="样式 首行缩进:  2 字符 右侧:  -0.27 厘米"/>
    <w:basedOn w:val="1"/>
    <w:qFormat/>
    <w:uiPriority w:val="0"/>
    <w:pPr>
      <w:widowControl w:val="0"/>
      <w:adjustRightInd w:val="0"/>
      <w:snapToGrid w:val="0"/>
      <w:spacing w:line="460" w:lineRule="exact"/>
      <w:ind w:right="-155" w:firstLine="560" w:firstLineChars="200"/>
      <w:jc w:val="both"/>
    </w:pPr>
    <w:rPr>
      <w:rFonts w:ascii="Times New Roman" w:hAnsi="Times New Roman"/>
      <w:sz w:val="28"/>
      <w:szCs w:val="28"/>
    </w:rPr>
  </w:style>
  <w:style w:type="paragraph" w:customStyle="1" w:styleId="2630">
    <w:name w:val="xl279"/>
    <w:basedOn w:val="1"/>
    <w:qFormat/>
    <w:uiPriority w:val="0"/>
    <w:pPr>
      <w:pBdr>
        <w:top w:val="single" w:color="auto" w:sz="4" w:space="0"/>
        <w:left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631">
    <w:name w:val="索引 81"/>
    <w:basedOn w:val="1"/>
    <w:next w:val="1"/>
    <w:qFormat/>
    <w:uiPriority w:val="0"/>
    <w:pPr>
      <w:widowControl w:val="0"/>
      <w:spacing w:line="480" w:lineRule="exact"/>
      <w:ind w:left="1400" w:leftChars="1400"/>
      <w:jc w:val="both"/>
    </w:pPr>
    <w:rPr>
      <w:rFonts w:ascii="Times New Roman" w:hAnsi="Times New Roman" w:cs="Times New Roman"/>
      <w:kern w:val="2"/>
    </w:rPr>
  </w:style>
  <w:style w:type="paragraph" w:customStyle="1" w:styleId="2632">
    <w:name w:val="Char Char Char Char4"/>
    <w:basedOn w:val="1"/>
    <w:qFormat/>
    <w:uiPriority w:val="0"/>
    <w:pPr>
      <w:widowControl w:val="0"/>
      <w:jc w:val="both"/>
    </w:pPr>
    <w:rPr>
      <w:rFonts w:ascii="Times New Roman" w:hAnsi="Times New Roman" w:cs="Times New Roman"/>
      <w:kern w:val="2"/>
      <w:sz w:val="21"/>
    </w:rPr>
  </w:style>
  <w:style w:type="paragraph" w:customStyle="1" w:styleId="2633">
    <w:name w:val="xl282"/>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eastAsia="方正综艺简体"/>
      <w:color w:val="000000"/>
      <w:sz w:val="20"/>
      <w:szCs w:val="20"/>
    </w:rPr>
  </w:style>
  <w:style w:type="paragraph" w:customStyle="1" w:styleId="2634">
    <w:name w:val="d"/>
    <w:basedOn w:val="1560"/>
    <w:qFormat/>
    <w:uiPriority w:val="0"/>
    <w:pPr>
      <w:adjustRightInd/>
      <w:spacing w:line="420" w:lineRule="exact"/>
      <w:ind w:firstLine="480"/>
      <w:textAlignment w:val="auto"/>
    </w:pPr>
    <w:rPr>
      <w:rFonts w:ascii="Times New Roman" w:hAnsi="Times New Roman"/>
      <w:sz w:val="24"/>
    </w:rPr>
  </w:style>
  <w:style w:type="paragraph" w:customStyle="1" w:styleId="2635">
    <w:name w:val="xl315"/>
    <w:basedOn w:val="1"/>
    <w:qFormat/>
    <w:uiPriority w:val="0"/>
    <w:pPr>
      <w:pBdr>
        <w:bottom w:val="single" w:color="auto" w:sz="4" w:space="0"/>
      </w:pBdr>
      <w:shd w:val="clear" w:color="auto" w:fill="FFCC00"/>
      <w:spacing w:before="100" w:beforeAutospacing="1" w:after="100" w:afterAutospacing="1"/>
      <w:jc w:val="center"/>
    </w:pPr>
    <w:rPr>
      <w:rFonts w:ascii="方正综艺简体" w:eastAsia="方正综艺简体"/>
      <w:color w:val="000000"/>
      <w:sz w:val="20"/>
      <w:szCs w:val="20"/>
    </w:rPr>
  </w:style>
  <w:style w:type="paragraph" w:customStyle="1" w:styleId="2636">
    <w:name w:val="xl1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37">
    <w:name w:val="xl16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2638">
    <w:name w:val="xl2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39">
    <w:name w:val="正文文本 321"/>
    <w:basedOn w:val="1"/>
    <w:qFormat/>
    <w:uiPriority w:val="0"/>
    <w:pPr>
      <w:widowControl w:val="0"/>
      <w:adjustRightInd w:val="0"/>
      <w:snapToGrid w:val="0"/>
      <w:spacing w:after="120" w:line="480" w:lineRule="exact"/>
      <w:ind w:firstLine="200" w:firstLineChars="200"/>
      <w:jc w:val="both"/>
    </w:pPr>
    <w:rPr>
      <w:rFonts w:ascii="Times New Roman" w:hAnsi="Times New Roman" w:cs="Times New Roman"/>
      <w:sz w:val="16"/>
      <w:szCs w:val="16"/>
    </w:rPr>
  </w:style>
  <w:style w:type="paragraph" w:customStyle="1" w:styleId="2640">
    <w:name w:val="封面－报告名称"/>
    <w:basedOn w:val="1"/>
    <w:next w:val="1"/>
    <w:qFormat/>
    <w:uiPriority w:val="0"/>
    <w:pPr>
      <w:widowControl w:val="0"/>
      <w:adjustRightInd w:val="0"/>
      <w:snapToGrid w:val="0"/>
      <w:spacing w:before="240" w:after="240" w:line="480" w:lineRule="exact"/>
      <w:ind w:firstLine="560" w:firstLineChars="200"/>
      <w:jc w:val="center"/>
    </w:pPr>
    <w:rPr>
      <w:rFonts w:ascii="Times New Roman" w:hAnsi="Times New Roman" w:eastAsia="黑体" w:cs="Times New Roman"/>
      <w:sz w:val="44"/>
      <w:szCs w:val="20"/>
    </w:rPr>
  </w:style>
  <w:style w:type="paragraph" w:customStyle="1" w:styleId="2641">
    <w:name w:val="正文文本缩进12"/>
    <w:basedOn w:val="1"/>
    <w:qFormat/>
    <w:uiPriority w:val="0"/>
    <w:pPr>
      <w:widowControl w:val="0"/>
      <w:adjustRightInd w:val="0"/>
      <w:spacing w:line="360" w:lineRule="atLeast"/>
      <w:ind w:left="280" w:firstLine="560"/>
    </w:pPr>
    <w:rPr>
      <w:rFonts w:ascii="Times New Roman" w:hAnsi="Times New Roman" w:cs="Times New Roman"/>
    </w:rPr>
  </w:style>
  <w:style w:type="paragraph" w:customStyle="1" w:styleId="2642">
    <w:name w:val="样式 标题 7 + 首行缩进:  2 字符"/>
    <w:basedOn w:val="11"/>
    <w:qFormat/>
    <w:uiPriority w:val="0"/>
    <w:pPr>
      <w:keepLines/>
      <w:tabs>
        <w:tab w:val="left" w:pos="425"/>
        <w:tab w:val="clear" w:pos="360"/>
      </w:tabs>
      <w:snapToGrid w:val="0"/>
      <w:spacing w:before="40" w:after="64" w:line="360" w:lineRule="auto"/>
      <w:ind w:left="0" w:firstLine="200" w:firstLineChars="200"/>
    </w:pPr>
    <w:rPr>
      <w:rFonts w:ascii="宋体" w:hAnsi="宋体" w:cs="宋体"/>
      <w:color w:val="000000"/>
      <w:kern w:val="0"/>
      <w:szCs w:val="20"/>
    </w:rPr>
  </w:style>
  <w:style w:type="paragraph" w:customStyle="1" w:styleId="2643">
    <w:name w:val="表格标注"/>
    <w:basedOn w:val="2335"/>
    <w:qFormat/>
    <w:uiPriority w:val="0"/>
    <w:pPr>
      <w:ind w:firstLine="200" w:firstLineChars="200"/>
      <w:jc w:val="both"/>
    </w:pPr>
  </w:style>
  <w:style w:type="paragraph" w:customStyle="1" w:styleId="2644">
    <w:name w:val="xl293"/>
    <w:basedOn w:val="1"/>
    <w:qFormat/>
    <w:uiPriority w:val="0"/>
    <w:pPr>
      <w:pBdr>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eastAsia="方正综艺简体"/>
      <w:color w:val="000000"/>
      <w:sz w:val="20"/>
      <w:szCs w:val="20"/>
    </w:rPr>
  </w:style>
  <w:style w:type="paragraph" w:customStyle="1" w:styleId="2645">
    <w:name w:val="xl21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FF0000"/>
    </w:rPr>
  </w:style>
  <w:style w:type="paragraph" w:customStyle="1" w:styleId="2646">
    <w:name w:val="xl2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47">
    <w:name w:val="Char8"/>
    <w:basedOn w:val="1"/>
    <w:next w:val="1560"/>
    <w:qFormat/>
    <w:uiPriority w:val="0"/>
    <w:pPr>
      <w:widowControl w:val="0"/>
      <w:spacing w:line="360" w:lineRule="auto"/>
      <w:ind w:firstLine="480" w:firstLineChars="200"/>
      <w:jc w:val="both"/>
    </w:pPr>
    <w:rPr>
      <w:rFonts w:ascii="Times New Roman" w:hAnsi="Times New Roman" w:cs="Times New Roman"/>
    </w:rPr>
  </w:style>
  <w:style w:type="paragraph" w:customStyle="1" w:styleId="2648">
    <w:name w:val="xl1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color w:val="FF0000"/>
      <w:sz w:val="21"/>
      <w:szCs w:val="21"/>
    </w:rPr>
  </w:style>
  <w:style w:type="paragraph" w:customStyle="1" w:styleId="2649">
    <w:name w:val="列表11"/>
    <w:basedOn w:val="1"/>
    <w:qFormat/>
    <w:uiPriority w:val="0"/>
    <w:pPr>
      <w:widowControl w:val="0"/>
      <w:jc w:val="center"/>
    </w:pPr>
    <w:rPr>
      <w:rFonts w:ascii="Times New Roman" w:hAnsi="Times New Roman" w:cs="Times New Roman"/>
      <w:sz w:val="21"/>
      <w:szCs w:val="20"/>
    </w:rPr>
  </w:style>
  <w:style w:type="paragraph" w:customStyle="1" w:styleId="2650">
    <w:name w:val="xl21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51">
    <w:name w:val="xl2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52">
    <w:name w:val="xl276"/>
    <w:basedOn w:val="1"/>
    <w:qFormat/>
    <w:uiPriority w:val="0"/>
    <w:pPr>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pPr>
    <w:rPr>
      <w:sz w:val="20"/>
      <w:szCs w:val="20"/>
    </w:rPr>
  </w:style>
  <w:style w:type="paragraph" w:customStyle="1" w:styleId="2653">
    <w:name w:val="xl2137"/>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b/>
      <w:bCs/>
      <w:sz w:val="21"/>
      <w:szCs w:val="21"/>
    </w:rPr>
  </w:style>
  <w:style w:type="paragraph" w:customStyle="1" w:styleId="2654">
    <w:name w:val="xl2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55">
    <w:name w:val="样式 样式 首行缩进:  2 字符3 + 行距: 固定值 24 磅"/>
    <w:basedOn w:val="2656"/>
    <w:qFormat/>
    <w:uiPriority w:val="0"/>
    <w:pPr>
      <w:ind w:firstLine="560"/>
    </w:pPr>
  </w:style>
  <w:style w:type="paragraph" w:customStyle="1" w:styleId="2656">
    <w:name w:val="样式 首行缩进:  2 字符3"/>
    <w:basedOn w:val="1"/>
    <w:qFormat/>
    <w:uiPriority w:val="0"/>
    <w:pPr>
      <w:widowControl w:val="0"/>
      <w:adjustRightInd w:val="0"/>
      <w:snapToGrid w:val="0"/>
      <w:spacing w:line="500" w:lineRule="exact"/>
      <w:ind w:firstLine="200" w:firstLineChars="200"/>
      <w:jc w:val="both"/>
    </w:pPr>
    <w:rPr>
      <w:rFonts w:ascii="Times New Roman" w:hAnsi="Times New Roman"/>
      <w:sz w:val="28"/>
      <w:szCs w:val="20"/>
    </w:rPr>
  </w:style>
  <w:style w:type="paragraph" w:customStyle="1" w:styleId="2657">
    <w:name w:val="Char Char Char1 Char4"/>
    <w:basedOn w:val="1"/>
    <w:qFormat/>
    <w:uiPriority w:val="0"/>
    <w:pPr>
      <w:widowControl w:val="0"/>
      <w:adjustRightInd w:val="0"/>
      <w:spacing w:line="360" w:lineRule="auto"/>
      <w:jc w:val="both"/>
      <w:textAlignment w:val="baseline"/>
    </w:pPr>
    <w:rPr>
      <w:rFonts w:ascii="Times New Roman" w:hAnsi="Times New Roman" w:cs="Times New Roman"/>
    </w:rPr>
  </w:style>
  <w:style w:type="paragraph" w:customStyle="1" w:styleId="2658">
    <w:name w:val="索引 92"/>
    <w:basedOn w:val="1"/>
    <w:next w:val="1"/>
    <w:qFormat/>
    <w:uiPriority w:val="0"/>
    <w:pPr>
      <w:widowControl w:val="0"/>
      <w:ind w:left="1600" w:leftChars="1600"/>
      <w:jc w:val="both"/>
    </w:pPr>
    <w:rPr>
      <w:rFonts w:ascii="Times New Roman" w:hAnsi="Times New Roman" w:cs="Times New Roman"/>
      <w:kern w:val="2"/>
      <w:sz w:val="21"/>
    </w:rPr>
  </w:style>
  <w:style w:type="paragraph" w:customStyle="1" w:styleId="2659">
    <w:name w:val="bb"/>
    <w:basedOn w:val="1"/>
    <w:qFormat/>
    <w:uiPriority w:val="0"/>
    <w:pPr>
      <w:widowControl w:val="0"/>
      <w:adjustRightInd w:val="0"/>
      <w:spacing w:line="300" w:lineRule="auto"/>
      <w:jc w:val="both"/>
    </w:pPr>
    <w:rPr>
      <w:rFonts w:ascii="Times New Roman" w:hAnsi="Times New Roman" w:cs="Times New Roman"/>
      <w:kern w:val="2"/>
      <w:sz w:val="21"/>
    </w:rPr>
  </w:style>
  <w:style w:type="paragraph" w:customStyle="1" w:styleId="2660">
    <w:name w:val="xl1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61">
    <w:name w:val="xl295"/>
    <w:basedOn w:val="1"/>
    <w:qFormat/>
    <w:uiPriority w:val="0"/>
    <w:pPr>
      <w:pBdr>
        <w:left w:val="single" w:color="auto" w:sz="4" w:space="0"/>
        <w:bottom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662">
    <w:name w:val="xl2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63">
    <w:name w:val="xl2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64">
    <w:name w:val="xl266"/>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sz w:val="20"/>
      <w:szCs w:val="20"/>
    </w:rPr>
  </w:style>
  <w:style w:type="paragraph" w:customStyle="1" w:styleId="2665">
    <w:name w:val="xl2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66">
    <w:name w:val="表内文字（两端对齐）"/>
    <w:basedOn w:val="1"/>
    <w:next w:val="41"/>
    <w:qFormat/>
    <w:uiPriority w:val="0"/>
    <w:pPr>
      <w:widowControl w:val="0"/>
      <w:adjustRightInd w:val="0"/>
      <w:snapToGrid w:val="0"/>
      <w:jc w:val="both"/>
    </w:pPr>
    <w:rPr>
      <w:rFonts w:ascii="Times New Roman" w:hAnsi="Times New Roman" w:cs="Times New Roman"/>
      <w:sz w:val="21"/>
    </w:rPr>
  </w:style>
  <w:style w:type="paragraph" w:customStyle="1" w:styleId="2667">
    <w:name w:val="样式16"/>
    <w:basedOn w:val="465"/>
    <w:qFormat/>
    <w:uiPriority w:val="0"/>
    <w:pPr>
      <w:topLinePunct/>
      <w:adjustRightInd/>
      <w:spacing w:beforeLines="50" w:afterLines="30" w:line="240" w:lineRule="auto"/>
      <w:ind w:firstLine="0"/>
      <w:jc w:val="both"/>
      <w:textAlignment w:val="auto"/>
    </w:pPr>
    <w:rPr>
      <w:rFonts w:hint="eastAsia" w:hAnsi="黑体" w:eastAsia="方正楷体简体"/>
      <w:b/>
      <w:color w:val="000000"/>
      <w:kern w:val="2"/>
      <w:sz w:val="21"/>
      <w:szCs w:val="28"/>
    </w:rPr>
  </w:style>
  <w:style w:type="paragraph" w:customStyle="1" w:styleId="2668">
    <w:name w:val="msonormal"/>
    <w:basedOn w:val="1"/>
    <w:qFormat/>
    <w:uiPriority w:val="0"/>
    <w:pPr>
      <w:spacing w:before="100" w:beforeAutospacing="1" w:after="100" w:afterAutospacing="1"/>
    </w:pPr>
  </w:style>
  <w:style w:type="paragraph" w:customStyle="1" w:styleId="2669">
    <w:name w:val="文档结构图21"/>
    <w:basedOn w:val="1"/>
    <w:qFormat/>
    <w:uiPriority w:val="0"/>
    <w:pPr>
      <w:widowControl w:val="0"/>
      <w:shd w:val="clear" w:color="auto" w:fill="000080"/>
      <w:adjustRightInd w:val="0"/>
      <w:snapToGrid w:val="0"/>
      <w:spacing w:line="480" w:lineRule="exact"/>
      <w:ind w:firstLine="560" w:firstLineChars="200"/>
      <w:jc w:val="both"/>
    </w:pPr>
    <w:rPr>
      <w:rFonts w:ascii="Times New Roman" w:hAnsi="Times New Roman" w:cs="Times New Roman"/>
      <w:sz w:val="28"/>
    </w:rPr>
  </w:style>
  <w:style w:type="paragraph" w:customStyle="1" w:styleId="2670">
    <w:name w:val="标题4  1）"/>
    <w:basedOn w:val="41"/>
    <w:qFormat/>
    <w:uiPriority w:val="0"/>
    <w:pPr>
      <w:widowControl w:val="0"/>
      <w:spacing w:line="360" w:lineRule="auto"/>
      <w:jc w:val="both"/>
    </w:pPr>
    <w:rPr>
      <w:rFonts w:eastAsia="楷体_GB2312"/>
      <w:sz w:val="24"/>
      <w:szCs w:val="20"/>
    </w:rPr>
  </w:style>
  <w:style w:type="paragraph" w:customStyle="1" w:styleId="2671">
    <w:name w:val="列表21"/>
    <w:basedOn w:val="1"/>
    <w:qFormat/>
    <w:uiPriority w:val="0"/>
    <w:pPr>
      <w:widowControl w:val="0"/>
      <w:spacing w:beforeLines="50"/>
      <w:jc w:val="right"/>
    </w:pPr>
    <w:rPr>
      <w:rFonts w:ascii="Times New Roman" w:hAnsi="Times New Roman" w:eastAsia="黑体" w:cs="Times New Roman"/>
      <w:kern w:val="2"/>
    </w:rPr>
  </w:style>
  <w:style w:type="paragraph" w:customStyle="1" w:styleId="2672">
    <w:name w:val="xl2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73">
    <w:name w:val="xl188"/>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sz w:val="20"/>
      <w:szCs w:val="20"/>
    </w:rPr>
  </w:style>
  <w:style w:type="paragraph" w:customStyle="1" w:styleId="2674">
    <w:name w:val="索引 611"/>
    <w:basedOn w:val="1"/>
    <w:next w:val="1"/>
    <w:qFormat/>
    <w:uiPriority w:val="0"/>
    <w:pPr>
      <w:widowControl w:val="0"/>
      <w:spacing w:line="480" w:lineRule="exact"/>
      <w:ind w:left="1000" w:leftChars="1000"/>
      <w:jc w:val="both"/>
    </w:pPr>
    <w:rPr>
      <w:rFonts w:ascii="Times New Roman" w:hAnsi="Times New Roman" w:cs="Times New Roman"/>
      <w:kern w:val="2"/>
    </w:rPr>
  </w:style>
  <w:style w:type="paragraph" w:customStyle="1" w:styleId="2675">
    <w:name w:val="索引 811"/>
    <w:basedOn w:val="1"/>
    <w:next w:val="1"/>
    <w:qFormat/>
    <w:uiPriority w:val="0"/>
    <w:pPr>
      <w:widowControl w:val="0"/>
      <w:spacing w:line="480" w:lineRule="exact"/>
      <w:ind w:left="1400" w:leftChars="1400"/>
      <w:jc w:val="both"/>
    </w:pPr>
    <w:rPr>
      <w:rFonts w:ascii="Times New Roman" w:hAnsi="Times New Roman" w:cs="Times New Roman"/>
      <w:kern w:val="2"/>
    </w:rPr>
  </w:style>
  <w:style w:type="paragraph" w:customStyle="1" w:styleId="2676">
    <w:name w:val="xl317"/>
    <w:basedOn w:val="1"/>
    <w:qFormat/>
    <w:uiPriority w:val="0"/>
    <w:pPr>
      <w:pBdr>
        <w:bottom w:val="single" w:color="auto" w:sz="4" w:space="0"/>
        <w:right w:val="single" w:color="auto" w:sz="4" w:space="0"/>
      </w:pBdr>
      <w:shd w:val="clear" w:color="auto" w:fill="FFCC00"/>
      <w:spacing w:before="100" w:beforeAutospacing="1" w:after="100" w:afterAutospacing="1"/>
      <w:jc w:val="center"/>
    </w:pPr>
    <w:rPr>
      <w:rFonts w:ascii="方正综艺简体" w:eastAsia="方正综艺简体"/>
      <w:color w:val="000000"/>
      <w:sz w:val="20"/>
      <w:szCs w:val="20"/>
    </w:rPr>
  </w:style>
  <w:style w:type="paragraph" w:customStyle="1" w:styleId="2677">
    <w:name w:val="xl2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78">
    <w:name w:val="xl2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CC"/>
      <w:sz w:val="20"/>
      <w:szCs w:val="20"/>
    </w:rPr>
  </w:style>
  <w:style w:type="paragraph" w:customStyle="1" w:styleId="2679">
    <w:name w:val="样式 标题 5 + 首行缩进:  2 字符1"/>
    <w:basedOn w:val="9"/>
    <w:qFormat/>
    <w:uiPriority w:val="0"/>
    <w:pPr>
      <w:keepNext w:val="0"/>
      <w:keepLines w:val="0"/>
      <w:tabs>
        <w:tab w:val="left" w:pos="1260"/>
      </w:tabs>
      <w:topLinePunct w:val="0"/>
      <w:adjustRightInd w:val="0"/>
      <w:snapToGrid w:val="0"/>
      <w:spacing w:before="0" w:after="0" w:line="480" w:lineRule="exact"/>
      <w:ind w:firstLine="562"/>
      <w:jc w:val="both"/>
    </w:pPr>
    <w:rPr>
      <w:rFonts w:ascii="Times New Roman" w:cs="宋体"/>
      <w:color w:val="000000"/>
      <w:szCs w:val="20"/>
    </w:rPr>
  </w:style>
  <w:style w:type="paragraph" w:customStyle="1" w:styleId="2680">
    <w:name w:val="WPSOffice手动目录 3"/>
    <w:qFormat/>
    <w:uiPriority w:val="0"/>
    <w:pPr>
      <w:ind w:left="400" w:leftChars="400"/>
    </w:pPr>
    <w:rPr>
      <w:rFonts w:ascii="Calibri" w:hAnsi="Calibri" w:eastAsia="宋体" w:cs="Times New Roman"/>
      <w:lang w:val="en-US" w:eastAsia="zh-CN" w:bidi="ar-SA"/>
    </w:rPr>
  </w:style>
  <w:style w:type="paragraph" w:customStyle="1" w:styleId="2681">
    <w:name w:val="xl256"/>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pPr>
    <w:rPr>
      <w:sz w:val="20"/>
      <w:szCs w:val="20"/>
    </w:rPr>
  </w:style>
  <w:style w:type="paragraph" w:customStyle="1" w:styleId="2682">
    <w:name w:val="xl2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83">
    <w:name w:val="xl26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sz w:val="20"/>
      <w:szCs w:val="20"/>
    </w:rPr>
  </w:style>
  <w:style w:type="paragraph" w:customStyle="1" w:styleId="2684">
    <w:name w:val="xl2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85">
    <w:name w:val="xl2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686">
    <w:name w:val="样式 非加粗 首行缩进:  1.01 厘米"/>
    <w:basedOn w:val="1"/>
    <w:qFormat/>
    <w:uiPriority w:val="0"/>
    <w:pPr>
      <w:widowControl w:val="0"/>
      <w:spacing w:line="440" w:lineRule="exact"/>
      <w:ind w:firstLine="560" w:firstLineChars="200"/>
      <w:jc w:val="center"/>
    </w:pPr>
    <w:rPr>
      <w:color w:val="000000"/>
      <w:kern w:val="2"/>
      <w:sz w:val="28"/>
      <w:szCs w:val="20"/>
    </w:rPr>
  </w:style>
  <w:style w:type="paragraph" w:customStyle="1" w:styleId="2687">
    <w:name w:val="xl299"/>
    <w:basedOn w:val="1"/>
    <w:qFormat/>
    <w:uiPriority w:val="0"/>
    <w:pPr>
      <w:pBdr>
        <w:left w:val="single" w:color="auto" w:sz="4" w:space="0"/>
        <w:bottom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688">
    <w:name w:val="xl300"/>
    <w:basedOn w:val="1"/>
    <w:qFormat/>
    <w:uiPriority w:val="0"/>
    <w:pPr>
      <w:shd w:val="clear" w:color="auto" w:fill="FF8080"/>
      <w:spacing w:before="100" w:beforeAutospacing="1" w:after="100" w:afterAutospacing="1"/>
      <w:jc w:val="center"/>
    </w:pPr>
    <w:rPr>
      <w:rFonts w:ascii="方正综艺简体" w:eastAsia="方正综艺简体"/>
      <w:sz w:val="20"/>
      <w:szCs w:val="20"/>
    </w:rPr>
  </w:style>
  <w:style w:type="paragraph" w:customStyle="1" w:styleId="2689">
    <w:name w:val="列表 211"/>
    <w:basedOn w:val="1"/>
    <w:qFormat/>
    <w:uiPriority w:val="0"/>
    <w:pPr>
      <w:widowControl w:val="0"/>
      <w:spacing w:line="480" w:lineRule="exact"/>
      <w:ind w:left="840" w:hanging="420"/>
      <w:jc w:val="both"/>
    </w:pPr>
    <w:rPr>
      <w:rFonts w:ascii="Times New Roman" w:hAnsi="Times New Roman" w:cs="Times New Roman"/>
      <w:kern w:val="2"/>
      <w:szCs w:val="20"/>
    </w:rPr>
  </w:style>
  <w:style w:type="paragraph" w:customStyle="1" w:styleId="2690">
    <w:name w:val="xl287"/>
    <w:basedOn w:val="1"/>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rFonts w:ascii="方正综艺简体" w:eastAsia="方正综艺简体"/>
      <w:color w:val="000000"/>
      <w:sz w:val="20"/>
      <w:szCs w:val="20"/>
    </w:rPr>
  </w:style>
  <w:style w:type="paragraph" w:customStyle="1" w:styleId="2691">
    <w:name w:val="索引 411"/>
    <w:basedOn w:val="1"/>
    <w:next w:val="1"/>
    <w:qFormat/>
    <w:uiPriority w:val="0"/>
    <w:pPr>
      <w:widowControl w:val="0"/>
      <w:spacing w:line="480" w:lineRule="exact"/>
      <w:ind w:left="600" w:leftChars="600"/>
      <w:jc w:val="both"/>
    </w:pPr>
    <w:rPr>
      <w:rFonts w:ascii="Times New Roman" w:hAnsi="Times New Roman" w:cs="Times New Roman"/>
      <w:kern w:val="2"/>
    </w:rPr>
  </w:style>
  <w:style w:type="paragraph" w:customStyle="1" w:styleId="2692">
    <w:name w:val="xl302"/>
    <w:basedOn w:val="1"/>
    <w:qFormat/>
    <w:uiPriority w:val="0"/>
    <w:pPr>
      <w:pBdr>
        <w:top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693">
    <w:name w:val="xl289"/>
    <w:basedOn w:val="1"/>
    <w:qFormat/>
    <w:uiPriority w:val="0"/>
    <w:pPr>
      <w:pBdr>
        <w:left w:val="single" w:color="auto" w:sz="4" w:space="0"/>
        <w:bottom w:val="single" w:color="auto" w:sz="4" w:space="0"/>
        <w:right w:val="single" w:color="auto" w:sz="4" w:space="0"/>
      </w:pBdr>
      <w:spacing w:before="100" w:beforeAutospacing="1" w:after="100" w:afterAutospacing="1"/>
    </w:pPr>
    <w:rPr>
      <w:color w:val="0000FF"/>
      <w:sz w:val="20"/>
      <w:szCs w:val="20"/>
    </w:rPr>
  </w:style>
  <w:style w:type="paragraph" w:customStyle="1" w:styleId="2694">
    <w:name w:val="xl290"/>
    <w:basedOn w:val="1"/>
    <w:qFormat/>
    <w:uiPriority w:val="0"/>
    <w:pPr>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695">
    <w:name w:val="xl307"/>
    <w:basedOn w:val="1"/>
    <w:qFormat/>
    <w:uiPriority w:val="0"/>
    <w:pPr>
      <w:pBdr>
        <w:top w:val="single" w:color="auto" w:sz="4" w:space="0"/>
      </w:pBdr>
      <w:shd w:val="clear" w:color="auto" w:fill="FF8080"/>
      <w:spacing w:before="100" w:beforeAutospacing="1" w:after="100" w:afterAutospacing="1"/>
      <w:jc w:val="center"/>
    </w:pPr>
    <w:rPr>
      <w:rFonts w:ascii="方正综艺简体" w:eastAsia="方正综艺简体"/>
      <w:sz w:val="20"/>
      <w:szCs w:val="20"/>
    </w:rPr>
  </w:style>
  <w:style w:type="paragraph" w:customStyle="1" w:styleId="2696">
    <w:name w:val="封面项目名称"/>
    <w:basedOn w:val="1"/>
    <w:next w:val="1"/>
    <w:qFormat/>
    <w:uiPriority w:val="0"/>
    <w:pPr>
      <w:widowControl w:val="0"/>
      <w:adjustRightInd w:val="0"/>
      <w:snapToGrid w:val="0"/>
      <w:spacing w:line="360" w:lineRule="auto"/>
      <w:jc w:val="center"/>
    </w:pPr>
    <w:rPr>
      <w:rFonts w:ascii="Times New Roman" w:hAnsi="Times New Roman" w:eastAsia="黑体" w:cs="Times New Roman"/>
      <w:kern w:val="2"/>
      <w:sz w:val="36"/>
      <w:szCs w:val="20"/>
    </w:rPr>
  </w:style>
  <w:style w:type="paragraph" w:customStyle="1" w:styleId="2697">
    <w:name w:val="公司名称及日期"/>
    <w:basedOn w:val="1"/>
    <w:next w:val="1"/>
    <w:qFormat/>
    <w:uiPriority w:val="0"/>
    <w:pPr>
      <w:widowControl w:val="0"/>
      <w:adjustRightInd w:val="0"/>
      <w:snapToGrid w:val="0"/>
      <w:spacing w:line="360" w:lineRule="auto"/>
      <w:ind w:left="567"/>
      <w:jc w:val="center"/>
    </w:pPr>
    <w:rPr>
      <w:rFonts w:ascii="Times New Roman" w:hAnsi="Times New Roman" w:eastAsia="楷体_GB2312" w:cs="Times New Roman"/>
      <w:kern w:val="2"/>
      <w:sz w:val="32"/>
      <w:szCs w:val="20"/>
    </w:rPr>
  </w:style>
  <w:style w:type="paragraph" w:customStyle="1" w:styleId="2698">
    <w:name w:val="Char Char2 Char Char Char Char Char Char Char Char Char Char Char Char Char Char Char Char Char Char Char Char Char Char Char Char Char Char Char"/>
    <w:basedOn w:val="1"/>
    <w:qFormat/>
    <w:uiPriority w:val="0"/>
    <w:pPr>
      <w:widowControl w:val="0"/>
      <w:jc w:val="both"/>
    </w:pPr>
    <w:rPr>
      <w:rFonts w:ascii="Times New Roman" w:hAnsi="Times New Roman" w:cs="Times New Roman"/>
      <w:kern w:val="2"/>
    </w:rPr>
  </w:style>
  <w:style w:type="paragraph" w:customStyle="1" w:styleId="2699">
    <w:name w:val="Char Char2 Char Char Char Char Char Char Char Char Char Char Char Char Char Char Char Char Char Char Char Char Char Char Char Char Char Char Char1"/>
    <w:basedOn w:val="1"/>
    <w:qFormat/>
    <w:uiPriority w:val="0"/>
    <w:pPr>
      <w:widowControl w:val="0"/>
      <w:jc w:val="both"/>
    </w:pPr>
    <w:rPr>
      <w:rFonts w:ascii="Times New Roman" w:hAnsi="Times New Roman" w:eastAsia="Arial" w:cs="Times New Roman"/>
      <w:kern w:val="2"/>
      <w:sz w:val="21"/>
    </w:rPr>
  </w:style>
  <w:style w:type="paragraph" w:customStyle="1" w:styleId="2700">
    <w:name w:val="Char1 Char Char Char4"/>
    <w:basedOn w:val="1"/>
    <w:qFormat/>
    <w:uiPriority w:val="0"/>
    <w:pPr>
      <w:widowControl w:val="0"/>
      <w:jc w:val="both"/>
    </w:pPr>
    <w:rPr>
      <w:rFonts w:ascii="Times New Roman" w:hAnsi="Times New Roman" w:cs="Times New Roman"/>
      <w:kern w:val="2"/>
      <w:sz w:val="21"/>
    </w:rPr>
  </w:style>
  <w:style w:type="paragraph" w:customStyle="1" w:styleId="2701">
    <w:name w:val="正文六级"/>
    <w:basedOn w:val="1"/>
    <w:qFormat/>
    <w:uiPriority w:val="0"/>
    <w:pPr>
      <w:widowControl w:val="0"/>
      <w:tabs>
        <w:tab w:val="left" w:pos="620"/>
      </w:tabs>
      <w:spacing w:line="480" w:lineRule="exact"/>
      <w:ind w:left="620" w:hanging="420"/>
      <w:outlineLvl w:val="5"/>
    </w:pPr>
    <w:rPr>
      <w:rFonts w:ascii="Times New Roman" w:hAnsi="Times New Roman" w:cs="Times New Roman"/>
      <w:b/>
      <w:kern w:val="2"/>
      <w:sz w:val="28"/>
      <w:szCs w:val="28"/>
    </w:rPr>
  </w:style>
  <w:style w:type="paragraph" w:customStyle="1" w:styleId="2702">
    <w:name w:val="样式 样式 首行缩进:  2 字符3 + 首行缩进:  2 字符"/>
    <w:basedOn w:val="1"/>
    <w:qFormat/>
    <w:uiPriority w:val="0"/>
    <w:pPr>
      <w:adjustRightInd w:val="0"/>
      <w:snapToGrid w:val="0"/>
      <w:spacing w:line="480" w:lineRule="exact"/>
      <w:ind w:firstLine="560" w:firstLineChars="200"/>
      <w:jc w:val="both"/>
    </w:pPr>
    <w:rPr>
      <w:rFonts w:ascii="Times New Roman" w:hAnsi="Times New Roman" w:cs="Times New Roman"/>
      <w:sz w:val="28"/>
      <w:szCs w:val="20"/>
    </w:rPr>
  </w:style>
  <w:style w:type="paragraph" w:customStyle="1" w:styleId="2703">
    <w:name w:val="0表内字"/>
    <w:basedOn w:val="1"/>
    <w:qFormat/>
    <w:uiPriority w:val="0"/>
    <w:pPr>
      <w:widowControl w:val="0"/>
      <w:adjustRightInd w:val="0"/>
      <w:snapToGrid w:val="0"/>
    </w:pPr>
    <w:rPr>
      <w:kern w:val="2"/>
      <w:sz w:val="21"/>
    </w:rPr>
  </w:style>
  <w:style w:type="paragraph" w:customStyle="1" w:styleId="2704">
    <w:name w:val="样式 Times 四号 行距: 固定值 22 磅"/>
    <w:basedOn w:val="1"/>
    <w:qFormat/>
    <w:uiPriority w:val="0"/>
    <w:pPr>
      <w:widowControl w:val="0"/>
      <w:spacing w:line="520" w:lineRule="exact"/>
      <w:ind w:firstLine="538" w:firstLineChars="192"/>
      <w:jc w:val="both"/>
    </w:pPr>
    <w:rPr>
      <w:rFonts w:ascii="Times" w:hAnsi="Times" w:cs="Times New Roman"/>
      <w:color w:val="000000"/>
      <w:kern w:val="2"/>
      <w:sz w:val="28"/>
      <w:szCs w:val="28"/>
    </w:rPr>
  </w:style>
  <w:style w:type="paragraph" w:customStyle="1" w:styleId="2705">
    <w:name w:val="Char6"/>
    <w:basedOn w:val="1"/>
    <w:next w:val="1560"/>
    <w:qFormat/>
    <w:uiPriority w:val="0"/>
    <w:pPr>
      <w:widowControl w:val="0"/>
      <w:spacing w:line="360" w:lineRule="auto"/>
      <w:ind w:firstLine="480" w:firstLineChars="200"/>
      <w:jc w:val="both"/>
    </w:pPr>
    <w:rPr>
      <w:rFonts w:ascii="Times New Roman" w:hAnsi="Times New Roman" w:cs="Times New Roman"/>
    </w:rPr>
  </w:style>
  <w:style w:type="paragraph" w:customStyle="1" w:styleId="2706">
    <w:name w:val="样式 标题 3 + 首行缩进:  2 字符"/>
    <w:basedOn w:val="7"/>
    <w:qFormat/>
    <w:uiPriority w:val="0"/>
    <w:pPr>
      <w:widowControl w:val="0"/>
      <w:spacing w:before="260" w:after="260" w:line="240" w:lineRule="auto"/>
      <w:ind w:left="358" w:leftChars="75" w:hanging="178" w:hangingChars="74"/>
    </w:pPr>
    <w:rPr>
      <w:rFonts w:eastAsia="宋体" w:cs="宋体"/>
      <w:b/>
      <w:kern w:val="2"/>
      <w:sz w:val="24"/>
      <w:szCs w:val="20"/>
    </w:rPr>
  </w:style>
  <w:style w:type="paragraph" w:customStyle="1" w:styleId="2707">
    <w:name w:val="b"/>
    <w:basedOn w:val="1"/>
    <w:qFormat/>
    <w:uiPriority w:val="0"/>
    <w:pPr>
      <w:widowControl w:val="0"/>
      <w:spacing w:line="360" w:lineRule="auto"/>
      <w:jc w:val="center"/>
      <w:outlineLvl w:val="0"/>
    </w:pPr>
    <w:rPr>
      <w:rFonts w:ascii="Times New Roman" w:hAnsi="Times New Roman" w:eastAsia="黑体" w:cs="Times New Roman"/>
      <w:kern w:val="10"/>
      <w:szCs w:val="20"/>
    </w:rPr>
  </w:style>
  <w:style w:type="paragraph" w:customStyle="1" w:styleId="2708">
    <w:name w:val="索引 72"/>
    <w:basedOn w:val="1"/>
    <w:next w:val="1"/>
    <w:qFormat/>
    <w:uiPriority w:val="0"/>
    <w:pPr>
      <w:widowControl w:val="0"/>
      <w:spacing w:line="480" w:lineRule="exact"/>
      <w:ind w:left="1200" w:leftChars="1200"/>
      <w:jc w:val="both"/>
    </w:pPr>
    <w:rPr>
      <w:rFonts w:ascii="Times New Roman" w:hAnsi="Times New Roman" w:cs="Times New Roman"/>
      <w:kern w:val="2"/>
    </w:rPr>
  </w:style>
  <w:style w:type="paragraph" w:customStyle="1" w:styleId="2709">
    <w:name w:val="索引标题2"/>
    <w:basedOn w:val="1"/>
    <w:next w:val="2568"/>
    <w:qFormat/>
    <w:uiPriority w:val="0"/>
    <w:pPr>
      <w:widowControl w:val="0"/>
      <w:spacing w:line="480" w:lineRule="exact"/>
      <w:jc w:val="both"/>
    </w:pPr>
    <w:rPr>
      <w:rFonts w:ascii="Arial" w:hAnsi="Arial" w:cs="Arial"/>
      <w:b/>
      <w:bCs/>
      <w:kern w:val="2"/>
    </w:rPr>
  </w:style>
  <w:style w:type="paragraph" w:customStyle="1" w:styleId="2710">
    <w:name w:val="引文目录2"/>
    <w:basedOn w:val="1"/>
    <w:next w:val="1"/>
    <w:qFormat/>
    <w:uiPriority w:val="0"/>
    <w:pPr>
      <w:widowControl w:val="0"/>
      <w:spacing w:line="480" w:lineRule="exact"/>
      <w:ind w:left="420" w:leftChars="200"/>
      <w:jc w:val="both"/>
    </w:pPr>
    <w:rPr>
      <w:rFonts w:ascii="Times New Roman" w:hAnsi="Times New Roman" w:cs="Times New Roman"/>
      <w:kern w:val="2"/>
    </w:rPr>
  </w:style>
  <w:style w:type="paragraph" w:customStyle="1" w:styleId="2711">
    <w:name w:val="样式 样式 表头 + 左侧:  0.99 字符 + 首行缩进:  3.19 厘米"/>
    <w:basedOn w:val="2501"/>
    <w:qFormat/>
    <w:uiPriority w:val="0"/>
    <w:pPr>
      <w:ind w:left="200" w:leftChars="200"/>
    </w:pPr>
  </w:style>
  <w:style w:type="paragraph" w:customStyle="1" w:styleId="2712">
    <w:name w:val="xl126"/>
    <w:basedOn w:val="1"/>
    <w:qFormat/>
    <w:uiPriority w:val="0"/>
    <w:pPr>
      <w:spacing w:before="100" w:beforeAutospacing="1" w:after="100" w:afterAutospacing="1"/>
    </w:pPr>
  </w:style>
  <w:style w:type="paragraph" w:customStyle="1" w:styleId="2713">
    <w:name w:val="xl1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0000"/>
      <w:sz w:val="21"/>
      <w:szCs w:val="21"/>
    </w:rPr>
  </w:style>
  <w:style w:type="paragraph" w:customStyle="1" w:styleId="2714">
    <w:name w:val="xl1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2"/>
      <w:szCs w:val="22"/>
    </w:rPr>
  </w:style>
  <w:style w:type="paragraph" w:customStyle="1" w:styleId="2715">
    <w:name w:val="xl2127"/>
    <w:basedOn w:val="1"/>
    <w:qFormat/>
    <w:uiPriority w:val="0"/>
    <w:pPr>
      <w:spacing w:before="100" w:beforeAutospacing="1" w:after="100" w:afterAutospacing="1"/>
      <w:jc w:val="center"/>
    </w:pPr>
  </w:style>
  <w:style w:type="paragraph" w:customStyle="1" w:styleId="2716">
    <w:name w:val="xl2150"/>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pPr>
    <w:rPr>
      <w:b/>
      <w:bCs/>
    </w:rPr>
  </w:style>
  <w:style w:type="paragraph" w:customStyle="1" w:styleId="2717">
    <w:name w:val="正文-表头"/>
    <w:basedOn w:val="1"/>
    <w:qFormat/>
    <w:uiPriority w:val="0"/>
    <w:pPr>
      <w:widowControl w:val="0"/>
      <w:adjustRightInd w:val="0"/>
      <w:snapToGrid w:val="0"/>
      <w:spacing w:beforeLines="50" w:afterLines="50"/>
      <w:jc w:val="center"/>
    </w:pPr>
    <w:rPr>
      <w:rFonts w:ascii="黑体" w:hAnsi="Times New Roman" w:eastAsia="黑体" w:cs="Times New Roman"/>
      <w:kern w:val="2"/>
      <w:sz w:val="21"/>
    </w:rPr>
  </w:style>
  <w:style w:type="paragraph" w:customStyle="1" w:styleId="2718">
    <w:name w:val="xl2149"/>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pPr>
  </w:style>
  <w:style w:type="paragraph" w:customStyle="1" w:styleId="2719">
    <w:name w:val="xl21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sz w:val="21"/>
      <w:szCs w:val="21"/>
    </w:rPr>
  </w:style>
  <w:style w:type="paragraph" w:customStyle="1" w:styleId="2720">
    <w:name w:val="xl21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color w:val="FF0000"/>
      <w:sz w:val="21"/>
      <w:szCs w:val="21"/>
    </w:rPr>
  </w:style>
  <w:style w:type="paragraph" w:customStyle="1" w:styleId="2721">
    <w:name w:val="样式 标题 5 + 首行缩进:  2 字符"/>
    <w:basedOn w:val="9"/>
    <w:qFormat/>
    <w:uiPriority w:val="0"/>
    <w:pPr>
      <w:keepNext w:val="0"/>
      <w:keepLines w:val="0"/>
      <w:tabs>
        <w:tab w:val="left" w:pos="1260"/>
      </w:tabs>
      <w:topLinePunct w:val="0"/>
      <w:adjustRightInd w:val="0"/>
      <w:snapToGrid w:val="0"/>
      <w:spacing w:before="0" w:after="0" w:line="480" w:lineRule="exact"/>
      <w:ind w:firstLine="560"/>
      <w:jc w:val="both"/>
      <w:outlineLvl w:val="9"/>
    </w:pPr>
    <w:rPr>
      <w:rFonts w:ascii="宋体" w:hAnsi="宋体" w:eastAsia="宋体" w:cs="宋体"/>
      <w:b w:val="0"/>
    </w:rPr>
  </w:style>
  <w:style w:type="paragraph" w:customStyle="1" w:styleId="2722">
    <w:name w:val="图片，环保"/>
    <w:basedOn w:val="1"/>
    <w:qFormat/>
    <w:uiPriority w:val="0"/>
    <w:pPr>
      <w:widowControl w:val="0"/>
      <w:jc w:val="center"/>
    </w:pPr>
    <w:rPr>
      <w:rFonts w:cs="Times New Roman"/>
      <w:szCs w:val="20"/>
    </w:rPr>
  </w:style>
  <w:style w:type="paragraph" w:customStyle="1" w:styleId="2723">
    <w:name w:val="图名，环保"/>
    <w:basedOn w:val="1"/>
    <w:next w:val="1"/>
    <w:qFormat/>
    <w:uiPriority w:val="0"/>
    <w:pPr>
      <w:widowControl w:val="0"/>
      <w:spacing w:line="300" w:lineRule="auto"/>
      <w:jc w:val="center"/>
    </w:pPr>
    <w:rPr>
      <w:rFonts w:cs="Times New Roman"/>
      <w:b/>
      <w:szCs w:val="20"/>
    </w:rPr>
  </w:style>
  <w:style w:type="paragraph" w:customStyle="1" w:styleId="2724">
    <w:name w:val="Char Char Char Char Char Char Char Char1"/>
    <w:basedOn w:val="1"/>
    <w:qFormat/>
    <w:uiPriority w:val="0"/>
    <w:pPr>
      <w:spacing w:after="160" w:line="240" w:lineRule="exact"/>
    </w:pPr>
    <w:rPr>
      <w:rFonts w:ascii="Verdana" w:hAnsi="Verdana" w:cs="Times New Roman"/>
      <w:sz w:val="20"/>
      <w:szCs w:val="20"/>
      <w:lang w:eastAsia="en-US"/>
    </w:rPr>
  </w:style>
  <w:style w:type="paragraph" w:customStyle="1" w:styleId="2725">
    <w:name w:val="纯文本11"/>
    <w:basedOn w:val="1"/>
    <w:qFormat/>
    <w:uiPriority w:val="0"/>
    <w:pPr>
      <w:widowControl w:val="0"/>
      <w:jc w:val="both"/>
    </w:pPr>
    <w:rPr>
      <w:rFonts w:hAnsi="Courier New" w:cs="Times New Roman"/>
      <w:kern w:val="2"/>
      <w:sz w:val="21"/>
      <w:szCs w:val="20"/>
    </w:rPr>
  </w:style>
  <w:style w:type="paragraph" w:customStyle="1" w:styleId="2726">
    <w:name w:val="WW-纯文本"/>
    <w:basedOn w:val="1"/>
    <w:qFormat/>
    <w:uiPriority w:val="0"/>
    <w:pPr>
      <w:widowControl w:val="0"/>
      <w:suppressAutoHyphens/>
      <w:spacing w:line="312" w:lineRule="atLeast"/>
      <w:jc w:val="both"/>
      <w:textAlignment w:val="baseline"/>
    </w:pPr>
    <w:rPr>
      <w:rFonts w:eastAsia="楷体_GB2312" w:cs="Courier New"/>
      <w:kern w:val="2"/>
      <w:sz w:val="21"/>
      <w:szCs w:val="21"/>
    </w:rPr>
  </w:style>
  <w:style w:type="character" w:customStyle="1" w:styleId="2727">
    <w:name w:val="批注文字 Char3"/>
    <w:qFormat/>
    <w:uiPriority w:val="99"/>
    <w:rPr>
      <w:kern w:val="2"/>
      <w:sz w:val="21"/>
      <w:szCs w:val="24"/>
    </w:rPr>
  </w:style>
  <w:style w:type="character" w:customStyle="1" w:styleId="2728">
    <w:name w:val="正文文本首行缩进 2 字符"/>
    <w:qFormat/>
    <w:uiPriority w:val="0"/>
    <w:rPr>
      <w:rFonts w:ascii="宋体" w:hAnsi="Arial"/>
      <w:snapToGrid/>
      <w:kern w:val="2"/>
      <w:sz w:val="28"/>
      <w:szCs w:val="24"/>
    </w:rPr>
  </w:style>
  <w:style w:type="character" w:customStyle="1" w:styleId="2729">
    <w:name w:val="正文文本首行缩进 字符1"/>
    <w:qFormat/>
    <w:uiPriority w:val="0"/>
    <w:rPr>
      <w:kern w:val="2"/>
      <w:sz w:val="21"/>
      <w:szCs w:val="24"/>
    </w:rPr>
  </w:style>
  <w:style w:type="paragraph" w:customStyle="1" w:styleId="2730">
    <w:name w:val="正文文本 26"/>
    <w:basedOn w:val="1"/>
    <w:qFormat/>
    <w:uiPriority w:val="0"/>
    <w:pPr>
      <w:widowControl w:val="0"/>
      <w:adjustRightInd w:val="0"/>
      <w:jc w:val="center"/>
      <w:textAlignment w:val="baseline"/>
    </w:pPr>
    <w:rPr>
      <w:rFonts w:ascii="Arial" w:hAnsi="Arial" w:eastAsia="Arial" w:cs="Times New Roman"/>
      <w:kern w:val="2"/>
      <w:sz w:val="21"/>
      <w:szCs w:val="20"/>
    </w:rPr>
  </w:style>
  <w:style w:type="character" w:customStyle="1" w:styleId="2731">
    <w:name w:val="环保表内字（五号） Char"/>
    <w:qFormat/>
    <w:uiPriority w:val="0"/>
    <w:rPr>
      <w:rFonts w:hint="default" w:ascii="Times New Roman" w:hAnsi="Times New Roman" w:cs="Times New Roman"/>
      <w:snapToGrid/>
      <w:sz w:val="21"/>
    </w:rPr>
  </w:style>
  <w:style w:type="paragraph" w:customStyle="1" w:styleId="2732">
    <w:name w:val="Char Char Char3"/>
    <w:basedOn w:val="1"/>
    <w:qFormat/>
    <w:uiPriority w:val="0"/>
    <w:pPr>
      <w:widowControl w:val="0"/>
      <w:jc w:val="both"/>
    </w:pPr>
    <w:rPr>
      <w:rFonts w:ascii="Tahoma" w:hAnsi="Tahoma" w:eastAsia="黑体" w:cs="Times New Roman"/>
      <w:kern w:val="2"/>
      <w:sz w:val="28"/>
      <w:szCs w:val="28"/>
    </w:rPr>
  </w:style>
  <w:style w:type="paragraph" w:customStyle="1" w:styleId="2733">
    <w:name w:val="O.K. 表格内"/>
    <w:basedOn w:val="41"/>
    <w:qFormat/>
    <w:uiPriority w:val="0"/>
    <w:pPr>
      <w:adjustRightInd w:val="0"/>
      <w:snapToGrid w:val="0"/>
      <w:jc w:val="center"/>
    </w:pPr>
  </w:style>
  <w:style w:type="paragraph" w:customStyle="1" w:styleId="2734">
    <w:name w:val="样式 样式 样式 样式 样式 正文文本 + (中文) 宋体 + 首行缩进:  2 字符 + 首行缩进:  2 字符 + (中文)..."/>
    <w:basedOn w:val="1"/>
    <w:qFormat/>
    <w:uiPriority w:val="0"/>
    <w:pPr>
      <w:adjustRightInd w:val="0"/>
      <w:snapToGrid w:val="0"/>
      <w:spacing w:line="360" w:lineRule="auto"/>
      <w:ind w:firstLine="560" w:firstLineChars="200"/>
    </w:pPr>
    <w:rPr>
      <w:sz w:val="28"/>
      <w:szCs w:val="28"/>
    </w:rPr>
  </w:style>
  <w:style w:type="paragraph" w:customStyle="1" w:styleId="2735">
    <w:name w:val="样式 正文文本 + (中文) 宋体"/>
    <w:qFormat/>
    <w:uiPriority w:val="0"/>
    <w:pPr>
      <w:adjustRightInd w:val="0"/>
      <w:snapToGrid w:val="0"/>
      <w:spacing w:line="360" w:lineRule="auto"/>
      <w:ind w:firstLine="200" w:firstLineChars="200"/>
      <w:jc w:val="both"/>
    </w:pPr>
    <w:rPr>
      <w:rFonts w:ascii="宋体" w:hAnsi="宋体" w:eastAsia="宋体" w:cs="宋体"/>
      <w:sz w:val="28"/>
      <w:szCs w:val="28"/>
      <w:lang w:val="en-US" w:eastAsia="zh-CN" w:bidi="ar-SA"/>
    </w:rPr>
  </w:style>
  <w:style w:type="paragraph" w:customStyle="1" w:styleId="2736">
    <w:name w:val="样式 正文11 + 首行缩进:  2 字符"/>
    <w:basedOn w:val="2737"/>
    <w:qFormat/>
    <w:uiPriority w:val="0"/>
    <w:pPr>
      <w:ind w:firstLine="560" w:firstLineChars="200"/>
    </w:pPr>
    <w:rPr>
      <w:color w:val="FF0000"/>
      <w:szCs w:val="20"/>
    </w:rPr>
  </w:style>
  <w:style w:type="paragraph" w:customStyle="1" w:styleId="2737">
    <w:name w:val="O.K.1"/>
    <w:basedOn w:val="5"/>
    <w:qFormat/>
    <w:uiPriority w:val="0"/>
    <w:pPr>
      <w:ind w:firstLine="482"/>
    </w:pPr>
  </w:style>
  <w:style w:type="paragraph" w:customStyle="1" w:styleId="2738">
    <w:name w:val="Body text|1"/>
    <w:basedOn w:val="1"/>
    <w:qFormat/>
    <w:uiPriority w:val="0"/>
    <w:pPr>
      <w:widowControl w:val="0"/>
      <w:spacing w:line="449" w:lineRule="auto"/>
      <w:ind w:firstLine="400"/>
    </w:pPr>
    <w:rPr>
      <w:sz w:val="22"/>
      <w:szCs w:val="22"/>
      <w:lang w:val="zh-TW" w:eastAsia="zh-TW" w:bidi="zh-TW"/>
    </w:rPr>
  </w:style>
  <w:style w:type="paragraph" w:customStyle="1" w:styleId="2739">
    <w:name w:val="正文文本 27"/>
    <w:basedOn w:val="1"/>
    <w:qFormat/>
    <w:uiPriority w:val="0"/>
    <w:pPr>
      <w:widowControl w:val="0"/>
      <w:adjustRightInd w:val="0"/>
      <w:jc w:val="center"/>
      <w:textAlignment w:val="baseline"/>
    </w:pPr>
    <w:rPr>
      <w:rFonts w:ascii="Arial" w:hAnsi="Arial" w:eastAsia="Arial" w:cs="Times New Roman"/>
      <w:kern w:val="2"/>
      <w:sz w:val="21"/>
      <w:szCs w:val="20"/>
    </w:rPr>
  </w:style>
  <w:style w:type="paragraph" w:customStyle="1" w:styleId="2740">
    <w:name w:val="Char41"/>
    <w:basedOn w:val="1"/>
    <w:qFormat/>
    <w:uiPriority w:val="0"/>
    <w:pPr>
      <w:widowControl w:val="0"/>
      <w:adjustRightInd w:val="0"/>
      <w:snapToGrid w:val="0"/>
      <w:spacing w:line="480" w:lineRule="exact"/>
      <w:ind w:firstLine="200" w:firstLineChars="200"/>
      <w:jc w:val="both"/>
    </w:pPr>
    <w:rPr>
      <w:rFonts w:ascii="Times New Roman" w:hAnsi="Times New Roman" w:cs="Times New Roman"/>
      <w:snapToGrid w:val="0"/>
      <w:sz w:val="28"/>
    </w:rPr>
  </w:style>
  <w:style w:type="paragraph" w:customStyle="1" w:styleId="2741">
    <w:name w:val="Char51"/>
    <w:basedOn w:val="1"/>
    <w:qFormat/>
    <w:uiPriority w:val="0"/>
    <w:pPr>
      <w:adjustRightInd w:val="0"/>
      <w:snapToGrid w:val="0"/>
      <w:spacing w:after="200"/>
    </w:pPr>
    <w:rPr>
      <w:rFonts w:ascii="Tahoma" w:hAnsi="Tahoma" w:eastAsia="微软雅黑" w:cs="Times New Roman"/>
      <w:sz w:val="22"/>
      <w:szCs w:val="22"/>
    </w:rPr>
  </w:style>
  <w:style w:type="paragraph" w:customStyle="1" w:styleId="2742">
    <w:name w:val="Normal (Web)1"/>
    <w:basedOn w:val="1"/>
    <w:next w:val="2743"/>
    <w:qFormat/>
    <w:uiPriority w:val="0"/>
    <w:rPr>
      <w:szCs w:val="21"/>
    </w:rPr>
  </w:style>
  <w:style w:type="paragraph" w:customStyle="1" w:styleId="2743">
    <w:name w:val="Date1"/>
    <w:basedOn w:val="1"/>
    <w:next w:val="1"/>
    <w:qFormat/>
    <w:uiPriority w:val="0"/>
    <w:pPr>
      <w:ind w:left="2500" w:leftChars="2500"/>
    </w:pPr>
  </w:style>
  <w:style w:type="paragraph" w:customStyle="1" w:styleId="2744">
    <w:name w:val="Char Char Char Char Char Char Char3"/>
    <w:basedOn w:val="1"/>
    <w:qFormat/>
    <w:uiPriority w:val="0"/>
    <w:pPr>
      <w:spacing w:line="360" w:lineRule="auto"/>
      <w:ind w:firstLine="200" w:firstLineChars="200"/>
    </w:pPr>
    <w:rPr>
      <w:kern w:val="2"/>
    </w:rPr>
  </w:style>
  <w:style w:type="paragraph" w:customStyle="1" w:styleId="2745">
    <w:name w:val="Char Char Char4"/>
    <w:basedOn w:val="1"/>
    <w:qFormat/>
    <w:uiPriority w:val="0"/>
    <w:pPr>
      <w:widowControl w:val="0"/>
      <w:jc w:val="both"/>
    </w:pPr>
    <w:rPr>
      <w:rFonts w:ascii="Tahoma" w:hAnsi="Tahoma" w:eastAsia="黑体" w:cs="Times New Roman"/>
      <w:kern w:val="2"/>
      <w:sz w:val="28"/>
      <w:szCs w:val="28"/>
    </w:rPr>
  </w:style>
  <w:style w:type="paragraph" w:customStyle="1" w:styleId="2746">
    <w:name w:val="lmj表格"/>
    <w:basedOn w:val="1"/>
    <w:next w:val="1"/>
    <w:qFormat/>
    <w:uiPriority w:val="0"/>
    <w:pPr>
      <w:widowControl w:val="0"/>
      <w:jc w:val="both"/>
    </w:pPr>
    <w:rPr>
      <w:rFonts w:ascii="黑体" w:hAnsi="Times New Roman" w:cs="Times New Roman"/>
      <w:sz w:val="21"/>
      <w:szCs w:val="36"/>
    </w:rPr>
  </w:style>
  <w:style w:type="paragraph" w:customStyle="1" w:styleId="2747">
    <w:name w:val="5表格"/>
    <w:basedOn w:val="1"/>
    <w:link w:val="2748"/>
    <w:qFormat/>
    <w:uiPriority w:val="0"/>
    <w:pPr>
      <w:jc w:val="center"/>
    </w:pPr>
    <w:rPr>
      <w:rFonts w:ascii="Times New Roman" w:hAnsi="Times New Roman" w:cs="Times New Roman"/>
      <w:bCs/>
      <w:iCs/>
      <w:color w:val="000000"/>
      <w:sz w:val="18"/>
    </w:rPr>
  </w:style>
  <w:style w:type="character" w:customStyle="1" w:styleId="2748">
    <w:name w:val="5表格 Char"/>
    <w:link w:val="2747"/>
    <w:qFormat/>
    <w:uiPriority w:val="0"/>
    <w:rPr>
      <w:bCs/>
      <w:iCs/>
      <w:color w:val="000000"/>
      <w:sz w:val="18"/>
      <w:szCs w:val="24"/>
    </w:rPr>
  </w:style>
  <w:style w:type="paragraph" w:customStyle="1" w:styleId="2749">
    <w:name w:val="_Style 3"/>
    <w:basedOn w:val="1"/>
    <w:qFormat/>
    <w:uiPriority w:val="0"/>
    <w:pPr>
      <w:widowControl w:val="0"/>
      <w:jc w:val="center"/>
    </w:pPr>
    <w:rPr>
      <w:rFonts w:hAnsi="Calibri"/>
      <w:sz w:val="21"/>
      <w:szCs w:val="21"/>
    </w:rPr>
  </w:style>
  <w:style w:type="paragraph" w:customStyle="1" w:styleId="2750">
    <w:name w:val="书表格"/>
    <w:basedOn w:val="1"/>
    <w:next w:val="1"/>
    <w:qFormat/>
    <w:uiPriority w:val="0"/>
    <w:pPr>
      <w:widowControl w:val="0"/>
      <w:autoSpaceDE w:val="0"/>
      <w:autoSpaceDN w:val="0"/>
      <w:adjustRightInd w:val="0"/>
      <w:jc w:val="center"/>
      <w:textAlignment w:val="bottom"/>
    </w:pPr>
    <w:rPr>
      <w:rFonts w:ascii="Times New Roman" w:hAnsi="Times New Roman" w:cs="Times New Roman"/>
      <w:sz w:val="21"/>
      <w:szCs w:val="20"/>
    </w:rPr>
  </w:style>
  <w:style w:type="paragraph" w:customStyle="1" w:styleId="2751">
    <w:name w:val="_Style 6"/>
    <w:basedOn w:val="1"/>
    <w:qFormat/>
    <w:uiPriority w:val="0"/>
    <w:pPr>
      <w:widowControl w:val="0"/>
      <w:jc w:val="center"/>
    </w:pPr>
    <w:rPr>
      <w:rFonts w:cs="Times New Roman"/>
      <w:kern w:val="2"/>
      <w:sz w:val="21"/>
      <w:szCs w:val="20"/>
    </w:rPr>
  </w:style>
  <w:style w:type="table" w:customStyle="1" w:styleId="2752">
    <w:name w:val="网格型2"/>
    <w:basedOn w:val="8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2753">
    <w:name w:val="SSEC 正文"/>
    <w:link w:val="2754"/>
    <w:qFormat/>
    <w:uiPriority w:val="0"/>
    <w:pPr>
      <w:widowControl w:val="0"/>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character" w:customStyle="1" w:styleId="2754">
    <w:name w:val="SSEC 正文 字符"/>
    <w:basedOn w:val="83"/>
    <w:link w:val="2753"/>
    <w:qFormat/>
    <w:uiPriority w:val="99"/>
    <w:rPr>
      <w:rFonts w:ascii="宋体" w:hAnsi="宋体"/>
      <w:kern w:val="2"/>
      <w:sz w:val="24"/>
      <w:szCs w:val="24"/>
    </w:rPr>
  </w:style>
  <w:style w:type="character" w:customStyle="1" w:styleId="2755">
    <w:name w:val="题注 Char2"/>
    <w:qFormat/>
    <w:locked/>
    <w:uiPriority w:val="0"/>
    <w:rPr>
      <w:rFonts w:ascii="宋体" w:hAnsi="Cambria" w:eastAsia="宋体" w:cs="Times New Roman"/>
      <w:kern w:val="2"/>
      <w:sz w:val="21"/>
    </w:rPr>
  </w:style>
  <w:style w:type="character" w:customStyle="1" w:styleId="2756">
    <w:name w:val="目录 1 Char"/>
    <w:basedOn w:val="83"/>
    <w:link w:val="54"/>
    <w:qFormat/>
    <w:uiPriority w:val="39"/>
    <w:rPr>
      <w:rFonts w:ascii="宋体" w:hAnsi="宋体"/>
      <w:b/>
      <w:caps/>
    </w:rPr>
  </w:style>
  <w:style w:type="character" w:customStyle="1" w:styleId="2757">
    <w:name w:val="目录 2 Char"/>
    <w:basedOn w:val="83"/>
    <w:link w:val="66"/>
    <w:qFormat/>
    <w:uiPriority w:val="39"/>
    <w:rPr>
      <w:rFonts w:ascii="Calibri" w:hAnsi="Calibri"/>
      <w:smallCaps/>
      <w:kern w:val="2"/>
    </w:rPr>
  </w:style>
  <w:style w:type="table" w:customStyle="1" w:styleId="2758">
    <w:name w:val="网格型3"/>
    <w:basedOn w:val="80"/>
    <w:qFormat/>
    <w:locked/>
    <w:uiPriority w:val="0"/>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759">
    <w:name w:val="附表"/>
    <w:basedOn w:val="1"/>
    <w:link w:val="2760"/>
    <w:qFormat/>
    <w:uiPriority w:val="0"/>
    <w:pPr>
      <w:keepNext/>
      <w:widowControl w:val="0"/>
      <w:numPr>
        <w:ilvl w:val="0"/>
        <w:numId w:val="1"/>
      </w:numPr>
      <w:jc w:val="both"/>
      <w:outlineLvl w:val="1"/>
    </w:pPr>
    <w:rPr>
      <w:rFonts w:ascii="黑体" w:hAnsi="黑体" w:eastAsia="黑体" w:cs="Times New Roman"/>
      <w:kern w:val="2"/>
      <w:sz w:val="28"/>
      <w:szCs w:val="28"/>
    </w:rPr>
  </w:style>
  <w:style w:type="character" w:customStyle="1" w:styleId="2760">
    <w:name w:val="附表 Char"/>
    <w:basedOn w:val="83"/>
    <w:link w:val="2759"/>
    <w:qFormat/>
    <w:uiPriority w:val="0"/>
    <w:rPr>
      <w:rFonts w:ascii="黑体" w:hAnsi="黑体" w:eastAsia="黑体"/>
      <w:kern w:val="2"/>
      <w:sz w:val="28"/>
      <w:szCs w:val="28"/>
    </w:rPr>
  </w:style>
  <w:style w:type="paragraph" w:customStyle="1" w:styleId="2761">
    <w:name w:val="附件"/>
    <w:basedOn w:val="5"/>
    <w:link w:val="2762"/>
    <w:qFormat/>
    <w:uiPriority w:val="0"/>
    <w:pPr>
      <w:keepLines w:val="0"/>
      <w:widowControl w:val="0"/>
      <w:numPr>
        <w:ilvl w:val="0"/>
        <w:numId w:val="2"/>
      </w:numPr>
      <w:spacing w:line="240" w:lineRule="auto"/>
    </w:pPr>
    <w:rPr>
      <w:rFonts w:ascii="宋体" w:hAnsi="宋体"/>
      <w:color w:val="000000"/>
      <w:kern w:val="2"/>
    </w:rPr>
  </w:style>
  <w:style w:type="character" w:customStyle="1" w:styleId="2762">
    <w:name w:val="附件 Char"/>
    <w:basedOn w:val="108"/>
    <w:link w:val="2761"/>
    <w:qFormat/>
    <w:uiPriority w:val="0"/>
    <w:rPr>
      <w:rFonts w:ascii="宋体" w:hAnsi="宋体" w:eastAsia="黑体"/>
      <w:color w:val="000000"/>
      <w:kern w:val="2"/>
      <w:sz w:val="28"/>
      <w:szCs w:val="32"/>
    </w:rPr>
  </w:style>
  <w:style w:type="paragraph" w:customStyle="1" w:styleId="2763">
    <w:name w:val="附图"/>
    <w:link w:val="2764"/>
    <w:qFormat/>
    <w:uiPriority w:val="0"/>
    <w:pPr>
      <w:keepNext/>
      <w:numPr>
        <w:ilvl w:val="0"/>
        <w:numId w:val="3"/>
      </w:numPr>
      <w:outlineLvl w:val="1"/>
    </w:pPr>
    <w:rPr>
      <w:rFonts w:ascii="黑体" w:hAnsi="黑体" w:eastAsia="黑体" w:cs="Times New Roman"/>
      <w:kern w:val="2"/>
      <w:sz w:val="28"/>
      <w:szCs w:val="28"/>
      <w:lang w:val="en-US" w:eastAsia="zh-CN" w:bidi="ar-SA"/>
    </w:rPr>
  </w:style>
  <w:style w:type="character" w:customStyle="1" w:styleId="2764">
    <w:name w:val="附图 Char"/>
    <w:basedOn w:val="83"/>
    <w:link w:val="2763"/>
    <w:qFormat/>
    <w:uiPriority w:val="0"/>
    <w:rPr>
      <w:rFonts w:ascii="黑体" w:hAnsi="黑体" w:eastAsia="黑体"/>
      <w:kern w:val="2"/>
      <w:sz w:val="28"/>
      <w:szCs w:val="28"/>
    </w:rPr>
  </w:style>
  <w:style w:type="paragraph" w:customStyle="1" w:styleId="2765">
    <w:name w:val="SSEC 表内序号"/>
    <w:link w:val="2766"/>
    <w:qFormat/>
    <w:uiPriority w:val="0"/>
    <w:pPr>
      <w:widowControl w:val="0"/>
      <w:numPr>
        <w:ilvl w:val="0"/>
        <w:numId w:val="4"/>
      </w:numPr>
      <w:adjustRightInd w:val="0"/>
      <w:snapToGrid w:val="0"/>
      <w:jc w:val="center"/>
      <w:textAlignment w:val="center"/>
    </w:pPr>
    <w:rPr>
      <w:rFonts w:ascii="宋体" w:hAnsi="Times New Roman" w:eastAsia="宋体" w:cs="Times New Roman"/>
      <w:kern w:val="2"/>
      <w:sz w:val="21"/>
      <w:szCs w:val="21"/>
      <w:lang w:val="en-US" w:eastAsia="zh-CN" w:bidi="ar-SA"/>
    </w:rPr>
  </w:style>
  <w:style w:type="character" w:customStyle="1" w:styleId="2766">
    <w:name w:val="SSEC 表内序号 字符"/>
    <w:basedOn w:val="83"/>
    <w:link w:val="2765"/>
    <w:qFormat/>
    <w:uiPriority w:val="0"/>
    <w:rPr>
      <w:rFonts w:ascii="宋体"/>
      <w:kern w:val="2"/>
      <w:sz w:val="21"/>
      <w:szCs w:val="21"/>
    </w:rPr>
  </w:style>
  <w:style w:type="paragraph" w:customStyle="1" w:styleId="2767">
    <w:name w:val="SSEC 目录名"/>
    <w:link w:val="2768"/>
    <w:qFormat/>
    <w:uiPriority w:val="0"/>
    <w:pPr>
      <w:widowControl w:val="0"/>
      <w:adjustRightInd w:val="0"/>
      <w:snapToGrid w:val="0"/>
      <w:spacing w:before="100" w:beforeAutospacing="1" w:line="360" w:lineRule="auto"/>
      <w:jc w:val="center"/>
    </w:pPr>
    <w:rPr>
      <w:rFonts w:ascii="黑体" w:hAnsi="黑体" w:eastAsia="黑体" w:cs="Times New Roman"/>
      <w:kern w:val="2"/>
      <w:sz w:val="32"/>
      <w:szCs w:val="30"/>
      <w:lang w:val="en-US" w:eastAsia="zh-CN" w:bidi="ar-SA"/>
    </w:rPr>
  </w:style>
  <w:style w:type="character" w:customStyle="1" w:styleId="2768">
    <w:name w:val="SSEC 目录名 字符"/>
    <w:basedOn w:val="83"/>
    <w:link w:val="2767"/>
    <w:qFormat/>
    <w:uiPriority w:val="0"/>
    <w:rPr>
      <w:rFonts w:ascii="黑体" w:hAnsi="黑体" w:eastAsia="黑体"/>
      <w:kern w:val="2"/>
      <w:sz w:val="32"/>
      <w:szCs w:val="30"/>
    </w:rPr>
  </w:style>
  <w:style w:type="paragraph" w:customStyle="1" w:styleId="2769">
    <w:name w:val="SSEC 表字居左"/>
    <w:link w:val="2770"/>
    <w:qFormat/>
    <w:uiPriority w:val="0"/>
    <w:pPr>
      <w:keepNext/>
      <w:widowControl w:val="0"/>
      <w:adjustRightInd w:val="0"/>
      <w:snapToGrid w:val="0"/>
      <w:jc w:val="right"/>
    </w:pPr>
    <w:rPr>
      <w:rFonts w:ascii="宋体" w:hAnsi="Calibri" w:eastAsia="宋体" w:cs="Times New Roman"/>
      <w:kern w:val="2"/>
      <w:sz w:val="21"/>
      <w:szCs w:val="21"/>
      <w:lang w:val="en-US" w:eastAsia="zh-CN" w:bidi="ar-SA"/>
    </w:rPr>
  </w:style>
  <w:style w:type="character" w:customStyle="1" w:styleId="2770">
    <w:name w:val="SSEC 表字居左 字符"/>
    <w:basedOn w:val="83"/>
    <w:link w:val="2769"/>
    <w:qFormat/>
    <w:uiPriority w:val="0"/>
    <w:rPr>
      <w:rFonts w:ascii="宋体" w:hAnsi="Calibri"/>
      <w:kern w:val="2"/>
      <w:sz w:val="21"/>
      <w:szCs w:val="21"/>
    </w:rPr>
  </w:style>
  <w:style w:type="paragraph" w:customStyle="1" w:styleId="2771">
    <w:name w:val="SSEC 表字居中"/>
    <w:link w:val="2772"/>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character" w:customStyle="1" w:styleId="2772">
    <w:name w:val="SSEC 表字居中 字符"/>
    <w:basedOn w:val="83"/>
    <w:link w:val="2771"/>
    <w:qFormat/>
    <w:uiPriority w:val="0"/>
    <w:rPr>
      <w:rFonts w:ascii="宋体"/>
      <w:kern w:val="2"/>
      <w:sz w:val="21"/>
      <w:szCs w:val="21"/>
    </w:rPr>
  </w:style>
  <w:style w:type="table" w:customStyle="1" w:styleId="2773">
    <w:name w:val="SSEC表格样式"/>
    <w:basedOn w:val="80"/>
    <w:qFormat/>
    <w:uiPriority w:val="99"/>
    <w:pPr>
      <w:adjustRightInd w:val="0"/>
      <w:snapToGrid w:val="0"/>
    </w:pPr>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2774">
    <w:name w:val="SSEC 1级序号"/>
    <w:link w:val="2775"/>
    <w:qFormat/>
    <w:uiPriority w:val="0"/>
    <w:pPr>
      <w:widowControl w:val="0"/>
      <w:numPr>
        <w:ilvl w:val="1"/>
        <w:numId w:val="5"/>
      </w:numPr>
      <w:adjustRightInd w:val="0"/>
      <w:snapToGrid w:val="0"/>
      <w:spacing w:line="331" w:lineRule="auto"/>
      <w:jc w:val="both"/>
    </w:pPr>
    <w:rPr>
      <w:rFonts w:ascii="宋体" w:hAnsi="宋体" w:eastAsia="宋体" w:cs="Times New Roman"/>
      <w:kern w:val="2"/>
      <w:sz w:val="24"/>
      <w:szCs w:val="24"/>
      <w:lang w:val="en-US" w:eastAsia="zh-CN" w:bidi="ar-SA"/>
    </w:rPr>
  </w:style>
  <w:style w:type="character" w:customStyle="1" w:styleId="2775">
    <w:name w:val="SSEC 1级序号 字符"/>
    <w:basedOn w:val="2754"/>
    <w:link w:val="2774"/>
    <w:qFormat/>
    <w:uiPriority w:val="0"/>
    <w:rPr>
      <w:rFonts w:ascii="宋体" w:hAnsi="宋体"/>
      <w:kern w:val="2"/>
      <w:sz w:val="24"/>
      <w:szCs w:val="24"/>
    </w:rPr>
  </w:style>
  <w:style w:type="paragraph" w:customStyle="1" w:styleId="2776">
    <w:name w:val="SSEC 2级序号"/>
    <w:basedOn w:val="2774"/>
    <w:link w:val="2777"/>
    <w:qFormat/>
    <w:uiPriority w:val="0"/>
    <w:pPr>
      <w:numPr>
        <w:ilvl w:val="2"/>
      </w:numPr>
    </w:pPr>
  </w:style>
  <w:style w:type="character" w:customStyle="1" w:styleId="2777">
    <w:name w:val="SSEC 2级序号 字符"/>
    <w:basedOn w:val="2775"/>
    <w:link w:val="2776"/>
    <w:qFormat/>
    <w:uiPriority w:val="0"/>
    <w:rPr>
      <w:rFonts w:ascii="宋体" w:hAnsi="宋体"/>
      <w:kern w:val="2"/>
      <w:sz w:val="24"/>
      <w:szCs w:val="24"/>
    </w:rPr>
  </w:style>
  <w:style w:type="paragraph" w:customStyle="1" w:styleId="2778">
    <w:name w:val="SSEC 3级序号"/>
    <w:basedOn w:val="2774"/>
    <w:link w:val="2779"/>
    <w:qFormat/>
    <w:uiPriority w:val="0"/>
    <w:pPr>
      <w:numPr>
        <w:ilvl w:val="0"/>
        <w:numId w:val="0"/>
      </w:numPr>
      <w:ind w:firstLine="476"/>
    </w:pPr>
  </w:style>
  <w:style w:type="character" w:customStyle="1" w:styleId="2779">
    <w:name w:val="SSEC 3级序号 字符"/>
    <w:basedOn w:val="2775"/>
    <w:link w:val="2778"/>
    <w:qFormat/>
    <w:uiPriority w:val="0"/>
    <w:rPr>
      <w:rFonts w:ascii="宋体" w:hAnsi="宋体"/>
      <w:kern w:val="2"/>
      <w:sz w:val="24"/>
      <w:szCs w:val="24"/>
    </w:rPr>
  </w:style>
  <w:style w:type="paragraph" w:customStyle="1" w:styleId="2780">
    <w:name w:val="SSEC 4级序号"/>
    <w:basedOn w:val="2774"/>
    <w:link w:val="2781"/>
    <w:qFormat/>
    <w:uiPriority w:val="0"/>
    <w:pPr>
      <w:numPr>
        <w:ilvl w:val="0"/>
        <w:numId w:val="0"/>
      </w:numPr>
      <w:ind w:firstLine="476"/>
    </w:pPr>
  </w:style>
  <w:style w:type="character" w:customStyle="1" w:styleId="2781">
    <w:name w:val="SSEC 4级序号 字符"/>
    <w:basedOn w:val="2779"/>
    <w:link w:val="2780"/>
    <w:qFormat/>
    <w:uiPriority w:val="0"/>
    <w:rPr>
      <w:rFonts w:ascii="宋体" w:hAnsi="宋体"/>
      <w:kern w:val="2"/>
      <w:sz w:val="24"/>
      <w:szCs w:val="24"/>
    </w:rPr>
  </w:style>
  <w:style w:type="paragraph" w:customStyle="1" w:styleId="2782">
    <w:name w:val="SSEC 5级序号"/>
    <w:basedOn w:val="2774"/>
    <w:link w:val="2783"/>
    <w:qFormat/>
    <w:uiPriority w:val="0"/>
    <w:pPr>
      <w:numPr>
        <w:ilvl w:val="0"/>
        <w:numId w:val="0"/>
      </w:numPr>
      <w:ind w:firstLine="476"/>
    </w:pPr>
  </w:style>
  <w:style w:type="character" w:customStyle="1" w:styleId="2783">
    <w:name w:val="SSEC 5级序号 字符"/>
    <w:basedOn w:val="2775"/>
    <w:link w:val="2782"/>
    <w:qFormat/>
    <w:uiPriority w:val="0"/>
    <w:rPr>
      <w:rFonts w:ascii="宋体" w:hAnsi="宋体"/>
      <w:kern w:val="2"/>
      <w:sz w:val="24"/>
      <w:szCs w:val="24"/>
    </w:rPr>
  </w:style>
  <w:style w:type="paragraph" w:customStyle="1" w:styleId="2784">
    <w:name w:val="SSEC 6级序号"/>
    <w:basedOn w:val="2774"/>
    <w:link w:val="2785"/>
    <w:qFormat/>
    <w:uiPriority w:val="0"/>
    <w:pPr>
      <w:numPr>
        <w:ilvl w:val="0"/>
        <w:numId w:val="0"/>
      </w:numPr>
      <w:ind w:firstLine="476"/>
    </w:pPr>
  </w:style>
  <w:style w:type="character" w:customStyle="1" w:styleId="2785">
    <w:name w:val="SSEC 6级序号 字符"/>
    <w:basedOn w:val="2783"/>
    <w:link w:val="2784"/>
    <w:qFormat/>
    <w:uiPriority w:val="0"/>
    <w:rPr>
      <w:rFonts w:ascii="宋体" w:hAnsi="宋体"/>
      <w:kern w:val="2"/>
      <w:sz w:val="24"/>
      <w:szCs w:val="24"/>
    </w:rPr>
  </w:style>
  <w:style w:type="paragraph" w:customStyle="1" w:styleId="2786">
    <w:name w:val="SSEC 7级序号"/>
    <w:basedOn w:val="2774"/>
    <w:link w:val="2787"/>
    <w:qFormat/>
    <w:uiPriority w:val="0"/>
    <w:pPr>
      <w:numPr>
        <w:ilvl w:val="0"/>
        <w:numId w:val="0"/>
      </w:numPr>
      <w:ind w:firstLine="476"/>
    </w:pPr>
  </w:style>
  <w:style w:type="character" w:customStyle="1" w:styleId="2787">
    <w:name w:val="SSEC 7级序号 字符"/>
    <w:basedOn w:val="2785"/>
    <w:link w:val="2786"/>
    <w:qFormat/>
    <w:uiPriority w:val="0"/>
    <w:rPr>
      <w:rFonts w:ascii="宋体" w:hAnsi="宋体"/>
      <w:kern w:val="2"/>
      <w:sz w:val="24"/>
      <w:szCs w:val="24"/>
    </w:rPr>
  </w:style>
  <w:style w:type="paragraph" w:customStyle="1" w:styleId="2788">
    <w:name w:val="修订11"/>
    <w:hidden/>
    <w:qFormat/>
    <w:uiPriority w:val="99"/>
    <w:rPr>
      <w:rFonts w:ascii="Times New Roman" w:hAnsi="Times New Roman" w:eastAsia="宋体" w:cs="Times New Roman"/>
      <w:kern w:val="2"/>
      <w:sz w:val="21"/>
      <w:szCs w:val="24"/>
      <w:lang w:val="en-US" w:eastAsia="zh-CN" w:bidi="ar-SA"/>
    </w:rPr>
  </w:style>
  <w:style w:type="paragraph" w:customStyle="1" w:styleId="2789">
    <w:name w:val="修订3"/>
    <w:hidden/>
    <w:qFormat/>
    <w:uiPriority w:val="99"/>
    <w:rPr>
      <w:rFonts w:ascii="Times New Roman" w:hAnsi="Times New Roman" w:eastAsia="宋体" w:cs="Times New Roman"/>
      <w:kern w:val="2"/>
      <w:sz w:val="21"/>
      <w:szCs w:val="24"/>
      <w:lang w:val="en-US" w:eastAsia="zh-CN" w:bidi="ar-SA"/>
    </w:rPr>
  </w:style>
  <w:style w:type="paragraph" w:customStyle="1" w:styleId="2790">
    <w:name w:val="z-窗体底端2"/>
    <w:basedOn w:val="1"/>
    <w:next w:val="1"/>
    <w:hidden/>
    <w:semiHidden/>
    <w:unhideWhenUsed/>
    <w:qFormat/>
    <w:uiPriority w:val="0"/>
    <w:pPr>
      <w:widowControl w:val="0"/>
      <w:pBdr>
        <w:top w:val="single" w:color="auto" w:sz="6" w:space="1"/>
      </w:pBdr>
      <w:jc w:val="center"/>
    </w:pPr>
    <w:rPr>
      <w:rFonts w:ascii="Arial" w:hAnsi="Arial" w:cs="Arial"/>
      <w:vanish/>
      <w:kern w:val="2"/>
      <w:sz w:val="16"/>
      <w:szCs w:val="16"/>
    </w:rPr>
  </w:style>
  <w:style w:type="character" w:customStyle="1" w:styleId="2791">
    <w:name w:val="z-窗体底端 字符"/>
    <w:basedOn w:val="83"/>
    <w:semiHidden/>
    <w:qFormat/>
    <w:uiPriority w:val="0"/>
    <w:rPr>
      <w:rFonts w:ascii="Arial" w:hAnsi="Arial" w:cs="Arial"/>
      <w:vanish/>
      <w:kern w:val="2"/>
      <w:sz w:val="16"/>
      <w:szCs w:val="16"/>
    </w:rPr>
  </w:style>
  <w:style w:type="character" w:customStyle="1" w:styleId="2792">
    <w:name w:val="z-窗体顶端 字符"/>
    <w:basedOn w:val="83"/>
    <w:semiHidden/>
    <w:qFormat/>
    <w:uiPriority w:val="0"/>
    <w:rPr>
      <w:rFonts w:ascii="Arial" w:hAnsi="Arial" w:cs="Arial"/>
      <w:vanish/>
      <w:kern w:val="2"/>
      <w:sz w:val="16"/>
      <w:szCs w:val="16"/>
    </w:rPr>
  </w:style>
  <w:style w:type="character" w:customStyle="1" w:styleId="2793">
    <w:name w:val="列出段落 Char"/>
    <w:link w:val="185"/>
    <w:qFormat/>
    <w:uiPriority w:val="34"/>
    <w:rPr>
      <w:rFonts w:ascii="宋体" w:hAnsi="宋体" w:cs="宋体"/>
      <w:sz w:val="24"/>
      <w:szCs w:val="24"/>
      <w:lang w:val="zh-CN" w:bidi="zh-CN"/>
    </w:rPr>
  </w:style>
  <w:style w:type="table" w:customStyle="1" w:styleId="2794">
    <w:name w:val="网格型11"/>
    <w:basedOn w:val="80"/>
    <w:qFormat/>
    <w:locked/>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95">
    <w:name w:val="STC表格 字符"/>
    <w:basedOn w:val="83"/>
    <w:link w:val="2796"/>
    <w:qFormat/>
    <w:locked/>
    <w:uiPriority w:val="0"/>
  </w:style>
  <w:style w:type="paragraph" w:customStyle="1" w:styleId="2796">
    <w:name w:val="STC表格"/>
    <w:link w:val="2795"/>
    <w:qFormat/>
    <w:uiPriority w:val="0"/>
    <w:pPr>
      <w:widowControl w:val="0"/>
      <w:adjustRightInd w:val="0"/>
      <w:snapToGrid w:val="0"/>
      <w:jc w:val="center"/>
    </w:pPr>
    <w:rPr>
      <w:rFonts w:ascii="Times New Roman" w:hAnsi="Times New Roman" w:eastAsia="宋体" w:cs="Times New Roman"/>
      <w:lang w:val="en-US" w:eastAsia="zh-CN" w:bidi="ar-SA"/>
    </w:rPr>
  </w:style>
  <w:style w:type="table" w:customStyle="1" w:styleId="2797">
    <w:name w:val="灰度表格1211"/>
    <w:basedOn w:val="80"/>
    <w:qFormat/>
    <w:uiPriority w:val="59"/>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8">
    <w:name w:val="网格型21"/>
    <w:basedOn w:val="80"/>
    <w:qFormat/>
    <w:locked/>
    <w:uiPriority w:val="0"/>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9">
    <w:name w:val="Table Normal1"/>
    <w:qFormat/>
    <w:uiPriority w:val="0"/>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table" w:customStyle="1" w:styleId="2800">
    <w:name w:val="SSEC表格样式1"/>
    <w:basedOn w:val="80"/>
    <w:qFormat/>
    <w:uiPriority w:val="99"/>
    <w:pPr>
      <w:adjustRightInd w:val="0"/>
      <w:snapToGrid w:val="0"/>
    </w:pPr>
    <w:rPr>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table" w:customStyle="1" w:styleId="2801">
    <w:name w:val="Table Normal1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2802">
    <w:name w:val="Table Normal2"/>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2803">
    <w:name w:val="STC表头 字符"/>
    <w:basedOn w:val="83"/>
    <w:link w:val="2804"/>
    <w:qFormat/>
    <w:locked/>
    <w:uiPriority w:val="0"/>
    <w:rPr>
      <w:rFonts w:ascii="宋体" w:hAnsi="宋体" w:cs="宋体"/>
      <w:kern w:val="2"/>
      <w:sz w:val="21"/>
    </w:rPr>
  </w:style>
  <w:style w:type="paragraph" w:customStyle="1" w:styleId="2804">
    <w:name w:val="STC表头"/>
    <w:basedOn w:val="1"/>
    <w:link w:val="2803"/>
    <w:qFormat/>
    <w:uiPriority w:val="0"/>
    <w:pPr>
      <w:widowControl w:val="0"/>
      <w:adjustRightInd w:val="0"/>
      <w:snapToGrid w:val="0"/>
      <w:spacing w:beforeLines="50" w:line="360" w:lineRule="auto"/>
      <w:jc w:val="center"/>
    </w:pPr>
    <w:rPr>
      <w:kern w:val="2"/>
      <w:sz w:val="21"/>
      <w:szCs w:val="20"/>
    </w:rPr>
  </w:style>
  <w:style w:type="character" w:customStyle="1" w:styleId="2805">
    <w:name w:val="STC 正文 字符"/>
    <w:basedOn w:val="83"/>
    <w:link w:val="2806"/>
    <w:qFormat/>
    <w:locked/>
    <w:uiPriority w:val="0"/>
    <w:rPr>
      <w:rFonts w:ascii="宋体" w:hAnsi="宋体"/>
      <w:kern w:val="2"/>
      <w:sz w:val="24"/>
      <w:szCs w:val="21"/>
    </w:rPr>
  </w:style>
  <w:style w:type="paragraph" w:customStyle="1" w:styleId="2806">
    <w:name w:val="STC 正文"/>
    <w:link w:val="2805"/>
    <w:qFormat/>
    <w:uiPriority w:val="0"/>
    <w:pPr>
      <w:widowControl w:val="0"/>
      <w:adjustRightInd w:val="0"/>
      <w:snapToGrid w:val="0"/>
      <w:spacing w:line="328" w:lineRule="auto"/>
      <w:ind w:firstLine="200" w:firstLineChars="200"/>
      <w:jc w:val="both"/>
    </w:pPr>
    <w:rPr>
      <w:rFonts w:ascii="宋体" w:hAnsi="宋体" w:eastAsia="宋体" w:cs="Times New Roman"/>
      <w:kern w:val="2"/>
      <w:sz w:val="24"/>
      <w:szCs w:val="21"/>
      <w:lang w:val="en-US" w:eastAsia="zh-CN" w:bidi="ar-SA"/>
    </w:rPr>
  </w:style>
  <w:style w:type="character" w:customStyle="1" w:styleId="2807">
    <w:name w:val="STC 表格 字符"/>
    <w:link w:val="2808"/>
    <w:autoRedefine/>
    <w:qFormat/>
    <w:locked/>
    <w:uiPriority w:val="0"/>
    <w:rPr>
      <w:rFonts w:ascii="宋体" w:hAnsi="宋体" w:cs="宋体"/>
      <w:sz w:val="21"/>
      <w:szCs w:val="21"/>
      <w:lang w:eastAsia="en-US"/>
    </w:rPr>
  </w:style>
  <w:style w:type="paragraph" w:customStyle="1" w:styleId="2808">
    <w:name w:val="STC 表格"/>
    <w:basedOn w:val="1"/>
    <w:link w:val="2807"/>
    <w:qFormat/>
    <w:uiPriority w:val="0"/>
    <w:pPr>
      <w:widowControl w:val="0"/>
      <w:adjustRightInd w:val="0"/>
      <w:snapToGrid w:val="0"/>
      <w:jc w:val="center"/>
    </w:pPr>
    <w:rPr>
      <w:sz w:val="21"/>
      <w:szCs w:val="21"/>
      <w:lang w:eastAsia="en-US"/>
    </w:rPr>
  </w:style>
  <w:style w:type="table" w:customStyle="1" w:styleId="2809">
    <w:name w:val="SSEC表格样式2"/>
    <w:basedOn w:val="80"/>
    <w:qFormat/>
    <w:uiPriority w:val="99"/>
    <w:pPr>
      <w:adjustRightInd w:val="0"/>
      <w:snapToGrid w:val="0"/>
    </w:pPr>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2810">
    <w:name w:val="插图 Char"/>
    <w:link w:val="2811"/>
    <w:qFormat/>
    <w:locked/>
    <w:uiPriority w:val="0"/>
  </w:style>
  <w:style w:type="paragraph" w:customStyle="1" w:styleId="2811">
    <w:name w:val="插图"/>
    <w:link w:val="2810"/>
    <w:qFormat/>
    <w:uiPriority w:val="0"/>
    <w:pPr>
      <w:jc w:val="center"/>
    </w:pPr>
    <w:rPr>
      <w:rFonts w:ascii="Times New Roman" w:hAnsi="Times New Roman" w:eastAsia="宋体" w:cs="Times New Roman"/>
      <w:lang w:val="en-US" w:eastAsia="zh-CN" w:bidi="ar-SA"/>
    </w:rPr>
  </w:style>
  <w:style w:type="character" w:customStyle="1" w:styleId="2812">
    <w:name w:val="SSEC正文 20150323 Char"/>
    <w:basedOn w:val="83"/>
    <w:link w:val="2813"/>
    <w:qFormat/>
    <w:locked/>
    <w:uiPriority w:val="0"/>
    <w:rPr>
      <w:rFonts w:ascii="宋体" w:hAnsi="宋体"/>
      <w:sz w:val="24"/>
      <w:szCs w:val="24"/>
    </w:rPr>
  </w:style>
  <w:style w:type="paragraph" w:customStyle="1" w:styleId="2813">
    <w:name w:val="SSEC正文 20150323"/>
    <w:link w:val="2812"/>
    <w:qFormat/>
    <w:uiPriority w:val="0"/>
    <w:pPr>
      <w:adjustRightInd w:val="0"/>
      <w:snapToGrid w:val="0"/>
      <w:spacing w:line="326" w:lineRule="auto"/>
      <w:ind w:firstLine="200" w:firstLineChars="200"/>
      <w:jc w:val="both"/>
    </w:pPr>
    <w:rPr>
      <w:rFonts w:ascii="宋体" w:hAnsi="宋体" w:eastAsia="宋体" w:cs="Times New Roman"/>
      <w:sz w:val="24"/>
      <w:szCs w:val="24"/>
      <w:lang w:val="en-US" w:eastAsia="zh-CN" w:bidi="ar-SA"/>
    </w:rPr>
  </w:style>
  <w:style w:type="table" w:customStyle="1" w:styleId="2814">
    <w:name w:val="Table Normal3"/>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2815">
    <w:name w:val="Table Normal4"/>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2816">
    <w:name w:val="Table Normal5"/>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2817">
    <w:name w:val="AF-表中表 字符"/>
    <w:link w:val="2818"/>
    <w:qFormat/>
    <w:uiPriority w:val="0"/>
    <w:rPr>
      <w:sz w:val="18"/>
      <w:szCs w:val="21"/>
    </w:rPr>
  </w:style>
  <w:style w:type="paragraph" w:customStyle="1" w:styleId="2818">
    <w:name w:val="AF-表中表"/>
    <w:basedOn w:val="1"/>
    <w:link w:val="2817"/>
    <w:qFormat/>
    <w:uiPriority w:val="0"/>
    <w:pPr>
      <w:adjustRightInd w:val="0"/>
      <w:snapToGrid w:val="0"/>
      <w:jc w:val="center"/>
    </w:pPr>
    <w:rPr>
      <w:rFonts w:ascii="Times New Roman" w:hAnsi="Times New Roman" w:cs="Times New Roman"/>
      <w:sz w:val="18"/>
      <w:szCs w:val="21"/>
    </w:rPr>
  </w:style>
  <w:style w:type="paragraph" w:customStyle="1" w:styleId="2819">
    <w:name w:val="A报告正文"/>
    <w:link w:val="2820"/>
    <w:qFormat/>
    <w:uiPriority w:val="0"/>
    <w:pPr>
      <w:widowControl w:val="0"/>
      <w:spacing w:line="360" w:lineRule="auto"/>
      <w:ind w:firstLine="480" w:firstLineChars="200"/>
      <w:jc w:val="both"/>
    </w:pPr>
    <w:rPr>
      <w:rFonts w:ascii="Times New Roman" w:hAnsi="Times New Roman" w:eastAsia="宋体" w:cs="微软雅黑"/>
      <w:kern w:val="2"/>
      <w:sz w:val="24"/>
      <w:szCs w:val="22"/>
      <w:lang w:val="en-US" w:eastAsia="zh-CN" w:bidi="ar-SA"/>
    </w:rPr>
  </w:style>
  <w:style w:type="character" w:customStyle="1" w:styleId="2820">
    <w:name w:val="A报告正文 Char"/>
    <w:link w:val="2819"/>
    <w:qFormat/>
    <w:uiPriority w:val="0"/>
    <w:rPr>
      <w:rFonts w:cs="微软雅黑"/>
      <w:kern w:val="2"/>
      <w:sz w:val="24"/>
      <w:szCs w:val="22"/>
    </w:rPr>
  </w:style>
  <w:style w:type="paragraph" w:customStyle="1" w:styleId="2821">
    <w:name w:val="A图表名"/>
    <w:link w:val="2822"/>
    <w:qFormat/>
    <w:uiPriority w:val="0"/>
    <w:pPr>
      <w:widowControl w:val="0"/>
      <w:spacing w:line="360" w:lineRule="auto"/>
      <w:jc w:val="center"/>
    </w:pPr>
    <w:rPr>
      <w:rFonts w:ascii="Times New Roman" w:hAnsi="Times New Roman" w:eastAsia="黑体" w:cs="微软雅黑"/>
      <w:kern w:val="21"/>
      <w:sz w:val="24"/>
      <w:lang w:val="en-US" w:eastAsia="zh-CN" w:bidi="ar-SA"/>
    </w:rPr>
  </w:style>
  <w:style w:type="character" w:customStyle="1" w:styleId="2822">
    <w:name w:val="A图表名 Char"/>
    <w:link w:val="2821"/>
    <w:qFormat/>
    <w:uiPriority w:val="0"/>
    <w:rPr>
      <w:rFonts w:eastAsia="黑体" w:cs="微软雅黑"/>
      <w:kern w:val="21"/>
      <w:sz w:val="24"/>
    </w:rPr>
  </w:style>
  <w:style w:type="paragraph" w:customStyle="1" w:styleId="2823">
    <w:name w:val="A表内"/>
    <w:link w:val="2824"/>
    <w:qFormat/>
    <w:uiPriority w:val="0"/>
    <w:pPr>
      <w:widowControl w:val="0"/>
      <w:jc w:val="center"/>
    </w:pPr>
    <w:rPr>
      <w:rFonts w:ascii="Times New Roman" w:hAnsi="Times New Roman" w:eastAsia="宋体" w:cs="微软雅黑"/>
      <w:kern w:val="2"/>
      <w:sz w:val="21"/>
      <w:szCs w:val="21"/>
      <w:lang w:val="en-US" w:eastAsia="zh-CN" w:bidi="ar-SA"/>
    </w:rPr>
  </w:style>
  <w:style w:type="character" w:customStyle="1" w:styleId="2824">
    <w:name w:val="A表内 Char"/>
    <w:link w:val="2823"/>
    <w:qFormat/>
    <w:uiPriority w:val="0"/>
    <w:rPr>
      <w:rFonts w:cs="微软雅黑"/>
      <w:kern w:val="2"/>
      <w:sz w:val="21"/>
      <w:szCs w:val="21"/>
    </w:rPr>
  </w:style>
  <w:style w:type="table" w:customStyle="1" w:styleId="2825">
    <w:name w:val="Table Normal6"/>
    <w:basedOn w:val="80"/>
    <w:qFormat/>
    <w:uiPriority w:val="0"/>
    <w:rPr>
      <w:rFonts w:eastAsia="Times New Roman"/>
    </w:rPr>
    <w:tblPr>
      <w:tblCellMar>
        <w:top w:w="0" w:type="dxa"/>
        <w:left w:w="0" w:type="dxa"/>
        <w:bottom w:w="0" w:type="dxa"/>
        <w:right w:w="0" w:type="dxa"/>
      </w:tblCellMar>
    </w:tblPr>
  </w:style>
  <w:style w:type="table" w:customStyle="1" w:styleId="2826">
    <w:name w:val="Table Normal7"/>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2827">
    <w:name w:val="Table Normal8"/>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2828">
    <w:name w:val="未处理的提及1"/>
    <w:basedOn w:val="83"/>
    <w:semiHidden/>
    <w:unhideWhenUsed/>
    <w:qFormat/>
    <w:uiPriority w:val="99"/>
    <w:rPr>
      <w:color w:val="605E5C"/>
      <w:shd w:val="clear" w:color="auto" w:fill="E1DFDD"/>
    </w:rPr>
  </w:style>
  <w:style w:type="character" w:customStyle="1" w:styleId="2829">
    <w:name w:val="AG-表 标题 字符"/>
    <w:link w:val="2830"/>
    <w:qFormat/>
    <w:locked/>
    <w:uiPriority w:val="0"/>
    <w:rPr>
      <w:rFonts w:ascii="黑体" w:hAnsi="黑体" w:eastAsia="黑体"/>
      <w:sz w:val="21"/>
      <w:szCs w:val="24"/>
    </w:rPr>
  </w:style>
  <w:style w:type="paragraph" w:customStyle="1" w:styleId="2830">
    <w:name w:val="AG-表 标题"/>
    <w:basedOn w:val="1"/>
    <w:link w:val="2829"/>
    <w:qFormat/>
    <w:uiPriority w:val="0"/>
    <w:pPr>
      <w:tabs>
        <w:tab w:val="center" w:pos="4200"/>
        <w:tab w:val="right" w:pos="8400"/>
      </w:tabs>
      <w:adjustRightInd w:val="0"/>
      <w:snapToGrid w:val="0"/>
      <w:spacing w:line="360" w:lineRule="auto"/>
      <w:jc w:val="center"/>
    </w:pPr>
    <w:rPr>
      <w:rFonts w:ascii="黑体" w:hAnsi="黑体" w:eastAsia="黑体" w:cs="Times New Roman"/>
      <w:sz w:val="21"/>
    </w:rPr>
  </w:style>
  <w:style w:type="table" w:customStyle="1" w:styleId="2831">
    <w:name w:val="网格型31"/>
    <w:basedOn w:val="8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32">
    <w:name w:val="网格型4"/>
    <w:basedOn w:val="8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33">
    <w:name w:val="Table Normal9"/>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2834">
    <w:name w:val="Table Normal10"/>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2835">
    <w:name w:val="text_qs7xs"/>
    <w:basedOn w:val="83"/>
    <w:qFormat/>
    <w:uiPriority w:val="0"/>
  </w:style>
  <w:style w:type="character" w:customStyle="1" w:styleId="2836">
    <w:name w:val="正文文本 字符5"/>
    <w:qFormat/>
    <w:uiPriority w:val="1"/>
    <w:rPr>
      <w:color w:val="000000"/>
      <w:kern w:val="2"/>
      <w:sz w:val="24"/>
      <w:szCs w:val="22"/>
    </w:rPr>
  </w:style>
  <w:style w:type="character" w:customStyle="1" w:styleId="2837">
    <w:name w:val="标题 1 字符2"/>
    <w:qFormat/>
    <w:uiPriority w:val="0"/>
    <w:rPr>
      <w:rFonts w:ascii="Calibri" w:hAnsi="Calibri" w:eastAsia="黑体"/>
      <w:kern w:val="2"/>
      <w:sz w:val="32"/>
      <w:szCs w:val="22"/>
    </w:rPr>
  </w:style>
  <w:style w:type="character" w:customStyle="1" w:styleId="2838">
    <w:name w:val="标题 2 字符1"/>
    <w:qFormat/>
    <w:uiPriority w:val="0"/>
    <w:rPr>
      <w:rFonts w:ascii="Calibri" w:hAnsi="Calibri" w:eastAsia="黑体"/>
      <w:bCs/>
      <w:sz w:val="28"/>
      <w:szCs w:val="32"/>
    </w:rPr>
  </w:style>
  <w:style w:type="character" w:customStyle="1" w:styleId="2839">
    <w:name w:val="标题 3 字符5"/>
    <w:qFormat/>
    <w:uiPriority w:val="9"/>
    <w:rPr>
      <w:rFonts w:ascii="Times New Roman" w:hAnsi="Times New Roman" w:eastAsia="黑体"/>
      <w:bCs/>
      <w:szCs w:val="32"/>
    </w:rPr>
  </w:style>
  <w:style w:type="character" w:customStyle="1" w:styleId="2840">
    <w:name w:val="标题 4 字符4"/>
    <w:qFormat/>
    <w:uiPriority w:val="9"/>
    <w:rPr>
      <w:rFonts w:ascii="Times New Roman" w:hAnsi="Times New Roman" w:cs="宋体"/>
      <w:sz w:val="24"/>
      <w:lang w:val="zh-CN"/>
    </w:rPr>
  </w:style>
  <w:style w:type="character" w:customStyle="1" w:styleId="2841">
    <w:name w:val="标题 5 字符1"/>
    <w:basedOn w:val="83"/>
    <w:qFormat/>
    <w:uiPriority w:val="9"/>
    <w:rPr>
      <w:rFonts w:ascii="仿宋_GB2312" w:hAnsi="Times New Roman" w:eastAsia="仿宋_GB2312"/>
      <w:b/>
      <w:bCs/>
      <w:sz w:val="28"/>
      <w:szCs w:val="28"/>
    </w:rPr>
  </w:style>
  <w:style w:type="character" w:customStyle="1" w:styleId="2842">
    <w:name w:val="标题 6 字符3"/>
    <w:basedOn w:val="83"/>
    <w:qFormat/>
    <w:uiPriority w:val="9"/>
    <w:rPr>
      <w:rFonts w:ascii="Times New Roman" w:hAnsi="Times New Roman"/>
      <w:b/>
      <w:bCs/>
      <w:kern w:val="2"/>
      <w:sz w:val="24"/>
    </w:rPr>
  </w:style>
  <w:style w:type="character" w:customStyle="1" w:styleId="2843">
    <w:name w:val="标题 7 字符1"/>
    <w:basedOn w:val="83"/>
    <w:qFormat/>
    <w:uiPriority w:val="9"/>
    <w:rPr>
      <w:rFonts w:ascii="Times New Roman" w:hAnsi="Times New Roman"/>
      <w:b/>
      <w:bCs/>
      <w:kern w:val="2"/>
      <w:sz w:val="28"/>
      <w:szCs w:val="28"/>
    </w:rPr>
  </w:style>
  <w:style w:type="character" w:customStyle="1" w:styleId="2844">
    <w:name w:val="标题 8 字符1"/>
    <w:qFormat/>
    <w:uiPriority w:val="99"/>
    <w:rPr>
      <w:rFonts w:ascii="Times New Roman" w:hAnsi="Times New Roman"/>
      <w:b/>
      <w:bCs/>
      <w:kern w:val="2"/>
      <w:sz w:val="28"/>
      <w:szCs w:val="28"/>
    </w:rPr>
  </w:style>
  <w:style w:type="character" w:customStyle="1" w:styleId="2845">
    <w:name w:val="标题 9 字符4"/>
    <w:basedOn w:val="83"/>
    <w:qFormat/>
    <w:uiPriority w:val="9"/>
    <w:rPr>
      <w:rFonts w:ascii="Arial" w:hAnsi="Arial" w:eastAsia="黑体"/>
      <w:sz w:val="28"/>
      <w:szCs w:val="21"/>
    </w:rPr>
  </w:style>
  <w:style w:type="character" w:customStyle="1" w:styleId="2846">
    <w:name w:val="批注文字 字符7"/>
    <w:basedOn w:val="83"/>
    <w:qFormat/>
    <w:uiPriority w:val="0"/>
    <w:rPr>
      <w:sz w:val="24"/>
      <w:szCs w:val="22"/>
    </w:rPr>
  </w:style>
  <w:style w:type="character" w:customStyle="1" w:styleId="2847">
    <w:name w:val="正文文本缩进 字符1"/>
    <w:basedOn w:val="83"/>
    <w:qFormat/>
    <w:uiPriority w:val="0"/>
    <w:rPr>
      <w:rFonts w:ascii="仿宋_GB2312" w:eastAsia="仿宋_GB2312"/>
      <w:spacing w:val="-2"/>
    </w:rPr>
  </w:style>
  <w:style w:type="character" w:customStyle="1" w:styleId="2848">
    <w:name w:val="纯文本 字符1"/>
    <w:qFormat/>
    <w:uiPriority w:val="0"/>
    <w:rPr>
      <w:rFonts w:ascii="宋体" w:hAnsi="Courier New"/>
      <w:kern w:val="2"/>
      <w:sz w:val="21"/>
      <w:szCs w:val="22"/>
    </w:rPr>
  </w:style>
  <w:style w:type="character" w:customStyle="1" w:styleId="2849">
    <w:name w:val="正文文本缩进 2 字符1"/>
    <w:qFormat/>
    <w:uiPriority w:val="0"/>
    <w:rPr>
      <w:rFonts w:ascii="Times New Roman" w:hAnsi="Times New Roman"/>
      <w:szCs w:val="24"/>
    </w:rPr>
  </w:style>
  <w:style w:type="character" w:customStyle="1" w:styleId="2850">
    <w:name w:val="批注框文本 字符3"/>
    <w:basedOn w:val="83"/>
    <w:qFormat/>
    <w:uiPriority w:val="0"/>
    <w:rPr>
      <w:rFonts w:ascii="宋体" w:hAnsi="宋体" w:cs="宋体"/>
      <w:sz w:val="18"/>
      <w:szCs w:val="18"/>
    </w:rPr>
  </w:style>
  <w:style w:type="character" w:customStyle="1" w:styleId="2851">
    <w:name w:val="页脚 字符4"/>
    <w:qFormat/>
    <w:uiPriority w:val="0"/>
    <w:rPr>
      <w:kern w:val="2"/>
      <w:sz w:val="18"/>
      <w:szCs w:val="18"/>
    </w:rPr>
  </w:style>
  <w:style w:type="character" w:customStyle="1" w:styleId="2852">
    <w:name w:val="页眉 字符1"/>
    <w:qFormat/>
    <w:uiPriority w:val="0"/>
    <w:rPr>
      <w:kern w:val="2"/>
      <w:sz w:val="18"/>
      <w:szCs w:val="18"/>
    </w:rPr>
  </w:style>
  <w:style w:type="character" w:customStyle="1" w:styleId="2853">
    <w:name w:val="普通(网站) 字符1"/>
    <w:qFormat/>
    <w:uiPriority w:val="99"/>
    <w:rPr>
      <w:rFonts w:ascii="宋体" w:hAnsi="宋体" w:cs="宋体"/>
      <w:sz w:val="24"/>
      <w:szCs w:val="24"/>
    </w:rPr>
  </w:style>
  <w:style w:type="character" w:customStyle="1" w:styleId="2854">
    <w:name w:val="标题 字符4"/>
    <w:qFormat/>
    <w:uiPriority w:val="0"/>
    <w:rPr>
      <w:rFonts w:ascii="Arial" w:hAnsi="Arial"/>
      <w:b/>
      <w:sz w:val="32"/>
    </w:rPr>
  </w:style>
  <w:style w:type="character" w:customStyle="1" w:styleId="2855">
    <w:name w:val="批注主题 字符4"/>
    <w:basedOn w:val="2846"/>
    <w:qFormat/>
    <w:uiPriority w:val="0"/>
    <w:rPr>
      <w:rFonts w:ascii="宋体" w:hAnsi="宋体" w:cs="宋体"/>
      <w:b/>
      <w:bCs/>
      <w:sz w:val="24"/>
      <w:szCs w:val="24"/>
    </w:rPr>
  </w:style>
  <w:style w:type="character" w:customStyle="1" w:styleId="2856">
    <w:name w:val="正文文本首行缩进 2 字符1"/>
    <w:qFormat/>
    <w:uiPriority w:val="0"/>
    <w:rPr>
      <w:rFonts w:ascii="仿宋_GB2312" w:hAnsi="Times New Roman" w:eastAsia="仿宋_GB2312"/>
      <w:sz w:val="28"/>
    </w:rPr>
  </w:style>
  <w:style w:type="paragraph" w:customStyle="1" w:styleId="2857">
    <w:name w:val="Table Text"/>
    <w:basedOn w:val="1"/>
    <w:semiHidden/>
    <w:qFormat/>
    <w:uiPriority w:val="0"/>
    <w:rPr>
      <w:sz w:val="20"/>
      <w:szCs w:val="20"/>
      <w:lang w:eastAsia="en-US"/>
    </w:rPr>
  </w:style>
  <w:style w:type="paragraph" w:customStyle="1" w:styleId="2858">
    <w:name w:val="00正文"/>
    <w:basedOn w:val="1"/>
    <w:qFormat/>
    <w:uiPriority w:val="0"/>
    <w:pPr>
      <w:snapToGrid w:val="0"/>
      <w:spacing w:line="460" w:lineRule="exact"/>
      <w:ind w:firstLine="560" w:firstLineChars="200"/>
      <w:jc w:val="both"/>
    </w:pPr>
    <w:rPr>
      <w:rFonts w:ascii="方正楷体简体" w:eastAsia="方正楷体简体" w:cs="Arial"/>
      <w:snapToGrid w:val="0"/>
      <w:szCs w:val="28"/>
    </w:rPr>
  </w:style>
  <w:style w:type="paragraph" w:customStyle="1" w:styleId="2859">
    <w:name w:val="标题12025"/>
    <w:basedOn w:val="4"/>
    <w:link w:val="2860"/>
    <w:qFormat/>
    <w:uiPriority w:val="0"/>
    <w:pPr>
      <w:numPr>
        <w:ilvl w:val="0"/>
        <w:numId w:val="6"/>
      </w:numPr>
    </w:pPr>
    <w:rPr>
      <w:b/>
    </w:rPr>
  </w:style>
  <w:style w:type="character" w:customStyle="1" w:styleId="2860">
    <w:name w:val="标题12025 字符"/>
    <w:basedOn w:val="2837"/>
    <w:link w:val="2859"/>
    <w:qFormat/>
    <w:uiPriority w:val="0"/>
    <w:rPr>
      <w:rFonts w:ascii="Calibri" w:hAnsi="Calibri" w:eastAsia="黑体"/>
      <w:b/>
      <w:kern w:val="2"/>
      <w:sz w:val="32"/>
      <w:szCs w:val="22"/>
    </w:rPr>
  </w:style>
  <w:style w:type="table" w:customStyle="1" w:styleId="2861">
    <w:name w:val="网格型5"/>
    <w:basedOn w:val="80"/>
    <w:qFormat/>
    <w:locked/>
    <w:uiPriority w:val="0"/>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62">
    <w:name w:val="Revision"/>
    <w:hidden/>
    <w:semiHidden/>
    <w:qFormat/>
    <w:uiPriority w:val="99"/>
    <w:rPr>
      <w:rFonts w:ascii="宋体" w:hAnsi="宋体" w:eastAsia="宋体" w:cs="宋体"/>
      <w:sz w:val="24"/>
      <w:szCs w:val="24"/>
      <w:lang w:val="en-US" w:eastAsia="zh-CN" w:bidi="ar-SA"/>
    </w:rPr>
  </w:style>
  <w:style w:type="table" w:customStyle="1" w:styleId="2863">
    <w:name w:val="SSEC表格样式3"/>
    <w:basedOn w:val="80"/>
    <w:qFormat/>
    <w:uiPriority w:val="99"/>
    <w:pPr>
      <w:adjustRightInd w:val="0"/>
      <w:snapToGrid w:val="0"/>
    </w:pPr>
    <w:rPr>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2864">
    <w:name w:val="AAP-正文"/>
    <w:autoRedefine/>
    <w:qFormat/>
    <w:uiPriority w:val="0"/>
    <w:pPr>
      <w:widowControl w:val="0"/>
      <w:spacing w:beforeLines="0" w:afterLines="0"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customStyle="1" w:styleId="2865">
    <w:name w:val="标题 44"/>
    <w:basedOn w:val="7"/>
    <w:qFormat/>
    <w:uiPriority w:val="0"/>
    <w:pPr>
      <w:adjustRightInd w:val="0"/>
      <w:snapToGrid w:val="0"/>
      <w:spacing w:before="0" w:after="0" w:line="360" w:lineRule="auto"/>
      <w:outlineLvl w:val="3"/>
    </w:pPr>
    <w:rPr>
      <w:rFonts w:ascii="Arial" w:hAnsi="Arial" w:cs="Arial"/>
      <w:kern w:val="0"/>
      <w:sz w:val="24"/>
    </w:rPr>
  </w:style>
  <w:style w:type="paragraph" w:customStyle="1" w:styleId="2866">
    <w:name w:val="可研表格"/>
    <w:qFormat/>
    <w:uiPriority w:val="0"/>
    <w:pPr>
      <w:spacing w:line="360" w:lineRule="exact"/>
      <w:jc w:val="center"/>
    </w:pPr>
    <w:rPr>
      <w:rFonts w:ascii="宋体" w:hAnsi="宋体" w:eastAsia="宋体" w:cs="Times New Roman"/>
      <w:kern w:val="2"/>
      <w:sz w:val="21"/>
      <w:szCs w:val="24"/>
      <w:lang w:val="en-US" w:eastAsia="zh-CN" w:bidi="ar-SA"/>
    </w:rPr>
  </w:style>
  <w:style w:type="paragraph" w:customStyle="1" w:styleId="2867">
    <w:name w:val="0正文缩进"/>
    <w:basedOn w:val="6"/>
    <w:autoRedefine/>
    <w:qFormat/>
    <w:uiPriority w:val="0"/>
    <w:pPr>
      <w:adjustRightInd/>
      <w:snapToGrid/>
      <w:spacing w:line="360" w:lineRule="auto"/>
    </w:pPr>
    <w:rPr>
      <w:rFonts w:eastAsiaTheme="minorEastAsia" w:cstheme="minorBidi"/>
      <w:snapToGrid/>
      <w:kern w:val="2"/>
      <w:sz w:val="24"/>
    </w:rPr>
  </w:style>
  <w:style w:type="paragraph" w:customStyle="1" w:styleId="2868">
    <w:name w:val="A表格"/>
    <w:qFormat/>
    <w:uiPriority w:val="0"/>
    <w:pPr>
      <w:adjustRightInd w:val="0"/>
      <w:jc w:val="center"/>
      <w:textAlignment w:val="baseline"/>
    </w:pPr>
    <w:rPr>
      <w:rFonts w:ascii="Times New Roman" w:hAnsi="Times New Roman" w:eastAsia="宋体" w:cs="宋体"/>
      <w:kern w:val="28"/>
      <w:sz w:val="21"/>
      <w:szCs w:val="21"/>
      <w:lang w:val="en-US" w:eastAsia="zh-CN" w:bidi="ar-SA"/>
    </w:rPr>
  </w:style>
  <w:style w:type="paragraph" w:customStyle="1" w:styleId="2869">
    <w:name w:val="A正文"/>
    <w:basedOn w:val="1"/>
    <w:qFormat/>
    <w:uiPriority w:val="0"/>
    <w:pPr>
      <w:widowControl/>
      <w:overflowPunct w:val="0"/>
      <w:autoSpaceDE w:val="0"/>
      <w:autoSpaceDN w:val="0"/>
      <w:adjustRightInd w:val="0"/>
      <w:snapToGrid w:val="0"/>
      <w:textAlignment w:val="baseline"/>
    </w:pPr>
    <w:rPr>
      <w:rFonts w:cs="Times New Roman"/>
      <w:color w:val="000000"/>
      <w:kern w:val="0"/>
      <w:szCs w:val="24"/>
    </w:rPr>
  </w:style>
  <w:style w:type="table" w:customStyle="1" w:styleId="2870">
    <w:name w:val="验收"/>
    <w:basedOn w:val="80"/>
    <w:qFormat/>
    <w:uiPriority w:val="99"/>
    <w:pPr>
      <w:widowControl w:val="0"/>
      <w:jc w:val="center"/>
    </w:pPr>
    <w:tblPr>
      <w:tblBorders>
        <w:top w:val="single" w:color="auto" w:sz="4" w:space="0"/>
        <w:bottom w:val="single" w:color="auto" w:sz="4" w:space="0"/>
        <w:insideH w:val="single" w:color="auto" w:sz="4" w:space="0"/>
        <w:insideV w:val="single" w:color="auto" w:sz="4" w:space="0"/>
      </w:tblBorders>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8" Type="http://schemas.openxmlformats.org/officeDocument/2006/relationships/fontTable" Target="fontTable.xml"/><Relationship Id="rId77" Type="http://schemas.openxmlformats.org/officeDocument/2006/relationships/customXml" Target="../customXml/item3.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3.xml"/><Relationship Id="rId69" Type="http://schemas.openxmlformats.org/officeDocument/2006/relationships/image" Target="media/image54.jpeg"/><Relationship Id="rId68" Type="http://schemas.openxmlformats.org/officeDocument/2006/relationships/image" Target="media/image53.jpe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jpe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header" Target="header2.xml"/><Relationship Id="rId49" Type="http://schemas.openxmlformats.org/officeDocument/2006/relationships/image" Target="media/image34.jpeg"/><Relationship Id="rId48" Type="http://schemas.openxmlformats.org/officeDocument/2006/relationships/image" Target="media/image33.wmf"/><Relationship Id="rId47" Type="http://schemas.openxmlformats.org/officeDocument/2006/relationships/image" Target="media/image32.wmf"/><Relationship Id="rId46" Type="http://schemas.openxmlformats.org/officeDocument/2006/relationships/image" Target="media/image31.wmf"/><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jpe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wmf"/><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wmf"/><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26d75945-b7ae-4381-90b3-b72fb15be3f0</errorID>
      <errorWord>二零二</errorWord>
      <group>L1_Word</group>
      <groupName>字词问题</groupName>
      <ability>L2_Alias</ability>
      <abilityName>也作/曾用词</abilityName>
      <candidateList>
        <item>二○二</item>
      </candidateList>
      <explain>词汇[二零二]为不规范表述或旧称，其规范书面表述为[二○二]。</explain>
      <paraID> 46EFE1A</paraID>
      <start>5</start>
      <end>8</end>
      <status>unmodified</status>
      <modifiedWord/>
      <trackRevisions>false</trackRevisions>
    </reviewItem>
    <reviewItem>
      <errorID>88b67211-9de7-410c-98fb-1205f4d82471</errorID>
      <errorWord>加</errorWord>
      <group>L1_Word</group>
      <groupName>字词问题</groupName>
      <ability>L2_Typo</ability>
      <abilityName>字词错误</abilityName>
      <candidateList>
        <item>加大</item>
      </candidateList>
      <explain/>
      <paraID>1803EDC6</paraID>
      <start>18</start>
      <end>19</end>
      <status>unmodified</status>
      <modifiedWord/>
      <trackRevisions>false</trackRevisions>
    </reviewItem>
    <reviewItem>
      <errorID>1f1faa52-3311-4641-a205-80d658d824a7</errorID>
      <errorWord>１</errorWord>
      <group>L1_Format</group>
      <groupName>格式问题</groupName>
      <ability>L2_HalfPunc</ability>
      <abilityName>全半角检查</abilityName>
      <candidateList>
        <item>1</item>
      </candidateList>
      <explain>文本全半角错误。</explain>
      <paraID>1803EDC6</paraID>
      <start>165</start>
      <end>166</end>
      <status>ignored</status>
      <modifiedWord/>
      <trackRevisions>false</trackRevisions>
    </reviewItem>
    <reviewItem>
      <errorID>f817c7de-59c8-478a-99dc-8ce84bdf2a53</errorID>
      <errorWord>１</errorWord>
      <group>L1_Format</group>
      <groupName>格式问题</groupName>
      <ability>L2_HalfPunc</ability>
      <abilityName>全半角检查</abilityName>
      <candidateList>
        <item>1</item>
      </candidateList>
      <explain>文本全半角错误。</explain>
      <paraID>1803EDC6</paraID>
      <start>202</start>
      <end>203</end>
      <status>ignored</status>
      <modifiedWord/>
      <trackRevisions>false</trackRevisions>
    </reviewItem>
    <reviewItem>
      <errorID>1fbacab6-6412-4731-b187-0357d19dc7d7</errorID>
      <errorWord>、以及</errorWord>
      <group>L1_Punc</group>
      <groupName>标点问题</groupName>
      <ability>L2_Punc</ability>
      <abilityName>标点符号检查</abilityName>
      <candidateList>
        <item>，以及</item>
      </candidateList>
      <explain>连接词前后不宜使用顿号，建议使用逗号。</explain>
      <paraID>402FFE3A</paraID>
      <start>151</start>
      <end>154</end>
      <status>unmodified</status>
      <modifiedWord/>
      <trackRevisions>false</trackRevisions>
    </reviewItem>
    <reviewItem>
      <errorID>b41d1c2d-bdcc-4092-a7c9-773a89a5d242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77B2DC2F</paraID>
      <start>18</start>
      <end>19</end>
      <status>ignored</status>
      <modifiedWord/>
      <trackRevisions>false</trackRevisions>
    </reviewItem>
    <reviewItem>
      <errorID>c466f2bd-bd25-4864-868e-341c26ef12d4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77B2DC2F</paraID>
      <start>42</start>
      <end>43</end>
      <status>ignored</status>
      <modifiedWord/>
      <trackRevisions>false</trackRevisions>
    </reviewItem>
    <reviewItem>
      <errorID>01bdc5bd-ba0d-43bf-a8c3-7b6cec15a523</errorID>
      <errorWord>[2018]第24号</errorWord>
      <group>L1_Knowledge</group>
      <groupName>知识性问题</groupName>
      <ability>L2_Knowledge</ability>
      <abilityName>其他知识</abilityName>
      <candidateList>
        <item>〔2018〕24号</item>
      </candidateList>
      <explain>发文字号格式错误。</explain>
      <paraID>62C78023</paraID>
      <start>77</start>
      <end>87</end>
      <status>unmodified</status>
      <modifiedWord/>
      <trackRevisions>false</trackRevisions>
    </reviewItem>
    <reviewItem>
      <errorID>0726863c-1247-4c28-bc5e-33e2e8e8795e</errorID>
      <errorWord>[2019]910号</errorWord>
      <group>L1_Knowledge</group>
      <groupName>知识性问题</groupName>
      <ability>L2_Knowledge</ability>
      <abilityName>其他知识</abilityName>
      <candidateList>
        <item>〔2019〕910号</item>
      </candidateList>
      <explain>发文字号格式错误。</explain>
      <paraID>62C78023</paraID>
      <start>171</start>
      <end>181</end>
      <status>unmodified</status>
      <modifiedWord/>
      <trackRevisions>false</trackRevisions>
    </reviewItem>
    <reviewItem>
      <errorID>dea82ec9-37bf-45f1-914d-8a93ef748dde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1EC72DEE</paraID>
      <start>21</start>
      <end>22</end>
      <status>ignored</status>
      <modifiedWord/>
      <trackRevisions>false</trackRevisions>
    </reviewItem>
    <reviewItem>
      <errorID>c310054a-05f1-4823-b270-a13244ad4449</errorID>
      <errorWord>位于位于</errorWord>
      <group>L1_Word</group>
      <groupName>字词问题</groupName>
      <ability>L2_Typo</ability>
      <abilityName>字词错误</abilityName>
      <candidateList>
        <item>位于</item>
      </candidateList>
      <explain/>
      <paraID>4B7C6DFB</paraID>
      <start>3</start>
      <end>7</end>
      <status>unmodified</status>
      <modifiedWord/>
      <trackRevisions>false</trackRevisions>
    </reviewItem>
    <reviewItem>
      <errorID>c4a6086e-02d4-4e4a-b9ae-75a0b6c68e40</errorID>
      <errorWord>期</errorWord>
      <group>L1_Word</group>
      <groupName>字词问题</groupName>
      <ability>L2_Typo</ability>
      <abilityName>字词错误</abilityName>
      <candidateList>
        <item>期间</item>
      </candidateList>
      <explain>〈名〉某个时期里面：农忙～｜春节～｜抗战～。</explain>
      <paraID>40E1599F</paraID>
      <start>2</start>
      <end>3</end>
      <status>ignored</status>
      <modifiedWord/>
      <trackRevisions>false</trackRevisions>
    </reviewItem>
    <reviewItem>
      <errorID>19263428-e90a-45db-b210-ac9faddf2724</errorID>
      <errorWord>座井</errorWord>
      <group>L1_Knowledge</group>
      <groupName>知识性问题</groupName>
      <ability>L2_Knowledge</ability>
      <abilityName>其他知识</abilityName>
      <candidateList>
        <item>井井</item>
      </candidateList>
      <explain/>
      <paraID>40E1599F</paraID>
      <start>28</start>
      <end>30</end>
      <status>unmodified</status>
      <modifiedWord/>
      <trackRevisions>false</trackRevisions>
    </reviewItem>
    <reviewItem>
      <errorID>82bee43f-3fd4-4dde-8a37-30639686e4ca</errorID>
      <errorWord>１</errorWord>
      <group>L1_Format</group>
      <groupName>格式问题</groupName>
      <ability>L2_HalfPunc</ability>
      <abilityName>全半角检查</abilityName>
      <candidateList>
        <item>1</item>
      </candidateList>
      <explain>文本全半角错误。</explain>
      <paraID>40E1599F</paraID>
      <start>41</start>
      <end>42</end>
      <status>ignored</status>
      <modifiedWord/>
      <trackRevisions>false</trackRevisions>
    </reviewItem>
    <reviewItem>
      <errorID>a5c85850-753c-4a72-8f07-34e751a1b98c</errorID>
      <errorWord>１</errorWord>
      <group>L1_Format</group>
      <groupName>格式问题</groupName>
      <ability>L2_HalfPunc</ability>
      <abilityName>全半角检查</abilityName>
      <candidateList>
        <item>1</item>
      </candidateList>
      <explain>文本全半角错误。</explain>
      <paraID>40E1599F</paraID>
      <start>65</start>
      <end>66</end>
      <status>ignored</status>
      <modifiedWord/>
      <trackRevisions>false</trackRevisions>
    </reviewItem>
    <reviewItem>
      <errorID>7fe0318e-5cd7-4952-a01b-769397f463a3</errorID>
      <errorWord>期</errorWord>
      <group>L1_Word</group>
      <groupName>字词问题</groupName>
      <ability>L2_Typo</ability>
      <abilityName>字词错误</abilityName>
      <candidateList>
        <item>期间</item>
      </candidateList>
      <explain>〈名〉某个时期里面：农忙～｜春节～｜抗战～。</explain>
      <paraID>6873C178</paraID>
      <start>2</start>
      <end>3</end>
      <status>ignored</status>
      <modifiedWord/>
      <trackRevisions>false</trackRevisions>
    </reviewItem>
    <reviewItem>
      <errorID>f1272039-6ba8-40c2-bf93-aa6f6758b978</errorID>
      <errorWord>噪音</errorWord>
      <group>L1_Word</group>
      <groupName>字词问题</groupName>
      <ability>L2_Alias</ability>
      <abilityName>也作/曾用词</abilityName>
      <candidateList>
        <item>噪声</item>
      </candidateList>
      <explain>词汇[噪音]为不规范表述或旧称，其规范书面表述为[噪声]。</explain>
      <paraID>675B086F</paraID>
      <start>71</start>
      <end>73</end>
      <status>unmodified</status>
      <modifiedWord/>
      <trackRevisions>false</trackRevisions>
    </reviewItem>
    <reviewItem>
      <errorID>09c67981-0b46-4f32-a657-1815c7ed64d0</errorID>
      <errorWord>期</errorWord>
      <group>L1_Word</group>
      <groupName>字词问题</groupName>
      <ability>L2_Typo</ability>
      <abilityName>字词错误</abilityName>
      <candidateList>
        <item>期间</item>
      </candidateList>
      <explain>〈名〉某个时期里面：农忙～｜春节～｜抗战～。</explain>
      <paraID>23808EE6</paraID>
      <start>2</start>
      <end>3</end>
      <status>ignored</status>
      <modifiedWord/>
      <trackRevisions>false</trackRevisions>
    </reviewItem>
    <reviewItem>
      <errorID>ac8d798f-0931-422e-a5f1-c51d6a3d0b70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23808EE6</paraID>
      <start>110</start>
      <end>111</end>
      <status>ignored</status>
      <modifiedWord/>
      <trackRevisions>false</trackRevisions>
    </reviewItem>
    <reviewItem>
      <errorID>0c13a536-fd86-4ee4-a352-bb67aaf91b66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23808EE6</paraID>
      <start>223</start>
      <end>224</end>
      <status>ignored</status>
      <modifiedWord/>
      <trackRevisions>false</trackRevisions>
    </reviewItem>
    <reviewItem>
      <errorID>4eb4a12e-767c-4183-9d50-5e8be008f5ff</errorID>
      <errorWord>期</errorWord>
      <group>L1_Word</group>
      <groupName>字词问题</groupName>
      <ability>L2_Typo</ability>
      <abilityName>字词错误</abilityName>
      <candidateList>
        <item>期间</item>
      </candidateList>
      <explain>〈名〉某个时期里面：农忙～｜春节～｜抗战～。</explain>
      <paraID>23808EE6</paraID>
      <start>262</start>
      <end>263</end>
      <status>ignored</status>
      <modifiedWord/>
      <trackRevisions>false</trackRevisions>
    </reviewItem>
    <reviewItem>
      <errorID>b845c65c-b53e-4359-9a3f-87bddfd6712a</errorID>
      <errorWord>灌</errorWord>
      <group>L1_Word</group>
      <groupName>字词问题</groupName>
      <ability>L2_Typo</ability>
      <abilityName>字词错误</abilityName>
      <candidateList>
        <item>罐</item>
      </candidateList>
      <explain>存在发音相同字词的误用。</explain>
      <paraID>23808EE6</paraID>
      <start>278</start>
      <end>279</end>
      <status>unmodified</status>
      <modifiedWord/>
      <trackRevisions>false</trackRevisions>
    </reviewItem>
    <reviewItem>
      <errorID>c60fa604-a2f3-442e-9c7e-16daf40e8490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1A0C6F40</paraID>
      <start>81</start>
      <end>82</end>
      <status>ignored</status>
      <modifiedWord/>
      <trackRevisions>false</trackRevisions>
    </reviewItem>
    <reviewItem>
      <errorID>90ab79d5-bce4-4ecb-adf7-850f22f6bfb1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1A0C6F40</paraID>
      <start>148</start>
      <end>149</end>
      <status>ignored</status>
      <modifiedWord/>
      <trackRevisions>false</trackRevisions>
    </reviewItem>
    <reviewItem>
      <errorID>a78fd4b8-17e6-4cfa-8590-961791a102ea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3A79DAD2</paraID>
      <start>114</start>
      <end>115</end>
      <status>ignored</status>
      <modifiedWord/>
      <trackRevisions>false</trackRevisions>
    </reviewItem>
    <reviewItem>
      <errorID>71c84b00-d518-4376-babb-798f43aef512</errorID>
      <errorWord>设</errorWord>
      <group>L1_Word</group>
      <groupName>字词问题</groupName>
      <ability>L2_Typo</ability>
      <abilityName>字词错误</abilityName>
      <candidateList>
        <item>设置</item>
      </candidateList>
      <explain>〈动〉❶设立：这座剧院是为儿童～的。❷安放；安装：～障碍。</explain>
      <paraID>3A79DAD2</paraID>
      <start>128</start>
      <end>129</end>
      <status>unmodified</status>
      <modifiedWord/>
      <trackRevisions>false</trackRevisions>
    </reviewItem>
    <reviewItem>
      <errorID>545605dc-9888-4959-8190-63421b0a5b1e</errorID>
      <errorWord>燃气中</errorWord>
      <group>L1_Word</group>
      <groupName>字词问题</groupName>
      <ability>L2_Typo</ability>
      <abilityName>字词错误</abilityName>
      <candidateList>
        <item>燃气</item>
      </candidateList>
      <explain/>
      <paraID>6C7A13B7</paraID>
      <start>178</start>
      <end>181</end>
      <status>unmodified</status>
      <modifiedWord/>
      <trackRevisions>false</trackRevisions>
    </reviewItem>
    <reviewItem>
      <errorID>6dc5108c-bb50-4026-a62d-41e7b04e26cb</errorID>
      <errorWord>(</errorWord>
      <group>L1_Format</group>
      <groupName>格式问题</groupName>
      <ability>L2_HalfPunc</ability>
      <abilityName>全半角检查</abilityName>
      <candidateList>
        <item>（</item>
      </candidateList>
      <explain>文本全半角错误。</explain>
      <paraID>6C7A13B7</paraID>
      <start>350</start>
      <end>351</end>
      <status>ignored</status>
      <modifiedWord/>
      <trackRevisions>false</trackRevisions>
    </reviewItem>
    <reviewItem>
      <errorID>91a69a15-20ed-4a12-bef8-5a3b5204f7ae</errorID>
      <errorWord>)</errorWord>
      <group>L1_Format</group>
      <groupName>格式问题</groupName>
      <ability>L2_HalfPunc</ability>
      <abilityName>全半角检查</abilityName>
      <candidateList>
        <item>）</item>
      </candidateList>
      <explain>文本全半角错误。</explain>
      <paraID>6C7A13B7</paraID>
      <start>364</start>
      <end>365</end>
      <status>ignored</status>
      <modifiedWord/>
      <trackRevisions>false</trackRevisions>
    </reviewItem>
    <reviewItem>
      <errorID>d3fac9d3-a371-482d-ad59-ffa5b8b6d496</errorID>
      <errorWord>(</errorWord>
      <group>L1_Format</group>
      <groupName>格式问题</groupName>
      <ability>L2_HalfPunc</ability>
      <abilityName>全半角检查</abilityName>
      <candidateList>
        <item>（</item>
      </candidateList>
      <explain>文本全半角错误。</explain>
      <paraID>4E074A54</paraID>
      <start>202</start>
      <end>203</end>
      <status>ignored</status>
      <modifiedWord/>
      <trackRevisions>false</trackRevisions>
    </reviewItem>
    <reviewItem>
      <errorID>a667798a-0765-4aee-8e70-2a4bb743e02c</errorID>
      <errorWord>)</errorWord>
      <group>L1_Format</group>
      <groupName>格式问题</groupName>
      <ability>L2_HalfPunc</ability>
      <abilityName>全半角检查</abilityName>
      <candidateList>
        <item>）</item>
      </candidateList>
      <explain>文本全半角错误。</explain>
      <paraID>4E074A54</paraID>
      <start>216</start>
      <end>217</end>
      <status>ignored</status>
      <modifiedWord/>
      <trackRevisions>false</trackRevisions>
    </reviewItem>
    <reviewItem>
      <errorID>10210c75-f940-48a9-9b9c-14ea1745de92</errorID>
      <errorWord>减震</errorWord>
      <group>L1_Word</group>
      <groupName>字词问题</groupName>
      <ability>L2_Typo</ability>
      <abilityName>字词错误</abilityName>
      <candidateList>
        <item>减振</item>
      </candidateList>
      <explain>存在发音相同字词的误用。</explain>
      <paraID> FC5AC10</paraID>
      <start>63</start>
      <end>65</end>
      <status>unmodified</status>
      <modifiedWord/>
      <trackRevisions>false</trackRevisions>
    </reviewItem>
    <reviewItem>
      <errorID>bb841ebf-bf15-4bfb-b9e4-fb0425a82324</errorID>
      <errorWord>期</errorWord>
      <group>L1_Word</group>
      <groupName>字词问题</groupName>
      <ability>L2_Typo</ability>
      <abilityName>字词错误</abilityName>
      <candidateList>
        <item>期间</item>
      </candidateList>
      <explain>〈名〉某个时期里面：农忙～｜春节～｜抗战～。</explain>
      <paraID>26A39C4B</paraID>
      <start>73</start>
      <end>74</end>
      <status>ignored</status>
      <modifiedWord/>
      <trackRevisions>false</trackRevisions>
    </reviewItem>
    <reviewItem>
      <errorID>d623d116-152d-417b-bc81-bf3cc04796db</errorID>
      <errorWord>[2018]第24号</errorWord>
      <group>L1_Knowledge</group>
      <groupName>知识性问题</groupName>
      <ability>L2_Knowledge</ability>
      <abilityName>其他知识</abilityName>
      <candidateList>
        <item>〔2018〕24号</item>
      </candidateList>
      <explain>发文字号格式错误。</explain>
      <paraID>3F53FF4A</paraID>
      <start>123</start>
      <end>133</end>
      <status>unmodified</status>
      <modifiedWord/>
      <trackRevisions>false</trackRevisions>
    </reviewItem>
    <reviewItem>
      <errorID>68570ed0-23e2-433e-80b5-0ae3ac8755f8</errorID>
      <errorWord>〔2018〕第4号</errorWord>
      <group>L1_Knowledge</group>
      <groupName>知识性问题</groupName>
      <ability>L2_Knowledge</ability>
      <abilityName>其他知识</abilityName>
      <candidateList>
        <item>〔2018〕4号</item>
      </candidateList>
      <explain>发文字号格式错误。</explain>
      <paraID>3F53FF4A</paraID>
      <start>166</start>
      <end>175</end>
      <status>unmodified</status>
      <modifiedWord/>
      <trackRevisions>false</trackRevisions>
    </reviewItem>
    <reviewItem>
      <errorID>8e318688-561c-46a9-8e41-d6839c72ae5a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3F53FF4A</paraID>
      <start>315</start>
      <end>316</end>
      <status>unmodified</status>
      <modifiedWord/>
      <trackRevisions>false</trackRevisions>
    </reviewItem>
    <reviewItem>
      <errorID>24d531ce-d0b5-435f-bee8-f16b8a612976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3F53FF4A</paraID>
      <start>412</start>
      <end>413</end>
      <status>unmodified</status>
      <modifiedWord/>
      <trackRevisions>false</trackRevisions>
    </reviewItem>
    <reviewItem>
      <errorID>af98a6a6-951f-4832-819e-6b0493b44a57</errorID>
      <errorWord>，</errorWord>
      <group>L1_Word</group>
      <groupName>字词问题</groupName>
      <ability>L2_Typo</ability>
      <abilityName>字词错误</abilityName>
      <candidateList>
        <item>，在</item>
      </candidateList>
      <explain/>
      <paraID>3F53FF4A</paraID>
      <start>568</start>
      <end>569</end>
      <status>unmodified</status>
      <modifiedWord/>
      <trackRevisions>false</trackRevisions>
    </reviewItem>
    <reviewItem>
      <errorID>b9d71558-3944-4ee2-bf65-6f71b57b4ccb</errorID>
      <errorWord>[2023]第7号</errorWord>
      <group>L1_Knowledge</group>
      <groupName>知识性问题</groupName>
      <ability>L2_Knowledge</ability>
      <abilityName>其他知识</abilityName>
      <candidateList>
        <item>〔2023〕7号</item>
      </candidateList>
      <explain>发文字号格式错误。</explain>
      <paraID>3EEE8FDB</paraID>
      <start>46</start>
      <end>55</end>
      <status>unmodified</status>
      <modifiedWord/>
      <trackRevisions>false</trackRevisions>
    </reviewItem>
    <reviewItem>
      <errorID>452c899c-2420-4356-8a24-65a516dc8959</errorID>
      <errorWord>…等</errorWord>
      <group>L1_Punc</group>
      <groupName>标点问题</groupName>
      <ability>L2_Punc</ability>
      <abilityName>标点符号检查</abilityName>
      <candidateList>
        <item>等</item>
      </candidateList>
      <explain>〈助〉❶〈书〉用在人称代词或指人的名词后面，表示复数：我～｜彼～。❷表示列举未尽（可以叠用）：北京、天津～地｜纸张文具～～。❸列举后煞尾：长江、黄河、黑龙江、珠江～四大河流。</explain>
      <paraID>554EB484</paraID>
      <start>76</start>
      <end>78</end>
      <status>unmodified</status>
      <modifiedWord/>
      <trackRevisions>false</trackRevisions>
    </reviewItem>
    <reviewItem>
      <errorID>4c7b5774-2081-4732-ab7e-3d0b3920a006</errorID>
      <errorWord>-</errorWord>
      <group>L1_Format</group>
      <groupName>格式问题</groupName>
      <ability>L2_HalfPunc</ability>
      <abilityName>全半角检查</abilityName>
      <candidateList>
        <item>－</item>
      </candidateList>
      <explain>文本全半角错误。</explain>
      <paraID> 17B6B40</paraID>
      <start>80</start>
      <end>81</end>
      <status>unmodified</status>
      <modifiedWord/>
      <trackRevisions>false</trackRevisions>
    </reviewItem>
    <reviewItem>
      <errorID>47fdda48-07fd-498d-8fde-78bb560bf470</errorID>
      <errorWord>-</errorWord>
      <group>L1_Format</group>
      <groupName>格式问题</groupName>
      <ability>L2_HalfPunc</ability>
      <abilityName>全半角检查</abilityName>
      <candidateList>
        <item>－</item>
      </candidateList>
      <explain>文本全半角错误。</explain>
      <paraID> 17B6B40</paraID>
      <start>83</start>
      <end>84</end>
      <status>unmodified</status>
      <modifiedWord/>
      <trackRevisions>false</trackRevisions>
    </reviewItem>
    <reviewItem>
      <errorID>63cc9290-9e71-4309-8f67-21b2b4269d28</errorID>
      <errorWord>〔2019〕第32号</errorWord>
      <group>L1_Knowledge</group>
      <groupName>知识性问题</groupName>
      <ability>L2_Knowledge</ability>
      <abilityName>其他知识</abilityName>
      <candidateList>
        <item>〔2019〕32号</item>
      </candidateList>
      <explain>发文字号格式错误。</explain>
      <paraID> C9C5EC9</paraID>
      <start>284</start>
      <end>294</end>
      <status>unmodified</status>
      <modifiedWord/>
      <trackRevisions>false</trackRevisions>
    </reviewItem>
    <reviewItem>
      <errorID>a8d9786a-3e34-4073-9c60-1a2b35b4a073</errorID>
      <errorWord>符合的</errorWord>
      <group>L1_Word</group>
      <groupName>字词问题</groupName>
      <ability>L2_Typo</ability>
      <abilityName>字词错误</abilityName>
      <candidateList>
        <item>符合</item>
      </candidateList>
      <explain>〈动〉（数量、形状、情节等）相合：～事实｜这些产品不～质量标准。</explain>
      <paraID> C9C5EC9</paraID>
      <start>462</start>
      <end>465</end>
      <status>unmodified</status>
      <modifiedWord/>
      <trackRevisions>false</trackRevisions>
    </reviewItem>
    <reviewItem>
      <errorID>33f0d04a-b1ca-45b6-9ef1-c0030e2b95f8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27FE9256</paraID>
      <start>79</start>
      <end>80</end>
      <status>ignored</status>
      <modifiedWord/>
      <trackRevisions>false</trackRevisions>
    </reviewItem>
    <reviewItem>
      <errorID>1a425431-de3d-436c-b9c8-7f67a563950c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27FE9256</paraID>
      <start>119</start>
      <end>120</end>
      <status>ignored</status>
      <modifiedWord/>
      <trackRevisions>false</trackRevisions>
    </reviewItem>
    <reviewItem>
      <errorID>fc2037e9-8c01-4609-ae14-1906fef375fb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27FE9256</paraID>
      <start>249</start>
      <end>250</end>
      <status>ignored</status>
      <modifiedWord/>
      <trackRevisions>false</trackRevisions>
    </reviewItem>
    <reviewItem>
      <errorID>ddfe7642-e1e2-4b63-b3c3-87b66fd3f64e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27FE9256</paraID>
      <start>289</start>
      <end>290</end>
      <status>ignored</status>
      <modifiedWord/>
      <trackRevisions>false</trackRevisions>
    </reviewItem>
    <reviewItem>
      <errorID>c33b4205-8c6b-46b9-a305-ed5db723f8e9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22999033</paraID>
      <start>21</start>
      <end>22</end>
      <status>ignored</status>
      <modifiedWord/>
      <trackRevisions>false</trackRevisions>
    </reviewItem>
    <reviewItem>
      <errorID>14b0f245-9e48-4e57-9fa9-5f6733aac8e0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783DB9E8</paraID>
      <start>19</start>
      <end>20</end>
      <status>ignored</status>
      <modifiedWord/>
      <trackRevisions>false</trackRevisions>
    </reviewItem>
    <reviewItem>
      <errorID>3d886b0d-8aea-42e3-895d-655591b4d91a</errorID>
      <errorWord>，</errorWord>
      <group>L1_Word</group>
      <groupName>字词问题</groupName>
      <ability>L2_Typo</ability>
      <abilityName>字词错误</abilityName>
      <candidateList>
        <item>，根</item>
      </candidateList>
      <explain/>
      <paraID>783DB9E8</paraID>
      <start>157</start>
      <end>158</end>
      <status>unmodified</status>
      <modifiedWord/>
      <trackRevisions>false</trackRevisions>
    </reviewItem>
    <reviewItem>
      <errorID>1b7d5c50-1cb7-4a96-95e1-9c1e121dd483</errorID>
      <errorWord>地址</errorWord>
      <group>L1_Word</group>
      <groupName>字词问题</groupName>
      <ability>L2_Typo</ability>
      <abilityName>字词错误</abilityName>
      <candidateList>
        <item>地质</item>
      </candidateList>
      <explain/>
      <paraID>783DB9E8</paraID>
      <start>161</start>
      <end>163</end>
      <status>unmodified</status>
      <modifiedWord/>
      <trackRevisions>false</trackRevisions>
    </reviewItem>
    <reviewItem>
      <errorID>5854c1b4-6ee6-4eff-900d-2753d6e4a96b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783DB9E8</paraID>
      <start>504</start>
      <end>505</end>
      <status>ignored</status>
      <modifiedWord/>
      <trackRevisions>false</trackRevisions>
    </reviewItem>
    <reviewItem>
      <errorID>2e644ac4-7ff0-485d-b08e-80351e4c6f26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7AD7B822</paraID>
      <start>21</start>
      <end>22</end>
      <status>ignored</status>
      <modifiedWord/>
      <trackRevisions>false</trackRevisions>
    </reviewItem>
    <reviewItem>
      <errorID>41408c4b-1341-4036-ace2-f24211e88b1d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73120120</paraID>
      <start>19</start>
      <end>20</end>
      <status>ignored</status>
      <modifiedWord/>
      <trackRevisions>false</trackRevisions>
    </reviewItem>
    <reviewItem>
      <errorID>841f4d48-03b6-46d1-84e3-9f671aae7b7c</errorID>
      <errorWord>占地在</errorWord>
      <group>L1_Word</group>
      <groupName>字词问题</groupName>
      <ability>L2_Typo</ability>
      <abilityName>字词错误</abilityName>
      <candidateList>
        <item>占地</item>
      </candidateList>
      <explain/>
      <paraID>73120120</paraID>
      <start>325</start>
      <end>328</end>
      <status>unmodified</status>
      <modifiedWord/>
      <trackRevisions>false</trackRevisions>
    </reviewItem>
    <reviewItem>
      <errorID>c83993fd-577a-4c81-9254-c371d9852be7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73120120</paraID>
      <start>393</start>
      <end>394</end>
      <status>ignored</status>
      <modifiedWord/>
      <trackRevisions>false</trackRevisions>
    </reviewItem>
    <reviewItem>
      <errorID>ffbe9876-b752-43be-8adf-a4435d471890</errorID>
      <errorWord>二O三五</errorWord>
      <group>L1_Knowledge</group>
      <groupName>知识性问题</groupName>
      <ability>L2_Knowledge</ability>
      <abilityName>其他知识</abilityName>
      <candidateList>
        <item>二〇三五</item>
      </candidateList>
      <explain/>
      <paraID>2E00A1F2</paraID>
      <start>22</start>
      <end>26</end>
      <status>unmodified</status>
      <modifiedWord/>
      <trackRevisions>false</trackRevisions>
    </reviewItem>
    <reviewItem>
      <errorID>081e3194-f9fd-40f7-96fa-0b378a11a175</errorID>
      <errorWord>二O三五</errorWord>
      <group>L1_Knowledge</group>
      <groupName>知识性问题</groupName>
      <ability>L2_Knowledge</ability>
      <abilityName>其他知识</abilityName>
      <candidateList>
        <item>二〇三五</item>
      </candidateList>
      <explain/>
      <paraID>10BA2A87</paraID>
      <start>107</start>
      <end>111</end>
      <status>unmodified</status>
      <modifiedWord/>
      <trackRevisions>false</trackRevisions>
    </reviewItem>
    <reviewItem>
      <errorID>dab6a35b-38ff-493f-b72b-b7b8dbf537c4</errorID>
      <errorWord>城乡结合部</errorWord>
      <group>L1_Knowledge</group>
      <groupName>知识性问题</groupName>
      <ability>L2_Knowledge</ability>
      <abilityName>其他知识</abilityName>
      <candidateList>
        <item>城乡接合部</item>
      </candidateList>
      <explain/>
      <paraID>7075422C</paraID>
      <start>67</start>
      <end>72</end>
      <status>unmodified</status>
      <modifiedWord/>
      <trackRevisions>false</trackRevisions>
    </reviewItem>
    <reviewItem>
      <errorID>014dbaf9-eb15-4470-bc72-5b9b468a0263</errorID>
      <errorWord>，</errorWord>
      <group>L1_Word</group>
      <groupName>字词问题</groupName>
      <ability>L2_Typo</ability>
      <abilityName>字词错误</abilityName>
      <candidateList>
        <item>，对</item>
      </candidateList>
      <explain/>
      <paraID>7075422C</paraID>
      <start>83</start>
      <end>84</end>
      <status>unmodified</status>
      <modifiedWord/>
      <trackRevisions>false</trackRevisions>
    </reviewItem>
    <reviewItem>
      <errorID>23dd9fd0-4a09-41e5-be6f-84014a11623f</errorID>
      <errorWord>（</errorWord>
      <group>L1_Punc</group>
      <groupName>标点问题</groupName>
      <ability>L2_Punc</ability>
      <abilityName>标点符号检查</abilityName>
      <candidateList/>
      <explain>同一形式括号套用。</explain>
      <paraID>290EAE16</paraID>
      <start>82</start>
      <end>83</end>
      <status>ignored</status>
      <modifiedWord/>
      <trackRevisions>false</trackRevisions>
    </reviewItem>
    <reviewItem>
      <errorID>feb0ed02-8cb6-4910-80eb-64e204d0057f</errorID>
      <errorWord>）</errorWord>
      <group>L1_Punc</group>
      <groupName>标点问题</groupName>
      <ability>L2_Punc</ability>
      <abilityName>标点符号检查</abilityName>
      <candidateList/>
      <explain>同一形式括号套用。</explain>
      <paraID>290EAE16</paraID>
      <start>84</start>
      <end>85</end>
      <status>ignored</status>
      <modifiedWord/>
      <trackRevisions>false</trackRevisions>
    </reviewItem>
    <reviewItem>
      <errorID>52afba28-2480-4f11-9edd-6686a1c6e72e</errorID>
      <errorWord>（</errorWord>
      <group>L1_Punc</group>
      <groupName>标点问题</groupName>
      <ability>L2_Punc</ability>
      <abilityName>标点符号检查</abilityName>
      <candidateList/>
      <explain>同一形式括号套用。</explain>
      <paraID>290EAE16</paraID>
      <start>92</start>
      <end>93</end>
      <status>ignored</status>
      <modifiedWord/>
      <trackRevisions>false</trackRevisions>
    </reviewItem>
    <reviewItem>
      <errorID>6ba6f41f-0979-47e4-b123-59be796b504b</errorID>
      <errorWord>）</errorWord>
      <group>L1_Punc</group>
      <groupName>标点问题</groupName>
      <ability>L2_Punc</ability>
      <abilityName>标点符号检查</abilityName>
      <candidateList/>
      <explain>同一形式括号套用。</explain>
      <paraID>290EAE16</paraID>
      <start>94</start>
      <end>95</end>
      <status>ignored</status>
      <modifiedWord/>
      <trackRevisions>false</trackRevisions>
    </reviewItem>
    <reviewItem>
      <errorID>b88ab1fa-b900-4eb3-ad01-65367699bdf4</errorID>
      <errorWord>划</errorWord>
      <group>L1_Word</group>
      <groupName>字词问题</groupName>
      <ability>L2_Typo</ability>
      <abilityName>字词错误</abilityName>
      <candidateList>
        <item>划规</item>
      </candidateList>
      <explain/>
      <paraID>40DB6DEE</paraID>
      <start>36</start>
      <end>37</end>
      <status>unmodified</status>
      <modifiedWord/>
      <trackRevisions>false</trackRevisions>
    </reviewItem>
    <reviewItem>
      <errorID>54570819-0455-4086-a73f-6a55b214f0ea</errorID>
      <errorWord>城乡结合部</errorWord>
      <group>L1_Knowledge</group>
      <groupName>知识性问题</groupName>
      <ability>L2_Knowledge</ability>
      <abilityName>其他知识</abilityName>
      <candidateList>
        <item>城乡接合部</item>
      </candidateList>
      <explain/>
      <paraID> F53DDFF</paraID>
      <start>67</start>
      <end>72</end>
      <status>unmodified</status>
      <modifiedWord/>
      <trackRevisions>false</trackRevisions>
    </reviewItem>
    <reviewItem>
      <errorID>65d292a7-49ce-4ebf-8887-3d0e534c8729</errorID>
      <errorWord>，</errorWord>
      <group>L1_Word</group>
      <groupName>字词问题</groupName>
      <ability>L2_Typo</ability>
      <abilityName>字词错误</abilityName>
      <candidateList>
        <item>，对</item>
      </candidateList>
      <explain/>
      <paraID> F53DDFF</paraID>
      <start>83</start>
      <end>84</end>
      <status>unmodified</status>
      <modifiedWord/>
      <trackRevisions>false</trackRevisions>
    </reviewItem>
    <reviewItem>
      <errorID>198e92fa-1a4d-4715-b8ac-ac8cefab3f8a</errorID>
      <errorWord>（</errorWord>
      <group>L1_Punc</group>
      <groupName>标点问题</groupName>
      <ability>L2_Punc</ability>
      <abilityName>标点符号检查</abilityName>
      <candidateList/>
      <explain>同一形式括号套用。</explain>
      <paraID>1CB07B9A</paraID>
      <start>82</start>
      <end>83</end>
      <status>ignored</status>
      <modifiedWord/>
      <trackRevisions>false</trackRevisions>
    </reviewItem>
    <reviewItem>
      <errorID>e5a2ddca-2a95-42b7-afbf-8d6be38763a3</errorID>
      <errorWord>）</errorWord>
      <group>L1_Punc</group>
      <groupName>标点问题</groupName>
      <ability>L2_Punc</ability>
      <abilityName>标点符号检查</abilityName>
      <candidateList/>
      <explain>同一形式括号套用。</explain>
      <paraID>1CB07B9A</paraID>
      <start>84</start>
      <end>85</end>
      <status>ignored</status>
      <modifiedWord/>
      <trackRevisions>false</trackRevisions>
    </reviewItem>
    <reviewItem>
      <errorID>5afbed53-0715-4d08-b38f-af2be5677743</errorID>
      <errorWord>（</errorWord>
      <group>L1_Punc</group>
      <groupName>标点问题</groupName>
      <ability>L2_Punc</ability>
      <abilityName>标点符号检查</abilityName>
      <candidateList/>
      <explain>同一形式括号套用。</explain>
      <paraID>1CB07B9A</paraID>
      <start>92</start>
      <end>93</end>
      <status>ignored</status>
      <modifiedWord/>
      <trackRevisions>false</trackRevisions>
    </reviewItem>
    <reviewItem>
      <errorID>fc1755e5-1502-473a-a519-89a273e83644</errorID>
      <errorWord>）</errorWord>
      <group>L1_Punc</group>
      <groupName>标点问题</groupName>
      <ability>L2_Punc</ability>
      <abilityName>标点符号检查</abilityName>
      <candidateList/>
      <explain>同一形式括号套用。</explain>
      <paraID>1CB07B9A</paraID>
      <start>94</start>
      <end>95</end>
      <status>ignored</status>
      <modifiedWord/>
      <trackRevisions>false</trackRevisions>
    </reviewItem>
    <reviewItem>
      <errorID>bdee3553-d8e1-4566-9d6c-d3ecdca0cb96</errorID>
      <errorWord>土</errorWord>
      <group>L1_Word</group>
      <groupName>字词问题</groupName>
      <ability>L2_Typo</ability>
      <abilityName>字词错误</abilityName>
      <candidateList>
        <item>土地</item>
      </candidateList>
      <explain/>
      <paraID>381200AF</paraID>
      <start>3</start>
      <end>4</end>
      <status>unmodified</status>
      <modifiedWord/>
      <trackRevisions>false</trackRevisions>
    </reviewItem>
    <reviewItem>
      <errorID>234b1f49-aece-4dff-bdcb-16036205a72f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78C4BC41</paraID>
      <start>33</start>
      <end>34</end>
      <status>ignored</status>
      <modifiedWord/>
      <trackRevisions>false</trackRevisions>
    </reviewItem>
    <reviewItem>
      <errorID>9a8b927a-2258-4e96-b0f4-0b33dc1fe53b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78C4BC41</paraID>
      <start>57</start>
      <end>58</end>
      <status>ignored</status>
      <modifiedWord/>
      <trackRevisions>false</trackRevisions>
    </reviewItem>
    <reviewItem>
      <errorID>fc325c80-14d4-4508-a855-35d8fc150b2a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181524E0</paraID>
      <start>20</start>
      <end>21</end>
      <status>ignored</status>
      <modifiedWord/>
      <trackRevisions>false</trackRevisions>
    </reviewItem>
    <reviewItem>
      <errorID>36cc1f1d-9df7-4a2b-a7a5-8e54fc116383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67517B1D</paraID>
      <start>18</start>
      <end>19</end>
      <status>ignored</status>
      <modifiedWord/>
      <trackRevisions>false</trackRevisions>
    </reviewItem>
    <reviewItem>
      <errorID>01d7c773-b6f1-41fe-9d08-38638c2a95c6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EF87337</paraID>
      <start>27</start>
      <end>28</end>
      <status>ignored</status>
      <modifiedWord/>
      <trackRevisions>false</trackRevisions>
    </reviewItem>
    <reviewItem>
      <errorID>0a020132-db8a-458d-bafb-dc380b57372a</errorID>
      <errorWord>免加</errorWord>
      <group>L1_Word</group>
      <groupName>字词问题</groupName>
      <ability>L2_Typo</ability>
      <abilityName>字词错误</abilityName>
      <candidateList>
        <item>免强</item>
      </candidateList>
      <explain/>
      <paraID>425CE383</paraID>
      <start>178</start>
      <end>180</end>
      <status>unmodified</status>
      <modifiedWord/>
      <trackRevisions>false</trackRevisions>
    </reviewItem>
    <reviewItem>
      <errorID>be6227ab-71ca-4832-b9b9-09a9839f2ceb</errorID>
      <errorWord>回覆</errorWord>
      <group>L1_Word</group>
      <groupName>字词问题</groupName>
      <ability>L2_Fanti</ability>
      <abilityName>繁转简</abilityName>
      <candidateList>
        <item>回复</item>
      </candidateList>
      <explain/>
      <paraID>2B2417A9</paraID>
      <start>56</start>
      <end>58</end>
      <status>unmodified</status>
      <modifiedWord/>
      <trackRevisions>false</trackRevisions>
    </reviewItem>
    <reviewItem>
      <errorID>d37ee7b8-7ca5-4c22-824d-ee5fb75b3b4d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47132AD1</paraID>
      <start>162</start>
      <end>163</end>
      <status>ignored</status>
      <modifiedWord/>
      <trackRevisions>false</trackRevisions>
    </reviewItem>
    <reviewItem>
      <errorID>7c7fde28-93a1-4e72-9e52-974ae229e40d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3ADB64AE</paraID>
      <start>20</start>
      <end>21</end>
      <status>ignored</status>
      <modifiedWord/>
      <trackRevisions>false</trackRevisions>
    </reviewItem>
    <reviewItem>
      <errorID>3c807478-c6cc-41ce-bc2c-e9ddedf67555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500EE797</paraID>
      <start>18</start>
      <end>19</end>
      <status>ignored</status>
      <modifiedWord/>
      <trackRevisions>false</trackRevisions>
    </reviewItem>
    <reviewItem>
      <errorID>022913c4-723d-4549-af1a-9d966645ec82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352A81E1</paraID>
      <start>32</start>
      <end>33</end>
      <status>ignored</status>
      <modifiedWord/>
      <trackRevisions>false</trackRevisions>
    </reviewItem>
    <reviewItem>
      <errorID>8f063b6b-b6b5-4c0a-982f-57e40ff60377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352A81E1</paraID>
      <start>56</start>
      <end>57</end>
      <status>unmodified</status>
      <modifiedWord/>
      <trackRevisions>false</trackRevisions>
    </reviewItem>
    <reviewItem>
      <errorID>1f9726e1-110b-4ec9-8410-68c669c19866</errorID>
      <errorWord>[2019]910号</errorWord>
      <group>L1_Knowledge</group>
      <groupName>知识性问题</groupName>
      <ability>L2_Knowledge</ability>
      <abilityName>其他知识</abilityName>
      <candidateList>
        <item>〔2019〕910号</item>
      </candidateList>
      <explain>发文字号格式错误。</explain>
      <paraID>3FAD6A8C</paraID>
      <start>41</start>
      <end>51</end>
      <status>unmodified</status>
      <modifiedWord/>
      <trackRevisions>false</trackRevisions>
    </reviewItem>
    <reviewItem>
      <errorID>ebbc1e7c-bf63-4a91-965a-8428611b5af1</errorID>
      <errorWord>[2019]910号</errorWord>
      <group>L1_Knowledge</group>
      <groupName>知识性问题</groupName>
      <ability>L2_Knowledge</ability>
      <abilityName>其他知识</abilityName>
      <candidateList>
        <item>〔2019〕910号</item>
      </candidateList>
      <explain>发文字号格式错误。</explain>
      <paraID>7ADD6202</paraID>
      <start>37</start>
      <end>47</end>
      <status>unmodified</status>
      <modifiedWord/>
      <trackRevisions>false</trackRevisions>
    </reviewItem>
    <reviewItem>
      <errorID>3d9453e9-fa73-4fd6-ae3b-7ecb20e9eb08</errorID>
      <errorWord>[2019]910号</errorWord>
      <group>L1_Knowledge</group>
      <groupName>知识性问题</groupName>
      <ability>L2_Knowledge</ability>
      <abilityName>其他知识</abilityName>
      <candidateList>
        <item>〔2019〕910号</item>
      </candidateList>
      <explain>发文字号格式错误。</explain>
      <paraID>1A05EF2C</paraID>
      <start>14</start>
      <end>24</end>
      <status>unmodified</status>
      <modifiedWord/>
      <trackRevisions>false</trackRevisions>
    </reviewItem>
    <reviewItem>
      <errorID>81332bbb-e59d-41cf-8c05-a2a9818f3c21</errorID>
      <errorWord>设施的</errorWord>
      <group>L1_Word</group>
      <groupName>字词问题</groupName>
      <ability>L2_Typo</ability>
      <abilityName>字词错误</abilityName>
      <candidateList>
        <item>设施</item>
      </candidateList>
      <explain/>
      <paraID>22CCEED4</paraID>
      <start>214</start>
      <end>217</end>
      <status>unmodified</status>
      <modifiedWord/>
      <trackRevisions>false</trackRevisions>
    </reviewItem>
    <reviewItem>
      <errorID>a83ea1c3-760c-4394-b6a5-c7ade79afec8</errorID>
      <errorWord>)</errorWord>
      <group>L1_Format</group>
      <groupName>格式问题</groupName>
      <ability>L2_HalfPunc</ability>
      <abilityName>全半角检查</abilityName>
      <candidateList>
        <item>）</item>
      </candidateList>
      <explain>文本全半角错误。</explain>
      <paraID>2FDF2DB2</paraID>
      <start>372</start>
      <end>373</end>
      <status>ignored</status>
      <modifiedWord/>
      <trackRevisions>false</trackRevisions>
    </reviewItem>
    <reviewItem>
      <errorID>d1509c79-d8f4-41e8-be91-fecadf83bfc1</errorID>
      <errorWord>集气站集气站</errorWord>
      <group>L1_Word</group>
      <groupName>字词问题</groupName>
      <ability>L2_Typo</ability>
      <abilityName>字词错误</abilityName>
      <candidateList>
        <item>集气站</item>
      </candidateList>
      <explain/>
      <paraID>1E26755D</paraID>
      <start>9</start>
      <end>15</end>
      <status>unmodified</status>
      <modifiedWord/>
      <trackRevisions>false</trackRevisions>
    </reviewItem>
    <reviewItem>
      <errorID>4246d071-1f5e-4b54-bde5-aabb1730fb4f</errorID>
      <errorWord>[2019]910号</errorWord>
      <group>L1_Knowledge</group>
      <groupName>知识性问题</groupName>
      <ability>L2_Knowledge</ability>
      <abilityName>其他知识</abilityName>
      <candidateList>
        <item>〔2019〕910号</item>
      </candidateList>
      <explain>发文字号格式错误。</explain>
      <paraID>303A215A</paraID>
      <start>44</start>
      <end>54</end>
      <status>unmodified</status>
      <modifiedWord/>
      <trackRevisions>false</trackRevisions>
    </reviewItem>
    <reviewItem>
      <errorID>6e442e1b-de0d-4d7d-9046-8eb6499b7277</errorID>
      <errorWord>(</errorWord>
      <group>L1_Format</group>
      <groupName>格式问题</groupName>
      <ability>L2_HalfPunc</ability>
      <abilityName>全半角检查</abilityName>
      <candidateList>
        <item>（</item>
      </candidateList>
      <explain>文本全半角错误。</explain>
      <paraID>4C62EBBD</paraID>
      <start>142</start>
      <end>143</end>
      <status>ignored</status>
      <modifiedWord/>
      <trackRevisions>false</trackRevisions>
    </reviewItem>
    <reviewItem>
      <errorID>95178cb3-ea34-42ce-bc95-66f0eb81bfc3</errorID>
      <errorWord>)</errorWord>
      <group>L1_Format</group>
      <groupName>格式问题</groupName>
      <ability>L2_HalfPunc</ability>
      <abilityName>全半角检查</abilityName>
      <candidateList>
        <item>）</item>
      </candidateList>
      <explain>文本全半角错误。</explain>
      <paraID>4C62EBBD</paraID>
      <start>156</start>
      <end>157</end>
      <status>ignored</status>
      <modifiedWord/>
      <trackRevisions>false</trackRevisions>
    </reviewItem>
    <reviewItem>
      <errorID>082c46ba-acc1-4247-962e-ecf35407f988</errorID>
      <errorWord>期</errorWord>
      <group>L1_Word</group>
      <groupName>字词问题</groupName>
      <ability>L2_Typo</ability>
      <abilityName>字词错误</abilityName>
      <candidateList>
        <item>期间</item>
      </candidateList>
      <explain>〈名〉某个时期里面：农忙～｜春节～｜抗战～。</explain>
      <paraID>132D097B</paraID>
      <start>119</start>
      <end>120</end>
      <status>ignored</status>
      <modifiedWord/>
      <trackRevisions>false</trackRevisions>
    </reviewItem>
    <reviewItem>
      <errorID>8555fdff-de66-456d-befa-9d945374e3d4</errorID>
      <errorWord>(</errorWord>
      <group>L1_Format</group>
      <groupName>格式问题</groupName>
      <ability>L2_HalfPunc</ability>
      <abilityName>全半角检查</abilityName>
      <candidateList>
        <item>（</item>
      </candidateList>
      <explain>文本全半角错误。</explain>
      <paraID> 6811D25</paraID>
      <start>141</start>
      <end>142</end>
      <status>ignored</status>
      <modifiedWord/>
      <trackRevisions>false</trackRevisions>
    </reviewItem>
    <reviewItem>
      <errorID>c8c8bbac-c25c-4a1b-b827-0856a8605093</errorID>
      <errorWord>)</errorWord>
      <group>L1_Format</group>
      <groupName>格式问题</groupName>
      <ability>L2_HalfPunc</ability>
      <abilityName>全半角检查</abilityName>
      <candidateList>
        <item>）</item>
      </candidateList>
      <explain>文本全半角错误。</explain>
      <paraID> 6811D25</paraID>
      <start>155</start>
      <end>156</end>
      <status>ignored</status>
      <modifiedWord/>
      <trackRevisions>false</trackRevisions>
    </reviewItem>
    <reviewItem>
      <errorID>dacdeb24-7541-45c2-af73-ca202e4462d6</errorID>
      <errorWord>）中</errorWord>
      <group>L1_Word</group>
      <groupName>字词问题</groupName>
      <ability>L2_Typo</ability>
      <abilityName>字词错误</abilityName>
      <candidateList>
        <item>）</item>
      </candidateList>
      <explain/>
      <paraID>63E85045</paraID>
      <start>66</start>
      <end>68</end>
      <status>unmodified</status>
      <modifiedWord/>
      <trackRevisions>false</trackRevisions>
    </reviewItem>
    <reviewItem>
      <errorID>c00926f5-e015-40be-bb1f-17f96de09496</errorID>
      <errorWord>法律、法规</errorWord>
      <group>L1_Word</group>
      <groupName>字词问题</groupName>
      <ability>L2_Typo</ability>
      <abilityName>字词错误</abilityName>
      <candidateList>
        <item>法律法规</item>
      </candidateList>
      <explain/>
      <paraID>74A53456</paraID>
      <start>53</start>
      <end>58</end>
      <status>unmodified</status>
      <modifiedWord/>
      <trackRevisions>false</trackRevisions>
    </reviewItem>
    <reviewItem>
      <errorID>d96c0b09-12fb-41eb-8f0e-13fa40365dc9</errorID>
      <errorWord>完善建设用地增减挂钩</errorWord>
      <group>L1_Word</group>
      <groupName>字词问题</groupName>
      <ability>L2_Typo</ability>
      <abilityName>字词错误</abilityName>
      <candidateList>
        <item>完善城乡建设用地增减挂钩</item>
      </candidateList>
      <explain/>
      <paraID>459839BF</paraID>
      <start>3</start>
      <end>13</end>
      <status>unmodified</status>
      <modifiedWord/>
      <trackRevisions>false</trackRevisions>
    </reviewItem>
    <reviewItem>
      <errorID>fd52f7bb-2464-4296-9af6-fa0492d64110</errorID>
      <errorWord>）中</errorWord>
      <group>L1_Word</group>
      <groupName>字词问题</groupName>
      <ability>L2_Typo</ability>
      <abilityName>字词错误</abilityName>
      <candidateList>
        <item>）</item>
      </candidateList>
      <explain/>
      <paraID>77946464</paraID>
      <start>40</start>
      <end>42</end>
      <status>unmodified</status>
      <modifiedWord/>
      <trackRevisions>false</trackRevisions>
    </reviewItem>
    <reviewItem>
      <errorID>4732e1ba-0155-46c5-8767-6ffe9fb57efb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12DC363C</paraID>
      <start>29</start>
      <end>30</end>
      <status>ignored</status>
      <modifiedWord/>
      <trackRevisions>false</trackRevisions>
    </reviewItem>
    <reviewItem>
      <errorID>dbf5e3a6-feb8-4525-aa24-24dc0361bd06</errorID>
      <errorWord>,</errorWord>
      <group>L1_Format</group>
      <groupName>格式问题</groupName>
      <ability>L2_HalfPunc</ability>
      <abilityName>全半角检查</abilityName>
      <candidateList>
        <item>，</item>
      </candidateList>
      <explain>文本全半角错误。</explain>
      <paraID>25195079</paraID>
      <start>131</start>
      <end>132</end>
      <status>unmodified</status>
      <modifiedWord/>
      <trackRevisions>false</trackRevisions>
    </reviewItem>
    <reviewItem>
      <errorID>4b1039c1-3bb4-4402-92cc-6ebc5aa78b82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29117B37</paraID>
      <start>35</start>
      <end>36</end>
      <status>ignored</status>
      <modifiedWord/>
      <trackRevisions>false</trackRevisions>
    </reviewItem>
    <reviewItem>
      <errorID>4660b8d4-fb4e-4d1a-8db0-84f02f4b7f06</errorID>
      <errorWord>拌合站</errorWord>
      <group>L1_Word</group>
      <groupName>字词问题</groupName>
      <ability>L2_Typo</ability>
      <abilityName>字词错误</abilityName>
      <candidateList>
        <item>拌和站</item>
      </candidateList>
      <explain>存在发音相同字词的误用。</explain>
      <paraID>489F510D</paraID>
      <start>4</start>
      <end>7</end>
      <status>unmodified</status>
      <modifiedWord/>
      <trackRevisions>false</trackRevisions>
    </reviewItem>
    <reviewItem>
      <errorID>4a725cea-e06b-456c-837d-1ef82df224a0</errorID>
      <errorWord>拌合站</errorWord>
      <group>L1_Word</group>
      <groupName>字词问题</groupName>
      <ability>L2_Typo</ability>
      <abilityName>字词错误</abilityName>
      <candidateList>
        <item>拌和站</item>
      </candidateList>
      <explain>存在发音相同字词的误用。</explain>
      <paraID>22F5306C</paraID>
      <start>12</start>
      <end>15</end>
      <status>unmodified</status>
      <modifiedWord/>
      <trackRevisions>false</trackRevisions>
    </reviewItem>
    <reviewItem>
      <errorID>d1f7165b-5cc3-4393-a228-801745c80ddb</errorID>
      <errorWord>〔2019〕第32号</errorWord>
      <group>L1_Knowledge</group>
      <groupName>知识性问题</groupName>
      <ability>L2_Knowledge</ability>
      <abilityName>其他知识</abilityName>
      <candidateList>
        <item>〔2019〕32号</item>
      </candidateList>
      <explain>发文字号格式错误。</explain>
      <paraID>48732992</paraID>
      <start>173</start>
      <end>183</end>
      <status>unmodified</status>
      <modifiedWord/>
      <trackRevisions>false</trackRevisions>
    </reviewItem>
    <reviewItem>
      <errorID>f9c2ca30-55f1-489a-83c2-9bd315c0ea99</errorID>
      <errorWord>占地在</errorWord>
      <group>L1_Word</group>
      <groupName>字词问题</groupName>
      <ability>L2_Typo</ability>
      <abilityName>字词错误</abilityName>
      <candidateList>
        <item>占地</item>
      </candidateList>
      <explain/>
      <paraID>4D7EBC4A</paraID>
      <start>225</start>
      <end>228</end>
      <status>unmodified</status>
      <modifiedWord/>
      <trackRevisions>false</trackRevisions>
    </reviewItem>
    <reviewItem>
      <errorID>c1a8c763-c4fc-437b-9e54-bcabc6cefe52</errorID>
      <errorWord>占地在</errorWord>
      <group>L1_Word</group>
      <groupName>字词问题</groupName>
      <ability>L2_Typo</ability>
      <abilityName>字词错误</abilityName>
      <candidateList>
        <item>占地</item>
      </candidateList>
      <explain/>
      <paraID>32EBCEC4</paraID>
      <start>269</start>
      <end>272</end>
      <status>unmodified</status>
      <modifiedWord/>
      <trackRevisions>false</trackRevisions>
    </reviewItem>
    <reviewItem>
      <errorID>29177900-6d41-4828-b898-6b3cdfe2fc6c</errorID>
      <errorWord>部</errorWord>
      <group>L1_Word</group>
      <groupName>字词问题</groupName>
      <ability>L2_Typo</ability>
      <abilityName>字词错误</abilityName>
      <candidateList>
        <item>不</item>
      </candidateList>
      <explain>存在发音相同字词的误用。</explain>
      <paraID>70FF341F</paraID>
      <start>136</start>
      <end>137</end>
      <status>unmodified</status>
      <modifiedWord/>
      <trackRevisions>false</trackRevisions>
    </reviewItem>
    <reviewItem>
      <errorID>53cb51dd-20dc-46a7-a4a5-600ac521c0a1</errorID>
      <errorWord>）中</errorWord>
      <group>L1_Word</group>
      <groupName>字词问题</groupName>
      <ability>L2_Typo</ability>
      <abilityName>字词错误</abilityName>
      <candidateList>
        <item>）</item>
      </candidateList>
      <explain/>
      <paraID>7BDF670F</paraID>
      <start>48</start>
      <end>50</end>
      <status>unmodified</status>
      <modifiedWord/>
      <trackRevisions>false</trackRevisions>
    </reviewItem>
    <reviewItem>
      <errorID>c4f01ffe-9adc-4499-9d68-4f8c16b6a00c</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 2C29A4D</paraID>
      <start>29</start>
      <end>33</end>
      <status>unmodified</status>
      <modifiedWord/>
      <trackRevisions>false</trackRevisions>
    </reviewItem>
    <reviewItem>
      <errorID>03687c56-2478-49ef-9a28-367ebd63e372</errorID>
      <errorWord>）中</errorWord>
      <group>L1_Word</group>
      <groupName>字词问题</groupName>
      <ability>L2_Typo</ability>
      <abilityName>字词错误</abilityName>
      <candidateList>
        <item>）</item>
      </candidateList>
      <explain/>
      <paraID>6752EF4F</paraID>
      <start>29</start>
      <end>31</end>
      <status>unmodified</status>
      <modifiedWord/>
      <trackRevisions>false</trackRevisions>
    </reviewItem>
    <reviewItem>
      <errorID>7447aaa9-a501-4aa2-ae2d-514caee0ee50</errorID>
      <errorWord>占地在</errorWord>
      <group>L1_Word</group>
      <groupName>字词问题</groupName>
      <ability>L2_Typo</ability>
      <abilityName>字词错误</abilityName>
      <candidateList>
        <item>占地</item>
      </candidateList>
      <explain/>
      <paraID>5F0E1D31</paraID>
      <start>189</start>
      <end>192</end>
      <status>unmodified</status>
      <modifiedWord/>
      <trackRevisions>false</trackRevisions>
    </reviewItem>
    <reviewItem>
      <errorID>d2775270-4dad-4b89-b353-fe6b56e4d79c</errorID>
      <errorWord>摆放至</errorWord>
      <group>L1_Word</group>
      <groupName>字词问题</groupName>
      <ability>L2_Typo</ability>
      <abilityName>字词错误</abilityName>
      <candidateList>
        <item>摆放在</item>
      </candidateList>
      <explain/>
      <paraID>28FF0541</paraID>
      <start>46</start>
      <end>49</end>
      <status>unmodified</status>
      <modifiedWord/>
      <trackRevisions>false</trackRevisions>
    </reviewItem>
    <reviewItem>
      <errorID>f6af988f-a11d-48a2-9dab-fb6bb358232b</errorID>
      <errorWord>放</errorWord>
      <group>L1_Word</group>
      <groupName>字词问题</groupName>
      <ability>L2_Typo</ability>
      <abilityName>字词错误</abilityName>
      <candidateList>
        <item>防</item>
      </candidateList>
      <explain/>
      <paraID>68C3BDB1</paraID>
      <start>5</start>
      <end>6</end>
      <status>unmodified</status>
      <modifiedWord/>
      <trackRevisions>false</trackRevisions>
    </reviewItem>
    <reviewItem>
      <errorID>aea04410-e6b0-4af3-86d7-b018fd3dd7ec</errorID>
      <errorWord>利</errorWord>
      <group>L1_Word</group>
      <groupName>字词问题</groupName>
      <ability>L2_Typo</ability>
      <abilityName>字词错误</abilityName>
      <candidateList>
        <item>利于</item>
      </candidateList>
      <explain/>
      <paraID>1C7A3372</paraID>
      <start>1</start>
      <end>2</end>
      <status>unmodified</status>
      <modifiedWord/>
      <trackRevisions>false</trackRevisions>
    </reviewItem>
    <reviewItem>
      <errorID>914c26ac-2316-46e2-a6bc-12fbb54e2079</errorID>
      <errorWord>(</errorWord>
      <group>L1_Format</group>
      <groupName>格式问题</groupName>
      <ability>L2_HalfPunc</ability>
      <abilityName>全半角检查</abilityName>
      <candidateList>
        <item>（</item>
      </candidateList>
      <explain>文本全半角错误。</explain>
      <paraID>5F4F4374</paraID>
      <start>173</start>
      <end>174</end>
      <status>ignored</status>
      <modifiedWord/>
      <trackRevisions>false</trackRevisions>
    </reviewItem>
    <reviewItem>
      <errorID>0a66491c-74fe-4587-a5ba-c96244877388</errorID>
      <errorWord>)</errorWord>
      <group>L1_Format</group>
      <groupName>格式问题</groupName>
      <ability>L2_HalfPunc</ability>
      <abilityName>全半角检查</abilityName>
      <candidateList>
        <item>）</item>
      </candidateList>
      <explain>文本全半角错误。</explain>
      <paraID>5F4F4374</paraID>
      <start>187</start>
      <end>188</end>
      <status>ignored</status>
      <modifiedWord/>
      <trackRevisions>false</trackRevisions>
    </reviewItem>
    <reviewItem>
      <errorID>e4294455-96ef-4f73-bf29-19703b204c50</errorID>
      <errorWord>）中</errorWord>
      <group>L1_Word</group>
      <groupName>字词问题</groupName>
      <ability>L2_Typo</ability>
      <abilityName>字词错误</abilityName>
      <candidateList>
        <item>）</item>
      </candidateList>
      <explain/>
      <paraID>43D13E1C</paraID>
      <start>47</start>
      <end>49</end>
      <status>unmodified</status>
      <modifiedWord/>
      <trackRevisions>false</trackRevisions>
    </reviewItem>
    <reviewItem>
      <errorID>9c259534-6838-4b30-8f46-88c179b05f9c</errorID>
      <errorWord>[2010]第30号</errorWord>
      <group>L1_Knowledge</group>
      <groupName>知识性问题</groupName>
      <ability>L2_Knowledge</ability>
      <abilityName>其他知识</abilityName>
      <candidateList>
        <item>〔2010〕30号</item>
      </candidateList>
      <explain>发文字号格式错误。</explain>
      <paraID>19DC6BE3</paraID>
      <start>32</start>
      <end>42</end>
      <status>unmodified</status>
      <modifiedWord/>
      <trackRevisions>false</trackRevisions>
    </reviewItem>
    <reviewItem>
      <errorID>987372fa-d413-4c74-9125-dbc9f40af19f</errorID>
      <errorWord>[2010]第30号</errorWord>
      <group>L1_Knowledge</group>
      <groupName>知识性问题</groupName>
      <ability>L2_Knowledge</ability>
      <abilityName>其他知识</abilityName>
      <candidateList>
        <item>〔2010〕30号</item>
      </candidateList>
      <explain>发文字号格式错误。</explain>
      <paraID>3823A57A</paraID>
      <start>27</start>
      <end>37</end>
      <status>unmodified</status>
      <modifiedWord/>
      <trackRevisions>false</trackRevisions>
    </reviewItem>
    <reviewItem>
      <errorID>694c3fa8-5816-4cee-af0b-ef5f33bcb33f</errorID>
      <errorWord>[2010]第30号</errorWord>
      <group>L1_Knowledge</group>
      <groupName>知识性问题</groupName>
      <ability>L2_Knowledge</ability>
      <abilityName>其他知识</abilityName>
      <candidateList>
        <item>〔2010〕30号</item>
      </candidateList>
      <explain>发文字号格式错误。</explain>
      <paraID>4A901422</paraID>
      <start>18</start>
      <end>28</end>
      <status>unmodified</status>
      <modifiedWord/>
      <trackRevisions>false</trackRevisions>
    </reviewItem>
    <reviewItem>
      <errorID>d3847ead-6ebd-4851-a22a-08f0ad4e44ed</errorID>
      <errorWord>后回注油层后回注油层</errorWord>
      <group>L1_Word</group>
      <groupName>字词问题</groupName>
      <ability>L2_Typo</ability>
      <abilityName>字词错误</abilityName>
      <candidateList>
        <item>后回注油层</item>
      </candidateList>
      <explain/>
      <paraID>31A868E8</paraID>
      <start>189</start>
      <end>199</end>
      <status>unmodified</status>
      <modifiedWord/>
      <trackRevisions>false</trackRevisions>
    </reviewItem>
    <reviewItem>
      <errorID>c725ec76-d940-46a3-81c0-207d346a7615</errorID>
      <errorWord>大庆市市</errorWord>
      <group>L1_Word</group>
      <groupName>字词问题</groupName>
      <ability>L2_Typo</ability>
      <abilityName>字词错误</abilityName>
      <candidateList>
        <item>大庆市</item>
      </candidateList>
      <explain/>
      <paraID>3B0C200E</paraID>
      <start>146</start>
      <end>150</end>
      <status>unmodified</status>
      <modifiedWord/>
      <trackRevisions>false</trackRevisions>
    </reviewItem>
    <reviewItem>
      <errorID>f512c28d-3472-4dfd-bfc6-343af0ff2636</errorID>
      <errorWord>III类</errorWord>
      <group>L1_Knowledge</group>
      <groupName>知识性问题</groupName>
      <ability>L2_Knowledge</ability>
      <abilityName>其他知识</abilityName>
      <candidateList>
        <item>Ⅲ类</item>
      </candidateList>
      <explain/>
      <paraID>4CC225D1</paraID>
      <start>366</start>
      <end>370</end>
      <status>unmodified</status>
      <modifiedWord/>
      <trackRevisions>false</trackRevisions>
    </reviewItem>
    <reviewItem>
      <errorID>e7e2a0c7-628a-49d7-aa8d-4145073843c5</errorID>
      <errorWord>II类</errorWord>
      <group>L1_Knowledge</group>
      <groupName>知识性问题</groupName>
      <ability>L2_Knowledge</ability>
      <abilityName>其他知识</abilityName>
      <candidateList>
        <item>Ⅱ类</item>
      </candidateList>
      <explain/>
      <paraID>4CC225D1</paraID>
      <start>428</start>
      <end>431</end>
      <status>unmodified</status>
      <modifiedWord/>
      <trackRevisions>false</trackRevisions>
    </reviewItem>
    <reviewItem>
      <errorID>61c1f3c0-7634-4f3e-8ed3-142a96fcd1bf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3FCDF946</paraID>
      <start>0</start>
      <end>2</end>
      <status>unmodified</status>
      <modifiedWord/>
      <trackRevisions>false</trackRevisions>
    </reviewItem>
    <reviewItem>
      <errorID>1fefc13f-f7d9-4ab4-90dc-529c17104d4e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3684BF01</paraID>
      <start>0</start>
      <end>2</end>
      <status>unmodified</status>
      <modifiedWord/>
      <trackRevisions>false</trackRevisions>
    </reviewItem>
    <reviewItem>
      <errorID>bee310fb-48bf-4e2f-b044-78c3d8ca2dcf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6E139D86</paraID>
      <start>0</start>
      <end>3</end>
      <status>unmodified</status>
      <modifiedWord/>
      <trackRevisions>false</trackRevisions>
    </reviewItem>
    <reviewItem>
      <errorID>8c770cc7-0ace-4ca9-af93-cadbecd05739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476B8438</paraID>
      <start>0</start>
      <end>2</end>
      <status>unmodified</status>
      <modifiedWord/>
      <trackRevisions>false</trackRevisions>
    </reviewItem>
    <reviewItem>
      <errorID>18d964cb-d147-49cd-8450-2bfe4ea24014</errorID>
      <errorWord>上线</errorWord>
      <group>L1_Word</group>
      <groupName>字词问题</groupName>
      <ability>L2_Typo</ability>
      <abilityName>字词错误</abilityName>
      <candidateList>
        <item>上限</item>
      </candidateList>
      <explain/>
      <paraID> D5BB723</paraID>
      <start>19</start>
      <end>21</end>
      <status>unmodified</status>
      <modifiedWord/>
      <trackRevisions>false</trackRevisions>
    </reviewItem>
    <reviewItem>
      <errorID>236045bf-ea6c-4298-9ee0-76bee7a50b92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128D634E</paraID>
      <start>0</start>
      <end>2</end>
      <status>unmodified</status>
      <modifiedWord/>
      <trackRevisions>false</trackRevisions>
    </reviewItem>
    <reviewItem>
      <errorID>2802f3c3-c169-4d45-9b9e-c383722ae191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66024DBE</paraID>
      <start>18</start>
      <end>19</end>
      <status>ignored</status>
      <modifiedWord/>
      <trackRevisions>false</trackRevisions>
    </reviewItem>
    <reviewItem>
      <errorID>abf855f6-92d5-4298-8955-b7b33d9bf710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66024DBE</paraID>
      <start>25</start>
      <end>28</end>
      <status>unmodified</status>
      <modifiedWord/>
      <trackRevisions>false</trackRevisions>
    </reviewItem>
    <reviewItem>
      <errorID>407cba20-3643-4b04-bb20-536531e70f2c</errorID>
      <errorWord>市市</errorWord>
      <group>L1_Word</group>
      <groupName>字词问题</groupName>
      <ability>L2_Typo</ability>
      <abilityName>字词错误</abilityName>
      <candidateList>
        <item>市</item>
      </candidateList>
      <explain/>
      <paraID>66024DBE</paraID>
      <start>30</start>
      <end>32</end>
      <status>unmodified</status>
      <modifiedWord/>
      <trackRevisions>false</trackRevisions>
    </reviewItem>
    <reviewItem>
      <errorID>c2d5bc8e-a763-4ddb-afea-606d1f2719dc</errorID>
      <errorWord>、以及</errorWord>
      <group>L1_Punc</group>
      <groupName>标点问题</groupName>
      <ability>L2_Punc</ability>
      <abilityName>标点符号检查</abilityName>
      <candidateList>
        <item>，以及</item>
      </candidateList>
      <explain>连接词前后不宜使用顿号，建议使用逗号。</explain>
      <paraID>66024DBE</paraID>
      <start>229</start>
      <end>232</end>
      <status>unmodified</status>
      <modifiedWord/>
      <trackRevisions>false</trackRevisions>
    </reviewItem>
    <reviewItem>
      <errorID>0b77758a-f2a8-4d06-980c-dd090b42a587</errorID>
      <errorWord>，</errorWord>
      <group>L1_Word</group>
      <groupName>字词问题</groupName>
      <ability>L2_Typo</ability>
      <abilityName>字词错误</abilityName>
      <candidateList>
        <item>，在</item>
      </candidateList>
      <explain/>
      <paraID> 16D6E2F</paraID>
      <start>703</start>
      <end>704</end>
      <status>unmodified</status>
      <modifiedWord/>
      <trackRevisions>false</trackRevisions>
    </reviewItem>
    <reviewItem>
      <errorID>76fce67d-8f1a-45ad-a6a6-397fdf91aecf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5E28B3B9</paraID>
      <start>18</start>
      <end>19</end>
      <status>ignored</status>
      <modifiedWord/>
      <trackRevisions>false</trackRevisions>
    </reviewItem>
    <reviewItem>
      <errorID>471cffa2-1310-44ee-a667-dda63374b42f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5E28B3B9</paraID>
      <start>42</start>
      <end>43</end>
      <status>ignored</status>
      <modifiedWord/>
      <trackRevisions>false</trackRevisions>
    </reviewItem>
    <reviewItem>
      <errorID>d913e587-a84d-4de7-b2bd-06cbe1bd8ec8</errorID>
      <errorWord>免加</errorWord>
      <group>L1_Word</group>
      <groupName>字词问题</groupName>
      <ability>L2_Typo</ability>
      <abilityName>字词错误</abilityName>
      <candidateList>
        <item>免强</item>
      </candidateList>
      <explain/>
      <paraID>5E28B3B9</paraID>
      <start>292</start>
      <end>294</end>
      <status>unmodified</status>
      <modifiedWord/>
      <trackRevisions>false</trackRevisions>
    </reviewItem>
    <reviewItem>
      <errorID>9d03858e-11f9-4512-81e7-3144701b5d9b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5E28B3B9</paraID>
      <start>556</start>
      <end>557</end>
      <status>ignored</status>
      <modifiedWord/>
      <trackRevisions>false</trackRevisions>
    </reviewItem>
    <reviewItem>
      <errorID>7ee44f33-9331-4ac0-924e-57f1148d88a6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5E28B3B9</paraID>
      <start>580</start>
      <end>581</end>
      <status>ignored</status>
      <modifiedWord/>
      <trackRevisions>false</trackRevisions>
    </reviewItem>
    <reviewItem>
      <errorID>083a9215-e05a-4d4f-bad1-e480bd35cf63</errorID>
      <errorWord>&lt;</errorWord>
      <group>L1_Format</group>
      <groupName>格式问题</groupName>
      <ability>L2_HalfPunc</ability>
      <abilityName>全半角检查</abilityName>
      <candidateList>
        <item>〈</item>
      </candidateList>
      <explain>文本全半角错误。</explain>
      <paraID>5A83B851</paraID>
      <start>21</start>
      <end>22</end>
      <status>unmodified</status>
      <modifiedWord/>
      <trackRevisions>false</trackRevisions>
    </reviewItem>
    <reviewItem>
      <errorID>6f1c7660-3411-45ec-9fab-2d79db55901e</errorID>
      <errorWord>《</errorWord>
      <group>L1_Punc</group>
      <groupName>标点问题</groupName>
      <ability>L2_Punc</ability>
      <abilityName>标点符号检查</abilityName>
      <candidateList/>
      <explain>同一形式括号套用。</explain>
      <paraID>5A83B851</paraID>
      <start>28</start>
      <end>29</end>
      <status>unmodified</status>
      <modifiedWord/>
      <trackRevisions>false</trackRevisions>
    </reviewItem>
    <reviewItem>
      <errorID>e676e2b6-eb49-4311-89f2-f536dc257865</errorID>
      <errorWord>》</errorWord>
      <group>L1_Punc</group>
      <groupName>标点问题</groupName>
      <ability>L2_Punc</ability>
      <abilityName>标点符号检查</abilityName>
      <candidateList/>
      <explain>同一形式括号套用。</explain>
      <paraID>5A83B851</paraID>
      <start>43</start>
      <end>44</end>
      <status>unmodified</status>
      <modifiedWord/>
      <trackRevisions>false</trackRevisions>
    </reviewItem>
    <reviewItem>
      <errorID>68aa1c7b-d3f6-48ce-8c06-42a97b194867</errorID>
      <errorWord>&gt;的通知》</errorWord>
      <group>L1_Punc</group>
      <groupName>标点问题</groupName>
      <ability>L2_Punc</ability>
      <abilityName>标点符号检查</abilityName>
      <candidateList>
        <item>〉的通知》</item>
      </candidateList>
      <explain/>
      <paraID>5A83B851</paraID>
      <start>49</start>
      <end>54</end>
      <status>unmodified</status>
      <modifiedWord/>
      <trackRevisions>false</trackRevisions>
    </reviewItem>
    <reviewItem>
      <errorID>a6520617-8bc5-4d1c-ae02-07c6b1954d76</errorID>
      <errorWord>，</errorWord>
      <group>L1_Word</group>
      <groupName>字词问题</groupName>
      <ability>L2_Typo</ability>
      <abilityName>字词错误</abilityName>
      <candidateList>
        <item>，有</item>
      </candidateList>
      <explain/>
      <paraID>5A83B851</paraID>
      <start>120</start>
      <end>121</end>
      <status>unmodified</status>
      <modifiedWord/>
      <trackRevisions>false</trackRevisions>
    </reviewItem>
    <reviewItem>
      <errorID>eb00b326-58ae-4efa-b5e7-24ae2e0a8e38</errorID>
      <errorWord>尽量避绕</errorWord>
      <group>L1_Word</group>
      <groupName>字词问题</groupName>
      <ability>L2_Typo</ability>
      <abilityName>字词错误</abilityName>
      <candidateList>
        <item>尽量避免</item>
      </candidateList>
      <explain/>
      <paraID>43AE4456</paraID>
      <start>28</start>
      <end>32</end>
      <status>unmodified</status>
      <modifiedWord/>
      <trackRevisions>false</trackRevisions>
    </reviewItem>
    <reviewItem>
      <errorID>d64fbc93-d039-4876-b9d4-dc0d1690504a</errorID>
      <errorWord>程</errorWord>
      <group>L1_Word</group>
      <groupName>字词问题</groupName>
      <ability>L2_Typo</ability>
      <abilityName>字词错误</abilityName>
      <candidateList>
        <item>程中</item>
      </candidateList>
      <explain/>
      <paraID> 12B7BA8</paraID>
      <start>39</start>
      <end>40</end>
      <status>unmodified</status>
      <modifiedWord/>
      <trackRevisions>false</trackRevisions>
    </reviewItem>
    <reviewItem>
      <errorID>4455ba71-bce4-4196-a200-2364653ac240</errorID>
      <errorWord>(</errorWord>
      <group>L1_Format</group>
      <groupName>格式问题</groupName>
      <ability>L2_HalfPunc</ability>
      <abilityName>全半角检查</abilityName>
      <candidateList>
        <item>（</item>
      </candidateList>
      <explain>文本全半角错误。</explain>
      <paraID> 12B7BA8</paraID>
      <start>635</start>
      <end>636</end>
      <status>ignored</status>
      <modifiedWord/>
      <trackRevisions>false</trackRevisions>
    </reviewItem>
    <reviewItem>
      <errorID>9bacd84f-8320-4e7c-b3a6-b3ef3543e1b6</errorID>
      <errorWord>)</errorWord>
      <group>L1_Format</group>
      <groupName>格式问题</groupName>
      <ability>L2_HalfPunc</ability>
      <abilityName>全半角检查</abilityName>
      <candidateList>
        <item>）</item>
      </candidateList>
      <explain>文本全半角错误。</explain>
      <paraID> 12B7BA8</paraID>
      <start>649</start>
      <end>650</end>
      <status>ignored</status>
      <modifiedWord/>
      <trackRevisions>false</trackRevisions>
    </reviewItem>
    <reviewItem>
      <errorID>a2c62ba4-2c49-4119-ae7f-6c3fd19104f9</errorID>
      <errorWord>)</errorWord>
      <group>L1_Format</group>
      <groupName>格式问题</groupName>
      <ability>L2_HalfPunc</ability>
      <abilityName>全半角检查</abilityName>
      <candidateList>
        <item>）</item>
      </candidateList>
      <explain>文本全半角错误。</explain>
      <paraID>3CF385A6</paraID>
      <start>198</start>
      <end>199</end>
      <status>ignored</status>
      <modifiedWord/>
      <trackRevisions>false</trackRevisions>
    </reviewItem>
    <reviewItem>
      <errorID>6a6f1ea1-3736-4c11-9b88-96f81925aa2f</errorID>
      <errorWord>、以及</errorWord>
      <group>L1_Punc</group>
      <groupName>标点问题</groupName>
      <ability>L2_Punc</ability>
      <abilityName>标点符号检查</abilityName>
      <candidateList>
        <item>，以及</item>
      </candidateList>
      <explain>连接词前后不宜使用顿号，建议使用逗号。</explain>
      <paraID>608B7B86</paraID>
      <start>26</start>
      <end>29</end>
      <status>unmodified</status>
      <modifiedWord/>
      <trackRevisions>false</trackRevisions>
    </reviewItem>
    <reviewItem>
      <errorID>4b35d711-a513-40cf-ab3d-782978e58ac2</errorID>
      <errorWord>程</errorWord>
      <group>L1_Word</group>
      <groupName>字词问题</groupName>
      <ability>L2_Typo</ability>
      <abilityName>字词错误</abilityName>
      <candidateList>
        <item>程中</item>
      </candidateList>
      <explain/>
      <paraID>36425419</paraID>
      <start>17</start>
      <end>18</end>
      <status>unmodified</status>
      <modifiedWord/>
      <trackRevisions>false</trackRevisions>
    </reviewItem>
    <reviewItem>
      <errorID>55ae32b4-4106-4514-9c39-684f201e6535</errorID>
      <errorWord>[2023]第7号</errorWord>
      <group>L1_Knowledge</group>
      <groupName>知识性问题</groupName>
      <ability>L2_Knowledge</ability>
      <abilityName>其他知识</abilityName>
      <candidateList>
        <item>〔2023〕7号</item>
      </candidateList>
      <explain>发文字号格式错误。</explain>
      <paraID>10A0CA5E</paraID>
      <start>35</start>
      <end>44</end>
      <status>unmodified</status>
      <modifiedWord/>
      <trackRevisions>false</trackRevisions>
    </reviewItem>
    <reviewItem>
      <errorID>152341da-7ba9-4263-ace7-0c467a38231a</errorID>
      <errorWord>》中</errorWord>
      <group>L1_Word</group>
      <groupName>字词问题</groupName>
      <ability>L2_Typo</ability>
      <abilityName>字词错误</abilityName>
      <candidateList>
        <item>》</item>
      </candidateList>
      <explain/>
      <paraID>10A0CA5E</paraID>
      <start>131</start>
      <end>133</end>
      <status>unmodified</status>
      <modifiedWord/>
      <trackRevisions>false</trackRevisions>
    </reviewItem>
    <reviewItem>
      <errorID>569bc283-b558-454e-a80d-d24624b4eb6e</errorID>
      <errorWord>〔2018〕第4号</errorWord>
      <group>L1_Knowledge</group>
      <groupName>知识性问题</groupName>
      <ability>L2_Knowledge</ability>
      <abilityName>其他知识</abilityName>
      <candidateList>
        <item>〔2018〕4号</item>
      </candidateList>
      <explain>发文字号格式错误。</explain>
      <paraID>10A0CA5E</paraID>
      <start>159</start>
      <end>168</end>
      <status>unmodified</status>
      <modifiedWord/>
      <trackRevisions>false</trackRevisions>
    </reviewItem>
    <reviewItem>
      <errorID>d12dd3f5-ae83-4d1e-b461-005c4b516992</errorID>
      <errorWord>[2014]第9号</errorWord>
      <group>L1_Knowledge</group>
      <groupName>知识性问题</groupName>
      <ability>L2_Knowledge</ability>
      <abilityName>其他知识</abilityName>
      <candidateList>
        <item>〔2014〕9号</item>
      </candidateList>
      <explain>发文字号格式错误。</explain>
      <paraID>4E2FDA46</paraID>
      <start>21</start>
      <end>30</end>
      <status>unmodified</status>
      <modifiedWord/>
      <trackRevisions>false</trackRevisions>
    </reviewItem>
    <reviewItem>
      <errorID>b62c2f08-fc92-4689-948a-36f212d95324</errorID>
      <errorWord>[2018]第24号</errorWord>
      <group>L1_Knowledge</group>
      <groupName>知识性问题</groupName>
      <ability>L2_Knowledge</ability>
      <abilityName>其他知识</abilityName>
      <candidateList>
        <item>〔2018〕24号</item>
      </candidateList>
      <explain>发文字号格式错误。</explain>
      <paraID>1CD57F61</paraID>
      <start>23</start>
      <end>33</end>
      <status>unmodified</status>
      <modifiedWord/>
      <trackRevisions>false</trackRevisions>
    </reviewItem>
    <reviewItem>
      <errorID>7c8c754e-2eac-4b6a-a7be-716b7841f6d5</errorID>
      <errorWord>[2018]第16号</errorWord>
      <group>L1_Knowledge</group>
      <groupName>知识性问题</groupName>
      <ability>L2_Knowledge</ability>
      <abilityName>其他知识</abilityName>
      <candidateList>
        <item>〔2018〕16号</item>
      </candidateList>
      <explain>发文字号格式错误。</explain>
      <paraID>45847ECF</paraID>
      <start>23</start>
      <end>33</end>
      <status>unmodified</status>
      <modifiedWord/>
      <trackRevisions>false</trackRevisions>
    </reviewItem>
    <reviewItem>
      <errorID>42c5e3ad-22c4-48fe-92c4-eea54d1d11e8</errorID>
      <errorWord>[2017]第70号</errorWord>
      <group>L1_Knowledge</group>
      <groupName>知识性问题</groupName>
      <ability>L2_Knowledge</ability>
      <abilityName>其他知识</abilityName>
      <candidateList>
        <item>〔2017〕70号</item>
      </candidateList>
      <explain>发文字号格式错误。</explain>
      <paraID> 701AB7C</paraID>
      <start>22</start>
      <end>32</end>
      <status>unmodified</status>
      <modifiedWord/>
      <trackRevisions>false</trackRevisions>
    </reviewItem>
    <reviewItem>
      <errorID>e966d525-9690-42c1-b305-1f55642b2fb9</errorID>
      <errorWord>届</errorWord>
      <group>L1_Knowledge</group>
      <groupName>知识性问题</groupName>
      <ability>L2_Knowledge</ability>
      <abilityName>其他知识</abilityName>
      <candidateList>
        <item>号</item>
      </candidateList>
      <explain>请检查“届”是否为量词使用错误，建议修改为“号”。</explain>
      <paraID>6D151652</paraID>
      <start>33</start>
      <end>34</end>
      <status>unmodified</status>
      <modifiedWord/>
      <trackRevisions>false</trackRevisions>
    </reviewItem>
    <reviewItem>
      <errorID>8f8bce0b-bf79-4e9e-bcde-a32e79383333</errorID>
      <errorWord>[2020]第43号</errorWord>
      <group>L1_Knowledge</group>
      <groupName>知识性问题</groupName>
      <ability>L2_Knowledge</ability>
      <abilityName>其他知识</abilityName>
      <candidateList>
        <item>〔2020〕43号</item>
      </candidateList>
      <explain>发文字号格式错误。</explain>
      <paraID>5D06363B</paraID>
      <start>27</start>
      <end>37</end>
      <status>unmodified</status>
      <modifiedWord/>
      <trackRevisions>false</trackRevisions>
    </reviewItem>
    <reviewItem>
      <errorID>3dc4c804-fd6e-4030-aaf1-5e6a9754f24d</errorID>
      <errorWord>[2010]第39号</errorWord>
      <group>L1_Knowledge</group>
      <groupName>知识性问题</groupName>
      <ability>L2_Knowledge</ability>
      <abilityName>其他知识</abilityName>
      <candidateList>
        <item>〔2010〕39号</item>
      </candidateList>
      <explain>发文字号格式错误。</explain>
      <paraID>184150F6</paraID>
      <start>21</start>
      <end>31</end>
      <status>unmodified</status>
      <modifiedWord/>
      <trackRevisions>false</trackRevisions>
    </reviewItem>
    <reviewItem>
      <errorID>522e42d9-0e0a-4aaf-87c9-9f2b5ed34144</errorID>
      <errorWord>[2012]第54号</errorWord>
      <group>L1_Knowledge</group>
      <groupName>知识性问题</groupName>
      <ability>L2_Knowledge</ability>
      <abilityName>其他知识</abilityName>
      <candidateList>
        <item>〔2012〕54号</item>
      </candidateList>
      <explain>发文字号格式错误。</explain>
      <paraID>1CCBA74A</paraID>
      <start>24</start>
      <end>34</end>
      <status>unmodified</status>
      <modifiedWord/>
      <trackRevisions>false</trackRevisions>
    </reviewItem>
    <reviewItem>
      <errorID>4db0b998-ae95-4db1-8bc4-61d6dd357ff2</errorID>
      <errorWord>[2010]第30号</errorWord>
      <group>L1_Knowledge</group>
      <groupName>知识性问题</groupName>
      <ability>L2_Knowledge</ability>
      <abilityName>其他知识</abilityName>
      <candidateList>
        <item>〔2010〕30号</item>
      </candidateList>
      <explain>发文字号格式错误。</explain>
      <paraID>132B439D</paraID>
      <start>27</start>
      <end>37</end>
      <status>unmodified</status>
      <modifiedWord/>
      <trackRevisions>false</trackRevisions>
    </reviewItem>
    <reviewItem>
      <errorID>c3d74510-be5b-4047-8014-b57019a8c838</errorID>
      <errorWord>〔2019〕第32号</errorWord>
      <group>L1_Knowledge</group>
      <groupName>知识性问题</groupName>
      <ability>L2_Knowledge</ability>
      <abilityName>其他知识</abilityName>
      <candidateList>
        <item>〔2019〕32号</item>
      </candidateList>
      <explain>发文字号格式错误。</explain>
      <paraID>488B1E83</paraID>
      <start>22</start>
      <end>32</end>
      <status>unmodified</status>
      <modifiedWord/>
      <trackRevisions>false</trackRevisions>
    </reviewItem>
    <reviewItem>
      <errorID>cc6f02db-214a-4b20-ac08-834becceefe0</errorID>
      <errorWord>[2023]第7号</errorWord>
      <group>L1_Knowledge</group>
      <groupName>知识性问题</groupName>
      <ability>L2_Knowledge</ability>
      <abilityName>其他知识</abilityName>
      <candidateList>
        <item>〔2023〕7号</item>
      </candidateList>
      <explain>发文字号格式错误。</explain>
      <paraID>64FC2112</paraID>
      <start>35</start>
      <end>44</end>
      <status>unmodified</status>
      <modifiedWord/>
      <trackRevisions>false</trackRevisions>
    </reviewItem>
    <reviewItem>
      <errorID>7817edf3-e274-4bd3-b9a9-c3b81d77af62</errorID>
      <errorWord>〔2018〕第4号</errorWord>
      <group>L1_Knowledge</group>
      <groupName>知识性问题</groupName>
      <ability>L2_Knowledge</ability>
      <abilityName>其他知识</abilityName>
      <candidateList>
        <item>〔2018〕4号</item>
      </candidateList>
      <explain>发文字号格式错误。</explain>
      <paraID>41C90D42</paraID>
      <start>25</start>
      <end>34</end>
      <status>unmodified</status>
      <modifiedWord/>
      <trackRevisions>false</trackRevisions>
    </reviewItem>
    <reviewItem>
      <errorID>db332f2f-d1f0-4d8f-9cfc-c8bd0d0aa394</errorID>
      <errorWord>&lt;</errorWord>
      <group>L1_Format</group>
      <groupName>格式问题</groupName>
      <ability>L2_HalfPunc</ability>
      <abilityName>全半角检查</abilityName>
      <candidateList>
        <item>〈</item>
      </candidateList>
      <explain>文本全半角错误。</explain>
      <paraID>34545337</paraID>
      <start>9</start>
      <end>10</end>
      <status>unmodified</status>
      <modifiedWord/>
      <trackRevisions>false</trackRevisions>
    </reviewItem>
    <reviewItem>
      <errorID>e1722415-e38a-4ec9-8d7a-05b6d79d0e82</errorID>
      <errorWord>《</errorWord>
      <group>L1_Punc</group>
      <groupName>标点问题</groupName>
      <ability>L2_Punc</ability>
      <abilityName>标点符号检查</abilityName>
      <candidateList/>
      <explain>同一形式括号套用。</explain>
      <paraID>34545337</paraID>
      <start>16</start>
      <end>17</end>
      <status>unmodified</status>
      <modifiedWord/>
      <trackRevisions>false</trackRevisions>
    </reviewItem>
    <reviewItem>
      <errorID>639332d7-1f81-4c20-b5d0-0123694c8ca4</errorID>
      <errorWord>》</errorWord>
      <group>L1_Punc</group>
      <groupName>标点问题</groupName>
      <ability>L2_Punc</ability>
      <abilityName>标点符号检查</abilityName>
      <candidateList/>
      <explain>同一形式括号套用。</explain>
      <paraID>34545337</paraID>
      <start>31</start>
      <end>32</end>
      <status>unmodified</status>
      <modifiedWord/>
      <trackRevisions>false</trackRevisions>
    </reviewItem>
    <reviewItem>
      <errorID>9033549c-8fb8-4356-bb05-d84010b07261</errorID>
      <errorWord>&gt;的通知》</errorWord>
      <group>L1_Punc</group>
      <groupName>标点问题</groupName>
      <ability>L2_Punc</ability>
      <abilityName>标点符号检查</abilityName>
      <candidateList>
        <item>〉的通知》</item>
      </candidateList>
      <explain/>
      <paraID>34545337</paraID>
      <start>37</start>
      <end>42</end>
      <status>unmodified</status>
      <modifiedWord/>
      <trackRevisions>false</trackRevisions>
    </reviewItem>
    <reviewItem>
      <errorID>3963ac3c-39a3-4737-8e59-068bbdd74f5f</errorID>
      <errorWord>《</errorWord>
      <group>L1_Punc</group>
      <groupName>标点问题</groupName>
      <ability>L2_Punc</ability>
      <abilityName>标点符号检查</abilityName>
      <candidateList/>
      <explain>同一形式括号套用。</explain>
      <paraID>46FE1C2C</paraID>
      <start>9</start>
      <end>10</end>
      <status>unmodified</status>
      <modifiedWord/>
      <trackRevisions>false</trackRevisions>
    </reviewItem>
    <reviewItem>
      <errorID>6d8b8ce3-dcd8-4086-bc1c-68fe14ee7db3</errorID>
      <errorWord>》</errorWord>
      <group>L1_Punc</group>
      <groupName>标点问题</groupName>
      <ability>L2_Punc</ability>
      <abilityName>标点符号检查</abilityName>
      <candidateList/>
      <explain>同一形式括号套用。</explain>
      <paraID>46FE1C2C</paraID>
      <start>22</start>
      <end>23</end>
      <status>unmodified</status>
      <modifiedWord/>
      <trackRevisions>false</trackRevisions>
    </reviewItem>
    <reviewItem>
      <errorID>50e5588b-f40d-4071-8391-1a716256879b</errorID>
      <errorWord>（</errorWord>
      <group>L1_Punc</group>
      <groupName>标点问题</groupName>
      <ability>L2_Punc</ability>
      <abilityName>标点符号检查</abilityName>
      <candidateList/>
      <explain>同一形式括号套用。</explain>
      <paraID>5B545EF3</paraID>
      <start>35</start>
      <end>36</end>
      <status>ignored</status>
      <modifiedWord/>
      <trackRevisions>false</trackRevisions>
    </reviewItem>
    <reviewItem>
      <errorID>6000668b-fca9-4f27-920d-b9290610cc21</errorID>
      <errorWord>）</errorWord>
      <group>L1_Punc</group>
      <groupName>标点问题</groupName>
      <ability>L2_Punc</ability>
      <abilityName>标点符号检查</abilityName>
      <candidateList/>
      <explain>同一形式括号套用。</explain>
      <paraID>5B545EF3</paraID>
      <start>49</start>
      <end>50</end>
      <status>ignored</status>
      <modifiedWord/>
      <trackRevisions>false</trackRevisions>
    </reviewItem>
    <reviewItem>
      <errorID>3426f11a-c8a5-47c8-9b3e-41fb61f299ea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16EEE643</paraID>
      <start>21</start>
      <end>22</end>
      <status>ignored</status>
      <modifiedWord/>
      <trackRevisions>false</trackRevisions>
    </reviewItem>
    <reviewItem>
      <errorID>16e80bef-f6c4-4216-8541-b9212b7d0062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B4BF835</paraID>
      <start>21</start>
      <end>22</end>
      <status>ignored</status>
      <modifiedWord/>
      <trackRevisions>false</trackRevisions>
    </reviewItem>
    <reviewItem>
      <errorID>6dee8059-314e-4eff-96bd-87147c3f0399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6E8B2CCE</paraID>
      <start>20</start>
      <end>21</end>
      <status>ignored</status>
      <modifiedWord/>
      <trackRevisions>false</trackRevisions>
    </reviewItem>
    <reviewItem>
      <errorID>d2f15c18-d562-417d-85e7-923b76c3f413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E3F76DC</paraID>
      <start>20</start>
      <end>21</end>
      <status>ignored</status>
      <modifiedWord/>
      <trackRevisions>false</trackRevisions>
    </reviewItem>
    <reviewItem>
      <errorID>981fdc30-6e90-4342-ba1d-f802ae129f7a</errorID>
      <errorWord>作法</errorWord>
      <group>L1_Word</group>
      <groupName>字词问题</groupName>
      <ability>L2_Typo</ability>
      <abilityName>字词错误</abilityName>
      <candidateList>
        <item>做法</item>
      </candidateList>
      <explain>存在发音相同字词的误用。</explain>
      <paraID>1C422CF7</paraID>
      <start>20</start>
      <end>22</end>
      <status>unmodified</status>
      <modifiedWord/>
      <trackRevisions>false</trackRevisions>
    </reviewItem>
    <reviewItem>
      <errorID>ba9685b9-f427-4fce-9569-e5fedfd92559</errorID>
      <errorWord>其它</errorWord>
      <group>L1_Word</group>
      <groupName>字词问题</groupName>
      <ability>L2_Alias</ability>
      <abilityName>也作/曾用词</abilityName>
      <candidateList>
        <item>其他</item>
      </candidateList>
      <explain>词汇[其它]为不规范表述或旧称，其规范书面表述为[其他]。</explain>
      <paraID>34AA79F1</paraID>
      <start>5</start>
      <end>7</end>
      <status>unmodified</status>
      <modifiedWord/>
      <trackRevisions>false</trackRevisions>
    </reviewItem>
    <reviewItem>
      <errorID>5f3f3dd6-6af4-43f0-83a1-83e966f7f84f</errorID>
      <errorWord>井井</errorWord>
      <group>L1_Word</group>
      <groupName>字词问题</groupName>
      <ability>L2_Typo</ability>
      <abilityName>字词错误</abilityName>
      <candidateList>
        <item>井</item>
      </candidateList>
      <explain/>
      <paraID>43A1177A</paraID>
      <start>11</start>
      <end>13</end>
      <status>ignored</status>
      <modifiedWord/>
      <trackRevisions>false</trackRevisions>
    </reviewItem>
    <reviewItem>
      <errorID>a0716688-6dd3-4f08-b8b3-ae2d74a95fb8</errorID>
      <errorWord>井井</errorWord>
      <group>L1_Word</group>
      <groupName>字词问题</groupName>
      <ability>L2_Typo</ability>
      <abilityName>字词错误</abilityName>
      <candidateList>
        <item>井</item>
      </candidateList>
      <explain/>
      <paraID>1364CCBD</paraID>
      <start>11</start>
      <end>13</end>
      <status>ignored</status>
      <modifiedWord/>
      <trackRevisions>false</trackRevisions>
    </reviewItem>
    <reviewItem>
      <errorID>250b73cf-7649-4054-90eb-06deb8a002ae</errorID>
      <errorWord>井井</errorWord>
      <group>L1_Word</group>
      <groupName>字词问题</groupName>
      <ability>L2_Typo</ability>
      <abilityName>字词错误</abilityName>
      <candidateList>
        <item>井</item>
      </candidateList>
      <explain/>
      <paraID>407FA56F</paraID>
      <start>12</start>
      <end>14</end>
      <status>ignored</status>
      <modifiedWord/>
      <trackRevisions>false</trackRevisions>
    </reviewItem>
    <reviewItem>
      <errorID>5dc0656a-d124-4b5c-a86c-f7d2cb273e40</errorID>
      <errorWord>井井</errorWord>
      <group>L1_Word</group>
      <groupName>字词问题</groupName>
      <ability>L2_Typo</ability>
      <abilityName>字词错误</abilityName>
      <candidateList>
        <item>井</item>
      </candidateList>
      <explain/>
      <paraID>1E115CCC</paraID>
      <start>13</start>
      <end>15</end>
      <status>ignored</status>
      <modifiedWord/>
      <trackRevisions>false</trackRevisions>
    </reviewItem>
    <reviewItem>
      <errorID>52e0bc13-76ac-4d97-a11a-85a42195b957</errorID>
      <errorWord>期</errorWord>
      <group>L1_Word</group>
      <groupName>字词问题</groupName>
      <ability>L2_Typo</ability>
      <abilityName>字词错误</abilityName>
      <candidateList>
        <item>期间</item>
      </candidateList>
      <explain>〈名〉某个时期里面：农忙～｜春节～｜抗战～。</explain>
      <paraID>159D984A</paraID>
      <start>46</start>
      <end>47</end>
      <status>ignored</status>
      <modifiedWord/>
      <trackRevisions>false</trackRevisions>
    </reviewItem>
    <reviewItem>
      <errorID>08482958-5f11-488b-85c1-2db6e36b135f</errorID>
      <errorWord>占地土壤</errorWord>
      <group>L1_Knowledge</group>
      <groupName>知识性问题</groupName>
      <ability>L2_Term</ability>
      <abilityName>专业术语</abilityName>
      <candidateList>
        <item>迹地土壤</item>
      </candidateList>
      <explain/>
      <paraID>5CD3BC86</paraID>
      <start>87</start>
      <end>91</end>
      <status>unmodified</status>
      <modifiedWord/>
      <trackRevisions>false</trackRevisions>
    </reviewItem>
    <reviewItem>
      <errorID>c2de9c23-f35c-4bb1-b2e7-3486135f54ff</errorID>
      <errorWord>泄露</errorWord>
      <group>L1_Word</group>
      <groupName>字词问题</groupName>
      <ability>L2_Typo</ability>
      <abilityName>字词错误</abilityName>
      <candidateList>
        <item>泄漏</item>
      </candidateList>
      <explain>存在发音相同字词的误用。</explain>
      <paraID>57B45BA5</paraID>
      <start>18</start>
      <end>20</end>
      <status>unmodified</status>
      <modifiedWord/>
      <trackRevisions>false</trackRevisions>
    </reviewItem>
    <reviewItem>
      <errorID>9f53adfb-3bc0-4c2e-a016-41909e06d582</errorID>
      <errorWord>-</errorWord>
      <group>L1_Format</group>
      <groupName>格式问题</groupName>
      <ability>L2_HalfPunc</ability>
      <abilityName>全半角检查</abilityName>
      <candidateList>
        <item>－</item>
      </candidateList>
      <explain>文本全半角错误。</explain>
      <paraID>54DDF42A</paraID>
      <start>2</start>
      <end>3</end>
      <status>unmodified</status>
      <modifiedWord/>
      <trackRevisions>false</trackRevisions>
    </reviewItem>
    <reviewItem>
      <errorID>39e6f772-deaa-45a0-b624-dc2a236c0a04</errorID>
      <errorWord>/：</errorWord>
      <group>L1_Punc</group>
      <groupName>标点问题</groupName>
      <ability>L2_Punc</ability>
      <abilityName>标点符号检查</abilityName>
      <candidateList>
        <item>/</item>
      </candidateList>
      <explain/>
      <paraID>54DDF42A</paraID>
      <start>48</start>
      <end>50</end>
      <status>unmodified</status>
      <modifiedWord/>
      <trackRevisions>false</trackRevisions>
    </reviewItem>
    <reviewItem>
      <errorID>d00fd014-8591-4a40-802b-57acb7c44533</errorID>
      <errorWord>-</errorWord>
      <group>L1_Format</group>
      <groupName>格式问题</groupName>
      <ability>L2_HalfPunc</ability>
      <abilityName>全半角检查</abilityName>
      <candidateList>
        <item>－</item>
      </candidateList>
      <explain>文本全半角错误。</explain>
      <paraID>1E17B085</paraID>
      <start>2</start>
      <end>3</end>
      <status>unmodified</status>
      <modifiedWord/>
      <trackRevisions>false</trackRevisions>
    </reviewItem>
    <reviewItem>
      <errorID>d3a3de05-b1a6-40af-b0ba-5b75002e29b4</errorID>
      <errorWord>/：</errorWord>
      <group>L1_Punc</group>
      <groupName>标点问题</groupName>
      <ability>L2_Punc</ability>
      <abilityName>标点符号检查</abilityName>
      <candidateList>
        <item>/</item>
      </candidateList>
      <explain/>
      <paraID>1E17B085</paraID>
      <start>48</start>
      <end>50</end>
      <status>unmodified</status>
      <modifiedWord/>
      <trackRevisions>false</trackRevisions>
    </reviewItem>
    <reviewItem>
      <errorID>e8e7e734-2164-4135-8b5f-db20b291f7cd</errorID>
      <errorWord>产生污染物</errorWord>
      <group>L1_Knowledge</group>
      <groupName>知识性问题</groupName>
      <ability>L2_Term</ability>
      <abilityName>专业术语</abilityName>
      <candidateList>
        <item>次生污染物</item>
      </candidateList>
      <explain/>
      <paraID>2195C19E</paraID>
      <start>5</start>
      <end>10</end>
      <status>unmodified</status>
      <modifiedWord/>
      <trackRevisions>false</trackRevisions>
    </reviewItem>
    <reviewItem>
      <errorID>ef11fd14-2ce0-46a4-8519-045cb23a6d5b</errorID>
      <errorWord>~</errorWord>
      <group>L1_Format</group>
      <groupName>格式问题</groupName>
      <ability>L2_HalfPunc</ability>
      <abilityName>全半角检查</abilityName>
      <candidateList>
        <item>～</item>
      </candidateList>
      <explain>文本全半角错误。</explain>
      <paraID>2195C19E</paraID>
      <start>47</start>
      <end>48</end>
      <status>unmodified</status>
      <modifiedWord/>
      <trackRevisions>false</trackRevisions>
    </reviewItem>
    <reviewItem>
      <errorID>b54f71fb-28a4-4b96-bdec-67aa74c01738</errorID>
      <errorWord>(</errorWord>
      <group>L1_Format</group>
      <groupName>格式问题</groupName>
      <ability>L2_HalfPunc</ability>
      <abilityName>全半角检查</abilityName>
      <candidateList>
        <item>（</item>
      </candidateList>
      <explain>文本全半角错误。</explain>
      <paraID>45F58925</paraID>
      <start>269</start>
      <end>270</end>
      <status>ignored</status>
      <modifiedWord/>
      <trackRevisions>false</trackRevisions>
    </reviewItem>
    <reviewItem>
      <errorID>16d099f5-41c6-47f5-b8e1-216a47e58f39</errorID>
      <errorWord>)</errorWord>
      <group>L1_Format</group>
      <groupName>格式问题</groupName>
      <ability>L2_HalfPunc</ability>
      <abilityName>全半角检查</abilityName>
      <candidateList>
        <item>）</item>
      </candidateList>
      <explain>文本全半角错误。</explain>
      <paraID>45F58925</paraID>
      <start>271</start>
      <end>272</end>
      <status>ignored</status>
      <modifiedWord/>
      <trackRevisions>false</trackRevisions>
    </reviewItem>
    <reviewItem>
      <errorID>e50ce225-1043-4948-8968-f72faa7cb9b1</errorID>
      <errorWord>覆盖率等</errorWord>
      <group>L1_Word</group>
      <groupName>字词问题</groupName>
      <ability>L2_Typo</ability>
      <abilityName>字词错误</abilityName>
      <candidateList>
        <item>覆盖率</item>
      </candidateList>
      <explain/>
      <paraID>14CA978A</paraID>
      <start>24</start>
      <end>28</end>
      <status>unmodified</status>
      <modifiedWord/>
      <trackRevisions>false</trackRevisions>
    </reviewItem>
    <reviewItem>
      <errorID>c5d71a67-16f5-45a1-b685-edc15e0db306</errorID>
      <errorWord>泄露</errorWord>
      <group>L1_Word</group>
      <groupName>字词问题</groupName>
      <ability>L2_Typo</ability>
      <abilityName>字词错误</abilityName>
      <candidateList>
        <item>泄漏</item>
      </candidateList>
      <explain>存在发音相同字词的误用。</explain>
      <paraID>6FB8551B</paraID>
      <start>8</start>
      <end>10</end>
      <status>unmodified</status>
      <modifiedWord/>
      <trackRevisions>false</trackRevisions>
    </reviewItem>
    <reviewItem>
      <errorID>ef4918cb-087c-40ac-ae07-b68f0568d4d2</errorID>
      <errorWord>、</errorWord>
      <group>L1_Punc</group>
      <groupName>标点问题</groupName>
      <ability>L2_Punc</ability>
      <abilityName>标点符号检查</abilityName>
      <candidateList/>
      <explain/>
      <paraID>470525C4</paraID>
      <start>0</start>
      <end>1</end>
      <status>unmodified</status>
      <modifiedWord/>
      <trackRevisions>false</trackRevisions>
    </reviewItem>
    <reviewItem>
      <errorID>e5914f41-75ae-4f9b-887d-49518a0cbac4</errorID>
      <errorWord>[2019]11号</errorWord>
      <group>L1_Knowledge</group>
      <groupName>知识性问题</groupName>
      <ability>L2_Knowledge</ability>
      <abilityName>其他知识</abilityName>
      <candidateList>
        <item>〔2019〕11号</item>
      </candidateList>
      <explain>发文字号格式错误。</explain>
      <paraID>6C84A228</paraID>
      <start>62</start>
      <end>71</end>
      <status>unmodified</status>
      <modifiedWord/>
      <trackRevisions>false</trackRevisions>
    </reviewItem>
    <reviewItem>
      <errorID>ca807fa5-25cb-4e99-b998-f4fa84a36132</errorID>
      <errorWord>其它</errorWord>
      <group>L1_Word</group>
      <groupName>字词问题</groupName>
      <ability>L2_Alias</ability>
      <abilityName>也作/曾用词</abilityName>
      <candidateList>
        <item>其他</item>
      </candidateList>
      <explain>词汇[其它]为不规范表述或旧称，其规范书面表述为[其他]。</explain>
      <paraID>6C84A228</paraID>
      <start>111</start>
      <end>113</end>
      <status>unmodified</status>
      <modifiedWord/>
      <trackRevisions>false</trackRevisions>
    </reviewItem>
    <reviewItem>
      <errorID>a2f1bfeb-3e5c-4b0e-9a47-da189733ade8</errorID>
      <errorWord>(</errorWord>
      <group>L1_Format</group>
      <groupName>格式问题</groupName>
      <ability>L2_HalfPunc</ability>
      <abilityName>全半角检查</abilityName>
      <candidateList>
        <item>（</item>
      </candidateList>
      <explain>文本全半角错误。</explain>
      <paraID>6C84A228</paraID>
      <start>272</start>
      <end>273</end>
      <status>ignored</status>
      <modifiedWord/>
      <trackRevisions>false</trackRevisions>
    </reviewItem>
    <reviewItem>
      <errorID>65563e93-2369-4f3f-ab3c-9d8b4e851240</errorID>
      <errorWord>III类</errorWord>
      <group>L1_Knowledge</group>
      <groupName>知识性问题</groupName>
      <ability>L2_Knowledge</ability>
      <abilityName>其他知识</abilityName>
      <candidateList>
        <item>Ⅲ类</item>
      </candidateList>
      <explain/>
      <paraID>33853D27</paraID>
      <start>67</start>
      <end>71</end>
      <status>unmodified</status>
      <modifiedWord/>
      <trackRevisions>false</trackRevisions>
    </reviewItem>
    <reviewItem>
      <errorID>2461a3bd-a63d-4a4e-9b22-c3898a784d85</errorID>
      <errorWord>II类</errorWord>
      <group>L1_Knowledge</group>
      <groupName>知识性问题</groupName>
      <ability>L2_Knowledge</ability>
      <abilityName>其他知识</abilityName>
      <candidateList>
        <item>Ⅱ类</item>
      </candidateList>
      <explain/>
      <paraID>33853D27</paraID>
      <start>109</start>
      <end>112</end>
      <status>unmodified</status>
      <modifiedWord/>
      <trackRevisions>false</trackRevisions>
    </reviewItem>
    <reviewItem>
      <errorID>287b403d-e84e-4f32-8a4e-fbf309f90f8e</errorID>
      <errorWord>～</errorWord>
      <group>L1_Format</group>
      <groupName>格式问题</groupName>
      <ability>L2_HalfPunc</ability>
      <abilityName>全半角检查</abilityName>
      <candidateList>
        <item>~</item>
      </candidateList>
      <explain>文本全半角错误。</explain>
      <paraID>3046B9F2</paraID>
      <start>3</start>
      <end>4</end>
      <status>unmodified</status>
      <modifiedWord/>
      <trackRevisions>false</trackRevisions>
    </reviewItem>
    <reviewItem>
      <errorID>2bfe70d6-90e0-48fc-b690-8f1d96b02688</errorID>
      <errorWord>(</errorWord>
      <group>L1_Format</group>
      <groupName>格式问题</groupName>
      <ability>L2_HalfPunc</ability>
      <abilityName>全半角检查</abilityName>
      <candidateList>
        <item>（</item>
      </candidateList>
      <explain>文本全半角错误。</explain>
      <paraID> A645ADF</paraID>
      <start>3</start>
      <end>4</end>
      <status>ignored</status>
      <modifiedWord/>
      <trackRevisions>false</trackRevisions>
    </reviewItem>
    <reviewItem>
      <errorID>0b9fc88c-80d3-466b-97f7-571fa4db217e</errorID>
      <errorWord>)</errorWord>
      <group>L1_Format</group>
      <groupName>格式问题</groupName>
      <ability>L2_HalfPunc</ability>
      <abilityName>全半角检查</abilityName>
      <candidateList>
        <item>）</item>
      </candidateList>
      <explain>文本全半角错误。</explain>
      <paraID> A645ADF</paraID>
      <start>7</start>
      <end>8</end>
      <status>ignored</status>
      <modifiedWord/>
      <trackRevisions>false</trackRevisions>
    </reviewItem>
    <reviewItem>
      <errorID>f52d67a5-0c81-4478-bb66-df89cee543bc</errorID>
      <errorWord>(</errorWord>
      <group>L1_Format</group>
      <groupName>格式问题</groupName>
      <ability>L2_HalfPunc</ability>
      <abilityName>全半角检查</abilityName>
      <candidateList>
        <item>（</item>
      </candidateList>
      <explain>文本全半角错误。</explain>
      <paraID>23576846</paraID>
      <start>4</start>
      <end>5</end>
      <status>ignored</status>
      <modifiedWord/>
      <trackRevisions>false</trackRevisions>
    </reviewItem>
    <reviewItem>
      <errorID>70825dd8-9c28-4b89-8576-abb9dbdab6df</errorID>
      <errorWord>)</errorWord>
      <group>L1_Format</group>
      <groupName>格式问题</groupName>
      <ability>L2_HalfPunc</ability>
      <abilityName>全半角检查</abilityName>
      <candidateList>
        <item>）</item>
      </candidateList>
      <explain>文本全半角错误。</explain>
      <paraID>23576846</paraID>
      <start>8</start>
      <end>9</end>
      <status>ignored</status>
      <modifiedWord/>
      <trackRevisions>false</trackRevisions>
    </reviewItem>
    <reviewItem>
      <errorID>a71fdfd8-77e6-4e68-acbe-c14c2c434411</errorID>
      <errorWord>II类</errorWord>
      <group>L1_Knowledge</group>
      <groupName>知识性问题</groupName>
      <ability>L2_Knowledge</ability>
      <abilityName>其他知识</abilityName>
      <candidateList>
        <item>Ⅱ类</item>
      </candidateList>
      <explain/>
      <paraID>7E5727E9</paraID>
      <start>28</start>
      <end>31</end>
      <status>unmodified</status>
      <modifiedWord/>
      <trackRevisions>false</trackRevisions>
    </reviewItem>
    <reviewItem>
      <errorID>b6eb1357-edb2-4809-9e09-14a468fa0ebd</errorID>
      <errorWord>[2019]11号</errorWord>
      <group>L1_Knowledge</group>
      <groupName>知识性问题</groupName>
      <ability>L2_Knowledge</ability>
      <abilityName>其他知识</abilityName>
      <candidateList>
        <item>〔2019〕11号</item>
      </candidateList>
      <explain>发文字号格式错误。</explain>
      <paraID>335C3B49</paraID>
      <start>62</start>
      <end>71</end>
      <status>unmodified</status>
      <modifiedWord/>
      <trackRevisions>false</trackRevisions>
    </reviewItem>
    <reviewItem>
      <errorID>309cd964-cc9a-47ab-9657-cd9dc5577756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2CBBA936</paraID>
      <start>0</start>
      <end>2</end>
      <status>unmodified</status>
      <modifiedWord/>
      <trackRevisions>false</trackRevisions>
    </reviewItem>
    <reviewItem>
      <errorID>4353e681-a903-4f87-bd46-c0a97e0d809d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35F6A056</paraID>
      <start>0</start>
      <end>2</end>
      <status>unmodified</status>
      <modifiedWord/>
      <trackRevisions>false</trackRevisions>
    </reviewItem>
    <reviewItem>
      <errorID>a7d282d6-8238-4cea-8805-cd34960eafdd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5E8E0D36</paraID>
      <start>0</start>
      <end>2</end>
      <status>unmodified</status>
      <modifiedWord/>
      <trackRevisions>false</trackRevisions>
    </reviewItem>
    <reviewItem>
      <errorID>1d871d09-8750-4d3f-a35e-1be4d6e4f959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474561A0</paraID>
      <start>0</start>
      <end>2</end>
      <status>unmodified</status>
      <modifiedWord/>
      <trackRevisions>false</trackRevisions>
    </reviewItem>
    <reviewItem>
      <errorID>665e5535-ee98-4e31-b4f2-4ab0108d0aa2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15CE6223</paraID>
      <start>0</start>
      <end>2</end>
      <status>unmodified</status>
      <modifiedWord/>
      <trackRevisions>false</trackRevisions>
    </reviewItem>
    <reviewItem>
      <errorID>7ba9bdd0-14f2-4992-b261-44d84011c79a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79032B4F</paraID>
      <start>0</start>
      <end>2</end>
      <status>unmodified</status>
      <modifiedWord/>
      <trackRevisions>false</trackRevisions>
    </reviewItem>
    <reviewItem>
      <errorID>7ca43c64-1430-40f9-afe6-fcbde37477d0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7AB0E941</paraID>
      <start>0</start>
      <end>2</end>
      <status>unmodified</status>
      <modifiedWord/>
      <trackRevisions>false</trackRevisions>
    </reviewItem>
    <reviewItem>
      <errorID>47873b29-0bdb-4ca1-a946-940f2e50b31f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6AE3F0B8</paraID>
      <start>0</start>
      <end>2</end>
      <status>unmodified</status>
      <modifiedWord/>
      <trackRevisions>false</trackRevisions>
    </reviewItem>
    <reviewItem>
      <errorID>9f3d1989-e2f4-481a-ac41-1c263d7551b0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2186AA3A</paraID>
      <start>0</start>
      <end>2</end>
      <status>unmodified</status>
      <modifiedWord/>
      <trackRevisions>false</trackRevisions>
    </reviewItem>
    <reviewItem>
      <errorID>a8dfd73a-e4c6-4348-a750-b9a237e57015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9367FB7</paraID>
      <start>0</start>
      <end>2</end>
      <status>unmodified</status>
      <modifiedWord/>
      <trackRevisions>false</trackRevisions>
    </reviewItem>
    <reviewItem>
      <errorID>675eb5a6-8ef4-4c58-8186-796aa9bc618a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4CE1D980</paraID>
      <start>0</start>
      <end>2</end>
      <status>unmodified</status>
      <modifiedWord/>
      <trackRevisions>false</trackRevisions>
    </reviewItem>
    <reviewItem>
      <errorID>66eae184-a35a-41f9-b95e-752bbf5d63bc</errorID>
      <errorWord>其它</errorWord>
      <group>L1_Word</group>
      <groupName>字词问题</groupName>
      <ability>L2_Alias</ability>
      <abilityName>也作/曾用词</abilityName>
      <candidateList>
        <item>其他</item>
      </candidateList>
      <explain>词汇[其它]为不规范表述或旧称，其规范书面表述为[其他]。</explain>
      <paraID>2685F390</paraID>
      <start>0</start>
      <end>2</end>
      <status>unmodified</status>
      <modifiedWord/>
      <trackRevisions>false</trackRevisions>
    </reviewItem>
    <reviewItem>
      <errorID>7470954a-68de-4912-b042-922ae1d71f4e</errorID>
      <errorWord>其它</errorWord>
      <group>L1_Word</group>
      <groupName>字词问题</groupName>
      <ability>L2_Alias</ability>
      <abilityName>也作/曾用词</abilityName>
      <candidateList>
        <item>其他</item>
      </candidateList>
      <explain>词汇[其它]为不规范表述或旧称，其规范书面表述为[其他]。</explain>
      <paraID>3AD9339E</paraID>
      <start>0</start>
      <end>2</end>
      <status>unmodified</status>
      <modifiedWord/>
      <trackRevisions>false</trackRevisions>
    </reviewItem>
    <reviewItem>
      <errorID>aa1fcb66-dc9b-4d0a-81d7-62ece07324e6</errorID>
      <errorWord>其它</errorWord>
      <group>L1_Word</group>
      <groupName>字词问题</groupName>
      <ability>L2_Alias</ability>
      <abilityName>也作/曾用词</abilityName>
      <candidateList>
        <item>其他</item>
      </candidateList>
      <explain>词汇[其它]为不规范表述或旧称，其规范书面表述为[其他]。</explain>
      <paraID>7D3BEC8B</paraID>
      <start>0</start>
      <end>2</end>
      <status>unmodified</status>
      <modifiedWord/>
      <trackRevisions>false</trackRevisions>
    </reviewItem>
    <reviewItem>
      <errorID>3482da0f-2191-4575-bafa-acf6b4991d73</errorID>
      <errorWord>其它</errorWord>
      <group>L1_Word</group>
      <groupName>字词问题</groupName>
      <ability>L2_Alias</ability>
      <abilityName>也作/曾用词</abilityName>
      <candidateList>
        <item>其他</item>
      </candidateList>
      <explain>词汇[其它]为不规范表述或旧称，其规范书面表述为[其他]。</explain>
      <paraID>6026964B</paraID>
      <start>0</start>
      <end>2</end>
      <status>unmodified</status>
      <modifiedWord/>
      <trackRevisions>false</trackRevisions>
    </reviewItem>
    <reviewItem>
      <errorID>0917da97-6be7-4a10-8a32-e864000e5f47</errorID>
      <errorWord>其它</errorWord>
      <group>L1_Word</group>
      <groupName>字词问题</groupName>
      <ability>L2_Alias</ability>
      <abilityName>也作/曾用词</abilityName>
      <candidateList>
        <item>其他</item>
      </candidateList>
      <explain>词汇[其它]为不规范表述或旧称，其规范书面表述为[其他]。</explain>
      <paraID>5ADC4AF5</paraID>
      <start>0</start>
      <end>2</end>
      <status>unmodified</status>
      <modifiedWord/>
      <trackRevisions>false</trackRevisions>
    </reviewItem>
    <reviewItem>
      <errorID>b2a8b7f3-e967-4883-aac2-e484bb32659e</errorID>
      <errorWord>其它</errorWord>
      <group>L1_Word</group>
      <groupName>字词问题</groupName>
      <ability>L2_Alias</ability>
      <abilityName>也作/曾用词</abilityName>
      <candidateList>
        <item>其他</item>
      </candidateList>
      <explain>词汇[其它]为不规范表述或旧称，其规范书面表述为[其他]。</explain>
      <paraID>5B6F29E5</paraID>
      <start>0</start>
      <end>2</end>
      <status>unmodified</status>
      <modifiedWord/>
      <trackRevisions>false</trackRevisions>
    </reviewItem>
    <reviewItem>
      <errorID>efcea36f-0a03-46b9-beee-bcfdf4374604</errorID>
      <errorWord>（</errorWord>
      <group>L1_Format</group>
      <groupName>格式问题</groupName>
      <ability>L2_HalfPunc</ability>
      <abilityName>全半角检查</abilityName>
      <candidateList>
        <item>(</item>
      </candidateList>
      <explain>文本全半角错误。</explain>
      <paraID>14A77D11</paraID>
      <start>0</start>
      <end>1</end>
      <status>unmodified</status>
      <modifiedWord/>
      <trackRevisions>false</trackRevisions>
    </reviewItem>
    <reviewItem>
      <errorID>f6c4f826-8deb-4b4a-898a-22984267943d</errorID>
      <errorWord>）（</errorWord>
      <group>L1_Format</group>
      <groupName>格式问题</groupName>
      <ability>L2_HalfPunc</ability>
      <abilityName>全半角检查</abilityName>
      <candidateList>
        <item>)(</item>
      </candidateList>
      <explain>文本全半角错误。</explain>
      <paraID>14A77D11</paraID>
      <start>4</start>
      <end>6</end>
      <status>unmodified</status>
      <modifiedWord/>
      <trackRevisions>false</trackRevisions>
    </reviewItem>
    <reviewItem>
      <errorID>2fd23087-ea47-4598-bc2f-c0fb1ed35479</errorID>
      <errorWord>）</errorWord>
      <group>L1_Format</group>
      <groupName>格式问题</groupName>
      <ability>L2_HalfPunc</ability>
      <abilityName>全半角检查</abilityName>
      <candidateList>
        <item>)</item>
      </candidateList>
      <explain>文本全半角错误。</explain>
      <paraID>14A77D11</paraID>
      <start>8</start>
      <end>9</end>
      <status>unmodified</status>
      <modifiedWord/>
      <trackRevisions>false</trackRevisions>
    </reviewItem>
    <reviewItem>
      <errorID>de3cbb20-0910-43cc-8eac-9c3cac61146d</errorID>
      <errorWord>＞</errorWord>
      <group>L1_Format</group>
      <groupName>格式问题</groupName>
      <ability>L2_HalfPunc</ability>
      <abilityName>全半角检查</abilityName>
      <candidateList>
        <item>&gt;</item>
      </candidateList>
      <explain>文本全半角错误。</explain>
      <paraID>38689A43</paraID>
      <start>4</start>
      <end>5</end>
      <status>unmodified</status>
      <modifiedWord/>
      <trackRevisions>false</trackRevisions>
    </reviewItem>
    <reviewItem>
      <errorID>900ef0eb-ae6c-4404-9bbd-d09ab37f817e</errorID>
      <errorWord>＜</errorWord>
      <group>L1_Format</group>
      <groupName>格式问题</groupName>
      <ability>L2_HalfPunc</ability>
      <abilityName>全半角检查</abilityName>
      <candidateList>
        <item>&lt;</item>
      </candidateList>
      <explain>文本全半角错误。</explain>
      <paraID>109BF4DC</paraID>
      <start>7</start>
      <end>8</end>
      <status>unmodified</status>
      <modifiedWord/>
      <trackRevisions>false</trackRevisions>
    </reviewItem>
    <reviewItem>
      <errorID>6af5cc73-adf9-4fc7-9f96-6a84332baede</errorID>
      <errorWord>＜</errorWord>
      <group>L1_Format</group>
      <groupName>格式问题</groupName>
      <ability>L2_HalfPunc</ability>
      <abilityName>全半角检查</abilityName>
      <candidateList>
        <item>&lt;</item>
      </candidateList>
      <explain>文本全半角错误。</explain>
      <paraID>123C1902</paraID>
      <start>7</start>
      <end>8</end>
      <status>unmodified</status>
      <modifiedWord/>
      <trackRevisions>false</trackRevisions>
    </reviewItem>
    <reviewItem>
      <errorID>3c50a5da-d67e-4a2b-9c7a-bd9641cc538c</errorID>
      <errorWord>＜</errorWord>
      <group>L1_Format</group>
      <groupName>格式问题</groupName>
      <ability>L2_HalfPunc</ability>
      <abilityName>全半角检查</abilityName>
      <candidateList>
        <item>&lt;</item>
      </candidateList>
      <explain>文本全半角错误。</explain>
      <paraID>39582589</paraID>
      <start>4</start>
      <end>5</end>
      <status>unmodified</status>
      <modifiedWord/>
      <trackRevisions>false</trackRevisions>
    </reviewItem>
    <reviewItem>
      <errorID>e82935d1-8682-407f-b8bf-55550997c38a</errorID>
      <errorWord>＜</errorWord>
      <group>L1_Format</group>
      <groupName>格式问题</groupName>
      <ability>L2_HalfPunc</ability>
      <abilityName>全半角检查</abilityName>
      <candidateList>
        <item>&lt;</item>
      </candidateList>
      <explain>文本全半角错误。</explain>
      <paraID>72178EF7</paraID>
      <start>4</start>
      <end>5</end>
      <status>unmodified</status>
      <modifiedWord/>
      <trackRevisions>false</trackRevisions>
    </reviewItem>
    <reviewItem>
      <errorID>27f5288a-a7c9-4500-8e3e-407f51c8f45c</errorID>
      <errorWord>＜</errorWord>
      <group>L1_Format</group>
      <groupName>格式问题</groupName>
      <ability>L2_HalfPunc</ability>
      <abilityName>全半角检查</abilityName>
      <candidateList>
        <item>&lt;</item>
      </candidateList>
      <explain>文本全半角错误。</explain>
      <paraID>7F9445EB</paraID>
      <start>7</start>
      <end>8</end>
      <status>unmodified</status>
      <modifiedWord/>
      <trackRevisions>false</trackRevisions>
    </reviewItem>
    <reviewItem>
      <errorID>dd24f455-debc-485c-b03d-7ff4fda77c31</errorID>
      <errorWord>后回注油层后回注油层</errorWord>
      <group>L1_Word</group>
      <groupName>字词问题</groupName>
      <ability>L2_Typo</ability>
      <abilityName>字词错误</abilityName>
      <candidateList>
        <item>后回注油层</item>
      </candidateList>
      <explain/>
      <paraID>5B1F684B</paraID>
      <start>185</start>
      <end>195</end>
      <status>unmodified</status>
      <modifiedWord/>
      <trackRevisions>false</trackRevisions>
    </reviewItem>
    <reviewItem>
      <errorID>bf509829-a669-473d-83bc-844a042ac2d7</errorID>
      <errorWord>＜</errorWord>
      <group>L1_Format</group>
      <groupName>格式问题</groupName>
      <ability>L2_HalfPunc</ability>
      <abilityName>全半角检查</abilityName>
      <candidateList>
        <item>&lt;</item>
      </candidateList>
      <explain>文本全半角错误。</explain>
      <paraID>1FCDEC91</paraID>
      <start>0</start>
      <end>1</end>
      <status>unmodified</status>
      <modifiedWord/>
      <trackRevisions>false</trackRevisions>
    </reviewItem>
    <reviewItem>
      <errorID>f63fe2ea-64d4-4595-b19e-670b05cb3f86</errorID>
      <errorWord>＞</errorWord>
      <group>L1_Format</group>
      <groupName>格式问题</groupName>
      <ability>L2_HalfPunc</ability>
      <abilityName>全半角检查</abilityName>
      <candidateList>
        <item>&gt;</item>
      </candidateList>
      <explain>文本全半角错误。</explain>
      <paraID> ED71422</paraID>
      <start>0</start>
      <end>1</end>
      <status>unmodified</status>
      <modifiedWord/>
      <trackRevisions>false</trackRevisions>
    </reviewItem>
    <reviewItem>
      <errorID>a475c1f6-5f5a-45a8-9dea-b8f59e05d947</errorID>
      <errorWord>＜</errorWord>
      <group>L1_Format</group>
      <groupName>格式问题</groupName>
      <ability>L2_HalfPunc</ability>
      <abilityName>全半角检查</abilityName>
      <candidateList>
        <item>&lt;</item>
      </candidateList>
      <explain>文本全半角错误。</explain>
      <paraID>7F96AFC7</paraID>
      <start>0</start>
      <end>1</end>
      <status>unmodified</status>
      <modifiedWord/>
      <trackRevisions>false</trackRevisions>
    </reviewItem>
    <reviewItem>
      <errorID>49f8176c-2c98-4a85-9c00-f54ca074797d</errorID>
      <errorWord>[</errorWord>
      <group>L1_Punc</group>
      <groupName>标点问题</groupName>
      <ability>L2_Punc</ability>
      <abilityName>标点符号检查</abilityName>
      <candidateList/>
      <explain/>
      <paraID>52E27455</paraID>
      <start>0</start>
      <end>1</end>
      <status>unmodified</status>
      <modifiedWord/>
      <trackRevisions>false</trackRevisions>
    </reviewItem>
    <reviewItem>
      <errorID>af2b28d2-16bd-4860-be6b-0694ee474e49</errorID>
      <errorWord>）</errorWord>
      <group>L1_Format</group>
      <groupName>格式问题</groupName>
      <ability>L2_HalfPunc</ability>
      <abilityName>全半角检查</abilityName>
      <candidateList>
        <item>)</item>
      </candidateList>
      <explain>文本全半角错误。</explain>
      <paraID>52E27455</paraID>
      <start>10</start>
      <end>11</end>
      <status>unmodified</status>
      <modifiedWord/>
      <trackRevisions>false</trackRevisions>
    </reviewItem>
    <reviewItem>
      <errorID>52210b91-9931-4b1a-8952-726f198d0457</errorID>
      <errorWord>[</errorWord>
      <group>L1_Punc</group>
      <groupName>标点问题</groupName>
      <ability>L2_Punc</ability>
      <abilityName>标点符号检查</abilityName>
      <candidateList/>
      <explain/>
      <paraID>5495B147</paraID>
      <start>0</start>
      <end>1</end>
      <status>unmodified</status>
      <modifiedWord/>
      <trackRevisions>false</trackRevisions>
    </reviewItem>
    <reviewItem>
      <errorID>605752a5-b416-4368-9501-26850c16615e</errorID>
      <errorWord>）</errorWord>
      <group>L1_Format</group>
      <groupName>格式问题</groupName>
      <ability>L2_HalfPunc</ability>
      <abilityName>全半角检查</abilityName>
      <candidateList>
        <item>)</item>
      </candidateList>
      <explain>文本全半角错误。</explain>
      <paraID>5495B147</paraID>
      <start>9</start>
      <end>10</end>
      <status>unmodified</status>
      <modifiedWord/>
      <trackRevisions>false</trackRevisions>
    </reviewItem>
    <reviewItem>
      <errorID>a6d484ef-82de-488c-a66f-d133782e4ca9</errorID>
      <errorWord>[</errorWord>
      <group>L1_Punc</group>
      <groupName>标点问题</groupName>
      <ability>L2_Punc</ability>
      <abilityName>标点符号检查</abilityName>
      <candidateList/>
      <explain/>
      <paraID> DBEC6D0</paraID>
      <start>0</start>
      <end>1</end>
      <status>unmodified</status>
      <modifiedWord/>
      <trackRevisions>false</trackRevisions>
    </reviewItem>
    <reviewItem>
      <errorID>f2cc4e9c-b2bf-405f-b2a2-c1808b094d47</errorID>
      <errorWord>）</errorWord>
      <group>L1_Format</group>
      <groupName>格式问题</groupName>
      <ability>L2_HalfPunc</ability>
      <abilityName>全半角检查</abilityName>
      <candidateList>
        <item>)</item>
      </candidateList>
      <explain>文本全半角错误。</explain>
      <paraID> DBEC6D0</paraID>
      <start>8</start>
      <end>9</end>
      <status>unmodified</status>
      <modifiedWord/>
      <trackRevisions>false</trackRevisions>
    </reviewItem>
    <reviewItem>
      <errorID>32caa240-f72c-46dd-b512-d66970efc122</errorID>
      <errorWord>主要以运营期为主</errorWord>
      <group>L1_Grammar</group>
      <groupName>语法问题</groupName>
      <ability>L2_Grammar</ability>
      <abilityName>语法错误</abilityName>
      <candidateList>
        <item>以运营期为主</item>
      </candidateList>
      <explain/>
      <paraID>69940E4A</paraID>
      <start>153</start>
      <end>161</end>
      <status>unmodified</status>
      <modifiedWord/>
      <trackRevisions>false</trackRevisions>
    </reviewItem>
    <reviewItem>
      <errorID>488fb431-3c96-4355-bd34-9137a830b204</errorID>
      <errorWord>海拔高度</errorWord>
      <group>L1_Word</group>
      <groupName>字词问题</groupName>
      <ability>L2_Typo</ability>
      <abilityName>字词错误</abilityName>
      <candidateList>
        <item>海拔</item>
      </candidateList>
      <explain>〈名〉从平均海平面起算的高度。</explain>
      <paraID>53B2C53E</paraID>
      <start>0</start>
      <end>4</end>
      <status>unmodified</status>
      <modifiedWord/>
      <trackRevisions>false</trackRevisions>
    </reviewItem>
    <reviewItem>
      <errorID>7c7818a7-3ff7-460c-80f5-fbb1618670b5</errorID>
      <errorWord>-</errorWord>
      <group>L1_Format</group>
      <groupName>格式问题</groupName>
      <ability>L2_HalfPunc</ability>
      <abilityName>全半角检查</abilityName>
      <candidateList>
        <item>－</item>
      </candidateList>
      <explain>文本全半角错误。</explain>
      <paraID>1B0B0191</paraID>
      <start>3</start>
      <end>4</end>
      <status>unmodified</status>
      <modifiedWord/>
      <trackRevisions>false</trackRevisions>
    </reviewItem>
    <reviewItem>
      <errorID>4d57fde8-d8cc-4416-bcb6-a4af0b9f288d</errorID>
      <errorWord>(</errorWord>
      <group>L1_Format</group>
      <groupName>格式问题</groupName>
      <ability>L2_HalfPunc</ability>
      <abilityName>全半角检查</abilityName>
      <candidateList>
        <item>（</item>
      </candidateList>
      <explain>文本全半角错误。</explain>
      <paraID>5668418A</paraID>
      <start>4</start>
      <end>5</end>
      <status>ignored</status>
      <modifiedWord/>
      <trackRevisions>false</trackRevisions>
    </reviewItem>
    <reviewItem>
      <errorID>551c1b67-f324-4f0b-aeeb-4ff5540a2c07</errorID>
      <errorWord>)</errorWord>
      <group>L1_Format</group>
      <groupName>格式问题</groupName>
      <ability>L2_HalfPunc</ability>
      <abilityName>全半角检查</abilityName>
      <candidateList>
        <item>）</item>
      </candidateList>
      <explain>文本全半角错误。</explain>
      <paraID>5668418A</paraID>
      <start>10</start>
      <end>11</end>
      <status>ignored</status>
      <modifiedWord/>
      <trackRevisions>false</trackRevisions>
    </reviewItem>
    <reviewItem>
      <errorID>06175b37-7b1c-47f3-8b30-d045f472fea6</errorID>
      <errorWord>-</errorWord>
      <group>L1_Format</group>
      <groupName>格式问题</groupName>
      <ability>L2_HalfPunc</ability>
      <abilityName>全半角检查</abilityName>
      <candidateList>
        <item>－</item>
      </candidateList>
      <explain>文本全半角错误。</explain>
      <paraID> 4C106D2</paraID>
      <start>3</start>
      <end>4</end>
      <status>unmodified</status>
      <modifiedWord/>
      <trackRevisions>false</trackRevisions>
    </reviewItem>
    <reviewItem>
      <errorID>f0bddf1e-d15d-4c85-a733-2267f1573d51</errorID>
      <errorWord>＜</errorWord>
      <group>L1_Format</group>
      <groupName>格式问题</groupName>
      <ability>L2_HalfPunc</ability>
      <abilityName>全半角检查</abilityName>
      <candidateList>
        <item>&lt;</item>
      </candidateList>
      <explain>文本全半角错误。</explain>
      <paraID> 50A28C1</paraID>
      <start>7</start>
      <end>8</end>
      <status>unmodified</status>
      <modifiedWord/>
      <trackRevisions>false</trackRevisions>
    </reviewItem>
    <reviewItem>
      <errorID>37d44ef5-67f4-461a-a9cd-97a611914d1a</errorID>
      <errorWord>＜</errorWord>
      <group>L1_Format</group>
      <groupName>格式问题</groupName>
      <ability>L2_HalfPunc</ability>
      <abilityName>全半角检查</abilityName>
      <candidateList>
        <item>&lt;</item>
      </candidateList>
      <explain>文本全半角错误。</explain>
      <paraID>63BC7164</paraID>
      <start>4</start>
      <end>5</end>
      <status>unmodified</status>
      <modifiedWord/>
      <trackRevisions>false</trackRevisions>
    </reviewItem>
    <reviewItem>
      <errorID>4e2925dc-d849-48f3-8428-13727bd59699</errorID>
      <errorWord>;</errorWord>
      <group>L1_Format</group>
      <groupName>格式问题</groupName>
      <ability>L2_HalfPunc</ability>
      <abilityName>全半角检查</abilityName>
      <candidateList>
        <item>；</item>
      </candidateList>
      <explain>文本全半角错误。</explain>
      <paraID>280BA0EB</paraID>
      <start>13</start>
      <end>14</end>
      <status>unmodified</status>
      <modifiedWord/>
      <trackRevisions>false</trackRevisions>
    </reviewItem>
    <reviewItem>
      <errorID>9f5b4fb6-9aa0-4dce-ac1f-219b6d938840</errorID>
      <errorWord>期</errorWord>
      <group>L1_Word</group>
      <groupName>字词问题</groupName>
      <ability>L2_Typo</ability>
      <abilityName>字词错误</abilityName>
      <candidateList>
        <item>期间</item>
      </candidateList>
      <explain>〈名〉某个时期里面：农忙～｜春节～｜抗战～。</explain>
      <paraID>75F328DD</paraID>
      <start>9</start>
      <end>10</end>
      <status>ignored</status>
      <modifiedWord/>
      <trackRevisions>false</trackRevisions>
    </reviewItem>
    <reviewItem>
      <errorID>55c1ec56-3813-40ba-aeb6-2b871f9c5683</errorID>
      <errorWord>措</errorWord>
      <group>L1_Word</group>
      <groupName>字词问题</groupName>
      <ability>L2_Typo</ability>
      <abilityName>字词错误</abilityName>
      <candidateList>
        <item>措施</item>
      </candidateList>
      <explain>〈名〉针对某种情况而采取的处理办法（用于较大的事情）：计划已经订出，～应该跟上。</explain>
      <paraID>75F328DD</paraID>
      <start>29</start>
      <end>30</end>
      <status>unmodified</status>
      <modifiedWord/>
      <trackRevisions>false</trackRevisions>
    </reviewItem>
    <reviewItem>
      <errorID>6092a2d9-8a61-4b3a-8bcd-a2b3b82fd409</errorID>
      <errorWord>设施</errorWord>
      <group>L1_Word</group>
      <groupName>字词问题</groupName>
      <ability>L2_Typo</ability>
      <abilityName>字词错误</abilityName>
      <candidateList>
        <item>施</item>
      </candidateList>
      <explain/>
      <paraID>75F328DD</paraID>
      <start>30</start>
      <end>32</end>
      <status>unmodified</status>
      <modifiedWord/>
      <trackRevisions>false</trackRevisions>
    </reviewItem>
    <reviewItem>
      <errorID>7b66cddc-07b8-40c1-b4e7-34ae69bd59ed</errorID>
      <errorWord>天然天然</errorWord>
      <group>L1_Word</group>
      <groupName>字词问题</groupName>
      <ability>L2_Typo</ability>
      <abilityName>字词错误</abilityName>
      <candidateList>
        <item>天然</item>
      </candidateList>
      <explain/>
      <paraID>6CAD43F5</paraID>
      <start>56</start>
      <end>60</end>
      <status>unmodified</status>
      <modifiedWord/>
      <trackRevisions>false</trackRevisions>
    </reviewItem>
    <reviewItem>
      <errorID>8079e606-1727-470d-b98d-946c2aa9a771</errorID>
      <errorWord>II类</errorWord>
      <group>L1_Knowledge</group>
      <groupName>知识性问题</groupName>
      <ability>L2_Knowledge</ability>
      <abilityName>其他知识</abilityName>
      <candidateList>
        <item>Ⅱ类</item>
      </candidateList>
      <explain/>
      <paraID>6CAD43F5</paraID>
      <start>82</start>
      <end>85</end>
      <status>unmodified</status>
      <modifiedWord/>
      <trackRevisions>false</trackRevisions>
    </reviewItem>
    <reviewItem>
      <errorID>9f1f9870-6a2a-4c97-8dd4-535ec5cb6bed</errorID>
      <errorWord>III类</errorWord>
      <group>L1_Knowledge</group>
      <groupName>知识性问题</groupName>
      <ability>L2_Knowledge</ability>
      <abilityName>其他知识</abilityName>
      <candidateList>
        <item>Ⅲ类</item>
      </candidateList>
      <explain/>
      <paraID>6CAD43F5</paraID>
      <start>124</start>
      <end>128</end>
      <status>unmodified</status>
      <modifiedWord/>
      <trackRevisions>false</trackRevisions>
    </reviewItem>
    <reviewItem>
      <errorID>f73eb488-6d2b-4b3a-b86a-ac28704ff66b</errorID>
      <errorWord>III类</errorWord>
      <group>L1_Knowledge</group>
      <groupName>知识性问题</groupName>
      <ability>L2_Knowledge</ability>
      <abilityName>其他知识</abilityName>
      <candidateList>
        <item>Ⅲ类</item>
      </candidateList>
      <explain/>
      <paraID>6CAD43F5</paraID>
      <start>248</start>
      <end>252</end>
      <status>unmodified</status>
      <modifiedWord/>
      <trackRevisions>false</trackRevisions>
    </reviewItem>
    <reviewItem>
      <errorID>79ec534b-88fa-436f-b8dd-721fb75fb937</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67B39F9D</paraID>
      <start>71</start>
      <end>76</end>
      <status>unmodified</status>
      <modifiedWord/>
      <trackRevisions>false</trackRevisions>
    </reviewItem>
    <reviewItem>
      <errorID>2ad5d370-d89d-4d03-a46a-70e8ed51599f</errorID>
      <errorWord>,</errorWord>
      <group>L1_Format</group>
      <groupName>格式问题</groupName>
      <ability>L2_HalfPunc</ability>
      <abilityName>全半角检查</abilityName>
      <candidateList>
        <item>，</item>
      </candidateList>
      <explain>文本全半角错误。</explain>
      <paraID> B2F23B1</paraID>
      <start>108</start>
      <end>109</end>
      <status>unmodified</status>
      <modifiedWord/>
      <trackRevisions>false</trackRevisions>
    </reviewItem>
    <reviewItem>
      <errorID>1f013128-b2a2-484e-a8ba-a9c37b5ef748</errorID>
      <errorWord>半经</errorWord>
      <group>L1_Word</group>
      <groupName>字词问题</groupName>
      <ability>L2_Typo</ability>
      <abilityName>字词错误</abilityName>
      <candidateList>
        <item>半径</item>
      </candidateList>
      <explain/>
      <paraID> B2F23B1</paraID>
      <start>433</start>
      <end>435</end>
      <status>unmodified</status>
      <modifiedWord/>
      <trackRevisions>false</trackRevisions>
    </reviewItem>
    <reviewItem>
      <errorID>0f91db61-8dec-4ced-a396-33402dea1b6a</errorID>
      <errorWord>半经</errorWord>
      <group>L1_Word</group>
      <groupName>字词问题</groupName>
      <ability>L2_Typo</ability>
      <abilityName>字词错误</abilityName>
      <candidateList>
        <item>半径</item>
      </candidateList>
      <explain/>
      <paraID>46F89307</paraID>
      <start>16</start>
      <end>18</end>
      <status>unmodified</status>
      <modifiedWord/>
      <trackRevisions>false</trackRevisions>
    </reviewItem>
    <reviewItem>
      <errorID>af8198ce-6fed-4d9c-9566-7ec031621628</errorID>
      <errorWord>水</errorWord>
      <group>L1_Word</group>
      <groupName>字词问题</groupName>
      <ability>L2_Typo</ability>
      <abilityName>字词错误</abilityName>
      <candidateList>
        <item>水资</item>
      </candidateList>
      <explain/>
      <paraID>561A0429</paraID>
      <start>0</start>
      <end>1</end>
      <status>unmodified</status>
      <modifiedWord/>
      <trackRevisions>false</trackRevisions>
    </reviewItem>
    <reviewItem>
      <errorID>96493a02-5fc6-4958-9fee-4356c7a45ae4</errorID>
      <errorWord>)</errorWord>
      <group>L1_Format</group>
      <groupName>格式问题</groupName>
      <ability>L2_HalfPunc</ability>
      <abilityName>全半角检查</abilityName>
      <candidateList>
        <item>）</item>
      </candidateList>
      <explain>文本全半角错误。</explain>
      <paraID>28985628</paraID>
      <start>121</start>
      <end>122</end>
      <status>ignored</status>
      <modifiedWord/>
      <trackRevisions>false</trackRevisions>
    </reviewItem>
    <reviewItem>
      <errorID>6db5f2bb-e1e2-485f-926a-513c82c92b2f</errorID>
      <errorWord>为是</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772E086E</paraID>
      <start>81</start>
      <end>83</end>
      <status>unmodified</status>
      <modifiedWord/>
      <trackRevisions>false</trackRevisions>
    </reviewItem>
    <reviewItem>
      <errorID>f58b4f11-85a7-4f7f-b4af-aba2f55e659b</errorID>
      <errorWord>)</errorWord>
      <group>L1_Format</group>
      <groupName>格式问题</groupName>
      <ability>L2_HalfPunc</ability>
      <abilityName>全半角检查</abilityName>
      <candidateList>
        <item>）</item>
      </candidateList>
      <explain>文本全半角错误。</explain>
      <paraID>772E086E</paraID>
      <start>169</start>
      <end>170</end>
      <status>ignored</status>
      <modifiedWord/>
      <trackRevisions>false</trackRevisions>
    </reviewItem>
    <reviewItem>
      <errorID>ad82ece3-3d20-461a-b547-10c3da5555e0</errorID>
      <errorWord>~</errorWord>
      <group>L1_Format</group>
      <groupName>格式问题</groupName>
      <ability>L2_HalfPunc</ability>
      <abilityName>全半角检查</abilityName>
      <candidateList>
        <item>～</item>
      </candidateList>
      <explain>文本全半角错误。</explain>
      <paraID>2AE8AE08</paraID>
      <start>163</start>
      <end>164</end>
      <status>unmodified</status>
      <modifiedWord/>
      <trackRevisions>false</trackRevisions>
    </reviewItem>
    <reviewItem>
      <errorID>82ada594-23e4-47e8-bdf7-cb10f1400498</errorID>
      <errorWord>根据本项目监测及大庆地区水位埋深调查资料显示</errorWord>
      <group>L1_Grammar</group>
      <groupName>语法问题</groupName>
      <ability>L2_Grammar</ability>
      <abilityName>语法错误</abilityName>
      <candidateList>
        <item>根据本项目监测及大庆地区水位埋深调查资料</item>
      </candidateList>
      <explain/>
      <paraID>2AE8AE08</paraID>
      <start>213</start>
      <end>235</end>
      <status>unmodified</status>
      <modifiedWord/>
      <trackRevisions>false</trackRevisions>
    </reviewItem>
    <reviewItem>
      <errorID>f8530e32-1877-4a2b-8264-f8a60243a2ab</errorID>
      <errorWord>影响型</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2AE8AE08</paraID>
      <start>255</start>
      <end>258</end>
      <status>unmodified</status>
      <modifiedWord/>
      <trackRevisions>false</trackRevisions>
    </reviewItem>
    <reviewItem>
      <errorID>8c7b4171-ca8c-439f-b36b-f9825b7d1f73</errorID>
      <errorWord>;</errorWord>
      <group>L1_Format</group>
      <groupName>格式问题</groupName>
      <ability>L2_HalfPunc</ability>
      <abilityName>全半角检查</abilityName>
      <candidateList>
        <item>；</item>
      </candidateList>
      <explain>文本全半角错误。</explain>
      <paraID>2AE8AE08</paraID>
      <start>386</start>
      <end>387</end>
      <status>unmodified</status>
      <modifiedWord/>
      <trackRevisions>false</trackRevisions>
    </reviewItem>
    <reviewItem>
      <errorID>0e749308-89f4-4745-9f60-bfd684b49743</errorID>
      <errorWord>;</errorWord>
      <group>L1_Format</group>
      <groupName>格式问题</groupName>
      <ability>L2_HalfPunc</ability>
      <abilityName>全半角检查</abilityName>
      <candidateList>
        <item>；</item>
      </candidateList>
      <explain>文本全半角错误。</explain>
      <paraID>2AE8AE08</paraID>
      <start>422</start>
      <end>423</end>
      <status>unmodified</status>
      <modifiedWord/>
      <trackRevisions>false</trackRevisions>
    </reviewItem>
    <reviewItem>
      <errorID>1147e41b-5292-49ea-8d39-44405b498eff</errorID>
      <errorWord>)</errorWord>
      <group>L1_Format</group>
      <groupName>格式问题</groupName>
      <ability>L2_HalfPunc</ability>
      <abilityName>全半角检查</abilityName>
      <candidateList>
        <item>）</item>
      </candidateList>
      <explain>文本全半角错误。</explain>
      <paraID>43199F53</paraID>
      <start>34</start>
      <end>35</end>
      <status>ignored</status>
      <modifiedWord/>
      <trackRevisions>false</trackRevisions>
    </reviewItem>
    <reviewItem>
      <errorID>424dd3b9-8a1b-4611-9736-cf701c3796f2</errorID>
      <errorWord>(</errorWord>
      <group>L1_Format</group>
      <groupName>格式问题</groupName>
      <ability>L2_HalfPunc</ability>
      <abilityName>全半角检查</abilityName>
      <candidateList>
        <item>（</item>
      </candidateList>
      <explain>文本全半角错误。</explain>
      <paraID>43199F53</paraID>
      <start>92</start>
      <end>93</end>
      <status>ignored</status>
      <modifiedWord/>
      <trackRevisions>false</trackRevisions>
    </reviewItem>
    <reviewItem>
      <errorID>2dd03d31-792e-433a-86d5-fb04a215ccf1</errorID>
      <errorWord>)</errorWord>
      <group>L1_Format</group>
      <groupName>格式问题</groupName>
      <ability>L2_HalfPunc</ability>
      <abilityName>全半角检查</abilityName>
      <candidateList>
        <item>）</item>
      </candidateList>
      <explain>文本全半角错误。</explain>
      <paraID>43199F53</paraID>
      <start>103</start>
      <end>104</end>
      <status>ignored</status>
      <modifiedWord/>
      <trackRevisions>false</trackRevisions>
    </reviewItem>
    <reviewItem>
      <errorID>57393b7f-de0b-4da3-a57b-73aa51bbaa09</errorID>
      <errorWord>(</errorWord>
      <group>L1_Format</group>
      <groupName>格式问题</groupName>
      <ability>L2_HalfPunc</ability>
      <abilityName>全半角检查</abilityName>
      <candidateList>
        <item>（</item>
      </candidateList>
      <explain>文本全半角错误。</explain>
      <paraID>43199F53</paraID>
      <start>195</start>
      <end>196</end>
      <status>ignored</status>
      <modifiedWord/>
      <trackRevisions>false</trackRevisions>
    </reviewItem>
    <reviewItem>
      <errorID>7071c075-3644-4bd0-bb84-3b0af249149a</errorID>
      <errorWord>)</errorWord>
      <group>L1_Format</group>
      <groupName>格式问题</groupName>
      <ability>L2_HalfPunc</ability>
      <abilityName>全半角检查</abilityName>
      <candidateList>
        <item>）</item>
      </candidateList>
      <explain>文本全半角错误。</explain>
      <paraID>43199F53</paraID>
      <start>203</start>
      <end>204</end>
      <status>ignored</status>
      <modifiedWord/>
      <trackRevisions>false</trackRevisions>
    </reviewItem>
    <reviewItem>
      <errorID>c57e24c4-ed4c-44ad-b06a-737d57cbef5b</errorID>
      <errorWord>IV类</errorWord>
      <group>L1_Knowledge</group>
      <groupName>知识性问题</groupName>
      <ability>L2_Knowledge</ability>
      <abilityName>其他知识</abilityName>
      <candidateList>
        <item>Ⅳ类</item>
      </candidateList>
      <explain/>
      <paraID>43199F53</paraID>
      <start>247</start>
      <end>250</end>
      <status>unmodified</status>
      <modifiedWord/>
      <trackRevisions>false</trackRevisions>
    </reviewItem>
    <reviewItem>
      <errorID>530ff62d-de8f-42c9-b495-3c386478654d</errorID>
      <errorWord>IV类</errorWord>
      <group>L1_Knowledge</group>
      <groupName>知识性问题</groupName>
      <ability>L2_Knowledge</ability>
      <abilityName>其他知识</abilityName>
      <candidateList>
        <item>Ⅳ类</item>
      </candidateList>
      <explain/>
      <paraID>43199F53</paraID>
      <start>301</start>
      <end>304</end>
      <status>unmodified</status>
      <modifiedWord/>
      <trackRevisions>false</trackRevisions>
    </reviewItem>
    <reviewItem>
      <errorID>822a5442-5c3c-4b27-98db-623fced18ec3</errorID>
      <errorWord>型</errorWord>
      <group>L1_Word</group>
      <groupName>字词问题</groupName>
      <ability>L2_Typo</ability>
      <abilityName>字词错误</abilityName>
      <candidateList>
        <item>性</item>
      </candidateList>
      <explain>存在发音相同字词的误用。</explain>
      <paraID>6DA4F7F4</paraID>
      <start>37</start>
      <end>38</end>
      <status>unmodified</status>
      <modifiedWord/>
      <trackRevisions>false</trackRevisions>
    </reviewItem>
    <reviewItem>
      <errorID>8dd6a718-5053-4c7b-af70-8f6e8a20c980</errorID>
      <errorWord>-</errorWord>
      <group>L1_Format</group>
      <groupName>格式问题</groupName>
      <ability>L2_HalfPunc</ability>
      <abilityName>全半角检查</abilityName>
      <candidateList>
        <item>－</item>
      </candidateList>
      <explain>文本全半角错误。</explain>
      <paraID>40526CCE</paraID>
      <start>3</start>
      <end>4</end>
      <status>unmodified</status>
      <modifiedWord/>
      <trackRevisions>false</trackRevisions>
    </reviewItem>
    <reviewItem>
      <errorID>9097d429-b1c0-43f5-92d9-4517d5518681</errorID>
      <errorWord>II类</errorWord>
      <group>L1_Knowledge</group>
      <groupName>知识性问题</groupName>
      <ability>L2_Knowledge</ability>
      <abilityName>其他知识</abilityName>
      <candidateList>
        <item>Ⅱ类</item>
      </candidateList>
      <explain/>
      <paraID>7AF0DDC0</paraID>
      <start>84</start>
      <end>87</end>
      <status>unmodified</status>
      <modifiedWord/>
      <trackRevisions>false</trackRevisions>
    </reviewItem>
    <reviewItem>
      <errorID>4616d5aa-7dfc-405f-a06b-7667e05287db</errorID>
      <errorWord>(</errorWord>
      <group>L1_Format</group>
      <groupName>格式问题</groupName>
      <ability>L2_HalfPunc</ability>
      <abilityName>全半角检查</abilityName>
      <candidateList>
        <item>（</item>
      </candidateList>
      <explain>文本全半角错误。</explain>
      <paraID>78250391</paraID>
      <start>18</start>
      <end>19</end>
      <status>ignored</status>
      <modifiedWord/>
      <trackRevisions>false</trackRevisions>
    </reviewItem>
    <reviewItem>
      <errorID>183cabb2-7636-4fb2-97f7-8390a4eac1f7</errorID>
      <errorWord>)</errorWord>
      <group>L1_Format</group>
      <groupName>格式问题</groupName>
      <ability>L2_HalfPunc</ability>
      <abilityName>全半角检查</abilityName>
      <candidateList>
        <item>）</item>
      </candidateList>
      <explain>文本全半角错误。</explain>
      <paraID>78250391</paraID>
      <start>29</start>
      <end>30</end>
      <status>ignored</status>
      <modifiedWord/>
      <trackRevisions>false</trackRevisions>
    </reviewItem>
    <reviewItem>
      <errorID>5c5f4964-652a-49fc-9edf-b928a71be033</errorID>
      <errorWord>、以及</errorWord>
      <group>L1_Punc</group>
      <groupName>标点问题</groupName>
      <ability>L2_Punc</ability>
      <abilityName>标点符号检查</abilityName>
      <candidateList>
        <item>，以及</item>
      </candidateList>
      <explain>连接词前后不宜使用顿号，建议使用逗号。</explain>
      <paraID>78250391</paraID>
      <start>174</start>
      <end>177</end>
      <status>unmodified</status>
      <modifiedWord/>
      <trackRevisions>false</trackRevisions>
    </reviewItem>
    <reviewItem>
      <errorID>5da99124-c1c7-467e-aae3-fa7a1daccee6</errorID>
      <errorWord>-</errorWord>
      <group>L1_Format</group>
      <groupName>格式问题</groupName>
      <ability>L2_HalfPunc</ability>
      <abilityName>全半角检查</abilityName>
      <candidateList>
        <item>－</item>
      </candidateList>
      <explain>文本全半角错误。</explain>
      <paraID>2440B4A6</paraID>
      <start>3</start>
      <end>4</end>
      <status>unmodified</status>
      <modifiedWord/>
      <trackRevisions>false</trackRevisions>
    </reviewItem>
    <reviewItem>
      <errorID>f17a48ca-6184-4295-ac75-b18dae73045a</errorID>
      <errorWord>-</errorWord>
      <group>L1_Format</group>
      <groupName>格式问题</groupName>
      <ability>L2_HalfPunc</ability>
      <abilityName>全半角检查</abilityName>
      <candidateList>
        <item>－</item>
      </candidateList>
      <explain>文本全半角错误。</explain>
      <paraID>3FBF87C1</paraID>
      <start>3</start>
      <end>4</end>
      <status>unmodified</status>
      <modifiedWord/>
      <trackRevisions>false</trackRevisions>
    </reviewItem>
    <reviewItem>
      <errorID>cf3acd73-5348-4606-9690-9d3a1d614e7d</errorID>
      <errorWord>(</errorWord>
      <group>L1_Format</group>
      <groupName>格式问题</groupName>
      <ability>L2_HalfPunc</ability>
      <abilityName>全半角检查</abilityName>
      <candidateList>
        <item>（</item>
      </candidateList>
      <explain>文本全半角错误。</explain>
      <paraID>5A2B63BA</paraID>
      <start>44</start>
      <end>45</end>
      <status>ignored</status>
      <modifiedWord/>
      <trackRevisions>false</trackRevisions>
    </reviewItem>
    <reviewItem>
      <errorID>ce0e0267-3695-4682-9374-08fa48f38d2f</errorID>
      <errorWord>)</errorWord>
      <group>L1_Format</group>
      <groupName>格式问题</groupName>
      <ability>L2_HalfPunc</ability>
      <abilityName>全半角检查</abilityName>
      <candidateList>
        <item>）</item>
      </candidateList>
      <explain>文本全半角错误。</explain>
      <paraID>5A2B63BA</paraID>
      <start>55</start>
      <end>56</end>
      <status>ignored</status>
      <modifiedWord/>
      <trackRevisions>false</trackRevisions>
    </reviewItem>
    <reviewItem>
      <errorID>f30bee1a-fa16-4620-9c8e-6bc424b07eab</errorID>
      <errorWord>-</errorWord>
      <group>L1_Format</group>
      <groupName>格式问题</groupName>
      <ability>L2_HalfPunc</ability>
      <abilityName>全半角检查</abilityName>
      <candidateList>
        <item>－</item>
      </candidateList>
      <explain>文本全半角错误。</explain>
      <paraID>53EF0843</paraID>
      <start>3</start>
      <end>4</end>
      <status>unmodified</status>
      <modifiedWord/>
      <trackRevisions>false</trackRevisions>
    </reviewItem>
    <reviewItem>
      <errorID>ab052ae9-06ad-4f7b-a679-2db938d8da75</errorID>
      <errorWord>-</errorWord>
      <group>L1_Format</group>
      <groupName>格式问题</groupName>
      <ability>L2_HalfPunc</ability>
      <abilityName>全半角检查</abilityName>
      <candidateList>
        <item>－</item>
      </candidateList>
      <explain>文本全半角错误。</explain>
      <paraID>4FB4E1C1</paraID>
      <start>3</start>
      <end>4</end>
      <status>unmodified</status>
      <modifiedWord/>
      <trackRevisions>false</trackRevisions>
    </reviewItem>
    <reviewItem>
      <errorID>144708be-2699-47e9-b437-1665b47d42d4</errorID>
      <errorWord>-</errorWord>
      <group>L1_Format</group>
      <groupName>格式问题</groupName>
      <ability>L2_HalfPunc</ability>
      <abilityName>全半角检查</abilityName>
      <candidateList>
        <item>－</item>
      </candidateList>
      <explain>文本全半角错误。</explain>
      <paraID> 38A9DDA</paraID>
      <start>3</start>
      <end>4</end>
      <status>unmodified</status>
      <modifiedWord/>
      <trackRevisions>false</trackRevisions>
    </reviewItem>
    <reviewItem>
      <errorID>0e4bf965-3acb-486b-9955-c5a714a56fbc</errorID>
      <errorWord>-</errorWord>
      <group>L1_Format</group>
      <groupName>格式问题</groupName>
      <ability>L2_HalfPunc</ability>
      <abilityName>全半角检查</abilityName>
      <candidateList>
        <item>－</item>
      </candidateList>
      <explain>文本全半角错误。</explain>
      <paraID>35F23F1D</paraID>
      <start>3</start>
      <end>4</end>
      <status>unmodified</status>
      <modifiedWord/>
      <trackRevisions>false</trackRevisions>
    </reviewItem>
    <reviewItem>
      <errorID>bee2d114-262b-4982-acd9-68478db80f52</errorID>
      <errorWord>-</errorWord>
      <group>L1_Format</group>
      <groupName>格式问题</groupName>
      <ability>L2_HalfPunc</ability>
      <abilityName>全半角检查</abilityName>
      <candidateList>
        <item>－</item>
      </candidateList>
      <explain>文本全半角错误。</explain>
      <paraID>46B0F704</paraID>
      <start>3</start>
      <end>4</end>
      <status>unmodified</status>
      <modifiedWord/>
      <trackRevisions>false</trackRevisions>
    </reviewItem>
    <reviewItem>
      <errorID>2fadc8ed-7c77-45b8-873c-3faac13cdf93</errorID>
      <errorWord>-</errorWord>
      <group>L1_Format</group>
      <groupName>格式问题</groupName>
      <ability>L2_HalfPunc</ability>
      <abilityName>全半角检查</abilityName>
      <candidateList>
        <item>－</item>
      </candidateList>
      <explain>文本全半角错误。</explain>
      <paraID>22FDA91E</paraID>
      <start>3</start>
      <end>4</end>
      <status>unmodified</status>
      <modifiedWord/>
      <trackRevisions>false</trackRevisions>
    </reviewItem>
    <reviewItem>
      <errorID>9b3be66d-b992-4ac5-89e7-5bec9c4d73d6</errorID>
      <errorWord>III类</errorWord>
      <group>L1_Knowledge</group>
      <groupName>知识性问题</groupName>
      <ability>L2_Knowledge</ability>
      <abilityName>其他知识</abilityName>
      <candidateList>
        <item>Ⅲ类</item>
      </candidateList>
      <explain/>
      <paraID>719B1DA7</paraID>
      <start>25</start>
      <end>29</end>
      <status>unmodified</status>
      <modifiedWord/>
      <trackRevisions>false</trackRevisions>
    </reviewItem>
    <reviewItem>
      <errorID>683a7a23-375b-4d5b-b386-3319a0b77e30</errorID>
      <errorWord>II类</errorWord>
      <group>L1_Knowledge</group>
      <groupName>知识性问题</groupName>
      <ability>L2_Knowledge</ability>
      <abilityName>其他知识</abilityName>
      <candidateList>
        <item>Ⅱ类</item>
      </candidateList>
      <explain/>
      <paraID>719B1DA7</paraID>
      <start>65</start>
      <end>68</end>
      <status>unmodified</status>
      <modifiedWord/>
      <trackRevisions>false</trackRevisions>
    </reviewItem>
    <reviewItem>
      <errorID>56576445-e7de-4680-8ec9-5578ddce77b5</errorID>
      <errorWord>为为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193D4149</paraID>
      <start>42</start>
      <end>44</end>
      <status>unmodified</status>
      <modifiedWord/>
      <trackRevisions>false</trackRevisions>
    </reviewItem>
    <reviewItem>
      <errorID>b56900c6-000b-4641-9114-9f20ea2b59ce</errorID>
      <errorWord>-</errorWord>
      <group>L1_Format</group>
      <groupName>格式问题</groupName>
      <ability>L2_HalfPunc</ability>
      <abilityName>全半角检查</abilityName>
      <candidateList>
        <item>－</item>
      </candidateList>
      <explain>文本全半角错误。</explain>
      <paraID> 4397FE9</paraID>
      <start>3</start>
      <end>4</end>
      <status>unmodified</status>
      <modifiedWord/>
      <trackRevisions>false</trackRevisions>
    </reviewItem>
    <reviewItem>
      <errorID>d6c0a2c8-3efb-4ed7-b26b-8fe137201ba3</errorID>
      <errorWord>-</errorWord>
      <group>L1_Format</group>
      <groupName>格式问题</groupName>
      <ability>L2_HalfPunc</ability>
      <abilityName>全半角检查</abilityName>
      <candidateList>
        <item>－</item>
      </candidateList>
      <explain>文本全半角错误。</explain>
      <paraID> 82B09AF</paraID>
      <start>3</start>
      <end>4</end>
      <status>unmodified</status>
      <modifiedWord/>
      <trackRevisions>false</trackRevisions>
    </reviewItem>
    <reviewItem>
      <errorID>d0acb929-6a11-4618-989a-2066139e1b95</errorID>
      <errorWord>-</errorWord>
      <group>L1_Format</group>
      <groupName>格式问题</groupName>
      <ability>L2_HalfPunc</ability>
      <abilityName>全半角检查</abilityName>
      <candidateList>
        <item>－</item>
      </candidateList>
      <explain>文本全半角错误。</explain>
      <paraID>796D7771</paraID>
      <start>3</start>
      <end>4</end>
      <status>unmodified</status>
      <modifiedWord/>
      <trackRevisions>false</trackRevisions>
    </reviewItem>
    <reviewItem>
      <errorID>4bd3f51e-f525-4f97-a29a-a081b17d7924</errorID>
      <errorWord>-</errorWord>
      <group>L1_Format</group>
      <groupName>格式问题</groupName>
      <ability>L2_HalfPunc</ability>
      <abilityName>全半角检查</abilityName>
      <candidateList>
        <item>－</item>
      </candidateList>
      <explain>文本全半角错误。</explain>
      <paraID>3C47B692</paraID>
      <start>3</start>
      <end>4</end>
      <status>unmodified</status>
      <modifiedWord/>
      <trackRevisions>false</trackRevisions>
    </reviewItem>
    <reviewItem>
      <errorID>4e9ef006-89b6-4e0e-a3a4-b713d4ddf8f3</errorID>
      <errorWord>-</errorWord>
      <group>L1_Format</group>
      <groupName>格式问题</groupName>
      <ability>L2_HalfPunc</ability>
      <abilityName>全半角检查</abilityName>
      <candidateList>
        <item>－</item>
      </candidateList>
      <explain>文本全半角错误。</explain>
      <paraID> EB0F13B</paraID>
      <start>3</start>
      <end>4</end>
      <status>unmodified</status>
      <modifiedWord/>
      <trackRevisions>false</trackRevisions>
    </reviewItem>
    <reviewItem>
      <errorID>1123bd3c-cce1-4d66-8cc0-91ab321685a2</errorID>
      <errorWord>-</errorWord>
      <group>L1_Format</group>
      <groupName>格式问题</groupName>
      <ability>L2_HalfPunc</ability>
      <abilityName>全半角检查</abilityName>
      <candidateList>
        <item>－</item>
      </candidateList>
      <explain>文本全半角错误。</explain>
      <paraID>7B55BEC9</paraID>
      <start>3</start>
      <end>4</end>
      <status>unmodified</status>
      <modifiedWord/>
      <trackRevisions>false</trackRevisions>
    </reviewItem>
    <reviewItem>
      <errorID>d3976f88-1bfa-4810-895b-13b58eeaf37c</errorID>
      <errorWord>为为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15D113B9</paraID>
      <start>12</start>
      <end>14</end>
      <status>unmodified</status>
      <modifiedWord/>
      <trackRevisions>false</trackRevisions>
    </reviewItem>
    <reviewItem>
      <errorID>02a8d527-802e-4899-977a-fd88ed47bb37</errorID>
      <errorWord>为为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7A18FBC9</paraID>
      <start>42</start>
      <end>44</end>
      <status>unmodified</status>
      <modifiedWord/>
      <trackRevisions>false</trackRevisions>
    </reviewItem>
    <reviewItem>
      <errorID>90685480-392d-4e7b-a830-d1238b4e5299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34BC9F6C</paraID>
      <start>64</start>
      <end>65</end>
      <status>unmodified</status>
      <modifiedWord/>
      <trackRevisions>false</trackRevisions>
    </reviewItem>
    <reviewItem>
      <errorID>74aa5c19-05e1-4e20-8e32-3e0e5f0cadd1</errorID>
      <errorWord>。。</errorWord>
      <group>L1_Punc</group>
      <groupName>标点问题</groupName>
      <ability>L2_Punc</ability>
      <abilityName>标点符号检查</abilityName>
      <candidateList>
        <item>。</item>
      </candidateList>
      <explain/>
      <paraID>68F55A83</paraID>
      <start>64</start>
      <end>66</end>
      <status>unmodified</status>
      <modifiedWord/>
      <trackRevisions>false</trackRevisions>
    </reviewItem>
    <reviewItem>
      <errorID>da58d981-f05b-4872-ac74-3bce6fc877d0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72E212DB</paraID>
      <start>79</start>
      <end>82</end>
      <status>unmodified</status>
      <modifiedWord/>
      <trackRevisions>false</trackRevisions>
    </reviewItem>
    <reviewItem>
      <errorID>2c22429e-e79c-456b-982c-b24a06c3f0ff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72E212DB</paraID>
      <start>104</start>
      <end>107</end>
      <status>unmodified</status>
      <modifiedWord/>
      <trackRevisions>false</trackRevisions>
    </reviewItem>
    <reviewItem>
      <errorID>63a03c81-701e-40df-8a76-71106d3a17bc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72E212DB</paraID>
      <start>122</start>
      <end>125</end>
      <status>unmodified</status>
      <modifiedWord/>
      <trackRevisions>false</trackRevisions>
    </reviewItem>
    <reviewItem>
      <errorID>40cf07c1-5cf1-405b-b03b-0e691733155a</errorID>
      <errorWord>〕</errorWord>
      <group>L1_Punc</group>
      <groupName>标点问题</groupName>
      <ability>L2_Punc</ability>
      <abilityName>标点符号检查</abilityName>
      <candidateList/>
      <explain/>
      <paraID>317B29CE</paraID>
      <start>9</start>
      <end>10</end>
      <status>unmodified</status>
      <modifiedWord/>
      <trackRevisions>false</trackRevisions>
    </reviewItem>
    <reviewItem>
      <errorID>8f401375-6b40-497a-ae51-add2f52f681a</errorID>
      <errorWord>井</errorWord>
      <group>L1_Word</group>
      <groupName>字词问题</groupName>
      <ability>L2_Typo</ability>
      <abilityName>字词错误</abilityName>
      <candidateList>
        <item>井工</item>
      </candidateList>
      <explain/>
      <paraID> B05593D</paraID>
      <start>16</start>
      <end>17</end>
      <status>unmodified</status>
      <modifiedWord/>
      <trackRevisions>false</trackRevisions>
    </reviewItem>
    <reviewItem>
      <errorID>8477a257-0c6b-43d2-90dc-8b2c942685c0</errorID>
      <errorWord>(</errorWord>
      <group>L1_Format</group>
      <groupName>格式问题</groupName>
      <ability>L2_HalfPunc</ability>
      <abilityName>全半角检查</abilityName>
      <candidateList>
        <item>（</item>
      </candidateList>
      <explain>文本全半角错误。</explain>
      <paraID>2FDC2657</paraID>
      <start>3</start>
      <end>4</end>
      <status>ignored</status>
      <modifiedWord/>
      <trackRevisions>false</trackRevisions>
    </reviewItem>
    <reviewItem>
      <errorID>ff65c5ec-3f8a-4724-a24f-04688e4c57b6</errorID>
      <errorWord>)</errorWord>
      <group>L1_Format</group>
      <groupName>格式问题</groupName>
      <ability>L2_HalfPunc</ability>
      <abilityName>全半角检查</abilityName>
      <candidateList>
        <item>）</item>
      </candidateList>
      <explain>文本全半角错误。</explain>
      <paraID>2FDC2657</paraID>
      <start>9</start>
      <end>10</end>
      <status>ignored</status>
      <modifiedWord/>
      <trackRevisions>false</trackRevisions>
    </reviewItem>
    <reviewItem>
      <errorID>9a896c8b-412c-41b2-a9a4-7b90a46776c5</errorID>
      <errorWord>(</errorWord>
      <group>L1_Format</group>
      <groupName>格式问题</groupName>
      <ability>L2_HalfPunc</ability>
      <abilityName>全半角检查</abilityName>
      <candidateList>
        <item>（</item>
      </candidateList>
      <explain>文本全半角错误。</explain>
      <paraID>59C59792</paraID>
      <start>3</start>
      <end>4</end>
      <status>ignored</status>
      <modifiedWord/>
      <trackRevisions>false</trackRevisions>
    </reviewItem>
    <reviewItem>
      <errorID>9525d86c-8742-40d7-a794-1ef814d428b0</errorID>
      <errorWord>)</errorWord>
      <group>L1_Format</group>
      <groupName>格式问题</groupName>
      <ability>L2_HalfPunc</ability>
      <abilityName>全半角检查</abilityName>
      <candidateList>
        <item>）</item>
      </candidateList>
      <explain>文本全半角错误。</explain>
      <paraID>59C59792</paraID>
      <start>9</start>
      <end>10</end>
      <status>ignored</status>
      <modifiedWord/>
      <trackRevisions>false</trackRevisions>
    </reviewItem>
    <reviewItem>
      <errorID>d884616e-1d6e-475b-b32b-29ef69d6fc4e</errorID>
      <errorWord>（</errorWord>
      <group>L1_Punc</group>
      <groupName>标点问题</groupName>
      <ability>L2_Punc</ability>
      <abilityName>标点符号检查</abilityName>
      <candidateList>
        <item/>
      </candidateList>
      <explain>同一形式括号套用。</explain>
      <paraID>47D6C1AF</paraID>
      <start>165</start>
      <end>166</end>
      <status>ignored</status>
      <modifiedWord/>
      <trackRevisions>false</trackRevisions>
    </reviewItem>
    <reviewItem>
      <errorID>2e09a491-94ba-46c3-aae6-85c96212b0c5</errorID>
      <errorWord>（</errorWord>
      <group>L1_Punc</group>
      <groupName>标点问题</groupName>
      <ability>L2_Punc</ability>
      <abilityName>标点符号检查</abilityName>
      <candidateList/>
      <explain>同一形式括号套用。</explain>
      <paraID>47D6C1AF</paraID>
      <start>208</start>
      <end>209</end>
      <status>ignored</status>
      <modifiedWord/>
      <trackRevisions>false</trackRevisions>
    </reviewItem>
    <reviewItem>
      <errorID>43994af9-8c0f-4b7e-9b62-4aac529a2da5</errorID>
      <errorWord>(</errorWord>
      <group>L1_Punc</group>
      <groupName>标点问题</groupName>
      <ability>L2_Punc</ability>
      <abilityName>标点符号检查</abilityName>
      <candidateList/>
      <explain>同一形式括号套用。</explain>
      <paraID>47D6C1AF</paraID>
      <start>211</start>
      <end>212</end>
      <status>unmodified</status>
      <modifiedWord/>
      <trackRevisions>false</trackRevisions>
    </reviewItem>
    <reviewItem>
      <errorID>59612ed7-a9ac-40af-b89e-697fb668061f</errorID>
      <errorWord>)</errorWord>
      <group>L1_Punc</group>
      <groupName>标点问题</groupName>
      <ability>L2_Punc</ability>
      <abilityName>标点符号检查</abilityName>
      <candidateList/>
      <explain>同一形式括号套用。</explain>
      <paraID>47D6C1AF</paraID>
      <start>213</start>
      <end>214</end>
      <status>unmodified</status>
      <modifiedWord/>
      <trackRevisions>false</trackRevisions>
    </reviewItem>
    <reviewItem>
      <errorID>3c534179-f7cb-4edb-bd58-1a0537a8d085</errorID>
      <errorWord>）</errorWord>
      <group>L1_Punc</group>
      <groupName>标点问题</groupName>
      <ability>L2_Punc</ability>
      <abilityName>标点符号检查</abilityName>
      <candidateList/>
      <explain>同一形式括号套用。</explain>
      <paraID>47D6C1AF</paraID>
      <start>228</start>
      <end>229</end>
      <status>ignored</status>
      <modifiedWord/>
      <trackRevisions>false</trackRevisions>
    </reviewItem>
    <reviewItem>
      <errorID>3054d0f4-254c-473c-94e7-13ecfda1a976</errorID>
      <errorWord>(</errorWord>
      <group>L1_Format</group>
      <groupName>格式问题</groupName>
      <ability>L2_HalfPunc</ability>
      <abilityName>全半角检查</abilityName>
      <candidateList>
        <item>（</item>
      </candidateList>
      <explain>文本全半角错误。</explain>
      <paraID>6EA11134</paraID>
      <start>421</start>
      <end>422</end>
      <status>ignored</status>
      <modifiedWord/>
      <trackRevisions>false</trackRevisions>
    </reviewItem>
    <reviewItem>
      <errorID>e2cfbd6f-1e42-4a00-9697-fc13cd805f5e</errorID>
      <errorWord>)</errorWord>
      <group>L1_Format</group>
      <groupName>格式问题</groupName>
      <ability>L2_HalfPunc</ability>
      <abilityName>全半角检查</abilityName>
      <candidateList>
        <item>）</item>
      </candidateList>
      <explain>文本全半角错误。</explain>
      <paraID>6EA11134</paraID>
      <start>484</start>
      <end>485</end>
      <status>ignored</status>
      <modifiedWord/>
      <trackRevisions>false</trackRevisions>
    </reviewItem>
    <reviewItem>
      <errorID>aad82219-12e6-4111-ac42-30c2cf31a3e5</errorID>
      <errorWord>(</errorWord>
      <group>L1_Format</group>
      <groupName>格式问题</groupName>
      <ability>L2_HalfPunc</ability>
      <abilityName>全半角检查</abilityName>
      <candidateList>
        <item>（</item>
      </candidateList>
      <explain>文本全半角错误。</explain>
      <paraID>6EA11134</paraID>
      <start>551</start>
      <end>552</end>
      <status>ignored</status>
      <modifiedWord/>
      <trackRevisions>false</trackRevisions>
    </reviewItem>
    <reviewItem>
      <errorID>741b4578-3dab-4f1e-99ff-8569c6601f44</errorID>
      <errorWord>)</errorWord>
      <group>L1_Format</group>
      <groupName>格式问题</groupName>
      <ability>L2_HalfPunc</ability>
      <abilityName>全半角检查</abilityName>
      <candidateList>
        <item>）</item>
      </candidateList>
      <explain>文本全半角错误。</explain>
      <paraID>6EA11134</paraID>
      <start>588</start>
      <end>589</end>
      <status>ignored</status>
      <modifiedWord/>
      <trackRevisions>false</trackRevisions>
    </reviewItem>
    <reviewItem>
      <errorID>ada46854-705d-4d57-a691-0b310b3aef72</errorID>
      <errorWord>，</errorWord>
      <group>L1_Word</group>
      <groupName>字词问题</groupName>
      <ability>L2_Typo</ability>
      <abilityName>字词错误</abilityName>
      <candidateList>
        <item>，对</item>
      </candidateList>
      <explain/>
      <paraID>5CBA1714</paraID>
      <start>19</start>
      <end>20</end>
      <status>unmodified</status>
      <modifiedWord/>
      <trackRevisions>false</trackRevisions>
    </reviewItem>
    <reviewItem>
      <errorID>49f4a153-188b-4bb2-b7b2-d65632c759db</errorID>
      <errorWord>(</errorWord>
      <group>L1_Format</group>
      <groupName>格式问题</groupName>
      <ability>L2_HalfPunc</ability>
      <abilityName>全半角检查</abilityName>
      <candidateList>
        <item>（</item>
      </candidateList>
      <explain>文本全半角错误。</explain>
      <paraID>5CBA1714</paraID>
      <start>434</start>
      <end>435</end>
      <status>ignored</status>
      <modifiedWord/>
      <trackRevisions>false</trackRevisions>
    </reviewItem>
    <reviewItem>
      <errorID>84515492-9386-4181-a617-fc50dafd0e8c</errorID>
      <errorWord>)</errorWord>
      <group>L1_Format</group>
      <groupName>格式问题</groupName>
      <ability>L2_HalfPunc</ability>
      <abilityName>全半角检查</abilityName>
      <candidateList>
        <item>）</item>
      </candidateList>
      <explain>文本全半角错误。</explain>
      <paraID>5CBA1714</paraID>
      <start>448</start>
      <end>449</end>
      <status>ignored</status>
      <modifiedWord/>
      <trackRevisions>false</trackRevisions>
    </reviewItem>
    <reviewItem>
      <errorID>844f4539-bc14-4dae-b7e6-b15c2fc6a333</errorID>
      <errorWord>钢制</errorWord>
      <group>L1_Word</group>
      <groupName>字词问题</groupName>
      <ability>L2_Typo</ability>
      <abilityName>字词错误</abilityName>
      <candidateList>
        <item>钢质</item>
      </candidateList>
      <explain/>
      <paraID>5CBA1714</paraID>
      <start>465</start>
      <end>467</end>
      <status>unmodified</status>
      <modifiedWord/>
      <trackRevisions>false</trackRevisions>
    </reviewItem>
    <reviewItem>
      <errorID>fc36e84b-f57b-4200-9944-6f7195e3a530</errorID>
      <errorWord>(</errorWord>
      <group>L1_Format</group>
      <groupName>格式问题</groupName>
      <ability>L2_HalfPunc</ability>
      <abilityName>全半角检查</abilityName>
      <candidateList>
        <item>（</item>
      </candidateList>
      <explain>文本全半角错误。</explain>
      <paraID>1E23AE5A</paraID>
      <start>3</start>
      <end>4</end>
      <status>ignored</status>
      <modifiedWord/>
      <trackRevisions>false</trackRevisions>
    </reviewItem>
    <reviewItem>
      <errorID>c28da31c-a206-4146-94de-97dba5d42d26</errorID>
      <errorWord>)</errorWord>
      <group>L1_Format</group>
      <groupName>格式问题</groupName>
      <ability>L2_HalfPunc</ability>
      <abilityName>全半角检查</abilityName>
      <candidateList>
        <item>）</item>
      </candidateList>
      <explain>文本全半角错误。</explain>
      <paraID>1E23AE5A</paraID>
      <start>15</start>
      <end>16</end>
      <status>ignored</status>
      <modifiedWord/>
      <trackRevisions>false</trackRevisions>
    </reviewItem>
    <reviewItem>
      <errorID>b929fdc8-30b5-4f1c-a2cc-6dd4e0497a94</errorID>
      <errorWord>(</errorWord>
      <group>L1_Format</group>
      <groupName>格式问题</groupName>
      <ability>L2_HalfPunc</ability>
      <abilityName>全半角检查</abilityName>
      <candidateList>
        <item>（</item>
      </candidateList>
      <explain>文本全半角错误。</explain>
      <paraID>5E564211</paraID>
      <start>3</start>
      <end>4</end>
      <status>ignored</status>
      <modifiedWord/>
      <trackRevisions>false</trackRevisions>
    </reviewItem>
    <reviewItem>
      <errorID>dce13c7f-e988-4e09-9f1c-863a5a027d2a</errorID>
      <errorWord>)</errorWord>
      <group>L1_Format</group>
      <groupName>格式问题</groupName>
      <ability>L2_HalfPunc</ability>
      <abilityName>全半角检查</abilityName>
      <candidateList>
        <item>）</item>
      </candidateList>
      <explain>文本全半角错误。</explain>
      <paraID>5E564211</paraID>
      <start>7</start>
      <end>8</end>
      <status>ignored</status>
      <modifiedWord/>
      <trackRevisions>false</trackRevisions>
    </reviewItem>
    <reviewItem>
      <errorID>f9221a9b-e171-4460-a82d-d27f419b8663</errorID>
      <errorWord>(</errorWord>
      <group>L1_Format</group>
      <groupName>格式问题</groupName>
      <ability>L2_HalfPunc</ability>
      <abilityName>全半角检查</abilityName>
      <candidateList>
        <item>（</item>
      </candidateList>
      <explain>文本全半角错误。</explain>
      <paraID>485C0E76</paraID>
      <start>4</start>
      <end>5</end>
      <status>ignored</status>
      <modifiedWord/>
      <trackRevisions>false</trackRevisions>
    </reviewItem>
    <reviewItem>
      <errorID>1a882ceb-799a-4fff-afee-9aa7daa3fb57</errorID>
      <errorWord>)</errorWord>
      <group>L1_Format</group>
      <groupName>格式问题</groupName>
      <ability>L2_HalfPunc</ability>
      <abilityName>全半角检查</abilityName>
      <candidateList>
        <item>）</item>
      </candidateList>
      <explain>文本全半角错误。</explain>
      <paraID>485C0E76</paraID>
      <start>8</start>
      <end>9</end>
      <status>ignored</status>
      <modifiedWord/>
      <trackRevisions>false</trackRevisions>
    </reviewItem>
    <reviewItem>
      <errorID>c2099059-4d12-4ef4-b52f-45a422a9dd57</errorID>
      <errorWord>(</errorWord>
      <group>L1_Format</group>
      <groupName>格式问题</groupName>
      <ability>L2_HalfPunc</ability>
      <abilityName>全半角检查</abilityName>
      <candidateList>
        <item>（</item>
      </candidateList>
      <explain>文本全半角错误。</explain>
      <paraID>5B63AA9D</paraID>
      <start>6</start>
      <end>7</end>
      <status>ignored</status>
      <modifiedWord/>
      <trackRevisions>false</trackRevisions>
    </reviewItem>
    <reviewItem>
      <errorID>1cb0d460-7b7e-4ff8-b53e-24f72668b96e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4FF42314</paraID>
      <start>0</start>
      <end>2</end>
      <status>unmodified</status>
      <modifiedWord/>
      <trackRevisions>false</trackRevisions>
    </reviewItem>
    <reviewItem>
      <errorID>6c1905fb-7766-4f23-b874-edb3c3d547e6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65BDEBAD</paraID>
      <start>0</start>
      <end>2</end>
      <status>unmodified</status>
      <modifiedWord/>
      <trackRevisions>false</trackRevisions>
    </reviewItem>
    <reviewItem>
      <errorID>e8c965a6-15b7-4577-a60d-af683aaf4413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1074E8FC</paraID>
      <start>0</start>
      <end>2</end>
      <status>unmodified</status>
      <modifiedWord/>
      <trackRevisions>false</trackRevisions>
    </reviewItem>
    <reviewItem>
      <errorID>7d0f1cde-1ea0-4b4a-98a3-1ebe8f2628bc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28B35117</paraID>
      <start>0</start>
      <end>2</end>
      <status>unmodified</status>
      <modifiedWord/>
      <trackRevisions>false</trackRevisions>
    </reviewItem>
    <reviewItem>
      <errorID>16c99039-e489-4a1e-ac05-9e4e8d6ed6b3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4FDF2CDE</paraID>
      <start>0</start>
      <end>2</end>
      <status>unmodified</status>
      <modifiedWord/>
      <trackRevisions>false</trackRevisions>
    </reviewItem>
    <reviewItem>
      <errorID>b49ae836-d2f5-4429-944b-cfc0cb55eadc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2D5A26EF</paraID>
      <start>0</start>
      <end>2</end>
      <status>unmodified</status>
      <modifiedWord/>
      <trackRevisions>false</trackRevisions>
    </reviewItem>
    <reviewItem>
      <errorID>ffefd484-b1d3-4f31-9c21-651f5506b9ab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F7D3FDD</paraID>
      <start>0</start>
      <end>2</end>
      <status>unmodified</status>
      <modifiedWord/>
      <trackRevisions>false</trackRevisions>
    </reviewItem>
    <reviewItem>
      <errorID>3642747f-0867-4809-b0d1-f4bd5aca7652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3906ED64</paraID>
      <start>0</start>
      <end>2</end>
      <status>unmodified</status>
      <modifiedWord/>
      <trackRevisions>false</trackRevisions>
    </reviewItem>
    <reviewItem>
      <errorID>df9b97e1-4ad1-4fca-862f-3657a5cfe5a8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3F862B8E</paraID>
      <start>0</start>
      <end>2</end>
      <status>unmodified</status>
      <modifiedWord/>
      <trackRevisions>false</trackRevisions>
    </reviewItem>
    <reviewItem>
      <errorID>988b9f74-a1d1-4f32-8627-d72eb8458387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5171054D</paraID>
      <start>0</start>
      <end>2</end>
      <status>unmodified</status>
      <modifiedWord/>
      <trackRevisions>false</trackRevisions>
    </reviewItem>
    <reviewItem>
      <errorID>cde375d4-5e84-457c-90ce-67162e7999df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4FFCB3DF</paraID>
      <start>0</start>
      <end>2</end>
      <status>unmodified</status>
      <modifiedWord/>
      <trackRevisions>false</trackRevisions>
    </reviewItem>
    <reviewItem>
      <errorID>071adc44-4823-449b-8c61-e5ca0425a619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5F0E77A</paraID>
      <start>0</start>
      <end>2</end>
      <status>unmodified</status>
      <modifiedWord/>
      <trackRevisions>false</trackRevisions>
    </reviewItem>
    <reviewItem>
      <errorID>7fd043cb-ed18-4cc8-93e7-6772288328fe</errorID>
      <errorWord>监测监测</errorWord>
      <group>L1_Word</group>
      <groupName>字词问题</groupName>
      <ability>L2_Typo</ability>
      <abilityName>字词错误</abilityName>
      <candidateList>
        <item>监测</item>
      </candidateList>
      <explain/>
      <paraID>6BB9F7A3</paraID>
      <start>16</start>
      <end>20</end>
      <status>unmodified</status>
      <modifiedWord/>
      <trackRevisions>false</trackRevisions>
    </reviewItem>
    <reviewItem>
      <errorID>7024db4b-2584-4db5-8a2f-cc5c400d1e59</errorID>
      <errorWord>:</errorWord>
      <group>L1_Format</group>
      <groupName>格式问题</groupName>
      <ability>L2_HalfPunc</ability>
      <abilityName>全半角检查</abilityName>
      <candidateList>
        <item>：</item>
      </candidateList>
      <explain>文本全半角错误。</explain>
      <paraID>6BB9F7A3</paraID>
      <start>27</start>
      <end>28</end>
      <status>unmodified</status>
      <modifiedWord/>
      <trackRevisions>false</trackRevisions>
    </reviewItem>
    <reviewItem>
      <errorID>8bd53b04-0eae-48a6-9020-9f81740da2a1</errorID>
      <errorWord>(</errorWord>
      <group>L1_Format</group>
      <groupName>格式问题</groupName>
      <ability>L2_HalfPunc</ability>
      <abilityName>全半角检查</abilityName>
      <candidateList>
        <item>（</item>
      </candidateList>
      <explain>文本全半角错误。</explain>
      <paraID>6BB9F7A3</paraID>
      <start>33</start>
      <end>34</end>
      <status>ignored</status>
      <modifiedWord/>
      <trackRevisions>false</trackRevisions>
    </reviewItem>
    <reviewItem>
      <errorID>1b020dc9-3c1e-4412-91a1-94fdbb064d7f</errorID>
      <errorWord>-</errorWord>
      <group>L1_Format</group>
      <groupName>格式问题</groupName>
      <ability>L2_HalfPunc</ability>
      <abilityName>全半角检查</abilityName>
      <candidateList>
        <item>－</item>
      </candidateList>
      <explain>文本全半角错误。</explain>
      <paraID>10D9462F</paraID>
      <start>4</start>
      <end>5</end>
      <status>unmodified</status>
      <modifiedWord/>
      <trackRevisions>false</trackRevisions>
    </reviewItem>
    <reviewItem>
      <errorID>1a306052-2599-40ab-b73c-ad15c3afaa6c</errorID>
      <errorWord>II</errorWord>
      <group>L1_Knowledge</group>
      <groupName>知识性问题</groupName>
      <ability>L2_Knowledge</ability>
      <abilityName>其他知识</abilityName>
      <candidateList>
        <item>Ⅱ</item>
      </candidateList>
      <explain/>
      <paraID>6F77C96A</paraID>
      <start>54</start>
      <end>56</end>
      <status>unmodified</status>
      <modifiedWord/>
      <trackRevisions>false</trackRevisions>
    </reviewItem>
    <reviewItem>
      <errorID>8c2bba85-6f19-42b2-b752-54e7808cfc80</errorID>
      <errorWord>其它</errorWord>
      <group>L1_Word</group>
      <groupName>字词问题</groupName>
      <ability>L2_Alias</ability>
      <abilityName>也作/曾用词</abilityName>
      <candidateList>
        <item>其他</item>
      </candidateList>
      <explain>词汇[其它]为不规范表述或旧称，其规范书面表述为[其他]。</explain>
      <paraID>6F77C96A</paraID>
      <start>110</start>
      <end>112</end>
      <status>unmodified</status>
      <modifiedWord/>
      <trackRevisions>false</trackRevisions>
    </reviewItem>
    <reviewItem>
      <errorID>6142cd7d-425f-4084-87e7-129cc2fd2d45</errorID>
      <errorWord>占地耕地</errorWord>
      <group>L1_Political</group>
      <groupName>政治性问题</groupName>
      <ability>L2_Unpolitical</ability>
      <abilityName>政治敏感错误</abilityName>
      <candidateList>
        <item>占用耕地</item>
      </candidateList>
      <explain/>
      <paraID>53E8B15E</paraID>
      <start>89</start>
      <end>93</end>
      <status>unmodified</status>
      <modifiedWord/>
      <trackRevisions>false</trackRevisions>
    </reviewItem>
    <reviewItem>
      <errorID>676fb4cd-af99-40bc-ac96-495b74d833f1</errorID>
      <errorWord>类在</errorWord>
      <group>L1_Word</group>
      <groupName>字词问题</groupName>
      <ability>L2_Typo</ability>
      <abilityName>字词错误</abilityName>
      <candidateList>
        <item>类</item>
      </candidateList>
      <explain/>
      <paraID>7B48D9F6</paraID>
      <start>45</start>
      <end>47</end>
      <status>unmodified</status>
      <modifiedWord/>
      <trackRevisions>false</trackRevisions>
    </reviewItem>
    <reviewItem>
      <errorID>b917e376-c8fe-4016-9883-9bb8b049b74d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5F1BCAED</paraID>
      <start>77</start>
      <end>78</end>
      <status>unmodified</status>
      <modifiedWord/>
      <trackRevisions>false</trackRevisions>
    </reviewItem>
    <reviewItem>
      <errorID>986098a0-e6cc-43e6-a52e-1a61885b46bd</errorID>
      <errorWord>减震</errorWord>
      <group>L1_Word</group>
      <groupName>字词问题</groupName>
      <ability>L2_Typo</ability>
      <abilityName>字词错误</abilityName>
      <candidateList>
        <item>减振</item>
      </candidateList>
      <explain>存在发音相同字词的误用。</explain>
      <paraID>666E4936</paraID>
      <start>13</start>
      <end>15</end>
      <status>unmodified</status>
      <modifiedWord/>
      <trackRevisions>false</trackRevisions>
    </reviewItem>
    <reviewItem>
      <errorID>a6085bcd-3c73-4a54-8c91-febc098bc3fa</errorID>
      <errorWord>～</errorWord>
      <group>L1_Format</group>
      <groupName>格式问题</groupName>
      <ability>L2_HalfPunc</ability>
      <abilityName>全半角检查</abilityName>
      <candidateList>
        <item>~</item>
      </candidateList>
      <explain>文本全半角错误。</explain>
      <paraID> 3DE8332</paraID>
      <start>2</start>
      <end>3</end>
      <status>unmodified</status>
      <modifiedWord/>
      <trackRevisions>false</trackRevisions>
    </reviewItem>
    <reviewItem>
      <errorID>38399f37-9aae-4b47-a305-9d387d0ca5c1</errorID>
      <errorWord>～</errorWord>
      <group>L1_Format</group>
      <groupName>格式问题</groupName>
      <ability>L2_HalfPunc</ability>
      <abilityName>全半角检查</abilityName>
      <candidateList>
        <item>~</item>
      </candidateList>
      <explain>文本全半角错误。</explain>
      <paraID>3AF6B7D9</paraID>
      <start>2</start>
      <end>3</end>
      <status>unmodified</status>
      <modifiedWord/>
      <trackRevisions>false</trackRevisions>
    </reviewItem>
    <reviewItem>
      <errorID>c8e5f966-12ef-46cd-b55f-8b4a795020e7</errorID>
      <errorWord>)</errorWord>
      <group>L1_Format</group>
      <groupName>格式问题</groupName>
      <ability>L2_HalfPunc</ability>
      <abilityName>全半角检查</abilityName>
      <candidateList>
        <item>）</item>
      </candidateList>
      <explain>文本全半角错误。</explain>
      <paraID>3DEB48E8</paraID>
      <start>14</start>
      <end>15</end>
      <status>ignored</status>
      <modifiedWord/>
      <trackRevisions>false</trackRevisions>
    </reviewItem>
    <reviewItem>
      <errorID>12b67dbd-106a-4353-991c-fb02a3051684</errorID>
      <errorWord>钢制</errorWord>
      <group>L1_Word</group>
      <groupName>字词问题</groupName>
      <ability>L2_Typo</ability>
      <abilityName>字词错误</abilityName>
      <candidateList>
        <item>钢质</item>
      </candidateList>
      <explain/>
      <paraID>7A3410C7</paraID>
      <start>10</start>
      <end>12</end>
      <status>unmodified</status>
      <modifiedWord/>
      <trackRevisions>false</trackRevisions>
    </reviewItem>
    <reviewItem>
      <errorID>ac09f81d-6e9a-4071-bdac-cf4752613d47</errorID>
      <errorWord>处</errorWord>
      <group>L1_Word</group>
      <groupName>字词问题</groupName>
      <ability>L2_Typo</ability>
      <abilityName>字词错误</abilityName>
      <candidateList>
        <item>处理</item>
      </candidateList>
      <explain/>
      <paraID>1F9ADCF0</paraID>
      <start>16</start>
      <end>17</end>
      <status>unmodified</status>
      <modifiedWord/>
      <trackRevisions>false</trackRevisions>
    </reviewItem>
    <reviewItem>
      <errorID>d6cf2709-3ea5-45fd-83b6-71b6608f49af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3EC5215</paraID>
      <start>124</start>
      <end>125</end>
      <status>unmodified</status>
      <modifiedWord/>
      <trackRevisions>false</trackRevisions>
    </reviewItem>
    <reviewItem>
      <errorID>386764d9-a163-4847-80ad-607d4923e320</errorID>
      <errorWord>程</errorWord>
      <group>L1_Word</group>
      <groupName>字词问题</groupName>
      <ability>L2_Typo</ability>
      <abilityName>字词错误</abilityName>
      <candidateList>
        <item>程中</item>
      </candidateList>
      <explain/>
      <paraID> 3EC5215</paraID>
      <start>172</start>
      <end>173</end>
      <status>unmodified</status>
      <modifiedWord/>
      <trackRevisions>false</trackRevisions>
    </reviewItem>
    <reviewItem>
      <errorID>4dbf8eac-9e45-4325-85aa-f4cf061bb9df</errorID>
      <errorWord>对对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170B98C5</paraID>
      <start>44</start>
      <end>46</end>
      <status>unmodified</status>
      <modifiedWord/>
      <trackRevisions>false</trackRevisions>
    </reviewItem>
    <reviewItem>
      <errorID>bdaf513e-27aa-412b-9125-3bb16d25b8d8</errorID>
      <errorWord>~</errorWord>
      <group>L1_Format</group>
      <groupName>格式问题</groupName>
      <ability>L2_HalfPunc</ability>
      <abilityName>全半角检查</abilityName>
      <candidateList>
        <item>～</item>
      </candidateList>
      <explain>文本全半角错误。</explain>
      <paraID>545C7334</paraID>
      <start>45</start>
      <end>46</end>
      <status>unmodified</status>
      <modifiedWord/>
      <trackRevisions>false</trackRevisions>
    </reviewItem>
    <reviewItem>
      <errorID>9ad8ff5e-1072-4e07-8850-924c2be948f3</errorID>
      <errorWord>~</errorWord>
      <group>L1_Format</group>
      <groupName>格式问题</groupName>
      <ability>L2_HalfPunc</ability>
      <abilityName>全半角检查</abilityName>
      <candidateList>
        <item>～</item>
      </candidateList>
      <explain>文本全半角错误。</explain>
      <paraID>618F15F4</paraID>
      <start>66</start>
      <end>67</end>
      <status>unmodified</status>
      <modifiedWord/>
      <trackRevisions>false</trackRevisions>
    </reviewItem>
    <reviewItem>
      <errorID>48498d15-0146-4697-a38a-e9477694e061</errorID>
      <errorWord>~</errorWord>
      <group>L1_Format</group>
      <groupName>格式问题</groupName>
      <ability>L2_HalfPunc</ability>
      <abilityName>全半角检查</abilityName>
      <candidateList>
        <item>～</item>
      </candidateList>
      <explain>文本全半角错误。</explain>
      <paraID>618F15F4</paraID>
      <start>124</start>
      <end>125</end>
      <status>unmodified</status>
      <modifiedWord/>
      <trackRevisions>false</trackRevisions>
    </reviewItem>
    <reviewItem>
      <errorID>353e98cb-8d76-4402-a809-716affadfa0a</errorID>
      <errorWord>~</errorWord>
      <group>L1_Format</group>
      <groupName>格式问题</groupName>
      <ability>L2_HalfPunc</ability>
      <abilityName>全半角检查</abilityName>
      <candidateList>
        <item>～</item>
      </candidateList>
      <explain>文本全半角错误。</explain>
      <paraID>618F15F4</paraID>
      <start>140</start>
      <end>141</end>
      <status>unmodified</status>
      <modifiedWord/>
      <trackRevisions>false</trackRevisions>
    </reviewItem>
    <reviewItem>
      <errorID>33473f43-bca6-4d65-8fc6-d9daf0ae9d04</errorID>
      <errorWord>~</errorWord>
      <group>L1_Format</group>
      <groupName>格式问题</groupName>
      <ability>L2_HalfPunc</ability>
      <abilityName>全半角检查</abilityName>
      <candidateList>
        <item>～</item>
      </candidateList>
      <explain>文本全半角错误。</explain>
      <paraID>618F15F4</paraID>
      <start>196</start>
      <end>197</end>
      <status>unmodified</status>
      <modifiedWord/>
      <trackRevisions>false</trackRevisions>
    </reviewItem>
    <reviewItem>
      <errorID>9de6f47f-28c7-490a-8601-d01a14355d04</errorID>
      <errorWord>~</errorWord>
      <group>L1_Format</group>
      <groupName>格式问题</groupName>
      <ability>L2_HalfPunc</ability>
      <abilityName>全半角检查</abilityName>
      <candidateList>
        <item>～</item>
      </candidateList>
      <explain>文本全半角错误。</explain>
      <paraID>15941F3B</paraID>
      <start>60</start>
      <end>61</end>
      <status>unmodified</status>
      <modifiedWord/>
      <trackRevisions>false</trackRevisions>
    </reviewItem>
    <reviewItem>
      <errorID>eac0f7fe-ae91-4964-8853-03a5861375d0</errorID>
      <errorWord>“S”型</errorWord>
      <group>L1_Word</group>
      <groupName>字词问题</groupName>
      <ability>L2_Typo</ability>
      <abilityName>字词错误</abilityName>
      <candidateList>
        <item>“S”形</item>
      </candidateList>
      <explain/>
      <paraID>2FE3E4AD</paraID>
      <start>91</start>
      <end>95</end>
      <status>unmodified</status>
      <modifiedWord/>
      <trackRevisions>false</trackRevisions>
    </reviewItem>
    <reviewItem>
      <errorID>6847266a-909e-4431-ad17-df5e35a9c695</errorID>
      <errorWord>-</errorWord>
      <group>L1_Format</group>
      <groupName>格式问题</groupName>
      <ability>L2_HalfPunc</ability>
      <abilityName>全半角检查</abilityName>
      <candidateList>
        <item>－</item>
      </candidateList>
      <explain>文本全半角错误。</explain>
      <paraID>332DDCF7</paraID>
      <start>14</start>
      <end>15</end>
      <status>unmodified</status>
      <modifiedWord/>
      <trackRevisions>false</trackRevisions>
    </reviewItem>
    <reviewItem>
      <errorID>37719156-c5c7-4d03-8340-6c27e4275fa6</errorID>
      <errorWord>~</errorWord>
      <group>L1_Format</group>
      <groupName>格式问题</groupName>
      <ability>L2_HalfPunc</ability>
      <abilityName>全半角检查</abilityName>
      <candidateList>
        <item>～</item>
      </candidateList>
      <explain>文本全半角错误。</explain>
      <paraID>332DDCF7</paraID>
      <start>105</start>
      <end>106</end>
      <status>unmodified</status>
      <modifiedWord/>
      <trackRevisions>false</trackRevisions>
    </reviewItem>
    <reviewItem>
      <errorID>a4fdf080-e1db-40c7-afef-b9009a38764b</errorID>
      <errorWord>~</errorWord>
      <group>L1_Format</group>
      <groupName>格式问题</groupName>
      <ability>L2_HalfPunc</ability>
      <abilityName>全半角检查</abilityName>
      <candidateList>
        <item>～</item>
      </candidateList>
      <explain>文本全半角错误。</explain>
      <paraID>332DDCF7</paraID>
      <start>156</start>
      <end>157</end>
      <status>unmodified</status>
      <modifiedWord/>
      <trackRevisions>false</trackRevisions>
    </reviewItem>
    <reviewItem>
      <errorID>fef7f18d-85cf-4f08-b558-b2522285f735</errorID>
      <errorWord>~</errorWord>
      <group>L1_Format</group>
      <groupName>格式问题</groupName>
      <ability>L2_HalfPunc</ability>
      <abilityName>全半角检查</abilityName>
      <candidateList>
        <item>～</item>
      </candidateList>
      <explain>文本全半角错误。</explain>
      <paraID>332DDCF7</paraID>
      <start>204</start>
      <end>205</end>
      <status>unmodified</status>
      <modifiedWord/>
      <trackRevisions>false</trackRevisions>
    </reviewItem>
    <reviewItem>
      <errorID>c38853aa-cc77-435f-8a69-8dd3e5acd27a</errorID>
      <errorWord>~</errorWord>
      <group>L1_Format</group>
      <groupName>格式问题</groupName>
      <ability>L2_HalfPunc</ability>
      <abilityName>全半角检查</abilityName>
      <candidateList>
        <item>～</item>
      </candidateList>
      <explain>文本全半角错误。</explain>
      <paraID>332DDCF7</paraID>
      <start>224</start>
      <end>225</end>
      <status>unmodified</status>
      <modifiedWord/>
      <trackRevisions>false</trackRevisions>
    </reviewItem>
    <reviewItem>
      <errorID>3475912b-136f-47bf-ba25-a8eaa128daaa</errorID>
      <errorWord>~</errorWord>
      <group>L1_Format</group>
      <groupName>格式问题</groupName>
      <ability>L2_HalfPunc</ability>
      <abilityName>全半角检查</abilityName>
      <candidateList>
        <item>～</item>
      </candidateList>
      <explain>文本全半角错误。</explain>
      <paraID>332DDCF7</paraID>
      <start>255</start>
      <end>256</end>
      <status>unmodified</status>
      <modifiedWord/>
      <trackRevisions>false</trackRevisions>
    </reviewItem>
    <reviewItem>
      <errorID>154bb13e-c5b4-448e-b8d8-16f55da26fca</errorID>
      <errorWord>~</errorWord>
      <group>L1_Format</group>
      <groupName>格式问题</groupName>
      <ability>L2_HalfPunc</ability>
      <abilityName>全半角检查</abilityName>
      <candidateList>
        <item>～</item>
      </candidateList>
      <explain>文本全半角错误。</explain>
      <paraID>41A35234</paraID>
      <start>268</start>
      <end>269</end>
      <status>unmodified</status>
      <modifiedWord/>
      <trackRevisions>false</trackRevisions>
    </reviewItem>
    <reviewItem>
      <errorID>9ecee017-b618-4273-b224-3c0a30b5a307</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 BBAB89B</paraID>
      <start>42</start>
      <end>48</end>
      <status>unmodified</status>
      <modifiedWord/>
      <trackRevisions>false</trackRevisions>
    </reviewItem>
    <reviewItem>
      <errorID>09c0b7cb-1d45-4371-a6c5-ff771fdc833c</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 BBAB89B</paraID>
      <start>107</start>
      <end>113</end>
      <status>unmodified</status>
      <modifiedWord/>
      <trackRevisions>false</trackRevisions>
    </reviewItem>
    <reviewItem>
      <errorID>e7671b4f-64c5-4325-984c-841e263e6237</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722DA8C2</paraID>
      <start>42</start>
      <end>48</end>
      <status>unmodified</status>
      <modifiedWord/>
      <trackRevisions>false</trackRevisions>
    </reviewItem>
    <reviewItem>
      <errorID>ae86cd5e-acf6-40c9-9fbb-7c6193617365</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722DA8C2</paraID>
      <start>106</start>
      <end>112</end>
      <status>unmodified</status>
      <modifiedWord/>
      <trackRevisions>false</trackRevisions>
    </reviewItem>
    <reviewItem>
      <errorID>f79cf412-a6d3-4a7f-8fe4-d7d3a99819ec</errorID>
      <errorWord>孔渗</errorWord>
      <group>L1_Word</group>
      <groupName>字词问题</groupName>
      <ability>L2_Typo</ability>
      <abilityName>字词错误</abilityName>
      <candidateList>
        <item>孔隙</item>
      </candidateList>
      <explain/>
      <paraID> CEEDB41</paraID>
      <start>68</start>
      <end>70</end>
      <status>unmodified</status>
      <modifiedWord/>
      <trackRevisions>false</trackRevisions>
    </reviewItem>
    <reviewItem>
      <errorID>dadcfb8a-6440-4968-b9d0-75c9193dd5b4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1944ACE6</paraID>
      <start>0</start>
      <end>2</end>
      <status>unmodified</status>
      <modifiedWord/>
      <trackRevisions>false</trackRevisions>
    </reviewItem>
    <reviewItem>
      <errorID>51ed1aa3-3d77-4178-ae42-1fd388aeb76c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6421E205</paraID>
      <start>0</start>
      <end>2</end>
      <status>unmodified</status>
      <modifiedWord/>
      <trackRevisions>false</trackRevisions>
    </reviewItem>
    <reviewItem>
      <errorID>ef68f84f-0472-44d9-a306-a489f950c4aa</errorID>
      <errorWord>-</errorWord>
      <group>L1_Format</group>
      <groupName>格式问题</groupName>
      <ability>L2_HalfPunc</ability>
      <abilityName>全半角检查</abilityName>
      <candidateList>
        <item>－</item>
      </candidateList>
      <explain>文本全半角错误。</explain>
      <paraID>6A454760</paraID>
      <start>150</start>
      <end>151</end>
      <status>unmodified</status>
      <modifiedWord/>
      <trackRevisions>false</trackRevisions>
    </reviewItem>
    <reviewItem>
      <errorID>516794d7-2448-49e3-9e98-6bdd4235a6dd</errorID>
      <errorWord>-</errorWord>
      <group>L1_Format</group>
      <groupName>格式问题</groupName>
      <ability>L2_HalfPunc</ability>
      <abilityName>全半角检查</abilityName>
      <candidateList>
        <item>－</item>
      </candidateList>
      <explain>文本全半角错误。</explain>
      <paraID>2ED1593D</paraID>
      <start>6</start>
      <end>7</end>
      <status>unmodified</status>
      <modifiedWord/>
      <trackRevisions>false</trackRevisions>
    </reviewItem>
    <reviewItem>
      <errorID>81519423-9d7a-4c10-8802-95ad7e35114c</errorID>
      <errorWord>~</errorWord>
      <group>L1_Format</group>
      <groupName>格式问题</groupName>
      <ability>L2_HalfPunc</ability>
      <abilityName>全半角检查</abilityName>
      <candidateList>
        <item>～</item>
      </candidateList>
      <explain>文本全半角错误。</explain>
      <paraID>2ED1593D</paraID>
      <start>60</start>
      <end>61</end>
      <status>unmodified</status>
      <modifiedWord/>
      <trackRevisions>false</trackRevisions>
    </reviewItem>
    <reviewItem>
      <errorID>408722f2-2f47-44f4-8f17-fdf4a56d0e68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6933471C</paraID>
      <start>0</start>
      <end>2</end>
      <status>unmodified</status>
      <modifiedWord/>
      <trackRevisions>false</trackRevisions>
    </reviewItem>
    <reviewItem>
      <errorID>b0128614-1243-4026-b767-e6e9dfa04686</errorID>
      <errorWord>95.080%~96.436%</errorWord>
      <group>L1_Knowledge</group>
      <groupName>知识性问题</groupName>
      <ability>L2_Knowledge</ability>
      <abilityName>其他知识</abilityName>
      <candidateList>
        <item>95.080%～96.436%</item>
      </candidateList>
      <explain>1. “95.080%~96.436%”中的单位“%”仅出现在后一个数字上，容易引起歧义；根据《现代汉语标点符号数字用法规范手册》，数字表示范围两边需要使用统一的格式。2. 根据标点国标 4.13 中的规则，数字、时间或地域连接符应使用（视觉上更长的）“—”或“～”。</explain>
      <paraID>3230649E</paraID>
      <start>44</start>
      <end>59</end>
      <status>unmodified</status>
      <modifiedWord/>
      <trackRevisions>false</trackRevisions>
    </reviewItem>
    <reviewItem>
      <errorID>9b983fdf-6e61-4cc3-9146-beec30d85f67</errorID>
      <errorWord>1.917%~2.595%</errorWord>
      <group>L1_Knowledge</group>
      <groupName>知识性问题</groupName>
      <ability>L2_Knowledge</ability>
      <abilityName>其他知识</abilityName>
      <candidateList>
        <item>1.917%～2.595%</item>
      </candidateList>
      <explain>1. “1.917%~2.595%”中的单位“%”仅出现在后一个数字上，容易引起歧义；根据《现代汉语标点符号数字用法规范手册》，数字表示范围两边需要使用统一的格式。2. 根据标点国标 4.13 中的规则，数字、时间或地域连接符应使用（视觉上更长的）“—”或“～”。</explain>
      <paraID>3230649E</paraID>
      <start>76</start>
      <end>89</end>
      <status>unmodified</status>
      <modifiedWord/>
      <trackRevisions>false</trackRevisions>
    </reviewItem>
    <reviewItem>
      <errorID>5d153a83-a427-42b9-867e-b9605beef881</errorID>
      <errorWord>0.216%~0.424%</errorWord>
      <group>L1_Knowledge</group>
      <groupName>知识性问题</groupName>
      <ability>L2_Knowledge</ability>
      <abilityName>其他知识</abilityName>
      <candidateList>
        <item>0.216%～0.424%</item>
      </candidateList>
      <explain>1. “0.216%~0.424%”中的单位“%”仅出现在后一个数字上，容易引起歧义；根据《现代汉语标点符号数字用法规范手册》，数字表示范围两边需要使用统一的格式。2. 根据标点国标 4.13 中的规则，数字、时间或地域连接符应使用（视觉上更长的）“—”或“～”。</explain>
      <paraID>3230649E</paraID>
      <start>105</start>
      <end>118</end>
      <status>unmodified</status>
      <modifiedWord/>
      <trackRevisions>false</trackRevisions>
    </reviewItem>
    <reviewItem>
      <errorID>86181e9f-c813-4d18-8660-efbc0b190df1</errorID>
      <errorWord>0.143%~1.091%</errorWord>
      <group>L1_Knowledge</group>
      <groupName>知识性问题</groupName>
      <ability>L2_Knowledge</ability>
      <abilityName>其他知识</abilityName>
      <candidateList>
        <item>0.143%～1.091%</item>
      </candidateList>
      <explain>1. “0.143%~1.091%”中的单位“%”仅出现在后一个数字上，容易引起歧义；根据《现代汉语标点符号数字用法规范手册》，数字表示范围两边需要使用统一的格式。2. 根据标点国标 4.13 中的规则，数字、时间或地域连接符应使用（视觉上更长的）“—”或“～”。</explain>
      <paraID>3230649E</paraID>
      <start>136</start>
      <end>149</end>
      <status>unmodified</status>
      <modifiedWord/>
      <trackRevisions>false</trackRevisions>
    </reviewItem>
    <reviewItem>
      <errorID>75c296ca-fcde-462d-b3c1-781e9c765984</errorID>
      <errorWord>88.356%~96.859%</errorWord>
      <group>L1_Knowledge</group>
      <groupName>知识性问题</groupName>
      <ability>L2_Knowledge</ability>
      <abilityName>其他知识</abilityName>
      <candidateList>
        <item>88.356%～96.859%</item>
      </candidateList>
      <explain>1. “88.356%~96.859%”中的单位“%”仅出现在后一个数字上，容易引起歧义；根据《现代汉语标点符号数字用法规范手册》，数字表示范围两边需要使用统一的格式。2. 根据标点国标 4.13 中的规则，数字、时间或地域连接符应使用（视觉上更长的）“—”或“～”。</explain>
      <paraID>418853E7</paraID>
      <start>42</start>
      <end>57</end>
      <status>unmodified</status>
      <modifiedWord/>
      <trackRevisions>false</trackRevisions>
    </reviewItem>
    <reviewItem>
      <errorID>74b832ea-be0e-4b68-a735-d297498aa872</errorID>
      <errorWord>1.853%~2.887%</errorWord>
      <group>L1_Knowledge</group>
      <groupName>知识性问题</groupName>
      <ability>L2_Knowledge</ability>
      <abilityName>其他知识</abilityName>
      <candidateList>
        <item>1.853%～2.887%</item>
      </candidateList>
      <explain>1. “1.853%~2.887%”中的单位“%”仅出现在后一个数字上，容易引起歧义；根据《现代汉语标点符号数字用法规范手册》，数字表示范围两边需要使用统一的格式。2. 根据标点国标 4.13 中的规则，数字、时间或地域连接符应使用（视觉上更长的）“—”或“～”。</explain>
      <paraID>418853E7</paraID>
      <start>74</start>
      <end>87</end>
      <status>unmodified</status>
      <modifiedWord/>
      <trackRevisions>false</trackRevisions>
    </reviewItem>
    <reviewItem>
      <errorID>44de3fa4-f14a-4f10-827f-27e5e750f93b</errorID>
      <errorWord>0.168%~0.809%</errorWord>
      <group>L1_Knowledge</group>
      <groupName>知识性问题</groupName>
      <ability>L2_Knowledge</ability>
      <abilityName>其他知识</abilityName>
      <candidateList>
        <item>0.168%～0.809%</item>
      </candidateList>
      <explain>1. “0.168%~0.809%”中的单位“%”仅出现在后一个数字上，容易引起歧义；根据《现代汉语标点符号数字用法规范手册》，数字表示范围两边需要使用统一的格式。2. 根据标点国标 4.13 中的规则，数字、时间或地域连接符应使用（视觉上更长的）“—”或“～”。</explain>
      <paraID>418853E7</paraID>
      <start>103</start>
      <end>116</end>
      <status>unmodified</status>
      <modifiedWord/>
      <trackRevisions>false</trackRevisions>
    </reviewItem>
    <reviewItem>
      <errorID>7e84fd83-db70-4e5b-abe5-7cc3c0b9fcf5</errorID>
      <errorWord>0.063%~5.465%</errorWord>
      <group>L1_Knowledge</group>
      <groupName>知识性问题</groupName>
      <ability>L2_Knowledge</ability>
      <abilityName>其他知识</abilityName>
      <candidateList>
        <item>0.063%～5.465%</item>
      </candidateList>
      <explain>1. “0.063%~5.465%”中的单位“%”仅出现在后一个数字上，容易引起歧义；根据《现代汉语标点符号数字用法规范手册》，数字表示范围两边需要使用统一的格式。2. 根据标点国标 4.13 中的规则，数字、时间或地域连接符应使用（视觉上更长的）“—”或“～”。</explain>
      <paraID>418853E7</paraID>
      <start>134</start>
      <end>147</end>
      <status>unmodified</status>
      <modifiedWord/>
      <trackRevisions>false</trackRevisions>
    </reviewItem>
    <reviewItem>
      <errorID>f386968b-4357-4992-8c9c-882e3c96223f</errorID>
      <errorWord>重碳酸钠</errorWord>
      <group>L1_Knowledge</group>
      <groupName>知识性问题</groupName>
      <ability>L2_Term</ability>
      <abilityName>专业术语</abilityName>
      <candidateList>
        <item>碳酸氢钠</item>
      </candidateList>
      <explain>医学名词[重碳酸钠]为不规范表述或旧称，其规范书面表述为[碳酸氢钠]。</explain>
      <paraID>474FF8F2</paraID>
      <start>93</start>
      <end>97</end>
      <status>unmodified</status>
      <modifiedWord/>
      <trackRevisions>false</trackRevisions>
    </reviewItem>
    <reviewItem>
      <errorID>9c2e14bc-6d72-4b20-ba80-164e03c69d2d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36D8337B</paraID>
      <start>0</start>
      <end>2</end>
      <status>unmodified</status>
      <modifiedWord/>
      <trackRevisions>false</trackRevisions>
    </reviewItem>
    <reviewItem>
      <errorID>2d9ecbd3-8046-43c7-8cda-d587c0a06f7c</errorID>
      <errorWord>0.143%~1.091%</errorWord>
      <group>L1_Knowledge</group>
      <groupName>知识性问题</groupName>
      <ability>L2_Knowledge</ability>
      <abilityName>其他知识</abilityName>
      <candidateList>
        <item>0.143%～1.091%</item>
      </candidateList>
      <explain>1. “0.143%~1.091%”中的单位“%”仅出现在后一个数字上，容易引起歧义；根据《现代汉语标点符号数字用法规范手册》，数字表示范围两边需要使用统一的格式。2. 根据标点国标 4.13 中的规则，数字、时间或地域连接符应使用（视觉上更长的）“—”或“～”。</explain>
      <paraID>2E02887D</paraID>
      <start>38</start>
      <end>51</end>
      <status>unmodified</status>
      <modifiedWord/>
      <trackRevisions>false</trackRevisions>
    </reviewItem>
    <reviewItem>
      <errorID>bc24926e-d268-4302-abbd-e33f5227f2db</errorID>
      <errorWord>0.063%~5.465%</errorWord>
      <group>L1_Knowledge</group>
      <groupName>知识性问题</groupName>
      <ability>L2_Knowledge</ability>
      <abilityName>其他知识</abilityName>
      <candidateList>
        <item>0.063%～5.465%</item>
      </candidateList>
      <explain>1. “0.063%~5.465%”中的单位“%”仅出现在后一个数字上，容易引起歧义；根据《现代汉语标点符号数字用法规范手册》，数字表示范围两边需要使用统一的格式。2. 根据标点国标 4.13 中的规则，数字、时间或地域连接符应使用（视觉上更长的）“—”或“～”。</explain>
      <paraID>2E02887D</paraID>
      <start>93</start>
      <end>106</end>
      <status>unmodified</status>
      <modifiedWord/>
      <trackRevisions>false</trackRevisions>
    </reviewItem>
    <reviewItem>
      <errorID>ff5652e5-dfe2-49ef-b1cc-0a49a3e754b9</errorID>
      <errorWord>~</errorWord>
      <group>L1_Format</group>
      <groupName>格式问题</groupName>
      <ability>L2_HalfPunc</ability>
      <abilityName>全半角检查</abilityName>
      <candidateList>
        <item>～</item>
      </candidateList>
      <explain>文本全半角错误。</explain>
      <paraID> BCED835</paraID>
      <start>30</start>
      <end>31</end>
      <status>unmodified</status>
      <modifiedWord/>
      <trackRevisions>false</trackRevisions>
    </reviewItem>
    <reviewItem>
      <errorID>e213a8a1-a495-4c5a-a18c-faa3d47687cf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52E5CB1B</paraID>
      <start>22</start>
      <end>23</end>
      <status>ignored</status>
      <modifiedWord/>
      <trackRevisions>false</trackRevisions>
    </reviewItem>
    <reviewItem>
      <errorID>1fd47beb-6b82-42a8-8766-ad88d0bce63e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52E5CB1B</paraID>
      <start>52</start>
      <end>53</end>
      <status>ignored</status>
      <modifiedWord/>
      <trackRevisions>false</trackRevisions>
    </reviewItem>
    <reviewItem>
      <errorID>c972ff14-67cd-42a8-a0dc-31b3d257fdb2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73D12C44</paraID>
      <start>22</start>
      <end>23</end>
      <status>ignored</status>
      <modifiedWord/>
      <trackRevisions>false</trackRevisions>
    </reviewItem>
    <reviewItem>
      <errorID>0beb7b5c-22a3-46fe-9147-7e0624f3c2eb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73D12C44</paraID>
      <start>50</start>
      <end>51</end>
      <status>ignored</status>
      <modifiedWord/>
      <trackRevisions>false</trackRevisions>
    </reviewItem>
    <reviewItem>
      <errorID>099d15bf-d96e-4ac4-bf6b-64802ca65cf2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73D12C44</paraID>
      <start>68</start>
      <end>69</end>
      <status>ignored</status>
      <modifiedWord/>
      <trackRevisions>false</trackRevisions>
    </reviewItem>
    <reviewItem>
      <errorID>ae17a8ce-0354-4199-9ab2-1af076b09b99</errorID>
      <errorWord>包被</errorWord>
      <group>L1_Word</group>
      <groupName>字词问题</groupName>
      <ability>L2_Typo</ability>
      <abilityName>字词错误</abilityName>
      <candidateList>
        <item>包覆</item>
      </candidateList>
      <explain/>
      <paraID>19EC78FD</paraID>
      <start>33</start>
      <end>35</end>
      <status>unmodified</status>
      <modifiedWord/>
      <trackRevisions>false</trackRevisions>
    </reviewItem>
    <reviewItem>
      <errorID>66559421-7393-484c-b44c-2bb8478cdfc8</errorID>
      <errorWord>包被</errorWord>
      <group>L1_Word</group>
      <groupName>字词问题</groupName>
      <ability>L2_Typo</ability>
      <abilityName>字词错误</abilityName>
      <candidateList>
        <item>包覆</item>
      </candidateList>
      <explain/>
      <paraID>19EC78FD</paraID>
      <start>96</start>
      <end>98</end>
      <status>unmodified</status>
      <modifiedWord/>
      <trackRevisions>false</trackRevisions>
    </reviewItem>
    <reviewItem>
      <errorID>74fc58ed-e9d0-4553-a6ba-ca96fc93b059</errorID>
      <errorWord>胺基</errorWord>
      <group>L1_Word</group>
      <groupName>字词问题</groupName>
      <ability>L2_Typo</ability>
      <abilityName>字词错误</abilityName>
      <candidateList>
        <item>氨基</item>
      </candidateList>
      <explain/>
      <paraID>19EC78FD</paraID>
      <start>100</start>
      <end>102</end>
      <status>unmodified</status>
      <modifiedWord/>
      <trackRevisions>false</trackRevisions>
    </reviewItem>
    <reviewItem>
      <errorID>5e17aa8f-9763-454c-9930-cbd68824a1fc</errorID>
      <errorWord>包被</errorWord>
      <group>L1_Word</group>
      <groupName>字词问题</groupName>
      <ability>L2_Typo</ability>
      <abilityName>字词错误</abilityName>
      <candidateList>
        <item>包覆</item>
      </candidateList>
      <explain/>
      <paraID>12FB945E</paraID>
      <start>158</start>
      <end>160</end>
      <status>unmodified</status>
      <modifiedWord/>
      <trackRevisions>false</trackRevisions>
    </reviewItem>
    <reviewItem>
      <errorID>6c0949fb-015c-423a-a752-a99c705ed9d6</errorID>
      <errorWord>胺基</errorWord>
      <group>L1_Word</group>
      <groupName>字词问题</groupName>
      <ability>L2_Typo</ability>
      <abilityName>字词错误</abilityName>
      <candidateList>
        <item>氨基</item>
      </candidateList>
      <explain/>
      <paraID>12FB945E</paraID>
      <start>162</start>
      <end>164</end>
      <status>unmodified</status>
      <modifiedWord/>
      <trackRevisions>false</trackRevisions>
    </reviewItem>
    <reviewItem>
      <errorID>bb8cf986-7e20-43f3-9ae5-19dd7289f33f</errorID>
      <errorWord>粘度</errorWord>
      <group>L1_Word</group>
      <groupName>字词问题</groupName>
      <ability>L2_Alias</ability>
      <abilityName>也作/曾用词</abilityName>
      <candidateList>
        <item>黏度</item>
      </candidateList>
      <explain>词汇[粘度]为不规范表述或旧称，其规范书面表述为[黏度]。</explain>
      <paraID>1BE22EF8</paraID>
      <start>57</start>
      <end>59</end>
      <status>unmodified</status>
      <modifiedWord/>
      <trackRevisions>false</trackRevisions>
    </reviewItem>
    <reviewItem>
      <errorID>0c1e54ad-8fbc-4367-afaf-80bd8c270867</errorID>
      <errorWord>，</errorWord>
      <group>L1_Word</group>
      <groupName>字词问题</groupName>
      <ability>L2_Typo</ability>
      <abilityName>字词错误</abilityName>
      <candidateList>
        <item>，在</item>
      </candidateList>
      <explain/>
      <paraID>1541D9C4</paraID>
      <start>51</start>
      <end>52</end>
      <status>unmodified</status>
      <modifiedWord/>
      <trackRevisions>false</trackRevisions>
    </reviewItem>
    <reviewItem>
      <errorID>0ebe13cb-72db-421c-bd10-c29ef37d4084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1541D9C4</paraID>
      <start>91</start>
      <end>92</end>
      <status>ignored</status>
      <modifiedWord/>
      <trackRevisions>false</trackRevisions>
    </reviewItem>
    <reviewItem>
      <errorID>b557d400-cacd-4c54-99cf-bfff0e81c80f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6619E5BF</paraID>
      <start>68</start>
      <end>69</end>
      <status>ignored</status>
      <modifiedWord/>
      <trackRevisions>false</trackRevisions>
    </reviewItem>
    <reviewItem>
      <errorID>cb627c85-a387-4b33-84f0-ab5ee38505b9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6619E5BF</paraID>
      <start>156</start>
      <end>157</end>
      <status>ignored</status>
      <modifiedWord/>
      <trackRevisions>false</trackRevisions>
    </reviewItem>
    <reviewItem>
      <errorID>ccc91262-8925-4f08-a6bd-50650f14da39</errorID>
      <errorWord>(</errorWord>
      <group>L1_Format</group>
      <groupName>格式问题</groupName>
      <ability>L2_HalfPunc</ability>
      <abilityName>全半角检查</abilityName>
      <candidateList>
        <item>（</item>
      </candidateList>
      <explain>文本全半角错误。</explain>
      <paraID>606BEF98</paraID>
      <start>135</start>
      <end>136</end>
      <status>ignored</status>
      <modifiedWord/>
      <trackRevisions>false</trackRevisions>
    </reviewItem>
    <reviewItem>
      <errorID>571f4884-8b9c-4ccb-b742-e86fb02f9265</errorID>
      <errorWord>)</errorWord>
      <group>L1_Format</group>
      <groupName>格式问题</groupName>
      <ability>L2_HalfPunc</ability>
      <abilityName>全半角检查</abilityName>
      <candidateList>
        <item>）</item>
      </candidateList>
      <explain>文本全半角错误。</explain>
      <paraID>606BEF98</paraID>
      <start>149</start>
      <end>150</end>
      <status>ignored</status>
      <modifiedWord/>
      <trackRevisions>false</trackRevisions>
    </reviewItem>
    <reviewItem>
      <errorID>b6208356-7f24-4535-8241-bfdf9f9f320f</errorID>
      <errorWord>(</errorWord>
      <group>L1_Format</group>
      <groupName>格式问题</groupName>
      <ability>L2_HalfPunc</ability>
      <abilityName>全半角检查</abilityName>
      <candidateList>
        <item>（</item>
      </candidateList>
      <explain>文本全半角错误。</explain>
      <paraID> C3B59A5</paraID>
      <start>197</start>
      <end>198</end>
      <status>ignored</status>
      <modifiedWord/>
      <trackRevisions>false</trackRevisions>
    </reviewItem>
    <reviewItem>
      <errorID>d17e18df-0084-4201-a6bb-960c8525ce6d</errorID>
      <errorWord>)</errorWord>
      <group>L1_Format</group>
      <groupName>格式问题</groupName>
      <ability>L2_HalfPunc</ability>
      <abilityName>全半角检查</abilityName>
      <candidateList>
        <item>）</item>
      </candidateList>
      <explain>文本全半角错误。</explain>
      <paraID> C3B59A5</paraID>
      <start>211</start>
      <end>212</end>
      <status>ignored</status>
      <modifiedWord/>
      <trackRevisions>false</trackRevisions>
    </reviewItem>
    <reviewItem>
      <errorID>91380b2d-7e5e-4050-9d0a-02e848b0fc34</errorID>
      <errorWord>-</errorWord>
      <group>L1_Format</group>
      <groupName>格式问题</groupName>
      <ability>L2_HalfPunc</ability>
      <abilityName>全半角检查</abilityName>
      <candidateList>
        <item>－</item>
      </candidateList>
      <explain>文本全半角错误。</explain>
      <paraID> F8608DE</paraID>
      <start>15</start>
      <end>16</end>
      <status>unmodified</status>
      <modifiedWord/>
      <trackRevisions>false</trackRevisions>
    </reviewItem>
    <reviewItem>
      <errorID>c295ffae-4e09-4549-8292-18ff32887da5</errorID>
      <errorWord>-</errorWord>
      <group>L1_Format</group>
      <groupName>格式问题</groupName>
      <ability>L2_HalfPunc</ability>
      <abilityName>全半角检查</abilityName>
      <candidateList>
        <item>－</item>
      </candidateList>
      <explain>文本全半角错误。</explain>
      <paraID>65985F03</paraID>
      <start>28</start>
      <end>29</end>
      <status>unmodified</status>
      <modifiedWord/>
      <trackRevisions>false</trackRevisions>
    </reviewItem>
    <reviewItem>
      <errorID>2bdb773a-db77-4941-8812-ae15138a1099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64E8D96D</paraID>
      <start>112</start>
      <end>113</end>
      <status>ignored</status>
      <modifiedWord/>
      <trackRevisions>false</trackRevisions>
    </reviewItem>
    <reviewItem>
      <errorID>c3a043d8-2f31-4d0c-ad4d-bd29ed6ee35a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6787BEDD</paraID>
      <start>55</start>
      <end>56</end>
      <status>ignored</status>
      <modifiedWord/>
      <trackRevisions>false</trackRevisions>
    </reviewItem>
    <reviewItem>
      <errorID>8e306d0f-e4cf-4c72-9378-a64a5c93111c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3BC2A8EF</paraID>
      <start>29</start>
      <end>30</end>
      <status>ignored</status>
      <modifiedWord/>
      <trackRevisions>false</trackRevisions>
    </reviewItem>
    <reviewItem>
      <errorID>05019f2a-31d2-470c-9b07-d1ecc09d6444</errorID>
      <errorWord>其它</errorWord>
      <group>L1_Word</group>
      <groupName>字词问题</groupName>
      <ability>L2_Alias</ability>
      <abilityName>也作/曾用词</abilityName>
      <candidateList>
        <item>其他</item>
      </candidateList>
      <explain>词汇[其它]为不规范表述或旧称，其规范书面表述为[其他]。</explain>
      <paraID>77D59C56</paraID>
      <start>79</start>
      <end>81</end>
      <status>unmodified</status>
      <modifiedWord/>
      <trackRevisions>false</trackRevisions>
    </reviewItem>
    <reviewItem>
      <errorID>ec2380ad-44db-4f8c-9f22-b28e40d52105</errorID>
      <errorWord>，，</errorWord>
      <group>L1_Punc</group>
      <groupName>标点问题</groupName>
      <ability>L2_Punc</ability>
      <abilityName>标点符号检查</abilityName>
      <candidateList>
        <item>，</item>
      </candidateList>
      <explain/>
      <paraID>71581E8E</paraID>
      <start>80</start>
      <end>82</end>
      <status>unmodified</status>
      <modifiedWord/>
      <trackRevisions>false</trackRevisions>
    </reviewItem>
    <reviewItem>
      <errorID>ba159424-654a-4c53-b551-6884f581a963</errorID>
      <errorWord>-</errorWord>
      <group>L1_Format</group>
      <groupName>格式问题</groupName>
      <ability>L2_HalfPunc</ability>
      <abilityName>全半角检查</abilityName>
      <candidateList>
        <item>－</item>
      </candidateList>
      <explain>文本全半角错误。</explain>
      <paraID>14E8DDAA</paraID>
      <start>14</start>
      <end>15</end>
      <status>unmodified</status>
      <modifiedWord/>
      <trackRevisions>false</trackRevisions>
    </reviewItem>
    <reviewItem>
      <errorID>251b9108-fc27-48d1-94a0-31fe95668b05</errorID>
      <errorWord>-</errorWord>
      <group>L1_Format</group>
      <groupName>格式问题</groupName>
      <ability>L2_HalfPunc</ability>
      <abilityName>全半角检查</abilityName>
      <candidateList>
        <item>－</item>
      </candidateList>
      <explain>文本全半角错误。</explain>
      <paraID>14E8DDAA</paraID>
      <start>19</start>
      <end>20</end>
      <status>unmodified</status>
      <modifiedWord/>
      <trackRevisions>false</trackRevisions>
    </reviewItem>
    <reviewItem>
      <errorID>1c2cc5f7-2bcb-4623-a37f-1911b34b2821</errorID>
      <errorWord>程</errorWord>
      <group>L1_Word</group>
      <groupName>字词问题</groupName>
      <ability>L2_Typo</ability>
      <abilityName>字词错误</abilityName>
      <candidateList>
        <item>程中</item>
      </candidateList>
      <explain/>
      <paraID> 6AE5C31</paraID>
      <start>5</start>
      <end>6</end>
      <status>unmodified</status>
      <modifiedWord/>
      <trackRevisions>false</trackRevisions>
    </reviewItem>
    <reviewItem>
      <errorID>fc203275-13a7-4d6f-8b4c-b0e7dc028cbc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242B8C0</paraID>
      <start>125</start>
      <end>126</end>
      <status>ignored</status>
      <modifiedWord/>
      <trackRevisions>false</trackRevisions>
    </reviewItem>
    <reviewItem>
      <errorID>faa095f3-9122-4951-a1b2-3cbdeef390e7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242B8C0</paraID>
      <start>245</start>
      <end>246</end>
      <status>ignored</status>
      <modifiedWord/>
      <trackRevisions>false</trackRevisions>
    </reviewItem>
    <reviewItem>
      <errorID>d0caa6cf-97bf-42af-9cb1-5b87377e0931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14C25B2F</paraID>
      <start>148</start>
      <end>149</end>
      <status>ignored</status>
      <modifiedWord/>
      <trackRevisions>false</trackRevisions>
    </reviewItem>
    <reviewItem>
      <errorID>e122add8-e9ae-4d7c-90f2-6975fd6cf5dc</errorID>
      <errorWord>设</errorWord>
      <group>L1_Word</group>
      <groupName>字词问题</groupName>
      <ability>L2_Typo</ability>
      <abilityName>字词错误</abilityName>
      <candidateList>
        <item>设置</item>
      </candidateList>
      <explain>〈动〉❶设立：这座剧院是为儿童～的。❷安放；安装：～障碍。</explain>
      <paraID>6894E00F</paraID>
      <start>58</start>
      <end>59</end>
      <status>unmodified</status>
      <modifiedWord/>
      <trackRevisions>false</trackRevisions>
    </reviewItem>
    <reviewItem>
      <errorID>f6cf4bc1-9968-4975-a1a7-b175fa456af8</errorID>
      <errorWord>(</errorWord>
      <group>L1_Format</group>
      <groupName>格式问题</groupName>
      <ability>L2_HalfPunc</ability>
      <abilityName>全半角检查</abilityName>
      <candidateList>
        <item>（</item>
      </candidateList>
      <explain>文本全半角错误。</explain>
      <paraID>45227743</paraID>
      <start>178</start>
      <end>179</end>
      <status>ignored</status>
      <modifiedWord/>
      <trackRevisions>false</trackRevisions>
    </reviewItem>
    <reviewItem>
      <errorID>c58abaad-2034-40c4-9cf0-5e52641cde86</errorID>
      <errorWord>)</errorWord>
      <group>L1_Format</group>
      <groupName>格式问题</groupName>
      <ability>L2_HalfPunc</ability>
      <abilityName>全半角检查</abilityName>
      <candidateList>
        <item>）</item>
      </candidateList>
      <explain>文本全半角错误。</explain>
      <paraID>45227743</paraID>
      <start>192</start>
      <end>193</end>
      <status>ignored</status>
      <modifiedWord/>
      <trackRevisions>false</trackRevisions>
    </reviewItem>
    <reviewItem>
      <errorID>4cecfc95-b9f7-48e5-99e0-55fb756f2b98</errorID>
      <errorWord>期</errorWord>
      <group>L1_Word</group>
      <groupName>字词问题</groupName>
      <ability>L2_Typo</ability>
      <abilityName>字词错误</abilityName>
      <candidateList>
        <item>期间</item>
      </candidateList>
      <explain>〈名〉某个时期里面：农忙～｜春节～｜抗战～。</explain>
      <paraID>20E58484</paraID>
      <start>2</start>
      <end>3</end>
      <status>ignored</status>
      <modifiedWord/>
      <trackRevisions>false</trackRevisions>
    </reviewItem>
    <reviewItem>
      <errorID>ef0259ec-5684-411b-8ab1-4f5a23140a12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47F175B6</paraID>
      <start>208</start>
      <end>209</end>
      <status>ignored</status>
      <modifiedWord/>
      <trackRevisions>false</trackRevisions>
    </reviewItem>
    <reviewItem>
      <errorID>c388d81d-b07b-461b-9bce-2c589f651975</errorID>
      <errorWord>布设个</errorWord>
      <group>L1_Word</group>
      <groupName>字词问题</groupName>
      <ability>L2_Typo</ability>
      <abilityName>字词错误</abilityName>
      <candidateList>
        <item>布设</item>
      </candidateList>
      <explain/>
      <paraID>7F8EA03E</paraID>
      <start>13</start>
      <end>16</end>
      <status>unmodified</status>
      <modifiedWord/>
      <trackRevisions>false</trackRevisions>
    </reviewItem>
    <reviewItem>
      <errorID>31eb79e6-deda-4eb7-8a6c-6b2461951d0f</errorID>
      <errorWord>，</errorWord>
      <group>L1_Word</group>
      <groupName>字词问题</groupName>
      <ability>L2_Typo</ability>
      <abilityName>字词错误</abilityName>
      <candidateList>
        <item>，在</item>
      </candidateList>
      <explain/>
      <paraID>7F8EA03E</paraID>
      <start>24</start>
      <end>25</end>
      <status>unmodified</status>
      <modifiedWord/>
      <trackRevisions>false</trackRevisions>
    </reviewItem>
    <reviewItem>
      <errorID>ccf1e0e9-d7dc-4518-bec8-a3426a5032bd</errorID>
      <errorWord>】</errorWord>
      <group>L1_Punc</group>
      <groupName>标点问题</groupName>
      <ability>L2_Punc</ability>
      <abilityName>标点符号检查</abilityName>
      <candidateList/>
      <explain/>
      <paraID>6A9864C9</paraID>
      <start>0</start>
      <end>1</end>
      <status>unmodified</status>
      <modifiedWord/>
      <trackRevisions>false</trackRevisions>
    </reviewItem>
    <reviewItem>
      <errorID>48e9eef7-24d1-4c92-829d-393e55ecd59a</errorID>
      <errorWord>处理处理</errorWord>
      <group>L1_Word</group>
      <groupName>字词问题</groupName>
      <ability>L2_Typo</ability>
      <abilityName>字词错误</abilityName>
      <candidateList>
        <item>处理</item>
      </candidateList>
      <explain/>
      <paraID>4054439F</paraID>
      <start>26</start>
      <end>30</end>
      <status>unmodified</status>
      <modifiedWord/>
      <trackRevisions>false</trackRevisions>
    </reviewItem>
    <reviewItem>
      <errorID>1790e154-10d9-4959-bd9b-6593f42350b7</errorID>
      <errorWord>~</errorWord>
      <group>L1_Format</group>
      <groupName>格式问题</groupName>
      <ability>L2_HalfPunc</ability>
      <abilityName>全半角检查</abilityName>
      <candidateList>
        <item>～</item>
      </candidateList>
      <explain>文本全半角错误。</explain>
      <paraID> 4C3B042</paraID>
      <start>29</start>
      <end>30</end>
      <status>unmodified</status>
      <modifiedWord/>
      <trackRevisions>false</trackRevisions>
    </reviewItem>
    <reviewItem>
      <errorID>d1c9607b-ba92-4571-ac42-1708cfeab62c</errorID>
      <errorWord>井别</errorWord>
      <group>L1_Word</group>
      <groupName>字词问题</groupName>
      <ability>L2_Typo</ability>
      <abilityName>字词错误</abilityName>
      <candidateList>
        <item>特别</item>
      </candidateList>
      <explain>❶〈形〉与众不同；不普通：～的式样｜他的脾气很～。❷〈副〉格外：火车跑得～快｜这个节目～吸引观众。❸〈副〉特地：散会的时候，厂长～把他留下来研究技术上的问题。❹〈副〉尤其：他喜欢郊游，～是骑自行车郊游。</explain>
      <paraID>35DEC104</paraID>
      <start>0</start>
      <end>2</end>
      <status>unmodified</status>
      <modifiedWord/>
      <trackRevisions>false</trackRevisions>
    </reviewItem>
    <reviewItem>
      <errorID>458da0f4-c020-4c23-864f-f7d4c4a7aa3c</errorID>
      <errorWord>型</errorWord>
      <group>L1_Word</group>
      <groupName>字词问题</groupName>
      <ability>L2_Typo</ability>
      <abilityName>字词错误</abilityName>
      <candidateList>
        <item>形</item>
      </candidateList>
      <explain>存在发音相同字词的误用。</explain>
      <paraID>4519802F</paraID>
      <start>1</start>
      <end>2</end>
      <status>unmodified</status>
      <modifiedWord/>
      <trackRevisions>false</trackRevisions>
    </reviewItem>
    <reviewItem>
      <errorID>979eb97a-9fe9-428d-892d-83cd92dcbbb7</errorID>
      <errorWord>-</errorWord>
      <group>L1_Format</group>
      <groupName>格式问题</groupName>
      <ability>L2_HalfPunc</ability>
      <abilityName>全半角检查</abilityName>
      <candidateList>
        <item>－</item>
      </candidateList>
      <explain>文本全半角错误。</explain>
      <paraID>59011D7D</paraID>
      <start>3</start>
      <end>4</end>
      <status>unmodified</status>
      <modifiedWord/>
      <trackRevisions>false</trackRevisions>
    </reviewItem>
    <reviewItem>
      <errorID>46825f71-e609-4fc7-a667-e246703ed264</errorID>
      <errorWord>0.37％~1.86%</errorWord>
      <group>L1_Knowledge</group>
      <groupName>知识性问题</groupName>
      <ability>L2_Knowledge</ability>
      <abilityName>其他知识</abilityName>
      <candidateList>
        <item>0.37%～1.86%</item>
      </candidateList>
      <explain>1. “0.37％~1.86%”中的单位“%”仅出现在后一个数字上，容易引起歧义；根据《现代汉语标点符号数字用法规范手册》，数字表示范围两边需要使用统一的格式。2. 根据标点国标 4.13 中的规则，数字、时间或地域连接符应使用（视觉上更长的）“—”或“～”。</explain>
      <paraID>7ED992CE</paraID>
      <start>23</start>
      <end>34</end>
      <status>unmodified</status>
      <modifiedWord/>
      <trackRevisions>false</trackRevisions>
    </reviewItem>
    <reviewItem>
      <errorID>ba0cefe7-e2f9-42d4-b15d-36b0bc2435c8</errorID>
      <errorWord>（</errorWord>
      <group>L1_Format</group>
      <groupName>格式问题</groupName>
      <ability>L2_HalfPunc</ability>
      <abilityName>全半角检查</abilityName>
      <candidateList>
        <item>(</item>
      </candidateList>
      <explain>文本全半角错误。</explain>
      <paraID>62AD88BA</paraID>
      <start>0</start>
      <end>1</end>
      <status>unmodified</status>
      <modifiedWord/>
      <trackRevisions>false</trackRevisions>
    </reviewItem>
    <reviewItem>
      <errorID>82d589ce-0e7e-42e0-a5cb-3dcad290f259</errorID>
      <errorWord>）</errorWord>
      <group>L1_Format</group>
      <groupName>格式问题</groupName>
      <ability>L2_HalfPunc</ability>
      <abilityName>全半角检查</abilityName>
      <candidateList>
        <item>)</item>
      </candidateList>
      <explain>文本全半角错误。</explain>
      <paraID>62AD88BA</paraID>
      <start>6</start>
      <end>7</end>
      <status>unmodified</status>
      <modifiedWord/>
      <trackRevisions>false</trackRevisions>
    </reviewItem>
    <reviewItem>
      <errorID>f747c2e1-6914-4b7c-a1a2-722bafb4d8bb</errorID>
      <errorWord>井气</errorWord>
      <group>L1_Word</group>
      <groupName>字词问题</groupName>
      <ability>L2_Typo</ability>
      <abilityName>字词错误</abilityName>
      <candidateList>
        <item>井</item>
      </candidateList>
      <explain/>
      <paraID>79555E1E</paraID>
      <start>7</start>
      <end>9</end>
      <status>unmodified</status>
      <modifiedWord/>
      <trackRevisions>false</trackRevisions>
    </reviewItem>
    <reviewItem>
      <errorID>5e2e0e2d-90a4-492d-a790-1eec8f03fd72</errorID>
      <errorWord>~</errorWord>
      <group>L1_Format</group>
      <groupName>格式问题</groupName>
      <ability>L2_HalfPunc</ability>
      <abilityName>全半角检查</abilityName>
      <candidateList>
        <item>～</item>
      </candidateList>
      <explain>文本全半角错误。</explain>
      <paraID>52FEF85D</paraID>
      <start>37</start>
      <end>38</end>
      <status>unmodified</status>
      <modifiedWord/>
      <trackRevisions>false</trackRevisions>
    </reviewItem>
    <reviewItem>
      <errorID>96a8f54f-cf76-43d4-884c-7f57a1404feb</errorID>
      <errorWord>钻进</errorWord>
      <group>L1_Word</group>
      <groupName>字词问题</groupName>
      <ability>L2_Typo</ability>
      <abilityName>字词错误</abilityName>
      <candidateList>
        <item>钻井</item>
      </candidateList>
      <explain>存在发音相近字词的误用。</explain>
      <paraID>604BA2C6</paraID>
      <start>39</start>
      <end>41</end>
      <status>unmodified</status>
      <modifiedWord/>
      <trackRevisions>false</trackRevisions>
    </reviewItem>
    <reviewItem>
      <errorID>5a548221-0601-45fa-825c-23cf6de01e68</errorID>
      <errorWord>后并</errorWord>
      <group>L1_Word</group>
      <groupName>字词问题</groupName>
      <ability>L2_Typo</ability>
      <abilityName>字词错误</abilityName>
      <candidateList>
        <item>后</item>
      </candidateList>
      <explain>❶君主的妻子：皇～｜～妃。❷古代称君主：商之先～。❸（Hòu）〈名〉姓。</explain>
      <paraID> DD12CA0</paraID>
      <start>35</start>
      <end>37</end>
      <status>unmodified</status>
      <modifiedWord/>
      <trackRevisions>false</trackRevisions>
    </reviewItem>
    <reviewItem>
      <errorID>180f3509-a144-4fdd-b581-57f6d2b6d3c1</errorID>
      <errorWord>~</errorWord>
      <group>L1_Format</group>
      <groupName>格式问题</groupName>
      <ability>L2_HalfPunc</ability>
      <abilityName>全半角检查</abilityName>
      <candidateList>
        <item>～</item>
      </candidateList>
      <explain>文本全半角错误。</explain>
      <paraID> DD12CA0</paraID>
      <start>77</start>
      <end>78</end>
      <status>unmodified</status>
      <modifiedWord/>
      <trackRevisions>false</trackRevisions>
    </reviewItem>
    <reviewItem>
      <errorID>6d5e2323-0bd4-420f-a0e5-56b04feeb39d</errorID>
      <errorWord>井别</errorWord>
      <group>L1_Word</group>
      <groupName>字词问题</groupName>
      <ability>L2_Typo</ability>
      <abilityName>字词错误</abilityName>
      <candidateList>
        <item>特别</item>
      </candidateList>
      <explain>❶〈形〉与众不同；不普通：～的式样｜他的脾气很～。❷〈副〉格外：火车跑得～快｜这个节目～吸引观众。❸〈副〉特地：散会的时候，厂长～把他留下来研究技术上的问题。❹〈副〉尤其：他喜欢郊游，～是骑自行车郊游。</explain>
      <paraID>27939527</paraID>
      <start>0</start>
      <end>2</end>
      <status>unmodified</status>
      <modifiedWord/>
      <trackRevisions>false</trackRevisions>
    </reviewItem>
    <reviewItem>
      <errorID>52ffcfe7-568e-4d59-b1ab-6dc8335a51f7</errorID>
      <errorWord>型</errorWord>
      <group>L1_Word</group>
      <groupName>字词问题</groupName>
      <ability>L2_Typo</ability>
      <abilityName>字词错误</abilityName>
      <candidateList>
        <item>形</item>
      </candidateList>
      <explain>存在发音相同字词的误用。</explain>
      <paraID>63CDAE97</paraID>
      <start>1</start>
      <end>2</end>
      <status>unmodified</status>
      <modifiedWord/>
      <trackRevisions>false</trackRevisions>
    </reviewItem>
    <reviewItem>
      <errorID>fff99289-41c9-4471-8591-f896c9fe092d</errorID>
      <errorWord>-</errorWord>
      <group>L1_Format</group>
      <groupName>格式问题</groupName>
      <ability>L2_HalfPunc</ability>
      <abilityName>全半角检查</abilityName>
      <candidateList>
        <item>－</item>
      </candidateList>
      <explain>文本全半角错误。</explain>
      <paraID>483181AA</paraID>
      <start>3</start>
      <end>4</end>
      <status>unmodified</status>
      <modifiedWord/>
      <trackRevisions>false</trackRevisions>
    </reviewItem>
    <reviewItem>
      <errorID>8607ab96-afe7-4166-9c64-a564702e7217</errorID>
      <errorWord>-</errorWord>
      <group>L1_Format</group>
      <groupName>格式问题</groupName>
      <ability>L2_HalfPunc</ability>
      <abilityName>全半角检查</abilityName>
      <candidateList>
        <item>－</item>
      </candidateList>
      <explain>文本全半角错误。</explain>
      <paraID>798CCAC2</paraID>
      <start>11</start>
      <end>12</end>
      <status>unmodified</status>
      <modifiedWord/>
      <trackRevisions>false</trackRevisions>
    </reviewItem>
    <reviewItem>
      <errorID>7bff1d74-c1dc-439d-a735-363df1c069fd</errorID>
      <errorWord>(</errorWord>
      <group>L1_Format</group>
      <groupName>格式问题</groupName>
      <ability>L2_HalfPunc</ability>
      <abilityName>全半角检查</abilityName>
      <candidateList>
        <item>（</item>
      </candidateList>
      <explain>文本全半角错误。</explain>
      <paraID>20730D07</paraID>
      <start>5</start>
      <end>6</end>
      <status>ignored</status>
      <modifiedWord/>
      <trackRevisions>false</trackRevisions>
    </reviewItem>
    <reviewItem>
      <errorID>4bce4c47-b193-42fb-8fbd-16f3449f1d2e</errorID>
      <errorWord>)</errorWord>
      <group>L1_Format</group>
      <groupName>格式问题</groupName>
      <ability>L2_HalfPunc</ability>
      <abilityName>全半角检查</abilityName>
      <candidateList>
        <item>）</item>
      </candidateList>
      <explain>文本全半角错误。</explain>
      <paraID>20730D07</paraID>
      <start>9</start>
      <end>10</end>
      <status>ignored</status>
      <modifiedWord/>
      <trackRevisions>false</trackRevisions>
    </reviewItem>
    <reviewItem>
      <errorID>c8911a14-ab16-45e4-91aa-f1473edef4e6</errorID>
      <errorWord>5.0%~7.0%</errorWord>
      <group>L1_Knowledge</group>
      <groupName>知识性问题</groupName>
      <ability>L2_Knowledge</ability>
      <abilityName>其他知识</abilityName>
      <candidateList>
        <item>5.0%～7.0%</item>
      </candidateList>
      <explain>1. “5.0%~7.0%”中的单位“%”仅出现在后一个数字上，容易引起歧义；根据《现代汉语标点符号数字用法规范手册》，数字表示范围两边需要使用统一的格式。2. 根据标点国标 4.13 中的规则，数字、时间或地域连接符应使用（视觉上更长的）“—”或“～”。</explain>
      <paraID>348AA0B0</paraID>
      <start>8</start>
      <end>17</end>
      <status>unmodified</status>
      <modifiedWord/>
      <trackRevisions>false</trackRevisions>
    </reviewItem>
    <reviewItem>
      <errorID>8446a0bc-76c8-4481-a8a4-9f8688c9a1e5</errorID>
      <errorWord>0.2%~0.5%</errorWord>
      <group>L1_Knowledge</group>
      <groupName>知识性问题</groupName>
      <ability>L2_Knowledge</ability>
      <abilityName>其他知识</abilityName>
      <candidateList>
        <item>0.2%～0.5%</item>
      </candidateList>
      <explain>1. “0.2%~0.5%”中的单位“%”仅出现在后一个数字上，容易引起歧义；根据《现代汉语标点符号数字用法规范手册》，数字表示范围两边需要使用统一的格式。2. 根据标点国标 4.13 中的规则，数字、时间或地域连接符应使用（视觉上更长的）“—”或“～”。</explain>
      <paraID>348AA0B0</paraID>
      <start>22</start>
      <end>31</end>
      <status>unmodified</status>
      <modifiedWord/>
      <trackRevisions>false</trackRevisions>
    </reviewItem>
    <reviewItem>
      <errorID>ea6c70f3-9c5f-40d6-afb1-8fa1b7d48858</errorID>
      <errorWord>包被</errorWord>
      <group>L1_Word</group>
      <groupName>字词问题</groupName>
      <ability>L2_Typo</ability>
      <abilityName>字词错误</abilityName>
      <candidateList>
        <item>包覆</item>
      </candidateList>
      <explain/>
      <paraID>348AA0B0</paraID>
      <start>33</start>
      <end>35</end>
      <status>unmodified</status>
      <modifiedWord/>
      <trackRevisions>false</trackRevisions>
    </reviewItem>
    <reviewItem>
      <errorID>cc46ae46-42fb-4bb6-9759-503ca5059b4e</errorID>
      <errorWord>0.4%~0.6%</errorWord>
      <group>L1_Knowledge</group>
      <groupName>知识性问题</groupName>
      <ability>L2_Knowledge</ability>
      <abilityName>其他知识</abilityName>
      <candidateList>
        <item>0.4%～0.6%</item>
      </candidateList>
      <explain>1. “0.4%~0.6%”中的单位“%”仅出现在后一个数字上，容易引起歧义；根据《现代汉语标点符号数字用法规范手册》，数字表示范围两边需要使用统一的格式。2. 根据标点国标 4.13 中的规则，数字、时间或地域连接符应使用（视觉上更长的）“—”或“～”。</explain>
      <paraID>348AA0B0</paraID>
      <start>37</start>
      <end>46</end>
      <status>unmodified</status>
      <modifiedWord/>
      <trackRevisions>false</trackRevisions>
    </reviewItem>
    <reviewItem>
      <errorID>baa9d0ea-3f85-4752-ae8b-f88c71cec82e</errorID>
      <errorWord>0.5%~1.0%</errorWord>
      <group>L1_Knowledge</group>
      <groupName>知识性问题</groupName>
      <ability>L2_Knowledge</ability>
      <abilityName>其他知识</abilityName>
      <candidateList>
        <item>0.5%～1.0%</item>
      </candidateList>
      <explain>1. “0.5%~1.0%”中的单位“%”仅出现在后一个数字上，容易引起歧义；根据《现代汉语标点符号数字用法规范手册》，数字表示范围两边需要使用统一的格式。2. 根据标点国标 4.13 中的规则，数字、时间或地域连接符应使用（视觉上更长的）“—”或“～”。</explain>
      <paraID>348AA0B0</paraID>
      <start>53</start>
      <end>62</end>
      <status>unmodified</status>
      <modifiedWord/>
      <trackRevisions>false</trackRevisions>
    </reviewItem>
    <reviewItem>
      <errorID>288e7b9b-8e3d-4fa5-b97c-4d320479dfbd</errorID>
      <errorWord>0.2%~0.5%</errorWord>
      <group>L1_Knowledge</group>
      <groupName>知识性问题</groupName>
      <ability>L2_Knowledge</ability>
      <abilityName>其他知识</abilityName>
      <candidateList>
        <item>0.2%～0.5%</item>
      </candidateList>
      <explain>1. “0.2%~0.5%”中的单位“%”仅出现在后一个数字上，容易引起歧义；根据《现代汉语标点符号数字用法规范手册》，数字表示范围两边需要使用统一的格式。2. 根据标点国标 4.13 中的规则，数字、时间或地域连接符应使用（视觉上更长的）“—”或“～”。</explain>
      <paraID>348AA0B0</paraID>
      <start>67</start>
      <end>76</end>
      <status>unmodified</status>
      <modifiedWord/>
      <trackRevisions>false</trackRevisions>
    </reviewItem>
    <reviewItem>
      <errorID>62003a29-9f08-4ee3-809d-5ed6864e62b9</errorID>
      <errorWord>0.2%~0.4%</errorWord>
      <group>L1_Knowledge</group>
      <groupName>知识性问题</groupName>
      <ability>L2_Knowledge</ability>
      <abilityName>其他知识</abilityName>
      <candidateList>
        <item>0.2%～0.4%</item>
      </candidateList>
      <explain>1. “0.2%~0.4%”中的单位“%”仅出现在后一个数字上，容易引起歧义；根据《现代汉语标点符号数字用法规范手册》，数字表示范围两边需要使用统一的格式。2. 根据标点国标 4.13 中的规则，数字、时间或地域连接符应使用（视觉上更长的）“—”或“～”。</explain>
      <paraID>348AA0B0</paraID>
      <start>82</start>
      <end>91</end>
      <status>unmodified</status>
      <modifiedWord/>
      <trackRevisions>false</trackRevisions>
    </reviewItem>
    <reviewItem>
      <errorID>c148857f-77fc-4d97-902c-90cf3d4b7e9c</errorID>
      <errorWord>3.0%~5.0%</errorWord>
      <group>L1_Knowledge</group>
      <groupName>知识性问题</groupName>
      <ability>L2_Knowledge</ability>
      <abilityName>其他知识</abilityName>
      <candidateList>
        <item>3.0%～5.0%</item>
      </candidateList>
      <explain>1. “3.0%~5.0%”中的单位“%”仅出现在后一个数字上，容易引起歧义；根据《现代汉语标点符号数字用法规范手册》，数字表示范围两边需要使用统一的格式。2.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18</start>
      <end>27</end>
      <status>unmodified</status>
      <modifiedWord/>
      <trackRevisions>false</trackRevisions>
    </reviewItem>
    <reviewItem>
      <errorID>cbc16a37-90de-4669-bee1-10c8d8bbd0cb</errorID>
      <errorWord>0.5%~1.0%</errorWord>
      <group>L1_Knowledge</group>
      <groupName>知识性问题</groupName>
      <ability>L2_Knowledge</ability>
      <abilityName>其他知识</abilityName>
      <candidateList>
        <item>0.5%～1.0%</item>
      </candidateList>
      <explain>1. “0.5%~1.0%”中的单位“%”仅出现在后一个数字上，容易引起歧义；根据《现代汉语标点符号数字用法规范手册》，数字表示范围两边需要使用统一的格式。2.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32</start>
      <end>41</end>
      <status>unmodified</status>
      <modifiedWord/>
      <trackRevisions>false</trackRevisions>
    </reviewItem>
    <reviewItem>
      <errorID>3030a960-73bf-4df3-a814-b8f875d297e2</errorID>
      <errorWord>0.2%~0.4%</errorWord>
      <group>L1_Knowledge</group>
      <groupName>知识性问题</groupName>
      <ability>L2_Knowledge</ability>
      <abilityName>其他知识</abilityName>
      <candidateList>
        <item>0.2%～0.4%</item>
      </candidateList>
      <explain>1. “0.2%~0.4%”中的单位“%”仅出现在后一个数字上，容易引起歧义；根据《现代汉语标点符号数字用法规范手册》，数字表示范围两边需要使用统一的格式。2.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48</start>
      <end>57</end>
      <status>unmodified</status>
      <modifiedWord/>
      <trackRevisions>false</trackRevisions>
    </reviewItem>
    <reviewItem>
      <errorID>2ac7c9b8-afaf-45a2-aeca-c898f0047bfb</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68</start>
      <end>77</end>
      <status>unmodified</status>
      <modifiedWord/>
      <trackRevisions>false</trackRevisions>
    </reviewItem>
    <reviewItem>
      <errorID>6acfe6ff-dec1-4c2f-b717-c3a1fc55b71c</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88</start>
      <end>97</end>
      <status>unmodified</status>
      <modifiedWord/>
      <trackRevisions>false</trackRevisions>
    </reviewItem>
    <reviewItem>
      <errorID>6625860d-7ea8-4992-a6a3-1520286f691e</errorID>
      <errorWord>0.2%~0.6%</errorWord>
      <group>L1_Knowledge</group>
      <groupName>知识性问题</groupName>
      <ability>L2_Knowledge</ability>
      <abilityName>其他知识</abilityName>
      <candidateList>
        <item>0.2%～0.6%</item>
      </candidateList>
      <explain>1. “0.2%~0.6%”中的单位“%”仅出现在后一个数字上，容易引起歧义；根据《现代汉语标点符号数字用法规范手册》，数字表示范围两边需要使用统一的格式。2.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104</start>
      <end>113</end>
      <status>unmodified</status>
      <modifiedWord/>
      <trackRevisions>false</trackRevisions>
    </reviewItem>
    <reviewItem>
      <errorID>bcf5080e-949e-491c-88fc-2de8c088b67a</errorID>
      <errorWord>0.2%~1.0%</errorWord>
      <group>L1_Knowledge</group>
      <groupName>知识性问题</groupName>
      <ability>L2_Knowledge</ability>
      <abilityName>其他知识</abilityName>
      <candidateList>
        <item>0.2%～1.0%</item>
      </candidateList>
      <explain>1. “0.2%~1.0%”中的单位“%”仅出现在后一个数字上，容易引起歧义；根据《现代汉语标点符号数字用法规范手册》，数字表示范围两边需要使用统一的格式。2.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121</start>
      <end>130</end>
      <status>unmodified</status>
      <modifiedWord/>
      <trackRevisions>false</trackRevisions>
    </reviewItem>
    <reviewItem>
      <errorID>91326a5d-7381-4265-a6f0-2a95de425f6c</errorID>
      <errorWord>1.0%~4.0%</errorWord>
      <group>L1_Knowledge</group>
      <groupName>知识性问题</groupName>
      <ability>L2_Knowledge</ability>
      <abilityName>其他知识</abilityName>
      <candidateList>
        <item>1.0%～4.0%</item>
      </candidateList>
      <explain>1. “1.0%~4.0%”中的单位“%”仅出现在后一个数字上，容易引起歧义；根据《现代汉语标点符号数字用法规范手册》，数字表示范围两边需要使用统一的格式。2.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137</start>
      <end>146</end>
      <status>unmodified</status>
      <modifiedWord/>
      <trackRevisions>false</trackRevisions>
    </reviewItem>
    <reviewItem>
      <errorID>643f1b21-bf9c-41df-8711-c45aed049dd5</errorID>
      <errorWord>1.0%~4.0%</errorWord>
      <group>L1_Knowledge</group>
      <groupName>知识性问题</groupName>
      <ability>L2_Knowledge</ability>
      <abilityName>其他知识</abilityName>
      <candidateList>
        <item>1.0%～4.0%</item>
      </candidateList>
      <explain>1. “1.0%~4.0%”中的单位“%”仅出现在后一个数字上，容易引起歧义；根据《现代汉语标点符号数字用法规范手册》，数字表示范围两边需要使用统一的格式。2.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153</start>
      <end>162</end>
      <status>unmodified</status>
      <modifiedWord/>
      <trackRevisions>false</trackRevisions>
    </reviewItem>
    <reviewItem>
      <errorID>ad73d005-ff97-4660-9ced-50ade90a2249</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170</start>
      <end>179</end>
      <status>unmodified</status>
      <modifiedWord/>
      <trackRevisions>false</trackRevisions>
    </reviewItem>
    <reviewItem>
      <errorID>27e36a1d-b2ef-498b-8af6-1153a7b58c7a</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185</start>
      <end>194</end>
      <status>unmodified</status>
      <modifiedWord/>
      <trackRevisions>false</trackRevisions>
    </reviewItem>
    <reviewItem>
      <errorID>c6b2e7ae-458b-497c-9105-ccee5cf6e114</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204</start>
      <end>213</end>
      <status>unmodified</status>
      <modifiedWord/>
      <trackRevisions>false</trackRevisions>
    </reviewItem>
    <reviewItem>
      <errorID>fca732f7-08ab-44df-b1b0-8c22f69288dc</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63D91A12</paraID>
      <start>221</start>
      <end>230</end>
      <status>unmodified</status>
      <modifiedWord/>
      <trackRevisions>false</trackRevisions>
    </reviewItem>
    <reviewItem>
      <errorID>6fc126b8-9893-4bd7-974c-04a4be6aea93</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 8991AE7</paraID>
      <start>8</start>
      <end>17</end>
      <status>unmodified</status>
      <modifiedWord/>
      <trackRevisions>false</trackRevisions>
    </reviewItem>
    <reviewItem>
      <errorID>2be4a20b-d320-4a74-a90e-55051d9ac8c6</errorID>
      <errorWord>0.2%~0.4%</errorWord>
      <group>L1_Knowledge</group>
      <groupName>知识性问题</groupName>
      <ability>L2_Knowledge</ability>
      <abilityName>其他知识</abilityName>
      <candidateList>
        <item>0.2%～0.4%</item>
      </candidateList>
      <explain>1. “0.2%~0.4%”中的单位“%”仅出现在后一个数字上，容易引起歧义；根据《现代汉语标点符号数字用法规范手册》，数字表示范围两边需要使用统一的格式。2. 根据标点国标 4.13 中的规则，数字、时间或地域连接符应使用（视觉上更长的）“—”或“～”。</explain>
      <paraID> 8991AE7</paraID>
      <start>22</start>
      <end>31</end>
      <status>unmodified</status>
      <modifiedWord/>
      <trackRevisions>false</trackRevisions>
    </reviewItem>
    <reviewItem>
      <errorID>d9094bcd-6384-48e4-87a7-1b0f55cf9d48</errorID>
      <errorWord>4.5%~5.5%</errorWord>
      <group>L1_Knowledge</group>
      <groupName>知识性问题</groupName>
      <ability>L2_Knowledge</ability>
      <abilityName>其他知识</abilityName>
      <candidateList>
        <item>4.5%～5.5%</item>
      </candidateList>
      <explain>1. “4.5%~5.5%”中的单位“%”仅出现在后一个数字上，容易引起歧义；根据《现代汉语标点符号数字用法规范手册》，数字表示范围两边需要使用统一的格式。2. 根据标点国标 4.13 中的规则，数字、时间或地域连接符应使用（视觉上更长的）“—”或“～”。</explain>
      <paraID>3DE979C8</paraID>
      <start>8</start>
      <end>17</end>
      <status>unmodified</status>
      <modifiedWord/>
      <trackRevisions>false</trackRevisions>
    </reviewItem>
    <reviewItem>
      <errorID>515b711c-4034-43d1-9515-baaee0b903c9</errorID>
      <errorWord>4.5%~5.0%</errorWord>
      <group>L1_Knowledge</group>
      <groupName>知识性问题</groupName>
      <ability>L2_Knowledge</ability>
      <abilityName>其他知识</abilityName>
      <candidateList>
        <item>4.5%～5.0%</item>
      </candidateList>
      <explain>1. “4.5%~5.0%”中的单位“%”仅出现在后一个数字上，容易引起歧义；根据《现代汉语标点符号数字用法规范手册》，数字表示范围两边需要使用统一的格式。2. 根据标点国标 4.13 中的规则，数字、时间或地域连接符应使用（视觉上更长的）“—”或“～”。</explain>
      <paraID>3DE979C8</paraID>
      <start>22</start>
      <end>31</end>
      <status>unmodified</status>
      <modifiedWord/>
      <trackRevisions>false</trackRevisions>
    </reviewItem>
    <reviewItem>
      <errorID>fb753793-f7c4-46d8-8bda-048edf01af88</errorID>
      <errorWord>0.04%~0.10%</errorWord>
      <group>L1_Knowledge</group>
      <groupName>知识性问题</groupName>
      <ability>L2_Knowledge</ability>
      <abilityName>其他知识</abilityName>
      <candidateList>
        <item>0.04%～0.10%</item>
      </candidateList>
      <explain>1. “0.04%~0.10%”中的单位“%”仅出现在后一个数字上，容易引起歧义；根据《现代汉语标点符号数字用法规范手册》，数字表示范围两边需要使用统一的格式。2. 根据标点国标 4.13 中的规则，数字、时间或地域连接符应使用（视觉上更长的）“—”或“～”。</explain>
      <paraID>3DE979C8</paraID>
      <start>37</start>
      <end>48</end>
      <status>unmodified</status>
      <modifiedWord/>
      <trackRevisions>false</trackRevisions>
    </reviewItem>
    <reviewItem>
      <errorID>b266708a-6a17-415f-b50d-b7a8dcac4bf8</errorID>
      <errorWord>0.3%~0.4%</errorWord>
      <group>L1_Knowledge</group>
      <groupName>知识性问题</groupName>
      <ability>L2_Knowledge</ability>
      <abilityName>其他知识</abilityName>
      <candidateList>
        <item>0.3%～0.4%</item>
      </candidateList>
      <explain>1. “0.3%~0.4%”中的单位“%”仅出现在后一个数字上，容易引起歧义；根据《现代汉语标点符号数字用法规范手册》，数字表示范围两边需要使用统一的格式。2. 根据标点国标 4.13 中的规则，数字、时间或地域连接符应使用（视觉上更长的）“—”或“～”。</explain>
      <paraID>3DE979C8</paraID>
      <start>57</start>
      <end>66</end>
      <status>unmodified</status>
      <modifiedWord/>
      <trackRevisions>false</trackRevisions>
    </reviewItem>
    <reviewItem>
      <errorID>4fd37e69-4f64-41c4-b9dd-9c1d573a46b7</errorID>
      <errorWord>0.3%~0.4%</errorWord>
      <group>L1_Knowledge</group>
      <groupName>知识性问题</groupName>
      <ability>L2_Knowledge</ability>
      <abilityName>其他知识</abilityName>
      <candidateList>
        <item>0.3%～0.4%</item>
      </candidateList>
      <explain>1. “0.3%~0.4%”中的单位“%”仅出现在后一个数字上，容易引起歧义；根据《现代汉语标点符号数字用法规范手册》，数字表示范围两边需要使用统一的格式。2. 根据标点国标 4.13 中的规则，数字、时间或地域连接符应使用（视觉上更长的）“—”或“～”。</explain>
      <paraID>3DE979C8</paraID>
      <start>73</start>
      <end>82</end>
      <status>unmodified</status>
      <modifiedWord/>
      <trackRevisions>false</trackRevisions>
    </reviewItem>
    <reviewItem>
      <errorID>100f498e-2cbc-4212-808f-c6b16efc5f77</errorID>
      <errorWord>0.7%~1.3%</errorWord>
      <group>L1_Knowledge</group>
      <groupName>知识性问题</groupName>
      <ability>L2_Knowledge</ability>
      <abilityName>其他知识</abilityName>
      <candidateList>
        <item>0.7%～1.3%</item>
      </candidateList>
      <explain>1. “0.7%~1.3%”中的单位“%”仅出现在后一个数字上，容易引起歧义；根据《现代汉语标点符号数字用法规范手册》，数字表示范围两边需要使用统一的格式。2. 根据标点国标 4.13 中的规则，数字、时间或地域连接符应使用（视觉上更长的）“—”或“～”。</explain>
      <paraID>3DE979C8</paraID>
      <start>95</start>
      <end>104</end>
      <status>unmodified</status>
      <modifiedWord/>
      <trackRevisions>false</trackRevisions>
    </reviewItem>
    <reviewItem>
      <errorID>1fa2cc8e-5a80-4224-89f6-a9b895069e37</errorID>
      <errorWord>0.8%~1.2%</errorWord>
      <group>L1_Knowledge</group>
      <groupName>知识性问题</groupName>
      <ability>L2_Knowledge</ability>
      <abilityName>其他知识</abilityName>
      <candidateList>
        <item>0.8%～1.2%</item>
      </candidateList>
      <explain>1. “0.8%~1.2%”中的单位“%”仅出现在后一个数字上，容易引起歧义；根据《现代汉语标点符号数字用法规范手册》，数字表示范围两边需要使用统一的格式。2. 根据标点国标 4.13 中的规则，数字、时间或地域连接符应使用（视觉上更长的）“—”或“～”。</explain>
      <paraID>3DE979C8</paraID>
      <start>111</start>
      <end>120</end>
      <status>unmodified</status>
      <modifiedWord/>
      <trackRevisions>false</trackRevisions>
    </reviewItem>
    <reviewItem>
      <errorID>73349d77-f991-42a1-82d1-5f4e4833b815</errorID>
      <errorWord>1.2%~1.5%</errorWord>
      <group>L1_Knowledge</group>
      <groupName>知识性问题</groupName>
      <ability>L2_Knowledge</ability>
      <abilityName>其他知识</abilityName>
      <candidateList>
        <item>1.2%～1.5%</item>
      </candidateList>
      <explain>1. “1.2%~1.5%”中的单位“%”仅出现在后一个数字上，容易引起歧义；根据《现代汉语标点符号数字用法规范手册》，数字表示范围两边需要使用统一的格式。2. 根据标点国标 4.13 中的规则，数字、时间或地域连接符应使用（视觉上更长的）“—”或“～”。</explain>
      <paraID>3DE979C8</paraID>
      <start>127</start>
      <end>136</end>
      <status>unmodified</status>
      <modifiedWord/>
      <trackRevisions>false</trackRevisions>
    </reviewItem>
    <reviewItem>
      <errorID>0d0c1e7d-3849-4714-bacf-359609083991</errorID>
      <errorWord>1.0%~1.5%</errorWord>
      <group>L1_Knowledge</group>
      <groupName>知识性问题</groupName>
      <ability>L2_Knowledge</ability>
      <abilityName>其他知识</abilityName>
      <candidateList>
        <item>1.0%～1.5%</item>
      </candidateList>
      <explain>1. “1.0%~1.5%”中的单位“%”仅出现在后一个数字上，容易引起歧义；根据《现代汉语标点符号数字用法规范手册》，数字表示范围两边需要使用统一的格式。2. 根据标点国标 4.13 中的规则，数字、时间或地域连接符应使用（视觉上更长的）“—”或“～”。</explain>
      <paraID>3DE979C8</paraID>
      <start>143</start>
      <end>152</end>
      <status>unmodified</status>
      <modifiedWord/>
      <trackRevisions>false</trackRevisions>
    </reviewItem>
    <reviewItem>
      <errorID>8bbb0ed8-cf0a-42ae-91d0-17f3c4daf85d</errorID>
      <errorWord>1.0%~1.2%</errorWord>
      <group>L1_Knowledge</group>
      <groupName>知识性问题</groupName>
      <ability>L2_Knowledge</ability>
      <abilityName>其他知识</abilityName>
      <candidateList>
        <item>1.0%～1.2%</item>
      </candidateList>
      <explain>1. “1.0%~1.2%”中的单位“%”仅出现在后一个数字上，容易引起歧义；根据《现代汉语标点符号数字用法规范手册》，数字表示范围两边需要使用统一的格式。2. 根据标点国标 4.13 中的规则，数字、时间或地域连接符应使用（视觉上更长的）“—”或“～”。</explain>
      <paraID>3DE979C8</paraID>
      <start>159</start>
      <end>168</end>
      <status>ignored</status>
      <modifiedWord/>
      <trackRevisions>false</trackRevisions>
    </reviewItem>
    <reviewItem>
      <errorID>be7728db-c420-4f1e-b9c7-061eb6ddd2e8</errorID>
      <errorWord>3.0%~5.0%</errorWord>
      <group>L1_Knowledge</group>
      <groupName>知识性问题</groupName>
      <ability>L2_Knowledge</ability>
      <abilityName>其他知识</abilityName>
      <candidateList>
        <item>3.0%～5.0%</item>
      </candidateList>
      <explain>1. “3.0%~5.0%”中的单位“%”仅出现在后一个数字上，容易引起歧义；根据《现代汉语标点符号数字用法规范手册》，数字表示范围两边需要使用统一的格式。2.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18</start>
      <end>27</end>
      <status>unmodified</status>
      <modifiedWord/>
      <trackRevisions>false</trackRevisions>
    </reviewItem>
    <reviewItem>
      <errorID>fcea7ba5-aee6-4b6b-a37f-57cd524c1f26</errorID>
      <errorWord>0.5%~1.0%</errorWord>
      <group>L1_Knowledge</group>
      <groupName>知识性问题</groupName>
      <ability>L2_Knowledge</ability>
      <abilityName>其他知识</abilityName>
      <candidateList>
        <item>0.5%～1.0%</item>
      </candidateList>
      <explain>1. “0.5%~1.0%”中的单位“%”仅出现在后一个数字上，容易引起歧义；根据《现代汉语标点符号数字用法规范手册》，数字表示范围两边需要使用统一的格式。2.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32</start>
      <end>41</end>
      <status>unmodified</status>
      <modifiedWord/>
      <trackRevisions>false</trackRevisions>
    </reviewItem>
    <reviewItem>
      <errorID>6a756bd0-6b7c-4637-88be-a201d47e270b</errorID>
      <errorWord>0.2%~0.4%</errorWord>
      <group>L1_Knowledge</group>
      <groupName>知识性问题</groupName>
      <ability>L2_Knowledge</ability>
      <abilityName>其他知识</abilityName>
      <candidateList>
        <item>0.2%～0.4%</item>
      </candidateList>
      <explain>1. “0.2%~0.4%”中的单位“%”仅出现在后一个数字上，容易引起歧义；根据《现代汉语标点符号数字用法规范手册》，数字表示范围两边需要使用统一的格式。2.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48</start>
      <end>57</end>
      <status>unmodified</status>
      <modifiedWord/>
      <trackRevisions>false</trackRevisions>
    </reviewItem>
    <reviewItem>
      <errorID>4917bdc6-c7e5-40a6-a71b-66d958d4bbec</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68</start>
      <end>77</end>
      <status>unmodified</status>
      <modifiedWord/>
      <trackRevisions>false</trackRevisions>
    </reviewItem>
    <reviewItem>
      <errorID>018237af-ba7b-4c13-95a4-72e38dbeaa07</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88</start>
      <end>97</end>
      <status>unmodified</status>
      <modifiedWord/>
      <trackRevisions>false</trackRevisions>
    </reviewItem>
    <reviewItem>
      <errorID>f28c2e2b-3254-4e40-8bef-9d3d488de87f</errorID>
      <errorWord>0.2%~0.6%</errorWord>
      <group>L1_Knowledge</group>
      <groupName>知识性问题</groupName>
      <ability>L2_Knowledge</ability>
      <abilityName>其他知识</abilityName>
      <candidateList>
        <item>0.2%～0.6%</item>
      </candidateList>
      <explain>1. “0.2%~0.6%”中的单位“%”仅出现在后一个数字上，容易引起歧义；根据《现代汉语标点符号数字用法规范手册》，数字表示范围两边需要使用统一的格式。2.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104</start>
      <end>113</end>
      <status>unmodified</status>
      <modifiedWord/>
      <trackRevisions>false</trackRevisions>
    </reviewItem>
    <reviewItem>
      <errorID>3bfcd16f-93ab-4ae3-945f-1bb5332763d1</errorID>
      <errorWord>0.2%~1.0%</errorWord>
      <group>L1_Knowledge</group>
      <groupName>知识性问题</groupName>
      <ability>L2_Knowledge</ability>
      <abilityName>其他知识</abilityName>
      <candidateList>
        <item>0.2%～1.0%</item>
      </candidateList>
      <explain>1. “0.2%~1.0%”中的单位“%”仅出现在后一个数字上，容易引起歧义；根据《现代汉语标点符号数字用法规范手册》，数字表示范围两边需要使用统一的格式。2.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121</start>
      <end>130</end>
      <status>unmodified</status>
      <modifiedWord/>
      <trackRevisions>false</trackRevisions>
    </reviewItem>
    <reviewItem>
      <errorID>471c59db-a930-4157-a955-1ddc962dd444</errorID>
      <errorWord>1.0%~4.0%</errorWord>
      <group>L1_Knowledge</group>
      <groupName>知识性问题</groupName>
      <ability>L2_Knowledge</ability>
      <abilityName>其他知识</abilityName>
      <candidateList>
        <item>1.0%～4.0%</item>
      </candidateList>
      <explain>1. “1.0%~4.0%”中的单位“%”仅出现在后一个数字上，容易引起歧义；根据《现代汉语标点符号数字用法规范手册》，数字表示范围两边需要使用统一的格式。2.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137</start>
      <end>146</end>
      <status>unmodified</status>
      <modifiedWord/>
      <trackRevisions>false</trackRevisions>
    </reviewItem>
    <reviewItem>
      <errorID>e34e9cc0-5709-4b97-90f6-d400361404cb</errorID>
      <errorWord>1.0%~4.0%</errorWord>
      <group>L1_Knowledge</group>
      <groupName>知识性问题</groupName>
      <ability>L2_Knowledge</ability>
      <abilityName>其他知识</abilityName>
      <candidateList>
        <item>1.0%～4.0%</item>
      </candidateList>
      <explain>1. “1.0%~4.0%”中的单位“%”仅出现在后一个数字上，容易引起歧义；根据《现代汉语标点符号数字用法规范手册》，数字表示范围两边需要使用统一的格式。2.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153</start>
      <end>162</end>
      <status>unmodified</status>
      <modifiedWord/>
      <trackRevisions>false</trackRevisions>
    </reviewItem>
    <reviewItem>
      <errorID>53c28f50-ce97-45ad-8c8d-5093c7fd5962</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170</start>
      <end>179</end>
      <status>unmodified</status>
      <modifiedWord/>
      <trackRevisions>false</trackRevisions>
    </reviewItem>
    <reviewItem>
      <errorID>76f2aeae-cad9-420d-a9f0-83746450c35d</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185</start>
      <end>194</end>
      <status>unmodified</status>
      <modifiedWord/>
      <trackRevisions>false</trackRevisions>
    </reviewItem>
    <reviewItem>
      <errorID>36e54a2d-bc41-4fb5-9429-adf0435ab93c</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204</start>
      <end>213</end>
      <status>unmodified</status>
      <modifiedWord/>
      <trackRevisions>false</trackRevisions>
    </reviewItem>
    <reviewItem>
      <errorID>48219d59-8af4-4765-8205-6406af349bc7</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 D00FDBB</paraID>
      <start>221</start>
      <end>230</end>
      <status>unmodified</status>
      <modifiedWord/>
      <trackRevisions>false</trackRevisions>
    </reviewItem>
    <reviewItem>
      <errorID>66d15baa-d1fb-47a8-a552-ebc111948aea</errorID>
      <errorWord>（</errorWord>
      <group>L1_Format</group>
      <groupName>格式问题</groupName>
      <ability>L2_HalfPunc</ability>
      <abilityName>全半角检查</abilityName>
      <candidateList>
        <item>(</item>
      </candidateList>
      <explain>文本全半角错误。</explain>
      <paraID>2C6494DB</paraID>
      <start>3</start>
      <end>4</end>
      <status>unmodified</status>
      <modifiedWord/>
      <trackRevisions>false</trackRevisions>
    </reviewItem>
    <reviewItem>
      <errorID>e0b542a5-7916-4b26-9164-d1dbb88f945a</errorID>
      <errorWord>）</errorWord>
      <group>L1_Format</group>
      <groupName>格式问题</groupName>
      <ability>L2_HalfPunc</ability>
      <abilityName>全半角检查</abilityName>
      <candidateList>
        <item>)</item>
      </candidateList>
      <explain>文本全半角错误。</explain>
      <paraID>2C6494DB</paraID>
      <start>13</start>
      <end>14</end>
      <status>unmodified</status>
      <modifiedWord/>
      <trackRevisions>false</trackRevisions>
    </reviewItem>
    <reviewItem>
      <errorID>8d4fba9b-2639-4d21-a018-332e81c2416b</errorID>
      <errorWord>胺基</errorWord>
      <group>L1_Word</group>
      <groupName>字词问题</groupName>
      <ability>L2_Typo</ability>
      <abilityName>字词错误</abilityName>
      <candidateList>
        <item>氨基</item>
      </candidateList>
      <explain>存在发音相同字词的误用。</explain>
      <paraID>32FAA1CC</paraID>
      <start>0</start>
      <end>2</end>
      <status>unmodified</status>
      <modifiedWord/>
      <trackRevisions>false</trackRevisions>
    </reviewItem>
    <reviewItem>
      <errorID>6ff67afe-5c29-4dd1-abf4-cafe1dfee588</errorID>
      <errorWord>~</errorWord>
      <group>L1_Format</group>
      <groupName>格式问题</groupName>
      <ability>L2_HalfPunc</ability>
      <abilityName>全半角检查</abilityName>
      <candidateList>
        <item>～</item>
      </candidateList>
      <explain>文本全半角错误。</explain>
      <paraID>2B144D9A</paraID>
      <start>14</start>
      <end>15</end>
      <status>unmodified</status>
      <modifiedWord/>
      <trackRevisions>false</trackRevisions>
    </reviewItem>
    <reviewItem>
      <errorID>85e07751-08ce-458c-9db4-161b1a926ea0</errorID>
      <errorWord>（</errorWord>
      <group>L1_Format</group>
      <groupName>格式问题</groupName>
      <ability>L2_HalfPunc</ability>
      <abilityName>全半角检查</abilityName>
      <candidateList>
        <item>(</item>
      </candidateList>
      <explain>文本全半角错误。</explain>
      <paraID>4070D56A</paraID>
      <start>3</start>
      <end>4</end>
      <status>unmodified</status>
      <modifiedWord/>
      <trackRevisions>false</trackRevisions>
    </reviewItem>
    <reviewItem>
      <errorID>b8630aa9-299c-4803-99bb-7afe8072ca05</errorID>
      <errorWord>）</errorWord>
      <group>L1_Format</group>
      <groupName>格式问题</groupName>
      <ability>L2_HalfPunc</ability>
      <abilityName>全半角检查</abilityName>
      <candidateList>
        <item>)</item>
      </candidateList>
      <explain>文本全半角错误。</explain>
      <paraID>4070D56A</paraID>
      <start>13</start>
      <end>14</end>
      <status>unmodified</status>
      <modifiedWord/>
      <trackRevisions>false</trackRevisions>
    </reviewItem>
    <reviewItem>
      <errorID>4c7533a4-6a56-4e4a-80ba-d323ecac763c</errorID>
      <errorWord>胺基</errorWord>
      <group>L1_Word</group>
      <groupName>字词问题</groupName>
      <ability>L2_Typo</ability>
      <abilityName>字词错误</abilityName>
      <candidateList>
        <item>氨基</item>
      </candidateList>
      <explain>存在发音相同字词的误用。</explain>
      <paraID>54350B68</paraID>
      <start>0</start>
      <end>2</end>
      <status>unmodified</status>
      <modifiedWord/>
      <trackRevisions>false</trackRevisions>
    </reviewItem>
    <reviewItem>
      <errorID>69dc6b96-9fc0-4f40-8092-da4d2173e68f</errorID>
      <errorWord>~</errorWord>
      <group>L1_Format</group>
      <groupName>格式问题</groupName>
      <ability>L2_HalfPunc</ability>
      <abilityName>全半角检查</abilityName>
      <candidateList>
        <item>～</item>
      </candidateList>
      <explain>文本全半角错误。</explain>
      <paraID>5048C130</paraID>
      <start>14</start>
      <end>15</end>
      <status>unmodified</status>
      <modifiedWord/>
      <trackRevisions>false</trackRevisions>
    </reviewItem>
    <reviewItem>
      <errorID>d192c376-ce33-4bc7-a2ab-b555861e1daa</errorID>
      <errorWord>提供有</errorWord>
      <group>L1_Word</group>
      <groupName>字词问题</groupName>
      <ability>L2_Typo</ability>
      <abilityName>字词错误</abilityName>
      <candidateList>
        <item>提供</item>
      </candidateList>
      <explain/>
      <paraID>3F5789A9</paraID>
      <start>42</start>
      <end>45</end>
      <status>unmodified</status>
      <modifiedWord/>
      <trackRevisions>false</trackRevisions>
    </reviewItem>
    <reviewItem>
      <errorID>629b3db9-d5b8-4987-b0db-636a7ccf0d45</errorID>
      <errorWord>（</errorWord>
      <group>L1_Format</group>
      <groupName>格式问题</groupName>
      <ability>L2_HalfPunc</ability>
      <abilityName>全半角检查</abilityName>
      <candidateList>
        <item>(</item>
      </candidateList>
      <explain>文本全半角错误。</explain>
      <paraID>34EC009F</paraID>
      <start>3</start>
      <end>4</end>
      <status>unmodified</status>
      <modifiedWord/>
      <trackRevisions>false</trackRevisions>
    </reviewItem>
    <reviewItem>
      <errorID>491b1c8b-8f0e-446f-abbe-b7de521e4358</errorID>
      <errorWord>）</errorWord>
      <group>L1_Format</group>
      <groupName>格式问题</groupName>
      <ability>L2_HalfPunc</ability>
      <abilityName>全半角检查</abilityName>
      <candidateList>
        <item>)</item>
      </candidateList>
      <explain>文本全半角错误。</explain>
      <paraID>34EC009F</paraID>
      <start>12</start>
      <end>13</end>
      <status>unmodified</status>
      <modifiedWord/>
      <trackRevisions>false</trackRevisions>
    </reviewItem>
    <reviewItem>
      <errorID>fe81d5f9-a583-45c8-9c2f-0e6790f00f58</errorID>
      <errorWord>胺基</errorWord>
      <group>L1_Word</group>
      <groupName>字词问题</groupName>
      <ability>L2_Typo</ability>
      <abilityName>字词错误</abilityName>
      <candidateList>
        <item>氨基</item>
      </candidateList>
      <explain>存在发音相同字词的误用。</explain>
      <paraID>6CB7F21A</paraID>
      <start>0</start>
      <end>2</end>
      <status>unmodified</status>
      <modifiedWord/>
      <trackRevisions>false</trackRevisions>
    </reviewItem>
    <reviewItem>
      <errorID>0ef32230-42fa-4000-9833-1c01f4f7972c</errorID>
      <errorWord>~</errorWord>
      <group>L1_Format</group>
      <groupName>格式问题</groupName>
      <ability>L2_HalfPunc</ability>
      <abilityName>全半角检查</abilityName>
      <candidateList>
        <item>～</item>
      </candidateList>
      <explain>文本全半角错误。</explain>
      <paraID>5D870C3B</paraID>
      <start>14</start>
      <end>15</end>
      <status>unmodified</status>
      <modifiedWord/>
      <trackRevisions>false</trackRevisions>
    </reviewItem>
    <reviewItem>
      <errorID>f121b2a5-12b0-40fa-9866-fc11a302ed6c</errorID>
      <errorWord>提供有</errorWord>
      <group>L1_Word</group>
      <groupName>字词问题</groupName>
      <ability>L2_Typo</ability>
      <abilityName>字词错误</abilityName>
      <candidateList>
        <item>提供</item>
      </candidateList>
      <explain/>
      <paraID>1B630DC6</paraID>
      <start>42</start>
      <end>45</end>
      <status>unmodified</status>
      <modifiedWord/>
      <trackRevisions>false</trackRevisions>
    </reviewItem>
    <reviewItem>
      <errorID>0cc7641a-a74e-4e5c-af8b-3f5bc1141933</errorID>
      <errorWord>（</errorWord>
      <group>L1_Format</group>
      <groupName>格式问题</groupName>
      <ability>L2_HalfPunc</ability>
      <abilityName>全半角检查</abilityName>
      <candidateList>
        <item>(</item>
      </candidateList>
      <explain>文本全半角错误。</explain>
      <paraID>30925E3C</paraID>
      <start>3</start>
      <end>4</end>
      <status>unmodified</status>
      <modifiedWord/>
      <trackRevisions>false</trackRevisions>
    </reviewItem>
    <reviewItem>
      <errorID>3263d781-a3f0-4ed4-b5fc-db9ded634b3c</errorID>
      <errorWord>）</errorWord>
      <group>L1_Format</group>
      <groupName>格式问题</groupName>
      <ability>L2_HalfPunc</ability>
      <abilityName>全半角检查</abilityName>
      <candidateList>
        <item>)</item>
      </candidateList>
      <explain>文本全半角错误。</explain>
      <paraID>30925E3C</paraID>
      <start>13</start>
      <end>14</end>
      <status>unmodified</status>
      <modifiedWord/>
      <trackRevisions>false</trackRevisions>
    </reviewItem>
    <reviewItem>
      <errorID>5ac01ad6-147c-4a0c-a591-1a4efff4ad5f</errorID>
      <errorWord>胺基</errorWord>
      <group>L1_Word</group>
      <groupName>字词问题</groupName>
      <ability>L2_Typo</ability>
      <abilityName>字词错误</abilityName>
      <candidateList>
        <item>氨基</item>
      </candidateList>
      <explain>存在发音相同字词的误用。</explain>
      <paraID>12F53364</paraID>
      <start>0</start>
      <end>2</end>
      <status>unmodified</status>
      <modifiedWord/>
      <trackRevisions>false</trackRevisions>
    </reviewItem>
    <reviewItem>
      <errorID>3710c384-2e3e-48e1-83a0-24456cc0415a</errorID>
      <errorWord>~</errorWord>
      <group>L1_Format</group>
      <groupName>格式问题</groupName>
      <ability>L2_HalfPunc</ability>
      <abilityName>全半角检查</abilityName>
      <candidateList>
        <item>～</item>
      </candidateList>
      <explain>文本全半角错误。</explain>
      <paraID>4F49FE45</paraID>
      <start>14</start>
      <end>15</end>
      <status>unmodified</status>
      <modifiedWord/>
      <trackRevisions>false</trackRevisions>
    </reviewItem>
    <reviewItem>
      <errorID>2c9032a2-d93d-4c4a-ba5a-1170b2e88c33</errorID>
      <errorWord>提供有</errorWord>
      <group>L1_Word</group>
      <groupName>字词问题</groupName>
      <ability>L2_Typo</ability>
      <abilityName>字词错误</abilityName>
      <candidateList>
        <item>提供</item>
      </candidateList>
      <explain/>
      <paraID>24F91704</paraID>
      <start>42</start>
      <end>45</end>
      <status>unmodified</status>
      <modifiedWord/>
      <trackRevisions>false</trackRevisions>
    </reviewItem>
    <reviewItem>
      <errorID>6cc7ec94-f94c-4cde-9488-bfbb0cc3193d</errorID>
      <errorWord>（</errorWord>
      <group>L1_Format</group>
      <groupName>格式问题</groupName>
      <ability>L2_HalfPunc</ability>
      <abilityName>全半角检查</abilityName>
      <candidateList>
        <item>(</item>
      </candidateList>
      <explain>文本全半角错误。</explain>
      <paraID>7F5900C6</paraID>
      <start>3</start>
      <end>4</end>
      <status>unmodified</status>
      <modifiedWord/>
      <trackRevisions>false</trackRevisions>
    </reviewItem>
    <reviewItem>
      <errorID>c20b081a-ac73-4cfb-9bb4-519a33881863</errorID>
      <errorWord>）</errorWord>
      <group>L1_Format</group>
      <groupName>格式问题</groupName>
      <ability>L2_HalfPunc</ability>
      <abilityName>全半角检查</abilityName>
      <candidateList>
        <item>)</item>
      </candidateList>
      <explain>文本全半角错误。</explain>
      <paraID>7F5900C6</paraID>
      <start>13</start>
      <end>14</end>
      <status>unmodified</status>
      <modifiedWord/>
      <trackRevisions>false</trackRevisions>
    </reviewItem>
    <reviewItem>
      <errorID>8de82bf9-1dfd-4d90-9f27-eea9e243e035</errorID>
      <errorWord>胺基</errorWord>
      <group>L1_Word</group>
      <groupName>字词问题</groupName>
      <ability>L2_Typo</ability>
      <abilityName>字词错误</abilityName>
      <candidateList>
        <item>氨基</item>
      </candidateList>
      <explain>存在发音相同字词的误用。</explain>
      <paraID>41FECF85</paraID>
      <start>0</start>
      <end>2</end>
      <status>unmodified</status>
      <modifiedWord/>
      <trackRevisions>false</trackRevisions>
    </reviewItem>
    <reviewItem>
      <errorID>e5bfd14e-3277-4b7f-b6d3-4f23870f0af9</errorID>
      <errorWord>~</errorWord>
      <group>L1_Format</group>
      <groupName>格式问题</groupName>
      <ability>L2_HalfPunc</ability>
      <abilityName>全半角检查</abilityName>
      <candidateList>
        <item>～</item>
      </candidateList>
      <explain>文本全半角错误。</explain>
      <paraID>2F043EB8</paraID>
      <start>14</start>
      <end>15</end>
      <status>unmodified</status>
      <modifiedWord/>
      <trackRevisions>false</trackRevisions>
    </reviewItem>
    <reviewItem>
      <errorID>b3b8314a-c7c2-4d15-a489-61f5cb8c6216</errorID>
      <errorWord>提供有</errorWord>
      <group>L1_Word</group>
      <groupName>字词问题</groupName>
      <ability>L2_Typo</ability>
      <abilityName>字词错误</abilityName>
      <candidateList>
        <item>提供</item>
      </candidateList>
      <explain/>
      <paraID>29C4FBE0</paraID>
      <start>42</start>
      <end>45</end>
      <status>unmodified</status>
      <modifiedWord/>
      <trackRevisions>false</trackRevisions>
    </reviewItem>
    <reviewItem>
      <errorID>b51240df-db07-43b8-acfa-e1105ce65b55</errorID>
      <errorWord>具</errorWord>
      <group>L1_Word</group>
      <groupName>字词问题</groupName>
      <ability>L2_Typo</ability>
      <abilityName>字词错误</abilityName>
      <candidateList>
        <item>具有</item>
      </candidateList>
      <explain>〈动〉有（多用于抽象事物）：～信心｜～伟大的意义。</explain>
      <paraID>60B1B379</paraID>
      <start>46</start>
      <end>47</end>
      <status>unmodified</status>
      <modifiedWord/>
      <trackRevisions>false</trackRevisions>
    </reviewItem>
    <reviewItem>
      <errorID>a47ff9ef-ae7e-485e-b6b9-d3eaee0f853a</errorID>
      <errorWord>开成</errorWord>
      <group>L1_Word</group>
      <groupName>字词问题</groupName>
      <ability>L2_Typo</ability>
      <abilityName>字词错误</abilityName>
      <candidateList>
        <item>形成</item>
      </candidateList>
      <explain>〈动〉通过发展变化而成为具有某种特点的事物，或者出现某种情形或局面：销售网已经～｜～鲜明的对比｜～难以打破的僵局。</explain>
      <paraID>63EE79DA</paraID>
      <start>127</start>
      <end>129</end>
      <status>unmodified</status>
      <modifiedWord/>
      <trackRevisions>false</trackRevisions>
    </reviewItem>
    <reviewItem>
      <errorID>4aab8b8e-d9df-4da0-910a-e18535fd14e8</errorID>
      <errorWord>失剂</errorWord>
      <group>L1_Word</group>
      <groupName>字词问题</groupName>
      <ability>L2_Typo</ability>
      <abilityName>字词错误</abilityName>
      <candidateList>
        <item>试剂</item>
      </candidateList>
      <explain/>
      <paraID> B7D6311</paraID>
      <start>22</start>
      <end>24</end>
      <status>unmodified</status>
      <modifiedWord/>
      <trackRevisions>false</trackRevisions>
    </reviewItem>
    <reviewItem>
      <errorID>6a750b39-45d8-454a-a946-304514977925</errorID>
      <errorWord>II型</errorWord>
      <group>L1_Knowledge</group>
      <groupName>知识性问题</groupName>
      <ability>L2_Knowledge</ability>
      <abilityName>其他知识</abilityName>
      <candidateList>
        <item>Ⅱ型</item>
      </candidateList>
      <explain/>
      <paraID>6B441513</paraID>
      <start>6</start>
      <end>9</end>
      <status>unmodified</status>
      <modifiedWord/>
      <trackRevisions>false</trackRevisions>
    </reviewItem>
    <reviewItem>
      <errorID>55885222-af4c-4406-8a7b-c59a3ded378b</errorID>
      <errorWord>II型</errorWord>
      <group>L1_Knowledge</group>
      <groupName>知识性问题</groupName>
      <ability>L2_Knowledge</ability>
      <abilityName>其他知识</abilityName>
      <candidateList>
        <item>Ⅱ型</item>
      </candidateList>
      <explain/>
      <paraID>31B7E355</paraID>
      <start>6</start>
      <end>9</end>
      <status>unmodified</status>
      <modifiedWord/>
      <trackRevisions>false</trackRevisions>
    </reviewItem>
    <reviewItem>
      <errorID>195b8386-7a26-4674-b836-c5dd901083bc</errorID>
      <errorWord>（</errorWord>
      <group>L1_Format</group>
      <groupName>格式问题</groupName>
      <ability>L2_HalfPunc</ability>
      <abilityName>全半角检查</abilityName>
      <candidateList>
        <item>(</item>
      </candidateList>
      <explain>文本全半角错误。</explain>
      <paraID>27E5B653</paraID>
      <start>0</start>
      <end>1</end>
      <status>unmodified</status>
      <modifiedWord/>
      <trackRevisions>false</trackRevisions>
    </reviewItem>
    <reviewItem>
      <errorID>9a0dc1ff-0794-4e82-adeb-81f13ab048d7</errorID>
      <errorWord>）</errorWord>
      <group>L1_Format</group>
      <groupName>格式问题</groupName>
      <ability>L2_HalfPunc</ability>
      <abilityName>全半角检查</abilityName>
      <candidateList>
        <item>)</item>
      </candidateList>
      <explain>文本全半角错误。</explain>
      <paraID>27E5B653</paraID>
      <start>11</start>
      <end>12</end>
      <status>unmodified</status>
      <modifiedWord/>
      <trackRevisions>false</trackRevisions>
    </reviewItem>
    <reviewItem>
      <errorID>af4b8525-b4f3-4197-8f78-76ef495b6e26</errorID>
      <errorWord>(</errorWord>
      <group>L1_Format</group>
      <groupName>格式问题</groupName>
      <ability>L2_HalfPunc</ability>
      <abilityName>全半角检查</abilityName>
      <candidateList>
        <item>（</item>
      </candidateList>
      <explain>文本全半角错误。</explain>
      <paraID>6B15F5A8</paraID>
      <start>4</start>
      <end>5</end>
      <status>ignored</status>
      <modifiedWord/>
      <trackRevisions>false</trackRevisions>
    </reviewItem>
    <reviewItem>
      <errorID>94ab5b0a-499a-49e3-8923-6dffc7d3dc10</errorID>
      <errorWord>)</errorWord>
      <group>L1_Format</group>
      <groupName>格式问题</groupName>
      <ability>L2_HalfPunc</ability>
      <abilityName>全半角检查</abilityName>
      <candidateList>
        <item>）</item>
      </candidateList>
      <explain>文本全半角错误。</explain>
      <paraID>6B15F5A8</paraID>
      <start>15</start>
      <end>16</end>
      <status>ignored</status>
      <modifiedWord/>
      <trackRevisions>false</trackRevisions>
    </reviewItem>
    <reviewItem>
      <errorID>2ccd1d8f-8619-4d12-8ef5-d5f9b5e3cb8d</errorID>
      <errorWord>沙岩</errorWord>
      <group>L1_Word</group>
      <groupName>字词问题</groupName>
      <ability>L2_Typo</ability>
      <abilityName>字词错误</abilityName>
      <candidateList>
        <item>砂岩</item>
      </candidateList>
      <explain>存在发音相同字词的误用。</explain>
      <paraID> DCAE1E3</paraID>
      <start>113</start>
      <end>115</end>
      <status>unmodified</status>
      <modifiedWord/>
      <trackRevisions>false</trackRevisions>
    </reviewItem>
    <reviewItem>
      <errorID>eaf8e28b-2a85-49ab-b70d-64a13607369a</errorID>
      <errorWord>~</errorWord>
      <group>L1_Format</group>
      <groupName>格式问题</groupName>
      <ability>L2_HalfPunc</ability>
      <abilityName>全半角检查</abilityName>
      <candidateList>
        <item>～</item>
      </candidateList>
      <explain>文本全半角错误。</explain>
      <paraID>2D0DB2AC</paraID>
      <start>8</start>
      <end>9</end>
      <status>unmodified</status>
      <modifiedWord/>
      <trackRevisions>false</trackRevisions>
    </reviewItem>
    <reviewItem>
      <errorID>d711ee13-f7c1-43bb-b900-03a29c6126b4</errorID>
      <errorWord>~</errorWord>
      <group>L1_Format</group>
      <groupName>格式问题</groupName>
      <ability>L2_HalfPunc</ability>
      <abilityName>全半角检查</abilityName>
      <candidateList>
        <item>～</item>
      </candidateList>
      <explain>文本全半角错误。</explain>
      <paraID> E7E05A5</paraID>
      <start>8</start>
      <end>9</end>
      <status>unmodified</status>
      <modifiedWord/>
      <trackRevisions>false</trackRevisions>
    </reviewItem>
    <reviewItem>
      <errorID>2200cb21-75d9-4ae2-ab14-3d2c30a57538</errorID>
      <errorWord>检测工作</errorWord>
      <group>L1_Word</group>
      <groupName>字词问题</groupName>
      <ability>L2_Typo</ability>
      <abilityName>字词错误</abilityName>
      <candidateList>
        <item>监测工作</item>
      </candidateList>
      <explain/>
      <paraID> CB179E7</paraID>
      <start>32</start>
      <end>36</end>
      <status>unmodified</status>
      <modifiedWord/>
      <trackRevisions>false</trackRevisions>
    </reviewItem>
    <reviewItem>
      <errorID>ca3a022d-e799-4dc1-9d6e-74c2cb6faade</errorID>
      <errorWord>环空</errorWord>
      <group>L1_Word</group>
      <groupName>字词问题</groupName>
      <ability>L2_Typo</ability>
      <abilityName>字词错误</abilityName>
      <candidateList>
        <item>环孔</item>
      </candidateList>
      <explain>存在发音相同字词的误用。</explain>
      <paraID> 57C009F</paraID>
      <start>39</start>
      <end>41</end>
      <status>unmodified</status>
      <modifiedWord/>
      <trackRevisions>false</trackRevisions>
    </reviewItem>
    <reviewItem>
      <errorID>c15eb8d7-a228-4df7-bebf-ac724ce965e5</errorID>
      <errorWord>注入到</errorWord>
      <group>L1_Word</group>
      <groupName>字词问题</groupName>
      <ability>L2_Typo</ability>
      <abilityName>字词错误</abilityName>
      <candidateList>
        <item>注入</item>
      </candidateList>
      <explain/>
      <paraID> 57C009F</paraID>
      <start>162</start>
      <end>165</end>
      <status>unmodified</status>
      <modifiedWord/>
      <trackRevisions>false</trackRevisions>
    </reviewItem>
    <reviewItem>
      <errorID>b01c2cd3-d85b-4116-ad55-26f81218807f</errorID>
      <errorWord>~</errorWord>
      <group>L1_Format</group>
      <groupName>格式问题</groupName>
      <ability>L2_HalfPunc</ability>
      <abilityName>全半角检查</abilityName>
      <candidateList>
        <item>～</item>
      </candidateList>
      <explain>文本全半角错误。</explain>
      <paraID> 98003DE</paraID>
      <start>2</start>
      <end>3</end>
      <status>unmodified</status>
      <modifiedWord/>
      <trackRevisions>false</trackRevisions>
    </reviewItem>
    <reviewItem>
      <errorID>5b2e9f0f-6620-4aba-a9dd-1a5ba2aaf694</errorID>
      <errorWord>~</errorWord>
      <group>L1_Format</group>
      <groupName>格式问题</groupName>
      <ability>L2_HalfPunc</ability>
      <abilityName>全半角检查</abilityName>
      <candidateList>
        <item>～</item>
      </candidateList>
      <explain>文本全半角错误。</explain>
      <paraID>49AE54AE</paraID>
      <start>2</start>
      <end>3</end>
      <status>unmodified</status>
      <modifiedWord/>
      <trackRevisions>false</trackRevisions>
    </reviewItem>
    <reviewItem>
      <errorID>6464a77a-22f8-42f8-a884-7de9c8874d86</errorID>
      <errorWord>~</errorWord>
      <group>L1_Format</group>
      <groupName>格式问题</groupName>
      <ability>L2_HalfPunc</ability>
      <abilityName>全半角检查</abilityName>
      <candidateList>
        <item>～</item>
      </candidateList>
      <explain>文本全半角错误。</explain>
      <paraID>287918B9</paraID>
      <start>2</start>
      <end>3</end>
      <status>unmodified</status>
      <modifiedWord/>
      <trackRevisions>false</trackRevisions>
    </reviewItem>
    <reviewItem>
      <errorID>73c8995b-7569-4752-8673-b31c5689fd2b</errorID>
      <errorWord>~</errorWord>
      <group>L1_Format</group>
      <groupName>格式问题</groupName>
      <ability>L2_HalfPunc</ability>
      <abilityName>全半角检查</abilityName>
      <candidateList>
        <item>～</item>
      </candidateList>
      <explain>文本全半角错误。</explain>
      <paraID>6FA8A378</paraID>
      <start>2</start>
      <end>3</end>
      <status>unmodified</status>
      <modifiedWord/>
      <trackRevisions>false</trackRevisions>
    </reviewItem>
    <reviewItem>
      <errorID>8c385c25-632f-4e7f-ba63-49dd4f496425</errorID>
      <errorWord>~</errorWord>
      <group>L1_Format</group>
      <groupName>格式问题</groupName>
      <ability>L2_HalfPunc</ability>
      <abilityName>全半角检查</abilityName>
      <candidateList>
        <item>～</item>
      </candidateList>
      <explain>文本全半角错误。</explain>
      <paraID>44EB1265</paraID>
      <start>2</start>
      <end>3</end>
      <status>unmodified</status>
      <modifiedWord/>
      <trackRevisions>false</trackRevisions>
    </reviewItem>
    <reviewItem>
      <errorID>32c7ea02-c054-45a7-abdb-e30c8cc93987</errorID>
      <errorWord>~</errorWord>
      <group>L1_Format</group>
      <groupName>格式问题</groupName>
      <ability>L2_HalfPunc</ability>
      <abilityName>全半角检查</abilityName>
      <candidateList>
        <item>～</item>
      </candidateList>
      <explain>文本全半角错误。</explain>
      <paraID>640DDA75</paraID>
      <start>2</start>
      <end>3</end>
      <status>unmodified</status>
      <modifiedWord/>
      <trackRevisions>false</trackRevisions>
    </reviewItem>
    <reviewItem>
      <errorID>2af7a387-7c7a-4807-b8b0-de23c7b9c1ac</errorID>
      <errorWord>~</errorWord>
      <group>L1_Format</group>
      <groupName>格式问题</groupName>
      <ability>L2_HalfPunc</ability>
      <abilityName>全半角检查</abilityName>
      <candidateList>
        <item>～</item>
      </candidateList>
      <explain>文本全半角错误。</explain>
      <paraID>6BCB2768</paraID>
      <start>2</start>
      <end>3</end>
      <status>unmodified</status>
      <modifiedWord/>
      <trackRevisions>false</trackRevisions>
    </reviewItem>
    <reviewItem>
      <errorID>d173e8cd-6beb-4a4e-af43-4927a51822a2</errorID>
      <errorWord>~</errorWord>
      <group>L1_Format</group>
      <groupName>格式问题</groupName>
      <ability>L2_HalfPunc</ability>
      <abilityName>全半角检查</abilityName>
      <candidateList>
        <item>～</item>
      </candidateList>
      <explain>文本全半角错误。</explain>
      <paraID>427DD3E1</paraID>
      <start>2</start>
      <end>3</end>
      <status>unmodified</status>
      <modifiedWord/>
      <trackRevisions>false</trackRevisions>
    </reviewItem>
    <reviewItem>
      <errorID>439a3852-e3d5-4e0a-9adf-67116224a76c</errorID>
      <errorWord>~</errorWord>
      <group>L1_Format</group>
      <groupName>格式问题</groupName>
      <ability>L2_HalfPunc</ability>
      <abilityName>全半角检查</abilityName>
      <candidateList>
        <item>～</item>
      </candidateList>
      <explain>文本全半角错误。</explain>
      <paraID>73A8C086</paraID>
      <start>2</start>
      <end>3</end>
      <status>unmodified</status>
      <modifiedWord/>
      <trackRevisions>false</trackRevisions>
    </reviewItem>
    <reviewItem>
      <errorID>bc8e1168-16e0-4396-b5fc-3fb6b36f11ad</errorID>
      <errorWord>~</errorWord>
      <group>L1_Format</group>
      <groupName>格式问题</groupName>
      <ability>L2_HalfPunc</ability>
      <abilityName>全半角检查</abilityName>
      <candidateList>
        <item>～</item>
      </candidateList>
      <explain>文本全半角错误。</explain>
      <paraID>53AA8FAE</paraID>
      <start>2</start>
      <end>3</end>
      <status>unmodified</status>
      <modifiedWord/>
      <trackRevisions>false</trackRevisions>
    </reviewItem>
    <reviewItem>
      <errorID>6e494766-d6dd-46de-a0ec-83fa2f07f57f</errorID>
      <errorWord>~</errorWord>
      <group>L1_Format</group>
      <groupName>格式问题</groupName>
      <ability>L2_HalfPunc</ability>
      <abilityName>全半角检查</abilityName>
      <candidateList>
        <item>～</item>
      </candidateList>
      <explain>文本全半角错误。</explain>
      <paraID>6084CD26</paraID>
      <start>2</start>
      <end>3</end>
      <status>unmodified</status>
      <modifiedWord/>
      <trackRevisions>false</trackRevisions>
    </reviewItem>
    <reviewItem>
      <errorID>6720a25d-8e0a-4e56-b2d0-81b6d8c061d9</errorID>
      <errorWord>~</errorWord>
      <group>L1_Format</group>
      <groupName>格式问题</groupName>
      <ability>L2_HalfPunc</ability>
      <abilityName>全半角检查</abilityName>
      <candidateList>
        <item>～</item>
      </candidateList>
      <explain>文本全半角错误。</explain>
      <paraID>4E3738AD</paraID>
      <start>2</start>
      <end>3</end>
      <status>unmodified</status>
      <modifiedWord/>
      <trackRevisions>false</trackRevisions>
    </reviewItem>
    <reviewItem>
      <errorID>02d33dce-0020-43c8-9523-5ca360e013b2</errorID>
      <errorWord>~</errorWord>
      <group>L1_Format</group>
      <groupName>格式问题</groupName>
      <ability>L2_HalfPunc</ability>
      <abilityName>全半角检查</abilityName>
      <candidateList>
        <item>～</item>
      </candidateList>
      <explain>文本全半角错误。</explain>
      <paraID> 176B573</paraID>
      <start>2</start>
      <end>3</end>
      <status>unmodified</status>
      <modifiedWord/>
      <trackRevisions>false</trackRevisions>
    </reviewItem>
    <reviewItem>
      <errorID>1ba82e4e-d64a-4588-ae22-9b436324f23b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54E8C44D</paraID>
      <start>246</start>
      <end>247</end>
      <status>ignored</status>
      <modifiedWord/>
      <trackRevisions>false</trackRevisions>
    </reviewItem>
    <reviewItem>
      <errorID>0bef2e3c-e68b-4a84-8c90-4843018f98c8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54E8C44D</paraID>
      <start>265</start>
      <end>266</end>
      <status>ignored</status>
      <modifiedWord/>
      <trackRevisions>false</trackRevisions>
    </reviewItem>
    <reviewItem>
      <errorID>402041ce-7e96-49a1-b638-9e23bba99f02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54E8C44D</paraID>
      <start>282</start>
      <end>283</end>
      <status>ignored</status>
      <modifiedWord/>
      <trackRevisions>false</trackRevisions>
    </reviewItem>
    <reviewItem>
      <errorID>e84b448a-1b9f-4c09-ad91-c3cb857006a2</errorID>
      <errorWord>粘度</errorWord>
      <group>L1_Word</group>
      <groupName>字词问题</groupName>
      <ability>L2_Alias</ability>
      <abilityName>也作/曾用词</abilityName>
      <candidateList>
        <item>黏度</item>
      </candidateList>
      <explain>词汇[粘度]为不规范表述或旧称，其规范书面表述为[黏度]。</explain>
      <paraID> B03CE6D</paraID>
      <start>98</start>
      <end>100</end>
      <status>unmodified</status>
      <modifiedWord/>
      <trackRevisions>false</trackRevisions>
    </reviewItem>
    <reviewItem>
      <errorID>512fc107-cdbe-4b4a-9497-1052432df201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1193CE48</paraID>
      <start>109</start>
      <end>110</end>
      <status>ignored</status>
      <modifiedWord/>
      <trackRevisions>false</trackRevisions>
    </reviewItem>
    <reviewItem>
      <errorID>a2209195-d77c-4c98-aa8b-ba21e06d21d1</errorID>
      <errorWord>配置</errorWord>
      <group>L1_Word</group>
      <groupName>字词问题</groupName>
      <ability>L2_Typo</ability>
      <abilityName>字词错误</abilityName>
      <candidateList>
        <item>配制</item>
      </candidateList>
      <explain/>
      <paraID>17207D73</paraID>
      <start>77</start>
      <end>79</end>
      <status>unmodified</status>
      <modifiedWord/>
      <trackRevisions>false</trackRevisions>
    </reviewItem>
    <reviewItem>
      <errorID>31b4d1fd-3054-4c00-9181-9e2b2f4d372f</errorID>
      <errorWord>胍胶</errorWord>
      <group>L1_Word</group>
      <groupName>字词问题</groupName>
      <ability>L2_Typo</ability>
      <abilityName>字词错误</abilityName>
      <candidateList>
        <item>橡胶</item>
      </candidateList>
      <explain/>
      <paraID>4D66125B</paraID>
      <start>0</start>
      <end>2</end>
      <status>unmodified</status>
      <modifiedWord/>
      <trackRevisions>false</trackRevisions>
    </reviewItem>
    <reviewItem>
      <errorID>18465d26-e0b7-4ed8-905a-4a69e8a53298</errorID>
      <errorWord>亲合力</errorWord>
      <group>L1_Word</group>
      <groupName>字词问题</groupName>
      <ability>L2_Typo</ability>
      <abilityName>字词错误</abilityName>
      <candidateList>
        <item>亲和力</item>
      </candidateList>
      <explain>〈名〉❶两种或两种以上的物质结合成化合物时互相作用的力。❷比喻使人亲近、愿意接触的力量：她平易近人，很具～。</explain>
      <paraID>7BD2F104</paraID>
      <start>26</start>
      <end>29</end>
      <status>unmodified</status>
      <modifiedWord/>
      <trackRevisions>false</trackRevisions>
    </reviewItem>
    <reviewItem>
      <errorID>b4392620-d7dd-4fc4-8d55-986117855eff</errorID>
      <errorWord>粘稠</errorWord>
      <group>L1_Word</group>
      <groupName>字词问题</groupName>
      <ability>L2_Typo</ability>
      <abilityName>字词错误</abilityName>
      <candidateList>
        <item>黏稠</item>
      </candidateList>
      <explain>存在发音相同字词的误用。</explain>
      <paraID>7BD2F104</paraID>
      <start>107</start>
      <end>109</end>
      <status>unmodified</status>
      <modifiedWord/>
      <trackRevisions>false</trackRevisions>
    </reviewItem>
    <reviewItem>
      <errorID>06ea5d8a-06d7-4ae3-95a0-184eec53f055</errorID>
      <errorWord>粘度</errorWord>
      <group>L1_Word</group>
      <groupName>字词问题</groupName>
      <ability>L2_Alias</ability>
      <abilityName>也作/曾用词</abilityName>
      <candidateList>
        <item>黏度</item>
      </candidateList>
      <explain>词汇[粘度]为不规范表述或旧称，其规范书面表述为[黏度]。</explain>
      <paraID> CB3C9F2</paraID>
      <start>92</start>
      <end>94</end>
      <status>unmodified</status>
      <modifiedWord/>
      <trackRevisions>false</trackRevisions>
    </reviewItem>
    <reviewItem>
      <errorID>0e8b8567-2384-4004-84d6-d4591efa1b32</errorID>
      <errorWord>15%~50%</errorWord>
      <group>L1_Knowledge</group>
      <groupName>知识性问题</groupName>
      <ability>L2_Knowledge</ability>
      <abilityName>其他知识</abilityName>
      <candidateList>
        <item>15%～50%</item>
      </candidateList>
      <explain>1. “15%~50%”中的单位“%”仅出现在后一个数字上，容易引起歧义；根据《现代汉语标点符号数字用法规范手册》，数字表示范围两边需要使用统一的格式。2. 根据标点国标 4.13 中的规则，数字、时间或地域连接符应使用（视觉上更长的）“—”或“～”。</explain>
      <paraID>46870788</paraID>
      <start>27</start>
      <end>34</end>
      <status>unmodified</status>
      <modifiedWord/>
      <trackRevisions>false</trackRevisions>
    </reviewItem>
    <reviewItem>
      <errorID>ff1ea4cb-d62d-4520-909c-071cd3160471</errorID>
      <errorWord>１</errorWord>
      <group>L1_Format</group>
      <groupName>格式问题</groupName>
      <ability>L2_HalfPunc</ability>
      <abilityName>全半角检查</abilityName>
      <candidateList>
        <item>1</item>
      </candidateList>
      <explain>文本全半角错误。</explain>
      <paraID>42B6BE9D</paraID>
      <start>26</start>
      <end>27</end>
      <status>ignored</status>
      <modifiedWord/>
      <trackRevisions>false</trackRevisions>
    </reviewItem>
    <reviewItem>
      <errorID>9ccb8a9f-7560-481a-bf91-1dd0bbbdd56e</errorID>
      <errorWord>１</errorWord>
      <group>L1_Format</group>
      <groupName>格式问题</groupName>
      <ability>L2_HalfPunc</ability>
      <abilityName>全半角检查</abilityName>
      <candidateList>
        <item>1</item>
      </candidateList>
      <explain>文本全半角错误。</explain>
      <paraID>62777487</paraID>
      <start>24</start>
      <end>25</end>
      <status>ignored</status>
      <modifiedWord/>
      <trackRevisions>false</trackRevisions>
    </reviewItem>
    <reviewItem>
      <errorID>08403ab6-62e6-4e58-b5a2-12d02a127cfd</errorID>
      <errorWord>１</errorWord>
      <group>L1_Format</group>
      <groupName>格式问题</groupName>
      <ability>L2_HalfPunc</ability>
      <abilityName>全半角检查</abilityName>
      <candidateList>
        <item>1</item>
      </candidateList>
      <explain>文本全半角错误。</explain>
      <paraID> 7553A29</paraID>
      <start>32</start>
      <end>33</end>
      <status>ignored</status>
      <modifiedWord/>
      <trackRevisions>false</trackRevisions>
    </reviewItem>
    <reviewItem>
      <errorID>d1825709-1d67-43fd-a0da-95e866b770a4</errorID>
      <errorWord>钢开</errorWord>
      <group>L1_Word</group>
      <groupName>字词问题</groupName>
      <ability>L2_Typo</ability>
      <abilityName>字词错误</abilityName>
      <candidateList>
        <item>钢筋</item>
      </candidateList>
      <explain/>
      <paraID>6569FA00</paraID>
      <start>4</start>
      <end>6</end>
      <status>unmodified</status>
      <modifiedWord/>
      <trackRevisions>false</trackRevisions>
    </reviewItem>
    <reviewItem>
      <errorID>781b06d3-0dde-4598-897b-8aa4242fe821</errorID>
      <errorWord>（</errorWord>
      <group>L1_Format</group>
      <groupName>格式问题</groupName>
      <ability>L2_HalfPunc</ability>
      <abilityName>全半角检查</abilityName>
      <candidateList>
        <item>(</item>
      </candidateList>
      <explain>文本全半角错误。</explain>
      <paraID> E88F8DA</paraID>
      <start>0</start>
      <end>1</end>
      <status>unmodified</status>
      <modifiedWord/>
      <trackRevisions>false</trackRevisions>
    </reviewItem>
    <reviewItem>
      <errorID>634bfe04-766d-4c24-9300-415e07a24c6a</errorID>
      <errorWord>）</errorWord>
      <group>L1_Format</group>
      <groupName>格式问题</groupName>
      <ability>L2_HalfPunc</ability>
      <abilityName>全半角检查</abilityName>
      <candidateList>
        <item>)</item>
      </candidateList>
      <explain>文本全半角错误。</explain>
      <paraID> E88F8DA</paraID>
      <start>3</start>
      <end>4</end>
      <status>unmodified</status>
      <modifiedWord/>
      <trackRevisions>false</trackRevisions>
    </reviewItem>
    <reviewItem>
      <errorID>0d82c4b8-7561-4061-83a2-6820a750fc50</errorID>
      <errorWord>（</errorWord>
      <group>L1_Format</group>
      <groupName>格式问题</groupName>
      <ability>L2_HalfPunc</ability>
      <abilityName>全半角检查</abilityName>
      <candidateList>
        <item>(</item>
      </candidateList>
      <explain>文本全半角错误。</explain>
      <paraID>1314D38C</paraID>
      <start>0</start>
      <end>1</end>
      <status>unmodified</status>
      <modifiedWord/>
      <trackRevisions>false</trackRevisions>
    </reviewItem>
    <reviewItem>
      <errorID>4b348fb4-2024-427a-b845-f6558f336be7</errorID>
      <errorWord>）</errorWord>
      <group>L1_Format</group>
      <groupName>格式问题</groupName>
      <ability>L2_HalfPunc</ability>
      <abilityName>全半角检查</abilityName>
      <candidateList>
        <item>)</item>
      </candidateList>
      <explain>文本全半角错误。</explain>
      <paraID>1314D38C</paraID>
      <start>2</start>
      <end>3</end>
      <status>unmodified</status>
      <modifiedWord/>
      <trackRevisions>false</trackRevisions>
    </reviewItem>
    <reviewItem>
      <errorID>f7acb6a2-6478-4575-8454-39f6f1d96eee</errorID>
      <errorWord>（</errorWord>
      <group>L1_Format</group>
      <groupName>格式问题</groupName>
      <ability>L2_HalfPunc</ability>
      <abilityName>全半角检查</abilityName>
      <candidateList>
        <item>(</item>
      </candidateList>
      <explain>文本全半角错误。</explain>
      <paraID>21A0D856</paraID>
      <start>0</start>
      <end>1</end>
      <status>unmodified</status>
      <modifiedWord/>
      <trackRevisions>false</trackRevisions>
    </reviewItem>
    <reviewItem>
      <errorID>d6a51bf6-9cc0-4caa-9c67-a0323ab434fd</errorID>
      <errorWord>）</errorWord>
      <group>L1_Format</group>
      <groupName>格式问题</groupName>
      <ability>L2_HalfPunc</ability>
      <abilityName>全半角检查</abilityName>
      <candidateList>
        <item>)</item>
      </candidateList>
      <explain>文本全半角错误。</explain>
      <paraID>21A0D856</paraID>
      <start>2</start>
      <end>3</end>
      <status>unmodified</status>
      <modifiedWord/>
      <trackRevisions>false</trackRevisions>
    </reviewItem>
    <reviewItem>
      <errorID>47061dad-1f15-4b50-ab85-7e084647fc77</errorID>
      <errorWord>计</errorWord>
      <group>L1_Word</group>
      <groupName>字词问题</groupName>
      <ability>L2_Typo</ability>
      <abilityName>字词错误</abilityName>
      <candidateList>
        <item>计算</item>
      </candidateList>
      <explain/>
      <paraID>21B5728E</paraID>
      <start>154</start>
      <end>155</end>
      <status>unmodified</status>
      <modifiedWord/>
      <trackRevisions>false</trackRevisions>
    </reviewItem>
    <reviewItem>
      <errorID>caf52051-a552-48cc-a708-f3078a50484a</errorID>
      <errorWord>，则</errorWord>
      <group>L1_Word</group>
      <groupName>字词问题</groupName>
      <ability>L2_Typo</ability>
      <abilityName>字词错误</abilityName>
      <candidateList>
        <item>，</item>
      </candidateList>
      <explain/>
      <paraID> F2F5410</paraID>
      <start>20</start>
      <end>22</end>
      <status>unmodified</status>
      <modifiedWord/>
      <trackRevisions>false</trackRevisions>
    </reviewItem>
    <reviewItem>
      <errorID>b5d96513-4087-4da8-856a-16fcd6984665</errorID>
      <errorWord>升</errorWord>
      <group>L1_Word</group>
      <groupName>字词问题</groupName>
      <ability>L2_Typo</ability>
      <abilityName>字词错误</abilityName>
      <candidateList>
        <item>至</item>
      </candidateList>
      <explain>❶〈动〉到：～今｜自始～终｜～死不屈。❷至于：甚～。❸〈副〉极；最：为感谢～｜你要早来，～迟下星期内一定赶到。</explain>
      <paraID> CCD95BC</paraID>
      <start>113</start>
      <end>114</end>
      <status>unmodified</status>
      <modifiedWord/>
      <trackRevisions>false</trackRevisions>
    </reviewItem>
    <reviewItem>
      <errorID>af22bf44-1675-4063-8fe7-2095f8ae6ff5</errorID>
      <errorWord>(</errorWord>
      <group>L1_Format</group>
      <groupName>格式问题</groupName>
      <ability>L2_HalfPunc</ability>
      <abilityName>全半角检查</abilityName>
      <candidateList>
        <item>（</item>
      </candidateList>
      <explain>文本全半角错误。</explain>
      <paraID>75F6C3EA</paraID>
      <start>208</start>
      <end>209</end>
      <status>ignored</status>
      <modifiedWord/>
      <trackRevisions>false</trackRevisions>
    </reviewItem>
    <reviewItem>
      <errorID>fcb80eff-7070-4675-8a0b-128f7fd2041d</errorID>
      <errorWord>)</errorWord>
      <group>L1_Format</group>
      <groupName>格式问题</groupName>
      <ability>L2_HalfPunc</ability>
      <abilityName>全半角检查</abilityName>
      <candidateList>
        <item>）</item>
      </candidateList>
      <explain>文本全半角错误。</explain>
      <paraID>75F6C3EA</paraID>
      <start>222</start>
      <end>223</end>
      <status>ignored</status>
      <modifiedWord/>
      <trackRevisions>false</trackRevisions>
    </reviewItem>
    <reviewItem>
      <errorID>7e84d6bb-8521-4cff-8f96-844ac94f1c67</errorID>
      <errorWord>）</errorWord>
      <group>L1_Format</group>
      <groupName>格式问题</groupName>
      <ability>L2_HalfPunc</ability>
      <abilityName>全半角检查</abilityName>
      <candidateList>
        <item>)</item>
      </candidateList>
      <explain>文本全半角错误。</explain>
      <paraID>6553BB59</paraID>
      <start>1</start>
      <end>2</end>
      <status>unmodified</status>
      <modifiedWord/>
      <trackRevisions>false</trackRevisions>
    </reviewItem>
    <reviewItem>
      <errorID>53f25576-259f-429a-9140-3b6fe2930afc</errorID>
      <errorWord>）</errorWord>
      <group>L1_Format</group>
      <groupName>格式问题</groupName>
      <ability>L2_HalfPunc</ability>
      <abilityName>全半角检查</abilityName>
      <candidateList>
        <item>)</item>
      </candidateList>
      <explain>文本全半角错误。</explain>
      <paraID>3D989778</paraID>
      <start>1</start>
      <end>2</end>
      <status>unmodified</status>
      <modifiedWord/>
      <trackRevisions>false</trackRevisions>
    </reviewItem>
    <reviewItem>
      <errorID>61173b13-a655-4764-9679-aa3765356b11</errorID>
      <errorWord>）</errorWord>
      <group>L1_Format</group>
      <groupName>格式问题</groupName>
      <ability>L2_HalfPunc</ability>
      <abilityName>全半角检查</abilityName>
      <candidateList>
        <item>)</item>
      </candidateList>
      <explain>文本全半角错误。</explain>
      <paraID> E532BE7</paraID>
      <start>1</start>
      <end>2</end>
      <status>unmodified</status>
      <modifiedWord/>
      <trackRevisions>false</trackRevisions>
    </reviewItem>
    <reviewItem>
      <errorID>b188862b-4c5c-4b57-bc0a-1276cd8faf94</errorID>
      <errorWord>油</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4140C790</paraID>
      <start>0</start>
      <end>1</end>
      <status>unmodified</status>
      <modifiedWord/>
      <trackRevisions>false</trackRevisions>
    </reviewItem>
    <reviewItem>
      <errorID>8cdef91f-f3ad-408e-9e78-673370a6f5f3</errorID>
      <errorWord>,</errorWord>
      <group>L1_Format</group>
      <groupName>格式问题</groupName>
      <ability>L2_HalfPunc</ability>
      <abilityName>全半角检查</abilityName>
      <candidateList>
        <item>，</item>
      </candidateList>
      <explain>文本全半角错误。</explain>
      <paraID> 47F4599</paraID>
      <start>17</start>
      <end>18</end>
      <status>unmodified</status>
      <modifiedWord/>
      <trackRevisions>false</trackRevisions>
    </reviewItem>
    <reviewItem>
      <errorID>15711772-ea20-4820-8a05-900576efa08f</errorID>
      <errorWord>主</errorWord>
      <group>L1_Word</group>
      <groupName>字词问题</groupName>
      <ability>L2_Typo</ability>
      <abilityName>字词错误</abilityName>
      <candidateList>
        <item>主要</item>
      </candidateList>
      <explain>〈形〉属性词。有关事物中最重要的；起决定作用的：～原因｜～目的｜～人物。</explain>
      <paraID>774E14F3</paraID>
      <start>127</start>
      <end>128</end>
      <status>unmodified</status>
      <modifiedWord/>
      <trackRevisions>false</trackRevisions>
    </reviewItem>
    <reviewItem>
      <errorID>f2bfd5e9-3a66-4f0f-ad16-080163ae0432</errorID>
      <errorWord>铺垫</errorWord>
      <group>L1_Word</group>
      <groupName>字词问题</groupName>
      <ability>L2_Typo</ability>
      <abilityName>字词错误</abilityName>
      <candidateList>
        <item>铺设</item>
      </candidateList>
      <explain/>
      <paraID>774E14F3</paraID>
      <start>301</start>
      <end>303</end>
      <status>unmodified</status>
      <modifiedWord/>
      <trackRevisions>false</trackRevisions>
    </reviewItem>
    <reviewItem>
      <errorID>6792c0f3-2583-400e-b42c-9f2ab730ec87</errorID>
      <errorWord>座</errorWord>
      <group>L1_Knowledge</group>
      <groupName>知识性问题</groupName>
      <ability>L2_Knowledge</ability>
      <abilityName>其他知识</abilityName>
      <candidateList>
        <item>口</item>
      </candidateList>
      <explain/>
      <paraID>   B0FAF</paraID>
      <start>1</start>
      <end>2</end>
      <status>unmodified</status>
      <modifiedWord/>
      <trackRevisions>false</trackRevisions>
    </reviewItem>
    <reviewItem>
      <errorID>f452a5df-a077-4f33-a6a9-ae4d69c0ba79</errorID>
      <errorWord>[2016]14号</errorWord>
      <group>L1_Knowledge</group>
      <groupName>知识性问题</groupName>
      <ability>L2_Knowledge</ability>
      <abilityName>其他知识</abilityName>
      <candidateList>
        <item>〔2016〕14号</item>
      </candidateList>
      <explain>发文字号格式错误。</explain>
      <paraID>3916D27C</paraID>
      <start>87</start>
      <end>96</end>
      <status>unmodified</status>
      <modifiedWord/>
      <trackRevisions>false</trackRevisions>
    </reviewItem>
    <reviewItem>
      <errorID>ea428e5f-dc02-4f1c-8900-bbdfa19f44ce</errorID>
      <errorWord>施工占</errorWord>
      <group>L1_Word</group>
      <groupName>字词问题</groupName>
      <ability>L2_Typo</ability>
      <abilityName>字词错误</abilityName>
      <candidateList>
        <item>施工场</item>
      </candidateList>
      <explain/>
      <paraID>31084D2D</paraID>
      <start>27</start>
      <end>30</end>
      <status>unmodified</status>
      <modifiedWord/>
      <trackRevisions>false</trackRevisions>
    </reviewItem>
    <reviewItem>
      <errorID>c7460fd7-f376-4f3c-945d-a80c558a49f0</errorID>
      <errorWord>场</errorWord>
      <group>L1_Word</group>
      <groupName>字词问题</groupName>
      <ability>L2_Typo</ability>
      <abilityName>字词错误</abilityName>
      <candidateList>
        <item>场地</item>
      </candidateList>
      <explain/>
      <paraID>31084D2D</paraID>
      <start>51</start>
      <end>52</end>
      <status>unmodified</status>
      <modifiedWord/>
      <trackRevisions>false</trackRevisions>
    </reviewItem>
    <reviewItem>
      <errorID>ed609103-0bde-448e-adf4-7776666a40bf</errorID>
      <errorWord>易地</errorWord>
      <group>L1_Word</group>
      <groupName>字词问题</groupName>
      <ability>L2_Typo</ability>
      <abilityName>字词错误</abilityName>
      <candidateList>
        <item>异地</item>
      </candidateList>
      <explain/>
      <paraID>17907CFE</paraID>
      <start>156</start>
      <end>158</end>
      <status>unmodified</status>
      <modifiedWord/>
      <trackRevisions>false</trackRevisions>
    </reviewItem>
    <reviewItem>
      <errorID>4ab1d765-eea6-45b7-9bd4-81dd79bf3cb4</errorID>
      <errorWord>为先</errorWord>
      <group>L1_Word</group>
      <groupName>字词问题</groupName>
      <ability>L2_Typo</ability>
      <abilityName>字词错误</abilityName>
      <candidateList>
        <item>先</item>
      </candidateList>
      <explain>❶〈名〉时间或次序在前的（跟“后”相对）：～进｜～例｜事～｜领～｜争～恐后｜有言在～。❷〈副〉表示某一行为或事件发生在前：他比我～到｜我～说几句。❸〈副〉暂时：这件事情～放一放，以后再考虑。❹祖先；上代：～人。❺尊称死去的人：～父｜～烈｜～哲。❻〈口〉〈名〉先前：小王的技术比～强多了｜你～怎么不告诉我？❼（Xiān）〈名〉姓。</explain>
      <paraID>433B0027</paraID>
      <start>6</start>
      <end>8</end>
      <status>unmodified</status>
      <modifiedWord/>
      <trackRevisions>false</trackRevisions>
    </reviewItem>
    <reviewItem>
      <errorID>e1106dd8-964a-4b81-a3aa-4cdad6da802b</errorID>
      <errorWord>(</errorWord>
      <group>L1_Format</group>
      <groupName>格式问题</groupName>
      <ability>L2_HalfPunc</ability>
      <abilityName>全半角检查</abilityName>
      <candidateList>
        <item>（</item>
      </candidateList>
      <explain>文本全半角错误。</explain>
      <paraID>11B60FF5</paraID>
      <start>33</start>
      <end>34</end>
      <status>ignored</status>
      <modifiedWord/>
      <trackRevisions>false</trackRevisions>
    </reviewItem>
    <reviewItem>
      <errorID>c8e149e2-9849-49c4-a88e-cbe29b95c2da</errorID>
      <errorWord>)</errorWord>
      <group>L1_Format</group>
      <groupName>格式问题</groupName>
      <ability>L2_HalfPunc</ability>
      <abilityName>全半角检查</abilityName>
      <candidateList>
        <item>）</item>
      </candidateList>
      <explain>文本全半角错误。</explain>
      <paraID>11B60FF5</paraID>
      <start>46</start>
      <end>47</end>
      <status>ignored</status>
      <modifiedWord/>
      <trackRevisions>false</trackRevisions>
    </reviewItem>
    <reviewItem>
      <errorID>13e1ce1b-1736-4d38-8ef3-c9a8eff6211d</errorID>
      <errorWord>钢开</errorWord>
      <group>L1_Word</group>
      <groupName>字词问题</groupName>
      <ability>L2_Typo</ability>
      <abilityName>字词错误</abilityName>
      <candidateList>
        <item>钢筋</item>
      </candidateList>
      <explain/>
      <paraID>26FF6582</paraID>
      <start>9</start>
      <end>11</end>
      <status>unmodified</status>
      <modifiedWord/>
      <trackRevisions>false</trackRevisions>
    </reviewItem>
    <reviewItem>
      <errorID>9b572fec-891e-44cb-b385-65db394fa338</errorID>
      <errorWord>钢开</errorWord>
      <group>L1_Word</group>
      <groupName>字词问题</groupName>
      <ability>L2_Typo</ability>
      <abilityName>字词错误</abilityName>
      <candidateList>
        <item>钢筋</item>
      </candidateList>
      <explain/>
      <paraID>6916DD9F</paraID>
      <start>9</start>
      <end>11</end>
      <status>unmodified</status>
      <modifiedWord/>
      <trackRevisions>false</trackRevisions>
    </reviewItem>
    <reviewItem>
      <errorID>33aa805e-3ac0-4e70-b018-456e29fec4d3</errorID>
      <errorWord>托滚</errorWord>
      <group>L1_Word</group>
      <groupName>字词问题</groupName>
      <ability>L2_Typo</ability>
      <abilityName>字词错误</abilityName>
      <candidateList>
        <item>托管</item>
      </candidateList>
      <explain>存在发音相近字词的误用。</explain>
      <paraID>743F7DE3</paraID>
      <start>123</start>
      <end>125</end>
      <status>unmodified</status>
      <modifiedWord/>
      <trackRevisions>false</trackRevisions>
    </reviewItem>
    <reviewItem>
      <errorID>9f24d034-0462-4411-a322-444c80718b9e</errorID>
      <errorWord>成份</errorWord>
      <group>L1_Knowledge</group>
      <groupName>知识性问题</groupName>
      <ability>L2_Knowledge</ability>
      <abilityName>其他知识</abilityName>
      <candidateList>
        <item>成分</item>
      </candidateList>
      <explain>（成份）chénɡ•fèn〈名〉❶指构成事物的各种不同的物质或因素：化学～｜营养～｜减轻了心里不安的～。❷指个人早先的主要经历或职业：工人～｜他的个人～是学生。</explain>
      <paraID>7E748AB2</paraID>
      <start>307</start>
      <end>309</end>
      <status>unmodified</status>
      <modifiedWord/>
      <trackRevisions>false</trackRevisions>
    </reviewItem>
    <reviewItem>
      <errorID>17195707-2f8c-4b4b-9b1a-b17f594e1e70</errorID>
      <errorWord>程</errorWord>
      <group>L1_Word</group>
      <groupName>字词问题</groupName>
      <ability>L2_Typo</ability>
      <abilityName>字词错误</abilityName>
      <candidateList>
        <item>程中</item>
      </candidateList>
      <explain/>
      <paraID>145AAB00</paraID>
      <start>56</start>
      <end>57</end>
      <status>unmodified</status>
      <modifiedWord/>
      <trackRevisions>false</trackRevisions>
    </reviewItem>
    <reviewItem>
      <errorID>18da69ac-a642-406f-a466-7a47d8f8f833</errorID>
      <errorWord>(</errorWord>
      <group>L1_Format</group>
      <groupName>格式问题</groupName>
      <ability>L2_HalfPunc</ability>
      <abilityName>全半角检查</abilityName>
      <candidateList>
        <item>（</item>
      </candidateList>
      <explain>文本全半角错误。</explain>
      <paraID>1650F2A7</paraID>
      <start>36</start>
      <end>37</end>
      <status>ignored</status>
      <modifiedWord/>
      <trackRevisions>false</trackRevisions>
    </reviewItem>
    <reviewItem>
      <errorID>a7bac1fc-ead8-4e03-8d9a-673cf947b104</errorID>
      <errorWord>)</errorWord>
      <group>L1_Format</group>
      <groupName>格式问题</groupName>
      <ability>L2_HalfPunc</ability>
      <abilityName>全半角检查</abilityName>
      <candidateList>
        <item>）</item>
      </candidateList>
      <explain>文本全半角错误。</explain>
      <paraID>1650F2A7</paraID>
      <start>49</start>
      <end>50</end>
      <status>ignored</status>
      <modifiedWord/>
      <trackRevisions>false</trackRevisions>
    </reviewItem>
    <reviewItem>
      <errorID>d0696cc8-7b57-4cec-a56e-88b30caf208e</errorID>
      <errorWord>)</errorWord>
      <group>L1_Format</group>
      <groupName>格式问题</groupName>
      <ability>L2_HalfPunc</ability>
      <abilityName>全半角检查</abilityName>
      <candidateList>
        <item>）</item>
      </candidateList>
      <explain>文本全半角错误。</explain>
      <paraID>1650F2A7</paraID>
      <start>86</start>
      <end>87</end>
      <status>ignored</status>
      <modifiedWord/>
      <trackRevisions>false</trackRevisions>
    </reviewItem>
    <reviewItem>
      <errorID>afe24e05-3ef7-43af-9606-2f91d7f4f0d3</errorID>
      <errorWord>)</errorWord>
      <group>L1_Format</group>
      <groupName>格式问题</groupName>
      <ability>L2_HalfPunc</ability>
      <abilityName>全半角检查</abilityName>
      <candidateList>
        <item>）</item>
      </candidateList>
      <explain>文本全半角错误。</explain>
      <paraID>1650F2A7</paraID>
      <start>118</start>
      <end>119</end>
      <status>ignored</status>
      <modifiedWord/>
      <trackRevisions>false</trackRevisions>
    </reviewItem>
    <reviewItem>
      <errorID>70c4765a-0e61-4a24-a0fb-9e5326d433d1</errorID>
      <errorWord>座</errorWord>
      <group>L1_Knowledge</group>
      <groupName>知识性问题</groupName>
      <ability>L2_Knowledge</ability>
      <abilityName>其他知识</abilityName>
      <candidateList>
        <item>口</item>
      </candidateList>
      <explain/>
      <paraID> 31B35CD</paraID>
      <start>6</start>
      <end>7</end>
      <status>unmodified</status>
      <modifiedWord/>
      <trackRevisions>false</trackRevisions>
    </reviewItem>
    <reviewItem>
      <errorID>8279b21d-4ee3-42a1-a5b9-f10ee29440b6</errorID>
      <errorWord>项目项目</errorWord>
      <group>L1_Word</group>
      <groupName>字词问题</groupName>
      <ability>L2_Typo</ability>
      <abilityName>字词错误</abilityName>
      <candidateList>
        <item>项目</item>
      </candidateList>
      <explain>〈名〉事物分成的门类：服务～｜体育～｜建设～。</explain>
      <paraID>3D77E01F</paraID>
      <start>1</start>
      <end>5</end>
      <status>unmodified</status>
      <modifiedWord/>
      <trackRevisions>false</trackRevisions>
    </reviewItem>
    <reviewItem>
      <errorID>c217c928-8c18-46f5-bcfd-f966331b6904</errorID>
      <errorWord>~</errorWord>
      <group>L1_Format</group>
      <groupName>格式问题</groupName>
      <ability>L2_HalfPunc</ability>
      <abilityName>全半角检查</abilityName>
      <candidateList>
        <item>～</item>
      </candidateList>
      <explain>文本全半角错误。</explain>
      <paraID>3D77E01F</paraID>
      <start>19</start>
      <end>20</end>
      <status>unmodified</status>
      <modifiedWord/>
      <trackRevisions>false</trackRevisions>
    </reviewItem>
    <reviewItem>
      <errorID>47f57ffa-b9b5-449a-8f32-ad051f2a6426</errorID>
      <errorWord>。；</errorWord>
      <group>L1_Punc</group>
      <groupName>标点问题</groupName>
      <ability>L2_Punc</ability>
      <abilityName>标点符号检查</abilityName>
      <candidateList>
        <item>。</item>
      </candidateList>
      <explain/>
      <paraID> EA6EE45</paraID>
      <start>79</start>
      <end>81</end>
      <status>unmodified</status>
      <modifiedWord/>
      <trackRevisions>false</trackRevisions>
    </reviewItem>
    <reviewItem>
      <errorID>74a14d62-0b5a-45c3-9e11-c94682f3736f</errorID>
      <errorWord>~</errorWord>
      <group>L1_Format</group>
      <groupName>格式问题</groupName>
      <ability>L2_HalfPunc</ability>
      <abilityName>全半角检查</abilityName>
      <candidateList>
        <item>～</item>
      </candidateList>
      <explain>文本全半角错误。</explain>
      <paraID>5FFDC863</paraID>
      <start>12</start>
      <end>13</end>
      <status>unmodified</status>
      <modifiedWord/>
      <trackRevisions>false</trackRevisions>
    </reviewItem>
    <reviewItem>
      <errorID>045d3861-da6f-4ba8-a685-6e0d6e6ab324</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182E2C26</paraID>
      <start>22</start>
      <end>24</end>
      <status>unmodified</status>
      <modifiedWord/>
      <trackRevisions>false</trackRevisions>
    </reviewItem>
    <reviewItem>
      <errorID>24d36a8a-3f84-405d-8ce4-c6ca9e056c61</errorID>
      <errorWord>新新</errorWord>
      <group>L1_Word</group>
      <groupName>字词问题</groupName>
      <ability>L2_Typo</ability>
      <abilityName>字词错误</abilityName>
      <candidateList>
        <item>新</item>
      </candidateList>
      <explain/>
      <paraID>418D4120</paraID>
      <start>6</start>
      <end>8</end>
      <status>unmodified</status>
      <modifiedWord/>
      <trackRevisions>false</trackRevisions>
    </reviewItem>
    <reviewItem>
      <errorID>7aeeb6e5-91bc-4749-a7d2-6df2c8a5d084</errorID>
      <errorWord>（</errorWord>
      <group>L1_Punc</group>
      <groupName>标点问题</groupName>
      <ability>L2_Punc</ability>
      <abilityName>标点符号检查</abilityName>
      <candidateList/>
      <explain/>
      <paraID>4524CBCE</paraID>
      <start>0</start>
      <end>1</end>
      <status>ignored</status>
      <modifiedWord/>
      <trackRevisions>false</trackRevisions>
    </reviewItem>
    <reviewItem>
      <errorID>e1ce6e9f-838f-472e-8eb2-48a6ded3b4a4</errorID>
      <errorWord>[2021]6号</errorWord>
      <group>L1_Knowledge</group>
      <groupName>知识性问题</groupName>
      <ability>L2_Knowledge</ability>
      <abilityName>其他知识</abilityName>
      <candidateList>
        <item>〔2021〕6号</item>
      </candidateList>
      <explain>发文字号格式错误。</explain>
      <paraID> E8049EF</paraID>
      <start>4</start>
      <end>12</end>
      <status>unmodified</status>
      <modifiedWord/>
      <trackRevisions>false</trackRevisions>
    </reviewItem>
    <reviewItem>
      <errorID>fc275891-fac3-4bdb-935f-313aecfb06c8</errorID>
      <errorWord>-</errorWord>
      <group>L1_Format</group>
      <groupName>格式问题</groupName>
      <ability>L2_HalfPunc</ability>
      <abilityName>全半角检查</abilityName>
      <candidateList>
        <item>－</item>
      </candidateList>
      <explain>文本全半角错误。</explain>
      <paraID>719BBE41</paraID>
      <start>28</start>
      <end>29</end>
      <status>unmodified</status>
      <modifiedWord/>
      <trackRevisions>false</trackRevisions>
    </reviewItem>
    <reviewItem>
      <errorID>d8bccb86-4734-45a5-99ca-b298692041e7</errorID>
      <errorWord>-</errorWord>
      <group>L1_Format</group>
      <groupName>格式问题</groupName>
      <ability>L2_HalfPunc</ability>
      <abilityName>全半角检查</abilityName>
      <candidateList>
        <item>－</item>
      </candidateList>
      <explain>文本全半角错误。</explain>
      <paraID> 8634454</paraID>
      <start>65</start>
      <end>66</end>
      <status>unmodified</status>
      <modifiedWord/>
      <trackRevisions>false</trackRevisions>
    </reviewItem>
    <reviewItem>
      <errorID>242218df-983d-4a79-9ae0-bdb5f24a42b2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8634454</paraID>
      <start>148</start>
      <end>149</end>
      <status>ignored</status>
      <modifiedWord/>
      <trackRevisions>false</trackRevisions>
    </reviewItem>
    <reviewItem>
      <errorID>59aa24d7-a891-4d56-a1aa-796ccb14a855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512196C9</paraID>
      <start>29</start>
      <end>30</end>
      <status>ignored</status>
      <modifiedWord/>
      <trackRevisions>false</trackRevisions>
    </reviewItem>
    <reviewItem>
      <errorID>875aa040-f5ee-46d2-a491-17333f387ecb</errorID>
      <errorWord>其它</errorWord>
      <group>L1_Word</group>
      <groupName>字词问题</groupName>
      <ability>L2_Alias</ability>
      <abilityName>也作/曾用词</abilityName>
      <candidateList>
        <item>其他</item>
      </candidateList>
      <explain>词汇[其它]为不规范表述或旧称，其规范书面表述为[其他]。</explain>
      <paraID>31CAE8AF</paraID>
      <start>79</start>
      <end>81</end>
      <status>unmodified</status>
      <modifiedWord/>
      <trackRevisions>false</trackRevisions>
    </reviewItem>
    <reviewItem>
      <errorID>89991267-6469-410c-9ca2-b57173f206e1</errorID>
      <errorWord>共为</errorWord>
      <group>L1_Word</group>
      <groupName>字词问题</groupName>
      <ability>L2_Typo</ability>
      <abilityName>字词错误</abilityName>
      <candidateList>
        <item>共</item>
      </candidateList>
      <explain/>
      <paraID>175A154F</paraID>
      <start>65</start>
      <end>67</end>
      <status>unmodified</status>
      <modifiedWord/>
      <trackRevisions>false</trackRevisions>
    </reviewItem>
    <reviewItem>
      <errorID>f4235101-c447-4d47-a5c0-60d1e44c1508</errorID>
      <errorWord>(</errorWord>
      <group>L1_Format</group>
      <groupName>格式问题</groupName>
      <ability>L2_HalfPunc</ability>
      <abilityName>全半角检查</abilityName>
      <candidateList>
        <item>（</item>
      </candidateList>
      <explain>文本全半角错误。</explain>
      <paraID>58DA57B0</paraID>
      <start>329</start>
      <end>330</end>
      <status>ignored</status>
      <modifiedWord/>
      <trackRevisions>false</trackRevisions>
    </reviewItem>
    <reviewItem>
      <errorID>cf740f34-c21b-43ea-a3d8-0dbdc51a17d6</errorID>
      <errorWord>)</errorWord>
      <group>L1_Format</group>
      <groupName>格式问题</groupName>
      <ability>L2_HalfPunc</ability>
      <abilityName>全半角检查</abilityName>
      <candidateList>
        <item>）</item>
      </candidateList>
      <explain>文本全半角错误。</explain>
      <paraID>58DA57B0</paraID>
      <start>332</start>
      <end>333</end>
      <status>ignored</status>
      <modifiedWord/>
      <trackRevisions>false</trackRevisions>
    </reviewItem>
    <reviewItem>
      <errorID>8d545a46-0d60-45aa-932f-5b135987098f</errorID>
      <errorWord>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34B95279</paraID>
      <start>54</start>
      <end>55</end>
      <status>unmodified</status>
      <modifiedWord/>
      <trackRevisions>false</trackRevisions>
    </reviewItem>
    <reviewItem>
      <errorID>82d5c8c9-6eec-446d-9b50-7aea30acfcd5</errorID>
      <errorWord>(</errorWord>
      <group>L1_Format</group>
      <groupName>格式问题</groupName>
      <ability>L2_HalfPunc</ability>
      <abilityName>全半角检查</abilityName>
      <candidateList>
        <item>（</item>
      </candidateList>
      <explain>文本全半角错误。</explain>
      <paraID>79B237DD</paraID>
      <start>147</start>
      <end>148</end>
      <status>ignored</status>
      <modifiedWord/>
      <trackRevisions>false</trackRevisions>
    </reviewItem>
    <reviewItem>
      <errorID>a684a8ac-e03c-4670-841d-5011bf53d4b0</errorID>
      <errorWord>)</errorWord>
      <group>L1_Format</group>
      <groupName>格式问题</groupName>
      <ability>L2_HalfPunc</ability>
      <abilityName>全半角检查</abilityName>
      <candidateList>
        <item>）</item>
      </candidateList>
      <explain>文本全半角错误。</explain>
      <paraID>79B237DD</paraID>
      <start>161</start>
      <end>162</end>
      <status>ignored</status>
      <modifiedWord/>
      <trackRevisions>false</trackRevisions>
    </reviewItem>
    <reviewItem>
      <errorID>64e7a218-9d7b-4540-aff7-72ec47e93780</errorID>
      <errorWord>-</errorWord>
      <group>L1_Format</group>
      <groupName>格式问题</groupName>
      <ability>L2_HalfPunc</ability>
      <abilityName>全半角检查</abilityName>
      <candidateList>
        <item>－</item>
      </candidateList>
      <explain>文本全半角错误。</explain>
      <paraID>64E18C09</paraID>
      <start>14</start>
      <end>15</end>
      <status>unmodified</status>
      <modifiedWord/>
      <trackRevisions>false</trackRevisions>
    </reviewItem>
    <reviewItem>
      <errorID>b6a62ee9-ef82-41b5-abce-d3c02b496728</errorID>
      <errorWord>-</errorWord>
      <group>L1_Format</group>
      <groupName>格式问题</groupName>
      <ability>L2_HalfPunc</ability>
      <abilityName>全半角检查</abilityName>
      <candidateList>
        <item>－</item>
      </candidateList>
      <explain>文本全半角错误。</explain>
      <paraID>64E18C09</paraID>
      <start>19</start>
      <end>20</end>
      <status>unmodified</status>
      <modifiedWord/>
      <trackRevisions>false</trackRevisions>
    </reviewItem>
    <reviewItem>
      <errorID>56865d88-8f9d-4758-bdb0-2a987621dae5</errorID>
      <errorWord>(</errorWord>
      <group>L1_Format</group>
      <groupName>格式问题</groupName>
      <ability>L2_HalfPunc</ability>
      <abilityName>全半角检查</abilityName>
      <candidateList>
        <item>（</item>
      </candidateList>
      <explain>文本全半角错误。</explain>
      <paraID>  2E2BC4</paraID>
      <start>187</start>
      <end>188</end>
      <status>ignored</status>
      <modifiedWord/>
      <trackRevisions>false</trackRevisions>
    </reviewItem>
    <reviewItem>
      <errorID>bb6880e2-99c3-47a5-aacc-3025c5ebd5b7</errorID>
      <errorWord>)</errorWord>
      <group>L1_Format</group>
      <groupName>格式问题</groupName>
      <ability>L2_HalfPunc</ability>
      <abilityName>全半角检查</abilityName>
      <candidateList>
        <item>）</item>
      </candidateList>
      <explain>文本全半角错误。</explain>
      <paraID>  2E2BC4</paraID>
      <start>202</start>
      <end>203</end>
      <status>ignored</status>
      <modifiedWord/>
      <trackRevisions>false</trackRevisions>
    </reviewItem>
    <reviewItem>
      <errorID>cfbabcb6-d159-4cab-80fe-9f114120bbf0</errorID>
      <errorWord>钻进</errorWord>
      <group>L1_Word</group>
      <groupName>字词问题</groupName>
      <ability>L2_Typo</ability>
      <abilityName>字词错误</abilityName>
      <candidateList>
        <item>钻井</item>
      </candidateList>
      <explain>存在发音相近字词的误用。</explain>
      <paraID>3495FC0F</paraID>
      <start>16</start>
      <end>18</end>
      <status>unmodified</status>
      <modifiedWord/>
      <trackRevisions>false</trackRevisions>
    </reviewItem>
    <reviewItem>
      <errorID>4d2a51c4-3b27-4c75-b30e-09a6ab2a3c93</errorID>
      <errorWord>后并</errorWord>
      <group>L1_Word</group>
      <groupName>字词问题</groupName>
      <ability>L2_Typo</ability>
      <abilityName>字词错误</abilityName>
      <candidateList>
        <item>后</item>
      </candidateList>
      <explain>❶君主的妻子：皇～｜～妃。❷古代称君主：商之先～。❸（Hòu）〈名〉姓。</explain>
      <paraID>368EB441</paraID>
      <start>39</start>
      <end>41</end>
      <status>unmodified</status>
      <modifiedWord/>
      <trackRevisions>false</trackRevisions>
    </reviewItem>
    <reviewItem>
      <errorID>364e3892-1e6c-4cb4-8686-7a75ae9d48c2</errorID>
      <errorWord>检测工作</errorWord>
      <group>L1_Word</group>
      <groupName>字词问题</groupName>
      <ability>L2_Typo</ability>
      <abilityName>字词错误</abilityName>
      <candidateList>
        <item>监测工作</item>
      </candidateList>
      <explain/>
      <paraID>58A4967B</paraID>
      <start>33</start>
      <end>37</end>
      <status>unmodified</status>
      <modifiedWord/>
      <trackRevisions>false</trackRevisions>
    </reviewItem>
    <reviewItem>
      <errorID>94be4de8-8264-4b63-aefe-1d116485e2fe</errorID>
      <errorWord>环空</errorWord>
      <group>L1_Word</group>
      <groupName>字词问题</groupName>
      <ability>L2_Typo</ability>
      <abilityName>字词错误</abilityName>
      <candidateList>
        <item>环孔</item>
      </candidateList>
      <explain>存在发音相同字词的误用。</explain>
      <paraID>54344DF2</paraID>
      <start>40</start>
      <end>42</end>
      <status>unmodified</status>
      <modifiedWord/>
      <trackRevisions>false</trackRevisions>
    </reviewItem>
    <reviewItem>
      <errorID>9bac07b8-d4b2-4b5e-8400-c904ebf1ee89</errorID>
      <errorWord>注入到</errorWord>
      <group>L1_Word</group>
      <groupName>字词问题</groupName>
      <ability>L2_Typo</ability>
      <abilityName>字词错误</abilityName>
      <candidateList>
        <item>注入</item>
      </candidateList>
      <explain/>
      <paraID>54344DF2</paraID>
      <start>166</start>
      <end>169</end>
      <status>unmodified</status>
      <modifiedWord/>
      <trackRevisions>false</trackRevisions>
    </reviewItem>
    <reviewItem>
      <errorID>11a08720-3ff5-4ee3-ba44-f9016a79ca1c</errorID>
      <errorWord>座</errorWord>
      <group>L1_Knowledge</group>
      <groupName>知识性问题</groupName>
      <ability>L2_Knowledge</ability>
      <abilityName>其他知识</abilityName>
      <candidateList>
        <item>口</item>
      </candidateList>
      <explain/>
      <paraID>54474985</paraID>
      <start>6</start>
      <end>7</end>
      <status>unmodified</status>
      <modifiedWord/>
      <trackRevisions>false</trackRevisions>
    </reviewItem>
    <reviewItem>
      <errorID>792ac658-8a0d-4289-acfd-26e6f2596b51</errorID>
      <errorWord>作好</errorWord>
      <group>L1_Word</group>
      <groupName>字词问题</groupName>
      <ability>L2_Typo</ability>
      <abilityName>字词错误</abilityName>
      <candidateList>
        <item>做好</item>
      </candidateList>
      <explain/>
      <paraID>7323D9CF</paraID>
      <start>145</start>
      <end>147</end>
      <status>unmodified</status>
      <modifiedWord/>
      <trackRevisions>false</trackRevisions>
    </reviewItem>
    <reviewItem>
      <errorID>f340568e-3de7-421a-9990-f0df287175d1</errorID>
      <errorWord>钢开</errorWord>
      <group>L1_Word</group>
      <groupName>字词问题</groupName>
      <ability>L2_Typo</ability>
      <abilityName>字词错误</abilityName>
      <candidateList>
        <item>钢筋</item>
      </candidateList>
      <explain/>
      <paraID>1987EF15</paraID>
      <start>1</start>
      <end>3</end>
      <status>unmodified</status>
      <modifiedWord/>
      <trackRevisions>false</trackRevisions>
    </reviewItem>
    <reviewItem>
      <errorID>a84335c4-50ff-4e85-8408-281039276071</errorID>
      <errorWord>钢开</errorWord>
      <group>L1_Word</group>
      <groupName>字词问题</groupName>
      <ability>L2_Typo</ability>
      <abilityName>字词错误</abilityName>
      <candidateList>
        <item>钢筋</item>
      </candidateList>
      <explain/>
      <paraID>6CBAA47F</paraID>
      <start>9</start>
      <end>11</end>
      <status>unmodified</status>
      <modifiedWord/>
      <trackRevisions>false</trackRevisions>
    </reviewItem>
    <reviewItem>
      <errorID>d78a0fa3-99b0-4721-b198-b527d342901c</errorID>
      <errorWord>托滚</errorWord>
      <group>L1_Word</group>
      <groupName>字词问题</groupName>
      <ability>L2_Typo</ability>
      <abilityName>字词错误</abilityName>
      <candidateList>
        <item>托管</item>
      </candidateList>
      <explain>存在发音相近字词的误用。</explain>
      <paraID> C11D3D7</paraID>
      <start>149</start>
      <end>151</end>
      <status>unmodified</status>
      <modifiedWord/>
      <trackRevisions>false</trackRevisions>
    </reviewItem>
    <reviewItem>
      <errorID>dd5b74d7-18b0-460e-80d7-f0a103e33569</errorID>
      <errorWord>成份</errorWord>
      <group>L1_Knowledge</group>
      <groupName>知识性问题</groupName>
      <ability>L2_Knowledge</ability>
      <abilityName>其他知识</abilityName>
      <candidateList>
        <item>成分</item>
      </candidateList>
      <explain>（成份）chénɡ•fèn〈名〉❶指构成事物的各种不同的物质或因素：化学～｜营养～｜减轻了心里不安的～。❷指个人早先的主要经历或职业：工人～｜他的个人～是学生。</explain>
      <paraID>7EDE7D36</paraID>
      <start>307</start>
      <end>309</end>
      <status>unmodified</status>
      <modifiedWord/>
      <trackRevisions>false</trackRevisions>
    </reviewItem>
    <reviewItem>
      <errorID>08349f76-dea7-4f7b-9582-6f75891e995c</errorID>
      <errorWord>程</errorWord>
      <group>L1_Word</group>
      <groupName>字词问题</groupName>
      <ability>L2_Typo</ability>
      <abilityName>字词错误</abilityName>
      <candidateList>
        <item>程中</item>
      </candidateList>
      <explain/>
      <paraID>62E11AF8</paraID>
      <start>56</start>
      <end>57</end>
      <status>unmodified</status>
      <modifiedWord/>
      <trackRevisions>false</trackRevisions>
    </reviewItem>
    <reviewItem>
      <errorID>cb8ac389-846d-4ffe-83ba-990997b2128b</errorID>
      <errorWord>(</errorWord>
      <group>L1_Format</group>
      <groupName>格式问题</groupName>
      <ability>L2_HalfPunc</ability>
      <abilityName>全半角检查</abilityName>
      <candidateList>
        <item>（</item>
      </candidateList>
      <explain>文本全半角错误。</explain>
      <paraID> 7DC8FA1</paraID>
      <start>36</start>
      <end>37</end>
      <status>ignored</status>
      <modifiedWord/>
      <trackRevisions>false</trackRevisions>
    </reviewItem>
    <reviewItem>
      <errorID>d350b496-b798-4679-80c6-5aaa2ad3d356</errorID>
      <errorWord>)</errorWord>
      <group>L1_Format</group>
      <groupName>格式问题</groupName>
      <ability>L2_HalfPunc</ability>
      <abilityName>全半角检查</abilityName>
      <candidateList>
        <item>）</item>
      </candidateList>
      <explain>文本全半角错误。</explain>
      <paraID> 7DC8FA1</paraID>
      <start>49</start>
      <end>50</end>
      <status>ignored</status>
      <modifiedWord/>
      <trackRevisions>false</trackRevisions>
    </reviewItem>
    <reviewItem>
      <errorID>2d04b7c4-80ed-4889-ac95-a345af3a870c</errorID>
      <errorWord>)</errorWord>
      <group>L1_Format</group>
      <groupName>格式问题</groupName>
      <ability>L2_HalfPunc</ability>
      <abilityName>全半角检查</abilityName>
      <candidateList>
        <item>）</item>
      </candidateList>
      <explain>文本全半角错误。</explain>
      <paraID> 7DC8FA1</paraID>
      <start>88</start>
      <end>89</end>
      <status>ignored</status>
      <modifiedWord/>
      <trackRevisions>false</trackRevisions>
    </reviewItem>
    <reviewItem>
      <errorID>e9826200-ac20-40d3-b073-4aca3536bc62</errorID>
      <errorWord>)</errorWord>
      <group>L1_Format</group>
      <groupName>格式问题</groupName>
      <ability>L2_HalfPunc</ability>
      <abilityName>全半角检查</abilityName>
      <candidateList>
        <item>）</item>
      </candidateList>
      <explain>文本全半角错误。</explain>
      <paraID> 7DC8FA1</paraID>
      <start>120</start>
      <end>121</end>
      <status>ignored</status>
      <modifiedWord/>
      <trackRevisions>false</trackRevisions>
    </reviewItem>
    <reviewItem>
      <errorID>82dc636f-c3e7-4190-b35a-ca99ca26d515</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 5695FA8</paraID>
      <start>27</start>
      <end>29</end>
      <status>unmodified</status>
      <modifiedWord/>
      <trackRevisions>false</trackRevisions>
    </reviewItem>
    <reviewItem>
      <errorID>e22c7134-749d-4303-970f-cf35e477ba52</errorID>
      <errorWord>推放</errorWord>
      <group>L1_Word</group>
      <groupName>字词问题</groupName>
      <ability>L2_Typo</ability>
      <abilityName>字词错误</abilityName>
      <candidateList>
        <item>堆放</item>
      </candidateList>
      <explain/>
      <paraID>3FF903B2</paraID>
      <start>47</start>
      <end>49</end>
      <status>unmodified</status>
      <modifiedWord/>
      <trackRevisions>false</trackRevisions>
    </reviewItem>
    <reviewItem>
      <errorID>bed93c4d-133d-4a0d-ac6b-95d1eb38e44f</errorID>
      <errorWord>其它</errorWord>
      <group>L1_Word</group>
      <groupName>字词问题</groupName>
      <ability>L2_Alias</ability>
      <abilityName>也作/曾用词</abilityName>
      <candidateList>
        <item>其他</item>
      </candidateList>
      <explain>词汇[其它]为不规范表述或旧称，其规范书面表述为[其他]。</explain>
      <paraID>3FF903B2</paraID>
      <start>107</start>
      <end>109</end>
      <status>unmodified</status>
      <modifiedWord/>
      <trackRevisions>false</trackRevisions>
    </reviewItem>
    <reviewItem>
      <errorID>6fbdfe17-29f6-4fac-a55d-694c373e385c</errorID>
      <errorWord>推放</errorWord>
      <group>L1_Word</group>
      <groupName>字词问题</groupName>
      <ability>L2_Typo</ability>
      <abilityName>字词错误</abilityName>
      <candidateList>
        <item>堆放</item>
      </candidateList>
      <explain/>
      <paraID>3FF903B2</paraID>
      <start>171</start>
      <end>173</end>
      <status>unmodified</status>
      <modifiedWord/>
      <trackRevisions>false</trackRevisions>
    </reviewItem>
    <reviewItem>
      <errorID>802ec6fa-7262-4a86-80cd-4053fd0c7e7f</errorID>
      <errorWord>推放</errorWord>
      <group>L1_Word</group>
      <groupName>字词问题</groupName>
      <ability>L2_Typo</ability>
      <abilityName>字词错误</abilityName>
      <candidateList>
        <item>堆放</item>
      </candidateList>
      <explain/>
      <paraID>3FF903B2</paraID>
      <start>198</start>
      <end>200</end>
      <status>unmodified</status>
      <modifiedWord/>
      <trackRevisions>false</trackRevisions>
    </reviewItem>
    <reviewItem>
      <errorID>7ff7691b-b725-455a-914d-cd91540b29c9</errorID>
      <errorWord>业</errorWord>
      <group>L1_Word</group>
      <groupName>字词问题</groupName>
      <ability>L2_Typo</ability>
      <abilityName>字词错误</abilityName>
      <candidateList>
        <item>业是</item>
      </candidateList>
      <explain/>
      <paraID>3EC54EF1</paraID>
      <start>149</start>
      <end>150</end>
      <status>unmodified</status>
      <modifiedWord/>
      <trackRevisions>false</trackRevisions>
    </reviewItem>
    <reviewItem>
      <errorID>9eb179b5-3ecc-4560-b686-2d87b658d9b4</errorID>
      <errorWord>期</errorWord>
      <group>L1_Word</group>
      <groupName>字词问题</groupName>
      <ability>L2_Typo</ability>
      <abilityName>字词错误</abilityName>
      <candidateList>
        <item>期间</item>
      </candidateList>
      <explain>〈名〉某个时期里面：农忙～｜春节～｜抗战～。</explain>
      <paraID>3BB1F7A9</paraID>
      <start>432</start>
      <end>433</end>
      <status>ignored</status>
      <modifiedWord/>
      <trackRevisions>false</trackRevisions>
    </reviewItem>
    <reviewItem>
      <errorID>4f343379-f889-46b4-98e4-0d047715e6cd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29BCFDEF</paraID>
      <start>11</start>
      <end>12</end>
      <status>unmodified</status>
      <modifiedWord/>
      <trackRevisions>false</trackRevisions>
    </reviewItem>
    <reviewItem>
      <errorID>fff370c8-97af-443d-8482-ccc665178aa0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1EE35354</paraID>
      <start>15</start>
      <end>16</end>
      <status>unmodified</status>
      <modifiedWord/>
      <trackRevisions>false</trackRevisions>
    </reviewItem>
    <reviewItem>
      <errorID>f6d73803-f45b-4350-9f30-67e7c792a94a</errorID>
      <errorWord>试过</errorWord>
      <group>L1_Word</group>
      <groupName>字词问题</groupName>
      <ability>L2_Typo</ability>
      <abilityName>字词错误</abilityName>
      <candidateList>
        <item>试工</item>
      </candidateList>
      <explain/>
      <paraID>7027A45B</paraID>
      <start>117</start>
      <end>119</end>
      <status>unmodified</status>
      <modifiedWord/>
      <trackRevisions>false</trackRevisions>
    </reviewItem>
    <reviewItem>
      <errorID>44dc12fd-75c6-4834-809a-c1cc23a09de5</errorID>
      <errorWord>面等</errorWord>
      <group>L1_Word</group>
      <groupName>字词问题</groupName>
      <ability>L2_Typo</ability>
      <abilityName>字词错误</abilityName>
      <candidateList>
        <item>面</item>
      </candidateList>
      <explain/>
      <paraID>3F3C382B</paraID>
      <start>14</start>
      <end>16</end>
      <status>unmodified</status>
      <modifiedWord/>
      <trackRevisions>false</trackRevisions>
    </reviewItem>
    <reviewItem>
      <errorID>f7b7841f-b0d3-4129-a2a7-5845740cf60c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3F3C382B</paraID>
      <start>60</start>
      <end>61</end>
      <status>ignored</status>
      <modifiedWord/>
      <trackRevisions>false</trackRevisions>
    </reviewItem>
    <reviewItem>
      <errorID>731eeb92-2611-4c04-9897-e4d82184ea57</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 16F6A08</paraID>
      <start>46</start>
      <end>48</end>
      <status>unmodified</status>
      <modifiedWord/>
      <trackRevisions>false</trackRevisions>
    </reviewItem>
    <reviewItem>
      <errorID>582db39c-dbc5-44aa-a3a9-3a838977687c</errorID>
      <errorWord>：</errorWord>
      <group>L1_Format</group>
      <groupName>格式问题</groupName>
      <ability>L2_HalfPunc</ability>
      <abilityName>全半角检查</abilityName>
      <candidateList>
        <item>:</item>
      </candidateList>
      <explain>文本全半角错误。</explain>
      <paraID>39B928C9</paraID>
      <start>160</start>
      <end>161</end>
      <status>unmodified</status>
      <modifiedWord/>
      <trackRevisions>false</trackRevisions>
    </reviewItem>
    <reviewItem>
      <errorID>44f16338-7b1f-416b-bb74-257ff05ce939</errorID>
      <errorWord>：</errorWord>
      <group>L1_Format</group>
      <groupName>格式问题</groupName>
      <ability>L2_HalfPunc</ability>
      <abilityName>全半角检查</abilityName>
      <candidateList>
        <item>:</item>
      </candidateList>
      <explain>文本全半角错误。</explain>
      <paraID>39B928C9</paraID>
      <start>214</start>
      <end>215</end>
      <status>unmodified</status>
      <modifiedWord/>
      <trackRevisions>false</trackRevisions>
    </reviewItem>
    <reviewItem>
      <errorID>38e24e84-50b6-47fc-8d93-d54ea0ab8642</errorID>
      <errorWord>后回注油层后回注油层</errorWord>
      <group>L1_Word</group>
      <groupName>字词问题</groupName>
      <ability>L2_Typo</ability>
      <abilityName>字词错误</abilityName>
      <candidateList>
        <item>后回注油层</item>
      </candidateList>
      <explain/>
      <paraID>17DA9C7B</paraID>
      <start>293</start>
      <end>303</end>
      <status>unmodified</status>
      <modifiedWord/>
      <trackRevisions>false</trackRevisions>
    </reviewItem>
    <reviewItem>
      <errorID>00df4d47-f07c-49dc-80e1-e98a1a7d6602</errorID>
      <errorWord>计</errorWord>
      <group>L1_Word</group>
      <groupName>字词问题</groupName>
      <ability>L2_Typo</ability>
      <abilityName>字词错误</abilityName>
      <candidateList>
        <item>计算</item>
      </candidateList>
      <explain/>
      <paraID>5CC5B4A0</paraID>
      <start>153</start>
      <end>154</end>
      <status>unmodified</status>
      <modifiedWord/>
      <trackRevisions>false</trackRevisions>
    </reviewItem>
    <reviewItem>
      <errorID>233ac5ed-1d1a-43d2-833d-00d09268d599</errorID>
      <errorWord>，则</errorWord>
      <group>L1_Word</group>
      <groupName>字词问题</groupName>
      <ability>L2_Typo</ability>
      <abilityName>字词错误</abilityName>
      <candidateList>
        <item>，</item>
      </candidateList>
      <explain/>
      <paraID>3BF32A67</paraID>
      <start>20</start>
      <end>22</end>
      <status>unmodified</status>
      <modifiedWord/>
      <trackRevisions>false</trackRevisions>
    </reviewItem>
    <reviewItem>
      <errorID>61492867-38a7-437e-9e09-3aa9df18c7ab</errorID>
      <errorWord>后回注油层后回注油层</errorWord>
      <group>L1_Word</group>
      <groupName>字词问题</groupName>
      <ability>L2_Typo</ability>
      <abilityName>字词错误</abilityName>
      <candidateList>
        <item>后回注油层</item>
      </candidateList>
      <explain/>
      <paraID>7C089EB4</paraID>
      <start>172</start>
      <end>182</end>
      <status>unmodified</status>
      <modifiedWord/>
      <trackRevisions>false</trackRevisions>
    </reviewItem>
    <reviewItem>
      <errorID>b77b4e60-502f-4c4d-b795-5b5ad306c6cf</errorID>
      <errorWord>要</errorWord>
      <group>L1_Word</group>
      <groupName>字词问题</groupName>
      <ability>L2_Typo</ability>
      <abilityName>字词错误</abilityName>
      <candidateList>
        <item>要是</item>
      </candidateList>
      <explain/>
      <paraID> 43125E3</paraID>
      <start>9</start>
      <end>10</end>
      <status>unmodified</status>
      <modifiedWord/>
      <trackRevisions>false</trackRevisions>
    </reviewItem>
    <reviewItem>
      <errorID>a536135f-a2ce-4ad1-a22c-56ceb206265e</errorID>
      <errorWord>～</errorWord>
      <group>L1_Format</group>
      <groupName>格式问题</groupName>
      <ability>L2_HalfPunc</ability>
      <abilityName>全半角检查</abilityName>
      <candidateList>
        <item>~</item>
      </candidateList>
      <explain>文本全半角错误。</explain>
      <paraID>5C6C8936</paraID>
      <start>2</start>
      <end>3</end>
      <status>unmodified</status>
      <modifiedWord/>
      <trackRevisions>false</trackRevisions>
    </reviewItem>
    <reviewItem>
      <errorID>cb6eabd2-5c57-45de-8e16-95b2bc054516</errorID>
      <errorWord>～</errorWord>
      <group>L1_Format</group>
      <groupName>格式问题</groupName>
      <ability>L2_HalfPunc</ability>
      <abilityName>全半角检查</abilityName>
      <candidateList>
        <item>~</item>
      </candidateList>
      <explain>文本全半角错误。</explain>
      <paraID> C798653</paraID>
      <start>2</start>
      <end>3</end>
      <status>unmodified</status>
      <modifiedWord/>
      <trackRevisions>false</trackRevisions>
    </reviewItem>
    <reviewItem>
      <errorID>3361934c-343e-43e9-a2e8-77c1c5f2b285</errorID>
      <errorWord>～</errorWord>
      <group>L1_Format</group>
      <groupName>格式问题</groupName>
      <ability>L2_HalfPunc</ability>
      <abilityName>全半角检查</abilityName>
      <candidateList>
        <item>~</item>
      </candidateList>
      <explain>文本全半角错误。</explain>
      <paraID>56863732</paraID>
      <start>2</start>
      <end>3</end>
      <status>unmodified</status>
      <modifiedWord/>
      <trackRevisions>false</trackRevisions>
    </reviewItem>
    <reviewItem>
      <errorID>7eb3cae1-dddd-48bb-85d8-2039c00d9a30</errorID>
      <errorWord>～</errorWord>
      <group>L1_Format</group>
      <groupName>格式问题</groupName>
      <ability>L2_HalfPunc</ability>
      <abilityName>全半角检查</abilityName>
      <candidateList>
        <item>~</item>
      </candidateList>
      <explain>文本全半角错误。</explain>
      <paraID>4E9DB145</paraID>
      <start>2</start>
      <end>3</end>
      <status>unmodified</status>
      <modifiedWord/>
      <trackRevisions>false</trackRevisions>
    </reviewItem>
    <reviewItem>
      <errorID>8e0ea77e-f0a2-4035-bffb-b005352c2808</errorID>
      <errorWord>风镐</errorWord>
      <group>L1_Word</group>
      <groupName>字词问题</groupName>
      <ability>L2_Typo</ability>
      <abilityName>字词错误</abilityName>
      <candidateList>
        <item>风雹</item>
      </candidateList>
      <explain/>
      <paraID>241A927F</paraID>
      <start>2</start>
      <end>4</end>
      <status>unmodified</status>
      <modifiedWord/>
      <trackRevisions>false</trackRevisions>
    </reviewItem>
    <reviewItem>
      <errorID>217b8ebc-54c1-4163-8809-4b1f58b04523</errorID>
      <errorWord>～</errorWord>
      <group>L1_Format</group>
      <groupName>格式问题</groupName>
      <ability>L2_HalfPunc</ability>
      <abilityName>全半角检查</abilityName>
      <candidateList>
        <item>~</item>
      </candidateList>
      <explain>文本全半角错误。</explain>
      <paraID>218EB5E5</paraID>
      <start>2</start>
      <end>3</end>
      <status>unmodified</status>
      <modifiedWord/>
      <trackRevisions>false</trackRevisions>
    </reviewItem>
    <reviewItem>
      <errorID>4d330f49-920a-4563-bde5-60ed9b6ce309</errorID>
      <errorWord>～</errorWord>
      <group>L1_Format</group>
      <groupName>格式问题</groupName>
      <ability>L2_HalfPunc</ability>
      <abilityName>全半角检查</abilityName>
      <candidateList>
        <item>~</item>
      </candidateList>
      <explain>文本全半角错误。</explain>
      <paraID>74E3341C</paraID>
      <start>2</start>
      <end>3</end>
      <status>unmodified</status>
      <modifiedWord/>
      <trackRevisions>false</trackRevisions>
    </reviewItem>
    <reviewItem>
      <errorID>e27a5824-ae1a-4f82-aac8-b3284c53a7db</errorID>
      <errorWord>～</errorWord>
      <group>L1_Format</group>
      <groupName>格式问题</groupName>
      <ability>L2_HalfPunc</ability>
      <abilityName>全半角检查</abilityName>
      <candidateList>
        <item>~</item>
      </candidateList>
      <explain>文本全半角错误。</explain>
      <paraID>31BB0F93</paraID>
      <start>2</start>
      <end>3</end>
      <status>unmodified</status>
      <modifiedWord/>
      <trackRevisions>false</trackRevisions>
    </reviewItem>
    <reviewItem>
      <errorID>4ca2760f-8fb6-4487-a332-f895a4c0b416</errorID>
      <errorWord>～</errorWord>
      <group>L1_Format</group>
      <groupName>格式问题</groupName>
      <ability>L2_HalfPunc</ability>
      <abilityName>全半角检查</abilityName>
      <candidateList>
        <item>~</item>
      </candidateList>
      <explain>文本全半角错误。</explain>
      <paraID>2E2BEA64</paraID>
      <start>2</start>
      <end>3</end>
      <status>unmodified</status>
      <modifiedWord/>
      <trackRevisions>false</trackRevisions>
    </reviewItem>
    <reviewItem>
      <errorID>d3cd1876-7875-4a6a-9ada-53c0b4b6a218</errorID>
      <errorWord>～</errorWord>
      <group>L1_Format</group>
      <groupName>格式问题</groupName>
      <ability>L2_HalfPunc</ability>
      <abilityName>全半角检查</abilityName>
      <candidateList>
        <item>~</item>
      </candidateList>
      <explain>文本全半角错误。</explain>
      <paraID>18D02B8C</paraID>
      <start>2</start>
      <end>3</end>
      <status>unmodified</status>
      <modifiedWord/>
      <trackRevisions>false</trackRevisions>
    </reviewItem>
    <reviewItem>
      <errorID>8c48d263-39a2-43da-806f-0cc35a17e8d6</errorID>
      <errorWord>～</errorWord>
      <group>L1_Format</group>
      <groupName>格式问题</groupName>
      <ability>L2_HalfPunc</ability>
      <abilityName>全半角检查</abilityName>
      <candidateList>
        <item>~</item>
      </candidateList>
      <explain>文本全半角错误。</explain>
      <paraID>575C9AD2</paraID>
      <start>2</start>
      <end>3</end>
      <status>unmodified</status>
      <modifiedWord/>
      <trackRevisions>false</trackRevisions>
    </reviewItem>
    <reviewItem>
      <errorID>88ee318e-8c56-4837-a503-abe12074a0bd</errorID>
      <errorWord>的</errorWord>
      <group>L1_Word</group>
      <groupName>字词问题</groupName>
      <ability>L2_Typo</ability>
      <abilityName>字词错误</abilityName>
      <candidateList>
        <item>的用</item>
      </candidateList>
      <explain/>
      <paraID>6D9EF280</paraID>
      <start>128</start>
      <end>129</end>
      <status>unmodified</status>
      <modifiedWord/>
      <trackRevisions>false</trackRevisions>
    </reviewItem>
    <reviewItem>
      <errorID>5a1b2e80-e522-4e0d-996b-c350a146de2d</errorID>
      <errorWord>，在</errorWord>
      <group>L1_Word</group>
      <groupName>字词问题</groupName>
      <ability>L2_Typo</ability>
      <abilityName>字词错误</abilityName>
      <candidateList>
        <item>，</item>
      </candidateList>
      <explain/>
      <paraID>7D2BAA6D</paraID>
      <start>154</start>
      <end>156</end>
      <status>unmodified</status>
      <modifiedWord/>
      <trackRevisions>false</trackRevisions>
    </reviewItem>
    <reviewItem>
      <errorID>db9bd79f-1a22-4321-8de3-53ebdc88e5c9</errorID>
      <errorWord>平</errorWord>
      <group>L1_Word</group>
      <groupName>字词问题</groupName>
      <ability>L2_Typo</ability>
      <abilityName>字词错误</abilityName>
      <candidateList>
        <item>平方</item>
      </candidateList>
      <explain/>
      <paraID>7D2BAA6D</paraID>
      <start>166</start>
      <end>167</end>
      <status>unmodified</status>
      <modifiedWord/>
      <trackRevisions>false</trackRevisions>
    </reviewItem>
    <reviewItem>
      <errorID>a540d503-7d04-4260-889a-d870d55199dd</errorID>
      <errorWord>程</errorWord>
      <group>L1_Word</group>
      <groupName>字词问题</groupName>
      <ability>L2_Typo</ability>
      <abilityName>字词错误</abilityName>
      <candidateList>
        <item>程中</item>
      </candidateList>
      <explain/>
      <paraID>5F35F330</paraID>
      <start>18</start>
      <end>19</end>
      <status>unmodified</status>
      <modifiedWord/>
      <trackRevisions>false</trackRevisions>
    </reviewItem>
    <reviewItem>
      <errorID>b350a256-d0ee-4506-b0d9-274d23494506</errorID>
      <errorWord>(</errorWord>
      <group>L1_Format</group>
      <groupName>格式问题</groupName>
      <ability>L2_HalfPunc</ability>
      <abilityName>全半角检查</abilityName>
      <candidateList>
        <item>（</item>
      </candidateList>
      <explain>文本全半角错误。</explain>
      <paraID>3982D593</paraID>
      <start>278</start>
      <end>279</end>
      <status>ignored</status>
      <modifiedWord/>
      <trackRevisions>false</trackRevisions>
    </reviewItem>
    <reviewItem>
      <errorID>f37d0f74-1d52-4a4b-91da-edbbcc8e4247</errorID>
      <errorWord>)</errorWord>
      <group>L1_Format</group>
      <groupName>格式问题</groupName>
      <ability>L2_HalfPunc</ability>
      <abilityName>全半角检查</abilityName>
      <candidateList>
        <item>）</item>
      </candidateList>
      <explain>文本全半角错误。</explain>
      <paraID>3982D593</paraID>
      <start>281</start>
      <end>282</end>
      <status>ignored</status>
      <modifiedWord/>
      <trackRevisions>false</trackRevisions>
    </reviewItem>
    <reviewItem>
      <errorID>78c6b71d-15c7-49bf-b33e-bfe9b10c8c8e</errorID>
      <errorWord>、以及</errorWord>
      <group>L1_Punc</group>
      <groupName>标点问题</groupName>
      <ability>L2_Punc</ability>
      <abilityName>标点符号检查</abilityName>
      <candidateList>
        <item>，以及</item>
      </candidateList>
      <explain>连接词前后不宜使用顿号，建议使用逗号。</explain>
      <paraID>68AD1E14</paraID>
      <start>46</start>
      <end>49</end>
      <status>unmodified</status>
      <modifiedWord/>
      <trackRevisions>false</trackRevisions>
    </reviewItem>
    <reviewItem>
      <errorID>eef47f9c-b672-4e1a-a6dc-184a036cbb9d</errorID>
      <errorWord>(</errorWord>
      <group>L1_Format</group>
      <groupName>格式问题</groupName>
      <ability>L2_HalfPunc</ability>
      <abilityName>全半角检查</abilityName>
      <candidateList>
        <item>（</item>
      </candidateList>
      <explain>文本全半角错误。</explain>
      <paraID>424D68D0</paraID>
      <start>19</start>
      <end>20</end>
      <status>ignored</status>
      <modifiedWord/>
      <trackRevisions>false</trackRevisions>
    </reviewItem>
    <reviewItem>
      <errorID>0f9be536-4e68-4a6c-b107-9747b4e6e19c</errorID>
      <errorWord>)</errorWord>
      <group>L1_Format</group>
      <groupName>格式问题</groupName>
      <ability>L2_HalfPunc</ability>
      <abilityName>全半角检查</abilityName>
      <candidateList>
        <item>）</item>
      </candidateList>
      <explain>文本全半角错误。</explain>
      <paraID>424D68D0</paraID>
      <start>26</start>
      <end>27</end>
      <status>ignored</status>
      <modifiedWord/>
      <trackRevisions>false</trackRevisions>
    </reviewItem>
    <reviewItem>
      <errorID>17b680d5-7e87-4b3f-8d61-c9c3e5fe8640</errorID>
      <errorWord>)</errorWord>
      <group>L1_Format</group>
      <groupName>格式问题</groupName>
      <ability>L2_HalfPunc</ability>
      <abilityName>全半角检查</abilityName>
      <candidateList>
        <item>）</item>
      </candidateList>
      <explain>文本全半角错误。</explain>
      <paraID>211A0309</paraID>
      <start>21</start>
      <end>22</end>
      <status>ignored</status>
      <modifiedWord/>
      <trackRevisions>false</trackRevisions>
    </reviewItem>
    <reviewItem>
      <errorID>ce29912d-fb4d-4434-a3ad-8c58711e61fb</errorID>
      <errorWord>-</errorWord>
      <group>L1_Format</group>
      <groupName>格式问题</groupName>
      <ability>L2_HalfPunc</ability>
      <abilityName>全半角检查</abilityName>
      <candidateList>
        <item>－</item>
      </candidateList>
      <explain>文本全半角错误。</explain>
      <paraID>1F6A5DB0</paraID>
      <start>3</start>
      <end>4</end>
      <status>unmodified</status>
      <modifiedWord/>
      <trackRevisions>false</trackRevisions>
    </reviewItem>
    <reviewItem>
      <errorID>0900ad52-3a30-4f0f-9dc5-5d4689a81059</errorID>
      <errorWord>中</errorWord>
      <group>L1_Knowledge</group>
      <groupName>知识性问题</groupName>
      <ability>L2_Knowledge</ability>
      <abilityName>其他知识</abilityName>
      <candidateList>
        <item>台</item>
      </candidateList>
      <explain/>
      <paraID>3C7B3560</paraID>
      <start>51</start>
      <end>52</end>
      <status>unmodified</status>
      <modifiedWord/>
      <trackRevisions>false</trackRevisions>
    </reviewItem>
    <reviewItem>
      <errorID>68995e94-b55b-4cc1-916a-67cac46273db</errorID>
      <errorWord>-</errorWord>
      <group>L1_Format</group>
      <groupName>格式问题</groupName>
      <ability>L2_HalfPunc</ability>
      <abilityName>全半角检查</abilityName>
      <candidateList>
        <item>－</item>
      </candidateList>
      <explain>文本全半角错误。</explain>
      <paraID>3C7B3560</paraID>
      <start>80</start>
      <end>81</end>
      <status>unmodified</status>
      <modifiedWord/>
      <trackRevisions>false</trackRevisions>
    </reviewItem>
    <reviewItem>
      <errorID>31769b7c-e624-41d9-9f4b-a39ade59f9f0</errorID>
      <errorWord>涉及到</errorWord>
      <group>L1_Grammar</group>
      <groupName>语法问题</groupName>
      <ability>L2_Grammar</ability>
      <abilityName>语法错误</abilityName>
      <candidateList>
        <item>涉及</item>
      </candidateList>
      <explain>〈动〉牵涉到；关联到：案子～好几个人｜这个问题～面很广。</explain>
      <paraID>5085165C</paraID>
      <start>9</start>
      <end>12</end>
      <status>unmodified</status>
      <modifiedWord/>
      <trackRevisions>false</trackRevisions>
    </reviewItem>
    <reviewItem>
      <errorID>33bad8db-1e8e-4ebe-8d70-2482385a3fb7</errorID>
      <errorWord>&lt;</errorWord>
      <group>L1_Format</group>
      <groupName>格式问题</groupName>
      <ability>L2_HalfPunc</ability>
      <abilityName>全半角检查</abilityName>
      <candidateList>
        <item>〈</item>
      </candidateList>
      <explain>文本全半角错误。</explain>
      <paraID>53A0B697</paraID>
      <start>2</start>
      <end>3</end>
      <status>unmodified</status>
      <modifiedWord/>
      <trackRevisions>false</trackRevisions>
    </reviewItem>
    <reviewItem>
      <errorID>0adcb4eb-799d-49cd-a60a-bf8148917c90</errorID>
      <errorWord>&gt;&gt;，</errorWord>
      <group>L1_Punc</group>
      <groupName>标点问题</groupName>
      <ability>L2_Punc</ability>
      <abilityName>标点符号检查</abilityName>
      <candidateList>
        <item>&gt;</item>
      </candidateList>
      <explain/>
      <paraID>53A0B697</paraID>
      <start>13</start>
      <end>16</end>
      <status>unmodified</status>
      <modifiedWord/>
      <trackRevisions>false</trackRevisions>
    </reviewItem>
    <reviewItem>
      <errorID>bebad00b-7687-4a11-97c3-cb8dadacdb6d</errorID>
      <errorWord>:</errorWord>
      <group>L1_Format</group>
      <groupName>格式问题</groupName>
      <ability>L2_HalfPunc</ability>
      <abilityName>全半角检查</abilityName>
      <candidateList>
        <item>：</item>
      </candidateList>
      <explain>文本全半角错误。</explain>
      <paraID>53A0B697</paraID>
      <start>33</start>
      <end>34</end>
      <status>unmodified</status>
      <modifiedWord/>
      <trackRevisions>false</trackRevisions>
    </reviewItem>
    <reviewItem>
      <errorID>900785a5-9890-469b-bfab-639852aac328</errorID>
      <errorWord>:</errorWord>
      <group>L1_Format</group>
      <groupName>格式问题</groupName>
      <ability>L2_HalfPunc</ability>
      <abilityName>全半角检查</abilityName>
      <candidateList>
        <item>：</item>
      </candidateList>
      <explain>文本全半角错误。</explain>
      <paraID>53A0B697</paraID>
      <start>38</start>
      <end>39</end>
      <status>unmodified</status>
      <modifiedWord/>
      <trackRevisions>false</trackRevisions>
    </reviewItem>
    <reviewItem>
      <errorID>62d6c865-eefe-4480-941f-80977f9497ad</errorID>
      <errorWord>（</errorWord>
      <group>L1_Format</group>
      <groupName>格式问题</groupName>
      <ability>L2_HalfPunc</ability>
      <abilityName>全半角检查</abilityName>
      <candidateList>
        <item>(</item>
      </candidateList>
      <explain>文本全半角错误。</explain>
      <paraID>3500D6C4</paraID>
      <start>11</start>
      <end>12</end>
      <status>unmodified</status>
      <modifiedWord/>
      <trackRevisions>false</trackRevisions>
    </reviewItem>
    <reviewItem>
      <errorID>64797fb2-fd21-4719-b35c-e5b2beb5cebf</errorID>
      <errorWord>（</errorWord>
      <group>L1_Format</group>
      <groupName>格式问题</groupName>
      <ability>L2_HalfPunc</ability>
      <abilityName>全半角检查</abilityName>
      <candidateList>
        <item>(</item>
      </candidateList>
      <explain>文本全半角错误。</explain>
      <paraID>3500D6C4</paraID>
      <start>14</start>
      <end>15</end>
      <status>unmodified</status>
      <modifiedWord/>
      <trackRevisions>false</trackRevisions>
    </reviewItem>
    <reviewItem>
      <errorID>15bf75f7-ad1a-4d79-a96a-a6b243dd279b</errorID>
      <errorWord>））</errorWord>
      <group>L1_Format</group>
      <groupName>格式问题</groupName>
      <ability>L2_HalfPunc</ability>
      <abilityName>全半角检查</abilityName>
      <candidateList>
        <item>))</item>
      </candidateList>
      <explain>文本全半角错误。</explain>
      <paraID>3500D6C4</paraID>
      <start>23</start>
      <end>25</end>
      <status>unmodified</status>
      <modifiedWord/>
      <trackRevisions>false</trackRevisions>
    </reviewItem>
    <reviewItem>
      <errorID>cf9efaa0-59a9-4703-8084-5baa547f8585</errorID>
      <errorWord>。</errorWord>
      <group>L1_Format</group>
      <groupName>格式问题</groupName>
      <ability>L2_HalfPunc</ability>
      <abilityName>全半角检查</abilityName>
      <candidateList>
        <item>.</item>
      </candidateList>
      <explain>文本全半角错误。</explain>
      <paraID>3500D6C4</paraID>
      <start>54</start>
      <end>55</end>
      <status>unmodified</status>
      <modifiedWord/>
      <trackRevisions>false</trackRevisions>
    </reviewItem>
    <reviewItem>
      <errorID>27741c6b-d257-40c2-8dec-c4c4c315b9a1</errorID>
      <errorWord>Kg</errorWord>
      <group>L1_Word</group>
      <groupName>字词问题</groupName>
      <ability>L2_Typo</ability>
      <abilityName>字词错误</abilityName>
      <candidateList>
        <item>kg</item>
      </candidateList>
      <explain/>
      <paraID>4924BA76</paraID>
      <start>17</start>
      <end>19</end>
      <status>unmodified</status>
      <modifiedWord/>
      <trackRevisions>false</trackRevisions>
    </reviewItem>
    <reviewItem>
      <errorID>7da72bac-fe4f-42e8-88c5-fffdd8bc5d85</errorID>
      <errorWord>蒸气</errorWord>
      <group>L1_Word</group>
      <groupName>字词问题</groupName>
      <ability>L2_Typo</ability>
      <abilityName>字词错误</abilityName>
      <candidateList>
        <item>蒸汽</item>
      </candidateList>
      <explain/>
      <paraID>769D91C1</paraID>
      <start>5</start>
      <end>7</end>
      <status>unmodified</status>
      <modifiedWord/>
      <trackRevisions>false</trackRevisions>
    </reviewItem>
    <reviewItem>
      <errorID>1ef1e274-7d54-40a8-8835-61e345dc583e</errorID>
      <errorWord>蒸气压力</errorWord>
      <group>L1_Word</group>
      <groupName>字词问题</groupName>
      <ability>L2_Typo</ability>
      <abilityName>字词错误</abilityName>
      <candidateList>
        <item>蒸汽压力</item>
      </candidateList>
      <explain/>
      <paraID>354D142F</paraID>
      <start>4</start>
      <end>8</end>
      <status>unmodified</status>
      <modifiedWord/>
      <trackRevisions>false</trackRevisions>
    </reviewItem>
    <reviewItem>
      <errorID>217c4378-8e2b-40c3-831b-7e959f8d223c</errorID>
      <errorWord>Kg</errorWord>
      <group>L1_Word</group>
      <groupName>字词问题</groupName>
      <ability>L2_Typo</ability>
      <abilityName>字词错误</abilityName>
      <candidateList>
        <item>kg</item>
      </candidateList>
      <explain/>
      <paraID>761072B2</paraID>
      <start>85</start>
      <end>87</end>
      <status>unmodified</status>
      <modifiedWord/>
      <trackRevisions>false</trackRevisions>
    </reviewItem>
    <reviewItem>
      <errorID>ad0f349e-1dfb-4229-b0bf-a84fd1f252aa</errorID>
      <errorWord>公示</errorWord>
      <group>L1_Word</group>
      <groupName>字词问题</groupName>
      <ability>L2_Typo</ability>
      <abilityName>字词错误</abilityName>
      <candidateList>
        <item>公式</item>
      </candidateList>
      <explain/>
      <paraID>6AC3CDBC</paraID>
      <start>5</start>
      <end>7</end>
      <status>unmodified</status>
      <modifiedWord/>
      <trackRevisions>false</trackRevisions>
    </reviewItem>
    <reviewItem>
      <errorID>5c1f8a05-25a2-41af-bbf8-f5cf5175d0f8</errorID>
      <errorWord>。</errorWord>
      <group>L1_Format</group>
      <groupName>格式问题</groupName>
      <ability>L2_HalfPunc</ability>
      <abilityName>全半角检查</abilityName>
      <candidateList>
        <item>.</item>
      </candidateList>
      <explain>文本全半角错误。</explain>
      <paraID>7C7F173D</paraID>
      <start>20</start>
      <end>21</end>
      <status>unmodified</status>
      <modifiedWord/>
      <trackRevisions>false</trackRevisions>
    </reviewItem>
    <reviewItem>
      <errorID>af5a1af7-3609-4ea2-a05b-923f0db825a2</errorID>
      <errorWord>Kg</errorWord>
      <group>L1_Word</group>
      <groupName>字词问题</groupName>
      <ability>L2_Typo</ability>
      <abilityName>字词错误</abilityName>
      <candidateList>
        <item>kg</item>
      </candidateList>
      <explain/>
      <paraID>18A77202</paraID>
      <start>18</start>
      <end>20</end>
      <status>unmodified</status>
      <modifiedWord/>
      <trackRevisions>false</trackRevisions>
    </reviewItem>
    <reviewItem>
      <errorID>04fb6098-781f-45a0-8a22-2800ba5c05bc</errorID>
      <errorWord>。</errorWord>
      <group>L1_Format</group>
      <groupName>格式问题</groupName>
      <ability>L2_HalfPunc</ability>
      <abilityName>全半角检查</abilityName>
      <candidateList>
        <item>.</item>
      </candidateList>
      <explain>文本全半角错误。</explain>
      <paraID>18A77202</paraID>
      <start>22</start>
      <end>23</end>
      <status>unmodified</status>
      <modifiedWord/>
      <trackRevisions>false</trackRevisions>
    </reviewItem>
    <reviewItem>
      <errorID>6ea2ef60-0b9e-449d-97a5-6179dfc1f75e</errorID>
      <errorWord>)</errorWord>
      <group>L1_Format</group>
      <groupName>格式问题</groupName>
      <ability>L2_HalfPunc</ability>
      <abilityName>全半角检查</abilityName>
      <candidateList>
        <item>）</item>
      </candidateList>
      <explain>文本全半角错误。</explain>
      <paraID>5F9AA5E6</paraID>
      <start>12</start>
      <end>13</end>
      <status>ignored</status>
      <modifiedWord/>
      <trackRevisions>false</trackRevisions>
    </reviewItem>
    <reviewItem>
      <errorID>06ee54be-ed3b-402a-a20a-3c2c45948d10</errorID>
      <errorWord>～</errorWord>
      <group>L1_Format</group>
      <groupName>格式问题</groupName>
      <ability>L2_HalfPunc</ability>
      <abilityName>全半角检查</abilityName>
      <candidateList>
        <item>~</item>
      </candidateList>
      <explain>文本全半角错误。</explain>
      <paraID> BC1B649</paraID>
      <start>2</start>
      <end>3</end>
      <status>unmodified</status>
      <modifiedWord/>
      <trackRevisions>false</trackRevisions>
    </reviewItem>
    <reviewItem>
      <errorID>53cbde97-a05c-48b3-a335-d487ef342897</errorID>
      <errorWord>～</errorWord>
      <group>L1_Format</group>
      <groupName>格式问题</groupName>
      <ability>L2_HalfPunc</ability>
      <abilityName>全半角检查</abilityName>
      <candidateList>
        <item>~</item>
      </candidateList>
      <explain>文本全半角错误。</explain>
      <paraID>54C94343</paraID>
      <start>2</start>
      <end>3</end>
      <status>unmodified</status>
      <modifiedWord/>
      <trackRevisions>false</trackRevisions>
    </reviewItem>
    <reviewItem>
      <errorID>f0fd73b0-e6c9-4b2f-bdb3-6a599d654430</errorID>
      <errorWord>中的中的</errorWord>
      <group>L1_Word</group>
      <groupName>字词问题</groupName>
      <ability>L2_Typo</ability>
      <abilityName>字词错误</abilityName>
      <candidateList>
        <item>中的</item>
      </candidateList>
      <explain>〈动〉射中靶心，比喻点明要害：一语～。</explain>
      <paraID>5AC25D5D</paraID>
      <start>202</start>
      <end>206</end>
      <status>unmodified</status>
      <modifiedWord/>
      <trackRevisions>false</trackRevisions>
    </reviewItem>
    <reviewItem>
      <errorID>8a8afb20-e747-4c15-98fe-40ac4de3d97a</errorID>
      <errorWord>中的中的</errorWord>
      <group>L1_Word</group>
      <groupName>字词问题</groupName>
      <ability>L2_Typo</ability>
      <abilityName>字词错误</abilityName>
      <candidateList>
        <item>中的</item>
      </candidateList>
      <explain>〈动〉射中靶心，比喻点明要害：一语～。</explain>
      <paraID>7DB187F1</paraID>
      <start>331</start>
      <end>335</end>
      <status>unmodified</status>
      <modifiedWord/>
      <trackRevisions>false</trackRevisions>
    </reviewItem>
    <reviewItem>
      <errorID>f34dbf63-a64c-4e62-a22b-9c4ce106f9a6</errorID>
      <errorWord>、</errorWord>
      <group>L1_Punc</group>
      <groupName>标点问题</groupName>
      <ability>L2_Punc</ability>
      <abilityName>标点符号检查</abilityName>
      <candidateList>
        <item>.</item>
      </candidateList>
      <explain/>
      <paraID>3960241A</paraID>
      <start>1</start>
      <end>2</end>
      <status>unmodified</status>
      <modifiedWord/>
      <trackRevisions>false</trackRevisions>
    </reviewItem>
    <reviewItem>
      <errorID>00e7aef7-3ad4-4619-b08e-7e9031e97a90</errorID>
      <errorWord>~</errorWord>
      <group>L1_Format</group>
      <groupName>格式问题</groupName>
      <ability>L2_HalfPunc</ability>
      <abilityName>全半角检查</abilityName>
      <candidateList>
        <item>～</item>
      </candidateList>
      <explain>文本全半角错误。</explain>
      <paraID>32B45B00</paraID>
      <start>74</start>
      <end>75</end>
      <status>unmodified</status>
      <modifiedWord/>
      <trackRevisions>false</trackRevisions>
    </reviewItem>
    <reviewItem>
      <errorID>3bb63577-e346-44ed-aa2f-9aa8dab07fea</errorID>
      <errorWord>：</errorWord>
      <group>L1_Format</group>
      <groupName>格式问题</groupName>
      <ability>L2_HalfPunc</ability>
      <abilityName>全半角检查</abilityName>
      <candidateList>
        <item>:</item>
      </candidateList>
      <explain>文本全半角错误。</explain>
      <paraID>32B45B00</paraID>
      <start>211</start>
      <end>212</end>
      <status>unmodified</status>
      <modifiedWord/>
      <trackRevisions>false</trackRevisions>
    </reviewItem>
    <reviewItem>
      <errorID>713cda98-accc-48da-b53a-4c368d0405a5</errorID>
      <errorWord>：</errorWord>
      <group>L1_Format</group>
      <groupName>格式问题</groupName>
      <ability>L2_HalfPunc</ability>
      <abilityName>全半角检查</abilityName>
      <candidateList>
        <item>:</item>
      </candidateList>
      <explain>文本全半角错误。</explain>
      <paraID>32B45B00</paraID>
      <start>266</start>
      <end>267</end>
      <status>unmodified</status>
      <modifiedWord/>
      <trackRevisions>false</trackRevisions>
    </reviewItem>
    <reviewItem>
      <errorID>922a61f1-df05-4825-98f1-af9826fad47c</errorID>
      <errorWord>)</errorWord>
      <group>L1_Format</group>
      <groupName>格式问题</groupName>
      <ability>L2_HalfPunc</ability>
      <abilityName>全半角检查</abilityName>
      <candidateList>
        <item>）</item>
      </candidateList>
      <explain>文本全半角错误。</explain>
      <paraID>58FE904F</paraID>
      <start>12</start>
      <end>13</end>
      <status>ignored</status>
      <modifiedWord/>
      <trackRevisions>false</trackRevisions>
    </reviewItem>
    <reviewItem>
      <errorID>d93ca284-9bf6-4633-925a-9403e3dbe77d</errorID>
      <errorWord>～</errorWord>
      <group>L1_Format</group>
      <groupName>格式问题</groupName>
      <ability>L2_HalfPunc</ability>
      <abilityName>全半角检查</abilityName>
      <candidateList>
        <item>~</item>
      </candidateList>
      <explain>文本全半角错误。</explain>
      <paraID>7F8EE824</paraID>
      <start>2</start>
      <end>3</end>
      <status>unmodified</status>
      <modifiedWord/>
      <trackRevisions>false</trackRevisions>
    </reviewItem>
    <reviewItem>
      <errorID>1ef45fd4-3c9c-4a5b-b7c3-622f0a181ef1</errorID>
      <errorWord>～</errorWord>
      <group>L1_Format</group>
      <groupName>格式问题</groupName>
      <ability>L2_HalfPunc</ability>
      <abilityName>全半角检查</abilityName>
      <candidateList>
        <item>~</item>
      </candidateList>
      <explain>文本全半角错误。</explain>
      <paraID>4E30EA36</paraID>
      <start>2</start>
      <end>3</end>
      <status>unmodified</status>
      <modifiedWord/>
      <trackRevisions>false</trackRevisions>
    </reviewItem>
    <reviewItem>
      <errorID>ea5b8a4f-6d59-42a7-9059-664db00f09ec</errorID>
      <errorWord>～</errorWord>
      <group>L1_Format</group>
      <groupName>格式问题</groupName>
      <ability>L2_HalfPunc</ability>
      <abilityName>全半角检查</abilityName>
      <candidateList>
        <item>~</item>
      </candidateList>
      <explain>文本全半角错误。</explain>
      <paraID>3A02F773</paraID>
      <start>2</start>
      <end>3</end>
      <status>unmodified</status>
      <modifiedWord/>
      <trackRevisions>false</trackRevisions>
    </reviewItem>
    <reviewItem>
      <errorID>ccdf7c56-39a8-40ff-a047-5ef946341743</errorID>
      <errorWord>尾气在</errorWord>
      <group>L1_Word</group>
      <groupName>字词问题</groupName>
      <ability>L2_Typo</ability>
      <abilityName>字词错误</abilityName>
      <candidateList>
        <item>尾气</item>
      </candidateList>
      <explain/>
      <paraID>433877A6</paraID>
      <start>32</start>
      <end>35</end>
      <status>unmodified</status>
      <modifiedWord/>
      <trackRevisions>false</trackRevisions>
    </reviewItem>
    <reviewItem>
      <errorID>87d8ae8c-b802-436b-ae59-c13046bbb2f0</errorID>
      <errorWord>~</errorWord>
      <group>L1_Format</group>
      <groupName>格式问题</groupName>
      <ability>L2_HalfPunc</ability>
      <abilityName>全半角检查</abilityName>
      <candidateList>
        <item>～</item>
      </candidateList>
      <explain>文本全半角错误。</explain>
      <paraID>689386C2</paraID>
      <start>31</start>
      <end>32</end>
      <status>unmodified</status>
      <modifiedWord/>
      <trackRevisions>false</trackRevisions>
    </reviewItem>
    <reviewItem>
      <errorID>2a2416d0-a6ee-4568-aba6-4c16089f2c48</errorID>
      <errorWord>~</errorWord>
      <group>L1_Format</group>
      <groupName>格式问题</groupName>
      <ability>L2_HalfPunc</ability>
      <abilityName>全半角检查</abilityName>
      <candidateList>
        <item>～</item>
      </candidateList>
      <explain>文本全半角错误。</explain>
      <paraID>689386C2</paraID>
      <start>69</start>
      <end>70</end>
      <status>unmodified</status>
      <modifiedWord/>
      <trackRevisions>false</trackRevisions>
    </reviewItem>
    <reviewItem>
      <errorID>5ae4edd9-4131-450c-b77a-54a1f63775ed</errorID>
      <errorWord>~</errorWord>
      <group>L1_Format</group>
      <groupName>格式问题</groupName>
      <ability>L2_HalfPunc</ability>
      <abilityName>全半角检查</abilityName>
      <candidateList>
        <item>～</item>
      </candidateList>
      <explain>文本全半角错误。</explain>
      <paraID>689386C2</paraID>
      <start>107</start>
      <end>108</end>
      <status>unmodified</status>
      <modifiedWord/>
      <trackRevisions>false</trackRevisions>
    </reviewItem>
    <reviewItem>
      <errorID>3de5595a-d3b9-438f-963f-6b2550069d82</errorID>
      <errorWord>固</errorWord>
      <group>L1_Word</group>
      <groupName>字词问题</groupName>
      <ability>L2_Typo</ability>
      <abilityName>字词错误</abilityName>
      <candidateList>
        <item>故</item>
      </candidateList>
      <explain/>
      <paraID>76794484</paraID>
      <start>21</start>
      <end>22</end>
      <status>unmodified</status>
      <modifiedWord/>
      <trackRevisions>false</trackRevisions>
    </reviewItem>
    <reviewItem>
      <errorID>5d3008c1-1d73-4539-8223-6c409781d2f1</errorID>
      <errorWord>试压</errorWord>
      <group>L1_Word</group>
      <groupName>字词问题</groupName>
      <ability>L2_Typo</ability>
      <abilityName>字词错误</abilityName>
      <candidateList>
        <item>试验</item>
      </candidateList>
      <explain/>
      <paraID>78522411</paraID>
      <start>0</start>
      <end>2</end>
      <status>unmodified</status>
      <modifiedWord/>
      <trackRevisions>false</trackRevisions>
    </reviewItem>
    <reviewItem>
      <errorID>fb3c86bb-4a27-402f-9eaa-c46ff8e2111b</errorID>
      <errorWord>（</errorWord>
      <group>L1_Format</group>
      <groupName>格式问题</groupName>
      <ability>L2_HalfPunc</ability>
      <abilityName>全半角检查</abilityName>
      <candidateList>
        <item>(</item>
      </candidateList>
      <explain>文本全半角错误。</explain>
      <paraID>6990ABCB</paraID>
      <start>2</start>
      <end>3</end>
      <status>unmodified</status>
      <modifiedWord/>
      <trackRevisions>false</trackRevisions>
    </reviewItem>
    <reviewItem>
      <errorID>54f2b470-e366-4b1a-be88-0c1c229b6cb8</errorID>
      <errorWord>）</errorWord>
      <group>L1_Format</group>
      <groupName>格式问题</groupName>
      <ability>L2_HalfPunc</ability>
      <abilityName>全半角检查</abilityName>
      <candidateList>
        <item>)</item>
      </candidateList>
      <explain>文本全半角错误。</explain>
      <paraID>6990ABCB</paraID>
      <start>4</start>
      <end>5</end>
      <status>unmodified</status>
      <modifiedWord/>
      <trackRevisions>false</trackRevisions>
    </reviewItem>
    <reviewItem>
      <errorID>e991e3e2-15e2-4e10-b8c8-9f660f78fab3</errorID>
      <errorWord>（</errorWord>
      <group>L1_Format</group>
      <groupName>格式问题</groupName>
      <ability>L2_HalfPunc</ability>
      <abilityName>全半角检查</abilityName>
      <candidateList>
        <item>(</item>
      </candidateList>
      <explain>文本全半角错误。</explain>
      <paraID>42495F71</paraID>
      <start>2</start>
      <end>3</end>
      <status>unmodified</status>
      <modifiedWord/>
      <trackRevisions>false</trackRevisions>
    </reviewItem>
    <reviewItem>
      <errorID>fdc87288-61f2-4ad8-aba9-f21409b506fb</errorID>
      <errorWord>）</errorWord>
      <group>L1_Format</group>
      <groupName>格式问题</groupName>
      <ability>L2_HalfPunc</ability>
      <abilityName>全半角检查</abilityName>
      <candidateList>
        <item>)</item>
      </candidateList>
      <explain>文本全半角错误。</explain>
      <paraID>42495F71</paraID>
      <start>4</start>
      <end>5</end>
      <status>unmodified</status>
      <modifiedWord/>
      <trackRevisions>false</trackRevisions>
    </reviewItem>
    <reviewItem>
      <errorID>c996be93-df9c-4415-a73a-10bc6444a7fa</errorID>
      <errorWord>措</errorWord>
      <group>L1_Word</group>
      <groupName>字词问题</groupName>
      <ability>L2_Typo</ability>
      <abilityName>字词错误</abilityName>
      <candidateList>
        <item>措施</item>
      </candidateList>
      <explain>〈名〉针对某种情况而采取的处理办法（用于较大的事情）：计划已经订出，～应该跟上。</explain>
      <paraID>5C2998D1</paraID>
      <start>18</start>
      <end>19</end>
      <status>unmodified</status>
      <modifiedWord/>
      <trackRevisions>false</trackRevisions>
    </reviewItem>
    <reviewItem>
      <errorID>ed4fd274-db93-48d4-bce3-d1b7bb6dea4f</errorID>
      <errorWord>～</errorWord>
      <group>L1_Format</group>
      <groupName>格式问题</groupName>
      <ability>L2_HalfPunc</ability>
      <abilityName>全半角检查</abilityName>
      <candidateList>
        <item>~</item>
      </candidateList>
      <explain>文本全半角错误。</explain>
      <paraID>1C3B88D9</paraID>
      <start>2</start>
      <end>3</end>
      <status>unmodified</status>
      <modifiedWord/>
      <trackRevisions>false</trackRevisions>
    </reviewItem>
    <reviewItem>
      <errorID>9b14e98c-bef0-4217-a695-9ae5a1938956</errorID>
      <errorWord>～</errorWord>
      <group>L1_Format</group>
      <groupName>格式问题</groupName>
      <ability>L2_HalfPunc</ability>
      <abilityName>全半角检查</abilityName>
      <candidateList>
        <item>~</item>
      </candidateList>
      <explain>文本全半角错误。</explain>
      <paraID>1615C24E</paraID>
      <start>2</start>
      <end>3</end>
      <status>unmodified</status>
      <modifiedWord/>
      <trackRevisions>false</trackRevisions>
    </reviewItem>
    <reviewItem>
      <errorID>5a9494a7-66be-4216-bb22-82039bb3bf51</errorID>
      <errorWord>～</errorWord>
      <group>L1_Format</group>
      <groupName>格式问题</groupName>
      <ability>L2_HalfPunc</ability>
      <abilityName>全半角检查</abilityName>
      <candidateList>
        <item>~</item>
      </candidateList>
      <explain>文本全半角错误。</explain>
      <paraID>1B35D6D2</paraID>
      <start>2</start>
      <end>3</end>
      <status>unmodified</status>
      <modifiedWord/>
      <trackRevisions>false</trackRevisions>
    </reviewItem>
    <reviewItem>
      <errorID>4c4d56ed-7558-4171-9c2e-191261cd164d</errorID>
      <errorWord>～</errorWord>
      <group>L1_Format</group>
      <groupName>格式问题</groupName>
      <ability>L2_HalfPunc</ability>
      <abilityName>全半角检查</abilityName>
      <candidateList>
        <item>~</item>
      </candidateList>
      <explain>文本全半角错误。</explain>
      <paraID>2AEB5E56</paraID>
      <start>2</start>
      <end>3</end>
      <status>unmodified</status>
      <modifiedWord/>
      <trackRevisions>false</trackRevisions>
    </reviewItem>
    <reviewItem>
      <errorID>71233796-13b1-4ee4-b661-f80bd9419dee</errorID>
      <errorWord>./</errorWord>
      <group>L1_Punc</group>
      <groupName>标点问题</groupName>
      <ability>L2_Punc</ability>
      <abilityName>标点符号检查</abilityName>
      <candidateList>
        <item>.</item>
      </candidateList>
      <explain/>
      <paraID>11D6526A</paraID>
      <start>0</start>
      <end>2</end>
      <status>unmodified</status>
      <modifiedWord/>
      <trackRevisions>false</trackRevisions>
    </reviewItem>
    <reviewItem>
      <errorID>2cc53561-6767-40b6-bacb-7c1610fcda35</errorID>
      <errorWord>～</errorWord>
      <group>L1_Format</group>
      <groupName>格式问题</groupName>
      <ability>L2_HalfPunc</ability>
      <abilityName>全半角检查</abilityName>
      <candidateList>
        <item>~</item>
      </candidateList>
      <explain>文本全半角错误。</explain>
      <paraID>565BFC74</paraID>
      <start>2</start>
      <end>3</end>
      <status>unmodified</status>
      <modifiedWord/>
      <trackRevisions>false</trackRevisions>
    </reviewItem>
    <reviewItem>
      <errorID>aa763531-3e3e-4919-9ac0-7b72c97a8e61</errorID>
      <errorWord>～</errorWord>
      <group>L1_Format</group>
      <groupName>格式问题</groupName>
      <ability>L2_HalfPunc</ability>
      <abilityName>全半角检查</abilityName>
      <candidateList>
        <item>~</item>
      </candidateList>
      <explain>文本全半角错误。</explain>
      <paraID> 712487C</paraID>
      <start>2</start>
      <end>3</end>
      <status>unmodified</status>
      <modifiedWord/>
      <trackRevisions>false</trackRevisions>
    </reviewItem>
    <reviewItem>
      <errorID>555de7a5-a43a-433f-ab6f-c124eb100bb6</errorID>
      <errorWord>～</errorWord>
      <group>L1_Format</group>
      <groupName>格式问题</groupName>
      <ability>L2_HalfPunc</ability>
      <abilityName>全半角检查</abilityName>
      <candidateList>
        <item>~</item>
      </candidateList>
      <explain>文本全半角错误。</explain>
      <paraID>7F8FBFAC</paraID>
      <start>2</start>
      <end>3</end>
      <status>unmodified</status>
      <modifiedWord/>
      <trackRevisions>false</trackRevisions>
    </reviewItem>
    <reviewItem>
      <errorID>1449ce98-2ff3-4c16-884f-b36fdedca01b</errorID>
      <errorWord>～</errorWord>
      <group>L1_Format</group>
      <groupName>格式问题</groupName>
      <ability>L2_HalfPunc</ability>
      <abilityName>全半角检查</abilityName>
      <candidateList>
        <item>~</item>
      </candidateList>
      <explain>文本全半角错误。</explain>
      <paraID>5E683514</paraID>
      <start>2</start>
      <end>3</end>
      <status>unmodified</status>
      <modifiedWord/>
      <trackRevisions>false</trackRevisions>
    </reviewItem>
    <reviewItem>
      <errorID>6e134cba-b227-410b-be85-f075ba2893d3</errorID>
      <errorWord>～</errorWord>
      <group>L1_Format</group>
      <groupName>格式问题</groupName>
      <ability>L2_HalfPunc</ability>
      <abilityName>全半角检查</abilityName>
      <candidateList>
        <item>~</item>
      </candidateList>
      <explain>文本全半角错误。</explain>
      <paraID>77BD1085</paraID>
      <start>2</start>
      <end>3</end>
      <status>unmodified</status>
      <modifiedWord/>
      <trackRevisions>false</trackRevisions>
    </reviewItem>
    <reviewItem>
      <errorID>e62ae946-1a79-4242-ba98-edfdb109282c</errorID>
      <errorWord>～</errorWord>
      <group>L1_Format</group>
      <groupName>格式问题</groupName>
      <ability>L2_HalfPunc</ability>
      <abilityName>全半角检查</abilityName>
      <candidateList>
        <item>~</item>
      </candidateList>
      <explain>文本全半角错误。</explain>
      <paraID>59C0CE64</paraID>
      <start>2</start>
      <end>3</end>
      <status>unmodified</status>
      <modifiedWord/>
      <trackRevisions>false</trackRevisions>
    </reviewItem>
    <reviewItem>
      <errorID>9560f2c2-4220-46e8-b531-11d55b12b4af</errorID>
      <errorWord>～</errorWord>
      <group>L1_Format</group>
      <groupName>格式问题</groupName>
      <ability>L2_HalfPunc</ability>
      <abilityName>全半角检查</abilityName>
      <candidateList>
        <item>~</item>
      </candidateList>
      <explain>文本全半角错误。</explain>
      <paraID>7328CA23</paraID>
      <start>2</start>
      <end>3</end>
      <status>unmodified</status>
      <modifiedWord/>
      <trackRevisions>false</trackRevisions>
    </reviewItem>
    <reviewItem>
      <errorID>7dd9b5f8-b072-4162-86e4-0f316c2510eb</errorID>
      <errorWord>～</errorWord>
      <group>L1_Format</group>
      <groupName>格式问题</groupName>
      <ability>L2_HalfPunc</ability>
      <abilityName>全半角检查</abilityName>
      <candidateList>
        <item>~</item>
      </candidateList>
      <explain>文本全半角错误。</explain>
      <paraID>6425A56A</paraID>
      <start>2</start>
      <end>3</end>
      <status>unmodified</status>
      <modifiedWord/>
      <trackRevisions>false</trackRevisions>
    </reviewItem>
    <reviewItem>
      <errorID>8753dc21-8ef5-4302-a100-35ff21cc3b60</errorID>
      <errorWord>三本帐</errorWord>
      <group>L1_Word</group>
      <groupName>字词问题</groupName>
      <ability>L2_Alias</ability>
      <abilityName>也作/曾用词</abilityName>
      <candidateList>
        <item>三本账</item>
      </candidateList>
      <explain>词汇[三本帐]为不规范表述或旧称，其规范书面表述为[三本账]。</explain>
      <paraID> 9F910B3</paraID>
      <start>10</start>
      <end>13</end>
      <status>unmodified</status>
      <modifiedWord/>
      <trackRevisions>false</trackRevisions>
    </reviewItem>
    <reviewItem>
      <errorID>48c2d5c1-91c3-4f12-b6d5-155da6642632</errorID>
      <errorWord>三本帐</errorWord>
      <group>L1_Word</group>
      <groupName>字词问题</groupName>
      <ability>L2_Alias</ability>
      <abilityName>也作/曾用词</abilityName>
      <candidateList>
        <item>三本账</item>
      </candidateList>
      <explain>词汇[三本帐]为不规范表述或旧称，其规范书面表述为[三本账]。</explain>
      <paraID>330250F6</paraID>
      <start>86</start>
      <end>89</end>
      <status>unmodified</status>
      <modifiedWord/>
      <trackRevisions>false</trackRevisions>
    </reviewItem>
    <reviewItem>
      <errorID>fd570716-2041-470b-958d-5b5274411075</errorID>
      <errorWord>、</errorWord>
      <group>L1_Word</group>
      <groupName>字词问题</groupName>
      <ability>L2_Typo</ability>
      <abilityName>字词错误</abilityName>
      <candidateList>
        <item>、使</item>
      </candidateList>
      <explain/>
      <paraID>42A4B889</paraID>
      <start>47</start>
      <end>48</end>
      <status>unmodified</status>
      <modifiedWord/>
      <trackRevisions>false</trackRevisions>
    </reviewItem>
    <reviewItem>
      <errorID>d506f239-de14-4317-ba46-8681a8e4cf22</errorID>
      <errorWord>节能和</errorWord>
      <group>L1_Word</group>
      <groupName>字词问题</groupName>
      <ability>L2_Typo</ability>
      <abilityName>字词错误</abilityName>
      <candidateList>
        <item>节能</item>
      </candidateList>
      <explain/>
      <paraID> 45AF2A6</paraID>
      <start>6</start>
      <end>9</end>
      <status>unmodified</status>
      <modifiedWord/>
      <trackRevisions>false</trackRevisions>
    </reviewItem>
    <reviewItem>
      <errorID>92d04e4e-e065-46c4-be76-0e54c37a2a9f</errorID>
      <errorWord>，</errorWord>
      <group>L1_Word</group>
      <groupName>字词问题</groupName>
      <ability>L2_Typo</ability>
      <abilityName>字词错误</abilityName>
      <candidateList>
        <item>，在</item>
      </candidateList>
      <explain/>
      <paraID>4D7E7DAE</paraID>
      <start>22</start>
      <end>23</end>
      <status>unmodified</status>
      <modifiedWord/>
      <trackRevisions>false</trackRevisions>
    </reviewItem>
    <reviewItem>
      <errorID>99b2bdec-1f0f-4c80-a03e-73d56410796d</errorID>
      <errorWord>海拔高度</errorWord>
      <group>L1_Word</group>
      <groupName>字词问题</groupName>
      <ability>L2_Typo</ability>
      <abilityName>字词错误</abilityName>
      <candidateList>
        <item>海拔</item>
      </candidateList>
      <explain>〈名〉从平均海平面起算的高度。</explain>
      <paraID>72D49341</paraID>
      <start>37</start>
      <end>41</end>
      <status>unmodified</status>
      <modifiedWord/>
      <trackRevisions>false</trackRevisions>
    </reviewItem>
    <reviewItem>
      <errorID>43f642b6-38c2-492b-93b9-09e84290213c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72D49341</paraID>
      <start>45</start>
      <end>46</end>
      <status>ignored</status>
      <modifiedWord/>
      <trackRevisions>false</trackRevisions>
    </reviewItem>
    <reviewItem>
      <errorID>95f94c84-cc19-4bff-9839-c9d689eeb50b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32DD279E</paraID>
      <start>88</start>
      <end>89</end>
      <status>ignored</status>
      <modifiedWord/>
      <trackRevisions>false</trackRevisions>
    </reviewItem>
    <reviewItem>
      <errorID>246cac4c-67d9-46dc-ad63-0776f1f3e72e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5677BBF8</paraID>
      <start>148</start>
      <end>149</end>
      <status>ignored</status>
      <modifiedWord/>
      <trackRevisions>false</trackRevisions>
    </reviewItem>
    <reviewItem>
      <errorID>0653ccc3-1704-4afd-b098-97c244b9aa63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5677BBF8</paraID>
      <start>160</start>
      <end>161</end>
      <status>ignored</status>
      <modifiedWord/>
      <trackRevisions>false</trackRevisions>
    </reviewItem>
    <reviewItem>
      <errorID>20c3f95c-6028-47cf-838e-2f0ea93fcf80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3D1FB677</paraID>
      <start>105</start>
      <end>106</end>
      <status>ignored</status>
      <modifiedWord/>
      <trackRevisions>false</trackRevisions>
    </reviewItem>
    <reviewItem>
      <errorID>acd8ed25-8d33-493f-b464-557813f34713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3D1FB677</paraID>
      <start>115</start>
      <end>116</end>
      <status>ignored</status>
      <modifiedWord/>
      <trackRevisions>false</trackRevisions>
    </reviewItem>
    <reviewItem>
      <errorID>8295789a-280b-4c0b-ba3b-19ed1eca499d</errorID>
      <errorWord>-</errorWord>
      <group>L1_Format</group>
      <groupName>格式问题</groupName>
      <ability>L2_HalfPunc</ability>
      <abilityName>全半角检查</abilityName>
      <candidateList>
        <item>－</item>
      </candidateList>
      <explain>文本全半角错误。</explain>
      <paraID>5F394B4C</paraID>
      <start>26</start>
      <end>27</end>
      <status>unmodified</status>
      <modifiedWord/>
      <trackRevisions>false</trackRevisions>
    </reviewItem>
    <reviewItem>
      <errorID>578ec90b-dd45-4c03-97ed-cc80d1f9d368</errorID>
      <errorWord>上</errorWord>
      <group>L1_Word</group>
      <groupName>字词问题</groupName>
      <ability>L2_Typo</ability>
      <abilityName>字词错误</abilityName>
      <candidateList>
        <item>上部</item>
      </candidateList>
      <explain/>
      <paraID>3089166A</paraID>
      <start>86</start>
      <end>87</end>
      <status>unmodified</status>
      <modifiedWord/>
      <trackRevisions>false</trackRevisions>
    </reviewItem>
    <reviewItem>
      <errorID>20db89e2-faaf-4741-b25e-b857ef99fd20</errorID>
      <errorWord>治</errorWord>
      <group>L1_Word</group>
      <groupName>字词问题</groupName>
      <ability>L2_Typo</ability>
      <abilityName>字词错误</abilityName>
      <candidateList>
        <item>质</item>
      </candidateList>
      <explain>存在发音相同字词的误用。</explain>
      <paraID>3089166A</paraID>
      <start>105</start>
      <end>106</end>
      <status>unmodified</status>
      <modifiedWord/>
      <trackRevisions>false</trackRevisions>
    </reviewItem>
    <reviewItem>
      <errorID>f058be5f-b4ef-46bc-84ab-fdc6888bd189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3938F63A</paraID>
      <start>92</start>
      <end>93</end>
      <status>ignored</status>
      <modifiedWord/>
      <trackRevisions>false</trackRevisions>
    </reviewItem>
    <reviewItem>
      <errorID>b26657da-36f5-4dab-a5ce-7ebb8d9dd61e</errorID>
      <errorWord>区城</errorWord>
      <group>L1_Word</group>
      <groupName>字词问题</groupName>
      <ability>L2_Typo</ability>
      <abilityName>字词错误</abilityName>
      <candidateList>
        <item>区域</item>
      </candidateList>
      <explain/>
      <paraID>3938F63A</paraID>
      <start>179</start>
      <end>181</end>
      <status>unmodified</status>
      <modifiedWord/>
      <trackRevisions>false</trackRevisions>
    </reviewItem>
    <reviewItem>
      <errorID>b95e8e7c-9916-4980-9652-a8215dd53de5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3938F63A</paraID>
      <start>249</start>
      <end>250</end>
      <status>ignored</status>
      <modifiedWord/>
      <trackRevisions>false</trackRevisions>
    </reviewItem>
    <reviewItem>
      <errorID>df692f5b-0014-4bd2-9616-b00f84feebdb</errorID>
      <errorWord>含含</errorWord>
      <group>L1_Word</group>
      <groupName>字词问题</groupName>
      <ability>L2_Typo</ability>
      <abilityName>字词错误</abilityName>
      <candidateList>
        <item>含</item>
      </candidateList>
      <explain/>
      <paraID>71500794</paraID>
      <start>0</start>
      <end>2</end>
      <status>unmodified</status>
      <modifiedWord/>
      <trackRevisions>false</trackRevisions>
    </reviewItem>
    <reviewItem>
      <errorID>a95c4795-9ef2-4bc5-a024-e33a4948b3a7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552E37A9</paraID>
      <start>48</start>
      <end>49</end>
      <status>ignored</status>
      <modifiedWord/>
      <trackRevisions>false</trackRevisions>
    </reviewItem>
    <reviewItem>
      <errorID>e1a91ddb-f283-4673-8568-61f931b25c53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552E37A9</paraID>
      <start>61</start>
      <end>62</end>
      <status>ignored</status>
      <modifiedWord/>
      <trackRevisions>false</trackRevisions>
    </reviewItem>
    <reviewItem>
      <errorID>ed4e12e4-7ff3-49f0-96f2-6e126a5352a5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552E37A9</paraID>
      <start>79</start>
      <end>80</end>
      <status>ignored</status>
      <modifiedWord/>
      <trackRevisions>false</trackRevisions>
    </reviewItem>
    <reviewItem>
      <errorID>b3993709-dc0b-4f6b-b10c-5758fd0524bd</errorID>
      <errorWord>想</errorWord>
      <group>L1_Word</group>
      <groupName>字词问题</groupName>
      <ability>L2_Typo</ability>
      <abilityName>字词错误</abilityName>
      <candidateList>
        <item>细</item>
      </candidateList>
      <explain/>
      <paraID>552E37A9</paraID>
      <start>91</start>
      <end>92</end>
      <status>unmodified</status>
      <modifiedWord/>
      <trackRevisions>false</trackRevisions>
    </reviewItem>
    <reviewItem>
      <errorID>d3e87317-5b62-4a5d-a516-87b526fcac08</errorID>
      <errorWord>地下水流</errorWord>
      <group>L1_Word</group>
      <groupName>字词问题</groupName>
      <ability>L2_Typo</ability>
      <abilityName>字词错误</abilityName>
      <candidateList>
        <item>地下水</item>
      </candidateList>
      <explain/>
      <paraID>44F0469A</paraID>
      <start>44</start>
      <end>48</end>
      <status>unmodified</status>
      <modifiedWord/>
      <trackRevisions>false</trackRevisions>
    </reviewItem>
    <reviewItem>
      <errorID>846c5786-efdb-4449-8e8a-97346e857b9a</errorID>
      <errorWord>。。</errorWord>
      <group>L1_Punc</group>
      <groupName>标点问题</groupName>
      <ability>L2_Punc</ability>
      <abilityName>标点符号检查</abilityName>
      <candidateList>
        <item>。</item>
      </candidateList>
      <explain/>
      <paraID> F24EE29</paraID>
      <start>60</start>
      <end>62</end>
      <status>unmodified</status>
      <modifiedWord/>
      <trackRevisions>false</trackRevisions>
    </reviewItem>
    <reviewItem>
      <errorID>f71429b4-2ae7-486e-8ae3-13fb7cb3ad5c</errorID>
      <errorWord>（</errorWord>
      <group>L1_Format</group>
      <groupName>格式问题</groupName>
      <ability>L2_HalfPunc</ability>
      <abilityName>全半角检查</abilityName>
      <candidateList>
        <item>(</item>
      </candidateList>
      <explain>文本全半角错误。</explain>
      <paraID>43B74C07</paraID>
      <start>0</start>
      <end>1</end>
      <status>unmodified</status>
      <modifiedWord/>
      <trackRevisions>false</trackRevisions>
    </reviewItem>
    <reviewItem>
      <errorID>9b80ffdf-fd41-4cb6-8f1c-2023272e4ff1</errorID>
      <errorWord>）</errorWord>
      <group>L1_Format</group>
      <groupName>格式问题</groupName>
      <ability>L2_HalfPunc</ability>
      <abilityName>全半角检查</abilityName>
      <candidateList>
        <item>)</item>
      </candidateList>
      <explain>文本全半角错误。</explain>
      <paraID>43B74C07</paraID>
      <start>2</start>
      <end>3</end>
      <status>unmodified</status>
      <modifiedWord/>
      <trackRevisions>false</trackRevisions>
    </reviewItem>
    <reviewItem>
      <errorID>d5235837-0dc3-4045-8a9c-3b99c58a4d16</errorID>
      <errorWord>（</errorWord>
      <group>L1_Format</group>
      <groupName>格式问题</groupName>
      <ability>L2_HalfPunc</ability>
      <abilityName>全半角检查</abilityName>
      <candidateList>
        <item>(</item>
      </candidateList>
      <explain>文本全半角错误。</explain>
      <paraID>69EC90B1</paraID>
      <start>0</start>
      <end>1</end>
      <status>unmodified</status>
      <modifiedWord/>
      <trackRevisions>false</trackRevisions>
    </reviewItem>
    <reviewItem>
      <errorID>c05ae0de-7d82-4a09-b079-bf79527456fa</errorID>
      <errorWord>）</errorWord>
      <group>L1_Format</group>
      <groupName>格式问题</groupName>
      <ability>L2_HalfPunc</ability>
      <abilityName>全半角检查</abilityName>
      <candidateList>
        <item>)</item>
      </candidateList>
      <explain>文本全半角错误。</explain>
      <paraID>69EC90B1</paraID>
      <start>2</start>
      <end>3</end>
      <status>unmodified</status>
      <modifiedWord/>
      <trackRevisions>false</trackRevisions>
    </reviewItem>
    <reviewItem>
      <errorID>525b44d6-2110-40fb-b31c-b3c511ba886d</errorID>
      <errorWord>（</errorWord>
      <group>L1_Format</group>
      <groupName>格式问题</groupName>
      <ability>L2_HalfPunc</ability>
      <abilityName>全半角检查</abilityName>
      <candidateList>
        <item>(</item>
      </candidateList>
      <explain>文本全半角错误。</explain>
      <paraID>3377C293</paraID>
      <start>0</start>
      <end>1</end>
      <status>unmodified</status>
      <modifiedWord/>
      <trackRevisions>false</trackRevisions>
    </reviewItem>
    <reviewItem>
      <errorID>6beca771-8eaf-45c5-95d0-f75866a89102</errorID>
      <errorWord>）</errorWord>
      <group>L1_Format</group>
      <groupName>格式问题</groupName>
      <ability>L2_HalfPunc</ability>
      <abilityName>全半角检查</abilityName>
      <candidateList>
        <item>)</item>
      </candidateList>
      <explain>文本全半角错误。</explain>
      <paraID>3377C293</paraID>
      <start>2</start>
      <end>3</end>
      <status>unmodified</status>
      <modifiedWord/>
      <trackRevisions>false</trackRevisions>
    </reviewItem>
    <reviewItem>
      <errorID>3a59ca8b-3281-4151-b3cc-7a611ca7385e</errorID>
      <errorWord>（</errorWord>
      <group>L1_Format</group>
      <groupName>格式问题</groupName>
      <ability>L2_HalfPunc</ability>
      <abilityName>全半角检查</abilityName>
      <candidateList>
        <item>(</item>
      </candidateList>
      <explain>文本全半角错误。</explain>
      <paraID>147046F0</paraID>
      <start>0</start>
      <end>1</end>
      <status>unmodified</status>
      <modifiedWord/>
      <trackRevisions>false</trackRevisions>
    </reviewItem>
    <reviewItem>
      <errorID>9dd43351-7300-42dd-ac7d-46ff13b27f6f</errorID>
      <errorWord>）</errorWord>
      <group>L1_Format</group>
      <groupName>格式问题</groupName>
      <ability>L2_HalfPunc</ability>
      <abilityName>全半角检查</abilityName>
      <candidateList>
        <item>)</item>
      </candidateList>
      <explain>文本全半角错误。</explain>
      <paraID>147046F0</paraID>
      <start>2</start>
      <end>3</end>
      <status>unmodified</status>
      <modifiedWord/>
      <trackRevisions>false</trackRevisions>
    </reviewItem>
    <reviewItem>
      <errorID>6b921bcd-dc4d-4803-a337-38cb4b087a45</errorID>
      <errorWord>~</errorWord>
      <group>L1_Format</group>
      <groupName>格式问题</groupName>
      <ability>L2_HalfPunc</ability>
      <abilityName>全半角检查</abilityName>
      <candidateList>
        <item>～</item>
      </candidateList>
      <explain>文本全半角错误。</explain>
      <paraID>29860D71</paraID>
      <start>53</start>
      <end>54</end>
      <status>unmodified</status>
      <modifiedWord/>
      <trackRevisions>false</trackRevisions>
    </reviewItem>
    <reviewItem>
      <errorID>9d86a713-4850-4d07-8173-bc1cec801a6b</errorID>
      <errorWord>~</errorWord>
      <group>L1_Format</group>
      <groupName>格式问题</groupName>
      <ability>L2_HalfPunc</ability>
      <abilityName>全半角检查</abilityName>
      <candidateList>
        <item>～</item>
      </candidateList>
      <explain>文本全半角错误。</explain>
      <paraID>1C62108C</paraID>
      <start>18</start>
      <end>19</end>
      <status>unmodified</status>
      <modifiedWord/>
      <trackRevisions>false</trackRevisions>
    </reviewItem>
    <reviewItem>
      <errorID>c3a9f0b5-72db-4aac-b6f0-4b505dca6ef6</errorID>
      <errorWord>-</errorWord>
      <group>L1_Format</group>
      <groupName>格式问题</groupName>
      <ability>L2_HalfPunc</ability>
      <abilityName>全半角检查</abilityName>
      <candidateList>
        <item>－</item>
      </candidateList>
      <explain>文本全半角错误。</explain>
      <paraID>7921878C</paraID>
      <start>9</start>
      <end>10</end>
      <status>unmodified</status>
      <modifiedWord/>
      <trackRevisions>false</trackRevisions>
    </reviewItem>
    <reviewItem>
      <errorID>19d7a950-e592-4d04-8c8f-f431b2bd64ec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7921878C</paraID>
      <start>78</start>
      <end>79</end>
      <status>ignored</status>
      <modifiedWord/>
      <trackRevisions>false</trackRevisions>
    </reviewItem>
    <reviewItem>
      <errorID>0ee619e0-41f6-4474-a5a9-945105c35ad9</errorID>
      <errorWord>成份</errorWord>
      <group>L1_Knowledge</group>
      <groupName>知识性问题</groupName>
      <ability>L2_Knowledge</ability>
      <abilityName>其他知识</abilityName>
      <candidateList>
        <item>成分</item>
      </candidateList>
      <explain>（成份）chénɡ•fèn〈名〉❶指构成事物的各种不同的物质或因素：化学～｜营养～｜减轻了心里不安的～。❷指个人早先的主要经历或职业：工人～｜他的个人～是学生。</explain>
      <paraID>4B8CEAEC</paraID>
      <start>27</start>
      <end>29</end>
      <status>unmodified</status>
      <modifiedWord/>
      <trackRevisions>false</trackRevisions>
    </reviewItem>
    <reviewItem>
      <errorID>34168412-152e-452c-b9b7-93897521985d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4B8CEAEC</paraID>
      <start>61</start>
      <end>62</end>
      <status>ignored</status>
      <modifiedWord/>
      <trackRevisions>false</trackRevisions>
    </reviewItem>
    <reviewItem>
      <errorID>4d1e0e7c-f35b-4d15-b367-2a89e3702137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10590012</paraID>
      <start>25</start>
      <end>26</end>
      <status>ignored</status>
      <modifiedWord/>
      <trackRevisions>false</trackRevisions>
    </reviewItem>
    <reviewItem>
      <errorID>010d77f0-2c99-44ab-80fc-85eedbd048e1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7802B39B</paraID>
      <start>30</start>
      <end>31</end>
      <status>ignored</status>
      <modifiedWord/>
      <trackRevisions>false</trackRevisions>
    </reviewItem>
    <reviewItem>
      <errorID>1eb9109e-9519-4abb-8957-7d7581c2d5bb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7802B39B</paraID>
      <start>71</start>
      <end>72</end>
      <status>ignored</status>
      <modifiedWord/>
      <trackRevisions>false</trackRevisions>
    </reviewItem>
    <reviewItem>
      <errorID>c41734ea-3e77-4353-bccd-e3eb01aaef3c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7802B39B</paraID>
      <start>84</start>
      <end>85</end>
      <status>ignored</status>
      <modifiedWord/>
      <trackRevisions>false</trackRevisions>
    </reviewItem>
    <reviewItem>
      <errorID>747c721b-1122-4ff3-9d90-0467094b9b4a</errorID>
      <errorWord>~</errorWord>
      <group>L1_Format</group>
      <groupName>格式问题</groupName>
      <ability>L2_HalfPunc</ability>
      <abilityName>全半角检查</abilityName>
      <candidateList>
        <item>～</item>
      </candidateList>
      <explain>文本全半角错误。</explain>
      <paraID>52994472</paraID>
      <start>11</start>
      <end>12</end>
      <status>unmodified</status>
      <modifiedWord/>
      <trackRevisions>false</trackRevisions>
    </reviewItem>
    <reviewItem>
      <errorID>a63d04bd-cac4-4f59-a501-e75428e235f6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52994472</paraID>
      <start>100</start>
      <end>101</end>
      <status>ignored</status>
      <modifiedWord/>
      <trackRevisions>false</trackRevisions>
    </reviewItem>
    <reviewItem>
      <errorID>30b9ff57-786e-4da0-8e4f-75470fa9ffc8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52994472</paraID>
      <start>113</start>
      <end>114</end>
      <status>ignored</status>
      <modifiedWord/>
      <trackRevisions>false</trackRevisions>
    </reviewItem>
    <reviewItem>
      <errorID>ee2cb981-8c45-48f6-aaa3-8071501cf217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71C7C7EE</paraID>
      <start>3</start>
      <end>4</end>
      <status>ignored</status>
      <modifiedWord/>
      <trackRevisions>false</trackRevisions>
    </reviewItem>
    <reviewItem>
      <errorID>5aa75a07-0099-43db-a182-510afe09c87a</errorID>
      <errorWord>＜</errorWord>
      <group>L1_Format</group>
      <groupName>格式问题</groupName>
      <ability>L2_HalfPunc</ability>
      <abilityName>全半角检查</abilityName>
      <candidateList>
        <item>&lt;</item>
      </candidateList>
      <explain>文本全半角错误。</explain>
      <paraID>30196A08</paraID>
      <start>0</start>
      <end>1</end>
      <status>unmodified</status>
      <modifiedWord/>
      <trackRevisions>false</trackRevisions>
    </reviewItem>
    <reviewItem>
      <errorID>5552272f-d4c8-4bdc-b48b-c47cdfe41557</errorID>
      <errorWord>~</errorWord>
      <group>L1_Format</group>
      <groupName>格式问题</groupName>
      <ability>L2_HalfPunc</ability>
      <abilityName>全半角检查</abilityName>
      <candidateList>
        <item>～</item>
      </candidateList>
      <explain>文本全半角错误。</explain>
      <paraID>483DB038</paraID>
      <start>100</start>
      <end>101</end>
      <status>unmodified</status>
      <modifiedWord/>
      <trackRevisions>false</trackRevisions>
    </reviewItem>
    <reviewItem>
      <errorID>13d732fd-3c56-4bf8-874b-cc7ab0215999</errorID>
      <errorWord>2%~4%</errorWord>
      <group>L1_Knowledge</group>
      <groupName>知识性问题</groupName>
      <ability>L2_Knowledge</ability>
      <abilityName>其他知识</abilityName>
      <candidateList>
        <item>2%～4%</item>
      </candidateList>
      <explain>1. “2%~4%”中的单位“%”仅出现在后一个数字上，容易引起歧义；根据《现代汉语标点符号数字用法规范手册》，数字表示范围两边需要使用统一的格式。2. 根据标点国标 4.13 中的规则，数字、时间或地域连接符应使用（视觉上更长的）“—”或“～”。</explain>
      <paraID>483DB038</paraID>
      <start>112</start>
      <end>117</end>
      <status>unmodified</status>
      <modifiedWord/>
      <trackRevisions>false</trackRevisions>
    </reviewItem>
    <reviewItem>
      <errorID>4e5db974-6db5-4c8b-900a-359a1e814351</errorID>
      <errorWord>-</errorWord>
      <group>L1_Format</group>
      <groupName>格式问题</groupName>
      <ability>L2_HalfPunc</ability>
      <abilityName>全半角检查</abilityName>
      <candidateList>
        <item>－</item>
      </candidateList>
      <explain>文本全半角错误。</explain>
      <paraID>4155A9EF</paraID>
      <start>199</start>
      <end>200</end>
      <status>unmodified</status>
      <modifiedWord/>
      <trackRevisions>false</trackRevisions>
    </reviewItem>
    <reviewItem>
      <errorID>8d3a8b58-7285-4ef9-999c-a4cc1d78e04d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24B71182</paraID>
      <start>279</start>
      <end>280</end>
      <status>ignored</status>
      <modifiedWord/>
      <trackRevisions>false</trackRevisions>
    </reviewItem>
    <reviewItem>
      <errorID>c4534b1c-1bbe-42e8-a8ed-80f5b09fea97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24B71182</paraID>
      <start>303</start>
      <end>304</end>
      <status>ignored</status>
      <modifiedWord/>
      <trackRevisions>false</trackRevisions>
    </reviewItem>
    <reviewItem>
      <errorID>a02c5fb9-c110-432f-a3c8-3dbb02686cd2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278A9567</paraID>
      <start>37</start>
      <end>38</end>
      <status>ignored</status>
      <modifiedWord/>
      <trackRevisions>false</trackRevisions>
    </reviewItem>
    <reviewItem>
      <errorID>4835a0ae-a6bc-480a-a1d8-98002c3a8e36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278A9567</paraID>
      <start>61</start>
      <end>62</end>
      <status>ignored</status>
      <modifiedWord/>
      <trackRevisions>false</trackRevisions>
    </reviewItem>
    <reviewItem>
      <errorID>02f4d2fc-be10-4275-901b-da72a63572c7</errorID>
      <errorWord>[2019]11号</errorWord>
      <group>L1_Knowledge</group>
      <groupName>知识性问题</groupName>
      <ability>L2_Knowledge</ability>
      <abilityName>其他知识</abilityName>
      <candidateList>
        <item>〔2019〕11号</item>
      </candidateList>
      <explain>发文字号格式错误。</explain>
      <paraID>64548A00</paraID>
      <start>109</start>
      <end>118</end>
      <status>unmodified</status>
      <modifiedWord/>
      <trackRevisions>false</trackRevisions>
    </reviewItem>
    <reviewItem>
      <errorID>8fdfc7b6-7121-45f6-ab94-33eaaba093c2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7CD5A768</paraID>
      <start>26</start>
      <end>27</end>
      <status>ignored</status>
      <modifiedWord/>
      <trackRevisions>false</trackRevisions>
    </reviewItem>
    <reviewItem>
      <errorID>922e5bc7-8ccd-44de-a2b3-b748f263f1fe</errorID>
      <errorWord>12月03日</errorWord>
      <group>L1_Knowledge</group>
      <groupName>知识性问题</groupName>
      <ability>L2_Time</ability>
      <abilityName>日期时间</abilityName>
      <candidateList>
        <item>12月3日</item>
      </candidateList>
      <explain>根据日常书写习惯，日期一般会省略前导零。</explain>
      <paraID>7CD5A768</paraID>
      <start>27</start>
      <end>33</end>
      <status>unmodified</status>
      <modifiedWord/>
      <trackRevisions>false</trackRevisions>
    </reviewItem>
    <reviewItem>
      <errorID>4c55e4f1-678c-47c8-9d45-6e97bc0fed72</errorID>
      <errorWord>年</errorWord>
      <group>L1_Word</group>
      <groupName>字词问题</groupName>
      <ability>L2_Typo</ability>
      <abilityName>字词错误</abilityName>
      <candidateList>
        <item>年度</item>
      </candidateList>
      <explain/>
      <paraID>2BFC68DE</paraID>
      <start>0</start>
      <end>1</end>
      <status>unmodified</status>
      <modifiedWord/>
      <trackRevisions>false</trackRevisions>
    </reviewItem>
    <reviewItem>
      <errorID>4b49d249-38bd-4cbe-885b-4138d8f063fb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70942447</paraID>
      <start>29</start>
      <end>30</end>
      <status>ignored</status>
      <modifiedWord/>
      <trackRevisions>false</trackRevisions>
    </reviewItem>
    <reviewItem>
      <errorID>ff5553f0-dab3-42cb-84e7-cd6ee9ac5873</errorID>
      <errorWord>12月03日</errorWord>
      <group>L1_Knowledge</group>
      <groupName>知识性问题</groupName>
      <ability>L2_Time</ability>
      <abilityName>日期时间</abilityName>
      <candidateList>
        <item>12月3日</item>
      </candidateList>
      <explain>根据日常书写习惯，日期一般会省略前导零。</explain>
      <paraID>70942447</paraID>
      <start>30</start>
      <end>36</end>
      <status>unmodified</status>
      <modifiedWord/>
      <trackRevisions>false</trackRevisions>
    </reviewItem>
    <reviewItem>
      <errorID>4713087b-1937-4478-9423-c36a99f0b9e0</errorID>
      <errorWord>＝</errorWord>
      <group>L1_Format</group>
      <groupName>格式问题</groupName>
      <ability>L2_HalfPunc</ability>
      <abilityName>全半角检查</abilityName>
      <candidateList>
        <item>=</item>
      </candidateList>
      <explain>文本全半角错误。</explain>
      <paraID>535041C9</paraID>
      <start>2</start>
      <end>3</end>
      <status>unmodified</status>
      <modifiedWord/>
      <trackRevisions>false</trackRevisions>
    </reviewItem>
    <reviewItem>
      <errorID>7652a331-b8d6-4f59-a249-b011f30b97aa</errorID>
      <errorWord>(</errorWord>
      <group>L1_Format</group>
      <groupName>格式问题</groupName>
      <ability>L2_HalfPunc</ability>
      <abilityName>全半角检查</abilityName>
      <candidateList>
        <item>（</item>
      </candidateList>
      <explain>文本全半角错误。</explain>
      <paraID>18D321DD</paraID>
      <start>60</start>
      <end>61</end>
      <status>ignored</status>
      <modifiedWord/>
      <trackRevisions>false</trackRevisions>
    </reviewItem>
    <reviewItem>
      <errorID>fb21c43d-f430-4a7a-b963-3b5ef954b09a</errorID>
      <errorWord>(</errorWord>
      <group>L1_Format</group>
      <groupName>格式问题</groupName>
      <ability>L2_HalfPunc</ability>
      <abilityName>全半角检查</abilityName>
      <candidateList>
        <item>（</item>
      </candidateList>
      <explain>文本全半角错误。</explain>
      <paraID>33CA4787</paraID>
      <start>76</start>
      <end>77</end>
      <status>ignored</status>
      <modifiedWord/>
      <trackRevisions>false</trackRevisions>
    </reviewItem>
    <reviewItem>
      <errorID>2c972d24-1591-428f-a80b-048bc1bc85b0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5F9526C4</paraID>
      <start>69</start>
      <end>72</end>
      <status>unmodified</status>
      <modifiedWord/>
      <trackRevisions>false</trackRevisions>
    </reviewItem>
    <reviewItem>
      <errorID>7ef55c78-439e-40af-ad24-bc35b83c4769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5F9526C4</paraID>
      <start>88</start>
      <end>91</end>
      <status>unmodified</status>
      <modifiedWord/>
      <trackRevisions>false</trackRevisions>
    </reviewItem>
    <reviewItem>
      <errorID>37f3897d-2c92-4f04-a95d-348b687b3e9f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5F9526C4</paraID>
      <start>107</start>
      <end>110</end>
      <status>unmodified</status>
      <modifiedWord/>
      <trackRevisions>false</trackRevisions>
    </reviewItem>
    <reviewItem>
      <errorID>9dd7e1e5-ba9b-414a-92fe-7f2c67426731</errorID>
      <errorWord>（</errorWord>
      <group>L1_Format</group>
      <groupName>格式问题</groupName>
      <ability>L2_HalfPunc</ability>
      <abilityName>全半角检查</abilityName>
      <candidateList>
        <item>(</item>
      </candidateList>
      <explain>文本全半角错误。</explain>
      <paraID> 40D7295</paraID>
      <start>0</start>
      <end>1</end>
      <status>unmodified</status>
      <modifiedWord/>
      <trackRevisions>false</trackRevisions>
    </reviewItem>
    <reviewItem>
      <errorID>90233ea9-fc14-405a-9285-ed0486695518</errorID>
      <errorWord>）</errorWord>
      <group>L1_Format</group>
      <groupName>格式问题</groupName>
      <ability>L2_HalfPunc</ability>
      <abilityName>全半角检查</abilityName>
      <candidateList>
        <item>)</item>
      </candidateList>
      <explain>文本全半角错误。</explain>
      <paraID> 40D7295</paraID>
      <start>6</start>
      <end>7</end>
      <status>unmodified</status>
      <modifiedWord/>
      <trackRevisions>false</trackRevisions>
    </reviewItem>
    <reviewItem>
      <errorID>3fec6f8b-1569-4e1f-8ad4-3827bcbc8773</errorID>
      <errorWord>（</errorWord>
      <group>L1_Format</group>
      <groupName>格式问题</groupName>
      <ability>L2_HalfPunc</ability>
      <abilityName>全半角检查</abilityName>
      <candidateList>
        <item>(</item>
      </candidateList>
      <explain>文本全半角错误。</explain>
      <paraID>671D2715</paraID>
      <start>0</start>
      <end>1</end>
      <status>unmodified</status>
      <modifiedWord/>
      <trackRevisions>false</trackRevisions>
    </reviewItem>
    <reviewItem>
      <errorID>8e9f5d58-b0c4-4180-b985-113f30eef1b0</errorID>
      <errorWord>）</errorWord>
      <group>L1_Format</group>
      <groupName>格式问题</groupName>
      <ability>L2_HalfPunc</ability>
      <abilityName>全半角检查</abilityName>
      <candidateList>
        <item>)</item>
      </candidateList>
      <explain>文本全半角错误。</explain>
      <paraID>671D2715</paraID>
      <start>6</start>
      <end>7</end>
      <status>unmodified</status>
      <modifiedWord/>
      <trackRevisions>false</trackRevisions>
    </reviewItem>
    <reviewItem>
      <errorID>211e0ac5-d71e-4a86-b249-92880e9da5e1</errorID>
      <errorWord>（</errorWord>
      <group>L1_Format</group>
      <groupName>格式问题</groupName>
      <ability>L2_HalfPunc</ability>
      <abilityName>全半角检查</abilityName>
      <candidateList>
        <item>(</item>
      </candidateList>
      <explain>文本全半角错误。</explain>
      <paraID>30F527B9</paraID>
      <start>0</start>
      <end>1</end>
      <status>unmodified</status>
      <modifiedWord/>
      <trackRevisions>false</trackRevisions>
    </reviewItem>
    <reviewItem>
      <errorID>591e9c49-fc12-47e4-b33c-2614b38447ec</errorID>
      <errorWord>）</errorWord>
      <group>L1_Format</group>
      <groupName>格式问题</groupName>
      <ability>L2_HalfPunc</ability>
      <abilityName>全半角检查</abilityName>
      <candidateList>
        <item>)</item>
      </candidateList>
      <explain>文本全半角错误。</explain>
      <paraID>30F527B9</paraID>
      <start>6</start>
      <end>7</end>
      <status>unmodified</status>
      <modifiedWord/>
      <trackRevisions>false</trackRevisions>
    </reviewItem>
    <reviewItem>
      <errorID>a1014c85-bdb1-4a62-b0b6-a20edacf867a</errorID>
      <errorWord>（</errorWord>
      <group>L1_Format</group>
      <groupName>格式问题</groupName>
      <ability>L2_HalfPunc</ability>
      <abilityName>全半角检查</abilityName>
      <candidateList>
        <item>(</item>
      </candidateList>
      <explain>文本全半角错误。</explain>
      <paraID>29A91714</paraID>
      <start>0</start>
      <end>1</end>
      <status>unmodified</status>
      <modifiedWord/>
      <trackRevisions>false</trackRevisions>
    </reviewItem>
    <reviewItem>
      <errorID>652e3eb1-4065-4967-b652-f61b76190480</errorID>
      <errorWord>）</errorWord>
      <group>L1_Format</group>
      <groupName>格式问题</groupName>
      <ability>L2_HalfPunc</ability>
      <abilityName>全半角检查</abilityName>
      <candidateList>
        <item>)</item>
      </candidateList>
      <explain>文本全半角错误。</explain>
      <paraID>29A91714</paraID>
      <start>6</start>
      <end>7</end>
      <status>unmodified</status>
      <modifiedWord/>
      <trackRevisions>false</trackRevisions>
    </reviewItem>
    <reviewItem>
      <errorID>79012157-d50d-472b-8cb1-e1c0644a5914</errorID>
      <errorWord>（</errorWord>
      <group>L1_Format</group>
      <groupName>格式问题</groupName>
      <ability>L2_HalfPunc</ability>
      <abilityName>全半角检查</abilityName>
      <candidateList>
        <item>(</item>
      </candidateList>
      <explain>文本全半角错误。</explain>
      <paraID>7A9AF104</paraID>
      <start>0</start>
      <end>1</end>
      <status>unmodified</status>
      <modifiedWord/>
      <trackRevisions>false</trackRevisions>
    </reviewItem>
    <reviewItem>
      <errorID>45f2765b-7aee-41f5-9e39-941b0da436c2</errorID>
      <errorWord>）</errorWord>
      <group>L1_Format</group>
      <groupName>格式问题</groupName>
      <ability>L2_HalfPunc</ability>
      <abilityName>全半角检查</abilityName>
      <candidateList>
        <item>)</item>
      </candidateList>
      <explain>文本全半角错误。</explain>
      <paraID>7A9AF104</paraID>
      <start>6</start>
      <end>7</end>
      <status>unmodified</status>
      <modifiedWord/>
      <trackRevisions>false</trackRevisions>
    </reviewItem>
    <reviewItem>
      <errorID>13c63b87-b4b5-4a45-b44f-0cce88f6bdf1</errorID>
      <errorWord>（</errorWord>
      <group>L1_Format</group>
      <groupName>格式问题</groupName>
      <ability>L2_HalfPunc</ability>
      <abilityName>全半角检查</abilityName>
      <candidateList>
        <item>(</item>
      </candidateList>
      <explain>文本全半角错误。</explain>
      <paraID>561CDF1D</paraID>
      <start>0</start>
      <end>1</end>
      <status>unmodified</status>
      <modifiedWord/>
      <trackRevisions>false</trackRevisions>
    </reviewItem>
    <reviewItem>
      <errorID>fd2ac054-6e59-444f-a5df-4b40956e63da</errorID>
      <errorWord>）</errorWord>
      <group>L1_Format</group>
      <groupName>格式问题</groupName>
      <ability>L2_HalfPunc</ability>
      <abilityName>全半角检查</abilityName>
      <candidateList>
        <item>)</item>
      </candidateList>
      <explain>文本全半角错误。</explain>
      <paraID>561CDF1D</paraID>
      <start>6</start>
      <end>7</end>
      <status>unmodified</status>
      <modifiedWord/>
      <trackRevisions>false</trackRevisions>
    </reviewItem>
    <reviewItem>
      <errorID>21312faa-04b4-4571-9396-7d0074718d7c</errorID>
      <errorWord>~</errorWord>
      <group>L1_Format</group>
      <groupName>格式问题</groupName>
      <ability>L2_HalfPunc</ability>
      <abilityName>全半角检查</abilityName>
      <candidateList>
        <item>～</item>
      </candidateList>
      <explain>文本全半角错误。</explain>
      <paraID>6247B0C4</paraID>
      <start>97</start>
      <end>98</end>
      <status>unmodified</status>
      <modifiedWord/>
      <trackRevisions>false</trackRevisions>
    </reviewItem>
    <reviewItem>
      <errorID>67f89aab-554b-4f7e-ab92-ee99f973efb1</errorID>
      <errorWord>地下水水位监测</errorWord>
      <group>L1_Knowledge</group>
      <groupName>知识性问题</groupName>
      <ability>L2_Term</ability>
      <abilityName>专业术语</abilityName>
      <candidateList>
        <item>地下水水质监测</item>
      </candidateList>
      <explain/>
      <paraID>6247B0C4</paraID>
      <start>141</start>
      <end>148</end>
      <status>unmodified</status>
      <modifiedWord/>
      <trackRevisions>false</trackRevisions>
    </reviewItem>
    <reviewItem>
      <errorID>3f322243-f7e5-4544-9511-9b25c520cf78</errorID>
      <errorWord>（</errorWord>
      <group>L1_Format</group>
      <groupName>格式问题</groupName>
      <ability>L2_HalfPunc</ability>
      <abilityName>全半角检查</abilityName>
      <candidateList>
        <item>(</item>
      </candidateList>
      <explain>文本全半角错误。</explain>
      <paraID>5BAF2135</paraID>
      <start>0</start>
      <end>1</end>
      <status>unmodified</status>
      <modifiedWord/>
      <trackRevisions>false</trackRevisions>
    </reviewItem>
    <reviewItem>
      <errorID>e1b0bc64-afdf-4637-8980-1a55bfa0b21d</errorID>
      <errorWord>）</errorWord>
      <group>L1_Format</group>
      <groupName>格式问题</groupName>
      <ability>L2_HalfPunc</ability>
      <abilityName>全半角检查</abilityName>
      <candidateList>
        <item>)</item>
      </candidateList>
      <explain>文本全半角错误。</explain>
      <paraID>5BAF2135</paraID>
      <start>2</start>
      <end>3</end>
      <status>unmodified</status>
      <modifiedWord/>
      <trackRevisions>false</trackRevisions>
    </reviewItem>
    <reviewItem>
      <errorID>427456b6-92d7-4f58-a0ee-9d2f38ea6560</errorID>
      <errorWord>（</errorWord>
      <group>L1_Format</group>
      <groupName>格式问题</groupName>
      <ability>L2_HalfPunc</ability>
      <abilityName>全半角检查</abilityName>
      <candidateList>
        <item>(</item>
      </candidateList>
      <explain>文本全半角错误。</explain>
      <paraID>131DC9CE</paraID>
      <start>0</start>
      <end>1</end>
      <status>unmodified</status>
      <modifiedWord/>
      <trackRevisions>false</trackRevisions>
    </reviewItem>
    <reviewItem>
      <errorID>97339104-d8fd-4f8c-8f91-a3f7705754ae</errorID>
      <errorWord>）</errorWord>
      <group>L1_Format</group>
      <groupName>格式问题</groupName>
      <ability>L2_HalfPunc</ability>
      <abilityName>全半角检查</abilityName>
      <candidateList>
        <item>)</item>
      </candidateList>
      <explain>文本全半角错误。</explain>
      <paraID>131DC9CE</paraID>
      <start>2</start>
      <end>3</end>
      <status>unmodified</status>
      <modifiedWord/>
      <trackRevisions>false</trackRevisions>
    </reviewItem>
    <reviewItem>
      <errorID>1310ebe9-bc1a-473c-aaf9-ff8c6d9306ca</errorID>
      <errorWord>（</errorWord>
      <group>L1_Format</group>
      <groupName>格式问题</groupName>
      <ability>L2_HalfPunc</ability>
      <abilityName>全半角检查</abilityName>
      <candidateList>
        <item>(</item>
      </candidateList>
      <explain>文本全半角错误。</explain>
      <paraID>51F02851</paraID>
      <start>0</start>
      <end>1</end>
      <status>unmodified</status>
      <modifiedWord/>
      <trackRevisions>false</trackRevisions>
    </reviewItem>
    <reviewItem>
      <errorID>8c1f95bd-99e4-4fb7-b933-19e145bfc328</errorID>
      <errorWord>）</errorWord>
      <group>L1_Format</group>
      <groupName>格式问题</groupName>
      <ability>L2_HalfPunc</ability>
      <abilityName>全半角检查</abilityName>
      <candidateList>
        <item>)</item>
      </candidateList>
      <explain>文本全半角错误。</explain>
      <paraID>51F02851</paraID>
      <start>2</start>
      <end>3</end>
      <status>unmodified</status>
      <modifiedWord/>
      <trackRevisions>false</trackRevisions>
    </reviewItem>
    <reviewItem>
      <errorID>4b37a180-2b27-492e-a33b-ef031db2edb4</errorID>
      <errorWord>（</errorWord>
      <group>L1_Format</group>
      <groupName>格式问题</groupName>
      <ability>L2_HalfPunc</ability>
      <abilityName>全半角检查</abilityName>
      <candidateList>
        <item>(</item>
      </candidateList>
      <explain>文本全半角错误。</explain>
      <paraID>6FAEABC4</paraID>
      <start>0</start>
      <end>1</end>
      <status>unmodified</status>
      <modifiedWord/>
      <trackRevisions>false</trackRevisions>
    </reviewItem>
    <reviewItem>
      <errorID>a1ed7179-f7e2-446c-8906-e2e5c1578c68</errorID>
      <errorWord>）</errorWord>
      <group>L1_Format</group>
      <groupName>格式问题</groupName>
      <ability>L2_HalfPunc</ability>
      <abilityName>全半角检查</abilityName>
      <candidateList>
        <item>)</item>
      </candidateList>
      <explain>文本全半角错误。</explain>
      <paraID>6FAEABC4</paraID>
      <start>2</start>
      <end>3</end>
      <status>unmodified</status>
      <modifiedWord/>
      <trackRevisions>false</trackRevisions>
    </reviewItem>
    <reviewItem>
      <errorID>7f8083bd-9a08-4a80-b7a0-d127d570bc12</errorID>
      <errorWord>，</errorWord>
      <group>L1_Format</group>
      <groupName>格式问题</groupName>
      <ability>L2_HalfPunc</ability>
      <abilityName>全半角检查</abilityName>
      <candidateList>
        <item>,</item>
      </candidateList>
      <explain>文本全半角错误。</explain>
      <paraID> 7DFA979</paraID>
      <start>9</start>
      <end>10</end>
      <status>unmodified</status>
      <modifiedWord/>
      <trackRevisions>false</trackRevisions>
    </reviewItem>
    <reviewItem>
      <errorID>c02c2ded-12be-437b-8f79-8f4fce4168c4</errorID>
      <errorWord>，</errorWord>
      <group>L1_Format</group>
      <groupName>格式问题</groupName>
      <ability>L2_HalfPunc</ability>
      <abilityName>全半角检查</abilityName>
      <candidateList>
        <item>,</item>
      </candidateList>
      <explain>文本全半角错误。</explain>
      <paraID>29BB4D03</paraID>
      <start>9</start>
      <end>10</end>
      <status>unmodified</status>
      <modifiedWord/>
      <trackRevisions>false</trackRevisions>
    </reviewItem>
    <reviewItem>
      <errorID>ff8b9d9b-7b3b-4e0e-9527-c508cf64ffc4</errorID>
      <errorWord>-</errorWord>
      <group>L1_Format</group>
      <groupName>格式问题</groupName>
      <ability>L2_HalfPunc</ability>
      <abilityName>全半角检查</abilityName>
      <candidateList>
        <item>－</item>
      </candidateList>
      <explain>文本全半角错误。</explain>
      <paraID>70A44D48</paraID>
      <start>3</start>
      <end>4</end>
      <status>unmodified</status>
      <modifiedWord/>
      <trackRevisions>false</trackRevisions>
    </reviewItem>
    <reviewItem>
      <errorID>e44356b9-fae5-4743-973b-04f4a8f85ab9</errorID>
      <errorWord>，</errorWord>
      <group>L1_Format</group>
      <groupName>格式问题</groupName>
      <ability>L2_HalfPunc</ability>
      <abilityName>全半角检查</abilityName>
      <candidateList>
        <item>,</item>
      </candidateList>
      <explain>文本全半角错误。</explain>
      <paraID>5A2F5BCC</paraID>
      <start>9</start>
      <end>10</end>
      <status>unmodified</status>
      <modifiedWord/>
      <trackRevisions>false</trackRevisions>
    </reviewItem>
    <reviewItem>
      <errorID>d26712b9-ff2f-4702-a217-14c0bbf40caa</errorID>
      <errorWord>-</errorWord>
      <group>L1_Format</group>
      <groupName>格式问题</groupName>
      <ability>L2_HalfPunc</ability>
      <abilityName>全半角检查</abilityName>
      <candidateList>
        <item>－</item>
      </candidateList>
      <explain>文本全半角错误。</explain>
      <paraID>65E1812A</paraID>
      <start>3</start>
      <end>4</end>
      <status>unmodified</status>
      <modifiedWord/>
      <trackRevisions>false</trackRevisions>
    </reviewItem>
    <reviewItem>
      <errorID>050adc0a-4c5a-4c5a-94b5-e33335c3c8ee</errorID>
      <errorWord>，</errorWord>
      <group>L1_Format</group>
      <groupName>格式问题</groupName>
      <ability>L2_HalfPunc</ability>
      <abilityName>全半角检查</abilityName>
      <candidateList>
        <item>,</item>
      </candidateList>
      <explain>文本全半角错误。</explain>
      <paraID>522FB778</paraID>
      <start>9</start>
      <end>10</end>
      <status>unmodified</status>
      <modifiedWord/>
      <trackRevisions>false</trackRevisions>
    </reviewItem>
    <reviewItem>
      <errorID>a1aee3e9-5c12-4c05-94cb-4dc1c24d1046</errorID>
      <errorWord>，</errorWord>
      <group>L1_Format</group>
      <groupName>格式问题</groupName>
      <ability>L2_HalfPunc</ability>
      <abilityName>全半角检查</abilityName>
      <candidateList>
        <item>,</item>
      </candidateList>
      <explain>文本全半角错误。</explain>
      <paraID> 92B21EF</paraID>
      <start>9</start>
      <end>10</end>
      <status>unmodified</status>
      <modifiedWord/>
      <trackRevisions>false</trackRevisions>
    </reviewItem>
    <reviewItem>
      <errorID>5e4ea19d-75e9-465a-8d57-9e709465128f</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 25FE5C0</paraID>
      <start>10</start>
      <end>13</end>
      <status>unmodified</status>
      <modifiedWord/>
      <trackRevisions>false</trackRevisions>
    </reviewItem>
    <reviewItem>
      <errorID>b3a57bda-9068-466b-a129-add9451de3e4</errorID>
      <errorWord>~</errorWord>
      <group>L1_Format</group>
      <groupName>格式问题</groupName>
      <ability>L2_HalfPunc</ability>
      <abilityName>全半角检查</abilityName>
      <candidateList>
        <item>～</item>
      </candidateList>
      <explain>文本全半角错误。</explain>
      <paraID>4013127C</paraID>
      <start>18</start>
      <end>19</end>
      <status>unmodified</status>
      <modifiedWord/>
      <trackRevisions>false</trackRevisions>
    </reviewItem>
    <reviewItem>
      <errorID>c8d73716-62a5-4aea-90a7-2b70400b6479</errorID>
      <errorWord>（</errorWord>
      <group>L1_Format</group>
      <groupName>格式问题</groupName>
      <ability>L2_HalfPunc</ability>
      <abilityName>全半角检查</abilityName>
      <candidateList>
        <item>(</item>
      </candidateList>
      <explain>文本全半角错误。</explain>
      <paraID>6C703B15</paraID>
      <start>2</start>
      <end>3</end>
      <status>unmodified</status>
      <modifiedWord/>
      <trackRevisions>false</trackRevisions>
    </reviewItem>
    <reviewItem>
      <errorID>18d6de6d-d44c-49e8-919b-9159a20cefbe</errorID>
      <errorWord>）</errorWord>
      <group>L1_Format</group>
      <groupName>格式问题</groupName>
      <ability>L2_HalfPunc</ability>
      <abilityName>全半角检查</abilityName>
      <candidateList>
        <item>)</item>
      </candidateList>
      <explain>文本全半角错误。</explain>
      <paraID>6C703B15</paraID>
      <start>7</start>
      <end>8</end>
      <status>unmodified</status>
      <modifiedWord/>
      <trackRevisions>false</trackRevisions>
    </reviewItem>
    <reviewItem>
      <errorID>1eb71c6a-1b66-4659-95b8-680069f8c7ca</errorID>
      <errorWord>（</errorWord>
      <group>L1_Format</group>
      <groupName>格式问题</groupName>
      <ability>L2_HalfPunc</ability>
      <abilityName>全半角检查</abilityName>
      <candidateList>
        <item>(</item>
      </candidateList>
      <explain>文本全半角错误。</explain>
      <paraID>7CEEC2B8</paraID>
      <start>3</start>
      <end>4</end>
      <status>unmodified</status>
      <modifiedWord/>
      <trackRevisions>false</trackRevisions>
    </reviewItem>
    <reviewItem>
      <errorID>4d5a783b-6266-4ba3-8c57-e979e2208cf2</errorID>
      <errorWord>）</errorWord>
      <group>L1_Format</group>
      <groupName>格式问题</groupName>
      <ability>L2_HalfPunc</ability>
      <abilityName>全半角检查</abilityName>
      <candidateList>
        <item>)</item>
      </candidateList>
      <explain>文本全半角错误。</explain>
      <paraID>7CEEC2B8</paraID>
      <start>8</start>
      <end>9</end>
      <status>unmodified</status>
      <modifiedWord/>
      <trackRevisions>false</trackRevisions>
    </reviewItem>
    <reviewItem>
      <errorID>4ad6d360-5ffb-4360-80a8-b86bba09cbc5</errorID>
      <errorWord>（</errorWord>
      <group>L1_Format</group>
      <groupName>格式问题</groupName>
      <ability>L2_HalfPunc</ability>
      <abilityName>全半角检查</abilityName>
      <candidateList>
        <item>(</item>
      </candidateList>
      <explain>文本全半角错误。</explain>
      <paraID>7DDE489C</paraID>
      <start>4</start>
      <end>5</end>
      <status>unmodified</status>
      <modifiedWord/>
      <trackRevisions>false</trackRevisions>
    </reviewItem>
    <reviewItem>
      <errorID>0e52a6f0-2cc9-4f18-aab0-dc9e343eb88a</errorID>
      <errorWord>）</errorWord>
      <group>L1_Format</group>
      <groupName>格式问题</groupName>
      <ability>L2_HalfPunc</ability>
      <abilityName>全半角检查</abilityName>
      <candidateList>
        <item>)</item>
      </candidateList>
      <explain>文本全半角错误。</explain>
      <paraID>7DDE489C</paraID>
      <start>9</start>
      <end>10</end>
      <status>unmodified</status>
      <modifiedWord/>
      <trackRevisions>false</trackRevisions>
    </reviewItem>
    <reviewItem>
      <errorID>62a46375-8244-448c-a29c-fc09a5837815</errorID>
      <errorWord>（</errorWord>
      <group>L1_Format</group>
      <groupName>格式问题</groupName>
      <ability>L2_HalfPunc</ability>
      <abilityName>全半角检查</abilityName>
      <candidateList>
        <item>(</item>
      </candidateList>
      <explain>文本全半角错误。</explain>
      <paraID>68F166E7</paraID>
      <start>4</start>
      <end>5</end>
      <status>unmodified</status>
      <modifiedWord/>
      <trackRevisions>false</trackRevisions>
    </reviewItem>
    <reviewItem>
      <errorID>d74a729a-739e-45dc-a1fb-6b5a7ed91ba0</errorID>
      <errorWord>）</errorWord>
      <group>L1_Format</group>
      <groupName>格式问题</groupName>
      <ability>L2_HalfPunc</ability>
      <abilityName>全半角检查</abilityName>
      <candidateList>
        <item>)</item>
      </candidateList>
      <explain>文本全半角错误。</explain>
      <paraID>68F166E7</paraID>
      <start>9</start>
      <end>10</end>
      <status>unmodified</status>
      <modifiedWord/>
      <trackRevisions>false</trackRevisions>
    </reviewItem>
    <reviewItem>
      <errorID>0b8faf2e-1cf0-48ae-9f1c-3edc9a3e90ca</errorID>
      <errorWord>（</errorWord>
      <group>L1_Format</group>
      <groupName>格式问题</groupName>
      <ability>L2_HalfPunc</ability>
      <abilityName>全半角检查</abilityName>
      <candidateList>
        <item>(</item>
      </candidateList>
      <explain>文本全半角错误。</explain>
      <paraID>1D4D903D</paraID>
      <start>5</start>
      <end>6</end>
      <status>unmodified</status>
      <modifiedWord/>
      <trackRevisions>false</trackRevisions>
    </reviewItem>
    <reviewItem>
      <errorID>27fd0c1b-3db2-4180-9a86-4ee431b53082</errorID>
      <errorWord>）</errorWord>
      <group>L1_Format</group>
      <groupName>格式问题</groupName>
      <ability>L2_HalfPunc</ability>
      <abilityName>全半角检查</abilityName>
      <candidateList>
        <item>)</item>
      </candidateList>
      <explain>文本全半角错误。</explain>
      <paraID>1D4D903D</paraID>
      <start>10</start>
      <end>11</end>
      <status>unmodified</status>
      <modifiedWord/>
      <trackRevisions>false</trackRevisions>
    </reviewItem>
    <reviewItem>
      <errorID>0d3c4425-642b-4f7e-96e6-9ffc3ea3515c</errorID>
      <errorWord>（</errorWord>
      <group>L1_Format</group>
      <groupName>格式问题</groupName>
      <ability>L2_HalfPunc</ability>
      <abilityName>全半角检查</abilityName>
      <candidateList>
        <item>(</item>
      </candidateList>
      <explain>文本全半角错误。</explain>
      <paraID>56DD66F8</paraID>
      <start>5</start>
      <end>6</end>
      <status>unmodified</status>
      <modifiedWord/>
      <trackRevisions>false</trackRevisions>
    </reviewItem>
    <reviewItem>
      <errorID>e2f297c1-fbf1-4450-ba67-21f61abecc8d</errorID>
      <errorWord>）</errorWord>
      <group>L1_Format</group>
      <groupName>格式问题</groupName>
      <ability>L2_HalfPunc</ability>
      <abilityName>全半角检查</abilityName>
      <candidateList>
        <item>)</item>
      </candidateList>
      <explain>文本全半角错误。</explain>
      <paraID>56DD66F8</paraID>
      <start>10</start>
      <end>11</end>
      <status>unmodified</status>
      <modifiedWord/>
      <trackRevisions>false</trackRevisions>
    </reviewItem>
    <reviewItem>
      <errorID>bdd22ff8-b9b8-4b5b-aae7-c1d025bd727f</errorID>
      <errorWord>（</errorWord>
      <group>L1_Format</group>
      <groupName>格式问题</groupName>
      <ability>L2_HalfPunc</ability>
      <abilityName>全半角检查</abilityName>
      <candidateList>
        <item>(</item>
      </candidateList>
      <explain>文本全半角错误。</explain>
      <paraID> 7A63C22</paraID>
      <start>3</start>
      <end>4</end>
      <status>unmodified</status>
      <modifiedWord/>
      <trackRevisions>false</trackRevisions>
    </reviewItem>
    <reviewItem>
      <errorID>75783f27-0e2d-4e38-96ea-1c3c9053fd0e</errorID>
      <errorWord>）</errorWord>
      <group>L1_Format</group>
      <groupName>格式问题</groupName>
      <ability>L2_HalfPunc</ability>
      <abilityName>全半角检查</abilityName>
      <candidateList>
        <item>)</item>
      </candidateList>
      <explain>文本全半角错误。</explain>
      <paraID> 7A63C22</paraID>
      <start>8</start>
      <end>9</end>
      <status>unmodified</status>
      <modifiedWord/>
      <trackRevisions>false</trackRevisions>
    </reviewItem>
    <reviewItem>
      <errorID>bdd2a51d-16f3-4d93-80be-e69f08d1ae3c</errorID>
      <errorWord>（</errorWord>
      <group>L1_Format</group>
      <groupName>格式问题</groupName>
      <ability>L2_HalfPunc</ability>
      <abilityName>全半角检查</abilityName>
      <candidateList>
        <item>(</item>
      </candidateList>
      <explain>文本全半角错误。</explain>
      <paraID>534A294A</paraID>
      <start>5</start>
      <end>6</end>
      <status>unmodified</status>
      <modifiedWord/>
      <trackRevisions>false</trackRevisions>
    </reviewItem>
    <reviewItem>
      <errorID>e9e2d173-2557-4507-93d3-795609b52c11</errorID>
      <errorWord>）</errorWord>
      <group>L1_Format</group>
      <groupName>格式问题</groupName>
      <ability>L2_HalfPunc</ability>
      <abilityName>全半角检查</abilityName>
      <candidateList>
        <item>)</item>
      </candidateList>
      <explain>文本全半角错误。</explain>
      <paraID>534A294A</paraID>
      <start>10</start>
      <end>11</end>
      <status>unmodified</status>
      <modifiedWord/>
      <trackRevisions>false</trackRevisions>
    </reviewItem>
    <reviewItem>
      <errorID>d6a49184-e85b-4ff4-8020-9aa0f9530a06</errorID>
      <errorWord>～</errorWord>
      <group>L1_Format</group>
      <groupName>格式问题</groupName>
      <ability>L2_HalfPunc</ability>
      <abilityName>全半角检查</abilityName>
      <candidateList>
        <item>~</item>
      </candidateList>
      <explain>文本全半角错误。</explain>
      <paraID>1430E7C0</paraID>
      <start>3</start>
      <end>4</end>
      <status>unmodified</status>
      <modifiedWord/>
      <trackRevisions>false</trackRevisions>
    </reviewItem>
    <reviewItem>
      <errorID>1f2c904f-f718-4c23-b127-519ad0b42b37</errorID>
      <errorWord>II类</errorWord>
      <group>L1_Knowledge</group>
      <groupName>知识性问题</groupName>
      <ability>L2_Knowledge</ability>
      <abilityName>其他知识</abilityName>
      <candidateList>
        <item>Ⅱ类</item>
      </candidateList>
      <explain/>
      <paraID>136D0179</paraID>
      <start>116</start>
      <end>119</end>
      <status>unmodified</status>
      <modifiedWord/>
      <trackRevisions>false</trackRevisions>
    </reviewItem>
    <reviewItem>
      <errorID>513a65ad-bd1d-49bb-a9ae-c2b7334b1977</errorID>
      <errorWord>，</errorWord>
      <group>L1_Word</group>
      <groupName>字词问题</groupName>
      <ability>L2_Typo</ability>
      <abilityName>字词错误</abilityName>
      <candidateList>
        <item>，在</item>
      </candidateList>
      <explain/>
      <paraID>136D0179</paraID>
      <start>157</start>
      <end>158</end>
      <status>unmodified</status>
      <modifiedWord/>
      <trackRevisions>false</trackRevisions>
    </reviewItem>
    <reviewItem>
      <errorID>5a758176-14d2-4bd7-8a63-432776cd329a</errorID>
      <errorWord>&lt;</errorWord>
      <group>L1_Format</group>
      <groupName>格式问题</groupName>
      <ability>L2_HalfPunc</ability>
      <abilityName>全半角检查</abilityName>
      <candidateList>
        <item>〈</item>
      </candidateList>
      <explain>文本全半角错误。</explain>
      <paraID>73F66A50</paraID>
      <start>15</start>
      <end>16</end>
      <status>unmodified</status>
      <modifiedWord/>
      <trackRevisions>false</trackRevisions>
    </reviewItem>
    <reviewItem>
      <errorID>94239c8d-e8e9-4c21-95dd-0490b7958dfe</errorID>
      <errorWord>&gt;</errorWord>
      <group>L1_Format</group>
      <groupName>格式问题</groupName>
      <ability>L2_HalfPunc</ability>
      <abilityName>全半角检查</abilityName>
      <candidateList>
        <item>〉</item>
      </candidateList>
      <explain>文本全半角错误。</explain>
      <paraID>73F66A50</paraID>
      <start>49</start>
      <end>50</end>
      <status>unmodified</status>
      <modifiedWord/>
      <trackRevisions>false</trackRevisions>
    </reviewItem>
    <reviewItem>
      <errorID>db06f921-3e4e-48ca-aa36-d793c102d6dc</errorID>
      <errorWord>于</errorWord>
      <group>L1_Word</group>
      <groupName>字词问题</groupName>
      <ability>L2_Typo</ability>
      <abilityName>字词错误</abilityName>
      <candidateList>
        <item>与</item>
      </candidateList>
      <explain>存在发音相同字词的误用。</explain>
      <paraID>73F66A50</paraID>
      <start>161</start>
      <end>162</end>
      <status>unmodified</status>
      <modifiedWord/>
      <trackRevisions>false</trackRevisions>
    </reviewItem>
    <reviewItem>
      <errorID>9f11c90d-5000-405a-90ec-76f9dd5b2a17</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55394BCE</paraID>
      <start>115</start>
      <end>119</end>
      <status>unmodified</status>
      <modifiedWord/>
      <trackRevisions>false</trackRevisions>
    </reviewItem>
    <reviewItem>
      <errorID>3337385c-b66e-45cc-aa3b-cb4e723165e2</errorID>
      <errorWord>，</errorWord>
      <group>L1_Word</group>
      <groupName>字词问题</groupName>
      <ability>L2_Typo</ability>
      <abilityName>字词错误</abilityName>
      <candidateList>
        <item>，在</item>
      </candidateList>
      <explain/>
      <paraID>6940FA39</paraID>
      <start>105</start>
      <end>106</end>
      <status>unmodified</status>
      <modifiedWord/>
      <trackRevisions>false</trackRevisions>
    </reviewItem>
    <reviewItem>
      <errorID>8b3f7264-287d-4102-a803-7029c81e64b2</errorID>
      <errorWord>~</errorWord>
      <group>L1_Format</group>
      <groupName>格式问题</groupName>
      <ability>L2_HalfPunc</ability>
      <abilityName>全半角检查</abilityName>
      <candidateList>
        <item>～</item>
      </candidateList>
      <explain>文本全半角错误。</explain>
      <paraID>378D6765</paraID>
      <start>63</start>
      <end>64</end>
      <status>unmodified</status>
      <modifiedWord/>
      <trackRevisions>false</trackRevisions>
    </reviewItem>
    <reviewItem>
      <errorID>0d565833-0782-4b70-a016-e9121c2a0721</errorID>
      <errorWord>，</errorWord>
      <group>L1_Format</group>
      <groupName>格式问题</groupName>
      <ability>L2_HalfPunc</ability>
      <abilityName>全半角检查</abilityName>
      <candidateList>
        <item>,</item>
      </candidateList>
      <explain>文本全半角错误。</explain>
      <paraID>581868B6</paraID>
      <start>9</start>
      <end>10</end>
      <status>unmodified</status>
      <modifiedWord/>
      <trackRevisions>false</trackRevisions>
    </reviewItem>
    <reviewItem>
      <errorID>959ad101-432c-49ed-bb40-c2bbfb28f227</errorID>
      <errorWord>，</errorWord>
      <group>L1_Format</group>
      <groupName>格式问题</groupName>
      <ability>L2_HalfPunc</ability>
      <abilityName>全半角检查</abilityName>
      <candidateList>
        <item>,</item>
      </candidateList>
      <explain>文本全半角错误。</explain>
      <paraID>102C97CC</paraID>
      <start>9</start>
      <end>10</end>
      <status>unmodified</status>
      <modifiedWord/>
      <trackRevisions>false</trackRevisions>
    </reviewItem>
    <reviewItem>
      <errorID>c8d4bb91-7660-41fc-8bc4-27833de0cdb2</errorID>
      <errorWord>-</errorWord>
      <group>L1_Format</group>
      <groupName>格式问题</groupName>
      <ability>L2_HalfPunc</ability>
      <abilityName>全半角检查</abilityName>
      <candidateList>
        <item>－</item>
      </candidateList>
      <explain>文本全半角错误。</explain>
      <paraID>50EAC189</paraID>
      <start>5</start>
      <end>6</end>
      <status>unmodified</status>
      <modifiedWord/>
      <trackRevisions>false</trackRevisions>
    </reviewItem>
    <reviewItem>
      <errorID>a381a378-6fe6-4958-a2b4-387136e84b6a</errorID>
      <errorWord>，</errorWord>
      <group>L1_Format</group>
      <groupName>格式问题</groupName>
      <ability>L2_HalfPunc</ability>
      <abilityName>全半角检查</abilityName>
      <candidateList>
        <item>,</item>
      </candidateList>
      <explain>文本全半角错误。</explain>
      <paraID>590F7637</paraID>
      <start>9</start>
      <end>10</end>
      <status>unmodified</status>
      <modifiedWord/>
      <trackRevisions>false</trackRevisions>
    </reviewItem>
    <reviewItem>
      <errorID>fb296705-f42c-4486-a745-702af8aae445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2D49F225</paraID>
      <start>12</start>
      <end>13</end>
      <status>unmodified</status>
      <modifiedWord/>
      <trackRevisions>false</trackRevisions>
    </reviewItem>
    <reviewItem>
      <errorID>b5dc2500-3648-4996-99a7-9973b9d26a4a</errorID>
      <errorWord>-</errorWord>
      <group>L1_Format</group>
      <groupName>格式问题</groupName>
      <ability>L2_HalfPunc</ability>
      <abilityName>全半角检查</abilityName>
      <candidateList>
        <item>－</item>
      </candidateList>
      <explain>文本全半角错误。</explain>
      <paraID>26A2E051</paraID>
      <start>5</start>
      <end>6</end>
      <status>unmodified</status>
      <modifiedWord/>
      <trackRevisions>false</trackRevisions>
    </reviewItem>
    <reviewItem>
      <errorID>2c0699f6-30b5-4b14-b49d-193d32c4f84a</errorID>
      <errorWord>来</errorWord>
      <group>L1_Word</group>
      <groupName>字词问题</groupName>
      <ability>L2_Typo</ability>
      <abilityName>字词错误</abilityName>
      <candidateList>
        <item>来自</item>
      </candidateList>
      <explain/>
      <paraID>3421444C</paraID>
      <start>13</start>
      <end>14</end>
      <status>unmodified</status>
      <modifiedWord/>
      <trackRevisions>false</trackRevisions>
    </reviewItem>
    <reviewItem>
      <errorID>5828db94-a547-49dd-9f52-68e0394e434e</errorID>
      <errorWord>)</errorWord>
      <group>L1_Format</group>
      <groupName>格式问题</groupName>
      <ability>L2_HalfPunc</ability>
      <abilityName>全半角检查</abilityName>
      <candidateList>
        <item>）</item>
      </candidateList>
      <explain>文本全半角错误。</explain>
      <paraID>3421444C</paraID>
      <start>53</start>
      <end>54</end>
      <status>ignored</status>
      <modifiedWord/>
      <trackRevisions>false</trackRevisions>
    </reviewItem>
    <reviewItem>
      <errorID>2bb4413d-4108-4e48-a60c-7a12ef89848b</errorID>
      <errorWord>)</errorWord>
      <group>L1_Format</group>
      <groupName>格式问题</groupName>
      <ability>L2_HalfPunc</ability>
      <abilityName>全半角检查</abilityName>
      <candidateList>
        <item>）</item>
      </candidateList>
      <explain>文本全半角错误。</explain>
      <paraID>3421444C</paraID>
      <start>81</start>
      <end>82</end>
      <status>ignored</status>
      <modifiedWord/>
      <trackRevisions>false</trackRevisions>
    </reviewItem>
    <reviewItem>
      <errorID>28510b18-99df-41b8-b926-b3bbf4f358a3</errorID>
      <errorWord>-</errorWord>
      <group>L1_Format</group>
      <groupName>格式问题</groupName>
      <ability>L2_HalfPunc</ability>
      <abilityName>全半角检查</abilityName>
      <candidateList>
        <item>－</item>
      </candidateList>
      <explain>文本全半角错误。</explain>
      <paraID>403245EF</paraID>
      <start>5</start>
      <end>6</end>
      <status>unmodified</status>
      <modifiedWord/>
      <trackRevisions>false</trackRevisions>
    </reviewItem>
    <reviewItem>
      <errorID>2a5c2d39-c954-4be0-be6e-db77600be270</errorID>
      <errorWord>，</errorWord>
      <group>L1_Format</group>
      <groupName>格式问题</groupName>
      <ability>L2_HalfPunc</ability>
      <abilityName>全半角检查</abilityName>
      <candidateList>
        <item>,</item>
      </candidateList>
      <explain>文本全半角错误。</explain>
      <paraID>1BA0A604</paraID>
      <start>10</start>
      <end>11</end>
      <status>unmodified</status>
      <modifiedWord/>
      <trackRevisions>false</trackRevisions>
    </reviewItem>
    <reviewItem>
      <errorID>4a9bd0c0-28a9-441c-ab0c-4e1fdc408239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5AF84BEE</paraID>
      <start>2</start>
      <end>3</end>
      <status>ignored</status>
      <modifiedWord/>
      <trackRevisions>false</trackRevisions>
    </reviewItem>
    <reviewItem>
      <errorID>4b343df1-0bf0-40b7-9f2c-e74795485a54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3CC7FC4</paraID>
      <start>3</start>
      <end>4</end>
      <status>ignored</status>
      <modifiedWord/>
      <trackRevisions>false</trackRevisions>
    </reviewItem>
    <reviewItem>
      <errorID>f867d4f4-53da-41c6-913f-4cc40b41b93b</errorID>
      <errorWord>25～45%</errorWord>
      <group>L1_Knowledge</group>
      <groupName>知识性问题</groupName>
      <ability>L2_Knowledge</ability>
      <abilityName>其他知识</abilityName>
      <candidateList>
        <item>25%～45%</item>
      </candidateList>
      <explain>1. “25～45%”中的单位“%”仅出现在后一个数字上，容易引起歧义；根据《现代汉语标点符号数字用法规范手册》，数字表示范围两边需要使用统一的格式。2. 根据标点国标 4.13 中的规则，数字、时间或地域连接符应使用（视觉上更长的）“—”或“～”。</explain>
      <paraID>37B1C99C</paraID>
      <start>0</start>
      <end>6</end>
      <status>unmodified</status>
      <modifiedWord/>
      <trackRevisions>false</trackRevisions>
    </reviewItem>
    <reviewItem>
      <errorID>da96d6a9-37e7-41ee-a5de-b4a10233d79b</errorID>
      <errorWord>25～45%</errorWord>
      <group>L1_Knowledge</group>
      <groupName>知识性问题</groupName>
      <ability>L2_Knowledge</ability>
      <abilityName>其他知识</abilityName>
      <candidateList>
        <item>25%～45%</item>
      </candidateList>
      <explain>1. “25～45%”中的单位“%”仅出现在后一个数字上，容易引起歧义；根据《现代汉语标点符号数字用法规范手册》，数字表示范围两边需要使用统一的格式。2. 根据标点国标 4.13 中的规则，数字、时间或地域连接符应使用（视觉上更长的）“—”或“～”。</explain>
      <paraID>2EEC5F9E</paraID>
      <start>0</start>
      <end>6</end>
      <status>unmodified</status>
      <modifiedWord/>
      <trackRevisions>false</trackRevisions>
    </reviewItem>
    <reviewItem>
      <errorID>21627f0c-87eb-481f-b4f9-8a6d807445fd</errorID>
      <errorWord>25～45%</errorWord>
      <group>L1_Knowledge</group>
      <groupName>知识性问题</groupName>
      <ability>L2_Knowledge</ability>
      <abilityName>其他知识</abilityName>
      <candidateList>
        <item>25%～45%</item>
      </candidateList>
      <explain>1. “25～45%”中的单位“%”仅出现在后一个数字上，容易引起歧义；根据《现代汉语标点符号数字用法规范手册》，数字表示范围两边需要使用统一的格式。2. 根据标点国标 4.13 中的规则，数字、时间或地域连接符应使用（视觉上更长的）“—”或“～”。</explain>
      <paraID>7B21BAC9</paraID>
      <start>0</start>
      <end>6</end>
      <status>unmodified</status>
      <modifiedWord/>
      <trackRevisions>false</trackRevisions>
    </reviewItem>
    <reviewItem>
      <errorID>e0c35778-947d-4062-ad82-35c8ca8d9498</errorID>
      <errorWord>(</errorWord>
      <group>L1_Format</group>
      <groupName>格式问题</groupName>
      <ability>L2_HalfPunc</ability>
      <abilityName>全半角检查</abilityName>
      <candidateList>
        <item>（</item>
      </candidateList>
      <explain>文本全半角错误。</explain>
      <paraID> BEF3156</paraID>
      <start>6</start>
      <end>7</end>
      <status>ignored</status>
      <modifiedWord/>
      <trackRevisions>false</trackRevisions>
    </reviewItem>
    <reviewItem>
      <errorID>a1d16ca6-1347-4f77-b56c-096a2bd68a66</errorID>
      <errorWord>)</errorWord>
      <group>L1_Format</group>
      <groupName>格式问题</groupName>
      <ability>L2_HalfPunc</ability>
      <abilityName>全半角检查</abilityName>
      <candidateList>
        <item>）</item>
      </candidateList>
      <explain>文本全半角错误。</explain>
      <paraID> BEF3156</paraID>
      <start>15</start>
      <end>16</end>
      <status>ignored</status>
      <modifiedWord/>
      <trackRevisions>false</trackRevisions>
    </reviewItem>
    <reviewItem>
      <errorID>6fa87cef-4a48-4ecf-a800-2ecca163a86f</errorID>
      <errorWord>(</errorWord>
      <group>L1_Format</group>
      <groupName>格式问题</groupName>
      <ability>L2_HalfPunc</ability>
      <abilityName>全半角检查</abilityName>
      <candidateList>
        <item>（</item>
      </candidateList>
      <explain>文本全半角错误。</explain>
      <paraID> 21C8FFF</paraID>
      <start>5</start>
      <end>6</end>
      <status>ignored</status>
      <modifiedWord/>
      <trackRevisions>false</trackRevisions>
    </reviewItem>
    <reviewItem>
      <errorID>293b3841-1e18-48af-9ae7-bc04753cfe39</errorID>
      <errorWord>)</errorWord>
      <group>L1_Format</group>
      <groupName>格式问题</groupName>
      <ability>L2_HalfPunc</ability>
      <abilityName>全半角检查</abilityName>
      <candidateList>
        <item>）</item>
      </candidateList>
      <explain>文本全半角错误。</explain>
      <paraID> 21C8FFF</paraID>
      <start>12</start>
      <end>13</end>
      <status>ignored</status>
      <modifiedWord/>
      <trackRevisions>false</trackRevisions>
    </reviewItem>
    <reviewItem>
      <errorID>758a5726-d67d-40b1-9317-6b23005c0195</errorID>
      <errorWord>(</errorWord>
      <group>L1_Format</group>
      <groupName>格式问题</groupName>
      <ability>L2_HalfPunc</ability>
      <abilityName>全半角检查</abilityName>
      <candidateList>
        <item>（</item>
      </candidateList>
      <explain>文本全半角错误。</explain>
      <paraID>7957B75E</paraID>
      <start>3</start>
      <end>4</end>
      <status>ignored</status>
      <modifiedWord/>
      <trackRevisions>false</trackRevisions>
    </reviewItem>
    <reviewItem>
      <errorID>21dad131-ae16-4ce5-9ac1-708684245a83</errorID>
      <errorWord>)</errorWord>
      <group>L1_Format</group>
      <groupName>格式问题</groupName>
      <ability>L2_HalfPunc</ability>
      <abilityName>全半角检查</abilityName>
      <candidateList>
        <item>）</item>
      </candidateList>
      <explain>文本全半角错误。</explain>
      <paraID>7957B75E</paraID>
      <start>5</start>
      <end>6</end>
      <status>ignored</status>
      <modifiedWord/>
      <trackRevisions>false</trackRevisions>
    </reviewItem>
    <reviewItem>
      <errorID>f75b7fc3-20c9-4bda-ad62-99168cb43c56</errorID>
      <errorWord>，</errorWord>
      <group>L1_Format</group>
      <groupName>格式问题</groupName>
      <ability>L2_HalfPunc</ability>
      <abilityName>全半角检查</abilityName>
      <candidateList>
        <item>,</item>
      </candidateList>
      <explain>文本全半角错误。</explain>
      <paraID>2A736681</paraID>
      <start>10</start>
      <end>11</end>
      <status>unmodified</status>
      <modifiedWord/>
      <trackRevisions>false</trackRevisions>
    </reviewItem>
    <reviewItem>
      <errorID>7f653452-0464-4f1c-b1a2-c7a5a93ef818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728248D2</paraID>
      <start>2</start>
      <end>3</end>
      <status>ignored</status>
      <modifiedWord/>
      <trackRevisions>false</trackRevisions>
    </reviewItem>
    <reviewItem>
      <errorID>1b5dc48d-2086-4fc8-9fe5-f0eb8a8d3824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C8904D9</paraID>
      <start>3</start>
      <end>4</end>
      <status>ignored</status>
      <modifiedWord/>
      <trackRevisions>false</trackRevisions>
    </reviewItem>
    <reviewItem>
      <errorID>6082003d-dd28-4b50-9613-7c3c133d2a15</errorID>
      <errorWord>25～45%</errorWord>
      <group>L1_Knowledge</group>
      <groupName>知识性问题</groupName>
      <ability>L2_Knowledge</ability>
      <abilityName>其他知识</abilityName>
      <candidateList>
        <item>25%～45%</item>
      </candidateList>
      <explain>1. “25～45%”中的单位“%”仅出现在后一个数字上，容易引起歧义；根据《现代汉语标点符号数字用法规范手册》，数字表示范围两边需要使用统一的格式。2. 根据标点国标 4.13 中的规则，数字、时间或地域连接符应使用（视觉上更长的）“—”或“～”。</explain>
      <paraID>584ABF3A</paraID>
      <start>0</start>
      <end>6</end>
      <status>unmodified</status>
      <modifiedWord/>
      <trackRevisions>false</trackRevisions>
    </reviewItem>
    <reviewItem>
      <errorID>67451d96-8dd6-4231-9881-e1e3f32bb5dc</errorID>
      <errorWord>25～45%</errorWord>
      <group>L1_Knowledge</group>
      <groupName>知识性问题</groupName>
      <ability>L2_Knowledge</ability>
      <abilityName>其他知识</abilityName>
      <candidateList>
        <item>25%～45%</item>
      </candidateList>
      <explain>1. “25～45%”中的单位“%”仅出现在后一个数字上，容易引起歧义；根据《现代汉语标点符号数字用法规范手册》，数字表示范围两边需要使用统一的格式。2. 根据标点国标 4.13 中的规则，数字、时间或地域连接符应使用（视觉上更长的）“—”或“～”。</explain>
      <paraID>11CCBFC4</paraID>
      <start>0</start>
      <end>6</end>
      <status>unmodified</status>
      <modifiedWord/>
      <trackRevisions>false</trackRevisions>
    </reviewItem>
    <reviewItem>
      <errorID>323c444f-068e-493d-9a7a-10b753684581</errorID>
      <errorWord>25～45%</errorWord>
      <group>L1_Knowledge</group>
      <groupName>知识性问题</groupName>
      <ability>L2_Knowledge</ability>
      <abilityName>其他知识</abilityName>
      <candidateList>
        <item>25%～45%</item>
      </candidateList>
      <explain>1. “25～45%”中的单位“%”仅出现在后一个数字上，容易引起歧义；根据《现代汉语标点符号数字用法规范手册》，数字表示范围两边需要使用统一的格式。2. 根据标点国标 4.13 中的规则，数字、时间或地域连接符应使用（视觉上更长的）“—”或“～”。</explain>
      <paraID>5C9442D5</paraID>
      <start>0</start>
      <end>6</end>
      <status>unmodified</status>
      <modifiedWord/>
      <trackRevisions>false</trackRevisions>
    </reviewItem>
    <reviewItem>
      <errorID>8b0160d8-e49e-4a71-8931-887df486f18f</errorID>
      <errorWord>(</errorWord>
      <group>L1_Format</group>
      <groupName>格式问题</groupName>
      <ability>L2_HalfPunc</ability>
      <abilityName>全半角检查</abilityName>
      <candidateList>
        <item>（</item>
      </candidateList>
      <explain>文本全半角错误。</explain>
      <paraID>1DF9C97E</paraID>
      <start>6</start>
      <end>7</end>
      <status>ignored</status>
      <modifiedWord/>
      <trackRevisions>false</trackRevisions>
    </reviewItem>
    <reviewItem>
      <errorID>620b1f9e-b735-4e69-ac7d-7c174512ec2f</errorID>
      <errorWord>)</errorWord>
      <group>L1_Format</group>
      <groupName>格式问题</groupName>
      <ability>L2_HalfPunc</ability>
      <abilityName>全半角检查</abilityName>
      <candidateList>
        <item>）</item>
      </candidateList>
      <explain>文本全半角错误。</explain>
      <paraID>1DF9C97E</paraID>
      <start>15</start>
      <end>16</end>
      <status>ignored</status>
      <modifiedWord/>
      <trackRevisions>false</trackRevisions>
    </reviewItem>
    <reviewItem>
      <errorID>f01b2d2d-ce1d-442a-a47e-75e5f89b74b5</errorID>
      <errorWord>(</errorWord>
      <group>L1_Format</group>
      <groupName>格式问题</groupName>
      <ability>L2_HalfPunc</ability>
      <abilityName>全半角检查</abilityName>
      <candidateList>
        <item>（</item>
      </candidateList>
      <explain>文本全半角错误。</explain>
      <paraID>3B861738</paraID>
      <start>5</start>
      <end>6</end>
      <status>ignored</status>
      <modifiedWord/>
      <trackRevisions>false</trackRevisions>
    </reviewItem>
    <reviewItem>
      <errorID>3f186643-b93b-4144-aeb9-b91cf3c22ab9</errorID>
      <errorWord>)</errorWord>
      <group>L1_Format</group>
      <groupName>格式问题</groupName>
      <ability>L2_HalfPunc</ability>
      <abilityName>全半角检查</abilityName>
      <candidateList>
        <item>）</item>
      </candidateList>
      <explain>文本全半角错误。</explain>
      <paraID>3B861738</paraID>
      <start>12</start>
      <end>13</end>
      <status>ignored</status>
      <modifiedWord/>
      <trackRevisions>false</trackRevisions>
    </reviewItem>
    <reviewItem>
      <errorID>37d92f42-25f8-43a9-9216-925ebde190d8</errorID>
      <errorWord>(</errorWord>
      <group>L1_Format</group>
      <groupName>格式问题</groupName>
      <ability>L2_HalfPunc</ability>
      <abilityName>全半角检查</abilityName>
      <candidateList>
        <item>（</item>
      </candidateList>
      <explain>文本全半角错误。</explain>
      <paraID>7896E122</paraID>
      <start>3</start>
      <end>4</end>
      <status>ignored</status>
      <modifiedWord/>
      <trackRevisions>false</trackRevisions>
    </reviewItem>
    <reviewItem>
      <errorID>0eac9a53-2c46-4e83-9c60-7c93e074cfef</errorID>
      <errorWord>)</errorWord>
      <group>L1_Format</group>
      <groupName>格式问题</groupName>
      <ability>L2_HalfPunc</ability>
      <abilityName>全半角检查</abilityName>
      <candidateList>
        <item>）</item>
      </candidateList>
      <explain>文本全半角错误。</explain>
      <paraID>7896E122</paraID>
      <start>5</start>
      <end>6</end>
      <status>ignored</status>
      <modifiedWord/>
      <trackRevisions>false</trackRevisions>
    </reviewItem>
    <reviewItem>
      <errorID>19f1f08b-b069-4850-ac87-24d7ffdc1a4f</errorID>
      <errorWord>-</errorWord>
      <group>L1_Format</group>
      <groupName>格式问题</groupName>
      <ability>L2_HalfPunc</ability>
      <abilityName>全半角检查</abilityName>
      <candidateList>
        <item>－</item>
      </candidateList>
      <explain>文本全半角错误。</explain>
      <paraID>1AB0A945</paraID>
      <start>5</start>
      <end>6</end>
      <status>unmodified</status>
      <modifiedWord/>
      <trackRevisions>false</trackRevisions>
    </reviewItem>
    <reviewItem>
      <errorID>f79287b2-7f9a-41d1-8b40-49fa71632a5b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3550148D</paraID>
      <start>3</start>
      <end>4</end>
      <status>ignored</status>
      <modifiedWord/>
      <trackRevisions>false</trackRevisions>
    </reviewItem>
    <reviewItem>
      <errorID>7375b5d2-10f2-4791-bec7-5ad5853cebcc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3FBB169</paraID>
      <start>3</start>
      <end>4</end>
      <status>ignored</status>
      <modifiedWord/>
      <trackRevisions>false</trackRevisions>
    </reviewItem>
    <reviewItem>
      <errorID>f540361a-c758-4281-8f19-ebb0434e8353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6A4CA980</paraID>
      <start>3</start>
      <end>4</end>
      <status>ignored</status>
      <modifiedWord/>
      <trackRevisions>false</trackRevisions>
    </reviewItem>
    <reviewItem>
      <errorID>9a602609-7f3f-4ac1-aca6-35b3249d594e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39F8AA1C</paraID>
      <start>3</start>
      <end>4</end>
      <status>ignored</status>
      <modifiedWord/>
      <trackRevisions>false</trackRevisions>
    </reviewItem>
    <reviewItem>
      <errorID>4443f260-a53f-4787-8238-fb688d1ef057</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 E0C872A</paraID>
      <start>15</start>
      <end>17</end>
      <status>unmodified</status>
      <modifiedWord/>
      <trackRevisions>false</trackRevisions>
    </reviewItem>
    <reviewItem>
      <errorID>624ba50f-f046-4d3d-948f-11a60105fe0b</errorID>
      <errorWord>-</errorWord>
      <group>L1_Format</group>
      <groupName>格式问题</groupName>
      <ability>L2_HalfPunc</ability>
      <abilityName>全半角检查</abilityName>
      <candidateList>
        <item>－</item>
      </candidateList>
      <explain>文本全半角错误。</explain>
      <paraID>4D474C46</paraID>
      <start>5</start>
      <end>6</end>
      <status>unmodified</status>
      <modifiedWord/>
      <trackRevisions>false</trackRevisions>
    </reviewItem>
    <reviewItem>
      <errorID>e0437063-b53c-43af-90e9-97752bd7eb68</errorID>
      <errorWord>，</errorWord>
      <group>L1_Format</group>
      <groupName>格式问题</groupName>
      <ability>L2_HalfPunc</ability>
      <abilityName>全半角检查</abilityName>
      <candidateList>
        <item>,</item>
      </candidateList>
      <explain>文本全半角错误。</explain>
      <paraID>434608A0</paraID>
      <start>9</start>
      <end>10</end>
      <status>unmodified</status>
      <modifiedWord/>
      <trackRevisions>false</trackRevisions>
    </reviewItem>
    <reviewItem>
      <errorID>4adbebce-5140-41c5-858d-5cea250b925b</errorID>
      <errorWord>，</errorWord>
      <group>L1_Format</group>
      <groupName>格式问题</groupName>
      <ability>L2_HalfPunc</ability>
      <abilityName>全半角检查</abilityName>
      <candidateList>
        <item>,</item>
      </candidateList>
      <explain>文本全半角错误。</explain>
      <paraID>41F49EE3</paraID>
      <start>9</start>
      <end>10</end>
      <status>unmodified</status>
      <modifiedWord/>
      <trackRevisions>false</trackRevisions>
    </reviewItem>
    <reviewItem>
      <errorID>a19554c6-46d3-45de-82bb-4d876a01f6bf</errorID>
      <errorWord>-</errorWord>
      <group>L1_Format</group>
      <groupName>格式问题</groupName>
      <ability>L2_HalfPunc</ability>
      <abilityName>全半角检查</abilityName>
      <candidateList>
        <item>－</item>
      </candidateList>
      <explain>文本全半角错误。</explain>
      <paraID>7AC30441</paraID>
      <start>5</start>
      <end>6</end>
      <status>unmodified</status>
      <modifiedWord/>
      <trackRevisions>false</trackRevisions>
    </reviewItem>
    <reviewItem>
      <errorID>97c502d8-feab-4f7f-8d91-1aab907105d7</errorID>
      <errorWord>，</errorWord>
      <group>L1_Format</group>
      <groupName>格式问题</groupName>
      <ability>L2_HalfPunc</ability>
      <abilityName>全半角检查</abilityName>
      <candidateList>
        <item>,</item>
      </candidateList>
      <explain>文本全半角错误。</explain>
      <paraID>26873677</paraID>
      <start>9</start>
      <end>10</end>
      <status>unmodified</status>
      <modifiedWord/>
      <trackRevisions>false</trackRevisions>
    </reviewItem>
    <reviewItem>
      <errorID>b63b38b4-72ba-47e8-b7ea-b799ff0b7b8c</errorID>
      <errorWord>~</errorWord>
      <group>L1_Format</group>
      <groupName>格式问题</groupName>
      <ability>L2_HalfPunc</ability>
      <abilityName>全半角检查</abilityName>
      <candidateList>
        <item>～</item>
      </candidateList>
      <explain>文本全半角错误。</explain>
      <paraID>4BC15325</paraID>
      <start>17</start>
      <end>18</end>
      <status>unmodified</status>
      <modifiedWord/>
      <trackRevisions>false</trackRevisions>
    </reviewItem>
    <reviewItem>
      <errorID>76f41fb9-cf5d-4181-834f-10d1ff7d10bb</errorID>
      <errorWord>~</errorWord>
      <group>L1_Format</group>
      <groupName>格式问题</groupName>
      <ability>L2_HalfPunc</ability>
      <abilityName>全半角检查</abilityName>
      <candidateList>
        <item>～</item>
      </candidateList>
      <explain>文本全半角错误。</explain>
      <paraID>4BC15325</paraID>
      <start>26</start>
      <end>27</end>
      <status>unmodified</status>
      <modifiedWord/>
      <trackRevisions>false</trackRevisions>
    </reviewItem>
    <reviewItem>
      <errorID>00b1eb58-3c74-493f-8f35-daa7cc6f3e69</errorID>
      <errorWord>，</errorWord>
      <group>L1_Format</group>
      <groupName>格式问题</groupName>
      <ability>L2_HalfPunc</ability>
      <abilityName>全半角检查</abilityName>
      <candidateList>
        <item>,</item>
      </candidateList>
      <explain>文本全半角错误。</explain>
      <paraID>45C763F0</paraID>
      <start>9</start>
      <end>10</end>
      <status>unmodified</status>
      <modifiedWord/>
      <trackRevisions>false</trackRevisions>
    </reviewItem>
    <reviewItem>
      <errorID>03298295-8c48-48c5-b700-1f87dfd85873</errorID>
      <errorWord>~</errorWord>
      <group>L1_Format</group>
      <groupName>格式问题</groupName>
      <ability>L2_HalfPunc</ability>
      <abilityName>全半角检查</abilityName>
      <candidateList>
        <item>～</item>
      </candidateList>
      <explain>文本全半角错误。</explain>
      <paraID>1BC3776B</paraID>
      <start>17</start>
      <end>18</end>
      <status>unmodified</status>
      <modifiedWord/>
      <trackRevisions>false</trackRevisions>
    </reviewItem>
    <reviewItem>
      <errorID>f2a07cb9-320b-43c9-93e1-29100cc21cda</errorID>
      <errorWord>~</errorWord>
      <group>L1_Format</group>
      <groupName>格式问题</groupName>
      <ability>L2_HalfPunc</ability>
      <abilityName>全半角检查</abilityName>
      <candidateList>
        <item>～</item>
      </candidateList>
      <explain>文本全半角错误。</explain>
      <paraID>1BC3776B</paraID>
      <start>26</start>
      <end>27</end>
      <status>unmodified</status>
      <modifiedWord/>
      <trackRevisions>false</trackRevisions>
    </reviewItem>
    <reviewItem>
      <errorID>54bb4204-9dca-45e0-80dc-802ea350ab70</errorID>
      <errorWord>-</errorWord>
      <group>L1_Format</group>
      <groupName>格式问题</groupName>
      <ability>L2_HalfPunc</ability>
      <abilityName>全半角检查</abilityName>
      <candidateList>
        <item>－</item>
      </candidateList>
      <explain>文本全半角错误。</explain>
      <paraID> 5F19BF3</paraID>
      <start>5</start>
      <end>6</end>
      <status>unmodified</status>
      <modifiedWord/>
      <trackRevisions>false</trackRevisions>
    </reviewItem>
    <reviewItem>
      <errorID>4dd7e18c-240b-42de-9d55-4479e469b9e9</errorID>
      <errorWord>，</errorWord>
      <group>L1_Format</group>
      <groupName>格式问题</groupName>
      <ability>L2_HalfPunc</ability>
      <abilityName>全半角检查</abilityName>
      <candidateList>
        <item>,</item>
      </candidateList>
      <explain>文本全半角错误。</explain>
      <paraID>20F87B37</paraID>
      <start>9</start>
      <end>10</end>
      <status>unmodified</status>
      <modifiedWord/>
      <trackRevisions>false</trackRevisions>
    </reviewItem>
    <reviewItem>
      <errorID>88f2fe43-fe16-4820-893b-25c6167b3911</errorID>
      <errorWord>~</errorWord>
      <group>L1_Format</group>
      <groupName>格式问题</groupName>
      <ability>L2_HalfPunc</ability>
      <abilityName>全半角检查</abilityName>
      <candidateList>
        <item>～</item>
      </candidateList>
      <explain>文本全半角错误。</explain>
      <paraID>3B999AA7</paraID>
      <start>17</start>
      <end>18</end>
      <status>unmodified</status>
      <modifiedWord/>
      <trackRevisions>false</trackRevisions>
    </reviewItem>
    <reviewItem>
      <errorID>ca9f47fc-8e94-4b51-84da-22023161a9b6</errorID>
      <errorWord>~</errorWord>
      <group>L1_Format</group>
      <groupName>格式问题</groupName>
      <ability>L2_HalfPunc</ability>
      <abilityName>全半角检查</abilityName>
      <candidateList>
        <item>～</item>
      </candidateList>
      <explain>文本全半角错误。</explain>
      <paraID>3B999AA7</paraID>
      <start>26</start>
      <end>27</end>
      <status>unmodified</status>
      <modifiedWord/>
      <trackRevisions>false</trackRevisions>
    </reviewItem>
    <reviewItem>
      <errorID>b326e69a-94b3-4773-8580-6200270eb565</errorID>
      <errorWord>，</errorWord>
      <group>L1_Format</group>
      <groupName>格式问题</groupName>
      <ability>L2_HalfPunc</ability>
      <abilityName>全半角检查</abilityName>
      <candidateList>
        <item>,</item>
      </candidateList>
      <explain>文本全半角错误。</explain>
      <paraID>2573B523</paraID>
      <start>9</start>
      <end>10</end>
      <status>unmodified</status>
      <modifiedWord/>
      <trackRevisions>false</trackRevisions>
    </reviewItem>
    <reviewItem>
      <errorID>dcc3fb7f-c32a-4a49-9a37-6fa8d35c4080</errorID>
      <errorWord>-</errorWord>
      <group>L1_Format</group>
      <groupName>格式问题</groupName>
      <ability>L2_HalfPunc</ability>
      <abilityName>全半角检查</abilityName>
      <candidateList>
        <item>－</item>
      </candidateList>
      <explain>文本全半角错误。</explain>
      <paraID>1CF58623</paraID>
      <start>5</start>
      <end>6</end>
      <status>unmodified</status>
      <modifiedWord/>
      <trackRevisions>false</trackRevisions>
    </reviewItem>
    <reviewItem>
      <errorID>5db97aa2-0fa6-4215-93e3-e91dd78b6e0d</errorID>
      <errorWord>，</errorWord>
      <group>L1_Format</group>
      <groupName>格式问题</groupName>
      <ability>L2_HalfPunc</ability>
      <abilityName>全半角检查</abilityName>
      <candidateList>
        <item>,</item>
      </candidateList>
      <explain>文本全半角错误。</explain>
      <paraID>1227C00A</paraID>
      <start>9</start>
      <end>10</end>
      <status>unmodified</status>
      <modifiedWord/>
      <trackRevisions>false</trackRevisions>
    </reviewItem>
    <reviewItem>
      <errorID>1c54ee7c-6acd-4837-9ea1-968a3ee5da9d</errorID>
      <errorWord>，</errorWord>
      <group>L1_Format</group>
      <groupName>格式问题</groupName>
      <ability>L2_HalfPunc</ability>
      <abilityName>全半角检查</abilityName>
      <candidateList>
        <item>,</item>
      </candidateList>
      <explain>文本全半角错误。</explain>
      <paraID>202584BF</paraID>
      <start>9</start>
      <end>10</end>
      <status>unmodified</status>
      <modifiedWord/>
      <trackRevisions>false</trackRevisions>
    </reviewItem>
    <reviewItem>
      <errorID>d8e43401-c64d-402a-9178-7655518eb896</errorID>
      <errorWord>(</errorWord>
      <group>L1_Format</group>
      <groupName>格式问题</groupName>
      <ability>L2_HalfPunc</ability>
      <abilityName>全半角检查</abilityName>
      <candidateList>
        <item>（</item>
      </candidateList>
      <explain>文本全半角错误。</explain>
      <paraID>3DB48194</paraID>
      <start>276</start>
      <end>277</end>
      <status>ignored</status>
      <modifiedWord/>
      <trackRevisions>false</trackRevisions>
    </reviewItem>
    <reviewItem>
      <errorID>fd3fd04f-8f2b-4608-b314-9ea982e73038</errorID>
      <errorWord>)</errorWord>
      <group>L1_Format</group>
      <groupName>格式问题</groupName>
      <ability>L2_HalfPunc</ability>
      <abilityName>全半角检查</abilityName>
      <candidateList>
        <item>）</item>
      </candidateList>
      <explain>文本全半角错误。</explain>
      <paraID>3DB48194</paraID>
      <start>278</start>
      <end>279</end>
      <status>ignored</status>
      <modifiedWord/>
      <trackRevisions>false</trackRevisions>
    </reviewItem>
    <reviewItem>
      <errorID>5448cd9b-513b-4710-b406-951b8b4dab08</errorID>
      <errorWord>-</errorWord>
      <group>L1_Format</group>
      <groupName>格式问题</groupName>
      <ability>L2_HalfPunc</ability>
      <abilityName>全半角检查</abilityName>
      <candidateList>
        <item>－</item>
      </candidateList>
      <explain>文本全半角错误。</explain>
      <paraID>75A678D2</paraID>
      <start>5</start>
      <end>6</end>
      <status>unmodified</status>
      <modifiedWord/>
      <trackRevisions>false</trackRevisions>
    </reviewItem>
    <reviewItem>
      <errorID>9476ed04-e3d0-4e76-be66-ab6aa0bc73ec</errorID>
      <errorWord>-</errorWord>
      <group>L1_Format</group>
      <groupName>格式问题</groupName>
      <ability>L2_HalfPunc</ability>
      <abilityName>全半角检查</abilityName>
      <candidateList>
        <item>－</item>
      </candidateList>
      <explain>文本全半角错误。</explain>
      <paraID> 91EFFE8</paraID>
      <start>5</start>
      <end>6</end>
      <status>unmodified</status>
      <modifiedWord/>
      <trackRevisions>false</trackRevisions>
    </reviewItem>
    <reviewItem>
      <errorID>299452c7-cf03-48a0-9b35-a1de84fc08d6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300CB8F7</paraID>
      <start>2</start>
      <end>3</end>
      <status>ignored</status>
      <modifiedWord/>
      <trackRevisions>false</trackRevisions>
    </reviewItem>
    <reviewItem>
      <errorID>09cd3274-bd05-4a8c-be69-b51dc6b1f740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323B30F5</paraID>
      <start>3</start>
      <end>4</end>
      <status>ignored</status>
      <modifiedWord/>
      <trackRevisions>false</trackRevisions>
    </reviewItem>
    <reviewItem>
      <errorID>75328feb-0975-417a-a389-d62ed2ef184f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3722B38E</paraID>
      <start>2</start>
      <end>3</end>
      <status>ignored</status>
      <modifiedWord/>
      <trackRevisions>false</trackRevisions>
    </reviewItem>
    <reviewItem>
      <errorID>7cbf8665-b370-451a-9ea1-b2c950cda37a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3581346B</paraID>
      <start>3</start>
      <end>4</end>
      <status>ignored</status>
      <modifiedWord/>
      <trackRevisions>false</trackRevisions>
    </reviewItem>
    <reviewItem>
      <errorID>effa9a13-aca4-499c-bb71-60991427817d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7C68543E</paraID>
      <start>2</start>
      <end>3</end>
      <status>ignored</status>
      <modifiedWord/>
      <trackRevisions>false</trackRevisions>
    </reviewItem>
    <reviewItem>
      <errorID>c87d018a-48c5-46ff-85bf-117e61730a00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A25EE27</paraID>
      <start>3</start>
      <end>4</end>
      <status>ignored</status>
      <modifiedWord/>
      <trackRevisions>false</trackRevisions>
    </reviewItem>
    <reviewItem>
      <errorID>d6b5b49e-b80f-4565-87ae-bf54715259f4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F9FAEFD</paraID>
      <start>0</start>
      <end>2</end>
      <status>unmodified</status>
      <modifiedWord/>
      <trackRevisions>false</trackRevisions>
    </reviewItem>
    <reviewItem>
      <errorID>f81f3702-6547-438a-9df5-454bc88b0bce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28828C61</paraID>
      <start>0</start>
      <end>2</end>
      <status>unmodified</status>
      <modifiedWord/>
      <trackRevisions>false</trackRevisions>
    </reviewItem>
    <reviewItem>
      <errorID>52f2f8de-f17f-4ec1-a4d1-ab5d8342a23a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7DAE72C2</paraID>
      <start>0</start>
      <end>2</end>
      <status>unmodified</status>
      <modifiedWord/>
      <trackRevisions>false</trackRevisions>
    </reviewItem>
    <reviewItem>
      <errorID>74e6e0a8-dd1c-414c-9490-4574195f59c0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B7FF707</paraID>
      <start>0</start>
      <end>2</end>
      <status>unmodified</status>
      <modifiedWord/>
      <trackRevisions>false</trackRevisions>
    </reviewItem>
    <reviewItem>
      <errorID>f27d50fa-f86e-432c-8032-de280150a1a3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7C296AD0</paraID>
      <start>0</start>
      <end>2</end>
      <status>unmodified</status>
      <modifiedWord/>
      <trackRevisions>false</trackRevisions>
    </reviewItem>
    <reviewItem>
      <errorID>138d7034-bb63-42d9-a604-1801ea584fe8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4B49DE84</paraID>
      <start>0</start>
      <end>2</end>
      <status>unmodified</status>
      <modifiedWord/>
      <trackRevisions>false</trackRevisions>
    </reviewItem>
    <reviewItem>
      <errorID>810e5523-fd45-4b95-a90c-62b765f903ad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11447958</paraID>
      <start>0</start>
      <end>2</end>
      <status>unmodified</status>
      <modifiedWord/>
      <trackRevisions>false</trackRevisions>
    </reviewItem>
    <reviewItem>
      <errorID>08ea1f62-59f5-402a-8fd6-e56270a90ee2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4E2AD761</paraID>
      <start>0</start>
      <end>2</end>
      <status>unmodified</status>
      <modifiedWord/>
      <trackRevisions>false</trackRevisions>
    </reviewItem>
    <reviewItem>
      <errorID>acbabfb5-2f1f-4cfa-a9d6-93c71f357339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1D24B874</paraID>
      <start>0</start>
      <end>2</end>
      <status>unmodified</status>
      <modifiedWord/>
      <trackRevisions>false</trackRevisions>
    </reviewItem>
    <reviewItem>
      <errorID>df6cb54a-2eca-4c76-8623-d9225c607d52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3B5A7092</paraID>
      <start>0</start>
      <end>2</end>
      <status>unmodified</status>
      <modifiedWord/>
      <trackRevisions>false</trackRevisions>
    </reviewItem>
    <reviewItem>
      <errorID>b6ab5e77-fe3f-4d8e-9bdf-95a4406f9f36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47E09D2C</paraID>
      <start>0</start>
      <end>2</end>
      <status>unmodified</status>
      <modifiedWord/>
      <trackRevisions>false</trackRevisions>
    </reviewItem>
    <reviewItem>
      <errorID>bd435fcc-cf99-4531-86b4-c69f5b06511b</errorID>
      <errorWord>-</errorWord>
      <group>L1_Format</group>
      <groupName>格式问题</groupName>
      <ability>L2_HalfPunc</ability>
      <abilityName>全半角检查</abilityName>
      <candidateList>
        <item>－</item>
      </candidateList>
      <explain>文本全半角错误。</explain>
      <paraID> 17FFEB2</paraID>
      <start>5</start>
      <end>6</end>
      <status>unmodified</status>
      <modifiedWord/>
      <trackRevisions>false</trackRevisions>
    </reviewItem>
    <reviewItem>
      <errorID>d7a91822-2d99-4165-b5cc-8d4316f6a042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66F92E3D</paraID>
      <start>0</start>
      <end>2</end>
      <status>unmodified</status>
      <modifiedWord/>
      <trackRevisions>false</trackRevisions>
    </reviewItem>
    <reviewItem>
      <errorID>fd53183f-6c53-48a2-9a6f-93c94e9e08f5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7DFDCBFD</paraID>
      <start>0</start>
      <end>2</end>
      <status>unmodified</status>
      <modifiedWord/>
      <trackRevisions>false</trackRevisions>
    </reviewItem>
    <reviewItem>
      <errorID>1cead7b7-64f5-430c-b3e3-0d6a56fca370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7B3AF66D</paraID>
      <start>0</start>
      <end>2</end>
      <status>unmodified</status>
      <modifiedWord/>
      <trackRevisions>false</trackRevisions>
    </reviewItem>
    <reviewItem>
      <errorID>af0ade85-40cf-47fe-a377-730652c01807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72C34B9D</paraID>
      <start>0</start>
      <end>2</end>
      <status>unmodified</status>
      <modifiedWord/>
      <trackRevisions>false</trackRevisions>
    </reviewItem>
    <reviewItem>
      <errorID>2eff4326-f86c-4c65-9c60-cea0b3afcc44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1256B96B</paraID>
      <start>0</start>
      <end>2</end>
      <status>unmodified</status>
      <modifiedWord/>
      <trackRevisions>false</trackRevisions>
    </reviewItem>
    <reviewItem>
      <errorID>4ef1226d-4c29-487d-a5af-9a34b6dc41f9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72133DEE</paraID>
      <start>0</start>
      <end>2</end>
      <status>unmodified</status>
      <modifiedWord/>
      <trackRevisions>false</trackRevisions>
    </reviewItem>
    <reviewItem>
      <errorID>d62a4b33-c02c-4b46-8515-2dcb943058e4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B1F5981</paraID>
      <start>0</start>
      <end>2</end>
      <status>unmodified</status>
      <modifiedWord/>
      <trackRevisions>false</trackRevisions>
    </reviewItem>
    <reviewItem>
      <errorID>545fef50-7b5e-4ec9-b176-150fb1e3e1d8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5235D680</paraID>
      <start>0</start>
      <end>2</end>
      <status>unmodified</status>
      <modifiedWord/>
      <trackRevisions>false</trackRevisions>
    </reviewItem>
    <reviewItem>
      <errorID>b2f1cdb2-20dd-47e6-a76a-c71fc8590a91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9795B70</paraID>
      <start>0</start>
      <end>2</end>
      <status>unmodified</status>
      <modifiedWord/>
      <trackRevisions>false</trackRevisions>
    </reviewItem>
    <reviewItem>
      <errorID>4b46e18b-14c3-4020-916b-8efe8c6328c1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42EBBB32</paraID>
      <start>0</start>
      <end>2</end>
      <status>unmodified</status>
      <modifiedWord/>
      <trackRevisions>false</trackRevisions>
    </reviewItem>
    <reviewItem>
      <errorID>19fab04b-1436-4c11-9781-aff56fe02fab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49B810E0</paraID>
      <start>0</start>
      <end>2</end>
      <status>unmodified</status>
      <modifiedWord/>
      <trackRevisions>false</trackRevisions>
    </reviewItem>
    <reviewItem>
      <errorID>307968be-4c89-413f-ab67-13504495169b</errorID>
      <errorWord>-</errorWord>
      <group>L1_Format</group>
      <groupName>格式问题</groupName>
      <ability>L2_HalfPunc</ability>
      <abilityName>全半角检查</abilityName>
      <candidateList>
        <item>－</item>
      </candidateList>
      <explain>文本全半角错误。</explain>
      <paraID> 959B565</paraID>
      <start>5</start>
      <end>6</end>
      <status>unmodified</status>
      <modifiedWord/>
      <trackRevisions>false</trackRevisions>
    </reviewItem>
    <reviewItem>
      <errorID>8b537972-2673-4075-8f1f-8187cadf7e38</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 23199DF</paraID>
      <start>32</start>
      <end>34</end>
      <status>unmodified</status>
      <modifiedWord/>
      <trackRevisions>false</trackRevisions>
    </reviewItem>
    <reviewItem>
      <errorID>def991e2-f4d3-4b3d-9d85-fcdecb2a360e</errorID>
      <errorWord>＝</errorWord>
      <group>L1_Format</group>
      <groupName>格式问题</groupName>
      <ability>L2_HalfPunc</ability>
      <abilityName>全半角检查</abilityName>
      <candidateList>
        <item>=</item>
      </candidateList>
      <explain>文本全半角错误。</explain>
      <paraID>43E8B583</paraID>
      <start>2</start>
      <end>3</end>
      <status>unmodified</status>
      <modifiedWord/>
      <trackRevisions>false</trackRevisions>
    </reviewItem>
    <reviewItem>
      <errorID>d23e646f-9001-491f-85c0-5102545690bf</errorID>
      <errorWord>其它</errorWord>
      <group>L1_Word</group>
      <groupName>字词问题</groupName>
      <ability>L2_Alias</ability>
      <abilityName>也作/曾用词</abilityName>
      <candidateList>
        <item>其他</item>
      </candidateList>
      <explain>词汇[其它]为不规范表述或旧称，其规范书面表述为[其他]。</explain>
      <paraID>72E2E830</paraID>
      <start>185</start>
      <end>187</end>
      <status>unmodified</status>
      <modifiedWord/>
      <trackRevisions>false</trackRevisions>
    </reviewItem>
    <reviewItem>
      <errorID>2e94ccb7-cb0e-46f6-813c-819002091872</errorID>
      <errorWord>-</errorWord>
      <group>L1_Format</group>
      <groupName>格式问题</groupName>
      <ability>L2_HalfPunc</ability>
      <abilityName>全半角检查</abilityName>
      <candidateList>
        <item>－</item>
      </candidateList>
      <explain>文本全半角错误。</explain>
      <paraID>1E287FB3</paraID>
      <start>5</start>
      <end>6</end>
      <status>unmodified</status>
      <modifiedWord/>
      <trackRevisions>false</trackRevisions>
    </reviewItem>
    <reviewItem>
      <errorID>f5751366-0aa3-44fe-8c17-93cb27d9f203</errorID>
      <errorWord>-</errorWord>
      <group>L1_Format</group>
      <groupName>格式问题</groupName>
      <ability>L2_HalfPunc</ability>
      <abilityName>全半角检查</abilityName>
      <candidateList>
        <item>－</item>
      </candidateList>
      <explain>文本全半角错误。</explain>
      <paraID>13DED108</paraID>
      <start>5</start>
      <end>6</end>
      <status>unmodified</status>
      <modifiedWord/>
      <trackRevisions>false</trackRevisions>
    </reviewItem>
    <reviewItem>
      <errorID>4409ccd9-8080-440b-b0d8-d3bcc8cc1870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42B2410</paraID>
      <start>2</start>
      <end>3</end>
      <status>ignored</status>
      <modifiedWord/>
      <trackRevisions>false</trackRevisions>
    </reviewItem>
    <reviewItem>
      <errorID>20298ed9-18a2-4c6c-a83a-4b004c25c97a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733B86BB</paraID>
      <start>3</start>
      <end>4</end>
      <status>ignored</status>
      <modifiedWord/>
      <trackRevisions>false</trackRevisions>
    </reviewItem>
    <reviewItem>
      <errorID>563bd655-01f9-4cfd-af5c-7f03ffbb68cc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39038704</paraID>
      <start>2</start>
      <end>3</end>
      <status>ignored</status>
      <modifiedWord/>
      <trackRevisions>false</trackRevisions>
    </reviewItem>
    <reviewItem>
      <errorID>c31d2306-1a75-4bde-8ed2-76b9570f2f1e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78EA57B5</paraID>
      <start>3</start>
      <end>4</end>
      <status>ignored</status>
      <modifiedWord/>
      <trackRevisions>false</trackRevisions>
    </reviewItem>
    <reviewItem>
      <errorID>04e80781-04e1-4546-b8c1-81ceac21df3f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3A0A211</paraID>
      <start>2</start>
      <end>3</end>
      <status>ignored</status>
      <modifiedWord/>
      <trackRevisions>false</trackRevisions>
    </reviewItem>
    <reviewItem>
      <errorID>8cd53786-5d98-4814-acec-67a70a3ff801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C445F27</paraID>
      <start>3</start>
      <end>4</end>
      <status>ignored</status>
      <modifiedWord/>
      <trackRevisions>false</trackRevisions>
    </reviewItem>
    <reviewItem>
      <errorID>5a677ce9-f29c-4a5b-90c4-081cff5587a2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23D4608A</paraID>
      <start>0</start>
      <end>2</end>
      <status>unmodified</status>
      <modifiedWord/>
      <trackRevisions>false</trackRevisions>
    </reviewItem>
    <reviewItem>
      <errorID>59f03dac-c267-4117-bd58-8c43c305c4dc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3BE62453</paraID>
      <start>0</start>
      <end>2</end>
      <status>unmodified</status>
      <modifiedWord/>
      <trackRevisions>false</trackRevisions>
    </reviewItem>
    <reviewItem>
      <errorID>a7d7ce8c-4d6e-4693-ba9a-679cdfe40986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57AF9305</paraID>
      <start>0</start>
      <end>2</end>
      <status>unmodified</status>
      <modifiedWord/>
      <trackRevisions>false</trackRevisions>
    </reviewItem>
    <reviewItem>
      <errorID>3c8e6e5e-738e-4f7b-8b34-e80cd37a389b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1EFF4344</paraID>
      <start>0</start>
      <end>2</end>
      <status>unmodified</status>
      <modifiedWord/>
      <trackRevisions>false</trackRevisions>
    </reviewItem>
    <reviewItem>
      <errorID>e9aa4156-bc99-43c3-b06c-28d96ff7add7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5149F914</paraID>
      <start>0</start>
      <end>2</end>
      <status>unmodified</status>
      <modifiedWord/>
      <trackRevisions>false</trackRevisions>
    </reviewItem>
    <reviewItem>
      <errorID>e18f846c-def3-458a-9a74-11280f88104b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604B0C20</paraID>
      <start>0</start>
      <end>2</end>
      <status>unmodified</status>
      <modifiedWord/>
      <trackRevisions>false</trackRevisions>
    </reviewItem>
    <reviewItem>
      <errorID>8c364020-8355-4729-ba25-44af454d5924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47B9B3E7</paraID>
      <start>0</start>
      <end>2</end>
      <status>unmodified</status>
      <modifiedWord/>
      <trackRevisions>false</trackRevisions>
    </reviewItem>
    <reviewItem>
      <errorID>e6e25ce1-5720-48c4-a7f9-a27f7668d77e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36330002</paraID>
      <start>0</start>
      <end>2</end>
      <status>unmodified</status>
      <modifiedWord/>
      <trackRevisions>false</trackRevisions>
    </reviewItem>
    <reviewItem>
      <errorID>0c64c938-60aa-4647-9fd5-c09de54fdb4d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260B4FF0</paraID>
      <start>0</start>
      <end>2</end>
      <status>unmodified</status>
      <modifiedWord/>
      <trackRevisions>false</trackRevisions>
    </reviewItem>
    <reviewItem>
      <errorID>29bfd305-bb93-466e-8894-eba311869132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5C9717D4</paraID>
      <start>0</start>
      <end>2</end>
      <status>unmodified</status>
      <modifiedWord/>
      <trackRevisions>false</trackRevisions>
    </reviewItem>
    <reviewItem>
      <errorID>10c9906b-59cf-4a81-8030-a221d0ea5f2b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4D112336</paraID>
      <start>0</start>
      <end>2</end>
      <status>unmodified</status>
      <modifiedWord/>
      <trackRevisions>false</trackRevisions>
    </reviewItem>
    <reviewItem>
      <errorID>8234d86a-bee5-4c17-877a-70553c14ee87</errorID>
      <errorWord>-</errorWord>
      <group>L1_Format</group>
      <groupName>格式问题</groupName>
      <ability>L2_HalfPunc</ability>
      <abilityName>全半角检查</abilityName>
      <candidateList>
        <item>－</item>
      </candidateList>
      <explain>文本全半角错误。</explain>
      <paraID>7D51512D</paraID>
      <start>5</start>
      <end>6</end>
      <status>unmodified</status>
      <modifiedWord/>
      <trackRevisions>false</trackRevisions>
    </reviewItem>
    <reviewItem>
      <errorID>4c34ea70-7500-4d48-9453-dfcbea6aa95b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25EF58F1</paraID>
      <start>0</start>
      <end>2</end>
      <status>unmodified</status>
      <modifiedWord/>
      <trackRevisions>false</trackRevisions>
    </reviewItem>
    <reviewItem>
      <errorID>fb014f9b-2fb5-4d9a-8ac0-b08e8064abeb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5EA2CC30</paraID>
      <start>0</start>
      <end>2</end>
      <status>unmodified</status>
      <modifiedWord/>
      <trackRevisions>false</trackRevisions>
    </reviewItem>
    <reviewItem>
      <errorID>b8342266-f58f-4797-aa90-abe6a5053c15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1191CD6E</paraID>
      <start>0</start>
      <end>2</end>
      <status>unmodified</status>
      <modifiedWord/>
      <trackRevisions>false</trackRevisions>
    </reviewItem>
    <reviewItem>
      <errorID>eca45938-f28b-4820-8cbe-c9a67629004c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4D561515</paraID>
      <start>0</start>
      <end>2</end>
      <status>unmodified</status>
      <modifiedWord/>
      <trackRevisions>false</trackRevisions>
    </reviewItem>
    <reviewItem>
      <errorID>42fca0c1-7321-442c-9480-f73b0a08e0c6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6C1598FF</paraID>
      <start>0</start>
      <end>2</end>
      <status>unmodified</status>
      <modifiedWord/>
      <trackRevisions>false</trackRevisions>
    </reviewItem>
    <reviewItem>
      <errorID>b63e1058-e017-4b0a-b813-a660cfbc3aca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5782165A</paraID>
      <start>0</start>
      <end>2</end>
      <status>unmodified</status>
      <modifiedWord/>
      <trackRevisions>false</trackRevisions>
    </reviewItem>
    <reviewItem>
      <errorID>f3ca9f58-4a29-4dd7-9d22-b3845a9d2199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48EA370C</paraID>
      <start>0</start>
      <end>2</end>
      <status>unmodified</status>
      <modifiedWord/>
      <trackRevisions>false</trackRevisions>
    </reviewItem>
    <reviewItem>
      <errorID>8503bc29-fba3-434e-addb-32c4c7e0d8d0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7032E78E</paraID>
      <start>0</start>
      <end>2</end>
      <status>unmodified</status>
      <modifiedWord/>
      <trackRevisions>false</trackRevisions>
    </reviewItem>
    <reviewItem>
      <errorID>68b0f45b-0980-4d31-9baa-4b79183ad7c6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28BFE49E</paraID>
      <start>0</start>
      <end>2</end>
      <status>unmodified</status>
      <modifiedWord/>
      <trackRevisions>false</trackRevisions>
    </reviewItem>
    <reviewItem>
      <errorID>72bebcf9-fdc6-4ef9-b3d4-fcb25fb97ba3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5067BCC9</paraID>
      <start>0</start>
      <end>2</end>
      <status>unmodified</status>
      <modifiedWord/>
      <trackRevisions>false</trackRevisions>
    </reviewItem>
    <reviewItem>
      <errorID>3a2f0d4e-6d01-4813-942e-75f71fab044d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17275649</paraID>
      <start>0</start>
      <end>2</end>
      <status>unmodified</status>
      <modifiedWord/>
      <trackRevisions>false</trackRevisions>
    </reviewItem>
    <reviewItem>
      <errorID>60801888-f561-4386-8c2b-211b2d204530</errorID>
      <errorWord>-</errorWord>
      <group>L1_Format</group>
      <groupName>格式问题</groupName>
      <ability>L2_HalfPunc</ability>
      <abilityName>全半角检查</abilityName>
      <candidateList>
        <item>－</item>
      </candidateList>
      <explain>文本全半角错误。</explain>
      <paraID>72A58A83</paraID>
      <start>5</start>
      <end>6</end>
      <status>unmodified</status>
      <modifiedWord/>
      <trackRevisions>false</trackRevisions>
    </reviewItem>
    <reviewItem>
      <errorID>e030aeb1-3417-443f-9180-91ba39e60edd</errorID>
      <errorWord>其它</errorWord>
      <group>L1_Word</group>
      <groupName>字词问题</groupName>
      <ability>L2_Alias</ability>
      <abilityName>也作/曾用词</abilityName>
      <candidateList>
        <item>其他</item>
      </candidateList>
      <explain>词汇[其它]为不规范表述或旧称，其规范书面表述为[其他]。</explain>
      <paraID>7A5AC2F0</paraID>
      <start>228</start>
      <end>230</end>
      <status>unmodified</status>
      <modifiedWord/>
      <trackRevisions>false</trackRevisions>
    </reviewItem>
    <reviewItem>
      <errorID>760dc7e3-4d67-4380-8350-b21ec3afb2dd</errorID>
      <errorWord>最大力度</errorWord>
      <group>L1_Word</group>
      <groupName>字词问题</groupName>
      <ability>L2_Typo</ability>
      <abilityName>字词错误</abilityName>
      <candidateList>
        <item>最大限度</item>
      </candidateList>
      <explain/>
      <paraID>392C6E3E</paraID>
      <start>310</start>
      <end>314</end>
      <status>unmodified</status>
      <modifiedWord/>
      <trackRevisions>false</trackRevisions>
    </reviewItem>
    <reviewItem>
      <errorID>95b9e888-6625-4fa5-8359-4ab1ddffea7b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392C6E3E</paraID>
      <start>314</start>
      <end>315</end>
      <status>unmodified</status>
      <modifiedWord/>
      <trackRevisions>false</trackRevisions>
    </reviewItem>
    <reviewItem>
      <errorID>0b6bf505-4de8-4abd-99e4-971ddb67964f</errorID>
      <errorWord>(</errorWord>
      <group>L1_Format</group>
      <groupName>格式问题</groupName>
      <ability>L2_HalfPunc</ability>
      <abilityName>全半角检查</abilityName>
      <candidateList>
        <item>（</item>
      </candidateList>
      <explain>文本全半角错误。</explain>
      <paraID>5508C3A1</paraID>
      <start>75</start>
      <end>76</end>
      <status>ignored</status>
      <modifiedWord/>
      <trackRevisions>false</trackRevisions>
    </reviewItem>
    <reviewItem>
      <errorID>3716f361-8a6c-4ac7-ba56-9af9ec65dd70</errorID>
      <errorWord>)</errorWord>
      <group>L1_Format</group>
      <groupName>格式问题</groupName>
      <ability>L2_HalfPunc</ability>
      <abilityName>全半角检查</abilityName>
      <candidateList>
        <item>）</item>
      </candidateList>
      <explain>文本全半角错误。</explain>
      <paraID>5508C3A1</paraID>
      <start>88</start>
      <end>89</end>
      <status>ignored</status>
      <modifiedWord/>
      <trackRevisions>false</trackRevisions>
    </reviewItem>
    <reviewItem>
      <errorID>3a4281ef-02cb-4903-9710-969a967cae8e</errorID>
      <errorWord>-</errorWord>
      <group>L1_Format</group>
      <groupName>格式问题</groupName>
      <ability>L2_HalfPunc</ability>
      <abilityName>全半角检查</abilityName>
      <candidateList>
        <item>－</item>
      </candidateList>
      <explain>文本全半角错误。</explain>
      <paraID>5508C3A1</paraID>
      <start>133</start>
      <end>134</end>
      <status>unmodified</status>
      <modifiedWord/>
      <trackRevisions>false</trackRevisions>
    </reviewItem>
    <reviewItem>
      <errorID>0e515aa1-0afc-4f60-9dfd-f3c2e6876dbd</errorID>
      <errorWord>-</errorWord>
      <group>L1_Format</group>
      <groupName>格式问题</groupName>
      <ability>L2_HalfPunc</ability>
      <abilityName>全半角检查</abilityName>
      <candidateList>
        <item>－</item>
      </candidateList>
      <explain>文本全半角错误。</explain>
      <paraID>5508C3A1</paraID>
      <start>136</start>
      <end>137</end>
      <status>unmodified</status>
      <modifiedWord/>
      <trackRevisions>false</trackRevisions>
    </reviewItem>
    <reviewItem>
      <errorID>45c2c961-2f8b-4136-9b19-08a09b154caf</errorID>
      <errorWord>分</errorWord>
      <group>L1_Word</group>
      <groupName>字词问题</groupName>
      <ability>L2_Typo</ability>
      <abilityName>字词错误</abilityName>
      <candidateList>
        <item>分为</item>
      </candidateList>
      <explain/>
      <paraID>2221C2A5</paraID>
      <start>80</start>
      <end>81</end>
      <status>unmodified</status>
      <modifiedWord/>
      <trackRevisions>false</trackRevisions>
    </reviewItem>
    <reviewItem>
      <errorID>f94551cf-b598-46c8-8107-fc9a69db9d32</errorID>
      <errorWord>见图</errorWord>
      <group>L1_Word</group>
      <groupName>字词问题</groupName>
      <ability>L2_Typo</ability>
      <abilityName>字词错误</abilityName>
      <candidateList>
        <item>见</item>
      </candidateList>
      <explain/>
      <paraID>1DC70A69</paraID>
      <start>16</start>
      <end>18</end>
      <status>unmodified</status>
      <modifiedWord/>
      <trackRevisions>false</trackRevisions>
    </reviewItem>
    <reviewItem>
      <errorID>eb9cc571-829d-4c8e-8ed9-a3dd9687b803</errorID>
      <errorWord>主要以玉米为主</errorWord>
      <group>L1_Grammar</group>
      <groupName>语法问题</groupName>
      <ability>L2_Grammar</ability>
      <abilityName>语法错误</abilityName>
      <candidateList>
        <item>以玉米为主</item>
      </candidateList>
      <explain/>
      <paraID>67282575</paraID>
      <start>50</start>
      <end>57</end>
      <status>unmodified</status>
      <modifiedWord/>
      <trackRevisions>false</trackRevisions>
    </reviewItem>
    <reviewItem>
      <errorID>f84e073f-535c-4f97-821e-36f0fd11228d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427712AE</paraID>
      <start>33</start>
      <end>34</end>
      <status>ignored</status>
      <modifiedWord/>
      <trackRevisions>false</trackRevisions>
    </reviewItem>
    <reviewItem>
      <errorID>92fdf7e7-f724-49e6-9352-1a3661d3ba96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427712AE</paraID>
      <start>57</start>
      <end>58</end>
      <status>ignored</status>
      <modifiedWord/>
      <trackRevisions>false</trackRevisions>
    </reviewItem>
    <reviewItem>
      <errorID>a1bb9b60-f9ff-409a-8d07-bfce1f461501</errorID>
      <errorWord>法制化</errorWord>
      <group>L1_Word</group>
      <groupName>字词问题</groupName>
      <ability>L2_Typo</ability>
      <abilityName>字词错误</abilityName>
      <candidateList>
        <item>法治化</item>
      </candidateList>
      <explain/>
      <paraID>5ED988DB</paraID>
      <start>54</start>
      <end>57</end>
      <status>unmodified</status>
      <modifiedWord/>
      <trackRevisions>false</trackRevisions>
    </reviewItem>
    <reviewItem>
      <errorID>6eb010be-dc5f-4f07-bd1c-b0a89f467178</errorID>
      <errorWord>&lt;</errorWord>
      <group>L1_Format</group>
      <groupName>格式问题</groupName>
      <ability>L2_HalfPunc</ability>
      <abilityName>全半角检查</abilityName>
      <candidateList>
        <item>〈</item>
      </candidateList>
      <explain>文本全半角错误。</explain>
      <paraID> D81FB60</paraID>
      <start>36</start>
      <end>37</end>
      <status>unmodified</status>
      <modifiedWord/>
      <trackRevisions>false</trackRevisions>
    </reviewItem>
    <reviewItem>
      <errorID>b1bfe54d-e46a-4e94-9304-826fb7dcb714</errorID>
      <errorWord>&gt;的通知》</errorWord>
      <group>L1_Punc</group>
      <groupName>标点问题</groupName>
      <ability>L2_Punc</ability>
      <abilityName>标点符号检查</abilityName>
      <candidateList>
        <item>〉的通知》</item>
      </candidateList>
      <explain/>
      <paraID> D81FB60</paraID>
      <start>64</start>
      <end>69</end>
      <status>unmodified</status>
      <modifiedWord/>
      <trackRevisions>false</trackRevisions>
    </reviewItem>
    <reviewItem>
      <errorID>270acc2b-02f3-4865-9379-5da5f95059bb</errorID>
      <errorWord>控制控制</errorWord>
      <group>L1_Word</group>
      <groupName>字词问题</groupName>
      <ability>L2_Typo</ability>
      <abilityName>字词错误</abilityName>
      <candidateList>
        <item>控制</item>
      </candidateList>
      <explain/>
      <paraID> 7C0C03B</paraID>
      <start>56</start>
      <end>60</end>
      <status>unmodified</status>
      <modifiedWord/>
      <trackRevisions>false</trackRevisions>
    </reviewItem>
    <reviewItem>
      <errorID>3a1bb667-d3e7-40a5-9803-2a05de696575</errorID>
      <errorWord>尽量减小</errorWord>
      <group>L1_Word</group>
      <groupName>字词问题</groupName>
      <ability>L2_Typo</ability>
      <abilityName>字词错误</abilityName>
      <candidateList>
        <item>尽量减少</item>
      </candidateList>
      <explain>存在字形相近字词的误用。</explain>
      <paraID> 7C0C03B</paraID>
      <start>70</start>
      <end>74</end>
      <status>unmodified</status>
      <modifiedWord/>
      <trackRevisions>false</trackRevisions>
    </reviewItem>
    <reviewItem>
      <errorID>4566fde5-8f03-41a4-a1ef-7474e559f865</errorID>
      <errorWord>主要土壤类型以草甸土为主</errorWord>
      <group>L1_Grammar</group>
      <groupName>语法问题</groupName>
      <ability>L2_Grammar</ability>
      <abilityName>语法错误</abilityName>
      <candidateList>
        <item>土壤类型以草甸土为主</item>
      </candidateList>
      <explain/>
      <paraID>5E9F9054</paraID>
      <start>54</start>
      <end>66</end>
      <status>unmodified</status>
      <modifiedWord/>
      <trackRevisions>false</trackRevisions>
    </reviewItem>
    <reviewItem>
      <errorID>22e2cbae-50f8-4a5b-8bc0-6e9541387ed4</errorID>
      <errorWord>送</errorWord>
      <group>L1_Word</group>
      <groupName>字词问题</groupName>
      <ability>L2_Typo</ability>
      <abilityName>字词错误</abilityName>
      <candidateList>
        <item>送到</item>
      </candidateList>
      <explain/>
      <paraID>6CDB6A83</paraID>
      <start>66</start>
      <end>67</end>
      <status>unmodified</status>
      <modifiedWord/>
      <trackRevisions>false</trackRevisions>
    </reviewItem>
    <reviewItem>
      <errorID>93442642-f79b-4b6f-9a13-18a0877c07d5</errorID>
      <errorWord>程</errorWord>
      <group>L1_Word</group>
      <groupName>字词问题</groupName>
      <ability>L2_Typo</ability>
      <abilityName>字词错误</abilityName>
      <candidateList>
        <item>程中</item>
      </candidateList>
      <explain/>
      <paraID>6CDB6A83</paraID>
      <start>157</start>
      <end>158</end>
      <status>unmodified</status>
      <modifiedWord/>
      <trackRevisions>false</trackRevisions>
    </reviewItem>
    <reviewItem>
      <errorID>c0502dd9-5e5c-48f3-b1ba-7b750ebdcaf0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32F194E0</paraID>
      <start>71</start>
      <end>72</end>
      <status>ignored</status>
      <modifiedWord/>
      <trackRevisions>false</trackRevisions>
    </reviewItem>
    <reviewItem>
      <errorID>2f9726a5-678c-46ec-81c0-85ea422009bd</errorID>
      <errorWord>环境的</errorWord>
      <group>L1_Word</group>
      <groupName>字词问题</groupName>
      <ability>L2_Typo</ability>
      <abilityName>字词错误</abilityName>
      <candidateList>
        <item>环境</item>
      </candidateList>
      <explain>〈名〉❶周围的地方：～优美｜～卫生。❷周围的情况和条件：客观～｜工作～。</explain>
      <paraID>131EB34C</paraID>
      <start>131</start>
      <end>134</end>
      <status>unmodified</status>
      <modifiedWord/>
      <trackRevisions>false</trackRevisions>
    </reviewItem>
    <reviewItem>
      <errorID>146a89e6-2835-4070-8555-355995bd4dff</errorID>
      <errorWord>的成份</errorWord>
      <group>L1_Word</group>
      <groupName>字词问题</groupName>
      <ability>L2_Variant</ability>
      <abilityName>异形词</abilityName>
      <candidateList>
        <item>的成分</item>
      </candidateList>
      <explain>词汇[的成份]的规范词形写作[的成分]。</explain>
      <paraID> 7F360A8</paraID>
      <start>40</start>
      <end>43</end>
      <status>unmodified</status>
      <modifiedWord/>
      <trackRevisions>false</trackRevisions>
    </reviewItem>
    <reviewItem>
      <errorID>05814798-377c-40dd-9a24-8026d31fe42f</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7A793F2A</paraID>
      <start>32</start>
      <end>34</end>
      <status>unmodified</status>
      <modifiedWord/>
      <trackRevisions>false</trackRevisions>
    </reviewItem>
    <reviewItem>
      <errorID>ceef5b7f-5a5d-4fca-932c-6136e5d0f65e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76426652</paraID>
      <start>56</start>
      <end>57</end>
      <status>ignored</status>
      <modifiedWord/>
      <trackRevisions>false</trackRevisions>
    </reviewItem>
    <reviewItem>
      <errorID>a9ad9e0e-5635-4de5-9b48-198fd2356eaf</errorID>
      <errorWord>程</errorWord>
      <group>L1_Word</group>
      <groupName>字词问题</groupName>
      <ability>L2_Typo</ability>
      <abilityName>字词错误</abilityName>
      <candidateList>
        <item>程中</item>
      </candidateList>
      <explain/>
      <paraID>76426652</paraID>
      <start>177</start>
      <end>178</end>
      <status>unmodified</status>
      <modifiedWord/>
      <trackRevisions>false</trackRevisions>
    </reviewItem>
    <reviewItem>
      <errorID>2bc9bf35-600a-4c95-bc71-d6485f8592e4</errorID>
      <errorWord>环境的</errorWord>
      <group>L1_Word</group>
      <groupName>字词问题</groupName>
      <ability>L2_Typo</ability>
      <abilityName>字词错误</abilityName>
      <candidateList>
        <item>环境</item>
      </candidateList>
      <explain>〈名〉❶周围的地方：～优美｜～卫生。❷周围的情况和条件：客观～｜工作～。</explain>
      <paraID>553FEEAD</paraID>
      <start>123</start>
      <end>126</end>
      <status>unmodified</status>
      <modifiedWord/>
      <trackRevisions>false</trackRevisions>
    </reviewItem>
    <reviewItem>
      <errorID>ef832cd4-ba97-4b46-89f1-8dc918f8a8d7</errorID>
      <errorWord>个</errorWord>
      <group>L1_Knowledge</group>
      <groupName>知识性问题</groupName>
      <ability>L2_Knowledge</ability>
      <abilityName>其他知识</abilityName>
      <candidateList>
        <item>处</item>
      </candidateList>
      <explain>请检查“个”是否为量词使用错误，建议修改为“处”。</explain>
      <paraID>6DB13BCC</paraID>
      <start>15</start>
      <end>16</end>
      <status>unmodified</status>
      <modifiedWord/>
      <trackRevisions>false</trackRevisions>
    </reviewItem>
    <reviewItem>
      <errorID>b0d64dd1-c3a1-42d6-9db2-ecf34a24ce32</errorID>
      <errorWord>泄露</errorWord>
      <group>L1_Word</group>
      <groupName>字词问题</groupName>
      <ability>L2_Typo</ability>
      <abilityName>字词错误</abilityName>
      <candidateList>
        <item>泄漏</item>
      </candidateList>
      <explain/>
      <paraID>679AAD8E</paraID>
      <start>21</start>
      <end>23</end>
      <status>unmodified</status>
      <modifiedWord/>
      <trackRevisions>false</trackRevisions>
    </reviewItem>
    <reviewItem>
      <errorID>5cefdbd5-d69a-442c-95a6-8b05859a8421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50767347</paraID>
      <start>20</start>
      <end>21</end>
      <status>unmodified</status>
      <modifiedWord/>
      <trackRevisions>false</trackRevisions>
    </reviewItem>
    <reviewItem>
      <errorID>2bf49fd5-8011-4572-b468-0ded25c3bae7</errorID>
      <errorWord>(</errorWord>
      <group>L1_Format</group>
      <groupName>格式问题</groupName>
      <ability>L2_HalfPunc</ability>
      <abilityName>全半角检查</abilityName>
      <candidateList>
        <item>（</item>
      </candidateList>
      <explain>文本全半角错误。</explain>
      <paraID>5466FB1C</paraID>
      <start>178</start>
      <end>179</end>
      <status>ignored</status>
      <modifiedWord/>
      <trackRevisions>false</trackRevisions>
    </reviewItem>
    <reviewItem>
      <errorID>c6dbd4e8-a829-4c8b-baf2-e14635ac8096</errorID>
      <errorWord>)</errorWord>
      <group>L1_Format</group>
      <groupName>格式问题</groupName>
      <ability>L2_HalfPunc</ability>
      <abilityName>全半角检查</abilityName>
      <candidateList>
        <item>）</item>
      </candidateList>
      <explain>文本全半角错误。</explain>
      <paraID>5466FB1C</paraID>
      <start>192</start>
      <end>193</end>
      <status>ignored</status>
      <modifiedWord/>
      <trackRevisions>false</trackRevisions>
    </reviewItem>
    <reviewItem>
      <errorID>6ed6c4a3-222d-4c2d-8dcc-5126848eca21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5466FB1C</paraID>
      <start>224</start>
      <end>225</end>
      <status>unmodified</status>
      <modifiedWord/>
      <trackRevisions>false</trackRevisions>
    </reviewItem>
    <reviewItem>
      <errorID>637d6229-ac3d-41c6-a8fa-ca6291e5f699</errorID>
      <errorWord>，</errorWord>
      <group>L1_Word</group>
      <groupName>字词问题</groupName>
      <ability>L2_Typo</ability>
      <abilityName>字词错误</abilityName>
      <candidateList>
        <item>，以</item>
      </candidateList>
      <explain/>
      <paraID> DBC4B0D</paraID>
      <start>81</start>
      <end>82</end>
      <status>unmodified</status>
      <modifiedWord/>
      <trackRevisions>false</trackRevisions>
    </reviewItem>
    <reviewItem>
      <errorID>49b78178-7269-45aa-9732-eb39afae65bf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684E1242</paraID>
      <start>25</start>
      <end>26</end>
      <status>ignored</status>
      <modifiedWord/>
      <trackRevisions>false</trackRevisions>
    </reviewItem>
    <reviewItem>
      <errorID>f8817b46-7101-4064-aec4-170268067ca2</errorID>
      <errorWord>~</errorWord>
      <group>L1_Format</group>
      <groupName>格式问题</groupName>
      <ability>L2_HalfPunc</ability>
      <abilityName>全半角检查</abilityName>
      <candidateList>
        <item>～</item>
      </candidateList>
      <explain>文本全半角错误。</explain>
      <paraID>684E1242</paraID>
      <start>84</start>
      <end>85</end>
      <status>unmodified</status>
      <modifiedWord/>
      <trackRevisions>false</trackRevisions>
    </reviewItem>
    <reviewItem>
      <errorID>d1bad277-75f1-4b6f-aac7-ee0f72abda4d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684E1242</paraID>
      <start>102</start>
      <end>103</end>
      <status>ignored</status>
      <modifiedWord/>
      <trackRevisions>false</trackRevisions>
    </reviewItem>
    <reviewItem>
      <errorID>a449d1d9-0fb4-4618-bb72-caf8416661ef</errorID>
      <errorWord>污水水质</errorWord>
      <group>L1_Knowledge</group>
      <groupName>知识性问题</groupName>
      <ability>L2_Term</ability>
      <abilityName>专业术语</abilityName>
      <candidateList>
        <item>出水水质</item>
      </candidateList>
      <explain/>
      <paraID>684E1242</paraID>
      <start>127</start>
      <end>131</end>
      <status>unmodified</status>
      <modifiedWord/>
      <trackRevisions>false</trackRevisions>
    </reviewItem>
    <reviewItem>
      <errorID>8180e82b-d8b8-440f-9fdd-175b6d0f76b2</errorID>
      <errorWord>期正</errorWord>
      <group>L1_Word</group>
      <groupName>字词问题</groupName>
      <ability>L2_Typo</ability>
      <abilityName>字词错误</abilityName>
      <candidateList>
        <item>期</item>
      </candidateList>
      <explain/>
      <paraID>4A3BBAF0</paraID>
      <start>10</start>
      <end>12</end>
      <status>unmodified</status>
      <modifiedWord/>
      <trackRevisions>false</trackRevisions>
    </reviewItem>
    <reviewItem>
      <errorID>0ef56aa1-0f25-4dd9-b36e-78bf63c81d2e</errorID>
      <errorWord>粘度</errorWord>
      <group>L1_Word</group>
      <groupName>字词问题</groupName>
      <ability>L2_Alias</ability>
      <abilityName>也作/曾用词</abilityName>
      <candidateList>
        <item>黏度</item>
      </candidateList>
      <explain>词汇[粘度]为不规范表述或旧称，其规范书面表述为[黏度]。</explain>
      <paraID>7F42E167</paraID>
      <start>23</start>
      <end>25</end>
      <status>unmodified</status>
      <modifiedWord/>
      <trackRevisions>false</trackRevisions>
    </reviewItem>
    <reviewItem>
      <errorID>1b3c8c78-ab18-4c86-83ee-f68e45f10cd5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3D39BFE8</paraID>
      <start>67</start>
      <end>68</end>
      <status>ignored</status>
      <modifiedWord/>
      <trackRevisions>false</trackRevisions>
    </reviewItem>
    <reviewItem>
      <errorID>cb19ae07-7719-4c07-ba43-ce0bcb4cc17c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3D39BFE8</paraID>
      <start>133</start>
      <end>134</end>
      <status>ignored</status>
      <modifiedWord/>
      <trackRevisions>false</trackRevisions>
    </reviewItem>
    <reviewItem>
      <errorID>00120805-691d-4772-a596-353b4a08e36d</errorID>
      <errorWord>后回注油层后回注油层</errorWord>
      <group>L1_Word</group>
      <groupName>字词问题</groupName>
      <ability>L2_Typo</ability>
      <abilityName>字词错误</abilityName>
      <candidateList>
        <item>后回注油层</item>
      </candidateList>
      <explain/>
      <paraID>6B83FBDF</paraID>
      <start>190</start>
      <end>200</end>
      <status>unmodified</status>
      <modifiedWord/>
      <trackRevisions>false</trackRevisions>
    </reviewItem>
    <reviewItem>
      <errorID>2971cc83-15a9-49e3-a061-e9472a2e50d2</errorID>
      <errorWord>处理处理</errorWord>
      <group>L1_Word</group>
      <groupName>字词问题</groupName>
      <ability>L2_Typo</ability>
      <abilityName>字词错误</abilityName>
      <candidateList>
        <item>处理</item>
      </candidateList>
      <explain/>
      <paraID>63F760C6</paraID>
      <start>44</start>
      <end>48</end>
      <status>unmodified</status>
      <modifiedWord/>
      <trackRevisions>false</trackRevisions>
    </reviewItem>
    <reviewItem>
      <errorID>79e4d72d-c060-405c-bc1b-31b2aa166279</errorID>
      <errorWord>(</errorWord>
      <group>L1_Format</group>
      <groupName>格式问题</groupName>
      <ability>L2_HalfPunc</ability>
      <abilityName>全半角检查</abilityName>
      <candidateList>
        <item>（</item>
      </candidateList>
      <explain>文本全半角错误。</explain>
      <paraID>63F760C6</paraID>
      <start>158</start>
      <end>159</end>
      <status>ignored</status>
      <modifiedWord/>
      <trackRevisions>false</trackRevisions>
    </reviewItem>
    <reviewItem>
      <errorID>d29edf87-af88-46ee-8dcf-29258739fb07</errorID>
      <errorWord>)</errorWord>
      <group>L1_Format</group>
      <groupName>格式问题</groupName>
      <ability>L2_HalfPunc</ability>
      <abilityName>全半角检查</abilityName>
      <candidateList>
        <item>）</item>
      </candidateList>
      <explain>文本全半角错误。</explain>
      <paraID>63F760C6</paraID>
      <start>172</start>
      <end>173</end>
      <status>ignored</status>
      <modifiedWord/>
      <trackRevisions>false</trackRevisions>
    </reviewItem>
    <reviewItem>
      <errorID>d605a263-246b-4317-8404-f343f0471635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7E55353A</paraID>
      <start>120</start>
      <end>121</end>
      <status>ignored</status>
      <modifiedWord/>
      <trackRevisions>false</trackRevisions>
    </reviewItem>
    <reviewItem>
      <errorID>270f3863-612a-4285-9746-266dfaf28f0c</errorID>
      <errorWord>污染到</errorWord>
      <group>L1_Word</group>
      <groupName>字词问题</groupName>
      <ability>L2_Typo</ability>
      <abilityName>字词错误</abilityName>
      <candidateList>
        <item>污染</item>
      </candidateList>
      <explain/>
      <paraID>72AB5D2D</paraID>
      <start>63</start>
      <end>66</end>
      <status>unmodified</status>
      <modifiedWord/>
      <trackRevisions>false</trackRevisions>
    </reviewItem>
    <reviewItem>
      <errorID>27d08bec-55d9-4ee7-9f5c-922d37c21788</errorID>
      <errorWord>钢制</errorWord>
      <group>L1_Word</group>
      <groupName>字词问题</groupName>
      <ability>L2_Typo</ability>
      <abilityName>字词错误</abilityName>
      <candidateList>
        <item>钢质</item>
      </candidateList>
      <explain/>
      <paraID>18D45A70</paraID>
      <start>24</start>
      <end>26</end>
      <status>unmodified</status>
      <modifiedWord/>
      <trackRevisions>false</trackRevisions>
    </reviewItem>
    <reviewItem>
      <errorID>00d7873f-db09-47f8-86f2-aab9f28b5d36</errorID>
      <errorWord>束</errorWord>
      <group>L1_Word</group>
      <groupName>字词问题</groupName>
      <ability>L2_Typo</ability>
      <abilityName>字词错误</abilityName>
      <candidateList>
        <item>束后</item>
      </candidateList>
      <explain/>
      <paraID>18D45A70</paraID>
      <start>128</start>
      <end>129</end>
      <status>unmodified</status>
      <modifiedWord/>
      <trackRevisions>false</trackRevisions>
    </reviewItem>
    <reviewItem>
      <errorID>7f2d3cf0-1583-44b4-8537-abb5310d8118</errorID>
      <errorWord>泄漏预测</errorWord>
      <group>L1_Knowledge</group>
      <groupName>知识性问题</groupName>
      <ability>L2_Term</ability>
      <abilityName>专业术语</abilityName>
      <candidateList>
        <item>泄漏检测</item>
      </candidateList>
      <explain/>
      <paraID>18D45A70</paraID>
      <start>145</start>
      <end>149</end>
      <status>unmodified</status>
      <modifiedWord/>
      <trackRevisions>false</trackRevisions>
    </reviewItem>
    <reviewItem>
      <errorID>3844f04e-b53c-443c-bba6-fba4d605a724</errorID>
      <errorWord>井漏</errorWord>
      <group>L1_Word</group>
      <groupName>字词问题</groupName>
      <ability>L2_Typo</ability>
      <abilityName>字词错误</abilityName>
      <candidateList>
        <item>渗漏</item>
      </candidateList>
      <explain/>
      <paraID>3DF216E8</paraID>
      <start>41</start>
      <end>43</end>
      <status>unmodified</status>
      <modifiedWord/>
      <trackRevisions>false</trackRevisions>
    </reviewItem>
    <reviewItem>
      <errorID>37018f43-de4a-404a-bd79-224e605ae5a0</errorID>
      <errorWord>本次</errorWord>
      <group>L1_Word</group>
      <groupName>字词问题</groupName>
      <ability>L2_Typo</ability>
      <abilityName>字词错误</abilityName>
      <candidateList>
        <item>本文</item>
      </candidateList>
      <explain/>
      <paraID>1A109F3D</paraID>
      <start>52</start>
      <end>54</end>
      <status>unmodified</status>
      <modifiedWord/>
      <trackRevisions>false</trackRevisions>
    </reviewItem>
    <reviewItem>
      <errorID>df6fcbbd-32c2-49fa-b12f-7d4c2f1eba9d</errorID>
      <errorWord>类</errorWord>
      <group>L1_Knowledge</group>
      <groupName>知识性问题</groupName>
      <ability>L2_Knowledge</ability>
      <abilityName>其他知识</abilityName>
      <candidateList>
        <item>起</item>
      </candidateList>
      <explain>〈动〉趋向动词。❶用在动词后，表示向上：抬～箱子往外走。❷用在动词后，表示力量够得上或够不上：经得～考验｜太贵了，买不～。注意动词和“起”之间常有“得”字或“不”字。❸用在动词后，表示事物随动作出现：乐队奏～迎宾曲｜会场响～热烈掌声。❹用在动词后，表示动作涉及人或事：他多次问～过你｜想～一件事。</explain>
      <paraID>1A109F3D</paraID>
      <start>56</start>
      <end>57</end>
      <status>unmodified</status>
      <modifiedWord/>
      <trackRevisions>false</trackRevisions>
    </reviewItem>
    <reviewItem>
      <errorID>dca89f72-223b-472f-b762-a3b303506959</errorID>
      <errorWord>承压水</errorWord>
      <group>L1_Word</group>
      <groupName>字词问题</groupName>
      <ability>L2_Typo</ability>
      <abilityName>字词错误</abilityName>
      <candidateList>
        <item>承压</item>
      </candidateList>
      <explain/>
      <paraID> 1DD4EA7</paraID>
      <start>22</start>
      <end>25</end>
      <status>unmodified</status>
      <modifiedWord/>
      <trackRevisions>false</trackRevisions>
    </reviewItem>
    <reviewItem>
      <errorID>fe8b3088-781e-412f-b05a-90d49add0a90</errorID>
      <errorWord>由</errorWord>
      <group>L1_Word</group>
      <groupName>字词问题</groupName>
      <ability>L2_Typo</ability>
      <abilityName>字词错误</abilityName>
      <candidateList>
        <item>由于</item>
      </candidateList>
      <explain>❶〈介〉表示原因或理由：～老师傅的耐心教导，他很快就掌握了这门技术。❷〈连〉表示原因，多与“所以”、“因此”等配合：～他工作成绩显著，因此受到了领导的表扬。</explain>
      <paraID> 1DD4EA7</paraID>
      <start>71</start>
      <end>72</end>
      <status>unmodified</status>
      <modifiedWord/>
      <trackRevisions>false</trackRevisions>
    </reviewItem>
    <reviewItem>
      <errorID>03870578-3932-4d14-91d2-49ae47702ab9</errorID>
      <errorWord>泄露</errorWord>
      <group>L1_Word</group>
      <groupName>字词问题</groupName>
      <ability>L2_Typo</ability>
      <abilityName>字词错误</abilityName>
      <candidateList>
        <item>泄漏</item>
      </candidateList>
      <explain>存在发音相同字词的误用。</explain>
      <paraID> 1DD4EA7</paraID>
      <start>97</start>
      <end>99</end>
      <status>unmodified</status>
      <modifiedWord/>
      <trackRevisions>false</trackRevisions>
    </reviewItem>
    <reviewItem>
      <errorID>89401523-ed45-43ae-a2ce-43501d406a13</errorID>
      <errorWord>本次</errorWord>
      <group>L1_Word</group>
      <groupName>字词问题</groupName>
      <ability>L2_Typo</ability>
      <abilityName>字词错误</abilityName>
      <candidateList>
        <item>本文</item>
      </candidateList>
      <explain/>
      <paraID> 1DD4EA7</paraID>
      <start>131</start>
      <end>133</end>
      <status>unmodified</status>
      <modifiedWord/>
      <trackRevisions>false</trackRevisions>
    </reviewItem>
    <reviewItem>
      <errorID>b067ab56-7619-409a-a557-4d40da66e15d</errorID>
      <errorWord>类</errorWord>
      <group>L1_Knowledge</group>
      <groupName>知识性问题</groupName>
      <ability>L2_Knowledge</ability>
      <abilityName>其他知识</abilityName>
      <candidateList>
        <item>起</item>
      </candidateList>
      <explain>〈动〉趋向动词。❶用在动词后，表示向上：抬～箱子往外走。❷用在动词后，表示力量够得上或够不上：经得～考验｜太贵了，买不～。注意动词和“起”之间常有“得”字或“不”字。❸用在动词后，表示事物随动作出现：乐队奏～迎宾曲｜会场响～热烈掌声。❹用在动词后，表示动作涉及人或事：他多次问～过你｜想～一件事。</explain>
      <paraID> 1DD4EA7</paraID>
      <start>135</start>
      <end>136</end>
      <status>unmodified</status>
      <modifiedWord/>
      <trackRevisions>false</trackRevisions>
    </reviewItem>
    <reviewItem>
      <errorID>5bb21412-852b-4488-8a7e-a9b6fe0aa69a</errorID>
      <errorWord>~</errorWord>
      <group>L1_Format</group>
      <groupName>格式问题</groupName>
      <ability>L2_HalfPunc</ability>
      <abilityName>全半角检查</abilityName>
      <candidateList>
        <item>～</item>
      </candidateList>
      <explain>文本全半角错误。</explain>
      <paraID>419C919B</paraID>
      <start>248</start>
      <end>249</end>
      <status>unmodified</status>
      <modifiedWord/>
      <trackRevisions>false</trackRevisions>
    </reviewItem>
    <reviewItem>
      <errorID>af7b28ab-a489-46ec-921d-3d6cb06658a1</errorID>
      <errorWord>目的</errorWord>
      <group>L1_Word</group>
      <groupName>字词问题</groupName>
      <ability>L2_Typo</ability>
      <abilityName>字词错误</abilityName>
      <candidateList>
        <item>的</item>
      </candidateList>
      <explain>“的”常用于连接修饰语与名词性中心语，表示属性、所属或描述。</explain>
      <paraID>3432C738</paraID>
      <start>4</start>
      <end>6</end>
      <status>unmodified</status>
      <modifiedWord/>
      <trackRevisions>false</trackRevisions>
    </reviewItem>
    <reviewItem>
      <errorID>54323ff3-97d8-4351-9847-201f560fd64d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3432C738</paraID>
      <start>48</start>
      <end>49</end>
      <status>ignored</status>
      <modifiedWord/>
      <trackRevisions>false</trackRevisions>
    </reviewItem>
    <reviewItem>
      <errorID>1dba6c22-1e3d-48ee-bd23-ab1a4b6de8b5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3432C738</paraID>
      <start>66</start>
      <end>67</end>
      <status>ignored</status>
      <modifiedWord/>
      <trackRevisions>false</trackRevisions>
    </reviewItem>
    <reviewItem>
      <errorID>b7728b77-46db-4d5e-865f-bbf59b51671f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3432C738</paraID>
      <start>95</start>
      <end>96</end>
      <status>ignored</status>
      <modifiedWord/>
      <trackRevisions>false</trackRevisions>
    </reviewItem>
    <reviewItem>
      <errorID>6c7bbcf8-172b-4b2d-b608-bd6ac873ccb3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3432C738</paraID>
      <start>112</start>
      <end>113</end>
      <status>ignored</status>
      <modifiedWord/>
      <trackRevisions>false</trackRevisions>
    </reviewItem>
    <reviewItem>
      <errorID>ab8c4e9c-8e1d-426b-9b01-bf36c197f560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3432C738</paraID>
      <start>130</start>
      <end>131</end>
      <status>ignored</status>
      <modifiedWord/>
      <trackRevisions>false</trackRevisions>
    </reviewItem>
    <reviewItem>
      <errorID>653b2bbb-8461-471c-8d57-1ee91f54dbfd</errorID>
      <errorWord>影</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3432C738</paraID>
      <start>193</start>
      <end>194</end>
      <status>unmodified</status>
      <modifiedWord/>
      <trackRevisions>false</trackRevisions>
    </reviewItem>
    <reviewItem>
      <errorID>9eaef7b7-1440-4c3f-a4d9-b79801acf45a</errorID>
      <errorWord>-</errorWord>
      <group>L1_Format</group>
      <groupName>格式问题</groupName>
      <ability>L2_HalfPunc</ability>
      <abilityName>全半角检查</abilityName>
      <candidateList>
        <item>－</item>
      </candidateList>
      <explain>文本全半角错误。</explain>
      <paraID>106DE15A</paraID>
      <start>7</start>
      <end>8</end>
      <status>unmodified</status>
      <modifiedWord/>
      <trackRevisions>false</trackRevisions>
    </reviewItem>
    <reviewItem>
      <errorID>02516b32-b7c6-4d4e-8ee1-4d11a0b8beeb</errorID>
      <errorWord>~</errorWord>
      <group>L1_Format</group>
      <groupName>格式问题</groupName>
      <ability>L2_HalfPunc</ability>
      <abilityName>全半角检查</abilityName>
      <candidateList>
        <item>～</item>
      </candidateList>
      <explain>文本全半角错误。</explain>
      <paraID>3B469D62</paraID>
      <start>60</start>
      <end>61</end>
      <status>unmodified</status>
      <modifiedWord/>
      <trackRevisions>false</trackRevisions>
    </reviewItem>
    <reviewItem>
      <errorID>6da5419a-113a-40cb-b788-9bcec4d4f4f3</errorID>
      <errorWord>~</errorWord>
      <group>L1_Format</group>
      <groupName>格式问题</groupName>
      <ability>L2_HalfPunc</ability>
      <abilityName>全半角检查</abilityName>
      <candidateList>
        <item>～</item>
      </candidateList>
      <explain>文本全半角错误。</explain>
      <paraID>73F236CF</paraID>
      <start>41</start>
      <end>42</end>
      <status>unmodified</status>
      <modifiedWord/>
      <trackRevisions>false</trackRevisions>
    </reviewItem>
    <reviewItem>
      <errorID>605bd23a-e5a6-4728-a722-4517d693125b</errorID>
      <errorWord>II类</errorWord>
      <group>L1_Knowledge</group>
      <groupName>知识性问题</groupName>
      <ability>L2_Knowledge</ability>
      <abilityName>其他知识</abilityName>
      <candidateList>
        <item>Ⅱ类</item>
      </candidateList>
      <explain/>
      <paraID>32245375</paraID>
      <start>33</start>
      <end>36</end>
      <status>unmodified</status>
      <modifiedWord/>
      <trackRevisions>false</trackRevisions>
    </reviewItem>
    <reviewItem>
      <errorID>4903ea14-4c7a-40ac-9d0e-11baafe0a82d</errorID>
      <errorWord>~</errorWord>
      <group>L1_Format</group>
      <groupName>格式问题</groupName>
      <ability>L2_HalfPunc</ability>
      <abilityName>全半角检查</abilityName>
      <candidateList>
        <item>～</item>
      </candidateList>
      <explain>文本全半角错误。</explain>
      <paraID>7FFC31ED</paraID>
      <start>63</start>
      <end>64</end>
      <status>unmodified</status>
      <modifiedWord/>
      <trackRevisions>false</trackRevisions>
    </reviewItem>
    <reviewItem>
      <errorID>ae9dbc20-9ef7-4879-a58d-d41ea205a5f7</errorID>
      <errorWord>-</errorWord>
      <group>L1_Format</group>
      <groupName>格式问题</groupName>
      <ability>L2_HalfPunc</ability>
      <abilityName>全半角检查</abilityName>
      <candidateList>
        <item>－</item>
      </candidateList>
      <explain>文本全半角错误。</explain>
      <paraID>58ECFBB6</paraID>
      <start>149</start>
      <end>150</end>
      <status>unmodified</status>
      <modifiedWord/>
      <trackRevisions>false</trackRevisions>
    </reviewItem>
    <reviewItem>
      <errorID>761bde17-3991-4e2d-a8e8-0ffb526c961d</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2F788FB8</paraID>
      <start>6</start>
      <end>8</end>
      <status>unmodified</status>
      <modifiedWord/>
      <trackRevisions>false</trackRevisions>
    </reviewItem>
    <reviewItem>
      <errorID>f6c1637d-3a15-4094-a216-622757ad5423</errorID>
      <errorWord>h：</errorWord>
      <group>L1_Format</group>
      <groupName>格式问题</groupName>
      <ability>L2_Ordinal</ability>
      <abilityName>序号格式</abilityName>
      <candidateList>
        <item>h.</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255EB766</paraID>
      <start>6</start>
      <end>8</end>
      <status>unmodified</status>
      <modifiedWord/>
      <trackRevisions>false</trackRevisions>
    </reviewItem>
    <reviewItem>
      <errorID>66706e55-d2ad-44fd-ab7d-1ab584c75dfd</errorID>
      <errorWord>泄漏预测</errorWord>
      <group>L1_Knowledge</group>
      <groupName>知识性问题</groupName>
      <ability>L2_Term</ability>
      <abilityName>专业术语</abilityName>
      <candidateList>
        <item>泄漏检测</item>
      </candidateList>
      <explain/>
      <paraID>314EBA7C</paraID>
      <start>113</start>
      <end>117</end>
      <status>unmodified</status>
      <modifiedWord/>
      <trackRevisions>false</trackRevisions>
    </reviewItem>
    <reviewItem>
      <errorID>1f83be58-26c0-4116-88df-e9049d5d824c</errorID>
      <errorWord>x，</errorWord>
      <group>L1_Format</group>
      <groupName>格式问题</groupName>
      <ability>L2_Ordinal</ability>
      <abilityName>序号格式</abilityName>
      <candidateList>
        <item>x.</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7CC7F7BD</paraID>
      <start>0</start>
      <end>2</end>
      <status>unmodified</status>
      <modifiedWord/>
      <trackRevisions>false</trackRevisions>
    </reviewItem>
    <reviewItem>
      <errorID>4141eea4-a761-4a63-a3bf-043d2588ffd3</errorID>
      <errorWord>水水</errorWord>
      <group>L1_Word</group>
      <groupName>字词问题</groupName>
      <ability>L2_Typo</ability>
      <abilityName>字词错误</abilityName>
      <candidateList>
        <item>水</item>
      </candidateList>
      <explain/>
      <paraID> C984347</paraID>
      <start>10</start>
      <end>12</end>
      <status>unmodified</status>
      <modifiedWord/>
      <trackRevisions>false</trackRevisions>
    </reviewItem>
    <reviewItem>
      <errorID>6427b027-c826-4388-86d6-1f4dde24f08f</errorID>
      <errorWord>~</errorWord>
      <group>L1_Format</group>
      <groupName>格式问题</groupName>
      <ability>L2_HalfPunc</ability>
      <abilityName>全半角检查</abilityName>
      <candidateList>
        <item>～</item>
      </candidateList>
      <explain>文本全半角错误。</explain>
      <paraID> C984347</paraID>
      <start>52</start>
      <end>53</end>
      <status>unmodified</status>
      <modifiedWord/>
      <trackRevisions>false</trackRevisions>
    </reviewItem>
    <reviewItem>
      <errorID>ea382104-b5fa-4d70-9dbd-3e9d03cbf1c8</errorID>
      <errorWord>II</errorWord>
      <group>L1_Knowledge</group>
      <groupName>知识性问题</groupName>
      <ability>L2_Knowledge</ability>
      <abilityName>其他知识</abilityName>
      <candidateList>
        <item>Ⅱ</item>
      </candidateList>
      <explain/>
      <paraID>5AF335F7</paraID>
      <start>35</start>
      <end>37</end>
      <status>unmodified</status>
      <modifiedWord/>
      <trackRevisions>false</trackRevisions>
    </reviewItem>
    <reviewItem>
      <errorID>7c24a46b-85ed-4331-9e90-953c2e1a4090</errorID>
      <errorWord>~</errorWord>
      <group>L1_Format</group>
      <groupName>格式问题</groupName>
      <ability>L2_HalfPunc</ability>
      <abilityName>全半角检查</abilityName>
      <candidateList>
        <item>～</item>
      </candidateList>
      <explain>文本全半角错误。</explain>
      <paraID>3C741737</paraID>
      <start>63</start>
      <end>64</end>
      <status>unmodified</status>
      <modifiedWord/>
      <trackRevisions>false</trackRevisions>
    </reviewItem>
    <reviewItem>
      <errorID>239e8629-7b23-4954-9b3f-4d1a26383223</errorID>
      <errorWord>-</errorWord>
      <group>L1_Format</group>
      <groupName>格式问题</groupName>
      <ability>L2_HalfPunc</ability>
      <abilityName>全半角检查</abilityName>
      <candidateList>
        <item>－</item>
      </candidateList>
      <explain>文本全半角错误。</explain>
      <paraID>4F789203</paraID>
      <start>175</start>
      <end>176</end>
      <status>unmodified</status>
      <modifiedWord/>
      <trackRevisions>false</trackRevisions>
    </reviewItem>
    <reviewItem>
      <errorID>10467260-305c-4944-849b-04bfced8c1ee</errorID>
      <errorWord>~</errorWord>
      <group>L1_Format</group>
      <groupName>格式问题</groupName>
      <ability>L2_HalfPunc</ability>
      <abilityName>全半角检查</abilityName>
      <candidateList>
        <item>～</item>
      </candidateList>
      <explain>文本全半角错误。</explain>
      <paraID>6E24B556</paraID>
      <start>39</start>
      <end>40</end>
      <status>unmodified</status>
      <modifiedWord/>
      <trackRevisions>false</trackRevisions>
    </reviewItem>
    <reviewItem>
      <errorID>66a9ab81-8da0-4544-93cb-3ab09c691e29</errorID>
      <errorWord>x，</errorWord>
      <group>L1_Format</group>
      <groupName>格式问题</groupName>
      <ability>L2_Ordinal</ability>
      <abilityName>序号格式</abilityName>
      <candidateList>
        <item>x.</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555EC730</paraID>
      <start>0</start>
      <end>2</end>
      <status>unmodified</status>
      <modifiedWord/>
      <trackRevisions>false</trackRevisions>
    </reviewItem>
    <reviewItem>
      <errorID>aa183e09-e089-40e9-9fa4-958e78793832</errorID>
      <errorWord>水水</errorWord>
      <group>L1_Word</group>
      <groupName>字词问题</groupName>
      <ability>L2_Typo</ability>
      <abilityName>字词错误</abilityName>
      <candidateList>
        <item>水</item>
      </candidateList>
      <explain/>
      <paraID>2FDE5A24</paraID>
      <start>10</start>
      <end>12</end>
      <status>unmodified</status>
      <modifiedWord/>
      <trackRevisions>false</trackRevisions>
    </reviewItem>
    <reviewItem>
      <errorID>a7b0a992-22dc-4ca1-af8f-76da1158ef3e</errorID>
      <errorWord>~</errorWord>
      <group>L1_Format</group>
      <groupName>格式问题</groupName>
      <ability>L2_HalfPunc</ability>
      <abilityName>全半角检查</abilityName>
      <candidateList>
        <item>～</item>
      </candidateList>
      <explain>文本全半角错误。</explain>
      <paraID>2FDE5A24</paraID>
      <start>52</start>
      <end>53</end>
      <status>unmodified</status>
      <modifiedWord/>
      <trackRevisions>false</trackRevisions>
    </reviewItem>
    <reviewItem>
      <errorID>77c40bac-4e51-49ba-a5bd-03f465ea0267</errorID>
      <errorWord>II</errorWord>
      <group>L1_Knowledge</group>
      <groupName>知识性问题</groupName>
      <ability>L2_Knowledge</ability>
      <abilityName>其他知识</abilityName>
      <candidateList>
        <item>Ⅱ</item>
      </candidateList>
      <explain/>
      <paraID>6ADFE848</paraID>
      <start>35</start>
      <end>37</end>
      <status>unmodified</status>
      <modifiedWord/>
      <trackRevisions>false</trackRevisions>
    </reviewItem>
    <reviewItem>
      <errorID>c533ab10-a938-43b7-9642-4e618d41b5ba</errorID>
      <errorWord>~</errorWord>
      <group>L1_Format</group>
      <groupName>格式问题</groupName>
      <ability>L2_HalfPunc</ability>
      <abilityName>全半角检查</abilityName>
      <candidateList>
        <item>～</item>
      </candidateList>
      <explain>文本全半角错误。</explain>
      <paraID> 7619B4C</paraID>
      <start>62</start>
      <end>63</end>
      <status>unmodified</status>
      <modifiedWord/>
      <trackRevisions>false</trackRevisions>
    </reviewItem>
    <reviewItem>
      <errorID>95f655c8-b58e-4077-9452-e9a774a97b6a</errorID>
      <errorWord>-</errorWord>
      <group>L1_Format</group>
      <groupName>格式问题</groupName>
      <ability>L2_HalfPunc</ability>
      <abilityName>全半角检查</abilityName>
      <candidateList>
        <item>－</item>
      </candidateList>
      <explain>文本全半角错误。</explain>
      <paraID> 7B13EA9</paraID>
      <start>22</start>
      <end>23</end>
      <status>unmodified</status>
      <modifiedWord/>
      <trackRevisions>false</trackRevisions>
    </reviewItem>
    <reviewItem>
      <errorID>79fdf025-26bd-4e98-a7c2-1af5c96a56e7</errorID>
      <errorWord>泄漏预测</errorWord>
      <group>L1_Knowledge</group>
      <groupName>知识性问题</groupName>
      <ability>L2_Term</ability>
      <abilityName>专业术语</abilityName>
      <candidateList>
        <item>泄漏检测</item>
      </candidateList>
      <explain/>
      <paraID>6DDBA08E</paraID>
      <start>99</start>
      <end>103</end>
      <status>unmodified</status>
      <modifiedWord/>
      <trackRevisions>false</trackRevisions>
    </reviewItem>
    <reviewItem>
      <errorID>6c70a40b-d269-4b12-a0bd-84ffc77a47c0</errorID>
      <errorWord>~</errorWord>
      <group>L1_Format</group>
      <groupName>格式问题</groupName>
      <ability>L2_HalfPunc</ability>
      <abilityName>全半角检查</abilityName>
      <candidateList>
        <item>～</item>
      </candidateList>
      <explain>文本全半角错误。</explain>
      <paraID>61140476</paraID>
      <start>62</start>
      <end>63</end>
      <status>unmodified</status>
      <modifiedWord/>
      <trackRevisions>false</trackRevisions>
    </reviewItem>
    <reviewItem>
      <errorID>3222b009-d47f-454b-819d-de9ae7afde03</errorID>
      <errorWord>~</errorWord>
      <group>L1_Format</group>
      <groupName>格式问题</groupName>
      <ability>L2_HalfPunc</ability>
      <abilityName>全半角检查</abilityName>
      <candidateList>
        <item>～</item>
      </candidateList>
      <explain>文本全半角错误。</explain>
      <paraID>1FA04F9C</paraID>
      <start>40</start>
      <end>41</end>
      <status>unmodified</status>
      <modifiedWord/>
      <trackRevisions>false</trackRevisions>
    </reviewItem>
    <reviewItem>
      <errorID>f4440043-250f-4a17-a227-51158b55dd4d</errorID>
      <errorWord>II</errorWord>
      <group>L1_Knowledge</group>
      <groupName>知识性问题</groupName>
      <ability>L2_Knowledge</ability>
      <abilityName>其他知识</abilityName>
      <candidateList>
        <item>Ⅱ</item>
      </candidateList>
      <explain/>
      <paraID>35E47233</paraID>
      <start>32</start>
      <end>34</end>
      <status>unmodified</status>
      <modifiedWord/>
      <trackRevisions>false</trackRevisions>
    </reviewItem>
    <reviewItem>
      <errorID>757ad88e-815c-4eea-82b4-a4610ae13a7a</errorID>
      <errorWord>~</errorWord>
      <group>L1_Format</group>
      <groupName>格式问题</groupName>
      <ability>L2_HalfPunc</ability>
      <abilityName>全半角检查</abilityName>
      <candidateList>
        <item>～</item>
      </candidateList>
      <explain>文本全半角错误。</explain>
      <paraID>7D38DD1A</paraID>
      <start>70</start>
      <end>71</end>
      <status>unmodified</status>
      <modifiedWord/>
      <trackRevisions>false</trackRevisions>
    </reviewItem>
    <reviewItem>
      <errorID>d75e9c0a-deaa-441c-83cf-9283ec3980c5</errorID>
      <errorWord>-</errorWord>
      <group>L1_Format</group>
      <groupName>格式问题</groupName>
      <ability>L2_HalfPunc</ability>
      <abilityName>全半角检查</abilityName>
      <candidateList>
        <item>－</item>
      </candidateList>
      <explain>文本全半角错误。</explain>
      <paraID>2A9C7FD6</paraID>
      <start>26</start>
      <end>27</end>
      <status>unmodified</status>
      <modifiedWord/>
      <trackRevisions>false</trackRevisions>
    </reviewItem>
    <reviewItem>
      <errorID>2c2d4d76-7992-4b73-a443-d4806f5615d0</errorID>
      <errorWord>不在不在</errorWord>
      <group>L1_Word</group>
      <groupName>字词问题</groupName>
      <ability>L2_Typo</ability>
      <abilityName>字词错误</abilityName>
      <candidateList>
        <item>不在</item>
      </candidateList>
      <explain/>
      <paraID>2A9C7FD6</paraID>
      <start>81</start>
      <end>85</end>
      <status>unmodified</status>
      <modifiedWord/>
      <trackRevisions>false</trackRevisions>
    </reviewItem>
    <reviewItem>
      <errorID>a57376b1-6d71-4cb9-8f5c-a28943dd6e06</errorID>
      <errorWord>II类</errorWord>
      <group>L1_Knowledge</group>
      <groupName>知识性问题</groupName>
      <ability>L2_Knowledge</ability>
      <abilityName>其他知识</abilityName>
      <candidateList>
        <item>Ⅱ类</item>
      </candidateList>
      <explain/>
      <paraID>56110111</paraID>
      <start>83</start>
      <end>86</end>
      <status>unmodified</status>
      <modifiedWord/>
      <trackRevisions>false</trackRevisions>
    </reviewItem>
    <reviewItem>
      <errorID>30f82423-6df4-4f60-9ef6-04befdd5fa58</errorID>
      <errorWord>在环境影响评价</errorWord>
      <group>L1_Knowledge</group>
      <groupName>知识性问题</groupName>
      <ability>L2_Term</ability>
      <abilityName>专业术语</abilityName>
      <candidateList>
        <item>声环境影响评价</item>
      </candidateList>
      <explain/>
      <paraID>7D47CEBE</paraID>
      <start>0</start>
      <end>7</end>
      <status>unmodified</status>
      <modifiedWord/>
      <trackRevisions>false</trackRevisions>
    </reviewItem>
    <reviewItem>
      <errorID>a46c3ed5-c7c0-4458-bbb8-bd53fd956718</errorID>
      <errorWord>＝</errorWord>
      <group>L1_Format</group>
      <groupName>格式问题</groupName>
      <ability>L2_HalfPunc</ability>
      <abilityName>全半角检查</abilityName>
      <candidateList>
        <item>=</item>
      </candidateList>
      <explain>文本全半角错误。</explain>
      <paraID> BB450CF</paraID>
      <start>5</start>
      <end>6</end>
      <status>unmodified</status>
      <modifiedWord/>
      <trackRevisions>false</trackRevisions>
    </reviewItem>
    <reviewItem>
      <errorID>1f865a42-4485-4ccb-850a-b10b4c7f942f</errorID>
      <errorWord>－</errorWord>
      <group>L1_Format</group>
      <groupName>格式问题</groupName>
      <ability>L2_HalfPunc</ability>
      <abilityName>全半角检查</abilityName>
      <candidateList>
        <item>-</item>
      </candidateList>
      <explain>文本全半角错误。</explain>
      <paraID> BB450CF</paraID>
      <start>11</start>
      <end>12</end>
      <status>unmodified</status>
      <modifiedWord/>
      <trackRevisions>false</trackRevisions>
    </reviewItem>
    <reviewItem>
      <errorID>79b4d9ef-a533-4b62-8984-332161333819</errorID>
      <errorWord>(</errorWord>
      <group>L1_Format</group>
      <groupName>格式问题</groupName>
      <ability>L2_HalfPunc</ability>
      <abilityName>全半角检查</abilityName>
      <candidateList>
        <item>（</item>
      </candidateList>
      <explain>文本全半角错误。</explain>
      <paraID> BB450CF</paraID>
      <start>12</start>
      <end>13</end>
      <status>ignored</status>
      <modifiedWord/>
      <trackRevisions>false</trackRevisions>
    </reviewItem>
    <reviewItem>
      <errorID>8f09a312-3163-43df-9340-3d1bd30fd47c</errorID>
      <errorWord>＋</errorWord>
      <group>L1_Format</group>
      <groupName>格式问题</groupName>
      <ability>L2_HalfPunc</ability>
      <abilityName>全半角检查</abilityName>
      <candidateList>
        <item>+</item>
      </candidateList>
      <explain>文本全半角错误。</explain>
      <paraID> BB450CF</paraID>
      <start>17</start>
      <end>18</end>
      <status>unmodified</status>
      <modifiedWord/>
      <trackRevisions>false</trackRevisions>
    </reviewItem>
    <reviewItem>
      <errorID>fb470a10-9588-425f-86ab-596826c279bd</errorID>
      <errorWord>＋</errorWord>
      <group>L1_Format</group>
      <groupName>格式问题</groupName>
      <ability>L2_HalfPunc</ability>
      <abilityName>全半角检查</abilityName>
      <candidateList>
        <item>+</item>
      </candidateList>
      <explain>文本全半角错误。</explain>
      <paraID> BB450CF</paraID>
      <start>22</start>
      <end>23</end>
      <status>unmodified</status>
      <modifiedWord/>
      <trackRevisions>false</trackRevisions>
    </reviewItem>
    <reviewItem>
      <errorID>f19daac4-185a-4b98-b581-9ec36f1ae68d</errorID>
      <errorWord>＋</errorWord>
      <group>L1_Format</group>
      <groupName>格式问题</groupName>
      <ability>L2_HalfPunc</ability>
      <abilityName>全半角检查</abilityName>
      <candidateList>
        <item>+</item>
      </candidateList>
      <explain>文本全半角错误。</explain>
      <paraID> BB450CF</paraID>
      <start>26</start>
      <end>27</end>
      <status>unmodified</status>
      <modifiedWord/>
      <trackRevisions>false</trackRevisions>
    </reviewItem>
    <reviewItem>
      <errorID>4165bc52-837c-4da3-885a-9fe17e8b8d4e</errorID>
      <errorWord>＋</errorWord>
      <group>L1_Format</group>
      <groupName>格式问题</groupName>
      <ability>L2_HalfPunc</ability>
      <abilityName>全半角检查</abilityName>
      <candidateList>
        <item>+</item>
      </candidateList>
      <explain>文本全半角错误。</explain>
      <paraID> BB450CF</paraID>
      <start>31</start>
      <end>32</end>
      <status>unmodified</status>
      <modifiedWord/>
      <trackRevisions>false</trackRevisions>
    </reviewItem>
    <reviewItem>
      <errorID>ddebf61c-5bd5-42db-924e-c32ecc43eee3</errorID>
      <errorWord>)</errorWord>
      <group>L1_Format</group>
      <groupName>格式问题</groupName>
      <ability>L2_HalfPunc</ability>
      <abilityName>全半角检查</abilityName>
      <candidateList>
        <item>）</item>
      </candidateList>
      <explain>文本全半角错误。</explain>
      <paraID> BB450CF</paraID>
      <start>37</start>
      <end>38</end>
      <status>ignored</status>
      <modifiedWord/>
      <trackRevisions>false</trackRevisions>
    </reviewItem>
    <reviewItem>
      <errorID>369b6937-e333-4db0-be77-5450d9f4daa4</errorID>
      <errorWord>源源</errorWord>
      <group>L1_Word</group>
      <groupName>字词问题</groupName>
      <ability>L2_Typo</ability>
      <abilityName>字词错误</abilityName>
      <candidateList>
        <item>源</item>
      </candidateList>
      <explain/>
      <paraID> E689D21</paraID>
      <start>6</start>
      <end>8</end>
      <status>unmodified</status>
      <modifiedWord/>
      <trackRevisions>false</trackRevisions>
    </reviewItem>
    <reviewItem>
      <errorID>01d174f8-c9a8-4030-bc5d-314aa895f0ba</errorID>
      <errorWord>-</errorWord>
      <group>L1_Format</group>
      <groupName>格式问题</groupName>
      <ability>L2_HalfPunc</ability>
      <abilityName>全半角检查</abilityName>
      <candidateList>
        <item>－</item>
      </candidateList>
      <explain>文本全半角错误。</explain>
      <paraID>5F15BD2B</paraID>
      <start>3</start>
      <end>4</end>
      <status>unmodified</status>
      <modifiedWord/>
      <trackRevisions>false</trackRevisions>
    </reviewItem>
    <reviewItem>
      <errorID>56f4724c-7b2a-4686-9dbe-894a20850e25</errorID>
      <errorWord>-</errorWord>
      <group>L1_Format</group>
      <groupName>格式问题</groupName>
      <ability>L2_HalfPunc</ability>
      <abilityName>全半角检查</abilityName>
      <candidateList>
        <item>－</item>
      </candidateList>
      <explain>文本全半角错误。</explain>
      <paraID>5F15BD2B</paraID>
      <start>61</start>
      <end>62</end>
      <status>unmodified</status>
      <modifiedWord/>
      <trackRevisions>false</trackRevisions>
    </reviewItem>
    <reviewItem>
      <errorID>f938ef2c-80b1-4bd7-a035-21c6125f3083</errorID>
      <errorWord>-</errorWord>
      <group>L1_Format</group>
      <groupName>格式问题</groupName>
      <ability>L2_HalfPunc</ability>
      <abilityName>全半角检查</abilityName>
      <candidateList>
        <item>－</item>
      </candidateList>
      <explain>文本全半角错误。</explain>
      <paraID>2868C850</paraID>
      <start>12</start>
      <end>13</end>
      <status>unmodified</status>
      <modifiedWord/>
      <trackRevisions>false</trackRevisions>
    </reviewItem>
    <reviewItem>
      <errorID>891b59a7-9432-4d6d-a360-a51275599ea3</errorID>
      <errorWord>-</errorWord>
      <group>L1_Format</group>
      <groupName>格式问题</groupName>
      <ability>L2_HalfPunc</ability>
      <abilityName>全半角检查</abilityName>
      <candidateList>
        <item>－</item>
      </candidateList>
      <explain>文本全半角错误。</explain>
      <paraID> E7FC24A</paraID>
      <start>3</start>
      <end>4</end>
      <status>unmodified</status>
      <modifiedWord/>
      <trackRevisions>false</trackRevisions>
    </reviewItem>
    <reviewItem>
      <errorID>2c78c0a3-8e15-4a1d-b9ab-42ba80e46727</errorID>
      <errorWord>周</errorWord>
      <group>L1_Word</group>
      <groupName>字词问题</groupName>
      <ability>L2_Typo</ability>
      <abilityName>字词错误</abilityName>
      <candidateList>
        <item>周边</item>
      </candidateList>
      <explain/>
      <paraID>730C80E9</paraID>
      <start>93</start>
      <end>94</end>
      <status>unmodified</status>
      <modifiedWord/>
      <trackRevisions>false</trackRevisions>
    </reviewItem>
    <reviewItem>
      <errorID>2ae7077e-3c71-444a-bb48-6103c31601f0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730C80E9</paraID>
      <start>103</start>
      <end>104</end>
      <status>unmodified</status>
      <modifiedWord/>
      <trackRevisions>false</trackRevisions>
    </reviewItem>
    <reviewItem>
      <errorID>1bf17b22-0c3b-4207-8021-d3151ed70818</errorID>
      <errorWord>屯屯</errorWord>
      <group>L1_Word</group>
      <groupName>字词问题</groupName>
      <ability>L2_Typo</ability>
      <abilityName>字词错误</abilityName>
      <candidateList>
        <item>屯</item>
      </candidateList>
      <explain/>
      <paraID>2ADB1CE3</paraID>
      <start>45</start>
      <end>47</end>
      <status>unmodified</status>
      <modifiedWord/>
      <trackRevisions>false</trackRevisions>
    </reviewItem>
    <reviewItem>
      <errorID>6adbe139-04db-4912-a14b-3826f0f6f831</errorID>
      <errorWord>)</errorWord>
      <group>L1_Format</group>
      <groupName>格式问题</groupName>
      <ability>L2_HalfPunc</ability>
      <abilityName>全半角检查</abilityName>
      <candidateList>
        <item>）</item>
      </candidateList>
      <explain>文本全半角错误。</explain>
      <paraID>2C0F6A77</paraID>
      <start>33</start>
      <end>34</end>
      <status>ignored</status>
      <modifiedWord/>
      <trackRevisions>false</trackRevisions>
    </reviewItem>
    <reviewItem>
      <errorID>7c733574-b896-4579-8cb2-05670c63d30b</errorID>
      <errorWord>周</errorWord>
      <group>L1_Word</group>
      <groupName>字词问题</groupName>
      <ability>L2_Typo</ability>
      <abilityName>字词错误</abilityName>
      <candidateList>
        <item>周边</item>
      </candidateList>
      <explain/>
      <paraID>1C4B9DF7</paraID>
      <start>100</start>
      <end>101</end>
      <status>unmodified</status>
      <modifiedWord/>
      <trackRevisions>false</trackRevisions>
    </reviewItem>
    <reviewItem>
      <errorID>8d420145-be46-4c13-8c5c-d00d2376c95c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1C4B9DF7</paraID>
      <start>110</start>
      <end>111</end>
      <status>unmodified</status>
      <modifiedWord/>
      <trackRevisions>false</trackRevisions>
    </reviewItem>
    <reviewItem>
      <errorID>f1c7d64d-4194-4cbc-a487-83d6aeae63ef</errorID>
      <errorWord>~</errorWord>
      <group>L1_Format</group>
      <groupName>格式问题</groupName>
      <ability>L2_HalfPunc</ability>
      <abilityName>全半角检查</abilityName>
      <candidateList>
        <item>～</item>
      </candidateList>
      <explain>文本全半角错误。</explain>
      <paraID>5F725BB9</paraID>
      <start>31</start>
      <end>32</end>
      <status>unmodified</status>
      <modifiedWord/>
      <trackRevisions>false</trackRevisions>
    </reviewItem>
    <reviewItem>
      <errorID>aa39ccff-6ca2-4d5f-bda3-8b8ad2c8e6aa</errorID>
      <errorWord>靠进</errorWord>
      <group>L1_Word</group>
      <groupName>字词问题</groupName>
      <ability>L2_Typo</ability>
      <abilityName>字词错误</abilityName>
      <candidateList>
        <item>靠近</item>
      </candidateList>
      <explain/>
      <paraID>35D60371</paraID>
      <start>26</start>
      <end>28</end>
      <status>unmodified</status>
      <modifiedWord/>
      <trackRevisions>false</trackRevisions>
    </reviewItem>
    <reviewItem>
      <errorID>c77fd798-ed6a-41b8-8f8b-12c4e7d9d42f</errorID>
      <errorWord>(</errorWord>
      <group>L1_Format</group>
      <groupName>格式问题</groupName>
      <ability>L2_HalfPunc</ability>
      <abilityName>全半角检查</abilityName>
      <candidateList>
        <item>（</item>
      </candidateList>
      <explain>文本全半角错误。</explain>
      <paraID>20963869</paraID>
      <start>42</start>
      <end>43</end>
      <status>ignored</status>
      <modifiedWord/>
      <trackRevisions>false</trackRevisions>
    </reviewItem>
    <reviewItem>
      <errorID>02f6e912-139f-46a6-9e9a-6a78d50223b6</errorID>
      <errorWord>)</errorWord>
      <group>L1_Format</group>
      <groupName>格式问题</groupName>
      <ability>L2_HalfPunc</ability>
      <abilityName>全半角检查</abilityName>
      <candidateList>
        <item>）</item>
      </candidateList>
      <explain>文本全半角错误。</explain>
      <paraID>20963869</paraID>
      <start>55</start>
      <end>56</end>
      <status>ignored</status>
      <modifiedWord/>
      <trackRevisions>false</trackRevisions>
    </reviewItem>
    <reviewItem>
      <errorID>e54b9d37-78dc-4f39-b289-65f0804d40e7</errorID>
      <errorWord>源源</errorWord>
      <group>L1_Word</group>
      <groupName>字词问题</groupName>
      <ability>L2_Typo</ability>
      <abilityName>字词错误</abilityName>
      <candidateList>
        <item>源</item>
      </candidateList>
      <explain/>
      <paraID>2913A19B</paraID>
      <start>1</start>
      <end>3</end>
      <status>unmodified</status>
      <modifiedWord/>
      <trackRevisions>false</trackRevisions>
    </reviewItem>
    <reviewItem>
      <errorID>8df1b919-034b-42eb-baba-39a16be05e84</errorID>
      <errorWord>-</errorWord>
      <group>L1_Format</group>
      <groupName>格式问题</groupName>
      <ability>L2_HalfPunc</ability>
      <abilityName>全半角检查</abilityName>
      <candidateList>
        <item>－</item>
      </candidateList>
      <explain>文本全半角错误。</explain>
      <paraID>55AFD918</paraID>
      <start>108</start>
      <end>109</end>
      <status>unmodified</status>
      <modifiedWord/>
      <trackRevisions>false</trackRevisions>
    </reviewItem>
    <reviewItem>
      <errorID>0cc1ced4-e6f6-49c7-a513-ec976b2c61fb</errorID>
      <errorWord>，；</errorWord>
      <group>L1_Punc</group>
      <groupName>标点问题</groupName>
      <ability>L2_Punc</ability>
      <abilityName>标点符号检查</abilityName>
      <candidateList>
        <item>，</item>
      </candidateList>
      <explain/>
      <paraID> 9982C27</paraID>
      <start>142</start>
      <end>144</end>
      <status>unmodified</status>
      <modifiedWord/>
      <trackRevisions>false</trackRevisions>
    </reviewItem>
    <reviewItem>
      <errorID>6166c5e9-59a1-4333-add6-7ad935de12ae</errorID>
      <errorWord>程</errorWord>
      <group>L1_Word</group>
      <groupName>字词问题</groupName>
      <ability>L2_Typo</ability>
      <abilityName>字词错误</abilityName>
      <candidateList>
        <item>程中</item>
      </candidateList>
      <explain/>
      <paraID>13850E09</paraID>
      <start>18</start>
      <end>19</end>
      <status>unmodified</status>
      <modifiedWord/>
      <trackRevisions>false</trackRevisions>
    </reviewItem>
    <reviewItem>
      <errorID>f53204b2-36c7-4dcd-8e8f-70209cb14e48</errorID>
      <errorWord>钢制</errorWord>
      <group>L1_Word</group>
      <groupName>字词问题</groupName>
      <ability>L2_Typo</ability>
      <abilityName>字词错误</abilityName>
      <candidateList>
        <item>钢质</item>
      </candidateList>
      <explain/>
      <paraID>376559F7</paraID>
      <start>33</start>
      <end>35</end>
      <status>unmodified</status>
      <modifiedWord/>
      <trackRevisions>false</trackRevisions>
    </reviewItem>
    <reviewItem>
      <errorID>0be1e1b0-9daf-46e3-aba2-bfe8ab7484bc</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51632</paraID>
      <start>34</start>
      <end>36</end>
      <status>unmodified</status>
      <modifiedWord/>
      <trackRevisions>false</trackRevisions>
    </reviewItem>
    <reviewItem>
      <errorID>38b377e3-6b38-4c2c-815c-f8b6ebafa982</errorID>
      <errorWord>形影</errorWord>
      <group>L1_Word</group>
      <groupName>字词问题</groupName>
      <ability>L2_Typo</ability>
      <abilityName>字词错误</abilityName>
      <candidateList>
        <item>形象</item>
      </candidateList>
      <explain>❶〈名〉能引起人的思想或感情活动的具体形状或姿态：图画教学是通过～来发展儿童认识事物的能力。❷〈名〉文艺作品中创造出来的生动具体的、激发人们思想感情的生活图景，通常指文学作品中人物的神情面貌和性格特征：～逼真｜英雄～。❸〈形〉指描绘或表达具体、生动：语言精练而～。</explain>
      <paraID>1D9EF38B</paraID>
      <start>34</start>
      <end>36</end>
      <status>unmodified</status>
      <modifiedWord/>
      <trackRevisions>false</trackRevisions>
    </reviewItem>
    <reviewItem>
      <errorID>07bc3c2a-a0eb-49ff-8468-c81c1ac3587b</errorID>
      <errorWord>；</errorWord>
      <group>L1_Word</group>
      <groupName>字词问题</groupName>
      <ability>L2_Typo</ability>
      <abilityName>字词错误</abilityName>
      <candidateList>
        <item>；在</item>
      </candidateList>
      <explain/>
      <paraID>52402541</paraID>
      <start>177</start>
      <end>178</end>
      <status>unmodified</status>
      <modifiedWord/>
      <trackRevisions>false</trackRevisions>
    </reviewItem>
    <reviewItem>
      <errorID>785a21f0-15f3-43d6-93e2-23251ea2a941</errorID>
      <errorWord>[2011]第17号</errorWord>
      <group>L1_Knowledge</group>
      <groupName>知识性问题</groupName>
      <ability>L2_Knowledge</ability>
      <abilityName>其他知识</abilityName>
      <candidateList>
        <item>〔2011〕17号</item>
      </candidateList>
      <explain>发文字号格式错误。</explain>
      <paraID>5AB835CA</paraID>
      <start>41</start>
      <end>51</end>
      <status>unmodified</status>
      <modifiedWord/>
      <trackRevisions>false</trackRevisions>
    </reviewItem>
    <reviewItem>
      <errorID>a0c795b2-a970-417a-bf51-f874d3dfa429</errorID>
      <errorWord>相</errorWord>
      <group>L1_Word</group>
      <groupName>字词问题</groupName>
      <ability>L2_Typo</ability>
      <abilityName>字词错误</abilityName>
      <candidateList>
        <item>相应</item>
      </candidateList>
      <explain>〈动〉互相呼应或照应；相适应：这篇文章前后不～｜环境改变了，工作方法也要～地改变。</explain>
      <paraID>2772387C</paraID>
      <start>26</start>
      <end>27</end>
      <status>unmodified</status>
      <modifiedWord/>
      <trackRevisions>false</trackRevisions>
    </reviewItem>
    <reviewItem>
      <errorID>8ab2b1bf-baeb-476d-b135-5c19698c47f3</errorID>
      <errorWord>作复</errorWord>
      <group>L1_Word</group>
      <groupName>字词问题</groupName>
      <ability>L2_Typo</ability>
      <abilityName>字词错误</abilityName>
      <candidateList>
        <item>修复</item>
      </candidateList>
      <explain/>
      <paraID>2772387C</paraID>
      <start>31</start>
      <end>33</end>
      <status>unmodified</status>
      <modifiedWord/>
      <trackRevisions>false</trackRevisions>
    </reviewItem>
    <reviewItem>
      <errorID>fe09a769-7101-4961-bef1-d635321c4c7d</errorID>
      <errorWord>含油废防</errorWord>
      <group>L1_Knowledge</group>
      <groupName>知识性问题</groupName>
      <ability>L2_Term</ability>
      <abilityName>专业术语</abilityName>
      <candidateList>
        <item>含油废水</item>
      </candidateList>
      <explain/>
      <paraID>77293577</paraID>
      <start>37</start>
      <end>41</end>
      <status>unmodified</status>
      <modifiedWord/>
      <trackRevisions>false</trackRevisions>
    </reviewItem>
    <reviewItem>
      <errorID>327de57e-338e-447b-a5a8-72461ef5cc6c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2AA97535</paraID>
      <start>39</start>
      <end>40</end>
      <status>unmodified</status>
      <modifiedWord/>
      <trackRevisions>false</trackRevisions>
    </reviewItem>
    <reviewItem>
      <errorID>08c2ab15-4d17-4c2c-9521-37aba6eda7ea</errorID>
      <errorWord>干扰能</errorWord>
      <group>L1_Knowledge</group>
      <groupName>知识性问题</groupName>
      <ability>L2_Term</ability>
      <abilityName>专业术语</abilityName>
      <candidateList>
        <item>干扰素</item>
      </candidateList>
      <explain>医学名词[干扰能]为不规范表述或旧称，其规范书面表述为[干扰素]。</explain>
      <paraID>2FBBC26A</paraID>
      <start>131</start>
      <end>134</end>
      <status>unmodified</status>
      <modifiedWord/>
      <trackRevisions>false</trackRevisions>
    </reviewItem>
    <reviewItem>
      <errorID>24288454-44a7-471d-82da-02783fcf84ac</errorID>
      <errorWord>开挖上方</errorWord>
      <group>L1_Word</group>
      <groupName>字词问题</groupName>
      <ability>L2_Typo</ability>
      <abilityName>字词错误</abilityName>
      <candidateList>
        <item>开挖土方</item>
      </candidateList>
      <explain/>
      <paraID>7E8FFDBB</paraID>
      <start>121</start>
      <end>125</end>
      <status>unmodified</status>
      <modifiedWord/>
      <trackRevisions>false</trackRevisions>
    </reviewItem>
    <reviewItem>
      <errorID>3ae9f71e-d23a-4728-99d6-1a7592638ebc</errorID>
      <errorWord>工程在</errorWord>
      <group>L1_Word</group>
      <groupName>字词问题</groupName>
      <ability>L2_Typo</ability>
      <abilityName>字词错误</abilityName>
      <candidateList>
        <item>工程</item>
      </candidateList>
      <explain/>
      <paraID> 1A24D39</paraID>
      <start>63</start>
      <end>66</end>
      <status>unmodified</status>
      <modifiedWord/>
      <trackRevisions>false</trackRevisions>
    </reviewItem>
    <reviewItem>
      <errorID>6f8dd3c1-95ba-4a18-9abc-2fcd31b89477</errorID>
      <errorWord>程</errorWord>
      <group>L1_Word</group>
      <groupName>字词问题</groupName>
      <ability>L2_Typo</ability>
      <abilityName>字词错误</abilityName>
      <candidateList>
        <item>程中</item>
      </candidateList>
      <explain/>
      <paraID>20C88C5A</paraID>
      <start>17</start>
      <end>18</end>
      <status>unmodified</status>
      <modifiedWord/>
      <trackRevisions>false</trackRevisions>
    </reviewItem>
    <reviewItem>
      <errorID>8e18e02f-0e33-4649-bae6-edbd443a8d07</errorID>
      <errorWord>最少</errorWord>
      <group>L1_Word</group>
      <groupName>字词问题</groupName>
      <ability>L2_Typo</ability>
      <abilityName>字词错误</abilityName>
      <candidateList>
        <item>最小</item>
      </candidateList>
      <explain/>
      <paraID>20C88C5A</paraID>
      <start>270</start>
      <end>272</end>
      <status>unmodified</status>
      <modifiedWord/>
      <trackRevisions>false</trackRevisions>
    </reviewItem>
    <reviewItem>
      <errorID>323f944a-d1db-414b-9f8d-122fd28cabe4</errorID>
      <errorWord>根据现场调查显示</errorWord>
      <group>L1_Grammar</group>
      <groupName>语法问题</groupName>
      <ability>L2_Grammar</ability>
      <abilityName>语法错误</abilityName>
      <candidateList>
        <item>根据现场调查</item>
      </candidateList>
      <explain/>
      <paraID>48BD22B9</paraID>
      <start>23</start>
      <end>31</end>
      <status>unmodified</status>
      <modifiedWord/>
      <trackRevisions>false</trackRevisions>
    </reviewItem>
    <reviewItem>
      <errorID>de6c6b53-a0fe-40b4-957f-ba874615e3c6</errorID>
      <errorWord>井井</errorWord>
      <group>L1_Word</group>
      <groupName>字词问题</groupName>
      <ability>L2_Typo</ability>
      <abilityName>字词错误</abilityName>
      <candidateList>
        <item>井</item>
      </candidateList>
      <explain/>
      <paraID> D7FB09D</paraID>
      <start>38</start>
      <end>40</end>
      <status>ignored</status>
      <modifiedWord/>
      <trackRevisions>false</trackRevisions>
    </reviewItem>
    <reviewItem>
      <errorID>0b38d309-2963-4608-8b5a-ab65aa63cfe9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C39F6EC</paraID>
      <start>39</start>
      <end>40</end>
      <status>unmodified</status>
      <modifiedWord/>
      <trackRevisions>false</trackRevisions>
    </reviewItem>
    <reviewItem>
      <errorID>7b1c1cbd-a9f2-42c6-9d9c-731401dae5ac</errorID>
      <errorWord>抛撒</errorWord>
      <group>L1_Word</group>
      <groupName>字词问题</groupName>
      <ability>L2_Typo</ability>
      <abilityName>字词错误</abilityName>
      <candidateList>
        <item>抛洒</item>
      </candidateList>
      <explain>存在发音相同字词的误用。</explain>
      <paraID> E000779</paraID>
      <start>95</start>
      <end>97</end>
      <status>unmodified</status>
      <modifiedWord/>
      <trackRevisions>false</trackRevisions>
    </reviewItem>
    <reviewItem>
      <errorID>9ae4e815-79e1-4d53-b634-dd564ba669e8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2CFCD502</paraID>
      <start>35</start>
      <end>36</end>
      <status>ignored</status>
      <modifiedWord/>
      <trackRevisions>false</trackRevisions>
    </reviewItem>
    <reviewItem>
      <errorID>a735a686-69db-40f3-8f89-543438b720a4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2CFCD502</paraID>
      <start>59</start>
      <end>60</end>
      <status>ignored</status>
      <modifiedWord/>
      <trackRevisions>false</trackRevisions>
    </reviewItem>
    <reviewItem>
      <errorID>ba027ccc-d6ff-469a-b3e9-ba5f7c2c9e72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7A847E1F</paraID>
      <start>173</start>
      <end>174</end>
      <status>unmodified</status>
      <modifiedWord/>
      <trackRevisions>false</trackRevisions>
    </reviewItem>
    <reviewItem>
      <errorID>f7abe571-753c-4c46-b6e1-ab76415aebd5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8885296</paraID>
      <start>23</start>
      <end>24</end>
      <status>unmodified</status>
      <modifiedWord/>
      <trackRevisions>false</trackRevisions>
    </reviewItem>
    <reviewItem>
      <errorID>464eea2b-9d39-48a8-aed7-153023cc9381</errorID>
      <errorWord>践踏</errorWord>
      <group>L1_Word</group>
      <groupName>字词问题</groupName>
      <ability>L2_Typo</ability>
      <abilityName>字词错误</abilityName>
      <candidateList>
        <item>踩踏</item>
      </candidateList>
      <explain/>
      <paraID>17E98A78</paraID>
      <start>65</start>
      <end>67</end>
      <status>unmodified</status>
      <modifiedWord/>
      <trackRevisions>false</trackRevisions>
    </reviewItem>
    <reviewItem>
      <errorID>81d20fe9-d891-4a9c-9690-97429c92ec9e</errorID>
      <errorWord>在</errorWord>
      <group>L1_Word</group>
      <groupName>字词问题</groupName>
      <ability>L2_Typo</ability>
      <abilityName>字词错误</abilityName>
      <candidateList>
        <item>再</item>
      </candidateList>
      <explain>存在发音相同字词的误用。</explain>
      <paraID>4D3F8440</paraID>
      <start>150</start>
      <end>151</end>
      <status>unmodified</status>
      <modifiedWord/>
      <trackRevisions>false</trackRevisions>
    </reviewItem>
    <reviewItem>
      <errorID>4b47217a-80ba-4688-8909-38d8e9a68ced</errorID>
      <errorWord>过度</errorWord>
      <group>L1_Word</group>
      <groupName>字词问题</groupName>
      <ability>L2_Typo</ability>
      <abilityName>字词错误</abilityName>
      <candidateList>
        <item>过渡</item>
      </candidateList>
      <explain>〈动〉事物由一个阶段或一种状态逐渐发展变化而转入另一个阶段或另一种状态：～时期｜～地带。</explain>
      <paraID>4D3F8440</paraID>
      <start>277</start>
      <end>279</end>
      <status>unmodified</status>
      <modifiedWord/>
      <trackRevisions>false</trackRevisions>
    </reviewItem>
    <reviewItem>
      <errorID>1525e4d3-a52d-4736-8099-9a9bd481801a</errorID>
      <errorWord>土地和</errorWord>
      <group>L1_Word</group>
      <groupName>字词问题</groupName>
      <ability>L2_Typo</ability>
      <abilityName>字词错误</abilityName>
      <candidateList>
        <item>土地</item>
      </candidateList>
      <explain/>
      <paraID>35DFBA85</paraID>
      <start>22</start>
      <end>25</end>
      <status>unmodified</status>
      <modifiedWord/>
      <trackRevisions>false</trackRevisions>
    </reviewItem>
    <reviewItem>
      <errorID>29f776c2-19cf-4263-a2dd-06d66cf1e5d0</errorID>
      <errorWord>,</errorWord>
      <group>L1_Format</group>
      <groupName>格式问题</groupName>
      <ability>L2_HalfPunc</ability>
      <abilityName>全半角检查</abilityName>
      <candidateList>
        <item>，</item>
      </candidateList>
      <explain>文本全半角错误。</explain>
      <paraID>349DEC66</paraID>
      <start>8</start>
      <end>9</end>
      <status>unmodified</status>
      <modifiedWord/>
      <trackRevisions>false</trackRevisions>
    </reviewItem>
    <reviewItem>
      <errorID>02c42383-deee-47cd-b47b-e2a18352a02b</errorID>
      <errorWord>可</errorWord>
      <group>L1_Word</group>
      <groupName>字词问题</groupName>
      <ability>L2_Typo</ability>
      <abilityName>字词错误</abilityName>
      <candidateList>
        <item>可能</item>
      </candidateList>
      <explain/>
      <paraID>6947731D</paraID>
      <start>87</start>
      <end>88</end>
      <status>unmodified</status>
      <modifiedWord/>
      <trackRevisions>false</trackRevisions>
    </reviewItem>
    <reviewItem>
      <errorID>8fb839b0-b8e2-4d26-b076-b8248b2cf270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6947731D</paraID>
      <start>112</start>
      <end>113</end>
      <status>unmodified</status>
      <modifiedWord/>
      <trackRevisions>false</trackRevisions>
    </reviewItem>
    <reviewItem>
      <errorID>8825721e-da5d-43f6-abdf-019ca02dd49a</errorID>
      <errorWord>，</errorWord>
      <group>L1_Word</group>
      <groupName>字词问题</groupName>
      <ability>L2_Typo</ability>
      <abilityName>字词错误</abilityName>
      <candidateList>
        <item>，根</item>
      </candidateList>
      <explain/>
      <paraID>54857F82</paraID>
      <start>216</start>
      <end>217</end>
      <status>unmodified</status>
      <modifiedWord/>
      <trackRevisions>false</trackRevisions>
    </reviewItem>
    <reviewItem>
      <errorID>f2c91b39-85cd-4eb5-b543-5b94274d1a35</errorID>
      <errorWord>退役期</errorWord>
      <group>L1_Word</group>
      <groupName>字词问题</groupName>
      <ability>L2_Typo</ability>
      <abilityName>字词错误</abilityName>
      <candidateList>
        <item>退役</item>
      </candidateList>
      <explain/>
      <paraID>27F30901</paraID>
      <start>206</start>
      <end>209</end>
      <status>unmodified</status>
      <modifiedWord/>
      <trackRevisions>false</trackRevisions>
    </reviewItem>
    <reviewItem>
      <errorID>5f287053-140e-43dd-9965-5fd12dba7f36</errorID>
      <errorWord>包括包括</errorWord>
      <group>L1_Word</group>
      <groupName>字词问题</groupName>
      <ability>L2_Typo</ability>
      <abilityName>字词错误</abilityName>
      <candidateList>
        <item>包括</item>
      </candidateList>
      <explain/>
      <paraID>14470DCD</paraID>
      <start>3</start>
      <end>7</end>
      <status>unmodified</status>
      <modifiedWord/>
      <trackRevisions>false</trackRevisions>
    </reviewItem>
    <reviewItem>
      <errorID>236fca68-6803-445e-bff6-9a48870f5fe2</errorID>
      <errorWord>产生</errorWord>
      <group>L1_Grammar</group>
      <groupName>语法问题</groupName>
      <ability>L2_Grammar</ability>
      <abilityName>语法错误</abilityName>
      <candidateList>
        <item>带来</item>
      </candidateList>
      <explain>“构型～产生”搭配不当，建议修改为“构型～带来”。</explain>
      <paraID>5B576CE7</paraID>
      <start>70</start>
      <end>72</end>
      <status>unmodified</status>
      <modifiedWord/>
      <trackRevisions>false</trackRevisions>
    </reviewItem>
    <reviewItem>
      <errorID>eaf24533-2b56-42be-92fa-d3f4ae2e6aac</errorID>
      <errorWord>的机率较</errorWord>
      <group>L1_Word</group>
      <groupName>字词问题</groupName>
      <ability>L2_Typo</ability>
      <abilityName>字词错误</abilityName>
      <candidateList>
        <item>的概率较</item>
      </candidateList>
      <explain/>
      <paraID>78E01A5B</paraID>
      <start>259</start>
      <end>263</end>
      <status>unmodified</status>
      <modifiedWord/>
      <trackRevisions>false</trackRevisions>
    </reviewItem>
    <reviewItem>
      <errorID>c21a3e35-b903-45b3-ab87-e5a8ba7e0817</errorID>
      <errorWord>除此以外</errorWord>
      <group>L1_Word</group>
      <groupName>字词问题</groupName>
      <ability>L2_Typo</ability>
      <abilityName>字词错误</abilityName>
      <candidateList>
        <item>除此之外</item>
      </candidateList>
      <explain>存在字形相近字词的误用。</explain>
      <paraID>78E01A5B</paraID>
      <start>265</start>
      <end>269</end>
      <status>unmodified</status>
      <modifiedWord/>
      <trackRevisions>false</trackRevisions>
    </reviewItem>
    <reviewItem>
      <errorID>ff617bdc-fe33-4fbe-af69-18eb026b91e5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5606E49F</paraID>
      <start>0</start>
      <end>3</end>
      <status>unmodified</status>
      <modifiedWord/>
      <trackRevisions>false</trackRevisions>
    </reviewItem>
    <reviewItem>
      <errorID>a8550d29-e076-44c3-8dd1-db6a84d786dd</errorID>
      <errorWord>(2018)182号</errorWord>
      <group>L1_Knowledge</group>
      <groupName>知识性问题</groupName>
      <ability>L2_Knowledge</ability>
      <abilityName>其他知识</abilityName>
      <candidateList>
        <item>〔2018〕182号</item>
      </candidateList>
      <explain>发文字号格式错误。</explain>
      <paraID>5606E49F</paraID>
      <start>77</start>
      <end>87</end>
      <status>unmodified</status>
      <modifiedWord/>
      <trackRevisions>false</trackRevisions>
    </reviewItem>
    <reviewItem>
      <errorID>2f871456-13c7-417d-bf8e-3ecd7c16e6e0</errorID>
      <errorWord>-</errorWord>
      <group>L1_Format</group>
      <groupName>格式问题</groupName>
      <ability>L2_HalfPunc</ability>
      <abilityName>全半角检查</abilityName>
      <candidateList>
        <item>－</item>
      </candidateList>
      <explain>文本全半角错误。</explain>
      <paraID>78BDEFB9</paraID>
      <start>6</start>
      <end>7</end>
      <status>unmodified</status>
      <modifiedWord/>
      <trackRevisions>false</trackRevisions>
    </reviewItem>
    <reviewItem>
      <errorID>d13b1926-d159-4d54-8eac-8da24e8c6548</errorID>
      <errorWord>)</errorWord>
      <group>L1_Format</group>
      <groupName>格式问题</groupName>
      <ability>L2_HalfPunc</ability>
      <abilityName>全半角检查</abilityName>
      <candidateList>
        <item>）</item>
      </candidateList>
      <explain>文本全半角错误。</explain>
      <paraID>41A96A5C</paraID>
      <start>18</start>
      <end>19</end>
      <status>ignored</status>
      <modifiedWord/>
      <trackRevisions>false</trackRevisions>
    </reviewItem>
    <reviewItem>
      <errorID>15bf4375-a4a6-4d71-99e0-b63605f98e44</errorID>
      <errorWord>)</errorWord>
      <group>L1_Format</group>
      <groupName>格式问题</groupName>
      <ability>L2_HalfPunc</ability>
      <abilityName>全半角检查</abilityName>
      <candidateList>
        <item>）</item>
      </candidateList>
      <explain>文本全半角错误。</explain>
      <paraID>49FEA4FB</paraID>
      <start>11</start>
      <end>12</end>
      <status>ignored</status>
      <modifiedWord/>
      <trackRevisions>false</trackRevisions>
    </reviewItem>
    <reviewItem>
      <errorID>681ed748-fbc5-4b71-9803-77080405cd34</errorID>
      <errorWord>-</errorWord>
      <group>L1_Format</group>
      <groupName>格式问题</groupName>
      <ability>L2_HalfPunc</ability>
      <abilityName>全半角检查</abilityName>
      <candidateList>
        <item>－</item>
      </candidateList>
      <explain>文本全半角错误。</explain>
      <paraID>7761C961</paraID>
      <start>18</start>
      <end>19</end>
      <status>unmodified</status>
      <modifiedWord/>
      <trackRevisions>false</trackRevisions>
    </reviewItem>
    <reviewItem>
      <errorID>ac148b92-d309-4667-9388-7b786392f607</errorID>
      <errorWord>-</errorWord>
      <group>L1_Format</group>
      <groupName>格式问题</groupName>
      <ability>L2_HalfPunc</ability>
      <abilityName>全半角检查</abilityName>
      <candidateList>
        <item>－</item>
      </candidateList>
      <explain>文本全半角错误。</explain>
      <paraID>4A25D37F</paraID>
      <start>9</start>
      <end>10</end>
      <status>unmodified</status>
      <modifiedWord/>
      <trackRevisions>false</trackRevisions>
    </reviewItem>
    <reviewItem>
      <errorID>0764a64e-b9b5-4ab4-afec-0dc642e65494</errorID>
      <errorWord>束</errorWord>
      <group>L1_Word</group>
      <groupName>字词问题</groupName>
      <ability>L2_Typo</ability>
      <abilityName>字词错误</abilityName>
      <candidateList>
        <item>束后</item>
      </candidateList>
      <explain/>
      <paraID>462A84A1</paraID>
      <start>153</start>
      <end>154</end>
      <status>unmodified</status>
      <modifiedWord/>
      <trackRevisions>false</trackRevisions>
    </reviewItem>
    <reviewItem>
      <errorID>4d06b4a0-994f-47e4-814a-0415383dcf83</errorID>
      <errorWord>-</errorWord>
      <group>L1_Format</group>
      <groupName>格式问题</groupName>
      <ability>L2_HalfPunc</ability>
      <abilityName>全半角检查</abilityName>
      <candidateList>
        <item>－</item>
      </candidateList>
      <explain>文本全半角错误。</explain>
      <paraID> 4751BE1</paraID>
      <start>3</start>
      <end>4</end>
      <status>unmodified</status>
      <modifiedWord/>
      <trackRevisions>false</trackRevisions>
    </reviewItem>
    <reviewItem>
      <errorID>398fe1b6-f219-4a4f-aef8-81b0dc781288</errorID>
      <errorWord>-</errorWord>
      <group>L1_Format</group>
      <groupName>格式问题</groupName>
      <ability>L2_HalfPunc</ability>
      <abilityName>全半角检查</abilityName>
      <candidateList>
        <item>－</item>
      </candidateList>
      <explain>文本全半角错误。</explain>
      <paraID>28ABA43E</paraID>
      <start>3</start>
      <end>4</end>
      <status>unmodified</status>
      <modifiedWord/>
      <trackRevisions>false</trackRevisions>
    </reviewItem>
    <reviewItem>
      <errorID>f81ac01f-6acb-40ec-82bd-3e2c8e153e94</errorID>
      <errorWord>-</errorWord>
      <group>L1_Format</group>
      <groupName>格式问题</groupName>
      <ability>L2_HalfPunc</ability>
      <abilityName>全半角检查</abilityName>
      <candidateList>
        <item>－</item>
      </candidateList>
      <explain>文本全半角错误。</explain>
      <paraID>76642F83</paraID>
      <start>3</start>
      <end>4</end>
      <status>unmodified</status>
      <modifiedWord/>
      <trackRevisions>false</trackRevisions>
    </reviewItem>
    <reviewItem>
      <errorID>bfddc12c-ece8-46c1-a510-5b25c39b4189</errorID>
      <errorWord>、以及</errorWord>
      <group>L1_Punc</group>
      <groupName>标点问题</groupName>
      <ability>L2_Punc</ability>
      <abilityName>标点符号检查</abilityName>
      <candidateList>
        <item>，以及</item>
      </candidateList>
      <explain>连接词前后不宜使用顿号，建议使用逗号。</explain>
      <paraID>5B30B829</paraID>
      <start>23</start>
      <end>26</end>
      <status>unmodified</status>
      <modifiedWord/>
      <trackRevisions>false</trackRevisions>
    </reviewItem>
    <reviewItem>
      <errorID>ace0435f-8dbe-4212-8e26-d6929aa35ffa</errorID>
      <errorWord>处理处理</errorWord>
      <group>L1_Word</group>
      <groupName>字词问题</groupName>
      <ability>L2_Typo</ability>
      <abilityName>字词错误</abilityName>
      <candidateList>
        <item>处理</item>
      </candidateList>
      <explain/>
      <paraID>208D45EA</paraID>
      <start>60</start>
      <end>64</end>
      <status>unmodified</status>
      <modifiedWord/>
      <trackRevisions>false</trackRevisions>
    </reviewItem>
    <reviewItem>
      <errorID>5131e62a-bf33-44fe-9e32-1ad2f3689b82</errorID>
      <errorWord>涉及到</errorWord>
      <group>L1_Grammar</group>
      <groupName>语法问题</groupName>
      <ability>L2_Grammar</ability>
      <abilityName>语法错误</abilityName>
      <candidateList>
        <item>涉及</item>
      </candidateList>
      <explain>〈动〉牵涉到；关联到：案子～好几个人｜这个问题～面很广。</explain>
      <paraID>45ED9100</paraID>
      <start>6</start>
      <end>9</end>
      <status>unmodified</status>
      <modifiedWord/>
      <trackRevisions>false</trackRevisions>
    </reviewItem>
    <reviewItem>
      <errorID>927bb97e-4638-4329-b7c6-55e2b8c336e6</errorID>
      <errorWord>-</errorWord>
      <group>L1_Format</group>
      <groupName>格式问题</groupName>
      <ability>L2_HalfPunc</ability>
      <abilityName>全半角检查</abilityName>
      <candidateList>
        <item>－</item>
      </candidateList>
      <explain>文本全半角错误。</explain>
      <paraID>399D7064</paraID>
      <start>4</start>
      <end>5</end>
      <status>unmodified</status>
      <modifiedWord/>
      <trackRevisions>false</trackRevisions>
    </reviewItem>
    <reviewItem>
      <errorID>cfc139ff-a84c-41fd-81e6-d9da7425cfbf</errorID>
      <errorWord>饱和蒸气</errorWord>
      <group>L1_Word</group>
      <groupName>字词问题</groupName>
      <ability>L2_Typo</ability>
      <abilityName>字词错误</abilityName>
      <candidateList>
        <item>饱和蒸汽</item>
      </candidateList>
      <explain/>
      <paraID>2A6BC7D3</paraID>
      <start>0</start>
      <end>4</end>
      <status>unmodified</status>
      <modifiedWord/>
      <trackRevisions>false</trackRevisions>
    </reviewItem>
    <reviewItem>
      <errorID>416bbc3d-82c1-43b1-97ce-37341ae642a8</errorID>
      <errorWord>：＞</errorWord>
      <group>L1_Format</group>
      <groupName>格式问题</groupName>
      <ability>L2_HalfPunc</ability>
      <abilityName>全半角检查</abilityName>
      <candidateList>
        <item>:&gt;</item>
      </candidateList>
      <explain>文本全半角错误。</explain>
      <paraID>1F9FBB89</paraID>
      <start>4</start>
      <end>6</end>
      <status>unmodified</status>
      <modifiedWord/>
      <trackRevisions>false</trackRevisions>
    </reviewItem>
    <reviewItem>
      <errorID>64ea329e-309c-43fb-9645-0c80cd61aa20</errorID>
      <errorWord>：</errorWord>
      <group>L1_Format</group>
      <groupName>格式问题</groupName>
      <ability>L2_HalfPunc</ability>
      <abilityName>全半角检查</abilityName>
      <candidateList>
        <item>:</item>
      </candidateList>
      <explain>文本全半角错误。</explain>
      <paraID>4DEA2B12</paraID>
      <start>4</start>
      <end>5</end>
      <status>unmodified</status>
      <modifiedWord/>
      <trackRevisions>false</trackRevisions>
    </reviewItem>
    <reviewItem>
      <errorID>3aea49e1-08f7-4fc7-88ec-c74f76da4e7f</errorID>
      <errorWord>给于</errorWord>
      <group>L1_Word</group>
      <groupName>字词问题</groupName>
      <ability>L2_Typo</ability>
      <abilityName>字词错误</abilityName>
      <candidateList>
        <item>给予</item>
      </candidateList>
      <explain>〈书〉〈动〉给（ɡěi）：～帮助｜～同情｜～亲切的关怀。也作给与。</explain>
      <paraID>45EB9135</paraID>
      <start>30</start>
      <end>32</end>
      <status>unmodified</status>
      <modifiedWord/>
      <trackRevisions>false</trackRevisions>
    </reviewItem>
    <reviewItem>
      <errorID>621a2b1f-24c8-4154-be16-a86cae20aa43</errorID>
      <errorWord>曝晒</errorWord>
      <group>L1_Word</group>
      <groupName>字词问题</groupName>
      <ability>L2_Typo</ability>
      <abilityName>字词错误</abilityName>
      <candidateList>
        <item>暴晒</item>
      </candidateList>
      <explain>〈动〉在强烈的阳光下久晒：烈日～｜洗好的丝绸衣服不宜～。</explain>
      <paraID>5481FF7A</paraID>
      <start>42</start>
      <end>44</end>
      <status>unmodified</status>
      <modifiedWord/>
      <trackRevisions>false</trackRevisions>
    </reviewItem>
    <reviewItem>
      <errorID>71b5f71d-cf07-45a3-b2fc-d96c458789b3</errorID>
      <errorWord>震荡</errorWord>
      <group>L1_Word</group>
      <groupName>字词问题</groupName>
      <ability>L2_Typo</ability>
      <abilityName>字词错误</abilityName>
      <candidateList>
        <item>振荡</item>
      </candidateList>
      <explain/>
      <paraID>5481FF7A</paraID>
      <start>79</start>
      <end>81</end>
      <status>unmodified</status>
      <modifiedWord/>
      <trackRevisions>false</trackRevisions>
    </reviewItem>
    <reviewItem>
      <errorID>36aeb75b-c768-4f98-b750-15d784c831b9</errorID>
      <errorWord>饱和蒸气</errorWord>
      <group>L1_Word</group>
      <groupName>字词问题</groupName>
      <ability>L2_Typo</ability>
      <abilityName>字词错误</abilityName>
      <candidateList>
        <item>饱和蒸汽</item>
      </candidateList>
      <explain/>
      <paraID>22D14BA0</paraID>
      <start>0</start>
      <end>4</end>
      <status>unmodified</status>
      <modifiedWord/>
      <trackRevisions>false</trackRevisions>
    </reviewItem>
    <reviewItem>
      <errorID>e81e9ae0-9764-4e2f-b99b-7a1744d2caf0</errorID>
      <errorWord>：</errorWord>
      <group>L1_Format</group>
      <groupName>格式问题</groupName>
      <ability>L2_HalfPunc</ability>
      <abilityName>全半角检查</abilityName>
      <candidateList>
        <item>:</item>
      </candidateList>
      <explain>文本全半角错误。</explain>
      <paraID>56FDC0E4</paraID>
      <start>4</start>
      <end>5</end>
      <status>unmodified</status>
      <modifiedWord/>
      <trackRevisions>false</trackRevisions>
    </reviewItem>
    <reviewItem>
      <errorID>5eb6432c-ccc5-417c-8512-03be0837e4e4</errorID>
      <errorWord>和粘膜</errorWord>
      <group>L1_Word</group>
      <groupName>字词问题</groupName>
      <ability>L2_Alias</ability>
      <abilityName>也作/曾用词</abilityName>
      <candidateList>
        <item>和黏膜</item>
      </candidateList>
      <explain>词汇[和粘膜]为不规范表述或旧称，其规范书面表述为[和黏膜]。</explain>
      <paraID> 71B79D6</paraID>
      <start>26</start>
      <end>29</end>
      <status>unmodified</status>
      <modifiedWord/>
      <trackRevisions>false</trackRevisions>
    </reviewItem>
    <reviewItem>
      <errorID>7509b1ea-d717-43a9-99f4-d58d1762ca58</errorID>
      <errorWord>给于</errorWord>
      <group>L1_Word</group>
      <groupName>字词问题</groupName>
      <ability>L2_Typo</ability>
      <abilityName>字词错误</abilityName>
      <candidateList>
        <item>给予</item>
      </candidateList>
      <explain>〈书〉〈动〉给（ɡěi）：～帮助｜～同情｜～亲切的关怀。也作给与。</explain>
      <paraID>7987AC2F</paraID>
      <start>27</start>
      <end>29</end>
      <status>unmodified</status>
      <modifiedWord/>
      <trackRevisions>false</trackRevisions>
    </reviewItem>
    <reviewItem>
      <errorID>ff7bdb55-95b8-4088-a12e-2b49f2ec2c3d</errorID>
      <errorWord>风尘</errorWord>
      <group>L1_Word</group>
      <groupName>字词问题</groupName>
      <ability>L2_Typo</ability>
      <abilityName>字词错误</abilityName>
      <candidateList>
        <item>粉尘</item>
      </candidateList>
      <explain/>
      <paraID>497A419E</paraID>
      <start>49</start>
      <end>51</end>
      <status>unmodified</status>
      <modifiedWord/>
      <trackRevisions>false</trackRevisions>
    </reviewItem>
    <reviewItem>
      <errorID>bbeb885f-d5d4-4f7e-9c8a-7708f5c01594</errorID>
      <errorWord>5.3～15％</errorWord>
      <group>L1_Knowledge</group>
      <groupName>知识性问题</groupName>
      <ability>L2_Knowledge</ability>
      <abilityName>其他知识</abilityName>
      <candidateList>
        <item>5.3％～15％</item>
      </candidateList>
      <explain>1. “5.3～15％”中的单位“％”仅出现在后一个数字上，容易引起歧义；根据《现代汉语标点符号数字用法规范手册》，数字表示范围两边需要使用统一的格式。2. 根据标点国标 4.13 中的规则，数字、时间或地域连接符应使用（视觉上更长的）“—”或“～”。</explain>
      <paraID>7F844921</paraID>
      <start>3</start>
      <end>10</end>
      <status>unmodified</status>
      <modifiedWord/>
      <trackRevisions>false</trackRevisions>
    </reviewItem>
    <reviewItem>
      <errorID>db12a6b1-2540-4939-b71a-3858d1e2672b</errorID>
      <errorWord>佩带</errorWord>
      <group>L1_Word</group>
      <groupName>字词问题</groupName>
      <ability>L2_Typo</ability>
      <abilityName>字词错误</abilityName>
      <candidateList>
        <item>佩戴</item>
      </candidateList>
      <explain>〈动〉（把徽章、符号等）挂在胸前、臂上、肩上等部位：～校徽｜～肩章。也作佩带。</explain>
      <paraID>638901DF</paraID>
      <start>26</start>
      <end>28</end>
      <status>unmodified</status>
      <modifiedWord/>
      <trackRevisions>false</trackRevisions>
    </reviewItem>
    <reviewItem>
      <errorID>50471e5c-43ee-4e09-9b68-5f13da11781f</errorID>
      <errorWord>其它</errorWord>
      <group>L1_Word</group>
      <groupName>字词问题</groupName>
      <ability>L2_Alias</ability>
      <abilityName>也作/曾用词</abilityName>
      <candidateList>
        <item>其他</item>
      </candidateList>
      <explain>词汇[其它]为不规范表述或旧称，其规范书面表述为[其他]。</explain>
      <paraID>638901DF</paraID>
      <start>100</start>
      <end>102</end>
      <status>unmodified</status>
      <modifiedWord/>
      <trackRevisions>false</trackRevisions>
    </reviewItem>
    <reviewItem>
      <errorID>465c0b85-94b4-4fdd-af01-32acc6f5cc3c</errorID>
      <errorWord>其它</errorWord>
      <group>L1_Word</group>
      <groupName>字词问题</groupName>
      <ability>L2_Alias</ability>
      <abilityName>也作/曾用词</abilityName>
      <candidateList>
        <item>其他</item>
      </candidateList>
      <explain>词汇[其它]为不规范表述或旧称，其规范书面表述为[其他]。</explain>
      <paraID>638901DF</paraID>
      <start>131</start>
      <end>133</end>
      <status>unmodified</status>
      <modifiedWord/>
      <trackRevisions>false</trackRevisions>
    </reviewItem>
    <reviewItem>
      <errorID>1ca5014f-0cba-4310-93dc-234fc115c3ae</errorID>
      <errorWord>是是</errorWord>
      <group>L1_Word</group>
      <groupName>字词问题</groupName>
      <ability>L2_Typo</ability>
      <abilityName>字词错误</abilityName>
      <candidateList>
        <item>是</item>
      </candidateList>
      <explain>〈动〉❶联系两种事物，表明两者同一或后者说明前者的种类、属性：《阿Q正传》的作者～鲁迅｜节约～不浪费的意思。❷与“的”字配合使用，有分类的作用：这张桌子～石头的｜那瓶墨水～红的｜我～来看他的。❸联系两种事物，表示陈述的对象属于“是”后面所说的情况：他～一片好心｜咱们～好汉一言，快马一鞭｜院子里～冬天，屋子里～春天。</explain>
      <paraID>3CF705FF</paraID>
      <start>2</start>
      <end>4</end>
      <status>unmodified</status>
      <modifiedWord/>
      <trackRevisions>false</trackRevisions>
    </reviewItem>
    <reviewItem>
      <errorID>2fe81aa5-ca84-425c-aa62-c9fcc1bbcdde</errorID>
      <errorWord>嗳收</errorWord>
      <group>L1_Word</group>
      <groupName>字词问题</groupName>
      <ability>L2_Typo</ability>
      <abilityName>字词错误</abilityName>
      <candidateList>
        <item>吸收</item>
      </candidateList>
      <explain/>
      <paraID> F143BA9</paraID>
      <start>8</start>
      <end>10</end>
      <status>unmodified</status>
      <modifiedWord/>
      <trackRevisions>false</trackRevisions>
    </reviewItem>
    <reviewItem>
      <errorID>1bc87d82-1fa5-44a4-b609-caeb30a25b03</errorID>
      <errorWord>(</errorWord>
      <group>L1_Punc</group>
      <groupName>标点问题</groupName>
      <ability>L2_Punc</ability>
      <abilityName>标点符号检查</abilityName>
      <candidateList/>
      <explain/>
      <paraID>285A0FEC</paraID>
      <start>18</start>
      <end>19</end>
      <status>unmodified</status>
      <modifiedWord/>
      <trackRevisions>false</trackRevisions>
    </reviewItem>
    <reviewItem>
      <errorID>8b50f56e-2572-43ff-b3b8-fa0ae1a5c763</errorID>
      <errorWord>:</errorWord>
      <group>L1_Format</group>
      <groupName>格式问题</groupName>
      <ability>L2_HalfPunc</ability>
      <abilityName>全半角检查</abilityName>
      <candidateList>
        <item>：</item>
      </candidateList>
      <explain>文本全半角错误。</explain>
      <paraID>285A0FEC</paraID>
      <start>23</start>
      <end>24</end>
      <status>unmodified</status>
      <modifiedWord/>
      <trackRevisions>false</trackRevisions>
    </reviewItem>
    <reviewItem>
      <errorID>a8d0a46c-9406-4e3c-b2a9-58803c61044b</errorID>
      <errorWord>(</errorWord>
      <group>L1_Format</group>
      <groupName>格式问题</groupName>
      <ability>L2_HalfPunc</ability>
      <abilityName>全半角检查</abilityName>
      <candidateList>
        <item>（</item>
      </candidateList>
      <explain>文本全半角错误。</explain>
      <paraID>285A0FEC</paraID>
      <start>34</start>
      <end>35</end>
      <status>ignored</status>
      <modifiedWord/>
      <trackRevisions>false</trackRevisions>
    </reviewItem>
    <reviewItem>
      <errorID>d681ae08-dcbd-4882-8cd5-f0fc4a1243e7</errorID>
      <errorWord>)</errorWord>
      <group>L1_Format</group>
      <groupName>格式问题</groupName>
      <ability>L2_HalfPunc</ability>
      <abilityName>全半角检查</abilityName>
      <candidateList>
        <item>）</item>
      </candidateList>
      <explain>文本全半角错误。</explain>
      <paraID>285A0FEC</paraID>
      <start>38</start>
      <end>39</end>
      <status>ignored</status>
      <modifiedWord/>
      <trackRevisions>false</trackRevisions>
    </reviewItem>
    <reviewItem>
      <errorID>8990ba08-48a6-4a82-b505-569bb403942a</errorID>
      <errorWord>(</errorWord>
      <group>L1_Format</group>
      <groupName>格式问题</groupName>
      <ability>L2_HalfPunc</ability>
      <abilityName>全半角检查</abilityName>
      <candidateList>
        <item>（</item>
      </candidateList>
      <explain>文本全半角错误。</explain>
      <paraID>285A0FEC</paraID>
      <start>60</start>
      <end>61</end>
      <status>ignored</status>
      <modifiedWord/>
      <trackRevisions>false</trackRevisions>
    </reviewItem>
    <reviewItem>
      <errorID>4fb0c6d1-396a-4af6-9797-64ef1d366375</errorID>
      <errorWord>)</errorWord>
      <group>L1_Format</group>
      <groupName>格式问题</groupName>
      <ability>L2_HalfPunc</ability>
      <abilityName>全半角检查</abilityName>
      <candidateList>
        <item>）</item>
      </candidateList>
      <explain>文本全半角错误。</explain>
      <paraID>285A0FEC</paraID>
      <start>65</start>
      <end>66</end>
      <status>ignored</status>
      <modifiedWord/>
      <trackRevisions>false</trackRevisions>
    </reviewItem>
    <reviewItem>
      <errorID>12d36faf-fd54-4f04-9927-0c495443b1cc</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 7F0861A</paraID>
      <start>64</start>
      <end>67</end>
      <status>unmodified</status>
      <modifiedWord/>
      <trackRevisions>false</trackRevisions>
    </reviewItem>
    <reviewItem>
      <errorID>f641a870-974c-4ef8-a7b2-6a3166d7c05b</errorID>
      <errorWord>(</errorWord>
      <group>L1_Format</group>
      <groupName>格式问题</groupName>
      <ability>L2_HalfPunc</ability>
      <abilityName>全半角检查</abilityName>
      <candidateList>
        <item>（</item>
      </candidateList>
      <explain>文本全半角错误。</explain>
      <paraID> 7F0861A</paraID>
      <start>68</start>
      <end>69</end>
      <status>ignored</status>
      <modifiedWord/>
      <trackRevisions>false</trackRevisions>
    </reviewItem>
    <reviewItem>
      <errorID>031fd93b-cbe6-4546-a13d-0f9623c4cd50</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 7F0861A</paraID>
      <start>75</start>
      <end>78</end>
      <status>unmodified</status>
      <modifiedWord/>
      <trackRevisions>false</trackRevisions>
    </reviewItem>
    <reviewItem>
      <errorID>b6c5242e-bd72-4b2b-92bd-e27939d64506</errorID>
      <errorWord>)</errorWord>
      <group>L1_Format</group>
      <groupName>格式问题</groupName>
      <ability>L2_HalfPunc</ability>
      <abilityName>全半角检查</abilityName>
      <candidateList>
        <item>）</item>
      </candidateList>
      <explain>文本全半角错误。</explain>
      <paraID> 7F0861A</paraID>
      <start>79</start>
      <end>80</end>
      <status>ignored</status>
      <modifiedWord/>
      <trackRevisions>false</trackRevisions>
    </reviewItem>
    <reviewItem>
      <errorID>c706903b-c9b2-498a-919f-2ce230f7d9a4</errorID>
      <errorWord>头录</errorWord>
      <group>L1_Word</group>
      <groupName>字词问题</groupName>
      <ability>L2_Typo</ability>
      <abilityName>字词错误</abilityName>
      <candidateList>
        <item>头颅</item>
      </candidateList>
      <explain/>
      <paraID> 7F0861A</paraID>
      <start>95</start>
      <end>97</end>
      <status>unmodified</status>
      <modifiedWord/>
      <trackRevisions>false</trackRevisions>
    </reviewItem>
    <reviewItem>
      <errorID>810d696f-2a33-4f4d-b1cf-18c1bbf21258</errorID>
      <errorWord>眩录</errorWord>
      <group>L1_Word</group>
      <groupName>字词问题</groupName>
      <ability>L2_Typo</ability>
      <abilityName>字词错误</abilityName>
      <candidateList>
        <item>眩晕</item>
      </candidateList>
      <explain/>
      <paraID> 7F0861A</paraID>
      <start>101</start>
      <end>103</end>
      <status>unmodified</status>
      <modifiedWord/>
      <trackRevisions>false</trackRevisions>
    </reviewItem>
    <reviewItem>
      <errorID>71956be8-6b04-4d5c-abb4-afc49f72896f</errorID>
      <errorWord>谢妄</errorWord>
      <group>L1_Word</group>
      <groupName>字词问题</groupName>
      <ability>L2_Typo</ability>
      <abilityName>字词错误</abilityName>
      <candidateList>
        <item>虚妄</item>
      </candidateList>
      <explain/>
      <paraID> 7F0861A</paraID>
      <start>113</start>
      <end>115</end>
      <status>unmodified</status>
      <modifiedWord/>
      <trackRevisions>false</trackRevisions>
    </reviewItem>
    <reviewItem>
      <errorID>ffe66930-1f5f-4411-821d-8085669dc0a5</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 7F0861A</paraID>
      <start>185</start>
      <end>189</end>
      <status>unmodified</status>
      <modifiedWord/>
      <trackRevisions>false</trackRevisions>
    </reviewItem>
    <reviewItem>
      <errorID>a5ca9186-a3d3-4c3d-8f4d-de33ce3a82c8</errorID>
      <errorWord>静止时间</errorWord>
      <group>L1_Knowledge</group>
      <groupName>知识性问题</groupName>
      <ability>L2_Term</ability>
      <abilityName>专业术语</abilityName>
      <candidateList>
        <item>静置时间</item>
      </candidateList>
      <explain/>
      <paraID>72A53380</paraID>
      <start>39</start>
      <end>43</end>
      <status>unmodified</status>
      <modifiedWord/>
      <trackRevisions>false</trackRevisions>
    </reviewItem>
    <reviewItem>
      <errorID>3d74604b-4065-465a-81f9-f35ae21687f5</errorID>
      <errorWord>事故中</errorWord>
      <group>L1_Word</group>
      <groupName>字词问题</groupName>
      <ability>L2_Typo</ability>
      <abilityName>字词错误</abilityName>
      <candidateList>
        <item>事故</item>
      </candidateList>
      <explain/>
      <paraID>43171700</paraID>
      <start>25</start>
      <end>28</end>
      <status>unmodified</status>
      <modifiedWord/>
      <trackRevisions>false</trackRevisions>
    </reviewItem>
    <reviewItem>
      <errorID>653c7dc3-3b35-4913-be41-810cd0db5f76</errorID>
      <errorWord>)</errorWord>
      <group>L1_Format</group>
      <groupName>格式问题</groupName>
      <ability>L2_HalfPunc</ability>
      <abilityName>全半角检查</abilityName>
      <candidateList>
        <item>）</item>
      </candidateList>
      <explain>文本全半角错误。</explain>
      <paraID>79F944BD</paraID>
      <start>57</start>
      <end>58</end>
      <status>ignored</status>
      <modifiedWord/>
      <trackRevisions>false</trackRevisions>
    </reviewItem>
    <reviewItem>
      <errorID>18c87e30-1888-4c5b-ba63-4883b4fcdef3</errorID>
      <errorWord>井深结构</errorWord>
      <group>L1_Knowledge</group>
      <groupName>知识性问题</groupName>
      <ability>L2_Term</ability>
      <abilityName>专业术语</abilityName>
      <candidateList>
        <item>井身结构</item>
      </candidateList>
      <explain/>
      <paraID>5A8E7137</paraID>
      <start>16</start>
      <end>20</end>
      <status>unmodified</status>
      <modifiedWord/>
      <trackRevisions>false</trackRevisions>
    </reviewItem>
    <reviewItem>
      <errorID>4897c286-ceac-4bf9-aafa-552caa7aed14</errorID>
      <errorWord>婿变</errorWord>
      <group>L1_Word</group>
      <groupName>字词问题</groupName>
      <ability>L2_Typo</ability>
      <abilityName>字词错误</abilityName>
      <candidateList>
        <item>蠕变</item>
      </candidateList>
      <explain/>
      <paraID>5A8E7137</paraID>
      <start>30</start>
      <end>32</end>
      <status>unmodified</status>
      <modifiedWord/>
      <trackRevisions>false</trackRevisions>
    </reviewItem>
    <reviewItem>
      <errorID>bf8dab3a-ac89-483e-a8f4-c4ac33fc888e</errorID>
      <errorWord>水</errorWord>
      <group>L1_Word</group>
      <groupName>字词问题</groupName>
      <ability>L2_Typo</ability>
      <abilityName>字词错误</abilityName>
      <candidateList>
        <item>水自</item>
      </candidateList>
      <explain/>
      <paraID> F995D12</paraID>
      <start>195</start>
      <end>196</end>
      <status>unmodified</status>
      <modifiedWord/>
      <trackRevisions>false</trackRevisions>
    </reviewItem>
    <reviewItem>
      <errorID>7c2900e8-6263-4584-aae9-9d207868cca8</errorID>
      <errorWord>然</errorWord>
      <group>L1_Word</group>
      <groupName>字词问题</groupName>
      <ability>L2_Typo</ability>
      <abilityName>字词错误</abilityName>
      <candidateList>
        <item>自然</item>
      </candidateList>
      <explain>〈形〉不勉强；不局促；不呆板：态度很～｜他是初次演出，但演得挺～。</explain>
      <paraID> F995D12</paraID>
      <start>196</start>
      <end>197</end>
      <status>unmodified</status>
      <modifiedWord/>
      <trackRevisions>false</trackRevisions>
    </reviewItem>
    <reviewItem>
      <errorID>e2be81bf-04eb-4453-b4a0-6f7cfaf367a0</errorID>
      <errorWord>侵蚀</errorWord>
      <group>L1_Word</group>
      <groupName>字词问题</groupName>
      <ability>L2_Typo</ability>
      <abilityName>字词错误</abilityName>
      <candidateList>
        <item>浸蚀</item>
      </candidateList>
      <explain/>
      <paraID>76192013</paraID>
      <start>85</start>
      <end>87</end>
      <status>unmodified</status>
      <modifiedWord/>
      <trackRevisions>false</trackRevisions>
    </reviewItem>
    <reviewItem>
      <errorID>86a76681-0acf-4c8a-aa1d-08ee73ff7a51</errorID>
      <errorWord>侵蚀</errorWord>
      <group>L1_Word</group>
      <groupName>字词问题</groupName>
      <ability>L2_Typo</ability>
      <abilityName>字词错误</abilityName>
      <candidateList>
        <item>浸蚀</item>
      </candidateList>
      <explain/>
      <paraID>105FCC16</paraID>
      <start>27</start>
      <end>29</end>
      <status>unmodified</status>
      <modifiedWord/>
      <trackRevisions>false</trackRevisions>
    </reviewItem>
    <reviewItem>
      <errorID>e0795f56-a291-4669-8155-872746aa8b68</errorID>
      <errorWord>泄露</errorWord>
      <group>L1_Word</group>
      <groupName>字词问题</groupName>
      <ability>L2_Typo</ability>
      <abilityName>字词错误</abilityName>
      <candidateList>
        <item>泄漏</item>
      </candidateList>
      <explain/>
      <paraID>10F75826</paraID>
      <start>14</start>
      <end>16</end>
      <status>unmodified</status>
      <modifiedWord/>
      <trackRevisions>false</trackRevisions>
    </reviewItem>
    <reviewItem>
      <errorID>19f2a4e1-f04b-4047-bb6c-f258f345aaae</errorID>
      <errorWord>自动点火装置</errorWord>
      <group>L1_Knowledge</group>
      <groupName>知识性问题</groupName>
      <ability>L2_Term</ability>
      <abilityName>专业术语</abilityName>
      <candidateList>
        <item>自动灭火装置</item>
      </candidateList>
      <explain/>
      <paraID>2DAC751B</paraID>
      <start>206</start>
      <end>212</end>
      <status>unmodified</status>
      <modifiedWord/>
      <trackRevisions>false</trackRevisions>
    </reviewItem>
    <reviewItem>
      <errorID>7b685474-a095-4d08-b1cc-5ae5c913b059</errorID>
      <errorWord>程</errorWord>
      <group>L1_Word</group>
      <groupName>字词问题</groupName>
      <ability>L2_Typo</ability>
      <abilityName>字词错误</abilityName>
      <candidateList>
        <item>程中</item>
      </candidateList>
      <explain/>
      <paraID>2DAC751B</paraID>
      <start>283</start>
      <end>284</end>
      <status>unmodified</status>
      <modifiedWord/>
      <trackRevisions>false</trackRevisions>
    </reviewItem>
    <reviewItem>
      <errorID>c19d64ae-223a-458b-81a3-7c6096d888eb</errorID>
      <errorWord>，如</errorWord>
      <group>L1_Word</group>
      <groupName>字词问题</groupName>
      <ability>L2_Typo</ability>
      <abilityName>字词错误</abilityName>
      <candidateList>
        <item>，</item>
      </candidateList>
      <explain/>
      <paraID>2DAC751B</paraID>
      <start>388</start>
      <end>390</end>
      <status>unmodified</status>
      <modifiedWord/>
      <trackRevisions>false</trackRevisions>
    </reviewItem>
    <reviewItem>
      <errorID>43144994-563d-442c-8002-584a4103f95b</errorID>
      <errorWord>(</errorWord>
      <group>L1_Format</group>
      <groupName>格式问题</groupName>
      <ability>L2_HalfPunc</ability>
      <abilityName>全半角检查</abilityName>
      <candidateList>
        <item>（</item>
      </candidateList>
      <explain>文本全半角错误。</explain>
      <paraID>7C85963E</paraID>
      <start>145</start>
      <end>146</end>
      <status>ignored</status>
      <modifiedWord/>
      <trackRevisions>false</trackRevisions>
    </reviewItem>
    <reviewItem>
      <errorID>0b00e7de-8d6c-45a8-a988-3af50b278102</errorID>
      <errorWord>)</errorWord>
      <group>L1_Format</group>
      <groupName>格式问题</groupName>
      <ability>L2_HalfPunc</ability>
      <abilityName>全半角检查</abilityName>
      <candidateList>
        <item>）</item>
      </candidateList>
      <explain>文本全半角错误。</explain>
      <paraID>7C85963E</paraID>
      <start>159</start>
      <end>160</end>
      <status>ignored</status>
      <modifiedWord/>
      <trackRevisions>false</trackRevisions>
    </reviewItem>
    <reviewItem>
      <errorID>8e1acc40-7d50-444e-8507-b734d8f3256e</errorID>
      <errorWord>（</errorWord>
      <group>L1_Punc</group>
      <groupName>标点问题</groupName>
      <ability>L2_Punc</ability>
      <abilityName>标点符号检查</abilityName>
      <candidateList/>
      <explain/>
      <paraID>5387B3DE</paraID>
      <start>27</start>
      <end>28</end>
      <status>ignored</status>
      <modifiedWord/>
      <trackRevisions>false</trackRevisions>
    </reviewItem>
    <reviewItem>
      <errorID>fc023520-1fff-4ed9-ab42-3a7caa6104e6</errorID>
      <errorWord>进入到</errorWord>
      <group>L1_Word</group>
      <groupName>字词问题</groupName>
      <ability>L2_Typo</ability>
      <abilityName>字词错误</abilityName>
      <candidateList>
        <item>进入</item>
      </candidateList>
      <explain>〈动〉支进到某个范围或某个时期里：～学校｜～新阶段◇～角色。</explain>
      <paraID>5387B3DE</paraID>
      <start>353</start>
      <end>356</end>
      <status>unmodified</status>
      <modifiedWord/>
      <trackRevisions>false</trackRevisions>
    </reviewItem>
    <reviewItem>
      <errorID>08f01584-7aaf-461d-b63d-627cf0383250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3D98CF75</paraID>
      <start>231</start>
      <end>232</end>
      <status>ignored</status>
      <modifiedWord/>
      <trackRevisions>false</trackRevisions>
    </reviewItem>
    <reviewItem>
      <errorID>ef085743-0a0e-45a2-ac98-7dba3d9054e3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3D98CF75</paraID>
      <start>293</start>
      <end>294</end>
      <status>ignored</status>
      <modifiedWord/>
      <trackRevisions>false</trackRevisions>
    </reviewItem>
    <reviewItem>
      <errorID>9b8f7555-16ae-4118-8e65-5df799c38b70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3D98CF75</paraID>
      <start>351</start>
      <end>352</end>
      <status>ignored</status>
      <modifiedWord/>
      <trackRevisions>false</trackRevisions>
    </reviewItem>
    <reviewItem>
      <errorID>1bf8f374-d359-4d8a-835c-73bff07992c9</errorID>
      <errorWord>程</errorWord>
      <group>L1_Word</group>
      <groupName>字词问题</groupName>
      <ability>L2_Typo</ability>
      <abilityName>字词错误</abilityName>
      <candidateList>
        <item>程中</item>
      </candidateList>
      <explain/>
      <paraID>4E99A957</paraID>
      <start>199</start>
      <end>200</end>
      <status>unmodified</status>
      <modifiedWord/>
      <trackRevisions>false</trackRevisions>
    </reviewItem>
    <reviewItem>
      <errorID>3164f374-e3cd-43d2-91fd-9c248c4f4dc4</errorID>
      <errorWord>机率</errorWord>
      <group>L1_Word</group>
      <groupName>字词问题</groupName>
      <ability>L2_Typo</ability>
      <abilityName>字词错误</abilityName>
      <candidateList>
        <item>几率</item>
      </candidateList>
      <explain>存在发音相同字词的误用。</explain>
      <paraID>6C2CA66B</paraID>
      <start>50</start>
      <end>52</end>
      <status>unmodified</status>
      <modifiedWord/>
      <trackRevisions>false</trackRevisions>
    </reviewItem>
    <reviewItem>
      <errorID>1bd99b41-8b48-40e1-b187-752a8004f025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75ECB0CB</paraID>
      <start>122</start>
      <end>123</end>
      <status>ignored</status>
      <modifiedWord/>
      <trackRevisions>false</trackRevisions>
    </reviewItem>
    <reviewItem>
      <errorID>a6ddcef8-9170-4f8a-a9ab-f0a33c50518b</errorID>
      <errorWord>粘附</errorWord>
      <group>L1_Word</group>
      <groupName>字词问题</groupName>
      <ability>L2_Alias</ability>
      <abilityName>也作/曾用词</abilityName>
      <candidateList>
        <item>黏附</item>
      </candidateList>
      <explain>词汇[粘附]为不规范表述或旧称，其规范书面表述为[黏附]。</explain>
      <paraID>74366179</paraID>
      <start>126</start>
      <end>128</end>
      <status>unmodified</status>
      <modifiedWord/>
      <trackRevisions>false</trackRevisions>
    </reviewItem>
    <reviewItem>
      <errorID>38b86a04-93e7-4794-8bb4-66876336bb3e</errorID>
      <errorWord>下</errorWord>
      <group>L1_Word</group>
      <groupName>字词问题</groupName>
      <ability>L2_Typo</ability>
      <abilityName>字词错误</abilityName>
      <candidateList>
        <item>时</item>
      </candidateList>
      <explain>存在字形相近字词的误用。</explain>
      <paraID>6087D3D9</paraID>
      <start>23</start>
      <end>24</end>
      <status>unmodified</status>
      <modifiedWord/>
      <trackRevisions>false</trackRevisions>
    </reviewItem>
    <reviewItem>
      <errorID>24f0be5d-24f0-4aad-9cdf-77c883e4f120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54C1883F</paraID>
      <start>0</start>
      <end>2</end>
      <status>unmodified</status>
      <modifiedWord/>
      <trackRevisions>false</trackRevisions>
    </reviewItem>
    <reviewItem>
      <errorID>8790f010-3202-440c-8917-7c8ffcd7eb5e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D7843AF</paraID>
      <start>0</start>
      <end>2</end>
      <status>unmodified</status>
      <modifiedWord/>
      <trackRevisions>false</trackRevisions>
    </reviewItem>
    <reviewItem>
      <errorID>ede80d57-9771-4f47-b636-a131b3a6448c</errorID>
      <errorWord>（</errorWord>
      <group>L1_Punc</group>
      <groupName>标点问题</groupName>
      <ability>L2_Punc</ability>
      <abilityName>标点符号检查</abilityName>
      <candidateList/>
      <explain/>
      <paraID>266D17A9</paraID>
      <start>27</start>
      <end>28</end>
      <status>ignored</status>
      <modifiedWord/>
      <trackRevisions>false</trackRevisions>
    </reviewItem>
    <reviewItem>
      <errorID>4ef180d0-13d9-4d53-bb08-08b625161fed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6B93806C</paraID>
      <start>0</start>
      <end>2</end>
      <status>unmodified</status>
      <modifiedWord/>
      <trackRevisions>false</trackRevisions>
    </reviewItem>
    <reviewItem>
      <errorID>3d68b485-2c76-453d-8226-e1d9bb75cda1</errorID>
      <errorWord>洒落</errorWord>
      <group>L1_Word</group>
      <groupName>字词问题</groupName>
      <ability>L2_Typo</ability>
      <abilityName>字词错误</abilityName>
      <candidateList>
        <item>撒落</item>
      </candidateList>
      <explain/>
      <paraID>1F889EE0</paraID>
      <start>45</start>
      <end>47</end>
      <status>unmodified</status>
      <modifiedWord/>
      <trackRevisions>false</trackRevisions>
    </reviewItem>
    <reviewItem>
      <errorID>c9539477-7844-4107-97f8-82acda746c0d</errorID>
      <errorWord>野外作业区</errorWord>
      <group>L1_Word</group>
      <groupName>字词问题</groupName>
      <ability>L2_Typo</ability>
      <abilityName>字词错误</abilityName>
      <candidateList>
        <item>野外作业</item>
      </candidateList>
      <explain/>
      <paraID>779B8944</paraID>
      <start>63</start>
      <end>68</end>
      <status>unmodified</status>
      <modifiedWord/>
      <trackRevisions>false</trackRevisions>
    </reviewItem>
    <reviewItem>
      <errorID>84d467f5-c5f7-4c9b-9296-8e408378abe5</errorID>
      <errorWord>期</errorWord>
      <group>L1_Word</group>
      <groupName>字词问题</groupName>
      <ability>L2_Typo</ability>
      <abilityName>字词错误</abilityName>
      <candidateList>
        <item>期间</item>
      </candidateList>
      <explain>〈名〉某个时期里面：农忙～｜春节～｜抗战～。</explain>
      <paraID>61749C07</paraID>
      <start>9</start>
      <end>10</end>
      <status>ignored</status>
      <modifiedWord/>
      <trackRevisions>false</trackRevisions>
    </reviewItem>
    <reviewItem>
      <errorID>37ed2b7f-af12-4b27-8a7d-3005f89a1c84</errorID>
      <errorWord>无泄露</errorWord>
      <group>L1_Word</group>
      <groupName>字词问题</groupName>
      <ability>L2_Typo</ability>
      <abilityName>字词错误</abilityName>
      <candidateList>
        <item>无泄漏</item>
      </candidateList>
      <explain/>
      <paraID>673CF076</paraID>
      <start>37</start>
      <end>40</end>
      <status>unmodified</status>
      <modifiedWord/>
      <trackRevisions>false</trackRevisions>
    </reviewItem>
    <reviewItem>
      <errorID>0b339354-3674-47ea-bb0e-c7008d6c442d</errorID>
      <errorWord>低</errorWord>
      <group>L1_Word</group>
      <groupName>字词问题</groupName>
      <ability>L2_Typo</ability>
      <abilityName>字词错误</abilityName>
      <candidateList>
        <item>低于</item>
      </candidateList>
      <explain/>
      <paraID>1DB1B330</paraID>
      <start>21</start>
      <end>22</end>
      <status>unmodified</status>
      <modifiedWord/>
      <trackRevisions>false</trackRevisions>
    </reviewItem>
    <reviewItem>
      <errorID>2165152a-7165-499e-b04d-3cf87c54849a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170E21DB</paraID>
      <start>33</start>
      <end>34</end>
      <status>unmodified</status>
      <modifiedWord/>
      <trackRevisions>false</trackRevisions>
    </reviewItem>
    <reviewItem>
      <errorID>18699b9d-b1c3-438a-a555-4114c8d54160</errorID>
      <errorWord>保证均</errorWord>
      <group>L1_Word</group>
      <groupName>字词问题</groupName>
      <ability>L2_Typo</ability>
      <abilityName>字词错误</abilityName>
      <candidateList>
        <item>保证</item>
      </candidateList>
      <explain/>
      <paraID> 870F1A9</paraID>
      <start>27</start>
      <end>30</end>
      <status>unmodified</status>
      <modifiedWord/>
      <trackRevisions>false</trackRevisions>
    </reviewItem>
    <reviewItem>
      <errorID>cc20dafe-4c84-4b9b-935c-df9284fa332d</errorID>
      <errorWord>建立健全的</errorWord>
      <group>L1_Word</group>
      <groupName>字词问题</groupName>
      <ability>L2_Typo</ability>
      <abilityName>字词错误</abilityName>
      <candidateList>
        <item>建立健全</item>
      </candidateList>
      <explain/>
      <paraID>47B5582C</paraID>
      <start>3</start>
      <end>8</end>
      <status>unmodified</status>
      <modifiedWord/>
      <trackRevisions>false</trackRevisions>
    </reviewItem>
    <reviewItem>
      <errorID>3498309e-219a-487f-bf4c-104b4867bea2</errorID>
      <errorWord>最小</errorWord>
      <group>L1_Word</group>
      <groupName>字词问题</groupName>
      <ability>L2_Typo</ability>
      <abilityName>字词错误</abilityName>
      <candidateList>
        <item>最低</item>
      </candidateList>
      <explain/>
      <paraID>13047943</paraID>
      <start>27</start>
      <end>29</end>
      <status>unmodified</status>
      <modifiedWord/>
      <trackRevisions>false</trackRevisions>
    </reviewItem>
    <reviewItem>
      <errorID>7f96d5d5-c7aa-4e35-8227-0b36abd40c9e</errorID>
      <errorWord>泥将</errorWord>
      <group>L1_Word</group>
      <groupName>字词问题</groupName>
      <ability>L2_Typo</ability>
      <abilityName>字词错误</abilityName>
      <candidateList>
        <item>泥浆</item>
      </candidateList>
      <explain/>
      <paraID>15CB5D42</paraID>
      <start>10</start>
      <end>12</end>
      <status>unmodified</status>
      <modifiedWord/>
      <trackRevisions>false</trackRevisions>
    </reviewItem>
    <reviewItem>
      <errorID>ed9ebdc9-517b-40c0-8f12-39341bb1a2c5</errorID>
      <errorWord>由罐车拉运至由罐车拉运至</errorWord>
      <group>L1_Word</group>
      <groupName>字词问题</groupName>
      <ability>L2_Typo</ability>
      <abilityName>字词错误</abilityName>
      <candidateList>
        <item>由罐车拉运至</item>
      </candidateList>
      <explain/>
      <paraID>7F181C96</paraID>
      <start>14</start>
      <end>26</end>
      <status>unmodified</status>
      <modifiedWord/>
      <trackRevisions>false</trackRevisions>
    </reviewItem>
    <reviewItem>
      <errorID>17d5cf18-bbce-414a-b9f0-1a7c360d80d7</errorID>
      <errorWord>防治</errorWord>
      <group>L1_Word</group>
      <groupName>字词问题</groupName>
      <ability>L2_Typo</ability>
      <abilityName>字词错误</abilityName>
      <candidateList>
        <item>防止</item>
      </candidateList>
      <explain>〈动〉预先设法制止（坏事发生）：～煤气中毒｜～交通事故。</explain>
      <paraID>2265B409</paraID>
      <start>133</start>
      <end>135</end>
      <status>unmodified</status>
      <modifiedWord/>
      <trackRevisions>false</trackRevisions>
    </reviewItem>
    <reviewItem>
      <errorID>608aa214-97a4-4280-8f1b-08cf77ff2423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121932A</paraID>
      <start>25</start>
      <end>26</end>
      <status>ignored</status>
      <modifiedWord/>
      <trackRevisions>false</trackRevisions>
    </reviewItem>
    <reviewItem>
      <errorID>44c6e6fa-bb0a-4297-9b29-6f53f33b9137</errorID>
      <errorWord>~</errorWord>
      <group>L1_Format</group>
      <groupName>格式问题</groupName>
      <ability>L2_HalfPunc</ability>
      <abilityName>全半角检查</abilityName>
      <candidateList>
        <item>～</item>
      </candidateList>
      <explain>文本全半角错误。</explain>
      <paraID> 121932A</paraID>
      <start>84</start>
      <end>85</end>
      <status>unmodified</status>
      <modifiedWord/>
      <trackRevisions>false</trackRevisions>
    </reviewItem>
    <reviewItem>
      <errorID>ba095f53-f49d-4d20-81a8-cfc0a9e37451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121932A</paraID>
      <start>102</start>
      <end>103</end>
      <status>ignored</status>
      <modifiedWord/>
      <trackRevisions>false</trackRevisions>
    </reviewItem>
    <reviewItem>
      <errorID>2ded3221-7be9-46ce-9d00-8ec352e5cc7d</errorID>
      <errorWord>污水水质</errorWord>
      <group>L1_Knowledge</group>
      <groupName>知识性问题</groupName>
      <ability>L2_Term</ability>
      <abilityName>专业术语</abilityName>
      <candidateList>
        <item>出水水质</item>
      </candidateList>
      <explain/>
      <paraID> 121932A</paraID>
      <start>127</start>
      <end>131</end>
      <status>unmodified</status>
      <modifiedWord/>
      <trackRevisions>false</trackRevisions>
    </reviewItem>
    <reviewItem>
      <errorID>31684759-6b13-4230-9c02-252e2353740b</errorID>
      <errorWord>(</errorWord>
      <group>L1_Format</group>
      <groupName>格式问题</groupName>
      <ability>L2_HalfPunc</ability>
      <abilityName>全半角检查</abilityName>
      <candidateList>
        <item>（</item>
      </candidateList>
      <explain>文本全半角错误。</explain>
      <paraID>3B743E87</paraID>
      <start>200</start>
      <end>201</end>
      <status>ignored</status>
      <modifiedWord/>
      <trackRevisions>false</trackRevisions>
    </reviewItem>
    <reviewItem>
      <errorID>e9d26432-4582-4076-94e7-242c185e3e36</errorID>
      <errorWord>)</errorWord>
      <group>L1_Format</group>
      <groupName>格式问题</groupName>
      <ability>L2_HalfPunc</ability>
      <abilityName>全半角检查</abilityName>
      <candidateList>
        <item>）</item>
      </candidateList>
      <explain>文本全半角错误。</explain>
      <paraID>3B743E87</paraID>
      <start>214</start>
      <end>215</end>
      <status>ignored</status>
      <modifiedWord/>
      <trackRevisions>false</trackRevisions>
    </reviewItem>
    <reviewItem>
      <errorID>bcee166f-6115-485a-9bc8-54b1f1a85b37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3B743E87</paraID>
      <start>246</start>
      <end>247</end>
      <status>unmodified</status>
      <modifiedWord/>
      <trackRevisions>false</trackRevisions>
    </reviewItem>
    <reviewItem>
      <errorID>394e443a-c09d-4cce-8ffe-062d1c14a20e</errorID>
      <errorWord>回考虑</errorWord>
      <group>L1_Word</group>
      <groupName>字词问题</groupName>
      <ability>L2_Typo</ability>
      <abilityName>字词错误</abilityName>
      <candidateList>
        <item>考虑</item>
      </candidateList>
      <explain/>
      <paraID>12B19FFA</paraID>
      <start>46</start>
      <end>49</end>
      <status>unmodified</status>
      <modifiedWord/>
      <trackRevisions>false</trackRevisions>
    </reviewItem>
    <reviewItem>
      <errorID>935e86be-dd04-4b75-933c-7143f286f958</errorID>
      <errorWord>排入排入</errorWord>
      <group>L1_Word</group>
      <groupName>字词问题</groupName>
      <ability>L2_Typo</ability>
      <abilityName>字词错误</abilityName>
      <candidateList>
        <item>排入</item>
      </candidateList>
      <explain/>
      <paraID>5DA0CA6D</paraID>
      <start>8</start>
      <end>12</end>
      <status>unmodified</status>
      <modifiedWord/>
      <trackRevisions>false</trackRevisions>
    </reviewItem>
    <reviewItem>
      <errorID>eb065ee8-c2ab-4bc7-80a6-cc70c00f1460</errorID>
      <errorWord>棚布</errorWord>
      <group>L1_Word</group>
      <groupName>字词问题</groupName>
      <ability>L2_Typo</ability>
      <abilityName>字词错误</abilityName>
      <candidateList>
        <item>篷布</item>
      </candidateList>
      <explain>存在发音相同字词的误用。</explain>
      <paraID>2EAA1532</paraID>
      <start>77</start>
      <end>79</end>
      <status>unmodified</status>
      <modifiedWord/>
      <trackRevisions>false</trackRevisions>
    </reviewItem>
    <reviewItem>
      <errorID>1ff706b1-1e14-4acd-bf1c-065cbd736cb2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5361D181</paraID>
      <start>52</start>
      <end>53</end>
      <status>unmodified</status>
      <modifiedWord/>
      <trackRevisions>false</trackRevisions>
    </reviewItem>
    <reviewItem>
      <errorID>5cb3379b-301c-4483-a0f1-7e3002f159b4</errorID>
      <errorWord>程</errorWord>
      <group>L1_Word</group>
      <groupName>字词问题</groupName>
      <ability>L2_Typo</ability>
      <abilityName>字词错误</abilityName>
      <candidateList>
        <item>程中</item>
      </candidateList>
      <explain/>
      <paraID> F41761A</paraID>
      <start>14</start>
      <end>15</end>
      <status>unmodified</status>
      <modifiedWord/>
      <trackRevisions>false</trackRevisions>
    </reviewItem>
    <reviewItem>
      <errorID>cc8c6cc7-8e25-43c2-a80e-708612f438c7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570236C4</paraID>
      <start>64</start>
      <end>65</end>
      <status>ignored</status>
      <modifiedWord/>
      <trackRevisions>false</trackRevisions>
    </reviewItem>
    <reviewItem>
      <errorID>c069ea75-579a-4977-b704-4581154c55cf</errorID>
      <errorWord>期</errorWord>
      <group>L1_Word</group>
      <groupName>字词问题</groupName>
      <ability>L2_Typo</ability>
      <abilityName>字词错误</abilityName>
      <candidateList>
        <item>期间</item>
      </candidateList>
      <explain>〈名〉某个时期里面：农忙～｜春节～｜抗战～。</explain>
      <paraID>140B7788</paraID>
      <start>3</start>
      <end>4</end>
      <status>ignored</status>
      <modifiedWord/>
      <trackRevisions>false</trackRevisions>
    </reviewItem>
    <reviewItem>
      <errorID>57614a52-2b54-431c-8f23-ccee7d875c84</errorID>
      <errorWord>程</errorWord>
      <group>L1_Word</group>
      <groupName>字词问题</groupName>
      <ability>L2_Typo</ability>
      <abilityName>字词错误</abilityName>
      <candidateList>
        <item>程中</item>
      </candidateList>
      <explain/>
      <paraID>388464BC</paraID>
      <start>4</start>
      <end>5</end>
      <status>unmodified</status>
      <modifiedWord/>
      <trackRevisions>false</trackRevisions>
    </reviewItem>
    <reviewItem>
      <errorID>72124b30-f620-4324-a0d8-4a67160293b3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58AAD10B</paraID>
      <start>38</start>
      <end>39</end>
      <status>ignored</status>
      <modifiedWord/>
      <trackRevisions>false</trackRevisions>
    </reviewItem>
    <reviewItem>
      <errorID>93c9c692-258d-465a-be96-8dd525127e1c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148DEC73</paraID>
      <start>61</start>
      <end>62</end>
      <status>ignored</status>
      <modifiedWord/>
      <trackRevisions>false</trackRevisions>
    </reviewItem>
    <reviewItem>
      <errorID>b3ed4350-a216-4c12-924a-f154478ba055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19DA291B</paraID>
      <start>31</start>
      <end>32</end>
      <status>ignored</status>
      <modifiedWord/>
      <trackRevisions>false</trackRevisions>
    </reviewItem>
    <reviewItem>
      <errorID>3127bbdb-1823-4103-897b-f653356130b9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797D14C8</paraID>
      <start>61</start>
      <end>62</end>
      <status>ignored</status>
      <modifiedWord/>
      <trackRevisions>false</trackRevisions>
    </reviewItem>
    <reviewItem>
      <errorID>a5d6bac4-d855-40e3-939d-f8205a38440e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3769C88</paraID>
      <start>61</start>
      <end>62</end>
      <status>ignored</status>
      <modifiedWord/>
      <trackRevisions>false</trackRevisions>
    </reviewItem>
    <reviewItem>
      <errorID>05251b04-d33b-499b-9c5a-248839781d1e</errorID>
      <errorWord>（</errorWord>
      <group>L1_Punc</group>
      <groupName>标点问题</groupName>
      <ability>L2_Punc</ability>
      <abilityName>标点符号检查</abilityName>
      <candidateList/>
      <explain/>
      <paraID>1654EE82</paraID>
      <start>5</start>
      <end>6</end>
      <status>ignored</status>
      <modifiedWord/>
      <trackRevisions>false</trackRevisions>
    </reviewItem>
    <reviewItem>
      <errorID>bf75e51b-6a84-4395-911c-3b780a8faa08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1654EE82</paraID>
      <start>45</start>
      <end>46</end>
      <status>ignored</status>
      <modifiedWord/>
      <trackRevisions>false</trackRevisions>
    </reviewItem>
    <reviewItem>
      <errorID>25935c33-f87d-4e99-b3ae-77a1517db595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7B8D3EE6</paraID>
      <start>61</start>
      <end>62</end>
      <status>ignored</status>
      <modifiedWord/>
      <trackRevisions>false</trackRevisions>
    </reviewItem>
    <reviewItem>
      <errorID>49ea5deb-67a9-4393-ab98-87439b7b5f56</errorID>
      <errorWord>布设个</errorWord>
      <group>L1_Word</group>
      <groupName>字词问题</groupName>
      <ability>L2_Typo</ability>
      <abilityName>字词错误</abilityName>
      <candidateList>
        <item>布设</item>
      </candidateList>
      <explain/>
      <paraID>3AC8746B</paraID>
      <start>42</start>
      <end>45</end>
      <status>unmodified</status>
      <modifiedWord/>
      <trackRevisions>false</trackRevisions>
    </reviewItem>
    <reviewItem>
      <errorID>36657a31-6131-4d9e-be25-dc5ce835b17f</errorID>
      <errorWord>，</errorWord>
      <group>L1_Format</group>
      <groupName>格式问题</groupName>
      <ability>L2_HalfPunc</ability>
      <abilityName>全半角检查</abilityName>
      <candidateList>
        <item>,</item>
      </candidateList>
      <explain>文本全半角错误。</explain>
      <paraID>46F496B2</paraID>
      <start>9</start>
      <end>10</end>
      <status>unmodified</status>
      <modifiedWord/>
      <trackRevisions>false</trackRevisions>
    </reviewItem>
    <reviewItem>
      <errorID>f21970d2-0d8a-4680-9d14-31e76fd45350</errorID>
      <errorWord>，</errorWord>
      <group>L1_Format</group>
      <groupName>格式问题</groupName>
      <ability>L2_HalfPunc</ability>
      <abilityName>全半角检查</abilityName>
      <candidateList>
        <item>,</item>
      </candidateList>
      <explain>文本全半角错误。</explain>
      <paraID>2EC05804</paraID>
      <start>9</start>
      <end>10</end>
      <status>unmodified</status>
      <modifiedWord/>
      <trackRevisions>false</trackRevisions>
    </reviewItem>
    <reviewItem>
      <errorID>8031a103-04bd-4159-8c8e-102a2ca30de0</errorID>
      <errorWord>-</errorWord>
      <group>L1_Format</group>
      <groupName>格式问题</groupName>
      <ability>L2_HalfPunc</ability>
      <abilityName>全半角检查</abilityName>
      <candidateList>
        <item>－</item>
      </candidateList>
      <explain>文本全半角错误。</explain>
      <paraID>23FD5DF5</paraID>
      <start>3</start>
      <end>4</end>
      <status>unmodified</status>
      <modifiedWord/>
      <trackRevisions>false</trackRevisions>
    </reviewItem>
    <reviewItem>
      <errorID>7babfb8b-0fe2-4f45-93f7-76f32cd668c0</errorID>
      <errorWord>检测</errorWord>
      <group>L1_Word</group>
      <groupName>字词问题</groupName>
      <ability>L2_Typo</ability>
      <abilityName>字词错误</abilityName>
      <candidateList>
        <item>监测</item>
      </candidateList>
      <explain/>
      <paraID>3507E474</paraID>
      <start>21</start>
      <end>23</end>
      <status>unmodified</status>
      <modifiedWord/>
      <trackRevisions>false</trackRevisions>
    </reviewItem>
    <reviewItem>
      <errorID>e50d5493-5fc1-450d-bf7f-d12e96a5a6b9</errorID>
      <errorWord>作法</errorWord>
      <group>L1_Word</group>
      <groupName>字词问题</groupName>
      <ability>L2_Typo</ability>
      <abilityName>字词错误</abilityName>
      <candidateList>
        <item>做法</item>
      </candidateList>
      <explain>存在发音相同字词的误用。</explain>
      <paraID>398A69AC</paraID>
      <start>29</start>
      <end>31</end>
      <status>unmodified</status>
      <modifiedWord/>
      <trackRevisions>false</trackRevisions>
    </reviewItem>
    <reviewItem>
      <errorID>548f8626-8f25-4ba6-ab5b-d57ae3fc2f30</errorID>
      <errorWord>其它施工</errorWord>
      <group>L1_Word</group>
      <groupName>字词问题</groupName>
      <ability>L2_Alias</ability>
      <abilityName>也作/曾用词</abilityName>
      <candidateList>
        <item>其他施工</item>
      </candidateList>
      <explain>词汇[其它施工]为不规范表述或旧称，其规范书面表述为[其他施工]。</explain>
      <paraID>52121B21</paraID>
      <start>8</start>
      <end>12</end>
      <status>unmodified</status>
      <modifiedWord/>
      <trackRevisions>false</trackRevisions>
    </reviewItem>
    <reviewItem>
      <errorID>51749627-cae9-4784-8720-7ce480d1f1db</errorID>
      <errorWord>减震</errorWord>
      <group>L1_Word</group>
      <groupName>字词问题</groupName>
      <ability>L2_Typo</ability>
      <abilityName>字词错误</abilityName>
      <candidateList>
        <item>减振</item>
      </candidateList>
      <explain/>
      <paraID>2AA04E50</paraID>
      <start>19</start>
      <end>21</end>
      <status>unmodified</status>
      <modifiedWord/>
      <trackRevisions>false</trackRevisions>
    </reviewItem>
    <reviewItem>
      <errorID>c8c5dc5e-b50c-455c-96d2-92bee92730c2</errorID>
      <errorWord>践踏</errorWord>
      <group>L1_Word</group>
      <groupName>字词问题</groupName>
      <ability>L2_Typo</ability>
      <abilityName>字词错误</abilityName>
      <candidateList>
        <item>踩踏</item>
      </candidateList>
      <explain/>
      <paraID>373E9528</paraID>
      <start>14</start>
      <end>16</end>
      <status>unmodified</status>
      <modifiedWord/>
      <trackRevisions>false</trackRevisions>
    </reviewItem>
    <reviewItem>
      <errorID>02c5def9-859c-4938-98e8-950ce870e662</errorID>
      <errorWord>免加</errorWord>
      <group>L1_Word</group>
      <groupName>字词问题</groupName>
      <ability>L2_Typo</ability>
      <abilityName>字词错误</abilityName>
      <candidateList>
        <item>免强</item>
      </candidateList>
      <explain/>
      <paraID>7E556D8D</paraID>
      <start>66</start>
      <end>68</end>
      <status>unmodified</status>
      <modifiedWord/>
      <trackRevisions>false</trackRevisions>
    </reviewItem>
    <reviewItem>
      <errorID>4bf4308a-2de9-487b-965d-517aa596d4c1</errorID>
      <errorWord>作到</errorWord>
      <group>L1_Word</group>
      <groupName>字词问题</groupName>
      <ability>L2_Typo</ability>
      <abilityName>字词错误</abilityName>
      <candidateList>
        <item>做到</item>
      </candidateList>
      <explain/>
      <paraID>2E58AD50</paraID>
      <start>12</start>
      <end>14</end>
      <status>unmodified</status>
      <modifiedWord/>
      <trackRevisions>false</trackRevisions>
    </reviewItem>
    <reviewItem>
      <errorID>e5926f9e-debe-40ae-946e-e1d39f407be0</errorID>
      <errorWord>[2023]2号</errorWord>
      <group>L1_Knowledge</group>
      <groupName>知识性问题</groupName>
      <ability>L2_Knowledge</ability>
      <abilityName>其他知识</abilityName>
      <candidateList>
        <item>〔2023〕2号</item>
      </candidateList>
      <explain>发文字号格式错误。</explain>
      <paraID>41CEC5D0</paraID>
      <start>44</start>
      <end>52</end>
      <status>unmodified</status>
      <modifiedWord/>
      <trackRevisions>false</trackRevisions>
    </reviewItem>
    <reviewItem>
      <errorID>2210f9b1-a014-438e-bd50-f4433cc6cd14</errorID>
      <errorWord>提高</errorWord>
      <group>L1_Grammar</group>
      <groupName>语法问题</groupName>
      <ability>L2_Grammar</ability>
      <abilityName>语法错误</abilityName>
      <candidateList>
        <item>增强</item>
      </candidateList>
      <explain>“提高～意识”搭配不当，建议修改为“增强～意识”。</explain>
      <paraID>  8F9462</paraID>
      <start>3</start>
      <end>5</end>
      <status>unmodified</status>
      <modifiedWord/>
      <trackRevisions>false</trackRevisions>
    </reviewItem>
    <reviewItem>
      <errorID>d28da619-c928-4042-a3b9-d2083679d7d3</errorID>
      <errorWord>加强对</errorWord>
      <group>L1_Word</group>
      <groupName>字词问题</groupName>
      <ability>L2_Typo</ability>
      <abilityName>字词错误</abilityName>
      <candidateList>
        <item>加强</item>
      </candidateList>
      <explain/>
      <paraID>50FD2D7D</paraID>
      <start>3</start>
      <end>6</end>
      <status>unmodified</status>
      <modifiedWord/>
      <trackRevisions>false</trackRevisions>
    </reviewItem>
    <reviewItem>
      <errorID>941cef2b-42ba-402e-b0bf-b8ce6c8d92e0</errorID>
      <errorWord>目前现状</errorWord>
      <group>L1_Word</group>
      <groupName>字词问题</groupName>
      <ability>L2_Typo</ability>
      <abilityName>字词错误</abilityName>
      <candidateList>
        <item>现状</item>
      </candidateList>
      <explain/>
      <paraID>29B4A22D</paraID>
      <start>39</start>
      <end>43</end>
      <status>unmodified</status>
      <modifiedWord/>
      <trackRevisions>false</trackRevisions>
    </reviewItem>
    <reviewItem>
      <errorID>ec98688b-4d0b-439e-bbd3-60012d30e99c</errorID>
      <errorWord>提高</errorWord>
      <group>L1_Grammar</group>
      <groupName>语法问题</groupName>
      <ability>L2_Grammar</ability>
      <abilityName>语法错误</abilityName>
      <candidateList>
        <item>增强</item>
      </candidateList>
      <explain>“提高～意识”搭配不当，建议修改为“增强～意识”。</explain>
      <paraID>2AB9CE89</paraID>
      <start>18</start>
      <end>20</end>
      <status>unmodified</status>
      <modifiedWord/>
      <trackRevisions>false</trackRevisions>
    </reviewItem>
    <reviewItem>
      <errorID>b97f1193-132b-4837-8262-f01425967fdf</errorID>
      <errorWord>。；</errorWord>
      <group>L1_Punc</group>
      <groupName>标点问题</groupName>
      <ability>L2_Punc</ability>
      <abilityName>标点符号检查</abilityName>
      <candidateList>
        <item>。</item>
      </candidateList>
      <explain/>
      <paraID>2AB9CE89</paraID>
      <start>55</start>
      <end>57</end>
      <status>unmodified</status>
      <modifiedWord/>
      <trackRevisions>false</trackRevisions>
    </reviewItem>
    <reviewItem>
      <errorID>affde989-964f-4827-a00f-63cdfaaf9860</errorID>
      <errorWord>符合的</errorWord>
      <group>L1_Word</group>
      <groupName>字词问题</groupName>
      <ability>L2_Typo</ability>
      <abilityName>字词错误</abilityName>
      <candidateList>
        <item>符合</item>
      </candidateList>
      <explain>〈动〉（数量、形状、情节等）相合：～事实｜这些产品不～质量标准。</explain>
      <paraID>56F87635</paraID>
      <start>224</start>
      <end>227</end>
      <status>unmodified</status>
      <modifiedWord/>
      <trackRevisions>false</trackRevisions>
    </reviewItem>
    <reviewItem>
      <errorID>91d568e7-d6ea-49aa-a380-fb479c19f4ec</errorID>
      <errorWord>，</errorWord>
      <group>L1_Word</group>
      <groupName>字词问题</groupName>
      <ability>L2_Typo</ability>
      <abilityName>字词错误</abilityName>
      <candidateList>
        <item>，在</item>
      </candidateList>
      <explain/>
      <paraID>6771A6F7</paraID>
      <start>440</start>
      <end>441</end>
      <status>unmodified</status>
      <modifiedWord/>
      <trackRevisions>false</trackRevisions>
    </reviewItem>
    <reviewItem>
      <errorID>cff0188c-1c54-4aa6-96b9-c6f62f4267d7</errorID>
      <errorWord>耕地按</errorWord>
      <group>L1_Word</group>
      <groupName>字词问题</groupName>
      <ability>L2_Typo</ability>
      <abilityName>字词错误</abilityName>
      <candidateList>
        <item>耕地</item>
      </candidateList>
      <explain/>
      <paraID> E1F4C51</paraID>
      <start>90</start>
      <end>93</end>
      <status>unmodified</status>
      <modifiedWord/>
      <trackRevisions>false</trackRevisions>
    </reviewItem>
    <reviewItem>
      <errorID>01f58765-aa0f-4b01-a599-0fee918a7b67</errorID>
      <errorWord>占地在</errorWord>
      <group>L1_Word</group>
      <groupName>字词问题</groupName>
      <ability>L2_Typo</ability>
      <abilityName>字词错误</abilityName>
      <candidateList>
        <item>占地</item>
      </candidateList>
      <explain/>
      <paraID>758AED13</paraID>
      <start>181</start>
      <end>184</end>
      <status>unmodified</status>
      <modifiedWord/>
      <trackRevisions>false</trackRevisions>
    </reviewItem>
    <reviewItem>
      <errorID>9c66804a-9125-47ac-94eb-80acfe92abac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709B0512</paraID>
      <start>18</start>
      <end>19</end>
      <status>ignored</status>
      <modifiedWord/>
      <trackRevisions>false</trackRevisions>
    </reviewItem>
    <reviewItem>
      <errorID>cd7d252c-31dc-4a25-98ea-886e3d8cd019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709B0512</paraID>
      <start>42</start>
      <end>43</end>
      <status>ignored</status>
      <modifiedWord/>
      <trackRevisions>false</trackRevisions>
    </reviewItem>
    <reviewItem>
      <errorID>52bdaf7b-d487-4764-8b44-ebcf0e0b41f8</errorID>
      <errorWord>弃方</errorWord>
      <group>L1_Word</group>
      <groupName>字词问题</groupName>
      <ability>L2_Typo</ability>
      <abilityName>字词错误</abilityName>
      <candidateList>
        <item>弃物</item>
      </candidateList>
      <explain/>
      <paraID>484F3A80</paraID>
      <start>129</start>
      <end>131</end>
      <status>unmodified</status>
      <modifiedWord/>
      <trackRevisions>false</trackRevisions>
    </reviewItem>
    <reviewItem>
      <errorID>ec083a57-1f4d-44f1-8add-24c4ec783a77</errorID>
      <errorWord>作好</errorWord>
      <group>L1_Word</group>
      <groupName>字词问题</groupName>
      <ability>L2_Typo</ability>
      <abilityName>字词错误</abilityName>
      <candidateList>
        <item>做好</item>
      </candidateList>
      <explain/>
      <paraID>3FB9FB60</paraID>
      <start>129</start>
      <end>131</end>
      <status>unmodified</status>
      <modifiedWord/>
      <trackRevisions>false</trackRevisions>
    </reviewItem>
    <reviewItem>
      <errorID>d52bace0-f5e5-4c99-8af2-1094e45ee839</errorID>
      <errorWord>免加</errorWord>
      <group>L1_Word</group>
      <groupName>字词问题</groupName>
      <ability>L2_Typo</ability>
      <abilityName>字词错误</abilityName>
      <candidateList>
        <item>免强</item>
      </candidateList>
      <explain/>
      <paraID>198C9133</paraID>
      <start>77</start>
      <end>79</end>
      <status>unmodified</status>
      <modifiedWord/>
      <trackRevisions>false</trackRevisions>
    </reviewItem>
    <reviewItem>
      <errorID>8d0f3000-c2e7-461a-bd74-d1b33f9e1bec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7F97BEBE</paraID>
      <start>106</start>
      <end>107</end>
      <status>unmodified</status>
      <modifiedWord/>
      <trackRevisions>false</trackRevisions>
    </reviewItem>
    <reviewItem>
      <errorID>18bf7b13-7b5f-4d89-95c7-c5ab5da7ed1e</errorID>
      <errorWord>践踏</errorWord>
      <group>L1_Word</group>
      <groupName>字词问题</groupName>
      <ability>L2_Typo</ability>
      <abilityName>字词错误</abilityName>
      <candidateList>
        <item>踩踏</item>
      </candidateList>
      <explain/>
      <paraID>6B09E540</paraID>
      <start>64</start>
      <end>66</end>
      <status>unmodified</status>
      <modifiedWord/>
      <trackRevisions>false</trackRevisions>
    </reviewItem>
    <reviewItem>
      <errorID>d0463123-bafa-47d0-aa15-b0046baceb53</errorID>
      <errorWord>沟埋</errorWord>
      <group>L1_Word</group>
      <groupName>字词问题</groupName>
      <ability>L2_Typo</ability>
      <abilityName>字词错误</abilityName>
      <candidateList>
        <item>预埋</item>
      </candidateList>
      <explain/>
      <paraID>4404D50A</paraID>
      <start>7</start>
      <end>9</end>
      <status>unmodified</status>
      <modifiedWord/>
      <trackRevisions>false</trackRevisions>
    </reviewItem>
    <reviewItem>
      <errorID>3f67d8a2-b276-43ee-8554-80a9de6d2f4a</errorID>
      <errorWord>〔2019〕第32号</errorWord>
      <group>L1_Knowledge</group>
      <groupName>知识性问题</groupName>
      <ability>L2_Knowledge</ability>
      <abilityName>其他知识</abilityName>
      <candidateList>
        <item>〔2019〕32号</item>
      </candidateList>
      <explain>发文字号格式错误。</explain>
      <paraID>46FFE88A</paraID>
      <start>34</start>
      <end>44</end>
      <status>unmodified</status>
      <modifiedWord/>
      <trackRevisions>false</trackRevisions>
    </reviewItem>
    <reviewItem>
      <errorID>04131f14-424e-457e-be8e-eb50f1e529a1</errorID>
      <errorWord>区域但</errorWord>
      <group>L1_Word</group>
      <groupName>字词问题</groupName>
      <ability>L2_Typo</ability>
      <abilityName>字词错误</abilityName>
      <candidateList>
        <item>区域</item>
      </candidateList>
      <explain/>
      <paraID>185AB27E</paraID>
      <start>13</start>
      <end>16</end>
      <status>unmodified</status>
      <modifiedWord/>
      <trackRevisions>false</trackRevisions>
    </reviewItem>
    <reviewItem>
      <errorID>5411262c-552a-46f2-8655-d669aca6eccd</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185AB27E</paraID>
      <start>18</start>
      <end>23</end>
      <status>unmodified</status>
      <modifiedWord/>
      <trackRevisions>false</trackRevisions>
    </reviewItem>
    <reviewItem>
      <errorID>281f26b3-a0b1-41d1-b918-e36a36eb34de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2474992B</paraID>
      <start>0</start>
      <end>2</end>
      <status>unmodified</status>
      <modifiedWord/>
      <trackRevisions>false</trackRevisions>
    </reviewItem>
    <reviewItem>
      <errorID>d9e38135-1179-4b08-8aeb-021fb8db9869</errorID>
      <errorWord>利用利用</errorWord>
      <group>L1_Word</group>
      <groupName>字词问题</groupName>
      <ability>L2_Typo</ability>
      <abilityName>字词错误</abilityName>
      <candidateList>
        <item>利用</item>
      </candidateList>
      <explain/>
      <paraID>70C55728</paraID>
      <start>46</start>
      <end>50</end>
      <status>unmodified</status>
      <modifiedWord/>
      <trackRevisions>false</trackRevisions>
    </reviewItem>
    <reviewItem>
      <errorID>9bc978f8-e924-4923-ad25-4520b5a4413e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2911959D</paraID>
      <start>0</start>
      <end>2</end>
      <status>unmodified</status>
      <modifiedWord/>
      <trackRevisions>false</trackRevisions>
    </reviewItem>
    <reviewItem>
      <errorID>d42869b6-91c5-4ca7-ba23-40ca3771fc39</errorID>
      <errorWord>盐碱的</errorWord>
      <group>L1_Political</group>
      <groupName>政治性问题</groupName>
      <ability>L2_Keyword</ability>
      <abilityName>固定表述</abilityName>
      <candidateList>
        <item>盐碱地</item>
      </candidateList>
      <explain>词汇“盐碱地”在特定场景下为固定表述形式，请确认此处的“盐碱的”是否存在不当。</explain>
      <paraID>22A58147</paraID>
      <start>52</start>
      <end>55</end>
      <status>unmodified</status>
      <modifiedWord/>
      <trackRevisions>false</trackRevisions>
    </reviewItem>
    <reviewItem>
      <errorID>8dfffb6d-c904-44ec-a210-38966e4dbf04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77ADBB9E</paraID>
      <start>0</start>
      <end>2</end>
      <status>unmodified</status>
      <modifiedWord/>
      <trackRevisions>false</trackRevisions>
    </reviewItem>
    <reviewItem>
      <errorID>a31c66f5-ad0d-4369-bc60-51f79ad6a93a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283CB609</paraID>
      <start>0</start>
      <end>2</end>
      <status>unmodified</status>
      <modifiedWord/>
      <trackRevisions>false</trackRevisions>
    </reviewItem>
    <reviewItem>
      <errorID>e77e7251-e737-4fdc-ac7a-6207765f62f5</errorID>
      <errorWord>施工期时</errorWord>
      <group>L1_Word</group>
      <groupName>字词问题</groupName>
      <ability>L2_Typo</ability>
      <abilityName>字词错误</abilityName>
      <candidateList>
        <item>施工期</item>
      </candidateList>
      <explain/>
      <paraID>3C204D23</paraID>
      <start>49</start>
      <end>53</end>
      <status>unmodified</status>
      <modifiedWord/>
      <trackRevisions>false</trackRevisions>
    </reviewItem>
    <reviewItem>
      <errorID>8f5aa14d-e1e8-4028-8ec4-3f05db4d3f50</errorID>
      <errorWord>期</errorWord>
      <group>L1_Word</group>
      <groupName>字词问题</groupName>
      <ability>L2_Typo</ability>
      <abilityName>字词错误</abilityName>
      <candidateList>
        <item>期间</item>
      </candidateList>
      <explain>〈名〉某个时期里面：农忙～｜春节～｜抗战～。</explain>
      <paraID>31FB38F0</paraID>
      <start>139</start>
      <end>140</end>
      <status>ignored</status>
      <modifiedWord/>
      <trackRevisions>false</trackRevisions>
    </reviewItem>
    <reviewItem>
      <errorID>dad7924b-bb74-4383-beb2-b241499cd843</errorID>
      <errorWord>作严格</errorWord>
      <group>L1_Word</group>
      <groupName>字词问题</groupName>
      <ability>L2_Typo</ability>
      <abilityName>字词错误</abilityName>
      <candidateList>
        <item>做严格</item>
      </candidateList>
      <explain/>
      <paraID>37A1AED4</paraID>
      <start>41</start>
      <end>44</end>
      <status>unmodified</status>
      <modifiedWord/>
      <trackRevisions>false</trackRevisions>
    </reviewItem>
    <reviewItem>
      <errorID>abeae8cf-c265-41cd-a700-a0d634f2f66b</errorID>
      <errorWord>注人</errorWord>
      <group>L1_Word</group>
      <groupName>字词问题</groupName>
      <ability>L2_Typo</ability>
      <abilityName>字词错误</abilityName>
      <candidateList>
        <item>注入</item>
      </candidateList>
      <explain/>
      <paraID>7C6D86F5</paraID>
      <start>84</start>
      <end>86</end>
      <status>unmodified</status>
      <modifiedWord/>
      <trackRevisions>false</trackRevisions>
    </reviewItem>
    <reviewItem>
      <errorID>f26b5354-c225-4dfc-ae17-7cfdd45c0d84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BE2C927</paraID>
      <start>77</start>
      <end>78</end>
      <status>ignored</status>
      <modifiedWord/>
      <trackRevisions>false</trackRevisions>
    </reviewItem>
    <reviewItem>
      <errorID>b4a046ae-d5be-4efb-88df-02e818884a0b</errorID>
      <errorWord>粘度</errorWord>
      <group>L1_Word</group>
      <groupName>字词问题</groupName>
      <ability>L2_Alias</ability>
      <abilityName>也作/曾用词</abilityName>
      <candidateList>
        <item>黏度</item>
      </candidateList>
      <explain>词汇[粘度]为不规范表述或旧称，其规范书面表述为[黏度]。</explain>
      <paraID>436BB0F3</paraID>
      <start>21</start>
      <end>23</end>
      <status>unmodified</status>
      <modifiedWord/>
      <trackRevisions>false</trackRevisions>
    </reviewItem>
    <reviewItem>
      <errorID>7159e95c-205b-4d25-8dfb-9558d298a5da</errorID>
      <errorWord>证</errorWord>
      <group>L1_Word</group>
      <groupName>字词问题</groupName>
      <ability>L2_Typo</ability>
      <abilityName>字词错误</abilityName>
      <candidateList>
        <item>证监</item>
      </candidateList>
      <explain/>
      <paraID>233551D7</paraID>
      <start>15</start>
      <end>16</end>
      <status>unmodified</status>
      <modifiedWord/>
      <trackRevisions>false</trackRevisions>
    </reviewItem>
    <reviewItem>
      <errorID>47952fa2-ccd0-4769-b37d-4d6c7b15aa83</errorID>
      <errorWord>措施目</errorWord>
      <group>L1_Word</group>
      <groupName>字词问题</groupName>
      <ability>L2_Typo</ability>
      <abilityName>字词错误</abilityName>
      <candidateList>
        <item>措施</item>
      </candidateList>
      <explain>〈名〉针对某种情况而采取的处理办法（用于较大的事情）：计划已经订出，～应该跟上。</explain>
      <paraID>233551D7</paraID>
      <start>54</start>
      <end>57</end>
      <status>unmodified</status>
      <modifiedWord/>
      <trackRevisions>false</trackRevisions>
    </reviewItem>
    <reviewItem>
      <errorID>49b576c6-0714-4b7c-8ecc-651a173dfd1e</errorID>
      <errorWord>的的</errorWord>
      <group>L1_Word</group>
      <groupName>字词问题</groupName>
      <ability>L2_Typo</ability>
      <abilityName>字词错误</abilityName>
      <candidateList>
        <item>的</item>
      </candidateList>
      <explain>“的”常用于连接修饰语与名词性中心语，表示属性、所属或描述。</explain>
      <paraID> CAFFC50</paraID>
      <start>34</start>
      <end>36</end>
      <status>unmodified</status>
      <modifiedWord/>
      <trackRevisions>false</trackRevisions>
    </reviewItem>
    <reviewItem>
      <errorID>e9d37a97-2c27-45cf-a9ec-d0531889d180</errorID>
      <errorWord>其它设备</errorWord>
      <group>L1_Word</group>
      <groupName>字词问题</groupName>
      <ability>L2_Alias</ability>
      <abilityName>也作/曾用词</abilityName>
      <candidateList>
        <item>其他设备</item>
      </candidateList>
      <explain>词汇[其它设备]为不规范表述或旧称，其规范书面表述为[其他设备]。</explain>
      <paraID> 89FD0F0</paraID>
      <start>1</start>
      <end>5</end>
      <status>unmodified</status>
      <modifiedWord/>
      <trackRevisions>false</trackRevisions>
    </reviewItem>
    <reviewItem>
      <errorID>851257cd-a2d2-4a68-8517-2d18efcc5c02</errorID>
      <errorWord>其它安全</errorWord>
      <group>L1_Word</group>
      <groupName>字词问题</groupName>
      <ability>L2_Alias</ability>
      <abilityName>也作/曾用词</abilityName>
      <candidateList>
        <item>其他安全</item>
      </candidateList>
      <explain>词汇[其它安全]为不规范表述或旧称，其规范书面表述为[其他安全]。</explain>
      <paraID>75DD6DCE</paraID>
      <start>76</start>
      <end>80</end>
      <status>unmodified</status>
      <modifiedWord/>
      <trackRevisions>false</trackRevisions>
    </reviewItem>
    <reviewItem>
      <errorID>68224015-3b10-433e-842a-f12ca0948242</errorID>
      <errorWord>随</errorWord>
      <group>L1_Word</group>
      <groupName>字词问题</groupName>
      <ability>L2_Typo</ability>
      <abilityName>字词错误</abilityName>
      <candidateList>
        <item>视</item>
      </candidateList>
      <explain>存在发音相近字词的误用。</explain>
      <paraID> 905BEE6</paraID>
      <start>27</start>
      <end>28</end>
      <status>unmodified</status>
      <modifiedWord/>
      <trackRevisions>false</trackRevisions>
    </reviewItem>
    <reviewItem>
      <errorID>0b6a5ec3-d6f4-4eea-9a18-0de54dcd3e17</errorID>
      <errorWord>通讯畅通</errorWord>
      <group>L1_Word</group>
      <groupName>字词问题</groupName>
      <ability>L2_Typo</ability>
      <abilityName>字词错误</abilityName>
      <candidateList>
        <item>通信畅通</item>
      </candidateList>
      <explain/>
      <paraID>4A006181</paraID>
      <start>28</start>
      <end>32</end>
      <status>unmodified</status>
      <modifiedWord/>
      <trackRevisions>false</trackRevisions>
    </reviewItem>
    <reviewItem>
      <errorID>03279e55-c7c7-43b5-a928-1650fea60d9f</errorID>
      <errorWord>超声波检查</errorWord>
      <group>L1_Knowledge</group>
      <groupName>知识性问题</groupName>
      <ability>L2_Term</ability>
      <abilityName>专业术语</abilityName>
      <candidateList>
        <item>超声检查</item>
      </candidateList>
      <explain>医学名词[超声波检查]为不规范表述或旧称，其规范书面表述为[超声检查]。</explain>
      <paraID>680436EF</paraID>
      <start>16</start>
      <end>21</end>
      <status>unmodified</status>
      <modifiedWord/>
      <trackRevisions>false</trackRevisions>
    </reviewItem>
    <reviewItem>
      <errorID>21fa84a9-162e-4c1b-80c2-c39c60350f09</errorID>
      <errorWord>通讯畅通</errorWord>
      <group>L1_Word</group>
      <groupName>字词问题</groupName>
      <ability>L2_Typo</ability>
      <abilityName>字词错误</abilityName>
      <candidateList>
        <item>通信畅通</item>
      </candidateList>
      <explain/>
      <paraID>5EF18146</paraID>
      <start>60</start>
      <end>64</end>
      <status>unmodified</status>
      <modifiedWord/>
      <trackRevisions>false</trackRevisions>
    </reviewItem>
    <reviewItem>
      <errorID>63e726dd-758c-4dae-a706-abdef0ec055e</errorID>
      <errorWord>)</errorWord>
      <group>L1_Format</group>
      <groupName>格式问题</groupName>
      <ability>L2_HalfPunc</ability>
      <abilityName>全半角检查</abilityName>
      <candidateList>
        <item>）</item>
      </candidateList>
      <explain>文本全半角错误。</explain>
      <paraID>35EC93C5</paraID>
      <start>29</start>
      <end>30</end>
      <status>ignored</status>
      <modifiedWord/>
      <trackRevisions>false</trackRevisions>
    </reviewItem>
    <reviewItem>
      <errorID>cd0e70d4-0984-497d-878e-10c15c19a0e1</errorID>
      <errorWord>期</errorWord>
      <group>L1_Word</group>
      <groupName>字词问题</groupName>
      <ability>L2_Typo</ability>
      <abilityName>字词错误</abilityName>
      <candidateList>
        <item>期间</item>
      </candidateList>
      <explain>〈名〉某个时期里面：农忙～｜春节～｜抗战～。</explain>
      <paraID>20558E19</paraID>
      <start>3</start>
      <end>4</end>
      <status>ignored</status>
      <modifiedWord/>
      <trackRevisions>false</trackRevisions>
    </reviewItem>
    <reviewItem>
      <errorID>221eeacb-87dd-4b85-8af1-025490b6d784</errorID>
      <errorWord>随</errorWord>
      <group>L1_Word</group>
      <groupName>字词问题</groupName>
      <ability>L2_Typo</ability>
      <abilityName>字词错误</abilityName>
      <candidateList>
        <item>视</item>
      </candidateList>
      <explain>存在发音相近字词的误用。</explain>
      <paraID>34AF84DC</paraID>
      <start>52</start>
      <end>53</end>
      <status>unmodified</status>
      <modifiedWord/>
      <trackRevisions>false</trackRevisions>
    </reviewItem>
    <reviewItem>
      <errorID>4290de94-4b6c-47d6-8841-ec86f81bafa4</errorID>
      <errorWord>检测仪表</errorWord>
      <group>L1_Word</group>
      <groupName>字词问题</groupName>
      <ability>L2_Typo</ability>
      <abilityName>字词错误</abilityName>
      <candidateList>
        <item>监测仪表</item>
      </candidateList>
      <explain/>
      <paraID>28211475</paraID>
      <start>7</start>
      <end>11</end>
      <status>unmodified</status>
      <modifiedWord/>
      <trackRevisions>false</trackRevisions>
    </reviewItem>
    <reviewItem>
      <errorID>f8e918c4-c471-42d9-a5c7-31e7761adc34</errorID>
      <errorWord>(</errorWord>
      <group>L1_Format</group>
      <groupName>格式问题</groupName>
      <ability>L2_HalfPunc</ability>
      <abilityName>全半角检查</abilityName>
      <candidateList>
        <item>（</item>
      </candidateList>
      <explain>文本全半角错误。</explain>
      <paraID>7474814C</paraID>
      <start>40</start>
      <end>41</end>
      <status>ignored</status>
      <modifiedWord/>
      <trackRevisions>false</trackRevisions>
    </reviewItem>
    <reviewItem>
      <errorID>810e6d47-1eb5-4673-a0f1-efe925ef792d</errorID>
      <errorWord>)</errorWord>
      <group>L1_Format</group>
      <groupName>格式问题</groupName>
      <ability>L2_HalfPunc</ability>
      <abilityName>全半角检查</abilityName>
      <candidateList>
        <item>）</item>
      </candidateList>
      <explain>文本全半角错误。</explain>
      <paraID>7474814C</paraID>
      <start>55</start>
      <end>56</end>
      <status>ignored</status>
      <modifiedWord/>
      <trackRevisions>false</trackRevisions>
    </reviewItem>
    <reviewItem>
      <errorID>077ec151-ff46-4e8c-b5f4-5912286857e8</errorID>
      <errorWord>改</errorWord>
      <group>L1_Word</group>
      <groupName>字词问题</groupName>
      <ability>L2_Typo</ability>
      <abilityName>字词错误</abilityName>
      <candidateList>
        <item>该</item>
      </candidateList>
      <explain>（該）ɡāi同“赅”。</explain>
      <paraID>6E334AC2</paraID>
      <start>93</start>
      <end>94</end>
      <status>unmodified</status>
      <modifiedWord/>
      <trackRevisions>false</trackRevisions>
    </reviewItem>
    <reviewItem>
      <errorID>37636de9-6e5c-44cb-8e0d-0d43da70a88b</errorID>
      <errorWord>；</errorWord>
      <group>L1_Word</group>
      <groupName>字词问题</groupName>
      <ability>L2_Typo</ability>
      <abilityName>字词错误</abilityName>
      <candidateList>
        <item>；对</item>
      </candidateList>
      <explain/>
      <paraID>4E4833E5</paraID>
      <start>41</start>
      <end>42</end>
      <status>unmodified</status>
      <modifiedWord/>
      <trackRevisions>false</trackRevisions>
    </reviewItem>
    <reviewItem>
      <errorID>ba7bd503-0bb0-4a38-b14c-f579c709e7c3</errorID>
      <errorWord>步步</errorWord>
      <group>L1_Word</group>
      <groupName>字词问题</groupName>
      <ability>L2_Typo</ability>
      <abilityName>字词错误</abilityName>
      <candidateList>
        <item>步</item>
      </candidateList>
      <explain/>
      <paraID>42FBABA9</paraID>
      <start>116</start>
      <end>118</end>
      <status>unmodified</status>
      <modifiedWord/>
      <trackRevisions>false</trackRevisions>
    </reviewItem>
    <reviewItem>
      <errorID>e4e96372-648d-4014-9fbe-ff8bdc21cb9d</errorID>
      <errorWord>队</errorWord>
      <group>L1_Word</group>
      <groupName>字词问题</groupName>
      <ability>L2_Typo</ability>
      <abilityName>字词错误</abilityName>
      <candidateList>
        <item>队伍</item>
      </candidateList>
      <explain/>
      <paraID>36996F5D</paraID>
      <start>95</start>
      <end>96</end>
      <status>unmodified</status>
      <modifiedWord/>
      <trackRevisions>false</trackRevisions>
    </reviewItem>
    <reviewItem>
      <errorID>acd89233-3e74-48d1-934a-6cbac6b79bcd</errorID>
      <errorWord>发</errorWord>
      <group>L1_Word</group>
      <groupName>字词问题</groupName>
      <ability>L2_Typo</ability>
      <abilityName>字词错误</abilityName>
      <candidateList>
        <item>发生</item>
      </candidateList>
      <explain>〈动〉❶原来没有的事出现了；产生：～变化｜～事故｜～关系。❷卵子受精后逐渐生长。</explain>
      <paraID>36996F5D</paraID>
      <start>103</start>
      <end>104</end>
      <status>unmodified</status>
      <modifiedWord/>
      <trackRevisions>false</trackRevisions>
    </reviewItem>
    <reviewItem>
      <errorID>6c67a37d-e6b7-4431-a41d-80490edf4ced</errorID>
      <errorWord>队</errorWord>
      <group>L1_Word</group>
      <groupName>字词问题</groupName>
      <ability>L2_Typo</ability>
      <abilityName>字词错误</abilityName>
      <candidateList>
        <item>队伍</item>
      </candidateList>
      <explain/>
      <paraID>36996F5D</paraID>
      <start>146</start>
      <end>147</end>
      <status>unmodified</status>
      <modifiedWord/>
      <trackRevisions>false</trackRevisions>
    </reviewItem>
    <reviewItem>
      <errorID>e8fc4dd6-a01f-4f51-a236-3808f95cb948</errorID>
      <errorWord>期</errorWord>
      <group>L1_Word</group>
      <groupName>字词问题</groupName>
      <ability>L2_Typo</ability>
      <abilityName>字词错误</abilityName>
      <candidateList>
        <item>期间</item>
      </candidateList>
      <explain>〈名〉某个时期里面：农忙～｜春节～｜抗战～。</explain>
      <paraID>37521DE6</paraID>
      <start>191</start>
      <end>192</end>
      <status>ignored</status>
      <modifiedWord/>
      <trackRevisions>false</trackRevisions>
    </reviewItem>
    <reviewItem>
      <errorID>fa11203a-f841-4961-bad9-3f4f1cb00581</errorID>
      <errorWord>不需</errorWord>
      <group>L1_Word</group>
      <groupName>字词问题</groupName>
      <ability>L2_Typo</ability>
      <abilityName>字词错误</abilityName>
      <candidateList>
        <item>不须</item>
      </candidateList>
      <explain>存在发音相同字词的误用。</explain>
      <paraID>327C2EA4</paraID>
      <start>37</start>
      <end>39</end>
      <status>unmodified</status>
      <modifiedWord/>
      <trackRevisions>false</trackRevisions>
    </reviewItem>
    <reviewItem>
      <errorID>c5c1d846-0f66-4ace-bb06-c04011b3d4f2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61161E2C</paraID>
      <start>0</start>
      <end>2</end>
      <status>unmodified</status>
      <modifiedWord/>
      <trackRevisions>false</trackRevisions>
    </reviewItem>
    <reviewItem>
      <errorID>36d53b54-9e1c-408d-a8fa-7a7fc55449ba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559A967F</paraID>
      <start>0</start>
      <end>2</end>
      <status>unmodified</status>
      <modifiedWord/>
      <trackRevisions>false</trackRevisions>
    </reviewItem>
    <reviewItem>
      <errorID>03738093-a668-400a-826b-5f2bc3b6e0a5</errorID>
      <errorWord>向向</errorWord>
      <group>L1_Word</group>
      <groupName>字词问题</groupName>
      <ability>L2_Typo</ability>
      <abilityName>字词错误</abilityName>
      <candidateList>
        <item>向</item>
      </candidateList>
      <explain>〈副〉向来：～有研究｜～无此例。</explain>
      <paraID>268C623A</paraID>
      <start>158</start>
      <end>160</end>
      <status>unmodified</status>
      <modifiedWord/>
      <trackRevisions>false</trackRevisions>
    </reviewItem>
    <reviewItem>
      <errorID>cc386db2-a195-439a-8c39-ae6d70122434</errorID>
      <errorWord>市政府报告</errorWord>
      <group>L1_Political</group>
      <groupName>政治性问题</groupName>
      <ability>L2_Unpolitical</ability>
      <abilityName>政治敏感错误</abilityName>
      <candidateList>
        <item>市政府工作报告</item>
      </candidateList>
      <explain/>
      <paraID>268C623A</paraID>
      <start>191</start>
      <end>196</end>
      <status>unmodified</status>
      <modifiedWord/>
      <trackRevisions>false</trackRevisions>
    </reviewItem>
    <reviewItem>
      <errorID>6ba4985d-e6af-4f27-bdd5-f64e6403eeb0</errorID>
      <errorWord>求援</errorWord>
      <group>L1_Word</group>
      <groupName>字词问题</groupName>
      <ability>L2_Typo</ability>
      <abilityName>字词错误</abilityName>
      <candidateList>
        <item>救援</item>
      </candidateList>
      <explain>〈动〉援救：请求～｜～人员。</explain>
      <paraID>268C623A</paraID>
      <start>199</start>
      <end>201</end>
      <status>unmodified</status>
      <modifiedWord/>
      <trackRevisions>false</trackRevisions>
    </reviewItem>
    <reviewItem>
      <errorID>9878d1f4-6fad-4949-a4da-003298c4da76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46A85CBD</paraID>
      <start>37</start>
      <end>38</end>
      <status>unmodified</status>
      <modifiedWord/>
      <trackRevisions>false</trackRevisions>
    </reviewItem>
    <reviewItem>
      <errorID>40046927-4952-4220-8d39-2d65966e1e4f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5AFC1DE5</paraID>
      <start>0</start>
      <end>2</end>
      <status>unmodified</status>
      <modifiedWord/>
      <trackRevisions>false</trackRevisions>
    </reviewItem>
    <reviewItem>
      <errorID>3e496309-ef7f-4e02-b8dc-2da778e1ebad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2F152798</paraID>
      <start>0</start>
      <end>2</end>
      <status>unmodified</status>
      <modifiedWord/>
      <trackRevisions>false</trackRevisions>
    </reviewItem>
    <reviewItem>
      <errorID>f9f68252-b3fd-4695-bcb9-aacc9eaae967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599CBEF2</paraID>
      <start>95</start>
      <end>98</end>
      <status>unmodified</status>
      <modifiedWord/>
      <trackRevisions>false</trackRevisions>
    </reviewItem>
    <reviewItem>
      <errorID>159dc2f3-1009-4e5f-b8d5-add1c1584ca0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599CBEF2</paraID>
      <start>120</start>
      <end>123</end>
      <status>unmodified</status>
      <modifiedWord/>
      <trackRevisions>false</trackRevisions>
    </reviewItem>
    <reviewItem>
      <errorID>5295d5d2-cd01-4905-b806-70941d5709a2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599CBEF2</paraID>
      <start>138</start>
      <end>141</end>
      <status>unmodified</status>
      <modifiedWord/>
      <trackRevisions>false</trackRevisions>
    </reviewItem>
    <reviewItem>
      <errorID>42e40563-b872-4741-a322-4c50dd5be8ea</errorID>
      <errorWord>迅捷地</errorWord>
      <group>L1_Word</group>
      <groupName>字词问题</groupName>
      <ability>L2_Typo</ability>
      <abilityName>字词错误</abilityName>
      <candidateList>
        <item>迅捷</item>
      </candidateList>
      <explain/>
      <paraID>599CBEF2</paraID>
      <start>257</start>
      <end>260</end>
      <status>unmodified</status>
      <modifiedWord/>
      <trackRevisions>false</trackRevisions>
    </reviewItem>
    <reviewItem>
      <errorID>1780b5c7-5b9a-410e-81c8-113d0507119f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2D67D661</paraID>
      <start>57</start>
      <end>58</end>
      <status>unmodified</status>
      <modifiedWord/>
      <trackRevisions>false</trackRevisions>
    </reviewItem>
    <reviewItem>
      <errorID>eb99cf21-0c3f-4db0-8549-0a717a3a196b</errorID>
      <errorWord>提高</errorWord>
      <group>L1_Grammar</group>
      <groupName>语法问题</groupName>
      <ability>L2_Grammar</ability>
      <abilityName>语法错误</abilityName>
      <candidateList>
        <item>增强</item>
      </candidateList>
      <explain>“提高～意识”搭配不当，建议修改为“增强～意识”。</explain>
      <paraID>6A0630A0</paraID>
      <start>8</start>
      <end>10</end>
      <status>unmodified</status>
      <modifiedWord/>
      <trackRevisions>false</trackRevisions>
    </reviewItem>
    <reviewItem>
      <errorID>16eb9a83-21fc-44b0-b385-7133bdbebbae</errorID>
      <errorWord>践踏</errorWord>
      <group>L1_Word</group>
      <groupName>字词问题</groupName>
      <ability>L2_Typo</ability>
      <abilityName>字词错误</abilityName>
      <candidateList>
        <item>踩踏</item>
      </candidateList>
      <explain/>
      <paraID>6A0630A0</paraID>
      <start>33</start>
      <end>35</end>
      <status>unmodified</status>
      <modifiedWord/>
      <trackRevisions>false</trackRevisions>
    </reviewItem>
    <reviewItem>
      <errorID>15bd1c6c-6894-4551-97b0-69377d6ab1c8</errorID>
      <errorWord>采气管道</errorWord>
      <group>L1_Knowledge</group>
      <groupName>知识性问题</groupName>
      <ability>L2_Term</ability>
      <abilityName>专业术语</abilityName>
      <candidateList>
        <item>采气管线</item>
      </candidateList>
      <explain/>
      <paraID>12B92066</paraID>
      <start>8</start>
      <end>12</end>
      <status>unmodified</status>
      <modifiedWord/>
      <trackRevisions>false</trackRevisions>
    </reviewItem>
    <reviewItem>
      <errorID>4b10c96d-7a6c-482c-808c-9c96724ac86a</errorID>
      <errorWord>）</errorWord>
      <group>L1_Word</group>
      <groupName>字词问题</groupName>
      <ability>L2_Typo</ability>
      <abilityName>字词错误</abilityName>
      <candidateList>
        <item>）等</item>
      </candidateList>
      <explain/>
      <paraID>53976190</paraID>
      <start>147</start>
      <end>148</end>
      <status>unmodified</status>
      <modifiedWord/>
      <trackRevisions>false</trackRevisions>
    </reviewItem>
    <reviewItem>
      <errorID>fded37f4-2246-4b34-b6a4-72494d38d24f</errorID>
      <errorWord>-</errorWord>
      <group>L1_Format</group>
      <groupName>格式问题</groupName>
      <ability>L2_HalfPunc</ability>
      <abilityName>全半角检查</abilityName>
      <candidateList>
        <item>－</item>
      </candidateList>
      <explain>文本全半角错误。</explain>
      <paraID>2142EBDA</paraID>
      <start>3</start>
      <end>4</end>
      <status>unmodified</status>
      <modifiedWord/>
      <trackRevisions>false</trackRevisions>
    </reviewItem>
    <reviewItem>
      <errorID>cd7b0c04-842c-4280-a9d5-a2dd8ed4397e</errorID>
      <errorWord>，</errorWord>
      <group>L1_Format</group>
      <groupName>格式问题</groupName>
      <ability>L2_HalfPunc</ability>
      <abilityName>全半角检查</abilityName>
      <candidateList>
        <item>,</item>
      </candidateList>
      <explain>文本全半角错误。</explain>
      <paraID>1F5EBD00</paraID>
      <start>9</start>
      <end>10</end>
      <status>unmodified</status>
      <modifiedWord/>
      <trackRevisions>false</trackRevisions>
    </reviewItem>
    <reviewItem>
      <errorID>3596b9de-3504-44f3-8611-da2e61832663</errorID>
      <errorWord>-</errorWord>
      <group>L1_Format</group>
      <groupName>格式问题</groupName>
      <ability>L2_HalfPunc</ability>
      <abilityName>全半角检查</abilityName>
      <candidateList>
        <item>－</item>
      </candidateList>
      <explain>文本全半角错误。</explain>
      <paraID>176C0077</paraID>
      <start>3</start>
      <end>4</end>
      <status>unmodified</status>
      <modifiedWord/>
      <trackRevisions>false</trackRevisions>
    </reviewItem>
    <reviewItem>
      <errorID>677d2e62-6c95-4eba-ab9f-922de508b95c</errorID>
      <errorWord>，</errorWord>
      <group>L1_Format</group>
      <groupName>格式问题</groupName>
      <ability>L2_HalfPunc</ability>
      <abilityName>全半角检查</abilityName>
      <candidateList>
        <item>,</item>
      </candidateList>
      <explain>文本全半角错误。</explain>
      <paraID>69153E84</paraID>
      <start>9</start>
      <end>10</end>
      <status>unmodified</status>
      <modifiedWord/>
      <trackRevisions>false</trackRevisions>
    </reviewItem>
    <reviewItem>
      <errorID>5d0dab99-ccd0-4ebd-8483-c90d511e483f</errorID>
      <errorWord>影响</errorWord>
      <group>L1_Word</group>
      <groupName>字词问题</groupName>
      <ability>L2_Typo</ability>
      <abilityName>字词错误</abilityName>
      <candidateList>
        <item>影像</item>
      </candidateList>
      <explain>〈名〉❶肖像；画像。❷〈形〉象：他的～时刻在我眼前浮现。❸物体通过光学装置、电子装置等呈现出来的形状。</explain>
      <paraID> 226E37D</paraID>
      <start>64</start>
      <end>66</end>
      <status>unmodified</status>
      <modifiedWord/>
      <trackRevisions>false</trackRevisions>
    </reviewItem>
    <reviewItem>
      <errorID>5dc4c351-9f51-4377-807c-d5ccca542ca2</errorID>
      <errorWord>)</errorWord>
      <group>L1_Format</group>
      <groupName>格式问题</groupName>
      <ability>L2_HalfPunc</ability>
      <abilityName>全半角检查</abilityName>
      <candidateList>
        <item>）</item>
      </candidateList>
      <explain>文本全半角错误。</explain>
      <paraID>61BF9624</paraID>
      <start>24</start>
      <end>25</end>
      <status>ignored</status>
      <modifiedWord/>
      <trackRevisions>false</trackRevisions>
    </reviewItem>
    <reviewItem>
      <errorID>5382392b-e62b-4c9e-877c-1016c8e1831c</errorID>
      <errorWord>期扬</errorWord>
      <group>L1_Word</group>
      <groupName>字词问题</groupName>
      <ability>L2_Typo</ability>
      <abilityName>字词错误</abilityName>
      <candidateList>
        <item>期间</item>
      </candidateList>
      <explain>〈名〉某个时期里面：农忙～｜春节～｜抗战～。</explain>
      <paraID>48278EF2</paraID>
      <start>2</start>
      <end>4</end>
      <status>unmodified</status>
      <modifiedWord/>
      <trackRevisions>false</trackRevisions>
    </reviewItem>
    <reviewItem>
      <errorID>f7decabb-87e3-4e85-99c5-b2358ff7f1f1</errorID>
      <errorWord>（</errorWord>
      <group>L1_Format</group>
      <groupName>格式问题</groupName>
      <ability>L2_HalfPunc</ability>
      <abilityName>全半角检查</abilityName>
      <candidateList>
        <item>(</item>
      </candidateList>
      <explain>文本全半角错误。</explain>
      <paraID>7BE763A4</paraID>
      <start>0</start>
      <end>1</end>
      <status>unmodified</status>
      <modifiedWord/>
      <trackRevisions>false</trackRevisions>
    </reviewItem>
    <reviewItem>
      <errorID>2be1d966-ce1d-4c8b-aa42-a9478529588c</errorID>
      <errorWord>(</errorWord>
      <group>L1_Format</group>
      <groupName>格式问题</groupName>
      <ability>L2_HalfPunc</ability>
      <abilityName>全半角检查</abilityName>
      <candidateList>
        <item>（</item>
      </candidateList>
      <explain>文本全半角错误。</explain>
      <paraID>2B8FA36E</paraID>
      <start>43</start>
      <end>44</end>
      <status>ignored</status>
      <modifiedWord/>
      <trackRevisions>false</trackRevisions>
    </reviewItem>
    <reviewItem>
      <errorID>9a5f39bb-5cf7-4f19-9167-20857244c5d1</errorID>
      <errorWord>)</errorWord>
      <group>L1_Format</group>
      <groupName>格式问题</groupName>
      <ability>L2_HalfPunc</ability>
      <abilityName>全半角检查</abilityName>
      <candidateList>
        <item>）</item>
      </candidateList>
      <explain>文本全半角错误。</explain>
      <paraID>2B8FA36E</paraID>
      <start>56</start>
      <end>57</end>
      <status>ignored</status>
      <modifiedWord/>
      <trackRevisions>false</trackRevisions>
    </reviewItem>
    <reviewItem>
      <errorID>bdd99bae-8397-4fac-b89e-5fc963afa4ac</errorID>
      <errorWord>(</errorWord>
      <group>L1_Format</group>
      <groupName>格式问题</groupName>
      <ability>L2_HalfPunc</ability>
      <abilityName>全半角检查</abilityName>
      <candidateList>
        <item>（</item>
      </candidateList>
      <explain>文本全半角错误。</explain>
      <paraID> F1B7DE1</paraID>
      <start>121</start>
      <end>122</end>
      <status>ignored</status>
      <modifiedWord/>
      <trackRevisions>false</trackRevisions>
    </reviewItem>
    <reviewItem>
      <errorID>ce8bb6ad-336f-4ff8-a2d3-380b4d03b897</errorID>
      <errorWord>)</errorWord>
      <group>L1_Format</group>
      <groupName>格式问题</groupName>
      <ability>L2_HalfPunc</ability>
      <abilityName>全半角检查</abilityName>
      <candidateList>
        <item>）</item>
      </candidateList>
      <explain>文本全半角错误。</explain>
      <paraID> F1B7DE1</paraID>
      <start>135</start>
      <end>136</end>
      <status>ignored</status>
      <modifiedWord/>
      <trackRevisions>false</trackRevisions>
    </reviewItem>
    <reviewItem>
      <errorID>9d32c5af-2da7-4368-80fd-3eb2c4e91921</errorID>
      <errorWord>(</errorWord>
      <group>L1_Format</group>
      <groupName>格式问题</groupName>
      <ability>L2_HalfPunc</ability>
      <abilityName>全半角检查</abilityName>
      <candidateList>
        <item>（</item>
      </candidateList>
      <explain>文本全半角错误。</explain>
      <paraID>4456E436</paraID>
      <start>121</start>
      <end>122</end>
      <status>ignored</status>
      <modifiedWord/>
      <trackRevisions>false</trackRevisions>
    </reviewItem>
    <reviewItem>
      <errorID>1f423b89-a511-4784-91aa-b6ebe9cb2285</errorID>
      <errorWord>)</errorWord>
      <group>L1_Format</group>
      <groupName>格式问题</groupName>
      <ability>L2_HalfPunc</ability>
      <abilityName>全半角检查</abilityName>
      <candidateList>
        <item>）</item>
      </candidateList>
      <explain>文本全半角错误。</explain>
      <paraID>4456E436</paraID>
      <start>135</start>
      <end>136</end>
      <status>ignored</status>
      <modifiedWord/>
      <trackRevisions>false</trackRevisions>
    </reviewItem>
    <reviewItem>
      <errorID>c50e65b9-6496-4243-a271-c126bfda5d71</errorID>
      <errorWord>减震</errorWord>
      <group>L1_Word</group>
      <groupName>字词问题</groupName>
      <ability>L2_Typo</ability>
      <abilityName>字词错误</abilityName>
      <candidateList>
        <item>减振</item>
      </candidateList>
      <explain>存在发音相同字词的误用。</explain>
      <paraID>4603072D</paraID>
      <start>13</start>
      <end>15</end>
      <status>unmodified</status>
      <modifiedWord/>
      <trackRevisions>false</trackRevisions>
    </reviewItem>
    <reviewItem>
      <errorID>e0a0c660-9d18-4a31-afb1-5b94615974ab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3AA77CB0</paraID>
      <start>6</start>
      <end>7</end>
      <status>ignored</status>
      <modifiedWord/>
      <trackRevisions>false</trackRevisions>
    </reviewItem>
    <reviewItem>
      <errorID>4df766ff-4e18-44a8-a92c-12a088942ff3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1C66D4B6</paraID>
      <start>6</start>
      <end>7</end>
      <status>ignored</status>
      <modifiedWord/>
      <trackRevisions>false</trackRevisions>
    </reviewItem>
    <reviewItem>
      <errorID>d1c0df21-3435-4269-8c5d-2c1988f3fd2b</errorID>
      <errorWord>）</errorWord>
      <group>L1_Format</group>
      <groupName>格式问题</groupName>
      <ability>L2_HalfPunc</ability>
      <abilityName>全半角检查</abilityName>
      <candidateList>
        <item>)</item>
      </candidateList>
      <explain>文本全半角错误。</explain>
      <paraID>1C66D4B6</paraID>
      <start>12</start>
      <end>13</end>
      <status>unmodified</status>
      <modifiedWord/>
      <trackRevisions>false</trackRevisions>
    </reviewItem>
    <reviewItem>
      <errorID>c8a7bc69-484e-4526-9c2c-9b32f8621fa1</errorID>
      <errorWord>III</errorWord>
      <group>L1_Knowledge</group>
      <groupName>知识性问题</groupName>
      <ability>L2_Knowledge</ability>
      <abilityName>其他知识</abilityName>
      <candidateList>
        <item>Ⅲ</item>
      </candidateList>
      <explain/>
      <paraID> CF562D7</paraID>
      <start>50</start>
      <end>53</end>
      <status>unmodified</status>
      <modifiedWord/>
      <trackRevisions>false</trackRevisions>
    </reviewItem>
    <reviewItem>
      <errorID>6146ad49-322c-4f77-a5a7-d77fccf1568b</errorID>
      <errorWord>II</errorWord>
      <group>L1_Knowledge</group>
      <groupName>知识性问题</groupName>
      <ability>L2_Knowledge</ability>
      <abilityName>其他知识</abilityName>
      <candidateList>
        <item>Ⅱ</item>
      </candidateList>
      <explain/>
      <paraID> CF562D7</paraID>
      <start>89</start>
      <end>91</end>
      <status>unmodified</status>
      <modifiedWord/>
      <trackRevisions>false</trackRevisions>
    </reviewItem>
    <reviewItem>
      <errorID>3844396d-8d5b-420d-b096-6b10daa71897</errorID>
      <errorWord>-</errorWord>
      <group>L1_Format</group>
      <groupName>格式问题</groupName>
      <ability>L2_HalfPunc</ability>
      <abilityName>全半角检查</abilityName>
      <candidateList>
        <item>－</item>
      </candidateList>
      <explain>文本全半角错误。</explain>
      <paraID>118E9115</paraID>
      <start>3</start>
      <end>4</end>
      <status>unmodified</status>
      <modifiedWord/>
      <trackRevisions>false</trackRevisions>
    </reviewItem>
    <reviewItem>
      <errorID>dc546a11-fb9f-4f95-96ea-7b48a297be31</errorID>
      <errorWord>-</errorWord>
      <group>L1_Format</group>
      <groupName>格式问题</groupName>
      <ability>L2_HalfPunc</ability>
      <abilityName>全半角检查</abilityName>
      <candidateList>
        <item>－</item>
      </candidateList>
      <explain>文本全半角错误。</explain>
      <paraID>118E9115</paraID>
      <start>20</start>
      <end>21</end>
      <status>unmodified</status>
      <modifiedWord/>
      <trackRevisions>false</trackRevisions>
    </reviewItem>
    <reviewItem>
      <errorID>2b678269-5e9c-4355-9d68-619086b459d8</errorID>
      <errorWord>影响</errorWord>
      <group>L1_Word</group>
      <groupName>字词问题</groupName>
      <ability>L2_Typo</ability>
      <abilityName>字词错误</abilityName>
      <candidateList>
        <item>影像</item>
      </candidateList>
      <explain>〈名〉❶肖像；画像。❷〈形〉象：他的～时刻在我眼前浮现。❸物体通过光学装置、电子装置等呈现出来的形状。</explain>
      <paraID>4278280C</paraID>
      <start>22</start>
      <end>24</end>
      <status>unmodified</status>
      <modifiedWord/>
      <trackRevisions>false</trackRevisions>
    </reviewItem>
    <reviewItem>
      <errorID>f572a3a3-fa9e-40bd-8075-1c5dde81cb99</errorID>
      <errorWord>影响</errorWord>
      <group>L1_Word</group>
      <groupName>字词问题</groupName>
      <ability>L2_Typo</ability>
      <abilityName>字词错误</abilityName>
      <candidateList>
        <item>影像</item>
      </candidateList>
      <explain>〈名〉❶肖像；画像。❷〈形〉象：他的～时刻在我眼前浮现。❸物体通过光学装置、电子装置等呈现出来的形状。</explain>
      <paraID>49AFDEE5</paraID>
      <start>20</start>
      <end>22</end>
      <status>unmodified</status>
      <modifiedWord/>
      <trackRevisions>false</trackRevisions>
    </reviewItem>
    <reviewItem>
      <errorID>67877f96-6c28-4458-b52c-35400c57b16a</errorID>
      <errorWord>法律、法规</errorWord>
      <group>L1_Word</group>
      <groupName>字词问题</groupName>
      <ability>L2_Typo</ability>
      <abilityName>字词错误</abilityName>
      <candidateList>
        <item>法律法规</item>
      </candidateList>
      <explain/>
      <paraID>52323571</paraID>
      <start>9</start>
      <end>14</end>
      <status>unmodified</status>
      <modifiedWord/>
      <trackRevisions>false</trackRevisions>
    </reviewItem>
    <reviewItem>
      <errorID>d901f8af-edb5-4862-8580-f18b48514265</errorID>
      <errorWord>物质</errorWord>
      <group>L1_Word</group>
      <groupName>字词问题</groupName>
      <ability>L2_Typo</ability>
      <abilityName>字词错误</abilityName>
      <candidateList>
        <item>物资</item>
      </candidateList>
      <explain/>
      <paraID>63FB00CB</paraID>
      <start>17</start>
      <end>19</end>
      <status>unmodified</status>
      <modifiedWord/>
      <trackRevisions>false</trackRevisions>
    </reviewItem>
    <reviewItem>
      <errorID>efaab9e0-2d8e-4730-83b0-9a8f9f3a97fd</errorID>
      <errorWord>噪声声</errorWord>
      <group>L1_Word</group>
      <groupName>字词问题</groupName>
      <ability>L2_Typo</ability>
      <abilityName>字词错误</abilityName>
      <candidateList>
        <item>噪声</item>
      </candidateList>
      <explain/>
      <paraID>73B32962</paraID>
      <start>2</start>
      <end>5</end>
      <status>unmodified</status>
      <modifiedWord/>
      <trackRevisions>false</trackRevisions>
    </reviewItem>
    <reviewItem>
      <errorID>100a6950-92ba-4019-af73-a08481ae1905</errorID>
      <errorWord>本</errorWord>
      <group>L1_Word</group>
      <groupName>字词问题</groupName>
      <ability>L2_Typo</ability>
      <abilityName>字词错误</abilityName>
      <candidateList>
        <item>本次</item>
      </candidateList>
      <explain/>
      <paraID>7A0ABDAA</paraID>
      <start>50</start>
      <end>51</end>
      <status>unmodified</status>
      <modifiedWord/>
      <trackRevisions>false</trackRevisions>
    </reviewItem>
    <reviewItem>
      <errorID>577bfbda-ff11-4c5f-8eb0-a446067f7935</errorID>
      <errorWord>20%-40%</errorWord>
      <group>L1_Knowledge</group>
      <groupName>知识性问题</groupName>
      <ability>L2_Knowledge</ability>
      <abilityName>其他知识</abilityName>
      <candidateList>
        <item>20%—40%</item>
      </candidateList>
      <explain>1. “20%-40%”中的单位“%”仅出现在后一个数字上，容易引起歧义；根据《现代汉语标点符号数字用法规范手册》，数字表示范围两边需要使用统一的格式。2. 根据标点国标 4.13 中的规则，数字、时间或地域连接符应使用（视觉上更长的）“—”或“～”。</explain>
      <paraID>54E50AE4</paraID>
      <start>130</start>
      <end>137</end>
      <status>unmodified</status>
      <modifiedWord/>
      <trackRevisions>false</trackRevisions>
    </reviewItem>
    <reviewItem>
      <errorID>3e6c31c5-61f5-43de-8a00-6f55fa50b58b</errorID>
      <errorWord>期</errorWord>
      <group>L1_Word</group>
      <groupName>字词问题</groupName>
      <ability>L2_Typo</ability>
      <abilityName>字词错误</abilityName>
      <candidateList>
        <item>期间</item>
      </candidateList>
      <explain>〈名〉某个时期里面：农忙～｜春节～｜抗战～。</explain>
      <paraID>3453B9EF</paraID>
      <start>4</start>
      <end>5</end>
      <status>ignored</status>
      <modifiedWord/>
      <trackRevisions>false</trackRevisions>
    </reviewItem>
    <reviewItem>
      <errorID>298eaf55-8564-4348-80dd-7f822f649f06</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1AD6C29A</paraID>
      <start>0</start>
      <end>2</end>
      <status>unmodified</status>
      <modifiedWord/>
      <trackRevisions>false</trackRevisions>
    </reviewItem>
    <reviewItem>
      <errorID>85d5ca20-7c06-4313-ae6d-eb2b2c275ac6</errorID>
      <errorWord>[2023]2号</errorWord>
      <group>L1_Knowledge</group>
      <groupName>知识性问题</groupName>
      <ability>L2_Knowledge</ability>
      <abilityName>其他知识</abilityName>
      <candidateList>
        <item>〔2023〕2号</item>
      </candidateList>
      <explain>发文字号格式错误。</explain>
      <paraID>3BF45F9E</paraID>
      <start>36</start>
      <end>44</end>
      <status>unmodified</status>
      <modifiedWord/>
      <trackRevisions>false</trackRevisions>
    </reviewItem>
    <reviewItem>
      <errorID>1849385c-bfc1-4ffb-8916-f1f392c70289</errorID>
      <errorWord>法律、法规</errorWord>
      <group>L1_Word</group>
      <groupName>字词问题</groupName>
      <ability>L2_Typo</ability>
      <abilityName>字词错误</abilityName>
      <candidateList>
        <item>法律法规</item>
      </candidateList>
      <explain/>
      <paraID>17711F1B</paraID>
      <start>12</start>
      <end>17</end>
      <status>unmodified</status>
      <modifiedWord/>
      <trackRevisions>false</trackRevisions>
    </reviewItem>
    <reviewItem>
      <errorID>cc96747e-a994-4733-a294-c079bb24a481</errorID>
      <errorWord>主要应</errorWord>
      <group>L1_Word</group>
      <groupName>字词问题</groupName>
      <ability>L2_Typo</ability>
      <abilityName>字词错误</abilityName>
      <candidateList>
        <item>主要</item>
      </candidateList>
      <explain>〈形〉属性词。有关事物中最重要的；起决定作用的：～原因｜～目的｜～人物。</explain>
      <paraID>40476C18</paraID>
      <start>54</start>
      <end>57</end>
      <status>unmodified</status>
      <modifiedWord/>
      <trackRevisions>false</trackRevisions>
    </reviewItem>
    <reviewItem>
      <errorID>049cba2d-7d1c-4917-9ef0-8591bf6b3347</errorID>
      <errorWord>产生的</errorWord>
      <group>L1_Word</group>
      <groupName>字词问题</groupName>
      <ability>L2_Typo</ability>
      <abilityName>字词错误</abilityName>
      <candidateList>
        <item>产生</item>
      </candidateList>
      <explain/>
      <paraID>510148ED</paraID>
      <start>33</start>
      <end>36</end>
      <status>unmodified</status>
      <modifiedWord/>
      <trackRevisions>false</trackRevisions>
    </reviewItem>
    <reviewItem>
      <errorID>be27801f-d136-497d-b1c2-ef2be267c62b</errorID>
      <errorWord>影响后</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510148ED</paraID>
      <start>36</start>
      <end>39</end>
      <status>unmodified</status>
      <modifiedWord/>
      <trackRevisions>false</trackRevisions>
    </reviewItem>
    <reviewItem>
      <errorID>965bcb9a-ba75-4064-82d6-14a526277f4a</errorID>
      <errorWord>事故等事故</errorWord>
      <group>L1_Word</group>
      <groupName>字词问题</groupName>
      <ability>L2_Typo</ability>
      <abilityName>字词错误</abilityName>
      <candidateList>
        <item>事故等</item>
      </candidateList>
      <explain/>
      <paraID>52156FC7</paraID>
      <start>97</start>
      <end>102</end>
      <status>unmodified</status>
      <modifiedWord/>
      <trackRevisions>false</trackRevisions>
    </reviewItem>
    <reviewItem>
      <errorID>a72d63d9-7db5-4363-a896-dff3658d72bc</errorID>
      <errorWord>处理上</errorWord>
      <group>L1_Word</group>
      <groupName>字词问题</groupName>
      <ability>L2_Typo</ability>
      <abilityName>字词错误</abilityName>
      <candidateList>
        <item>处理</item>
      </candidateList>
      <explain/>
      <paraID>52156FC7</paraID>
      <start>106</start>
      <end>109</end>
      <status>unmodified</status>
      <modifiedWord/>
      <trackRevisions>false</trackRevisions>
    </reviewItem>
    <reviewItem>
      <errorID>1d4ac6ed-2177-4381-b987-6b9e833a3212</errorID>
      <errorWord>，</errorWord>
      <group>L1_Word</group>
      <groupName>字词问题</groupName>
      <ability>L2_Typo</ability>
      <abilityName>字词错误</abilityName>
      <candidateList>
        <item>，对</item>
      </candidateList>
      <explain/>
      <paraID>56733EE6</paraID>
      <start>26</start>
      <end>27</end>
      <status>unmodified</status>
      <modifiedWord/>
      <trackRevisions>false</trackRevisions>
    </reviewItem>
    <reviewItem>
      <errorID>e0ba8890-45ab-4a26-9877-677b8703012c</errorID>
      <errorWord>(</errorWord>
      <group>L1_Format</group>
      <groupName>格式问题</groupName>
      <ability>L2_HalfPunc</ability>
      <abilityName>全半角检查</abilityName>
      <candidateList>
        <item>（</item>
      </candidateList>
      <explain>文本全半角错误。</explain>
      <paraID> A1E851B</paraID>
      <start>24</start>
      <end>25</end>
      <status>ignored</status>
      <modifiedWord/>
      <trackRevisions>false</trackRevisions>
    </reviewItem>
    <reviewItem>
      <errorID>2a0b60b5-5a4b-448d-9b0d-655b7a3aae89</errorID>
      <errorWord>)</errorWord>
      <group>L1_Format</group>
      <groupName>格式问题</groupName>
      <ability>L2_HalfPunc</ability>
      <abilityName>全半角检查</abilityName>
      <candidateList>
        <item>）</item>
      </candidateList>
      <explain>文本全半角错误。</explain>
      <paraID> A1E851B</paraID>
      <start>40</start>
      <end>41</end>
      <status>ignored</status>
      <modifiedWord/>
      <trackRevisions>false</trackRevisions>
    </reviewItem>
    <reviewItem>
      <errorID>dc5736a8-53fb-46a9-87c0-a62e4d2fa9b6</errorID>
      <errorWord>(</errorWord>
      <group>L1_Format</group>
      <groupName>格式问题</groupName>
      <ability>L2_HalfPunc</ability>
      <abilityName>全半角检查</abilityName>
      <candidateList>
        <item>（</item>
      </candidateList>
      <explain>文本全半角错误。</explain>
      <paraID> A1E851B</paraID>
      <start>64</start>
      <end>65</end>
      <status>ignored</status>
      <modifiedWord/>
      <trackRevisions>false</trackRevisions>
    </reviewItem>
    <reviewItem>
      <errorID>cfc194b7-15e7-4285-88e3-3e3d4d568158</errorID>
      <errorWord>)</errorWord>
      <group>L1_Format</group>
      <groupName>格式问题</groupName>
      <ability>L2_HalfPunc</ability>
      <abilityName>全半角检查</abilityName>
      <candidateList>
        <item>）</item>
      </candidateList>
      <explain>文本全半角错误。</explain>
      <paraID> A1E851B</paraID>
      <start>78</start>
      <end>79</end>
      <status>ignored</status>
      <modifiedWord/>
      <trackRevisions>false</trackRevisions>
    </reviewItem>
    <reviewItem>
      <errorID>7d219748-629f-4527-a521-ef5af91b381e</errorID>
      <errorWord>～</errorWord>
      <group>L1_Format</group>
      <groupName>格式问题</groupName>
      <ability>L2_HalfPunc</ability>
      <abilityName>全半角检查</abilityName>
      <candidateList>
        <item>~</item>
      </candidateList>
      <explain>文本全半角错误。</explain>
      <paraID>617A4BC8</paraID>
      <start>2</start>
      <end>3</end>
      <status>unmodified</status>
      <modifiedWord/>
      <trackRevisions>false</trackRevisions>
    </reviewItem>
    <reviewItem>
      <errorID>5189dd50-b964-4ff9-98d4-5307aeaa620e</errorID>
      <errorWord>签定</errorWord>
      <group>L1_Word</group>
      <groupName>字词问题</groupName>
      <ability>L2_Typo</ability>
      <abilityName>字词错误</abilityName>
      <candidateList>
        <item>签订</item>
      </candidateList>
      <explain>〈动〉订立条约或合同并签字：两国～了贸易议定书和支付协定。</explain>
      <paraID>55A4F7E0</paraID>
      <start>15</start>
      <end>17</end>
      <status>unmodified</status>
      <modifiedWord/>
      <trackRevisions>false</trackRevisions>
    </reviewItem>
    <reviewItem>
      <errorID>e2beceee-c58f-464a-af4a-96a4694e03f5</errorID>
      <errorWord>法律、法规</errorWord>
      <group>L1_Word</group>
      <groupName>字词问题</groupName>
      <ability>L2_Typo</ability>
      <abilityName>字词错误</abilityName>
      <candidateList>
        <item>法律法规</item>
      </candidateList>
      <explain/>
      <paraID>7ADA287B</paraID>
      <start>100</start>
      <end>105</end>
      <status>unmodified</status>
      <modifiedWord/>
      <trackRevisions>false</trackRevisions>
    </reviewItem>
    <reviewItem>
      <errorID>7428af77-3b03-4e58-86fd-79e62795fc7f</errorID>
      <errorWord>环境监测可</errorWord>
      <group>L1_Word</group>
      <groupName>字词问题</groupName>
      <ability>L2_Typo</ability>
      <abilityName>字词错误</abilityName>
      <candidateList>
        <item>环境监测</item>
      </candidateList>
      <explain/>
      <paraID> AEC802A</paraID>
      <start>4</start>
      <end>9</end>
      <status>unmodified</status>
      <modifiedWord/>
      <trackRevisions>false</trackRevisions>
    </reviewItem>
    <reviewItem>
      <errorID>c7b54558-b28e-4274-9b2e-1abc346e156d</errorID>
      <errorWord>，</errorWord>
      <group>L1_Format</group>
      <groupName>格式问题</groupName>
      <ability>L2_HalfPunc</ability>
      <abilityName>全半角检查</abilityName>
      <candidateList>
        <item>,</item>
      </candidateList>
      <explain>文本全半角错误。</explain>
      <paraID>5F3E9F1B</paraID>
      <start>9</start>
      <end>10</end>
      <status>unmodified</status>
      <modifiedWord/>
      <trackRevisions>false</trackRevisions>
    </reviewItem>
    <reviewItem>
      <errorID>9f5778d1-a074-4be0-a9a4-09e89b4541eb</errorID>
      <errorWord>，</errorWord>
      <group>L1_Format</group>
      <groupName>格式问题</groupName>
      <ability>L2_HalfPunc</ability>
      <abilityName>全半角检查</abilityName>
      <candidateList>
        <item>,</item>
      </candidateList>
      <explain>文本全半角错误。</explain>
      <paraID>28D6C346</paraID>
      <start>9</start>
      <end>10</end>
      <status>unmodified</status>
      <modifiedWord/>
      <trackRevisions>false</trackRevisions>
    </reviewItem>
    <reviewItem>
      <errorID>be298d75-c184-40f5-a15e-f3c66e3dc92d</errorID>
      <errorWord>，</errorWord>
      <group>L1_Format</group>
      <groupName>格式问题</groupName>
      <ability>L2_HalfPunc</ability>
      <abilityName>全半角检查</abilityName>
      <candidateList>
        <item>,</item>
      </candidateList>
      <explain>文本全半角错误。</explain>
      <paraID>272626BB</paraID>
      <start>9</start>
      <end>10</end>
      <status>unmodified</status>
      <modifiedWord/>
      <trackRevisions>false</trackRevisions>
    </reviewItem>
    <reviewItem>
      <errorID>66032b86-95cf-440e-b852-e8f3d65d3eb3</errorID>
      <errorWord>-</errorWord>
      <group>L1_Format</group>
      <groupName>格式问题</groupName>
      <ability>L2_HalfPunc</ability>
      <abilityName>全半角检查</abilityName>
      <candidateList>
        <item>－</item>
      </candidateList>
      <explain>文本全半角错误。</explain>
      <paraID>460EF255</paraID>
      <start>3</start>
      <end>4</end>
      <status>unmodified</status>
      <modifiedWord/>
      <trackRevisions>false</trackRevisions>
    </reviewItem>
    <reviewItem>
      <errorID>6feeb2b7-f35e-4aa1-bddf-1114e9be7e4d</errorID>
      <errorWord>-</errorWord>
      <group>L1_Format</group>
      <groupName>格式问题</groupName>
      <ability>L2_HalfPunc</ability>
      <abilityName>全半角检查</abilityName>
      <candidateList>
        <item>－</item>
      </candidateList>
      <explain>文本全半角错误。</explain>
      <paraID>693CBFD8</paraID>
      <start>3</start>
      <end>4</end>
      <status>unmodified</status>
      <modifiedWord/>
      <trackRevisions>false</trackRevisions>
    </reviewItem>
    <reviewItem>
      <errorID>62b0a237-0f59-43a3-814a-47d524ca636f</errorID>
      <errorWord>，</errorWord>
      <group>L1_Format</group>
      <groupName>格式问题</groupName>
      <ability>L2_HalfPunc</ability>
      <abilityName>全半角检查</abilityName>
      <candidateList>
        <item>,</item>
      </candidateList>
      <explain>文本全半角错误。</explain>
      <paraID>66C2D1F3</paraID>
      <start>9</start>
      <end>10</end>
      <status>unmodified</status>
      <modifiedWord/>
      <trackRevisions>false</trackRevisions>
    </reviewItem>
    <reviewItem>
      <errorID>3116d4b5-9aff-4952-a462-0871efdc4f67</errorID>
      <errorWord>-</errorWord>
      <group>L1_Format</group>
      <groupName>格式问题</groupName>
      <ability>L2_HalfPunc</ability>
      <abilityName>全半角检查</abilityName>
      <candidateList>
        <item>－</item>
      </candidateList>
      <explain>文本全半角错误。</explain>
      <paraID>3A247C00</paraID>
      <start>3</start>
      <end>4</end>
      <status>unmodified</status>
      <modifiedWord/>
      <trackRevisions>false</trackRevisions>
    </reviewItem>
    <reviewItem>
      <errorID>6fbfbc55-1d3b-42f9-8ca6-352eab738253</errorID>
      <errorWord>，</errorWord>
      <group>L1_Format</group>
      <groupName>格式问题</groupName>
      <ability>L2_HalfPunc</ability>
      <abilityName>全半角检查</abilityName>
      <candidateList>
        <item>,</item>
      </candidateList>
      <explain>文本全半角错误。</explain>
      <paraID>70C36716</paraID>
      <start>9</start>
      <end>10</end>
      <status>unmodified</status>
      <modifiedWord/>
      <trackRevisions>false</trackRevisions>
    </reviewItem>
    <reviewItem>
      <errorID>f965109a-6b96-4ac1-9506-359d3a41bb61</errorID>
      <errorWord>，</errorWord>
      <group>L1_Format</group>
      <groupName>格式问题</groupName>
      <ability>L2_HalfPunc</ability>
      <abilityName>全半角检查</abilityName>
      <candidateList>
        <item>,</item>
      </candidateList>
      <explain>文本全半角错误。</explain>
      <paraID>4B3E915A</paraID>
      <start>9</start>
      <end>10</end>
      <status>unmodified</status>
      <modifiedWord/>
      <trackRevisions>false</trackRevisions>
    </reviewItem>
    <reviewItem>
      <errorID>9c1f5c90-e774-4a64-8d20-597d9e1404c3</errorID>
      <errorWord>，</errorWord>
      <group>L1_Format</group>
      <groupName>格式问题</groupName>
      <ability>L2_HalfPunc</ability>
      <abilityName>全半角检查</abilityName>
      <candidateList>
        <item>,</item>
      </candidateList>
      <explain>文本全半角错误。</explain>
      <paraID>1C0CD951</paraID>
      <start>9</start>
      <end>10</end>
      <status>unmodified</status>
      <modifiedWord/>
      <trackRevisions>false</trackRevisions>
    </reviewItem>
    <reviewItem>
      <errorID>f6d26e1e-03be-428b-ada0-0181f9b2d13e</errorID>
      <errorWord>，</errorWord>
      <group>L1_Format</group>
      <groupName>格式问题</groupName>
      <ability>L2_HalfPunc</ability>
      <abilityName>全半角检查</abilityName>
      <candidateList>
        <item>,</item>
      </candidateList>
      <explain>文本全半角错误。</explain>
      <paraID>7C36DB70</paraID>
      <start>9</start>
      <end>10</end>
      <status>unmodified</status>
      <modifiedWord/>
      <trackRevisions>false</trackRevisions>
    </reviewItem>
    <reviewItem>
      <errorID>60521b41-65cb-4b77-9e45-7e51045d0a1a</errorID>
      <errorWord>-</errorWord>
      <group>L1_Format</group>
      <groupName>格式问题</groupName>
      <ability>L2_HalfPunc</ability>
      <abilityName>全半角检查</abilityName>
      <candidateList>
        <item>－</item>
      </candidateList>
      <explain>文本全半角错误。</explain>
      <paraID>5F8D4874</paraID>
      <start>3</start>
      <end>4</end>
      <status>unmodified</status>
      <modifiedWord/>
      <trackRevisions>false</trackRevisions>
    </reviewItem>
    <reviewItem>
      <errorID>bb432ede-3678-47b9-a135-1cdf0cc44666</errorID>
      <errorWord>-</errorWord>
      <group>L1_Format</group>
      <groupName>格式问题</groupName>
      <ability>L2_HalfPunc</ability>
      <abilityName>全半角检查</abilityName>
      <candidateList>
        <item>－</item>
      </candidateList>
      <explain>文本全半角错误。</explain>
      <paraID>66F3F8FC</paraID>
      <start>3</start>
      <end>4</end>
      <status>unmodified</status>
      <modifiedWord/>
      <trackRevisions>false</trackRevisions>
    </reviewItem>
    <reviewItem>
      <errorID>35526507-b9f7-4379-a74c-250b9176ed0c</errorID>
      <errorWord>，</errorWord>
      <group>L1_Format</group>
      <groupName>格式问题</groupName>
      <ability>L2_HalfPunc</ability>
      <abilityName>全半角检查</abilityName>
      <candidateList>
        <item>,</item>
      </candidateList>
      <explain>文本全半角错误。</explain>
      <paraID>38A3DB9A</paraID>
      <start>9</start>
      <end>10</end>
      <status>unmodified</status>
      <modifiedWord/>
      <trackRevisions>false</trackRevisions>
    </reviewItem>
    <reviewItem>
      <errorID>152a1a26-6676-4e1e-8988-c0e88976c620</errorID>
      <errorWord>-</errorWord>
      <group>L1_Format</group>
      <groupName>格式问题</groupName>
      <ability>L2_HalfPunc</ability>
      <abilityName>全半角检查</abilityName>
      <candidateList>
        <item>－</item>
      </candidateList>
      <explain>文本全半角错误。</explain>
      <paraID>5454316F</paraID>
      <start>3</start>
      <end>4</end>
      <status>unmodified</status>
      <modifiedWord/>
      <trackRevisions>false</trackRevisions>
    </reviewItem>
    <reviewItem>
      <errorID>9db0fc23-bc2f-489f-8511-7417e799cc7a</errorID>
      <errorWord>，</errorWord>
      <group>L1_Format</group>
      <groupName>格式问题</groupName>
      <ability>L2_HalfPunc</ability>
      <abilityName>全半角检查</abilityName>
      <candidateList>
        <item>,</item>
      </candidateList>
      <explain>文本全半角错误。</explain>
      <paraID>3CF94FB8</paraID>
      <start>9</start>
      <end>10</end>
      <status>unmodified</status>
      <modifiedWord/>
      <trackRevisions>false</trackRevisions>
    </reviewItem>
    <reviewItem>
      <errorID>06be590c-07c9-46fc-959d-4f2b1fe4fac7</errorID>
      <errorWord>-</errorWord>
      <group>L1_Format</group>
      <groupName>格式问题</groupName>
      <ability>L2_HalfPunc</ability>
      <abilityName>全半角检查</abilityName>
      <candidateList>
        <item>－</item>
      </candidateList>
      <explain>文本全半角错误。</explain>
      <paraID>437426A7</paraID>
      <start>3</start>
      <end>4</end>
      <status>unmodified</status>
      <modifiedWord/>
      <trackRevisions>false</trackRevisions>
    </reviewItem>
    <reviewItem>
      <errorID>2bdce34c-6d06-4d78-b473-be790e586403</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64456007</paraID>
      <start>6</start>
      <end>8</end>
      <status>unmodified</status>
      <modifiedWord/>
      <trackRevisions>false</trackRevisions>
    </reviewItem>
    <reviewItem>
      <errorID>4125d482-5872-4e85-bf7f-d6097f314061</errorID>
      <errorWord>探勘</errorWord>
      <group>L1_Word</group>
      <groupName>字词问题</groupName>
      <ability>L2_Typo</ability>
      <abilityName>字词错误</abilityName>
      <candidateList>
        <item>勘探</item>
      </candidateList>
      <explain/>
      <paraID>3491C7E3</paraID>
      <start>72</start>
      <end>74</end>
      <status>unmodified</status>
      <modifiedWord/>
      <trackRevisions>false</trackRevisions>
    </reviewItem>
    <reviewItem>
      <errorID>47ccd8c2-915e-410c-badd-f86a785ef2b4</errorID>
      <errorWord>~</errorWord>
      <group>L1_Format</group>
      <groupName>格式问题</groupName>
      <ability>L2_HalfPunc</ability>
      <abilityName>全半角检查</abilityName>
      <candidateList>
        <item>～</item>
      </candidateList>
      <explain>文本全半角错误。</explain>
      <paraID>14DB76A1</paraID>
      <start>37</start>
      <end>38</end>
      <status>unmodified</status>
      <modifiedWord/>
      <trackRevisions>false</trackRevisions>
    </reviewItem>
    <reviewItem>
      <errorID>bf563e6b-d089-41ee-bda1-304bd1d19156</errorID>
      <errorWord>（</errorWord>
      <group>L1_Punc</group>
      <groupName>标点问题</groupName>
      <ability>L2_Punc</ability>
      <abilityName>标点符号检查</abilityName>
      <candidateList/>
      <explain/>
      <paraID>634A5F3B</paraID>
      <start>65</start>
      <end>66</end>
      <status>ignored</status>
      <modifiedWord/>
      <trackRevisions>false</trackRevisions>
    </reviewItem>
    <reviewItem>
      <errorID>1ebb1b4d-6540-4017-92df-6dce6a9c61f3</errorID>
      <errorWord>，</errorWord>
      <group>L1_Word</group>
      <groupName>字词问题</groupName>
      <ability>L2_Typo</ability>
      <abilityName>字词错误</abilityName>
      <candidateList>
        <item>，在</item>
      </candidateList>
      <explain/>
      <paraID>66981986</paraID>
      <start>87</start>
      <end>88</end>
      <status>unmodified</status>
      <modifiedWord/>
      <trackRevisions>false</trackRevisions>
    </reviewItem>
    <reviewItem>
      <errorID>968a2f8f-fd8a-46e2-98d6-bf6152567662</errorID>
      <errorWord>主要土壤类型以黑钙土为主</errorWord>
      <group>L1_Grammar</group>
      <groupName>语法问题</groupName>
      <ability>L2_Grammar</ability>
      <abilityName>语法错误</abilityName>
      <candidateList>
        <item>土壤类型以黑钙土为主</item>
      </candidateList>
      <explain/>
      <paraID>343EFBAB</paraID>
      <start>54</start>
      <end>66</end>
      <status>unmodified</status>
      <modifiedWord/>
      <trackRevisions>false</trackRevisions>
    </reviewItem>
    <reviewItem>
      <errorID>72c8dac1-8ff8-407c-9b61-669a9b746dd2</errorID>
      <errorWord>期</errorWord>
      <group>L1_Word</group>
      <groupName>字词问题</groupName>
      <ability>L2_Typo</ability>
      <abilityName>字词错误</abilityName>
      <candidateList>
        <item>期间</item>
      </candidateList>
      <explain>〈名〉某个时期里面：农忙～｜春节～｜抗战～。</explain>
      <paraID>29B426CA</paraID>
      <start>106</start>
      <end>107</end>
      <status>ignored</status>
      <modifiedWord/>
      <trackRevisions>false</trackRevisions>
    </reviewItem>
    <reviewItem>
      <errorID>180a2562-6fb8-45ff-9baf-a09fd71c6049</errorID>
      <errorWord>、及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1766C982</paraID>
      <start>97</start>
      <end>99</end>
      <status>unmodified</status>
      <modifiedWord/>
      <trackRevisions>false</trackRevisions>
    </reviewItem>
    <reviewItem>
      <errorID>e9a4aede-7e3c-45c4-aa72-9a1a8700299a</errorID>
      <errorWord>种类</errorWord>
      <group>L1_Word</group>
      <groupName>字词问题</groupName>
      <ability>L2_Typo</ability>
      <abilityName>字词错误</abilityName>
      <candidateList>
        <item>各类</item>
      </candidateList>
      <explain/>
      <paraID>5D4D3F17</paraID>
      <start>6</start>
      <end>8</end>
      <status>unmodified</status>
      <modifiedWord/>
      <trackRevisions>false</trackRevisions>
    </reviewItem>
    <reviewItem>
      <errorID>2ebc7af3-62a0-4559-a584-ed5e0b0d7ac2</errorID>
      <errorWord>水</errorWord>
      <group>L1_Word</group>
      <groupName>字词问题</groupName>
      <ability>L2_Typo</ability>
      <abilityName>字词错误</abilityName>
      <candidateList>
        <item>水环</item>
      </candidateList>
      <explain/>
      <paraID>777A3E67</paraID>
      <start>7</start>
      <end>8</end>
      <status>unmodified</status>
      <modifiedWord/>
      <trackRevisions>false</trackRevisions>
    </reviewItem>
    <reviewItem>
      <errorID>be7120be-47b9-44e3-897e-6fc25fd6e00d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32A146B2</paraID>
      <start>27</start>
      <end>28</end>
      <status>unmodified</status>
      <modifiedWord/>
      <trackRevisions>false</trackRevisions>
    </reviewItem>
    <reviewItem>
      <errorID>13a6aeb8-5bd5-4648-8e91-841a517e959a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9ABD8C6</paraID>
      <start>19</start>
      <end>20</end>
      <status>unmodified</status>
      <modifiedWord/>
      <trackRevisions>false</trackRevisions>
    </reviewItem>
    <reviewItem>
      <errorID>260c7238-86de-48c1-85f4-9219e040d276</errorID>
      <errorWord>-</errorWord>
      <group>L1_Format</group>
      <groupName>格式问题</groupName>
      <ability>L2_HalfPunc</ability>
      <abilityName>全半角检查</abilityName>
      <candidateList>
        <item>－</item>
      </candidateList>
      <explain>文本全半角错误。</explain>
      <paraID> 9ABD8C6</paraID>
      <start>134</start>
      <end>135</end>
      <status>unmodified</status>
      <modifiedWord/>
      <trackRevisions>false</trackRevisions>
    </reviewItem>
    <reviewItem>
      <errorID>4df4de01-9d19-4a3a-9e7b-af6ed4e9f01b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18EBB8A6</paraID>
      <start>18</start>
      <end>19</end>
      <status>unmodified</status>
      <modifiedWord/>
      <trackRevisions>false</trackRevisions>
    </reviewItem>
    <reviewItem>
      <errorID>27b4e9a7-8b2f-4e25-8e38-fd9297c48023</errorID>
      <errorWord>求</errorWord>
      <group>L1_Word</group>
      <groupName>字词问题</groupName>
      <ability>L2_Typo</ability>
      <abilityName>字词错误</abilityName>
      <candidateList>
        <item>求和</item>
      </candidateList>
      <explain/>
      <paraID>2831A4B2</paraID>
      <start>114</start>
      <end>115</end>
      <status>unmodified</status>
      <modifiedWord/>
      <trackRevisions>false</trackRevisions>
    </reviewItem>
    <reviewItem>
      <errorID>e0379a57-ce7a-418d-9fda-c404900e5bca</errorID>
      <errorWord>~</errorWord>
      <group>L1_Format</group>
      <groupName>格式问题</groupName>
      <ability>L2_HalfPunc</ability>
      <abilityName>全半角检查</abilityName>
      <candidateList>
        <item>～</item>
      </candidateList>
      <explain>文本全半角错误。</explain>
      <paraID>138B8CCC</paraID>
      <start>3</start>
      <end>4</end>
      <status>unmodified</status>
      <modifiedWord/>
      <trackRevisions>false</trackRevisions>
    </reviewItem>
    <reviewItem>
      <errorID>120caf42-7119-42a4-9d35-cccfa0545107</errorID>
      <errorWord>~</errorWord>
      <group>L1_Format</group>
      <groupName>格式问题</groupName>
      <ability>L2_HalfPunc</ability>
      <abilityName>全半角检查</abilityName>
      <candidateList>
        <item>～</item>
      </candidateList>
      <explain>文本全半角错误。</explain>
      <paraID> DCCEA29</paraID>
      <start>3</start>
      <end>4</end>
      <status>unmodified</status>
      <modifiedWord/>
      <trackRevisions>false</trackRevisions>
    </reviewItem>
    <reviewItem>
      <errorID>c0133cb5-7f5e-48e4-bd72-e8c077346c7f</errorID>
      <errorWord>~</errorWord>
      <group>L1_Format</group>
      <groupName>格式问题</groupName>
      <ability>L2_HalfPunc</ability>
      <abilityName>全半角检查</abilityName>
      <candidateList>
        <item>～</item>
      </candidateList>
      <explain>文本全半角错误。</explain>
      <paraID>1E373D8E</paraID>
      <start>3</start>
      <end>4</end>
      <status>unmodified</status>
      <modifiedWord/>
      <trackRevisions>false</trackRevisions>
    </reviewItem>
    <reviewItem>
      <errorID>ad0aca6d-8572-4261-9204-196ce54e1fa6</errorID>
      <errorWord>：（）</errorWord>
      <group>L1_Format</group>
      <groupName>格式问题</groupName>
      <ability>L2_HalfPunc</ability>
      <abilityName>全半角检查</abilityName>
      <candidateList>
        <item>:()</item>
      </candidateList>
      <explain>文本全半角错误。</explain>
      <paraID>62051C87</paraID>
      <start>3</start>
      <end>6</end>
      <status>unmodified</status>
      <modifiedWord/>
      <trackRevisions>false</trackRevisions>
    </reviewItem>
    <reviewItem>
      <errorID>f2d4dcaf-746d-4d72-a601-77a464cb985d</errorID>
      <errorWord>：（</errorWord>
      <group>L1_Format</group>
      <groupName>格式问题</groupName>
      <ability>L2_HalfPunc</ability>
      <abilityName>全半角检查</abilityName>
      <candidateList>
        <item>:(</item>
      </candidateList>
      <explain>文本全半角错误。</explain>
      <paraID>79244812</paraID>
      <start>3</start>
      <end>5</end>
      <status>unmodified</status>
      <modifiedWord/>
      <trackRevisions>false</trackRevisions>
    </reviewItem>
    <reviewItem>
      <errorID>42999a86-1fa6-4ef5-a5b8-b8fc6c62b9b0</errorID>
      <errorWord>）</errorWord>
      <group>L1_Format</group>
      <groupName>格式问题</groupName>
      <ability>L2_HalfPunc</ability>
      <abilityName>全半角检查</abilityName>
      <candidateList>
        <item>)</item>
      </candidateList>
      <explain>文本全半角错误。</explain>
      <paraID>79244812</paraID>
      <start>6</start>
      <end>7</end>
      <status>unmodified</status>
      <modifiedWord/>
      <trackRevisions>false</trackRevisions>
    </reviewItem>
    <reviewItem>
      <errorID>31764fe3-02c6-44f0-9f56-8f43a0ee9641</errorID>
      <errorWord>：（）</errorWord>
      <group>L1_Format</group>
      <groupName>格式问题</groupName>
      <ability>L2_HalfPunc</ability>
      <abilityName>全半角检查</abilityName>
      <candidateList>
        <item>:()</item>
      </candidateList>
      <explain>文本全半角错误。</explain>
      <paraID>64380DF9</paraID>
      <start>4</start>
      <end>7</end>
      <status>unmodified</status>
      <modifiedWord/>
      <trackRevisions>false</trackRevisions>
    </reviewItem>
    <reviewItem>
      <errorID>5ca29fdf-37bf-44b2-8aea-a31fd4eb9328</errorID>
      <errorWord>＜</errorWord>
      <group>L1_Format</group>
      <groupName>格式问题</groupName>
      <ability>L2_HalfPunc</ability>
      <abilityName>全半角检查</abilityName>
      <candidateList>
        <item>&lt;</item>
      </candidateList>
      <explain>文本全半角错误。</explain>
      <paraID> 47FB075</paraID>
      <start>1</start>
      <end>2</end>
      <status>unmodified</status>
      <modifiedWord/>
      <trackRevisions>false</trackRevisions>
    </reviewItem>
    <reviewItem>
      <errorID>0afd5525-9a43-42c3-b053-5559ee313455</errorID>
      <errorWord>＜</errorWord>
      <group>L1_Format</group>
      <groupName>格式问题</groupName>
      <ability>L2_HalfPunc</ability>
      <abilityName>全半角检查</abilityName>
      <candidateList>
        <item>&lt;</item>
      </candidateList>
      <explain>文本全半角错误。</explain>
      <paraID>31A12CCE</paraID>
      <start>3</start>
      <end>4</end>
      <status>unmodified</status>
      <modifiedWord/>
      <trackRevisions>false</trackRevisions>
    </reviewItem>
    <reviewItem>
      <errorID>a3df8f2e-e1b0-4ad3-a52c-f07dc46ccd9a</errorID>
      <errorWord>＜</errorWord>
      <group>L1_Format</group>
      <groupName>格式问题</groupName>
      <ability>L2_HalfPunc</ability>
      <abilityName>全半角检查</abilityName>
      <candidateList>
        <item>&lt;</item>
      </candidateList>
      <explain>文本全半角错误。</explain>
      <paraID> F40AC70</paraID>
      <start>4</start>
      <end>5</end>
      <status>unmodified</status>
      <modifiedWord/>
      <trackRevisions>false</trackRevisions>
    </reviewItem>
    <reviewItem>
      <errorID>31a00ab6-79e1-4460-9bf6-08aeaac8a94b</errorID>
      <errorWord>＞</errorWord>
      <group>L1_Format</group>
      <groupName>格式问题</groupName>
      <ability>L2_HalfPunc</ability>
      <abilityName>全半角检查</abilityName>
      <candidateList>
        <item>&gt;</item>
      </candidateList>
      <explain>文本全半角错误。</explain>
      <paraID>3F23F0BF</paraID>
      <start>1</start>
      <end>2</end>
      <status>unmodified</status>
      <modifiedWord/>
      <trackRevisions>false</trackRevisions>
    </reviewItem>
    <reviewItem>
      <errorID>28442da5-d8cf-458b-af91-2146a19f3e2d</errorID>
      <errorWord>情况下</errorWord>
      <group>L1_Word</group>
      <groupName>字词问题</groupName>
      <ability>L2_Typo</ability>
      <abilityName>字词错误</abilityName>
      <candidateList>
        <item>情况</item>
      </candidateList>
      <explain>〈名〉❶情形：思想～｜工作～｜～特殊。❷指军事上的变化，泛指事情的变化、动向：这两天前线没有什么～｜他俩的关系最近又有了新的～。</explain>
      <paraID>4267BE5A</paraID>
      <start>85</start>
      <end>88</end>
      <status>unmodified</status>
      <modifiedWord/>
      <trackRevisions>false</trackRevisions>
    </reviewItem>
    <reviewItem>
      <errorID>79f1bed4-e882-41e9-a134-30d2c7b1c496</errorID>
      <errorWord>（</errorWord>
      <group>L1_Format</group>
      <groupName>格式问题</groupName>
      <ability>L2_HalfPunc</ability>
      <abilityName>全半角检查</abilityName>
      <candidateList>
        <item>(</item>
      </candidateList>
      <explain>文本全半角错误。</explain>
      <paraID>31BF77C8</paraID>
      <start>0</start>
      <end>1</end>
      <status>unmodified</status>
      <modifiedWord/>
      <trackRevisions>false</trackRevisions>
    </reviewItem>
    <reviewItem>
      <errorID>3ab61fe5-7d37-4038-9ca7-8442504fe8b7</errorID>
      <errorWord>）</errorWord>
      <group>L1_Format</group>
      <groupName>格式问题</groupName>
      <ability>L2_HalfPunc</ability>
      <abilityName>全半角检查</abilityName>
      <candidateList>
        <item>)</item>
      </candidateList>
      <explain>文本全半角错误。</explain>
      <paraID>31BF77C8</paraID>
      <start>6</start>
      <end>7</end>
      <status>unmodified</status>
      <modifiedWord/>
      <trackRevisions>false</trackRevisions>
    </reviewItem>
    <reviewItem>
      <errorID>fbbabd51-538f-4163-a5c8-0319ed33f1ca</errorID>
      <errorWord>）</errorWord>
      <group>L1_Format</group>
      <groupName>格式问题</groupName>
      <ability>L2_HalfPunc</ability>
      <abilityName>全半角检查</abilityName>
      <candidateList>
        <item>)</item>
      </candidateList>
      <explain>文本全半角错误。</explain>
      <paraID>23854278</paraID>
      <start>1</start>
      <end>2</end>
      <status>unmodified</status>
      <modifiedWord/>
      <trackRevisions>false</trackRevisions>
    </reviewItem>
    <reviewItem>
      <errorID>19acdd6b-22e4-4f24-aff3-598ff039564a</errorID>
      <errorWord>；</errorWord>
      <group>L1_Format</group>
      <groupName>格式问题</groupName>
      <ability>L2_HalfPunc</ability>
      <abilityName>全半角检查</abilityName>
      <candidateList>
        <item>; </item>
      </candidateList>
      <explain>文本全半角错误。</explain>
      <paraID>23854278</paraID>
      <start>3</start>
      <end>4</end>
      <status>unmodified</status>
      <modifiedWord/>
      <trackRevisions>false</trackRevisions>
    </reviewItem>
    <reviewItem>
      <errorID>4abf11df-e097-4f57-b403-2cde47fa13d8</errorID>
      <errorWord>）</errorWord>
      <group>L1_Format</group>
      <groupName>格式问题</groupName>
      <ability>L2_HalfPunc</ability>
      <abilityName>全半角检查</abilityName>
      <candidateList>
        <item>)</item>
      </candidateList>
      <explain>文本全半角错误。</explain>
      <paraID>23854278</paraID>
      <start>5</start>
      <end>6</end>
      <status>unmodified</status>
      <modifiedWord/>
      <trackRevisions>false</trackRevisions>
    </reviewItem>
    <reviewItem>
      <errorID>46d08392-4b6a-4213-950c-d54d59e21943</errorID>
      <errorWord>；</errorWord>
      <group>L1_Format</group>
      <groupName>格式问题</groupName>
      <ability>L2_HalfPunc</ability>
      <abilityName>全半角检查</abilityName>
      <candidateList>
        <item>; </item>
      </candidateList>
      <explain>文本全半角错误。</explain>
      <paraID>23854278</paraID>
      <start>7</start>
      <end>8</end>
      <status>unmodified</status>
      <modifiedWord/>
      <trackRevisions>false</trackRevisions>
    </reviewItem>
    <reviewItem>
      <errorID>79fe56bc-5031-4a46-8c6b-81cb359f833d</errorID>
      <errorWord>）</errorWord>
      <group>L1_Format</group>
      <groupName>格式问题</groupName>
      <ability>L2_HalfPunc</ability>
      <abilityName>全半角检查</abilityName>
      <candidateList>
        <item>)</item>
      </candidateList>
      <explain>文本全半角错误。</explain>
      <paraID>23854278</paraID>
      <start>9</start>
      <end>10</end>
      <status>unmodified</status>
      <modifiedWord/>
      <trackRevisions>false</trackRevisions>
    </reviewItem>
    <reviewItem>
      <errorID>894c5bc2-d971-4f10-a895-82dab5044f5f</errorID>
      <errorWord>；</errorWord>
      <group>L1_Format</group>
      <groupName>格式问题</groupName>
      <ability>L2_HalfPunc</ability>
      <abilityName>全半角检查</abilityName>
      <candidateList>
        <item>; </item>
      </candidateList>
      <explain>文本全半角错误。</explain>
      <paraID>23854278</paraID>
      <start>11</start>
      <end>12</end>
      <status>unmodified</status>
      <modifiedWord/>
      <trackRevisions>false</trackRevisions>
    </reviewItem>
    <reviewItem>
      <errorID>208ee9c9-8464-416d-af40-5fc84c7da91e</errorID>
      <errorWord>）</errorWord>
      <group>L1_Format</group>
      <groupName>格式问题</groupName>
      <ability>L2_HalfPunc</ability>
      <abilityName>全半角检查</abilityName>
      <candidateList>
        <item>)</item>
      </candidateList>
      <explain>文本全半角错误。</explain>
      <paraID>23854278</paraID>
      <start>13</start>
      <end>14</end>
      <status>unmodified</status>
      <modifiedWord/>
      <trackRevisions>false</trackRevisions>
    </reviewItem>
    <reviewItem>
      <errorID>eb0260d8-6f5b-4568-b1f8-81088fa9ef86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221EE1A2</paraID>
      <start>2</start>
      <end>3</end>
      <status>ignored</status>
      <modifiedWord/>
      <trackRevisions>false</trackRevisions>
    </reviewItem>
    <reviewItem>
      <errorID>c919a42f-894d-4901-85f0-0d1c87662f3d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15C2C604</paraID>
      <start>3</start>
      <end>4</end>
      <status>ignored</status>
      <modifiedWord/>
      <trackRevisions>false</trackRevisions>
    </reviewItem>
    <reviewItem>
      <errorID>699bb475-aad2-470d-b9ca-c350caae0687</errorID>
      <errorWord>测</errorWord>
      <group>L1_Word</group>
      <groupName>字词问题</groupName>
      <ability>L2_Typo</ability>
      <abilityName>字词错误</abilityName>
      <candidateList>
        <item>的</item>
      </candidateList>
      <explain>“的”常用于连接修饰语与名词性中心语，表示属性、所属或描述。</explain>
      <paraID>4AAE2E80</paraID>
      <start>0</start>
      <end>1</end>
      <status>unmodified</status>
      <modifiedWord/>
      <trackRevisions>false</trackRevisions>
    </reviewItem>
    <reviewItem>
      <errorID>1939ff55-399b-4d56-aa19-216947a13a1e</errorID>
      <errorWord>环境影响评级</errorWord>
      <group>L1_Knowledge</group>
      <groupName>知识性问题</groupName>
      <ability>L2_Term</ability>
      <abilityName>专业术语</abilityName>
      <candidateList>
        <item>环境影响评价</item>
      </candidateList>
      <explain/>
      <paraID>3D1BE144</paraID>
      <start>11</start>
      <end>17</end>
      <status>unmodified</status>
      <modifiedWord/>
      <trackRevisions>false</trackRevisions>
    </reviewItem>
    <reviewItem>
      <errorID>0d80175f-5bbb-44bd-b181-20b832e678a5</errorID>
      <errorWord>年</errorWord>
      <group>L1_Word</group>
      <groupName>字词问题</groupName>
      <ability>L2_Typo</ability>
      <abilityName>字词错误</abilityName>
      <candidateList>
        <item>年度</item>
      </candidateList>
      <explain/>
      <paraID>49B58C93</paraID>
      <start>2</start>
      <end>3</end>
      <status>unmodified</status>
      <modifiedWord/>
      <trackRevisions>false</trackRevisions>
    </reviewItem>
    <reviewItem>
      <errorID>921215e9-fa12-476d-96b9-a260fd5a86d8</errorID>
      <errorWord>（</errorWord>
      <group>L1_Word</group>
      <groupName>字词问题</groupName>
      <ability>L2_Typo</ability>
      <abilityName>字词错误</abilityName>
      <candidateList>
        <item>（一</item>
      </candidateList>
      <explain/>
      <paraID>49B58C93</paraID>
      <start>7</start>
      <end>8</end>
      <status>unmodified</status>
      <modifiedWord/>
      <trackRevisions>false</trackRevisions>
    </reviewItem>
    <reviewItem>
      <errorID>6656533e-701c-454c-a38e-03c35c1142b3</errorID>
      <errorWord>测</errorWord>
      <group>L1_Word</group>
      <groupName>字词问题</groupName>
      <ability>L2_Typo</ability>
      <abilityName>字词错误</abilityName>
      <candidateList>
        <item>的</item>
      </candidateList>
      <explain>“的”常用于连接修饰语与名词性中心语，表示属性、所属或描述。</explain>
      <paraID>55B7AA7F</paraID>
      <start>0</start>
      <end>1</end>
      <status>unmodified</status>
      <modifiedWord/>
      <trackRevisions>false</trackRevisions>
    </reviewItem>
    <reviewItem>
      <errorID>cc8ef049-1a6e-4d95-9e3d-a7c2173b6812</errorID>
      <errorWord>上线</errorWord>
      <group>L1_Word</group>
      <groupName>字词问题</groupName>
      <ability>L2_Typo</ability>
      <abilityName>字词错误</abilityName>
      <candidateList>
        <item>上限</item>
      </candidateList>
      <explain/>
      <paraID>39775366</paraID>
      <start>21</start>
      <end>23</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5a1331-f84f-449e-92df-24042e28babf}">
  <ds:schemaRefs/>
</ds:datastoreItem>
</file>

<file path=customXml/itemProps3.xml><?xml version="1.0" encoding="utf-8"?>
<ds:datastoreItem xmlns:ds="http://schemas.openxmlformats.org/officeDocument/2006/customXml" ds:itemID="{F2D24101-164D-4981-933B-D441BE52423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282</Pages>
  <Words>1225</Words>
  <Characters>1491</Characters>
  <Lines>3471</Lines>
  <Paragraphs>977</Paragraphs>
  <TotalTime>19</TotalTime>
  <ScaleCrop>false</ScaleCrop>
  <LinksUpToDate>false</LinksUpToDate>
  <CharactersWithSpaces>1569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2021-08-02T07:49:00Z</dcterms:created>
  <dc:creator>木兰珊珊</dc:creator>
  <cp:lastModifiedBy>123</cp:lastModifiedBy>
  <cp:lastPrinted>2026-04-29T08:25:00Z</cp:lastPrinted>
  <dcterms:modified xsi:type="dcterms:W3CDTF">2026-06-26T02:09:56Z</dcterms:modified>
  <cp:revision>320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9F45FDBFF8484FA1B4B7271740F19C9E_13</vt:lpwstr>
  </property>
  <property fmtid="{D5CDD505-2E9C-101B-9397-08002B2CF9AE}" pid="4" name="KSOTemplateDocerSaveRecord">
    <vt:lpwstr>eyJoZGlkIjoiNjFlNDQ1Y2RlN2QwYTY4ZDE0YjFlNTdmYjUwMTRhNGYiLCJ1c2VySWQiOiIyNjQ0MzQ0MTAifQ==</vt:lpwstr>
  </property>
</Properties>
</file>